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35720" w14:textId="75191D33" w:rsidR="00D97D99" w:rsidRPr="00154588" w:rsidRDefault="00154588" w:rsidP="00154588">
      <w:pPr>
        <w:spacing w:after="0"/>
        <w:ind w:firstLine="709"/>
        <w:jc w:val="center"/>
        <w:rPr>
          <w:b/>
          <w:iCs/>
          <w:sz w:val="32"/>
          <w:szCs w:val="32"/>
        </w:rPr>
      </w:pPr>
      <w:r w:rsidRPr="00154588">
        <w:rPr>
          <w:b/>
          <w:iCs/>
          <w:sz w:val="32"/>
          <w:szCs w:val="32"/>
        </w:rPr>
        <w:t>Tabel de concordanță</w:t>
      </w:r>
    </w:p>
    <w:tbl>
      <w:tblPr>
        <w:tblStyle w:val="ac"/>
        <w:tblW w:w="15446" w:type="dxa"/>
        <w:jc w:val="center"/>
        <w:tblLook w:val="04A0" w:firstRow="1" w:lastRow="0" w:firstColumn="1" w:lastColumn="0" w:noHBand="0" w:noVBand="1"/>
      </w:tblPr>
      <w:tblGrid>
        <w:gridCol w:w="988"/>
        <w:gridCol w:w="3969"/>
        <w:gridCol w:w="4819"/>
        <w:gridCol w:w="2552"/>
        <w:gridCol w:w="3118"/>
      </w:tblGrid>
      <w:tr w:rsidR="00196548" w:rsidRPr="00154588" w14:paraId="3A631BF7" w14:textId="77777777" w:rsidTr="00196548">
        <w:trPr>
          <w:trHeight w:val="583"/>
          <w:jc w:val="center"/>
        </w:trPr>
        <w:tc>
          <w:tcPr>
            <w:tcW w:w="988" w:type="dxa"/>
          </w:tcPr>
          <w:p w14:paraId="3CEAAA35" w14:textId="5020A297" w:rsidR="00196548" w:rsidRPr="00154588" w:rsidRDefault="00196548" w:rsidP="008C12B4">
            <w:pPr>
              <w:jc w:val="center"/>
              <w:rPr>
                <w:b/>
                <w:sz w:val="24"/>
                <w:szCs w:val="24"/>
              </w:rPr>
            </w:pPr>
            <w:r w:rsidRPr="00154588">
              <w:rPr>
                <w:b/>
                <w:sz w:val="24"/>
                <w:szCs w:val="24"/>
              </w:rPr>
              <w:t>1</w:t>
            </w:r>
          </w:p>
        </w:tc>
        <w:tc>
          <w:tcPr>
            <w:tcW w:w="14458" w:type="dxa"/>
            <w:gridSpan w:val="4"/>
            <w:vAlign w:val="center"/>
          </w:tcPr>
          <w:p w14:paraId="2BBCE334" w14:textId="77777777" w:rsidR="00196548" w:rsidRPr="00154588" w:rsidRDefault="00196548" w:rsidP="008C12B4">
            <w:pPr>
              <w:rPr>
                <w:sz w:val="24"/>
                <w:szCs w:val="24"/>
              </w:rPr>
            </w:pPr>
            <w:r w:rsidRPr="00154588">
              <w:rPr>
                <w:sz w:val="24"/>
                <w:szCs w:val="24"/>
              </w:rPr>
              <w:t xml:space="preserve">Directiva 2014/59/UE a Parlamentului European și a Consiliului din 15 mai 2014 de instituire a unui cadru pentru redresarea și rezoluția instituțiilor de credit și a firmelor de investiții și de modificare a Directivei 82/891/CEE a Consiliului și a Directivelor 2001/24/CE, 2002/47/CE, 2004/25/CE, 2005/56/CE, 2007/36/CE, 2011/35/UE, 2012/30/UE și 2013/36/UE ale Parlamentului European și ale Consiliului, precum și a Regulamentelor (UE) nr. 1093/2010 și (UE) nr. 648/2012 ale Parlamentului European și ale Consiliului (Text cu relevanță pentru SEE), </w:t>
            </w:r>
          </w:p>
          <w:p w14:paraId="7989E6AB" w14:textId="0865004F" w:rsidR="00196548" w:rsidRPr="00154588" w:rsidRDefault="00196548" w:rsidP="008C12B4">
            <w:pPr>
              <w:rPr>
                <w:b/>
                <w:sz w:val="24"/>
                <w:szCs w:val="24"/>
              </w:rPr>
            </w:pPr>
            <w:r w:rsidRPr="00154588">
              <w:rPr>
                <w:b/>
                <w:bCs/>
                <w:sz w:val="24"/>
                <w:szCs w:val="24"/>
              </w:rPr>
              <w:t>nr. CELEX 02014L0059-20250117</w:t>
            </w:r>
          </w:p>
        </w:tc>
      </w:tr>
      <w:tr w:rsidR="00196548" w:rsidRPr="00154588" w14:paraId="42F91DCE" w14:textId="77777777" w:rsidTr="00196548">
        <w:trPr>
          <w:trHeight w:val="321"/>
          <w:jc w:val="center"/>
        </w:trPr>
        <w:tc>
          <w:tcPr>
            <w:tcW w:w="988" w:type="dxa"/>
          </w:tcPr>
          <w:p w14:paraId="75773D48" w14:textId="0F0A49AF" w:rsidR="00196548" w:rsidRPr="00154588" w:rsidRDefault="00196548" w:rsidP="008C12B4">
            <w:pPr>
              <w:jc w:val="center"/>
              <w:rPr>
                <w:b/>
                <w:sz w:val="24"/>
                <w:szCs w:val="24"/>
              </w:rPr>
            </w:pPr>
            <w:r w:rsidRPr="00154588">
              <w:rPr>
                <w:b/>
                <w:sz w:val="24"/>
                <w:szCs w:val="24"/>
              </w:rPr>
              <w:t>2</w:t>
            </w:r>
          </w:p>
        </w:tc>
        <w:tc>
          <w:tcPr>
            <w:tcW w:w="14458" w:type="dxa"/>
            <w:gridSpan w:val="4"/>
            <w:vAlign w:val="center"/>
          </w:tcPr>
          <w:p w14:paraId="65031994" w14:textId="6157B53A" w:rsidR="00196548" w:rsidRPr="00154588" w:rsidRDefault="00196548" w:rsidP="008C12B4">
            <w:pPr>
              <w:rPr>
                <w:b/>
                <w:sz w:val="24"/>
                <w:szCs w:val="24"/>
              </w:rPr>
            </w:pPr>
            <w:r w:rsidRPr="00154588">
              <w:rPr>
                <w:b/>
                <w:bCs/>
                <w:sz w:val="24"/>
                <w:szCs w:val="24"/>
              </w:rPr>
              <w:t xml:space="preserve">LEGEA Nr. 232 din 03-10-2016 privind redresarea şi rezoluţia </w:t>
            </w:r>
            <w:r w:rsidR="008D3006" w:rsidRPr="00154588">
              <w:rPr>
                <w:b/>
                <w:bCs/>
                <w:sz w:val="24"/>
                <w:szCs w:val="24"/>
              </w:rPr>
              <w:t>băncilor</w:t>
            </w:r>
          </w:p>
        </w:tc>
      </w:tr>
      <w:tr w:rsidR="00196548" w:rsidRPr="00154588" w14:paraId="4D6FA483" w14:textId="77777777" w:rsidTr="00196548">
        <w:trPr>
          <w:trHeight w:val="282"/>
          <w:jc w:val="center"/>
        </w:trPr>
        <w:tc>
          <w:tcPr>
            <w:tcW w:w="988" w:type="dxa"/>
          </w:tcPr>
          <w:p w14:paraId="4C4D1480" w14:textId="18B97559" w:rsidR="00196548" w:rsidRPr="00154588" w:rsidRDefault="00196548" w:rsidP="008C12B4">
            <w:pPr>
              <w:jc w:val="center"/>
              <w:rPr>
                <w:b/>
                <w:sz w:val="24"/>
                <w:szCs w:val="24"/>
              </w:rPr>
            </w:pPr>
            <w:r w:rsidRPr="00154588">
              <w:rPr>
                <w:b/>
                <w:sz w:val="24"/>
                <w:szCs w:val="24"/>
              </w:rPr>
              <w:t>3</w:t>
            </w:r>
          </w:p>
        </w:tc>
        <w:tc>
          <w:tcPr>
            <w:tcW w:w="14458" w:type="dxa"/>
            <w:gridSpan w:val="4"/>
            <w:vAlign w:val="center"/>
          </w:tcPr>
          <w:p w14:paraId="1964DC99" w14:textId="23007DD0" w:rsidR="00196548" w:rsidRPr="00154588" w:rsidRDefault="00196548" w:rsidP="008C12B4">
            <w:pPr>
              <w:rPr>
                <w:b/>
                <w:sz w:val="24"/>
                <w:szCs w:val="24"/>
              </w:rPr>
            </w:pPr>
            <w:r w:rsidRPr="00154588">
              <w:rPr>
                <w:b/>
                <w:bCs/>
                <w:sz w:val="24"/>
                <w:szCs w:val="24"/>
              </w:rPr>
              <w:t>Gradul general de compatibilitate</w:t>
            </w:r>
            <w:r w:rsidR="008D3006" w:rsidRPr="00154588">
              <w:rPr>
                <w:b/>
                <w:bCs/>
                <w:sz w:val="24"/>
                <w:szCs w:val="24"/>
              </w:rPr>
              <w:t xml:space="preserve"> - compatibil</w:t>
            </w:r>
          </w:p>
        </w:tc>
      </w:tr>
      <w:tr w:rsidR="00196548" w:rsidRPr="00154588" w14:paraId="792835B1" w14:textId="77777777" w:rsidTr="00196548">
        <w:trPr>
          <w:trHeight w:val="272"/>
          <w:jc w:val="center"/>
        </w:trPr>
        <w:tc>
          <w:tcPr>
            <w:tcW w:w="988" w:type="dxa"/>
          </w:tcPr>
          <w:p w14:paraId="2CB0530C" w14:textId="1DD7A8B5" w:rsidR="00196548" w:rsidRPr="00154588" w:rsidRDefault="00196548" w:rsidP="008C12B4">
            <w:pPr>
              <w:jc w:val="center"/>
              <w:rPr>
                <w:b/>
                <w:sz w:val="24"/>
                <w:szCs w:val="24"/>
              </w:rPr>
            </w:pPr>
            <w:r w:rsidRPr="00154588">
              <w:rPr>
                <w:b/>
                <w:sz w:val="24"/>
                <w:szCs w:val="24"/>
              </w:rPr>
              <w:t>4</w:t>
            </w:r>
          </w:p>
        </w:tc>
        <w:tc>
          <w:tcPr>
            <w:tcW w:w="14458" w:type="dxa"/>
            <w:gridSpan w:val="4"/>
            <w:vAlign w:val="center"/>
          </w:tcPr>
          <w:p w14:paraId="47FABCC2" w14:textId="2BFE90FC" w:rsidR="00196548" w:rsidRPr="00154588" w:rsidRDefault="00196548" w:rsidP="008C12B4">
            <w:pPr>
              <w:rPr>
                <w:b/>
                <w:sz w:val="24"/>
                <w:szCs w:val="24"/>
              </w:rPr>
            </w:pPr>
            <w:r w:rsidRPr="00154588">
              <w:rPr>
                <w:b/>
                <w:bCs/>
                <w:sz w:val="24"/>
                <w:szCs w:val="24"/>
              </w:rPr>
              <w:t>BANCA NAȚIONALĂ A MOLDOVEI</w:t>
            </w:r>
          </w:p>
        </w:tc>
      </w:tr>
      <w:tr w:rsidR="00196548" w:rsidRPr="00154588" w14:paraId="184188CF" w14:textId="77777777" w:rsidTr="00196548">
        <w:trPr>
          <w:trHeight w:val="278"/>
          <w:jc w:val="center"/>
        </w:trPr>
        <w:tc>
          <w:tcPr>
            <w:tcW w:w="988" w:type="dxa"/>
          </w:tcPr>
          <w:p w14:paraId="595E3972" w14:textId="756FE544" w:rsidR="00196548" w:rsidRPr="00154588" w:rsidRDefault="00196548" w:rsidP="008C12B4">
            <w:pPr>
              <w:jc w:val="center"/>
              <w:rPr>
                <w:b/>
                <w:sz w:val="24"/>
                <w:szCs w:val="24"/>
              </w:rPr>
            </w:pPr>
            <w:r w:rsidRPr="00154588">
              <w:rPr>
                <w:b/>
                <w:sz w:val="24"/>
                <w:szCs w:val="24"/>
              </w:rPr>
              <w:t>5</w:t>
            </w:r>
          </w:p>
        </w:tc>
        <w:tc>
          <w:tcPr>
            <w:tcW w:w="14458" w:type="dxa"/>
            <w:gridSpan w:val="4"/>
            <w:vAlign w:val="center"/>
          </w:tcPr>
          <w:p w14:paraId="4A8CD7D9" w14:textId="476671AA" w:rsidR="00196548" w:rsidRPr="00154588" w:rsidRDefault="00196548" w:rsidP="008C12B4">
            <w:pPr>
              <w:rPr>
                <w:b/>
                <w:sz w:val="24"/>
                <w:szCs w:val="24"/>
              </w:rPr>
            </w:pPr>
            <w:r w:rsidRPr="00154588">
              <w:rPr>
                <w:b/>
                <w:bCs/>
                <w:sz w:val="24"/>
                <w:szCs w:val="24"/>
              </w:rPr>
              <w:t>Data întocmirii</w:t>
            </w:r>
          </w:p>
        </w:tc>
      </w:tr>
      <w:tr w:rsidR="00196548" w:rsidRPr="00154588" w14:paraId="6EB3F0E6" w14:textId="77777777" w:rsidTr="00196548">
        <w:trPr>
          <w:trHeight w:val="266"/>
          <w:jc w:val="center"/>
        </w:trPr>
        <w:tc>
          <w:tcPr>
            <w:tcW w:w="988" w:type="dxa"/>
          </w:tcPr>
          <w:p w14:paraId="6950ECDE" w14:textId="60BB66C6" w:rsidR="00196548" w:rsidRPr="00154588" w:rsidRDefault="00196548" w:rsidP="008C12B4">
            <w:pPr>
              <w:jc w:val="center"/>
              <w:rPr>
                <w:b/>
                <w:sz w:val="24"/>
                <w:szCs w:val="24"/>
              </w:rPr>
            </w:pPr>
            <w:r w:rsidRPr="00154588">
              <w:rPr>
                <w:b/>
                <w:sz w:val="24"/>
                <w:szCs w:val="24"/>
              </w:rPr>
              <w:t>6</w:t>
            </w:r>
          </w:p>
        </w:tc>
        <w:tc>
          <w:tcPr>
            <w:tcW w:w="14458" w:type="dxa"/>
            <w:gridSpan w:val="4"/>
            <w:vAlign w:val="center"/>
          </w:tcPr>
          <w:p w14:paraId="405A9932" w14:textId="58C31C47" w:rsidR="00196548" w:rsidRPr="00154588" w:rsidRDefault="00196548" w:rsidP="008C12B4">
            <w:pPr>
              <w:rPr>
                <w:b/>
                <w:sz w:val="24"/>
                <w:szCs w:val="24"/>
              </w:rPr>
            </w:pPr>
            <w:r w:rsidRPr="00154588">
              <w:rPr>
                <w:b/>
                <w:bCs/>
                <w:sz w:val="24"/>
                <w:szCs w:val="24"/>
              </w:rPr>
              <w:t>Traducere verificată de BIE</w:t>
            </w:r>
          </w:p>
        </w:tc>
      </w:tr>
      <w:tr w:rsidR="00D15C1B" w:rsidRPr="00154588" w14:paraId="43A3EFA5" w14:textId="77777777" w:rsidTr="00742527">
        <w:trPr>
          <w:trHeight w:val="583"/>
          <w:jc w:val="center"/>
        </w:trPr>
        <w:tc>
          <w:tcPr>
            <w:tcW w:w="4957" w:type="dxa"/>
            <w:gridSpan w:val="2"/>
            <w:vAlign w:val="center"/>
          </w:tcPr>
          <w:p w14:paraId="6C11D5F3" w14:textId="77777777" w:rsidR="00D15C1B" w:rsidRPr="00154588" w:rsidRDefault="00D15C1B" w:rsidP="008C12B4">
            <w:pPr>
              <w:jc w:val="center"/>
              <w:rPr>
                <w:b/>
                <w:sz w:val="24"/>
                <w:szCs w:val="24"/>
              </w:rPr>
            </w:pPr>
            <w:r w:rsidRPr="00154588">
              <w:rPr>
                <w:b/>
                <w:sz w:val="24"/>
                <w:szCs w:val="24"/>
              </w:rPr>
              <w:t>Actul UE</w:t>
            </w:r>
            <w:r w:rsidRPr="00154588">
              <w:rPr>
                <w:sz w:val="24"/>
                <w:szCs w:val="24"/>
              </w:rPr>
              <w:t xml:space="preserve"> </w:t>
            </w:r>
            <w:r w:rsidRPr="00154588">
              <w:rPr>
                <w:b/>
                <w:sz w:val="24"/>
                <w:szCs w:val="24"/>
              </w:rPr>
              <w:t>în limba română</w:t>
            </w:r>
          </w:p>
          <w:p w14:paraId="39ECA930" w14:textId="77777777" w:rsidR="00D15C1B" w:rsidRPr="00154588" w:rsidRDefault="00D15C1B" w:rsidP="008C12B4">
            <w:pPr>
              <w:jc w:val="center"/>
              <w:rPr>
                <w:bCs/>
                <w:sz w:val="24"/>
                <w:szCs w:val="24"/>
              </w:rPr>
            </w:pPr>
          </w:p>
        </w:tc>
        <w:tc>
          <w:tcPr>
            <w:tcW w:w="4819" w:type="dxa"/>
            <w:vAlign w:val="center"/>
          </w:tcPr>
          <w:p w14:paraId="5DD989F8" w14:textId="0AD2B593" w:rsidR="00D15C1B" w:rsidRPr="00154588" w:rsidRDefault="00D15C1B" w:rsidP="008C12B4">
            <w:pPr>
              <w:jc w:val="center"/>
              <w:rPr>
                <w:b/>
                <w:sz w:val="24"/>
                <w:szCs w:val="24"/>
              </w:rPr>
            </w:pPr>
            <w:r w:rsidRPr="00154588">
              <w:rPr>
                <w:b/>
                <w:sz w:val="24"/>
                <w:szCs w:val="24"/>
              </w:rPr>
              <w:t>Actul/actele normativ/e național/e</w:t>
            </w:r>
          </w:p>
          <w:p w14:paraId="359FC514" w14:textId="55AD28D3" w:rsidR="00D15C1B" w:rsidRPr="00154588" w:rsidRDefault="00D15C1B" w:rsidP="008C12B4">
            <w:pPr>
              <w:jc w:val="center"/>
              <w:rPr>
                <w:b/>
                <w:sz w:val="24"/>
                <w:szCs w:val="24"/>
              </w:rPr>
            </w:pPr>
            <w:r w:rsidRPr="00154588">
              <w:rPr>
                <w:b/>
                <w:sz w:val="24"/>
                <w:szCs w:val="24"/>
              </w:rPr>
              <w:t>în limba română</w:t>
            </w:r>
          </w:p>
        </w:tc>
        <w:tc>
          <w:tcPr>
            <w:tcW w:w="2552" w:type="dxa"/>
            <w:vAlign w:val="center"/>
          </w:tcPr>
          <w:p w14:paraId="51FFD598" w14:textId="3A7B139C" w:rsidR="00D15C1B" w:rsidRPr="00154588" w:rsidRDefault="00D15C1B" w:rsidP="008C12B4">
            <w:pPr>
              <w:jc w:val="center"/>
              <w:rPr>
                <w:b/>
                <w:sz w:val="24"/>
                <w:szCs w:val="24"/>
              </w:rPr>
            </w:pPr>
            <w:r w:rsidRPr="00154588">
              <w:rPr>
                <w:b/>
                <w:sz w:val="24"/>
                <w:szCs w:val="24"/>
              </w:rPr>
              <w:t>Gradul de compatibilitate</w:t>
            </w:r>
          </w:p>
        </w:tc>
        <w:tc>
          <w:tcPr>
            <w:tcW w:w="3118" w:type="dxa"/>
            <w:vAlign w:val="center"/>
          </w:tcPr>
          <w:p w14:paraId="5EB20FC5" w14:textId="1EAC1F57" w:rsidR="00D15C1B" w:rsidRPr="00154588" w:rsidRDefault="00D15C1B" w:rsidP="008C12B4">
            <w:pPr>
              <w:jc w:val="center"/>
              <w:rPr>
                <w:b/>
                <w:sz w:val="24"/>
                <w:szCs w:val="24"/>
              </w:rPr>
            </w:pPr>
            <w:r w:rsidRPr="00154588">
              <w:rPr>
                <w:b/>
                <w:sz w:val="24"/>
                <w:szCs w:val="24"/>
              </w:rPr>
              <w:t>Observațiile Republicii Moldova</w:t>
            </w:r>
          </w:p>
        </w:tc>
      </w:tr>
      <w:tr w:rsidR="00D15C1B" w:rsidRPr="00154588" w14:paraId="063A038C" w14:textId="77777777" w:rsidTr="00D15C1B">
        <w:trPr>
          <w:jc w:val="center"/>
        </w:trPr>
        <w:tc>
          <w:tcPr>
            <w:tcW w:w="4957" w:type="dxa"/>
            <w:gridSpan w:val="2"/>
          </w:tcPr>
          <w:p w14:paraId="0A0E7371" w14:textId="2531AA79" w:rsidR="00D15C1B" w:rsidRPr="00154588" w:rsidRDefault="00D15C1B" w:rsidP="008C12B4">
            <w:pPr>
              <w:jc w:val="center"/>
              <w:rPr>
                <w:b/>
                <w:sz w:val="20"/>
                <w:szCs w:val="20"/>
              </w:rPr>
            </w:pPr>
            <w:r w:rsidRPr="00154588">
              <w:rPr>
                <w:b/>
                <w:sz w:val="20"/>
                <w:szCs w:val="20"/>
              </w:rPr>
              <w:t>7</w:t>
            </w:r>
          </w:p>
        </w:tc>
        <w:tc>
          <w:tcPr>
            <w:tcW w:w="4819" w:type="dxa"/>
          </w:tcPr>
          <w:p w14:paraId="37FF53EA" w14:textId="405AAD5F" w:rsidR="00D15C1B" w:rsidRPr="00154588" w:rsidRDefault="00D15C1B" w:rsidP="008C12B4">
            <w:pPr>
              <w:jc w:val="center"/>
              <w:rPr>
                <w:b/>
                <w:sz w:val="20"/>
                <w:szCs w:val="20"/>
              </w:rPr>
            </w:pPr>
            <w:r w:rsidRPr="00154588">
              <w:rPr>
                <w:b/>
                <w:sz w:val="20"/>
                <w:szCs w:val="20"/>
              </w:rPr>
              <w:t>9</w:t>
            </w:r>
          </w:p>
        </w:tc>
        <w:tc>
          <w:tcPr>
            <w:tcW w:w="2552" w:type="dxa"/>
          </w:tcPr>
          <w:p w14:paraId="7BFF6FC9" w14:textId="3A8AFE97" w:rsidR="00D15C1B" w:rsidRPr="00154588" w:rsidRDefault="00D15C1B" w:rsidP="008C12B4">
            <w:pPr>
              <w:jc w:val="center"/>
              <w:rPr>
                <w:b/>
                <w:sz w:val="20"/>
                <w:szCs w:val="20"/>
              </w:rPr>
            </w:pPr>
            <w:r w:rsidRPr="00154588">
              <w:rPr>
                <w:b/>
                <w:sz w:val="20"/>
                <w:szCs w:val="20"/>
              </w:rPr>
              <w:t>11</w:t>
            </w:r>
          </w:p>
        </w:tc>
        <w:tc>
          <w:tcPr>
            <w:tcW w:w="3118" w:type="dxa"/>
          </w:tcPr>
          <w:p w14:paraId="117079A5" w14:textId="4ED1A0BC" w:rsidR="00D15C1B" w:rsidRPr="00154588" w:rsidRDefault="00D15C1B" w:rsidP="008C12B4">
            <w:pPr>
              <w:jc w:val="center"/>
              <w:rPr>
                <w:b/>
                <w:sz w:val="20"/>
                <w:szCs w:val="20"/>
              </w:rPr>
            </w:pPr>
            <w:r w:rsidRPr="00154588">
              <w:rPr>
                <w:b/>
                <w:sz w:val="20"/>
                <w:szCs w:val="20"/>
              </w:rPr>
              <w:t>12</w:t>
            </w:r>
          </w:p>
        </w:tc>
      </w:tr>
      <w:tr w:rsidR="00D15C1B" w:rsidRPr="00154588" w14:paraId="6A572E36" w14:textId="77777777" w:rsidTr="00D15C1B">
        <w:trPr>
          <w:jc w:val="center"/>
        </w:trPr>
        <w:tc>
          <w:tcPr>
            <w:tcW w:w="4957" w:type="dxa"/>
            <w:gridSpan w:val="2"/>
          </w:tcPr>
          <w:p w14:paraId="4B817E81" w14:textId="41DEF3BA" w:rsidR="00D15C1B" w:rsidRPr="00154588" w:rsidRDefault="00D15C1B" w:rsidP="008C12B4">
            <w:pPr>
              <w:jc w:val="center"/>
              <w:rPr>
                <w:b/>
                <w:sz w:val="20"/>
                <w:szCs w:val="20"/>
              </w:rPr>
            </w:pPr>
            <w:r w:rsidRPr="00154588">
              <w:rPr>
                <w:b/>
                <w:sz w:val="20"/>
                <w:szCs w:val="20"/>
              </w:rPr>
              <w:t>TITLUL I</w:t>
            </w:r>
          </w:p>
          <w:p w14:paraId="661EA5DB" w14:textId="77777777" w:rsidR="00D15C1B" w:rsidRPr="00154588" w:rsidRDefault="00D15C1B" w:rsidP="008C12B4">
            <w:pPr>
              <w:jc w:val="center"/>
              <w:rPr>
                <w:b/>
                <w:sz w:val="20"/>
                <w:szCs w:val="20"/>
              </w:rPr>
            </w:pPr>
          </w:p>
          <w:p w14:paraId="16194666" w14:textId="18ECB251" w:rsidR="00D15C1B" w:rsidRPr="00154588" w:rsidRDefault="00D15C1B" w:rsidP="008C12B4">
            <w:pPr>
              <w:jc w:val="both"/>
              <w:rPr>
                <w:bCs/>
                <w:sz w:val="20"/>
                <w:szCs w:val="20"/>
              </w:rPr>
            </w:pPr>
            <w:r w:rsidRPr="00154588">
              <w:rPr>
                <w:b/>
                <w:sz w:val="20"/>
                <w:szCs w:val="20"/>
              </w:rPr>
              <w:t>DOMENIU DE APLICARE, DEFINIŢII ȘI AUTORITĂŢI</w:t>
            </w:r>
          </w:p>
        </w:tc>
        <w:tc>
          <w:tcPr>
            <w:tcW w:w="4819" w:type="dxa"/>
          </w:tcPr>
          <w:p w14:paraId="795C9563" w14:textId="77777777" w:rsidR="00731967" w:rsidRPr="00154588" w:rsidRDefault="00731967" w:rsidP="008C12B4">
            <w:pPr>
              <w:jc w:val="center"/>
              <w:rPr>
                <w:b/>
                <w:sz w:val="20"/>
                <w:szCs w:val="20"/>
              </w:rPr>
            </w:pPr>
            <w:r w:rsidRPr="00154588">
              <w:rPr>
                <w:b/>
                <w:sz w:val="20"/>
                <w:szCs w:val="20"/>
              </w:rPr>
              <w:t>TITLUL I</w:t>
            </w:r>
          </w:p>
          <w:p w14:paraId="581FD63E" w14:textId="6FDBE688" w:rsidR="00D15C1B" w:rsidRPr="00154588" w:rsidRDefault="00731967" w:rsidP="008C12B4">
            <w:pPr>
              <w:jc w:val="center"/>
              <w:rPr>
                <w:bCs/>
                <w:sz w:val="20"/>
                <w:szCs w:val="20"/>
              </w:rPr>
            </w:pPr>
            <w:r w:rsidRPr="00154588">
              <w:rPr>
                <w:b/>
                <w:sz w:val="20"/>
                <w:szCs w:val="20"/>
              </w:rPr>
              <w:t>DISPOZIŢII GENERALE</w:t>
            </w:r>
          </w:p>
        </w:tc>
        <w:tc>
          <w:tcPr>
            <w:tcW w:w="2552" w:type="dxa"/>
          </w:tcPr>
          <w:p w14:paraId="1738BE6F" w14:textId="77777777" w:rsidR="00D15C1B" w:rsidRPr="00154588" w:rsidRDefault="00D15C1B" w:rsidP="008C12B4">
            <w:pPr>
              <w:jc w:val="both"/>
              <w:rPr>
                <w:bCs/>
                <w:sz w:val="20"/>
                <w:szCs w:val="20"/>
              </w:rPr>
            </w:pPr>
          </w:p>
        </w:tc>
        <w:tc>
          <w:tcPr>
            <w:tcW w:w="3118" w:type="dxa"/>
          </w:tcPr>
          <w:p w14:paraId="76EE6D68" w14:textId="77777777" w:rsidR="00D15C1B" w:rsidRPr="00154588" w:rsidRDefault="00D15C1B" w:rsidP="008C12B4">
            <w:pPr>
              <w:jc w:val="both"/>
              <w:rPr>
                <w:bCs/>
                <w:sz w:val="20"/>
                <w:szCs w:val="20"/>
              </w:rPr>
            </w:pPr>
          </w:p>
        </w:tc>
      </w:tr>
      <w:tr w:rsidR="00D15C1B" w:rsidRPr="00154588" w14:paraId="3958AAC8" w14:textId="77777777" w:rsidTr="00D15C1B">
        <w:trPr>
          <w:jc w:val="center"/>
        </w:trPr>
        <w:tc>
          <w:tcPr>
            <w:tcW w:w="4957" w:type="dxa"/>
            <w:gridSpan w:val="2"/>
          </w:tcPr>
          <w:p w14:paraId="36E6DB33" w14:textId="77777777" w:rsidR="00D15C1B" w:rsidRPr="00154588" w:rsidRDefault="00D15C1B" w:rsidP="008C12B4">
            <w:pPr>
              <w:jc w:val="both"/>
              <w:rPr>
                <w:b/>
                <w:sz w:val="20"/>
                <w:szCs w:val="20"/>
              </w:rPr>
            </w:pPr>
            <w:r w:rsidRPr="00154588">
              <w:rPr>
                <w:b/>
                <w:sz w:val="20"/>
                <w:szCs w:val="20"/>
              </w:rPr>
              <w:t xml:space="preserve">Articolul 1 </w:t>
            </w:r>
          </w:p>
          <w:p w14:paraId="1E54F6EA" w14:textId="05D59413" w:rsidR="00D15C1B" w:rsidRPr="00154588" w:rsidRDefault="00D15C1B" w:rsidP="008C12B4">
            <w:pPr>
              <w:jc w:val="both"/>
              <w:rPr>
                <w:b/>
                <w:sz w:val="20"/>
                <w:szCs w:val="20"/>
              </w:rPr>
            </w:pPr>
            <w:r w:rsidRPr="00154588">
              <w:rPr>
                <w:b/>
                <w:sz w:val="20"/>
                <w:szCs w:val="20"/>
              </w:rPr>
              <w:t>Obiect și domeniu de aplicare</w:t>
            </w:r>
          </w:p>
        </w:tc>
        <w:tc>
          <w:tcPr>
            <w:tcW w:w="4819" w:type="dxa"/>
          </w:tcPr>
          <w:p w14:paraId="2BDE276E" w14:textId="5E417AB8" w:rsidR="00D15C1B" w:rsidRPr="00154588" w:rsidRDefault="00731967" w:rsidP="008C12B4">
            <w:pPr>
              <w:jc w:val="center"/>
              <w:rPr>
                <w:bCs/>
                <w:sz w:val="20"/>
                <w:szCs w:val="20"/>
              </w:rPr>
            </w:pPr>
            <w:r w:rsidRPr="00154588">
              <w:rPr>
                <w:rFonts w:eastAsia="Calibri"/>
                <w:b/>
                <w:sz w:val="20"/>
                <w:szCs w:val="20"/>
              </w:rPr>
              <w:t>Articolul 1.</w:t>
            </w:r>
          </w:p>
        </w:tc>
        <w:tc>
          <w:tcPr>
            <w:tcW w:w="2552" w:type="dxa"/>
          </w:tcPr>
          <w:p w14:paraId="593691D9" w14:textId="77777777" w:rsidR="00D15C1B" w:rsidRPr="00154588" w:rsidRDefault="00D15C1B" w:rsidP="008C12B4">
            <w:pPr>
              <w:jc w:val="both"/>
              <w:rPr>
                <w:bCs/>
                <w:sz w:val="20"/>
                <w:szCs w:val="20"/>
              </w:rPr>
            </w:pPr>
          </w:p>
        </w:tc>
        <w:tc>
          <w:tcPr>
            <w:tcW w:w="3118" w:type="dxa"/>
          </w:tcPr>
          <w:p w14:paraId="1D860A66" w14:textId="77777777" w:rsidR="00D15C1B" w:rsidRPr="00154588" w:rsidRDefault="00D15C1B" w:rsidP="008C12B4">
            <w:pPr>
              <w:jc w:val="both"/>
              <w:rPr>
                <w:bCs/>
                <w:sz w:val="20"/>
                <w:szCs w:val="20"/>
              </w:rPr>
            </w:pPr>
          </w:p>
        </w:tc>
      </w:tr>
      <w:tr w:rsidR="0094082B" w:rsidRPr="00154588" w14:paraId="7D7469D0" w14:textId="77777777" w:rsidTr="00D15C1B">
        <w:trPr>
          <w:jc w:val="center"/>
        </w:trPr>
        <w:tc>
          <w:tcPr>
            <w:tcW w:w="4957" w:type="dxa"/>
            <w:gridSpan w:val="2"/>
          </w:tcPr>
          <w:p w14:paraId="760C4825" w14:textId="77777777" w:rsidR="0094082B" w:rsidRPr="00154588" w:rsidRDefault="0094082B" w:rsidP="008C12B4">
            <w:pPr>
              <w:jc w:val="both"/>
              <w:rPr>
                <w:bCs/>
                <w:sz w:val="20"/>
                <w:szCs w:val="20"/>
              </w:rPr>
            </w:pPr>
            <w:r w:rsidRPr="00154588">
              <w:rPr>
                <w:bCs/>
                <w:sz w:val="20"/>
                <w:szCs w:val="20"/>
              </w:rPr>
              <w:t>(1) Prezenta directivă stabilește normele și procedurile de redresare și de rezoluţie pentru următoarele entităţi:</w:t>
            </w:r>
          </w:p>
          <w:p w14:paraId="3ED7D2F7" w14:textId="77777777" w:rsidR="0094082B" w:rsidRPr="00154588" w:rsidRDefault="0094082B" w:rsidP="008C12B4">
            <w:pPr>
              <w:jc w:val="both"/>
              <w:rPr>
                <w:bCs/>
                <w:sz w:val="20"/>
                <w:szCs w:val="20"/>
              </w:rPr>
            </w:pPr>
          </w:p>
          <w:p w14:paraId="5038AFBF" w14:textId="77777777" w:rsidR="0094082B" w:rsidRPr="00154588" w:rsidRDefault="0094082B" w:rsidP="008C12B4">
            <w:pPr>
              <w:jc w:val="both"/>
              <w:rPr>
                <w:bCs/>
                <w:sz w:val="20"/>
                <w:szCs w:val="20"/>
              </w:rPr>
            </w:pPr>
            <w:r w:rsidRPr="00154588">
              <w:rPr>
                <w:bCs/>
                <w:sz w:val="20"/>
                <w:szCs w:val="20"/>
              </w:rPr>
              <w:t>(a) instituţii stabilite în Uniune;</w:t>
            </w:r>
          </w:p>
          <w:p w14:paraId="29BB196A" w14:textId="77777777" w:rsidR="0094082B" w:rsidRPr="00154588" w:rsidRDefault="0094082B" w:rsidP="008C12B4">
            <w:pPr>
              <w:jc w:val="both"/>
              <w:rPr>
                <w:bCs/>
                <w:sz w:val="20"/>
                <w:szCs w:val="20"/>
              </w:rPr>
            </w:pPr>
          </w:p>
          <w:p w14:paraId="3E18E2E2" w14:textId="77777777" w:rsidR="0094082B" w:rsidRPr="00154588" w:rsidRDefault="0094082B" w:rsidP="008C12B4">
            <w:pPr>
              <w:jc w:val="both"/>
              <w:rPr>
                <w:bCs/>
                <w:sz w:val="20"/>
                <w:szCs w:val="20"/>
              </w:rPr>
            </w:pPr>
          </w:p>
          <w:p w14:paraId="09CAC7FC" w14:textId="77777777" w:rsidR="0094082B" w:rsidRPr="00154588" w:rsidRDefault="0094082B" w:rsidP="008C12B4">
            <w:pPr>
              <w:jc w:val="both"/>
              <w:rPr>
                <w:bCs/>
                <w:sz w:val="20"/>
                <w:szCs w:val="20"/>
              </w:rPr>
            </w:pPr>
            <w:r w:rsidRPr="00154588">
              <w:rPr>
                <w:bCs/>
                <w:sz w:val="20"/>
                <w:szCs w:val="20"/>
              </w:rPr>
              <w:t xml:space="preserve">(b) instituţiile financiare stabilite în Uniune, care sunt filiale ale unei instituţii de credit, ale unei firme de investiţii ori ale uneia dintre societăţile menţionate la litera (c) sau (d) și care fac obiectul supravegherii consolidate a întreprinderii-mamă în conformitate cu articolele 6-17 din Regulamentul (UE) nr. 575/2013; </w:t>
            </w:r>
          </w:p>
          <w:p w14:paraId="2A604916" w14:textId="77777777" w:rsidR="0094082B" w:rsidRPr="00154588" w:rsidRDefault="0094082B" w:rsidP="008C12B4">
            <w:pPr>
              <w:jc w:val="both"/>
              <w:rPr>
                <w:bCs/>
                <w:sz w:val="20"/>
                <w:szCs w:val="20"/>
              </w:rPr>
            </w:pPr>
          </w:p>
          <w:p w14:paraId="1AABFB46" w14:textId="77777777" w:rsidR="0094082B" w:rsidRPr="00154588" w:rsidRDefault="0094082B" w:rsidP="008C12B4">
            <w:pPr>
              <w:jc w:val="both"/>
              <w:rPr>
                <w:bCs/>
                <w:sz w:val="20"/>
                <w:szCs w:val="20"/>
              </w:rPr>
            </w:pPr>
          </w:p>
          <w:p w14:paraId="4366C52B" w14:textId="77777777" w:rsidR="0094082B" w:rsidRPr="00154588" w:rsidRDefault="0094082B" w:rsidP="008C12B4">
            <w:pPr>
              <w:jc w:val="both"/>
              <w:rPr>
                <w:bCs/>
                <w:sz w:val="20"/>
                <w:szCs w:val="20"/>
              </w:rPr>
            </w:pPr>
            <w:r w:rsidRPr="00154588">
              <w:rPr>
                <w:bCs/>
                <w:sz w:val="20"/>
                <w:szCs w:val="20"/>
              </w:rPr>
              <w:t xml:space="preserve">(c)holdingurile financiare, holdingurile financiare mixte și holdingurile cu activitate mixtă stabilite în Uniune; </w:t>
            </w:r>
          </w:p>
          <w:p w14:paraId="146EBDCC" w14:textId="77777777" w:rsidR="0094082B" w:rsidRPr="00154588" w:rsidRDefault="0094082B" w:rsidP="008C12B4">
            <w:pPr>
              <w:jc w:val="both"/>
              <w:rPr>
                <w:bCs/>
                <w:sz w:val="20"/>
                <w:szCs w:val="20"/>
              </w:rPr>
            </w:pPr>
          </w:p>
          <w:p w14:paraId="380D25B7" w14:textId="77777777" w:rsidR="0094082B" w:rsidRPr="00154588" w:rsidRDefault="0094082B" w:rsidP="008C12B4">
            <w:pPr>
              <w:jc w:val="both"/>
              <w:rPr>
                <w:bCs/>
                <w:sz w:val="20"/>
                <w:szCs w:val="20"/>
              </w:rPr>
            </w:pPr>
          </w:p>
          <w:p w14:paraId="4112C0E1" w14:textId="77777777" w:rsidR="0094082B" w:rsidRPr="00154588" w:rsidRDefault="0094082B" w:rsidP="008C12B4">
            <w:pPr>
              <w:jc w:val="both"/>
              <w:rPr>
                <w:bCs/>
                <w:sz w:val="20"/>
                <w:szCs w:val="20"/>
              </w:rPr>
            </w:pPr>
          </w:p>
          <w:p w14:paraId="58A6EC6B" w14:textId="77777777" w:rsidR="0094082B" w:rsidRPr="00154588" w:rsidRDefault="0094082B" w:rsidP="008C12B4">
            <w:pPr>
              <w:jc w:val="both"/>
              <w:rPr>
                <w:bCs/>
                <w:sz w:val="20"/>
                <w:szCs w:val="20"/>
              </w:rPr>
            </w:pPr>
            <w:r w:rsidRPr="00154588">
              <w:rPr>
                <w:bCs/>
                <w:sz w:val="20"/>
                <w:szCs w:val="20"/>
              </w:rPr>
              <w:t xml:space="preserve">(d)holdingurile financiare-mamă dintr-un stat membru, holdingurile financiare-mamă din Uniune, holdingurile </w:t>
            </w:r>
            <w:r w:rsidRPr="00154588">
              <w:rPr>
                <w:bCs/>
                <w:sz w:val="20"/>
                <w:szCs w:val="20"/>
              </w:rPr>
              <w:lastRenderedPageBreak/>
              <w:t xml:space="preserve">financiare mixte-mamă dintr-un stat membru, holdingurile financiare mixte-mamă din Uniune; </w:t>
            </w:r>
          </w:p>
          <w:p w14:paraId="56F0CB03" w14:textId="77777777" w:rsidR="0094082B" w:rsidRPr="00154588" w:rsidRDefault="0094082B" w:rsidP="008C12B4">
            <w:pPr>
              <w:jc w:val="both"/>
              <w:rPr>
                <w:bCs/>
                <w:sz w:val="20"/>
                <w:szCs w:val="20"/>
              </w:rPr>
            </w:pPr>
          </w:p>
          <w:p w14:paraId="16C8B0FF" w14:textId="77777777" w:rsidR="0094082B" w:rsidRPr="00154588" w:rsidRDefault="0094082B" w:rsidP="008C12B4">
            <w:pPr>
              <w:jc w:val="both"/>
              <w:rPr>
                <w:bCs/>
                <w:sz w:val="20"/>
                <w:szCs w:val="20"/>
              </w:rPr>
            </w:pPr>
            <w:r w:rsidRPr="00154588">
              <w:rPr>
                <w:bCs/>
                <w:sz w:val="20"/>
                <w:szCs w:val="20"/>
              </w:rPr>
              <w:t xml:space="preserve">(e)sucursalele instituţiilor stabilite sau situate în afara Uniunii, conform condiţiilor specifice stipulate în prezenta directivă. </w:t>
            </w:r>
          </w:p>
          <w:p w14:paraId="2C3ADE3C" w14:textId="77777777" w:rsidR="0094082B" w:rsidRPr="00154588" w:rsidRDefault="0094082B" w:rsidP="008C12B4">
            <w:pPr>
              <w:jc w:val="both"/>
              <w:rPr>
                <w:bCs/>
                <w:sz w:val="20"/>
                <w:szCs w:val="20"/>
              </w:rPr>
            </w:pPr>
          </w:p>
          <w:p w14:paraId="0A7380AA" w14:textId="696C7518" w:rsidR="0094082B" w:rsidRPr="00154588" w:rsidRDefault="0094082B" w:rsidP="008C12B4">
            <w:pPr>
              <w:jc w:val="both"/>
              <w:rPr>
                <w:b/>
                <w:sz w:val="20"/>
                <w:szCs w:val="20"/>
              </w:rPr>
            </w:pPr>
            <w:r w:rsidRPr="00154588">
              <w:rPr>
                <w:bCs/>
                <w:sz w:val="20"/>
                <w:szCs w:val="20"/>
              </w:rPr>
              <w:t>În stabilirea și aplicarea cerinţelor prezentei directive și în utilizarea diferitelor instrumente de care dispun relativ la una dintre entităţile prevăzute la primul paragraf, și în conformitate cu dispoziţii specifice aplicabile, autorităţile de rezoluţie și autorităţile competente ţin cont de tipul de activitate, structura acţionariatului, forma juridică, profilul de risc, dimensiunea, statutul juridic și gradul de interconectare al unei instituţii cu alte instituţii sau cu sistemul financiar în general, domeniul de aplicare și complexitatea activităţii economice, calitatea de membru al unui sistem instituţional de protecţie (SIP) ce respectă cerinţele prevăzute la articolul 113 alineatul (7) din Regulamentul (UE) nr. 575/2013 sau al altor sisteme de solidaritate reciprocă prevăzute la articolul 113 alineatul (6) din respectivul regulament, precum și măsura în care exercită servicii sau activităţi de investiţii astfel sunt definite la articolul 4 alineatul (1) punctul 2 din Directiva 2014/65/UE.</w:t>
            </w:r>
          </w:p>
        </w:tc>
        <w:tc>
          <w:tcPr>
            <w:tcW w:w="4819" w:type="dxa"/>
            <w:vMerge w:val="restart"/>
          </w:tcPr>
          <w:p w14:paraId="4B444FF9" w14:textId="18C42518" w:rsidR="0094082B" w:rsidRPr="00154588" w:rsidRDefault="0094082B" w:rsidP="008C12B4">
            <w:pPr>
              <w:jc w:val="both"/>
              <w:rPr>
                <w:rFonts w:eastAsia="Calibri"/>
                <w:sz w:val="20"/>
                <w:szCs w:val="20"/>
              </w:rPr>
            </w:pPr>
            <w:r w:rsidRPr="00154588">
              <w:rPr>
                <w:rFonts w:eastAsia="Calibri"/>
                <w:sz w:val="20"/>
                <w:szCs w:val="20"/>
              </w:rPr>
              <w:lastRenderedPageBreak/>
              <w:t>(1) Prezenta lege stabileşte reguli şi proceduri privind redresarea şi rezoluţia următoarelor categorii de entități:</w:t>
            </w:r>
          </w:p>
          <w:p w14:paraId="16BCEA56" w14:textId="77777777" w:rsidR="0094082B" w:rsidRPr="00154588" w:rsidRDefault="0094082B" w:rsidP="008C12B4">
            <w:pPr>
              <w:ind w:firstLine="567"/>
              <w:jc w:val="both"/>
              <w:rPr>
                <w:rFonts w:eastAsia="Calibri"/>
                <w:kern w:val="2"/>
                <w:sz w:val="20"/>
                <w:szCs w:val="20"/>
                <w14:ligatures w14:val="standardContextual"/>
              </w:rPr>
            </w:pPr>
            <w:r w:rsidRPr="00154588">
              <w:rPr>
                <w:rFonts w:eastAsia="Calibri"/>
                <w:sz w:val="20"/>
                <w:szCs w:val="20"/>
              </w:rPr>
              <w:t>a) instituții de credit și firme de investiții, persoane juridice din Republica Moldova;</w:t>
            </w:r>
          </w:p>
          <w:p w14:paraId="6876A7C7" w14:textId="70958B7F" w:rsidR="0094082B" w:rsidRPr="00154588" w:rsidRDefault="0094082B" w:rsidP="008C12B4">
            <w:pPr>
              <w:ind w:firstLine="567"/>
              <w:jc w:val="both"/>
              <w:rPr>
                <w:rFonts w:eastAsia="Calibri"/>
                <w:kern w:val="2"/>
                <w:sz w:val="20"/>
                <w:szCs w:val="20"/>
                <w14:ligatures w14:val="standardContextual"/>
              </w:rPr>
            </w:pPr>
            <w:r w:rsidRPr="00154588">
              <w:rPr>
                <w:rFonts w:eastAsia="Calibri"/>
                <w:sz w:val="20"/>
                <w:szCs w:val="20"/>
              </w:rPr>
              <w:t>b) instituții financiare, persoane juridice din Republica Moldova, care sunt filiale ale unei instituții de credit, ale unei firme de investiții ori ale uneia dintre societățile de tipul celor menționate la lit. c) sau d), persoane juridice din Republica Moldova sau dintr-un alt stat membru al Uniunii Europene și care sunt acoperite de supravegherea la nivel consolidat a întreprinderii-mamă, persoană juridică din Republica Moldova sau dintr-un alt stat membru al Uniunii Europene în conformitate cu cerințele prevăzute în actele normative ale Băncii Naționale a Moldovei;</w:t>
            </w:r>
          </w:p>
          <w:p w14:paraId="2B0F6286" w14:textId="77777777" w:rsidR="0094082B" w:rsidRPr="00154588" w:rsidRDefault="0094082B" w:rsidP="008C12B4">
            <w:pPr>
              <w:ind w:firstLine="567"/>
              <w:jc w:val="both"/>
              <w:rPr>
                <w:rFonts w:eastAsia="Calibri"/>
                <w:sz w:val="20"/>
                <w:szCs w:val="20"/>
              </w:rPr>
            </w:pPr>
            <w:r w:rsidRPr="00154588">
              <w:rPr>
                <w:rFonts w:eastAsia="Calibri"/>
                <w:sz w:val="20"/>
                <w:szCs w:val="20"/>
              </w:rPr>
              <w:t>c) societăți financiare holding, societăți financiare holding mixte și societăți holding cu activitate mixtă, persoane juridice din Republica Moldova;</w:t>
            </w:r>
          </w:p>
          <w:p w14:paraId="0843715F" w14:textId="77777777" w:rsidR="0094082B" w:rsidRPr="00154588" w:rsidRDefault="0094082B" w:rsidP="008C12B4">
            <w:pPr>
              <w:ind w:firstLine="567"/>
              <w:jc w:val="both"/>
              <w:rPr>
                <w:rFonts w:eastAsia="Calibri"/>
                <w:kern w:val="2"/>
                <w:sz w:val="20"/>
                <w:szCs w:val="20"/>
                <w14:ligatures w14:val="standardContextual"/>
              </w:rPr>
            </w:pPr>
            <w:r w:rsidRPr="00154588">
              <w:rPr>
                <w:rFonts w:eastAsia="Calibri"/>
                <w:sz w:val="20"/>
                <w:szCs w:val="20"/>
              </w:rPr>
              <w:t xml:space="preserve">d) societăți financiare holding-mamă din Republica Moldova, societăți financiare holding-mamă din Uniunea Europeană, societăți financiare holding </w:t>
            </w:r>
            <w:r w:rsidRPr="00154588">
              <w:rPr>
                <w:rFonts w:eastAsia="Calibri"/>
                <w:sz w:val="20"/>
                <w:szCs w:val="20"/>
              </w:rPr>
              <w:lastRenderedPageBreak/>
              <w:t>mixte-mamă din Republica Moldova, societăți financiare holding mixte-mamă din Uniunea Europeană;</w:t>
            </w:r>
          </w:p>
          <w:p w14:paraId="1E60EFF4" w14:textId="77777777" w:rsidR="0094082B" w:rsidRPr="00154588" w:rsidRDefault="0094082B" w:rsidP="008C12B4">
            <w:pPr>
              <w:ind w:firstLine="567"/>
              <w:jc w:val="both"/>
              <w:rPr>
                <w:rFonts w:eastAsia="Calibri"/>
                <w:sz w:val="20"/>
                <w:szCs w:val="20"/>
              </w:rPr>
            </w:pPr>
            <w:r w:rsidRPr="00154588">
              <w:rPr>
                <w:rFonts w:eastAsia="Calibri"/>
                <w:sz w:val="20"/>
                <w:szCs w:val="20"/>
              </w:rPr>
              <w:t>e) sucursale stabilite în Republica Moldova ale instituțiilor de credit și ale firmelor de investiții din state terţe.</w:t>
            </w:r>
            <w:r w:rsidRPr="00154588" w:rsidDel="00CB1098">
              <w:rPr>
                <w:rFonts w:eastAsia="Calibri"/>
                <w:sz w:val="20"/>
                <w:szCs w:val="20"/>
              </w:rPr>
              <w:t xml:space="preserve"> </w:t>
            </w:r>
          </w:p>
          <w:p w14:paraId="21A03409" w14:textId="77777777" w:rsidR="0094082B" w:rsidRPr="00154588" w:rsidRDefault="0094082B" w:rsidP="008C12B4">
            <w:pPr>
              <w:jc w:val="both"/>
              <w:rPr>
                <w:rFonts w:eastAsia="Calibri"/>
                <w:sz w:val="20"/>
                <w:szCs w:val="20"/>
              </w:rPr>
            </w:pPr>
          </w:p>
          <w:p w14:paraId="7ECE1A55" w14:textId="77777777" w:rsidR="0094082B" w:rsidRPr="00154588" w:rsidRDefault="0094082B" w:rsidP="008C12B4">
            <w:pPr>
              <w:jc w:val="both"/>
              <w:rPr>
                <w:rFonts w:eastAsia="Calibri"/>
                <w:sz w:val="20"/>
                <w:szCs w:val="20"/>
              </w:rPr>
            </w:pPr>
          </w:p>
          <w:p w14:paraId="07E21E17" w14:textId="0A40F957" w:rsidR="0094082B" w:rsidRPr="00154588" w:rsidRDefault="0094082B" w:rsidP="008C12B4">
            <w:pPr>
              <w:jc w:val="both"/>
              <w:rPr>
                <w:rFonts w:eastAsia="Calibri"/>
                <w:kern w:val="2"/>
                <w:sz w:val="20"/>
                <w:szCs w:val="20"/>
                <w14:ligatures w14:val="standardContextual"/>
              </w:rPr>
            </w:pPr>
            <w:r w:rsidRPr="00154588">
              <w:rPr>
                <w:rFonts w:eastAsia="Calibri"/>
                <w:sz w:val="20"/>
                <w:szCs w:val="20"/>
              </w:rPr>
              <w:t xml:space="preserve">(2) În exercitarea competenţelor </w:t>
            </w:r>
            <w:r w:rsidR="00030EDE" w:rsidRPr="00154588">
              <w:rPr>
                <w:rFonts w:eastAsia="Calibri"/>
                <w:sz w:val="20"/>
                <w:szCs w:val="20"/>
              </w:rPr>
              <w:t>prevăzute în</w:t>
            </w:r>
            <w:r w:rsidRPr="00154588">
              <w:rPr>
                <w:rFonts w:eastAsia="Calibri"/>
                <w:sz w:val="20"/>
                <w:szCs w:val="20"/>
              </w:rPr>
              <w:t xml:space="preserve"> prezenta lege în relaţie cu o entitate prevăzută la alin.(1), Banca Naţională a Moldovei și Comisia Națională a Pieței Financiare are în vedere natura activităţii desfăşurate, structura acţionariatului, forma juridică, profilul de risc, dimensiunea, statutul juridic şi gradul de interconectare al acesteia  cu alte instituții sau cu sistemul financiar în general, extinderea şi complexitatea activităţii acesteia, calitatea de membră a unui sistem instituțional de protecție (SIP) care îndeplinește cerințele prevăzute la art.129 alin.(1) lit.d) din Legea nr.202/2017 privind activitatea instituțiilor de credit (în continuare – Legea nr.202/2017) sau a altor sisteme de sprijin reciproc, precum şi măsura în care entitatea furnizează servicii sau activităţi de investiţii, astfel cum acestea sunt definite potrivit prevederilor legislaţiei privind piaţa de capital.</w:t>
            </w:r>
          </w:p>
          <w:p w14:paraId="1DC03DBD" w14:textId="77777777" w:rsidR="0094082B" w:rsidRPr="00154588" w:rsidRDefault="0094082B" w:rsidP="008C12B4">
            <w:pPr>
              <w:ind w:firstLine="567"/>
              <w:jc w:val="both"/>
              <w:rPr>
                <w:bCs/>
                <w:sz w:val="20"/>
                <w:szCs w:val="20"/>
              </w:rPr>
            </w:pPr>
          </w:p>
        </w:tc>
        <w:tc>
          <w:tcPr>
            <w:tcW w:w="2552" w:type="dxa"/>
            <w:vMerge w:val="restart"/>
          </w:tcPr>
          <w:p w14:paraId="5C407E9A" w14:textId="74FC1533" w:rsidR="0094082B" w:rsidRPr="00154588" w:rsidRDefault="0094082B" w:rsidP="008C12B4">
            <w:pPr>
              <w:jc w:val="both"/>
              <w:rPr>
                <w:bCs/>
                <w:sz w:val="20"/>
                <w:szCs w:val="20"/>
              </w:rPr>
            </w:pPr>
            <w:r w:rsidRPr="00154588">
              <w:rPr>
                <w:bCs/>
                <w:sz w:val="20"/>
                <w:szCs w:val="20"/>
              </w:rPr>
              <w:lastRenderedPageBreak/>
              <w:t>Compatibil</w:t>
            </w:r>
            <w:bookmarkStart w:id="0" w:name="_GoBack"/>
            <w:bookmarkEnd w:id="0"/>
          </w:p>
        </w:tc>
        <w:tc>
          <w:tcPr>
            <w:tcW w:w="3118" w:type="dxa"/>
            <w:vMerge w:val="restart"/>
          </w:tcPr>
          <w:p w14:paraId="3145B463" w14:textId="7356FF75" w:rsidR="0094082B" w:rsidRPr="00154588" w:rsidRDefault="0094082B" w:rsidP="008C12B4">
            <w:pPr>
              <w:jc w:val="both"/>
              <w:rPr>
                <w:bCs/>
                <w:sz w:val="20"/>
                <w:szCs w:val="20"/>
              </w:rPr>
            </w:pPr>
          </w:p>
        </w:tc>
      </w:tr>
      <w:tr w:rsidR="0094082B" w:rsidRPr="00154588" w14:paraId="0B500336" w14:textId="77777777" w:rsidTr="00D15C1B">
        <w:trPr>
          <w:jc w:val="center"/>
        </w:trPr>
        <w:tc>
          <w:tcPr>
            <w:tcW w:w="4957" w:type="dxa"/>
            <w:gridSpan w:val="2"/>
          </w:tcPr>
          <w:p w14:paraId="6DFF419C" w14:textId="177FF08B" w:rsidR="0094082B" w:rsidRPr="00154588" w:rsidRDefault="0094082B" w:rsidP="008C12B4">
            <w:pPr>
              <w:jc w:val="both"/>
              <w:rPr>
                <w:bCs/>
                <w:sz w:val="20"/>
                <w:szCs w:val="20"/>
              </w:rPr>
            </w:pPr>
            <w:r w:rsidRPr="00154588">
              <w:rPr>
                <w:bCs/>
                <w:sz w:val="20"/>
                <w:szCs w:val="20"/>
              </w:rPr>
              <w:t>(2) Statele membre pot adopta sau menţine dispoziţii care sunt mai stringente sau suplimentare faţă de cele din prezenta directivă și în actele delegate și de punere în aplicare adoptate pe baza prezentei directive, cu condiţia ca acestea să aibă o aplicabilitate generală și să nu contravină prezentei directive și actelor delegate și de punere în aplicare adoptate pe baza prezentei directive.</w:t>
            </w:r>
          </w:p>
        </w:tc>
        <w:tc>
          <w:tcPr>
            <w:tcW w:w="4819" w:type="dxa"/>
            <w:vMerge/>
          </w:tcPr>
          <w:p w14:paraId="285222A5" w14:textId="77777777" w:rsidR="0094082B" w:rsidRPr="00154588" w:rsidRDefault="0094082B" w:rsidP="008C12B4">
            <w:pPr>
              <w:jc w:val="both"/>
              <w:rPr>
                <w:bCs/>
                <w:sz w:val="20"/>
                <w:szCs w:val="20"/>
              </w:rPr>
            </w:pPr>
          </w:p>
        </w:tc>
        <w:tc>
          <w:tcPr>
            <w:tcW w:w="2552" w:type="dxa"/>
            <w:vMerge/>
          </w:tcPr>
          <w:p w14:paraId="32CCFF43" w14:textId="77777777" w:rsidR="0094082B" w:rsidRPr="00154588" w:rsidRDefault="0094082B" w:rsidP="008C12B4">
            <w:pPr>
              <w:jc w:val="both"/>
              <w:rPr>
                <w:bCs/>
                <w:sz w:val="20"/>
                <w:szCs w:val="20"/>
              </w:rPr>
            </w:pPr>
          </w:p>
        </w:tc>
        <w:tc>
          <w:tcPr>
            <w:tcW w:w="3118" w:type="dxa"/>
            <w:vMerge/>
          </w:tcPr>
          <w:p w14:paraId="7D698EAB" w14:textId="77777777" w:rsidR="0094082B" w:rsidRPr="00154588" w:rsidRDefault="0094082B" w:rsidP="008C12B4">
            <w:pPr>
              <w:jc w:val="both"/>
              <w:rPr>
                <w:bCs/>
                <w:sz w:val="20"/>
                <w:szCs w:val="20"/>
              </w:rPr>
            </w:pPr>
          </w:p>
        </w:tc>
      </w:tr>
      <w:tr w:rsidR="00D15C1B" w:rsidRPr="00154588" w14:paraId="02E75FCC" w14:textId="77777777" w:rsidTr="00D15C1B">
        <w:trPr>
          <w:jc w:val="center"/>
        </w:trPr>
        <w:tc>
          <w:tcPr>
            <w:tcW w:w="4957" w:type="dxa"/>
            <w:gridSpan w:val="2"/>
          </w:tcPr>
          <w:p w14:paraId="6BAFD92B" w14:textId="56F75648" w:rsidR="00D15C1B" w:rsidRPr="00154588" w:rsidRDefault="00D15C1B" w:rsidP="008C12B4">
            <w:pPr>
              <w:jc w:val="both"/>
              <w:rPr>
                <w:bCs/>
                <w:sz w:val="20"/>
                <w:szCs w:val="20"/>
              </w:rPr>
            </w:pPr>
            <w:r w:rsidRPr="00154588">
              <w:rPr>
                <w:bCs/>
                <w:sz w:val="20"/>
                <w:szCs w:val="20"/>
              </w:rPr>
              <w:t>(3) Prezenta directivă nu se aplică entităţilor care sunt de asemenea autorizate în conformitate cu articolul 14 din Regulamentul (UE) nr. 648/2012.</w:t>
            </w:r>
          </w:p>
        </w:tc>
        <w:tc>
          <w:tcPr>
            <w:tcW w:w="4819" w:type="dxa"/>
          </w:tcPr>
          <w:p w14:paraId="0CC74F32" w14:textId="77777777" w:rsidR="00731967" w:rsidRPr="00154588" w:rsidRDefault="00731967" w:rsidP="008C12B4">
            <w:pPr>
              <w:jc w:val="both"/>
              <w:rPr>
                <w:rFonts w:eastAsia="Calibri"/>
                <w:sz w:val="20"/>
                <w:szCs w:val="20"/>
              </w:rPr>
            </w:pPr>
            <w:r w:rsidRPr="00154588">
              <w:rPr>
                <w:rFonts w:eastAsia="Calibri"/>
                <w:sz w:val="20"/>
                <w:szCs w:val="20"/>
              </w:rPr>
              <w:t>(3) Prezenta lege nu se aplică entităților prestatoare de servicii de compensare în calitate de contraparte centrală.</w:t>
            </w:r>
          </w:p>
          <w:p w14:paraId="180463F6" w14:textId="77777777" w:rsidR="00D15C1B" w:rsidRPr="00154588" w:rsidRDefault="00D15C1B" w:rsidP="008C12B4">
            <w:pPr>
              <w:jc w:val="both"/>
              <w:rPr>
                <w:bCs/>
                <w:sz w:val="20"/>
                <w:szCs w:val="20"/>
              </w:rPr>
            </w:pPr>
          </w:p>
        </w:tc>
        <w:tc>
          <w:tcPr>
            <w:tcW w:w="2552" w:type="dxa"/>
          </w:tcPr>
          <w:p w14:paraId="4E844AB7" w14:textId="4F9DD42A" w:rsidR="00D15C1B" w:rsidRPr="00154588" w:rsidRDefault="00DC0812" w:rsidP="008C12B4">
            <w:pPr>
              <w:jc w:val="both"/>
              <w:rPr>
                <w:bCs/>
                <w:sz w:val="20"/>
                <w:szCs w:val="20"/>
              </w:rPr>
            </w:pPr>
            <w:r w:rsidRPr="00154588">
              <w:rPr>
                <w:bCs/>
                <w:sz w:val="20"/>
                <w:szCs w:val="20"/>
              </w:rPr>
              <w:t>Compatibil</w:t>
            </w:r>
          </w:p>
        </w:tc>
        <w:tc>
          <w:tcPr>
            <w:tcW w:w="3118" w:type="dxa"/>
          </w:tcPr>
          <w:p w14:paraId="443335A8" w14:textId="77777777" w:rsidR="00D15C1B" w:rsidRPr="00154588" w:rsidRDefault="00D15C1B" w:rsidP="008C12B4">
            <w:pPr>
              <w:jc w:val="both"/>
              <w:rPr>
                <w:bCs/>
                <w:sz w:val="20"/>
                <w:szCs w:val="20"/>
              </w:rPr>
            </w:pPr>
          </w:p>
        </w:tc>
      </w:tr>
      <w:tr w:rsidR="00D15C1B" w:rsidRPr="00154588" w14:paraId="3ADB1008" w14:textId="77777777" w:rsidTr="00D15C1B">
        <w:trPr>
          <w:jc w:val="center"/>
        </w:trPr>
        <w:tc>
          <w:tcPr>
            <w:tcW w:w="4957" w:type="dxa"/>
            <w:gridSpan w:val="2"/>
          </w:tcPr>
          <w:p w14:paraId="0C564990" w14:textId="594E49EC" w:rsidR="00D15C1B" w:rsidRPr="00154588" w:rsidRDefault="00D15C1B" w:rsidP="008C12B4">
            <w:pPr>
              <w:jc w:val="center"/>
              <w:rPr>
                <w:b/>
                <w:sz w:val="20"/>
                <w:szCs w:val="20"/>
              </w:rPr>
            </w:pPr>
            <w:r w:rsidRPr="00154588">
              <w:rPr>
                <w:b/>
                <w:sz w:val="20"/>
                <w:szCs w:val="20"/>
              </w:rPr>
              <w:t>Articolul 2</w:t>
            </w:r>
          </w:p>
          <w:p w14:paraId="3472D00F" w14:textId="77777777" w:rsidR="00D15C1B" w:rsidRPr="00154588" w:rsidRDefault="00D15C1B" w:rsidP="008C12B4">
            <w:pPr>
              <w:jc w:val="center"/>
              <w:rPr>
                <w:b/>
                <w:sz w:val="20"/>
                <w:szCs w:val="20"/>
              </w:rPr>
            </w:pPr>
          </w:p>
          <w:p w14:paraId="226E6055" w14:textId="4A9A55D8" w:rsidR="00D15C1B" w:rsidRPr="00154588" w:rsidRDefault="00D15C1B" w:rsidP="008C12B4">
            <w:pPr>
              <w:jc w:val="center"/>
              <w:rPr>
                <w:b/>
                <w:sz w:val="20"/>
                <w:szCs w:val="20"/>
              </w:rPr>
            </w:pPr>
            <w:r w:rsidRPr="00154588">
              <w:rPr>
                <w:b/>
                <w:sz w:val="20"/>
                <w:szCs w:val="20"/>
              </w:rPr>
              <w:t>Definiţii</w:t>
            </w:r>
          </w:p>
        </w:tc>
        <w:tc>
          <w:tcPr>
            <w:tcW w:w="4819" w:type="dxa"/>
          </w:tcPr>
          <w:p w14:paraId="60B516E4" w14:textId="1D2B30EC" w:rsidR="00D15C1B" w:rsidRPr="00154588" w:rsidRDefault="00731967" w:rsidP="008C12B4">
            <w:pPr>
              <w:jc w:val="center"/>
              <w:rPr>
                <w:bCs/>
                <w:sz w:val="20"/>
                <w:szCs w:val="20"/>
              </w:rPr>
            </w:pPr>
            <w:r w:rsidRPr="00154588">
              <w:rPr>
                <w:b/>
                <w:sz w:val="20"/>
                <w:szCs w:val="20"/>
              </w:rPr>
              <w:t>Articolul 2.</w:t>
            </w:r>
          </w:p>
        </w:tc>
        <w:tc>
          <w:tcPr>
            <w:tcW w:w="2552" w:type="dxa"/>
          </w:tcPr>
          <w:p w14:paraId="02194AF3" w14:textId="77777777" w:rsidR="00D15C1B" w:rsidRPr="00154588" w:rsidRDefault="00D15C1B" w:rsidP="008C12B4">
            <w:pPr>
              <w:jc w:val="both"/>
              <w:rPr>
                <w:bCs/>
                <w:sz w:val="20"/>
                <w:szCs w:val="20"/>
              </w:rPr>
            </w:pPr>
          </w:p>
        </w:tc>
        <w:tc>
          <w:tcPr>
            <w:tcW w:w="3118" w:type="dxa"/>
          </w:tcPr>
          <w:p w14:paraId="1F5CF45E" w14:textId="77777777" w:rsidR="00D15C1B" w:rsidRPr="00154588" w:rsidRDefault="00D15C1B" w:rsidP="008C12B4">
            <w:pPr>
              <w:jc w:val="both"/>
              <w:rPr>
                <w:bCs/>
                <w:sz w:val="20"/>
                <w:szCs w:val="20"/>
              </w:rPr>
            </w:pPr>
          </w:p>
        </w:tc>
      </w:tr>
      <w:tr w:rsidR="00D15C1B" w:rsidRPr="00154588" w14:paraId="69D75563" w14:textId="77777777" w:rsidTr="00D15C1B">
        <w:trPr>
          <w:jc w:val="center"/>
        </w:trPr>
        <w:tc>
          <w:tcPr>
            <w:tcW w:w="4957" w:type="dxa"/>
            <w:gridSpan w:val="2"/>
          </w:tcPr>
          <w:p w14:paraId="222916D0" w14:textId="1EA5CF27" w:rsidR="00D15C1B" w:rsidRPr="00154588" w:rsidRDefault="00D15C1B" w:rsidP="008C12B4">
            <w:pPr>
              <w:rPr>
                <w:b/>
                <w:sz w:val="20"/>
                <w:szCs w:val="20"/>
              </w:rPr>
            </w:pPr>
            <w:r w:rsidRPr="00154588">
              <w:rPr>
                <w:bCs/>
                <w:sz w:val="20"/>
                <w:szCs w:val="20"/>
              </w:rPr>
              <w:t>(1) În sensul prezentei directive, se aplică următoarele definiţii:</w:t>
            </w:r>
          </w:p>
        </w:tc>
        <w:tc>
          <w:tcPr>
            <w:tcW w:w="4819" w:type="dxa"/>
          </w:tcPr>
          <w:p w14:paraId="1047C6E9" w14:textId="50B2D6B8" w:rsidR="00D15C1B" w:rsidRPr="00154588" w:rsidRDefault="00731967" w:rsidP="008C12B4">
            <w:pPr>
              <w:jc w:val="both"/>
              <w:rPr>
                <w:bCs/>
                <w:sz w:val="20"/>
                <w:szCs w:val="20"/>
              </w:rPr>
            </w:pPr>
            <w:r w:rsidRPr="00154588">
              <w:rPr>
                <w:sz w:val="20"/>
                <w:szCs w:val="20"/>
              </w:rPr>
              <w:t>În înţelesul prezentei legi, termenii şi expresiile de mai jos au următoarele semnificaţii:</w:t>
            </w:r>
          </w:p>
        </w:tc>
        <w:tc>
          <w:tcPr>
            <w:tcW w:w="2552" w:type="dxa"/>
          </w:tcPr>
          <w:p w14:paraId="0BA25B37" w14:textId="77777777" w:rsidR="00D15C1B" w:rsidRPr="00154588" w:rsidRDefault="00D15C1B" w:rsidP="008C12B4">
            <w:pPr>
              <w:jc w:val="both"/>
              <w:rPr>
                <w:bCs/>
                <w:sz w:val="20"/>
                <w:szCs w:val="20"/>
              </w:rPr>
            </w:pPr>
          </w:p>
        </w:tc>
        <w:tc>
          <w:tcPr>
            <w:tcW w:w="3118" w:type="dxa"/>
          </w:tcPr>
          <w:p w14:paraId="6E91FB35" w14:textId="77777777" w:rsidR="00D15C1B" w:rsidRPr="00154588" w:rsidRDefault="00D15C1B" w:rsidP="008C12B4">
            <w:pPr>
              <w:jc w:val="both"/>
              <w:rPr>
                <w:bCs/>
                <w:sz w:val="20"/>
                <w:szCs w:val="20"/>
              </w:rPr>
            </w:pPr>
          </w:p>
        </w:tc>
      </w:tr>
      <w:tr w:rsidR="00D15C1B" w:rsidRPr="00154588" w14:paraId="013E589E" w14:textId="77777777" w:rsidTr="00D15C1B">
        <w:trPr>
          <w:jc w:val="center"/>
        </w:trPr>
        <w:tc>
          <w:tcPr>
            <w:tcW w:w="4957" w:type="dxa"/>
            <w:gridSpan w:val="2"/>
          </w:tcPr>
          <w:p w14:paraId="771AF27B" w14:textId="13708F21" w:rsidR="00D15C1B" w:rsidRPr="00154588" w:rsidRDefault="00D15C1B" w:rsidP="008C12B4">
            <w:pPr>
              <w:jc w:val="both"/>
              <w:rPr>
                <w:bCs/>
                <w:sz w:val="20"/>
                <w:szCs w:val="20"/>
              </w:rPr>
            </w:pPr>
            <w:r w:rsidRPr="00154588">
              <w:rPr>
                <w:bCs/>
                <w:sz w:val="20"/>
                <w:szCs w:val="20"/>
              </w:rPr>
              <w:t xml:space="preserve">1. </w:t>
            </w:r>
            <w:r w:rsidRPr="00154588">
              <w:rPr>
                <w:b/>
                <w:sz w:val="20"/>
                <w:szCs w:val="20"/>
              </w:rPr>
              <w:t>„rezoluţie”</w:t>
            </w:r>
            <w:r w:rsidRPr="00154588">
              <w:rPr>
                <w:bCs/>
                <w:sz w:val="20"/>
                <w:szCs w:val="20"/>
              </w:rPr>
              <w:t xml:space="preserve"> înseamnă aplicarea unui instrument de rezoluţie sau a unui instrument prevăzut la articolul 37 alineatul (9) în vederea atingerii unuia sau mai multor obiective de rezoluţie menţionate la articolul 31 alineatul (2);</w:t>
            </w:r>
          </w:p>
        </w:tc>
        <w:tc>
          <w:tcPr>
            <w:tcW w:w="4819" w:type="dxa"/>
          </w:tcPr>
          <w:p w14:paraId="30098BA3" w14:textId="77777777" w:rsidR="00731967" w:rsidRPr="00154588" w:rsidRDefault="00731967" w:rsidP="008C12B4">
            <w:pPr>
              <w:ind w:firstLine="567"/>
              <w:jc w:val="both"/>
              <w:rPr>
                <w:rFonts w:eastAsia="Calibri"/>
                <w:sz w:val="20"/>
                <w:szCs w:val="20"/>
              </w:rPr>
            </w:pPr>
            <w:r w:rsidRPr="00154588">
              <w:rPr>
                <w:rFonts w:eastAsia="Calibri"/>
                <w:sz w:val="20"/>
                <w:szCs w:val="20"/>
              </w:rPr>
              <w:t xml:space="preserve">49) </w:t>
            </w:r>
            <w:r w:rsidRPr="00154588">
              <w:rPr>
                <w:rFonts w:eastAsia="Calibri"/>
                <w:i/>
                <w:sz w:val="20"/>
                <w:szCs w:val="20"/>
              </w:rPr>
              <w:t>rezoluţie</w:t>
            </w:r>
            <w:r w:rsidRPr="00154588">
              <w:rPr>
                <w:rFonts w:eastAsia="Calibri"/>
                <w:sz w:val="20"/>
                <w:szCs w:val="20"/>
              </w:rPr>
              <w:t xml:space="preserve"> – aplicare a unui instrument de rezoluţie pentru scopul atingerii unuia sau mai multora dintre obiectivele rezoluţiei prevăzute la art.56;</w:t>
            </w:r>
          </w:p>
          <w:p w14:paraId="172189D1" w14:textId="77777777" w:rsidR="00D15C1B" w:rsidRPr="00154588" w:rsidRDefault="00D15C1B" w:rsidP="008C12B4">
            <w:pPr>
              <w:jc w:val="both"/>
              <w:rPr>
                <w:bCs/>
                <w:sz w:val="20"/>
                <w:szCs w:val="20"/>
              </w:rPr>
            </w:pPr>
          </w:p>
        </w:tc>
        <w:tc>
          <w:tcPr>
            <w:tcW w:w="2552" w:type="dxa"/>
          </w:tcPr>
          <w:p w14:paraId="284B60D2" w14:textId="74BEF75F" w:rsidR="00D15C1B" w:rsidRPr="00154588" w:rsidRDefault="0094082B" w:rsidP="008C12B4">
            <w:pPr>
              <w:jc w:val="both"/>
              <w:rPr>
                <w:bCs/>
                <w:sz w:val="20"/>
                <w:szCs w:val="20"/>
              </w:rPr>
            </w:pPr>
            <w:r w:rsidRPr="00154588">
              <w:rPr>
                <w:bCs/>
                <w:sz w:val="20"/>
                <w:szCs w:val="20"/>
              </w:rPr>
              <w:t>Compatibil</w:t>
            </w:r>
          </w:p>
        </w:tc>
        <w:tc>
          <w:tcPr>
            <w:tcW w:w="3118" w:type="dxa"/>
          </w:tcPr>
          <w:p w14:paraId="6ECE1FD8" w14:textId="77777777" w:rsidR="00D15C1B" w:rsidRPr="00154588" w:rsidRDefault="00D15C1B" w:rsidP="008C12B4">
            <w:pPr>
              <w:jc w:val="both"/>
              <w:rPr>
                <w:bCs/>
                <w:sz w:val="20"/>
                <w:szCs w:val="20"/>
              </w:rPr>
            </w:pPr>
          </w:p>
        </w:tc>
      </w:tr>
      <w:tr w:rsidR="00D15C1B" w:rsidRPr="00154588" w14:paraId="4759CD14" w14:textId="77777777" w:rsidTr="00D15C1B">
        <w:trPr>
          <w:jc w:val="center"/>
        </w:trPr>
        <w:tc>
          <w:tcPr>
            <w:tcW w:w="4957" w:type="dxa"/>
            <w:gridSpan w:val="2"/>
          </w:tcPr>
          <w:p w14:paraId="4FDA4C96" w14:textId="3B40B01B" w:rsidR="00D15C1B" w:rsidRPr="00154588" w:rsidRDefault="00D15C1B" w:rsidP="008C12B4">
            <w:pPr>
              <w:jc w:val="both"/>
              <w:rPr>
                <w:bCs/>
                <w:sz w:val="20"/>
                <w:szCs w:val="20"/>
              </w:rPr>
            </w:pPr>
            <w:r w:rsidRPr="00154588">
              <w:rPr>
                <w:bCs/>
                <w:sz w:val="20"/>
                <w:szCs w:val="20"/>
              </w:rPr>
              <w:lastRenderedPageBreak/>
              <w:t xml:space="preserve">2. </w:t>
            </w:r>
            <w:r w:rsidRPr="00154588">
              <w:rPr>
                <w:b/>
                <w:sz w:val="20"/>
                <w:szCs w:val="20"/>
              </w:rPr>
              <w:t>„instituţie de credit”</w:t>
            </w:r>
            <w:r w:rsidRPr="00154588">
              <w:rPr>
                <w:bCs/>
                <w:sz w:val="20"/>
                <w:szCs w:val="20"/>
              </w:rPr>
              <w:t xml:space="preserve"> înseamnă o instituţie de credit astfel cum este definită la articolul 4 alineatul (1) punctul 1 din Regulamentul (UE) nr. 575/2013, cu excepţia entităţilor menţionate la articolul 2 alineatul (5) din Directiva 2013/36/UE;</w:t>
            </w:r>
          </w:p>
        </w:tc>
        <w:tc>
          <w:tcPr>
            <w:tcW w:w="4819" w:type="dxa"/>
          </w:tcPr>
          <w:p w14:paraId="45E5EA25" w14:textId="1EA63DC9" w:rsidR="00D15C1B" w:rsidRPr="00154588" w:rsidRDefault="00731967" w:rsidP="008C12B4">
            <w:pPr>
              <w:ind w:firstLine="567"/>
              <w:jc w:val="both"/>
              <w:rPr>
                <w:rFonts w:eastAsia="Calibri"/>
                <w:sz w:val="20"/>
                <w:szCs w:val="20"/>
              </w:rPr>
            </w:pPr>
            <w:r w:rsidRPr="00154588">
              <w:rPr>
                <w:rFonts w:eastAsia="Calibri"/>
                <w:sz w:val="20"/>
                <w:szCs w:val="20"/>
              </w:rPr>
              <w:t xml:space="preserve">10) </w:t>
            </w:r>
            <w:r w:rsidRPr="00154588">
              <w:rPr>
                <w:rFonts w:eastAsia="Calibri"/>
                <w:i/>
                <w:sz w:val="20"/>
                <w:szCs w:val="20"/>
              </w:rPr>
              <w:t>instituție de credit</w:t>
            </w:r>
            <w:r w:rsidRPr="00154588">
              <w:rPr>
                <w:rFonts w:eastAsia="Calibri"/>
                <w:sz w:val="20"/>
                <w:szCs w:val="20"/>
              </w:rPr>
              <w:t xml:space="preserve"> – astfel cum este definită la art.3 din Legea nr.202/2017;</w:t>
            </w:r>
          </w:p>
        </w:tc>
        <w:tc>
          <w:tcPr>
            <w:tcW w:w="2552" w:type="dxa"/>
          </w:tcPr>
          <w:p w14:paraId="60644E54" w14:textId="5D24E25C" w:rsidR="00D15C1B" w:rsidRPr="00154588" w:rsidRDefault="0094082B" w:rsidP="008C12B4">
            <w:pPr>
              <w:jc w:val="both"/>
              <w:rPr>
                <w:bCs/>
                <w:sz w:val="20"/>
                <w:szCs w:val="20"/>
              </w:rPr>
            </w:pPr>
            <w:r w:rsidRPr="00154588">
              <w:rPr>
                <w:bCs/>
                <w:sz w:val="20"/>
                <w:szCs w:val="20"/>
              </w:rPr>
              <w:t>Compatibil</w:t>
            </w:r>
          </w:p>
        </w:tc>
        <w:tc>
          <w:tcPr>
            <w:tcW w:w="3118" w:type="dxa"/>
          </w:tcPr>
          <w:p w14:paraId="031DCEC0" w14:textId="77777777" w:rsidR="00D15C1B" w:rsidRPr="00154588" w:rsidRDefault="00D15C1B" w:rsidP="008C12B4">
            <w:pPr>
              <w:jc w:val="both"/>
              <w:rPr>
                <w:bCs/>
                <w:sz w:val="20"/>
                <w:szCs w:val="20"/>
              </w:rPr>
            </w:pPr>
          </w:p>
        </w:tc>
      </w:tr>
      <w:tr w:rsidR="00D15C1B" w:rsidRPr="00154588" w14:paraId="646D5750" w14:textId="77777777" w:rsidTr="00D15C1B">
        <w:trPr>
          <w:jc w:val="center"/>
        </w:trPr>
        <w:tc>
          <w:tcPr>
            <w:tcW w:w="4957" w:type="dxa"/>
            <w:gridSpan w:val="2"/>
          </w:tcPr>
          <w:p w14:paraId="5B1D6117" w14:textId="58F807A5" w:rsidR="00D15C1B" w:rsidRPr="00154588" w:rsidRDefault="00D15C1B" w:rsidP="008C12B4">
            <w:pPr>
              <w:jc w:val="both"/>
              <w:rPr>
                <w:bCs/>
                <w:sz w:val="20"/>
                <w:szCs w:val="20"/>
              </w:rPr>
            </w:pPr>
            <w:r w:rsidRPr="00154588">
              <w:rPr>
                <w:bCs/>
                <w:sz w:val="20"/>
                <w:szCs w:val="20"/>
              </w:rPr>
              <w:t xml:space="preserve">3. </w:t>
            </w:r>
            <w:r w:rsidRPr="00154588">
              <w:rPr>
                <w:b/>
                <w:sz w:val="20"/>
                <w:szCs w:val="20"/>
              </w:rPr>
              <w:t>„firmă de investiții”</w:t>
            </w:r>
            <w:r w:rsidRPr="00154588">
              <w:rPr>
                <w:bCs/>
                <w:sz w:val="20"/>
                <w:szCs w:val="20"/>
              </w:rPr>
              <w:t xml:space="preserve"> înseamnă o firmă de investiții astfel cum este definită la articolul 4 alineatul (1) punctul 22 din Regulamentul (UE) 2019/2033 al Parlamentului European și al Consiliului ( 1 ) care face obiectul cerinței privind capitalul inițial prevăzute la articolul 9 alineatul (1) din Directiva (UE) 2019/2034 a Parlamentului European și a Consiliului ( 2 );</w:t>
            </w:r>
          </w:p>
        </w:tc>
        <w:tc>
          <w:tcPr>
            <w:tcW w:w="4819" w:type="dxa"/>
          </w:tcPr>
          <w:p w14:paraId="759FAD34" w14:textId="1251F23D" w:rsidR="00D15C1B" w:rsidRPr="00154588" w:rsidRDefault="00731967" w:rsidP="008C12B4">
            <w:pPr>
              <w:ind w:firstLine="567"/>
              <w:jc w:val="both"/>
              <w:rPr>
                <w:rFonts w:eastAsia="Calibri"/>
                <w:kern w:val="2"/>
                <w:sz w:val="20"/>
                <w:szCs w:val="20"/>
                <w14:ligatures w14:val="standardContextual"/>
              </w:rPr>
            </w:pPr>
            <w:r w:rsidRPr="00154588">
              <w:rPr>
                <w:rFonts w:eastAsia="Calibri"/>
                <w:sz w:val="20"/>
                <w:szCs w:val="20"/>
              </w:rPr>
              <w:t xml:space="preserve">74) </w:t>
            </w:r>
            <w:r w:rsidRPr="00154588">
              <w:rPr>
                <w:rFonts w:eastAsia="Calibri"/>
                <w:i/>
                <w:sz w:val="20"/>
                <w:szCs w:val="20"/>
              </w:rPr>
              <w:t>firmă de investiții</w:t>
            </w:r>
            <w:r w:rsidRPr="00154588">
              <w:rPr>
                <w:rFonts w:eastAsia="Calibri"/>
                <w:sz w:val="20"/>
                <w:szCs w:val="20"/>
              </w:rPr>
              <w:t xml:space="preserve"> – astfel cum este definită în legea privind piețele instrumentelor financiare și activitățile de investiții</w:t>
            </w:r>
            <w:r w:rsidR="005C25B4" w:rsidRPr="00154588">
              <w:rPr>
                <w:sz w:val="24"/>
                <w:szCs w:val="24"/>
                <w:lang w:eastAsia="ro-RO"/>
              </w:rPr>
              <w:t xml:space="preserve"> </w:t>
            </w:r>
            <w:r w:rsidR="005C25B4" w:rsidRPr="00154588">
              <w:rPr>
                <w:sz w:val="20"/>
                <w:szCs w:val="20"/>
                <w:lang w:eastAsia="ro-RO"/>
              </w:rPr>
              <w:t>și care face obiectul cerinței de capital inițial prevăzute la art.11 alin. (1) lit.a) și b) din Legea privind supravegherea prudențială a firmelor de investiții</w:t>
            </w:r>
            <w:r w:rsidR="005C25B4" w:rsidRPr="00154588">
              <w:rPr>
                <w:sz w:val="20"/>
                <w:szCs w:val="20"/>
              </w:rPr>
              <w:t>;</w:t>
            </w:r>
            <w:r w:rsidRPr="00154588">
              <w:rPr>
                <w:rFonts w:eastAsia="Calibri"/>
                <w:sz w:val="20"/>
                <w:szCs w:val="20"/>
              </w:rPr>
              <w:t>;</w:t>
            </w:r>
          </w:p>
        </w:tc>
        <w:tc>
          <w:tcPr>
            <w:tcW w:w="2552" w:type="dxa"/>
          </w:tcPr>
          <w:p w14:paraId="55D5758A" w14:textId="6B0CBE28" w:rsidR="00D15C1B" w:rsidRPr="00154588" w:rsidRDefault="0094082B" w:rsidP="008C12B4">
            <w:pPr>
              <w:jc w:val="both"/>
              <w:rPr>
                <w:bCs/>
                <w:sz w:val="20"/>
                <w:szCs w:val="20"/>
              </w:rPr>
            </w:pPr>
            <w:r w:rsidRPr="00154588">
              <w:rPr>
                <w:bCs/>
                <w:sz w:val="20"/>
                <w:szCs w:val="20"/>
              </w:rPr>
              <w:t>Compatibil</w:t>
            </w:r>
          </w:p>
        </w:tc>
        <w:tc>
          <w:tcPr>
            <w:tcW w:w="3118" w:type="dxa"/>
          </w:tcPr>
          <w:p w14:paraId="790B1149" w14:textId="77777777" w:rsidR="00D15C1B" w:rsidRPr="00154588" w:rsidRDefault="00D15C1B" w:rsidP="008C12B4">
            <w:pPr>
              <w:jc w:val="both"/>
              <w:rPr>
                <w:bCs/>
                <w:sz w:val="20"/>
                <w:szCs w:val="20"/>
              </w:rPr>
            </w:pPr>
          </w:p>
        </w:tc>
      </w:tr>
      <w:tr w:rsidR="00D15C1B" w:rsidRPr="00154588" w14:paraId="6626D171" w14:textId="77777777" w:rsidTr="00D15C1B">
        <w:trPr>
          <w:jc w:val="center"/>
        </w:trPr>
        <w:tc>
          <w:tcPr>
            <w:tcW w:w="4957" w:type="dxa"/>
            <w:gridSpan w:val="2"/>
          </w:tcPr>
          <w:p w14:paraId="51BB96D7" w14:textId="550CEB45" w:rsidR="00D15C1B" w:rsidRPr="00154588" w:rsidRDefault="00D15C1B" w:rsidP="008C12B4">
            <w:pPr>
              <w:jc w:val="both"/>
              <w:rPr>
                <w:bCs/>
                <w:sz w:val="20"/>
                <w:szCs w:val="20"/>
              </w:rPr>
            </w:pPr>
            <w:r w:rsidRPr="00154588">
              <w:rPr>
                <w:bCs/>
                <w:sz w:val="20"/>
                <w:szCs w:val="20"/>
              </w:rPr>
              <w:t>4.</w:t>
            </w:r>
            <w:r w:rsidRPr="00154588">
              <w:rPr>
                <w:b/>
                <w:sz w:val="20"/>
                <w:szCs w:val="20"/>
              </w:rPr>
              <w:t>„instituție financiară”</w:t>
            </w:r>
            <w:r w:rsidRPr="00154588">
              <w:rPr>
                <w:bCs/>
                <w:sz w:val="20"/>
                <w:szCs w:val="20"/>
              </w:rPr>
              <w:t xml:space="preserve"> înseamnă o instituție financiară astfel cum este definită la articolul 4 alineatul (1) punctul 26 din Regulamentul (UE) nr. 575/2013;</w:t>
            </w:r>
          </w:p>
        </w:tc>
        <w:tc>
          <w:tcPr>
            <w:tcW w:w="4819" w:type="dxa"/>
          </w:tcPr>
          <w:p w14:paraId="410B7258" w14:textId="4C5A30EF" w:rsidR="00D15C1B" w:rsidRPr="00154588" w:rsidRDefault="00731967" w:rsidP="008C12B4">
            <w:pPr>
              <w:ind w:firstLine="567"/>
              <w:jc w:val="both"/>
              <w:rPr>
                <w:rFonts w:eastAsia="Calibri"/>
                <w:sz w:val="20"/>
                <w:szCs w:val="20"/>
              </w:rPr>
            </w:pPr>
            <w:r w:rsidRPr="00154588">
              <w:rPr>
                <w:rFonts w:eastAsia="Calibri"/>
                <w:sz w:val="20"/>
                <w:szCs w:val="20"/>
              </w:rPr>
              <w:t xml:space="preserve">81) </w:t>
            </w:r>
            <w:r w:rsidRPr="00154588">
              <w:rPr>
                <w:rFonts w:eastAsia="Calibri"/>
                <w:i/>
                <w:sz w:val="20"/>
                <w:szCs w:val="20"/>
              </w:rPr>
              <w:t>instituție financiară</w:t>
            </w:r>
            <w:r w:rsidRPr="00154588">
              <w:rPr>
                <w:rFonts w:eastAsia="Calibri"/>
                <w:sz w:val="20"/>
                <w:szCs w:val="20"/>
              </w:rPr>
              <w:t xml:space="preserve"> – instituție financiară, astfel cum este definită la art.3 din Legea nr.202/2017;</w:t>
            </w:r>
          </w:p>
        </w:tc>
        <w:tc>
          <w:tcPr>
            <w:tcW w:w="2552" w:type="dxa"/>
          </w:tcPr>
          <w:p w14:paraId="614EFE33" w14:textId="62E80375" w:rsidR="00D15C1B" w:rsidRPr="00154588" w:rsidRDefault="0094082B" w:rsidP="008C12B4">
            <w:pPr>
              <w:jc w:val="both"/>
              <w:rPr>
                <w:bCs/>
                <w:sz w:val="20"/>
                <w:szCs w:val="20"/>
              </w:rPr>
            </w:pPr>
            <w:r w:rsidRPr="00154588">
              <w:rPr>
                <w:bCs/>
                <w:sz w:val="20"/>
                <w:szCs w:val="20"/>
              </w:rPr>
              <w:t>Compatibil</w:t>
            </w:r>
          </w:p>
        </w:tc>
        <w:tc>
          <w:tcPr>
            <w:tcW w:w="3118" w:type="dxa"/>
          </w:tcPr>
          <w:p w14:paraId="2E7AE4BD" w14:textId="23AE82CA" w:rsidR="00D15C1B" w:rsidRPr="00154588" w:rsidRDefault="00D15C1B" w:rsidP="008C12B4">
            <w:pPr>
              <w:jc w:val="both"/>
              <w:rPr>
                <w:bCs/>
                <w:sz w:val="20"/>
                <w:szCs w:val="20"/>
              </w:rPr>
            </w:pPr>
          </w:p>
        </w:tc>
      </w:tr>
      <w:tr w:rsidR="00D15C1B" w:rsidRPr="00154588" w14:paraId="2E3F84F4" w14:textId="77777777" w:rsidTr="00D15C1B">
        <w:trPr>
          <w:jc w:val="center"/>
        </w:trPr>
        <w:tc>
          <w:tcPr>
            <w:tcW w:w="4957" w:type="dxa"/>
            <w:gridSpan w:val="2"/>
          </w:tcPr>
          <w:p w14:paraId="7A3DD907" w14:textId="75D095D9" w:rsidR="00D15C1B" w:rsidRPr="00154588" w:rsidRDefault="00D15C1B" w:rsidP="008C12B4">
            <w:pPr>
              <w:jc w:val="both"/>
              <w:rPr>
                <w:bCs/>
                <w:sz w:val="20"/>
                <w:szCs w:val="20"/>
              </w:rPr>
            </w:pPr>
            <w:r w:rsidRPr="00154588">
              <w:rPr>
                <w:bCs/>
                <w:sz w:val="20"/>
                <w:szCs w:val="20"/>
              </w:rPr>
              <w:t xml:space="preserve">5. </w:t>
            </w:r>
            <w:r w:rsidRPr="00154588">
              <w:rPr>
                <w:b/>
                <w:sz w:val="20"/>
                <w:szCs w:val="20"/>
              </w:rPr>
              <w:t xml:space="preserve">„filială” </w:t>
            </w:r>
            <w:r w:rsidRPr="00154588">
              <w:rPr>
                <w:bCs/>
                <w:sz w:val="20"/>
                <w:szCs w:val="20"/>
              </w:rPr>
              <w:t>înseamnă o filială, astfel cum este definită la articolul 4 alineatul (1) punctul 16 din Regulamentul (UE) nr. 575/2013 și în scopul aplicării articolelor 7, 12, 17</w:t>
            </w:r>
            <w:r w:rsidR="00284ED2" w:rsidRPr="00154588">
              <w:rPr>
                <w:bCs/>
                <w:sz w:val="20"/>
                <w:szCs w:val="20"/>
              </w:rPr>
              <w:t xml:space="preserve"> și</w:t>
            </w:r>
            <w:r w:rsidRPr="00154588">
              <w:rPr>
                <w:bCs/>
                <w:sz w:val="20"/>
                <w:szCs w:val="20"/>
              </w:rPr>
              <w:t xml:space="preserve"> 18, </w:t>
            </w:r>
            <w:r w:rsidR="00284ED2" w:rsidRPr="00154588">
              <w:rPr>
                <w:bCs/>
                <w:sz w:val="20"/>
                <w:szCs w:val="20"/>
              </w:rPr>
              <w:t xml:space="preserve">a articolelor  </w:t>
            </w:r>
            <w:r w:rsidRPr="00154588">
              <w:rPr>
                <w:bCs/>
                <w:sz w:val="20"/>
                <w:szCs w:val="20"/>
              </w:rPr>
              <w:t>45-45m,</w:t>
            </w:r>
            <w:r w:rsidR="00284ED2" w:rsidRPr="00154588">
              <w:rPr>
                <w:bCs/>
                <w:sz w:val="20"/>
                <w:szCs w:val="20"/>
              </w:rPr>
              <w:t xml:space="preserve"> a articolelor</w:t>
            </w:r>
            <w:r w:rsidRPr="00154588">
              <w:rPr>
                <w:bCs/>
                <w:sz w:val="20"/>
                <w:szCs w:val="20"/>
              </w:rPr>
              <w:t xml:space="preserve"> 59-62</w:t>
            </w:r>
            <w:r w:rsidR="00284ED2" w:rsidRPr="00154588">
              <w:rPr>
                <w:bCs/>
                <w:sz w:val="20"/>
                <w:szCs w:val="20"/>
              </w:rPr>
              <w:t xml:space="preserve"> și a articolelor</w:t>
            </w:r>
            <w:r w:rsidRPr="00154588">
              <w:rPr>
                <w:bCs/>
                <w:sz w:val="20"/>
                <w:szCs w:val="20"/>
              </w:rPr>
              <w:t xml:space="preserve"> 91 și 92 din prezenta directivă în cazul grupurilor de rezoluție menționate la punctul 83b litera (b) din prezentul alineat, include, după caz, instituțiile de credit</w:t>
            </w:r>
            <w:r w:rsidR="00284ED2" w:rsidRPr="00154588">
              <w:rPr>
                <w:bCs/>
                <w:sz w:val="20"/>
                <w:szCs w:val="20"/>
              </w:rPr>
              <w:t xml:space="preserve"> sau instituțiile financiare</w:t>
            </w:r>
            <w:r w:rsidRPr="00154588">
              <w:rPr>
                <w:bCs/>
                <w:sz w:val="20"/>
                <w:szCs w:val="20"/>
              </w:rPr>
              <w:t xml:space="preserve"> care sunt afiliate în mod permanent unui organism central, organismul central însuși și filialele lor respective, luând în considerare modul în care aceste grupuri de rezoluție respectă articolul 45e alineatul (3) din prezenta directivă;</w:t>
            </w:r>
          </w:p>
        </w:tc>
        <w:tc>
          <w:tcPr>
            <w:tcW w:w="4819" w:type="dxa"/>
          </w:tcPr>
          <w:p w14:paraId="0FADAFB0" w14:textId="533EB312" w:rsidR="00D15C1B" w:rsidRPr="00154588" w:rsidRDefault="002017E8" w:rsidP="008C12B4">
            <w:pPr>
              <w:jc w:val="both"/>
              <w:rPr>
                <w:bCs/>
                <w:sz w:val="20"/>
                <w:szCs w:val="20"/>
              </w:rPr>
            </w:pPr>
            <w:r w:rsidRPr="00154588">
              <w:rPr>
                <w:iCs/>
                <w:sz w:val="20"/>
                <w:szCs w:val="20"/>
              </w:rPr>
              <w:t>71)</w:t>
            </w:r>
            <w:r w:rsidR="00731967" w:rsidRPr="00154588">
              <w:rPr>
                <w:i/>
                <w:sz w:val="20"/>
                <w:szCs w:val="20"/>
              </w:rPr>
              <w:t>filială</w:t>
            </w:r>
            <w:r w:rsidR="00731967" w:rsidRPr="00154588">
              <w:rPr>
                <w:sz w:val="20"/>
                <w:szCs w:val="20"/>
              </w:rPr>
              <w:t xml:space="preserve"> – filială, astfel cum este definită la art.3 din Legea nr.202/2017</w:t>
            </w:r>
            <w:r w:rsidR="00E8518D" w:rsidRPr="00154588">
              <w:rPr>
                <w:sz w:val="20"/>
                <w:szCs w:val="20"/>
              </w:rPr>
              <w:t xml:space="preserve"> și</w:t>
            </w:r>
            <w:r w:rsidR="00731967" w:rsidRPr="00154588">
              <w:rPr>
                <w:sz w:val="20"/>
                <w:szCs w:val="20"/>
              </w:rPr>
              <w:t xml:space="preserve"> în scopul aplicării art.22</w:t>
            </w:r>
            <w:r w:rsidR="00731967" w:rsidRPr="00154588">
              <w:rPr>
                <w:sz w:val="20"/>
                <w:szCs w:val="20"/>
                <w:vertAlign w:val="superscript"/>
              </w:rPr>
              <w:t>1</w:t>
            </w:r>
            <w:r w:rsidR="00731967" w:rsidRPr="00154588">
              <w:rPr>
                <w:sz w:val="20"/>
                <w:szCs w:val="20"/>
              </w:rPr>
              <w:t>-22</w:t>
            </w:r>
            <w:r w:rsidR="00731967" w:rsidRPr="00154588">
              <w:rPr>
                <w:sz w:val="20"/>
                <w:szCs w:val="20"/>
                <w:vertAlign w:val="superscript"/>
              </w:rPr>
              <w:t>9</w:t>
            </w:r>
            <w:r w:rsidR="00731967" w:rsidRPr="00154588">
              <w:rPr>
                <w:sz w:val="20"/>
                <w:szCs w:val="20"/>
              </w:rPr>
              <w:t>, art.31</w:t>
            </w:r>
            <w:r w:rsidR="00731967" w:rsidRPr="00154588">
              <w:rPr>
                <w:sz w:val="20"/>
                <w:szCs w:val="20"/>
                <w:vertAlign w:val="superscript"/>
              </w:rPr>
              <w:t>1</w:t>
            </w:r>
            <w:r w:rsidR="00731967" w:rsidRPr="00154588">
              <w:rPr>
                <w:sz w:val="20"/>
                <w:szCs w:val="20"/>
              </w:rPr>
              <w:t>-31</w:t>
            </w:r>
            <w:r w:rsidR="00731967" w:rsidRPr="00154588">
              <w:rPr>
                <w:sz w:val="20"/>
                <w:szCs w:val="20"/>
                <w:vertAlign w:val="superscript"/>
              </w:rPr>
              <w:t>5</w:t>
            </w:r>
            <w:r w:rsidR="00731967" w:rsidRPr="00154588">
              <w:rPr>
                <w:sz w:val="20"/>
                <w:szCs w:val="20"/>
              </w:rPr>
              <w:t>, art.35-41, art.41</w:t>
            </w:r>
            <w:r w:rsidR="00731967" w:rsidRPr="00154588">
              <w:rPr>
                <w:sz w:val="20"/>
                <w:szCs w:val="20"/>
                <w:vertAlign w:val="superscript"/>
              </w:rPr>
              <w:t>1</w:t>
            </w:r>
            <w:r w:rsidR="00731967" w:rsidRPr="00154588">
              <w:rPr>
                <w:sz w:val="20"/>
                <w:szCs w:val="20"/>
              </w:rPr>
              <w:t>-41</w:t>
            </w:r>
            <w:r w:rsidR="00731967" w:rsidRPr="00154588">
              <w:rPr>
                <w:sz w:val="20"/>
                <w:szCs w:val="20"/>
                <w:vertAlign w:val="superscript"/>
              </w:rPr>
              <w:t>8</w:t>
            </w:r>
            <w:r w:rsidR="00731967" w:rsidRPr="00154588">
              <w:rPr>
                <w:sz w:val="20"/>
                <w:szCs w:val="20"/>
              </w:rPr>
              <w:t>, art.164-170</w:t>
            </w:r>
            <w:r w:rsidR="00731967" w:rsidRPr="00154588">
              <w:rPr>
                <w:sz w:val="20"/>
                <w:szCs w:val="20"/>
                <w:vertAlign w:val="superscript"/>
              </w:rPr>
              <w:t>14</w:t>
            </w:r>
            <w:r w:rsidR="00731967" w:rsidRPr="00154588">
              <w:rPr>
                <w:sz w:val="20"/>
                <w:szCs w:val="20"/>
              </w:rPr>
              <w:t>, art.219-230</w:t>
            </w:r>
            <w:r w:rsidR="00731967" w:rsidRPr="00154588">
              <w:rPr>
                <w:sz w:val="20"/>
                <w:szCs w:val="20"/>
                <w:vertAlign w:val="superscript"/>
              </w:rPr>
              <w:t>2</w:t>
            </w:r>
            <w:r w:rsidR="00731967" w:rsidRPr="00154588">
              <w:rPr>
                <w:sz w:val="20"/>
                <w:szCs w:val="20"/>
              </w:rPr>
              <w:t>, art.295</w:t>
            </w:r>
            <w:r w:rsidR="00731967" w:rsidRPr="00154588">
              <w:rPr>
                <w:sz w:val="20"/>
                <w:szCs w:val="20"/>
                <w:vertAlign w:val="superscript"/>
              </w:rPr>
              <w:t>17</w:t>
            </w:r>
            <w:r w:rsidR="00731967" w:rsidRPr="00154588">
              <w:rPr>
                <w:sz w:val="20"/>
                <w:szCs w:val="20"/>
              </w:rPr>
              <w:t>-295</w:t>
            </w:r>
            <w:r w:rsidR="00731967" w:rsidRPr="00154588">
              <w:rPr>
                <w:sz w:val="20"/>
                <w:szCs w:val="20"/>
                <w:vertAlign w:val="superscript"/>
              </w:rPr>
              <w:t>29</w:t>
            </w:r>
            <w:r w:rsidR="00731967" w:rsidRPr="00154588">
              <w:rPr>
                <w:sz w:val="20"/>
                <w:szCs w:val="20"/>
              </w:rPr>
              <w:t xml:space="preserve"> și art. 295</w:t>
            </w:r>
            <w:r w:rsidR="00731967" w:rsidRPr="00154588">
              <w:rPr>
                <w:sz w:val="20"/>
                <w:szCs w:val="20"/>
                <w:vertAlign w:val="superscript"/>
              </w:rPr>
              <w:t>42</w:t>
            </w:r>
            <w:r w:rsidR="00731967" w:rsidRPr="00154588">
              <w:rPr>
                <w:sz w:val="20"/>
                <w:szCs w:val="20"/>
              </w:rPr>
              <w:t>-295</w:t>
            </w:r>
            <w:r w:rsidR="00731967" w:rsidRPr="00154588">
              <w:rPr>
                <w:sz w:val="20"/>
                <w:szCs w:val="20"/>
                <w:vertAlign w:val="superscript"/>
              </w:rPr>
              <w:t>48</w:t>
            </w:r>
            <w:r w:rsidR="00E8518D" w:rsidRPr="00154588">
              <w:rPr>
                <w:sz w:val="20"/>
                <w:szCs w:val="20"/>
              </w:rPr>
              <w:t xml:space="preserve"> în cazul</w:t>
            </w:r>
            <w:r w:rsidR="00731967" w:rsidRPr="00154588">
              <w:rPr>
                <w:sz w:val="20"/>
                <w:szCs w:val="20"/>
              </w:rPr>
              <w:t xml:space="preserve"> grupurilor de rezoluție</w:t>
            </w:r>
            <w:r w:rsidR="00E8518D" w:rsidRPr="00154588">
              <w:rPr>
                <w:sz w:val="20"/>
                <w:szCs w:val="20"/>
              </w:rPr>
              <w:t xml:space="preserve"> menționate</w:t>
            </w:r>
            <w:r w:rsidR="00731967" w:rsidRPr="00154588">
              <w:rPr>
                <w:sz w:val="20"/>
                <w:szCs w:val="20"/>
              </w:rPr>
              <w:t xml:space="preserve"> la pct.79 lit.b) din prezentul articol, include, după caz </w:t>
            </w:r>
            <w:r w:rsidR="00E8518D" w:rsidRPr="00154588">
              <w:rPr>
                <w:bCs/>
                <w:sz w:val="20"/>
                <w:szCs w:val="20"/>
              </w:rPr>
              <w:t>instituțiile de credit sau instituțiile financiare care sunt afiliate în mod permanent unui organism central, organismul central însuși și filialele lor respective</w:t>
            </w:r>
            <w:r w:rsidR="00731967" w:rsidRPr="00154588">
              <w:rPr>
                <w:sz w:val="20"/>
                <w:szCs w:val="20"/>
              </w:rPr>
              <w:t>, luând în considerare modul în care aceste grupuri de rezoluție respectă prevederile art.167</w:t>
            </w:r>
            <w:r w:rsidR="00731967" w:rsidRPr="00154588">
              <w:rPr>
                <w:sz w:val="20"/>
                <w:szCs w:val="20"/>
                <w:vertAlign w:val="superscript"/>
              </w:rPr>
              <w:t>14</w:t>
            </w:r>
            <w:r w:rsidR="00731967" w:rsidRPr="00154588">
              <w:rPr>
                <w:sz w:val="20"/>
                <w:szCs w:val="20"/>
              </w:rPr>
              <w:t xml:space="preserve"> alin.(3);</w:t>
            </w:r>
          </w:p>
        </w:tc>
        <w:tc>
          <w:tcPr>
            <w:tcW w:w="2552" w:type="dxa"/>
          </w:tcPr>
          <w:p w14:paraId="625583C9" w14:textId="79D99450" w:rsidR="00D15C1B" w:rsidRPr="00154588" w:rsidRDefault="0094082B" w:rsidP="008C12B4">
            <w:pPr>
              <w:jc w:val="both"/>
              <w:rPr>
                <w:bCs/>
                <w:sz w:val="20"/>
                <w:szCs w:val="20"/>
              </w:rPr>
            </w:pPr>
            <w:r w:rsidRPr="00154588">
              <w:rPr>
                <w:bCs/>
                <w:sz w:val="20"/>
                <w:szCs w:val="20"/>
              </w:rPr>
              <w:t>Compatibil</w:t>
            </w:r>
          </w:p>
        </w:tc>
        <w:tc>
          <w:tcPr>
            <w:tcW w:w="3118" w:type="dxa"/>
          </w:tcPr>
          <w:p w14:paraId="05ADAC69" w14:textId="77777777" w:rsidR="00D15C1B" w:rsidRPr="00154588" w:rsidRDefault="00D15C1B" w:rsidP="008C12B4">
            <w:pPr>
              <w:jc w:val="both"/>
              <w:rPr>
                <w:bCs/>
                <w:sz w:val="20"/>
                <w:szCs w:val="20"/>
              </w:rPr>
            </w:pPr>
          </w:p>
        </w:tc>
      </w:tr>
      <w:tr w:rsidR="00D15C1B" w:rsidRPr="00154588" w14:paraId="704F0036" w14:textId="77777777" w:rsidTr="00D15C1B">
        <w:trPr>
          <w:jc w:val="center"/>
        </w:trPr>
        <w:tc>
          <w:tcPr>
            <w:tcW w:w="4957" w:type="dxa"/>
            <w:gridSpan w:val="2"/>
          </w:tcPr>
          <w:p w14:paraId="14E494D8" w14:textId="26ED416A" w:rsidR="00D15C1B" w:rsidRPr="00154588" w:rsidRDefault="00D15C1B" w:rsidP="008C12B4">
            <w:pPr>
              <w:jc w:val="both"/>
              <w:rPr>
                <w:bCs/>
                <w:sz w:val="20"/>
                <w:szCs w:val="20"/>
              </w:rPr>
            </w:pPr>
            <w:r w:rsidRPr="00154588">
              <w:rPr>
                <w:bCs/>
                <w:sz w:val="20"/>
                <w:szCs w:val="20"/>
              </w:rPr>
              <w:t xml:space="preserve">5a. </w:t>
            </w:r>
            <w:r w:rsidRPr="00154588">
              <w:rPr>
                <w:b/>
                <w:sz w:val="20"/>
                <w:szCs w:val="20"/>
              </w:rPr>
              <w:t>„filială semnificativă”</w:t>
            </w:r>
            <w:r w:rsidRPr="00154588">
              <w:rPr>
                <w:bCs/>
                <w:sz w:val="20"/>
                <w:szCs w:val="20"/>
              </w:rPr>
              <w:t xml:space="preserve"> înseamnă o filială semnificativă astfel cum este definită la articolul 4 alineatul (1) punctul 135 din Regulamentul (UE) nr. 575/2013;</w:t>
            </w:r>
          </w:p>
        </w:tc>
        <w:tc>
          <w:tcPr>
            <w:tcW w:w="4819" w:type="dxa"/>
          </w:tcPr>
          <w:p w14:paraId="49C0A964" w14:textId="307F883C" w:rsidR="00731967" w:rsidRPr="00154588" w:rsidRDefault="00731967" w:rsidP="008C12B4">
            <w:pPr>
              <w:ind w:firstLine="567"/>
              <w:jc w:val="both"/>
              <w:rPr>
                <w:rFonts w:eastAsia="Calibri"/>
                <w:kern w:val="2"/>
                <w:sz w:val="20"/>
                <w:szCs w:val="20"/>
                <w14:ligatures w14:val="standardContextual"/>
              </w:rPr>
            </w:pPr>
            <w:r w:rsidRPr="00154588">
              <w:rPr>
                <w:rFonts w:eastAsia="Calibri"/>
                <w:sz w:val="20"/>
                <w:szCs w:val="20"/>
              </w:rPr>
              <w:t xml:space="preserve">73) </w:t>
            </w:r>
            <w:r w:rsidRPr="00154588">
              <w:rPr>
                <w:rFonts w:eastAsia="Calibri"/>
                <w:i/>
                <w:sz w:val="20"/>
                <w:szCs w:val="20"/>
              </w:rPr>
              <w:t>filială</w:t>
            </w:r>
            <w:r w:rsidRPr="00154588">
              <w:rPr>
                <w:rFonts w:eastAsia="Calibri"/>
                <w:sz w:val="20"/>
                <w:szCs w:val="20"/>
              </w:rPr>
              <w:t xml:space="preserve"> </w:t>
            </w:r>
            <w:r w:rsidRPr="00154588">
              <w:rPr>
                <w:rFonts w:eastAsia="Calibri"/>
                <w:i/>
                <w:sz w:val="20"/>
                <w:szCs w:val="20"/>
              </w:rPr>
              <w:t>semnificativă</w:t>
            </w:r>
            <w:r w:rsidRPr="00154588">
              <w:rPr>
                <w:rFonts w:eastAsia="Calibri"/>
                <w:sz w:val="20"/>
                <w:szCs w:val="20"/>
              </w:rPr>
              <w:t xml:space="preserve"> – o filială la nivel individual sau consolidat, îndeplinește cel puțin una dintre condițiile referitoare la activele ponderate la risc, veniturile totale din exploatare sau măsura expunerii totale, la pragurile stabilite în reglementările Băncii Naționale a Moldovei</w:t>
            </w:r>
            <w:r w:rsidR="005C25B4" w:rsidRPr="00154588">
              <w:rPr>
                <w:rFonts w:eastAsia="Calibri"/>
                <w:sz w:val="20"/>
                <w:szCs w:val="20"/>
              </w:rPr>
              <w:t xml:space="preserve"> </w:t>
            </w:r>
            <w:r w:rsidR="005C25B4" w:rsidRPr="00154588">
              <w:rPr>
                <w:sz w:val="20"/>
                <w:szCs w:val="20"/>
              </w:rPr>
              <w:t>și ale Comisiei Naționale a Pieței financiare;</w:t>
            </w:r>
            <w:r w:rsidR="005C25B4" w:rsidRPr="00154588">
              <w:rPr>
                <w:sz w:val="24"/>
                <w:szCs w:val="24"/>
              </w:rPr>
              <w:t xml:space="preserve"> </w:t>
            </w:r>
            <w:r w:rsidRPr="00154588">
              <w:rPr>
                <w:rFonts w:eastAsia="Calibri"/>
                <w:sz w:val="20"/>
                <w:szCs w:val="20"/>
              </w:rPr>
              <w:t xml:space="preserve"> aplicabile acestor entități; pentru stabilirea caracterului semnificativ al unei filiale, atunci când un grup este organizat prin două întreprinderi-mamă intermediare, acestea sunt evaluate în mod cumulat și considerate o singură filială, pe baza situației lor consolidate;</w:t>
            </w:r>
          </w:p>
          <w:p w14:paraId="3EE6C131" w14:textId="77777777" w:rsidR="00D15C1B" w:rsidRPr="00154588" w:rsidRDefault="00D15C1B" w:rsidP="008C12B4">
            <w:pPr>
              <w:jc w:val="both"/>
              <w:rPr>
                <w:bCs/>
                <w:sz w:val="20"/>
                <w:szCs w:val="20"/>
              </w:rPr>
            </w:pPr>
          </w:p>
        </w:tc>
        <w:tc>
          <w:tcPr>
            <w:tcW w:w="2552" w:type="dxa"/>
          </w:tcPr>
          <w:p w14:paraId="2E40C8B4" w14:textId="2B1BC816" w:rsidR="00D15C1B" w:rsidRPr="00154588" w:rsidRDefault="0094082B" w:rsidP="008C12B4">
            <w:pPr>
              <w:jc w:val="both"/>
              <w:rPr>
                <w:bCs/>
                <w:sz w:val="20"/>
                <w:szCs w:val="20"/>
              </w:rPr>
            </w:pPr>
            <w:r w:rsidRPr="00154588">
              <w:rPr>
                <w:bCs/>
                <w:sz w:val="20"/>
                <w:szCs w:val="20"/>
              </w:rPr>
              <w:t>Compatibil</w:t>
            </w:r>
          </w:p>
        </w:tc>
        <w:tc>
          <w:tcPr>
            <w:tcW w:w="3118" w:type="dxa"/>
          </w:tcPr>
          <w:p w14:paraId="06605B04" w14:textId="77777777" w:rsidR="00D15C1B" w:rsidRPr="00154588" w:rsidRDefault="00D15C1B" w:rsidP="008C12B4">
            <w:pPr>
              <w:jc w:val="both"/>
              <w:rPr>
                <w:bCs/>
                <w:sz w:val="20"/>
                <w:szCs w:val="20"/>
              </w:rPr>
            </w:pPr>
          </w:p>
        </w:tc>
      </w:tr>
      <w:tr w:rsidR="00D15C1B" w:rsidRPr="00154588" w14:paraId="0520D6DC" w14:textId="77777777" w:rsidTr="00D15C1B">
        <w:trPr>
          <w:jc w:val="center"/>
        </w:trPr>
        <w:tc>
          <w:tcPr>
            <w:tcW w:w="4957" w:type="dxa"/>
            <w:gridSpan w:val="2"/>
          </w:tcPr>
          <w:p w14:paraId="21C80491" w14:textId="48438478" w:rsidR="00D15C1B" w:rsidRPr="00154588" w:rsidRDefault="00D15C1B" w:rsidP="008C12B4">
            <w:pPr>
              <w:jc w:val="both"/>
              <w:rPr>
                <w:bCs/>
                <w:sz w:val="20"/>
                <w:szCs w:val="20"/>
              </w:rPr>
            </w:pPr>
            <w:r w:rsidRPr="00154588">
              <w:rPr>
                <w:bCs/>
                <w:sz w:val="20"/>
                <w:szCs w:val="20"/>
              </w:rPr>
              <w:t xml:space="preserve">6. </w:t>
            </w:r>
            <w:r w:rsidRPr="00154588">
              <w:rPr>
                <w:b/>
                <w:sz w:val="20"/>
                <w:szCs w:val="20"/>
              </w:rPr>
              <w:t>„întreprindere-mamă”</w:t>
            </w:r>
            <w:r w:rsidRPr="00154588">
              <w:rPr>
                <w:bCs/>
                <w:sz w:val="20"/>
                <w:szCs w:val="20"/>
              </w:rPr>
              <w:t xml:space="preserve"> înseamnă o întreprindere-mamă astfel cum este definită la articolul 4 alineatul (1) punctul 15 litera (a) din Regulamentul (UE) nr. 575/2013;</w:t>
            </w:r>
          </w:p>
        </w:tc>
        <w:tc>
          <w:tcPr>
            <w:tcW w:w="4819" w:type="dxa"/>
          </w:tcPr>
          <w:p w14:paraId="4088BC99" w14:textId="2A2CC7AB" w:rsidR="00D15C1B" w:rsidRPr="00154588" w:rsidRDefault="002551E0" w:rsidP="008C12B4">
            <w:pPr>
              <w:jc w:val="both"/>
              <w:rPr>
                <w:bCs/>
                <w:sz w:val="20"/>
                <w:szCs w:val="20"/>
              </w:rPr>
            </w:pPr>
            <w:r w:rsidRPr="00154588">
              <w:rPr>
                <w:bCs/>
                <w:sz w:val="20"/>
                <w:szCs w:val="20"/>
              </w:rPr>
              <w:t>92)</w:t>
            </w:r>
            <w:r w:rsidRPr="00154588">
              <w:rPr>
                <w:bCs/>
                <w:i/>
                <w:iCs/>
                <w:sz w:val="20"/>
                <w:szCs w:val="20"/>
              </w:rPr>
              <w:t xml:space="preserve"> întreprindere-mamă </w:t>
            </w:r>
            <w:r w:rsidRPr="00154588">
              <w:rPr>
                <w:bCs/>
                <w:sz w:val="20"/>
                <w:szCs w:val="20"/>
              </w:rPr>
              <w:t>– astfel cum este definită la art.3 din Legea nr.202/2017;</w:t>
            </w:r>
          </w:p>
        </w:tc>
        <w:tc>
          <w:tcPr>
            <w:tcW w:w="2552" w:type="dxa"/>
          </w:tcPr>
          <w:p w14:paraId="28A5A9B8" w14:textId="63D7B3C1" w:rsidR="00D15C1B" w:rsidRPr="00154588" w:rsidRDefault="0094082B" w:rsidP="008C12B4">
            <w:pPr>
              <w:jc w:val="both"/>
              <w:rPr>
                <w:bCs/>
                <w:sz w:val="20"/>
                <w:szCs w:val="20"/>
              </w:rPr>
            </w:pPr>
            <w:r w:rsidRPr="00154588">
              <w:rPr>
                <w:bCs/>
                <w:sz w:val="20"/>
                <w:szCs w:val="20"/>
              </w:rPr>
              <w:t>Compatibil</w:t>
            </w:r>
          </w:p>
        </w:tc>
        <w:tc>
          <w:tcPr>
            <w:tcW w:w="3118" w:type="dxa"/>
          </w:tcPr>
          <w:p w14:paraId="766CBE33" w14:textId="4A870D64" w:rsidR="00D15C1B" w:rsidRPr="00154588" w:rsidRDefault="00D15C1B" w:rsidP="008C12B4">
            <w:pPr>
              <w:jc w:val="both"/>
              <w:rPr>
                <w:bCs/>
                <w:sz w:val="20"/>
                <w:szCs w:val="20"/>
              </w:rPr>
            </w:pPr>
          </w:p>
        </w:tc>
      </w:tr>
      <w:tr w:rsidR="00D15C1B" w:rsidRPr="00154588" w14:paraId="33C9CE9D" w14:textId="77777777" w:rsidTr="00D15C1B">
        <w:trPr>
          <w:jc w:val="center"/>
        </w:trPr>
        <w:tc>
          <w:tcPr>
            <w:tcW w:w="4957" w:type="dxa"/>
            <w:gridSpan w:val="2"/>
          </w:tcPr>
          <w:p w14:paraId="57DF570A" w14:textId="71C4D816" w:rsidR="00D15C1B" w:rsidRPr="00154588" w:rsidRDefault="00D15C1B" w:rsidP="008C12B4">
            <w:pPr>
              <w:jc w:val="both"/>
              <w:rPr>
                <w:bCs/>
                <w:sz w:val="20"/>
                <w:szCs w:val="20"/>
              </w:rPr>
            </w:pPr>
            <w:r w:rsidRPr="00154588">
              <w:rPr>
                <w:bCs/>
                <w:sz w:val="20"/>
                <w:szCs w:val="20"/>
              </w:rPr>
              <w:lastRenderedPageBreak/>
              <w:t xml:space="preserve">7. </w:t>
            </w:r>
            <w:r w:rsidRPr="00154588">
              <w:rPr>
                <w:b/>
                <w:sz w:val="20"/>
                <w:szCs w:val="20"/>
              </w:rPr>
              <w:t>„bază consolidată”</w:t>
            </w:r>
            <w:r w:rsidRPr="00154588">
              <w:rPr>
                <w:bCs/>
                <w:sz w:val="20"/>
                <w:szCs w:val="20"/>
              </w:rPr>
              <w:t xml:space="preserve"> înseamnă baza situației consolidate astfel cum este definită la articolul 4 alineatul (1) punctul 47 din Regulamentul (UE) nr. 575/2013;</w:t>
            </w:r>
          </w:p>
        </w:tc>
        <w:tc>
          <w:tcPr>
            <w:tcW w:w="4819" w:type="dxa"/>
          </w:tcPr>
          <w:p w14:paraId="5CC544BF" w14:textId="7888AD41" w:rsidR="00D15C1B" w:rsidRPr="00154588" w:rsidRDefault="002551E0" w:rsidP="008C12B4">
            <w:pPr>
              <w:jc w:val="both"/>
              <w:rPr>
                <w:bCs/>
                <w:sz w:val="20"/>
                <w:szCs w:val="20"/>
              </w:rPr>
            </w:pPr>
            <w:r w:rsidRPr="00154588">
              <w:rPr>
                <w:bCs/>
                <w:sz w:val="20"/>
                <w:szCs w:val="20"/>
              </w:rPr>
              <w:t>57)</w:t>
            </w:r>
            <w:r w:rsidRPr="00154588">
              <w:rPr>
                <w:bCs/>
                <w:i/>
                <w:iCs/>
                <w:sz w:val="20"/>
                <w:szCs w:val="20"/>
              </w:rPr>
              <w:t xml:space="preserve"> bază consolidată</w:t>
            </w:r>
            <w:r w:rsidRPr="00154588">
              <w:rPr>
                <w:bCs/>
                <w:sz w:val="20"/>
                <w:szCs w:val="20"/>
              </w:rPr>
              <w:t xml:space="preserve"> – situație consolidată, astfel cum este definită la art.3 din Legea nr.202/2017;</w:t>
            </w:r>
          </w:p>
        </w:tc>
        <w:tc>
          <w:tcPr>
            <w:tcW w:w="2552" w:type="dxa"/>
          </w:tcPr>
          <w:p w14:paraId="58F34791" w14:textId="6517E30E" w:rsidR="00D15C1B" w:rsidRPr="00154588" w:rsidRDefault="0094082B" w:rsidP="008C12B4">
            <w:pPr>
              <w:jc w:val="both"/>
              <w:rPr>
                <w:bCs/>
                <w:sz w:val="20"/>
                <w:szCs w:val="20"/>
              </w:rPr>
            </w:pPr>
            <w:r w:rsidRPr="00154588">
              <w:rPr>
                <w:bCs/>
                <w:sz w:val="20"/>
                <w:szCs w:val="20"/>
              </w:rPr>
              <w:t>Compatibil</w:t>
            </w:r>
          </w:p>
        </w:tc>
        <w:tc>
          <w:tcPr>
            <w:tcW w:w="3118" w:type="dxa"/>
          </w:tcPr>
          <w:p w14:paraId="080D685C" w14:textId="70CE9E8D" w:rsidR="00CF29A0" w:rsidRPr="00154588" w:rsidRDefault="00CF29A0" w:rsidP="008C12B4">
            <w:pPr>
              <w:jc w:val="both"/>
              <w:rPr>
                <w:bCs/>
                <w:sz w:val="20"/>
                <w:szCs w:val="20"/>
              </w:rPr>
            </w:pPr>
          </w:p>
        </w:tc>
      </w:tr>
      <w:tr w:rsidR="00D15C1B" w:rsidRPr="00154588" w14:paraId="03211AE9" w14:textId="77777777" w:rsidTr="00D15C1B">
        <w:trPr>
          <w:jc w:val="center"/>
        </w:trPr>
        <w:tc>
          <w:tcPr>
            <w:tcW w:w="4957" w:type="dxa"/>
            <w:gridSpan w:val="2"/>
          </w:tcPr>
          <w:p w14:paraId="6008311A" w14:textId="5C8B944B" w:rsidR="00D15C1B" w:rsidRPr="00154588" w:rsidRDefault="00D15C1B" w:rsidP="008C12B4">
            <w:pPr>
              <w:jc w:val="both"/>
              <w:rPr>
                <w:bCs/>
                <w:sz w:val="20"/>
                <w:szCs w:val="20"/>
              </w:rPr>
            </w:pPr>
            <w:r w:rsidRPr="00154588">
              <w:rPr>
                <w:bCs/>
                <w:sz w:val="20"/>
                <w:szCs w:val="20"/>
              </w:rPr>
              <w:t xml:space="preserve">8. </w:t>
            </w:r>
            <w:r w:rsidRPr="00154588">
              <w:rPr>
                <w:b/>
                <w:sz w:val="20"/>
                <w:szCs w:val="20"/>
              </w:rPr>
              <w:t>„sistem instituțional de protecție” sau „SIP”</w:t>
            </w:r>
            <w:r w:rsidRPr="00154588">
              <w:rPr>
                <w:bCs/>
                <w:sz w:val="20"/>
                <w:szCs w:val="20"/>
              </w:rPr>
              <w:t xml:space="preserve"> înseamnă un mecanism ce respectă cerințele prevăzute la articolul 113 alineatul (7) din Regulamentul (UE) nr. 575/2013;</w:t>
            </w:r>
          </w:p>
        </w:tc>
        <w:tc>
          <w:tcPr>
            <w:tcW w:w="4819" w:type="dxa"/>
          </w:tcPr>
          <w:p w14:paraId="493C69C4" w14:textId="77777777" w:rsidR="002551E0" w:rsidRPr="00154588" w:rsidRDefault="002551E0" w:rsidP="008C12B4">
            <w:pPr>
              <w:jc w:val="both"/>
              <w:rPr>
                <w:bCs/>
                <w:sz w:val="20"/>
                <w:szCs w:val="20"/>
              </w:rPr>
            </w:pPr>
            <w:r w:rsidRPr="00154588">
              <w:rPr>
                <w:bCs/>
                <w:sz w:val="20"/>
                <w:szCs w:val="20"/>
              </w:rPr>
              <w:t xml:space="preserve">106) </w:t>
            </w:r>
            <w:r w:rsidRPr="00154588">
              <w:rPr>
                <w:bCs/>
                <w:i/>
                <w:iCs/>
                <w:sz w:val="20"/>
                <w:szCs w:val="20"/>
              </w:rPr>
              <w:t>sistem instituțional de protecție (SIP)</w:t>
            </w:r>
            <w:r w:rsidRPr="00154588">
              <w:rPr>
                <w:bCs/>
                <w:sz w:val="20"/>
                <w:szCs w:val="20"/>
              </w:rPr>
              <w:t xml:space="preserve"> – un sistem de protecție contractual sau</w:t>
            </w:r>
          </w:p>
          <w:p w14:paraId="72BD292A" w14:textId="2DB2550D" w:rsidR="00D15C1B" w:rsidRPr="00154588" w:rsidRDefault="002551E0" w:rsidP="008C12B4">
            <w:pPr>
              <w:jc w:val="both"/>
              <w:rPr>
                <w:bCs/>
                <w:sz w:val="20"/>
                <w:szCs w:val="20"/>
              </w:rPr>
            </w:pPr>
            <w:r w:rsidRPr="00154588">
              <w:rPr>
                <w:bCs/>
                <w:sz w:val="20"/>
                <w:szCs w:val="20"/>
              </w:rPr>
              <w:t>instituțional, astfel cum este prevăzut la art.129 alin.(1) lit. d) din Legea nr.202/2017;</w:t>
            </w:r>
          </w:p>
        </w:tc>
        <w:tc>
          <w:tcPr>
            <w:tcW w:w="2552" w:type="dxa"/>
          </w:tcPr>
          <w:p w14:paraId="22BC743D" w14:textId="606E7829" w:rsidR="00D15C1B" w:rsidRPr="00154588" w:rsidRDefault="0094082B" w:rsidP="008C12B4">
            <w:pPr>
              <w:jc w:val="both"/>
              <w:rPr>
                <w:bCs/>
                <w:sz w:val="20"/>
                <w:szCs w:val="20"/>
              </w:rPr>
            </w:pPr>
            <w:r w:rsidRPr="00154588">
              <w:rPr>
                <w:bCs/>
                <w:sz w:val="20"/>
                <w:szCs w:val="20"/>
              </w:rPr>
              <w:t>Compatibil</w:t>
            </w:r>
          </w:p>
        </w:tc>
        <w:tc>
          <w:tcPr>
            <w:tcW w:w="3118" w:type="dxa"/>
          </w:tcPr>
          <w:p w14:paraId="32C40275" w14:textId="77777777" w:rsidR="00D15C1B" w:rsidRPr="00154588" w:rsidRDefault="00D15C1B" w:rsidP="008C12B4">
            <w:pPr>
              <w:jc w:val="both"/>
              <w:rPr>
                <w:bCs/>
                <w:sz w:val="20"/>
                <w:szCs w:val="20"/>
              </w:rPr>
            </w:pPr>
          </w:p>
        </w:tc>
      </w:tr>
      <w:tr w:rsidR="00D15C1B" w:rsidRPr="00154588" w14:paraId="69D869BB" w14:textId="77777777" w:rsidTr="00D15C1B">
        <w:trPr>
          <w:jc w:val="center"/>
        </w:trPr>
        <w:tc>
          <w:tcPr>
            <w:tcW w:w="4957" w:type="dxa"/>
            <w:gridSpan w:val="2"/>
          </w:tcPr>
          <w:p w14:paraId="2812003D" w14:textId="40050E47" w:rsidR="00D15C1B" w:rsidRPr="00154588" w:rsidRDefault="00D15C1B" w:rsidP="008C12B4">
            <w:pPr>
              <w:rPr>
                <w:bCs/>
                <w:sz w:val="20"/>
                <w:szCs w:val="20"/>
              </w:rPr>
            </w:pPr>
            <w:r w:rsidRPr="00154588">
              <w:rPr>
                <w:bCs/>
                <w:sz w:val="20"/>
                <w:szCs w:val="20"/>
              </w:rPr>
              <w:t xml:space="preserve">9. </w:t>
            </w:r>
            <w:r w:rsidRPr="00154588">
              <w:rPr>
                <w:b/>
                <w:sz w:val="20"/>
                <w:szCs w:val="20"/>
              </w:rPr>
              <w:t>„societate financiară holding”</w:t>
            </w:r>
            <w:r w:rsidRPr="00154588">
              <w:rPr>
                <w:bCs/>
                <w:sz w:val="20"/>
                <w:szCs w:val="20"/>
              </w:rPr>
              <w:t xml:space="preserve"> înseamnă un holding financiar astfel cum este definită la articolul 4 alineatul (1) punctul 20 din Regulamentul (UE) nr. 575/2013;</w:t>
            </w:r>
          </w:p>
        </w:tc>
        <w:tc>
          <w:tcPr>
            <w:tcW w:w="4819" w:type="dxa"/>
          </w:tcPr>
          <w:p w14:paraId="71BB7E65" w14:textId="2D42DC6E" w:rsidR="00D15C1B" w:rsidRPr="00154588" w:rsidRDefault="002551E0" w:rsidP="008C12B4">
            <w:pPr>
              <w:jc w:val="both"/>
              <w:rPr>
                <w:bCs/>
                <w:sz w:val="20"/>
                <w:szCs w:val="20"/>
              </w:rPr>
            </w:pPr>
            <w:r w:rsidRPr="00154588">
              <w:rPr>
                <w:bCs/>
                <w:sz w:val="20"/>
                <w:szCs w:val="20"/>
              </w:rPr>
              <w:t xml:space="preserve">107) </w:t>
            </w:r>
            <w:r w:rsidRPr="00154588">
              <w:rPr>
                <w:bCs/>
                <w:i/>
                <w:iCs/>
                <w:sz w:val="20"/>
                <w:szCs w:val="20"/>
              </w:rPr>
              <w:t xml:space="preserve">societate financiară holding </w:t>
            </w:r>
            <w:r w:rsidRPr="00154588">
              <w:rPr>
                <w:bCs/>
                <w:sz w:val="20"/>
                <w:szCs w:val="20"/>
              </w:rPr>
              <w:t>– un holding financiar, astfel cum este definită la art.3 din Legea nr.202/2017;</w:t>
            </w:r>
          </w:p>
        </w:tc>
        <w:tc>
          <w:tcPr>
            <w:tcW w:w="2552" w:type="dxa"/>
          </w:tcPr>
          <w:p w14:paraId="582E9349" w14:textId="0904A234" w:rsidR="00D15C1B" w:rsidRPr="00154588" w:rsidRDefault="0094082B" w:rsidP="008C12B4">
            <w:pPr>
              <w:jc w:val="both"/>
              <w:rPr>
                <w:bCs/>
                <w:sz w:val="20"/>
                <w:szCs w:val="20"/>
              </w:rPr>
            </w:pPr>
            <w:r w:rsidRPr="00154588">
              <w:rPr>
                <w:bCs/>
                <w:sz w:val="20"/>
                <w:szCs w:val="20"/>
              </w:rPr>
              <w:t>Compatibil</w:t>
            </w:r>
          </w:p>
        </w:tc>
        <w:tc>
          <w:tcPr>
            <w:tcW w:w="3118" w:type="dxa"/>
          </w:tcPr>
          <w:p w14:paraId="0DD54BA9" w14:textId="61E91388" w:rsidR="00D15C1B" w:rsidRPr="00154588" w:rsidRDefault="00D15C1B" w:rsidP="008C12B4">
            <w:pPr>
              <w:jc w:val="both"/>
              <w:rPr>
                <w:bCs/>
                <w:sz w:val="20"/>
                <w:szCs w:val="20"/>
              </w:rPr>
            </w:pPr>
          </w:p>
        </w:tc>
      </w:tr>
      <w:tr w:rsidR="00D15C1B" w:rsidRPr="00154588" w14:paraId="273C509E" w14:textId="77777777" w:rsidTr="00D15C1B">
        <w:trPr>
          <w:jc w:val="center"/>
        </w:trPr>
        <w:tc>
          <w:tcPr>
            <w:tcW w:w="4957" w:type="dxa"/>
            <w:gridSpan w:val="2"/>
          </w:tcPr>
          <w:p w14:paraId="2E5D0992" w14:textId="4BE18889" w:rsidR="00D15C1B" w:rsidRPr="00154588" w:rsidRDefault="00D15C1B" w:rsidP="008C12B4">
            <w:pPr>
              <w:jc w:val="both"/>
              <w:rPr>
                <w:bCs/>
                <w:sz w:val="20"/>
                <w:szCs w:val="20"/>
              </w:rPr>
            </w:pPr>
            <w:r w:rsidRPr="00154588">
              <w:rPr>
                <w:bCs/>
                <w:sz w:val="20"/>
                <w:szCs w:val="20"/>
              </w:rPr>
              <w:t xml:space="preserve">10. </w:t>
            </w:r>
            <w:r w:rsidRPr="00154588">
              <w:rPr>
                <w:b/>
                <w:sz w:val="20"/>
                <w:szCs w:val="20"/>
              </w:rPr>
              <w:t xml:space="preserve">„societate financiară holding mixtă” </w:t>
            </w:r>
            <w:r w:rsidRPr="00154588">
              <w:rPr>
                <w:bCs/>
                <w:sz w:val="20"/>
                <w:szCs w:val="20"/>
              </w:rPr>
              <w:t>înseamnă o societate financiară holding mixtă astfel cum este definită la articolul 4 alineatul (1) punctul 21 din Regulamentul (UE) nr. 575/2013;</w:t>
            </w:r>
          </w:p>
        </w:tc>
        <w:tc>
          <w:tcPr>
            <w:tcW w:w="4819" w:type="dxa"/>
          </w:tcPr>
          <w:p w14:paraId="68B7F356" w14:textId="03F7B186" w:rsidR="00D15C1B" w:rsidRPr="00154588" w:rsidRDefault="002551E0" w:rsidP="008C12B4">
            <w:pPr>
              <w:rPr>
                <w:bCs/>
                <w:sz w:val="20"/>
                <w:szCs w:val="20"/>
              </w:rPr>
            </w:pPr>
            <w:r w:rsidRPr="00154588">
              <w:rPr>
                <w:sz w:val="20"/>
                <w:szCs w:val="20"/>
              </w:rPr>
              <w:t xml:space="preserve">108) </w:t>
            </w:r>
            <w:r w:rsidRPr="00154588">
              <w:rPr>
                <w:i/>
                <w:iCs/>
                <w:sz w:val="20"/>
                <w:szCs w:val="20"/>
              </w:rPr>
              <w:t>societate financiară holding mixtă</w:t>
            </w:r>
            <w:r w:rsidRPr="00154588">
              <w:rPr>
                <w:sz w:val="20"/>
                <w:szCs w:val="20"/>
              </w:rPr>
              <w:t xml:space="preserve"> – o societate financiară holding mixtă, astfel cum este definită la art.3 din Legea nr.202/2017;</w:t>
            </w:r>
          </w:p>
        </w:tc>
        <w:tc>
          <w:tcPr>
            <w:tcW w:w="2552" w:type="dxa"/>
          </w:tcPr>
          <w:p w14:paraId="1B26B5F7" w14:textId="11CF482F" w:rsidR="00D15C1B" w:rsidRPr="00154588" w:rsidRDefault="0094082B" w:rsidP="008C12B4">
            <w:pPr>
              <w:jc w:val="both"/>
              <w:rPr>
                <w:bCs/>
                <w:sz w:val="20"/>
                <w:szCs w:val="20"/>
              </w:rPr>
            </w:pPr>
            <w:r w:rsidRPr="00154588">
              <w:rPr>
                <w:bCs/>
                <w:sz w:val="20"/>
                <w:szCs w:val="20"/>
              </w:rPr>
              <w:t>Compatibil</w:t>
            </w:r>
          </w:p>
        </w:tc>
        <w:tc>
          <w:tcPr>
            <w:tcW w:w="3118" w:type="dxa"/>
          </w:tcPr>
          <w:p w14:paraId="371F8266" w14:textId="12713338" w:rsidR="00D15C1B" w:rsidRPr="00154588" w:rsidRDefault="00D15C1B" w:rsidP="008C12B4">
            <w:pPr>
              <w:jc w:val="both"/>
              <w:rPr>
                <w:bCs/>
                <w:sz w:val="20"/>
                <w:szCs w:val="20"/>
              </w:rPr>
            </w:pPr>
          </w:p>
        </w:tc>
      </w:tr>
      <w:tr w:rsidR="00D15C1B" w:rsidRPr="00154588" w14:paraId="6D653068" w14:textId="77777777" w:rsidTr="00D15C1B">
        <w:trPr>
          <w:jc w:val="center"/>
        </w:trPr>
        <w:tc>
          <w:tcPr>
            <w:tcW w:w="4957" w:type="dxa"/>
            <w:gridSpan w:val="2"/>
          </w:tcPr>
          <w:p w14:paraId="4FED9836" w14:textId="20D87666" w:rsidR="00D15C1B" w:rsidRPr="00154588" w:rsidRDefault="00D15C1B" w:rsidP="008C12B4">
            <w:pPr>
              <w:jc w:val="both"/>
              <w:rPr>
                <w:bCs/>
                <w:sz w:val="20"/>
                <w:szCs w:val="20"/>
              </w:rPr>
            </w:pPr>
            <w:r w:rsidRPr="00154588">
              <w:rPr>
                <w:bCs/>
                <w:sz w:val="20"/>
                <w:szCs w:val="20"/>
              </w:rPr>
              <w:t xml:space="preserve">11. </w:t>
            </w:r>
            <w:r w:rsidRPr="00154588">
              <w:rPr>
                <w:b/>
                <w:sz w:val="20"/>
                <w:szCs w:val="20"/>
              </w:rPr>
              <w:t>„societate holding cu activitate mixtă”</w:t>
            </w:r>
            <w:r w:rsidRPr="00154588">
              <w:rPr>
                <w:bCs/>
                <w:sz w:val="20"/>
                <w:szCs w:val="20"/>
              </w:rPr>
              <w:t xml:space="preserve"> înseamnă o societate holding cu activitate mixtă astfel cum este definit la articolul 4 alineatul (1) punctul 22 din Regulamentul (UE) nr. 575/2013;</w:t>
            </w:r>
          </w:p>
        </w:tc>
        <w:tc>
          <w:tcPr>
            <w:tcW w:w="4819" w:type="dxa"/>
          </w:tcPr>
          <w:p w14:paraId="211EB559" w14:textId="7BC84036" w:rsidR="00D15C1B" w:rsidRPr="00154588" w:rsidRDefault="002551E0" w:rsidP="008C12B4">
            <w:pPr>
              <w:jc w:val="both"/>
              <w:rPr>
                <w:bCs/>
                <w:sz w:val="20"/>
                <w:szCs w:val="20"/>
              </w:rPr>
            </w:pPr>
            <w:r w:rsidRPr="00154588">
              <w:rPr>
                <w:bCs/>
                <w:sz w:val="20"/>
                <w:szCs w:val="20"/>
              </w:rPr>
              <w:t xml:space="preserve">113) </w:t>
            </w:r>
            <w:r w:rsidRPr="00154588">
              <w:rPr>
                <w:bCs/>
                <w:i/>
                <w:iCs/>
                <w:sz w:val="20"/>
                <w:szCs w:val="20"/>
              </w:rPr>
              <w:t>societate holding cu activitate mixtă</w:t>
            </w:r>
            <w:r w:rsidRPr="00154588">
              <w:rPr>
                <w:bCs/>
                <w:sz w:val="20"/>
                <w:szCs w:val="20"/>
              </w:rPr>
              <w:t xml:space="preserve"> – o societate holding cu activitate mixtă astfel, cum este definită la art.3 din Legea nr.202/2017;</w:t>
            </w:r>
          </w:p>
        </w:tc>
        <w:tc>
          <w:tcPr>
            <w:tcW w:w="2552" w:type="dxa"/>
          </w:tcPr>
          <w:p w14:paraId="0D71424D" w14:textId="5810FBC1" w:rsidR="00D15C1B" w:rsidRPr="00154588" w:rsidRDefault="0094082B" w:rsidP="008C12B4">
            <w:pPr>
              <w:jc w:val="both"/>
              <w:rPr>
                <w:bCs/>
                <w:sz w:val="20"/>
                <w:szCs w:val="20"/>
              </w:rPr>
            </w:pPr>
            <w:r w:rsidRPr="00154588">
              <w:rPr>
                <w:bCs/>
                <w:sz w:val="20"/>
                <w:szCs w:val="20"/>
              </w:rPr>
              <w:t>Compatibil</w:t>
            </w:r>
          </w:p>
        </w:tc>
        <w:tc>
          <w:tcPr>
            <w:tcW w:w="3118" w:type="dxa"/>
          </w:tcPr>
          <w:p w14:paraId="4D092A43" w14:textId="35761EDA" w:rsidR="00D15C1B" w:rsidRPr="00154588" w:rsidRDefault="00D15C1B" w:rsidP="008C12B4">
            <w:pPr>
              <w:jc w:val="both"/>
              <w:rPr>
                <w:bCs/>
                <w:sz w:val="20"/>
                <w:szCs w:val="20"/>
              </w:rPr>
            </w:pPr>
          </w:p>
        </w:tc>
      </w:tr>
      <w:tr w:rsidR="00D15C1B" w:rsidRPr="00154588" w14:paraId="1ABF283F" w14:textId="77777777" w:rsidTr="00422676">
        <w:trPr>
          <w:trHeight w:val="1007"/>
          <w:jc w:val="center"/>
        </w:trPr>
        <w:tc>
          <w:tcPr>
            <w:tcW w:w="4957" w:type="dxa"/>
            <w:gridSpan w:val="2"/>
          </w:tcPr>
          <w:p w14:paraId="5DFF053C" w14:textId="46A30882" w:rsidR="00D15C1B" w:rsidRPr="00154588" w:rsidRDefault="00D15C1B" w:rsidP="008C12B4">
            <w:pPr>
              <w:jc w:val="both"/>
              <w:rPr>
                <w:bCs/>
                <w:sz w:val="20"/>
                <w:szCs w:val="20"/>
              </w:rPr>
            </w:pPr>
            <w:r w:rsidRPr="00154588">
              <w:rPr>
                <w:bCs/>
                <w:sz w:val="20"/>
                <w:szCs w:val="20"/>
              </w:rPr>
              <w:t xml:space="preserve">12. </w:t>
            </w:r>
            <w:r w:rsidRPr="00154588">
              <w:rPr>
                <w:b/>
                <w:sz w:val="20"/>
                <w:szCs w:val="20"/>
              </w:rPr>
              <w:t>„societate financiară holding -mamă dintr-un stat membru”</w:t>
            </w:r>
            <w:r w:rsidRPr="00154588">
              <w:rPr>
                <w:bCs/>
                <w:sz w:val="20"/>
                <w:szCs w:val="20"/>
              </w:rPr>
              <w:t xml:space="preserve"> înseamnă o societate financiară holding-mamă dintr-un stat membru astfel cum este definită la articolul 4 alineatul (1) punctul 30 din Regulamentul (UE) nr. 575/2013;</w:t>
            </w:r>
          </w:p>
        </w:tc>
        <w:tc>
          <w:tcPr>
            <w:tcW w:w="4819" w:type="dxa"/>
          </w:tcPr>
          <w:p w14:paraId="7EC208B2" w14:textId="0219C65B" w:rsidR="00D15C1B" w:rsidRPr="00154588" w:rsidRDefault="002551E0" w:rsidP="008C12B4">
            <w:pPr>
              <w:jc w:val="both"/>
              <w:rPr>
                <w:bCs/>
                <w:sz w:val="20"/>
                <w:szCs w:val="20"/>
              </w:rPr>
            </w:pPr>
            <w:r w:rsidRPr="00154588">
              <w:rPr>
                <w:bCs/>
                <w:sz w:val="20"/>
                <w:szCs w:val="20"/>
              </w:rPr>
              <w:t xml:space="preserve">109) </w:t>
            </w:r>
            <w:r w:rsidRPr="00154588">
              <w:rPr>
                <w:bCs/>
                <w:i/>
                <w:iCs/>
                <w:sz w:val="20"/>
                <w:szCs w:val="20"/>
              </w:rPr>
              <w:t>societate financiară holding-mamă</w:t>
            </w:r>
            <w:r w:rsidRPr="00154588">
              <w:rPr>
                <w:bCs/>
                <w:sz w:val="20"/>
                <w:szCs w:val="20"/>
              </w:rPr>
              <w:t xml:space="preserve"> </w:t>
            </w:r>
            <w:r w:rsidRPr="00154588">
              <w:rPr>
                <w:bCs/>
                <w:i/>
                <w:iCs/>
                <w:sz w:val="20"/>
                <w:szCs w:val="20"/>
              </w:rPr>
              <w:t>dintr-un stat membru</w:t>
            </w:r>
            <w:r w:rsidRPr="00154588">
              <w:rPr>
                <w:bCs/>
                <w:sz w:val="20"/>
                <w:szCs w:val="20"/>
              </w:rPr>
              <w:t xml:space="preserve"> – o societate financiară holding-mamă dintr-un stat membru, astfel cum este definită la art.3 din Legea nr.202/2017;</w:t>
            </w:r>
          </w:p>
        </w:tc>
        <w:tc>
          <w:tcPr>
            <w:tcW w:w="2552" w:type="dxa"/>
          </w:tcPr>
          <w:p w14:paraId="17747C06" w14:textId="1E96FC4C" w:rsidR="00D15C1B" w:rsidRPr="00154588" w:rsidRDefault="0094082B" w:rsidP="008C12B4">
            <w:pPr>
              <w:jc w:val="both"/>
              <w:rPr>
                <w:bCs/>
                <w:sz w:val="20"/>
                <w:szCs w:val="20"/>
              </w:rPr>
            </w:pPr>
            <w:r w:rsidRPr="00154588">
              <w:rPr>
                <w:bCs/>
                <w:sz w:val="20"/>
                <w:szCs w:val="20"/>
              </w:rPr>
              <w:t>Compatibil</w:t>
            </w:r>
          </w:p>
        </w:tc>
        <w:tc>
          <w:tcPr>
            <w:tcW w:w="3118" w:type="dxa"/>
          </w:tcPr>
          <w:p w14:paraId="6AC6A98D" w14:textId="7EDFB134" w:rsidR="00D15C1B" w:rsidRPr="00154588" w:rsidRDefault="00D15C1B" w:rsidP="008C12B4">
            <w:pPr>
              <w:jc w:val="both"/>
              <w:rPr>
                <w:bCs/>
                <w:sz w:val="20"/>
                <w:szCs w:val="20"/>
              </w:rPr>
            </w:pPr>
          </w:p>
        </w:tc>
      </w:tr>
      <w:tr w:rsidR="00D15C1B" w:rsidRPr="00154588" w14:paraId="2ED34850" w14:textId="77777777" w:rsidTr="00D15C1B">
        <w:trPr>
          <w:jc w:val="center"/>
        </w:trPr>
        <w:tc>
          <w:tcPr>
            <w:tcW w:w="4957" w:type="dxa"/>
            <w:gridSpan w:val="2"/>
          </w:tcPr>
          <w:p w14:paraId="3277C22B" w14:textId="776B5ABD" w:rsidR="00D15C1B" w:rsidRPr="00154588" w:rsidRDefault="00D15C1B" w:rsidP="008C12B4">
            <w:pPr>
              <w:jc w:val="both"/>
              <w:rPr>
                <w:bCs/>
                <w:sz w:val="20"/>
                <w:szCs w:val="20"/>
              </w:rPr>
            </w:pPr>
            <w:r w:rsidRPr="00154588">
              <w:rPr>
                <w:bCs/>
                <w:sz w:val="20"/>
                <w:szCs w:val="20"/>
              </w:rPr>
              <w:t xml:space="preserve">13. </w:t>
            </w:r>
            <w:r w:rsidRPr="00154588">
              <w:rPr>
                <w:b/>
                <w:sz w:val="20"/>
                <w:szCs w:val="20"/>
              </w:rPr>
              <w:t>„societate financiară holding-mamă din Uniune”</w:t>
            </w:r>
            <w:r w:rsidRPr="00154588">
              <w:rPr>
                <w:bCs/>
                <w:sz w:val="20"/>
                <w:szCs w:val="20"/>
              </w:rPr>
              <w:t xml:space="preserve"> înseamnă societate financiară holding-mamă din UE astfel cum este definită la articolul 4 alineatul (1) punctul 31 din Regulamentul (UE) nr. 575/2013;</w:t>
            </w:r>
          </w:p>
        </w:tc>
        <w:tc>
          <w:tcPr>
            <w:tcW w:w="4819" w:type="dxa"/>
          </w:tcPr>
          <w:p w14:paraId="1478E914" w14:textId="04F93822" w:rsidR="00D15C1B" w:rsidRPr="00154588" w:rsidRDefault="002551E0" w:rsidP="008C12B4">
            <w:pPr>
              <w:jc w:val="both"/>
              <w:rPr>
                <w:bCs/>
                <w:sz w:val="20"/>
                <w:szCs w:val="20"/>
              </w:rPr>
            </w:pPr>
            <w:r w:rsidRPr="00154588">
              <w:rPr>
                <w:bCs/>
                <w:sz w:val="20"/>
                <w:szCs w:val="20"/>
              </w:rPr>
              <w:t xml:space="preserve">110) </w:t>
            </w:r>
            <w:r w:rsidRPr="00154588">
              <w:rPr>
                <w:bCs/>
                <w:i/>
                <w:iCs/>
                <w:sz w:val="20"/>
                <w:szCs w:val="20"/>
              </w:rPr>
              <w:t>societate financiară holding-mamă din Uniunea Europeană</w:t>
            </w:r>
            <w:r w:rsidRPr="00154588">
              <w:rPr>
                <w:bCs/>
                <w:sz w:val="20"/>
                <w:szCs w:val="20"/>
              </w:rPr>
              <w:t xml:space="preserve"> – societate financiară holding-mamă din Uniunea Europeană, astfel cum este definită la art.3 din Legea nr.202/2017;</w:t>
            </w:r>
          </w:p>
        </w:tc>
        <w:tc>
          <w:tcPr>
            <w:tcW w:w="2552" w:type="dxa"/>
          </w:tcPr>
          <w:p w14:paraId="75564200" w14:textId="2159B9A4" w:rsidR="00D15C1B" w:rsidRPr="00154588" w:rsidRDefault="0094082B" w:rsidP="008C12B4">
            <w:pPr>
              <w:jc w:val="both"/>
              <w:rPr>
                <w:bCs/>
                <w:sz w:val="20"/>
                <w:szCs w:val="20"/>
              </w:rPr>
            </w:pPr>
            <w:r w:rsidRPr="00154588">
              <w:rPr>
                <w:bCs/>
                <w:sz w:val="20"/>
                <w:szCs w:val="20"/>
              </w:rPr>
              <w:t>Compatibil</w:t>
            </w:r>
          </w:p>
        </w:tc>
        <w:tc>
          <w:tcPr>
            <w:tcW w:w="3118" w:type="dxa"/>
          </w:tcPr>
          <w:p w14:paraId="092EE108" w14:textId="0E6CD9A9" w:rsidR="00D15C1B" w:rsidRPr="00154588" w:rsidRDefault="00D15C1B" w:rsidP="008C12B4">
            <w:pPr>
              <w:jc w:val="both"/>
              <w:rPr>
                <w:bCs/>
                <w:sz w:val="20"/>
                <w:szCs w:val="20"/>
              </w:rPr>
            </w:pPr>
          </w:p>
        </w:tc>
      </w:tr>
      <w:tr w:rsidR="00D15C1B" w:rsidRPr="00154588" w14:paraId="23BE40A7" w14:textId="77777777" w:rsidTr="00D15C1B">
        <w:trPr>
          <w:jc w:val="center"/>
        </w:trPr>
        <w:tc>
          <w:tcPr>
            <w:tcW w:w="4957" w:type="dxa"/>
            <w:gridSpan w:val="2"/>
          </w:tcPr>
          <w:p w14:paraId="7A89E460" w14:textId="2BAD6A26" w:rsidR="00D15C1B" w:rsidRPr="00154588" w:rsidRDefault="00D15C1B" w:rsidP="008C12B4">
            <w:pPr>
              <w:jc w:val="both"/>
              <w:rPr>
                <w:bCs/>
                <w:sz w:val="20"/>
                <w:szCs w:val="20"/>
              </w:rPr>
            </w:pPr>
            <w:r w:rsidRPr="00154588">
              <w:rPr>
                <w:bCs/>
                <w:sz w:val="20"/>
                <w:szCs w:val="20"/>
              </w:rPr>
              <w:t xml:space="preserve">14. </w:t>
            </w:r>
            <w:r w:rsidRPr="00154588">
              <w:rPr>
                <w:b/>
                <w:sz w:val="20"/>
                <w:szCs w:val="20"/>
              </w:rPr>
              <w:t>„societate financiară holding mixtă-mamă dintr-un stat membru”</w:t>
            </w:r>
            <w:r w:rsidRPr="00154588">
              <w:rPr>
                <w:bCs/>
                <w:sz w:val="20"/>
                <w:szCs w:val="20"/>
              </w:rPr>
              <w:t xml:space="preserve"> înseamnă societate financiară holding mixtă-mamă dintr-un stat membru astfel cum este definită la articolul 4 alineatul (1) punctul 32 din Regulamentul (UE) nr. 575/2013;</w:t>
            </w:r>
          </w:p>
        </w:tc>
        <w:tc>
          <w:tcPr>
            <w:tcW w:w="4819" w:type="dxa"/>
          </w:tcPr>
          <w:p w14:paraId="2158CDF4" w14:textId="4E9F765D" w:rsidR="00D15C1B" w:rsidRPr="00154588" w:rsidRDefault="002551E0" w:rsidP="008C12B4">
            <w:pPr>
              <w:jc w:val="both"/>
              <w:rPr>
                <w:bCs/>
                <w:sz w:val="20"/>
                <w:szCs w:val="20"/>
              </w:rPr>
            </w:pPr>
            <w:r w:rsidRPr="00154588">
              <w:rPr>
                <w:bCs/>
                <w:sz w:val="20"/>
                <w:szCs w:val="20"/>
              </w:rPr>
              <w:t xml:space="preserve">111) </w:t>
            </w:r>
            <w:r w:rsidRPr="00154588">
              <w:rPr>
                <w:bCs/>
                <w:i/>
                <w:iCs/>
                <w:sz w:val="20"/>
                <w:szCs w:val="20"/>
              </w:rPr>
              <w:t xml:space="preserve">societate financiară holding mixtă-mamă dintr-un stat membru </w:t>
            </w:r>
            <w:r w:rsidRPr="00154588">
              <w:rPr>
                <w:bCs/>
                <w:sz w:val="20"/>
                <w:szCs w:val="20"/>
              </w:rPr>
              <w:t>– o societate financiară holding mixtă-mamă dintr-un stat membru, astfel cum este definită la art.3 din Legea nr.202/2017;</w:t>
            </w:r>
          </w:p>
        </w:tc>
        <w:tc>
          <w:tcPr>
            <w:tcW w:w="2552" w:type="dxa"/>
          </w:tcPr>
          <w:p w14:paraId="7E8289A9" w14:textId="0A338DBE" w:rsidR="00D15C1B" w:rsidRPr="00154588" w:rsidRDefault="0094082B" w:rsidP="008C12B4">
            <w:pPr>
              <w:jc w:val="both"/>
              <w:rPr>
                <w:bCs/>
                <w:sz w:val="20"/>
                <w:szCs w:val="20"/>
              </w:rPr>
            </w:pPr>
            <w:r w:rsidRPr="00154588">
              <w:rPr>
                <w:bCs/>
                <w:sz w:val="20"/>
                <w:szCs w:val="20"/>
              </w:rPr>
              <w:t>Compatibil</w:t>
            </w:r>
          </w:p>
        </w:tc>
        <w:tc>
          <w:tcPr>
            <w:tcW w:w="3118" w:type="dxa"/>
          </w:tcPr>
          <w:p w14:paraId="70E80FFA" w14:textId="50AD4325" w:rsidR="000E0A7F" w:rsidRPr="00154588" w:rsidRDefault="000E0A7F" w:rsidP="008C12B4">
            <w:pPr>
              <w:jc w:val="both"/>
              <w:rPr>
                <w:bCs/>
                <w:sz w:val="20"/>
                <w:szCs w:val="20"/>
              </w:rPr>
            </w:pPr>
          </w:p>
        </w:tc>
      </w:tr>
      <w:tr w:rsidR="00D15C1B" w:rsidRPr="00154588" w14:paraId="3FBBFA40" w14:textId="77777777" w:rsidTr="00D15C1B">
        <w:trPr>
          <w:jc w:val="center"/>
        </w:trPr>
        <w:tc>
          <w:tcPr>
            <w:tcW w:w="4957" w:type="dxa"/>
            <w:gridSpan w:val="2"/>
          </w:tcPr>
          <w:p w14:paraId="1199694B" w14:textId="7FF44CF5" w:rsidR="00D15C1B" w:rsidRPr="00154588" w:rsidRDefault="00D15C1B" w:rsidP="008C12B4">
            <w:pPr>
              <w:jc w:val="both"/>
              <w:rPr>
                <w:bCs/>
                <w:sz w:val="20"/>
                <w:szCs w:val="20"/>
              </w:rPr>
            </w:pPr>
            <w:r w:rsidRPr="00154588">
              <w:rPr>
                <w:bCs/>
                <w:sz w:val="20"/>
                <w:szCs w:val="20"/>
              </w:rPr>
              <w:t xml:space="preserve">15. </w:t>
            </w:r>
            <w:r w:rsidRPr="00154588">
              <w:rPr>
                <w:b/>
                <w:sz w:val="20"/>
                <w:szCs w:val="20"/>
              </w:rPr>
              <w:t>„societate financiară holding mixtă-mamă din Uniune”</w:t>
            </w:r>
            <w:r w:rsidRPr="00154588">
              <w:rPr>
                <w:bCs/>
                <w:sz w:val="20"/>
                <w:szCs w:val="20"/>
              </w:rPr>
              <w:t xml:space="preserve"> înseamnă o societate financiară holding mixtă-mamă din UE astfel cum este definită la articolul 4 alineatul (1) punctul 33 din Regulamentul (UE) nr. 575/2013;</w:t>
            </w:r>
          </w:p>
        </w:tc>
        <w:tc>
          <w:tcPr>
            <w:tcW w:w="4819" w:type="dxa"/>
          </w:tcPr>
          <w:p w14:paraId="6F220175" w14:textId="048FC85D" w:rsidR="00D15C1B" w:rsidRPr="00154588" w:rsidRDefault="002551E0" w:rsidP="008C12B4">
            <w:pPr>
              <w:jc w:val="both"/>
              <w:rPr>
                <w:bCs/>
                <w:sz w:val="20"/>
                <w:szCs w:val="20"/>
              </w:rPr>
            </w:pPr>
            <w:r w:rsidRPr="00154588">
              <w:rPr>
                <w:bCs/>
                <w:sz w:val="20"/>
                <w:szCs w:val="20"/>
              </w:rPr>
              <w:t xml:space="preserve">112) </w:t>
            </w:r>
            <w:r w:rsidRPr="00154588">
              <w:rPr>
                <w:bCs/>
                <w:i/>
                <w:iCs/>
                <w:sz w:val="20"/>
                <w:szCs w:val="20"/>
              </w:rPr>
              <w:t xml:space="preserve">societate financiară holding mixtă-mamă din Uniunea Europeană </w:t>
            </w:r>
            <w:r w:rsidRPr="00154588">
              <w:rPr>
                <w:bCs/>
                <w:sz w:val="20"/>
                <w:szCs w:val="20"/>
              </w:rPr>
              <w:t>– o societate financiară holding mixtă-mamă din Uniunea Europeană, astfel cum este definită la art.3 din Legea nr.202/2017;</w:t>
            </w:r>
          </w:p>
        </w:tc>
        <w:tc>
          <w:tcPr>
            <w:tcW w:w="2552" w:type="dxa"/>
          </w:tcPr>
          <w:p w14:paraId="1774F2CC" w14:textId="76D1583C" w:rsidR="00D15C1B" w:rsidRPr="00154588" w:rsidRDefault="0094082B" w:rsidP="008C12B4">
            <w:pPr>
              <w:jc w:val="both"/>
              <w:rPr>
                <w:bCs/>
                <w:sz w:val="20"/>
                <w:szCs w:val="20"/>
              </w:rPr>
            </w:pPr>
            <w:r w:rsidRPr="00154588">
              <w:rPr>
                <w:bCs/>
                <w:sz w:val="20"/>
                <w:szCs w:val="20"/>
              </w:rPr>
              <w:t>Compatibil</w:t>
            </w:r>
          </w:p>
        </w:tc>
        <w:tc>
          <w:tcPr>
            <w:tcW w:w="3118" w:type="dxa"/>
          </w:tcPr>
          <w:p w14:paraId="7C934AA1" w14:textId="7DE5710E" w:rsidR="00D15C1B" w:rsidRPr="00154588" w:rsidRDefault="00D15C1B" w:rsidP="008C12B4">
            <w:pPr>
              <w:jc w:val="both"/>
              <w:rPr>
                <w:bCs/>
                <w:sz w:val="20"/>
                <w:szCs w:val="20"/>
              </w:rPr>
            </w:pPr>
          </w:p>
        </w:tc>
      </w:tr>
      <w:tr w:rsidR="00D15C1B" w:rsidRPr="00154588" w14:paraId="7A6CFA45" w14:textId="77777777" w:rsidTr="00D15C1B">
        <w:trPr>
          <w:jc w:val="center"/>
        </w:trPr>
        <w:tc>
          <w:tcPr>
            <w:tcW w:w="4957" w:type="dxa"/>
            <w:gridSpan w:val="2"/>
          </w:tcPr>
          <w:p w14:paraId="715286AE" w14:textId="0D018DC7" w:rsidR="00D15C1B" w:rsidRPr="00154588" w:rsidRDefault="00D15C1B" w:rsidP="008C12B4">
            <w:pPr>
              <w:jc w:val="both"/>
              <w:rPr>
                <w:bCs/>
                <w:sz w:val="20"/>
                <w:szCs w:val="20"/>
              </w:rPr>
            </w:pPr>
            <w:r w:rsidRPr="00154588">
              <w:rPr>
                <w:bCs/>
                <w:sz w:val="20"/>
                <w:szCs w:val="20"/>
              </w:rPr>
              <w:t xml:space="preserve">16. </w:t>
            </w:r>
            <w:r w:rsidRPr="00154588">
              <w:rPr>
                <w:b/>
                <w:sz w:val="20"/>
                <w:szCs w:val="20"/>
              </w:rPr>
              <w:t>„obiectivele rezoluției”</w:t>
            </w:r>
            <w:r w:rsidRPr="00154588">
              <w:rPr>
                <w:bCs/>
                <w:sz w:val="20"/>
                <w:szCs w:val="20"/>
              </w:rPr>
              <w:t xml:space="preserve"> sunt obiectivele rezoluției menționate la articolul 31 alineatul (2);</w:t>
            </w:r>
          </w:p>
        </w:tc>
        <w:tc>
          <w:tcPr>
            <w:tcW w:w="4819" w:type="dxa"/>
          </w:tcPr>
          <w:p w14:paraId="23758CE1" w14:textId="5A6D58B3" w:rsidR="00D15C1B" w:rsidRPr="00154588" w:rsidRDefault="002551E0" w:rsidP="008C12B4">
            <w:pPr>
              <w:jc w:val="both"/>
              <w:rPr>
                <w:bCs/>
                <w:sz w:val="20"/>
                <w:szCs w:val="20"/>
              </w:rPr>
            </w:pPr>
            <w:r w:rsidRPr="00154588">
              <w:rPr>
                <w:bCs/>
                <w:sz w:val="20"/>
                <w:szCs w:val="20"/>
              </w:rPr>
              <w:t>97)</w:t>
            </w:r>
            <w:r w:rsidRPr="00154588">
              <w:rPr>
                <w:bCs/>
                <w:i/>
                <w:iCs/>
                <w:sz w:val="20"/>
                <w:szCs w:val="20"/>
              </w:rPr>
              <w:t xml:space="preserve"> obiectivele rezoluției</w:t>
            </w:r>
            <w:r w:rsidRPr="00154588">
              <w:rPr>
                <w:bCs/>
                <w:sz w:val="20"/>
                <w:szCs w:val="20"/>
              </w:rPr>
              <w:t xml:space="preserve"> – sunt obiectivele rezoluției menționate la art.56;</w:t>
            </w:r>
          </w:p>
        </w:tc>
        <w:tc>
          <w:tcPr>
            <w:tcW w:w="2552" w:type="dxa"/>
          </w:tcPr>
          <w:p w14:paraId="73D0EB42" w14:textId="5832E810" w:rsidR="00D15C1B" w:rsidRPr="00154588" w:rsidRDefault="0094082B" w:rsidP="008C12B4">
            <w:pPr>
              <w:jc w:val="both"/>
              <w:rPr>
                <w:bCs/>
                <w:sz w:val="20"/>
                <w:szCs w:val="20"/>
              </w:rPr>
            </w:pPr>
            <w:r w:rsidRPr="00154588">
              <w:rPr>
                <w:bCs/>
                <w:sz w:val="20"/>
                <w:szCs w:val="20"/>
              </w:rPr>
              <w:t>Compatibil</w:t>
            </w:r>
          </w:p>
        </w:tc>
        <w:tc>
          <w:tcPr>
            <w:tcW w:w="3118" w:type="dxa"/>
          </w:tcPr>
          <w:p w14:paraId="30DE4B1F" w14:textId="77777777" w:rsidR="00D15C1B" w:rsidRPr="00154588" w:rsidRDefault="00D15C1B" w:rsidP="008C12B4">
            <w:pPr>
              <w:jc w:val="both"/>
              <w:rPr>
                <w:bCs/>
                <w:sz w:val="20"/>
                <w:szCs w:val="20"/>
              </w:rPr>
            </w:pPr>
          </w:p>
        </w:tc>
      </w:tr>
      <w:tr w:rsidR="00D15C1B" w:rsidRPr="00154588" w14:paraId="04398BE9" w14:textId="77777777" w:rsidTr="00D15C1B">
        <w:trPr>
          <w:jc w:val="center"/>
        </w:trPr>
        <w:tc>
          <w:tcPr>
            <w:tcW w:w="4957" w:type="dxa"/>
            <w:gridSpan w:val="2"/>
          </w:tcPr>
          <w:p w14:paraId="41CA1AE2" w14:textId="05F7E1D3" w:rsidR="00D15C1B" w:rsidRPr="00154588" w:rsidRDefault="00D15C1B" w:rsidP="008C12B4">
            <w:pPr>
              <w:jc w:val="both"/>
              <w:rPr>
                <w:bCs/>
                <w:sz w:val="20"/>
                <w:szCs w:val="20"/>
              </w:rPr>
            </w:pPr>
            <w:r w:rsidRPr="00154588">
              <w:rPr>
                <w:bCs/>
                <w:sz w:val="20"/>
                <w:szCs w:val="20"/>
              </w:rPr>
              <w:t xml:space="preserve">17. </w:t>
            </w:r>
            <w:r w:rsidRPr="00154588">
              <w:rPr>
                <w:b/>
                <w:sz w:val="20"/>
                <w:szCs w:val="20"/>
              </w:rPr>
              <w:t>„sucursală”</w:t>
            </w:r>
            <w:r w:rsidRPr="00154588">
              <w:rPr>
                <w:bCs/>
                <w:sz w:val="20"/>
                <w:szCs w:val="20"/>
              </w:rPr>
              <w:t xml:space="preserve"> înseamnă o sucursală, astfel cum este definită la articolul 4 alineatul (1) punctul 17 din Regulamentul (UE) nr. 575/2013;</w:t>
            </w:r>
          </w:p>
        </w:tc>
        <w:tc>
          <w:tcPr>
            <w:tcW w:w="4819" w:type="dxa"/>
          </w:tcPr>
          <w:p w14:paraId="2CB559EA" w14:textId="0E711A19" w:rsidR="00D15C1B" w:rsidRPr="00154588" w:rsidRDefault="002551E0" w:rsidP="008C12B4">
            <w:pPr>
              <w:jc w:val="both"/>
              <w:rPr>
                <w:bCs/>
                <w:sz w:val="20"/>
                <w:szCs w:val="20"/>
              </w:rPr>
            </w:pPr>
            <w:r w:rsidRPr="00154588">
              <w:rPr>
                <w:bCs/>
                <w:sz w:val="20"/>
                <w:szCs w:val="20"/>
              </w:rPr>
              <w:t xml:space="preserve">114) </w:t>
            </w:r>
            <w:r w:rsidRPr="00154588">
              <w:rPr>
                <w:bCs/>
                <w:i/>
                <w:iCs/>
                <w:sz w:val="20"/>
                <w:szCs w:val="20"/>
              </w:rPr>
              <w:t>sucursală</w:t>
            </w:r>
            <w:r w:rsidRPr="00154588">
              <w:rPr>
                <w:bCs/>
                <w:sz w:val="20"/>
                <w:szCs w:val="20"/>
              </w:rPr>
              <w:t xml:space="preserve"> – astfel cum este definită la art.3 din Legea nr.202/2017;</w:t>
            </w:r>
          </w:p>
        </w:tc>
        <w:tc>
          <w:tcPr>
            <w:tcW w:w="2552" w:type="dxa"/>
          </w:tcPr>
          <w:p w14:paraId="7AC597E2" w14:textId="33FD87CD" w:rsidR="00D15C1B" w:rsidRPr="00154588" w:rsidRDefault="0094082B" w:rsidP="008C12B4">
            <w:pPr>
              <w:jc w:val="both"/>
              <w:rPr>
                <w:bCs/>
                <w:sz w:val="20"/>
                <w:szCs w:val="20"/>
              </w:rPr>
            </w:pPr>
            <w:r w:rsidRPr="00154588">
              <w:rPr>
                <w:bCs/>
                <w:sz w:val="20"/>
                <w:szCs w:val="20"/>
              </w:rPr>
              <w:t>Compatibil</w:t>
            </w:r>
          </w:p>
        </w:tc>
        <w:tc>
          <w:tcPr>
            <w:tcW w:w="3118" w:type="dxa"/>
          </w:tcPr>
          <w:p w14:paraId="0960BB55" w14:textId="77777777" w:rsidR="00D15C1B" w:rsidRPr="00154588" w:rsidRDefault="00D15C1B" w:rsidP="008C12B4">
            <w:pPr>
              <w:jc w:val="both"/>
              <w:rPr>
                <w:bCs/>
                <w:sz w:val="20"/>
                <w:szCs w:val="20"/>
              </w:rPr>
            </w:pPr>
          </w:p>
        </w:tc>
      </w:tr>
      <w:tr w:rsidR="00D15C1B" w:rsidRPr="00154588" w14:paraId="37A65205" w14:textId="77777777" w:rsidTr="00D15C1B">
        <w:trPr>
          <w:jc w:val="center"/>
        </w:trPr>
        <w:tc>
          <w:tcPr>
            <w:tcW w:w="4957" w:type="dxa"/>
            <w:gridSpan w:val="2"/>
          </w:tcPr>
          <w:p w14:paraId="2EB91362" w14:textId="36D60D49" w:rsidR="00D15C1B" w:rsidRPr="00154588" w:rsidRDefault="00D15C1B" w:rsidP="008C12B4">
            <w:pPr>
              <w:jc w:val="both"/>
              <w:rPr>
                <w:bCs/>
                <w:sz w:val="20"/>
                <w:szCs w:val="20"/>
              </w:rPr>
            </w:pPr>
            <w:r w:rsidRPr="00154588">
              <w:rPr>
                <w:bCs/>
                <w:sz w:val="20"/>
                <w:szCs w:val="20"/>
              </w:rPr>
              <w:t xml:space="preserve">18. </w:t>
            </w:r>
            <w:r w:rsidRPr="00154588">
              <w:rPr>
                <w:b/>
                <w:sz w:val="20"/>
                <w:szCs w:val="20"/>
              </w:rPr>
              <w:t>„autoritate de rezoluție”</w:t>
            </w:r>
            <w:r w:rsidRPr="00154588">
              <w:rPr>
                <w:bCs/>
                <w:sz w:val="20"/>
                <w:szCs w:val="20"/>
              </w:rPr>
              <w:t xml:space="preserve"> înseamnă autoritatea desemnată de un stat membru în conformitate cu articolul 3;</w:t>
            </w:r>
          </w:p>
        </w:tc>
        <w:tc>
          <w:tcPr>
            <w:tcW w:w="4819" w:type="dxa"/>
          </w:tcPr>
          <w:p w14:paraId="050B876E" w14:textId="352E96C5" w:rsidR="00D15C1B" w:rsidRPr="00154588" w:rsidRDefault="002551E0" w:rsidP="008C12B4">
            <w:pPr>
              <w:jc w:val="both"/>
              <w:rPr>
                <w:bCs/>
                <w:sz w:val="20"/>
                <w:szCs w:val="20"/>
              </w:rPr>
            </w:pPr>
            <w:r w:rsidRPr="00154588">
              <w:rPr>
                <w:bCs/>
                <w:sz w:val="20"/>
                <w:szCs w:val="20"/>
              </w:rPr>
              <w:t xml:space="preserve">8) </w:t>
            </w:r>
            <w:r w:rsidRPr="00154588">
              <w:rPr>
                <w:bCs/>
                <w:i/>
                <w:iCs/>
                <w:sz w:val="20"/>
                <w:szCs w:val="20"/>
              </w:rPr>
              <w:t>autoritate de rezoluţie</w:t>
            </w:r>
            <w:r w:rsidRPr="00154588">
              <w:rPr>
                <w:bCs/>
                <w:sz w:val="20"/>
                <w:szCs w:val="20"/>
              </w:rPr>
              <w:t xml:space="preserve"> – autoritate împuternicită să aplice instrumente de rezoluţie şi să exercite competenţe de rezoluţie, potrivit prezentei legi;</w:t>
            </w:r>
          </w:p>
        </w:tc>
        <w:tc>
          <w:tcPr>
            <w:tcW w:w="2552" w:type="dxa"/>
          </w:tcPr>
          <w:p w14:paraId="7DDF3009" w14:textId="204FA315" w:rsidR="00D15C1B" w:rsidRPr="00154588" w:rsidRDefault="0094082B" w:rsidP="008C12B4">
            <w:pPr>
              <w:jc w:val="both"/>
              <w:rPr>
                <w:bCs/>
                <w:sz w:val="20"/>
                <w:szCs w:val="20"/>
              </w:rPr>
            </w:pPr>
            <w:r w:rsidRPr="00154588">
              <w:rPr>
                <w:bCs/>
                <w:sz w:val="20"/>
                <w:szCs w:val="20"/>
              </w:rPr>
              <w:t>Compatibil</w:t>
            </w:r>
          </w:p>
        </w:tc>
        <w:tc>
          <w:tcPr>
            <w:tcW w:w="3118" w:type="dxa"/>
          </w:tcPr>
          <w:p w14:paraId="7642B4DD" w14:textId="77777777" w:rsidR="00D15C1B" w:rsidRPr="00154588" w:rsidRDefault="00D15C1B" w:rsidP="008C12B4">
            <w:pPr>
              <w:jc w:val="both"/>
              <w:rPr>
                <w:bCs/>
                <w:sz w:val="20"/>
                <w:szCs w:val="20"/>
              </w:rPr>
            </w:pPr>
          </w:p>
        </w:tc>
      </w:tr>
      <w:tr w:rsidR="00D15C1B" w:rsidRPr="00154588" w14:paraId="1C46E4A7" w14:textId="77777777" w:rsidTr="00D15C1B">
        <w:trPr>
          <w:jc w:val="center"/>
        </w:trPr>
        <w:tc>
          <w:tcPr>
            <w:tcW w:w="4957" w:type="dxa"/>
            <w:gridSpan w:val="2"/>
          </w:tcPr>
          <w:p w14:paraId="02A56B27" w14:textId="6F44B198" w:rsidR="00D15C1B" w:rsidRPr="00154588" w:rsidRDefault="00D15C1B" w:rsidP="008C12B4">
            <w:pPr>
              <w:jc w:val="both"/>
              <w:rPr>
                <w:bCs/>
                <w:sz w:val="20"/>
                <w:szCs w:val="20"/>
              </w:rPr>
            </w:pPr>
            <w:r w:rsidRPr="00154588">
              <w:rPr>
                <w:bCs/>
                <w:sz w:val="20"/>
                <w:szCs w:val="20"/>
              </w:rPr>
              <w:lastRenderedPageBreak/>
              <w:t xml:space="preserve">19. </w:t>
            </w:r>
            <w:r w:rsidRPr="00154588">
              <w:rPr>
                <w:b/>
                <w:sz w:val="20"/>
                <w:szCs w:val="20"/>
              </w:rPr>
              <w:t>„instrument de rezoluție”</w:t>
            </w:r>
            <w:r w:rsidRPr="00154588">
              <w:rPr>
                <w:bCs/>
                <w:sz w:val="20"/>
                <w:szCs w:val="20"/>
              </w:rPr>
              <w:t xml:space="preserve"> înseamnă un instrument de rezoluție menționat la articolul 37 alineatul (3);</w:t>
            </w:r>
          </w:p>
        </w:tc>
        <w:tc>
          <w:tcPr>
            <w:tcW w:w="4819" w:type="dxa"/>
          </w:tcPr>
          <w:p w14:paraId="3A1C30D9" w14:textId="3CD61A87" w:rsidR="00D15C1B" w:rsidRPr="00154588" w:rsidRDefault="002551E0" w:rsidP="008C12B4">
            <w:pPr>
              <w:jc w:val="both"/>
              <w:rPr>
                <w:bCs/>
                <w:sz w:val="20"/>
                <w:szCs w:val="20"/>
              </w:rPr>
            </w:pPr>
            <w:r w:rsidRPr="00154588">
              <w:rPr>
                <w:bCs/>
                <w:sz w:val="20"/>
                <w:szCs w:val="20"/>
              </w:rPr>
              <w:t xml:space="preserve">89) </w:t>
            </w:r>
            <w:r w:rsidRPr="00154588">
              <w:rPr>
                <w:bCs/>
                <w:i/>
                <w:iCs/>
                <w:sz w:val="20"/>
                <w:szCs w:val="20"/>
              </w:rPr>
              <w:t>instrument de rezoluție</w:t>
            </w:r>
            <w:r w:rsidRPr="00154588">
              <w:rPr>
                <w:bCs/>
                <w:sz w:val="20"/>
                <w:szCs w:val="20"/>
              </w:rPr>
              <w:t xml:space="preserve"> – un instrument de rezoluție menționat la art.87;</w:t>
            </w:r>
          </w:p>
        </w:tc>
        <w:tc>
          <w:tcPr>
            <w:tcW w:w="2552" w:type="dxa"/>
          </w:tcPr>
          <w:p w14:paraId="77B9DC0C" w14:textId="2A302DC7" w:rsidR="00D15C1B" w:rsidRPr="00154588" w:rsidRDefault="0094082B" w:rsidP="008C12B4">
            <w:pPr>
              <w:jc w:val="both"/>
              <w:rPr>
                <w:bCs/>
                <w:sz w:val="20"/>
                <w:szCs w:val="20"/>
              </w:rPr>
            </w:pPr>
            <w:r w:rsidRPr="00154588">
              <w:rPr>
                <w:bCs/>
                <w:sz w:val="20"/>
                <w:szCs w:val="20"/>
              </w:rPr>
              <w:t>Compatibil</w:t>
            </w:r>
          </w:p>
        </w:tc>
        <w:tc>
          <w:tcPr>
            <w:tcW w:w="3118" w:type="dxa"/>
          </w:tcPr>
          <w:p w14:paraId="303BB69D" w14:textId="77777777" w:rsidR="00D15C1B" w:rsidRPr="00154588" w:rsidRDefault="00D15C1B" w:rsidP="008C12B4">
            <w:pPr>
              <w:jc w:val="both"/>
              <w:rPr>
                <w:bCs/>
                <w:sz w:val="20"/>
                <w:szCs w:val="20"/>
              </w:rPr>
            </w:pPr>
          </w:p>
        </w:tc>
      </w:tr>
      <w:tr w:rsidR="00D15C1B" w:rsidRPr="00154588" w14:paraId="037D2FF6" w14:textId="77777777" w:rsidTr="00D15C1B">
        <w:trPr>
          <w:jc w:val="center"/>
        </w:trPr>
        <w:tc>
          <w:tcPr>
            <w:tcW w:w="4957" w:type="dxa"/>
            <w:gridSpan w:val="2"/>
          </w:tcPr>
          <w:p w14:paraId="66BE9B08" w14:textId="53020FCF" w:rsidR="00D15C1B" w:rsidRPr="00154588" w:rsidRDefault="00D15C1B" w:rsidP="008C12B4">
            <w:pPr>
              <w:jc w:val="both"/>
              <w:rPr>
                <w:bCs/>
                <w:sz w:val="20"/>
                <w:szCs w:val="20"/>
              </w:rPr>
            </w:pPr>
            <w:r w:rsidRPr="00154588">
              <w:rPr>
                <w:bCs/>
                <w:sz w:val="20"/>
                <w:szCs w:val="20"/>
              </w:rPr>
              <w:t xml:space="preserve">20. </w:t>
            </w:r>
            <w:r w:rsidRPr="00154588">
              <w:rPr>
                <w:b/>
                <w:sz w:val="20"/>
                <w:szCs w:val="20"/>
              </w:rPr>
              <w:t>„competență de rezoluție”</w:t>
            </w:r>
            <w:r w:rsidRPr="00154588">
              <w:rPr>
                <w:bCs/>
                <w:sz w:val="20"/>
                <w:szCs w:val="20"/>
              </w:rPr>
              <w:t xml:space="preserve"> înseamnă o competență în sensul articolelor 63-72;</w:t>
            </w:r>
          </w:p>
        </w:tc>
        <w:tc>
          <w:tcPr>
            <w:tcW w:w="4819" w:type="dxa"/>
          </w:tcPr>
          <w:p w14:paraId="0E4D9E1F" w14:textId="21DAA538" w:rsidR="00D15C1B" w:rsidRPr="00154588" w:rsidRDefault="002551E0" w:rsidP="008C12B4">
            <w:pPr>
              <w:jc w:val="both"/>
              <w:rPr>
                <w:bCs/>
                <w:sz w:val="20"/>
                <w:szCs w:val="20"/>
              </w:rPr>
            </w:pPr>
            <w:r w:rsidRPr="00154588">
              <w:rPr>
                <w:bCs/>
                <w:sz w:val="20"/>
                <w:szCs w:val="20"/>
              </w:rPr>
              <w:t xml:space="preserve">61) </w:t>
            </w:r>
            <w:r w:rsidRPr="00154588">
              <w:rPr>
                <w:bCs/>
                <w:i/>
                <w:iCs/>
                <w:sz w:val="20"/>
                <w:szCs w:val="20"/>
              </w:rPr>
              <w:t>competență de rezoluție</w:t>
            </w:r>
            <w:r w:rsidRPr="00154588">
              <w:rPr>
                <w:bCs/>
                <w:sz w:val="20"/>
                <w:szCs w:val="20"/>
              </w:rPr>
              <w:t xml:space="preserve"> – o competență în sensul art.231-</w:t>
            </w:r>
            <w:r w:rsidRPr="00154588">
              <w:rPr>
                <w:sz w:val="20"/>
                <w:szCs w:val="20"/>
              </w:rPr>
              <w:t>261</w:t>
            </w:r>
            <w:r w:rsidRPr="00154588">
              <w:rPr>
                <w:sz w:val="20"/>
                <w:szCs w:val="20"/>
                <w:vertAlign w:val="superscript"/>
              </w:rPr>
              <w:t>3</w:t>
            </w:r>
            <w:r w:rsidRPr="00154588">
              <w:rPr>
                <w:sz w:val="20"/>
                <w:szCs w:val="20"/>
              </w:rPr>
              <w:t>;</w:t>
            </w:r>
          </w:p>
        </w:tc>
        <w:tc>
          <w:tcPr>
            <w:tcW w:w="2552" w:type="dxa"/>
          </w:tcPr>
          <w:p w14:paraId="7047F15F" w14:textId="1558FA45" w:rsidR="00D15C1B" w:rsidRPr="00154588" w:rsidRDefault="0094082B" w:rsidP="008C12B4">
            <w:pPr>
              <w:jc w:val="both"/>
              <w:rPr>
                <w:bCs/>
                <w:sz w:val="20"/>
                <w:szCs w:val="20"/>
              </w:rPr>
            </w:pPr>
            <w:r w:rsidRPr="00154588">
              <w:rPr>
                <w:bCs/>
                <w:sz w:val="20"/>
                <w:szCs w:val="20"/>
              </w:rPr>
              <w:t>Compatibil</w:t>
            </w:r>
          </w:p>
        </w:tc>
        <w:tc>
          <w:tcPr>
            <w:tcW w:w="3118" w:type="dxa"/>
          </w:tcPr>
          <w:p w14:paraId="1303AD2B" w14:textId="77777777" w:rsidR="00D15C1B" w:rsidRPr="00154588" w:rsidRDefault="00D15C1B" w:rsidP="008C12B4">
            <w:pPr>
              <w:jc w:val="both"/>
              <w:rPr>
                <w:bCs/>
                <w:sz w:val="20"/>
                <w:szCs w:val="20"/>
              </w:rPr>
            </w:pPr>
          </w:p>
        </w:tc>
      </w:tr>
      <w:tr w:rsidR="00D15C1B" w:rsidRPr="00154588" w14:paraId="479DDD81" w14:textId="77777777" w:rsidTr="00D15C1B">
        <w:trPr>
          <w:jc w:val="center"/>
        </w:trPr>
        <w:tc>
          <w:tcPr>
            <w:tcW w:w="4957" w:type="dxa"/>
            <w:gridSpan w:val="2"/>
          </w:tcPr>
          <w:p w14:paraId="74A59AB3" w14:textId="50EAB05D" w:rsidR="00D15C1B" w:rsidRPr="00154588" w:rsidRDefault="00D15C1B" w:rsidP="008C12B4">
            <w:pPr>
              <w:jc w:val="both"/>
              <w:rPr>
                <w:bCs/>
                <w:sz w:val="20"/>
                <w:szCs w:val="20"/>
              </w:rPr>
            </w:pPr>
            <w:r w:rsidRPr="00154588">
              <w:rPr>
                <w:bCs/>
                <w:sz w:val="20"/>
                <w:szCs w:val="20"/>
              </w:rPr>
              <w:t xml:space="preserve">21. </w:t>
            </w:r>
            <w:r w:rsidRPr="00154588">
              <w:rPr>
                <w:b/>
                <w:sz w:val="20"/>
                <w:szCs w:val="20"/>
              </w:rPr>
              <w:t>„autoritate competentă”</w:t>
            </w:r>
            <w:r w:rsidRPr="00154588">
              <w:rPr>
                <w:bCs/>
                <w:sz w:val="20"/>
                <w:szCs w:val="20"/>
              </w:rPr>
              <w:t xml:space="preserve"> înseamnă o autoritate competentă astfel cum este definită la articolul 4 alineatul (1) punctul 40 din Regulamentul (UE) nr. 575/2013, inclusiv Banca Centrală Europeană, referitor la anumite competențe conferite prin Regulamentul (UE) nr. 1024/2013 al Consiliului ( 3 );</w:t>
            </w:r>
          </w:p>
        </w:tc>
        <w:tc>
          <w:tcPr>
            <w:tcW w:w="4819" w:type="dxa"/>
          </w:tcPr>
          <w:p w14:paraId="1E7232CF" w14:textId="79AA262A" w:rsidR="00D15C1B" w:rsidRPr="00154588" w:rsidRDefault="002551E0" w:rsidP="008C12B4">
            <w:pPr>
              <w:jc w:val="both"/>
              <w:rPr>
                <w:bCs/>
                <w:sz w:val="20"/>
                <w:szCs w:val="20"/>
              </w:rPr>
            </w:pPr>
            <w:r w:rsidRPr="00154588">
              <w:rPr>
                <w:bCs/>
                <w:sz w:val="20"/>
                <w:szCs w:val="20"/>
              </w:rPr>
              <w:t xml:space="preserve">7) </w:t>
            </w:r>
            <w:r w:rsidRPr="00154588">
              <w:rPr>
                <w:bCs/>
                <w:i/>
                <w:iCs/>
                <w:sz w:val="20"/>
                <w:szCs w:val="20"/>
              </w:rPr>
              <w:t>autoritate competentă</w:t>
            </w:r>
            <w:r w:rsidRPr="00154588">
              <w:rPr>
                <w:bCs/>
                <w:sz w:val="20"/>
                <w:szCs w:val="20"/>
              </w:rPr>
              <w:t xml:space="preserve"> – astfel cum este definită în art.3 din Legea nr.202/2017 și în art.4 din Legea privind supravegherea prudenţială a </w:t>
            </w:r>
            <w:r w:rsidR="00030EDE" w:rsidRPr="00154588">
              <w:rPr>
                <w:bCs/>
                <w:sz w:val="20"/>
                <w:szCs w:val="20"/>
              </w:rPr>
              <w:t xml:space="preserve">firmelor </w:t>
            </w:r>
            <w:r w:rsidRPr="00154588">
              <w:rPr>
                <w:bCs/>
                <w:sz w:val="20"/>
                <w:szCs w:val="20"/>
              </w:rPr>
              <w:t xml:space="preserve">de investiţii; </w:t>
            </w:r>
          </w:p>
        </w:tc>
        <w:tc>
          <w:tcPr>
            <w:tcW w:w="2552" w:type="dxa"/>
          </w:tcPr>
          <w:p w14:paraId="7ED45705" w14:textId="1185EDC7" w:rsidR="00D15C1B" w:rsidRPr="00154588" w:rsidRDefault="0094082B" w:rsidP="008C12B4">
            <w:pPr>
              <w:jc w:val="both"/>
              <w:rPr>
                <w:bCs/>
                <w:sz w:val="20"/>
                <w:szCs w:val="20"/>
              </w:rPr>
            </w:pPr>
            <w:r w:rsidRPr="00154588">
              <w:rPr>
                <w:bCs/>
                <w:sz w:val="20"/>
                <w:szCs w:val="20"/>
              </w:rPr>
              <w:t>Compatibil</w:t>
            </w:r>
          </w:p>
        </w:tc>
        <w:tc>
          <w:tcPr>
            <w:tcW w:w="3118" w:type="dxa"/>
          </w:tcPr>
          <w:p w14:paraId="331B6164" w14:textId="77777777" w:rsidR="00D15C1B" w:rsidRPr="00154588" w:rsidRDefault="00D15C1B" w:rsidP="008C12B4">
            <w:pPr>
              <w:jc w:val="both"/>
              <w:rPr>
                <w:bCs/>
                <w:sz w:val="20"/>
                <w:szCs w:val="20"/>
              </w:rPr>
            </w:pPr>
          </w:p>
        </w:tc>
      </w:tr>
      <w:tr w:rsidR="00D15C1B" w:rsidRPr="00154588" w14:paraId="72DE8CE3" w14:textId="77777777" w:rsidTr="00D15C1B">
        <w:trPr>
          <w:jc w:val="center"/>
        </w:trPr>
        <w:tc>
          <w:tcPr>
            <w:tcW w:w="4957" w:type="dxa"/>
            <w:gridSpan w:val="2"/>
          </w:tcPr>
          <w:p w14:paraId="0E478BF0" w14:textId="6932C347" w:rsidR="00D15C1B" w:rsidRPr="00154588" w:rsidRDefault="00D15C1B" w:rsidP="008C12B4">
            <w:pPr>
              <w:jc w:val="both"/>
              <w:rPr>
                <w:bCs/>
                <w:sz w:val="20"/>
                <w:szCs w:val="20"/>
              </w:rPr>
            </w:pPr>
            <w:r w:rsidRPr="00154588">
              <w:rPr>
                <w:bCs/>
                <w:sz w:val="20"/>
                <w:szCs w:val="20"/>
              </w:rPr>
              <w:t xml:space="preserve">22. </w:t>
            </w:r>
            <w:r w:rsidRPr="00154588">
              <w:rPr>
                <w:b/>
                <w:sz w:val="20"/>
                <w:szCs w:val="20"/>
              </w:rPr>
              <w:t>„ministere competente”</w:t>
            </w:r>
            <w:r w:rsidRPr="00154588">
              <w:rPr>
                <w:bCs/>
                <w:sz w:val="20"/>
                <w:szCs w:val="20"/>
              </w:rPr>
              <w:t xml:space="preserve"> înseamnă ministerele de finanțe sau alte ministere ale statelor membre responsabile pentru deciziile economice, financiare și bugetare la nivel național, conform competențelor naționale, care au fost desemnate în conformitate cu articolul 3 alineatul (5);</w:t>
            </w:r>
          </w:p>
        </w:tc>
        <w:tc>
          <w:tcPr>
            <w:tcW w:w="4819" w:type="dxa"/>
          </w:tcPr>
          <w:p w14:paraId="70E11BAE" w14:textId="784A63DC" w:rsidR="00D15C1B" w:rsidRPr="00154588" w:rsidRDefault="002551E0" w:rsidP="008C12B4">
            <w:pPr>
              <w:jc w:val="both"/>
              <w:rPr>
                <w:bCs/>
                <w:sz w:val="20"/>
                <w:szCs w:val="20"/>
              </w:rPr>
            </w:pPr>
            <w:r w:rsidRPr="00154588">
              <w:rPr>
                <w:bCs/>
                <w:sz w:val="20"/>
                <w:szCs w:val="20"/>
              </w:rPr>
              <w:t xml:space="preserve">96) </w:t>
            </w:r>
            <w:r w:rsidRPr="00154588">
              <w:rPr>
                <w:bCs/>
                <w:i/>
                <w:iCs/>
                <w:sz w:val="20"/>
                <w:szCs w:val="20"/>
              </w:rPr>
              <w:t xml:space="preserve">minister competent </w:t>
            </w:r>
            <w:r w:rsidRPr="00154588">
              <w:rPr>
                <w:bCs/>
                <w:sz w:val="20"/>
                <w:szCs w:val="20"/>
              </w:rPr>
              <w:t>– minister responsabil pentru deciziile economice, financiare și bugetare la nivel național, conform competențelor, care au fost desemnate în conformitate cu art.5 alin.(1);</w:t>
            </w:r>
          </w:p>
        </w:tc>
        <w:tc>
          <w:tcPr>
            <w:tcW w:w="2552" w:type="dxa"/>
          </w:tcPr>
          <w:p w14:paraId="37F99A6E" w14:textId="59FFB46C" w:rsidR="00D15C1B" w:rsidRPr="00154588" w:rsidRDefault="0094082B" w:rsidP="008C12B4">
            <w:pPr>
              <w:jc w:val="both"/>
              <w:rPr>
                <w:bCs/>
                <w:sz w:val="20"/>
                <w:szCs w:val="20"/>
              </w:rPr>
            </w:pPr>
            <w:r w:rsidRPr="00154588">
              <w:rPr>
                <w:bCs/>
                <w:sz w:val="20"/>
                <w:szCs w:val="20"/>
              </w:rPr>
              <w:t>Compatibil</w:t>
            </w:r>
          </w:p>
        </w:tc>
        <w:tc>
          <w:tcPr>
            <w:tcW w:w="3118" w:type="dxa"/>
          </w:tcPr>
          <w:p w14:paraId="7DA6471F" w14:textId="77777777" w:rsidR="00D15C1B" w:rsidRPr="00154588" w:rsidRDefault="00D15C1B" w:rsidP="008C12B4">
            <w:pPr>
              <w:jc w:val="both"/>
              <w:rPr>
                <w:bCs/>
                <w:sz w:val="20"/>
                <w:szCs w:val="20"/>
              </w:rPr>
            </w:pPr>
          </w:p>
        </w:tc>
      </w:tr>
      <w:tr w:rsidR="00D15C1B" w:rsidRPr="00154588" w14:paraId="666986BD" w14:textId="77777777" w:rsidTr="00D15C1B">
        <w:trPr>
          <w:jc w:val="center"/>
        </w:trPr>
        <w:tc>
          <w:tcPr>
            <w:tcW w:w="4957" w:type="dxa"/>
            <w:gridSpan w:val="2"/>
          </w:tcPr>
          <w:p w14:paraId="5ECFD8B9" w14:textId="0EFDAFF6" w:rsidR="00D15C1B" w:rsidRPr="00154588" w:rsidRDefault="00D15C1B" w:rsidP="008C12B4">
            <w:pPr>
              <w:jc w:val="both"/>
              <w:rPr>
                <w:bCs/>
                <w:sz w:val="20"/>
                <w:szCs w:val="20"/>
              </w:rPr>
            </w:pPr>
            <w:r w:rsidRPr="00154588">
              <w:rPr>
                <w:bCs/>
                <w:sz w:val="20"/>
                <w:szCs w:val="20"/>
              </w:rPr>
              <w:t xml:space="preserve">23. </w:t>
            </w:r>
            <w:r w:rsidRPr="00154588">
              <w:rPr>
                <w:b/>
                <w:sz w:val="20"/>
                <w:szCs w:val="20"/>
              </w:rPr>
              <w:t>„instituție”</w:t>
            </w:r>
            <w:r w:rsidRPr="00154588">
              <w:rPr>
                <w:bCs/>
                <w:sz w:val="20"/>
                <w:szCs w:val="20"/>
              </w:rPr>
              <w:t xml:space="preserve"> înseamnă o instituție de credit sau o firmă de investiții;</w:t>
            </w:r>
          </w:p>
        </w:tc>
        <w:tc>
          <w:tcPr>
            <w:tcW w:w="4819" w:type="dxa"/>
          </w:tcPr>
          <w:p w14:paraId="0D5A3999" w14:textId="336BFAD4" w:rsidR="00D15C1B" w:rsidRPr="00154588" w:rsidRDefault="002551E0" w:rsidP="008C12B4">
            <w:pPr>
              <w:jc w:val="both"/>
              <w:rPr>
                <w:bCs/>
                <w:sz w:val="20"/>
                <w:szCs w:val="20"/>
              </w:rPr>
            </w:pPr>
            <w:r w:rsidRPr="00154588">
              <w:rPr>
                <w:bCs/>
                <w:sz w:val="20"/>
                <w:szCs w:val="20"/>
              </w:rPr>
              <w:t xml:space="preserve">80) </w:t>
            </w:r>
            <w:r w:rsidRPr="00154588">
              <w:rPr>
                <w:bCs/>
                <w:i/>
                <w:iCs/>
                <w:sz w:val="20"/>
                <w:szCs w:val="20"/>
              </w:rPr>
              <w:t xml:space="preserve">instituție </w:t>
            </w:r>
            <w:r w:rsidRPr="00154588">
              <w:rPr>
                <w:bCs/>
                <w:sz w:val="20"/>
                <w:szCs w:val="20"/>
              </w:rPr>
              <w:t>– o instituție de credit sau o firmă  de investiții;</w:t>
            </w:r>
          </w:p>
        </w:tc>
        <w:tc>
          <w:tcPr>
            <w:tcW w:w="2552" w:type="dxa"/>
          </w:tcPr>
          <w:p w14:paraId="6302AA64" w14:textId="41B977DD" w:rsidR="00D15C1B" w:rsidRPr="00154588" w:rsidRDefault="0094082B" w:rsidP="008C12B4">
            <w:pPr>
              <w:jc w:val="both"/>
              <w:rPr>
                <w:bCs/>
                <w:sz w:val="20"/>
                <w:szCs w:val="20"/>
              </w:rPr>
            </w:pPr>
            <w:r w:rsidRPr="00154588">
              <w:rPr>
                <w:bCs/>
                <w:sz w:val="20"/>
                <w:szCs w:val="20"/>
              </w:rPr>
              <w:t>Compatibil</w:t>
            </w:r>
          </w:p>
        </w:tc>
        <w:tc>
          <w:tcPr>
            <w:tcW w:w="3118" w:type="dxa"/>
          </w:tcPr>
          <w:p w14:paraId="784FAA99" w14:textId="77777777" w:rsidR="00D15C1B" w:rsidRPr="00154588" w:rsidRDefault="00D15C1B" w:rsidP="008C12B4">
            <w:pPr>
              <w:jc w:val="both"/>
              <w:rPr>
                <w:bCs/>
                <w:sz w:val="20"/>
                <w:szCs w:val="20"/>
              </w:rPr>
            </w:pPr>
          </w:p>
        </w:tc>
      </w:tr>
      <w:tr w:rsidR="00D15C1B" w:rsidRPr="00154588" w14:paraId="4CFF4FE4" w14:textId="77777777" w:rsidTr="00D15C1B">
        <w:trPr>
          <w:jc w:val="center"/>
        </w:trPr>
        <w:tc>
          <w:tcPr>
            <w:tcW w:w="4957" w:type="dxa"/>
            <w:gridSpan w:val="2"/>
          </w:tcPr>
          <w:p w14:paraId="7962DE51" w14:textId="027A9F90" w:rsidR="00D15C1B" w:rsidRPr="00154588" w:rsidRDefault="00D15C1B" w:rsidP="008C12B4">
            <w:pPr>
              <w:jc w:val="both"/>
              <w:rPr>
                <w:bCs/>
                <w:sz w:val="20"/>
                <w:szCs w:val="20"/>
              </w:rPr>
            </w:pPr>
            <w:r w:rsidRPr="00154588">
              <w:rPr>
                <w:bCs/>
                <w:sz w:val="20"/>
                <w:szCs w:val="20"/>
              </w:rPr>
              <w:t xml:space="preserve">24. </w:t>
            </w:r>
            <w:r w:rsidRPr="00154588">
              <w:rPr>
                <w:b/>
                <w:sz w:val="20"/>
                <w:szCs w:val="20"/>
              </w:rPr>
              <w:t>„organ de conducere”</w:t>
            </w:r>
            <w:r w:rsidRPr="00154588">
              <w:rPr>
                <w:bCs/>
                <w:sz w:val="20"/>
                <w:szCs w:val="20"/>
              </w:rPr>
              <w:t xml:space="preserve"> înseamnă un organ de conducere astfel cum este definit la articolul 3 alineatul (1) punctul 7 din Directiva 2013/36/UE;</w:t>
            </w:r>
          </w:p>
        </w:tc>
        <w:tc>
          <w:tcPr>
            <w:tcW w:w="4819" w:type="dxa"/>
          </w:tcPr>
          <w:p w14:paraId="1D49B3E0" w14:textId="16DF21A7" w:rsidR="00D15C1B" w:rsidRPr="00154588" w:rsidRDefault="002551E0" w:rsidP="008C12B4">
            <w:pPr>
              <w:jc w:val="both"/>
              <w:rPr>
                <w:bCs/>
                <w:sz w:val="20"/>
                <w:szCs w:val="20"/>
              </w:rPr>
            </w:pPr>
            <w:r w:rsidRPr="00154588">
              <w:rPr>
                <w:bCs/>
                <w:sz w:val="20"/>
                <w:szCs w:val="20"/>
              </w:rPr>
              <w:t xml:space="preserve">44) </w:t>
            </w:r>
            <w:r w:rsidRPr="00154588">
              <w:rPr>
                <w:bCs/>
                <w:i/>
                <w:iCs/>
                <w:sz w:val="20"/>
                <w:szCs w:val="20"/>
              </w:rPr>
              <w:t xml:space="preserve">organ de conducere </w:t>
            </w:r>
            <w:r w:rsidRPr="00154588">
              <w:rPr>
                <w:bCs/>
                <w:sz w:val="20"/>
                <w:szCs w:val="20"/>
              </w:rPr>
              <w:t>– astfel cum este definit la art.3 din Legea nr.202/2017 precum și legea privind pieţele instrumentelor financiare și activitățile de investiții;</w:t>
            </w:r>
          </w:p>
        </w:tc>
        <w:tc>
          <w:tcPr>
            <w:tcW w:w="2552" w:type="dxa"/>
          </w:tcPr>
          <w:p w14:paraId="504382E8" w14:textId="033830F5" w:rsidR="00D15C1B" w:rsidRPr="00154588" w:rsidRDefault="0094082B" w:rsidP="008C12B4">
            <w:pPr>
              <w:jc w:val="both"/>
              <w:rPr>
                <w:bCs/>
                <w:sz w:val="20"/>
                <w:szCs w:val="20"/>
              </w:rPr>
            </w:pPr>
            <w:r w:rsidRPr="00154588">
              <w:rPr>
                <w:bCs/>
                <w:sz w:val="20"/>
                <w:szCs w:val="20"/>
              </w:rPr>
              <w:t>Compatibil</w:t>
            </w:r>
          </w:p>
        </w:tc>
        <w:tc>
          <w:tcPr>
            <w:tcW w:w="3118" w:type="dxa"/>
          </w:tcPr>
          <w:p w14:paraId="4901E1F0" w14:textId="77777777" w:rsidR="00D15C1B" w:rsidRPr="00154588" w:rsidRDefault="00D15C1B" w:rsidP="008C12B4">
            <w:pPr>
              <w:jc w:val="both"/>
              <w:rPr>
                <w:bCs/>
                <w:sz w:val="20"/>
                <w:szCs w:val="20"/>
              </w:rPr>
            </w:pPr>
          </w:p>
        </w:tc>
      </w:tr>
      <w:tr w:rsidR="00D15C1B" w:rsidRPr="00154588" w14:paraId="2A056E2C" w14:textId="77777777" w:rsidTr="00D15C1B">
        <w:trPr>
          <w:jc w:val="center"/>
        </w:trPr>
        <w:tc>
          <w:tcPr>
            <w:tcW w:w="4957" w:type="dxa"/>
            <w:gridSpan w:val="2"/>
          </w:tcPr>
          <w:p w14:paraId="79A8B6C4" w14:textId="54452C59" w:rsidR="00D15C1B" w:rsidRPr="00154588" w:rsidRDefault="00D15C1B" w:rsidP="008C12B4">
            <w:pPr>
              <w:rPr>
                <w:bCs/>
                <w:sz w:val="20"/>
                <w:szCs w:val="20"/>
              </w:rPr>
            </w:pPr>
            <w:r w:rsidRPr="00154588">
              <w:rPr>
                <w:bCs/>
                <w:sz w:val="20"/>
                <w:szCs w:val="20"/>
              </w:rPr>
              <w:t xml:space="preserve">25. </w:t>
            </w:r>
            <w:r w:rsidRPr="00154588">
              <w:rPr>
                <w:b/>
                <w:sz w:val="20"/>
                <w:szCs w:val="20"/>
              </w:rPr>
              <w:t>„conducere superioară”</w:t>
            </w:r>
            <w:r w:rsidRPr="00154588">
              <w:rPr>
                <w:bCs/>
                <w:sz w:val="20"/>
                <w:szCs w:val="20"/>
              </w:rPr>
              <w:t xml:space="preserve"> înseamnă conducerea superioară astfel cum este definită la articolul 3 alineatul (1) punctul 9 din Directiva 2013/36/UE;</w:t>
            </w:r>
          </w:p>
        </w:tc>
        <w:tc>
          <w:tcPr>
            <w:tcW w:w="4819" w:type="dxa"/>
          </w:tcPr>
          <w:p w14:paraId="1F2E0A9A" w14:textId="126ED150" w:rsidR="00D15C1B" w:rsidRPr="00154588" w:rsidRDefault="002551E0" w:rsidP="008C12B4">
            <w:pPr>
              <w:tabs>
                <w:tab w:val="left" w:pos="900"/>
              </w:tabs>
              <w:rPr>
                <w:bCs/>
                <w:sz w:val="20"/>
                <w:szCs w:val="20"/>
              </w:rPr>
            </w:pPr>
            <w:r w:rsidRPr="00154588">
              <w:rPr>
                <w:sz w:val="20"/>
                <w:szCs w:val="20"/>
              </w:rPr>
              <w:t xml:space="preserve">63) </w:t>
            </w:r>
            <w:r w:rsidRPr="00154588">
              <w:rPr>
                <w:i/>
                <w:iCs/>
                <w:sz w:val="20"/>
                <w:szCs w:val="20"/>
              </w:rPr>
              <w:t>conducere superioară</w:t>
            </w:r>
            <w:r w:rsidRPr="00154588">
              <w:rPr>
                <w:sz w:val="20"/>
                <w:szCs w:val="20"/>
              </w:rPr>
              <w:t xml:space="preserve"> – astfel cum este definită la art.3 din Legea nr.202/2017 și în Legea privind pieţele instrumentelor financiare și activitățile de investiții;</w:t>
            </w:r>
          </w:p>
        </w:tc>
        <w:tc>
          <w:tcPr>
            <w:tcW w:w="2552" w:type="dxa"/>
          </w:tcPr>
          <w:p w14:paraId="34DAC9A8" w14:textId="1DBAC80D" w:rsidR="00D15C1B" w:rsidRPr="00154588" w:rsidRDefault="0094082B" w:rsidP="008C12B4">
            <w:pPr>
              <w:jc w:val="both"/>
              <w:rPr>
                <w:bCs/>
                <w:sz w:val="20"/>
                <w:szCs w:val="20"/>
              </w:rPr>
            </w:pPr>
            <w:r w:rsidRPr="00154588">
              <w:rPr>
                <w:bCs/>
                <w:sz w:val="20"/>
                <w:szCs w:val="20"/>
              </w:rPr>
              <w:t>Compatibil</w:t>
            </w:r>
          </w:p>
        </w:tc>
        <w:tc>
          <w:tcPr>
            <w:tcW w:w="3118" w:type="dxa"/>
          </w:tcPr>
          <w:p w14:paraId="48770FD7" w14:textId="278B7BC4" w:rsidR="00D15C1B" w:rsidRPr="00154588" w:rsidRDefault="00D15C1B" w:rsidP="008C12B4">
            <w:pPr>
              <w:jc w:val="both"/>
              <w:rPr>
                <w:bCs/>
                <w:sz w:val="20"/>
                <w:szCs w:val="20"/>
              </w:rPr>
            </w:pPr>
          </w:p>
        </w:tc>
      </w:tr>
      <w:tr w:rsidR="00D15C1B" w:rsidRPr="00154588" w14:paraId="28C543A1" w14:textId="77777777" w:rsidTr="00D15C1B">
        <w:trPr>
          <w:jc w:val="center"/>
        </w:trPr>
        <w:tc>
          <w:tcPr>
            <w:tcW w:w="4957" w:type="dxa"/>
            <w:gridSpan w:val="2"/>
          </w:tcPr>
          <w:p w14:paraId="2D6049B4" w14:textId="1049330B" w:rsidR="00D15C1B" w:rsidRPr="00154588" w:rsidRDefault="00D15C1B" w:rsidP="008C12B4">
            <w:pPr>
              <w:jc w:val="both"/>
              <w:rPr>
                <w:bCs/>
                <w:sz w:val="20"/>
                <w:szCs w:val="20"/>
              </w:rPr>
            </w:pPr>
            <w:r w:rsidRPr="00154588">
              <w:rPr>
                <w:bCs/>
                <w:sz w:val="20"/>
                <w:szCs w:val="20"/>
              </w:rPr>
              <w:t xml:space="preserve">26. </w:t>
            </w:r>
            <w:r w:rsidRPr="00154588">
              <w:rPr>
                <w:b/>
                <w:sz w:val="20"/>
                <w:szCs w:val="20"/>
              </w:rPr>
              <w:t>„grup”</w:t>
            </w:r>
            <w:r w:rsidRPr="00154588">
              <w:rPr>
                <w:bCs/>
                <w:sz w:val="20"/>
                <w:szCs w:val="20"/>
              </w:rPr>
              <w:t xml:space="preserve"> înseamnă o întreprindere-mamă și filialele sale;</w:t>
            </w:r>
          </w:p>
        </w:tc>
        <w:tc>
          <w:tcPr>
            <w:tcW w:w="4819" w:type="dxa"/>
          </w:tcPr>
          <w:p w14:paraId="0E079080" w14:textId="762C5371" w:rsidR="00D15C1B" w:rsidRPr="00154588" w:rsidRDefault="002551E0" w:rsidP="008C12B4">
            <w:pPr>
              <w:jc w:val="both"/>
              <w:rPr>
                <w:bCs/>
                <w:sz w:val="20"/>
                <w:szCs w:val="20"/>
              </w:rPr>
            </w:pPr>
            <w:r w:rsidRPr="00154588">
              <w:rPr>
                <w:bCs/>
                <w:sz w:val="20"/>
                <w:szCs w:val="20"/>
              </w:rPr>
              <w:t xml:space="preserve">77) </w:t>
            </w:r>
            <w:r w:rsidRPr="00154588">
              <w:rPr>
                <w:bCs/>
                <w:i/>
                <w:iCs/>
                <w:sz w:val="20"/>
                <w:szCs w:val="20"/>
              </w:rPr>
              <w:t>grup</w:t>
            </w:r>
            <w:r w:rsidRPr="00154588">
              <w:rPr>
                <w:bCs/>
                <w:sz w:val="20"/>
                <w:szCs w:val="20"/>
              </w:rPr>
              <w:t xml:space="preserve"> - o întreprindere-mamă şi filialele acesteia;</w:t>
            </w:r>
          </w:p>
        </w:tc>
        <w:tc>
          <w:tcPr>
            <w:tcW w:w="2552" w:type="dxa"/>
          </w:tcPr>
          <w:p w14:paraId="391CC4A0" w14:textId="2199522D" w:rsidR="00D15C1B" w:rsidRPr="00154588" w:rsidRDefault="0094082B" w:rsidP="008C12B4">
            <w:pPr>
              <w:jc w:val="both"/>
              <w:rPr>
                <w:bCs/>
                <w:sz w:val="20"/>
                <w:szCs w:val="20"/>
              </w:rPr>
            </w:pPr>
            <w:r w:rsidRPr="00154588">
              <w:rPr>
                <w:bCs/>
                <w:sz w:val="20"/>
                <w:szCs w:val="20"/>
              </w:rPr>
              <w:t>Compatibil</w:t>
            </w:r>
          </w:p>
        </w:tc>
        <w:tc>
          <w:tcPr>
            <w:tcW w:w="3118" w:type="dxa"/>
          </w:tcPr>
          <w:p w14:paraId="1FAFF6F5" w14:textId="77777777" w:rsidR="00D15C1B" w:rsidRPr="00154588" w:rsidRDefault="00D15C1B" w:rsidP="008C12B4">
            <w:pPr>
              <w:jc w:val="both"/>
              <w:rPr>
                <w:bCs/>
                <w:sz w:val="20"/>
                <w:szCs w:val="20"/>
              </w:rPr>
            </w:pPr>
          </w:p>
        </w:tc>
      </w:tr>
      <w:tr w:rsidR="00D15C1B" w:rsidRPr="00154588" w14:paraId="7C8617D3" w14:textId="77777777" w:rsidTr="00D15C1B">
        <w:trPr>
          <w:jc w:val="center"/>
        </w:trPr>
        <w:tc>
          <w:tcPr>
            <w:tcW w:w="4957" w:type="dxa"/>
            <w:gridSpan w:val="2"/>
          </w:tcPr>
          <w:p w14:paraId="32C03D66" w14:textId="12B0DC86" w:rsidR="00D15C1B" w:rsidRPr="00154588" w:rsidRDefault="00D15C1B" w:rsidP="008C12B4">
            <w:pPr>
              <w:jc w:val="both"/>
              <w:rPr>
                <w:bCs/>
                <w:sz w:val="20"/>
                <w:szCs w:val="20"/>
              </w:rPr>
            </w:pPr>
            <w:r w:rsidRPr="00154588">
              <w:rPr>
                <w:bCs/>
                <w:sz w:val="20"/>
                <w:szCs w:val="20"/>
              </w:rPr>
              <w:t xml:space="preserve">27. </w:t>
            </w:r>
            <w:r w:rsidRPr="00154588">
              <w:rPr>
                <w:b/>
                <w:sz w:val="20"/>
                <w:szCs w:val="20"/>
              </w:rPr>
              <w:t>„grup transfrontalier”</w:t>
            </w:r>
            <w:r w:rsidRPr="00154588">
              <w:rPr>
                <w:bCs/>
                <w:sz w:val="20"/>
                <w:szCs w:val="20"/>
              </w:rPr>
              <w:t xml:space="preserve"> înseamnă un grup ale cărui entități sunt stabilite în cel puțin două state membre;</w:t>
            </w:r>
          </w:p>
        </w:tc>
        <w:tc>
          <w:tcPr>
            <w:tcW w:w="4819" w:type="dxa"/>
          </w:tcPr>
          <w:p w14:paraId="676164E9" w14:textId="74F0421A" w:rsidR="00D15C1B" w:rsidRPr="00154588" w:rsidRDefault="002551E0" w:rsidP="008C12B4">
            <w:pPr>
              <w:jc w:val="both"/>
              <w:rPr>
                <w:bCs/>
                <w:sz w:val="20"/>
                <w:szCs w:val="20"/>
              </w:rPr>
            </w:pPr>
            <w:r w:rsidRPr="00154588">
              <w:rPr>
                <w:bCs/>
                <w:sz w:val="20"/>
                <w:szCs w:val="20"/>
              </w:rPr>
              <w:t xml:space="preserve">78) </w:t>
            </w:r>
            <w:r w:rsidRPr="00154588">
              <w:rPr>
                <w:bCs/>
                <w:i/>
                <w:sz w:val="20"/>
                <w:szCs w:val="20"/>
              </w:rPr>
              <w:t>grup transfrontalier</w:t>
            </w:r>
            <w:r w:rsidRPr="00154588">
              <w:rPr>
                <w:bCs/>
                <w:sz w:val="20"/>
                <w:szCs w:val="20"/>
              </w:rPr>
              <w:t xml:space="preserve"> – un grup format din entități stabilite în mai multe state membre;</w:t>
            </w:r>
          </w:p>
        </w:tc>
        <w:tc>
          <w:tcPr>
            <w:tcW w:w="2552" w:type="dxa"/>
          </w:tcPr>
          <w:p w14:paraId="416FB820" w14:textId="11F23C5A" w:rsidR="00D15C1B" w:rsidRPr="00154588" w:rsidRDefault="0094082B" w:rsidP="008C12B4">
            <w:pPr>
              <w:jc w:val="both"/>
              <w:rPr>
                <w:bCs/>
                <w:sz w:val="20"/>
                <w:szCs w:val="20"/>
              </w:rPr>
            </w:pPr>
            <w:r w:rsidRPr="00154588">
              <w:rPr>
                <w:bCs/>
                <w:sz w:val="20"/>
                <w:szCs w:val="20"/>
              </w:rPr>
              <w:t>Compatibil</w:t>
            </w:r>
          </w:p>
        </w:tc>
        <w:tc>
          <w:tcPr>
            <w:tcW w:w="3118" w:type="dxa"/>
          </w:tcPr>
          <w:p w14:paraId="75F76AA7" w14:textId="77777777" w:rsidR="00D15C1B" w:rsidRPr="00154588" w:rsidRDefault="00D15C1B" w:rsidP="008C12B4">
            <w:pPr>
              <w:jc w:val="both"/>
              <w:rPr>
                <w:bCs/>
                <w:sz w:val="20"/>
                <w:szCs w:val="20"/>
              </w:rPr>
            </w:pPr>
          </w:p>
        </w:tc>
      </w:tr>
      <w:tr w:rsidR="00D15C1B" w:rsidRPr="00154588" w14:paraId="5A13D736" w14:textId="77777777" w:rsidTr="00D15C1B">
        <w:trPr>
          <w:jc w:val="center"/>
        </w:trPr>
        <w:tc>
          <w:tcPr>
            <w:tcW w:w="4957" w:type="dxa"/>
            <w:gridSpan w:val="2"/>
          </w:tcPr>
          <w:p w14:paraId="3F4CE3E7" w14:textId="2237479C" w:rsidR="00D15C1B" w:rsidRPr="00154588" w:rsidRDefault="00D15C1B" w:rsidP="008C12B4">
            <w:pPr>
              <w:jc w:val="both"/>
              <w:rPr>
                <w:bCs/>
                <w:sz w:val="20"/>
                <w:szCs w:val="20"/>
              </w:rPr>
            </w:pPr>
            <w:r w:rsidRPr="00154588">
              <w:rPr>
                <w:bCs/>
                <w:sz w:val="20"/>
                <w:szCs w:val="20"/>
              </w:rPr>
              <w:t xml:space="preserve">28. </w:t>
            </w:r>
            <w:r w:rsidRPr="00154588">
              <w:rPr>
                <w:b/>
                <w:sz w:val="20"/>
                <w:szCs w:val="20"/>
              </w:rPr>
              <w:t>„sprijin financiar public extraordinar”</w:t>
            </w:r>
            <w:r w:rsidRPr="00154588">
              <w:rPr>
                <w:bCs/>
                <w:sz w:val="20"/>
                <w:szCs w:val="20"/>
              </w:rPr>
              <w:t xml:space="preserve"> înseamnă ajutor de stat în sensul articolului 107 alineatul (1) din Tratatul privind funcționarea Uniunii Europene sau orice alt sprijin financiar public la nivel supranațional, care, dacă ar fi furnizat la nivel național ar constitui un ajutor de stat și care este furnizat pentru a menține sau restabili viabilitatea, lichiditatea sau solvabilitatea unei instituții sau entități menționate la articolul 1 alineatul (1) literele (b), (c) sau (d) sau a unui grup din care face parte o astfel de entitate sau grup;</w:t>
            </w:r>
          </w:p>
        </w:tc>
        <w:tc>
          <w:tcPr>
            <w:tcW w:w="4819" w:type="dxa"/>
          </w:tcPr>
          <w:p w14:paraId="588EF699" w14:textId="21649EE1" w:rsidR="00D15C1B" w:rsidRPr="00154588" w:rsidRDefault="002551E0" w:rsidP="008C12B4">
            <w:pPr>
              <w:rPr>
                <w:bCs/>
                <w:sz w:val="20"/>
                <w:szCs w:val="20"/>
              </w:rPr>
            </w:pPr>
            <w:r w:rsidRPr="00154588">
              <w:rPr>
                <w:sz w:val="20"/>
                <w:szCs w:val="20"/>
              </w:rPr>
              <w:t xml:space="preserve">50) </w:t>
            </w:r>
            <w:r w:rsidRPr="00154588">
              <w:rPr>
                <w:i/>
                <w:iCs/>
                <w:sz w:val="20"/>
                <w:szCs w:val="20"/>
              </w:rPr>
              <w:t>sprijin financiar public extraordinar</w:t>
            </w:r>
            <w:r w:rsidRPr="00154588">
              <w:rPr>
                <w:sz w:val="20"/>
                <w:szCs w:val="20"/>
              </w:rPr>
              <w:t xml:space="preserve"> – ajutor de stat în înţelesul art.2 din Legea nr.139/2012 cu privire la ajutorul de stat, destinat păstrării sau restabilirii viabilităţii, lichidităţii sau solvabilităţii unei instituții sau unei entități prevăzute la art.1 alin.(1) lit.b), c) sau d) sau unui grup din care acestea fac parte;</w:t>
            </w:r>
          </w:p>
        </w:tc>
        <w:tc>
          <w:tcPr>
            <w:tcW w:w="2552" w:type="dxa"/>
          </w:tcPr>
          <w:p w14:paraId="681588C7" w14:textId="1501FE6C" w:rsidR="00D15C1B" w:rsidRPr="00154588" w:rsidRDefault="0094082B" w:rsidP="008C12B4">
            <w:pPr>
              <w:jc w:val="both"/>
              <w:rPr>
                <w:bCs/>
                <w:sz w:val="20"/>
                <w:szCs w:val="20"/>
              </w:rPr>
            </w:pPr>
            <w:r w:rsidRPr="00154588">
              <w:rPr>
                <w:bCs/>
                <w:sz w:val="20"/>
                <w:szCs w:val="20"/>
              </w:rPr>
              <w:t>Compatibil</w:t>
            </w:r>
          </w:p>
        </w:tc>
        <w:tc>
          <w:tcPr>
            <w:tcW w:w="3118" w:type="dxa"/>
          </w:tcPr>
          <w:p w14:paraId="1D2D33E7" w14:textId="77777777" w:rsidR="00D15C1B" w:rsidRPr="00154588" w:rsidRDefault="00D15C1B" w:rsidP="008C12B4">
            <w:pPr>
              <w:jc w:val="both"/>
              <w:rPr>
                <w:bCs/>
                <w:sz w:val="20"/>
                <w:szCs w:val="20"/>
              </w:rPr>
            </w:pPr>
          </w:p>
        </w:tc>
      </w:tr>
      <w:tr w:rsidR="00E91605" w:rsidRPr="00154588" w14:paraId="068FE67E" w14:textId="77777777" w:rsidTr="00D15C1B">
        <w:trPr>
          <w:jc w:val="center"/>
        </w:trPr>
        <w:tc>
          <w:tcPr>
            <w:tcW w:w="4957" w:type="dxa"/>
            <w:gridSpan w:val="2"/>
          </w:tcPr>
          <w:p w14:paraId="42D9C631" w14:textId="43D2E393" w:rsidR="00E91605" w:rsidRPr="00154588" w:rsidRDefault="00E91605" w:rsidP="008C12B4">
            <w:pPr>
              <w:jc w:val="both"/>
              <w:rPr>
                <w:bCs/>
                <w:sz w:val="20"/>
                <w:szCs w:val="20"/>
              </w:rPr>
            </w:pPr>
            <w:r w:rsidRPr="00154588">
              <w:rPr>
                <w:bCs/>
                <w:sz w:val="20"/>
                <w:szCs w:val="20"/>
              </w:rPr>
              <w:t xml:space="preserve">28a. </w:t>
            </w:r>
            <w:r w:rsidR="00E85E96" w:rsidRPr="00154588">
              <w:rPr>
                <w:b/>
                <w:sz w:val="20"/>
                <w:szCs w:val="20"/>
              </w:rPr>
              <w:t>„</w:t>
            </w:r>
            <w:r w:rsidRPr="00154588">
              <w:rPr>
                <w:b/>
                <w:sz w:val="20"/>
                <w:szCs w:val="20"/>
              </w:rPr>
              <w:t>măsură alternativă a sectorului privat</w:t>
            </w:r>
            <w:r w:rsidR="00E85E96" w:rsidRPr="00154588">
              <w:rPr>
                <w:b/>
                <w:sz w:val="20"/>
                <w:szCs w:val="20"/>
              </w:rPr>
              <w:t>”</w:t>
            </w:r>
            <w:r w:rsidRPr="00154588">
              <w:rPr>
                <w:bCs/>
                <w:sz w:val="20"/>
                <w:szCs w:val="20"/>
              </w:rPr>
              <w:t xml:space="preserve"> înseamnă orice sprijin care nu se califică drept sprijin financiar public extraordinar;</w:t>
            </w:r>
          </w:p>
        </w:tc>
        <w:tc>
          <w:tcPr>
            <w:tcW w:w="4819" w:type="dxa"/>
          </w:tcPr>
          <w:p w14:paraId="37953020" w14:textId="1DEAAB4B" w:rsidR="00E91605" w:rsidRPr="00154588" w:rsidRDefault="00507C0D" w:rsidP="008C12B4">
            <w:pPr>
              <w:rPr>
                <w:sz w:val="20"/>
                <w:szCs w:val="20"/>
              </w:rPr>
            </w:pPr>
            <w:r w:rsidRPr="00154588">
              <w:rPr>
                <w:sz w:val="20"/>
                <w:szCs w:val="20"/>
              </w:rPr>
              <w:t>50</w:t>
            </w:r>
            <w:r w:rsidR="00FE2366" w:rsidRPr="00154588">
              <w:rPr>
                <w:sz w:val="20"/>
                <w:szCs w:val="20"/>
                <w:vertAlign w:val="superscript"/>
              </w:rPr>
              <w:t>1</w:t>
            </w:r>
            <w:r w:rsidR="00FE2366" w:rsidRPr="00154588">
              <w:rPr>
                <w:sz w:val="20"/>
                <w:szCs w:val="20"/>
              </w:rPr>
              <w:t xml:space="preserve">) </w:t>
            </w:r>
            <w:r w:rsidR="00FE2366" w:rsidRPr="00154588">
              <w:rPr>
                <w:bCs/>
                <w:i/>
                <w:iCs/>
                <w:sz w:val="20"/>
                <w:szCs w:val="20"/>
              </w:rPr>
              <w:t>măsură alternativă a sectorului privat</w:t>
            </w:r>
            <w:r w:rsidR="00FE2366" w:rsidRPr="00154588">
              <w:rPr>
                <w:b/>
                <w:sz w:val="20"/>
                <w:szCs w:val="20"/>
              </w:rPr>
              <w:t xml:space="preserve"> -</w:t>
            </w:r>
            <w:r w:rsidR="00FE2366" w:rsidRPr="00154588">
              <w:rPr>
                <w:bCs/>
                <w:sz w:val="20"/>
                <w:szCs w:val="20"/>
              </w:rPr>
              <w:t xml:space="preserve"> orice sprijin care nu se califică drept sprijin financiar public extraordinar;</w:t>
            </w:r>
          </w:p>
        </w:tc>
        <w:tc>
          <w:tcPr>
            <w:tcW w:w="2552" w:type="dxa"/>
          </w:tcPr>
          <w:p w14:paraId="71640BCC" w14:textId="77777777" w:rsidR="00E91605" w:rsidRPr="00154588" w:rsidRDefault="00E91605" w:rsidP="008C12B4">
            <w:pPr>
              <w:jc w:val="both"/>
              <w:rPr>
                <w:bCs/>
                <w:sz w:val="20"/>
                <w:szCs w:val="20"/>
              </w:rPr>
            </w:pPr>
          </w:p>
        </w:tc>
        <w:tc>
          <w:tcPr>
            <w:tcW w:w="3118" w:type="dxa"/>
          </w:tcPr>
          <w:p w14:paraId="26257896" w14:textId="77777777" w:rsidR="00E91605" w:rsidRPr="00154588" w:rsidRDefault="00E91605" w:rsidP="008C12B4">
            <w:pPr>
              <w:jc w:val="both"/>
              <w:rPr>
                <w:bCs/>
                <w:sz w:val="20"/>
                <w:szCs w:val="20"/>
              </w:rPr>
            </w:pPr>
          </w:p>
        </w:tc>
      </w:tr>
      <w:tr w:rsidR="00D15C1B" w:rsidRPr="00154588" w14:paraId="4D7B1D42" w14:textId="77777777" w:rsidTr="00D15C1B">
        <w:trPr>
          <w:jc w:val="center"/>
        </w:trPr>
        <w:tc>
          <w:tcPr>
            <w:tcW w:w="4957" w:type="dxa"/>
            <w:gridSpan w:val="2"/>
          </w:tcPr>
          <w:p w14:paraId="4634063D" w14:textId="5437BABC" w:rsidR="00D15C1B" w:rsidRPr="00154588" w:rsidRDefault="00D15C1B" w:rsidP="008C12B4">
            <w:pPr>
              <w:jc w:val="both"/>
              <w:rPr>
                <w:bCs/>
                <w:sz w:val="20"/>
                <w:szCs w:val="20"/>
              </w:rPr>
            </w:pPr>
            <w:r w:rsidRPr="00154588">
              <w:rPr>
                <w:bCs/>
                <w:sz w:val="20"/>
                <w:szCs w:val="20"/>
              </w:rPr>
              <w:t xml:space="preserve">29. </w:t>
            </w:r>
            <w:r w:rsidRPr="00154588">
              <w:rPr>
                <w:b/>
                <w:sz w:val="20"/>
                <w:szCs w:val="20"/>
              </w:rPr>
              <w:t>„asistență privind lichiditatea în situații de urgență”</w:t>
            </w:r>
            <w:r w:rsidRPr="00154588">
              <w:rPr>
                <w:bCs/>
                <w:sz w:val="20"/>
                <w:szCs w:val="20"/>
              </w:rPr>
              <w:t xml:space="preserve"> înseamnă furnizarea de bani ai băncii centrale sau orice altă formă de asistență ce poate conduce la creșterea volumului de bani ai băncii centrale, către o instituție financiară solvabilă sau un grup de instituții financiare solvabile, care </w:t>
            </w:r>
            <w:r w:rsidRPr="00154588">
              <w:rPr>
                <w:bCs/>
                <w:sz w:val="20"/>
                <w:szCs w:val="20"/>
              </w:rPr>
              <w:lastRenderedPageBreak/>
              <w:t>se confruntă temporar cu probleme de lichidități, fără ca o astfel de operațiune să fie parte a politicii monetare;</w:t>
            </w:r>
          </w:p>
        </w:tc>
        <w:tc>
          <w:tcPr>
            <w:tcW w:w="4819" w:type="dxa"/>
          </w:tcPr>
          <w:p w14:paraId="355B60D0" w14:textId="0295D33E" w:rsidR="00D15C1B" w:rsidRPr="00154588" w:rsidRDefault="002551E0" w:rsidP="008C12B4">
            <w:pPr>
              <w:jc w:val="both"/>
              <w:rPr>
                <w:bCs/>
                <w:sz w:val="20"/>
                <w:szCs w:val="20"/>
              </w:rPr>
            </w:pPr>
            <w:r w:rsidRPr="00154588">
              <w:rPr>
                <w:bCs/>
                <w:sz w:val="20"/>
                <w:szCs w:val="20"/>
              </w:rPr>
              <w:lastRenderedPageBreak/>
              <w:t>6)</w:t>
            </w:r>
            <w:r w:rsidRPr="00154588">
              <w:rPr>
                <w:bCs/>
                <w:i/>
                <w:iCs/>
                <w:sz w:val="20"/>
                <w:szCs w:val="20"/>
              </w:rPr>
              <w:t xml:space="preserve"> asistenţă de lichiditate în situaţii de urgenţă</w:t>
            </w:r>
            <w:r w:rsidRPr="00154588">
              <w:rPr>
                <w:bCs/>
                <w:sz w:val="20"/>
                <w:szCs w:val="20"/>
              </w:rPr>
              <w:t xml:space="preserve"> – astfel cum este definită la art.2 din Legea nr.548/1995 cu privire la Banca Naţională a Moldovei;</w:t>
            </w:r>
          </w:p>
        </w:tc>
        <w:tc>
          <w:tcPr>
            <w:tcW w:w="2552" w:type="dxa"/>
          </w:tcPr>
          <w:p w14:paraId="7CCFB996" w14:textId="088A31C8" w:rsidR="00D15C1B" w:rsidRPr="00154588" w:rsidRDefault="0094082B" w:rsidP="008C12B4">
            <w:pPr>
              <w:jc w:val="both"/>
              <w:rPr>
                <w:bCs/>
                <w:sz w:val="20"/>
                <w:szCs w:val="20"/>
              </w:rPr>
            </w:pPr>
            <w:r w:rsidRPr="00154588">
              <w:rPr>
                <w:bCs/>
                <w:sz w:val="20"/>
                <w:szCs w:val="20"/>
              </w:rPr>
              <w:t>Compatibil</w:t>
            </w:r>
          </w:p>
        </w:tc>
        <w:tc>
          <w:tcPr>
            <w:tcW w:w="3118" w:type="dxa"/>
          </w:tcPr>
          <w:p w14:paraId="480FB816" w14:textId="77777777" w:rsidR="00D15C1B" w:rsidRPr="00154588" w:rsidRDefault="00D15C1B" w:rsidP="008C12B4">
            <w:pPr>
              <w:jc w:val="both"/>
              <w:rPr>
                <w:bCs/>
                <w:sz w:val="20"/>
                <w:szCs w:val="20"/>
              </w:rPr>
            </w:pPr>
          </w:p>
        </w:tc>
      </w:tr>
      <w:tr w:rsidR="00D15C1B" w:rsidRPr="00154588" w14:paraId="28DB0E02" w14:textId="77777777" w:rsidTr="00D15C1B">
        <w:trPr>
          <w:jc w:val="center"/>
        </w:trPr>
        <w:tc>
          <w:tcPr>
            <w:tcW w:w="4957" w:type="dxa"/>
            <w:gridSpan w:val="2"/>
          </w:tcPr>
          <w:p w14:paraId="071E3AAE" w14:textId="7903A3AC" w:rsidR="00D15C1B" w:rsidRPr="00154588" w:rsidRDefault="00D15C1B" w:rsidP="008C12B4">
            <w:pPr>
              <w:jc w:val="both"/>
              <w:rPr>
                <w:bCs/>
                <w:sz w:val="20"/>
                <w:szCs w:val="20"/>
              </w:rPr>
            </w:pPr>
            <w:r w:rsidRPr="00154588">
              <w:rPr>
                <w:bCs/>
                <w:sz w:val="20"/>
                <w:szCs w:val="20"/>
              </w:rPr>
              <w:t xml:space="preserve">30. </w:t>
            </w:r>
            <w:r w:rsidRPr="00154588">
              <w:rPr>
                <w:b/>
                <w:sz w:val="20"/>
                <w:szCs w:val="20"/>
              </w:rPr>
              <w:t>„criză sistemică”</w:t>
            </w:r>
            <w:r w:rsidRPr="00154588">
              <w:rPr>
                <w:bCs/>
                <w:sz w:val="20"/>
                <w:szCs w:val="20"/>
              </w:rPr>
              <w:t xml:space="preserve"> înseamnă o perturbare a sistemului financiar care poate genera consecințe negative grave pentru piața internă și economia reală; toate tipurile de entități financiare intermediare, piețe și infrastructuri financiare pot fi importante din punct de vedere sistemic într-o anumită măsură;</w:t>
            </w:r>
          </w:p>
        </w:tc>
        <w:tc>
          <w:tcPr>
            <w:tcW w:w="4819" w:type="dxa"/>
          </w:tcPr>
          <w:p w14:paraId="694271AF" w14:textId="33EDEC6C" w:rsidR="00D15C1B" w:rsidRPr="00154588" w:rsidRDefault="002551E0" w:rsidP="008C12B4">
            <w:pPr>
              <w:jc w:val="both"/>
              <w:rPr>
                <w:bCs/>
                <w:sz w:val="20"/>
                <w:szCs w:val="20"/>
              </w:rPr>
            </w:pPr>
            <w:r w:rsidRPr="00154588">
              <w:rPr>
                <w:bCs/>
                <w:sz w:val="20"/>
                <w:szCs w:val="20"/>
              </w:rPr>
              <w:t xml:space="preserve">19) </w:t>
            </w:r>
            <w:r w:rsidRPr="00154588">
              <w:rPr>
                <w:bCs/>
                <w:i/>
                <w:iCs/>
                <w:sz w:val="20"/>
                <w:szCs w:val="20"/>
              </w:rPr>
              <w:t xml:space="preserve">criză sistemică </w:t>
            </w:r>
            <w:r w:rsidRPr="00154588">
              <w:rPr>
                <w:bCs/>
                <w:sz w:val="20"/>
                <w:szCs w:val="20"/>
              </w:rPr>
              <w:t>– perturbare a sistemului financiar care poate să conducă la consecinţe negative grave pentru piaţa internă şi economia reală şi care poate fi generată de oricare dintre tipurile de intermediari financiari, pieţe şi infrastructuri, întrucît oricare dintre aceştia poate fi de importanţă sistemică într-o anumită măsură;</w:t>
            </w:r>
          </w:p>
        </w:tc>
        <w:tc>
          <w:tcPr>
            <w:tcW w:w="2552" w:type="dxa"/>
          </w:tcPr>
          <w:p w14:paraId="4761EC8D" w14:textId="38A47024" w:rsidR="00D15C1B" w:rsidRPr="00154588" w:rsidRDefault="0094082B" w:rsidP="008C12B4">
            <w:pPr>
              <w:jc w:val="both"/>
              <w:rPr>
                <w:bCs/>
                <w:sz w:val="20"/>
                <w:szCs w:val="20"/>
              </w:rPr>
            </w:pPr>
            <w:r w:rsidRPr="00154588">
              <w:rPr>
                <w:bCs/>
                <w:sz w:val="20"/>
                <w:szCs w:val="20"/>
              </w:rPr>
              <w:t>Compatibil</w:t>
            </w:r>
          </w:p>
        </w:tc>
        <w:tc>
          <w:tcPr>
            <w:tcW w:w="3118" w:type="dxa"/>
          </w:tcPr>
          <w:p w14:paraId="12BCA9A7" w14:textId="77777777" w:rsidR="00D15C1B" w:rsidRPr="00154588" w:rsidRDefault="00D15C1B" w:rsidP="008C12B4">
            <w:pPr>
              <w:jc w:val="both"/>
              <w:rPr>
                <w:bCs/>
                <w:sz w:val="20"/>
                <w:szCs w:val="20"/>
              </w:rPr>
            </w:pPr>
          </w:p>
        </w:tc>
      </w:tr>
      <w:tr w:rsidR="00D15C1B" w:rsidRPr="00154588" w14:paraId="0D5333F6" w14:textId="77777777" w:rsidTr="00D15C1B">
        <w:trPr>
          <w:jc w:val="center"/>
        </w:trPr>
        <w:tc>
          <w:tcPr>
            <w:tcW w:w="4957" w:type="dxa"/>
            <w:gridSpan w:val="2"/>
          </w:tcPr>
          <w:p w14:paraId="76B53AC4" w14:textId="54219477" w:rsidR="00D15C1B" w:rsidRPr="00154588" w:rsidRDefault="00D15C1B" w:rsidP="008C12B4">
            <w:pPr>
              <w:jc w:val="both"/>
              <w:rPr>
                <w:bCs/>
                <w:sz w:val="20"/>
                <w:szCs w:val="20"/>
              </w:rPr>
            </w:pPr>
            <w:r w:rsidRPr="00154588">
              <w:rPr>
                <w:bCs/>
                <w:sz w:val="20"/>
                <w:szCs w:val="20"/>
              </w:rPr>
              <w:t xml:space="preserve">31. </w:t>
            </w:r>
            <w:r w:rsidRPr="00154588">
              <w:rPr>
                <w:b/>
                <w:sz w:val="20"/>
                <w:szCs w:val="20"/>
              </w:rPr>
              <w:t>„entitate din grup”</w:t>
            </w:r>
            <w:r w:rsidRPr="00154588">
              <w:rPr>
                <w:bCs/>
                <w:sz w:val="20"/>
                <w:szCs w:val="20"/>
              </w:rPr>
              <w:t xml:space="preserve"> înseamnă o persoană juridică care face parte dintr-un grup;</w:t>
            </w:r>
          </w:p>
        </w:tc>
        <w:tc>
          <w:tcPr>
            <w:tcW w:w="4819" w:type="dxa"/>
          </w:tcPr>
          <w:p w14:paraId="066D3A80" w14:textId="77FB1441" w:rsidR="00D15C1B" w:rsidRPr="00154588" w:rsidRDefault="00736B05" w:rsidP="008C12B4">
            <w:pPr>
              <w:jc w:val="both"/>
              <w:rPr>
                <w:bCs/>
                <w:sz w:val="20"/>
                <w:szCs w:val="20"/>
              </w:rPr>
            </w:pPr>
            <w:r w:rsidRPr="00154588">
              <w:rPr>
                <w:bCs/>
                <w:sz w:val="20"/>
                <w:szCs w:val="20"/>
              </w:rPr>
              <w:t xml:space="preserve">68) </w:t>
            </w:r>
            <w:r w:rsidRPr="00154588">
              <w:rPr>
                <w:bCs/>
                <w:i/>
                <w:iCs/>
                <w:sz w:val="20"/>
                <w:szCs w:val="20"/>
              </w:rPr>
              <w:t>entitate din grup</w:t>
            </w:r>
            <w:r w:rsidRPr="00154588">
              <w:rPr>
                <w:bCs/>
                <w:sz w:val="20"/>
                <w:szCs w:val="20"/>
              </w:rPr>
              <w:t xml:space="preserve"> – o persoană juridică care face parte dintr-un grup;</w:t>
            </w:r>
          </w:p>
        </w:tc>
        <w:tc>
          <w:tcPr>
            <w:tcW w:w="2552" w:type="dxa"/>
          </w:tcPr>
          <w:p w14:paraId="25C1BB01" w14:textId="176EEE8C" w:rsidR="00D15C1B" w:rsidRPr="00154588" w:rsidRDefault="0094082B" w:rsidP="008C12B4">
            <w:pPr>
              <w:jc w:val="both"/>
              <w:rPr>
                <w:bCs/>
                <w:sz w:val="20"/>
                <w:szCs w:val="20"/>
              </w:rPr>
            </w:pPr>
            <w:r w:rsidRPr="00154588">
              <w:rPr>
                <w:bCs/>
                <w:sz w:val="20"/>
                <w:szCs w:val="20"/>
              </w:rPr>
              <w:t>Compatibil</w:t>
            </w:r>
          </w:p>
        </w:tc>
        <w:tc>
          <w:tcPr>
            <w:tcW w:w="3118" w:type="dxa"/>
          </w:tcPr>
          <w:p w14:paraId="142FDDE6" w14:textId="77777777" w:rsidR="00D15C1B" w:rsidRPr="00154588" w:rsidRDefault="00D15C1B" w:rsidP="008C12B4">
            <w:pPr>
              <w:jc w:val="both"/>
              <w:rPr>
                <w:bCs/>
                <w:sz w:val="20"/>
                <w:szCs w:val="20"/>
              </w:rPr>
            </w:pPr>
          </w:p>
        </w:tc>
      </w:tr>
      <w:tr w:rsidR="00D15C1B" w:rsidRPr="00154588" w14:paraId="77E572BE" w14:textId="77777777" w:rsidTr="00D15C1B">
        <w:trPr>
          <w:jc w:val="center"/>
        </w:trPr>
        <w:tc>
          <w:tcPr>
            <w:tcW w:w="4957" w:type="dxa"/>
            <w:gridSpan w:val="2"/>
          </w:tcPr>
          <w:p w14:paraId="4BFD28C7" w14:textId="6DDCEA71" w:rsidR="00D15C1B" w:rsidRPr="00154588" w:rsidRDefault="00D15C1B" w:rsidP="008C12B4">
            <w:pPr>
              <w:jc w:val="both"/>
              <w:rPr>
                <w:bCs/>
                <w:sz w:val="20"/>
                <w:szCs w:val="20"/>
              </w:rPr>
            </w:pPr>
            <w:r w:rsidRPr="00154588">
              <w:rPr>
                <w:bCs/>
                <w:sz w:val="20"/>
                <w:szCs w:val="20"/>
              </w:rPr>
              <w:t xml:space="preserve">32. </w:t>
            </w:r>
            <w:r w:rsidRPr="00154588">
              <w:rPr>
                <w:b/>
                <w:sz w:val="20"/>
                <w:szCs w:val="20"/>
              </w:rPr>
              <w:t>„plan de redresare”</w:t>
            </w:r>
            <w:r w:rsidRPr="00154588">
              <w:rPr>
                <w:bCs/>
                <w:sz w:val="20"/>
                <w:szCs w:val="20"/>
              </w:rPr>
              <w:t xml:space="preserve"> înseamnă un plan de redresare elaborat și actualizat de o instituție în conformitate cu articolul 5;</w:t>
            </w:r>
          </w:p>
        </w:tc>
        <w:tc>
          <w:tcPr>
            <w:tcW w:w="4819" w:type="dxa"/>
          </w:tcPr>
          <w:p w14:paraId="367838C2" w14:textId="1E9CFFA2" w:rsidR="00D15C1B" w:rsidRPr="00154588" w:rsidRDefault="00736B05" w:rsidP="008C12B4">
            <w:pPr>
              <w:jc w:val="both"/>
              <w:rPr>
                <w:bCs/>
                <w:sz w:val="20"/>
                <w:szCs w:val="20"/>
              </w:rPr>
            </w:pPr>
            <w:r w:rsidRPr="00154588">
              <w:rPr>
                <w:bCs/>
                <w:sz w:val="20"/>
                <w:szCs w:val="20"/>
              </w:rPr>
              <w:t xml:space="preserve">98) </w:t>
            </w:r>
            <w:r w:rsidRPr="00154588">
              <w:rPr>
                <w:bCs/>
                <w:i/>
                <w:iCs/>
                <w:sz w:val="20"/>
                <w:szCs w:val="20"/>
              </w:rPr>
              <w:t>plan de redresare</w:t>
            </w:r>
            <w:r w:rsidRPr="00154588">
              <w:rPr>
                <w:bCs/>
                <w:sz w:val="20"/>
                <w:szCs w:val="20"/>
              </w:rPr>
              <w:t xml:space="preserve"> – un plan de redresare elaborat și actualizat de o instituție în conformitate cu art.9-15;</w:t>
            </w:r>
          </w:p>
        </w:tc>
        <w:tc>
          <w:tcPr>
            <w:tcW w:w="2552" w:type="dxa"/>
          </w:tcPr>
          <w:p w14:paraId="7F8ACF6E" w14:textId="15C21FB1" w:rsidR="00D15C1B" w:rsidRPr="00154588" w:rsidRDefault="0094082B" w:rsidP="008C12B4">
            <w:pPr>
              <w:jc w:val="both"/>
              <w:rPr>
                <w:bCs/>
                <w:sz w:val="20"/>
                <w:szCs w:val="20"/>
              </w:rPr>
            </w:pPr>
            <w:r w:rsidRPr="00154588">
              <w:rPr>
                <w:bCs/>
                <w:sz w:val="20"/>
                <w:szCs w:val="20"/>
              </w:rPr>
              <w:t>Compatibil</w:t>
            </w:r>
          </w:p>
        </w:tc>
        <w:tc>
          <w:tcPr>
            <w:tcW w:w="3118" w:type="dxa"/>
          </w:tcPr>
          <w:p w14:paraId="0B44B8D5" w14:textId="77777777" w:rsidR="00D15C1B" w:rsidRPr="00154588" w:rsidRDefault="00D15C1B" w:rsidP="008C12B4">
            <w:pPr>
              <w:jc w:val="both"/>
              <w:rPr>
                <w:bCs/>
                <w:sz w:val="20"/>
                <w:szCs w:val="20"/>
              </w:rPr>
            </w:pPr>
          </w:p>
        </w:tc>
      </w:tr>
      <w:tr w:rsidR="005D0766" w:rsidRPr="00154588" w14:paraId="0B3D5F14" w14:textId="77777777" w:rsidTr="00D15C1B">
        <w:trPr>
          <w:jc w:val="center"/>
        </w:trPr>
        <w:tc>
          <w:tcPr>
            <w:tcW w:w="4957" w:type="dxa"/>
            <w:gridSpan w:val="2"/>
          </w:tcPr>
          <w:p w14:paraId="2F49DDCF" w14:textId="77777777" w:rsidR="005D0766" w:rsidRPr="00154588" w:rsidRDefault="005D0766" w:rsidP="008C12B4">
            <w:pPr>
              <w:jc w:val="both"/>
              <w:rPr>
                <w:bCs/>
                <w:sz w:val="20"/>
                <w:szCs w:val="20"/>
              </w:rPr>
            </w:pPr>
          </w:p>
        </w:tc>
        <w:tc>
          <w:tcPr>
            <w:tcW w:w="4819" w:type="dxa"/>
          </w:tcPr>
          <w:p w14:paraId="4C7548EC" w14:textId="2768A151" w:rsidR="005D0766" w:rsidRPr="00154588" w:rsidRDefault="005D0766" w:rsidP="008C12B4">
            <w:pPr>
              <w:jc w:val="both"/>
              <w:rPr>
                <w:sz w:val="20"/>
                <w:szCs w:val="20"/>
              </w:rPr>
            </w:pPr>
            <w:r w:rsidRPr="00154588">
              <w:rPr>
                <w:sz w:val="20"/>
                <w:szCs w:val="20"/>
              </w:rPr>
              <w:t>98</w:t>
            </w:r>
            <w:r w:rsidRPr="00154588">
              <w:rPr>
                <w:sz w:val="20"/>
                <w:szCs w:val="20"/>
                <w:vertAlign w:val="superscript"/>
              </w:rPr>
              <w:t>1</w:t>
            </w:r>
            <w:r w:rsidRPr="00154588">
              <w:rPr>
                <w:sz w:val="20"/>
                <w:szCs w:val="20"/>
              </w:rPr>
              <w:t>) plan de redresare individual –  înseamnă un plan de redresare elaborat în conformitate cu art</w:t>
            </w:r>
            <w:r w:rsidR="00781FC2" w:rsidRPr="00154588">
              <w:rPr>
                <w:sz w:val="20"/>
                <w:szCs w:val="20"/>
              </w:rPr>
              <w:t>.</w:t>
            </w:r>
            <w:r w:rsidRPr="00154588">
              <w:rPr>
                <w:sz w:val="20"/>
                <w:szCs w:val="20"/>
              </w:rPr>
              <w:t>9 de către o instituție care nu face parte dintr-un grup supus supravegherii consolidate în temeiul art.109 și 110 din Legea nr.202/2017, sau un plan de redresare elaborat în conformitate cu art.22</w:t>
            </w:r>
            <w:r w:rsidRPr="00154588">
              <w:rPr>
                <w:sz w:val="20"/>
                <w:szCs w:val="20"/>
                <w:vertAlign w:val="superscript"/>
              </w:rPr>
              <w:t>4</w:t>
            </w:r>
            <w:r w:rsidRPr="00154588">
              <w:rPr>
                <w:sz w:val="20"/>
                <w:szCs w:val="20"/>
              </w:rPr>
              <w:t xml:space="preserve"> de către o instituție filială a unei întreprinderi-mamă din Uniunea Europeană;</w:t>
            </w:r>
          </w:p>
          <w:p w14:paraId="3FCF148F" w14:textId="77777777" w:rsidR="005D0766" w:rsidRPr="00154588" w:rsidRDefault="005D0766" w:rsidP="008C12B4">
            <w:pPr>
              <w:jc w:val="both"/>
              <w:rPr>
                <w:bCs/>
                <w:sz w:val="20"/>
                <w:szCs w:val="20"/>
              </w:rPr>
            </w:pPr>
          </w:p>
        </w:tc>
        <w:tc>
          <w:tcPr>
            <w:tcW w:w="2552" w:type="dxa"/>
          </w:tcPr>
          <w:p w14:paraId="06547AEF" w14:textId="77777777" w:rsidR="005D0766" w:rsidRPr="00154588" w:rsidRDefault="005D0766" w:rsidP="008C12B4">
            <w:pPr>
              <w:jc w:val="both"/>
              <w:rPr>
                <w:bCs/>
                <w:sz w:val="20"/>
                <w:szCs w:val="20"/>
              </w:rPr>
            </w:pPr>
          </w:p>
        </w:tc>
        <w:tc>
          <w:tcPr>
            <w:tcW w:w="3118" w:type="dxa"/>
          </w:tcPr>
          <w:p w14:paraId="71FCD326" w14:textId="1A618DCD" w:rsidR="005D0766" w:rsidRPr="00154588" w:rsidRDefault="005D0766" w:rsidP="008C12B4">
            <w:pPr>
              <w:jc w:val="both"/>
              <w:rPr>
                <w:bCs/>
                <w:sz w:val="20"/>
                <w:szCs w:val="20"/>
              </w:rPr>
            </w:pPr>
            <w:r w:rsidRPr="00154588">
              <w:rPr>
                <w:bCs/>
                <w:sz w:val="20"/>
                <w:szCs w:val="20"/>
              </w:rPr>
              <w:t xml:space="preserve">Definiție transpusă din Regulamentul UE 1075, art. 2 </w:t>
            </w:r>
          </w:p>
        </w:tc>
      </w:tr>
      <w:tr w:rsidR="00D15C1B" w:rsidRPr="00154588" w14:paraId="766CD261" w14:textId="77777777" w:rsidTr="00D15C1B">
        <w:trPr>
          <w:jc w:val="center"/>
        </w:trPr>
        <w:tc>
          <w:tcPr>
            <w:tcW w:w="4957" w:type="dxa"/>
            <w:gridSpan w:val="2"/>
          </w:tcPr>
          <w:p w14:paraId="386FE194" w14:textId="6148CBBE" w:rsidR="00D15C1B" w:rsidRPr="00154588" w:rsidRDefault="00D15C1B" w:rsidP="008C12B4">
            <w:pPr>
              <w:jc w:val="both"/>
              <w:rPr>
                <w:bCs/>
                <w:sz w:val="20"/>
                <w:szCs w:val="20"/>
              </w:rPr>
            </w:pPr>
            <w:r w:rsidRPr="00154588">
              <w:rPr>
                <w:bCs/>
                <w:sz w:val="20"/>
                <w:szCs w:val="20"/>
              </w:rPr>
              <w:t xml:space="preserve">33. </w:t>
            </w:r>
            <w:r w:rsidRPr="00154588">
              <w:rPr>
                <w:b/>
                <w:sz w:val="20"/>
                <w:szCs w:val="20"/>
              </w:rPr>
              <w:t>„plan de redresare a grupului”</w:t>
            </w:r>
            <w:r w:rsidRPr="00154588">
              <w:rPr>
                <w:bCs/>
                <w:sz w:val="20"/>
                <w:szCs w:val="20"/>
              </w:rPr>
              <w:t xml:space="preserve"> înseamnă un plan de redresare a grupului elaborat și păstrat la zi în conformitate cu articolul 7;</w:t>
            </w:r>
          </w:p>
        </w:tc>
        <w:tc>
          <w:tcPr>
            <w:tcW w:w="4819" w:type="dxa"/>
          </w:tcPr>
          <w:p w14:paraId="70AB8DB0" w14:textId="2F916007" w:rsidR="00D15C1B" w:rsidRPr="00154588" w:rsidRDefault="00736B05" w:rsidP="008C12B4">
            <w:pPr>
              <w:jc w:val="both"/>
              <w:rPr>
                <w:bCs/>
                <w:sz w:val="20"/>
                <w:szCs w:val="20"/>
              </w:rPr>
            </w:pPr>
            <w:r w:rsidRPr="00154588">
              <w:rPr>
                <w:bCs/>
                <w:sz w:val="20"/>
                <w:szCs w:val="20"/>
              </w:rPr>
              <w:t xml:space="preserve">100) </w:t>
            </w:r>
            <w:r w:rsidRPr="00154588">
              <w:rPr>
                <w:bCs/>
                <w:i/>
                <w:sz w:val="20"/>
                <w:szCs w:val="20"/>
              </w:rPr>
              <w:t>plan de redresare a grupului</w:t>
            </w:r>
            <w:r w:rsidRPr="00154588">
              <w:rPr>
                <w:bCs/>
                <w:sz w:val="20"/>
                <w:szCs w:val="20"/>
              </w:rPr>
              <w:t xml:space="preserve"> – un plan de redresare a grupului elaborat și actualizat în conformitate cu art.22</w:t>
            </w:r>
            <w:r w:rsidRPr="00154588">
              <w:rPr>
                <w:bCs/>
                <w:sz w:val="20"/>
                <w:szCs w:val="20"/>
                <w:vertAlign w:val="superscript"/>
              </w:rPr>
              <w:t>1</w:t>
            </w:r>
            <w:r w:rsidRPr="00154588">
              <w:rPr>
                <w:bCs/>
                <w:sz w:val="20"/>
                <w:szCs w:val="20"/>
              </w:rPr>
              <w:t>-22</w:t>
            </w:r>
            <w:r w:rsidRPr="00154588">
              <w:rPr>
                <w:bCs/>
                <w:sz w:val="20"/>
                <w:szCs w:val="20"/>
                <w:vertAlign w:val="superscript"/>
              </w:rPr>
              <w:t>9</w:t>
            </w:r>
            <w:r w:rsidRPr="00154588">
              <w:rPr>
                <w:bCs/>
                <w:sz w:val="20"/>
                <w:szCs w:val="20"/>
              </w:rPr>
              <w:t>;</w:t>
            </w:r>
          </w:p>
        </w:tc>
        <w:tc>
          <w:tcPr>
            <w:tcW w:w="2552" w:type="dxa"/>
          </w:tcPr>
          <w:p w14:paraId="1DD2F536" w14:textId="534690EE" w:rsidR="00D15C1B" w:rsidRPr="00154588" w:rsidRDefault="0094082B" w:rsidP="008C12B4">
            <w:pPr>
              <w:jc w:val="both"/>
              <w:rPr>
                <w:bCs/>
                <w:sz w:val="20"/>
                <w:szCs w:val="20"/>
              </w:rPr>
            </w:pPr>
            <w:r w:rsidRPr="00154588">
              <w:rPr>
                <w:bCs/>
                <w:sz w:val="20"/>
                <w:szCs w:val="20"/>
              </w:rPr>
              <w:t>Compatibil</w:t>
            </w:r>
          </w:p>
        </w:tc>
        <w:tc>
          <w:tcPr>
            <w:tcW w:w="3118" w:type="dxa"/>
          </w:tcPr>
          <w:p w14:paraId="4115E100" w14:textId="77777777" w:rsidR="00D15C1B" w:rsidRPr="00154588" w:rsidRDefault="00D15C1B" w:rsidP="008C12B4">
            <w:pPr>
              <w:jc w:val="both"/>
              <w:rPr>
                <w:bCs/>
                <w:sz w:val="20"/>
                <w:szCs w:val="20"/>
              </w:rPr>
            </w:pPr>
          </w:p>
        </w:tc>
      </w:tr>
      <w:tr w:rsidR="00D15C1B" w:rsidRPr="00154588" w14:paraId="2E75C4C6" w14:textId="77777777" w:rsidTr="00D15C1B">
        <w:trPr>
          <w:jc w:val="center"/>
        </w:trPr>
        <w:tc>
          <w:tcPr>
            <w:tcW w:w="4957" w:type="dxa"/>
            <w:gridSpan w:val="2"/>
          </w:tcPr>
          <w:p w14:paraId="47CFCBA6" w14:textId="3B436340" w:rsidR="00D15C1B" w:rsidRPr="00154588" w:rsidRDefault="00D15C1B" w:rsidP="008C12B4">
            <w:pPr>
              <w:jc w:val="both"/>
              <w:rPr>
                <w:bCs/>
                <w:sz w:val="20"/>
                <w:szCs w:val="20"/>
              </w:rPr>
            </w:pPr>
            <w:r w:rsidRPr="00154588">
              <w:rPr>
                <w:bCs/>
                <w:sz w:val="20"/>
                <w:szCs w:val="20"/>
              </w:rPr>
              <w:t xml:space="preserve">34. </w:t>
            </w:r>
            <w:r w:rsidRPr="00154588">
              <w:rPr>
                <w:b/>
                <w:sz w:val="20"/>
                <w:szCs w:val="20"/>
              </w:rPr>
              <w:t>„sucursală semnificativă”</w:t>
            </w:r>
            <w:r w:rsidRPr="00154588">
              <w:rPr>
                <w:bCs/>
                <w:sz w:val="20"/>
                <w:szCs w:val="20"/>
              </w:rPr>
              <w:t xml:space="preserve"> înseamnă o sucursală care ar fi considerată drept semnificativă într-un stat membru-gazdă în conformitate cu articolul 51 alineatul (1) din Directiva 2013/36/UE;</w:t>
            </w:r>
          </w:p>
        </w:tc>
        <w:tc>
          <w:tcPr>
            <w:tcW w:w="4819" w:type="dxa"/>
          </w:tcPr>
          <w:p w14:paraId="50D2D8D6" w14:textId="2961977A" w:rsidR="00D15C1B" w:rsidRPr="00154588" w:rsidRDefault="00736B05" w:rsidP="008C12B4">
            <w:pPr>
              <w:jc w:val="both"/>
              <w:rPr>
                <w:bCs/>
                <w:sz w:val="20"/>
                <w:szCs w:val="20"/>
              </w:rPr>
            </w:pPr>
            <w:r w:rsidRPr="00154588">
              <w:rPr>
                <w:bCs/>
                <w:sz w:val="20"/>
                <w:szCs w:val="20"/>
              </w:rPr>
              <w:t xml:space="preserve">117) </w:t>
            </w:r>
            <w:r w:rsidRPr="00154588">
              <w:rPr>
                <w:bCs/>
                <w:i/>
                <w:sz w:val="20"/>
                <w:szCs w:val="20"/>
              </w:rPr>
              <w:t>sucursală semnificativă</w:t>
            </w:r>
            <w:r w:rsidRPr="00154588">
              <w:rPr>
                <w:bCs/>
                <w:sz w:val="20"/>
                <w:szCs w:val="20"/>
              </w:rPr>
              <w:t xml:space="preserve"> – o sucursală care ar fi considerată drept semnificativă într-un stat membru-gazdă în conformitate cu art. 108 din Legea nr. 202/2017;</w:t>
            </w:r>
          </w:p>
        </w:tc>
        <w:tc>
          <w:tcPr>
            <w:tcW w:w="2552" w:type="dxa"/>
          </w:tcPr>
          <w:p w14:paraId="6FA736C7" w14:textId="5532ED2D" w:rsidR="00D15C1B" w:rsidRPr="00154588" w:rsidRDefault="0094082B" w:rsidP="008C12B4">
            <w:pPr>
              <w:jc w:val="both"/>
              <w:rPr>
                <w:bCs/>
                <w:sz w:val="20"/>
                <w:szCs w:val="20"/>
              </w:rPr>
            </w:pPr>
            <w:r w:rsidRPr="00154588">
              <w:rPr>
                <w:bCs/>
                <w:sz w:val="20"/>
                <w:szCs w:val="20"/>
              </w:rPr>
              <w:t>Compatibil</w:t>
            </w:r>
          </w:p>
        </w:tc>
        <w:tc>
          <w:tcPr>
            <w:tcW w:w="3118" w:type="dxa"/>
          </w:tcPr>
          <w:p w14:paraId="7CED59B7" w14:textId="77777777" w:rsidR="00D15C1B" w:rsidRPr="00154588" w:rsidRDefault="00D15C1B" w:rsidP="008C12B4">
            <w:pPr>
              <w:jc w:val="both"/>
              <w:rPr>
                <w:bCs/>
                <w:sz w:val="20"/>
                <w:szCs w:val="20"/>
              </w:rPr>
            </w:pPr>
          </w:p>
        </w:tc>
      </w:tr>
      <w:tr w:rsidR="00D15C1B" w:rsidRPr="00154588" w14:paraId="588EB121" w14:textId="77777777" w:rsidTr="00D15C1B">
        <w:trPr>
          <w:jc w:val="center"/>
        </w:trPr>
        <w:tc>
          <w:tcPr>
            <w:tcW w:w="4957" w:type="dxa"/>
            <w:gridSpan w:val="2"/>
          </w:tcPr>
          <w:p w14:paraId="0E7D169D" w14:textId="27CFFEB5" w:rsidR="00D15C1B" w:rsidRPr="00154588" w:rsidRDefault="00D15C1B" w:rsidP="008C12B4">
            <w:pPr>
              <w:jc w:val="both"/>
              <w:rPr>
                <w:bCs/>
                <w:sz w:val="20"/>
                <w:szCs w:val="20"/>
              </w:rPr>
            </w:pPr>
            <w:r w:rsidRPr="00154588">
              <w:rPr>
                <w:bCs/>
                <w:sz w:val="20"/>
                <w:szCs w:val="20"/>
              </w:rPr>
              <w:t xml:space="preserve">35. </w:t>
            </w:r>
            <w:r w:rsidRPr="00154588">
              <w:rPr>
                <w:b/>
                <w:sz w:val="20"/>
                <w:szCs w:val="20"/>
              </w:rPr>
              <w:t>„funcții critice”</w:t>
            </w:r>
            <w:r w:rsidRPr="00154588">
              <w:rPr>
                <w:bCs/>
                <w:sz w:val="20"/>
                <w:szCs w:val="20"/>
              </w:rPr>
              <w:t xml:space="preserve"> înseamnă activități, servicii sau operațiuni a căror întrerupere</w:t>
            </w:r>
            <w:r w:rsidR="00284ED2" w:rsidRPr="00154588">
              <w:rPr>
                <w:bCs/>
                <w:sz w:val="20"/>
                <w:szCs w:val="20"/>
              </w:rPr>
              <w:t>,</w:t>
            </w:r>
            <w:r w:rsidRPr="00154588">
              <w:rPr>
                <w:bCs/>
                <w:sz w:val="20"/>
                <w:szCs w:val="20"/>
              </w:rPr>
              <w:t xml:space="preserve"> </w:t>
            </w:r>
            <w:r w:rsidR="00284ED2" w:rsidRPr="00154588">
              <w:rPr>
                <w:bCs/>
                <w:sz w:val="20"/>
                <w:szCs w:val="20"/>
              </w:rPr>
              <w:t xml:space="preserve">într-unul sau mai multe state membre, la nivel național sau regional, </w:t>
            </w:r>
            <w:r w:rsidRPr="00154588">
              <w:rPr>
                <w:bCs/>
                <w:sz w:val="20"/>
                <w:szCs w:val="20"/>
              </w:rPr>
              <w:t>ar putea</w:t>
            </w:r>
            <w:r w:rsidR="00284ED2" w:rsidRPr="00154588">
              <w:rPr>
                <w:bCs/>
                <w:sz w:val="20"/>
                <w:szCs w:val="20"/>
              </w:rPr>
              <w:t xml:space="preserve"> să</w:t>
            </w:r>
            <w:r w:rsidRPr="00154588">
              <w:rPr>
                <w:bCs/>
                <w:sz w:val="20"/>
                <w:szCs w:val="20"/>
              </w:rPr>
              <w:t xml:space="preserve"> conduc</w:t>
            </w:r>
            <w:r w:rsidR="00284ED2" w:rsidRPr="00154588">
              <w:rPr>
                <w:bCs/>
                <w:sz w:val="20"/>
                <w:szCs w:val="20"/>
              </w:rPr>
              <w:t>ă</w:t>
            </w:r>
            <w:r w:rsidRPr="00154588">
              <w:rPr>
                <w:bCs/>
                <w:sz w:val="20"/>
                <w:szCs w:val="20"/>
              </w:rPr>
              <w:t xml:space="preserve"> la perturbarea serviciilor </w:t>
            </w:r>
            <w:r w:rsidR="00284ED2" w:rsidRPr="00154588">
              <w:rPr>
                <w:bCs/>
                <w:sz w:val="20"/>
                <w:szCs w:val="20"/>
              </w:rPr>
              <w:t xml:space="preserve">care sunt </w:t>
            </w:r>
            <w:r w:rsidRPr="00154588">
              <w:rPr>
                <w:bCs/>
                <w:sz w:val="20"/>
                <w:szCs w:val="20"/>
              </w:rPr>
              <w:t xml:space="preserve">esențiale pentru economia reală sau </w:t>
            </w:r>
            <w:r w:rsidR="00284ED2" w:rsidRPr="00154588">
              <w:rPr>
                <w:bCs/>
                <w:sz w:val="20"/>
                <w:szCs w:val="20"/>
              </w:rPr>
              <w:t>să</w:t>
            </w:r>
            <w:r w:rsidRPr="00154588">
              <w:rPr>
                <w:bCs/>
                <w:sz w:val="20"/>
                <w:szCs w:val="20"/>
              </w:rPr>
              <w:t xml:space="preserve"> perturb</w:t>
            </w:r>
            <w:r w:rsidR="00284ED2" w:rsidRPr="00154588">
              <w:rPr>
                <w:bCs/>
                <w:sz w:val="20"/>
                <w:szCs w:val="20"/>
              </w:rPr>
              <w:t>e</w:t>
            </w:r>
            <w:r w:rsidRPr="00154588">
              <w:rPr>
                <w:bCs/>
                <w:sz w:val="20"/>
                <w:szCs w:val="20"/>
              </w:rPr>
              <w:t xml:space="preserve"> </w:t>
            </w:r>
            <w:r w:rsidR="00284ED2" w:rsidRPr="00154588">
              <w:rPr>
                <w:bCs/>
                <w:sz w:val="20"/>
                <w:szCs w:val="20"/>
              </w:rPr>
              <w:t>stabilitatea financiară</w:t>
            </w:r>
            <w:r w:rsidR="00E85E96" w:rsidRPr="00154588">
              <w:rPr>
                <w:bCs/>
                <w:sz w:val="20"/>
                <w:szCs w:val="20"/>
              </w:rPr>
              <w:t>,</w:t>
            </w:r>
            <w:r w:rsidRPr="00154588">
              <w:rPr>
                <w:bCs/>
                <w:sz w:val="20"/>
                <w:szCs w:val="20"/>
              </w:rPr>
              <w:t xml:space="preserve"> din cauza dimensiunii, cotei de piață, a interconexiunilor externe și interne, a complexității</w:t>
            </w:r>
            <w:r w:rsidR="00E85E96" w:rsidRPr="00154588">
              <w:rPr>
                <w:bCs/>
                <w:sz w:val="20"/>
                <w:szCs w:val="20"/>
              </w:rPr>
              <w:t xml:space="preserve"> unei instituții sau a unui grup</w:t>
            </w:r>
            <w:r w:rsidRPr="00154588">
              <w:rPr>
                <w:bCs/>
                <w:sz w:val="20"/>
                <w:szCs w:val="20"/>
              </w:rPr>
              <w:t xml:space="preserve"> sau activităților transfrontaliere ale </w:t>
            </w:r>
            <w:r w:rsidR="00E85E96" w:rsidRPr="00154588">
              <w:rPr>
                <w:bCs/>
                <w:sz w:val="20"/>
                <w:szCs w:val="20"/>
              </w:rPr>
              <w:t>acestora</w:t>
            </w:r>
            <w:r w:rsidRPr="00154588">
              <w:rPr>
                <w:bCs/>
                <w:sz w:val="20"/>
                <w:szCs w:val="20"/>
              </w:rPr>
              <w:t>, mai ales având în vedere caracterul substituibil al respectivelor activități, servicii sau operațiuni;</w:t>
            </w:r>
          </w:p>
        </w:tc>
        <w:tc>
          <w:tcPr>
            <w:tcW w:w="4819" w:type="dxa"/>
          </w:tcPr>
          <w:p w14:paraId="794EA2CC" w14:textId="57E4555D" w:rsidR="00D15C1B" w:rsidRPr="00154588" w:rsidRDefault="00736B05" w:rsidP="008C12B4">
            <w:pPr>
              <w:jc w:val="both"/>
              <w:rPr>
                <w:bCs/>
                <w:sz w:val="20"/>
                <w:szCs w:val="20"/>
              </w:rPr>
            </w:pPr>
            <w:r w:rsidRPr="00154588">
              <w:rPr>
                <w:bCs/>
                <w:sz w:val="20"/>
                <w:szCs w:val="20"/>
              </w:rPr>
              <w:t xml:space="preserve">26) </w:t>
            </w:r>
            <w:r w:rsidRPr="00154588">
              <w:rPr>
                <w:bCs/>
                <w:i/>
                <w:sz w:val="20"/>
                <w:szCs w:val="20"/>
              </w:rPr>
              <w:t>funcţii critice</w:t>
            </w:r>
            <w:r w:rsidRPr="00154588">
              <w:rPr>
                <w:bCs/>
                <w:sz w:val="20"/>
                <w:szCs w:val="20"/>
              </w:rPr>
              <w:t xml:space="preserve"> – activităţi, servicii sau operaţiuni a căror întrerupere, în unul sau mai multe state membre,</w:t>
            </w:r>
            <w:r w:rsidR="00FE2366" w:rsidRPr="00154588">
              <w:rPr>
                <w:bCs/>
                <w:sz w:val="20"/>
                <w:szCs w:val="20"/>
              </w:rPr>
              <w:t xml:space="preserve"> la nivel național sau regional, </w:t>
            </w:r>
            <w:r w:rsidRPr="00154588">
              <w:rPr>
                <w:bCs/>
                <w:sz w:val="20"/>
                <w:szCs w:val="20"/>
              </w:rPr>
              <w:t xml:space="preserve"> </w:t>
            </w:r>
            <w:r w:rsidR="00B17796" w:rsidRPr="00154588">
              <w:rPr>
                <w:bCs/>
                <w:sz w:val="20"/>
                <w:szCs w:val="20"/>
              </w:rPr>
              <w:t xml:space="preserve">ar putea să conducă </w:t>
            </w:r>
            <w:r w:rsidRPr="00154588">
              <w:rPr>
                <w:bCs/>
                <w:sz w:val="20"/>
                <w:szCs w:val="20"/>
              </w:rPr>
              <w:t>la perturb</w:t>
            </w:r>
            <w:r w:rsidR="00B17796" w:rsidRPr="00154588">
              <w:rPr>
                <w:bCs/>
                <w:sz w:val="20"/>
                <w:szCs w:val="20"/>
              </w:rPr>
              <w:t>area serviciilor</w:t>
            </w:r>
            <w:r w:rsidRPr="00154588">
              <w:rPr>
                <w:bCs/>
                <w:sz w:val="20"/>
                <w:szCs w:val="20"/>
              </w:rPr>
              <w:t xml:space="preserve"> </w:t>
            </w:r>
            <w:r w:rsidR="008A13C9" w:rsidRPr="00154588">
              <w:rPr>
                <w:bCs/>
                <w:sz w:val="20"/>
                <w:szCs w:val="20"/>
              </w:rPr>
              <w:t xml:space="preserve">care sunt </w:t>
            </w:r>
            <w:r w:rsidR="001B1D4A" w:rsidRPr="00154588">
              <w:rPr>
                <w:bCs/>
                <w:sz w:val="20"/>
                <w:szCs w:val="20"/>
              </w:rPr>
              <w:t xml:space="preserve">de bază </w:t>
            </w:r>
            <w:r w:rsidRPr="00154588">
              <w:rPr>
                <w:bCs/>
                <w:sz w:val="20"/>
                <w:szCs w:val="20"/>
              </w:rPr>
              <w:t xml:space="preserve">pentru economia reală sau </w:t>
            </w:r>
            <w:r w:rsidR="00B17796" w:rsidRPr="00154588">
              <w:rPr>
                <w:bCs/>
                <w:sz w:val="20"/>
                <w:szCs w:val="20"/>
              </w:rPr>
              <w:t>să</w:t>
            </w:r>
            <w:r w:rsidRPr="00154588">
              <w:rPr>
                <w:bCs/>
                <w:sz w:val="20"/>
                <w:szCs w:val="20"/>
              </w:rPr>
              <w:t xml:space="preserve"> perturb</w:t>
            </w:r>
            <w:r w:rsidR="00B17796" w:rsidRPr="00154588">
              <w:rPr>
                <w:bCs/>
                <w:sz w:val="20"/>
                <w:szCs w:val="20"/>
              </w:rPr>
              <w:t>e</w:t>
            </w:r>
            <w:r w:rsidRPr="00154588">
              <w:rPr>
                <w:bCs/>
                <w:sz w:val="20"/>
                <w:szCs w:val="20"/>
              </w:rPr>
              <w:t xml:space="preserve"> stabilit</w:t>
            </w:r>
            <w:r w:rsidR="00B17796" w:rsidRPr="00154588">
              <w:rPr>
                <w:bCs/>
                <w:sz w:val="20"/>
                <w:szCs w:val="20"/>
              </w:rPr>
              <w:t>atea</w:t>
            </w:r>
            <w:r w:rsidRPr="00154588">
              <w:rPr>
                <w:bCs/>
                <w:sz w:val="20"/>
                <w:szCs w:val="20"/>
              </w:rPr>
              <w:t xml:space="preserve"> financiar</w:t>
            </w:r>
            <w:r w:rsidR="00B17796" w:rsidRPr="00154588">
              <w:rPr>
                <w:bCs/>
                <w:sz w:val="20"/>
                <w:szCs w:val="20"/>
              </w:rPr>
              <w:t>ă</w:t>
            </w:r>
            <w:r w:rsidRPr="00154588">
              <w:rPr>
                <w:bCs/>
                <w:sz w:val="20"/>
                <w:szCs w:val="20"/>
              </w:rPr>
              <w:t xml:space="preserve"> date fiind dimensiunea, cota de piaţă, interconexiunile interne şi externe, complexitatea instituției sau grupului sau derularea de către instituție sau grup de activităţi transfrontaliere; are relevanţă, în special, capacitatea de substituire a acestor activităţi, servicii sau operaţiuni;</w:t>
            </w:r>
          </w:p>
        </w:tc>
        <w:tc>
          <w:tcPr>
            <w:tcW w:w="2552" w:type="dxa"/>
          </w:tcPr>
          <w:p w14:paraId="1949A955" w14:textId="1DC1B4B6" w:rsidR="00D15C1B" w:rsidRPr="00154588" w:rsidRDefault="0094082B" w:rsidP="008C12B4">
            <w:pPr>
              <w:jc w:val="both"/>
              <w:rPr>
                <w:bCs/>
                <w:sz w:val="20"/>
                <w:szCs w:val="20"/>
              </w:rPr>
            </w:pPr>
            <w:r w:rsidRPr="00154588">
              <w:rPr>
                <w:bCs/>
                <w:sz w:val="20"/>
                <w:szCs w:val="20"/>
              </w:rPr>
              <w:t>Compatibil</w:t>
            </w:r>
          </w:p>
        </w:tc>
        <w:tc>
          <w:tcPr>
            <w:tcW w:w="3118" w:type="dxa"/>
          </w:tcPr>
          <w:p w14:paraId="39F1E95C" w14:textId="782E87C4" w:rsidR="00D15C1B" w:rsidRPr="00154588" w:rsidRDefault="00D15C1B" w:rsidP="008C12B4">
            <w:pPr>
              <w:jc w:val="both"/>
              <w:rPr>
                <w:bCs/>
                <w:sz w:val="20"/>
                <w:szCs w:val="20"/>
              </w:rPr>
            </w:pPr>
          </w:p>
        </w:tc>
      </w:tr>
      <w:tr w:rsidR="00D15C1B" w:rsidRPr="00154588" w14:paraId="5CBB889D" w14:textId="77777777" w:rsidTr="00D15C1B">
        <w:trPr>
          <w:jc w:val="center"/>
        </w:trPr>
        <w:tc>
          <w:tcPr>
            <w:tcW w:w="4957" w:type="dxa"/>
            <w:gridSpan w:val="2"/>
          </w:tcPr>
          <w:p w14:paraId="752E2483" w14:textId="5C03CFBC" w:rsidR="00D15C1B" w:rsidRPr="00154588" w:rsidRDefault="00D15C1B" w:rsidP="008C12B4">
            <w:pPr>
              <w:jc w:val="both"/>
              <w:rPr>
                <w:bCs/>
                <w:sz w:val="20"/>
                <w:szCs w:val="20"/>
              </w:rPr>
            </w:pPr>
            <w:r w:rsidRPr="00154588">
              <w:rPr>
                <w:bCs/>
                <w:sz w:val="20"/>
                <w:szCs w:val="20"/>
              </w:rPr>
              <w:t xml:space="preserve">36. </w:t>
            </w:r>
            <w:r w:rsidRPr="00154588">
              <w:rPr>
                <w:b/>
                <w:sz w:val="20"/>
                <w:szCs w:val="20"/>
              </w:rPr>
              <w:t>„linii de activitate esențiale”</w:t>
            </w:r>
            <w:r w:rsidRPr="00154588">
              <w:rPr>
                <w:bCs/>
                <w:sz w:val="20"/>
                <w:szCs w:val="20"/>
              </w:rPr>
              <w:t xml:space="preserve"> înseamnă liniile de activitate și serviciile asociate care reprezintă importante surse de venit, de profit sau de valoare a francizei pentru o instituție sau pentru un grup din care face parte instituția;</w:t>
            </w:r>
          </w:p>
        </w:tc>
        <w:tc>
          <w:tcPr>
            <w:tcW w:w="4819" w:type="dxa"/>
          </w:tcPr>
          <w:p w14:paraId="3C6F166C" w14:textId="3658A5CF" w:rsidR="00D15C1B" w:rsidRPr="00154588" w:rsidRDefault="00736B05" w:rsidP="008C12B4">
            <w:pPr>
              <w:jc w:val="both"/>
              <w:rPr>
                <w:bCs/>
                <w:sz w:val="20"/>
                <w:szCs w:val="20"/>
              </w:rPr>
            </w:pPr>
            <w:r w:rsidRPr="00154588">
              <w:rPr>
                <w:bCs/>
                <w:sz w:val="20"/>
                <w:szCs w:val="20"/>
              </w:rPr>
              <w:t xml:space="preserve">38) </w:t>
            </w:r>
            <w:r w:rsidRPr="00154588">
              <w:rPr>
                <w:bCs/>
                <w:i/>
                <w:sz w:val="20"/>
                <w:szCs w:val="20"/>
              </w:rPr>
              <w:t>linii de activitate de bază</w:t>
            </w:r>
            <w:r w:rsidRPr="00154588">
              <w:rPr>
                <w:bCs/>
                <w:sz w:val="20"/>
                <w:szCs w:val="20"/>
              </w:rPr>
              <w:t xml:space="preserve"> – linii de activitate şi servicii asociate care reprezintă importante surse de venit, de profit sau de valoare a francizei pentru o instituție sau pentru un grup din care face parte instituția;</w:t>
            </w:r>
          </w:p>
        </w:tc>
        <w:tc>
          <w:tcPr>
            <w:tcW w:w="2552" w:type="dxa"/>
          </w:tcPr>
          <w:p w14:paraId="2203F11F" w14:textId="2B3E6A08" w:rsidR="00D15C1B" w:rsidRPr="00154588" w:rsidRDefault="0094082B" w:rsidP="008C12B4">
            <w:pPr>
              <w:jc w:val="both"/>
              <w:rPr>
                <w:bCs/>
                <w:sz w:val="20"/>
                <w:szCs w:val="20"/>
              </w:rPr>
            </w:pPr>
            <w:r w:rsidRPr="00154588">
              <w:rPr>
                <w:bCs/>
                <w:sz w:val="20"/>
                <w:szCs w:val="20"/>
              </w:rPr>
              <w:t>Compatibil</w:t>
            </w:r>
          </w:p>
        </w:tc>
        <w:tc>
          <w:tcPr>
            <w:tcW w:w="3118" w:type="dxa"/>
          </w:tcPr>
          <w:p w14:paraId="0C460716" w14:textId="77777777" w:rsidR="00D15C1B" w:rsidRPr="00154588" w:rsidRDefault="00D15C1B" w:rsidP="008C12B4">
            <w:pPr>
              <w:jc w:val="both"/>
              <w:rPr>
                <w:bCs/>
                <w:sz w:val="20"/>
                <w:szCs w:val="20"/>
              </w:rPr>
            </w:pPr>
          </w:p>
        </w:tc>
      </w:tr>
      <w:tr w:rsidR="00D15C1B" w:rsidRPr="00154588" w14:paraId="7BF9FDEF" w14:textId="77777777" w:rsidTr="00D15C1B">
        <w:trPr>
          <w:jc w:val="center"/>
        </w:trPr>
        <w:tc>
          <w:tcPr>
            <w:tcW w:w="4957" w:type="dxa"/>
            <w:gridSpan w:val="2"/>
          </w:tcPr>
          <w:p w14:paraId="2174CAAD" w14:textId="31A2222C" w:rsidR="00D15C1B" w:rsidRPr="00154588" w:rsidRDefault="00D15C1B" w:rsidP="008C12B4">
            <w:pPr>
              <w:jc w:val="both"/>
              <w:rPr>
                <w:bCs/>
                <w:sz w:val="20"/>
                <w:szCs w:val="20"/>
              </w:rPr>
            </w:pPr>
            <w:r w:rsidRPr="00154588">
              <w:rPr>
                <w:bCs/>
                <w:sz w:val="20"/>
                <w:szCs w:val="20"/>
              </w:rPr>
              <w:t xml:space="preserve">37. </w:t>
            </w:r>
            <w:r w:rsidRPr="00154588">
              <w:rPr>
                <w:b/>
                <w:sz w:val="20"/>
                <w:szCs w:val="20"/>
              </w:rPr>
              <w:t>„supraveghetor consolidant”</w:t>
            </w:r>
            <w:r w:rsidRPr="00154588">
              <w:rPr>
                <w:bCs/>
                <w:sz w:val="20"/>
                <w:szCs w:val="20"/>
              </w:rPr>
              <w:t xml:space="preserve"> înseamnă un supraveghetor consolidant, astfel cum este definit la </w:t>
            </w:r>
            <w:r w:rsidRPr="00154588">
              <w:rPr>
                <w:bCs/>
                <w:sz w:val="20"/>
                <w:szCs w:val="20"/>
              </w:rPr>
              <w:lastRenderedPageBreak/>
              <w:t>articolul 4 alineatul (1) punctul 41 din Regulamentul (UE) nr. 575/2013;</w:t>
            </w:r>
          </w:p>
        </w:tc>
        <w:tc>
          <w:tcPr>
            <w:tcW w:w="4819" w:type="dxa"/>
          </w:tcPr>
          <w:p w14:paraId="688D921F" w14:textId="785084D9" w:rsidR="00D15C1B" w:rsidRPr="00154588" w:rsidRDefault="00736B05" w:rsidP="008C12B4">
            <w:pPr>
              <w:jc w:val="both"/>
              <w:rPr>
                <w:bCs/>
                <w:sz w:val="20"/>
                <w:szCs w:val="20"/>
              </w:rPr>
            </w:pPr>
            <w:r w:rsidRPr="00154588">
              <w:rPr>
                <w:bCs/>
                <w:sz w:val="20"/>
                <w:szCs w:val="20"/>
              </w:rPr>
              <w:lastRenderedPageBreak/>
              <w:t>118) supraveghetor consolidant – un supraveghetor consolidant, astfel cum este definit la art.3 din Legea nr.202/2017;</w:t>
            </w:r>
          </w:p>
        </w:tc>
        <w:tc>
          <w:tcPr>
            <w:tcW w:w="2552" w:type="dxa"/>
          </w:tcPr>
          <w:p w14:paraId="18929E6E" w14:textId="14768C6D" w:rsidR="00D15C1B" w:rsidRPr="00154588" w:rsidRDefault="0094082B" w:rsidP="008C12B4">
            <w:pPr>
              <w:jc w:val="both"/>
              <w:rPr>
                <w:bCs/>
                <w:sz w:val="20"/>
                <w:szCs w:val="20"/>
              </w:rPr>
            </w:pPr>
            <w:r w:rsidRPr="00154588">
              <w:rPr>
                <w:bCs/>
                <w:sz w:val="20"/>
                <w:szCs w:val="20"/>
              </w:rPr>
              <w:t>Compatibil</w:t>
            </w:r>
          </w:p>
        </w:tc>
        <w:tc>
          <w:tcPr>
            <w:tcW w:w="3118" w:type="dxa"/>
          </w:tcPr>
          <w:p w14:paraId="4BD4B222" w14:textId="77777777" w:rsidR="00D15C1B" w:rsidRPr="00154588" w:rsidRDefault="00D15C1B" w:rsidP="008C12B4">
            <w:pPr>
              <w:jc w:val="both"/>
              <w:rPr>
                <w:bCs/>
                <w:sz w:val="20"/>
                <w:szCs w:val="20"/>
              </w:rPr>
            </w:pPr>
          </w:p>
        </w:tc>
      </w:tr>
      <w:tr w:rsidR="00D15C1B" w:rsidRPr="00154588" w14:paraId="6A85CBC9" w14:textId="77777777" w:rsidTr="00D15C1B">
        <w:trPr>
          <w:jc w:val="center"/>
        </w:trPr>
        <w:tc>
          <w:tcPr>
            <w:tcW w:w="4957" w:type="dxa"/>
            <w:gridSpan w:val="2"/>
          </w:tcPr>
          <w:p w14:paraId="408FA473" w14:textId="7A4A47D6" w:rsidR="00D15C1B" w:rsidRPr="00154588" w:rsidRDefault="00D15C1B" w:rsidP="008C12B4">
            <w:pPr>
              <w:jc w:val="both"/>
              <w:rPr>
                <w:bCs/>
                <w:sz w:val="20"/>
                <w:szCs w:val="20"/>
              </w:rPr>
            </w:pPr>
            <w:r w:rsidRPr="00154588">
              <w:rPr>
                <w:bCs/>
                <w:sz w:val="20"/>
                <w:szCs w:val="20"/>
              </w:rPr>
              <w:t xml:space="preserve">38. </w:t>
            </w:r>
            <w:r w:rsidRPr="00154588">
              <w:rPr>
                <w:b/>
                <w:sz w:val="20"/>
                <w:szCs w:val="20"/>
              </w:rPr>
              <w:t>„fonduri proprii”</w:t>
            </w:r>
            <w:r w:rsidRPr="00154588">
              <w:rPr>
                <w:bCs/>
                <w:sz w:val="20"/>
                <w:szCs w:val="20"/>
              </w:rPr>
              <w:t xml:space="preserve"> înseamnă fonduri proprii în sensul articolului 4 alineatul (1) punctul 118 din Regulamentul (UE) nr. 575/2013;</w:t>
            </w:r>
          </w:p>
        </w:tc>
        <w:tc>
          <w:tcPr>
            <w:tcW w:w="4819" w:type="dxa"/>
          </w:tcPr>
          <w:p w14:paraId="020986BC" w14:textId="0483E947" w:rsidR="00D15C1B" w:rsidRPr="00154588" w:rsidRDefault="00736B05" w:rsidP="008C12B4">
            <w:pPr>
              <w:jc w:val="both"/>
              <w:rPr>
                <w:bCs/>
                <w:sz w:val="20"/>
                <w:szCs w:val="20"/>
              </w:rPr>
            </w:pPr>
            <w:r w:rsidRPr="00154588">
              <w:rPr>
                <w:bCs/>
                <w:sz w:val="20"/>
                <w:szCs w:val="20"/>
              </w:rPr>
              <w:t>25</w:t>
            </w:r>
            <w:r w:rsidRPr="00154588">
              <w:rPr>
                <w:bCs/>
                <w:sz w:val="20"/>
                <w:szCs w:val="20"/>
                <w:vertAlign w:val="superscript"/>
              </w:rPr>
              <w:t>1</w:t>
            </w:r>
            <w:r w:rsidRPr="00154588">
              <w:rPr>
                <w:bCs/>
                <w:sz w:val="20"/>
                <w:szCs w:val="20"/>
              </w:rPr>
              <w:t xml:space="preserve">) </w:t>
            </w:r>
            <w:r w:rsidRPr="00154588">
              <w:rPr>
                <w:bCs/>
                <w:i/>
                <w:iCs/>
                <w:sz w:val="20"/>
                <w:szCs w:val="20"/>
              </w:rPr>
              <w:t>fonduri proprii</w:t>
            </w:r>
            <w:r w:rsidRPr="00154588">
              <w:rPr>
                <w:bCs/>
                <w:sz w:val="20"/>
                <w:szCs w:val="20"/>
              </w:rPr>
              <w:t xml:space="preserve"> – astfel cum este definită la art. 3 din Legea nr.202/2017;</w:t>
            </w:r>
          </w:p>
        </w:tc>
        <w:tc>
          <w:tcPr>
            <w:tcW w:w="2552" w:type="dxa"/>
          </w:tcPr>
          <w:p w14:paraId="243E0559" w14:textId="22F5EB12" w:rsidR="00D15C1B" w:rsidRPr="00154588" w:rsidRDefault="0094082B" w:rsidP="008C12B4">
            <w:pPr>
              <w:jc w:val="both"/>
              <w:rPr>
                <w:bCs/>
                <w:sz w:val="20"/>
                <w:szCs w:val="20"/>
              </w:rPr>
            </w:pPr>
            <w:r w:rsidRPr="00154588">
              <w:rPr>
                <w:bCs/>
                <w:sz w:val="20"/>
                <w:szCs w:val="20"/>
              </w:rPr>
              <w:t>Compatibil</w:t>
            </w:r>
          </w:p>
        </w:tc>
        <w:tc>
          <w:tcPr>
            <w:tcW w:w="3118" w:type="dxa"/>
          </w:tcPr>
          <w:p w14:paraId="7A5FFACD" w14:textId="77777777" w:rsidR="00D15C1B" w:rsidRPr="00154588" w:rsidRDefault="00D15C1B" w:rsidP="008C12B4">
            <w:pPr>
              <w:jc w:val="both"/>
              <w:rPr>
                <w:bCs/>
                <w:sz w:val="20"/>
                <w:szCs w:val="20"/>
              </w:rPr>
            </w:pPr>
          </w:p>
        </w:tc>
      </w:tr>
      <w:tr w:rsidR="00D15C1B" w:rsidRPr="00154588" w14:paraId="6990F927" w14:textId="77777777" w:rsidTr="00D15C1B">
        <w:trPr>
          <w:jc w:val="center"/>
        </w:trPr>
        <w:tc>
          <w:tcPr>
            <w:tcW w:w="4957" w:type="dxa"/>
            <w:gridSpan w:val="2"/>
          </w:tcPr>
          <w:p w14:paraId="29E7E019" w14:textId="331CE3A0" w:rsidR="00D15C1B" w:rsidRPr="00154588" w:rsidRDefault="00D15C1B" w:rsidP="008C12B4">
            <w:pPr>
              <w:jc w:val="both"/>
              <w:rPr>
                <w:bCs/>
                <w:sz w:val="20"/>
                <w:szCs w:val="20"/>
              </w:rPr>
            </w:pPr>
            <w:r w:rsidRPr="00154588">
              <w:rPr>
                <w:bCs/>
                <w:sz w:val="20"/>
                <w:szCs w:val="20"/>
              </w:rPr>
              <w:t xml:space="preserve">39. </w:t>
            </w:r>
            <w:r w:rsidRPr="00154588">
              <w:rPr>
                <w:b/>
                <w:sz w:val="20"/>
                <w:szCs w:val="20"/>
              </w:rPr>
              <w:t>„condiții de declanșare a procedurii de rezoluție”</w:t>
            </w:r>
            <w:r w:rsidRPr="00154588">
              <w:rPr>
                <w:bCs/>
                <w:sz w:val="20"/>
                <w:szCs w:val="20"/>
              </w:rPr>
              <w:t xml:space="preserve"> înseamnă condițiile menționate la articolul 32 alineatul (1);</w:t>
            </w:r>
          </w:p>
        </w:tc>
        <w:tc>
          <w:tcPr>
            <w:tcW w:w="4819" w:type="dxa"/>
          </w:tcPr>
          <w:p w14:paraId="1A5973E6" w14:textId="196A9DD4" w:rsidR="00D15C1B" w:rsidRPr="00154588" w:rsidRDefault="00736B05" w:rsidP="008C12B4">
            <w:pPr>
              <w:jc w:val="both"/>
              <w:rPr>
                <w:bCs/>
                <w:sz w:val="20"/>
                <w:szCs w:val="20"/>
              </w:rPr>
            </w:pPr>
            <w:r w:rsidRPr="00154588">
              <w:rPr>
                <w:bCs/>
                <w:sz w:val="20"/>
                <w:szCs w:val="20"/>
              </w:rPr>
              <w:t xml:space="preserve">62) </w:t>
            </w:r>
            <w:r w:rsidRPr="00154588">
              <w:rPr>
                <w:bCs/>
                <w:i/>
                <w:sz w:val="20"/>
                <w:szCs w:val="20"/>
              </w:rPr>
              <w:t>condiții de declanșare a procedurii de rezoluție</w:t>
            </w:r>
            <w:r w:rsidRPr="00154588">
              <w:rPr>
                <w:bCs/>
                <w:sz w:val="20"/>
                <w:szCs w:val="20"/>
              </w:rPr>
              <w:t xml:space="preserve"> – condițiile menționate la art. 58 alin.(1);</w:t>
            </w:r>
          </w:p>
        </w:tc>
        <w:tc>
          <w:tcPr>
            <w:tcW w:w="2552" w:type="dxa"/>
          </w:tcPr>
          <w:p w14:paraId="025EB276" w14:textId="4F47D13A" w:rsidR="00D15C1B" w:rsidRPr="00154588" w:rsidRDefault="0094082B" w:rsidP="008C12B4">
            <w:pPr>
              <w:jc w:val="both"/>
              <w:rPr>
                <w:bCs/>
                <w:sz w:val="20"/>
                <w:szCs w:val="20"/>
              </w:rPr>
            </w:pPr>
            <w:r w:rsidRPr="00154588">
              <w:rPr>
                <w:bCs/>
                <w:sz w:val="20"/>
                <w:szCs w:val="20"/>
              </w:rPr>
              <w:t>Compatibil</w:t>
            </w:r>
          </w:p>
        </w:tc>
        <w:tc>
          <w:tcPr>
            <w:tcW w:w="3118" w:type="dxa"/>
          </w:tcPr>
          <w:p w14:paraId="05F11470" w14:textId="77777777" w:rsidR="00D15C1B" w:rsidRPr="00154588" w:rsidRDefault="00D15C1B" w:rsidP="008C12B4">
            <w:pPr>
              <w:jc w:val="both"/>
              <w:rPr>
                <w:bCs/>
                <w:sz w:val="20"/>
                <w:szCs w:val="20"/>
              </w:rPr>
            </w:pPr>
          </w:p>
        </w:tc>
      </w:tr>
      <w:tr w:rsidR="00D15C1B" w:rsidRPr="00154588" w14:paraId="0D4741CE" w14:textId="77777777" w:rsidTr="00D15C1B">
        <w:trPr>
          <w:jc w:val="center"/>
        </w:trPr>
        <w:tc>
          <w:tcPr>
            <w:tcW w:w="4957" w:type="dxa"/>
            <w:gridSpan w:val="2"/>
          </w:tcPr>
          <w:p w14:paraId="79B32B87" w14:textId="33AF17CC" w:rsidR="00D15C1B" w:rsidRPr="00154588" w:rsidRDefault="00D15C1B" w:rsidP="008C12B4">
            <w:pPr>
              <w:jc w:val="both"/>
              <w:rPr>
                <w:bCs/>
                <w:sz w:val="20"/>
                <w:szCs w:val="20"/>
              </w:rPr>
            </w:pPr>
            <w:r w:rsidRPr="00154588">
              <w:rPr>
                <w:bCs/>
                <w:sz w:val="20"/>
                <w:szCs w:val="20"/>
              </w:rPr>
              <w:t xml:space="preserve">40. </w:t>
            </w:r>
            <w:r w:rsidRPr="00154588">
              <w:rPr>
                <w:b/>
                <w:sz w:val="20"/>
                <w:szCs w:val="20"/>
              </w:rPr>
              <w:t>„măsură de rezoluție”</w:t>
            </w:r>
            <w:r w:rsidRPr="00154588">
              <w:rPr>
                <w:bCs/>
                <w:sz w:val="20"/>
                <w:szCs w:val="20"/>
              </w:rPr>
              <w:t xml:space="preserve"> înseamnă decizia de a supune o instituție sau entitate menționată la articolul 1 alineatul (1) literele (b), (c) sau (d) unei proceduri de rezoluție în conformitate cu articolul 32 sau 33, precum și aplicarea unui instrument de rezoluție sau exercitarea uneia sau mai multor competențe de rezoluție;</w:t>
            </w:r>
          </w:p>
        </w:tc>
        <w:tc>
          <w:tcPr>
            <w:tcW w:w="4819" w:type="dxa"/>
          </w:tcPr>
          <w:p w14:paraId="4DA43CA7" w14:textId="09740851" w:rsidR="00D15C1B" w:rsidRPr="00154588" w:rsidRDefault="00736B05" w:rsidP="008C12B4">
            <w:pPr>
              <w:jc w:val="both"/>
              <w:rPr>
                <w:bCs/>
                <w:sz w:val="20"/>
                <w:szCs w:val="20"/>
              </w:rPr>
            </w:pPr>
            <w:r w:rsidRPr="00154588">
              <w:rPr>
                <w:bCs/>
                <w:sz w:val="20"/>
                <w:szCs w:val="20"/>
              </w:rPr>
              <w:t>5)</w:t>
            </w:r>
            <w:r w:rsidRPr="00154588">
              <w:rPr>
                <w:bCs/>
                <w:i/>
                <w:iCs/>
                <w:sz w:val="20"/>
                <w:szCs w:val="20"/>
              </w:rPr>
              <w:t xml:space="preserve"> acţiune de rezoluţie </w:t>
            </w:r>
            <w:r w:rsidRPr="00154588">
              <w:rPr>
                <w:bCs/>
                <w:sz w:val="20"/>
                <w:szCs w:val="20"/>
              </w:rPr>
              <w:t>– decizie de a supune o instituție sau o entitate la care se face referire la art.1 alin.(1) lit.b), c) sau d) rezoluţiei în conformitate cu art.58</w:t>
            </w:r>
            <w:r w:rsidR="00D61272" w:rsidRPr="00154588">
              <w:rPr>
                <w:bCs/>
                <w:sz w:val="20"/>
                <w:szCs w:val="20"/>
              </w:rPr>
              <w:t>-60</w:t>
            </w:r>
            <w:r w:rsidRPr="00154588">
              <w:rPr>
                <w:bCs/>
                <w:sz w:val="20"/>
                <w:szCs w:val="20"/>
              </w:rPr>
              <w:t xml:space="preserve"> sau art.60 alin.(</w:t>
            </w:r>
            <w:r w:rsidR="00D61272" w:rsidRPr="00154588">
              <w:rPr>
                <w:bCs/>
                <w:sz w:val="20"/>
                <w:szCs w:val="20"/>
              </w:rPr>
              <w:t>10</w:t>
            </w:r>
            <w:r w:rsidRPr="00154588">
              <w:rPr>
                <w:bCs/>
                <w:sz w:val="20"/>
                <w:szCs w:val="20"/>
              </w:rPr>
              <w:t>)</w:t>
            </w:r>
            <w:r w:rsidR="00D61272" w:rsidRPr="00154588">
              <w:rPr>
                <w:bCs/>
                <w:sz w:val="20"/>
                <w:szCs w:val="20"/>
              </w:rPr>
              <w:t>-</w:t>
            </w:r>
            <w:r w:rsidR="00422676" w:rsidRPr="00154588">
              <w:rPr>
                <w:bCs/>
                <w:sz w:val="20"/>
                <w:szCs w:val="20"/>
              </w:rPr>
              <w:t>(</w:t>
            </w:r>
            <w:r w:rsidR="00D61272" w:rsidRPr="00154588">
              <w:rPr>
                <w:bCs/>
                <w:sz w:val="20"/>
                <w:szCs w:val="20"/>
              </w:rPr>
              <w:t>14</w:t>
            </w:r>
            <w:r w:rsidRPr="00154588">
              <w:rPr>
                <w:bCs/>
                <w:sz w:val="20"/>
                <w:szCs w:val="20"/>
              </w:rPr>
              <w:t>), aplicarea unui instrument de rezoluţie sau exercitarea uneia sau mai multor competenţe de rezoluţie;</w:t>
            </w:r>
          </w:p>
        </w:tc>
        <w:tc>
          <w:tcPr>
            <w:tcW w:w="2552" w:type="dxa"/>
          </w:tcPr>
          <w:p w14:paraId="1067B427" w14:textId="1132870C" w:rsidR="00D15C1B" w:rsidRPr="00154588" w:rsidRDefault="0094082B" w:rsidP="008C12B4">
            <w:pPr>
              <w:jc w:val="both"/>
              <w:rPr>
                <w:bCs/>
                <w:sz w:val="20"/>
                <w:szCs w:val="20"/>
              </w:rPr>
            </w:pPr>
            <w:r w:rsidRPr="00154588">
              <w:rPr>
                <w:bCs/>
                <w:sz w:val="20"/>
                <w:szCs w:val="20"/>
              </w:rPr>
              <w:t>Compatibil</w:t>
            </w:r>
          </w:p>
        </w:tc>
        <w:tc>
          <w:tcPr>
            <w:tcW w:w="3118" w:type="dxa"/>
          </w:tcPr>
          <w:p w14:paraId="7576FC74" w14:textId="77777777" w:rsidR="00D15C1B" w:rsidRPr="00154588" w:rsidRDefault="00D15C1B" w:rsidP="008C12B4">
            <w:pPr>
              <w:jc w:val="both"/>
              <w:rPr>
                <w:bCs/>
                <w:sz w:val="20"/>
                <w:szCs w:val="20"/>
              </w:rPr>
            </w:pPr>
          </w:p>
        </w:tc>
      </w:tr>
      <w:tr w:rsidR="00D15C1B" w:rsidRPr="00154588" w14:paraId="32788191" w14:textId="77777777" w:rsidTr="00D15C1B">
        <w:trPr>
          <w:jc w:val="center"/>
        </w:trPr>
        <w:tc>
          <w:tcPr>
            <w:tcW w:w="4957" w:type="dxa"/>
            <w:gridSpan w:val="2"/>
          </w:tcPr>
          <w:p w14:paraId="01B44472" w14:textId="0BAF2B99" w:rsidR="00D15C1B" w:rsidRPr="00154588" w:rsidRDefault="00D15C1B" w:rsidP="008C12B4">
            <w:pPr>
              <w:jc w:val="both"/>
              <w:rPr>
                <w:bCs/>
                <w:sz w:val="20"/>
                <w:szCs w:val="20"/>
              </w:rPr>
            </w:pPr>
            <w:r w:rsidRPr="00154588">
              <w:rPr>
                <w:bCs/>
                <w:sz w:val="20"/>
                <w:szCs w:val="20"/>
              </w:rPr>
              <w:t xml:space="preserve">41. </w:t>
            </w:r>
            <w:r w:rsidRPr="00154588">
              <w:rPr>
                <w:b/>
                <w:sz w:val="20"/>
                <w:szCs w:val="20"/>
              </w:rPr>
              <w:t>„plan de rezoluție”</w:t>
            </w:r>
            <w:r w:rsidRPr="00154588">
              <w:rPr>
                <w:bCs/>
                <w:sz w:val="20"/>
                <w:szCs w:val="20"/>
              </w:rPr>
              <w:t xml:space="preserve"> înseamnă un plan de rezoluție întocmit pentru o instituție în conformitate cu articolul 10;</w:t>
            </w:r>
          </w:p>
        </w:tc>
        <w:tc>
          <w:tcPr>
            <w:tcW w:w="4819" w:type="dxa"/>
          </w:tcPr>
          <w:p w14:paraId="097C67DC" w14:textId="1128EB22" w:rsidR="00D15C1B" w:rsidRPr="00154588" w:rsidRDefault="00736B05" w:rsidP="008C12B4">
            <w:pPr>
              <w:jc w:val="both"/>
              <w:rPr>
                <w:bCs/>
                <w:sz w:val="20"/>
                <w:szCs w:val="20"/>
              </w:rPr>
            </w:pPr>
            <w:r w:rsidRPr="00154588">
              <w:rPr>
                <w:bCs/>
                <w:sz w:val="20"/>
                <w:szCs w:val="20"/>
              </w:rPr>
              <w:t>99)</w:t>
            </w:r>
            <w:r w:rsidRPr="00154588">
              <w:rPr>
                <w:bCs/>
                <w:i/>
                <w:iCs/>
                <w:sz w:val="20"/>
                <w:szCs w:val="20"/>
              </w:rPr>
              <w:t xml:space="preserve"> plan de rezoluție </w:t>
            </w:r>
            <w:r w:rsidRPr="00154588">
              <w:rPr>
                <w:bCs/>
                <w:sz w:val="20"/>
                <w:szCs w:val="20"/>
              </w:rPr>
              <w:t>– un plan de rezoluție întocmit pentru o instituție în conformitate cu art.23-30;</w:t>
            </w:r>
          </w:p>
        </w:tc>
        <w:tc>
          <w:tcPr>
            <w:tcW w:w="2552" w:type="dxa"/>
          </w:tcPr>
          <w:p w14:paraId="6617D55D" w14:textId="77777777" w:rsidR="00D15C1B" w:rsidRPr="00154588" w:rsidRDefault="00D15C1B" w:rsidP="008C12B4">
            <w:pPr>
              <w:jc w:val="both"/>
              <w:rPr>
                <w:bCs/>
                <w:sz w:val="20"/>
                <w:szCs w:val="20"/>
              </w:rPr>
            </w:pPr>
          </w:p>
        </w:tc>
        <w:tc>
          <w:tcPr>
            <w:tcW w:w="3118" w:type="dxa"/>
          </w:tcPr>
          <w:p w14:paraId="3B61321E" w14:textId="77777777" w:rsidR="00D15C1B" w:rsidRPr="00154588" w:rsidRDefault="00D15C1B" w:rsidP="008C12B4">
            <w:pPr>
              <w:jc w:val="both"/>
              <w:rPr>
                <w:bCs/>
                <w:sz w:val="20"/>
                <w:szCs w:val="20"/>
              </w:rPr>
            </w:pPr>
          </w:p>
        </w:tc>
      </w:tr>
      <w:tr w:rsidR="00D15C1B" w:rsidRPr="00154588" w14:paraId="7F46F9AE" w14:textId="77777777" w:rsidTr="00D15C1B">
        <w:trPr>
          <w:jc w:val="center"/>
        </w:trPr>
        <w:tc>
          <w:tcPr>
            <w:tcW w:w="4957" w:type="dxa"/>
            <w:gridSpan w:val="2"/>
          </w:tcPr>
          <w:p w14:paraId="50137509" w14:textId="58B58FEF" w:rsidR="00D15C1B" w:rsidRPr="00154588" w:rsidRDefault="00D15C1B" w:rsidP="008C12B4">
            <w:pPr>
              <w:jc w:val="both"/>
              <w:rPr>
                <w:bCs/>
                <w:sz w:val="20"/>
                <w:szCs w:val="20"/>
              </w:rPr>
            </w:pPr>
            <w:r w:rsidRPr="00154588">
              <w:rPr>
                <w:bCs/>
                <w:sz w:val="20"/>
                <w:szCs w:val="20"/>
              </w:rPr>
              <w:t xml:space="preserve">42. </w:t>
            </w:r>
            <w:r w:rsidRPr="00154588">
              <w:rPr>
                <w:b/>
                <w:sz w:val="20"/>
                <w:szCs w:val="20"/>
              </w:rPr>
              <w:t>„rezoluția grupului”</w:t>
            </w:r>
            <w:r w:rsidRPr="00154588">
              <w:rPr>
                <w:bCs/>
                <w:sz w:val="20"/>
                <w:szCs w:val="20"/>
              </w:rPr>
              <w:t xml:space="preserve"> înseamnă oricare dintre următoarele măsuri:</w:t>
            </w:r>
          </w:p>
          <w:p w14:paraId="157DBCBA" w14:textId="77777777" w:rsidR="00D15C1B" w:rsidRPr="00154588" w:rsidRDefault="00D15C1B" w:rsidP="008C12B4">
            <w:pPr>
              <w:jc w:val="both"/>
              <w:rPr>
                <w:bCs/>
                <w:sz w:val="20"/>
                <w:szCs w:val="20"/>
              </w:rPr>
            </w:pPr>
          </w:p>
          <w:p w14:paraId="7A053448" w14:textId="485FBB56" w:rsidR="00D15C1B" w:rsidRPr="00154588" w:rsidRDefault="00D15C1B" w:rsidP="008C12B4">
            <w:pPr>
              <w:jc w:val="both"/>
              <w:rPr>
                <w:bCs/>
                <w:sz w:val="20"/>
                <w:szCs w:val="20"/>
              </w:rPr>
            </w:pPr>
            <w:r w:rsidRPr="00154588">
              <w:rPr>
                <w:bCs/>
                <w:sz w:val="20"/>
                <w:szCs w:val="20"/>
              </w:rPr>
              <w:t>(a) adoptarea unei măsuri de rezoluție la nivelul unei întreprinderi-mamă sau al unei instituției care face obiectul supravegherii consolidate; sau</w:t>
            </w:r>
          </w:p>
          <w:p w14:paraId="34B3A777" w14:textId="77777777" w:rsidR="00D15C1B" w:rsidRPr="00154588" w:rsidRDefault="00D15C1B" w:rsidP="008C12B4">
            <w:pPr>
              <w:jc w:val="both"/>
              <w:rPr>
                <w:bCs/>
                <w:sz w:val="20"/>
                <w:szCs w:val="20"/>
              </w:rPr>
            </w:pPr>
          </w:p>
          <w:p w14:paraId="540F6500" w14:textId="1BA2A138" w:rsidR="00D15C1B" w:rsidRPr="00154588" w:rsidRDefault="00D15C1B" w:rsidP="008C12B4">
            <w:pPr>
              <w:jc w:val="both"/>
              <w:rPr>
                <w:bCs/>
                <w:sz w:val="20"/>
                <w:szCs w:val="20"/>
              </w:rPr>
            </w:pPr>
            <w:r w:rsidRPr="00154588">
              <w:rPr>
                <w:bCs/>
                <w:sz w:val="20"/>
                <w:szCs w:val="20"/>
              </w:rPr>
              <w:t>(b) coordonarea aplicării instrumentelor de rezoluție și a exercitării competențelor de rezoluție de către autoritățile de rezoluție în raport cu entitățile din grup care îndeplinesc condițiile de declanșare a procedurii de rezoluție;</w:t>
            </w:r>
          </w:p>
        </w:tc>
        <w:tc>
          <w:tcPr>
            <w:tcW w:w="4819" w:type="dxa"/>
          </w:tcPr>
          <w:p w14:paraId="325FD614" w14:textId="77777777" w:rsidR="00736B05" w:rsidRPr="00154588" w:rsidRDefault="00736B05" w:rsidP="008C12B4">
            <w:pPr>
              <w:jc w:val="both"/>
              <w:rPr>
                <w:bCs/>
                <w:sz w:val="20"/>
                <w:szCs w:val="20"/>
              </w:rPr>
            </w:pPr>
            <w:r w:rsidRPr="00154588">
              <w:rPr>
                <w:bCs/>
                <w:sz w:val="20"/>
                <w:szCs w:val="20"/>
              </w:rPr>
              <w:t xml:space="preserve">103) </w:t>
            </w:r>
            <w:r w:rsidRPr="00154588">
              <w:rPr>
                <w:bCs/>
                <w:i/>
                <w:sz w:val="20"/>
                <w:szCs w:val="20"/>
              </w:rPr>
              <w:t>rezoluția grupului</w:t>
            </w:r>
            <w:r w:rsidRPr="00154588">
              <w:rPr>
                <w:bCs/>
                <w:sz w:val="20"/>
                <w:szCs w:val="20"/>
              </w:rPr>
              <w:t xml:space="preserve"> – oricare dintre următoarele:</w:t>
            </w:r>
          </w:p>
          <w:p w14:paraId="42E6ABB1" w14:textId="77777777" w:rsidR="00736B05" w:rsidRPr="00154588" w:rsidRDefault="00736B05" w:rsidP="008C12B4">
            <w:pPr>
              <w:jc w:val="both"/>
              <w:rPr>
                <w:bCs/>
                <w:sz w:val="20"/>
                <w:szCs w:val="20"/>
              </w:rPr>
            </w:pPr>
          </w:p>
          <w:p w14:paraId="21A47F5B" w14:textId="77777777" w:rsidR="00736B05" w:rsidRPr="00154588" w:rsidRDefault="00736B05" w:rsidP="008C12B4">
            <w:pPr>
              <w:jc w:val="both"/>
              <w:rPr>
                <w:bCs/>
                <w:sz w:val="20"/>
                <w:szCs w:val="20"/>
              </w:rPr>
            </w:pPr>
            <w:r w:rsidRPr="00154588">
              <w:rPr>
                <w:bCs/>
                <w:sz w:val="20"/>
                <w:szCs w:val="20"/>
              </w:rPr>
              <w:t>a) adoptarea unei acțiuni de rezoluție la nivelul întreprinderii-mamă sau al unei instituții care face obiectul supravegherii consolidate;</w:t>
            </w:r>
          </w:p>
          <w:p w14:paraId="3AD88448" w14:textId="77777777" w:rsidR="00736B05" w:rsidRPr="00154588" w:rsidRDefault="00736B05" w:rsidP="008C12B4">
            <w:pPr>
              <w:jc w:val="both"/>
              <w:rPr>
                <w:bCs/>
                <w:sz w:val="20"/>
                <w:szCs w:val="20"/>
              </w:rPr>
            </w:pPr>
          </w:p>
          <w:p w14:paraId="6EA52C58" w14:textId="77777777" w:rsidR="00736B05" w:rsidRPr="00154588" w:rsidRDefault="00736B05" w:rsidP="008C12B4">
            <w:pPr>
              <w:jc w:val="both"/>
              <w:rPr>
                <w:bCs/>
                <w:sz w:val="20"/>
                <w:szCs w:val="20"/>
              </w:rPr>
            </w:pPr>
          </w:p>
          <w:p w14:paraId="12500DC7" w14:textId="75143E57" w:rsidR="00D15C1B" w:rsidRPr="00154588" w:rsidRDefault="00736B05" w:rsidP="008C12B4">
            <w:pPr>
              <w:jc w:val="both"/>
              <w:rPr>
                <w:bCs/>
                <w:sz w:val="20"/>
                <w:szCs w:val="20"/>
              </w:rPr>
            </w:pPr>
            <w:r w:rsidRPr="00154588">
              <w:rPr>
                <w:bCs/>
                <w:sz w:val="20"/>
                <w:szCs w:val="20"/>
              </w:rPr>
              <w:t>b) coordonarea aplicării instrumentelor de rezoluție și a exercitării competențelor de rezoluție de către autoritățile de rezoluție în raport cu entitățile din grup care îndeplinesc condițiile de declanșare a procedurii de rezoluție;</w:t>
            </w:r>
          </w:p>
        </w:tc>
        <w:tc>
          <w:tcPr>
            <w:tcW w:w="2552" w:type="dxa"/>
          </w:tcPr>
          <w:p w14:paraId="77355894" w14:textId="5A739D31" w:rsidR="00D15C1B" w:rsidRPr="00154588" w:rsidRDefault="0094082B" w:rsidP="008C12B4">
            <w:pPr>
              <w:jc w:val="both"/>
              <w:rPr>
                <w:bCs/>
                <w:sz w:val="20"/>
                <w:szCs w:val="20"/>
              </w:rPr>
            </w:pPr>
            <w:r w:rsidRPr="00154588">
              <w:rPr>
                <w:bCs/>
                <w:sz w:val="20"/>
                <w:szCs w:val="20"/>
              </w:rPr>
              <w:t>Compatibil</w:t>
            </w:r>
          </w:p>
        </w:tc>
        <w:tc>
          <w:tcPr>
            <w:tcW w:w="3118" w:type="dxa"/>
          </w:tcPr>
          <w:p w14:paraId="54942A9D" w14:textId="77777777" w:rsidR="00D15C1B" w:rsidRPr="00154588" w:rsidRDefault="00D15C1B" w:rsidP="008C12B4">
            <w:pPr>
              <w:jc w:val="both"/>
              <w:rPr>
                <w:bCs/>
                <w:sz w:val="20"/>
                <w:szCs w:val="20"/>
              </w:rPr>
            </w:pPr>
          </w:p>
        </w:tc>
      </w:tr>
      <w:tr w:rsidR="00D15C1B" w:rsidRPr="00154588" w14:paraId="1E116091" w14:textId="77777777" w:rsidTr="00D15C1B">
        <w:trPr>
          <w:jc w:val="center"/>
        </w:trPr>
        <w:tc>
          <w:tcPr>
            <w:tcW w:w="4957" w:type="dxa"/>
            <w:gridSpan w:val="2"/>
          </w:tcPr>
          <w:p w14:paraId="60E58FE8" w14:textId="07A2A1BC" w:rsidR="00D15C1B" w:rsidRPr="00154588" w:rsidRDefault="00D15C1B" w:rsidP="008C12B4">
            <w:pPr>
              <w:jc w:val="both"/>
              <w:rPr>
                <w:bCs/>
                <w:sz w:val="20"/>
                <w:szCs w:val="20"/>
              </w:rPr>
            </w:pPr>
            <w:r w:rsidRPr="00154588">
              <w:rPr>
                <w:bCs/>
                <w:sz w:val="20"/>
                <w:szCs w:val="20"/>
              </w:rPr>
              <w:t xml:space="preserve">43. </w:t>
            </w:r>
            <w:r w:rsidRPr="00154588">
              <w:rPr>
                <w:b/>
                <w:sz w:val="20"/>
                <w:szCs w:val="20"/>
              </w:rPr>
              <w:t>„plan de rezoluție a grupului”</w:t>
            </w:r>
            <w:r w:rsidRPr="00154588">
              <w:rPr>
                <w:bCs/>
                <w:sz w:val="20"/>
                <w:szCs w:val="20"/>
              </w:rPr>
              <w:t xml:space="preserve"> înseamnă un plan de rezoluție întocmit pentru un grup în conformitate cu articolele 12 și 13;</w:t>
            </w:r>
          </w:p>
        </w:tc>
        <w:tc>
          <w:tcPr>
            <w:tcW w:w="4819" w:type="dxa"/>
          </w:tcPr>
          <w:p w14:paraId="4C5D2709" w14:textId="3B9B0CA4" w:rsidR="00D15C1B" w:rsidRPr="00154588" w:rsidRDefault="00736B05" w:rsidP="008C12B4">
            <w:pPr>
              <w:jc w:val="both"/>
              <w:rPr>
                <w:bCs/>
                <w:sz w:val="20"/>
                <w:szCs w:val="20"/>
              </w:rPr>
            </w:pPr>
            <w:r w:rsidRPr="00154588">
              <w:rPr>
                <w:bCs/>
                <w:sz w:val="20"/>
                <w:szCs w:val="20"/>
              </w:rPr>
              <w:t xml:space="preserve">101) </w:t>
            </w:r>
            <w:r w:rsidRPr="00154588">
              <w:rPr>
                <w:bCs/>
                <w:i/>
                <w:iCs/>
                <w:sz w:val="20"/>
                <w:szCs w:val="20"/>
              </w:rPr>
              <w:t>plan de rezoluție a grupului</w:t>
            </w:r>
            <w:r w:rsidRPr="00154588">
              <w:rPr>
                <w:bCs/>
                <w:sz w:val="20"/>
                <w:szCs w:val="20"/>
              </w:rPr>
              <w:t xml:space="preserve"> – un plan de rezoluție întocmit pentru un grup în conformitate cu art.31</w:t>
            </w:r>
            <w:r w:rsidRPr="00154588">
              <w:rPr>
                <w:bCs/>
                <w:sz w:val="20"/>
                <w:szCs w:val="20"/>
                <w:vertAlign w:val="superscript"/>
              </w:rPr>
              <w:t>1</w:t>
            </w:r>
            <w:r w:rsidRPr="00154588">
              <w:rPr>
                <w:bCs/>
                <w:sz w:val="20"/>
                <w:szCs w:val="20"/>
              </w:rPr>
              <w:t>-31</w:t>
            </w:r>
            <w:r w:rsidRPr="00154588">
              <w:rPr>
                <w:bCs/>
                <w:sz w:val="20"/>
                <w:szCs w:val="20"/>
                <w:vertAlign w:val="superscript"/>
              </w:rPr>
              <w:t>23</w:t>
            </w:r>
            <w:r w:rsidRPr="00154588">
              <w:rPr>
                <w:bCs/>
                <w:sz w:val="20"/>
                <w:szCs w:val="20"/>
              </w:rPr>
              <w:t>;</w:t>
            </w:r>
          </w:p>
        </w:tc>
        <w:tc>
          <w:tcPr>
            <w:tcW w:w="2552" w:type="dxa"/>
          </w:tcPr>
          <w:p w14:paraId="61FBC456" w14:textId="206245BB" w:rsidR="00D15C1B" w:rsidRPr="00154588" w:rsidRDefault="0094082B" w:rsidP="008C12B4">
            <w:pPr>
              <w:jc w:val="both"/>
              <w:rPr>
                <w:bCs/>
                <w:sz w:val="20"/>
                <w:szCs w:val="20"/>
              </w:rPr>
            </w:pPr>
            <w:r w:rsidRPr="00154588">
              <w:rPr>
                <w:bCs/>
                <w:sz w:val="20"/>
                <w:szCs w:val="20"/>
              </w:rPr>
              <w:t>Compatibil</w:t>
            </w:r>
          </w:p>
        </w:tc>
        <w:tc>
          <w:tcPr>
            <w:tcW w:w="3118" w:type="dxa"/>
          </w:tcPr>
          <w:p w14:paraId="12A81127" w14:textId="77777777" w:rsidR="00D15C1B" w:rsidRPr="00154588" w:rsidRDefault="00D15C1B" w:rsidP="008C12B4">
            <w:pPr>
              <w:jc w:val="both"/>
              <w:rPr>
                <w:bCs/>
                <w:sz w:val="20"/>
                <w:szCs w:val="20"/>
              </w:rPr>
            </w:pPr>
          </w:p>
        </w:tc>
      </w:tr>
      <w:tr w:rsidR="00D15C1B" w:rsidRPr="00154588" w14:paraId="1EACEA3B" w14:textId="77777777" w:rsidTr="00D15C1B">
        <w:trPr>
          <w:jc w:val="center"/>
        </w:trPr>
        <w:tc>
          <w:tcPr>
            <w:tcW w:w="4957" w:type="dxa"/>
            <w:gridSpan w:val="2"/>
          </w:tcPr>
          <w:p w14:paraId="1BB26FCC" w14:textId="5898E51F" w:rsidR="00D15C1B" w:rsidRPr="00154588" w:rsidRDefault="00D15C1B" w:rsidP="008C12B4">
            <w:pPr>
              <w:jc w:val="both"/>
              <w:rPr>
                <w:bCs/>
                <w:sz w:val="20"/>
                <w:szCs w:val="20"/>
              </w:rPr>
            </w:pPr>
            <w:r w:rsidRPr="00154588">
              <w:rPr>
                <w:bCs/>
                <w:sz w:val="20"/>
                <w:szCs w:val="20"/>
              </w:rPr>
              <w:t xml:space="preserve">44. </w:t>
            </w:r>
            <w:r w:rsidRPr="00154588">
              <w:rPr>
                <w:b/>
                <w:sz w:val="20"/>
                <w:szCs w:val="20"/>
              </w:rPr>
              <w:t>„autoritate de rezoluție a grupului”</w:t>
            </w:r>
            <w:r w:rsidRPr="00154588">
              <w:rPr>
                <w:bCs/>
                <w:sz w:val="20"/>
                <w:szCs w:val="20"/>
              </w:rPr>
              <w:t xml:space="preserve"> înseamnă autoritatea de rezoluție din statul membru în care se află sediul supraveghetorului consolidant;</w:t>
            </w:r>
          </w:p>
        </w:tc>
        <w:tc>
          <w:tcPr>
            <w:tcW w:w="4819" w:type="dxa"/>
          </w:tcPr>
          <w:p w14:paraId="341F6D67" w14:textId="7E22736E" w:rsidR="00D15C1B" w:rsidRPr="00154588" w:rsidRDefault="00736B05" w:rsidP="008C12B4">
            <w:pPr>
              <w:jc w:val="both"/>
              <w:rPr>
                <w:bCs/>
                <w:sz w:val="20"/>
                <w:szCs w:val="20"/>
              </w:rPr>
            </w:pPr>
            <w:r w:rsidRPr="00154588">
              <w:rPr>
                <w:bCs/>
                <w:sz w:val="20"/>
                <w:szCs w:val="20"/>
              </w:rPr>
              <w:t xml:space="preserve">54) </w:t>
            </w:r>
            <w:r w:rsidRPr="00154588">
              <w:rPr>
                <w:bCs/>
                <w:i/>
                <w:iCs/>
                <w:sz w:val="20"/>
                <w:szCs w:val="20"/>
              </w:rPr>
              <w:t>autoritate de rezoluție</w:t>
            </w:r>
            <w:r w:rsidRPr="00154588">
              <w:rPr>
                <w:bCs/>
                <w:sz w:val="20"/>
                <w:szCs w:val="20"/>
              </w:rPr>
              <w:t xml:space="preserve"> –  autoritatea de rezoluție din statul membru al Uniunii Europene în care se află sediul supraveghetorului consolidant;</w:t>
            </w:r>
          </w:p>
        </w:tc>
        <w:tc>
          <w:tcPr>
            <w:tcW w:w="2552" w:type="dxa"/>
          </w:tcPr>
          <w:p w14:paraId="1AD18A38" w14:textId="7519E41B" w:rsidR="00D15C1B" w:rsidRPr="00154588" w:rsidRDefault="0094082B" w:rsidP="008C12B4">
            <w:pPr>
              <w:jc w:val="both"/>
              <w:rPr>
                <w:bCs/>
                <w:sz w:val="20"/>
                <w:szCs w:val="20"/>
              </w:rPr>
            </w:pPr>
            <w:r w:rsidRPr="00154588">
              <w:rPr>
                <w:bCs/>
                <w:sz w:val="20"/>
                <w:szCs w:val="20"/>
              </w:rPr>
              <w:t>Compatibil</w:t>
            </w:r>
          </w:p>
        </w:tc>
        <w:tc>
          <w:tcPr>
            <w:tcW w:w="3118" w:type="dxa"/>
          </w:tcPr>
          <w:p w14:paraId="73B04C19" w14:textId="77777777" w:rsidR="00D15C1B" w:rsidRPr="00154588" w:rsidRDefault="00D15C1B" w:rsidP="008C12B4">
            <w:pPr>
              <w:jc w:val="both"/>
              <w:rPr>
                <w:bCs/>
                <w:sz w:val="20"/>
                <w:szCs w:val="20"/>
              </w:rPr>
            </w:pPr>
          </w:p>
        </w:tc>
      </w:tr>
      <w:tr w:rsidR="00D15C1B" w:rsidRPr="00154588" w14:paraId="1727F911" w14:textId="77777777" w:rsidTr="00D15C1B">
        <w:trPr>
          <w:jc w:val="center"/>
        </w:trPr>
        <w:tc>
          <w:tcPr>
            <w:tcW w:w="4957" w:type="dxa"/>
            <w:gridSpan w:val="2"/>
          </w:tcPr>
          <w:p w14:paraId="6AA29DEA" w14:textId="2094EFDE" w:rsidR="00D15C1B" w:rsidRPr="00154588" w:rsidRDefault="00D15C1B" w:rsidP="008C12B4">
            <w:pPr>
              <w:jc w:val="both"/>
              <w:rPr>
                <w:bCs/>
                <w:sz w:val="20"/>
                <w:szCs w:val="20"/>
              </w:rPr>
            </w:pPr>
            <w:r w:rsidRPr="00154588">
              <w:rPr>
                <w:bCs/>
                <w:sz w:val="20"/>
                <w:szCs w:val="20"/>
              </w:rPr>
              <w:t xml:space="preserve">45. </w:t>
            </w:r>
            <w:r w:rsidRPr="00154588">
              <w:rPr>
                <w:b/>
                <w:sz w:val="20"/>
                <w:szCs w:val="20"/>
              </w:rPr>
              <w:t>„schemă de rezoluție a grupului”</w:t>
            </w:r>
            <w:r w:rsidRPr="00154588">
              <w:rPr>
                <w:bCs/>
                <w:sz w:val="20"/>
                <w:szCs w:val="20"/>
              </w:rPr>
              <w:t xml:space="preserve"> înseamnă un plan întocmit în conformitate cu articolul 91 în scopul rezoluției unui grup;</w:t>
            </w:r>
          </w:p>
        </w:tc>
        <w:tc>
          <w:tcPr>
            <w:tcW w:w="4819" w:type="dxa"/>
          </w:tcPr>
          <w:p w14:paraId="08C41A00" w14:textId="40920EF3" w:rsidR="00D15C1B" w:rsidRPr="00154588" w:rsidRDefault="0014533D" w:rsidP="008C12B4">
            <w:pPr>
              <w:jc w:val="both"/>
              <w:rPr>
                <w:bCs/>
                <w:sz w:val="20"/>
                <w:szCs w:val="20"/>
              </w:rPr>
            </w:pPr>
            <w:r w:rsidRPr="00154588">
              <w:rPr>
                <w:bCs/>
                <w:sz w:val="20"/>
                <w:szCs w:val="20"/>
              </w:rPr>
              <w:t xml:space="preserve">105) </w:t>
            </w:r>
            <w:r w:rsidRPr="00154588">
              <w:rPr>
                <w:bCs/>
                <w:i/>
                <w:sz w:val="20"/>
                <w:szCs w:val="20"/>
              </w:rPr>
              <w:t>schemă de rezoluție  a grupului</w:t>
            </w:r>
            <w:r w:rsidRPr="00154588">
              <w:rPr>
                <w:bCs/>
                <w:sz w:val="20"/>
                <w:szCs w:val="20"/>
              </w:rPr>
              <w:t xml:space="preserve"> – planul întocmit pentru scopuri legate de rezoluția grupului în conformitate cu art.295</w:t>
            </w:r>
            <w:r w:rsidRPr="00154588">
              <w:rPr>
                <w:bCs/>
                <w:sz w:val="20"/>
                <w:szCs w:val="20"/>
                <w:vertAlign w:val="superscript"/>
              </w:rPr>
              <w:t>17</w:t>
            </w:r>
            <w:r w:rsidRPr="00154588">
              <w:rPr>
                <w:bCs/>
                <w:sz w:val="20"/>
                <w:szCs w:val="20"/>
              </w:rPr>
              <w:t>-295</w:t>
            </w:r>
            <w:r w:rsidRPr="00154588">
              <w:rPr>
                <w:bCs/>
                <w:sz w:val="20"/>
                <w:szCs w:val="20"/>
                <w:vertAlign w:val="superscript"/>
              </w:rPr>
              <w:t>29</w:t>
            </w:r>
            <w:r w:rsidRPr="00154588">
              <w:rPr>
                <w:bCs/>
                <w:sz w:val="20"/>
                <w:szCs w:val="20"/>
              </w:rPr>
              <w:t>;</w:t>
            </w:r>
          </w:p>
        </w:tc>
        <w:tc>
          <w:tcPr>
            <w:tcW w:w="2552" w:type="dxa"/>
          </w:tcPr>
          <w:p w14:paraId="5FFA10AE" w14:textId="7D50E374" w:rsidR="00D15C1B" w:rsidRPr="00154588" w:rsidRDefault="0094082B" w:rsidP="008C12B4">
            <w:pPr>
              <w:jc w:val="both"/>
              <w:rPr>
                <w:bCs/>
                <w:sz w:val="20"/>
                <w:szCs w:val="20"/>
              </w:rPr>
            </w:pPr>
            <w:r w:rsidRPr="00154588">
              <w:rPr>
                <w:bCs/>
                <w:sz w:val="20"/>
                <w:szCs w:val="20"/>
              </w:rPr>
              <w:t>Compatibil</w:t>
            </w:r>
          </w:p>
        </w:tc>
        <w:tc>
          <w:tcPr>
            <w:tcW w:w="3118" w:type="dxa"/>
          </w:tcPr>
          <w:p w14:paraId="175ED87A" w14:textId="77777777" w:rsidR="00D15C1B" w:rsidRPr="00154588" w:rsidRDefault="00D15C1B" w:rsidP="008C12B4">
            <w:pPr>
              <w:jc w:val="both"/>
              <w:rPr>
                <w:bCs/>
                <w:sz w:val="20"/>
                <w:szCs w:val="20"/>
              </w:rPr>
            </w:pPr>
          </w:p>
        </w:tc>
      </w:tr>
      <w:tr w:rsidR="00D15C1B" w:rsidRPr="00154588" w14:paraId="2CC01937" w14:textId="77777777" w:rsidTr="00D15C1B">
        <w:trPr>
          <w:jc w:val="center"/>
        </w:trPr>
        <w:tc>
          <w:tcPr>
            <w:tcW w:w="4957" w:type="dxa"/>
            <w:gridSpan w:val="2"/>
          </w:tcPr>
          <w:p w14:paraId="738ABF10" w14:textId="63C824E0" w:rsidR="00D15C1B" w:rsidRPr="00154588" w:rsidRDefault="00D15C1B" w:rsidP="008C12B4">
            <w:pPr>
              <w:jc w:val="both"/>
              <w:rPr>
                <w:bCs/>
                <w:sz w:val="20"/>
                <w:szCs w:val="20"/>
              </w:rPr>
            </w:pPr>
            <w:r w:rsidRPr="00154588">
              <w:rPr>
                <w:bCs/>
                <w:sz w:val="20"/>
                <w:szCs w:val="20"/>
              </w:rPr>
              <w:t xml:space="preserve">46. </w:t>
            </w:r>
            <w:r w:rsidRPr="00154588">
              <w:rPr>
                <w:b/>
                <w:sz w:val="20"/>
                <w:szCs w:val="20"/>
              </w:rPr>
              <w:t>„colegiu de rezoluție”</w:t>
            </w:r>
            <w:r w:rsidRPr="00154588">
              <w:rPr>
                <w:bCs/>
                <w:sz w:val="20"/>
                <w:szCs w:val="20"/>
              </w:rPr>
              <w:t xml:space="preserve"> înseamnă un colegiu instituit în conformitate cu articolul 88 în vederea îndeplinirii sarcinilor menționate la articolul 88 alineatul (1);</w:t>
            </w:r>
          </w:p>
        </w:tc>
        <w:tc>
          <w:tcPr>
            <w:tcW w:w="4819" w:type="dxa"/>
          </w:tcPr>
          <w:p w14:paraId="60F02DDF" w14:textId="736DC1E9" w:rsidR="00D15C1B" w:rsidRPr="00154588" w:rsidRDefault="0014533D" w:rsidP="008C12B4">
            <w:pPr>
              <w:jc w:val="both"/>
              <w:rPr>
                <w:bCs/>
                <w:sz w:val="20"/>
                <w:szCs w:val="20"/>
              </w:rPr>
            </w:pPr>
            <w:r w:rsidRPr="00154588">
              <w:rPr>
                <w:bCs/>
                <w:sz w:val="20"/>
                <w:szCs w:val="20"/>
              </w:rPr>
              <w:t xml:space="preserve">59) </w:t>
            </w:r>
            <w:r w:rsidRPr="00154588">
              <w:rPr>
                <w:bCs/>
                <w:i/>
                <w:sz w:val="20"/>
                <w:szCs w:val="20"/>
              </w:rPr>
              <w:t>colegiu de rezoluție</w:t>
            </w:r>
            <w:r w:rsidRPr="00154588">
              <w:rPr>
                <w:bCs/>
                <w:sz w:val="20"/>
                <w:szCs w:val="20"/>
              </w:rPr>
              <w:t xml:space="preserve"> – un colegiu instituit în conformitate cu art.295</w:t>
            </w:r>
            <w:r w:rsidRPr="00154588">
              <w:rPr>
                <w:bCs/>
                <w:sz w:val="20"/>
                <w:szCs w:val="20"/>
                <w:vertAlign w:val="superscript"/>
              </w:rPr>
              <w:t>2</w:t>
            </w:r>
            <w:r w:rsidRPr="00154588">
              <w:rPr>
                <w:bCs/>
                <w:sz w:val="20"/>
                <w:szCs w:val="20"/>
              </w:rPr>
              <w:t>-295</w:t>
            </w:r>
            <w:r w:rsidRPr="00154588">
              <w:rPr>
                <w:bCs/>
                <w:sz w:val="20"/>
                <w:szCs w:val="20"/>
                <w:vertAlign w:val="superscript"/>
              </w:rPr>
              <w:t>7</w:t>
            </w:r>
            <w:r w:rsidRPr="00154588">
              <w:rPr>
                <w:bCs/>
                <w:sz w:val="20"/>
                <w:szCs w:val="20"/>
              </w:rPr>
              <w:t xml:space="preserve"> în vederea îndeplinirii sarcinilor prevăzute la art.295</w:t>
            </w:r>
            <w:r w:rsidRPr="00154588">
              <w:rPr>
                <w:bCs/>
                <w:sz w:val="20"/>
                <w:szCs w:val="20"/>
                <w:vertAlign w:val="superscript"/>
              </w:rPr>
              <w:t>2</w:t>
            </w:r>
            <w:r w:rsidRPr="00154588">
              <w:rPr>
                <w:bCs/>
                <w:sz w:val="20"/>
                <w:szCs w:val="20"/>
              </w:rPr>
              <w:t>;</w:t>
            </w:r>
          </w:p>
        </w:tc>
        <w:tc>
          <w:tcPr>
            <w:tcW w:w="2552" w:type="dxa"/>
          </w:tcPr>
          <w:p w14:paraId="5B3C5638" w14:textId="2332DEE4" w:rsidR="00D15C1B" w:rsidRPr="00154588" w:rsidRDefault="0094082B" w:rsidP="008C12B4">
            <w:pPr>
              <w:jc w:val="both"/>
              <w:rPr>
                <w:bCs/>
                <w:sz w:val="20"/>
                <w:szCs w:val="20"/>
              </w:rPr>
            </w:pPr>
            <w:r w:rsidRPr="00154588">
              <w:rPr>
                <w:bCs/>
                <w:sz w:val="20"/>
                <w:szCs w:val="20"/>
              </w:rPr>
              <w:t>Compatibil</w:t>
            </w:r>
          </w:p>
        </w:tc>
        <w:tc>
          <w:tcPr>
            <w:tcW w:w="3118" w:type="dxa"/>
          </w:tcPr>
          <w:p w14:paraId="34C47BE2" w14:textId="77777777" w:rsidR="00D15C1B" w:rsidRPr="00154588" w:rsidRDefault="00D15C1B" w:rsidP="008C12B4">
            <w:pPr>
              <w:jc w:val="both"/>
              <w:rPr>
                <w:bCs/>
                <w:sz w:val="20"/>
                <w:szCs w:val="20"/>
              </w:rPr>
            </w:pPr>
          </w:p>
        </w:tc>
      </w:tr>
      <w:tr w:rsidR="00D15C1B" w:rsidRPr="00154588" w14:paraId="06452004" w14:textId="77777777" w:rsidTr="00D15C1B">
        <w:trPr>
          <w:jc w:val="center"/>
        </w:trPr>
        <w:tc>
          <w:tcPr>
            <w:tcW w:w="4957" w:type="dxa"/>
            <w:gridSpan w:val="2"/>
          </w:tcPr>
          <w:p w14:paraId="60941FC8" w14:textId="2F9BAD17" w:rsidR="00D15C1B" w:rsidRPr="00154588" w:rsidRDefault="00D15C1B" w:rsidP="008C12B4">
            <w:pPr>
              <w:jc w:val="both"/>
              <w:rPr>
                <w:bCs/>
                <w:sz w:val="20"/>
                <w:szCs w:val="20"/>
              </w:rPr>
            </w:pPr>
            <w:r w:rsidRPr="00154588">
              <w:rPr>
                <w:bCs/>
                <w:sz w:val="20"/>
                <w:szCs w:val="20"/>
              </w:rPr>
              <w:t>47</w:t>
            </w:r>
            <w:r w:rsidRPr="00154588">
              <w:rPr>
                <w:b/>
                <w:sz w:val="20"/>
                <w:szCs w:val="20"/>
              </w:rPr>
              <w:t>. „procedură obișnuită de insolvență”</w:t>
            </w:r>
            <w:r w:rsidRPr="00154588">
              <w:rPr>
                <w:bCs/>
                <w:sz w:val="20"/>
                <w:szCs w:val="20"/>
              </w:rPr>
              <w:t xml:space="preserve"> înseamnă procedura de insolvență colectivă care implică dezinvestirea parțială sau integrală a dreptului de administrare a unui debitor și numirea unui lichidator sau a unui administrator, aplicabilă în mod normal instituțiilor în </w:t>
            </w:r>
            <w:r w:rsidRPr="00154588">
              <w:rPr>
                <w:bCs/>
                <w:sz w:val="20"/>
                <w:szCs w:val="20"/>
              </w:rPr>
              <w:lastRenderedPageBreak/>
              <w:t>temeiul dreptului intern și care este fie specifică instituțiilor în cauză, fie aplicabilă în general oricărei persoane fizice ori juridice;</w:t>
            </w:r>
          </w:p>
        </w:tc>
        <w:tc>
          <w:tcPr>
            <w:tcW w:w="4819" w:type="dxa"/>
          </w:tcPr>
          <w:p w14:paraId="2614CEC8" w14:textId="43D7A328" w:rsidR="00D15C1B" w:rsidRPr="00154588" w:rsidRDefault="0014533D" w:rsidP="008C12B4">
            <w:pPr>
              <w:jc w:val="both"/>
              <w:rPr>
                <w:bCs/>
                <w:sz w:val="20"/>
                <w:szCs w:val="20"/>
              </w:rPr>
            </w:pPr>
            <w:r w:rsidRPr="00154588">
              <w:rPr>
                <w:bCs/>
                <w:sz w:val="20"/>
                <w:szCs w:val="20"/>
              </w:rPr>
              <w:lastRenderedPageBreak/>
              <w:t xml:space="preserve">46) </w:t>
            </w:r>
            <w:r w:rsidRPr="00154588">
              <w:rPr>
                <w:bCs/>
                <w:i/>
                <w:sz w:val="20"/>
                <w:szCs w:val="20"/>
              </w:rPr>
              <w:t>procedură obișnuită de insolvabilitate</w:t>
            </w:r>
            <w:r w:rsidRPr="00154588">
              <w:rPr>
                <w:bCs/>
                <w:sz w:val="20"/>
                <w:szCs w:val="20"/>
              </w:rPr>
              <w:t xml:space="preserve"> – procedura de insolvabilitate colectivă care implică ridicarea parțială sau integrală a dreptului de administrare a unui debitor și numirea unui lichidator sau unui administrator, aplicabilă în mod normal instituțiilor în temeiul legislație și care este </w:t>
            </w:r>
            <w:r w:rsidRPr="00154588">
              <w:rPr>
                <w:bCs/>
                <w:sz w:val="20"/>
                <w:szCs w:val="20"/>
              </w:rPr>
              <w:lastRenderedPageBreak/>
              <w:t xml:space="preserve">fie specifică instituțiilor în cauză, fie aplicabilă în general oricărei persoane juridice; </w:t>
            </w:r>
          </w:p>
        </w:tc>
        <w:tc>
          <w:tcPr>
            <w:tcW w:w="2552" w:type="dxa"/>
          </w:tcPr>
          <w:p w14:paraId="494301F0" w14:textId="719D8D25" w:rsidR="00D15C1B" w:rsidRPr="00154588" w:rsidRDefault="0094082B" w:rsidP="008C12B4">
            <w:pPr>
              <w:jc w:val="both"/>
              <w:rPr>
                <w:bCs/>
                <w:sz w:val="20"/>
                <w:szCs w:val="20"/>
              </w:rPr>
            </w:pPr>
            <w:r w:rsidRPr="00154588">
              <w:rPr>
                <w:bCs/>
                <w:sz w:val="20"/>
                <w:szCs w:val="20"/>
              </w:rPr>
              <w:lastRenderedPageBreak/>
              <w:t>Compatibil</w:t>
            </w:r>
          </w:p>
        </w:tc>
        <w:tc>
          <w:tcPr>
            <w:tcW w:w="3118" w:type="dxa"/>
          </w:tcPr>
          <w:p w14:paraId="2AAE31B3" w14:textId="77777777" w:rsidR="00D15C1B" w:rsidRPr="00154588" w:rsidRDefault="00D15C1B" w:rsidP="008C12B4">
            <w:pPr>
              <w:jc w:val="both"/>
              <w:rPr>
                <w:bCs/>
                <w:sz w:val="20"/>
                <w:szCs w:val="20"/>
              </w:rPr>
            </w:pPr>
          </w:p>
        </w:tc>
      </w:tr>
      <w:tr w:rsidR="00D15C1B" w:rsidRPr="00154588" w14:paraId="0E269DC0" w14:textId="77777777" w:rsidTr="00D15C1B">
        <w:trPr>
          <w:jc w:val="center"/>
        </w:trPr>
        <w:tc>
          <w:tcPr>
            <w:tcW w:w="4957" w:type="dxa"/>
            <w:gridSpan w:val="2"/>
          </w:tcPr>
          <w:p w14:paraId="227C5C2C" w14:textId="1817D248" w:rsidR="00D15C1B" w:rsidRPr="00154588" w:rsidRDefault="00D15C1B" w:rsidP="008C12B4">
            <w:pPr>
              <w:jc w:val="both"/>
              <w:rPr>
                <w:bCs/>
                <w:sz w:val="20"/>
                <w:szCs w:val="20"/>
              </w:rPr>
            </w:pPr>
            <w:r w:rsidRPr="00154588">
              <w:rPr>
                <w:bCs/>
                <w:sz w:val="20"/>
                <w:szCs w:val="20"/>
              </w:rPr>
              <w:t xml:space="preserve">48. </w:t>
            </w:r>
            <w:r w:rsidRPr="00154588">
              <w:rPr>
                <w:b/>
                <w:sz w:val="20"/>
                <w:szCs w:val="20"/>
              </w:rPr>
              <w:t>„instrumente de datorie”:</w:t>
            </w:r>
          </w:p>
          <w:p w14:paraId="17E8C3D3" w14:textId="77777777" w:rsidR="00D15C1B" w:rsidRPr="00154588" w:rsidRDefault="00D15C1B" w:rsidP="008C12B4">
            <w:pPr>
              <w:jc w:val="both"/>
              <w:rPr>
                <w:bCs/>
                <w:sz w:val="20"/>
                <w:szCs w:val="20"/>
              </w:rPr>
            </w:pPr>
          </w:p>
          <w:p w14:paraId="2D6AF67C" w14:textId="64EAC3BC" w:rsidR="00D15C1B" w:rsidRPr="00154588" w:rsidRDefault="00D15C1B" w:rsidP="008C12B4">
            <w:pPr>
              <w:jc w:val="both"/>
              <w:rPr>
                <w:bCs/>
                <w:sz w:val="20"/>
                <w:szCs w:val="20"/>
              </w:rPr>
            </w:pPr>
            <w:r w:rsidRPr="00154588">
              <w:rPr>
                <w:bCs/>
                <w:sz w:val="20"/>
                <w:szCs w:val="20"/>
              </w:rPr>
              <w:t>(i) în sensul articolului 63 alineatul (1) literele (g) și (j), înseamnă obligațiuni și alte forme de datorii transferabile, instrumente care creează sau recunosc o datorie și instrumente care dau dreptul de a achiziționa instrumente de datorie; și</w:t>
            </w:r>
          </w:p>
          <w:p w14:paraId="7B7EB25C" w14:textId="77777777" w:rsidR="00D15C1B" w:rsidRPr="00154588" w:rsidRDefault="00D15C1B" w:rsidP="008C12B4">
            <w:pPr>
              <w:jc w:val="both"/>
              <w:rPr>
                <w:bCs/>
                <w:sz w:val="20"/>
                <w:szCs w:val="20"/>
              </w:rPr>
            </w:pPr>
          </w:p>
          <w:p w14:paraId="24E9F3D3" w14:textId="1D63EA40" w:rsidR="00D15C1B" w:rsidRPr="00154588" w:rsidRDefault="00D15C1B" w:rsidP="008C12B4">
            <w:pPr>
              <w:jc w:val="both"/>
              <w:rPr>
                <w:bCs/>
                <w:sz w:val="20"/>
                <w:szCs w:val="20"/>
              </w:rPr>
            </w:pPr>
            <w:r w:rsidRPr="00154588">
              <w:rPr>
                <w:bCs/>
                <w:sz w:val="20"/>
                <w:szCs w:val="20"/>
              </w:rPr>
              <w:t>(ii) în sensul articolului 108, înseamnă obligațiuni și alte forme de datorii transferabile și instrumente care creează sau recunosc o datorie;</w:t>
            </w:r>
          </w:p>
        </w:tc>
        <w:tc>
          <w:tcPr>
            <w:tcW w:w="4819" w:type="dxa"/>
          </w:tcPr>
          <w:p w14:paraId="32CC608C" w14:textId="77777777" w:rsidR="0014533D" w:rsidRPr="00154588" w:rsidRDefault="0014533D" w:rsidP="008C12B4">
            <w:pPr>
              <w:jc w:val="both"/>
              <w:rPr>
                <w:bCs/>
                <w:sz w:val="20"/>
                <w:szCs w:val="20"/>
              </w:rPr>
            </w:pPr>
            <w:r w:rsidRPr="00154588">
              <w:rPr>
                <w:bCs/>
                <w:sz w:val="20"/>
                <w:szCs w:val="20"/>
              </w:rPr>
              <w:t>31</w:t>
            </w:r>
            <w:r w:rsidRPr="00154588">
              <w:rPr>
                <w:bCs/>
                <w:i/>
                <w:sz w:val="20"/>
                <w:szCs w:val="20"/>
              </w:rPr>
              <w:t>) instrumente de datorie în sensul art.231 alin.(1) lit.g) şi j)</w:t>
            </w:r>
            <w:r w:rsidRPr="00154588">
              <w:rPr>
                <w:bCs/>
                <w:sz w:val="20"/>
                <w:szCs w:val="20"/>
              </w:rPr>
              <w:t xml:space="preserve"> – obligaţiuni şi alte forme de datorii transferabile, instrumente şi contracte care creează sau recunosc o datorie şi instrumente care dau dreptul de a achiziţiona instrumente de datorie, în sensul art.240</w:t>
            </w:r>
            <w:r w:rsidRPr="00154588">
              <w:rPr>
                <w:bCs/>
                <w:sz w:val="20"/>
                <w:szCs w:val="20"/>
                <w:vertAlign w:val="superscript"/>
              </w:rPr>
              <w:t>8</w:t>
            </w:r>
            <w:r w:rsidRPr="00154588">
              <w:rPr>
                <w:bCs/>
                <w:sz w:val="20"/>
                <w:szCs w:val="20"/>
              </w:rPr>
              <w:t xml:space="preserve"> alin.(3) lit.i) din Legea insolvabilității nr.149/2012, înseamnă obligațiuni și alte forme de datorii transferabile și instrumente care creează sau recunosc o datorie;</w:t>
            </w:r>
          </w:p>
          <w:p w14:paraId="124B57AF" w14:textId="77777777" w:rsidR="00D15C1B" w:rsidRPr="00154588" w:rsidRDefault="00D15C1B" w:rsidP="008C12B4">
            <w:pPr>
              <w:jc w:val="both"/>
              <w:rPr>
                <w:bCs/>
                <w:sz w:val="20"/>
                <w:szCs w:val="20"/>
              </w:rPr>
            </w:pPr>
          </w:p>
        </w:tc>
        <w:tc>
          <w:tcPr>
            <w:tcW w:w="2552" w:type="dxa"/>
          </w:tcPr>
          <w:p w14:paraId="282FE4F4" w14:textId="443CA6BF" w:rsidR="00D15C1B" w:rsidRPr="00154588" w:rsidRDefault="0094082B" w:rsidP="008C12B4">
            <w:pPr>
              <w:jc w:val="both"/>
              <w:rPr>
                <w:bCs/>
                <w:sz w:val="20"/>
                <w:szCs w:val="20"/>
              </w:rPr>
            </w:pPr>
            <w:r w:rsidRPr="00154588">
              <w:rPr>
                <w:bCs/>
                <w:sz w:val="20"/>
                <w:szCs w:val="20"/>
              </w:rPr>
              <w:t>Compatibil</w:t>
            </w:r>
          </w:p>
        </w:tc>
        <w:tc>
          <w:tcPr>
            <w:tcW w:w="3118" w:type="dxa"/>
          </w:tcPr>
          <w:p w14:paraId="506F20CF" w14:textId="77777777" w:rsidR="00D15C1B" w:rsidRPr="00154588" w:rsidRDefault="00D15C1B" w:rsidP="008C12B4">
            <w:pPr>
              <w:jc w:val="both"/>
              <w:rPr>
                <w:bCs/>
                <w:sz w:val="20"/>
                <w:szCs w:val="20"/>
              </w:rPr>
            </w:pPr>
          </w:p>
        </w:tc>
      </w:tr>
      <w:tr w:rsidR="00D15C1B" w:rsidRPr="00154588" w14:paraId="0BD9AAA7" w14:textId="77777777" w:rsidTr="00D15C1B">
        <w:trPr>
          <w:jc w:val="center"/>
        </w:trPr>
        <w:tc>
          <w:tcPr>
            <w:tcW w:w="4957" w:type="dxa"/>
            <w:gridSpan w:val="2"/>
          </w:tcPr>
          <w:p w14:paraId="7A7E7BB4" w14:textId="050D476D" w:rsidR="00D15C1B" w:rsidRPr="00154588" w:rsidRDefault="00D15C1B" w:rsidP="008C12B4">
            <w:pPr>
              <w:jc w:val="both"/>
              <w:rPr>
                <w:bCs/>
                <w:sz w:val="20"/>
                <w:szCs w:val="20"/>
              </w:rPr>
            </w:pPr>
            <w:r w:rsidRPr="00154588">
              <w:rPr>
                <w:bCs/>
                <w:sz w:val="20"/>
                <w:szCs w:val="20"/>
              </w:rPr>
              <w:t xml:space="preserve">49. </w:t>
            </w:r>
            <w:r w:rsidRPr="00154588">
              <w:rPr>
                <w:b/>
                <w:sz w:val="20"/>
                <w:szCs w:val="20"/>
              </w:rPr>
              <w:t>„instituție-mamă dintr-un stat membru”</w:t>
            </w:r>
            <w:r w:rsidRPr="00154588">
              <w:rPr>
                <w:bCs/>
                <w:sz w:val="20"/>
                <w:szCs w:val="20"/>
              </w:rPr>
              <w:t xml:space="preserve"> înseamnă o instituție mamă dintr-un stat membru astfel cum este definită la articolul 4 alineatul (1) punctul 28 din Regulamentul (UE) nr. 575/2013;</w:t>
            </w:r>
          </w:p>
        </w:tc>
        <w:tc>
          <w:tcPr>
            <w:tcW w:w="4819" w:type="dxa"/>
          </w:tcPr>
          <w:p w14:paraId="3AA5A200" w14:textId="2EF3372A" w:rsidR="00D15C1B" w:rsidRPr="00154588" w:rsidRDefault="0014533D" w:rsidP="008C12B4">
            <w:pPr>
              <w:jc w:val="both"/>
              <w:rPr>
                <w:bCs/>
                <w:sz w:val="20"/>
                <w:szCs w:val="20"/>
              </w:rPr>
            </w:pPr>
            <w:r w:rsidRPr="00154588">
              <w:rPr>
                <w:bCs/>
                <w:sz w:val="20"/>
                <w:szCs w:val="20"/>
              </w:rPr>
              <w:t xml:space="preserve">84) </w:t>
            </w:r>
            <w:r w:rsidRPr="00154588">
              <w:rPr>
                <w:bCs/>
                <w:i/>
                <w:sz w:val="20"/>
                <w:szCs w:val="20"/>
              </w:rPr>
              <w:t>instituție-mamă dintr-un stat membru</w:t>
            </w:r>
            <w:r w:rsidRPr="00154588">
              <w:rPr>
                <w:bCs/>
                <w:sz w:val="20"/>
                <w:szCs w:val="20"/>
              </w:rPr>
              <w:t xml:space="preserve"> – o instituție de credit-mamă dintr-un stat membru, astfel cum este definită la art.3 din Legea nr.202/2017;</w:t>
            </w:r>
          </w:p>
        </w:tc>
        <w:tc>
          <w:tcPr>
            <w:tcW w:w="2552" w:type="dxa"/>
          </w:tcPr>
          <w:p w14:paraId="09DF2ED7" w14:textId="65D5D336" w:rsidR="00D15C1B" w:rsidRPr="00154588" w:rsidRDefault="0094082B" w:rsidP="008C12B4">
            <w:pPr>
              <w:jc w:val="both"/>
              <w:rPr>
                <w:bCs/>
                <w:sz w:val="20"/>
                <w:szCs w:val="20"/>
              </w:rPr>
            </w:pPr>
            <w:r w:rsidRPr="00154588">
              <w:rPr>
                <w:bCs/>
                <w:sz w:val="20"/>
                <w:szCs w:val="20"/>
              </w:rPr>
              <w:t>Compatibil</w:t>
            </w:r>
          </w:p>
        </w:tc>
        <w:tc>
          <w:tcPr>
            <w:tcW w:w="3118" w:type="dxa"/>
          </w:tcPr>
          <w:p w14:paraId="5214B01E" w14:textId="77777777" w:rsidR="00D15C1B" w:rsidRPr="00154588" w:rsidRDefault="00D15C1B" w:rsidP="008C12B4">
            <w:pPr>
              <w:jc w:val="both"/>
              <w:rPr>
                <w:bCs/>
                <w:sz w:val="20"/>
                <w:szCs w:val="20"/>
              </w:rPr>
            </w:pPr>
          </w:p>
        </w:tc>
      </w:tr>
      <w:tr w:rsidR="00D15C1B" w:rsidRPr="00154588" w14:paraId="19D847A4" w14:textId="77777777" w:rsidTr="00D15C1B">
        <w:trPr>
          <w:jc w:val="center"/>
        </w:trPr>
        <w:tc>
          <w:tcPr>
            <w:tcW w:w="4957" w:type="dxa"/>
            <w:gridSpan w:val="2"/>
          </w:tcPr>
          <w:p w14:paraId="387492EC" w14:textId="39DF5563" w:rsidR="00D15C1B" w:rsidRPr="00154588" w:rsidRDefault="00D15C1B" w:rsidP="008C12B4">
            <w:pPr>
              <w:jc w:val="both"/>
              <w:rPr>
                <w:bCs/>
                <w:sz w:val="20"/>
                <w:szCs w:val="20"/>
              </w:rPr>
            </w:pPr>
            <w:r w:rsidRPr="00154588">
              <w:rPr>
                <w:bCs/>
                <w:sz w:val="20"/>
                <w:szCs w:val="20"/>
              </w:rPr>
              <w:t xml:space="preserve">50. </w:t>
            </w:r>
            <w:r w:rsidRPr="00154588">
              <w:rPr>
                <w:b/>
                <w:sz w:val="20"/>
                <w:szCs w:val="20"/>
              </w:rPr>
              <w:t>„instituție-mamă din Uniune”</w:t>
            </w:r>
            <w:r w:rsidRPr="00154588">
              <w:rPr>
                <w:bCs/>
                <w:sz w:val="20"/>
                <w:szCs w:val="20"/>
              </w:rPr>
              <w:t xml:space="preserve"> înseamnă o instituție-mamă din UE astfel cum este definită la articolul 4 alineatul (1) punctul 29 din Regulamentul (UE) nr. 575/2013;</w:t>
            </w:r>
          </w:p>
        </w:tc>
        <w:tc>
          <w:tcPr>
            <w:tcW w:w="4819" w:type="dxa"/>
          </w:tcPr>
          <w:p w14:paraId="752A15AF" w14:textId="1646D71E" w:rsidR="00D15C1B" w:rsidRPr="00154588" w:rsidRDefault="0014533D" w:rsidP="008C12B4">
            <w:pPr>
              <w:jc w:val="both"/>
              <w:rPr>
                <w:bCs/>
                <w:sz w:val="20"/>
                <w:szCs w:val="20"/>
              </w:rPr>
            </w:pPr>
            <w:r w:rsidRPr="00154588">
              <w:rPr>
                <w:bCs/>
                <w:sz w:val="20"/>
                <w:szCs w:val="20"/>
              </w:rPr>
              <w:t xml:space="preserve">85) </w:t>
            </w:r>
            <w:r w:rsidRPr="00154588">
              <w:rPr>
                <w:bCs/>
                <w:i/>
                <w:sz w:val="20"/>
                <w:szCs w:val="20"/>
              </w:rPr>
              <w:t>instituție-mamă din Uniunea Europeană</w:t>
            </w:r>
            <w:r w:rsidRPr="00154588">
              <w:rPr>
                <w:bCs/>
                <w:sz w:val="20"/>
                <w:szCs w:val="20"/>
              </w:rPr>
              <w:t xml:space="preserve"> – o instituţie de credit-mamă din Uniunea Europeană, astfel cum este definită la art.3 din Legea nr.202/2017;</w:t>
            </w:r>
          </w:p>
        </w:tc>
        <w:tc>
          <w:tcPr>
            <w:tcW w:w="2552" w:type="dxa"/>
          </w:tcPr>
          <w:p w14:paraId="03832C07" w14:textId="5714B90D" w:rsidR="00D15C1B" w:rsidRPr="00154588" w:rsidRDefault="0094082B" w:rsidP="008C12B4">
            <w:pPr>
              <w:jc w:val="both"/>
              <w:rPr>
                <w:bCs/>
                <w:sz w:val="20"/>
                <w:szCs w:val="20"/>
              </w:rPr>
            </w:pPr>
            <w:r w:rsidRPr="00154588">
              <w:rPr>
                <w:bCs/>
                <w:sz w:val="20"/>
                <w:szCs w:val="20"/>
              </w:rPr>
              <w:t>Compatibil</w:t>
            </w:r>
          </w:p>
        </w:tc>
        <w:tc>
          <w:tcPr>
            <w:tcW w:w="3118" w:type="dxa"/>
          </w:tcPr>
          <w:p w14:paraId="5A3CCC94" w14:textId="49479710" w:rsidR="00D15C1B" w:rsidRPr="00154588" w:rsidRDefault="00D15C1B" w:rsidP="008C12B4">
            <w:pPr>
              <w:jc w:val="both"/>
              <w:rPr>
                <w:bCs/>
                <w:sz w:val="20"/>
                <w:szCs w:val="20"/>
              </w:rPr>
            </w:pPr>
          </w:p>
        </w:tc>
      </w:tr>
      <w:tr w:rsidR="00D15C1B" w:rsidRPr="00154588" w14:paraId="19F1D59E" w14:textId="77777777" w:rsidTr="00D15C1B">
        <w:trPr>
          <w:jc w:val="center"/>
        </w:trPr>
        <w:tc>
          <w:tcPr>
            <w:tcW w:w="4957" w:type="dxa"/>
            <w:gridSpan w:val="2"/>
          </w:tcPr>
          <w:p w14:paraId="19410C83" w14:textId="02CDB9FC" w:rsidR="00D15C1B" w:rsidRPr="00154588" w:rsidRDefault="00D15C1B" w:rsidP="008C12B4">
            <w:pPr>
              <w:jc w:val="both"/>
              <w:rPr>
                <w:bCs/>
                <w:sz w:val="20"/>
                <w:szCs w:val="20"/>
              </w:rPr>
            </w:pPr>
            <w:r w:rsidRPr="00154588">
              <w:rPr>
                <w:bCs/>
                <w:sz w:val="20"/>
                <w:szCs w:val="20"/>
              </w:rPr>
              <w:t xml:space="preserve">51. </w:t>
            </w:r>
            <w:r w:rsidRPr="00154588">
              <w:rPr>
                <w:b/>
                <w:sz w:val="20"/>
                <w:szCs w:val="20"/>
              </w:rPr>
              <w:t>„cerințe de fonduri proprii”</w:t>
            </w:r>
            <w:r w:rsidRPr="00154588">
              <w:rPr>
                <w:bCs/>
                <w:sz w:val="20"/>
                <w:szCs w:val="20"/>
              </w:rPr>
              <w:t xml:space="preserve"> înseamnă cerințele prevăzute la articolele 92-98 din Regulamentul (UE) nr. 575/2013;</w:t>
            </w:r>
          </w:p>
        </w:tc>
        <w:tc>
          <w:tcPr>
            <w:tcW w:w="4819" w:type="dxa"/>
          </w:tcPr>
          <w:p w14:paraId="125773F6" w14:textId="011CFF93" w:rsidR="00D15C1B" w:rsidRPr="00154588" w:rsidRDefault="0014533D" w:rsidP="008C12B4">
            <w:pPr>
              <w:jc w:val="both"/>
              <w:rPr>
                <w:bCs/>
                <w:sz w:val="20"/>
                <w:szCs w:val="20"/>
              </w:rPr>
            </w:pPr>
            <w:r w:rsidRPr="00154588">
              <w:rPr>
                <w:bCs/>
                <w:sz w:val="20"/>
                <w:szCs w:val="20"/>
              </w:rPr>
              <w:t xml:space="preserve">13) </w:t>
            </w:r>
            <w:r w:rsidRPr="00154588">
              <w:rPr>
                <w:bCs/>
                <w:i/>
                <w:sz w:val="20"/>
                <w:szCs w:val="20"/>
              </w:rPr>
              <w:t>cerinţe privind fondurile proprii</w:t>
            </w:r>
            <w:r w:rsidRPr="00154588">
              <w:rPr>
                <w:bCs/>
                <w:sz w:val="20"/>
                <w:szCs w:val="20"/>
              </w:rPr>
              <w:t xml:space="preserve"> – cerinţe prevăzute în reglementările Băncii Naţionale a Moldovei emise în aplicarea prevederilor art.60, 61 și 62 din Legea nr.202/2017;</w:t>
            </w:r>
          </w:p>
        </w:tc>
        <w:tc>
          <w:tcPr>
            <w:tcW w:w="2552" w:type="dxa"/>
          </w:tcPr>
          <w:p w14:paraId="1AFC4CB2" w14:textId="510BF9EB" w:rsidR="00D15C1B" w:rsidRPr="00154588" w:rsidRDefault="0094082B" w:rsidP="008C12B4">
            <w:pPr>
              <w:jc w:val="both"/>
              <w:rPr>
                <w:bCs/>
                <w:sz w:val="20"/>
                <w:szCs w:val="20"/>
              </w:rPr>
            </w:pPr>
            <w:r w:rsidRPr="00154588">
              <w:rPr>
                <w:bCs/>
                <w:sz w:val="20"/>
                <w:szCs w:val="20"/>
              </w:rPr>
              <w:t>Compatibil</w:t>
            </w:r>
          </w:p>
        </w:tc>
        <w:tc>
          <w:tcPr>
            <w:tcW w:w="3118" w:type="dxa"/>
          </w:tcPr>
          <w:p w14:paraId="5C1706C7" w14:textId="77777777" w:rsidR="00D15C1B" w:rsidRPr="00154588" w:rsidRDefault="00D15C1B" w:rsidP="008C12B4">
            <w:pPr>
              <w:jc w:val="both"/>
              <w:rPr>
                <w:bCs/>
                <w:sz w:val="20"/>
                <w:szCs w:val="20"/>
              </w:rPr>
            </w:pPr>
          </w:p>
        </w:tc>
      </w:tr>
      <w:tr w:rsidR="00D15C1B" w:rsidRPr="00154588" w14:paraId="7F1E7335" w14:textId="77777777" w:rsidTr="00D15C1B">
        <w:trPr>
          <w:jc w:val="center"/>
        </w:trPr>
        <w:tc>
          <w:tcPr>
            <w:tcW w:w="4957" w:type="dxa"/>
            <w:gridSpan w:val="2"/>
          </w:tcPr>
          <w:p w14:paraId="6D9CC52B" w14:textId="38253EC3" w:rsidR="00D15C1B" w:rsidRPr="00154588" w:rsidRDefault="00D15C1B" w:rsidP="008C12B4">
            <w:pPr>
              <w:jc w:val="both"/>
              <w:rPr>
                <w:bCs/>
                <w:sz w:val="20"/>
                <w:szCs w:val="20"/>
              </w:rPr>
            </w:pPr>
            <w:r w:rsidRPr="00154588">
              <w:rPr>
                <w:bCs/>
                <w:sz w:val="20"/>
                <w:szCs w:val="20"/>
              </w:rPr>
              <w:t xml:space="preserve">52. </w:t>
            </w:r>
            <w:r w:rsidRPr="00154588">
              <w:rPr>
                <w:b/>
                <w:sz w:val="20"/>
                <w:szCs w:val="20"/>
              </w:rPr>
              <w:t>„colegiu de supraveghere”</w:t>
            </w:r>
            <w:r w:rsidRPr="00154588">
              <w:rPr>
                <w:bCs/>
                <w:sz w:val="20"/>
                <w:szCs w:val="20"/>
              </w:rPr>
              <w:t xml:space="preserve"> înseamnă un colegiu de supraveghere instituit în conformitate cu articolul 116 din Directiva 2013/36/UE;</w:t>
            </w:r>
          </w:p>
        </w:tc>
        <w:tc>
          <w:tcPr>
            <w:tcW w:w="4819" w:type="dxa"/>
          </w:tcPr>
          <w:p w14:paraId="1B455917" w14:textId="5901E1FC" w:rsidR="00D15C1B" w:rsidRPr="00154588" w:rsidRDefault="0014533D" w:rsidP="008C12B4">
            <w:pPr>
              <w:jc w:val="both"/>
              <w:rPr>
                <w:bCs/>
                <w:sz w:val="20"/>
                <w:szCs w:val="20"/>
              </w:rPr>
            </w:pPr>
            <w:r w:rsidRPr="00154588">
              <w:rPr>
                <w:bCs/>
                <w:sz w:val="20"/>
                <w:szCs w:val="20"/>
              </w:rPr>
              <w:t xml:space="preserve">60) </w:t>
            </w:r>
            <w:r w:rsidRPr="00154588">
              <w:rPr>
                <w:bCs/>
                <w:i/>
                <w:sz w:val="20"/>
                <w:szCs w:val="20"/>
              </w:rPr>
              <w:t>colegiu de supraveghere</w:t>
            </w:r>
            <w:r w:rsidRPr="00154588">
              <w:rPr>
                <w:bCs/>
                <w:sz w:val="20"/>
                <w:szCs w:val="20"/>
              </w:rPr>
              <w:t xml:space="preserve"> – un colegiu de supraveghere instituit în conformitate cu art.112 din Legea nr. 202/2017;</w:t>
            </w:r>
          </w:p>
        </w:tc>
        <w:tc>
          <w:tcPr>
            <w:tcW w:w="2552" w:type="dxa"/>
          </w:tcPr>
          <w:p w14:paraId="5B818E97" w14:textId="537F902D" w:rsidR="00D15C1B" w:rsidRPr="00154588" w:rsidRDefault="0094082B" w:rsidP="008C12B4">
            <w:pPr>
              <w:jc w:val="both"/>
              <w:rPr>
                <w:bCs/>
                <w:sz w:val="20"/>
                <w:szCs w:val="20"/>
              </w:rPr>
            </w:pPr>
            <w:r w:rsidRPr="00154588">
              <w:rPr>
                <w:bCs/>
                <w:sz w:val="20"/>
                <w:szCs w:val="20"/>
              </w:rPr>
              <w:t>Compatibil</w:t>
            </w:r>
          </w:p>
        </w:tc>
        <w:tc>
          <w:tcPr>
            <w:tcW w:w="3118" w:type="dxa"/>
          </w:tcPr>
          <w:p w14:paraId="144811AC" w14:textId="77777777" w:rsidR="00D15C1B" w:rsidRPr="00154588" w:rsidRDefault="00D15C1B" w:rsidP="008C12B4">
            <w:pPr>
              <w:jc w:val="both"/>
              <w:rPr>
                <w:bCs/>
                <w:sz w:val="20"/>
                <w:szCs w:val="20"/>
              </w:rPr>
            </w:pPr>
          </w:p>
        </w:tc>
      </w:tr>
      <w:tr w:rsidR="00D15C1B" w:rsidRPr="00154588" w14:paraId="366E3EF3" w14:textId="77777777" w:rsidTr="00D15C1B">
        <w:trPr>
          <w:jc w:val="center"/>
        </w:trPr>
        <w:tc>
          <w:tcPr>
            <w:tcW w:w="4957" w:type="dxa"/>
            <w:gridSpan w:val="2"/>
          </w:tcPr>
          <w:p w14:paraId="4E36B1B6" w14:textId="2ABFFF12" w:rsidR="00D15C1B" w:rsidRPr="00154588" w:rsidRDefault="00D15C1B" w:rsidP="008C12B4">
            <w:pPr>
              <w:jc w:val="both"/>
              <w:rPr>
                <w:bCs/>
                <w:sz w:val="20"/>
                <w:szCs w:val="20"/>
              </w:rPr>
            </w:pPr>
            <w:r w:rsidRPr="00154588">
              <w:rPr>
                <w:bCs/>
                <w:sz w:val="20"/>
                <w:szCs w:val="20"/>
              </w:rPr>
              <w:t xml:space="preserve">53. </w:t>
            </w:r>
            <w:r w:rsidRPr="00154588">
              <w:rPr>
                <w:b/>
                <w:sz w:val="20"/>
                <w:szCs w:val="20"/>
              </w:rPr>
              <w:t>„cadrul Uniunii privind ajutoarele de stat”</w:t>
            </w:r>
            <w:r w:rsidRPr="00154588">
              <w:rPr>
                <w:bCs/>
                <w:sz w:val="20"/>
                <w:szCs w:val="20"/>
              </w:rPr>
              <w:t xml:space="preserve"> înseamnă cadrul instituit prin articolele 107, 108 și 109 din TFUE și prin reglementările și toate actele Uniunii, inclusiv orientări, comunicări și avize stabilite sau adoptate în temeiul articolului 108 alineatul (4) sau al articolului 109 din TFUE;</w:t>
            </w:r>
          </w:p>
        </w:tc>
        <w:tc>
          <w:tcPr>
            <w:tcW w:w="4819" w:type="dxa"/>
          </w:tcPr>
          <w:p w14:paraId="48866773" w14:textId="3A013591" w:rsidR="00D15C1B" w:rsidRPr="00154588" w:rsidRDefault="0014533D" w:rsidP="008C12B4">
            <w:pPr>
              <w:jc w:val="both"/>
              <w:rPr>
                <w:bCs/>
                <w:sz w:val="20"/>
                <w:szCs w:val="20"/>
              </w:rPr>
            </w:pPr>
            <w:r w:rsidRPr="00154588">
              <w:rPr>
                <w:bCs/>
                <w:sz w:val="20"/>
                <w:szCs w:val="20"/>
              </w:rPr>
              <w:t xml:space="preserve">58) </w:t>
            </w:r>
            <w:r w:rsidRPr="00154588">
              <w:rPr>
                <w:bCs/>
                <w:i/>
                <w:sz w:val="20"/>
                <w:szCs w:val="20"/>
              </w:rPr>
              <w:t>cadrul UE privind ajutorul de stat</w:t>
            </w:r>
            <w:r w:rsidRPr="00154588">
              <w:rPr>
                <w:bCs/>
                <w:sz w:val="20"/>
                <w:szCs w:val="20"/>
              </w:rPr>
              <w:t xml:space="preserve"> – cadrul legal instituit prin art.107, 108 și 109 din Tratatul privind funcționarea Uniunii Europene, regulamentele și alte acte ale Uniunii Europene, inclusive ghiduri, comunicări și înștiințări efectuate sau adoptate în temeiul art. 108 alin. (4) sau al art.109 din Tratatul privind funcționarea Uniunii Europene;</w:t>
            </w:r>
          </w:p>
        </w:tc>
        <w:tc>
          <w:tcPr>
            <w:tcW w:w="2552" w:type="dxa"/>
          </w:tcPr>
          <w:p w14:paraId="6F189235" w14:textId="5FCAE616" w:rsidR="00D15C1B" w:rsidRPr="00154588" w:rsidRDefault="0094082B" w:rsidP="008C12B4">
            <w:pPr>
              <w:jc w:val="both"/>
              <w:rPr>
                <w:bCs/>
                <w:sz w:val="20"/>
                <w:szCs w:val="20"/>
              </w:rPr>
            </w:pPr>
            <w:r w:rsidRPr="00154588">
              <w:rPr>
                <w:bCs/>
                <w:sz w:val="20"/>
                <w:szCs w:val="20"/>
              </w:rPr>
              <w:t>Compatibil</w:t>
            </w:r>
          </w:p>
        </w:tc>
        <w:tc>
          <w:tcPr>
            <w:tcW w:w="3118" w:type="dxa"/>
          </w:tcPr>
          <w:p w14:paraId="1CADF71D" w14:textId="77777777" w:rsidR="00D15C1B" w:rsidRPr="00154588" w:rsidRDefault="00D15C1B" w:rsidP="008C12B4">
            <w:pPr>
              <w:jc w:val="both"/>
              <w:rPr>
                <w:bCs/>
                <w:sz w:val="20"/>
                <w:szCs w:val="20"/>
              </w:rPr>
            </w:pPr>
          </w:p>
        </w:tc>
      </w:tr>
      <w:tr w:rsidR="00D15C1B" w:rsidRPr="00154588" w14:paraId="78611EF1" w14:textId="77777777" w:rsidTr="00D15C1B">
        <w:trPr>
          <w:jc w:val="center"/>
        </w:trPr>
        <w:tc>
          <w:tcPr>
            <w:tcW w:w="4957" w:type="dxa"/>
            <w:gridSpan w:val="2"/>
          </w:tcPr>
          <w:p w14:paraId="3E71CB04" w14:textId="4CE2113B" w:rsidR="00D15C1B" w:rsidRPr="00154588" w:rsidRDefault="00D15C1B" w:rsidP="008C12B4">
            <w:pPr>
              <w:jc w:val="both"/>
              <w:rPr>
                <w:bCs/>
                <w:sz w:val="20"/>
                <w:szCs w:val="20"/>
              </w:rPr>
            </w:pPr>
            <w:r w:rsidRPr="00154588">
              <w:rPr>
                <w:bCs/>
                <w:sz w:val="20"/>
                <w:szCs w:val="20"/>
              </w:rPr>
              <w:t xml:space="preserve">54. </w:t>
            </w:r>
            <w:r w:rsidRPr="00154588">
              <w:rPr>
                <w:b/>
                <w:sz w:val="20"/>
                <w:szCs w:val="20"/>
              </w:rPr>
              <w:t>„lichidare”</w:t>
            </w:r>
            <w:r w:rsidRPr="00154588">
              <w:rPr>
                <w:bCs/>
                <w:sz w:val="20"/>
                <w:szCs w:val="20"/>
              </w:rPr>
              <w:t xml:space="preserve"> înseamnă valorificarea activelor unei instituții sau entități menționate la articolul 1 alineatul (1) literele (b), (c) sau (d);</w:t>
            </w:r>
          </w:p>
        </w:tc>
        <w:tc>
          <w:tcPr>
            <w:tcW w:w="4819" w:type="dxa"/>
          </w:tcPr>
          <w:p w14:paraId="6D135B1D" w14:textId="277DC129" w:rsidR="00D15C1B" w:rsidRPr="00154588" w:rsidRDefault="0014533D" w:rsidP="008C12B4">
            <w:pPr>
              <w:jc w:val="both"/>
              <w:rPr>
                <w:bCs/>
                <w:sz w:val="20"/>
                <w:szCs w:val="20"/>
              </w:rPr>
            </w:pPr>
            <w:r w:rsidRPr="00154588">
              <w:rPr>
                <w:bCs/>
                <w:sz w:val="20"/>
                <w:szCs w:val="20"/>
              </w:rPr>
              <w:t xml:space="preserve">37) </w:t>
            </w:r>
            <w:r w:rsidRPr="00154588">
              <w:rPr>
                <w:bCs/>
                <w:i/>
                <w:sz w:val="20"/>
                <w:szCs w:val="20"/>
              </w:rPr>
              <w:t>lichidare</w:t>
            </w:r>
            <w:r w:rsidRPr="00154588">
              <w:rPr>
                <w:bCs/>
                <w:sz w:val="20"/>
                <w:szCs w:val="20"/>
              </w:rPr>
              <w:t xml:space="preserve"> – valorificare </w:t>
            </w:r>
            <w:r w:rsidRPr="00154588" w:rsidDel="00E01241">
              <w:rPr>
                <w:bCs/>
                <w:sz w:val="20"/>
                <w:szCs w:val="20"/>
              </w:rPr>
              <w:t xml:space="preserve">a </w:t>
            </w:r>
            <w:r w:rsidRPr="00154588">
              <w:rPr>
                <w:bCs/>
                <w:sz w:val="20"/>
                <w:szCs w:val="20"/>
              </w:rPr>
              <w:t>activelor unei instituții sau ale unei entități la care se face referire la art.1 alin.(1) lit.b), c) sau d);</w:t>
            </w:r>
          </w:p>
        </w:tc>
        <w:tc>
          <w:tcPr>
            <w:tcW w:w="2552" w:type="dxa"/>
          </w:tcPr>
          <w:p w14:paraId="55D67B9E" w14:textId="05E9CEBC" w:rsidR="00D15C1B" w:rsidRPr="00154588" w:rsidRDefault="0094082B" w:rsidP="008C12B4">
            <w:pPr>
              <w:jc w:val="both"/>
              <w:rPr>
                <w:bCs/>
                <w:sz w:val="20"/>
                <w:szCs w:val="20"/>
              </w:rPr>
            </w:pPr>
            <w:r w:rsidRPr="00154588">
              <w:rPr>
                <w:bCs/>
                <w:sz w:val="20"/>
                <w:szCs w:val="20"/>
              </w:rPr>
              <w:t>Compatibil</w:t>
            </w:r>
          </w:p>
        </w:tc>
        <w:tc>
          <w:tcPr>
            <w:tcW w:w="3118" w:type="dxa"/>
          </w:tcPr>
          <w:p w14:paraId="20513DA8" w14:textId="77777777" w:rsidR="00D15C1B" w:rsidRPr="00154588" w:rsidRDefault="00D15C1B" w:rsidP="008C12B4">
            <w:pPr>
              <w:jc w:val="both"/>
              <w:rPr>
                <w:bCs/>
                <w:sz w:val="20"/>
                <w:szCs w:val="20"/>
              </w:rPr>
            </w:pPr>
          </w:p>
        </w:tc>
      </w:tr>
      <w:tr w:rsidR="00D15C1B" w:rsidRPr="00154588" w14:paraId="27997C91" w14:textId="77777777" w:rsidTr="00D15C1B">
        <w:trPr>
          <w:jc w:val="center"/>
        </w:trPr>
        <w:tc>
          <w:tcPr>
            <w:tcW w:w="4957" w:type="dxa"/>
            <w:gridSpan w:val="2"/>
          </w:tcPr>
          <w:p w14:paraId="40ECF6DE" w14:textId="4140A880" w:rsidR="00D15C1B" w:rsidRPr="00154588" w:rsidRDefault="00D15C1B" w:rsidP="008C12B4">
            <w:pPr>
              <w:jc w:val="both"/>
              <w:rPr>
                <w:bCs/>
                <w:sz w:val="20"/>
                <w:szCs w:val="20"/>
              </w:rPr>
            </w:pPr>
            <w:r w:rsidRPr="00154588">
              <w:rPr>
                <w:bCs/>
                <w:sz w:val="20"/>
                <w:szCs w:val="20"/>
              </w:rPr>
              <w:t xml:space="preserve">55. </w:t>
            </w:r>
            <w:r w:rsidRPr="00154588">
              <w:rPr>
                <w:b/>
                <w:sz w:val="20"/>
                <w:szCs w:val="20"/>
              </w:rPr>
              <w:t>„instrument de separare a activelor”</w:t>
            </w:r>
            <w:r w:rsidRPr="00154588">
              <w:rPr>
                <w:bCs/>
                <w:sz w:val="20"/>
                <w:szCs w:val="20"/>
              </w:rPr>
              <w:t xml:space="preserve"> înseamnă mecanismul prin care o autoritate de rezoluție efectuează, în conformitate cu articolul 42, un transfer al activelor, drepturilor sau pasivelor unei instituții supuse procedurii de rezoluție către un vehicul de gestionare a activelor;</w:t>
            </w:r>
          </w:p>
        </w:tc>
        <w:tc>
          <w:tcPr>
            <w:tcW w:w="4819" w:type="dxa"/>
          </w:tcPr>
          <w:p w14:paraId="4664B716" w14:textId="502DF6DE" w:rsidR="00D15C1B" w:rsidRPr="00154588" w:rsidRDefault="0014533D" w:rsidP="008C12B4">
            <w:pPr>
              <w:jc w:val="both"/>
              <w:rPr>
                <w:bCs/>
                <w:sz w:val="20"/>
                <w:szCs w:val="20"/>
              </w:rPr>
            </w:pPr>
            <w:r w:rsidRPr="00154588">
              <w:rPr>
                <w:bCs/>
                <w:sz w:val="20"/>
                <w:szCs w:val="20"/>
              </w:rPr>
              <w:t>28</w:t>
            </w:r>
            <w:r w:rsidRPr="00154588">
              <w:rPr>
                <w:bCs/>
                <w:i/>
                <w:sz w:val="20"/>
                <w:szCs w:val="20"/>
              </w:rPr>
              <w:t>) instrument de separare a activelor</w:t>
            </w:r>
            <w:r w:rsidRPr="00154588">
              <w:rPr>
                <w:bCs/>
                <w:sz w:val="20"/>
                <w:szCs w:val="20"/>
              </w:rPr>
              <w:t xml:space="preserve"> – mecanism prin care autoritatea de rezoluţie transferă active, drepturi sau obligaţii ale unei instituții supuse rezoluţiei către un vehicul de administrare a activelor în conformitate cu art.138-150;</w:t>
            </w:r>
          </w:p>
        </w:tc>
        <w:tc>
          <w:tcPr>
            <w:tcW w:w="2552" w:type="dxa"/>
          </w:tcPr>
          <w:p w14:paraId="7E32A2FF" w14:textId="75ACB59F" w:rsidR="00D15C1B" w:rsidRPr="00154588" w:rsidRDefault="0094082B" w:rsidP="008C12B4">
            <w:pPr>
              <w:jc w:val="both"/>
              <w:rPr>
                <w:bCs/>
                <w:sz w:val="20"/>
                <w:szCs w:val="20"/>
              </w:rPr>
            </w:pPr>
            <w:r w:rsidRPr="00154588">
              <w:rPr>
                <w:bCs/>
                <w:sz w:val="20"/>
                <w:szCs w:val="20"/>
              </w:rPr>
              <w:t>Compatibil</w:t>
            </w:r>
          </w:p>
        </w:tc>
        <w:tc>
          <w:tcPr>
            <w:tcW w:w="3118" w:type="dxa"/>
          </w:tcPr>
          <w:p w14:paraId="77A40E23" w14:textId="77777777" w:rsidR="00D15C1B" w:rsidRPr="00154588" w:rsidRDefault="00D15C1B" w:rsidP="008C12B4">
            <w:pPr>
              <w:jc w:val="both"/>
              <w:rPr>
                <w:bCs/>
                <w:sz w:val="20"/>
                <w:szCs w:val="20"/>
              </w:rPr>
            </w:pPr>
          </w:p>
        </w:tc>
      </w:tr>
      <w:tr w:rsidR="00D15C1B" w:rsidRPr="00154588" w14:paraId="5B8A6238" w14:textId="77777777" w:rsidTr="00D15C1B">
        <w:trPr>
          <w:jc w:val="center"/>
        </w:trPr>
        <w:tc>
          <w:tcPr>
            <w:tcW w:w="4957" w:type="dxa"/>
            <w:gridSpan w:val="2"/>
          </w:tcPr>
          <w:p w14:paraId="464C8A56" w14:textId="59EBD464" w:rsidR="00D15C1B" w:rsidRPr="00154588" w:rsidRDefault="00D15C1B" w:rsidP="008C12B4">
            <w:pPr>
              <w:jc w:val="both"/>
              <w:rPr>
                <w:bCs/>
                <w:sz w:val="20"/>
                <w:szCs w:val="20"/>
              </w:rPr>
            </w:pPr>
            <w:r w:rsidRPr="00154588">
              <w:rPr>
                <w:bCs/>
                <w:sz w:val="20"/>
                <w:szCs w:val="20"/>
              </w:rPr>
              <w:lastRenderedPageBreak/>
              <w:t xml:space="preserve">56. </w:t>
            </w:r>
            <w:r w:rsidRPr="00154588">
              <w:rPr>
                <w:b/>
                <w:sz w:val="20"/>
                <w:szCs w:val="20"/>
              </w:rPr>
              <w:t>„vehicul de gestionare a activelor”</w:t>
            </w:r>
            <w:r w:rsidRPr="00154588">
              <w:rPr>
                <w:bCs/>
                <w:sz w:val="20"/>
                <w:szCs w:val="20"/>
              </w:rPr>
              <w:t xml:space="preserve"> înseamnă o persoană juridică ce îndeplinește cerințele prevăzute la articolul 42 alineatul (2);</w:t>
            </w:r>
          </w:p>
        </w:tc>
        <w:tc>
          <w:tcPr>
            <w:tcW w:w="4819" w:type="dxa"/>
          </w:tcPr>
          <w:p w14:paraId="6F9198E0" w14:textId="51B9CB6F" w:rsidR="00D15C1B" w:rsidRPr="00154588" w:rsidRDefault="0014533D" w:rsidP="008C12B4">
            <w:pPr>
              <w:jc w:val="both"/>
              <w:rPr>
                <w:bCs/>
                <w:sz w:val="20"/>
                <w:szCs w:val="20"/>
              </w:rPr>
            </w:pPr>
            <w:r w:rsidRPr="00154588">
              <w:rPr>
                <w:bCs/>
                <w:sz w:val="20"/>
                <w:szCs w:val="20"/>
              </w:rPr>
              <w:t xml:space="preserve">52) </w:t>
            </w:r>
            <w:r w:rsidRPr="00154588">
              <w:rPr>
                <w:bCs/>
                <w:i/>
                <w:sz w:val="20"/>
                <w:szCs w:val="20"/>
              </w:rPr>
              <w:t>vehicul de administrare a activelor</w:t>
            </w:r>
            <w:r w:rsidRPr="00154588">
              <w:rPr>
                <w:bCs/>
                <w:sz w:val="20"/>
                <w:szCs w:val="20"/>
              </w:rPr>
              <w:t xml:space="preserve">  persoană juridică care îndeplineşte cerinţele prevăzute la 139;</w:t>
            </w:r>
          </w:p>
        </w:tc>
        <w:tc>
          <w:tcPr>
            <w:tcW w:w="2552" w:type="dxa"/>
          </w:tcPr>
          <w:p w14:paraId="61FF7CC7" w14:textId="5CCF9F8D" w:rsidR="00D15C1B" w:rsidRPr="00154588" w:rsidRDefault="0094082B" w:rsidP="008C12B4">
            <w:pPr>
              <w:jc w:val="both"/>
              <w:rPr>
                <w:bCs/>
                <w:sz w:val="20"/>
                <w:szCs w:val="20"/>
              </w:rPr>
            </w:pPr>
            <w:r w:rsidRPr="00154588">
              <w:rPr>
                <w:bCs/>
                <w:sz w:val="20"/>
                <w:szCs w:val="20"/>
              </w:rPr>
              <w:t>Compatibil</w:t>
            </w:r>
          </w:p>
        </w:tc>
        <w:tc>
          <w:tcPr>
            <w:tcW w:w="3118" w:type="dxa"/>
          </w:tcPr>
          <w:p w14:paraId="2162CEFD" w14:textId="77777777" w:rsidR="00D15C1B" w:rsidRPr="00154588" w:rsidRDefault="00D15C1B" w:rsidP="008C12B4">
            <w:pPr>
              <w:jc w:val="both"/>
              <w:rPr>
                <w:bCs/>
                <w:sz w:val="20"/>
                <w:szCs w:val="20"/>
              </w:rPr>
            </w:pPr>
          </w:p>
        </w:tc>
      </w:tr>
      <w:tr w:rsidR="00D15C1B" w:rsidRPr="00154588" w14:paraId="194621A8" w14:textId="77777777" w:rsidTr="00D15C1B">
        <w:trPr>
          <w:jc w:val="center"/>
        </w:trPr>
        <w:tc>
          <w:tcPr>
            <w:tcW w:w="4957" w:type="dxa"/>
            <w:gridSpan w:val="2"/>
          </w:tcPr>
          <w:p w14:paraId="66E6F21B" w14:textId="03A48820" w:rsidR="00D15C1B" w:rsidRPr="00154588" w:rsidRDefault="00D15C1B" w:rsidP="008C12B4">
            <w:pPr>
              <w:jc w:val="both"/>
              <w:rPr>
                <w:bCs/>
                <w:sz w:val="20"/>
                <w:szCs w:val="20"/>
              </w:rPr>
            </w:pPr>
            <w:r w:rsidRPr="00154588">
              <w:rPr>
                <w:bCs/>
                <w:sz w:val="20"/>
                <w:szCs w:val="20"/>
              </w:rPr>
              <w:t>57.</w:t>
            </w:r>
            <w:r w:rsidRPr="00154588">
              <w:rPr>
                <w:b/>
                <w:sz w:val="20"/>
                <w:szCs w:val="20"/>
              </w:rPr>
              <w:t xml:space="preserve"> „instrument de recapitalizare internă”</w:t>
            </w:r>
            <w:r w:rsidRPr="00154588">
              <w:rPr>
                <w:bCs/>
                <w:sz w:val="20"/>
                <w:szCs w:val="20"/>
              </w:rPr>
              <w:t xml:space="preserve"> înseamnă mecanismul prin care o autoritate de rezoluție exercită, în conformitate cu articolul 43, competențele de reducere a valorii contabile și conversie referitoare la pasivele unei instituții aflate în rezoluție;</w:t>
            </w:r>
          </w:p>
        </w:tc>
        <w:tc>
          <w:tcPr>
            <w:tcW w:w="4819" w:type="dxa"/>
          </w:tcPr>
          <w:p w14:paraId="4FEB1AF2" w14:textId="4E9C189A" w:rsidR="00D15C1B" w:rsidRPr="00154588" w:rsidRDefault="0014533D" w:rsidP="008C12B4">
            <w:pPr>
              <w:jc w:val="both"/>
              <w:rPr>
                <w:bCs/>
                <w:sz w:val="20"/>
                <w:szCs w:val="20"/>
              </w:rPr>
            </w:pPr>
            <w:r w:rsidRPr="00154588">
              <w:rPr>
                <w:bCs/>
                <w:sz w:val="20"/>
                <w:szCs w:val="20"/>
              </w:rPr>
              <w:t xml:space="preserve">27) </w:t>
            </w:r>
            <w:r w:rsidRPr="00154588">
              <w:rPr>
                <w:bCs/>
                <w:i/>
                <w:iCs/>
                <w:sz w:val="20"/>
                <w:szCs w:val="20"/>
              </w:rPr>
              <w:t>instrument de recapitalizare internă</w:t>
            </w:r>
            <w:r w:rsidRPr="00154588">
              <w:rPr>
                <w:bCs/>
                <w:sz w:val="20"/>
                <w:szCs w:val="20"/>
              </w:rPr>
              <w:t xml:space="preserve"> – mecanism prin care autoritatea de rezoluţie exercită competenţele de reducere a valorii sau de conversie a datoriilor unei instituții supuse rezoluţiei în conformitate cu art.151-153;</w:t>
            </w:r>
          </w:p>
        </w:tc>
        <w:tc>
          <w:tcPr>
            <w:tcW w:w="2552" w:type="dxa"/>
          </w:tcPr>
          <w:p w14:paraId="7E88CBBD" w14:textId="7DC07EDB" w:rsidR="00D15C1B" w:rsidRPr="00154588" w:rsidRDefault="0094082B" w:rsidP="008C12B4">
            <w:pPr>
              <w:jc w:val="both"/>
              <w:rPr>
                <w:bCs/>
                <w:sz w:val="20"/>
                <w:szCs w:val="20"/>
              </w:rPr>
            </w:pPr>
            <w:r w:rsidRPr="00154588">
              <w:rPr>
                <w:bCs/>
                <w:sz w:val="20"/>
                <w:szCs w:val="20"/>
              </w:rPr>
              <w:t>Compatibil</w:t>
            </w:r>
          </w:p>
        </w:tc>
        <w:tc>
          <w:tcPr>
            <w:tcW w:w="3118" w:type="dxa"/>
          </w:tcPr>
          <w:p w14:paraId="60FD0A25" w14:textId="77777777" w:rsidR="00D15C1B" w:rsidRPr="00154588" w:rsidRDefault="00D15C1B" w:rsidP="008C12B4">
            <w:pPr>
              <w:jc w:val="both"/>
              <w:rPr>
                <w:bCs/>
                <w:sz w:val="20"/>
                <w:szCs w:val="20"/>
              </w:rPr>
            </w:pPr>
          </w:p>
        </w:tc>
      </w:tr>
      <w:tr w:rsidR="00D15C1B" w:rsidRPr="00154588" w14:paraId="2CF395DA" w14:textId="77777777" w:rsidTr="00D15C1B">
        <w:trPr>
          <w:jc w:val="center"/>
        </w:trPr>
        <w:tc>
          <w:tcPr>
            <w:tcW w:w="4957" w:type="dxa"/>
            <w:gridSpan w:val="2"/>
          </w:tcPr>
          <w:p w14:paraId="3285F808" w14:textId="08747B32" w:rsidR="00D15C1B" w:rsidRPr="00154588" w:rsidRDefault="00D15C1B" w:rsidP="008C12B4">
            <w:pPr>
              <w:jc w:val="both"/>
              <w:rPr>
                <w:bCs/>
                <w:sz w:val="20"/>
                <w:szCs w:val="20"/>
              </w:rPr>
            </w:pPr>
            <w:r w:rsidRPr="00154588">
              <w:rPr>
                <w:bCs/>
                <w:sz w:val="20"/>
                <w:szCs w:val="20"/>
              </w:rPr>
              <w:t xml:space="preserve">58. </w:t>
            </w:r>
            <w:r w:rsidRPr="00154588">
              <w:rPr>
                <w:b/>
                <w:sz w:val="20"/>
                <w:szCs w:val="20"/>
              </w:rPr>
              <w:t>„instrumentul de vânzare a activității”</w:t>
            </w:r>
            <w:r w:rsidRPr="00154588">
              <w:rPr>
                <w:bCs/>
                <w:sz w:val="20"/>
                <w:szCs w:val="20"/>
              </w:rPr>
              <w:t xml:space="preserve"> înseamnă mecanismul prin care o autoritate de rezoluție efectuează, în conformitate cu articolul 38, un transfer al acțiunilor sau al altor instrumente de proprietate emise de o instituție aflată în rezoluție sau al activelor, drepturilor sau pasivelor unei instituții aflate în rezoluție, către un cumpărător care nu este o instituție-punte;</w:t>
            </w:r>
          </w:p>
        </w:tc>
        <w:tc>
          <w:tcPr>
            <w:tcW w:w="4819" w:type="dxa"/>
          </w:tcPr>
          <w:p w14:paraId="7DB8A5AA" w14:textId="77777777" w:rsidR="00C608A2" w:rsidRPr="00154588" w:rsidRDefault="00C608A2" w:rsidP="008C12B4">
            <w:pPr>
              <w:jc w:val="both"/>
              <w:rPr>
                <w:bCs/>
                <w:sz w:val="20"/>
                <w:szCs w:val="20"/>
              </w:rPr>
            </w:pPr>
            <w:r w:rsidRPr="00154588">
              <w:rPr>
                <w:bCs/>
                <w:sz w:val="20"/>
                <w:szCs w:val="20"/>
              </w:rPr>
              <w:t xml:space="preserve">29) </w:t>
            </w:r>
            <w:r w:rsidRPr="00154588">
              <w:rPr>
                <w:bCs/>
                <w:i/>
                <w:sz w:val="20"/>
                <w:szCs w:val="20"/>
              </w:rPr>
              <w:t>instrument de vînzare a afacerii</w:t>
            </w:r>
            <w:r w:rsidRPr="00154588">
              <w:rPr>
                <w:bCs/>
                <w:sz w:val="20"/>
                <w:szCs w:val="20"/>
              </w:rPr>
              <w:t xml:space="preserve"> – mecanism prin care autoritatea de rezoluţie transferă acţiuni sau alte instrumente de proprietate, emise de o instituție supusă rezoluţiei, sau active, drepturi sau obligaţii ale unei instituții supuse rezoluţiei către un cumpărător care nu este o instituție-punte, conform art.94-109;</w:t>
            </w:r>
          </w:p>
          <w:p w14:paraId="20D4DF3E" w14:textId="77777777" w:rsidR="00D15C1B" w:rsidRPr="00154588" w:rsidRDefault="00D15C1B" w:rsidP="008C12B4">
            <w:pPr>
              <w:jc w:val="both"/>
              <w:rPr>
                <w:bCs/>
                <w:sz w:val="20"/>
                <w:szCs w:val="20"/>
              </w:rPr>
            </w:pPr>
          </w:p>
        </w:tc>
        <w:tc>
          <w:tcPr>
            <w:tcW w:w="2552" w:type="dxa"/>
          </w:tcPr>
          <w:p w14:paraId="07674475" w14:textId="2428D824" w:rsidR="00D15C1B" w:rsidRPr="00154588" w:rsidRDefault="0094082B" w:rsidP="008C12B4">
            <w:pPr>
              <w:jc w:val="both"/>
              <w:rPr>
                <w:bCs/>
                <w:sz w:val="20"/>
                <w:szCs w:val="20"/>
              </w:rPr>
            </w:pPr>
            <w:r w:rsidRPr="00154588">
              <w:rPr>
                <w:bCs/>
                <w:sz w:val="20"/>
                <w:szCs w:val="20"/>
              </w:rPr>
              <w:t>Compatibil</w:t>
            </w:r>
          </w:p>
        </w:tc>
        <w:tc>
          <w:tcPr>
            <w:tcW w:w="3118" w:type="dxa"/>
          </w:tcPr>
          <w:p w14:paraId="1FBA033D" w14:textId="77777777" w:rsidR="00D15C1B" w:rsidRPr="00154588" w:rsidRDefault="00D15C1B" w:rsidP="008C12B4">
            <w:pPr>
              <w:jc w:val="both"/>
              <w:rPr>
                <w:bCs/>
                <w:sz w:val="20"/>
                <w:szCs w:val="20"/>
              </w:rPr>
            </w:pPr>
          </w:p>
        </w:tc>
      </w:tr>
      <w:tr w:rsidR="00D15C1B" w:rsidRPr="00154588" w14:paraId="17CA829E" w14:textId="77777777" w:rsidTr="00D15C1B">
        <w:trPr>
          <w:jc w:val="center"/>
        </w:trPr>
        <w:tc>
          <w:tcPr>
            <w:tcW w:w="4957" w:type="dxa"/>
            <w:gridSpan w:val="2"/>
          </w:tcPr>
          <w:p w14:paraId="17C8879E" w14:textId="40FD88F6" w:rsidR="00D15C1B" w:rsidRPr="00154588" w:rsidRDefault="00D15C1B" w:rsidP="008C12B4">
            <w:pPr>
              <w:jc w:val="both"/>
              <w:rPr>
                <w:bCs/>
                <w:sz w:val="20"/>
                <w:szCs w:val="20"/>
              </w:rPr>
            </w:pPr>
            <w:r w:rsidRPr="00154588">
              <w:rPr>
                <w:bCs/>
                <w:sz w:val="20"/>
                <w:szCs w:val="20"/>
              </w:rPr>
              <w:t xml:space="preserve">59. </w:t>
            </w:r>
            <w:r w:rsidRPr="00154588">
              <w:rPr>
                <w:b/>
                <w:sz w:val="20"/>
                <w:szCs w:val="20"/>
              </w:rPr>
              <w:t>„instituție punte”</w:t>
            </w:r>
            <w:r w:rsidRPr="00154588">
              <w:rPr>
                <w:bCs/>
                <w:sz w:val="20"/>
                <w:szCs w:val="20"/>
              </w:rPr>
              <w:t xml:space="preserve"> înseamnă o persoană juridică ce îndeplinește cerințele prevăzute la articolul 40 alineatul (2);</w:t>
            </w:r>
          </w:p>
        </w:tc>
        <w:tc>
          <w:tcPr>
            <w:tcW w:w="4819" w:type="dxa"/>
          </w:tcPr>
          <w:p w14:paraId="4EFE9F55" w14:textId="0A5CBCE3" w:rsidR="00D15C1B" w:rsidRPr="00154588" w:rsidRDefault="00C608A2" w:rsidP="008C12B4">
            <w:pPr>
              <w:jc w:val="both"/>
              <w:rPr>
                <w:bCs/>
                <w:sz w:val="20"/>
                <w:szCs w:val="20"/>
              </w:rPr>
            </w:pPr>
            <w:r w:rsidRPr="00154588">
              <w:rPr>
                <w:bCs/>
                <w:sz w:val="20"/>
                <w:szCs w:val="20"/>
              </w:rPr>
              <w:t xml:space="preserve">11) </w:t>
            </w:r>
            <w:r w:rsidRPr="00154588">
              <w:rPr>
                <w:bCs/>
                <w:i/>
                <w:sz w:val="20"/>
                <w:szCs w:val="20"/>
              </w:rPr>
              <w:t>instituție-punte</w:t>
            </w:r>
            <w:r w:rsidRPr="00154588">
              <w:rPr>
                <w:bCs/>
                <w:sz w:val="20"/>
                <w:szCs w:val="20"/>
              </w:rPr>
              <w:t xml:space="preserve"> – persoană juridică ce îndeplineşte cerinţele prevăzute la art.111;</w:t>
            </w:r>
          </w:p>
        </w:tc>
        <w:tc>
          <w:tcPr>
            <w:tcW w:w="2552" w:type="dxa"/>
          </w:tcPr>
          <w:p w14:paraId="607C023C" w14:textId="53CB8963" w:rsidR="00D15C1B" w:rsidRPr="00154588" w:rsidRDefault="0094082B" w:rsidP="008C12B4">
            <w:pPr>
              <w:jc w:val="both"/>
              <w:rPr>
                <w:bCs/>
                <w:sz w:val="20"/>
                <w:szCs w:val="20"/>
              </w:rPr>
            </w:pPr>
            <w:r w:rsidRPr="00154588">
              <w:rPr>
                <w:bCs/>
                <w:sz w:val="20"/>
                <w:szCs w:val="20"/>
              </w:rPr>
              <w:t>Compatibil</w:t>
            </w:r>
          </w:p>
        </w:tc>
        <w:tc>
          <w:tcPr>
            <w:tcW w:w="3118" w:type="dxa"/>
          </w:tcPr>
          <w:p w14:paraId="106EA39F" w14:textId="77777777" w:rsidR="00D15C1B" w:rsidRPr="00154588" w:rsidRDefault="00D15C1B" w:rsidP="008C12B4">
            <w:pPr>
              <w:jc w:val="both"/>
              <w:rPr>
                <w:bCs/>
                <w:sz w:val="20"/>
                <w:szCs w:val="20"/>
              </w:rPr>
            </w:pPr>
          </w:p>
        </w:tc>
      </w:tr>
      <w:tr w:rsidR="00D15C1B" w:rsidRPr="00154588" w14:paraId="1DCE7E7F" w14:textId="77777777" w:rsidTr="00D15C1B">
        <w:trPr>
          <w:trHeight w:val="2175"/>
          <w:jc w:val="center"/>
        </w:trPr>
        <w:tc>
          <w:tcPr>
            <w:tcW w:w="4957" w:type="dxa"/>
            <w:gridSpan w:val="2"/>
          </w:tcPr>
          <w:p w14:paraId="4F019C86" w14:textId="68216454" w:rsidR="00D15C1B" w:rsidRPr="00154588" w:rsidRDefault="00D15C1B" w:rsidP="008C12B4">
            <w:pPr>
              <w:jc w:val="both"/>
              <w:rPr>
                <w:bCs/>
                <w:sz w:val="20"/>
                <w:szCs w:val="20"/>
              </w:rPr>
            </w:pPr>
            <w:r w:rsidRPr="00154588">
              <w:rPr>
                <w:bCs/>
                <w:sz w:val="20"/>
                <w:szCs w:val="20"/>
              </w:rPr>
              <w:t xml:space="preserve">60. </w:t>
            </w:r>
            <w:r w:rsidRPr="00154588">
              <w:rPr>
                <w:b/>
                <w:sz w:val="20"/>
                <w:szCs w:val="20"/>
              </w:rPr>
              <w:t>„instrumentul instituției-punte”</w:t>
            </w:r>
            <w:r w:rsidRPr="00154588">
              <w:rPr>
                <w:bCs/>
                <w:sz w:val="20"/>
                <w:szCs w:val="20"/>
              </w:rPr>
              <w:t xml:space="preserve"> înseamnă mecanismul de transfer către o instituție-punte, în conformitate cu articolul 40, al acțiunilor ori al altor instrumente de proprietate care au fost emise de o instituție aflată în rezoluție sau al activelor, drepturilor sau pasivelor unei instituții aflate în rezoluție;</w:t>
            </w:r>
          </w:p>
        </w:tc>
        <w:tc>
          <w:tcPr>
            <w:tcW w:w="4819" w:type="dxa"/>
          </w:tcPr>
          <w:p w14:paraId="3EB5F869" w14:textId="77777777" w:rsidR="00C608A2" w:rsidRPr="00154588" w:rsidRDefault="00C608A2" w:rsidP="008C12B4">
            <w:pPr>
              <w:jc w:val="both"/>
              <w:rPr>
                <w:bCs/>
                <w:sz w:val="20"/>
                <w:szCs w:val="20"/>
              </w:rPr>
            </w:pPr>
            <w:r w:rsidRPr="00154588">
              <w:rPr>
                <w:bCs/>
                <w:sz w:val="20"/>
                <w:szCs w:val="20"/>
              </w:rPr>
              <w:t xml:space="preserve">35) </w:t>
            </w:r>
            <w:r w:rsidRPr="00154588">
              <w:rPr>
                <w:bCs/>
                <w:i/>
                <w:sz w:val="20"/>
                <w:szCs w:val="20"/>
              </w:rPr>
              <w:t>instrumentul instituției-punte</w:t>
            </w:r>
            <w:r w:rsidRPr="00154588">
              <w:rPr>
                <w:bCs/>
                <w:sz w:val="20"/>
                <w:szCs w:val="20"/>
              </w:rPr>
              <w:t xml:space="preserve"> – mecanismul prin care autoritatea de rezoluţie transferă acţiuni sau alte instrumente de proprietate, emise de o instituție supusă rezoluţiei, sau active, drepturi ori obligaţii ale unei instituții supuse rezoluţiei către o instituție-punte, conform art.110-137;</w:t>
            </w:r>
          </w:p>
          <w:p w14:paraId="749BA057" w14:textId="77777777" w:rsidR="00D15C1B" w:rsidRPr="00154588" w:rsidRDefault="00D15C1B" w:rsidP="008C12B4">
            <w:pPr>
              <w:jc w:val="both"/>
              <w:rPr>
                <w:bCs/>
                <w:sz w:val="20"/>
                <w:szCs w:val="20"/>
              </w:rPr>
            </w:pPr>
          </w:p>
        </w:tc>
        <w:tc>
          <w:tcPr>
            <w:tcW w:w="2552" w:type="dxa"/>
          </w:tcPr>
          <w:p w14:paraId="23C661D8" w14:textId="4DF8907A" w:rsidR="00D15C1B" w:rsidRPr="00154588" w:rsidRDefault="0094082B" w:rsidP="008C12B4">
            <w:pPr>
              <w:jc w:val="both"/>
              <w:rPr>
                <w:bCs/>
                <w:sz w:val="20"/>
                <w:szCs w:val="20"/>
              </w:rPr>
            </w:pPr>
            <w:r w:rsidRPr="00154588">
              <w:rPr>
                <w:bCs/>
                <w:sz w:val="20"/>
                <w:szCs w:val="20"/>
              </w:rPr>
              <w:t>Compatibil</w:t>
            </w:r>
          </w:p>
        </w:tc>
        <w:tc>
          <w:tcPr>
            <w:tcW w:w="3118" w:type="dxa"/>
          </w:tcPr>
          <w:p w14:paraId="0CA45611" w14:textId="77777777" w:rsidR="00D15C1B" w:rsidRPr="00154588" w:rsidRDefault="00D15C1B" w:rsidP="008C12B4">
            <w:pPr>
              <w:jc w:val="both"/>
              <w:rPr>
                <w:bCs/>
                <w:sz w:val="20"/>
                <w:szCs w:val="20"/>
              </w:rPr>
            </w:pPr>
          </w:p>
        </w:tc>
      </w:tr>
      <w:tr w:rsidR="00D15C1B" w:rsidRPr="00154588" w14:paraId="5221C6EF" w14:textId="77777777" w:rsidTr="00D15C1B">
        <w:trPr>
          <w:trHeight w:val="2220"/>
          <w:jc w:val="center"/>
        </w:trPr>
        <w:tc>
          <w:tcPr>
            <w:tcW w:w="4957" w:type="dxa"/>
            <w:gridSpan w:val="2"/>
          </w:tcPr>
          <w:p w14:paraId="4D8184D2" w14:textId="6EC35B35" w:rsidR="00D15C1B" w:rsidRPr="00154588" w:rsidRDefault="00D15C1B" w:rsidP="008C12B4">
            <w:pPr>
              <w:jc w:val="both"/>
              <w:rPr>
                <w:bCs/>
                <w:sz w:val="20"/>
                <w:szCs w:val="20"/>
              </w:rPr>
            </w:pPr>
            <w:r w:rsidRPr="00154588">
              <w:rPr>
                <w:bCs/>
                <w:sz w:val="20"/>
                <w:szCs w:val="20"/>
              </w:rPr>
              <w:t xml:space="preserve">61. </w:t>
            </w:r>
            <w:r w:rsidRPr="00154588">
              <w:rPr>
                <w:b/>
                <w:sz w:val="20"/>
                <w:szCs w:val="20"/>
              </w:rPr>
              <w:t>„instrumente de proprietate”</w:t>
            </w:r>
            <w:r w:rsidRPr="00154588">
              <w:rPr>
                <w:bCs/>
                <w:sz w:val="20"/>
                <w:szCs w:val="20"/>
              </w:rPr>
              <w:t xml:space="preserve"> înseamnă acțiuni, alte instrumente care conferă dreptul de proprietate, instrumente care dau dreptul de a achiziționa acțiuni sau alte instrumente de proprietate sau care pot fi convertite în acestea și instrumente reprezentând participații în acțiuni sau în alte instrumente de proprietate;</w:t>
            </w:r>
          </w:p>
          <w:p w14:paraId="15D8FFE9" w14:textId="56B534C0" w:rsidR="00D15C1B" w:rsidRPr="00154588" w:rsidRDefault="00D15C1B" w:rsidP="008C12B4">
            <w:pPr>
              <w:jc w:val="both"/>
              <w:rPr>
                <w:bCs/>
                <w:sz w:val="20"/>
                <w:szCs w:val="20"/>
              </w:rPr>
            </w:pPr>
          </w:p>
        </w:tc>
        <w:tc>
          <w:tcPr>
            <w:tcW w:w="4819" w:type="dxa"/>
          </w:tcPr>
          <w:p w14:paraId="2D23E984" w14:textId="178A87A0" w:rsidR="00D15C1B" w:rsidRPr="00154588" w:rsidRDefault="00C608A2" w:rsidP="008C12B4">
            <w:pPr>
              <w:jc w:val="both"/>
              <w:rPr>
                <w:bCs/>
                <w:sz w:val="20"/>
                <w:szCs w:val="20"/>
              </w:rPr>
            </w:pPr>
            <w:r w:rsidRPr="00154588">
              <w:rPr>
                <w:bCs/>
                <w:sz w:val="20"/>
                <w:szCs w:val="20"/>
              </w:rPr>
              <w:t xml:space="preserve">34) </w:t>
            </w:r>
            <w:r w:rsidRPr="00154588">
              <w:rPr>
                <w:bCs/>
                <w:i/>
                <w:sz w:val="20"/>
                <w:szCs w:val="20"/>
              </w:rPr>
              <w:t>instrumente de proprietate</w:t>
            </w:r>
            <w:r w:rsidRPr="00154588">
              <w:rPr>
                <w:bCs/>
                <w:sz w:val="20"/>
                <w:szCs w:val="20"/>
              </w:rPr>
              <w:t xml:space="preserve"> – acţiuni şi alte instrumente de capital care conferă drept de proprietate, instrumente care sînt convertibile în sau dau dreptul de a achiziţiona acţiuni sau alte instrumente de capital şi instrumente reprezentînd interese în acţiuni sau în alte instrumente de capital care conferă drepturi de proprietate;</w:t>
            </w:r>
          </w:p>
        </w:tc>
        <w:tc>
          <w:tcPr>
            <w:tcW w:w="2552" w:type="dxa"/>
          </w:tcPr>
          <w:p w14:paraId="17B87BB7" w14:textId="4262787A" w:rsidR="00D15C1B" w:rsidRPr="00154588" w:rsidRDefault="0094082B" w:rsidP="008C12B4">
            <w:pPr>
              <w:jc w:val="both"/>
              <w:rPr>
                <w:bCs/>
                <w:sz w:val="20"/>
                <w:szCs w:val="20"/>
              </w:rPr>
            </w:pPr>
            <w:r w:rsidRPr="00154588">
              <w:rPr>
                <w:bCs/>
                <w:sz w:val="20"/>
                <w:szCs w:val="20"/>
              </w:rPr>
              <w:t>Compatibil</w:t>
            </w:r>
          </w:p>
        </w:tc>
        <w:tc>
          <w:tcPr>
            <w:tcW w:w="3118" w:type="dxa"/>
          </w:tcPr>
          <w:p w14:paraId="1B6EE30A" w14:textId="77777777" w:rsidR="00D15C1B" w:rsidRPr="00154588" w:rsidRDefault="00D15C1B" w:rsidP="008C12B4">
            <w:pPr>
              <w:jc w:val="both"/>
              <w:rPr>
                <w:bCs/>
                <w:sz w:val="20"/>
                <w:szCs w:val="20"/>
              </w:rPr>
            </w:pPr>
          </w:p>
        </w:tc>
      </w:tr>
      <w:tr w:rsidR="00D15C1B" w:rsidRPr="00154588" w14:paraId="731AD910" w14:textId="77777777" w:rsidTr="00D15C1B">
        <w:trPr>
          <w:trHeight w:val="1065"/>
          <w:jc w:val="center"/>
        </w:trPr>
        <w:tc>
          <w:tcPr>
            <w:tcW w:w="4957" w:type="dxa"/>
            <w:gridSpan w:val="2"/>
          </w:tcPr>
          <w:p w14:paraId="63F12505" w14:textId="3B1575B6" w:rsidR="00D15C1B" w:rsidRPr="00154588" w:rsidRDefault="00D15C1B" w:rsidP="008C12B4">
            <w:pPr>
              <w:jc w:val="both"/>
              <w:rPr>
                <w:bCs/>
                <w:sz w:val="20"/>
                <w:szCs w:val="20"/>
              </w:rPr>
            </w:pPr>
            <w:r w:rsidRPr="00154588">
              <w:rPr>
                <w:bCs/>
                <w:sz w:val="20"/>
                <w:szCs w:val="20"/>
              </w:rPr>
              <w:t xml:space="preserve">62. </w:t>
            </w:r>
            <w:r w:rsidRPr="00154588">
              <w:rPr>
                <w:b/>
                <w:sz w:val="20"/>
                <w:szCs w:val="20"/>
              </w:rPr>
              <w:t>„acționari”</w:t>
            </w:r>
            <w:r w:rsidRPr="00154588">
              <w:rPr>
                <w:bCs/>
                <w:sz w:val="20"/>
                <w:szCs w:val="20"/>
              </w:rPr>
              <w:t xml:space="preserve"> înseamnă acționari sau deținători ai altor instrumente de proprietate;</w:t>
            </w:r>
          </w:p>
          <w:p w14:paraId="75C75C3C" w14:textId="780FB870" w:rsidR="00D15C1B" w:rsidRPr="00154588" w:rsidRDefault="00D15C1B" w:rsidP="008C12B4">
            <w:pPr>
              <w:jc w:val="both"/>
              <w:rPr>
                <w:bCs/>
                <w:sz w:val="20"/>
                <w:szCs w:val="20"/>
              </w:rPr>
            </w:pPr>
          </w:p>
        </w:tc>
        <w:tc>
          <w:tcPr>
            <w:tcW w:w="4819" w:type="dxa"/>
          </w:tcPr>
          <w:p w14:paraId="3EE81307" w14:textId="77777777" w:rsidR="00C608A2" w:rsidRPr="00154588" w:rsidRDefault="00C608A2" w:rsidP="008C12B4">
            <w:pPr>
              <w:jc w:val="both"/>
              <w:rPr>
                <w:bCs/>
                <w:sz w:val="20"/>
                <w:szCs w:val="20"/>
              </w:rPr>
            </w:pPr>
            <w:r w:rsidRPr="00154588">
              <w:rPr>
                <w:bCs/>
                <w:sz w:val="20"/>
                <w:szCs w:val="20"/>
              </w:rPr>
              <w:t xml:space="preserve">3) </w:t>
            </w:r>
            <w:r w:rsidRPr="00154588">
              <w:rPr>
                <w:bCs/>
                <w:i/>
                <w:sz w:val="20"/>
                <w:szCs w:val="20"/>
              </w:rPr>
              <w:t>acţionar</w:t>
            </w:r>
            <w:r w:rsidRPr="00154588">
              <w:rPr>
                <w:bCs/>
                <w:sz w:val="20"/>
                <w:szCs w:val="20"/>
              </w:rPr>
              <w:t xml:space="preserve"> – deţinător de acţiuni sau de alte instrumente de proprietate;</w:t>
            </w:r>
          </w:p>
          <w:p w14:paraId="00E9A27E" w14:textId="77777777" w:rsidR="00D15C1B" w:rsidRPr="00154588" w:rsidRDefault="00D15C1B" w:rsidP="008C12B4">
            <w:pPr>
              <w:jc w:val="both"/>
              <w:rPr>
                <w:bCs/>
                <w:sz w:val="20"/>
                <w:szCs w:val="20"/>
              </w:rPr>
            </w:pPr>
          </w:p>
        </w:tc>
        <w:tc>
          <w:tcPr>
            <w:tcW w:w="2552" w:type="dxa"/>
          </w:tcPr>
          <w:p w14:paraId="3A1EE03F" w14:textId="56B4AE2B" w:rsidR="00D15C1B" w:rsidRPr="00154588" w:rsidRDefault="0094082B" w:rsidP="008C12B4">
            <w:pPr>
              <w:jc w:val="both"/>
              <w:rPr>
                <w:bCs/>
                <w:sz w:val="20"/>
                <w:szCs w:val="20"/>
              </w:rPr>
            </w:pPr>
            <w:r w:rsidRPr="00154588">
              <w:rPr>
                <w:bCs/>
                <w:sz w:val="20"/>
                <w:szCs w:val="20"/>
              </w:rPr>
              <w:t>Compatibil</w:t>
            </w:r>
          </w:p>
        </w:tc>
        <w:tc>
          <w:tcPr>
            <w:tcW w:w="3118" w:type="dxa"/>
          </w:tcPr>
          <w:p w14:paraId="4D8DB63A" w14:textId="77777777" w:rsidR="00D15C1B" w:rsidRPr="00154588" w:rsidRDefault="00D15C1B" w:rsidP="008C12B4">
            <w:pPr>
              <w:jc w:val="both"/>
              <w:rPr>
                <w:bCs/>
                <w:sz w:val="20"/>
                <w:szCs w:val="20"/>
              </w:rPr>
            </w:pPr>
          </w:p>
        </w:tc>
      </w:tr>
      <w:tr w:rsidR="00D15C1B" w:rsidRPr="00154588" w14:paraId="4198273F" w14:textId="77777777" w:rsidTr="000A6B3F">
        <w:trPr>
          <w:trHeight w:val="1790"/>
          <w:jc w:val="center"/>
        </w:trPr>
        <w:tc>
          <w:tcPr>
            <w:tcW w:w="4957" w:type="dxa"/>
            <w:gridSpan w:val="2"/>
          </w:tcPr>
          <w:p w14:paraId="634F9868" w14:textId="41519E1C" w:rsidR="00D15C1B" w:rsidRPr="00154588" w:rsidRDefault="00D15C1B" w:rsidP="008C12B4">
            <w:pPr>
              <w:jc w:val="both"/>
              <w:rPr>
                <w:bCs/>
                <w:sz w:val="20"/>
                <w:szCs w:val="20"/>
              </w:rPr>
            </w:pPr>
            <w:r w:rsidRPr="00154588">
              <w:rPr>
                <w:bCs/>
                <w:sz w:val="20"/>
                <w:szCs w:val="20"/>
              </w:rPr>
              <w:lastRenderedPageBreak/>
              <w:t xml:space="preserve">63. </w:t>
            </w:r>
            <w:r w:rsidRPr="00154588">
              <w:rPr>
                <w:b/>
                <w:sz w:val="20"/>
                <w:szCs w:val="20"/>
              </w:rPr>
              <w:t>„competențe de transfer”</w:t>
            </w:r>
            <w:r w:rsidRPr="00154588">
              <w:rPr>
                <w:bCs/>
                <w:sz w:val="20"/>
                <w:szCs w:val="20"/>
              </w:rPr>
              <w:t xml:space="preserve"> înseamnă competențele menționate la articolul 63 alineatul (1) litera (c) sau (d) privind transferarea acțiunilor, a altor instrumente de proprietate, a instrumentelor de datorie, a activelor, a drepturilor ori pasivelor sau a oricărei combinații a acestor elemente, de la o instituție aflată în rezoluție către un destinatar;</w:t>
            </w:r>
          </w:p>
          <w:p w14:paraId="28AD8D96" w14:textId="083999C2" w:rsidR="00D15C1B" w:rsidRPr="00154588" w:rsidRDefault="00D15C1B" w:rsidP="008C12B4">
            <w:pPr>
              <w:jc w:val="both"/>
              <w:rPr>
                <w:bCs/>
                <w:sz w:val="20"/>
                <w:szCs w:val="20"/>
              </w:rPr>
            </w:pPr>
          </w:p>
        </w:tc>
        <w:tc>
          <w:tcPr>
            <w:tcW w:w="4819" w:type="dxa"/>
          </w:tcPr>
          <w:p w14:paraId="60DF7711" w14:textId="77777777" w:rsidR="00C608A2" w:rsidRPr="00154588" w:rsidRDefault="00C608A2" w:rsidP="008C12B4">
            <w:pPr>
              <w:jc w:val="both"/>
              <w:rPr>
                <w:bCs/>
                <w:sz w:val="20"/>
                <w:szCs w:val="20"/>
              </w:rPr>
            </w:pPr>
            <w:r w:rsidRPr="00154588">
              <w:rPr>
                <w:bCs/>
                <w:sz w:val="20"/>
                <w:szCs w:val="20"/>
              </w:rPr>
              <w:t xml:space="preserve">15) </w:t>
            </w:r>
            <w:r w:rsidRPr="00154588">
              <w:rPr>
                <w:bCs/>
                <w:i/>
                <w:sz w:val="20"/>
                <w:szCs w:val="20"/>
              </w:rPr>
              <w:t>competenţă de transfer</w:t>
            </w:r>
            <w:r w:rsidRPr="00154588">
              <w:rPr>
                <w:bCs/>
                <w:sz w:val="20"/>
                <w:szCs w:val="20"/>
              </w:rPr>
              <w:t xml:space="preserve"> – competenţă de a transfera acţiuni, alte instrumente de proprietate, instrumente de datorie, active, drepturi sau obligaţii ori orice combinaţie a acestora de la o instituție supusă rezoluţiei către un destinatar, potrivit art.231 alin.(1) lit.c) sau d);</w:t>
            </w:r>
          </w:p>
          <w:p w14:paraId="79E36620" w14:textId="77777777" w:rsidR="00D15C1B" w:rsidRPr="00154588" w:rsidRDefault="00D15C1B" w:rsidP="008C12B4">
            <w:pPr>
              <w:jc w:val="both"/>
              <w:rPr>
                <w:bCs/>
                <w:sz w:val="20"/>
                <w:szCs w:val="20"/>
              </w:rPr>
            </w:pPr>
          </w:p>
        </w:tc>
        <w:tc>
          <w:tcPr>
            <w:tcW w:w="2552" w:type="dxa"/>
          </w:tcPr>
          <w:p w14:paraId="4381D87E" w14:textId="6C8A9D42" w:rsidR="00D15C1B" w:rsidRPr="00154588" w:rsidRDefault="0094082B" w:rsidP="008C12B4">
            <w:pPr>
              <w:jc w:val="both"/>
              <w:rPr>
                <w:bCs/>
                <w:sz w:val="20"/>
                <w:szCs w:val="20"/>
              </w:rPr>
            </w:pPr>
            <w:r w:rsidRPr="00154588">
              <w:rPr>
                <w:bCs/>
                <w:sz w:val="20"/>
                <w:szCs w:val="20"/>
              </w:rPr>
              <w:t>Compatibil</w:t>
            </w:r>
          </w:p>
        </w:tc>
        <w:tc>
          <w:tcPr>
            <w:tcW w:w="3118" w:type="dxa"/>
          </w:tcPr>
          <w:p w14:paraId="675B2526" w14:textId="77777777" w:rsidR="00D15C1B" w:rsidRPr="00154588" w:rsidRDefault="00D15C1B" w:rsidP="008C12B4">
            <w:pPr>
              <w:jc w:val="both"/>
              <w:rPr>
                <w:bCs/>
                <w:sz w:val="20"/>
                <w:szCs w:val="20"/>
              </w:rPr>
            </w:pPr>
          </w:p>
        </w:tc>
      </w:tr>
      <w:tr w:rsidR="00D15C1B" w:rsidRPr="00154588" w14:paraId="186EC630" w14:textId="77777777" w:rsidTr="00D15C1B">
        <w:trPr>
          <w:trHeight w:val="1275"/>
          <w:jc w:val="center"/>
        </w:trPr>
        <w:tc>
          <w:tcPr>
            <w:tcW w:w="4957" w:type="dxa"/>
            <w:gridSpan w:val="2"/>
          </w:tcPr>
          <w:p w14:paraId="3E82BFF8" w14:textId="732B6D96" w:rsidR="00D15C1B" w:rsidRPr="00154588" w:rsidRDefault="00D15C1B" w:rsidP="008C12B4">
            <w:pPr>
              <w:jc w:val="both"/>
              <w:rPr>
                <w:bCs/>
                <w:sz w:val="20"/>
                <w:szCs w:val="20"/>
              </w:rPr>
            </w:pPr>
            <w:r w:rsidRPr="00154588">
              <w:rPr>
                <w:bCs/>
                <w:sz w:val="20"/>
                <w:szCs w:val="20"/>
              </w:rPr>
              <w:t xml:space="preserve">64. </w:t>
            </w:r>
            <w:r w:rsidRPr="00154588">
              <w:rPr>
                <w:b/>
                <w:sz w:val="20"/>
                <w:szCs w:val="20"/>
              </w:rPr>
              <w:t>„contraparte centrală”</w:t>
            </w:r>
            <w:r w:rsidRPr="00154588">
              <w:rPr>
                <w:bCs/>
                <w:sz w:val="20"/>
                <w:szCs w:val="20"/>
              </w:rPr>
              <w:t xml:space="preserve"> înseamnă o CPC, astfel cum este definită la articolul 2 punctul 1 din Regulamentul (UE) nr. 648/2012;</w:t>
            </w:r>
          </w:p>
          <w:p w14:paraId="619C3828" w14:textId="4F7D8091" w:rsidR="00D15C1B" w:rsidRPr="00154588" w:rsidRDefault="00D15C1B" w:rsidP="008C12B4">
            <w:pPr>
              <w:jc w:val="both"/>
              <w:rPr>
                <w:bCs/>
                <w:sz w:val="20"/>
                <w:szCs w:val="20"/>
              </w:rPr>
            </w:pPr>
          </w:p>
        </w:tc>
        <w:tc>
          <w:tcPr>
            <w:tcW w:w="4819" w:type="dxa"/>
          </w:tcPr>
          <w:p w14:paraId="7FF1E7F0" w14:textId="4CEC8F4C" w:rsidR="00D15C1B" w:rsidRPr="00154588" w:rsidRDefault="00C608A2" w:rsidP="008C12B4">
            <w:pPr>
              <w:jc w:val="both"/>
              <w:rPr>
                <w:bCs/>
                <w:sz w:val="20"/>
                <w:szCs w:val="20"/>
              </w:rPr>
            </w:pPr>
            <w:r w:rsidRPr="00154588">
              <w:rPr>
                <w:bCs/>
                <w:sz w:val="20"/>
                <w:szCs w:val="20"/>
              </w:rPr>
              <w:t xml:space="preserve">17) </w:t>
            </w:r>
            <w:r w:rsidRPr="00154588">
              <w:rPr>
                <w:bCs/>
                <w:i/>
                <w:iCs/>
                <w:sz w:val="20"/>
                <w:szCs w:val="20"/>
              </w:rPr>
              <w:t>contraparte centrală</w:t>
            </w:r>
            <w:r w:rsidRPr="00154588">
              <w:rPr>
                <w:bCs/>
                <w:sz w:val="20"/>
                <w:szCs w:val="20"/>
              </w:rPr>
              <w:t xml:space="preserve"> – entitate astfel cum este definită la art. 3 din Legea nr. 183/2016 cu privire la caracterul definitiv al decontării în sistemele de plăți și de decontare a instrumentelor financiare;</w:t>
            </w:r>
          </w:p>
        </w:tc>
        <w:tc>
          <w:tcPr>
            <w:tcW w:w="2552" w:type="dxa"/>
          </w:tcPr>
          <w:p w14:paraId="233A4869" w14:textId="1CBFCD90" w:rsidR="00D15C1B" w:rsidRPr="00154588" w:rsidRDefault="0094082B" w:rsidP="008C12B4">
            <w:pPr>
              <w:jc w:val="both"/>
              <w:rPr>
                <w:bCs/>
                <w:sz w:val="20"/>
                <w:szCs w:val="20"/>
              </w:rPr>
            </w:pPr>
            <w:r w:rsidRPr="00154588">
              <w:rPr>
                <w:bCs/>
                <w:sz w:val="20"/>
                <w:szCs w:val="20"/>
              </w:rPr>
              <w:t>Compatibil</w:t>
            </w:r>
          </w:p>
        </w:tc>
        <w:tc>
          <w:tcPr>
            <w:tcW w:w="3118" w:type="dxa"/>
          </w:tcPr>
          <w:p w14:paraId="0DF898AC" w14:textId="77777777" w:rsidR="00D15C1B" w:rsidRPr="00154588" w:rsidRDefault="00D15C1B" w:rsidP="008C12B4">
            <w:pPr>
              <w:jc w:val="both"/>
              <w:rPr>
                <w:bCs/>
                <w:sz w:val="20"/>
                <w:szCs w:val="20"/>
              </w:rPr>
            </w:pPr>
          </w:p>
        </w:tc>
      </w:tr>
      <w:tr w:rsidR="00D15C1B" w:rsidRPr="00154588" w14:paraId="56A0D8CC" w14:textId="77777777" w:rsidTr="00D15C1B">
        <w:trPr>
          <w:trHeight w:val="1200"/>
          <w:jc w:val="center"/>
        </w:trPr>
        <w:tc>
          <w:tcPr>
            <w:tcW w:w="4957" w:type="dxa"/>
            <w:gridSpan w:val="2"/>
          </w:tcPr>
          <w:p w14:paraId="3CB52DA6" w14:textId="60FE3191" w:rsidR="00D15C1B" w:rsidRPr="00154588" w:rsidRDefault="00D15C1B" w:rsidP="008C12B4">
            <w:pPr>
              <w:jc w:val="both"/>
              <w:rPr>
                <w:bCs/>
                <w:sz w:val="20"/>
                <w:szCs w:val="20"/>
              </w:rPr>
            </w:pPr>
            <w:r w:rsidRPr="00154588">
              <w:rPr>
                <w:bCs/>
                <w:sz w:val="20"/>
                <w:szCs w:val="20"/>
              </w:rPr>
              <w:t xml:space="preserve">65. </w:t>
            </w:r>
            <w:r w:rsidRPr="00154588">
              <w:rPr>
                <w:b/>
                <w:sz w:val="20"/>
                <w:szCs w:val="20"/>
              </w:rPr>
              <w:t>„instrument financiar derivat”</w:t>
            </w:r>
            <w:r w:rsidRPr="00154588">
              <w:rPr>
                <w:bCs/>
                <w:sz w:val="20"/>
                <w:szCs w:val="20"/>
              </w:rPr>
              <w:t xml:space="preserve"> înseamnă un instrument financiar derivat, astfel cum este definit la articolul 2 punctul 5 din Regulamentul (UE) nr. 648/2012;</w:t>
            </w:r>
          </w:p>
          <w:p w14:paraId="6404C52C" w14:textId="04F382E9" w:rsidR="00D15C1B" w:rsidRPr="00154588" w:rsidRDefault="00D15C1B" w:rsidP="008C12B4">
            <w:pPr>
              <w:jc w:val="both"/>
              <w:rPr>
                <w:bCs/>
                <w:sz w:val="20"/>
                <w:szCs w:val="20"/>
              </w:rPr>
            </w:pPr>
          </w:p>
        </w:tc>
        <w:tc>
          <w:tcPr>
            <w:tcW w:w="4819" w:type="dxa"/>
          </w:tcPr>
          <w:p w14:paraId="5E151499" w14:textId="3954B3F0" w:rsidR="00D15C1B" w:rsidRPr="00154588" w:rsidRDefault="00C608A2" w:rsidP="008C12B4">
            <w:pPr>
              <w:jc w:val="both"/>
              <w:rPr>
                <w:bCs/>
                <w:sz w:val="20"/>
                <w:szCs w:val="20"/>
              </w:rPr>
            </w:pPr>
            <w:r w:rsidRPr="00154588">
              <w:rPr>
                <w:bCs/>
                <w:sz w:val="20"/>
                <w:szCs w:val="20"/>
              </w:rPr>
              <w:t xml:space="preserve">91) </w:t>
            </w:r>
            <w:r w:rsidRPr="00154588">
              <w:rPr>
                <w:bCs/>
                <w:i/>
                <w:sz w:val="20"/>
                <w:szCs w:val="20"/>
              </w:rPr>
              <w:t>instrumente financiare derivate</w:t>
            </w:r>
            <w:r w:rsidRPr="00154588">
              <w:rPr>
                <w:bCs/>
                <w:sz w:val="20"/>
                <w:szCs w:val="20"/>
              </w:rPr>
              <w:t xml:space="preserve"> – astfel cum sunt definite în legislația privind piețele de instrumente financiare;</w:t>
            </w:r>
          </w:p>
        </w:tc>
        <w:tc>
          <w:tcPr>
            <w:tcW w:w="2552" w:type="dxa"/>
          </w:tcPr>
          <w:p w14:paraId="20A0C3CA" w14:textId="053DC60A" w:rsidR="00D15C1B" w:rsidRPr="00154588" w:rsidRDefault="0094082B" w:rsidP="008C12B4">
            <w:pPr>
              <w:jc w:val="both"/>
              <w:rPr>
                <w:bCs/>
                <w:sz w:val="20"/>
                <w:szCs w:val="20"/>
              </w:rPr>
            </w:pPr>
            <w:r w:rsidRPr="00154588">
              <w:rPr>
                <w:bCs/>
                <w:sz w:val="20"/>
                <w:szCs w:val="20"/>
              </w:rPr>
              <w:t>Compatibil</w:t>
            </w:r>
          </w:p>
        </w:tc>
        <w:tc>
          <w:tcPr>
            <w:tcW w:w="3118" w:type="dxa"/>
          </w:tcPr>
          <w:p w14:paraId="5283D7F3" w14:textId="77777777" w:rsidR="00D15C1B" w:rsidRPr="00154588" w:rsidRDefault="00D15C1B" w:rsidP="008C12B4">
            <w:pPr>
              <w:jc w:val="both"/>
              <w:rPr>
                <w:bCs/>
                <w:sz w:val="20"/>
                <w:szCs w:val="20"/>
              </w:rPr>
            </w:pPr>
          </w:p>
        </w:tc>
      </w:tr>
      <w:tr w:rsidR="00D15C1B" w:rsidRPr="00154588" w14:paraId="5BF1E498" w14:textId="77777777" w:rsidTr="000A6B3F">
        <w:trPr>
          <w:trHeight w:val="917"/>
          <w:jc w:val="center"/>
        </w:trPr>
        <w:tc>
          <w:tcPr>
            <w:tcW w:w="4957" w:type="dxa"/>
            <w:gridSpan w:val="2"/>
          </w:tcPr>
          <w:p w14:paraId="4BB22E3B" w14:textId="12C05F45" w:rsidR="00D15C1B" w:rsidRPr="00154588" w:rsidRDefault="00D15C1B" w:rsidP="008C12B4">
            <w:pPr>
              <w:jc w:val="both"/>
              <w:rPr>
                <w:bCs/>
                <w:sz w:val="20"/>
                <w:szCs w:val="20"/>
              </w:rPr>
            </w:pPr>
            <w:r w:rsidRPr="00154588">
              <w:rPr>
                <w:bCs/>
                <w:sz w:val="20"/>
                <w:szCs w:val="20"/>
              </w:rPr>
              <w:t xml:space="preserve">66. </w:t>
            </w:r>
            <w:r w:rsidRPr="00154588">
              <w:rPr>
                <w:b/>
                <w:sz w:val="20"/>
                <w:szCs w:val="20"/>
              </w:rPr>
              <w:t>„competențe de reducere a valorii contabile și de conversie”</w:t>
            </w:r>
            <w:r w:rsidRPr="00154588">
              <w:rPr>
                <w:bCs/>
                <w:sz w:val="20"/>
                <w:szCs w:val="20"/>
              </w:rPr>
              <w:t xml:space="preserve"> înseamnă competențele menționate la articolul 59 alineatul (2) și la articolul 63 alineatul (1) literele (e)-(i);</w:t>
            </w:r>
          </w:p>
          <w:p w14:paraId="6218132B" w14:textId="56B6D0D1" w:rsidR="00D15C1B" w:rsidRPr="00154588" w:rsidRDefault="00D15C1B" w:rsidP="008C12B4">
            <w:pPr>
              <w:jc w:val="both"/>
              <w:rPr>
                <w:bCs/>
                <w:sz w:val="20"/>
                <w:szCs w:val="20"/>
              </w:rPr>
            </w:pPr>
          </w:p>
        </w:tc>
        <w:tc>
          <w:tcPr>
            <w:tcW w:w="4819" w:type="dxa"/>
          </w:tcPr>
          <w:p w14:paraId="0F090628" w14:textId="1DFBA5BF" w:rsidR="00C608A2" w:rsidRPr="00154588" w:rsidRDefault="00C608A2" w:rsidP="008C12B4">
            <w:pPr>
              <w:jc w:val="both"/>
              <w:rPr>
                <w:bCs/>
                <w:sz w:val="20"/>
                <w:szCs w:val="20"/>
              </w:rPr>
            </w:pPr>
            <w:r w:rsidRPr="00154588">
              <w:rPr>
                <w:bCs/>
                <w:sz w:val="20"/>
                <w:szCs w:val="20"/>
              </w:rPr>
              <w:t xml:space="preserve">14) </w:t>
            </w:r>
            <w:r w:rsidRPr="00154588">
              <w:rPr>
                <w:bCs/>
                <w:i/>
                <w:sz w:val="20"/>
                <w:szCs w:val="20"/>
              </w:rPr>
              <w:t>competenţ</w:t>
            </w:r>
            <w:r w:rsidR="000A0A3B" w:rsidRPr="00154588">
              <w:rPr>
                <w:bCs/>
                <w:i/>
                <w:sz w:val="20"/>
                <w:szCs w:val="20"/>
              </w:rPr>
              <w:t>e</w:t>
            </w:r>
            <w:r w:rsidRPr="00154588">
              <w:rPr>
                <w:bCs/>
                <w:i/>
                <w:sz w:val="20"/>
                <w:szCs w:val="20"/>
              </w:rPr>
              <w:t xml:space="preserve"> de reducere a valorii sau de conversie</w:t>
            </w:r>
            <w:r w:rsidRPr="00154588">
              <w:rPr>
                <w:bCs/>
                <w:sz w:val="20"/>
                <w:szCs w:val="20"/>
              </w:rPr>
              <w:t xml:space="preserve"> – competenţ</w:t>
            </w:r>
            <w:r w:rsidR="00174683" w:rsidRPr="00154588">
              <w:rPr>
                <w:bCs/>
                <w:sz w:val="20"/>
                <w:szCs w:val="20"/>
              </w:rPr>
              <w:t>e</w:t>
            </w:r>
            <w:r w:rsidRPr="00154588">
              <w:rPr>
                <w:bCs/>
                <w:sz w:val="20"/>
                <w:szCs w:val="20"/>
              </w:rPr>
              <w:t xml:space="preserve"> specificat</w:t>
            </w:r>
            <w:r w:rsidR="00174683" w:rsidRPr="00154588">
              <w:rPr>
                <w:bCs/>
                <w:sz w:val="20"/>
                <w:szCs w:val="20"/>
              </w:rPr>
              <w:t>e</w:t>
            </w:r>
            <w:r w:rsidRPr="00154588">
              <w:rPr>
                <w:bCs/>
                <w:sz w:val="20"/>
                <w:szCs w:val="20"/>
              </w:rPr>
              <w:t xml:space="preserve"> la art.220 şi art.231 alin.(1) lit.e)-i);</w:t>
            </w:r>
          </w:p>
          <w:p w14:paraId="47449E20" w14:textId="77777777" w:rsidR="00D15C1B" w:rsidRPr="00154588" w:rsidRDefault="00D15C1B" w:rsidP="008C12B4">
            <w:pPr>
              <w:jc w:val="both"/>
              <w:rPr>
                <w:bCs/>
                <w:sz w:val="20"/>
                <w:szCs w:val="20"/>
              </w:rPr>
            </w:pPr>
          </w:p>
        </w:tc>
        <w:tc>
          <w:tcPr>
            <w:tcW w:w="2552" w:type="dxa"/>
          </w:tcPr>
          <w:p w14:paraId="0CAE7B60" w14:textId="2DE30E01" w:rsidR="00D15C1B" w:rsidRPr="00154588" w:rsidRDefault="0094082B" w:rsidP="008C12B4">
            <w:pPr>
              <w:jc w:val="both"/>
              <w:rPr>
                <w:bCs/>
                <w:sz w:val="20"/>
                <w:szCs w:val="20"/>
              </w:rPr>
            </w:pPr>
            <w:r w:rsidRPr="00154588">
              <w:rPr>
                <w:bCs/>
                <w:sz w:val="20"/>
                <w:szCs w:val="20"/>
              </w:rPr>
              <w:t>Compatibil</w:t>
            </w:r>
          </w:p>
        </w:tc>
        <w:tc>
          <w:tcPr>
            <w:tcW w:w="3118" w:type="dxa"/>
          </w:tcPr>
          <w:p w14:paraId="1CBFBE76" w14:textId="77777777" w:rsidR="00D15C1B" w:rsidRPr="00154588" w:rsidRDefault="00D15C1B" w:rsidP="008C12B4">
            <w:pPr>
              <w:jc w:val="both"/>
              <w:rPr>
                <w:bCs/>
                <w:sz w:val="20"/>
                <w:szCs w:val="20"/>
              </w:rPr>
            </w:pPr>
          </w:p>
        </w:tc>
      </w:tr>
      <w:tr w:rsidR="00D15C1B" w:rsidRPr="00154588" w14:paraId="5AFBD391" w14:textId="77777777" w:rsidTr="000A6B3F">
        <w:trPr>
          <w:trHeight w:val="1898"/>
          <w:jc w:val="center"/>
        </w:trPr>
        <w:tc>
          <w:tcPr>
            <w:tcW w:w="4957" w:type="dxa"/>
            <w:gridSpan w:val="2"/>
          </w:tcPr>
          <w:p w14:paraId="15D79998" w14:textId="1C909FC0" w:rsidR="00D15C1B" w:rsidRPr="00154588" w:rsidRDefault="00D15C1B" w:rsidP="008C12B4">
            <w:pPr>
              <w:jc w:val="both"/>
              <w:rPr>
                <w:bCs/>
                <w:sz w:val="20"/>
                <w:szCs w:val="20"/>
              </w:rPr>
            </w:pPr>
            <w:r w:rsidRPr="00154588">
              <w:rPr>
                <w:bCs/>
                <w:sz w:val="20"/>
                <w:szCs w:val="20"/>
              </w:rPr>
              <w:t xml:space="preserve">67. </w:t>
            </w:r>
            <w:r w:rsidRPr="00154588">
              <w:rPr>
                <w:b/>
                <w:sz w:val="20"/>
                <w:szCs w:val="20"/>
              </w:rPr>
              <w:t>„obligație garantată”</w:t>
            </w:r>
            <w:r w:rsidRPr="00154588">
              <w:rPr>
                <w:bCs/>
                <w:sz w:val="20"/>
                <w:szCs w:val="20"/>
              </w:rPr>
              <w:t xml:space="preserve"> înseamnă o datorie pentru care dreptul creditorului la plată sau la altă formă de executare este asigurat printr-un privilegiu, o, un gaj sau drept de retenție, sau prin contracte de garanție reală, inclusiv datorii care rezultă din tranzacții de răscumpărare sau din alte contracte de garanție cu transfer de proprietate;</w:t>
            </w:r>
          </w:p>
        </w:tc>
        <w:tc>
          <w:tcPr>
            <w:tcW w:w="4819" w:type="dxa"/>
          </w:tcPr>
          <w:p w14:paraId="33E19728" w14:textId="5049CB79" w:rsidR="00D15C1B" w:rsidRPr="00154588" w:rsidRDefault="00C608A2" w:rsidP="008C12B4">
            <w:pPr>
              <w:jc w:val="both"/>
              <w:rPr>
                <w:bCs/>
                <w:sz w:val="20"/>
                <w:szCs w:val="20"/>
              </w:rPr>
            </w:pPr>
            <w:r w:rsidRPr="00154588">
              <w:rPr>
                <w:bCs/>
                <w:sz w:val="20"/>
                <w:szCs w:val="20"/>
              </w:rPr>
              <w:t xml:space="preserve">42) </w:t>
            </w:r>
            <w:r w:rsidRPr="00154588">
              <w:rPr>
                <w:bCs/>
                <w:i/>
                <w:iCs/>
                <w:sz w:val="20"/>
                <w:szCs w:val="20"/>
              </w:rPr>
              <w:t>obligaţie garantată</w:t>
            </w:r>
            <w:r w:rsidRPr="00154588">
              <w:rPr>
                <w:bCs/>
                <w:sz w:val="20"/>
                <w:szCs w:val="20"/>
              </w:rPr>
              <w:t xml:space="preserve"> – datorie pentru care dreptul creditorului la plată sau la altă formă de executare a obligaţiei este asigurat printr-un privilegiu, gaj ori alt contract de garanţie reală sau prin orice alt mijloc de garantare, indiferent de forma juridică în care se constituie garanţia, inclusiv datorii care rezultă din tranzacţii repo sau din alte contracte de garanţie cu transfer de proprietate;</w:t>
            </w:r>
          </w:p>
        </w:tc>
        <w:tc>
          <w:tcPr>
            <w:tcW w:w="2552" w:type="dxa"/>
          </w:tcPr>
          <w:p w14:paraId="2D9880F4" w14:textId="7A9D01D2" w:rsidR="00D15C1B" w:rsidRPr="00154588" w:rsidRDefault="0094082B" w:rsidP="008C12B4">
            <w:pPr>
              <w:jc w:val="both"/>
              <w:rPr>
                <w:bCs/>
                <w:sz w:val="20"/>
                <w:szCs w:val="20"/>
              </w:rPr>
            </w:pPr>
            <w:r w:rsidRPr="00154588">
              <w:rPr>
                <w:bCs/>
                <w:sz w:val="20"/>
                <w:szCs w:val="20"/>
              </w:rPr>
              <w:t>Compatibil</w:t>
            </w:r>
          </w:p>
        </w:tc>
        <w:tc>
          <w:tcPr>
            <w:tcW w:w="3118" w:type="dxa"/>
          </w:tcPr>
          <w:p w14:paraId="4E97E17D" w14:textId="77777777" w:rsidR="00D15C1B" w:rsidRPr="00154588" w:rsidRDefault="00D15C1B" w:rsidP="008C12B4">
            <w:pPr>
              <w:jc w:val="both"/>
              <w:rPr>
                <w:bCs/>
                <w:sz w:val="20"/>
                <w:szCs w:val="20"/>
              </w:rPr>
            </w:pPr>
          </w:p>
        </w:tc>
      </w:tr>
      <w:tr w:rsidR="00D15C1B" w:rsidRPr="00154588" w14:paraId="6990F589" w14:textId="77777777" w:rsidTr="00D15C1B">
        <w:trPr>
          <w:trHeight w:val="1695"/>
          <w:jc w:val="center"/>
        </w:trPr>
        <w:tc>
          <w:tcPr>
            <w:tcW w:w="4957" w:type="dxa"/>
            <w:gridSpan w:val="2"/>
          </w:tcPr>
          <w:p w14:paraId="2A7C5F85" w14:textId="001B28CC" w:rsidR="00D15C1B" w:rsidRPr="00154588" w:rsidRDefault="00D15C1B" w:rsidP="008C12B4">
            <w:pPr>
              <w:jc w:val="both"/>
              <w:rPr>
                <w:bCs/>
                <w:sz w:val="20"/>
                <w:szCs w:val="20"/>
              </w:rPr>
            </w:pPr>
            <w:r w:rsidRPr="00154588">
              <w:rPr>
                <w:bCs/>
                <w:sz w:val="20"/>
                <w:szCs w:val="20"/>
              </w:rPr>
              <w:t xml:space="preserve">68. </w:t>
            </w:r>
            <w:r w:rsidRPr="00154588">
              <w:rPr>
                <w:b/>
                <w:sz w:val="20"/>
                <w:szCs w:val="20"/>
              </w:rPr>
              <w:t>„instrumente de fonduri proprii de nivel 1 de bază”</w:t>
            </w:r>
            <w:r w:rsidRPr="00154588">
              <w:rPr>
                <w:bCs/>
                <w:sz w:val="20"/>
                <w:szCs w:val="20"/>
              </w:rPr>
              <w:t xml:space="preserve"> înseamnă instrumente de capital ce întrunesc cerințele prevăzute la articolul 28 alineatele (1)-(4), articolul 29 alineatele (1)-(5) sau articolul 31 alineatul (1) din Regulamentul (UE) nr. 575/2013;</w:t>
            </w:r>
          </w:p>
          <w:p w14:paraId="4A970DC9" w14:textId="6E2D1E05" w:rsidR="00D15C1B" w:rsidRPr="00154588" w:rsidRDefault="00D15C1B" w:rsidP="008C12B4">
            <w:pPr>
              <w:jc w:val="both"/>
              <w:rPr>
                <w:bCs/>
                <w:sz w:val="20"/>
                <w:szCs w:val="20"/>
              </w:rPr>
            </w:pPr>
          </w:p>
        </w:tc>
        <w:tc>
          <w:tcPr>
            <w:tcW w:w="4819" w:type="dxa"/>
          </w:tcPr>
          <w:p w14:paraId="257B17B0" w14:textId="77737A0A" w:rsidR="00D15C1B" w:rsidRPr="00154588" w:rsidRDefault="005D25E3" w:rsidP="008C12B4">
            <w:pPr>
              <w:jc w:val="both"/>
              <w:rPr>
                <w:bCs/>
                <w:sz w:val="20"/>
                <w:szCs w:val="20"/>
              </w:rPr>
            </w:pPr>
            <w:r w:rsidRPr="00154588">
              <w:rPr>
                <w:bCs/>
                <w:sz w:val="20"/>
                <w:szCs w:val="20"/>
              </w:rPr>
              <w:t>32) instrumente de fonduri proprii de nivelul 1 de bază – instrumente de capital ce întrunesc cerinţele prevăzute în actele normative ale Băncii Naţionale a Moldovei emise în aplicarea prevederilor art.60, 61 şi 62 din Legea nr.202/2017;</w:t>
            </w:r>
          </w:p>
        </w:tc>
        <w:tc>
          <w:tcPr>
            <w:tcW w:w="2552" w:type="dxa"/>
          </w:tcPr>
          <w:p w14:paraId="3D8F755C" w14:textId="745BBDBC" w:rsidR="00D15C1B" w:rsidRPr="00154588" w:rsidRDefault="0094082B" w:rsidP="008C12B4">
            <w:pPr>
              <w:jc w:val="both"/>
              <w:rPr>
                <w:bCs/>
                <w:sz w:val="20"/>
                <w:szCs w:val="20"/>
              </w:rPr>
            </w:pPr>
            <w:r w:rsidRPr="00154588">
              <w:rPr>
                <w:bCs/>
                <w:sz w:val="20"/>
                <w:szCs w:val="20"/>
              </w:rPr>
              <w:t>Compatibil</w:t>
            </w:r>
          </w:p>
        </w:tc>
        <w:tc>
          <w:tcPr>
            <w:tcW w:w="3118" w:type="dxa"/>
          </w:tcPr>
          <w:p w14:paraId="43961892" w14:textId="77777777" w:rsidR="00D15C1B" w:rsidRPr="00154588" w:rsidRDefault="00D15C1B" w:rsidP="008C12B4">
            <w:pPr>
              <w:jc w:val="both"/>
              <w:rPr>
                <w:bCs/>
                <w:sz w:val="20"/>
                <w:szCs w:val="20"/>
              </w:rPr>
            </w:pPr>
          </w:p>
        </w:tc>
      </w:tr>
      <w:tr w:rsidR="00D15C1B" w:rsidRPr="00154588" w14:paraId="2EAF3EB5" w14:textId="77777777" w:rsidTr="00D15C1B">
        <w:trPr>
          <w:trHeight w:val="1254"/>
          <w:jc w:val="center"/>
        </w:trPr>
        <w:tc>
          <w:tcPr>
            <w:tcW w:w="4957" w:type="dxa"/>
            <w:gridSpan w:val="2"/>
          </w:tcPr>
          <w:p w14:paraId="3A10D4B4" w14:textId="644C89B0" w:rsidR="00D15C1B" w:rsidRPr="00154588" w:rsidRDefault="00D15C1B" w:rsidP="008C12B4">
            <w:pPr>
              <w:jc w:val="both"/>
              <w:rPr>
                <w:bCs/>
                <w:sz w:val="20"/>
                <w:szCs w:val="20"/>
              </w:rPr>
            </w:pPr>
            <w:r w:rsidRPr="00154588">
              <w:rPr>
                <w:bCs/>
                <w:sz w:val="20"/>
                <w:szCs w:val="20"/>
              </w:rPr>
              <w:t xml:space="preserve">68a. </w:t>
            </w:r>
            <w:r w:rsidRPr="00154588">
              <w:rPr>
                <w:b/>
                <w:sz w:val="20"/>
                <w:szCs w:val="20"/>
              </w:rPr>
              <w:t>„fonduri proprii de nivel 1 de bază”</w:t>
            </w:r>
            <w:r w:rsidRPr="00154588">
              <w:rPr>
                <w:bCs/>
                <w:sz w:val="20"/>
                <w:szCs w:val="20"/>
              </w:rPr>
              <w:t xml:space="preserve"> înseamnă fonduri proprii de nivel 1 de bază, astfel cum sunt calculate în conformitate cu articolul 50 din Regulamentul (UE) nr. 575/2013;</w:t>
            </w:r>
          </w:p>
        </w:tc>
        <w:tc>
          <w:tcPr>
            <w:tcW w:w="4819" w:type="dxa"/>
          </w:tcPr>
          <w:p w14:paraId="4AC0A427" w14:textId="77777777" w:rsidR="005D25E3" w:rsidRPr="00154588" w:rsidRDefault="005D25E3" w:rsidP="008C12B4">
            <w:pPr>
              <w:jc w:val="both"/>
              <w:rPr>
                <w:bCs/>
                <w:sz w:val="20"/>
                <w:szCs w:val="20"/>
              </w:rPr>
            </w:pPr>
            <w:r w:rsidRPr="00154588">
              <w:rPr>
                <w:bCs/>
                <w:sz w:val="20"/>
                <w:szCs w:val="20"/>
              </w:rPr>
              <w:t xml:space="preserve">75) </w:t>
            </w:r>
            <w:r w:rsidRPr="00154588">
              <w:rPr>
                <w:bCs/>
                <w:i/>
                <w:sz w:val="20"/>
                <w:szCs w:val="20"/>
              </w:rPr>
              <w:t>fonduri proprii de nivel 1 de bază</w:t>
            </w:r>
            <w:r w:rsidRPr="00154588">
              <w:rPr>
                <w:bCs/>
                <w:sz w:val="20"/>
                <w:szCs w:val="20"/>
              </w:rPr>
              <w:t xml:space="preserve"> – fonduri proprii ce întrunesc cerințele prevăzute în actele normative ale Băncii Naționale a Moldovei emise în aplicarea prevederilor art.60, 61 şi 62 din Legea nr.202/2017;</w:t>
            </w:r>
          </w:p>
          <w:p w14:paraId="11B962B0" w14:textId="77777777" w:rsidR="00D15C1B" w:rsidRPr="00154588" w:rsidRDefault="00D15C1B" w:rsidP="008C12B4">
            <w:pPr>
              <w:jc w:val="both"/>
              <w:rPr>
                <w:bCs/>
                <w:sz w:val="20"/>
                <w:szCs w:val="20"/>
              </w:rPr>
            </w:pPr>
          </w:p>
        </w:tc>
        <w:tc>
          <w:tcPr>
            <w:tcW w:w="2552" w:type="dxa"/>
          </w:tcPr>
          <w:p w14:paraId="29EBF9FC" w14:textId="7E8ADD97" w:rsidR="00D15C1B" w:rsidRPr="00154588" w:rsidRDefault="0094082B" w:rsidP="008C12B4">
            <w:pPr>
              <w:jc w:val="both"/>
              <w:rPr>
                <w:bCs/>
                <w:sz w:val="20"/>
                <w:szCs w:val="20"/>
              </w:rPr>
            </w:pPr>
            <w:r w:rsidRPr="00154588">
              <w:rPr>
                <w:bCs/>
                <w:sz w:val="20"/>
                <w:szCs w:val="20"/>
              </w:rPr>
              <w:t>Compatibil</w:t>
            </w:r>
          </w:p>
        </w:tc>
        <w:tc>
          <w:tcPr>
            <w:tcW w:w="3118" w:type="dxa"/>
          </w:tcPr>
          <w:p w14:paraId="5CE203EC" w14:textId="77777777" w:rsidR="00D15C1B" w:rsidRPr="00154588" w:rsidRDefault="00D15C1B" w:rsidP="008C12B4">
            <w:pPr>
              <w:jc w:val="both"/>
              <w:rPr>
                <w:bCs/>
                <w:sz w:val="20"/>
                <w:szCs w:val="20"/>
              </w:rPr>
            </w:pPr>
          </w:p>
        </w:tc>
      </w:tr>
      <w:tr w:rsidR="00D15C1B" w:rsidRPr="00154588" w14:paraId="6607E8C6" w14:textId="77777777" w:rsidTr="00D15C1B">
        <w:trPr>
          <w:trHeight w:val="1272"/>
          <w:jc w:val="center"/>
        </w:trPr>
        <w:tc>
          <w:tcPr>
            <w:tcW w:w="4957" w:type="dxa"/>
            <w:gridSpan w:val="2"/>
          </w:tcPr>
          <w:p w14:paraId="21DA46C0" w14:textId="5CBFB4B8" w:rsidR="00D15C1B" w:rsidRPr="00154588" w:rsidRDefault="00D15C1B" w:rsidP="008C12B4">
            <w:pPr>
              <w:jc w:val="both"/>
              <w:rPr>
                <w:bCs/>
                <w:sz w:val="20"/>
                <w:szCs w:val="20"/>
              </w:rPr>
            </w:pPr>
            <w:r w:rsidRPr="00154588">
              <w:rPr>
                <w:bCs/>
                <w:sz w:val="20"/>
                <w:szCs w:val="20"/>
              </w:rPr>
              <w:lastRenderedPageBreak/>
              <w:t xml:space="preserve">69. </w:t>
            </w:r>
            <w:r w:rsidRPr="00154588">
              <w:rPr>
                <w:b/>
                <w:sz w:val="20"/>
                <w:szCs w:val="20"/>
              </w:rPr>
              <w:t>„instrumente de fonduri proprii de nivelul 1 suplimentar”</w:t>
            </w:r>
            <w:r w:rsidRPr="00154588">
              <w:rPr>
                <w:bCs/>
                <w:sz w:val="20"/>
                <w:szCs w:val="20"/>
              </w:rPr>
              <w:t xml:space="preserve"> înseamnă instrumente de capital ce întrunesc cerințele prevăzute la articolul 52 alineatul (1) din Regulamentul (UE) nr. 575/2013;</w:t>
            </w:r>
          </w:p>
        </w:tc>
        <w:tc>
          <w:tcPr>
            <w:tcW w:w="4819" w:type="dxa"/>
          </w:tcPr>
          <w:p w14:paraId="185BC904" w14:textId="649C09F2" w:rsidR="00D15C1B" w:rsidRPr="00154588" w:rsidRDefault="005D25E3" w:rsidP="008C12B4">
            <w:pPr>
              <w:jc w:val="both"/>
              <w:rPr>
                <w:bCs/>
                <w:sz w:val="20"/>
                <w:szCs w:val="20"/>
              </w:rPr>
            </w:pPr>
            <w:r w:rsidRPr="00154588">
              <w:rPr>
                <w:bCs/>
                <w:sz w:val="20"/>
                <w:szCs w:val="20"/>
              </w:rPr>
              <w:t>32</w:t>
            </w:r>
            <w:r w:rsidRPr="00154588">
              <w:rPr>
                <w:bCs/>
                <w:sz w:val="20"/>
                <w:szCs w:val="20"/>
                <w:vertAlign w:val="superscript"/>
              </w:rPr>
              <w:t>1</w:t>
            </w:r>
            <w:r w:rsidRPr="00154588">
              <w:rPr>
                <w:bCs/>
                <w:sz w:val="20"/>
                <w:szCs w:val="20"/>
              </w:rPr>
              <w:t xml:space="preserve">) </w:t>
            </w:r>
            <w:r w:rsidRPr="00154588">
              <w:rPr>
                <w:bCs/>
                <w:i/>
                <w:sz w:val="20"/>
                <w:szCs w:val="20"/>
              </w:rPr>
              <w:t>instrumente de fonduri proprii de nivelul 1 suplimentar</w:t>
            </w:r>
            <w:r w:rsidRPr="00154588">
              <w:rPr>
                <w:bCs/>
                <w:sz w:val="20"/>
                <w:szCs w:val="20"/>
              </w:rPr>
              <w:t xml:space="preserve"> – instrumente de capital ce întrunesc cerinţele prevăzute în actele normative ale Băncii Naţionale a Moldovei emise în aplicarea prevederilor art.60, 61 şi 62 din Legea nr.202/2017;</w:t>
            </w:r>
          </w:p>
        </w:tc>
        <w:tc>
          <w:tcPr>
            <w:tcW w:w="2552" w:type="dxa"/>
          </w:tcPr>
          <w:p w14:paraId="45860952" w14:textId="3063D348" w:rsidR="00D15C1B" w:rsidRPr="00154588" w:rsidRDefault="0094082B" w:rsidP="008C12B4">
            <w:pPr>
              <w:jc w:val="both"/>
              <w:rPr>
                <w:bCs/>
                <w:sz w:val="20"/>
                <w:szCs w:val="20"/>
              </w:rPr>
            </w:pPr>
            <w:r w:rsidRPr="00154588">
              <w:rPr>
                <w:bCs/>
                <w:sz w:val="20"/>
                <w:szCs w:val="20"/>
              </w:rPr>
              <w:t>Compatibil</w:t>
            </w:r>
          </w:p>
        </w:tc>
        <w:tc>
          <w:tcPr>
            <w:tcW w:w="3118" w:type="dxa"/>
          </w:tcPr>
          <w:p w14:paraId="422057D8" w14:textId="77777777" w:rsidR="00D15C1B" w:rsidRPr="00154588" w:rsidRDefault="00D15C1B" w:rsidP="008C12B4">
            <w:pPr>
              <w:jc w:val="both"/>
              <w:rPr>
                <w:bCs/>
                <w:sz w:val="20"/>
                <w:szCs w:val="20"/>
              </w:rPr>
            </w:pPr>
          </w:p>
        </w:tc>
      </w:tr>
      <w:tr w:rsidR="00D15C1B" w:rsidRPr="00154588" w14:paraId="77FA9119" w14:textId="77777777" w:rsidTr="00D15C1B">
        <w:trPr>
          <w:trHeight w:val="568"/>
          <w:jc w:val="center"/>
        </w:trPr>
        <w:tc>
          <w:tcPr>
            <w:tcW w:w="4957" w:type="dxa"/>
            <w:gridSpan w:val="2"/>
          </w:tcPr>
          <w:p w14:paraId="7D2407FC" w14:textId="652E68AB" w:rsidR="00D15C1B" w:rsidRPr="00154588" w:rsidRDefault="00D15C1B" w:rsidP="008C12B4">
            <w:pPr>
              <w:jc w:val="both"/>
              <w:rPr>
                <w:bCs/>
                <w:sz w:val="20"/>
                <w:szCs w:val="20"/>
              </w:rPr>
            </w:pPr>
            <w:r w:rsidRPr="00154588">
              <w:rPr>
                <w:bCs/>
                <w:sz w:val="20"/>
                <w:szCs w:val="20"/>
              </w:rPr>
              <w:t xml:space="preserve">70. </w:t>
            </w:r>
            <w:r w:rsidRPr="00154588">
              <w:rPr>
                <w:b/>
                <w:sz w:val="20"/>
                <w:szCs w:val="20"/>
              </w:rPr>
              <w:t>„cuantum agregat”</w:t>
            </w:r>
            <w:r w:rsidRPr="00154588">
              <w:rPr>
                <w:bCs/>
                <w:sz w:val="20"/>
                <w:szCs w:val="20"/>
              </w:rPr>
              <w:t xml:space="preserve"> înseamnă cuantumul agregat cu care trebuie reduse sau convertite datoriile care pot face obiectul recapitalizării interne, rezultată în urma evaluării efectuate de autoritatea de rezoluție în conformitate cu articolul 46 alineatul (1);</w:t>
            </w:r>
          </w:p>
          <w:p w14:paraId="46FFB5E0" w14:textId="2D8C9EB9" w:rsidR="00D15C1B" w:rsidRPr="00154588" w:rsidRDefault="00D15C1B" w:rsidP="008C12B4">
            <w:pPr>
              <w:jc w:val="both"/>
              <w:rPr>
                <w:bCs/>
                <w:sz w:val="20"/>
                <w:szCs w:val="20"/>
              </w:rPr>
            </w:pPr>
          </w:p>
        </w:tc>
        <w:tc>
          <w:tcPr>
            <w:tcW w:w="4819" w:type="dxa"/>
          </w:tcPr>
          <w:p w14:paraId="38E14D98" w14:textId="77777777" w:rsidR="005D25E3" w:rsidRPr="00154588" w:rsidRDefault="005D25E3" w:rsidP="008C12B4">
            <w:pPr>
              <w:jc w:val="both"/>
              <w:rPr>
                <w:bCs/>
                <w:sz w:val="20"/>
                <w:szCs w:val="20"/>
              </w:rPr>
            </w:pPr>
            <w:r w:rsidRPr="00154588">
              <w:rPr>
                <w:bCs/>
                <w:sz w:val="20"/>
                <w:szCs w:val="20"/>
              </w:rPr>
              <w:t xml:space="preserve">51) </w:t>
            </w:r>
            <w:r w:rsidRPr="00154588">
              <w:rPr>
                <w:bCs/>
                <w:i/>
                <w:sz w:val="20"/>
                <w:szCs w:val="20"/>
              </w:rPr>
              <w:t>sumă agregată</w:t>
            </w:r>
            <w:r w:rsidRPr="00154588">
              <w:rPr>
                <w:bCs/>
                <w:sz w:val="20"/>
                <w:szCs w:val="20"/>
              </w:rPr>
              <w:t xml:space="preserve"> – sumă totală cu care autoritatea de rezoluţie a determinat că trebuie reduse sau convertite datoriile care pot face obiectul recapitalizării interne, conform art.171;</w:t>
            </w:r>
          </w:p>
          <w:p w14:paraId="74114AEE" w14:textId="77777777" w:rsidR="00D15C1B" w:rsidRPr="00154588" w:rsidRDefault="00D15C1B" w:rsidP="008C12B4">
            <w:pPr>
              <w:jc w:val="both"/>
              <w:rPr>
                <w:bCs/>
                <w:sz w:val="20"/>
                <w:szCs w:val="20"/>
              </w:rPr>
            </w:pPr>
          </w:p>
        </w:tc>
        <w:tc>
          <w:tcPr>
            <w:tcW w:w="2552" w:type="dxa"/>
          </w:tcPr>
          <w:p w14:paraId="4F2E5420" w14:textId="00AD3A84" w:rsidR="00D15C1B" w:rsidRPr="00154588" w:rsidRDefault="0094082B" w:rsidP="008C12B4">
            <w:pPr>
              <w:jc w:val="both"/>
              <w:rPr>
                <w:bCs/>
                <w:sz w:val="20"/>
                <w:szCs w:val="20"/>
              </w:rPr>
            </w:pPr>
            <w:r w:rsidRPr="00154588">
              <w:rPr>
                <w:bCs/>
                <w:sz w:val="20"/>
                <w:szCs w:val="20"/>
              </w:rPr>
              <w:t>Compatibil</w:t>
            </w:r>
          </w:p>
        </w:tc>
        <w:tc>
          <w:tcPr>
            <w:tcW w:w="3118" w:type="dxa"/>
          </w:tcPr>
          <w:p w14:paraId="3F5E20B3" w14:textId="77777777" w:rsidR="00D15C1B" w:rsidRPr="00154588" w:rsidRDefault="00D15C1B" w:rsidP="008C12B4">
            <w:pPr>
              <w:jc w:val="both"/>
              <w:rPr>
                <w:bCs/>
                <w:sz w:val="20"/>
                <w:szCs w:val="20"/>
              </w:rPr>
            </w:pPr>
          </w:p>
        </w:tc>
      </w:tr>
      <w:tr w:rsidR="00D15C1B" w:rsidRPr="00154588" w14:paraId="14B247EF" w14:textId="77777777" w:rsidTr="00D15C1B">
        <w:trPr>
          <w:trHeight w:val="568"/>
          <w:jc w:val="center"/>
        </w:trPr>
        <w:tc>
          <w:tcPr>
            <w:tcW w:w="4957" w:type="dxa"/>
            <w:gridSpan w:val="2"/>
          </w:tcPr>
          <w:p w14:paraId="5AB5D47E" w14:textId="5A125ACA" w:rsidR="00D15C1B" w:rsidRPr="00154588" w:rsidRDefault="00D15C1B" w:rsidP="008C12B4">
            <w:pPr>
              <w:jc w:val="both"/>
              <w:rPr>
                <w:bCs/>
                <w:sz w:val="20"/>
                <w:szCs w:val="20"/>
              </w:rPr>
            </w:pPr>
            <w:r w:rsidRPr="00154588">
              <w:rPr>
                <w:bCs/>
                <w:sz w:val="20"/>
                <w:szCs w:val="20"/>
              </w:rPr>
              <w:t xml:space="preserve">71. </w:t>
            </w:r>
            <w:r w:rsidRPr="00154588">
              <w:rPr>
                <w:b/>
                <w:sz w:val="20"/>
                <w:szCs w:val="20"/>
              </w:rPr>
              <w:t>„datorii care pot face obiectul recapitalizării interne”</w:t>
            </w:r>
            <w:r w:rsidRPr="00154588">
              <w:rPr>
                <w:bCs/>
                <w:sz w:val="20"/>
                <w:szCs w:val="20"/>
              </w:rPr>
              <w:t xml:space="preserve"> înseamnă datorii</w:t>
            </w:r>
            <w:r w:rsidR="00E85E96" w:rsidRPr="00154588">
              <w:rPr>
                <w:bCs/>
                <w:sz w:val="20"/>
                <w:szCs w:val="20"/>
              </w:rPr>
              <w:t>le,</w:t>
            </w:r>
            <w:r w:rsidR="00E85E96" w:rsidRPr="00154588">
              <w:t xml:space="preserve"> </w:t>
            </w:r>
            <w:r w:rsidR="00E85E96" w:rsidRPr="00154588">
              <w:rPr>
                <w:bCs/>
                <w:sz w:val="20"/>
                <w:szCs w:val="20"/>
              </w:rPr>
              <w:t>inclusiv datoriile cu exigibilitate sau valoare incertă,</w:t>
            </w:r>
            <w:r w:rsidRPr="00154588">
              <w:rPr>
                <w:bCs/>
                <w:sz w:val="20"/>
                <w:szCs w:val="20"/>
              </w:rPr>
              <w:t xml:space="preserve"> și instrumente de capital care nu se califică drept instrumente de fonduri proprii de nivel 1 de bază, instrumente de fonduri proprii de nivel 1 suplimentar sau instrumente de fonduri proprii de nivel 2, aparținând unei instituții sau entități menționate la articolul 1 alineatul (1) litera (b), (c) sau (d), și care nu sunt excluse din domeniul de aplicare al instrumentului de recapitalizare internă în temeiul articolului 44 alineatul (2);</w:t>
            </w:r>
          </w:p>
        </w:tc>
        <w:tc>
          <w:tcPr>
            <w:tcW w:w="4819" w:type="dxa"/>
          </w:tcPr>
          <w:p w14:paraId="79BAB126" w14:textId="0BAD20E5" w:rsidR="005D25E3" w:rsidRPr="00154588" w:rsidRDefault="005D25E3" w:rsidP="008C12B4">
            <w:pPr>
              <w:jc w:val="both"/>
              <w:rPr>
                <w:bCs/>
                <w:sz w:val="20"/>
                <w:szCs w:val="20"/>
              </w:rPr>
            </w:pPr>
            <w:r w:rsidRPr="00154588">
              <w:rPr>
                <w:bCs/>
                <w:sz w:val="20"/>
                <w:szCs w:val="20"/>
              </w:rPr>
              <w:t xml:space="preserve">20) </w:t>
            </w:r>
            <w:r w:rsidRPr="00154588">
              <w:rPr>
                <w:bCs/>
                <w:i/>
                <w:sz w:val="20"/>
                <w:szCs w:val="20"/>
              </w:rPr>
              <w:t xml:space="preserve">datorii </w:t>
            </w:r>
            <w:r w:rsidRPr="00154588">
              <w:rPr>
                <w:bCs/>
                <w:i/>
                <w:iCs/>
                <w:sz w:val="20"/>
                <w:szCs w:val="20"/>
              </w:rPr>
              <w:t>care pot face obiectul recapitalizării interne</w:t>
            </w:r>
            <w:r w:rsidRPr="00154588">
              <w:rPr>
                <w:bCs/>
                <w:sz w:val="20"/>
                <w:szCs w:val="20"/>
              </w:rPr>
              <w:t xml:space="preserve"> – datorii</w:t>
            </w:r>
            <w:r w:rsidR="00B54410" w:rsidRPr="00154588">
              <w:rPr>
                <w:bCs/>
                <w:sz w:val="20"/>
                <w:szCs w:val="20"/>
              </w:rPr>
              <w:t>, inclusiv datorii cu exigibilitate sau valoare incertă,</w:t>
            </w:r>
            <w:r w:rsidRPr="00154588">
              <w:rPr>
                <w:bCs/>
                <w:sz w:val="20"/>
                <w:szCs w:val="20"/>
              </w:rPr>
              <w:t xml:space="preserve"> şi instrumente de capital ale unei bănci, care nu se califică drept instrumente de fonduri proprii de nivelul 1 de bază, instrumente de fonduri proprii de nivelul 1 suplimentar sau instrumente de fonduri proprii de nivelul 2, care nu sînt excluse din sfera aplicării instrumentului de recapitalizare internă;</w:t>
            </w:r>
          </w:p>
          <w:p w14:paraId="4D364166" w14:textId="77777777" w:rsidR="00D15C1B" w:rsidRPr="00154588" w:rsidRDefault="00D15C1B" w:rsidP="008C12B4">
            <w:pPr>
              <w:jc w:val="both"/>
              <w:rPr>
                <w:bCs/>
                <w:sz w:val="20"/>
                <w:szCs w:val="20"/>
              </w:rPr>
            </w:pPr>
          </w:p>
        </w:tc>
        <w:tc>
          <w:tcPr>
            <w:tcW w:w="2552" w:type="dxa"/>
          </w:tcPr>
          <w:p w14:paraId="4C65D8BF" w14:textId="78FCE273" w:rsidR="00D15C1B" w:rsidRPr="00154588" w:rsidRDefault="0094082B" w:rsidP="008C12B4">
            <w:pPr>
              <w:jc w:val="both"/>
              <w:rPr>
                <w:bCs/>
                <w:sz w:val="20"/>
                <w:szCs w:val="20"/>
              </w:rPr>
            </w:pPr>
            <w:r w:rsidRPr="00154588">
              <w:rPr>
                <w:bCs/>
                <w:sz w:val="20"/>
                <w:szCs w:val="20"/>
              </w:rPr>
              <w:t>Compatibil</w:t>
            </w:r>
            <w:r w:rsidR="00E85E96" w:rsidRPr="00154588">
              <w:rPr>
                <w:bCs/>
                <w:sz w:val="20"/>
                <w:szCs w:val="20"/>
              </w:rPr>
              <w:t xml:space="preserve"> </w:t>
            </w:r>
          </w:p>
        </w:tc>
        <w:tc>
          <w:tcPr>
            <w:tcW w:w="3118" w:type="dxa"/>
          </w:tcPr>
          <w:p w14:paraId="7A38E4A2" w14:textId="77777777" w:rsidR="00D15C1B" w:rsidRPr="00154588" w:rsidRDefault="00D15C1B" w:rsidP="008C12B4">
            <w:pPr>
              <w:jc w:val="both"/>
              <w:rPr>
                <w:bCs/>
                <w:sz w:val="20"/>
                <w:szCs w:val="20"/>
              </w:rPr>
            </w:pPr>
          </w:p>
        </w:tc>
      </w:tr>
      <w:tr w:rsidR="00D15C1B" w:rsidRPr="00154588" w14:paraId="2D05B111" w14:textId="77777777" w:rsidTr="00D15C1B">
        <w:trPr>
          <w:jc w:val="center"/>
        </w:trPr>
        <w:tc>
          <w:tcPr>
            <w:tcW w:w="4957" w:type="dxa"/>
            <w:gridSpan w:val="2"/>
          </w:tcPr>
          <w:p w14:paraId="783A1C73" w14:textId="1C6ECE28" w:rsidR="00D15C1B" w:rsidRPr="00154588" w:rsidRDefault="00D15C1B" w:rsidP="008C12B4">
            <w:pPr>
              <w:jc w:val="both"/>
              <w:rPr>
                <w:bCs/>
                <w:sz w:val="20"/>
                <w:szCs w:val="20"/>
              </w:rPr>
            </w:pPr>
            <w:r w:rsidRPr="00154588">
              <w:rPr>
                <w:bCs/>
                <w:sz w:val="20"/>
                <w:szCs w:val="20"/>
              </w:rPr>
              <w:t xml:space="preserve">71a. </w:t>
            </w:r>
            <w:r w:rsidRPr="00154588">
              <w:rPr>
                <w:b/>
                <w:sz w:val="20"/>
                <w:szCs w:val="20"/>
              </w:rPr>
              <w:t>„datorii eligibile”</w:t>
            </w:r>
            <w:r w:rsidRPr="00154588">
              <w:rPr>
                <w:bCs/>
                <w:sz w:val="20"/>
                <w:szCs w:val="20"/>
              </w:rPr>
              <w:t xml:space="preserve"> înseamnă datorii care pot face obiectul recapitalizării interne și care îndeplinesc, după caz, condițiile prevăzute la articolul 45b sau la articolul 45f alineatul (2) litera (a) din prezenta directivă și instrumente de fonduri proprii de nivel 2 care îndeplinesc condițiile prevăzute la articolul 72a alineatul (1) litera (b) din Regulamentul (UE) nr. 575/2013;</w:t>
            </w:r>
          </w:p>
        </w:tc>
        <w:tc>
          <w:tcPr>
            <w:tcW w:w="4819" w:type="dxa"/>
          </w:tcPr>
          <w:p w14:paraId="65C45368" w14:textId="10ED100A" w:rsidR="005D25E3" w:rsidRPr="00154588" w:rsidRDefault="005D25E3" w:rsidP="008C12B4">
            <w:pPr>
              <w:jc w:val="both"/>
              <w:rPr>
                <w:bCs/>
                <w:sz w:val="20"/>
                <w:szCs w:val="20"/>
              </w:rPr>
            </w:pPr>
            <w:r w:rsidRPr="00154588">
              <w:rPr>
                <w:bCs/>
                <w:sz w:val="20"/>
                <w:szCs w:val="20"/>
              </w:rPr>
              <w:t>19</w:t>
            </w:r>
            <w:r w:rsidRPr="00154588">
              <w:rPr>
                <w:bCs/>
                <w:sz w:val="20"/>
                <w:szCs w:val="20"/>
                <w:vertAlign w:val="superscript"/>
              </w:rPr>
              <w:t>1</w:t>
            </w:r>
            <w:r w:rsidRPr="00154588">
              <w:rPr>
                <w:bCs/>
                <w:sz w:val="20"/>
                <w:szCs w:val="20"/>
              </w:rPr>
              <w:t xml:space="preserve">) </w:t>
            </w:r>
            <w:r w:rsidRPr="00154588">
              <w:rPr>
                <w:bCs/>
                <w:i/>
                <w:iCs/>
                <w:sz w:val="20"/>
                <w:szCs w:val="20"/>
              </w:rPr>
              <w:t>datorii eligibile</w:t>
            </w:r>
            <w:r w:rsidRPr="00154588">
              <w:rPr>
                <w:bCs/>
                <w:sz w:val="20"/>
                <w:szCs w:val="20"/>
              </w:rPr>
              <w:t xml:space="preserve"> </w:t>
            </w:r>
            <w:r w:rsidR="00750ADC" w:rsidRPr="00154588">
              <w:rPr>
                <w:bCs/>
                <w:sz w:val="20"/>
                <w:szCs w:val="20"/>
              </w:rPr>
              <w:t>–</w:t>
            </w:r>
            <w:r w:rsidRPr="00154588">
              <w:rPr>
                <w:bCs/>
                <w:sz w:val="20"/>
                <w:szCs w:val="20"/>
              </w:rPr>
              <w:t xml:space="preserve"> </w:t>
            </w:r>
            <w:r w:rsidR="005C41B0" w:rsidRPr="00154588">
              <w:rPr>
                <w:bCs/>
                <w:sz w:val="20"/>
                <w:szCs w:val="20"/>
              </w:rPr>
              <w:t xml:space="preserve">pasive </w:t>
            </w:r>
            <w:r w:rsidRPr="00154588">
              <w:rPr>
                <w:bCs/>
                <w:sz w:val="20"/>
                <w:szCs w:val="20"/>
              </w:rPr>
              <w:t xml:space="preserve">care pot face obiectul recapitalizării interne şi care îndeplinesc condiţiile prevăzute </w:t>
            </w:r>
            <w:r w:rsidR="00D30C5D" w:rsidRPr="00154588">
              <w:rPr>
                <w:sz w:val="20"/>
                <w:szCs w:val="20"/>
                <w:lang w:eastAsia="ro-MD"/>
              </w:rPr>
              <w:t>în reglementările emise de Banca Națională a Moldovei cu privire la elemente și instrumente de pasive</w:t>
            </w:r>
            <w:r w:rsidR="005C41B0" w:rsidRPr="00154588">
              <w:rPr>
                <w:sz w:val="20"/>
                <w:szCs w:val="20"/>
                <w:lang w:eastAsia="ro-MD"/>
              </w:rPr>
              <w:t xml:space="preserve"> eligibile</w:t>
            </w:r>
            <w:r w:rsidRPr="00154588">
              <w:rPr>
                <w:bCs/>
                <w:sz w:val="20"/>
                <w:szCs w:val="20"/>
              </w:rPr>
              <w:t>;</w:t>
            </w:r>
          </w:p>
          <w:p w14:paraId="2392018C" w14:textId="77777777" w:rsidR="00D15C1B" w:rsidRPr="00154588" w:rsidRDefault="00D15C1B" w:rsidP="008C12B4">
            <w:pPr>
              <w:jc w:val="both"/>
              <w:rPr>
                <w:bCs/>
                <w:sz w:val="20"/>
                <w:szCs w:val="20"/>
              </w:rPr>
            </w:pPr>
          </w:p>
        </w:tc>
        <w:tc>
          <w:tcPr>
            <w:tcW w:w="2552" w:type="dxa"/>
          </w:tcPr>
          <w:p w14:paraId="6E6709F4" w14:textId="7900B224" w:rsidR="00D15C1B" w:rsidRPr="00154588" w:rsidRDefault="0094082B" w:rsidP="008C12B4">
            <w:pPr>
              <w:jc w:val="both"/>
              <w:rPr>
                <w:bCs/>
                <w:sz w:val="20"/>
                <w:szCs w:val="20"/>
              </w:rPr>
            </w:pPr>
            <w:r w:rsidRPr="00154588">
              <w:rPr>
                <w:bCs/>
                <w:sz w:val="20"/>
                <w:szCs w:val="20"/>
              </w:rPr>
              <w:t>Compatibil</w:t>
            </w:r>
          </w:p>
        </w:tc>
        <w:tc>
          <w:tcPr>
            <w:tcW w:w="3118" w:type="dxa"/>
          </w:tcPr>
          <w:p w14:paraId="01F5CAFC" w14:textId="436FB6E2" w:rsidR="00D15C1B" w:rsidRPr="00154588" w:rsidRDefault="00D15C1B" w:rsidP="008C12B4">
            <w:pPr>
              <w:jc w:val="both"/>
              <w:rPr>
                <w:bCs/>
                <w:sz w:val="20"/>
                <w:szCs w:val="20"/>
              </w:rPr>
            </w:pPr>
          </w:p>
        </w:tc>
      </w:tr>
      <w:tr w:rsidR="00E85E96" w:rsidRPr="00154588" w14:paraId="7178DFC9" w14:textId="77777777" w:rsidTr="00D15C1B">
        <w:trPr>
          <w:jc w:val="center"/>
        </w:trPr>
        <w:tc>
          <w:tcPr>
            <w:tcW w:w="4957" w:type="dxa"/>
            <w:gridSpan w:val="2"/>
          </w:tcPr>
          <w:p w14:paraId="4069D36E" w14:textId="1B3D5566" w:rsidR="00E85E96" w:rsidRPr="00154588" w:rsidRDefault="00E85E96" w:rsidP="008C12B4">
            <w:pPr>
              <w:jc w:val="both"/>
              <w:rPr>
                <w:bCs/>
                <w:sz w:val="20"/>
                <w:szCs w:val="20"/>
              </w:rPr>
            </w:pPr>
            <w:r w:rsidRPr="00154588">
              <w:rPr>
                <w:bCs/>
                <w:sz w:val="20"/>
                <w:szCs w:val="20"/>
              </w:rPr>
              <w:t xml:space="preserve">71aa. </w:t>
            </w:r>
            <w:r w:rsidRPr="00154588">
              <w:rPr>
                <w:b/>
                <w:sz w:val="20"/>
                <w:szCs w:val="20"/>
              </w:rPr>
              <w:t>„datorii cu exigibilitate sau valoare incertă”</w:t>
            </w:r>
            <w:r w:rsidRPr="00154588">
              <w:rPr>
                <w:bCs/>
                <w:sz w:val="20"/>
                <w:szCs w:val="20"/>
              </w:rPr>
              <w:t xml:space="preserve"> înseamnă datorii bazate pe obligații actuale generate de evenimente anterioare care vor avea ca rezultat o pierdere și a căror exigibilitate sau valoare este incertă;</w:t>
            </w:r>
          </w:p>
        </w:tc>
        <w:tc>
          <w:tcPr>
            <w:tcW w:w="4819" w:type="dxa"/>
          </w:tcPr>
          <w:p w14:paraId="36E10737" w14:textId="6955E330" w:rsidR="00E85E96" w:rsidRPr="00154588" w:rsidRDefault="00FE2366" w:rsidP="008C12B4">
            <w:pPr>
              <w:jc w:val="both"/>
              <w:rPr>
                <w:bCs/>
                <w:sz w:val="20"/>
                <w:szCs w:val="20"/>
              </w:rPr>
            </w:pPr>
            <w:r w:rsidRPr="00154588">
              <w:rPr>
                <w:bCs/>
                <w:sz w:val="20"/>
                <w:szCs w:val="20"/>
              </w:rPr>
              <w:t>19</w:t>
            </w:r>
            <w:r w:rsidRPr="00154588">
              <w:rPr>
                <w:bCs/>
                <w:sz w:val="20"/>
                <w:szCs w:val="20"/>
                <w:vertAlign w:val="superscript"/>
              </w:rPr>
              <w:t>2</w:t>
            </w:r>
            <w:r w:rsidRPr="00154588">
              <w:rPr>
                <w:bCs/>
                <w:sz w:val="20"/>
                <w:szCs w:val="20"/>
              </w:rPr>
              <w:t>)</w:t>
            </w:r>
            <w:r w:rsidRPr="00154588">
              <w:rPr>
                <w:b/>
                <w:sz w:val="20"/>
                <w:szCs w:val="20"/>
              </w:rPr>
              <w:t xml:space="preserve"> </w:t>
            </w:r>
            <w:r w:rsidRPr="00154588">
              <w:rPr>
                <w:bCs/>
                <w:i/>
                <w:iCs/>
                <w:sz w:val="20"/>
                <w:szCs w:val="20"/>
              </w:rPr>
              <w:t>datorii cu exigibilitate sau valoare incertă</w:t>
            </w:r>
            <w:r w:rsidR="00961467" w:rsidRPr="00154588">
              <w:rPr>
                <w:bCs/>
                <w:i/>
                <w:iCs/>
                <w:sz w:val="20"/>
                <w:szCs w:val="20"/>
              </w:rPr>
              <w:t xml:space="preserve"> -</w:t>
            </w:r>
            <w:r w:rsidR="00961467" w:rsidRPr="00154588">
              <w:rPr>
                <w:bCs/>
                <w:sz w:val="20"/>
                <w:szCs w:val="20"/>
              </w:rPr>
              <w:t xml:space="preserve"> înseamnă datorii bazate pe obligații actuale generate de evenimente anterioare care vor avea ca rezultat o pierdere și a căror exigibilitate sau valoare este incertă;</w:t>
            </w:r>
          </w:p>
        </w:tc>
        <w:tc>
          <w:tcPr>
            <w:tcW w:w="2552" w:type="dxa"/>
          </w:tcPr>
          <w:p w14:paraId="71DEA42A" w14:textId="72FDB510" w:rsidR="00E85E96" w:rsidRPr="00154588" w:rsidRDefault="00951859" w:rsidP="008C12B4">
            <w:pPr>
              <w:jc w:val="both"/>
              <w:rPr>
                <w:bCs/>
                <w:sz w:val="20"/>
                <w:szCs w:val="20"/>
              </w:rPr>
            </w:pPr>
            <w:r w:rsidRPr="00154588">
              <w:rPr>
                <w:bCs/>
                <w:sz w:val="20"/>
                <w:szCs w:val="20"/>
              </w:rPr>
              <w:t>C</w:t>
            </w:r>
            <w:r w:rsidR="00422676" w:rsidRPr="00154588">
              <w:rPr>
                <w:bCs/>
                <w:sz w:val="20"/>
                <w:szCs w:val="20"/>
              </w:rPr>
              <w:t>ompatibil</w:t>
            </w:r>
          </w:p>
        </w:tc>
        <w:tc>
          <w:tcPr>
            <w:tcW w:w="3118" w:type="dxa"/>
          </w:tcPr>
          <w:p w14:paraId="054CE1A3" w14:textId="200966A1" w:rsidR="00E85E96" w:rsidRPr="00154588" w:rsidRDefault="00E85E96" w:rsidP="008C12B4">
            <w:pPr>
              <w:jc w:val="both"/>
              <w:rPr>
                <w:bCs/>
                <w:sz w:val="20"/>
                <w:szCs w:val="20"/>
              </w:rPr>
            </w:pPr>
          </w:p>
        </w:tc>
      </w:tr>
      <w:tr w:rsidR="00D15C1B" w:rsidRPr="00154588" w14:paraId="7C2296E1" w14:textId="77777777" w:rsidTr="00D15C1B">
        <w:trPr>
          <w:jc w:val="center"/>
        </w:trPr>
        <w:tc>
          <w:tcPr>
            <w:tcW w:w="4957" w:type="dxa"/>
            <w:gridSpan w:val="2"/>
          </w:tcPr>
          <w:p w14:paraId="4E66A634" w14:textId="4B5DE817" w:rsidR="00D15C1B" w:rsidRPr="00154588" w:rsidRDefault="00D15C1B" w:rsidP="008C12B4">
            <w:pPr>
              <w:jc w:val="both"/>
              <w:rPr>
                <w:bCs/>
                <w:sz w:val="20"/>
                <w:szCs w:val="20"/>
              </w:rPr>
            </w:pPr>
            <w:r w:rsidRPr="00154588">
              <w:rPr>
                <w:bCs/>
                <w:sz w:val="20"/>
                <w:szCs w:val="20"/>
              </w:rPr>
              <w:t xml:space="preserve">71b. </w:t>
            </w:r>
            <w:r w:rsidRPr="00154588">
              <w:rPr>
                <w:b/>
                <w:sz w:val="20"/>
                <w:szCs w:val="20"/>
              </w:rPr>
              <w:t>„instrumente eligibile subordonate”</w:t>
            </w:r>
            <w:r w:rsidRPr="00154588">
              <w:rPr>
                <w:bCs/>
                <w:sz w:val="20"/>
                <w:szCs w:val="20"/>
              </w:rPr>
              <w:t xml:space="preserve"> înseamnă instrumente care întrunesc toate condițiile menționate la articolul 72a din Regulamentul (UE) nr. 575/2013 altele decât cele menționate la articolul 72b alineatele (3)</w:t>
            </w:r>
            <w:r w:rsidR="00E85E96" w:rsidRPr="00154588">
              <w:rPr>
                <w:bCs/>
                <w:sz w:val="20"/>
                <w:szCs w:val="20"/>
              </w:rPr>
              <w:t>, (4) și</w:t>
            </w:r>
            <w:r w:rsidRPr="00154588">
              <w:rPr>
                <w:bCs/>
                <w:sz w:val="20"/>
                <w:szCs w:val="20"/>
              </w:rPr>
              <w:t>(5) din respectivul regulament</w:t>
            </w:r>
            <w:r w:rsidR="00E85E96" w:rsidRPr="00154588">
              <w:rPr>
                <w:bCs/>
                <w:sz w:val="20"/>
                <w:szCs w:val="20"/>
              </w:rPr>
              <w:t>,</w:t>
            </w:r>
            <w:r w:rsidR="00E85E96" w:rsidRPr="00154588">
              <w:t xml:space="preserve"> </w:t>
            </w:r>
            <w:r w:rsidR="00E85E96" w:rsidRPr="00154588">
              <w:rPr>
                <w:bCs/>
                <w:sz w:val="20"/>
                <w:szCs w:val="20"/>
              </w:rPr>
              <w:t>și, după caz, la articolul 45b alineatul (1a) din prezenta directivă;</w:t>
            </w:r>
          </w:p>
        </w:tc>
        <w:tc>
          <w:tcPr>
            <w:tcW w:w="4819" w:type="dxa"/>
          </w:tcPr>
          <w:p w14:paraId="328020B8" w14:textId="16070B29" w:rsidR="005D25E3" w:rsidRPr="00154588" w:rsidRDefault="005D25E3" w:rsidP="008C12B4">
            <w:pPr>
              <w:jc w:val="both"/>
              <w:rPr>
                <w:bCs/>
                <w:sz w:val="20"/>
                <w:szCs w:val="20"/>
              </w:rPr>
            </w:pPr>
            <w:r w:rsidRPr="00154588">
              <w:rPr>
                <w:bCs/>
                <w:sz w:val="20"/>
                <w:szCs w:val="20"/>
              </w:rPr>
              <w:t xml:space="preserve">90) </w:t>
            </w:r>
            <w:r w:rsidRPr="00154588">
              <w:rPr>
                <w:bCs/>
                <w:i/>
                <w:sz w:val="20"/>
                <w:szCs w:val="20"/>
              </w:rPr>
              <w:t>instrumente de datorii subordonate</w:t>
            </w:r>
            <w:r w:rsidRPr="00154588">
              <w:rPr>
                <w:bCs/>
                <w:sz w:val="20"/>
                <w:szCs w:val="20"/>
              </w:rPr>
              <w:t xml:space="preserve"> – datorie subordonată, astfel cum este definită la art.3 din Legea nr.202/2017</w:t>
            </w:r>
            <w:r w:rsidR="00B54410" w:rsidRPr="00154588">
              <w:rPr>
                <w:bCs/>
                <w:sz w:val="20"/>
                <w:szCs w:val="20"/>
              </w:rPr>
              <w:t xml:space="preserve"> și după caz, la art. </w:t>
            </w:r>
            <w:r w:rsidR="00D91CDC" w:rsidRPr="00154588">
              <w:rPr>
                <w:bCs/>
                <w:sz w:val="20"/>
                <w:szCs w:val="20"/>
              </w:rPr>
              <w:t>165 alin.(3)</w:t>
            </w:r>
            <w:r w:rsidR="00B54410" w:rsidRPr="00154588">
              <w:rPr>
                <w:bCs/>
                <w:sz w:val="20"/>
                <w:szCs w:val="20"/>
              </w:rPr>
              <w:t xml:space="preserve"> din prezenta </w:t>
            </w:r>
            <w:r w:rsidR="00D91CDC" w:rsidRPr="00154588">
              <w:rPr>
                <w:bCs/>
                <w:sz w:val="20"/>
                <w:szCs w:val="20"/>
              </w:rPr>
              <w:t>lege</w:t>
            </w:r>
            <w:r w:rsidRPr="00154588">
              <w:rPr>
                <w:bCs/>
                <w:sz w:val="20"/>
                <w:szCs w:val="20"/>
              </w:rPr>
              <w:t>;</w:t>
            </w:r>
          </w:p>
          <w:p w14:paraId="319453B6" w14:textId="77777777" w:rsidR="00D15C1B" w:rsidRPr="00154588" w:rsidRDefault="00D15C1B" w:rsidP="008C12B4">
            <w:pPr>
              <w:jc w:val="both"/>
              <w:rPr>
                <w:bCs/>
                <w:sz w:val="20"/>
                <w:szCs w:val="20"/>
              </w:rPr>
            </w:pPr>
          </w:p>
        </w:tc>
        <w:tc>
          <w:tcPr>
            <w:tcW w:w="2552" w:type="dxa"/>
          </w:tcPr>
          <w:p w14:paraId="494334DD" w14:textId="2A9C8F9C" w:rsidR="00D15C1B" w:rsidRPr="00154588" w:rsidRDefault="0094082B" w:rsidP="008C12B4">
            <w:pPr>
              <w:jc w:val="both"/>
              <w:rPr>
                <w:bCs/>
                <w:sz w:val="20"/>
                <w:szCs w:val="20"/>
              </w:rPr>
            </w:pPr>
            <w:r w:rsidRPr="00154588">
              <w:rPr>
                <w:bCs/>
                <w:sz w:val="20"/>
                <w:szCs w:val="20"/>
              </w:rPr>
              <w:t>Compatibil</w:t>
            </w:r>
            <w:r w:rsidR="00E85E96" w:rsidRPr="00154588">
              <w:rPr>
                <w:bCs/>
                <w:sz w:val="20"/>
                <w:szCs w:val="20"/>
              </w:rPr>
              <w:t xml:space="preserve"> </w:t>
            </w:r>
          </w:p>
        </w:tc>
        <w:tc>
          <w:tcPr>
            <w:tcW w:w="3118" w:type="dxa"/>
          </w:tcPr>
          <w:p w14:paraId="324FEEB5" w14:textId="77777777" w:rsidR="00D15C1B" w:rsidRPr="00154588" w:rsidRDefault="00D15C1B" w:rsidP="008C12B4">
            <w:pPr>
              <w:jc w:val="both"/>
              <w:rPr>
                <w:bCs/>
                <w:sz w:val="20"/>
                <w:szCs w:val="20"/>
              </w:rPr>
            </w:pPr>
          </w:p>
        </w:tc>
      </w:tr>
      <w:tr w:rsidR="00D15C1B" w:rsidRPr="00154588" w14:paraId="5D617DC3" w14:textId="77777777" w:rsidTr="00D15C1B">
        <w:trPr>
          <w:jc w:val="center"/>
        </w:trPr>
        <w:tc>
          <w:tcPr>
            <w:tcW w:w="4957" w:type="dxa"/>
            <w:gridSpan w:val="2"/>
          </w:tcPr>
          <w:p w14:paraId="56033A83" w14:textId="6E8BFD41" w:rsidR="00D15C1B" w:rsidRPr="00154588" w:rsidRDefault="00D15C1B" w:rsidP="008C12B4">
            <w:pPr>
              <w:tabs>
                <w:tab w:val="left" w:pos="1155"/>
              </w:tabs>
              <w:jc w:val="both"/>
              <w:rPr>
                <w:bCs/>
                <w:sz w:val="20"/>
                <w:szCs w:val="20"/>
              </w:rPr>
            </w:pPr>
            <w:r w:rsidRPr="00154588">
              <w:rPr>
                <w:bCs/>
                <w:sz w:val="20"/>
                <w:szCs w:val="20"/>
              </w:rPr>
              <w:t xml:space="preserve">72. </w:t>
            </w:r>
            <w:r w:rsidRPr="00154588">
              <w:rPr>
                <w:b/>
                <w:sz w:val="20"/>
                <w:szCs w:val="20"/>
              </w:rPr>
              <w:t>„schemă de garantare a depozitelor”</w:t>
            </w:r>
            <w:r w:rsidRPr="00154588">
              <w:rPr>
                <w:bCs/>
                <w:sz w:val="20"/>
                <w:szCs w:val="20"/>
              </w:rPr>
              <w:t xml:space="preserve"> înseamnă o schemă de garantare a depozitelor introdusă și recunoscută în mod oficial de un stat membru în temeiul articolului 4 din Directiva 2014/49/UE;</w:t>
            </w:r>
          </w:p>
        </w:tc>
        <w:tc>
          <w:tcPr>
            <w:tcW w:w="4819" w:type="dxa"/>
          </w:tcPr>
          <w:p w14:paraId="77C30F6D" w14:textId="43D46788" w:rsidR="00D15C1B" w:rsidRPr="00154588" w:rsidRDefault="005D25E3" w:rsidP="008C12B4">
            <w:pPr>
              <w:jc w:val="both"/>
              <w:rPr>
                <w:bCs/>
                <w:sz w:val="20"/>
                <w:szCs w:val="20"/>
              </w:rPr>
            </w:pPr>
            <w:r w:rsidRPr="00154588">
              <w:rPr>
                <w:bCs/>
                <w:sz w:val="20"/>
                <w:szCs w:val="20"/>
              </w:rPr>
              <w:t xml:space="preserve">104) </w:t>
            </w:r>
            <w:r w:rsidRPr="00154588">
              <w:rPr>
                <w:bCs/>
                <w:i/>
                <w:sz w:val="20"/>
                <w:szCs w:val="20"/>
              </w:rPr>
              <w:t>schemă de garantare a depozitelor</w:t>
            </w:r>
            <w:r w:rsidRPr="00154588">
              <w:rPr>
                <w:bCs/>
                <w:sz w:val="20"/>
                <w:szCs w:val="20"/>
              </w:rPr>
              <w:t xml:space="preserve"> – schemă de garantare a depozitelor, astfel cum este definită la art.2 din Legea nr.160/2023 cu privire la garantarea depozitelor în bănci;</w:t>
            </w:r>
          </w:p>
        </w:tc>
        <w:tc>
          <w:tcPr>
            <w:tcW w:w="2552" w:type="dxa"/>
          </w:tcPr>
          <w:p w14:paraId="069AA10A" w14:textId="7DDB48E3" w:rsidR="00D15C1B" w:rsidRPr="00154588" w:rsidRDefault="0094082B" w:rsidP="008C12B4">
            <w:pPr>
              <w:jc w:val="both"/>
              <w:rPr>
                <w:bCs/>
                <w:sz w:val="20"/>
                <w:szCs w:val="20"/>
              </w:rPr>
            </w:pPr>
            <w:r w:rsidRPr="00154588">
              <w:rPr>
                <w:bCs/>
                <w:sz w:val="20"/>
                <w:szCs w:val="20"/>
              </w:rPr>
              <w:t>Compatibil</w:t>
            </w:r>
          </w:p>
        </w:tc>
        <w:tc>
          <w:tcPr>
            <w:tcW w:w="3118" w:type="dxa"/>
          </w:tcPr>
          <w:p w14:paraId="7520B247" w14:textId="77777777" w:rsidR="00D15C1B" w:rsidRPr="00154588" w:rsidRDefault="00D15C1B" w:rsidP="008C12B4">
            <w:pPr>
              <w:jc w:val="both"/>
              <w:rPr>
                <w:bCs/>
                <w:sz w:val="20"/>
                <w:szCs w:val="20"/>
              </w:rPr>
            </w:pPr>
          </w:p>
        </w:tc>
      </w:tr>
      <w:tr w:rsidR="00E85E96" w:rsidRPr="00154588" w14:paraId="1CDD0D56" w14:textId="77777777" w:rsidTr="00D15C1B">
        <w:trPr>
          <w:jc w:val="center"/>
        </w:trPr>
        <w:tc>
          <w:tcPr>
            <w:tcW w:w="4957" w:type="dxa"/>
            <w:gridSpan w:val="2"/>
          </w:tcPr>
          <w:p w14:paraId="26C2F6D2" w14:textId="75F3644B" w:rsidR="00E85E96" w:rsidRPr="00154588" w:rsidRDefault="00E85E96" w:rsidP="008C12B4">
            <w:pPr>
              <w:tabs>
                <w:tab w:val="left" w:pos="1155"/>
              </w:tabs>
              <w:jc w:val="both"/>
              <w:rPr>
                <w:bCs/>
                <w:sz w:val="20"/>
                <w:szCs w:val="20"/>
              </w:rPr>
            </w:pPr>
            <w:r w:rsidRPr="00154588">
              <w:rPr>
                <w:bCs/>
                <w:sz w:val="20"/>
                <w:szCs w:val="20"/>
              </w:rPr>
              <w:lastRenderedPageBreak/>
              <w:t xml:space="preserve">72a. </w:t>
            </w:r>
            <w:r w:rsidRPr="00154588">
              <w:rPr>
                <w:b/>
                <w:sz w:val="20"/>
                <w:szCs w:val="20"/>
              </w:rPr>
              <w:t>„autoritate desemnată”</w:t>
            </w:r>
            <w:r w:rsidRPr="00154588">
              <w:rPr>
                <w:bCs/>
                <w:sz w:val="20"/>
                <w:szCs w:val="20"/>
              </w:rPr>
              <w:t xml:space="preserve"> înseamnă o autoritate desemnată în sensul definiției de la articolul 2 alineatul (1) punctul 18 din Directiva 2014/49/UE;</w:t>
            </w:r>
          </w:p>
        </w:tc>
        <w:tc>
          <w:tcPr>
            <w:tcW w:w="4819" w:type="dxa"/>
          </w:tcPr>
          <w:p w14:paraId="2083A7AA" w14:textId="189442C0" w:rsidR="00E85E96" w:rsidRPr="00154588" w:rsidRDefault="00A524C5" w:rsidP="008C12B4">
            <w:pPr>
              <w:jc w:val="both"/>
              <w:rPr>
                <w:bCs/>
                <w:sz w:val="20"/>
                <w:szCs w:val="20"/>
              </w:rPr>
            </w:pPr>
            <w:r w:rsidRPr="00154588">
              <w:rPr>
                <w:bCs/>
                <w:sz w:val="20"/>
                <w:szCs w:val="20"/>
              </w:rPr>
              <w:t>104</w:t>
            </w:r>
            <w:r w:rsidRPr="00154588">
              <w:rPr>
                <w:bCs/>
                <w:sz w:val="20"/>
                <w:szCs w:val="20"/>
                <w:vertAlign w:val="superscript"/>
              </w:rPr>
              <w:t>1</w:t>
            </w:r>
            <w:r w:rsidR="00E63646" w:rsidRPr="00154588">
              <w:rPr>
                <w:bCs/>
                <w:sz w:val="20"/>
                <w:szCs w:val="20"/>
              </w:rPr>
              <w:t xml:space="preserve"> </w:t>
            </w:r>
            <w:r w:rsidRPr="00154588">
              <w:rPr>
                <w:bCs/>
                <w:sz w:val="20"/>
                <w:szCs w:val="20"/>
              </w:rPr>
              <w:t xml:space="preserve">) </w:t>
            </w:r>
            <w:r w:rsidRPr="00154588">
              <w:rPr>
                <w:bCs/>
                <w:i/>
                <w:iCs/>
                <w:sz w:val="20"/>
                <w:szCs w:val="20"/>
              </w:rPr>
              <w:t>autoritate desemnată</w:t>
            </w:r>
            <w:r w:rsidRPr="00154588">
              <w:rPr>
                <w:bCs/>
                <w:sz w:val="20"/>
                <w:szCs w:val="20"/>
              </w:rPr>
              <w:t xml:space="preserve"> – astfel cum este definită în Legea 160/2023</w:t>
            </w:r>
            <w:r w:rsidR="00951859" w:rsidRPr="00154588">
              <w:rPr>
                <w:bCs/>
                <w:sz w:val="20"/>
                <w:szCs w:val="20"/>
              </w:rPr>
              <w:t>;</w:t>
            </w:r>
          </w:p>
        </w:tc>
        <w:tc>
          <w:tcPr>
            <w:tcW w:w="2552" w:type="dxa"/>
          </w:tcPr>
          <w:p w14:paraId="75C3E245" w14:textId="0DE8457E" w:rsidR="00E85E96" w:rsidRPr="00154588" w:rsidRDefault="00DC5D23" w:rsidP="008C12B4">
            <w:pPr>
              <w:jc w:val="both"/>
              <w:rPr>
                <w:bCs/>
                <w:sz w:val="20"/>
                <w:szCs w:val="20"/>
              </w:rPr>
            </w:pPr>
            <w:r w:rsidRPr="00154588">
              <w:rPr>
                <w:bCs/>
                <w:sz w:val="20"/>
                <w:szCs w:val="20"/>
              </w:rPr>
              <w:t>C</w:t>
            </w:r>
            <w:r w:rsidR="00B01153" w:rsidRPr="00154588">
              <w:rPr>
                <w:bCs/>
                <w:sz w:val="20"/>
                <w:szCs w:val="20"/>
              </w:rPr>
              <w:t>ompatibil</w:t>
            </w:r>
          </w:p>
        </w:tc>
        <w:tc>
          <w:tcPr>
            <w:tcW w:w="3118" w:type="dxa"/>
          </w:tcPr>
          <w:p w14:paraId="76CC7623" w14:textId="42F0F61D" w:rsidR="00E85E96" w:rsidRPr="00154588" w:rsidRDefault="00E85E96" w:rsidP="008C12B4">
            <w:pPr>
              <w:jc w:val="both"/>
              <w:rPr>
                <w:bCs/>
                <w:sz w:val="16"/>
                <w:szCs w:val="16"/>
              </w:rPr>
            </w:pPr>
          </w:p>
        </w:tc>
      </w:tr>
      <w:tr w:rsidR="00D15C1B" w:rsidRPr="00154588" w14:paraId="1E880B91" w14:textId="77777777" w:rsidTr="00D15C1B">
        <w:trPr>
          <w:jc w:val="center"/>
        </w:trPr>
        <w:tc>
          <w:tcPr>
            <w:tcW w:w="4957" w:type="dxa"/>
            <w:gridSpan w:val="2"/>
          </w:tcPr>
          <w:p w14:paraId="002281E8" w14:textId="74DA6F0F" w:rsidR="00D15C1B" w:rsidRPr="00154588" w:rsidRDefault="00D15C1B" w:rsidP="008C12B4">
            <w:pPr>
              <w:jc w:val="both"/>
              <w:rPr>
                <w:bCs/>
                <w:sz w:val="20"/>
                <w:szCs w:val="20"/>
              </w:rPr>
            </w:pPr>
            <w:r w:rsidRPr="00154588">
              <w:rPr>
                <w:bCs/>
                <w:sz w:val="20"/>
                <w:szCs w:val="20"/>
              </w:rPr>
              <w:t xml:space="preserve">73. </w:t>
            </w:r>
            <w:r w:rsidRPr="00154588">
              <w:rPr>
                <w:b/>
                <w:sz w:val="20"/>
                <w:szCs w:val="20"/>
              </w:rPr>
              <w:t>„instrumente de fonduri proprii de nivel 2”</w:t>
            </w:r>
            <w:r w:rsidRPr="00154588">
              <w:rPr>
                <w:bCs/>
                <w:sz w:val="20"/>
                <w:szCs w:val="20"/>
              </w:rPr>
              <w:t xml:space="preserve"> înseamnă instrumente de capital sau împrumuturi subordonate ce întrunesc cerințele prevăzute la articolul 63 din Regulamentul (UE) nr. 575/2013;</w:t>
            </w:r>
          </w:p>
        </w:tc>
        <w:tc>
          <w:tcPr>
            <w:tcW w:w="4819" w:type="dxa"/>
          </w:tcPr>
          <w:p w14:paraId="574FEBB7" w14:textId="3EF093AA" w:rsidR="00D15C1B" w:rsidRPr="00154588" w:rsidRDefault="005D25E3" w:rsidP="008C12B4">
            <w:pPr>
              <w:jc w:val="both"/>
              <w:rPr>
                <w:bCs/>
                <w:sz w:val="20"/>
                <w:szCs w:val="20"/>
              </w:rPr>
            </w:pPr>
            <w:r w:rsidRPr="00154588">
              <w:rPr>
                <w:bCs/>
                <w:sz w:val="20"/>
                <w:szCs w:val="20"/>
              </w:rPr>
              <w:t xml:space="preserve">33) </w:t>
            </w:r>
            <w:r w:rsidRPr="00154588">
              <w:rPr>
                <w:bCs/>
                <w:i/>
                <w:sz w:val="20"/>
                <w:szCs w:val="20"/>
              </w:rPr>
              <w:t>instrumente de fonduri proprii de nivelul 2</w:t>
            </w:r>
            <w:r w:rsidRPr="00154588">
              <w:rPr>
                <w:bCs/>
                <w:sz w:val="20"/>
                <w:szCs w:val="20"/>
              </w:rPr>
              <w:t xml:space="preserve"> – instrumente de capital sau împrumuturi subordonate ce întrunesc cerinţele prevăzute în actele normative ale Băncii Naţionale a Moldovei emise în aplicarea prevederilor art.60, 61 şi 62 din Legea nr.202/2017;</w:t>
            </w:r>
          </w:p>
        </w:tc>
        <w:tc>
          <w:tcPr>
            <w:tcW w:w="2552" w:type="dxa"/>
          </w:tcPr>
          <w:p w14:paraId="55D032CC" w14:textId="608815D0" w:rsidR="00D15C1B" w:rsidRPr="00154588" w:rsidRDefault="0094082B" w:rsidP="008C12B4">
            <w:pPr>
              <w:jc w:val="both"/>
              <w:rPr>
                <w:bCs/>
                <w:sz w:val="20"/>
                <w:szCs w:val="20"/>
              </w:rPr>
            </w:pPr>
            <w:r w:rsidRPr="00154588">
              <w:rPr>
                <w:bCs/>
                <w:sz w:val="20"/>
                <w:szCs w:val="20"/>
              </w:rPr>
              <w:t>Compatibil</w:t>
            </w:r>
          </w:p>
        </w:tc>
        <w:tc>
          <w:tcPr>
            <w:tcW w:w="3118" w:type="dxa"/>
          </w:tcPr>
          <w:p w14:paraId="2F399F9E" w14:textId="77777777" w:rsidR="00D15C1B" w:rsidRPr="00154588" w:rsidRDefault="00D15C1B" w:rsidP="008C12B4">
            <w:pPr>
              <w:jc w:val="both"/>
              <w:rPr>
                <w:bCs/>
                <w:sz w:val="20"/>
                <w:szCs w:val="20"/>
              </w:rPr>
            </w:pPr>
          </w:p>
        </w:tc>
      </w:tr>
      <w:tr w:rsidR="00D15C1B" w:rsidRPr="00154588" w14:paraId="6957EEB3" w14:textId="77777777" w:rsidTr="00D15C1B">
        <w:trPr>
          <w:jc w:val="center"/>
        </w:trPr>
        <w:tc>
          <w:tcPr>
            <w:tcW w:w="4957" w:type="dxa"/>
            <w:gridSpan w:val="2"/>
          </w:tcPr>
          <w:p w14:paraId="64306B80" w14:textId="4A6A4BF6" w:rsidR="00D15C1B" w:rsidRPr="00154588" w:rsidRDefault="00D15C1B" w:rsidP="008C12B4">
            <w:pPr>
              <w:jc w:val="both"/>
              <w:rPr>
                <w:bCs/>
                <w:sz w:val="20"/>
                <w:szCs w:val="20"/>
              </w:rPr>
            </w:pPr>
            <w:r w:rsidRPr="00154588">
              <w:rPr>
                <w:bCs/>
                <w:sz w:val="20"/>
                <w:szCs w:val="20"/>
              </w:rPr>
              <w:t xml:space="preserve">74. </w:t>
            </w:r>
            <w:r w:rsidRPr="00154588">
              <w:rPr>
                <w:b/>
                <w:sz w:val="20"/>
                <w:szCs w:val="20"/>
              </w:rPr>
              <w:t>„instrumente de capital relevante”</w:t>
            </w:r>
            <w:r w:rsidRPr="00154588">
              <w:rPr>
                <w:bCs/>
                <w:sz w:val="20"/>
                <w:szCs w:val="20"/>
              </w:rPr>
              <w:t xml:space="preserve"> în sensul dispozițiilor titlului IV capitolul IV secțiunea 5 și ale titlului IV capitolul V înseamnă instrumente de fonduri proprii de nivel 1 suplimentar și instrumente de fonduri proprii de nivel 2;</w:t>
            </w:r>
          </w:p>
        </w:tc>
        <w:tc>
          <w:tcPr>
            <w:tcW w:w="4819" w:type="dxa"/>
          </w:tcPr>
          <w:p w14:paraId="23B1D1B1" w14:textId="77777777" w:rsidR="005D25E3" w:rsidRPr="00154588" w:rsidRDefault="005D25E3" w:rsidP="008C12B4">
            <w:pPr>
              <w:jc w:val="both"/>
              <w:rPr>
                <w:bCs/>
                <w:sz w:val="20"/>
                <w:szCs w:val="20"/>
              </w:rPr>
            </w:pPr>
            <w:r w:rsidRPr="00154588">
              <w:rPr>
                <w:bCs/>
                <w:sz w:val="20"/>
                <w:szCs w:val="20"/>
              </w:rPr>
              <w:t xml:space="preserve">30) </w:t>
            </w:r>
            <w:r w:rsidRPr="00154588">
              <w:rPr>
                <w:bCs/>
                <w:i/>
                <w:sz w:val="20"/>
                <w:szCs w:val="20"/>
              </w:rPr>
              <w:t>instrumente de capital relevante potrivit prevederilor art.151-230</w:t>
            </w:r>
            <w:r w:rsidRPr="00154588">
              <w:rPr>
                <w:bCs/>
                <w:sz w:val="20"/>
                <w:szCs w:val="20"/>
              </w:rPr>
              <w:t xml:space="preserve"> – instrumente de fonduri proprii de nivelul 2 şi instrumente de fonduri proprii de nivelul 1 suplimentar, conform reglementărilor Băncii Naţionale a Moldovei;</w:t>
            </w:r>
          </w:p>
          <w:p w14:paraId="797BF1E6" w14:textId="77777777" w:rsidR="00D15C1B" w:rsidRPr="00154588" w:rsidRDefault="00D15C1B" w:rsidP="008C12B4">
            <w:pPr>
              <w:jc w:val="both"/>
              <w:rPr>
                <w:bCs/>
                <w:sz w:val="20"/>
                <w:szCs w:val="20"/>
              </w:rPr>
            </w:pPr>
          </w:p>
        </w:tc>
        <w:tc>
          <w:tcPr>
            <w:tcW w:w="2552" w:type="dxa"/>
          </w:tcPr>
          <w:p w14:paraId="36559A92" w14:textId="5FB9B563" w:rsidR="00D15C1B" w:rsidRPr="00154588" w:rsidRDefault="0094082B" w:rsidP="008C12B4">
            <w:pPr>
              <w:jc w:val="both"/>
              <w:rPr>
                <w:bCs/>
                <w:sz w:val="20"/>
                <w:szCs w:val="20"/>
              </w:rPr>
            </w:pPr>
            <w:r w:rsidRPr="00154588">
              <w:rPr>
                <w:bCs/>
                <w:sz w:val="20"/>
                <w:szCs w:val="20"/>
              </w:rPr>
              <w:t>Compatibil</w:t>
            </w:r>
          </w:p>
        </w:tc>
        <w:tc>
          <w:tcPr>
            <w:tcW w:w="3118" w:type="dxa"/>
          </w:tcPr>
          <w:p w14:paraId="0D17A5EA" w14:textId="77777777" w:rsidR="00D15C1B" w:rsidRPr="00154588" w:rsidRDefault="00D15C1B" w:rsidP="008C12B4">
            <w:pPr>
              <w:jc w:val="both"/>
              <w:rPr>
                <w:bCs/>
                <w:sz w:val="20"/>
                <w:szCs w:val="20"/>
              </w:rPr>
            </w:pPr>
          </w:p>
        </w:tc>
      </w:tr>
      <w:tr w:rsidR="00D15C1B" w:rsidRPr="00154588" w14:paraId="042FF65E" w14:textId="77777777" w:rsidTr="00D15C1B">
        <w:trPr>
          <w:jc w:val="center"/>
        </w:trPr>
        <w:tc>
          <w:tcPr>
            <w:tcW w:w="4957" w:type="dxa"/>
            <w:gridSpan w:val="2"/>
          </w:tcPr>
          <w:p w14:paraId="6D6D4123" w14:textId="71A89126" w:rsidR="00D15C1B" w:rsidRPr="00154588" w:rsidRDefault="00D15C1B" w:rsidP="008C12B4">
            <w:pPr>
              <w:jc w:val="both"/>
              <w:rPr>
                <w:bCs/>
                <w:sz w:val="20"/>
                <w:szCs w:val="20"/>
              </w:rPr>
            </w:pPr>
            <w:r w:rsidRPr="00154588">
              <w:rPr>
                <w:bCs/>
                <w:sz w:val="20"/>
                <w:szCs w:val="20"/>
              </w:rPr>
              <w:t xml:space="preserve">75. </w:t>
            </w:r>
            <w:r w:rsidRPr="00154588">
              <w:rPr>
                <w:b/>
                <w:sz w:val="20"/>
                <w:szCs w:val="20"/>
              </w:rPr>
              <w:t>„rată de conversie”</w:t>
            </w:r>
            <w:r w:rsidRPr="00154588">
              <w:rPr>
                <w:bCs/>
                <w:sz w:val="20"/>
                <w:szCs w:val="20"/>
              </w:rPr>
              <w:t xml:space="preserve"> înseamnă factorul care determină numărul de acțiuni sau alte instrumente de proprietate în care poate fi convertită o datorie aparținând unei anumite categorii, exprimat fie în raport cu un singur instrument din categoria respectivă, fie în raport cu o unitate de valoare dată a unui titlu de creanță;</w:t>
            </w:r>
          </w:p>
        </w:tc>
        <w:tc>
          <w:tcPr>
            <w:tcW w:w="4819" w:type="dxa"/>
          </w:tcPr>
          <w:p w14:paraId="3403EF28" w14:textId="7DFFDF1A" w:rsidR="00D15C1B" w:rsidRPr="00154588" w:rsidRDefault="005D25E3" w:rsidP="008C12B4">
            <w:pPr>
              <w:jc w:val="both"/>
              <w:rPr>
                <w:bCs/>
                <w:sz w:val="20"/>
                <w:szCs w:val="20"/>
              </w:rPr>
            </w:pPr>
            <w:r w:rsidRPr="00154588">
              <w:rPr>
                <w:bCs/>
                <w:sz w:val="20"/>
                <w:szCs w:val="20"/>
              </w:rPr>
              <w:t xml:space="preserve">48) </w:t>
            </w:r>
            <w:r w:rsidRPr="00154588">
              <w:rPr>
                <w:bCs/>
                <w:i/>
                <w:sz w:val="20"/>
                <w:szCs w:val="20"/>
              </w:rPr>
              <w:t>rată de conversie</w:t>
            </w:r>
            <w:r w:rsidRPr="00154588">
              <w:rPr>
                <w:bCs/>
                <w:sz w:val="20"/>
                <w:szCs w:val="20"/>
              </w:rPr>
              <w:t xml:space="preserve"> – factor care determină numărul de acţiuni sau alte instrumente de proprietate în care o datorie dintr-o anumită clasă va fi transformată, cu referinţă fie la un singur instrument din clasa respectivă, fie la o unitate valorică specificată dintr-o creanţă;</w:t>
            </w:r>
          </w:p>
        </w:tc>
        <w:tc>
          <w:tcPr>
            <w:tcW w:w="2552" w:type="dxa"/>
          </w:tcPr>
          <w:p w14:paraId="4C95CCCC" w14:textId="72707539" w:rsidR="00D15C1B" w:rsidRPr="00154588" w:rsidRDefault="0094082B" w:rsidP="008C12B4">
            <w:pPr>
              <w:jc w:val="both"/>
              <w:rPr>
                <w:bCs/>
                <w:sz w:val="20"/>
                <w:szCs w:val="20"/>
              </w:rPr>
            </w:pPr>
            <w:r w:rsidRPr="00154588">
              <w:rPr>
                <w:bCs/>
                <w:sz w:val="20"/>
                <w:szCs w:val="20"/>
              </w:rPr>
              <w:t>Compatibil</w:t>
            </w:r>
          </w:p>
        </w:tc>
        <w:tc>
          <w:tcPr>
            <w:tcW w:w="3118" w:type="dxa"/>
          </w:tcPr>
          <w:p w14:paraId="29DE7B23" w14:textId="77777777" w:rsidR="00D15C1B" w:rsidRPr="00154588" w:rsidRDefault="00D15C1B" w:rsidP="008C12B4">
            <w:pPr>
              <w:jc w:val="both"/>
              <w:rPr>
                <w:bCs/>
                <w:sz w:val="20"/>
                <w:szCs w:val="20"/>
              </w:rPr>
            </w:pPr>
          </w:p>
        </w:tc>
      </w:tr>
      <w:tr w:rsidR="00D15C1B" w:rsidRPr="00154588" w14:paraId="01F04289" w14:textId="77777777" w:rsidTr="00D15C1B">
        <w:trPr>
          <w:jc w:val="center"/>
        </w:trPr>
        <w:tc>
          <w:tcPr>
            <w:tcW w:w="4957" w:type="dxa"/>
            <w:gridSpan w:val="2"/>
          </w:tcPr>
          <w:p w14:paraId="3F0B28AC" w14:textId="5396F0EF" w:rsidR="00D15C1B" w:rsidRPr="00154588" w:rsidRDefault="00D15C1B" w:rsidP="008C12B4">
            <w:pPr>
              <w:jc w:val="both"/>
              <w:rPr>
                <w:bCs/>
                <w:sz w:val="20"/>
                <w:szCs w:val="20"/>
              </w:rPr>
            </w:pPr>
            <w:r w:rsidRPr="00154588">
              <w:rPr>
                <w:bCs/>
                <w:sz w:val="20"/>
                <w:szCs w:val="20"/>
              </w:rPr>
              <w:t>76.</w:t>
            </w:r>
            <w:r w:rsidRPr="00154588">
              <w:rPr>
                <w:b/>
                <w:sz w:val="20"/>
                <w:szCs w:val="20"/>
              </w:rPr>
              <w:t xml:space="preserve"> „creditor afectat”</w:t>
            </w:r>
            <w:r w:rsidRPr="00154588">
              <w:rPr>
                <w:bCs/>
                <w:sz w:val="20"/>
                <w:szCs w:val="20"/>
              </w:rPr>
              <w:t xml:space="preserve"> înseamnă creditorul a cărui creanță este legată de un element de pasiv redus sau convertit în acțiuni sau în alte instrumente de proprietate prin exercitarea competenței de reducere a valorii contabile sau de conversie, în urma utilizării instrumentului de recapitalizare internă;</w:t>
            </w:r>
          </w:p>
        </w:tc>
        <w:tc>
          <w:tcPr>
            <w:tcW w:w="4819" w:type="dxa"/>
          </w:tcPr>
          <w:p w14:paraId="0F7A16C8" w14:textId="77777777" w:rsidR="005D25E3" w:rsidRPr="00154588" w:rsidRDefault="005D25E3" w:rsidP="008C12B4">
            <w:pPr>
              <w:jc w:val="both"/>
              <w:rPr>
                <w:bCs/>
                <w:sz w:val="20"/>
                <w:szCs w:val="20"/>
              </w:rPr>
            </w:pPr>
            <w:r w:rsidRPr="00154588">
              <w:rPr>
                <w:bCs/>
                <w:sz w:val="20"/>
                <w:szCs w:val="20"/>
              </w:rPr>
              <w:t xml:space="preserve">18) </w:t>
            </w:r>
            <w:r w:rsidRPr="00154588">
              <w:rPr>
                <w:bCs/>
                <w:i/>
                <w:sz w:val="20"/>
                <w:szCs w:val="20"/>
              </w:rPr>
              <w:t>creditor afectat</w:t>
            </w:r>
            <w:r w:rsidRPr="00154588">
              <w:rPr>
                <w:bCs/>
                <w:sz w:val="20"/>
                <w:szCs w:val="20"/>
              </w:rPr>
              <w:t xml:space="preserve"> – creditor a cărui creanţă este legată de un element de datorie redus sau convertit în acţiuni sau alte instrumente de proprietate, ca urmare a exercitării competenţei de reducere a valorii sau de conversie în contextul instrumentului de recapitalizare internă;</w:t>
            </w:r>
          </w:p>
          <w:p w14:paraId="4A1193F8" w14:textId="77777777" w:rsidR="00D15C1B" w:rsidRPr="00154588" w:rsidRDefault="00D15C1B" w:rsidP="008C12B4">
            <w:pPr>
              <w:jc w:val="both"/>
              <w:rPr>
                <w:bCs/>
                <w:sz w:val="20"/>
                <w:szCs w:val="20"/>
              </w:rPr>
            </w:pPr>
          </w:p>
        </w:tc>
        <w:tc>
          <w:tcPr>
            <w:tcW w:w="2552" w:type="dxa"/>
          </w:tcPr>
          <w:p w14:paraId="362CCF7D" w14:textId="5F4DF8E0" w:rsidR="00D15C1B" w:rsidRPr="00154588" w:rsidRDefault="0094082B" w:rsidP="008C12B4">
            <w:pPr>
              <w:jc w:val="both"/>
              <w:rPr>
                <w:bCs/>
                <w:sz w:val="20"/>
                <w:szCs w:val="20"/>
              </w:rPr>
            </w:pPr>
            <w:r w:rsidRPr="00154588">
              <w:rPr>
                <w:bCs/>
                <w:sz w:val="20"/>
                <w:szCs w:val="20"/>
              </w:rPr>
              <w:t>Compatibil</w:t>
            </w:r>
          </w:p>
        </w:tc>
        <w:tc>
          <w:tcPr>
            <w:tcW w:w="3118" w:type="dxa"/>
          </w:tcPr>
          <w:p w14:paraId="7020CCD1" w14:textId="77777777" w:rsidR="00D15C1B" w:rsidRPr="00154588" w:rsidRDefault="00D15C1B" w:rsidP="008C12B4">
            <w:pPr>
              <w:jc w:val="both"/>
              <w:rPr>
                <w:bCs/>
                <w:sz w:val="20"/>
                <w:szCs w:val="20"/>
              </w:rPr>
            </w:pPr>
          </w:p>
        </w:tc>
      </w:tr>
      <w:tr w:rsidR="00D15C1B" w:rsidRPr="00154588" w14:paraId="60658489" w14:textId="77777777" w:rsidTr="00D15C1B">
        <w:trPr>
          <w:jc w:val="center"/>
        </w:trPr>
        <w:tc>
          <w:tcPr>
            <w:tcW w:w="4957" w:type="dxa"/>
            <w:gridSpan w:val="2"/>
          </w:tcPr>
          <w:p w14:paraId="79352116" w14:textId="6B08C451" w:rsidR="00D15C1B" w:rsidRPr="00154588" w:rsidRDefault="00D15C1B" w:rsidP="008C12B4">
            <w:pPr>
              <w:jc w:val="both"/>
              <w:rPr>
                <w:bCs/>
                <w:sz w:val="20"/>
                <w:szCs w:val="20"/>
              </w:rPr>
            </w:pPr>
            <w:r w:rsidRPr="00154588">
              <w:rPr>
                <w:bCs/>
                <w:sz w:val="20"/>
                <w:szCs w:val="20"/>
              </w:rPr>
              <w:t xml:space="preserve">77. </w:t>
            </w:r>
            <w:r w:rsidRPr="00154588">
              <w:rPr>
                <w:b/>
                <w:sz w:val="20"/>
                <w:szCs w:val="20"/>
              </w:rPr>
              <w:t>„deținător afectat”</w:t>
            </w:r>
            <w:r w:rsidRPr="00154588">
              <w:rPr>
                <w:bCs/>
                <w:sz w:val="20"/>
                <w:szCs w:val="20"/>
              </w:rPr>
              <w:t xml:space="preserve"> înseamnă un deținător de instrumente de proprietate ale cărui instrumente sunt anulate prin exercitarea competenței menționate la articolul 63 alineatul (1) litera (h);</w:t>
            </w:r>
          </w:p>
        </w:tc>
        <w:tc>
          <w:tcPr>
            <w:tcW w:w="4819" w:type="dxa"/>
          </w:tcPr>
          <w:p w14:paraId="6FA4511A" w14:textId="77777777" w:rsidR="005D25E3" w:rsidRPr="00154588" w:rsidRDefault="005D25E3" w:rsidP="008C12B4">
            <w:pPr>
              <w:jc w:val="both"/>
              <w:rPr>
                <w:bCs/>
                <w:sz w:val="20"/>
                <w:szCs w:val="20"/>
              </w:rPr>
            </w:pPr>
            <w:r w:rsidRPr="00154588">
              <w:rPr>
                <w:bCs/>
                <w:sz w:val="20"/>
                <w:szCs w:val="20"/>
              </w:rPr>
              <w:t xml:space="preserve">4) </w:t>
            </w:r>
            <w:r w:rsidRPr="00154588">
              <w:rPr>
                <w:bCs/>
                <w:i/>
                <w:iCs/>
                <w:sz w:val="20"/>
                <w:szCs w:val="20"/>
              </w:rPr>
              <w:t>deținător</w:t>
            </w:r>
            <w:r w:rsidRPr="00154588">
              <w:rPr>
                <w:bCs/>
                <w:i/>
                <w:sz w:val="20"/>
                <w:szCs w:val="20"/>
              </w:rPr>
              <w:t xml:space="preserve"> afectat</w:t>
            </w:r>
            <w:r w:rsidRPr="00154588">
              <w:rPr>
                <w:bCs/>
                <w:sz w:val="20"/>
                <w:szCs w:val="20"/>
              </w:rPr>
              <w:t xml:space="preserve"> – deţinător </w:t>
            </w:r>
            <w:r w:rsidRPr="00154588" w:rsidDel="0052038C">
              <w:rPr>
                <w:bCs/>
                <w:sz w:val="20"/>
                <w:szCs w:val="20"/>
              </w:rPr>
              <w:t xml:space="preserve">de </w:t>
            </w:r>
            <w:r w:rsidRPr="00154588">
              <w:rPr>
                <w:bCs/>
                <w:sz w:val="20"/>
                <w:szCs w:val="20"/>
              </w:rPr>
              <w:t>instrumente de proprietate ale cărui instrumente au fost anulate în urma aplicării măsurilor prevăzute la art.231 alin.(1) lit.h);</w:t>
            </w:r>
          </w:p>
          <w:p w14:paraId="5DEEB0C0" w14:textId="77777777" w:rsidR="00D15C1B" w:rsidRPr="00154588" w:rsidRDefault="00D15C1B" w:rsidP="008C12B4">
            <w:pPr>
              <w:jc w:val="both"/>
              <w:rPr>
                <w:bCs/>
                <w:sz w:val="20"/>
                <w:szCs w:val="20"/>
              </w:rPr>
            </w:pPr>
          </w:p>
        </w:tc>
        <w:tc>
          <w:tcPr>
            <w:tcW w:w="2552" w:type="dxa"/>
          </w:tcPr>
          <w:p w14:paraId="73FFCE4D" w14:textId="4D519C3D" w:rsidR="00D15C1B" w:rsidRPr="00154588" w:rsidRDefault="0094082B" w:rsidP="008C12B4">
            <w:pPr>
              <w:jc w:val="both"/>
              <w:rPr>
                <w:bCs/>
                <w:sz w:val="20"/>
                <w:szCs w:val="20"/>
              </w:rPr>
            </w:pPr>
            <w:r w:rsidRPr="00154588">
              <w:rPr>
                <w:bCs/>
                <w:sz w:val="20"/>
                <w:szCs w:val="20"/>
              </w:rPr>
              <w:t>Compatibil</w:t>
            </w:r>
          </w:p>
        </w:tc>
        <w:tc>
          <w:tcPr>
            <w:tcW w:w="3118" w:type="dxa"/>
          </w:tcPr>
          <w:p w14:paraId="379A64BF" w14:textId="77777777" w:rsidR="00D15C1B" w:rsidRPr="00154588" w:rsidRDefault="00D15C1B" w:rsidP="008C12B4">
            <w:pPr>
              <w:jc w:val="both"/>
              <w:rPr>
                <w:bCs/>
                <w:sz w:val="20"/>
                <w:szCs w:val="20"/>
              </w:rPr>
            </w:pPr>
          </w:p>
        </w:tc>
      </w:tr>
      <w:tr w:rsidR="00D15C1B" w:rsidRPr="00154588" w14:paraId="5133A9AB" w14:textId="77777777" w:rsidTr="00D15C1B">
        <w:trPr>
          <w:jc w:val="center"/>
        </w:trPr>
        <w:tc>
          <w:tcPr>
            <w:tcW w:w="4957" w:type="dxa"/>
            <w:gridSpan w:val="2"/>
          </w:tcPr>
          <w:p w14:paraId="319A60D9" w14:textId="388D7D94" w:rsidR="00D15C1B" w:rsidRPr="00154588" w:rsidRDefault="00D15C1B" w:rsidP="008C12B4">
            <w:pPr>
              <w:jc w:val="both"/>
              <w:rPr>
                <w:bCs/>
                <w:sz w:val="20"/>
                <w:szCs w:val="20"/>
              </w:rPr>
            </w:pPr>
            <w:r w:rsidRPr="00154588">
              <w:rPr>
                <w:bCs/>
                <w:sz w:val="20"/>
                <w:szCs w:val="20"/>
              </w:rPr>
              <w:t xml:space="preserve">78. </w:t>
            </w:r>
            <w:r w:rsidRPr="00154588">
              <w:rPr>
                <w:b/>
                <w:sz w:val="20"/>
                <w:szCs w:val="20"/>
              </w:rPr>
              <w:t>„autoritate corespunzătoare”</w:t>
            </w:r>
            <w:r w:rsidRPr="00154588">
              <w:rPr>
                <w:bCs/>
                <w:sz w:val="20"/>
                <w:szCs w:val="20"/>
              </w:rPr>
              <w:t xml:space="preserve"> înseamnă autoritatea dintr-un stat membru, desemnată conform articolului 61, care, conform dreptului intern din statul membru respectiv, este responsabilă cu stabilirea elementelor menționate la articolul 59 alineatul (3);</w:t>
            </w:r>
          </w:p>
        </w:tc>
        <w:tc>
          <w:tcPr>
            <w:tcW w:w="4819" w:type="dxa"/>
          </w:tcPr>
          <w:p w14:paraId="7643F86A" w14:textId="77777777" w:rsidR="005D25E3" w:rsidRPr="00154588" w:rsidRDefault="005D25E3" w:rsidP="008C12B4">
            <w:pPr>
              <w:jc w:val="both"/>
              <w:rPr>
                <w:bCs/>
                <w:sz w:val="20"/>
                <w:szCs w:val="20"/>
              </w:rPr>
            </w:pPr>
            <w:r w:rsidRPr="00154588">
              <w:rPr>
                <w:bCs/>
                <w:sz w:val="20"/>
                <w:szCs w:val="20"/>
              </w:rPr>
              <w:t xml:space="preserve">56) </w:t>
            </w:r>
            <w:r w:rsidRPr="00154588">
              <w:rPr>
                <w:bCs/>
                <w:i/>
                <w:sz w:val="20"/>
                <w:szCs w:val="20"/>
              </w:rPr>
              <w:t>autoritate corespunzătoare</w:t>
            </w:r>
            <w:r w:rsidRPr="00154588">
              <w:rPr>
                <w:bCs/>
                <w:sz w:val="20"/>
                <w:szCs w:val="20"/>
              </w:rPr>
              <w:t xml:space="preserve"> - autoritatea dintr-un stat membru, care conform dreptului intern al statului membru este desemnată responsabilă de efectuarea determinărilor prevăzute la art.221;</w:t>
            </w:r>
          </w:p>
          <w:p w14:paraId="41DBFBF5" w14:textId="77777777" w:rsidR="00D15C1B" w:rsidRPr="00154588" w:rsidRDefault="00D15C1B" w:rsidP="008C12B4">
            <w:pPr>
              <w:jc w:val="both"/>
              <w:rPr>
                <w:bCs/>
                <w:sz w:val="20"/>
                <w:szCs w:val="20"/>
              </w:rPr>
            </w:pPr>
          </w:p>
        </w:tc>
        <w:tc>
          <w:tcPr>
            <w:tcW w:w="2552" w:type="dxa"/>
          </w:tcPr>
          <w:p w14:paraId="3B842868" w14:textId="4EE3BB75" w:rsidR="00D15C1B" w:rsidRPr="00154588" w:rsidRDefault="0094082B" w:rsidP="008C12B4">
            <w:pPr>
              <w:jc w:val="both"/>
              <w:rPr>
                <w:bCs/>
                <w:sz w:val="20"/>
                <w:szCs w:val="20"/>
              </w:rPr>
            </w:pPr>
            <w:r w:rsidRPr="00154588">
              <w:rPr>
                <w:bCs/>
                <w:sz w:val="20"/>
                <w:szCs w:val="20"/>
              </w:rPr>
              <w:t>Compatibil</w:t>
            </w:r>
          </w:p>
        </w:tc>
        <w:tc>
          <w:tcPr>
            <w:tcW w:w="3118" w:type="dxa"/>
          </w:tcPr>
          <w:p w14:paraId="580EFA64" w14:textId="77777777" w:rsidR="00D15C1B" w:rsidRPr="00154588" w:rsidRDefault="00D15C1B" w:rsidP="008C12B4">
            <w:pPr>
              <w:jc w:val="both"/>
              <w:rPr>
                <w:bCs/>
                <w:sz w:val="20"/>
                <w:szCs w:val="20"/>
              </w:rPr>
            </w:pPr>
          </w:p>
        </w:tc>
      </w:tr>
      <w:tr w:rsidR="00D15C1B" w:rsidRPr="00154588" w14:paraId="09A6A548" w14:textId="77777777" w:rsidTr="00D15C1B">
        <w:trPr>
          <w:jc w:val="center"/>
        </w:trPr>
        <w:tc>
          <w:tcPr>
            <w:tcW w:w="4957" w:type="dxa"/>
            <w:gridSpan w:val="2"/>
          </w:tcPr>
          <w:p w14:paraId="4600E135" w14:textId="58F8D465" w:rsidR="00D15C1B" w:rsidRPr="00154588" w:rsidRDefault="00D15C1B" w:rsidP="008C12B4">
            <w:pPr>
              <w:jc w:val="both"/>
              <w:rPr>
                <w:bCs/>
                <w:sz w:val="20"/>
                <w:szCs w:val="20"/>
              </w:rPr>
            </w:pPr>
            <w:r w:rsidRPr="00154588">
              <w:rPr>
                <w:bCs/>
                <w:sz w:val="20"/>
                <w:szCs w:val="20"/>
              </w:rPr>
              <w:t xml:space="preserve">79. </w:t>
            </w:r>
            <w:r w:rsidRPr="00154588">
              <w:rPr>
                <w:b/>
                <w:sz w:val="20"/>
                <w:szCs w:val="20"/>
              </w:rPr>
              <w:t>„instituție-mamă relevantă”</w:t>
            </w:r>
            <w:r w:rsidRPr="00154588">
              <w:rPr>
                <w:bCs/>
                <w:sz w:val="20"/>
                <w:szCs w:val="20"/>
              </w:rPr>
              <w:t xml:space="preserve"> înseamnă o instituție-mamă dintr-un stat membru, o instituție-mamă din Uniune, o societate financiară holding, o societate financiară holding mixtă, o societate financiară holding cu activitate mixtă, o societate financiară holding-mamă dintr-un stat membru, o societate financiară holding-mamă din Uniune, societate financiară holding mixtă-mamă dintr-un stat membru sau o societate financiară holding mixtă-mamă din Uniune căruia i se aplică instrumentul de recapitalizare internă;</w:t>
            </w:r>
          </w:p>
        </w:tc>
        <w:tc>
          <w:tcPr>
            <w:tcW w:w="4819" w:type="dxa"/>
          </w:tcPr>
          <w:p w14:paraId="04E9A2BF" w14:textId="0460669E" w:rsidR="00D15C1B" w:rsidRPr="00154588" w:rsidRDefault="005D25E3" w:rsidP="008C12B4">
            <w:pPr>
              <w:jc w:val="both"/>
              <w:rPr>
                <w:bCs/>
                <w:sz w:val="20"/>
                <w:szCs w:val="20"/>
              </w:rPr>
            </w:pPr>
            <w:r w:rsidRPr="00154588">
              <w:rPr>
                <w:bCs/>
                <w:sz w:val="20"/>
                <w:szCs w:val="20"/>
              </w:rPr>
              <w:t xml:space="preserve">87) </w:t>
            </w:r>
            <w:r w:rsidRPr="00154588">
              <w:rPr>
                <w:bCs/>
                <w:i/>
                <w:sz w:val="20"/>
                <w:szCs w:val="20"/>
              </w:rPr>
              <w:t>instituția-mamă relevantă</w:t>
            </w:r>
            <w:r w:rsidRPr="00154588">
              <w:rPr>
                <w:bCs/>
                <w:sz w:val="20"/>
                <w:szCs w:val="20"/>
              </w:rPr>
              <w:t xml:space="preserve"> – o instituție-mamă dintr-un stat membru, o instituție-mamă din Uniunea Europeană, o societate financiară holding, o societate financiară holding mixtă, o societate financiară holding cu activitate mixtă, o societate financiară holding-mamă dintr-un stat membru, o societate financiară holding-mamă din Uniunea Europeană, societate financiară holding mixtă-mamă dintr-un stat membru sau o societate financiară holding mixtă-mamă din Uniunea Europeană căreia i se aplică instrumentul de recapitalizare internă;</w:t>
            </w:r>
          </w:p>
        </w:tc>
        <w:tc>
          <w:tcPr>
            <w:tcW w:w="2552" w:type="dxa"/>
          </w:tcPr>
          <w:p w14:paraId="51588C9A" w14:textId="119B558B" w:rsidR="00D15C1B" w:rsidRPr="00154588" w:rsidRDefault="0094082B" w:rsidP="008C12B4">
            <w:pPr>
              <w:jc w:val="both"/>
              <w:rPr>
                <w:bCs/>
                <w:sz w:val="20"/>
                <w:szCs w:val="20"/>
              </w:rPr>
            </w:pPr>
            <w:r w:rsidRPr="00154588">
              <w:rPr>
                <w:bCs/>
                <w:sz w:val="20"/>
                <w:szCs w:val="20"/>
              </w:rPr>
              <w:t>Compatibil</w:t>
            </w:r>
          </w:p>
        </w:tc>
        <w:tc>
          <w:tcPr>
            <w:tcW w:w="3118" w:type="dxa"/>
          </w:tcPr>
          <w:p w14:paraId="4D16DDF1" w14:textId="77777777" w:rsidR="00D15C1B" w:rsidRPr="00154588" w:rsidRDefault="00D15C1B" w:rsidP="008C12B4">
            <w:pPr>
              <w:jc w:val="both"/>
              <w:rPr>
                <w:bCs/>
                <w:sz w:val="20"/>
                <w:szCs w:val="20"/>
              </w:rPr>
            </w:pPr>
          </w:p>
        </w:tc>
      </w:tr>
      <w:tr w:rsidR="00D15C1B" w:rsidRPr="00154588" w14:paraId="2E7BA182" w14:textId="77777777" w:rsidTr="00D15C1B">
        <w:trPr>
          <w:jc w:val="center"/>
        </w:trPr>
        <w:tc>
          <w:tcPr>
            <w:tcW w:w="4957" w:type="dxa"/>
            <w:gridSpan w:val="2"/>
          </w:tcPr>
          <w:p w14:paraId="74907655" w14:textId="5D572C59" w:rsidR="00D15C1B" w:rsidRPr="00154588" w:rsidRDefault="00D15C1B" w:rsidP="008C12B4">
            <w:pPr>
              <w:jc w:val="both"/>
              <w:rPr>
                <w:bCs/>
                <w:sz w:val="20"/>
                <w:szCs w:val="20"/>
              </w:rPr>
            </w:pPr>
            <w:r w:rsidRPr="00154588">
              <w:rPr>
                <w:bCs/>
                <w:sz w:val="20"/>
                <w:szCs w:val="20"/>
              </w:rPr>
              <w:lastRenderedPageBreak/>
              <w:t>80.</w:t>
            </w:r>
            <w:r w:rsidRPr="00154588">
              <w:rPr>
                <w:b/>
                <w:sz w:val="20"/>
                <w:szCs w:val="20"/>
              </w:rPr>
              <w:t xml:space="preserve"> „destinatar”</w:t>
            </w:r>
            <w:r w:rsidRPr="00154588">
              <w:rPr>
                <w:bCs/>
                <w:sz w:val="20"/>
                <w:szCs w:val="20"/>
              </w:rPr>
              <w:t xml:space="preserve"> înseamnă entitatea căreia îi sunt transferate acțiuni, alte instrumente de proprietate, instrumente de datorie, active, drepturi ori pasive sau orice combinație a acestor elemente, aparținând unei instituții aflate în rezoluție;</w:t>
            </w:r>
          </w:p>
        </w:tc>
        <w:tc>
          <w:tcPr>
            <w:tcW w:w="4819" w:type="dxa"/>
          </w:tcPr>
          <w:p w14:paraId="5ED10B27" w14:textId="77777777" w:rsidR="00567279" w:rsidRPr="00154588" w:rsidRDefault="00567279" w:rsidP="008C12B4">
            <w:pPr>
              <w:jc w:val="both"/>
              <w:rPr>
                <w:bCs/>
                <w:sz w:val="20"/>
                <w:szCs w:val="20"/>
              </w:rPr>
            </w:pPr>
            <w:r w:rsidRPr="00154588">
              <w:rPr>
                <w:bCs/>
                <w:sz w:val="20"/>
                <w:szCs w:val="20"/>
              </w:rPr>
              <w:t xml:space="preserve">24) </w:t>
            </w:r>
            <w:r w:rsidRPr="00154588">
              <w:rPr>
                <w:bCs/>
                <w:i/>
                <w:sz w:val="20"/>
                <w:szCs w:val="20"/>
              </w:rPr>
              <w:t>destinatar</w:t>
            </w:r>
            <w:r w:rsidRPr="00154588">
              <w:rPr>
                <w:bCs/>
                <w:sz w:val="20"/>
                <w:szCs w:val="20"/>
              </w:rPr>
              <w:t xml:space="preserve"> – entitate căreia îi sunt transferate acţiuni, alte instrumente de proprietate, instrumente de datorie, active, drepturi sau alte obligaţii sau orice combinaţie a acestora de la o instituție supusă rezoluţiei;</w:t>
            </w:r>
          </w:p>
          <w:p w14:paraId="7BDCE821" w14:textId="77777777" w:rsidR="00D15C1B" w:rsidRPr="00154588" w:rsidRDefault="00D15C1B" w:rsidP="008C12B4">
            <w:pPr>
              <w:jc w:val="both"/>
              <w:rPr>
                <w:bCs/>
                <w:sz w:val="20"/>
                <w:szCs w:val="20"/>
              </w:rPr>
            </w:pPr>
          </w:p>
        </w:tc>
        <w:tc>
          <w:tcPr>
            <w:tcW w:w="2552" w:type="dxa"/>
          </w:tcPr>
          <w:p w14:paraId="08CC6C4F" w14:textId="0F2D6767" w:rsidR="00D15C1B" w:rsidRPr="00154588" w:rsidRDefault="0094082B" w:rsidP="008C12B4">
            <w:pPr>
              <w:jc w:val="both"/>
              <w:rPr>
                <w:bCs/>
                <w:sz w:val="20"/>
                <w:szCs w:val="20"/>
              </w:rPr>
            </w:pPr>
            <w:r w:rsidRPr="00154588">
              <w:rPr>
                <w:bCs/>
                <w:sz w:val="20"/>
                <w:szCs w:val="20"/>
              </w:rPr>
              <w:t>Compatibil</w:t>
            </w:r>
          </w:p>
        </w:tc>
        <w:tc>
          <w:tcPr>
            <w:tcW w:w="3118" w:type="dxa"/>
          </w:tcPr>
          <w:p w14:paraId="2563CE32" w14:textId="77777777" w:rsidR="00D15C1B" w:rsidRPr="00154588" w:rsidRDefault="00D15C1B" w:rsidP="008C12B4">
            <w:pPr>
              <w:jc w:val="both"/>
              <w:rPr>
                <w:bCs/>
                <w:sz w:val="20"/>
                <w:szCs w:val="20"/>
              </w:rPr>
            </w:pPr>
          </w:p>
        </w:tc>
      </w:tr>
      <w:tr w:rsidR="00D15C1B" w:rsidRPr="00154588" w14:paraId="48989435" w14:textId="77777777" w:rsidTr="00D15C1B">
        <w:trPr>
          <w:jc w:val="center"/>
        </w:trPr>
        <w:tc>
          <w:tcPr>
            <w:tcW w:w="4957" w:type="dxa"/>
            <w:gridSpan w:val="2"/>
          </w:tcPr>
          <w:p w14:paraId="57EFC82D" w14:textId="2066EE1F" w:rsidR="00D15C1B" w:rsidRPr="00154588" w:rsidRDefault="00D15C1B" w:rsidP="008C12B4">
            <w:pPr>
              <w:jc w:val="both"/>
              <w:rPr>
                <w:bCs/>
                <w:sz w:val="20"/>
                <w:szCs w:val="20"/>
              </w:rPr>
            </w:pPr>
            <w:r w:rsidRPr="00154588">
              <w:rPr>
                <w:bCs/>
                <w:sz w:val="20"/>
                <w:szCs w:val="20"/>
              </w:rPr>
              <w:t xml:space="preserve">81. </w:t>
            </w:r>
            <w:r w:rsidRPr="00154588">
              <w:rPr>
                <w:b/>
                <w:sz w:val="20"/>
                <w:szCs w:val="20"/>
              </w:rPr>
              <w:t>„zi lucrătoare”</w:t>
            </w:r>
            <w:r w:rsidRPr="00154588">
              <w:rPr>
                <w:bCs/>
                <w:sz w:val="20"/>
                <w:szCs w:val="20"/>
              </w:rPr>
              <w:t xml:space="preserve"> înseamnă orice altă zi decât sâmbăta, duminica sau zilele de sărbătoare legală din statul membru în cauză;</w:t>
            </w:r>
          </w:p>
        </w:tc>
        <w:tc>
          <w:tcPr>
            <w:tcW w:w="4819" w:type="dxa"/>
          </w:tcPr>
          <w:p w14:paraId="6417A79F" w14:textId="77777777" w:rsidR="00567279" w:rsidRPr="00154588" w:rsidRDefault="00567279" w:rsidP="008C12B4">
            <w:pPr>
              <w:jc w:val="both"/>
              <w:rPr>
                <w:bCs/>
                <w:sz w:val="20"/>
                <w:szCs w:val="20"/>
              </w:rPr>
            </w:pPr>
            <w:r w:rsidRPr="00154588">
              <w:rPr>
                <w:bCs/>
                <w:sz w:val="20"/>
                <w:szCs w:val="20"/>
              </w:rPr>
              <w:t xml:space="preserve">121) </w:t>
            </w:r>
            <w:r w:rsidRPr="00154588">
              <w:rPr>
                <w:bCs/>
                <w:i/>
                <w:sz w:val="20"/>
                <w:szCs w:val="20"/>
              </w:rPr>
              <w:t>zi lucrătoare</w:t>
            </w:r>
            <w:r w:rsidRPr="00154588">
              <w:rPr>
                <w:bCs/>
                <w:sz w:val="20"/>
                <w:szCs w:val="20"/>
              </w:rPr>
              <w:t xml:space="preserve"> – orice altă zi decât sâmbătă, duminică sau zilele de sărbătoare legală.</w:t>
            </w:r>
          </w:p>
          <w:p w14:paraId="2450ABC4" w14:textId="77777777" w:rsidR="00D15C1B" w:rsidRPr="00154588" w:rsidRDefault="00D15C1B" w:rsidP="008C12B4">
            <w:pPr>
              <w:jc w:val="both"/>
              <w:rPr>
                <w:bCs/>
                <w:sz w:val="20"/>
                <w:szCs w:val="20"/>
              </w:rPr>
            </w:pPr>
          </w:p>
        </w:tc>
        <w:tc>
          <w:tcPr>
            <w:tcW w:w="2552" w:type="dxa"/>
          </w:tcPr>
          <w:p w14:paraId="63737B0C" w14:textId="5BE48CD8" w:rsidR="00D15C1B" w:rsidRPr="00154588" w:rsidRDefault="0094082B" w:rsidP="008C12B4">
            <w:pPr>
              <w:jc w:val="both"/>
              <w:rPr>
                <w:bCs/>
                <w:sz w:val="20"/>
                <w:szCs w:val="20"/>
              </w:rPr>
            </w:pPr>
            <w:r w:rsidRPr="00154588">
              <w:rPr>
                <w:bCs/>
                <w:sz w:val="20"/>
                <w:szCs w:val="20"/>
              </w:rPr>
              <w:t>Compatibil</w:t>
            </w:r>
          </w:p>
        </w:tc>
        <w:tc>
          <w:tcPr>
            <w:tcW w:w="3118" w:type="dxa"/>
          </w:tcPr>
          <w:p w14:paraId="60446621" w14:textId="77777777" w:rsidR="00D15C1B" w:rsidRPr="00154588" w:rsidRDefault="00D15C1B" w:rsidP="008C12B4">
            <w:pPr>
              <w:jc w:val="both"/>
              <w:rPr>
                <w:bCs/>
                <w:sz w:val="20"/>
                <w:szCs w:val="20"/>
              </w:rPr>
            </w:pPr>
          </w:p>
        </w:tc>
      </w:tr>
      <w:tr w:rsidR="00D15C1B" w:rsidRPr="00154588" w14:paraId="5F72896B" w14:textId="77777777" w:rsidTr="00D15C1B">
        <w:trPr>
          <w:jc w:val="center"/>
        </w:trPr>
        <w:tc>
          <w:tcPr>
            <w:tcW w:w="4957" w:type="dxa"/>
            <w:gridSpan w:val="2"/>
          </w:tcPr>
          <w:p w14:paraId="207A8B6C" w14:textId="40AB154F" w:rsidR="00D15C1B" w:rsidRPr="00154588" w:rsidRDefault="00D15C1B" w:rsidP="008C12B4">
            <w:pPr>
              <w:jc w:val="both"/>
              <w:rPr>
                <w:bCs/>
                <w:sz w:val="20"/>
                <w:szCs w:val="20"/>
              </w:rPr>
            </w:pPr>
            <w:r w:rsidRPr="00154588">
              <w:rPr>
                <w:bCs/>
                <w:sz w:val="20"/>
                <w:szCs w:val="20"/>
              </w:rPr>
              <w:t xml:space="preserve">82. </w:t>
            </w:r>
            <w:r w:rsidRPr="00154588">
              <w:rPr>
                <w:b/>
                <w:sz w:val="20"/>
                <w:szCs w:val="20"/>
              </w:rPr>
              <w:t>„drept de încetare”</w:t>
            </w:r>
            <w:r w:rsidRPr="00154588">
              <w:rPr>
                <w:bCs/>
                <w:sz w:val="20"/>
                <w:szCs w:val="20"/>
              </w:rPr>
              <w:t xml:space="preserve"> înseamnă dreptul de a înceta un contract, dreptul de a accelera, lichida ori compensa obligații sau orice clauză similară care suspendă, modifică sau stinge o obligație a uneia dintre părțile la contract sau o clauză care împiedică nașterea unei obligații în temeiul contractului, obligație care ar s-ar fi născut în absența acesteia;</w:t>
            </w:r>
          </w:p>
        </w:tc>
        <w:tc>
          <w:tcPr>
            <w:tcW w:w="4819" w:type="dxa"/>
          </w:tcPr>
          <w:p w14:paraId="71215A13" w14:textId="2178329E" w:rsidR="00D15C1B" w:rsidRPr="00154588" w:rsidRDefault="00567279" w:rsidP="008C12B4">
            <w:pPr>
              <w:jc w:val="both"/>
              <w:rPr>
                <w:bCs/>
                <w:sz w:val="20"/>
                <w:szCs w:val="20"/>
              </w:rPr>
            </w:pPr>
            <w:r w:rsidRPr="00154588">
              <w:rPr>
                <w:bCs/>
                <w:sz w:val="20"/>
                <w:szCs w:val="20"/>
              </w:rPr>
              <w:t xml:space="preserve">25) </w:t>
            </w:r>
            <w:r w:rsidRPr="00154588">
              <w:rPr>
                <w:bCs/>
                <w:i/>
                <w:sz w:val="20"/>
                <w:szCs w:val="20"/>
              </w:rPr>
              <w:t>drept de încetare</w:t>
            </w:r>
            <w:r w:rsidRPr="00154588">
              <w:rPr>
                <w:bCs/>
                <w:sz w:val="20"/>
                <w:szCs w:val="20"/>
              </w:rPr>
              <w:t xml:space="preserve"> – drept de a denunţa un contract, drept de a accelera executarea, de a stinge ori de a compensa obligaţii sau drept care rezultă din orice clauză cu efect similar în baza căreia se pot suspenda, modifica sau stinge obligaţii ale uneia dintre părţile la contract sau dintr-o clauză care împiedică naşterea unei obligaţii în temeiul contractului, obligaţie care ar fi existat în absenţa acesteia;</w:t>
            </w:r>
          </w:p>
        </w:tc>
        <w:tc>
          <w:tcPr>
            <w:tcW w:w="2552" w:type="dxa"/>
          </w:tcPr>
          <w:p w14:paraId="5E2C9049" w14:textId="69FC1DAC" w:rsidR="00D15C1B" w:rsidRPr="00154588" w:rsidRDefault="0094082B" w:rsidP="008C12B4">
            <w:pPr>
              <w:jc w:val="both"/>
              <w:rPr>
                <w:bCs/>
                <w:sz w:val="20"/>
                <w:szCs w:val="20"/>
              </w:rPr>
            </w:pPr>
            <w:r w:rsidRPr="00154588">
              <w:rPr>
                <w:bCs/>
                <w:sz w:val="20"/>
                <w:szCs w:val="20"/>
              </w:rPr>
              <w:t>Compatibil</w:t>
            </w:r>
          </w:p>
        </w:tc>
        <w:tc>
          <w:tcPr>
            <w:tcW w:w="3118" w:type="dxa"/>
          </w:tcPr>
          <w:p w14:paraId="6EA81FAD" w14:textId="77777777" w:rsidR="00D15C1B" w:rsidRPr="00154588" w:rsidRDefault="00D15C1B" w:rsidP="008C12B4">
            <w:pPr>
              <w:jc w:val="both"/>
              <w:rPr>
                <w:bCs/>
                <w:sz w:val="20"/>
                <w:szCs w:val="20"/>
              </w:rPr>
            </w:pPr>
          </w:p>
        </w:tc>
      </w:tr>
      <w:tr w:rsidR="00D15C1B" w:rsidRPr="00154588" w14:paraId="4017B28B" w14:textId="77777777" w:rsidTr="00D15C1B">
        <w:trPr>
          <w:jc w:val="center"/>
        </w:trPr>
        <w:tc>
          <w:tcPr>
            <w:tcW w:w="4957" w:type="dxa"/>
            <w:gridSpan w:val="2"/>
          </w:tcPr>
          <w:p w14:paraId="480EBDAA" w14:textId="4089AC62" w:rsidR="00D15C1B" w:rsidRPr="00154588" w:rsidRDefault="00D15C1B" w:rsidP="008C12B4">
            <w:pPr>
              <w:jc w:val="both"/>
              <w:rPr>
                <w:bCs/>
                <w:sz w:val="20"/>
                <w:szCs w:val="20"/>
              </w:rPr>
            </w:pPr>
            <w:r w:rsidRPr="00154588">
              <w:rPr>
                <w:bCs/>
                <w:sz w:val="20"/>
                <w:szCs w:val="20"/>
              </w:rPr>
              <w:t xml:space="preserve">83. </w:t>
            </w:r>
            <w:r w:rsidRPr="00154588">
              <w:rPr>
                <w:b/>
                <w:sz w:val="20"/>
                <w:szCs w:val="20"/>
              </w:rPr>
              <w:t>„instituție aflată în rezoluție”</w:t>
            </w:r>
            <w:r w:rsidRPr="00154588">
              <w:rPr>
                <w:bCs/>
                <w:sz w:val="20"/>
                <w:szCs w:val="20"/>
              </w:rPr>
              <w:t xml:space="preserve"> înseamnă o instituție, o instituție financiară, societate financiară holding, societate financiară holding mixtă, o societate holding cu activitate mixtă, societate financiară holding-mamă dintr-un stat membru, o societate financiară holding-mamă din Uniune, societate financiară holding mixtă-mamă dintr-un stat membru sau societate financiară holding mixtă-mamă din Uniune care face obiectul unei măsuri de rezoluție;</w:t>
            </w:r>
          </w:p>
        </w:tc>
        <w:tc>
          <w:tcPr>
            <w:tcW w:w="4819" w:type="dxa"/>
          </w:tcPr>
          <w:p w14:paraId="2088CABD" w14:textId="2CD2EF85" w:rsidR="00D15C1B" w:rsidRPr="00154588" w:rsidRDefault="00567279" w:rsidP="008C12B4">
            <w:pPr>
              <w:jc w:val="both"/>
              <w:rPr>
                <w:bCs/>
                <w:sz w:val="20"/>
                <w:szCs w:val="20"/>
              </w:rPr>
            </w:pPr>
            <w:r w:rsidRPr="00154588">
              <w:rPr>
                <w:bCs/>
                <w:sz w:val="20"/>
                <w:szCs w:val="20"/>
              </w:rPr>
              <w:t xml:space="preserve">88) </w:t>
            </w:r>
            <w:r w:rsidRPr="00154588">
              <w:rPr>
                <w:bCs/>
                <w:i/>
                <w:iCs/>
                <w:sz w:val="20"/>
                <w:szCs w:val="20"/>
              </w:rPr>
              <w:t>instituție supusă rezoluție</w:t>
            </w:r>
            <w:r w:rsidRPr="00154588">
              <w:rPr>
                <w:bCs/>
                <w:sz w:val="20"/>
                <w:szCs w:val="20"/>
              </w:rPr>
              <w:t xml:space="preserve"> – o instituție, o instituție financiară, o societate financiară holding, o societate financiară holding mixtă, o societate holding cu activitate mixtă, o societate financiară holding-mamă dintr-un stat membru, o societate financiară holding-mamă din Uniunea Europeană, o societate financiară holding mixtă-mamă dintr-un stat membru sau o societate financiară holding mixtă-mamă din Uniunea Europeană, asupra căreia se aplică acțiuni de rezoluție;</w:t>
            </w:r>
          </w:p>
        </w:tc>
        <w:tc>
          <w:tcPr>
            <w:tcW w:w="2552" w:type="dxa"/>
          </w:tcPr>
          <w:p w14:paraId="51A1B324" w14:textId="080B3C36" w:rsidR="00D15C1B" w:rsidRPr="00154588" w:rsidRDefault="0094082B" w:rsidP="008C12B4">
            <w:pPr>
              <w:jc w:val="both"/>
              <w:rPr>
                <w:bCs/>
                <w:sz w:val="20"/>
                <w:szCs w:val="20"/>
              </w:rPr>
            </w:pPr>
            <w:r w:rsidRPr="00154588">
              <w:rPr>
                <w:bCs/>
                <w:sz w:val="20"/>
                <w:szCs w:val="20"/>
              </w:rPr>
              <w:t>Compatibil</w:t>
            </w:r>
          </w:p>
        </w:tc>
        <w:tc>
          <w:tcPr>
            <w:tcW w:w="3118" w:type="dxa"/>
          </w:tcPr>
          <w:p w14:paraId="436247DE" w14:textId="77777777" w:rsidR="00D15C1B" w:rsidRPr="00154588" w:rsidRDefault="00D15C1B" w:rsidP="008C12B4">
            <w:pPr>
              <w:jc w:val="both"/>
              <w:rPr>
                <w:bCs/>
                <w:sz w:val="20"/>
                <w:szCs w:val="20"/>
              </w:rPr>
            </w:pPr>
          </w:p>
        </w:tc>
      </w:tr>
      <w:tr w:rsidR="00D15C1B" w:rsidRPr="00154588" w14:paraId="47612367" w14:textId="77777777" w:rsidTr="00D15C1B">
        <w:trPr>
          <w:jc w:val="center"/>
        </w:trPr>
        <w:tc>
          <w:tcPr>
            <w:tcW w:w="4957" w:type="dxa"/>
            <w:gridSpan w:val="2"/>
          </w:tcPr>
          <w:p w14:paraId="1CDE0223" w14:textId="664341B7" w:rsidR="00D15C1B" w:rsidRPr="00154588" w:rsidRDefault="00D15C1B" w:rsidP="008C12B4">
            <w:pPr>
              <w:jc w:val="both"/>
              <w:rPr>
                <w:bCs/>
                <w:sz w:val="20"/>
                <w:szCs w:val="20"/>
              </w:rPr>
            </w:pPr>
            <w:r w:rsidRPr="00154588">
              <w:rPr>
                <w:bCs/>
                <w:sz w:val="20"/>
                <w:szCs w:val="20"/>
              </w:rPr>
              <w:t>83a.</w:t>
            </w:r>
            <w:r w:rsidRPr="00154588">
              <w:rPr>
                <w:b/>
                <w:sz w:val="20"/>
                <w:szCs w:val="20"/>
              </w:rPr>
              <w:t xml:space="preserve"> „entitate de rezoluție”</w:t>
            </w:r>
            <w:r w:rsidRPr="00154588">
              <w:rPr>
                <w:bCs/>
                <w:sz w:val="20"/>
                <w:szCs w:val="20"/>
              </w:rPr>
              <w:t xml:space="preserve"> înseamnă:</w:t>
            </w:r>
          </w:p>
          <w:p w14:paraId="0C04C1EC" w14:textId="77777777" w:rsidR="00D15C1B" w:rsidRPr="00154588" w:rsidRDefault="00D15C1B" w:rsidP="008C12B4">
            <w:pPr>
              <w:jc w:val="both"/>
              <w:rPr>
                <w:bCs/>
                <w:sz w:val="20"/>
                <w:szCs w:val="20"/>
              </w:rPr>
            </w:pPr>
          </w:p>
          <w:p w14:paraId="11F2E0A4" w14:textId="5389B89C" w:rsidR="00D15C1B" w:rsidRPr="00154588" w:rsidRDefault="00D15C1B" w:rsidP="008C12B4">
            <w:pPr>
              <w:jc w:val="both"/>
              <w:rPr>
                <w:bCs/>
                <w:sz w:val="20"/>
                <w:szCs w:val="20"/>
              </w:rPr>
            </w:pPr>
            <w:r w:rsidRPr="00154588">
              <w:rPr>
                <w:bCs/>
                <w:sz w:val="20"/>
                <w:szCs w:val="20"/>
              </w:rPr>
              <w:t>(a) o persoană juridică stabilită în Uniune, pe care autoritatea de rezoluție a identificat-o, în conformitate cu articolul 12, ca o entitate în privința căreia planul de rezoluție prevede măsuri de rezoluție; sau</w:t>
            </w:r>
          </w:p>
          <w:p w14:paraId="2DA0BB5C" w14:textId="77777777" w:rsidR="00D15C1B" w:rsidRPr="00154588" w:rsidRDefault="00D15C1B" w:rsidP="008C12B4">
            <w:pPr>
              <w:jc w:val="both"/>
              <w:rPr>
                <w:bCs/>
                <w:sz w:val="20"/>
                <w:szCs w:val="20"/>
              </w:rPr>
            </w:pPr>
          </w:p>
          <w:p w14:paraId="5C7DFC69" w14:textId="77777777" w:rsidR="00567279" w:rsidRPr="00154588" w:rsidRDefault="00567279" w:rsidP="008C12B4">
            <w:pPr>
              <w:jc w:val="both"/>
              <w:rPr>
                <w:bCs/>
                <w:sz w:val="20"/>
                <w:szCs w:val="20"/>
              </w:rPr>
            </w:pPr>
          </w:p>
          <w:p w14:paraId="68295676" w14:textId="657C2278" w:rsidR="00D15C1B" w:rsidRPr="00154588" w:rsidRDefault="00D15C1B" w:rsidP="008C12B4">
            <w:pPr>
              <w:jc w:val="both"/>
              <w:rPr>
                <w:bCs/>
                <w:sz w:val="20"/>
                <w:szCs w:val="20"/>
              </w:rPr>
            </w:pPr>
            <w:r w:rsidRPr="00154588">
              <w:rPr>
                <w:bCs/>
                <w:sz w:val="20"/>
                <w:szCs w:val="20"/>
              </w:rPr>
              <w:t>(b) o instituție care nu face parte dintr-un grup care face obiectul supravegherii consolidate în temeiul articolelor 111 și 112 din Directiva 2013/36/UE, în privința căreia planul de rezoluție elaborat în temeiul articolului 10 din prezenta directivă prevede măsuri de rezoluție;</w:t>
            </w:r>
          </w:p>
        </w:tc>
        <w:tc>
          <w:tcPr>
            <w:tcW w:w="4819" w:type="dxa"/>
          </w:tcPr>
          <w:p w14:paraId="7B6E9E56" w14:textId="77777777" w:rsidR="00567279" w:rsidRPr="00154588" w:rsidRDefault="00567279" w:rsidP="008C12B4">
            <w:pPr>
              <w:jc w:val="both"/>
              <w:rPr>
                <w:bCs/>
                <w:sz w:val="20"/>
                <w:szCs w:val="20"/>
              </w:rPr>
            </w:pPr>
            <w:r w:rsidRPr="00154588">
              <w:rPr>
                <w:bCs/>
                <w:sz w:val="20"/>
                <w:szCs w:val="20"/>
              </w:rPr>
              <w:t xml:space="preserve">70) </w:t>
            </w:r>
            <w:r w:rsidRPr="00154588">
              <w:rPr>
                <w:bCs/>
                <w:i/>
                <w:sz w:val="20"/>
                <w:szCs w:val="20"/>
              </w:rPr>
              <w:t>entitate de rezoluție</w:t>
            </w:r>
            <w:r w:rsidRPr="00154588">
              <w:rPr>
                <w:bCs/>
                <w:sz w:val="20"/>
                <w:szCs w:val="20"/>
              </w:rPr>
              <w:t xml:space="preserve"> – înseamnă:</w:t>
            </w:r>
          </w:p>
          <w:p w14:paraId="7052DC09" w14:textId="77777777" w:rsidR="00567279" w:rsidRPr="00154588" w:rsidRDefault="00567279" w:rsidP="008C12B4">
            <w:pPr>
              <w:jc w:val="both"/>
              <w:rPr>
                <w:bCs/>
                <w:sz w:val="20"/>
                <w:szCs w:val="20"/>
              </w:rPr>
            </w:pPr>
          </w:p>
          <w:p w14:paraId="5DBD52BC" w14:textId="77777777" w:rsidR="00567279" w:rsidRPr="00154588" w:rsidRDefault="00567279" w:rsidP="008C12B4">
            <w:pPr>
              <w:jc w:val="both"/>
              <w:rPr>
                <w:bCs/>
                <w:sz w:val="20"/>
                <w:szCs w:val="20"/>
              </w:rPr>
            </w:pPr>
            <w:r w:rsidRPr="00154588">
              <w:rPr>
                <w:bCs/>
                <w:sz w:val="20"/>
                <w:szCs w:val="20"/>
              </w:rPr>
              <w:t>a) o persoană juridică stabilită în Republica Moldova sau într-un alt stat membru al Uniunii Europene, care în conformitate cu art.31</w:t>
            </w:r>
            <w:r w:rsidRPr="00154588">
              <w:rPr>
                <w:bCs/>
                <w:sz w:val="20"/>
                <w:szCs w:val="20"/>
                <w:vertAlign w:val="superscript"/>
              </w:rPr>
              <w:t>1</w:t>
            </w:r>
            <w:r w:rsidRPr="00154588">
              <w:rPr>
                <w:bCs/>
                <w:sz w:val="20"/>
                <w:szCs w:val="20"/>
              </w:rPr>
              <w:t>-31</w:t>
            </w:r>
            <w:r w:rsidRPr="00154588">
              <w:rPr>
                <w:bCs/>
                <w:sz w:val="20"/>
                <w:szCs w:val="20"/>
                <w:vertAlign w:val="superscript"/>
              </w:rPr>
              <w:t>5</w:t>
            </w:r>
            <w:r w:rsidRPr="00154588">
              <w:rPr>
                <w:bCs/>
                <w:sz w:val="20"/>
                <w:szCs w:val="20"/>
              </w:rPr>
              <w:t xml:space="preserve"> și art.31</w:t>
            </w:r>
            <w:r w:rsidRPr="00154588">
              <w:rPr>
                <w:bCs/>
                <w:sz w:val="20"/>
                <w:szCs w:val="20"/>
                <w:vertAlign w:val="superscript"/>
              </w:rPr>
              <w:t>15</w:t>
            </w:r>
            <w:r w:rsidRPr="00154588">
              <w:rPr>
                <w:bCs/>
                <w:sz w:val="20"/>
                <w:szCs w:val="20"/>
              </w:rPr>
              <w:t>, este identificată de autoritatea de rezoluție ca fiind o entitate în privința căreia planul de rezoluție prevede acțiuni de rezoluție; sau</w:t>
            </w:r>
          </w:p>
          <w:p w14:paraId="7A7310F6" w14:textId="77777777" w:rsidR="00567279" w:rsidRPr="00154588" w:rsidRDefault="00567279" w:rsidP="008C12B4">
            <w:pPr>
              <w:jc w:val="both"/>
              <w:rPr>
                <w:bCs/>
                <w:sz w:val="20"/>
                <w:szCs w:val="20"/>
              </w:rPr>
            </w:pPr>
          </w:p>
          <w:p w14:paraId="431BDC20" w14:textId="48C3A2A3" w:rsidR="00567279" w:rsidRPr="00154588" w:rsidRDefault="00567279" w:rsidP="008C12B4">
            <w:pPr>
              <w:jc w:val="both"/>
              <w:rPr>
                <w:bCs/>
                <w:sz w:val="20"/>
                <w:szCs w:val="20"/>
              </w:rPr>
            </w:pPr>
            <w:r w:rsidRPr="00154588">
              <w:rPr>
                <w:bCs/>
                <w:sz w:val="20"/>
                <w:szCs w:val="20"/>
              </w:rPr>
              <w:t xml:space="preserve">b) o instituție care nu face parte dintr-un grup care face obiectul supravegherii consolidate în temeiul art.109 și 110 din Legea nr. 202/2017, </w:t>
            </w:r>
            <w:r w:rsidR="00205AC8" w:rsidRPr="00154588">
              <w:rPr>
                <w:bCs/>
                <w:sz w:val="20"/>
                <w:szCs w:val="20"/>
              </w:rPr>
              <w:t xml:space="preserve">în privința căreia planul de rezoluție elaborat în temeiul art.23-30 din prezenta </w:t>
            </w:r>
            <w:r w:rsidR="00DE497C" w:rsidRPr="00154588">
              <w:rPr>
                <w:bCs/>
                <w:sz w:val="20"/>
                <w:szCs w:val="20"/>
              </w:rPr>
              <w:t>lege</w:t>
            </w:r>
            <w:r w:rsidR="00205AC8" w:rsidRPr="00154588">
              <w:rPr>
                <w:bCs/>
                <w:sz w:val="20"/>
                <w:szCs w:val="20"/>
              </w:rPr>
              <w:t xml:space="preserve"> </w:t>
            </w:r>
            <w:r w:rsidRPr="00154588">
              <w:rPr>
                <w:bCs/>
                <w:sz w:val="20"/>
                <w:szCs w:val="20"/>
              </w:rPr>
              <w:t>prevede întreprinderea unei acțiuni de rezoluție;</w:t>
            </w:r>
          </w:p>
          <w:p w14:paraId="75CC0F21" w14:textId="77777777" w:rsidR="00D15C1B" w:rsidRPr="00154588" w:rsidRDefault="00D15C1B" w:rsidP="008C12B4">
            <w:pPr>
              <w:jc w:val="both"/>
              <w:rPr>
                <w:bCs/>
                <w:sz w:val="20"/>
                <w:szCs w:val="20"/>
              </w:rPr>
            </w:pPr>
          </w:p>
        </w:tc>
        <w:tc>
          <w:tcPr>
            <w:tcW w:w="2552" w:type="dxa"/>
          </w:tcPr>
          <w:p w14:paraId="6CAAFEC2" w14:textId="3211863C" w:rsidR="00D15C1B" w:rsidRPr="00154588" w:rsidRDefault="0094082B" w:rsidP="008C12B4">
            <w:pPr>
              <w:jc w:val="both"/>
              <w:rPr>
                <w:bCs/>
                <w:sz w:val="20"/>
                <w:szCs w:val="20"/>
              </w:rPr>
            </w:pPr>
            <w:r w:rsidRPr="00154588">
              <w:rPr>
                <w:bCs/>
                <w:sz w:val="20"/>
                <w:szCs w:val="20"/>
              </w:rPr>
              <w:t>Compatibil</w:t>
            </w:r>
          </w:p>
        </w:tc>
        <w:tc>
          <w:tcPr>
            <w:tcW w:w="3118" w:type="dxa"/>
          </w:tcPr>
          <w:p w14:paraId="76FC3BD4" w14:textId="77777777" w:rsidR="00D15C1B" w:rsidRPr="00154588" w:rsidRDefault="00D15C1B" w:rsidP="008C12B4">
            <w:pPr>
              <w:jc w:val="both"/>
              <w:rPr>
                <w:bCs/>
                <w:sz w:val="20"/>
                <w:szCs w:val="20"/>
              </w:rPr>
            </w:pPr>
          </w:p>
        </w:tc>
      </w:tr>
      <w:tr w:rsidR="00D15C1B" w:rsidRPr="00154588" w14:paraId="6FE87A3C" w14:textId="77777777" w:rsidTr="00D15C1B">
        <w:trPr>
          <w:jc w:val="center"/>
        </w:trPr>
        <w:tc>
          <w:tcPr>
            <w:tcW w:w="4957" w:type="dxa"/>
            <w:gridSpan w:val="2"/>
          </w:tcPr>
          <w:p w14:paraId="7497FC95" w14:textId="556832A1" w:rsidR="00D15C1B" w:rsidRPr="00154588" w:rsidRDefault="00D15C1B" w:rsidP="008C12B4">
            <w:pPr>
              <w:jc w:val="both"/>
              <w:rPr>
                <w:bCs/>
                <w:sz w:val="20"/>
                <w:szCs w:val="20"/>
              </w:rPr>
            </w:pPr>
            <w:r w:rsidRPr="00154588">
              <w:rPr>
                <w:bCs/>
                <w:sz w:val="20"/>
                <w:szCs w:val="20"/>
              </w:rPr>
              <w:t>83aa.</w:t>
            </w:r>
            <w:r w:rsidRPr="00154588">
              <w:rPr>
                <w:b/>
                <w:sz w:val="20"/>
                <w:szCs w:val="20"/>
              </w:rPr>
              <w:t xml:space="preserve"> „entitate destinată lichidării”</w:t>
            </w:r>
            <w:r w:rsidRPr="00154588">
              <w:rPr>
                <w:bCs/>
                <w:sz w:val="20"/>
                <w:szCs w:val="20"/>
              </w:rPr>
              <w:t xml:space="preserve"> înseamnă fie o persoană juridică stabilită în Uniune în legătură cu care planul de rezoluție a grupului sau, în cazul entităților care nu fac parte dintr-un grup, planul de rezoluție prevede că entitatea urmează să fie lichidată prin procedura obișnuită de insolvență, fie o entitate din cadrul unui grup de </w:t>
            </w:r>
            <w:r w:rsidRPr="00154588">
              <w:rPr>
                <w:bCs/>
                <w:sz w:val="20"/>
                <w:szCs w:val="20"/>
              </w:rPr>
              <w:lastRenderedPageBreak/>
              <w:t>rezoluție, alta decât o entitate de rezoluție, în legătură cu care planul de rezoluție a grupului nu prevede exercitarea competențelor de reducere a valorii contabile și de conversie;</w:t>
            </w:r>
          </w:p>
        </w:tc>
        <w:tc>
          <w:tcPr>
            <w:tcW w:w="4819" w:type="dxa"/>
          </w:tcPr>
          <w:p w14:paraId="79213620" w14:textId="1A746E1E" w:rsidR="00D15C1B" w:rsidRPr="00154588" w:rsidRDefault="00567279" w:rsidP="008C12B4">
            <w:pPr>
              <w:jc w:val="both"/>
              <w:rPr>
                <w:bCs/>
                <w:sz w:val="20"/>
                <w:szCs w:val="20"/>
              </w:rPr>
            </w:pPr>
            <w:r w:rsidRPr="00154588">
              <w:rPr>
                <w:bCs/>
                <w:sz w:val="20"/>
                <w:szCs w:val="20"/>
              </w:rPr>
              <w:lastRenderedPageBreak/>
              <w:t xml:space="preserve">69) </w:t>
            </w:r>
            <w:r w:rsidRPr="00154588">
              <w:rPr>
                <w:bCs/>
                <w:i/>
                <w:sz w:val="20"/>
                <w:szCs w:val="20"/>
              </w:rPr>
              <w:t>entitate destinată lichidării</w:t>
            </w:r>
            <w:r w:rsidRPr="00154588">
              <w:rPr>
                <w:bCs/>
                <w:sz w:val="20"/>
                <w:szCs w:val="20"/>
              </w:rPr>
              <w:t xml:space="preserve"> – o persoană juridică stabilită în Republica Moldova sau într-un alt stat membru al Uniunii Europene, pentru care planul de rezoluție la nivel de grupul sau planul de rezoluție, în cazul entităților care nu fac parte dintr-un grup, prevede că entitatea urmează să fie lichidată, prin procedura obișnuită de </w:t>
            </w:r>
            <w:r w:rsidRPr="00154588">
              <w:rPr>
                <w:bCs/>
                <w:sz w:val="20"/>
                <w:szCs w:val="20"/>
              </w:rPr>
              <w:lastRenderedPageBreak/>
              <w:t>insolvabilitate, sau persoana juridică din cadrul unui grup de rezoluție, alta decât o entitate de rezoluție, în legătură cu care planul de rezoluție a grupului nu prevede exercitarea competențelor de reducere a valorii și de conversie;</w:t>
            </w:r>
          </w:p>
        </w:tc>
        <w:tc>
          <w:tcPr>
            <w:tcW w:w="2552" w:type="dxa"/>
          </w:tcPr>
          <w:p w14:paraId="7B444363" w14:textId="6557827D" w:rsidR="00D15C1B" w:rsidRPr="00154588" w:rsidRDefault="0094082B" w:rsidP="008C12B4">
            <w:pPr>
              <w:jc w:val="both"/>
              <w:rPr>
                <w:bCs/>
                <w:sz w:val="20"/>
                <w:szCs w:val="20"/>
              </w:rPr>
            </w:pPr>
            <w:r w:rsidRPr="00154588">
              <w:rPr>
                <w:bCs/>
                <w:sz w:val="20"/>
                <w:szCs w:val="20"/>
              </w:rPr>
              <w:lastRenderedPageBreak/>
              <w:t>Compatibil</w:t>
            </w:r>
          </w:p>
        </w:tc>
        <w:tc>
          <w:tcPr>
            <w:tcW w:w="3118" w:type="dxa"/>
          </w:tcPr>
          <w:p w14:paraId="04DA2BE6" w14:textId="77777777" w:rsidR="00D15C1B" w:rsidRPr="00154588" w:rsidRDefault="00D15C1B" w:rsidP="008C12B4">
            <w:pPr>
              <w:jc w:val="both"/>
              <w:rPr>
                <w:bCs/>
                <w:sz w:val="20"/>
                <w:szCs w:val="20"/>
              </w:rPr>
            </w:pPr>
          </w:p>
        </w:tc>
      </w:tr>
      <w:tr w:rsidR="00D15C1B" w:rsidRPr="00154588" w14:paraId="1B7DCCB8" w14:textId="77777777" w:rsidTr="00D15C1B">
        <w:trPr>
          <w:jc w:val="center"/>
        </w:trPr>
        <w:tc>
          <w:tcPr>
            <w:tcW w:w="4957" w:type="dxa"/>
            <w:gridSpan w:val="2"/>
          </w:tcPr>
          <w:p w14:paraId="1F35936B" w14:textId="7D1F78CD" w:rsidR="00D15C1B" w:rsidRPr="00154588" w:rsidRDefault="00D15C1B" w:rsidP="008C12B4">
            <w:pPr>
              <w:jc w:val="both"/>
              <w:rPr>
                <w:bCs/>
                <w:sz w:val="20"/>
                <w:szCs w:val="20"/>
              </w:rPr>
            </w:pPr>
            <w:r w:rsidRPr="00154588">
              <w:rPr>
                <w:bCs/>
                <w:sz w:val="20"/>
                <w:szCs w:val="20"/>
              </w:rPr>
              <w:t xml:space="preserve">83b. </w:t>
            </w:r>
            <w:r w:rsidRPr="00154588">
              <w:rPr>
                <w:b/>
                <w:sz w:val="20"/>
                <w:szCs w:val="20"/>
              </w:rPr>
              <w:t>„grup de rezoluție”</w:t>
            </w:r>
            <w:r w:rsidRPr="00154588">
              <w:rPr>
                <w:bCs/>
                <w:sz w:val="20"/>
                <w:szCs w:val="20"/>
              </w:rPr>
              <w:t xml:space="preserve"> înseamnă:</w:t>
            </w:r>
          </w:p>
          <w:p w14:paraId="6565387A" w14:textId="77777777" w:rsidR="00D15C1B" w:rsidRPr="00154588" w:rsidRDefault="00D15C1B" w:rsidP="008C12B4">
            <w:pPr>
              <w:jc w:val="both"/>
              <w:rPr>
                <w:bCs/>
                <w:sz w:val="20"/>
                <w:szCs w:val="20"/>
              </w:rPr>
            </w:pPr>
          </w:p>
          <w:p w14:paraId="334DA7EC" w14:textId="3B6A4091" w:rsidR="00D15C1B" w:rsidRPr="00154588" w:rsidRDefault="00D15C1B" w:rsidP="008C12B4">
            <w:pPr>
              <w:jc w:val="both"/>
              <w:rPr>
                <w:bCs/>
                <w:sz w:val="20"/>
                <w:szCs w:val="20"/>
              </w:rPr>
            </w:pPr>
            <w:r w:rsidRPr="00154588">
              <w:rPr>
                <w:bCs/>
                <w:sz w:val="20"/>
                <w:szCs w:val="20"/>
              </w:rPr>
              <w:t>(a) o entitate de rezoluție și filialele sale care nu sunt:</w:t>
            </w:r>
          </w:p>
          <w:p w14:paraId="452FCD98" w14:textId="77777777" w:rsidR="00D15C1B" w:rsidRPr="00154588" w:rsidRDefault="00D15C1B" w:rsidP="008C12B4">
            <w:pPr>
              <w:jc w:val="both"/>
              <w:rPr>
                <w:bCs/>
                <w:sz w:val="20"/>
                <w:szCs w:val="20"/>
              </w:rPr>
            </w:pPr>
          </w:p>
          <w:p w14:paraId="505D27E8" w14:textId="763BCA52" w:rsidR="00D15C1B" w:rsidRPr="00154588" w:rsidRDefault="00D15C1B" w:rsidP="008C12B4">
            <w:pPr>
              <w:jc w:val="both"/>
              <w:rPr>
                <w:bCs/>
                <w:sz w:val="20"/>
                <w:szCs w:val="20"/>
              </w:rPr>
            </w:pPr>
            <w:r w:rsidRPr="00154588">
              <w:rPr>
                <w:bCs/>
                <w:sz w:val="20"/>
                <w:szCs w:val="20"/>
              </w:rPr>
              <w:t>(i) la rândul lor entități de rezoluție;</w:t>
            </w:r>
          </w:p>
          <w:p w14:paraId="20D0C7B3" w14:textId="77777777" w:rsidR="00D15C1B" w:rsidRPr="00154588" w:rsidRDefault="00D15C1B" w:rsidP="008C12B4">
            <w:pPr>
              <w:jc w:val="both"/>
              <w:rPr>
                <w:bCs/>
                <w:sz w:val="20"/>
                <w:szCs w:val="20"/>
              </w:rPr>
            </w:pPr>
          </w:p>
          <w:p w14:paraId="38257D4B" w14:textId="6ECDAF36" w:rsidR="00D15C1B" w:rsidRPr="00154588" w:rsidRDefault="00D15C1B" w:rsidP="008C12B4">
            <w:pPr>
              <w:jc w:val="both"/>
              <w:rPr>
                <w:bCs/>
                <w:sz w:val="20"/>
                <w:szCs w:val="20"/>
              </w:rPr>
            </w:pPr>
            <w:r w:rsidRPr="00154588">
              <w:rPr>
                <w:bCs/>
                <w:sz w:val="20"/>
                <w:szCs w:val="20"/>
              </w:rPr>
              <w:t>(ii) filiale ale altor entități de rezoluție; sau</w:t>
            </w:r>
          </w:p>
          <w:p w14:paraId="11446D5B" w14:textId="77777777" w:rsidR="00D15C1B" w:rsidRPr="00154588" w:rsidRDefault="00D15C1B" w:rsidP="008C12B4">
            <w:pPr>
              <w:jc w:val="both"/>
              <w:rPr>
                <w:bCs/>
                <w:sz w:val="20"/>
                <w:szCs w:val="20"/>
              </w:rPr>
            </w:pPr>
          </w:p>
          <w:p w14:paraId="44D3F37B" w14:textId="63C79B88" w:rsidR="00D15C1B" w:rsidRPr="00154588" w:rsidRDefault="00D15C1B" w:rsidP="008C12B4">
            <w:pPr>
              <w:jc w:val="both"/>
              <w:rPr>
                <w:bCs/>
                <w:sz w:val="20"/>
                <w:szCs w:val="20"/>
              </w:rPr>
            </w:pPr>
            <w:r w:rsidRPr="00154588">
              <w:rPr>
                <w:bCs/>
                <w:sz w:val="20"/>
                <w:szCs w:val="20"/>
              </w:rPr>
              <w:t>(iii) entități stabilite într-o țară terță care nu sunt incluse în grupul de rezoluție în conformitate cu planul de rezoluție și filialele lor; sau</w:t>
            </w:r>
          </w:p>
          <w:p w14:paraId="12309957" w14:textId="77777777" w:rsidR="00D15C1B" w:rsidRPr="00154588" w:rsidRDefault="00D15C1B" w:rsidP="008C12B4">
            <w:pPr>
              <w:jc w:val="both"/>
              <w:rPr>
                <w:bCs/>
                <w:sz w:val="20"/>
                <w:szCs w:val="20"/>
              </w:rPr>
            </w:pPr>
          </w:p>
          <w:p w14:paraId="682C7850" w14:textId="77777777" w:rsidR="00D15C1B" w:rsidRPr="00154588" w:rsidRDefault="00D15C1B" w:rsidP="008C12B4">
            <w:pPr>
              <w:jc w:val="both"/>
              <w:rPr>
                <w:bCs/>
                <w:sz w:val="20"/>
                <w:szCs w:val="20"/>
              </w:rPr>
            </w:pPr>
          </w:p>
          <w:p w14:paraId="44A635C6" w14:textId="51251AAB" w:rsidR="00D15C1B" w:rsidRPr="00154588" w:rsidRDefault="00D15C1B" w:rsidP="008C12B4">
            <w:pPr>
              <w:jc w:val="both"/>
              <w:rPr>
                <w:bCs/>
                <w:sz w:val="20"/>
                <w:szCs w:val="20"/>
              </w:rPr>
            </w:pPr>
            <w:r w:rsidRPr="00154588">
              <w:rPr>
                <w:bCs/>
                <w:sz w:val="20"/>
                <w:szCs w:val="20"/>
              </w:rPr>
              <w:t xml:space="preserve">(b) instituțiile de credit </w:t>
            </w:r>
            <w:r w:rsidR="00E85E96" w:rsidRPr="00154588">
              <w:rPr>
                <w:bCs/>
                <w:sz w:val="20"/>
                <w:szCs w:val="20"/>
              </w:rPr>
              <w:t xml:space="preserve">sau instituțiile financiare </w:t>
            </w:r>
            <w:r w:rsidR="00AA2949" w:rsidRPr="00154588">
              <w:rPr>
                <w:bCs/>
                <w:sz w:val="20"/>
                <w:szCs w:val="20"/>
              </w:rPr>
              <w:t xml:space="preserve"> care sunt </w:t>
            </w:r>
            <w:r w:rsidRPr="00154588">
              <w:rPr>
                <w:bCs/>
                <w:sz w:val="20"/>
                <w:szCs w:val="20"/>
              </w:rPr>
              <w:t>afiliate în mod permanent unui organism central și organismul central însuși, atunci când cel puțin una dintre aceste instituții de credit sau</w:t>
            </w:r>
            <w:r w:rsidR="00AA2949" w:rsidRPr="00154588">
              <w:rPr>
                <w:bCs/>
                <w:sz w:val="20"/>
                <w:szCs w:val="20"/>
              </w:rPr>
              <w:t xml:space="preserve"> instituții financiare sau</w:t>
            </w:r>
            <w:r w:rsidRPr="00154588">
              <w:rPr>
                <w:bCs/>
                <w:sz w:val="20"/>
                <w:szCs w:val="20"/>
              </w:rPr>
              <w:t xml:space="preserve"> organismul central este o entitate de rezoluție, și filialele lor respective;</w:t>
            </w:r>
          </w:p>
        </w:tc>
        <w:tc>
          <w:tcPr>
            <w:tcW w:w="4819" w:type="dxa"/>
          </w:tcPr>
          <w:p w14:paraId="58601EB2" w14:textId="77777777" w:rsidR="00567279" w:rsidRPr="00154588" w:rsidRDefault="00567279" w:rsidP="008C12B4">
            <w:pPr>
              <w:jc w:val="both"/>
              <w:rPr>
                <w:bCs/>
                <w:sz w:val="20"/>
                <w:szCs w:val="20"/>
              </w:rPr>
            </w:pPr>
            <w:r w:rsidRPr="00154588">
              <w:rPr>
                <w:bCs/>
                <w:sz w:val="20"/>
                <w:szCs w:val="20"/>
              </w:rPr>
              <w:t xml:space="preserve">79) </w:t>
            </w:r>
            <w:r w:rsidRPr="00154588">
              <w:rPr>
                <w:bCs/>
                <w:i/>
                <w:sz w:val="20"/>
                <w:szCs w:val="20"/>
              </w:rPr>
              <w:t>grup de rezoluție</w:t>
            </w:r>
            <w:r w:rsidRPr="00154588">
              <w:rPr>
                <w:bCs/>
                <w:sz w:val="20"/>
                <w:szCs w:val="20"/>
              </w:rPr>
              <w:t xml:space="preserve"> înseamnă:</w:t>
            </w:r>
          </w:p>
          <w:p w14:paraId="2C08C502" w14:textId="77777777" w:rsidR="00567279" w:rsidRPr="00154588" w:rsidRDefault="00567279" w:rsidP="008C12B4">
            <w:pPr>
              <w:jc w:val="both"/>
              <w:rPr>
                <w:bCs/>
                <w:sz w:val="20"/>
                <w:szCs w:val="20"/>
              </w:rPr>
            </w:pPr>
          </w:p>
          <w:p w14:paraId="7A8670B2" w14:textId="77777777" w:rsidR="00567279" w:rsidRPr="00154588" w:rsidRDefault="00567279" w:rsidP="008C12B4">
            <w:pPr>
              <w:jc w:val="both"/>
              <w:rPr>
                <w:bCs/>
                <w:sz w:val="20"/>
                <w:szCs w:val="20"/>
              </w:rPr>
            </w:pPr>
            <w:r w:rsidRPr="00154588">
              <w:rPr>
                <w:bCs/>
                <w:sz w:val="20"/>
                <w:szCs w:val="20"/>
              </w:rPr>
              <w:t>a) o entitate de rezoluție și filialele sale care nu sunt:</w:t>
            </w:r>
          </w:p>
          <w:p w14:paraId="671B074A" w14:textId="77777777" w:rsidR="00567279" w:rsidRPr="00154588" w:rsidRDefault="00567279" w:rsidP="008C12B4">
            <w:pPr>
              <w:jc w:val="both"/>
              <w:rPr>
                <w:bCs/>
                <w:sz w:val="20"/>
                <w:szCs w:val="20"/>
              </w:rPr>
            </w:pPr>
          </w:p>
          <w:p w14:paraId="129E5B4C" w14:textId="77777777" w:rsidR="00567279" w:rsidRPr="00154588" w:rsidRDefault="00567279" w:rsidP="008C12B4">
            <w:pPr>
              <w:jc w:val="both"/>
              <w:rPr>
                <w:bCs/>
                <w:sz w:val="20"/>
                <w:szCs w:val="20"/>
              </w:rPr>
            </w:pPr>
            <w:r w:rsidRPr="00154588">
              <w:rPr>
                <w:bCs/>
                <w:sz w:val="20"/>
                <w:szCs w:val="20"/>
              </w:rPr>
              <w:t>(i) la rândul lor entități de rezoluție;</w:t>
            </w:r>
          </w:p>
          <w:p w14:paraId="24DDB75A" w14:textId="77777777" w:rsidR="00567279" w:rsidRPr="00154588" w:rsidRDefault="00567279" w:rsidP="008C12B4">
            <w:pPr>
              <w:jc w:val="both"/>
              <w:rPr>
                <w:bCs/>
                <w:sz w:val="20"/>
                <w:szCs w:val="20"/>
              </w:rPr>
            </w:pPr>
          </w:p>
          <w:p w14:paraId="6021252F" w14:textId="77777777" w:rsidR="00567279" w:rsidRPr="00154588" w:rsidRDefault="00567279" w:rsidP="008C12B4">
            <w:pPr>
              <w:jc w:val="both"/>
              <w:rPr>
                <w:bCs/>
                <w:sz w:val="20"/>
                <w:szCs w:val="20"/>
              </w:rPr>
            </w:pPr>
            <w:r w:rsidRPr="00154588">
              <w:rPr>
                <w:bCs/>
                <w:sz w:val="20"/>
                <w:szCs w:val="20"/>
              </w:rPr>
              <w:t>(ii) filiale ale altor entități de rezoluție; sau</w:t>
            </w:r>
          </w:p>
          <w:p w14:paraId="03A9D45B" w14:textId="77777777" w:rsidR="00567279" w:rsidRPr="00154588" w:rsidRDefault="00567279" w:rsidP="008C12B4">
            <w:pPr>
              <w:jc w:val="both"/>
              <w:rPr>
                <w:bCs/>
                <w:sz w:val="20"/>
                <w:szCs w:val="20"/>
              </w:rPr>
            </w:pPr>
          </w:p>
          <w:p w14:paraId="729C6D37" w14:textId="77777777" w:rsidR="00567279" w:rsidRPr="00154588" w:rsidRDefault="00567279" w:rsidP="008C12B4">
            <w:pPr>
              <w:jc w:val="both"/>
              <w:rPr>
                <w:bCs/>
                <w:sz w:val="20"/>
                <w:szCs w:val="20"/>
              </w:rPr>
            </w:pPr>
            <w:r w:rsidRPr="00154588">
              <w:rPr>
                <w:bCs/>
                <w:sz w:val="20"/>
                <w:szCs w:val="20"/>
              </w:rPr>
              <w:t>(iii) entități stabilite într-un stat terț care nu sunt incluse în grupul de rezoluție în conformitate cu planul de rezoluție și filialele lor; sau</w:t>
            </w:r>
          </w:p>
          <w:p w14:paraId="4B07234B" w14:textId="77777777" w:rsidR="00567279" w:rsidRPr="00154588" w:rsidRDefault="00567279" w:rsidP="008C12B4">
            <w:pPr>
              <w:jc w:val="both"/>
              <w:rPr>
                <w:bCs/>
                <w:sz w:val="20"/>
                <w:szCs w:val="20"/>
              </w:rPr>
            </w:pPr>
          </w:p>
          <w:p w14:paraId="51F0C50D" w14:textId="77777777" w:rsidR="00567279" w:rsidRPr="00154588" w:rsidRDefault="00567279" w:rsidP="008C12B4">
            <w:pPr>
              <w:jc w:val="both"/>
              <w:rPr>
                <w:bCs/>
                <w:sz w:val="20"/>
                <w:szCs w:val="20"/>
              </w:rPr>
            </w:pPr>
          </w:p>
          <w:p w14:paraId="71377702" w14:textId="7A3FB628" w:rsidR="00D15C1B" w:rsidRPr="00154588" w:rsidRDefault="00567279" w:rsidP="008C12B4">
            <w:pPr>
              <w:jc w:val="both"/>
              <w:rPr>
                <w:bCs/>
                <w:sz w:val="20"/>
                <w:szCs w:val="20"/>
              </w:rPr>
            </w:pPr>
            <w:r w:rsidRPr="00154588">
              <w:rPr>
                <w:bCs/>
                <w:sz w:val="20"/>
                <w:szCs w:val="20"/>
              </w:rPr>
              <w:t xml:space="preserve">b) instituțiile de credit </w:t>
            </w:r>
            <w:r w:rsidR="00B54410" w:rsidRPr="00154588">
              <w:rPr>
                <w:bCs/>
                <w:sz w:val="20"/>
                <w:szCs w:val="20"/>
              </w:rPr>
              <w:t xml:space="preserve">sau instituțiile financiare  care sunt </w:t>
            </w:r>
            <w:r w:rsidRPr="00154588">
              <w:rPr>
                <w:bCs/>
                <w:sz w:val="20"/>
                <w:szCs w:val="20"/>
              </w:rPr>
              <w:t>afiliate în mod permanent unui organism central și organismul central însuși, atunci când cel puțin una dintre aceste instituții de credit sau</w:t>
            </w:r>
            <w:r w:rsidR="00B54410" w:rsidRPr="00154588">
              <w:rPr>
                <w:bCs/>
                <w:sz w:val="20"/>
                <w:szCs w:val="20"/>
              </w:rPr>
              <w:t xml:space="preserve"> instituțiile financiare  sau </w:t>
            </w:r>
            <w:r w:rsidRPr="00154588">
              <w:rPr>
                <w:bCs/>
                <w:sz w:val="20"/>
                <w:szCs w:val="20"/>
              </w:rPr>
              <w:t>organismul central este o entitate de rezoluție, și filialele lor respective;</w:t>
            </w:r>
          </w:p>
        </w:tc>
        <w:tc>
          <w:tcPr>
            <w:tcW w:w="2552" w:type="dxa"/>
          </w:tcPr>
          <w:p w14:paraId="09B17BD5" w14:textId="6935D551" w:rsidR="00D15C1B" w:rsidRPr="00154588" w:rsidRDefault="0094082B" w:rsidP="008C12B4">
            <w:pPr>
              <w:jc w:val="both"/>
              <w:rPr>
                <w:bCs/>
                <w:sz w:val="20"/>
                <w:szCs w:val="20"/>
              </w:rPr>
            </w:pPr>
            <w:r w:rsidRPr="00154588">
              <w:rPr>
                <w:bCs/>
                <w:sz w:val="20"/>
                <w:szCs w:val="20"/>
              </w:rPr>
              <w:t>Compatibil</w:t>
            </w:r>
          </w:p>
        </w:tc>
        <w:tc>
          <w:tcPr>
            <w:tcW w:w="3118" w:type="dxa"/>
          </w:tcPr>
          <w:p w14:paraId="78E84310" w14:textId="77777777" w:rsidR="00D15C1B" w:rsidRPr="00154588" w:rsidRDefault="00D15C1B" w:rsidP="008C12B4">
            <w:pPr>
              <w:jc w:val="both"/>
              <w:rPr>
                <w:bCs/>
                <w:sz w:val="20"/>
                <w:szCs w:val="20"/>
              </w:rPr>
            </w:pPr>
          </w:p>
        </w:tc>
      </w:tr>
      <w:tr w:rsidR="00D15C1B" w:rsidRPr="00154588" w14:paraId="51D62E89" w14:textId="77777777" w:rsidTr="00B03D05">
        <w:trPr>
          <w:trHeight w:val="1134"/>
          <w:jc w:val="center"/>
        </w:trPr>
        <w:tc>
          <w:tcPr>
            <w:tcW w:w="4957" w:type="dxa"/>
            <w:gridSpan w:val="2"/>
          </w:tcPr>
          <w:p w14:paraId="44237B6C" w14:textId="77D5E0D1" w:rsidR="00D15C1B" w:rsidRPr="00154588" w:rsidRDefault="00D15C1B" w:rsidP="008C12B4">
            <w:pPr>
              <w:jc w:val="both"/>
              <w:rPr>
                <w:bCs/>
                <w:sz w:val="20"/>
                <w:szCs w:val="20"/>
              </w:rPr>
            </w:pPr>
            <w:r w:rsidRPr="00154588">
              <w:rPr>
                <w:bCs/>
                <w:sz w:val="20"/>
                <w:szCs w:val="20"/>
              </w:rPr>
              <w:t xml:space="preserve">83c. </w:t>
            </w:r>
            <w:r w:rsidRPr="00154588">
              <w:rPr>
                <w:b/>
                <w:sz w:val="20"/>
                <w:szCs w:val="20"/>
              </w:rPr>
              <w:t>„instituție de importanță sistemică globală” sau „G-SII”</w:t>
            </w:r>
            <w:r w:rsidRPr="00154588">
              <w:rPr>
                <w:bCs/>
                <w:sz w:val="20"/>
                <w:szCs w:val="20"/>
              </w:rPr>
              <w:t xml:space="preserve"> înseamnă o G-SII, astfel cum este definită la articolul 4 alineatul (1) punctul 133 din Regulamentul (UE) nr. 575/2013;</w:t>
            </w:r>
          </w:p>
        </w:tc>
        <w:tc>
          <w:tcPr>
            <w:tcW w:w="4819" w:type="dxa"/>
          </w:tcPr>
          <w:p w14:paraId="4DE4945C" w14:textId="77777777" w:rsidR="00567279" w:rsidRPr="00154588" w:rsidRDefault="00567279" w:rsidP="008C12B4">
            <w:pPr>
              <w:jc w:val="both"/>
              <w:rPr>
                <w:sz w:val="20"/>
                <w:szCs w:val="20"/>
              </w:rPr>
            </w:pPr>
            <w:r w:rsidRPr="00154588">
              <w:rPr>
                <w:bCs/>
                <w:sz w:val="20"/>
                <w:szCs w:val="20"/>
              </w:rPr>
              <w:t xml:space="preserve">82) </w:t>
            </w:r>
            <w:r w:rsidRPr="00154588">
              <w:rPr>
                <w:bCs/>
                <w:i/>
                <w:sz w:val="20"/>
                <w:szCs w:val="20"/>
              </w:rPr>
              <w:t>instituție de importanță sistemică globală sau G-SII</w:t>
            </w:r>
            <w:r w:rsidRPr="00154588">
              <w:rPr>
                <w:bCs/>
                <w:sz w:val="20"/>
                <w:szCs w:val="20"/>
              </w:rPr>
              <w:t xml:space="preserve"> – o G-SII, astfel cum este definită la art.3 din Legea nr.202/2017</w:t>
            </w:r>
            <w:r w:rsidRPr="00154588">
              <w:rPr>
                <w:sz w:val="20"/>
                <w:szCs w:val="20"/>
              </w:rPr>
              <w:t>;</w:t>
            </w:r>
          </w:p>
          <w:p w14:paraId="3A3F16D1" w14:textId="77777777" w:rsidR="00D15C1B" w:rsidRPr="00154588" w:rsidRDefault="00D15C1B" w:rsidP="008C12B4">
            <w:pPr>
              <w:jc w:val="both"/>
              <w:rPr>
                <w:sz w:val="20"/>
                <w:szCs w:val="20"/>
              </w:rPr>
            </w:pPr>
          </w:p>
        </w:tc>
        <w:tc>
          <w:tcPr>
            <w:tcW w:w="2552" w:type="dxa"/>
          </w:tcPr>
          <w:p w14:paraId="3EE5B254" w14:textId="51457172" w:rsidR="00D15C1B" w:rsidRPr="00154588" w:rsidRDefault="0094082B" w:rsidP="008C12B4">
            <w:pPr>
              <w:jc w:val="both"/>
              <w:rPr>
                <w:bCs/>
                <w:sz w:val="20"/>
                <w:szCs w:val="20"/>
              </w:rPr>
            </w:pPr>
            <w:r w:rsidRPr="00154588">
              <w:rPr>
                <w:bCs/>
                <w:sz w:val="20"/>
                <w:szCs w:val="20"/>
              </w:rPr>
              <w:t>Compatibil</w:t>
            </w:r>
          </w:p>
        </w:tc>
        <w:tc>
          <w:tcPr>
            <w:tcW w:w="3118" w:type="dxa"/>
          </w:tcPr>
          <w:p w14:paraId="0CF70BD2" w14:textId="77777777" w:rsidR="00D15C1B" w:rsidRPr="00154588" w:rsidRDefault="00D15C1B" w:rsidP="008C12B4">
            <w:pPr>
              <w:jc w:val="both"/>
              <w:rPr>
                <w:bCs/>
                <w:sz w:val="20"/>
                <w:szCs w:val="20"/>
              </w:rPr>
            </w:pPr>
          </w:p>
        </w:tc>
      </w:tr>
      <w:tr w:rsidR="00AA2949" w:rsidRPr="00154588" w14:paraId="25DA9F84" w14:textId="77777777" w:rsidTr="00D15C1B">
        <w:trPr>
          <w:jc w:val="center"/>
        </w:trPr>
        <w:tc>
          <w:tcPr>
            <w:tcW w:w="4957" w:type="dxa"/>
            <w:gridSpan w:val="2"/>
          </w:tcPr>
          <w:p w14:paraId="7781764F" w14:textId="31ECDA47" w:rsidR="00AA2949" w:rsidRPr="00154588" w:rsidRDefault="00AA2949" w:rsidP="008C12B4">
            <w:pPr>
              <w:jc w:val="both"/>
              <w:rPr>
                <w:bCs/>
                <w:sz w:val="20"/>
                <w:szCs w:val="20"/>
              </w:rPr>
            </w:pPr>
            <w:r w:rsidRPr="00154588">
              <w:rPr>
                <w:bCs/>
                <w:sz w:val="20"/>
                <w:szCs w:val="20"/>
              </w:rPr>
              <w:t xml:space="preserve">83d. </w:t>
            </w:r>
            <w:r w:rsidR="005D0766" w:rsidRPr="00154588">
              <w:rPr>
                <w:b/>
                <w:sz w:val="20"/>
                <w:szCs w:val="20"/>
              </w:rPr>
              <w:t>„</w:t>
            </w:r>
            <w:r w:rsidRPr="00154588">
              <w:rPr>
                <w:b/>
                <w:sz w:val="20"/>
                <w:szCs w:val="20"/>
              </w:rPr>
              <w:t>G-SII din afara UE</w:t>
            </w:r>
            <w:r w:rsidR="005D0766" w:rsidRPr="00154588">
              <w:rPr>
                <w:b/>
                <w:sz w:val="20"/>
                <w:szCs w:val="20"/>
              </w:rPr>
              <w:t>”</w:t>
            </w:r>
            <w:r w:rsidRPr="00154588">
              <w:rPr>
                <w:bCs/>
                <w:sz w:val="20"/>
                <w:szCs w:val="20"/>
              </w:rPr>
              <w:t xml:space="preserve"> înseamnă o G-SII din afara UE, astfel cum este definită la articolul 4 alineatul (1) punctul 134 din Regulamentul (UE) nr. 575/2013</w:t>
            </w:r>
          </w:p>
        </w:tc>
        <w:tc>
          <w:tcPr>
            <w:tcW w:w="4819" w:type="dxa"/>
          </w:tcPr>
          <w:p w14:paraId="3CA4B281" w14:textId="5C9ABAE4" w:rsidR="00AA2949" w:rsidRPr="00154588" w:rsidRDefault="008729B6" w:rsidP="008C12B4">
            <w:pPr>
              <w:jc w:val="both"/>
              <w:rPr>
                <w:bCs/>
                <w:sz w:val="20"/>
                <w:szCs w:val="20"/>
              </w:rPr>
            </w:pPr>
            <w:r w:rsidRPr="00154588">
              <w:rPr>
                <w:bCs/>
                <w:sz w:val="20"/>
                <w:szCs w:val="20"/>
              </w:rPr>
              <w:t>82</w:t>
            </w:r>
            <w:r w:rsidRPr="00154588">
              <w:rPr>
                <w:bCs/>
                <w:sz w:val="20"/>
                <w:szCs w:val="20"/>
                <w:vertAlign w:val="superscript"/>
              </w:rPr>
              <w:t>1</w:t>
            </w:r>
            <w:r w:rsidRPr="00154588">
              <w:rPr>
                <w:bCs/>
                <w:sz w:val="20"/>
                <w:szCs w:val="20"/>
              </w:rPr>
              <w:t xml:space="preserve">) </w:t>
            </w:r>
            <w:r w:rsidR="00D11854" w:rsidRPr="00154588">
              <w:rPr>
                <w:i/>
                <w:iCs/>
                <w:sz w:val="20"/>
                <w:szCs w:val="20"/>
              </w:rPr>
              <w:t>instituție de importanţă sistemică globală din afara UE</w:t>
            </w:r>
            <w:r w:rsidR="00D11854" w:rsidRPr="00154588">
              <w:rPr>
                <w:sz w:val="20"/>
                <w:szCs w:val="20"/>
              </w:rPr>
              <w:t xml:space="preserve"> </w:t>
            </w:r>
            <w:r w:rsidR="00D11854" w:rsidRPr="00154588">
              <w:rPr>
                <w:i/>
                <w:iCs/>
                <w:sz w:val="20"/>
                <w:szCs w:val="20"/>
              </w:rPr>
              <w:t>(G-SII din afara UE)</w:t>
            </w:r>
            <w:r w:rsidR="00D11854" w:rsidRPr="00154588">
              <w:rPr>
                <w:sz w:val="20"/>
                <w:szCs w:val="20"/>
              </w:rPr>
              <w:t xml:space="preserve"> - </w:t>
            </w:r>
            <w:r w:rsidR="00D11854" w:rsidRPr="00154588">
              <w:rPr>
                <w:bCs/>
                <w:sz w:val="20"/>
                <w:szCs w:val="20"/>
              </w:rPr>
              <w:t>astfel cum este definită la art.3 din Legea nr.202/2017</w:t>
            </w:r>
            <w:r w:rsidR="00951859" w:rsidRPr="00154588">
              <w:rPr>
                <w:bCs/>
                <w:sz w:val="20"/>
                <w:szCs w:val="20"/>
              </w:rPr>
              <w:t>;</w:t>
            </w:r>
          </w:p>
        </w:tc>
        <w:tc>
          <w:tcPr>
            <w:tcW w:w="2552" w:type="dxa"/>
          </w:tcPr>
          <w:p w14:paraId="1560D7CE" w14:textId="2965CB07" w:rsidR="00AA2949" w:rsidRPr="00154588" w:rsidRDefault="00951859" w:rsidP="008C12B4">
            <w:pPr>
              <w:jc w:val="both"/>
              <w:rPr>
                <w:bCs/>
                <w:sz w:val="20"/>
                <w:szCs w:val="20"/>
              </w:rPr>
            </w:pPr>
            <w:r w:rsidRPr="00154588">
              <w:rPr>
                <w:bCs/>
                <w:sz w:val="20"/>
                <w:szCs w:val="20"/>
              </w:rPr>
              <w:t>C</w:t>
            </w:r>
            <w:r w:rsidR="00B01153" w:rsidRPr="00154588">
              <w:rPr>
                <w:bCs/>
                <w:sz w:val="20"/>
                <w:szCs w:val="20"/>
              </w:rPr>
              <w:t>ompatibil</w:t>
            </w:r>
          </w:p>
        </w:tc>
        <w:tc>
          <w:tcPr>
            <w:tcW w:w="3118" w:type="dxa"/>
          </w:tcPr>
          <w:p w14:paraId="3F43C49D" w14:textId="77777777" w:rsidR="00DC5D23" w:rsidRPr="00154588" w:rsidRDefault="00DC5D23" w:rsidP="008C12B4">
            <w:pPr>
              <w:jc w:val="both"/>
              <w:rPr>
                <w:sz w:val="20"/>
                <w:szCs w:val="20"/>
              </w:rPr>
            </w:pPr>
          </w:p>
        </w:tc>
      </w:tr>
      <w:tr w:rsidR="00AA2949" w:rsidRPr="00154588" w14:paraId="43C9718F" w14:textId="77777777" w:rsidTr="00D15C1B">
        <w:trPr>
          <w:jc w:val="center"/>
        </w:trPr>
        <w:tc>
          <w:tcPr>
            <w:tcW w:w="4957" w:type="dxa"/>
            <w:gridSpan w:val="2"/>
          </w:tcPr>
          <w:p w14:paraId="27056519" w14:textId="678CDEF9" w:rsidR="00AA2949" w:rsidRPr="00154588" w:rsidRDefault="00AA2949" w:rsidP="008C12B4">
            <w:pPr>
              <w:jc w:val="both"/>
              <w:rPr>
                <w:sz w:val="20"/>
                <w:szCs w:val="20"/>
              </w:rPr>
            </w:pPr>
            <w:r w:rsidRPr="00154588">
              <w:rPr>
                <w:bCs/>
                <w:sz w:val="20"/>
                <w:szCs w:val="20"/>
              </w:rPr>
              <w:t xml:space="preserve">83e. </w:t>
            </w:r>
            <w:r w:rsidR="005D0766" w:rsidRPr="00154588">
              <w:rPr>
                <w:b/>
                <w:sz w:val="20"/>
                <w:szCs w:val="20"/>
              </w:rPr>
              <w:t>„</w:t>
            </w:r>
            <w:r w:rsidRPr="00154588">
              <w:rPr>
                <w:b/>
                <w:sz w:val="20"/>
                <w:szCs w:val="20"/>
              </w:rPr>
              <w:t>entitate G-SII</w:t>
            </w:r>
            <w:r w:rsidR="005D0766" w:rsidRPr="00154588">
              <w:rPr>
                <w:b/>
                <w:sz w:val="20"/>
                <w:szCs w:val="20"/>
              </w:rPr>
              <w:t>”</w:t>
            </w:r>
            <w:r w:rsidRPr="00154588">
              <w:rPr>
                <w:bCs/>
                <w:sz w:val="20"/>
                <w:szCs w:val="20"/>
              </w:rPr>
              <w:t xml:space="preserve"> înseamnă o entitate G-SII, astfel cum este definită la articolul 4 alineatul (1) punctul 136 din Regulamentul (UE) nr. 575/2013;</w:t>
            </w:r>
          </w:p>
        </w:tc>
        <w:tc>
          <w:tcPr>
            <w:tcW w:w="4819" w:type="dxa"/>
          </w:tcPr>
          <w:p w14:paraId="1504280E" w14:textId="41F6BB00" w:rsidR="00AA2949" w:rsidRPr="00154588" w:rsidRDefault="008729B6" w:rsidP="008C12B4">
            <w:pPr>
              <w:jc w:val="both"/>
              <w:rPr>
                <w:bCs/>
                <w:sz w:val="20"/>
                <w:szCs w:val="20"/>
              </w:rPr>
            </w:pPr>
            <w:r w:rsidRPr="00154588">
              <w:rPr>
                <w:bCs/>
                <w:sz w:val="20"/>
                <w:szCs w:val="20"/>
              </w:rPr>
              <w:t>82</w:t>
            </w:r>
            <w:r w:rsidRPr="00154588">
              <w:rPr>
                <w:bCs/>
                <w:sz w:val="20"/>
                <w:szCs w:val="20"/>
                <w:vertAlign w:val="superscript"/>
              </w:rPr>
              <w:t>2</w:t>
            </w:r>
            <w:r w:rsidRPr="00154588">
              <w:rPr>
                <w:bCs/>
                <w:sz w:val="20"/>
                <w:szCs w:val="20"/>
              </w:rPr>
              <w:t>)</w:t>
            </w:r>
            <w:r w:rsidRPr="00154588">
              <w:rPr>
                <w:b/>
                <w:sz w:val="20"/>
                <w:szCs w:val="20"/>
              </w:rPr>
              <w:t xml:space="preserve"> </w:t>
            </w:r>
            <w:r w:rsidRPr="00154588">
              <w:rPr>
                <w:bCs/>
                <w:i/>
                <w:iCs/>
                <w:sz w:val="20"/>
                <w:szCs w:val="20"/>
              </w:rPr>
              <w:t>entitate G-SII</w:t>
            </w:r>
            <w:r w:rsidRPr="00154588">
              <w:rPr>
                <w:bCs/>
                <w:sz w:val="20"/>
                <w:szCs w:val="20"/>
              </w:rPr>
              <w:t xml:space="preserve"> </w:t>
            </w:r>
            <w:r w:rsidR="00D11854" w:rsidRPr="00154588">
              <w:rPr>
                <w:bCs/>
                <w:sz w:val="20"/>
                <w:szCs w:val="20"/>
              </w:rPr>
              <w:t>- înseamnă o entitate care are personalitate juridică și care este o G-SII sau care face parte dintr-o G-SII sau dintr-o G-SII din afara UE</w:t>
            </w:r>
            <w:r w:rsidRPr="00154588">
              <w:rPr>
                <w:bCs/>
                <w:sz w:val="20"/>
                <w:szCs w:val="20"/>
              </w:rPr>
              <w:t>;</w:t>
            </w:r>
          </w:p>
        </w:tc>
        <w:tc>
          <w:tcPr>
            <w:tcW w:w="2552" w:type="dxa"/>
          </w:tcPr>
          <w:p w14:paraId="5B816EDC" w14:textId="3A222063" w:rsidR="00AA2949" w:rsidRPr="00154588" w:rsidRDefault="00951859" w:rsidP="008C12B4">
            <w:pPr>
              <w:jc w:val="both"/>
              <w:rPr>
                <w:bCs/>
                <w:sz w:val="20"/>
                <w:szCs w:val="20"/>
              </w:rPr>
            </w:pPr>
            <w:r w:rsidRPr="00154588">
              <w:rPr>
                <w:bCs/>
                <w:sz w:val="20"/>
                <w:szCs w:val="20"/>
              </w:rPr>
              <w:t>C</w:t>
            </w:r>
            <w:r w:rsidR="00B01153" w:rsidRPr="00154588">
              <w:rPr>
                <w:bCs/>
                <w:sz w:val="20"/>
                <w:szCs w:val="20"/>
              </w:rPr>
              <w:t>ompatibil</w:t>
            </w:r>
          </w:p>
        </w:tc>
        <w:tc>
          <w:tcPr>
            <w:tcW w:w="3118" w:type="dxa"/>
          </w:tcPr>
          <w:p w14:paraId="0F86DC98" w14:textId="77777777" w:rsidR="00AA2949" w:rsidRPr="00154588" w:rsidRDefault="00AA2949" w:rsidP="008C12B4">
            <w:pPr>
              <w:jc w:val="both"/>
              <w:rPr>
                <w:bCs/>
                <w:sz w:val="20"/>
                <w:szCs w:val="20"/>
              </w:rPr>
            </w:pPr>
          </w:p>
        </w:tc>
      </w:tr>
      <w:tr w:rsidR="00D15C1B" w:rsidRPr="00154588" w14:paraId="052FB4E5" w14:textId="77777777" w:rsidTr="00D15C1B">
        <w:trPr>
          <w:jc w:val="center"/>
        </w:trPr>
        <w:tc>
          <w:tcPr>
            <w:tcW w:w="4957" w:type="dxa"/>
            <w:gridSpan w:val="2"/>
          </w:tcPr>
          <w:p w14:paraId="20C4101E" w14:textId="5D2425DD" w:rsidR="00D15C1B" w:rsidRPr="00154588" w:rsidRDefault="00D15C1B" w:rsidP="008C12B4">
            <w:pPr>
              <w:jc w:val="both"/>
              <w:rPr>
                <w:bCs/>
                <w:sz w:val="20"/>
                <w:szCs w:val="20"/>
              </w:rPr>
            </w:pPr>
            <w:r w:rsidRPr="00154588">
              <w:rPr>
                <w:bCs/>
                <w:sz w:val="20"/>
                <w:szCs w:val="20"/>
              </w:rPr>
              <w:t xml:space="preserve">84. </w:t>
            </w:r>
            <w:r w:rsidRPr="00154588">
              <w:rPr>
                <w:b/>
                <w:sz w:val="20"/>
                <w:szCs w:val="20"/>
              </w:rPr>
              <w:t>„filială din Uniune”</w:t>
            </w:r>
            <w:r w:rsidRPr="00154588">
              <w:rPr>
                <w:bCs/>
                <w:sz w:val="20"/>
                <w:szCs w:val="20"/>
              </w:rPr>
              <w:t xml:space="preserve"> înseamnă o instituție stabilită într-un stat membru și care este filială a unei instituții dintr-o țară terță sau a unei întreprinderi-mamă dintr-o țară terță;</w:t>
            </w:r>
          </w:p>
        </w:tc>
        <w:tc>
          <w:tcPr>
            <w:tcW w:w="4819" w:type="dxa"/>
          </w:tcPr>
          <w:p w14:paraId="6B1BE54A" w14:textId="409ABF7C" w:rsidR="00D15C1B" w:rsidRPr="00154588" w:rsidRDefault="00567279" w:rsidP="008C12B4">
            <w:pPr>
              <w:jc w:val="both"/>
              <w:rPr>
                <w:bCs/>
                <w:sz w:val="20"/>
                <w:szCs w:val="20"/>
              </w:rPr>
            </w:pPr>
            <w:r w:rsidRPr="00154588">
              <w:rPr>
                <w:bCs/>
                <w:sz w:val="20"/>
                <w:szCs w:val="20"/>
              </w:rPr>
              <w:t xml:space="preserve">72) </w:t>
            </w:r>
            <w:r w:rsidRPr="00154588">
              <w:rPr>
                <w:bCs/>
                <w:i/>
                <w:sz w:val="20"/>
                <w:szCs w:val="20"/>
              </w:rPr>
              <w:t>filială din Uniunea Europeană</w:t>
            </w:r>
            <w:r w:rsidRPr="00154588">
              <w:rPr>
                <w:bCs/>
                <w:sz w:val="20"/>
                <w:szCs w:val="20"/>
              </w:rPr>
              <w:t xml:space="preserve"> – înseamnă o instituție stabilită într-un stat membru și care este filială a unei instituții sau a unei întreprinderi-mamă dintr-un stat terț;</w:t>
            </w:r>
          </w:p>
        </w:tc>
        <w:tc>
          <w:tcPr>
            <w:tcW w:w="2552" w:type="dxa"/>
          </w:tcPr>
          <w:p w14:paraId="10973829" w14:textId="701E0744" w:rsidR="00D15C1B" w:rsidRPr="00154588" w:rsidRDefault="0094082B" w:rsidP="008C12B4">
            <w:pPr>
              <w:jc w:val="both"/>
              <w:rPr>
                <w:bCs/>
                <w:sz w:val="20"/>
                <w:szCs w:val="20"/>
              </w:rPr>
            </w:pPr>
            <w:r w:rsidRPr="00154588">
              <w:rPr>
                <w:bCs/>
                <w:sz w:val="20"/>
                <w:szCs w:val="20"/>
              </w:rPr>
              <w:t>Compatibil</w:t>
            </w:r>
          </w:p>
        </w:tc>
        <w:tc>
          <w:tcPr>
            <w:tcW w:w="3118" w:type="dxa"/>
          </w:tcPr>
          <w:p w14:paraId="14523DC9" w14:textId="77777777" w:rsidR="00D15C1B" w:rsidRPr="00154588" w:rsidRDefault="00D15C1B" w:rsidP="008C12B4">
            <w:pPr>
              <w:jc w:val="both"/>
              <w:rPr>
                <w:bCs/>
                <w:sz w:val="20"/>
                <w:szCs w:val="20"/>
              </w:rPr>
            </w:pPr>
          </w:p>
        </w:tc>
      </w:tr>
      <w:tr w:rsidR="00D15C1B" w:rsidRPr="00154588" w14:paraId="40928AE7" w14:textId="77777777" w:rsidTr="00D15C1B">
        <w:trPr>
          <w:jc w:val="center"/>
        </w:trPr>
        <w:tc>
          <w:tcPr>
            <w:tcW w:w="4957" w:type="dxa"/>
            <w:gridSpan w:val="2"/>
          </w:tcPr>
          <w:p w14:paraId="123B79C1" w14:textId="1E0BA091" w:rsidR="00D15C1B" w:rsidRPr="00154588" w:rsidRDefault="00D15C1B" w:rsidP="008C12B4">
            <w:pPr>
              <w:jc w:val="both"/>
              <w:rPr>
                <w:bCs/>
                <w:sz w:val="20"/>
                <w:szCs w:val="20"/>
              </w:rPr>
            </w:pPr>
            <w:r w:rsidRPr="00154588">
              <w:rPr>
                <w:bCs/>
                <w:sz w:val="20"/>
                <w:szCs w:val="20"/>
              </w:rPr>
              <w:t xml:space="preserve">85. </w:t>
            </w:r>
            <w:r w:rsidRPr="00154588">
              <w:rPr>
                <w:b/>
                <w:sz w:val="20"/>
                <w:szCs w:val="20"/>
              </w:rPr>
              <w:t>„întreprindere-mamă din Uniune”</w:t>
            </w:r>
            <w:r w:rsidRPr="00154588">
              <w:rPr>
                <w:bCs/>
                <w:sz w:val="20"/>
                <w:szCs w:val="20"/>
              </w:rPr>
              <w:t xml:space="preserve"> înseamnă o instituție-mamă din Uniune, o societate financiară holding-mamă din Uniune sau o societate financiară holding mixtă-mamă din Uniune;</w:t>
            </w:r>
          </w:p>
        </w:tc>
        <w:tc>
          <w:tcPr>
            <w:tcW w:w="4819" w:type="dxa"/>
          </w:tcPr>
          <w:p w14:paraId="280B4935" w14:textId="59B0F3DA" w:rsidR="00D15C1B" w:rsidRPr="00154588" w:rsidRDefault="00567279" w:rsidP="008C12B4">
            <w:pPr>
              <w:jc w:val="both"/>
              <w:rPr>
                <w:bCs/>
                <w:sz w:val="20"/>
                <w:szCs w:val="20"/>
              </w:rPr>
            </w:pPr>
            <w:r w:rsidRPr="00154588">
              <w:rPr>
                <w:bCs/>
                <w:sz w:val="20"/>
                <w:szCs w:val="20"/>
              </w:rPr>
              <w:t xml:space="preserve">93) </w:t>
            </w:r>
            <w:r w:rsidRPr="00154588">
              <w:rPr>
                <w:bCs/>
                <w:i/>
                <w:sz w:val="20"/>
                <w:szCs w:val="20"/>
              </w:rPr>
              <w:t>întreprindere-mamă din Uniunea Europeană</w:t>
            </w:r>
            <w:r w:rsidRPr="00154588">
              <w:rPr>
                <w:bCs/>
                <w:sz w:val="20"/>
                <w:szCs w:val="20"/>
              </w:rPr>
              <w:t xml:space="preserve"> – o instituție-mamă din Uniunea Europeană, o societate financiară holding-mamă din Uniunea Europeană sau o societate financiară holding mixtă-mamă din Uniunea Europeană;</w:t>
            </w:r>
          </w:p>
        </w:tc>
        <w:tc>
          <w:tcPr>
            <w:tcW w:w="2552" w:type="dxa"/>
          </w:tcPr>
          <w:p w14:paraId="44115F6F" w14:textId="4B09A846" w:rsidR="00D15C1B" w:rsidRPr="00154588" w:rsidRDefault="0094082B" w:rsidP="008C12B4">
            <w:pPr>
              <w:jc w:val="both"/>
              <w:rPr>
                <w:bCs/>
                <w:sz w:val="20"/>
                <w:szCs w:val="20"/>
              </w:rPr>
            </w:pPr>
            <w:r w:rsidRPr="00154588">
              <w:rPr>
                <w:bCs/>
                <w:sz w:val="20"/>
                <w:szCs w:val="20"/>
              </w:rPr>
              <w:t>Compatibil</w:t>
            </w:r>
          </w:p>
        </w:tc>
        <w:tc>
          <w:tcPr>
            <w:tcW w:w="3118" w:type="dxa"/>
          </w:tcPr>
          <w:p w14:paraId="698705FB" w14:textId="77777777" w:rsidR="00D15C1B" w:rsidRPr="00154588" w:rsidRDefault="00D15C1B" w:rsidP="008C12B4">
            <w:pPr>
              <w:jc w:val="both"/>
              <w:rPr>
                <w:bCs/>
                <w:sz w:val="20"/>
                <w:szCs w:val="20"/>
              </w:rPr>
            </w:pPr>
          </w:p>
        </w:tc>
      </w:tr>
      <w:tr w:rsidR="00D15C1B" w:rsidRPr="00154588" w14:paraId="2DADDE84" w14:textId="77777777" w:rsidTr="00D15C1B">
        <w:trPr>
          <w:jc w:val="center"/>
        </w:trPr>
        <w:tc>
          <w:tcPr>
            <w:tcW w:w="4957" w:type="dxa"/>
            <w:gridSpan w:val="2"/>
          </w:tcPr>
          <w:p w14:paraId="50E789DF" w14:textId="15178F12" w:rsidR="00D15C1B" w:rsidRPr="00154588" w:rsidRDefault="00D15C1B" w:rsidP="008C12B4">
            <w:pPr>
              <w:jc w:val="both"/>
              <w:rPr>
                <w:bCs/>
                <w:sz w:val="20"/>
                <w:szCs w:val="20"/>
              </w:rPr>
            </w:pPr>
            <w:r w:rsidRPr="00154588">
              <w:rPr>
                <w:bCs/>
                <w:sz w:val="20"/>
                <w:szCs w:val="20"/>
              </w:rPr>
              <w:t xml:space="preserve">86. </w:t>
            </w:r>
            <w:r w:rsidRPr="00154588">
              <w:rPr>
                <w:b/>
                <w:sz w:val="20"/>
                <w:szCs w:val="20"/>
              </w:rPr>
              <w:t>„instituție dintr-o țară terță”</w:t>
            </w:r>
            <w:r w:rsidRPr="00154588">
              <w:rPr>
                <w:bCs/>
                <w:sz w:val="20"/>
                <w:szCs w:val="20"/>
              </w:rPr>
              <w:t xml:space="preserve"> înseamnă o entitate care are sediul central stabilit într-o țară terță și care ar face </w:t>
            </w:r>
            <w:r w:rsidRPr="00154588">
              <w:rPr>
                <w:bCs/>
                <w:sz w:val="20"/>
                <w:szCs w:val="20"/>
              </w:rPr>
              <w:lastRenderedPageBreak/>
              <w:t>obiectul definiției unei instituții, dacă ar fi stabilită în Uniune;</w:t>
            </w:r>
          </w:p>
        </w:tc>
        <w:tc>
          <w:tcPr>
            <w:tcW w:w="4819" w:type="dxa"/>
          </w:tcPr>
          <w:p w14:paraId="079ECF61" w14:textId="6B2538B0" w:rsidR="00D15C1B" w:rsidRPr="00154588" w:rsidRDefault="00567279" w:rsidP="008C12B4">
            <w:pPr>
              <w:jc w:val="both"/>
              <w:rPr>
                <w:bCs/>
                <w:sz w:val="20"/>
                <w:szCs w:val="20"/>
              </w:rPr>
            </w:pPr>
            <w:r w:rsidRPr="00154588">
              <w:rPr>
                <w:bCs/>
                <w:sz w:val="20"/>
                <w:szCs w:val="20"/>
              </w:rPr>
              <w:lastRenderedPageBreak/>
              <w:t xml:space="preserve">83) </w:t>
            </w:r>
            <w:r w:rsidRPr="00154588">
              <w:rPr>
                <w:bCs/>
                <w:i/>
                <w:sz w:val="20"/>
                <w:szCs w:val="20"/>
              </w:rPr>
              <w:t>instituție dintr-un stat terț</w:t>
            </w:r>
            <w:r w:rsidRPr="00154588">
              <w:rPr>
                <w:bCs/>
                <w:sz w:val="20"/>
                <w:szCs w:val="20"/>
              </w:rPr>
              <w:t xml:space="preserve"> – o entitate care are sediul central stabilit într-un stat terț și care ar face obiectul </w:t>
            </w:r>
            <w:r w:rsidRPr="00154588">
              <w:rPr>
                <w:bCs/>
                <w:sz w:val="20"/>
                <w:szCs w:val="20"/>
              </w:rPr>
              <w:lastRenderedPageBreak/>
              <w:t>definiției unei instituții, dacă ar fi stabilită în Uniunea Europeană;</w:t>
            </w:r>
          </w:p>
        </w:tc>
        <w:tc>
          <w:tcPr>
            <w:tcW w:w="2552" w:type="dxa"/>
          </w:tcPr>
          <w:p w14:paraId="285389DB" w14:textId="4C8966E9" w:rsidR="00D15C1B" w:rsidRPr="00154588" w:rsidRDefault="0094082B" w:rsidP="008C12B4">
            <w:pPr>
              <w:jc w:val="both"/>
              <w:rPr>
                <w:bCs/>
                <w:sz w:val="20"/>
                <w:szCs w:val="20"/>
              </w:rPr>
            </w:pPr>
            <w:r w:rsidRPr="00154588">
              <w:rPr>
                <w:bCs/>
                <w:sz w:val="20"/>
                <w:szCs w:val="20"/>
              </w:rPr>
              <w:lastRenderedPageBreak/>
              <w:t>Compatibil</w:t>
            </w:r>
          </w:p>
        </w:tc>
        <w:tc>
          <w:tcPr>
            <w:tcW w:w="3118" w:type="dxa"/>
          </w:tcPr>
          <w:p w14:paraId="27DC5D84" w14:textId="77777777" w:rsidR="00D15C1B" w:rsidRPr="00154588" w:rsidRDefault="00D15C1B" w:rsidP="008C12B4">
            <w:pPr>
              <w:jc w:val="both"/>
              <w:rPr>
                <w:bCs/>
                <w:sz w:val="20"/>
                <w:szCs w:val="20"/>
              </w:rPr>
            </w:pPr>
          </w:p>
        </w:tc>
      </w:tr>
      <w:tr w:rsidR="00D15C1B" w:rsidRPr="00154588" w14:paraId="77A4DF67" w14:textId="77777777" w:rsidTr="00D15C1B">
        <w:trPr>
          <w:jc w:val="center"/>
        </w:trPr>
        <w:tc>
          <w:tcPr>
            <w:tcW w:w="4957" w:type="dxa"/>
            <w:gridSpan w:val="2"/>
          </w:tcPr>
          <w:p w14:paraId="023E2A80" w14:textId="56DCF87B" w:rsidR="00D15C1B" w:rsidRPr="00154588" w:rsidRDefault="00D15C1B" w:rsidP="008C12B4">
            <w:pPr>
              <w:jc w:val="both"/>
              <w:rPr>
                <w:bCs/>
                <w:sz w:val="20"/>
                <w:szCs w:val="20"/>
              </w:rPr>
            </w:pPr>
            <w:r w:rsidRPr="00154588">
              <w:rPr>
                <w:bCs/>
                <w:sz w:val="20"/>
                <w:szCs w:val="20"/>
              </w:rPr>
              <w:t xml:space="preserve">87. </w:t>
            </w:r>
            <w:r w:rsidRPr="00154588">
              <w:rPr>
                <w:b/>
                <w:sz w:val="20"/>
                <w:szCs w:val="20"/>
              </w:rPr>
              <w:t>„întreprindere-mamă dintr-o țară terță”</w:t>
            </w:r>
            <w:r w:rsidRPr="00154588">
              <w:rPr>
                <w:bCs/>
                <w:sz w:val="20"/>
                <w:szCs w:val="20"/>
              </w:rPr>
              <w:t xml:space="preserve"> înseamnă o instituție-mamă, o societate financiară holding-mamă sau o societate financiară holding mixtă-mamă, stabilită într-o țară terță;</w:t>
            </w:r>
          </w:p>
        </w:tc>
        <w:tc>
          <w:tcPr>
            <w:tcW w:w="4819" w:type="dxa"/>
          </w:tcPr>
          <w:p w14:paraId="2DA50F04" w14:textId="4682ABFA" w:rsidR="00D15C1B" w:rsidRPr="00154588" w:rsidRDefault="00567279" w:rsidP="008C12B4">
            <w:pPr>
              <w:jc w:val="both"/>
              <w:rPr>
                <w:bCs/>
                <w:sz w:val="20"/>
                <w:szCs w:val="20"/>
              </w:rPr>
            </w:pPr>
            <w:r w:rsidRPr="00154588">
              <w:rPr>
                <w:bCs/>
                <w:sz w:val="20"/>
                <w:szCs w:val="20"/>
              </w:rPr>
              <w:t xml:space="preserve">94) </w:t>
            </w:r>
            <w:r w:rsidRPr="00154588">
              <w:rPr>
                <w:bCs/>
                <w:i/>
                <w:sz w:val="20"/>
                <w:szCs w:val="20"/>
              </w:rPr>
              <w:t>întreprindere-mamă dintr-un stat terț</w:t>
            </w:r>
            <w:r w:rsidRPr="00154588">
              <w:rPr>
                <w:bCs/>
                <w:sz w:val="20"/>
                <w:szCs w:val="20"/>
              </w:rPr>
              <w:t xml:space="preserve"> – o instituție-mamă, o societate financiară holding-mamă sau o societate financiară holding mixtă-mamă, stabilită într-un stat terț;</w:t>
            </w:r>
          </w:p>
        </w:tc>
        <w:tc>
          <w:tcPr>
            <w:tcW w:w="2552" w:type="dxa"/>
          </w:tcPr>
          <w:p w14:paraId="4EB91F73" w14:textId="4E3DDE8C" w:rsidR="00D15C1B" w:rsidRPr="00154588" w:rsidRDefault="0094082B" w:rsidP="008C12B4">
            <w:pPr>
              <w:jc w:val="both"/>
              <w:rPr>
                <w:bCs/>
                <w:sz w:val="20"/>
                <w:szCs w:val="20"/>
              </w:rPr>
            </w:pPr>
            <w:r w:rsidRPr="00154588">
              <w:rPr>
                <w:bCs/>
                <w:sz w:val="20"/>
                <w:szCs w:val="20"/>
              </w:rPr>
              <w:t>Compatibil</w:t>
            </w:r>
          </w:p>
        </w:tc>
        <w:tc>
          <w:tcPr>
            <w:tcW w:w="3118" w:type="dxa"/>
          </w:tcPr>
          <w:p w14:paraId="2EF84BF4" w14:textId="77777777" w:rsidR="00D15C1B" w:rsidRPr="00154588" w:rsidRDefault="00D15C1B" w:rsidP="008C12B4">
            <w:pPr>
              <w:jc w:val="both"/>
              <w:rPr>
                <w:bCs/>
                <w:sz w:val="20"/>
                <w:szCs w:val="20"/>
              </w:rPr>
            </w:pPr>
          </w:p>
        </w:tc>
      </w:tr>
      <w:tr w:rsidR="00D15C1B" w:rsidRPr="00154588" w14:paraId="069C9BC3" w14:textId="77777777" w:rsidTr="00D15C1B">
        <w:trPr>
          <w:jc w:val="center"/>
        </w:trPr>
        <w:tc>
          <w:tcPr>
            <w:tcW w:w="4957" w:type="dxa"/>
            <w:gridSpan w:val="2"/>
          </w:tcPr>
          <w:p w14:paraId="0B1B746C" w14:textId="6781DE14" w:rsidR="00D15C1B" w:rsidRPr="00154588" w:rsidRDefault="00D15C1B" w:rsidP="008C12B4">
            <w:pPr>
              <w:jc w:val="both"/>
              <w:rPr>
                <w:bCs/>
                <w:sz w:val="20"/>
                <w:szCs w:val="20"/>
              </w:rPr>
            </w:pPr>
            <w:r w:rsidRPr="00154588">
              <w:rPr>
                <w:bCs/>
                <w:sz w:val="20"/>
                <w:szCs w:val="20"/>
              </w:rPr>
              <w:t xml:space="preserve">88. </w:t>
            </w:r>
            <w:r w:rsidRPr="00154588">
              <w:rPr>
                <w:b/>
                <w:sz w:val="20"/>
                <w:szCs w:val="20"/>
              </w:rPr>
              <w:t>„procedură de rezoluție dintr-o țară terță”</w:t>
            </w:r>
            <w:r w:rsidRPr="00154588">
              <w:rPr>
                <w:bCs/>
                <w:sz w:val="20"/>
                <w:szCs w:val="20"/>
              </w:rPr>
              <w:t xml:space="preserve"> înseamnă o măsură prevăzută de legislația unei țări terțe pentru a gestiona intrarea în dificultate a unei instituții sau a unei întreprinderi-mamă din țara terță respectivă care este comparabilă, din punctul de vedere al obiectivelor și al rezultatelor anticipate, cu măsurile de rezoluție întreprinse în temeiul prezentei directive;</w:t>
            </w:r>
          </w:p>
        </w:tc>
        <w:tc>
          <w:tcPr>
            <w:tcW w:w="4819" w:type="dxa"/>
          </w:tcPr>
          <w:p w14:paraId="483EBBF6" w14:textId="46872C01" w:rsidR="00D15C1B" w:rsidRPr="00154588" w:rsidRDefault="00567279" w:rsidP="008C12B4">
            <w:pPr>
              <w:jc w:val="both"/>
              <w:rPr>
                <w:bCs/>
                <w:sz w:val="20"/>
                <w:szCs w:val="20"/>
              </w:rPr>
            </w:pPr>
            <w:r w:rsidRPr="00154588">
              <w:rPr>
                <w:bCs/>
                <w:sz w:val="20"/>
                <w:szCs w:val="20"/>
              </w:rPr>
              <w:t xml:space="preserve">102) </w:t>
            </w:r>
            <w:r w:rsidRPr="00154588">
              <w:rPr>
                <w:bCs/>
                <w:i/>
                <w:sz w:val="20"/>
                <w:szCs w:val="20"/>
              </w:rPr>
              <w:t>procedură de rezoluție dintr-un stat terț</w:t>
            </w:r>
            <w:r w:rsidRPr="00154588">
              <w:rPr>
                <w:bCs/>
                <w:sz w:val="20"/>
                <w:szCs w:val="20"/>
              </w:rPr>
              <w:t xml:space="preserve"> – o acțiune prevăzută de legislația unui stat terț pentru a gestiona intrarea în dificultate a unei instituții sau a unei întreprinderi-mamă dintr-un stat terț, care este comparabilă, din punctul de vedere al obiectivelor și al rezultatelor anticipate, cu acțiunile de rezoluție din prezenta lege;</w:t>
            </w:r>
          </w:p>
        </w:tc>
        <w:tc>
          <w:tcPr>
            <w:tcW w:w="2552" w:type="dxa"/>
          </w:tcPr>
          <w:p w14:paraId="6A9B5C90" w14:textId="368F7BE6" w:rsidR="00D15C1B" w:rsidRPr="00154588" w:rsidRDefault="0094082B" w:rsidP="008C12B4">
            <w:pPr>
              <w:jc w:val="both"/>
              <w:rPr>
                <w:bCs/>
                <w:sz w:val="20"/>
                <w:szCs w:val="20"/>
              </w:rPr>
            </w:pPr>
            <w:r w:rsidRPr="00154588">
              <w:rPr>
                <w:bCs/>
                <w:sz w:val="20"/>
                <w:szCs w:val="20"/>
              </w:rPr>
              <w:t>Compatibil</w:t>
            </w:r>
          </w:p>
        </w:tc>
        <w:tc>
          <w:tcPr>
            <w:tcW w:w="3118" w:type="dxa"/>
          </w:tcPr>
          <w:p w14:paraId="653AF353" w14:textId="77777777" w:rsidR="00D15C1B" w:rsidRPr="00154588" w:rsidRDefault="00D15C1B" w:rsidP="008C12B4">
            <w:pPr>
              <w:jc w:val="both"/>
              <w:rPr>
                <w:bCs/>
                <w:sz w:val="20"/>
                <w:szCs w:val="20"/>
              </w:rPr>
            </w:pPr>
          </w:p>
        </w:tc>
      </w:tr>
      <w:tr w:rsidR="00D15C1B" w:rsidRPr="00154588" w14:paraId="027BE52C" w14:textId="77777777" w:rsidTr="00D15C1B">
        <w:trPr>
          <w:jc w:val="center"/>
        </w:trPr>
        <w:tc>
          <w:tcPr>
            <w:tcW w:w="4957" w:type="dxa"/>
            <w:gridSpan w:val="2"/>
          </w:tcPr>
          <w:p w14:paraId="41103A7E" w14:textId="7BA31766" w:rsidR="00D15C1B" w:rsidRPr="00154588" w:rsidRDefault="00D15C1B" w:rsidP="008C12B4">
            <w:pPr>
              <w:jc w:val="both"/>
              <w:rPr>
                <w:bCs/>
                <w:sz w:val="20"/>
                <w:szCs w:val="20"/>
              </w:rPr>
            </w:pPr>
            <w:r w:rsidRPr="00154588">
              <w:rPr>
                <w:bCs/>
                <w:sz w:val="20"/>
                <w:szCs w:val="20"/>
              </w:rPr>
              <w:t xml:space="preserve">89. </w:t>
            </w:r>
            <w:r w:rsidRPr="00154588">
              <w:rPr>
                <w:b/>
                <w:sz w:val="20"/>
                <w:szCs w:val="20"/>
              </w:rPr>
              <w:t>„sucursală din Uniune”</w:t>
            </w:r>
            <w:r w:rsidRPr="00154588">
              <w:rPr>
                <w:bCs/>
                <w:sz w:val="20"/>
                <w:szCs w:val="20"/>
              </w:rPr>
              <w:t xml:space="preserve"> înseamnă o sucursală a unei instituții dintr-o țară terță, situată într-un stat membru;</w:t>
            </w:r>
          </w:p>
        </w:tc>
        <w:tc>
          <w:tcPr>
            <w:tcW w:w="4819" w:type="dxa"/>
          </w:tcPr>
          <w:p w14:paraId="00C65FAE" w14:textId="16E95F21" w:rsidR="00D15C1B" w:rsidRPr="00154588" w:rsidRDefault="00567279" w:rsidP="008C12B4">
            <w:pPr>
              <w:jc w:val="both"/>
              <w:rPr>
                <w:bCs/>
                <w:sz w:val="20"/>
                <w:szCs w:val="20"/>
              </w:rPr>
            </w:pPr>
            <w:r w:rsidRPr="00154588">
              <w:rPr>
                <w:bCs/>
                <w:sz w:val="20"/>
                <w:szCs w:val="20"/>
              </w:rPr>
              <w:t xml:space="preserve">115) </w:t>
            </w:r>
            <w:r w:rsidRPr="00154588">
              <w:rPr>
                <w:bCs/>
                <w:i/>
                <w:sz w:val="20"/>
                <w:szCs w:val="20"/>
              </w:rPr>
              <w:t>sucursală în Uniune</w:t>
            </w:r>
            <w:r w:rsidRPr="00154588">
              <w:rPr>
                <w:bCs/>
                <w:sz w:val="20"/>
                <w:szCs w:val="20"/>
              </w:rPr>
              <w:t xml:space="preserve"> – înseamnă o sucursală, stabilită într-un stat membru, a unei instituții dintr-un stat terţ;</w:t>
            </w:r>
          </w:p>
        </w:tc>
        <w:tc>
          <w:tcPr>
            <w:tcW w:w="2552" w:type="dxa"/>
          </w:tcPr>
          <w:p w14:paraId="282911C5" w14:textId="3990F4A1" w:rsidR="00D15C1B" w:rsidRPr="00154588" w:rsidRDefault="0094082B" w:rsidP="008C12B4">
            <w:pPr>
              <w:jc w:val="both"/>
              <w:rPr>
                <w:bCs/>
                <w:sz w:val="20"/>
                <w:szCs w:val="20"/>
              </w:rPr>
            </w:pPr>
            <w:r w:rsidRPr="00154588">
              <w:rPr>
                <w:bCs/>
                <w:sz w:val="20"/>
                <w:szCs w:val="20"/>
              </w:rPr>
              <w:t>Compatibil</w:t>
            </w:r>
          </w:p>
        </w:tc>
        <w:tc>
          <w:tcPr>
            <w:tcW w:w="3118" w:type="dxa"/>
          </w:tcPr>
          <w:p w14:paraId="4A9B867C" w14:textId="77777777" w:rsidR="00D15C1B" w:rsidRPr="00154588" w:rsidRDefault="00D15C1B" w:rsidP="008C12B4">
            <w:pPr>
              <w:jc w:val="both"/>
              <w:rPr>
                <w:bCs/>
                <w:sz w:val="20"/>
                <w:szCs w:val="20"/>
              </w:rPr>
            </w:pPr>
          </w:p>
        </w:tc>
      </w:tr>
      <w:tr w:rsidR="00D15C1B" w:rsidRPr="00154588" w14:paraId="0C405E70" w14:textId="77777777" w:rsidTr="00D15C1B">
        <w:trPr>
          <w:jc w:val="center"/>
        </w:trPr>
        <w:tc>
          <w:tcPr>
            <w:tcW w:w="4957" w:type="dxa"/>
            <w:gridSpan w:val="2"/>
          </w:tcPr>
          <w:p w14:paraId="6613799C" w14:textId="51EDE792" w:rsidR="00D15C1B" w:rsidRPr="00154588" w:rsidRDefault="00D15C1B" w:rsidP="008C12B4">
            <w:pPr>
              <w:jc w:val="both"/>
              <w:rPr>
                <w:bCs/>
                <w:sz w:val="20"/>
                <w:szCs w:val="20"/>
              </w:rPr>
            </w:pPr>
            <w:r w:rsidRPr="00154588">
              <w:rPr>
                <w:bCs/>
                <w:sz w:val="20"/>
                <w:szCs w:val="20"/>
              </w:rPr>
              <w:t xml:space="preserve">90. </w:t>
            </w:r>
            <w:r w:rsidRPr="00154588">
              <w:rPr>
                <w:b/>
                <w:sz w:val="20"/>
                <w:szCs w:val="20"/>
              </w:rPr>
              <w:t>„autoritate relevantă dintr-o țară terță”</w:t>
            </w:r>
            <w:r w:rsidRPr="00154588">
              <w:rPr>
                <w:bCs/>
                <w:sz w:val="20"/>
                <w:szCs w:val="20"/>
              </w:rPr>
              <w:t xml:space="preserve"> înseamnă o autoritate dintr-o țară terță care îndeplinește funcții comparabile cu cele ale autorităților de rezoluție sau ale autorităților competente prevăzute în prezenta directivă;</w:t>
            </w:r>
          </w:p>
        </w:tc>
        <w:tc>
          <w:tcPr>
            <w:tcW w:w="4819" w:type="dxa"/>
          </w:tcPr>
          <w:p w14:paraId="299AC2AF" w14:textId="42A28DB4" w:rsidR="00D15C1B" w:rsidRPr="00154588" w:rsidRDefault="00567279" w:rsidP="008C12B4">
            <w:pPr>
              <w:jc w:val="both"/>
              <w:rPr>
                <w:bCs/>
                <w:sz w:val="20"/>
                <w:szCs w:val="20"/>
              </w:rPr>
            </w:pPr>
            <w:r w:rsidRPr="00154588">
              <w:rPr>
                <w:bCs/>
                <w:sz w:val="20"/>
                <w:szCs w:val="20"/>
              </w:rPr>
              <w:t xml:space="preserve">55) </w:t>
            </w:r>
            <w:r w:rsidRPr="00154588">
              <w:rPr>
                <w:bCs/>
                <w:i/>
                <w:sz w:val="20"/>
                <w:szCs w:val="20"/>
              </w:rPr>
              <w:t xml:space="preserve">autoritate relevantă dintr-un stat terț – </w:t>
            </w:r>
            <w:r w:rsidRPr="00154588">
              <w:rPr>
                <w:bCs/>
                <w:sz w:val="20"/>
                <w:szCs w:val="20"/>
              </w:rPr>
              <w:t>autoritatea dintr-un stat terț care îndeplinește funcții comparabile cu cele ale autorităților de rezoluție sau ale autorităților competente prevăzute în prezenta lege;</w:t>
            </w:r>
          </w:p>
        </w:tc>
        <w:tc>
          <w:tcPr>
            <w:tcW w:w="2552" w:type="dxa"/>
          </w:tcPr>
          <w:p w14:paraId="69A16971" w14:textId="0905A8AC" w:rsidR="00D15C1B" w:rsidRPr="00154588" w:rsidRDefault="0094082B" w:rsidP="008C12B4">
            <w:pPr>
              <w:jc w:val="both"/>
              <w:rPr>
                <w:bCs/>
                <w:sz w:val="20"/>
                <w:szCs w:val="20"/>
              </w:rPr>
            </w:pPr>
            <w:r w:rsidRPr="00154588">
              <w:rPr>
                <w:bCs/>
                <w:sz w:val="20"/>
                <w:szCs w:val="20"/>
              </w:rPr>
              <w:t>Compatibil</w:t>
            </w:r>
          </w:p>
        </w:tc>
        <w:tc>
          <w:tcPr>
            <w:tcW w:w="3118" w:type="dxa"/>
          </w:tcPr>
          <w:p w14:paraId="7057160C" w14:textId="77777777" w:rsidR="00D15C1B" w:rsidRPr="00154588" w:rsidRDefault="00D15C1B" w:rsidP="008C12B4">
            <w:pPr>
              <w:jc w:val="both"/>
              <w:rPr>
                <w:bCs/>
                <w:sz w:val="20"/>
                <w:szCs w:val="20"/>
              </w:rPr>
            </w:pPr>
          </w:p>
        </w:tc>
      </w:tr>
      <w:tr w:rsidR="00D15C1B" w:rsidRPr="00154588" w14:paraId="73B6703D" w14:textId="77777777" w:rsidTr="00D15C1B">
        <w:trPr>
          <w:jc w:val="center"/>
        </w:trPr>
        <w:tc>
          <w:tcPr>
            <w:tcW w:w="4957" w:type="dxa"/>
            <w:gridSpan w:val="2"/>
          </w:tcPr>
          <w:p w14:paraId="1C73AD7B" w14:textId="427D09CD" w:rsidR="00D15C1B" w:rsidRPr="00154588" w:rsidRDefault="00D15C1B" w:rsidP="008C12B4">
            <w:pPr>
              <w:jc w:val="both"/>
              <w:rPr>
                <w:bCs/>
                <w:sz w:val="20"/>
                <w:szCs w:val="20"/>
              </w:rPr>
            </w:pPr>
            <w:r w:rsidRPr="00154588">
              <w:rPr>
                <w:bCs/>
                <w:sz w:val="20"/>
                <w:szCs w:val="20"/>
              </w:rPr>
              <w:t xml:space="preserve">91. </w:t>
            </w:r>
            <w:r w:rsidRPr="00154588">
              <w:rPr>
                <w:b/>
                <w:sz w:val="20"/>
                <w:szCs w:val="20"/>
              </w:rPr>
              <w:t>„mecanism de finanțare a grupului”</w:t>
            </w:r>
            <w:r w:rsidRPr="00154588">
              <w:rPr>
                <w:bCs/>
                <w:sz w:val="20"/>
                <w:szCs w:val="20"/>
              </w:rPr>
              <w:t xml:space="preserve"> înseamnă mecanismul sau mecanismele de finanțare ale statului membru al autorității de rezoluție a grupului;</w:t>
            </w:r>
          </w:p>
        </w:tc>
        <w:tc>
          <w:tcPr>
            <w:tcW w:w="4819" w:type="dxa"/>
          </w:tcPr>
          <w:p w14:paraId="66365757" w14:textId="6D72DA02" w:rsidR="00D15C1B" w:rsidRPr="00154588" w:rsidRDefault="00567279" w:rsidP="008C12B4">
            <w:pPr>
              <w:jc w:val="both"/>
              <w:rPr>
                <w:bCs/>
                <w:sz w:val="20"/>
                <w:szCs w:val="20"/>
              </w:rPr>
            </w:pPr>
            <w:r w:rsidRPr="00154588">
              <w:rPr>
                <w:bCs/>
                <w:sz w:val="20"/>
                <w:szCs w:val="20"/>
              </w:rPr>
              <w:t xml:space="preserve">95) </w:t>
            </w:r>
            <w:r w:rsidRPr="00154588">
              <w:rPr>
                <w:bCs/>
                <w:i/>
                <w:sz w:val="20"/>
                <w:szCs w:val="20"/>
              </w:rPr>
              <w:t>mecanism de finanțare a grupului</w:t>
            </w:r>
            <w:r w:rsidRPr="00154588">
              <w:rPr>
                <w:bCs/>
                <w:sz w:val="20"/>
                <w:szCs w:val="20"/>
              </w:rPr>
              <w:t xml:space="preserve"> – mecanismul sau mecanismele de finanțare ale statului membru în care este autoritatea de rezoluție a grupului;</w:t>
            </w:r>
          </w:p>
        </w:tc>
        <w:tc>
          <w:tcPr>
            <w:tcW w:w="2552" w:type="dxa"/>
          </w:tcPr>
          <w:p w14:paraId="1419A1B5" w14:textId="39247C57" w:rsidR="00D15C1B" w:rsidRPr="00154588" w:rsidRDefault="0094082B" w:rsidP="008C12B4">
            <w:pPr>
              <w:jc w:val="both"/>
              <w:rPr>
                <w:bCs/>
                <w:sz w:val="20"/>
                <w:szCs w:val="20"/>
              </w:rPr>
            </w:pPr>
            <w:r w:rsidRPr="00154588">
              <w:rPr>
                <w:bCs/>
                <w:sz w:val="20"/>
                <w:szCs w:val="20"/>
              </w:rPr>
              <w:t>Compatibil</w:t>
            </w:r>
          </w:p>
        </w:tc>
        <w:tc>
          <w:tcPr>
            <w:tcW w:w="3118" w:type="dxa"/>
          </w:tcPr>
          <w:p w14:paraId="365D64C3" w14:textId="77777777" w:rsidR="00D15C1B" w:rsidRPr="00154588" w:rsidRDefault="00D15C1B" w:rsidP="008C12B4">
            <w:pPr>
              <w:jc w:val="both"/>
              <w:rPr>
                <w:bCs/>
                <w:sz w:val="20"/>
                <w:szCs w:val="20"/>
              </w:rPr>
            </w:pPr>
          </w:p>
        </w:tc>
      </w:tr>
      <w:tr w:rsidR="00D15C1B" w:rsidRPr="00154588" w14:paraId="7737F806" w14:textId="77777777" w:rsidTr="00D15C1B">
        <w:trPr>
          <w:jc w:val="center"/>
        </w:trPr>
        <w:tc>
          <w:tcPr>
            <w:tcW w:w="4957" w:type="dxa"/>
            <w:gridSpan w:val="2"/>
          </w:tcPr>
          <w:p w14:paraId="38FCBC50" w14:textId="34ADC90E" w:rsidR="00D15C1B" w:rsidRPr="00154588" w:rsidRDefault="00D15C1B" w:rsidP="008C12B4">
            <w:pPr>
              <w:jc w:val="both"/>
              <w:rPr>
                <w:bCs/>
                <w:sz w:val="20"/>
                <w:szCs w:val="20"/>
              </w:rPr>
            </w:pPr>
            <w:r w:rsidRPr="00154588">
              <w:rPr>
                <w:bCs/>
                <w:sz w:val="20"/>
                <w:szCs w:val="20"/>
              </w:rPr>
              <w:t xml:space="preserve">92. </w:t>
            </w:r>
            <w:r w:rsidRPr="00154588">
              <w:rPr>
                <w:b/>
                <w:sz w:val="20"/>
                <w:szCs w:val="20"/>
              </w:rPr>
              <w:t>„tranzacție back-to-back”</w:t>
            </w:r>
            <w:r w:rsidRPr="00154588">
              <w:rPr>
                <w:bCs/>
                <w:sz w:val="20"/>
                <w:szCs w:val="20"/>
              </w:rPr>
              <w:t xml:space="preserve"> înseamnă o tranzacție încheiată între două entități din grup cu scopul de a transfera, în totalitate sau în parte, riscul generat de o altă tranzacție încheiată între una dintre aceste entități din grup și o terță parte;</w:t>
            </w:r>
          </w:p>
        </w:tc>
        <w:tc>
          <w:tcPr>
            <w:tcW w:w="4819" w:type="dxa"/>
          </w:tcPr>
          <w:p w14:paraId="52C65ECF" w14:textId="77777777" w:rsidR="00567279" w:rsidRPr="00154588" w:rsidRDefault="00567279" w:rsidP="008C12B4">
            <w:pPr>
              <w:jc w:val="both"/>
              <w:rPr>
                <w:bCs/>
                <w:sz w:val="20"/>
                <w:szCs w:val="20"/>
              </w:rPr>
            </w:pPr>
            <w:r w:rsidRPr="00154588">
              <w:rPr>
                <w:bCs/>
                <w:sz w:val="20"/>
                <w:szCs w:val="20"/>
              </w:rPr>
              <w:t xml:space="preserve">119) </w:t>
            </w:r>
            <w:r w:rsidRPr="00154588">
              <w:rPr>
                <w:bCs/>
                <w:i/>
                <w:sz w:val="20"/>
                <w:szCs w:val="20"/>
              </w:rPr>
              <w:t>tranzacție back-to-back</w:t>
            </w:r>
            <w:r w:rsidRPr="00154588">
              <w:rPr>
                <w:bCs/>
                <w:sz w:val="20"/>
                <w:szCs w:val="20"/>
              </w:rPr>
              <w:t xml:space="preserve"> – o tranzacție între două entități din grup efectuată cu scopul de a transfera, total sau parțial, riscul generat de o altă tranzacție efectuată de una dintre entitățile respective cu o terță parte;</w:t>
            </w:r>
          </w:p>
          <w:p w14:paraId="393DEBBC" w14:textId="77777777" w:rsidR="00D15C1B" w:rsidRPr="00154588" w:rsidRDefault="00D15C1B" w:rsidP="008C12B4">
            <w:pPr>
              <w:jc w:val="both"/>
              <w:rPr>
                <w:bCs/>
                <w:sz w:val="20"/>
                <w:szCs w:val="20"/>
              </w:rPr>
            </w:pPr>
          </w:p>
        </w:tc>
        <w:tc>
          <w:tcPr>
            <w:tcW w:w="2552" w:type="dxa"/>
          </w:tcPr>
          <w:p w14:paraId="0939AC96" w14:textId="47C2F5BD" w:rsidR="00D15C1B" w:rsidRPr="00154588" w:rsidRDefault="0094082B" w:rsidP="008C12B4">
            <w:pPr>
              <w:jc w:val="both"/>
              <w:rPr>
                <w:bCs/>
                <w:sz w:val="20"/>
                <w:szCs w:val="20"/>
              </w:rPr>
            </w:pPr>
            <w:r w:rsidRPr="00154588">
              <w:rPr>
                <w:bCs/>
                <w:sz w:val="20"/>
                <w:szCs w:val="20"/>
              </w:rPr>
              <w:t>Compatibil</w:t>
            </w:r>
          </w:p>
        </w:tc>
        <w:tc>
          <w:tcPr>
            <w:tcW w:w="3118" w:type="dxa"/>
          </w:tcPr>
          <w:p w14:paraId="049EA4E0" w14:textId="77777777" w:rsidR="00D15C1B" w:rsidRPr="00154588" w:rsidRDefault="00D15C1B" w:rsidP="008C12B4">
            <w:pPr>
              <w:jc w:val="both"/>
              <w:rPr>
                <w:bCs/>
                <w:sz w:val="20"/>
                <w:szCs w:val="20"/>
              </w:rPr>
            </w:pPr>
          </w:p>
        </w:tc>
      </w:tr>
      <w:tr w:rsidR="00D15C1B" w:rsidRPr="00154588" w14:paraId="373D83D2" w14:textId="77777777" w:rsidTr="00D15C1B">
        <w:trPr>
          <w:jc w:val="center"/>
        </w:trPr>
        <w:tc>
          <w:tcPr>
            <w:tcW w:w="4957" w:type="dxa"/>
            <w:gridSpan w:val="2"/>
          </w:tcPr>
          <w:p w14:paraId="3932FFA8" w14:textId="3BDD73EE" w:rsidR="00D15C1B" w:rsidRPr="00154588" w:rsidRDefault="00D15C1B" w:rsidP="008C12B4">
            <w:pPr>
              <w:jc w:val="both"/>
              <w:rPr>
                <w:bCs/>
                <w:sz w:val="20"/>
                <w:szCs w:val="20"/>
              </w:rPr>
            </w:pPr>
            <w:r w:rsidRPr="00154588">
              <w:rPr>
                <w:bCs/>
                <w:sz w:val="20"/>
                <w:szCs w:val="20"/>
              </w:rPr>
              <w:t xml:space="preserve">93. </w:t>
            </w:r>
            <w:r w:rsidRPr="00154588">
              <w:rPr>
                <w:b/>
                <w:sz w:val="20"/>
                <w:szCs w:val="20"/>
              </w:rPr>
              <w:t xml:space="preserve">„garanție intragrup” </w:t>
            </w:r>
            <w:r w:rsidRPr="00154588">
              <w:rPr>
                <w:bCs/>
                <w:sz w:val="20"/>
                <w:szCs w:val="20"/>
              </w:rPr>
              <w:t>înseamnă un contract prin care o entitate din grup garantează obligațiile unei alte entități din grup față de o terță parte;</w:t>
            </w:r>
          </w:p>
        </w:tc>
        <w:tc>
          <w:tcPr>
            <w:tcW w:w="4819" w:type="dxa"/>
          </w:tcPr>
          <w:p w14:paraId="6C77A9F5" w14:textId="25F4E743" w:rsidR="00D15C1B" w:rsidRPr="00154588" w:rsidRDefault="00567279" w:rsidP="008C12B4">
            <w:pPr>
              <w:jc w:val="both"/>
              <w:rPr>
                <w:bCs/>
                <w:sz w:val="20"/>
                <w:szCs w:val="20"/>
              </w:rPr>
            </w:pPr>
            <w:r w:rsidRPr="00154588">
              <w:rPr>
                <w:bCs/>
                <w:sz w:val="20"/>
                <w:szCs w:val="20"/>
              </w:rPr>
              <w:t xml:space="preserve">76) </w:t>
            </w:r>
            <w:r w:rsidRPr="00154588">
              <w:rPr>
                <w:bCs/>
                <w:i/>
                <w:sz w:val="20"/>
                <w:szCs w:val="20"/>
              </w:rPr>
              <w:t>garanție intragrup</w:t>
            </w:r>
            <w:r w:rsidRPr="00154588">
              <w:rPr>
                <w:bCs/>
                <w:sz w:val="20"/>
                <w:szCs w:val="20"/>
              </w:rPr>
              <w:t xml:space="preserve"> – un contract prin care o entitate din grup garantează obligațiile unei alte entități din grup față de o terță parte;</w:t>
            </w:r>
          </w:p>
        </w:tc>
        <w:tc>
          <w:tcPr>
            <w:tcW w:w="2552" w:type="dxa"/>
          </w:tcPr>
          <w:p w14:paraId="754377CB" w14:textId="1D5A2F3A" w:rsidR="00D15C1B" w:rsidRPr="00154588" w:rsidRDefault="0094082B" w:rsidP="008C12B4">
            <w:pPr>
              <w:jc w:val="both"/>
              <w:rPr>
                <w:bCs/>
                <w:sz w:val="20"/>
                <w:szCs w:val="20"/>
              </w:rPr>
            </w:pPr>
            <w:r w:rsidRPr="00154588">
              <w:rPr>
                <w:bCs/>
                <w:sz w:val="20"/>
                <w:szCs w:val="20"/>
              </w:rPr>
              <w:t>Compatibil</w:t>
            </w:r>
          </w:p>
        </w:tc>
        <w:tc>
          <w:tcPr>
            <w:tcW w:w="3118" w:type="dxa"/>
          </w:tcPr>
          <w:p w14:paraId="385792CB" w14:textId="77777777" w:rsidR="00D15C1B" w:rsidRPr="00154588" w:rsidRDefault="00D15C1B" w:rsidP="008C12B4">
            <w:pPr>
              <w:jc w:val="both"/>
              <w:rPr>
                <w:bCs/>
                <w:sz w:val="20"/>
                <w:szCs w:val="20"/>
              </w:rPr>
            </w:pPr>
          </w:p>
        </w:tc>
      </w:tr>
      <w:tr w:rsidR="005D0766" w:rsidRPr="00154588" w14:paraId="09F29CFB" w14:textId="77777777" w:rsidTr="00D15C1B">
        <w:trPr>
          <w:jc w:val="center"/>
        </w:trPr>
        <w:tc>
          <w:tcPr>
            <w:tcW w:w="4957" w:type="dxa"/>
            <w:gridSpan w:val="2"/>
          </w:tcPr>
          <w:p w14:paraId="70087A70" w14:textId="734E738E" w:rsidR="005D0766" w:rsidRPr="00154588" w:rsidRDefault="005D0766" w:rsidP="008C12B4">
            <w:pPr>
              <w:jc w:val="both"/>
              <w:rPr>
                <w:bCs/>
                <w:sz w:val="20"/>
                <w:szCs w:val="20"/>
              </w:rPr>
            </w:pPr>
            <w:r w:rsidRPr="00154588">
              <w:rPr>
                <w:bCs/>
                <w:sz w:val="20"/>
                <w:szCs w:val="20"/>
              </w:rPr>
              <w:t>93a. „</w:t>
            </w:r>
            <w:r w:rsidRPr="00154588">
              <w:rPr>
                <w:b/>
                <w:sz w:val="20"/>
                <w:szCs w:val="20"/>
              </w:rPr>
              <w:t>depozit</w:t>
            </w:r>
            <w:r w:rsidRPr="00154588">
              <w:rPr>
                <w:bCs/>
                <w:sz w:val="20"/>
                <w:szCs w:val="20"/>
              </w:rPr>
              <w:t>” înseamnă, în sensul articolelor 108 și 109 din prezenta directivă, depozit astfel cum este definit la articolul 2 alineatul (1) punctul 3 din Directiva 2014/49/UE;</w:t>
            </w:r>
          </w:p>
        </w:tc>
        <w:tc>
          <w:tcPr>
            <w:tcW w:w="4819" w:type="dxa"/>
          </w:tcPr>
          <w:p w14:paraId="104E2130" w14:textId="4CE80CA2" w:rsidR="005D0766" w:rsidRPr="00154588" w:rsidRDefault="00D11854" w:rsidP="008C12B4">
            <w:pPr>
              <w:jc w:val="both"/>
              <w:rPr>
                <w:bCs/>
                <w:sz w:val="20"/>
                <w:szCs w:val="20"/>
              </w:rPr>
            </w:pPr>
            <w:r w:rsidRPr="00154588">
              <w:rPr>
                <w:bCs/>
                <w:sz w:val="20"/>
                <w:szCs w:val="20"/>
              </w:rPr>
              <w:t>21)</w:t>
            </w:r>
            <w:r w:rsidR="0082480E" w:rsidRPr="00154588">
              <w:rPr>
                <w:i/>
                <w:iCs/>
                <w:color w:val="333333"/>
                <w:shd w:val="clear" w:color="auto" w:fill="FFFFFF"/>
              </w:rPr>
              <w:t xml:space="preserve"> </w:t>
            </w:r>
            <w:r w:rsidR="0082480E" w:rsidRPr="00154588">
              <w:rPr>
                <w:bCs/>
                <w:i/>
                <w:iCs/>
                <w:sz w:val="20"/>
                <w:szCs w:val="20"/>
              </w:rPr>
              <w:t>depozit</w:t>
            </w:r>
            <w:r w:rsidR="0082480E" w:rsidRPr="00154588">
              <w:rPr>
                <w:bCs/>
                <w:sz w:val="20"/>
                <w:szCs w:val="20"/>
              </w:rPr>
              <w:t> – depozit astfel definit în art. 2 din Legea nr. 160/2023;</w:t>
            </w:r>
          </w:p>
        </w:tc>
        <w:tc>
          <w:tcPr>
            <w:tcW w:w="2552" w:type="dxa"/>
          </w:tcPr>
          <w:p w14:paraId="205BE3B7" w14:textId="23E883C6" w:rsidR="005D0766" w:rsidRPr="00154588" w:rsidRDefault="00B01153" w:rsidP="008C12B4">
            <w:pPr>
              <w:jc w:val="both"/>
              <w:rPr>
                <w:bCs/>
                <w:sz w:val="20"/>
                <w:szCs w:val="20"/>
              </w:rPr>
            </w:pPr>
            <w:r w:rsidRPr="00154588">
              <w:rPr>
                <w:bCs/>
                <w:sz w:val="20"/>
                <w:szCs w:val="20"/>
              </w:rPr>
              <w:t xml:space="preserve">Compatibil </w:t>
            </w:r>
          </w:p>
        </w:tc>
        <w:tc>
          <w:tcPr>
            <w:tcW w:w="3118" w:type="dxa"/>
          </w:tcPr>
          <w:p w14:paraId="003B9C94" w14:textId="77777777" w:rsidR="0082480E" w:rsidRPr="00154588" w:rsidRDefault="0082480E" w:rsidP="008C12B4">
            <w:pPr>
              <w:jc w:val="both"/>
              <w:rPr>
                <w:sz w:val="20"/>
                <w:szCs w:val="20"/>
              </w:rPr>
            </w:pPr>
          </w:p>
        </w:tc>
      </w:tr>
      <w:tr w:rsidR="00D15C1B" w:rsidRPr="00154588" w14:paraId="1A41E87F" w14:textId="77777777" w:rsidTr="00D15C1B">
        <w:trPr>
          <w:jc w:val="center"/>
        </w:trPr>
        <w:tc>
          <w:tcPr>
            <w:tcW w:w="4957" w:type="dxa"/>
            <w:gridSpan w:val="2"/>
          </w:tcPr>
          <w:p w14:paraId="4DF6E395" w14:textId="56130A38" w:rsidR="00D15C1B" w:rsidRPr="00154588" w:rsidRDefault="00D15C1B" w:rsidP="008C12B4">
            <w:pPr>
              <w:jc w:val="both"/>
              <w:rPr>
                <w:bCs/>
                <w:sz w:val="20"/>
                <w:szCs w:val="20"/>
              </w:rPr>
            </w:pPr>
            <w:r w:rsidRPr="00154588">
              <w:rPr>
                <w:bCs/>
                <w:sz w:val="20"/>
                <w:szCs w:val="20"/>
              </w:rPr>
              <w:t xml:space="preserve">94. </w:t>
            </w:r>
            <w:r w:rsidRPr="00154588">
              <w:rPr>
                <w:b/>
                <w:sz w:val="20"/>
                <w:szCs w:val="20"/>
              </w:rPr>
              <w:t>„depozite acoperite”</w:t>
            </w:r>
            <w:r w:rsidRPr="00154588">
              <w:rPr>
                <w:bCs/>
                <w:sz w:val="20"/>
                <w:szCs w:val="20"/>
              </w:rPr>
              <w:t xml:space="preserve"> înseamnă depozite acoperite astfel cum sunt definite la articolul 2 alineatul (1) punctul 5 din Directiva 2014/49/UE;</w:t>
            </w:r>
          </w:p>
        </w:tc>
        <w:tc>
          <w:tcPr>
            <w:tcW w:w="4819" w:type="dxa"/>
          </w:tcPr>
          <w:p w14:paraId="0B1358E1" w14:textId="61A672AF" w:rsidR="00D15C1B" w:rsidRPr="00154588" w:rsidRDefault="00567279" w:rsidP="008C12B4">
            <w:pPr>
              <w:jc w:val="both"/>
              <w:rPr>
                <w:bCs/>
                <w:sz w:val="20"/>
                <w:szCs w:val="20"/>
              </w:rPr>
            </w:pPr>
            <w:r w:rsidRPr="00154588">
              <w:rPr>
                <w:bCs/>
                <w:sz w:val="20"/>
                <w:szCs w:val="20"/>
              </w:rPr>
              <w:t xml:space="preserve">23) </w:t>
            </w:r>
            <w:r w:rsidRPr="00154588">
              <w:rPr>
                <w:bCs/>
                <w:i/>
                <w:iCs/>
                <w:sz w:val="20"/>
                <w:szCs w:val="20"/>
              </w:rPr>
              <w:t>depozit acoperit</w:t>
            </w:r>
            <w:r w:rsidRPr="00154588">
              <w:rPr>
                <w:bCs/>
                <w:sz w:val="20"/>
                <w:szCs w:val="20"/>
              </w:rPr>
              <w:t xml:space="preserve"> – depozit garantat, astfel cum este definit la art.2 din Legea nr.160/2023 cu privire la garantarea depozitelor în bănci şi este garantată de schema de garantare a depozitelor;</w:t>
            </w:r>
          </w:p>
        </w:tc>
        <w:tc>
          <w:tcPr>
            <w:tcW w:w="2552" w:type="dxa"/>
          </w:tcPr>
          <w:p w14:paraId="00D6A856" w14:textId="27D27633" w:rsidR="00D15C1B" w:rsidRPr="00154588" w:rsidRDefault="0094082B" w:rsidP="008C12B4">
            <w:pPr>
              <w:jc w:val="both"/>
              <w:rPr>
                <w:bCs/>
                <w:sz w:val="20"/>
                <w:szCs w:val="20"/>
              </w:rPr>
            </w:pPr>
            <w:r w:rsidRPr="00154588">
              <w:rPr>
                <w:bCs/>
                <w:sz w:val="20"/>
                <w:szCs w:val="20"/>
              </w:rPr>
              <w:t>Compatibil</w:t>
            </w:r>
          </w:p>
        </w:tc>
        <w:tc>
          <w:tcPr>
            <w:tcW w:w="3118" w:type="dxa"/>
          </w:tcPr>
          <w:p w14:paraId="4604AD7B" w14:textId="77777777" w:rsidR="00D15C1B" w:rsidRPr="00154588" w:rsidRDefault="00D15C1B" w:rsidP="008C12B4">
            <w:pPr>
              <w:jc w:val="both"/>
              <w:rPr>
                <w:bCs/>
                <w:sz w:val="20"/>
                <w:szCs w:val="20"/>
              </w:rPr>
            </w:pPr>
          </w:p>
        </w:tc>
      </w:tr>
      <w:tr w:rsidR="00D15C1B" w:rsidRPr="00154588" w14:paraId="2742AB10" w14:textId="77777777" w:rsidTr="00D15C1B">
        <w:trPr>
          <w:jc w:val="center"/>
        </w:trPr>
        <w:tc>
          <w:tcPr>
            <w:tcW w:w="4957" w:type="dxa"/>
            <w:gridSpan w:val="2"/>
          </w:tcPr>
          <w:p w14:paraId="6D811272" w14:textId="0A38510D" w:rsidR="00D15C1B" w:rsidRPr="00154588" w:rsidRDefault="00D15C1B" w:rsidP="008C12B4">
            <w:pPr>
              <w:jc w:val="both"/>
              <w:rPr>
                <w:bCs/>
                <w:sz w:val="20"/>
                <w:szCs w:val="20"/>
              </w:rPr>
            </w:pPr>
            <w:r w:rsidRPr="00154588">
              <w:rPr>
                <w:bCs/>
                <w:sz w:val="20"/>
                <w:szCs w:val="20"/>
              </w:rPr>
              <w:t xml:space="preserve">95. </w:t>
            </w:r>
            <w:r w:rsidRPr="00154588">
              <w:rPr>
                <w:b/>
                <w:sz w:val="20"/>
                <w:szCs w:val="20"/>
              </w:rPr>
              <w:t>„depozite eligibile”</w:t>
            </w:r>
            <w:r w:rsidRPr="00154588">
              <w:rPr>
                <w:bCs/>
                <w:sz w:val="20"/>
                <w:szCs w:val="20"/>
              </w:rPr>
              <w:t xml:space="preserve"> înseamnă depozite eligibile astfel cum sunt definite la articolul 2 alineatul (1) punctul 4 din Directiva 2014/49/UE;</w:t>
            </w:r>
          </w:p>
        </w:tc>
        <w:tc>
          <w:tcPr>
            <w:tcW w:w="4819" w:type="dxa"/>
          </w:tcPr>
          <w:p w14:paraId="1D64327F" w14:textId="65D0D4F2" w:rsidR="00D15C1B" w:rsidRPr="00154588" w:rsidRDefault="00567279" w:rsidP="008C12B4">
            <w:pPr>
              <w:jc w:val="both"/>
              <w:rPr>
                <w:bCs/>
                <w:sz w:val="20"/>
                <w:szCs w:val="20"/>
              </w:rPr>
            </w:pPr>
            <w:r w:rsidRPr="00154588">
              <w:rPr>
                <w:bCs/>
                <w:sz w:val="20"/>
                <w:szCs w:val="20"/>
              </w:rPr>
              <w:t xml:space="preserve">22) </w:t>
            </w:r>
            <w:r w:rsidRPr="00154588">
              <w:rPr>
                <w:bCs/>
                <w:i/>
                <w:iCs/>
                <w:sz w:val="20"/>
                <w:szCs w:val="20"/>
              </w:rPr>
              <w:t>depozit eligibil</w:t>
            </w:r>
            <w:r w:rsidRPr="00154588">
              <w:rPr>
                <w:bCs/>
                <w:sz w:val="20"/>
                <w:szCs w:val="20"/>
              </w:rPr>
              <w:t xml:space="preserve"> – depozit care nu este exclus de la garantare în temeiul art.23 alin.(2) din Legea nr.160/2023 cu privire la garantarea depozitelor în bănci;</w:t>
            </w:r>
          </w:p>
        </w:tc>
        <w:tc>
          <w:tcPr>
            <w:tcW w:w="2552" w:type="dxa"/>
          </w:tcPr>
          <w:p w14:paraId="09A2FFF0" w14:textId="500D49DC" w:rsidR="00D15C1B" w:rsidRPr="00154588" w:rsidRDefault="0094082B" w:rsidP="008C12B4">
            <w:pPr>
              <w:jc w:val="both"/>
              <w:rPr>
                <w:bCs/>
                <w:sz w:val="20"/>
                <w:szCs w:val="20"/>
              </w:rPr>
            </w:pPr>
            <w:r w:rsidRPr="00154588">
              <w:rPr>
                <w:bCs/>
                <w:sz w:val="20"/>
                <w:szCs w:val="20"/>
              </w:rPr>
              <w:t>Compatibil</w:t>
            </w:r>
          </w:p>
        </w:tc>
        <w:tc>
          <w:tcPr>
            <w:tcW w:w="3118" w:type="dxa"/>
          </w:tcPr>
          <w:p w14:paraId="4D4158D4" w14:textId="77777777" w:rsidR="00D15C1B" w:rsidRPr="00154588" w:rsidRDefault="00D15C1B" w:rsidP="008C12B4">
            <w:pPr>
              <w:jc w:val="both"/>
              <w:rPr>
                <w:bCs/>
                <w:sz w:val="20"/>
                <w:szCs w:val="20"/>
              </w:rPr>
            </w:pPr>
          </w:p>
        </w:tc>
      </w:tr>
      <w:tr w:rsidR="00D15C1B" w:rsidRPr="00154588" w14:paraId="038FF1E3" w14:textId="77777777" w:rsidTr="00D15C1B">
        <w:trPr>
          <w:jc w:val="center"/>
        </w:trPr>
        <w:tc>
          <w:tcPr>
            <w:tcW w:w="4957" w:type="dxa"/>
            <w:gridSpan w:val="2"/>
          </w:tcPr>
          <w:p w14:paraId="43A93E22" w14:textId="69AEE179" w:rsidR="00D15C1B" w:rsidRPr="00154588" w:rsidRDefault="00D15C1B" w:rsidP="008C12B4">
            <w:pPr>
              <w:jc w:val="both"/>
              <w:rPr>
                <w:bCs/>
                <w:sz w:val="20"/>
                <w:szCs w:val="20"/>
              </w:rPr>
            </w:pPr>
            <w:r w:rsidRPr="00154588">
              <w:rPr>
                <w:bCs/>
                <w:sz w:val="20"/>
                <w:szCs w:val="20"/>
              </w:rPr>
              <w:t xml:space="preserve">96. </w:t>
            </w:r>
            <w:r w:rsidRPr="00154588">
              <w:rPr>
                <w:b/>
                <w:sz w:val="20"/>
                <w:szCs w:val="20"/>
              </w:rPr>
              <w:t>„obligațiune garantată”</w:t>
            </w:r>
            <w:r w:rsidRPr="00154588">
              <w:rPr>
                <w:bCs/>
                <w:sz w:val="20"/>
                <w:szCs w:val="20"/>
              </w:rPr>
              <w:t xml:space="preserve"> înseamnă o obligațiune garantată, în sensul definiției de la articolul 3 punctul 1 din Directiva (UE) 2019/2162 a Parlamentului European și a Consiliului ( 4 ) sau, cu privire la un instrument care a fost </w:t>
            </w:r>
            <w:r w:rsidRPr="00154588">
              <w:rPr>
                <w:bCs/>
                <w:sz w:val="20"/>
                <w:szCs w:val="20"/>
              </w:rPr>
              <w:lastRenderedPageBreak/>
              <w:t>emis înainte de 8 iulie 2022, o obligațiune astfel cum este menționată la articolul 52 alineatul (4) din Directiva 2009/65/CE a Parlamentului European și a Consiliului ( 5 ), astfel cum se aplică la data emiterii sale;</w:t>
            </w:r>
          </w:p>
        </w:tc>
        <w:tc>
          <w:tcPr>
            <w:tcW w:w="4819" w:type="dxa"/>
          </w:tcPr>
          <w:p w14:paraId="29A45B4C" w14:textId="77777777" w:rsidR="00567279" w:rsidRPr="00154588" w:rsidRDefault="00567279" w:rsidP="008C12B4">
            <w:pPr>
              <w:jc w:val="both"/>
              <w:rPr>
                <w:bCs/>
                <w:sz w:val="20"/>
                <w:szCs w:val="20"/>
              </w:rPr>
            </w:pPr>
            <w:r w:rsidRPr="00154588">
              <w:rPr>
                <w:bCs/>
                <w:sz w:val="20"/>
                <w:szCs w:val="20"/>
              </w:rPr>
              <w:lastRenderedPageBreak/>
              <w:t xml:space="preserve">43) </w:t>
            </w:r>
            <w:r w:rsidRPr="00154588">
              <w:rPr>
                <w:bCs/>
                <w:i/>
                <w:sz w:val="20"/>
                <w:szCs w:val="20"/>
              </w:rPr>
              <w:t>obligaţiune garantată</w:t>
            </w:r>
            <w:r w:rsidRPr="00154588">
              <w:rPr>
                <w:bCs/>
                <w:sz w:val="20"/>
                <w:szCs w:val="20"/>
              </w:rPr>
              <w:t xml:space="preserve"> – astfel cum este definită în legislația privind emisiunea obligațiunilor garantate și supravegherea publică a obligațiunilor garantate;</w:t>
            </w:r>
          </w:p>
          <w:p w14:paraId="6EEAA472" w14:textId="77777777" w:rsidR="00D15C1B" w:rsidRPr="00154588" w:rsidRDefault="00D15C1B" w:rsidP="008C12B4">
            <w:pPr>
              <w:jc w:val="both"/>
              <w:rPr>
                <w:bCs/>
                <w:sz w:val="20"/>
                <w:szCs w:val="20"/>
              </w:rPr>
            </w:pPr>
          </w:p>
        </w:tc>
        <w:tc>
          <w:tcPr>
            <w:tcW w:w="2552" w:type="dxa"/>
          </w:tcPr>
          <w:p w14:paraId="1662A80C" w14:textId="28D753C4" w:rsidR="00D15C1B" w:rsidRPr="00154588" w:rsidRDefault="0094082B" w:rsidP="008C12B4">
            <w:pPr>
              <w:jc w:val="both"/>
              <w:rPr>
                <w:bCs/>
                <w:sz w:val="20"/>
                <w:szCs w:val="20"/>
              </w:rPr>
            </w:pPr>
            <w:r w:rsidRPr="00154588">
              <w:rPr>
                <w:bCs/>
                <w:sz w:val="20"/>
                <w:szCs w:val="20"/>
              </w:rPr>
              <w:t>Compatibil</w:t>
            </w:r>
          </w:p>
        </w:tc>
        <w:tc>
          <w:tcPr>
            <w:tcW w:w="3118" w:type="dxa"/>
          </w:tcPr>
          <w:p w14:paraId="61D58BF4" w14:textId="77777777" w:rsidR="00D15C1B" w:rsidRPr="00154588" w:rsidRDefault="00D15C1B" w:rsidP="008C12B4">
            <w:pPr>
              <w:jc w:val="both"/>
              <w:rPr>
                <w:bCs/>
                <w:sz w:val="20"/>
                <w:szCs w:val="20"/>
              </w:rPr>
            </w:pPr>
          </w:p>
        </w:tc>
      </w:tr>
      <w:tr w:rsidR="00D15C1B" w:rsidRPr="00154588" w14:paraId="3A404306" w14:textId="77777777" w:rsidTr="00D15C1B">
        <w:trPr>
          <w:jc w:val="center"/>
        </w:trPr>
        <w:tc>
          <w:tcPr>
            <w:tcW w:w="4957" w:type="dxa"/>
            <w:gridSpan w:val="2"/>
          </w:tcPr>
          <w:p w14:paraId="443F4DEF" w14:textId="365FA203" w:rsidR="00D15C1B" w:rsidRPr="00154588" w:rsidRDefault="00D15C1B" w:rsidP="008C12B4">
            <w:pPr>
              <w:jc w:val="both"/>
              <w:rPr>
                <w:bCs/>
                <w:sz w:val="20"/>
                <w:szCs w:val="20"/>
              </w:rPr>
            </w:pPr>
            <w:r w:rsidRPr="00154588">
              <w:rPr>
                <w:bCs/>
                <w:sz w:val="20"/>
                <w:szCs w:val="20"/>
              </w:rPr>
              <w:t xml:space="preserve">97. </w:t>
            </w:r>
            <w:r w:rsidRPr="00154588">
              <w:rPr>
                <w:b/>
                <w:sz w:val="20"/>
                <w:szCs w:val="20"/>
              </w:rPr>
              <w:t>„contract de garanție financiară cu transfer de proprietate”</w:t>
            </w:r>
            <w:r w:rsidRPr="00154588">
              <w:rPr>
                <w:bCs/>
                <w:sz w:val="20"/>
                <w:szCs w:val="20"/>
              </w:rPr>
              <w:t xml:space="preserve"> înseamnă un contract de garanție financiară cu transfer de proprietate astfel cum este definit la articolul 2 alineatul (1) litera (b) din Directiva 2002/47/CE a Parlamentului European și a Consiliului ( 6 );</w:t>
            </w:r>
          </w:p>
        </w:tc>
        <w:tc>
          <w:tcPr>
            <w:tcW w:w="4819" w:type="dxa"/>
          </w:tcPr>
          <w:p w14:paraId="77383DF9" w14:textId="3D9B2212" w:rsidR="00D15C1B" w:rsidRPr="00154588" w:rsidRDefault="00567279" w:rsidP="008C12B4">
            <w:pPr>
              <w:jc w:val="both"/>
              <w:rPr>
                <w:bCs/>
                <w:sz w:val="20"/>
                <w:szCs w:val="20"/>
              </w:rPr>
            </w:pPr>
            <w:r w:rsidRPr="00154588">
              <w:rPr>
                <w:bCs/>
                <w:sz w:val="20"/>
                <w:szCs w:val="20"/>
              </w:rPr>
              <w:t xml:space="preserve">64) </w:t>
            </w:r>
            <w:r w:rsidRPr="00154588">
              <w:rPr>
                <w:bCs/>
                <w:i/>
                <w:sz w:val="20"/>
                <w:szCs w:val="20"/>
              </w:rPr>
              <w:t>contract de garanție financiară cu transfer de proprietate</w:t>
            </w:r>
            <w:r w:rsidRPr="00154588">
              <w:rPr>
                <w:bCs/>
                <w:sz w:val="20"/>
                <w:szCs w:val="20"/>
              </w:rPr>
              <w:t xml:space="preserve"> – un contract de garanție financiară cu transfer de proprietate astfel cum este definit la art.4 din Legea nr.184/2016 cu privire la contractele de garanție financiară;</w:t>
            </w:r>
          </w:p>
        </w:tc>
        <w:tc>
          <w:tcPr>
            <w:tcW w:w="2552" w:type="dxa"/>
          </w:tcPr>
          <w:p w14:paraId="16BD82BC" w14:textId="67B54DAF" w:rsidR="00D15C1B" w:rsidRPr="00154588" w:rsidRDefault="0094082B" w:rsidP="008C12B4">
            <w:pPr>
              <w:jc w:val="both"/>
              <w:rPr>
                <w:bCs/>
                <w:sz w:val="20"/>
                <w:szCs w:val="20"/>
              </w:rPr>
            </w:pPr>
            <w:r w:rsidRPr="00154588">
              <w:rPr>
                <w:bCs/>
                <w:sz w:val="20"/>
                <w:szCs w:val="20"/>
              </w:rPr>
              <w:t>Compatibil</w:t>
            </w:r>
          </w:p>
        </w:tc>
        <w:tc>
          <w:tcPr>
            <w:tcW w:w="3118" w:type="dxa"/>
          </w:tcPr>
          <w:p w14:paraId="7F4D20E3" w14:textId="77777777" w:rsidR="00D15C1B" w:rsidRPr="00154588" w:rsidRDefault="00D15C1B" w:rsidP="008C12B4">
            <w:pPr>
              <w:jc w:val="both"/>
              <w:rPr>
                <w:bCs/>
                <w:sz w:val="20"/>
                <w:szCs w:val="20"/>
              </w:rPr>
            </w:pPr>
          </w:p>
        </w:tc>
      </w:tr>
      <w:tr w:rsidR="00D15C1B" w:rsidRPr="00154588" w14:paraId="7D25B8DC" w14:textId="77777777" w:rsidTr="00D15C1B">
        <w:trPr>
          <w:jc w:val="center"/>
        </w:trPr>
        <w:tc>
          <w:tcPr>
            <w:tcW w:w="4957" w:type="dxa"/>
            <w:gridSpan w:val="2"/>
          </w:tcPr>
          <w:p w14:paraId="4E580F9A" w14:textId="6BD476D4" w:rsidR="00D15C1B" w:rsidRPr="00154588" w:rsidRDefault="00D15C1B" w:rsidP="008C12B4">
            <w:pPr>
              <w:jc w:val="both"/>
              <w:rPr>
                <w:bCs/>
                <w:sz w:val="20"/>
                <w:szCs w:val="20"/>
              </w:rPr>
            </w:pPr>
            <w:r w:rsidRPr="00154588">
              <w:rPr>
                <w:bCs/>
                <w:sz w:val="20"/>
                <w:szCs w:val="20"/>
              </w:rPr>
              <w:t xml:space="preserve">98. </w:t>
            </w:r>
            <w:r w:rsidRPr="00154588">
              <w:rPr>
                <w:b/>
                <w:sz w:val="20"/>
                <w:szCs w:val="20"/>
              </w:rPr>
              <w:t>„acord de compensare”</w:t>
            </w:r>
            <w:r w:rsidRPr="00154588">
              <w:rPr>
                <w:bCs/>
                <w:sz w:val="20"/>
                <w:szCs w:val="20"/>
              </w:rPr>
              <w:t xml:space="preserve"> înseamnă un acord prin care mai multe creanțe sau obligații pot fi convertite într-o singură creanță netă, inclusiv acordurile de compensare cu exigibilitate imediată în temeiul cărora, în cazul producerii unui eveniment determinat (oricum și oriunde ar fi definit acesta), scadența obligațiilor părților este accelerată, astfel încât ele fie devin imediat exigibile, fie sunt stinse și, în orice caz, sunt convertite într-o singură creanță netă sau înlocuite cu aceasta, inclusiv „clauza de compensare cu exigibilitate imediată” astfel cum este definită la articolul 2 alineatul (1) litera (n) punctul (i) din Directiva 2002/47/CE și „compensarea” astfel cum este definită la articolul 2 litera (k) din Directiva 98/26/CE;</w:t>
            </w:r>
          </w:p>
        </w:tc>
        <w:tc>
          <w:tcPr>
            <w:tcW w:w="4819" w:type="dxa"/>
          </w:tcPr>
          <w:p w14:paraId="027D5DA1" w14:textId="4B0A073A" w:rsidR="00D15C1B" w:rsidRPr="00154588" w:rsidRDefault="00567279" w:rsidP="008C12B4">
            <w:pPr>
              <w:jc w:val="both"/>
              <w:rPr>
                <w:bCs/>
                <w:sz w:val="20"/>
                <w:szCs w:val="20"/>
              </w:rPr>
            </w:pPr>
            <w:r w:rsidRPr="00154588">
              <w:rPr>
                <w:bCs/>
                <w:sz w:val="20"/>
                <w:szCs w:val="20"/>
              </w:rPr>
              <w:t xml:space="preserve">1) </w:t>
            </w:r>
            <w:r w:rsidRPr="00154588">
              <w:rPr>
                <w:bCs/>
                <w:i/>
                <w:sz w:val="20"/>
                <w:szCs w:val="20"/>
              </w:rPr>
              <w:t>acord de compensare</w:t>
            </w:r>
            <w:r w:rsidRPr="00154588">
              <w:rPr>
                <w:bCs/>
                <w:sz w:val="20"/>
                <w:szCs w:val="20"/>
              </w:rPr>
              <w:t xml:space="preserve"> – orice înţelegere sau clauză potrivit căreia mai multe creanţe sau obligaţii pot fi transformate într-o singură creanţă netă, inclusiv acordurile de compensare cu exigibilitate imediată potrivit cărora, la producerea unui eveniment determinat (oricum şi oriunde ar fi definit acesta), obligaţiile părţilor devin imediat exigibile sau sunt stinse şi sunt, în oricare dintre cazuri, transformate sau înlocuite de o singură creanţă netă, inclusiv „clauză de compensare cu exigibilitate imediată” astfel cum este definită la art.4 pct.3 lit.a) din Legea nr.184/2016 cu privire la contractele de garanție financiară și „compensare” astfel cum este definită la art.3 alin.(1) pct.9 din Legea nr.183/2016 cu privire la caracterul definitiv al decontării în sistemele de plăți și de decontare a instrumentelor financiare; </w:t>
            </w:r>
          </w:p>
        </w:tc>
        <w:tc>
          <w:tcPr>
            <w:tcW w:w="2552" w:type="dxa"/>
          </w:tcPr>
          <w:p w14:paraId="526ED340" w14:textId="3172175B" w:rsidR="00D15C1B" w:rsidRPr="00154588" w:rsidRDefault="0094082B" w:rsidP="008C12B4">
            <w:pPr>
              <w:jc w:val="both"/>
              <w:rPr>
                <w:bCs/>
                <w:sz w:val="20"/>
                <w:szCs w:val="20"/>
              </w:rPr>
            </w:pPr>
            <w:r w:rsidRPr="00154588">
              <w:rPr>
                <w:bCs/>
                <w:sz w:val="20"/>
                <w:szCs w:val="20"/>
              </w:rPr>
              <w:t>Compatibil</w:t>
            </w:r>
          </w:p>
        </w:tc>
        <w:tc>
          <w:tcPr>
            <w:tcW w:w="3118" w:type="dxa"/>
          </w:tcPr>
          <w:p w14:paraId="00AB27E7" w14:textId="77777777" w:rsidR="00D15C1B" w:rsidRPr="00154588" w:rsidRDefault="00D15C1B" w:rsidP="008C12B4">
            <w:pPr>
              <w:jc w:val="both"/>
              <w:rPr>
                <w:bCs/>
                <w:sz w:val="20"/>
                <w:szCs w:val="20"/>
              </w:rPr>
            </w:pPr>
          </w:p>
        </w:tc>
      </w:tr>
      <w:tr w:rsidR="00D15C1B" w:rsidRPr="00154588" w14:paraId="7BC57F4C" w14:textId="77777777" w:rsidTr="00D15C1B">
        <w:trPr>
          <w:jc w:val="center"/>
        </w:trPr>
        <w:tc>
          <w:tcPr>
            <w:tcW w:w="4957" w:type="dxa"/>
            <w:gridSpan w:val="2"/>
          </w:tcPr>
          <w:p w14:paraId="2B31D24C" w14:textId="06E958CB" w:rsidR="00D15C1B" w:rsidRPr="00154588" w:rsidRDefault="00D15C1B" w:rsidP="008C12B4">
            <w:pPr>
              <w:rPr>
                <w:bCs/>
                <w:sz w:val="20"/>
                <w:szCs w:val="20"/>
              </w:rPr>
            </w:pPr>
            <w:r w:rsidRPr="00154588">
              <w:rPr>
                <w:bCs/>
                <w:sz w:val="20"/>
                <w:szCs w:val="20"/>
              </w:rPr>
              <w:t xml:space="preserve">99. </w:t>
            </w:r>
            <w:r w:rsidRPr="00154588">
              <w:rPr>
                <w:b/>
                <w:sz w:val="20"/>
                <w:szCs w:val="20"/>
              </w:rPr>
              <w:t>„acord de compensare reciprocă”</w:t>
            </w:r>
            <w:r w:rsidRPr="00154588">
              <w:rPr>
                <w:bCs/>
                <w:sz w:val="20"/>
                <w:szCs w:val="20"/>
              </w:rPr>
              <w:t xml:space="preserve"> înseamnă un acord prin care două sau mai multe creanțe sau obligații datorate între instituție aflată în rezoluție și o contrapartidă pot face obiectul unei compensări reciproce;</w:t>
            </w:r>
          </w:p>
        </w:tc>
        <w:tc>
          <w:tcPr>
            <w:tcW w:w="4819" w:type="dxa"/>
          </w:tcPr>
          <w:p w14:paraId="6C7294D3" w14:textId="009FFE3C" w:rsidR="00D15C1B" w:rsidRPr="00154588" w:rsidRDefault="00567279" w:rsidP="008C12B4">
            <w:pPr>
              <w:jc w:val="both"/>
              <w:rPr>
                <w:bCs/>
                <w:sz w:val="20"/>
                <w:szCs w:val="20"/>
              </w:rPr>
            </w:pPr>
            <w:r w:rsidRPr="00154588">
              <w:rPr>
                <w:bCs/>
                <w:sz w:val="20"/>
                <w:szCs w:val="20"/>
              </w:rPr>
              <w:t xml:space="preserve">2) </w:t>
            </w:r>
            <w:r w:rsidRPr="00154588">
              <w:rPr>
                <w:bCs/>
                <w:i/>
                <w:sz w:val="20"/>
                <w:szCs w:val="20"/>
              </w:rPr>
              <w:t>acord de compensare reciprocă</w:t>
            </w:r>
            <w:r w:rsidRPr="00154588">
              <w:rPr>
                <w:bCs/>
                <w:sz w:val="20"/>
                <w:szCs w:val="20"/>
              </w:rPr>
              <w:t xml:space="preserve"> – orice înţelegere sau clauză prin care două sau mai multe creanţe sau obligaţii existente între instituția supusă rezoluţiei şi o contrapartidă se sting reciproc;</w:t>
            </w:r>
          </w:p>
        </w:tc>
        <w:tc>
          <w:tcPr>
            <w:tcW w:w="2552" w:type="dxa"/>
          </w:tcPr>
          <w:p w14:paraId="42F47E99" w14:textId="00F6BD4D" w:rsidR="00D15C1B" w:rsidRPr="00154588" w:rsidRDefault="0094082B" w:rsidP="008C12B4">
            <w:pPr>
              <w:jc w:val="both"/>
              <w:rPr>
                <w:bCs/>
                <w:sz w:val="20"/>
                <w:szCs w:val="20"/>
              </w:rPr>
            </w:pPr>
            <w:r w:rsidRPr="00154588">
              <w:rPr>
                <w:bCs/>
                <w:sz w:val="20"/>
                <w:szCs w:val="20"/>
              </w:rPr>
              <w:t>Compatibil</w:t>
            </w:r>
          </w:p>
        </w:tc>
        <w:tc>
          <w:tcPr>
            <w:tcW w:w="3118" w:type="dxa"/>
          </w:tcPr>
          <w:p w14:paraId="38A996CA" w14:textId="77777777" w:rsidR="00D15C1B" w:rsidRPr="00154588" w:rsidRDefault="00D15C1B" w:rsidP="008C12B4">
            <w:pPr>
              <w:jc w:val="both"/>
              <w:rPr>
                <w:bCs/>
                <w:sz w:val="20"/>
                <w:szCs w:val="20"/>
              </w:rPr>
            </w:pPr>
          </w:p>
        </w:tc>
      </w:tr>
      <w:tr w:rsidR="00D15C1B" w:rsidRPr="00154588" w14:paraId="5C347BDA" w14:textId="77777777" w:rsidTr="00D15C1B">
        <w:trPr>
          <w:jc w:val="center"/>
        </w:trPr>
        <w:tc>
          <w:tcPr>
            <w:tcW w:w="4957" w:type="dxa"/>
            <w:gridSpan w:val="2"/>
          </w:tcPr>
          <w:p w14:paraId="742A71B3" w14:textId="326656E4" w:rsidR="00D15C1B" w:rsidRPr="00154588" w:rsidRDefault="00D15C1B" w:rsidP="008C12B4">
            <w:pPr>
              <w:jc w:val="both"/>
              <w:rPr>
                <w:bCs/>
                <w:sz w:val="20"/>
                <w:szCs w:val="20"/>
              </w:rPr>
            </w:pPr>
            <w:r w:rsidRPr="00154588">
              <w:rPr>
                <w:bCs/>
                <w:sz w:val="20"/>
                <w:szCs w:val="20"/>
              </w:rPr>
              <w:t xml:space="preserve">100. </w:t>
            </w:r>
            <w:r w:rsidRPr="00154588">
              <w:rPr>
                <w:b/>
                <w:sz w:val="20"/>
                <w:szCs w:val="20"/>
              </w:rPr>
              <w:t>„contracte financiare”</w:t>
            </w:r>
            <w:r w:rsidRPr="00154588">
              <w:rPr>
                <w:bCs/>
                <w:sz w:val="20"/>
                <w:szCs w:val="20"/>
              </w:rPr>
              <w:t xml:space="preserve"> înseamnă următoarele contracte și acorduri:</w:t>
            </w:r>
          </w:p>
          <w:p w14:paraId="1B58E0E8" w14:textId="77777777" w:rsidR="00D15C1B" w:rsidRPr="00154588" w:rsidRDefault="00D15C1B" w:rsidP="008C12B4">
            <w:pPr>
              <w:jc w:val="both"/>
              <w:rPr>
                <w:bCs/>
                <w:sz w:val="20"/>
                <w:szCs w:val="20"/>
              </w:rPr>
            </w:pPr>
          </w:p>
          <w:p w14:paraId="05B3C86E" w14:textId="77777777" w:rsidR="00D15C1B" w:rsidRPr="00154588" w:rsidRDefault="00D15C1B" w:rsidP="008C12B4">
            <w:pPr>
              <w:jc w:val="both"/>
              <w:rPr>
                <w:bCs/>
                <w:sz w:val="20"/>
                <w:szCs w:val="20"/>
              </w:rPr>
            </w:pPr>
          </w:p>
          <w:p w14:paraId="3FA6E337" w14:textId="5B038DDE" w:rsidR="00D15C1B" w:rsidRPr="00154588" w:rsidRDefault="00D15C1B" w:rsidP="008C12B4">
            <w:pPr>
              <w:jc w:val="both"/>
              <w:rPr>
                <w:bCs/>
                <w:sz w:val="20"/>
                <w:szCs w:val="20"/>
              </w:rPr>
            </w:pPr>
            <w:r w:rsidRPr="00154588">
              <w:rPr>
                <w:bCs/>
                <w:sz w:val="20"/>
                <w:szCs w:val="20"/>
              </w:rPr>
              <w:t>(a) contracte de titluri de valoare, inclusiv:</w:t>
            </w:r>
          </w:p>
          <w:p w14:paraId="00678695" w14:textId="77777777" w:rsidR="00D15C1B" w:rsidRPr="00154588" w:rsidRDefault="00D15C1B" w:rsidP="008C12B4">
            <w:pPr>
              <w:jc w:val="both"/>
              <w:rPr>
                <w:bCs/>
                <w:sz w:val="20"/>
                <w:szCs w:val="20"/>
              </w:rPr>
            </w:pPr>
          </w:p>
          <w:p w14:paraId="620139C9" w14:textId="0F3763FD" w:rsidR="00D15C1B" w:rsidRPr="00154588" w:rsidRDefault="00D15C1B" w:rsidP="008C12B4">
            <w:pPr>
              <w:jc w:val="both"/>
              <w:rPr>
                <w:bCs/>
                <w:sz w:val="20"/>
                <w:szCs w:val="20"/>
              </w:rPr>
            </w:pPr>
            <w:r w:rsidRPr="00154588">
              <w:rPr>
                <w:bCs/>
                <w:sz w:val="20"/>
                <w:szCs w:val="20"/>
              </w:rPr>
              <w:t>(i) contracte de cumpărare, vânzare sau împrumut de titluri de valoare, grupuri sau indici de titluri de valoare;</w:t>
            </w:r>
          </w:p>
          <w:p w14:paraId="6412ADC8" w14:textId="77777777" w:rsidR="00D15C1B" w:rsidRPr="00154588" w:rsidRDefault="00D15C1B" w:rsidP="008C12B4">
            <w:pPr>
              <w:jc w:val="both"/>
              <w:rPr>
                <w:bCs/>
                <w:sz w:val="20"/>
                <w:szCs w:val="20"/>
              </w:rPr>
            </w:pPr>
          </w:p>
          <w:p w14:paraId="47B810B8" w14:textId="5517DAF2" w:rsidR="00D15C1B" w:rsidRPr="00154588" w:rsidRDefault="00D15C1B" w:rsidP="008C12B4">
            <w:pPr>
              <w:jc w:val="both"/>
              <w:rPr>
                <w:bCs/>
                <w:sz w:val="20"/>
                <w:szCs w:val="20"/>
              </w:rPr>
            </w:pPr>
            <w:r w:rsidRPr="00154588">
              <w:rPr>
                <w:bCs/>
                <w:sz w:val="20"/>
                <w:szCs w:val="20"/>
              </w:rPr>
              <w:t>(ii) opțiuni pe un titlu de valoare, grup sau indice de titluri de valoare;</w:t>
            </w:r>
          </w:p>
          <w:p w14:paraId="7B6630B1" w14:textId="77777777" w:rsidR="00D15C1B" w:rsidRPr="00154588" w:rsidRDefault="00D15C1B" w:rsidP="008C12B4">
            <w:pPr>
              <w:jc w:val="both"/>
              <w:rPr>
                <w:bCs/>
                <w:sz w:val="20"/>
                <w:szCs w:val="20"/>
              </w:rPr>
            </w:pPr>
          </w:p>
          <w:p w14:paraId="797636EB" w14:textId="554F0FA4" w:rsidR="00D15C1B" w:rsidRPr="00154588" w:rsidRDefault="00D15C1B" w:rsidP="008C12B4">
            <w:pPr>
              <w:jc w:val="both"/>
              <w:rPr>
                <w:bCs/>
                <w:sz w:val="20"/>
                <w:szCs w:val="20"/>
              </w:rPr>
            </w:pPr>
            <w:r w:rsidRPr="00154588">
              <w:rPr>
                <w:bCs/>
                <w:sz w:val="20"/>
                <w:szCs w:val="20"/>
              </w:rPr>
              <w:t>(iii) tranzacții de răscumpărare sau tranzacții de răscumpărare reversibile implicând orice astfel de titluri de valoare, grupuri sau indici de titluri de valoare;</w:t>
            </w:r>
          </w:p>
          <w:p w14:paraId="4725C251" w14:textId="77777777" w:rsidR="00D15C1B" w:rsidRPr="00154588" w:rsidRDefault="00D15C1B" w:rsidP="008C12B4">
            <w:pPr>
              <w:jc w:val="both"/>
              <w:rPr>
                <w:bCs/>
                <w:sz w:val="20"/>
                <w:szCs w:val="20"/>
              </w:rPr>
            </w:pPr>
          </w:p>
          <w:p w14:paraId="41DE8F24" w14:textId="1BE257CD" w:rsidR="00D15C1B" w:rsidRPr="00154588" w:rsidRDefault="00D15C1B" w:rsidP="008C12B4">
            <w:pPr>
              <w:jc w:val="both"/>
              <w:rPr>
                <w:bCs/>
                <w:sz w:val="20"/>
                <w:szCs w:val="20"/>
              </w:rPr>
            </w:pPr>
            <w:r w:rsidRPr="00154588">
              <w:rPr>
                <w:bCs/>
                <w:sz w:val="20"/>
                <w:szCs w:val="20"/>
              </w:rPr>
              <w:t>(b) contracte pe mărfuri, inclusiv:</w:t>
            </w:r>
          </w:p>
          <w:p w14:paraId="253FCE84" w14:textId="77777777" w:rsidR="00D15C1B" w:rsidRPr="00154588" w:rsidRDefault="00D15C1B" w:rsidP="008C12B4">
            <w:pPr>
              <w:jc w:val="both"/>
              <w:rPr>
                <w:bCs/>
                <w:sz w:val="20"/>
                <w:szCs w:val="20"/>
              </w:rPr>
            </w:pPr>
          </w:p>
          <w:p w14:paraId="5FBD25E0" w14:textId="5E741A04" w:rsidR="00D15C1B" w:rsidRPr="00154588" w:rsidRDefault="00D15C1B" w:rsidP="008C12B4">
            <w:pPr>
              <w:jc w:val="both"/>
              <w:rPr>
                <w:bCs/>
                <w:sz w:val="20"/>
                <w:szCs w:val="20"/>
              </w:rPr>
            </w:pPr>
            <w:r w:rsidRPr="00154588">
              <w:rPr>
                <w:bCs/>
                <w:sz w:val="20"/>
                <w:szCs w:val="20"/>
              </w:rPr>
              <w:t>(i) contracte de cumpărare, vânzare sau împrumut de mărfuri, grupuri sau indici de mărfuri pentru livrări viitoare;</w:t>
            </w:r>
          </w:p>
          <w:p w14:paraId="7662F1B7" w14:textId="77777777" w:rsidR="00D15C1B" w:rsidRPr="00154588" w:rsidRDefault="00D15C1B" w:rsidP="008C12B4">
            <w:pPr>
              <w:jc w:val="both"/>
              <w:rPr>
                <w:bCs/>
                <w:sz w:val="20"/>
                <w:szCs w:val="20"/>
              </w:rPr>
            </w:pPr>
          </w:p>
          <w:p w14:paraId="4701C5C1" w14:textId="337D06A1" w:rsidR="00D15C1B" w:rsidRPr="00154588" w:rsidRDefault="00D15C1B" w:rsidP="008C12B4">
            <w:pPr>
              <w:jc w:val="both"/>
              <w:rPr>
                <w:bCs/>
                <w:sz w:val="20"/>
                <w:szCs w:val="20"/>
              </w:rPr>
            </w:pPr>
            <w:r w:rsidRPr="00154588">
              <w:rPr>
                <w:bCs/>
                <w:sz w:val="20"/>
                <w:szCs w:val="20"/>
              </w:rPr>
              <w:t>(ii) opțiuni pe o marfă, un grup sau un indice de mărfuri;</w:t>
            </w:r>
          </w:p>
          <w:p w14:paraId="2A0C4ABE" w14:textId="77777777" w:rsidR="00D15C1B" w:rsidRPr="00154588" w:rsidRDefault="00D15C1B" w:rsidP="008C12B4">
            <w:pPr>
              <w:jc w:val="both"/>
              <w:rPr>
                <w:bCs/>
                <w:sz w:val="20"/>
                <w:szCs w:val="20"/>
              </w:rPr>
            </w:pPr>
          </w:p>
          <w:p w14:paraId="6D748A37" w14:textId="77777777" w:rsidR="00D15C1B" w:rsidRPr="00154588" w:rsidRDefault="00D15C1B" w:rsidP="008C12B4">
            <w:pPr>
              <w:jc w:val="both"/>
              <w:rPr>
                <w:bCs/>
                <w:sz w:val="20"/>
                <w:szCs w:val="20"/>
              </w:rPr>
            </w:pPr>
          </w:p>
          <w:p w14:paraId="62ED8A46" w14:textId="2934E651" w:rsidR="00D15C1B" w:rsidRPr="00154588" w:rsidRDefault="00D15C1B" w:rsidP="008C12B4">
            <w:pPr>
              <w:jc w:val="both"/>
              <w:rPr>
                <w:bCs/>
                <w:sz w:val="20"/>
                <w:szCs w:val="20"/>
              </w:rPr>
            </w:pPr>
            <w:r w:rsidRPr="00154588">
              <w:rPr>
                <w:bCs/>
                <w:sz w:val="20"/>
                <w:szCs w:val="20"/>
              </w:rPr>
              <w:t>(iii) tranzacții de răscumpărare sau tranzacții de răscumpărare reversibile implicând orice astfel de mărfuri, grupuri sau indici de mărfuri;</w:t>
            </w:r>
          </w:p>
          <w:p w14:paraId="4DDE7D50" w14:textId="77777777" w:rsidR="00D15C1B" w:rsidRPr="00154588" w:rsidRDefault="00D15C1B" w:rsidP="008C12B4">
            <w:pPr>
              <w:jc w:val="both"/>
              <w:rPr>
                <w:bCs/>
                <w:sz w:val="20"/>
                <w:szCs w:val="20"/>
              </w:rPr>
            </w:pPr>
          </w:p>
          <w:p w14:paraId="4F5F0B25" w14:textId="0B799399" w:rsidR="00D15C1B" w:rsidRPr="00154588" w:rsidRDefault="00D15C1B" w:rsidP="008C12B4">
            <w:pPr>
              <w:jc w:val="both"/>
              <w:rPr>
                <w:bCs/>
                <w:sz w:val="20"/>
                <w:szCs w:val="20"/>
              </w:rPr>
            </w:pPr>
            <w:r w:rsidRPr="00154588">
              <w:rPr>
                <w:bCs/>
                <w:sz w:val="20"/>
                <w:szCs w:val="20"/>
              </w:rPr>
              <w:t>(c) contractele futures și forward, inclusiv contractele (altele decât cele pe mărfuri) privind cumpărarea, vânzarea sau transferul de mărfuri sau bunuri de orice natură, de servicii, drepturi sau interese contra unui anumit preț, la un anumit moment în viitor;</w:t>
            </w:r>
          </w:p>
          <w:p w14:paraId="0C3B6CFA" w14:textId="77777777" w:rsidR="00D15C1B" w:rsidRPr="00154588" w:rsidRDefault="00D15C1B" w:rsidP="008C12B4">
            <w:pPr>
              <w:jc w:val="both"/>
              <w:rPr>
                <w:bCs/>
                <w:sz w:val="20"/>
                <w:szCs w:val="20"/>
              </w:rPr>
            </w:pPr>
          </w:p>
          <w:p w14:paraId="7B1F6CB8" w14:textId="13E37321" w:rsidR="00D15C1B" w:rsidRPr="00154588" w:rsidRDefault="00D15C1B" w:rsidP="008C12B4">
            <w:pPr>
              <w:jc w:val="both"/>
              <w:rPr>
                <w:bCs/>
                <w:sz w:val="20"/>
                <w:szCs w:val="20"/>
              </w:rPr>
            </w:pPr>
            <w:r w:rsidRPr="00154588">
              <w:rPr>
                <w:bCs/>
                <w:sz w:val="20"/>
                <w:szCs w:val="20"/>
              </w:rPr>
              <w:t>(d) contracte swap, inclusiv:</w:t>
            </w:r>
          </w:p>
          <w:p w14:paraId="7F9AC886" w14:textId="77777777" w:rsidR="00D15C1B" w:rsidRPr="00154588" w:rsidRDefault="00D15C1B" w:rsidP="008C12B4">
            <w:pPr>
              <w:jc w:val="both"/>
              <w:rPr>
                <w:bCs/>
                <w:sz w:val="20"/>
                <w:szCs w:val="20"/>
              </w:rPr>
            </w:pPr>
          </w:p>
          <w:p w14:paraId="6E36960C" w14:textId="77777777" w:rsidR="00D15C1B" w:rsidRPr="00154588" w:rsidRDefault="00D15C1B" w:rsidP="008C12B4">
            <w:pPr>
              <w:jc w:val="both"/>
              <w:rPr>
                <w:bCs/>
                <w:sz w:val="20"/>
                <w:szCs w:val="20"/>
              </w:rPr>
            </w:pPr>
          </w:p>
          <w:p w14:paraId="0D42FCE3" w14:textId="0543C4D9" w:rsidR="00D15C1B" w:rsidRPr="00154588" w:rsidRDefault="00D15C1B" w:rsidP="008C12B4">
            <w:pPr>
              <w:jc w:val="both"/>
              <w:rPr>
                <w:bCs/>
                <w:sz w:val="20"/>
                <w:szCs w:val="20"/>
              </w:rPr>
            </w:pPr>
            <w:r w:rsidRPr="00154588">
              <w:rPr>
                <w:bCs/>
                <w:sz w:val="20"/>
                <w:szCs w:val="20"/>
              </w:rPr>
              <w:t>(i) swapuri și opțiuni pe rata dobânzii; acorduri pe cursul valutar la vedere sau de alt tip pe piața valutară; swapuri pe valută, pe indici ai titlurilor de capital sau pe titluri de capital, pe indici ai datoriei sau pe datorii, pe indici ai mărfurilor sau pe mărfuri, condiții meteorologice; emisii sau inflație;</w:t>
            </w:r>
          </w:p>
          <w:p w14:paraId="5DEC4523" w14:textId="77777777" w:rsidR="00D15C1B" w:rsidRPr="00154588" w:rsidRDefault="00D15C1B" w:rsidP="008C12B4">
            <w:pPr>
              <w:jc w:val="both"/>
              <w:rPr>
                <w:bCs/>
                <w:sz w:val="20"/>
                <w:szCs w:val="20"/>
              </w:rPr>
            </w:pPr>
          </w:p>
          <w:p w14:paraId="4CB47059" w14:textId="6713FFA8" w:rsidR="00D15C1B" w:rsidRPr="00154588" w:rsidRDefault="00D15C1B" w:rsidP="008C12B4">
            <w:pPr>
              <w:jc w:val="both"/>
              <w:rPr>
                <w:bCs/>
                <w:sz w:val="20"/>
                <w:szCs w:val="20"/>
              </w:rPr>
            </w:pPr>
            <w:r w:rsidRPr="00154588">
              <w:rPr>
                <w:bCs/>
                <w:sz w:val="20"/>
                <w:szCs w:val="20"/>
              </w:rPr>
              <w:t>(ii) swapuri pe randamentul total, pe marja de credit sau swapuri pe riscul de credit;</w:t>
            </w:r>
          </w:p>
          <w:p w14:paraId="4146DA8D" w14:textId="77777777" w:rsidR="00D15C1B" w:rsidRPr="00154588" w:rsidRDefault="00D15C1B" w:rsidP="008C12B4">
            <w:pPr>
              <w:jc w:val="both"/>
              <w:rPr>
                <w:bCs/>
                <w:sz w:val="20"/>
                <w:szCs w:val="20"/>
              </w:rPr>
            </w:pPr>
          </w:p>
          <w:p w14:paraId="382E059F" w14:textId="5A0403D6" w:rsidR="00D15C1B" w:rsidRPr="00154588" w:rsidRDefault="00D15C1B" w:rsidP="008C12B4">
            <w:pPr>
              <w:jc w:val="both"/>
              <w:rPr>
                <w:bCs/>
                <w:sz w:val="20"/>
                <w:szCs w:val="20"/>
              </w:rPr>
            </w:pPr>
            <w:r w:rsidRPr="00154588">
              <w:rPr>
                <w:bCs/>
                <w:sz w:val="20"/>
                <w:szCs w:val="20"/>
              </w:rPr>
              <w:t>(iii) orice acord sau tranzacție similară cu unul dintre acordurile menționate la punctele (i) sau (ii) de la prezenta literă și care face obiectul unor tranzacționări repetate pe piețele swapurilor sau ale instrumentelor financiare derivate;</w:t>
            </w:r>
          </w:p>
          <w:p w14:paraId="589A7D40" w14:textId="77777777" w:rsidR="00D15C1B" w:rsidRPr="00154588" w:rsidRDefault="00D15C1B" w:rsidP="008C12B4">
            <w:pPr>
              <w:jc w:val="both"/>
              <w:rPr>
                <w:bCs/>
                <w:sz w:val="20"/>
                <w:szCs w:val="20"/>
              </w:rPr>
            </w:pPr>
          </w:p>
          <w:p w14:paraId="2C8C33C2" w14:textId="55633563" w:rsidR="00D15C1B" w:rsidRPr="00154588" w:rsidRDefault="00D15C1B" w:rsidP="008C12B4">
            <w:pPr>
              <w:jc w:val="both"/>
              <w:rPr>
                <w:bCs/>
                <w:sz w:val="20"/>
                <w:szCs w:val="20"/>
              </w:rPr>
            </w:pPr>
            <w:r w:rsidRPr="00154588">
              <w:rPr>
                <w:bCs/>
                <w:sz w:val="20"/>
                <w:szCs w:val="20"/>
              </w:rPr>
              <w:t>(e) acorduri de împrumut interbancar în cazul cărora împrumutul se acordă pe o perioadă de maxim trei luni;</w:t>
            </w:r>
          </w:p>
          <w:p w14:paraId="19AA60F6" w14:textId="77777777" w:rsidR="00D15C1B" w:rsidRPr="00154588" w:rsidRDefault="00D15C1B" w:rsidP="008C12B4">
            <w:pPr>
              <w:jc w:val="both"/>
              <w:rPr>
                <w:bCs/>
                <w:sz w:val="20"/>
                <w:szCs w:val="20"/>
              </w:rPr>
            </w:pPr>
          </w:p>
          <w:p w14:paraId="62B1847D" w14:textId="75082AE9" w:rsidR="00D15C1B" w:rsidRPr="00154588" w:rsidRDefault="00D15C1B" w:rsidP="008C12B4">
            <w:pPr>
              <w:jc w:val="both"/>
              <w:rPr>
                <w:bCs/>
                <w:sz w:val="20"/>
                <w:szCs w:val="20"/>
              </w:rPr>
            </w:pPr>
            <w:r w:rsidRPr="00154588">
              <w:rPr>
                <w:bCs/>
                <w:sz w:val="20"/>
                <w:szCs w:val="20"/>
              </w:rPr>
              <w:t>(f) acorduri-cadru referitoare la toate tipurile de contracte sau acorduri menționate la literele (a)-(e);</w:t>
            </w:r>
          </w:p>
        </w:tc>
        <w:tc>
          <w:tcPr>
            <w:tcW w:w="4819" w:type="dxa"/>
          </w:tcPr>
          <w:p w14:paraId="279FD8E6" w14:textId="77777777" w:rsidR="00567279" w:rsidRPr="00154588" w:rsidRDefault="00567279" w:rsidP="008C12B4">
            <w:pPr>
              <w:jc w:val="both"/>
              <w:rPr>
                <w:bCs/>
                <w:sz w:val="20"/>
                <w:szCs w:val="20"/>
              </w:rPr>
            </w:pPr>
            <w:r w:rsidRPr="00154588">
              <w:rPr>
                <w:bCs/>
                <w:sz w:val="20"/>
                <w:szCs w:val="20"/>
              </w:rPr>
              <w:lastRenderedPageBreak/>
              <w:t xml:space="preserve">16) </w:t>
            </w:r>
            <w:r w:rsidRPr="00154588">
              <w:rPr>
                <w:bCs/>
                <w:i/>
                <w:iCs/>
                <w:sz w:val="20"/>
                <w:szCs w:val="20"/>
              </w:rPr>
              <w:t>contracte financiare</w:t>
            </w:r>
            <w:r w:rsidRPr="00154588">
              <w:rPr>
                <w:bCs/>
                <w:sz w:val="20"/>
                <w:szCs w:val="20"/>
              </w:rPr>
              <w:t>:</w:t>
            </w:r>
          </w:p>
          <w:p w14:paraId="38E48096" w14:textId="77777777" w:rsidR="00567279" w:rsidRPr="00154588" w:rsidRDefault="00567279" w:rsidP="008C12B4">
            <w:pPr>
              <w:jc w:val="both"/>
              <w:rPr>
                <w:bCs/>
                <w:sz w:val="20"/>
                <w:szCs w:val="20"/>
              </w:rPr>
            </w:pPr>
          </w:p>
          <w:p w14:paraId="141E893E" w14:textId="77777777" w:rsidR="00567279" w:rsidRPr="00154588" w:rsidRDefault="00567279" w:rsidP="008C12B4">
            <w:pPr>
              <w:jc w:val="both"/>
              <w:rPr>
                <w:bCs/>
                <w:sz w:val="20"/>
                <w:szCs w:val="20"/>
              </w:rPr>
            </w:pPr>
          </w:p>
          <w:p w14:paraId="3A50A9A0" w14:textId="3125D9BA" w:rsidR="00567279" w:rsidRPr="00154588" w:rsidRDefault="00567279" w:rsidP="008C12B4">
            <w:pPr>
              <w:jc w:val="both"/>
              <w:rPr>
                <w:bCs/>
                <w:sz w:val="20"/>
                <w:szCs w:val="20"/>
              </w:rPr>
            </w:pPr>
            <w:r w:rsidRPr="00154588">
              <w:rPr>
                <w:bCs/>
                <w:sz w:val="20"/>
                <w:szCs w:val="20"/>
              </w:rPr>
              <w:t>a) contracte pe titluri de valoare, inclusiv contracte de cumpărare, vînzare sau împrumut de titluri de valoare, grupuri sau indici de titluri de valoare ori opţiuni pe un titlu de valoare, grup sau indice de titluri de valoare ori tranzacţii repo sau reverse repo implicînd orice astfel de titluri de valoare, grupuri sau indici de titluri de valoare;</w:t>
            </w:r>
          </w:p>
          <w:p w14:paraId="61F868DD" w14:textId="77777777" w:rsidR="00567279" w:rsidRPr="00154588" w:rsidRDefault="00567279" w:rsidP="008C12B4">
            <w:pPr>
              <w:jc w:val="both"/>
              <w:rPr>
                <w:bCs/>
                <w:sz w:val="20"/>
                <w:szCs w:val="20"/>
              </w:rPr>
            </w:pPr>
          </w:p>
          <w:p w14:paraId="43883033" w14:textId="576893BC" w:rsidR="00567279" w:rsidRPr="00154588" w:rsidRDefault="00567279" w:rsidP="008C12B4">
            <w:pPr>
              <w:jc w:val="both"/>
              <w:rPr>
                <w:bCs/>
                <w:sz w:val="20"/>
                <w:szCs w:val="20"/>
              </w:rPr>
            </w:pPr>
            <w:r w:rsidRPr="00154588">
              <w:rPr>
                <w:bCs/>
                <w:sz w:val="20"/>
                <w:szCs w:val="20"/>
              </w:rPr>
              <w:t>b) contracte pe mărfuri, inclusiv contracte de cumpărare, vînzare sau împrumut de mărfuri, grupuri sau indici de mărfuri pentru livrări viitoare ori opţiuni pe o marfă, un grup sau un indice de mărfuri ori tranzacţii repo sau reverse repo implicînd orice astfel de mărfuri, grupuri sau indici de mărfuri;</w:t>
            </w:r>
          </w:p>
          <w:p w14:paraId="390D89B4" w14:textId="77777777" w:rsidR="00567279" w:rsidRPr="00154588" w:rsidRDefault="00567279" w:rsidP="008C12B4">
            <w:pPr>
              <w:jc w:val="both"/>
              <w:rPr>
                <w:bCs/>
                <w:sz w:val="20"/>
                <w:szCs w:val="20"/>
              </w:rPr>
            </w:pPr>
          </w:p>
          <w:p w14:paraId="5AADDC88" w14:textId="7B6A5360" w:rsidR="00567279" w:rsidRPr="00154588" w:rsidRDefault="00567279" w:rsidP="008C12B4">
            <w:pPr>
              <w:jc w:val="both"/>
              <w:rPr>
                <w:bCs/>
                <w:sz w:val="20"/>
                <w:szCs w:val="20"/>
              </w:rPr>
            </w:pPr>
            <w:r w:rsidRPr="00154588">
              <w:rPr>
                <w:bCs/>
                <w:sz w:val="20"/>
                <w:szCs w:val="20"/>
              </w:rPr>
              <w:lastRenderedPageBreak/>
              <w:t>c) contracte futures şi forward, inclusiv contractele (altele decît cele pe mărfuri) privind cumpărarea, vînzarea sau transferul de mărfuri sau bunuri de orice natură, de servicii, drepturi sau interese contra unui anumit preţ, la un anumit moment în viitor;</w:t>
            </w:r>
          </w:p>
          <w:p w14:paraId="44B55428" w14:textId="77777777" w:rsidR="00567279" w:rsidRPr="00154588" w:rsidRDefault="00567279" w:rsidP="008C12B4">
            <w:pPr>
              <w:jc w:val="both"/>
              <w:rPr>
                <w:bCs/>
                <w:sz w:val="20"/>
                <w:szCs w:val="20"/>
              </w:rPr>
            </w:pPr>
          </w:p>
          <w:p w14:paraId="5AF23C99" w14:textId="6E0EB151" w:rsidR="00567279" w:rsidRPr="00154588" w:rsidRDefault="00567279" w:rsidP="008C12B4">
            <w:pPr>
              <w:jc w:val="both"/>
              <w:rPr>
                <w:bCs/>
                <w:sz w:val="20"/>
                <w:szCs w:val="20"/>
              </w:rPr>
            </w:pPr>
            <w:r w:rsidRPr="00154588">
              <w:rPr>
                <w:bCs/>
                <w:sz w:val="20"/>
                <w:szCs w:val="20"/>
              </w:rPr>
              <w:t>d) contracte swap, inclusiv swapuri şi opţiuni pe rata dobînzii; acorduri pe cursul valutar la vedere sau de alt tip pe piaţa valutară; swapuri pe valută, pe indici ai acţiunilor sau pe acţiuni, pe indici ai datoriei sau pe datorii, pe indici ai mărfurilor sau pe mărfuri, condiţii meteorologice; emisii sau inflaţie ori swapuri pe randamentul total, pe marja de credit sau swapuri pe riscul de credit sau orice acord ori tranzacţie similară care face obiectul unor tranzacţionări repetate pe pieţele swapurilor sau ale instrumentelor financiare derivate;</w:t>
            </w:r>
          </w:p>
          <w:p w14:paraId="6F5369CC" w14:textId="77777777" w:rsidR="00567279" w:rsidRPr="00154588" w:rsidRDefault="00567279" w:rsidP="008C12B4">
            <w:pPr>
              <w:jc w:val="both"/>
              <w:rPr>
                <w:bCs/>
                <w:sz w:val="20"/>
                <w:szCs w:val="20"/>
              </w:rPr>
            </w:pPr>
          </w:p>
          <w:p w14:paraId="1A0BA8B4" w14:textId="56C56F80" w:rsidR="00567279" w:rsidRPr="00154588" w:rsidRDefault="00567279" w:rsidP="008C12B4">
            <w:pPr>
              <w:jc w:val="both"/>
              <w:rPr>
                <w:bCs/>
                <w:sz w:val="20"/>
                <w:szCs w:val="20"/>
              </w:rPr>
            </w:pPr>
            <w:r w:rsidRPr="00154588">
              <w:rPr>
                <w:bCs/>
                <w:sz w:val="20"/>
                <w:szCs w:val="20"/>
              </w:rPr>
              <w:t>e) acorduri de împrumut interbancar în cazul cărora împrumutul se acordă pe o perioadă de maximum trei luni;</w:t>
            </w:r>
          </w:p>
          <w:p w14:paraId="50DD59A8" w14:textId="77777777" w:rsidR="00567279" w:rsidRPr="00154588" w:rsidRDefault="00567279" w:rsidP="008C12B4">
            <w:pPr>
              <w:jc w:val="both"/>
              <w:rPr>
                <w:bCs/>
                <w:sz w:val="20"/>
                <w:szCs w:val="20"/>
              </w:rPr>
            </w:pPr>
          </w:p>
          <w:p w14:paraId="4C53C32D" w14:textId="6B30F96A" w:rsidR="00567279" w:rsidRPr="00154588" w:rsidRDefault="00567279" w:rsidP="008C12B4">
            <w:pPr>
              <w:jc w:val="both"/>
              <w:rPr>
                <w:bCs/>
                <w:sz w:val="20"/>
                <w:szCs w:val="20"/>
              </w:rPr>
            </w:pPr>
            <w:r w:rsidRPr="00154588">
              <w:rPr>
                <w:bCs/>
                <w:sz w:val="20"/>
                <w:szCs w:val="20"/>
              </w:rPr>
              <w:t>f) acorduri-cadru referitoare la toate tipurile de contracte sau acorduri prevăzute la lit.a)-e);</w:t>
            </w:r>
          </w:p>
          <w:p w14:paraId="2A070AAB" w14:textId="77777777" w:rsidR="00567279" w:rsidRPr="00154588" w:rsidRDefault="00567279" w:rsidP="008C12B4">
            <w:pPr>
              <w:jc w:val="both"/>
              <w:rPr>
                <w:bCs/>
                <w:sz w:val="20"/>
                <w:szCs w:val="20"/>
              </w:rPr>
            </w:pPr>
          </w:p>
          <w:p w14:paraId="73857FDB" w14:textId="77777777" w:rsidR="008F08EB" w:rsidRPr="00154588" w:rsidRDefault="00567279" w:rsidP="008C12B4">
            <w:pPr>
              <w:jc w:val="both"/>
              <w:rPr>
                <w:bCs/>
                <w:sz w:val="20"/>
                <w:szCs w:val="20"/>
              </w:rPr>
            </w:pPr>
            <w:r w:rsidRPr="00154588">
              <w:rPr>
                <w:bCs/>
                <w:sz w:val="20"/>
                <w:szCs w:val="20"/>
              </w:rPr>
              <w:t>g) alte contracte şi acorduri care pot fi calificate drept financiare;</w:t>
            </w:r>
          </w:p>
          <w:p w14:paraId="2E682394" w14:textId="33156AC8" w:rsidR="00D15C1B" w:rsidRPr="00154588" w:rsidRDefault="00D15C1B" w:rsidP="008C12B4">
            <w:pPr>
              <w:jc w:val="both"/>
              <w:rPr>
                <w:bCs/>
                <w:sz w:val="20"/>
                <w:szCs w:val="20"/>
              </w:rPr>
            </w:pPr>
          </w:p>
        </w:tc>
        <w:tc>
          <w:tcPr>
            <w:tcW w:w="2552" w:type="dxa"/>
          </w:tcPr>
          <w:p w14:paraId="1506FA13" w14:textId="14C8F224" w:rsidR="00D15C1B" w:rsidRPr="00154588" w:rsidRDefault="0094082B" w:rsidP="008C12B4">
            <w:pPr>
              <w:jc w:val="both"/>
              <w:rPr>
                <w:bCs/>
                <w:sz w:val="20"/>
                <w:szCs w:val="20"/>
              </w:rPr>
            </w:pPr>
            <w:r w:rsidRPr="00154588">
              <w:rPr>
                <w:bCs/>
                <w:sz w:val="20"/>
                <w:szCs w:val="20"/>
              </w:rPr>
              <w:lastRenderedPageBreak/>
              <w:t>Compatibil</w:t>
            </w:r>
          </w:p>
        </w:tc>
        <w:tc>
          <w:tcPr>
            <w:tcW w:w="3118" w:type="dxa"/>
          </w:tcPr>
          <w:p w14:paraId="47B46978" w14:textId="77777777" w:rsidR="00D15C1B" w:rsidRPr="00154588" w:rsidRDefault="00D15C1B" w:rsidP="008C12B4">
            <w:pPr>
              <w:jc w:val="both"/>
              <w:rPr>
                <w:bCs/>
                <w:sz w:val="20"/>
                <w:szCs w:val="20"/>
              </w:rPr>
            </w:pPr>
          </w:p>
        </w:tc>
      </w:tr>
      <w:tr w:rsidR="00D15C1B" w:rsidRPr="00154588" w14:paraId="508B3574" w14:textId="77777777" w:rsidTr="00D15C1B">
        <w:trPr>
          <w:jc w:val="center"/>
        </w:trPr>
        <w:tc>
          <w:tcPr>
            <w:tcW w:w="4957" w:type="dxa"/>
            <w:gridSpan w:val="2"/>
          </w:tcPr>
          <w:p w14:paraId="64803994" w14:textId="76F4A154" w:rsidR="00D15C1B" w:rsidRPr="00154588" w:rsidRDefault="00D15C1B" w:rsidP="008C12B4">
            <w:pPr>
              <w:jc w:val="both"/>
              <w:rPr>
                <w:bCs/>
                <w:sz w:val="20"/>
                <w:szCs w:val="20"/>
              </w:rPr>
            </w:pPr>
            <w:r w:rsidRPr="00154588">
              <w:rPr>
                <w:bCs/>
                <w:sz w:val="20"/>
                <w:szCs w:val="20"/>
              </w:rPr>
              <w:t xml:space="preserve">101. „măsură de prevenire a crizelor” înseamnă exercitarea competențelor privind eliminarea directă a deficiențelor sau a obstacolelor din calea posibilității de redresare în temeiul articolului 6 alineatul (6), exercitarea competențelor de </w:t>
            </w:r>
            <w:r w:rsidRPr="00154588">
              <w:rPr>
                <w:bCs/>
                <w:sz w:val="20"/>
                <w:szCs w:val="20"/>
              </w:rPr>
              <w:lastRenderedPageBreak/>
              <w:t>abordare sau de eliminare a obstacolelor din calea posibilității de soluționare în temeiul articolului 17 sau al articolului 18, aplicarea unei măsuri de intervenție timpurie în temeiul articolului 27, numirea unui administrator temporar în temeiul articolului 29 sau exercitarea competențelor de reducere a valorii contabile sau de conversie în temeiul articolului 59;</w:t>
            </w:r>
          </w:p>
        </w:tc>
        <w:tc>
          <w:tcPr>
            <w:tcW w:w="4819" w:type="dxa"/>
          </w:tcPr>
          <w:p w14:paraId="70DAF62F" w14:textId="77777777" w:rsidR="00567279" w:rsidRPr="00154588" w:rsidRDefault="00567279" w:rsidP="008C12B4">
            <w:pPr>
              <w:jc w:val="both"/>
              <w:rPr>
                <w:bCs/>
                <w:sz w:val="20"/>
                <w:szCs w:val="20"/>
              </w:rPr>
            </w:pPr>
            <w:r w:rsidRPr="00154588">
              <w:rPr>
                <w:bCs/>
                <w:sz w:val="20"/>
                <w:szCs w:val="20"/>
              </w:rPr>
              <w:lastRenderedPageBreak/>
              <w:t xml:space="preserve">40) </w:t>
            </w:r>
            <w:r w:rsidRPr="00154588">
              <w:rPr>
                <w:bCs/>
                <w:i/>
                <w:sz w:val="20"/>
                <w:szCs w:val="20"/>
              </w:rPr>
              <w:t>măsură de prevenire a crizelor</w:t>
            </w:r>
            <w:r w:rsidRPr="00154588">
              <w:rPr>
                <w:bCs/>
                <w:sz w:val="20"/>
                <w:szCs w:val="20"/>
              </w:rPr>
              <w:t xml:space="preserve"> – exercitare a competenţelor pentru înlăturarea directă a deficienţelor sau a obstacolelor din calea posibilităţii de redresare conform art.21, exercitare a competenţelor pentru </w:t>
            </w:r>
            <w:r w:rsidRPr="00154588">
              <w:rPr>
                <w:bCs/>
                <w:sz w:val="20"/>
                <w:szCs w:val="20"/>
              </w:rPr>
              <w:lastRenderedPageBreak/>
              <w:t>înlăturarea directă a deficienţelor sau a obstacolelor din calea posibilităţii de soluţionare conform art.35-41, aplicare a măsurilor de intervenţie timpurie, numire a unui administrator temporar sau exercitare a competenţei de reducere a valorii sau de conversie potrivit art.219-230;</w:t>
            </w:r>
          </w:p>
          <w:p w14:paraId="44F9A8D9" w14:textId="77777777" w:rsidR="00D15C1B" w:rsidRPr="00154588" w:rsidRDefault="00D15C1B" w:rsidP="008C12B4">
            <w:pPr>
              <w:jc w:val="both"/>
              <w:rPr>
                <w:bCs/>
                <w:sz w:val="20"/>
                <w:szCs w:val="20"/>
              </w:rPr>
            </w:pPr>
          </w:p>
        </w:tc>
        <w:tc>
          <w:tcPr>
            <w:tcW w:w="2552" w:type="dxa"/>
          </w:tcPr>
          <w:p w14:paraId="0A0CAA5B" w14:textId="7BFE0746" w:rsidR="00D15C1B" w:rsidRPr="00154588" w:rsidRDefault="0094082B" w:rsidP="008C12B4">
            <w:pPr>
              <w:jc w:val="both"/>
              <w:rPr>
                <w:bCs/>
                <w:sz w:val="20"/>
                <w:szCs w:val="20"/>
              </w:rPr>
            </w:pPr>
            <w:r w:rsidRPr="00154588">
              <w:rPr>
                <w:bCs/>
                <w:sz w:val="20"/>
                <w:szCs w:val="20"/>
              </w:rPr>
              <w:lastRenderedPageBreak/>
              <w:t>Compatibil</w:t>
            </w:r>
          </w:p>
        </w:tc>
        <w:tc>
          <w:tcPr>
            <w:tcW w:w="3118" w:type="dxa"/>
          </w:tcPr>
          <w:p w14:paraId="22F0146A" w14:textId="77777777" w:rsidR="00D15C1B" w:rsidRPr="00154588" w:rsidRDefault="00D15C1B" w:rsidP="008C12B4">
            <w:pPr>
              <w:jc w:val="both"/>
              <w:rPr>
                <w:bCs/>
                <w:sz w:val="20"/>
                <w:szCs w:val="20"/>
              </w:rPr>
            </w:pPr>
          </w:p>
        </w:tc>
      </w:tr>
      <w:tr w:rsidR="00D15C1B" w:rsidRPr="00154588" w14:paraId="3B756F81" w14:textId="77777777" w:rsidTr="00D15C1B">
        <w:trPr>
          <w:jc w:val="center"/>
        </w:trPr>
        <w:tc>
          <w:tcPr>
            <w:tcW w:w="4957" w:type="dxa"/>
            <w:gridSpan w:val="2"/>
          </w:tcPr>
          <w:p w14:paraId="078E8347" w14:textId="036E0F5F" w:rsidR="00D15C1B" w:rsidRPr="00154588" w:rsidRDefault="00D15C1B" w:rsidP="008C12B4">
            <w:pPr>
              <w:jc w:val="both"/>
              <w:rPr>
                <w:bCs/>
                <w:sz w:val="20"/>
                <w:szCs w:val="20"/>
              </w:rPr>
            </w:pPr>
            <w:r w:rsidRPr="00154588">
              <w:rPr>
                <w:bCs/>
                <w:sz w:val="20"/>
                <w:szCs w:val="20"/>
              </w:rPr>
              <w:t xml:space="preserve">102. </w:t>
            </w:r>
            <w:r w:rsidRPr="00154588">
              <w:rPr>
                <w:b/>
                <w:sz w:val="20"/>
                <w:szCs w:val="20"/>
              </w:rPr>
              <w:t>„măsură de gestionare a crizelor”</w:t>
            </w:r>
            <w:r w:rsidRPr="00154588">
              <w:rPr>
                <w:bCs/>
                <w:sz w:val="20"/>
                <w:szCs w:val="20"/>
              </w:rPr>
              <w:t xml:space="preserve"> înseamnă o măsură de rezoluție sau numirea unui administrator special în temeiul articolului 35 sau a unei persoane în temeiul articolului 51 alineatul (2) sau al articolului 72 alineatul (1);</w:t>
            </w:r>
          </w:p>
        </w:tc>
        <w:tc>
          <w:tcPr>
            <w:tcW w:w="4819" w:type="dxa"/>
          </w:tcPr>
          <w:p w14:paraId="49CE3CDC" w14:textId="77777777" w:rsidR="00567279" w:rsidRPr="00154588" w:rsidRDefault="00567279" w:rsidP="008C12B4">
            <w:pPr>
              <w:jc w:val="both"/>
              <w:rPr>
                <w:bCs/>
                <w:sz w:val="20"/>
                <w:szCs w:val="20"/>
              </w:rPr>
            </w:pPr>
            <w:r w:rsidRPr="00154588">
              <w:rPr>
                <w:bCs/>
                <w:sz w:val="20"/>
                <w:szCs w:val="20"/>
              </w:rPr>
              <w:t xml:space="preserve">39) </w:t>
            </w:r>
            <w:r w:rsidRPr="00154588">
              <w:rPr>
                <w:bCs/>
                <w:i/>
                <w:sz w:val="20"/>
                <w:szCs w:val="20"/>
              </w:rPr>
              <w:t>măsură de gestionare a crizelor</w:t>
            </w:r>
            <w:r w:rsidRPr="00154588">
              <w:rPr>
                <w:bCs/>
                <w:sz w:val="20"/>
                <w:szCs w:val="20"/>
              </w:rPr>
              <w:t xml:space="preserve"> – acţiune de rezoluţie sau numire a unui administrator special conform art.66 ori a unei persoane conform art.192 sau 259;</w:t>
            </w:r>
          </w:p>
          <w:p w14:paraId="4C59BBC3" w14:textId="77777777" w:rsidR="00D15C1B" w:rsidRPr="00154588" w:rsidRDefault="00D15C1B" w:rsidP="008C12B4">
            <w:pPr>
              <w:jc w:val="both"/>
              <w:rPr>
                <w:bCs/>
                <w:sz w:val="20"/>
                <w:szCs w:val="20"/>
              </w:rPr>
            </w:pPr>
          </w:p>
        </w:tc>
        <w:tc>
          <w:tcPr>
            <w:tcW w:w="2552" w:type="dxa"/>
          </w:tcPr>
          <w:p w14:paraId="71980B13" w14:textId="5B69F69C" w:rsidR="00D15C1B" w:rsidRPr="00154588" w:rsidRDefault="0094082B" w:rsidP="008C12B4">
            <w:pPr>
              <w:jc w:val="both"/>
              <w:rPr>
                <w:bCs/>
                <w:sz w:val="20"/>
                <w:szCs w:val="20"/>
              </w:rPr>
            </w:pPr>
            <w:r w:rsidRPr="00154588">
              <w:rPr>
                <w:bCs/>
                <w:sz w:val="20"/>
                <w:szCs w:val="20"/>
              </w:rPr>
              <w:t>Compatibil</w:t>
            </w:r>
          </w:p>
        </w:tc>
        <w:tc>
          <w:tcPr>
            <w:tcW w:w="3118" w:type="dxa"/>
          </w:tcPr>
          <w:p w14:paraId="70EDBDBA" w14:textId="77777777" w:rsidR="00D15C1B" w:rsidRPr="00154588" w:rsidRDefault="00D15C1B" w:rsidP="008C12B4">
            <w:pPr>
              <w:jc w:val="both"/>
              <w:rPr>
                <w:bCs/>
                <w:sz w:val="20"/>
                <w:szCs w:val="20"/>
              </w:rPr>
            </w:pPr>
          </w:p>
        </w:tc>
      </w:tr>
      <w:tr w:rsidR="00D15C1B" w:rsidRPr="00154588" w14:paraId="36AC4330" w14:textId="77777777" w:rsidTr="00D15C1B">
        <w:trPr>
          <w:jc w:val="center"/>
        </w:trPr>
        <w:tc>
          <w:tcPr>
            <w:tcW w:w="4957" w:type="dxa"/>
            <w:gridSpan w:val="2"/>
          </w:tcPr>
          <w:p w14:paraId="23438E98" w14:textId="793F53C0" w:rsidR="00D15C1B" w:rsidRPr="00154588" w:rsidRDefault="00D15C1B" w:rsidP="008C12B4">
            <w:pPr>
              <w:jc w:val="both"/>
              <w:rPr>
                <w:bCs/>
                <w:sz w:val="20"/>
                <w:szCs w:val="20"/>
              </w:rPr>
            </w:pPr>
            <w:r w:rsidRPr="00154588">
              <w:rPr>
                <w:bCs/>
                <w:sz w:val="20"/>
                <w:szCs w:val="20"/>
              </w:rPr>
              <w:t xml:space="preserve">103. </w:t>
            </w:r>
            <w:r w:rsidRPr="00154588">
              <w:rPr>
                <w:b/>
                <w:sz w:val="20"/>
                <w:szCs w:val="20"/>
              </w:rPr>
              <w:t>„capacitate de redresare”</w:t>
            </w:r>
            <w:r w:rsidRPr="00154588">
              <w:rPr>
                <w:bCs/>
                <w:sz w:val="20"/>
                <w:szCs w:val="20"/>
              </w:rPr>
              <w:t xml:space="preserve"> înseamnă capacitatea unei instituții de a-și restabili poziția financiară în urma unei deteriorări semnificative;</w:t>
            </w:r>
          </w:p>
        </w:tc>
        <w:tc>
          <w:tcPr>
            <w:tcW w:w="4819" w:type="dxa"/>
          </w:tcPr>
          <w:p w14:paraId="3D326C66" w14:textId="29261D79" w:rsidR="00D15C1B" w:rsidRPr="00154588" w:rsidRDefault="00567279" w:rsidP="008C12B4">
            <w:pPr>
              <w:jc w:val="both"/>
              <w:rPr>
                <w:bCs/>
                <w:sz w:val="20"/>
                <w:szCs w:val="20"/>
              </w:rPr>
            </w:pPr>
            <w:r w:rsidRPr="00154588">
              <w:rPr>
                <w:bCs/>
                <w:sz w:val="20"/>
                <w:szCs w:val="20"/>
              </w:rPr>
              <w:t xml:space="preserve">12) </w:t>
            </w:r>
            <w:r w:rsidRPr="00154588">
              <w:rPr>
                <w:bCs/>
                <w:i/>
                <w:sz w:val="20"/>
                <w:szCs w:val="20"/>
              </w:rPr>
              <w:t>capacitate de redresare</w:t>
            </w:r>
            <w:r w:rsidRPr="00154588">
              <w:rPr>
                <w:bCs/>
                <w:sz w:val="20"/>
                <w:szCs w:val="20"/>
              </w:rPr>
              <w:t xml:space="preserve"> – capacitate</w:t>
            </w:r>
            <w:r w:rsidRPr="00154588" w:rsidDel="005F2A0A">
              <w:rPr>
                <w:bCs/>
                <w:sz w:val="20"/>
                <w:szCs w:val="20"/>
              </w:rPr>
              <w:t xml:space="preserve">a </w:t>
            </w:r>
            <w:r w:rsidRPr="00154588">
              <w:rPr>
                <w:bCs/>
                <w:sz w:val="20"/>
                <w:szCs w:val="20"/>
              </w:rPr>
              <w:t>unei instituții de a-şi restabili poziţia financiară după o deteriorare semnificativă a acesteia;</w:t>
            </w:r>
          </w:p>
        </w:tc>
        <w:tc>
          <w:tcPr>
            <w:tcW w:w="2552" w:type="dxa"/>
          </w:tcPr>
          <w:p w14:paraId="783431FC" w14:textId="0B26AFBE" w:rsidR="00D15C1B" w:rsidRPr="00154588" w:rsidRDefault="0094082B" w:rsidP="008C12B4">
            <w:pPr>
              <w:jc w:val="both"/>
              <w:rPr>
                <w:bCs/>
                <w:sz w:val="20"/>
                <w:szCs w:val="20"/>
              </w:rPr>
            </w:pPr>
            <w:r w:rsidRPr="00154588">
              <w:rPr>
                <w:bCs/>
                <w:sz w:val="20"/>
                <w:szCs w:val="20"/>
              </w:rPr>
              <w:t>Compatibil</w:t>
            </w:r>
          </w:p>
        </w:tc>
        <w:tc>
          <w:tcPr>
            <w:tcW w:w="3118" w:type="dxa"/>
          </w:tcPr>
          <w:p w14:paraId="056E9673" w14:textId="77777777" w:rsidR="00D15C1B" w:rsidRPr="00154588" w:rsidRDefault="00D15C1B" w:rsidP="008C12B4">
            <w:pPr>
              <w:jc w:val="both"/>
              <w:rPr>
                <w:bCs/>
                <w:sz w:val="20"/>
                <w:szCs w:val="20"/>
              </w:rPr>
            </w:pPr>
          </w:p>
        </w:tc>
      </w:tr>
      <w:tr w:rsidR="00D15C1B" w:rsidRPr="00154588" w14:paraId="203D53BF" w14:textId="77777777" w:rsidTr="00D15C1B">
        <w:trPr>
          <w:jc w:val="center"/>
        </w:trPr>
        <w:tc>
          <w:tcPr>
            <w:tcW w:w="4957" w:type="dxa"/>
            <w:gridSpan w:val="2"/>
          </w:tcPr>
          <w:p w14:paraId="099A48CE" w14:textId="3A6C2B86" w:rsidR="00D15C1B" w:rsidRPr="00154588" w:rsidRDefault="00D15C1B" w:rsidP="008C12B4">
            <w:pPr>
              <w:jc w:val="both"/>
              <w:rPr>
                <w:bCs/>
                <w:sz w:val="20"/>
                <w:szCs w:val="20"/>
              </w:rPr>
            </w:pPr>
            <w:r w:rsidRPr="00154588">
              <w:rPr>
                <w:bCs/>
                <w:sz w:val="20"/>
                <w:szCs w:val="20"/>
              </w:rPr>
              <w:t xml:space="preserve">104. </w:t>
            </w:r>
            <w:r w:rsidRPr="00154588">
              <w:rPr>
                <w:b/>
                <w:sz w:val="20"/>
                <w:szCs w:val="20"/>
              </w:rPr>
              <w:t>„deponent”</w:t>
            </w:r>
            <w:r w:rsidRPr="00154588">
              <w:rPr>
                <w:bCs/>
                <w:sz w:val="20"/>
                <w:szCs w:val="20"/>
              </w:rPr>
              <w:t xml:space="preserve"> înseamnă un deponent astfel cum este definit la articolul 2 alineatul (1) punctul 6 din Directiva 2014/49/UE;</w:t>
            </w:r>
          </w:p>
        </w:tc>
        <w:tc>
          <w:tcPr>
            <w:tcW w:w="4819" w:type="dxa"/>
          </w:tcPr>
          <w:p w14:paraId="1B0E7ECC" w14:textId="72AB21EF" w:rsidR="00D15C1B" w:rsidRPr="00154588" w:rsidRDefault="00567279" w:rsidP="008C12B4">
            <w:pPr>
              <w:jc w:val="both"/>
              <w:rPr>
                <w:bCs/>
                <w:sz w:val="20"/>
                <w:szCs w:val="20"/>
              </w:rPr>
            </w:pPr>
            <w:r w:rsidRPr="00154588">
              <w:rPr>
                <w:bCs/>
                <w:sz w:val="20"/>
                <w:szCs w:val="20"/>
              </w:rPr>
              <w:t xml:space="preserve">65) </w:t>
            </w:r>
            <w:r w:rsidRPr="00154588">
              <w:rPr>
                <w:bCs/>
                <w:i/>
                <w:sz w:val="20"/>
                <w:szCs w:val="20"/>
              </w:rPr>
              <w:t>deponent</w:t>
            </w:r>
            <w:r w:rsidRPr="00154588">
              <w:rPr>
                <w:bCs/>
                <w:sz w:val="20"/>
                <w:szCs w:val="20"/>
              </w:rPr>
              <w:t xml:space="preserve"> – un titular astfel cum este definit la art.2 din Legea nr.160/2023 cu privire la garantarea depozitelor în bănci;</w:t>
            </w:r>
          </w:p>
        </w:tc>
        <w:tc>
          <w:tcPr>
            <w:tcW w:w="2552" w:type="dxa"/>
          </w:tcPr>
          <w:p w14:paraId="5BADF213" w14:textId="6630C32B" w:rsidR="00D15C1B" w:rsidRPr="00154588" w:rsidRDefault="0094082B" w:rsidP="008C12B4">
            <w:pPr>
              <w:jc w:val="both"/>
              <w:rPr>
                <w:bCs/>
                <w:sz w:val="20"/>
                <w:szCs w:val="20"/>
              </w:rPr>
            </w:pPr>
            <w:r w:rsidRPr="00154588">
              <w:rPr>
                <w:bCs/>
                <w:sz w:val="20"/>
                <w:szCs w:val="20"/>
              </w:rPr>
              <w:t>Compatibil</w:t>
            </w:r>
          </w:p>
        </w:tc>
        <w:tc>
          <w:tcPr>
            <w:tcW w:w="3118" w:type="dxa"/>
          </w:tcPr>
          <w:p w14:paraId="3B2CA270" w14:textId="77777777" w:rsidR="00D15C1B" w:rsidRPr="00154588" w:rsidRDefault="00D15C1B" w:rsidP="008C12B4">
            <w:pPr>
              <w:jc w:val="both"/>
              <w:rPr>
                <w:bCs/>
                <w:sz w:val="20"/>
                <w:szCs w:val="20"/>
              </w:rPr>
            </w:pPr>
          </w:p>
        </w:tc>
      </w:tr>
      <w:tr w:rsidR="00D15C1B" w:rsidRPr="00154588" w14:paraId="492C9E24" w14:textId="77777777" w:rsidTr="00D15C1B">
        <w:trPr>
          <w:jc w:val="center"/>
        </w:trPr>
        <w:tc>
          <w:tcPr>
            <w:tcW w:w="4957" w:type="dxa"/>
            <w:gridSpan w:val="2"/>
          </w:tcPr>
          <w:p w14:paraId="6BC28AB8" w14:textId="143405A5" w:rsidR="00D15C1B" w:rsidRPr="00154588" w:rsidRDefault="00D15C1B" w:rsidP="008C12B4">
            <w:pPr>
              <w:jc w:val="both"/>
              <w:rPr>
                <w:bCs/>
                <w:sz w:val="20"/>
                <w:szCs w:val="20"/>
              </w:rPr>
            </w:pPr>
            <w:r w:rsidRPr="00154588">
              <w:rPr>
                <w:bCs/>
                <w:sz w:val="20"/>
                <w:szCs w:val="20"/>
              </w:rPr>
              <w:t xml:space="preserve">105. </w:t>
            </w:r>
            <w:r w:rsidRPr="00154588">
              <w:rPr>
                <w:b/>
                <w:sz w:val="20"/>
                <w:szCs w:val="20"/>
              </w:rPr>
              <w:t>„investitor”</w:t>
            </w:r>
            <w:r w:rsidRPr="00154588">
              <w:rPr>
                <w:bCs/>
                <w:sz w:val="20"/>
                <w:szCs w:val="20"/>
              </w:rPr>
              <w:t xml:space="preserve"> înseamnă un investitor în sensul articolului 1 punctul 4 din Directiva 97/9/CE a Parlamentului European și a Consiliului ( 7 );</w:t>
            </w:r>
          </w:p>
        </w:tc>
        <w:tc>
          <w:tcPr>
            <w:tcW w:w="4819" w:type="dxa"/>
          </w:tcPr>
          <w:p w14:paraId="2E4475DE" w14:textId="05B85496" w:rsidR="00D15C1B" w:rsidRPr="00154588" w:rsidRDefault="00567279" w:rsidP="008C12B4">
            <w:pPr>
              <w:jc w:val="both"/>
              <w:rPr>
                <w:bCs/>
                <w:sz w:val="20"/>
                <w:szCs w:val="20"/>
              </w:rPr>
            </w:pPr>
            <w:r w:rsidRPr="00154588">
              <w:rPr>
                <w:bCs/>
                <w:sz w:val="20"/>
                <w:szCs w:val="20"/>
              </w:rPr>
              <w:t xml:space="preserve">36) </w:t>
            </w:r>
            <w:r w:rsidRPr="00154588">
              <w:rPr>
                <w:bCs/>
                <w:i/>
                <w:sz w:val="20"/>
                <w:szCs w:val="20"/>
              </w:rPr>
              <w:t>investitor</w:t>
            </w:r>
            <w:r w:rsidRPr="00154588">
              <w:rPr>
                <w:bCs/>
                <w:sz w:val="20"/>
                <w:szCs w:val="20"/>
              </w:rPr>
              <w:t xml:space="preserve"> – orice persoană care a încredințat fonduri băneşti sau instrumente financiare unei firme de investiţii, în scopul prestării de servicii de investiţii financiare;</w:t>
            </w:r>
          </w:p>
        </w:tc>
        <w:tc>
          <w:tcPr>
            <w:tcW w:w="2552" w:type="dxa"/>
          </w:tcPr>
          <w:p w14:paraId="7CE56B09" w14:textId="77BC3CD5" w:rsidR="00D15C1B" w:rsidRPr="00154588" w:rsidRDefault="0094082B" w:rsidP="008C12B4">
            <w:pPr>
              <w:jc w:val="both"/>
              <w:rPr>
                <w:bCs/>
                <w:sz w:val="20"/>
                <w:szCs w:val="20"/>
              </w:rPr>
            </w:pPr>
            <w:r w:rsidRPr="00154588">
              <w:rPr>
                <w:bCs/>
                <w:sz w:val="20"/>
                <w:szCs w:val="20"/>
              </w:rPr>
              <w:t>Compatibil</w:t>
            </w:r>
          </w:p>
        </w:tc>
        <w:tc>
          <w:tcPr>
            <w:tcW w:w="3118" w:type="dxa"/>
          </w:tcPr>
          <w:p w14:paraId="084830C2" w14:textId="77777777" w:rsidR="00D15C1B" w:rsidRPr="00154588" w:rsidRDefault="00D15C1B" w:rsidP="008C12B4">
            <w:pPr>
              <w:jc w:val="both"/>
              <w:rPr>
                <w:bCs/>
                <w:sz w:val="20"/>
                <w:szCs w:val="20"/>
              </w:rPr>
            </w:pPr>
          </w:p>
        </w:tc>
      </w:tr>
      <w:tr w:rsidR="00D15C1B" w:rsidRPr="00154588" w14:paraId="17AD5734" w14:textId="77777777" w:rsidTr="009241A3">
        <w:trPr>
          <w:trHeight w:val="2031"/>
          <w:jc w:val="center"/>
        </w:trPr>
        <w:tc>
          <w:tcPr>
            <w:tcW w:w="4957" w:type="dxa"/>
            <w:gridSpan w:val="2"/>
          </w:tcPr>
          <w:p w14:paraId="4FBB9914" w14:textId="4FA8AAC4" w:rsidR="00D15C1B" w:rsidRPr="00154588" w:rsidRDefault="00D15C1B" w:rsidP="008C12B4">
            <w:pPr>
              <w:jc w:val="both"/>
              <w:rPr>
                <w:bCs/>
                <w:sz w:val="20"/>
                <w:szCs w:val="20"/>
              </w:rPr>
            </w:pPr>
            <w:r w:rsidRPr="00154588">
              <w:rPr>
                <w:bCs/>
                <w:sz w:val="20"/>
                <w:szCs w:val="20"/>
              </w:rPr>
              <w:t xml:space="preserve">106. </w:t>
            </w:r>
            <w:r w:rsidRPr="00154588">
              <w:rPr>
                <w:b/>
                <w:sz w:val="20"/>
                <w:szCs w:val="20"/>
              </w:rPr>
              <w:t>„autoritate națională macroprudențială desemnată”</w:t>
            </w:r>
            <w:r w:rsidRPr="00154588">
              <w:rPr>
                <w:bCs/>
                <w:sz w:val="20"/>
                <w:szCs w:val="20"/>
              </w:rPr>
              <w:t xml:space="preserve"> înseamnă autoritatea însărcinată cu realizarea politicii macroprudențiale, menționată în recomandarea B1 din Recomandarea Comitetului european pentru risc sistemic din 22 decembrie 2011 privind mandatul autorităților naționale pentru chestiuni macroprudențiale (CERS/2011/3);</w:t>
            </w:r>
          </w:p>
        </w:tc>
        <w:tc>
          <w:tcPr>
            <w:tcW w:w="4819" w:type="dxa"/>
          </w:tcPr>
          <w:p w14:paraId="5F919E18" w14:textId="77777777" w:rsidR="008C44C1" w:rsidRPr="00154588" w:rsidRDefault="008C44C1" w:rsidP="008C12B4">
            <w:pPr>
              <w:jc w:val="both"/>
              <w:rPr>
                <w:bCs/>
                <w:sz w:val="20"/>
                <w:szCs w:val="20"/>
              </w:rPr>
            </w:pPr>
            <w:r w:rsidRPr="00154588">
              <w:rPr>
                <w:bCs/>
                <w:sz w:val="20"/>
                <w:szCs w:val="20"/>
              </w:rPr>
              <w:t xml:space="preserve">9) </w:t>
            </w:r>
            <w:r w:rsidRPr="00154588">
              <w:rPr>
                <w:bCs/>
                <w:i/>
                <w:sz w:val="20"/>
                <w:szCs w:val="20"/>
              </w:rPr>
              <w:t>autoritate naţională macroprudenţială desemnată</w:t>
            </w:r>
            <w:r w:rsidRPr="00154588">
              <w:rPr>
                <w:bCs/>
                <w:sz w:val="20"/>
                <w:szCs w:val="20"/>
              </w:rPr>
              <w:t xml:space="preserve"> – autoritate responsabilă de coordonarea realizării politicii macroprudenţiale şi a activităţilor în vederea prevenirii şi remedierii situaţiilor de criză financiară sistemică în conformitate cu Legea nr.209/2018 cu privire la Comitetul Naţional de Stabilitate Financiară;</w:t>
            </w:r>
          </w:p>
          <w:p w14:paraId="0BCA2DAA" w14:textId="77777777" w:rsidR="00D15C1B" w:rsidRPr="00154588" w:rsidRDefault="00D15C1B" w:rsidP="008C12B4">
            <w:pPr>
              <w:jc w:val="both"/>
              <w:rPr>
                <w:bCs/>
                <w:sz w:val="20"/>
                <w:szCs w:val="20"/>
              </w:rPr>
            </w:pPr>
          </w:p>
        </w:tc>
        <w:tc>
          <w:tcPr>
            <w:tcW w:w="2552" w:type="dxa"/>
          </w:tcPr>
          <w:p w14:paraId="3B7E7320" w14:textId="0B76AD05" w:rsidR="00D15C1B" w:rsidRPr="00154588" w:rsidRDefault="0094082B" w:rsidP="008C12B4">
            <w:pPr>
              <w:jc w:val="both"/>
              <w:rPr>
                <w:bCs/>
                <w:sz w:val="20"/>
                <w:szCs w:val="20"/>
              </w:rPr>
            </w:pPr>
            <w:r w:rsidRPr="00154588">
              <w:rPr>
                <w:bCs/>
                <w:sz w:val="20"/>
                <w:szCs w:val="20"/>
              </w:rPr>
              <w:t>Compatibil</w:t>
            </w:r>
          </w:p>
        </w:tc>
        <w:tc>
          <w:tcPr>
            <w:tcW w:w="3118" w:type="dxa"/>
          </w:tcPr>
          <w:p w14:paraId="7D13553C" w14:textId="77777777" w:rsidR="00D15C1B" w:rsidRPr="00154588" w:rsidRDefault="00D15C1B" w:rsidP="008C12B4">
            <w:pPr>
              <w:jc w:val="both"/>
              <w:rPr>
                <w:bCs/>
                <w:sz w:val="20"/>
                <w:szCs w:val="20"/>
              </w:rPr>
            </w:pPr>
          </w:p>
        </w:tc>
      </w:tr>
      <w:tr w:rsidR="00D15C1B" w:rsidRPr="00154588" w14:paraId="6813EEE3" w14:textId="77777777" w:rsidTr="00D15C1B">
        <w:trPr>
          <w:jc w:val="center"/>
        </w:trPr>
        <w:tc>
          <w:tcPr>
            <w:tcW w:w="4957" w:type="dxa"/>
            <w:gridSpan w:val="2"/>
          </w:tcPr>
          <w:p w14:paraId="6FF73310" w14:textId="6293903F" w:rsidR="00D15C1B" w:rsidRPr="00154588" w:rsidRDefault="00D15C1B" w:rsidP="008C12B4">
            <w:pPr>
              <w:jc w:val="both"/>
              <w:rPr>
                <w:bCs/>
                <w:sz w:val="20"/>
                <w:szCs w:val="20"/>
              </w:rPr>
            </w:pPr>
            <w:r w:rsidRPr="00154588">
              <w:rPr>
                <w:bCs/>
                <w:sz w:val="20"/>
                <w:szCs w:val="20"/>
              </w:rPr>
              <w:t xml:space="preserve">107. </w:t>
            </w:r>
            <w:r w:rsidRPr="00154588">
              <w:rPr>
                <w:b/>
                <w:sz w:val="20"/>
                <w:szCs w:val="20"/>
              </w:rPr>
              <w:t>„microîntreprinderi și întreprinderi mici și mijlocii”</w:t>
            </w:r>
            <w:r w:rsidRPr="00154588">
              <w:rPr>
                <w:bCs/>
                <w:sz w:val="20"/>
                <w:szCs w:val="20"/>
              </w:rPr>
              <w:t xml:space="preserve"> înseamnă microîntreprinderi și întreprinderi mici și mijlocii astfel cum sunt definite în funcție de criteriul cifrei anuale de afaceri la articolul 2 alineatul (1) din anexa la Recomandarea Comisiei 2003/361/CE (8);</w:t>
            </w:r>
          </w:p>
        </w:tc>
        <w:tc>
          <w:tcPr>
            <w:tcW w:w="4819" w:type="dxa"/>
          </w:tcPr>
          <w:p w14:paraId="47921ED6" w14:textId="77777777" w:rsidR="009241A3" w:rsidRPr="00154588" w:rsidRDefault="009241A3" w:rsidP="008C12B4">
            <w:pPr>
              <w:jc w:val="both"/>
              <w:rPr>
                <w:sz w:val="20"/>
                <w:szCs w:val="20"/>
              </w:rPr>
            </w:pPr>
            <w:r w:rsidRPr="00154588">
              <w:rPr>
                <w:sz w:val="20"/>
                <w:szCs w:val="20"/>
              </w:rPr>
              <w:t xml:space="preserve">41) </w:t>
            </w:r>
            <w:r w:rsidRPr="00154588">
              <w:rPr>
                <w:i/>
                <w:sz w:val="20"/>
                <w:szCs w:val="20"/>
              </w:rPr>
              <w:t>microîntreprinderi, întreprinderi mici şi mijlocii</w:t>
            </w:r>
            <w:r w:rsidRPr="00154588">
              <w:rPr>
                <w:sz w:val="20"/>
                <w:szCs w:val="20"/>
              </w:rPr>
              <w:t xml:space="preserve"> - întreprinderi </w:t>
            </w:r>
            <w:r w:rsidRPr="00154588">
              <w:rPr>
                <w:sz w:val="20"/>
                <w:szCs w:val="20"/>
                <w:lang w:eastAsia="ro-MD"/>
              </w:rPr>
              <w:t>astfel cum sunt definite,</w:t>
            </w:r>
            <w:r w:rsidRPr="00154588">
              <w:rPr>
                <w:sz w:val="20"/>
                <w:szCs w:val="20"/>
              </w:rPr>
              <w:t xml:space="preserve"> în funcție de criteriul cifrei anuale de afaceri la art.</w:t>
            </w:r>
            <w:r w:rsidRPr="00154588" w:rsidDel="00CF0B1E">
              <w:rPr>
                <w:sz w:val="20"/>
                <w:szCs w:val="20"/>
              </w:rPr>
              <w:t>5</w:t>
            </w:r>
            <w:r w:rsidRPr="00154588">
              <w:rPr>
                <w:sz w:val="20"/>
                <w:szCs w:val="20"/>
              </w:rPr>
              <w:t xml:space="preserve"> din Legea </w:t>
            </w:r>
            <w:r w:rsidRPr="00154588">
              <w:rPr>
                <w:sz w:val="20"/>
                <w:szCs w:val="20"/>
                <w:lang w:eastAsia="ro-MD"/>
              </w:rPr>
              <w:t>nr.179/2016 cu privire la întreprinderile</w:t>
            </w:r>
            <w:r w:rsidRPr="00154588">
              <w:rPr>
                <w:sz w:val="20"/>
                <w:szCs w:val="20"/>
              </w:rPr>
              <w:t xml:space="preserve"> mici şi mijlocii; </w:t>
            </w:r>
          </w:p>
          <w:p w14:paraId="300BBE41" w14:textId="34E3839C" w:rsidR="00D15C1B" w:rsidRPr="00154588" w:rsidRDefault="008C44C1" w:rsidP="008C12B4">
            <w:pPr>
              <w:jc w:val="both"/>
              <w:rPr>
                <w:bCs/>
                <w:sz w:val="20"/>
                <w:szCs w:val="20"/>
              </w:rPr>
            </w:pPr>
            <w:r w:rsidRPr="00154588">
              <w:rPr>
                <w:bCs/>
                <w:sz w:val="20"/>
                <w:szCs w:val="20"/>
              </w:rPr>
              <w:t>;</w:t>
            </w:r>
          </w:p>
        </w:tc>
        <w:tc>
          <w:tcPr>
            <w:tcW w:w="2552" w:type="dxa"/>
          </w:tcPr>
          <w:p w14:paraId="6ECEAFC4" w14:textId="62D8532F" w:rsidR="00D15C1B" w:rsidRPr="00154588" w:rsidRDefault="0094082B" w:rsidP="008C12B4">
            <w:pPr>
              <w:jc w:val="both"/>
              <w:rPr>
                <w:bCs/>
                <w:sz w:val="20"/>
                <w:szCs w:val="20"/>
              </w:rPr>
            </w:pPr>
            <w:r w:rsidRPr="00154588">
              <w:rPr>
                <w:bCs/>
                <w:sz w:val="20"/>
                <w:szCs w:val="20"/>
              </w:rPr>
              <w:t>Compatibil</w:t>
            </w:r>
          </w:p>
        </w:tc>
        <w:tc>
          <w:tcPr>
            <w:tcW w:w="3118" w:type="dxa"/>
          </w:tcPr>
          <w:p w14:paraId="0A39D809" w14:textId="77777777" w:rsidR="00D15C1B" w:rsidRPr="00154588" w:rsidRDefault="00D15C1B" w:rsidP="008C12B4">
            <w:pPr>
              <w:jc w:val="both"/>
              <w:rPr>
                <w:bCs/>
                <w:sz w:val="20"/>
                <w:szCs w:val="20"/>
              </w:rPr>
            </w:pPr>
          </w:p>
        </w:tc>
      </w:tr>
      <w:tr w:rsidR="00D15C1B" w:rsidRPr="00154588" w14:paraId="1922B12E" w14:textId="77777777" w:rsidTr="00D15C1B">
        <w:trPr>
          <w:jc w:val="center"/>
        </w:trPr>
        <w:tc>
          <w:tcPr>
            <w:tcW w:w="4957" w:type="dxa"/>
            <w:gridSpan w:val="2"/>
          </w:tcPr>
          <w:p w14:paraId="5FC05A26" w14:textId="5973C1CA" w:rsidR="00D15C1B" w:rsidRPr="00154588" w:rsidRDefault="00D15C1B" w:rsidP="008C12B4">
            <w:pPr>
              <w:jc w:val="both"/>
              <w:rPr>
                <w:bCs/>
                <w:sz w:val="20"/>
                <w:szCs w:val="20"/>
              </w:rPr>
            </w:pPr>
            <w:r w:rsidRPr="00154588">
              <w:rPr>
                <w:bCs/>
                <w:sz w:val="20"/>
                <w:szCs w:val="20"/>
              </w:rPr>
              <w:t xml:space="preserve">108. </w:t>
            </w:r>
            <w:r w:rsidRPr="00154588">
              <w:rPr>
                <w:b/>
                <w:sz w:val="20"/>
                <w:szCs w:val="20"/>
              </w:rPr>
              <w:t>„piață reglementată”</w:t>
            </w:r>
            <w:r w:rsidRPr="00154588">
              <w:rPr>
                <w:bCs/>
                <w:sz w:val="20"/>
                <w:szCs w:val="20"/>
              </w:rPr>
              <w:t xml:space="preserve"> înseamnă o piață reglementată astfel cum e definită în articolul 4 alineatul (1) punctul 21 din Directiva 2014/65/UE;</w:t>
            </w:r>
          </w:p>
        </w:tc>
        <w:tc>
          <w:tcPr>
            <w:tcW w:w="4819" w:type="dxa"/>
          </w:tcPr>
          <w:p w14:paraId="07BA9797" w14:textId="571489A2" w:rsidR="00D15C1B" w:rsidRPr="00154588" w:rsidRDefault="008C44C1" w:rsidP="008C12B4">
            <w:pPr>
              <w:jc w:val="both"/>
              <w:rPr>
                <w:bCs/>
                <w:sz w:val="20"/>
                <w:szCs w:val="20"/>
              </w:rPr>
            </w:pPr>
            <w:r w:rsidRPr="00154588">
              <w:rPr>
                <w:bCs/>
                <w:sz w:val="20"/>
                <w:szCs w:val="20"/>
              </w:rPr>
              <w:t xml:space="preserve">45) </w:t>
            </w:r>
            <w:r w:rsidRPr="00154588">
              <w:rPr>
                <w:bCs/>
                <w:i/>
                <w:sz w:val="20"/>
                <w:szCs w:val="20"/>
              </w:rPr>
              <w:t>piaţă reglementată</w:t>
            </w:r>
            <w:r w:rsidRPr="00154588">
              <w:rPr>
                <w:bCs/>
                <w:sz w:val="20"/>
                <w:szCs w:val="20"/>
              </w:rPr>
              <w:t xml:space="preserve"> – astfel cum este legea privind pieţele instrumentelor financiare și activitățile de investiții;</w:t>
            </w:r>
          </w:p>
        </w:tc>
        <w:tc>
          <w:tcPr>
            <w:tcW w:w="2552" w:type="dxa"/>
          </w:tcPr>
          <w:p w14:paraId="34090308" w14:textId="450371E7" w:rsidR="00D15C1B" w:rsidRPr="00154588" w:rsidRDefault="0094082B" w:rsidP="008C12B4">
            <w:pPr>
              <w:jc w:val="both"/>
              <w:rPr>
                <w:bCs/>
                <w:sz w:val="20"/>
                <w:szCs w:val="20"/>
              </w:rPr>
            </w:pPr>
            <w:r w:rsidRPr="00154588">
              <w:rPr>
                <w:bCs/>
                <w:sz w:val="20"/>
                <w:szCs w:val="20"/>
              </w:rPr>
              <w:t>Compatibil</w:t>
            </w:r>
          </w:p>
        </w:tc>
        <w:tc>
          <w:tcPr>
            <w:tcW w:w="3118" w:type="dxa"/>
          </w:tcPr>
          <w:p w14:paraId="58C615CF" w14:textId="77777777" w:rsidR="00D15C1B" w:rsidRPr="00154588" w:rsidRDefault="00D15C1B" w:rsidP="008C12B4">
            <w:pPr>
              <w:jc w:val="both"/>
              <w:rPr>
                <w:bCs/>
                <w:sz w:val="20"/>
                <w:szCs w:val="20"/>
              </w:rPr>
            </w:pPr>
          </w:p>
        </w:tc>
      </w:tr>
      <w:tr w:rsidR="00D15C1B" w:rsidRPr="00154588" w14:paraId="20EF9609" w14:textId="77777777" w:rsidTr="00D15C1B">
        <w:trPr>
          <w:jc w:val="center"/>
        </w:trPr>
        <w:tc>
          <w:tcPr>
            <w:tcW w:w="4957" w:type="dxa"/>
            <w:gridSpan w:val="2"/>
          </w:tcPr>
          <w:p w14:paraId="62F3E09D" w14:textId="70135262" w:rsidR="00D15C1B" w:rsidRPr="00154588" w:rsidRDefault="00D15C1B" w:rsidP="008C12B4">
            <w:pPr>
              <w:jc w:val="both"/>
              <w:rPr>
                <w:bCs/>
                <w:sz w:val="20"/>
                <w:szCs w:val="20"/>
              </w:rPr>
            </w:pPr>
            <w:r w:rsidRPr="00154588">
              <w:rPr>
                <w:bCs/>
                <w:sz w:val="20"/>
                <w:szCs w:val="20"/>
              </w:rPr>
              <w:t xml:space="preserve">109. </w:t>
            </w:r>
            <w:r w:rsidRPr="00154588">
              <w:rPr>
                <w:b/>
                <w:sz w:val="20"/>
                <w:szCs w:val="20"/>
              </w:rPr>
              <w:t>„cerința amortizorului combinat”</w:t>
            </w:r>
            <w:r w:rsidRPr="00154588">
              <w:rPr>
                <w:bCs/>
                <w:sz w:val="20"/>
                <w:szCs w:val="20"/>
              </w:rPr>
              <w:t xml:space="preserve"> înseamnă cerința amortizorului combinat astfel cum este definită la articolul 128 punctul 6 din Directiva 2013/36/UE.</w:t>
            </w:r>
          </w:p>
        </w:tc>
        <w:tc>
          <w:tcPr>
            <w:tcW w:w="4819" w:type="dxa"/>
          </w:tcPr>
          <w:p w14:paraId="3F90B43B" w14:textId="2FAB3A70" w:rsidR="00D15C1B" w:rsidRPr="00154588" w:rsidRDefault="008C44C1" w:rsidP="008C12B4">
            <w:pPr>
              <w:jc w:val="both"/>
              <w:rPr>
                <w:bCs/>
                <w:sz w:val="20"/>
                <w:szCs w:val="20"/>
              </w:rPr>
            </w:pPr>
            <w:r w:rsidRPr="00154588">
              <w:rPr>
                <w:bCs/>
                <w:sz w:val="20"/>
                <w:szCs w:val="20"/>
              </w:rPr>
              <w:t xml:space="preserve">53) </w:t>
            </w:r>
            <w:r w:rsidRPr="00154588">
              <w:rPr>
                <w:bCs/>
                <w:i/>
                <w:iCs/>
                <w:sz w:val="20"/>
                <w:szCs w:val="20"/>
              </w:rPr>
              <w:t>cerinţă de amortizor combinat</w:t>
            </w:r>
            <w:r w:rsidRPr="00154588">
              <w:rPr>
                <w:bCs/>
                <w:sz w:val="20"/>
                <w:szCs w:val="20"/>
              </w:rPr>
              <w:t xml:space="preserve"> - totalul fondurilor proprii de nivelul 1 de bază, ce întrunesc cerinţele prevăzute în actele normative ale Băncii Naţionale a Moldovei, emise în aplicarea prevederilor art.63 din Legea nr.202/2017;</w:t>
            </w:r>
          </w:p>
        </w:tc>
        <w:tc>
          <w:tcPr>
            <w:tcW w:w="2552" w:type="dxa"/>
          </w:tcPr>
          <w:p w14:paraId="34556961" w14:textId="30357A45" w:rsidR="00D15C1B" w:rsidRPr="00154588" w:rsidRDefault="0094082B" w:rsidP="008C12B4">
            <w:pPr>
              <w:jc w:val="both"/>
              <w:rPr>
                <w:bCs/>
                <w:sz w:val="20"/>
                <w:szCs w:val="20"/>
              </w:rPr>
            </w:pPr>
            <w:r w:rsidRPr="00154588">
              <w:rPr>
                <w:bCs/>
                <w:sz w:val="20"/>
                <w:szCs w:val="20"/>
              </w:rPr>
              <w:t>Compatibil</w:t>
            </w:r>
          </w:p>
        </w:tc>
        <w:tc>
          <w:tcPr>
            <w:tcW w:w="3118" w:type="dxa"/>
          </w:tcPr>
          <w:p w14:paraId="4BB87126" w14:textId="77777777" w:rsidR="00D15C1B" w:rsidRPr="00154588" w:rsidRDefault="00D15C1B" w:rsidP="008C12B4">
            <w:pPr>
              <w:jc w:val="both"/>
              <w:rPr>
                <w:bCs/>
                <w:sz w:val="20"/>
                <w:szCs w:val="20"/>
              </w:rPr>
            </w:pPr>
          </w:p>
        </w:tc>
      </w:tr>
      <w:tr w:rsidR="0094082B" w:rsidRPr="00154588" w14:paraId="0849565D" w14:textId="77777777" w:rsidTr="00D15C1B">
        <w:trPr>
          <w:jc w:val="center"/>
        </w:trPr>
        <w:tc>
          <w:tcPr>
            <w:tcW w:w="4957" w:type="dxa"/>
            <w:gridSpan w:val="2"/>
          </w:tcPr>
          <w:p w14:paraId="7E3841C1" w14:textId="77777777" w:rsidR="0094082B" w:rsidRPr="00154588" w:rsidRDefault="0094082B" w:rsidP="008C12B4">
            <w:pPr>
              <w:jc w:val="both"/>
              <w:rPr>
                <w:bCs/>
                <w:sz w:val="20"/>
                <w:szCs w:val="20"/>
              </w:rPr>
            </w:pPr>
          </w:p>
        </w:tc>
        <w:tc>
          <w:tcPr>
            <w:tcW w:w="4819" w:type="dxa"/>
          </w:tcPr>
          <w:p w14:paraId="4F3F7B61" w14:textId="41552DF5" w:rsidR="0094082B" w:rsidRPr="00154588" w:rsidRDefault="0094082B" w:rsidP="008C12B4">
            <w:pPr>
              <w:ind w:firstLine="567"/>
              <w:jc w:val="both"/>
              <w:rPr>
                <w:rFonts w:eastAsia="Calibri"/>
                <w:kern w:val="2"/>
                <w:sz w:val="20"/>
                <w:szCs w:val="20"/>
                <w14:ligatures w14:val="standardContextual"/>
              </w:rPr>
            </w:pPr>
            <w:r w:rsidRPr="00154588">
              <w:rPr>
                <w:rFonts w:eastAsia="Calibri"/>
                <w:sz w:val="20"/>
                <w:szCs w:val="20"/>
              </w:rPr>
              <w:t xml:space="preserve">66) </w:t>
            </w:r>
            <w:r w:rsidRPr="00154588">
              <w:rPr>
                <w:rFonts w:eastAsia="Calibri"/>
                <w:i/>
                <w:sz w:val="20"/>
                <w:szCs w:val="20"/>
              </w:rPr>
              <w:t>decizii care au impact fiscal direct</w:t>
            </w:r>
            <w:r w:rsidRPr="00154588">
              <w:rPr>
                <w:rFonts w:eastAsia="Calibri"/>
                <w:sz w:val="20"/>
                <w:szCs w:val="20"/>
              </w:rPr>
              <w:t xml:space="preserve"> - decizii luate de autoritatea de rezoluție, în temeiul prezentei legi, care determină sau pot determina în mod nemijlocit </w:t>
            </w:r>
            <w:r w:rsidRPr="00154588">
              <w:rPr>
                <w:rFonts w:eastAsia="Calibri"/>
                <w:sz w:val="20"/>
                <w:szCs w:val="20"/>
              </w:rPr>
              <w:lastRenderedPageBreak/>
              <w:t>utilizarea fondurilor, așa cum sunt acestea definite în Legea finanțelor publice și responsabilității bugetare-fiscale nr.181/2014, inclusiv prin acordarea de împrumuturi sau garanții de stat;</w:t>
            </w:r>
          </w:p>
        </w:tc>
        <w:tc>
          <w:tcPr>
            <w:tcW w:w="2552" w:type="dxa"/>
          </w:tcPr>
          <w:p w14:paraId="516D123A" w14:textId="77777777" w:rsidR="0094082B" w:rsidRPr="00154588" w:rsidRDefault="0094082B" w:rsidP="008C12B4">
            <w:pPr>
              <w:jc w:val="both"/>
              <w:rPr>
                <w:bCs/>
                <w:sz w:val="20"/>
                <w:szCs w:val="20"/>
              </w:rPr>
            </w:pPr>
          </w:p>
        </w:tc>
        <w:tc>
          <w:tcPr>
            <w:tcW w:w="3118" w:type="dxa"/>
          </w:tcPr>
          <w:p w14:paraId="60611AAD" w14:textId="77777777" w:rsidR="0094082B" w:rsidRPr="00154588" w:rsidRDefault="0094082B" w:rsidP="008C12B4">
            <w:pPr>
              <w:jc w:val="both"/>
              <w:rPr>
                <w:bCs/>
                <w:sz w:val="20"/>
                <w:szCs w:val="20"/>
              </w:rPr>
            </w:pPr>
          </w:p>
        </w:tc>
      </w:tr>
      <w:tr w:rsidR="0094082B" w:rsidRPr="00154588" w14:paraId="1438AB6F" w14:textId="77777777" w:rsidTr="00D15C1B">
        <w:trPr>
          <w:jc w:val="center"/>
        </w:trPr>
        <w:tc>
          <w:tcPr>
            <w:tcW w:w="4957" w:type="dxa"/>
            <w:gridSpan w:val="2"/>
          </w:tcPr>
          <w:p w14:paraId="064DFB1C" w14:textId="77777777" w:rsidR="0094082B" w:rsidRPr="00154588" w:rsidRDefault="0094082B" w:rsidP="008C12B4">
            <w:pPr>
              <w:jc w:val="both"/>
              <w:rPr>
                <w:bCs/>
                <w:sz w:val="20"/>
                <w:szCs w:val="20"/>
              </w:rPr>
            </w:pPr>
          </w:p>
        </w:tc>
        <w:tc>
          <w:tcPr>
            <w:tcW w:w="4819" w:type="dxa"/>
          </w:tcPr>
          <w:p w14:paraId="78A717DE" w14:textId="22271CAF" w:rsidR="0094082B" w:rsidRPr="00154588" w:rsidRDefault="0094082B" w:rsidP="008C12B4">
            <w:pPr>
              <w:ind w:firstLine="567"/>
              <w:jc w:val="both"/>
              <w:rPr>
                <w:rFonts w:eastAsia="Calibri"/>
                <w:kern w:val="2"/>
                <w:sz w:val="20"/>
                <w:szCs w:val="20"/>
                <w14:ligatures w14:val="standardContextual"/>
              </w:rPr>
            </w:pPr>
            <w:r w:rsidRPr="00154588">
              <w:rPr>
                <w:rFonts w:eastAsia="Calibri"/>
                <w:sz w:val="20"/>
                <w:szCs w:val="20"/>
              </w:rPr>
              <w:t xml:space="preserve">67) </w:t>
            </w:r>
            <w:r w:rsidRPr="00154588">
              <w:rPr>
                <w:rFonts w:eastAsia="Calibri"/>
                <w:i/>
                <w:sz w:val="20"/>
                <w:szCs w:val="20"/>
              </w:rPr>
              <w:t>decizii care au implicații sistemice</w:t>
            </w:r>
            <w:r w:rsidRPr="00154588">
              <w:rPr>
                <w:rFonts w:eastAsia="Calibri"/>
                <w:sz w:val="20"/>
                <w:szCs w:val="20"/>
              </w:rPr>
              <w:t xml:space="preserve"> - decizii care ar favoriza materializarea riscului sistemic, manifestat prin perturbarea activităților sistemului financiar cu efecte negative grave pentru piața internă și economia reală;</w:t>
            </w:r>
          </w:p>
        </w:tc>
        <w:tc>
          <w:tcPr>
            <w:tcW w:w="2552" w:type="dxa"/>
          </w:tcPr>
          <w:p w14:paraId="3D4B906A" w14:textId="77777777" w:rsidR="0094082B" w:rsidRPr="00154588" w:rsidRDefault="0094082B" w:rsidP="008C12B4">
            <w:pPr>
              <w:jc w:val="both"/>
              <w:rPr>
                <w:bCs/>
                <w:sz w:val="20"/>
                <w:szCs w:val="20"/>
              </w:rPr>
            </w:pPr>
          </w:p>
        </w:tc>
        <w:tc>
          <w:tcPr>
            <w:tcW w:w="3118" w:type="dxa"/>
          </w:tcPr>
          <w:p w14:paraId="16F01A96" w14:textId="77777777" w:rsidR="0094082B" w:rsidRPr="00154588" w:rsidRDefault="0094082B" w:rsidP="008C12B4">
            <w:pPr>
              <w:jc w:val="both"/>
              <w:rPr>
                <w:bCs/>
                <w:sz w:val="20"/>
                <w:szCs w:val="20"/>
              </w:rPr>
            </w:pPr>
          </w:p>
        </w:tc>
      </w:tr>
      <w:tr w:rsidR="0094082B" w:rsidRPr="00154588" w14:paraId="5AB584D8" w14:textId="77777777" w:rsidTr="00D15C1B">
        <w:trPr>
          <w:jc w:val="center"/>
        </w:trPr>
        <w:tc>
          <w:tcPr>
            <w:tcW w:w="4957" w:type="dxa"/>
            <w:gridSpan w:val="2"/>
          </w:tcPr>
          <w:p w14:paraId="3255BDB5" w14:textId="77777777" w:rsidR="0094082B" w:rsidRPr="00154588" w:rsidRDefault="0094082B" w:rsidP="008C12B4">
            <w:pPr>
              <w:jc w:val="both"/>
              <w:rPr>
                <w:bCs/>
                <w:sz w:val="20"/>
                <w:szCs w:val="20"/>
              </w:rPr>
            </w:pPr>
          </w:p>
        </w:tc>
        <w:tc>
          <w:tcPr>
            <w:tcW w:w="4819" w:type="dxa"/>
          </w:tcPr>
          <w:p w14:paraId="1E5B8992" w14:textId="50399F80" w:rsidR="0094082B" w:rsidRPr="00154588" w:rsidRDefault="0094082B" w:rsidP="008C12B4">
            <w:pPr>
              <w:ind w:firstLine="567"/>
              <w:jc w:val="both"/>
              <w:rPr>
                <w:rFonts w:eastAsia="Calibri"/>
                <w:kern w:val="2"/>
                <w:sz w:val="20"/>
                <w:szCs w:val="20"/>
                <w14:ligatures w14:val="standardContextual"/>
              </w:rPr>
            </w:pPr>
            <w:r w:rsidRPr="00154588">
              <w:rPr>
                <w:rFonts w:eastAsia="Calibri"/>
                <w:sz w:val="20"/>
                <w:szCs w:val="20"/>
              </w:rPr>
              <w:t xml:space="preserve">120) </w:t>
            </w:r>
            <w:r w:rsidRPr="00154588">
              <w:rPr>
                <w:rFonts w:eastAsia="Calibri"/>
                <w:i/>
                <w:sz w:val="20"/>
                <w:szCs w:val="20"/>
              </w:rPr>
              <w:t>vânzător</w:t>
            </w:r>
            <w:r w:rsidRPr="00154588">
              <w:rPr>
                <w:rFonts w:eastAsia="Calibri"/>
                <w:sz w:val="20"/>
                <w:szCs w:val="20"/>
              </w:rPr>
              <w:t xml:space="preserve"> - în aplicarea prevederilor art.167</w:t>
            </w:r>
            <w:r w:rsidRPr="00154588">
              <w:rPr>
                <w:rFonts w:eastAsia="Calibri"/>
                <w:sz w:val="20"/>
                <w:szCs w:val="20"/>
                <w:vertAlign w:val="superscript"/>
              </w:rPr>
              <w:t>1</w:t>
            </w:r>
            <w:r w:rsidRPr="00154588">
              <w:rPr>
                <w:rFonts w:eastAsia="Calibri"/>
                <w:sz w:val="20"/>
                <w:szCs w:val="20"/>
              </w:rPr>
              <w:t xml:space="preserve"> prin vânzător se înțelege o firmă de investiții, o instituție de credit, o societate de administrare a organismelor de plasament colectiv în valori mobiliare (OPCVM) sau un administrator de fonduri de investiții alternative (FIA) care furnizează servicii de investiții sau realizează activități de investiții care conduc la transferul către clienții obișnuiți în sensul art.6 alin.(1) din Legea nr.171/2012 privind piața de capital, al unei datorii eligibile subordonate care îndeplinește condițiile prevăzute în reglementările Băncii Naționale a Moldovei emise în aplicarea prevederilor art.60, 61 și 62 din Legea nr.202/2017;</w:t>
            </w:r>
          </w:p>
        </w:tc>
        <w:tc>
          <w:tcPr>
            <w:tcW w:w="2552" w:type="dxa"/>
          </w:tcPr>
          <w:p w14:paraId="38B95E16" w14:textId="77777777" w:rsidR="0094082B" w:rsidRPr="00154588" w:rsidRDefault="0094082B" w:rsidP="008C12B4">
            <w:pPr>
              <w:jc w:val="both"/>
              <w:rPr>
                <w:bCs/>
                <w:sz w:val="20"/>
                <w:szCs w:val="20"/>
              </w:rPr>
            </w:pPr>
          </w:p>
        </w:tc>
        <w:tc>
          <w:tcPr>
            <w:tcW w:w="3118" w:type="dxa"/>
          </w:tcPr>
          <w:p w14:paraId="3A5B46BD" w14:textId="77777777" w:rsidR="0094082B" w:rsidRPr="00154588" w:rsidRDefault="0094082B" w:rsidP="008C12B4">
            <w:pPr>
              <w:jc w:val="both"/>
              <w:rPr>
                <w:bCs/>
                <w:sz w:val="20"/>
                <w:szCs w:val="20"/>
              </w:rPr>
            </w:pPr>
          </w:p>
        </w:tc>
      </w:tr>
      <w:tr w:rsidR="0094082B" w:rsidRPr="00154588" w14:paraId="5C600283" w14:textId="77777777" w:rsidTr="00D15C1B">
        <w:trPr>
          <w:jc w:val="center"/>
        </w:trPr>
        <w:tc>
          <w:tcPr>
            <w:tcW w:w="4957" w:type="dxa"/>
            <w:gridSpan w:val="2"/>
          </w:tcPr>
          <w:p w14:paraId="34C4BBE9" w14:textId="77777777" w:rsidR="0094082B" w:rsidRPr="00154588" w:rsidRDefault="0094082B" w:rsidP="008C12B4">
            <w:pPr>
              <w:jc w:val="both"/>
              <w:rPr>
                <w:bCs/>
                <w:sz w:val="20"/>
                <w:szCs w:val="20"/>
              </w:rPr>
            </w:pPr>
          </w:p>
        </w:tc>
        <w:tc>
          <w:tcPr>
            <w:tcW w:w="4819" w:type="dxa"/>
          </w:tcPr>
          <w:p w14:paraId="7A69A3D2" w14:textId="6C9DA414" w:rsidR="0094082B" w:rsidRPr="00154588" w:rsidRDefault="0094082B" w:rsidP="008C12B4">
            <w:pPr>
              <w:ind w:firstLine="567"/>
              <w:jc w:val="both"/>
              <w:rPr>
                <w:rFonts w:eastAsia="Calibri"/>
                <w:sz w:val="20"/>
                <w:szCs w:val="20"/>
                <w:lang w:val="pt-BR"/>
              </w:rPr>
            </w:pPr>
            <w:r w:rsidRPr="00154588">
              <w:rPr>
                <w:rFonts w:eastAsia="Calibri"/>
                <w:sz w:val="20"/>
                <w:szCs w:val="20"/>
              </w:rPr>
              <w:t>122)</w:t>
            </w:r>
            <w:r w:rsidRPr="00154588">
              <w:rPr>
                <w:rFonts w:eastAsia="Calibri"/>
                <w:kern w:val="2"/>
                <w:sz w:val="20"/>
                <w:szCs w:val="20"/>
                <w14:ligatures w14:val="standardContextual"/>
              </w:rPr>
              <w:t xml:space="preserve"> </w:t>
            </w:r>
            <w:r w:rsidRPr="00154588">
              <w:rPr>
                <w:rFonts w:eastAsia="Calibri"/>
                <w:i/>
                <w:sz w:val="20"/>
                <w:szCs w:val="20"/>
              </w:rPr>
              <w:t>entitate din sectorul financiar</w:t>
            </w:r>
            <w:r w:rsidRPr="00154588">
              <w:rPr>
                <w:rFonts w:eastAsia="Calibri"/>
                <w:sz w:val="20"/>
                <w:szCs w:val="20"/>
              </w:rPr>
              <w:t xml:space="preserve"> – o entitate din sectorul financiar, astfel cum este definită la art.3 din Legea nr.202/2017</w:t>
            </w:r>
            <w:r w:rsidR="00033B7C" w:rsidRPr="00154588">
              <w:rPr>
                <w:rFonts w:eastAsia="Calibri"/>
                <w:sz w:val="20"/>
                <w:szCs w:val="20"/>
              </w:rPr>
              <w:t>;</w:t>
            </w:r>
          </w:p>
        </w:tc>
        <w:tc>
          <w:tcPr>
            <w:tcW w:w="2552" w:type="dxa"/>
          </w:tcPr>
          <w:p w14:paraId="41BEA8C0" w14:textId="77777777" w:rsidR="0094082B" w:rsidRPr="00154588" w:rsidRDefault="0094082B" w:rsidP="008C12B4">
            <w:pPr>
              <w:jc w:val="both"/>
              <w:rPr>
                <w:bCs/>
                <w:sz w:val="20"/>
                <w:szCs w:val="20"/>
              </w:rPr>
            </w:pPr>
          </w:p>
        </w:tc>
        <w:tc>
          <w:tcPr>
            <w:tcW w:w="3118" w:type="dxa"/>
          </w:tcPr>
          <w:p w14:paraId="4A5C9229" w14:textId="683C66E4" w:rsidR="0094082B" w:rsidRPr="00154588" w:rsidRDefault="0094082B" w:rsidP="008C12B4">
            <w:pPr>
              <w:jc w:val="both"/>
              <w:rPr>
                <w:bCs/>
                <w:sz w:val="20"/>
                <w:szCs w:val="20"/>
              </w:rPr>
            </w:pPr>
          </w:p>
        </w:tc>
      </w:tr>
      <w:tr w:rsidR="00033B7C" w:rsidRPr="00154588" w14:paraId="5D4AEE91" w14:textId="77777777" w:rsidTr="00D15C1B">
        <w:trPr>
          <w:jc w:val="center"/>
        </w:trPr>
        <w:tc>
          <w:tcPr>
            <w:tcW w:w="4957" w:type="dxa"/>
            <w:gridSpan w:val="2"/>
          </w:tcPr>
          <w:p w14:paraId="29DD658D" w14:textId="77777777" w:rsidR="00033B7C" w:rsidRPr="00154588" w:rsidRDefault="00033B7C" w:rsidP="008C12B4">
            <w:pPr>
              <w:jc w:val="both"/>
              <w:rPr>
                <w:bCs/>
                <w:sz w:val="20"/>
                <w:szCs w:val="20"/>
              </w:rPr>
            </w:pPr>
          </w:p>
        </w:tc>
        <w:tc>
          <w:tcPr>
            <w:tcW w:w="4819" w:type="dxa"/>
          </w:tcPr>
          <w:p w14:paraId="2D8DA2B2" w14:textId="7BADE596" w:rsidR="00033B7C" w:rsidRPr="00154588" w:rsidRDefault="00033B7C" w:rsidP="008C12B4">
            <w:pPr>
              <w:ind w:firstLine="567"/>
              <w:jc w:val="both"/>
              <w:rPr>
                <w:rFonts w:eastAsia="Calibri"/>
                <w:sz w:val="20"/>
                <w:szCs w:val="20"/>
              </w:rPr>
            </w:pPr>
            <w:r w:rsidRPr="00154588">
              <w:rPr>
                <w:rFonts w:eastAsia="Calibri"/>
                <w:sz w:val="20"/>
                <w:szCs w:val="20"/>
              </w:rPr>
              <w:t xml:space="preserve">123) </w:t>
            </w:r>
            <w:r w:rsidRPr="00154588">
              <w:rPr>
                <w:rFonts w:eastAsia="Calibri"/>
                <w:i/>
                <w:iCs/>
                <w:sz w:val="20"/>
                <w:szCs w:val="20"/>
              </w:rPr>
              <w:t>stat terț</w:t>
            </w:r>
            <w:r w:rsidRPr="00154588">
              <w:rPr>
                <w:rFonts w:eastAsia="Calibri"/>
                <w:sz w:val="20"/>
                <w:szCs w:val="20"/>
              </w:rPr>
              <w:t xml:space="preserve"> – un stat terț, astfel cum este definit la art.3 din Legea nr.202/2017.</w:t>
            </w:r>
          </w:p>
        </w:tc>
        <w:tc>
          <w:tcPr>
            <w:tcW w:w="2552" w:type="dxa"/>
          </w:tcPr>
          <w:p w14:paraId="2DA763A7" w14:textId="77777777" w:rsidR="00033B7C" w:rsidRPr="00154588" w:rsidRDefault="00033B7C" w:rsidP="008C12B4">
            <w:pPr>
              <w:jc w:val="both"/>
              <w:rPr>
                <w:bCs/>
                <w:sz w:val="20"/>
                <w:szCs w:val="20"/>
              </w:rPr>
            </w:pPr>
          </w:p>
        </w:tc>
        <w:tc>
          <w:tcPr>
            <w:tcW w:w="3118" w:type="dxa"/>
          </w:tcPr>
          <w:p w14:paraId="09A6C11B" w14:textId="77777777" w:rsidR="00033B7C" w:rsidRPr="00154588" w:rsidRDefault="00033B7C" w:rsidP="008C12B4">
            <w:pPr>
              <w:jc w:val="both"/>
              <w:rPr>
                <w:bCs/>
                <w:sz w:val="20"/>
                <w:szCs w:val="20"/>
              </w:rPr>
            </w:pPr>
          </w:p>
        </w:tc>
      </w:tr>
      <w:tr w:rsidR="00D15C1B" w:rsidRPr="00154588" w14:paraId="1C0D6016" w14:textId="77777777" w:rsidTr="00D15C1B">
        <w:trPr>
          <w:jc w:val="center"/>
        </w:trPr>
        <w:tc>
          <w:tcPr>
            <w:tcW w:w="4957" w:type="dxa"/>
            <w:gridSpan w:val="2"/>
          </w:tcPr>
          <w:p w14:paraId="225BA605" w14:textId="5D655B4D" w:rsidR="00D15C1B" w:rsidRPr="00154588" w:rsidRDefault="00D15C1B" w:rsidP="008C12B4">
            <w:pPr>
              <w:jc w:val="both"/>
              <w:rPr>
                <w:bCs/>
                <w:sz w:val="20"/>
                <w:szCs w:val="20"/>
              </w:rPr>
            </w:pPr>
            <w:r w:rsidRPr="00154588">
              <w:rPr>
                <w:bCs/>
                <w:sz w:val="20"/>
                <w:szCs w:val="20"/>
              </w:rPr>
              <w:t>(2) Comisia este împuternicită să adopte acte delegate în conformitate cu articolul 115 pentru a preciza criteriile pentru stabilirea activităților, serviciilor și operațiunilor menționate la punctul 35 din primul paragraf, în ceea ce privește definiția „funcțiilor critice”, precum și criteriile pentru stabilirea liniilor de activitate și a serviciilor asociate menționate la punctul 36 din primul paragraf, în ceea ce privește definiția „liniilor de activitate esențiale”.</w:t>
            </w:r>
          </w:p>
        </w:tc>
        <w:tc>
          <w:tcPr>
            <w:tcW w:w="4819" w:type="dxa"/>
          </w:tcPr>
          <w:p w14:paraId="70C3100A" w14:textId="3EB0D6D3" w:rsidR="00D15C1B" w:rsidRPr="00154588" w:rsidRDefault="00306836" w:rsidP="008C12B4">
            <w:pPr>
              <w:jc w:val="center"/>
              <w:rPr>
                <w:bCs/>
                <w:sz w:val="20"/>
                <w:szCs w:val="20"/>
              </w:rPr>
            </w:pPr>
            <w:r w:rsidRPr="00154588">
              <w:rPr>
                <w:bCs/>
                <w:sz w:val="20"/>
                <w:szCs w:val="20"/>
              </w:rPr>
              <w:t>-</w:t>
            </w:r>
          </w:p>
        </w:tc>
        <w:tc>
          <w:tcPr>
            <w:tcW w:w="2552" w:type="dxa"/>
          </w:tcPr>
          <w:p w14:paraId="0DF5A7F3" w14:textId="7AC73A31" w:rsidR="00D15C1B" w:rsidRPr="00154588" w:rsidRDefault="0038188A" w:rsidP="008C12B4">
            <w:pPr>
              <w:jc w:val="both"/>
              <w:rPr>
                <w:bCs/>
                <w:sz w:val="20"/>
                <w:szCs w:val="20"/>
              </w:rPr>
            </w:pPr>
            <w:r w:rsidRPr="00154588">
              <w:rPr>
                <w:bCs/>
                <w:sz w:val="20"/>
                <w:szCs w:val="20"/>
              </w:rPr>
              <w:t>Prevederi</w:t>
            </w:r>
            <w:r w:rsidR="00306836" w:rsidRPr="00154588">
              <w:rPr>
                <w:bCs/>
                <w:sz w:val="20"/>
                <w:szCs w:val="20"/>
              </w:rPr>
              <w:t xml:space="preserve"> UE neaplicabile</w:t>
            </w:r>
          </w:p>
        </w:tc>
        <w:tc>
          <w:tcPr>
            <w:tcW w:w="3118" w:type="dxa"/>
          </w:tcPr>
          <w:p w14:paraId="2438CDC6" w14:textId="548BA22E" w:rsidR="00D15C1B" w:rsidRPr="00154588" w:rsidRDefault="00D15C1B" w:rsidP="008C12B4">
            <w:pPr>
              <w:jc w:val="both"/>
              <w:rPr>
                <w:bCs/>
                <w:sz w:val="20"/>
                <w:szCs w:val="20"/>
              </w:rPr>
            </w:pPr>
          </w:p>
        </w:tc>
      </w:tr>
      <w:tr w:rsidR="00D15C1B" w:rsidRPr="00154588" w14:paraId="3F548B6A" w14:textId="77777777" w:rsidTr="00D15C1B">
        <w:trPr>
          <w:jc w:val="center"/>
        </w:trPr>
        <w:tc>
          <w:tcPr>
            <w:tcW w:w="4957" w:type="dxa"/>
            <w:gridSpan w:val="2"/>
          </w:tcPr>
          <w:p w14:paraId="0084C415" w14:textId="77777777" w:rsidR="00D15C1B" w:rsidRPr="00154588" w:rsidRDefault="00D15C1B" w:rsidP="008C12B4">
            <w:pPr>
              <w:rPr>
                <w:b/>
                <w:sz w:val="20"/>
                <w:szCs w:val="20"/>
              </w:rPr>
            </w:pPr>
            <w:r w:rsidRPr="00154588">
              <w:rPr>
                <w:b/>
                <w:sz w:val="20"/>
                <w:szCs w:val="20"/>
              </w:rPr>
              <w:t>Articolul 3</w:t>
            </w:r>
          </w:p>
          <w:p w14:paraId="00630FBB" w14:textId="77777777" w:rsidR="00D15C1B" w:rsidRPr="00154588" w:rsidRDefault="00D15C1B" w:rsidP="008C12B4">
            <w:pPr>
              <w:rPr>
                <w:b/>
                <w:sz w:val="20"/>
                <w:szCs w:val="20"/>
              </w:rPr>
            </w:pPr>
          </w:p>
          <w:p w14:paraId="482BECF4" w14:textId="735F31F4" w:rsidR="00D15C1B" w:rsidRPr="00154588" w:rsidRDefault="00D15C1B" w:rsidP="008C12B4">
            <w:pPr>
              <w:rPr>
                <w:bCs/>
                <w:sz w:val="20"/>
                <w:szCs w:val="20"/>
              </w:rPr>
            </w:pPr>
            <w:r w:rsidRPr="00154588">
              <w:rPr>
                <w:b/>
                <w:sz w:val="20"/>
                <w:szCs w:val="20"/>
              </w:rPr>
              <w:t>Desemnarea autorităților responsabile cu rezoluția</w:t>
            </w:r>
          </w:p>
        </w:tc>
        <w:tc>
          <w:tcPr>
            <w:tcW w:w="4819" w:type="dxa"/>
          </w:tcPr>
          <w:p w14:paraId="004D0E6B" w14:textId="0BFB71B3" w:rsidR="00D15C1B" w:rsidRPr="00154588" w:rsidRDefault="00CE1B7A" w:rsidP="008C12B4">
            <w:pPr>
              <w:jc w:val="both"/>
              <w:rPr>
                <w:bCs/>
                <w:sz w:val="20"/>
                <w:szCs w:val="20"/>
              </w:rPr>
            </w:pPr>
            <w:r w:rsidRPr="00154588">
              <w:rPr>
                <w:rFonts w:eastAsia="Calibri"/>
                <w:b/>
                <w:sz w:val="20"/>
                <w:szCs w:val="20"/>
              </w:rPr>
              <w:t>Articolul 3</w:t>
            </w:r>
          </w:p>
        </w:tc>
        <w:tc>
          <w:tcPr>
            <w:tcW w:w="2552" w:type="dxa"/>
          </w:tcPr>
          <w:p w14:paraId="47267616" w14:textId="77777777" w:rsidR="00D15C1B" w:rsidRPr="00154588" w:rsidRDefault="00D15C1B" w:rsidP="008C12B4">
            <w:pPr>
              <w:jc w:val="both"/>
              <w:rPr>
                <w:bCs/>
                <w:sz w:val="20"/>
                <w:szCs w:val="20"/>
              </w:rPr>
            </w:pPr>
          </w:p>
        </w:tc>
        <w:tc>
          <w:tcPr>
            <w:tcW w:w="3118" w:type="dxa"/>
          </w:tcPr>
          <w:p w14:paraId="298D10A5" w14:textId="77777777" w:rsidR="00D15C1B" w:rsidRPr="00154588" w:rsidRDefault="00D15C1B" w:rsidP="008C12B4">
            <w:pPr>
              <w:jc w:val="both"/>
              <w:rPr>
                <w:bCs/>
                <w:sz w:val="20"/>
                <w:szCs w:val="20"/>
              </w:rPr>
            </w:pPr>
          </w:p>
        </w:tc>
      </w:tr>
      <w:tr w:rsidR="00CE1B7A" w:rsidRPr="00154588" w14:paraId="7AE74010" w14:textId="77777777" w:rsidTr="00D15C1B">
        <w:trPr>
          <w:jc w:val="center"/>
        </w:trPr>
        <w:tc>
          <w:tcPr>
            <w:tcW w:w="4957" w:type="dxa"/>
            <w:gridSpan w:val="2"/>
          </w:tcPr>
          <w:p w14:paraId="2975496F" w14:textId="4802DC7F" w:rsidR="00CE1B7A" w:rsidRPr="00154588" w:rsidRDefault="00CE1B7A" w:rsidP="008C12B4">
            <w:pPr>
              <w:jc w:val="both"/>
              <w:rPr>
                <w:bCs/>
                <w:sz w:val="20"/>
                <w:szCs w:val="20"/>
              </w:rPr>
            </w:pPr>
            <w:r w:rsidRPr="00154588">
              <w:rPr>
                <w:bCs/>
                <w:sz w:val="20"/>
                <w:szCs w:val="20"/>
              </w:rPr>
              <w:t>(1)   Fiecare stat membru desemnează una sau, în mod excepțional, mai multe autorități de rezoluție care sunt abilitate să aplice instrumentele de rezoluție și să exercite competențele de rezoluție.</w:t>
            </w:r>
          </w:p>
        </w:tc>
        <w:tc>
          <w:tcPr>
            <w:tcW w:w="4819" w:type="dxa"/>
            <w:vMerge w:val="restart"/>
          </w:tcPr>
          <w:p w14:paraId="57F1BDAD" w14:textId="77777777" w:rsidR="00CE1B7A" w:rsidRPr="00154588" w:rsidRDefault="00CE1B7A" w:rsidP="008C12B4">
            <w:pPr>
              <w:jc w:val="both"/>
              <w:rPr>
                <w:rFonts w:eastAsia="Calibri"/>
                <w:sz w:val="20"/>
                <w:szCs w:val="20"/>
              </w:rPr>
            </w:pPr>
            <w:r w:rsidRPr="00154588">
              <w:rPr>
                <w:rFonts w:eastAsia="Calibri"/>
                <w:b/>
                <w:sz w:val="20"/>
                <w:szCs w:val="20"/>
              </w:rPr>
              <w:t>Articolul 3.</w:t>
            </w:r>
            <w:r w:rsidRPr="00154588">
              <w:rPr>
                <w:rFonts w:eastAsia="Calibri"/>
                <w:sz w:val="20"/>
                <w:szCs w:val="20"/>
              </w:rPr>
              <w:t xml:space="preserve"> – (1) În sensul prezentei legi, Banca Naţională a Moldovei este autoritate de rezoluţie pentru:</w:t>
            </w:r>
          </w:p>
          <w:p w14:paraId="7006759A" w14:textId="77777777" w:rsidR="00CE1B7A" w:rsidRPr="00154588" w:rsidRDefault="00CE1B7A" w:rsidP="008C12B4">
            <w:pPr>
              <w:ind w:firstLine="567"/>
              <w:jc w:val="both"/>
              <w:rPr>
                <w:rFonts w:eastAsia="Calibri"/>
                <w:sz w:val="20"/>
                <w:szCs w:val="20"/>
              </w:rPr>
            </w:pPr>
            <w:r w:rsidRPr="00154588">
              <w:rPr>
                <w:rFonts w:eastAsia="Calibri"/>
                <w:sz w:val="20"/>
                <w:szCs w:val="20"/>
              </w:rPr>
              <w:t>a) instituțiile de credit, persoane juridice din Republica Moldova;</w:t>
            </w:r>
          </w:p>
          <w:p w14:paraId="42DA9A65" w14:textId="77777777" w:rsidR="00CE1B7A" w:rsidRPr="00154588" w:rsidRDefault="00CE1B7A" w:rsidP="008C12B4">
            <w:pPr>
              <w:ind w:firstLine="567"/>
              <w:jc w:val="both"/>
              <w:rPr>
                <w:rFonts w:eastAsia="Calibri"/>
                <w:sz w:val="20"/>
                <w:szCs w:val="20"/>
              </w:rPr>
            </w:pPr>
            <w:r w:rsidRPr="00154588">
              <w:rPr>
                <w:rFonts w:eastAsia="Calibri"/>
                <w:sz w:val="20"/>
                <w:szCs w:val="20"/>
              </w:rPr>
              <w:t>b) sucursalele din Republica Moldova ale instituțiilor de credit din state terțe;</w:t>
            </w:r>
          </w:p>
          <w:p w14:paraId="5761DB7F" w14:textId="77777777" w:rsidR="00CE1B7A" w:rsidRPr="00154588" w:rsidRDefault="00CE1B7A" w:rsidP="008C12B4">
            <w:pPr>
              <w:ind w:firstLine="567"/>
              <w:jc w:val="both"/>
              <w:rPr>
                <w:rFonts w:eastAsia="Calibri"/>
                <w:sz w:val="20"/>
                <w:szCs w:val="20"/>
              </w:rPr>
            </w:pPr>
            <w:r w:rsidRPr="00154588">
              <w:rPr>
                <w:rFonts w:eastAsia="Calibri"/>
                <w:sz w:val="20"/>
                <w:szCs w:val="20"/>
              </w:rPr>
              <w:lastRenderedPageBreak/>
              <w:t>c) entitățile prevăzute la art.1 alin.(1) lit.b), c) sau d), care fac parte dintr-un grup supus supravegherii pe bază consolidată, a cărui societate-mamă este o instituție de credit sau care, în cazul în care societatea-mamă este o societate financiară holding sau o societate financiară holding mixtă, include și o instituție de credit.</w:t>
            </w:r>
          </w:p>
          <w:p w14:paraId="602E89ED" w14:textId="77777777" w:rsidR="00CE1B7A" w:rsidRPr="00154588" w:rsidRDefault="00CE1B7A" w:rsidP="008C12B4">
            <w:pPr>
              <w:ind w:firstLine="567"/>
              <w:jc w:val="both"/>
              <w:rPr>
                <w:rFonts w:eastAsia="Calibri"/>
                <w:sz w:val="20"/>
                <w:szCs w:val="20"/>
              </w:rPr>
            </w:pPr>
            <w:r w:rsidRPr="00154588">
              <w:rPr>
                <w:rFonts w:eastAsia="Calibri"/>
                <w:sz w:val="20"/>
                <w:szCs w:val="20"/>
              </w:rPr>
              <w:t>(1</w:t>
            </w:r>
            <w:r w:rsidRPr="00154588">
              <w:rPr>
                <w:rFonts w:eastAsia="Calibri"/>
                <w:sz w:val="20"/>
                <w:szCs w:val="20"/>
                <w:vertAlign w:val="superscript"/>
              </w:rPr>
              <w:t>1</w:t>
            </w:r>
            <w:r w:rsidRPr="00154588">
              <w:rPr>
                <w:rFonts w:eastAsia="Calibri"/>
                <w:sz w:val="20"/>
                <w:szCs w:val="20"/>
              </w:rPr>
              <w:t>) Comisia Națională a Pieței Financiare este autoritate de rezoluție pentru:</w:t>
            </w:r>
          </w:p>
          <w:p w14:paraId="746E2D6C" w14:textId="77777777" w:rsidR="00CE1B7A" w:rsidRPr="00154588" w:rsidRDefault="00CE1B7A" w:rsidP="008C12B4">
            <w:pPr>
              <w:ind w:firstLine="567"/>
              <w:jc w:val="both"/>
              <w:rPr>
                <w:rFonts w:eastAsia="Calibri"/>
                <w:sz w:val="20"/>
                <w:szCs w:val="20"/>
              </w:rPr>
            </w:pPr>
            <w:r w:rsidRPr="00154588">
              <w:rPr>
                <w:rFonts w:eastAsia="Calibri"/>
                <w:sz w:val="20"/>
                <w:szCs w:val="20"/>
              </w:rPr>
              <w:t>a) firmele de investiții, persoane juridice din Republica Moldova;</w:t>
            </w:r>
          </w:p>
          <w:p w14:paraId="41D190C1" w14:textId="77777777" w:rsidR="00CE1B7A" w:rsidRPr="00154588" w:rsidRDefault="00CE1B7A" w:rsidP="008C12B4">
            <w:pPr>
              <w:ind w:firstLine="567"/>
              <w:jc w:val="both"/>
              <w:rPr>
                <w:rFonts w:eastAsia="Calibri"/>
                <w:sz w:val="20"/>
                <w:szCs w:val="20"/>
              </w:rPr>
            </w:pPr>
            <w:r w:rsidRPr="00154588">
              <w:rPr>
                <w:rFonts w:eastAsia="Calibri"/>
                <w:sz w:val="20"/>
                <w:szCs w:val="20"/>
              </w:rPr>
              <w:t>b) sucursalele din Republica Moldova ale firmelor de investiții din state terțe;</w:t>
            </w:r>
          </w:p>
          <w:p w14:paraId="1FAB1428" w14:textId="77777777" w:rsidR="00CE1B7A" w:rsidRPr="00154588" w:rsidRDefault="00CE1B7A" w:rsidP="008C12B4">
            <w:pPr>
              <w:ind w:firstLine="567"/>
              <w:jc w:val="both"/>
              <w:rPr>
                <w:rFonts w:eastAsia="Calibri"/>
                <w:sz w:val="20"/>
                <w:szCs w:val="20"/>
              </w:rPr>
            </w:pPr>
            <w:r w:rsidRPr="00154588">
              <w:rPr>
                <w:rFonts w:eastAsia="Calibri"/>
                <w:sz w:val="20"/>
                <w:szCs w:val="20"/>
              </w:rPr>
              <w:t xml:space="preserve">c) entitățile prevăzute la art.1 alin.(1) lit.b), c) sau d), care fac parte dintr-un grup supus supravegherii pe bază consolidată, a cărui societate-mamă este o firmă de investiții sau care, în cazul în care societatea-mamă este o societate financiară holding sau o societate financiară holding mixtă, nu include și o instituție de credit. </w:t>
            </w:r>
          </w:p>
          <w:p w14:paraId="2ACB10CE" w14:textId="77777777" w:rsidR="00CE1B7A" w:rsidRPr="00154588" w:rsidRDefault="00CE1B7A" w:rsidP="008C12B4">
            <w:pPr>
              <w:ind w:firstLine="567"/>
              <w:jc w:val="both"/>
              <w:rPr>
                <w:rFonts w:eastAsia="Calibri"/>
                <w:sz w:val="20"/>
                <w:szCs w:val="20"/>
              </w:rPr>
            </w:pPr>
            <w:r w:rsidRPr="00154588">
              <w:rPr>
                <w:rFonts w:eastAsia="Calibri"/>
                <w:sz w:val="20"/>
                <w:szCs w:val="20"/>
              </w:rPr>
              <w:t>(2) Banca Naţională a Moldovei în calitate de autoritate competentă potrivit art.4 alin.(1) din Legea nr.202/2017, precum și în calitate de autoritate de rezoluție potrivit alin. (1) din prezentul articol, realizează următoarele:</w:t>
            </w:r>
          </w:p>
          <w:p w14:paraId="4B50865A" w14:textId="77777777" w:rsidR="00CE1B7A" w:rsidRPr="00154588" w:rsidRDefault="00CE1B7A" w:rsidP="008C12B4">
            <w:pPr>
              <w:ind w:firstLine="567"/>
              <w:jc w:val="both"/>
              <w:rPr>
                <w:rFonts w:eastAsia="Calibri"/>
                <w:sz w:val="20"/>
                <w:szCs w:val="20"/>
              </w:rPr>
            </w:pPr>
            <w:r w:rsidRPr="00154588">
              <w:rPr>
                <w:rFonts w:eastAsia="Calibri"/>
                <w:sz w:val="20"/>
                <w:szCs w:val="20"/>
              </w:rPr>
              <w:t>a) asigură, în cadrul organizării sale interne, independenţa operaţională şi evitarea conflictului de interese între structura care exercită funcţia de rezoluţie potrivit prezentei legi şi structura care exercită funcţia de supraveghere, precum şi între structura care exercită funcţia de rezoluţie şi structurile care exercită alte funcţii conform dispoziţiilor legale;</w:t>
            </w:r>
          </w:p>
          <w:p w14:paraId="6B3F0A87" w14:textId="77777777" w:rsidR="00CE1B7A" w:rsidRPr="00154588" w:rsidRDefault="00CE1B7A" w:rsidP="008C12B4">
            <w:pPr>
              <w:ind w:firstLine="567"/>
              <w:jc w:val="both"/>
              <w:rPr>
                <w:rFonts w:eastAsia="Calibri"/>
                <w:sz w:val="20"/>
                <w:szCs w:val="20"/>
              </w:rPr>
            </w:pPr>
            <w:r w:rsidRPr="00154588">
              <w:rPr>
                <w:rFonts w:eastAsia="Calibri"/>
                <w:sz w:val="20"/>
                <w:szCs w:val="20"/>
              </w:rPr>
              <w:t>b) se asigură că dispune de resursele şi capacitatea operaţională necesare, inclusiv de personal cu experienţă, pentru a aplica acţiunile de rezoluţie şi că este în măsură să îşi exercite competenţele cu rapiditatea şi flexibilitatea necesare în vederea atingerii obiectivelor rezoluţiei;</w:t>
            </w:r>
          </w:p>
          <w:p w14:paraId="6C83C318" w14:textId="77777777" w:rsidR="00CE1B7A" w:rsidRPr="00154588" w:rsidRDefault="00CE1B7A" w:rsidP="008C12B4">
            <w:pPr>
              <w:ind w:firstLine="567"/>
              <w:jc w:val="both"/>
              <w:rPr>
                <w:rFonts w:eastAsia="Calibri"/>
                <w:sz w:val="20"/>
                <w:szCs w:val="20"/>
              </w:rPr>
            </w:pPr>
            <w:r w:rsidRPr="00154588">
              <w:rPr>
                <w:rFonts w:eastAsia="Calibri"/>
                <w:sz w:val="20"/>
                <w:szCs w:val="20"/>
              </w:rPr>
              <w:t>c) stabileşte pentru personalul implicat în exercitarea funcţiei de rezoluţie, în temeiul prezentei legi, linii distincte de raportare şi separare structurală faţă de personalul ce exercită sarcini de supraveghere ori faţă de personalul implicat în exercitarea altor funcţii ale Băncii Naţionale a Moldovei;</w:t>
            </w:r>
          </w:p>
          <w:p w14:paraId="15E058D9" w14:textId="77777777" w:rsidR="00CE1B7A" w:rsidRPr="00154588" w:rsidRDefault="00CE1B7A" w:rsidP="008C12B4">
            <w:pPr>
              <w:ind w:firstLine="567"/>
              <w:jc w:val="both"/>
              <w:rPr>
                <w:rFonts w:eastAsia="Calibri"/>
                <w:sz w:val="20"/>
                <w:szCs w:val="20"/>
              </w:rPr>
            </w:pPr>
            <w:r w:rsidRPr="00154588">
              <w:rPr>
                <w:rFonts w:eastAsia="Calibri"/>
                <w:sz w:val="20"/>
                <w:szCs w:val="20"/>
              </w:rPr>
              <w:t xml:space="preserve">d) adoptă şi publică, pentru scopul prezentului articol, normele interne relevante necesare, inclusiv cele privind secretul profesional şi schimbul de informaţii între </w:t>
            </w:r>
            <w:r w:rsidRPr="00154588">
              <w:rPr>
                <w:rFonts w:eastAsia="Calibri"/>
                <w:sz w:val="20"/>
                <w:szCs w:val="20"/>
              </w:rPr>
              <w:lastRenderedPageBreak/>
              <w:t>structurile responsabile cu diferitele funcţii exercitate potrivit legii;</w:t>
            </w:r>
          </w:p>
          <w:p w14:paraId="5ABD2A50" w14:textId="77777777" w:rsidR="00CE1B7A" w:rsidRPr="00154588" w:rsidRDefault="00CE1B7A" w:rsidP="008C12B4">
            <w:pPr>
              <w:ind w:firstLine="567"/>
              <w:jc w:val="both"/>
              <w:rPr>
                <w:rFonts w:eastAsia="Calibri"/>
                <w:sz w:val="20"/>
                <w:szCs w:val="20"/>
              </w:rPr>
            </w:pPr>
            <w:r w:rsidRPr="00154588">
              <w:rPr>
                <w:rFonts w:eastAsia="Calibri"/>
                <w:sz w:val="20"/>
                <w:szCs w:val="20"/>
              </w:rPr>
              <w:t>e) stabileşte proceduri pentru ca structurile şi persoanele care exercită, în numele Băncii Naţionale a Moldovei, funcţia de supraveghere şi, respectiv, pe cea de rezoluţie să coopereze îndeaproape la pregătirea, planificarea şi aplicarea deciziilor de rezoluţie.</w:t>
            </w:r>
          </w:p>
          <w:p w14:paraId="260D22B8" w14:textId="0F8715DE" w:rsidR="00CE1B7A" w:rsidRPr="00154588" w:rsidRDefault="00CE1B7A" w:rsidP="008C12B4">
            <w:pPr>
              <w:ind w:firstLine="567"/>
              <w:jc w:val="both"/>
              <w:rPr>
                <w:rFonts w:eastAsia="Calibri"/>
                <w:sz w:val="20"/>
                <w:szCs w:val="20"/>
              </w:rPr>
            </w:pPr>
            <w:r w:rsidRPr="00154588">
              <w:rPr>
                <w:rFonts w:eastAsia="Calibri"/>
                <w:sz w:val="20"/>
                <w:szCs w:val="20"/>
              </w:rPr>
              <w:t>(2</w:t>
            </w:r>
            <w:r w:rsidRPr="00154588">
              <w:rPr>
                <w:rFonts w:eastAsia="Calibri"/>
                <w:sz w:val="20"/>
                <w:szCs w:val="20"/>
                <w:vertAlign w:val="superscript"/>
              </w:rPr>
              <w:t>1</w:t>
            </w:r>
            <w:r w:rsidRPr="00154588">
              <w:rPr>
                <w:rFonts w:eastAsia="Calibri"/>
                <w:sz w:val="20"/>
                <w:szCs w:val="20"/>
              </w:rPr>
              <w:t>) Comisia Națională a Pieței Financiare, în calitate de autoritate competentă potrivit art.4  alin.(1</w:t>
            </w:r>
            <w:r w:rsidRPr="00154588">
              <w:rPr>
                <w:rFonts w:eastAsia="Calibri"/>
                <w:sz w:val="20"/>
                <w:szCs w:val="20"/>
                <w:vertAlign w:val="superscript"/>
              </w:rPr>
              <w:t>1</w:t>
            </w:r>
            <w:r w:rsidRPr="00154588">
              <w:rPr>
                <w:rFonts w:eastAsia="Calibri"/>
                <w:sz w:val="20"/>
                <w:szCs w:val="20"/>
              </w:rPr>
              <w:t>) din Legea nr.202/2017 și legislației privind piețele de instrumente financiare, precum și în calitate de autoritate de rezoluție potrivit alin.(1</w:t>
            </w:r>
            <w:r w:rsidRPr="00154588">
              <w:rPr>
                <w:rFonts w:eastAsia="Calibri"/>
                <w:sz w:val="20"/>
                <w:szCs w:val="20"/>
                <w:vertAlign w:val="superscript"/>
              </w:rPr>
              <w:t>1</w:t>
            </w:r>
            <w:r w:rsidRPr="00154588">
              <w:rPr>
                <w:rFonts w:eastAsia="Calibri"/>
                <w:sz w:val="20"/>
                <w:szCs w:val="20"/>
              </w:rPr>
              <w:t>) realizează următoarele:</w:t>
            </w:r>
          </w:p>
          <w:p w14:paraId="60F9B6A5" w14:textId="77777777" w:rsidR="00CE1B7A" w:rsidRPr="00154588" w:rsidRDefault="00CE1B7A" w:rsidP="008C12B4">
            <w:pPr>
              <w:ind w:firstLine="567"/>
              <w:jc w:val="both"/>
              <w:rPr>
                <w:rFonts w:eastAsia="Calibri"/>
                <w:sz w:val="20"/>
                <w:szCs w:val="20"/>
              </w:rPr>
            </w:pPr>
            <w:r w:rsidRPr="00154588">
              <w:rPr>
                <w:rFonts w:eastAsia="Calibri"/>
                <w:sz w:val="20"/>
                <w:szCs w:val="20"/>
              </w:rPr>
              <w:t>a) asigură, în cadrul organizării sale interne, independența operațională şi evitarea conflictului de interese între structura care exercită funcția de rezoluție potrivit prezentei legi şi structura care exercită funcția de supraveghere, conform prezentei legi, precum şi între structura care exercită funcția de rezoluție și structurile care exercită alte funcții conform statutului sau altor dispoziții legale;</w:t>
            </w:r>
          </w:p>
          <w:p w14:paraId="66E0D4EB" w14:textId="77777777" w:rsidR="00CE1B7A" w:rsidRPr="00154588" w:rsidRDefault="00CE1B7A" w:rsidP="008C12B4">
            <w:pPr>
              <w:ind w:firstLine="567"/>
              <w:jc w:val="both"/>
              <w:rPr>
                <w:rFonts w:eastAsia="Calibri"/>
                <w:sz w:val="20"/>
                <w:szCs w:val="20"/>
              </w:rPr>
            </w:pPr>
            <w:r w:rsidRPr="00154588">
              <w:rPr>
                <w:rFonts w:eastAsia="Calibri"/>
                <w:sz w:val="20"/>
                <w:szCs w:val="20"/>
              </w:rPr>
              <w:t>b) se asigură că dispune de resursele și capacitatea operațională necesare, inclusiv de personal cu experiență, pentru a aplica acțiunile de rezoluție și că este în măsură să își exercite competențele cu rapiditatea și flexibilitatea necesare în vederea atingerii obiectivelor rezoluției;</w:t>
            </w:r>
          </w:p>
          <w:p w14:paraId="5A553AAC" w14:textId="77777777" w:rsidR="00CE1B7A" w:rsidRPr="00154588" w:rsidRDefault="00CE1B7A" w:rsidP="008C12B4">
            <w:pPr>
              <w:ind w:firstLine="567"/>
              <w:jc w:val="both"/>
              <w:rPr>
                <w:rFonts w:eastAsia="Calibri"/>
                <w:sz w:val="20"/>
                <w:szCs w:val="20"/>
              </w:rPr>
            </w:pPr>
            <w:r w:rsidRPr="00154588">
              <w:rPr>
                <w:rFonts w:eastAsia="Calibri"/>
                <w:sz w:val="20"/>
                <w:szCs w:val="20"/>
              </w:rPr>
              <w:t>c) stabilește pentru personalul implicat în exercitarea funcției de rezoluție în temeiul prezentei legi, linii distincte de raportare și separare structurală față de personalul ce exercită sarcini de supraveghere ori față de personalul implicat în exercitarea altor funcții ale Comisiei Naționale a Pieței Financiare;</w:t>
            </w:r>
          </w:p>
          <w:p w14:paraId="12B8C9A1" w14:textId="77777777" w:rsidR="00CE1B7A" w:rsidRPr="00154588" w:rsidRDefault="00CE1B7A" w:rsidP="008C12B4">
            <w:pPr>
              <w:ind w:firstLine="567"/>
              <w:jc w:val="both"/>
              <w:rPr>
                <w:rFonts w:eastAsia="Calibri"/>
                <w:sz w:val="20"/>
                <w:szCs w:val="20"/>
              </w:rPr>
            </w:pPr>
            <w:r w:rsidRPr="00154588">
              <w:rPr>
                <w:rFonts w:eastAsia="Calibri"/>
                <w:sz w:val="20"/>
                <w:szCs w:val="20"/>
              </w:rPr>
              <w:t>d) adoptă şi publică, pentru scopul prezentului articol, normele interne relevante necesare, inclusiv cele privind secretul profesional și schimbul de informații între structurile responsabile cu diferitele funcții exercitate potrivit legii;</w:t>
            </w:r>
          </w:p>
          <w:p w14:paraId="6FCD9E32" w14:textId="561BE39A" w:rsidR="00CE1B7A" w:rsidRPr="00154588" w:rsidRDefault="00CE1B7A" w:rsidP="008C12B4">
            <w:pPr>
              <w:jc w:val="both"/>
              <w:rPr>
                <w:bCs/>
                <w:sz w:val="20"/>
                <w:szCs w:val="20"/>
              </w:rPr>
            </w:pPr>
            <w:r w:rsidRPr="00154588">
              <w:rPr>
                <w:rFonts w:eastAsia="Calibri"/>
                <w:sz w:val="20"/>
                <w:szCs w:val="20"/>
              </w:rPr>
              <w:t>e) stabilește proceduri pentru ca structurile și persoanele care exercită, în numele Comisiei Naționale a Pieței Financiare, funcția de supraveghere şi, respectiv, pe cea de rezoluție să coopereze îndeaproape la pregătirea, planificarea şi aplicarea deciziilor de rezoluție. </w:t>
            </w:r>
          </w:p>
        </w:tc>
        <w:tc>
          <w:tcPr>
            <w:tcW w:w="2552" w:type="dxa"/>
          </w:tcPr>
          <w:p w14:paraId="1F297F8B" w14:textId="77777777" w:rsidR="00CE1B7A" w:rsidRPr="00154588" w:rsidRDefault="00CE1B7A" w:rsidP="008C12B4">
            <w:pPr>
              <w:jc w:val="both"/>
              <w:rPr>
                <w:bCs/>
                <w:sz w:val="20"/>
                <w:szCs w:val="20"/>
              </w:rPr>
            </w:pPr>
            <w:r w:rsidRPr="00154588">
              <w:rPr>
                <w:bCs/>
                <w:sz w:val="20"/>
                <w:szCs w:val="20"/>
              </w:rPr>
              <w:lastRenderedPageBreak/>
              <w:t>Compatibil</w:t>
            </w:r>
          </w:p>
          <w:p w14:paraId="71A8BABA" w14:textId="77777777" w:rsidR="00CE1B7A" w:rsidRPr="00154588" w:rsidRDefault="00CE1B7A" w:rsidP="008C12B4">
            <w:pPr>
              <w:jc w:val="both"/>
              <w:rPr>
                <w:bCs/>
                <w:sz w:val="20"/>
                <w:szCs w:val="20"/>
              </w:rPr>
            </w:pPr>
          </w:p>
        </w:tc>
        <w:tc>
          <w:tcPr>
            <w:tcW w:w="3118" w:type="dxa"/>
          </w:tcPr>
          <w:p w14:paraId="711064CF" w14:textId="77777777" w:rsidR="00CE1B7A" w:rsidRPr="00154588" w:rsidRDefault="00CE1B7A" w:rsidP="008C12B4">
            <w:pPr>
              <w:jc w:val="both"/>
              <w:rPr>
                <w:bCs/>
                <w:sz w:val="20"/>
                <w:szCs w:val="20"/>
              </w:rPr>
            </w:pPr>
          </w:p>
        </w:tc>
      </w:tr>
      <w:tr w:rsidR="00CE1B7A" w:rsidRPr="00154588" w14:paraId="487BC00B" w14:textId="77777777" w:rsidTr="00D15C1B">
        <w:trPr>
          <w:jc w:val="center"/>
        </w:trPr>
        <w:tc>
          <w:tcPr>
            <w:tcW w:w="4957" w:type="dxa"/>
            <w:gridSpan w:val="2"/>
          </w:tcPr>
          <w:p w14:paraId="1491A50B" w14:textId="2DA1845A" w:rsidR="00CE1B7A" w:rsidRPr="00154588" w:rsidRDefault="00CE1B7A" w:rsidP="008C12B4">
            <w:pPr>
              <w:jc w:val="both"/>
              <w:rPr>
                <w:bCs/>
                <w:sz w:val="20"/>
                <w:szCs w:val="20"/>
              </w:rPr>
            </w:pPr>
            <w:r w:rsidRPr="00154588">
              <w:rPr>
                <w:bCs/>
                <w:sz w:val="20"/>
                <w:szCs w:val="20"/>
              </w:rPr>
              <w:t>(2)   Autoritatea de rezoluție este o autoritate publică administrativă sau autorități învestite cu competențe administrative publice.</w:t>
            </w:r>
          </w:p>
        </w:tc>
        <w:tc>
          <w:tcPr>
            <w:tcW w:w="4819" w:type="dxa"/>
            <w:vMerge/>
          </w:tcPr>
          <w:p w14:paraId="5B2F392D" w14:textId="77777777" w:rsidR="00CE1B7A" w:rsidRPr="00154588" w:rsidRDefault="00CE1B7A" w:rsidP="008C12B4">
            <w:pPr>
              <w:jc w:val="both"/>
              <w:rPr>
                <w:bCs/>
                <w:sz w:val="20"/>
                <w:szCs w:val="20"/>
              </w:rPr>
            </w:pPr>
          </w:p>
        </w:tc>
        <w:tc>
          <w:tcPr>
            <w:tcW w:w="2552" w:type="dxa"/>
          </w:tcPr>
          <w:p w14:paraId="3C711728" w14:textId="77777777" w:rsidR="00CE1B7A" w:rsidRPr="00154588" w:rsidRDefault="00CE1B7A" w:rsidP="008C12B4">
            <w:pPr>
              <w:jc w:val="both"/>
              <w:rPr>
                <w:bCs/>
                <w:sz w:val="20"/>
                <w:szCs w:val="20"/>
              </w:rPr>
            </w:pPr>
            <w:r w:rsidRPr="00154588">
              <w:rPr>
                <w:bCs/>
                <w:sz w:val="20"/>
                <w:szCs w:val="20"/>
              </w:rPr>
              <w:t>Compatibil</w:t>
            </w:r>
          </w:p>
          <w:p w14:paraId="57F62492" w14:textId="77777777" w:rsidR="00CE1B7A" w:rsidRPr="00154588" w:rsidRDefault="00CE1B7A" w:rsidP="008C12B4">
            <w:pPr>
              <w:jc w:val="both"/>
              <w:rPr>
                <w:bCs/>
                <w:sz w:val="20"/>
                <w:szCs w:val="20"/>
              </w:rPr>
            </w:pPr>
          </w:p>
        </w:tc>
        <w:tc>
          <w:tcPr>
            <w:tcW w:w="3118" w:type="dxa"/>
          </w:tcPr>
          <w:p w14:paraId="18E5DFAA" w14:textId="77777777" w:rsidR="00CE1B7A" w:rsidRPr="00154588" w:rsidRDefault="00CE1B7A" w:rsidP="008C12B4">
            <w:pPr>
              <w:jc w:val="both"/>
              <w:rPr>
                <w:bCs/>
                <w:sz w:val="20"/>
                <w:szCs w:val="20"/>
              </w:rPr>
            </w:pPr>
          </w:p>
        </w:tc>
      </w:tr>
      <w:tr w:rsidR="00CE1B7A" w:rsidRPr="00154588" w14:paraId="2FCD7972" w14:textId="77777777" w:rsidTr="00D15C1B">
        <w:trPr>
          <w:jc w:val="center"/>
        </w:trPr>
        <w:tc>
          <w:tcPr>
            <w:tcW w:w="4957" w:type="dxa"/>
            <w:gridSpan w:val="2"/>
          </w:tcPr>
          <w:p w14:paraId="000AED27" w14:textId="77777777" w:rsidR="00CE1B7A" w:rsidRPr="00154588" w:rsidRDefault="00CE1B7A" w:rsidP="008C12B4">
            <w:pPr>
              <w:jc w:val="both"/>
              <w:rPr>
                <w:bCs/>
                <w:sz w:val="20"/>
                <w:szCs w:val="20"/>
              </w:rPr>
            </w:pPr>
            <w:r w:rsidRPr="00154588">
              <w:rPr>
                <w:bCs/>
                <w:sz w:val="20"/>
                <w:szCs w:val="20"/>
              </w:rPr>
              <w:lastRenderedPageBreak/>
              <w:t>(3)   Autoritățile de rezoluție pot fi băncile centrale, ministerele competente sau alte autorități publice administrative sau alte autorități învestite cu competențe administrative publice. Statele membre pot prevedea, în mod excepțional, ca autoritatea de rezoluție să fie autoritățile competente pentru supraveghere în sensul Regulamentului (UE) nr. 575/2013 și Directiva 2013/36/UE. Se instituie mecanisme structurale corespunzătoare pentru a se asigura independența operațională și pentru a evita conflictele de interese între funcțiile de supraveghere prevăzute în Regulamentul (UE) nr. 575/2013 și Directiva 2013/36/UE sau alte funcții ale autorității relevante și funcțiile autorităților de rezoluție prevăzute în prezenta directivă, fără a aduce atingere schimburilor de informații și cerințelor de cooperare prevăzute la alineatul (4). Mai exact, statele membre se asigură că, în cadrul autorităților competente, al băncilor centrale naționale, al ministerelor competente sau al altor autorități, există independență operațională între funcția de rezoluție și funcțiile de supraveghere sau de altă natură ale autorității relevante.</w:t>
            </w:r>
          </w:p>
          <w:p w14:paraId="1C311537" w14:textId="77777777" w:rsidR="00CE1B7A" w:rsidRPr="00154588" w:rsidRDefault="00CE1B7A" w:rsidP="008C12B4">
            <w:pPr>
              <w:jc w:val="both"/>
              <w:rPr>
                <w:bCs/>
                <w:sz w:val="20"/>
                <w:szCs w:val="20"/>
              </w:rPr>
            </w:pPr>
          </w:p>
          <w:p w14:paraId="37C4D10D" w14:textId="77777777" w:rsidR="00CE1B7A" w:rsidRPr="00154588" w:rsidRDefault="00CE1B7A" w:rsidP="008C12B4">
            <w:pPr>
              <w:jc w:val="both"/>
              <w:rPr>
                <w:bCs/>
                <w:sz w:val="20"/>
                <w:szCs w:val="20"/>
              </w:rPr>
            </w:pPr>
          </w:p>
          <w:p w14:paraId="3B42D970" w14:textId="77777777" w:rsidR="00CE1B7A" w:rsidRPr="00154588" w:rsidRDefault="00CE1B7A" w:rsidP="008C12B4">
            <w:pPr>
              <w:jc w:val="both"/>
              <w:rPr>
                <w:bCs/>
                <w:sz w:val="20"/>
                <w:szCs w:val="20"/>
              </w:rPr>
            </w:pPr>
            <w:r w:rsidRPr="00154588">
              <w:rPr>
                <w:bCs/>
                <w:sz w:val="20"/>
                <w:szCs w:val="20"/>
              </w:rPr>
              <w:t>Personalul implicat în exercitarea funcțiilor autorității de rezoluție în temeiul prezentei directive este supus unor linii distincte de subordonare și este separat structural față de personalul ce exercită sarcini în temeiul Regulamentului (UE) nr. 575/2013 și al Directivei 2013/36/UE sau față de alte funcții ale autorității relevante.</w:t>
            </w:r>
          </w:p>
          <w:p w14:paraId="0E9C7FFF" w14:textId="77777777" w:rsidR="00CE1B7A" w:rsidRPr="00154588" w:rsidRDefault="00CE1B7A" w:rsidP="008C12B4">
            <w:pPr>
              <w:jc w:val="both"/>
              <w:rPr>
                <w:bCs/>
                <w:sz w:val="20"/>
                <w:szCs w:val="20"/>
              </w:rPr>
            </w:pPr>
          </w:p>
          <w:p w14:paraId="2885BC26" w14:textId="77777777" w:rsidR="00CE1B7A" w:rsidRPr="00154588" w:rsidRDefault="00CE1B7A" w:rsidP="008C12B4">
            <w:pPr>
              <w:jc w:val="both"/>
              <w:rPr>
                <w:bCs/>
                <w:sz w:val="20"/>
                <w:szCs w:val="20"/>
              </w:rPr>
            </w:pPr>
          </w:p>
          <w:p w14:paraId="020E8998" w14:textId="77777777" w:rsidR="00CE1B7A" w:rsidRPr="00154588" w:rsidRDefault="00CE1B7A" w:rsidP="008C12B4">
            <w:pPr>
              <w:jc w:val="both"/>
              <w:rPr>
                <w:bCs/>
                <w:sz w:val="20"/>
                <w:szCs w:val="20"/>
              </w:rPr>
            </w:pPr>
          </w:p>
          <w:p w14:paraId="4E833B6A" w14:textId="24E7191A" w:rsidR="00CE1B7A" w:rsidRPr="00154588" w:rsidRDefault="00CE1B7A" w:rsidP="008C12B4">
            <w:pPr>
              <w:jc w:val="both"/>
              <w:rPr>
                <w:bCs/>
                <w:sz w:val="20"/>
                <w:szCs w:val="20"/>
              </w:rPr>
            </w:pPr>
            <w:r w:rsidRPr="00154588">
              <w:rPr>
                <w:bCs/>
                <w:sz w:val="20"/>
                <w:szCs w:val="20"/>
              </w:rPr>
              <w:t>În sensul prezentului alineat, statul membru sau autoritatea de rezoluție adoptă și publică orice reguli interne necesare, inclusiv dispoziții privind secretul profesional și schimburile de informații între diferitele domenii de răspundere.</w:t>
            </w:r>
          </w:p>
        </w:tc>
        <w:tc>
          <w:tcPr>
            <w:tcW w:w="4819" w:type="dxa"/>
            <w:vMerge/>
          </w:tcPr>
          <w:p w14:paraId="45724259" w14:textId="77777777" w:rsidR="00CE1B7A" w:rsidRPr="00154588" w:rsidRDefault="00CE1B7A" w:rsidP="008C12B4">
            <w:pPr>
              <w:jc w:val="both"/>
              <w:rPr>
                <w:bCs/>
                <w:sz w:val="20"/>
                <w:szCs w:val="20"/>
              </w:rPr>
            </w:pPr>
          </w:p>
        </w:tc>
        <w:tc>
          <w:tcPr>
            <w:tcW w:w="2552" w:type="dxa"/>
          </w:tcPr>
          <w:p w14:paraId="76D8E3A3" w14:textId="77777777" w:rsidR="00CE1B7A" w:rsidRPr="00154588" w:rsidRDefault="00CE1B7A" w:rsidP="008C12B4">
            <w:pPr>
              <w:jc w:val="both"/>
              <w:rPr>
                <w:bCs/>
                <w:sz w:val="20"/>
                <w:szCs w:val="20"/>
              </w:rPr>
            </w:pPr>
          </w:p>
        </w:tc>
        <w:tc>
          <w:tcPr>
            <w:tcW w:w="3118" w:type="dxa"/>
          </w:tcPr>
          <w:p w14:paraId="79A1CAA3" w14:textId="77777777" w:rsidR="00CE1B7A" w:rsidRPr="00154588" w:rsidRDefault="00CE1B7A" w:rsidP="008C12B4">
            <w:pPr>
              <w:jc w:val="both"/>
              <w:rPr>
                <w:bCs/>
                <w:sz w:val="20"/>
                <w:szCs w:val="20"/>
              </w:rPr>
            </w:pPr>
          </w:p>
        </w:tc>
      </w:tr>
      <w:tr w:rsidR="00CE1B7A" w:rsidRPr="00154588" w14:paraId="4E4C30A0" w14:textId="77777777" w:rsidTr="00D15C1B">
        <w:trPr>
          <w:jc w:val="center"/>
        </w:trPr>
        <w:tc>
          <w:tcPr>
            <w:tcW w:w="4957" w:type="dxa"/>
            <w:gridSpan w:val="2"/>
          </w:tcPr>
          <w:p w14:paraId="78B8CDB2" w14:textId="5E5D29AD" w:rsidR="00CE1B7A" w:rsidRPr="00154588" w:rsidRDefault="00CE1B7A" w:rsidP="008C12B4">
            <w:pPr>
              <w:jc w:val="both"/>
              <w:rPr>
                <w:bCs/>
                <w:sz w:val="20"/>
                <w:szCs w:val="20"/>
              </w:rPr>
            </w:pPr>
            <w:r w:rsidRPr="00154588">
              <w:rPr>
                <w:bCs/>
                <w:sz w:val="20"/>
                <w:szCs w:val="20"/>
              </w:rPr>
              <w:t>(4)   Statele membre impun ca autoritățile care exercită funcții de supraveghere și de rezoluție și persoanele care exercită aceste funcții în numele autorităților respective să coopereze îndeaproape la pregătirea, planificarea și aplicarea deciziilor de rezoluție, atât în cazul în care autoritatea de rezoluție și autoritatea competentă sunt entități separate, cât și în cazul în care funcțiile sunt exercitate în cadrul aceleiași entități.</w:t>
            </w:r>
          </w:p>
        </w:tc>
        <w:tc>
          <w:tcPr>
            <w:tcW w:w="4819" w:type="dxa"/>
            <w:vMerge/>
          </w:tcPr>
          <w:p w14:paraId="08383FE6" w14:textId="77777777" w:rsidR="00CE1B7A" w:rsidRPr="00154588" w:rsidRDefault="00CE1B7A" w:rsidP="008C12B4">
            <w:pPr>
              <w:jc w:val="both"/>
              <w:rPr>
                <w:bCs/>
                <w:sz w:val="20"/>
                <w:szCs w:val="20"/>
              </w:rPr>
            </w:pPr>
          </w:p>
        </w:tc>
        <w:tc>
          <w:tcPr>
            <w:tcW w:w="2552" w:type="dxa"/>
          </w:tcPr>
          <w:p w14:paraId="599229EE" w14:textId="77777777" w:rsidR="00CE1B7A" w:rsidRPr="00154588" w:rsidRDefault="00CE1B7A" w:rsidP="008C12B4">
            <w:pPr>
              <w:jc w:val="both"/>
              <w:rPr>
                <w:bCs/>
                <w:sz w:val="20"/>
                <w:szCs w:val="20"/>
              </w:rPr>
            </w:pPr>
            <w:r w:rsidRPr="00154588">
              <w:rPr>
                <w:bCs/>
                <w:sz w:val="20"/>
                <w:szCs w:val="20"/>
              </w:rPr>
              <w:t>Compatibil</w:t>
            </w:r>
          </w:p>
          <w:p w14:paraId="76E5FE96" w14:textId="77777777" w:rsidR="00CE1B7A" w:rsidRPr="00154588" w:rsidRDefault="00CE1B7A" w:rsidP="008C12B4">
            <w:pPr>
              <w:jc w:val="both"/>
              <w:rPr>
                <w:bCs/>
                <w:sz w:val="20"/>
                <w:szCs w:val="20"/>
              </w:rPr>
            </w:pPr>
          </w:p>
        </w:tc>
        <w:tc>
          <w:tcPr>
            <w:tcW w:w="3118" w:type="dxa"/>
          </w:tcPr>
          <w:p w14:paraId="7064A69E" w14:textId="77777777" w:rsidR="00CE1B7A" w:rsidRPr="00154588" w:rsidRDefault="00CE1B7A" w:rsidP="008C12B4">
            <w:pPr>
              <w:jc w:val="both"/>
              <w:rPr>
                <w:bCs/>
                <w:sz w:val="20"/>
                <w:szCs w:val="20"/>
              </w:rPr>
            </w:pPr>
          </w:p>
        </w:tc>
      </w:tr>
      <w:tr w:rsidR="00D15C1B" w:rsidRPr="00154588" w14:paraId="0F87D1C4" w14:textId="77777777" w:rsidTr="00D15C1B">
        <w:trPr>
          <w:jc w:val="center"/>
        </w:trPr>
        <w:tc>
          <w:tcPr>
            <w:tcW w:w="4957" w:type="dxa"/>
            <w:gridSpan w:val="2"/>
          </w:tcPr>
          <w:p w14:paraId="5BF25246" w14:textId="119F68B1" w:rsidR="00D15C1B" w:rsidRPr="00154588" w:rsidRDefault="00D15C1B" w:rsidP="008C12B4">
            <w:pPr>
              <w:jc w:val="both"/>
              <w:rPr>
                <w:bCs/>
                <w:sz w:val="20"/>
                <w:szCs w:val="20"/>
              </w:rPr>
            </w:pPr>
            <w:r w:rsidRPr="00154588">
              <w:rPr>
                <w:bCs/>
                <w:sz w:val="20"/>
                <w:szCs w:val="20"/>
              </w:rPr>
              <w:t>(5)   Fiecare stat membru desemnează un singur minister care este responsabil de exercitarea funcțiilor ministerului competent în temeiul prezentei directive.</w:t>
            </w:r>
          </w:p>
        </w:tc>
        <w:tc>
          <w:tcPr>
            <w:tcW w:w="4819" w:type="dxa"/>
          </w:tcPr>
          <w:p w14:paraId="79E7FAE7" w14:textId="76AC786A" w:rsidR="00D15C1B" w:rsidRPr="00154588" w:rsidRDefault="00CE1B7A" w:rsidP="008C12B4">
            <w:pPr>
              <w:ind w:firstLine="567"/>
              <w:jc w:val="both"/>
              <w:rPr>
                <w:rFonts w:eastAsia="Calibri"/>
                <w:sz w:val="20"/>
                <w:szCs w:val="20"/>
              </w:rPr>
            </w:pPr>
            <w:r w:rsidRPr="00154588">
              <w:rPr>
                <w:rFonts w:eastAsia="Calibri"/>
                <w:b/>
                <w:sz w:val="20"/>
                <w:szCs w:val="20"/>
              </w:rPr>
              <w:t>Articolul 5. –</w:t>
            </w:r>
            <w:r w:rsidRPr="00154588">
              <w:rPr>
                <w:rFonts w:eastAsia="Calibri"/>
                <w:sz w:val="20"/>
                <w:szCs w:val="20"/>
              </w:rPr>
              <w:t xml:space="preserve"> (1) Ministerul Finanțelor este responsabil </w:t>
            </w:r>
            <w:r w:rsidR="00903111" w:rsidRPr="00154588">
              <w:rPr>
                <w:rFonts w:eastAsia="Calibri"/>
                <w:sz w:val="20"/>
                <w:szCs w:val="20"/>
              </w:rPr>
              <w:t xml:space="preserve">de </w:t>
            </w:r>
            <w:r w:rsidRPr="00154588">
              <w:rPr>
                <w:rFonts w:eastAsia="Calibri"/>
                <w:sz w:val="20"/>
                <w:szCs w:val="20"/>
              </w:rPr>
              <w:t>exercitarea în Republica Moldova a funcțiilor ministerului competent potrivit prezentei legi.</w:t>
            </w:r>
          </w:p>
          <w:p w14:paraId="320B45ED" w14:textId="77777777" w:rsidR="00CE1B7A" w:rsidRPr="00154588" w:rsidRDefault="00CE1B7A" w:rsidP="008C12B4">
            <w:pPr>
              <w:ind w:firstLine="708"/>
              <w:rPr>
                <w:sz w:val="20"/>
                <w:szCs w:val="20"/>
              </w:rPr>
            </w:pPr>
          </w:p>
        </w:tc>
        <w:tc>
          <w:tcPr>
            <w:tcW w:w="2552" w:type="dxa"/>
          </w:tcPr>
          <w:p w14:paraId="3ED6DBD4" w14:textId="6B28CCAF" w:rsidR="00D15C1B" w:rsidRPr="00154588" w:rsidRDefault="000A6B3F" w:rsidP="008C12B4">
            <w:pPr>
              <w:jc w:val="both"/>
              <w:rPr>
                <w:bCs/>
                <w:sz w:val="20"/>
                <w:szCs w:val="20"/>
              </w:rPr>
            </w:pPr>
            <w:r w:rsidRPr="00154588">
              <w:rPr>
                <w:bCs/>
                <w:sz w:val="20"/>
                <w:szCs w:val="20"/>
              </w:rPr>
              <w:t>C</w:t>
            </w:r>
            <w:r w:rsidR="009241A3" w:rsidRPr="00154588">
              <w:rPr>
                <w:bCs/>
                <w:sz w:val="20"/>
                <w:szCs w:val="20"/>
              </w:rPr>
              <w:t>ompatibil</w:t>
            </w:r>
          </w:p>
        </w:tc>
        <w:tc>
          <w:tcPr>
            <w:tcW w:w="3118" w:type="dxa"/>
          </w:tcPr>
          <w:p w14:paraId="53BC2FF4" w14:textId="77777777" w:rsidR="00D15C1B" w:rsidRPr="00154588" w:rsidRDefault="00D15C1B" w:rsidP="008C12B4">
            <w:pPr>
              <w:jc w:val="both"/>
              <w:rPr>
                <w:bCs/>
                <w:sz w:val="20"/>
                <w:szCs w:val="20"/>
              </w:rPr>
            </w:pPr>
          </w:p>
        </w:tc>
      </w:tr>
      <w:tr w:rsidR="00D15C1B" w:rsidRPr="00154588" w14:paraId="300E63C2" w14:textId="77777777" w:rsidTr="00D15C1B">
        <w:trPr>
          <w:jc w:val="center"/>
        </w:trPr>
        <w:tc>
          <w:tcPr>
            <w:tcW w:w="4957" w:type="dxa"/>
            <w:gridSpan w:val="2"/>
          </w:tcPr>
          <w:p w14:paraId="6886FEA1" w14:textId="1C8DD8E6" w:rsidR="00D15C1B" w:rsidRPr="00154588" w:rsidRDefault="00D15C1B" w:rsidP="008C12B4">
            <w:pPr>
              <w:jc w:val="both"/>
              <w:rPr>
                <w:bCs/>
                <w:sz w:val="20"/>
                <w:szCs w:val="20"/>
              </w:rPr>
            </w:pPr>
            <w:r w:rsidRPr="00154588">
              <w:rPr>
                <w:bCs/>
                <w:sz w:val="20"/>
                <w:szCs w:val="20"/>
              </w:rPr>
              <w:lastRenderedPageBreak/>
              <w:t>(6)   În cazul în care autoritatea de rezoluție dintr-un stat membru nu este ministerul competent, aceasta informează ministerul competent cu privire la deciziile luate în temeiul prezentei directive și, în cazul în care dreptul intern nu prevede altfel, obține aprobarea acestuia anterior aplicării deciziilor ce au un impact fiscal direct sau implicații sistemice.</w:t>
            </w:r>
          </w:p>
        </w:tc>
        <w:tc>
          <w:tcPr>
            <w:tcW w:w="4819" w:type="dxa"/>
          </w:tcPr>
          <w:p w14:paraId="125AE646" w14:textId="77777777" w:rsidR="00CE1B7A" w:rsidRPr="00154588" w:rsidRDefault="00CE1B7A" w:rsidP="008C12B4">
            <w:pPr>
              <w:ind w:firstLine="567"/>
              <w:jc w:val="both"/>
              <w:rPr>
                <w:rFonts w:eastAsia="Calibri"/>
                <w:sz w:val="20"/>
                <w:szCs w:val="20"/>
              </w:rPr>
            </w:pPr>
            <w:r w:rsidRPr="00154588">
              <w:rPr>
                <w:rFonts w:eastAsia="Calibri"/>
                <w:sz w:val="20"/>
                <w:szCs w:val="20"/>
              </w:rPr>
              <w:t>(2) Banca Naţională a Moldovei, și după caz, Comisia Națională a Pieței Financiare, în calitate de autorități de rezoluţie, informează Ministerul Finanţelor, în calitate de minister competent, în legătură cu toate deciziile adoptate în temeiul prezentei legi, și obţin aprobarea Ministerului Finanțelor anterior aplicării deciziilor care au impact fiscal direct sau implicații sistemice.</w:t>
            </w:r>
          </w:p>
          <w:p w14:paraId="338EF806" w14:textId="77777777" w:rsidR="00D15C1B" w:rsidRPr="00154588" w:rsidRDefault="00D15C1B" w:rsidP="008C12B4">
            <w:pPr>
              <w:jc w:val="both"/>
              <w:rPr>
                <w:bCs/>
                <w:sz w:val="20"/>
                <w:szCs w:val="20"/>
              </w:rPr>
            </w:pPr>
          </w:p>
        </w:tc>
        <w:tc>
          <w:tcPr>
            <w:tcW w:w="2552" w:type="dxa"/>
          </w:tcPr>
          <w:p w14:paraId="075E4697" w14:textId="3E60A0CA" w:rsidR="00D15C1B" w:rsidRPr="00154588" w:rsidRDefault="000A6B3F" w:rsidP="008C12B4">
            <w:pPr>
              <w:jc w:val="both"/>
              <w:rPr>
                <w:bCs/>
                <w:sz w:val="20"/>
                <w:szCs w:val="20"/>
              </w:rPr>
            </w:pPr>
            <w:r w:rsidRPr="00154588">
              <w:rPr>
                <w:bCs/>
                <w:sz w:val="20"/>
                <w:szCs w:val="20"/>
              </w:rPr>
              <w:t>C</w:t>
            </w:r>
            <w:r w:rsidR="009241A3" w:rsidRPr="00154588">
              <w:rPr>
                <w:bCs/>
                <w:sz w:val="20"/>
                <w:szCs w:val="20"/>
              </w:rPr>
              <w:t>ompatibil</w:t>
            </w:r>
          </w:p>
        </w:tc>
        <w:tc>
          <w:tcPr>
            <w:tcW w:w="3118" w:type="dxa"/>
          </w:tcPr>
          <w:p w14:paraId="46C6C866" w14:textId="77777777" w:rsidR="00D15C1B" w:rsidRPr="00154588" w:rsidRDefault="00D15C1B" w:rsidP="008C12B4">
            <w:pPr>
              <w:jc w:val="both"/>
              <w:rPr>
                <w:bCs/>
                <w:sz w:val="20"/>
                <w:szCs w:val="20"/>
              </w:rPr>
            </w:pPr>
          </w:p>
        </w:tc>
      </w:tr>
      <w:tr w:rsidR="00D15C1B" w:rsidRPr="00154588" w14:paraId="21EF789B" w14:textId="77777777" w:rsidTr="00D15C1B">
        <w:trPr>
          <w:jc w:val="center"/>
        </w:trPr>
        <w:tc>
          <w:tcPr>
            <w:tcW w:w="4957" w:type="dxa"/>
            <w:gridSpan w:val="2"/>
          </w:tcPr>
          <w:p w14:paraId="3315CFAF" w14:textId="70D0AF4B" w:rsidR="00D15C1B" w:rsidRPr="00154588" w:rsidRDefault="00D15C1B" w:rsidP="008C12B4">
            <w:pPr>
              <w:jc w:val="both"/>
              <w:rPr>
                <w:bCs/>
                <w:sz w:val="20"/>
                <w:szCs w:val="20"/>
              </w:rPr>
            </w:pPr>
            <w:r w:rsidRPr="00154588">
              <w:rPr>
                <w:bCs/>
                <w:sz w:val="20"/>
                <w:szCs w:val="20"/>
              </w:rPr>
              <w:t>(7)   Deciziile luate de autoritățile competente, de autoritățile de rezoluție și de ABE în conformitate cu prezenta directivă țin seama de posibilul impact al deciziei în toate statele membre în care instituția sau grupul își desfășoară activitatea și reduc la minimum efectele negative asupra stabilității financiare și efectele socioeconomice negative în statele membre respective. Deciziile ABE respectă prevederile articolului 38 din Regulamentul (UE) nr. 1093/2010.</w:t>
            </w:r>
          </w:p>
        </w:tc>
        <w:tc>
          <w:tcPr>
            <w:tcW w:w="4819" w:type="dxa"/>
          </w:tcPr>
          <w:p w14:paraId="43983449" w14:textId="77777777" w:rsidR="00CE1B7A" w:rsidRPr="00154588" w:rsidRDefault="00CE1B7A" w:rsidP="008C12B4">
            <w:pPr>
              <w:ind w:firstLine="567"/>
              <w:jc w:val="both"/>
              <w:rPr>
                <w:rFonts w:eastAsia="Calibri"/>
                <w:sz w:val="20"/>
                <w:szCs w:val="20"/>
              </w:rPr>
            </w:pPr>
            <w:r w:rsidRPr="00154588">
              <w:rPr>
                <w:rFonts w:eastAsia="Calibri"/>
                <w:sz w:val="20"/>
                <w:szCs w:val="20"/>
              </w:rPr>
              <w:t>(3) Deciziile adoptate de Banca Națională a Moldovei sau, după caz, de Comisia Națională a Pieței Financiare, în baza prezentei legi iau în considerare impactul potențial asupra tuturor statelor membre în care instituția de credit, firma de investiții sau grupul își desfășoară activitatea, astfel încât să fie reduse la minimum efectele negative socioeconomice și asupra stabilității financiare în statele membre respective.</w:t>
            </w:r>
          </w:p>
          <w:p w14:paraId="6D35751E" w14:textId="77777777" w:rsidR="00D15C1B" w:rsidRPr="00154588" w:rsidRDefault="00D15C1B" w:rsidP="008C12B4">
            <w:pPr>
              <w:jc w:val="both"/>
              <w:rPr>
                <w:bCs/>
                <w:sz w:val="20"/>
                <w:szCs w:val="20"/>
              </w:rPr>
            </w:pPr>
          </w:p>
        </w:tc>
        <w:tc>
          <w:tcPr>
            <w:tcW w:w="2552" w:type="dxa"/>
          </w:tcPr>
          <w:p w14:paraId="05AC104E" w14:textId="6EFFF477" w:rsidR="00D15C1B" w:rsidRPr="00154588" w:rsidRDefault="000A6B3F" w:rsidP="008C12B4">
            <w:pPr>
              <w:jc w:val="both"/>
              <w:rPr>
                <w:bCs/>
                <w:sz w:val="20"/>
                <w:szCs w:val="20"/>
              </w:rPr>
            </w:pPr>
            <w:r w:rsidRPr="00154588">
              <w:rPr>
                <w:bCs/>
                <w:sz w:val="20"/>
                <w:szCs w:val="20"/>
              </w:rPr>
              <w:t>C</w:t>
            </w:r>
            <w:r w:rsidR="009241A3" w:rsidRPr="00154588">
              <w:rPr>
                <w:bCs/>
                <w:sz w:val="20"/>
                <w:szCs w:val="20"/>
              </w:rPr>
              <w:t>ompatibil</w:t>
            </w:r>
          </w:p>
        </w:tc>
        <w:tc>
          <w:tcPr>
            <w:tcW w:w="3118" w:type="dxa"/>
          </w:tcPr>
          <w:p w14:paraId="34FA293F" w14:textId="77777777" w:rsidR="00D15C1B" w:rsidRPr="00154588" w:rsidRDefault="00D15C1B" w:rsidP="008C12B4">
            <w:pPr>
              <w:jc w:val="both"/>
              <w:rPr>
                <w:bCs/>
                <w:sz w:val="20"/>
                <w:szCs w:val="20"/>
              </w:rPr>
            </w:pPr>
          </w:p>
        </w:tc>
      </w:tr>
      <w:tr w:rsidR="00D15C1B" w:rsidRPr="00154588" w14:paraId="06E7F366" w14:textId="77777777" w:rsidTr="00D15C1B">
        <w:trPr>
          <w:jc w:val="center"/>
        </w:trPr>
        <w:tc>
          <w:tcPr>
            <w:tcW w:w="4957" w:type="dxa"/>
            <w:gridSpan w:val="2"/>
          </w:tcPr>
          <w:p w14:paraId="7AF29212" w14:textId="7DA94299" w:rsidR="00D15C1B" w:rsidRPr="00154588" w:rsidRDefault="00D15C1B" w:rsidP="008C12B4">
            <w:pPr>
              <w:jc w:val="both"/>
              <w:rPr>
                <w:bCs/>
                <w:sz w:val="20"/>
                <w:szCs w:val="20"/>
              </w:rPr>
            </w:pPr>
            <w:r w:rsidRPr="00154588">
              <w:rPr>
                <w:bCs/>
                <w:sz w:val="20"/>
                <w:szCs w:val="20"/>
              </w:rPr>
              <w:t>(8)   Statele membre se asigură că autoritățile de rezoluție dispun de experiența, resursele și capacitatea operațională pentru a aplica măsurile de rezoluție și că sunt în măsură să își exercite competențele cu rapiditatea și flexibilitatea necesare în vederea atingerii obiectivelor rezoluției.</w:t>
            </w:r>
          </w:p>
        </w:tc>
        <w:tc>
          <w:tcPr>
            <w:tcW w:w="4819" w:type="dxa"/>
          </w:tcPr>
          <w:p w14:paraId="57A18514" w14:textId="66F1DE45" w:rsidR="00306836" w:rsidRPr="00154588" w:rsidRDefault="00306836" w:rsidP="008C12B4">
            <w:pPr>
              <w:jc w:val="both"/>
              <w:rPr>
                <w:rFonts w:eastAsia="Calibri"/>
                <w:sz w:val="20"/>
                <w:szCs w:val="20"/>
              </w:rPr>
            </w:pPr>
            <w:r w:rsidRPr="00154588">
              <w:rPr>
                <w:rFonts w:eastAsia="Calibri"/>
                <w:b/>
                <w:bCs/>
                <w:sz w:val="20"/>
                <w:szCs w:val="20"/>
              </w:rPr>
              <w:t xml:space="preserve">Articolul 3. </w:t>
            </w:r>
            <w:r w:rsidRPr="00154588">
              <w:rPr>
                <w:rFonts w:eastAsia="Calibri"/>
                <w:sz w:val="20"/>
                <w:szCs w:val="20"/>
              </w:rPr>
              <w:t>(2) Banca Naţională a Moldovei în calitate de autoritate competentă potrivit art.4 alin.(1) din Legea nr.202/2017, precum și în calitate de autoritate de rezoluție potrivit alin. (1) din prezentul articol, realizează următoarele:</w:t>
            </w:r>
          </w:p>
          <w:p w14:paraId="14838308" w14:textId="77777777" w:rsidR="00306836" w:rsidRPr="00154588" w:rsidRDefault="00306836" w:rsidP="008C12B4">
            <w:pPr>
              <w:ind w:firstLine="567"/>
              <w:jc w:val="both"/>
              <w:rPr>
                <w:rFonts w:eastAsia="Calibri"/>
                <w:sz w:val="20"/>
                <w:szCs w:val="20"/>
              </w:rPr>
            </w:pPr>
            <w:r w:rsidRPr="00154588">
              <w:rPr>
                <w:rFonts w:eastAsia="Calibri"/>
                <w:sz w:val="20"/>
                <w:szCs w:val="20"/>
              </w:rPr>
              <w:t>b) se asigură că dispune de resursele şi capacitatea operaţională necesare, inclusiv de personal cu experienţă, pentru a aplica acţiunile de rezoluţie şi că este în măsură să îşi exercite competenţele cu rapiditatea şi flexibilitatea necesare în vederea atingerii obiectivelor rezoluţiei;</w:t>
            </w:r>
          </w:p>
          <w:p w14:paraId="607C888B" w14:textId="29CD78C7" w:rsidR="00306836" w:rsidRPr="00154588" w:rsidRDefault="00306836" w:rsidP="008C12B4">
            <w:pPr>
              <w:ind w:firstLine="567"/>
              <w:jc w:val="both"/>
              <w:rPr>
                <w:rFonts w:eastAsia="Calibri"/>
                <w:sz w:val="20"/>
                <w:szCs w:val="20"/>
              </w:rPr>
            </w:pPr>
            <w:r w:rsidRPr="00154588">
              <w:rPr>
                <w:rFonts w:eastAsia="Calibri"/>
                <w:sz w:val="20"/>
                <w:szCs w:val="20"/>
              </w:rPr>
              <w:t>(2</w:t>
            </w:r>
            <w:r w:rsidRPr="00154588">
              <w:rPr>
                <w:rFonts w:eastAsia="Calibri"/>
                <w:sz w:val="20"/>
                <w:szCs w:val="20"/>
                <w:vertAlign w:val="superscript"/>
              </w:rPr>
              <w:t>1</w:t>
            </w:r>
            <w:r w:rsidRPr="00154588">
              <w:rPr>
                <w:rFonts w:eastAsia="Calibri"/>
                <w:sz w:val="20"/>
                <w:szCs w:val="20"/>
              </w:rPr>
              <w:t>) Comisia Națională a Pieței Financiare, în calitate de autoritate competentă potrivit art.4  alin.(1</w:t>
            </w:r>
            <w:r w:rsidRPr="00154588">
              <w:rPr>
                <w:rFonts w:eastAsia="Calibri"/>
                <w:sz w:val="20"/>
                <w:szCs w:val="20"/>
                <w:vertAlign w:val="superscript"/>
              </w:rPr>
              <w:t>1</w:t>
            </w:r>
            <w:r w:rsidRPr="00154588">
              <w:rPr>
                <w:rFonts w:eastAsia="Calibri"/>
                <w:sz w:val="20"/>
                <w:szCs w:val="20"/>
              </w:rPr>
              <w:t>) din Legea nr.202/2017 și legislației privind piețele de instrumente financiare, precum și în calitate de autoritate de rezoluție potrivit alin.(1</w:t>
            </w:r>
            <w:r w:rsidRPr="00154588">
              <w:rPr>
                <w:rFonts w:eastAsia="Calibri"/>
                <w:sz w:val="20"/>
                <w:szCs w:val="20"/>
                <w:vertAlign w:val="superscript"/>
              </w:rPr>
              <w:t>1</w:t>
            </w:r>
            <w:r w:rsidRPr="00154588">
              <w:rPr>
                <w:rFonts w:eastAsia="Calibri"/>
                <w:sz w:val="20"/>
                <w:szCs w:val="20"/>
              </w:rPr>
              <w:t>) din prezentul articol, realizează următoarele:</w:t>
            </w:r>
          </w:p>
          <w:p w14:paraId="2F6C394A" w14:textId="77777777" w:rsidR="00306836" w:rsidRPr="00154588" w:rsidRDefault="00306836" w:rsidP="008C12B4">
            <w:pPr>
              <w:ind w:firstLine="567"/>
              <w:jc w:val="both"/>
              <w:rPr>
                <w:rFonts w:eastAsia="Calibri"/>
                <w:sz w:val="20"/>
                <w:szCs w:val="20"/>
              </w:rPr>
            </w:pPr>
            <w:r w:rsidRPr="00154588">
              <w:rPr>
                <w:rFonts w:eastAsia="Calibri"/>
                <w:sz w:val="20"/>
                <w:szCs w:val="20"/>
              </w:rPr>
              <w:t>b) se asigură că dispune de resursele și capacitatea operațională necesare, inclusiv de personal cu experiență, pentru a aplica acțiunile de rezoluție și că este în măsură să își exercite competențele cu rapiditatea și flexibilitatea necesare în vederea atingerii obiectivelor rezoluției;</w:t>
            </w:r>
          </w:p>
          <w:p w14:paraId="4689CC37" w14:textId="77777777" w:rsidR="00306836" w:rsidRPr="00154588" w:rsidRDefault="00306836" w:rsidP="008C12B4">
            <w:pPr>
              <w:ind w:firstLine="567"/>
              <w:jc w:val="both"/>
              <w:rPr>
                <w:rFonts w:eastAsia="Calibri"/>
                <w:sz w:val="20"/>
                <w:szCs w:val="20"/>
              </w:rPr>
            </w:pPr>
          </w:p>
          <w:p w14:paraId="4E17D2E9" w14:textId="77777777" w:rsidR="00D15C1B" w:rsidRPr="00154588" w:rsidRDefault="00D15C1B" w:rsidP="008C12B4">
            <w:pPr>
              <w:jc w:val="both"/>
              <w:rPr>
                <w:bCs/>
                <w:sz w:val="20"/>
                <w:szCs w:val="20"/>
              </w:rPr>
            </w:pPr>
          </w:p>
        </w:tc>
        <w:tc>
          <w:tcPr>
            <w:tcW w:w="2552" w:type="dxa"/>
          </w:tcPr>
          <w:p w14:paraId="255E3318" w14:textId="1461FF14" w:rsidR="00D15C1B" w:rsidRPr="00154588" w:rsidRDefault="00306836" w:rsidP="008C12B4">
            <w:pPr>
              <w:jc w:val="both"/>
              <w:rPr>
                <w:bCs/>
                <w:sz w:val="20"/>
                <w:szCs w:val="20"/>
              </w:rPr>
            </w:pPr>
            <w:r w:rsidRPr="00154588">
              <w:rPr>
                <w:bCs/>
                <w:sz w:val="20"/>
                <w:szCs w:val="20"/>
              </w:rPr>
              <w:t>Compatibil</w:t>
            </w:r>
          </w:p>
        </w:tc>
        <w:tc>
          <w:tcPr>
            <w:tcW w:w="3118" w:type="dxa"/>
          </w:tcPr>
          <w:p w14:paraId="29DAE927" w14:textId="028A0B90" w:rsidR="00D15C1B" w:rsidRPr="00154588" w:rsidRDefault="00306836" w:rsidP="008C12B4">
            <w:pPr>
              <w:jc w:val="both"/>
              <w:rPr>
                <w:bCs/>
                <w:sz w:val="20"/>
                <w:szCs w:val="20"/>
              </w:rPr>
            </w:pPr>
            <w:r w:rsidRPr="00154588">
              <w:rPr>
                <w:bCs/>
                <w:sz w:val="20"/>
                <w:szCs w:val="20"/>
              </w:rPr>
              <w:t>Alin. 8 este transpu</w:t>
            </w:r>
            <w:r w:rsidR="002D7BCD" w:rsidRPr="00154588">
              <w:rPr>
                <w:bCs/>
                <w:sz w:val="20"/>
                <w:szCs w:val="20"/>
              </w:rPr>
              <w:t>s</w:t>
            </w:r>
            <w:r w:rsidRPr="00154588">
              <w:rPr>
                <w:bCs/>
                <w:sz w:val="20"/>
                <w:szCs w:val="20"/>
              </w:rPr>
              <w:t xml:space="preserve"> în sensul art. 3 alin. (2) și (2</w:t>
            </w:r>
            <w:r w:rsidRPr="00154588">
              <w:rPr>
                <w:bCs/>
                <w:sz w:val="20"/>
                <w:szCs w:val="20"/>
                <w:vertAlign w:val="superscript"/>
              </w:rPr>
              <w:t>1</w:t>
            </w:r>
            <w:r w:rsidRPr="00154588">
              <w:rPr>
                <w:bCs/>
                <w:sz w:val="20"/>
                <w:szCs w:val="20"/>
              </w:rPr>
              <w:t>) la lit.b)</w:t>
            </w:r>
          </w:p>
        </w:tc>
      </w:tr>
      <w:tr w:rsidR="00306836" w:rsidRPr="00154588" w14:paraId="3FEA54F7" w14:textId="77777777" w:rsidTr="00D15C1B">
        <w:trPr>
          <w:jc w:val="center"/>
        </w:trPr>
        <w:tc>
          <w:tcPr>
            <w:tcW w:w="4957" w:type="dxa"/>
            <w:gridSpan w:val="2"/>
          </w:tcPr>
          <w:p w14:paraId="0B71336D" w14:textId="27ADF480" w:rsidR="00306836" w:rsidRPr="00154588" w:rsidRDefault="00306836" w:rsidP="008C12B4">
            <w:pPr>
              <w:jc w:val="both"/>
              <w:rPr>
                <w:bCs/>
                <w:sz w:val="20"/>
                <w:szCs w:val="20"/>
              </w:rPr>
            </w:pPr>
            <w:r w:rsidRPr="00154588">
              <w:rPr>
                <w:bCs/>
                <w:sz w:val="20"/>
                <w:szCs w:val="20"/>
              </w:rPr>
              <w:t xml:space="preserve">(9)   ABE, în cooperare cu autoritățile competente și cu autoritățile de rezoluție, se asigură că dispune de expertiză, de resursele și de capacitățile operaționale și necesare și </w:t>
            </w:r>
            <w:r w:rsidRPr="00154588">
              <w:rPr>
                <w:bCs/>
                <w:sz w:val="20"/>
                <w:szCs w:val="20"/>
              </w:rPr>
              <w:lastRenderedPageBreak/>
              <w:t>monitorizează punerea în aplicare a alineatului (8) prin evaluări inter pares periodice.</w:t>
            </w:r>
          </w:p>
        </w:tc>
        <w:tc>
          <w:tcPr>
            <w:tcW w:w="4819" w:type="dxa"/>
          </w:tcPr>
          <w:p w14:paraId="5DF30C29" w14:textId="7E8E42A6" w:rsidR="00306836" w:rsidRPr="00154588" w:rsidRDefault="00306836" w:rsidP="008C12B4">
            <w:pPr>
              <w:jc w:val="center"/>
              <w:rPr>
                <w:bCs/>
                <w:sz w:val="20"/>
                <w:szCs w:val="20"/>
              </w:rPr>
            </w:pPr>
            <w:r w:rsidRPr="00154588">
              <w:rPr>
                <w:bCs/>
                <w:sz w:val="20"/>
                <w:szCs w:val="20"/>
              </w:rPr>
              <w:lastRenderedPageBreak/>
              <w:t>-</w:t>
            </w:r>
          </w:p>
        </w:tc>
        <w:tc>
          <w:tcPr>
            <w:tcW w:w="2552" w:type="dxa"/>
          </w:tcPr>
          <w:p w14:paraId="6DE34864" w14:textId="329FE885" w:rsidR="00306836" w:rsidRPr="00154588" w:rsidRDefault="00306836" w:rsidP="008C12B4">
            <w:pPr>
              <w:jc w:val="both"/>
              <w:rPr>
                <w:bCs/>
                <w:sz w:val="20"/>
                <w:szCs w:val="20"/>
              </w:rPr>
            </w:pPr>
            <w:r w:rsidRPr="00154588">
              <w:rPr>
                <w:bCs/>
                <w:sz w:val="20"/>
                <w:szCs w:val="20"/>
              </w:rPr>
              <w:t>Norme UE neaplicabile</w:t>
            </w:r>
          </w:p>
        </w:tc>
        <w:tc>
          <w:tcPr>
            <w:tcW w:w="3118" w:type="dxa"/>
          </w:tcPr>
          <w:p w14:paraId="435D2907" w14:textId="06048D7B" w:rsidR="00306836" w:rsidRPr="00154588" w:rsidRDefault="00306836" w:rsidP="008C12B4">
            <w:pPr>
              <w:jc w:val="both"/>
              <w:rPr>
                <w:bCs/>
                <w:sz w:val="20"/>
                <w:szCs w:val="20"/>
              </w:rPr>
            </w:pPr>
          </w:p>
        </w:tc>
      </w:tr>
      <w:tr w:rsidR="00306836" w:rsidRPr="00154588" w14:paraId="2AC1A7DE" w14:textId="77777777" w:rsidTr="00D15C1B">
        <w:trPr>
          <w:jc w:val="center"/>
        </w:trPr>
        <w:tc>
          <w:tcPr>
            <w:tcW w:w="4957" w:type="dxa"/>
            <w:gridSpan w:val="2"/>
          </w:tcPr>
          <w:p w14:paraId="1BCA6851" w14:textId="2D79ADF7" w:rsidR="00306836" w:rsidRPr="00154588" w:rsidRDefault="00306836" w:rsidP="008C12B4">
            <w:pPr>
              <w:jc w:val="both"/>
              <w:rPr>
                <w:bCs/>
                <w:sz w:val="20"/>
                <w:szCs w:val="20"/>
              </w:rPr>
            </w:pPr>
            <w:r w:rsidRPr="00154588">
              <w:rPr>
                <w:bCs/>
                <w:sz w:val="20"/>
                <w:szCs w:val="20"/>
              </w:rPr>
              <w:t>(10)   În cazul în care, în conformitate cu alineatul (1), un stat membru desemnează mai multe autorități pentru a aplica instrumentele de rezoluție și a exercita competențele de rezoluție, el transmite ABE și Comisiei o notificare de justificare și repartizează cu claritate funcțiile și responsabilitățile între aceste autorități, asigură coordonarea corespunzătoare dintre acestea și desemnează o singură autoritate drept autoritate de contact în sensul cooperării și coordonării cu autoritățile elevante din alte state membre.</w:t>
            </w:r>
          </w:p>
        </w:tc>
        <w:tc>
          <w:tcPr>
            <w:tcW w:w="4819" w:type="dxa"/>
          </w:tcPr>
          <w:p w14:paraId="7C732CAA" w14:textId="3BA806DD" w:rsidR="00306836" w:rsidRPr="00154588" w:rsidRDefault="00306836" w:rsidP="008C12B4">
            <w:pPr>
              <w:jc w:val="center"/>
              <w:rPr>
                <w:bCs/>
                <w:sz w:val="20"/>
                <w:szCs w:val="20"/>
              </w:rPr>
            </w:pPr>
            <w:r w:rsidRPr="00154588">
              <w:rPr>
                <w:bCs/>
                <w:sz w:val="20"/>
                <w:szCs w:val="20"/>
              </w:rPr>
              <w:t>-</w:t>
            </w:r>
          </w:p>
        </w:tc>
        <w:tc>
          <w:tcPr>
            <w:tcW w:w="2552" w:type="dxa"/>
          </w:tcPr>
          <w:p w14:paraId="3D9B6C41" w14:textId="381C303E" w:rsidR="00306836" w:rsidRPr="00154588" w:rsidRDefault="00306836" w:rsidP="008C12B4">
            <w:pPr>
              <w:jc w:val="both"/>
              <w:rPr>
                <w:bCs/>
                <w:sz w:val="20"/>
                <w:szCs w:val="20"/>
              </w:rPr>
            </w:pPr>
            <w:r w:rsidRPr="00154588">
              <w:rPr>
                <w:bCs/>
                <w:sz w:val="20"/>
                <w:szCs w:val="20"/>
              </w:rPr>
              <w:t>Norme UE neaplicabile</w:t>
            </w:r>
          </w:p>
        </w:tc>
        <w:tc>
          <w:tcPr>
            <w:tcW w:w="3118" w:type="dxa"/>
          </w:tcPr>
          <w:p w14:paraId="0E94C67E" w14:textId="77777777" w:rsidR="00306836" w:rsidRPr="00154588" w:rsidRDefault="00306836" w:rsidP="008C12B4">
            <w:pPr>
              <w:jc w:val="both"/>
              <w:rPr>
                <w:bCs/>
                <w:sz w:val="20"/>
                <w:szCs w:val="20"/>
              </w:rPr>
            </w:pPr>
          </w:p>
        </w:tc>
      </w:tr>
      <w:tr w:rsidR="00D15C1B" w:rsidRPr="00154588" w14:paraId="1E32D2B9" w14:textId="77777777" w:rsidTr="00D15C1B">
        <w:trPr>
          <w:jc w:val="center"/>
        </w:trPr>
        <w:tc>
          <w:tcPr>
            <w:tcW w:w="4957" w:type="dxa"/>
            <w:gridSpan w:val="2"/>
          </w:tcPr>
          <w:p w14:paraId="6251C9C9" w14:textId="73D59218" w:rsidR="00D15C1B" w:rsidRPr="00154588" w:rsidRDefault="00D15C1B" w:rsidP="008C12B4">
            <w:pPr>
              <w:jc w:val="both"/>
              <w:rPr>
                <w:bCs/>
                <w:sz w:val="20"/>
                <w:szCs w:val="20"/>
              </w:rPr>
            </w:pPr>
            <w:r w:rsidRPr="00154588">
              <w:rPr>
                <w:bCs/>
                <w:sz w:val="20"/>
                <w:szCs w:val="20"/>
              </w:rPr>
              <w:t>(11)   Statele membre informează ABE în legătură cu autoritatea națională sau autoritățile desemnate drept autorități de rezoluție și autoritate de contact și, după caz, în legătură cu funcțiile și responsabilitățile lor specifice. ABE publică lista acestor autorități de rezoluție și autorități de contact.</w:t>
            </w:r>
          </w:p>
        </w:tc>
        <w:tc>
          <w:tcPr>
            <w:tcW w:w="4819" w:type="dxa"/>
          </w:tcPr>
          <w:p w14:paraId="2E1E8B21" w14:textId="77777777" w:rsidR="00306836" w:rsidRPr="00154588" w:rsidRDefault="00306836" w:rsidP="008C12B4">
            <w:pPr>
              <w:ind w:firstLine="567"/>
              <w:jc w:val="both"/>
              <w:rPr>
                <w:rFonts w:eastAsia="Calibri"/>
                <w:kern w:val="2"/>
                <w:sz w:val="20"/>
                <w:szCs w:val="20"/>
                <w14:ligatures w14:val="standardContextual"/>
              </w:rPr>
            </w:pPr>
            <w:r w:rsidRPr="00154588">
              <w:rPr>
                <w:rFonts w:eastAsia="Calibri"/>
                <w:b/>
                <w:sz w:val="20"/>
                <w:szCs w:val="20"/>
              </w:rPr>
              <w:t>Articolul 4.</w:t>
            </w:r>
            <w:r w:rsidRPr="00154588">
              <w:rPr>
                <w:rFonts w:eastAsia="Calibri"/>
                <w:sz w:val="20"/>
                <w:szCs w:val="20"/>
              </w:rPr>
              <w:t xml:space="preserve"> – (1) Banca Naţională a Moldovei și Comisia Națională a Pieței Financiare, în calitate de autorități de rezoluţie, sunt autorități de contact pentru asigurarea cooperării şi coordonării cu autorităţile relevante din alte state. </w:t>
            </w:r>
          </w:p>
          <w:p w14:paraId="6829B094" w14:textId="5FDD917B" w:rsidR="00D15C1B" w:rsidRPr="00154588" w:rsidRDefault="00306836" w:rsidP="008C12B4">
            <w:pPr>
              <w:ind w:firstLine="567"/>
              <w:jc w:val="both"/>
              <w:rPr>
                <w:rFonts w:eastAsia="Calibri"/>
                <w:sz w:val="24"/>
                <w:szCs w:val="24"/>
              </w:rPr>
            </w:pPr>
            <w:r w:rsidRPr="00154588">
              <w:rPr>
                <w:rFonts w:eastAsia="Calibri"/>
                <w:sz w:val="20"/>
                <w:szCs w:val="20"/>
              </w:rPr>
              <w:t>(2) Autoritățile de rezoluție menționate la alin.(1) informează Autoritatea Bancară Europeană în legătură cu funcţiile și responsabilităţile lor specifice.</w:t>
            </w:r>
          </w:p>
        </w:tc>
        <w:tc>
          <w:tcPr>
            <w:tcW w:w="2552" w:type="dxa"/>
          </w:tcPr>
          <w:p w14:paraId="0DD15619" w14:textId="7798B169" w:rsidR="00D15C1B" w:rsidRPr="00154588" w:rsidRDefault="00306836" w:rsidP="008C12B4">
            <w:pPr>
              <w:jc w:val="both"/>
              <w:rPr>
                <w:bCs/>
                <w:sz w:val="20"/>
                <w:szCs w:val="20"/>
              </w:rPr>
            </w:pPr>
            <w:r w:rsidRPr="00154588">
              <w:rPr>
                <w:bCs/>
                <w:sz w:val="20"/>
                <w:szCs w:val="20"/>
              </w:rPr>
              <w:t>Compatibil</w:t>
            </w:r>
          </w:p>
        </w:tc>
        <w:tc>
          <w:tcPr>
            <w:tcW w:w="3118" w:type="dxa"/>
          </w:tcPr>
          <w:p w14:paraId="32E0BF3F" w14:textId="77777777" w:rsidR="00D15C1B" w:rsidRPr="00154588" w:rsidRDefault="00D15C1B" w:rsidP="008C12B4">
            <w:pPr>
              <w:jc w:val="both"/>
              <w:rPr>
                <w:bCs/>
                <w:sz w:val="20"/>
                <w:szCs w:val="20"/>
              </w:rPr>
            </w:pPr>
          </w:p>
        </w:tc>
      </w:tr>
      <w:tr w:rsidR="00D15C1B" w:rsidRPr="00154588" w14:paraId="5EAB449D" w14:textId="77777777" w:rsidTr="00D15C1B">
        <w:trPr>
          <w:jc w:val="center"/>
        </w:trPr>
        <w:tc>
          <w:tcPr>
            <w:tcW w:w="4957" w:type="dxa"/>
            <w:gridSpan w:val="2"/>
          </w:tcPr>
          <w:p w14:paraId="1ECACE36" w14:textId="23874C04" w:rsidR="00D15C1B" w:rsidRPr="00154588" w:rsidRDefault="00D15C1B" w:rsidP="008C12B4">
            <w:pPr>
              <w:jc w:val="both"/>
              <w:rPr>
                <w:bCs/>
                <w:sz w:val="20"/>
                <w:szCs w:val="20"/>
              </w:rPr>
            </w:pPr>
            <w:r w:rsidRPr="00154588">
              <w:rPr>
                <w:bCs/>
                <w:sz w:val="20"/>
                <w:szCs w:val="20"/>
              </w:rPr>
              <w:t>(12)   Fără a aduce atingere articolului 85, statele membre pot limita răspunderea autorității de rezoluție, a autorității competente și a personalului respectiv al acestora în conformitate cu dreptul intern în ceea ce privește acțiunile și omisiunile în cursul exercitării funcțiilor lor în temeiul prezentei directive.</w:t>
            </w:r>
          </w:p>
        </w:tc>
        <w:tc>
          <w:tcPr>
            <w:tcW w:w="4819" w:type="dxa"/>
          </w:tcPr>
          <w:p w14:paraId="2B70F804" w14:textId="77777777" w:rsidR="00306836" w:rsidRPr="00154588" w:rsidRDefault="00306836" w:rsidP="008C12B4">
            <w:pPr>
              <w:ind w:firstLine="567"/>
              <w:jc w:val="both"/>
              <w:rPr>
                <w:rFonts w:eastAsia="Calibri"/>
                <w:kern w:val="2"/>
                <w:sz w:val="20"/>
                <w:szCs w:val="20"/>
                <w14:ligatures w14:val="standardContextual"/>
              </w:rPr>
            </w:pPr>
            <w:r w:rsidRPr="00154588">
              <w:rPr>
                <w:rFonts w:eastAsia="Calibri"/>
                <w:b/>
                <w:sz w:val="20"/>
                <w:szCs w:val="20"/>
              </w:rPr>
              <w:t>Articolul 6</w:t>
            </w:r>
            <w:r w:rsidRPr="00154588">
              <w:rPr>
                <w:rFonts w:eastAsia="Calibri"/>
                <w:b/>
                <w:sz w:val="20"/>
                <w:szCs w:val="20"/>
                <w:vertAlign w:val="superscript"/>
              </w:rPr>
              <w:t>1</w:t>
            </w:r>
            <w:r w:rsidRPr="00154588">
              <w:rPr>
                <w:rFonts w:eastAsia="Calibri"/>
                <w:b/>
                <w:sz w:val="20"/>
                <w:szCs w:val="20"/>
              </w:rPr>
              <w:t xml:space="preserve">. – </w:t>
            </w:r>
            <w:r w:rsidRPr="00154588">
              <w:rPr>
                <w:rFonts w:eastAsia="Calibri"/>
                <w:sz w:val="20"/>
                <w:szCs w:val="20"/>
              </w:rPr>
              <w:t xml:space="preserve">Dispozițiile art.35 din Legea nr.548/1995 cu privire la Banca Națională a Moldovei sunt aplicabile în mod corespunzător în ceea ce privește regimul răspunderii autorităților de rezoluție, a personalului acestora și a oricărei persoane care acționează conform legii sub controlul acestor autorități pentru exercitarea atribuțiilor prevăzute de prezenta lege. </w:t>
            </w:r>
          </w:p>
          <w:p w14:paraId="25CC10F2" w14:textId="77777777" w:rsidR="00D15C1B" w:rsidRPr="00154588" w:rsidRDefault="00D15C1B" w:rsidP="008C12B4">
            <w:pPr>
              <w:jc w:val="both"/>
              <w:rPr>
                <w:bCs/>
                <w:sz w:val="20"/>
                <w:szCs w:val="20"/>
              </w:rPr>
            </w:pPr>
          </w:p>
        </w:tc>
        <w:tc>
          <w:tcPr>
            <w:tcW w:w="2552" w:type="dxa"/>
          </w:tcPr>
          <w:p w14:paraId="09FC0670" w14:textId="3DC11597" w:rsidR="00D15C1B" w:rsidRPr="00154588" w:rsidRDefault="00306836" w:rsidP="008C12B4">
            <w:pPr>
              <w:jc w:val="both"/>
              <w:rPr>
                <w:bCs/>
                <w:sz w:val="20"/>
                <w:szCs w:val="20"/>
              </w:rPr>
            </w:pPr>
            <w:r w:rsidRPr="00154588">
              <w:rPr>
                <w:bCs/>
                <w:sz w:val="20"/>
                <w:szCs w:val="20"/>
              </w:rPr>
              <w:t>Compatibil</w:t>
            </w:r>
          </w:p>
        </w:tc>
        <w:tc>
          <w:tcPr>
            <w:tcW w:w="3118" w:type="dxa"/>
          </w:tcPr>
          <w:p w14:paraId="248FA9A4" w14:textId="77777777" w:rsidR="00D15C1B" w:rsidRPr="00154588" w:rsidRDefault="00D15C1B" w:rsidP="008C12B4">
            <w:pPr>
              <w:jc w:val="both"/>
              <w:rPr>
                <w:bCs/>
                <w:sz w:val="20"/>
                <w:szCs w:val="20"/>
              </w:rPr>
            </w:pPr>
          </w:p>
        </w:tc>
      </w:tr>
      <w:tr w:rsidR="00D15C1B" w:rsidRPr="00154588" w14:paraId="24E7CEC9" w14:textId="77777777" w:rsidTr="00D15C1B">
        <w:trPr>
          <w:jc w:val="center"/>
        </w:trPr>
        <w:tc>
          <w:tcPr>
            <w:tcW w:w="4957" w:type="dxa"/>
            <w:gridSpan w:val="2"/>
          </w:tcPr>
          <w:p w14:paraId="438422DF" w14:textId="77777777" w:rsidR="00D15C1B" w:rsidRPr="00154588" w:rsidRDefault="00D15C1B" w:rsidP="008C12B4">
            <w:pPr>
              <w:rPr>
                <w:b/>
                <w:sz w:val="20"/>
                <w:szCs w:val="20"/>
              </w:rPr>
            </w:pPr>
            <w:r w:rsidRPr="00154588">
              <w:rPr>
                <w:b/>
                <w:sz w:val="20"/>
                <w:szCs w:val="20"/>
              </w:rPr>
              <w:t>TITLUL II</w:t>
            </w:r>
          </w:p>
          <w:p w14:paraId="3F3A9C9A" w14:textId="77777777" w:rsidR="00D15C1B" w:rsidRPr="00154588" w:rsidRDefault="00D15C1B" w:rsidP="008C12B4">
            <w:pPr>
              <w:rPr>
                <w:b/>
                <w:sz w:val="20"/>
                <w:szCs w:val="20"/>
              </w:rPr>
            </w:pPr>
          </w:p>
          <w:p w14:paraId="6B742D00" w14:textId="4696A6BF" w:rsidR="00D15C1B" w:rsidRPr="00154588" w:rsidRDefault="00D15C1B" w:rsidP="008C12B4">
            <w:pPr>
              <w:rPr>
                <w:bCs/>
                <w:sz w:val="20"/>
                <w:szCs w:val="20"/>
              </w:rPr>
            </w:pPr>
            <w:r w:rsidRPr="00154588">
              <w:rPr>
                <w:b/>
                <w:sz w:val="20"/>
                <w:szCs w:val="20"/>
              </w:rPr>
              <w:t>PREGĂTIREA</w:t>
            </w:r>
          </w:p>
        </w:tc>
        <w:tc>
          <w:tcPr>
            <w:tcW w:w="4819" w:type="dxa"/>
          </w:tcPr>
          <w:p w14:paraId="1BAE377F" w14:textId="77777777" w:rsidR="00306836" w:rsidRPr="00154588" w:rsidRDefault="00306836" w:rsidP="008C12B4">
            <w:pPr>
              <w:jc w:val="center"/>
              <w:rPr>
                <w:rFonts w:eastAsia="Calibri"/>
                <w:b/>
                <w:sz w:val="20"/>
                <w:szCs w:val="18"/>
              </w:rPr>
            </w:pPr>
            <w:r w:rsidRPr="00154588">
              <w:rPr>
                <w:rFonts w:eastAsia="Calibri"/>
                <w:b/>
                <w:sz w:val="20"/>
                <w:szCs w:val="18"/>
              </w:rPr>
              <w:t>TITLUL II</w:t>
            </w:r>
          </w:p>
          <w:p w14:paraId="0F13818C" w14:textId="344BF1B2" w:rsidR="00D15C1B" w:rsidRPr="00154588" w:rsidRDefault="00306836" w:rsidP="008C12B4">
            <w:pPr>
              <w:jc w:val="center"/>
              <w:rPr>
                <w:rFonts w:eastAsia="Calibri"/>
                <w:b/>
                <w:sz w:val="20"/>
                <w:szCs w:val="18"/>
              </w:rPr>
            </w:pPr>
            <w:r w:rsidRPr="00154588">
              <w:rPr>
                <w:rFonts w:eastAsia="Calibri"/>
                <w:b/>
                <w:sz w:val="20"/>
                <w:szCs w:val="18"/>
              </w:rPr>
              <w:t>PREGĂTIREA</w:t>
            </w:r>
          </w:p>
        </w:tc>
        <w:tc>
          <w:tcPr>
            <w:tcW w:w="2552" w:type="dxa"/>
          </w:tcPr>
          <w:p w14:paraId="70CE5E63" w14:textId="77777777" w:rsidR="00D15C1B" w:rsidRPr="00154588" w:rsidRDefault="00D15C1B" w:rsidP="008C12B4">
            <w:pPr>
              <w:jc w:val="both"/>
              <w:rPr>
                <w:bCs/>
                <w:sz w:val="20"/>
                <w:szCs w:val="20"/>
              </w:rPr>
            </w:pPr>
          </w:p>
        </w:tc>
        <w:tc>
          <w:tcPr>
            <w:tcW w:w="3118" w:type="dxa"/>
          </w:tcPr>
          <w:p w14:paraId="3807F054" w14:textId="77777777" w:rsidR="00D15C1B" w:rsidRPr="00154588" w:rsidRDefault="00D15C1B" w:rsidP="008C12B4">
            <w:pPr>
              <w:jc w:val="both"/>
              <w:rPr>
                <w:bCs/>
                <w:sz w:val="20"/>
                <w:szCs w:val="20"/>
              </w:rPr>
            </w:pPr>
          </w:p>
        </w:tc>
      </w:tr>
      <w:tr w:rsidR="00D15C1B" w:rsidRPr="00154588" w14:paraId="65C5ECCA" w14:textId="77777777" w:rsidTr="00D15C1B">
        <w:trPr>
          <w:jc w:val="center"/>
        </w:trPr>
        <w:tc>
          <w:tcPr>
            <w:tcW w:w="4957" w:type="dxa"/>
            <w:gridSpan w:val="2"/>
          </w:tcPr>
          <w:p w14:paraId="54D7A1D3" w14:textId="77777777" w:rsidR="00D15C1B" w:rsidRPr="00154588" w:rsidRDefault="00D15C1B" w:rsidP="008C12B4">
            <w:pPr>
              <w:rPr>
                <w:b/>
                <w:sz w:val="20"/>
                <w:szCs w:val="20"/>
              </w:rPr>
            </w:pPr>
            <w:r w:rsidRPr="00154588">
              <w:rPr>
                <w:b/>
                <w:sz w:val="20"/>
                <w:szCs w:val="20"/>
              </w:rPr>
              <w:t>CAPITOLUL I</w:t>
            </w:r>
          </w:p>
          <w:p w14:paraId="6F6809F2" w14:textId="77777777" w:rsidR="00D15C1B" w:rsidRPr="00154588" w:rsidRDefault="00D15C1B" w:rsidP="008C12B4">
            <w:pPr>
              <w:rPr>
                <w:b/>
                <w:sz w:val="20"/>
                <w:szCs w:val="20"/>
              </w:rPr>
            </w:pPr>
          </w:p>
          <w:p w14:paraId="6BF4AA4B" w14:textId="05527125" w:rsidR="00D15C1B" w:rsidRPr="00154588" w:rsidRDefault="00D15C1B" w:rsidP="008C12B4">
            <w:pPr>
              <w:rPr>
                <w:b/>
                <w:sz w:val="20"/>
                <w:szCs w:val="20"/>
              </w:rPr>
            </w:pPr>
            <w:r w:rsidRPr="00154588">
              <w:rPr>
                <w:b/>
                <w:sz w:val="20"/>
                <w:szCs w:val="20"/>
              </w:rPr>
              <w:t>Planificarea redresării și a rezoluției</w:t>
            </w:r>
          </w:p>
        </w:tc>
        <w:tc>
          <w:tcPr>
            <w:tcW w:w="4819" w:type="dxa"/>
          </w:tcPr>
          <w:p w14:paraId="5C47F7D8" w14:textId="77777777" w:rsidR="00306836" w:rsidRPr="00154588" w:rsidRDefault="00306836" w:rsidP="008C12B4">
            <w:pPr>
              <w:jc w:val="center"/>
              <w:rPr>
                <w:rFonts w:eastAsia="Calibri"/>
                <w:b/>
                <w:sz w:val="20"/>
                <w:szCs w:val="18"/>
              </w:rPr>
            </w:pPr>
            <w:r w:rsidRPr="00154588">
              <w:rPr>
                <w:rFonts w:eastAsia="Calibri"/>
                <w:b/>
                <w:sz w:val="20"/>
                <w:szCs w:val="18"/>
              </w:rPr>
              <w:t>Capitolul I</w:t>
            </w:r>
          </w:p>
          <w:p w14:paraId="41AD891D" w14:textId="4FFBEED0" w:rsidR="00D15C1B" w:rsidRPr="00154588" w:rsidRDefault="00306836" w:rsidP="008C12B4">
            <w:pPr>
              <w:jc w:val="both"/>
              <w:rPr>
                <w:sz w:val="20"/>
                <w:szCs w:val="20"/>
              </w:rPr>
            </w:pPr>
            <w:r w:rsidRPr="00154588">
              <w:rPr>
                <w:rFonts w:eastAsia="Calibri"/>
                <w:b/>
                <w:sz w:val="20"/>
                <w:szCs w:val="18"/>
              </w:rPr>
              <w:t>PLANIFICAREA REDRESĂRII ŞI A REZOLUŢIEI</w:t>
            </w:r>
          </w:p>
        </w:tc>
        <w:tc>
          <w:tcPr>
            <w:tcW w:w="2552" w:type="dxa"/>
          </w:tcPr>
          <w:p w14:paraId="65DDFC04" w14:textId="77777777" w:rsidR="00D15C1B" w:rsidRPr="00154588" w:rsidRDefault="00D15C1B" w:rsidP="008C12B4">
            <w:pPr>
              <w:jc w:val="both"/>
              <w:rPr>
                <w:bCs/>
                <w:sz w:val="20"/>
                <w:szCs w:val="20"/>
              </w:rPr>
            </w:pPr>
          </w:p>
        </w:tc>
        <w:tc>
          <w:tcPr>
            <w:tcW w:w="3118" w:type="dxa"/>
          </w:tcPr>
          <w:p w14:paraId="101A1CBE" w14:textId="77777777" w:rsidR="00D15C1B" w:rsidRPr="00154588" w:rsidRDefault="00D15C1B" w:rsidP="008C12B4">
            <w:pPr>
              <w:jc w:val="both"/>
              <w:rPr>
                <w:bCs/>
                <w:sz w:val="20"/>
                <w:szCs w:val="20"/>
              </w:rPr>
            </w:pPr>
          </w:p>
        </w:tc>
      </w:tr>
      <w:tr w:rsidR="00D15C1B" w:rsidRPr="00154588" w14:paraId="0A9DAC62" w14:textId="77777777" w:rsidTr="00D15C1B">
        <w:trPr>
          <w:jc w:val="center"/>
        </w:trPr>
        <w:tc>
          <w:tcPr>
            <w:tcW w:w="4957" w:type="dxa"/>
            <w:gridSpan w:val="2"/>
          </w:tcPr>
          <w:p w14:paraId="72BDBDEB" w14:textId="77777777" w:rsidR="00D15C1B" w:rsidRPr="00154588" w:rsidRDefault="00D15C1B" w:rsidP="008C12B4">
            <w:pPr>
              <w:rPr>
                <w:b/>
                <w:sz w:val="20"/>
                <w:szCs w:val="20"/>
              </w:rPr>
            </w:pPr>
            <w:r w:rsidRPr="00154588">
              <w:rPr>
                <w:b/>
                <w:sz w:val="20"/>
                <w:szCs w:val="20"/>
              </w:rPr>
              <w:t>Secțiunea 1</w:t>
            </w:r>
          </w:p>
          <w:p w14:paraId="742BC260" w14:textId="77777777" w:rsidR="00D15C1B" w:rsidRPr="00154588" w:rsidRDefault="00D15C1B" w:rsidP="008C12B4">
            <w:pPr>
              <w:rPr>
                <w:b/>
                <w:sz w:val="20"/>
                <w:szCs w:val="20"/>
              </w:rPr>
            </w:pPr>
          </w:p>
          <w:p w14:paraId="7519EFC0" w14:textId="4DCCCD31" w:rsidR="00D15C1B" w:rsidRPr="00154588" w:rsidRDefault="00D15C1B" w:rsidP="008C12B4">
            <w:pPr>
              <w:rPr>
                <w:bCs/>
                <w:sz w:val="20"/>
                <w:szCs w:val="20"/>
              </w:rPr>
            </w:pPr>
            <w:r w:rsidRPr="00154588">
              <w:rPr>
                <w:b/>
                <w:sz w:val="20"/>
                <w:szCs w:val="20"/>
              </w:rPr>
              <w:t>Dispoziții generale</w:t>
            </w:r>
          </w:p>
        </w:tc>
        <w:tc>
          <w:tcPr>
            <w:tcW w:w="4819" w:type="dxa"/>
          </w:tcPr>
          <w:p w14:paraId="542CADA7" w14:textId="77777777" w:rsidR="00306836" w:rsidRPr="00154588" w:rsidRDefault="00306836" w:rsidP="008C12B4">
            <w:pPr>
              <w:jc w:val="center"/>
              <w:rPr>
                <w:rFonts w:eastAsia="Calibri"/>
                <w:b/>
                <w:sz w:val="20"/>
                <w:szCs w:val="18"/>
              </w:rPr>
            </w:pPr>
            <w:r w:rsidRPr="00154588">
              <w:rPr>
                <w:rFonts w:eastAsia="Calibri"/>
                <w:b/>
                <w:sz w:val="20"/>
                <w:szCs w:val="18"/>
              </w:rPr>
              <w:t>Secţiunea 1</w:t>
            </w:r>
          </w:p>
          <w:p w14:paraId="11DF17AC" w14:textId="25FC4DEA" w:rsidR="00D15C1B" w:rsidRPr="00154588" w:rsidRDefault="00306836" w:rsidP="008C12B4">
            <w:pPr>
              <w:jc w:val="center"/>
              <w:rPr>
                <w:rFonts w:eastAsia="Calibri"/>
                <w:b/>
                <w:sz w:val="20"/>
                <w:szCs w:val="18"/>
              </w:rPr>
            </w:pPr>
            <w:r w:rsidRPr="00154588">
              <w:rPr>
                <w:rFonts w:eastAsia="Calibri"/>
                <w:b/>
                <w:sz w:val="20"/>
                <w:szCs w:val="18"/>
              </w:rPr>
              <w:t>Dispoziţii generale</w:t>
            </w:r>
          </w:p>
        </w:tc>
        <w:tc>
          <w:tcPr>
            <w:tcW w:w="2552" w:type="dxa"/>
          </w:tcPr>
          <w:p w14:paraId="156D9A36" w14:textId="77777777" w:rsidR="00D15C1B" w:rsidRPr="00154588" w:rsidRDefault="00D15C1B" w:rsidP="008C12B4">
            <w:pPr>
              <w:jc w:val="both"/>
              <w:rPr>
                <w:bCs/>
                <w:sz w:val="20"/>
                <w:szCs w:val="20"/>
              </w:rPr>
            </w:pPr>
          </w:p>
        </w:tc>
        <w:tc>
          <w:tcPr>
            <w:tcW w:w="3118" w:type="dxa"/>
          </w:tcPr>
          <w:p w14:paraId="28C1CB08" w14:textId="77777777" w:rsidR="00D15C1B" w:rsidRPr="00154588" w:rsidRDefault="00D15C1B" w:rsidP="008C12B4">
            <w:pPr>
              <w:jc w:val="both"/>
              <w:rPr>
                <w:bCs/>
                <w:sz w:val="20"/>
                <w:szCs w:val="20"/>
              </w:rPr>
            </w:pPr>
          </w:p>
        </w:tc>
      </w:tr>
      <w:tr w:rsidR="00D15C1B" w:rsidRPr="00154588" w14:paraId="64264CD2" w14:textId="77777777" w:rsidTr="00D15C1B">
        <w:trPr>
          <w:jc w:val="center"/>
        </w:trPr>
        <w:tc>
          <w:tcPr>
            <w:tcW w:w="4957" w:type="dxa"/>
            <w:gridSpan w:val="2"/>
          </w:tcPr>
          <w:p w14:paraId="283716E8" w14:textId="77777777" w:rsidR="00D15C1B" w:rsidRPr="00154588" w:rsidRDefault="00D15C1B" w:rsidP="008C12B4">
            <w:pPr>
              <w:rPr>
                <w:b/>
                <w:sz w:val="20"/>
                <w:szCs w:val="20"/>
              </w:rPr>
            </w:pPr>
            <w:r w:rsidRPr="00154588">
              <w:rPr>
                <w:b/>
                <w:sz w:val="20"/>
                <w:szCs w:val="20"/>
              </w:rPr>
              <w:t>Articolul 4</w:t>
            </w:r>
          </w:p>
          <w:p w14:paraId="6476973F" w14:textId="77777777" w:rsidR="00D15C1B" w:rsidRPr="00154588" w:rsidRDefault="00D15C1B" w:rsidP="008C12B4">
            <w:pPr>
              <w:rPr>
                <w:b/>
                <w:sz w:val="20"/>
                <w:szCs w:val="20"/>
              </w:rPr>
            </w:pPr>
          </w:p>
          <w:p w14:paraId="5DEAF2C8" w14:textId="34954B57" w:rsidR="00D15C1B" w:rsidRPr="00154588" w:rsidRDefault="00D15C1B" w:rsidP="008C12B4">
            <w:pPr>
              <w:rPr>
                <w:bCs/>
                <w:sz w:val="20"/>
                <w:szCs w:val="20"/>
              </w:rPr>
            </w:pPr>
            <w:r w:rsidRPr="00154588">
              <w:rPr>
                <w:b/>
                <w:sz w:val="20"/>
                <w:szCs w:val="20"/>
              </w:rPr>
              <w:t>Obligații simplificate pentru anumite instituții</w:t>
            </w:r>
          </w:p>
        </w:tc>
        <w:tc>
          <w:tcPr>
            <w:tcW w:w="4819" w:type="dxa"/>
          </w:tcPr>
          <w:p w14:paraId="183240D3" w14:textId="77777777" w:rsidR="00D15C1B" w:rsidRPr="00154588" w:rsidRDefault="00D15C1B" w:rsidP="008C12B4">
            <w:pPr>
              <w:jc w:val="both"/>
              <w:rPr>
                <w:sz w:val="20"/>
                <w:szCs w:val="20"/>
              </w:rPr>
            </w:pPr>
          </w:p>
        </w:tc>
        <w:tc>
          <w:tcPr>
            <w:tcW w:w="2552" w:type="dxa"/>
          </w:tcPr>
          <w:p w14:paraId="6892BC12" w14:textId="77777777" w:rsidR="00D15C1B" w:rsidRPr="00154588" w:rsidRDefault="00D15C1B" w:rsidP="008C12B4">
            <w:pPr>
              <w:jc w:val="both"/>
              <w:rPr>
                <w:bCs/>
                <w:sz w:val="20"/>
                <w:szCs w:val="20"/>
              </w:rPr>
            </w:pPr>
          </w:p>
        </w:tc>
        <w:tc>
          <w:tcPr>
            <w:tcW w:w="3118" w:type="dxa"/>
          </w:tcPr>
          <w:p w14:paraId="6045E6EA" w14:textId="77777777" w:rsidR="00D15C1B" w:rsidRPr="00154588" w:rsidRDefault="00D15C1B" w:rsidP="008C12B4">
            <w:pPr>
              <w:jc w:val="both"/>
              <w:rPr>
                <w:bCs/>
                <w:sz w:val="20"/>
                <w:szCs w:val="20"/>
              </w:rPr>
            </w:pPr>
          </w:p>
        </w:tc>
      </w:tr>
      <w:tr w:rsidR="00F40D0B" w:rsidRPr="00154588" w14:paraId="7643FD7A" w14:textId="77777777" w:rsidTr="00D15C1B">
        <w:trPr>
          <w:jc w:val="center"/>
        </w:trPr>
        <w:tc>
          <w:tcPr>
            <w:tcW w:w="4957" w:type="dxa"/>
            <w:gridSpan w:val="2"/>
          </w:tcPr>
          <w:p w14:paraId="3D167CC2" w14:textId="77777777" w:rsidR="00F40D0B" w:rsidRPr="00154588" w:rsidRDefault="00F40D0B" w:rsidP="008C12B4">
            <w:pPr>
              <w:jc w:val="both"/>
              <w:rPr>
                <w:bCs/>
                <w:sz w:val="20"/>
                <w:szCs w:val="20"/>
              </w:rPr>
            </w:pPr>
            <w:r w:rsidRPr="00154588">
              <w:rPr>
                <w:bCs/>
                <w:sz w:val="20"/>
                <w:szCs w:val="20"/>
              </w:rPr>
              <w:t xml:space="preserve">(1)   Având în vedere impactul pe care intrarea în dificultate a unei instituții l-ar putea avea asupra piețelor financiare, asupra altor instituții, asupra condițiilor de finanțare și asupra economiei în general, ca urmare a naturii activității sale, a structurii acționariatului, a formei juridice, a </w:t>
            </w:r>
            <w:r w:rsidRPr="00154588">
              <w:rPr>
                <w:bCs/>
                <w:sz w:val="20"/>
                <w:szCs w:val="20"/>
              </w:rPr>
              <w:lastRenderedPageBreak/>
              <w:t>profilului de risc, a dimensiunii și a statutului juridic sau a interconectării sale cu alte instituții sau cu sistemul financiar în general, a domeniului și complexității de activitate, a statutului de membru al unui SIP sau al altor sisteme de solidaritate reciprocă prevăzute la articolul 113 alineatul (7) din Regulamentul (UE) nr. 575/2013, precum și exercitarea de servicii sau activități de investiții astfel cum se prevede la articolul 4 alineatul (1) punctul 2 din Directiva 2014/65/UE, precum și având în vedere potențialele efecte pe care situația de dificultate și lichidarea sa ulterioară prin procedurile normale de insolvență le-ar avea, statele membre se asigură că autoritățile competente și autoritățile de rezoluție stabilesc:</w:t>
            </w:r>
          </w:p>
          <w:p w14:paraId="20DDA9C5" w14:textId="77777777" w:rsidR="00F40D0B" w:rsidRPr="00154588" w:rsidRDefault="00F40D0B" w:rsidP="008C12B4">
            <w:pPr>
              <w:jc w:val="both"/>
              <w:rPr>
                <w:bCs/>
                <w:sz w:val="20"/>
                <w:szCs w:val="20"/>
              </w:rPr>
            </w:pPr>
          </w:p>
          <w:p w14:paraId="49DB92A8" w14:textId="42ED0FF6" w:rsidR="00F40D0B" w:rsidRPr="00154588" w:rsidRDefault="00F40D0B" w:rsidP="008C12B4">
            <w:pPr>
              <w:jc w:val="both"/>
              <w:rPr>
                <w:bCs/>
                <w:sz w:val="20"/>
                <w:szCs w:val="20"/>
              </w:rPr>
            </w:pPr>
            <w:r w:rsidRPr="00154588">
              <w:rPr>
                <w:bCs/>
                <w:sz w:val="20"/>
                <w:szCs w:val="20"/>
              </w:rPr>
              <w:t>(a) conținutul și detaliile planurilor de redresare și de rezoluție prevăzute la articolele 5-12;</w:t>
            </w:r>
          </w:p>
          <w:p w14:paraId="27CEC876" w14:textId="77777777" w:rsidR="00F40D0B" w:rsidRPr="00154588" w:rsidRDefault="00F40D0B" w:rsidP="008C12B4">
            <w:pPr>
              <w:jc w:val="both"/>
              <w:rPr>
                <w:bCs/>
                <w:sz w:val="20"/>
                <w:szCs w:val="20"/>
              </w:rPr>
            </w:pPr>
          </w:p>
          <w:p w14:paraId="225CF4D5" w14:textId="34AD250A" w:rsidR="00F40D0B" w:rsidRPr="00154588" w:rsidRDefault="00F40D0B" w:rsidP="008C12B4">
            <w:pPr>
              <w:jc w:val="both"/>
              <w:rPr>
                <w:bCs/>
                <w:sz w:val="20"/>
                <w:szCs w:val="20"/>
              </w:rPr>
            </w:pPr>
            <w:r w:rsidRPr="00154588">
              <w:rPr>
                <w:bCs/>
                <w:sz w:val="20"/>
                <w:szCs w:val="20"/>
              </w:rPr>
              <w:t>(b) data până la care primele planuri de redresare și rezoluție sunt elaborate și frecvența pentru actualizarea acestor planuri, care poate fi inferioară celei prevăzute la articolul 5 alineatul (2), articolul 7 alineatul (5), articolul 10 alineatul (6) și articolul 13 alineatul (3);</w:t>
            </w:r>
          </w:p>
          <w:p w14:paraId="63295FDA" w14:textId="77777777" w:rsidR="00F40D0B" w:rsidRPr="00154588" w:rsidRDefault="00F40D0B" w:rsidP="008C12B4">
            <w:pPr>
              <w:jc w:val="both"/>
              <w:rPr>
                <w:bCs/>
                <w:sz w:val="20"/>
                <w:szCs w:val="20"/>
              </w:rPr>
            </w:pPr>
          </w:p>
          <w:p w14:paraId="046CCD83" w14:textId="14E51D99" w:rsidR="00F40D0B" w:rsidRPr="00154588" w:rsidRDefault="00F40D0B" w:rsidP="008C12B4">
            <w:pPr>
              <w:jc w:val="both"/>
              <w:rPr>
                <w:bCs/>
                <w:sz w:val="20"/>
                <w:szCs w:val="20"/>
              </w:rPr>
            </w:pPr>
            <w:r w:rsidRPr="00154588">
              <w:rPr>
                <w:bCs/>
                <w:sz w:val="20"/>
                <w:szCs w:val="20"/>
              </w:rPr>
              <w:t>(c) conținutul și detaliile informațiilor solicitate din partea instituțiilor în conformitate cu articolul 5 alineatul (5), articolul 11 alineatul (1) și articolul 12 alineatul (2) și în secțiunile A și B din anexă;</w:t>
            </w:r>
          </w:p>
          <w:p w14:paraId="5D14E059" w14:textId="77777777" w:rsidR="00F40D0B" w:rsidRPr="00154588" w:rsidRDefault="00F40D0B" w:rsidP="008C12B4">
            <w:pPr>
              <w:jc w:val="both"/>
              <w:rPr>
                <w:bCs/>
                <w:sz w:val="20"/>
                <w:szCs w:val="20"/>
              </w:rPr>
            </w:pPr>
          </w:p>
          <w:p w14:paraId="2C5E04E8" w14:textId="32F8FBEA" w:rsidR="00F40D0B" w:rsidRPr="00154588" w:rsidRDefault="00F40D0B" w:rsidP="008C12B4">
            <w:pPr>
              <w:jc w:val="both"/>
              <w:rPr>
                <w:bCs/>
                <w:sz w:val="20"/>
                <w:szCs w:val="20"/>
              </w:rPr>
            </w:pPr>
            <w:r w:rsidRPr="00154588">
              <w:rPr>
                <w:bCs/>
                <w:sz w:val="20"/>
                <w:szCs w:val="20"/>
              </w:rPr>
              <w:t>(d) nivelul de detaliere pentru evaluarea posibilității de soluționare prevăzut la articolele 15 și 16 și în secțiunea C din anexă;</w:t>
            </w:r>
          </w:p>
        </w:tc>
        <w:tc>
          <w:tcPr>
            <w:tcW w:w="4819" w:type="dxa"/>
          </w:tcPr>
          <w:p w14:paraId="28704251" w14:textId="77777777" w:rsidR="00F40D0B" w:rsidRPr="00154588" w:rsidRDefault="00F40D0B" w:rsidP="008C12B4">
            <w:pPr>
              <w:ind w:firstLine="567"/>
              <w:jc w:val="both"/>
              <w:rPr>
                <w:rFonts w:eastAsia="Calibri"/>
                <w:kern w:val="2"/>
                <w:sz w:val="20"/>
                <w:szCs w:val="20"/>
                <w14:ligatures w14:val="standardContextual"/>
              </w:rPr>
            </w:pPr>
            <w:r w:rsidRPr="00154588">
              <w:rPr>
                <w:rFonts w:eastAsia="Calibri"/>
                <w:b/>
                <w:sz w:val="20"/>
                <w:szCs w:val="20"/>
              </w:rPr>
              <w:lastRenderedPageBreak/>
              <w:t>Articolul 8. –</w:t>
            </w:r>
            <w:r w:rsidRPr="00154588">
              <w:rPr>
                <w:rFonts w:eastAsia="Calibri"/>
                <w:sz w:val="20"/>
                <w:szCs w:val="20"/>
              </w:rPr>
              <w:t xml:space="preserve"> (1) Prin excepţie de la dispoziţiile art.9-31</w:t>
            </w:r>
            <w:r w:rsidRPr="00154588">
              <w:rPr>
                <w:rFonts w:eastAsia="Calibri"/>
                <w:sz w:val="20"/>
                <w:szCs w:val="20"/>
                <w:vertAlign w:val="superscript"/>
              </w:rPr>
              <w:t>24</w:t>
            </w:r>
            <w:r w:rsidRPr="00154588">
              <w:rPr>
                <w:rFonts w:eastAsia="Calibri"/>
                <w:sz w:val="20"/>
                <w:szCs w:val="20"/>
              </w:rPr>
              <w:t>, având în vedere elementele prevăzute la art.1 alin.(2), precum şi evaluarea impactului pe care situaţia de dificultate</w:t>
            </w:r>
            <w:r w:rsidRPr="00154588" w:rsidDel="00941A26">
              <w:rPr>
                <w:rFonts w:eastAsia="Calibri"/>
                <w:sz w:val="20"/>
                <w:szCs w:val="20"/>
              </w:rPr>
              <w:t xml:space="preserve"> </w:t>
            </w:r>
            <w:r w:rsidRPr="00154588">
              <w:rPr>
                <w:rFonts w:eastAsia="Calibri"/>
                <w:sz w:val="20"/>
                <w:szCs w:val="20"/>
              </w:rPr>
              <w:t xml:space="preserve">a unei instituții de credit şi lichidarea sa prin procedura obișnuită de insolvabilitate l-ar putea avea </w:t>
            </w:r>
            <w:r w:rsidRPr="00154588">
              <w:rPr>
                <w:rFonts w:eastAsia="Calibri"/>
                <w:sz w:val="20"/>
                <w:szCs w:val="20"/>
              </w:rPr>
              <w:lastRenderedPageBreak/>
              <w:t>asupra pieţelor financiare, asupra altor instituții, asupra condiţiilor de finanţare şi asupra economiei per ansamblu, precum şi potenţialele efecte negative semnificative generate de situaţia de dificultate a instituției de credit, Banca Naţională a Moldovei, în calitate de autoritate competentă şi autoritate de rezoluţie, poate stabili cerinţe simplificate privind planul de redresare şi planul de rezoluţie al respectivei instituției de credit, în ceea ce priveşte:</w:t>
            </w:r>
          </w:p>
          <w:p w14:paraId="75ACDB50" w14:textId="77777777" w:rsidR="00F40D0B" w:rsidRPr="00154588" w:rsidRDefault="00F40D0B" w:rsidP="008C12B4">
            <w:pPr>
              <w:ind w:firstLine="567"/>
              <w:jc w:val="both"/>
              <w:rPr>
                <w:rFonts w:eastAsia="Calibri"/>
                <w:sz w:val="20"/>
                <w:szCs w:val="20"/>
              </w:rPr>
            </w:pPr>
            <w:r w:rsidRPr="00154588">
              <w:rPr>
                <w:rFonts w:eastAsia="Calibri"/>
                <w:sz w:val="20"/>
                <w:szCs w:val="20"/>
              </w:rPr>
              <w:t>a) conţinutul şi detaliile planurilor de redresare şi de rezoluţie prevăzute la art.9-31</w:t>
            </w:r>
            <w:r w:rsidRPr="00154588">
              <w:rPr>
                <w:rFonts w:eastAsia="Calibri"/>
                <w:sz w:val="20"/>
                <w:szCs w:val="20"/>
                <w:vertAlign w:val="superscript"/>
              </w:rPr>
              <w:t>24</w:t>
            </w:r>
            <w:r w:rsidRPr="00154588">
              <w:rPr>
                <w:rFonts w:eastAsia="Calibri"/>
                <w:sz w:val="20"/>
                <w:szCs w:val="20"/>
              </w:rPr>
              <w:t>;</w:t>
            </w:r>
          </w:p>
          <w:p w14:paraId="03668D9E" w14:textId="77777777" w:rsidR="00F40D0B" w:rsidRPr="00154588" w:rsidRDefault="00F40D0B" w:rsidP="008C12B4">
            <w:pPr>
              <w:ind w:firstLine="567"/>
              <w:jc w:val="both"/>
              <w:rPr>
                <w:rFonts w:eastAsia="Calibri"/>
                <w:sz w:val="20"/>
                <w:szCs w:val="20"/>
              </w:rPr>
            </w:pPr>
            <w:r w:rsidRPr="00154588">
              <w:rPr>
                <w:rFonts w:eastAsia="Calibri"/>
                <w:sz w:val="20"/>
                <w:szCs w:val="20"/>
              </w:rPr>
              <w:t>b) data pînă la care primele planuri de redresare şi de rezoluţie vor fi elaborate şi frecvenţa de actualizare a acestor planuri, care poate fi mai mică decît cea prevăzută în prezenta lege;</w:t>
            </w:r>
          </w:p>
          <w:p w14:paraId="10539C20" w14:textId="77777777" w:rsidR="00F40D0B" w:rsidRPr="00154588" w:rsidRDefault="00F40D0B" w:rsidP="008C12B4">
            <w:pPr>
              <w:ind w:firstLine="567"/>
              <w:jc w:val="both"/>
              <w:rPr>
                <w:rFonts w:eastAsia="Calibri"/>
                <w:sz w:val="20"/>
                <w:szCs w:val="20"/>
              </w:rPr>
            </w:pPr>
            <w:r w:rsidRPr="00154588">
              <w:rPr>
                <w:rFonts w:eastAsia="Calibri"/>
                <w:sz w:val="20"/>
                <w:szCs w:val="20"/>
              </w:rPr>
              <w:t>c) conţinutul şi nivelul de detaliere a informaţiilor solicitate instituțiilor de credit, în conformitate cu art.13 alin.(1) lit.a) şi b), art.31 alin.(1) şi secţiunile A şi B din anexa care face parte integrantă din prezenta lege;</w:t>
            </w:r>
          </w:p>
          <w:p w14:paraId="7299342A" w14:textId="77777777" w:rsidR="00F40D0B" w:rsidRPr="00154588" w:rsidRDefault="00F40D0B" w:rsidP="008C12B4">
            <w:pPr>
              <w:ind w:firstLine="567"/>
              <w:jc w:val="both"/>
              <w:rPr>
                <w:rFonts w:eastAsia="Calibri"/>
                <w:sz w:val="20"/>
                <w:szCs w:val="20"/>
              </w:rPr>
            </w:pPr>
            <w:r w:rsidRPr="00154588">
              <w:rPr>
                <w:rFonts w:eastAsia="Calibri"/>
                <w:sz w:val="20"/>
                <w:szCs w:val="20"/>
              </w:rPr>
              <w:t>d) nivelul de detaliere a informaţiilor necesare evaluării posibilităţii de soluţionare prevăzute la art.32-34 şi în secţiunea C din anexa care face parte integrantă din prezenta lege.</w:t>
            </w:r>
          </w:p>
          <w:p w14:paraId="479FA08C" w14:textId="77777777" w:rsidR="00F40D0B" w:rsidRPr="00154588" w:rsidRDefault="00F40D0B" w:rsidP="008C12B4">
            <w:pPr>
              <w:jc w:val="both"/>
              <w:rPr>
                <w:bCs/>
                <w:sz w:val="20"/>
                <w:szCs w:val="20"/>
              </w:rPr>
            </w:pPr>
          </w:p>
        </w:tc>
        <w:tc>
          <w:tcPr>
            <w:tcW w:w="2552" w:type="dxa"/>
          </w:tcPr>
          <w:p w14:paraId="6F72BED0" w14:textId="72482EFA" w:rsidR="00F40D0B" w:rsidRPr="00154588" w:rsidRDefault="00F40D0B" w:rsidP="008C12B4">
            <w:pPr>
              <w:jc w:val="both"/>
              <w:rPr>
                <w:bCs/>
                <w:sz w:val="20"/>
                <w:szCs w:val="20"/>
              </w:rPr>
            </w:pPr>
            <w:r w:rsidRPr="00154588">
              <w:rPr>
                <w:bCs/>
                <w:sz w:val="20"/>
                <w:szCs w:val="20"/>
              </w:rPr>
              <w:lastRenderedPageBreak/>
              <w:t>Compatibil</w:t>
            </w:r>
          </w:p>
        </w:tc>
        <w:tc>
          <w:tcPr>
            <w:tcW w:w="3118" w:type="dxa"/>
          </w:tcPr>
          <w:p w14:paraId="200F191E" w14:textId="77777777" w:rsidR="00F40D0B" w:rsidRPr="00154588" w:rsidRDefault="00F40D0B" w:rsidP="008C12B4">
            <w:pPr>
              <w:jc w:val="both"/>
              <w:rPr>
                <w:bCs/>
                <w:sz w:val="20"/>
                <w:szCs w:val="20"/>
              </w:rPr>
            </w:pPr>
          </w:p>
        </w:tc>
      </w:tr>
      <w:tr w:rsidR="00F40D0B" w:rsidRPr="00154588" w14:paraId="0F6A1BA0" w14:textId="77777777" w:rsidTr="00D15C1B">
        <w:trPr>
          <w:jc w:val="center"/>
        </w:trPr>
        <w:tc>
          <w:tcPr>
            <w:tcW w:w="4957" w:type="dxa"/>
            <w:gridSpan w:val="2"/>
          </w:tcPr>
          <w:p w14:paraId="296015A7" w14:textId="3C9A7E44" w:rsidR="00F40D0B" w:rsidRPr="00154588" w:rsidRDefault="00F40D0B" w:rsidP="008C12B4">
            <w:pPr>
              <w:jc w:val="both"/>
              <w:rPr>
                <w:bCs/>
                <w:sz w:val="20"/>
                <w:szCs w:val="20"/>
              </w:rPr>
            </w:pPr>
            <w:r w:rsidRPr="00154588">
              <w:rPr>
                <w:bCs/>
                <w:sz w:val="20"/>
                <w:szCs w:val="20"/>
              </w:rPr>
              <w:t>(2) Autoritățile competente și, după caz, autoritățile de rezoluție efectuează evaluarea menționată la alineatul (1) în urma consultării, după caz, cu autoritatea națională macroprudențială.</w:t>
            </w:r>
          </w:p>
        </w:tc>
        <w:tc>
          <w:tcPr>
            <w:tcW w:w="4819" w:type="dxa"/>
          </w:tcPr>
          <w:p w14:paraId="29965DA1" w14:textId="1B207A58" w:rsidR="00F40D0B" w:rsidRPr="00154588" w:rsidRDefault="00F40D0B" w:rsidP="008C12B4">
            <w:pPr>
              <w:jc w:val="both"/>
              <w:rPr>
                <w:sz w:val="20"/>
                <w:szCs w:val="20"/>
              </w:rPr>
            </w:pPr>
            <w:r w:rsidRPr="00154588">
              <w:rPr>
                <w:rFonts w:eastAsia="Calibri"/>
                <w:b/>
                <w:bCs/>
                <w:sz w:val="20"/>
                <w:szCs w:val="20"/>
              </w:rPr>
              <w:t>Articolul 8.</w:t>
            </w:r>
            <w:r w:rsidRPr="00154588">
              <w:rPr>
                <w:rFonts w:eastAsia="Calibri"/>
                <w:sz w:val="20"/>
                <w:szCs w:val="20"/>
              </w:rPr>
              <w:t xml:space="preserve"> – (2) Evaluarea de la alin.(1) se va realiza de către Banca Naţională a Moldovei, dacă este cazul, după consultarea cu autoritatea naţională macroprudenţială desemnată.</w:t>
            </w:r>
          </w:p>
        </w:tc>
        <w:tc>
          <w:tcPr>
            <w:tcW w:w="2552" w:type="dxa"/>
          </w:tcPr>
          <w:p w14:paraId="011D0209" w14:textId="14BE1F6C" w:rsidR="00F40D0B" w:rsidRPr="00154588" w:rsidRDefault="00F40D0B" w:rsidP="008C12B4">
            <w:pPr>
              <w:jc w:val="both"/>
              <w:rPr>
                <w:bCs/>
                <w:sz w:val="20"/>
                <w:szCs w:val="20"/>
              </w:rPr>
            </w:pPr>
            <w:r w:rsidRPr="00154588">
              <w:rPr>
                <w:bCs/>
                <w:sz w:val="20"/>
                <w:szCs w:val="20"/>
              </w:rPr>
              <w:t>Compatibil</w:t>
            </w:r>
          </w:p>
        </w:tc>
        <w:tc>
          <w:tcPr>
            <w:tcW w:w="3118" w:type="dxa"/>
          </w:tcPr>
          <w:p w14:paraId="50E3D43B" w14:textId="77777777" w:rsidR="00F40D0B" w:rsidRPr="00154588" w:rsidRDefault="00F40D0B" w:rsidP="008C12B4">
            <w:pPr>
              <w:jc w:val="both"/>
              <w:rPr>
                <w:bCs/>
                <w:sz w:val="20"/>
                <w:szCs w:val="20"/>
              </w:rPr>
            </w:pPr>
          </w:p>
        </w:tc>
      </w:tr>
      <w:tr w:rsidR="00F40D0B" w:rsidRPr="00154588" w14:paraId="73AC2FEB" w14:textId="77777777" w:rsidTr="00D15C1B">
        <w:trPr>
          <w:jc w:val="center"/>
        </w:trPr>
        <w:tc>
          <w:tcPr>
            <w:tcW w:w="4957" w:type="dxa"/>
            <w:gridSpan w:val="2"/>
          </w:tcPr>
          <w:p w14:paraId="74B2860A" w14:textId="24C690BC" w:rsidR="00F40D0B" w:rsidRPr="00154588" w:rsidRDefault="00F40D0B" w:rsidP="008C12B4">
            <w:pPr>
              <w:jc w:val="both"/>
              <w:rPr>
                <w:bCs/>
                <w:sz w:val="20"/>
                <w:szCs w:val="20"/>
              </w:rPr>
            </w:pPr>
            <w:r w:rsidRPr="00154588">
              <w:rPr>
                <w:bCs/>
                <w:sz w:val="20"/>
                <w:szCs w:val="20"/>
              </w:rPr>
              <w:t>(3) Statele membre se asigură că, în cazurile în care sunt prevăzute cerințe simplificate, autoritățile competente și, după caz, autoritățile de rezoluție pot impune în orice moment cerințe standard.</w:t>
            </w:r>
          </w:p>
        </w:tc>
        <w:tc>
          <w:tcPr>
            <w:tcW w:w="4819" w:type="dxa"/>
          </w:tcPr>
          <w:p w14:paraId="7B843202" w14:textId="73C41210" w:rsidR="00F40D0B" w:rsidRPr="00154588" w:rsidRDefault="00F40D0B" w:rsidP="008C12B4">
            <w:pPr>
              <w:ind w:firstLine="567"/>
              <w:jc w:val="both"/>
              <w:rPr>
                <w:sz w:val="20"/>
                <w:szCs w:val="20"/>
              </w:rPr>
            </w:pPr>
            <w:r w:rsidRPr="00154588">
              <w:rPr>
                <w:rFonts w:eastAsia="Calibri"/>
                <w:b/>
                <w:bCs/>
                <w:sz w:val="20"/>
                <w:szCs w:val="20"/>
              </w:rPr>
              <w:t>Articolul 8.</w:t>
            </w:r>
            <w:r w:rsidRPr="00154588">
              <w:rPr>
                <w:rFonts w:eastAsia="Calibri"/>
                <w:sz w:val="20"/>
                <w:szCs w:val="20"/>
              </w:rPr>
              <w:t xml:space="preserve"> – (3) Banca Naţională a Moldovei, în calitate de autoritate competentă, şi, după caz, de autoritate de rezoluţie, poate impune în orice moment unei instituții de credit căreia i-au fost aplicate cerinţe simplificate, potrivit alin.(1), trecerea la aplicarea integrală a cerinţelor prevăzute la art.9-31</w:t>
            </w:r>
            <w:r w:rsidRPr="00154588">
              <w:rPr>
                <w:rFonts w:eastAsia="Calibri"/>
                <w:sz w:val="20"/>
                <w:szCs w:val="20"/>
                <w:vertAlign w:val="superscript"/>
              </w:rPr>
              <w:t>24</w:t>
            </w:r>
            <w:r w:rsidRPr="00154588">
              <w:rPr>
                <w:rFonts w:eastAsia="Calibri"/>
                <w:sz w:val="20"/>
                <w:szCs w:val="20"/>
              </w:rPr>
              <w:t>, cu stabilirea şi comunicarea termenului de conformare a institutiei de credit la noile cerinţe.</w:t>
            </w:r>
          </w:p>
        </w:tc>
        <w:tc>
          <w:tcPr>
            <w:tcW w:w="2552" w:type="dxa"/>
          </w:tcPr>
          <w:p w14:paraId="499ADEDD" w14:textId="07C1997C" w:rsidR="00F40D0B" w:rsidRPr="00154588" w:rsidRDefault="00F40D0B" w:rsidP="008C12B4">
            <w:pPr>
              <w:jc w:val="both"/>
              <w:rPr>
                <w:bCs/>
                <w:sz w:val="20"/>
                <w:szCs w:val="20"/>
              </w:rPr>
            </w:pPr>
            <w:r w:rsidRPr="00154588">
              <w:rPr>
                <w:bCs/>
                <w:sz w:val="20"/>
                <w:szCs w:val="20"/>
              </w:rPr>
              <w:t>Compatibil</w:t>
            </w:r>
          </w:p>
        </w:tc>
        <w:tc>
          <w:tcPr>
            <w:tcW w:w="3118" w:type="dxa"/>
          </w:tcPr>
          <w:p w14:paraId="55649F8C" w14:textId="77777777" w:rsidR="00F40D0B" w:rsidRPr="00154588" w:rsidRDefault="00F40D0B" w:rsidP="008C12B4">
            <w:pPr>
              <w:jc w:val="both"/>
              <w:rPr>
                <w:bCs/>
                <w:sz w:val="20"/>
                <w:szCs w:val="20"/>
              </w:rPr>
            </w:pPr>
          </w:p>
        </w:tc>
      </w:tr>
      <w:tr w:rsidR="00F40D0B" w:rsidRPr="00154588" w14:paraId="0BE4E13C" w14:textId="77777777" w:rsidTr="00D15C1B">
        <w:trPr>
          <w:jc w:val="center"/>
        </w:trPr>
        <w:tc>
          <w:tcPr>
            <w:tcW w:w="4957" w:type="dxa"/>
            <w:gridSpan w:val="2"/>
          </w:tcPr>
          <w:p w14:paraId="2FB74614" w14:textId="0C8B480B" w:rsidR="00F40D0B" w:rsidRPr="00154588" w:rsidRDefault="00F40D0B" w:rsidP="008C12B4">
            <w:pPr>
              <w:jc w:val="both"/>
              <w:rPr>
                <w:bCs/>
                <w:sz w:val="20"/>
                <w:szCs w:val="20"/>
              </w:rPr>
            </w:pPr>
            <w:r w:rsidRPr="00154588">
              <w:rPr>
                <w:bCs/>
                <w:sz w:val="20"/>
                <w:szCs w:val="20"/>
              </w:rPr>
              <w:t xml:space="preserve">(4)   Statele membre se asigură că aplicarea unor obligații simplificate nu afectează, în sine, competențele autorității </w:t>
            </w:r>
            <w:r w:rsidRPr="00154588">
              <w:rPr>
                <w:bCs/>
                <w:sz w:val="20"/>
                <w:szCs w:val="20"/>
              </w:rPr>
              <w:lastRenderedPageBreak/>
              <w:t>competente și, după caz, ale autorității de rezoluție de a lua măsuri de prevenire a crizelor sau măsuri de gestionare a crizelor.</w:t>
            </w:r>
          </w:p>
        </w:tc>
        <w:tc>
          <w:tcPr>
            <w:tcW w:w="4819" w:type="dxa"/>
          </w:tcPr>
          <w:p w14:paraId="48FBAFB9" w14:textId="289B1BD6" w:rsidR="00F40D0B" w:rsidRPr="00154588" w:rsidRDefault="00F40D0B" w:rsidP="008C12B4">
            <w:pPr>
              <w:ind w:firstLine="567"/>
              <w:jc w:val="both"/>
              <w:rPr>
                <w:sz w:val="20"/>
                <w:szCs w:val="20"/>
              </w:rPr>
            </w:pPr>
            <w:r w:rsidRPr="00154588">
              <w:rPr>
                <w:rFonts w:eastAsia="Calibri"/>
                <w:b/>
                <w:bCs/>
                <w:sz w:val="20"/>
                <w:szCs w:val="20"/>
              </w:rPr>
              <w:lastRenderedPageBreak/>
              <w:t>Articolul 8.</w:t>
            </w:r>
            <w:r w:rsidRPr="00154588">
              <w:rPr>
                <w:rFonts w:eastAsia="Calibri"/>
                <w:sz w:val="20"/>
                <w:szCs w:val="20"/>
              </w:rPr>
              <w:t xml:space="preserve"> – (4) Aplicarea cerinţelor simplificate, prevăzute la alin.(1), nu afectează competenţele Băncii </w:t>
            </w:r>
            <w:r w:rsidRPr="00154588">
              <w:rPr>
                <w:rFonts w:eastAsia="Calibri"/>
                <w:sz w:val="20"/>
                <w:szCs w:val="20"/>
              </w:rPr>
              <w:lastRenderedPageBreak/>
              <w:t>Naţionale a Moldovei, în calitate de autoritate competentă sau, după caz, de autoritate de rezoluţie, de a dispune măsuri de prevenire a crizelor sau măsuri de gestionare a crizelor.</w:t>
            </w:r>
          </w:p>
        </w:tc>
        <w:tc>
          <w:tcPr>
            <w:tcW w:w="2552" w:type="dxa"/>
          </w:tcPr>
          <w:p w14:paraId="2D732BC6" w14:textId="1EAB33D0" w:rsidR="00F40D0B" w:rsidRPr="00154588" w:rsidRDefault="00F40D0B" w:rsidP="008C12B4">
            <w:pPr>
              <w:jc w:val="both"/>
              <w:rPr>
                <w:bCs/>
                <w:sz w:val="20"/>
                <w:szCs w:val="20"/>
              </w:rPr>
            </w:pPr>
            <w:r w:rsidRPr="00154588">
              <w:rPr>
                <w:bCs/>
                <w:sz w:val="20"/>
                <w:szCs w:val="20"/>
              </w:rPr>
              <w:lastRenderedPageBreak/>
              <w:t>Compatibil</w:t>
            </w:r>
          </w:p>
        </w:tc>
        <w:tc>
          <w:tcPr>
            <w:tcW w:w="3118" w:type="dxa"/>
          </w:tcPr>
          <w:p w14:paraId="36631C14" w14:textId="77777777" w:rsidR="00F40D0B" w:rsidRPr="00154588" w:rsidRDefault="00F40D0B" w:rsidP="008C12B4">
            <w:pPr>
              <w:jc w:val="both"/>
              <w:rPr>
                <w:bCs/>
                <w:sz w:val="20"/>
                <w:szCs w:val="20"/>
              </w:rPr>
            </w:pPr>
          </w:p>
        </w:tc>
      </w:tr>
      <w:tr w:rsidR="00456CF7" w:rsidRPr="00154588" w14:paraId="2BE809ED" w14:textId="77777777" w:rsidTr="00D15C1B">
        <w:trPr>
          <w:jc w:val="center"/>
        </w:trPr>
        <w:tc>
          <w:tcPr>
            <w:tcW w:w="4957" w:type="dxa"/>
            <w:gridSpan w:val="2"/>
          </w:tcPr>
          <w:p w14:paraId="66A183ED" w14:textId="49BC5A7D" w:rsidR="00456CF7" w:rsidRPr="00154588" w:rsidRDefault="00456CF7" w:rsidP="008C12B4">
            <w:pPr>
              <w:jc w:val="both"/>
              <w:rPr>
                <w:bCs/>
                <w:sz w:val="20"/>
                <w:szCs w:val="20"/>
              </w:rPr>
            </w:pPr>
            <w:r w:rsidRPr="00154588">
              <w:rPr>
                <w:bCs/>
                <w:sz w:val="20"/>
                <w:szCs w:val="20"/>
              </w:rPr>
              <w:t>(5)   Până la 3 iulie 2015, ABE elaborează orientări, în conformitate cu articolul 16 din Regulamentul (UE) nr. 1093/2010, pentru a preciza criteriile menționate la alineatul (1), pentru a evalua, în conformitate cu respectivul alineat, impactul intrării în dificultate a unei instituții asupra piețelor financiare, asupra altor instituții și asupra condițiile de finanțare.</w:t>
            </w:r>
          </w:p>
        </w:tc>
        <w:tc>
          <w:tcPr>
            <w:tcW w:w="4819" w:type="dxa"/>
          </w:tcPr>
          <w:p w14:paraId="3AB55A3D" w14:textId="4D652C12" w:rsidR="00456CF7" w:rsidRPr="00154588" w:rsidRDefault="00456CF7" w:rsidP="008C12B4">
            <w:pPr>
              <w:jc w:val="center"/>
              <w:rPr>
                <w:bCs/>
                <w:sz w:val="20"/>
                <w:szCs w:val="20"/>
              </w:rPr>
            </w:pPr>
            <w:r w:rsidRPr="00154588">
              <w:rPr>
                <w:bCs/>
                <w:sz w:val="20"/>
                <w:szCs w:val="20"/>
              </w:rPr>
              <w:t>-</w:t>
            </w:r>
          </w:p>
        </w:tc>
        <w:tc>
          <w:tcPr>
            <w:tcW w:w="2552" w:type="dxa"/>
          </w:tcPr>
          <w:p w14:paraId="54D0A17C" w14:textId="3D587D4A" w:rsidR="00456CF7" w:rsidRPr="00154588" w:rsidRDefault="00456CF7" w:rsidP="008C12B4">
            <w:pPr>
              <w:jc w:val="both"/>
              <w:rPr>
                <w:bCs/>
                <w:sz w:val="20"/>
                <w:szCs w:val="20"/>
              </w:rPr>
            </w:pPr>
            <w:r w:rsidRPr="00154588">
              <w:rPr>
                <w:bCs/>
                <w:sz w:val="20"/>
                <w:szCs w:val="20"/>
              </w:rPr>
              <w:t>Norme UE neaplicabile</w:t>
            </w:r>
          </w:p>
        </w:tc>
        <w:tc>
          <w:tcPr>
            <w:tcW w:w="3118" w:type="dxa"/>
          </w:tcPr>
          <w:p w14:paraId="62CFFBC5" w14:textId="339438B6" w:rsidR="00456CF7" w:rsidRPr="00154588" w:rsidRDefault="00456CF7" w:rsidP="008C12B4">
            <w:pPr>
              <w:jc w:val="both"/>
              <w:rPr>
                <w:bCs/>
                <w:sz w:val="20"/>
                <w:szCs w:val="20"/>
              </w:rPr>
            </w:pPr>
            <w:r w:rsidRPr="00154588">
              <w:rPr>
                <w:bCs/>
                <w:sz w:val="20"/>
                <w:szCs w:val="20"/>
                <w:lang w:val="ro-MD"/>
              </w:rPr>
              <w:t>Prevederi care se referă la atribuțiile de reglementare ale autorităților europene.</w:t>
            </w:r>
          </w:p>
        </w:tc>
      </w:tr>
      <w:tr w:rsidR="00456CF7" w:rsidRPr="00154588" w14:paraId="5A20338F" w14:textId="77777777" w:rsidTr="00D15C1B">
        <w:trPr>
          <w:jc w:val="center"/>
        </w:trPr>
        <w:tc>
          <w:tcPr>
            <w:tcW w:w="4957" w:type="dxa"/>
            <w:gridSpan w:val="2"/>
          </w:tcPr>
          <w:p w14:paraId="3C313052" w14:textId="77777777" w:rsidR="00456CF7" w:rsidRPr="00154588" w:rsidRDefault="00456CF7" w:rsidP="008C12B4">
            <w:pPr>
              <w:jc w:val="both"/>
              <w:rPr>
                <w:bCs/>
                <w:sz w:val="20"/>
                <w:szCs w:val="20"/>
              </w:rPr>
            </w:pPr>
            <w:r w:rsidRPr="00154588">
              <w:rPr>
                <w:bCs/>
                <w:sz w:val="20"/>
                <w:szCs w:val="20"/>
              </w:rPr>
              <w:t>(6)   Luând în considerare, după caz, experiența dobândită în punerea în aplicare a orientărilor menționate la alineatul (5), ABE este abilitată să elaboreze proiecte de standarde tehnice de reglementare cu scopul de a preciza criteriile menționate la alineatul (1), pentru a evalua, în conformitate cu alineatul (1), impactul intrării în dificultate a unei instituții asupra piețelor financiare, asupra altor instituții și asupra condițiilor de finanțare.</w:t>
            </w:r>
          </w:p>
          <w:p w14:paraId="112E3D2C" w14:textId="77777777" w:rsidR="00456CF7" w:rsidRPr="00154588" w:rsidRDefault="00456CF7" w:rsidP="008C12B4">
            <w:pPr>
              <w:jc w:val="both"/>
              <w:rPr>
                <w:bCs/>
                <w:sz w:val="20"/>
                <w:szCs w:val="20"/>
              </w:rPr>
            </w:pPr>
          </w:p>
          <w:p w14:paraId="472BCBD0" w14:textId="77777777" w:rsidR="00456CF7" w:rsidRPr="00154588" w:rsidRDefault="00456CF7" w:rsidP="008C12B4">
            <w:pPr>
              <w:jc w:val="both"/>
              <w:rPr>
                <w:bCs/>
                <w:sz w:val="20"/>
                <w:szCs w:val="20"/>
              </w:rPr>
            </w:pPr>
          </w:p>
          <w:p w14:paraId="6F60959A" w14:textId="207BC470" w:rsidR="00456CF7" w:rsidRPr="00154588" w:rsidRDefault="00456CF7" w:rsidP="008C12B4">
            <w:pPr>
              <w:jc w:val="both"/>
              <w:rPr>
                <w:bCs/>
                <w:sz w:val="20"/>
                <w:szCs w:val="20"/>
              </w:rPr>
            </w:pPr>
            <w:r w:rsidRPr="00154588">
              <w:rPr>
                <w:bCs/>
                <w:sz w:val="20"/>
                <w:szCs w:val="20"/>
              </w:rPr>
              <w:t>ABE înaintează Comisiei aceste proiecte de standarde tehnice de reglementare până la 3 iulie 2017.</w:t>
            </w:r>
          </w:p>
          <w:p w14:paraId="67582F9A" w14:textId="77777777" w:rsidR="00456CF7" w:rsidRPr="00154588" w:rsidRDefault="00456CF7" w:rsidP="008C12B4">
            <w:pPr>
              <w:jc w:val="both"/>
              <w:rPr>
                <w:bCs/>
                <w:sz w:val="20"/>
                <w:szCs w:val="20"/>
              </w:rPr>
            </w:pPr>
          </w:p>
          <w:p w14:paraId="7FD19A04" w14:textId="3D270E1F" w:rsidR="00456CF7" w:rsidRPr="00154588" w:rsidRDefault="00456CF7" w:rsidP="008C12B4">
            <w:pPr>
              <w:jc w:val="both"/>
              <w:rPr>
                <w:bCs/>
                <w:sz w:val="20"/>
                <w:szCs w:val="20"/>
              </w:rPr>
            </w:pPr>
            <w:r w:rsidRPr="00154588">
              <w:rPr>
                <w:bCs/>
                <w:sz w:val="20"/>
                <w:szCs w:val="20"/>
              </w:rPr>
              <w:t>Se conferă Comisiei competența de a adopta standardele tehnice de reglementare menționate la primul paragraf în conformitate cu articolele 10-14 din Regulamentul (UE) nr. 1093/2010.</w:t>
            </w:r>
          </w:p>
        </w:tc>
        <w:tc>
          <w:tcPr>
            <w:tcW w:w="4819" w:type="dxa"/>
          </w:tcPr>
          <w:p w14:paraId="750D7265" w14:textId="256CB2A8" w:rsidR="00456CF7" w:rsidRPr="00154588" w:rsidRDefault="00456CF7" w:rsidP="008C12B4">
            <w:pPr>
              <w:jc w:val="center"/>
              <w:rPr>
                <w:bCs/>
                <w:sz w:val="20"/>
                <w:szCs w:val="20"/>
              </w:rPr>
            </w:pPr>
            <w:r w:rsidRPr="00154588">
              <w:rPr>
                <w:bCs/>
                <w:sz w:val="20"/>
                <w:szCs w:val="20"/>
              </w:rPr>
              <w:t>-</w:t>
            </w:r>
          </w:p>
        </w:tc>
        <w:tc>
          <w:tcPr>
            <w:tcW w:w="2552" w:type="dxa"/>
          </w:tcPr>
          <w:p w14:paraId="028B31C5" w14:textId="560EA122" w:rsidR="00456CF7" w:rsidRPr="00154588" w:rsidRDefault="00456CF7" w:rsidP="008C12B4">
            <w:pPr>
              <w:jc w:val="both"/>
              <w:rPr>
                <w:bCs/>
                <w:sz w:val="20"/>
                <w:szCs w:val="20"/>
              </w:rPr>
            </w:pPr>
            <w:r w:rsidRPr="00154588">
              <w:rPr>
                <w:bCs/>
                <w:sz w:val="20"/>
                <w:szCs w:val="20"/>
              </w:rPr>
              <w:t>Norme UE neaplicabile</w:t>
            </w:r>
          </w:p>
        </w:tc>
        <w:tc>
          <w:tcPr>
            <w:tcW w:w="3118" w:type="dxa"/>
          </w:tcPr>
          <w:p w14:paraId="31010345" w14:textId="2D335A63" w:rsidR="00456CF7" w:rsidRPr="00154588" w:rsidRDefault="00456CF7" w:rsidP="008C12B4">
            <w:pPr>
              <w:jc w:val="both"/>
              <w:rPr>
                <w:bCs/>
                <w:sz w:val="20"/>
                <w:szCs w:val="20"/>
              </w:rPr>
            </w:pPr>
            <w:r w:rsidRPr="00154588">
              <w:rPr>
                <w:bCs/>
                <w:sz w:val="20"/>
                <w:szCs w:val="20"/>
                <w:lang w:val="ro-MD"/>
              </w:rPr>
              <w:t>Prevederi care se referă la atribuțiile de reglementare ale autorităților europene.</w:t>
            </w:r>
          </w:p>
        </w:tc>
      </w:tr>
      <w:tr w:rsidR="00F40D0B" w:rsidRPr="00154588" w14:paraId="7811B11C" w14:textId="77777777" w:rsidTr="00D15C1B">
        <w:trPr>
          <w:jc w:val="center"/>
        </w:trPr>
        <w:tc>
          <w:tcPr>
            <w:tcW w:w="4957" w:type="dxa"/>
            <w:gridSpan w:val="2"/>
          </w:tcPr>
          <w:p w14:paraId="15B6A5F4" w14:textId="77777777" w:rsidR="00F40D0B" w:rsidRPr="00154588" w:rsidRDefault="00F40D0B" w:rsidP="008C12B4">
            <w:pPr>
              <w:jc w:val="both"/>
              <w:rPr>
                <w:bCs/>
                <w:sz w:val="20"/>
                <w:szCs w:val="20"/>
              </w:rPr>
            </w:pPr>
          </w:p>
        </w:tc>
        <w:tc>
          <w:tcPr>
            <w:tcW w:w="4819" w:type="dxa"/>
          </w:tcPr>
          <w:p w14:paraId="20BA92A6" w14:textId="77777777" w:rsidR="00F40D0B" w:rsidRPr="00154588" w:rsidRDefault="00F40D0B" w:rsidP="008C12B4">
            <w:pPr>
              <w:jc w:val="both"/>
              <w:rPr>
                <w:rFonts w:eastAsia="Calibri"/>
                <w:sz w:val="20"/>
                <w:szCs w:val="20"/>
              </w:rPr>
            </w:pPr>
            <w:r w:rsidRPr="00154588">
              <w:rPr>
                <w:rFonts w:eastAsia="Calibri"/>
                <w:b/>
                <w:bCs/>
                <w:sz w:val="20"/>
                <w:szCs w:val="20"/>
              </w:rPr>
              <w:t>Articolul 8.</w:t>
            </w:r>
            <w:r w:rsidRPr="00154588">
              <w:rPr>
                <w:rFonts w:eastAsia="Calibri"/>
                <w:sz w:val="20"/>
                <w:szCs w:val="20"/>
              </w:rPr>
              <w:t xml:space="preserve"> – (5) Banca Naţională a Moldovei nu este obligată să pună în aplicare măsurile prevăzute în planurile de redresare şi rezoluţie şi poate dispune aplicarea oricărei alte măsuri sau să exercite orice competenţă de care dispune în vederea exercitării atribuţiilor de autoritate competentă sau autoritate de rezoluţie, după caz.</w:t>
            </w:r>
          </w:p>
          <w:p w14:paraId="1B092DB3" w14:textId="3098A593" w:rsidR="00F40D0B" w:rsidRPr="00154588" w:rsidRDefault="00F40D0B" w:rsidP="008C12B4">
            <w:pPr>
              <w:jc w:val="both"/>
              <w:rPr>
                <w:bCs/>
                <w:sz w:val="20"/>
                <w:szCs w:val="20"/>
              </w:rPr>
            </w:pPr>
            <w:r w:rsidRPr="00154588">
              <w:rPr>
                <w:rFonts w:eastAsia="Calibri"/>
                <w:sz w:val="20"/>
                <w:szCs w:val="20"/>
              </w:rPr>
              <w:t>(6) Banca Naţională a Moldovei emite reglementări în vederea punerii în aplicare a dispoziţiilor art.9-31</w:t>
            </w:r>
            <w:r w:rsidRPr="00154588">
              <w:rPr>
                <w:rFonts w:eastAsia="Calibri"/>
                <w:sz w:val="20"/>
                <w:szCs w:val="20"/>
                <w:vertAlign w:val="superscript"/>
              </w:rPr>
              <w:t>24</w:t>
            </w:r>
            <w:r w:rsidRPr="00154588">
              <w:rPr>
                <w:rFonts w:eastAsia="Calibri"/>
                <w:sz w:val="20"/>
                <w:szCs w:val="20"/>
              </w:rPr>
              <w:t>, inclusiv în ceea ce priveşte procedurile de elaborare şi evaluare a planurilor de redresare şi rezoluţie</w:t>
            </w:r>
          </w:p>
        </w:tc>
        <w:tc>
          <w:tcPr>
            <w:tcW w:w="2552" w:type="dxa"/>
          </w:tcPr>
          <w:p w14:paraId="4A2AFE60" w14:textId="6B63AE4A" w:rsidR="00F40D0B" w:rsidRPr="00154588" w:rsidRDefault="001E7EB6" w:rsidP="008C12B4">
            <w:pPr>
              <w:jc w:val="both"/>
              <w:rPr>
                <w:bCs/>
                <w:sz w:val="20"/>
                <w:szCs w:val="20"/>
              </w:rPr>
            </w:pPr>
            <w:r w:rsidRPr="00154588">
              <w:rPr>
                <w:bCs/>
                <w:sz w:val="20"/>
                <w:szCs w:val="20"/>
              </w:rPr>
              <w:t>Compatibil</w:t>
            </w:r>
          </w:p>
        </w:tc>
        <w:tc>
          <w:tcPr>
            <w:tcW w:w="3118" w:type="dxa"/>
          </w:tcPr>
          <w:p w14:paraId="6E6D7440" w14:textId="77777777" w:rsidR="00F40D0B" w:rsidRPr="00154588" w:rsidRDefault="00F40D0B" w:rsidP="008C12B4">
            <w:pPr>
              <w:jc w:val="both"/>
              <w:rPr>
                <w:bCs/>
                <w:sz w:val="20"/>
                <w:szCs w:val="20"/>
              </w:rPr>
            </w:pPr>
          </w:p>
        </w:tc>
      </w:tr>
      <w:tr w:rsidR="00F40D0B" w:rsidRPr="00154588" w14:paraId="6F51CCEC" w14:textId="77777777" w:rsidTr="00D15C1B">
        <w:trPr>
          <w:jc w:val="center"/>
        </w:trPr>
        <w:tc>
          <w:tcPr>
            <w:tcW w:w="4957" w:type="dxa"/>
            <w:gridSpan w:val="2"/>
          </w:tcPr>
          <w:p w14:paraId="2066D29D" w14:textId="1BF5BC64" w:rsidR="00F40D0B" w:rsidRPr="00154588" w:rsidRDefault="00F40D0B" w:rsidP="008C12B4">
            <w:pPr>
              <w:jc w:val="both"/>
              <w:rPr>
                <w:bCs/>
                <w:sz w:val="20"/>
                <w:szCs w:val="20"/>
              </w:rPr>
            </w:pPr>
            <w:r w:rsidRPr="00154588">
              <w:rPr>
                <w:bCs/>
                <w:sz w:val="20"/>
                <w:szCs w:val="20"/>
              </w:rPr>
              <w:t xml:space="preserve">(7)   Autoritățile competente și autoritățile de rezoluție informează ABE în legătură cu modul în care au aplicat dispozițiile de la alineatele (1), (8), (9) și (10) instituțiilor aflate în propria jurisdicție. ABE transmite un raport Parlamentului European, Consiliului și Comisiei până la 31 decembrie 2017 în legătură cu punerea în aplicare a </w:t>
            </w:r>
            <w:r w:rsidRPr="00154588">
              <w:rPr>
                <w:bCs/>
                <w:sz w:val="20"/>
                <w:szCs w:val="20"/>
              </w:rPr>
              <w:lastRenderedPageBreak/>
              <w:t>alineatelor (1), (8), (9) și (10). În special, raportul respectiv identifică orice divergență existentă cu privire la punerea în aplicare la nivel național a alineatelor (1), (8), (9) și (10).</w:t>
            </w:r>
          </w:p>
        </w:tc>
        <w:tc>
          <w:tcPr>
            <w:tcW w:w="4819" w:type="dxa"/>
          </w:tcPr>
          <w:p w14:paraId="55CB9734" w14:textId="49765B61" w:rsidR="00F40D0B" w:rsidRPr="00154588" w:rsidRDefault="001E7EB6" w:rsidP="008C12B4">
            <w:pPr>
              <w:ind w:firstLine="567"/>
              <w:jc w:val="both"/>
              <w:rPr>
                <w:rFonts w:eastAsia="Calibri"/>
                <w:kern w:val="2"/>
                <w:sz w:val="20"/>
                <w:szCs w:val="20"/>
                <w14:ligatures w14:val="standardContextual"/>
              </w:rPr>
            </w:pPr>
            <w:r w:rsidRPr="00154588">
              <w:rPr>
                <w:rFonts w:eastAsia="Calibri"/>
                <w:b/>
                <w:bCs/>
                <w:sz w:val="20"/>
                <w:szCs w:val="20"/>
              </w:rPr>
              <w:lastRenderedPageBreak/>
              <w:t>Articolul 8.</w:t>
            </w:r>
            <w:r w:rsidRPr="00154588">
              <w:rPr>
                <w:rFonts w:eastAsia="Calibri"/>
                <w:sz w:val="20"/>
                <w:szCs w:val="20"/>
              </w:rPr>
              <w:t xml:space="preserve"> – </w:t>
            </w:r>
            <w:r w:rsidR="00F40D0B" w:rsidRPr="00154588">
              <w:rPr>
                <w:rFonts w:eastAsia="Calibri"/>
                <w:sz w:val="20"/>
                <w:szCs w:val="20"/>
              </w:rPr>
              <w:t>(7) Banca Națională a Moldovei, în calitate de autoritate de rezoluție și de autoritate competentă, comunică Autorității Bancare Europene modul de aplicare a art.7 alin. (2) și alin.(3), art.8. alin.(1), (8), (9) și (10), față de instituțiile de credit din cadrul jurisdicției sale.</w:t>
            </w:r>
          </w:p>
          <w:p w14:paraId="5FF523E6" w14:textId="77777777" w:rsidR="00F40D0B" w:rsidRPr="00154588" w:rsidRDefault="00F40D0B" w:rsidP="008C12B4">
            <w:pPr>
              <w:jc w:val="both"/>
              <w:rPr>
                <w:bCs/>
                <w:sz w:val="20"/>
                <w:szCs w:val="20"/>
              </w:rPr>
            </w:pPr>
          </w:p>
        </w:tc>
        <w:tc>
          <w:tcPr>
            <w:tcW w:w="2552" w:type="dxa"/>
          </w:tcPr>
          <w:p w14:paraId="71C14F6E" w14:textId="6A2238B4" w:rsidR="00F40D0B" w:rsidRPr="00154588" w:rsidRDefault="001E7EB6" w:rsidP="008C12B4">
            <w:pPr>
              <w:jc w:val="both"/>
              <w:rPr>
                <w:bCs/>
                <w:sz w:val="20"/>
                <w:szCs w:val="20"/>
              </w:rPr>
            </w:pPr>
            <w:r w:rsidRPr="00154588">
              <w:rPr>
                <w:bCs/>
                <w:sz w:val="20"/>
                <w:szCs w:val="20"/>
              </w:rPr>
              <w:lastRenderedPageBreak/>
              <w:t>Compatibil</w:t>
            </w:r>
          </w:p>
        </w:tc>
        <w:tc>
          <w:tcPr>
            <w:tcW w:w="3118" w:type="dxa"/>
          </w:tcPr>
          <w:p w14:paraId="2011123E" w14:textId="77777777" w:rsidR="00F40D0B" w:rsidRPr="00154588" w:rsidRDefault="00F40D0B" w:rsidP="008C12B4">
            <w:pPr>
              <w:jc w:val="both"/>
              <w:rPr>
                <w:bCs/>
                <w:sz w:val="20"/>
                <w:szCs w:val="20"/>
              </w:rPr>
            </w:pPr>
          </w:p>
        </w:tc>
      </w:tr>
      <w:tr w:rsidR="00F40D0B" w:rsidRPr="00154588" w14:paraId="5DE8D952" w14:textId="77777777" w:rsidTr="00D15C1B">
        <w:trPr>
          <w:jc w:val="center"/>
        </w:trPr>
        <w:tc>
          <w:tcPr>
            <w:tcW w:w="4957" w:type="dxa"/>
            <w:gridSpan w:val="2"/>
          </w:tcPr>
          <w:p w14:paraId="4F34520A" w14:textId="77777777" w:rsidR="00F40D0B" w:rsidRPr="00154588" w:rsidRDefault="00F40D0B" w:rsidP="008C12B4">
            <w:pPr>
              <w:jc w:val="both"/>
              <w:rPr>
                <w:bCs/>
                <w:sz w:val="20"/>
                <w:szCs w:val="20"/>
              </w:rPr>
            </w:pPr>
            <w:r w:rsidRPr="00154588">
              <w:rPr>
                <w:bCs/>
                <w:sz w:val="20"/>
                <w:szCs w:val="20"/>
              </w:rPr>
              <w:t>(8)   În conformitate cu alineatele (9) și (10), statele membre se asigură că autoritățile competente și, după caz, autoritățile de rezoluție pot deroga de la aplicarea:</w:t>
            </w:r>
          </w:p>
          <w:p w14:paraId="3DAD6833" w14:textId="77777777" w:rsidR="00F40D0B" w:rsidRPr="00154588" w:rsidRDefault="00F40D0B" w:rsidP="008C12B4">
            <w:pPr>
              <w:jc w:val="both"/>
              <w:rPr>
                <w:bCs/>
                <w:sz w:val="20"/>
                <w:szCs w:val="20"/>
              </w:rPr>
            </w:pPr>
          </w:p>
          <w:p w14:paraId="10FE358D" w14:textId="40ABBFD7" w:rsidR="00F40D0B" w:rsidRPr="00154588" w:rsidRDefault="00F40D0B" w:rsidP="008C12B4">
            <w:pPr>
              <w:jc w:val="both"/>
              <w:rPr>
                <w:bCs/>
                <w:sz w:val="20"/>
                <w:szCs w:val="20"/>
              </w:rPr>
            </w:pPr>
            <w:r w:rsidRPr="00154588">
              <w:rPr>
                <w:bCs/>
                <w:sz w:val="20"/>
                <w:szCs w:val="20"/>
              </w:rPr>
              <w:t>(a) cerințelor prevăzute la secțiunile 2 și 3 instituțiilor afiliate unui organism central și complet sau parțial exceptate de la aplicarea cerințelor prudențiale în dreptul intern în conformitate cu articolul 10 din Regulamentul (UE) nr. 575/2013;</w:t>
            </w:r>
          </w:p>
          <w:p w14:paraId="0359280F" w14:textId="77777777" w:rsidR="00F40D0B" w:rsidRPr="00154588" w:rsidRDefault="00F40D0B" w:rsidP="008C12B4">
            <w:pPr>
              <w:jc w:val="both"/>
              <w:rPr>
                <w:bCs/>
                <w:sz w:val="20"/>
                <w:szCs w:val="20"/>
              </w:rPr>
            </w:pPr>
          </w:p>
          <w:p w14:paraId="302F730B" w14:textId="4C3DAE66" w:rsidR="00F40D0B" w:rsidRPr="00154588" w:rsidRDefault="00F40D0B" w:rsidP="008C12B4">
            <w:pPr>
              <w:jc w:val="both"/>
              <w:rPr>
                <w:bCs/>
                <w:sz w:val="20"/>
                <w:szCs w:val="20"/>
              </w:rPr>
            </w:pPr>
            <w:r w:rsidRPr="00154588">
              <w:rPr>
                <w:bCs/>
                <w:sz w:val="20"/>
                <w:szCs w:val="20"/>
              </w:rPr>
              <w:t>(b) cerințelor prevăzute la secțiunea 2 instituțiilor care sunt membre ale unui SIP.</w:t>
            </w:r>
          </w:p>
        </w:tc>
        <w:tc>
          <w:tcPr>
            <w:tcW w:w="4819" w:type="dxa"/>
          </w:tcPr>
          <w:p w14:paraId="7EC2BBA0" w14:textId="7D663DA0" w:rsidR="00F40D0B" w:rsidRPr="00154588" w:rsidRDefault="001E7EB6" w:rsidP="008C12B4">
            <w:pPr>
              <w:ind w:firstLine="567"/>
              <w:jc w:val="both"/>
              <w:rPr>
                <w:rFonts w:eastAsia="Calibri"/>
                <w:sz w:val="20"/>
                <w:szCs w:val="20"/>
              </w:rPr>
            </w:pPr>
            <w:r w:rsidRPr="00154588">
              <w:rPr>
                <w:rFonts w:eastAsia="Calibri"/>
                <w:b/>
                <w:bCs/>
                <w:sz w:val="20"/>
                <w:szCs w:val="20"/>
              </w:rPr>
              <w:t>Articolul 8.</w:t>
            </w:r>
            <w:r w:rsidRPr="00154588">
              <w:rPr>
                <w:rFonts w:eastAsia="Calibri"/>
                <w:sz w:val="20"/>
                <w:szCs w:val="20"/>
              </w:rPr>
              <w:t xml:space="preserve"> – </w:t>
            </w:r>
            <w:r w:rsidR="00F40D0B" w:rsidRPr="00154588">
              <w:rPr>
                <w:rFonts w:eastAsia="Calibri"/>
                <w:sz w:val="20"/>
                <w:szCs w:val="20"/>
              </w:rPr>
              <w:t>(8) Cu respectarea prevederilor art. 7 și ale alin. (9) din prezentul articol, Banca Națională a Moldovei, în calitate de autoritatea competentă și, după caz, autoritate de rezoluție poate deroga de la aplicarea:</w:t>
            </w:r>
          </w:p>
          <w:p w14:paraId="1B20CAB3" w14:textId="3895FCC4" w:rsidR="00E22588" w:rsidRPr="00154588" w:rsidRDefault="00F40D0B" w:rsidP="008C12B4">
            <w:pPr>
              <w:pStyle w:val="a7"/>
              <w:numPr>
                <w:ilvl w:val="0"/>
                <w:numId w:val="11"/>
              </w:numPr>
              <w:ind w:left="32" w:firstLine="426"/>
              <w:jc w:val="both"/>
              <w:rPr>
                <w:rFonts w:eastAsia="Calibri" w:cs="Times New Roman"/>
                <w:sz w:val="20"/>
                <w:szCs w:val="20"/>
                <w:lang w:val="ro-RO"/>
              </w:rPr>
            </w:pPr>
            <w:r w:rsidRPr="00154588">
              <w:rPr>
                <w:rFonts w:eastAsia="Calibri" w:cs="Times New Roman"/>
                <w:sz w:val="20"/>
                <w:szCs w:val="20"/>
                <w:lang w:val="ro-RO"/>
              </w:rPr>
              <w:t>cerințelor prevăzute la aplicarea art. 9-22</w:t>
            </w:r>
            <w:r w:rsidRPr="00154588">
              <w:rPr>
                <w:rFonts w:eastAsia="Calibri" w:cs="Times New Roman"/>
                <w:sz w:val="20"/>
                <w:szCs w:val="20"/>
                <w:vertAlign w:val="superscript"/>
                <w:lang w:val="ro-RO"/>
              </w:rPr>
              <w:t>21</w:t>
            </w:r>
            <w:r w:rsidRPr="00154588">
              <w:rPr>
                <w:rFonts w:eastAsia="Calibri" w:cs="Times New Roman"/>
                <w:sz w:val="20"/>
                <w:szCs w:val="20"/>
                <w:lang w:val="ro-RO"/>
              </w:rPr>
              <w:t xml:space="preserve"> și după caz art. 23-31</w:t>
            </w:r>
            <w:r w:rsidRPr="00154588">
              <w:rPr>
                <w:rFonts w:eastAsia="Calibri" w:cs="Times New Roman"/>
                <w:sz w:val="20"/>
                <w:szCs w:val="20"/>
                <w:vertAlign w:val="superscript"/>
                <w:lang w:val="ro-RO"/>
              </w:rPr>
              <w:t>24</w:t>
            </w:r>
            <w:r w:rsidRPr="00154588">
              <w:rPr>
                <w:rFonts w:eastAsia="Calibri" w:cs="Times New Roman"/>
                <w:sz w:val="20"/>
                <w:szCs w:val="20"/>
                <w:lang w:val="ro-RO"/>
              </w:rPr>
              <w:t xml:space="preserve"> instituțiilor de credit afiliate unui organism central</w:t>
            </w:r>
            <w:r w:rsidR="00E22588" w:rsidRPr="00154588">
              <w:rPr>
                <w:rFonts w:eastAsia="Calibri" w:cs="Times New Roman"/>
                <w:sz w:val="20"/>
                <w:szCs w:val="20"/>
                <w:lang w:val="ro-RO"/>
              </w:rPr>
              <w:t>, care sunt</w:t>
            </w:r>
            <w:r w:rsidR="00BA3EAF" w:rsidRPr="00154588">
              <w:rPr>
                <w:rFonts w:eastAsia="Calibri" w:cs="Times New Roman"/>
                <w:sz w:val="20"/>
                <w:szCs w:val="20"/>
                <w:lang w:val="ro-RO"/>
              </w:rPr>
              <w:t xml:space="preserve"> </w:t>
            </w:r>
            <w:r w:rsidRPr="00154588">
              <w:rPr>
                <w:rFonts w:eastAsia="Calibri" w:cs="Times New Roman"/>
                <w:sz w:val="20"/>
                <w:szCs w:val="20"/>
                <w:lang w:val="ro-RO"/>
              </w:rPr>
              <w:t xml:space="preserve">complet sau parțial exceptate de la aplicarea cerințelor prudențiale în dreptul intern în </w:t>
            </w:r>
            <w:r w:rsidR="00E22588" w:rsidRPr="00154588">
              <w:rPr>
                <w:rFonts w:eastAsia="Calibri" w:cs="Times New Roman"/>
                <w:sz w:val="20"/>
                <w:szCs w:val="20"/>
                <w:lang w:val="ro-RO"/>
              </w:rPr>
              <w:t>cazul in care:</w:t>
            </w:r>
          </w:p>
          <w:p w14:paraId="6543EF73" w14:textId="58229746" w:rsidR="002835DE" w:rsidRPr="00154588" w:rsidRDefault="00AB0C5F" w:rsidP="008C12B4">
            <w:pPr>
              <w:jc w:val="both"/>
              <w:rPr>
                <w:sz w:val="20"/>
                <w:szCs w:val="20"/>
              </w:rPr>
            </w:pPr>
            <w:r w:rsidRPr="00154588">
              <w:rPr>
                <w:sz w:val="20"/>
                <w:szCs w:val="20"/>
              </w:rPr>
              <w:t>1</w:t>
            </w:r>
            <w:r w:rsidR="00AD30D9" w:rsidRPr="00154588">
              <w:rPr>
                <w:sz w:val="20"/>
                <w:szCs w:val="20"/>
              </w:rPr>
              <w:t>)</w:t>
            </w:r>
            <w:r w:rsidR="002835DE" w:rsidRPr="00154588">
              <w:rPr>
                <w:sz w:val="20"/>
                <w:szCs w:val="20"/>
              </w:rPr>
              <w:t xml:space="preserve"> organismul central și instituțiile afiliate sunt supuse supravegherii exercitate de Banca Națională a Moldovei;</w:t>
            </w:r>
          </w:p>
          <w:p w14:paraId="27CA97C0" w14:textId="4BC47D4D" w:rsidR="00AB0C5F" w:rsidRPr="00154588" w:rsidRDefault="00AB0C5F" w:rsidP="008C12B4">
            <w:pPr>
              <w:jc w:val="both"/>
              <w:rPr>
                <w:sz w:val="20"/>
                <w:szCs w:val="20"/>
              </w:rPr>
            </w:pPr>
            <w:r w:rsidRPr="00154588">
              <w:rPr>
                <w:sz w:val="20"/>
                <w:szCs w:val="20"/>
              </w:rPr>
              <w:t>2</w:t>
            </w:r>
            <w:r w:rsidR="00AD30D9" w:rsidRPr="00154588">
              <w:rPr>
                <w:sz w:val="20"/>
                <w:szCs w:val="20"/>
              </w:rPr>
              <w:t>)</w:t>
            </w:r>
            <w:r w:rsidRPr="00154588">
              <w:rPr>
                <w:sz w:val="20"/>
                <w:szCs w:val="20"/>
              </w:rPr>
              <w:t xml:space="preserve"> </w:t>
            </w:r>
            <w:r w:rsidR="002835DE" w:rsidRPr="00154588">
              <w:rPr>
                <w:sz w:val="20"/>
                <w:szCs w:val="20"/>
              </w:rPr>
              <w:t>obligațiile organismului central și ale instituţiilor afiliate constituie obligații solidare sau obligațiile instituţiilor afiliate sunt în întregime garantate de organismul central;</w:t>
            </w:r>
          </w:p>
          <w:p w14:paraId="6CD2B7D7" w14:textId="58557D01" w:rsidR="00AB0C5F" w:rsidRPr="00154588" w:rsidRDefault="00AB0C5F" w:rsidP="008C12B4">
            <w:pPr>
              <w:jc w:val="both"/>
              <w:rPr>
                <w:sz w:val="20"/>
                <w:szCs w:val="20"/>
              </w:rPr>
            </w:pPr>
            <w:r w:rsidRPr="00154588">
              <w:rPr>
                <w:sz w:val="20"/>
                <w:szCs w:val="20"/>
              </w:rPr>
              <w:t>3</w:t>
            </w:r>
            <w:r w:rsidR="00AD30D9" w:rsidRPr="00154588">
              <w:rPr>
                <w:sz w:val="20"/>
                <w:szCs w:val="20"/>
              </w:rPr>
              <w:t>)</w:t>
            </w:r>
            <w:r w:rsidRPr="00154588">
              <w:rPr>
                <w:sz w:val="20"/>
                <w:szCs w:val="20"/>
              </w:rPr>
              <w:t xml:space="preserve"> </w:t>
            </w:r>
            <w:r w:rsidR="002835DE" w:rsidRPr="00154588">
              <w:rPr>
                <w:sz w:val="20"/>
                <w:szCs w:val="20"/>
              </w:rPr>
              <w:t>solvabilitatea și lichiditatea organismului central și ale tuturor instituţiilor afiliate acestuia sunt supravegheate în ansamblul lor, pe baza situaţiilor financiare consolidate ale acestor instituţii;</w:t>
            </w:r>
          </w:p>
          <w:p w14:paraId="0FA4EAD4" w14:textId="67836F48" w:rsidR="00F40D0B" w:rsidRPr="00154588" w:rsidRDefault="00AB0C5F" w:rsidP="008C12B4">
            <w:pPr>
              <w:jc w:val="both"/>
              <w:rPr>
                <w:sz w:val="20"/>
                <w:szCs w:val="20"/>
              </w:rPr>
            </w:pPr>
            <w:r w:rsidRPr="00154588">
              <w:rPr>
                <w:sz w:val="20"/>
                <w:szCs w:val="20"/>
              </w:rPr>
              <w:t>4</w:t>
            </w:r>
            <w:r w:rsidR="00AD30D9" w:rsidRPr="00154588">
              <w:rPr>
                <w:sz w:val="20"/>
                <w:szCs w:val="20"/>
              </w:rPr>
              <w:t>)</w:t>
            </w:r>
            <w:r w:rsidRPr="00154588">
              <w:rPr>
                <w:sz w:val="20"/>
                <w:szCs w:val="20"/>
              </w:rPr>
              <w:t xml:space="preserve"> </w:t>
            </w:r>
            <w:r w:rsidR="002835DE" w:rsidRPr="00154588">
              <w:rPr>
                <w:sz w:val="20"/>
                <w:szCs w:val="20"/>
              </w:rPr>
              <w:t>conducerea organismului central este abilitată să emită instrucţiuni către organele de conducere ale instituţiilor afiliate</w:t>
            </w:r>
            <w:r w:rsidR="00F40D0B" w:rsidRPr="00154588">
              <w:rPr>
                <w:rFonts w:eastAsia="Calibri"/>
                <w:sz w:val="20"/>
                <w:szCs w:val="20"/>
              </w:rPr>
              <w:t>;</w:t>
            </w:r>
          </w:p>
          <w:p w14:paraId="40E64C3E" w14:textId="5C9C7765" w:rsidR="00F40D0B" w:rsidRPr="00154588" w:rsidRDefault="00F40D0B" w:rsidP="008C12B4">
            <w:pPr>
              <w:ind w:firstLine="567"/>
              <w:jc w:val="both"/>
              <w:rPr>
                <w:sz w:val="20"/>
                <w:szCs w:val="20"/>
              </w:rPr>
            </w:pPr>
            <w:r w:rsidRPr="00154588">
              <w:rPr>
                <w:rFonts w:eastAsia="Calibri"/>
                <w:sz w:val="20"/>
                <w:szCs w:val="20"/>
              </w:rPr>
              <w:t>b) cerințelor prevăzute la art.9-22</w:t>
            </w:r>
            <w:r w:rsidRPr="00154588">
              <w:rPr>
                <w:rFonts w:eastAsia="Calibri"/>
                <w:sz w:val="20"/>
                <w:szCs w:val="20"/>
                <w:vertAlign w:val="superscript"/>
              </w:rPr>
              <w:t>21</w:t>
            </w:r>
            <w:r w:rsidRPr="00154588">
              <w:rPr>
                <w:rFonts w:eastAsia="Calibri"/>
                <w:sz w:val="20"/>
                <w:szCs w:val="20"/>
              </w:rPr>
              <w:t xml:space="preserve"> instituțiilor care sunt membre ale unui sistem instituțional de protecție (SIP).</w:t>
            </w:r>
          </w:p>
        </w:tc>
        <w:tc>
          <w:tcPr>
            <w:tcW w:w="2552" w:type="dxa"/>
          </w:tcPr>
          <w:p w14:paraId="68A555E3" w14:textId="3DE639EB" w:rsidR="00F40D0B" w:rsidRPr="00154588" w:rsidRDefault="001E7EB6" w:rsidP="008C12B4">
            <w:pPr>
              <w:jc w:val="both"/>
              <w:rPr>
                <w:bCs/>
                <w:sz w:val="20"/>
                <w:szCs w:val="20"/>
              </w:rPr>
            </w:pPr>
            <w:r w:rsidRPr="00154588">
              <w:rPr>
                <w:bCs/>
                <w:sz w:val="20"/>
                <w:szCs w:val="20"/>
              </w:rPr>
              <w:t>Compatibil</w:t>
            </w:r>
          </w:p>
        </w:tc>
        <w:tc>
          <w:tcPr>
            <w:tcW w:w="3118" w:type="dxa"/>
          </w:tcPr>
          <w:p w14:paraId="29DCE42C" w14:textId="71DEE3C7" w:rsidR="00F40D0B" w:rsidRPr="00154588" w:rsidRDefault="00F40D0B" w:rsidP="008C12B4">
            <w:pPr>
              <w:jc w:val="both"/>
              <w:rPr>
                <w:bCs/>
                <w:sz w:val="20"/>
                <w:szCs w:val="20"/>
                <w:lang w:val="pt-BR"/>
              </w:rPr>
            </w:pPr>
          </w:p>
        </w:tc>
      </w:tr>
      <w:tr w:rsidR="00F40D0B" w:rsidRPr="00154588" w14:paraId="40C3DADA" w14:textId="77777777" w:rsidTr="00D15C1B">
        <w:trPr>
          <w:jc w:val="center"/>
        </w:trPr>
        <w:tc>
          <w:tcPr>
            <w:tcW w:w="4957" w:type="dxa"/>
            <w:gridSpan w:val="2"/>
          </w:tcPr>
          <w:p w14:paraId="337727B0" w14:textId="77777777" w:rsidR="00F40D0B" w:rsidRPr="00154588" w:rsidRDefault="00F40D0B" w:rsidP="008C12B4">
            <w:pPr>
              <w:jc w:val="both"/>
              <w:rPr>
                <w:bCs/>
                <w:sz w:val="20"/>
                <w:szCs w:val="20"/>
              </w:rPr>
            </w:pPr>
            <w:r w:rsidRPr="00154588">
              <w:rPr>
                <w:bCs/>
                <w:sz w:val="20"/>
                <w:szCs w:val="20"/>
              </w:rPr>
              <w:t>(9)   În cazul acordării unei derogări în conformitate cu alineatul (8), statele membre:</w:t>
            </w:r>
          </w:p>
          <w:p w14:paraId="7D3A5AE2" w14:textId="77777777" w:rsidR="00F40D0B" w:rsidRPr="00154588" w:rsidRDefault="00F40D0B" w:rsidP="008C12B4">
            <w:pPr>
              <w:jc w:val="both"/>
              <w:rPr>
                <w:bCs/>
                <w:sz w:val="20"/>
                <w:szCs w:val="20"/>
              </w:rPr>
            </w:pPr>
          </w:p>
          <w:p w14:paraId="42BD8909" w14:textId="77777777" w:rsidR="00F40D0B" w:rsidRPr="00154588" w:rsidRDefault="00F40D0B" w:rsidP="008C12B4">
            <w:pPr>
              <w:jc w:val="both"/>
              <w:rPr>
                <w:bCs/>
                <w:sz w:val="20"/>
                <w:szCs w:val="20"/>
              </w:rPr>
            </w:pPr>
            <w:r w:rsidRPr="00154588">
              <w:rPr>
                <w:bCs/>
                <w:sz w:val="20"/>
                <w:szCs w:val="20"/>
              </w:rPr>
              <w:t>(a) aplică cerințele de la secțiunile 2 și 3 din prezentul capitol pe bază consolidată organismului central și instituțiilor afiliate la acesta în sensul articolului 10 din Regulamentul (UE) nr. 575/2013;</w:t>
            </w:r>
          </w:p>
          <w:p w14:paraId="7C3EFEB3" w14:textId="77777777" w:rsidR="00F40D0B" w:rsidRPr="00154588" w:rsidRDefault="00F40D0B" w:rsidP="008C12B4">
            <w:pPr>
              <w:jc w:val="both"/>
              <w:rPr>
                <w:bCs/>
                <w:sz w:val="20"/>
                <w:szCs w:val="20"/>
              </w:rPr>
            </w:pPr>
          </w:p>
          <w:p w14:paraId="17BE1077" w14:textId="77777777" w:rsidR="00F40D0B" w:rsidRPr="00154588" w:rsidRDefault="00F40D0B" w:rsidP="008C12B4">
            <w:pPr>
              <w:jc w:val="both"/>
              <w:rPr>
                <w:bCs/>
                <w:sz w:val="20"/>
                <w:szCs w:val="20"/>
              </w:rPr>
            </w:pPr>
            <w:r w:rsidRPr="00154588">
              <w:rPr>
                <w:bCs/>
                <w:sz w:val="20"/>
                <w:szCs w:val="20"/>
              </w:rPr>
              <w:t>(b) impun SIP respectarea cerințelor din secțiunea 2 în cooperare cu fiecare dintre membrii ce se bucură de o derogare.</w:t>
            </w:r>
          </w:p>
          <w:p w14:paraId="718A6D62" w14:textId="77777777" w:rsidR="00F40D0B" w:rsidRPr="00154588" w:rsidRDefault="00F40D0B" w:rsidP="008C12B4">
            <w:pPr>
              <w:jc w:val="both"/>
              <w:rPr>
                <w:bCs/>
                <w:sz w:val="20"/>
                <w:szCs w:val="20"/>
              </w:rPr>
            </w:pPr>
          </w:p>
          <w:p w14:paraId="48E60BE2" w14:textId="669345BB" w:rsidR="00F40D0B" w:rsidRPr="00154588" w:rsidRDefault="00F40D0B" w:rsidP="008C12B4">
            <w:pPr>
              <w:jc w:val="both"/>
              <w:rPr>
                <w:bCs/>
                <w:sz w:val="20"/>
                <w:szCs w:val="20"/>
              </w:rPr>
            </w:pPr>
            <w:r w:rsidRPr="00154588">
              <w:rPr>
                <w:bCs/>
                <w:sz w:val="20"/>
                <w:szCs w:val="20"/>
              </w:rPr>
              <w:t xml:space="preserve">În acest scop, în cadrul prezentului capitol secțiunile 2 și 3, orice trimitere la un grup include un organism central și instituțiile afiliate acestuia în înțelesul articolului 10 din Regulamentul (UE) nr. 575/2013, precum și filialele acestora, iar orice trimitere la întreprinderi-mamă sau la </w:t>
            </w:r>
            <w:r w:rsidRPr="00154588">
              <w:rPr>
                <w:bCs/>
                <w:sz w:val="20"/>
                <w:szCs w:val="20"/>
              </w:rPr>
              <w:lastRenderedPageBreak/>
              <w:t>instituții care fac obiectul supravegherii consolidate în conformitate cu articolul 111 din Directiva 2013/36/UE include organismul central.</w:t>
            </w:r>
          </w:p>
        </w:tc>
        <w:tc>
          <w:tcPr>
            <w:tcW w:w="4819" w:type="dxa"/>
          </w:tcPr>
          <w:p w14:paraId="1778E155" w14:textId="56570F8C" w:rsidR="00F40D0B" w:rsidRPr="00154588" w:rsidRDefault="001E7EB6" w:rsidP="008C12B4">
            <w:pPr>
              <w:ind w:firstLine="567"/>
              <w:jc w:val="both"/>
              <w:rPr>
                <w:rFonts w:eastAsia="Calibri"/>
                <w:sz w:val="20"/>
                <w:szCs w:val="20"/>
              </w:rPr>
            </w:pPr>
            <w:r w:rsidRPr="00154588">
              <w:rPr>
                <w:rFonts w:eastAsia="Calibri"/>
                <w:b/>
                <w:bCs/>
                <w:sz w:val="20"/>
                <w:szCs w:val="20"/>
              </w:rPr>
              <w:lastRenderedPageBreak/>
              <w:t>Articolul 8.</w:t>
            </w:r>
            <w:r w:rsidRPr="00154588">
              <w:rPr>
                <w:rFonts w:eastAsia="Calibri"/>
                <w:sz w:val="20"/>
                <w:szCs w:val="20"/>
              </w:rPr>
              <w:t xml:space="preserve"> – </w:t>
            </w:r>
            <w:r w:rsidR="00F40D0B" w:rsidRPr="00154588">
              <w:rPr>
                <w:rFonts w:eastAsia="Calibri"/>
                <w:sz w:val="20"/>
                <w:szCs w:val="20"/>
              </w:rPr>
              <w:t>(9) În cazul acordării unei derogări în conformitate cu alin. (8):</w:t>
            </w:r>
          </w:p>
          <w:p w14:paraId="13694256" w14:textId="4B094D37" w:rsidR="00F40D0B" w:rsidRPr="00154588" w:rsidRDefault="00F40D0B" w:rsidP="008C12B4">
            <w:pPr>
              <w:ind w:firstLine="567"/>
              <w:jc w:val="both"/>
              <w:rPr>
                <w:rFonts w:eastAsia="Calibri"/>
                <w:sz w:val="20"/>
                <w:szCs w:val="20"/>
              </w:rPr>
            </w:pPr>
            <w:r w:rsidRPr="00154588">
              <w:rPr>
                <w:rFonts w:eastAsia="Calibri"/>
                <w:sz w:val="20"/>
                <w:szCs w:val="20"/>
              </w:rPr>
              <w:t xml:space="preserve">a) cerințele se aplică pe bază consolidată organismului central și instituțiilor afiliate acestuia în </w:t>
            </w:r>
            <w:r w:rsidR="002835DE" w:rsidRPr="00154588">
              <w:rPr>
                <w:sz w:val="20"/>
                <w:szCs w:val="20"/>
              </w:rPr>
              <w:t xml:space="preserve">cazul îndeplinirii </w:t>
            </w:r>
            <w:r w:rsidR="00AD30D9" w:rsidRPr="00154588">
              <w:rPr>
                <w:sz w:val="20"/>
                <w:szCs w:val="20"/>
              </w:rPr>
              <w:t>condițiilor</w:t>
            </w:r>
            <w:r w:rsidR="002835DE" w:rsidRPr="00154588">
              <w:rPr>
                <w:sz w:val="20"/>
                <w:szCs w:val="20"/>
              </w:rPr>
              <w:t xml:space="preserve"> de la alin.(8) lit.</w:t>
            </w:r>
            <w:r w:rsidR="00AB0C5F" w:rsidRPr="00154588">
              <w:rPr>
                <w:sz w:val="20"/>
                <w:szCs w:val="20"/>
              </w:rPr>
              <w:t>a), pct.1</w:t>
            </w:r>
            <w:r w:rsidR="00AD30D9" w:rsidRPr="00154588">
              <w:rPr>
                <w:sz w:val="20"/>
                <w:szCs w:val="20"/>
              </w:rPr>
              <w:t>)</w:t>
            </w:r>
            <w:r w:rsidR="00AB0C5F" w:rsidRPr="00154588">
              <w:rPr>
                <w:sz w:val="20"/>
                <w:szCs w:val="20"/>
              </w:rPr>
              <w:t>-4</w:t>
            </w:r>
            <w:r w:rsidR="00AD30D9" w:rsidRPr="00154588">
              <w:rPr>
                <w:sz w:val="20"/>
                <w:szCs w:val="20"/>
              </w:rPr>
              <w:t>)</w:t>
            </w:r>
            <w:r w:rsidRPr="00154588">
              <w:rPr>
                <w:rFonts w:eastAsia="Calibri"/>
                <w:sz w:val="20"/>
                <w:szCs w:val="20"/>
              </w:rPr>
              <w:t>;</w:t>
            </w:r>
          </w:p>
          <w:p w14:paraId="4822A985" w14:textId="77777777" w:rsidR="00F40D0B" w:rsidRPr="00154588" w:rsidRDefault="00F40D0B" w:rsidP="008C12B4">
            <w:pPr>
              <w:ind w:firstLine="567"/>
              <w:jc w:val="both"/>
              <w:rPr>
                <w:rFonts w:eastAsia="Calibri"/>
                <w:sz w:val="20"/>
                <w:szCs w:val="20"/>
              </w:rPr>
            </w:pPr>
            <w:r w:rsidRPr="00154588">
              <w:rPr>
                <w:rFonts w:eastAsia="Calibri"/>
                <w:sz w:val="20"/>
                <w:szCs w:val="20"/>
              </w:rPr>
              <w:t>b) sistemul de protecție instituțională trebuie să îndeplinească cerințele art.9-22</w:t>
            </w:r>
            <w:r w:rsidRPr="00154588">
              <w:rPr>
                <w:rFonts w:eastAsia="Calibri"/>
                <w:sz w:val="20"/>
                <w:szCs w:val="20"/>
                <w:vertAlign w:val="superscript"/>
              </w:rPr>
              <w:t>21</w:t>
            </w:r>
            <w:r w:rsidRPr="00154588">
              <w:rPr>
                <w:rFonts w:eastAsia="Calibri"/>
                <w:sz w:val="20"/>
                <w:szCs w:val="20"/>
              </w:rPr>
              <w:t xml:space="preserve"> în cooperare cu fiecare dintre instituțiile care beneficiază de o derogare.</w:t>
            </w:r>
          </w:p>
          <w:p w14:paraId="74CE29B5" w14:textId="235640D1" w:rsidR="00F40D0B" w:rsidRPr="00154588" w:rsidRDefault="00F40D0B" w:rsidP="008C12B4">
            <w:pPr>
              <w:ind w:firstLine="567"/>
              <w:jc w:val="both"/>
              <w:rPr>
                <w:rFonts w:eastAsia="Calibri"/>
                <w:sz w:val="20"/>
                <w:szCs w:val="20"/>
              </w:rPr>
            </w:pPr>
            <w:r w:rsidRPr="00154588">
              <w:rPr>
                <w:rFonts w:eastAsia="Calibri"/>
                <w:sz w:val="20"/>
                <w:szCs w:val="20"/>
              </w:rPr>
              <w:t>(10) În acest scop, orice trimitere de la art.9-31</w:t>
            </w:r>
            <w:r w:rsidRPr="00154588">
              <w:rPr>
                <w:rFonts w:eastAsia="Calibri"/>
                <w:sz w:val="20"/>
                <w:szCs w:val="20"/>
                <w:vertAlign w:val="superscript"/>
              </w:rPr>
              <w:t>24</w:t>
            </w:r>
            <w:r w:rsidRPr="00154588">
              <w:rPr>
                <w:rFonts w:eastAsia="Calibri"/>
                <w:sz w:val="20"/>
                <w:szCs w:val="20"/>
              </w:rPr>
              <w:t xml:space="preserve"> la un grup include un organism central și instituțiile afiliate acestuia</w:t>
            </w:r>
            <w:r w:rsidR="002835DE" w:rsidRPr="00154588">
              <w:rPr>
                <w:rFonts w:eastAsia="Calibri"/>
                <w:sz w:val="20"/>
                <w:szCs w:val="20"/>
              </w:rPr>
              <w:t xml:space="preserve">  în </w:t>
            </w:r>
            <w:r w:rsidR="002835DE" w:rsidRPr="00154588">
              <w:rPr>
                <w:sz w:val="20"/>
                <w:szCs w:val="20"/>
              </w:rPr>
              <w:t>cazul îndeplinirii condițiilor de la alin.(8) lit.</w:t>
            </w:r>
            <w:r w:rsidR="00AB0C5F" w:rsidRPr="00154588">
              <w:rPr>
                <w:sz w:val="20"/>
                <w:szCs w:val="20"/>
              </w:rPr>
              <w:t xml:space="preserve"> a), pct.1</w:t>
            </w:r>
            <w:r w:rsidR="00AD30D9" w:rsidRPr="00154588">
              <w:rPr>
                <w:sz w:val="20"/>
                <w:szCs w:val="20"/>
              </w:rPr>
              <w:t>)</w:t>
            </w:r>
            <w:r w:rsidR="00AB0C5F" w:rsidRPr="00154588">
              <w:rPr>
                <w:sz w:val="20"/>
                <w:szCs w:val="20"/>
              </w:rPr>
              <w:t xml:space="preserve"> </w:t>
            </w:r>
            <w:r w:rsidR="00AD30D9" w:rsidRPr="00154588">
              <w:rPr>
                <w:sz w:val="20"/>
                <w:szCs w:val="20"/>
              </w:rPr>
              <w:t>–</w:t>
            </w:r>
            <w:r w:rsidR="00AB0C5F" w:rsidRPr="00154588">
              <w:rPr>
                <w:sz w:val="20"/>
                <w:szCs w:val="20"/>
              </w:rPr>
              <w:t xml:space="preserve"> 4</w:t>
            </w:r>
            <w:r w:rsidR="00AD30D9" w:rsidRPr="00154588">
              <w:rPr>
                <w:sz w:val="20"/>
                <w:szCs w:val="20"/>
              </w:rPr>
              <w:t>)</w:t>
            </w:r>
            <w:r w:rsidRPr="00154588">
              <w:rPr>
                <w:rFonts w:eastAsia="Calibri"/>
                <w:sz w:val="20"/>
                <w:szCs w:val="20"/>
              </w:rPr>
              <w:t>, precum și filialele acestora, iar orice trimitere la întreprinderi-mamă sau la instituții de credit care fac obiectul supravegherii consolidate în temeiul art.109 și 110 din Legea 202/2017, include organismul central.</w:t>
            </w:r>
          </w:p>
          <w:p w14:paraId="34C2EE2F" w14:textId="77777777" w:rsidR="00F40D0B" w:rsidRPr="00154588" w:rsidRDefault="00F40D0B" w:rsidP="008C12B4">
            <w:pPr>
              <w:jc w:val="both"/>
              <w:rPr>
                <w:bCs/>
                <w:sz w:val="20"/>
                <w:szCs w:val="20"/>
              </w:rPr>
            </w:pPr>
          </w:p>
        </w:tc>
        <w:tc>
          <w:tcPr>
            <w:tcW w:w="2552" w:type="dxa"/>
          </w:tcPr>
          <w:p w14:paraId="4F3546F8" w14:textId="4448AEC2" w:rsidR="00F40D0B" w:rsidRPr="00154588" w:rsidRDefault="001E7EB6" w:rsidP="008C12B4">
            <w:pPr>
              <w:jc w:val="both"/>
              <w:rPr>
                <w:bCs/>
                <w:sz w:val="20"/>
                <w:szCs w:val="20"/>
              </w:rPr>
            </w:pPr>
            <w:r w:rsidRPr="00154588">
              <w:rPr>
                <w:bCs/>
                <w:sz w:val="20"/>
                <w:szCs w:val="20"/>
              </w:rPr>
              <w:t>Compatibil</w:t>
            </w:r>
          </w:p>
        </w:tc>
        <w:tc>
          <w:tcPr>
            <w:tcW w:w="3118" w:type="dxa"/>
          </w:tcPr>
          <w:p w14:paraId="49F08903" w14:textId="77777777" w:rsidR="00F40D0B" w:rsidRPr="00154588" w:rsidRDefault="00F40D0B" w:rsidP="008C12B4">
            <w:pPr>
              <w:jc w:val="both"/>
              <w:rPr>
                <w:bCs/>
                <w:sz w:val="20"/>
                <w:szCs w:val="20"/>
              </w:rPr>
            </w:pPr>
          </w:p>
        </w:tc>
      </w:tr>
      <w:tr w:rsidR="00F40D0B" w:rsidRPr="00154588" w14:paraId="1516F8C2" w14:textId="77777777" w:rsidTr="00D15C1B">
        <w:trPr>
          <w:jc w:val="center"/>
        </w:trPr>
        <w:tc>
          <w:tcPr>
            <w:tcW w:w="4957" w:type="dxa"/>
            <w:gridSpan w:val="2"/>
          </w:tcPr>
          <w:p w14:paraId="44F7E6E9" w14:textId="77777777" w:rsidR="00F40D0B" w:rsidRPr="00154588" w:rsidRDefault="00F40D0B" w:rsidP="008C12B4">
            <w:pPr>
              <w:jc w:val="both"/>
              <w:rPr>
                <w:bCs/>
                <w:sz w:val="20"/>
                <w:szCs w:val="20"/>
              </w:rPr>
            </w:pPr>
            <w:r w:rsidRPr="00154588">
              <w:rPr>
                <w:bCs/>
                <w:sz w:val="20"/>
                <w:szCs w:val="20"/>
              </w:rPr>
              <w:t>(10)   Instituțiile supuse supravegherii directe a Băncii Centrale Europene în temeiul articolului 6 alineatul (4) din Regulamentului (UE) nr. 1024/2013 sau ce constituie o pondere importantă în sistemul financiar al unui stat membru își elaborează propriile planuri de redresare în conformitate cu secțiunea 2 din prezentul capitol și fac obiectul unor planuri de rezoluție individualizate în conformitate cu secțiunea 3.</w:t>
            </w:r>
          </w:p>
          <w:p w14:paraId="7562448B" w14:textId="77777777" w:rsidR="00F40D0B" w:rsidRPr="00154588" w:rsidRDefault="00F40D0B" w:rsidP="008C12B4">
            <w:pPr>
              <w:jc w:val="both"/>
              <w:rPr>
                <w:bCs/>
                <w:sz w:val="20"/>
                <w:szCs w:val="20"/>
              </w:rPr>
            </w:pPr>
            <w:r w:rsidRPr="00154588">
              <w:rPr>
                <w:bCs/>
                <w:sz w:val="20"/>
                <w:szCs w:val="20"/>
              </w:rPr>
              <w:t>În sensul prezentului alineat, se consideră că activitatea unei instituții are o pondere importantă în cadrul sistemului financiar al respectivului stat membru în cazul în care se întrunește oricare dintre condițiile următoare:</w:t>
            </w:r>
          </w:p>
          <w:p w14:paraId="55EC88C6" w14:textId="77777777" w:rsidR="00F40D0B" w:rsidRPr="00154588" w:rsidRDefault="00F40D0B" w:rsidP="008C12B4">
            <w:pPr>
              <w:jc w:val="both"/>
              <w:rPr>
                <w:bCs/>
                <w:sz w:val="20"/>
                <w:szCs w:val="20"/>
              </w:rPr>
            </w:pPr>
          </w:p>
          <w:p w14:paraId="584B724E" w14:textId="6EBDA8DC" w:rsidR="00F40D0B" w:rsidRPr="00154588" w:rsidRDefault="00F40D0B" w:rsidP="008C12B4">
            <w:pPr>
              <w:jc w:val="both"/>
              <w:rPr>
                <w:bCs/>
                <w:sz w:val="20"/>
                <w:szCs w:val="20"/>
              </w:rPr>
            </w:pPr>
            <w:r w:rsidRPr="00154588">
              <w:rPr>
                <w:bCs/>
                <w:sz w:val="20"/>
                <w:szCs w:val="20"/>
              </w:rPr>
              <w:t>(a) valoarea totală a activelor sale depășește 30 000 000 000  EUR; sau</w:t>
            </w:r>
          </w:p>
          <w:p w14:paraId="616D0F72" w14:textId="77777777" w:rsidR="00F40D0B" w:rsidRPr="00154588" w:rsidRDefault="00F40D0B" w:rsidP="008C12B4">
            <w:pPr>
              <w:jc w:val="both"/>
              <w:rPr>
                <w:bCs/>
                <w:sz w:val="20"/>
                <w:szCs w:val="20"/>
              </w:rPr>
            </w:pPr>
          </w:p>
          <w:p w14:paraId="34AFABB9" w14:textId="6788309B" w:rsidR="00F40D0B" w:rsidRPr="00154588" w:rsidRDefault="00F40D0B" w:rsidP="008C12B4">
            <w:pPr>
              <w:jc w:val="both"/>
              <w:rPr>
                <w:bCs/>
                <w:sz w:val="20"/>
                <w:szCs w:val="20"/>
              </w:rPr>
            </w:pPr>
            <w:r w:rsidRPr="00154588">
              <w:rPr>
                <w:bCs/>
                <w:sz w:val="20"/>
                <w:szCs w:val="20"/>
              </w:rPr>
              <w:t>(b) ponderea totalului activelor în PIB-ul statului membru în care este stabilită depășește 20 %, cu excepția cazului în care totalul activelor este sub 5 000 000 000  EUR;</w:t>
            </w:r>
          </w:p>
        </w:tc>
        <w:tc>
          <w:tcPr>
            <w:tcW w:w="4819" w:type="dxa"/>
          </w:tcPr>
          <w:p w14:paraId="5BE4E3F1" w14:textId="0705AB95" w:rsidR="00F40D0B" w:rsidRPr="00154588" w:rsidRDefault="00F40D0B" w:rsidP="008C12B4">
            <w:pPr>
              <w:ind w:firstLine="567"/>
              <w:jc w:val="both"/>
              <w:rPr>
                <w:rFonts w:eastAsia="Calibri"/>
                <w:sz w:val="20"/>
                <w:szCs w:val="20"/>
              </w:rPr>
            </w:pPr>
            <w:r w:rsidRPr="00154588">
              <w:rPr>
                <w:rFonts w:eastAsia="Calibri"/>
                <w:b/>
                <w:sz w:val="20"/>
                <w:szCs w:val="20"/>
              </w:rPr>
              <w:t>Articolul 7.</w:t>
            </w:r>
            <w:r w:rsidRPr="00154588">
              <w:rPr>
                <w:rFonts w:eastAsia="Calibri"/>
                <w:sz w:val="20"/>
                <w:szCs w:val="20"/>
              </w:rPr>
              <w:t xml:space="preserve"> – (1) Instituțiile de credit, persoane juridice din Republica Moldova, elaborează propriile planuri de redresare în conformitate cu art.9-22</w:t>
            </w:r>
            <w:r w:rsidRPr="00154588">
              <w:rPr>
                <w:rFonts w:eastAsia="Calibri"/>
                <w:sz w:val="20"/>
                <w:szCs w:val="20"/>
                <w:vertAlign w:val="superscript"/>
              </w:rPr>
              <w:t>21</w:t>
            </w:r>
            <w:r w:rsidRPr="00154588">
              <w:rPr>
                <w:rFonts w:eastAsia="Calibri"/>
                <w:sz w:val="20"/>
                <w:szCs w:val="20"/>
              </w:rPr>
              <w:t xml:space="preserve"> şi fac obiectul unor planuri de rezoluţie în conformitate cu art. 23-31</w:t>
            </w:r>
            <w:r w:rsidRPr="00154588">
              <w:rPr>
                <w:rFonts w:eastAsia="Calibri"/>
                <w:sz w:val="20"/>
                <w:szCs w:val="20"/>
                <w:vertAlign w:val="superscript"/>
              </w:rPr>
              <w:t>24</w:t>
            </w:r>
            <w:r w:rsidRPr="00154588">
              <w:rPr>
                <w:rFonts w:eastAsia="Calibri"/>
                <w:sz w:val="20"/>
                <w:szCs w:val="20"/>
              </w:rPr>
              <w:t>.</w:t>
            </w:r>
          </w:p>
          <w:p w14:paraId="77098551" w14:textId="77777777" w:rsidR="00F40D0B" w:rsidRPr="00154588" w:rsidRDefault="00F40D0B" w:rsidP="008C12B4">
            <w:pPr>
              <w:ind w:firstLine="567"/>
              <w:jc w:val="both"/>
              <w:rPr>
                <w:rFonts w:eastAsia="Calibri"/>
                <w:kern w:val="2"/>
                <w:sz w:val="20"/>
                <w:szCs w:val="20"/>
                <w14:ligatures w14:val="standardContextual"/>
              </w:rPr>
            </w:pPr>
            <w:r w:rsidRPr="00154588">
              <w:rPr>
                <w:rFonts w:eastAsia="Calibri"/>
                <w:sz w:val="20"/>
                <w:szCs w:val="20"/>
              </w:rPr>
              <w:t>(2) Instituțiile de credit supuse supravegherii directe a Băncii Centrale Europene  sau care dețin o pondere importantă în sistemul financiar național elaborează  propriile planuri de redresare în conformitate cu art.9-22</w:t>
            </w:r>
            <w:r w:rsidRPr="00154588">
              <w:rPr>
                <w:rFonts w:eastAsia="Calibri"/>
                <w:sz w:val="20"/>
                <w:szCs w:val="20"/>
                <w:vertAlign w:val="superscript"/>
              </w:rPr>
              <w:t>21</w:t>
            </w:r>
            <w:r w:rsidRPr="00154588">
              <w:rPr>
                <w:rFonts w:eastAsia="Calibri"/>
                <w:sz w:val="20"/>
                <w:szCs w:val="20"/>
              </w:rPr>
              <w:t xml:space="preserve"> şi fac obiectul unor planuri de rezoluţie individualizate în conformitate cu art.23-31</w:t>
            </w:r>
            <w:r w:rsidRPr="00154588">
              <w:rPr>
                <w:rFonts w:eastAsia="Calibri"/>
                <w:sz w:val="20"/>
                <w:szCs w:val="20"/>
                <w:vertAlign w:val="superscript"/>
              </w:rPr>
              <w:t>24</w:t>
            </w:r>
            <w:r w:rsidRPr="00154588">
              <w:rPr>
                <w:rFonts w:eastAsia="Calibri"/>
                <w:sz w:val="20"/>
                <w:szCs w:val="20"/>
              </w:rPr>
              <w:t>.</w:t>
            </w:r>
          </w:p>
          <w:p w14:paraId="434C5C6D" w14:textId="7F942687" w:rsidR="00F40D0B" w:rsidRPr="00154588" w:rsidRDefault="00F40D0B" w:rsidP="008C12B4">
            <w:pPr>
              <w:ind w:firstLine="567"/>
              <w:jc w:val="both"/>
              <w:rPr>
                <w:rFonts w:eastAsia="Calibri"/>
                <w:sz w:val="20"/>
                <w:szCs w:val="20"/>
              </w:rPr>
            </w:pPr>
            <w:r w:rsidRPr="00154588">
              <w:rPr>
                <w:rFonts w:eastAsia="Calibri"/>
                <w:sz w:val="20"/>
                <w:szCs w:val="20"/>
              </w:rPr>
              <w:t xml:space="preserve">(3) În aplicarea prevederilor </w:t>
            </w:r>
            <w:r w:rsidR="00036389" w:rsidRPr="00154588">
              <w:rPr>
                <w:rFonts w:eastAsia="Calibri"/>
                <w:sz w:val="20"/>
                <w:szCs w:val="20"/>
              </w:rPr>
              <w:t>alin.(2)</w:t>
            </w:r>
            <w:r w:rsidRPr="00154588">
              <w:rPr>
                <w:rFonts w:eastAsia="Calibri"/>
                <w:sz w:val="20"/>
                <w:szCs w:val="20"/>
              </w:rPr>
              <w:t xml:space="preserve"> se consideră că o instituție de credit are o pondere importantă în sistemul financiar național dacă îndeplinește oricare dintre următoarele condiții:</w:t>
            </w:r>
          </w:p>
          <w:p w14:paraId="63829FEE" w14:textId="77777777" w:rsidR="00F40D0B" w:rsidRPr="00154588" w:rsidRDefault="00F40D0B" w:rsidP="008C12B4">
            <w:pPr>
              <w:ind w:firstLine="567"/>
              <w:jc w:val="both"/>
              <w:rPr>
                <w:rFonts w:eastAsia="Calibri"/>
                <w:sz w:val="20"/>
                <w:szCs w:val="20"/>
              </w:rPr>
            </w:pPr>
            <w:r w:rsidRPr="00154588">
              <w:rPr>
                <w:rFonts w:eastAsia="Calibri"/>
                <w:sz w:val="20"/>
                <w:szCs w:val="20"/>
              </w:rPr>
              <w:t>a) valoarea totală a activelor sale depășește echivalentul în MDL a 30 miliarde euro;</w:t>
            </w:r>
          </w:p>
          <w:p w14:paraId="1F1B7274" w14:textId="141A19FD" w:rsidR="00F40D0B" w:rsidRPr="00154588" w:rsidRDefault="00F40D0B" w:rsidP="008C12B4">
            <w:pPr>
              <w:ind w:firstLine="567"/>
              <w:jc w:val="both"/>
              <w:rPr>
                <w:sz w:val="20"/>
                <w:szCs w:val="20"/>
              </w:rPr>
            </w:pPr>
            <w:r w:rsidRPr="00154588">
              <w:rPr>
                <w:rFonts w:eastAsia="Calibri"/>
                <w:sz w:val="20"/>
                <w:szCs w:val="20"/>
              </w:rPr>
              <w:t>b) ponderea activelor totale în produs intern brut al Republicii Moldova depășește 20%, cu excepția cazului în care valoarea totală activelor totale este sub echivalentul în MDL a 5 miliarde euro.</w:t>
            </w:r>
          </w:p>
        </w:tc>
        <w:tc>
          <w:tcPr>
            <w:tcW w:w="2552" w:type="dxa"/>
          </w:tcPr>
          <w:p w14:paraId="2B2E5354" w14:textId="33651FC5" w:rsidR="00F40D0B" w:rsidRPr="00154588" w:rsidRDefault="001E7EB6" w:rsidP="008C12B4">
            <w:pPr>
              <w:jc w:val="both"/>
              <w:rPr>
                <w:bCs/>
                <w:sz w:val="20"/>
                <w:szCs w:val="20"/>
              </w:rPr>
            </w:pPr>
            <w:r w:rsidRPr="00154588">
              <w:rPr>
                <w:bCs/>
                <w:sz w:val="20"/>
                <w:szCs w:val="20"/>
              </w:rPr>
              <w:t>Compatibil</w:t>
            </w:r>
          </w:p>
        </w:tc>
        <w:tc>
          <w:tcPr>
            <w:tcW w:w="3118" w:type="dxa"/>
          </w:tcPr>
          <w:p w14:paraId="2B3F8D77" w14:textId="77777777" w:rsidR="00F40D0B" w:rsidRPr="00154588" w:rsidRDefault="00F40D0B" w:rsidP="008C12B4">
            <w:pPr>
              <w:jc w:val="both"/>
              <w:rPr>
                <w:bCs/>
                <w:sz w:val="20"/>
                <w:szCs w:val="20"/>
              </w:rPr>
            </w:pPr>
          </w:p>
        </w:tc>
      </w:tr>
      <w:tr w:rsidR="00456CF7" w:rsidRPr="00154588" w14:paraId="2AF1DB5A" w14:textId="77777777" w:rsidTr="00D15C1B">
        <w:trPr>
          <w:jc w:val="center"/>
        </w:trPr>
        <w:tc>
          <w:tcPr>
            <w:tcW w:w="4957" w:type="dxa"/>
            <w:gridSpan w:val="2"/>
          </w:tcPr>
          <w:p w14:paraId="03237475" w14:textId="77777777" w:rsidR="00456CF7" w:rsidRPr="00154588" w:rsidRDefault="00456CF7" w:rsidP="008C12B4">
            <w:pPr>
              <w:jc w:val="both"/>
              <w:rPr>
                <w:bCs/>
                <w:sz w:val="20"/>
                <w:szCs w:val="20"/>
              </w:rPr>
            </w:pPr>
            <w:r w:rsidRPr="00154588">
              <w:rPr>
                <w:bCs/>
                <w:sz w:val="20"/>
                <w:szCs w:val="20"/>
              </w:rPr>
              <w:t>(11)   ABE elaborează proiecte de standarde tehnice de punere în aplicare pentru a specifica formate, modele și definiții uniforme pentru identificarea și transmiterea de informații de către autoritățile competente și autoritățile de rezoluție către ABE în sensul alineatului (7), cu respectarea deplină a principiului proporționalității.</w:t>
            </w:r>
          </w:p>
          <w:p w14:paraId="02374CCD" w14:textId="6C80DC44" w:rsidR="00456CF7" w:rsidRPr="00154588" w:rsidRDefault="00456CF7" w:rsidP="008C12B4">
            <w:pPr>
              <w:jc w:val="both"/>
              <w:rPr>
                <w:bCs/>
                <w:sz w:val="20"/>
                <w:szCs w:val="20"/>
              </w:rPr>
            </w:pPr>
            <w:r w:rsidRPr="00154588">
              <w:rPr>
                <w:bCs/>
                <w:sz w:val="20"/>
                <w:szCs w:val="20"/>
              </w:rPr>
              <w:t>ABE înaintează Comisiei aceste proiecte de standarde tehnice de reglementare până la 3 iulie 2015.</w:t>
            </w:r>
          </w:p>
          <w:p w14:paraId="5880629E" w14:textId="77777777" w:rsidR="00456CF7" w:rsidRPr="00154588" w:rsidRDefault="00456CF7" w:rsidP="008C12B4">
            <w:pPr>
              <w:jc w:val="both"/>
              <w:rPr>
                <w:bCs/>
                <w:sz w:val="20"/>
                <w:szCs w:val="20"/>
              </w:rPr>
            </w:pPr>
          </w:p>
          <w:p w14:paraId="1E8A12F8" w14:textId="77777777" w:rsidR="00456CF7" w:rsidRPr="00154588" w:rsidRDefault="00456CF7" w:rsidP="008C12B4">
            <w:pPr>
              <w:jc w:val="both"/>
              <w:rPr>
                <w:bCs/>
                <w:sz w:val="20"/>
                <w:szCs w:val="20"/>
              </w:rPr>
            </w:pPr>
          </w:p>
          <w:p w14:paraId="2D51ED9D" w14:textId="32066AF0" w:rsidR="00456CF7" w:rsidRPr="00154588" w:rsidRDefault="00456CF7" w:rsidP="008C12B4">
            <w:pPr>
              <w:jc w:val="both"/>
              <w:rPr>
                <w:bCs/>
                <w:sz w:val="20"/>
                <w:szCs w:val="20"/>
              </w:rPr>
            </w:pPr>
            <w:r w:rsidRPr="00154588">
              <w:rPr>
                <w:bCs/>
                <w:sz w:val="20"/>
                <w:szCs w:val="20"/>
              </w:rPr>
              <w:t>Se conferă Comisiei competența de a adopta standardele tehnice de punere în aplicare menționate la primul paragraf, în conformitate cu articolul 15 din Regulamentul (UE) nr. 1093/2010.</w:t>
            </w:r>
          </w:p>
        </w:tc>
        <w:tc>
          <w:tcPr>
            <w:tcW w:w="4819" w:type="dxa"/>
          </w:tcPr>
          <w:p w14:paraId="4081689A" w14:textId="638BF0A2" w:rsidR="00456CF7" w:rsidRPr="00154588" w:rsidRDefault="00456CF7" w:rsidP="008C12B4">
            <w:pPr>
              <w:jc w:val="center"/>
              <w:rPr>
                <w:bCs/>
                <w:sz w:val="20"/>
                <w:szCs w:val="20"/>
              </w:rPr>
            </w:pPr>
            <w:r w:rsidRPr="00154588">
              <w:rPr>
                <w:bCs/>
                <w:sz w:val="20"/>
                <w:szCs w:val="20"/>
              </w:rPr>
              <w:t>-</w:t>
            </w:r>
          </w:p>
        </w:tc>
        <w:tc>
          <w:tcPr>
            <w:tcW w:w="2552" w:type="dxa"/>
          </w:tcPr>
          <w:p w14:paraId="12478306" w14:textId="0A9B5CD5" w:rsidR="00456CF7" w:rsidRPr="00154588" w:rsidRDefault="00456CF7" w:rsidP="008C12B4">
            <w:pPr>
              <w:jc w:val="both"/>
              <w:rPr>
                <w:bCs/>
                <w:sz w:val="20"/>
                <w:szCs w:val="20"/>
              </w:rPr>
            </w:pPr>
            <w:r w:rsidRPr="00154588">
              <w:rPr>
                <w:bCs/>
                <w:sz w:val="20"/>
                <w:szCs w:val="20"/>
              </w:rPr>
              <w:t>Norme UE neaplicabile</w:t>
            </w:r>
          </w:p>
        </w:tc>
        <w:tc>
          <w:tcPr>
            <w:tcW w:w="3118" w:type="dxa"/>
          </w:tcPr>
          <w:p w14:paraId="5C7A3F57" w14:textId="5BD11CF7" w:rsidR="00456CF7" w:rsidRPr="00154588" w:rsidRDefault="00456CF7" w:rsidP="008C12B4">
            <w:pPr>
              <w:jc w:val="both"/>
              <w:rPr>
                <w:bCs/>
                <w:sz w:val="20"/>
                <w:szCs w:val="20"/>
              </w:rPr>
            </w:pPr>
            <w:r w:rsidRPr="00154588">
              <w:rPr>
                <w:bCs/>
                <w:sz w:val="20"/>
                <w:szCs w:val="20"/>
                <w:lang w:val="ro-MD"/>
              </w:rPr>
              <w:t>Prevederi care se referă la atribuțiile de reglementare ale autorităților europene.</w:t>
            </w:r>
          </w:p>
        </w:tc>
      </w:tr>
      <w:tr w:rsidR="00F40D0B" w:rsidRPr="00154588" w14:paraId="4600DCF2" w14:textId="77777777" w:rsidTr="00D15C1B">
        <w:trPr>
          <w:jc w:val="center"/>
        </w:trPr>
        <w:tc>
          <w:tcPr>
            <w:tcW w:w="4957" w:type="dxa"/>
            <w:gridSpan w:val="2"/>
          </w:tcPr>
          <w:p w14:paraId="12C4777D" w14:textId="77777777" w:rsidR="00F40D0B" w:rsidRPr="00154588" w:rsidRDefault="00F40D0B" w:rsidP="008C12B4">
            <w:pPr>
              <w:rPr>
                <w:b/>
                <w:sz w:val="20"/>
                <w:szCs w:val="20"/>
              </w:rPr>
            </w:pPr>
            <w:r w:rsidRPr="00154588">
              <w:rPr>
                <w:b/>
                <w:sz w:val="20"/>
                <w:szCs w:val="20"/>
              </w:rPr>
              <w:t>Secțiunea 2</w:t>
            </w:r>
          </w:p>
          <w:p w14:paraId="1628AE4F" w14:textId="77777777" w:rsidR="00F40D0B" w:rsidRPr="00154588" w:rsidRDefault="00F40D0B" w:rsidP="008C12B4">
            <w:pPr>
              <w:rPr>
                <w:b/>
                <w:sz w:val="20"/>
                <w:szCs w:val="20"/>
              </w:rPr>
            </w:pPr>
          </w:p>
          <w:p w14:paraId="1B78D6A0" w14:textId="31B3D382" w:rsidR="00F40D0B" w:rsidRPr="00154588" w:rsidRDefault="00F40D0B" w:rsidP="008C12B4">
            <w:pPr>
              <w:rPr>
                <w:bCs/>
                <w:sz w:val="20"/>
                <w:szCs w:val="20"/>
              </w:rPr>
            </w:pPr>
            <w:r w:rsidRPr="00154588">
              <w:rPr>
                <w:b/>
                <w:sz w:val="20"/>
                <w:szCs w:val="20"/>
              </w:rPr>
              <w:t>Planificarea redresării</w:t>
            </w:r>
          </w:p>
        </w:tc>
        <w:tc>
          <w:tcPr>
            <w:tcW w:w="4819" w:type="dxa"/>
          </w:tcPr>
          <w:p w14:paraId="21FF7CF3" w14:textId="77777777" w:rsidR="001E7EB6" w:rsidRPr="00154588" w:rsidRDefault="001E7EB6" w:rsidP="008C12B4">
            <w:pPr>
              <w:jc w:val="center"/>
              <w:rPr>
                <w:rFonts w:eastAsia="Calibri"/>
                <w:sz w:val="20"/>
                <w:szCs w:val="18"/>
              </w:rPr>
            </w:pPr>
            <w:r w:rsidRPr="00154588">
              <w:rPr>
                <w:rFonts w:eastAsia="Calibri"/>
                <w:b/>
                <w:sz w:val="20"/>
                <w:szCs w:val="18"/>
              </w:rPr>
              <w:t>Secţiunea a 2-a</w:t>
            </w:r>
          </w:p>
          <w:p w14:paraId="5EB19A32" w14:textId="28823D38" w:rsidR="00F40D0B" w:rsidRPr="00154588" w:rsidRDefault="001E7EB6" w:rsidP="008C12B4">
            <w:pPr>
              <w:jc w:val="center"/>
              <w:rPr>
                <w:sz w:val="20"/>
                <w:szCs w:val="20"/>
              </w:rPr>
            </w:pPr>
            <w:r w:rsidRPr="00154588">
              <w:rPr>
                <w:rFonts w:eastAsia="Calibri"/>
                <w:b/>
                <w:sz w:val="20"/>
                <w:szCs w:val="18"/>
              </w:rPr>
              <w:t>Planificarea redresării</w:t>
            </w:r>
          </w:p>
        </w:tc>
        <w:tc>
          <w:tcPr>
            <w:tcW w:w="2552" w:type="dxa"/>
          </w:tcPr>
          <w:p w14:paraId="58FA681D" w14:textId="77777777" w:rsidR="00F40D0B" w:rsidRPr="00154588" w:rsidRDefault="00F40D0B" w:rsidP="008C12B4">
            <w:pPr>
              <w:jc w:val="both"/>
              <w:rPr>
                <w:bCs/>
                <w:sz w:val="20"/>
                <w:szCs w:val="20"/>
              </w:rPr>
            </w:pPr>
          </w:p>
        </w:tc>
        <w:tc>
          <w:tcPr>
            <w:tcW w:w="3118" w:type="dxa"/>
          </w:tcPr>
          <w:p w14:paraId="19790E75" w14:textId="77777777" w:rsidR="00F40D0B" w:rsidRPr="00154588" w:rsidRDefault="00F40D0B" w:rsidP="008C12B4">
            <w:pPr>
              <w:jc w:val="both"/>
              <w:rPr>
                <w:bCs/>
                <w:sz w:val="20"/>
                <w:szCs w:val="20"/>
              </w:rPr>
            </w:pPr>
          </w:p>
        </w:tc>
      </w:tr>
      <w:tr w:rsidR="00F40D0B" w:rsidRPr="00154588" w14:paraId="77AC49DB" w14:textId="77777777" w:rsidTr="00D15C1B">
        <w:trPr>
          <w:jc w:val="center"/>
        </w:trPr>
        <w:tc>
          <w:tcPr>
            <w:tcW w:w="4957" w:type="dxa"/>
            <w:gridSpan w:val="2"/>
          </w:tcPr>
          <w:p w14:paraId="29F1492B" w14:textId="77777777" w:rsidR="00F40D0B" w:rsidRPr="00154588" w:rsidRDefault="00F40D0B" w:rsidP="008C12B4">
            <w:pPr>
              <w:rPr>
                <w:b/>
                <w:sz w:val="20"/>
                <w:szCs w:val="20"/>
              </w:rPr>
            </w:pPr>
            <w:r w:rsidRPr="00154588">
              <w:rPr>
                <w:b/>
                <w:sz w:val="20"/>
                <w:szCs w:val="20"/>
              </w:rPr>
              <w:t>Articolul 5</w:t>
            </w:r>
          </w:p>
          <w:p w14:paraId="2890C440" w14:textId="77777777" w:rsidR="00F40D0B" w:rsidRPr="00154588" w:rsidRDefault="00F40D0B" w:rsidP="008C12B4">
            <w:pPr>
              <w:rPr>
                <w:b/>
                <w:sz w:val="20"/>
                <w:szCs w:val="20"/>
              </w:rPr>
            </w:pPr>
          </w:p>
          <w:p w14:paraId="2A2915D1" w14:textId="54C5859E" w:rsidR="00F40D0B" w:rsidRPr="00154588" w:rsidRDefault="00F40D0B" w:rsidP="008C12B4">
            <w:pPr>
              <w:rPr>
                <w:bCs/>
                <w:sz w:val="20"/>
                <w:szCs w:val="20"/>
              </w:rPr>
            </w:pPr>
            <w:r w:rsidRPr="00154588">
              <w:rPr>
                <w:b/>
                <w:sz w:val="20"/>
                <w:szCs w:val="20"/>
              </w:rPr>
              <w:t>Planuri de redresare</w:t>
            </w:r>
          </w:p>
        </w:tc>
        <w:tc>
          <w:tcPr>
            <w:tcW w:w="4819" w:type="dxa"/>
          </w:tcPr>
          <w:p w14:paraId="22884ACF" w14:textId="77777777" w:rsidR="00F40D0B" w:rsidRPr="00154588" w:rsidRDefault="00F40D0B" w:rsidP="008C12B4">
            <w:pPr>
              <w:jc w:val="both"/>
              <w:rPr>
                <w:sz w:val="20"/>
                <w:szCs w:val="20"/>
              </w:rPr>
            </w:pPr>
          </w:p>
        </w:tc>
        <w:tc>
          <w:tcPr>
            <w:tcW w:w="2552" w:type="dxa"/>
          </w:tcPr>
          <w:p w14:paraId="6A895EAC" w14:textId="77777777" w:rsidR="00F40D0B" w:rsidRPr="00154588" w:rsidRDefault="00F40D0B" w:rsidP="008C12B4">
            <w:pPr>
              <w:jc w:val="both"/>
              <w:rPr>
                <w:bCs/>
                <w:sz w:val="20"/>
                <w:szCs w:val="20"/>
              </w:rPr>
            </w:pPr>
          </w:p>
        </w:tc>
        <w:tc>
          <w:tcPr>
            <w:tcW w:w="3118" w:type="dxa"/>
          </w:tcPr>
          <w:p w14:paraId="3301CC9E" w14:textId="77777777" w:rsidR="00F40D0B" w:rsidRPr="00154588" w:rsidRDefault="00F40D0B" w:rsidP="008C12B4">
            <w:pPr>
              <w:jc w:val="both"/>
              <w:rPr>
                <w:bCs/>
                <w:sz w:val="20"/>
                <w:szCs w:val="20"/>
              </w:rPr>
            </w:pPr>
          </w:p>
        </w:tc>
      </w:tr>
      <w:tr w:rsidR="00F40D0B" w:rsidRPr="00154588" w14:paraId="6ABFA08B" w14:textId="77777777" w:rsidTr="00D15C1B">
        <w:trPr>
          <w:jc w:val="center"/>
        </w:trPr>
        <w:tc>
          <w:tcPr>
            <w:tcW w:w="4957" w:type="dxa"/>
            <w:gridSpan w:val="2"/>
          </w:tcPr>
          <w:p w14:paraId="279A4441" w14:textId="65649E6C" w:rsidR="00F40D0B" w:rsidRPr="00154588" w:rsidRDefault="00F40D0B" w:rsidP="008C12B4">
            <w:pPr>
              <w:jc w:val="both"/>
              <w:rPr>
                <w:bCs/>
                <w:sz w:val="20"/>
                <w:szCs w:val="20"/>
              </w:rPr>
            </w:pPr>
            <w:r w:rsidRPr="00154588">
              <w:rPr>
                <w:bCs/>
                <w:sz w:val="20"/>
                <w:szCs w:val="20"/>
              </w:rPr>
              <w:lastRenderedPageBreak/>
              <w:t>(1)   Statele membre se asigură că fiecare instituție care nu este parte a unui grup supus supravegherii consolidate în temeiul articolelor 111 și 112 din Directiva 2013/36/UE elaborează și mențin un plan de redresare care să prevadă măsuri ce trebuie luate de instituție pentru restabilirea poziției financiare a acesteia în cazul deteriorării sale semnificative. Planurile de redresare sunt considerate a fi principii de guvernanță în sensul articolului 74 din Directiva 2013/36/UE.</w:t>
            </w:r>
          </w:p>
        </w:tc>
        <w:tc>
          <w:tcPr>
            <w:tcW w:w="4819" w:type="dxa"/>
          </w:tcPr>
          <w:p w14:paraId="74FA1FCE" w14:textId="5D2CB49A" w:rsidR="001E7EB6" w:rsidRPr="00154588" w:rsidRDefault="001E7EB6" w:rsidP="008C12B4">
            <w:pPr>
              <w:ind w:firstLine="567"/>
              <w:jc w:val="both"/>
              <w:rPr>
                <w:rFonts w:eastAsia="Calibri"/>
                <w:kern w:val="2"/>
                <w:sz w:val="20"/>
                <w:szCs w:val="18"/>
                <w14:ligatures w14:val="standardContextual"/>
              </w:rPr>
            </w:pPr>
            <w:r w:rsidRPr="00154588">
              <w:rPr>
                <w:rFonts w:eastAsia="Calibri"/>
                <w:b/>
                <w:sz w:val="20"/>
                <w:szCs w:val="18"/>
              </w:rPr>
              <w:t>Articolul 9. –</w:t>
            </w:r>
            <w:r w:rsidRPr="00154588">
              <w:rPr>
                <w:rFonts w:eastAsia="Calibri"/>
                <w:sz w:val="20"/>
                <w:szCs w:val="18"/>
              </w:rPr>
              <w:t xml:space="preserve"> (1) Fiecare instituție de credit, persoană juridică din Republica Moldova, care nu face parte dintr-un grup supus supravegherii consolidate, în temeiul art.109 și 110 din Legea nr.202/2017, elaborează şi menţin</w:t>
            </w:r>
            <w:r w:rsidR="00036389" w:rsidRPr="00154588">
              <w:rPr>
                <w:rFonts w:eastAsia="Calibri"/>
                <w:sz w:val="20"/>
                <w:szCs w:val="18"/>
              </w:rPr>
              <w:t>e</w:t>
            </w:r>
            <w:r w:rsidRPr="00154588">
              <w:rPr>
                <w:rFonts w:eastAsia="Calibri"/>
                <w:sz w:val="20"/>
                <w:szCs w:val="18"/>
              </w:rPr>
              <w:t xml:space="preserve"> un plan de redresare care prevede măsuri ce trebuie luate de instituția de credit pentru restabilirea poziţiei sale financiare în cazul deteriorării semnificative a acesteia.</w:t>
            </w:r>
          </w:p>
          <w:p w14:paraId="049D77FD" w14:textId="06F37CD6" w:rsidR="00F40D0B" w:rsidRPr="00154588" w:rsidRDefault="001E7EB6" w:rsidP="008C12B4">
            <w:pPr>
              <w:ind w:firstLine="567"/>
              <w:jc w:val="both"/>
              <w:rPr>
                <w:sz w:val="20"/>
                <w:szCs w:val="20"/>
              </w:rPr>
            </w:pPr>
            <w:r w:rsidRPr="00154588">
              <w:rPr>
                <w:rFonts w:eastAsia="Calibri"/>
                <w:sz w:val="20"/>
                <w:szCs w:val="18"/>
              </w:rPr>
              <w:t>(2) Planurile de redresare sunt considerate parte integrantă a cadrului formal de administrare a activităţii instituit de instituția de credit potrivit art.38 din Legea nr.202/2017.</w:t>
            </w:r>
          </w:p>
        </w:tc>
        <w:tc>
          <w:tcPr>
            <w:tcW w:w="2552" w:type="dxa"/>
          </w:tcPr>
          <w:p w14:paraId="2AEDCCC2" w14:textId="4980937F" w:rsidR="00F40D0B" w:rsidRPr="00154588" w:rsidRDefault="001E7EB6" w:rsidP="008C12B4">
            <w:pPr>
              <w:jc w:val="both"/>
              <w:rPr>
                <w:bCs/>
                <w:sz w:val="20"/>
                <w:szCs w:val="20"/>
              </w:rPr>
            </w:pPr>
            <w:r w:rsidRPr="00154588">
              <w:rPr>
                <w:bCs/>
                <w:sz w:val="20"/>
                <w:szCs w:val="20"/>
              </w:rPr>
              <w:t>Compatibil</w:t>
            </w:r>
          </w:p>
        </w:tc>
        <w:tc>
          <w:tcPr>
            <w:tcW w:w="3118" w:type="dxa"/>
          </w:tcPr>
          <w:p w14:paraId="7FD4EDA3" w14:textId="77777777" w:rsidR="00F40D0B" w:rsidRPr="00154588" w:rsidRDefault="00F40D0B" w:rsidP="008C12B4">
            <w:pPr>
              <w:jc w:val="both"/>
              <w:rPr>
                <w:bCs/>
                <w:sz w:val="20"/>
                <w:szCs w:val="20"/>
              </w:rPr>
            </w:pPr>
          </w:p>
        </w:tc>
      </w:tr>
      <w:tr w:rsidR="00F40D0B" w:rsidRPr="00154588" w14:paraId="080A68AF" w14:textId="77777777" w:rsidTr="00D15C1B">
        <w:trPr>
          <w:jc w:val="center"/>
        </w:trPr>
        <w:tc>
          <w:tcPr>
            <w:tcW w:w="4957" w:type="dxa"/>
            <w:gridSpan w:val="2"/>
          </w:tcPr>
          <w:p w14:paraId="029B00B4" w14:textId="3F015463" w:rsidR="00F40D0B" w:rsidRPr="00154588" w:rsidRDefault="00F40D0B" w:rsidP="008C12B4">
            <w:pPr>
              <w:jc w:val="both"/>
              <w:rPr>
                <w:bCs/>
                <w:sz w:val="20"/>
                <w:szCs w:val="20"/>
              </w:rPr>
            </w:pPr>
            <w:r w:rsidRPr="00154588">
              <w:rPr>
                <w:bCs/>
                <w:sz w:val="20"/>
                <w:szCs w:val="20"/>
              </w:rPr>
              <w:t xml:space="preserve">(2)   Autoritățile competente se asigură că instituțiile își actualizează planurile de redresare cel puțin o dată pe an sau după orice modificare a structurii lor </w:t>
            </w:r>
            <w:r w:rsidR="005D0766" w:rsidRPr="00154588">
              <w:rPr>
                <w:bCs/>
                <w:sz w:val="20"/>
                <w:szCs w:val="20"/>
              </w:rPr>
              <w:t xml:space="preserve">juridice sau </w:t>
            </w:r>
            <w:r w:rsidRPr="00154588">
              <w:rPr>
                <w:bCs/>
                <w:sz w:val="20"/>
                <w:szCs w:val="20"/>
              </w:rPr>
              <w:t>organizaționale, a activității sau a situației lor financiare care ar putea avea un efect important asupra planurilor lor de redresare sau ar putea impune modificarea</w:t>
            </w:r>
            <w:r w:rsidR="005D0766" w:rsidRPr="00154588">
              <w:rPr>
                <w:bCs/>
                <w:sz w:val="20"/>
                <w:szCs w:val="20"/>
              </w:rPr>
              <w:t xml:space="preserve"> substanțială a</w:t>
            </w:r>
            <w:r w:rsidRPr="00154588">
              <w:rPr>
                <w:bCs/>
                <w:sz w:val="20"/>
                <w:szCs w:val="20"/>
              </w:rPr>
              <w:t xml:space="preserve"> acestora. Autoritățile competente pot solicita instituțiilor să își actualizeze planurile de redresare mai frecvent.</w:t>
            </w:r>
          </w:p>
          <w:p w14:paraId="547EE4BD" w14:textId="489A8BF2" w:rsidR="005D0766" w:rsidRPr="00154588" w:rsidRDefault="005D0766" w:rsidP="008C12B4">
            <w:pPr>
              <w:jc w:val="both"/>
              <w:rPr>
                <w:bCs/>
                <w:sz w:val="20"/>
                <w:szCs w:val="20"/>
              </w:rPr>
            </w:pPr>
            <w:r w:rsidRPr="00154588">
              <w:rPr>
                <w:bCs/>
                <w:sz w:val="20"/>
                <w:szCs w:val="20"/>
              </w:rPr>
              <w:t>În absența modificărilor menționate la primul paragraf în termen de 12 luni de la ultima actualizare anuală a planului de redresare, autoritățile competente pot acorda în mod excepțional, până la următoarea perioadă de 12 luni, derogări de la obligația de a actualiza planul de redresare. O astfel de derogare poate fi acordată pentru o perioadă maximă de 12 luni.</w:t>
            </w:r>
          </w:p>
        </w:tc>
        <w:tc>
          <w:tcPr>
            <w:tcW w:w="4819" w:type="dxa"/>
          </w:tcPr>
          <w:p w14:paraId="55062BF4" w14:textId="77777777" w:rsidR="00C82183" w:rsidRPr="00154588" w:rsidRDefault="001E7EB6" w:rsidP="008C12B4">
            <w:pPr>
              <w:ind w:firstLine="567"/>
              <w:jc w:val="both"/>
              <w:rPr>
                <w:bCs/>
                <w:sz w:val="20"/>
                <w:szCs w:val="20"/>
              </w:rPr>
            </w:pPr>
            <w:r w:rsidRPr="00154588">
              <w:rPr>
                <w:rFonts w:eastAsia="Calibri"/>
                <w:b/>
                <w:sz w:val="20"/>
                <w:szCs w:val="18"/>
              </w:rPr>
              <w:t>Articolul 10. –</w:t>
            </w:r>
            <w:r w:rsidRPr="00154588">
              <w:rPr>
                <w:rFonts w:eastAsia="Calibri"/>
                <w:sz w:val="20"/>
                <w:szCs w:val="18"/>
              </w:rPr>
              <w:t xml:space="preserve"> </w:t>
            </w:r>
            <w:r w:rsidR="00C82183" w:rsidRPr="00154588">
              <w:rPr>
                <w:rFonts w:eastAsia="Calibri"/>
                <w:sz w:val="20"/>
                <w:szCs w:val="18"/>
              </w:rPr>
              <w:t xml:space="preserve">(1) </w:t>
            </w:r>
            <w:r w:rsidRPr="00154588">
              <w:rPr>
                <w:rFonts w:eastAsia="Calibri"/>
                <w:sz w:val="20"/>
                <w:szCs w:val="18"/>
              </w:rPr>
              <w:t xml:space="preserve">Instituțiile de credit actualizează planurile de redresare cel puţin anual sau, la solicitarea Băncii Naţionale a Moldovei, în calitate de autoritate competentă, cu o frecvenţă mai mare şi, în orice caz, după orice modificare a structurii organizatorice sau juridice, ori a activităţii sau situaţiei financiare a instituției de credit care ar putea avea impact semnificativ asupra planurilor de redresare sau ar impune modificarea </w:t>
            </w:r>
            <w:r w:rsidR="00C82183" w:rsidRPr="00154588">
              <w:rPr>
                <w:rFonts w:eastAsia="Calibri"/>
                <w:sz w:val="20"/>
                <w:szCs w:val="18"/>
              </w:rPr>
              <w:t xml:space="preserve">substanțială a </w:t>
            </w:r>
            <w:r w:rsidRPr="00154588">
              <w:rPr>
                <w:rFonts w:eastAsia="Calibri"/>
                <w:sz w:val="20"/>
                <w:szCs w:val="18"/>
              </w:rPr>
              <w:t>acestora.</w:t>
            </w:r>
            <w:r w:rsidR="00A36C57" w:rsidRPr="00154588">
              <w:rPr>
                <w:bCs/>
                <w:sz w:val="20"/>
                <w:szCs w:val="20"/>
              </w:rPr>
              <w:t xml:space="preserve"> </w:t>
            </w:r>
          </w:p>
          <w:p w14:paraId="20F310AC" w14:textId="22DF0E85" w:rsidR="001E7EB6" w:rsidRPr="00154588" w:rsidRDefault="00C82183" w:rsidP="008C12B4">
            <w:pPr>
              <w:ind w:firstLine="567"/>
              <w:jc w:val="both"/>
              <w:rPr>
                <w:rFonts w:eastAsia="Calibri"/>
                <w:sz w:val="20"/>
                <w:szCs w:val="18"/>
              </w:rPr>
            </w:pPr>
            <w:r w:rsidRPr="00154588">
              <w:rPr>
                <w:bCs/>
                <w:sz w:val="20"/>
                <w:szCs w:val="20"/>
              </w:rPr>
              <w:t>(2)</w:t>
            </w:r>
            <w:r w:rsidR="00A36C57" w:rsidRPr="00154588">
              <w:rPr>
                <w:bCs/>
                <w:sz w:val="20"/>
                <w:szCs w:val="20"/>
              </w:rPr>
              <w:t xml:space="preserve">În absența modificărilor menționate la </w:t>
            </w:r>
            <w:r w:rsidRPr="00154588">
              <w:rPr>
                <w:bCs/>
                <w:sz w:val="20"/>
                <w:szCs w:val="20"/>
              </w:rPr>
              <w:t>alin.(1)</w:t>
            </w:r>
            <w:r w:rsidR="00A36C57" w:rsidRPr="00154588">
              <w:rPr>
                <w:bCs/>
                <w:sz w:val="20"/>
                <w:szCs w:val="20"/>
              </w:rPr>
              <w:t xml:space="preserve"> în termen de 12 luni de la ultima actualizare anuală a planului de redresare, Banca Națională a Moldovei, în calitate de autoritățile competentă poate acorda în mod excepțional, până la următoarea perioadă de 12 luni, derogări de la obligația de a actualiza planul de redresare. O astfel de derogare poate fi acordată pentru o perioadă maximă de 12 luni.</w:t>
            </w:r>
          </w:p>
          <w:p w14:paraId="3821B9B5" w14:textId="77777777" w:rsidR="00F40D0B" w:rsidRPr="00154588" w:rsidRDefault="00F40D0B" w:rsidP="008C12B4">
            <w:pPr>
              <w:jc w:val="both"/>
              <w:rPr>
                <w:sz w:val="20"/>
                <w:szCs w:val="20"/>
              </w:rPr>
            </w:pPr>
          </w:p>
        </w:tc>
        <w:tc>
          <w:tcPr>
            <w:tcW w:w="2552" w:type="dxa"/>
          </w:tcPr>
          <w:p w14:paraId="647AE83D" w14:textId="64A73B30" w:rsidR="00F40D0B" w:rsidRPr="00154588" w:rsidRDefault="001E7EB6" w:rsidP="008C12B4">
            <w:pPr>
              <w:jc w:val="both"/>
              <w:rPr>
                <w:bCs/>
                <w:sz w:val="20"/>
                <w:szCs w:val="20"/>
              </w:rPr>
            </w:pPr>
            <w:r w:rsidRPr="00154588">
              <w:rPr>
                <w:bCs/>
                <w:sz w:val="20"/>
                <w:szCs w:val="20"/>
              </w:rPr>
              <w:t>Compatibil</w:t>
            </w:r>
          </w:p>
        </w:tc>
        <w:tc>
          <w:tcPr>
            <w:tcW w:w="3118" w:type="dxa"/>
          </w:tcPr>
          <w:p w14:paraId="5A2C47A6" w14:textId="77777777" w:rsidR="00F40D0B" w:rsidRPr="00154588" w:rsidRDefault="00F40D0B" w:rsidP="008C12B4">
            <w:pPr>
              <w:jc w:val="both"/>
              <w:rPr>
                <w:bCs/>
                <w:sz w:val="20"/>
                <w:szCs w:val="20"/>
              </w:rPr>
            </w:pPr>
          </w:p>
        </w:tc>
      </w:tr>
      <w:tr w:rsidR="00F40D0B" w:rsidRPr="00154588" w14:paraId="3C0A9B74" w14:textId="77777777" w:rsidTr="00D15C1B">
        <w:trPr>
          <w:jc w:val="center"/>
        </w:trPr>
        <w:tc>
          <w:tcPr>
            <w:tcW w:w="4957" w:type="dxa"/>
            <w:gridSpan w:val="2"/>
          </w:tcPr>
          <w:p w14:paraId="786AC594" w14:textId="310F383A" w:rsidR="006B43C9" w:rsidRPr="00154588" w:rsidRDefault="00F40D0B" w:rsidP="008C12B4">
            <w:pPr>
              <w:rPr>
                <w:bCs/>
                <w:sz w:val="20"/>
                <w:szCs w:val="20"/>
              </w:rPr>
            </w:pPr>
            <w:r w:rsidRPr="00154588">
              <w:rPr>
                <w:bCs/>
                <w:sz w:val="20"/>
                <w:szCs w:val="20"/>
              </w:rPr>
              <w:t>(3)   Planurile de redresare nu se baze</w:t>
            </w:r>
            <w:r w:rsidR="005D0766" w:rsidRPr="00154588">
              <w:rPr>
                <w:bCs/>
                <w:sz w:val="20"/>
                <w:szCs w:val="20"/>
              </w:rPr>
              <w:t>ază</w:t>
            </w:r>
            <w:r w:rsidR="006B43C9" w:rsidRPr="00154588">
              <w:rPr>
                <w:bCs/>
                <w:sz w:val="20"/>
                <w:szCs w:val="20"/>
              </w:rPr>
              <w:t xml:space="preserve"> pe supoziția că pot fi accesate sau se poate beneficia de următoarele:</w:t>
            </w:r>
            <w:r w:rsidRPr="00154588">
              <w:rPr>
                <w:bCs/>
                <w:sz w:val="20"/>
                <w:szCs w:val="20"/>
              </w:rPr>
              <w:t xml:space="preserve"> </w:t>
            </w:r>
          </w:p>
          <w:p w14:paraId="5CAE8DA9" w14:textId="1AC3011B" w:rsidR="006B43C9" w:rsidRPr="00154588" w:rsidRDefault="006B43C9" w:rsidP="008C12B4">
            <w:pPr>
              <w:rPr>
                <w:bCs/>
                <w:sz w:val="20"/>
                <w:szCs w:val="20"/>
              </w:rPr>
            </w:pPr>
            <w:r w:rsidRPr="00154588">
              <w:rPr>
                <w:bCs/>
                <w:sz w:val="20"/>
                <w:szCs w:val="20"/>
              </w:rPr>
              <w:t xml:space="preserve">(a) </w:t>
            </w:r>
            <w:r w:rsidR="00F40D0B" w:rsidRPr="00154588">
              <w:rPr>
                <w:bCs/>
                <w:sz w:val="20"/>
                <w:szCs w:val="20"/>
              </w:rPr>
              <w:t>sprijin financiar public extraordinar</w:t>
            </w:r>
            <w:r w:rsidRPr="00154588">
              <w:rPr>
                <w:bCs/>
                <w:sz w:val="20"/>
                <w:szCs w:val="20"/>
              </w:rPr>
              <w:t>;</w:t>
            </w:r>
          </w:p>
          <w:p w14:paraId="39D185B7" w14:textId="77777777" w:rsidR="006B43C9" w:rsidRPr="00154588" w:rsidRDefault="006B43C9" w:rsidP="008C12B4">
            <w:pPr>
              <w:rPr>
                <w:bCs/>
                <w:sz w:val="20"/>
                <w:szCs w:val="20"/>
              </w:rPr>
            </w:pPr>
            <w:r w:rsidRPr="00154588">
              <w:rPr>
                <w:bCs/>
                <w:sz w:val="20"/>
                <w:szCs w:val="20"/>
              </w:rPr>
              <w:t>(b) asistență privind lichiditatea în situații de urgență din partea băncii centrale;</w:t>
            </w:r>
          </w:p>
          <w:p w14:paraId="125EC756" w14:textId="747B16A0" w:rsidR="00F40D0B" w:rsidRPr="00154588" w:rsidRDefault="006B43C9" w:rsidP="008C12B4">
            <w:pPr>
              <w:rPr>
                <w:bCs/>
                <w:sz w:val="20"/>
                <w:szCs w:val="20"/>
              </w:rPr>
            </w:pPr>
            <w:r w:rsidRPr="00154588">
              <w:rPr>
                <w:bCs/>
                <w:sz w:val="20"/>
                <w:szCs w:val="20"/>
              </w:rPr>
              <w:t>(c) asistență privind lichiditatea din partea băncii centrale acordată prin garanții, scadențe sau rate ale dobânzilor diferite de cele standard.</w:t>
            </w:r>
          </w:p>
        </w:tc>
        <w:tc>
          <w:tcPr>
            <w:tcW w:w="4819" w:type="dxa"/>
          </w:tcPr>
          <w:p w14:paraId="4630EA06" w14:textId="64CB0A85" w:rsidR="00A36C57" w:rsidRPr="00154588" w:rsidRDefault="001E7EB6" w:rsidP="008C12B4">
            <w:pPr>
              <w:ind w:firstLine="567"/>
              <w:jc w:val="both"/>
              <w:rPr>
                <w:bCs/>
                <w:sz w:val="20"/>
                <w:szCs w:val="20"/>
              </w:rPr>
            </w:pPr>
            <w:r w:rsidRPr="00154588">
              <w:rPr>
                <w:rFonts w:eastAsia="Calibri"/>
                <w:b/>
                <w:sz w:val="20"/>
                <w:szCs w:val="18"/>
              </w:rPr>
              <w:t>Articolul 11.</w:t>
            </w:r>
            <w:r w:rsidRPr="00154588">
              <w:rPr>
                <w:rFonts w:eastAsia="Calibri"/>
                <w:sz w:val="20"/>
                <w:szCs w:val="18"/>
              </w:rPr>
              <w:t xml:space="preserve"> – Planurile de redresare nu trebuie să se bazeze în niciun fel </w:t>
            </w:r>
            <w:r w:rsidR="00C82183" w:rsidRPr="00154588">
              <w:rPr>
                <w:rFonts w:eastAsia="Calibri"/>
                <w:sz w:val="20"/>
                <w:szCs w:val="18"/>
              </w:rPr>
              <w:t xml:space="preserve">pe faptul </w:t>
            </w:r>
            <w:r w:rsidR="00A36C57" w:rsidRPr="00154588">
              <w:rPr>
                <w:bCs/>
                <w:sz w:val="20"/>
                <w:szCs w:val="20"/>
              </w:rPr>
              <w:t>că pot fi accesate sau se poate beneficia de următoarele:</w:t>
            </w:r>
          </w:p>
          <w:p w14:paraId="21CCDDDC" w14:textId="2AEFB72B" w:rsidR="00F40D0B" w:rsidRPr="00154588" w:rsidRDefault="00A36C57" w:rsidP="008C12B4">
            <w:pPr>
              <w:jc w:val="both"/>
              <w:rPr>
                <w:rFonts w:eastAsia="Calibri"/>
                <w:sz w:val="20"/>
                <w:szCs w:val="18"/>
              </w:rPr>
            </w:pPr>
            <w:r w:rsidRPr="00154588">
              <w:rPr>
                <w:bCs/>
                <w:sz w:val="20"/>
                <w:szCs w:val="20"/>
              </w:rPr>
              <w:t>a)</w:t>
            </w:r>
            <w:r w:rsidR="001E7EB6" w:rsidRPr="00154588">
              <w:rPr>
                <w:rFonts w:eastAsia="Calibri"/>
                <w:sz w:val="20"/>
                <w:szCs w:val="18"/>
              </w:rPr>
              <w:t xml:space="preserve"> sprijin financiar public extraordinar</w:t>
            </w:r>
            <w:r w:rsidR="00A90EFA" w:rsidRPr="00154588">
              <w:rPr>
                <w:rFonts w:eastAsia="Calibri"/>
                <w:sz w:val="20"/>
                <w:szCs w:val="18"/>
              </w:rPr>
              <w:t>;</w:t>
            </w:r>
          </w:p>
          <w:p w14:paraId="3CD1BE0F" w14:textId="77E7C6AE" w:rsidR="00A90EFA" w:rsidRPr="00154588" w:rsidRDefault="00A90EFA" w:rsidP="008C12B4">
            <w:pPr>
              <w:rPr>
                <w:bCs/>
                <w:sz w:val="20"/>
                <w:szCs w:val="20"/>
              </w:rPr>
            </w:pPr>
            <w:r w:rsidRPr="00154588">
              <w:rPr>
                <w:bCs/>
                <w:sz w:val="20"/>
                <w:szCs w:val="20"/>
              </w:rPr>
              <w:t>b) asistență de lichiditate în situații de urgență din partea băncii centrale;</w:t>
            </w:r>
          </w:p>
          <w:p w14:paraId="1EAB3A68" w14:textId="11BE047D" w:rsidR="00A90EFA" w:rsidRPr="00154588" w:rsidRDefault="00A90EFA" w:rsidP="008C12B4">
            <w:pPr>
              <w:jc w:val="both"/>
              <w:rPr>
                <w:b/>
                <w:bCs/>
                <w:sz w:val="20"/>
                <w:szCs w:val="20"/>
              </w:rPr>
            </w:pPr>
            <w:r w:rsidRPr="00154588">
              <w:rPr>
                <w:bCs/>
                <w:sz w:val="20"/>
                <w:szCs w:val="20"/>
              </w:rPr>
              <w:t xml:space="preserve">c) asistență de lichiditate din partea băncii centrale </w:t>
            </w:r>
            <w:r w:rsidR="00AB0C5F" w:rsidRPr="00154588">
              <w:rPr>
                <w:bCs/>
                <w:sz w:val="20"/>
                <w:szCs w:val="20"/>
              </w:rPr>
              <w:t>oferită</w:t>
            </w:r>
            <w:r w:rsidRPr="00154588">
              <w:rPr>
                <w:bCs/>
                <w:sz w:val="20"/>
                <w:szCs w:val="20"/>
              </w:rPr>
              <w:t xml:space="preserve"> prin garanții, </w:t>
            </w:r>
            <w:r w:rsidR="00AB0C5F" w:rsidRPr="00154588">
              <w:rPr>
                <w:bCs/>
                <w:sz w:val="20"/>
                <w:szCs w:val="20"/>
              </w:rPr>
              <w:t>rate ale dobânzilor sau durate nonstandard</w:t>
            </w:r>
            <w:r w:rsidRPr="00154588">
              <w:rPr>
                <w:bCs/>
                <w:sz w:val="20"/>
                <w:szCs w:val="20"/>
              </w:rPr>
              <w:t>.</w:t>
            </w:r>
          </w:p>
        </w:tc>
        <w:tc>
          <w:tcPr>
            <w:tcW w:w="2552" w:type="dxa"/>
          </w:tcPr>
          <w:p w14:paraId="6BEB9F58" w14:textId="56E9A252" w:rsidR="00F40D0B" w:rsidRPr="00154588" w:rsidRDefault="001E7EB6" w:rsidP="008C12B4">
            <w:pPr>
              <w:jc w:val="both"/>
              <w:rPr>
                <w:bCs/>
                <w:sz w:val="20"/>
                <w:szCs w:val="20"/>
              </w:rPr>
            </w:pPr>
            <w:r w:rsidRPr="00154588">
              <w:rPr>
                <w:bCs/>
                <w:sz w:val="20"/>
                <w:szCs w:val="20"/>
              </w:rPr>
              <w:t>Compatibil</w:t>
            </w:r>
            <w:r w:rsidR="005D0766" w:rsidRPr="00154588">
              <w:rPr>
                <w:bCs/>
                <w:sz w:val="20"/>
                <w:szCs w:val="20"/>
              </w:rPr>
              <w:t xml:space="preserve"> </w:t>
            </w:r>
          </w:p>
        </w:tc>
        <w:tc>
          <w:tcPr>
            <w:tcW w:w="3118" w:type="dxa"/>
          </w:tcPr>
          <w:p w14:paraId="494CE336" w14:textId="2C5D36B8" w:rsidR="00F40D0B" w:rsidRPr="00154588" w:rsidRDefault="00F40D0B" w:rsidP="008C12B4">
            <w:pPr>
              <w:jc w:val="both"/>
              <w:rPr>
                <w:bCs/>
                <w:sz w:val="20"/>
                <w:szCs w:val="20"/>
              </w:rPr>
            </w:pPr>
          </w:p>
        </w:tc>
      </w:tr>
      <w:tr w:rsidR="00F40D0B" w:rsidRPr="00154588" w14:paraId="2CF3C189" w14:textId="77777777" w:rsidTr="00D15C1B">
        <w:trPr>
          <w:jc w:val="center"/>
        </w:trPr>
        <w:tc>
          <w:tcPr>
            <w:tcW w:w="4957" w:type="dxa"/>
            <w:gridSpan w:val="2"/>
          </w:tcPr>
          <w:p w14:paraId="7DFA740C" w14:textId="03671EA7" w:rsidR="00F40D0B" w:rsidRPr="00154588" w:rsidRDefault="00F40D0B" w:rsidP="008C12B4">
            <w:pPr>
              <w:jc w:val="both"/>
              <w:rPr>
                <w:bCs/>
                <w:sz w:val="20"/>
                <w:szCs w:val="20"/>
              </w:rPr>
            </w:pPr>
            <w:r w:rsidRPr="00154588">
              <w:rPr>
                <w:bCs/>
                <w:sz w:val="20"/>
                <w:szCs w:val="20"/>
              </w:rPr>
              <w:t>(4)   Planurile de redresare prevăd, după caz, o analiză a modului și a momentului în care instituția poate solicita, în condițiile prevăzute în plan</w:t>
            </w:r>
            <w:r w:rsidR="006B43C9" w:rsidRPr="00154588">
              <w:rPr>
                <w:bCs/>
                <w:sz w:val="20"/>
                <w:szCs w:val="20"/>
              </w:rPr>
              <w:t>ul de redresare</w:t>
            </w:r>
            <w:r w:rsidRPr="00154588">
              <w:rPr>
                <w:bCs/>
                <w:sz w:val="20"/>
                <w:szCs w:val="20"/>
              </w:rPr>
              <w:t xml:space="preserve">, accesul la facilitățile oferite de banca centrală </w:t>
            </w:r>
            <w:r w:rsidR="006B43C9" w:rsidRPr="00154588">
              <w:rPr>
                <w:bCs/>
                <w:sz w:val="20"/>
                <w:szCs w:val="20"/>
              </w:rPr>
              <w:t xml:space="preserve">care nu sunt excluse din domeniul de aplicare al planului respectiv în temeiul alineatului (3) </w:t>
            </w:r>
            <w:r w:rsidRPr="00154588">
              <w:rPr>
                <w:bCs/>
                <w:sz w:val="20"/>
                <w:szCs w:val="20"/>
              </w:rPr>
              <w:t>și identifică acele active c</w:t>
            </w:r>
            <w:r w:rsidR="006B43C9" w:rsidRPr="00154588">
              <w:rPr>
                <w:bCs/>
                <w:sz w:val="20"/>
                <w:szCs w:val="20"/>
              </w:rPr>
              <w:t>ar</w:t>
            </w:r>
            <w:r w:rsidRPr="00154588">
              <w:rPr>
                <w:bCs/>
                <w:sz w:val="20"/>
                <w:szCs w:val="20"/>
              </w:rPr>
              <w:t>e</w:t>
            </w:r>
            <w:r w:rsidR="006B43C9" w:rsidRPr="00154588">
              <w:rPr>
                <w:bCs/>
                <w:sz w:val="20"/>
                <w:szCs w:val="20"/>
              </w:rPr>
              <w:t xml:space="preserve"> ar</w:t>
            </w:r>
            <w:r w:rsidRPr="00154588">
              <w:rPr>
                <w:bCs/>
                <w:sz w:val="20"/>
                <w:szCs w:val="20"/>
              </w:rPr>
              <w:t xml:space="preserve"> p</w:t>
            </w:r>
            <w:r w:rsidR="006B43C9" w:rsidRPr="00154588">
              <w:rPr>
                <w:bCs/>
                <w:sz w:val="20"/>
                <w:szCs w:val="20"/>
              </w:rPr>
              <w:t>utea</w:t>
            </w:r>
            <w:r w:rsidRPr="00154588">
              <w:rPr>
                <w:bCs/>
                <w:sz w:val="20"/>
                <w:szCs w:val="20"/>
              </w:rPr>
              <w:t xml:space="preserve"> fi </w:t>
            </w:r>
            <w:r w:rsidR="006B43C9" w:rsidRPr="00154588">
              <w:rPr>
                <w:bCs/>
                <w:sz w:val="20"/>
                <w:szCs w:val="20"/>
              </w:rPr>
              <w:t xml:space="preserve">considerate </w:t>
            </w:r>
            <w:r w:rsidRPr="00154588">
              <w:rPr>
                <w:bCs/>
                <w:sz w:val="20"/>
                <w:szCs w:val="20"/>
              </w:rPr>
              <w:t>drept garanții.</w:t>
            </w:r>
          </w:p>
        </w:tc>
        <w:tc>
          <w:tcPr>
            <w:tcW w:w="4819" w:type="dxa"/>
          </w:tcPr>
          <w:p w14:paraId="00416869" w14:textId="4034C07A" w:rsidR="00F40D0B" w:rsidRPr="00154588" w:rsidRDefault="001E7EB6" w:rsidP="008C12B4">
            <w:pPr>
              <w:jc w:val="both"/>
              <w:rPr>
                <w:sz w:val="20"/>
                <w:szCs w:val="20"/>
              </w:rPr>
            </w:pPr>
            <w:r w:rsidRPr="00154588">
              <w:rPr>
                <w:b/>
                <w:sz w:val="20"/>
                <w:szCs w:val="18"/>
              </w:rPr>
              <w:t>Articolul 12.</w:t>
            </w:r>
            <w:r w:rsidRPr="00154588">
              <w:rPr>
                <w:sz w:val="20"/>
                <w:szCs w:val="18"/>
              </w:rPr>
              <w:t xml:space="preserve"> – Instituțiile de credit includ în planul de redresare, dacă este cazul, o analiză a situaţiilor în care pot solicita, în condiţiile prevăzute în plan, accesul la facilităţile oferite de banca centrală</w:t>
            </w:r>
            <w:r w:rsidR="00C82183" w:rsidRPr="00154588">
              <w:rPr>
                <w:sz w:val="20"/>
                <w:szCs w:val="18"/>
              </w:rPr>
              <w:t>,</w:t>
            </w:r>
            <w:r w:rsidR="00AB0C5F" w:rsidRPr="00154588">
              <w:rPr>
                <w:bCs/>
                <w:sz w:val="20"/>
                <w:szCs w:val="20"/>
              </w:rPr>
              <w:t xml:space="preserve"> care nu sunt excluse din domeniul de aplicare al planului respectiv în temeiul art.1</w:t>
            </w:r>
            <w:r w:rsidR="009E2865" w:rsidRPr="00154588">
              <w:rPr>
                <w:bCs/>
                <w:sz w:val="20"/>
                <w:szCs w:val="20"/>
              </w:rPr>
              <w:t>1</w:t>
            </w:r>
            <w:r w:rsidRPr="00154588">
              <w:rPr>
                <w:sz w:val="20"/>
                <w:szCs w:val="18"/>
              </w:rPr>
              <w:t xml:space="preserve"> şi identifică activele care </w:t>
            </w:r>
            <w:r w:rsidR="00AB0C5F" w:rsidRPr="00154588">
              <w:rPr>
                <w:sz w:val="20"/>
                <w:szCs w:val="18"/>
              </w:rPr>
              <w:t xml:space="preserve">ar </w:t>
            </w:r>
            <w:r w:rsidRPr="00154588">
              <w:rPr>
                <w:sz w:val="20"/>
                <w:szCs w:val="18"/>
              </w:rPr>
              <w:t>p</w:t>
            </w:r>
            <w:r w:rsidR="00AB0C5F" w:rsidRPr="00154588">
              <w:rPr>
                <w:sz w:val="20"/>
                <w:szCs w:val="18"/>
              </w:rPr>
              <w:t>utea</w:t>
            </w:r>
            <w:r w:rsidRPr="00154588">
              <w:rPr>
                <w:sz w:val="20"/>
                <w:szCs w:val="18"/>
              </w:rPr>
              <w:t xml:space="preserve"> fi calificate drept garanţii</w:t>
            </w:r>
            <w:r w:rsidRPr="00154588" w:rsidDel="00C209F3">
              <w:rPr>
                <w:sz w:val="20"/>
                <w:szCs w:val="18"/>
              </w:rPr>
              <w:t xml:space="preserve"> </w:t>
            </w:r>
            <w:r w:rsidRPr="00154588">
              <w:rPr>
                <w:sz w:val="20"/>
                <w:szCs w:val="18"/>
              </w:rPr>
              <w:t>reale</w:t>
            </w:r>
          </w:p>
        </w:tc>
        <w:tc>
          <w:tcPr>
            <w:tcW w:w="2552" w:type="dxa"/>
          </w:tcPr>
          <w:p w14:paraId="406953B4" w14:textId="6FF74F47" w:rsidR="00F40D0B" w:rsidRPr="00154588" w:rsidRDefault="001E7EB6" w:rsidP="008C12B4">
            <w:pPr>
              <w:jc w:val="both"/>
              <w:rPr>
                <w:bCs/>
                <w:sz w:val="20"/>
                <w:szCs w:val="20"/>
              </w:rPr>
            </w:pPr>
            <w:r w:rsidRPr="00154588">
              <w:rPr>
                <w:bCs/>
                <w:sz w:val="20"/>
                <w:szCs w:val="20"/>
              </w:rPr>
              <w:t>Compatibil</w:t>
            </w:r>
          </w:p>
        </w:tc>
        <w:tc>
          <w:tcPr>
            <w:tcW w:w="3118" w:type="dxa"/>
          </w:tcPr>
          <w:p w14:paraId="23BD0865" w14:textId="77777777" w:rsidR="00F40D0B" w:rsidRPr="00154588" w:rsidRDefault="00F40D0B" w:rsidP="008C12B4">
            <w:pPr>
              <w:jc w:val="both"/>
              <w:rPr>
                <w:bCs/>
                <w:sz w:val="20"/>
                <w:szCs w:val="20"/>
              </w:rPr>
            </w:pPr>
          </w:p>
        </w:tc>
      </w:tr>
      <w:tr w:rsidR="00F40D0B" w:rsidRPr="00154588" w14:paraId="179CA446" w14:textId="77777777" w:rsidTr="00D15C1B">
        <w:trPr>
          <w:jc w:val="center"/>
        </w:trPr>
        <w:tc>
          <w:tcPr>
            <w:tcW w:w="4957" w:type="dxa"/>
            <w:gridSpan w:val="2"/>
          </w:tcPr>
          <w:p w14:paraId="20FC2C9B" w14:textId="77777777" w:rsidR="00F40D0B" w:rsidRPr="00154588" w:rsidRDefault="00F40D0B" w:rsidP="008C12B4">
            <w:pPr>
              <w:jc w:val="both"/>
              <w:rPr>
                <w:bCs/>
                <w:sz w:val="20"/>
                <w:szCs w:val="20"/>
              </w:rPr>
            </w:pPr>
            <w:r w:rsidRPr="00154588">
              <w:rPr>
                <w:bCs/>
                <w:sz w:val="20"/>
                <w:szCs w:val="20"/>
              </w:rPr>
              <w:lastRenderedPageBreak/>
              <w:t>(5)   Fără a aduce atingere articolului 4, statele membre se asigură că planurile de redresare includ informațiile stipulate în secțiunea A din anexă. Statele membre pot impune includerea unor informații suplimentare în planurile de redresare.</w:t>
            </w:r>
          </w:p>
          <w:p w14:paraId="1CE5AA13" w14:textId="77777777" w:rsidR="00F40D0B" w:rsidRPr="00154588" w:rsidRDefault="00F40D0B" w:rsidP="008C12B4">
            <w:pPr>
              <w:jc w:val="both"/>
              <w:rPr>
                <w:bCs/>
                <w:sz w:val="20"/>
                <w:szCs w:val="20"/>
              </w:rPr>
            </w:pPr>
          </w:p>
          <w:p w14:paraId="1E546D14" w14:textId="0547F913" w:rsidR="00F40D0B" w:rsidRPr="00154588" w:rsidRDefault="00F40D0B" w:rsidP="008C12B4">
            <w:pPr>
              <w:jc w:val="both"/>
              <w:rPr>
                <w:bCs/>
                <w:sz w:val="20"/>
                <w:szCs w:val="20"/>
              </w:rPr>
            </w:pPr>
            <w:r w:rsidRPr="00154588">
              <w:rPr>
                <w:bCs/>
                <w:sz w:val="20"/>
                <w:szCs w:val="20"/>
              </w:rPr>
              <w:t>De asemenea, planurile de redresare includ posibile măsuri care ar putea fi luate de către instituție atunci când sunt întrunite condițiile de la articolul 27 pentru intervenția timpurie.</w:t>
            </w:r>
          </w:p>
        </w:tc>
        <w:tc>
          <w:tcPr>
            <w:tcW w:w="4819" w:type="dxa"/>
          </w:tcPr>
          <w:p w14:paraId="381AD94C" w14:textId="77777777" w:rsidR="001E7EB6" w:rsidRPr="00154588" w:rsidRDefault="001E7EB6" w:rsidP="008C12B4">
            <w:pPr>
              <w:ind w:firstLine="567"/>
              <w:jc w:val="both"/>
              <w:rPr>
                <w:rFonts w:eastAsia="Calibri"/>
                <w:sz w:val="20"/>
                <w:szCs w:val="18"/>
              </w:rPr>
            </w:pPr>
            <w:r w:rsidRPr="00154588">
              <w:rPr>
                <w:rFonts w:eastAsia="Calibri"/>
                <w:b/>
                <w:sz w:val="20"/>
                <w:szCs w:val="18"/>
              </w:rPr>
              <w:t>Articolul 13. –</w:t>
            </w:r>
            <w:r w:rsidRPr="00154588">
              <w:rPr>
                <w:rFonts w:eastAsia="Calibri"/>
                <w:sz w:val="20"/>
                <w:szCs w:val="18"/>
              </w:rPr>
              <w:t xml:space="preserve"> (1) Fără a aduce atingere dispoziţiilor din art.7-31, planurile de redresare trebuie să includă:</w:t>
            </w:r>
          </w:p>
          <w:p w14:paraId="790F143E" w14:textId="77777777" w:rsidR="001E7EB6" w:rsidRPr="00154588" w:rsidRDefault="001E7EB6" w:rsidP="008C12B4">
            <w:pPr>
              <w:ind w:firstLine="567"/>
              <w:jc w:val="both"/>
              <w:rPr>
                <w:rFonts w:eastAsia="Calibri"/>
                <w:sz w:val="20"/>
                <w:szCs w:val="18"/>
              </w:rPr>
            </w:pPr>
            <w:r w:rsidRPr="00154588">
              <w:rPr>
                <w:rFonts w:eastAsia="Calibri"/>
                <w:sz w:val="20"/>
                <w:szCs w:val="18"/>
              </w:rPr>
              <w:t>a) informaţiile prevăzute în secţiunea A din anexă</w:t>
            </w:r>
            <w:r w:rsidRPr="00154588" w:rsidDel="00C209F3">
              <w:rPr>
                <w:rFonts w:eastAsia="Calibri"/>
                <w:sz w:val="20"/>
                <w:szCs w:val="18"/>
              </w:rPr>
              <w:t>, precum şi alte informaţii, conform reglementărilor emise de Banca Naţională a Moldovei</w:t>
            </w:r>
            <w:r w:rsidRPr="00154588">
              <w:rPr>
                <w:rFonts w:eastAsia="Calibri"/>
                <w:sz w:val="20"/>
                <w:szCs w:val="18"/>
              </w:rPr>
              <w:t>;</w:t>
            </w:r>
          </w:p>
          <w:p w14:paraId="52889458" w14:textId="77777777" w:rsidR="001E7EB6" w:rsidRPr="00154588" w:rsidRDefault="001E7EB6" w:rsidP="008C12B4">
            <w:pPr>
              <w:ind w:firstLine="567"/>
              <w:jc w:val="both"/>
              <w:rPr>
                <w:rFonts w:eastAsia="Calibri"/>
                <w:sz w:val="20"/>
                <w:szCs w:val="18"/>
              </w:rPr>
            </w:pPr>
            <w:r w:rsidRPr="00154588">
              <w:rPr>
                <w:rFonts w:eastAsia="Calibri"/>
                <w:sz w:val="20"/>
                <w:szCs w:val="18"/>
              </w:rPr>
              <w:t>b) măsuri ce pot fi luate de către instituția de credit atunci când sunt întrunite condiţiile pentru intervenţia timpurie prevăzute de art.42-44;</w:t>
            </w:r>
          </w:p>
          <w:p w14:paraId="5CAFDDB1" w14:textId="77777777" w:rsidR="001E7EB6" w:rsidRPr="00154588" w:rsidRDefault="001E7EB6" w:rsidP="008C12B4">
            <w:pPr>
              <w:ind w:firstLine="567"/>
              <w:jc w:val="both"/>
              <w:rPr>
                <w:rFonts w:eastAsia="Calibri"/>
                <w:sz w:val="20"/>
                <w:szCs w:val="18"/>
              </w:rPr>
            </w:pPr>
            <w:r w:rsidRPr="00154588">
              <w:rPr>
                <w:rFonts w:eastAsia="Calibri"/>
                <w:sz w:val="20"/>
                <w:szCs w:val="18"/>
              </w:rPr>
              <w:t>c) condiţii şi proceduri adecvate pentru a garanta aplicarea măsurilor de redresare în timp util, precum şi o gamă largă de opţiuni de redresare.</w:t>
            </w:r>
          </w:p>
          <w:p w14:paraId="3DAC56F2" w14:textId="77777777" w:rsidR="00F40D0B" w:rsidRPr="00154588" w:rsidRDefault="00F40D0B" w:rsidP="008C12B4">
            <w:pPr>
              <w:jc w:val="both"/>
              <w:rPr>
                <w:sz w:val="20"/>
                <w:szCs w:val="20"/>
              </w:rPr>
            </w:pPr>
          </w:p>
        </w:tc>
        <w:tc>
          <w:tcPr>
            <w:tcW w:w="2552" w:type="dxa"/>
          </w:tcPr>
          <w:p w14:paraId="14BB93B7" w14:textId="7DA9533F" w:rsidR="00F40D0B" w:rsidRPr="00154588" w:rsidRDefault="001E7EB6" w:rsidP="008C12B4">
            <w:pPr>
              <w:jc w:val="both"/>
              <w:rPr>
                <w:bCs/>
                <w:sz w:val="20"/>
                <w:szCs w:val="20"/>
              </w:rPr>
            </w:pPr>
            <w:r w:rsidRPr="00154588">
              <w:rPr>
                <w:bCs/>
                <w:sz w:val="20"/>
                <w:szCs w:val="20"/>
              </w:rPr>
              <w:t>Compatibil</w:t>
            </w:r>
          </w:p>
        </w:tc>
        <w:tc>
          <w:tcPr>
            <w:tcW w:w="3118" w:type="dxa"/>
          </w:tcPr>
          <w:p w14:paraId="7B1E9351" w14:textId="77777777" w:rsidR="00F40D0B" w:rsidRPr="00154588" w:rsidRDefault="00F40D0B" w:rsidP="008C12B4">
            <w:pPr>
              <w:jc w:val="both"/>
              <w:rPr>
                <w:bCs/>
                <w:sz w:val="20"/>
                <w:szCs w:val="20"/>
              </w:rPr>
            </w:pPr>
          </w:p>
        </w:tc>
      </w:tr>
      <w:tr w:rsidR="00F40D0B" w:rsidRPr="00154588" w14:paraId="46379269" w14:textId="77777777" w:rsidTr="00D15C1B">
        <w:trPr>
          <w:jc w:val="center"/>
        </w:trPr>
        <w:tc>
          <w:tcPr>
            <w:tcW w:w="4957" w:type="dxa"/>
            <w:gridSpan w:val="2"/>
          </w:tcPr>
          <w:p w14:paraId="6F56D7B6" w14:textId="52CA73E1" w:rsidR="00F40D0B" w:rsidRPr="00154588" w:rsidRDefault="00F40D0B" w:rsidP="008C12B4">
            <w:pPr>
              <w:jc w:val="both"/>
              <w:rPr>
                <w:bCs/>
                <w:sz w:val="20"/>
                <w:szCs w:val="20"/>
              </w:rPr>
            </w:pPr>
            <w:r w:rsidRPr="00154588">
              <w:rPr>
                <w:bCs/>
                <w:sz w:val="20"/>
                <w:szCs w:val="20"/>
              </w:rPr>
              <w:t>(6)   Statele membre solicită ca planurile de redresare să includă condiții și proceduri adecvate pentru a garanta punerea în aplicare în timp util a măsurilor de redresare, precum și o gamă largă de opțiuni de redresare. Statele membre solicită ca planurile de redresare să aibă în vedere o serie de scenarii de criză financiară și macroeconomică gravă, relevante pentru condițiile specifice instituției, care să includă evenimente de amploare sistemică și crize specifice la nivelul persoanelor juridice individuale și la nivelul grupurilor.</w:t>
            </w:r>
          </w:p>
        </w:tc>
        <w:tc>
          <w:tcPr>
            <w:tcW w:w="4819" w:type="dxa"/>
          </w:tcPr>
          <w:p w14:paraId="70744C0B" w14:textId="386F1C41" w:rsidR="001E7EB6" w:rsidRPr="00154588" w:rsidRDefault="001E7EB6" w:rsidP="008C12B4">
            <w:pPr>
              <w:ind w:firstLine="567"/>
              <w:jc w:val="both"/>
              <w:rPr>
                <w:rFonts w:eastAsia="Calibri"/>
                <w:sz w:val="20"/>
                <w:szCs w:val="20"/>
              </w:rPr>
            </w:pPr>
            <w:r w:rsidRPr="00154588">
              <w:rPr>
                <w:rFonts w:eastAsia="Calibri"/>
                <w:b/>
                <w:sz w:val="20"/>
                <w:szCs w:val="20"/>
              </w:rPr>
              <w:t>Articolul 13. –</w:t>
            </w:r>
            <w:r w:rsidRPr="00154588">
              <w:rPr>
                <w:rFonts w:eastAsia="Calibri"/>
                <w:sz w:val="20"/>
                <w:szCs w:val="20"/>
              </w:rPr>
              <w:t xml:space="preserve"> (2) Planurile de redresare trebuie să fie elaborate luând în considerare o serie de scenarii de criză financiară şi macroeconomică majoră, relevante pentru caracteristicile specifice ale instituției de credit, inclusiv evenimente sistemice, scenarii de criză specifice persoanelor juridice considerate individual, precum şi la nivelul grupurilor.</w:t>
            </w:r>
          </w:p>
          <w:p w14:paraId="607641A9" w14:textId="77777777" w:rsidR="00F40D0B" w:rsidRPr="00154588" w:rsidRDefault="00F40D0B" w:rsidP="008C12B4">
            <w:pPr>
              <w:jc w:val="both"/>
              <w:rPr>
                <w:bCs/>
                <w:sz w:val="20"/>
                <w:szCs w:val="20"/>
              </w:rPr>
            </w:pPr>
          </w:p>
        </w:tc>
        <w:tc>
          <w:tcPr>
            <w:tcW w:w="2552" w:type="dxa"/>
          </w:tcPr>
          <w:p w14:paraId="2E60DB7C" w14:textId="63EB8CD9" w:rsidR="00F40D0B" w:rsidRPr="00154588" w:rsidRDefault="001E7EB6" w:rsidP="008C12B4">
            <w:pPr>
              <w:jc w:val="both"/>
              <w:rPr>
                <w:bCs/>
                <w:sz w:val="20"/>
                <w:szCs w:val="20"/>
              </w:rPr>
            </w:pPr>
            <w:r w:rsidRPr="00154588">
              <w:rPr>
                <w:bCs/>
                <w:sz w:val="20"/>
                <w:szCs w:val="20"/>
              </w:rPr>
              <w:t>Compatibil</w:t>
            </w:r>
          </w:p>
        </w:tc>
        <w:tc>
          <w:tcPr>
            <w:tcW w:w="3118" w:type="dxa"/>
          </w:tcPr>
          <w:p w14:paraId="54D0F365" w14:textId="77777777" w:rsidR="00F40D0B" w:rsidRPr="00154588" w:rsidRDefault="00F40D0B" w:rsidP="008C12B4">
            <w:pPr>
              <w:jc w:val="both"/>
              <w:rPr>
                <w:bCs/>
                <w:sz w:val="20"/>
                <w:szCs w:val="20"/>
              </w:rPr>
            </w:pPr>
          </w:p>
        </w:tc>
      </w:tr>
      <w:tr w:rsidR="00456CF7" w:rsidRPr="00154588" w14:paraId="661CE601" w14:textId="77777777" w:rsidTr="00D15C1B">
        <w:trPr>
          <w:jc w:val="center"/>
        </w:trPr>
        <w:tc>
          <w:tcPr>
            <w:tcW w:w="4957" w:type="dxa"/>
            <w:gridSpan w:val="2"/>
          </w:tcPr>
          <w:p w14:paraId="5CF8ACB8" w14:textId="37F25D19" w:rsidR="00456CF7" w:rsidRPr="00154588" w:rsidRDefault="00456CF7" w:rsidP="008C12B4">
            <w:pPr>
              <w:jc w:val="both"/>
              <w:rPr>
                <w:bCs/>
                <w:sz w:val="20"/>
                <w:szCs w:val="20"/>
              </w:rPr>
            </w:pPr>
            <w:r w:rsidRPr="00154588">
              <w:rPr>
                <w:bCs/>
                <w:sz w:val="20"/>
                <w:szCs w:val="20"/>
              </w:rPr>
              <w:t>(7) În strânsă consultare cu Comitetul european pentru riscul sistemic (CERS), până la 3 iulie 2015 ABE elaborează orientări în conformitate cu articolul 16 din Regulamentul (UE) nr. 1093/2010 care să spcifice evantaiul de scenarii care trebuie utilizate în sensul alineatului (6) din prezentul articol.</w:t>
            </w:r>
          </w:p>
        </w:tc>
        <w:tc>
          <w:tcPr>
            <w:tcW w:w="4819" w:type="dxa"/>
          </w:tcPr>
          <w:p w14:paraId="66ED8725" w14:textId="08C71E9D" w:rsidR="00456CF7" w:rsidRPr="00154588" w:rsidRDefault="00456CF7" w:rsidP="008C12B4">
            <w:pPr>
              <w:jc w:val="center"/>
              <w:rPr>
                <w:bCs/>
                <w:sz w:val="20"/>
                <w:szCs w:val="20"/>
              </w:rPr>
            </w:pPr>
            <w:r w:rsidRPr="00154588">
              <w:rPr>
                <w:bCs/>
                <w:sz w:val="20"/>
                <w:szCs w:val="20"/>
              </w:rPr>
              <w:t>-</w:t>
            </w:r>
          </w:p>
        </w:tc>
        <w:tc>
          <w:tcPr>
            <w:tcW w:w="2552" w:type="dxa"/>
          </w:tcPr>
          <w:p w14:paraId="13FC542A" w14:textId="3A393819" w:rsidR="00456CF7" w:rsidRPr="00154588" w:rsidRDefault="00456CF7" w:rsidP="008C12B4">
            <w:pPr>
              <w:jc w:val="both"/>
              <w:rPr>
                <w:bCs/>
                <w:sz w:val="20"/>
                <w:szCs w:val="20"/>
              </w:rPr>
            </w:pPr>
            <w:r w:rsidRPr="00154588">
              <w:rPr>
                <w:bCs/>
                <w:sz w:val="20"/>
                <w:szCs w:val="20"/>
              </w:rPr>
              <w:t>Norme UE neaplicabile</w:t>
            </w:r>
          </w:p>
        </w:tc>
        <w:tc>
          <w:tcPr>
            <w:tcW w:w="3118" w:type="dxa"/>
          </w:tcPr>
          <w:p w14:paraId="52358F65" w14:textId="4029E109" w:rsidR="00456CF7" w:rsidRPr="00154588" w:rsidRDefault="00456CF7" w:rsidP="008C12B4">
            <w:pPr>
              <w:jc w:val="both"/>
              <w:rPr>
                <w:bCs/>
                <w:sz w:val="20"/>
                <w:szCs w:val="20"/>
              </w:rPr>
            </w:pPr>
            <w:r w:rsidRPr="00154588">
              <w:rPr>
                <w:bCs/>
                <w:sz w:val="20"/>
                <w:szCs w:val="20"/>
                <w:lang w:val="ro-MD"/>
              </w:rPr>
              <w:t>Prevederi care se referă la atribuțiile de reglementare ale autorităților europene.</w:t>
            </w:r>
          </w:p>
        </w:tc>
      </w:tr>
      <w:tr w:rsidR="00F40D0B" w:rsidRPr="00154588" w14:paraId="71C0D702" w14:textId="77777777" w:rsidTr="00D15C1B">
        <w:trPr>
          <w:jc w:val="center"/>
        </w:trPr>
        <w:tc>
          <w:tcPr>
            <w:tcW w:w="4957" w:type="dxa"/>
            <w:gridSpan w:val="2"/>
          </w:tcPr>
          <w:p w14:paraId="7DB09BB0" w14:textId="35D43E8D" w:rsidR="00F40D0B" w:rsidRPr="00154588" w:rsidRDefault="00F40D0B" w:rsidP="008C12B4">
            <w:pPr>
              <w:jc w:val="both"/>
              <w:rPr>
                <w:bCs/>
                <w:sz w:val="20"/>
                <w:szCs w:val="20"/>
              </w:rPr>
            </w:pPr>
            <w:r w:rsidRPr="00154588">
              <w:rPr>
                <w:bCs/>
                <w:sz w:val="20"/>
                <w:szCs w:val="20"/>
              </w:rPr>
              <w:t>(8) Statele membre pot prevedea ca autoritățile competente să aibă competența de a solicita unei instituții să păstreze evidențe detaliate ale contractelor financiare la care este parte.</w:t>
            </w:r>
          </w:p>
        </w:tc>
        <w:tc>
          <w:tcPr>
            <w:tcW w:w="4819" w:type="dxa"/>
          </w:tcPr>
          <w:p w14:paraId="04BF0C2D" w14:textId="1FCE9691" w:rsidR="00F40D0B" w:rsidRPr="00154588" w:rsidRDefault="001E7EB6" w:rsidP="008C12B4">
            <w:pPr>
              <w:ind w:firstLine="567"/>
              <w:jc w:val="both"/>
              <w:rPr>
                <w:sz w:val="20"/>
                <w:szCs w:val="20"/>
              </w:rPr>
            </w:pPr>
            <w:r w:rsidRPr="00154588">
              <w:rPr>
                <w:rFonts w:eastAsia="Calibri"/>
                <w:b/>
                <w:sz w:val="20"/>
                <w:szCs w:val="20"/>
              </w:rPr>
              <w:t>Articolul 14.</w:t>
            </w:r>
            <w:r w:rsidRPr="00154588">
              <w:rPr>
                <w:rFonts w:eastAsia="Calibri"/>
                <w:sz w:val="20"/>
                <w:szCs w:val="20"/>
              </w:rPr>
              <w:t xml:space="preserve"> – Banca Naţională a Moldovei, în calitate de autoritate competentă, poate solicita unei instituții de credit să păstreze evidenţe detaliate ale contractelor financiare la care este parte.</w:t>
            </w:r>
          </w:p>
        </w:tc>
        <w:tc>
          <w:tcPr>
            <w:tcW w:w="2552" w:type="dxa"/>
          </w:tcPr>
          <w:p w14:paraId="0CD6753A" w14:textId="5E874F80" w:rsidR="00F40D0B" w:rsidRPr="00154588" w:rsidRDefault="001E7EB6" w:rsidP="008C12B4">
            <w:pPr>
              <w:jc w:val="both"/>
              <w:rPr>
                <w:bCs/>
                <w:sz w:val="20"/>
                <w:szCs w:val="20"/>
              </w:rPr>
            </w:pPr>
            <w:r w:rsidRPr="00154588">
              <w:rPr>
                <w:bCs/>
                <w:sz w:val="20"/>
                <w:szCs w:val="20"/>
              </w:rPr>
              <w:t>Compatibil</w:t>
            </w:r>
          </w:p>
        </w:tc>
        <w:tc>
          <w:tcPr>
            <w:tcW w:w="3118" w:type="dxa"/>
          </w:tcPr>
          <w:p w14:paraId="1A5BE09A" w14:textId="77777777" w:rsidR="00F40D0B" w:rsidRPr="00154588" w:rsidRDefault="00F40D0B" w:rsidP="008C12B4">
            <w:pPr>
              <w:jc w:val="both"/>
              <w:rPr>
                <w:bCs/>
                <w:sz w:val="20"/>
                <w:szCs w:val="20"/>
              </w:rPr>
            </w:pPr>
          </w:p>
        </w:tc>
      </w:tr>
      <w:tr w:rsidR="00F40D0B" w:rsidRPr="00154588" w14:paraId="2463C558" w14:textId="77777777" w:rsidTr="00D15C1B">
        <w:trPr>
          <w:jc w:val="center"/>
        </w:trPr>
        <w:tc>
          <w:tcPr>
            <w:tcW w:w="4957" w:type="dxa"/>
            <w:gridSpan w:val="2"/>
          </w:tcPr>
          <w:p w14:paraId="0E0569F5" w14:textId="50862506" w:rsidR="00F40D0B" w:rsidRPr="00154588" w:rsidRDefault="00F40D0B" w:rsidP="008C12B4">
            <w:pPr>
              <w:jc w:val="both"/>
              <w:rPr>
                <w:bCs/>
                <w:sz w:val="20"/>
                <w:szCs w:val="20"/>
              </w:rPr>
            </w:pPr>
            <w:r w:rsidRPr="00154588">
              <w:rPr>
                <w:bCs/>
                <w:sz w:val="20"/>
                <w:szCs w:val="20"/>
              </w:rPr>
              <w:t>(9) Conducerea instituției menționate la alineatul (1) evaluează și aprobă planul de redresare înainte de transmiterea acestuia către autoritatea competentă.</w:t>
            </w:r>
          </w:p>
        </w:tc>
        <w:tc>
          <w:tcPr>
            <w:tcW w:w="4819" w:type="dxa"/>
          </w:tcPr>
          <w:p w14:paraId="27D2C788" w14:textId="0FD3C88A" w:rsidR="00F40D0B" w:rsidRPr="00154588" w:rsidRDefault="001E7EB6" w:rsidP="008C12B4">
            <w:pPr>
              <w:ind w:firstLine="567"/>
              <w:jc w:val="both"/>
              <w:rPr>
                <w:sz w:val="20"/>
                <w:szCs w:val="20"/>
              </w:rPr>
            </w:pPr>
            <w:r w:rsidRPr="00154588">
              <w:rPr>
                <w:rFonts w:eastAsia="Calibri"/>
                <w:b/>
                <w:sz w:val="20"/>
                <w:szCs w:val="20"/>
              </w:rPr>
              <w:t>Articolul 15.</w:t>
            </w:r>
            <w:r w:rsidRPr="00154588">
              <w:rPr>
                <w:rFonts w:eastAsia="Calibri"/>
                <w:sz w:val="20"/>
                <w:szCs w:val="20"/>
              </w:rPr>
              <w:t xml:space="preserve"> </w:t>
            </w:r>
            <w:r w:rsidRPr="00154588">
              <w:rPr>
                <w:sz w:val="20"/>
                <w:szCs w:val="20"/>
                <w:lang w:eastAsia="ro-MD"/>
              </w:rPr>
              <w:t>–</w:t>
            </w:r>
            <w:r w:rsidRPr="00154588">
              <w:rPr>
                <w:rFonts w:eastAsia="Calibri"/>
                <w:sz w:val="20"/>
                <w:szCs w:val="20"/>
              </w:rPr>
              <w:t xml:space="preserve"> </w:t>
            </w:r>
            <w:r w:rsidRPr="00154588">
              <w:rPr>
                <w:sz w:val="20"/>
                <w:szCs w:val="20"/>
                <w:lang w:eastAsia="ro-MD"/>
              </w:rPr>
              <w:t>Organul de conducere al</w:t>
            </w:r>
            <w:r w:rsidRPr="00154588">
              <w:rPr>
                <w:rFonts w:eastAsia="Calibri"/>
                <w:sz w:val="20"/>
                <w:szCs w:val="20"/>
              </w:rPr>
              <w:t xml:space="preserve"> instituției de credit prevăzute la art.9 evaluează şi aprobă planul de redresare înainte de transmiterea acestuia către Banca Naţională a Moldovei, în calitate de autoritate competentă.</w:t>
            </w:r>
          </w:p>
        </w:tc>
        <w:tc>
          <w:tcPr>
            <w:tcW w:w="2552" w:type="dxa"/>
          </w:tcPr>
          <w:p w14:paraId="3DDE4CDF" w14:textId="0801C635" w:rsidR="00F40D0B" w:rsidRPr="00154588" w:rsidRDefault="001E7EB6" w:rsidP="008C12B4">
            <w:pPr>
              <w:jc w:val="both"/>
              <w:rPr>
                <w:bCs/>
                <w:sz w:val="20"/>
                <w:szCs w:val="20"/>
              </w:rPr>
            </w:pPr>
            <w:r w:rsidRPr="00154588">
              <w:rPr>
                <w:bCs/>
                <w:sz w:val="20"/>
                <w:szCs w:val="20"/>
              </w:rPr>
              <w:t>Compatibil</w:t>
            </w:r>
          </w:p>
        </w:tc>
        <w:tc>
          <w:tcPr>
            <w:tcW w:w="3118" w:type="dxa"/>
          </w:tcPr>
          <w:p w14:paraId="1437EDAB" w14:textId="77777777" w:rsidR="00F40D0B" w:rsidRPr="00154588" w:rsidRDefault="00F40D0B" w:rsidP="008C12B4">
            <w:pPr>
              <w:jc w:val="both"/>
              <w:rPr>
                <w:bCs/>
                <w:sz w:val="20"/>
                <w:szCs w:val="20"/>
              </w:rPr>
            </w:pPr>
          </w:p>
        </w:tc>
      </w:tr>
      <w:tr w:rsidR="00BA3EAF" w:rsidRPr="00154588" w14:paraId="2D3E148D" w14:textId="77777777" w:rsidTr="00D15C1B">
        <w:trPr>
          <w:jc w:val="center"/>
        </w:trPr>
        <w:tc>
          <w:tcPr>
            <w:tcW w:w="4957" w:type="dxa"/>
            <w:gridSpan w:val="2"/>
          </w:tcPr>
          <w:p w14:paraId="71A4738B" w14:textId="77777777" w:rsidR="00BA3EAF" w:rsidRPr="00154588" w:rsidRDefault="00BA3EAF" w:rsidP="008C12B4">
            <w:pPr>
              <w:jc w:val="both"/>
              <w:rPr>
                <w:bCs/>
                <w:sz w:val="20"/>
                <w:szCs w:val="20"/>
              </w:rPr>
            </w:pPr>
            <w:r w:rsidRPr="00154588">
              <w:rPr>
                <w:bCs/>
                <w:sz w:val="20"/>
                <w:szCs w:val="20"/>
              </w:rPr>
              <w:t>(10)   ABE elaborează proiecte de standarde tehnice de reglementare care specifică, fără a aduce atingere articolului 4, informațiile pe care trebuie să le conțină planul de redresare menționat la alineatul (5) din prezentul articol.</w:t>
            </w:r>
          </w:p>
          <w:p w14:paraId="395AC00F" w14:textId="77777777" w:rsidR="00BA3EAF" w:rsidRPr="00154588" w:rsidRDefault="00BA3EAF" w:rsidP="008C12B4">
            <w:pPr>
              <w:jc w:val="both"/>
              <w:rPr>
                <w:bCs/>
                <w:sz w:val="20"/>
                <w:szCs w:val="20"/>
              </w:rPr>
            </w:pPr>
          </w:p>
          <w:p w14:paraId="4CF1849F" w14:textId="77777777" w:rsidR="00BA3EAF" w:rsidRPr="00154588" w:rsidRDefault="00BA3EAF" w:rsidP="008C12B4">
            <w:pPr>
              <w:jc w:val="both"/>
              <w:rPr>
                <w:bCs/>
                <w:sz w:val="20"/>
                <w:szCs w:val="20"/>
              </w:rPr>
            </w:pPr>
            <w:r w:rsidRPr="00154588">
              <w:rPr>
                <w:bCs/>
                <w:sz w:val="20"/>
                <w:szCs w:val="20"/>
              </w:rPr>
              <w:t>ABE înaintează Comisiei aceste proiecte de standarde tehnice de reglementare până la 3 iulie 2015.</w:t>
            </w:r>
          </w:p>
          <w:p w14:paraId="68799B9B" w14:textId="77777777" w:rsidR="00BA3EAF" w:rsidRPr="00154588" w:rsidRDefault="00BA3EAF" w:rsidP="008C12B4">
            <w:pPr>
              <w:jc w:val="both"/>
              <w:rPr>
                <w:bCs/>
                <w:sz w:val="20"/>
                <w:szCs w:val="20"/>
              </w:rPr>
            </w:pPr>
          </w:p>
          <w:p w14:paraId="22968288" w14:textId="1C536CF7" w:rsidR="00BA3EAF" w:rsidRPr="00154588" w:rsidRDefault="00BA3EAF" w:rsidP="008C12B4">
            <w:pPr>
              <w:jc w:val="both"/>
              <w:rPr>
                <w:bCs/>
                <w:sz w:val="20"/>
                <w:szCs w:val="20"/>
              </w:rPr>
            </w:pPr>
            <w:r w:rsidRPr="00154588">
              <w:rPr>
                <w:bCs/>
                <w:sz w:val="20"/>
                <w:szCs w:val="20"/>
              </w:rPr>
              <w:t>Se deleagă Comisiei competența de a adopta standardele tehnice de reglementare menționate la primul paragraf în conformitate cu articolele 10-14 din Regulamentul (UE) nr. 1093/2010.</w:t>
            </w:r>
          </w:p>
        </w:tc>
        <w:tc>
          <w:tcPr>
            <w:tcW w:w="4819" w:type="dxa"/>
          </w:tcPr>
          <w:p w14:paraId="28B1E7D4" w14:textId="1C6B0F7B" w:rsidR="00BA3EAF" w:rsidRPr="00154588" w:rsidRDefault="00BA3EAF" w:rsidP="008C12B4">
            <w:pPr>
              <w:jc w:val="center"/>
              <w:rPr>
                <w:bCs/>
                <w:sz w:val="20"/>
                <w:szCs w:val="20"/>
              </w:rPr>
            </w:pPr>
            <w:r w:rsidRPr="00154588">
              <w:rPr>
                <w:bCs/>
                <w:sz w:val="20"/>
                <w:szCs w:val="20"/>
              </w:rPr>
              <w:lastRenderedPageBreak/>
              <w:t>-</w:t>
            </w:r>
          </w:p>
        </w:tc>
        <w:tc>
          <w:tcPr>
            <w:tcW w:w="2552" w:type="dxa"/>
          </w:tcPr>
          <w:p w14:paraId="3B617E25" w14:textId="0802794D" w:rsidR="00BA3EAF" w:rsidRPr="00154588" w:rsidRDefault="00BA3EAF" w:rsidP="008C12B4">
            <w:pPr>
              <w:jc w:val="center"/>
              <w:rPr>
                <w:bCs/>
                <w:sz w:val="20"/>
                <w:szCs w:val="20"/>
              </w:rPr>
            </w:pPr>
            <w:r w:rsidRPr="00154588">
              <w:rPr>
                <w:bCs/>
                <w:sz w:val="20"/>
                <w:szCs w:val="20"/>
              </w:rPr>
              <w:t>Norme UE neaplicabile</w:t>
            </w:r>
          </w:p>
        </w:tc>
        <w:tc>
          <w:tcPr>
            <w:tcW w:w="3118" w:type="dxa"/>
          </w:tcPr>
          <w:p w14:paraId="26311541" w14:textId="275D5F28" w:rsidR="00BA3EAF" w:rsidRPr="00154588" w:rsidRDefault="00BA3EAF" w:rsidP="008C12B4">
            <w:pPr>
              <w:jc w:val="both"/>
              <w:rPr>
                <w:bCs/>
                <w:sz w:val="20"/>
                <w:szCs w:val="20"/>
              </w:rPr>
            </w:pPr>
            <w:r w:rsidRPr="00154588">
              <w:rPr>
                <w:bCs/>
                <w:sz w:val="20"/>
                <w:szCs w:val="20"/>
                <w:lang w:val="ro-MD"/>
              </w:rPr>
              <w:t>Prevederi care se referă la atribuțiile de reglementare ale autorităților europene.</w:t>
            </w:r>
          </w:p>
        </w:tc>
      </w:tr>
      <w:tr w:rsidR="00F40D0B" w:rsidRPr="00154588" w14:paraId="58AB2B90" w14:textId="77777777" w:rsidTr="00D15C1B">
        <w:trPr>
          <w:jc w:val="center"/>
        </w:trPr>
        <w:tc>
          <w:tcPr>
            <w:tcW w:w="4957" w:type="dxa"/>
            <w:gridSpan w:val="2"/>
          </w:tcPr>
          <w:p w14:paraId="72D3CC4A" w14:textId="77777777" w:rsidR="00F40D0B" w:rsidRPr="00154588" w:rsidRDefault="00F40D0B" w:rsidP="008C12B4">
            <w:pPr>
              <w:rPr>
                <w:b/>
                <w:sz w:val="20"/>
                <w:szCs w:val="20"/>
              </w:rPr>
            </w:pPr>
            <w:r w:rsidRPr="00154588">
              <w:rPr>
                <w:b/>
                <w:sz w:val="20"/>
                <w:szCs w:val="20"/>
              </w:rPr>
              <w:t>Articolul 6</w:t>
            </w:r>
          </w:p>
          <w:p w14:paraId="42513868" w14:textId="77777777" w:rsidR="00F40D0B" w:rsidRPr="00154588" w:rsidRDefault="00F40D0B" w:rsidP="008C12B4">
            <w:pPr>
              <w:rPr>
                <w:b/>
                <w:sz w:val="20"/>
                <w:szCs w:val="20"/>
              </w:rPr>
            </w:pPr>
          </w:p>
          <w:p w14:paraId="41A73865" w14:textId="40EDBBA2" w:rsidR="00F40D0B" w:rsidRPr="00154588" w:rsidRDefault="00F40D0B" w:rsidP="008C12B4">
            <w:pPr>
              <w:rPr>
                <w:bCs/>
                <w:sz w:val="20"/>
                <w:szCs w:val="20"/>
              </w:rPr>
            </w:pPr>
            <w:r w:rsidRPr="00154588">
              <w:rPr>
                <w:b/>
                <w:sz w:val="20"/>
                <w:szCs w:val="20"/>
              </w:rPr>
              <w:t>Evaluarea planurilor de redresare</w:t>
            </w:r>
          </w:p>
        </w:tc>
        <w:tc>
          <w:tcPr>
            <w:tcW w:w="4819" w:type="dxa"/>
          </w:tcPr>
          <w:p w14:paraId="6229102A" w14:textId="77777777" w:rsidR="00F40D0B" w:rsidRPr="00154588" w:rsidRDefault="00F40D0B" w:rsidP="008C12B4">
            <w:pPr>
              <w:jc w:val="both"/>
              <w:rPr>
                <w:bCs/>
                <w:sz w:val="20"/>
                <w:szCs w:val="20"/>
              </w:rPr>
            </w:pPr>
          </w:p>
        </w:tc>
        <w:tc>
          <w:tcPr>
            <w:tcW w:w="2552" w:type="dxa"/>
          </w:tcPr>
          <w:p w14:paraId="20535AEC" w14:textId="77777777" w:rsidR="00F40D0B" w:rsidRPr="00154588" w:rsidRDefault="00F40D0B" w:rsidP="008C12B4">
            <w:pPr>
              <w:jc w:val="both"/>
              <w:rPr>
                <w:bCs/>
                <w:sz w:val="20"/>
                <w:szCs w:val="20"/>
              </w:rPr>
            </w:pPr>
          </w:p>
        </w:tc>
        <w:tc>
          <w:tcPr>
            <w:tcW w:w="3118" w:type="dxa"/>
          </w:tcPr>
          <w:p w14:paraId="38D3D425" w14:textId="77777777" w:rsidR="00F40D0B" w:rsidRPr="00154588" w:rsidRDefault="00F40D0B" w:rsidP="008C12B4">
            <w:pPr>
              <w:jc w:val="both"/>
              <w:rPr>
                <w:bCs/>
                <w:sz w:val="20"/>
                <w:szCs w:val="20"/>
              </w:rPr>
            </w:pPr>
          </w:p>
        </w:tc>
      </w:tr>
      <w:tr w:rsidR="001E7EB6" w:rsidRPr="00154588" w14:paraId="4B2F315F" w14:textId="77777777" w:rsidTr="00D15C1B">
        <w:trPr>
          <w:jc w:val="center"/>
        </w:trPr>
        <w:tc>
          <w:tcPr>
            <w:tcW w:w="4957" w:type="dxa"/>
            <w:gridSpan w:val="2"/>
          </w:tcPr>
          <w:p w14:paraId="39B3097B" w14:textId="52E831F1" w:rsidR="001E7EB6" w:rsidRPr="00154588" w:rsidRDefault="001E7EB6" w:rsidP="008C12B4">
            <w:pPr>
              <w:jc w:val="both"/>
              <w:rPr>
                <w:bCs/>
                <w:sz w:val="20"/>
                <w:szCs w:val="20"/>
              </w:rPr>
            </w:pPr>
            <w:r w:rsidRPr="00154588">
              <w:rPr>
                <w:bCs/>
                <w:sz w:val="20"/>
                <w:szCs w:val="20"/>
              </w:rPr>
              <w:t>(1)   Statele membre solicită instituțiilor care au obligația de a elabora planuri de redresare în temeiul articolului 5 alineatul (1) și al articolului 7 alineatul (1) să le transmită autorității competente spre examinare. Statele membre solicită instituțiilor să demonstreze, spre satisfacția autorității competente, că planurile de redresare respective îndeplinesc criteriile de la alineatul (2).</w:t>
            </w:r>
          </w:p>
        </w:tc>
        <w:tc>
          <w:tcPr>
            <w:tcW w:w="4819" w:type="dxa"/>
          </w:tcPr>
          <w:p w14:paraId="6D2A9B67" w14:textId="77777777" w:rsidR="001E7EB6" w:rsidRPr="00154588" w:rsidRDefault="001E7EB6" w:rsidP="008C12B4">
            <w:pPr>
              <w:ind w:firstLine="567"/>
              <w:jc w:val="both"/>
              <w:rPr>
                <w:rFonts w:eastAsia="Calibri"/>
                <w:sz w:val="20"/>
                <w:szCs w:val="20"/>
              </w:rPr>
            </w:pPr>
            <w:r w:rsidRPr="00154588">
              <w:rPr>
                <w:rFonts w:eastAsia="Calibri"/>
                <w:b/>
                <w:sz w:val="20"/>
                <w:szCs w:val="20"/>
              </w:rPr>
              <w:t>Articolul 16.</w:t>
            </w:r>
            <w:r w:rsidRPr="00154588">
              <w:rPr>
                <w:rFonts w:eastAsia="Calibri"/>
                <w:sz w:val="20"/>
                <w:szCs w:val="20"/>
              </w:rPr>
              <w:t xml:space="preserve"> – (1) Instituțiile de credit supuse obligaţiei de întocmire a planurilor de redresare în temeiul art.9, 22</w:t>
            </w:r>
            <w:r w:rsidRPr="00154588">
              <w:rPr>
                <w:rFonts w:eastAsia="Calibri"/>
                <w:sz w:val="20"/>
                <w:szCs w:val="20"/>
                <w:vertAlign w:val="superscript"/>
              </w:rPr>
              <w:t>1</w:t>
            </w:r>
            <w:r w:rsidRPr="00154588">
              <w:rPr>
                <w:rFonts w:eastAsia="Calibri"/>
                <w:sz w:val="20"/>
                <w:szCs w:val="20"/>
              </w:rPr>
              <w:t xml:space="preserve"> și art. 22</w:t>
            </w:r>
            <w:r w:rsidRPr="00154588">
              <w:rPr>
                <w:rFonts w:eastAsia="Calibri"/>
                <w:sz w:val="20"/>
                <w:szCs w:val="20"/>
                <w:vertAlign w:val="superscript"/>
              </w:rPr>
              <w:t>3</w:t>
            </w:r>
            <w:r w:rsidRPr="00154588">
              <w:rPr>
                <w:rFonts w:eastAsia="Calibri"/>
                <w:sz w:val="20"/>
                <w:szCs w:val="20"/>
              </w:rPr>
              <w:t xml:space="preserve"> trebuie să transmită planurile de redresare Băncii Naţionale a Moldovei, în calitate de autoritate competentă, pentru a fi evaluate.</w:t>
            </w:r>
          </w:p>
          <w:p w14:paraId="1698A632" w14:textId="77777777" w:rsidR="001E7EB6" w:rsidRPr="00154588" w:rsidRDefault="001E7EB6" w:rsidP="008C12B4">
            <w:pPr>
              <w:ind w:firstLine="567"/>
              <w:jc w:val="both"/>
              <w:rPr>
                <w:rFonts w:eastAsia="Calibri"/>
                <w:sz w:val="20"/>
                <w:szCs w:val="20"/>
              </w:rPr>
            </w:pPr>
            <w:r w:rsidRPr="00154588">
              <w:rPr>
                <w:rFonts w:eastAsia="Calibri"/>
                <w:sz w:val="20"/>
                <w:szCs w:val="20"/>
              </w:rPr>
              <w:t>(2) Instituțiile de credit trebuie să demonstreze de o manieră satisfăcătoare pentru Banca Naţională a Moldovei, în calitate de autoritate competentă, că planurile de redresare îndeplinesc criteriile de la art.17.</w:t>
            </w:r>
          </w:p>
          <w:p w14:paraId="4BBE66DA" w14:textId="77777777" w:rsidR="001E7EB6" w:rsidRPr="00154588" w:rsidRDefault="001E7EB6" w:rsidP="008C12B4">
            <w:pPr>
              <w:jc w:val="both"/>
              <w:rPr>
                <w:bCs/>
                <w:sz w:val="20"/>
                <w:szCs w:val="20"/>
              </w:rPr>
            </w:pPr>
          </w:p>
        </w:tc>
        <w:tc>
          <w:tcPr>
            <w:tcW w:w="2552" w:type="dxa"/>
          </w:tcPr>
          <w:p w14:paraId="61638375" w14:textId="42054F1F" w:rsidR="001E7EB6" w:rsidRPr="00154588" w:rsidRDefault="001E7EB6" w:rsidP="008C12B4">
            <w:pPr>
              <w:jc w:val="both"/>
              <w:rPr>
                <w:bCs/>
                <w:sz w:val="20"/>
                <w:szCs w:val="20"/>
              </w:rPr>
            </w:pPr>
            <w:r w:rsidRPr="00154588">
              <w:rPr>
                <w:bCs/>
                <w:sz w:val="20"/>
                <w:szCs w:val="20"/>
              </w:rPr>
              <w:t>Compatibil</w:t>
            </w:r>
          </w:p>
        </w:tc>
        <w:tc>
          <w:tcPr>
            <w:tcW w:w="3118" w:type="dxa"/>
          </w:tcPr>
          <w:p w14:paraId="41B6F7B2" w14:textId="4ED86E17" w:rsidR="001E7EB6" w:rsidRPr="00154588" w:rsidRDefault="001E7EB6" w:rsidP="008C12B4">
            <w:pPr>
              <w:jc w:val="both"/>
              <w:rPr>
                <w:bCs/>
                <w:sz w:val="20"/>
                <w:szCs w:val="20"/>
              </w:rPr>
            </w:pPr>
          </w:p>
        </w:tc>
      </w:tr>
      <w:tr w:rsidR="001E7EB6" w:rsidRPr="00154588" w14:paraId="022DA7D3" w14:textId="77777777" w:rsidTr="00D15C1B">
        <w:trPr>
          <w:jc w:val="center"/>
        </w:trPr>
        <w:tc>
          <w:tcPr>
            <w:tcW w:w="4957" w:type="dxa"/>
            <w:gridSpan w:val="2"/>
          </w:tcPr>
          <w:p w14:paraId="22CEB94D" w14:textId="6FA77717" w:rsidR="001E7EB6" w:rsidRPr="00154588" w:rsidRDefault="001E7EB6" w:rsidP="008C12B4">
            <w:pPr>
              <w:jc w:val="both"/>
              <w:rPr>
                <w:bCs/>
                <w:sz w:val="20"/>
                <w:szCs w:val="20"/>
              </w:rPr>
            </w:pPr>
            <w:r w:rsidRPr="00154588">
              <w:rPr>
                <w:bCs/>
                <w:sz w:val="20"/>
                <w:szCs w:val="20"/>
              </w:rPr>
              <w:t>(2)   Autoritățile competente, în termen de șase luni de la prezentarea fiecărui plan și după consultarea autorităților competente ale statelor membre în care sunt situate sucursale semnificative, în măsura în care acest lucru este relevant pentru sucursala respectivă, examinează planurile de redresare și evaluează măsura în care fiecare plan îndeplinește atât cerințele prevăzute la articolul 5, cât și următoarele criterii:</w:t>
            </w:r>
          </w:p>
          <w:p w14:paraId="2529564E" w14:textId="6AFFF9DF" w:rsidR="001E7EB6" w:rsidRPr="00154588" w:rsidRDefault="001E7EB6" w:rsidP="008C12B4">
            <w:pPr>
              <w:jc w:val="both"/>
              <w:rPr>
                <w:bCs/>
                <w:sz w:val="20"/>
                <w:szCs w:val="20"/>
              </w:rPr>
            </w:pPr>
            <w:r w:rsidRPr="00154588">
              <w:rPr>
                <w:bCs/>
                <w:sz w:val="20"/>
                <w:szCs w:val="20"/>
              </w:rPr>
              <w:t>(a) în mod rezonabil, este probabil ca punerea în aplicare a măsurilor propuse în aceste planuri să păstreze sau să restabilească viabilitatea și poziția financiară a instituției sau a grupului, ținând seama de măsurile pregătitoare pe care instituția le-a luat sau a planificat să le ia;</w:t>
            </w:r>
          </w:p>
          <w:p w14:paraId="3DE0AB41" w14:textId="77777777" w:rsidR="001E7EB6" w:rsidRPr="00154588" w:rsidRDefault="001E7EB6" w:rsidP="008C12B4">
            <w:pPr>
              <w:jc w:val="both"/>
              <w:rPr>
                <w:bCs/>
                <w:sz w:val="20"/>
                <w:szCs w:val="20"/>
              </w:rPr>
            </w:pPr>
          </w:p>
          <w:p w14:paraId="250E23AD" w14:textId="47FA5E49" w:rsidR="001E7EB6" w:rsidRPr="00154588" w:rsidRDefault="001E7EB6" w:rsidP="008C12B4">
            <w:pPr>
              <w:jc w:val="both"/>
              <w:rPr>
                <w:bCs/>
                <w:sz w:val="20"/>
                <w:szCs w:val="20"/>
              </w:rPr>
            </w:pPr>
            <w:r w:rsidRPr="00154588">
              <w:rPr>
                <w:bCs/>
                <w:sz w:val="20"/>
                <w:szCs w:val="20"/>
              </w:rPr>
              <w:t>(b) în mod rezonabil, este probabil ca planul și opțiunile specifice din cadrul acestuia să fie puse în aplicare în mod rapid și eficient în situații de criză financiară, evitând pe cât posibil vreun efect negativ semnificativ asupra sistemului financiar, inclusiv în scenariile care ar determina și alte instituții să pună în aplicare planuri de redresare în aceeași perioadă.</w:t>
            </w:r>
          </w:p>
        </w:tc>
        <w:tc>
          <w:tcPr>
            <w:tcW w:w="4819" w:type="dxa"/>
          </w:tcPr>
          <w:p w14:paraId="3F66A9D9" w14:textId="77777777" w:rsidR="001E7EB6" w:rsidRPr="00154588" w:rsidRDefault="001E7EB6" w:rsidP="008C12B4">
            <w:pPr>
              <w:ind w:firstLine="567"/>
              <w:jc w:val="both"/>
              <w:rPr>
                <w:rFonts w:eastAsia="Calibri"/>
                <w:sz w:val="20"/>
                <w:szCs w:val="20"/>
              </w:rPr>
            </w:pPr>
            <w:r w:rsidRPr="00154588">
              <w:rPr>
                <w:rFonts w:eastAsia="Calibri"/>
                <w:b/>
                <w:sz w:val="20"/>
                <w:szCs w:val="20"/>
              </w:rPr>
              <w:t>Articolul 17.</w:t>
            </w:r>
            <w:r w:rsidRPr="00154588">
              <w:rPr>
                <w:rFonts w:eastAsia="Calibri"/>
                <w:sz w:val="20"/>
                <w:szCs w:val="20"/>
              </w:rPr>
              <w:t xml:space="preserve"> – În termen de şase luni de la primirea planului de redresare, după consultarea autorităților competente din statele membre în care sunt situate sucursale semnificative ale instituției de credit, în stituația în care planul de redresare este relevant pentru respectiva sucursală, Banca Naţională a Moldovei, în calitate de autoritate competentă, analizează planul de redresare şi evaluează în ce măsură acesta respectă cerinţele prevăzute la art.9-15, cât şi următoarele criterii:</w:t>
            </w:r>
          </w:p>
          <w:p w14:paraId="608ECC49" w14:textId="77777777" w:rsidR="001E7EB6" w:rsidRPr="00154588" w:rsidRDefault="001E7EB6" w:rsidP="008C12B4">
            <w:pPr>
              <w:ind w:firstLine="567"/>
              <w:jc w:val="both"/>
              <w:rPr>
                <w:rFonts w:eastAsia="Calibri"/>
                <w:sz w:val="20"/>
                <w:szCs w:val="20"/>
              </w:rPr>
            </w:pPr>
            <w:r w:rsidRPr="00154588">
              <w:rPr>
                <w:rFonts w:eastAsia="Calibri"/>
                <w:sz w:val="20"/>
                <w:szCs w:val="20"/>
              </w:rPr>
              <w:t>a) punerea în aplicare a aranjamentelor propuse în planul de redresare este, în mod rezonabil, în măsură să asigure păstrarea sau restabilirea viabilităţii şi poziţiei financiare a instituției de credit sau, după caz, a grupului, ținând cont de măsurile premergătoare pe care instituția de credit le-a întreprins sau a planificat să le întreprindă;</w:t>
            </w:r>
          </w:p>
          <w:p w14:paraId="5BC2FAF0" w14:textId="2ECB1A30" w:rsidR="001E7EB6" w:rsidRPr="00154588" w:rsidRDefault="001E7EB6" w:rsidP="008C12B4">
            <w:pPr>
              <w:ind w:firstLine="567"/>
              <w:jc w:val="both"/>
              <w:rPr>
                <w:sz w:val="20"/>
                <w:szCs w:val="20"/>
              </w:rPr>
            </w:pPr>
            <w:r w:rsidRPr="00154588">
              <w:rPr>
                <w:rFonts w:eastAsia="Calibri"/>
                <w:sz w:val="20"/>
                <w:szCs w:val="20"/>
              </w:rPr>
              <w:t>b) implementarea planului şi a opţiunilor de redresare identificate în acesta este, în mod rezonabil, probabil să fie realizată rapid şi eficient în situaţii de criză financiară, cu evitarea la maximum a efectelor negative semnificative asupra sistemului financiar, inclusiv în scenarii în care ar determina şi alte instituții să implementeze planuri de redresare în aceeaşi perioadă.</w:t>
            </w:r>
          </w:p>
        </w:tc>
        <w:tc>
          <w:tcPr>
            <w:tcW w:w="2552" w:type="dxa"/>
          </w:tcPr>
          <w:p w14:paraId="4451DD59" w14:textId="0FBDA88D" w:rsidR="001E7EB6" w:rsidRPr="00154588" w:rsidRDefault="001E7EB6" w:rsidP="008C12B4">
            <w:pPr>
              <w:jc w:val="both"/>
              <w:rPr>
                <w:bCs/>
                <w:sz w:val="20"/>
                <w:szCs w:val="20"/>
              </w:rPr>
            </w:pPr>
            <w:r w:rsidRPr="00154588">
              <w:rPr>
                <w:bCs/>
                <w:sz w:val="20"/>
                <w:szCs w:val="20"/>
              </w:rPr>
              <w:t>Compatibil</w:t>
            </w:r>
          </w:p>
        </w:tc>
        <w:tc>
          <w:tcPr>
            <w:tcW w:w="3118" w:type="dxa"/>
          </w:tcPr>
          <w:p w14:paraId="13A56924" w14:textId="77777777" w:rsidR="001E7EB6" w:rsidRPr="00154588" w:rsidRDefault="001E7EB6" w:rsidP="008C12B4">
            <w:pPr>
              <w:jc w:val="both"/>
              <w:rPr>
                <w:bCs/>
                <w:sz w:val="20"/>
                <w:szCs w:val="20"/>
              </w:rPr>
            </w:pPr>
          </w:p>
        </w:tc>
      </w:tr>
      <w:tr w:rsidR="001E7EB6" w:rsidRPr="00154588" w14:paraId="5AD2EE23" w14:textId="77777777" w:rsidTr="00D15C1B">
        <w:trPr>
          <w:jc w:val="center"/>
        </w:trPr>
        <w:tc>
          <w:tcPr>
            <w:tcW w:w="4957" w:type="dxa"/>
            <w:gridSpan w:val="2"/>
          </w:tcPr>
          <w:p w14:paraId="715C96EB" w14:textId="60DDA355" w:rsidR="001E7EB6" w:rsidRPr="00154588" w:rsidRDefault="001E7EB6" w:rsidP="008C12B4">
            <w:pPr>
              <w:jc w:val="both"/>
              <w:rPr>
                <w:bCs/>
                <w:sz w:val="20"/>
                <w:szCs w:val="20"/>
              </w:rPr>
            </w:pPr>
            <w:r w:rsidRPr="00154588">
              <w:rPr>
                <w:bCs/>
                <w:sz w:val="20"/>
                <w:szCs w:val="20"/>
              </w:rPr>
              <w:t>(3) La evaluarea caracterului adecvat al planurilor de redresare, autoritatea competentă ține seama de caracterul adecvat al structurii de capital și de finanțare a instituției pentru nivelul de complexitate a structurii organizatorice și profilul de risc ale instituției.</w:t>
            </w:r>
          </w:p>
        </w:tc>
        <w:tc>
          <w:tcPr>
            <w:tcW w:w="4819" w:type="dxa"/>
          </w:tcPr>
          <w:p w14:paraId="696EC3AA" w14:textId="7D77D244" w:rsidR="001E7EB6" w:rsidRPr="00154588" w:rsidRDefault="001E7EB6" w:rsidP="008C12B4">
            <w:pPr>
              <w:ind w:firstLine="567"/>
              <w:jc w:val="both"/>
              <w:rPr>
                <w:sz w:val="20"/>
                <w:szCs w:val="20"/>
              </w:rPr>
            </w:pPr>
            <w:r w:rsidRPr="00154588">
              <w:rPr>
                <w:rFonts w:eastAsia="Calibri"/>
                <w:b/>
                <w:sz w:val="20"/>
                <w:szCs w:val="20"/>
              </w:rPr>
              <w:t>Articolul 18.</w:t>
            </w:r>
            <w:r w:rsidRPr="00154588">
              <w:rPr>
                <w:rFonts w:eastAsia="Calibri"/>
                <w:sz w:val="20"/>
                <w:szCs w:val="20"/>
              </w:rPr>
              <w:t xml:space="preserve"> – La evaluarea caracterului adecvat al planului de redresare potrivit art.17, Banca Naţională a Moldovei, în calitate de autoritate competentă, ia în considerare gradul în care structura de capital şi de </w:t>
            </w:r>
            <w:r w:rsidRPr="00154588">
              <w:rPr>
                <w:rFonts w:eastAsia="Calibri"/>
                <w:sz w:val="20"/>
                <w:szCs w:val="20"/>
              </w:rPr>
              <w:lastRenderedPageBreak/>
              <w:t>finanţare a instituției de credit corespunde complexităţii structurii organizatorice şi profilului de risc al acesteia.</w:t>
            </w:r>
          </w:p>
        </w:tc>
        <w:tc>
          <w:tcPr>
            <w:tcW w:w="2552" w:type="dxa"/>
          </w:tcPr>
          <w:p w14:paraId="346C9474" w14:textId="1F85866A" w:rsidR="001E7EB6" w:rsidRPr="00154588" w:rsidRDefault="001E7EB6" w:rsidP="008C12B4">
            <w:pPr>
              <w:jc w:val="both"/>
              <w:rPr>
                <w:bCs/>
                <w:sz w:val="20"/>
                <w:szCs w:val="20"/>
              </w:rPr>
            </w:pPr>
            <w:r w:rsidRPr="00154588">
              <w:rPr>
                <w:bCs/>
                <w:sz w:val="20"/>
                <w:szCs w:val="20"/>
              </w:rPr>
              <w:lastRenderedPageBreak/>
              <w:t>Compatibil</w:t>
            </w:r>
          </w:p>
        </w:tc>
        <w:tc>
          <w:tcPr>
            <w:tcW w:w="3118" w:type="dxa"/>
          </w:tcPr>
          <w:p w14:paraId="4487E72E" w14:textId="77777777" w:rsidR="001E7EB6" w:rsidRPr="00154588" w:rsidRDefault="001E7EB6" w:rsidP="008C12B4">
            <w:pPr>
              <w:jc w:val="both"/>
              <w:rPr>
                <w:bCs/>
                <w:sz w:val="20"/>
                <w:szCs w:val="20"/>
              </w:rPr>
            </w:pPr>
          </w:p>
        </w:tc>
      </w:tr>
      <w:tr w:rsidR="001E7EB6" w:rsidRPr="00154588" w14:paraId="13F98BC3" w14:textId="77777777" w:rsidTr="00D15C1B">
        <w:trPr>
          <w:jc w:val="center"/>
        </w:trPr>
        <w:tc>
          <w:tcPr>
            <w:tcW w:w="4957" w:type="dxa"/>
            <w:gridSpan w:val="2"/>
          </w:tcPr>
          <w:p w14:paraId="4B0A74C1" w14:textId="01E35353" w:rsidR="001E7EB6" w:rsidRPr="00154588" w:rsidRDefault="001E7EB6" w:rsidP="008C12B4">
            <w:pPr>
              <w:jc w:val="both"/>
              <w:rPr>
                <w:bCs/>
                <w:sz w:val="20"/>
                <w:szCs w:val="20"/>
              </w:rPr>
            </w:pPr>
            <w:r w:rsidRPr="00154588">
              <w:rPr>
                <w:bCs/>
                <w:sz w:val="20"/>
                <w:szCs w:val="20"/>
              </w:rPr>
              <w:t>(4) Autoritatea competentă transmite planul de redresare autorității de rezoluție. Autoritatea de rezoluție poate examina planul de redresare pentru a identifica dacă acesta conține măsuri care ar putea avea un impact negativ asupra posibilității de soluționare a instituției și poate face recomandări autorității competente cu privire la aceste aspecte.</w:t>
            </w:r>
          </w:p>
        </w:tc>
        <w:tc>
          <w:tcPr>
            <w:tcW w:w="4819" w:type="dxa"/>
          </w:tcPr>
          <w:p w14:paraId="3198988E" w14:textId="77777777" w:rsidR="001E7EB6" w:rsidRPr="00154588" w:rsidRDefault="001E7EB6" w:rsidP="008C12B4">
            <w:pPr>
              <w:ind w:firstLine="567"/>
              <w:jc w:val="both"/>
              <w:rPr>
                <w:rFonts w:eastAsia="Calibri"/>
                <w:sz w:val="20"/>
                <w:szCs w:val="20"/>
              </w:rPr>
            </w:pPr>
            <w:r w:rsidRPr="00154588">
              <w:rPr>
                <w:rFonts w:eastAsia="Calibri"/>
                <w:b/>
                <w:sz w:val="20"/>
                <w:szCs w:val="20"/>
              </w:rPr>
              <w:t>Articolul 19.</w:t>
            </w:r>
            <w:r w:rsidRPr="00154588">
              <w:rPr>
                <w:rFonts w:eastAsia="Calibri"/>
                <w:sz w:val="20"/>
                <w:szCs w:val="20"/>
              </w:rPr>
              <w:t xml:space="preserve"> – (1) Banca Naţională a Moldovei se asigură că structura care exercită funcţia de supraveghere transmite planul de redresare structurii care exercită funcţia de rezoluţie.</w:t>
            </w:r>
          </w:p>
          <w:p w14:paraId="59E85928" w14:textId="03425B8B" w:rsidR="001E7EB6" w:rsidRPr="00154588" w:rsidRDefault="001E7EB6" w:rsidP="008C12B4">
            <w:pPr>
              <w:ind w:firstLine="567"/>
              <w:jc w:val="both"/>
              <w:rPr>
                <w:sz w:val="20"/>
                <w:szCs w:val="20"/>
              </w:rPr>
            </w:pPr>
            <w:r w:rsidRPr="00154588">
              <w:rPr>
                <w:rFonts w:eastAsia="Calibri"/>
                <w:sz w:val="20"/>
                <w:szCs w:val="20"/>
              </w:rPr>
              <w:t>(2) Banca Naţională a Moldovei se asigură că structura care exercită funcţia de rezoluţie evaluează planul de redresare în scopul identificării acelor măsuri pe care acesta le conţine, ce pot avea impact negativ asupra posibilităţii de soluţionare a instituției de credit, şi poate face recomandări referitoare la aceste aspecte structurii care exercită funcţia de supraveghere.</w:t>
            </w:r>
          </w:p>
        </w:tc>
        <w:tc>
          <w:tcPr>
            <w:tcW w:w="2552" w:type="dxa"/>
          </w:tcPr>
          <w:p w14:paraId="49D23162" w14:textId="6F846753" w:rsidR="001E7EB6" w:rsidRPr="00154588" w:rsidRDefault="001E7EB6" w:rsidP="008C12B4">
            <w:pPr>
              <w:jc w:val="both"/>
              <w:rPr>
                <w:bCs/>
                <w:sz w:val="20"/>
                <w:szCs w:val="20"/>
              </w:rPr>
            </w:pPr>
            <w:r w:rsidRPr="00154588">
              <w:rPr>
                <w:bCs/>
                <w:sz w:val="20"/>
                <w:szCs w:val="20"/>
              </w:rPr>
              <w:t>Compatibil</w:t>
            </w:r>
          </w:p>
        </w:tc>
        <w:tc>
          <w:tcPr>
            <w:tcW w:w="3118" w:type="dxa"/>
          </w:tcPr>
          <w:p w14:paraId="1FBD61FB" w14:textId="77777777" w:rsidR="001E7EB6" w:rsidRPr="00154588" w:rsidRDefault="001E7EB6" w:rsidP="008C12B4">
            <w:pPr>
              <w:jc w:val="both"/>
              <w:rPr>
                <w:bCs/>
                <w:sz w:val="20"/>
                <w:szCs w:val="20"/>
              </w:rPr>
            </w:pPr>
          </w:p>
        </w:tc>
      </w:tr>
      <w:tr w:rsidR="001E7EB6" w:rsidRPr="00154588" w14:paraId="775A1708" w14:textId="77777777" w:rsidTr="00D15C1B">
        <w:trPr>
          <w:jc w:val="center"/>
        </w:trPr>
        <w:tc>
          <w:tcPr>
            <w:tcW w:w="4957" w:type="dxa"/>
            <w:gridSpan w:val="2"/>
          </w:tcPr>
          <w:p w14:paraId="2379800B" w14:textId="449537D8" w:rsidR="001E7EB6" w:rsidRPr="00154588" w:rsidRDefault="001E7EB6" w:rsidP="008C12B4">
            <w:pPr>
              <w:jc w:val="both"/>
              <w:rPr>
                <w:bCs/>
                <w:sz w:val="20"/>
                <w:szCs w:val="20"/>
              </w:rPr>
            </w:pPr>
            <w:r w:rsidRPr="00154588">
              <w:rPr>
                <w:bCs/>
                <w:sz w:val="20"/>
                <w:szCs w:val="20"/>
              </w:rPr>
              <w:t>(5)   În cazul în care autoritatea competentă apreciază că planul de redresare prezintă deficiențe majore sau că există obstacole majore în calea punerii sale în aplicare, aceasta informează instituția sau întreprinderea-mamă a grupului în legătură cu evalu</w:t>
            </w:r>
            <w:r w:rsidR="006B43C9" w:rsidRPr="00154588">
              <w:rPr>
                <w:bCs/>
                <w:sz w:val="20"/>
                <w:szCs w:val="20"/>
              </w:rPr>
              <w:t>area</w:t>
            </w:r>
            <w:r w:rsidRPr="00154588">
              <w:rPr>
                <w:bCs/>
                <w:sz w:val="20"/>
                <w:szCs w:val="20"/>
              </w:rPr>
              <w:t xml:space="preserve"> sa și îi solicită instituției să prezinte, în termen de </w:t>
            </w:r>
            <w:r w:rsidR="006B43C9" w:rsidRPr="00154588">
              <w:rPr>
                <w:bCs/>
                <w:sz w:val="20"/>
                <w:szCs w:val="20"/>
              </w:rPr>
              <w:t xml:space="preserve">trei </w:t>
            </w:r>
            <w:r w:rsidRPr="00154588">
              <w:rPr>
                <w:bCs/>
                <w:sz w:val="20"/>
                <w:szCs w:val="20"/>
              </w:rPr>
              <w:t>luni, ce poate fi prelungit cu o lună cu acordul autorității, un plan revizuit</w:t>
            </w:r>
            <w:r w:rsidR="006B43C9" w:rsidRPr="00154588">
              <w:rPr>
                <w:bCs/>
                <w:sz w:val="20"/>
                <w:szCs w:val="20"/>
              </w:rPr>
              <w:t xml:space="preserve"> care să demonstreze modul în care respectivele deficiențe sau obstacole urmează să fie abordate</w:t>
            </w:r>
            <w:r w:rsidRPr="00154588">
              <w:rPr>
                <w:bCs/>
                <w:sz w:val="20"/>
                <w:szCs w:val="20"/>
              </w:rPr>
              <w:t>.</w:t>
            </w:r>
          </w:p>
          <w:p w14:paraId="1FF7B70B" w14:textId="77777777" w:rsidR="001E7EB6" w:rsidRPr="00154588" w:rsidRDefault="001E7EB6" w:rsidP="008C12B4">
            <w:pPr>
              <w:jc w:val="both"/>
              <w:rPr>
                <w:bCs/>
                <w:sz w:val="20"/>
                <w:szCs w:val="20"/>
              </w:rPr>
            </w:pPr>
          </w:p>
          <w:p w14:paraId="68030B58" w14:textId="77777777" w:rsidR="001E7EB6" w:rsidRPr="00154588" w:rsidRDefault="001E7EB6" w:rsidP="008C12B4">
            <w:pPr>
              <w:jc w:val="both"/>
              <w:rPr>
                <w:bCs/>
                <w:sz w:val="20"/>
                <w:szCs w:val="20"/>
              </w:rPr>
            </w:pPr>
            <w:r w:rsidRPr="00154588">
              <w:rPr>
                <w:bCs/>
                <w:sz w:val="20"/>
                <w:szCs w:val="20"/>
              </w:rPr>
              <w:t>Înainte de a solicita unei instituții să depună din nou un plan de redresare, autoritatea competentă oferă instituției posibilitatea prezentării opiniei sale cu privire la respectiva cerință.</w:t>
            </w:r>
          </w:p>
          <w:p w14:paraId="57D71997" w14:textId="77777777" w:rsidR="001E7EB6" w:rsidRPr="00154588" w:rsidRDefault="001E7EB6" w:rsidP="008C12B4">
            <w:pPr>
              <w:jc w:val="both"/>
              <w:rPr>
                <w:bCs/>
                <w:sz w:val="20"/>
                <w:szCs w:val="20"/>
              </w:rPr>
            </w:pPr>
          </w:p>
          <w:p w14:paraId="49548D21" w14:textId="71FDA1E6" w:rsidR="001E7EB6" w:rsidRPr="00154588" w:rsidRDefault="001E7EB6" w:rsidP="008C12B4">
            <w:pPr>
              <w:jc w:val="both"/>
              <w:rPr>
                <w:bCs/>
                <w:sz w:val="20"/>
                <w:szCs w:val="20"/>
              </w:rPr>
            </w:pPr>
            <w:r w:rsidRPr="00154588">
              <w:rPr>
                <w:bCs/>
                <w:sz w:val="20"/>
                <w:szCs w:val="20"/>
              </w:rPr>
              <w:t>În cazul în care autoritatea competentă nu consideră că deficiențele și obstacolele au fost abordate în mod corespunzător în planul revizuit, aceasta poate impune instituției să aducă planului anumite modificări.</w:t>
            </w:r>
          </w:p>
        </w:tc>
        <w:tc>
          <w:tcPr>
            <w:tcW w:w="4819" w:type="dxa"/>
          </w:tcPr>
          <w:p w14:paraId="4356722D" w14:textId="5F1C5F0E" w:rsidR="001E7EB6" w:rsidRPr="00154588" w:rsidRDefault="001E7EB6" w:rsidP="008C12B4">
            <w:pPr>
              <w:ind w:firstLine="567"/>
              <w:jc w:val="both"/>
              <w:rPr>
                <w:rFonts w:eastAsia="Calibri"/>
                <w:sz w:val="20"/>
                <w:szCs w:val="20"/>
              </w:rPr>
            </w:pPr>
            <w:r w:rsidRPr="00154588">
              <w:rPr>
                <w:rFonts w:eastAsia="Calibri"/>
                <w:b/>
                <w:sz w:val="20"/>
                <w:szCs w:val="20"/>
              </w:rPr>
              <w:t>Articolul 20.</w:t>
            </w:r>
            <w:r w:rsidRPr="00154588">
              <w:rPr>
                <w:rFonts w:eastAsia="Calibri"/>
                <w:sz w:val="20"/>
                <w:szCs w:val="20"/>
              </w:rPr>
              <w:t xml:space="preserve"> – (1) În cazul în care Banca Naţională a Moldovei, în calitate de autoritate competentă, apreciază că planul de redresare prezintă </w:t>
            </w:r>
            <w:r w:rsidR="00C82183" w:rsidRPr="00154588">
              <w:rPr>
                <w:rFonts w:eastAsia="Calibri"/>
                <w:sz w:val="20"/>
                <w:szCs w:val="20"/>
              </w:rPr>
              <w:t>deficiențe</w:t>
            </w:r>
            <w:r w:rsidRPr="00154588">
              <w:rPr>
                <w:rFonts w:eastAsia="Calibri"/>
                <w:sz w:val="20"/>
                <w:szCs w:val="20"/>
              </w:rPr>
              <w:t xml:space="preserve"> majore sau că există obstacole semnificative în calea implementării planului, aceasta comunică instituției de credit, și dacă este cazul, întreprinderii-mamă din grup în legătură cu  evaluări</w:t>
            </w:r>
            <w:r w:rsidR="00C82183" w:rsidRPr="00154588">
              <w:rPr>
                <w:rFonts w:eastAsia="Calibri"/>
                <w:sz w:val="20"/>
                <w:szCs w:val="20"/>
              </w:rPr>
              <w:t>le sale</w:t>
            </w:r>
            <w:r w:rsidRPr="00154588">
              <w:rPr>
                <w:rFonts w:eastAsia="Calibri"/>
                <w:sz w:val="20"/>
                <w:szCs w:val="20"/>
              </w:rPr>
              <w:t xml:space="preserve"> şi solicită instituției de credit prezentarea, în termen de </w:t>
            </w:r>
            <w:r w:rsidR="00C82183" w:rsidRPr="00154588">
              <w:rPr>
                <w:rFonts w:eastAsia="Calibri"/>
                <w:sz w:val="20"/>
                <w:szCs w:val="20"/>
              </w:rPr>
              <w:t xml:space="preserve">trei </w:t>
            </w:r>
            <w:r w:rsidRPr="00154588">
              <w:rPr>
                <w:rFonts w:eastAsia="Calibri"/>
                <w:sz w:val="20"/>
                <w:szCs w:val="20"/>
              </w:rPr>
              <w:t xml:space="preserve">luni de la comunicare, a unui plan revizuit </w:t>
            </w:r>
            <w:r w:rsidR="009E2865" w:rsidRPr="00154588">
              <w:rPr>
                <w:bCs/>
                <w:sz w:val="20"/>
                <w:szCs w:val="20"/>
              </w:rPr>
              <w:t>care să demonstreze modul în care respectivele deficiențe sau obstacole urmează să fie abordate</w:t>
            </w:r>
            <w:r w:rsidRPr="00154588">
              <w:rPr>
                <w:rFonts w:eastAsia="Calibri"/>
                <w:sz w:val="20"/>
                <w:szCs w:val="20"/>
              </w:rPr>
              <w:t>.</w:t>
            </w:r>
          </w:p>
          <w:p w14:paraId="666704CF" w14:textId="77777777" w:rsidR="001E7EB6" w:rsidRPr="00154588" w:rsidRDefault="001E7EB6" w:rsidP="008C12B4">
            <w:pPr>
              <w:ind w:firstLine="567"/>
              <w:jc w:val="both"/>
              <w:rPr>
                <w:rFonts w:eastAsia="Calibri"/>
                <w:sz w:val="20"/>
                <w:szCs w:val="20"/>
              </w:rPr>
            </w:pPr>
            <w:r w:rsidRPr="00154588">
              <w:rPr>
                <w:rFonts w:eastAsia="Calibri"/>
                <w:sz w:val="20"/>
                <w:szCs w:val="20"/>
              </w:rPr>
              <w:t>(2) Banca Naţională a Moldovei, în calitate de autoritate competentă, poate prelungi cu o lună termenul prevăzut la alin.(1), la solicitarea instituției de credit.</w:t>
            </w:r>
          </w:p>
          <w:p w14:paraId="19305896" w14:textId="006783E3" w:rsidR="001E7EB6" w:rsidRPr="00154588" w:rsidRDefault="001E7EB6" w:rsidP="008C12B4">
            <w:pPr>
              <w:ind w:firstLine="567"/>
              <w:jc w:val="both"/>
              <w:rPr>
                <w:rFonts w:eastAsia="Calibri"/>
                <w:sz w:val="20"/>
                <w:szCs w:val="20"/>
              </w:rPr>
            </w:pPr>
            <w:r w:rsidRPr="00154588">
              <w:rPr>
                <w:rFonts w:eastAsia="Calibri"/>
                <w:sz w:val="20"/>
                <w:szCs w:val="20"/>
              </w:rPr>
              <w:t xml:space="preserve">(3) Înainte de a solicita unei instituții de credit să depună un plan de redresare revizuit potrivit alin.(1), Banca Naţională a Moldovei, în calitate de autoritate competentă, </w:t>
            </w:r>
            <w:r w:rsidR="00A255FB" w:rsidRPr="00154588">
              <w:rPr>
                <w:rFonts w:eastAsia="Calibri"/>
                <w:sz w:val="20"/>
                <w:szCs w:val="20"/>
              </w:rPr>
              <w:t xml:space="preserve">oferă instituției posibilitatea prezentării </w:t>
            </w:r>
            <w:r w:rsidRPr="00154588">
              <w:rPr>
                <w:rFonts w:eastAsia="Calibri"/>
                <w:sz w:val="20"/>
                <w:szCs w:val="20"/>
              </w:rPr>
              <w:t>opini</w:t>
            </w:r>
            <w:r w:rsidR="00A255FB" w:rsidRPr="00154588">
              <w:rPr>
                <w:rFonts w:eastAsia="Calibri"/>
                <w:sz w:val="20"/>
                <w:szCs w:val="20"/>
              </w:rPr>
              <w:t>ei</w:t>
            </w:r>
            <w:r w:rsidRPr="00154588">
              <w:rPr>
                <w:rFonts w:eastAsia="Calibri"/>
                <w:sz w:val="20"/>
                <w:szCs w:val="20"/>
              </w:rPr>
              <w:t xml:space="preserve"> </w:t>
            </w:r>
            <w:r w:rsidR="00A255FB" w:rsidRPr="00154588">
              <w:rPr>
                <w:rFonts w:eastAsia="Calibri"/>
                <w:sz w:val="20"/>
                <w:szCs w:val="20"/>
              </w:rPr>
              <w:t xml:space="preserve">sale </w:t>
            </w:r>
            <w:r w:rsidRPr="00154588">
              <w:rPr>
                <w:rFonts w:eastAsia="Calibri"/>
                <w:sz w:val="20"/>
                <w:szCs w:val="20"/>
              </w:rPr>
              <w:t>referitoare la o astfel de cerinţă.</w:t>
            </w:r>
          </w:p>
          <w:p w14:paraId="48DC1832" w14:textId="7C3EE2D9" w:rsidR="001E7EB6" w:rsidRPr="00154588" w:rsidRDefault="001E7EB6" w:rsidP="008C12B4">
            <w:pPr>
              <w:ind w:firstLine="567"/>
              <w:jc w:val="both"/>
              <w:rPr>
                <w:sz w:val="20"/>
                <w:szCs w:val="20"/>
              </w:rPr>
            </w:pPr>
            <w:r w:rsidRPr="00154588">
              <w:rPr>
                <w:rFonts w:eastAsia="Calibri"/>
                <w:sz w:val="20"/>
                <w:szCs w:val="20"/>
              </w:rPr>
              <w:t>(4) În cazul în care Banca Naţională a Moldovei, în calitate de autoritate competentă, apreciază că deficienţele şi obstacolele nu au fost soluţionate în mod corespunzător prin planul revizuit, aceasta poate impune instituției de credit modificări punctuale asupra planului.</w:t>
            </w:r>
          </w:p>
        </w:tc>
        <w:tc>
          <w:tcPr>
            <w:tcW w:w="2552" w:type="dxa"/>
          </w:tcPr>
          <w:p w14:paraId="0EE2C0BD" w14:textId="09D61B20" w:rsidR="001E7EB6" w:rsidRPr="00154588" w:rsidRDefault="001E7EB6" w:rsidP="008C12B4">
            <w:pPr>
              <w:jc w:val="both"/>
              <w:rPr>
                <w:bCs/>
                <w:sz w:val="20"/>
                <w:szCs w:val="20"/>
              </w:rPr>
            </w:pPr>
            <w:r w:rsidRPr="00154588">
              <w:rPr>
                <w:bCs/>
                <w:sz w:val="20"/>
                <w:szCs w:val="20"/>
              </w:rPr>
              <w:t>Compatibil</w:t>
            </w:r>
          </w:p>
        </w:tc>
        <w:tc>
          <w:tcPr>
            <w:tcW w:w="3118" w:type="dxa"/>
          </w:tcPr>
          <w:p w14:paraId="2C08D98B" w14:textId="77777777" w:rsidR="001E7EB6" w:rsidRPr="00154588" w:rsidRDefault="001E7EB6" w:rsidP="008C12B4">
            <w:pPr>
              <w:jc w:val="both"/>
              <w:rPr>
                <w:bCs/>
                <w:sz w:val="20"/>
                <w:szCs w:val="20"/>
              </w:rPr>
            </w:pPr>
          </w:p>
        </w:tc>
      </w:tr>
      <w:tr w:rsidR="001E7EB6" w:rsidRPr="00154588" w14:paraId="38E2D88B" w14:textId="77777777" w:rsidTr="00D15C1B">
        <w:trPr>
          <w:jc w:val="center"/>
        </w:trPr>
        <w:tc>
          <w:tcPr>
            <w:tcW w:w="4957" w:type="dxa"/>
            <w:gridSpan w:val="2"/>
          </w:tcPr>
          <w:p w14:paraId="071327C5" w14:textId="77777777" w:rsidR="001E7EB6" w:rsidRPr="00154588" w:rsidRDefault="001E7EB6" w:rsidP="008C12B4">
            <w:pPr>
              <w:jc w:val="both"/>
              <w:rPr>
                <w:bCs/>
                <w:sz w:val="20"/>
                <w:szCs w:val="20"/>
              </w:rPr>
            </w:pPr>
            <w:r w:rsidRPr="00154588">
              <w:rPr>
                <w:bCs/>
                <w:sz w:val="20"/>
                <w:szCs w:val="20"/>
              </w:rPr>
              <w:t xml:space="preserve">(6)   În cazul în care instituția nu prezintă un plan de redresare revizuit sau autoritatea competentă stabilește că planul de redresare revizuit nu soluționează în mod adecvat deficiențele sau obstacolele potențiale identificate în cadrul evaluării inițiale și că nu este posibil să se soluționeze în mod adecvat deficiențele sau obstacolele prin impunerea unor modificări punctuale ale planului, autoritatea competentă solicită instituției să identifice într-un orizont de </w:t>
            </w:r>
            <w:r w:rsidRPr="00154588">
              <w:rPr>
                <w:bCs/>
                <w:sz w:val="20"/>
                <w:szCs w:val="20"/>
              </w:rPr>
              <w:lastRenderedPageBreak/>
              <w:t>timp rezonabil modificările pe care le poate aduce activității sale economice pentru a soluționa respectivele deficiențe sau obstacole din calea punerii în aplicare a planului de redresare.</w:t>
            </w:r>
          </w:p>
          <w:p w14:paraId="04E9619C" w14:textId="77777777" w:rsidR="001E7EB6" w:rsidRPr="00154588" w:rsidRDefault="001E7EB6" w:rsidP="008C12B4">
            <w:pPr>
              <w:jc w:val="both"/>
              <w:rPr>
                <w:bCs/>
                <w:sz w:val="20"/>
                <w:szCs w:val="20"/>
              </w:rPr>
            </w:pPr>
            <w:r w:rsidRPr="00154588">
              <w:rPr>
                <w:bCs/>
                <w:sz w:val="20"/>
                <w:szCs w:val="20"/>
              </w:rPr>
              <w:t>În cazul în care instituția nu identifică astfel de modificări în orizontul de timp stabilit de autoritatea competentă sau în cazul în care autoritatea competentă estimează că acțiunile propuse de instituție nu ar soluționa în mod adecvat deficiențele sau obstacolele, autoritatea competentă poate impune instituției să ia orice măsuri pe care le consideră necesare și proporționale, ținând seama de gravitatea deficiențelor sau obstacolelor și de efectul măsurilor respective asupra activității economice a instituției.</w:t>
            </w:r>
          </w:p>
          <w:p w14:paraId="5B34C710" w14:textId="77777777" w:rsidR="001E7EB6" w:rsidRPr="00154588" w:rsidRDefault="001E7EB6" w:rsidP="008C12B4">
            <w:pPr>
              <w:jc w:val="both"/>
              <w:rPr>
                <w:bCs/>
                <w:sz w:val="20"/>
                <w:szCs w:val="20"/>
              </w:rPr>
            </w:pPr>
            <w:r w:rsidRPr="00154588">
              <w:rPr>
                <w:bCs/>
                <w:sz w:val="20"/>
                <w:szCs w:val="20"/>
              </w:rPr>
              <w:t>Autoritatea competentă poate solicita instituției, fără a aduce atingere articolului 104 din Directiva 2013/36/UE, următoarele:</w:t>
            </w:r>
          </w:p>
          <w:p w14:paraId="12C5993A" w14:textId="77777777" w:rsidR="001E7EB6" w:rsidRPr="00154588" w:rsidRDefault="001E7EB6" w:rsidP="008C12B4">
            <w:pPr>
              <w:jc w:val="both"/>
              <w:rPr>
                <w:bCs/>
                <w:sz w:val="20"/>
                <w:szCs w:val="20"/>
              </w:rPr>
            </w:pPr>
          </w:p>
          <w:p w14:paraId="675FC8FA" w14:textId="77777777" w:rsidR="001E7EB6" w:rsidRPr="00154588" w:rsidRDefault="001E7EB6" w:rsidP="008C12B4">
            <w:pPr>
              <w:jc w:val="both"/>
              <w:rPr>
                <w:bCs/>
                <w:sz w:val="20"/>
                <w:szCs w:val="20"/>
              </w:rPr>
            </w:pPr>
          </w:p>
          <w:p w14:paraId="6862B8CB" w14:textId="742401F5" w:rsidR="001E7EB6" w:rsidRPr="00154588" w:rsidRDefault="001E7EB6" w:rsidP="008C12B4">
            <w:pPr>
              <w:jc w:val="both"/>
              <w:rPr>
                <w:bCs/>
                <w:sz w:val="20"/>
                <w:szCs w:val="20"/>
              </w:rPr>
            </w:pPr>
            <w:r w:rsidRPr="00154588">
              <w:rPr>
                <w:bCs/>
                <w:sz w:val="20"/>
                <w:szCs w:val="20"/>
              </w:rPr>
              <w:t>(a) reducerea profilului de risc al instituției, inclusiv al riscului de lichiditate;</w:t>
            </w:r>
          </w:p>
          <w:p w14:paraId="2E58235B" w14:textId="77777777" w:rsidR="001E7EB6" w:rsidRPr="00154588" w:rsidRDefault="001E7EB6" w:rsidP="008C12B4">
            <w:pPr>
              <w:jc w:val="both"/>
              <w:rPr>
                <w:bCs/>
                <w:sz w:val="20"/>
                <w:szCs w:val="20"/>
              </w:rPr>
            </w:pPr>
          </w:p>
          <w:p w14:paraId="72F35F3A" w14:textId="7FF4F9E7" w:rsidR="001E7EB6" w:rsidRPr="00154588" w:rsidRDefault="001E7EB6" w:rsidP="008C12B4">
            <w:pPr>
              <w:jc w:val="both"/>
              <w:rPr>
                <w:bCs/>
                <w:sz w:val="20"/>
                <w:szCs w:val="20"/>
              </w:rPr>
            </w:pPr>
            <w:r w:rsidRPr="00154588">
              <w:rPr>
                <w:bCs/>
                <w:sz w:val="20"/>
                <w:szCs w:val="20"/>
              </w:rPr>
              <w:t>(b) aplicarea de măsuri de recapitalizare în timp util;</w:t>
            </w:r>
          </w:p>
          <w:p w14:paraId="7D991F24" w14:textId="77777777" w:rsidR="001E7EB6" w:rsidRPr="00154588" w:rsidRDefault="001E7EB6" w:rsidP="008C12B4">
            <w:pPr>
              <w:jc w:val="both"/>
              <w:rPr>
                <w:bCs/>
                <w:sz w:val="20"/>
                <w:szCs w:val="20"/>
              </w:rPr>
            </w:pPr>
          </w:p>
          <w:p w14:paraId="7362809C" w14:textId="2C1D6D40" w:rsidR="001E7EB6" w:rsidRPr="00154588" w:rsidRDefault="001E7EB6" w:rsidP="008C12B4">
            <w:pPr>
              <w:jc w:val="both"/>
              <w:rPr>
                <w:bCs/>
                <w:sz w:val="20"/>
                <w:szCs w:val="20"/>
              </w:rPr>
            </w:pPr>
            <w:r w:rsidRPr="00154588">
              <w:rPr>
                <w:bCs/>
                <w:sz w:val="20"/>
                <w:szCs w:val="20"/>
              </w:rPr>
              <w:t>(c) revizuirea strategiei și structurii instituției;</w:t>
            </w:r>
          </w:p>
          <w:p w14:paraId="24ECE1A0" w14:textId="77777777" w:rsidR="001E7EB6" w:rsidRPr="00154588" w:rsidRDefault="001E7EB6" w:rsidP="008C12B4">
            <w:pPr>
              <w:jc w:val="both"/>
              <w:rPr>
                <w:bCs/>
                <w:sz w:val="20"/>
                <w:szCs w:val="20"/>
              </w:rPr>
            </w:pPr>
          </w:p>
          <w:p w14:paraId="2BB97F87" w14:textId="0BE0049B" w:rsidR="001E7EB6" w:rsidRPr="00154588" w:rsidRDefault="001E7EB6" w:rsidP="008C12B4">
            <w:pPr>
              <w:jc w:val="both"/>
              <w:rPr>
                <w:bCs/>
                <w:sz w:val="20"/>
                <w:szCs w:val="20"/>
              </w:rPr>
            </w:pPr>
            <w:r w:rsidRPr="00154588">
              <w:rPr>
                <w:bCs/>
                <w:sz w:val="20"/>
                <w:szCs w:val="20"/>
              </w:rPr>
              <w:t>(d) efectuarea de modificări în strategia de finanțare, pentru îmbunătățirea rezilienței liniilor de activitate esențiale și a funcțiilor critice;</w:t>
            </w:r>
          </w:p>
          <w:p w14:paraId="065E2BE6" w14:textId="77777777" w:rsidR="001E7EB6" w:rsidRPr="00154588" w:rsidRDefault="001E7EB6" w:rsidP="008C12B4">
            <w:pPr>
              <w:jc w:val="both"/>
              <w:rPr>
                <w:bCs/>
                <w:sz w:val="20"/>
                <w:szCs w:val="20"/>
              </w:rPr>
            </w:pPr>
          </w:p>
          <w:p w14:paraId="14AC18D1" w14:textId="1151D834" w:rsidR="001E7EB6" w:rsidRPr="00154588" w:rsidRDefault="001E7EB6" w:rsidP="008C12B4">
            <w:pPr>
              <w:jc w:val="both"/>
              <w:rPr>
                <w:bCs/>
                <w:sz w:val="20"/>
                <w:szCs w:val="20"/>
              </w:rPr>
            </w:pPr>
            <w:r w:rsidRPr="00154588">
              <w:rPr>
                <w:bCs/>
                <w:sz w:val="20"/>
                <w:szCs w:val="20"/>
              </w:rPr>
              <w:t>(e) efectuarea de modificări în structura de guvernanță a instituției.</w:t>
            </w:r>
          </w:p>
          <w:p w14:paraId="2940C293" w14:textId="77777777" w:rsidR="001E7EB6" w:rsidRPr="00154588" w:rsidRDefault="001E7EB6" w:rsidP="008C12B4">
            <w:pPr>
              <w:jc w:val="both"/>
              <w:rPr>
                <w:bCs/>
                <w:sz w:val="20"/>
                <w:szCs w:val="20"/>
              </w:rPr>
            </w:pPr>
          </w:p>
          <w:p w14:paraId="1B6143AD" w14:textId="3475412B" w:rsidR="001E7EB6" w:rsidRPr="00154588" w:rsidRDefault="001E7EB6" w:rsidP="008C12B4">
            <w:pPr>
              <w:jc w:val="both"/>
              <w:rPr>
                <w:bCs/>
                <w:sz w:val="20"/>
                <w:szCs w:val="20"/>
              </w:rPr>
            </w:pPr>
            <w:r w:rsidRPr="00154588">
              <w:rPr>
                <w:bCs/>
                <w:sz w:val="20"/>
                <w:szCs w:val="20"/>
              </w:rPr>
              <w:t>Lista de măsuri menționată în prezentul alineat nu împiedică statele membre să autorizeze autoritățile competente să ia măsuri suplimentare în temeiul dreptului intern.</w:t>
            </w:r>
          </w:p>
        </w:tc>
        <w:tc>
          <w:tcPr>
            <w:tcW w:w="4819" w:type="dxa"/>
          </w:tcPr>
          <w:p w14:paraId="5961272F" w14:textId="77777777" w:rsidR="001E7EB6" w:rsidRPr="00154588" w:rsidRDefault="001E7EB6" w:rsidP="008C12B4">
            <w:pPr>
              <w:ind w:firstLine="567"/>
              <w:jc w:val="both"/>
              <w:rPr>
                <w:rFonts w:eastAsia="Calibri"/>
                <w:sz w:val="20"/>
                <w:szCs w:val="20"/>
              </w:rPr>
            </w:pPr>
            <w:r w:rsidRPr="00154588">
              <w:rPr>
                <w:rFonts w:eastAsia="Calibri"/>
                <w:b/>
                <w:sz w:val="20"/>
                <w:szCs w:val="20"/>
              </w:rPr>
              <w:lastRenderedPageBreak/>
              <w:t>Articolul 21.</w:t>
            </w:r>
            <w:r w:rsidRPr="00154588">
              <w:rPr>
                <w:rFonts w:eastAsia="Calibri"/>
                <w:sz w:val="20"/>
                <w:szCs w:val="20"/>
              </w:rPr>
              <w:t xml:space="preserve"> – (1) În cazul în care instituția de credit nu prezintă un plan de redresare revizuit sau Banca Naţională a Moldovei, în calitate de autoritate competentă, stabileşte că planul de redresare revizuit nu rezolvă problema deficienţelor sau obstacolelor potenţiale identificate în cadrul evaluării iniţiale şi că nici nu este posibilă rezolvarea prin impunerea unor modificări punctuale ale planului, Banca Naţională a Moldovei </w:t>
            </w:r>
            <w:r w:rsidRPr="00154588">
              <w:rPr>
                <w:rFonts w:eastAsia="Calibri"/>
                <w:sz w:val="20"/>
                <w:szCs w:val="20"/>
              </w:rPr>
              <w:lastRenderedPageBreak/>
              <w:t>solicită instituției de credit să identifice, într-o perioadă rezonabilă, modificările pe care le poate aduce activităţii sale economice pentru a înlătura respectivele deficienţe sau a depăşi respectivele obstacole în calea implementării planului de redresare.</w:t>
            </w:r>
          </w:p>
          <w:p w14:paraId="7F290F76" w14:textId="77777777" w:rsidR="001E7EB6" w:rsidRPr="00154588" w:rsidRDefault="001E7EB6" w:rsidP="008C12B4">
            <w:pPr>
              <w:ind w:firstLine="567"/>
              <w:jc w:val="both"/>
              <w:rPr>
                <w:rFonts w:eastAsia="Calibri"/>
                <w:sz w:val="20"/>
                <w:szCs w:val="20"/>
              </w:rPr>
            </w:pPr>
            <w:r w:rsidRPr="00154588">
              <w:rPr>
                <w:rFonts w:eastAsia="Calibri"/>
                <w:sz w:val="20"/>
                <w:szCs w:val="20"/>
              </w:rPr>
              <w:t>(2) Banca Naţională a Moldovei, în calitate de autoritate competentă, stabileşte durata perioadei prevăzute la alin.(1), de la caz la caz, în funcţie de situaţia instituției de credit şi natura deficienţelor identificate.</w:t>
            </w:r>
          </w:p>
          <w:p w14:paraId="65431674" w14:textId="77777777" w:rsidR="001E7EB6" w:rsidRPr="00154588" w:rsidRDefault="001E7EB6" w:rsidP="008C12B4">
            <w:pPr>
              <w:ind w:firstLine="567"/>
              <w:jc w:val="both"/>
              <w:rPr>
                <w:rFonts w:eastAsia="Calibri"/>
                <w:sz w:val="20"/>
                <w:szCs w:val="20"/>
              </w:rPr>
            </w:pPr>
            <w:r w:rsidRPr="00154588">
              <w:rPr>
                <w:rFonts w:eastAsia="Calibri"/>
                <w:sz w:val="20"/>
                <w:szCs w:val="20"/>
              </w:rPr>
              <w:t>(3) În cazul în care instituția de credit nu identifică, în termenul stabilit de Banca Naţională a Moldovei potrivit alin.(2), modificările pe care le poate aduce activităţii sale economice sau în cazul în care Banca Naţională a Moldovei estimează că acţiunile propuse de instituția de credit nu ar soluţiona în mod adecvat deficienţele sau obstacolele, Banca Naţională a Moldovei, în calitate de autoritate competentă, poate impune instituției de credit una sau mai multe dintre măsurile prevăzute la alin.(4) şi/sau orice altă măsură pe care o consideră necesară şi proporţională, ţinînd cont de gravitatea deficienţelor sau amplitudinea obstacolelor şi de efectul măsurilor respective asupra activităţii instituției de credit.</w:t>
            </w:r>
          </w:p>
          <w:p w14:paraId="59C15241" w14:textId="77777777" w:rsidR="001E7EB6" w:rsidRPr="00154588" w:rsidRDefault="001E7EB6" w:rsidP="008C12B4">
            <w:pPr>
              <w:ind w:firstLine="567"/>
              <w:jc w:val="both"/>
              <w:rPr>
                <w:rFonts w:eastAsia="Calibri"/>
                <w:sz w:val="20"/>
                <w:szCs w:val="20"/>
              </w:rPr>
            </w:pPr>
            <w:r w:rsidRPr="00154588">
              <w:rPr>
                <w:rFonts w:eastAsia="Calibri"/>
                <w:sz w:val="20"/>
                <w:szCs w:val="20"/>
              </w:rPr>
              <w:t>(4) Pe lîngă măsurile prevăzute la art.139 şi 141 din Legea nr.202/2017, Banca Naţională a Moldovei, în calitate de autoritate competentă, poate impune instituției de credit una sau mai multe dintre următoarele măsuri:</w:t>
            </w:r>
          </w:p>
          <w:p w14:paraId="687D79F4" w14:textId="77777777" w:rsidR="001E7EB6" w:rsidRPr="00154588" w:rsidRDefault="001E7EB6" w:rsidP="008C12B4">
            <w:pPr>
              <w:ind w:firstLine="567"/>
              <w:jc w:val="both"/>
              <w:rPr>
                <w:rFonts w:eastAsia="Calibri"/>
                <w:sz w:val="20"/>
                <w:szCs w:val="20"/>
              </w:rPr>
            </w:pPr>
            <w:r w:rsidRPr="00154588">
              <w:rPr>
                <w:rFonts w:eastAsia="Calibri"/>
                <w:sz w:val="20"/>
                <w:szCs w:val="20"/>
              </w:rPr>
              <w:t>a) reducerea profilului de risc al instituției de credit, inclusiv reducerea riscului de lichiditate;</w:t>
            </w:r>
          </w:p>
          <w:p w14:paraId="30BC6686" w14:textId="77777777" w:rsidR="001E7EB6" w:rsidRPr="00154588" w:rsidRDefault="001E7EB6" w:rsidP="008C12B4">
            <w:pPr>
              <w:ind w:firstLine="567"/>
              <w:jc w:val="both"/>
              <w:rPr>
                <w:rFonts w:eastAsia="Calibri"/>
                <w:sz w:val="20"/>
                <w:szCs w:val="20"/>
              </w:rPr>
            </w:pPr>
            <w:r w:rsidRPr="00154588">
              <w:rPr>
                <w:rFonts w:eastAsia="Calibri"/>
                <w:sz w:val="20"/>
                <w:szCs w:val="20"/>
              </w:rPr>
              <w:t>b) aplicarea de măsuri de recapitalizare promptă;</w:t>
            </w:r>
          </w:p>
          <w:p w14:paraId="46B5F733" w14:textId="77777777" w:rsidR="001E7EB6" w:rsidRPr="00154588" w:rsidRDefault="001E7EB6" w:rsidP="008C12B4">
            <w:pPr>
              <w:ind w:firstLine="567"/>
              <w:jc w:val="both"/>
              <w:rPr>
                <w:rFonts w:eastAsia="Calibri"/>
                <w:sz w:val="20"/>
                <w:szCs w:val="20"/>
              </w:rPr>
            </w:pPr>
            <w:r w:rsidRPr="00154588">
              <w:rPr>
                <w:rFonts w:eastAsia="Calibri"/>
                <w:sz w:val="20"/>
                <w:szCs w:val="20"/>
              </w:rPr>
              <w:t>c) revizuirea strategiei şi structurii instituției de credit;</w:t>
            </w:r>
          </w:p>
          <w:p w14:paraId="4DD9352B" w14:textId="77777777" w:rsidR="001E7EB6" w:rsidRPr="00154588" w:rsidRDefault="001E7EB6" w:rsidP="008C12B4">
            <w:pPr>
              <w:ind w:firstLine="567"/>
              <w:jc w:val="both"/>
              <w:rPr>
                <w:rFonts w:eastAsia="Calibri"/>
                <w:sz w:val="20"/>
                <w:szCs w:val="20"/>
              </w:rPr>
            </w:pPr>
            <w:r w:rsidRPr="00154588">
              <w:rPr>
                <w:rFonts w:eastAsia="Calibri"/>
                <w:sz w:val="20"/>
                <w:szCs w:val="20"/>
              </w:rPr>
              <w:t>d) modificarea strategiei de finanţare, pentru îmbunătăţirea rezistenţei la şoc a liniilor de activitate de bază şi a funcţiilor critice;</w:t>
            </w:r>
          </w:p>
          <w:p w14:paraId="0381659B" w14:textId="06A59441" w:rsidR="001E7EB6" w:rsidRPr="00154588" w:rsidRDefault="001E7EB6" w:rsidP="008C12B4">
            <w:pPr>
              <w:ind w:firstLine="567"/>
              <w:jc w:val="both"/>
              <w:rPr>
                <w:sz w:val="20"/>
                <w:szCs w:val="20"/>
              </w:rPr>
            </w:pPr>
            <w:r w:rsidRPr="00154588">
              <w:rPr>
                <w:rFonts w:eastAsia="Calibri"/>
                <w:sz w:val="20"/>
                <w:szCs w:val="20"/>
              </w:rPr>
              <w:t>e) modificarea structurii de administrare a instituției de credit.</w:t>
            </w:r>
          </w:p>
        </w:tc>
        <w:tc>
          <w:tcPr>
            <w:tcW w:w="2552" w:type="dxa"/>
          </w:tcPr>
          <w:p w14:paraId="70418EAC" w14:textId="4B54B0A2" w:rsidR="001E7EB6" w:rsidRPr="00154588" w:rsidRDefault="001E7EB6" w:rsidP="008C12B4">
            <w:pPr>
              <w:jc w:val="both"/>
              <w:rPr>
                <w:bCs/>
                <w:sz w:val="20"/>
                <w:szCs w:val="20"/>
              </w:rPr>
            </w:pPr>
            <w:r w:rsidRPr="00154588">
              <w:rPr>
                <w:bCs/>
                <w:sz w:val="20"/>
                <w:szCs w:val="20"/>
              </w:rPr>
              <w:lastRenderedPageBreak/>
              <w:t>Compatibil</w:t>
            </w:r>
          </w:p>
        </w:tc>
        <w:tc>
          <w:tcPr>
            <w:tcW w:w="3118" w:type="dxa"/>
          </w:tcPr>
          <w:p w14:paraId="1E0B42EA" w14:textId="77777777" w:rsidR="001E7EB6" w:rsidRPr="00154588" w:rsidRDefault="001E7EB6" w:rsidP="008C12B4">
            <w:pPr>
              <w:jc w:val="both"/>
              <w:rPr>
                <w:bCs/>
                <w:sz w:val="20"/>
                <w:szCs w:val="20"/>
              </w:rPr>
            </w:pPr>
          </w:p>
        </w:tc>
      </w:tr>
      <w:tr w:rsidR="001E7EB6" w:rsidRPr="00154588" w14:paraId="22A9CED4" w14:textId="77777777" w:rsidTr="00D15C1B">
        <w:trPr>
          <w:jc w:val="center"/>
        </w:trPr>
        <w:tc>
          <w:tcPr>
            <w:tcW w:w="4957" w:type="dxa"/>
            <w:gridSpan w:val="2"/>
          </w:tcPr>
          <w:p w14:paraId="64083B35" w14:textId="660589AC" w:rsidR="001E7EB6" w:rsidRPr="00154588" w:rsidRDefault="001E7EB6" w:rsidP="008C12B4">
            <w:pPr>
              <w:jc w:val="both"/>
              <w:rPr>
                <w:bCs/>
                <w:sz w:val="20"/>
                <w:szCs w:val="20"/>
              </w:rPr>
            </w:pPr>
            <w:r w:rsidRPr="00154588">
              <w:rPr>
                <w:bCs/>
                <w:sz w:val="20"/>
                <w:szCs w:val="20"/>
              </w:rPr>
              <w:t>(7)   Atunci când o autoritate competentă solicită unei instituții să ia măsuri în conformitate cu alineatul (6), decizia sa cu privire la aceste măsuri este justificată și proporțională.</w:t>
            </w:r>
          </w:p>
          <w:p w14:paraId="1DFF9490" w14:textId="77777777" w:rsidR="001E7EB6" w:rsidRPr="00154588" w:rsidRDefault="001E7EB6" w:rsidP="008C12B4">
            <w:pPr>
              <w:jc w:val="both"/>
              <w:rPr>
                <w:bCs/>
                <w:sz w:val="20"/>
                <w:szCs w:val="20"/>
              </w:rPr>
            </w:pPr>
          </w:p>
          <w:p w14:paraId="4E41F189" w14:textId="2AD4499B" w:rsidR="001E7EB6" w:rsidRPr="00154588" w:rsidRDefault="001E7EB6" w:rsidP="008C12B4">
            <w:pPr>
              <w:jc w:val="both"/>
              <w:rPr>
                <w:bCs/>
                <w:sz w:val="20"/>
                <w:szCs w:val="20"/>
              </w:rPr>
            </w:pPr>
            <w:r w:rsidRPr="00154588">
              <w:rPr>
                <w:bCs/>
                <w:sz w:val="20"/>
                <w:szCs w:val="20"/>
              </w:rPr>
              <w:t>Decizia se notifică în scris instituției și se supune dreptului la recurs.</w:t>
            </w:r>
          </w:p>
        </w:tc>
        <w:tc>
          <w:tcPr>
            <w:tcW w:w="4819" w:type="dxa"/>
          </w:tcPr>
          <w:p w14:paraId="47507401" w14:textId="77777777" w:rsidR="001E7EB6" w:rsidRPr="00154588" w:rsidRDefault="001E7EB6" w:rsidP="008C12B4">
            <w:pPr>
              <w:ind w:firstLine="567"/>
              <w:jc w:val="both"/>
              <w:rPr>
                <w:rFonts w:eastAsia="Calibri"/>
                <w:sz w:val="20"/>
                <w:szCs w:val="20"/>
              </w:rPr>
            </w:pPr>
            <w:r w:rsidRPr="00154588">
              <w:rPr>
                <w:rFonts w:eastAsia="Calibri"/>
                <w:b/>
                <w:sz w:val="20"/>
                <w:szCs w:val="20"/>
              </w:rPr>
              <w:t>Articolul 22.</w:t>
            </w:r>
            <w:r w:rsidRPr="00154588">
              <w:rPr>
                <w:rFonts w:eastAsia="Calibri"/>
                <w:sz w:val="20"/>
                <w:szCs w:val="20"/>
              </w:rPr>
              <w:t xml:space="preserve"> – (1) Măsurile impuse instituțiilor de credit de Banca Naţională a Moldovei, în calitate de autoritate competentă, conform art.21 alin.(4), trebuie să fie proporţionale cu gravitatea deficienţelor şi amplitudinea obstacolelor supuse remedierii.</w:t>
            </w:r>
          </w:p>
          <w:p w14:paraId="59C6BF2B" w14:textId="14E853B9" w:rsidR="001E7EB6" w:rsidRPr="00154588" w:rsidRDefault="001E7EB6" w:rsidP="008C12B4">
            <w:pPr>
              <w:ind w:firstLine="567"/>
              <w:jc w:val="both"/>
              <w:rPr>
                <w:sz w:val="20"/>
                <w:szCs w:val="20"/>
              </w:rPr>
            </w:pPr>
            <w:r w:rsidRPr="00154588">
              <w:rPr>
                <w:rFonts w:eastAsia="Calibri"/>
                <w:sz w:val="20"/>
                <w:szCs w:val="20"/>
              </w:rPr>
              <w:t xml:space="preserve">(2) Decizia Băncii Naţionale a Moldovei, în calitate de autoritate competentă, însoţită de motivarea acesteia, se comunică în scris instituției de credit şi poate </w:t>
            </w:r>
            <w:r w:rsidRPr="00154588">
              <w:rPr>
                <w:rFonts w:eastAsia="Calibri"/>
                <w:sz w:val="20"/>
                <w:szCs w:val="20"/>
              </w:rPr>
              <w:lastRenderedPageBreak/>
              <w:t>fi contestată în condiţiile prevăzute în Legea nr.548</w:t>
            </w:r>
            <w:r w:rsidRPr="00154588">
              <w:rPr>
                <w:sz w:val="20"/>
                <w:szCs w:val="20"/>
                <w:lang w:eastAsia="ro-MD"/>
              </w:rPr>
              <w:t>/</w:t>
            </w:r>
            <w:r w:rsidRPr="00154588">
              <w:rPr>
                <w:rFonts w:eastAsia="Calibri"/>
                <w:sz w:val="20"/>
                <w:szCs w:val="20"/>
              </w:rPr>
              <w:t>1995 cu privire la Banca Naţională a Moldovei.</w:t>
            </w:r>
          </w:p>
        </w:tc>
        <w:tc>
          <w:tcPr>
            <w:tcW w:w="2552" w:type="dxa"/>
          </w:tcPr>
          <w:p w14:paraId="0B7386F3" w14:textId="02A2CA1F" w:rsidR="001E7EB6" w:rsidRPr="00154588" w:rsidRDefault="001E7EB6" w:rsidP="008C12B4">
            <w:pPr>
              <w:jc w:val="both"/>
              <w:rPr>
                <w:bCs/>
                <w:sz w:val="20"/>
                <w:szCs w:val="20"/>
              </w:rPr>
            </w:pPr>
            <w:r w:rsidRPr="00154588">
              <w:rPr>
                <w:bCs/>
                <w:sz w:val="20"/>
                <w:szCs w:val="20"/>
              </w:rPr>
              <w:lastRenderedPageBreak/>
              <w:t>Compatibil</w:t>
            </w:r>
          </w:p>
        </w:tc>
        <w:tc>
          <w:tcPr>
            <w:tcW w:w="3118" w:type="dxa"/>
          </w:tcPr>
          <w:p w14:paraId="6A0CDD49" w14:textId="77777777" w:rsidR="001E7EB6" w:rsidRPr="00154588" w:rsidRDefault="001E7EB6" w:rsidP="008C12B4">
            <w:pPr>
              <w:jc w:val="both"/>
              <w:rPr>
                <w:bCs/>
                <w:sz w:val="20"/>
                <w:szCs w:val="20"/>
              </w:rPr>
            </w:pPr>
          </w:p>
        </w:tc>
      </w:tr>
      <w:tr w:rsidR="00456CF7" w:rsidRPr="00154588" w14:paraId="01D42B82" w14:textId="77777777" w:rsidTr="00D15C1B">
        <w:trPr>
          <w:jc w:val="center"/>
        </w:trPr>
        <w:tc>
          <w:tcPr>
            <w:tcW w:w="4957" w:type="dxa"/>
            <w:gridSpan w:val="2"/>
          </w:tcPr>
          <w:p w14:paraId="67542571" w14:textId="222D588A" w:rsidR="00456CF7" w:rsidRPr="00154588" w:rsidRDefault="00456CF7" w:rsidP="008C12B4">
            <w:pPr>
              <w:jc w:val="both"/>
              <w:rPr>
                <w:bCs/>
                <w:sz w:val="20"/>
                <w:szCs w:val="20"/>
              </w:rPr>
            </w:pPr>
            <w:r w:rsidRPr="00154588">
              <w:rPr>
                <w:bCs/>
                <w:sz w:val="20"/>
                <w:szCs w:val="20"/>
              </w:rPr>
              <w:t>(8)   ABE elaborează proiecte de standarde tehnice de reglementare, precizând criteriile minime pe care autoritatea competentă trebuie să le examineze în vederea evaluării menționate la alineatul (2) din prezentul articol și la articolul 8 alineatul (1).</w:t>
            </w:r>
          </w:p>
          <w:p w14:paraId="28E205B0" w14:textId="77777777" w:rsidR="00456CF7" w:rsidRPr="00154588" w:rsidRDefault="00456CF7" w:rsidP="008C12B4">
            <w:pPr>
              <w:jc w:val="both"/>
              <w:rPr>
                <w:bCs/>
                <w:sz w:val="20"/>
                <w:szCs w:val="20"/>
              </w:rPr>
            </w:pPr>
          </w:p>
          <w:p w14:paraId="6B2720A0" w14:textId="2016E1D2" w:rsidR="00456CF7" w:rsidRPr="00154588" w:rsidRDefault="00456CF7" w:rsidP="008C12B4">
            <w:pPr>
              <w:jc w:val="both"/>
              <w:rPr>
                <w:bCs/>
                <w:sz w:val="20"/>
                <w:szCs w:val="20"/>
              </w:rPr>
            </w:pPr>
            <w:r w:rsidRPr="00154588">
              <w:rPr>
                <w:bCs/>
                <w:sz w:val="20"/>
                <w:szCs w:val="20"/>
              </w:rPr>
              <w:t>ABE înaintează Comisiei aceste proiecte de standarde tehnice de reglementare până la 3 iulie 2015.</w:t>
            </w:r>
          </w:p>
          <w:p w14:paraId="571B8D24" w14:textId="77777777" w:rsidR="00456CF7" w:rsidRPr="00154588" w:rsidRDefault="00456CF7" w:rsidP="008C12B4">
            <w:pPr>
              <w:jc w:val="both"/>
              <w:rPr>
                <w:bCs/>
                <w:sz w:val="20"/>
                <w:szCs w:val="20"/>
              </w:rPr>
            </w:pPr>
          </w:p>
          <w:p w14:paraId="47D26B6F" w14:textId="57027106" w:rsidR="00456CF7" w:rsidRPr="00154588" w:rsidRDefault="00456CF7" w:rsidP="008C12B4">
            <w:pPr>
              <w:jc w:val="both"/>
              <w:rPr>
                <w:bCs/>
                <w:sz w:val="20"/>
                <w:szCs w:val="20"/>
              </w:rPr>
            </w:pPr>
            <w:r w:rsidRPr="00154588">
              <w:rPr>
                <w:bCs/>
                <w:sz w:val="20"/>
                <w:szCs w:val="20"/>
              </w:rPr>
              <w:t>Se deleagă Comisiei competența de a adopta standardele tehnice de reglementare menționate la primul paragraf în conformitate cu articolele 10-14 din Regulamentul (UE) nr. 1093/2010.</w:t>
            </w:r>
          </w:p>
        </w:tc>
        <w:tc>
          <w:tcPr>
            <w:tcW w:w="4819" w:type="dxa"/>
          </w:tcPr>
          <w:p w14:paraId="67BF47EB" w14:textId="356AB1C7" w:rsidR="00456CF7" w:rsidRPr="00154588" w:rsidRDefault="00456CF7" w:rsidP="008C12B4">
            <w:pPr>
              <w:jc w:val="center"/>
              <w:rPr>
                <w:bCs/>
                <w:sz w:val="20"/>
                <w:szCs w:val="20"/>
              </w:rPr>
            </w:pPr>
            <w:r w:rsidRPr="00154588">
              <w:rPr>
                <w:bCs/>
                <w:sz w:val="20"/>
                <w:szCs w:val="20"/>
              </w:rPr>
              <w:t>-</w:t>
            </w:r>
          </w:p>
        </w:tc>
        <w:tc>
          <w:tcPr>
            <w:tcW w:w="2552" w:type="dxa"/>
          </w:tcPr>
          <w:p w14:paraId="47766994" w14:textId="1EF224BD" w:rsidR="00456CF7" w:rsidRPr="00154588" w:rsidRDefault="00456CF7" w:rsidP="008C12B4">
            <w:pPr>
              <w:jc w:val="center"/>
              <w:rPr>
                <w:bCs/>
                <w:sz w:val="20"/>
                <w:szCs w:val="20"/>
              </w:rPr>
            </w:pPr>
            <w:r w:rsidRPr="00154588">
              <w:rPr>
                <w:bCs/>
                <w:sz w:val="20"/>
                <w:szCs w:val="20"/>
              </w:rPr>
              <w:t>Norme UE neaplicabile</w:t>
            </w:r>
          </w:p>
        </w:tc>
        <w:tc>
          <w:tcPr>
            <w:tcW w:w="3118" w:type="dxa"/>
          </w:tcPr>
          <w:p w14:paraId="24BD2052" w14:textId="4A78284C" w:rsidR="00456CF7" w:rsidRPr="00154588" w:rsidRDefault="00456CF7" w:rsidP="008C12B4">
            <w:pPr>
              <w:jc w:val="both"/>
              <w:rPr>
                <w:bCs/>
                <w:sz w:val="20"/>
                <w:szCs w:val="20"/>
              </w:rPr>
            </w:pPr>
            <w:r w:rsidRPr="00154588">
              <w:rPr>
                <w:bCs/>
                <w:sz w:val="20"/>
                <w:szCs w:val="20"/>
                <w:lang w:val="ro-MD"/>
              </w:rPr>
              <w:t>Prevederi care se referă la atribuțiile de reglementare ale autorităților europene.</w:t>
            </w:r>
          </w:p>
        </w:tc>
      </w:tr>
      <w:tr w:rsidR="001E7EB6" w:rsidRPr="00154588" w14:paraId="17F49E49" w14:textId="77777777" w:rsidTr="00D15C1B">
        <w:trPr>
          <w:jc w:val="center"/>
        </w:trPr>
        <w:tc>
          <w:tcPr>
            <w:tcW w:w="4957" w:type="dxa"/>
            <w:gridSpan w:val="2"/>
          </w:tcPr>
          <w:p w14:paraId="453E1309" w14:textId="77777777" w:rsidR="001E7EB6" w:rsidRPr="00154588" w:rsidRDefault="001E7EB6" w:rsidP="008C12B4">
            <w:pPr>
              <w:rPr>
                <w:b/>
                <w:sz w:val="20"/>
                <w:szCs w:val="20"/>
              </w:rPr>
            </w:pPr>
            <w:r w:rsidRPr="00154588">
              <w:rPr>
                <w:b/>
                <w:sz w:val="20"/>
                <w:szCs w:val="20"/>
              </w:rPr>
              <w:t>Articolul 7</w:t>
            </w:r>
          </w:p>
          <w:p w14:paraId="796D1190" w14:textId="77777777" w:rsidR="001E7EB6" w:rsidRPr="00154588" w:rsidRDefault="001E7EB6" w:rsidP="008C12B4">
            <w:pPr>
              <w:rPr>
                <w:b/>
                <w:sz w:val="20"/>
                <w:szCs w:val="20"/>
              </w:rPr>
            </w:pPr>
          </w:p>
          <w:p w14:paraId="7E56EEAD" w14:textId="6847C496" w:rsidR="001E7EB6" w:rsidRPr="00154588" w:rsidRDefault="001E7EB6" w:rsidP="008C12B4">
            <w:pPr>
              <w:rPr>
                <w:bCs/>
                <w:sz w:val="20"/>
                <w:szCs w:val="20"/>
              </w:rPr>
            </w:pPr>
            <w:r w:rsidRPr="00154588">
              <w:rPr>
                <w:b/>
                <w:sz w:val="20"/>
                <w:szCs w:val="20"/>
              </w:rPr>
              <w:t>Planuri de redresare a grupului</w:t>
            </w:r>
          </w:p>
        </w:tc>
        <w:tc>
          <w:tcPr>
            <w:tcW w:w="4819" w:type="dxa"/>
          </w:tcPr>
          <w:p w14:paraId="55762023" w14:textId="77777777" w:rsidR="001E7EB6" w:rsidRPr="00154588" w:rsidRDefault="001E7EB6" w:rsidP="008C12B4">
            <w:pPr>
              <w:ind w:firstLine="567"/>
              <w:jc w:val="center"/>
              <w:rPr>
                <w:rFonts w:eastAsia="Calibri"/>
                <w:b/>
                <w:sz w:val="20"/>
                <w:szCs w:val="20"/>
                <w:vertAlign w:val="superscript"/>
              </w:rPr>
            </w:pPr>
            <w:r w:rsidRPr="00154588">
              <w:rPr>
                <w:rFonts w:eastAsia="Calibri"/>
                <w:b/>
                <w:sz w:val="20"/>
                <w:szCs w:val="20"/>
              </w:rPr>
              <w:t>Secțiunea 2</w:t>
            </w:r>
            <w:r w:rsidRPr="00154588">
              <w:rPr>
                <w:rFonts w:eastAsia="Calibri"/>
                <w:b/>
                <w:sz w:val="20"/>
                <w:szCs w:val="20"/>
                <w:vertAlign w:val="superscript"/>
              </w:rPr>
              <w:t>1</w:t>
            </w:r>
          </w:p>
          <w:p w14:paraId="33012855" w14:textId="3526FF5A" w:rsidR="001E7EB6" w:rsidRPr="00154588" w:rsidRDefault="001E7EB6" w:rsidP="008C12B4">
            <w:pPr>
              <w:ind w:firstLine="567"/>
              <w:jc w:val="center"/>
              <w:rPr>
                <w:rFonts w:eastAsia="Calibri"/>
                <w:b/>
                <w:sz w:val="20"/>
                <w:szCs w:val="20"/>
              </w:rPr>
            </w:pPr>
            <w:r w:rsidRPr="00154588">
              <w:rPr>
                <w:rFonts w:eastAsia="Calibri"/>
                <w:b/>
                <w:sz w:val="20"/>
                <w:szCs w:val="20"/>
              </w:rPr>
              <w:t>Planuri de redresare la nivel de grup</w:t>
            </w:r>
          </w:p>
        </w:tc>
        <w:tc>
          <w:tcPr>
            <w:tcW w:w="2552" w:type="dxa"/>
          </w:tcPr>
          <w:p w14:paraId="79F81AC0" w14:textId="77777777" w:rsidR="001E7EB6" w:rsidRPr="00154588" w:rsidRDefault="001E7EB6" w:rsidP="008C12B4">
            <w:pPr>
              <w:jc w:val="both"/>
              <w:rPr>
                <w:bCs/>
                <w:sz w:val="20"/>
                <w:szCs w:val="20"/>
              </w:rPr>
            </w:pPr>
          </w:p>
        </w:tc>
        <w:tc>
          <w:tcPr>
            <w:tcW w:w="3118" w:type="dxa"/>
          </w:tcPr>
          <w:p w14:paraId="3E273A20" w14:textId="77777777" w:rsidR="001E7EB6" w:rsidRPr="00154588" w:rsidRDefault="001E7EB6" w:rsidP="008C12B4">
            <w:pPr>
              <w:jc w:val="both"/>
              <w:rPr>
                <w:bCs/>
                <w:sz w:val="20"/>
                <w:szCs w:val="20"/>
              </w:rPr>
            </w:pPr>
          </w:p>
        </w:tc>
      </w:tr>
      <w:tr w:rsidR="001E7EB6" w:rsidRPr="00154588" w14:paraId="375ADF2B" w14:textId="77777777" w:rsidTr="00D15C1B">
        <w:trPr>
          <w:jc w:val="center"/>
        </w:trPr>
        <w:tc>
          <w:tcPr>
            <w:tcW w:w="4957" w:type="dxa"/>
            <w:gridSpan w:val="2"/>
          </w:tcPr>
          <w:p w14:paraId="44695E83" w14:textId="09E08302" w:rsidR="001E7EB6" w:rsidRPr="00154588" w:rsidRDefault="001E7EB6" w:rsidP="008C12B4">
            <w:pPr>
              <w:jc w:val="both"/>
              <w:rPr>
                <w:bCs/>
                <w:sz w:val="20"/>
                <w:szCs w:val="20"/>
              </w:rPr>
            </w:pPr>
            <w:r w:rsidRPr="00154588">
              <w:rPr>
                <w:bCs/>
                <w:sz w:val="20"/>
                <w:szCs w:val="20"/>
              </w:rPr>
              <w:t>(1) Statele membre se asigură că întreprinderile-mamă din Uniune elaborează și înaintează supraveghetorului consolidant un plan de redresare a grupului. Planurile de redresare a grupului constau într-un plan de redresare destinat grupului în ansamblul său, în frunte cu întreprinderea-mamă din Uniune. Planul de redresare a grupului identifică măsuri a căror implementare poate fi necesară la nivelul întreprinderii-mamă din Uniune și la nivelul fiecărei filiale în parte.</w:t>
            </w:r>
          </w:p>
        </w:tc>
        <w:tc>
          <w:tcPr>
            <w:tcW w:w="4819" w:type="dxa"/>
          </w:tcPr>
          <w:p w14:paraId="3C10D4B2" w14:textId="77777777" w:rsidR="001E7EB6" w:rsidRPr="00154588" w:rsidRDefault="001E7EB6" w:rsidP="008C12B4">
            <w:pPr>
              <w:ind w:firstLine="567"/>
              <w:jc w:val="both"/>
              <w:rPr>
                <w:rFonts w:eastAsia="Calibri"/>
                <w:sz w:val="20"/>
                <w:szCs w:val="20"/>
              </w:rPr>
            </w:pPr>
            <w:r w:rsidRPr="00154588">
              <w:rPr>
                <w:rFonts w:eastAsia="Calibri"/>
                <w:b/>
                <w:sz w:val="20"/>
                <w:szCs w:val="20"/>
              </w:rPr>
              <w:t>Articolul 22</w:t>
            </w:r>
            <w:r w:rsidRPr="00154588">
              <w:rPr>
                <w:rFonts w:eastAsia="Calibri"/>
                <w:b/>
                <w:sz w:val="20"/>
                <w:szCs w:val="20"/>
                <w:vertAlign w:val="superscript"/>
              </w:rPr>
              <w:t>1</w:t>
            </w:r>
            <w:r w:rsidRPr="00154588">
              <w:rPr>
                <w:rFonts w:eastAsia="Calibri"/>
                <w:b/>
                <w:sz w:val="20"/>
                <w:szCs w:val="20"/>
              </w:rPr>
              <w:t>.</w:t>
            </w:r>
            <w:r w:rsidRPr="00154588">
              <w:rPr>
                <w:rFonts w:eastAsia="Calibri"/>
                <w:sz w:val="20"/>
                <w:szCs w:val="20"/>
              </w:rPr>
              <w:t xml:space="preserve"> – (1) Întreprinderile-mamă din Uniunea Europeană care au sediul în Republica Moldova întocmesc și prezintă Băncii Naționale a Moldovei, în calitate de supraveghetor consolidant, un plan de redresare a grupului. Planurile de redresare a grupului constau într-un plan de redresare pentru grupul condus de întreprinderea-mamă din Uniunea Europeană în ansamblu.</w:t>
            </w:r>
          </w:p>
          <w:p w14:paraId="6CBC7585" w14:textId="77777777" w:rsidR="001E7EB6" w:rsidRPr="00154588" w:rsidRDefault="001E7EB6" w:rsidP="008C12B4">
            <w:pPr>
              <w:ind w:firstLine="567"/>
              <w:jc w:val="both"/>
              <w:rPr>
                <w:rFonts w:eastAsia="Calibri"/>
                <w:sz w:val="20"/>
                <w:szCs w:val="20"/>
              </w:rPr>
            </w:pPr>
            <w:r w:rsidRPr="00154588">
              <w:rPr>
                <w:rFonts w:eastAsia="Calibri"/>
                <w:sz w:val="20"/>
                <w:szCs w:val="20"/>
              </w:rPr>
              <w:t>(2) Întreprinderea-mamă asigură că în planul de redresare a grupului sunt specificate măsurile a căror aplicare poate fi impusă la nivelul întreprinderii-mamă, precum și la nivelul fiecărei filiale în parte.</w:t>
            </w:r>
          </w:p>
          <w:p w14:paraId="14F56CC0" w14:textId="77777777" w:rsidR="001E7EB6" w:rsidRPr="00154588" w:rsidRDefault="001E7EB6" w:rsidP="008C12B4">
            <w:pPr>
              <w:ind w:firstLine="567"/>
              <w:jc w:val="both"/>
              <w:rPr>
                <w:rFonts w:eastAsia="Calibri"/>
                <w:sz w:val="20"/>
                <w:szCs w:val="20"/>
              </w:rPr>
            </w:pPr>
            <w:r w:rsidRPr="00154588">
              <w:rPr>
                <w:rFonts w:eastAsia="Calibri"/>
                <w:sz w:val="20"/>
                <w:szCs w:val="20"/>
              </w:rPr>
              <w:t>(3) Întreprinderea-mamă actualizează planurile de redresare cu respectarea dispozițiilor art.10.</w:t>
            </w:r>
          </w:p>
          <w:p w14:paraId="58F1D028" w14:textId="4D231528" w:rsidR="001E7EB6" w:rsidRPr="00154588" w:rsidRDefault="001E7EB6" w:rsidP="008C12B4">
            <w:pPr>
              <w:ind w:firstLine="567"/>
              <w:jc w:val="both"/>
              <w:rPr>
                <w:rFonts w:eastAsia="Calibri"/>
                <w:sz w:val="20"/>
                <w:szCs w:val="20"/>
              </w:rPr>
            </w:pPr>
            <w:r w:rsidRPr="00154588">
              <w:rPr>
                <w:rFonts w:eastAsia="Calibri"/>
                <w:b/>
                <w:sz w:val="20"/>
                <w:szCs w:val="20"/>
              </w:rPr>
              <w:t>Articolul 22</w:t>
            </w:r>
            <w:r w:rsidRPr="00154588">
              <w:rPr>
                <w:rFonts w:eastAsia="Calibri"/>
                <w:b/>
                <w:sz w:val="20"/>
                <w:szCs w:val="20"/>
                <w:vertAlign w:val="superscript"/>
              </w:rPr>
              <w:t>2</w:t>
            </w:r>
            <w:r w:rsidRPr="00154588">
              <w:rPr>
                <w:rFonts w:eastAsia="Calibri"/>
                <w:b/>
                <w:bCs/>
                <w:sz w:val="20"/>
                <w:szCs w:val="20"/>
              </w:rPr>
              <w:t>.</w:t>
            </w:r>
            <w:r w:rsidRPr="00154588">
              <w:rPr>
                <w:rFonts w:eastAsia="Calibri"/>
                <w:sz w:val="20"/>
                <w:szCs w:val="20"/>
              </w:rPr>
              <w:t xml:space="preserve"> – Prevederile art.22</w:t>
            </w:r>
            <w:r w:rsidRPr="00154588">
              <w:rPr>
                <w:rFonts w:eastAsia="Calibri"/>
                <w:sz w:val="20"/>
                <w:szCs w:val="20"/>
                <w:vertAlign w:val="superscript"/>
              </w:rPr>
              <w:t>1</w:t>
            </w:r>
            <w:r w:rsidRPr="00154588">
              <w:rPr>
                <w:rFonts w:eastAsia="Calibri"/>
                <w:sz w:val="20"/>
                <w:szCs w:val="20"/>
              </w:rPr>
              <w:t xml:space="preserve"> se aplică în mod corespunzător și întreprinderilor-mamă din Uniunea Europeană care au sediul în Republica Moldova și pentru care supraveghetorul consolidant este o autoritate competentă dintr-un alt stat membru al Uniunii Europene.</w:t>
            </w:r>
          </w:p>
          <w:p w14:paraId="4FCB6932" w14:textId="1E3B5623" w:rsidR="001E7EB6" w:rsidRPr="00154588" w:rsidRDefault="001E7EB6" w:rsidP="008C12B4">
            <w:pPr>
              <w:ind w:firstLine="567"/>
              <w:jc w:val="both"/>
              <w:rPr>
                <w:rFonts w:eastAsia="Calibri"/>
                <w:sz w:val="20"/>
                <w:szCs w:val="20"/>
              </w:rPr>
            </w:pPr>
            <w:r w:rsidRPr="00154588">
              <w:rPr>
                <w:rFonts w:eastAsia="Calibri"/>
                <w:b/>
                <w:sz w:val="20"/>
                <w:szCs w:val="20"/>
              </w:rPr>
              <w:t>Articolul 22</w:t>
            </w:r>
            <w:r w:rsidRPr="00154588">
              <w:rPr>
                <w:rFonts w:eastAsia="Calibri"/>
                <w:b/>
                <w:sz w:val="20"/>
                <w:szCs w:val="20"/>
                <w:vertAlign w:val="superscript"/>
              </w:rPr>
              <w:t>3</w:t>
            </w:r>
            <w:r w:rsidRPr="00154588">
              <w:rPr>
                <w:rFonts w:eastAsia="Calibri"/>
                <w:b/>
                <w:sz w:val="20"/>
                <w:szCs w:val="20"/>
              </w:rPr>
              <w:t>.</w:t>
            </w:r>
            <w:r w:rsidRPr="00154588">
              <w:rPr>
                <w:rFonts w:eastAsia="Calibri"/>
                <w:sz w:val="20"/>
                <w:szCs w:val="20"/>
              </w:rPr>
              <w:t xml:space="preserve"> – În cazul în care Banca Națională a Moldovei este supraveghetorul consolidant pentru întreprinderea-mamă din Uniunea Europeană care nu a</w:t>
            </w:r>
            <w:r w:rsidR="00D356DF" w:rsidRPr="00154588">
              <w:rPr>
                <w:rFonts w:eastAsia="Calibri"/>
                <w:sz w:val="20"/>
                <w:szCs w:val="20"/>
              </w:rPr>
              <w:t>re</w:t>
            </w:r>
            <w:r w:rsidRPr="00154588">
              <w:rPr>
                <w:rFonts w:eastAsia="Calibri"/>
                <w:sz w:val="20"/>
                <w:szCs w:val="20"/>
              </w:rPr>
              <w:t xml:space="preserve"> sediul în Republica Moldova, Banca Națională a Moldovei poate solicita autorității competente din statul membru al Uniunii Europene în care întreprinderea-mamă își are sediul să elaboreze și să transmită către Banca </w:t>
            </w:r>
            <w:r w:rsidRPr="00154588">
              <w:rPr>
                <w:rFonts w:eastAsia="Calibri"/>
                <w:sz w:val="20"/>
                <w:szCs w:val="20"/>
              </w:rPr>
              <w:lastRenderedPageBreak/>
              <w:t>Națională a Moldovei un plan de redresare a grupului, în conformitate cu cerințele art.22</w:t>
            </w:r>
            <w:r w:rsidRPr="00154588">
              <w:rPr>
                <w:rFonts w:eastAsia="Calibri"/>
                <w:sz w:val="20"/>
                <w:szCs w:val="20"/>
                <w:vertAlign w:val="superscript"/>
              </w:rPr>
              <w:t>1</w:t>
            </w:r>
            <w:r w:rsidRPr="00154588">
              <w:rPr>
                <w:rFonts w:eastAsia="Calibri"/>
                <w:sz w:val="20"/>
                <w:szCs w:val="20"/>
              </w:rPr>
              <w:t xml:space="preserve"> alin.(2) și (3).</w:t>
            </w:r>
          </w:p>
          <w:p w14:paraId="6A5E355D" w14:textId="77777777" w:rsidR="001E7EB6" w:rsidRPr="00154588" w:rsidRDefault="001E7EB6" w:rsidP="008C12B4">
            <w:pPr>
              <w:jc w:val="both"/>
              <w:rPr>
                <w:bCs/>
                <w:sz w:val="20"/>
                <w:szCs w:val="20"/>
              </w:rPr>
            </w:pPr>
          </w:p>
        </w:tc>
        <w:tc>
          <w:tcPr>
            <w:tcW w:w="2552" w:type="dxa"/>
          </w:tcPr>
          <w:p w14:paraId="0F0151EC" w14:textId="1F85BDC7" w:rsidR="001E7EB6" w:rsidRPr="00154588" w:rsidRDefault="00456CF7" w:rsidP="008C12B4">
            <w:pPr>
              <w:jc w:val="both"/>
              <w:rPr>
                <w:bCs/>
                <w:sz w:val="20"/>
                <w:szCs w:val="20"/>
              </w:rPr>
            </w:pPr>
            <w:r w:rsidRPr="00154588">
              <w:rPr>
                <w:bCs/>
                <w:sz w:val="20"/>
                <w:szCs w:val="20"/>
              </w:rPr>
              <w:lastRenderedPageBreak/>
              <w:t>Compatibil</w:t>
            </w:r>
          </w:p>
        </w:tc>
        <w:tc>
          <w:tcPr>
            <w:tcW w:w="3118" w:type="dxa"/>
          </w:tcPr>
          <w:p w14:paraId="40B087E0" w14:textId="77777777" w:rsidR="001E7EB6" w:rsidRPr="00154588" w:rsidRDefault="001E7EB6" w:rsidP="008C12B4">
            <w:pPr>
              <w:jc w:val="both"/>
              <w:rPr>
                <w:bCs/>
                <w:sz w:val="20"/>
                <w:szCs w:val="20"/>
              </w:rPr>
            </w:pPr>
          </w:p>
        </w:tc>
      </w:tr>
      <w:tr w:rsidR="001E7EB6" w:rsidRPr="00154588" w14:paraId="1CD5FB57" w14:textId="77777777" w:rsidTr="00D15C1B">
        <w:trPr>
          <w:jc w:val="center"/>
        </w:trPr>
        <w:tc>
          <w:tcPr>
            <w:tcW w:w="4957" w:type="dxa"/>
            <w:gridSpan w:val="2"/>
          </w:tcPr>
          <w:p w14:paraId="3B36A313" w14:textId="4A8F88C0" w:rsidR="001E7EB6" w:rsidRPr="00154588" w:rsidRDefault="001E7EB6" w:rsidP="008C12B4">
            <w:pPr>
              <w:jc w:val="both"/>
              <w:rPr>
                <w:bCs/>
                <w:sz w:val="20"/>
                <w:szCs w:val="20"/>
              </w:rPr>
            </w:pPr>
            <w:r w:rsidRPr="00154588">
              <w:rPr>
                <w:bCs/>
                <w:sz w:val="20"/>
                <w:szCs w:val="20"/>
              </w:rPr>
              <w:t>(2) În conformitate cu articolul 8, autoritățile competente pot solicita filialelor să elaboreze și să înainteze planuri de redresare pe bază individuală.</w:t>
            </w:r>
          </w:p>
        </w:tc>
        <w:tc>
          <w:tcPr>
            <w:tcW w:w="4819" w:type="dxa"/>
          </w:tcPr>
          <w:p w14:paraId="357D5016" w14:textId="08185259" w:rsidR="001E7EB6" w:rsidRPr="00154588" w:rsidRDefault="001E7EB6" w:rsidP="008C12B4">
            <w:pPr>
              <w:ind w:firstLine="567"/>
              <w:jc w:val="both"/>
              <w:rPr>
                <w:sz w:val="20"/>
                <w:szCs w:val="20"/>
              </w:rPr>
            </w:pPr>
            <w:r w:rsidRPr="00154588">
              <w:rPr>
                <w:rFonts w:eastAsia="Calibri"/>
                <w:b/>
                <w:sz w:val="20"/>
                <w:szCs w:val="20"/>
              </w:rPr>
              <w:t>Articolul 22</w:t>
            </w:r>
            <w:r w:rsidRPr="00154588">
              <w:rPr>
                <w:rFonts w:eastAsia="Calibri"/>
                <w:b/>
                <w:sz w:val="20"/>
                <w:szCs w:val="20"/>
                <w:vertAlign w:val="superscript"/>
              </w:rPr>
              <w:t>4</w:t>
            </w:r>
            <w:r w:rsidRPr="00154588">
              <w:rPr>
                <w:rFonts w:eastAsia="Calibri"/>
                <w:b/>
                <w:bCs/>
                <w:sz w:val="20"/>
                <w:szCs w:val="20"/>
              </w:rPr>
              <w:t>.</w:t>
            </w:r>
            <w:r w:rsidRPr="00154588">
              <w:rPr>
                <w:rFonts w:eastAsia="Calibri"/>
                <w:sz w:val="20"/>
                <w:szCs w:val="20"/>
              </w:rPr>
              <w:t xml:space="preserve"> – În cazurile prevăzute la art.22</w:t>
            </w:r>
            <w:r w:rsidRPr="00154588">
              <w:rPr>
                <w:rFonts w:eastAsia="Calibri"/>
                <w:sz w:val="20"/>
                <w:szCs w:val="20"/>
                <w:vertAlign w:val="superscript"/>
              </w:rPr>
              <w:t>15</w:t>
            </w:r>
            <w:r w:rsidRPr="00154588">
              <w:rPr>
                <w:rFonts w:eastAsia="Calibri"/>
                <w:sz w:val="20"/>
                <w:szCs w:val="20"/>
              </w:rPr>
              <w:t>-22</w:t>
            </w:r>
            <w:r w:rsidRPr="00154588">
              <w:rPr>
                <w:rFonts w:eastAsia="Calibri"/>
                <w:sz w:val="20"/>
                <w:szCs w:val="20"/>
                <w:vertAlign w:val="superscript"/>
              </w:rPr>
              <w:t>20</w:t>
            </w:r>
            <w:r w:rsidRPr="00154588">
              <w:rPr>
                <w:rFonts w:eastAsia="Calibri"/>
                <w:sz w:val="20"/>
                <w:szCs w:val="20"/>
              </w:rPr>
              <w:t>, Banca Națională a Moldovei, în calitate de autoritate competentă la nivel individual, poate solicita instituțiilor de credit filiale, persoane juridice din Republica Moldova, să elaboreze și să îi transmită planuri de redresare individuale.</w:t>
            </w:r>
          </w:p>
        </w:tc>
        <w:tc>
          <w:tcPr>
            <w:tcW w:w="2552" w:type="dxa"/>
          </w:tcPr>
          <w:p w14:paraId="05054BB5" w14:textId="68CE2D31" w:rsidR="001E7EB6" w:rsidRPr="00154588" w:rsidRDefault="00456CF7" w:rsidP="008C12B4">
            <w:pPr>
              <w:jc w:val="both"/>
              <w:rPr>
                <w:bCs/>
                <w:sz w:val="20"/>
                <w:szCs w:val="20"/>
              </w:rPr>
            </w:pPr>
            <w:r w:rsidRPr="00154588">
              <w:rPr>
                <w:bCs/>
                <w:sz w:val="20"/>
                <w:szCs w:val="20"/>
              </w:rPr>
              <w:t>Compatibil</w:t>
            </w:r>
          </w:p>
        </w:tc>
        <w:tc>
          <w:tcPr>
            <w:tcW w:w="3118" w:type="dxa"/>
          </w:tcPr>
          <w:p w14:paraId="37360EB5" w14:textId="77777777" w:rsidR="001E7EB6" w:rsidRPr="00154588" w:rsidRDefault="001E7EB6" w:rsidP="008C12B4">
            <w:pPr>
              <w:jc w:val="both"/>
              <w:rPr>
                <w:bCs/>
                <w:sz w:val="20"/>
                <w:szCs w:val="20"/>
              </w:rPr>
            </w:pPr>
          </w:p>
        </w:tc>
      </w:tr>
      <w:tr w:rsidR="001E7EB6" w:rsidRPr="00154588" w14:paraId="4B3298FD" w14:textId="77777777" w:rsidTr="00D15C1B">
        <w:trPr>
          <w:jc w:val="center"/>
        </w:trPr>
        <w:tc>
          <w:tcPr>
            <w:tcW w:w="4957" w:type="dxa"/>
            <w:gridSpan w:val="2"/>
          </w:tcPr>
          <w:p w14:paraId="534E0DD9" w14:textId="6A9FD3B9" w:rsidR="001E7EB6" w:rsidRPr="00154588" w:rsidRDefault="001E7EB6" w:rsidP="008C12B4">
            <w:pPr>
              <w:jc w:val="both"/>
              <w:rPr>
                <w:bCs/>
                <w:sz w:val="20"/>
                <w:szCs w:val="20"/>
              </w:rPr>
            </w:pPr>
            <w:r w:rsidRPr="00154588">
              <w:rPr>
                <w:bCs/>
                <w:sz w:val="20"/>
                <w:szCs w:val="20"/>
              </w:rPr>
              <w:t>(3) Supraveghetorul consolidant, cu condiția instituirii cerințelor de confidențialitate prevăzute în prezenta directivă, transmite planurile de redresare a grupului:</w:t>
            </w:r>
          </w:p>
          <w:p w14:paraId="632F9D15" w14:textId="77777777" w:rsidR="001E7EB6" w:rsidRPr="00154588" w:rsidRDefault="001E7EB6" w:rsidP="008C12B4">
            <w:pPr>
              <w:jc w:val="both"/>
              <w:rPr>
                <w:bCs/>
                <w:sz w:val="20"/>
                <w:szCs w:val="20"/>
              </w:rPr>
            </w:pPr>
          </w:p>
          <w:p w14:paraId="7C11EE58" w14:textId="77777777" w:rsidR="001E7EB6" w:rsidRPr="00154588" w:rsidRDefault="001E7EB6" w:rsidP="008C12B4">
            <w:pPr>
              <w:jc w:val="both"/>
              <w:rPr>
                <w:bCs/>
                <w:sz w:val="20"/>
                <w:szCs w:val="20"/>
              </w:rPr>
            </w:pPr>
          </w:p>
          <w:p w14:paraId="7190D1FD" w14:textId="1F4996FC" w:rsidR="001E7EB6" w:rsidRPr="00154588" w:rsidRDefault="001E7EB6" w:rsidP="008C12B4">
            <w:pPr>
              <w:jc w:val="both"/>
              <w:rPr>
                <w:bCs/>
                <w:sz w:val="20"/>
                <w:szCs w:val="20"/>
              </w:rPr>
            </w:pPr>
            <w:r w:rsidRPr="00154588">
              <w:rPr>
                <w:bCs/>
                <w:sz w:val="20"/>
                <w:szCs w:val="20"/>
              </w:rPr>
              <w:t xml:space="preserve">(a) autorităților competente </w:t>
            </w:r>
            <w:r w:rsidR="00C269D7" w:rsidRPr="00154588">
              <w:rPr>
                <w:bCs/>
                <w:sz w:val="20"/>
                <w:szCs w:val="20"/>
              </w:rPr>
              <w:t>r</w:t>
            </w:r>
            <w:r w:rsidRPr="00154588">
              <w:rPr>
                <w:bCs/>
                <w:sz w:val="20"/>
                <w:szCs w:val="20"/>
              </w:rPr>
              <w:t>elevante menționate la articolele 115 și 116 din Directiva 2013/36/UE;</w:t>
            </w:r>
          </w:p>
          <w:p w14:paraId="5BD4D803" w14:textId="77777777" w:rsidR="001E7EB6" w:rsidRPr="00154588" w:rsidRDefault="001E7EB6" w:rsidP="008C12B4">
            <w:pPr>
              <w:jc w:val="both"/>
              <w:rPr>
                <w:bCs/>
                <w:sz w:val="20"/>
                <w:szCs w:val="20"/>
              </w:rPr>
            </w:pPr>
          </w:p>
          <w:p w14:paraId="4DB4B234" w14:textId="0F3F5914" w:rsidR="001E7EB6" w:rsidRPr="00154588" w:rsidRDefault="001E7EB6" w:rsidP="008C12B4">
            <w:pPr>
              <w:jc w:val="both"/>
              <w:rPr>
                <w:bCs/>
                <w:sz w:val="20"/>
                <w:szCs w:val="20"/>
              </w:rPr>
            </w:pPr>
            <w:r w:rsidRPr="00154588">
              <w:rPr>
                <w:bCs/>
                <w:sz w:val="20"/>
                <w:szCs w:val="20"/>
              </w:rPr>
              <w:t>(b) autorităților competente ale statelor membre în care sunt situate sucursale semnificative, în măsura în care acest lucru este relevant pentru sucursala respectivă;</w:t>
            </w:r>
          </w:p>
          <w:p w14:paraId="2825437E" w14:textId="77777777" w:rsidR="001E7EB6" w:rsidRPr="00154588" w:rsidRDefault="001E7EB6" w:rsidP="008C12B4">
            <w:pPr>
              <w:jc w:val="both"/>
              <w:rPr>
                <w:bCs/>
                <w:sz w:val="20"/>
                <w:szCs w:val="20"/>
              </w:rPr>
            </w:pPr>
          </w:p>
          <w:p w14:paraId="2D82611A" w14:textId="0C4905A6" w:rsidR="001E7EB6" w:rsidRPr="00154588" w:rsidRDefault="001E7EB6" w:rsidP="008C12B4">
            <w:pPr>
              <w:jc w:val="both"/>
              <w:rPr>
                <w:bCs/>
                <w:sz w:val="20"/>
                <w:szCs w:val="20"/>
              </w:rPr>
            </w:pPr>
            <w:r w:rsidRPr="00154588">
              <w:rPr>
                <w:bCs/>
                <w:sz w:val="20"/>
                <w:szCs w:val="20"/>
              </w:rPr>
              <w:t>(c) autorității de rezoluție a grupului; și</w:t>
            </w:r>
          </w:p>
          <w:p w14:paraId="7DD3DED6" w14:textId="77777777" w:rsidR="001E7EB6" w:rsidRPr="00154588" w:rsidRDefault="001E7EB6" w:rsidP="008C12B4">
            <w:pPr>
              <w:jc w:val="both"/>
              <w:rPr>
                <w:bCs/>
                <w:sz w:val="20"/>
                <w:szCs w:val="20"/>
              </w:rPr>
            </w:pPr>
          </w:p>
          <w:p w14:paraId="22B96EC0" w14:textId="686A5950" w:rsidR="001E7EB6" w:rsidRPr="00154588" w:rsidRDefault="001E7EB6" w:rsidP="008C12B4">
            <w:pPr>
              <w:jc w:val="both"/>
              <w:rPr>
                <w:bCs/>
                <w:sz w:val="20"/>
                <w:szCs w:val="20"/>
              </w:rPr>
            </w:pPr>
            <w:r w:rsidRPr="00154588">
              <w:rPr>
                <w:bCs/>
                <w:sz w:val="20"/>
                <w:szCs w:val="20"/>
              </w:rPr>
              <w:t>(d) autorităților de rezoluție ale filialelor.</w:t>
            </w:r>
          </w:p>
        </w:tc>
        <w:tc>
          <w:tcPr>
            <w:tcW w:w="4819" w:type="dxa"/>
          </w:tcPr>
          <w:p w14:paraId="3339E0BB" w14:textId="77777777" w:rsidR="001E7EB6" w:rsidRPr="00154588" w:rsidRDefault="001E7EB6" w:rsidP="008C12B4">
            <w:pPr>
              <w:ind w:firstLine="567"/>
              <w:jc w:val="both"/>
              <w:rPr>
                <w:rFonts w:eastAsia="Calibri"/>
                <w:sz w:val="20"/>
                <w:szCs w:val="20"/>
              </w:rPr>
            </w:pPr>
            <w:r w:rsidRPr="00154588">
              <w:rPr>
                <w:rFonts w:eastAsia="Calibri"/>
                <w:b/>
                <w:sz w:val="20"/>
                <w:szCs w:val="20"/>
              </w:rPr>
              <w:t>Articolul 22</w:t>
            </w:r>
            <w:r w:rsidRPr="00154588">
              <w:rPr>
                <w:rFonts w:eastAsia="Calibri"/>
                <w:b/>
                <w:sz w:val="20"/>
                <w:szCs w:val="20"/>
                <w:vertAlign w:val="superscript"/>
              </w:rPr>
              <w:t>5</w:t>
            </w:r>
            <w:r w:rsidRPr="00154588">
              <w:rPr>
                <w:rFonts w:eastAsia="Calibri"/>
                <w:b/>
                <w:sz w:val="20"/>
                <w:szCs w:val="20"/>
              </w:rPr>
              <w:t>.</w:t>
            </w:r>
            <w:r w:rsidRPr="00154588">
              <w:rPr>
                <w:rFonts w:eastAsia="Calibri"/>
                <w:sz w:val="20"/>
                <w:szCs w:val="20"/>
              </w:rPr>
              <w:t xml:space="preserve"> – (1) Cu respectarea cerințelor de păstrare a confidențialității prevăzute în prezenta lege, Banca Națională a Moldovei, în calitate de supraveghetor consolidant, transmite planurile de redresare a grupului:</w:t>
            </w:r>
          </w:p>
          <w:p w14:paraId="4E6F39A1" w14:textId="77777777" w:rsidR="001E7EB6" w:rsidRPr="00154588" w:rsidRDefault="001E7EB6" w:rsidP="008C12B4">
            <w:pPr>
              <w:ind w:firstLine="567"/>
              <w:jc w:val="both"/>
              <w:rPr>
                <w:rFonts w:eastAsia="Calibri"/>
                <w:sz w:val="20"/>
                <w:szCs w:val="20"/>
              </w:rPr>
            </w:pPr>
            <w:r w:rsidRPr="00154588">
              <w:rPr>
                <w:rFonts w:eastAsia="Calibri"/>
                <w:sz w:val="20"/>
                <w:szCs w:val="20"/>
              </w:rPr>
              <w:t>a) autorităților competente relevante prevăzute la art.111-112 din Legea nr.202/2017;</w:t>
            </w:r>
          </w:p>
          <w:p w14:paraId="1C02AB35" w14:textId="77777777" w:rsidR="001E7EB6" w:rsidRPr="00154588" w:rsidRDefault="001E7EB6" w:rsidP="008C12B4">
            <w:pPr>
              <w:ind w:firstLine="567"/>
              <w:jc w:val="both"/>
              <w:rPr>
                <w:rFonts w:eastAsia="Calibri"/>
                <w:sz w:val="20"/>
                <w:szCs w:val="20"/>
              </w:rPr>
            </w:pPr>
            <w:r w:rsidRPr="00154588">
              <w:rPr>
                <w:rFonts w:eastAsia="Calibri"/>
                <w:sz w:val="20"/>
                <w:szCs w:val="20"/>
              </w:rPr>
              <w:t>b) autorităților competente din statele membre ale Uniunii Europene în care sunt situate sucursale semnificative, în măsura în care planul de redresare este relevant pentru respectivele sucursale;</w:t>
            </w:r>
          </w:p>
          <w:p w14:paraId="2D6EE24D" w14:textId="77777777" w:rsidR="001E7EB6" w:rsidRPr="00154588" w:rsidRDefault="001E7EB6" w:rsidP="008C12B4">
            <w:pPr>
              <w:ind w:firstLine="567"/>
              <w:jc w:val="both"/>
              <w:rPr>
                <w:rFonts w:eastAsia="Calibri"/>
                <w:sz w:val="20"/>
                <w:szCs w:val="20"/>
              </w:rPr>
            </w:pPr>
            <w:r w:rsidRPr="00154588">
              <w:rPr>
                <w:rFonts w:eastAsia="Calibri"/>
                <w:sz w:val="20"/>
                <w:szCs w:val="20"/>
              </w:rPr>
              <w:t>c) autorității de rezoluție a grupului; și</w:t>
            </w:r>
          </w:p>
          <w:p w14:paraId="11EC79D8" w14:textId="77777777" w:rsidR="001E7EB6" w:rsidRPr="00154588" w:rsidRDefault="001E7EB6" w:rsidP="008C12B4">
            <w:pPr>
              <w:ind w:firstLine="567"/>
              <w:jc w:val="both"/>
              <w:rPr>
                <w:rFonts w:eastAsia="Calibri"/>
                <w:sz w:val="20"/>
                <w:szCs w:val="20"/>
              </w:rPr>
            </w:pPr>
            <w:r w:rsidRPr="00154588">
              <w:rPr>
                <w:rFonts w:eastAsia="Calibri"/>
                <w:sz w:val="20"/>
                <w:szCs w:val="20"/>
              </w:rPr>
              <w:t>d) autorităților de rezoluție a filialelor.</w:t>
            </w:r>
          </w:p>
          <w:p w14:paraId="380B0D17" w14:textId="77777777" w:rsidR="001E7EB6" w:rsidRPr="00154588" w:rsidRDefault="001E7EB6" w:rsidP="008C12B4">
            <w:pPr>
              <w:ind w:firstLine="567"/>
              <w:jc w:val="both"/>
              <w:rPr>
                <w:rFonts w:eastAsia="Calibri"/>
                <w:sz w:val="20"/>
                <w:szCs w:val="20"/>
              </w:rPr>
            </w:pPr>
            <w:r w:rsidRPr="00154588">
              <w:rPr>
                <w:rFonts w:eastAsia="Calibri"/>
                <w:sz w:val="20"/>
                <w:szCs w:val="20"/>
              </w:rPr>
              <w:t>(2) Banca Națională a Moldovei se asigură că structura care exercită funcția de supraveghere transmite planurile de redresare a grupului structurii care exercită funcția de rezoluție.</w:t>
            </w:r>
          </w:p>
          <w:p w14:paraId="5E5F84EE" w14:textId="77777777" w:rsidR="001E7EB6" w:rsidRPr="00154588" w:rsidRDefault="001E7EB6" w:rsidP="008C12B4">
            <w:pPr>
              <w:jc w:val="both"/>
              <w:rPr>
                <w:bCs/>
                <w:sz w:val="20"/>
                <w:szCs w:val="20"/>
              </w:rPr>
            </w:pPr>
          </w:p>
        </w:tc>
        <w:tc>
          <w:tcPr>
            <w:tcW w:w="2552" w:type="dxa"/>
          </w:tcPr>
          <w:p w14:paraId="48E57218" w14:textId="48A8AFF4" w:rsidR="001E7EB6" w:rsidRPr="00154588" w:rsidRDefault="00456CF7" w:rsidP="008C12B4">
            <w:pPr>
              <w:jc w:val="both"/>
              <w:rPr>
                <w:bCs/>
                <w:sz w:val="20"/>
                <w:szCs w:val="20"/>
              </w:rPr>
            </w:pPr>
            <w:r w:rsidRPr="00154588">
              <w:rPr>
                <w:bCs/>
                <w:sz w:val="20"/>
                <w:szCs w:val="20"/>
              </w:rPr>
              <w:t>Compatibil</w:t>
            </w:r>
          </w:p>
        </w:tc>
        <w:tc>
          <w:tcPr>
            <w:tcW w:w="3118" w:type="dxa"/>
          </w:tcPr>
          <w:p w14:paraId="2556D105" w14:textId="77777777" w:rsidR="001E7EB6" w:rsidRPr="00154588" w:rsidRDefault="001E7EB6" w:rsidP="008C12B4">
            <w:pPr>
              <w:jc w:val="both"/>
              <w:rPr>
                <w:bCs/>
                <w:sz w:val="20"/>
                <w:szCs w:val="20"/>
              </w:rPr>
            </w:pPr>
          </w:p>
        </w:tc>
      </w:tr>
      <w:tr w:rsidR="001E7EB6" w:rsidRPr="00154588" w14:paraId="79B73E97" w14:textId="77777777" w:rsidTr="00D15C1B">
        <w:trPr>
          <w:jc w:val="center"/>
        </w:trPr>
        <w:tc>
          <w:tcPr>
            <w:tcW w:w="4957" w:type="dxa"/>
            <w:gridSpan w:val="2"/>
          </w:tcPr>
          <w:p w14:paraId="011C5037" w14:textId="77777777" w:rsidR="001E7EB6" w:rsidRPr="00154588" w:rsidRDefault="001E7EB6" w:rsidP="008C12B4">
            <w:pPr>
              <w:jc w:val="both"/>
              <w:rPr>
                <w:bCs/>
                <w:sz w:val="20"/>
                <w:szCs w:val="20"/>
              </w:rPr>
            </w:pPr>
            <w:r w:rsidRPr="00154588">
              <w:rPr>
                <w:bCs/>
                <w:sz w:val="20"/>
                <w:szCs w:val="20"/>
              </w:rPr>
              <w:t>(4)  Planul de redresare a grupului urmărește stabilizarea grupului în ansamblu sau stabilizarea unei instituții din grup, atunci când aceasta se află în criză, astfel încât să soluționeze sau să elimine cauzele dificultății și să restabilească poziția financiară a grupului sau a instituției în cauză, ținând seama în același timp de poziția financiară a altor entități ale grupului.</w:t>
            </w:r>
          </w:p>
          <w:p w14:paraId="017D71B1" w14:textId="77777777" w:rsidR="001E7EB6" w:rsidRPr="00154588" w:rsidRDefault="001E7EB6" w:rsidP="008C12B4">
            <w:pPr>
              <w:jc w:val="both"/>
              <w:rPr>
                <w:bCs/>
                <w:sz w:val="20"/>
                <w:szCs w:val="20"/>
              </w:rPr>
            </w:pPr>
          </w:p>
          <w:p w14:paraId="020A3674" w14:textId="013A5A15" w:rsidR="001E7EB6" w:rsidRPr="00154588" w:rsidRDefault="001E7EB6" w:rsidP="008C12B4">
            <w:pPr>
              <w:jc w:val="both"/>
              <w:rPr>
                <w:bCs/>
                <w:sz w:val="20"/>
                <w:szCs w:val="20"/>
              </w:rPr>
            </w:pPr>
            <w:r w:rsidRPr="00154588">
              <w:rPr>
                <w:bCs/>
                <w:sz w:val="20"/>
                <w:szCs w:val="20"/>
              </w:rPr>
              <w:t>Planul de redresare a grupului include dispoziții menite să asigure coordonarea și consecvența măsurilor care se iau la nivelul întreprinderii-mamă din Uniune, la nivelul entităților menționate la articolul 1 alineatul (1) literele (c) și (d), precum și a măsurilor care se iau la nivelul filialelor și, după caz, în conformitate cu Directiva 2013/36/UE la nivelul sucursalelor semnificative.</w:t>
            </w:r>
          </w:p>
        </w:tc>
        <w:tc>
          <w:tcPr>
            <w:tcW w:w="4819" w:type="dxa"/>
          </w:tcPr>
          <w:p w14:paraId="22D4FB1B" w14:textId="77777777" w:rsidR="001E7EB6" w:rsidRPr="00154588" w:rsidRDefault="001E7EB6" w:rsidP="008C12B4">
            <w:pPr>
              <w:ind w:firstLine="567"/>
              <w:jc w:val="both"/>
              <w:rPr>
                <w:rFonts w:eastAsia="Calibri"/>
                <w:sz w:val="20"/>
                <w:szCs w:val="20"/>
              </w:rPr>
            </w:pPr>
            <w:r w:rsidRPr="00154588">
              <w:rPr>
                <w:rFonts w:eastAsia="Calibri"/>
                <w:b/>
                <w:sz w:val="20"/>
                <w:szCs w:val="20"/>
              </w:rPr>
              <w:t>Articolul 22</w:t>
            </w:r>
            <w:r w:rsidRPr="00154588">
              <w:rPr>
                <w:rFonts w:eastAsia="Calibri"/>
                <w:b/>
                <w:sz w:val="20"/>
                <w:szCs w:val="20"/>
                <w:vertAlign w:val="superscript"/>
              </w:rPr>
              <w:t>6</w:t>
            </w:r>
            <w:r w:rsidRPr="00154588">
              <w:rPr>
                <w:rFonts w:eastAsia="Calibri"/>
                <w:sz w:val="20"/>
                <w:szCs w:val="20"/>
              </w:rPr>
              <w:t>. – (1) Planul de redresare a grupului urmărește stabilizarea grupului în ansamblu sau stabilizarea unei instituții din grup, atunci când aceasta se află în criză, astfel încât să soluționeze sau să elimine cauzele dificultății și să restabilească poziția financiară a grupului sau a instituției în cauză, ținând seama în același timp de poziția financiară a altor entități ale grupului</w:t>
            </w:r>
          </w:p>
          <w:p w14:paraId="5A7A016A" w14:textId="361E412D" w:rsidR="001E7EB6" w:rsidRPr="00154588" w:rsidRDefault="001E7EB6" w:rsidP="008C12B4">
            <w:pPr>
              <w:ind w:firstLine="567"/>
              <w:jc w:val="both"/>
              <w:rPr>
                <w:sz w:val="20"/>
                <w:szCs w:val="20"/>
              </w:rPr>
            </w:pPr>
            <w:r w:rsidRPr="00154588">
              <w:rPr>
                <w:rFonts w:eastAsia="Calibri"/>
                <w:sz w:val="20"/>
                <w:szCs w:val="20"/>
              </w:rPr>
              <w:t>(2) Planul de redresare a grupului include dispoziții menite să asigure coordonarea și consecvența măsurilor care se iau la nivelul întreprinderii-mamă din Uniunea Europeană, la nivelul entităților menționate la art.1 alin.(1) lit.c) și d), precum și a măsurilor care se iau la nivelul filialelor și, după caz, în conformitate cu Legea nr.202/2017,</w:t>
            </w:r>
            <w:r w:rsidR="005130A9" w:rsidRPr="00154588">
              <w:rPr>
                <w:rFonts w:eastAsia="Calibri"/>
                <w:sz w:val="20"/>
                <w:szCs w:val="20"/>
              </w:rPr>
              <w:t>la</w:t>
            </w:r>
            <w:r w:rsidRPr="00154588">
              <w:rPr>
                <w:rFonts w:eastAsia="Calibri"/>
                <w:sz w:val="20"/>
                <w:szCs w:val="20"/>
              </w:rPr>
              <w:t xml:space="preserve"> nivelul sucursalelor semnificative.</w:t>
            </w:r>
          </w:p>
        </w:tc>
        <w:tc>
          <w:tcPr>
            <w:tcW w:w="2552" w:type="dxa"/>
          </w:tcPr>
          <w:p w14:paraId="181EED49" w14:textId="0A7306D9" w:rsidR="001E7EB6" w:rsidRPr="00154588" w:rsidRDefault="00456CF7" w:rsidP="008C12B4">
            <w:pPr>
              <w:jc w:val="both"/>
              <w:rPr>
                <w:bCs/>
                <w:sz w:val="20"/>
                <w:szCs w:val="20"/>
              </w:rPr>
            </w:pPr>
            <w:r w:rsidRPr="00154588">
              <w:rPr>
                <w:bCs/>
                <w:sz w:val="20"/>
                <w:szCs w:val="20"/>
              </w:rPr>
              <w:t>Compatibil</w:t>
            </w:r>
          </w:p>
        </w:tc>
        <w:tc>
          <w:tcPr>
            <w:tcW w:w="3118" w:type="dxa"/>
          </w:tcPr>
          <w:p w14:paraId="7581CA68" w14:textId="77777777" w:rsidR="001E7EB6" w:rsidRPr="00154588" w:rsidRDefault="001E7EB6" w:rsidP="008C12B4">
            <w:pPr>
              <w:jc w:val="both"/>
              <w:rPr>
                <w:bCs/>
                <w:sz w:val="20"/>
                <w:szCs w:val="20"/>
              </w:rPr>
            </w:pPr>
          </w:p>
        </w:tc>
      </w:tr>
      <w:tr w:rsidR="001E7EB6" w:rsidRPr="00154588" w14:paraId="37102A9D" w14:textId="77777777" w:rsidTr="00D15C1B">
        <w:trPr>
          <w:jc w:val="center"/>
        </w:trPr>
        <w:tc>
          <w:tcPr>
            <w:tcW w:w="4957" w:type="dxa"/>
            <w:gridSpan w:val="2"/>
          </w:tcPr>
          <w:p w14:paraId="36EBFE53" w14:textId="175C66C2" w:rsidR="001E7EB6" w:rsidRPr="00154588" w:rsidRDefault="001E7EB6" w:rsidP="008C12B4">
            <w:pPr>
              <w:jc w:val="both"/>
              <w:rPr>
                <w:bCs/>
                <w:sz w:val="20"/>
                <w:szCs w:val="20"/>
              </w:rPr>
            </w:pPr>
            <w:r w:rsidRPr="00154588">
              <w:rPr>
                <w:bCs/>
                <w:sz w:val="20"/>
                <w:szCs w:val="20"/>
              </w:rPr>
              <w:t xml:space="preserve">(5)   Planul de redresare a grupului și orice plan elaborat pentru o filială individuală include elementele menționate la articolul 5. Planurile respective includ, după caz, dispoziții privind un sprijin financiar intragrup, adoptat în </w:t>
            </w:r>
            <w:r w:rsidRPr="00154588">
              <w:rPr>
                <w:bCs/>
                <w:sz w:val="20"/>
                <w:szCs w:val="20"/>
              </w:rPr>
              <w:lastRenderedPageBreak/>
              <w:t>conformitate cu un acord privind sprijinul financiar intragrup încheiat în temeiul prevederilor capitolului III.</w:t>
            </w:r>
          </w:p>
        </w:tc>
        <w:tc>
          <w:tcPr>
            <w:tcW w:w="4819" w:type="dxa"/>
          </w:tcPr>
          <w:p w14:paraId="0F0EC033" w14:textId="09C650F9" w:rsidR="001E7EB6" w:rsidRPr="00154588" w:rsidRDefault="001E7EB6" w:rsidP="008C12B4">
            <w:pPr>
              <w:ind w:firstLine="567"/>
              <w:jc w:val="both"/>
              <w:rPr>
                <w:sz w:val="20"/>
                <w:szCs w:val="20"/>
              </w:rPr>
            </w:pPr>
            <w:r w:rsidRPr="00154588">
              <w:rPr>
                <w:rFonts w:eastAsia="Calibri"/>
                <w:b/>
                <w:sz w:val="20"/>
                <w:szCs w:val="20"/>
              </w:rPr>
              <w:lastRenderedPageBreak/>
              <w:t>Articolul 22</w:t>
            </w:r>
            <w:r w:rsidRPr="00154588">
              <w:rPr>
                <w:rFonts w:eastAsia="Calibri"/>
                <w:b/>
                <w:sz w:val="20"/>
                <w:szCs w:val="20"/>
                <w:vertAlign w:val="superscript"/>
              </w:rPr>
              <w:t>7</w:t>
            </w:r>
            <w:r w:rsidRPr="00154588">
              <w:rPr>
                <w:rFonts w:eastAsia="Calibri"/>
                <w:sz w:val="20"/>
                <w:szCs w:val="20"/>
              </w:rPr>
              <w:t xml:space="preserve">. – Planul de redresare a grupului și orice plan de redresare individual elaborat pentru o filială trebuie să includă elementele prevăzute la art.9-15. Planurile respective includ o gamă de opțiuni de redresare </w:t>
            </w:r>
            <w:r w:rsidRPr="00154588">
              <w:rPr>
                <w:rFonts w:eastAsia="Calibri"/>
                <w:sz w:val="20"/>
                <w:szCs w:val="20"/>
              </w:rPr>
              <w:lastRenderedPageBreak/>
              <w:t>care identifică măsurile ce pot fi întreprinse pe fiecare scenariu de criză prevăzut la art.13 alin.(2) și, dacă este cazul, aranjamentele privind sprijinul financiar intragrup, adoptate potrivit acordului privind sprijinul financiar intragrup, încheiat în conformitate cu prevederile art.41</w:t>
            </w:r>
            <w:r w:rsidRPr="00154588">
              <w:rPr>
                <w:rFonts w:eastAsia="Calibri"/>
                <w:sz w:val="20"/>
                <w:szCs w:val="20"/>
                <w:vertAlign w:val="superscript"/>
              </w:rPr>
              <w:t>9</w:t>
            </w:r>
            <w:r w:rsidRPr="00154588">
              <w:rPr>
                <w:rFonts w:eastAsia="Calibri"/>
                <w:sz w:val="20"/>
                <w:szCs w:val="20"/>
              </w:rPr>
              <w:t>-41</w:t>
            </w:r>
            <w:r w:rsidRPr="00154588">
              <w:rPr>
                <w:rFonts w:eastAsia="Calibri"/>
                <w:sz w:val="20"/>
                <w:szCs w:val="20"/>
                <w:vertAlign w:val="superscript"/>
              </w:rPr>
              <w:t>39</w:t>
            </w:r>
            <w:r w:rsidRPr="00154588">
              <w:rPr>
                <w:rFonts w:eastAsia="Calibri"/>
                <w:sz w:val="20"/>
                <w:szCs w:val="20"/>
              </w:rPr>
              <w:t>.</w:t>
            </w:r>
          </w:p>
        </w:tc>
        <w:tc>
          <w:tcPr>
            <w:tcW w:w="2552" w:type="dxa"/>
          </w:tcPr>
          <w:p w14:paraId="6EC139EB" w14:textId="79DA7930" w:rsidR="001E7EB6" w:rsidRPr="00154588" w:rsidRDefault="00456CF7" w:rsidP="008C12B4">
            <w:pPr>
              <w:jc w:val="both"/>
              <w:rPr>
                <w:bCs/>
                <w:sz w:val="20"/>
                <w:szCs w:val="20"/>
              </w:rPr>
            </w:pPr>
            <w:r w:rsidRPr="00154588">
              <w:rPr>
                <w:bCs/>
                <w:sz w:val="20"/>
                <w:szCs w:val="20"/>
              </w:rPr>
              <w:lastRenderedPageBreak/>
              <w:t>Compatibil</w:t>
            </w:r>
          </w:p>
        </w:tc>
        <w:tc>
          <w:tcPr>
            <w:tcW w:w="3118" w:type="dxa"/>
          </w:tcPr>
          <w:p w14:paraId="05D7DDF7" w14:textId="77777777" w:rsidR="001E7EB6" w:rsidRPr="00154588" w:rsidRDefault="001E7EB6" w:rsidP="008C12B4">
            <w:pPr>
              <w:jc w:val="both"/>
              <w:rPr>
                <w:bCs/>
                <w:sz w:val="20"/>
                <w:szCs w:val="20"/>
              </w:rPr>
            </w:pPr>
          </w:p>
        </w:tc>
      </w:tr>
      <w:tr w:rsidR="001E7EB6" w:rsidRPr="00154588" w14:paraId="331BAF58" w14:textId="77777777" w:rsidTr="00D15C1B">
        <w:trPr>
          <w:jc w:val="center"/>
        </w:trPr>
        <w:tc>
          <w:tcPr>
            <w:tcW w:w="4957" w:type="dxa"/>
            <w:gridSpan w:val="2"/>
          </w:tcPr>
          <w:p w14:paraId="2C67142A" w14:textId="77777777" w:rsidR="001E7EB6" w:rsidRPr="00154588" w:rsidRDefault="001E7EB6" w:rsidP="008C12B4">
            <w:pPr>
              <w:jc w:val="both"/>
              <w:rPr>
                <w:bCs/>
                <w:sz w:val="20"/>
                <w:szCs w:val="20"/>
              </w:rPr>
            </w:pPr>
            <w:r w:rsidRPr="00154588">
              <w:rPr>
                <w:bCs/>
                <w:sz w:val="20"/>
                <w:szCs w:val="20"/>
              </w:rPr>
              <w:t>(6)   Planurile de redresare a grupului includ o serie de opțiuni de redresare, stabilind măsuri vizând soluționarea scenariilor menționate la articolul 5 alineatul (6).</w:t>
            </w:r>
          </w:p>
          <w:p w14:paraId="79338C92" w14:textId="77777777" w:rsidR="001E7EB6" w:rsidRPr="00154588" w:rsidRDefault="001E7EB6" w:rsidP="008C12B4">
            <w:pPr>
              <w:jc w:val="both"/>
              <w:rPr>
                <w:bCs/>
                <w:sz w:val="20"/>
                <w:szCs w:val="20"/>
              </w:rPr>
            </w:pPr>
          </w:p>
          <w:p w14:paraId="5AD05636" w14:textId="097D67FA" w:rsidR="001E7EB6" w:rsidRPr="00154588" w:rsidRDefault="001E7EB6" w:rsidP="008C12B4">
            <w:pPr>
              <w:jc w:val="both"/>
              <w:rPr>
                <w:bCs/>
                <w:sz w:val="20"/>
                <w:szCs w:val="20"/>
              </w:rPr>
            </w:pPr>
            <w:r w:rsidRPr="00154588">
              <w:rPr>
                <w:bCs/>
                <w:sz w:val="20"/>
                <w:szCs w:val="20"/>
              </w:rPr>
              <w:t>În cazul fiecărui scenariu, planul de redresare a grupului identifică eventualele obstacole aflate în calea punerii în aplicare a măsurilor de redresare în cadrul grupului, inclusiv la nivelul entităților individuale prevăzute în plan, și eventualele obstacole majore de natură juridică sau practică aflate în calea transferului prompt de fonduri proprii sau a rambursării rapide a datoriilor ori activelor în cadrul grupului.</w:t>
            </w:r>
          </w:p>
        </w:tc>
        <w:tc>
          <w:tcPr>
            <w:tcW w:w="4819" w:type="dxa"/>
          </w:tcPr>
          <w:p w14:paraId="5865A113" w14:textId="30C03068" w:rsidR="001E7EB6" w:rsidRPr="00154588" w:rsidRDefault="001E7EB6" w:rsidP="008C12B4">
            <w:pPr>
              <w:jc w:val="both"/>
              <w:rPr>
                <w:bCs/>
                <w:sz w:val="20"/>
                <w:szCs w:val="20"/>
              </w:rPr>
            </w:pPr>
            <w:r w:rsidRPr="00154588">
              <w:rPr>
                <w:b/>
                <w:sz w:val="20"/>
                <w:szCs w:val="20"/>
              </w:rPr>
              <w:t>Articolul 22</w:t>
            </w:r>
            <w:r w:rsidRPr="00154588">
              <w:rPr>
                <w:b/>
                <w:sz w:val="20"/>
                <w:szCs w:val="20"/>
                <w:vertAlign w:val="superscript"/>
              </w:rPr>
              <w:t>8</w:t>
            </w:r>
            <w:r w:rsidRPr="00154588">
              <w:rPr>
                <w:sz w:val="20"/>
                <w:szCs w:val="20"/>
              </w:rPr>
              <w:t>. – În cazul fiecărui scenariu, întreprinderea-mamă identifică în planul de redresare a grupului, eventualele obstacole aflate în calea punerii în aplicare a măsurilor de redresare în cadrul grupului, inclusiv la nivelul entităților individuale prevăzute în plan, și eventualele obstacole majore de natură juridică sau practică aflate în calea transferului prompt de fonduri proprii sau a rambursării rapide a datoriilor ori a restituirii de active în cadrul grupului.</w:t>
            </w:r>
          </w:p>
        </w:tc>
        <w:tc>
          <w:tcPr>
            <w:tcW w:w="2552" w:type="dxa"/>
          </w:tcPr>
          <w:p w14:paraId="54FF6607" w14:textId="4D6815C8" w:rsidR="001E7EB6" w:rsidRPr="00154588" w:rsidRDefault="00456CF7" w:rsidP="008C12B4">
            <w:pPr>
              <w:jc w:val="both"/>
              <w:rPr>
                <w:bCs/>
                <w:sz w:val="20"/>
                <w:szCs w:val="20"/>
              </w:rPr>
            </w:pPr>
            <w:r w:rsidRPr="00154588">
              <w:rPr>
                <w:bCs/>
                <w:sz w:val="20"/>
                <w:szCs w:val="20"/>
              </w:rPr>
              <w:t>Compatibil</w:t>
            </w:r>
          </w:p>
        </w:tc>
        <w:tc>
          <w:tcPr>
            <w:tcW w:w="3118" w:type="dxa"/>
          </w:tcPr>
          <w:p w14:paraId="64FA010B" w14:textId="77777777" w:rsidR="001E7EB6" w:rsidRPr="00154588" w:rsidRDefault="001E7EB6" w:rsidP="008C12B4">
            <w:pPr>
              <w:jc w:val="both"/>
              <w:rPr>
                <w:bCs/>
                <w:sz w:val="20"/>
                <w:szCs w:val="20"/>
              </w:rPr>
            </w:pPr>
          </w:p>
        </w:tc>
      </w:tr>
      <w:tr w:rsidR="001E7EB6" w:rsidRPr="00154588" w14:paraId="4E9EA82C" w14:textId="77777777" w:rsidTr="00D15C1B">
        <w:trPr>
          <w:jc w:val="center"/>
        </w:trPr>
        <w:tc>
          <w:tcPr>
            <w:tcW w:w="4957" w:type="dxa"/>
            <w:gridSpan w:val="2"/>
          </w:tcPr>
          <w:p w14:paraId="7664FA38" w14:textId="7ECD5E65" w:rsidR="001E7EB6" w:rsidRPr="00154588" w:rsidRDefault="001E7EB6" w:rsidP="008C12B4">
            <w:pPr>
              <w:jc w:val="both"/>
              <w:rPr>
                <w:bCs/>
                <w:sz w:val="20"/>
                <w:szCs w:val="20"/>
              </w:rPr>
            </w:pPr>
            <w:r w:rsidRPr="00154588">
              <w:rPr>
                <w:bCs/>
                <w:sz w:val="20"/>
                <w:szCs w:val="20"/>
              </w:rPr>
              <w:t>(7)   Organul de conducere al entității ce elaborează planul de redresare al grupului în temeiul alineatului (1) evaluează și aprobă planul de redresare a grupului înainte de prezentarea acestuia către supraveghetorul consolidant.</w:t>
            </w:r>
          </w:p>
        </w:tc>
        <w:tc>
          <w:tcPr>
            <w:tcW w:w="4819" w:type="dxa"/>
          </w:tcPr>
          <w:p w14:paraId="22D675DC" w14:textId="3321B110" w:rsidR="001E7EB6" w:rsidRPr="00154588" w:rsidRDefault="001E7EB6" w:rsidP="008C12B4">
            <w:pPr>
              <w:ind w:firstLine="567"/>
              <w:jc w:val="both"/>
              <w:rPr>
                <w:sz w:val="20"/>
                <w:szCs w:val="20"/>
              </w:rPr>
            </w:pPr>
            <w:r w:rsidRPr="00154588">
              <w:rPr>
                <w:rFonts w:eastAsia="Calibri"/>
                <w:b/>
                <w:sz w:val="20"/>
                <w:szCs w:val="20"/>
              </w:rPr>
              <w:t>Articolul 22</w:t>
            </w:r>
            <w:r w:rsidRPr="00154588">
              <w:rPr>
                <w:rFonts w:eastAsia="Calibri"/>
                <w:b/>
                <w:sz w:val="20"/>
                <w:szCs w:val="20"/>
                <w:vertAlign w:val="superscript"/>
              </w:rPr>
              <w:t>9</w:t>
            </w:r>
            <w:r w:rsidRPr="00154588">
              <w:rPr>
                <w:rFonts w:eastAsia="Calibri"/>
                <w:sz w:val="20"/>
                <w:szCs w:val="20"/>
              </w:rPr>
              <w:t>. – Organul de conducere a întreprinderii-mamă ce elaborează planul de redresare al grupului în temeiul art.22</w:t>
            </w:r>
            <w:r w:rsidRPr="00154588">
              <w:rPr>
                <w:rFonts w:eastAsia="Calibri"/>
                <w:sz w:val="20"/>
                <w:szCs w:val="20"/>
                <w:vertAlign w:val="superscript"/>
              </w:rPr>
              <w:t>1</w:t>
            </w:r>
            <w:r w:rsidRPr="00154588">
              <w:rPr>
                <w:rFonts w:eastAsia="Calibri"/>
                <w:sz w:val="20"/>
                <w:szCs w:val="20"/>
              </w:rPr>
              <w:t>, 22</w:t>
            </w:r>
            <w:r w:rsidRPr="00154588">
              <w:rPr>
                <w:rFonts w:eastAsia="Calibri"/>
                <w:sz w:val="20"/>
                <w:szCs w:val="20"/>
                <w:vertAlign w:val="superscript"/>
              </w:rPr>
              <w:t>2</w:t>
            </w:r>
            <w:r w:rsidRPr="00154588">
              <w:rPr>
                <w:rFonts w:eastAsia="Calibri"/>
                <w:sz w:val="20"/>
                <w:szCs w:val="20"/>
              </w:rPr>
              <w:t xml:space="preserve"> sau 22</w:t>
            </w:r>
            <w:r w:rsidRPr="00154588">
              <w:rPr>
                <w:rFonts w:eastAsia="Calibri"/>
                <w:sz w:val="20"/>
                <w:szCs w:val="20"/>
                <w:vertAlign w:val="superscript"/>
              </w:rPr>
              <w:t>3</w:t>
            </w:r>
            <w:r w:rsidRPr="00154588">
              <w:rPr>
                <w:rFonts w:eastAsia="Calibri"/>
                <w:sz w:val="20"/>
                <w:szCs w:val="20"/>
              </w:rPr>
              <w:t xml:space="preserve"> evaluează și aprobă planul de redresare a grupului înainte de transmiterea acestuia către Banca Națională a Moldovei, în calitate de supraveghetor consolidant, sau după caz, supraveghetorului consolidant din alt stat membru al Uniunii Europene.</w:t>
            </w:r>
          </w:p>
        </w:tc>
        <w:tc>
          <w:tcPr>
            <w:tcW w:w="2552" w:type="dxa"/>
          </w:tcPr>
          <w:p w14:paraId="3BB2B869" w14:textId="2D187080" w:rsidR="001E7EB6" w:rsidRPr="00154588" w:rsidRDefault="00456CF7" w:rsidP="008C12B4">
            <w:pPr>
              <w:jc w:val="both"/>
              <w:rPr>
                <w:bCs/>
                <w:sz w:val="20"/>
                <w:szCs w:val="20"/>
              </w:rPr>
            </w:pPr>
            <w:r w:rsidRPr="00154588">
              <w:rPr>
                <w:bCs/>
                <w:sz w:val="20"/>
                <w:szCs w:val="20"/>
              </w:rPr>
              <w:t>Compatibil</w:t>
            </w:r>
          </w:p>
        </w:tc>
        <w:tc>
          <w:tcPr>
            <w:tcW w:w="3118" w:type="dxa"/>
          </w:tcPr>
          <w:p w14:paraId="52595661" w14:textId="77777777" w:rsidR="001E7EB6" w:rsidRPr="00154588" w:rsidRDefault="001E7EB6" w:rsidP="008C12B4">
            <w:pPr>
              <w:jc w:val="both"/>
              <w:rPr>
                <w:bCs/>
                <w:sz w:val="20"/>
                <w:szCs w:val="20"/>
              </w:rPr>
            </w:pPr>
          </w:p>
        </w:tc>
      </w:tr>
      <w:tr w:rsidR="001E7EB6" w:rsidRPr="00154588" w14:paraId="724654B6" w14:textId="77777777" w:rsidTr="00D15C1B">
        <w:trPr>
          <w:jc w:val="center"/>
        </w:trPr>
        <w:tc>
          <w:tcPr>
            <w:tcW w:w="4957" w:type="dxa"/>
            <w:gridSpan w:val="2"/>
          </w:tcPr>
          <w:p w14:paraId="2C3B1982" w14:textId="77777777" w:rsidR="001E7EB6" w:rsidRPr="00154588" w:rsidRDefault="001E7EB6" w:rsidP="008C12B4">
            <w:pPr>
              <w:rPr>
                <w:b/>
                <w:sz w:val="20"/>
                <w:szCs w:val="20"/>
              </w:rPr>
            </w:pPr>
            <w:r w:rsidRPr="00154588">
              <w:rPr>
                <w:b/>
                <w:sz w:val="20"/>
                <w:szCs w:val="20"/>
              </w:rPr>
              <w:t>Articolul 8</w:t>
            </w:r>
          </w:p>
          <w:p w14:paraId="724E53E2" w14:textId="77777777" w:rsidR="001E7EB6" w:rsidRPr="00154588" w:rsidRDefault="001E7EB6" w:rsidP="008C12B4">
            <w:pPr>
              <w:rPr>
                <w:b/>
                <w:sz w:val="20"/>
                <w:szCs w:val="20"/>
              </w:rPr>
            </w:pPr>
          </w:p>
          <w:p w14:paraId="42C1B6BE" w14:textId="41F50621" w:rsidR="001E7EB6" w:rsidRPr="00154588" w:rsidRDefault="001E7EB6" w:rsidP="008C12B4">
            <w:pPr>
              <w:rPr>
                <w:bCs/>
                <w:sz w:val="20"/>
                <w:szCs w:val="20"/>
              </w:rPr>
            </w:pPr>
            <w:r w:rsidRPr="00154588">
              <w:rPr>
                <w:b/>
                <w:sz w:val="20"/>
                <w:szCs w:val="20"/>
              </w:rPr>
              <w:t>Evaluarea planurilor de redresare a grupurilor</w:t>
            </w:r>
          </w:p>
        </w:tc>
        <w:tc>
          <w:tcPr>
            <w:tcW w:w="4819" w:type="dxa"/>
          </w:tcPr>
          <w:p w14:paraId="6BAB3465" w14:textId="77777777" w:rsidR="00456CF7" w:rsidRPr="00154588" w:rsidRDefault="00456CF7" w:rsidP="008C12B4">
            <w:pPr>
              <w:ind w:firstLine="567"/>
              <w:jc w:val="center"/>
              <w:rPr>
                <w:rFonts w:eastAsia="Calibri"/>
                <w:b/>
                <w:sz w:val="20"/>
                <w:szCs w:val="20"/>
                <w:vertAlign w:val="superscript"/>
              </w:rPr>
            </w:pPr>
            <w:r w:rsidRPr="00154588">
              <w:rPr>
                <w:rFonts w:eastAsia="Calibri"/>
                <w:b/>
                <w:sz w:val="20"/>
                <w:szCs w:val="20"/>
              </w:rPr>
              <w:t>Secțiunea 2</w:t>
            </w:r>
            <w:r w:rsidRPr="00154588">
              <w:rPr>
                <w:rFonts w:eastAsia="Calibri"/>
                <w:b/>
                <w:sz w:val="20"/>
                <w:szCs w:val="20"/>
                <w:vertAlign w:val="superscript"/>
              </w:rPr>
              <w:t>2</w:t>
            </w:r>
          </w:p>
          <w:p w14:paraId="52290796" w14:textId="035391C6" w:rsidR="001E7EB6" w:rsidRPr="00154588" w:rsidRDefault="00456CF7" w:rsidP="008C12B4">
            <w:pPr>
              <w:ind w:firstLine="567"/>
              <w:jc w:val="center"/>
              <w:rPr>
                <w:rFonts w:eastAsia="Calibri"/>
                <w:b/>
                <w:sz w:val="20"/>
                <w:szCs w:val="20"/>
              </w:rPr>
            </w:pPr>
            <w:r w:rsidRPr="00154588">
              <w:rPr>
                <w:rFonts w:eastAsia="Calibri"/>
                <w:b/>
                <w:sz w:val="20"/>
                <w:szCs w:val="20"/>
              </w:rPr>
              <w:t>Evaluarea planurilor de redresare a grupurilor</w:t>
            </w:r>
          </w:p>
        </w:tc>
        <w:tc>
          <w:tcPr>
            <w:tcW w:w="2552" w:type="dxa"/>
          </w:tcPr>
          <w:p w14:paraId="3CA89BF4" w14:textId="77777777" w:rsidR="001E7EB6" w:rsidRPr="00154588" w:rsidRDefault="001E7EB6" w:rsidP="008C12B4">
            <w:pPr>
              <w:jc w:val="both"/>
              <w:rPr>
                <w:bCs/>
                <w:sz w:val="20"/>
                <w:szCs w:val="20"/>
              </w:rPr>
            </w:pPr>
          </w:p>
        </w:tc>
        <w:tc>
          <w:tcPr>
            <w:tcW w:w="3118" w:type="dxa"/>
          </w:tcPr>
          <w:p w14:paraId="2B73BB5B" w14:textId="77777777" w:rsidR="001E7EB6" w:rsidRPr="00154588" w:rsidRDefault="001E7EB6" w:rsidP="008C12B4">
            <w:pPr>
              <w:jc w:val="both"/>
              <w:rPr>
                <w:bCs/>
                <w:sz w:val="20"/>
                <w:szCs w:val="20"/>
              </w:rPr>
            </w:pPr>
          </w:p>
        </w:tc>
      </w:tr>
      <w:tr w:rsidR="001E7EB6" w:rsidRPr="00154588" w14:paraId="70E30A4C" w14:textId="77777777" w:rsidTr="00D15C1B">
        <w:trPr>
          <w:jc w:val="center"/>
        </w:trPr>
        <w:tc>
          <w:tcPr>
            <w:tcW w:w="4957" w:type="dxa"/>
            <w:gridSpan w:val="2"/>
          </w:tcPr>
          <w:p w14:paraId="6896E0CB" w14:textId="5175798E" w:rsidR="001E7EB6" w:rsidRPr="00154588" w:rsidRDefault="001E7EB6" w:rsidP="008C12B4">
            <w:pPr>
              <w:jc w:val="both"/>
              <w:rPr>
                <w:bCs/>
                <w:sz w:val="20"/>
                <w:szCs w:val="20"/>
              </w:rPr>
            </w:pPr>
            <w:r w:rsidRPr="00154588">
              <w:rPr>
                <w:bCs/>
                <w:sz w:val="20"/>
                <w:szCs w:val="20"/>
              </w:rPr>
              <w:t>(1)  Supraveghetorul consolidant, împreună cu autoritățile competente ale filialelor, în urma unei consultări cu autoritățile competente menționate la articolul 116 din Directiva 2013/36/UE și cu autoritățile competente ale sucursalelor semnificative în măsura în care este relevant pentru sucursala semnificativă, examinează planul de redresare a grupului și evaluează măsura în care acesta îndeplinește cerințele și criteriile prevăzute la articolele 6 și 7. Această evaluare se efectuează în conformitate cu procedurile stabilite la articolul 6 și cu prezentul articol și ține seama de impactul potențial al măsurilor de redresare asupra stabilității financiare în toate statele membre în care grupul operează.</w:t>
            </w:r>
          </w:p>
        </w:tc>
        <w:tc>
          <w:tcPr>
            <w:tcW w:w="4819" w:type="dxa"/>
          </w:tcPr>
          <w:p w14:paraId="615A115D" w14:textId="77777777" w:rsidR="00456CF7" w:rsidRPr="00154588" w:rsidRDefault="00456CF7" w:rsidP="008C12B4">
            <w:pPr>
              <w:ind w:firstLine="567"/>
              <w:jc w:val="both"/>
              <w:rPr>
                <w:rFonts w:eastAsia="Calibri"/>
                <w:sz w:val="20"/>
                <w:szCs w:val="20"/>
              </w:rPr>
            </w:pPr>
            <w:r w:rsidRPr="00154588">
              <w:rPr>
                <w:rFonts w:eastAsia="Calibri"/>
                <w:b/>
                <w:sz w:val="20"/>
                <w:szCs w:val="20"/>
              </w:rPr>
              <w:t>Articolul 22</w:t>
            </w:r>
            <w:r w:rsidRPr="00154588">
              <w:rPr>
                <w:rFonts w:eastAsia="Calibri"/>
                <w:b/>
                <w:sz w:val="20"/>
                <w:szCs w:val="20"/>
                <w:vertAlign w:val="superscript"/>
              </w:rPr>
              <w:t>10</w:t>
            </w:r>
            <w:r w:rsidRPr="00154588">
              <w:rPr>
                <w:rFonts w:eastAsia="Calibri"/>
                <w:sz w:val="20"/>
                <w:szCs w:val="20"/>
              </w:rPr>
              <w:t>. – (1) Banca Națională a Moldovei, în calitatea de supraveghetor consolidant, împreună cu autoritățile competente ale filialelor, după consultarea autorităților competente menționate la art.112 din Legea nr.202/2017 și cu autoritățile competente ale sucursalelor semnificative, în măsura în care planul de redresare a grupului este relevant pentru sucursalele semnificative, analizează planul de redresare a grupului și evaluează măsura în care acesta îndeplinește cerințele și criteriile prevăzute la art.16-22</w:t>
            </w:r>
            <w:r w:rsidRPr="00154588">
              <w:rPr>
                <w:rFonts w:eastAsia="Calibri"/>
                <w:sz w:val="20"/>
                <w:szCs w:val="20"/>
                <w:vertAlign w:val="superscript"/>
              </w:rPr>
              <w:t>9</w:t>
            </w:r>
            <w:r w:rsidRPr="00154588">
              <w:rPr>
                <w:rFonts w:eastAsia="Calibri"/>
                <w:sz w:val="20"/>
                <w:szCs w:val="20"/>
              </w:rPr>
              <w:t xml:space="preserve">.  </w:t>
            </w:r>
          </w:p>
          <w:p w14:paraId="0D250129" w14:textId="4DC07C3E" w:rsidR="001E7EB6" w:rsidRPr="00154588" w:rsidRDefault="00456CF7" w:rsidP="008C12B4">
            <w:pPr>
              <w:ind w:firstLine="567"/>
              <w:jc w:val="both"/>
              <w:rPr>
                <w:sz w:val="20"/>
                <w:szCs w:val="20"/>
              </w:rPr>
            </w:pPr>
            <w:r w:rsidRPr="00154588">
              <w:rPr>
                <w:rFonts w:eastAsia="Calibri"/>
                <w:sz w:val="20"/>
                <w:szCs w:val="20"/>
              </w:rPr>
              <w:t>(2) Evaluarea prevăzută la alin.(1), se efectuează în conformitate cu procedura stabilită la art.16-22 și dispozițiilor art.22</w:t>
            </w:r>
            <w:r w:rsidRPr="00154588">
              <w:rPr>
                <w:rFonts w:eastAsia="Calibri"/>
                <w:sz w:val="20"/>
                <w:szCs w:val="20"/>
                <w:vertAlign w:val="superscript"/>
              </w:rPr>
              <w:t>11</w:t>
            </w:r>
            <w:r w:rsidRPr="00154588">
              <w:rPr>
                <w:rFonts w:eastAsia="Calibri"/>
                <w:sz w:val="20"/>
                <w:szCs w:val="20"/>
              </w:rPr>
              <w:t>-22</w:t>
            </w:r>
            <w:r w:rsidRPr="00154588">
              <w:rPr>
                <w:rFonts w:eastAsia="Calibri"/>
                <w:sz w:val="20"/>
                <w:szCs w:val="20"/>
                <w:vertAlign w:val="superscript"/>
              </w:rPr>
              <w:t>14</w:t>
            </w:r>
            <w:r w:rsidRPr="00154588">
              <w:rPr>
                <w:rFonts w:eastAsia="Calibri"/>
                <w:sz w:val="20"/>
                <w:szCs w:val="20"/>
              </w:rPr>
              <w:t>, și ține seama de potențialul impact al măsurilor de redresare asupra stabilității financiare în toate statele membre ale Uniunii Europene în care grupul își desfășoară activitatea.</w:t>
            </w:r>
          </w:p>
        </w:tc>
        <w:tc>
          <w:tcPr>
            <w:tcW w:w="2552" w:type="dxa"/>
          </w:tcPr>
          <w:p w14:paraId="20A8C55B" w14:textId="1ED9A688" w:rsidR="001E7EB6" w:rsidRPr="00154588" w:rsidRDefault="004D270D" w:rsidP="008C12B4">
            <w:pPr>
              <w:jc w:val="both"/>
              <w:rPr>
                <w:bCs/>
                <w:sz w:val="20"/>
                <w:szCs w:val="20"/>
              </w:rPr>
            </w:pPr>
            <w:r w:rsidRPr="00154588">
              <w:rPr>
                <w:bCs/>
                <w:sz w:val="20"/>
                <w:szCs w:val="20"/>
              </w:rPr>
              <w:t>Compatibil</w:t>
            </w:r>
          </w:p>
        </w:tc>
        <w:tc>
          <w:tcPr>
            <w:tcW w:w="3118" w:type="dxa"/>
          </w:tcPr>
          <w:p w14:paraId="05A80728" w14:textId="77777777" w:rsidR="001E7EB6" w:rsidRPr="00154588" w:rsidRDefault="001E7EB6" w:rsidP="008C12B4">
            <w:pPr>
              <w:jc w:val="both"/>
              <w:rPr>
                <w:bCs/>
                <w:sz w:val="20"/>
                <w:szCs w:val="20"/>
              </w:rPr>
            </w:pPr>
          </w:p>
        </w:tc>
      </w:tr>
      <w:tr w:rsidR="001E7EB6" w:rsidRPr="00154588" w14:paraId="390C30E2" w14:textId="77777777" w:rsidTr="00D15C1B">
        <w:trPr>
          <w:jc w:val="center"/>
        </w:trPr>
        <w:tc>
          <w:tcPr>
            <w:tcW w:w="4957" w:type="dxa"/>
            <w:gridSpan w:val="2"/>
          </w:tcPr>
          <w:p w14:paraId="65DFDAFD" w14:textId="6514F021" w:rsidR="001E7EB6" w:rsidRPr="00154588" w:rsidRDefault="001E7EB6" w:rsidP="008C12B4">
            <w:pPr>
              <w:tabs>
                <w:tab w:val="left" w:pos="1215"/>
              </w:tabs>
              <w:jc w:val="both"/>
              <w:rPr>
                <w:bCs/>
                <w:sz w:val="20"/>
                <w:szCs w:val="20"/>
              </w:rPr>
            </w:pPr>
            <w:r w:rsidRPr="00154588">
              <w:rPr>
                <w:bCs/>
                <w:sz w:val="20"/>
                <w:szCs w:val="20"/>
              </w:rPr>
              <w:lastRenderedPageBreak/>
              <w:t>(2) Supraveghetorul consolidant și autoritățile competente ale filialelor depun toate eforturile să ajungă la o decizie comună cu privire la:</w:t>
            </w:r>
          </w:p>
          <w:p w14:paraId="62165E8B" w14:textId="77777777" w:rsidR="001E7EB6" w:rsidRPr="00154588" w:rsidRDefault="001E7EB6" w:rsidP="008C12B4">
            <w:pPr>
              <w:tabs>
                <w:tab w:val="left" w:pos="1215"/>
              </w:tabs>
              <w:jc w:val="both"/>
              <w:rPr>
                <w:bCs/>
                <w:sz w:val="20"/>
                <w:szCs w:val="20"/>
              </w:rPr>
            </w:pPr>
          </w:p>
          <w:p w14:paraId="700610F4" w14:textId="4B1790AF" w:rsidR="001E7EB6" w:rsidRPr="00154588" w:rsidRDefault="001E7EB6" w:rsidP="008C12B4">
            <w:pPr>
              <w:tabs>
                <w:tab w:val="left" w:pos="1215"/>
              </w:tabs>
              <w:jc w:val="both"/>
              <w:rPr>
                <w:bCs/>
                <w:sz w:val="20"/>
                <w:szCs w:val="20"/>
              </w:rPr>
            </w:pPr>
            <w:r w:rsidRPr="00154588">
              <w:rPr>
                <w:bCs/>
                <w:sz w:val="20"/>
                <w:szCs w:val="20"/>
              </w:rPr>
              <w:t>(a) examinarea și evaluarea planului de redresare a grupului;</w:t>
            </w:r>
          </w:p>
          <w:p w14:paraId="33C55AB3" w14:textId="77777777" w:rsidR="001E7EB6" w:rsidRPr="00154588" w:rsidRDefault="001E7EB6" w:rsidP="008C12B4">
            <w:pPr>
              <w:tabs>
                <w:tab w:val="left" w:pos="1215"/>
              </w:tabs>
              <w:jc w:val="both"/>
              <w:rPr>
                <w:bCs/>
                <w:sz w:val="20"/>
                <w:szCs w:val="20"/>
              </w:rPr>
            </w:pPr>
          </w:p>
          <w:p w14:paraId="5AEA034D" w14:textId="78293CE4" w:rsidR="001E7EB6" w:rsidRPr="00154588" w:rsidRDefault="001E7EB6" w:rsidP="008C12B4">
            <w:pPr>
              <w:tabs>
                <w:tab w:val="left" w:pos="1215"/>
              </w:tabs>
              <w:jc w:val="both"/>
              <w:rPr>
                <w:bCs/>
                <w:sz w:val="20"/>
                <w:szCs w:val="20"/>
              </w:rPr>
            </w:pPr>
            <w:r w:rsidRPr="00154588">
              <w:rPr>
                <w:bCs/>
                <w:sz w:val="20"/>
                <w:szCs w:val="20"/>
              </w:rPr>
              <w:t>(b) elaborarea sau nu a unui plan de redresare pe bază individuală pentru instituțiile care fac parte din grup; și</w:t>
            </w:r>
          </w:p>
          <w:p w14:paraId="5E8D9915" w14:textId="77777777" w:rsidR="001E7EB6" w:rsidRPr="00154588" w:rsidRDefault="001E7EB6" w:rsidP="008C12B4">
            <w:pPr>
              <w:tabs>
                <w:tab w:val="left" w:pos="1215"/>
              </w:tabs>
              <w:jc w:val="both"/>
              <w:rPr>
                <w:bCs/>
                <w:sz w:val="20"/>
                <w:szCs w:val="20"/>
              </w:rPr>
            </w:pPr>
          </w:p>
          <w:p w14:paraId="3EE4A604" w14:textId="6111EB0A" w:rsidR="001E7EB6" w:rsidRPr="00154588" w:rsidRDefault="001E7EB6" w:rsidP="008C12B4">
            <w:pPr>
              <w:tabs>
                <w:tab w:val="left" w:pos="1215"/>
              </w:tabs>
              <w:jc w:val="both"/>
              <w:rPr>
                <w:bCs/>
                <w:sz w:val="20"/>
                <w:szCs w:val="20"/>
              </w:rPr>
            </w:pPr>
            <w:r w:rsidRPr="00154588">
              <w:rPr>
                <w:bCs/>
                <w:sz w:val="20"/>
                <w:szCs w:val="20"/>
              </w:rPr>
              <w:t>(c) aplicarea măsurilor menționate la articolul 6 alineatele (5) și (6).</w:t>
            </w:r>
          </w:p>
          <w:p w14:paraId="64C1B3A7" w14:textId="77777777" w:rsidR="001E7EB6" w:rsidRPr="00154588" w:rsidRDefault="001E7EB6" w:rsidP="008C12B4">
            <w:pPr>
              <w:tabs>
                <w:tab w:val="left" w:pos="1215"/>
              </w:tabs>
              <w:jc w:val="both"/>
              <w:rPr>
                <w:bCs/>
                <w:sz w:val="20"/>
                <w:szCs w:val="20"/>
              </w:rPr>
            </w:pPr>
          </w:p>
          <w:p w14:paraId="76160374" w14:textId="77777777" w:rsidR="001E7EB6" w:rsidRPr="00154588" w:rsidRDefault="001E7EB6" w:rsidP="008C12B4">
            <w:pPr>
              <w:tabs>
                <w:tab w:val="left" w:pos="1215"/>
              </w:tabs>
              <w:jc w:val="both"/>
              <w:rPr>
                <w:bCs/>
                <w:sz w:val="20"/>
                <w:szCs w:val="20"/>
              </w:rPr>
            </w:pPr>
            <w:r w:rsidRPr="00154588">
              <w:rPr>
                <w:bCs/>
                <w:sz w:val="20"/>
                <w:szCs w:val="20"/>
              </w:rPr>
              <w:t>Părțile depun toate eforturile pentru a ajunge la o decizie comună în termen de patru luni de la data transmiterii de către supraveghetorul consolidant a planului de redresare a grupului, în conformitate cu articolul 7 alineatul (3).</w:t>
            </w:r>
          </w:p>
          <w:p w14:paraId="458F67A9" w14:textId="77777777" w:rsidR="001E7EB6" w:rsidRPr="00154588" w:rsidRDefault="001E7EB6" w:rsidP="008C12B4">
            <w:pPr>
              <w:tabs>
                <w:tab w:val="left" w:pos="1215"/>
              </w:tabs>
              <w:jc w:val="both"/>
              <w:rPr>
                <w:bCs/>
                <w:sz w:val="20"/>
                <w:szCs w:val="20"/>
              </w:rPr>
            </w:pPr>
          </w:p>
          <w:p w14:paraId="0C6E8615" w14:textId="3081A473" w:rsidR="001E7EB6" w:rsidRPr="00154588" w:rsidRDefault="001E7EB6" w:rsidP="008C12B4">
            <w:pPr>
              <w:tabs>
                <w:tab w:val="left" w:pos="1215"/>
              </w:tabs>
              <w:jc w:val="both"/>
              <w:rPr>
                <w:bCs/>
                <w:sz w:val="20"/>
                <w:szCs w:val="20"/>
              </w:rPr>
            </w:pPr>
            <w:r w:rsidRPr="00154588">
              <w:rPr>
                <w:bCs/>
                <w:sz w:val="20"/>
                <w:szCs w:val="20"/>
              </w:rPr>
              <w:t xml:space="preserve">ABE poate, la cererea unei autorități competente, să </w:t>
            </w:r>
            <w:r w:rsidR="006B43C9" w:rsidRPr="00154588">
              <w:rPr>
                <w:bCs/>
                <w:sz w:val="20"/>
                <w:szCs w:val="20"/>
              </w:rPr>
              <w:t>ajute</w:t>
            </w:r>
            <w:r w:rsidRPr="00154588">
              <w:rPr>
                <w:bCs/>
                <w:sz w:val="20"/>
                <w:szCs w:val="20"/>
              </w:rPr>
              <w:t xml:space="preserve"> autoritățil</w:t>
            </w:r>
            <w:r w:rsidR="006B43C9" w:rsidRPr="00154588">
              <w:rPr>
                <w:bCs/>
                <w:sz w:val="20"/>
                <w:szCs w:val="20"/>
              </w:rPr>
              <w:t>e</w:t>
            </w:r>
            <w:r w:rsidRPr="00154588">
              <w:rPr>
                <w:bCs/>
                <w:sz w:val="20"/>
                <w:szCs w:val="20"/>
              </w:rPr>
              <w:t xml:space="preserve"> competente</w:t>
            </w:r>
            <w:r w:rsidR="006B43C9" w:rsidRPr="00154588">
              <w:rPr>
                <w:bCs/>
                <w:sz w:val="20"/>
                <w:szCs w:val="20"/>
              </w:rPr>
              <w:t xml:space="preserve"> să ajungă la o </w:t>
            </w:r>
            <w:r w:rsidRPr="00154588">
              <w:rPr>
                <w:bCs/>
                <w:sz w:val="20"/>
                <w:szCs w:val="20"/>
              </w:rPr>
              <w:t xml:space="preserve"> decizi</w:t>
            </w:r>
            <w:r w:rsidR="006B43C9" w:rsidRPr="00154588">
              <w:rPr>
                <w:bCs/>
                <w:sz w:val="20"/>
                <w:szCs w:val="20"/>
              </w:rPr>
              <w:t>e</w:t>
            </w:r>
            <w:r w:rsidRPr="00154588">
              <w:rPr>
                <w:bCs/>
                <w:sz w:val="20"/>
                <w:szCs w:val="20"/>
              </w:rPr>
              <w:t xml:space="preserve"> comun</w:t>
            </w:r>
            <w:r w:rsidR="006B43C9" w:rsidRPr="00154588">
              <w:rPr>
                <w:bCs/>
                <w:sz w:val="20"/>
                <w:szCs w:val="20"/>
              </w:rPr>
              <w:t>ă</w:t>
            </w:r>
            <w:r w:rsidRPr="00154588">
              <w:rPr>
                <w:bCs/>
                <w:sz w:val="20"/>
                <w:szCs w:val="20"/>
              </w:rPr>
              <w:t xml:space="preserve"> în conformitate cu articolul 31 litera (c) din Regulamentul (UE) nr. 1093/2010.</w:t>
            </w:r>
          </w:p>
        </w:tc>
        <w:tc>
          <w:tcPr>
            <w:tcW w:w="4819" w:type="dxa"/>
          </w:tcPr>
          <w:p w14:paraId="24DDB04C" w14:textId="77777777" w:rsidR="00456CF7" w:rsidRPr="00154588" w:rsidRDefault="00456CF7" w:rsidP="008C12B4">
            <w:pPr>
              <w:ind w:firstLine="567"/>
              <w:jc w:val="both"/>
              <w:rPr>
                <w:rFonts w:eastAsia="Calibri"/>
                <w:sz w:val="20"/>
                <w:szCs w:val="20"/>
              </w:rPr>
            </w:pPr>
            <w:r w:rsidRPr="00154588">
              <w:rPr>
                <w:rFonts w:eastAsia="Calibri"/>
                <w:b/>
                <w:sz w:val="20"/>
                <w:szCs w:val="20"/>
              </w:rPr>
              <w:t>Articolul 22</w:t>
            </w:r>
            <w:r w:rsidRPr="00154588">
              <w:rPr>
                <w:rFonts w:eastAsia="Calibri"/>
                <w:b/>
                <w:sz w:val="20"/>
                <w:szCs w:val="20"/>
                <w:vertAlign w:val="superscript"/>
              </w:rPr>
              <w:t>11</w:t>
            </w:r>
            <w:r w:rsidRPr="00154588">
              <w:rPr>
                <w:rFonts w:eastAsia="Calibri"/>
                <w:sz w:val="20"/>
                <w:szCs w:val="20"/>
              </w:rPr>
              <w:t>. – (1) Banca Națională a Moldovei, în calitatea de supraveghetor consolidant, depune toate eforturile pentru a adopta o decizie comună împreună cu autoritățile competente ale filialelor, într-un termen de patru luni de la data transmiterii a planului de redresare a grupului, în conformitate cu prevederile art.22</w:t>
            </w:r>
            <w:r w:rsidRPr="00154588">
              <w:rPr>
                <w:rFonts w:eastAsia="Calibri"/>
                <w:sz w:val="20"/>
                <w:szCs w:val="20"/>
                <w:vertAlign w:val="superscript"/>
              </w:rPr>
              <w:t xml:space="preserve">5 </w:t>
            </w:r>
            <w:r w:rsidRPr="00154588">
              <w:rPr>
                <w:rFonts w:eastAsia="Calibri"/>
                <w:sz w:val="20"/>
                <w:szCs w:val="20"/>
              </w:rPr>
              <w:t>cu privire la:</w:t>
            </w:r>
          </w:p>
          <w:p w14:paraId="67C11505" w14:textId="77777777" w:rsidR="00456CF7" w:rsidRPr="00154588" w:rsidRDefault="00456CF7" w:rsidP="008C12B4">
            <w:pPr>
              <w:ind w:firstLine="567"/>
              <w:jc w:val="both"/>
              <w:rPr>
                <w:rFonts w:eastAsia="Calibri"/>
                <w:sz w:val="20"/>
                <w:szCs w:val="20"/>
              </w:rPr>
            </w:pPr>
            <w:r w:rsidRPr="00154588">
              <w:rPr>
                <w:rFonts w:eastAsia="Calibri"/>
                <w:sz w:val="20"/>
                <w:szCs w:val="20"/>
              </w:rPr>
              <w:t>a) examinarea și evaluarea planului de redresare a grupului;</w:t>
            </w:r>
          </w:p>
          <w:p w14:paraId="7550509B" w14:textId="77777777" w:rsidR="00456CF7" w:rsidRPr="00154588" w:rsidRDefault="00456CF7" w:rsidP="008C12B4">
            <w:pPr>
              <w:ind w:firstLine="567"/>
              <w:jc w:val="both"/>
              <w:rPr>
                <w:rFonts w:eastAsia="Calibri"/>
                <w:sz w:val="20"/>
                <w:szCs w:val="20"/>
              </w:rPr>
            </w:pPr>
            <w:r w:rsidRPr="00154588">
              <w:rPr>
                <w:rFonts w:eastAsia="Calibri"/>
                <w:sz w:val="20"/>
                <w:szCs w:val="20"/>
              </w:rPr>
              <w:t>b) necesitatea elaborării unor planuri de redresare pe bază individuală pentru instituțiile care fac parte din grup;</w:t>
            </w:r>
          </w:p>
          <w:p w14:paraId="25314AD0" w14:textId="77777777" w:rsidR="00456CF7" w:rsidRPr="00154588" w:rsidRDefault="00456CF7" w:rsidP="008C12B4">
            <w:pPr>
              <w:ind w:firstLine="567"/>
              <w:jc w:val="both"/>
              <w:rPr>
                <w:rFonts w:eastAsia="Calibri"/>
                <w:sz w:val="20"/>
                <w:szCs w:val="20"/>
              </w:rPr>
            </w:pPr>
            <w:r w:rsidRPr="00154588">
              <w:rPr>
                <w:rFonts w:eastAsia="Calibri"/>
                <w:sz w:val="20"/>
                <w:szCs w:val="20"/>
              </w:rPr>
              <w:t>c) aplicarea măsurilor prevăzute la art.20 și 21.</w:t>
            </w:r>
          </w:p>
          <w:p w14:paraId="20450268" w14:textId="7D2E4C81" w:rsidR="001E7EB6" w:rsidRPr="00154588" w:rsidRDefault="00456CF7" w:rsidP="008C12B4">
            <w:pPr>
              <w:ind w:firstLine="567"/>
              <w:jc w:val="both"/>
              <w:rPr>
                <w:sz w:val="20"/>
                <w:szCs w:val="20"/>
              </w:rPr>
            </w:pPr>
            <w:r w:rsidRPr="00154588">
              <w:rPr>
                <w:rFonts w:eastAsia="Calibri"/>
                <w:sz w:val="20"/>
                <w:szCs w:val="20"/>
              </w:rPr>
              <w:t>(2) Banca Națională a Moldovei în calitate de autoritate competentă,  poate solicita Autorității Bancare Europene acordarea de asistență autorităților competente prevăzute la alin.(1), în cazul unui dezacord între acestea, pentru luarea unei decizii comune.</w:t>
            </w:r>
          </w:p>
        </w:tc>
        <w:tc>
          <w:tcPr>
            <w:tcW w:w="2552" w:type="dxa"/>
          </w:tcPr>
          <w:p w14:paraId="6D82B0A8" w14:textId="484875BD" w:rsidR="001E7EB6" w:rsidRPr="00154588" w:rsidRDefault="004D270D" w:rsidP="008C12B4">
            <w:pPr>
              <w:jc w:val="both"/>
              <w:rPr>
                <w:bCs/>
                <w:sz w:val="20"/>
                <w:szCs w:val="20"/>
              </w:rPr>
            </w:pPr>
            <w:r w:rsidRPr="00154588">
              <w:rPr>
                <w:bCs/>
                <w:sz w:val="20"/>
                <w:szCs w:val="20"/>
              </w:rPr>
              <w:t>Compatibil</w:t>
            </w:r>
          </w:p>
        </w:tc>
        <w:tc>
          <w:tcPr>
            <w:tcW w:w="3118" w:type="dxa"/>
          </w:tcPr>
          <w:p w14:paraId="49C00315" w14:textId="77777777" w:rsidR="001E7EB6" w:rsidRPr="00154588" w:rsidRDefault="001E7EB6" w:rsidP="008C12B4">
            <w:pPr>
              <w:jc w:val="both"/>
              <w:rPr>
                <w:bCs/>
                <w:sz w:val="20"/>
                <w:szCs w:val="20"/>
              </w:rPr>
            </w:pPr>
          </w:p>
        </w:tc>
      </w:tr>
      <w:tr w:rsidR="001E7EB6" w:rsidRPr="00154588" w14:paraId="66FD6EF0" w14:textId="77777777" w:rsidTr="00D15C1B">
        <w:trPr>
          <w:jc w:val="center"/>
        </w:trPr>
        <w:tc>
          <w:tcPr>
            <w:tcW w:w="4957" w:type="dxa"/>
            <w:gridSpan w:val="2"/>
          </w:tcPr>
          <w:p w14:paraId="35D581E1" w14:textId="77777777" w:rsidR="001E7EB6" w:rsidRPr="00154588" w:rsidRDefault="001E7EB6" w:rsidP="008C12B4">
            <w:pPr>
              <w:jc w:val="both"/>
              <w:rPr>
                <w:bCs/>
                <w:sz w:val="20"/>
                <w:szCs w:val="20"/>
              </w:rPr>
            </w:pPr>
            <w:r w:rsidRPr="00154588">
              <w:rPr>
                <w:bCs/>
                <w:sz w:val="20"/>
                <w:szCs w:val="20"/>
              </w:rPr>
              <w:t>(3)   În absența unei decizii comune luate de autoritățile competente, în termen de patru luni de la data transmiterii, cu privire la examinarea și evaluarea planului de redresare a grupului sau la orice măsuri pe care întreprinderea-mamă din Uniune are obligația să le ia în conformitate cu articolul 6 alineatele (5) și (6), supraveghetorul consolidant ia propria decizie în ceea ce privește aceste chestiuni. Supraveghetorul consolidant adoptă decizia ținând cont de opiniile și rezervele celorlalte autorități competente, exprimate în termenul de patru luni. Supraveghetorul consolidant notifică decizia întreprinderii-mamă din Uniune și celorlalte autorități competente.</w:t>
            </w:r>
          </w:p>
          <w:p w14:paraId="09AC4758" w14:textId="77777777" w:rsidR="001E7EB6" w:rsidRPr="00154588" w:rsidRDefault="001E7EB6" w:rsidP="008C12B4">
            <w:pPr>
              <w:jc w:val="both"/>
              <w:rPr>
                <w:bCs/>
                <w:sz w:val="20"/>
                <w:szCs w:val="20"/>
              </w:rPr>
            </w:pPr>
          </w:p>
          <w:p w14:paraId="2A30BD6E" w14:textId="77777777" w:rsidR="001E7EB6" w:rsidRPr="00154588" w:rsidRDefault="001E7EB6" w:rsidP="008C12B4">
            <w:pPr>
              <w:jc w:val="both"/>
              <w:rPr>
                <w:bCs/>
                <w:sz w:val="20"/>
                <w:szCs w:val="20"/>
              </w:rPr>
            </w:pPr>
          </w:p>
          <w:p w14:paraId="69EC21EF" w14:textId="77777777" w:rsidR="001E7EB6" w:rsidRPr="00154588" w:rsidRDefault="001E7EB6" w:rsidP="008C12B4">
            <w:pPr>
              <w:jc w:val="both"/>
              <w:rPr>
                <w:bCs/>
                <w:sz w:val="20"/>
                <w:szCs w:val="20"/>
              </w:rPr>
            </w:pPr>
          </w:p>
          <w:p w14:paraId="54CFBF8A" w14:textId="77777777" w:rsidR="001E7EB6" w:rsidRPr="00154588" w:rsidRDefault="001E7EB6" w:rsidP="008C12B4">
            <w:pPr>
              <w:jc w:val="both"/>
              <w:rPr>
                <w:bCs/>
                <w:sz w:val="20"/>
                <w:szCs w:val="20"/>
              </w:rPr>
            </w:pPr>
          </w:p>
          <w:p w14:paraId="0E867E42" w14:textId="4A4388FB" w:rsidR="001E7EB6" w:rsidRPr="00154588" w:rsidRDefault="001E7EB6" w:rsidP="008C12B4">
            <w:pPr>
              <w:jc w:val="both"/>
              <w:rPr>
                <w:bCs/>
                <w:sz w:val="20"/>
                <w:szCs w:val="20"/>
              </w:rPr>
            </w:pPr>
            <w:r w:rsidRPr="00154588">
              <w:rPr>
                <w:bCs/>
                <w:sz w:val="20"/>
                <w:szCs w:val="20"/>
              </w:rPr>
              <w:t xml:space="preserve">Dacă, până la finalul respectivei perioade de patru luni, oricare dintre autoritățile competente menționate la alineatul (2) a adus în atenția ABE o problemă menționată la alineatul (7), în conformitate cu articolul 19 din Regulamentul (UE) nr. 1093/2010, supraveghetorul consolidant își amână decizia și așteaptă decizia luată de ABE în conformitate cu articolul 19 alineatul (3) din </w:t>
            </w:r>
            <w:r w:rsidRPr="00154588">
              <w:rPr>
                <w:bCs/>
                <w:sz w:val="20"/>
                <w:szCs w:val="20"/>
              </w:rPr>
              <w:lastRenderedPageBreak/>
              <w:t>regulamentul menționat, adoptând ulterior propria sa decizie în conformitate cu decizia ABE. Perioada de patru luni este considerată a fi perioada de conciliere în înțelesul regulamentului menționat. ABE adoptă propria decizie în termen de o lună. Problema nu poate fi adusă în atenția ABE după expirarea perioadei de patru luni sau după ce s-a ajuns la o decizie comună. În absența unei decizii a ABE în termen de o lună, se aplică decizia supraveghetorului consolidant.</w:t>
            </w:r>
          </w:p>
        </w:tc>
        <w:tc>
          <w:tcPr>
            <w:tcW w:w="4819" w:type="dxa"/>
          </w:tcPr>
          <w:p w14:paraId="4681F5FC" w14:textId="77777777" w:rsidR="00456CF7" w:rsidRPr="00154588" w:rsidRDefault="00456CF7" w:rsidP="008C12B4">
            <w:pPr>
              <w:ind w:firstLine="567"/>
              <w:jc w:val="both"/>
              <w:rPr>
                <w:rFonts w:eastAsia="Calibri"/>
                <w:sz w:val="20"/>
                <w:szCs w:val="20"/>
              </w:rPr>
            </w:pPr>
            <w:r w:rsidRPr="00154588">
              <w:rPr>
                <w:rFonts w:eastAsia="Calibri"/>
                <w:b/>
                <w:sz w:val="20"/>
                <w:szCs w:val="20"/>
              </w:rPr>
              <w:lastRenderedPageBreak/>
              <w:t>Articolul 22</w:t>
            </w:r>
            <w:r w:rsidRPr="00154588">
              <w:rPr>
                <w:rFonts w:eastAsia="Calibri"/>
                <w:b/>
                <w:sz w:val="20"/>
                <w:szCs w:val="20"/>
                <w:vertAlign w:val="superscript"/>
              </w:rPr>
              <w:t>12</w:t>
            </w:r>
            <w:r w:rsidRPr="00154588">
              <w:rPr>
                <w:rFonts w:eastAsia="Calibri"/>
                <w:sz w:val="20"/>
                <w:szCs w:val="20"/>
              </w:rPr>
              <w:t>. – (1) În absența unei decizii comune luate în termen de patru luni prevăzut la art.22</w:t>
            </w:r>
            <w:r w:rsidRPr="00154588">
              <w:rPr>
                <w:rFonts w:eastAsia="Calibri"/>
                <w:sz w:val="20"/>
                <w:szCs w:val="20"/>
                <w:vertAlign w:val="superscript"/>
              </w:rPr>
              <w:t>11</w:t>
            </w:r>
            <w:r w:rsidRPr="00154588">
              <w:rPr>
                <w:rFonts w:eastAsia="Calibri"/>
                <w:sz w:val="20"/>
                <w:szCs w:val="20"/>
              </w:rPr>
              <w:t xml:space="preserve"> alin.(1), de către autoritățile competente, cu privire la examinarea și evaluarea planului de redresare a grupului sau cu privire la orice măsuri pe care întreprinderea-mamă din Uniunea Europeană are obligația să le ia în conformitate cu art.20-21, Banca Națională a Moldovei în calitate de supraveghetor consolidant, adoptă propria decizia ținând cont de opiniile și rezervele celorlalte autorități competente, exprimate în termenul de patru luni și notifică decizia întreprinderii-mamă din Uniunea Europeană și celorlalte autorități competente ale filialelor. </w:t>
            </w:r>
          </w:p>
          <w:p w14:paraId="02C69B18" w14:textId="77777777" w:rsidR="00456CF7" w:rsidRPr="00154588" w:rsidRDefault="00456CF7" w:rsidP="008C12B4">
            <w:pPr>
              <w:ind w:firstLine="567"/>
              <w:jc w:val="both"/>
              <w:rPr>
                <w:rFonts w:eastAsia="Calibri"/>
                <w:sz w:val="20"/>
                <w:szCs w:val="20"/>
              </w:rPr>
            </w:pPr>
            <w:r w:rsidRPr="00154588">
              <w:rPr>
                <w:rFonts w:eastAsia="Calibri"/>
                <w:sz w:val="20"/>
                <w:szCs w:val="20"/>
              </w:rPr>
              <w:t>(2) Dacă, până la finalul respectivei perioade de patru luni, oricare dintre autoritățile competente menționate la art.22</w:t>
            </w:r>
            <w:r w:rsidRPr="00154588">
              <w:rPr>
                <w:rFonts w:eastAsia="Calibri"/>
                <w:sz w:val="20"/>
                <w:szCs w:val="20"/>
                <w:vertAlign w:val="superscript"/>
              </w:rPr>
              <w:t>11</w:t>
            </w:r>
            <w:r w:rsidRPr="00154588">
              <w:rPr>
                <w:rFonts w:eastAsia="Calibri"/>
                <w:sz w:val="20"/>
                <w:szCs w:val="20"/>
              </w:rPr>
              <w:t xml:space="preserve"> se adresează Autorității Bancare Europene, în </w:t>
            </w:r>
            <w:r w:rsidRPr="00154588" w:rsidDel="00B72AF0">
              <w:rPr>
                <w:rFonts w:eastAsia="Calibri"/>
                <w:sz w:val="20"/>
                <w:szCs w:val="20"/>
              </w:rPr>
              <w:t xml:space="preserve">conformitate cu art.19 din Regulamentul (UE) nr.1093/2010, </w:t>
            </w:r>
            <w:r w:rsidRPr="00154588">
              <w:rPr>
                <w:rFonts w:eastAsia="Calibri"/>
                <w:sz w:val="20"/>
                <w:szCs w:val="20"/>
              </w:rPr>
              <w:t xml:space="preserve">în legătură cu evaluarea planurilor de redresare și cu implementarea măsurilor prevăzute la art.21 alin.(4) lit.a), b) și d), Banca Națională în calitate de supraveghetor consolidant, își amână propria decizie și așteaptă decizia luată de Autoritatea Bancară Europeană </w:t>
            </w:r>
            <w:r w:rsidRPr="00154588" w:rsidDel="00B72AF0">
              <w:rPr>
                <w:rFonts w:eastAsia="Calibri"/>
                <w:sz w:val="20"/>
                <w:szCs w:val="20"/>
              </w:rPr>
              <w:t>în conformitate cu art.19 alin.(3) din regulamentul menționat</w:t>
            </w:r>
            <w:r w:rsidRPr="00154588">
              <w:rPr>
                <w:rFonts w:eastAsia="Calibri"/>
                <w:sz w:val="20"/>
                <w:szCs w:val="20"/>
              </w:rPr>
              <w:t>.</w:t>
            </w:r>
          </w:p>
          <w:p w14:paraId="18389354" w14:textId="77777777" w:rsidR="00456CF7" w:rsidRPr="00154588" w:rsidRDefault="00456CF7" w:rsidP="008C12B4">
            <w:pPr>
              <w:ind w:firstLine="567"/>
              <w:jc w:val="both"/>
              <w:rPr>
                <w:rFonts w:eastAsia="Calibri"/>
                <w:sz w:val="20"/>
                <w:szCs w:val="20"/>
              </w:rPr>
            </w:pPr>
            <w:r w:rsidRPr="00154588">
              <w:rPr>
                <w:rFonts w:eastAsia="Calibri"/>
                <w:sz w:val="20"/>
                <w:szCs w:val="20"/>
              </w:rPr>
              <w:lastRenderedPageBreak/>
              <w:t xml:space="preserve">(3) Perioada de patru luni este considerată a fi perioada de conciliere </w:t>
            </w:r>
            <w:r w:rsidRPr="00154588" w:rsidDel="000F7515">
              <w:rPr>
                <w:rFonts w:eastAsia="Calibri"/>
                <w:sz w:val="20"/>
                <w:szCs w:val="20"/>
              </w:rPr>
              <w:t xml:space="preserve">în înțelesul </w:t>
            </w:r>
            <w:r w:rsidRPr="00154588" w:rsidDel="004A0319">
              <w:rPr>
                <w:rFonts w:eastAsia="Calibri"/>
                <w:sz w:val="20"/>
                <w:szCs w:val="20"/>
              </w:rPr>
              <w:t>art.19 din Regulamentul (UE) nr.1093/2010</w:t>
            </w:r>
            <w:r w:rsidRPr="00154588">
              <w:rPr>
                <w:rFonts w:eastAsia="Calibri"/>
                <w:sz w:val="20"/>
                <w:szCs w:val="20"/>
              </w:rPr>
              <w:t xml:space="preserve">. </w:t>
            </w:r>
          </w:p>
          <w:p w14:paraId="4D78CC6B" w14:textId="77777777" w:rsidR="00456CF7" w:rsidRPr="00154588" w:rsidRDefault="00456CF7" w:rsidP="008C12B4">
            <w:pPr>
              <w:ind w:firstLine="567"/>
              <w:jc w:val="both"/>
              <w:rPr>
                <w:rFonts w:eastAsia="Calibri"/>
                <w:kern w:val="2"/>
                <w:sz w:val="20"/>
                <w:szCs w:val="20"/>
                <w14:ligatures w14:val="standardContextual"/>
              </w:rPr>
            </w:pPr>
            <w:r w:rsidRPr="00154588">
              <w:rPr>
                <w:rFonts w:eastAsia="Calibri"/>
                <w:sz w:val="20"/>
                <w:szCs w:val="20"/>
              </w:rPr>
              <w:t>(4) Banca Națională a Moldovei, în calitate de supraveghetor consolidant, ține cont la adoptarea propriei decizii, de decizia Autorității Bancare Europene adoptate în termen de o lună.</w:t>
            </w:r>
          </w:p>
          <w:p w14:paraId="2E46F99E" w14:textId="77777777" w:rsidR="00456CF7" w:rsidRPr="00154588" w:rsidRDefault="00456CF7" w:rsidP="008C12B4">
            <w:pPr>
              <w:ind w:firstLine="567"/>
              <w:jc w:val="both"/>
              <w:rPr>
                <w:rFonts w:eastAsia="Calibri"/>
                <w:kern w:val="2"/>
                <w:sz w:val="20"/>
                <w:szCs w:val="20"/>
                <w14:ligatures w14:val="standardContextual"/>
              </w:rPr>
            </w:pPr>
            <w:r w:rsidRPr="00154588">
              <w:rPr>
                <w:rFonts w:eastAsia="Calibri"/>
                <w:sz w:val="20"/>
                <w:szCs w:val="20"/>
              </w:rPr>
              <w:t>(5) După expirarea termenului de patru luni, prevăzut la alin.(3) sau după ce s-a ajuns la o decizie comună, Banca Națională a Moldovei, în calitate de supraveghetor consolidant, nu se mai poate adresa Autorității Bancare Europene în legătură cu evaluarea planurilor de redresare și cu implementarea măsurilor prevăzute la art.21 alin.(4) lit.a), b) și d).</w:t>
            </w:r>
          </w:p>
          <w:p w14:paraId="0070476C" w14:textId="73E2E695" w:rsidR="001E7EB6" w:rsidRPr="00154588" w:rsidRDefault="00456CF7" w:rsidP="008C12B4">
            <w:pPr>
              <w:jc w:val="both"/>
              <w:rPr>
                <w:bCs/>
                <w:sz w:val="20"/>
                <w:szCs w:val="20"/>
              </w:rPr>
            </w:pPr>
            <w:r w:rsidRPr="00154588">
              <w:rPr>
                <w:rFonts w:eastAsia="Calibri"/>
                <w:sz w:val="20"/>
                <w:szCs w:val="20"/>
              </w:rPr>
              <w:t>(6) În absența unei decizii a Autorității Bancare Europene, în termen de o lună de la expirarea termenului de conciliere prevăzut la alin.(3), se aplică decizia Băncii Naționale a Moldovei, în calitate de supraveghetor consolidant.</w:t>
            </w:r>
          </w:p>
        </w:tc>
        <w:tc>
          <w:tcPr>
            <w:tcW w:w="2552" w:type="dxa"/>
          </w:tcPr>
          <w:p w14:paraId="7299FE3D" w14:textId="0966D00F" w:rsidR="001E7EB6" w:rsidRPr="00154588" w:rsidRDefault="004D270D" w:rsidP="008C12B4">
            <w:pPr>
              <w:jc w:val="both"/>
              <w:rPr>
                <w:bCs/>
                <w:sz w:val="20"/>
                <w:szCs w:val="20"/>
              </w:rPr>
            </w:pPr>
            <w:r w:rsidRPr="00154588">
              <w:rPr>
                <w:bCs/>
                <w:sz w:val="20"/>
                <w:szCs w:val="20"/>
              </w:rPr>
              <w:lastRenderedPageBreak/>
              <w:t>Compatibil</w:t>
            </w:r>
          </w:p>
        </w:tc>
        <w:tc>
          <w:tcPr>
            <w:tcW w:w="3118" w:type="dxa"/>
          </w:tcPr>
          <w:p w14:paraId="18BB55AF" w14:textId="77777777" w:rsidR="001E7EB6" w:rsidRPr="00154588" w:rsidRDefault="001E7EB6" w:rsidP="008C12B4">
            <w:pPr>
              <w:jc w:val="both"/>
              <w:rPr>
                <w:bCs/>
                <w:sz w:val="20"/>
                <w:szCs w:val="20"/>
              </w:rPr>
            </w:pPr>
          </w:p>
        </w:tc>
      </w:tr>
      <w:tr w:rsidR="001E7EB6" w:rsidRPr="00154588" w14:paraId="25BD2FEA" w14:textId="77777777" w:rsidTr="00D15C1B">
        <w:trPr>
          <w:jc w:val="center"/>
        </w:trPr>
        <w:tc>
          <w:tcPr>
            <w:tcW w:w="4957" w:type="dxa"/>
            <w:gridSpan w:val="2"/>
          </w:tcPr>
          <w:p w14:paraId="174E545D" w14:textId="77777777" w:rsidR="001E7EB6" w:rsidRPr="00154588" w:rsidRDefault="001E7EB6" w:rsidP="008C12B4">
            <w:pPr>
              <w:jc w:val="both"/>
              <w:rPr>
                <w:bCs/>
                <w:sz w:val="20"/>
                <w:szCs w:val="20"/>
              </w:rPr>
            </w:pPr>
            <w:r w:rsidRPr="00154588">
              <w:rPr>
                <w:bCs/>
                <w:sz w:val="20"/>
                <w:szCs w:val="20"/>
              </w:rPr>
              <w:t>(4)   În absența unei decizii comune între autoritățile competente în termen de patru luni de la data transmiterii, cu privire la:</w:t>
            </w:r>
          </w:p>
          <w:p w14:paraId="7CC7C9A2" w14:textId="77777777" w:rsidR="001E7EB6" w:rsidRPr="00154588" w:rsidRDefault="001E7EB6" w:rsidP="008C12B4">
            <w:pPr>
              <w:jc w:val="both"/>
              <w:rPr>
                <w:bCs/>
                <w:sz w:val="20"/>
                <w:szCs w:val="20"/>
              </w:rPr>
            </w:pPr>
          </w:p>
          <w:p w14:paraId="3645F252" w14:textId="372C3C55" w:rsidR="001E7EB6" w:rsidRPr="00154588" w:rsidRDefault="001E7EB6" w:rsidP="008C12B4">
            <w:pPr>
              <w:jc w:val="both"/>
              <w:rPr>
                <w:bCs/>
                <w:sz w:val="20"/>
                <w:szCs w:val="20"/>
              </w:rPr>
            </w:pPr>
            <w:r w:rsidRPr="00154588">
              <w:rPr>
                <w:bCs/>
                <w:sz w:val="20"/>
                <w:szCs w:val="20"/>
              </w:rPr>
              <w:t>(a) elaborarea sau nu a unui plan de redresare pe bază individuală pentru instituțiile aflate sub jurisdicția sa; sau</w:t>
            </w:r>
          </w:p>
          <w:p w14:paraId="346E05FD" w14:textId="77777777" w:rsidR="001E7EB6" w:rsidRPr="00154588" w:rsidRDefault="001E7EB6" w:rsidP="008C12B4">
            <w:pPr>
              <w:jc w:val="both"/>
              <w:rPr>
                <w:bCs/>
                <w:sz w:val="20"/>
                <w:szCs w:val="20"/>
              </w:rPr>
            </w:pPr>
          </w:p>
          <w:p w14:paraId="205DEC70" w14:textId="1592AE0F" w:rsidR="001E7EB6" w:rsidRPr="00154588" w:rsidRDefault="001E7EB6" w:rsidP="008C12B4">
            <w:pPr>
              <w:jc w:val="both"/>
              <w:rPr>
                <w:bCs/>
                <w:sz w:val="20"/>
                <w:szCs w:val="20"/>
              </w:rPr>
            </w:pPr>
            <w:r w:rsidRPr="00154588">
              <w:rPr>
                <w:bCs/>
                <w:sz w:val="20"/>
                <w:szCs w:val="20"/>
              </w:rPr>
              <w:t>(b) aplicarea la nivel de filială a măsurilor menționate la articolul 6 alineatele (5) și (6);</w:t>
            </w:r>
          </w:p>
          <w:p w14:paraId="2FE8EB2B" w14:textId="77777777" w:rsidR="001E7EB6" w:rsidRPr="00154588" w:rsidRDefault="001E7EB6" w:rsidP="008C12B4">
            <w:pPr>
              <w:jc w:val="both"/>
              <w:rPr>
                <w:bCs/>
                <w:sz w:val="20"/>
                <w:szCs w:val="20"/>
              </w:rPr>
            </w:pPr>
          </w:p>
          <w:p w14:paraId="255A615D" w14:textId="77777777" w:rsidR="001E7EB6" w:rsidRPr="00154588" w:rsidRDefault="001E7EB6" w:rsidP="008C12B4">
            <w:pPr>
              <w:jc w:val="both"/>
              <w:rPr>
                <w:bCs/>
                <w:sz w:val="20"/>
                <w:szCs w:val="20"/>
              </w:rPr>
            </w:pPr>
          </w:p>
          <w:p w14:paraId="2E364660" w14:textId="791EDBF3" w:rsidR="001E7EB6" w:rsidRPr="00154588" w:rsidRDefault="001E7EB6" w:rsidP="008C12B4">
            <w:pPr>
              <w:jc w:val="both"/>
              <w:rPr>
                <w:bCs/>
                <w:sz w:val="20"/>
                <w:szCs w:val="20"/>
              </w:rPr>
            </w:pPr>
            <w:r w:rsidRPr="00154588">
              <w:rPr>
                <w:bCs/>
                <w:sz w:val="20"/>
                <w:szCs w:val="20"/>
              </w:rPr>
              <w:t>fiecare autoritate competentă ia propria sa decizie cu privire la acest aspect.</w:t>
            </w:r>
          </w:p>
          <w:p w14:paraId="74E55ACA" w14:textId="77777777" w:rsidR="001E7EB6" w:rsidRPr="00154588" w:rsidRDefault="001E7EB6" w:rsidP="008C12B4">
            <w:pPr>
              <w:jc w:val="both"/>
              <w:rPr>
                <w:bCs/>
                <w:sz w:val="20"/>
                <w:szCs w:val="20"/>
              </w:rPr>
            </w:pPr>
          </w:p>
          <w:p w14:paraId="6A3008C2" w14:textId="0F51ED6B" w:rsidR="001E7EB6" w:rsidRPr="00154588" w:rsidRDefault="001E7EB6" w:rsidP="008C12B4">
            <w:pPr>
              <w:jc w:val="both"/>
              <w:rPr>
                <w:bCs/>
                <w:sz w:val="20"/>
                <w:szCs w:val="20"/>
              </w:rPr>
            </w:pPr>
            <w:r w:rsidRPr="00154588">
              <w:rPr>
                <w:bCs/>
                <w:sz w:val="20"/>
                <w:szCs w:val="20"/>
              </w:rPr>
              <w:t xml:space="preserve">Dacă, până la finalul perioadei de patru luni, oricare dintre autoritățile competente implicate a adus în atenția ABE o problemă menționată la alineatul (7), în conformitate cu articolul 19 din Regulamentul (UE) nr. 1093/2010, autoritatea competentă a filialei își amână decizia și așteaptă decizia luată de ABE în conformitate cu articolul 19 alineatul (3) din regulamentul menționat, adoptând ulterior propria sa decizie în conformitate cu decizia ABE. Perioada de patru luni este considerată a fi perioada de conciliere în înțelesul regulamentului menționat. ABE adoptă propria decizie în termen de o lună. Problema nu poate fi adusă în atenția ABE după expirarea perioadei de patru luni sau după </w:t>
            </w:r>
            <w:r w:rsidRPr="00154588">
              <w:rPr>
                <w:bCs/>
                <w:sz w:val="20"/>
                <w:szCs w:val="20"/>
              </w:rPr>
              <w:lastRenderedPageBreak/>
              <w:t>ce s-a ajuns la o decizie comună. În absența unei decizii a ABE în termen de o lună, se aplică decizia autorității competente responsabile pentru filială la nivel individual.</w:t>
            </w:r>
          </w:p>
        </w:tc>
        <w:tc>
          <w:tcPr>
            <w:tcW w:w="4819" w:type="dxa"/>
          </w:tcPr>
          <w:p w14:paraId="05357CD6" w14:textId="2B454133" w:rsidR="001E7EB6" w:rsidRPr="00154588" w:rsidRDefault="001D7A54" w:rsidP="008C12B4">
            <w:pPr>
              <w:jc w:val="center"/>
              <w:rPr>
                <w:bCs/>
                <w:sz w:val="20"/>
                <w:szCs w:val="20"/>
              </w:rPr>
            </w:pPr>
            <w:r w:rsidRPr="00154588">
              <w:rPr>
                <w:bCs/>
                <w:sz w:val="20"/>
                <w:szCs w:val="20"/>
              </w:rPr>
              <w:lastRenderedPageBreak/>
              <w:t>-</w:t>
            </w:r>
          </w:p>
        </w:tc>
        <w:tc>
          <w:tcPr>
            <w:tcW w:w="2552" w:type="dxa"/>
          </w:tcPr>
          <w:p w14:paraId="36B9A7AC" w14:textId="77777777" w:rsidR="001E7EB6" w:rsidRPr="00154588" w:rsidRDefault="001E7EB6" w:rsidP="008C12B4">
            <w:pPr>
              <w:jc w:val="both"/>
              <w:rPr>
                <w:bCs/>
                <w:sz w:val="20"/>
                <w:szCs w:val="20"/>
              </w:rPr>
            </w:pPr>
          </w:p>
        </w:tc>
        <w:tc>
          <w:tcPr>
            <w:tcW w:w="3118" w:type="dxa"/>
          </w:tcPr>
          <w:p w14:paraId="6F02880A" w14:textId="2F80CC06" w:rsidR="001D7A54" w:rsidRPr="00154588" w:rsidRDefault="001D7A54" w:rsidP="008C12B4">
            <w:pPr>
              <w:rPr>
                <w:rFonts w:eastAsia="Calibri"/>
                <w:bCs/>
                <w:sz w:val="20"/>
                <w:szCs w:val="20"/>
                <w:vertAlign w:val="superscript"/>
              </w:rPr>
            </w:pPr>
            <w:r w:rsidRPr="00154588">
              <w:rPr>
                <w:rFonts w:eastAsia="Calibri"/>
                <w:bCs/>
                <w:sz w:val="20"/>
                <w:szCs w:val="20"/>
              </w:rPr>
              <w:t>Este transpus în Secțiunea 2</w:t>
            </w:r>
            <w:r w:rsidRPr="00154588">
              <w:rPr>
                <w:rFonts w:eastAsia="Calibri"/>
                <w:bCs/>
                <w:sz w:val="20"/>
                <w:szCs w:val="20"/>
                <w:vertAlign w:val="superscript"/>
              </w:rPr>
              <w:t>3</w:t>
            </w:r>
          </w:p>
          <w:p w14:paraId="18AAEAE2" w14:textId="77777777" w:rsidR="001E7EB6" w:rsidRPr="00154588" w:rsidRDefault="001D7A54" w:rsidP="008C12B4">
            <w:pPr>
              <w:jc w:val="both"/>
              <w:rPr>
                <w:rFonts w:eastAsia="Calibri"/>
                <w:bCs/>
                <w:sz w:val="20"/>
                <w:szCs w:val="20"/>
              </w:rPr>
            </w:pPr>
            <w:r w:rsidRPr="00154588">
              <w:rPr>
                <w:rFonts w:eastAsia="Calibri"/>
                <w:bCs/>
                <w:sz w:val="20"/>
                <w:szCs w:val="20"/>
              </w:rPr>
              <w:t>Planuri de redresare la nivel de grup în situația în care Banca Națională a Moldovei este autoritatea competentă la nivel individual</w:t>
            </w:r>
          </w:p>
          <w:p w14:paraId="0B6245EF" w14:textId="7DBBDE1F" w:rsidR="001D7A54" w:rsidRPr="00154588" w:rsidRDefault="001D7A54" w:rsidP="008C12B4">
            <w:pPr>
              <w:jc w:val="both"/>
              <w:rPr>
                <w:bCs/>
                <w:sz w:val="20"/>
                <w:szCs w:val="20"/>
              </w:rPr>
            </w:pPr>
            <w:r w:rsidRPr="00154588">
              <w:rPr>
                <w:rFonts w:eastAsia="Calibri"/>
                <w:bCs/>
                <w:sz w:val="20"/>
                <w:szCs w:val="20"/>
              </w:rPr>
              <w:t>La art. 22</w:t>
            </w:r>
            <w:r w:rsidRPr="00154588">
              <w:rPr>
                <w:rFonts w:eastAsia="Calibri"/>
                <w:bCs/>
                <w:sz w:val="20"/>
                <w:szCs w:val="20"/>
                <w:vertAlign w:val="superscript"/>
              </w:rPr>
              <w:t>17</w:t>
            </w:r>
          </w:p>
        </w:tc>
      </w:tr>
      <w:tr w:rsidR="001E7EB6" w:rsidRPr="00154588" w14:paraId="0FFC8D68" w14:textId="77777777" w:rsidTr="00D15C1B">
        <w:trPr>
          <w:jc w:val="center"/>
        </w:trPr>
        <w:tc>
          <w:tcPr>
            <w:tcW w:w="4957" w:type="dxa"/>
            <w:gridSpan w:val="2"/>
          </w:tcPr>
          <w:p w14:paraId="6DDEAF1E" w14:textId="1A839023" w:rsidR="001E7EB6" w:rsidRPr="00154588" w:rsidRDefault="001E7EB6" w:rsidP="008C12B4">
            <w:pPr>
              <w:jc w:val="both"/>
              <w:rPr>
                <w:bCs/>
                <w:sz w:val="20"/>
                <w:szCs w:val="20"/>
              </w:rPr>
            </w:pPr>
            <w:r w:rsidRPr="00154588">
              <w:rPr>
                <w:bCs/>
                <w:sz w:val="20"/>
                <w:szCs w:val="20"/>
              </w:rPr>
              <w:t>(5) Celelalte autorități competente între care nu există un dezacord în conformitate cu alineatul (4) pot ajunge la o decizie comună privind planul de redresare a grupului care acoperă entitățile din grup aflate sub jurisdicțiile lor.</w:t>
            </w:r>
          </w:p>
        </w:tc>
        <w:tc>
          <w:tcPr>
            <w:tcW w:w="4819" w:type="dxa"/>
          </w:tcPr>
          <w:p w14:paraId="42D21DE7" w14:textId="50E438FC" w:rsidR="001E7EB6" w:rsidRPr="00154588" w:rsidRDefault="00456CF7" w:rsidP="008C12B4">
            <w:pPr>
              <w:ind w:firstLine="567"/>
              <w:jc w:val="both"/>
              <w:rPr>
                <w:sz w:val="20"/>
                <w:szCs w:val="20"/>
              </w:rPr>
            </w:pPr>
            <w:r w:rsidRPr="00154588">
              <w:rPr>
                <w:rFonts w:eastAsia="Calibri"/>
                <w:b/>
                <w:sz w:val="20"/>
                <w:szCs w:val="20"/>
              </w:rPr>
              <w:t>Articolul 22</w:t>
            </w:r>
            <w:r w:rsidRPr="00154588">
              <w:rPr>
                <w:rFonts w:eastAsia="Calibri"/>
                <w:b/>
                <w:sz w:val="20"/>
                <w:szCs w:val="20"/>
                <w:vertAlign w:val="superscript"/>
              </w:rPr>
              <w:t>13</w:t>
            </w:r>
            <w:r w:rsidRPr="00154588">
              <w:rPr>
                <w:rFonts w:eastAsia="Calibri"/>
                <w:sz w:val="20"/>
                <w:szCs w:val="20"/>
              </w:rPr>
              <w:t>. – Banca Națională a Moldovei, în calitate de supraveghetor consolidant, împreună cu autoritățile competente</w:t>
            </w:r>
            <w:r w:rsidR="00994EA2" w:rsidRPr="00154588">
              <w:rPr>
                <w:rFonts w:eastAsia="Calibri"/>
                <w:sz w:val="20"/>
                <w:szCs w:val="20"/>
              </w:rPr>
              <w:t>,</w:t>
            </w:r>
            <w:r w:rsidRPr="00154588">
              <w:rPr>
                <w:rFonts w:eastAsia="Calibri"/>
                <w:sz w:val="20"/>
                <w:szCs w:val="20"/>
              </w:rPr>
              <w:t xml:space="preserve"> </w:t>
            </w:r>
            <w:r w:rsidR="00994EA2" w:rsidRPr="00154588">
              <w:rPr>
                <w:rFonts w:eastAsia="Calibri"/>
                <w:sz w:val="20"/>
                <w:szCs w:val="20"/>
              </w:rPr>
              <w:t>între care nu există un dezacord în sensul art.</w:t>
            </w:r>
            <w:r w:rsidRPr="00154588">
              <w:rPr>
                <w:rFonts w:eastAsia="Calibri"/>
                <w:sz w:val="20"/>
                <w:szCs w:val="20"/>
              </w:rPr>
              <w:t>22</w:t>
            </w:r>
            <w:r w:rsidRPr="00154588">
              <w:rPr>
                <w:rFonts w:eastAsia="Calibri"/>
                <w:sz w:val="20"/>
                <w:szCs w:val="20"/>
                <w:vertAlign w:val="superscript"/>
              </w:rPr>
              <w:t>1</w:t>
            </w:r>
            <w:r w:rsidR="00994EA2" w:rsidRPr="00154588">
              <w:rPr>
                <w:rFonts w:eastAsia="Calibri"/>
                <w:sz w:val="20"/>
                <w:szCs w:val="20"/>
                <w:vertAlign w:val="superscript"/>
              </w:rPr>
              <w:t>1</w:t>
            </w:r>
            <w:r w:rsidRPr="00154588">
              <w:rPr>
                <w:rFonts w:eastAsia="Calibri"/>
                <w:sz w:val="20"/>
                <w:szCs w:val="20"/>
              </w:rPr>
              <w:t xml:space="preserve"> alin.(2), poate ajunge la o decizie comună cu privire la un plan de redresare la nivel de grup, care vizează entitățile din grup aflate sub jurisdicția respectivelor autorități.</w:t>
            </w:r>
          </w:p>
        </w:tc>
        <w:tc>
          <w:tcPr>
            <w:tcW w:w="2552" w:type="dxa"/>
          </w:tcPr>
          <w:p w14:paraId="408DC2FC" w14:textId="4D030F17" w:rsidR="001E7EB6" w:rsidRPr="00154588" w:rsidRDefault="004D270D" w:rsidP="008C12B4">
            <w:pPr>
              <w:jc w:val="both"/>
              <w:rPr>
                <w:bCs/>
                <w:sz w:val="20"/>
                <w:szCs w:val="20"/>
              </w:rPr>
            </w:pPr>
            <w:r w:rsidRPr="00154588">
              <w:rPr>
                <w:bCs/>
                <w:sz w:val="20"/>
                <w:szCs w:val="20"/>
              </w:rPr>
              <w:t>Compatibil</w:t>
            </w:r>
          </w:p>
        </w:tc>
        <w:tc>
          <w:tcPr>
            <w:tcW w:w="3118" w:type="dxa"/>
          </w:tcPr>
          <w:p w14:paraId="197E1836" w14:textId="22A79EE0" w:rsidR="001E7EB6" w:rsidRPr="00154588" w:rsidRDefault="00994EA2" w:rsidP="008C12B4">
            <w:pPr>
              <w:jc w:val="both"/>
              <w:rPr>
                <w:bCs/>
                <w:sz w:val="20"/>
                <w:szCs w:val="20"/>
              </w:rPr>
            </w:pPr>
            <w:r w:rsidRPr="00154588">
              <w:rPr>
                <w:bCs/>
                <w:sz w:val="20"/>
                <w:szCs w:val="20"/>
              </w:rPr>
              <w:t>Similar ca formulare cu art. 22</w:t>
            </w:r>
            <w:r w:rsidRPr="00154588">
              <w:rPr>
                <w:bCs/>
                <w:sz w:val="20"/>
                <w:szCs w:val="20"/>
                <w:vertAlign w:val="superscript"/>
              </w:rPr>
              <w:t>19</w:t>
            </w:r>
          </w:p>
        </w:tc>
      </w:tr>
      <w:tr w:rsidR="001E7EB6" w:rsidRPr="00154588" w14:paraId="26575C99" w14:textId="77777777" w:rsidTr="00D15C1B">
        <w:trPr>
          <w:jc w:val="center"/>
        </w:trPr>
        <w:tc>
          <w:tcPr>
            <w:tcW w:w="4957" w:type="dxa"/>
            <w:gridSpan w:val="2"/>
          </w:tcPr>
          <w:p w14:paraId="46D11866" w14:textId="4A7B8A7C" w:rsidR="001E7EB6" w:rsidRPr="00154588" w:rsidRDefault="001E7EB6" w:rsidP="008C12B4">
            <w:pPr>
              <w:jc w:val="both"/>
              <w:rPr>
                <w:bCs/>
                <w:sz w:val="20"/>
                <w:szCs w:val="20"/>
              </w:rPr>
            </w:pPr>
            <w:r w:rsidRPr="00154588">
              <w:rPr>
                <w:bCs/>
                <w:sz w:val="20"/>
                <w:szCs w:val="20"/>
              </w:rPr>
              <w:t>(6) Decizia comună menționată la alineatul (2) sau (5), precum și deciziile adoptate de autoritățile competente în absența deciziei comune menționate la alineatele (3) și (4) sunt recunoscute ca fiind definitive și sunt aplicate de către autoritățile competente din statele membre în cauză.</w:t>
            </w:r>
          </w:p>
        </w:tc>
        <w:tc>
          <w:tcPr>
            <w:tcW w:w="4819" w:type="dxa"/>
          </w:tcPr>
          <w:p w14:paraId="04F516BC" w14:textId="335091B2" w:rsidR="001E7EB6" w:rsidRPr="00154588" w:rsidRDefault="00456CF7" w:rsidP="008C12B4">
            <w:pPr>
              <w:ind w:firstLine="567"/>
              <w:jc w:val="both"/>
              <w:rPr>
                <w:sz w:val="20"/>
                <w:szCs w:val="20"/>
              </w:rPr>
            </w:pPr>
            <w:r w:rsidRPr="00154588">
              <w:rPr>
                <w:rFonts w:eastAsia="Calibri"/>
                <w:b/>
                <w:sz w:val="20"/>
                <w:szCs w:val="20"/>
              </w:rPr>
              <w:t>Articolul 22</w:t>
            </w:r>
            <w:r w:rsidRPr="00154588">
              <w:rPr>
                <w:rFonts w:eastAsia="Calibri"/>
                <w:b/>
                <w:sz w:val="20"/>
                <w:szCs w:val="20"/>
                <w:vertAlign w:val="superscript"/>
              </w:rPr>
              <w:t>14</w:t>
            </w:r>
            <w:r w:rsidRPr="00154588">
              <w:rPr>
                <w:rFonts w:eastAsia="Calibri"/>
                <w:sz w:val="20"/>
                <w:szCs w:val="20"/>
              </w:rPr>
              <w:t>. – Decizia comună prevăzută la art.22</w:t>
            </w:r>
            <w:r w:rsidRPr="00154588">
              <w:rPr>
                <w:rFonts w:eastAsia="Calibri"/>
                <w:sz w:val="20"/>
                <w:szCs w:val="20"/>
                <w:vertAlign w:val="superscript"/>
              </w:rPr>
              <w:t>11</w:t>
            </w:r>
            <w:r w:rsidRPr="00154588">
              <w:rPr>
                <w:rFonts w:eastAsia="Calibri"/>
                <w:sz w:val="20"/>
                <w:szCs w:val="20"/>
              </w:rPr>
              <w:t> și 22</w:t>
            </w:r>
            <w:r w:rsidRPr="00154588">
              <w:rPr>
                <w:rFonts w:eastAsia="Calibri"/>
                <w:sz w:val="20"/>
                <w:szCs w:val="20"/>
                <w:vertAlign w:val="superscript"/>
              </w:rPr>
              <w:t>13</w:t>
            </w:r>
            <w:r w:rsidRPr="00154588">
              <w:rPr>
                <w:rFonts w:eastAsia="Calibri"/>
                <w:sz w:val="20"/>
                <w:szCs w:val="20"/>
              </w:rPr>
              <w:t> sau decizia adoptată în absența deciziei comune, prevăzută la art.22</w:t>
            </w:r>
            <w:r w:rsidRPr="00154588">
              <w:rPr>
                <w:rFonts w:eastAsia="Calibri"/>
                <w:sz w:val="20"/>
                <w:szCs w:val="20"/>
                <w:vertAlign w:val="superscript"/>
              </w:rPr>
              <w:t>12</w:t>
            </w:r>
            <w:r w:rsidRPr="00154588">
              <w:rPr>
                <w:rFonts w:eastAsia="Calibri"/>
                <w:sz w:val="20"/>
                <w:szCs w:val="20"/>
              </w:rPr>
              <w:t>, este recunoscută ca definitivă și este aplicată de autoritățile competente din statele membre ale Uniunii Europene vizate.</w:t>
            </w:r>
          </w:p>
        </w:tc>
        <w:tc>
          <w:tcPr>
            <w:tcW w:w="2552" w:type="dxa"/>
          </w:tcPr>
          <w:p w14:paraId="498D6951" w14:textId="4A918E0B" w:rsidR="001E7EB6" w:rsidRPr="00154588" w:rsidRDefault="004D270D" w:rsidP="008C12B4">
            <w:pPr>
              <w:jc w:val="both"/>
              <w:rPr>
                <w:bCs/>
                <w:sz w:val="20"/>
                <w:szCs w:val="20"/>
              </w:rPr>
            </w:pPr>
            <w:r w:rsidRPr="00154588">
              <w:rPr>
                <w:bCs/>
                <w:sz w:val="20"/>
                <w:szCs w:val="20"/>
              </w:rPr>
              <w:t>Compatibil</w:t>
            </w:r>
          </w:p>
        </w:tc>
        <w:tc>
          <w:tcPr>
            <w:tcW w:w="3118" w:type="dxa"/>
          </w:tcPr>
          <w:p w14:paraId="510E2BA1" w14:textId="77777777" w:rsidR="001E7EB6" w:rsidRPr="00154588" w:rsidRDefault="001E7EB6" w:rsidP="008C12B4">
            <w:pPr>
              <w:jc w:val="both"/>
              <w:rPr>
                <w:bCs/>
                <w:sz w:val="20"/>
                <w:szCs w:val="20"/>
              </w:rPr>
            </w:pPr>
          </w:p>
        </w:tc>
      </w:tr>
      <w:tr w:rsidR="001E7EB6" w:rsidRPr="00154588" w14:paraId="30321858" w14:textId="77777777" w:rsidTr="00D15C1B">
        <w:trPr>
          <w:jc w:val="center"/>
        </w:trPr>
        <w:tc>
          <w:tcPr>
            <w:tcW w:w="4957" w:type="dxa"/>
            <w:gridSpan w:val="2"/>
          </w:tcPr>
          <w:p w14:paraId="2ED12140" w14:textId="05593292" w:rsidR="001E7EB6" w:rsidRPr="00154588" w:rsidRDefault="001E7EB6" w:rsidP="008C12B4">
            <w:pPr>
              <w:jc w:val="both"/>
              <w:rPr>
                <w:bCs/>
                <w:sz w:val="20"/>
                <w:szCs w:val="20"/>
              </w:rPr>
            </w:pPr>
            <w:r w:rsidRPr="00154588">
              <w:rPr>
                <w:bCs/>
                <w:sz w:val="20"/>
                <w:szCs w:val="20"/>
              </w:rPr>
              <w:t>(7) La solicitarea unei autorități competente în conformitate cu alineatul (3) sau (4), ABE poate doar să acorde asistență autorităților competente pentru ajungerea la un acord în conformitate cu articolul 19 alineatul (3) din Regulamentul (UE) nr. 1093/2010 referitor la evaluarea planurilor de redresare și la punerea în aplicare a măsurilor prevăzute la articolul 6 alineatul (6) literele (a), (b) și (d).</w:t>
            </w:r>
          </w:p>
        </w:tc>
        <w:tc>
          <w:tcPr>
            <w:tcW w:w="4819" w:type="dxa"/>
          </w:tcPr>
          <w:p w14:paraId="0CD26270" w14:textId="77777777" w:rsidR="001E7EB6" w:rsidRPr="00154588" w:rsidRDefault="001E7EB6" w:rsidP="008C12B4">
            <w:pPr>
              <w:jc w:val="both"/>
              <w:rPr>
                <w:bCs/>
                <w:sz w:val="20"/>
                <w:szCs w:val="20"/>
              </w:rPr>
            </w:pPr>
          </w:p>
        </w:tc>
        <w:tc>
          <w:tcPr>
            <w:tcW w:w="2552" w:type="dxa"/>
          </w:tcPr>
          <w:p w14:paraId="568EFCDE" w14:textId="75D98296" w:rsidR="001E7EB6" w:rsidRPr="00154588" w:rsidRDefault="00456CF7" w:rsidP="008C12B4">
            <w:pPr>
              <w:jc w:val="both"/>
              <w:rPr>
                <w:bCs/>
                <w:sz w:val="20"/>
                <w:szCs w:val="20"/>
              </w:rPr>
            </w:pPr>
            <w:r w:rsidRPr="00154588">
              <w:rPr>
                <w:bCs/>
                <w:sz w:val="20"/>
                <w:szCs w:val="20"/>
              </w:rPr>
              <w:t>Compatibil</w:t>
            </w:r>
          </w:p>
        </w:tc>
        <w:tc>
          <w:tcPr>
            <w:tcW w:w="3118" w:type="dxa"/>
          </w:tcPr>
          <w:p w14:paraId="024BF1F6" w14:textId="1497C3EC" w:rsidR="00456CF7" w:rsidRPr="00154588" w:rsidRDefault="00456CF7" w:rsidP="008C12B4">
            <w:pPr>
              <w:jc w:val="both"/>
              <w:rPr>
                <w:rFonts w:eastAsia="Calibri"/>
                <w:sz w:val="20"/>
                <w:szCs w:val="20"/>
                <w:u w:val="single"/>
              </w:rPr>
            </w:pPr>
            <w:r w:rsidRPr="00154588">
              <w:rPr>
                <w:rFonts w:eastAsia="Calibri"/>
                <w:sz w:val="20"/>
                <w:szCs w:val="20"/>
              </w:rPr>
              <w:t xml:space="preserve">Măsurilor prevăzute la Articolul 6 (6) (a) (b) și (d) </w:t>
            </w:r>
            <w:r w:rsidRPr="00154588">
              <w:rPr>
                <w:rFonts w:eastAsia="Calibri"/>
                <w:sz w:val="20"/>
                <w:szCs w:val="20"/>
                <w:u w:val="single"/>
              </w:rPr>
              <w:t>sunt transpuse in art.21 alin. (4) lit. a) b) și d).</w:t>
            </w:r>
          </w:p>
          <w:p w14:paraId="0608D545" w14:textId="0971B1F0" w:rsidR="00456CF7" w:rsidRPr="00154588" w:rsidRDefault="00456CF7" w:rsidP="008C12B4">
            <w:pPr>
              <w:jc w:val="both"/>
              <w:rPr>
                <w:bCs/>
                <w:sz w:val="20"/>
                <w:szCs w:val="20"/>
              </w:rPr>
            </w:pPr>
            <w:r w:rsidRPr="00154588">
              <w:rPr>
                <w:bCs/>
                <w:sz w:val="20"/>
                <w:szCs w:val="20"/>
              </w:rPr>
              <w:br/>
              <w:t>Alineatul 7 din articolul 8 este transpus la articolul 22</w:t>
            </w:r>
            <w:r w:rsidRPr="00154588">
              <w:rPr>
                <w:bCs/>
                <w:sz w:val="20"/>
                <w:szCs w:val="20"/>
                <w:vertAlign w:val="superscript"/>
              </w:rPr>
              <w:t>12</w:t>
            </w:r>
            <w:r w:rsidRPr="00154588">
              <w:rPr>
                <w:bCs/>
                <w:sz w:val="20"/>
                <w:szCs w:val="20"/>
              </w:rPr>
              <w:t xml:space="preserve"> alineatele (2) și (5) prin textul „evaluarea planurilor de redresare și punerea în aplicare a măsurilor prevăzute la articolul 21 alineatul (4) litera a), b) și d)"</w:t>
            </w:r>
          </w:p>
          <w:p w14:paraId="1BEA5D29" w14:textId="77777777" w:rsidR="001D7A54" w:rsidRPr="00154588" w:rsidRDefault="001D7A54" w:rsidP="008C12B4">
            <w:pPr>
              <w:jc w:val="both"/>
              <w:rPr>
                <w:bCs/>
                <w:sz w:val="20"/>
                <w:szCs w:val="20"/>
              </w:rPr>
            </w:pPr>
            <w:r w:rsidRPr="00154588">
              <w:rPr>
                <w:bCs/>
                <w:sz w:val="20"/>
                <w:szCs w:val="20"/>
              </w:rPr>
              <w:t>De asemenea, la articolul 22</w:t>
            </w:r>
            <w:r w:rsidRPr="00154588">
              <w:rPr>
                <w:bCs/>
                <w:sz w:val="20"/>
                <w:szCs w:val="20"/>
                <w:vertAlign w:val="superscript"/>
              </w:rPr>
              <w:t>18</w:t>
            </w:r>
            <w:r w:rsidRPr="00154588">
              <w:rPr>
                <w:bCs/>
                <w:sz w:val="20"/>
                <w:szCs w:val="20"/>
              </w:rPr>
              <w:t xml:space="preserve"> alineatele (1) și (4).</w:t>
            </w:r>
          </w:p>
          <w:p w14:paraId="4687C191" w14:textId="47E361B4" w:rsidR="001E7EB6" w:rsidRPr="00154588" w:rsidRDefault="001D7A54" w:rsidP="008C12B4">
            <w:pPr>
              <w:jc w:val="both"/>
              <w:rPr>
                <w:bCs/>
                <w:sz w:val="20"/>
                <w:szCs w:val="20"/>
              </w:rPr>
            </w:pPr>
            <w:r w:rsidRPr="00154588">
              <w:rPr>
                <w:bCs/>
                <w:sz w:val="20"/>
                <w:szCs w:val="20"/>
              </w:rPr>
              <w:t>Întrucât măsurile prevăzute la articolul 6(6) literele (a), (b) și (d) din directivă sunt transpuse la Articolul 21 alineatele (4) litera a), b) și d).</w:t>
            </w:r>
          </w:p>
        </w:tc>
      </w:tr>
      <w:tr w:rsidR="001D7A54" w:rsidRPr="00154588" w14:paraId="1A6494F6" w14:textId="77777777" w:rsidTr="00D15C1B">
        <w:trPr>
          <w:jc w:val="center"/>
        </w:trPr>
        <w:tc>
          <w:tcPr>
            <w:tcW w:w="4957" w:type="dxa"/>
            <w:gridSpan w:val="2"/>
          </w:tcPr>
          <w:p w14:paraId="47EEC375" w14:textId="77777777" w:rsidR="001D7A54" w:rsidRPr="00154588" w:rsidRDefault="001D7A54" w:rsidP="008C12B4">
            <w:pPr>
              <w:rPr>
                <w:b/>
                <w:sz w:val="20"/>
                <w:szCs w:val="20"/>
              </w:rPr>
            </w:pPr>
            <w:r w:rsidRPr="00154588">
              <w:rPr>
                <w:b/>
                <w:sz w:val="20"/>
                <w:szCs w:val="20"/>
              </w:rPr>
              <w:t>Articolul 8</w:t>
            </w:r>
          </w:p>
          <w:p w14:paraId="2DCD488E" w14:textId="77777777" w:rsidR="001D7A54" w:rsidRPr="00154588" w:rsidRDefault="001D7A54" w:rsidP="008C12B4">
            <w:pPr>
              <w:rPr>
                <w:b/>
                <w:sz w:val="20"/>
                <w:szCs w:val="20"/>
              </w:rPr>
            </w:pPr>
          </w:p>
          <w:p w14:paraId="11F4F040" w14:textId="37653C63" w:rsidR="001D7A54" w:rsidRPr="00154588" w:rsidRDefault="001D7A54" w:rsidP="008C12B4">
            <w:pPr>
              <w:jc w:val="both"/>
              <w:rPr>
                <w:bCs/>
                <w:sz w:val="20"/>
                <w:szCs w:val="20"/>
              </w:rPr>
            </w:pPr>
            <w:r w:rsidRPr="00154588">
              <w:rPr>
                <w:b/>
                <w:sz w:val="20"/>
                <w:szCs w:val="20"/>
              </w:rPr>
              <w:t>Evaluarea planurilor de redresare a grupurilor</w:t>
            </w:r>
          </w:p>
        </w:tc>
        <w:tc>
          <w:tcPr>
            <w:tcW w:w="4819" w:type="dxa"/>
          </w:tcPr>
          <w:p w14:paraId="0A788142" w14:textId="77777777" w:rsidR="001D7A54" w:rsidRPr="00154588" w:rsidRDefault="001D7A54" w:rsidP="008C12B4">
            <w:pPr>
              <w:ind w:firstLine="567"/>
              <w:jc w:val="center"/>
              <w:rPr>
                <w:rFonts w:eastAsia="Calibri"/>
                <w:b/>
                <w:sz w:val="20"/>
                <w:szCs w:val="20"/>
                <w:vertAlign w:val="superscript"/>
              </w:rPr>
            </w:pPr>
            <w:r w:rsidRPr="00154588">
              <w:rPr>
                <w:rFonts w:eastAsia="Calibri"/>
                <w:b/>
                <w:sz w:val="20"/>
                <w:szCs w:val="20"/>
              </w:rPr>
              <w:t>Secțiunea 2</w:t>
            </w:r>
            <w:r w:rsidRPr="00154588">
              <w:rPr>
                <w:rFonts w:eastAsia="Calibri"/>
                <w:b/>
                <w:sz w:val="20"/>
                <w:szCs w:val="20"/>
                <w:vertAlign w:val="superscript"/>
              </w:rPr>
              <w:t>3</w:t>
            </w:r>
          </w:p>
          <w:p w14:paraId="7CB193C0" w14:textId="0A1682A7" w:rsidR="001D7A54" w:rsidRPr="00154588" w:rsidRDefault="001D7A54" w:rsidP="008C12B4">
            <w:pPr>
              <w:ind w:firstLine="567"/>
              <w:jc w:val="center"/>
              <w:rPr>
                <w:rFonts w:eastAsia="Calibri"/>
                <w:b/>
                <w:sz w:val="20"/>
                <w:szCs w:val="20"/>
              </w:rPr>
            </w:pPr>
            <w:r w:rsidRPr="00154588">
              <w:rPr>
                <w:rFonts w:eastAsia="Calibri"/>
                <w:b/>
                <w:sz w:val="20"/>
                <w:szCs w:val="20"/>
              </w:rPr>
              <w:t>Planuri de redresare la nivel de grup în situația în care Banca Națională a Moldovei este autoritatea competentă la nivel individual</w:t>
            </w:r>
          </w:p>
        </w:tc>
        <w:tc>
          <w:tcPr>
            <w:tcW w:w="2552" w:type="dxa"/>
          </w:tcPr>
          <w:p w14:paraId="437E180C" w14:textId="77777777" w:rsidR="001D7A54" w:rsidRPr="00154588" w:rsidRDefault="001D7A54" w:rsidP="008C12B4">
            <w:pPr>
              <w:jc w:val="both"/>
              <w:rPr>
                <w:bCs/>
                <w:sz w:val="20"/>
                <w:szCs w:val="20"/>
              </w:rPr>
            </w:pPr>
          </w:p>
        </w:tc>
        <w:tc>
          <w:tcPr>
            <w:tcW w:w="3118" w:type="dxa"/>
          </w:tcPr>
          <w:p w14:paraId="576D6265" w14:textId="78EFC2EE" w:rsidR="001D7A54" w:rsidRPr="00154588" w:rsidRDefault="001D7A54" w:rsidP="008C12B4">
            <w:pPr>
              <w:jc w:val="both"/>
              <w:rPr>
                <w:rFonts w:eastAsia="Calibri"/>
                <w:sz w:val="20"/>
                <w:szCs w:val="20"/>
              </w:rPr>
            </w:pPr>
            <w:r w:rsidRPr="00154588">
              <w:rPr>
                <w:rFonts w:eastAsia="Calibri"/>
                <w:sz w:val="20"/>
                <w:szCs w:val="20"/>
              </w:rPr>
              <w:t>Articolul 8 este transpus și prin art. 22</w:t>
            </w:r>
            <w:r w:rsidRPr="00154588">
              <w:rPr>
                <w:rFonts w:eastAsia="Calibri"/>
                <w:sz w:val="20"/>
                <w:szCs w:val="20"/>
                <w:vertAlign w:val="superscript"/>
              </w:rPr>
              <w:t>15</w:t>
            </w:r>
            <w:r w:rsidRPr="00154588">
              <w:rPr>
                <w:rFonts w:eastAsia="Calibri"/>
                <w:sz w:val="20"/>
                <w:szCs w:val="20"/>
              </w:rPr>
              <w:t>-22</w:t>
            </w:r>
            <w:r w:rsidRPr="00154588">
              <w:rPr>
                <w:rFonts w:eastAsia="Calibri"/>
                <w:sz w:val="20"/>
                <w:szCs w:val="20"/>
                <w:vertAlign w:val="superscript"/>
              </w:rPr>
              <w:t>20</w:t>
            </w:r>
            <w:r w:rsidRPr="00154588">
              <w:rPr>
                <w:rFonts w:eastAsia="Calibri"/>
                <w:sz w:val="20"/>
                <w:szCs w:val="20"/>
              </w:rPr>
              <w:t xml:space="preserve"> în situația în care BNM este autoritatea competentă la nivel individual</w:t>
            </w:r>
          </w:p>
        </w:tc>
      </w:tr>
      <w:tr w:rsidR="001D7A54" w:rsidRPr="00154588" w14:paraId="48DB6D80" w14:textId="77777777" w:rsidTr="00D15C1B">
        <w:trPr>
          <w:jc w:val="center"/>
        </w:trPr>
        <w:tc>
          <w:tcPr>
            <w:tcW w:w="4957" w:type="dxa"/>
            <w:gridSpan w:val="2"/>
          </w:tcPr>
          <w:p w14:paraId="3CCBFCF8" w14:textId="41CA82C6" w:rsidR="001D7A54" w:rsidRPr="00154588" w:rsidRDefault="001D7A54" w:rsidP="008C12B4">
            <w:pPr>
              <w:jc w:val="both"/>
              <w:rPr>
                <w:bCs/>
                <w:sz w:val="20"/>
                <w:szCs w:val="20"/>
              </w:rPr>
            </w:pPr>
            <w:r w:rsidRPr="00154588">
              <w:rPr>
                <w:bCs/>
                <w:sz w:val="20"/>
                <w:szCs w:val="20"/>
              </w:rPr>
              <w:t xml:space="preserve">(1)  Supraveghetorul consolidant, împreună cu autoritățile competente ale filialelor, în urma unei consultări cu autoritățile competente menționate la articolul 116 din Directiva 2013/36/UE și cu autoritățile competente ale sucursalelor semnificative în măsura în care este relevant pentru sucursala semnificativă, examinează planul de redresare a grupului și evaluează măsura în care acesta îndeplinește cerințele și criteriile prevăzute la articolele 6 și </w:t>
            </w:r>
            <w:r w:rsidRPr="00154588">
              <w:rPr>
                <w:bCs/>
                <w:sz w:val="20"/>
                <w:szCs w:val="20"/>
              </w:rPr>
              <w:lastRenderedPageBreak/>
              <w:t>7. Această evaluare se efectuează în conformitate cu procedurile stabilite la articolul 6 și cu prezentul articol și ține seama de impactul potențial al măsurilor de redresare asupra stabilității financiare în toate statele membre în care grupul operează.</w:t>
            </w:r>
          </w:p>
        </w:tc>
        <w:tc>
          <w:tcPr>
            <w:tcW w:w="4819" w:type="dxa"/>
          </w:tcPr>
          <w:p w14:paraId="07E16F2C" w14:textId="77777777" w:rsidR="001D7A54" w:rsidRPr="00154588" w:rsidRDefault="001D7A54" w:rsidP="008C12B4">
            <w:pPr>
              <w:ind w:firstLine="567"/>
              <w:jc w:val="both"/>
              <w:rPr>
                <w:rFonts w:eastAsia="Calibri"/>
                <w:kern w:val="2"/>
                <w:sz w:val="20"/>
                <w:szCs w:val="20"/>
                <w14:ligatures w14:val="standardContextual"/>
              </w:rPr>
            </w:pPr>
            <w:r w:rsidRPr="00154588">
              <w:rPr>
                <w:rFonts w:eastAsia="Calibri"/>
                <w:b/>
                <w:sz w:val="20"/>
                <w:szCs w:val="20"/>
              </w:rPr>
              <w:lastRenderedPageBreak/>
              <w:t>Articolul 22</w:t>
            </w:r>
            <w:r w:rsidRPr="00154588">
              <w:rPr>
                <w:rFonts w:eastAsia="Calibri"/>
                <w:b/>
                <w:sz w:val="20"/>
                <w:szCs w:val="20"/>
                <w:vertAlign w:val="superscript"/>
              </w:rPr>
              <w:t>15</w:t>
            </w:r>
            <w:r w:rsidRPr="00154588">
              <w:rPr>
                <w:rFonts w:eastAsia="Calibri"/>
                <w:sz w:val="20"/>
                <w:szCs w:val="20"/>
              </w:rPr>
              <w:t xml:space="preserve">. – (1) Banca Națională a Moldovei, în calitate de autoritate competentă la nivel individual, împreună cu supraveghetorul consolidant, în urma unei consultări cu autoritățile competente prevăzute la art.112 din Legea nr.202/2017 și împreună cu autoritățile competente din jurisdicțiile unde sunt sucursalele semnificative, în măsura în care planul de redresare a grupului este relevant pentru sucursalele semnificative, </w:t>
            </w:r>
            <w:r w:rsidRPr="00154588">
              <w:rPr>
                <w:rFonts w:eastAsia="Calibri"/>
                <w:sz w:val="20"/>
                <w:szCs w:val="20"/>
              </w:rPr>
              <w:lastRenderedPageBreak/>
              <w:t>analizează planul de redresare a grupului transmis de supraveghetorul consolidant și evaluează măsura în care aceasta îndeplinește cerințele și criteriile prevăzute la art.16-22</w:t>
            </w:r>
            <w:r w:rsidRPr="00154588">
              <w:rPr>
                <w:rFonts w:eastAsia="Calibri"/>
                <w:sz w:val="20"/>
                <w:szCs w:val="20"/>
                <w:vertAlign w:val="superscript"/>
              </w:rPr>
              <w:t>9</w:t>
            </w:r>
            <w:r w:rsidRPr="00154588">
              <w:rPr>
                <w:rFonts w:eastAsia="Calibri"/>
                <w:sz w:val="20"/>
                <w:szCs w:val="20"/>
              </w:rPr>
              <w:t xml:space="preserve"> din perspectiva instituțiilor de credit supravegheate de aceasta.</w:t>
            </w:r>
          </w:p>
          <w:p w14:paraId="78B49B78" w14:textId="236D5284" w:rsidR="001D7A54" w:rsidRPr="00154588" w:rsidRDefault="001D7A54" w:rsidP="008C12B4">
            <w:pPr>
              <w:ind w:firstLine="567"/>
              <w:jc w:val="both"/>
              <w:rPr>
                <w:rFonts w:eastAsia="Calibri"/>
                <w:sz w:val="20"/>
                <w:szCs w:val="20"/>
              </w:rPr>
            </w:pPr>
            <w:r w:rsidRPr="00154588">
              <w:rPr>
                <w:rFonts w:eastAsia="Calibri"/>
                <w:sz w:val="20"/>
                <w:szCs w:val="20"/>
              </w:rPr>
              <w:t>(2) Evaluarea prevăzută la alin.(1), efectuată în conformitate cu procedura prevăzută la art.16-22, ține seama de potențialul impact al măsurilor de redresare asupra stabilității financiare din Republica Moldova.</w:t>
            </w:r>
          </w:p>
        </w:tc>
        <w:tc>
          <w:tcPr>
            <w:tcW w:w="2552" w:type="dxa"/>
          </w:tcPr>
          <w:p w14:paraId="43BD4FF7" w14:textId="06F06EBD" w:rsidR="001D7A54" w:rsidRPr="00154588" w:rsidRDefault="001D7A54" w:rsidP="008C12B4">
            <w:pPr>
              <w:jc w:val="both"/>
              <w:rPr>
                <w:bCs/>
                <w:sz w:val="20"/>
                <w:szCs w:val="20"/>
              </w:rPr>
            </w:pPr>
            <w:r w:rsidRPr="00154588">
              <w:rPr>
                <w:bCs/>
                <w:sz w:val="20"/>
                <w:szCs w:val="20"/>
              </w:rPr>
              <w:lastRenderedPageBreak/>
              <w:t>Compatibil</w:t>
            </w:r>
          </w:p>
        </w:tc>
        <w:tc>
          <w:tcPr>
            <w:tcW w:w="3118" w:type="dxa"/>
          </w:tcPr>
          <w:p w14:paraId="50B19CDB" w14:textId="13032217" w:rsidR="001D7A54" w:rsidRPr="00154588" w:rsidRDefault="001D7A54" w:rsidP="008C12B4">
            <w:pPr>
              <w:jc w:val="both"/>
              <w:rPr>
                <w:rFonts w:eastAsia="Calibri"/>
                <w:sz w:val="20"/>
                <w:szCs w:val="20"/>
              </w:rPr>
            </w:pPr>
          </w:p>
        </w:tc>
      </w:tr>
      <w:tr w:rsidR="001D7A54" w:rsidRPr="00154588" w14:paraId="6D72251E" w14:textId="77777777" w:rsidTr="00D15C1B">
        <w:trPr>
          <w:jc w:val="center"/>
        </w:trPr>
        <w:tc>
          <w:tcPr>
            <w:tcW w:w="4957" w:type="dxa"/>
            <w:gridSpan w:val="2"/>
          </w:tcPr>
          <w:p w14:paraId="1107B37C" w14:textId="77777777" w:rsidR="001D7A54" w:rsidRPr="00154588" w:rsidRDefault="001D7A54" w:rsidP="008C12B4">
            <w:pPr>
              <w:tabs>
                <w:tab w:val="left" w:pos="1215"/>
              </w:tabs>
              <w:jc w:val="both"/>
              <w:rPr>
                <w:bCs/>
                <w:sz w:val="20"/>
                <w:szCs w:val="20"/>
              </w:rPr>
            </w:pPr>
            <w:r w:rsidRPr="00154588">
              <w:rPr>
                <w:bCs/>
                <w:sz w:val="20"/>
                <w:szCs w:val="20"/>
              </w:rPr>
              <w:t>(2) Supraveghetorul consolidant și autoritățile competente ale filialelor depun toate eforturile să ajungă la o decizie comună cu privire la:</w:t>
            </w:r>
          </w:p>
          <w:p w14:paraId="6F7D4F72" w14:textId="77777777" w:rsidR="001D7A54" w:rsidRPr="00154588" w:rsidRDefault="001D7A54" w:rsidP="008C12B4">
            <w:pPr>
              <w:tabs>
                <w:tab w:val="left" w:pos="1215"/>
              </w:tabs>
              <w:jc w:val="both"/>
              <w:rPr>
                <w:bCs/>
                <w:sz w:val="20"/>
                <w:szCs w:val="20"/>
              </w:rPr>
            </w:pPr>
          </w:p>
          <w:p w14:paraId="355DB97B" w14:textId="77777777" w:rsidR="001D7A54" w:rsidRPr="00154588" w:rsidRDefault="001D7A54" w:rsidP="008C12B4">
            <w:pPr>
              <w:tabs>
                <w:tab w:val="left" w:pos="1215"/>
              </w:tabs>
              <w:jc w:val="both"/>
              <w:rPr>
                <w:bCs/>
                <w:sz w:val="20"/>
                <w:szCs w:val="20"/>
              </w:rPr>
            </w:pPr>
            <w:r w:rsidRPr="00154588">
              <w:rPr>
                <w:bCs/>
                <w:sz w:val="20"/>
                <w:szCs w:val="20"/>
              </w:rPr>
              <w:t>(a) examinarea și evaluarea planului de redresare a grupului;</w:t>
            </w:r>
          </w:p>
          <w:p w14:paraId="67A18144" w14:textId="77777777" w:rsidR="001D7A54" w:rsidRPr="00154588" w:rsidRDefault="001D7A54" w:rsidP="008C12B4">
            <w:pPr>
              <w:tabs>
                <w:tab w:val="left" w:pos="1215"/>
              </w:tabs>
              <w:jc w:val="both"/>
              <w:rPr>
                <w:bCs/>
                <w:sz w:val="20"/>
                <w:szCs w:val="20"/>
              </w:rPr>
            </w:pPr>
          </w:p>
          <w:p w14:paraId="39E908E3" w14:textId="77777777" w:rsidR="001D7A54" w:rsidRPr="00154588" w:rsidRDefault="001D7A54" w:rsidP="008C12B4">
            <w:pPr>
              <w:tabs>
                <w:tab w:val="left" w:pos="1215"/>
              </w:tabs>
              <w:jc w:val="both"/>
              <w:rPr>
                <w:bCs/>
                <w:sz w:val="20"/>
                <w:szCs w:val="20"/>
              </w:rPr>
            </w:pPr>
            <w:r w:rsidRPr="00154588">
              <w:rPr>
                <w:bCs/>
                <w:sz w:val="20"/>
                <w:szCs w:val="20"/>
              </w:rPr>
              <w:t>(b) elaborarea sau nu a unui plan de redresare pe bază individuală pentru instituțiile care fac parte din grup; și</w:t>
            </w:r>
          </w:p>
          <w:p w14:paraId="3C06B79E" w14:textId="77777777" w:rsidR="001D7A54" w:rsidRPr="00154588" w:rsidRDefault="001D7A54" w:rsidP="008C12B4">
            <w:pPr>
              <w:tabs>
                <w:tab w:val="left" w:pos="1215"/>
              </w:tabs>
              <w:jc w:val="both"/>
              <w:rPr>
                <w:bCs/>
                <w:sz w:val="20"/>
                <w:szCs w:val="20"/>
              </w:rPr>
            </w:pPr>
          </w:p>
          <w:p w14:paraId="68BF095A" w14:textId="77777777" w:rsidR="001D7A54" w:rsidRPr="00154588" w:rsidRDefault="001D7A54" w:rsidP="008C12B4">
            <w:pPr>
              <w:tabs>
                <w:tab w:val="left" w:pos="1215"/>
              </w:tabs>
              <w:jc w:val="both"/>
              <w:rPr>
                <w:bCs/>
                <w:sz w:val="20"/>
                <w:szCs w:val="20"/>
              </w:rPr>
            </w:pPr>
            <w:r w:rsidRPr="00154588">
              <w:rPr>
                <w:bCs/>
                <w:sz w:val="20"/>
                <w:szCs w:val="20"/>
              </w:rPr>
              <w:t>(c) aplicarea măsurilor menționate la articolul 6 alineatele (5) și (6).</w:t>
            </w:r>
          </w:p>
          <w:p w14:paraId="03D6C38D" w14:textId="77777777" w:rsidR="001D7A54" w:rsidRPr="00154588" w:rsidRDefault="001D7A54" w:rsidP="008C12B4">
            <w:pPr>
              <w:tabs>
                <w:tab w:val="left" w:pos="1215"/>
              </w:tabs>
              <w:jc w:val="both"/>
              <w:rPr>
                <w:bCs/>
                <w:sz w:val="20"/>
                <w:szCs w:val="20"/>
              </w:rPr>
            </w:pPr>
          </w:p>
          <w:p w14:paraId="6118A361" w14:textId="77777777" w:rsidR="001D7A54" w:rsidRPr="00154588" w:rsidRDefault="001D7A54" w:rsidP="008C12B4">
            <w:pPr>
              <w:tabs>
                <w:tab w:val="left" w:pos="1215"/>
              </w:tabs>
              <w:jc w:val="both"/>
              <w:rPr>
                <w:bCs/>
                <w:sz w:val="20"/>
                <w:szCs w:val="20"/>
              </w:rPr>
            </w:pPr>
            <w:r w:rsidRPr="00154588">
              <w:rPr>
                <w:bCs/>
                <w:sz w:val="20"/>
                <w:szCs w:val="20"/>
              </w:rPr>
              <w:t>Părțile depun toate eforturile pentru a ajunge la o decizie comună în termen de patru luni de la data transmiterii de către supraveghetorul consolidant a planului de redresare a grupului, în conformitate cu articolul 7 alineatul (3).</w:t>
            </w:r>
          </w:p>
          <w:p w14:paraId="0940B20F" w14:textId="77777777" w:rsidR="001D7A54" w:rsidRPr="00154588" w:rsidRDefault="001D7A54" w:rsidP="008C12B4">
            <w:pPr>
              <w:tabs>
                <w:tab w:val="left" w:pos="1215"/>
              </w:tabs>
              <w:jc w:val="both"/>
              <w:rPr>
                <w:bCs/>
                <w:sz w:val="20"/>
                <w:szCs w:val="20"/>
              </w:rPr>
            </w:pPr>
          </w:p>
          <w:p w14:paraId="6853BBA5" w14:textId="263D0CD5" w:rsidR="001D7A54" w:rsidRPr="00154588" w:rsidRDefault="001D7A54" w:rsidP="008C12B4">
            <w:pPr>
              <w:jc w:val="both"/>
              <w:rPr>
                <w:bCs/>
                <w:sz w:val="20"/>
                <w:szCs w:val="20"/>
              </w:rPr>
            </w:pPr>
            <w:r w:rsidRPr="00154588">
              <w:rPr>
                <w:bCs/>
                <w:sz w:val="20"/>
                <w:szCs w:val="20"/>
              </w:rPr>
              <w:t xml:space="preserve">ABE poate, la cererea unei autorități competente, să </w:t>
            </w:r>
            <w:r w:rsidR="006B43C9" w:rsidRPr="00154588">
              <w:rPr>
                <w:bCs/>
                <w:sz w:val="20"/>
                <w:szCs w:val="20"/>
              </w:rPr>
              <w:t xml:space="preserve">ajute </w:t>
            </w:r>
            <w:r w:rsidRPr="00154588">
              <w:rPr>
                <w:bCs/>
                <w:sz w:val="20"/>
                <w:szCs w:val="20"/>
              </w:rPr>
              <w:t>autoritățil</w:t>
            </w:r>
            <w:r w:rsidR="006B43C9" w:rsidRPr="00154588">
              <w:rPr>
                <w:bCs/>
                <w:sz w:val="20"/>
                <w:szCs w:val="20"/>
              </w:rPr>
              <w:t>e</w:t>
            </w:r>
            <w:r w:rsidRPr="00154588">
              <w:rPr>
                <w:bCs/>
                <w:sz w:val="20"/>
                <w:szCs w:val="20"/>
              </w:rPr>
              <w:t xml:space="preserve"> competente</w:t>
            </w:r>
            <w:r w:rsidR="006B43C9" w:rsidRPr="00154588">
              <w:rPr>
                <w:bCs/>
                <w:sz w:val="20"/>
                <w:szCs w:val="20"/>
              </w:rPr>
              <w:t xml:space="preserve"> să ajungă la o </w:t>
            </w:r>
            <w:r w:rsidRPr="00154588">
              <w:rPr>
                <w:bCs/>
                <w:sz w:val="20"/>
                <w:szCs w:val="20"/>
              </w:rPr>
              <w:t>, decizi</w:t>
            </w:r>
            <w:r w:rsidR="006B43C9" w:rsidRPr="00154588">
              <w:rPr>
                <w:bCs/>
                <w:sz w:val="20"/>
                <w:szCs w:val="20"/>
              </w:rPr>
              <w:t>e</w:t>
            </w:r>
            <w:r w:rsidRPr="00154588">
              <w:rPr>
                <w:bCs/>
                <w:sz w:val="20"/>
                <w:szCs w:val="20"/>
              </w:rPr>
              <w:t xml:space="preserve"> comun</w:t>
            </w:r>
            <w:r w:rsidR="006B43C9" w:rsidRPr="00154588">
              <w:rPr>
                <w:bCs/>
                <w:sz w:val="20"/>
                <w:szCs w:val="20"/>
              </w:rPr>
              <w:t>ă</w:t>
            </w:r>
            <w:r w:rsidRPr="00154588">
              <w:rPr>
                <w:bCs/>
                <w:sz w:val="20"/>
                <w:szCs w:val="20"/>
              </w:rPr>
              <w:t xml:space="preserve"> în conformitate cu articolul 31 litera (c) din Regulamentul (UE) nr. 1093/2010.</w:t>
            </w:r>
          </w:p>
        </w:tc>
        <w:tc>
          <w:tcPr>
            <w:tcW w:w="4819" w:type="dxa"/>
          </w:tcPr>
          <w:p w14:paraId="6F5298CF" w14:textId="283C573B" w:rsidR="001D7A54" w:rsidRPr="00154588" w:rsidRDefault="001D7A54" w:rsidP="008C12B4">
            <w:pPr>
              <w:ind w:firstLine="567"/>
              <w:jc w:val="both"/>
              <w:rPr>
                <w:rFonts w:eastAsia="Calibri"/>
                <w:sz w:val="20"/>
                <w:szCs w:val="20"/>
              </w:rPr>
            </w:pPr>
            <w:r w:rsidRPr="00154588">
              <w:rPr>
                <w:rFonts w:eastAsia="Calibri"/>
                <w:b/>
                <w:sz w:val="20"/>
                <w:szCs w:val="20"/>
              </w:rPr>
              <w:t>Articolul 22</w:t>
            </w:r>
            <w:r w:rsidRPr="00154588">
              <w:rPr>
                <w:rFonts w:eastAsia="Calibri"/>
                <w:b/>
                <w:sz w:val="20"/>
                <w:szCs w:val="20"/>
                <w:vertAlign w:val="superscript"/>
              </w:rPr>
              <w:t>16</w:t>
            </w:r>
            <w:r w:rsidRPr="00154588">
              <w:rPr>
                <w:rFonts w:eastAsia="Calibri"/>
                <w:sz w:val="20"/>
                <w:szCs w:val="20"/>
              </w:rPr>
              <w:t>. – Banca Națională a Moldovei, în calitate de autoritate competentă la nivel individual, depune toate eforturile pentru adoptarea, într-un termen de patru luni de la data transmiterii planului de redresare a grupului de către supraveghetorul consolidant, a deciziei comune prevăzute la art.22</w:t>
            </w:r>
            <w:r w:rsidRPr="00154588">
              <w:rPr>
                <w:rFonts w:eastAsia="Calibri"/>
                <w:sz w:val="20"/>
                <w:szCs w:val="20"/>
                <w:vertAlign w:val="superscript"/>
              </w:rPr>
              <w:t>11</w:t>
            </w:r>
            <w:r w:rsidRPr="00154588">
              <w:rPr>
                <w:rFonts w:eastAsia="Calibri"/>
                <w:sz w:val="20"/>
                <w:szCs w:val="20"/>
              </w:rPr>
              <w:t xml:space="preserve">, sens în care poate solicita Autorității Bancare Europene </w:t>
            </w:r>
            <w:r w:rsidR="007105BB" w:rsidRPr="00154588">
              <w:rPr>
                <w:rFonts w:eastAsia="Calibri"/>
                <w:sz w:val="20"/>
                <w:szCs w:val="20"/>
              </w:rPr>
              <w:t>ajutor in vederea ajungerii la o decizie comună,</w:t>
            </w:r>
            <w:r w:rsidRPr="00154588">
              <w:rPr>
                <w:rFonts w:eastAsia="Calibri"/>
                <w:sz w:val="20"/>
                <w:szCs w:val="20"/>
              </w:rPr>
              <w:t xml:space="preserve"> în conformitate cu prevederile art.31 lit.c) din Regulamentul (UE) nr.1093/2010.</w:t>
            </w:r>
          </w:p>
        </w:tc>
        <w:tc>
          <w:tcPr>
            <w:tcW w:w="2552" w:type="dxa"/>
          </w:tcPr>
          <w:p w14:paraId="4EBD1E4E" w14:textId="50D50919" w:rsidR="001D7A54" w:rsidRPr="00154588" w:rsidRDefault="001D7A54" w:rsidP="008C12B4">
            <w:pPr>
              <w:jc w:val="both"/>
              <w:rPr>
                <w:bCs/>
                <w:sz w:val="20"/>
                <w:szCs w:val="20"/>
              </w:rPr>
            </w:pPr>
            <w:r w:rsidRPr="00154588">
              <w:rPr>
                <w:bCs/>
                <w:sz w:val="20"/>
                <w:szCs w:val="20"/>
              </w:rPr>
              <w:t>Compatibil</w:t>
            </w:r>
          </w:p>
        </w:tc>
        <w:tc>
          <w:tcPr>
            <w:tcW w:w="3118" w:type="dxa"/>
          </w:tcPr>
          <w:p w14:paraId="48407FC3" w14:textId="77777777" w:rsidR="001D7A54" w:rsidRPr="00154588" w:rsidRDefault="001D7A54" w:rsidP="008C12B4">
            <w:pPr>
              <w:jc w:val="both"/>
              <w:rPr>
                <w:rFonts w:eastAsia="Calibri"/>
                <w:sz w:val="20"/>
                <w:szCs w:val="20"/>
              </w:rPr>
            </w:pPr>
          </w:p>
        </w:tc>
      </w:tr>
      <w:tr w:rsidR="001D7A54" w:rsidRPr="00154588" w14:paraId="5AE78D86" w14:textId="77777777" w:rsidTr="00D15C1B">
        <w:trPr>
          <w:jc w:val="center"/>
        </w:trPr>
        <w:tc>
          <w:tcPr>
            <w:tcW w:w="4957" w:type="dxa"/>
            <w:gridSpan w:val="2"/>
          </w:tcPr>
          <w:p w14:paraId="63BB5EAC" w14:textId="77777777" w:rsidR="001D7A54" w:rsidRPr="00154588" w:rsidRDefault="001D7A54" w:rsidP="008C12B4">
            <w:pPr>
              <w:jc w:val="both"/>
              <w:rPr>
                <w:bCs/>
                <w:sz w:val="20"/>
                <w:szCs w:val="20"/>
              </w:rPr>
            </w:pPr>
            <w:r w:rsidRPr="00154588">
              <w:rPr>
                <w:bCs/>
                <w:sz w:val="20"/>
                <w:szCs w:val="20"/>
              </w:rPr>
              <w:t>(4)   În absența unei decizii comune între autoritățile competente în termen de patru luni de la data transmiterii, cu privire la:</w:t>
            </w:r>
          </w:p>
          <w:p w14:paraId="262BC80C" w14:textId="77777777" w:rsidR="001D7A54" w:rsidRPr="00154588" w:rsidRDefault="001D7A54" w:rsidP="008C12B4">
            <w:pPr>
              <w:jc w:val="both"/>
              <w:rPr>
                <w:bCs/>
                <w:sz w:val="20"/>
                <w:szCs w:val="20"/>
              </w:rPr>
            </w:pPr>
          </w:p>
          <w:p w14:paraId="78A64CD9" w14:textId="77777777" w:rsidR="001D7A54" w:rsidRPr="00154588" w:rsidRDefault="001D7A54" w:rsidP="008C12B4">
            <w:pPr>
              <w:jc w:val="both"/>
              <w:rPr>
                <w:bCs/>
                <w:sz w:val="20"/>
                <w:szCs w:val="20"/>
              </w:rPr>
            </w:pPr>
            <w:r w:rsidRPr="00154588">
              <w:rPr>
                <w:bCs/>
                <w:sz w:val="20"/>
                <w:szCs w:val="20"/>
              </w:rPr>
              <w:t>(a) elaborarea sau nu a unui plan de redresare pe bază individuală pentru instituțiile aflate sub jurisdicția sa; sau</w:t>
            </w:r>
          </w:p>
          <w:p w14:paraId="1EDF0E88" w14:textId="77777777" w:rsidR="001D7A54" w:rsidRPr="00154588" w:rsidRDefault="001D7A54" w:rsidP="008C12B4">
            <w:pPr>
              <w:jc w:val="both"/>
              <w:rPr>
                <w:bCs/>
                <w:sz w:val="20"/>
                <w:szCs w:val="20"/>
              </w:rPr>
            </w:pPr>
          </w:p>
          <w:p w14:paraId="6E3D27E2" w14:textId="77777777" w:rsidR="001D7A54" w:rsidRPr="00154588" w:rsidRDefault="001D7A54" w:rsidP="008C12B4">
            <w:pPr>
              <w:jc w:val="both"/>
              <w:rPr>
                <w:bCs/>
                <w:sz w:val="20"/>
                <w:szCs w:val="20"/>
              </w:rPr>
            </w:pPr>
            <w:r w:rsidRPr="00154588">
              <w:rPr>
                <w:bCs/>
                <w:sz w:val="20"/>
                <w:szCs w:val="20"/>
              </w:rPr>
              <w:t>(b) aplicarea la nivel de filială a măsurilor menționate la articolul 6 alineatele (5) și (6);</w:t>
            </w:r>
          </w:p>
          <w:p w14:paraId="3B2FF6F2" w14:textId="77777777" w:rsidR="001D7A54" w:rsidRPr="00154588" w:rsidRDefault="001D7A54" w:rsidP="008C12B4">
            <w:pPr>
              <w:jc w:val="both"/>
              <w:rPr>
                <w:bCs/>
                <w:sz w:val="20"/>
                <w:szCs w:val="20"/>
              </w:rPr>
            </w:pPr>
          </w:p>
          <w:p w14:paraId="3A2186D8" w14:textId="77777777" w:rsidR="001D7A54" w:rsidRPr="00154588" w:rsidRDefault="001D7A54" w:rsidP="008C12B4">
            <w:pPr>
              <w:jc w:val="both"/>
              <w:rPr>
                <w:bCs/>
                <w:sz w:val="20"/>
                <w:szCs w:val="20"/>
              </w:rPr>
            </w:pPr>
          </w:p>
          <w:p w14:paraId="333ED9A5" w14:textId="77777777" w:rsidR="001D7A54" w:rsidRPr="00154588" w:rsidRDefault="001D7A54" w:rsidP="008C12B4">
            <w:pPr>
              <w:jc w:val="both"/>
              <w:rPr>
                <w:bCs/>
                <w:sz w:val="20"/>
                <w:szCs w:val="20"/>
              </w:rPr>
            </w:pPr>
            <w:r w:rsidRPr="00154588">
              <w:rPr>
                <w:bCs/>
                <w:sz w:val="20"/>
                <w:szCs w:val="20"/>
              </w:rPr>
              <w:t>fiecare autoritate competentă ia propria sa decizie cu privire la acest aspect.</w:t>
            </w:r>
          </w:p>
          <w:p w14:paraId="0D306C3B" w14:textId="77777777" w:rsidR="001D7A54" w:rsidRPr="00154588" w:rsidRDefault="001D7A54" w:rsidP="008C12B4">
            <w:pPr>
              <w:jc w:val="both"/>
              <w:rPr>
                <w:bCs/>
                <w:sz w:val="20"/>
                <w:szCs w:val="20"/>
              </w:rPr>
            </w:pPr>
          </w:p>
          <w:p w14:paraId="3384DFBD" w14:textId="15B4CC62" w:rsidR="001D7A54" w:rsidRPr="00154588" w:rsidRDefault="001D7A54" w:rsidP="008C12B4">
            <w:pPr>
              <w:jc w:val="both"/>
              <w:rPr>
                <w:bCs/>
                <w:sz w:val="20"/>
                <w:szCs w:val="20"/>
              </w:rPr>
            </w:pPr>
            <w:r w:rsidRPr="00154588">
              <w:rPr>
                <w:bCs/>
                <w:sz w:val="20"/>
                <w:szCs w:val="20"/>
              </w:rPr>
              <w:lastRenderedPageBreak/>
              <w:t>Dacă, până la finalul perioadei de patru luni, oricare dintre autoritățile competente implicate a adus în atenția ABE o problemă menționată la alineatul (7), în conformitate cu articolul 19 din Regulamentul (UE) nr. 1093/2010, autoritatea competentă a filialei își amână decizia și așteaptă decizia luată de ABE în conformitate cu articolul 19 alineatul (3) din regulamentul menționat, adoptând ulterior propria sa decizie în conformitate cu decizia ABE. Perioada de patru luni este considerată a fi perioada de conciliere în înțelesul regulamentului menționat. ABE adoptă propria decizie în termen de o lună. Problema nu poate fi adusă în atenția ABE după expirarea perioadei de patru luni sau după ce s-a ajuns la o decizie comună. În absența unei decizii a ABE în termen de o lună, se aplică decizia autorității competente responsabile pentru filială la nivel individual.</w:t>
            </w:r>
          </w:p>
        </w:tc>
        <w:tc>
          <w:tcPr>
            <w:tcW w:w="4819" w:type="dxa"/>
          </w:tcPr>
          <w:p w14:paraId="6A72022A" w14:textId="2DEB2875" w:rsidR="001D7A54" w:rsidRPr="00154588" w:rsidRDefault="001D7A54" w:rsidP="008C12B4">
            <w:pPr>
              <w:ind w:firstLine="567"/>
              <w:jc w:val="both"/>
              <w:rPr>
                <w:rFonts w:eastAsia="Calibri"/>
                <w:sz w:val="20"/>
                <w:szCs w:val="20"/>
              </w:rPr>
            </w:pPr>
            <w:r w:rsidRPr="00154588">
              <w:rPr>
                <w:rFonts w:eastAsia="Calibri"/>
                <w:b/>
                <w:sz w:val="20"/>
                <w:szCs w:val="20"/>
              </w:rPr>
              <w:lastRenderedPageBreak/>
              <w:t>Articolul 22</w:t>
            </w:r>
            <w:r w:rsidRPr="00154588">
              <w:rPr>
                <w:rFonts w:eastAsia="Calibri"/>
                <w:b/>
                <w:sz w:val="20"/>
                <w:szCs w:val="20"/>
                <w:vertAlign w:val="superscript"/>
              </w:rPr>
              <w:t>17</w:t>
            </w:r>
            <w:r w:rsidRPr="00154588">
              <w:rPr>
                <w:rFonts w:eastAsia="Calibri"/>
                <w:sz w:val="20"/>
                <w:szCs w:val="20"/>
              </w:rPr>
              <w:t xml:space="preserve">. – </w:t>
            </w:r>
            <w:r w:rsidR="0088695E" w:rsidRPr="00154588">
              <w:rPr>
                <w:rFonts w:eastAsia="Calibri"/>
                <w:sz w:val="20"/>
                <w:szCs w:val="20"/>
              </w:rPr>
              <w:t>Banca Națională a Moldovei, în calitate de autoritate competentă la nivel individual, adoptă propria decizie, î</w:t>
            </w:r>
            <w:r w:rsidRPr="00154588">
              <w:rPr>
                <w:rFonts w:eastAsia="Calibri"/>
                <w:sz w:val="20"/>
                <w:szCs w:val="20"/>
              </w:rPr>
              <w:t>n absența unei decizii comune între autoritățile competente în termen de patru luni prevăzut la art.22</w:t>
            </w:r>
            <w:r w:rsidRPr="00154588">
              <w:rPr>
                <w:rFonts w:eastAsia="Calibri"/>
                <w:sz w:val="20"/>
                <w:szCs w:val="20"/>
                <w:vertAlign w:val="superscript"/>
              </w:rPr>
              <w:t>16</w:t>
            </w:r>
            <w:r w:rsidRPr="00154588">
              <w:rPr>
                <w:rFonts w:eastAsia="Calibri"/>
                <w:sz w:val="20"/>
                <w:szCs w:val="20"/>
              </w:rPr>
              <w:t xml:space="preserve"> de la data transmiterii, cu privire la:</w:t>
            </w:r>
          </w:p>
          <w:p w14:paraId="32C9F0B5" w14:textId="77777777" w:rsidR="001D7A54" w:rsidRPr="00154588" w:rsidRDefault="001D7A54" w:rsidP="008C12B4">
            <w:pPr>
              <w:ind w:firstLine="567"/>
              <w:jc w:val="both"/>
              <w:rPr>
                <w:rFonts w:eastAsia="Calibri"/>
                <w:kern w:val="2"/>
                <w:sz w:val="20"/>
                <w:szCs w:val="20"/>
                <w14:ligatures w14:val="standardContextual"/>
              </w:rPr>
            </w:pPr>
            <w:r w:rsidRPr="00154588">
              <w:rPr>
                <w:rFonts w:eastAsia="Calibri"/>
                <w:sz w:val="20"/>
                <w:szCs w:val="20"/>
              </w:rPr>
              <w:t>a) elaborarea sau nu a unui plan de redresare pe bază individuală pentru instituțiile de credit aflate sub jurisdicția Băncii Naționale a Moldovei; sau</w:t>
            </w:r>
          </w:p>
          <w:p w14:paraId="0824155E" w14:textId="317BE8EC" w:rsidR="001D7A54" w:rsidRPr="00154588" w:rsidRDefault="001D7A54" w:rsidP="008C12B4">
            <w:pPr>
              <w:ind w:firstLine="567"/>
              <w:jc w:val="both"/>
              <w:rPr>
                <w:rFonts w:eastAsia="Calibri"/>
                <w:sz w:val="20"/>
                <w:szCs w:val="20"/>
              </w:rPr>
            </w:pPr>
            <w:r w:rsidRPr="00154588">
              <w:rPr>
                <w:rFonts w:eastAsia="Calibri"/>
                <w:sz w:val="20"/>
                <w:szCs w:val="20"/>
              </w:rPr>
              <w:t>b) aplicarea la nivel de filială, persoane juridice din Republica Moldova a măsurilor menționate la art.20 și art.21</w:t>
            </w:r>
            <w:r w:rsidR="0088695E" w:rsidRPr="00154588">
              <w:rPr>
                <w:rFonts w:eastAsia="Calibri"/>
                <w:sz w:val="20"/>
                <w:szCs w:val="20"/>
              </w:rPr>
              <w:t>.</w:t>
            </w:r>
          </w:p>
          <w:p w14:paraId="3E6AC8BC" w14:textId="77777777" w:rsidR="001D7A54" w:rsidRPr="00154588" w:rsidRDefault="001D7A54" w:rsidP="008C12B4">
            <w:pPr>
              <w:ind w:firstLine="567"/>
              <w:jc w:val="both"/>
              <w:rPr>
                <w:rFonts w:eastAsia="Calibri"/>
                <w:sz w:val="20"/>
                <w:szCs w:val="20"/>
              </w:rPr>
            </w:pPr>
            <w:r w:rsidRPr="00154588">
              <w:rPr>
                <w:rFonts w:eastAsia="Calibri"/>
                <w:b/>
                <w:sz w:val="20"/>
                <w:szCs w:val="20"/>
              </w:rPr>
              <w:t>Articolul 22</w:t>
            </w:r>
            <w:r w:rsidRPr="00154588">
              <w:rPr>
                <w:rFonts w:eastAsia="Calibri"/>
                <w:b/>
                <w:sz w:val="20"/>
                <w:szCs w:val="20"/>
                <w:vertAlign w:val="superscript"/>
              </w:rPr>
              <w:t>18</w:t>
            </w:r>
            <w:r w:rsidRPr="00154588">
              <w:rPr>
                <w:rFonts w:eastAsia="Calibri"/>
                <w:sz w:val="20"/>
                <w:szCs w:val="20"/>
              </w:rPr>
              <w:t>. – (1) Dacă în termenul de patru luni prevăzut la art.22</w:t>
            </w:r>
            <w:r w:rsidRPr="00154588">
              <w:rPr>
                <w:rFonts w:eastAsia="Calibri"/>
                <w:sz w:val="20"/>
                <w:szCs w:val="20"/>
                <w:vertAlign w:val="superscript"/>
              </w:rPr>
              <w:t>16</w:t>
            </w:r>
            <w:r w:rsidRPr="00154588">
              <w:rPr>
                <w:rFonts w:eastAsia="Calibri"/>
                <w:sz w:val="20"/>
                <w:szCs w:val="20"/>
              </w:rPr>
              <w:t xml:space="preserve">, oricare dintre autoritățile competente implicate potrivit aceluiași articol se adresează Autorității </w:t>
            </w:r>
            <w:r w:rsidRPr="00154588">
              <w:rPr>
                <w:rFonts w:eastAsia="Calibri"/>
                <w:sz w:val="20"/>
                <w:szCs w:val="20"/>
              </w:rPr>
              <w:lastRenderedPageBreak/>
              <w:t xml:space="preserve">Bancare Europene </w:t>
            </w:r>
            <w:r w:rsidRPr="00154588" w:rsidDel="00EC3951">
              <w:rPr>
                <w:rFonts w:eastAsia="Calibri"/>
                <w:sz w:val="20"/>
                <w:szCs w:val="20"/>
              </w:rPr>
              <w:t>în conformitate cu prevederile art.19 din Regulamentul (UE) nr.1093/2010</w:t>
            </w:r>
            <w:r w:rsidRPr="00154588">
              <w:rPr>
                <w:rFonts w:eastAsia="Calibri"/>
                <w:sz w:val="20"/>
                <w:szCs w:val="20"/>
              </w:rPr>
              <w:t xml:space="preserve"> în legătură cu evaluarea planurilor de redresare și cu implementarea măsurilor prevăzute la art.21 alin.(4) lit.a), b) și d), Banca Națională a Moldovei, în calitate de autoritate competentă la nivel individual, își amână decizia și așteaptă decizia Autorității Bancare Europene.</w:t>
            </w:r>
          </w:p>
          <w:p w14:paraId="21A3B57B" w14:textId="77777777" w:rsidR="001D7A54" w:rsidRPr="00154588" w:rsidRDefault="001D7A54" w:rsidP="008C12B4">
            <w:pPr>
              <w:ind w:firstLine="567"/>
              <w:contextualSpacing/>
              <w:jc w:val="both"/>
              <w:rPr>
                <w:rFonts w:eastAsia="Calibri"/>
                <w:sz w:val="20"/>
                <w:szCs w:val="20"/>
              </w:rPr>
            </w:pPr>
            <w:r w:rsidRPr="00154588">
              <w:rPr>
                <w:rFonts w:eastAsia="Calibri"/>
                <w:sz w:val="20"/>
                <w:szCs w:val="20"/>
              </w:rPr>
              <w:t xml:space="preserve">(2) Perioada de patru luni se consideră perioada de conciliere </w:t>
            </w:r>
            <w:r w:rsidRPr="00154588" w:rsidDel="00EC3951">
              <w:rPr>
                <w:rFonts w:eastAsia="Calibri"/>
                <w:sz w:val="20"/>
                <w:szCs w:val="20"/>
              </w:rPr>
              <w:t>în sensul art.19 din Regulamentul (UE) nr.1093/2010</w:t>
            </w:r>
            <w:r w:rsidRPr="00154588">
              <w:rPr>
                <w:rFonts w:eastAsia="Calibri"/>
                <w:sz w:val="20"/>
                <w:szCs w:val="20"/>
              </w:rPr>
              <w:t>.</w:t>
            </w:r>
          </w:p>
          <w:p w14:paraId="2075F9B7" w14:textId="77777777" w:rsidR="001D7A54" w:rsidRPr="00154588" w:rsidRDefault="001D7A54" w:rsidP="008C12B4">
            <w:pPr>
              <w:ind w:firstLine="567"/>
              <w:contextualSpacing/>
              <w:jc w:val="both"/>
              <w:rPr>
                <w:rFonts w:eastAsia="Calibri"/>
                <w:sz w:val="20"/>
                <w:szCs w:val="20"/>
              </w:rPr>
            </w:pPr>
            <w:r w:rsidRPr="00154588">
              <w:rPr>
                <w:rFonts w:eastAsia="Calibri"/>
                <w:sz w:val="20"/>
                <w:szCs w:val="20"/>
              </w:rPr>
              <w:t>(3) Banca Națională a Moldovei, în calitate de autoritate competentă la nivel individual, adoptă propria decizie în conformitate cu decizia Autorității Bancare Europene exprimată în termen de o lună.</w:t>
            </w:r>
          </w:p>
          <w:p w14:paraId="68F9A6A3" w14:textId="77777777" w:rsidR="001D7A54" w:rsidRPr="00154588" w:rsidRDefault="001D7A54" w:rsidP="008C12B4">
            <w:pPr>
              <w:ind w:firstLine="567"/>
              <w:jc w:val="both"/>
              <w:rPr>
                <w:rFonts w:eastAsia="Calibri"/>
                <w:sz w:val="20"/>
                <w:szCs w:val="20"/>
              </w:rPr>
            </w:pPr>
            <w:r w:rsidRPr="00154588">
              <w:rPr>
                <w:rFonts w:eastAsia="Calibri"/>
                <w:sz w:val="20"/>
                <w:szCs w:val="20"/>
              </w:rPr>
              <w:t>(4) După expirarea termenului de patru luni sau după ce s-a ajuns la o decizie comună, Banca Națională a Moldovei, în calitate de autoritate competentă la nivel individual, nu se mai poate adresa Autorității Bancare Europene în legătură cu evaluarea planurilor de redresare și cu implementarea măsurilor prevăzute la art.21 alin.(4) lit. a), b) și d).</w:t>
            </w:r>
          </w:p>
          <w:p w14:paraId="0B882550" w14:textId="0FF88035" w:rsidR="001D7A54" w:rsidRPr="00154588" w:rsidRDefault="001D7A54" w:rsidP="008C12B4">
            <w:pPr>
              <w:ind w:firstLine="567"/>
              <w:jc w:val="both"/>
              <w:rPr>
                <w:rFonts w:eastAsia="Calibri"/>
                <w:sz w:val="20"/>
                <w:szCs w:val="20"/>
              </w:rPr>
            </w:pPr>
            <w:r w:rsidRPr="00154588">
              <w:rPr>
                <w:rFonts w:eastAsia="Calibri"/>
                <w:sz w:val="20"/>
                <w:szCs w:val="20"/>
              </w:rPr>
              <w:t>(5) În absența unei decizii a Autorității Bancare Europene în termen de o lună, se aplică decizia Băncii Naționale a Moldovei, în calitate de autoritate competentă pentru filială la nivel individual.</w:t>
            </w:r>
          </w:p>
        </w:tc>
        <w:tc>
          <w:tcPr>
            <w:tcW w:w="2552" w:type="dxa"/>
          </w:tcPr>
          <w:p w14:paraId="010C24C4" w14:textId="66CF1441" w:rsidR="001D7A54" w:rsidRPr="00154588" w:rsidRDefault="001D7A54" w:rsidP="008C12B4">
            <w:pPr>
              <w:jc w:val="both"/>
              <w:rPr>
                <w:bCs/>
                <w:sz w:val="20"/>
                <w:szCs w:val="20"/>
              </w:rPr>
            </w:pPr>
            <w:r w:rsidRPr="00154588">
              <w:rPr>
                <w:bCs/>
                <w:sz w:val="20"/>
                <w:szCs w:val="20"/>
              </w:rPr>
              <w:lastRenderedPageBreak/>
              <w:t>Compatibil</w:t>
            </w:r>
          </w:p>
        </w:tc>
        <w:tc>
          <w:tcPr>
            <w:tcW w:w="3118" w:type="dxa"/>
          </w:tcPr>
          <w:p w14:paraId="49EB173E" w14:textId="77777777" w:rsidR="001D7A54" w:rsidRPr="00154588" w:rsidRDefault="001D7A54" w:rsidP="008C12B4">
            <w:pPr>
              <w:jc w:val="both"/>
              <w:rPr>
                <w:rFonts w:eastAsia="Calibri"/>
                <w:sz w:val="20"/>
                <w:szCs w:val="20"/>
              </w:rPr>
            </w:pPr>
          </w:p>
        </w:tc>
      </w:tr>
      <w:tr w:rsidR="001D7A54" w:rsidRPr="00154588" w14:paraId="45AE61F8" w14:textId="77777777" w:rsidTr="00D15C1B">
        <w:trPr>
          <w:jc w:val="center"/>
        </w:trPr>
        <w:tc>
          <w:tcPr>
            <w:tcW w:w="4957" w:type="dxa"/>
            <w:gridSpan w:val="2"/>
          </w:tcPr>
          <w:p w14:paraId="0E03380C" w14:textId="6ADC5AF3" w:rsidR="001D7A54" w:rsidRPr="00154588" w:rsidRDefault="001D7A54" w:rsidP="008C12B4">
            <w:pPr>
              <w:jc w:val="both"/>
              <w:rPr>
                <w:bCs/>
                <w:sz w:val="20"/>
                <w:szCs w:val="20"/>
              </w:rPr>
            </w:pPr>
            <w:r w:rsidRPr="00154588">
              <w:rPr>
                <w:bCs/>
                <w:sz w:val="20"/>
                <w:szCs w:val="20"/>
              </w:rPr>
              <w:t>(5) Celelalte autorități competente între care nu există un dezacord în conformitate cu alineatul (4) pot ajunge la o decizie comună privind planul de redresare a grupului care acoperă entitățile din grup aflate sub jurisdicțiile lor.</w:t>
            </w:r>
          </w:p>
        </w:tc>
        <w:tc>
          <w:tcPr>
            <w:tcW w:w="4819" w:type="dxa"/>
          </w:tcPr>
          <w:p w14:paraId="2C89D789" w14:textId="006C2179" w:rsidR="001D7A54" w:rsidRPr="00154588" w:rsidRDefault="001D7A54" w:rsidP="008C12B4">
            <w:pPr>
              <w:ind w:firstLine="567"/>
              <w:jc w:val="both"/>
              <w:rPr>
                <w:rFonts w:eastAsia="Calibri"/>
                <w:sz w:val="20"/>
                <w:szCs w:val="20"/>
              </w:rPr>
            </w:pPr>
            <w:r w:rsidRPr="00154588">
              <w:rPr>
                <w:rFonts w:eastAsia="Calibri"/>
                <w:b/>
                <w:sz w:val="20"/>
                <w:szCs w:val="20"/>
              </w:rPr>
              <w:t>Articolul 22</w:t>
            </w:r>
            <w:r w:rsidRPr="00154588">
              <w:rPr>
                <w:rFonts w:eastAsia="Calibri"/>
                <w:b/>
                <w:sz w:val="20"/>
                <w:szCs w:val="20"/>
                <w:vertAlign w:val="superscript"/>
              </w:rPr>
              <w:t>19</w:t>
            </w:r>
            <w:r w:rsidRPr="00154588">
              <w:rPr>
                <w:rFonts w:eastAsia="Calibri"/>
                <w:sz w:val="20"/>
                <w:szCs w:val="20"/>
              </w:rPr>
              <w:t>. –</w:t>
            </w:r>
            <w:r w:rsidRPr="00154588" w:rsidDel="00C742BF">
              <w:rPr>
                <w:rFonts w:eastAsia="Calibri"/>
                <w:sz w:val="20"/>
                <w:szCs w:val="20"/>
              </w:rPr>
              <w:t xml:space="preserve"> </w:t>
            </w:r>
            <w:r w:rsidRPr="00154588">
              <w:rPr>
                <w:rFonts w:eastAsia="Calibri"/>
                <w:sz w:val="20"/>
                <w:szCs w:val="20"/>
              </w:rPr>
              <w:t>Banca Națională a Moldovei, în calitate de autoritate competentă la nivel individual, poate ajunge, împreună cu celelalte autorități competente</w:t>
            </w:r>
            <w:r w:rsidRPr="00154588">
              <w:rPr>
                <w:rFonts w:eastAsia="Calibri"/>
                <w:kern w:val="2"/>
                <w:sz w:val="20"/>
                <w:szCs w:val="20"/>
                <w14:ligatures w14:val="standardContextual"/>
              </w:rPr>
              <w:t xml:space="preserve"> </w:t>
            </w:r>
            <w:r w:rsidRPr="00154588">
              <w:rPr>
                <w:rFonts w:eastAsia="Calibri"/>
                <w:sz w:val="20"/>
                <w:szCs w:val="20"/>
              </w:rPr>
              <w:t>între care nu există un dezacord în sensul art.22</w:t>
            </w:r>
            <w:r w:rsidRPr="00154588">
              <w:rPr>
                <w:rFonts w:eastAsia="Calibri"/>
                <w:sz w:val="20"/>
                <w:szCs w:val="20"/>
                <w:vertAlign w:val="superscript"/>
              </w:rPr>
              <w:t>18</w:t>
            </w:r>
            <w:r w:rsidRPr="00154588">
              <w:rPr>
                <w:rFonts w:eastAsia="Calibri"/>
                <w:sz w:val="20"/>
                <w:szCs w:val="20"/>
              </w:rPr>
              <w:t>, la o decizie comună cu privire la un plan de redresare la nivel de grup care vizează entitățile din grup aflate sub jurisdicțiile lor.</w:t>
            </w:r>
          </w:p>
        </w:tc>
        <w:tc>
          <w:tcPr>
            <w:tcW w:w="2552" w:type="dxa"/>
          </w:tcPr>
          <w:p w14:paraId="3F1E7EEF" w14:textId="3148E14C" w:rsidR="001D7A54" w:rsidRPr="00154588" w:rsidRDefault="001D7A54" w:rsidP="008C12B4">
            <w:pPr>
              <w:jc w:val="both"/>
              <w:rPr>
                <w:bCs/>
                <w:sz w:val="20"/>
                <w:szCs w:val="20"/>
              </w:rPr>
            </w:pPr>
            <w:r w:rsidRPr="00154588">
              <w:rPr>
                <w:bCs/>
                <w:sz w:val="20"/>
                <w:szCs w:val="20"/>
              </w:rPr>
              <w:t>Compatibil</w:t>
            </w:r>
          </w:p>
        </w:tc>
        <w:tc>
          <w:tcPr>
            <w:tcW w:w="3118" w:type="dxa"/>
          </w:tcPr>
          <w:p w14:paraId="0FF85A56" w14:textId="77777777" w:rsidR="001D7A54" w:rsidRPr="00154588" w:rsidRDefault="001D7A54" w:rsidP="008C12B4">
            <w:pPr>
              <w:jc w:val="both"/>
              <w:rPr>
                <w:rFonts w:eastAsia="Calibri"/>
                <w:sz w:val="20"/>
                <w:szCs w:val="20"/>
              </w:rPr>
            </w:pPr>
          </w:p>
        </w:tc>
      </w:tr>
      <w:tr w:rsidR="001D7A54" w:rsidRPr="00154588" w14:paraId="0E59A045" w14:textId="77777777" w:rsidTr="00D15C1B">
        <w:trPr>
          <w:jc w:val="center"/>
        </w:trPr>
        <w:tc>
          <w:tcPr>
            <w:tcW w:w="4957" w:type="dxa"/>
            <w:gridSpan w:val="2"/>
          </w:tcPr>
          <w:p w14:paraId="64DDBEA5" w14:textId="229A1956" w:rsidR="001D7A54" w:rsidRPr="00154588" w:rsidRDefault="001D7A54" w:rsidP="008C12B4">
            <w:pPr>
              <w:jc w:val="both"/>
              <w:rPr>
                <w:bCs/>
                <w:sz w:val="20"/>
                <w:szCs w:val="20"/>
              </w:rPr>
            </w:pPr>
            <w:r w:rsidRPr="00154588">
              <w:rPr>
                <w:bCs/>
                <w:sz w:val="20"/>
                <w:szCs w:val="20"/>
              </w:rPr>
              <w:t>(6) Decizia comună menționată la alineatul (2) sau (5), precum și deciziile adoptate de autoritățile competente în absența deciziei comune menționate la alineatele (3) și (4) sunt recunoscute ca fiind definitive și sunt aplicate de către autoritățile competente din statele membre în cauză.</w:t>
            </w:r>
          </w:p>
        </w:tc>
        <w:tc>
          <w:tcPr>
            <w:tcW w:w="4819" w:type="dxa"/>
          </w:tcPr>
          <w:p w14:paraId="29E7BEA6" w14:textId="2631D22D" w:rsidR="001D7A54" w:rsidRPr="00154588" w:rsidRDefault="001D7A54" w:rsidP="008C12B4">
            <w:pPr>
              <w:ind w:firstLine="567"/>
              <w:jc w:val="both"/>
              <w:rPr>
                <w:rFonts w:eastAsia="Calibri"/>
                <w:sz w:val="20"/>
                <w:szCs w:val="20"/>
              </w:rPr>
            </w:pPr>
            <w:r w:rsidRPr="00154588">
              <w:rPr>
                <w:rFonts w:eastAsia="Calibri"/>
                <w:b/>
                <w:sz w:val="20"/>
                <w:szCs w:val="20"/>
              </w:rPr>
              <w:t>Articolul 22</w:t>
            </w:r>
            <w:r w:rsidRPr="00154588">
              <w:rPr>
                <w:rFonts w:eastAsia="Calibri"/>
                <w:b/>
                <w:sz w:val="20"/>
                <w:szCs w:val="20"/>
                <w:vertAlign w:val="superscript"/>
              </w:rPr>
              <w:t>20</w:t>
            </w:r>
            <w:r w:rsidRPr="00154588">
              <w:rPr>
                <w:rFonts w:eastAsia="Calibri"/>
                <w:sz w:val="20"/>
                <w:szCs w:val="20"/>
              </w:rPr>
              <w:t>. – Decizia comună prevăzută la art.22</w:t>
            </w:r>
            <w:r w:rsidRPr="00154588">
              <w:rPr>
                <w:rFonts w:eastAsia="Calibri"/>
                <w:sz w:val="20"/>
                <w:szCs w:val="20"/>
                <w:vertAlign w:val="superscript"/>
              </w:rPr>
              <w:t>16</w:t>
            </w:r>
            <w:r w:rsidRPr="00154588">
              <w:rPr>
                <w:rFonts w:eastAsia="Calibri"/>
                <w:sz w:val="20"/>
                <w:szCs w:val="20"/>
              </w:rPr>
              <w:t> și 22</w:t>
            </w:r>
            <w:r w:rsidRPr="00154588">
              <w:rPr>
                <w:rFonts w:eastAsia="Calibri"/>
                <w:sz w:val="20"/>
                <w:szCs w:val="20"/>
                <w:vertAlign w:val="superscript"/>
              </w:rPr>
              <w:t>19 </w:t>
            </w:r>
            <w:r w:rsidRPr="00154588">
              <w:rPr>
                <w:rFonts w:eastAsia="Calibri"/>
                <w:sz w:val="20"/>
                <w:szCs w:val="20"/>
              </w:rPr>
              <w:t>sau decizia adoptată în absența deciziei comune, prevăzută la art.22</w:t>
            </w:r>
            <w:r w:rsidRPr="00154588">
              <w:rPr>
                <w:rFonts w:eastAsia="Calibri"/>
                <w:sz w:val="20"/>
                <w:szCs w:val="20"/>
                <w:vertAlign w:val="superscript"/>
              </w:rPr>
              <w:t>17</w:t>
            </w:r>
            <w:r w:rsidRPr="00154588">
              <w:rPr>
                <w:rFonts w:eastAsia="Calibri"/>
                <w:sz w:val="20"/>
                <w:szCs w:val="20"/>
              </w:rPr>
              <w:t>, este recunoscută ca definitivă și este aplicată în mod corespunzător.</w:t>
            </w:r>
          </w:p>
        </w:tc>
        <w:tc>
          <w:tcPr>
            <w:tcW w:w="2552" w:type="dxa"/>
          </w:tcPr>
          <w:p w14:paraId="3A899FB3" w14:textId="53F7F8B9" w:rsidR="001D7A54" w:rsidRPr="00154588" w:rsidRDefault="001D7A54" w:rsidP="008C12B4">
            <w:pPr>
              <w:jc w:val="both"/>
              <w:rPr>
                <w:bCs/>
                <w:sz w:val="20"/>
                <w:szCs w:val="20"/>
              </w:rPr>
            </w:pPr>
            <w:r w:rsidRPr="00154588">
              <w:rPr>
                <w:bCs/>
                <w:sz w:val="20"/>
                <w:szCs w:val="20"/>
              </w:rPr>
              <w:t>Compatibil</w:t>
            </w:r>
          </w:p>
        </w:tc>
        <w:tc>
          <w:tcPr>
            <w:tcW w:w="3118" w:type="dxa"/>
          </w:tcPr>
          <w:p w14:paraId="4CC0751C" w14:textId="77777777" w:rsidR="001D7A54" w:rsidRPr="00154588" w:rsidRDefault="001D7A54" w:rsidP="008C12B4">
            <w:pPr>
              <w:jc w:val="both"/>
              <w:rPr>
                <w:rFonts w:eastAsia="Calibri"/>
                <w:sz w:val="20"/>
                <w:szCs w:val="20"/>
              </w:rPr>
            </w:pPr>
          </w:p>
        </w:tc>
      </w:tr>
      <w:tr w:rsidR="001D7A54" w:rsidRPr="00154588" w14:paraId="02B91F61" w14:textId="77777777" w:rsidTr="00D15C1B">
        <w:trPr>
          <w:jc w:val="center"/>
        </w:trPr>
        <w:tc>
          <w:tcPr>
            <w:tcW w:w="4957" w:type="dxa"/>
            <w:gridSpan w:val="2"/>
          </w:tcPr>
          <w:p w14:paraId="1313B3E1" w14:textId="1FB5E168" w:rsidR="001D7A54" w:rsidRPr="00154588" w:rsidRDefault="001D7A54" w:rsidP="008C12B4">
            <w:pPr>
              <w:jc w:val="both"/>
              <w:rPr>
                <w:bCs/>
                <w:sz w:val="20"/>
                <w:szCs w:val="20"/>
              </w:rPr>
            </w:pPr>
            <w:r w:rsidRPr="00154588">
              <w:rPr>
                <w:bCs/>
                <w:sz w:val="20"/>
                <w:szCs w:val="20"/>
              </w:rPr>
              <w:t>(7) La solicitarea unei autorități competente în conformitate cu alineatul (3) sau (4), ABE poate doar să acorde asistență autorităților competente pentru ajungerea la un acord în conformitate cu articolul 19 alineatul (3) din Regulamentul (UE) nr. 1093/2010 referitor la evaluarea planurilor de redresare și la punerea în aplicare a măsurilor prevăzute la articolul 6 alineatul (6) literele (a), (b) și (d).</w:t>
            </w:r>
          </w:p>
        </w:tc>
        <w:tc>
          <w:tcPr>
            <w:tcW w:w="4819" w:type="dxa"/>
          </w:tcPr>
          <w:p w14:paraId="75E8785B" w14:textId="77777777" w:rsidR="001D7A54" w:rsidRPr="00154588" w:rsidRDefault="001D7A54" w:rsidP="008C12B4">
            <w:pPr>
              <w:jc w:val="both"/>
              <w:rPr>
                <w:bCs/>
                <w:sz w:val="20"/>
                <w:szCs w:val="20"/>
              </w:rPr>
            </w:pPr>
          </w:p>
        </w:tc>
        <w:tc>
          <w:tcPr>
            <w:tcW w:w="2552" w:type="dxa"/>
          </w:tcPr>
          <w:p w14:paraId="725E2F0B" w14:textId="6B0DC26C" w:rsidR="001D7A54" w:rsidRPr="00154588" w:rsidRDefault="001D7A54" w:rsidP="008C12B4">
            <w:pPr>
              <w:jc w:val="both"/>
              <w:rPr>
                <w:bCs/>
                <w:sz w:val="20"/>
                <w:szCs w:val="20"/>
              </w:rPr>
            </w:pPr>
            <w:r w:rsidRPr="00154588">
              <w:rPr>
                <w:bCs/>
                <w:sz w:val="20"/>
                <w:szCs w:val="20"/>
              </w:rPr>
              <w:t>Compatibil</w:t>
            </w:r>
          </w:p>
        </w:tc>
        <w:tc>
          <w:tcPr>
            <w:tcW w:w="3118" w:type="dxa"/>
          </w:tcPr>
          <w:p w14:paraId="59091C45" w14:textId="77777777" w:rsidR="001D7A54" w:rsidRPr="00154588" w:rsidRDefault="001D7A54" w:rsidP="008C12B4">
            <w:pPr>
              <w:jc w:val="both"/>
              <w:rPr>
                <w:rFonts w:eastAsia="Calibri"/>
                <w:sz w:val="20"/>
                <w:szCs w:val="20"/>
                <w:u w:val="single"/>
              </w:rPr>
            </w:pPr>
            <w:r w:rsidRPr="00154588">
              <w:rPr>
                <w:rFonts w:eastAsia="Calibri"/>
                <w:sz w:val="20"/>
                <w:szCs w:val="20"/>
              </w:rPr>
              <w:t xml:space="preserve">Măsurilor prevăzute la Articolul 6 (6) (a) (b) și (d) </w:t>
            </w:r>
            <w:r w:rsidRPr="00154588">
              <w:rPr>
                <w:rFonts w:eastAsia="Calibri"/>
                <w:sz w:val="20"/>
                <w:szCs w:val="20"/>
                <w:u w:val="single"/>
              </w:rPr>
              <w:t>sunt transpuse in art.21 alin. (4) lit. a) b) și d).</w:t>
            </w:r>
          </w:p>
          <w:p w14:paraId="4D8E6406" w14:textId="77777777" w:rsidR="001D7A54" w:rsidRPr="00154588" w:rsidRDefault="001D7A54" w:rsidP="008C12B4">
            <w:pPr>
              <w:jc w:val="both"/>
              <w:rPr>
                <w:bCs/>
                <w:sz w:val="20"/>
                <w:szCs w:val="20"/>
              </w:rPr>
            </w:pPr>
            <w:r w:rsidRPr="00154588">
              <w:rPr>
                <w:bCs/>
                <w:sz w:val="20"/>
                <w:szCs w:val="20"/>
              </w:rPr>
              <w:br/>
              <w:t>Alineatul 7 din articolul 8 este transpus la articolul 22</w:t>
            </w:r>
            <w:r w:rsidRPr="00154588">
              <w:rPr>
                <w:bCs/>
                <w:sz w:val="20"/>
                <w:szCs w:val="20"/>
                <w:vertAlign w:val="superscript"/>
              </w:rPr>
              <w:t>12</w:t>
            </w:r>
            <w:r w:rsidRPr="00154588">
              <w:rPr>
                <w:bCs/>
                <w:sz w:val="20"/>
                <w:szCs w:val="20"/>
              </w:rPr>
              <w:t xml:space="preserve"> alineatele (2) și (5) prin textul „evaluarea planurilor de redresare și punerea în aplicare a măsurilor prevăzute la </w:t>
            </w:r>
            <w:r w:rsidRPr="00154588">
              <w:rPr>
                <w:bCs/>
                <w:sz w:val="20"/>
                <w:szCs w:val="20"/>
              </w:rPr>
              <w:lastRenderedPageBreak/>
              <w:t>articolul 21 alineatul (4) litera a), b) și d)"</w:t>
            </w:r>
          </w:p>
          <w:p w14:paraId="6AA015AA" w14:textId="77777777" w:rsidR="001D7A54" w:rsidRPr="00154588" w:rsidRDefault="001D7A54" w:rsidP="008C12B4">
            <w:pPr>
              <w:jc w:val="both"/>
              <w:rPr>
                <w:bCs/>
                <w:sz w:val="20"/>
                <w:szCs w:val="20"/>
              </w:rPr>
            </w:pPr>
            <w:r w:rsidRPr="00154588">
              <w:rPr>
                <w:bCs/>
                <w:sz w:val="20"/>
                <w:szCs w:val="20"/>
              </w:rPr>
              <w:t>De asemenea, la articolul 22</w:t>
            </w:r>
            <w:r w:rsidRPr="00154588">
              <w:rPr>
                <w:bCs/>
                <w:sz w:val="20"/>
                <w:szCs w:val="20"/>
                <w:vertAlign w:val="superscript"/>
              </w:rPr>
              <w:t>18</w:t>
            </w:r>
            <w:r w:rsidRPr="00154588">
              <w:rPr>
                <w:bCs/>
                <w:sz w:val="20"/>
                <w:szCs w:val="20"/>
              </w:rPr>
              <w:t xml:space="preserve"> alineatele (1) și (4).</w:t>
            </w:r>
          </w:p>
          <w:p w14:paraId="223FC018" w14:textId="7791C09F" w:rsidR="001D7A54" w:rsidRPr="00154588" w:rsidRDefault="001D7A54" w:rsidP="008C12B4">
            <w:pPr>
              <w:jc w:val="both"/>
              <w:rPr>
                <w:rFonts w:eastAsia="Calibri"/>
                <w:sz w:val="20"/>
                <w:szCs w:val="20"/>
              </w:rPr>
            </w:pPr>
            <w:r w:rsidRPr="00154588">
              <w:rPr>
                <w:bCs/>
                <w:sz w:val="20"/>
                <w:szCs w:val="20"/>
              </w:rPr>
              <w:t>Întrucât măsurile prevăzute la articolul 6(6) literele (a), (b) și (d) din directivă sunt transpuse la Articolul 21 alineatele (4) litera a), b) și d).</w:t>
            </w:r>
          </w:p>
        </w:tc>
      </w:tr>
      <w:tr w:rsidR="001E7EB6" w:rsidRPr="00154588" w14:paraId="0108F536" w14:textId="77777777" w:rsidTr="00D15C1B">
        <w:trPr>
          <w:jc w:val="center"/>
        </w:trPr>
        <w:tc>
          <w:tcPr>
            <w:tcW w:w="4957" w:type="dxa"/>
            <w:gridSpan w:val="2"/>
          </w:tcPr>
          <w:p w14:paraId="41B8E88F" w14:textId="77777777" w:rsidR="001E7EB6" w:rsidRPr="00154588" w:rsidRDefault="001E7EB6" w:rsidP="008C12B4">
            <w:pPr>
              <w:rPr>
                <w:b/>
                <w:sz w:val="20"/>
                <w:szCs w:val="20"/>
              </w:rPr>
            </w:pPr>
            <w:r w:rsidRPr="00154588">
              <w:rPr>
                <w:b/>
                <w:sz w:val="20"/>
                <w:szCs w:val="20"/>
              </w:rPr>
              <w:lastRenderedPageBreak/>
              <w:t>Articolul 9</w:t>
            </w:r>
          </w:p>
          <w:p w14:paraId="6DBE85F8" w14:textId="77777777" w:rsidR="001E7EB6" w:rsidRPr="00154588" w:rsidRDefault="001E7EB6" w:rsidP="008C12B4">
            <w:pPr>
              <w:rPr>
                <w:b/>
                <w:sz w:val="20"/>
                <w:szCs w:val="20"/>
              </w:rPr>
            </w:pPr>
          </w:p>
          <w:p w14:paraId="0E8CF182" w14:textId="41267AFF" w:rsidR="001E7EB6" w:rsidRPr="00154588" w:rsidRDefault="001E7EB6" w:rsidP="008C12B4">
            <w:pPr>
              <w:rPr>
                <w:bCs/>
                <w:sz w:val="20"/>
                <w:szCs w:val="20"/>
              </w:rPr>
            </w:pPr>
            <w:r w:rsidRPr="00154588">
              <w:rPr>
                <w:b/>
                <w:sz w:val="20"/>
                <w:szCs w:val="20"/>
              </w:rPr>
              <w:t>Indicatorii planului de redresare</w:t>
            </w:r>
          </w:p>
        </w:tc>
        <w:tc>
          <w:tcPr>
            <w:tcW w:w="4819" w:type="dxa"/>
          </w:tcPr>
          <w:p w14:paraId="1850F04D" w14:textId="77777777" w:rsidR="00686541" w:rsidRPr="00154588" w:rsidRDefault="00686541" w:rsidP="008C12B4">
            <w:pPr>
              <w:ind w:firstLine="567"/>
              <w:jc w:val="center"/>
              <w:rPr>
                <w:rFonts w:eastAsia="Calibri"/>
                <w:b/>
                <w:sz w:val="20"/>
                <w:szCs w:val="20"/>
              </w:rPr>
            </w:pPr>
            <w:r w:rsidRPr="00154588">
              <w:rPr>
                <w:rFonts w:eastAsia="Calibri"/>
                <w:b/>
                <w:sz w:val="20"/>
                <w:szCs w:val="20"/>
              </w:rPr>
              <w:t>Secțiunea 2</w:t>
            </w:r>
            <w:r w:rsidRPr="00154588">
              <w:rPr>
                <w:rFonts w:eastAsia="Calibri"/>
                <w:b/>
                <w:sz w:val="20"/>
                <w:szCs w:val="20"/>
                <w:vertAlign w:val="superscript"/>
              </w:rPr>
              <w:t>4</w:t>
            </w:r>
          </w:p>
          <w:p w14:paraId="09A3F324" w14:textId="55A91E1E" w:rsidR="001E7EB6" w:rsidRPr="00154588" w:rsidRDefault="00686541" w:rsidP="008C12B4">
            <w:pPr>
              <w:ind w:firstLine="567"/>
              <w:jc w:val="center"/>
              <w:rPr>
                <w:rFonts w:eastAsia="Calibri"/>
                <w:b/>
                <w:sz w:val="20"/>
                <w:szCs w:val="20"/>
              </w:rPr>
            </w:pPr>
            <w:r w:rsidRPr="00154588">
              <w:rPr>
                <w:rFonts w:eastAsia="Calibri"/>
                <w:b/>
                <w:sz w:val="20"/>
                <w:szCs w:val="20"/>
              </w:rPr>
              <w:t>Indicatorii planului de redresare</w:t>
            </w:r>
          </w:p>
        </w:tc>
        <w:tc>
          <w:tcPr>
            <w:tcW w:w="2552" w:type="dxa"/>
          </w:tcPr>
          <w:p w14:paraId="0768D327" w14:textId="77777777" w:rsidR="001E7EB6" w:rsidRPr="00154588" w:rsidRDefault="001E7EB6" w:rsidP="008C12B4">
            <w:pPr>
              <w:jc w:val="both"/>
              <w:rPr>
                <w:bCs/>
                <w:sz w:val="20"/>
                <w:szCs w:val="20"/>
              </w:rPr>
            </w:pPr>
          </w:p>
        </w:tc>
        <w:tc>
          <w:tcPr>
            <w:tcW w:w="3118" w:type="dxa"/>
          </w:tcPr>
          <w:p w14:paraId="5B7932CB" w14:textId="77777777" w:rsidR="001E7EB6" w:rsidRPr="00154588" w:rsidRDefault="001E7EB6" w:rsidP="008C12B4">
            <w:pPr>
              <w:jc w:val="both"/>
              <w:rPr>
                <w:bCs/>
                <w:sz w:val="20"/>
                <w:szCs w:val="20"/>
              </w:rPr>
            </w:pPr>
          </w:p>
        </w:tc>
      </w:tr>
      <w:tr w:rsidR="005E0361" w:rsidRPr="00154588" w14:paraId="640C88CF" w14:textId="77777777" w:rsidTr="00D15C1B">
        <w:trPr>
          <w:jc w:val="center"/>
        </w:trPr>
        <w:tc>
          <w:tcPr>
            <w:tcW w:w="4957" w:type="dxa"/>
            <w:gridSpan w:val="2"/>
          </w:tcPr>
          <w:p w14:paraId="26393AD4" w14:textId="77777777" w:rsidR="005E0361" w:rsidRPr="00154588" w:rsidRDefault="005E0361" w:rsidP="008C12B4">
            <w:pPr>
              <w:jc w:val="both"/>
              <w:rPr>
                <w:bCs/>
                <w:sz w:val="20"/>
                <w:szCs w:val="20"/>
              </w:rPr>
            </w:pPr>
            <w:r w:rsidRPr="00154588">
              <w:rPr>
                <w:bCs/>
                <w:sz w:val="20"/>
                <w:szCs w:val="20"/>
              </w:rPr>
              <w:t>(1)   În sensul articolelor 5-8, autoritățile competente solicită ca fiecare plan de redresare să includă un cadru de indicatori, stabilit de instituție, care identifică etapele în care pot fi luate măsurile corespunzătoare menționate în plan. Acești indicatori sunt agreați de către autoritățile competente atunci când evaluează planurile de redresare în conformitate cu articolele 6 și 8. Indicatorii pot fi calitativi sau cantitativi în ceea ce privește poziția financiară a instituției, și pot fi monitorizați cu ușurință. Autoritățile competente se asigură că instituțiile pun în aplicare dispoziții adecvate pentru monitorizarea periodică a indicatorilor.</w:t>
            </w:r>
          </w:p>
          <w:p w14:paraId="7C929308" w14:textId="77777777" w:rsidR="005E0361" w:rsidRPr="00154588" w:rsidRDefault="005E0361" w:rsidP="008C12B4">
            <w:pPr>
              <w:jc w:val="both"/>
              <w:rPr>
                <w:bCs/>
                <w:sz w:val="20"/>
                <w:szCs w:val="20"/>
              </w:rPr>
            </w:pPr>
            <w:r w:rsidRPr="00154588">
              <w:rPr>
                <w:bCs/>
                <w:sz w:val="20"/>
                <w:szCs w:val="20"/>
              </w:rPr>
              <w:t>Fără a aduce atingere primului paragraf, o instituție poate:</w:t>
            </w:r>
          </w:p>
          <w:p w14:paraId="1E1F86B4" w14:textId="77777777" w:rsidR="005E0361" w:rsidRPr="00154588" w:rsidRDefault="005E0361" w:rsidP="008C12B4">
            <w:pPr>
              <w:jc w:val="both"/>
              <w:rPr>
                <w:bCs/>
                <w:sz w:val="20"/>
                <w:szCs w:val="20"/>
              </w:rPr>
            </w:pPr>
          </w:p>
          <w:p w14:paraId="6C5876C8" w14:textId="77777777" w:rsidR="005E0361" w:rsidRPr="00154588" w:rsidRDefault="005E0361" w:rsidP="008C12B4">
            <w:pPr>
              <w:jc w:val="both"/>
              <w:rPr>
                <w:bCs/>
                <w:sz w:val="20"/>
                <w:szCs w:val="20"/>
              </w:rPr>
            </w:pPr>
          </w:p>
          <w:p w14:paraId="408C3CF4" w14:textId="77777777" w:rsidR="005E0361" w:rsidRPr="00154588" w:rsidRDefault="005E0361" w:rsidP="008C12B4">
            <w:pPr>
              <w:jc w:val="both"/>
              <w:rPr>
                <w:bCs/>
                <w:sz w:val="20"/>
                <w:szCs w:val="20"/>
              </w:rPr>
            </w:pPr>
          </w:p>
          <w:p w14:paraId="3B506F36" w14:textId="77777777" w:rsidR="00077017" w:rsidRPr="00154588" w:rsidRDefault="00077017" w:rsidP="008C12B4">
            <w:pPr>
              <w:jc w:val="both"/>
              <w:rPr>
                <w:bCs/>
                <w:sz w:val="20"/>
                <w:szCs w:val="20"/>
              </w:rPr>
            </w:pPr>
          </w:p>
          <w:p w14:paraId="4712172D" w14:textId="72BC4282" w:rsidR="005E0361" w:rsidRPr="00154588" w:rsidRDefault="005E0361" w:rsidP="008C12B4">
            <w:pPr>
              <w:jc w:val="both"/>
              <w:rPr>
                <w:bCs/>
                <w:sz w:val="20"/>
                <w:szCs w:val="20"/>
              </w:rPr>
            </w:pPr>
            <w:r w:rsidRPr="00154588">
              <w:rPr>
                <w:bCs/>
                <w:sz w:val="20"/>
                <w:szCs w:val="20"/>
              </w:rPr>
              <w:t>(a) să ia măsuri pe baza planului său de redresare în cazul în care indicatorul relevant nu a fost respectat, însă numai atunci când conducerea instituției consideră că acest lucru este adecvat în condițiile date; sau</w:t>
            </w:r>
          </w:p>
          <w:p w14:paraId="115C8029" w14:textId="128F07BC" w:rsidR="005E0361" w:rsidRPr="00154588" w:rsidRDefault="005E0361" w:rsidP="008C12B4">
            <w:pPr>
              <w:jc w:val="both"/>
              <w:rPr>
                <w:bCs/>
                <w:sz w:val="20"/>
                <w:szCs w:val="20"/>
              </w:rPr>
            </w:pPr>
            <w:r w:rsidRPr="00154588">
              <w:rPr>
                <w:bCs/>
                <w:sz w:val="20"/>
                <w:szCs w:val="20"/>
              </w:rPr>
              <w:t>(b) să nu ia o astfel de măsură în cazul în care conducerea instituției consideră că acest lucru nu este adecvat în condițiile date.</w:t>
            </w:r>
          </w:p>
          <w:p w14:paraId="24AD6CFA" w14:textId="77777777" w:rsidR="005E0361" w:rsidRPr="00154588" w:rsidRDefault="005E0361" w:rsidP="008C12B4">
            <w:pPr>
              <w:jc w:val="both"/>
              <w:rPr>
                <w:bCs/>
                <w:sz w:val="20"/>
                <w:szCs w:val="20"/>
              </w:rPr>
            </w:pPr>
          </w:p>
          <w:p w14:paraId="233AB007" w14:textId="77777777" w:rsidR="005E0361" w:rsidRPr="00154588" w:rsidRDefault="005E0361" w:rsidP="008C12B4">
            <w:pPr>
              <w:jc w:val="both"/>
              <w:rPr>
                <w:bCs/>
                <w:sz w:val="20"/>
                <w:szCs w:val="20"/>
              </w:rPr>
            </w:pPr>
          </w:p>
          <w:p w14:paraId="04EE1E08" w14:textId="2C3A829F" w:rsidR="005E0361" w:rsidRPr="00154588" w:rsidRDefault="005E0361" w:rsidP="008C12B4">
            <w:pPr>
              <w:jc w:val="both"/>
              <w:rPr>
                <w:bCs/>
                <w:sz w:val="20"/>
                <w:szCs w:val="20"/>
              </w:rPr>
            </w:pPr>
            <w:r w:rsidRPr="00154588">
              <w:rPr>
                <w:bCs/>
                <w:sz w:val="20"/>
                <w:szCs w:val="20"/>
              </w:rPr>
              <w:t>Decizia de a lua o măsură prevăzută în planul de redresare sau decizia de a nu lua o astfel de măsură este notificată fără întârziere autorității competente.</w:t>
            </w:r>
          </w:p>
        </w:tc>
        <w:tc>
          <w:tcPr>
            <w:tcW w:w="4819" w:type="dxa"/>
          </w:tcPr>
          <w:p w14:paraId="6CB2801B" w14:textId="77777777" w:rsidR="005E0361" w:rsidRPr="00154588" w:rsidRDefault="005E0361" w:rsidP="008C12B4">
            <w:pPr>
              <w:ind w:firstLine="567"/>
              <w:jc w:val="both"/>
              <w:rPr>
                <w:rFonts w:eastAsia="Calibri"/>
                <w:sz w:val="20"/>
                <w:szCs w:val="20"/>
              </w:rPr>
            </w:pPr>
            <w:r w:rsidRPr="00154588">
              <w:rPr>
                <w:rFonts w:eastAsia="Calibri"/>
                <w:b/>
                <w:sz w:val="20"/>
                <w:szCs w:val="20"/>
              </w:rPr>
              <w:t>Articolul 22</w:t>
            </w:r>
            <w:r w:rsidRPr="00154588">
              <w:rPr>
                <w:rFonts w:eastAsia="Calibri"/>
                <w:b/>
                <w:sz w:val="20"/>
                <w:szCs w:val="20"/>
                <w:vertAlign w:val="superscript"/>
              </w:rPr>
              <w:t>21</w:t>
            </w:r>
            <w:r w:rsidRPr="00154588">
              <w:rPr>
                <w:rFonts w:eastAsia="Calibri"/>
                <w:sz w:val="20"/>
                <w:szCs w:val="20"/>
              </w:rPr>
              <w:t>. – (1) În sensul art.9-22</w:t>
            </w:r>
            <w:r w:rsidRPr="00154588">
              <w:rPr>
                <w:rFonts w:eastAsia="Calibri"/>
                <w:sz w:val="20"/>
                <w:szCs w:val="20"/>
                <w:vertAlign w:val="superscript"/>
              </w:rPr>
              <w:t>20</w:t>
            </w:r>
            <w:r w:rsidRPr="00154588">
              <w:rPr>
                <w:rFonts w:eastAsia="Calibri"/>
                <w:sz w:val="20"/>
                <w:szCs w:val="20"/>
              </w:rPr>
              <w:t>, instituțiile de credit stabilesc și includ în planurile de redresare o serie de indicatori calitativi și cantitativi în ceea ce privește poziția financiară a instituției de credit, și care pot fi monitorizați cu ușurință și care precizează momentele la care trebuie întreprinse măsurile prevăzute în plan.</w:t>
            </w:r>
          </w:p>
          <w:p w14:paraId="16E980D9" w14:textId="77777777" w:rsidR="005E0361" w:rsidRPr="00154588" w:rsidRDefault="005E0361" w:rsidP="008C12B4">
            <w:pPr>
              <w:ind w:firstLine="567"/>
              <w:jc w:val="both"/>
              <w:rPr>
                <w:rFonts w:eastAsia="Calibri"/>
                <w:sz w:val="20"/>
                <w:szCs w:val="20"/>
              </w:rPr>
            </w:pPr>
            <w:r w:rsidRPr="00154588">
              <w:rPr>
                <w:rFonts w:eastAsia="Calibri"/>
                <w:sz w:val="20"/>
                <w:szCs w:val="20"/>
              </w:rPr>
              <w:t>(2) Instituțiile de credit stabilesc indicatorii astfel încât să demonstreze Băncii Naționale a Moldovei, în calitate de autoritate competentă la nivel individual sau de supraveghetor consolidant, că dispun de aranjamente adecvate pentru monitorizarea periodică a indicatorilor.</w:t>
            </w:r>
          </w:p>
          <w:p w14:paraId="1700D42F" w14:textId="77777777" w:rsidR="005E0361" w:rsidRPr="00154588" w:rsidRDefault="005E0361" w:rsidP="008C12B4">
            <w:pPr>
              <w:ind w:firstLine="567"/>
              <w:jc w:val="both"/>
              <w:rPr>
                <w:rFonts w:eastAsia="Calibri"/>
                <w:sz w:val="20"/>
                <w:szCs w:val="20"/>
              </w:rPr>
            </w:pPr>
            <w:r w:rsidRPr="00154588">
              <w:rPr>
                <w:rFonts w:eastAsia="Calibri"/>
                <w:sz w:val="20"/>
                <w:szCs w:val="20"/>
              </w:rPr>
              <w:t>(3) Acești indicatori sunt agreați de către Banca Națională a Moldovei, în calitate de supraveghetor consolidant sau de autoritate competentă la nivel individual.</w:t>
            </w:r>
          </w:p>
          <w:p w14:paraId="15D8D044" w14:textId="77777777" w:rsidR="005E0361" w:rsidRPr="00154588" w:rsidRDefault="005E0361" w:rsidP="008C12B4">
            <w:pPr>
              <w:ind w:firstLine="567"/>
              <w:jc w:val="both"/>
              <w:rPr>
                <w:rFonts w:eastAsia="Calibri"/>
                <w:sz w:val="20"/>
                <w:szCs w:val="20"/>
              </w:rPr>
            </w:pPr>
            <w:r w:rsidRPr="00154588">
              <w:rPr>
                <w:rFonts w:eastAsia="Calibri"/>
                <w:sz w:val="20"/>
                <w:szCs w:val="20"/>
              </w:rPr>
              <w:t>(4) Fără a aduce atingere la alin.(1), o instituție de credit poate:</w:t>
            </w:r>
          </w:p>
          <w:p w14:paraId="39BA753B" w14:textId="77777777" w:rsidR="005E0361" w:rsidRPr="00154588" w:rsidRDefault="005E0361" w:rsidP="008C12B4">
            <w:pPr>
              <w:ind w:firstLine="567"/>
              <w:jc w:val="both"/>
              <w:rPr>
                <w:rFonts w:eastAsia="Calibri"/>
                <w:sz w:val="20"/>
                <w:szCs w:val="20"/>
              </w:rPr>
            </w:pPr>
            <w:r w:rsidRPr="00154588">
              <w:rPr>
                <w:rFonts w:eastAsia="Calibri"/>
                <w:sz w:val="20"/>
                <w:szCs w:val="20"/>
              </w:rPr>
              <w:t>a) să ia măsuri pe baza planului său de redresare în cazul în care indicatorul relevant nu a fost respectat, însă numai atunci când organul de conducere consideră că acest lucru este adecvat în condițiile date; sau</w:t>
            </w:r>
          </w:p>
          <w:p w14:paraId="41301893" w14:textId="77777777" w:rsidR="005E0361" w:rsidRPr="00154588" w:rsidRDefault="005E0361" w:rsidP="008C12B4">
            <w:pPr>
              <w:ind w:firstLine="567"/>
              <w:jc w:val="both"/>
              <w:rPr>
                <w:rFonts w:eastAsia="Calibri"/>
                <w:sz w:val="20"/>
                <w:szCs w:val="20"/>
              </w:rPr>
            </w:pPr>
            <w:r w:rsidRPr="00154588">
              <w:rPr>
                <w:rFonts w:eastAsia="Calibri"/>
                <w:sz w:val="20"/>
                <w:szCs w:val="20"/>
              </w:rPr>
              <w:t>b) să nu ia o astfel de măsură în cazul în care organul de conducere consideră că acest lucru nu este adecvat în condițiile date.</w:t>
            </w:r>
          </w:p>
          <w:p w14:paraId="0AE0AEDE" w14:textId="7C32BA43" w:rsidR="005E0361" w:rsidRPr="00154588" w:rsidRDefault="005E0361" w:rsidP="008C12B4">
            <w:pPr>
              <w:ind w:firstLine="567"/>
              <w:jc w:val="both"/>
              <w:rPr>
                <w:rFonts w:eastAsia="Calibri"/>
                <w:kern w:val="2"/>
                <w:sz w:val="20"/>
                <w:szCs w:val="20"/>
                <w14:ligatures w14:val="standardContextual"/>
              </w:rPr>
            </w:pPr>
            <w:r w:rsidRPr="00154588">
              <w:rPr>
                <w:rFonts w:eastAsia="Calibri"/>
                <w:sz w:val="20"/>
                <w:szCs w:val="20"/>
              </w:rPr>
              <w:t>(5) Decizia de a lua sau nu o măsură prevăzută în planul de redresare, precum și orice situație în care este încălcat un indicator de redresare este  notificată fără întârziere Băncii Naționale a Moldovei în calitate de autoritate competentă la nivel individual sau de supraveghetor consolidant.</w:t>
            </w:r>
          </w:p>
        </w:tc>
        <w:tc>
          <w:tcPr>
            <w:tcW w:w="2552" w:type="dxa"/>
          </w:tcPr>
          <w:p w14:paraId="08232DF1" w14:textId="21C46152" w:rsidR="005E0361" w:rsidRPr="00154588" w:rsidRDefault="005E0361" w:rsidP="008C12B4">
            <w:pPr>
              <w:jc w:val="both"/>
              <w:rPr>
                <w:bCs/>
                <w:sz w:val="20"/>
                <w:szCs w:val="20"/>
              </w:rPr>
            </w:pPr>
            <w:r w:rsidRPr="00154588">
              <w:rPr>
                <w:bCs/>
                <w:sz w:val="20"/>
                <w:szCs w:val="20"/>
              </w:rPr>
              <w:t>Compatibil</w:t>
            </w:r>
          </w:p>
        </w:tc>
        <w:tc>
          <w:tcPr>
            <w:tcW w:w="3118" w:type="dxa"/>
          </w:tcPr>
          <w:p w14:paraId="48A62E86" w14:textId="77777777" w:rsidR="005E0361" w:rsidRPr="00154588" w:rsidRDefault="005E0361" w:rsidP="008C12B4">
            <w:pPr>
              <w:jc w:val="both"/>
              <w:rPr>
                <w:bCs/>
                <w:sz w:val="20"/>
                <w:szCs w:val="20"/>
              </w:rPr>
            </w:pPr>
          </w:p>
        </w:tc>
      </w:tr>
      <w:tr w:rsidR="005E0361" w:rsidRPr="00154588" w14:paraId="47E58630" w14:textId="77777777" w:rsidTr="00D15C1B">
        <w:trPr>
          <w:jc w:val="center"/>
        </w:trPr>
        <w:tc>
          <w:tcPr>
            <w:tcW w:w="4957" w:type="dxa"/>
            <w:gridSpan w:val="2"/>
          </w:tcPr>
          <w:p w14:paraId="0B2C595B" w14:textId="08CE67C2" w:rsidR="005E0361" w:rsidRPr="00154588" w:rsidRDefault="005E0361" w:rsidP="008C12B4">
            <w:pPr>
              <w:jc w:val="both"/>
              <w:rPr>
                <w:bCs/>
                <w:sz w:val="20"/>
                <w:szCs w:val="20"/>
              </w:rPr>
            </w:pPr>
            <w:r w:rsidRPr="00154588">
              <w:rPr>
                <w:bCs/>
                <w:sz w:val="20"/>
                <w:szCs w:val="20"/>
              </w:rPr>
              <w:t xml:space="preserve">(2)   Până la 3 iulie 2015, ABE elaborează orientări în conformitate cu articolul 16 din Regulamentul (UE) nr. </w:t>
            </w:r>
            <w:r w:rsidRPr="00154588">
              <w:rPr>
                <w:bCs/>
                <w:sz w:val="20"/>
                <w:szCs w:val="20"/>
              </w:rPr>
              <w:lastRenderedPageBreak/>
              <w:t>1093/2010 prin care specifică lista minimă a indicatorilor calitativi și cantitativi menționați la alineatul (1).</w:t>
            </w:r>
          </w:p>
        </w:tc>
        <w:tc>
          <w:tcPr>
            <w:tcW w:w="4819" w:type="dxa"/>
          </w:tcPr>
          <w:p w14:paraId="4A4D724A" w14:textId="496B80E4" w:rsidR="005E0361" w:rsidRPr="00154588" w:rsidRDefault="005E0361" w:rsidP="008C12B4">
            <w:pPr>
              <w:jc w:val="center"/>
              <w:rPr>
                <w:bCs/>
                <w:sz w:val="20"/>
                <w:szCs w:val="20"/>
              </w:rPr>
            </w:pPr>
            <w:r w:rsidRPr="00154588">
              <w:rPr>
                <w:bCs/>
                <w:sz w:val="20"/>
                <w:szCs w:val="20"/>
              </w:rPr>
              <w:lastRenderedPageBreak/>
              <w:t>-</w:t>
            </w:r>
          </w:p>
        </w:tc>
        <w:tc>
          <w:tcPr>
            <w:tcW w:w="2552" w:type="dxa"/>
          </w:tcPr>
          <w:p w14:paraId="142B0918" w14:textId="798C3C59" w:rsidR="005E0361" w:rsidRPr="00154588" w:rsidRDefault="005E0361" w:rsidP="008C12B4">
            <w:pPr>
              <w:jc w:val="both"/>
              <w:rPr>
                <w:bCs/>
                <w:sz w:val="20"/>
                <w:szCs w:val="20"/>
              </w:rPr>
            </w:pPr>
            <w:r w:rsidRPr="00154588">
              <w:rPr>
                <w:bCs/>
                <w:sz w:val="20"/>
                <w:szCs w:val="20"/>
              </w:rPr>
              <w:t>Norme UE neaplicabile</w:t>
            </w:r>
          </w:p>
        </w:tc>
        <w:tc>
          <w:tcPr>
            <w:tcW w:w="3118" w:type="dxa"/>
          </w:tcPr>
          <w:p w14:paraId="5208A666" w14:textId="18B549E5" w:rsidR="005E0361" w:rsidRPr="00154588" w:rsidRDefault="005E0361" w:rsidP="008C12B4">
            <w:pPr>
              <w:jc w:val="both"/>
              <w:rPr>
                <w:bCs/>
                <w:sz w:val="20"/>
                <w:szCs w:val="20"/>
              </w:rPr>
            </w:pPr>
            <w:r w:rsidRPr="00154588">
              <w:rPr>
                <w:bCs/>
                <w:sz w:val="20"/>
                <w:szCs w:val="20"/>
                <w:lang w:val="ro-MD"/>
              </w:rPr>
              <w:t>Prevederi care se referă la atribuțiile de reglementare ale autorităților europene.</w:t>
            </w:r>
          </w:p>
        </w:tc>
      </w:tr>
      <w:tr w:rsidR="005E0361" w:rsidRPr="00154588" w14:paraId="0CC91599" w14:textId="77777777" w:rsidTr="00D15C1B">
        <w:trPr>
          <w:jc w:val="center"/>
        </w:trPr>
        <w:tc>
          <w:tcPr>
            <w:tcW w:w="4957" w:type="dxa"/>
            <w:gridSpan w:val="2"/>
          </w:tcPr>
          <w:p w14:paraId="139391DB" w14:textId="77777777" w:rsidR="005E0361" w:rsidRPr="00154588" w:rsidRDefault="005E0361" w:rsidP="008C12B4">
            <w:pPr>
              <w:rPr>
                <w:b/>
                <w:sz w:val="20"/>
                <w:szCs w:val="20"/>
              </w:rPr>
            </w:pPr>
            <w:r w:rsidRPr="00154588">
              <w:rPr>
                <w:b/>
                <w:sz w:val="20"/>
                <w:szCs w:val="20"/>
              </w:rPr>
              <w:t>Secțiunea 3</w:t>
            </w:r>
          </w:p>
          <w:p w14:paraId="1F4F2BBE" w14:textId="77777777" w:rsidR="005E0361" w:rsidRPr="00154588" w:rsidRDefault="005E0361" w:rsidP="008C12B4">
            <w:pPr>
              <w:rPr>
                <w:b/>
                <w:sz w:val="20"/>
                <w:szCs w:val="20"/>
              </w:rPr>
            </w:pPr>
          </w:p>
          <w:p w14:paraId="5BB31CF9" w14:textId="3B4DDFCE" w:rsidR="005E0361" w:rsidRPr="00154588" w:rsidRDefault="005E0361" w:rsidP="008C12B4">
            <w:pPr>
              <w:rPr>
                <w:bCs/>
                <w:sz w:val="20"/>
                <w:szCs w:val="20"/>
              </w:rPr>
            </w:pPr>
            <w:r w:rsidRPr="00154588">
              <w:rPr>
                <w:b/>
                <w:sz w:val="20"/>
                <w:szCs w:val="20"/>
              </w:rPr>
              <w:t>Planificarea rezoluției</w:t>
            </w:r>
          </w:p>
        </w:tc>
        <w:tc>
          <w:tcPr>
            <w:tcW w:w="4819" w:type="dxa"/>
          </w:tcPr>
          <w:p w14:paraId="164CAE90" w14:textId="77777777" w:rsidR="005E0361" w:rsidRPr="00154588" w:rsidRDefault="005E0361" w:rsidP="008C12B4">
            <w:pPr>
              <w:jc w:val="center"/>
              <w:rPr>
                <w:rFonts w:eastAsia="Calibri"/>
                <w:sz w:val="20"/>
                <w:szCs w:val="18"/>
              </w:rPr>
            </w:pPr>
            <w:r w:rsidRPr="00154588">
              <w:rPr>
                <w:rFonts w:eastAsia="Calibri"/>
                <w:b/>
                <w:sz w:val="20"/>
                <w:szCs w:val="18"/>
              </w:rPr>
              <w:t>Secţiunea a 3-a</w:t>
            </w:r>
          </w:p>
          <w:p w14:paraId="0E7E4BEA" w14:textId="16D18CDA" w:rsidR="005E0361" w:rsidRPr="00154588" w:rsidRDefault="005E0361" w:rsidP="008C12B4">
            <w:pPr>
              <w:jc w:val="center"/>
              <w:rPr>
                <w:bCs/>
                <w:sz w:val="20"/>
                <w:szCs w:val="18"/>
              </w:rPr>
            </w:pPr>
            <w:r w:rsidRPr="00154588">
              <w:rPr>
                <w:rFonts w:eastAsia="Calibri"/>
                <w:b/>
                <w:sz w:val="20"/>
                <w:szCs w:val="18"/>
              </w:rPr>
              <w:t>Planificarea rezoluţiei</w:t>
            </w:r>
          </w:p>
        </w:tc>
        <w:tc>
          <w:tcPr>
            <w:tcW w:w="2552" w:type="dxa"/>
          </w:tcPr>
          <w:p w14:paraId="25533225" w14:textId="77777777" w:rsidR="005E0361" w:rsidRPr="00154588" w:rsidRDefault="005E0361" w:rsidP="008C12B4">
            <w:pPr>
              <w:jc w:val="both"/>
              <w:rPr>
                <w:bCs/>
                <w:sz w:val="20"/>
                <w:szCs w:val="20"/>
              </w:rPr>
            </w:pPr>
          </w:p>
        </w:tc>
        <w:tc>
          <w:tcPr>
            <w:tcW w:w="3118" w:type="dxa"/>
          </w:tcPr>
          <w:p w14:paraId="03B786EE" w14:textId="77777777" w:rsidR="005E0361" w:rsidRPr="00154588" w:rsidRDefault="005E0361" w:rsidP="008C12B4">
            <w:pPr>
              <w:jc w:val="both"/>
              <w:rPr>
                <w:bCs/>
                <w:sz w:val="20"/>
                <w:szCs w:val="20"/>
              </w:rPr>
            </w:pPr>
          </w:p>
        </w:tc>
      </w:tr>
      <w:tr w:rsidR="005E0361" w:rsidRPr="00154588" w14:paraId="758F4FA3" w14:textId="77777777" w:rsidTr="00D15C1B">
        <w:trPr>
          <w:jc w:val="center"/>
        </w:trPr>
        <w:tc>
          <w:tcPr>
            <w:tcW w:w="4957" w:type="dxa"/>
            <w:gridSpan w:val="2"/>
          </w:tcPr>
          <w:p w14:paraId="3A8EB3C6" w14:textId="77777777" w:rsidR="005E0361" w:rsidRPr="00154588" w:rsidRDefault="005E0361" w:rsidP="008C12B4">
            <w:pPr>
              <w:rPr>
                <w:b/>
                <w:sz w:val="20"/>
                <w:szCs w:val="20"/>
              </w:rPr>
            </w:pPr>
            <w:r w:rsidRPr="00154588">
              <w:rPr>
                <w:b/>
                <w:sz w:val="20"/>
                <w:szCs w:val="20"/>
              </w:rPr>
              <w:t>Articolul 10</w:t>
            </w:r>
          </w:p>
          <w:p w14:paraId="0F938C3F" w14:textId="77777777" w:rsidR="005E0361" w:rsidRPr="00154588" w:rsidRDefault="005E0361" w:rsidP="008C12B4">
            <w:pPr>
              <w:rPr>
                <w:b/>
                <w:sz w:val="20"/>
                <w:szCs w:val="20"/>
              </w:rPr>
            </w:pPr>
          </w:p>
          <w:p w14:paraId="21C2663D" w14:textId="7A279AF2" w:rsidR="005E0361" w:rsidRPr="00154588" w:rsidRDefault="005E0361" w:rsidP="008C12B4">
            <w:pPr>
              <w:rPr>
                <w:bCs/>
                <w:sz w:val="20"/>
                <w:szCs w:val="20"/>
              </w:rPr>
            </w:pPr>
            <w:r w:rsidRPr="00154588">
              <w:rPr>
                <w:b/>
                <w:sz w:val="20"/>
                <w:szCs w:val="20"/>
              </w:rPr>
              <w:t>Planuri de rezoluție</w:t>
            </w:r>
          </w:p>
        </w:tc>
        <w:tc>
          <w:tcPr>
            <w:tcW w:w="4819" w:type="dxa"/>
          </w:tcPr>
          <w:p w14:paraId="5404EC52" w14:textId="77777777" w:rsidR="005E0361" w:rsidRPr="00154588" w:rsidRDefault="005E0361" w:rsidP="008C12B4">
            <w:pPr>
              <w:jc w:val="both"/>
              <w:rPr>
                <w:bCs/>
                <w:sz w:val="20"/>
                <w:szCs w:val="18"/>
              </w:rPr>
            </w:pPr>
          </w:p>
        </w:tc>
        <w:tc>
          <w:tcPr>
            <w:tcW w:w="2552" w:type="dxa"/>
          </w:tcPr>
          <w:p w14:paraId="5F24378B" w14:textId="77777777" w:rsidR="005E0361" w:rsidRPr="00154588" w:rsidRDefault="005E0361" w:rsidP="008C12B4">
            <w:pPr>
              <w:jc w:val="both"/>
              <w:rPr>
                <w:bCs/>
                <w:sz w:val="20"/>
                <w:szCs w:val="20"/>
              </w:rPr>
            </w:pPr>
          </w:p>
        </w:tc>
        <w:tc>
          <w:tcPr>
            <w:tcW w:w="3118" w:type="dxa"/>
          </w:tcPr>
          <w:p w14:paraId="0B73B840" w14:textId="77777777" w:rsidR="005E0361" w:rsidRPr="00154588" w:rsidRDefault="005E0361" w:rsidP="008C12B4">
            <w:pPr>
              <w:jc w:val="both"/>
              <w:rPr>
                <w:bCs/>
                <w:sz w:val="20"/>
                <w:szCs w:val="20"/>
              </w:rPr>
            </w:pPr>
          </w:p>
        </w:tc>
      </w:tr>
      <w:tr w:rsidR="005E0361" w:rsidRPr="00154588" w14:paraId="78BD1008" w14:textId="77777777" w:rsidTr="00D15C1B">
        <w:trPr>
          <w:jc w:val="center"/>
        </w:trPr>
        <w:tc>
          <w:tcPr>
            <w:tcW w:w="4957" w:type="dxa"/>
            <w:gridSpan w:val="2"/>
          </w:tcPr>
          <w:p w14:paraId="647683C5" w14:textId="304C926C" w:rsidR="005E0361" w:rsidRPr="00154588" w:rsidRDefault="00675D88" w:rsidP="008C12B4">
            <w:pPr>
              <w:jc w:val="both"/>
              <w:rPr>
                <w:bCs/>
                <w:sz w:val="20"/>
                <w:szCs w:val="20"/>
              </w:rPr>
            </w:pPr>
            <w:r w:rsidRPr="00154588">
              <w:rPr>
                <w:bCs/>
                <w:sz w:val="20"/>
                <w:szCs w:val="20"/>
              </w:rPr>
              <w:t>(1)</w:t>
            </w:r>
            <w:r w:rsidR="005E0361" w:rsidRPr="00154588">
              <w:rPr>
                <w:bCs/>
                <w:sz w:val="20"/>
                <w:szCs w:val="20"/>
              </w:rPr>
              <w:t>Autoritatea de rezoluție, după consultarea autorității competente, precum și după consultarea cu autoritățile de rezoluție din jurisdicțiile în care sunt situate sucursale semnificative în măsura în care este relevant pentru sucursala semnificativă, elaborează un plan de rezoluție pentru fiecare instituție care nu face parte dintr-un grup supus supravegherii consolidate în conformitate cu articolele 111 și 112 din Directiva 2013/36/UE. Planul de rezoluție prevede măsurile de rezoluție pe care autoritatea de rezoluție ar putea să le întreprindă atunci când instituția îndeplinește condițiile de declanșare a procedurii de rezoluție. Informațiile prevăzute la alineatul (7) litera (a) se comunică instituției în cauză.</w:t>
            </w:r>
          </w:p>
          <w:p w14:paraId="4CFBA68A" w14:textId="77777777" w:rsidR="00675D88" w:rsidRPr="00154588" w:rsidRDefault="00675D88" w:rsidP="008C12B4">
            <w:pPr>
              <w:jc w:val="both"/>
              <w:rPr>
                <w:bCs/>
                <w:sz w:val="20"/>
                <w:szCs w:val="20"/>
              </w:rPr>
            </w:pPr>
          </w:p>
          <w:p w14:paraId="292AF5CF" w14:textId="77777777" w:rsidR="00A40368" w:rsidRPr="00154588" w:rsidRDefault="00A40368" w:rsidP="008C12B4">
            <w:pPr>
              <w:jc w:val="both"/>
              <w:rPr>
                <w:bCs/>
                <w:sz w:val="20"/>
                <w:szCs w:val="20"/>
              </w:rPr>
            </w:pPr>
          </w:p>
          <w:p w14:paraId="5688CCE0" w14:textId="77777777" w:rsidR="00A40368" w:rsidRPr="00154588" w:rsidRDefault="00A40368" w:rsidP="008C12B4">
            <w:pPr>
              <w:jc w:val="both"/>
              <w:rPr>
                <w:bCs/>
                <w:sz w:val="20"/>
                <w:szCs w:val="20"/>
              </w:rPr>
            </w:pPr>
          </w:p>
          <w:p w14:paraId="25409303" w14:textId="77777777" w:rsidR="00A40368" w:rsidRPr="00154588" w:rsidRDefault="00A40368" w:rsidP="008C12B4">
            <w:pPr>
              <w:jc w:val="both"/>
              <w:rPr>
                <w:bCs/>
                <w:sz w:val="20"/>
                <w:szCs w:val="20"/>
              </w:rPr>
            </w:pPr>
          </w:p>
          <w:p w14:paraId="38D87601" w14:textId="77777777" w:rsidR="00A40368" w:rsidRPr="00154588" w:rsidRDefault="00A40368" w:rsidP="008C12B4">
            <w:pPr>
              <w:jc w:val="both"/>
              <w:rPr>
                <w:bCs/>
                <w:sz w:val="20"/>
                <w:szCs w:val="20"/>
              </w:rPr>
            </w:pPr>
          </w:p>
          <w:p w14:paraId="1C2D167A" w14:textId="77777777" w:rsidR="00A40368" w:rsidRPr="00154588" w:rsidRDefault="00A40368" w:rsidP="008C12B4">
            <w:pPr>
              <w:jc w:val="both"/>
              <w:rPr>
                <w:bCs/>
                <w:sz w:val="20"/>
                <w:szCs w:val="20"/>
              </w:rPr>
            </w:pPr>
          </w:p>
          <w:p w14:paraId="31D72503" w14:textId="77777777" w:rsidR="00A40368" w:rsidRPr="00154588" w:rsidRDefault="00A40368" w:rsidP="008C12B4">
            <w:pPr>
              <w:jc w:val="both"/>
              <w:rPr>
                <w:bCs/>
                <w:sz w:val="20"/>
                <w:szCs w:val="20"/>
              </w:rPr>
            </w:pPr>
          </w:p>
          <w:p w14:paraId="779B9DE7" w14:textId="77777777" w:rsidR="00A40368" w:rsidRPr="00154588" w:rsidRDefault="00A40368" w:rsidP="008C12B4">
            <w:pPr>
              <w:jc w:val="both"/>
              <w:rPr>
                <w:bCs/>
                <w:sz w:val="20"/>
                <w:szCs w:val="20"/>
              </w:rPr>
            </w:pPr>
          </w:p>
          <w:p w14:paraId="06FA2B8D" w14:textId="77777777" w:rsidR="00A40368" w:rsidRPr="00154588" w:rsidRDefault="00A40368" w:rsidP="008C12B4">
            <w:pPr>
              <w:jc w:val="both"/>
              <w:rPr>
                <w:bCs/>
                <w:sz w:val="20"/>
                <w:szCs w:val="20"/>
              </w:rPr>
            </w:pPr>
          </w:p>
          <w:p w14:paraId="410DBFE6" w14:textId="77777777" w:rsidR="00A40368" w:rsidRPr="00154588" w:rsidRDefault="00A40368" w:rsidP="008C12B4">
            <w:pPr>
              <w:jc w:val="both"/>
              <w:rPr>
                <w:bCs/>
                <w:sz w:val="20"/>
                <w:szCs w:val="20"/>
              </w:rPr>
            </w:pPr>
          </w:p>
          <w:p w14:paraId="28AA8871" w14:textId="77777777" w:rsidR="00A40368" w:rsidRPr="00154588" w:rsidRDefault="00A40368" w:rsidP="008C12B4">
            <w:pPr>
              <w:jc w:val="both"/>
              <w:rPr>
                <w:bCs/>
                <w:sz w:val="20"/>
                <w:szCs w:val="20"/>
              </w:rPr>
            </w:pPr>
          </w:p>
          <w:p w14:paraId="51DF51A3" w14:textId="7CCB91EF" w:rsidR="00675D88" w:rsidRPr="00154588" w:rsidRDefault="00675D88" w:rsidP="008C12B4">
            <w:pPr>
              <w:jc w:val="both"/>
              <w:rPr>
                <w:bCs/>
                <w:sz w:val="20"/>
                <w:szCs w:val="20"/>
              </w:rPr>
            </w:pPr>
            <w:r w:rsidRPr="00154588">
              <w:rPr>
                <w:bCs/>
                <w:sz w:val="20"/>
                <w:szCs w:val="20"/>
              </w:rPr>
              <w:t>Autoritatea de rezoluție nu adoptă un plan de rezoluție în cazul în care a fost inițiată o procedură de lichidare a unei instituții în conformitate cu dreptul intern aplicabil în temeiul articolului 32b sau în cazul în care se aplică articolul 37 alineatul (6).</w:t>
            </w:r>
          </w:p>
        </w:tc>
        <w:tc>
          <w:tcPr>
            <w:tcW w:w="4819" w:type="dxa"/>
          </w:tcPr>
          <w:p w14:paraId="6888629C" w14:textId="77777777" w:rsidR="005E0361" w:rsidRPr="00154588" w:rsidRDefault="005E0361" w:rsidP="008C12B4">
            <w:pPr>
              <w:ind w:firstLine="567"/>
              <w:jc w:val="both"/>
              <w:rPr>
                <w:rFonts w:eastAsia="Calibri"/>
                <w:sz w:val="20"/>
                <w:szCs w:val="18"/>
              </w:rPr>
            </w:pPr>
            <w:r w:rsidRPr="00154588">
              <w:rPr>
                <w:rFonts w:eastAsia="Calibri"/>
                <w:b/>
                <w:sz w:val="20"/>
                <w:szCs w:val="18"/>
              </w:rPr>
              <w:t>Articolul 23.</w:t>
            </w:r>
            <w:r w:rsidRPr="00154588">
              <w:rPr>
                <w:rFonts w:eastAsia="Calibri"/>
                <w:sz w:val="20"/>
                <w:szCs w:val="18"/>
              </w:rPr>
              <w:t xml:space="preserve"> – (1) Banca Naţională a Moldovei, în calitate de autoritate de rezoluţie, elaborează un plan de rezoluţie pentru fiecare instituție de credit, persoană juridică din Republica Moldova, care nu face parte dintr-un grup supus supravegherii consolidate. Banca Naţională a Moldovei se asigură că structura care exercită funcţia de rezoluţie elaborează planul de rezoluţie după consultarea structurii care exercită funcţia de supraveghere, și după caz, se consultă și cu autoritățile de rezoluție din jurisdicțiile în care se află sucursalele semnificative ale instituției de credit, în măsura în care planul de rezoluție este relevant pentru sucursalele semnificative.</w:t>
            </w:r>
          </w:p>
          <w:p w14:paraId="533BEF1C" w14:textId="77777777" w:rsidR="005E0361" w:rsidRPr="00154588" w:rsidRDefault="005E0361" w:rsidP="008C12B4">
            <w:pPr>
              <w:ind w:firstLine="567"/>
              <w:jc w:val="both"/>
              <w:rPr>
                <w:rFonts w:eastAsia="Calibri"/>
                <w:sz w:val="20"/>
                <w:szCs w:val="18"/>
              </w:rPr>
            </w:pPr>
            <w:r w:rsidRPr="00154588">
              <w:rPr>
                <w:rFonts w:eastAsia="Calibri"/>
                <w:sz w:val="20"/>
                <w:szCs w:val="18"/>
              </w:rPr>
              <w:t>(2) Planul de rezoluţie prevede acţiunile de rezoluţie pe care Banca Naţională a Moldovei, în calitate de autoritate de rezoluţie, le poate întreprinde atunci când instituția de credit îndeplineşte condiţiile de declanşare a procedurii de rezoluţie.</w:t>
            </w:r>
          </w:p>
          <w:p w14:paraId="2DBACD62" w14:textId="77777777" w:rsidR="005E0361" w:rsidRPr="00154588" w:rsidRDefault="005E0361" w:rsidP="008C12B4">
            <w:pPr>
              <w:ind w:firstLine="567"/>
              <w:jc w:val="both"/>
              <w:rPr>
                <w:rFonts w:eastAsia="Calibri"/>
                <w:sz w:val="20"/>
                <w:szCs w:val="18"/>
              </w:rPr>
            </w:pPr>
            <w:r w:rsidRPr="00154588">
              <w:rPr>
                <w:rFonts w:eastAsia="Calibri"/>
                <w:sz w:val="20"/>
                <w:szCs w:val="18"/>
              </w:rPr>
              <w:t>(3) Banca Naţională a Moldovei, în calitate de autoritate de rezoluţie, comunică informaţiile prevăzute la art.29 lit.a) instituției de credit în cauză.</w:t>
            </w:r>
          </w:p>
          <w:p w14:paraId="15E87307" w14:textId="5512075E" w:rsidR="00A40368" w:rsidRPr="00154588" w:rsidRDefault="00A40368" w:rsidP="008C12B4">
            <w:pPr>
              <w:ind w:firstLine="567"/>
              <w:jc w:val="both"/>
              <w:rPr>
                <w:rFonts w:eastAsia="Calibri"/>
                <w:sz w:val="20"/>
                <w:szCs w:val="18"/>
              </w:rPr>
            </w:pPr>
            <w:r w:rsidRPr="00154588">
              <w:rPr>
                <w:rFonts w:eastAsia="Calibri"/>
                <w:sz w:val="20"/>
                <w:szCs w:val="20"/>
              </w:rPr>
              <w:t xml:space="preserve">(4)Banca </w:t>
            </w:r>
            <w:r w:rsidR="00AD30D9" w:rsidRPr="00154588">
              <w:rPr>
                <w:rFonts w:eastAsia="Calibri"/>
                <w:sz w:val="20"/>
                <w:szCs w:val="20"/>
              </w:rPr>
              <w:t>Națională</w:t>
            </w:r>
            <w:r w:rsidRPr="00154588">
              <w:rPr>
                <w:rFonts w:eastAsia="Calibri"/>
                <w:sz w:val="20"/>
                <w:szCs w:val="20"/>
              </w:rPr>
              <w:t xml:space="preserve"> a Moldovei, în calitate de autoritate de </w:t>
            </w:r>
            <w:r w:rsidR="00AD30D9" w:rsidRPr="00154588">
              <w:rPr>
                <w:rFonts w:eastAsia="Calibri"/>
                <w:sz w:val="20"/>
                <w:szCs w:val="20"/>
              </w:rPr>
              <w:t>rezoluție</w:t>
            </w:r>
            <w:r w:rsidRPr="00154588">
              <w:rPr>
                <w:rFonts w:eastAsia="Calibri"/>
                <w:sz w:val="20"/>
                <w:szCs w:val="20"/>
              </w:rPr>
              <w:t>, nu adoptă un plan de rezoluție în cazul în care</w:t>
            </w:r>
            <w:r w:rsidR="009956B2" w:rsidRPr="00154588">
              <w:rPr>
                <w:rFonts w:eastAsia="Calibri"/>
                <w:sz w:val="20"/>
                <w:szCs w:val="20"/>
              </w:rPr>
              <w:t xml:space="preserve"> </w:t>
            </w:r>
            <w:r w:rsidRPr="00154588">
              <w:rPr>
                <w:rFonts w:eastAsia="Calibri"/>
                <w:sz w:val="20"/>
                <w:szCs w:val="20"/>
              </w:rPr>
              <w:t xml:space="preserve">față de instituția de credit sau </w:t>
            </w:r>
            <w:r w:rsidR="008A3BE8" w:rsidRPr="00154588">
              <w:rPr>
                <w:rFonts w:eastAsia="Calibri"/>
                <w:sz w:val="20"/>
                <w:szCs w:val="20"/>
              </w:rPr>
              <w:t>față de</w:t>
            </w:r>
            <w:r w:rsidRPr="00154588">
              <w:rPr>
                <w:rFonts w:eastAsia="Calibri"/>
                <w:sz w:val="20"/>
                <w:szCs w:val="20"/>
              </w:rPr>
              <w:t xml:space="preserve"> entitățile menționate la art.1 alin.(1) lit.c) și d) a fost inițiat</w:t>
            </w:r>
            <w:r w:rsidR="008A3BE8" w:rsidRPr="00154588">
              <w:rPr>
                <w:rFonts w:eastAsia="Calibri"/>
                <w:sz w:val="20"/>
                <w:szCs w:val="20"/>
              </w:rPr>
              <w:t>ă</w:t>
            </w:r>
            <w:r w:rsidR="00601B90" w:rsidRPr="00154588">
              <w:rPr>
                <w:rFonts w:eastAsia="Calibri"/>
                <w:sz w:val="20"/>
                <w:szCs w:val="20"/>
              </w:rPr>
              <w:t xml:space="preserve"> o procedur</w:t>
            </w:r>
            <w:r w:rsidR="008A3BE8" w:rsidRPr="00154588">
              <w:rPr>
                <w:rFonts w:eastAsia="Calibri"/>
                <w:sz w:val="20"/>
                <w:szCs w:val="20"/>
              </w:rPr>
              <w:t>ă</w:t>
            </w:r>
            <w:r w:rsidR="00601B90" w:rsidRPr="00154588">
              <w:rPr>
                <w:rFonts w:eastAsia="Calibri"/>
                <w:sz w:val="20"/>
                <w:szCs w:val="20"/>
              </w:rPr>
              <w:t xml:space="preserve"> de insolvabilitate </w:t>
            </w:r>
            <w:r w:rsidR="008A3BE8" w:rsidRPr="00154588">
              <w:rPr>
                <w:rFonts w:eastAsia="Calibri"/>
                <w:sz w:val="20"/>
                <w:szCs w:val="20"/>
              </w:rPr>
              <w:t xml:space="preserve"> </w:t>
            </w:r>
            <w:r w:rsidR="00D714C7" w:rsidRPr="00154588">
              <w:rPr>
                <w:rFonts w:eastAsia="Calibri"/>
                <w:sz w:val="20"/>
                <w:szCs w:val="20"/>
              </w:rPr>
              <w:t>î</w:t>
            </w:r>
            <w:r w:rsidR="008A3BE8" w:rsidRPr="00154588">
              <w:rPr>
                <w:rFonts w:eastAsia="Calibri"/>
                <w:sz w:val="20"/>
                <w:szCs w:val="20"/>
              </w:rPr>
              <w:t>n condițiile legi</w:t>
            </w:r>
            <w:r w:rsidR="008800D5" w:rsidRPr="00154588">
              <w:rPr>
                <w:rFonts w:eastAsia="Calibri"/>
                <w:sz w:val="20"/>
                <w:szCs w:val="20"/>
              </w:rPr>
              <w:t xml:space="preserve">i sau sunt aplicabile prevederile art.90 </w:t>
            </w:r>
            <w:r w:rsidR="008A3BE8" w:rsidRPr="00154588">
              <w:rPr>
                <w:sz w:val="20"/>
                <w:szCs w:val="20"/>
                <w:lang w:eastAsia="ro-MD"/>
              </w:rPr>
              <w:t>din prezenta lege.</w:t>
            </w:r>
          </w:p>
        </w:tc>
        <w:tc>
          <w:tcPr>
            <w:tcW w:w="2552" w:type="dxa"/>
          </w:tcPr>
          <w:p w14:paraId="1A09390E" w14:textId="69B32BA3" w:rsidR="005E0361" w:rsidRPr="00154588" w:rsidRDefault="005E0361" w:rsidP="008C12B4">
            <w:pPr>
              <w:jc w:val="both"/>
              <w:rPr>
                <w:bCs/>
                <w:sz w:val="20"/>
                <w:szCs w:val="20"/>
              </w:rPr>
            </w:pPr>
            <w:r w:rsidRPr="00154588">
              <w:rPr>
                <w:bCs/>
                <w:sz w:val="20"/>
                <w:szCs w:val="20"/>
              </w:rPr>
              <w:t>Compatibil</w:t>
            </w:r>
          </w:p>
        </w:tc>
        <w:tc>
          <w:tcPr>
            <w:tcW w:w="3118" w:type="dxa"/>
          </w:tcPr>
          <w:p w14:paraId="6EDE96D7" w14:textId="77777777" w:rsidR="005E0361" w:rsidRPr="00154588" w:rsidRDefault="005E0361" w:rsidP="008C12B4">
            <w:pPr>
              <w:jc w:val="both"/>
              <w:rPr>
                <w:bCs/>
                <w:sz w:val="20"/>
                <w:szCs w:val="20"/>
              </w:rPr>
            </w:pPr>
          </w:p>
        </w:tc>
      </w:tr>
      <w:tr w:rsidR="005E0361" w:rsidRPr="00154588" w14:paraId="47199547" w14:textId="77777777" w:rsidTr="00D15C1B">
        <w:trPr>
          <w:jc w:val="center"/>
        </w:trPr>
        <w:tc>
          <w:tcPr>
            <w:tcW w:w="4957" w:type="dxa"/>
            <w:gridSpan w:val="2"/>
          </w:tcPr>
          <w:p w14:paraId="5C371551" w14:textId="5C9FD332" w:rsidR="005E0361" w:rsidRPr="00154588" w:rsidRDefault="005E0361" w:rsidP="008C12B4">
            <w:pPr>
              <w:jc w:val="both"/>
              <w:rPr>
                <w:bCs/>
                <w:sz w:val="20"/>
                <w:szCs w:val="20"/>
              </w:rPr>
            </w:pPr>
            <w:r w:rsidRPr="00154588">
              <w:rPr>
                <w:bCs/>
                <w:sz w:val="20"/>
                <w:szCs w:val="20"/>
              </w:rPr>
              <w:t>(2)   În elaborarea planului de rezoluție, autoritatea de rezoluție identifică obstacolele majore în calea posibilității de soluționare și, dacă este necesar și proporționat, prevede măsuri relevante pentru soluționarea respectivelor obstacole în conformitate cu capitolul II din prezentul titlu.</w:t>
            </w:r>
          </w:p>
        </w:tc>
        <w:tc>
          <w:tcPr>
            <w:tcW w:w="4819" w:type="dxa"/>
          </w:tcPr>
          <w:p w14:paraId="65934736" w14:textId="2D7FEC72" w:rsidR="005E0361" w:rsidRPr="00154588" w:rsidRDefault="005E0361" w:rsidP="008C12B4">
            <w:pPr>
              <w:ind w:firstLine="567"/>
              <w:jc w:val="both"/>
              <w:rPr>
                <w:rFonts w:eastAsia="Calibri"/>
                <w:sz w:val="20"/>
                <w:szCs w:val="18"/>
              </w:rPr>
            </w:pPr>
            <w:r w:rsidRPr="00154588">
              <w:rPr>
                <w:rFonts w:eastAsia="Calibri"/>
                <w:b/>
                <w:sz w:val="20"/>
                <w:szCs w:val="18"/>
              </w:rPr>
              <w:t>Articolul 24.</w:t>
            </w:r>
            <w:r w:rsidRPr="00154588">
              <w:rPr>
                <w:rFonts w:eastAsia="Calibri"/>
                <w:sz w:val="20"/>
                <w:szCs w:val="18"/>
              </w:rPr>
              <w:t xml:space="preserve"> – Banca Naţională a Moldovei, în calitate de autoritate de rezoluţie, identifică în planul de rezoluţie obstacolele majore în calea posibilităţii de soluţionare, în sensul art.32 alin.(3), dacă este necesar şi proporţional, măsurile relevante pentru eliminarea obstacolelor, în conformitate cu art.32-41</w:t>
            </w:r>
            <w:r w:rsidRPr="00154588">
              <w:rPr>
                <w:rFonts w:eastAsia="Calibri"/>
                <w:sz w:val="20"/>
                <w:szCs w:val="18"/>
                <w:vertAlign w:val="superscript"/>
              </w:rPr>
              <w:t>8</w:t>
            </w:r>
            <w:r w:rsidRPr="00154588">
              <w:rPr>
                <w:rFonts w:eastAsia="Calibri"/>
                <w:sz w:val="20"/>
                <w:szCs w:val="18"/>
              </w:rPr>
              <w:t>.</w:t>
            </w:r>
          </w:p>
        </w:tc>
        <w:tc>
          <w:tcPr>
            <w:tcW w:w="2552" w:type="dxa"/>
          </w:tcPr>
          <w:p w14:paraId="02AD44C2" w14:textId="1C0D5C3C" w:rsidR="005E0361" w:rsidRPr="00154588" w:rsidRDefault="005E0361" w:rsidP="008C12B4">
            <w:pPr>
              <w:jc w:val="both"/>
              <w:rPr>
                <w:bCs/>
                <w:sz w:val="20"/>
                <w:szCs w:val="20"/>
              </w:rPr>
            </w:pPr>
            <w:r w:rsidRPr="00154588">
              <w:rPr>
                <w:bCs/>
                <w:sz w:val="20"/>
                <w:szCs w:val="20"/>
              </w:rPr>
              <w:t>Compatibil</w:t>
            </w:r>
          </w:p>
        </w:tc>
        <w:tc>
          <w:tcPr>
            <w:tcW w:w="3118" w:type="dxa"/>
          </w:tcPr>
          <w:p w14:paraId="4C337289" w14:textId="77777777" w:rsidR="005E0361" w:rsidRPr="00154588" w:rsidRDefault="005E0361" w:rsidP="008C12B4">
            <w:pPr>
              <w:jc w:val="both"/>
              <w:rPr>
                <w:bCs/>
                <w:sz w:val="20"/>
                <w:szCs w:val="20"/>
              </w:rPr>
            </w:pPr>
          </w:p>
        </w:tc>
      </w:tr>
      <w:tr w:rsidR="005E0361" w:rsidRPr="00154588" w14:paraId="31CAEBDB" w14:textId="77777777" w:rsidTr="00D15C1B">
        <w:trPr>
          <w:jc w:val="center"/>
        </w:trPr>
        <w:tc>
          <w:tcPr>
            <w:tcW w:w="4957" w:type="dxa"/>
            <w:gridSpan w:val="2"/>
          </w:tcPr>
          <w:p w14:paraId="040BA346" w14:textId="77777777" w:rsidR="005E0361" w:rsidRPr="00154588" w:rsidRDefault="005E0361" w:rsidP="008C12B4">
            <w:pPr>
              <w:jc w:val="both"/>
              <w:rPr>
                <w:bCs/>
                <w:sz w:val="20"/>
                <w:szCs w:val="20"/>
              </w:rPr>
            </w:pPr>
            <w:r w:rsidRPr="00154588">
              <w:rPr>
                <w:bCs/>
                <w:sz w:val="20"/>
                <w:szCs w:val="20"/>
              </w:rPr>
              <w:t xml:space="preserve">(3)   Planul de rezoluție ia în considerare scenarii relevante, prevăzând inclusiv posibilitatea ca intrarea în dificultate să </w:t>
            </w:r>
            <w:r w:rsidRPr="00154588">
              <w:rPr>
                <w:bCs/>
                <w:sz w:val="20"/>
                <w:szCs w:val="20"/>
              </w:rPr>
              <w:lastRenderedPageBreak/>
              <w:t>se datoreze unor circumstanțe particulare și individuale sau să survină pe fondul unei instabilități financiare extinse sau al unor evenimente sistemice. Planul de rezoluție nu trebuie să se bazeze pe niciuna dintre următoarele:</w:t>
            </w:r>
          </w:p>
          <w:p w14:paraId="44BA6684" w14:textId="530611F1" w:rsidR="005E0361" w:rsidRPr="00154588" w:rsidRDefault="005E0361" w:rsidP="008C12B4">
            <w:pPr>
              <w:jc w:val="both"/>
              <w:rPr>
                <w:bCs/>
                <w:sz w:val="20"/>
                <w:szCs w:val="20"/>
              </w:rPr>
            </w:pPr>
            <w:r w:rsidRPr="00154588">
              <w:rPr>
                <w:bCs/>
                <w:sz w:val="20"/>
                <w:szCs w:val="20"/>
              </w:rPr>
              <w:t>(a) orice sprijin financiar public extraordinar pe lângă utilizarea mecanismelor de finanțare instituite în conformitate cu articolul 100;</w:t>
            </w:r>
          </w:p>
          <w:p w14:paraId="3DFBA0BB" w14:textId="77777777" w:rsidR="005E0361" w:rsidRPr="00154588" w:rsidRDefault="005E0361" w:rsidP="008C12B4">
            <w:pPr>
              <w:jc w:val="both"/>
              <w:rPr>
                <w:bCs/>
                <w:sz w:val="20"/>
                <w:szCs w:val="20"/>
              </w:rPr>
            </w:pPr>
          </w:p>
          <w:p w14:paraId="5B664E3C" w14:textId="610AD5FA" w:rsidR="005E0361" w:rsidRPr="00154588" w:rsidRDefault="005E0361" w:rsidP="008C12B4">
            <w:pPr>
              <w:jc w:val="both"/>
              <w:rPr>
                <w:bCs/>
                <w:sz w:val="20"/>
                <w:szCs w:val="20"/>
              </w:rPr>
            </w:pPr>
            <w:r w:rsidRPr="00154588">
              <w:rPr>
                <w:bCs/>
                <w:sz w:val="20"/>
                <w:szCs w:val="20"/>
              </w:rPr>
              <w:t>(b) orice asistență privind lichiditatea în situații de urgență din partea băncii centrale; sau</w:t>
            </w:r>
          </w:p>
          <w:p w14:paraId="7ED449CE" w14:textId="77777777" w:rsidR="005E0361" w:rsidRPr="00154588" w:rsidRDefault="005E0361" w:rsidP="008C12B4">
            <w:pPr>
              <w:jc w:val="both"/>
              <w:rPr>
                <w:bCs/>
                <w:sz w:val="20"/>
                <w:szCs w:val="20"/>
              </w:rPr>
            </w:pPr>
          </w:p>
          <w:p w14:paraId="2F976192" w14:textId="5DE2CE22" w:rsidR="005E0361" w:rsidRPr="00154588" w:rsidRDefault="005E0361" w:rsidP="008C12B4">
            <w:pPr>
              <w:jc w:val="both"/>
              <w:rPr>
                <w:bCs/>
                <w:sz w:val="20"/>
                <w:szCs w:val="20"/>
              </w:rPr>
            </w:pPr>
            <w:r w:rsidRPr="00154588">
              <w:rPr>
                <w:bCs/>
                <w:sz w:val="20"/>
                <w:szCs w:val="20"/>
              </w:rPr>
              <w:t>(c) orice asistență privind lichiditatea din partea băncii centrale furnizată cu garanții, rate ale dobânzilor sau durate non-standard.</w:t>
            </w:r>
          </w:p>
        </w:tc>
        <w:tc>
          <w:tcPr>
            <w:tcW w:w="4819" w:type="dxa"/>
          </w:tcPr>
          <w:p w14:paraId="5428718B" w14:textId="4DDF83BD" w:rsidR="005E0361" w:rsidRPr="00154588" w:rsidRDefault="005E0361" w:rsidP="008C12B4">
            <w:pPr>
              <w:ind w:firstLine="567"/>
              <w:jc w:val="both"/>
              <w:rPr>
                <w:rFonts w:eastAsia="Calibri"/>
                <w:sz w:val="20"/>
                <w:szCs w:val="18"/>
              </w:rPr>
            </w:pPr>
            <w:r w:rsidRPr="00154588">
              <w:rPr>
                <w:rFonts w:eastAsia="Calibri"/>
                <w:b/>
                <w:sz w:val="20"/>
                <w:szCs w:val="18"/>
              </w:rPr>
              <w:lastRenderedPageBreak/>
              <w:t>Articolul 25.</w:t>
            </w:r>
            <w:r w:rsidRPr="00154588">
              <w:rPr>
                <w:rFonts w:eastAsia="Calibri"/>
                <w:sz w:val="20"/>
                <w:szCs w:val="18"/>
              </w:rPr>
              <w:t xml:space="preserve"> – (1) Planul de rezoluție trebuie să ia în considerare scenarii relevante, inclusiv posibilitatea ca </w:t>
            </w:r>
            <w:r w:rsidRPr="00154588">
              <w:rPr>
                <w:rFonts w:eastAsia="Calibri"/>
                <w:sz w:val="20"/>
                <w:szCs w:val="18"/>
              </w:rPr>
              <w:lastRenderedPageBreak/>
              <w:t>intrare</w:t>
            </w:r>
            <w:r w:rsidR="00702CF2" w:rsidRPr="00154588">
              <w:rPr>
                <w:rFonts w:eastAsia="Calibri"/>
                <w:sz w:val="20"/>
                <w:szCs w:val="18"/>
              </w:rPr>
              <w:t xml:space="preserve"> </w:t>
            </w:r>
            <w:r w:rsidRPr="00154588">
              <w:rPr>
                <w:rFonts w:eastAsia="Calibri"/>
                <w:sz w:val="20"/>
                <w:szCs w:val="18"/>
              </w:rPr>
              <w:t>a în dificultate a instituției de credit să se datoreze unor circumstanţe individuale sau să survină pe fondul unei instabilităţi financiare extinse sau al unor evenimente sistemice.</w:t>
            </w:r>
          </w:p>
          <w:p w14:paraId="2E98D077" w14:textId="77777777" w:rsidR="005E0361" w:rsidRPr="00154588" w:rsidRDefault="005E0361" w:rsidP="008C12B4">
            <w:pPr>
              <w:ind w:firstLine="567"/>
              <w:jc w:val="both"/>
              <w:rPr>
                <w:rFonts w:eastAsia="Calibri"/>
                <w:sz w:val="20"/>
                <w:szCs w:val="18"/>
              </w:rPr>
            </w:pPr>
            <w:r w:rsidRPr="00154588">
              <w:rPr>
                <w:rFonts w:eastAsia="Calibri"/>
                <w:sz w:val="20"/>
                <w:szCs w:val="18"/>
              </w:rPr>
              <w:t>(2) Planul de rezoluție nu trebuie să prezume oricare dintre următoarele:</w:t>
            </w:r>
          </w:p>
          <w:p w14:paraId="37823F72" w14:textId="77777777" w:rsidR="005E0361" w:rsidRPr="00154588" w:rsidRDefault="005E0361" w:rsidP="008C12B4">
            <w:pPr>
              <w:ind w:firstLine="567"/>
              <w:jc w:val="both"/>
              <w:rPr>
                <w:rFonts w:eastAsia="Calibri"/>
                <w:sz w:val="20"/>
                <w:szCs w:val="18"/>
              </w:rPr>
            </w:pPr>
            <w:r w:rsidRPr="00154588">
              <w:rPr>
                <w:rFonts w:eastAsia="Calibri"/>
                <w:sz w:val="20"/>
                <w:szCs w:val="18"/>
              </w:rPr>
              <w:t>a) sprijin financiar public extraordinar, cu excepţia utilizării mecanismelor de finanţare în conformitate cu art.296,</w:t>
            </w:r>
            <w:r w:rsidRPr="00154588">
              <w:rPr>
                <w:sz w:val="20"/>
                <w:szCs w:val="18"/>
                <w:lang w:eastAsia="ro-MD"/>
              </w:rPr>
              <w:t xml:space="preserve"> 313</w:t>
            </w:r>
            <w:r w:rsidRPr="00154588">
              <w:rPr>
                <w:sz w:val="20"/>
                <w:szCs w:val="18"/>
                <w:vertAlign w:val="superscript"/>
                <w:lang w:eastAsia="ro-MD"/>
              </w:rPr>
              <w:t>1</w:t>
            </w:r>
            <w:r w:rsidRPr="00154588">
              <w:rPr>
                <w:sz w:val="20"/>
                <w:szCs w:val="18"/>
                <w:lang w:eastAsia="ro-MD"/>
              </w:rPr>
              <w:t xml:space="preserve"> și art.331 alin.(1)</w:t>
            </w:r>
            <w:r w:rsidRPr="00154588">
              <w:rPr>
                <w:rFonts w:eastAsia="Calibri"/>
                <w:sz w:val="20"/>
                <w:szCs w:val="18"/>
              </w:rPr>
              <w:t>;</w:t>
            </w:r>
          </w:p>
          <w:p w14:paraId="1AC8C691" w14:textId="77777777" w:rsidR="005E0361" w:rsidRPr="00154588" w:rsidRDefault="005E0361" w:rsidP="008C12B4">
            <w:pPr>
              <w:ind w:firstLine="567"/>
              <w:jc w:val="both"/>
              <w:rPr>
                <w:rFonts w:eastAsia="Calibri"/>
                <w:sz w:val="20"/>
                <w:szCs w:val="18"/>
              </w:rPr>
            </w:pPr>
            <w:r w:rsidRPr="00154588">
              <w:rPr>
                <w:rFonts w:eastAsia="Calibri"/>
                <w:sz w:val="20"/>
                <w:szCs w:val="18"/>
              </w:rPr>
              <w:t>b) asistenţa de lichiditate în situaţii de urgenţă din partea băncii centrale;</w:t>
            </w:r>
          </w:p>
          <w:p w14:paraId="1B736059" w14:textId="3ABDD48D" w:rsidR="005E0361" w:rsidRPr="00154588" w:rsidRDefault="005E0361" w:rsidP="008C12B4">
            <w:pPr>
              <w:ind w:firstLine="567"/>
              <w:jc w:val="both"/>
              <w:rPr>
                <w:rFonts w:eastAsia="Calibri"/>
                <w:sz w:val="20"/>
                <w:szCs w:val="18"/>
              </w:rPr>
            </w:pPr>
            <w:r w:rsidRPr="00154588">
              <w:rPr>
                <w:rFonts w:eastAsia="Calibri"/>
                <w:sz w:val="20"/>
                <w:szCs w:val="18"/>
              </w:rPr>
              <w:t>c) asistenţa de lichiditate din partea băncii centrale oferită cu garanţii, rate ale dobînzilor sau durate nonstandard.</w:t>
            </w:r>
          </w:p>
        </w:tc>
        <w:tc>
          <w:tcPr>
            <w:tcW w:w="2552" w:type="dxa"/>
          </w:tcPr>
          <w:p w14:paraId="2D872F33" w14:textId="6DA7D357" w:rsidR="005E0361" w:rsidRPr="00154588" w:rsidRDefault="005E0361" w:rsidP="008C12B4">
            <w:pPr>
              <w:jc w:val="both"/>
              <w:rPr>
                <w:bCs/>
                <w:sz w:val="20"/>
                <w:szCs w:val="20"/>
              </w:rPr>
            </w:pPr>
            <w:r w:rsidRPr="00154588">
              <w:rPr>
                <w:bCs/>
                <w:sz w:val="20"/>
                <w:szCs w:val="20"/>
              </w:rPr>
              <w:lastRenderedPageBreak/>
              <w:t>Compatibil</w:t>
            </w:r>
          </w:p>
        </w:tc>
        <w:tc>
          <w:tcPr>
            <w:tcW w:w="3118" w:type="dxa"/>
          </w:tcPr>
          <w:p w14:paraId="362A7CB0" w14:textId="77777777" w:rsidR="005E0361" w:rsidRPr="00154588" w:rsidRDefault="005E0361" w:rsidP="008C12B4">
            <w:pPr>
              <w:jc w:val="both"/>
              <w:rPr>
                <w:bCs/>
                <w:sz w:val="20"/>
                <w:szCs w:val="20"/>
              </w:rPr>
            </w:pPr>
          </w:p>
        </w:tc>
      </w:tr>
      <w:tr w:rsidR="005E0361" w:rsidRPr="00154588" w14:paraId="6FC553B8" w14:textId="77777777" w:rsidTr="00D15C1B">
        <w:trPr>
          <w:jc w:val="center"/>
        </w:trPr>
        <w:tc>
          <w:tcPr>
            <w:tcW w:w="4957" w:type="dxa"/>
            <w:gridSpan w:val="2"/>
          </w:tcPr>
          <w:p w14:paraId="47CADD6F" w14:textId="6767BC20" w:rsidR="005E0361" w:rsidRPr="00154588" w:rsidRDefault="005E0361" w:rsidP="008C12B4">
            <w:pPr>
              <w:jc w:val="both"/>
              <w:rPr>
                <w:bCs/>
                <w:sz w:val="20"/>
                <w:szCs w:val="20"/>
              </w:rPr>
            </w:pPr>
            <w:r w:rsidRPr="00154588">
              <w:rPr>
                <w:bCs/>
                <w:sz w:val="20"/>
                <w:szCs w:val="20"/>
              </w:rPr>
              <w:t>(4)   Planul de rezoluție include o analiză a modului și a momentului în care instituția poate solicita, în condițiile prevăzute în plan, accesul la facilitățile oferite de banca centrală și identifică acele active ce pot fi folosite drept garanții.</w:t>
            </w:r>
          </w:p>
        </w:tc>
        <w:tc>
          <w:tcPr>
            <w:tcW w:w="4819" w:type="dxa"/>
          </w:tcPr>
          <w:p w14:paraId="5C652522" w14:textId="1C2661F5" w:rsidR="005E0361" w:rsidRPr="00154588" w:rsidRDefault="005E0361" w:rsidP="008C12B4">
            <w:pPr>
              <w:ind w:firstLine="567"/>
              <w:jc w:val="both"/>
              <w:rPr>
                <w:rFonts w:eastAsia="Calibri"/>
                <w:sz w:val="20"/>
                <w:szCs w:val="18"/>
              </w:rPr>
            </w:pPr>
            <w:r w:rsidRPr="00154588">
              <w:rPr>
                <w:rFonts w:eastAsia="Calibri"/>
                <w:b/>
                <w:sz w:val="20"/>
                <w:szCs w:val="18"/>
              </w:rPr>
              <w:t>Articolul 26.</w:t>
            </w:r>
            <w:r w:rsidRPr="00154588">
              <w:rPr>
                <w:rFonts w:eastAsia="Calibri"/>
                <w:sz w:val="20"/>
                <w:szCs w:val="18"/>
              </w:rPr>
              <w:t xml:space="preserve"> – Planul de rezoluţie trebuie să includă o analiză a modalităţii şi momentului în care instituția de credit poate solicita, în condiţiile prevăzute în plan, accesul la facilităţile oferite de banca centrală şi identifică activele care pot fi calificate drept garanţii reale.</w:t>
            </w:r>
          </w:p>
        </w:tc>
        <w:tc>
          <w:tcPr>
            <w:tcW w:w="2552" w:type="dxa"/>
          </w:tcPr>
          <w:p w14:paraId="712E3335" w14:textId="163D3105" w:rsidR="005E0361" w:rsidRPr="00154588" w:rsidRDefault="005E0361" w:rsidP="008C12B4">
            <w:pPr>
              <w:jc w:val="both"/>
              <w:rPr>
                <w:bCs/>
                <w:sz w:val="20"/>
                <w:szCs w:val="20"/>
              </w:rPr>
            </w:pPr>
            <w:r w:rsidRPr="00154588">
              <w:rPr>
                <w:bCs/>
                <w:sz w:val="20"/>
                <w:szCs w:val="20"/>
              </w:rPr>
              <w:t>Compatibil</w:t>
            </w:r>
          </w:p>
        </w:tc>
        <w:tc>
          <w:tcPr>
            <w:tcW w:w="3118" w:type="dxa"/>
          </w:tcPr>
          <w:p w14:paraId="146F6115" w14:textId="77777777" w:rsidR="005E0361" w:rsidRPr="00154588" w:rsidRDefault="005E0361" w:rsidP="008C12B4">
            <w:pPr>
              <w:jc w:val="both"/>
              <w:rPr>
                <w:bCs/>
                <w:sz w:val="20"/>
                <w:szCs w:val="20"/>
              </w:rPr>
            </w:pPr>
          </w:p>
        </w:tc>
      </w:tr>
      <w:tr w:rsidR="005E0361" w:rsidRPr="00154588" w14:paraId="0E5B3496" w14:textId="77777777" w:rsidTr="00D15C1B">
        <w:trPr>
          <w:jc w:val="center"/>
        </w:trPr>
        <w:tc>
          <w:tcPr>
            <w:tcW w:w="4957" w:type="dxa"/>
            <w:gridSpan w:val="2"/>
          </w:tcPr>
          <w:p w14:paraId="07285B64" w14:textId="5A00F240" w:rsidR="005E0361" w:rsidRPr="00154588" w:rsidRDefault="005E0361" w:rsidP="008C12B4">
            <w:pPr>
              <w:jc w:val="both"/>
              <w:rPr>
                <w:bCs/>
                <w:sz w:val="20"/>
                <w:szCs w:val="20"/>
              </w:rPr>
            </w:pPr>
            <w:r w:rsidRPr="00154588">
              <w:rPr>
                <w:bCs/>
                <w:sz w:val="20"/>
                <w:szCs w:val="20"/>
              </w:rPr>
              <w:t>(5)   Autoritățile de rezoluție pot solicita instituțiilor să le ofere asistență la elaborarea și actualizarea planurilor.</w:t>
            </w:r>
          </w:p>
        </w:tc>
        <w:tc>
          <w:tcPr>
            <w:tcW w:w="4819" w:type="dxa"/>
          </w:tcPr>
          <w:p w14:paraId="5D7D68BE" w14:textId="0F60B528" w:rsidR="005E0361" w:rsidRPr="00154588" w:rsidRDefault="005E0361" w:rsidP="008C12B4">
            <w:pPr>
              <w:ind w:firstLine="567"/>
              <w:jc w:val="both"/>
              <w:rPr>
                <w:rFonts w:eastAsia="Calibri"/>
                <w:sz w:val="20"/>
                <w:szCs w:val="18"/>
              </w:rPr>
            </w:pPr>
            <w:r w:rsidRPr="00154588">
              <w:rPr>
                <w:rFonts w:eastAsia="Calibri"/>
                <w:b/>
                <w:sz w:val="20"/>
                <w:szCs w:val="18"/>
              </w:rPr>
              <w:t>Articolul 27.</w:t>
            </w:r>
            <w:r w:rsidRPr="00154588">
              <w:rPr>
                <w:rFonts w:eastAsia="Calibri"/>
                <w:sz w:val="20"/>
                <w:szCs w:val="18"/>
              </w:rPr>
              <w:t xml:space="preserve"> – La solicitarea Băncii Naţionale a Moldovei, în calitate de autoritate de rezoluţie, instituția de credit furnizează asistenţă la elaborarea şi actualizarea planului de rezoluţie.</w:t>
            </w:r>
          </w:p>
        </w:tc>
        <w:tc>
          <w:tcPr>
            <w:tcW w:w="2552" w:type="dxa"/>
          </w:tcPr>
          <w:p w14:paraId="3161B909" w14:textId="74EFB07B" w:rsidR="005E0361" w:rsidRPr="00154588" w:rsidRDefault="005E0361" w:rsidP="008C12B4">
            <w:pPr>
              <w:jc w:val="both"/>
              <w:rPr>
                <w:bCs/>
                <w:sz w:val="20"/>
                <w:szCs w:val="20"/>
              </w:rPr>
            </w:pPr>
            <w:r w:rsidRPr="00154588">
              <w:rPr>
                <w:bCs/>
                <w:sz w:val="20"/>
                <w:szCs w:val="20"/>
              </w:rPr>
              <w:t>Compatibil</w:t>
            </w:r>
          </w:p>
        </w:tc>
        <w:tc>
          <w:tcPr>
            <w:tcW w:w="3118" w:type="dxa"/>
          </w:tcPr>
          <w:p w14:paraId="0D0457DA" w14:textId="77777777" w:rsidR="005E0361" w:rsidRPr="00154588" w:rsidRDefault="005E0361" w:rsidP="008C12B4">
            <w:pPr>
              <w:jc w:val="both"/>
              <w:rPr>
                <w:bCs/>
                <w:sz w:val="20"/>
                <w:szCs w:val="20"/>
              </w:rPr>
            </w:pPr>
          </w:p>
        </w:tc>
      </w:tr>
      <w:tr w:rsidR="005E0361" w:rsidRPr="00154588" w14:paraId="1BF7F16F" w14:textId="77777777" w:rsidTr="00D15C1B">
        <w:trPr>
          <w:jc w:val="center"/>
        </w:trPr>
        <w:tc>
          <w:tcPr>
            <w:tcW w:w="4957" w:type="dxa"/>
            <w:gridSpan w:val="2"/>
          </w:tcPr>
          <w:p w14:paraId="7A043C0D" w14:textId="77777777" w:rsidR="005E0361" w:rsidRPr="00154588" w:rsidRDefault="005E0361" w:rsidP="008C12B4">
            <w:pPr>
              <w:jc w:val="both"/>
              <w:rPr>
                <w:bCs/>
                <w:sz w:val="20"/>
                <w:szCs w:val="20"/>
              </w:rPr>
            </w:pPr>
            <w:r w:rsidRPr="00154588">
              <w:rPr>
                <w:bCs/>
                <w:sz w:val="20"/>
                <w:szCs w:val="20"/>
              </w:rPr>
              <w:t>(6)   Planul de rezoluție al instituției este reexaminat și, după caz, actualizat cel puțin o dată pe an și după orice modificare importantă a structurii organizaționale sau juridice, a activității economice sau a poziției financiare a instituției care ar putea avea un efect semnificativ asupra eficacității respectivului plan sau care ar impune o modificare a planului de rezoluție.</w:t>
            </w:r>
          </w:p>
          <w:p w14:paraId="2CD85E15" w14:textId="77777777" w:rsidR="005E0361" w:rsidRPr="00154588" w:rsidRDefault="005E0361" w:rsidP="008C12B4">
            <w:pPr>
              <w:jc w:val="both"/>
              <w:rPr>
                <w:bCs/>
                <w:sz w:val="20"/>
                <w:szCs w:val="20"/>
              </w:rPr>
            </w:pPr>
          </w:p>
          <w:p w14:paraId="5792EA8C" w14:textId="77777777" w:rsidR="005E0361" w:rsidRPr="00154588" w:rsidRDefault="005E0361" w:rsidP="008C12B4">
            <w:pPr>
              <w:jc w:val="both"/>
              <w:rPr>
                <w:bCs/>
                <w:sz w:val="20"/>
                <w:szCs w:val="20"/>
              </w:rPr>
            </w:pPr>
            <w:r w:rsidRPr="00154588">
              <w:rPr>
                <w:bCs/>
                <w:sz w:val="20"/>
                <w:szCs w:val="20"/>
              </w:rPr>
              <w:t>În scopul examinării sau actualizării planurilor de rezoluție în conformitate cu primul paragraf, instituțiile și autoritățile competente comunică prompt autorităților de rezoluție orice modificare care impune o astfel de examinare sau actualizare a planului.</w:t>
            </w:r>
          </w:p>
          <w:p w14:paraId="4C86915E" w14:textId="77777777" w:rsidR="005E0361" w:rsidRPr="00154588" w:rsidRDefault="005E0361" w:rsidP="008C12B4">
            <w:pPr>
              <w:jc w:val="both"/>
              <w:rPr>
                <w:bCs/>
                <w:sz w:val="20"/>
                <w:szCs w:val="20"/>
              </w:rPr>
            </w:pPr>
          </w:p>
          <w:p w14:paraId="5CCDBC32" w14:textId="77777777" w:rsidR="005E0361" w:rsidRPr="00154588" w:rsidRDefault="005E0361" w:rsidP="008C12B4">
            <w:pPr>
              <w:jc w:val="both"/>
              <w:rPr>
                <w:bCs/>
                <w:sz w:val="20"/>
                <w:szCs w:val="20"/>
              </w:rPr>
            </w:pPr>
            <w:r w:rsidRPr="00154588">
              <w:rPr>
                <w:bCs/>
                <w:sz w:val="20"/>
                <w:szCs w:val="20"/>
              </w:rPr>
              <w:t>Reexaminarea menționată la primul paragraf de la prezentul alineat se realizează după punerea în aplicare a măsurilor de rezoluție sau după exercitarea competențelor menționate la articolul 59.</w:t>
            </w:r>
          </w:p>
          <w:p w14:paraId="5BB9A354" w14:textId="77777777" w:rsidR="005E0361" w:rsidRPr="00154588" w:rsidRDefault="005E0361" w:rsidP="008C12B4">
            <w:pPr>
              <w:jc w:val="both"/>
              <w:rPr>
                <w:bCs/>
                <w:sz w:val="20"/>
                <w:szCs w:val="20"/>
              </w:rPr>
            </w:pPr>
          </w:p>
          <w:p w14:paraId="7C5E1FFC" w14:textId="7BBBAD32" w:rsidR="005E0361" w:rsidRPr="00154588" w:rsidRDefault="005E0361" w:rsidP="008C12B4">
            <w:pPr>
              <w:jc w:val="both"/>
              <w:rPr>
                <w:bCs/>
                <w:sz w:val="20"/>
                <w:szCs w:val="20"/>
              </w:rPr>
            </w:pPr>
            <w:r w:rsidRPr="00154588">
              <w:rPr>
                <w:bCs/>
                <w:sz w:val="20"/>
                <w:szCs w:val="20"/>
              </w:rPr>
              <w:t xml:space="preserve">La stabilirea termenelor menționate la alineatul (7) literele (o) și (p) din prezentul articol în circumstanțele menționate la al treilea paragraf de la prezentul alineat, autoritatea de </w:t>
            </w:r>
            <w:r w:rsidRPr="00154588">
              <w:rPr>
                <w:bCs/>
                <w:sz w:val="20"/>
                <w:szCs w:val="20"/>
              </w:rPr>
              <w:lastRenderedPageBreak/>
              <w:t>rezoluție ia în considerare termenul pentru a se conforma cerinței menționate la articolul 104b din Directiva 2013/36/UE.</w:t>
            </w:r>
          </w:p>
        </w:tc>
        <w:tc>
          <w:tcPr>
            <w:tcW w:w="4819" w:type="dxa"/>
          </w:tcPr>
          <w:p w14:paraId="25596BEF" w14:textId="77777777" w:rsidR="005E0361" w:rsidRPr="00154588" w:rsidRDefault="005E0361" w:rsidP="008C12B4">
            <w:pPr>
              <w:ind w:firstLine="567"/>
              <w:jc w:val="both"/>
              <w:rPr>
                <w:rFonts w:eastAsia="Calibri"/>
                <w:sz w:val="20"/>
                <w:szCs w:val="18"/>
              </w:rPr>
            </w:pPr>
            <w:r w:rsidRPr="00154588">
              <w:rPr>
                <w:rFonts w:eastAsia="Calibri"/>
                <w:b/>
                <w:sz w:val="20"/>
                <w:szCs w:val="18"/>
              </w:rPr>
              <w:lastRenderedPageBreak/>
              <w:t>Articolul 28.</w:t>
            </w:r>
            <w:r w:rsidRPr="00154588">
              <w:rPr>
                <w:rFonts w:eastAsia="Calibri"/>
                <w:sz w:val="20"/>
                <w:szCs w:val="18"/>
              </w:rPr>
              <w:t xml:space="preserve"> – (1) Planurile de rezoluție trebuie să fie reevaluate şi, dacă este cazul, actualizate cel puţin anual şi după orice modificare semnificativă a structurii organizatorice sau juridice, a activităţii sau a poziţiei financiare a instituției de credit care ar putea avea, în opinia Băncii Naţionale a Moldovei, în calitate de autoritate de rezoluţie, un impact semnificativ asupra eficacităţii planurilor de rezoluţie sau care ar impune o modificare a acestora.</w:t>
            </w:r>
          </w:p>
          <w:p w14:paraId="4927C791" w14:textId="728E8876" w:rsidR="005E0361" w:rsidRPr="00154588" w:rsidRDefault="005E0361" w:rsidP="008C12B4">
            <w:pPr>
              <w:jc w:val="both"/>
              <w:rPr>
                <w:bCs/>
                <w:sz w:val="20"/>
                <w:szCs w:val="18"/>
              </w:rPr>
            </w:pPr>
            <w:r w:rsidRPr="00154588">
              <w:rPr>
                <w:rFonts w:eastAsia="Calibri"/>
                <w:sz w:val="20"/>
                <w:szCs w:val="18"/>
              </w:rPr>
              <w:t>(2) În aplicarea prevederilor alin.(1), instituțiile de credit informează prompt Banca Naţională a Moldovei, în calitate de autoritate de rezoluţie, asupra oricărei modificări care ar putea impune o reevaluare sau o actualizare a planurilor. Banca Naţională a Moldovei se asigură că structura care exercită funcţia de supraveghere informează prompt structura care exercită funcţia de rezoluţie asupra oricărei modificări care ar putea impune o reevaluare sau o actualizare a planurilor.</w:t>
            </w:r>
          </w:p>
        </w:tc>
        <w:tc>
          <w:tcPr>
            <w:tcW w:w="2552" w:type="dxa"/>
          </w:tcPr>
          <w:p w14:paraId="5F2AC3FF" w14:textId="4A6C6A22" w:rsidR="005E0361" w:rsidRPr="00154588" w:rsidRDefault="005E0361" w:rsidP="008C12B4">
            <w:pPr>
              <w:jc w:val="both"/>
              <w:rPr>
                <w:bCs/>
                <w:sz w:val="20"/>
                <w:szCs w:val="20"/>
              </w:rPr>
            </w:pPr>
            <w:r w:rsidRPr="00154588">
              <w:rPr>
                <w:bCs/>
                <w:sz w:val="20"/>
                <w:szCs w:val="20"/>
              </w:rPr>
              <w:t>Compatibil</w:t>
            </w:r>
          </w:p>
        </w:tc>
        <w:tc>
          <w:tcPr>
            <w:tcW w:w="3118" w:type="dxa"/>
          </w:tcPr>
          <w:p w14:paraId="06ADEBC0" w14:textId="77777777" w:rsidR="005E0361" w:rsidRPr="00154588" w:rsidRDefault="005E0361" w:rsidP="008C12B4">
            <w:pPr>
              <w:jc w:val="both"/>
              <w:rPr>
                <w:bCs/>
                <w:sz w:val="20"/>
                <w:szCs w:val="20"/>
              </w:rPr>
            </w:pPr>
          </w:p>
        </w:tc>
      </w:tr>
      <w:tr w:rsidR="005E0361" w:rsidRPr="00154588" w14:paraId="6C04218D" w14:textId="77777777" w:rsidTr="00D15C1B">
        <w:trPr>
          <w:jc w:val="center"/>
        </w:trPr>
        <w:tc>
          <w:tcPr>
            <w:tcW w:w="4957" w:type="dxa"/>
            <w:gridSpan w:val="2"/>
          </w:tcPr>
          <w:p w14:paraId="6A7B2F83" w14:textId="6A881DB3" w:rsidR="005E0361" w:rsidRPr="00154588" w:rsidRDefault="005E0361" w:rsidP="008C12B4">
            <w:pPr>
              <w:jc w:val="both"/>
              <w:rPr>
                <w:bCs/>
                <w:sz w:val="20"/>
                <w:szCs w:val="20"/>
              </w:rPr>
            </w:pPr>
            <w:r w:rsidRPr="00154588">
              <w:rPr>
                <w:bCs/>
                <w:sz w:val="20"/>
                <w:szCs w:val="20"/>
              </w:rPr>
              <w:t>(7)Fără a aduce atingere articolului 4, planul de rezoluție stabilește opțiuni de aplicare asupra instituției a instrumentelor și competențelor de rezoluție menționate în titlul IV. Acesta cuprinde, cuantificat de câte ori este necesar și posibil:</w:t>
            </w:r>
          </w:p>
          <w:p w14:paraId="51D1D6AC" w14:textId="77777777" w:rsidR="005E0361" w:rsidRPr="00154588" w:rsidRDefault="005E0361" w:rsidP="008C12B4">
            <w:pPr>
              <w:jc w:val="both"/>
              <w:rPr>
                <w:bCs/>
                <w:sz w:val="20"/>
                <w:szCs w:val="20"/>
              </w:rPr>
            </w:pPr>
          </w:p>
          <w:p w14:paraId="68AD6011" w14:textId="33B40215" w:rsidR="005E0361" w:rsidRPr="00154588" w:rsidRDefault="005E0361" w:rsidP="008C12B4">
            <w:pPr>
              <w:jc w:val="both"/>
              <w:rPr>
                <w:bCs/>
                <w:sz w:val="20"/>
                <w:szCs w:val="20"/>
              </w:rPr>
            </w:pPr>
            <w:r w:rsidRPr="00154588">
              <w:rPr>
                <w:bCs/>
                <w:sz w:val="20"/>
                <w:szCs w:val="20"/>
              </w:rPr>
              <w:t>(a) un rezumat al elementelor-cheie ale planului;</w:t>
            </w:r>
          </w:p>
          <w:p w14:paraId="4179EADE" w14:textId="77777777" w:rsidR="00675D88" w:rsidRPr="00154588" w:rsidRDefault="00675D88" w:rsidP="008C12B4">
            <w:pPr>
              <w:jc w:val="both"/>
              <w:rPr>
                <w:bCs/>
                <w:sz w:val="20"/>
                <w:szCs w:val="20"/>
              </w:rPr>
            </w:pPr>
          </w:p>
          <w:p w14:paraId="64048A80" w14:textId="342D1B37" w:rsidR="005E0361" w:rsidRPr="00154588" w:rsidRDefault="005E0361" w:rsidP="008C12B4">
            <w:pPr>
              <w:jc w:val="both"/>
              <w:rPr>
                <w:bCs/>
                <w:sz w:val="20"/>
                <w:szCs w:val="20"/>
              </w:rPr>
            </w:pPr>
            <w:r w:rsidRPr="00154588">
              <w:rPr>
                <w:bCs/>
                <w:sz w:val="20"/>
                <w:szCs w:val="20"/>
              </w:rPr>
              <w:t>(b) un rezumat al modificărilor importante survenite în cadrul instituției ulterior transmiterii ultimelor informații referitoare la rezoluție;</w:t>
            </w:r>
          </w:p>
          <w:p w14:paraId="517C27DA" w14:textId="77777777" w:rsidR="00675D88" w:rsidRPr="00154588" w:rsidRDefault="00675D88" w:rsidP="008C12B4">
            <w:pPr>
              <w:jc w:val="both"/>
              <w:rPr>
                <w:bCs/>
                <w:sz w:val="20"/>
                <w:szCs w:val="20"/>
              </w:rPr>
            </w:pPr>
          </w:p>
          <w:p w14:paraId="6AF65F78" w14:textId="7D3410F9" w:rsidR="005E0361" w:rsidRPr="00154588" w:rsidRDefault="005E0361" w:rsidP="008C12B4">
            <w:pPr>
              <w:jc w:val="both"/>
              <w:rPr>
                <w:bCs/>
                <w:sz w:val="20"/>
                <w:szCs w:val="20"/>
              </w:rPr>
            </w:pPr>
            <w:r w:rsidRPr="00154588">
              <w:rPr>
                <w:bCs/>
                <w:sz w:val="20"/>
                <w:szCs w:val="20"/>
              </w:rPr>
              <w:t>(c) o demonstrație a modului în care funcțiile critice și liniile de activitate esențiale ar putea fi separate din punct de vedere juridic și economic, în măsura necesară, de alte funcții în vederea asigurării continuității și a rezilienței operaționale digitale în cazul intrării în dificultate a instituției;</w:t>
            </w:r>
          </w:p>
          <w:p w14:paraId="1241AB92" w14:textId="77777777" w:rsidR="00675D88" w:rsidRPr="00154588" w:rsidRDefault="00675D88" w:rsidP="008C12B4">
            <w:pPr>
              <w:jc w:val="both"/>
              <w:rPr>
                <w:bCs/>
                <w:sz w:val="20"/>
                <w:szCs w:val="20"/>
              </w:rPr>
            </w:pPr>
          </w:p>
          <w:p w14:paraId="005E5ABD" w14:textId="7DA3DC26" w:rsidR="005E0361" w:rsidRPr="00154588" w:rsidRDefault="005E0361" w:rsidP="008C12B4">
            <w:pPr>
              <w:jc w:val="both"/>
              <w:rPr>
                <w:bCs/>
                <w:sz w:val="20"/>
                <w:szCs w:val="20"/>
              </w:rPr>
            </w:pPr>
            <w:r w:rsidRPr="00154588">
              <w:rPr>
                <w:bCs/>
                <w:sz w:val="20"/>
                <w:szCs w:val="20"/>
              </w:rPr>
              <w:t>(d) o estimare a calendarului punerii în aplicare a fiecărui aspect important al planului;</w:t>
            </w:r>
          </w:p>
          <w:p w14:paraId="3ECBA64E" w14:textId="77777777" w:rsidR="005E0361" w:rsidRPr="00154588" w:rsidRDefault="005E0361" w:rsidP="008C12B4">
            <w:pPr>
              <w:jc w:val="both"/>
              <w:rPr>
                <w:bCs/>
                <w:sz w:val="20"/>
                <w:szCs w:val="20"/>
              </w:rPr>
            </w:pPr>
          </w:p>
          <w:p w14:paraId="166093C4" w14:textId="259A4EBE" w:rsidR="005E0361" w:rsidRPr="00154588" w:rsidRDefault="005E0361" w:rsidP="008C12B4">
            <w:pPr>
              <w:jc w:val="both"/>
              <w:rPr>
                <w:bCs/>
                <w:sz w:val="20"/>
                <w:szCs w:val="20"/>
              </w:rPr>
            </w:pPr>
            <w:r w:rsidRPr="00154588">
              <w:rPr>
                <w:bCs/>
                <w:sz w:val="20"/>
                <w:szCs w:val="20"/>
              </w:rPr>
              <w:t>(e) o descriere detaliată a evaluării posibilităților de soluționare, efectuată în conformitate cu alineatul (2) din prezentul articol și articolul 15;</w:t>
            </w:r>
          </w:p>
          <w:p w14:paraId="12118333" w14:textId="77777777" w:rsidR="005E0361" w:rsidRPr="00154588" w:rsidRDefault="005E0361" w:rsidP="008C12B4">
            <w:pPr>
              <w:jc w:val="both"/>
              <w:rPr>
                <w:bCs/>
                <w:sz w:val="20"/>
                <w:szCs w:val="20"/>
              </w:rPr>
            </w:pPr>
          </w:p>
          <w:p w14:paraId="5023149B" w14:textId="6C521FC9" w:rsidR="005E0361" w:rsidRPr="00154588" w:rsidRDefault="005E0361" w:rsidP="008C12B4">
            <w:pPr>
              <w:jc w:val="both"/>
              <w:rPr>
                <w:bCs/>
                <w:sz w:val="20"/>
                <w:szCs w:val="20"/>
              </w:rPr>
            </w:pPr>
            <w:r w:rsidRPr="00154588">
              <w:rPr>
                <w:bCs/>
                <w:sz w:val="20"/>
                <w:szCs w:val="20"/>
              </w:rPr>
              <w:t>(f) o descriere a tuturor măsurilor necesare conform articolului 17 pentru a aborda sau înlătura obstacolele din calea posibilităților de soluționare, identificate în urma evaluării efectuate în conformitate cu articolul 15;</w:t>
            </w:r>
          </w:p>
          <w:p w14:paraId="6CDA55BF" w14:textId="77777777" w:rsidR="005E0361" w:rsidRPr="00154588" w:rsidRDefault="005E0361" w:rsidP="008C12B4">
            <w:pPr>
              <w:jc w:val="both"/>
              <w:rPr>
                <w:bCs/>
                <w:sz w:val="20"/>
                <w:szCs w:val="20"/>
              </w:rPr>
            </w:pPr>
          </w:p>
          <w:p w14:paraId="39E4945C" w14:textId="775AAAA9" w:rsidR="005E0361" w:rsidRPr="00154588" w:rsidRDefault="005E0361" w:rsidP="008C12B4">
            <w:pPr>
              <w:jc w:val="both"/>
              <w:rPr>
                <w:bCs/>
                <w:sz w:val="20"/>
                <w:szCs w:val="20"/>
              </w:rPr>
            </w:pPr>
            <w:r w:rsidRPr="00154588">
              <w:rPr>
                <w:bCs/>
                <w:sz w:val="20"/>
                <w:szCs w:val="20"/>
              </w:rPr>
              <w:t>(g) o descriere a proceselor de stabilire a valorii și tranzacționabilității funcțiilor critice, a liniilor de activitate esențiale și a activelor instituției;</w:t>
            </w:r>
          </w:p>
          <w:p w14:paraId="485BE3EE" w14:textId="77777777" w:rsidR="005E0361" w:rsidRPr="00154588" w:rsidRDefault="005E0361" w:rsidP="008C12B4">
            <w:pPr>
              <w:jc w:val="both"/>
              <w:rPr>
                <w:bCs/>
                <w:sz w:val="20"/>
                <w:szCs w:val="20"/>
              </w:rPr>
            </w:pPr>
          </w:p>
          <w:p w14:paraId="05DFBB96" w14:textId="7A2BA4B5" w:rsidR="005E0361" w:rsidRPr="00154588" w:rsidRDefault="005E0361" w:rsidP="008C12B4">
            <w:pPr>
              <w:jc w:val="both"/>
              <w:rPr>
                <w:bCs/>
                <w:sz w:val="20"/>
                <w:szCs w:val="20"/>
              </w:rPr>
            </w:pPr>
            <w:r w:rsidRPr="00154588">
              <w:rPr>
                <w:bCs/>
                <w:sz w:val="20"/>
                <w:szCs w:val="20"/>
              </w:rPr>
              <w:t>(h) o descriere detaliată a măsurilor destinate garantării faptului că informațiile solicitate în conformitate cu articolul 11 sunt actualizate și puse la dispoziția autorităților de rezoluție în orice moment;</w:t>
            </w:r>
          </w:p>
          <w:p w14:paraId="732C2DC0" w14:textId="77777777" w:rsidR="005E0361" w:rsidRPr="00154588" w:rsidRDefault="005E0361" w:rsidP="008C12B4">
            <w:pPr>
              <w:jc w:val="both"/>
              <w:rPr>
                <w:bCs/>
                <w:sz w:val="20"/>
                <w:szCs w:val="20"/>
              </w:rPr>
            </w:pPr>
          </w:p>
          <w:p w14:paraId="477F0B40" w14:textId="29248C6B" w:rsidR="005E0361" w:rsidRPr="00154588" w:rsidRDefault="005E0361" w:rsidP="008C12B4">
            <w:pPr>
              <w:jc w:val="both"/>
              <w:rPr>
                <w:bCs/>
                <w:sz w:val="20"/>
                <w:szCs w:val="20"/>
              </w:rPr>
            </w:pPr>
            <w:r w:rsidRPr="00154588">
              <w:rPr>
                <w:bCs/>
                <w:sz w:val="20"/>
                <w:szCs w:val="20"/>
              </w:rPr>
              <w:lastRenderedPageBreak/>
              <w:t>(i) explicarea, de către autoritatea de rezoluție, a modului în care pot fi finanțate opțiunile de rezoluție fără recurgerea la oricare dintre următoarele:</w:t>
            </w:r>
          </w:p>
          <w:p w14:paraId="6CD3DE68" w14:textId="0A3C3274" w:rsidR="005E0361" w:rsidRPr="00154588" w:rsidRDefault="00675D88" w:rsidP="008C12B4">
            <w:pPr>
              <w:jc w:val="both"/>
              <w:rPr>
                <w:bCs/>
                <w:sz w:val="20"/>
                <w:szCs w:val="20"/>
              </w:rPr>
            </w:pPr>
            <w:r w:rsidRPr="00154588">
              <w:rPr>
                <w:bCs/>
                <w:sz w:val="20"/>
                <w:szCs w:val="20"/>
              </w:rPr>
              <w:t xml:space="preserve">       </w:t>
            </w:r>
            <w:r w:rsidR="005E0361" w:rsidRPr="00154588">
              <w:rPr>
                <w:bCs/>
                <w:sz w:val="20"/>
                <w:szCs w:val="20"/>
              </w:rPr>
              <w:t>(i) niciun fel de sprijin financiar public extraordinar, în afara utilizării mecanismelor de finanțare instituite în conformitate cu articolul 100;</w:t>
            </w:r>
          </w:p>
          <w:p w14:paraId="170836E4" w14:textId="77777777" w:rsidR="005E0361" w:rsidRPr="00154588" w:rsidRDefault="005E0361" w:rsidP="008C12B4">
            <w:pPr>
              <w:jc w:val="both"/>
              <w:rPr>
                <w:bCs/>
                <w:sz w:val="20"/>
                <w:szCs w:val="20"/>
              </w:rPr>
            </w:pPr>
          </w:p>
          <w:p w14:paraId="61E77109" w14:textId="47757F2E" w:rsidR="005E0361" w:rsidRPr="00154588" w:rsidRDefault="00675D88" w:rsidP="008C12B4">
            <w:pPr>
              <w:jc w:val="both"/>
              <w:rPr>
                <w:bCs/>
                <w:sz w:val="20"/>
                <w:szCs w:val="20"/>
              </w:rPr>
            </w:pPr>
            <w:r w:rsidRPr="00154588">
              <w:rPr>
                <w:bCs/>
                <w:sz w:val="20"/>
                <w:szCs w:val="20"/>
              </w:rPr>
              <w:t xml:space="preserve">     </w:t>
            </w:r>
            <w:r w:rsidR="005E0361" w:rsidRPr="00154588">
              <w:rPr>
                <w:bCs/>
                <w:sz w:val="20"/>
                <w:szCs w:val="20"/>
              </w:rPr>
              <w:t>(ii) asistență privind lichiditatea în situații de urgență din partea băncii centrale; sau</w:t>
            </w:r>
          </w:p>
          <w:p w14:paraId="48C79F08" w14:textId="32FE4452" w:rsidR="005E0361" w:rsidRPr="00154588" w:rsidRDefault="00675D88" w:rsidP="008C12B4">
            <w:pPr>
              <w:jc w:val="both"/>
              <w:rPr>
                <w:bCs/>
                <w:sz w:val="20"/>
                <w:szCs w:val="20"/>
              </w:rPr>
            </w:pPr>
            <w:r w:rsidRPr="00154588">
              <w:rPr>
                <w:bCs/>
                <w:sz w:val="20"/>
                <w:szCs w:val="20"/>
              </w:rPr>
              <w:t xml:space="preserve">    </w:t>
            </w:r>
            <w:r w:rsidR="005E0361" w:rsidRPr="00154588">
              <w:rPr>
                <w:bCs/>
                <w:sz w:val="20"/>
                <w:szCs w:val="20"/>
              </w:rPr>
              <w:t>(iii) asistență privind lichiditatea din partea băncii centrale furnizată cu garanții, rate ale dobânzilor sau durate non-standard;</w:t>
            </w:r>
          </w:p>
          <w:p w14:paraId="2D2CDC43" w14:textId="77777777" w:rsidR="005E0361" w:rsidRPr="00154588" w:rsidRDefault="005E0361" w:rsidP="008C12B4">
            <w:pPr>
              <w:jc w:val="both"/>
              <w:rPr>
                <w:bCs/>
                <w:sz w:val="20"/>
                <w:szCs w:val="20"/>
              </w:rPr>
            </w:pPr>
          </w:p>
          <w:p w14:paraId="0DD3C095" w14:textId="6D183BD3" w:rsidR="005E0361" w:rsidRPr="00154588" w:rsidRDefault="005E0361" w:rsidP="008C12B4">
            <w:pPr>
              <w:jc w:val="both"/>
              <w:rPr>
                <w:bCs/>
                <w:sz w:val="20"/>
                <w:szCs w:val="20"/>
              </w:rPr>
            </w:pPr>
            <w:r w:rsidRPr="00154588">
              <w:rPr>
                <w:bCs/>
                <w:sz w:val="20"/>
                <w:szCs w:val="20"/>
              </w:rPr>
              <w:t>(j) o descriere detaliată a diferitelor strategii de rezoluție care ar putea fi aplicate, în funcție de diferitele scenarii posibile și termenele aplicabile</w:t>
            </w:r>
            <w:r w:rsidR="00675D88" w:rsidRPr="00154588">
              <w:rPr>
                <w:bCs/>
                <w:sz w:val="20"/>
                <w:szCs w:val="20"/>
              </w:rPr>
              <w:t>, precum și a modului în care strategiile respective ar realiza obiectivele rezoluției;</w:t>
            </w:r>
            <w:r w:rsidRPr="00154588">
              <w:rPr>
                <w:bCs/>
                <w:sz w:val="20"/>
                <w:szCs w:val="20"/>
              </w:rPr>
              <w:t>;</w:t>
            </w:r>
          </w:p>
          <w:p w14:paraId="235C1033" w14:textId="77777777" w:rsidR="005E0361" w:rsidRPr="00154588" w:rsidRDefault="005E0361" w:rsidP="008C12B4">
            <w:pPr>
              <w:jc w:val="both"/>
              <w:rPr>
                <w:bCs/>
                <w:sz w:val="20"/>
                <w:szCs w:val="20"/>
              </w:rPr>
            </w:pPr>
          </w:p>
          <w:p w14:paraId="6AC2DBB1" w14:textId="2064033C" w:rsidR="005E0361" w:rsidRPr="00154588" w:rsidRDefault="005E0361" w:rsidP="008C12B4">
            <w:pPr>
              <w:jc w:val="both"/>
              <w:rPr>
                <w:bCs/>
                <w:sz w:val="20"/>
                <w:szCs w:val="20"/>
              </w:rPr>
            </w:pPr>
            <w:r w:rsidRPr="00154588">
              <w:rPr>
                <w:bCs/>
                <w:sz w:val="20"/>
                <w:szCs w:val="20"/>
              </w:rPr>
              <w:t>(k) o descriere a interdependențelor critice;</w:t>
            </w:r>
          </w:p>
          <w:p w14:paraId="04B149AC" w14:textId="77777777" w:rsidR="005E0361" w:rsidRPr="00154588" w:rsidRDefault="005E0361" w:rsidP="008C12B4">
            <w:pPr>
              <w:jc w:val="both"/>
              <w:rPr>
                <w:bCs/>
                <w:sz w:val="20"/>
                <w:szCs w:val="20"/>
              </w:rPr>
            </w:pPr>
          </w:p>
          <w:p w14:paraId="65837BC8" w14:textId="0DBAC04A" w:rsidR="005E0361" w:rsidRPr="00154588" w:rsidRDefault="005E0361" w:rsidP="008C12B4">
            <w:pPr>
              <w:jc w:val="both"/>
              <w:rPr>
                <w:bCs/>
                <w:sz w:val="20"/>
                <w:szCs w:val="20"/>
              </w:rPr>
            </w:pPr>
            <w:r w:rsidRPr="00154588">
              <w:rPr>
                <w:bCs/>
                <w:sz w:val="20"/>
                <w:szCs w:val="20"/>
              </w:rPr>
              <w:t>(l) o descriere a opțiunilor care ar permite menținerea accesului la serviciile de plăți și de compensare și o evaluare a portabilității pozițiilor clientului;</w:t>
            </w:r>
          </w:p>
          <w:p w14:paraId="2348ACA3" w14:textId="77777777" w:rsidR="005E0361" w:rsidRPr="00154588" w:rsidRDefault="005E0361" w:rsidP="008C12B4">
            <w:pPr>
              <w:jc w:val="both"/>
              <w:rPr>
                <w:bCs/>
                <w:sz w:val="20"/>
                <w:szCs w:val="20"/>
              </w:rPr>
            </w:pPr>
          </w:p>
          <w:p w14:paraId="2EBBE2F1" w14:textId="1B9712D9" w:rsidR="005E0361" w:rsidRPr="00154588" w:rsidRDefault="005E0361" w:rsidP="008C12B4">
            <w:pPr>
              <w:jc w:val="both"/>
              <w:rPr>
                <w:bCs/>
                <w:sz w:val="20"/>
                <w:szCs w:val="20"/>
              </w:rPr>
            </w:pPr>
            <w:r w:rsidRPr="00154588">
              <w:rPr>
                <w:bCs/>
                <w:sz w:val="20"/>
                <w:szCs w:val="20"/>
              </w:rPr>
              <w:t>(m) o analiză a impactului planului asupra angajaților instituției, inclusiv o evaluare a oricăror costuri asociate și o descriere a procedurilor vizate pentru consultarea personalului în cursul procesului de rezoluție, ținând seama de sistemele naționale de dialog cu partenerii sociali, după caz;</w:t>
            </w:r>
          </w:p>
          <w:p w14:paraId="78FE119D" w14:textId="77777777" w:rsidR="005E0361" w:rsidRPr="00154588" w:rsidRDefault="005E0361" w:rsidP="008C12B4">
            <w:pPr>
              <w:jc w:val="both"/>
              <w:rPr>
                <w:bCs/>
                <w:sz w:val="20"/>
                <w:szCs w:val="20"/>
              </w:rPr>
            </w:pPr>
          </w:p>
          <w:p w14:paraId="02A50AA3" w14:textId="77777777" w:rsidR="005E0361" w:rsidRPr="00154588" w:rsidRDefault="005E0361" w:rsidP="008C12B4">
            <w:pPr>
              <w:jc w:val="both"/>
              <w:rPr>
                <w:bCs/>
                <w:sz w:val="20"/>
                <w:szCs w:val="20"/>
              </w:rPr>
            </w:pPr>
            <w:r w:rsidRPr="00154588">
              <w:rPr>
                <w:bCs/>
                <w:sz w:val="20"/>
                <w:szCs w:val="20"/>
              </w:rPr>
              <w:t>(n) un plan de comunicare cu mass-media și cu publicul;</w:t>
            </w:r>
          </w:p>
          <w:p w14:paraId="5ED055A7" w14:textId="77777777" w:rsidR="005E0361" w:rsidRPr="00154588" w:rsidRDefault="005E0361" w:rsidP="008C12B4">
            <w:pPr>
              <w:jc w:val="both"/>
              <w:rPr>
                <w:bCs/>
                <w:sz w:val="20"/>
                <w:szCs w:val="20"/>
              </w:rPr>
            </w:pPr>
          </w:p>
          <w:p w14:paraId="6E3ACC28" w14:textId="4080AFF5" w:rsidR="005E0361" w:rsidRPr="00154588" w:rsidRDefault="005E0361" w:rsidP="008C12B4">
            <w:pPr>
              <w:jc w:val="both"/>
              <w:rPr>
                <w:bCs/>
                <w:sz w:val="20"/>
                <w:szCs w:val="20"/>
              </w:rPr>
            </w:pPr>
            <w:r w:rsidRPr="00154588">
              <w:rPr>
                <w:bCs/>
                <w:sz w:val="20"/>
                <w:szCs w:val="20"/>
              </w:rPr>
              <w:t>(o) cerințele menționate la articolele 45e și 45f, precum și un termen pentru a ajunge la nivelul respectiv, în conformitate cu articolul 45m;</w:t>
            </w:r>
          </w:p>
          <w:p w14:paraId="60B6FFE8" w14:textId="77777777" w:rsidR="005E0361" w:rsidRPr="00154588" w:rsidRDefault="005E0361" w:rsidP="008C12B4">
            <w:pPr>
              <w:jc w:val="both"/>
              <w:rPr>
                <w:bCs/>
                <w:sz w:val="20"/>
                <w:szCs w:val="20"/>
              </w:rPr>
            </w:pPr>
          </w:p>
          <w:p w14:paraId="0EDC265E" w14:textId="77777777" w:rsidR="005E0361" w:rsidRPr="00154588" w:rsidRDefault="005E0361" w:rsidP="008C12B4">
            <w:pPr>
              <w:jc w:val="both"/>
              <w:rPr>
                <w:bCs/>
                <w:sz w:val="20"/>
                <w:szCs w:val="20"/>
              </w:rPr>
            </w:pPr>
            <w:r w:rsidRPr="00154588">
              <w:rPr>
                <w:bCs/>
                <w:sz w:val="20"/>
                <w:szCs w:val="20"/>
              </w:rPr>
              <w:t>(p) în cazul în care autoritatea de rezoluție aplică articolul 45b alineatul (4), (5) sau (7), un calendar pentru asigurarea conformității de către entitatea de rezoluție, în conformitate cu articolul 45m;</w:t>
            </w:r>
          </w:p>
          <w:p w14:paraId="7C979008" w14:textId="77777777" w:rsidR="005E0361" w:rsidRPr="00154588" w:rsidRDefault="005E0361" w:rsidP="008C12B4">
            <w:pPr>
              <w:jc w:val="both"/>
              <w:rPr>
                <w:bCs/>
                <w:sz w:val="20"/>
                <w:szCs w:val="20"/>
              </w:rPr>
            </w:pPr>
          </w:p>
          <w:p w14:paraId="062586E8" w14:textId="77777777" w:rsidR="005E0361" w:rsidRPr="00154588" w:rsidRDefault="005E0361" w:rsidP="008C12B4">
            <w:pPr>
              <w:jc w:val="both"/>
              <w:rPr>
                <w:bCs/>
                <w:sz w:val="20"/>
                <w:szCs w:val="20"/>
              </w:rPr>
            </w:pPr>
            <w:r w:rsidRPr="00154588">
              <w:rPr>
                <w:bCs/>
                <w:sz w:val="20"/>
                <w:szCs w:val="20"/>
              </w:rPr>
              <w:t xml:space="preserve">(q) o descriere a operațiunilor și a sistemelor esențiale pentru a menține funcționarea continuă a proceselor operaționale ale instituției, inclusiv a rețelelor și sistemelor </w:t>
            </w:r>
            <w:r w:rsidRPr="00154588">
              <w:rPr>
                <w:bCs/>
                <w:sz w:val="20"/>
                <w:szCs w:val="20"/>
              </w:rPr>
              <w:lastRenderedPageBreak/>
              <w:t>informatice menționate în Regulamentul (UE) 2022/2554 al Parlamentului European și al Consiliului ( 9 );</w:t>
            </w:r>
          </w:p>
          <w:p w14:paraId="08AA12D3" w14:textId="77777777" w:rsidR="005E0361" w:rsidRPr="00154588" w:rsidRDefault="005E0361" w:rsidP="008C12B4">
            <w:pPr>
              <w:jc w:val="both"/>
              <w:rPr>
                <w:bCs/>
                <w:sz w:val="20"/>
                <w:szCs w:val="20"/>
              </w:rPr>
            </w:pPr>
          </w:p>
          <w:p w14:paraId="0F481761" w14:textId="166650B3" w:rsidR="005E0361" w:rsidRPr="00154588" w:rsidRDefault="005E0361" w:rsidP="008C12B4">
            <w:pPr>
              <w:jc w:val="both"/>
              <w:rPr>
                <w:bCs/>
                <w:sz w:val="20"/>
                <w:szCs w:val="20"/>
              </w:rPr>
            </w:pPr>
            <w:r w:rsidRPr="00154588">
              <w:rPr>
                <w:bCs/>
                <w:sz w:val="20"/>
                <w:szCs w:val="20"/>
              </w:rPr>
              <w:t>(r) după caz, orice opinie exprimată de instituție cu privire la planul de rezoluție.</w:t>
            </w:r>
          </w:p>
        </w:tc>
        <w:tc>
          <w:tcPr>
            <w:tcW w:w="4819" w:type="dxa"/>
          </w:tcPr>
          <w:p w14:paraId="174FC4E6" w14:textId="77777777" w:rsidR="005E0361" w:rsidRPr="00154588" w:rsidRDefault="005E0361" w:rsidP="008C12B4">
            <w:pPr>
              <w:ind w:firstLine="567"/>
              <w:jc w:val="both"/>
              <w:rPr>
                <w:rFonts w:eastAsia="Calibri"/>
                <w:sz w:val="20"/>
                <w:szCs w:val="18"/>
              </w:rPr>
            </w:pPr>
            <w:r w:rsidRPr="00154588">
              <w:rPr>
                <w:rFonts w:eastAsia="Calibri"/>
                <w:b/>
                <w:sz w:val="20"/>
                <w:szCs w:val="18"/>
              </w:rPr>
              <w:lastRenderedPageBreak/>
              <w:t>Articolul 29.</w:t>
            </w:r>
            <w:r w:rsidRPr="00154588">
              <w:rPr>
                <w:rFonts w:eastAsia="Calibri"/>
                <w:sz w:val="20"/>
                <w:szCs w:val="18"/>
              </w:rPr>
              <w:t xml:space="preserve"> – Fără a aduce atingere art.7 şi 8, Banca Naţională a Moldovei, în calitate de autoritate de rezoluţie, prevede în planul de rezoluţie opţiuni de aplicare a instrumentelor de rezoluţie şi de exercitare a competenţelor de rezoluţie prevăzute în prezenta lege şi include următoarele elemente pentru care stabileşte valori concrete atunci cînd, în opinia sa, este adecvat şi posibil:</w:t>
            </w:r>
          </w:p>
          <w:p w14:paraId="736C54A5" w14:textId="77777777" w:rsidR="00675D88" w:rsidRPr="00154588" w:rsidRDefault="005E0361" w:rsidP="008C12B4">
            <w:pPr>
              <w:jc w:val="both"/>
              <w:rPr>
                <w:rFonts w:eastAsia="Calibri"/>
                <w:sz w:val="20"/>
                <w:szCs w:val="18"/>
              </w:rPr>
            </w:pPr>
            <w:r w:rsidRPr="00154588">
              <w:rPr>
                <w:rFonts w:eastAsia="Calibri"/>
                <w:sz w:val="20"/>
                <w:szCs w:val="18"/>
              </w:rPr>
              <w:t>a) un rezumat al principalelor elemente ale planului;</w:t>
            </w:r>
          </w:p>
          <w:p w14:paraId="554FDBD0" w14:textId="77777777" w:rsidR="00675D88" w:rsidRPr="00154588" w:rsidRDefault="00675D88" w:rsidP="008C12B4">
            <w:pPr>
              <w:jc w:val="both"/>
              <w:rPr>
                <w:rFonts w:eastAsia="Calibri"/>
                <w:sz w:val="20"/>
                <w:szCs w:val="18"/>
              </w:rPr>
            </w:pPr>
          </w:p>
          <w:p w14:paraId="6BDE656F" w14:textId="1DF82FD6" w:rsidR="005E0361" w:rsidRPr="00154588" w:rsidRDefault="005E0361" w:rsidP="008C12B4">
            <w:pPr>
              <w:jc w:val="both"/>
              <w:rPr>
                <w:rFonts w:eastAsia="Calibri"/>
                <w:sz w:val="20"/>
                <w:szCs w:val="18"/>
              </w:rPr>
            </w:pPr>
            <w:r w:rsidRPr="00154588">
              <w:rPr>
                <w:rFonts w:eastAsia="Calibri"/>
                <w:sz w:val="20"/>
                <w:szCs w:val="18"/>
              </w:rPr>
              <w:t>b) un rezumat al modificărilor importante survenite în cadrul instituției de credit de la ultima actualizare a planului de rezoluţie;</w:t>
            </w:r>
          </w:p>
          <w:p w14:paraId="5B228398" w14:textId="77777777" w:rsidR="00675D88" w:rsidRPr="00154588" w:rsidRDefault="00675D88" w:rsidP="008C12B4">
            <w:pPr>
              <w:jc w:val="both"/>
              <w:rPr>
                <w:rFonts w:eastAsia="Calibri"/>
                <w:sz w:val="20"/>
                <w:szCs w:val="18"/>
              </w:rPr>
            </w:pPr>
          </w:p>
          <w:p w14:paraId="4DE6454A" w14:textId="73B0A7CE" w:rsidR="005E0361" w:rsidRPr="00154588" w:rsidRDefault="005E0361" w:rsidP="008C12B4">
            <w:pPr>
              <w:jc w:val="both"/>
              <w:rPr>
                <w:rFonts w:eastAsia="Calibri"/>
                <w:sz w:val="20"/>
                <w:szCs w:val="18"/>
              </w:rPr>
            </w:pPr>
            <w:r w:rsidRPr="00154588">
              <w:rPr>
                <w:rFonts w:eastAsia="Calibri"/>
                <w:sz w:val="20"/>
                <w:szCs w:val="18"/>
              </w:rPr>
              <w:t>c) o prezentare a modalităţii în care funcţiile critice şi liniile de activitate de bază ar putea fi separate de alte funcţii, fundamentată din punct de vedere juridic şi economic, pentru asigurarea continuităţii acestora în cazul intrării în dificultate a instituției de credit;</w:t>
            </w:r>
          </w:p>
          <w:p w14:paraId="07AD9E01" w14:textId="77777777" w:rsidR="00675D88" w:rsidRPr="00154588" w:rsidRDefault="00675D88" w:rsidP="008C12B4">
            <w:pPr>
              <w:jc w:val="both"/>
              <w:rPr>
                <w:rFonts w:eastAsia="Calibri"/>
                <w:sz w:val="20"/>
                <w:szCs w:val="18"/>
              </w:rPr>
            </w:pPr>
          </w:p>
          <w:p w14:paraId="15FD0C5D" w14:textId="561F3E80" w:rsidR="005E0361" w:rsidRPr="00154588" w:rsidRDefault="005E0361" w:rsidP="008C12B4">
            <w:pPr>
              <w:jc w:val="both"/>
              <w:rPr>
                <w:rFonts w:eastAsia="Calibri"/>
                <w:sz w:val="20"/>
                <w:szCs w:val="18"/>
              </w:rPr>
            </w:pPr>
            <w:r w:rsidRPr="00154588">
              <w:rPr>
                <w:rFonts w:eastAsia="Calibri"/>
                <w:sz w:val="20"/>
                <w:szCs w:val="18"/>
              </w:rPr>
              <w:t>d) o estimare a calendarului punerii în aplicare a fiecărui aspect important al planului;</w:t>
            </w:r>
          </w:p>
          <w:p w14:paraId="6C94FD54" w14:textId="77777777" w:rsidR="00675D88" w:rsidRPr="00154588" w:rsidRDefault="00675D88" w:rsidP="008C12B4">
            <w:pPr>
              <w:jc w:val="both"/>
              <w:rPr>
                <w:rFonts w:eastAsia="Calibri"/>
                <w:sz w:val="20"/>
                <w:szCs w:val="18"/>
              </w:rPr>
            </w:pPr>
          </w:p>
          <w:p w14:paraId="27D01584" w14:textId="2A933640" w:rsidR="005E0361" w:rsidRPr="00154588" w:rsidRDefault="005E0361" w:rsidP="008C12B4">
            <w:pPr>
              <w:jc w:val="both"/>
              <w:rPr>
                <w:rFonts w:eastAsia="Calibri"/>
                <w:sz w:val="20"/>
                <w:szCs w:val="18"/>
              </w:rPr>
            </w:pPr>
            <w:r w:rsidRPr="00154588">
              <w:rPr>
                <w:rFonts w:eastAsia="Calibri"/>
                <w:sz w:val="20"/>
                <w:szCs w:val="18"/>
              </w:rPr>
              <w:t>e) o descriere detaliată a evaluării posibilităţii de soluţionare a instituției de credit, în sensul art.32 alin.(3), efectuată conform art.24 şi art.32-34;</w:t>
            </w:r>
          </w:p>
          <w:p w14:paraId="40FA58EC" w14:textId="77777777" w:rsidR="00675D88" w:rsidRPr="00154588" w:rsidRDefault="00675D88" w:rsidP="008C12B4">
            <w:pPr>
              <w:jc w:val="both"/>
              <w:rPr>
                <w:rFonts w:eastAsia="Calibri"/>
                <w:sz w:val="20"/>
                <w:szCs w:val="18"/>
              </w:rPr>
            </w:pPr>
          </w:p>
          <w:p w14:paraId="74D63899" w14:textId="2AC775AE" w:rsidR="005E0361" w:rsidRPr="00154588" w:rsidRDefault="005E0361" w:rsidP="008C12B4">
            <w:pPr>
              <w:jc w:val="both"/>
              <w:rPr>
                <w:rFonts w:eastAsia="Calibri"/>
                <w:sz w:val="20"/>
                <w:szCs w:val="18"/>
              </w:rPr>
            </w:pPr>
            <w:r w:rsidRPr="00154588">
              <w:rPr>
                <w:rFonts w:eastAsia="Calibri"/>
                <w:sz w:val="20"/>
                <w:szCs w:val="18"/>
              </w:rPr>
              <w:t>f) o descriere a oricăror măsuri necesare conform prevederilor art.35-41 pentru a aborda sau a înlătura obstacolele din calea posibilităţii de soluţionare, în sensul art.32 alin.(3), identificate în urma evaluării efectuate conform art.32-34;</w:t>
            </w:r>
          </w:p>
          <w:p w14:paraId="20D6E8EB" w14:textId="77777777" w:rsidR="00675D88" w:rsidRPr="00154588" w:rsidRDefault="00675D88" w:rsidP="008C12B4">
            <w:pPr>
              <w:jc w:val="both"/>
              <w:rPr>
                <w:rFonts w:eastAsia="Calibri"/>
                <w:sz w:val="20"/>
                <w:szCs w:val="18"/>
              </w:rPr>
            </w:pPr>
          </w:p>
          <w:p w14:paraId="59464901" w14:textId="5F321EDD" w:rsidR="005E0361" w:rsidRPr="00154588" w:rsidRDefault="005E0361" w:rsidP="008C12B4">
            <w:pPr>
              <w:jc w:val="both"/>
              <w:rPr>
                <w:rFonts w:eastAsia="Calibri"/>
                <w:sz w:val="20"/>
                <w:szCs w:val="18"/>
              </w:rPr>
            </w:pPr>
            <w:r w:rsidRPr="00154588">
              <w:rPr>
                <w:rFonts w:eastAsia="Calibri"/>
                <w:sz w:val="20"/>
                <w:szCs w:val="18"/>
              </w:rPr>
              <w:t>g) o descriere a procedurii de stabilire a valorii şi posibilităţii de vînzare a funcţiilor critice, a liniilor de activitate de bază şi a activelor instituției de credit;</w:t>
            </w:r>
          </w:p>
          <w:p w14:paraId="22022442" w14:textId="77777777" w:rsidR="00675D88" w:rsidRPr="00154588" w:rsidRDefault="00675D88" w:rsidP="008C12B4">
            <w:pPr>
              <w:jc w:val="both"/>
              <w:rPr>
                <w:rFonts w:eastAsia="Calibri"/>
                <w:sz w:val="20"/>
                <w:szCs w:val="18"/>
              </w:rPr>
            </w:pPr>
          </w:p>
          <w:p w14:paraId="786B9C47" w14:textId="6FB230AC" w:rsidR="005E0361" w:rsidRPr="00154588" w:rsidRDefault="005E0361" w:rsidP="008C12B4">
            <w:pPr>
              <w:jc w:val="both"/>
              <w:rPr>
                <w:rFonts w:eastAsia="Calibri"/>
                <w:sz w:val="20"/>
                <w:szCs w:val="18"/>
              </w:rPr>
            </w:pPr>
            <w:r w:rsidRPr="00154588">
              <w:rPr>
                <w:rFonts w:eastAsia="Calibri"/>
                <w:sz w:val="20"/>
                <w:szCs w:val="18"/>
              </w:rPr>
              <w:t>h) o descriere detaliată a măsurilor destinate asigurării faptului că informaţiile solicitate conform art.31 sînt actualizate şi puse la dispoziţia Băncii Naţionale a Moldovei, în calitate de autoritate de rezoluţie, în orice moment;</w:t>
            </w:r>
          </w:p>
          <w:p w14:paraId="719A8BD3" w14:textId="77777777" w:rsidR="00675D88" w:rsidRPr="00154588" w:rsidRDefault="00675D88" w:rsidP="008C12B4">
            <w:pPr>
              <w:jc w:val="both"/>
              <w:rPr>
                <w:rFonts w:eastAsia="Calibri"/>
                <w:sz w:val="20"/>
                <w:szCs w:val="18"/>
              </w:rPr>
            </w:pPr>
          </w:p>
          <w:p w14:paraId="535745BB" w14:textId="4735AF80" w:rsidR="005E0361" w:rsidRPr="00154588" w:rsidRDefault="005E0361" w:rsidP="008C12B4">
            <w:pPr>
              <w:jc w:val="both"/>
              <w:rPr>
                <w:rFonts w:eastAsia="Calibri"/>
                <w:sz w:val="20"/>
                <w:szCs w:val="18"/>
              </w:rPr>
            </w:pPr>
            <w:r w:rsidRPr="00154588">
              <w:rPr>
                <w:rFonts w:eastAsia="Calibri"/>
                <w:sz w:val="20"/>
                <w:szCs w:val="18"/>
              </w:rPr>
              <w:lastRenderedPageBreak/>
              <w:t>i) prezentarea modului în care Banca Naţională a Moldovei, în calitate de autoritate de rezoluţie, consideră ca ar putea fi finanţate opţiunile de rezoluţie, fără ca instituția de credit să recurgă la sprijin financiar public extraordinar, cu excepţia utilizării mecanismelor de finanţare instituite conform art.296, ori la asistenţa de lichiditate în situaţii de urgenţă din partea băncii centrale ori la asistenţa de lichiditate din partea băncii centrale oferită cu garanţii, rate ale dobînzilor sau durate nonstandard;</w:t>
            </w:r>
          </w:p>
          <w:p w14:paraId="258DCE4B" w14:textId="77777777" w:rsidR="00675D88" w:rsidRPr="00154588" w:rsidRDefault="00675D88" w:rsidP="008C12B4">
            <w:pPr>
              <w:jc w:val="both"/>
              <w:rPr>
                <w:rFonts w:eastAsia="Calibri"/>
                <w:sz w:val="20"/>
                <w:szCs w:val="18"/>
              </w:rPr>
            </w:pPr>
          </w:p>
          <w:p w14:paraId="561AED2D" w14:textId="2CDD0324" w:rsidR="005E0361" w:rsidRPr="00154588" w:rsidRDefault="005E0361" w:rsidP="008C12B4">
            <w:pPr>
              <w:jc w:val="both"/>
              <w:rPr>
                <w:rFonts w:eastAsia="Calibri"/>
                <w:sz w:val="20"/>
                <w:szCs w:val="18"/>
              </w:rPr>
            </w:pPr>
            <w:r w:rsidRPr="00154588">
              <w:rPr>
                <w:rFonts w:eastAsia="Calibri"/>
                <w:sz w:val="20"/>
                <w:szCs w:val="18"/>
              </w:rPr>
              <w:t>j) o descriere detaliată a diferitor strategii de rezoluţie care ar putea fi aplicate în funcţie de scenariile posibile şi termenele aplicabile</w:t>
            </w:r>
            <w:r w:rsidR="00675D88" w:rsidRPr="00154588">
              <w:rPr>
                <w:rFonts w:eastAsia="Calibri"/>
                <w:sz w:val="20"/>
                <w:szCs w:val="18"/>
              </w:rPr>
              <w:t>,</w:t>
            </w:r>
            <w:r w:rsidR="00675D88" w:rsidRPr="00154588">
              <w:t xml:space="preserve"> </w:t>
            </w:r>
            <w:r w:rsidR="00675D88" w:rsidRPr="00154588">
              <w:rPr>
                <w:rFonts w:eastAsia="Calibri"/>
                <w:sz w:val="20"/>
                <w:szCs w:val="18"/>
              </w:rPr>
              <w:t>precum și a modului în care strategiile respective ar realiza obiectivele rezoluției</w:t>
            </w:r>
            <w:r w:rsidRPr="00154588">
              <w:rPr>
                <w:rFonts w:eastAsia="Calibri"/>
                <w:sz w:val="20"/>
                <w:szCs w:val="18"/>
              </w:rPr>
              <w:t>;</w:t>
            </w:r>
          </w:p>
          <w:p w14:paraId="2AE8BD54" w14:textId="77777777" w:rsidR="00675D88" w:rsidRPr="00154588" w:rsidRDefault="00675D88" w:rsidP="008C12B4">
            <w:pPr>
              <w:jc w:val="both"/>
              <w:rPr>
                <w:rFonts w:eastAsia="Calibri"/>
                <w:sz w:val="20"/>
                <w:szCs w:val="18"/>
              </w:rPr>
            </w:pPr>
          </w:p>
          <w:p w14:paraId="6209B3CF" w14:textId="5F8FCE43" w:rsidR="005E0361" w:rsidRPr="00154588" w:rsidRDefault="005E0361" w:rsidP="008C12B4">
            <w:pPr>
              <w:jc w:val="both"/>
              <w:rPr>
                <w:rFonts w:eastAsia="Calibri"/>
                <w:sz w:val="20"/>
                <w:szCs w:val="18"/>
              </w:rPr>
            </w:pPr>
            <w:r w:rsidRPr="00154588">
              <w:rPr>
                <w:rFonts w:eastAsia="Calibri"/>
                <w:sz w:val="20"/>
                <w:szCs w:val="18"/>
              </w:rPr>
              <w:t>k) o descriere a relaţiilor de interdependenţă critice;</w:t>
            </w:r>
          </w:p>
          <w:p w14:paraId="3DE21066" w14:textId="77777777" w:rsidR="00675D88" w:rsidRPr="00154588" w:rsidRDefault="00675D88" w:rsidP="008C12B4">
            <w:pPr>
              <w:jc w:val="both"/>
              <w:rPr>
                <w:rFonts w:eastAsia="Calibri"/>
                <w:sz w:val="20"/>
                <w:szCs w:val="18"/>
              </w:rPr>
            </w:pPr>
          </w:p>
          <w:p w14:paraId="2943EB96" w14:textId="3DB402F4" w:rsidR="005E0361" w:rsidRPr="00154588" w:rsidRDefault="005E0361" w:rsidP="008C12B4">
            <w:pPr>
              <w:jc w:val="both"/>
              <w:rPr>
                <w:rFonts w:eastAsia="Calibri"/>
                <w:sz w:val="20"/>
                <w:szCs w:val="18"/>
              </w:rPr>
            </w:pPr>
            <w:r w:rsidRPr="00154588">
              <w:rPr>
                <w:rFonts w:eastAsia="Calibri"/>
                <w:sz w:val="20"/>
                <w:szCs w:val="18"/>
              </w:rPr>
              <w:t>l) o descriere a opţiunilor care ar permite menţinerea accesului la serviciile de plăţi şi de compensare şi la alte infrastructuri, precum şi o evaluare a portabilităţii poziţiilor clienţilor;</w:t>
            </w:r>
          </w:p>
          <w:p w14:paraId="0E6025C1" w14:textId="77777777" w:rsidR="00675D88" w:rsidRPr="00154588" w:rsidRDefault="00675D88" w:rsidP="008C12B4">
            <w:pPr>
              <w:jc w:val="both"/>
              <w:rPr>
                <w:rFonts w:eastAsia="Calibri"/>
                <w:sz w:val="20"/>
                <w:szCs w:val="18"/>
              </w:rPr>
            </w:pPr>
          </w:p>
          <w:p w14:paraId="2DB195BC" w14:textId="249BF704" w:rsidR="005E0361" w:rsidRPr="00154588" w:rsidRDefault="005E0361" w:rsidP="008C12B4">
            <w:pPr>
              <w:jc w:val="both"/>
              <w:rPr>
                <w:rFonts w:eastAsia="Calibri"/>
                <w:sz w:val="20"/>
                <w:szCs w:val="18"/>
              </w:rPr>
            </w:pPr>
            <w:r w:rsidRPr="00154588">
              <w:rPr>
                <w:rFonts w:eastAsia="Calibri"/>
                <w:sz w:val="20"/>
                <w:szCs w:val="18"/>
              </w:rPr>
              <w:t>m) o analiză a impactului planului asupra angajaţilor institu</w:t>
            </w:r>
            <w:r w:rsidRPr="00154588">
              <w:rPr>
                <w:rFonts w:eastAsia="Calibri"/>
                <w:sz w:val="20"/>
                <w:szCs w:val="18"/>
                <w:lang w:val="ro-MD"/>
              </w:rPr>
              <w:t>ției de credit</w:t>
            </w:r>
            <w:r w:rsidRPr="00154588">
              <w:rPr>
                <w:rFonts w:eastAsia="Calibri"/>
                <w:sz w:val="20"/>
                <w:szCs w:val="18"/>
              </w:rPr>
              <w:t>, inclusiv o evaluare a oricăror costuri asociate şi o descriere a procedurilor de consultare în cursul procesului de rezoluţie a personalului, a organizaţiei patronale şi a organizaţiei angajaţilor, după caz;</w:t>
            </w:r>
          </w:p>
          <w:p w14:paraId="07201D3B" w14:textId="77777777" w:rsidR="00675D88" w:rsidRPr="00154588" w:rsidRDefault="00675D88" w:rsidP="008C12B4">
            <w:pPr>
              <w:jc w:val="both"/>
              <w:rPr>
                <w:rFonts w:eastAsia="Calibri"/>
                <w:sz w:val="20"/>
                <w:szCs w:val="18"/>
              </w:rPr>
            </w:pPr>
          </w:p>
          <w:p w14:paraId="10CA28A3" w14:textId="199513AA" w:rsidR="005E0361" w:rsidRPr="00154588" w:rsidRDefault="005E0361" w:rsidP="008C12B4">
            <w:pPr>
              <w:jc w:val="both"/>
              <w:rPr>
                <w:rFonts w:eastAsia="Calibri"/>
                <w:sz w:val="20"/>
                <w:szCs w:val="18"/>
              </w:rPr>
            </w:pPr>
            <w:r w:rsidRPr="00154588">
              <w:rPr>
                <w:rFonts w:eastAsia="Calibri"/>
                <w:sz w:val="20"/>
                <w:szCs w:val="18"/>
              </w:rPr>
              <w:t>n) un plan de comunicare cu mass-media şi cu publicul;</w:t>
            </w:r>
          </w:p>
          <w:p w14:paraId="12BA5EDE" w14:textId="77777777" w:rsidR="00675D88" w:rsidRPr="00154588" w:rsidRDefault="00675D88" w:rsidP="008C12B4">
            <w:pPr>
              <w:jc w:val="both"/>
              <w:rPr>
                <w:rFonts w:eastAsia="Calibri"/>
                <w:sz w:val="20"/>
                <w:szCs w:val="18"/>
              </w:rPr>
            </w:pPr>
          </w:p>
          <w:p w14:paraId="3685B8CD" w14:textId="760E03F2" w:rsidR="005E0361" w:rsidRPr="00154588" w:rsidRDefault="005E0361" w:rsidP="008C12B4">
            <w:pPr>
              <w:jc w:val="both"/>
              <w:rPr>
                <w:rFonts w:eastAsia="Calibri"/>
                <w:sz w:val="20"/>
                <w:szCs w:val="18"/>
              </w:rPr>
            </w:pPr>
            <w:r w:rsidRPr="00154588">
              <w:rPr>
                <w:rFonts w:eastAsia="Calibri"/>
                <w:sz w:val="20"/>
                <w:szCs w:val="18"/>
              </w:rPr>
              <w:t>o) cerinţa minimă de fonduri proprii şi datorii eligibile necesare în temeiul art.164 şi termenul în care trebuie să se ajungă la acest nivel, dacă este cazul;</w:t>
            </w:r>
          </w:p>
          <w:p w14:paraId="3A90CBD5" w14:textId="77777777" w:rsidR="00675D88" w:rsidRPr="00154588" w:rsidRDefault="00675D88" w:rsidP="008C12B4">
            <w:pPr>
              <w:jc w:val="both"/>
              <w:rPr>
                <w:rFonts w:eastAsia="Calibri"/>
                <w:sz w:val="20"/>
                <w:szCs w:val="18"/>
              </w:rPr>
            </w:pPr>
          </w:p>
          <w:p w14:paraId="430F642B" w14:textId="2E369B32" w:rsidR="005E0361" w:rsidRPr="00154588" w:rsidRDefault="005E0361" w:rsidP="008C12B4">
            <w:pPr>
              <w:jc w:val="both"/>
              <w:rPr>
                <w:rFonts w:eastAsia="Calibri"/>
                <w:kern w:val="2"/>
                <w:sz w:val="20"/>
                <w:szCs w:val="18"/>
                <w14:ligatures w14:val="standardContextual"/>
              </w:rPr>
            </w:pPr>
            <w:r w:rsidRPr="00154588">
              <w:rPr>
                <w:rFonts w:eastAsia="Calibri"/>
                <w:sz w:val="20"/>
                <w:szCs w:val="18"/>
              </w:rPr>
              <w:t>p) în cazul în care autoritatea de rezoluție, aplică art.165</w:t>
            </w:r>
            <w:r w:rsidRPr="00154588">
              <w:rPr>
                <w:rFonts w:eastAsia="Calibri"/>
                <w:sz w:val="20"/>
                <w:szCs w:val="18"/>
                <w:vertAlign w:val="superscript"/>
              </w:rPr>
              <w:t>3</w:t>
            </w:r>
            <w:r w:rsidRPr="00154588">
              <w:rPr>
                <w:rFonts w:eastAsia="Calibri"/>
                <w:sz w:val="20"/>
                <w:szCs w:val="18"/>
              </w:rPr>
              <w:t>-165</w:t>
            </w:r>
            <w:r w:rsidRPr="00154588">
              <w:rPr>
                <w:rFonts w:eastAsia="Calibri"/>
                <w:sz w:val="20"/>
                <w:szCs w:val="18"/>
                <w:vertAlign w:val="superscript"/>
              </w:rPr>
              <w:t>4</w:t>
            </w:r>
            <w:r w:rsidRPr="00154588">
              <w:rPr>
                <w:rFonts w:eastAsia="Calibri"/>
                <w:sz w:val="20"/>
                <w:szCs w:val="18"/>
              </w:rPr>
              <w:t xml:space="preserve"> sau art.165</w:t>
            </w:r>
            <w:r w:rsidRPr="00154588">
              <w:rPr>
                <w:rFonts w:eastAsia="Calibri"/>
                <w:sz w:val="20"/>
                <w:szCs w:val="18"/>
                <w:vertAlign w:val="superscript"/>
              </w:rPr>
              <w:t>6</w:t>
            </w:r>
            <w:r w:rsidRPr="00154588">
              <w:rPr>
                <w:rFonts w:eastAsia="Calibri"/>
                <w:sz w:val="20"/>
                <w:szCs w:val="18"/>
              </w:rPr>
              <w:t xml:space="preserve">, </w:t>
            </w:r>
            <w:r w:rsidR="00740F00" w:rsidRPr="00154588">
              <w:rPr>
                <w:rFonts w:eastAsia="Calibri"/>
                <w:sz w:val="20"/>
                <w:szCs w:val="18"/>
              </w:rPr>
              <w:t xml:space="preserve">stabilește </w:t>
            </w:r>
            <w:r w:rsidRPr="00154588">
              <w:rPr>
                <w:rFonts w:eastAsia="Calibri"/>
                <w:sz w:val="20"/>
                <w:szCs w:val="18"/>
              </w:rPr>
              <w:t>un calendar pentru asigurarea conformității de către entitatea de rezoluție, în conformitate cu art.170</w:t>
            </w:r>
            <w:r w:rsidRPr="00154588">
              <w:rPr>
                <w:rFonts w:eastAsia="Calibri"/>
                <w:sz w:val="20"/>
                <w:szCs w:val="18"/>
                <w:vertAlign w:val="superscript"/>
              </w:rPr>
              <w:t>7</w:t>
            </w:r>
            <w:r w:rsidRPr="00154588">
              <w:rPr>
                <w:rFonts w:eastAsia="Calibri"/>
                <w:sz w:val="20"/>
                <w:szCs w:val="18"/>
              </w:rPr>
              <w:t>-170</w:t>
            </w:r>
            <w:r w:rsidRPr="00154588">
              <w:rPr>
                <w:rFonts w:eastAsia="Calibri"/>
                <w:sz w:val="20"/>
                <w:szCs w:val="18"/>
                <w:vertAlign w:val="superscript"/>
              </w:rPr>
              <w:t>14</w:t>
            </w:r>
            <w:r w:rsidRPr="00154588">
              <w:rPr>
                <w:rFonts w:eastAsia="Calibri"/>
                <w:sz w:val="20"/>
                <w:szCs w:val="18"/>
              </w:rPr>
              <w:t>;</w:t>
            </w:r>
          </w:p>
          <w:p w14:paraId="769824D7" w14:textId="77777777" w:rsidR="00675D88" w:rsidRPr="00154588" w:rsidRDefault="00675D88" w:rsidP="008C12B4">
            <w:pPr>
              <w:jc w:val="both"/>
              <w:rPr>
                <w:rFonts w:eastAsia="Calibri"/>
                <w:sz w:val="20"/>
                <w:szCs w:val="18"/>
              </w:rPr>
            </w:pPr>
          </w:p>
          <w:p w14:paraId="40829B57" w14:textId="5FE88737" w:rsidR="005E0361" w:rsidRPr="00154588" w:rsidRDefault="005E0361" w:rsidP="008C12B4">
            <w:pPr>
              <w:jc w:val="both"/>
              <w:rPr>
                <w:rFonts w:eastAsia="Calibri"/>
                <w:kern w:val="2"/>
                <w:sz w:val="20"/>
                <w:szCs w:val="18"/>
                <w14:ligatures w14:val="standardContextual"/>
              </w:rPr>
            </w:pPr>
            <w:r w:rsidRPr="00154588">
              <w:rPr>
                <w:rFonts w:eastAsia="Calibri"/>
                <w:sz w:val="20"/>
                <w:szCs w:val="18"/>
              </w:rPr>
              <w:t xml:space="preserve">q) o descriere a operaţiunilor şi a sistemelor esenţiale pentru a menţine funcţionarea continuă a proceselor operaţionale ale instituției de credit, inclusiv a rețelelor și sistemelor informatice conform reglementărilor în vigoare </w:t>
            </w:r>
            <w:r w:rsidRPr="00154588">
              <w:rPr>
                <w:rFonts w:eastAsia="Calibri"/>
                <w:sz w:val="20"/>
                <w:szCs w:val="18"/>
              </w:rPr>
              <w:lastRenderedPageBreak/>
              <w:t>privind reziliența operațională digitală a sectorului financiar;</w:t>
            </w:r>
          </w:p>
          <w:p w14:paraId="7B1818E0" w14:textId="77777777" w:rsidR="00675D88" w:rsidRPr="00154588" w:rsidRDefault="00675D88" w:rsidP="008C12B4">
            <w:pPr>
              <w:jc w:val="both"/>
              <w:rPr>
                <w:rFonts w:eastAsia="Calibri"/>
                <w:sz w:val="20"/>
                <w:szCs w:val="18"/>
              </w:rPr>
            </w:pPr>
          </w:p>
          <w:p w14:paraId="5F4547C4" w14:textId="45CA4078" w:rsidR="005E0361" w:rsidRPr="00154588" w:rsidRDefault="005E0361" w:rsidP="008C12B4">
            <w:pPr>
              <w:jc w:val="both"/>
              <w:rPr>
                <w:rFonts w:eastAsia="Calibri"/>
                <w:sz w:val="20"/>
                <w:szCs w:val="18"/>
              </w:rPr>
            </w:pPr>
            <w:r w:rsidRPr="00154588">
              <w:rPr>
                <w:rFonts w:eastAsia="Calibri"/>
                <w:sz w:val="20"/>
                <w:szCs w:val="18"/>
              </w:rPr>
              <w:t>r) după caz, orice opinie exprimată de instituția de credit cu privire la planul de rezoluţie.</w:t>
            </w:r>
          </w:p>
        </w:tc>
        <w:tc>
          <w:tcPr>
            <w:tcW w:w="2552" w:type="dxa"/>
          </w:tcPr>
          <w:p w14:paraId="2A65C343" w14:textId="5B5AA926" w:rsidR="005E0361" w:rsidRPr="00154588" w:rsidRDefault="005E0361" w:rsidP="008C12B4">
            <w:pPr>
              <w:jc w:val="both"/>
              <w:rPr>
                <w:bCs/>
                <w:sz w:val="20"/>
                <w:szCs w:val="20"/>
              </w:rPr>
            </w:pPr>
            <w:r w:rsidRPr="00154588">
              <w:rPr>
                <w:bCs/>
                <w:sz w:val="20"/>
                <w:szCs w:val="20"/>
              </w:rPr>
              <w:lastRenderedPageBreak/>
              <w:t>Compatibil</w:t>
            </w:r>
          </w:p>
        </w:tc>
        <w:tc>
          <w:tcPr>
            <w:tcW w:w="3118" w:type="dxa"/>
          </w:tcPr>
          <w:p w14:paraId="1D00BB7B" w14:textId="77777777" w:rsidR="005E0361" w:rsidRPr="00154588" w:rsidRDefault="005E0361" w:rsidP="008C12B4">
            <w:pPr>
              <w:jc w:val="both"/>
              <w:rPr>
                <w:bCs/>
                <w:sz w:val="20"/>
                <w:szCs w:val="20"/>
              </w:rPr>
            </w:pPr>
          </w:p>
        </w:tc>
      </w:tr>
      <w:tr w:rsidR="005E0361" w:rsidRPr="00154588" w14:paraId="2AE837A5" w14:textId="77777777" w:rsidTr="00D15C1B">
        <w:trPr>
          <w:jc w:val="center"/>
        </w:trPr>
        <w:tc>
          <w:tcPr>
            <w:tcW w:w="4957" w:type="dxa"/>
            <w:gridSpan w:val="2"/>
          </w:tcPr>
          <w:p w14:paraId="07C8DAB9" w14:textId="58CF8ADE" w:rsidR="005E0361" w:rsidRPr="00154588" w:rsidRDefault="005E0361" w:rsidP="008C12B4">
            <w:pPr>
              <w:jc w:val="both"/>
              <w:rPr>
                <w:bCs/>
                <w:sz w:val="20"/>
                <w:szCs w:val="20"/>
              </w:rPr>
            </w:pPr>
            <w:r w:rsidRPr="00154588">
              <w:rPr>
                <w:bCs/>
                <w:sz w:val="20"/>
                <w:szCs w:val="20"/>
              </w:rPr>
              <w:lastRenderedPageBreak/>
              <w:t>(8)   Statele membre se asigură că autoritățile de rezoluție au competența de a solicita unei instituții și unei entități menționate la articolul 1 alineatul (1) literele (b), (c) sau (d) să păstreze o evidență detaliată a contractelor financiare la care aceasta este parte. Autoritatea de rezoluție poate specifica un termen în care instituția sau entitatea menționată la articolul 1 alineatul (1) literele (b), (c) sau (d) trebuie să furnizeze respectivele evidențe. Același termen se aplică tuturor instituțiilor și tuturor entităților menționate la articolul 1 alineatul (1) literele (b), (c) și (d) aflate sub jurisdicția sa. Autoritatea de rezoluție poate decide să stabilească termene diferite pentru diferitele tipuri de contracte financiare menționate la articolul 2 punctul 100. Prezentul alineat nu aduce atingere competențelor de colectare a informațiilor ale autorității competente.</w:t>
            </w:r>
          </w:p>
        </w:tc>
        <w:tc>
          <w:tcPr>
            <w:tcW w:w="4819" w:type="dxa"/>
          </w:tcPr>
          <w:p w14:paraId="04907E25" w14:textId="77777777" w:rsidR="005E0361" w:rsidRPr="00154588" w:rsidRDefault="005E0361" w:rsidP="008C12B4">
            <w:pPr>
              <w:ind w:firstLine="567"/>
              <w:jc w:val="both"/>
              <w:rPr>
                <w:rFonts w:eastAsia="Calibri"/>
                <w:kern w:val="2"/>
                <w:sz w:val="20"/>
                <w:szCs w:val="18"/>
                <w14:ligatures w14:val="standardContextual"/>
              </w:rPr>
            </w:pPr>
            <w:r w:rsidRPr="00154588">
              <w:rPr>
                <w:rFonts w:eastAsia="Calibri"/>
                <w:b/>
                <w:sz w:val="20"/>
                <w:szCs w:val="18"/>
              </w:rPr>
              <w:t>Articolul 30.</w:t>
            </w:r>
            <w:r w:rsidRPr="00154588">
              <w:rPr>
                <w:rFonts w:eastAsia="Calibri"/>
                <w:sz w:val="20"/>
                <w:szCs w:val="18"/>
              </w:rPr>
              <w:t xml:space="preserve"> – (1) Fără a aduce atingere art.14, Banca Naţională a Moldovei, în calitate de autoritate de rezoluţie, poate solicita instituțiilor de credit și entităților prevăzute la art.1 alin.(1) lit.b), c) sau d), să păstreze evidenţe detaliate ale contractelor financiare la care acestea sînt parte şi poate stabili termenul în care trebuie realizate evidenţele respective, care se comunică acestora.</w:t>
            </w:r>
          </w:p>
          <w:p w14:paraId="048930FE" w14:textId="536B4E92" w:rsidR="005E0361" w:rsidRPr="00154588" w:rsidRDefault="005E0361" w:rsidP="008C12B4">
            <w:pPr>
              <w:ind w:firstLine="567"/>
              <w:jc w:val="both"/>
              <w:rPr>
                <w:rFonts w:eastAsia="Calibri"/>
                <w:sz w:val="20"/>
                <w:szCs w:val="18"/>
              </w:rPr>
            </w:pPr>
            <w:r w:rsidRPr="00154588">
              <w:rPr>
                <w:rFonts w:eastAsia="Calibri"/>
                <w:sz w:val="20"/>
                <w:szCs w:val="18"/>
              </w:rPr>
              <w:t>(2) Termenul prevăzut la alin.(1) poate fi diferit în funcţie de tipurile de contracte financiare definite la art.2, aceleaşi termene fiind aplicate tuturor instituțiilor de credit și entităților prevăzute la art.1 alin.(1) lit.b), c) sau d) din jurisdicția sa.</w:t>
            </w:r>
          </w:p>
        </w:tc>
        <w:tc>
          <w:tcPr>
            <w:tcW w:w="2552" w:type="dxa"/>
          </w:tcPr>
          <w:p w14:paraId="2C65AD6D" w14:textId="628B081C" w:rsidR="005E0361" w:rsidRPr="00154588" w:rsidRDefault="005E0361" w:rsidP="008C12B4">
            <w:pPr>
              <w:jc w:val="both"/>
              <w:rPr>
                <w:bCs/>
                <w:sz w:val="20"/>
                <w:szCs w:val="20"/>
              </w:rPr>
            </w:pPr>
            <w:r w:rsidRPr="00154588">
              <w:rPr>
                <w:bCs/>
                <w:sz w:val="20"/>
                <w:szCs w:val="20"/>
              </w:rPr>
              <w:t>Compatibil</w:t>
            </w:r>
          </w:p>
        </w:tc>
        <w:tc>
          <w:tcPr>
            <w:tcW w:w="3118" w:type="dxa"/>
          </w:tcPr>
          <w:p w14:paraId="53BAF34E" w14:textId="77777777" w:rsidR="005E0361" w:rsidRPr="00154588" w:rsidRDefault="005E0361" w:rsidP="008C12B4">
            <w:pPr>
              <w:jc w:val="both"/>
              <w:rPr>
                <w:bCs/>
                <w:sz w:val="20"/>
                <w:szCs w:val="20"/>
              </w:rPr>
            </w:pPr>
          </w:p>
        </w:tc>
      </w:tr>
      <w:tr w:rsidR="005E0361" w:rsidRPr="00154588" w14:paraId="219B8065" w14:textId="77777777" w:rsidTr="00D15C1B">
        <w:trPr>
          <w:jc w:val="center"/>
        </w:trPr>
        <w:tc>
          <w:tcPr>
            <w:tcW w:w="4957" w:type="dxa"/>
            <w:gridSpan w:val="2"/>
          </w:tcPr>
          <w:p w14:paraId="333792FB" w14:textId="77777777" w:rsidR="005E0361" w:rsidRPr="00154588" w:rsidRDefault="005E0361" w:rsidP="008C12B4">
            <w:pPr>
              <w:jc w:val="both"/>
              <w:rPr>
                <w:bCs/>
                <w:sz w:val="20"/>
                <w:szCs w:val="20"/>
              </w:rPr>
            </w:pPr>
            <w:r w:rsidRPr="00154588">
              <w:rPr>
                <w:bCs/>
                <w:sz w:val="20"/>
                <w:szCs w:val="20"/>
              </w:rPr>
              <w:t>(9) ABE, după consultarea cu CERS, elaborează proiecte de standarde tehnice de reglementare detaliate, specificând conținutul planului de rezoluție.</w:t>
            </w:r>
          </w:p>
          <w:p w14:paraId="26B1E6C2" w14:textId="77777777" w:rsidR="005E0361" w:rsidRPr="00154588" w:rsidRDefault="005E0361" w:rsidP="008C12B4">
            <w:pPr>
              <w:jc w:val="both"/>
              <w:rPr>
                <w:bCs/>
                <w:sz w:val="20"/>
                <w:szCs w:val="20"/>
              </w:rPr>
            </w:pPr>
          </w:p>
          <w:p w14:paraId="470E3C8D" w14:textId="77777777" w:rsidR="005E0361" w:rsidRPr="00154588" w:rsidRDefault="005E0361" w:rsidP="008C12B4">
            <w:pPr>
              <w:jc w:val="both"/>
              <w:rPr>
                <w:bCs/>
                <w:sz w:val="20"/>
                <w:szCs w:val="20"/>
              </w:rPr>
            </w:pPr>
            <w:r w:rsidRPr="00154588">
              <w:rPr>
                <w:bCs/>
                <w:sz w:val="20"/>
                <w:szCs w:val="20"/>
              </w:rPr>
              <w:t>ABE înaintează Comisiei aceste proiecte de standarde tehnice de reglementare până la 3 iulie 2015.</w:t>
            </w:r>
          </w:p>
          <w:p w14:paraId="0835B695" w14:textId="77777777" w:rsidR="005E0361" w:rsidRPr="00154588" w:rsidRDefault="005E0361" w:rsidP="008C12B4">
            <w:pPr>
              <w:jc w:val="both"/>
              <w:rPr>
                <w:bCs/>
                <w:sz w:val="20"/>
                <w:szCs w:val="20"/>
              </w:rPr>
            </w:pPr>
          </w:p>
          <w:p w14:paraId="1A537F7A" w14:textId="77777777" w:rsidR="005E0361" w:rsidRPr="00154588" w:rsidRDefault="005E0361" w:rsidP="008C12B4">
            <w:pPr>
              <w:jc w:val="both"/>
              <w:rPr>
                <w:bCs/>
                <w:sz w:val="20"/>
                <w:szCs w:val="20"/>
              </w:rPr>
            </w:pPr>
            <w:r w:rsidRPr="00154588">
              <w:rPr>
                <w:bCs/>
                <w:sz w:val="20"/>
                <w:szCs w:val="20"/>
              </w:rPr>
              <w:t>Se deleagă Comisiei competența de a adopta standardele tehnice de reglementare menționate la primul paragraf, în conformitate cu articolele 10-14 din Regulamentul (UE) nr. 1093/2010.</w:t>
            </w:r>
          </w:p>
          <w:p w14:paraId="23954087" w14:textId="77777777" w:rsidR="005E0361" w:rsidRPr="00154588" w:rsidRDefault="005E0361" w:rsidP="008C12B4">
            <w:pPr>
              <w:jc w:val="both"/>
              <w:rPr>
                <w:bCs/>
                <w:sz w:val="20"/>
                <w:szCs w:val="20"/>
              </w:rPr>
            </w:pPr>
          </w:p>
          <w:p w14:paraId="2EBEE828" w14:textId="77777777" w:rsidR="005E0361" w:rsidRPr="00154588" w:rsidRDefault="005E0361" w:rsidP="008C12B4">
            <w:pPr>
              <w:jc w:val="both"/>
              <w:rPr>
                <w:bCs/>
                <w:sz w:val="20"/>
                <w:szCs w:val="20"/>
              </w:rPr>
            </w:pPr>
          </w:p>
          <w:p w14:paraId="33492471" w14:textId="77CFA281" w:rsidR="005E0361" w:rsidRPr="00154588" w:rsidRDefault="005E0361" w:rsidP="008C12B4">
            <w:pPr>
              <w:jc w:val="both"/>
              <w:rPr>
                <w:bCs/>
                <w:sz w:val="20"/>
                <w:szCs w:val="20"/>
              </w:rPr>
            </w:pPr>
            <w:r w:rsidRPr="00154588">
              <w:rPr>
                <w:bCs/>
                <w:sz w:val="20"/>
                <w:szCs w:val="20"/>
              </w:rPr>
              <w:t>În conformitate cu articolul 10 din Regulamentul (UE) nr. 1093/2010, ABE examinează și, după caz, actualizează standardele tehnice de reglementare în scopul, printre altele, de a ține seama de dispozițiile capitolului II din Regulamentul (UE) 2022/2554.</w:t>
            </w:r>
          </w:p>
        </w:tc>
        <w:tc>
          <w:tcPr>
            <w:tcW w:w="4819" w:type="dxa"/>
          </w:tcPr>
          <w:p w14:paraId="7D9E4BEF" w14:textId="633F072D" w:rsidR="005E0361" w:rsidRPr="00154588" w:rsidRDefault="005E0361" w:rsidP="008C12B4">
            <w:pPr>
              <w:jc w:val="center"/>
              <w:rPr>
                <w:bCs/>
                <w:sz w:val="20"/>
                <w:szCs w:val="20"/>
              </w:rPr>
            </w:pPr>
            <w:r w:rsidRPr="00154588">
              <w:rPr>
                <w:bCs/>
                <w:sz w:val="20"/>
                <w:szCs w:val="20"/>
              </w:rPr>
              <w:t>-</w:t>
            </w:r>
          </w:p>
        </w:tc>
        <w:tc>
          <w:tcPr>
            <w:tcW w:w="2552" w:type="dxa"/>
          </w:tcPr>
          <w:p w14:paraId="2B24D492" w14:textId="040338C5" w:rsidR="005E0361" w:rsidRPr="00154588" w:rsidRDefault="005E0361" w:rsidP="008C12B4">
            <w:pPr>
              <w:jc w:val="center"/>
              <w:rPr>
                <w:bCs/>
                <w:sz w:val="20"/>
                <w:szCs w:val="20"/>
              </w:rPr>
            </w:pPr>
            <w:r w:rsidRPr="00154588">
              <w:rPr>
                <w:bCs/>
                <w:sz w:val="20"/>
                <w:szCs w:val="20"/>
              </w:rPr>
              <w:t>Norme UE neaplicabile</w:t>
            </w:r>
          </w:p>
        </w:tc>
        <w:tc>
          <w:tcPr>
            <w:tcW w:w="3118" w:type="dxa"/>
          </w:tcPr>
          <w:p w14:paraId="3EFBBD9B" w14:textId="0AA594DE" w:rsidR="005E0361" w:rsidRPr="00154588" w:rsidRDefault="005E0361" w:rsidP="008C12B4">
            <w:pPr>
              <w:jc w:val="center"/>
              <w:rPr>
                <w:bCs/>
                <w:sz w:val="20"/>
                <w:szCs w:val="20"/>
              </w:rPr>
            </w:pPr>
            <w:r w:rsidRPr="00154588">
              <w:rPr>
                <w:bCs/>
                <w:sz w:val="20"/>
                <w:szCs w:val="20"/>
                <w:lang w:val="ro-MD"/>
              </w:rPr>
              <w:t>Prevederi care se referă la atribuțiile de reglementare ale autorităților europene.</w:t>
            </w:r>
          </w:p>
        </w:tc>
      </w:tr>
      <w:tr w:rsidR="005E0361" w:rsidRPr="00154588" w14:paraId="0F62F403" w14:textId="77777777" w:rsidTr="00D15C1B">
        <w:trPr>
          <w:jc w:val="center"/>
        </w:trPr>
        <w:tc>
          <w:tcPr>
            <w:tcW w:w="4957" w:type="dxa"/>
            <w:gridSpan w:val="2"/>
          </w:tcPr>
          <w:p w14:paraId="07EDB886" w14:textId="77777777" w:rsidR="005E0361" w:rsidRPr="00154588" w:rsidRDefault="005E0361" w:rsidP="008C12B4">
            <w:pPr>
              <w:rPr>
                <w:b/>
                <w:sz w:val="20"/>
                <w:szCs w:val="20"/>
              </w:rPr>
            </w:pPr>
            <w:r w:rsidRPr="00154588">
              <w:rPr>
                <w:b/>
                <w:sz w:val="20"/>
                <w:szCs w:val="20"/>
              </w:rPr>
              <w:t>Articolul 11</w:t>
            </w:r>
          </w:p>
          <w:p w14:paraId="45CC9CC9" w14:textId="77777777" w:rsidR="005E0361" w:rsidRPr="00154588" w:rsidRDefault="005E0361" w:rsidP="008C12B4">
            <w:pPr>
              <w:rPr>
                <w:b/>
                <w:sz w:val="20"/>
                <w:szCs w:val="20"/>
              </w:rPr>
            </w:pPr>
          </w:p>
          <w:p w14:paraId="3A433F18" w14:textId="55A79606" w:rsidR="005E0361" w:rsidRPr="00154588" w:rsidRDefault="005E0361" w:rsidP="008C12B4">
            <w:pPr>
              <w:rPr>
                <w:bCs/>
                <w:sz w:val="20"/>
                <w:szCs w:val="20"/>
              </w:rPr>
            </w:pPr>
            <w:r w:rsidRPr="00154588">
              <w:rPr>
                <w:b/>
                <w:sz w:val="20"/>
                <w:szCs w:val="20"/>
              </w:rPr>
              <w:t>Informații de furnizat pentru planurile de rezoluție și cooperarea din partea instituției</w:t>
            </w:r>
          </w:p>
        </w:tc>
        <w:tc>
          <w:tcPr>
            <w:tcW w:w="4819" w:type="dxa"/>
          </w:tcPr>
          <w:p w14:paraId="44127ABF" w14:textId="77777777" w:rsidR="005E0361" w:rsidRPr="00154588" w:rsidRDefault="005E0361" w:rsidP="008C12B4">
            <w:pPr>
              <w:jc w:val="both"/>
              <w:rPr>
                <w:bCs/>
                <w:sz w:val="20"/>
                <w:szCs w:val="20"/>
              </w:rPr>
            </w:pPr>
          </w:p>
        </w:tc>
        <w:tc>
          <w:tcPr>
            <w:tcW w:w="2552" w:type="dxa"/>
          </w:tcPr>
          <w:p w14:paraId="3BE4566F" w14:textId="77777777" w:rsidR="005E0361" w:rsidRPr="00154588" w:rsidRDefault="005E0361" w:rsidP="008C12B4">
            <w:pPr>
              <w:jc w:val="both"/>
              <w:rPr>
                <w:bCs/>
                <w:sz w:val="20"/>
                <w:szCs w:val="20"/>
              </w:rPr>
            </w:pPr>
          </w:p>
        </w:tc>
        <w:tc>
          <w:tcPr>
            <w:tcW w:w="3118" w:type="dxa"/>
          </w:tcPr>
          <w:p w14:paraId="41D4C0E8" w14:textId="77777777" w:rsidR="005E0361" w:rsidRPr="00154588" w:rsidRDefault="005E0361" w:rsidP="008C12B4">
            <w:pPr>
              <w:jc w:val="both"/>
              <w:rPr>
                <w:bCs/>
                <w:sz w:val="20"/>
                <w:szCs w:val="20"/>
              </w:rPr>
            </w:pPr>
          </w:p>
        </w:tc>
      </w:tr>
      <w:tr w:rsidR="005E0361" w:rsidRPr="00154588" w14:paraId="7B94979A" w14:textId="77777777" w:rsidTr="00D15C1B">
        <w:trPr>
          <w:jc w:val="center"/>
        </w:trPr>
        <w:tc>
          <w:tcPr>
            <w:tcW w:w="4957" w:type="dxa"/>
            <w:gridSpan w:val="2"/>
          </w:tcPr>
          <w:p w14:paraId="61355738" w14:textId="77777777" w:rsidR="005E0361" w:rsidRPr="00154588" w:rsidRDefault="005E0361" w:rsidP="008C12B4">
            <w:pPr>
              <w:jc w:val="both"/>
              <w:rPr>
                <w:bCs/>
                <w:sz w:val="20"/>
                <w:szCs w:val="20"/>
              </w:rPr>
            </w:pPr>
            <w:r w:rsidRPr="00154588">
              <w:rPr>
                <w:bCs/>
                <w:sz w:val="20"/>
                <w:szCs w:val="20"/>
              </w:rPr>
              <w:t>(1)   Statele membre se asigură că autoritățile de rezoluție au competența de a solicita instituțiilor:</w:t>
            </w:r>
          </w:p>
          <w:p w14:paraId="0E08AAA5" w14:textId="77777777" w:rsidR="005E0361" w:rsidRPr="00154588" w:rsidRDefault="005E0361" w:rsidP="008C12B4">
            <w:pPr>
              <w:jc w:val="both"/>
              <w:rPr>
                <w:bCs/>
                <w:sz w:val="20"/>
                <w:szCs w:val="20"/>
              </w:rPr>
            </w:pPr>
          </w:p>
          <w:p w14:paraId="398E2A0B" w14:textId="3544088C" w:rsidR="005E0361" w:rsidRPr="00154588" w:rsidRDefault="005E0361" w:rsidP="008C12B4">
            <w:pPr>
              <w:jc w:val="both"/>
              <w:rPr>
                <w:bCs/>
                <w:sz w:val="20"/>
                <w:szCs w:val="20"/>
              </w:rPr>
            </w:pPr>
            <w:r w:rsidRPr="00154588">
              <w:rPr>
                <w:bCs/>
                <w:sz w:val="20"/>
                <w:szCs w:val="20"/>
              </w:rPr>
              <w:lastRenderedPageBreak/>
              <w:t>(a) să coopereze atât cât este necesar la elaborarea planurilor de rezoluție;</w:t>
            </w:r>
          </w:p>
          <w:p w14:paraId="1DEFC236" w14:textId="77777777" w:rsidR="005E0361" w:rsidRPr="00154588" w:rsidRDefault="005E0361" w:rsidP="008C12B4">
            <w:pPr>
              <w:jc w:val="both"/>
              <w:rPr>
                <w:bCs/>
                <w:sz w:val="20"/>
                <w:szCs w:val="20"/>
              </w:rPr>
            </w:pPr>
          </w:p>
          <w:p w14:paraId="4D38CD5A" w14:textId="73BA7E93" w:rsidR="005E0361" w:rsidRPr="00154588" w:rsidRDefault="005E0361" w:rsidP="008C12B4">
            <w:pPr>
              <w:jc w:val="both"/>
              <w:rPr>
                <w:bCs/>
                <w:sz w:val="20"/>
                <w:szCs w:val="20"/>
              </w:rPr>
            </w:pPr>
            <w:r w:rsidRPr="00154588">
              <w:rPr>
                <w:bCs/>
                <w:sz w:val="20"/>
                <w:szCs w:val="20"/>
              </w:rPr>
              <w:t>(b) să furnizeze, fie direct, fie prin intermediul autorității competente, toate informațiile necesare elaborării și punerii în aplicare a planurilor de rezoluție.</w:t>
            </w:r>
          </w:p>
          <w:p w14:paraId="172AC5CC" w14:textId="77777777" w:rsidR="005E0361" w:rsidRPr="00154588" w:rsidRDefault="005E0361" w:rsidP="008C12B4">
            <w:pPr>
              <w:jc w:val="both"/>
              <w:rPr>
                <w:bCs/>
                <w:sz w:val="20"/>
                <w:szCs w:val="20"/>
              </w:rPr>
            </w:pPr>
          </w:p>
          <w:p w14:paraId="1E581256" w14:textId="77777777" w:rsidR="005E0361" w:rsidRPr="00154588" w:rsidRDefault="005E0361" w:rsidP="008C12B4">
            <w:pPr>
              <w:jc w:val="both"/>
              <w:rPr>
                <w:bCs/>
                <w:sz w:val="20"/>
                <w:szCs w:val="20"/>
              </w:rPr>
            </w:pPr>
          </w:p>
          <w:p w14:paraId="2096CE9E" w14:textId="5EF2DD41" w:rsidR="005E0361" w:rsidRPr="00154588" w:rsidRDefault="005E0361" w:rsidP="008C12B4">
            <w:pPr>
              <w:jc w:val="both"/>
              <w:rPr>
                <w:bCs/>
                <w:sz w:val="20"/>
                <w:szCs w:val="20"/>
              </w:rPr>
            </w:pPr>
            <w:r w:rsidRPr="00154588">
              <w:rPr>
                <w:bCs/>
                <w:sz w:val="20"/>
                <w:szCs w:val="20"/>
              </w:rPr>
              <w:t>Mai exact, autoritățile de rezoluție au competența de a solicita, printre altele, informațiile și analiza menționate în secțiunea B din anexă.</w:t>
            </w:r>
          </w:p>
        </w:tc>
        <w:tc>
          <w:tcPr>
            <w:tcW w:w="4819" w:type="dxa"/>
          </w:tcPr>
          <w:p w14:paraId="4C71A2EC" w14:textId="77777777" w:rsidR="005E0361" w:rsidRPr="00154588" w:rsidRDefault="005E0361" w:rsidP="008C12B4">
            <w:pPr>
              <w:ind w:firstLine="567"/>
              <w:jc w:val="both"/>
              <w:rPr>
                <w:rFonts w:eastAsia="Calibri"/>
                <w:kern w:val="2"/>
                <w:sz w:val="20"/>
                <w:szCs w:val="20"/>
                <w14:ligatures w14:val="standardContextual"/>
              </w:rPr>
            </w:pPr>
            <w:r w:rsidRPr="00154588">
              <w:rPr>
                <w:rFonts w:eastAsia="Calibri"/>
                <w:b/>
                <w:sz w:val="20"/>
                <w:szCs w:val="20"/>
              </w:rPr>
              <w:lastRenderedPageBreak/>
              <w:t>Articolul 31.</w:t>
            </w:r>
            <w:r w:rsidRPr="00154588">
              <w:rPr>
                <w:rFonts w:eastAsia="Calibri"/>
                <w:sz w:val="20"/>
                <w:szCs w:val="20"/>
              </w:rPr>
              <w:t xml:space="preserve"> – (1) La solicitarea Băncii Naţionale a Moldovei, în calitate de autoritate de rezoluţie, fiecare </w:t>
            </w:r>
            <w:r w:rsidRPr="00154588">
              <w:rPr>
                <w:rFonts w:eastAsia="Calibri"/>
                <w:sz w:val="20"/>
                <w:szCs w:val="20"/>
              </w:rPr>
              <w:lastRenderedPageBreak/>
              <w:t>instituție de credit, persoană juridică din Republica Moldova:</w:t>
            </w:r>
          </w:p>
          <w:p w14:paraId="3E84274E" w14:textId="77777777" w:rsidR="005E0361" w:rsidRPr="00154588" w:rsidRDefault="005E0361" w:rsidP="008C12B4">
            <w:pPr>
              <w:ind w:firstLine="567"/>
              <w:jc w:val="both"/>
              <w:rPr>
                <w:rFonts w:eastAsia="Calibri"/>
                <w:sz w:val="20"/>
                <w:szCs w:val="20"/>
              </w:rPr>
            </w:pPr>
            <w:r w:rsidRPr="00154588">
              <w:rPr>
                <w:rFonts w:eastAsia="Calibri"/>
                <w:sz w:val="20"/>
                <w:szCs w:val="20"/>
              </w:rPr>
              <w:t>a) cooperează la elaborarea planului de rezoluţie atît cît este necesar, conform solicitării autorităţii de rezoluţie;</w:t>
            </w:r>
          </w:p>
          <w:p w14:paraId="7FE5F5B8" w14:textId="5AAB257B" w:rsidR="005E0361" w:rsidRPr="00154588" w:rsidRDefault="005E0361" w:rsidP="008C12B4">
            <w:pPr>
              <w:ind w:firstLine="567"/>
              <w:jc w:val="both"/>
              <w:rPr>
                <w:rFonts w:eastAsia="Calibri"/>
                <w:sz w:val="20"/>
                <w:szCs w:val="20"/>
              </w:rPr>
            </w:pPr>
            <w:r w:rsidRPr="00154588">
              <w:rPr>
                <w:rFonts w:eastAsia="Calibri"/>
                <w:sz w:val="20"/>
                <w:szCs w:val="20"/>
              </w:rPr>
              <w:t>b) furnizează toate informaţiile necesare elaborării şi punerii în aplicare a planului de rezoluţie, inclusiv, dar fără a se limita la informaţiile şi analizele prevăzute în secţiunea B a anexei.</w:t>
            </w:r>
          </w:p>
        </w:tc>
        <w:tc>
          <w:tcPr>
            <w:tcW w:w="2552" w:type="dxa"/>
          </w:tcPr>
          <w:p w14:paraId="7B0F41E6" w14:textId="13CD19E3" w:rsidR="005E0361" w:rsidRPr="00154588" w:rsidRDefault="005E0361" w:rsidP="008C12B4">
            <w:pPr>
              <w:jc w:val="both"/>
              <w:rPr>
                <w:bCs/>
                <w:sz w:val="20"/>
                <w:szCs w:val="20"/>
              </w:rPr>
            </w:pPr>
            <w:r w:rsidRPr="00154588">
              <w:rPr>
                <w:bCs/>
                <w:sz w:val="20"/>
                <w:szCs w:val="20"/>
              </w:rPr>
              <w:lastRenderedPageBreak/>
              <w:t>Compatibil</w:t>
            </w:r>
          </w:p>
        </w:tc>
        <w:tc>
          <w:tcPr>
            <w:tcW w:w="3118" w:type="dxa"/>
          </w:tcPr>
          <w:p w14:paraId="13601030" w14:textId="77777777" w:rsidR="005E0361" w:rsidRPr="00154588" w:rsidRDefault="005E0361" w:rsidP="008C12B4">
            <w:pPr>
              <w:jc w:val="both"/>
              <w:rPr>
                <w:bCs/>
                <w:sz w:val="20"/>
                <w:szCs w:val="20"/>
              </w:rPr>
            </w:pPr>
          </w:p>
        </w:tc>
      </w:tr>
      <w:tr w:rsidR="005E0361" w:rsidRPr="00154588" w14:paraId="450D9B38" w14:textId="77777777" w:rsidTr="00D15C1B">
        <w:trPr>
          <w:jc w:val="center"/>
        </w:trPr>
        <w:tc>
          <w:tcPr>
            <w:tcW w:w="4957" w:type="dxa"/>
            <w:gridSpan w:val="2"/>
          </w:tcPr>
          <w:p w14:paraId="6F801823" w14:textId="2FC2CDFA" w:rsidR="005E0361" w:rsidRPr="00154588" w:rsidRDefault="005E0361" w:rsidP="008C12B4">
            <w:pPr>
              <w:jc w:val="both"/>
              <w:rPr>
                <w:bCs/>
                <w:sz w:val="20"/>
                <w:szCs w:val="20"/>
              </w:rPr>
            </w:pPr>
            <w:r w:rsidRPr="00154588">
              <w:rPr>
                <w:bCs/>
                <w:sz w:val="20"/>
                <w:szCs w:val="20"/>
              </w:rPr>
              <w:t>(2) Autoritățile competente din statele membre relevante cooperează cu autoritățile de rezoluție pentru a verifica în ce măsură informațiile menționate la alineatul (1) sunt deja disponibile, în întregime sau în parte. În cazul în care ele sunt disponibile, autoritățile competente furnizează aceste informații autorităților de rezoluție.</w:t>
            </w:r>
          </w:p>
        </w:tc>
        <w:tc>
          <w:tcPr>
            <w:tcW w:w="4819" w:type="dxa"/>
          </w:tcPr>
          <w:p w14:paraId="26AC3C9B" w14:textId="3AA38963" w:rsidR="005E0361" w:rsidRPr="00154588" w:rsidRDefault="005E0361" w:rsidP="008C12B4">
            <w:pPr>
              <w:ind w:firstLine="567"/>
              <w:jc w:val="both"/>
              <w:rPr>
                <w:rFonts w:eastAsia="Calibri"/>
                <w:sz w:val="20"/>
                <w:szCs w:val="20"/>
              </w:rPr>
            </w:pPr>
            <w:r w:rsidRPr="00154588">
              <w:rPr>
                <w:rFonts w:eastAsia="Calibri"/>
                <w:b/>
                <w:sz w:val="20"/>
                <w:szCs w:val="20"/>
              </w:rPr>
              <w:t>Articolul 31.</w:t>
            </w:r>
            <w:r w:rsidRPr="00154588">
              <w:rPr>
                <w:rFonts w:eastAsia="Calibri"/>
                <w:sz w:val="20"/>
                <w:szCs w:val="20"/>
              </w:rPr>
              <w:t xml:space="preserve"> – (2) Banca Naţională a Moldovei se asigură că structura care exercită funcţia de supraveghere cooperează cu structura care exercită funcţia de rezoluţie, pentru a verifica în ce măsură informaţiile prevăzute la alin.(1) sînt deja disponibile. Banca Naţională a Moldovei se asigură că, în situaţia în care aceste informaţii sînt disponibile, structura care exercită funcţia de supraveghere le transmite structurii care exercită funcţia de rezoluţie.</w:t>
            </w:r>
          </w:p>
        </w:tc>
        <w:tc>
          <w:tcPr>
            <w:tcW w:w="2552" w:type="dxa"/>
          </w:tcPr>
          <w:p w14:paraId="1A0C163B" w14:textId="0BFE86A0" w:rsidR="005E0361" w:rsidRPr="00154588" w:rsidRDefault="005E0361" w:rsidP="008C12B4">
            <w:pPr>
              <w:jc w:val="both"/>
              <w:rPr>
                <w:bCs/>
                <w:sz w:val="20"/>
                <w:szCs w:val="20"/>
              </w:rPr>
            </w:pPr>
            <w:r w:rsidRPr="00154588">
              <w:rPr>
                <w:bCs/>
                <w:sz w:val="20"/>
                <w:szCs w:val="20"/>
              </w:rPr>
              <w:t>Compatibil</w:t>
            </w:r>
          </w:p>
        </w:tc>
        <w:tc>
          <w:tcPr>
            <w:tcW w:w="3118" w:type="dxa"/>
          </w:tcPr>
          <w:p w14:paraId="5CBD9E90" w14:textId="77777777" w:rsidR="005E0361" w:rsidRPr="00154588" w:rsidRDefault="005E0361" w:rsidP="008C12B4">
            <w:pPr>
              <w:jc w:val="both"/>
              <w:rPr>
                <w:bCs/>
                <w:sz w:val="20"/>
                <w:szCs w:val="20"/>
              </w:rPr>
            </w:pPr>
          </w:p>
        </w:tc>
      </w:tr>
      <w:tr w:rsidR="005E0361" w:rsidRPr="00154588" w14:paraId="46C9887E" w14:textId="77777777" w:rsidTr="00D15C1B">
        <w:trPr>
          <w:jc w:val="center"/>
        </w:trPr>
        <w:tc>
          <w:tcPr>
            <w:tcW w:w="4957" w:type="dxa"/>
            <w:gridSpan w:val="2"/>
          </w:tcPr>
          <w:p w14:paraId="3A675C01" w14:textId="77777777" w:rsidR="00675D88" w:rsidRPr="00154588" w:rsidRDefault="005E0361" w:rsidP="008C12B4">
            <w:pPr>
              <w:jc w:val="both"/>
              <w:rPr>
                <w:bCs/>
                <w:sz w:val="20"/>
                <w:szCs w:val="20"/>
              </w:rPr>
            </w:pPr>
            <w:r w:rsidRPr="00154588">
              <w:rPr>
                <w:bCs/>
                <w:sz w:val="20"/>
                <w:szCs w:val="20"/>
              </w:rPr>
              <w:t xml:space="preserve">(3) ABE elaborează proiectele de standarde tehnice </w:t>
            </w:r>
            <w:r w:rsidR="00675D88" w:rsidRPr="00154588">
              <w:rPr>
                <w:bCs/>
                <w:sz w:val="20"/>
                <w:szCs w:val="20"/>
              </w:rPr>
              <w:t>de punere în aplicare care să precizeze:</w:t>
            </w:r>
          </w:p>
          <w:p w14:paraId="6AB7C07E" w14:textId="77777777" w:rsidR="00675D88" w:rsidRPr="00154588" w:rsidRDefault="00675D88" w:rsidP="008C12B4">
            <w:pPr>
              <w:jc w:val="both"/>
              <w:rPr>
                <w:bCs/>
                <w:sz w:val="20"/>
                <w:szCs w:val="20"/>
              </w:rPr>
            </w:pPr>
            <w:r w:rsidRPr="00154588">
              <w:rPr>
                <w:bCs/>
                <w:sz w:val="20"/>
                <w:szCs w:val="20"/>
              </w:rPr>
              <w:t>(a) metodele și modalitățile de raportare a informațiilor menționate la alineatul (1);</w:t>
            </w:r>
          </w:p>
          <w:p w14:paraId="0EDA8E0D" w14:textId="79A36618" w:rsidR="005E0361" w:rsidRPr="00154588" w:rsidRDefault="00675D88" w:rsidP="008C12B4">
            <w:pPr>
              <w:jc w:val="both"/>
              <w:rPr>
                <w:bCs/>
                <w:sz w:val="20"/>
                <w:szCs w:val="20"/>
              </w:rPr>
            </w:pPr>
            <w:r w:rsidRPr="00154588">
              <w:rPr>
                <w:bCs/>
                <w:sz w:val="20"/>
                <w:szCs w:val="20"/>
              </w:rPr>
              <w:t>(b) frecvența și termenele de transmitere pentru raportarea menționată la litera (a).</w:t>
            </w:r>
            <w:r w:rsidR="005E0361" w:rsidRPr="00154588">
              <w:rPr>
                <w:bCs/>
                <w:sz w:val="20"/>
                <w:szCs w:val="20"/>
              </w:rPr>
              <w:t>.</w:t>
            </w:r>
          </w:p>
          <w:p w14:paraId="71884842" w14:textId="1ADDCC46" w:rsidR="005E0361" w:rsidRPr="00154588" w:rsidRDefault="005E0361" w:rsidP="008C12B4">
            <w:pPr>
              <w:jc w:val="both"/>
              <w:rPr>
                <w:bCs/>
                <w:sz w:val="20"/>
                <w:szCs w:val="20"/>
              </w:rPr>
            </w:pPr>
            <w:r w:rsidRPr="00154588">
              <w:rPr>
                <w:bCs/>
                <w:sz w:val="20"/>
                <w:szCs w:val="20"/>
              </w:rPr>
              <w:t xml:space="preserve">ABE înaintează Comisiei </w:t>
            </w:r>
            <w:r w:rsidR="00675D88" w:rsidRPr="00154588">
              <w:rPr>
                <w:bCs/>
                <w:sz w:val="20"/>
                <w:szCs w:val="20"/>
              </w:rPr>
              <w:t xml:space="preserve">respectivele </w:t>
            </w:r>
            <w:r w:rsidRPr="00154588">
              <w:rPr>
                <w:bCs/>
                <w:sz w:val="20"/>
                <w:szCs w:val="20"/>
              </w:rPr>
              <w:t xml:space="preserve">proiecte de standarde tehnice de </w:t>
            </w:r>
            <w:r w:rsidR="00675D88" w:rsidRPr="00154588">
              <w:rPr>
                <w:bCs/>
                <w:sz w:val="20"/>
                <w:szCs w:val="20"/>
              </w:rPr>
              <w:t xml:space="preserve">punere în aplicare  </w:t>
            </w:r>
            <w:r w:rsidRPr="00154588">
              <w:rPr>
                <w:bCs/>
                <w:sz w:val="20"/>
                <w:szCs w:val="20"/>
              </w:rPr>
              <w:t xml:space="preserve">până la </w:t>
            </w:r>
            <w:r w:rsidR="00675D88" w:rsidRPr="00154588">
              <w:rPr>
                <w:bCs/>
                <w:sz w:val="20"/>
                <w:szCs w:val="20"/>
              </w:rPr>
              <w:t>11 mai 2027</w:t>
            </w:r>
            <w:r w:rsidRPr="00154588">
              <w:rPr>
                <w:bCs/>
                <w:sz w:val="20"/>
                <w:szCs w:val="20"/>
              </w:rPr>
              <w:t>.</w:t>
            </w:r>
          </w:p>
          <w:p w14:paraId="14490D61" w14:textId="77777777" w:rsidR="005E0361" w:rsidRPr="00154588" w:rsidRDefault="005E0361" w:rsidP="008C12B4">
            <w:pPr>
              <w:jc w:val="both"/>
              <w:rPr>
                <w:bCs/>
                <w:sz w:val="20"/>
                <w:szCs w:val="20"/>
              </w:rPr>
            </w:pPr>
          </w:p>
          <w:p w14:paraId="1AE07730" w14:textId="77777777" w:rsidR="005E0361" w:rsidRPr="00154588" w:rsidRDefault="005E0361" w:rsidP="008C12B4">
            <w:pPr>
              <w:jc w:val="both"/>
              <w:rPr>
                <w:bCs/>
                <w:sz w:val="20"/>
                <w:szCs w:val="20"/>
              </w:rPr>
            </w:pPr>
            <w:r w:rsidRPr="00154588">
              <w:rPr>
                <w:bCs/>
                <w:sz w:val="20"/>
                <w:szCs w:val="20"/>
              </w:rPr>
              <w:t>Se conferă Comisiei competența de a adopta standardele tehnice de punere în aplicare menționate la primul paragraf</w:t>
            </w:r>
            <w:r w:rsidR="001B3867" w:rsidRPr="00154588">
              <w:rPr>
                <w:bCs/>
                <w:sz w:val="20"/>
                <w:szCs w:val="20"/>
              </w:rPr>
              <w:t xml:space="preserve"> de la prezentul alineat</w:t>
            </w:r>
            <w:r w:rsidRPr="00154588">
              <w:rPr>
                <w:bCs/>
                <w:sz w:val="20"/>
                <w:szCs w:val="20"/>
              </w:rPr>
              <w:t>, în conformitate cu articolul 15 din Regulamentul (UE) nr. 1093/2010.</w:t>
            </w:r>
          </w:p>
          <w:p w14:paraId="6EC101B7" w14:textId="77777777" w:rsidR="001B3867" w:rsidRPr="00154588" w:rsidRDefault="001B3867" w:rsidP="008C12B4">
            <w:pPr>
              <w:jc w:val="both"/>
              <w:rPr>
                <w:bCs/>
                <w:sz w:val="20"/>
                <w:szCs w:val="20"/>
              </w:rPr>
            </w:pPr>
          </w:p>
          <w:p w14:paraId="0665607A" w14:textId="71D247F4" w:rsidR="001B3867" w:rsidRPr="00154588" w:rsidRDefault="001B3867" w:rsidP="008C12B4">
            <w:pPr>
              <w:jc w:val="both"/>
              <w:rPr>
                <w:bCs/>
                <w:sz w:val="20"/>
                <w:szCs w:val="20"/>
              </w:rPr>
            </w:pPr>
            <w:r w:rsidRPr="00154588">
              <w:rPr>
                <w:bCs/>
                <w:sz w:val="20"/>
                <w:szCs w:val="20"/>
              </w:rPr>
              <w:t>(4) ABE elaborează soluții informatice, inclusiv modele de raportare, standarde în materie de date, formate și instrucțiuni, pentru raportarea informațiilor menționate la alineatul (1).”</w:t>
            </w:r>
          </w:p>
        </w:tc>
        <w:tc>
          <w:tcPr>
            <w:tcW w:w="4819" w:type="dxa"/>
          </w:tcPr>
          <w:p w14:paraId="09B16F1B" w14:textId="49F26508" w:rsidR="005E0361" w:rsidRPr="00154588" w:rsidRDefault="005E0361" w:rsidP="008C12B4">
            <w:pPr>
              <w:jc w:val="both"/>
              <w:rPr>
                <w:bCs/>
                <w:sz w:val="20"/>
                <w:szCs w:val="20"/>
              </w:rPr>
            </w:pPr>
          </w:p>
        </w:tc>
        <w:tc>
          <w:tcPr>
            <w:tcW w:w="2552" w:type="dxa"/>
          </w:tcPr>
          <w:p w14:paraId="5BC12A0C" w14:textId="5B8E1703" w:rsidR="005E0361" w:rsidRPr="00154588" w:rsidRDefault="005E0361" w:rsidP="008C12B4">
            <w:pPr>
              <w:jc w:val="both"/>
              <w:rPr>
                <w:bCs/>
                <w:sz w:val="20"/>
                <w:szCs w:val="20"/>
              </w:rPr>
            </w:pPr>
            <w:r w:rsidRPr="00154588">
              <w:rPr>
                <w:bCs/>
                <w:sz w:val="20"/>
                <w:szCs w:val="20"/>
              </w:rPr>
              <w:t>Norme UE neaplicabile</w:t>
            </w:r>
          </w:p>
        </w:tc>
        <w:tc>
          <w:tcPr>
            <w:tcW w:w="3118" w:type="dxa"/>
          </w:tcPr>
          <w:p w14:paraId="4FBA6EA9" w14:textId="77777777" w:rsidR="005E0361" w:rsidRPr="00154588" w:rsidRDefault="005E0361" w:rsidP="008C12B4">
            <w:pPr>
              <w:jc w:val="both"/>
              <w:rPr>
                <w:bCs/>
                <w:sz w:val="20"/>
                <w:szCs w:val="20"/>
                <w:lang w:val="ro-MD"/>
              </w:rPr>
            </w:pPr>
            <w:r w:rsidRPr="00154588">
              <w:rPr>
                <w:bCs/>
                <w:sz w:val="20"/>
                <w:szCs w:val="20"/>
                <w:lang w:val="ro-MD"/>
              </w:rPr>
              <w:t>Prevederi care se referă la atribuțiile de reglementare ale autorităților europene.</w:t>
            </w:r>
          </w:p>
          <w:p w14:paraId="716C4423" w14:textId="77777777" w:rsidR="004576EF" w:rsidRPr="00154588" w:rsidRDefault="004576EF" w:rsidP="008C12B4">
            <w:pPr>
              <w:jc w:val="both"/>
              <w:rPr>
                <w:bCs/>
                <w:sz w:val="20"/>
                <w:szCs w:val="20"/>
                <w:lang w:val="ro-MD"/>
              </w:rPr>
            </w:pPr>
          </w:p>
          <w:p w14:paraId="1C77007A" w14:textId="009E49FB" w:rsidR="004576EF" w:rsidRPr="00154588" w:rsidRDefault="004576EF" w:rsidP="008C12B4">
            <w:pPr>
              <w:jc w:val="both"/>
              <w:rPr>
                <w:bCs/>
                <w:sz w:val="20"/>
                <w:szCs w:val="20"/>
              </w:rPr>
            </w:pPr>
          </w:p>
        </w:tc>
      </w:tr>
      <w:tr w:rsidR="005E0361" w:rsidRPr="00154588" w14:paraId="7235E485" w14:textId="77777777" w:rsidTr="00D15C1B">
        <w:trPr>
          <w:jc w:val="center"/>
        </w:trPr>
        <w:tc>
          <w:tcPr>
            <w:tcW w:w="4957" w:type="dxa"/>
            <w:gridSpan w:val="2"/>
          </w:tcPr>
          <w:p w14:paraId="5A25B77A" w14:textId="77777777" w:rsidR="005E0361" w:rsidRPr="00154588" w:rsidRDefault="005E0361" w:rsidP="008C12B4">
            <w:pPr>
              <w:rPr>
                <w:b/>
                <w:sz w:val="20"/>
                <w:szCs w:val="20"/>
              </w:rPr>
            </w:pPr>
            <w:r w:rsidRPr="00154588">
              <w:rPr>
                <w:b/>
                <w:sz w:val="20"/>
                <w:szCs w:val="20"/>
              </w:rPr>
              <w:t>Articolul 12</w:t>
            </w:r>
          </w:p>
          <w:p w14:paraId="73FCA300" w14:textId="77777777" w:rsidR="005E0361" w:rsidRPr="00154588" w:rsidRDefault="005E0361" w:rsidP="008C12B4">
            <w:pPr>
              <w:rPr>
                <w:b/>
                <w:sz w:val="20"/>
                <w:szCs w:val="20"/>
              </w:rPr>
            </w:pPr>
          </w:p>
          <w:p w14:paraId="549E0DE1" w14:textId="3E06357B" w:rsidR="005E0361" w:rsidRPr="00154588" w:rsidRDefault="005E0361" w:rsidP="008C12B4">
            <w:pPr>
              <w:rPr>
                <w:bCs/>
                <w:sz w:val="20"/>
                <w:szCs w:val="20"/>
              </w:rPr>
            </w:pPr>
            <w:r w:rsidRPr="00154588">
              <w:rPr>
                <w:b/>
                <w:sz w:val="20"/>
                <w:szCs w:val="20"/>
              </w:rPr>
              <w:t>Planuri de rezoluție a grupului</w:t>
            </w:r>
          </w:p>
        </w:tc>
        <w:tc>
          <w:tcPr>
            <w:tcW w:w="4819" w:type="dxa"/>
          </w:tcPr>
          <w:p w14:paraId="25F1E1CC" w14:textId="77777777" w:rsidR="005E0361" w:rsidRPr="00154588" w:rsidRDefault="005E0361" w:rsidP="008C12B4">
            <w:pPr>
              <w:jc w:val="center"/>
              <w:rPr>
                <w:rFonts w:eastAsia="Calibri"/>
                <w:sz w:val="20"/>
                <w:szCs w:val="20"/>
              </w:rPr>
            </w:pPr>
            <w:r w:rsidRPr="00154588">
              <w:rPr>
                <w:rFonts w:eastAsia="Calibri"/>
                <w:b/>
                <w:sz w:val="20"/>
                <w:szCs w:val="20"/>
              </w:rPr>
              <w:t>Secţiunea a 4-a</w:t>
            </w:r>
          </w:p>
          <w:p w14:paraId="3664AB87" w14:textId="46DC877E" w:rsidR="005E0361" w:rsidRPr="00154588" w:rsidRDefault="005E0361" w:rsidP="008C12B4">
            <w:pPr>
              <w:jc w:val="center"/>
              <w:rPr>
                <w:rFonts w:eastAsia="Calibri"/>
                <w:b/>
                <w:sz w:val="20"/>
                <w:szCs w:val="20"/>
              </w:rPr>
            </w:pPr>
            <w:r w:rsidRPr="00154588">
              <w:rPr>
                <w:rFonts w:eastAsia="Calibri"/>
                <w:b/>
                <w:sz w:val="20"/>
                <w:szCs w:val="20"/>
              </w:rPr>
              <w:t>Planificarea rezoluţiei la nivel de grup</w:t>
            </w:r>
          </w:p>
        </w:tc>
        <w:tc>
          <w:tcPr>
            <w:tcW w:w="2552" w:type="dxa"/>
          </w:tcPr>
          <w:p w14:paraId="77D0E0AC" w14:textId="77777777" w:rsidR="005E0361" w:rsidRPr="00154588" w:rsidRDefault="005E0361" w:rsidP="008C12B4">
            <w:pPr>
              <w:jc w:val="both"/>
              <w:rPr>
                <w:bCs/>
                <w:sz w:val="20"/>
                <w:szCs w:val="20"/>
              </w:rPr>
            </w:pPr>
          </w:p>
        </w:tc>
        <w:tc>
          <w:tcPr>
            <w:tcW w:w="3118" w:type="dxa"/>
          </w:tcPr>
          <w:p w14:paraId="23481EBF" w14:textId="159DE168" w:rsidR="005E0361" w:rsidRPr="00154588" w:rsidRDefault="005E0361" w:rsidP="008C12B4">
            <w:pPr>
              <w:jc w:val="both"/>
              <w:rPr>
                <w:bCs/>
                <w:sz w:val="20"/>
                <w:szCs w:val="20"/>
              </w:rPr>
            </w:pPr>
          </w:p>
        </w:tc>
      </w:tr>
      <w:tr w:rsidR="005E0361" w:rsidRPr="00154588" w14:paraId="47DB5801" w14:textId="77777777" w:rsidTr="00D15C1B">
        <w:trPr>
          <w:jc w:val="center"/>
        </w:trPr>
        <w:tc>
          <w:tcPr>
            <w:tcW w:w="4957" w:type="dxa"/>
            <w:gridSpan w:val="2"/>
          </w:tcPr>
          <w:p w14:paraId="0566DA69" w14:textId="77777777" w:rsidR="005E0361" w:rsidRPr="00154588" w:rsidRDefault="005E0361" w:rsidP="008C12B4">
            <w:pPr>
              <w:jc w:val="both"/>
              <w:rPr>
                <w:bCs/>
                <w:sz w:val="20"/>
                <w:szCs w:val="20"/>
              </w:rPr>
            </w:pPr>
            <w:r w:rsidRPr="00154588">
              <w:rPr>
                <w:bCs/>
                <w:sz w:val="20"/>
                <w:szCs w:val="20"/>
              </w:rPr>
              <w:t xml:space="preserve">(1)   Statele membre se asigură că autoritățile de rezoluție ale grupului, împreună cu autoritățile de rezoluție ale filialelor și în urma consultării autorităților de rezoluție ale sucursalelor semnificative, în măsura în care acest lucru este </w:t>
            </w:r>
            <w:r w:rsidRPr="00154588">
              <w:rPr>
                <w:bCs/>
                <w:sz w:val="20"/>
                <w:szCs w:val="20"/>
              </w:rPr>
              <w:lastRenderedPageBreak/>
              <w:t>relevant pentru sucursala de importanță semnificativă, elaborează planul de rezoluție a grupului. Acest plan de rezoluție a grupului identifică măsurile care se impun în ceea ce privește:</w:t>
            </w:r>
          </w:p>
          <w:p w14:paraId="14D3403B" w14:textId="77777777" w:rsidR="005E0361" w:rsidRPr="00154588" w:rsidRDefault="005E0361" w:rsidP="008C12B4">
            <w:pPr>
              <w:jc w:val="both"/>
              <w:rPr>
                <w:bCs/>
                <w:sz w:val="20"/>
                <w:szCs w:val="20"/>
              </w:rPr>
            </w:pPr>
          </w:p>
          <w:p w14:paraId="027A81D9" w14:textId="061954B4" w:rsidR="005E0361" w:rsidRPr="00154588" w:rsidRDefault="005E0361" w:rsidP="008C12B4">
            <w:pPr>
              <w:jc w:val="both"/>
              <w:rPr>
                <w:bCs/>
                <w:sz w:val="20"/>
                <w:szCs w:val="20"/>
              </w:rPr>
            </w:pPr>
            <w:r w:rsidRPr="00154588">
              <w:rPr>
                <w:bCs/>
                <w:sz w:val="20"/>
                <w:szCs w:val="20"/>
              </w:rPr>
              <w:t>(a) întreprinderea-mamă din Uniune;</w:t>
            </w:r>
          </w:p>
          <w:p w14:paraId="30D41229" w14:textId="77777777" w:rsidR="005E0361" w:rsidRPr="00154588" w:rsidRDefault="005E0361" w:rsidP="008C12B4">
            <w:pPr>
              <w:jc w:val="both"/>
              <w:rPr>
                <w:bCs/>
                <w:sz w:val="20"/>
                <w:szCs w:val="20"/>
              </w:rPr>
            </w:pPr>
          </w:p>
          <w:p w14:paraId="19785280" w14:textId="5525E500" w:rsidR="005E0361" w:rsidRPr="00154588" w:rsidRDefault="005E0361" w:rsidP="008C12B4">
            <w:pPr>
              <w:jc w:val="both"/>
              <w:rPr>
                <w:bCs/>
                <w:sz w:val="20"/>
                <w:szCs w:val="20"/>
              </w:rPr>
            </w:pPr>
            <w:r w:rsidRPr="00154588">
              <w:rPr>
                <w:bCs/>
                <w:sz w:val="20"/>
                <w:szCs w:val="20"/>
              </w:rPr>
              <w:t>(b) filialele care fac parte din grup și sunt stabilite în Uniune;</w:t>
            </w:r>
          </w:p>
          <w:p w14:paraId="5A295E25" w14:textId="77777777" w:rsidR="005E0361" w:rsidRPr="00154588" w:rsidRDefault="005E0361" w:rsidP="008C12B4">
            <w:pPr>
              <w:jc w:val="both"/>
              <w:rPr>
                <w:bCs/>
                <w:sz w:val="20"/>
                <w:szCs w:val="20"/>
              </w:rPr>
            </w:pPr>
          </w:p>
          <w:p w14:paraId="6FC8E751" w14:textId="5130B894" w:rsidR="005E0361" w:rsidRPr="00154588" w:rsidRDefault="005E0361" w:rsidP="008C12B4">
            <w:pPr>
              <w:jc w:val="both"/>
              <w:rPr>
                <w:bCs/>
                <w:sz w:val="20"/>
                <w:szCs w:val="20"/>
              </w:rPr>
            </w:pPr>
            <w:r w:rsidRPr="00154588">
              <w:rPr>
                <w:bCs/>
                <w:sz w:val="20"/>
                <w:szCs w:val="20"/>
              </w:rPr>
              <w:t>(c) entitățile menționate la articolul 1 alineatul (1) literele (c) și (d); și</w:t>
            </w:r>
          </w:p>
          <w:p w14:paraId="095F0CC2" w14:textId="77777777" w:rsidR="005E0361" w:rsidRPr="00154588" w:rsidRDefault="005E0361" w:rsidP="008C12B4">
            <w:pPr>
              <w:jc w:val="both"/>
              <w:rPr>
                <w:bCs/>
                <w:sz w:val="20"/>
                <w:szCs w:val="20"/>
              </w:rPr>
            </w:pPr>
          </w:p>
          <w:p w14:paraId="29884EC3" w14:textId="2F61ACD8" w:rsidR="005E0361" w:rsidRPr="00154588" w:rsidRDefault="005E0361" w:rsidP="008C12B4">
            <w:pPr>
              <w:jc w:val="both"/>
              <w:rPr>
                <w:bCs/>
                <w:sz w:val="20"/>
                <w:szCs w:val="20"/>
              </w:rPr>
            </w:pPr>
            <w:r w:rsidRPr="00154588">
              <w:rPr>
                <w:bCs/>
                <w:sz w:val="20"/>
                <w:szCs w:val="20"/>
              </w:rPr>
              <w:t>(d) sub rezerva titlului VI, filialele care fac parte din grup și sunt situate în afara Uniunii.</w:t>
            </w:r>
          </w:p>
          <w:p w14:paraId="238DF05B" w14:textId="77777777" w:rsidR="005E0361" w:rsidRPr="00154588" w:rsidRDefault="005E0361" w:rsidP="008C12B4">
            <w:pPr>
              <w:jc w:val="both"/>
              <w:rPr>
                <w:bCs/>
                <w:sz w:val="20"/>
                <w:szCs w:val="20"/>
              </w:rPr>
            </w:pPr>
          </w:p>
          <w:p w14:paraId="26A07302" w14:textId="77777777" w:rsidR="005E0361" w:rsidRPr="00154588" w:rsidRDefault="005E0361" w:rsidP="008C12B4">
            <w:pPr>
              <w:jc w:val="both"/>
              <w:rPr>
                <w:bCs/>
                <w:sz w:val="20"/>
                <w:szCs w:val="20"/>
              </w:rPr>
            </w:pPr>
            <w:r w:rsidRPr="00154588">
              <w:rPr>
                <w:bCs/>
                <w:sz w:val="20"/>
                <w:szCs w:val="20"/>
              </w:rPr>
              <w:t>În conformitate cu măsurile menționate la primul paragraf, planul de rezoluție identifică pentru fiecare grup entitățile de rezoluție și grupurile de rezoluție</w:t>
            </w:r>
            <w:r w:rsidR="001B3867" w:rsidRPr="00154588">
              <w:rPr>
                <w:bCs/>
                <w:sz w:val="20"/>
                <w:szCs w:val="20"/>
              </w:rPr>
              <w:t xml:space="preserve"> și, după caz, entitățile destinate lichidării</w:t>
            </w:r>
            <w:r w:rsidRPr="00154588">
              <w:rPr>
                <w:bCs/>
                <w:sz w:val="20"/>
                <w:szCs w:val="20"/>
              </w:rPr>
              <w:t>.</w:t>
            </w:r>
          </w:p>
          <w:p w14:paraId="558F782E" w14:textId="77777777" w:rsidR="001B3867" w:rsidRPr="00154588" w:rsidRDefault="001B3867" w:rsidP="008C12B4">
            <w:pPr>
              <w:jc w:val="both"/>
              <w:rPr>
                <w:bCs/>
                <w:sz w:val="20"/>
                <w:szCs w:val="20"/>
              </w:rPr>
            </w:pPr>
          </w:p>
          <w:p w14:paraId="75C3F356" w14:textId="77777777" w:rsidR="00AD30D9" w:rsidRPr="00154588" w:rsidRDefault="00AD30D9" w:rsidP="008C12B4">
            <w:pPr>
              <w:jc w:val="both"/>
              <w:rPr>
                <w:bCs/>
                <w:sz w:val="20"/>
                <w:szCs w:val="20"/>
              </w:rPr>
            </w:pPr>
          </w:p>
          <w:p w14:paraId="1887C835" w14:textId="77777777" w:rsidR="00AD30D9" w:rsidRPr="00154588" w:rsidRDefault="00AD30D9" w:rsidP="008C12B4">
            <w:pPr>
              <w:jc w:val="both"/>
              <w:rPr>
                <w:bCs/>
                <w:sz w:val="20"/>
                <w:szCs w:val="20"/>
              </w:rPr>
            </w:pPr>
          </w:p>
          <w:p w14:paraId="38BEC051" w14:textId="77777777" w:rsidR="00AD30D9" w:rsidRPr="00154588" w:rsidRDefault="001B3867" w:rsidP="008C12B4">
            <w:pPr>
              <w:jc w:val="both"/>
              <w:rPr>
                <w:bCs/>
                <w:sz w:val="20"/>
                <w:szCs w:val="20"/>
              </w:rPr>
            </w:pPr>
            <w:r w:rsidRPr="00154588">
              <w:rPr>
                <w:bCs/>
                <w:sz w:val="20"/>
                <w:szCs w:val="20"/>
              </w:rPr>
              <w:t xml:space="preserve">Atunci când identifică măsurile care trebuie luate în ceea ce privește filialele menționate la primul paragraf litera (b) care nu sunt entități de rezoluție, autoritățile de rezoluție pot urma o abordare proporțională în cazul în care o astfel de abordare nu afectează în mod negativ posibilitatea de soluționare a grupului, ținând seama de dimensiunea filialei, de profilul de risc al acesteia, de rolul acesteia în furnizarea funcțiilor critice și a liniilor de activitate esențiale, de importanța acesteia pentru continuitatea operațională a grupului după rezoluție și de strategia de rezoluție a grupului. </w:t>
            </w:r>
          </w:p>
          <w:p w14:paraId="52B06D21" w14:textId="5DFFC894" w:rsidR="001B3867" w:rsidRPr="00154588" w:rsidRDefault="001B3867" w:rsidP="008C12B4">
            <w:pPr>
              <w:jc w:val="both"/>
              <w:rPr>
                <w:bCs/>
                <w:sz w:val="20"/>
                <w:szCs w:val="20"/>
              </w:rPr>
            </w:pPr>
            <w:r w:rsidRPr="00154588">
              <w:rPr>
                <w:bCs/>
                <w:sz w:val="20"/>
                <w:szCs w:val="20"/>
              </w:rPr>
              <w:t xml:space="preserve">Autoritățile de rezoluție iau în considerare în mod corespunzător importanța filialei în statul membru în care este stabilită, inclusiv importanța sistemică potențială a acesteia, precum și impactul potențial al acesteia asupra mijloacelor financiare disponibile ale schemei de garantare a depozitelor în cazul lichidării prin procedura obișnuită de insolvență. </w:t>
            </w:r>
          </w:p>
          <w:p w14:paraId="024FFC93" w14:textId="77777777" w:rsidR="001B3867" w:rsidRPr="00154588" w:rsidRDefault="001B3867" w:rsidP="008C12B4">
            <w:pPr>
              <w:jc w:val="both"/>
              <w:rPr>
                <w:bCs/>
                <w:sz w:val="20"/>
                <w:szCs w:val="20"/>
              </w:rPr>
            </w:pPr>
          </w:p>
          <w:p w14:paraId="7E24CAF2" w14:textId="6E530767" w:rsidR="001B3867" w:rsidRPr="00154588" w:rsidRDefault="001B3867" w:rsidP="008C12B4">
            <w:pPr>
              <w:jc w:val="both"/>
              <w:rPr>
                <w:bCs/>
                <w:sz w:val="20"/>
                <w:szCs w:val="20"/>
              </w:rPr>
            </w:pPr>
            <w:r w:rsidRPr="00154588">
              <w:rPr>
                <w:bCs/>
                <w:sz w:val="20"/>
                <w:szCs w:val="20"/>
              </w:rPr>
              <w:t xml:space="preserve">Atunci când a fost inițiată o procedură de lichidare a unei entități în conformitate cu dreptul intern aplicabil în temeiul articolului 32b sau în cazul în care se aplică articolul 37 </w:t>
            </w:r>
            <w:r w:rsidRPr="00154588">
              <w:rPr>
                <w:bCs/>
                <w:sz w:val="20"/>
                <w:szCs w:val="20"/>
              </w:rPr>
              <w:lastRenderedPageBreak/>
              <w:t>alineatul (6), autoritățile de rezoluție nu mai includ entitatea respectivă în planul de rezoluție a grupului</w:t>
            </w:r>
          </w:p>
        </w:tc>
        <w:tc>
          <w:tcPr>
            <w:tcW w:w="4819" w:type="dxa"/>
          </w:tcPr>
          <w:p w14:paraId="0D9FA58B" w14:textId="731AC84F" w:rsidR="005E0361" w:rsidRPr="00154588" w:rsidRDefault="005E0361" w:rsidP="008C12B4">
            <w:pPr>
              <w:ind w:firstLine="688"/>
              <w:jc w:val="both"/>
              <w:rPr>
                <w:rFonts w:eastAsia="Calibri"/>
                <w:sz w:val="20"/>
                <w:szCs w:val="20"/>
              </w:rPr>
            </w:pPr>
            <w:r w:rsidRPr="00154588">
              <w:rPr>
                <w:rFonts w:eastAsia="Calibri"/>
                <w:b/>
                <w:sz w:val="20"/>
                <w:szCs w:val="20"/>
              </w:rPr>
              <w:lastRenderedPageBreak/>
              <w:t>Articolul 31</w:t>
            </w:r>
            <w:r w:rsidRPr="00154588">
              <w:rPr>
                <w:rFonts w:eastAsia="Calibri"/>
                <w:b/>
                <w:sz w:val="20"/>
                <w:szCs w:val="20"/>
                <w:vertAlign w:val="superscript"/>
              </w:rPr>
              <w:t>1</w:t>
            </w:r>
            <w:r w:rsidRPr="00154588">
              <w:rPr>
                <w:rFonts w:eastAsia="Calibri"/>
                <w:b/>
                <w:sz w:val="20"/>
                <w:szCs w:val="20"/>
              </w:rPr>
              <w:t xml:space="preserve">. – </w:t>
            </w:r>
            <w:r w:rsidRPr="00154588">
              <w:rPr>
                <w:rFonts w:eastAsia="Calibri"/>
                <w:sz w:val="20"/>
                <w:szCs w:val="20"/>
              </w:rPr>
              <w:t xml:space="preserve">(1) Banca Națională a Moldovei, în calitate de autoritate de rezoluție la nivel de grup, împreună cu autoritățile de rezoluție ale filialelor din grup și în urma consultării cu autoritățile de rezoluție </w:t>
            </w:r>
            <w:r w:rsidR="003D2AF4" w:rsidRPr="00154588">
              <w:rPr>
                <w:rFonts w:eastAsia="Calibri"/>
                <w:sz w:val="20"/>
                <w:szCs w:val="20"/>
              </w:rPr>
              <w:t>ale</w:t>
            </w:r>
            <w:r w:rsidRPr="00154588">
              <w:rPr>
                <w:rFonts w:eastAsia="Calibri"/>
                <w:sz w:val="20"/>
                <w:szCs w:val="20"/>
              </w:rPr>
              <w:t xml:space="preserve"> </w:t>
            </w:r>
            <w:r w:rsidRPr="00154588">
              <w:rPr>
                <w:rFonts w:eastAsia="Calibri"/>
                <w:sz w:val="20"/>
                <w:szCs w:val="20"/>
              </w:rPr>
              <w:lastRenderedPageBreak/>
              <w:t>sucursale</w:t>
            </w:r>
            <w:r w:rsidR="003D2AF4" w:rsidRPr="00154588">
              <w:rPr>
                <w:rFonts w:eastAsia="Calibri"/>
                <w:sz w:val="20"/>
                <w:szCs w:val="20"/>
              </w:rPr>
              <w:t>lor</w:t>
            </w:r>
            <w:r w:rsidRPr="00154588">
              <w:rPr>
                <w:rFonts w:eastAsia="Calibri"/>
                <w:sz w:val="20"/>
                <w:szCs w:val="20"/>
              </w:rPr>
              <w:t xml:space="preserve"> semnificative, în măsura în care planul este relevant pentru acestea, elaborează planuri de rezoluție a grupului.</w:t>
            </w:r>
          </w:p>
          <w:p w14:paraId="409E7407" w14:textId="77777777" w:rsidR="005E0361" w:rsidRPr="00154588" w:rsidRDefault="005E0361" w:rsidP="008C12B4">
            <w:pPr>
              <w:ind w:firstLine="688"/>
              <w:jc w:val="both"/>
              <w:rPr>
                <w:rFonts w:eastAsia="Calibri"/>
                <w:sz w:val="20"/>
                <w:szCs w:val="20"/>
              </w:rPr>
            </w:pPr>
            <w:r w:rsidRPr="00154588">
              <w:rPr>
                <w:rFonts w:eastAsia="Calibri"/>
                <w:sz w:val="20"/>
                <w:szCs w:val="20"/>
              </w:rPr>
              <w:t>(2) Planul de rezoluție a grupului identifică măsurile care se impun în ceea ce privește:</w:t>
            </w:r>
          </w:p>
          <w:p w14:paraId="11A0A458" w14:textId="77777777" w:rsidR="008B4AA1" w:rsidRPr="00154588" w:rsidRDefault="008B4AA1" w:rsidP="008C12B4">
            <w:pPr>
              <w:ind w:firstLine="688"/>
              <w:jc w:val="both"/>
              <w:rPr>
                <w:rFonts w:eastAsia="Calibri"/>
                <w:sz w:val="20"/>
                <w:szCs w:val="20"/>
              </w:rPr>
            </w:pPr>
          </w:p>
          <w:p w14:paraId="19D602AB" w14:textId="1822FF16" w:rsidR="005E0361" w:rsidRPr="00154588" w:rsidRDefault="005E0361" w:rsidP="008C12B4">
            <w:pPr>
              <w:ind w:firstLine="688"/>
              <w:jc w:val="both"/>
              <w:rPr>
                <w:rFonts w:eastAsia="Calibri"/>
                <w:sz w:val="20"/>
                <w:szCs w:val="20"/>
              </w:rPr>
            </w:pPr>
            <w:r w:rsidRPr="00154588">
              <w:rPr>
                <w:rFonts w:eastAsia="Calibri"/>
                <w:sz w:val="20"/>
                <w:szCs w:val="20"/>
              </w:rPr>
              <w:t>a) întreprinderea-mamă din Uniunea Europeană cu sediul în Republica Moldova;</w:t>
            </w:r>
          </w:p>
          <w:p w14:paraId="194F0C5D" w14:textId="77777777" w:rsidR="008B4AA1" w:rsidRPr="00154588" w:rsidRDefault="008B4AA1" w:rsidP="008C12B4">
            <w:pPr>
              <w:ind w:firstLine="688"/>
              <w:jc w:val="both"/>
              <w:rPr>
                <w:rFonts w:eastAsia="Calibri"/>
                <w:sz w:val="20"/>
                <w:szCs w:val="20"/>
              </w:rPr>
            </w:pPr>
          </w:p>
          <w:p w14:paraId="42311098" w14:textId="658367D2" w:rsidR="005E0361" w:rsidRPr="00154588" w:rsidRDefault="005E0361" w:rsidP="008C12B4">
            <w:pPr>
              <w:ind w:firstLine="688"/>
              <w:jc w:val="both"/>
              <w:rPr>
                <w:rFonts w:eastAsia="Calibri"/>
                <w:sz w:val="20"/>
                <w:szCs w:val="20"/>
              </w:rPr>
            </w:pPr>
            <w:r w:rsidRPr="00154588">
              <w:rPr>
                <w:rFonts w:eastAsia="Calibri"/>
                <w:sz w:val="20"/>
                <w:szCs w:val="20"/>
              </w:rPr>
              <w:t>b) filialele ce fac parte din grup și sunt stabilite în Uniunea Europeană;</w:t>
            </w:r>
          </w:p>
          <w:p w14:paraId="168C42E5" w14:textId="77777777" w:rsidR="008B4AA1" w:rsidRPr="00154588" w:rsidRDefault="008B4AA1" w:rsidP="008C12B4">
            <w:pPr>
              <w:ind w:firstLine="688"/>
              <w:jc w:val="both"/>
              <w:rPr>
                <w:rFonts w:eastAsia="Calibri"/>
                <w:sz w:val="20"/>
                <w:szCs w:val="20"/>
              </w:rPr>
            </w:pPr>
          </w:p>
          <w:p w14:paraId="6F567314" w14:textId="0899FD04" w:rsidR="005E0361" w:rsidRPr="00154588" w:rsidRDefault="005E0361" w:rsidP="008C12B4">
            <w:pPr>
              <w:ind w:firstLine="688"/>
              <w:jc w:val="both"/>
              <w:rPr>
                <w:rFonts w:eastAsia="Calibri"/>
                <w:sz w:val="20"/>
                <w:szCs w:val="20"/>
              </w:rPr>
            </w:pPr>
            <w:r w:rsidRPr="00154588">
              <w:rPr>
                <w:rFonts w:eastAsia="Calibri"/>
                <w:sz w:val="20"/>
                <w:szCs w:val="20"/>
              </w:rPr>
              <w:t>c) entitățile prevăzute la art.1 alin.(1) lit.c) și d);</w:t>
            </w:r>
          </w:p>
          <w:p w14:paraId="338945E9" w14:textId="77777777" w:rsidR="008B4AA1" w:rsidRPr="00154588" w:rsidRDefault="008B4AA1" w:rsidP="008C12B4">
            <w:pPr>
              <w:ind w:firstLine="688"/>
              <w:jc w:val="both"/>
              <w:rPr>
                <w:rFonts w:eastAsia="Calibri"/>
                <w:sz w:val="20"/>
                <w:szCs w:val="20"/>
              </w:rPr>
            </w:pPr>
          </w:p>
          <w:p w14:paraId="6289BAA1" w14:textId="02989B45" w:rsidR="005E0361" w:rsidRPr="00154588" w:rsidRDefault="005E0361" w:rsidP="008C12B4">
            <w:pPr>
              <w:ind w:firstLine="688"/>
              <w:jc w:val="both"/>
              <w:rPr>
                <w:rFonts w:eastAsia="Calibri"/>
                <w:kern w:val="2"/>
                <w:sz w:val="20"/>
                <w:szCs w:val="20"/>
                <w14:ligatures w14:val="standardContextual"/>
              </w:rPr>
            </w:pPr>
            <w:r w:rsidRPr="00154588">
              <w:rPr>
                <w:rFonts w:eastAsia="Calibri"/>
                <w:sz w:val="20"/>
                <w:szCs w:val="20"/>
              </w:rPr>
              <w:t>d) filialele ce fac parte din grup și sunt stabilite în afara Uniunii Europene, cu respectarea dispozițiilor art.323</w:t>
            </w:r>
            <w:r w:rsidRPr="00154588">
              <w:rPr>
                <w:rFonts w:eastAsia="Calibri"/>
                <w:sz w:val="20"/>
                <w:szCs w:val="20"/>
                <w:vertAlign w:val="superscript"/>
              </w:rPr>
              <w:t>1</w:t>
            </w:r>
            <w:r w:rsidRPr="00154588">
              <w:rPr>
                <w:rFonts w:eastAsia="Calibri"/>
                <w:sz w:val="20"/>
                <w:szCs w:val="20"/>
              </w:rPr>
              <w:t>-328.</w:t>
            </w:r>
          </w:p>
          <w:p w14:paraId="58C98FC6" w14:textId="7D32DD7E" w:rsidR="005E0361" w:rsidRPr="00154588" w:rsidRDefault="005E0361" w:rsidP="008C12B4">
            <w:pPr>
              <w:ind w:firstLine="688"/>
              <w:jc w:val="both"/>
              <w:rPr>
                <w:rFonts w:eastAsia="Calibri"/>
                <w:sz w:val="20"/>
                <w:szCs w:val="20"/>
              </w:rPr>
            </w:pPr>
            <w:r w:rsidRPr="00154588">
              <w:rPr>
                <w:rFonts w:eastAsia="Calibri"/>
                <w:sz w:val="20"/>
                <w:szCs w:val="20"/>
              </w:rPr>
              <w:t>(3) În concordanță cu acțiunile prevăzute la alin.(2), planul de rezoluție a grupului identifică, în cazul fiecărui grup, entitățile de rezoluție și grupurile de rezoluție</w:t>
            </w:r>
            <w:r w:rsidR="008B4AA1" w:rsidRPr="00154588">
              <w:rPr>
                <w:rFonts w:eastAsia="Calibri"/>
                <w:sz w:val="20"/>
                <w:szCs w:val="20"/>
              </w:rPr>
              <w:t xml:space="preserve"> </w:t>
            </w:r>
            <w:r w:rsidR="008B4AA1" w:rsidRPr="00154588">
              <w:rPr>
                <w:bCs/>
                <w:sz w:val="20"/>
                <w:szCs w:val="20"/>
              </w:rPr>
              <w:t>și, după caz, entitățile destinate lichidării</w:t>
            </w:r>
            <w:r w:rsidRPr="00154588">
              <w:rPr>
                <w:rFonts w:eastAsia="Calibri"/>
                <w:sz w:val="20"/>
                <w:szCs w:val="20"/>
              </w:rPr>
              <w:t>.</w:t>
            </w:r>
          </w:p>
          <w:p w14:paraId="7C153C23" w14:textId="61F44208" w:rsidR="005E0361" w:rsidRPr="00154588" w:rsidRDefault="00216E62" w:rsidP="008C12B4">
            <w:pPr>
              <w:ind w:firstLine="688"/>
              <w:jc w:val="both"/>
              <w:rPr>
                <w:bCs/>
                <w:sz w:val="20"/>
                <w:szCs w:val="20"/>
              </w:rPr>
            </w:pPr>
            <w:r w:rsidRPr="00154588">
              <w:rPr>
                <w:bCs/>
                <w:sz w:val="20"/>
                <w:szCs w:val="20"/>
              </w:rPr>
              <w:t xml:space="preserve">(4)Banca Națională a Moldovei, </w:t>
            </w:r>
            <w:r w:rsidR="003D2AF4" w:rsidRPr="00154588">
              <w:rPr>
                <w:bCs/>
                <w:sz w:val="20"/>
                <w:szCs w:val="20"/>
              </w:rPr>
              <w:t xml:space="preserve">în calitate de autoritate de rezoluție la nivel de grup, poate aplica o abordare proporțională în privința filialelor prevăzute la alin. (2) lit. b) care nu sunt entități de rezoluție, dacă o asemenea abordare nu afectează în mod negativ posibilitatea de soluționare a grupului, ținând seama de </w:t>
            </w:r>
            <w:r w:rsidRPr="00154588">
              <w:rPr>
                <w:bCs/>
                <w:sz w:val="20"/>
                <w:szCs w:val="20"/>
              </w:rPr>
              <w:t xml:space="preserve">dimensiunea filialei, profilul de risc al acesteia, rolul acesteia în furnizarea funcțiilor critice și a liniilor de activitate </w:t>
            </w:r>
            <w:r w:rsidR="00BF6D01" w:rsidRPr="00154588">
              <w:rPr>
                <w:bCs/>
                <w:sz w:val="20"/>
                <w:szCs w:val="20"/>
              </w:rPr>
              <w:t>de bază</w:t>
            </w:r>
            <w:r w:rsidRPr="00154588">
              <w:rPr>
                <w:bCs/>
                <w:sz w:val="20"/>
                <w:szCs w:val="20"/>
              </w:rPr>
              <w:t>, importanța acesteia pentru continuitatea operațională a grupului după rezoluție și strategia de rezoluție a grupului.</w:t>
            </w:r>
          </w:p>
          <w:p w14:paraId="5983197E" w14:textId="3E416816" w:rsidR="003D2AF4" w:rsidRPr="00154588" w:rsidRDefault="003D2AF4" w:rsidP="008C12B4">
            <w:pPr>
              <w:ind w:firstLine="688"/>
              <w:jc w:val="both"/>
              <w:rPr>
                <w:bCs/>
                <w:sz w:val="20"/>
                <w:szCs w:val="20"/>
              </w:rPr>
            </w:pPr>
            <w:r w:rsidRPr="00154588">
              <w:rPr>
                <w:bCs/>
                <w:sz w:val="20"/>
                <w:szCs w:val="20"/>
              </w:rPr>
              <w:t>(5)</w:t>
            </w:r>
            <w:r w:rsidR="00E951D6" w:rsidRPr="00154588">
              <w:t xml:space="preserve"> </w:t>
            </w:r>
            <w:r w:rsidR="00E951D6" w:rsidRPr="00154588">
              <w:rPr>
                <w:bCs/>
                <w:sz w:val="20"/>
                <w:szCs w:val="20"/>
              </w:rPr>
              <w:t>La aplicarea alin.(4), Banca Națională a Moldovei ia în considerare, în mod corespunzător, importanța filialei în statul membru în care aceasta este stabilită, inclusiv importanța sistemică potențială a acesteia, precum și impactul potențial al acesteia asupra mijloacelor financiare disponibile ale Fondului de garantare a depozitelor bancare în cazul lichidării prin procedura obișnuită de insolvabilitate.</w:t>
            </w:r>
            <w:r w:rsidRPr="00154588">
              <w:rPr>
                <w:bCs/>
                <w:sz w:val="20"/>
                <w:szCs w:val="20"/>
              </w:rPr>
              <w:t xml:space="preserve"> </w:t>
            </w:r>
          </w:p>
          <w:p w14:paraId="34FCCB44" w14:textId="236834CB" w:rsidR="00216E62" w:rsidRPr="00154588" w:rsidRDefault="003D2AF4" w:rsidP="008C12B4">
            <w:pPr>
              <w:ind w:firstLine="688"/>
              <w:jc w:val="both"/>
              <w:rPr>
                <w:bCs/>
                <w:sz w:val="20"/>
                <w:szCs w:val="20"/>
              </w:rPr>
            </w:pPr>
            <w:r w:rsidRPr="00154588">
              <w:rPr>
                <w:bCs/>
                <w:sz w:val="20"/>
                <w:szCs w:val="20"/>
              </w:rPr>
              <w:t>(</w:t>
            </w:r>
            <w:r w:rsidR="00444FCF" w:rsidRPr="00154588">
              <w:rPr>
                <w:bCs/>
                <w:sz w:val="20"/>
                <w:szCs w:val="20"/>
              </w:rPr>
              <w:t>6</w:t>
            </w:r>
            <w:r w:rsidRPr="00154588">
              <w:rPr>
                <w:bCs/>
                <w:sz w:val="20"/>
                <w:szCs w:val="20"/>
              </w:rPr>
              <w:t>)</w:t>
            </w:r>
            <w:r w:rsidR="00E951D6" w:rsidRPr="00154588">
              <w:t xml:space="preserve"> </w:t>
            </w:r>
            <w:r w:rsidR="00E951D6" w:rsidRPr="00154588">
              <w:rPr>
                <w:bCs/>
                <w:sz w:val="20"/>
                <w:szCs w:val="20"/>
              </w:rPr>
              <w:t>Banca Națională a Moldovei, în calitate de autoritate de rezoluție la nivel de grup, nu include în planul de rezoluție a grupului entitatea față de care a fost inițiată o procedură de insolvabilitate, în condițiile legii, sau în privința căreia sunt aplicabile prevederile art.90.</w:t>
            </w:r>
          </w:p>
        </w:tc>
        <w:tc>
          <w:tcPr>
            <w:tcW w:w="2552" w:type="dxa"/>
          </w:tcPr>
          <w:p w14:paraId="0E065A4D" w14:textId="37710912" w:rsidR="005E0361" w:rsidRPr="00154588" w:rsidRDefault="005E0361" w:rsidP="008C12B4">
            <w:pPr>
              <w:jc w:val="both"/>
              <w:rPr>
                <w:bCs/>
                <w:sz w:val="20"/>
                <w:szCs w:val="20"/>
              </w:rPr>
            </w:pPr>
            <w:r w:rsidRPr="00154588">
              <w:rPr>
                <w:bCs/>
                <w:sz w:val="20"/>
                <w:szCs w:val="20"/>
              </w:rPr>
              <w:lastRenderedPageBreak/>
              <w:t>Compatibil</w:t>
            </w:r>
          </w:p>
        </w:tc>
        <w:tc>
          <w:tcPr>
            <w:tcW w:w="3118" w:type="dxa"/>
          </w:tcPr>
          <w:p w14:paraId="14C5B389" w14:textId="286DF64B" w:rsidR="004D7A83" w:rsidRPr="00154588" w:rsidRDefault="004D7A83" w:rsidP="008C12B4">
            <w:pPr>
              <w:jc w:val="both"/>
              <w:rPr>
                <w:rFonts w:eastAsia="Calibri"/>
                <w:bCs/>
                <w:sz w:val="20"/>
                <w:szCs w:val="20"/>
              </w:rPr>
            </w:pPr>
            <w:r w:rsidRPr="00154588">
              <w:rPr>
                <w:bCs/>
                <w:sz w:val="20"/>
                <w:szCs w:val="20"/>
              </w:rPr>
              <w:t>Articolul 12 (1) este transpus și prin art. 31</w:t>
            </w:r>
            <w:r w:rsidRPr="00154588">
              <w:rPr>
                <w:bCs/>
                <w:sz w:val="20"/>
                <w:szCs w:val="20"/>
                <w:vertAlign w:val="superscript"/>
              </w:rPr>
              <w:t xml:space="preserve">15  </w:t>
            </w:r>
            <w:r w:rsidRPr="00154588">
              <w:rPr>
                <w:bCs/>
                <w:sz w:val="20"/>
                <w:szCs w:val="20"/>
              </w:rPr>
              <w:t xml:space="preserve">pentru </w:t>
            </w:r>
            <w:r w:rsidRPr="00154588">
              <w:rPr>
                <w:rFonts w:eastAsia="Calibri"/>
                <w:bCs/>
                <w:sz w:val="20"/>
                <w:szCs w:val="20"/>
              </w:rPr>
              <w:t xml:space="preserve">Secțiunea a 5-a Planificarea rezoluției la nivel de grup în cazul în care Banca </w:t>
            </w:r>
            <w:r w:rsidRPr="00154588">
              <w:rPr>
                <w:rFonts w:eastAsia="Calibri"/>
                <w:bCs/>
                <w:sz w:val="20"/>
                <w:szCs w:val="20"/>
              </w:rPr>
              <w:lastRenderedPageBreak/>
              <w:t>Națională a Moldovei este autoritate de rezoluție la nivel individual sau, după caz autoritate de rezoluție  la nivelul unui grup de rezoluție</w:t>
            </w:r>
          </w:p>
          <w:p w14:paraId="24C304CE" w14:textId="7F8552A7" w:rsidR="005E0361" w:rsidRPr="00154588" w:rsidRDefault="005E0361" w:rsidP="008C12B4">
            <w:pPr>
              <w:jc w:val="both"/>
              <w:rPr>
                <w:bCs/>
                <w:sz w:val="20"/>
                <w:szCs w:val="20"/>
              </w:rPr>
            </w:pPr>
          </w:p>
        </w:tc>
      </w:tr>
      <w:tr w:rsidR="005E0361" w:rsidRPr="00154588" w14:paraId="5DA07471" w14:textId="77777777" w:rsidTr="00D15C1B">
        <w:trPr>
          <w:jc w:val="center"/>
        </w:trPr>
        <w:tc>
          <w:tcPr>
            <w:tcW w:w="4957" w:type="dxa"/>
            <w:gridSpan w:val="2"/>
          </w:tcPr>
          <w:p w14:paraId="6C85F5DB" w14:textId="6AECCC94" w:rsidR="005E0361" w:rsidRPr="00154588" w:rsidRDefault="005E0361" w:rsidP="008C12B4">
            <w:pPr>
              <w:jc w:val="both"/>
              <w:rPr>
                <w:bCs/>
                <w:sz w:val="20"/>
                <w:szCs w:val="20"/>
              </w:rPr>
            </w:pPr>
            <w:r w:rsidRPr="00154588">
              <w:rPr>
                <w:bCs/>
                <w:sz w:val="20"/>
                <w:szCs w:val="20"/>
              </w:rPr>
              <w:lastRenderedPageBreak/>
              <w:t xml:space="preserve">(2) Planul de rezoluție a grupului </w:t>
            </w:r>
            <w:r w:rsidR="008B4AA1" w:rsidRPr="00154588">
              <w:rPr>
                <w:bCs/>
                <w:sz w:val="20"/>
                <w:szCs w:val="20"/>
              </w:rPr>
              <w:t>este</w:t>
            </w:r>
            <w:r w:rsidRPr="00154588">
              <w:rPr>
                <w:bCs/>
                <w:sz w:val="20"/>
                <w:szCs w:val="20"/>
              </w:rPr>
              <w:t xml:space="preserve"> elaborat pe baza informațiilor </w:t>
            </w:r>
            <w:r w:rsidR="008B4AA1" w:rsidRPr="00154588">
              <w:rPr>
                <w:bCs/>
                <w:sz w:val="20"/>
                <w:szCs w:val="20"/>
              </w:rPr>
              <w:t>comunicate în temeiul articolului 11 și include elementele menționate la articolul 10 alineatele (4) și (7) în măsura în care acestea sunt relevante din perspectiva unui plan de rezoluție a unui grup</w:t>
            </w:r>
            <w:r w:rsidRPr="00154588">
              <w:rPr>
                <w:bCs/>
                <w:sz w:val="20"/>
                <w:szCs w:val="20"/>
              </w:rPr>
              <w:t>.</w:t>
            </w:r>
          </w:p>
        </w:tc>
        <w:tc>
          <w:tcPr>
            <w:tcW w:w="4819" w:type="dxa"/>
          </w:tcPr>
          <w:p w14:paraId="2BE3AB9C" w14:textId="197140FB" w:rsidR="005E0361" w:rsidRPr="00154588" w:rsidRDefault="005E0361" w:rsidP="008C12B4">
            <w:pPr>
              <w:jc w:val="both"/>
              <w:rPr>
                <w:bCs/>
                <w:sz w:val="20"/>
                <w:szCs w:val="20"/>
              </w:rPr>
            </w:pPr>
            <w:r w:rsidRPr="00154588">
              <w:rPr>
                <w:rFonts w:eastAsia="Calibri"/>
                <w:b/>
                <w:sz w:val="20"/>
                <w:szCs w:val="20"/>
              </w:rPr>
              <w:t>Articolul 31</w:t>
            </w:r>
            <w:r w:rsidRPr="00154588">
              <w:rPr>
                <w:rFonts w:eastAsia="Calibri"/>
                <w:b/>
                <w:sz w:val="20"/>
                <w:szCs w:val="20"/>
                <w:vertAlign w:val="superscript"/>
              </w:rPr>
              <w:t>2</w:t>
            </w:r>
            <w:r w:rsidRPr="00154588">
              <w:rPr>
                <w:rFonts w:eastAsia="Calibri"/>
                <w:b/>
                <w:sz w:val="20"/>
                <w:szCs w:val="20"/>
              </w:rPr>
              <w:t>.</w:t>
            </w:r>
            <w:r w:rsidRPr="00154588">
              <w:rPr>
                <w:rFonts w:eastAsia="Calibri"/>
                <w:sz w:val="20"/>
                <w:szCs w:val="20"/>
              </w:rPr>
              <w:t xml:space="preserve"> – Planul de rezoluție a grupului se elaborează pe baza informațiilor furnizate </w:t>
            </w:r>
            <w:r w:rsidR="00444FCF" w:rsidRPr="00154588">
              <w:rPr>
                <w:rFonts w:eastAsia="Calibri"/>
                <w:sz w:val="20"/>
                <w:szCs w:val="20"/>
              </w:rPr>
              <w:t xml:space="preserve">în </w:t>
            </w:r>
            <w:r w:rsidRPr="00154588">
              <w:rPr>
                <w:rFonts w:eastAsia="Calibri"/>
                <w:sz w:val="20"/>
                <w:szCs w:val="20"/>
              </w:rPr>
              <w:t>conform</w:t>
            </w:r>
            <w:r w:rsidR="00444FCF" w:rsidRPr="00154588">
              <w:rPr>
                <w:rFonts w:eastAsia="Calibri"/>
                <w:sz w:val="20"/>
                <w:szCs w:val="20"/>
              </w:rPr>
              <w:t>itate cu</w:t>
            </w:r>
            <w:r w:rsidRPr="00154588">
              <w:rPr>
                <w:rFonts w:eastAsia="Calibri"/>
                <w:sz w:val="20"/>
                <w:szCs w:val="20"/>
              </w:rPr>
              <w:t xml:space="preserve"> art.31</w:t>
            </w:r>
            <w:r w:rsidR="00444FCF" w:rsidRPr="00154588">
              <w:rPr>
                <w:rFonts w:eastAsia="Calibri"/>
                <w:sz w:val="20"/>
                <w:szCs w:val="20"/>
              </w:rPr>
              <w:t xml:space="preserve"> și include elementele prevăzute la art.26 și 27, în măsura în care acestea sunt relevante pentru planul de rezoluție a grupului</w:t>
            </w:r>
            <w:r w:rsidRPr="00154588">
              <w:rPr>
                <w:rFonts w:eastAsia="Calibri"/>
                <w:sz w:val="20"/>
                <w:szCs w:val="20"/>
              </w:rPr>
              <w:t>.</w:t>
            </w:r>
          </w:p>
        </w:tc>
        <w:tc>
          <w:tcPr>
            <w:tcW w:w="2552" w:type="dxa"/>
          </w:tcPr>
          <w:p w14:paraId="73D25734" w14:textId="6A3F7258" w:rsidR="005E0361" w:rsidRPr="00154588" w:rsidRDefault="00F30E31" w:rsidP="008C12B4">
            <w:pPr>
              <w:jc w:val="both"/>
              <w:rPr>
                <w:bCs/>
                <w:sz w:val="20"/>
                <w:szCs w:val="20"/>
              </w:rPr>
            </w:pPr>
            <w:r w:rsidRPr="00154588">
              <w:rPr>
                <w:bCs/>
                <w:sz w:val="20"/>
                <w:szCs w:val="20"/>
              </w:rPr>
              <w:t>Compatibil</w:t>
            </w:r>
          </w:p>
        </w:tc>
        <w:tc>
          <w:tcPr>
            <w:tcW w:w="3118" w:type="dxa"/>
          </w:tcPr>
          <w:p w14:paraId="6768656B" w14:textId="77777777" w:rsidR="005E0361" w:rsidRPr="00154588" w:rsidRDefault="005E0361" w:rsidP="008C12B4">
            <w:pPr>
              <w:jc w:val="both"/>
              <w:rPr>
                <w:bCs/>
                <w:sz w:val="20"/>
                <w:szCs w:val="20"/>
              </w:rPr>
            </w:pPr>
          </w:p>
        </w:tc>
      </w:tr>
      <w:tr w:rsidR="005E0361" w:rsidRPr="00154588" w14:paraId="64202020" w14:textId="77777777" w:rsidTr="00D15C1B">
        <w:trPr>
          <w:jc w:val="center"/>
        </w:trPr>
        <w:tc>
          <w:tcPr>
            <w:tcW w:w="4957" w:type="dxa"/>
            <w:gridSpan w:val="2"/>
          </w:tcPr>
          <w:p w14:paraId="516B8D24" w14:textId="77777777" w:rsidR="005E0361" w:rsidRPr="00154588" w:rsidRDefault="005E0361" w:rsidP="008C12B4">
            <w:pPr>
              <w:jc w:val="both"/>
              <w:rPr>
                <w:bCs/>
                <w:sz w:val="20"/>
                <w:szCs w:val="20"/>
              </w:rPr>
            </w:pPr>
            <w:r w:rsidRPr="00154588">
              <w:rPr>
                <w:bCs/>
                <w:sz w:val="20"/>
                <w:szCs w:val="20"/>
              </w:rPr>
              <w:t>(3) Planul de rezoluție a grupului:</w:t>
            </w:r>
          </w:p>
          <w:p w14:paraId="2DB7823C" w14:textId="77777777" w:rsidR="005E0361" w:rsidRPr="00154588" w:rsidRDefault="005E0361" w:rsidP="008C12B4">
            <w:pPr>
              <w:jc w:val="both"/>
              <w:rPr>
                <w:bCs/>
                <w:sz w:val="20"/>
                <w:szCs w:val="20"/>
              </w:rPr>
            </w:pPr>
          </w:p>
          <w:p w14:paraId="33F08B3E" w14:textId="7C007167" w:rsidR="005E0361" w:rsidRPr="00154588" w:rsidRDefault="005E0361" w:rsidP="008C12B4">
            <w:pPr>
              <w:jc w:val="both"/>
              <w:rPr>
                <w:bCs/>
                <w:sz w:val="20"/>
                <w:szCs w:val="20"/>
              </w:rPr>
            </w:pPr>
            <w:r w:rsidRPr="00154588">
              <w:rPr>
                <w:bCs/>
                <w:sz w:val="20"/>
                <w:szCs w:val="20"/>
              </w:rPr>
              <w:t>(a) stabilește măsurile de rezoluție care urmează a fi luate de entitățile de rezoluție în scenariile menționate la articolul 10 alineatul (3) și implicațiile acestor măsuri de rezoluție pentru celelalte entități din grup menționate la articolul 1 alineatul (1) literele (b), (c) și (d), întreprinderea-mamă și instituțiile filiale;</w:t>
            </w:r>
          </w:p>
          <w:p w14:paraId="2E1A8804" w14:textId="77777777" w:rsidR="005E0361" w:rsidRPr="00154588" w:rsidRDefault="005E0361" w:rsidP="008C12B4">
            <w:pPr>
              <w:jc w:val="both"/>
              <w:rPr>
                <w:bCs/>
                <w:sz w:val="20"/>
                <w:szCs w:val="20"/>
              </w:rPr>
            </w:pPr>
          </w:p>
          <w:p w14:paraId="2C587FCE" w14:textId="24E839DC" w:rsidR="005E0361" w:rsidRPr="00154588" w:rsidRDefault="005E0361" w:rsidP="008C12B4">
            <w:pPr>
              <w:jc w:val="both"/>
              <w:rPr>
                <w:bCs/>
                <w:sz w:val="20"/>
                <w:szCs w:val="20"/>
              </w:rPr>
            </w:pPr>
            <w:r w:rsidRPr="00154588">
              <w:rPr>
                <w:bCs/>
                <w:sz w:val="20"/>
                <w:szCs w:val="20"/>
              </w:rPr>
              <w:t>(aa) în cazul în care un grup este format din mai multe grupuri de rezoluție, stabilește măsurile de rezoluție care urmează a fi luate în cazul entităților de rezoluție din cadrul fiecărui grup de rezoluție și efectele acestor măsuri asupra:</w:t>
            </w:r>
          </w:p>
          <w:p w14:paraId="5A2BBA68" w14:textId="77777777" w:rsidR="005E0361" w:rsidRPr="00154588" w:rsidRDefault="005E0361" w:rsidP="008C12B4">
            <w:pPr>
              <w:jc w:val="both"/>
              <w:rPr>
                <w:bCs/>
                <w:sz w:val="20"/>
                <w:szCs w:val="20"/>
              </w:rPr>
            </w:pPr>
          </w:p>
          <w:p w14:paraId="08661941" w14:textId="2766917D" w:rsidR="005E0361" w:rsidRPr="00154588" w:rsidRDefault="005E0361" w:rsidP="008C12B4">
            <w:pPr>
              <w:jc w:val="both"/>
              <w:rPr>
                <w:bCs/>
                <w:sz w:val="20"/>
                <w:szCs w:val="20"/>
              </w:rPr>
            </w:pPr>
            <w:r w:rsidRPr="00154588">
              <w:rPr>
                <w:bCs/>
                <w:sz w:val="20"/>
                <w:szCs w:val="20"/>
              </w:rPr>
              <w:t>(i) altor entități din grup care fac parte din același grup de rezoluție;</w:t>
            </w:r>
          </w:p>
          <w:p w14:paraId="4FE393F3" w14:textId="77777777" w:rsidR="005E0361" w:rsidRPr="00154588" w:rsidRDefault="005E0361" w:rsidP="008C12B4">
            <w:pPr>
              <w:jc w:val="both"/>
              <w:rPr>
                <w:bCs/>
                <w:sz w:val="20"/>
                <w:szCs w:val="20"/>
              </w:rPr>
            </w:pPr>
          </w:p>
          <w:p w14:paraId="388355B5" w14:textId="16CF3D12" w:rsidR="005E0361" w:rsidRPr="00154588" w:rsidRDefault="005E0361" w:rsidP="008C12B4">
            <w:pPr>
              <w:jc w:val="both"/>
              <w:rPr>
                <w:bCs/>
                <w:sz w:val="20"/>
                <w:szCs w:val="20"/>
              </w:rPr>
            </w:pPr>
            <w:r w:rsidRPr="00154588">
              <w:rPr>
                <w:bCs/>
                <w:sz w:val="20"/>
                <w:szCs w:val="20"/>
              </w:rPr>
              <w:t>(ii) altor grupuri de rezoluție;</w:t>
            </w:r>
          </w:p>
          <w:p w14:paraId="217BC790" w14:textId="77777777" w:rsidR="005E0361" w:rsidRPr="00154588" w:rsidRDefault="005E0361" w:rsidP="008C12B4">
            <w:pPr>
              <w:jc w:val="both"/>
              <w:rPr>
                <w:bCs/>
                <w:sz w:val="20"/>
                <w:szCs w:val="20"/>
              </w:rPr>
            </w:pPr>
          </w:p>
          <w:p w14:paraId="2BD57037" w14:textId="77777777" w:rsidR="005E0361" w:rsidRPr="00154588" w:rsidRDefault="005E0361" w:rsidP="008C12B4">
            <w:pPr>
              <w:jc w:val="both"/>
              <w:rPr>
                <w:bCs/>
                <w:sz w:val="20"/>
                <w:szCs w:val="20"/>
              </w:rPr>
            </w:pPr>
            <w:r w:rsidRPr="00154588">
              <w:rPr>
                <w:bCs/>
                <w:sz w:val="20"/>
                <w:szCs w:val="20"/>
              </w:rPr>
              <w:t>(b) examinează în ce măsură instrumentele de rezoluție ar putea fi aplicate și competențele de rezoluție exercitate, în ceea ce privește entitățile de rezoluție stabilite în Uniune în mod coordonat, inclusiv măsurile care vizează facilitarea achiziționării, de către un terț din grup în ansamblul său, a unor linii de activitate separate sau a unor activități desfășurate de mai multe entități din grup, sau în cazul anumitor entități din grup sau al anumitor grupuri de rezoluție și identifică eventualele obstacole din calea unei rezoluții coordonate;</w:t>
            </w:r>
          </w:p>
          <w:p w14:paraId="3926BF61" w14:textId="7D8BBCCF" w:rsidR="005E0361" w:rsidRPr="00154588" w:rsidRDefault="005E0361" w:rsidP="008C12B4">
            <w:pPr>
              <w:jc w:val="both"/>
              <w:rPr>
                <w:bCs/>
                <w:sz w:val="20"/>
                <w:szCs w:val="20"/>
              </w:rPr>
            </w:pPr>
          </w:p>
          <w:p w14:paraId="7A799A2D" w14:textId="70D5A4E7" w:rsidR="005E0361" w:rsidRPr="00154588" w:rsidRDefault="005E0361" w:rsidP="008C12B4">
            <w:pPr>
              <w:jc w:val="both"/>
              <w:rPr>
                <w:bCs/>
                <w:sz w:val="20"/>
                <w:szCs w:val="20"/>
              </w:rPr>
            </w:pPr>
            <w:r w:rsidRPr="00154588">
              <w:rPr>
                <w:bCs/>
                <w:sz w:val="20"/>
                <w:szCs w:val="20"/>
              </w:rPr>
              <w:t>(c) în cazul grupurilor care conțin entități constituite în țări terțe, identifică modalitățile adecvate de cooperare și de coordonare cu autoritățile relevante ale respectivelor țări terțe și implicațiile pentru rezoluția în cadrul Uniunii.</w:t>
            </w:r>
          </w:p>
          <w:p w14:paraId="261CA251" w14:textId="77777777" w:rsidR="005E0361" w:rsidRPr="00154588" w:rsidRDefault="005E0361" w:rsidP="008C12B4">
            <w:pPr>
              <w:jc w:val="both"/>
              <w:rPr>
                <w:bCs/>
                <w:sz w:val="20"/>
                <w:szCs w:val="20"/>
              </w:rPr>
            </w:pPr>
          </w:p>
          <w:p w14:paraId="6F7E0823" w14:textId="77777777" w:rsidR="005E0361" w:rsidRPr="00154588" w:rsidRDefault="005E0361" w:rsidP="008C12B4">
            <w:pPr>
              <w:jc w:val="both"/>
              <w:rPr>
                <w:bCs/>
                <w:sz w:val="20"/>
                <w:szCs w:val="20"/>
              </w:rPr>
            </w:pPr>
          </w:p>
          <w:p w14:paraId="38537BA7" w14:textId="77777777" w:rsidR="005E0361" w:rsidRPr="00154588" w:rsidRDefault="005E0361" w:rsidP="008C12B4">
            <w:pPr>
              <w:jc w:val="both"/>
              <w:rPr>
                <w:bCs/>
                <w:sz w:val="20"/>
                <w:szCs w:val="20"/>
              </w:rPr>
            </w:pPr>
            <w:r w:rsidRPr="00154588">
              <w:rPr>
                <w:bCs/>
                <w:sz w:val="20"/>
                <w:szCs w:val="20"/>
              </w:rPr>
              <w:t xml:space="preserve">(d) identifică măsurile necesare, inclusiv separarea din punct de vedere juridic și economic a anumitor funcții sau </w:t>
            </w:r>
            <w:r w:rsidRPr="00154588">
              <w:rPr>
                <w:bCs/>
                <w:sz w:val="20"/>
                <w:szCs w:val="20"/>
              </w:rPr>
              <w:lastRenderedPageBreak/>
              <w:t>liniile de activitate, pentru a facilita rezoluția grupului, atunci când sunt îndeplinite condițiile de declanșare a procedurii de rezoluție;</w:t>
            </w:r>
          </w:p>
          <w:p w14:paraId="33754E54" w14:textId="77777777" w:rsidR="005E0361" w:rsidRPr="00154588" w:rsidRDefault="005E0361" w:rsidP="008C12B4">
            <w:pPr>
              <w:jc w:val="both"/>
              <w:rPr>
                <w:bCs/>
                <w:sz w:val="20"/>
                <w:szCs w:val="20"/>
              </w:rPr>
            </w:pPr>
          </w:p>
          <w:p w14:paraId="2D4AE1B1" w14:textId="77777777" w:rsidR="005E0361" w:rsidRPr="00154588" w:rsidRDefault="005E0361" w:rsidP="008C12B4">
            <w:pPr>
              <w:jc w:val="both"/>
              <w:rPr>
                <w:bCs/>
                <w:sz w:val="20"/>
                <w:szCs w:val="20"/>
              </w:rPr>
            </w:pPr>
            <w:r w:rsidRPr="00154588">
              <w:rPr>
                <w:bCs/>
                <w:sz w:val="20"/>
                <w:szCs w:val="20"/>
              </w:rPr>
              <w:t>(e) stabilește măsuri suplimentare, care nu sunt prevăzute în prezenta directivă, pe care autoritățile de rezoluție relevante intenționează să le ia în cazul entităților din cadrul fiecărui grup de rezoluție;</w:t>
            </w:r>
          </w:p>
          <w:p w14:paraId="07768088" w14:textId="77777777" w:rsidR="005E0361" w:rsidRPr="00154588" w:rsidRDefault="005E0361" w:rsidP="008C12B4">
            <w:pPr>
              <w:jc w:val="both"/>
              <w:rPr>
                <w:bCs/>
                <w:sz w:val="20"/>
                <w:szCs w:val="20"/>
              </w:rPr>
            </w:pPr>
          </w:p>
          <w:p w14:paraId="4D239CCB" w14:textId="12A73341" w:rsidR="005E0361" w:rsidRPr="00154588" w:rsidRDefault="005E0361" w:rsidP="008C12B4">
            <w:pPr>
              <w:jc w:val="both"/>
              <w:rPr>
                <w:bCs/>
                <w:sz w:val="20"/>
                <w:szCs w:val="20"/>
              </w:rPr>
            </w:pPr>
            <w:r w:rsidRPr="00154588">
              <w:rPr>
                <w:bCs/>
                <w:sz w:val="20"/>
                <w:szCs w:val="20"/>
              </w:rPr>
              <w:t>(f) identifică modul în care ar putea fi finanțate măsurile de rezoluție a grupului și în cazul în care ar fi necesare mecanisme de finanțare, definește principii de partajare a responsabilității pentru respectiva finanțare între surse de finanțare din diferite state membre. Planul nu trebuie să se bazeze pe niciuna dintre următoarele:</w:t>
            </w:r>
          </w:p>
          <w:p w14:paraId="6A42F614" w14:textId="77777777" w:rsidR="005E0361" w:rsidRPr="00154588" w:rsidRDefault="005E0361" w:rsidP="008C12B4">
            <w:pPr>
              <w:jc w:val="both"/>
              <w:rPr>
                <w:bCs/>
                <w:sz w:val="20"/>
                <w:szCs w:val="20"/>
              </w:rPr>
            </w:pPr>
          </w:p>
          <w:p w14:paraId="25E75168" w14:textId="77777777" w:rsidR="005E0361" w:rsidRPr="00154588" w:rsidRDefault="005E0361" w:rsidP="008C12B4">
            <w:pPr>
              <w:jc w:val="both"/>
              <w:rPr>
                <w:bCs/>
                <w:sz w:val="20"/>
                <w:szCs w:val="20"/>
              </w:rPr>
            </w:pPr>
            <w:r w:rsidRPr="00154588">
              <w:rPr>
                <w:bCs/>
                <w:sz w:val="20"/>
                <w:szCs w:val="20"/>
              </w:rPr>
              <w:t xml:space="preserve">(i) </w:t>
            </w:r>
          </w:p>
          <w:p w14:paraId="362ACB17" w14:textId="77777777" w:rsidR="005E0361" w:rsidRPr="00154588" w:rsidRDefault="005E0361" w:rsidP="008C12B4">
            <w:pPr>
              <w:jc w:val="both"/>
              <w:rPr>
                <w:bCs/>
                <w:sz w:val="20"/>
                <w:szCs w:val="20"/>
              </w:rPr>
            </w:pPr>
            <w:r w:rsidRPr="00154588">
              <w:rPr>
                <w:bCs/>
                <w:sz w:val="20"/>
                <w:szCs w:val="20"/>
              </w:rPr>
              <w:t>orice fel de sprijin financiar public extraordinar, în afara utilizării mecanismelor de finanțare instituite în conformitate cu articolul 100;</w:t>
            </w:r>
          </w:p>
          <w:p w14:paraId="22BDEFB3" w14:textId="77777777" w:rsidR="005E0361" w:rsidRPr="00154588" w:rsidRDefault="005E0361" w:rsidP="008C12B4">
            <w:pPr>
              <w:jc w:val="both"/>
              <w:rPr>
                <w:bCs/>
                <w:sz w:val="20"/>
                <w:szCs w:val="20"/>
              </w:rPr>
            </w:pPr>
          </w:p>
          <w:p w14:paraId="28AB7343" w14:textId="02EE7FBD" w:rsidR="005E0361" w:rsidRPr="00154588" w:rsidRDefault="005E0361" w:rsidP="008C12B4">
            <w:pPr>
              <w:jc w:val="both"/>
              <w:rPr>
                <w:bCs/>
                <w:sz w:val="20"/>
                <w:szCs w:val="20"/>
              </w:rPr>
            </w:pPr>
            <w:r w:rsidRPr="00154588">
              <w:rPr>
                <w:bCs/>
                <w:sz w:val="20"/>
                <w:szCs w:val="20"/>
              </w:rPr>
              <w:t>(ii) orice asistență privind lichiditatea în situații de urgență din partea băncii centrale; sau</w:t>
            </w:r>
          </w:p>
          <w:p w14:paraId="5471894F" w14:textId="77777777" w:rsidR="005E0361" w:rsidRPr="00154588" w:rsidRDefault="005E0361" w:rsidP="008C12B4">
            <w:pPr>
              <w:jc w:val="both"/>
              <w:rPr>
                <w:bCs/>
                <w:sz w:val="20"/>
                <w:szCs w:val="20"/>
              </w:rPr>
            </w:pPr>
          </w:p>
          <w:p w14:paraId="7773F369" w14:textId="370314E1" w:rsidR="005E0361" w:rsidRPr="00154588" w:rsidRDefault="005E0361" w:rsidP="008C12B4">
            <w:pPr>
              <w:jc w:val="both"/>
              <w:rPr>
                <w:bCs/>
                <w:sz w:val="20"/>
                <w:szCs w:val="20"/>
              </w:rPr>
            </w:pPr>
            <w:r w:rsidRPr="00154588">
              <w:rPr>
                <w:bCs/>
                <w:sz w:val="20"/>
                <w:szCs w:val="20"/>
              </w:rPr>
              <w:t>(iii) orice asistență privind lichiditatea din partea băncii centrale funizată cu garanții, rate ale dobânzilor sau durate non-standard.</w:t>
            </w:r>
          </w:p>
          <w:p w14:paraId="364DE7D9" w14:textId="77777777" w:rsidR="005E0361" w:rsidRPr="00154588" w:rsidRDefault="005E0361" w:rsidP="008C12B4">
            <w:pPr>
              <w:jc w:val="both"/>
              <w:rPr>
                <w:bCs/>
                <w:sz w:val="20"/>
                <w:szCs w:val="20"/>
              </w:rPr>
            </w:pPr>
          </w:p>
          <w:p w14:paraId="5EC08823" w14:textId="65C44E77" w:rsidR="005E0361" w:rsidRPr="00154588" w:rsidRDefault="005E0361" w:rsidP="008C12B4">
            <w:pPr>
              <w:jc w:val="both"/>
              <w:rPr>
                <w:bCs/>
                <w:sz w:val="20"/>
                <w:szCs w:val="20"/>
              </w:rPr>
            </w:pPr>
            <w:r w:rsidRPr="00154588">
              <w:rPr>
                <w:bCs/>
                <w:sz w:val="20"/>
                <w:szCs w:val="20"/>
              </w:rPr>
              <w:t>Principiile respective sunt definite pe baza unor criterii echitabile și echilibrate și iau în considerare în special articolul 107 alineatul (5) și impactul asupra stabilității financiare în toate statele membre vizate.</w:t>
            </w:r>
          </w:p>
        </w:tc>
        <w:tc>
          <w:tcPr>
            <w:tcW w:w="4819" w:type="dxa"/>
          </w:tcPr>
          <w:p w14:paraId="267293FF" w14:textId="77777777" w:rsidR="005E0361" w:rsidRPr="00154588" w:rsidRDefault="005E0361" w:rsidP="008C12B4">
            <w:pPr>
              <w:ind w:firstLine="708"/>
              <w:jc w:val="both"/>
              <w:rPr>
                <w:rFonts w:eastAsia="Calibri"/>
                <w:sz w:val="20"/>
                <w:szCs w:val="20"/>
              </w:rPr>
            </w:pPr>
            <w:r w:rsidRPr="00154588">
              <w:rPr>
                <w:rFonts w:eastAsia="Calibri"/>
                <w:b/>
                <w:sz w:val="20"/>
                <w:szCs w:val="20"/>
              </w:rPr>
              <w:lastRenderedPageBreak/>
              <w:t>Articolul 31</w:t>
            </w:r>
            <w:r w:rsidRPr="00154588">
              <w:rPr>
                <w:rFonts w:eastAsia="Calibri"/>
                <w:b/>
                <w:sz w:val="20"/>
                <w:szCs w:val="20"/>
                <w:vertAlign w:val="superscript"/>
              </w:rPr>
              <w:t>3</w:t>
            </w:r>
            <w:r w:rsidRPr="00154588">
              <w:rPr>
                <w:rFonts w:eastAsia="Calibri"/>
                <w:b/>
                <w:sz w:val="20"/>
                <w:szCs w:val="20"/>
              </w:rPr>
              <w:t>.</w:t>
            </w:r>
            <w:r w:rsidRPr="00154588">
              <w:rPr>
                <w:rFonts w:eastAsia="Calibri"/>
                <w:sz w:val="20"/>
                <w:szCs w:val="20"/>
              </w:rPr>
              <w:t xml:space="preserve"> – (1) Planul de rezoluție la nivel de grup trebuie să:</w:t>
            </w:r>
          </w:p>
          <w:p w14:paraId="14A46D84" w14:textId="77777777" w:rsidR="005E0361" w:rsidRPr="00154588" w:rsidRDefault="005E0361" w:rsidP="008C12B4">
            <w:pPr>
              <w:ind w:firstLine="708"/>
              <w:jc w:val="both"/>
              <w:rPr>
                <w:rFonts w:eastAsia="Calibri"/>
                <w:sz w:val="20"/>
                <w:szCs w:val="20"/>
              </w:rPr>
            </w:pPr>
            <w:r w:rsidRPr="00154588">
              <w:rPr>
                <w:rFonts w:eastAsia="Calibri"/>
                <w:sz w:val="20"/>
                <w:szCs w:val="20"/>
              </w:rPr>
              <w:t>a) stabilească acțiunilor de rezoluție care urmează a fi întreprinse în cazul entităților de rezoluție, potrivit scenariilor prevăzute la art. 25, și implicațiile acestor acțiuni de rezoluție asupra altor entități din grup prevăzute la art.1 alin.(1) lit.b), c) și d), întreprinderii-mamă și instituțiilor-filiale;</w:t>
            </w:r>
          </w:p>
          <w:p w14:paraId="030A1D33" w14:textId="77777777" w:rsidR="005E0361" w:rsidRPr="00154588" w:rsidRDefault="005E0361" w:rsidP="008C12B4">
            <w:pPr>
              <w:ind w:firstLine="708"/>
              <w:jc w:val="both"/>
              <w:rPr>
                <w:rFonts w:eastAsia="Calibri"/>
                <w:kern w:val="2"/>
                <w:sz w:val="20"/>
                <w:szCs w:val="20"/>
                <w14:ligatures w14:val="standardContextual"/>
              </w:rPr>
            </w:pPr>
            <w:r w:rsidRPr="00154588">
              <w:rPr>
                <w:rFonts w:eastAsia="Calibri"/>
                <w:sz w:val="20"/>
                <w:szCs w:val="20"/>
              </w:rPr>
              <w:t>b) în cazul în care un grup este format din mai multe grupuri de rezoluţie, să stabilească acțiunile de rezoluție care urmează a fi luate în cazul entităților de rezoluție din cadrul fiecărui grup de rezoluție și efectele acestor acțiuni:</w:t>
            </w:r>
          </w:p>
          <w:p w14:paraId="360EE281" w14:textId="77777777" w:rsidR="005E0361" w:rsidRPr="00154588" w:rsidRDefault="005E0361" w:rsidP="008C12B4">
            <w:pPr>
              <w:ind w:firstLine="708"/>
              <w:jc w:val="both"/>
              <w:rPr>
                <w:rFonts w:eastAsia="Calibri"/>
                <w:sz w:val="20"/>
                <w:szCs w:val="20"/>
              </w:rPr>
            </w:pPr>
            <w:r w:rsidRPr="00154588">
              <w:rPr>
                <w:rFonts w:eastAsia="Calibri"/>
                <w:sz w:val="20"/>
                <w:szCs w:val="20"/>
              </w:rPr>
              <w:t>(i) atât asupra altor entități din grup care fac parte din același grup de rezoluție;</w:t>
            </w:r>
          </w:p>
          <w:p w14:paraId="74143273" w14:textId="77777777" w:rsidR="005E0361" w:rsidRPr="00154588" w:rsidRDefault="005E0361" w:rsidP="008C12B4">
            <w:pPr>
              <w:ind w:firstLine="708"/>
              <w:jc w:val="both"/>
              <w:rPr>
                <w:rFonts w:eastAsia="Calibri"/>
                <w:kern w:val="2"/>
                <w:sz w:val="20"/>
                <w:szCs w:val="20"/>
                <w14:ligatures w14:val="standardContextual"/>
              </w:rPr>
            </w:pPr>
            <w:r w:rsidRPr="00154588">
              <w:rPr>
                <w:rFonts w:eastAsia="Calibri"/>
                <w:sz w:val="20"/>
                <w:szCs w:val="20"/>
              </w:rPr>
              <w:t>(ii) cât și asupra altor grupuri de rezoluție;</w:t>
            </w:r>
          </w:p>
          <w:p w14:paraId="45E0507A" w14:textId="77777777" w:rsidR="005E0361" w:rsidRPr="00154588" w:rsidRDefault="005E0361" w:rsidP="008C12B4">
            <w:pPr>
              <w:ind w:firstLine="708"/>
              <w:jc w:val="both"/>
              <w:rPr>
                <w:rFonts w:eastAsia="Calibri"/>
                <w:sz w:val="20"/>
                <w:szCs w:val="20"/>
              </w:rPr>
            </w:pPr>
            <w:r w:rsidRPr="00154588">
              <w:rPr>
                <w:rFonts w:eastAsia="Calibri"/>
                <w:sz w:val="20"/>
                <w:szCs w:val="20"/>
              </w:rPr>
              <w:t>c) examineze măsura în care instrumentele și competențele de rezoluție pot fi aplicate, respectiv exercitate, în mod coordonat, în cazul entităților de rezoluție stabilite în Uniunea Europeană, inclusiv măsurile vizând facilitarea achiziționării de către o parte terță a grupului ca întreg, a unor linii de activitate separate sau a unor activități realizate de mai multe entități din grup, de unele dintre acestea sau de anumite grupuri de rezoluție, și identificarea eventualelor obstacole din calea unei rezoluții coordonate;</w:t>
            </w:r>
          </w:p>
          <w:p w14:paraId="497C24F9" w14:textId="77777777" w:rsidR="005E0361" w:rsidRPr="00154588" w:rsidRDefault="005E0361" w:rsidP="008C12B4">
            <w:pPr>
              <w:ind w:firstLine="708"/>
              <w:jc w:val="both"/>
              <w:rPr>
                <w:rFonts w:eastAsia="Calibri"/>
                <w:sz w:val="20"/>
                <w:szCs w:val="20"/>
              </w:rPr>
            </w:pPr>
            <w:r w:rsidRPr="00154588">
              <w:rPr>
                <w:rFonts w:eastAsia="Calibri"/>
                <w:sz w:val="20"/>
                <w:szCs w:val="20"/>
              </w:rPr>
              <w:t>d) identifice, în cazul în care grupul include entități constituite în state terțe, modalitățile adecvate de cooperare și de coordonare cu autoritățile relevante ale respectivelor state terțe și implicațiile pentru rezoluția la nivelul Uniunii Europene;</w:t>
            </w:r>
          </w:p>
          <w:p w14:paraId="3AA33754" w14:textId="77777777" w:rsidR="005E0361" w:rsidRPr="00154588" w:rsidRDefault="005E0361" w:rsidP="008C12B4">
            <w:pPr>
              <w:ind w:firstLine="708"/>
              <w:jc w:val="both"/>
              <w:rPr>
                <w:rFonts w:eastAsia="Calibri"/>
                <w:sz w:val="20"/>
                <w:szCs w:val="20"/>
              </w:rPr>
            </w:pPr>
            <w:r w:rsidRPr="00154588">
              <w:rPr>
                <w:rFonts w:eastAsia="Calibri"/>
                <w:sz w:val="20"/>
                <w:szCs w:val="20"/>
              </w:rPr>
              <w:t>e) identifice măsurile necesare, inclusiv separarea din punct de vedere juridic și economic a anumitor funcții sau linii de activitate, pentru a facilita rezoluția grupului, în situațiile în care sunt îndeplinite condițiile de declanșare a procedurii de rezoluție;</w:t>
            </w:r>
          </w:p>
          <w:p w14:paraId="228E6750" w14:textId="28D6905D" w:rsidR="005E0361" w:rsidRPr="00154588" w:rsidRDefault="005E0361" w:rsidP="008C12B4">
            <w:pPr>
              <w:ind w:firstLine="708"/>
              <w:jc w:val="both"/>
              <w:rPr>
                <w:rFonts w:eastAsia="Calibri"/>
                <w:sz w:val="20"/>
                <w:szCs w:val="20"/>
              </w:rPr>
            </w:pPr>
            <w:r w:rsidRPr="00154588">
              <w:rPr>
                <w:rFonts w:eastAsia="Calibri"/>
                <w:sz w:val="20"/>
                <w:szCs w:val="20"/>
              </w:rPr>
              <w:t xml:space="preserve">f) stabilească orice acțiuni suplimentare, care nu sunt prevăzute în prezenta lege și pe care Banca Națională </w:t>
            </w:r>
            <w:r w:rsidRPr="00154588">
              <w:rPr>
                <w:rFonts w:eastAsia="Calibri"/>
                <w:sz w:val="20"/>
                <w:szCs w:val="20"/>
              </w:rPr>
              <w:lastRenderedPageBreak/>
              <w:t>a Moldovei, în calitate de autoritate de rezoluție la nivel de grup de rezoluție, intenționează să le aplice entităților care fac parte din acel grup de rezoluție.</w:t>
            </w:r>
          </w:p>
          <w:p w14:paraId="4C1E1AB7" w14:textId="77777777" w:rsidR="005E0361" w:rsidRPr="00154588" w:rsidRDefault="005E0361" w:rsidP="008C12B4">
            <w:pPr>
              <w:ind w:firstLine="708"/>
              <w:jc w:val="both"/>
              <w:rPr>
                <w:rFonts w:eastAsia="Calibri"/>
                <w:sz w:val="20"/>
                <w:szCs w:val="20"/>
              </w:rPr>
            </w:pPr>
            <w:r w:rsidRPr="00154588">
              <w:rPr>
                <w:rFonts w:eastAsia="Calibri"/>
                <w:sz w:val="20"/>
                <w:szCs w:val="20"/>
              </w:rPr>
              <w:t>g) identifice modul în care ar putea fi finanțate acțiunile de rezoluție a grupului și, în cazurile în care este necesară utilizarea mecanismelor de finanțare, să definească principiile de partajare a responsabilității pentru respectiva finanțare între sursele de finanțare din diferite state membre.</w:t>
            </w:r>
          </w:p>
          <w:p w14:paraId="39F3B03A" w14:textId="4C87C5CA" w:rsidR="005E0361" w:rsidRPr="00154588" w:rsidRDefault="00030EDE" w:rsidP="008C12B4">
            <w:pPr>
              <w:ind w:firstLine="708"/>
              <w:jc w:val="both"/>
              <w:rPr>
                <w:rFonts w:eastAsia="Calibri"/>
                <w:sz w:val="20"/>
                <w:szCs w:val="20"/>
              </w:rPr>
            </w:pPr>
            <w:r w:rsidRPr="00154588">
              <w:rPr>
                <w:rFonts w:eastAsia="Calibri"/>
                <w:sz w:val="20"/>
                <w:szCs w:val="20"/>
              </w:rPr>
              <w:t>(1)</w:t>
            </w:r>
            <w:r w:rsidR="005E0361" w:rsidRPr="00154588">
              <w:rPr>
                <w:rFonts w:eastAsia="Calibri"/>
                <w:sz w:val="20"/>
                <w:szCs w:val="20"/>
              </w:rPr>
              <w:t xml:space="preserve">Planul </w:t>
            </w:r>
            <w:r w:rsidRPr="00154588">
              <w:rPr>
                <w:rFonts w:eastAsia="Calibri"/>
                <w:sz w:val="20"/>
                <w:szCs w:val="20"/>
              </w:rPr>
              <w:t xml:space="preserve">prevăzut la alin. (1) </w:t>
            </w:r>
            <w:r w:rsidR="005E0361" w:rsidRPr="00154588">
              <w:rPr>
                <w:rFonts w:eastAsia="Calibri"/>
                <w:sz w:val="20"/>
                <w:szCs w:val="20"/>
              </w:rPr>
              <w:t>nu trebuie să se bazeze pe:</w:t>
            </w:r>
          </w:p>
          <w:p w14:paraId="54BC816D" w14:textId="77777777" w:rsidR="005E0361" w:rsidRPr="00154588" w:rsidRDefault="005E0361" w:rsidP="008C12B4">
            <w:pPr>
              <w:ind w:firstLine="708"/>
              <w:jc w:val="both"/>
              <w:rPr>
                <w:rFonts w:eastAsia="Calibri"/>
                <w:kern w:val="2"/>
                <w:sz w:val="20"/>
                <w:szCs w:val="20"/>
                <w14:ligatures w14:val="standardContextual"/>
              </w:rPr>
            </w:pPr>
            <w:r w:rsidRPr="00154588">
              <w:rPr>
                <w:rFonts w:eastAsia="Calibri"/>
                <w:sz w:val="20"/>
                <w:szCs w:val="20"/>
              </w:rPr>
              <w:t>i) sprijin financiar public extraordinar, în afara utilizării mecanismelor de finanțare instituite conform art.296-300; și</w:t>
            </w:r>
          </w:p>
          <w:p w14:paraId="5EBE2310" w14:textId="77777777" w:rsidR="005E0361" w:rsidRPr="00154588" w:rsidRDefault="005E0361" w:rsidP="008C12B4">
            <w:pPr>
              <w:ind w:firstLine="708"/>
              <w:jc w:val="both"/>
              <w:rPr>
                <w:rFonts w:eastAsia="Calibri"/>
                <w:sz w:val="20"/>
                <w:szCs w:val="20"/>
              </w:rPr>
            </w:pPr>
            <w:r w:rsidRPr="00154588">
              <w:rPr>
                <w:rFonts w:eastAsia="Calibri"/>
                <w:sz w:val="20"/>
                <w:szCs w:val="20"/>
              </w:rPr>
              <w:t>ii) asistență de lichiditate în situații de urgență din partea băncii centrale; sau</w:t>
            </w:r>
          </w:p>
          <w:p w14:paraId="3F540F4E" w14:textId="77777777" w:rsidR="005E0361" w:rsidRPr="00154588" w:rsidRDefault="005E0361" w:rsidP="008C12B4">
            <w:pPr>
              <w:ind w:firstLine="708"/>
              <w:jc w:val="both"/>
              <w:rPr>
                <w:rFonts w:eastAsia="Calibri"/>
                <w:sz w:val="20"/>
                <w:szCs w:val="20"/>
              </w:rPr>
            </w:pPr>
            <w:r w:rsidRPr="00154588">
              <w:rPr>
                <w:rFonts w:eastAsia="Calibri"/>
                <w:sz w:val="20"/>
                <w:szCs w:val="20"/>
              </w:rPr>
              <w:t>iii) asistență de lichiditate din partea băncii centrale oferită cu garanții, rate ale dobânzilor sau durate non-standard.</w:t>
            </w:r>
          </w:p>
          <w:p w14:paraId="16DBEBCB" w14:textId="4C5E9BD2" w:rsidR="005E0361" w:rsidRPr="00154588" w:rsidRDefault="005E0361" w:rsidP="008C12B4">
            <w:pPr>
              <w:ind w:firstLine="708"/>
              <w:jc w:val="both"/>
              <w:rPr>
                <w:rFonts w:eastAsia="Calibri"/>
                <w:sz w:val="20"/>
                <w:szCs w:val="20"/>
              </w:rPr>
            </w:pPr>
            <w:r w:rsidRPr="00154588">
              <w:rPr>
                <w:rFonts w:eastAsia="Calibri"/>
                <w:sz w:val="20"/>
                <w:szCs w:val="20"/>
              </w:rPr>
              <w:t>(</w:t>
            </w:r>
            <w:r w:rsidR="00030EDE" w:rsidRPr="00154588">
              <w:rPr>
                <w:rFonts w:eastAsia="Calibri"/>
                <w:sz w:val="20"/>
                <w:szCs w:val="20"/>
              </w:rPr>
              <w:t>3</w:t>
            </w:r>
            <w:r w:rsidRPr="00154588">
              <w:rPr>
                <w:rFonts w:eastAsia="Calibri"/>
                <w:sz w:val="20"/>
                <w:szCs w:val="20"/>
              </w:rPr>
              <w:t>) Principiile pe baza cărora este elaborat planul au în vedere partajarea responsabilității pe baza unor criterii obiective și echilibrate, luând în considerare prevederile art.313</w:t>
            </w:r>
            <w:r w:rsidRPr="00154588">
              <w:rPr>
                <w:rFonts w:eastAsia="Calibri"/>
                <w:sz w:val="20"/>
                <w:szCs w:val="20"/>
                <w:vertAlign w:val="superscript"/>
              </w:rPr>
              <w:t>3</w:t>
            </w:r>
            <w:r w:rsidRPr="00154588">
              <w:rPr>
                <w:rFonts w:eastAsia="Calibri"/>
                <w:sz w:val="20"/>
                <w:szCs w:val="20"/>
              </w:rPr>
              <w:t xml:space="preserve"> alin.(6) și impactul asupra stabilității financiare în toate statele membre implicate.</w:t>
            </w:r>
          </w:p>
          <w:p w14:paraId="24E57615" w14:textId="77777777" w:rsidR="005E0361" w:rsidRPr="00154588" w:rsidRDefault="005E0361" w:rsidP="008C12B4">
            <w:pPr>
              <w:jc w:val="both"/>
              <w:rPr>
                <w:bCs/>
                <w:sz w:val="20"/>
                <w:szCs w:val="20"/>
              </w:rPr>
            </w:pPr>
          </w:p>
        </w:tc>
        <w:tc>
          <w:tcPr>
            <w:tcW w:w="2552" w:type="dxa"/>
          </w:tcPr>
          <w:p w14:paraId="38BCE587" w14:textId="1F12838C" w:rsidR="005E0361" w:rsidRPr="00154588" w:rsidRDefault="00F30E31" w:rsidP="008C12B4">
            <w:pPr>
              <w:jc w:val="both"/>
              <w:rPr>
                <w:bCs/>
                <w:sz w:val="20"/>
                <w:szCs w:val="20"/>
              </w:rPr>
            </w:pPr>
            <w:r w:rsidRPr="00154588">
              <w:rPr>
                <w:bCs/>
                <w:sz w:val="20"/>
                <w:szCs w:val="20"/>
              </w:rPr>
              <w:lastRenderedPageBreak/>
              <w:t>Compatibil</w:t>
            </w:r>
          </w:p>
        </w:tc>
        <w:tc>
          <w:tcPr>
            <w:tcW w:w="3118" w:type="dxa"/>
          </w:tcPr>
          <w:p w14:paraId="41BE38FF" w14:textId="77777777" w:rsidR="005E0361" w:rsidRPr="00154588" w:rsidRDefault="005E0361" w:rsidP="008C12B4">
            <w:pPr>
              <w:jc w:val="both"/>
              <w:rPr>
                <w:bCs/>
                <w:sz w:val="20"/>
                <w:szCs w:val="20"/>
              </w:rPr>
            </w:pPr>
          </w:p>
        </w:tc>
      </w:tr>
      <w:tr w:rsidR="005E0361" w:rsidRPr="00154588" w14:paraId="5ACE9CAE" w14:textId="77777777" w:rsidTr="00D15C1B">
        <w:trPr>
          <w:jc w:val="center"/>
        </w:trPr>
        <w:tc>
          <w:tcPr>
            <w:tcW w:w="4957" w:type="dxa"/>
            <w:gridSpan w:val="2"/>
          </w:tcPr>
          <w:p w14:paraId="25B3AD7A" w14:textId="08C46C58" w:rsidR="005E0361" w:rsidRPr="00154588" w:rsidRDefault="005E0361" w:rsidP="008C12B4">
            <w:pPr>
              <w:jc w:val="both"/>
              <w:rPr>
                <w:bCs/>
                <w:sz w:val="20"/>
                <w:szCs w:val="20"/>
              </w:rPr>
            </w:pPr>
            <w:r w:rsidRPr="00154588">
              <w:rPr>
                <w:bCs/>
                <w:sz w:val="20"/>
                <w:szCs w:val="20"/>
              </w:rPr>
              <w:t>(4) Evaluarea posibilităților de soluționare a grupului în temeiul articolului 16 se realizează concomitent cu elaborarea și actualizarea planului de rezoluție a grupului în conformitate cu prezentul articol. În planul de rezoluție a grupului se include o descriere detaliată a evaluării posibilităților de soluționare, efectuată în conformitate cu articolul 16.</w:t>
            </w:r>
          </w:p>
        </w:tc>
        <w:tc>
          <w:tcPr>
            <w:tcW w:w="4819" w:type="dxa"/>
          </w:tcPr>
          <w:p w14:paraId="669F180F" w14:textId="6D029451" w:rsidR="005E0361" w:rsidRPr="00154588" w:rsidRDefault="005E0361" w:rsidP="008C12B4">
            <w:pPr>
              <w:ind w:firstLine="708"/>
              <w:jc w:val="both"/>
              <w:rPr>
                <w:rFonts w:eastAsia="Calibri"/>
                <w:sz w:val="20"/>
                <w:szCs w:val="20"/>
              </w:rPr>
            </w:pPr>
            <w:r w:rsidRPr="00154588">
              <w:rPr>
                <w:rFonts w:eastAsia="Calibri"/>
                <w:b/>
                <w:sz w:val="20"/>
                <w:szCs w:val="20"/>
              </w:rPr>
              <w:t>Articolul 31</w:t>
            </w:r>
            <w:r w:rsidRPr="00154588">
              <w:rPr>
                <w:rFonts w:eastAsia="Calibri"/>
                <w:b/>
                <w:sz w:val="20"/>
                <w:szCs w:val="20"/>
                <w:vertAlign w:val="superscript"/>
              </w:rPr>
              <w:t>4</w:t>
            </w:r>
            <w:r w:rsidRPr="00154588">
              <w:rPr>
                <w:rFonts w:eastAsia="Calibri"/>
                <w:b/>
                <w:sz w:val="20"/>
                <w:szCs w:val="20"/>
              </w:rPr>
              <w:t>. –</w:t>
            </w:r>
            <w:r w:rsidRPr="00154588">
              <w:rPr>
                <w:rFonts w:eastAsia="Calibri"/>
                <w:sz w:val="20"/>
                <w:szCs w:val="20"/>
              </w:rPr>
              <w:t xml:space="preserve"> Evaluarea posibilității de soluționare a grupului potrivit art.34</w:t>
            </w:r>
            <w:r w:rsidRPr="00154588">
              <w:rPr>
                <w:rFonts w:eastAsia="Calibri"/>
                <w:sz w:val="20"/>
                <w:szCs w:val="20"/>
                <w:vertAlign w:val="superscript"/>
              </w:rPr>
              <w:t>3</w:t>
            </w:r>
            <w:r w:rsidRPr="00154588">
              <w:rPr>
                <w:rFonts w:eastAsia="Calibri"/>
                <w:sz w:val="20"/>
                <w:szCs w:val="20"/>
              </w:rPr>
              <w:t xml:space="preserve">  și art.34</w:t>
            </w:r>
            <w:r w:rsidRPr="00154588">
              <w:rPr>
                <w:rFonts w:eastAsia="Calibri"/>
                <w:sz w:val="20"/>
                <w:szCs w:val="20"/>
                <w:vertAlign w:val="superscript"/>
              </w:rPr>
              <w:t>4</w:t>
            </w:r>
            <w:r w:rsidRPr="00154588">
              <w:rPr>
                <w:rFonts w:eastAsia="Calibri"/>
                <w:sz w:val="20"/>
                <w:szCs w:val="20"/>
              </w:rPr>
              <w:t xml:space="preserve"> se realizează concomitent cu elaborarea și actualizarea planului de rezoluție a grupului conform art.31</w:t>
            </w:r>
            <w:r w:rsidRPr="00154588">
              <w:rPr>
                <w:rFonts w:eastAsia="Calibri"/>
                <w:sz w:val="20"/>
                <w:szCs w:val="20"/>
                <w:vertAlign w:val="superscript"/>
              </w:rPr>
              <w:t>1</w:t>
            </w:r>
            <w:r w:rsidRPr="00154588">
              <w:rPr>
                <w:rFonts w:eastAsia="Calibri"/>
                <w:sz w:val="20"/>
                <w:szCs w:val="20"/>
              </w:rPr>
              <w:t>-31</w:t>
            </w:r>
            <w:r w:rsidRPr="00154588">
              <w:rPr>
                <w:rFonts w:eastAsia="Calibri"/>
                <w:sz w:val="20"/>
                <w:szCs w:val="20"/>
                <w:vertAlign w:val="superscript"/>
              </w:rPr>
              <w:t>3</w:t>
            </w:r>
            <w:r w:rsidRPr="00154588">
              <w:rPr>
                <w:rFonts w:eastAsia="Calibri"/>
                <w:sz w:val="20"/>
                <w:szCs w:val="20"/>
              </w:rPr>
              <w:t xml:space="preserve"> și art.31</w:t>
            </w:r>
            <w:r w:rsidRPr="00154588">
              <w:rPr>
                <w:rFonts w:eastAsia="Calibri"/>
                <w:sz w:val="20"/>
                <w:szCs w:val="20"/>
                <w:vertAlign w:val="superscript"/>
              </w:rPr>
              <w:t>5</w:t>
            </w:r>
            <w:r w:rsidRPr="00154588">
              <w:rPr>
                <w:rFonts w:eastAsia="Calibri"/>
                <w:sz w:val="20"/>
                <w:szCs w:val="20"/>
              </w:rPr>
              <w:t>, incluzând în plan o descriere detaliată a evaluării realizate.</w:t>
            </w:r>
          </w:p>
        </w:tc>
        <w:tc>
          <w:tcPr>
            <w:tcW w:w="2552" w:type="dxa"/>
          </w:tcPr>
          <w:p w14:paraId="1EF13E47" w14:textId="244D42B7" w:rsidR="005E0361" w:rsidRPr="00154588" w:rsidRDefault="00F30E31" w:rsidP="008C12B4">
            <w:pPr>
              <w:jc w:val="both"/>
              <w:rPr>
                <w:bCs/>
                <w:sz w:val="20"/>
                <w:szCs w:val="20"/>
              </w:rPr>
            </w:pPr>
            <w:r w:rsidRPr="00154588">
              <w:rPr>
                <w:bCs/>
                <w:sz w:val="20"/>
                <w:szCs w:val="20"/>
              </w:rPr>
              <w:t>Compatibil</w:t>
            </w:r>
          </w:p>
        </w:tc>
        <w:tc>
          <w:tcPr>
            <w:tcW w:w="3118" w:type="dxa"/>
          </w:tcPr>
          <w:p w14:paraId="27EEF64C" w14:textId="77777777" w:rsidR="005E0361" w:rsidRPr="00154588" w:rsidRDefault="005E0361" w:rsidP="008C12B4">
            <w:pPr>
              <w:jc w:val="both"/>
              <w:rPr>
                <w:bCs/>
                <w:sz w:val="20"/>
                <w:szCs w:val="20"/>
              </w:rPr>
            </w:pPr>
          </w:p>
        </w:tc>
      </w:tr>
      <w:tr w:rsidR="005E0361" w:rsidRPr="00154588" w14:paraId="392CE7FB" w14:textId="77777777" w:rsidTr="00D15C1B">
        <w:trPr>
          <w:jc w:val="center"/>
        </w:trPr>
        <w:tc>
          <w:tcPr>
            <w:tcW w:w="4957" w:type="dxa"/>
            <w:gridSpan w:val="2"/>
          </w:tcPr>
          <w:p w14:paraId="5BFC4B17" w14:textId="1C2BE960" w:rsidR="005E0361" w:rsidRPr="00154588" w:rsidRDefault="005E0361" w:rsidP="008C12B4">
            <w:pPr>
              <w:jc w:val="both"/>
              <w:rPr>
                <w:bCs/>
                <w:sz w:val="20"/>
                <w:szCs w:val="20"/>
              </w:rPr>
            </w:pPr>
            <w:r w:rsidRPr="00154588">
              <w:rPr>
                <w:bCs/>
                <w:sz w:val="20"/>
                <w:szCs w:val="20"/>
              </w:rPr>
              <w:t>(5) Planul de rezoluție a grupului nu are un impact disproporționat asupra niciunui stat membru.</w:t>
            </w:r>
          </w:p>
        </w:tc>
        <w:tc>
          <w:tcPr>
            <w:tcW w:w="4819" w:type="dxa"/>
          </w:tcPr>
          <w:p w14:paraId="51277C03" w14:textId="3ABDA77B" w:rsidR="005E0361" w:rsidRPr="00154588" w:rsidRDefault="005E0361" w:rsidP="008C12B4">
            <w:pPr>
              <w:ind w:firstLine="708"/>
              <w:jc w:val="both"/>
              <w:rPr>
                <w:rFonts w:eastAsia="Calibri"/>
                <w:sz w:val="20"/>
                <w:szCs w:val="20"/>
              </w:rPr>
            </w:pPr>
            <w:r w:rsidRPr="00154588">
              <w:rPr>
                <w:rFonts w:eastAsia="Calibri"/>
                <w:b/>
                <w:sz w:val="20"/>
                <w:szCs w:val="20"/>
              </w:rPr>
              <w:t>Articolul 31</w:t>
            </w:r>
            <w:r w:rsidRPr="00154588">
              <w:rPr>
                <w:rFonts w:eastAsia="Calibri"/>
                <w:b/>
                <w:sz w:val="20"/>
                <w:szCs w:val="20"/>
                <w:vertAlign w:val="superscript"/>
              </w:rPr>
              <w:t>5</w:t>
            </w:r>
            <w:r w:rsidRPr="00154588">
              <w:rPr>
                <w:rFonts w:eastAsia="Calibri"/>
                <w:b/>
                <w:sz w:val="20"/>
                <w:szCs w:val="20"/>
              </w:rPr>
              <w:t>.</w:t>
            </w:r>
            <w:r w:rsidRPr="00154588">
              <w:rPr>
                <w:rFonts w:eastAsia="Calibri"/>
                <w:sz w:val="20"/>
                <w:szCs w:val="20"/>
              </w:rPr>
              <w:t xml:space="preserve"> – Planul de rezoluție a grupului nu trebuie să aibă un impact disproporționat asupra niciunui stat membru al Uniunii Europene în care operează grupul.</w:t>
            </w:r>
          </w:p>
        </w:tc>
        <w:tc>
          <w:tcPr>
            <w:tcW w:w="2552" w:type="dxa"/>
          </w:tcPr>
          <w:p w14:paraId="498C0322" w14:textId="43052A71" w:rsidR="005E0361" w:rsidRPr="00154588" w:rsidRDefault="00F30E31" w:rsidP="008C12B4">
            <w:pPr>
              <w:jc w:val="both"/>
              <w:rPr>
                <w:bCs/>
                <w:sz w:val="20"/>
                <w:szCs w:val="20"/>
              </w:rPr>
            </w:pPr>
            <w:r w:rsidRPr="00154588">
              <w:rPr>
                <w:bCs/>
                <w:sz w:val="20"/>
                <w:szCs w:val="20"/>
              </w:rPr>
              <w:t>Compatibil</w:t>
            </w:r>
          </w:p>
        </w:tc>
        <w:tc>
          <w:tcPr>
            <w:tcW w:w="3118" w:type="dxa"/>
          </w:tcPr>
          <w:p w14:paraId="1B611A94" w14:textId="77777777" w:rsidR="005E0361" w:rsidRPr="00154588" w:rsidRDefault="005E0361" w:rsidP="008C12B4">
            <w:pPr>
              <w:jc w:val="both"/>
              <w:rPr>
                <w:bCs/>
                <w:sz w:val="20"/>
                <w:szCs w:val="20"/>
              </w:rPr>
            </w:pPr>
          </w:p>
        </w:tc>
      </w:tr>
      <w:tr w:rsidR="005E0361" w:rsidRPr="00154588" w14:paraId="705A6292" w14:textId="77777777" w:rsidTr="00D15C1B">
        <w:trPr>
          <w:jc w:val="center"/>
        </w:trPr>
        <w:tc>
          <w:tcPr>
            <w:tcW w:w="4957" w:type="dxa"/>
            <w:gridSpan w:val="2"/>
          </w:tcPr>
          <w:p w14:paraId="699A0083" w14:textId="77777777" w:rsidR="005E0361" w:rsidRPr="00154588" w:rsidRDefault="005E0361" w:rsidP="008C12B4">
            <w:pPr>
              <w:jc w:val="both"/>
              <w:rPr>
                <w:bCs/>
                <w:sz w:val="20"/>
                <w:szCs w:val="20"/>
              </w:rPr>
            </w:pPr>
            <w:r w:rsidRPr="00154588">
              <w:rPr>
                <w:bCs/>
                <w:sz w:val="20"/>
                <w:szCs w:val="20"/>
              </w:rPr>
              <w:t xml:space="preserve">(6) ABE, după consultarea cu CERS, elaborează proiecte de standarde tehnice de reglementare, specificând conținutul </w:t>
            </w:r>
            <w:r w:rsidRPr="00154588">
              <w:rPr>
                <w:bCs/>
                <w:sz w:val="20"/>
                <w:szCs w:val="20"/>
              </w:rPr>
              <w:lastRenderedPageBreak/>
              <w:t>planului de rezoluție, ținând cont de diversitatea modelelor de afaceri ale grupurilor de pe piața internă.</w:t>
            </w:r>
          </w:p>
          <w:p w14:paraId="677455D5" w14:textId="77777777" w:rsidR="005E0361" w:rsidRPr="00154588" w:rsidRDefault="005E0361" w:rsidP="008C12B4">
            <w:pPr>
              <w:jc w:val="both"/>
              <w:rPr>
                <w:bCs/>
                <w:sz w:val="20"/>
                <w:szCs w:val="20"/>
              </w:rPr>
            </w:pPr>
          </w:p>
          <w:p w14:paraId="692EBBFF" w14:textId="77777777" w:rsidR="005E0361" w:rsidRPr="00154588" w:rsidRDefault="005E0361" w:rsidP="008C12B4">
            <w:pPr>
              <w:jc w:val="both"/>
              <w:rPr>
                <w:bCs/>
                <w:sz w:val="20"/>
                <w:szCs w:val="20"/>
              </w:rPr>
            </w:pPr>
          </w:p>
          <w:p w14:paraId="559DA925" w14:textId="77777777" w:rsidR="005E0361" w:rsidRPr="00154588" w:rsidRDefault="005E0361" w:rsidP="008C12B4">
            <w:pPr>
              <w:jc w:val="both"/>
              <w:rPr>
                <w:bCs/>
                <w:sz w:val="20"/>
                <w:szCs w:val="20"/>
              </w:rPr>
            </w:pPr>
            <w:r w:rsidRPr="00154588">
              <w:rPr>
                <w:bCs/>
                <w:sz w:val="20"/>
                <w:szCs w:val="20"/>
              </w:rPr>
              <w:t>ABE înaintează aceste proiecte de standarde tehnice de reglementare Comisiei până la 3 iulie 2015.</w:t>
            </w:r>
          </w:p>
          <w:p w14:paraId="1C6ED23A" w14:textId="77777777" w:rsidR="005E0361" w:rsidRPr="00154588" w:rsidRDefault="005E0361" w:rsidP="008C12B4">
            <w:pPr>
              <w:jc w:val="both"/>
              <w:rPr>
                <w:bCs/>
                <w:sz w:val="20"/>
                <w:szCs w:val="20"/>
              </w:rPr>
            </w:pPr>
          </w:p>
          <w:p w14:paraId="00D9E949" w14:textId="6283B01E" w:rsidR="005E0361" w:rsidRPr="00154588" w:rsidRDefault="005E0361" w:rsidP="008C12B4">
            <w:pPr>
              <w:jc w:val="both"/>
              <w:rPr>
                <w:bCs/>
                <w:sz w:val="20"/>
                <w:szCs w:val="20"/>
              </w:rPr>
            </w:pPr>
            <w:r w:rsidRPr="00154588">
              <w:rPr>
                <w:bCs/>
                <w:sz w:val="20"/>
                <w:szCs w:val="20"/>
              </w:rPr>
              <w:t>Se deleagă Comisiei competența de a adopta standardele tehnice de reglementare menționate la primul paragraf, în conformitate cu articolele 10-14 din Regulamentul (UE) nr. 1093/2010.</w:t>
            </w:r>
          </w:p>
        </w:tc>
        <w:tc>
          <w:tcPr>
            <w:tcW w:w="4819" w:type="dxa"/>
          </w:tcPr>
          <w:p w14:paraId="596B610C" w14:textId="16554796" w:rsidR="005E0361" w:rsidRPr="00154588" w:rsidRDefault="005E0361" w:rsidP="008C12B4">
            <w:pPr>
              <w:jc w:val="center"/>
              <w:rPr>
                <w:bCs/>
                <w:sz w:val="20"/>
                <w:szCs w:val="20"/>
              </w:rPr>
            </w:pPr>
            <w:r w:rsidRPr="00154588">
              <w:rPr>
                <w:bCs/>
                <w:sz w:val="20"/>
                <w:szCs w:val="20"/>
              </w:rPr>
              <w:lastRenderedPageBreak/>
              <w:t>-</w:t>
            </w:r>
          </w:p>
        </w:tc>
        <w:tc>
          <w:tcPr>
            <w:tcW w:w="2552" w:type="dxa"/>
          </w:tcPr>
          <w:p w14:paraId="7A7AA4B8" w14:textId="60A80EB2" w:rsidR="005E0361" w:rsidRPr="00154588" w:rsidRDefault="005E0361" w:rsidP="008C12B4">
            <w:pPr>
              <w:rPr>
                <w:bCs/>
                <w:sz w:val="20"/>
                <w:szCs w:val="20"/>
              </w:rPr>
            </w:pPr>
            <w:r w:rsidRPr="00154588">
              <w:rPr>
                <w:bCs/>
                <w:sz w:val="20"/>
                <w:szCs w:val="20"/>
              </w:rPr>
              <w:t>Norme UE neaplicabile</w:t>
            </w:r>
          </w:p>
        </w:tc>
        <w:tc>
          <w:tcPr>
            <w:tcW w:w="3118" w:type="dxa"/>
          </w:tcPr>
          <w:p w14:paraId="4E0E0EB2" w14:textId="2A48AE43" w:rsidR="005E0361" w:rsidRPr="00154588" w:rsidRDefault="005E0361" w:rsidP="008C12B4">
            <w:pPr>
              <w:jc w:val="center"/>
              <w:rPr>
                <w:bCs/>
                <w:sz w:val="20"/>
                <w:szCs w:val="20"/>
              </w:rPr>
            </w:pPr>
            <w:r w:rsidRPr="00154588">
              <w:rPr>
                <w:bCs/>
                <w:sz w:val="20"/>
                <w:szCs w:val="20"/>
                <w:lang w:val="ro-MD"/>
              </w:rPr>
              <w:t>Prevederi care se referă la atribuțiile de reglementare ale autorităților europene.</w:t>
            </w:r>
          </w:p>
        </w:tc>
      </w:tr>
      <w:tr w:rsidR="008B4AA1" w:rsidRPr="00154588" w14:paraId="1CA91414" w14:textId="77777777" w:rsidTr="00D15C1B">
        <w:trPr>
          <w:jc w:val="center"/>
        </w:trPr>
        <w:tc>
          <w:tcPr>
            <w:tcW w:w="4957" w:type="dxa"/>
            <w:gridSpan w:val="2"/>
          </w:tcPr>
          <w:p w14:paraId="2F60813B" w14:textId="77777777" w:rsidR="008B4AA1" w:rsidRPr="00154588" w:rsidRDefault="008B4AA1" w:rsidP="008C12B4">
            <w:pPr>
              <w:jc w:val="both"/>
              <w:rPr>
                <w:bCs/>
                <w:sz w:val="20"/>
                <w:szCs w:val="20"/>
              </w:rPr>
            </w:pPr>
            <w:r w:rsidRPr="00154588">
              <w:rPr>
                <w:bCs/>
                <w:sz w:val="20"/>
                <w:szCs w:val="20"/>
              </w:rPr>
              <w:t xml:space="preserve">(7) ABE monitorizează metodologiile și practicile pe care autoritățile de rezoluție le utilizează pentru a decide, atunci când elaborează planuri de rezoluție și planuri de rezoluție a grupurilor, dacă să supună o instituție sau o entitate rezoluției sau lichidării prin procedura obișnuită de insolvență, precum și pentru a decide cu privire la măsurile care urmează să fie luate în scenariile menționate la articolul 10 alineatul (3) și în circumstanțele descrise la articolul 32 alineatul (5). </w:t>
            </w:r>
          </w:p>
          <w:p w14:paraId="56AC273A" w14:textId="77777777" w:rsidR="008B4AA1" w:rsidRPr="00154588" w:rsidRDefault="008B4AA1" w:rsidP="008C12B4">
            <w:pPr>
              <w:jc w:val="both"/>
              <w:rPr>
                <w:bCs/>
                <w:sz w:val="20"/>
                <w:szCs w:val="20"/>
              </w:rPr>
            </w:pPr>
          </w:p>
          <w:p w14:paraId="4F0AD3D2" w14:textId="77777777" w:rsidR="008B4AA1" w:rsidRPr="00154588" w:rsidRDefault="008B4AA1" w:rsidP="008C12B4">
            <w:pPr>
              <w:jc w:val="both"/>
              <w:rPr>
                <w:bCs/>
                <w:sz w:val="20"/>
                <w:szCs w:val="20"/>
              </w:rPr>
            </w:pPr>
            <w:r w:rsidRPr="00154588">
              <w:rPr>
                <w:bCs/>
                <w:sz w:val="20"/>
                <w:szCs w:val="20"/>
              </w:rPr>
              <w:t xml:space="preserve">ABE transmite Comisiei un raport privind metodologiile și practicile existente ale autorităților de rezoluție și privind eventualele divergențe dintre statele membre până la 11 mai 2031. </w:t>
            </w:r>
          </w:p>
          <w:p w14:paraId="61245904" w14:textId="77777777" w:rsidR="008B4AA1" w:rsidRPr="00154588" w:rsidRDefault="008B4AA1" w:rsidP="008C12B4">
            <w:pPr>
              <w:jc w:val="both"/>
              <w:rPr>
                <w:bCs/>
                <w:sz w:val="20"/>
                <w:szCs w:val="20"/>
              </w:rPr>
            </w:pPr>
          </w:p>
          <w:p w14:paraId="62C48B34" w14:textId="77777777" w:rsidR="008B4AA1" w:rsidRPr="00154588" w:rsidRDefault="008B4AA1" w:rsidP="008C12B4">
            <w:pPr>
              <w:jc w:val="both"/>
              <w:rPr>
                <w:bCs/>
                <w:sz w:val="20"/>
                <w:szCs w:val="20"/>
              </w:rPr>
            </w:pPr>
            <w:r w:rsidRPr="00154588">
              <w:rPr>
                <w:bCs/>
                <w:sz w:val="20"/>
                <w:szCs w:val="20"/>
              </w:rPr>
              <w:t xml:space="preserve">Raportul menționat la al doilea paragraf cuprinde cel puțin următoarele elemente: </w:t>
            </w:r>
          </w:p>
          <w:p w14:paraId="0E8971FE" w14:textId="77777777" w:rsidR="008B4AA1" w:rsidRPr="00154588" w:rsidRDefault="008B4AA1" w:rsidP="008C12B4">
            <w:pPr>
              <w:jc w:val="both"/>
              <w:rPr>
                <w:bCs/>
                <w:sz w:val="20"/>
                <w:szCs w:val="20"/>
              </w:rPr>
            </w:pPr>
          </w:p>
          <w:p w14:paraId="213FE9D9" w14:textId="77777777" w:rsidR="008B4AA1" w:rsidRPr="00154588" w:rsidRDefault="008B4AA1" w:rsidP="008C12B4">
            <w:pPr>
              <w:jc w:val="both"/>
              <w:rPr>
                <w:bCs/>
                <w:sz w:val="20"/>
                <w:szCs w:val="20"/>
              </w:rPr>
            </w:pPr>
            <w:r w:rsidRPr="00154588">
              <w:rPr>
                <w:bCs/>
                <w:sz w:val="20"/>
                <w:szCs w:val="20"/>
              </w:rPr>
              <w:t xml:space="preserve">(a) în ceea ce privește instituțiile care nu fac parte dintr-un grup și entitățile menționate la alineatul (1) primul paragraf, abordările și metodologiile interne pentru selectarea măsurilor care urmează să fie luate, în special criteriile pe baza cărora planul de rezoluție sau planul de rezoluție a grupului prevede măsuri de rezoluție, pentru exercitarea competențelor de reducere a valorii contabile și de conversie sau pentru lichidarea prin procedura obișnuită de insolvență; </w:t>
            </w:r>
          </w:p>
          <w:p w14:paraId="0ABF24A1" w14:textId="77777777" w:rsidR="008B4AA1" w:rsidRPr="00154588" w:rsidRDefault="008B4AA1" w:rsidP="008C12B4">
            <w:pPr>
              <w:jc w:val="both"/>
              <w:rPr>
                <w:bCs/>
                <w:sz w:val="20"/>
                <w:szCs w:val="20"/>
              </w:rPr>
            </w:pPr>
          </w:p>
          <w:p w14:paraId="1B8A4638" w14:textId="77777777" w:rsidR="008B4AA1" w:rsidRPr="00154588" w:rsidRDefault="008B4AA1" w:rsidP="008C12B4">
            <w:pPr>
              <w:jc w:val="both"/>
              <w:rPr>
                <w:bCs/>
                <w:sz w:val="20"/>
                <w:szCs w:val="20"/>
              </w:rPr>
            </w:pPr>
            <w:r w:rsidRPr="00154588">
              <w:rPr>
                <w:bCs/>
                <w:sz w:val="20"/>
                <w:szCs w:val="20"/>
              </w:rPr>
              <w:t xml:space="preserve">(b) în ceea ce privește entitățile de rezoluție, abordările și metodologiile interne pentru alegerea strategiilor de rezoluție preferate și alternative și a măsurilor de rezoluție care urmează să fie luate; </w:t>
            </w:r>
          </w:p>
          <w:p w14:paraId="3EEA25E7" w14:textId="77777777" w:rsidR="008B4AA1" w:rsidRPr="00154588" w:rsidRDefault="008B4AA1" w:rsidP="008C12B4">
            <w:pPr>
              <w:jc w:val="both"/>
              <w:rPr>
                <w:bCs/>
                <w:sz w:val="20"/>
                <w:szCs w:val="20"/>
              </w:rPr>
            </w:pPr>
          </w:p>
          <w:p w14:paraId="469ED607" w14:textId="77777777" w:rsidR="008B4AA1" w:rsidRPr="00154588" w:rsidRDefault="008B4AA1" w:rsidP="008C12B4">
            <w:pPr>
              <w:jc w:val="both"/>
              <w:rPr>
                <w:bCs/>
                <w:sz w:val="20"/>
                <w:szCs w:val="20"/>
              </w:rPr>
            </w:pPr>
            <w:r w:rsidRPr="00154588">
              <w:rPr>
                <w:bCs/>
                <w:sz w:val="20"/>
                <w:szCs w:val="20"/>
              </w:rPr>
              <w:lastRenderedPageBreak/>
              <w:t>(c) abordările proporționale urmate de autoritățile de rezoluție în temeiul alineatului (1) al treilea paragraf.</w:t>
            </w:r>
          </w:p>
          <w:p w14:paraId="31AA91D5" w14:textId="48534E28" w:rsidR="008B4AA1" w:rsidRPr="00154588" w:rsidRDefault="008B4AA1" w:rsidP="008C12B4">
            <w:pPr>
              <w:jc w:val="both"/>
              <w:rPr>
                <w:bCs/>
                <w:sz w:val="20"/>
                <w:szCs w:val="20"/>
              </w:rPr>
            </w:pPr>
          </w:p>
        </w:tc>
        <w:tc>
          <w:tcPr>
            <w:tcW w:w="4819" w:type="dxa"/>
          </w:tcPr>
          <w:p w14:paraId="77A95F8F" w14:textId="77777777" w:rsidR="008B4AA1" w:rsidRPr="00154588" w:rsidRDefault="008B4AA1" w:rsidP="008C12B4">
            <w:pPr>
              <w:jc w:val="center"/>
              <w:rPr>
                <w:bCs/>
                <w:sz w:val="20"/>
                <w:szCs w:val="20"/>
              </w:rPr>
            </w:pPr>
          </w:p>
        </w:tc>
        <w:tc>
          <w:tcPr>
            <w:tcW w:w="2552" w:type="dxa"/>
          </w:tcPr>
          <w:p w14:paraId="37C3E038" w14:textId="4218AD29" w:rsidR="008B4AA1" w:rsidRPr="00154588" w:rsidRDefault="008B4AA1" w:rsidP="008C12B4">
            <w:pPr>
              <w:jc w:val="center"/>
              <w:rPr>
                <w:bCs/>
                <w:sz w:val="20"/>
                <w:szCs w:val="20"/>
              </w:rPr>
            </w:pPr>
            <w:r w:rsidRPr="00154588">
              <w:rPr>
                <w:bCs/>
                <w:sz w:val="20"/>
                <w:szCs w:val="20"/>
              </w:rPr>
              <w:t>Norme UE neaplicabile</w:t>
            </w:r>
          </w:p>
        </w:tc>
        <w:tc>
          <w:tcPr>
            <w:tcW w:w="3118" w:type="dxa"/>
          </w:tcPr>
          <w:p w14:paraId="707D9424" w14:textId="5C150275" w:rsidR="008B4AA1" w:rsidRPr="00154588" w:rsidRDefault="008B4AA1" w:rsidP="008C12B4">
            <w:pPr>
              <w:jc w:val="center"/>
              <w:rPr>
                <w:bCs/>
                <w:sz w:val="20"/>
                <w:szCs w:val="20"/>
                <w:lang w:val="ro-MD"/>
              </w:rPr>
            </w:pPr>
            <w:r w:rsidRPr="00154588">
              <w:rPr>
                <w:bCs/>
                <w:sz w:val="20"/>
                <w:szCs w:val="20"/>
                <w:lang w:val="ro-MD"/>
              </w:rPr>
              <w:t>Prevederi care se referă la atribuțiile de reglementare ale autorităților europene.</w:t>
            </w:r>
          </w:p>
        </w:tc>
      </w:tr>
      <w:tr w:rsidR="005E0361" w:rsidRPr="00154588" w14:paraId="2C9DD791" w14:textId="77777777" w:rsidTr="00D15C1B">
        <w:trPr>
          <w:jc w:val="center"/>
        </w:trPr>
        <w:tc>
          <w:tcPr>
            <w:tcW w:w="4957" w:type="dxa"/>
            <w:gridSpan w:val="2"/>
          </w:tcPr>
          <w:p w14:paraId="6FC321AD" w14:textId="77777777" w:rsidR="005E0361" w:rsidRPr="00154588" w:rsidRDefault="005E0361" w:rsidP="008C12B4">
            <w:pPr>
              <w:rPr>
                <w:b/>
                <w:sz w:val="20"/>
                <w:szCs w:val="20"/>
              </w:rPr>
            </w:pPr>
            <w:r w:rsidRPr="00154588">
              <w:rPr>
                <w:b/>
                <w:sz w:val="20"/>
                <w:szCs w:val="20"/>
              </w:rPr>
              <w:t>Articolul 13</w:t>
            </w:r>
          </w:p>
          <w:p w14:paraId="2BEFD4B2" w14:textId="77777777" w:rsidR="005E0361" w:rsidRPr="00154588" w:rsidRDefault="005E0361" w:rsidP="008C12B4">
            <w:pPr>
              <w:rPr>
                <w:b/>
                <w:sz w:val="20"/>
                <w:szCs w:val="20"/>
              </w:rPr>
            </w:pPr>
          </w:p>
          <w:p w14:paraId="113E0CDF" w14:textId="2ABF8B67" w:rsidR="005E0361" w:rsidRPr="00154588" w:rsidRDefault="005E0361" w:rsidP="008C12B4">
            <w:pPr>
              <w:rPr>
                <w:bCs/>
                <w:sz w:val="20"/>
                <w:szCs w:val="20"/>
              </w:rPr>
            </w:pPr>
            <w:r w:rsidRPr="00154588">
              <w:rPr>
                <w:b/>
                <w:sz w:val="20"/>
                <w:szCs w:val="20"/>
              </w:rPr>
              <w:t>Cerințe și proceduri pentru planurile de rezoluție a grupurilor</w:t>
            </w:r>
          </w:p>
        </w:tc>
        <w:tc>
          <w:tcPr>
            <w:tcW w:w="4819" w:type="dxa"/>
          </w:tcPr>
          <w:p w14:paraId="20917774" w14:textId="77777777" w:rsidR="005E0361" w:rsidRPr="00154588" w:rsidRDefault="005E0361" w:rsidP="008C12B4">
            <w:pPr>
              <w:jc w:val="both"/>
              <w:rPr>
                <w:bCs/>
                <w:sz w:val="20"/>
                <w:szCs w:val="20"/>
              </w:rPr>
            </w:pPr>
          </w:p>
        </w:tc>
        <w:tc>
          <w:tcPr>
            <w:tcW w:w="2552" w:type="dxa"/>
          </w:tcPr>
          <w:p w14:paraId="2FFEC402" w14:textId="77777777" w:rsidR="005E0361" w:rsidRPr="00154588" w:rsidRDefault="005E0361" w:rsidP="008C12B4">
            <w:pPr>
              <w:jc w:val="both"/>
              <w:rPr>
                <w:bCs/>
                <w:sz w:val="20"/>
                <w:szCs w:val="20"/>
              </w:rPr>
            </w:pPr>
          </w:p>
        </w:tc>
        <w:tc>
          <w:tcPr>
            <w:tcW w:w="3118" w:type="dxa"/>
          </w:tcPr>
          <w:p w14:paraId="5BB23C85" w14:textId="77777777" w:rsidR="005E0361" w:rsidRPr="00154588" w:rsidRDefault="005E0361" w:rsidP="008C12B4">
            <w:pPr>
              <w:jc w:val="both"/>
              <w:rPr>
                <w:bCs/>
                <w:sz w:val="20"/>
                <w:szCs w:val="20"/>
              </w:rPr>
            </w:pPr>
          </w:p>
        </w:tc>
      </w:tr>
      <w:tr w:rsidR="005E0361" w:rsidRPr="00154588" w14:paraId="4BCAC550" w14:textId="77777777" w:rsidTr="00D15C1B">
        <w:trPr>
          <w:jc w:val="center"/>
        </w:trPr>
        <w:tc>
          <w:tcPr>
            <w:tcW w:w="4957" w:type="dxa"/>
            <w:gridSpan w:val="2"/>
          </w:tcPr>
          <w:p w14:paraId="07215119" w14:textId="5D7BD617" w:rsidR="005E0361" w:rsidRPr="00154588" w:rsidRDefault="005E0361" w:rsidP="008C12B4">
            <w:pPr>
              <w:jc w:val="both"/>
              <w:rPr>
                <w:bCs/>
                <w:sz w:val="20"/>
                <w:szCs w:val="20"/>
              </w:rPr>
            </w:pPr>
            <w:r w:rsidRPr="00154588">
              <w:rPr>
                <w:bCs/>
                <w:sz w:val="20"/>
                <w:szCs w:val="20"/>
              </w:rPr>
              <w:t xml:space="preserve">(1) </w:t>
            </w:r>
            <w:r w:rsidR="000677DE" w:rsidRPr="00154588">
              <w:rPr>
                <w:bCs/>
                <w:sz w:val="20"/>
                <w:szCs w:val="20"/>
              </w:rPr>
              <w:t xml:space="preserve">Instituțiile și entitățile menționate la articolul 1 alineatul (1) literele (b), (c) și (d) </w:t>
            </w:r>
            <w:r w:rsidRPr="00154588">
              <w:rPr>
                <w:bCs/>
                <w:sz w:val="20"/>
                <w:szCs w:val="20"/>
              </w:rPr>
              <w:t>transmit</w:t>
            </w:r>
            <w:r w:rsidR="000677DE" w:rsidRPr="00154588">
              <w:rPr>
                <w:bCs/>
                <w:sz w:val="20"/>
                <w:szCs w:val="20"/>
              </w:rPr>
              <w:t xml:space="preserve"> autorității lor de rezoluție</w:t>
            </w:r>
            <w:r w:rsidRPr="00154588">
              <w:rPr>
                <w:bCs/>
                <w:sz w:val="20"/>
                <w:szCs w:val="20"/>
              </w:rPr>
              <w:t xml:space="preserve"> informațiile care pot fi solicitate în conformitate cu articolul 11..</w:t>
            </w:r>
            <w:r w:rsidR="000677DE" w:rsidRPr="00154588">
              <w:t xml:space="preserve"> </w:t>
            </w:r>
            <w:r w:rsidR="000677DE" w:rsidRPr="00154588">
              <w:rPr>
                <w:bCs/>
                <w:sz w:val="20"/>
                <w:szCs w:val="20"/>
              </w:rPr>
              <w:t>Autoritățile de rezoluție care solicită informații în temeiul articolului 11 de la entitățile aflate în sfera lor de competență transmit informațiile primite autorității de rezoluție a grupului.</w:t>
            </w:r>
          </w:p>
          <w:p w14:paraId="46011DA1" w14:textId="77777777" w:rsidR="005E0361" w:rsidRPr="00154588" w:rsidRDefault="005E0361" w:rsidP="008C12B4">
            <w:pPr>
              <w:jc w:val="both"/>
              <w:rPr>
                <w:bCs/>
                <w:sz w:val="20"/>
                <w:szCs w:val="20"/>
              </w:rPr>
            </w:pPr>
          </w:p>
          <w:p w14:paraId="2430DD3D" w14:textId="65CA7848" w:rsidR="005E0361" w:rsidRPr="00154588" w:rsidRDefault="005E0361" w:rsidP="008C12B4">
            <w:pPr>
              <w:jc w:val="both"/>
              <w:rPr>
                <w:bCs/>
                <w:sz w:val="20"/>
                <w:szCs w:val="20"/>
              </w:rPr>
            </w:pPr>
            <w:r w:rsidRPr="00154588">
              <w:rPr>
                <w:bCs/>
                <w:sz w:val="20"/>
                <w:szCs w:val="20"/>
              </w:rPr>
              <w:t>Cu condiția</w:t>
            </w:r>
            <w:r w:rsidR="000677DE" w:rsidRPr="00154588">
              <w:rPr>
                <w:bCs/>
                <w:sz w:val="20"/>
                <w:szCs w:val="20"/>
              </w:rPr>
              <w:t xml:space="preserve"> respectării </w:t>
            </w:r>
            <w:r w:rsidRPr="00154588">
              <w:rPr>
                <w:bCs/>
                <w:sz w:val="20"/>
                <w:szCs w:val="20"/>
              </w:rPr>
              <w:t xml:space="preserve">cerințelor de confidențialitate prevăzute de prezenta directivă, autoritatea de rezoluție a grupului transmite informațiile </w:t>
            </w:r>
            <w:r w:rsidR="008721B8" w:rsidRPr="00154588">
              <w:rPr>
                <w:bCs/>
                <w:sz w:val="20"/>
                <w:szCs w:val="20"/>
              </w:rPr>
              <w:t xml:space="preserve">comunicate, </w:t>
            </w:r>
            <w:r w:rsidRPr="00154588">
              <w:rPr>
                <w:bCs/>
                <w:sz w:val="20"/>
                <w:szCs w:val="20"/>
              </w:rPr>
              <w:t xml:space="preserve">în </w:t>
            </w:r>
            <w:r w:rsidR="008721B8" w:rsidRPr="00154588">
              <w:rPr>
                <w:bCs/>
                <w:sz w:val="20"/>
                <w:szCs w:val="20"/>
              </w:rPr>
              <w:t xml:space="preserve">confromitate cu </w:t>
            </w:r>
            <w:r w:rsidRPr="00154588">
              <w:rPr>
                <w:bCs/>
                <w:sz w:val="20"/>
                <w:szCs w:val="20"/>
              </w:rPr>
              <w:t>prezentul alineat către:</w:t>
            </w:r>
          </w:p>
          <w:p w14:paraId="41572DF4" w14:textId="77777777" w:rsidR="005E0361" w:rsidRPr="00154588" w:rsidRDefault="005E0361" w:rsidP="008C12B4">
            <w:pPr>
              <w:jc w:val="both"/>
              <w:rPr>
                <w:bCs/>
                <w:sz w:val="20"/>
                <w:szCs w:val="20"/>
                <w:lang w:val="ro-MD"/>
              </w:rPr>
            </w:pPr>
          </w:p>
          <w:p w14:paraId="4A689B1C" w14:textId="561BF76A" w:rsidR="005E0361" w:rsidRPr="00154588" w:rsidRDefault="005E0361" w:rsidP="008C12B4">
            <w:pPr>
              <w:jc w:val="both"/>
              <w:rPr>
                <w:bCs/>
                <w:sz w:val="20"/>
                <w:szCs w:val="20"/>
              </w:rPr>
            </w:pPr>
            <w:r w:rsidRPr="00154588">
              <w:rPr>
                <w:bCs/>
                <w:sz w:val="20"/>
                <w:szCs w:val="20"/>
              </w:rPr>
              <w:t>(a) ABE;</w:t>
            </w:r>
          </w:p>
          <w:p w14:paraId="2A135282" w14:textId="77777777" w:rsidR="005E0361" w:rsidRPr="00154588" w:rsidRDefault="005E0361" w:rsidP="008C12B4">
            <w:pPr>
              <w:jc w:val="both"/>
              <w:rPr>
                <w:bCs/>
                <w:sz w:val="20"/>
                <w:szCs w:val="20"/>
              </w:rPr>
            </w:pPr>
          </w:p>
          <w:p w14:paraId="3B3BD6B4" w14:textId="6466C838" w:rsidR="005E0361" w:rsidRPr="00154588" w:rsidRDefault="005E0361" w:rsidP="008C12B4">
            <w:pPr>
              <w:jc w:val="both"/>
              <w:rPr>
                <w:bCs/>
                <w:sz w:val="20"/>
                <w:szCs w:val="20"/>
              </w:rPr>
            </w:pPr>
            <w:r w:rsidRPr="00154588">
              <w:rPr>
                <w:bCs/>
                <w:sz w:val="20"/>
                <w:szCs w:val="20"/>
              </w:rPr>
              <w:t>(b) autoritățile de rezoluție ale filialelor;</w:t>
            </w:r>
          </w:p>
          <w:p w14:paraId="01A896B4" w14:textId="77777777" w:rsidR="005E0361" w:rsidRPr="00154588" w:rsidRDefault="005E0361" w:rsidP="008C12B4">
            <w:pPr>
              <w:jc w:val="both"/>
              <w:rPr>
                <w:bCs/>
                <w:sz w:val="20"/>
                <w:szCs w:val="20"/>
              </w:rPr>
            </w:pPr>
          </w:p>
          <w:p w14:paraId="78521404" w14:textId="5CA5EC4A" w:rsidR="005E0361" w:rsidRPr="00154588" w:rsidRDefault="005E0361" w:rsidP="008C12B4">
            <w:pPr>
              <w:jc w:val="both"/>
              <w:rPr>
                <w:bCs/>
                <w:sz w:val="20"/>
                <w:szCs w:val="20"/>
              </w:rPr>
            </w:pPr>
            <w:r w:rsidRPr="00154588">
              <w:rPr>
                <w:bCs/>
                <w:sz w:val="20"/>
                <w:szCs w:val="20"/>
              </w:rPr>
              <w:t>(c) autoritățile de rezoluție ale jurisdicțiilor în care sunt situate sucursale semnificative, în măsura în care acest lucru este relevant pentru sucursala semnificativă;</w:t>
            </w:r>
          </w:p>
          <w:p w14:paraId="4E7AEB69" w14:textId="77777777" w:rsidR="005E0361" w:rsidRPr="00154588" w:rsidRDefault="005E0361" w:rsidP="008C12B4">
            <w:pPr>
              <w:jc w:val="both"/>
              <w:rPr>
                <w:bCs/>
                <w:sz w:val="20"/>
                <w:szCs w:val="20"/>
              </w:rPr>
            </w:pPr>
          </w:p>
          <w:p w14:paraId="6F6A1A24" w14:textId="43588470" w:rsidR="005E0361" w:rsidRPr="00154588" w:rsidRDefault="005E0361" w:rsidP="008C12B4">
            <w:pPr>
              <w:jc w:val="both"/>
              <w:rPr>
                <w:bCs/>
                <w:sz w:val="20"/>
                <w:szCs w:val="20"/>
              </w:rPr>
            </w:pPr>
            <w:r w:rsidRPr="00154588">
              <w:rPr>
                <w:bCs/>
                <w:sz w:val="20"/>
                <w:szCs w:val="20"/>
              </w:rPr>
              <w:t>(d) autorităților competente relevante menționate la articolele 115 și 116 din Directiva 2013/36/UE; și</w:t>
            </w:r>
          </w:p>
          <w:p w14:paraId="5479C140" w14:textId="77777777" w:rsidR="005E0361" w:rsidRPr="00154588" w:rsidRDefault="005E0361" w:rsidP="008C12B4">
            <w:pPr>
              <w:jc w:val="both"/>
              <w:rPr>
                <w:bCs/>
                <w:sz w:val="20"/>
                <w:szCs w:val="20"/>
              </w:rPr>
            </w:pPr>
          </w:p>
          <w:p w14:paraId="7F4C006B" w14:textId="57BE8747" w:rsidR="005E0361" w:rsidRPr="00154588" w:rsidRDefault="005E0361" w:rsidP="008C12B4">
            <w:pPr>
              <w:jc w:val="both"/>
              <w:rPr>
                <w:bCs/>
                <w:sz w:val="20"/>
                <w:szCs w:val="20"/>
              </w:rPr>
            </w:pPr>
            <w:r w:rsidRPr="00154588">
              <w:rPr>
                <w:bCs/>
                <w:sz w:val="20"/>
                <w:szCs w:val="20"/>
              </w:rPr>
              <w:t>(e) autoritățile de rezoluție ale statelor membre în care sunt stabilite entitățile menționate la articolul 1 alineatul (1) literele (c) și (d).</w:t>
            </w:r>
          </w:p>
          <w:p w14:paraId="21B8FE49" w14:textId="77777777" w:rsidR="005E0361" w:rsidRPr="00154588" w:rsidRDefault="005E0361" w:rsidP="008C12B4">
            <w:pPr>
              <w:jc w:val="both"/>
              <w:rPr>
                <w:bCs/>
                <w:sz w:val="20"/>
                <w:szCs w:val="20"/>
              </w:rPr>
            </w:pPr>
          </w:p>
          <w:p w14:paraId="4A6BA7EC" w14:textId="51000245" w:rsidR="005E0361" w:rsidRPr="00154588" w:rsidRDefault="005E0361" w:rsidP="008C12B4">
            <w:pPr>
              <w:jc w:val="both"/>
              <w:rPr>
                <w:bCs/>
                <w:sz w:val="20"/>
                <w:szCs w:val="20"/>
              </w:rPr>
            </w:pPr>
            <w:r w:rsidRPr="00154588">
              <w:rPr>
                <w:bCs/>
                <w:sz w:val="20"/>
                <w:szCs w:val="20"/>
              </w:rPr>
              <w:t xml:space="preserve">Informațiile furnizate de autoritatea de rezoluție a grupului autorităților de rezoluție și autorităților competente ale filialelor, autorităților de rezoluție din jurisdicțiile în care sunt situate sucursale semnificative și autorităților competente relevante menționate la articolele 115 și 116 din Directiva 2013/36/UE, includ cel puțin toate informațiile relevante pentru filială sau pentru sucursala semnificativă. Informațiile furnizate ABE cuprind toate informațiile relevante pentru rolul ABE referitor la planurile de rezoluție a grupului. În cazul informațiilor referitoare la filiale din țări </w:t>
            </w:r>
            <w:r w:rsidRPr="00154588">
              <w:rPr>
                <w:bCs/>
                <w:sz w:val="20"/>
                <w:szCs w:val="20"/>
              </w:rPr>
              <w:lastRenderedPageBreak/>
              <w:t>terțe, autoritatea de rezoluție la nivel de grup nu are obligația de a le transmite fără consimțământul autorității de supraveghere sau al autorității de rezoluție relevante din țara terță respectivă.</w:t>
            </w:r>
          </w:p>
        </w:tc>
        <w:tc>
          <w:tcPr>
            <w:tcW w:w="4819" w:type="dxa"/>
          </w:tcPr>
          <w:p w14:paraId="24B02945" w14:textId="0BBAC39C" w:rsidR="007E584C" w:rsidRPr="00154588" w:rsidRDefault="005E0361" w:rsidP="008C12B4">
            <w:pPr>
              <w:ind w:firstLine="688"/>
              <w:jc w:val="both"/>
              <w:rPr>
                <w:rFonts w:eastAsia="Calibri"/>
                <w:sz w:val="20"/>
                <w:szCs w:val="20"/>
              </w:rPr>
            </w:pPr>
            <w:r w:rsidRPr="00154588">
              <w:rPr>
                <w:rFonts w:eastAsia="Calibri"/>
                <w:b/>
                <w:sz w:val="20"/>
                <w:szCs w:val="20"/>
              </w:rPr>
              <w:lastRenderedPageBreak/>
              <w:t>Articolul 31</w:t>
            </w:r>
            <w:r w:rsidRPr="00154588">
              <w:rPr>
                <w:rFonts w:eastAsia="Calibri"/>
                <w:b/>
                <w:sz w:val="20"/>
                <w:szCs w:val="20"/>
                <w:vertAlign w:val="superscript"/>
              </w:rPr>
              <w:t>6</w:t>
            </w:r>
            <w:r w:rsidRPr="00154588">
              <w:rPr>
                <w:rFonts w:eastAsia="Calibri"/>
                <w:b/>
                <w:sz w:val="20"/>
                <w:szCs w:val="20"/>
              </w:rPr>
              <w:t>.</w:t>
            </w:r>
            <w:r w:rsidRPr="00154588">
              <w:rPr>
                <w:rFonts w:eastAsia="Calibri"/>
                <w:sz w:val="20"/>
                <w:szCs w:val="20"/>
              </w:rPr>
              <w:t xml:space="preserve"> – (1) </w:t>
            </w:r>
            <w:r w:rsidR="000D7054" w:rsidRPr="00154588">
              <w:rPr>
                <w:rFonts w:eastAsia="Calibri"/>
                <w:sz w:val="20"/>
                <w:szCs w:val="20"/>
              </w:rPr>
              <w:t>Banca Națională a Moldovei, în calitate de autoritate de rezoluție la nivel de grup, primește, în conformitate cu art. 31, informațiile transmise de autoritățile de rezoluție competente în privința instituțiilor de credit și entităților prevăzute la art.1 alin.(1) lit.b), c) și d).</w:t>
            </w:r>
          </w:p>
          <w:p w14:paraId="129F988E" w14:textId="77777777" w:rsidR="000D7054" w:rsidRPr="00154588" w:rsidRDefault="000D7054" w:rsidP="008C12B4">
            <w:pPr>
              <w:ind w:firstLine="688"/>
              <w:jc w:val="both"/>
              <w:rPr>
                <w:rFonts w:eastAsia="Calibri"/>
                <w:sz w:val="20"/>
                <w:szCs w:val="20"/>
              </w:rPr>
            </w:pPr>
          </w:p>
          <w:p w14:paraId="2B572FF2" w14:textId="1955FB8A" w:rsidR="005E0361" w:rsidRPr="00154588" w:rsidRDefault="005E0361" w:rsidP="008C12B4">
            <w:pPr>
              <w:ind w:firstLine="688"/>
              <w:jc w:val="both"/>
              <w:rPr>
                <w:rFonts w:eastAsia="Calibri"/>
                <w:sz w:val="20"/>
                <w:szCs w:val="20"/>
              </w:rPr>
            </w:pPr>
            <w:r w:rsidRPr="00154588">
              <w:rPr>
                <w:rFonts w:eastAsia="Calibri"/>
                <w:sz w:val="20"/>
                <w:szCs w:val="20"/>
              </w:rPr>
              <w:t>(2) Cu respectarea cerințelor de păstrare a confidențialității prevăzute de prezenta lege, Banca Națională a Moldovei, în calitate de autoritate de rezoluție la nivel de grup, transmite informațiile prevăzute la alin.(1) către:</w:t>
            </w:r>
          </w:p>
          <w:p w14:paraId="4AD7260A" w14:textId="77777777" w:rsidR="005E0361" w:rsidRPr="00154588" w:rsidRDefault="005E0361" w:rsidP="008C12B4">
            <w:pPr>
              <w:ind w:firstLine="688"/>
              <w:jc w:val="both"/>
              <w:rPr>
                <w:rFonts w:eastAsia="Calibri"/>
                <w:sz w:val="20"/>
                <w:szCs w:val="20"/>
              </w:rPr>
            </w:pPr>
            <w:r w:rsidRPr="00154588">
              <w:rPr>
                <w:rFonts w:eastAsia="Calibri"/>
                <w:sz w:val="20"/>
                <w:szCs w:val="20"/>
              </w:rPr>
              <w:t>a) Autoritatea Bancară Europeană;</w:t>
            </w:r>
          </w:p>
          <w:p w14:paraId="3ADB2048" w14:textId="77777777" w:rsidR="005E0361" w:rsidRPr="00154588" w:rsidRDefault="005E0361" w:rsidP="008C12B4">
            <w:pPr>
              <w:ind w:firstLine="688"/>
              <w:jc w:val="both"/>
              <w:rPr>
                <w:rFonts w:eastAsia="Calibri"/>
                <w:sz w:val="20"/>
                <w:szCs w:val="20"/>
              </w:rPr>
            </w:pPr>
            <w:r w:rsidRPr="00154588">
              <w:rPr>
                <w:rFonts w:eastAsia="Calibri"/>
                <w:sz w:val="20"/>
                <w:szCs w:val="20"/>
              </w:rPr>
              <w:t>b) autoritățile de rezoluție ale filialelor;</w:t>
            </w:r>
          </w:p>
          <w:p w14:paraId="4DEA2A60" w14:textId="4DD2D842" w:rsidR="005E0361" w:rsidRPr="00154588" w:rsidRDefault="005E0361" w:rsidP="008C12B4">
            <w:pPr>
              <w:ind w:firstLine="688"/>
              <w:jc w:val="both"/>
              <w:rPr>
                <w:rFonts w:eastAsia="Calibri"/>
                <w:sz w:val="20"/>
                <w:szCs w:val="20"/>
              </w:rPr>
            </w:pPr>
            <w:r w:rsidRPr="00154588">
              <w:rPr>
                <w:rFonts w:eastAsia="Calibri"/>
                <w:sz w:val="20"/>
                <w:szCs w:val="20"/>
              </w:rPr>
              <w:t>c) autoritățile de rezoluție din jurisdicțiile</w:t>
            </w:r>
            <w:r w:rsidR="000D7054" w:rsidRPr="00154588">
              <w:rPr>
                <w:rFonts w:eastAsia="Calibri"/>
                <w:sz w:val="20"/>
                <w:szCs w:val="20"/>
              </w:rPr>
              <w:t xml:space="preserve"> </w:t>
            </w:r>
            <w:r w:rsidR="00EB19ED" w:rsidRPr="00154588">
              <w:rPr>
                <w:rFonts w:eastAsia="Calibri"/>
                <w:sz w:val="20"/>
                <w:szCs w:val="20"/>
              </w:rPr>
              <w:t>î</w:t>
            </w:r>
            <w:r w:rsidR="000D7054" w:rsidRPr="00154588">
              <w:rPr>
                <w:rFonts w:eastAsia="Calibri"/>
                <w:sz w:val="20"/>
                <w:szCs w:val="20"/>
              </w:rPr>
              <w:t>n care</w:t>
            </w:r>
            <w:r w:rsidRPr="00154588">
              <w:rPr>
                <w:rFonts w:eastAsia="Calibri"/>
                <w:sz w:val="20"/>
                <w:szCs w:val="20"/>
              </w:rPr>
              <w:t xml:space="preserve"> sunt </w:t>
            </w:r>
            <w:r w:rsidR="000D7054" w:rsidRPr="00154588">
              <w:rPr>
                <w:rFonts w:eastAsia="Calibri"/>
                <w:sz w:val="20"/>
                <w:szCs w:val="20"/>
              </w:rPr>
              <w:t xml:space="preserve">situate </w:t>
            </w:r>
            <w:r w:rsidRPr="00154588">
              <w:rPr>
                <w:rFonts w:eastAsia="Calibri"/>
                <w:sz w:val="20"/>
                <w:szCs w:val="20"/>
              </w:rPr>
              <w:t xml:space="preserve">sucursale semnificative, </w:t>
            </w:r>
            <w:r w:rsidR="000D7054" w:rsidRPr="00154588">
              <w:rPr>
                <w:rFonts w:eastAsia="Calibri"/>
                <w:sz w:val="20"/>
                <w:szCs w:val="20"/>
              </w:rPr>
              <w:t>în măsura în care informațiile sunt relevante pentru sucursala semnificativă;</w:t>
            </w:r>
            <w:r w:rsidRPr="00154588">
              <w:rPr>
                <w:rFonts w:eastAsia="Calibri"/>
                <w:sz w:val="20"/>
                <w:szCs w:val="20"/>
              </w:rPr>
              <w:t>d) autoritățile competente relevante prevăzute la art.111 și 112 din Legea nr.202/2017;</w:t>
            </w:r>
          </w:p>
          <w:p w14:paraId="2B687580" w14:textId="77777777" w:rsidR="005E0361" w:rsidRPr="00154588" w:rsidRDefault="005E0361" w:rsidP="008C12B4">
            <w:pPr>
              <w:ind w:firstLine="688"/>
              <w:jc w:val="both"/>
              <w:rPr>
                <w:rFonts w:eastAsia="Calibri"/>
                <w:sz w:val="20"/>
                <w:szCs w:val="20"/>
              </w:rPr>
            </w:pPr>
            <w:r w:rsidRPr="00154588">
              <w:rPr>
                <w:rFonts w:eastAsia="Calibri"/>
                <w:sz w:val="20"/>
                <w:szCs w:val="20"/>
              </w:rPr>
              <w:t>e) autoritățile de rezoluție din statele membre în care își au sediul entitățile prevăzute la art.1 alin.(1) lit.c) și d).</w:t>
            </w:r>
          </w:p>
          <w:p w14:paraId="6170740F" w14:textId="77777777" w:rsidR="005E0361" w:rsidRPr="00154588" w:rsidRDefault="005E0361" w:rsidP="008C12B4">
            <w:pPr>
              <w:ind w:firstLine="688"/>
              <w:jc w:val="both"/>
              <w:rPr>
                <w:rFonts w:eastAsia="Calibri"/>
                <w:sz w:val="20"/>
                <w:szCs w:val="20"/>
              </w:rPr>
            </w:pPr>
            <w:r w:rsidRPr="00154588">
              <w:rPr>
                <w:rFonts w:eastAsia="Calibri"/>
                <w:sz w:val="20"/>
                <w:szCs w:val="20"/>
              </w:rPr>
              <w:t>(3) Banca Națională a Moldovei, în calitate de autoritate de rezoluție la nivel de grup, transmite Autorității Bancare Europene toate informațiile relevante pentru rolul său referitor la planurile de rezoluție a grupului, iar autorităților prevăzute la alin. (2) lit. b)-d) cel puțin toate informațiile relevante pentru filiala sau sucursala semnificativă din jurisdicția fiecărei autorități.</w:t>
            </w:r>
          </w:p>
          <w:p w14:paraId="24CA5CC7" w14:textId="3D107527" w:rsidR="005E0361" w:rsidRPr="00154588" w:rsidRDefault="005E0361" w:rsidP="008C12B4">
            <w:pPr>
              <w:ind w:firstLine="688"/>
              <w:jc w:val="both"/>
              <w:rPr>
                <w:rFonts w:eastAsia="Calibri"/>
                <w:sz w:val="20"/>
                <w:szCs w:val="20"/>
              </w:rPr>
            </w:pPr>
            <w:r w:rsidRPr="00154588">
              <w:rPr>
                <w:rFonts w:eastAsia="Calibri"/>
                <w:sz w:val="20"/>
                <w:szCs w:val="20"/>
              </w:rPr>
              <w:t xml:space="preserve">(4) Banca Națională a Moldovei, în calitate de autoritate de rezoluție la nivel de grup, </w:t>
            </w:r>
            <w:r w:rsidR="000D7054" w:rsidRPr="00154588">
              <w:rPr>
                <w:rFonts w:eastAsia="Calibri"/>
                <w:sz w:val="20"/>
                <w:szCs w:val="20"/>
              </w:rPr>
              <w:t xml:space="preserve">nu </w:t>
            </w:r>
            <w:r w:rsidRPr="00154588">
              <w:rPr>
                <w:rFonts w:eastAsia="Calibri"/>
                <w:sz w:val="20"/>
                <w:szCs w:val="20"/>
              </w:rPr>
              <w:t xml:space="preserve">transmite informațiile referitoare la filiale din state terțe </w:t>
            </w:r>
            <w:r w:rsidR="000D7054" w:rsidRPr="00154588">
              <w:rPr>
                <w:rFonts w:eastAsia="Calibri"/>
                <w:sz w:val="20"/>
                <w:szCs w:val="20"/>
              </w:rPr>
              <w:t>fără</w:t>
            </w:r>
            <w:r w:rsidRPr="00154588">
              <w:rPr>
                <w:rFonts w:eastAsia="Calibri"/>
                <w:sz w:val="20"/>
                <w:szCs w:val="20"/>
              </w:rPr>
              <w:t xml:space="preserve"> consimțământul autorității de supraveghere sau al autorității de rezoluție relevante din respectivul stat terț.</w:t>
            </w:r>
          </w:p>
        </w:tc>
        <w:tc>
          <w:tcPr>
            <w:tcW w:w="2552" w:type="dxa"/>
          </w:tcPr>
          <w:p w14:paraId="366B0144" w14:textId="72442594" w:rsidR="005E0361" w:rsidRPr="00154588" w:rsidRDefault="00F30E31" w:rsidP="008C12B4">
            <w:pPr>
              <w:jc w:val="both"/>
              <w:rPr>
                <w:bCs/>
                <w:sz w:val="20"/>
                <w:szCs w:val="20"/>
              </w:rPr>
            </w:pPr>
            <w:r w:rsidRPr="00154588">
              <w:rPr>
                <w:bCs/>
                <w:sz w:val="20"/>
                <w:szCs w:val="20"/>
              </w:rPr>
              <w:t>Compatibil</w:t>
            </w:r>
            <w:r w:rsidR="000677DE" w:rsidRPr="00154588">
              <w:rPr>
                <w:bCs/>
                <w:sz w:val="20"/>
                <w:szCs w:val="20"/>
              </w:rPr>
              <w:t xml:space="preserve"> </w:t>
            </w:r>
          </w:p>
        </w:tc>
        <w:tc>
          <w:tcPr>
            <w:tcW w:w="3118" w:type="dxa"/>
          </w:tcPr>
          <w:p w14:paraId="421C550A" w14:textId="77777777" w:rsidR="005E0361" w:rsidRPr="00154588" w:rsidRDefault="005E0361" w:rsidP="008C12B4">
            <w:pPr>
              <w:jc w:val="both"/>
              <w:rPr>
                <w:bCs/>
                <w:sz w:val="20"/>
                <w:szCs w:val="20"/>
              </w:rPr>
            </w:pPr>
          </w:p>
        </w:tc>
      </w:tr>
      <w:tr w:rsidR="005E0361" w:rsidRPr="00154588" w14:paraId="67D66A5D" w14:textId="77777777" w:rsidTr="00D15C1B">
        <w:trPr>
          <w:jc w:val="center"/>
        </w:trPr>
        <w:tc>
          <w:tcPr>
            <w:tcW w:w="4957" w:type="dxa"/>
            <w:gridSpan w:val="2"/>
          </w:tcPr>
          <w:p w14:paraId="76260947" w14:textId="39216FF6" w:rsidR="005E0361" w:rsidRPr="00154588" w:rsidRDefault="005E0361" w:rsidP="008C12B4">
            <w:pPr>
              <w:jc w:val="both"/>
              <w:rPr>
                <w:bCs/>
                <w:sz w:val="20"/>
                <w:szCs w:val="20"/>
              </w:rPr>
            </w:pPr>
            <w:r w:rsidRPr="00154588">
              <w:rPr>
                <w:bCs/>
                <w:sz w:val="20"/>
                <w:szCs w:val="20"/>
              </w:rPr>
              <w:t>(2) Statele membre se asigură că autoritățile de rezoluție a grupurilor, acționând împreună cu autoritățile de rezoluție menționate la alineatul (1) al doilea paragraf din prezentul articol, elaborează și actualizează planurile de rezoluție a grupurilor, în cadrul colegiilor de rezoluție și după consultarea cu autoritățile competente relevante, inclusiv cu autoritățile competente din jurisdicțiile statelor membre în care sunt situate sucursale de importanță semnificativă. Autoritățile de rezoluție a grupului pot, cu condiția să îndeplinească cerințele de confidențialitate stabilite la articolul 98 din prezenta directivă, să ia inițiativa de a implica în elaborarea și actualizarea planurilor de rezoluție a grupului autorități de rezoluție din țări terțe în ale căror jurisdicții grupul a înființat filiale, holdinguri financiare sau sucursale semnificative în sensul articolului 51 din Directiva 2013/36/UE.</w:t>
            </w:r>
          </w:p>
        </w:tc>
        <w:tc>
          <w:tcPr>
            <w:tcW w:w="4819" w:type="dxa"/>
          </w:tcPr>
          <w:p w14:paraId="4A95EC9A" w14:textId="77777777" w:rsidR="00F30E31" w:rsidRPr="00154588" w:rsidRDefault="00F30E31" w:rsidP="008C12B4">
            <w:pPr>
              <w:ind w:firstLine="567"/>
              <w:jc w:val="both"/>
              <w:rPr>
                <w:rFonts w:eastAsia="Calibri"/>
                <w:sz w:val="22"/>
              </w:rPr>
            </w:pPr>
            <w:r w:rsidRPr="00154588">
              <w:rPr>
                <w:rFonts w:eastAsia="Calibri"/>
                <w:b/>
                <w:sz w:val="22"/>
              </w:rPr>
              <w:t>Articolul 31</w:t>
            </w:r>
            <w:r w:rsidRPr="00154588">
              <w:rPr>
                <w:rFonts w:eastAsia="Calibri"/>
                <w:b/>
                <w:sz w:val="22"/>
                <w:vertAlign w:val="superscript"/>
              </w:rPr>
              <w:t>7</w:t>
            </w:r>
            <w:r w:rsidRPr="00154588">
              <w:rPr>
                <w:rFonts w:eastAsia="Calibri"/>
                <w:b/>
                <w:sz w:val="22"/>
              </w:rPr>
              <w:t>.</w:t>
            </w:r>
            <w:r w:rsidRPr="00154588">
              <w:rPr>
                <w:rFonts w:eastAsia="Calibri"/>
                <w:sz w:val="22"/>
              </w:rPr>
              <w:t xml:space="preserve"> – (1) Banca Națională a Moldovei, în calitate de autoritate de rezoluție la nivel de grup, împreună cu autoritățile de rezoluție prevăzute la art.31</w:t>
            </w:r>
            <w:r w:rsidRPr="00154588">
              <w:rPr>
                <w:rFonts w:eastAsia="Calibri"/>
                <w:sz w:val="22"/>
                <w:vertAlign w:val="superscript"/>
              </w:rPr>
              <w:t>6</w:t>
            </w:r>
            <w:r w:rsidRPr="00154588">
              <w:rPr>
                <w:rFonts w:eastAsia="Calibri"/>
                <w:sz w:val="22"/>
              </w:rPr>
              <w:t xml:space="preserve"> alin.(2), după consultarea cu autoritățile competente relevante, inclusiv cu autoritățile competente din statele membre în care sunt situate sucursale semnificative, elaborează și actualizează în cadrul colegiilor de rezoluție planul de rezoluție a grupului.</w:t>
            </w:r>
          </w:p>
          <w:p w14:paraId="05FBAD0C" w14:textId="4D7B6CCA" w:rsidR="005E0361" w:rsidRPr="00154588" w:rsidRDefault="00F30E31" w:rsidP="008C12B4">
            <w:pPr>
              <w:ind w:firstLine="567"/>
              <w:jc w:val="both"/>
              <w:rPr>
                <w:rFonts w:eastAsia="Calibri"/>
                <w:sz w:val="22"/>
              </w:rPr>
            </w:pPr>
            <w:r w:rsidRPr="00154588">
              <w:rPr>
                <w:rFonts w:eastAsia="Calibri"/>
                <w:sz w:val="22"/>
              </w:rPr>
              <w:t>(2) Banca Națională a Moldovei, în calitate de autoritate de rezoluție la nivel de grup, poate, cu respectarea cerințelor de păstrare a confidențialității prevăzute în prezenta lege, să implice în elaborarea și actualizarea planurilor de rezoluție a grupului autorități de rezoluție din state terțe în care sunt situate filiale sau societăți financiare holding din grup ori sucursale semnificative, în sensul art.108 din legea nr.202/2017.</w:t>
            </w:r>
          </w:p>
        </w:tc>
        <w:tc>
          <w:tcPr>
            <w:tcW w:w="2552" w:type="dxa"/>
          </w:tcPr>
          <w:p w14:paraId="2D6A9B37" w14:textId="2863E008" w:rsidR="005E0361" w:rsidRPr="00154588" w:rsidRDefault="00697AB0" w:rsidP="008C12B4">
            <w:pPr>
              <w:jc w:val="both"/>
              <w:rPr>
                <w:bCs/>
                <w:sz w:val="20"/>
                <w:szCs w:val="20"/>
              </w:rPr>
            </w:pPr>
            <w:r w:rsidRPr="00154588">
              <w:rPr>
                <w:bCs/>
                <w:sz w:val="20"/>
                <w:szCs w:val="20"/>
              </w:rPr>
              <w:t>Compatibil</w:t>
            </w:r>
          </w:p>
        </w:tc>
        <w:tc>
          <w:tcPr>
            <w:tcW w:w="3118" w:type="dxa"/>
          </w:tcPr>
          <w:p w14:paraId="6DD149AB" w14:textId="77777777" w:rsidR="005E0361" w:rsidRPr="00154588" w:rsidRDefault="005E0361" w:rsidP="008C12B4">
            <w:pPr>
              <w:jc w:val="both"/>
              <w:rPr>
                <w:bCs/>
                <w:sz w:val="20"/>
                <w:szCs w:val="20"/>
              </w:rPr>
            </w:pPr>
          </w:p>
        </w:tc>
      </w:tr>
      <w:tr w:rsidR="005E0361" w:rsidRPr="00154588" w14:paraId="224F7CF2" w14:textId="77777777" w:rsidTr="00D15C1B">
        <w:trPr>
          <w:jc w:val="center"/>
        </w:trPr>
        <w:tc>
          <w:tcPr>
            <w:tcW w:w="4957" w:type="dxa"/>
            <w:gridSpan w:val="2"/>
          </w:tcPr>
          <w:p w14:paraId="5E267360" w14:textId="13B020ED" w:rsidR="005E0361" w:rsidRPr="00154588" w:rsidRDefault="005E0361" w:rsidP="008C12B4">
            <w:pPr>
              <w:jc w:val="both"/>
              <w:rPr>
                <w:bCs/>
                <w:sz w:val="20"/>
                <w:szCs w:val="20"/>
              </w:rPr>
            </w:pPr>
            <w:r w:rsidRPr="00154588">
              <w:rPr>
                <w:bCs/>
                <w:sz w:val="20"/>
                <w:szCs w:val="20"/>
              </w:rPr>
              <w:t>(3)   Statele membre se asigură că planurile de rezoluție a grupului sunt reexaminate și, după caz, actualizate, cel puțin o dată pe an, precum și după orice modificare a structurii juridice sau organizaționale, a activității economice sau a poziției financiare a grupului, inclusiv a oricărei entități din grup, care ar putea avea un efect major asupra planului sau ar necesita modificarea sa.</w:t>
            </w:r>
          </w:p>
        </w:tc>
        <w:tc>
          <w:tcPr>
            <w:tcW w:w="4819" w:type="dxa"/>
          </w:tcPr>
          <w:p w14:paraId="1F8D014C" w14:textId="38D4D16D" w:rsidR="005E0361" w:rsidRPr="00154588" w:rsidRDefault="00F30E31" w:rsidP="008C12B4">
            <w:pPr>
              <w:ind w:firstLine="567"/>
              <w:jc w:val="both"/>
              <w:rPr>
                <w:rFonts w:eastAsia="Calibri"/>
                <w:sz w:val="22"/>
              </w:rPr>
            </w:pPr>
            <w:r w:rsidRPr="00154588">
              <w:rPr>
                <w:rFonts w:eastAsia="Calibri"/>
                <w:b/>
                <w:sz w:val="22"/>
              </w:rPr>
              <w:t>Articolul 31</w:t>
            </w:r>
            <w:r w:rsidRPr="00154588">
              <w:rPr>
                <w:rFonts w:eastAsia="Calibri"/>
                <w:b/>
                <w:sz w:val="22"/>
                <w:vertAlign w:val="superscript"/>
              </w:rPr>
              <w:t>8</w:t>
            </w:r>
            <w:r w:rsidRPr="00154588">
              <w:rPr>
                <w:rFonts w:eastAsia="Calibri"/>
                <w:sz w:val="22"/>
              </w:rPr>
              <w:t>. –</w:t>
            </w:r>
            <w:r w:rsidRPr="00154588">
              <w:rPr>
                <w:rFonts w:eastAsia="Calibri"/>
                <w:b/>
                <w:sz w:val="22"/>
              </w:rPr>
              <w:t xml:space="preserve"> </w:t>
            </w:r>
            <w:r w:rsidRPr="00154588">
              <w:rPr>
                <w:rFonts w:eastAsia="Calibri"/>
                <w:sz w:val="22"/>
              </w:rPr>
              <w:t>Planul de rezoluție a grupului este revizuit și, după caz, actualizat cel puțin o dată pe an, precum și după orice modificare a structurii juridice sau organizatorice, a activității sau a poziției financiare a grupului, inclusiv a oricărei entități din grup, care ar putea avea, în opinia Băncii Naționale a Moldovei, în calitate de autoritate de rezoluție la nivel de grup și a celorlalte autorități implicate, un impact semnificativ asupra planului sau ar impune modificarea sa.</w:t>
            </w:r>
          </w:p>
        </w:tc>
        <w:tc>
          <w:tcPr>
            <w:tcW w:w="2552" w:type="dxa"/>
          </w:tcPr>
          <w:p w14:paraId="242BE77C" w14:textId="1A96573E" w:rsidR="005E0361" w:rsidRPr="00154588" w:rsidRDefault="00697AB0" w:rsidP="008C12B4">
            <w:pPr>
              <w:jc w:val="both"/>
              <w:rPr>
                <w:bCs/>
                <w:sz w:val="20"/>
                <w:szCs w:val="20"/>
              </w:rPr>
            </w:pPr>
            <w:r w:rsidRPr="00154588">
              <w:rPr>
                <w:bCs/>
                <w:sz w:val="20"/>
                <w:szCs w:val="20"/>
              </w:rPr>
              <w:t>Compatibil</w:t>
            </w:r>
          </w:p>
        </w:tc>
        <w:tc>
          <w:tcPr>
            <w:tcW w:w="3118" w:type="dxa"/>
          </w:tcPr>
          <w:p w14:paraId="435C5324" w14:textId="77777777" w:rsidR="005E0361" w:rsidRPr="00154588" w:rsidRDefault="005E0361" w:rsidP="008C12B4">
            <w:pPr>
              <w:jc w:val="both"/>
              <w:rPr>
                <w:bCs/>
                <w:sz w:val="20"/>
                <w:szCs w:val="20"/>
              </w:rPr>
            </w:pPr>
          </w:p>
        </w:tc>
      </w:tr>
      <w:tr w:rsidR="005E0361" w:rsidRPr="00154588" w14:paraId="74E06FC4" w14:textId="77777777" w:rsidTr="00D15C1B">
        <w:trPr>
          <w:jc w:val="center"/>
        </w:trPr>
        <w:tc>
          <w:tcPr>
            <w:tcW w:w="4957" w:type="dxa"/>
            <w:gridSpan w:val="2"/>
          </w:tcPr>
          <w:p w14:paraId="210F93B0" w14:textId="77777777" w:rsidR="005E0361" w:rsidRPr="00154588" w:rsidRDefault="005E0361" w:rsidP="008C12B4">
            <w:pPr>
              <w:jc w:val="both"/>
              <w:rPr>
                <w:bCs/>
                <w:sz w:val="20"/>
                <w:szCs w:val="20"/>
              </w:rPr>
            </w:pPr>
            <w:r w:rsidRPr="00154588">
              <w:rPr>
                <w:bCs/>
                <w:sz w:val="20"/>
                <w:szCs w:val="20"/>
              </w:rPr>
              <w:t>(4) Adoptarea planului de rezoluție a grupului ia forma unei decizii comune a autorității de rezoluție a grupului și a autorităților de rezoluție ale filialelor.</w:t>
            </w:r>
          </w:p>
          <w:p w14:paraId="5DE4456D" w14:textId="77777777" w:rsidR="005E0361" w:rsidRPr="00154588" w:rsidRDefault="005E0361" w:rsidP="008C12B4">
            <w:pPr>
              <w:jc w:val="both"/>
              <w:rPr>
                <w:bCs/>
                <w:sz w:val="20"/>
                <w:szCs w:val="20"/>
              </w:rPr>
            </w:pPr>
          </w:p>
          <w:p w14:paraId="0D47A0E3" w14:textId="77777777" w:rsidR="005E0361" w:rsidRPr="00154588" w:rsidRDefault="005E0361" w:rsidP="008C12B4">
            <w:pPr>
              <w:jc w:val="both"/>
              <w:rPr>
                <w:bCs/>
                <w:sz w:val="20"/>
                <w:szCs w:val="20"/>
              </w:rPr>
            </w:pPr>
            <w:r w:rsidRPr="00154588">
              <w:rPr>
                <w:bCs/>
                <w:sz w:val="20"/>
                <w:szCs w:val="20"/>
              </w:rPr>
              <w:t>În cazul în care un grup este format din mai multe grupuri de rezoluție, planificarea măsurilor de rezoluție menționate la articolul 12 alineatul (3) litera (aa) se include într-o decizie comună, astfel cum se menționează la primul paragraf de la prezentul alineat.</w:t>
            </w:r>
          </w:p>
          <w:p w14:paraId="182BD02D" w14:textId="77777777" w:rsidR="005E0361" w:rsidRPr="00154588" w:rsidRDefault="005E0361" w:rsidP="008C12B4">
            <w:pPr>
              <w:jc w:val="both"/>
              <w:rPr>
                <w:bCs/>
                <w:sz w:val="20"/>
                <w:szCs w:val="20"/>
              </w:rPr>
            </w:pPr>
          </w:p>
          <w:p w14:paraId="7625A58E" w14:textId="77777777" w:rsidR="005E0361" w:rsidRPr="00154588" w:rsidRDefault="005E0361" w:rsidP="008C12B4">
            <w:pPr>
              <w:jc w:val="both"/>
              <w:rPr>
                <w:bCs/>
                <w:sz w:val="20"/>
                <w:szCs w:val="20"/>
              </w:rPr>
            </w:pPr>
            <w:r w:rsidRPr="00154588">
              <w:rPr>
                <w:bCs/>
                <w:sz w:val="20"/>
                <w:szCs w:val="20"/>
              </w:rPr>
              <w:lastRenderedPageBreak/>
              <w:t>Aceste autorități de rezoluție iau o decizie comună în termen de patru luni de la data transmiterii de către autoritatea de rezoluție a grupului a informațiilor menționate la alineatul (1) al doilea paragraf.</w:t>
            </w:r>
          </w:p>
          <w:p w14:paraId="1D4D253C" w14:textId="77777777" w:rsidR="005E0361" w:rsidRPr="00154588" w:rsidRDefault="005E0361" w:rsidP="008C12B4">
            <w:pPr>
              <w:jc w:val="both"/>
              <w:rPr>
                <w:bCs/>
                <w:sz w:val="20"/>
                <w:szCs w:val="20"/>
              </w:rPr>
            </w:pPr>
          </w:p>
          <w:p w14:paraId="4B5556DC" w14:textId="77777777" w:rsidR="005E0361" w:rsidRPr="00154588" w:rsidRDefault="005E0361" w:rsidP="008C12B4">
            <w:pPr>
              <w:jc w:val="both"/>
              <w:rPr>
                <w:bCs/>
                <w:sz w:val="20"/>
                <w:szCs w:val="20"/>
              </w:rPr>
            </w:pPr>
          </w:p>
          <w:p w14:paraId="02915765" w14:textId="5D6E05E3" w:rsidR="005E0361" w:rsidRPr="00154588" w:rsidRDefault="005E0361" w:rsidP="008C12B4">
            <w:pPr>
              <w:jc w:val="both"/>
              <w:rPr>
                <w:bCs/>
                <w:sz w:val="20"/>
                <w:szCs w:val="20"/>
              </w:rPr>
            </w:pPr>
            <w:r w:rsidRPr="00154588">
              <w:rPr>
                <w:bCs/>
                <w:sz w:val="20"/>
                <w:szCs w:val="20"/>
              </w:rPr>
              <w:t xml:space="preserve">ABE poate, la cererea unei autorități </w:t>
            </w:r>
            <w:r w:rsidR="008721B8" w:rsidRPr="00154588">
              <w:rPr>
                <w:bCs/>
                <w:sz w:val="20"/>
                <w:szCs w:val="20"/>
              </w:rPr>
              <w:t>de rezoluție</w:t>
            </w:r>
            <w:r w:rsidRPr="00154588">
              <w:rPr>
                <w:bCs/>
                <w:sz w:val="20"/>
                <w:szCs w:val="20"/>
              </w:rPr>
              <w:t xml:space="preserve">, </w:t>
            </w:r>
            <w:r w:rsidR="008721B8" w:rsidRPr="00154588">
              <w:rPr>
                <w:bCs/>
                <w:sz w:val="20"/>
                <w:szCs w:val="20"/>
              </w:rPr>
              <w:t>să ajute</w:t>
            </w:r>
            <w:r w:rsidRPr="00154588">
              <w:rPr>
                <w:bCs/>
                <w:sz w:val="20"/>
                <w:szCs w:val="20"/>
              </w:rPr>
              <w:t xml:space="preserve"> autoritățil</w:t>
            </w:r>
            <w:r w:rsidR="008721B8" w:rsidRPr="00154588">
              <w:rPr>
                <w:bCs/>
                <w:sz w:val="20"/>
                <w:szCs w:val="20"/>
              </w:rPr>
              <w:t>e</w:t>
            </w:r>
            <w:r w:rsidRPr="00154588">
              <w:rPr>
                <w:bCs/>
                <w:sz w:val="20"/>
                <w:szCs w:val="20"/>
              </w:rPr>
              <w:t xml:space="preserve"> de rezoluție</w:t>
            </w:r>
            <w:r w:rsidR="008721B8" w:rsidRPr="00154588">
              <w:rPr>
                <w:bCs/>
                <w:sz w:val="20"/>
                <w:szCs w:val="20"/>
              </w:rPr>
              <w:t xml:space="preserve"> să ajungă </w:t>
            </w:r>
            <w:r w:rsidRPr="00154588">
              <w:rPr>
                <w:bCs/>
                <w:sz w:val="20"/>
                <w:szCs w:val="20"/>
              </w:rPr>
              <w:t xml:space="preserve"> la o decizie comună în conformitate cu articolul 31</w:t>
            </w:r>
            <w:r w:rsidR="008721B8" w:rsidRPr="00154588">
              <w:rPr>
                <w:bCs/>
                <w:sz w:val="20"/>
                <w:szCs w:val="20"/>
              </w:rPr>
              <w:t xml:space="preserve"> alin. (2)</w:t>
            </w:r>
            <w:r w:rsidRPr="00154588">
              <w:rPr>
                <w:bCs/>
                <w:sz w:val="20"/>
                <w:szCs w:val="20"/>
              </w:rPr>
              <w:t xml:space="preserve"> litera (c) din Regulamentul (UE) nr. 1093/2010.</w:t>
            </w:r>
          </w:p>
        </w:tc>
        <w:tc>
          <w:tcPr>
            <w:tcW w:w="4819" w:type="dxa"/>
          </w:tcPr>
          <w:p w14:paraId="2C3C0B3A" w14:textId="77777777" w:rsidR="00F30E31" w:rsidRPr="00154588" w:rsidRDefault="00F30E31" w:rsidP="008C12B4">
            <w:pPr>
              <w:ind w:firstLine="567"/>
              <w:jc w:val="both"/>
              <w:rPr>
                <w:rFonts w:eastAsia="Calibri"/>
                <w:b/>
                <w:sz w:val="22"/>
              </w:rPr>
            </w:pPr>
            <w:r w:rsidRPr="00154588">
              <w:rPr>
                <w:rFonts w:eastAsia="Calibri"/>
                <w:b/>
                <w:sz w:val="22"/>
              </w:rPr>
              <w:lastRenderedPageBreak/>
              <w:t>Articolul 31</w:t>
            </w:r>
            <w:r w:rsidRPr="00154588">
              <w:rPr>
                <w:rFonts w:eastAsia="Calibri"/>
                <w:b/>
                <w:sz w:val="22"/>
                <w:vertAlign w:val="superscript"/>
              </w:rPr>
              <w:t>9</w:t>
            </w:r>
            <w:r w:rsidRPr="00154588">
              <w:rPr>
                <w:rFonts w:eastAsia="Calibri"/>
                <w:sz w:val="22"/>
              </w:rPr>
              <w:t>. –</w:t>
            </w:r>
            <w:r w:rsidRPr="00154588">
              <w:rPr>
                <w:rFonts w:eastAsia="Calibri"/>
                <w:b/>
                <w:sz w:val="22"/>
              </w:rPr>
              <w:t xml:space="preserve"> </w:t>
            </w:r>
            <w:r w:rsidRPr="00154588">
              <w:rPr>
                <w:rFonts w:eastAsia="Calibri"/>
                <w:sz w:val="22"/>
              </w:rPr>
              <w:t>(1) Banca Națională a Moldovei, în calitate de autoritate de rezoluție la nivel de grup, adoptă împreună cu autoritățile de rezoluție ale filialelor, printr-o decizie comună, planul de rezoluție a grupului, în termen de patru luni de la transmiterea către acestea a informațiilor prevăzute la art.31</w:t>
            </w:r>
            <w:r w:rsidRPr="00154588">
              <w:rPr>
                <w:rFonts w:eastAsia="Calibri"/>
                <w:sz w:val="22"/>
                <w:vertAlign w:val="superscript"/>
              </w:rPr>
              <w:t>6</w:t>
            </w:r>
            <w:r w:rsidRPr="00154588">
              <w:rPr>
                <w:rFonts w:eastAsia="Calibri"/>
                <w:sz w:val="22"/>
              </w:rPr>
              <w:t xml:space="preserve"> alin.(2). Banca Națională a Moldovei poate solicita sprijinul Autorității Bancare Europene pentru adoptarea unei decizii comune.</w:t>
            </w:r>
          </w:p>
          <w:p w14:paraId="16877F46" w14:textId="77777777" w:rsidR="00F30E31" w:rsidRPr="00154588" w:rsidRDefault="00F30E31" w:rsidP="008C12B4">
            <w:pPr>
              <w:ind w:firstLine="567"/>
              <w:jc w:val="both"/>
              <w:rPr>
                <w:rFonts w:eastAsia="Calibri"/>
                <w:sz w:val="22"/>
              </w:rPr>
            </w:pPr>
            <w:r w:rsidRPr="00154588">
              <w:rPr>
                <w:rFonts w:eastAsia="Calibri"/>
                <w:sz w:val="22"/>
              </w:rPr>
              <w:lastRenderedPageBreak/>
              <w:t>(2) În cazul în care grupul cuprinde mai multe grupuri de rezoluție, planificarea acțiunilor de rezoluție prevăzute la art.31</w:t>
            </w:r>
            <w:r w:rsidRPr="00154588">
              <w:rPr>
                <w:rFonts w:eastAsia="Calibri"/>
                <w:sz w:val="22"/>
                <w:vertAlign w:val="superscript"/>
              </w:rPr>
              <w:t>3</w:t>
            </w:r>
            <w:r w:rsidRPr="00154588">
              <w:rPr>
                <w:rFonts w:eastAsia="Calibri"/>
                <w:sz w:val="22"/>
              </w:rPr>
              <w:t xml:space="preserve"> alin.(1) lit. a</w:t>
            </w:r>
            <w:r w:rsidRPr="00154588">
              <w:rPr>
                <w:rFonts w:eastAsia="Calibri"/>
                <w:sz w:val="22"/>
                <w:vertAlign w:val="superscript"/>
              </w:rPr>
              <w:t>1</w:t>
            </w:r>
            <w:r w:rsidRPr="00154588">
              <w:rPr>
                <w:rFonts w:eastAsia="Calibri"/>
                <w:sz w:val="22"/>
              </w:rPr>
              <w:t>) se include într-o decizie comună, astfel cum se menționează la alin.(1).</w:t>
            </w:r>
          </w:p>
          <w:p w14:paraId="4E4407B4" w14:textId="77777777" w:rsidR="005E0361" w:rsidRPr="00154588" w:rsidRDefault="005E0361" w:rsidP="008C12B4">
            <w:pPr>
              <w:jc w:val="both"/>
              <w:rPr>
                <w:bCs/>
                <w:sz w:val="22"/>
              </w:rPr>
            </w:pPr>
          </w:p>
        </w:tc>
        <w:tc>
          <w:tcPr>
            <w:tcW w:w="2552" w:type="dxa"/>
          </w:tcPr>
          <w:p w14:paraId="47A1CD09" w14:textId="149DB22E" w:rsidR="005E0361" w:rsidRPr="00154588" w:rsidRDefault="00697AB0" w:rsidP="008C12B4">
            <w:pPr>
              <w:jc w:val="both"/>
              <w:rPr>
                <w:bCs/>
                <w:sz w:val="20"/>
                <w:szCs w:val="20"/>
              </w:rPr>
            </w:pPr>
            <w:r w:rsidRPr="00154588">
              <w:rPr>
                <w:bCs/>
                <w:sz w:val="20"/>
                <w:szCs w:val="20"/>
              </w:rPr>
              <w:lastRenderedPageBreak/>
              <w:t>Compatibil</w:t>
            </w:r>
          </w:p>
        </w:tc>
        <w:tc>
          <w:tcPr>
            <w:tcW w:w="3118" w:type="dxa"/>
          </w:tcPr>
          <w:p w14:paraId="2543B673" w14:textId="77777777" w:rsidR="005E0361" w:rsidRPr="00154588" w:rsidRDefault="005E0361" w:rsidP="008C12B4">
            <w:pPr>
              <w:jc w:val="both"/>
              <w:rPr>
                <w:bCs/>
                <w:sz w:val="20"/>
                <w:szCs w:val="20"/>
              </w:rPr>
            </w:pPr>
          </w:p>
        </w:tc>
      </w:tr>
      <w:tr w:rsidR="005E0361" w:rsidRPr="00154588" w14:paraId="7FA34377" w14:textId="77777777" w:rsidTr="00D15C1B">
        <w:trPr>
          <w:jc w:val="center"/>
        </w:trPr>
        <w:tc>
          <w:tcPr>
            <w:tcW w:w="4957" w:type="dxa"/>
            <w:gridSpan w:val="2"/>
          </w:tcPr>
          <w:p w14:paraId="0D1DA91D" w14:textId="3F86D146" w:rsidR="005E0361" w:rsidRPr="00154588" w:rsidRDefault="005E0361" w:rsidP="008C12B4">
            <w:pPr>
              <w:jc w:val="both"/>
              <w:rPr>
                <w:bCs/>
                <w:sz w:val="20"/>
                <w:szCs w:val="20"/>
              </w:rPr>
            </w:pPr>
            <w:r w:rsidRPr="00154588">
              <w:rPr>
                <w:bCs/>
                <w:sz w:val="20"/>
                <w:szCs w:val="20"/>
              </w:rPr>
              <w:t>(5) În absența unei decizii comune a autorităților de rezoluție în termen de patru luni, autoritatea de rezoluție a grupului ia propria decizie cu privire la planul de rezoluție a grupului. Decizia este temeinic motivată și ia în considerare avizele și rezervele altor autorități de rezoluție. Decizia se transmite întreprinderii-mamă din Uniune de către autoritate de rezoluție a grupului.</w:t>
            </w:r>
          </w:p>
          <w:p w14:paraId="564B0E27" w14:textId="77777777" w:rsidR="005E0361" w:rsidRPr="00154588" w:rsidRDefault="005E0361" w:rsidP="008C12B4">
            <w:pPr>
              <w:jc w:val="both"/>
              <w:rPr>
                <w:sz w:val="20"/>
                <w:szCs w:val="20"/>
              </w:rPr>
            </w:pPr>
          </w:p>
          <w:p w14:paraId="2E3AF17B" w14:textId="45ED835E" w:rsidR="005E0361" w:rsidRPr="00154588" w:rsidRDefault="005E0361" w:rsidP="008C12B4">
            <w:pPr>
              <w:jc w:val="both"/>
              <w:rPr>
                <w:bCs/>
                <w:sz w:val="20"/>
                <w:szCs w:val="20"/>
              </w:rPr>
            </w:pPr>
            <w:r w:rsidRPr="00154588">
              <w:rPr>
                <w:bCs/>
                <w:sz w:val="20"/>
                <w:szCs w:val="20"/>
              </w:rPr>
              <w:t>Sub rezerva alineatului (9) din prezentul articol, dacă până la finalul perioadei de patru luni, oricare dintre autoritățile de rezoluție aduce problema în atenția ABE în conformitate cu articolul 19 din Regulamentul (UE) nr. 1093/2010, autoritatea de rezoluție a grupului își amână decizia și așteaptă orice decizie care poate fi luată de ABE în conformitate cu articolul 19 alineatul (3) din regulamentul menționat, adoptând ulterior propria sa decizie în conformitate cu decizia ABE. Perioada de patru luni este considerată a fi perioada de conciliere în înțelesul regulamentului menționat. ABE adoptă propria decizie în termen de o lună. Problema nu poate fi adusă în atenția ABE după expirarea perioadei de patru luni sau după ce s-a ajuns la o decizie comună. În absența unei decizii a ABE în termen de o lună, se aplică decizia autorității de rezoluție a grupului.</w:t>
            </w:r>
          </w:p>
        </w:tc>
        <w:tc>
          <w:tcPr>
            <w:tcW w:w="4819" w:type="dxa"/>
          </w:tcPr>
          <w:p w14:paraId="64932EAC" w14:textId="77777777" w:rsidR="006D4061" w:rsidRPr="00154588" w:rsidRDefault="006D4061" w:rsidP="008C12B4">
            <w:pPr>
              <w:ind w:firstLine="567"/>
              <w:jc w:val="both"/>
              <w:rPr>
                <w:rFonts w:eastAsia="Calibri"/>
                <w:sz w:val="20"/>
                <w:szCs w:val="20"/>
              </w:rPr>
            </w:pPr>
            <w:r w:rsidRPr="00154588">
              <w:rPr>
                <w:rFonts w:eastAsia="Calibri"/>
                <w:b/>
                <w:sz w:val="20"/>
                <w:szCs w:val="20"/>
              </w:rPr>
              <w:t>Articolul 31</w:t>
            </w:r>
            <w:r w:rsidRPr="00154588">
              <w:rPr>
                <w:rFonts w:eastAsia="Calibri"/>
                <w:b/>
                <w:sz w:val="20"/>
                <w:szCs w:val="20"/>
                <w:vertAlign w:val="superscript"/>
              </w:rPr>
              <w:t>10</w:t>
            </w:r>
            <w:r w:rsidRPr="00154588">
              <w:rPr>
                <w:rFonts w:eastAsia="Calibri"/>
                <w:b/>
                <w:sz w:val="20"/>
                <w:szCs w:val="20"/>
              </w:rPr>
              <w:t xml:space="preserve">. – </w:t>
            </w:r>
            <w:r w:rsidRPr="00154588">
              <w:rPr>
                <w:rFonts w:eastAsia="Calibri"/>
                <w:sz w:val="20"/>
                <w:szCs w:val="20"/>
              </w:rPr>
              <w:t>(1) În absența unei decizii comune a autorităților de rezoluție în termenul de patru luni prevăzut la art.31</w:t>
            </w:r>
            <w:r w:rsidRPr="00154588">
              <w:rPr>
                <w:rFonts w:eastAsia="Calibri"/>
                <w:sz w:val="20"/>
                <w:szCs w:val="20"/>
                <w:vertAlign w:val="superscript"/>
              </w:rPr>
              <w:t>9</w:t>
            </w:r>
            <w:r w:rsidRPr="00154588">
              <w:rPr>
                <w:rFonts w:eastAsia="Calibri"/>
                <w:sz w:val="20"/>
                <w:szCs w:val="20"/>
              </w:rPr>
              <w:t>, Banca Națională a Moldovei, în calitate de autoritate de rezoluție la nivel de grup, adoptă propria decizie cu privire la planul de rezoluție a grupului, temeinic motivată și ținând cont de opiniile și rezervele celorlalte autorități de rezoluție, transmite decizia adoptată întreprinderii-mamă din Uniunea Europeană.</w:t>
            </w:r>
          </w:p>
          <w:p w14:paraId="7D726ADA" w14:textId="77777777" w:rsidR="006D4061" w:rsidRPr="00154588" w:rsidRDefault="006D4061" w:rsidP="008C12B4">
            <w:pPr>
              <w:ind w:firstLine="567"/>
              <w:jc w:val="both"/>
              <w:rPr>
                <w:rFonts w:eastAsia="Calibri"/>
                <w:sz w:val="20"/>
                <w:szCs w:val="20"/>
              </w:rPr>
            </w:pPr>
            <w:r w:rsidRPr="00154588">
              <w:rPr>
                <w:rFonts w:eastAsia="Calibri"/>
                <w:sz w:val="20"/>
                <w:szCs w:val="20"/>
              </w:rPr>
              <w:t>(2) Dacă, în termenul de patru luni prevăzut la art.31</w:t>
            </w:r>
            <w:r w:rsidRPr="00154588">
              <w:rPr>
                <w:rFonts w:eastAsia="Calibri"/>
                <w:sz w:val="20"/>
                <w:szCs w:val="20"/>
                <w:vertAlign w:val="superscript"/>
              </w:rPr>
              <w:t>9</w:t>
            </w:r>
            <w:r w:rsidRPr="00154588">
              <w:rPr>
                <w:rFonts w:eastAsia="Calibri"/>
                <w:sz w:val="20"/>
                <w:szCs w:val="20"/>
              </w:rPr>
              <w:t>, oricare dintre celelalte autorități de rezoluție se adresează Autorității Bancare Europene în conformitate cu prevederile art.19 din Regulamentul (UE) nr.1093/2010, Banca Națională a Moldovei, în calitate de autoritate de rezoluție la nivel de grup, își amână decizia și așteaptă decizia pe care Autoritatea Bancară Europeană o poate lua.</w:t>
            </w:r>
          </w:p>
          <w:p w14:paraId="297A1C64" w14:textId="77777777" w:rsidR="006D4061" w:rsidRPr="00154588" w:rsidRDefault="006D4061" w:rsidP="008C12B4">
            <w:pPr>
              <w:ind w:firstLine="567"/>
              <w:jc w:val="both"/>
              <w:rPr>
                <w:rFonts w:eastAsia="Calibri"/>
                <w:sz w:val="20"/>
                <w:szCs w:val="20"/>
              </w:rPr>
            </w:pPr>
            <w:r w:rsidRPr="00154588">
              <w:rPr>
                <w:rFonts w:eastAsia="Calibri"/>
                <w:sz w:val="20"/>
                <w:szCs w:val="20"/>
              </w:rPr>
              <w:t>(3) Perioada de patru luni este considerată perioadă de conciliere în sensul art. 19 din Regulamentul (UE) nr.1093/2010.</w:t>
            </w:r>
          </w:p>
          <w:p w14:paraId="4C9FF115" w14:textId="77777777" w:rsidR="006D4061" w:rsidRPr="00154588" w:rsidRDefault="006D4061" w:rsidP="008C12B4">
            <w:pPr>
              <w:ind w:firstLine="567"/>
              <w:jc w:val="both"/>
              <w:rPr>
                <w:rFonts w:eastAsia="Calibri"/>
                <w:sz w:val="20"/>
                <w:szCs w:val="20"/>
              </w:rPr>
            </w:pPr>
            <w:r w:rsidRPr="00154588">
              <w:rPr>
                <w:rFonts w:eastAsia="Calibri"/>
                <w:sz w:val="20"/>
                <w:szCs w:val="20"/>
              </w:rPr>
              <w:t>(4) Banca Națională a Moldovei, în calitate de autoritate de rezoluție la nivel de grup, ține cont la adoptarea propriei decizii, de decizia Autorității Bancare Europene, exprimată în termen de o lună.</w:t>
            </w:r>
          </w:p>
          <w:p w14:paraId="2EF09AC8" w14:textId="77777777" w:rsidR="006D4061" w:rsidRPr="00154588" w:rsidRDefault="006D4061" w:rsidP="008C12B4">
            <w:pPr>
              <w:ind w:firstLine="567"/>
              <w:jc w:val="both"/>
              <w:rPr>
                <w:rFonts w:eastAsia="Calibri"/>
                <w:sz w:val="20"/>
                <w:szCs w:val="20"/>
              </w:rPr>
            </w:pPr>
            <w:r w:rsidRPr="00154588">
              <w:rPr>
                <w:rFonts w:eastAsia="Calibri"/>
                <w:sz w:val="20"/>
                <w:szCs w:val="20"/>
              </w:rPr>
              <w:t>(5) După expirarea termenului de patru luni sau după ce s-a ajuns la o decizie comună, Banca Națională a Moldovei, în calitate de autoritate de rezoluție la nivel de grup, nu se mai poate adresa Autorității Bancare Europene în vederea ajungerii la un acord cu privire la planul de rezoluție la nivel de grup.</w:t>
            </w:r>
          </w:p>
          <w:p w14:paraId="34D05BFD" w14:textId="41262234" w:rsidR="005E0361" w:rsidRPr="00154588" w:rsidRDefault="006D4061" w:rsidP="008C12B4">
            <w:pPr>
              <w:ind w:firstLine="567"/>
              <w:jc w:val="both"/>
              <w:rPr>
                <w:rFonts w:eastAsia="Calibri"/>
                <w:sz w:val="22"/>
              </w:rPr>
            </w:pPr>
            <w:r w:rsidRPr="00154588">
              <w:rPr>
                <w:rFonts w:eastAsia="Calibri"/>
                <w:sz w:val="20"/>
                <w:szCs w:val="20"/>
              </w:rPr>
              <w:t>(6) În absența unei decizii a Autorității Bancare Europene în termen de o lună, se aplică decizia Băncii Naționale a Moldovei, în calitate de autoritate de rezoluție la nivel de grup.</w:t>
            </w:r>
          </w:p>
        </w:tc>
        <w:tc>
          <w:tcPr>
            <w:tcW w:w="2552" w:type="dxa"/>
          </w:tcPr>
          <w:p w14:paraId="33A694B1" w14:textId="00C93B39" w:rsidR="005E0361" w:rsidRPr="00154588" w:rsidRDefault="00697AB0" w:rsidP="008C12B4">
            <w:pPr>
              <w:jc w:val="both"/>
              <w:rPr>
                <w:bCs/>
                <w:sz w:val="20"/>
                <w:szCs w:val="20"/>
              </w:rPr>
            </w:pPr>
            <w:r w:rsidRPr="00154588">
              <w:rPr>
                <w:bCs/>
                <w:sz w:val="20"/>
                <w:szCs w:val="20"/>
              </w:rPr>
              <w:t>Compatibil</w:t>
            </w:r>
          </w:p>
        </w:tc>
        <w:tc>
          <w:tcPr>
            <w:tcW w:w="3118" w:type="dxa"/>
          </w:tcPr>
          <w:p w14:paraId="18A323EB" w14:textId="77777777" w:rsidR="005E0361" w:rsidRPr="00154588" w:rsidRDefault="005E0361" w:rsidP="008C12B4">
            <w:pPr>
              <w:jc w:val="both"/>
              <w:rPr>
                <w:bCs/>
                <w:sz w:val="20"/>
                <w:szCs w:val="20"/>
              </w:rPr>
            </w:pPr>
          </w:p>
        </w:tc>
      </w:tr>
      <w:tr w:rsidR="005E0361" w:rsidRPr="00154588" w14:paraId="1AC8347B" w14:textId="77777777" w:rsidTr="00D15C1B">
        <w:trPr>
          <w:jc w:val="center"/>
        </w:trPr>
        <w:tc>
          <w:tcPr>
            <w:tcW w:w="4957" w:type="dxa"/>
            <w:gridSpan w:val="2"/>
          </w:tcPr>
          <w:p w14:paraId="73A3A44F" w14:textId="77777777" w:rsidR="005E0361" w:rsidRPr="00154588" w:rsidRDefault="005E0361" w:rsidP="008C12B4">
            <w:pPr>
              <w:tabs>
                <w:tab w:val="left" w:pos="990"/>
              </w:tabs>
              <w:jc w:val="both"/>
              <w:rPr>
                <w:bCs/>
                <w:sz w:val="20"/>
                <w:szCs w:val="20"/>
              </w:rPr>
            </w:pPr>
            <w:r w:rsidRPr="00154588">
              <w:rPr>
                <w:bCs/>
                <w:sz w:val="20"/>
                <w:szCs w:val="20"/>
              </w:rPr>
              <w:t xml:space="preserve">(6) În absența unei decizii comune a autorităților de rezoluție în termen de patru luni, fiecare autoritate de </w:t>
            </w:r>
            <w:r w:rsidRPr="00154588">
              <w:rPr>
                <w:bCs/>
                <w:sz w:val="20"/>
                <w:szCs w:val="20"/>
              </w:rPr>
              <w:lastRenderedPageBreak/>
              <w:t>rezoluție responsabilă pentru o filială care nu este de acord cu planul de rezoluție a grupului ia propria sa decizie și, după caz, identifică entitatea de rezoluție și elaborează și păstrează la zi un plan de rezoluție pentru grupul de rezoluție format din entitățile aflate în jurisdicția sa. Fiecare dintre deciziile individuale ale autorităților de rezoluție care și-au exprimat dezacordul este motivată temeinic, prezintă motivele dezacordului cu planul de rezoluție a grupului care a fost propus și ia în considerare avizele și rezervele celorlalte autorități de rezoluție și ale autorităților competente. Fiecare autoritate de rezoluție notifică decizia sa celorlalți membri ai colegiului de rezoluție.</w:t>
            </w:r>
          </w:p>
          <w:p w14:paraId="4DA037C0" w14:textId="77777777" w:rsidR="005E0361" w:rsidRPr="00154588" w:rsidRDefault="005E0361" w:rsidP="008C12B4">
            <w:pPr>
              <w:tabs>
                <w:tab w:val="left" w:pos="990"/>
              </w:tabs>
              <w:jc w:val="both"/>
              <w:rPr>
                <w:bCs/>
                <w:sz w:val="20"/>
                <w:szCs w:val="20"/>
              </w:rPr>
            </w:pPr>
          </w:p>
          <w:p w14:paraId="09B5FEBE" w14:textId="157007F0" w:rsidR="005E0361" w:rsidRPr="00154588" w:rsidRDefault="005E0361" w:rsidP="008C12B4">
            <w:pPr>
              <w:tabs>
                <w:tab w:val="left" w:pos="990"/>
              </w:tabs>
              <w:jc w:val="both"/>
              <w:rPr>
                <w:bCs/>
                <w:sz w:val="20"/>
                <w:szCs w:val="20"/>
              </w:rPr>
            </w:pPr>
            <w:r w:rsidRPr="00154588">
              <w:rPr>
                <w:bCs/>
                <w:sz w:val="20"/>
                <w:szCs w:val="20"/>
              </w:rPr>
              <w:t>Sub rezerva alineatului (9) din prezentul articol, dacă până la finalul perioadei de patru luni, oricare dintre autoritățile de rezoluție aduce problema în atenția ABE în conformitate cu articolul 19 din Regulamentul (UE) nr. 1093/2010, autoritatea de rezoluție în cauză își amână decizia și așteaptă orice decizie care poate fi luată de ABE în conformitate cu articolul 19 alineatul (3) din regulamentul menționat, adoptând ulterior propria sa decizie în conformitate cu decizia ABE. Perioada de patru luni este considerată a fi perioada de conciliere în înțelesul regulamentului menționat. ABE adoptă propria decizie în termen de o lună. Problema nu poate fi adusă în atenția ABE după expirarea perioadei de patru luni sau după ce s-a ajuns la o decizie comună. În absența unei decizii a ABE în termen de o lună, se aplică decizia autorității de rezoluție a filialei.</w:t>
            </w:r>
          </w:p>
        </w:tc>
        <w:tc>
          <w:tcPr>
            <w:tcW w:w="4819" w:type="dxa"/>
          </w:tcPr>
          <w:p w14:paraId="13E20BDB" w14:textId="77777777" w:rsidR="005E0361" w:rsidRPr="00154588" w:rsidRDefault="005E0361" w:rsidP="008C12B4">
            <w:pPr>
              <w:jc w:val="both"/>
              <w:rPr>
                <w:bCs/>
                <w:sz w:val="20"/>
                <w:szCs w:val="20"/>
              </w:rPr>
            </w:pPr>
          </w:p>
        </w:tc>
        <w:tc>
          <w:tcPr>
            <w:tcW w:w="2552" w:type="dxa"/>
          </w:tcPr>
          <w:p w14:paraId="72256576" w14:textId="77777777" w:rsidR="005E0361" w:rsidRPr="00154588" w:rsidRDefault="005E0361" w:rsidP="008C12B4">
            <w:pPr>
              <w:jc w:val="both"/>
              <w:rPr>
                <w:bCs/>
                <w:sz w:val="20"/>
                <w:szCs w:val="20"/>
              </w:rPr>
            </w:pPr>
          </w:p>
        </w:tc>
        <w:tc>
          <w:tcPr>
            <w:tcW w:w="3118" w:type="dxa"/>
          </w:tcPr>
          <w:p w14:paraId="1FB25967" w14:textId="7A6CEC88" w:rsidR="005E0361" w:rsidRPr="00154588" w:rsidRDefault="006D4061" w:rsidP="008C12B4">
            <w:pPr>
              <w:jc w:val="both"/>
              <w:rPr>
                <w:bCs/>
                <w:sz w:val="20"/>
                <w:szCs w:val="20"/>
              </w:rPr>
            </w:pPr>
            <w:r w:rsidRPr="00154588">
              <w:rPr>
                <w:bCs/>
                <w:sz w:val="20"/>
                <w:szCs w:val="20"/>
              </w:rPr>
              <w:t>Este transpus la art. 31</w:t>
            </w:r>
            <w:r w:rsidRPr="00154588">
              <w:rPr>
                <w:bCs/>
                <w:sz w:val="20"/>
                <w:szCs w:val="20"/>
                <w:vertAlign w:val="superscript"/>
              </w:rPr>
              <w:t xml:space="preserve">16 </w:t>
            </w:r>
            <w:r w:rsidRPr="00154588">
              <w:rPr>
                <w:bCs/>
                <w:sz w:val="20"/>
                <w:szCs w:val="20"/>
              </w:rPr>
              <w:t>la Secțiunea 5-a</w:t>
            </w:r>
          </w:p>
        </w:tc>
      </w:tr>
      <w:tr w:rsidR="00697AB0" w:rsidRPr="00154588" w14:paraId="3AA89B08" w14:textId="77777777" w:rsidTr="00D15C1B">
        <w:trPr>
          <w:jc w:val="center"/>
        </w:trPr>
        <w:tc>
          <w:tcPr>
            <w:tcW w:w="4957" w:type="dxa"/>
            <w:gridSpan w:val="2"/>
          </w:tcPr>
          <w:p w14:paraId="44241007" w14:textId="430C0127" w:rsidR="00697AB0" w:rsidRPr="00154588" w:rsidRDefault="00697AB0" w:rsidP="008C12B4">
            <w:pPr>
              <w:jc w:val="both"/>
              <w:rPr>
                <w:bCs/>
                <w:sz w:val="20"/>
                <w:szCs w:val="20"/>
              </w:rPr>
            </w:pPr>
            <w:r w:rsidRPr="00154588">
              <w:rPr>
                <w:bCs/>
                <w:sz w:val="20"/>
                <w:szCs w:val="20"/>
              </w:rPr>
              <w:t>(7) Celelalte autorități de rezoluție între care nu există un dezacord în conformitate cu alineatul (6) pot ajunge la o decizie comună privind planul de rezoluție a grupului care acoperă entitățile din grup aflate sub jurisdicțiile lor.</w:t>
            </w:r>
          </w:p>
        </w:tc>
        <w:tc>
          <w:tcPr>
            <w:tcW w:w="4819" w:type="dxa"/>
          </w:tcPr>
          <w:p w14:paraId="11FC01CA" w14:textId="23F52BFF" w:rsidR="00697AB0" w:rsidRPr="00154588" w:rsidRDefault="00697AB0" w:rsidP="008C12B4">
            <w:pPr>
              <w:ind w:firstLine="567"/>
              <w:jc w:val="both"/>
              <w:rPr>
                <w:rFonts w:eastAsia="Calibri"/>
                <w:sz w:val="20"/>
                <w:szCs w:val="20"/>
              </w:rPr>
            </w:pPr>
            <w:r w:rsidRPr="00154588">
              <w:rPr>
                <w:rFonts w:eastAsia="Calibri"/>
                <w:b/>
                <w:sz w:val="20"/>
                <w:szCs w:val="20"/>
              </w:rPr>
              <w:t>Articolul 31</w:t>
            </w:r>
            <w:r w:rsidRPr="00154588">
              <w:rPr>
                <w:rFonts w:eastAsia="Calibri"/>
                <w:b/>
                <w:sz w:val="20"/>
                <w:szCs w:val="20"/>
                <w:vertAlign w:val="superscript"/>
              </w:rPr>
              <w:t>11</w:t>
            </w:r>
            <w:r w:rsidRPr="00154588">
              <w:rPr>
                <w:rFonts w:eastAsia="Calibri"/>
                <w:sz w:val="20"/>
                <w:szCs w:val="20"/>
              </w:rPr>
              <w:t>. –</w:t>
            </w:r>
            <w:r w:rsidRPr="00154588">
              <w:rPr>
                <w:rFonts w:eastAsia="Calibri"/>
                <w:b/>
                <w:sz w:val="20"/>
                <w:szCs w:val="20"/>
              </w:rPr>
              <w:t xml:space="preserve"> </w:t>
            </w:r>
            <w:r w:rsidRPr="00154588">
              <w:rPr>
                <w:rFonts w:eastAsia="Calibri"/>
                <w:sz w:val="20"/>
                <w:szCs w:val="20"/>
              </w:rPr>
              <w:t>Banca Națională a Moldovei, în calitate de autoritate de rezoluție la nivel de grup, poate ajunge la o decizie comună referitoare la un plan de rezoluție la nivel de grup care vizează entitățile din grup aflate sub jurisdicția sa, împreună cu autoritățile de rezoluție care nu s-au adresat Autorității Bancare Europene în acest sens, potrivit art.31</w:t>
            </w:r>
            <w:r w:rsidRPr="00154588">
              <w:rPr>
                <w:rFonts w:eastAsia="Calibri"/>
                <w:sz w:val="20"/>
                <w:szCs w:val="20"/>
                <w:vertAlign w:val="superscript"/>
              </w:rPr>
              <w:t>10</w:t>
            </w:r>
            <w:r w:rsidRPr="00154588">
              <w:rPr>
                <w:rFonts w:eastAsia="Calibri"/>
                <w:sz w:val="20"/>
                <w:szCs w:val="20"/>
              </w:rPr>
              <w:t xml:space="preserve"> alin. (2).</w:t>
            </w:r>
          </w:p>
        </w:tc>
        <w:tc>
          <w:tcPr>
            <w:tcW w:w="2552" w:type="dxa"/>
          </w:tcPr>
          <w:p w14:paraId="480DC9BF" w14:textId="5BAC71A5" w:rsidR="00697AB0" w:rsidRPr="00154588" w:rsidRDefault="00697AB0" w:rsidP="008C12B4">
            <w:pPr>
              <w:jc w:val="both"/>
              <w:rPr>
                <w:bCs/>
                <w:sz w:val="20"/>
                <w:szCs w:val="20"/>
              </w:rPr>
            </w:pPr>
            <w:r w:rsidRPr="00154588">
              <w:rPr>
                <w:bCs/>
                <w:sz w:val="20"/>
                <w:szCs w:val="20"/>
              </w:rPr>
              <w:t>Compatibil</w:t>
            </w:r>
          </w:p>
        </w:tc>
        <w:tc>
          <w:tcPr>
            <w:tcW w:w="3118" w:type="dxa"/>
          </w:tcPr>
          <w:p w14:paraId="540172D6" w14:textId="77777777" w:rsidR="00697AB0" w:rsidRPr="00154588" w:rsidRDefault="00697AB0" w:rsidP="008C12B4">
            <w:pPr>
              <w:jc w:val="both"/>
              <w:rPr>
                <w:bCs/>
                <w:sz w:val="20"/>
                <w:szCs w:val="20"/>
              </w:rPr>
            </w:pPr>
          </w:p>
        </w:tc>
      </w:tr>
      <w:tr w:rsidR="00697AB0" w:rsidRPr="00154588" w14:paraId="326DF178" w14:textId="77777777" w:rsidTr="00D15C1B">
        <w:trPr>
          <w:jc w:val="center"/>
        </w:trPr>
        <w:tc>
          <w:tcPr>
            <w:tcW w:w="4957" w:type="dxa"/>
            <w:gridSpan w:val="2"/>
          </w:tcPr>
          <w:p w14:paraId="266A88AD" w14:textId="0DFE60CE" w:rsidR="00697AB0" w:rsidRPr="00154588" w:rsidRDefault="00697AB0" w:rsidP="008C12B4">
            <w:pPr>
              <w:jc w:val="both"/>
              <w:rPr>
                <w:bCs/>
                <w:sz w:val="20"/>
                <w:szCs w:val="20"/>
              </w:rPr>
            </w:pPr>
            <w:r w:rsidRPr="00154588">
              <w:rPr>
                <w:bCs/>
                <w:sz w:val="20"/>
                <w:szCs w:val="20"/>
              </w:rPr>
              <w:t>(8)  Deciziile comune menționate la alineatele (4) și (7), precum și deciziile adoptate de autoritățile de rezoluție în absența deciziei comune menționate la alineatele (5) și (6) sunt recunoscute ca fiind definitive și sunt aplicate de către celelalte autorități de rezoluție vizate.</w:t>
            </w:r>
          </w:p>
        </w:tc>
        <w:tc>
          <w:tcPr>
            <w:tcW w:w="4819" w:type="dxa"/>
          </w:tcPr>
          <w:p w14:paraId="7E35AF91" w14:textId="40969ABE" w:rsidR="00697AB0" w:rsidRPr="00154588" w:rsidRDefault="00697AB0" w:rsidP="008C12B4">
            <w:pPr>
              <w:ind w:firstLine="567"/>
              <w:jc w:val="both"/>
              <w:rPr>
                <w:rFonts w:eastAsia="Calibri"/>
                <w:sz w:val="20"/>
                <w:szCs w:val="20"/>
              </w:rPr>
            </w:pPr>
            <w:r w:rsidRPr="00154588">
              <w:rPr>
                <w:rFonts w:eastAsia="Calibri"/>
                <w:b/>
                <w:sz w:val="20"/>
                <w:szCs w:val="20"/>
              </w:rPr>
              <w:t>Articolul 31</w:t>
            </w:r>
            <w:r w:rsidRPr="00154588">
              <w:rPr>
                <w:rFonts w:eastAsia="Calibri"/>
                <w:b/>
                <w:sz w:val="20"/>
                <w:szCs w:val="20"/>
                <w:vertAlign w:val="superscript"/>
              </w:rPr>
              <w:t>12</w:t>
            </w:r>
            <w:r w:rsidRPr="00154588">
              <w:rPr>
                <w:rFonts w:eastAsia="Calibri"/>
                <w:b/>
                <w:sz w:val="20"/>
                <w:szCs w:val="20"/>
              </w:rPr>
              <w:t xml:space="preserve">. </w:t>
            </w:r>
            <w:r w:rsidRPr="00154588">
              <w:rPr>
                <w:rFonts w:eastAsia="Calibri"/>
                <w:sz w:val="20"/>
                <w:szCs w:val="20"/>
              </w:rPr>
              <w:t>– Decizia comună prevăzută la art.31</w:t>
            </w:r>
            <w:r w:rsidRPr="00154588">
              <w:rPr>
                <w:rFonts w:eastAsia="Calibri"/>
                <w:sz w:val="20"/>
                <w:szCs w:val="20"/>
                <w:vertAlign w:val="superscript"/>
              </w:rPr>
              <w:t>9</w:t>
            </w:r>
            <w:r w:rsidRPr="00154588">
              <w:rPr>
                <w:rFonts w:eastAsia="Calibri"/>
                <w:sz w:val="20"/>
                <w:szCs w:val="20"/>
              </w:rPr>
              <w:t> și art.31</w:t>
            </w:r>
            <w:r w:rsidRPr="00154588">
              <w:rPr>
                <w:rFonts w:eastAsia="Calibri"/>
                <w:sz w:val="20"/>
                <w:szCs w:val="20"/>
                <w:vertAlign w:val="superscript"/>
              </w:rPr>
              <w:t>11</w:t>
            </w:r>
            <w:r w:rsidRPr="00154588">
              <w:rPr>
                <w:rFonts w:eastAsia="Calibri"/>
                <w:sz w:val="20"/>
                <w:szCs w:val="20"/>
              </w:rPr>
              <w:t> sau decizia adoptată în absența deciziei comune, prevăzută la art. 31</w:t>
            </w:r>
            <w:r w:rsidRPr="00154588">
              <w:rPr>
                <w:rFonts w:eastAsia="Calibri"/>
                <w:sz w:val="20"/>
                <w:szCs w:val="20"/>
                <w:vertAlign w:val="superscript"/>
              </w:rPr>
              <w:t>10</w:t>
            </w:r>
            <w:r w:rsidRPr="00154588">
              <w:rPr>
                <w:rFonts w:eastAsia="Calibri"/>
                <w:sz w:val="20"/>
                <w:szCs w:val="20"/>
              </w:rPr>
              <w:t xml:space="preserve"> alin.(1), este recunoscută ca definitivă și este aplicată de celelalte autorități de rezoluție vizate.</w:t>
            </w:r>
          </w:p>
        </w:tc>
        <w:tc>
          <w:tcPr>
            <w:tcW w:w="2552" w:type="dxa"/>
          </w:tcPr>
          <w:p w14:paraId="6ACCD661" w14:textId="03AFDF80" w:rsidR="00697AB0" w:rsidRPr="00154588" w:rsidRDefault="00697AB0" w:rsidP="008C12B4">
            <w:pPr>
              <w:jc w:val="both"/>
              <w:rPr>
                <w:bCs/>
                <w:sz w:val="20"/>
                <w:szCs w:val="20"/>
              </w:rPr>
            </w:pPr>
            <w:r w:rsidRPr="00154588">
              <w:rPr>
                <w:bCs/>
                <w:sz w:val="20"/>
                <w:szCs w:val="20"/>
              </w:rPr>
              <w:t>Compatibil</w:t>
            </w:r>
          </w:p>
        </w:tc>
        <w:tc>
          <w:tcPr>
            <w:tcW w:w="3118" w:type="dxa"/>
          </w:tcPr>
          <w:p w14:paraId="4F494771" w14:textId="77777777" w:rsidR="00697AB0" w:rsidRPr="00154588" w:rsidRDefault="00697AB0" w:rsidP="008C12B4">
            <w:pPr>
              <w:jc w:val="both"/>
              <w:rPr>
                <w:bCs/>
                <w:sz w:val="20"/>
                <w:szCs w:val="20"/>
              </w:rPr>
            </w:pPr>
          </w:p>
        </w:tc>
      </w:tr>
      <w:tr w:rsidR="00697AB0" w:rsidRPr="00154588" w14:paraId="74BA0798" w14:textId="77777777" w:rsidTr="00D15C1B">
        <w:trPr>
          <w:jc w:val="center"/>
        </w:trPr>
        <w:tc>
          <w:tcPr>
            <w:tcW w:w="4957" w:type="dxa"/>
            <w:gridSpan w:val="2"/>
          </w:tcPr>
          <w:p w14:paraId="4675A7BC" w14:textId="13FB3C87" w:rsidR="00697AB0" w:rsidRPr="00154588" w:rsidRDefault="00697AB0" w:rsidP="008C12B4">
            <w:pPr>
              <w:jc w:val="both"/>
              <w:rPr>
                <w:bCs/>
                <w:sz w:val="20"/>
                <w:szCs w:val="20"/>
              </w:rPr>
            </w:pPr>
            <w:r w:rsidRPr="00154588">
              <w:rPr>
                <w:bCs/>
                <w:sz w:val="20"/>
                <w:szCs w:val="20"/>
              </w:rPr>
              <w:t xml:space="preserve">(9)   În conformitate cu alineatele (5) și (6) din prezentul articol, la cererea unei autorități de rezoluție, ABE poate acorda asistență autorităților de rezoluție în vederea ajungerii la un acord în conformitate cu articolul 19 alineatul (3) din Regulamentul (UE) nr. 1093/2010, cu </w:t>
            </w:r>
            <w:r w:rsidRPr="00154588">
              <w:rPr>
                <w:bCs/>
                <w:sz w:val="20"/>
                <w:szCs w:val="20"/>
              </w:rPr>
              <w:lastRenderedPageBreak/>
              <w:t>excepția cazului în care oricare dintre autoritățile de rezoluție vizate evaluează că aspectul care face obiectul dezacordului poate afecta în orice mod responsabilitățile fiscale ale statului său membru.</w:t>
            </w:r>
          </w:p>
        </w:tc>
        <w:tc>
          <w:tcPr>
            <w:tcW w:w="4819" w:type="dxa"/>
          </w:tcPr>
          <w:p w14:paraId="57BEFAEE" w14:textId="77777777" w:rsidR="00697AB0" w:rsidRPr="00154588" w:rsidRDefault="00697AB0" w:rsidP="008C12B4">
            <w:pPr>
              <w:jc w:val="both"/>
              <w:rPr>
                <w:bCs/>
                <w:sz w:val="20"/>
                <w:szCs w:val="20"/>
              </w:rPr>
            </w:pPr>
          </w:p>
        </w:tc>
        <w:tc>
          <w:tcPr>
            <w:tcW w:w="2552" w:type="dxa"/>
          </w:tcPr>
          <w:p w14:paraId="1886FD24" w14:textId="77777777" w:rsidR="00697AB0" w:rsidRPr="00154588" w:rsidRDefault="00697AB0" w:rsidP="008C12B4">
            <w:pPr>
              <w:jc w:val="both"/>
              <w:rPr>
                <w:bCs/>
                <w:sz w:val="20"/>
                <w:szCs w:val="20"/>
              </w:rPr>
            </w:pPr>
          </w:p>
        </w:tc>
        <w:tc>
          <w:tcPr>
            <w:tcW w:w="3118" w:type="dxa"/>
          </w:tcPr>
          <w:p w14:paraId="0DA9FD49" w14:textId="6889D5BB" w:rsidR="00697AB0" w:rsidRPr="00154588" w:rsidRDefault="00697AB0" w:rsidP="008C12B4">
            <w:pPr>
              <w:jc w:val="both"/>
              <w:rPr>
                <w:bCs/>
                <w:sz w:val="20"/>
                <w:szCs w:val="20"/>
              </w:rPr>
            </w:pPr>
            <w:r w:rsidRPr="00154588">
              <w:rPr>
                <w:bCs/>
                <w:sz w:val="20"/>
                <w:szCs w:val="20"/>
              </w:rPr>
              <w:t>Este transpus la art. 31</w:t>
            </w:r>
            <w:r w:rsidRPr="00154588">
              <w:rPr>
                <w:bCs/>
                <w:sz w:val="20"/>
                <w:szCs w:val="20"/>
                <w:vertAlign w:val="superscript"/>
              </w:rPr>
              <w:t xml:space="preserve">16 </w:t>
            </w:r>
            <w:r w:rsidRPr="00154588">
              <w:rPr>
                <w:bCs/>
                <w:sz w:val="20"/>
                <w:szCs w:val="20"/>
              </w:rPr>
              <w:t>la Secțiunea 5-a</w:t>
            </w:r>
          </w:p>
        </w:tc>
      </w:tr>
      <w:tr w:rsidR="00697AB0" w:rsidRPr="00154588" w14:paraId="53F41549" w14:textId="77777777" w:rsidTr="006A2A6A">
        <w:trPr>
          <w:trHeight w:val="1840"/>
          <w:jc w:val="center"/>
        </w:trPr>
        <w:tc>
          <w:tcPr>
            <w:tcW w:w="4957" w:type="dxa"/>
            <w:gridSpan w:val="2"/>
          </w:tcPr>
          <w:p w14:paraId="130F55A0" w14:textId="61B7E8BB" w:rsidR="00697AB0" w:rsidRPr="00154588" w:rsidRDefault="00697AB0" w:rsidP="008C12B4">
            <w:pPr>
              <w:jc w:val="both"/>
              <w:rPr>
                <w:bCs/>
                <w:sz w:val="20"/>
                <w:szCs w:val="20"/>
              </w:rPr>
            </w:pPr>
            <w:r w:rsidRPr="00154588">
              <w:rPr>
                <w:bCs/>
                <w:sz w:val="20"/>
                <w:szCs w:val="20"/>
              </w:rPr>
              <w:t>(10) În cazul în care sunt luate decizii comune în temeiul alineatelor (4) și (7) și în cazul în care o autoritate de rezoluție consideră, în temeiul alineatului (9), că motivul dezacordului privind planurile de rezoluție a grupului aduce atingere responsabilităților fiscale ale statului său membru, aceasta procedează la o reevaluare a planului de rezoluție a grupului, inclusiv cerința minimă privind fondurile proprii și pasivele eligibile.</w:t>
            </w:r>
          </w:p>
        </w:tc>
        <w:tc>
          <w:tcPr>
            <w:tcW w:w="4819" w:type="dxa"/>
          </w:tcPr>
          <w:p w14:paraId="1CEF7B9F" w14:textId="3534FD7D" w:rsidR="00697AB0" w:rsidRPr="00154588" w:rsidRDefault="00697AB0" w:rsidP="008C12B4">
            <w:pPr>
              <w:ind w:firstLine="567"/>
              <w:jc w:val="both"/>
              <w:rPr>
                <w:rFonts w:eastAsia="Calibri"/>
                <w:sz w:val="20"/>
                <w:szCs w:val="20"/>
              </w:rPr>
            </w:pPr>
            <w:r w:rsidRPr="00154588">
              <w:rPr>
                <w:rFonts w:eastAsia="Calibri"/>
                <w:b/>
                <w:sz w:val="20"/>
                <w:szCs w:val="20"/>
              </w:rPr>
              <w:t>Articolul 31</w:t>
            </w:r>
            <w:r w:rsidRPr="00154588">
              <w:rPr>
                <w:rFonts w:eastAsia="Calibri"/>
                <w:b/>
                <w:sz w:val="20"/>
                <w:szCs w:val="20"/>
                <w:vertAlign w:val="superscript"/>
              </w:rPr>
              <w:t>13</w:t>
            </w:r>
            <w:r w:rsidRPr="00154588">
              <w:rPr>
                <w:rFonts w:eastAsia="Calibri"/>
                <w:b/>
                <w:sz w:val="20"/>
                <w:szCs w:val="20"/>
              </w:rPr>
              <w:t>.</w:t>
            </w:r>
            <w:r w:rsidRPr="00154588">
              <w:rPr>
                <w:rFonts w:eastAsia="Calibri"/>
                <w:sz w:val="20"/>
                <w:szCs w:val="20"/>
              </w:rPr>
              <w:t xml:space="preserve"> –</w:t>
            </w:r>
            <w:r w:rsidRPr="00154588">
              <w:rPr>
                <w:rFonts w:eastAsia="Calibri"/>
                <w:b/>
                <w:sz w:val="20"/>
                <w:szCs w:val="20"/>
              </w:rPr>
              <w:t xml:space="preserve"> </w:t>
            </w:r>
            <w:r w:rsidRPr="00154588">
              <w:rPr>
                <w:rFonts w:eastAsia="Calibri"/>
                <w:sz w:val="20"/>
                <w:szCs w:val="20"/>
              </w:rPr>
              <w:t>Dacă sunt luate decizii comune în temeiul art.31</w:t>
            </w:r>
            <w:r w:rsidRPr="00154588">
              <w:rPr>
                <w:rFonts w:eastAsia="Calibri"/>
                <w:sz w:val="20"/>
                <w:szCs w:val="20"/>
                <w:vertAlign w:val="superscript"/>
              </w:rPr>
              <w:t>9</w:t>
            </w:r>
            <w:r w:rsidRPr="00154588">
              <w:rPr>
                <w:rFonts w:eastAsia="Calibri"/>
                <w:sz w:val="20"/>
                <w:szCs w:val="20"/>
              </w:rPr>
              <w:t> și art.31</w:t>
            </w:r>
            <w:r w:rsidRPr="00154588">
              <w:rPr>
                <w:rFonts w:eastAsia="Calibri"/>
                <w:sz w:val="20"/>
                <w:szCs w:val="20"/>
                <w:vertAlign w:val="superscript"/>
              </w:rPr>
              <w:t>11</w:t>
            </w:r>
            <w:r w:rsidRPr="00154588">
              <w:rPr>
                <w:rFonts w:eastAsia="Calibri"/>
                <w:sz w:val="20"/>
                <w:szCs w:val="20"/>
              </w:rPr>
              <w:t> și dacă o autoritate de rezoluție consideră că motivul dezacordului privind planul de rezoluție a grupului, în privința căruia s-a solicitat asistență Autorității Bancare Europene, afectează responsabilitățile fiscale ale statului membru al Uniunii Europene respectiv, Banca Națională a Moldovei, în calitate de autoritate de rezoluție la nivel de grup, în urma notificării primite de la autoritatea de rezoluție în cauză, informează Autoritatea Bancară Europeană asupra acestei situații și reevaluează planul de rezoluție a grupului, inclusiv cerințele minime privind fondurile proprii și datorii eligibile.</w:t>
            </w:r>
          </w:p>
        </w:tc>
        <w:tc>
          <w:tcPr>
            <w:tcW w:w="2552" w:type="dxa"/>
          </w:tcPr>
          <w:p w14:paraId="2E2A549C" w14:textId="44EA44B6" w:rsidR="00697AB0" w:rsidRPr="00154588" w:rsidRDefault="00697AB0" w:rsidP="008C12B4">
            <w:pPr>
              <w:jc w:val="both"/>
              <w:rPr>
                <w:bCs/>
                <w:sz w:val="20"/>
                <w:szCs w:val="20"/>
              </w:rPr>
            </w:pPr>
            <w:r w:rsidRPr="00154588">
              <w:rPr>
                <w:bCs/>
                <w:sz w:val="20"/>
                <w:szCs w:val="20"/>
              </w:rPr>
              <w:t>Compatibil</w:t>
            </w:r>
          </w:p>
        </w:tc>
        <w:tc>
          <w:tcPr>
            <w:tcW w:w="3118" w:type="dxa"/>
          </w:tcPr>
          <w:p w14:paraId="28FCB06D" w14:textId="7BF5DE1D" w:rsidR="00697AB0" w:rsidRPr="00154588" w:rsidRDefault="00E10003" w:rsidP="008C12B4">
            <w:pPr>
              <w:jc w:val="both"/>
              <w:rPr>
                <w:bCs/>
                <w:sz w:val="20"/>
                <w:szCs w:val="20"/>
              </w:rPr>
            </w:pPr>
            <w:r w:rsidRPr="00154588">
              <w:rPr>
                <w:bCs/>
                <w:sz w:val="20"/>
                <w:szCs w:val="20"/>
              </w:rPr>
              <w:t>Articolul 31</w:t>
            </w:r>
            <w:r w:rsidRPr="00154588">
              <w:rPr>
                <w:bCs/>
                <w:sz w:val="20"/>
                <w:szCs w:val="20"/>
                <w:vertAlign w:val="superscript"/>
              </w:rPr>
              <w:t>14</w:t>
            </w:r>
            <w:r w:rsidRPr="00154588">
              <w:rPr>
                <w:bCs/>
                <w:sz w:val="20"/>
                <w:szCs w:val="20"/>
              </w:rPr>
              <w:t xml:space="preserve"> este transpus la art.14 alin.(2) al Directvei</w:t>
            </w:r>
          </w:p>
        </w:tc>
      </w:tr>
      <w:tr w:rsidR="006A2A6A" w:rsidRPr="00154588" w14:paraId="364C9015" w14:textId="77777777" w:rsidTr="00D15C1B">
        <w:trPr>
          <w:jc w:val="center"/>
        </w:trPr>
        <w:tc>
          <w:tcPr>
            <w:tcW w:w="4957" w:type="dxa"/>
            <w:gridSpan w:val="2"/>
          </w:tcPr>
          <w:p w14:paraId="6DABBD83" w14:textId="77777777" w:rsidR="006A2A6A" w:rsidRPr="00154588" w:rsidRDefault="006A2A6A" w:rsidP="008C12B4">
            <w:pPr>
              <w:jc w:val="both"/>
              <w:rPr>
                <w:bCs/>
                <w:sz w:val="20"/>
                <w:szCs w:val="20"/>
              </w:rPr>
            </w:pPr>
          </w:p>
        </w:tc>
        <w:tc>
          <w:tcPr>
            <w:tcW w:w="4819" w:type="dxa"/>
          </w:tcPr>
          <w:p w14:paraId="519BACE0" w14:textId="77777777" w:rsidR="006A2A6A" w:rsidRPr="00154588" w:rsidRDefault="006A2A6A" w:rsidP="008C12B4">
            <w:pPr>
              <w:jc w:val="center"/>
              <w:rPr>
                <w:rFonts w:eastAsia="Calibri"/>
                <w:b/>
                <w:sz w:val="20"/>
                <w:szCs w:val="20"/>
              </w:rPr>
            </w:pPr>
            <w:r w:rsidRPr="00154588">
              <w:rPr>
                <w:rFonts w:eastAsia="Calibri"/>
                <w:b/>
                <w:sz w:val="20"/>
                <w:szCs w:val="20"/>
              </w:rPr>
              <w:t>Secțiunea a 5-a</w:t>
            </w:r>
          </w:p>
          <w:p w14:paraId="70924997" w14:textId="3B92BD08" w:rsidR="006A2A6A" w:rsidRPr="00154588" w:rsidRDefault="006A2A6A" w:rsidP="008C12B4">
            <w:pPr>
              <w:jc w:val="center"/>
              <w:rPr>
                <w:rFonts w:eastAsia="Calibri"/>
                <w:b/>
                <w:sz w:val="20"/>
                <w:szCs w:val="20"/>
              </w:rPr>
            </w:pPr>
            <w:r w:rsidRPr="00154588">
              <w:rPr>
                <w:rFonts w:eastAsia="Calibri"/>
                <w:b/>
                <w:sz w:val="20"/>
                <w:szCs w:val="20"/>
              </w:rPr>
              <w:t>Planificarea rezoluției la nivel de grup în cazul în care Banca Națională a Moldovei este autoritate de rezoluție la nivel individual sau, după caz autoritate de rezoluție la nivelul unui grup de rezoluție</w:t>
            </w:r>
          </w:p>
        </w:tc>
        <w:tc>
          <w:tcPr>
            <w:tcW w:w="2552" w:type="dxa"/>
          </w:tcPr>
          <w:p w14:paraId="371E2190" w14:textId="77777777" w:rsidR="006A2A6A" w:rsidRPr="00154588" w:rsidRDefault="006A2A6A" w:rsidP="008C12B4">
            <w:pPr>
              <w:jc w:val="both"/>
              <w:rPr>
                <w:bCs/>
                <w:sz w:val="20"/>
                <w:szCs w:val="20"/>
              </w:rPr>
            </w:pPr>
          </w:p>
        </w:tc>
        <w:tc>
          <w:tcPr>
            <w:tcW w:w="3118" w:type="dxa"/>
          </w:tcPr>
          <w:p w14:paraId="19FA66F5" w14:textId="77777777" w:rsidR="006A2A6A" w:rsidRPr="00154588" w:rsidRDefault="006A2A6A" w:rsidP="008C12B4">
            <w:pPr>
              <w:jc w:val="both"/>
              <w:rPr>
                <w:bCs/>
                <w:sz w:val="20"/>
                <w:szCs w:val="20"/>
              </w:rPr>
            </w:pPr>
          </w:p>
        </w:tc>
      </w:tr>
      <w:tr w:rsidR="004D7A83" w:rsidRPr="00154588" w14:paraId="0D58A25E" w14:textId="77777777" w:rsidTr="00D15C1B">
        <w:trPr>
          <w:jc w:val="center"/>
        </w:trPr>
        <w:tc>
          <w:tcPr>
            <w:tcW w:w="4957" w:type="dxa"/>
            <w:gridSpan w:val="2"/>
          </w:tcPr>
          <w:p w14:paraId="479A3346" w14:textId="438EAF06" w:rsidR="004D7A83" w:rsidRPr="00154588" w:rsidRDefault="004D7A83" w:rsidP="008C12B4">
            <w:pPr>
              <w:rPr>
                <w:bCs/>
                <w:sz w:val="20"/>
                <w:szCs w:val="20"/>
              </w:rPr>
            </w:pPr>
            <w:r w:rsidRPr="00154588">
              <w:rPr>
                <w:b/>
                <w:sz w:val="20"/>
                <w:szCs w:val="20"/>
              </w:rPr>
              <w:t>Articolul 12 Planuri de rezoluție a grupului</w:t>
            </w:r>
            <w:r w:rsidRPr="00154588">
              <w:rPr>
                <w:bCs/>
                <w:sz w:val="20"/>
                <w:szCs w:val="20"/>
              </w:rPr>
              <w:br/>
              <w:t>(1)   Statele membre se asigură că autoritățile de rezoluție ale grupului, împreună cu autoritățile de rezoluție ale filialelor și în urma consultării autorităților de rezoluție ale sucursalelor semnificative, în măsura în care acest lucru este relevant pentru sucursala de importanță semnificativă, elaborează planul de rezoluție a grupului. Acest plan de rezoluție a grupului identifică măsurile care se impun în ceea ce privește:</w:t>
            </w:r>
          </w:p>
          <w:p w14:paraId="01ADD189" w14:textId="77777777" w:rsidR="004D7A83" w:rsidRPr="00154588" w:rsidRDefault="004D7A83" w:rsidP="008C12B4">
            <w:pPr>
              <w:jc w:val="both"/>
              <w:rPr>
                <w:bCs/>
                <w:sz w:val="20"/>
                <w:szCs w:val="20"/>
              </w:rPr>
            </w:pPr>
          </w:p>
          <w:p w14:paraId="044C24BA" w14:textId="77777777" w:rsidR="004D7A83" w:rsidRPr="00154588" w:rsidRDefault="004D7A83" w:rsidP="008C12B4">
            <w:pPr>
              <w:jc w:val="both"/>
              <w:rPr>
                <w:bCs/>
                <w:sz w:val="20"/>
                <w:szCs w:val="20"/>
              </w:rPr>
            </w:pPr>
            <w:r w:rsidRPr="00154588">
              <w:rPr>
                <w:bCs/>
                <w:sz w:val="20"/>
                <w:szCs w:val="20"/>
              </w:rPr>
              <w:t>(a) întreprinderea-mamă din Uniune;</w:t>
            </w:r>
          </w:p>
          <w:p w14:paraId="7829B0A3" w14:textId="77777777" w:rsidR="004D7A83" w:rsidRPr="00154588" w:rsidRDefault="004D7A83" w:rsidP="008C12B4">
            <w:pPr>
              <w:jc w:val="both"/>
              <w:rPr>
                <w:bCs/>
                <w:sz w:val="20"/>
                <w:szCs w:val="20"/>
              </w:rPr>
            </w:pPr>
          </w:p>
          <w:p w14:paraId="726A4F78" w14:textId="77777777" w:rsidR="004D7A83" w:rsidRPr="00154588" w:rsidRDefault="004D7A83" w:rsidP="008C12B4">
            <w:pPr>
              <w:jc w:val="both"/>
              <w:rPr>
                <w:bCs/>
                <w:sz w:val="20"/>
                <w:szCs w:val="20"/>
              </w:rPr>
            </w:pPr>
            <w:r w:rsidRPr="00154588">
              <w:rPr>
                <w:bCs/>
                <w:sz w:val="20"/>
                <w:szCs w:val="20"/>
              </w:rPr>
              <w:t>(b) filialele care fac parte din grup și sunt stabilite în Uniune;</w:t>
            </w:r>
          </w:p>
          <w:p w14:paraId="73779FA8" w14:textId="77777777" w:rsidR="004D7A83" w:rsidRPr="00154588" w:rsidRDefault="004D7A83" w:rsidP="008C12B4">
            <w:pPr>
              <w:jc w:val="both"/>
              <w:rPr>
                <w:bCs/>
                <w:sz w:val="20"/>
                <w:szCs w:val="20"/>
              </w:rPr>
            </w:pPr>
          </w:p>
          <w:p w14:paraId="4F34F3FB" w14:textId="77777777" w:rsidR="004D7A83" w:rsidRPr="00154588" w:rsidRDefault="004D7A83" w:rsidP="008C12B4">
            <w:pPr>
              <w:jc w:val="both"/>
              <w:rPr>
                <w:bCs/>
                <w:sz w:val="20"/>
                <w:szCs w:val="20"/>
              </w:rPr>
            </w:pPr>
          </w:p>
          <w:p w14:paraId="3D80B914" w14:textId="77777777" w:rsidR="004D7A83" w:rsidRPr="00154588" w:rsidRDefault="004D7A83" w:rsidP="008C12B4">
            <w:pPr>
              <w:jc w:val="both"/>
              <w:rPr>
                <w:bCs/>
                <w:sz w:val="20"/>
                <w:szCs w:val="20"/>
              </w:rPr>
            </w:pPr>
            <w:r w:rsidRPr="00154588">
              <w:rPr>
                <w:bCs/>
                <w:sz w:val="20"/>
                <w:szCs w:val="20"/>
              </w:rPr>
              <w:t>(c) entitățile menționate la articolul 1 alineatul (1) literele (c) și (d); și</w:t>
            </w:r>
          </w:p>
          <w:p w14:paraId="0E490664" w14:textId="77777777" w:rsidR="004D7A83" w:rsidRPr="00154588" w:rsidRDefault="004D7A83" w:rsidP="008C12B4">
            <w:pPr>
              <w:jc w:val="both"/>
              <w:rPr>
                <w:bCs/>
                <w:sz w:val="20"/>
                <w:szCs w:val="20"/>
              </w:rPr>
            </w:pPr>
          </w:p>
          <w:p w14:paraId="2286E0CE" w14:textId="77777777" w:rsidR="004D7A83" w:rsidRPr="00154588" w:rsidRDefault="004D7A83" w:rsidP="008C12B4">
            <w:pPr>
              <w:jc w:val="both"/>
              <w:rPr>
                <w:bCs/>
                <w:sz w:val="20"/>
                <w:szCs w:val="20"/>
              </w:rPr>
            </w:pPr>
            <w:r w:rsidRPr="00154588">
              <w:rPr>
                <w:bCs/>
                <w:sz w:val="20"/>
                <w:szCs w:val="20"/>
              </w:rPr>
              <w:t>(d) sub rezerva titlului VI, filialele care fac parte din grup și sunt situate în afara Uniunii.</w:t>
            </w:r>
          </w:p>
          <w:p w14:paraId="2B6AF456" w14:textId="77777777" w:rsidR="004D7A83" w:rsidRPr="00154588" w:rsidRDefault="004D7A83" w:rsidP="008C12B4">
            <w:pPr>
              <w:jc w:val="both"/>
              <w:rPr>
                <w:bCs/>
                <w:sz w:val="20"/>
                <w:szCs w:val="20"/>
              </w:rPr>
            </w:pPr>
          </w:p>
          <w:p w14:paraId="412C553E" w14:textId="77777777" w:rsidR="004D7A83" w:rsidRPr="00154588" w:rsidRDefault="004D7A83" w:rsidP="008C12B4">
            <w:pPr>
              <w:jc w:val="both"/>
              <w:rPr>
                <w:bCs/>
                <w:sz w:val="20"/>
                <w:szCs w:val="20"/>
              </w:rPr>
            </w:pPr>
          </w:p>
          <w:p w14:paraId="2BD97DA3" w14:textId="5CCF08BC" w:rsidR="004D7A83" w:rsidRPr="00154588" w:rsidRDefault="004D7A83" w:rsidP="008C12B4">
            <w:pPr>
              <w:jc w:val="both"/>
              <w:rPr>
                <w:bCs/>
                <w:sz w:val="20"/>
                <w:szCs w:val="20"/>
              </w:rPr>
            </w:pPr>
            <w:r w:rsidRPr="00154588">
              <w:rPr>
                <w:bCs/>
                <w:sz w:val="20"/>
                <w:szCs w:val="20"/>
              </w:rPr>
              <w:lastRenderedPageBreak/>
              <w:t>În conformitate cu măsurile menționate la primul paragraf, planul de rezoluție identifică pentru fiecare grup entitățile de rezoluție și grupurile de rezoluție.</w:t>
            </w:r>
          </w:p>
        </w:tc>
        <w:tc>
          <w:tcPr>
            <w:tcW w:w="4819" w:type="dxa"/>
          </w:tcPr>
          <w:p w14:paraId="72BBBB59" w14:textId="77777777" w:rsidR="004D7A83" w:rsidRPr="00154588" w:rsidRDefault="004D7A83" w:rsidP="008C12B4">
            <w:pPr>
              <w:ind w:firstLine="567"/>
              <w:jc w:val="both"/>
              <w:rPr>
                <w:rFonts w:eastAsia="Calibri"/>
                <w:sz w:val="20"/>
                <w:szCs w:val="20"/>
              </w:rPr>
            </w:pPr>
            <w:r w:rsidRPr="00154588">
              <w:rPr>
                <w:rFonts w:eastAsia="Calibri"/>
                <w:b/>
                <w:sz w:val="20"/>
                <w:szCs w:val="20"/>
              </w:rPr>
              <w:lastRenderedPageBreak/>
              <w:t>Articolul 31</w:t>
            </w:r>
            <w:r w:rsidRPr="00154588">
              <w:rPr>
                <w:rFonts w:eastAsia="Calibri"/>
                <w:b/>
                <w:sz w:val="20"/>
                <w:szCs w:val="20"/>
                <w:vertAlign w:val="superscript"/>
              </w:rPr>
              <w:t>15</w:t>
            </w:r>
            <w:r w:rsidRPr="00154588">
              <w:rPr>
                <w:rFonts w:eastAsia="Calibri"/>
                <w:b/>
                <w:sz w:val="20"/>
                <w:szCs w:val="20"/>
              </w:rPr>
              <w:t xml:space="preserve">. </w:t>
            </w:r>
            <w:r w:rsidRPr="00154588">
              <w:rPr>
                <w:rFonts w:eastAsia="Calibri"/>
                <w:sz w:val="20"/>
                <w:szCs w:val="20"/>
              </w:rPr>
              <w:t>– (1) Banca Națională a Moldovei, în calitate de autoritate de rezoluție la nivel individual, sau în calitate de autoritate de rezoluție la nivelul unui grup de rezoluție, participă împreună cu autoritatea de rezoluție la nivel de grup și cu celelalte autorități de rezoluție ale filialelor din grup implicate, la elaborarea planurilor de rezoluție a grupului, în urma consultării cu autoritățile de rezoluție din jurisdicțiile unde sunt sucursale semnificative, în măsura în care planul este relevant pentru acestea.</w:t>
            </w:r>
          </w:p>
          <w:p w14:paraId="270F3580" w14:textId="77777777" w:rsidR="004D7A83" w:rsidRPr="00154588" w:rsidRDefault="004D7A83" w:rsidP="008C12B4">
            <w:pPr>
              <w:ind w:firstLine="567"/>
              <w:jc w:val="both"/>
              <w:rPr>
                <w:rFonts w:eastAsia="Calibri"/>
                <w:sz w:val="20"/>
                <w:szCs w:val="20"/>
              </w:rPr>
            </w:pPr>
            <w:r w:rsidRPr="00154588">
              <w:rPr>
                <w:rFonts w:eastAsia="Calibri"/>
                <w:sz w:val="20"/>
                <w:szCs w:val="20"/>
              </w:rPr>
              <w:t>(2) Prevederile art.31</w:t>
            </w:r>
            <w:r w:rsidRPr="00154588">
              <w:rPr>
                <w:rFonts w:eastAsia="Calibri"/>
                <w:sz w:val="20"/>
                <w:szCs w:val="20"/>
                <w:vertAlign w:val="superscript"/>
              </w:rPr>
              <w:t>1</w:t>
            </w:r>
            <w:r w:rsidRPr="00154588">
              <w:rPr>
                <w:rFonts w:eastAsia="Calibri"/>
                <w:sz w:val="20"/>
                <w:szCs w:val="20"/>
              </w:rPr>
              <w:t xml:space="preserve"> alin.(2) și (3), art.31</w:t>
            </w:r>
            <w:r w:rsidRPr="00154588">
              <w:rPr>
                <w:rFonts w:eastAsia="Calibri"/>
                <w:sz w:val="20"/>
                <w:szCs w:val="20"/>
                <w:vertAlign w:val="superscript"/>
              </w:rPr>
              <w:t>2</w:t>
            </w:r>
            <w:r w:rsidRPr="00154588">
              <w:rPr>
                <w:rFonts w:eastAsia="Calibri"/>
                <w:sz w:val="20"/>
                <w:szCs w:val="20"/>
              </w:rPr>
              <w:t> și ale art.31</w:t>
            </w:r>
            <w:r w:rsidRPr="00154588">
              <w:rPr>
                <w:rFonts w:eastAsia="Calibri"/>
                <w:sz w:val="20"/>
                <w:szCs w:val="20"/>
                <w:vertAlign w:val="superscript"/>
              </w:rPr>
              <w:t>3</w:t>
            </w:r>
            <w:r w:rsidRPr="00154588">
              <w:rPr>
                <w:rFonts w:eastAsia="Calibri"/>
                <w:sz w:val="20"/>
                <w:szCs w:val="20"/>
              </w:rPr>
              <w:t xml:space="preserve"> alin.(1) se aplică în mod corespunzător.</w:t>
            </w:r>
          </w:p>
          <w:p w14:paraId="51B5B273" w14:textId="77777777" w:rsidR="004D7A83" w:rsidRPr="00154588" w:rsidRDefault="004D7A83" w:rsidP="008C12B4">
            <w:pPr>
              <w:ind w:firstLine="567"/>
              <w:jc w:val="both"/>
              <w:rPr>
                <w:rFonts w:eastAsia="Calibri"/>
                <w:b/>
                <w:sz w:val="20"/>
                <w:szCs w:val="20"/>
              </w:rPr>
            </w:pPr>
          </w:p>
        </w:tc>
        <w:tc>
          <w:tcPr>
            <w:tcW w:w="2552" w:type="dxa"/>
          </w:tcPr>
          <w:p w14:paraId="428BD69F" w14:textId="18267BC2" w:rsidR="004D7A83" w:rsidRPr="00154588" w:rsidRDefault="00E10003" w:rsidP="008C12B4">
            <w:pPr>
              <w:jc w:val="both"/>
              <w:rPr>
                <w:bCs/>
                <w:sz w:val="20"/>
                <w:szCs w:val="20"/>
              </w:rPr>
            </w:pPr>
            <w:r w:rsidRPr="00154588">
              <w:rPr>
                <w:bCs/>
                <w:sz w:val="20"/>
                <w:szCs w:val="20"/>
              </w:rPr>
              <w:t>Compatibil</w:t>
            </w:r>
          </w:p>
        </w:tc>
        <w:tc>
          <w:tcPr>
            <w:tcW w:w="3118" w:type="dxa"/>
          </w:tcPr>
          <w:p w14:paraId="09B55A5F" w14:textId="77777777" w:rsidR="004D7A83" w:rsidRPr="00154588" w:rsidRDefault="004D7A83" w:rsidP="008C12B4">
            <w:pPr>
              <w:jc w:val="both"/>
              <w:rPr>
                <w:bCs/>
                <w:sz w:val="20"/>
                <w:szCs w:val="20"/>
              </w:rPr>
            </w:pPr>
          </w:p>
        </w:tc>
      </w:tr>
      <w:tr w:rsidR="002479A0" w:rsidRPr="00154588" w14:paraId="7DB4FB49" w14:textId="77777777" w:rsidTr="00D15C1B">
        <w:trPr>
          <w:jc w:val="center"/>
        </w:trPr>
        <w:tc>
          <w:tcPr>
            <w:tcW w:w="4957" w:type="dxa"/>
            <w:gridSpan w:val="2"/>
          </w:tcPr>
          <w:p w14:paraId="766C435F" w14:textId="77777777" w:rsidR="002479A0" w:rsidRPr="00154588" w:rsidRDefault="002479A0" w:rsidP="008C12B4">
            <w:pPr>
              <w:rPr>
                <w:b/>
                <w:sz w:val="20"/>
                <w:szCs w:val="20"/>
              </w:rPr>
            </w:pPr>
            <w:r w:rsidRPr="00154588">
              <w:rPr>
                <w:b/>
                <w:sz w:val="20"/>
                <w:szCs w:val="20"/>
              </w:rPr>
              <w:t>Articolul 13 Cerințe și proceduri pentru planurile de rezoluție a grupurilor</w:t>
            </w:r>
          </w:p>
          <w:p w14:paraId="0C36C2ED" w14:textId="0A1F7234" w:rsidR="002479A0" w:rsidRPr="00154588" w:rsidRDefault="002479A0" w:rsidP="008C12B4">
            <w:pPr>
              <w:rPr>
                <w:bCs/>
                <w:sz w:val="20"/>
                <w:szCs w:val="20"/>
              </w:rPr>
            </w:pPr>
          </w:p>
        </w:tc>
        <w:tc>
          <w:tcPr>
            <w:tcW w:w="4819" w:type="dxa"/>
          </w:tcPr>
          <w:p w14:paraId="2BE0B76B" w14:textId="77777777" w:rsidR="002479A0" w:rsidRPr="00154588" w:rsidRDefault="002479A0" w:rsidP="008C12B4">
            <w:pPr>
              <w:ind w:firstLine="567"/>
              <w:jc w:val="both"/>
              <w:rPr>
                <w:rFonts w:eastAsia="Calibri"/>
                <w:b/>
                <w:sz w:val="20"/>
                <w:szCs w:val="20"/>
              </w:rPr>
            </w:pPr>
          </w:p>
        </w:tc>
        <w:tc>
          <w:tcPr>
            <w:tcW w:w="2552" w:type="dxa"/>
          </w:tcPr>
          <w:p w14:paraId="66E95BFC" w14:textId="77777777" w:rsidR="002479A0" w:rsidRPr="00154588" w:rsidRDefault="002479A0" w:rsidP="008C12B4">
            <w:pPr>
              <w:jc w:val="both"/>
              <w:rPr>
                <w:bCs/>
                <w:sz w:val="20"/>
                <w:szCs w:val="20"/>
              </w:rPr>
            </w:pPr>
          </w:p>
        </w:tc>
        <w:tc>
          <w:tcPr>
            <w:tcW w:w="3118" w:type="dxa"/>
          </w:tcPr>
          <w:p w14:paraId="217AC3C4" w14:textId="77777777" w:rsidR="002479A0" w:rsidRPr="00154588" w:rsidRDefault="002479A0" w:rsidP="008C12B4">
            <w:pPr>
              <w:jc w:val="both"/>
              <w:rPr>
                <w:bCs/>
                <w:sz w:val="20"/>
                <w:szCs w:val="20"/>
              </w:rPr>
            </w:pPr>
          </w:p>
        </w:tc>
      </w:tr>
      <w:tr w:rsidR="006A2A6A" w:rsidRPr="00154588" w14:paraId="47A48DAD" w14:textId="77777777" w:rsidTr="00D15C1B">
        <w:trPr>
          <w:jc w:val="center"/>
        </w:trPr>
        <w:tc>
          <w:tcPr>
            <w:tcW w:w="4957" w:type="dxa"/>
            <w:gridSpan w:val="2"/>
          </w:tcPr>
          <w:p w14:paraId="041EFBDD" w14:textId="3FD06E9D" w:rsidR="006A2A6A" w:rsidRPr="00154588" w:rsidRDefault="006A2A6A" w:rsidP="008C12B4">
            <w:pPr>
              <w:jc w:val="both"/>
              <w:rPr>
                <w:b/>
                <w:sz w:val="20"/>
                <w:szCs w:val="20"/>
              </w:rPr>
            </w:pPr>
            <w:r w:rsidRPr="00154588">
              <w:rPr>
                <w:bCs/>
                <w:sz w:val="20"/>
                <w:szCs w:val="20"/>
              </w:rPr>
              <w:t>(2) Statele membre se asigură că autoritățile de rezoluție a grupurilor, acționând împreună cu autoritățile de rezoluție menționate la alineatul (1) al doilea paragraf din prezentul articol, elaborează și actualizează planurile de rezoluție a grupurilor, în cadrul colegiilor de rezoluție și după consultarea cu autoritățile competente relevante, inclusiv cu autoritățile competente din jurisdicțiile statelor membre în care sunt situate sucursale de importanță semnificativă. Autoritățile de rezoluție a grupului pot, cu condiția să îndeplinească cerințele de confidențialitate stabilite la articolul 98 din prezenta directivă, să ia inițiativa de a implica în elaborarea și actualizarea planurilor de rezoluție a grupului autorități de rezoluție din țări terțe în ale căror jurisdicții grupul a înființat filiale, holdinguri financiare sau sucursale semnificative în sensul articolului 51 din Directiva 2013/36/UE.</w:t>
            </w:r>
          </w:p>
        </w:tc>
        <w:tc>
          <w:tcPr>
            <w:tcW w:w="4819" w:type="dxa"/>
          </w:tcPr>
          <w:p w14:paraId="5AF4BEE4" w14:textId="77777777" w:rsidR="006A2A6A" w:rsidRPr="00154588" w:rsidRDefault="006A2A6A" w:rsidP="008C12B4">
            <w:pPr>
              <w:ind w:firstLine="567"/>
              <w:jc w:val="both"/>
              <w:rPr>
                <w:rFonts w:eastAsia="Calibri"/>
                <w:sz w:val="20"/>
                <w:szCs w:val="20"/>
              </w:rPr>
            </w:pPr>
            <w:r w:rsidRPr="00154588">
              <w:rPr>
                <w:rFonts w:eastAsia="Calibri"/>
                <w:b/>
                <w:sz w:val="20"/>
                <w:szCs w:val="20"/>
              </w:rPr>
              <w:t>Articolul 31</w:t>
            </w:r>
            <w:r w:rsidRPr="00154588">
              <w:rPr>
                <w:rFonts w:eastAsia="Calibri"/>
                <w:b/>
                <w:sz w:val="20"/>
                <w:szCs w:val="20"/>
                <w:vertAlign w:val="superscript"/>
              </w:rPr>
              <w:t>16</w:t>
            </w:r>
            <w:r w:rsidRPr="00154588">
              <w:rPr>
                <w:rFonts w:eastAsia="Calibri"/>
                <w:sz w:val="20"/>
                <w:szCs w:val="20"/>
              </w:rPr>
              <w:t>. – Banca Națională a Moldovei, în calitate de autoritate de rezoluție la nivel individual, fie pentru o filială  sau pentru o sucursală semnificativă, participă la elaborarea și actualizarea planului de rezoluție a grupului în cadrul colegiilor de rezoluție.</w:t>
            </w:r>
          </w:p>
          <w:p w14:paraId="33B0FD2A" w14:textId="77777777" w:rsidR="006A2A6A" w:rsidRPr="00154588" w:rsidRDefault="006A2A6A" w:rsidP="008C12B4">
            <w:pPr>
              <w:ind w:firstLine="567"/>
              <w:jc w:val="both"/>
              <w:rPr>
                <w:rFonts w:eastAsia="Calibri"/>
                <w:b/>
                <w:sz w:val="20"/>
                <w:szCs w:val="20"/>
              </w:rPr>
            </w:pPr>
          </w:p>
        </w:tc>
        <w:tc>
          <w:tcPr>
            <w:tcW w:w="2552" w:type="dxa"/>
          </w:tcPr>
          <w:p w14:paraId="27ED10B9" w14:textId="7C147F60" w:rsidR="006A2A6A" w:rsidRPr="00154588" w:rsidRDefault="006A2A6A" w:rsidP="008C12B4">
            <w:pPr>
              <w:jc w:val="both"/>
              <w:rPr>
                <w:bCs/>
                <w:sz w:val="20"/>
                <w:szCs w:val="20"/>
              </w:rPr>
            </w:pPr>
            <w:r w:rsidRPr="00154588">
              <w:rPr>
                <w:bCs/>
                <w:sz w:val="20"/>
                <w:szCs w:val="20"/>
              </w:rPr>
              <w:t>Compatibil</w:t>
            </w:r>
          </w:p>
        </w:tc>
        <w:tc>
          <w:tcPr>
            <w:tcW w:w="3118" w:type="dxa"/>
          </w:tcPr>
          <w:p w14:paraId="4CA7423A" w14:textId="77777777" w:rsidR="006A2A6A" w:rsidRPr="00154588" w:rsidRDefault="006A2A6A" w:rsidP="008C12B4">
            <w:pPr>
              <w:jc w:val="both"/>
              <w:rPr>
                <w:bCs/>
                <w:sz w:val="20"/>
                <w:szCs w:val="20"/>
              </w:rPr>
            </w:pPr>
          </w:p>
        </w:tc>
      </w:tr>
      <w:tr w:rsidR="006A2A6A" w:rsidRPr="00154588" w14:paraId="419AD6B1" w14:textId="77777777" w:rsidTr="00D15C1B">
        <w:trPr>
          <w:jc w:val="center"/>
        </w:trPr>
        <w:tc>
          <w:tcPr>
            <w:tcW w:w="4957" w:type="dxa"/>
            <w:gridSpan w:val="2"/>
          </w:tcPr>
          <w:p w14:paraId="10C4E662" w14:textId="77777777" w:rsidR="006A2A6A" w:rsidRPr="00154588" w:rsidRDefault="006A2A6A" w:rsidP="008C12B4">
            <w:pPr>
              <w:jc w:val="both"/>
              <w:rPr>
                <w:bCs/>
                <w:sz w:val="20"/>
                <w:szCs w:val="20"/>
              </w:rPr>
            </w:pPr>
            <w:r w:rsidRPr="00154588">
              <w:rPr>
                <w:bCs/>
                <w:sz w:val="20"/>
                <w:szCs w:val="20"/>
              </w:rPr>
              <w:t>(5) În absența unei decizii comune a autorităților de rezoluție în termen de patru luni, autoritatea de rezoluție a grupului ia propria decizie cu privire la planul de rezoluție a grupului. Decizia este temeinic motivată și ia în considerare avizele și rezervele altor autorități de rezoluție. Decizia se transmite întreprinderii-mamă din Uniune de către autoritate de rezoluție a grupului.</w:t>
            </w:r>
          </w:p>
          <w:p w14:paraId="6CC6F6B2" w14:textId="77777777" w:rsidR="006A2A6A" w:rsidRPr="00154588" w:rsidRDefault="006A2A6A" w:rsidP="008C12B4">
            <w:pPr>
              <w:jc w:val="both"/>
              <w:rPr>
                <w:bCs/>
                <w:sz w:val="20"/>
                <w:szCs w:val="20"/>
              </w:rPr>
            </w:pPr>
          </w:p>
          <w:p w14:paraId="14E3CE4F" w14:textId="65A3AE97" w:rsidR="006A2A6A" w:rsidRPr="00154588" w:rsidRDefault="006A2A6A" w:rsidP="008C12B4">
            <w:pPr>
              <w:jc w:val="both"/>
              <w:rPr>
                <w:b/>
                <w:sz w:val="20"/>
                <w:szCs w:val="20"/>
              </w:rPr>
            </w:pPr>
            <w:r w:rsidRPr="00154588">
              <w:rPr>
                <w:bCs/>
                <w:sz w:val="20"/>
                <w:szCs w:val="20"/>
              </w:rPr>
              <w:t xml:space="preserve">Sub rezerva alineatului (9) din prezentul articol, dacă până la finalul perioadei de patru luni, oricare dintre autoritățile de rezoluție aduce problema în atenția ABE în conformitate cu articolul 19 din Regulamentul (UE) nr. 1093/2010, autoritatea de rezoluție a grupului își amână decizia și așteaptă orice decizie care poate fi luată de ABE în conformitate cu articolul 19 alineatul (3) din regulamentul menționat, adoptând ulterior propria sa decizie în conformitate cu decizia ABE. Perioada de patru luni este considerată a fi perioada de conciliere în înțelesul regulamentului menționat. ABE adoptă propria decizie în termen de o lună. Problema nu poate fi adusă în atenția ABE după expirarea perioadei de patru luni sau după ce s-a ajuns la o decizie comună. În absența unei decizii a ABE în </w:t>
            </w:r>
            <w:r w:rsidRPr="00154588">
              <w:rPr>
                <w:bCs/>
                <w:sz w:val="20"/>
                <w:szCs w:val="20"/>
              </w:rPr>
              <w:lastRenderedPageBreak/>
              <w:t>termen de o lună, se aplică decizia autorității de rezoluție a grupului.</w:t>
            </w:r>
          </w:p>
        </w:tc>
        <w:tc>
          <w:tcPr>
            <w:tcW w:w="4819" w:type="dxa"/>
          </w:tcPr>
          <w:p w14:paraId="34D5F3CB" w14:textId="77777777" w:rsidR="006A2A6A" w:rsidRPr="00154588" w:rsidRDefault="006A2A6A" w:rsidP="008C12B4">
            <w:pPr>
              <w:ind w:firstLine="567"/>
              <w:jc w:val="both"/>
              <w:rPr>
                <w:rFonts w:eastAsia="Calibri"/>
                <w:kern w:val="2"/>
                <w:sz w:val="20"/>
                <w:szCs w:val="20"/>
                <w14:ligatures w14:val="standardContextual"/>
              </w:rPr>
            </w:pPr>
            <w:r w:rsidRPr="00154588">
              <w:rPr>
                <w:rFonts w:eastAsia="Calibri"/>
                <w:b/>
                <w:sz w:val="20"/>
                <w:szCs w:val="20"/>
              </w:rPr>
              <w:lastRenderedPageBreak/>
              <w:t>Articolul 31</w:t>
            </w:r>
            <w:r w:rsidRPr="00154588">
              <w:rPr>
                <w:rFonts w:eastAsia="Calibri"/>
                <w:b/>
                <w:sz w:val="20"/>
                <w:szCs w:val="20"/>
                <w:vertAlign w:val="superscript"/>
              </w:rPr>
              <w:t>17</w:t>
            </w:r>
            <w:r w:rsidRPr="00154588">
              <w:rPr>
                <w:rFonts w:eastAsia="Calibri"/>
                <w:sz w:val="20"/>
                <w:szCs w:val="20"/>
              </w:rPr>
              <w:t>. – (1) Banca Națională a Moldovei, în calitate de autoritate de rezoluție la nivel individual, adoptă împreună cu celelalte autorități din colegiul de rezoluție, printr-o decizie comună, planul de rezoluție a grupului, în termen de patru luni de la transmiterea către acestea, de către autoritatea de rezoluție la nivel de grup, a informațiilor furnizate de întreprinderea-mamă din Uniunea Europeană, în mod similar celor prevăzute la art.31</w:t>
            </w:r>
            <w:r w:rsidRPr="00154588">
              <w:rPr>
                <w:rFonts w:eastAsia="Calibri"/>
                <w:sz w:val="20"/>
                <w:szCs w:val="20"/>
                <w:vertAlign w:val="superscript"/>
              </w:rPr>
              <w:t>6</w:t>
            </w:r>
            <w:r w:rsidRPr="00154588">
              <w:rPr>
                <w:rFonts w:eastAsia="Calibri"/>
                <w:sz w:val="20"/>
                <w:szCs w:val="20"/>
              </w:rPr>
              <w:t xml:space="preserve"> alin.(2), Banca Națională a Moldovei poate solicita asistența Autorității Bancare Europene pentru adoptarea unei decizii comune.</w:t>
            </w:r>
          </w:p>
          <w:p w14:paraId="0EF67FDA" w14:textId="77777777" w:rsidR="006A2A6A" w:rsidRPr="00154588" w:rsidRDefault="006A2A6A" w:rsidP="008C12B4">
            <w:pPr>
              <w:ind w:firstLine="567"/>
              <w:jc w:val="both"/>
              <w:rPr>
                <w:rFonts w:eastAsia="Calibri"/>
                <w:sz w:val="20"/>
                <w:szCs w:val="20"/>
              </w:rPr>
            </w:pPr>
            <w:r w:rsidRPr="00154588">
              <w:rPr>
                <w:rFonts w:eastAsia="Calibri"/>
                <w:sz w:val="20"/>
                <w:szCs w:val="20"/>
              </w:rPr>
              <w:t>(2) Prevederile art.31</w:t>
            </w:r>
            <w:r w:rsidRPr="00154588">
              <w:rPr>
                <w:rFonts w:eastAsia="Calibri"/>
                <w:sz w:val="20"/>
                <w:szCs w:val="20"/>
                <w:vertAlign w:val="superscript"/>
              </w:rPr>
              <w:t>9</w:t>
            </w:r>
            <w:r w:rsidRPr="00154588">
              <w:rPr>
                <w:rFonts w:eastAsia="Calibri"/>
                <w:sz w:val="20"/>
                <w:szCs w:val="20"/>
              </w:rPr>
              <w:t xml:space="preserve"> alin.(2) se aplică în mod similar, în situația în care Banca Națională a Moldovei este autoritate de rezoluție la nivelul unui grup de rezoluție.</w:t>
            </w:r>
          </w:p>
          <w:p w14:paraId="026E760F" w14:textId="77777777" w:rsidR="006A2A6A" w:rsidRPr="00154588" w:rsidRDefault="006A2A6A" w:rsidP="008C12B4">
            <w:pPr>
              <w:ind w:firstLine="567"/>
              <w:jc w:val="both"/>
              <w:rPr>
                <w:rFonts w:eastAsia="Calibri"/>
                <w:b/>
                <w:sz w:val="20"/>
                <w:szCs w:val="20"/>
              </w:rPr>
            </w:pPr>
          </w:p>
        </w:tc>
        <w:tc>
          <w:tcPr>
            <w:tcW w:w="2552" w:type="dxa"/>
          </w:tcPr>
          <w:p w14:paraId="62B3CA41" w14:textId="1EE55ABD" w:rsidR="006A2A6A" w:rsidRPr="00154588" w:rsidRDefault="006A2A6A" w:rsidP="008C12B4">
            <w:pPr>
              <w:jc w:val="both"/>
              <w:rPr>
                <w:bCs/>
                <w:sz w:val="20"/>
                <w:szCs w:val="20"/>
              </w:rPr>
            </w:pPr>
            <w:r w:rsidRPr="00154588">
              <w:rPr>
                <w:bCs/>
                <w:sz w:val="20"/>
                <w:szCs w:val="20"/>
              </w:rPr>
              <w:t>Compatibil</w:t>
            </w:r>
          </w:p>
        </w:tc>
        <w:tc>
          <w:tcPr>
            <w:tcW w:w="3118" w:type="dxa"/>
          </w:tcPr>
          <w:p w14:paraId="26631149" w14:textId="77777777" w:rsidR="006A2A6A" w:rsidRPr="00154588" w:rsidRDefault="006A2A6A" w:rsidP="008C12B4">
            <w:pPr>
              <w:jc w:val="both"/>
              <w:rPr>
                <w:bCs/>
                <w:sz w:val="20"/>
                <w:szCs w:val="20"/>
              </w:rPr>
            </w:pPr>
          </w:p>
        </w:tc>
      </w:tr>
      <w:tr w:rsidR="006A2A6A" w:rsidRPr="00154588" w14:paraId="711F12E6" w14:textId="77777777" w:rsidTr="00D15C1B">
        <w:trPr>
          <w:jc w:val="center"/>
        </w:trPr>
        <w:tc>
          <w:tcPr>
            <w:tcW w:w="4957" w:type="dxa"/>
            <w:gridSpan w:val="2"/>
          </w:tcPr>
          <w:p w14:paraId="66D4873F" w14:textId="77777777" w:rsidR="006A2A6A" w:rsidRPr="00154588" w:rsidRDefault="006A2A6A" w:rsidP="008C12B4">
            <w:pPr>
              <w:tabs>
                <w:tab w:val="left" w:pos="990"/>
              </w:tabs>
              <w:jc w:val="both"/>
              <w:rPr>
                <w:bCs/>
                <w:sz w:val="20"/>
                <w:szCs w:val="20"/>
              </w:rPr>
            </w:pPr>
            <w:r w:rsidRPr="00154588">
              <w:rPr>
                <w:bCs/>
                <w:sz w:val="20"/>
                <w:szCs w:val="20"/>
              </w:rPr>
              <w:t>(6) În absența unei decizii comune a autorităților de rezoluție în termen de patru luni, fiecare autoritate de rezoluție responsabilă pentru o filială care nu este de acord cu planul de rezoluție a grupului ia propria sa decizie și, după caz, identifică entitatea de rezoluție și elaborează și păstrează la zi un plan de rezoluție pentru grupul de rezoluție format din entitățile aflate în jurisdicția sa. Fiecare dintre deciziile individuale ale autorităților de rezoluție care și-au exprimat dezacordul este motivată temeinic, prezintă motivele dezacordului cu planul de rezoluție a grupului care a fost propus și ia în considerare avizele și rezervele celorlalte autorități de rezoluție și ale autorităților competente. Fiecare autoritate de rezoluție notifică decizia sa celorlalți membri ai colegiului de rezoluție.</w:t>
            </w:r>
          </w:p>
          <w:p w14:paraId="025572F4" w14:textId="77777777" w:rsidR="006A2A6A" w:rsidRPr="00154588" w:rsidRDefault="006A2A6A" w:rsidP="008C12B4">
            <w:pPr>
              <w:tabs>
                <w:tab w:val="left" w:pos="990"/>
              </w:tabs>
              <w:jc w:val="both"/>
              <w:rPr>
                <w:bCs/>
                <w:sz w:val="20"/>
                <w:szCs w:val="20"/>
              </w:rPr>
            </w:pPr>
          </w:p>
          <w:p w14:paraId="23279FCF" w14:textId="77777777" w:rsidR="006A2A6A" w:rsidRPr="00154588" w:rsidRDefault="006A2A6A" w:rsidP="008C12B4">
            <w:pPr>
              <w:tabs>
                <w:tab w:val="left" w:pos="990"/>
              </w:tabs>
              <w:jc w:val="both"/>
              <w:rPr>
                <w:bCs/>
                <w:sz w:val="20"/>
                <w:szCs w:val="20"/>
              </w:rPr>
            </w:pPr>
          </w:p>
          <w:p w14:paraId="422A7F46" w14:textId="77777777" w:rsidR="006A2A6A" w:rsidRPr="00154588" w:rsidRDefault="006A2A6A" w:rsidP="008C12B4">
            <w:pPr>
              <w:tabs>
                <w:tab w:val="left" w:pos="990"/>
              </w:tabs>
              <w:jc w:val="both"/>
              <w:rPr>
                <w:bCs/>
                <w:sz w:val="20"/>
                <w:szCs w:val="20"/>
              </w:rPr>
            </w:pPr>
          </w:p>
          <w:p w14:paraId="73617E50" w14:textId="77777777" w:rsidR="006A2A6A" w:rsidRPr="00154588" w:rsidRDefault="006A2A6A" w:rsidP="008C12B4">
            <w:pPr>
              <w:tabs>
                <w:tab w:val="left" w:pos="990"/>
              </w:tabs>
              <w:jc w:val="both"/>
              <w:rPr>
                <w:bCs/>
                <w:sz w:val="20"/>
                <w:szCs w:val="20"/>
              </w:rPr>
            </w:pPr>
          </w:p>
          <w:p w14:paraId="7E37B3C0" w14:textId="77777777" w:rsidR="006A2A6A" w:rsidRPr="00154588" w:rsidRDefault="006A2A6A" w:rsidP="008C12B4">
            <w:pPr>
              <w:tabs>
                <w:tab w:val="left" w:pos="990"/>
              </w:tabs>
              <w:jc w:val="both"/>
              <w:rPr>
                <w:bCs/>
                <w:sz w:val="20"/>
                <w:szCs w:val="20"/>
              </w:rPr>
            </w:pPr>
          </w:p>
          <w:p w14:paraId="5B9C5ED5" w14:textId="39F7D425" w:rsidR="006A2A6A" w:rsidRPr="00154588" w:rsidRDefault="006A2A6A" w:rsidP="008C12B4">
            <w:pPr>
              <w:jc w:val="both"/>
              <w:rPr>
                <w:bCs/>
                <w:sz w:val="20"/>
                <w:szCs w:val="20"/>
              </w:rPr>
            </w:pPr>
            <w:r w:rsidRPr="00154588">
              <w:rPr>
                <w:bCs/>
                <w:sz w:val="20"/>
                <w:szCs w:val="20"/>
              </w:rPr>
              <w:t>Sub rezerva alineatului (9) din prezentul articol, dacă până la finalul perioadei de patru luni, oricare dintre autoritățile de rezoluție aduce problema în atenția ABE în conformitate cu articolul 19 din Regulamentul (UE) nr. 1093/2010, autoritatea de rezoluție în cauză își amână decizia și așteaptă orice decizie care poate fi luată de ABE în conformitate cu articolul 19 alineatul (3) din regulamentul menționat, adoptând ulterior propria sa decizie în conformitate cu decizia ABE. Perioada de patru luni este considerată a fi perioada de conciliere în înțelesul regulamentului menționat. ABE adoptă propria decizie în termen de o lună. Problema nu poate fi adusă în atenția ABE după expirarea perioadei de patru luni sau după ce s-a ajuns la o decizie comună. În absența unei decizii a ABE în termen de o lună, se aplică decizia autorității de rezoluție a filialei.</w:t>
            </w:r>
          </w:p>
        </w:tc>
        <w:tc>
          <w:tcPr>
            <w:tcW w:w="4819" w:type="dxa"/>
          </w:tcPr>
          <w:p w14:paraId="4FA94759" w14:textId="77777777" w:rsidR="006A2A6A" w:rsidRPr="00154588" w:rsidRDefault="006A2A6A" w:rsidP="008C12B4">
            <w:pPr>
              <w:ind w:firstLine="567"/>
              <w:jc w:val="both"/>
              <w:rPr>
                <w:rFonts w:eastAsia="Calibri"/>
                <w:kern w:val="2"/>
                <w:sz w:val="20"/>
                <w:szCs w:val="20"/>
                <w14:ligatures w14:val="standardContextual"/>
              </w:rPr>
            </w:pPr>
            <w:r w:rsidRPr="00154588">
              <w:rPr>
                <w:rFonts w:eastAsia="Calibri"/>
                <w:b/>
                <w:sz w:val="20"/>
                <w:szCs w:val="20"/>
              </w:rPr>
              <w:t>Articolul 31</w:t>
            </w:r>
            <w:r w:rsidRPr="00154588">
              <w:rPr>
                <w:rFonts w:eastAsia="Calibri"/>
                <w:b/>
                <w:sz w:val="20"/>
                <w:szCs w:val="20"/>
                <w:vertAlign w:val="superscript"/>
              </w:rPr>
              <w:t>18</w:t>
            </w:r>
            <w:r w:rsidRPr="00154588">
              <w:rPr>
                <w:rFonts w:eastAsia="Calibri"/>
                <w:b/>
                <w:sz w:val="20"/>
                <w:szCs w:val="20"/>
              </w:rPr>
              <w:t xml:space="preserve">. </w:t>
            </w:r>
            <w:r w:rsidRPr="00154588">
              <w:rPr>
                <w:rFonts w:eastAsia="Calibri"/>
                <w:sz w:val="20"/>
                <w:szCs w:val="20"/>
              </w:rPr>
              <w:t>– (1) În absența unei decizii comune a autorităților de rezoluție în termenul de patru luni prevăzut la art.31</w:t>
            </w:r>
            <w:r w:rsidRPr="00154588">
              <w:rPr>
                <w:rFonts w:eastAsia="Calibri"/>
                <w:sz w:val="20"/>
                <w:szCs w:val="20"/>
                <w:vertAlign w:val="superscript"/>
              </w:rPr>
              <w:t>17</w:t>
            </w:r>
            <w:r w:rsidRPr="00154588">
              <w:rPr>
                <w:rFonts w:eastAsia="Calibri"/>
                <w:sz w:val="20"/>
                <w:szCs w:val="20"/>
              </w:rPr>
              <w:t>, Banca Națională a Moldovei, în calitate de autoritate de rezoluție la nivel individual sau, după caz, la nivel de grup de rezoluție, în situația în care este în dezacord cu planul de rezoluție a grupului, ia propria decizie și, după caz, identifică entitatea de rezoluție și elaborează și actualizează un plan de rezoluție pentru grupul de rezoluție compus din entitățile aflate în jurisdicția sa.</w:t>
            </w:r>
          </w:p>
          <w:p w14:paraId="2C22F6C0" w14:textId="77777777" w:rsidR="006A2A6A" w:rsidRPr="00154588" w:rsidRDefault="006A2A6A" w:rsidP="008C12B4">
            <w:pPr>
              <w:ind w:firstLine="567"/>
              <w:jc w:val="both"/>
              <w:rPr>
                <w:rFonts w:eastAsia="Calibri"/>
                <w:sz w:val="20"/>
                <w:szCs w:val="20"/>
              </w:rPr>
            </w:pPr>
            <w:r w:rsidRPr="00154588">
              <w:rPr>
                <w:rFonts w:eastAsia="Calibri"/>
                <w:sz w:val="20"/>
                <w:szCs w:val="20"/>
              </w:rPr>
              <w:t>(2) Decizia de dezacord trebuie să fie temeinic motivată, să prezinte motivele dezacordului față de planul de rezoluție a grupului propus și să ia în considerare opiniile și rezervele celorlalte autorități de rezoluție și autorități competente.</w:t>
            </w:r>
          </w:p>
          <w:p w14:paraId="54610049" w14:textId="77777777" w:rsidR="006A2A6A" w:rsidRPr="00154588" w:rsidRDefault="006A2A6A" w:rsidP="008C12B4">
            <w:pPr>
              <w:ind w:firstLine="567"/>
              <w:jc w:val="both"/>
              <w:rPr>
                <w:rFonts w:eastAsia="Calibri"/>
                <w:sz w:val="20"/>
                <w:szCs w:val="20"/>
              </w:rPr>
            </w:pPr>
            <w:r w:rsidRPr="00154588">
              <w:rPr>
                <w:rFonts w:eastAsia="Calibri"/>
                <w:sz w:val="20"/>
                <w:szCs w:val="20"/>
              </w:rPr>
              <w:t>(3) Banca Națională a Moldovei, în calitate de autoritate de rezoluție la nivel individual sau, după caz, la nivelul unui grup de rezoluție, notifică decizia sa celorlalți membri ai colegiului de rezoluție.</w:t>
            </w:r>
          </w:p>
          <w:p w14:paraId="2854D6E0" w14:textId="77777777" w:rsidR="006A2A6A" w:rsidRPr="00154588" w:rsidRDefault="006A2A6A" w:rsidP="008C12B4">
            <w:pPr>
              <w:ind w:firstLine="567"/>
              <w:jc w:val="both"/>
              <w:rPr>
                <w:rFonts w:eastAsia="Calibri"/>
                <w:sz w:val="20"/>
                <w:szCs w:val="20"/>
              </w:rPr>
            </w:pPr>
          </w:p>
          <w:p w14:paraId="59C4077F" w14:textId="77777777" w:rsidR="006A2A6A" w:rsidRPr="00154588" w:rsidRDefault="006A2A6A" w:rsidP="008C12B4">
            <w:pPr>
              <w:ind w:firstLine="567"/>
              <w:jc w:val="both"/>
              <w:rPr>
                <w:rFonts w:eastAsia="Calibri"/>
                <w:sz w:val="20"/>
                <w:szCs w:val="20"/>
              </w:rPr>
            </w:pPr>
            <w:r w:rsidRPr="00154588">
              <w:rPr>
                <w:rFonts w:eastAsia="Calibri"/>
                <w:b/>
                <w:sz w:val="20"/>
                <w:szCs w:val="20"/>
              </w:rPr>
              <w:t>Articolul 31</w:t>
            </w:r>
            <w:r w:rsidRPr="00154588">
              <w:rPr>
                <w:rFonts w:eastAsia="Calibri"/>
                <w:b/>
                <w:sz w:val="20"/>
                <w:szCs w:val="20"/>
                <w:vertAlign w:val="superscript"/>
              </w:rPr>
              <w:t>19</w:t>
            </w:r>
            <w:r w:rsidRPr="00154588">
              <w:rPr>
                <w:rFonts w:eastAsia="Calibri"/>
                <w:sz w:val="20"/>
                <w:szCs w:val="20"/>
              </w:rPr>
              <w:t>. –</w:t>
            </w:r>
            <w:r w:rsidRPr="00154588">
              <w:rPr>
                <w:rFonts w:eastAsia="Calibri"/>
                <w:b/>
                <w:sz w:val="20"/>
                <w:szCs w:val="20"/>
              </w:rPr>
              <w:t xml:space="preserve"> </w:t>
            </w:r>
            <w:r w:rsidRPr="00154588">
              <w:rPr>
                <w:rFonts w:eastAsia="Calibri"/>
                <w:sz w:val="20"/>
                <w:szCs w:val="20"/>
              </w:rPr>
              <w:t>(1) Cu respectarea prevederilor art.31</w:t>
            </w:r>
            <w:r w:rsidRPr="00154588">
              <w:rPr>
                <w:rFonts w:eastAsia="Calibri"/>
                <w:sz w:val="20"/>
                <w:szCs w:val="20"/>
                <w:vertAlign w:val="superscript"/>
              </w:rPr>
              <w:t>20</w:t>
            </w:r>
            <w:r w:rsidRPr="00154588">
              <w:rPr>
                <w:rFonts w:eastAsia="Calibri"/>
                <w:sz w:val="20"/>
                <w:szCs w:val="20"/>
              </w:rPr>
              <w:t>, dacă în termenul de patru luni prevăzut la art.31</w:t>
            </w:r>
            <w:r w:rsidRPr="00154588">
              <w:rPr>
                <w:rFonts w:eastAsia="Calibri"/>
                <w:sz w:val="20"/>
                <w:szCs w:val="20"/>
                <w:vertAlign w:val="superscript"/>
              </w:rPr>
              <w:t>17</w:t>
            </w:r>
            <w:r w:rsidRPr="00154588">
              <w:rPr>
                <w:rFonts w:eastAsia="Calibri"/>
                <w:sz w:val="20"/>
                <w:szCs w:val="20"/>
              </w:rPr>
              <w:t>, oricare dintre autoritățile de rezoluție implicate se adresează Autorității Bancare Europene pentru acordarea de asistență, în conformitate cu prevederile art.19 din Regulamentul (UE) nr.1093/2010, Banca Națională a Moldovei, în calitate de autoritate de rezoluție la nivel individual, își amână decizia și așteaptă decizia pe care o poate lua Autoritatea Bancară Europeană.</w:t>
            </w:r>
          </w:p>
          <w:p w14:paraId="50606ED9" w14:textId="77777777" w:rsidR="006A2A6A" w:rsidRPr="00154588" w:rsidRDefault="006A2A6A" w:rsidP="008C12B4">
            <w:pPr>
              <w:ind w:firstLine="567"/>
              <w:jc w:val="both"/>
              <w:rPr>
                <w:rFonts w:eastAsia="Calibri"/>
                <w:sz w:val="20"/>
                <w:szCs w:val="20"/>
              </w:rPr>
            </w:pPr>
            <w:r w:rsidRPr="00154588">
              <w:rPr>
                <w:rFonts w:eastAsia="Calibri"/>
                <w:sz w:val="20"/>
                <w:szCs w:val="20"/>
              </w:rPr>
              <w:t>(2) Perioada de patru luni se consideră perioada de conciliere în sensul Regulamentului (UE) nr.1093/2010.</w:t>
            </w:r>
          </w:p>
          <w:p w14:paraId="1E896143" w14:textId="77777777" w:rsidR="006A2A6A" w:rsidRPr="00154588" w:rsidRDefault="006A2A6A" w:rsidP="008C12B4">
            <w:pPr>
              <w:ind w:firstLine="567"/>
              <w:jc w:val="both"/>
              <w:rPr>
                <w:rFonts w:eastAsia="Calibri"/>
                <w:sz w:val="20"/>
                <w:szCs w:val="20"/>
              </w:rPr>
            </w:pPr>
            <w:r w:rsidRPr="00154588">
              <w:rPr>
                <w:rFonts w:eastAsia="Calibri"/>
                <w:sz w:val="20"/>
                <w:szCs w:val="20"/>
              </w:rPr>
              <w:t>(3) Banca Națională a Moldovei, în calitate de autoritate de rezoluție la nivel individual, adoptă propria decizie în conformitate cu decizia Autorității Bancare Europene exprimată în termen de o lună.</w:t>
            </w:r>
          </w:p>
          <w:p w14:paraId="1765066F" w14:textId="77777777" w:rsidR="006A2A6A" w:rsidRPr="00154588" w:rsidRDefault="006A2A6A" w:rsidP="008C12B4">
            <w:pPr>
              <w:ind w:firstLine="567"/>
              <w:jc w:val="both"/>
              <w:rPr>
                <w:rFonts w:eastAsia="Calibri"/>
                <w:sz w:val="20"/>
                <w:szCs w:val="20"/>
              </w:rPr>
            </w:pPr>
            <w:r w:rsidRPr="00154588">
              <w:rPr>
                <w:rFonts w:eastAsia="Calibri"/>
                <w:sz w:val="20"/>
                <w:szCs w:val="20"/>
              </w:rPr>
              <w:t>(4) După expirarea termenului de patru luni sau după ce s-a ajuns la o decizie comună, Banca Națională a Moldovei, în calitate de autoritate de rezoluție la nivel individual, nu se mai poate adresa Autorității Bancare Europene.</w:t>
            </w:r>
          </w:p>
          <w:p w14:paraId="18EEF0D7" w14:textId="44B03F76" w:rsidR="006A2A6A" w:rsidRPr="00154588" w:rsidRDefault="006A2A6A" w:rsidP="008C12B4">
            <w:pPr>
              <w:ind w:firstLine="567"/>
              <w:jc w:val="both"/>
              <w:rPr>
                <w:rFonts w:eastAsia="Calibri"/>
                <w:sz w:val="20"/>
                <w:szCs w:val="20"/>
              </w:rPr>
            </w:pPr>
            <w:r w:rsidRPr="00154588">
              <w:rPr>
                <w:rFonts w:eastAsia="Calibri"/>
                <w:sz w:val="20"/>
                <w:szCs w:val="20"/>
              </w:rPr>
              <w:lastRenderedPageBreak/>
              <w:t>(5) În absența unei decizii a Autorității Bancare Europene se aplică decizia Băncii Naționale a Moldovei, în calitate de autoritate de rezoluție la nivel individual.</w:t>
            </w:r>
          </w:p>
        </w:tc>
        <w:tc>
          <w:tcPr>
            <w:tcW w:w="2552" w:type="dxa"/>
          </w:tcPr>
          <w:p w14:paraId="219A2B51" w14:textId="25BEACEF"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327C99A5" w14:textId="77777777" w:rsidR="006A2A6A" w:rsidRPr="00154588" w:rsidRDefault="006A2A6A" w:rsidP="008C12B4">
            <w:pPr>
              <w:jc w:val="both"/>
              <w:rPr>
                <w:bCs/>
                <w:sz w:val="20"/>
                <w:szCs w:val="20"/>
              </w:rPr>
            </w:pPr>
          </w:p>
        </w:tc>
      </w:tr>
      <w:tr w:rsidR="006A2A6A" w:rsidRPr="00154588" w14:paraId="64410172" w14:textId="77777777" w:rsidTr="00D15C1B">
        <w:trPr>
          <w:jc w:val="center"/>
        </w:trPr>
        <w:tc>
          <w:tcPr>
            <w:tcW w:w="4957" w:type="dxa"/>
            <w:gridSpan w:val="2"/>
          </w:tcPr>
          <w:p w14:paraId="1B2B2531" w14:textId="182359E0" w:rsidR="006A2A6A" w:rsidRPr="00154588" w:rsidRDefault="006A2A6A" w:rsidP="008C12B4">
            <w:pPr>
              <w:jc w:val="both"/>
              <w:rPr>
                <w:bCs/>
                <w:sz w:val="20"/>
                <w:szCs w:val="20"/>
              </w:rPr>
            </w:pPr>
            <w:r w:rsidRPr="00154588">
              <w:rPr>
                <w:bCs/>
                <w:sz w:val="20"/>
                <w:szCs w:val="20"/>
              </w:rPr>
              <w:t>(7) Celelalte autorități de rezoluție între care nu există un dezacord în conformitate cu alineatul (6) pot ajunge la o decizie comună privind planul de rezoluție a grupului care acoperă entitățile din grup aflate sub jurisdicțiile lor</w:t>
            </w:r>
          </w:p>
        </w:tc>
        <w:tc>
          <w:tcPr>
            <w:tcW w:w="4819" w:type="dxa"/>
          </w:tcPr>
          <w:p w14:paraId="613E8E2F" w14:textId="2D0A650C" w:rsidR="006A2A6A" w:rsidRPr="00154588" w:rsidRDefault="006A2A6A" w:rsidP="008C12B4">
            <w:pPr>
              <w:ind w:firstLine="567"/>
              <w:jc w:val="both"/>
              <w:rPr>
                <w:rFonts w:eastAsia="Calibri"/>
                <w:sz w:val="20"/>
                <w:szCs w:val="20"/>
              </w:rPr>
            </w:pPr>
            <w:r w:rsidRPr="00154588">
              <w:rPr>
                <w:rFonts w:eastAsia="Calibri"/>
                <w:b/>
                <w:sz w:val="20"/>
                <w:szCs w:val="20"/>
              </w:rPr>
              <w:t>Articolul 31</w:t>
            </w:r>
            <w:r w:rsidRPr="00154588">
              <w:rPr>
                <w:rFonts w:eastAsia="Calibri"/>
                <w:b/>
                <w:sz w:val="20"/>
                <w:szCs w:val="20"/>
                <w:vertAlign w:val="superscript"/>
              </w:rPr>
              <w:t>20</w:t>
            </w:r>
            <w:r w:rsidRPr="00154588">
              <w:rPr>
                <w:rFonts w:eastAsia="Calibri"/>
                <w:b/>
                <w:sz w:val="20"/>
                <w:szCs w:val="20"/>
              </w:rPr>
              <w:t xml:space="preserve">. – </w:t>
            </w:r>
            <w:r w:rsidRPr="00154588">
              <w:rPr>
                <w:rFonts w:eastAsia="Calibri"/>
                <w:sz w:val="20"/>
                <w:szCs w:val="20"/>
              </w:rPr>
              <w:t>Banca Națională a Moldovei, în calitate de autoritate de rezoluție la nivel individual, poate ajunge la o decizie comună cu autoritatea de rezoluție la nivel de grup și cu autoritățile de rezoluție care nu s-au adresat Autorității Bancare Europene conform art.31</w:t>
            </w:r>
            <w:r w:rsidRPr="00154588">
              <w:rPr>
                <w:rFonts w:eastAsia="Calibri"/>
                <w:sz w:val="20"/>
                <w:szCs w:val="20"/>
                <w:vertAlign w:val="superscript"/>
              </w:rPr>
              <w:t>19</w:t>
            </w:r>
            <w:r w:rsidRPr="00154588">
              <w:rPr>
                <w:rFonts w:eastAsia="Calibri"/>
                <w:sz w:val="20"/>
                <w:szCs w:val="20"/>
              </w:rPr>
              <w:t>, cu privire la un plan de rezoluție la nivel de grup care vizează entitățile din grup aflate sub jurisdicția sa.</w:t>
            </w:r>
          </w:p>
        </w:tc>
        <w:tc>
          <w:tcPr>
            <w:tcW w:w="2552" w:type="dxa"/>
          </w:tcPr>
          <w:p w14:paraId="37E1828F" w14:textId="3B4D45E7" w:rsidR="006A2A6A" w:rsidRPr="00154588" w:rsidRDefault="00F2760F" w:rsidP="008C12B4">
            <w:pPr>
              <w:jc w:val="both"/>
              <w:rPr>
                <w:bCs/>
                <w:sz w:val="20"/>
                <w:szCs w:val="20"/>
              </w:rPr>
            </w:pPr>
            <w:r w:rsidRPr="00154588">
              <w:rPr>
                <w:bCs/>
                <w:sz w:val="20"/>
                <w:szCs w:val="20"/>
              </w:rPr>
              <w:t>Compatibil</w:t>
            </w:r>
          </w:p>
        </w:tc>
        <w:tc>
          <w:tcPr>
            <w:tcW w:w="3118" w:type="dxa"/>
          </w:tcPr>
          <w:p w14:paraId="615A677D" w14:textId="77777777" w:rsidR="006A2A6A" w:rsidRPr="00154588" w:rsidRDefault="006A2A6A" w:rsidP="008C12B4">
            <w:pPr>
              <w:jc w:val="both"/>
              <w:rPr>
                <w:bCs/>
                <w:sz w:val="20"/>
                <w:szCs w:val="20"/>
              </w:rPr>
            </w:pPr>
          </w:p>
        </w:tc>
      </w:tr>
      <w:tr w:rsidR="006A2A6A" w:rsidRPr="00154588" w14:paraId="5C332CCB" w14:textId="77777777" w:rsidTr="00D15C1B">
        <w:trPr>
          <w:jc w:val="center"/>
        </w:trPr>
        <w:tc>
          <w:tcPr>
            <w:tcW w:w="4957" w:type="dxa"/>
            <w:gridSpan w:val="2"/>
          </w:tcPr>
          <w:p w14:paraId="19B9ED72" w14:textId="6F11064A" w:rsidR="006A2A6A" w:rsidRPr="00154588" w:rsidRDefault="006A2A6A" w:rsidP="008C12B4">
            <w:pPr>
              <w:jc w:val="both"/>
              <w:rPr>
                <w:bCs/>
                <w:sz w:val="20"/>
                <w:szCs w:val="20"/>
              </w:rPr>
            </w:pPr>
            <w:r w:rsidRPr="00154588">
              <w:rPr>
                <w:bCs/>
                <w:sz w:val="20"/>
                <w:szCs w:val="20"/>
              </w:rPr>
              <w:t>(8)  Deciziile comune menționate la alineatele (4) și (7), precum și deciziile adoptate de autoritățile de rezoluție în absența deciziei comune menționate la alineatele (5) și (6) sunt recunoscute ca fiind definitive și sunt aplicate de către celelalte autorități de rezoluție vizate.</w:t>
            </w:r>
          </w:p>
        </w:tc>
        <w:tc>
          <w:tcPr>
            <w:tcW w:w="4819" w:type="dxa"/>
          </w:tcPr>
          <w:p w14:paraId="4122E82F" w14:textId="77777777" w:rsidR="006A2A6A" w:rsidRPr="00154588" w:rsidRDefault="006A2A6A" w:rsidP="008C12B4">
            <w:pPr>
              <w:ind w:firstLine="567"/>
              <w:jc w:val="both"/>
              <w:rPr>
                <w:rFonts w:eastAsia="Calibri"/>
                <w:sz w:val="20"/>
                <w:szCs w:val="20"/>
              </w:rPr>
            </w:pPr>
            <w:r w:rsidRPr="00154588">
              <w:rPr>
                <w:rFonts w:eastAsia="Calibri"/>
                <w:b/>
                <w:sz w:val="20"/>
                <w:szCs w:val="20"/>
              </w:rPr>
              <w:t>Articolul 31</w:t>
            </w:r>
            <w:r w:rsidRPr="00154588">
              <w:rPr>
                <w:rFonts w:eastAsia="Calibri"/>
                <w:b/>
                <w:sz w:val="20"/>
                <w:szCs w:val="20"/>
                <w:vertAlign w:val="superscript"/>
              </w:rPr>
              <w:t>21</w:t>
            </w:r>
            <w:r w:rsidRPr="00154588">
              <w:rPr>
                <w:rFonts w:eastAsia="Calibri"/>
                <w:b/>
                <w:sz w:val="20"/>
                <w:szCs w:val="20"/>
              </w:rPr>
              <w:t xml:space="preserve">. – </w:t>
            </w:r>
            <w:r w:rsidRPr="00154588">
              <w:rPr>
                <w:rFonts w:eastAsia="Calibri"/>
                <w:sz w:val="20"/>
                <w:szCs w:val="20"/>
              </w:rPr>
              <w:t>Decizia comună prevăzută la art.31</w:t>
            </w:r>
            <w:r w:rsidRPr="00154588">
              <w:rPr>
                <w:rFonts w:eastAsia="Calibri"/>
                <w:sz w:val="20"/>
                <w:szCs w:val="20"/>
                <w:vertAlign w:val="superscript"/>
              </w:rPr>
              <w:t>17</w:t>
            </w:r>
            <w:r w:rsidRPr="00154588">
              <w:rPr>
                <w:rFonts w:eastAsia="Calibri"/>
                <w:sz w:val="20"/>
                <w:szCs w:val="20"/>
              </w:rPr>
              <w:t> și art.31</w:t>
            </w:r>
            <w:r w:rsidRPr="00154588">
              <w:rPr>
                <w:rFonts w:eastAsia="Calibri"/>
                <w:sz w:val="20"/>
                <w:szCs w:val="20"/>
                <w:vertAlign w:val="superscript"/>
              </w:rPr>
              <w:t>20 </w:t>
            </w:r>
            <w:r w:rsidRPr="00154588">
              <w:rPr>
                <w:rFonts w:eastAsia="Calibri"/>
                <w:sz w:val="20"/>
                <w:szCs w:val="20"/>
              </w:rPr>
              <w:t>sau decizia adoptată în absența deciziei comune, prevăzută la art.31</w:t>
            </w:r>
            <w:r w:rsidRPr="00154588">
              <w:rPr>
                <w:rFonts w:eastAsia="Calibri"/>
                <w:sz w:val="20"/>
                <w:szCs w:val="20"/>
                <w:vertAlign w:val="superscript"/>
              </w:rPr>
              <w:t>18</w:t>
            </w:r>
            <w:r w:rsidRPr="00154588">
              <w:rPr>
                <w:rFonts w:eastAsia="Calibri"/>
                <w:sz w:val="20"/>
                <w:szCs w:val="20"/>
              </w:rPr>
              <w:t>, este recunoscută ca definitivă și este aplicată în mod corespunzător.</w:t>
            </w:r>
          </w:p>
          <w:p w14:paraId="0CD6F094" w14:textId="77777777" w:rsidR="006A2A6A" w:rsidRPr="00154588" w:rsidRDefault="006A2A6A" w:rsidP="008C12B4">
            <w:pPr>
              <w:ind w:firstLine="567"/>
              <w:jc w:val="both"/>
              <w:rPr>
                <w:rFonts w:eastAsia="Calibri"/>
                <w:b/>
                <w:sz w:val="20"/>
                <w:szCs w:val="20"/>
              </w:rPr>
            </w:pPr>
          </w:p>
        </w:tc>
        <w:tc>
          <w:tcPr>
            <w:tcW w:w="2552" w:type="dxa"/>
          </w:tcPr>
          <w:p w14:paraId="2CD82027" w14:textId="4ACE79B0" w:rsidR="006A2A6A" w:rsidRPr="00154588" w:rsidRDefault="006A2A6A" w:rsidP="008C12B4">
            <w:pPr>
              <w:jc w:val="both"/>
              <w:rPr>
                <w:bCs/>
                <w:sz w:val="20"/>
                <w:szCs w:val="20"/>
              </w:rPr>
            </w:pPr>
            <w:r w:rsidRPr="00154588">
              <w:rPr>
                <w:bCs/>
                <w:sz w:val="20"/>
                <w:szCs w:val="20"/>
              </w:rPr>
              <w:t>Compatibil</w:t>
            </w:r>
          </w:p>
        </w:tc>
        <w:tc>
          <w:tcPr>
            <w:tcW w:w="3118" w:type="dxa"/>
          </w:tcPr>
          <w:p w14:paraId="7A564F75" w14:textId="77777777" w:rsidR="006A2A6A" w:rsidRPr="00154588" w:rsidRDefault="006A2A6A" w:rsidP="008C12B4">
            <w:pPr>
              <w:jc w:val="both"/>
              <w:rPr>
                <w:bCs/>
                <w:sz w:val="20"/>
                <w:szCs w:val="20"/>
              </w:rPr>
            </w:pPr>
          </w:p>
        </w:tc>
      </w:tr>
      <w:tr w:rsidR="006A2A6A" w:rsidRPr="00154588" w14:paraId="5337D65C" w14:textId="77777777" w:rsidTr="00D15C1B">
        <w:trPr>
          <w:jc w:val="center"/>
        </w:trPr>
        <w:tc>
          <w:tcPr>
            <w:tcW w:w="4957" w:type="dxa"/>
            <w:gridSpan w:val="2"/>
          </w:tcPr>
          <w:p w14:paraId="5C575763" w14:textId="7B2B26E3" w:rsidR="006A2A6A" w:rsidRPr="00154588" w:rsidRDefault="006A2A6A" w:rsidP="008C12B4">
            <w:pPr>
              <w:jc w:val="both"/>
              <w:rPr>
                <w:bCs/>
                <w:sz w:val="20"/>
                <w:szCs w:val="20"/>
              </w:rPr>
            </w:pPr>
            <w:r w:rsidRPr="00154588">
              <w:rPr>
                <w:bCs/>
                <w:sz w:val="20"/>
                <w:szCs w:val="20"/>
              </w:rPr>
              <w:t>(9)   În conformitate cu alineatele (5) și (6) din prezentul articol, la cererea unei autorități de rezoluție, ABE poate acorda asistență autorităților de rezoluție în vederea ajungerii la un acord în conformitate cu articolul 19 alineatul (3) din Regulamentul (UE) nr. 1093/2010, cu excepția cazului în care oricare dintre autoritățile de rezoluție vizate evaluează că aspectul care face obiectul dezacordului poate afecta în orice mod responsabilitățile fiscale ale statului său membru.</w:t>
            </w:r>
          </w:p>
        </w:tc>
        <w:tc>
          <w:tcPr>
            <w:tcW w:w="4819" w:type="dxa"/>
          </w:tcPr>
          <w:p w14:paraId="1F7BBA30" w14:textId="77777777" w:rsidR="006A2A6A" w:rsidRPr="00154588" w:rsidRDefault="006A2A6A" w:rsidP="008C12B4">
            <w:pPr>
              <w:ind w:firstLine="567"/>
              <w:jc w:val="both"/>
              <w:rPr>
                <w:rFonts w:eastAsia="Calibri"/>
                <w:sz w:val="20"/>
                <w:szCs w:val="20"/>
              </w:rPr>
            </w:pPr>
            <w:r w:rsidRPr="00154588">
              <w:rPr>
                <w:rFonts w:eastAsia="Calibri"/>
                <w:b/>
                <w:sz w:val="20"/>
                <w:szCs w:val="20"/>
              </w:rPr>
              <w:t>Articolul 31</w:t>
            </w:r>
            <w:r w:rsidRPr="00154588">
              <w:rPr>
                <w:rFonts w:eastAsia="Calibri"/>
                <w:b/>
                <w:sz w:val="20"/>
                <w:szCs w:val="20"/>
                <w:vertAlign w:val="superscript"/>
              </w:rPr>
              <w:t>22</w:t>
            </w:r>
            <w:r w:rsidRPr="00154588">
              <w:rPr>
                <w:rFonts w:eastAsia="Calibri"/>
                <w:b/>
                <w:sz w:val="20"/>
                <w:szCs w:val="20"/>
              </w:rPr>
              <w:t xml:space="preserve">. – </w:t>
            </w:r>
            <w:r w:rsidRPr="00154588">
              <w:rPr>
                <w:rFonts w:eastAsia="Calibri"/>
                <w:sz w:val="20"/>
                <w:szCs w:val="20"/>
              </w:rPr>
              <w:t>În cazul în care este solicitată asistența Autorității Bancare Europene în vederea ajungerii la un acord cu privire la luarea unei decizii comune privind planurile de rezoluție la nivel de grup, Banca Națională a Moldovei, în calitate de autoritate de rezoluție la nivel individual, analizează dacă aspectul care face obiectul dezacordului poate afecta în orice mod responsabilitățile fiscale ale Republicii Moldovei.</w:t>
            </w:r>
          </w:p>
          <w:p w14:paraId="1DC06435" w14:textId="77777777" w:rsidR="006A2A6A" w:rsidRPr="00154588" w:rsidRDefault="006A2A6A" w:rsidP="008C12B4">
            <w:pPr>
              <w:ind w:firstLine="567"/>
              <w:jc w:val="both"/>
              <w:rPr>
                <w:rFonts w:eastAsia="Calibri"/>
                <w:b/>
                <w:sz w:val="20"/>
                <w:szCs w:val="20"/>
              </w:rPr>
            </w:pPr>
          </w:p>
        </w:tc>
        <w:tc>
          <w:tcPr>
            <w:tcW w:w="2552" w:type="dxa"/>
          </w:tcPr>
          <w:p w14:paraId="78D106AA" w14:textId="63C5A4DF" w:rsidR="006A2A6A" w:rsidRPr="00154588" w:rsidRDefault="006A2A6A" w:rsidP="008C12B4">
            <w:pPr>
              <w:jc w:val="both"/>
              <w:rPr>
                <w:bCs/>
                <w:sz w:val="20"/>
                <w:szCs w:val="20"/>
              </w:rPr>
            </w:pPr>
            <w:r w:rsidRPr="00154588">
              <w:rPr>
                <w:bCs/>
                <w:sz w:val="20"/>
                <w:szCs w:val="20"/>
              </w:rPr>
              <w:t>Compatibil</w:t>
            </w:r>
          </w:p>
        </w:tc>
        <w:tc>
          <w:tcPr>
            <w:tcW w:w="3118" w:type="dxa"/>
          </w:tcPr>
          <w:p w14:paraId="05F9978E" w14:textId="77777777" w:rsidR="006A2A6A" w:rsidRPr="00154588" w:rsidRDefault="006A2A6A" w:rsidP="008C12B4">
            <w:pPr>
              <w:jc w:val="both"/>
              <w:rPr>
                <w:bCs/>
                <w:sz w:val="20"/>
                <w:szCs w:val="20"/>
              </w:rPr>
            </w:pPr>
          </w:p>
        </w:tc>
      </w:tr>
      <w:tr w:rsidR="006A2A6A" w:rsidRPr="00154588" w14:paraId="21D660F8" w14:textId="77777777" w:rsidTr="00D15C1B">
        <w:trPr>
          <w:jc w:val="center"/>
        </w:trPr>
        <w:tc>
          <w:tcPr>
            <w:tcW w:w="4957" w:type="dxa"/>
            <w:gridSpan w:val="2"/>
          </w:tcPr>
          <w:p w14:paraId="3A0FF145" w14:textId="417FC2C8" w:rsidR="006A2A6A" w:rsidRPr="00154588" w:rsidRDefault="006A2A6A" w:rsidP="008C12B4">
            <w:pPr>
              <w:jc w:val="both"/>
              <w:rPr>
                <w:bCs/>
                <w:sz w:val="20"/>
                <w:szCs w:val="20"/>
              </w:rPr>
            </w:pPr>
            <w:r w:rsidRPr="00154588">
              <w:rPr>
                <w:bCs/>
                <w:sz w:val="20"/>
                <w:szCs w:val="20"/>
              </w:rPr>
              <w:t>(10) În cazul în care sunt luate decizii comune în temeiul alineatelor (4) și (7) și în cazul în care o autoritate de rezoluție consideră, în temeiul alineatului (9), că motivul dezacordului privind planurile de rezoluție a grupului aduce atingere responsabilităților fiscale ale statului său membru, aceasta procedează la o reevaluare a planului de rezoluție a grupului, inclusiv cerința minimă privind fondurile proprii și pasivele eligibile.</w:t>
            </w:r>
          </w:p>
        </w:tc>
        <w:tc>
          <w:tcPr>
            <w:tcW w:w="4819" w:type="dxa"/>
          </w:tcPr>
          <w:p w14:paraId="10A7C9AC" w14:textId="4A163B2A" w:rsidR="006A2A6A" w:rsidRPr="00154588" w:rsidRDefault="006A2A6A" w:rsidP="008C12B4">
            <w:pPr>
              <w:ind w:firstLine="567"/>
              <w:jc w:val="both"/>
              <w:rPr>
                <w:rFonts w:eastAsia="Calibri"/>
                <w:sz w:val="20"/>
                <w:szCs w:val="20"/>
              </w:rPr>
            </w:pPr>
            <w:r w:rsidRPr="00154588">
              <w:rPr>
                <w:rFonts w:eastAsia="Calibri"/>
                <w:b/>
                <w:sz w:val="20"/>
                <w:szCs w:val="20"/>
              </w:rPr>
              <w:t>Articolul 31</w:t>
            </w:r>
            <w:r w:rsidRPr="00154588">
              <w:rPr>
                <w:rFonts w:eastAsia="Calibri"/>
                <w:b/>
                <w:sz w:val="20"/>
                <w:szCs w:val="20"/>
                <w:vertAlign w:val="superscript"/>
              </w:rPr>
              <w:t>23</w:t>
            </w:r>
            <w:r w:rsidRPr="00154588">
              <w:rPr>
                <w:rFonts w:eastAsia="Calibri"/>
                <w:b/>
                <w:sz w:val="20"/>
                <w:szCs w:val="20"/>
              </w:rPr>
              <w:t xml:space="preserve">. – </w:t>
            </w:r>
            <w:r w:rsidRPr="00154588">
              <w:rPr>
                <w:rFonts w:eastAsia="Calibri"/>
                <w:sz w:val="20"/>
                <w:szCs w:val="20"/>
              </w:rPr>
              <w:t>În cazul în care Banca Națională a Moldovei, în calitate de autoritate de rezoluție la nivel individual, consideră că motivul dezacordului privind planurile de rezoluție a grupului, în privința căruia s-a solicitat asistență Autorității Bancare Europene, afectează responsabilitățile fiscale ale Republicii Moldova, aceasta informează Autoritatea Bancară Europeană asupra acestei situații și solicită autorității de rezoluție la nivel de grup reevaluarea planului de rezoluție a grupului, inclusiv a cerințelor minime privind fondurile proprii și datorii eligibile.</w:t>
            </w:r>
          </w:p>
        </w:tc>
        <w:tc>
          <w:tcPr>
            <w:tcW w:w="2552" w:type="dxa"/>
          </w:tcPr>
          <w:p w14:paraId="0FF08AA7" w14:textId="6AFB61B5" w:rsidR="006A2A6A" w:rsidRPr="00154588" w:rsidRDefault="006A2A6A" w:rsidP="008C12B4">
            <w:pPr>
              <w:jc w:val="both"/>
              <w:rPr>
                <w:bCs/>
                <w:sz w:val="20"/>
                <w:szCs w:val="20"/>
              </w:rPr>
            </w:pPr>
            <w:r w:rsidRPr="00154588">
              <w:rPr>
                <w:bCs/>
                <w:sz w:val="20"/>
                <w:szCs w:val="20"/>
              </w:rPr>
              <w:t>Compatibil</w:t>
            </w:r>
          </w:p>
        </w:tc>
        <w:tc>
          <w:tcPr>
            <w:tcW w:w="3118" w:type="dxa"/>
          </w:tcPr>
          <w:p w14:paraId="1A03E0DE" w14:textId="77777777" w:rsidR="006A2A6A" w:rsidRPr="00154588" w:rsidRDefault="006A2A6A" w:rsidP="008C12B4">
            <w:pPr>
              <w:jc w:val="both"/>
              <w:rPr>
                <w:bCs/>
                <w:sz w:val="20"/>
                <w:szCs w:val="20"/>
              </w:rPr>
            </w:pPr>
          </w:p>
        </w:tc>
      </w:tr>
      <w:tr w:rsidR="006A2A6A" w:rsidRPr="00154588" w14:paraId="23535F21" w14:textId="77777777" w:rsidTr="00D15C1B">
        <w:trPr>
          <w:jc w:val="center"/>
        </w:trPr>
        <w:tc>
          <w:tcPr>
            <w:tcW w:w="4957" w:type="dxa"/>
            <w:gridSpan w:val="2"/>
          </w:tcPr>
          <w:p w14:paraId="734E44BB" w14:textId="77777777" w:rsidR="006A2A6A" w:rsidRPr="00154588" w:rsidRDefault="006A2A6A" w:rsidP="008C12B4">
            <w:pPr>
              <w:rPr>
                <w:b/>
                <w:sz w:val="20"/>
                <w:szCs w:val="20"/>
              </w:rPr>
            </w:pPr>
            <w:r w:rsidRPr="00154588">
              <w:rPr>
                <w:b/>
                <w:sz w:val="20"/>
                <w:szCs w:val="20"/>
              </w:rPr>
              <w:t>Articolul 14</w:t>
            </w:r>
          </w:p>
          <w:p w14:paraId="1CAFA60F" w14:textId="77777777" w:rsidR="006A2A6A" w:rsidRPr="00154588" w:rsidRDefault="006A2A6A" w:rsidP="008C12B4">
            <w:pPr>
              <w:rPr>
                <w:b/>
                <w:sz w:val="20"/>
                <w:szCs w:val="20"/>
              </w:rPr>
            </w:pPr>
          </w:p>
          <w:p w14:paraId="5C0E3E7A" w14:textId="19824520" w:rsidR="006A2A6A" w:rsidRPr="00154588" w:rsidRDefault="006A2A6A" w:rsidP="008C12B4">
            <w:pPr>
              <w:rPr>
                <w:bCs/>
                <w:sz w:val="20"/>
                <w:szCs w:val="20"/>
              </w:rPr>
            </w:pPr>
            <w:r w:rsidRPr="00154588">
              <w:rPr>
                <w:b/>
                <w:sz w:val="20"/>
                <w:szCs w:val="20"/>
              </w:rPr>
              <w:t>Transmiterea planurilor de rezoluție către autoritățile competente</w:t>
            </w:r>
          </w:p>
        </w:tc>
        <w:tc>
          <w:tcPr>
            <w:tcW w:w="4819" w:type="dxa"/>
          </w:tcPr>
          <w:p w14:paraId="23572811" w14:textId="77777777" w:rsidR="006A2A6A" w:rsidRPr="00154588" w:rsidRDefault="006A2A6A" w:rsidP="008C12B4">
            <w:pPr>
              <w:jc w:val="both"/>
              <w:rPr>
                <w:bCs/>
                <w:sz w:val="20"/>
                <w:szCs w:val="20"/>
              </w:rPr>
            </w:pPr>
          </w:p>
        </w:tc>
        <w:tc>
          <w:tcPr>
            <w:tcW w:w="2552" w:type="dxa"/>
          </w:tcPr>
          <w:p w14:paraId="24B50FAF" w14:textId="77777777" w:rsidR="006A2A6A" w:rsidRPr="00154588" w:rsidRDefault="006A2A6A" w:rsidP="008C12B4">
            <w:pPr>
              <w:jc w:val="both"/>
              <w:rPr>
                <w:bCs/>
                <w:sz w:val="20"/>
                <w:szCs w:val="20"/>
              </w:rPr>
            </w:pPr>
          </w:p>
        </w:tc>
        <w:tc>
          <w:tcPr>
            <w:tcW w:w="3118" w:type="dxa"/>
          </w:tcPr>
          <w:p w14:paraId="51277960" w14:textId="77777777" w:rsidR="006A2A6A" w:rsidRPr="00154588" w:rsidRDefault="006A2A6A" w:rsidP="008C12B4">
            <w:pPr>
              <w:jc w:val="both"/>
              <w:rPr>
                <w:bCs/>
                <w:sz w:val="20"/>
                <w:szCs w:val="20"/>
              </w:rPr>
            </w:pPr>
          </w:p>
        </w:tc>
      </w:tr>
      <w:tr w:rsidR="006A2A6A" w:rsidRPr="00154588" w14:paraId="7A52D61E" w14:textId="77777777" w:rsidTr="00D15C1B">
        <w:trPr>
          <w:jc w:val="center"/>
        </w:trPr>
        <w:tc>
          <w:tcPr>
            <w:tcW w:w="4957" w:type="dxa"/>
            <w:gridSpan w:val="2"/>
          </w:tcPr>
          <w:p w14:paraId="6589382A" w14:textId="52D69413" w:rsidR="006A2A6A" w:rsidRPr="00154588" w:rsidRDefault="006A2A6A" w:rsidP="008C12B4">
            <w:pPr>
              <w:jc w:val="both"/>
              <w:rPr>
                <w:bCs/>
                <w:sz w:val="20"/>
                <w:szCs w:val="20"/>
              </w:rPr>
            </w:pPr>
            <w:r w:rsidRPr="00154588">
              <w:rPr>
                <w:bCs/>
                <w:sz w:val="20"/>
                <w:szCs w:val="20"/>
              </w:rPr>
              <w:t>(1) Autoritatea de rezoluție transmite autorităților competente relevante planurile de rezoluție și orice modificări aduse acestora.</w:t>
            </w:r>
          </w:p>
        </w:tc>
        <w:tc>
          <w:tcPr>
            <w:tcW w:w="4819" w:type="dxa"/>
          </w:tcPr>
          <w:p w14:paraId="1CB6BEC9" w14:textId="0FFAD561" w:rsidR="006A2A6A" w:rsidRPr="00154588" w:rsidRDefault="006A2A6A" w:rsidP="008C12B4">
            <w:pPr>
              <w:ind w:firstLine="567"/>
              <w:jc w:val="both"/>
              <w:rPr>
                <w:rFonts w:eastAsia="Calibri"/>
                <w:kern w:val="2"/>
                <w:sz w:val="20"/>
                <w:szCs w:val="20"/>
                <w14:ligatures w14:val="standardContextual"/>
              </w:rPr>
            </w:pPr>
            <w:r w:rsidRPr="00154588">
              <w:rPr>
                <w:rFonts w:eastAsia="Calibri"/>
                <w:b/>
                <w:sz w:val="20"/>
                <w:szCs w:val="20"/>
              </w:rPr>
              <w:t>Articolul 31</w:t>
            </w:r>
            <w:r w:rsidRPr="00154588">
              <w:rPr>
                <w:rFonts w:eastAsia="Calibri"/>
                <w:b/>
                <w:sz w:val="20"/>
                <w:szCs w:val="20"/>
                <w:vertAlign w:val="superscript"/>
              </w:rPr>
              <w:t>24</w:t>
            </w:r>
            <w:r w:rsidRPr="00154588">
              <w:rPr>
                <w:rFonts w:eastAsia="Calibri"/>
                <w:b/>
                <w:sz w:val="20"/>
                <w:szCs w:val="20"/>
              </w:rPr>
              <w:t>.</w:t>
            </w:r>
            <w:r w:rsidRPr="00154588">
              <w:rPr>
                <w:rFonts w:eastAsia="Calibri"/>
                <w:sz w:val="20"/>
                <w:szCs w:val="20"/>
              </w:rPr>
              <w:t xml:space="preserve"> – Banca Națională a Moldovei, în calitate de autoritate de rezoluție la nivel individual, transmite, în situațiile prevăzute la art.31</w:t>
            </w:r>
            <w:r w:rsidRPr="00154588">
              <w:rPr>
                <w:rFonts w:eastAsia="Calibri"/>
                <w:sz w:val="20"/>
                <w:szCs w:val="20"/>
                <w:vertAlign w:val="superscript"/>
              </w:rPr>
              <w:t>18</w:t>
            </w:r>
            <w:r w:rsidRPr="00154588">
              <w:rPr>
                <w:rFonts w:eastAsia="Calibri"/>
                <w:sz w:val="20"/>
                <w:szCs w:val="20"/>
              </w:rPr>
              <w:t xml:space="preserve"> și 31</w:t>
            </w:r>
            <w:r w:rsidRPr="00154588">
              <w:rPr>
                <w:rFonts w:eastAsia="Calibri"/>
                <w:sz w:val="20"/>
                <w:szCs w:val="20"/>
                <w:vertAlign w:val="superscript"/>
              </w:rPr>
              <w:t>19</w:t>
            </w:r>
            <w:r w:rsidRPr="00154588">
              <w:rPr>
                <w:rFonts w:eastAsia="Calibri"/>
                <w:sz w:val="20"/>
                <w:szCs w:val="20"/>
              </w:rPr>
              <w:t xml:space="preserve"> alin.(3), autorităților competente relevante planul de rezoluție, precum și orice modificări aduse acestuia.</w:t>
            </w:r>
          </w:p>
        </w:tc>
        <w:tc>
          <w:tcPr>
            <w:tcW w:w="2552" w:type="dxa"/>
          </w:tcPr>
          <w:p w14:paraId="0CA1118E" w14:textId="608DFFC1" w:rsidR="006A2A6A" w:rsidRPr="00154588" w:rsidRDefault="006A2A6A" w:rsidP="008C12B4">
            <w:pPr>
              <w:jc w:val="both"/>
              <w:rPr>
                <w:bCs/>
                <w:sz w:val="20"/>
                <w:szCs w:val="20"/>
              </w:rPr>
            </w:pPr>
            <w:r w:rsidRPr="00154588">
              <w:rPr>
                <w:bCs/>
                <w:sz w:val="20"/>
                <w:szCs w:val="20"/>
              </w:rPr>
              <w:t>Compatibil</w:t>
            </w:r>
          </w:p>
        </w:tc>
        <w:tc>
          <w:tcPr>
            <w:tcW w:w="3118" w:type="dxa"/>
          </w:tcPr>
          <w:p w14:paraId="7A4B0D2C" w14:textId="77777777" w:rsidR="006A2A6A" w:rsidRPr="00154588" w:rsidRDefault="006A2A6A" w:rsidP="008C12B4">
            <w:pPr>
              <w:jc w:val="center"/>
              <w:rPr>
                <w:bCs/>
                <w:sz w:val="20"/>
                <w:szCs w:val="20"/>
              </w:rPr>
            </w:pPr>
            <w:r w:rsidRPr="00154588">
              <w:rPr>
                <w:bCs/>
                <w:sz w:val="20"/>
                <w:szCs w:val="20"/>
              </w:rPr>
              <w:t>Transpun în Secțiunea a 5-a Planificarea rezoluției la nivel de grup în cazul în care</w:t>
            </w:r>
          </w:p>
          <w:p w14:paraId="2C454739" w14:textId="77777777" w:rsidR="006A2A6A" w:rsidRPr="00154588" w:rsidRDefault="006A2A6A" w:rsidP="008C12B4">
            <w:pPr>
              <w:jc w:val="center"/>
              <w:rPr>
                <w:bCs/>
                <w:sz w:val="20"/>
                <w:szCs w:val="20"/>
              </w:rPr>
            </w:pPr>
            <w:r w:rsidRPr="00154588">
              <w:rPr>
                <w:bCs/>
                <w:sz w:val="20"/>
                <w:szCs w:val="20"/>
              </w:rPr>
              <w:t>Banca Națională a Moldovei este autoritate de rezoluție</w:t>
            </w:r>
          </w:p>
          <w:p w14:paraId="78CA2175" w14:textId="3A5B34A5" w:rsidR="006A2A6A" w:rsidRPr="00154588" w:rsidRDefault="006A2A6A" w:rsidP="008C12B4">
            <w:pPr>
              <w:jc w:val="center"/>
              <w:rPr>
                <w:bCs/>
                <w:sz w:val="20"/>
                <w:szCs w:val="20"/>
              </w:rPr>
            </w:pPr>
            <w:r w:rsidRPr="00154588">
              <w:rPr>
                <w:bCs/>
                <w:sz w:val="20"/>
                <w:szCs w:val="20"/>
              </w:rPr>
              <w:lastRenderedPageBreak/>
              <w:t>la nivel individual sau, după caz autoritate de rezoluție</w:t>
            </w:r>
          </w:p>
          <w:p w14:paraId="1A2B1F5F" w14:textId="2ABA8CED" w:rsidR="006A2A6A" w:rsidRPr="00154588" w:rsidRDefault="006A2A6A" w:rsidP="008C12B4">
            <w:pPr>
              <w:jc w:val="center"/>
              <w:rPr>
                <w:bCs/>
                <w:sz w:val="20"/>
                <w:szCs w:val="20"/>
              </w:rPr>
            </w:pPr>
            <w:r w:rsidRPr="00154588">
              <w:rPr>
                <w:bCs/>
                <w:sz w:val="20"/>
                <w:szCs w:val="20"/>
              </w:rPr>
              <w:t>la nivelul unui grup de rezoluție</w:t>
            </w:r>
          </w:p>
        </w:tc>
      </w:tr>
      <w:tr w:rsidR="006A2A6A" w:rsidRPr="00154588" w14:paraId="65CFBFC2" w14:textId="77777777" w:rsidTr="00D15C1B">
        <w:trPr>
          <w:jc w:val="center"/>
        </w:trPr>
        <w:tc>
          <w:tcPr>
            <w:tcW w:w="4957" w:type="dxa"/>
            <w:gridSpan w:val="2"/>
          </w:tcPr>
          <w:p w14:paraId="059994B1" w14:textId="423FB56A" w:rsidR="006A2A6A" w:rsidRPr="00154588" w:rsidRDefault="006A2A6A" w:rsidP="008C12B4">
            <w:pPr>
              <w:jc w:val="both"/>
              <w:rPr>
                <w:bCs/>
                <w:sz w:val="20"/>
                <w:szCs w:val="20"/>
              </w:rPr>
            </w:pPr>
            <w:r w:rsidRPr="00154588">
              <w:rPr>
                <w:bCs/>
                <w:sz w:val="20"/>
                <w:szCs w:val="20"/>
              </w:rPr>
              <w:lastRenderedPageBreak/>
              <w:t>(2) Autoritatea de rezoluție a grupului transmite autorităților competente relevante planurile de rezoluție a grupurilor și orice modificări aduse acestora.</w:t>
            </w:r>
          </w:p>
        </w:tc>
        <w:tc>
          <w:tcPr>
            <w:tcW w:w="4819" w:type="dxa"/>
          </w:tcPr>
          <w:p w14:paraId="7D637C5A" w14:textId="1F5CD81E" w:rsidR="006A2A6A" w:rsidRPr="00154588" w:rsidRDefault="006A2A6A" w:rsidP="008C12B4">
            <w:pPr>
              <w:ind w:firstLine="567"/>
              <w:jc w:val="both"/>
              <w:rPr>
                <w:sz w:val="20"/>
                <w:szCs w:val="20"/>
              </w:rPr>
            </w:pPr>
            <w:r w:rsidRPr="00154588">
              <w:rPr>
                <w:rFonts w:eastAsia="Calibri"/>
                <w:b/>
                <w:sz w:val="20"/>
                <w:szCs w:val="20"/>
              </w:rPr>
              <w:t>Articolul 31</w:t>
            </w:r>
            <w:r w:rsidRPr="00154588">
              <w:rPr>
                <w:rFonts w:eastAsia="Calibri"/>
                <w:b/>
                <w:sz w:val="20"/>
                <w:szCs w:val="20"/>
                <w:vertAlign w:val="superscript"/>
              </w:rPr>
              <w:t>14</w:t>
            </w:r>
            <w:r w:rsidRPr="00154588">
              <w:rPr>
                <w:rFonts w:eastAsia="Calibri"/>
                <w:b/>
                <w:sz w:val="20"/>
                <w:szCs w:val="20"/>
              </w:rPr>
              <w:t xml:space="preserve">. – </w:t>
            </w:r>
            <w:r w:rsidRPr="00154588">
              <w:rPr>
                <w:rFonts w:eastAsia="Calibri"/>
                <w:sz w:val="20"/>
                <w:szCs w:val="20"/>
              </w:rPr>
              <w:t>Banca Națională a Moldovei, în calitate de autoritate de rezoluție la nivel de grup, transmite autorităților competente relevante planul de rezoluție al grupului, precum și orice modificări aduse acestuia.</w:t>
            </w:r>
          </w:p>
        </w:tc>
        <w:tc>
          <w:tcPr>
            <w:tcW w:w="2552" w:type="dxa"/>
          </w:tcPr>
          <w:p w14:paraId="4A91404E" w14:textId="09E4573F" w:rsidR="006A2A6A" w:rsidRPr="00154588" w:rsidRDefault="006A2A6A" w:rsidP="008C12B4">
            <w:pPr>
              <w:jc w:val="both"/>
              <w:rPr>
                <w:bCs/>
                <w:sz w:val="20"/>
                <w:szCs w:val="20"/>
              </w:rPr>
            </w:pPr>
            <w:r w:rsidRPr="00154588">
              <w:rPr>
                <w:bCs/>
                <w:sz w:val="20"/>
                <w:szCs w:val="20"/>
              </w:rPr>
              <w:t>Compatibil</w:t>
            </w:r>
          </w:p>
        </w:tc>
        <w:tc>
          <w:tcPr>
            <w:tcW w:w="3118" w:type="dxa"/>
          </w:tcPr>
          <w:p w14:paraId="7A908049" w14:textId="5346BE94" w:rsidR="006A2A6A" w:rsidRPr="00154588" w:rsidRDefault="006A2A6A" w:rsidP="008C12B4">
            <w:pPr>
              <w:jc w:val="center"/>
              <w:rPr>
                <w:rFonts w:eastAsia="Calibri"/>
                <w:bCs/>
                <w:sz w:val="20"/>
                <w:szCs w:val="20"/>
              </w:rPr>
            </w:pPr>
            <w:r w:rsidRPr="00154588">
              <w:rPr>
                <w:bCs/>
                <w:sz w:val="20"/>
                <w:szCs w:val="20"/>
              </w:rPr>
              <w:t xml:space="preserve">Transpus în </w:t>
            </w:r>
            <w:r w:rsidRPr="00154588">
              <w:rPr>
                <w:rFonts w:eastAsia="Calibri"/>
                <w:bCs/>
                <w:sz w:val="20"/>
                <w:szCs w:val="20"/>
              </w:rPr>
              <w:t>Secţiunea a 4-a</w:t>
            </w:r>
          </w:p>
          <w:p w14:paraId="149660C4" w14:textId="77777777" w:rsidR="006A2A6A" w:rsidRPr="00154588" w:rsidRDefault="006A2A6A" w:rsidP="008C12B4">
            <w:pPr>
              <w:jc w:val="center"/>
              <w:rPr>
                <w:rFonts w:eastAsia="Calibri"/>
                <w:bCs/>
                <w:sz w:val="20"/>
                <w:szCs w:val="20"/>
              </w:rPr>
            </w:pPr>
            <w:r w:rsidRPr="00154588">
              <w:rPr>
                <w:rFonts w:eastAsia="Calibri"/>
                <w:bCs/>
                <w:sz w:val="20"/>
                <w:szCs w:val="20"/>
              </w:rPr>
              <w:t>Planificarea rezoluţiei la nivel de grup</w:t>
            </w:r>
          </w:p>
          <w:p w14:paraId="415CBC17" w14:textId="77777777" w:rsidR="006A2A6A" w:rsidRPr="00154588" w:rsidRDefault="006A2A6A" w:rsidP="008C12B4">
            <w:pPr>
              <w:jc w:val="both"/>
              <w:rPr>
                <w:bCs/>
                <w:sz w:val="20"/>
                <w:szCs w:val="20"/>
              </w:rPr>
            </w:pPr>
          </w:p>
        </w:tc>
      </w:tr>
      <w:tr w:rsidR="006A2A6A" w:rsidRPr="00154588" w14:paraId="70B22AEA" w14:textId="77777777" w:rsidTr="00D15C1B">
        <w:trPr>
          <w:jc w:val="center"/>
        </w:trPr>
        <w:tc>
          <w:tcPr>
            <w:tcW w:w="4957" w:type="dxa"/>
            <w:gridSpan w:val="2"/>
          </w:tcPr>
          <w:p w14:paraId="74117B6A" w14:textId="77777777" w:rsidR="006A2A6A" w:rsidRPr="00154588" w:rsidRDefault="006A2A6A" w:rsidP="008C12B4">
            <w:pPr>
              <w:rPr>
                <w:b/>
                <w:sz w:val="20"/>
                <w:szCs w:val="20"/>
              </w:rPr>
            </w:pPr>
            <w:r w:rsidRPr="00154588">
              <w:rPr>
                <w:b/>
                <w:sz w:val="20"/>
                <w:szCs w:val="20"/>
              </w:rPr>
              <w:t>CAPITOLUL II</w:t>
            </w:r>
          </w:p>
          <w:p w14:paraId="5DB89169" w14:textId="77777777" w:rsidR="006A2A6A" w:rsidRPr="00154588" w:rsidRDefault="006A2A6A" w:rsidP="008C12B4">
            <w:pPr>
              <w:rPr>
                <w:b/>
                <w:sz w:val="20"/>
                <w:szCs w:val="20"/>
              </w:rPr>
            </w:pPr>
          </w:p>
          <w:p w14:paraId="624D1DCE" w14:textId="0CAF4562" w:rsidR="006A2A6A" w:rsidRPr="00154588" w:rsidRDefault="006A2A6A" w:rsidP="008C12B4">
            <w:pPr>
              <w:rPr>
                <w:bCs/>
                <w:sz w:val="20"/>
                <w:szCs w:val="20"/>
              </w:rPr>
            </w:pPr>
            <w:r w:rsidRPr="00154588">
              <w:rPr>
                <w:b/>
                <w:sz w:val="20"/>
                <w:szCs w:val="20"/>
              </w:rPr>
              <w:t>Posibilitățile de soluționare</w:t>
            </w:r>
          </w:p>
        </w:tc>
        <w:tc>
          <w:tcPr>
            <w:tcW w:w="4819" w:type="dxa"/>
          </w:tcPr>
          <w:p w14:paraId="3A443961" w14:textId="77777777" w:rsidR="006A2A6A" w:rsidRPr="00154588" w:rsidRDefault="006A2A6A" w:rsidP="008C12B4">
            <w:pPr>
              <w:jc w:val="both"/>
              <w:rPr>
                <w:bCs/>
                <w:sz w:val="20"/>
                <w:szCs w:val="20"/>
              </w:rPr>
            </w:pPr>
          </w:p>
        </w:tc>
        <w:tc>
          <w:tcPr>
            <w:tcW w:w="2552" w:type="dxa"/>
          </w:tcPr>
          <w:p w14:paraId="27386183" w14:textId="77777777" w:rsidR="006A2A6A" w:rsidRPr="00154588" w:rsidRDefault="006A2A6A" w:rsidP="008C12B4">
            <w:pPr>
              <w:jc w:val="both"/>
              <w:rPr>
                <w:bCs/>
                <w:sz w:val="20"/>
                <w:szCs w:val="20"/>
              </w:rPr>
            </w:pPr>
          </w:p>
        </w:tc>
        <w:tc>
          <w:tcPr>
            <w:tcW w:w="3118" w:type="dxa"/>
          </w:tcPr>
          <w:p w14:paraId="3901A15A" w14:textId="77777777" w:rsidR="006A2A6A" w:rsidRPr="00154588" w:rsidRDefault="006A2A6A" w:rsidP="008C12B4">
            <w:pPr>
              <w:jc w:val="both"/>
              <w:rPr>
                <w:bCs/>
                <w:sz w:val="20"/>
                <w:szCs w:val="20"/>
              </w:rPr>
            </w:pPr>
          </w:p>
        </w:tc>
      </w:tr>
      <w:tr w:rsidR="006A2A6A" w:rsidRPr="00154588" w14:paraId="3A09A545" w14:textId="77777777" w:rsidTr="00D15C1B">
        <w:trPr>
          <w:jc w:val="center"/>
        </w:trPr>
        <w:tc>
          <w:tcPr>
            <w:tcW w:w="4957" w:type="dxa"/>
            <w:gridSpan w:val="2"/>
          </w:tcPr>
          <w:p w14:paraId="7055586A" w14:textId="710018E6" w:rsidR="006A2A6A" w:rsidRPr="00154588" w:rsidRDefault="006A2A6A" w:rsidP="008C12B4">
            <w:pPr>
              <w:rPr>
                <w:b/>
                <w:sz w:val="20"/>
                <w:szCs w:val="20"/>
              </w:rPr>
            </w:pPr>
            <w:r w:rsidRPr="00154588">
              <w:rPr>
                <w:b/>
                <w:sz w:val="20"/>
                <w:szCs w:val="20"/>
              </w:rPr>
              <w:t>Articolul 15</w:t>
            </w:r>
          </w:p>
          <w:p w14:paraId="3A4D1241" w14:textId="77777777" w:rsidR="006A2A6A" w:rsidRPr="00154588" w:rsidRDefault="006A2A6A" w:rsidP="008C12B4">
            <w:pPr>
              <w:rPr>
                <w:b/>
                <w:sz w:val="20"/>
                <w:szCs w:val="20"/>
              </w:rPr>
            </w:pPr>
          </w:p>
          <w:p w14:paraId="28F85E57" w14:textId="152DDC49" w:rsidR="006A2A6A" w:rsidRPr="00154588" w:rsidRDefault="006A2A6A" w:rsidP="008C12B4">
            <w:pPr>
              <w:rPr>
                <w:bCs/>
                <w:sz w:val="20"/>
                <w:szCs w:val="20"/>
              </w:rPr>
            </w:pPr>
            <w:r w:rsidRPr="00154588">
              <w:rPr>
                <w:b/>
                <w:sz w:val="20"/>
                <w:szCs w:val="20"/>
              </w:rPr>
              <w:t>Evaluarea posibilităților de soluționare în cazul instituțiilor</w:t>
            </w:r>
          </w:p>
        </w:tc>
        <w:tc>
          <w:tcPr>
            <w:tcW w:w="4819" w:type="dxa"/>
          </w:tcPr>
          <w:p w14:paraId="72327387" w14:textId="77777777" w:rsidR="006A2A6A" w:rsidRPr="00154588" w:rsidRDefault="006A2A6A" w:rsidP="008C12B4">
            <w:pPr>
              <w:jc w:val="both"/>
              <w:rPr>
                <w:bCs/>
                <w:sz w:val="20"/>
                <w:szCs w:val="20"/>
              </w:rPr>
            </w:pPr>
          </w:p>
        </w:tc>
        <w:tc>
          <w:tcPr>
            <w:tcW w:w="2552" w:type="dxa"/>
          </w:tcPr>
          <w:p w14:paraId="1900ECFC" w14:textId="77777777" w:rsidR="006A2A6A" w:rsidRPr="00154588" w:rsidRDefault="006A2A6A" w:rsidP="008C12B4">
            <w:pPr>
              <w:jc w:val="both"/>
              <w:rPr>
                <w:bCs/>
                <w:sz w:val="20"/>
                <w:szCs w:val="20"/>
              </w:rPr>
            </w:pPr>
          </w:p>
        </w:tc>
        <w:tc>
          <w:tcPr>
            <w:tcW w:w="3118" w:type="dxa"/>
          </w:tcPr>
          <w:p w14:paraId="53904B39" w14:textId="77777777" w:rsidR="006A2A6A" w:rsidRPr="00154588" w:rsidRDefault="006A2A6A" w:rsidP="008C12B4">
            <w:pPr>
              <w:jc w:val="both"/>
              <w:rPr>
                <w:bCs/>
                <w:sz w:val="20"/>
                <w:szCs w:val="20"/>
              </w:rPr>
            </w:pPr>
          </w:p>
        </w:tc>
      </w:tr>
      <w:tr w:rsidR="006A2A6A" w:rsidRPr="00154588" w14:paraId="642ADB6D" w14:textId="77777777" w:rsidTr="00D15C1B">
        <w:trPr>
          <w:jc w:val="center"/>
        </w:trPr>
        <w:tc>
          <w:tcPr>
            <w:tcW w:w="4957" w:type="dxa"/>
            <w:gridSpan w:val="2"/>
          </w:tcPr>
          <w:p w14:paraId="0B489478" w14:textId="2B2BE0EE" w:rsidR="006A2A6A" w:rsidRPr="00154588" w:rsidRDefault="006A2A6A" w:rsidP="008C12B4">
            <w:pPr>
              <w:jc w:val="both"/>
              <w:rPr>
                <w:bCs/>
                <w:sz w:val="20"/>
                <w:szCs w:val="20"/>
              </w:rPr>
            </w:pPr>
            <w:r w:rsidRPr="00154588">
              <w:rPr>
                <w:bCs/>
                <w:sz w:val="20"/>
                <w:szCs w:val="20"/>
              </w:rPr>
              <w:t>(1) Statele membre se asigură că autoritatea de rezoluție, după consultarea cu autoritatea competentă și cu autoritățile de rezoluție din jurisdicțiile în care sunt situate sucursale semnificative, în măsura în care acest lucru este relevant pentru sucursalele semnificative, evaluează măsura în care o instituție ce nu face parte din grup poate face obiectul unei rezoluții, fără să se bazeze pe niciuna din următoarele:</w:t>
            </w:r>
          </w:p>
          <w:p w14:paraId="17CFFEE8" w14:textId="77777777" w:rsidR="006A2A6A" w:rsidRPr="00154588" w:rsidRDefault="006A2A6A" w:rsidP="008C12B4">
            <w:pPr>
              <w:jc w:val="both"/>
              <w:rPr>
                <w:bCs/>
                <w:sz w:val="20"/>
                <w:szCs w:val="20"/>
              </w:rPr>
            </w:pPr>
          </w:p>
          <w:p w14:paraId="614121C5" w14:textId="2DB11FB3" w:rsidR="006A2A6A" w:rsidRPr="00154588" w:rsidRDefault="006A2A6A" w:rsidP="008C12B4">
            <w:pPr>
              <w:jc w:val="both"/>
              <w:rPr>
                <w:bCs/>
                <w:sz w:val="20"/>
                <w:szCs w:val="20"/>
              </w:rPr>
            </w:pPr>
            <w:r w:rsidRPr="00154588">
              <w:rPr>
                <w:bCs/>
                <w:sz w:val="20"/>
                <w:szCs w:val="20"/>
              </w:rPr>
              <w:t>(a) orice fel de sprijin financiar public extraordinar, în afara utilizării mecanismelor de finanțare instituite în conformitate cu articolul 100;</w:t>
            </w:r>
          </w:p>
          <w:p w14:paraId="1AB9621A" w14:textId="77777777" w:rsidR="006A2A6A" w:rsidRPr="00154588" w:rsidRDefault="006A2A6A" w:rsidP="008C12B4">
            <w:pPr>
              <w:jc w:val="both"/>
              <w:rPr>
                <w:bCs/>
                <w:sz w:val="20"/>
                <w:szCs w:val="20"/>
              </w:rPr>
            </w:pPr>
          </w:p>
          <w:p w14:paraId="61165238" w14:textId="61E1C78C" w:rsidR="006A2A6A" w:rsidRPr="00154588" w:rsidRDefault="006A2A6A" w:rsidP="008C12B4">
            <w:pPr>
              <w:jc w:val="both"/>
              <w:rPr>
                <w:bCs/>
                <w:sz w:val="20"/>
                <w:szCs w:val="20"/>
              </w:rPr>
            </w:pPr>
            <w:r w:rsidRPr="00154588">
              <w:rPr>
                <w:bCs/>
                <w:sz w:val="20"/>
                <w:szCs w:val="20"/>
              </w:rPr>
              <w:t>(b) orice asistență privind lichiditatea în situații de urgență din partea băncii centrale;</w:t>
            </w:r>
          </w:p>
          <w:p w14:paraId="305D190B" w14:textId="77777777" w:rsidR="006A2A6A" w:rsidRPr="00154588" w:rsidRDefault="006A2A6A" w:rsidP="008C12B4">
            <w:pPr>
              <w:jc w:val="both"/>
              <w:rPr>
                <w:bCs/>
                <w:sz w:val="20"/>
                <w:szCs w:val="20"/>
              </w:rPr>
            </w:pPr>
          </w:p>
          <w:p w14:paraId="6FDEBE2C" w14:textId="2EED54FA" w:rsidR="006A2A6A" w:rsidRPr="00154588" w:rsidRDefault="006A2A6A" w:rsidP="008C12B4">
            <w:pPr>
              <w:jc w:val="both"/>
              <w:rPr>
                <w:bCs/>
                <w:sz w:val="20"/>
                <w:szCs w:val="20"/>
              </w:rPr>
            </w:pPr>
            <w:r w:rsidRPr="00154588">
              <w:rPr>
                <w:bCs/>
                <w:sz w:val="20"/>
                <w:szCs w:val="20"/>
              </w:rPr>
              <w:t>(c) orice asistență privind lichiditatea din partea băncii centrale oferit cu garanții, dobânzi sau durate non-standard.</w:t>
            </w:r>
          </w:p>
          <w:p w14:paraId="4F329A4A" w14:textId="77777777" w:rsidR="006A2A6A" w:rsidRPr="00154588" w:rsidRDefault="006A2A6A" w:rsidP="008C12B4">
            <w:pPr>
              <w:jc w:val="both"/>
              <w:rPr>
                <w:bCs/>
                <w:sz w:val="20"/>
                <w:szCs w:val="20"/>
              </w:rPr>
            </w:pPr>
          </w:p>
          <w:p w14:paraId="19A9D499" w14:textId="6355EFE8" w:rsidR="006A2A6A" w:rsidRPr="00154588" w:rsidRDefault="006A2A6A" w:rsidP="008C12B4">
            <w:pPr>
              <w:jc w:val="both"/>
              <w:rPr>
                <w:bCs/>
                <w:sz w:val="20"/>
                <w:szCs w:val="20"/>
              </w:rPr>
            </w:pPr>
            <w:r w:rsidRPr="00154588">
              <w:rPr>
                <w:bCs/>
                <w:sz w:val="20"/>
                <w:szCs w:val="20"/>
              </w:rPr>
              <w:t xml:space="preserve">Se consideră că rezoluția unei instituții este posibilă dacă autoritatea de consideră fezabil și credibil, fie să lichideze instituția prin procedura obișnuită de insolvență, fie să declanșeze procedura de rezoluție, aplicând instituției diferitele instrumente și competențe de rezoluție evitând pe cât posibil orice efect negativ semnificativ asupra sistemului financiar al statului membru în care este stabilită instituția, al altor state membre sau al Uniunii, inclusiv în caz de instabilitate financiară mai extinsă sau de evenimente la scara întregului sistem, cu scopul de a asigura continuitatea funcțiilor critice desfășurate de instituție. </w:t>
            </w:r>
            <w:r w:rsidRPr="00154588">
              <w:rPr>
                <w:bCs/>
                <w:sz w:val="20"/>
                <w:szCs w:val="20"/>
              </w:rPr>
              <w:lastRenderedPageBreak/>
              <w:t>Autoritățile de rezoluție notifică ABE în timp util ori de câte ori se consideră că rezoluția unei instituții nu este posibilă.</w:t>
            </w:r>
          </w:p>
        </w:tc>
        <w:tc>
          <w:tcPr>
            <w:tcW w:w="4819" w:type="dxa"/>
          </w:tcPr>
          <w:p w14:paraId="052FC714" w14:textId="77777777" w:rsidR="006A2A6A" w:rsidRPr="00154588" w:rsidRDefault="006A2A6A" w:rsidP="008C12B4">
            <w:pPr>
              <w:ind w:firstLine="567"/>
              <w:jc w:val="both"/>
              <w:rPr>
                <w:sz w:val="20"/>
                <w:szCs w:val="20"/>
              </w:rPr>
            </w:pPr>
            <w:r w:rsidRPr="00154588">
              <w:rPr>
                <w:b/>
                <w:sz w:val="20"/>
                <w:szCs w:val="20"/>
              </w:rPr>
              <w:lastRenderedPageBreak/>
              <w:t>Articolul 32.</w:t>
            </w:r>
            <w:r w:rsidRPr="00154588">
              <w:rPr>
                <w:sz w:val="20"/>
                <w:szCs w:val="20"/>
              </w:rPr>
              <w:t xml:space="preserve"> – (1) Banca Naţională a Moldovei, în calitate de autoritate de rezoluţie, </w:t>
            </w:r>
            <w:bookmarkStart w:id="1" w:name="_Hlk223081466"/>
            <w:r w:rsidRPr="00154588">
              <w:rPr>
                <w:sz w:val="20"/>
                <w:szCs w:val="20"/>
              </w:rPr>
              <w:t xml:space="preserve">după consultarea cu autoritățile de rezoluție din jurisdicțiile în care își au sediul sucursale semnificative, în măsura în care posibilitatea de soluționare este relevantă pentru sucursalele semnificative, </w:t>
            </w:r>
            <w:bookmarkEnd w:id="1"/>
            <w:r w:rsidRPr="00154588">
              <w:rPr>
                <w:sz w:val="20"/>
                <w:szCs w:val="20"/>
              </w:rPr>
              <w:t xml:space="preserve">evaluează măsura în care soluţionarea unei </w:t>
            </w:r>
            <w:bookmarkStart w:id="2" w:name="_Hlk223081546"/>
            <w:r w:rsidRPr="00154588">
              <w:rPr>
                <w:sz w:val="20"/>
                <w:szCs w:val="20"/>
              </w:rPr>
              <w:t>instituții de credit ce nu face parte dintr-un grup</w:t>
            </w:r>
            <w:bookmarkEnd w:id="2"/>
            <w:r w:rsidRPr="00154588">
              <w:rPr>
                <w:sz w:val="20"/>
                <w:szCs w:val="20"/>
              </w:rPr>
              <w:t xml:space="preserve"> este posibilă, în sensul alin.(3), fără să se bazeze pe oricare dintre următoarele:</w:t>
            </w:r>
          </w:p>
          <w:p w14:paraId="14F5096F" w14:textId="77777777" w:rsidR="006A2A6A" w:rsidRPr="00154588" w:rsidRDefault="006A2A6A" w:rsidP="008C12B4">
            <w:pPr>
              <w:ind w:firstLine="567"/>
              <w:jc w:val="both"/>
              <w:rPr>
                <w:sz w:val="20"/>
                <w:szCs w:val="20"/>
              </w:rPr>
            </w:pPr>
            <w:r w:rsidRPr="00154588">
              <w:rPr>
                <w:sz w:val="20"/>
                <w:szCs w:val="20"/>
              </w:rPr>
              <w:t>a) sprijin financiar public extraordinar, cu excepţia mecanismelor de finanţare instituite în conformitate cu art.296-300;</w:t>
            </w:r>
          </w:p>
          <w:p w14:paraId="17779F86" w14:textId="77777777" w:rsidR="006A2A6A" w:rsidRPr="00154588" w:rsidRDefault="006A2A6A" w:rsidP="008C12B4">
            <w:pPr>
              <w:ind w:firstLine="567"/>
              <w:jc w:val="both"/>
              <w:rPr>
                <w:sz w:val="20"/>
                <w:szCs w:val="20"/>
              </w:rPr>
            </w:pPr>
            <w:r w:rsidRPr="00154588">
              <w:rPr>
                <w:sz w:val="20"/>
                <w:szCs w:val="20"/>
              </w:rPr>
              <w:t>b) asistenţa de lichiditate în situaţii de urgenţă din partea băncii centrale;</w:t>
            </w:r>
          </w:p>
          <w:p w14:paraId="632F93FF" w14:textId="77777777" w:rsidR="006A2A6A" w:rsidRPr="00154588" w:rsidRDefault="006A2A6A" w:rsidP="008C12B4">
            <w:pPr>
              <w:ind w:firstLine="567"/>
              <w:jc w:val="both"/>
              <w:rPr>
                <w:sz w:val="20"/>
                <w:szCs w:val="20"/>
              </w:rPr>
            </w:pPr>
            <w:r w:rsidRPr="00154588">
              <w:rPr>
                <w:sz w:val="20"/>
                <w:szCs w:val="20"/>
              </w:rPr>
              <w:t>c) asistenţa de lichiditate din partea băncii centrale oferită cu garanţii, rate ale dobînzilor sau durate nonstandard.</w:t>
            </w:r>
          </w:p>
          <w:p w14:paraId="334D7FF2" w14:textId="77777777" w:rsidR="006A2A6A" w:rsidRPr="00154588" w:rsidRDefault="006A2A6A" w:rsidP="008C12B4">
            <w:pPr>
              <w:ind w:firstLine="567"/>
              <w:jc w:val="both"/>
              <w:rPr>
                <w:sz w:val="20"/>
                <w:szCs w:val="20"/>
              </w:rPr>
            </w:pPr>
            <w:r w:rsidRPr="00154588">
              <w:rPr>
                <w:sz w:val="20"/>
                <w:szCs w:val="20"/>
              </w:rPr>
              <w:t>(2) Banca Naţională a Moldovei se asigură că evaluarea prevăzută la alin.(1) se realizează după consultarea, de către structura care exercită funcţia de rezoluţie, a structurii care exercită funcţia de supraveghere.</w:t>
            </w:r>
          </w:p>
          <w:p w14:paraId="3F322661" w14:textId="77777777" w:rsidR="006A2A6A" w:rsidRPr="00154588" w:rsidRDefault="006A2A6A" w:rsidP="008C12B4">
            <w:pPr>
              <w:ind w:firstLine="567"/>
              <w:jc w:val="both"/>
              <w:rPr>
                <w:sz w:val="20"/>
                <w:szCs w:val="20"/>
              </w:rPr>
            </w:pPr>
            <w:r w:rsidRPr="00154588">
              <w:rPr>
                <w:sz w:val="20"/>
                <w:szCs w:val="20"/>
              </w:rPr>
              <w:t xml:space="preserve">(3) Banca Naţională a Moldovei, în calitate de autoritate de rezoluţie, consideră că soluţionarea unei instituții de credit este posibilă dacă este fezabil şi credibil, în opinia acesteia, fie să lichideze instituția de credit  prin procedura obișnuită de insolvabilitate, fie să remedieze situaţia instituției de credit prin aplicarea de instrumente de rezoluţie şi exercitarea de competenţe de rezoluţie, cu evitarea pe cît posibil a oricăror efecte </w:t>
            </w:r>
            <w:r w:rsidRPr="00154588">
              <w:rPr>
                <w:sz w:val="20"/>
                <w:szCs w:val="20"/>
              </w:rPr>
              <w:lastRenderedPageBreak/>
              <w:t>negative semnificative asupra sistemului financiar naţional, inclusiv în caz de instabilitate financiară mai extinsă sau de evenimente la scara întregului sistem, şi cu scopul asigurării continuităţii funcţiilor critice ale instituției de credit.</w:t>
            </w:r>
          </w:p>
          <w:p w14:paraId="024547E6" w14:textId="77777777" w:rsidR="006A2A6A" w:rsidRPr="00154588" w:rsidRDefault="006A2A6A" w:rsidP="008C12B4">
            <w:pPr>
              <w:ind w:firstLine="567"/>
              <w:jc w:val="both"/>
              <w:rPr>
                <w:sz w:val="20"/>
                <w:szCs w:val="20"/>
              </w:rPr>
            </w:pPr>
            <w:bookmarkStart w:id="3" w:name="_Hlk223082924"/>
            <w:r w:rsidRPr="00154588">
              <w:rPr>
                <w:sz w:val="20"/>
                <w:szCs w:val="20"/>
              </w:rPr>
              <w:t> (4) Banca Națională a Moldovei, în calitate de autoritate de rezoluție, notifică Autoritatea Bancară Europeană în timp util ori de câte ori consideră că soluționarea unei instituții de credit nu este posibilă.</w:t>
            </w:r>
          </w:p>
          <w:bookmarkEnd w:id="3"/>
          <w:p w14:paraId="78935626" w14:textId="77777777" w:rsidR="006A2A6A" w:rsidRPr="00154588" w:rsidRDefault="006A2A6A" w:rsidP="008C12B4">
            <w:pPr>
              <w:jc w:val="both"/>
              <w:rPr>
                <w:bCs/>
                <w:sz w:val="20"/>
                <w:szCs w:val="20"/>
              </w:rPr>
            </w:pPr>
          </w:p>
        </w:tc>
        <w:tc>
          <w:tcPr>
            <w:tcW w:w="2552" w:type="dxa"/>
          </w:tcPr>
          <w:p w14:paraId="505CB1E8" w14:textId="60788AA8"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0F220247" w14:textId="77777777" w:rsidR="006A2A6A" w:rsidRPr="00154588" w:rsidRDefault="006A2A6A" w:rsidP="008C12B4">
            <w:pPr>
              <w:jc w:val="both"/>
              <w:rPr>
                <w:bCs/>
                <w:sz w:val="20"/>
                <w:szCs w:val="20"/>
              </w:rPr>
            </w:pPr>
          </w:p>
        </w:tc>
      </w:tr>
      <w:tr w:rsidR="006A2A6A" w:rsidRPr="00154588" w14:paraId="51E81EA2" w14:textId="77777777" w:rsidTr="00D15C1B">
        <w:trPr>
          <w:jc w:val="center"/>
        </w:trPr>
        <w:tc>
          <w:tcPr>
            <w:tcW w:w="4957" w:type="dxa"/>
            <w:gridSpan w:val="2"/>
          </w:tcPr>
          <w:p w14:paraId="5EBE6DD1" w14:textId="2C45C252" w:rsidR="006A2A6A" w:rsidRPr="00154588" w:rsidRDefault="006A2A6A" w:rsidP="008C12B4">
            <w:pPr>
              <w:jc w:val="both"/>
              <w:rPr>
                <w:bCs/>
                <w:sz w:val="20"/>
                <w:szCs w:val="20"/>
              </w:rPr>
            </w:pPr>
            <w:r w:rsidRPr="00154588">
              <w:rPr>
                <w:bCs/>
                <w:sz w:val="20"/>
                <w:szCs w:val="20"/>
              </w:rPr>
              <w:t>(2) Pentru a evalua posibilitățile de soluționare menționate la alineatul (1), autoritatea de rezoluție examinează cel puțin elementele menționate în secțiunea C din anexă.</w:t>
            </w:r>
          </w:p>
        </w:tc>
        <w:tc>
          <w:tcPr>
            <w:tcW w:w="4819" w:type="dxa"/>
          </w:tcPr>
          <w:p w14:paraId="525CC2AC" w14:textId="77777777" w:rsidR="006A2A6A" w:rsidRPr="00154588" w:rsidRDefault="006A2A6A" w:rsidP="008C12B4">
            <w:pPr>
              <w:ind w:firstLine="567"/>
              <w:jc w:val="both"/>
              <w:rPr>
                <w:sz w:val="20"/>
                <w:szCs w:val="20"/>
              </w:rPr>
            </w:pPr>
            <w:r w:rsidRPr="00154588">
              <w:rPr>
                <w:b/>
                <w:sz w:val="20"/>
                <w:szCs w:val="20"/>
              </w:rPr>
              <w:t>Articolul 33.</w:t>
            </w:r>
            <w:r w:rsidRPr="00154588">
              <w:rPr>
                <w:sz w:val="20"/>
                <w:szCs w:val="20"/>
              </w:rPr>
              <w:t xml:space="preserve"> – Pentru a evalua posibilitatea de soluţionare prevăzută la art.32, Banca Naţională a Moldovei, în calitate de autoritate de rezoluţie, examinează cel puţin elementele prevăzute în secţiunea C din anexă.</w:t>
            </w:r>
          </w:p>
          <w:p w14:paraId="5820E784" w14:textId="77777777" w:rsidR="006A2A6A" w:rsidRPr="00154588" w:rsidRDefault="006A2A6A" w:rsidP="008C12B4">
            <w:pPr>
              <w:jc w:val="both"/>
              <w:rPr>
                <w:bCs/>
                <w:sz w:val="20"/>
                <w:szCs w:val="20"/>
              </w:rPr>
            </w:pPr>
          </w:p>
        </w:tc>
        <w:tc>
          <w:tcPr>
            <w:tcW w:w="2552" w:type="dxa"/>
          </w:tcPr>
          <w:p w14:paraId="26C45175" w14:textId="01411EE4" w:rsidR="006A2A6A" w:rsidRPr="00154588" w:rsidRDefault="006A2A6A" w:rsidP="008C12B4">
            <w:pPr>
              <w:jc w:val="both"/>
              <w:rPr>
                <w:bCs/>
                <w:sz w:val="20"/>
                <w:szCs w:val="20"/>
              </w:rPr>
            </w:pPr>
            <w:r w:rsidRPr="00154588">
              <w:rPr>
                <w:bCs/>
                <w:sz w:val="20"/>
                <w:szCs w:val="20"/>
              </w:rPr>
              <w:t>Compatibil</w:t>
            </w:r>
          </w:p>
        </w:tc>
        <w:tc>
          <w:tcPr>
            <w:tcW w:w="3118" w:type="dxa"/>
          </w:tcPr>
          <w:p w14:paraId="5475C77A" w14:textId="77777777" w:rsidR="006A2A6A" w:rsidRPr="00154588" w:rsidRDefault="006A2A6A" w:rsidP="008C12B4">
            <w:pPr>
              <w:jc w:val="both"/>
              <w:rPr>
                <w:bCs/>
                <w:sz w:val="20"/>
                <w:szCs w:val="20"/>
              </w:rPr>
            </w:pPr>
          </w:p>
        </w:tc>
      </w:tr>
      <w:tr w:rsidR="006A2A6A" w:rsidRPr="00154588" w14:paraId="5B01A048" w14:textId="77777777" w:rsidTr="00D15C1B">
        <w:trPr>
          <w:jc w:val="center"/>
        </w:trPr>
        <w:tc>
          <w:tcPr>
            <w:tcW w:w="4957" w:type="dxa"/>
            <w:gridSpan w:val="2"/>
          </w:tcPr>
          <w:p w14:paraId="7FB6540C" w14:textId="78EA0565" w:rsidR="006A2A6A" w:rsidRPr="00154588" w:rsidRDefault="006A2A6A" w:rsidP="008C12B4">
            <w:pPr>
              <w:jc w:val="both"/>
              <w:rPr>
                <w:bCs/>
                <w:sz w:val="20"/>
                <w:szCs w:val="20"/>
              </w:rPr>
            </w:pPr>
            <w:r w:rsidRPr="00154588">
              <w:rPr>
                <w:bCs/>
                <w:sz w:val="20"/>
                <w:szCs w:val="20"/>
              </w:rPr>
              <w:t>(3)   Evaluarea posibilităților de soluționare în temeiul prezentului articol este efectuată de autoritatea de rezoluție concomitent cu elaborarea și actualizarea planului de rezoluție în conformitate cu articolul 10, și totodată în scopul elaborării și actualizării planului.</w:t>
            </w:r>
          </w:p>
        </w:tc>
        <w:tc>
          <w:tcPr>
            <w:tcW w:w="4819" w:type="dxa"/>
          </w:tcPr>
          <w:p w14:paraId="606E009D" w14:textId="77777777" w:rsidR="006A2A6A" w:rsidRPr="00154588" w:rsidRDefault="006A2A6A" w:rsidP="008C12B4">
            <w:pPr>
              <w:ind w:firstLine="567"/>
              <w:jc w:val="both"/>
              <w:rPr>
                <w:sz w:val="20"/>
                <w:szCs w:val="20"/>
              </w:rPr>
            </w:pPr>
            <w:r w:rsidRPr="00154588">
              <w:rPr>
                <w:b/>
                <w:sz w:val="20"/>
                <w:szCs w:val="20"/>
              </w:rPr>
              <w:t>Articolul 34.</w:t>
            </w:r>
            <w:r w:rsidRPr="00154588">
              <w:rPr>
                <w:sz w:val="20"/>
                <w:szCs w:val="20"/>
              </w:rPr>
              <w:t xml:space="preserve"> – Banca Naţională a Moldovei, în calitate de autoritate de rezoluţie, evaluează posibilitatea de soluţionare în temeiul art.32 şi 33 concomitent şi în scopul elaborării şi actualizării planului de rezoluţie în conformitate cu art.23.</w:t>
            </w:r>
          </w:p>
          <w:p w14:paraId="2F865B08" w14:textId="77777777" w:rsidR="006A2A6A" w:rsidRPr="00154588" w:rsidRDefault="006A2A6A" w:rsidP="008C12B4">
            <w:pPr>
              <w:jc w:val="both"/>
              <w:rPr>
                <w:bCs/>
                <w:sz w:val="20"/>
                <w:szCs w:val="20"/>
              </w:rPr>
            </w:pPr>
          </w:p>
        </w:tc>
        <w:tc>
          <w:tcPr>
            <w:tcW w:w="2552" w:type="dxa"/>
          </w:tcPr>
          <w:p w14:paraId="66FE1681" w14:textId="3E97EF26" w:rsidR="006A2A6A" w:rsidRPr="00154588" w:rsidRDefault="006A2A6A" w:rsidP="008C12B4">
            <w:pPr>
              <w:jc w:val="both"/>
              <w:rPr>
                <w:bCs/>
                <w:sz w:val="20"/>
                <w:szCs w:val="20"/>
              </w:rPr>
            </w:pPr>
            <w:r w:rsidRPr="00154588">
              <w:rPr>
                <w:bCs/>
                <w:sz w:val="20"/>
                <w:szCs w:val="20"/>
              </w:rPr>
              <w:t>Compatibil</w:t>
            </w:r>
          </w:p>
        </w:tc>
        <w:tc>
          <w:tcPr>
            <w:tcW w:w="3118" w:type="dxa"/>
          </w:tcPr>
          <w:p w14:paraId="3CB234DF" w14:textId="77777777" w:rsidR="006A2A6A" w:rsidRPr="00154588" w:rsidRDefault="006A2A6A" w:rsidP="008C12B4">
            <w:pPr>
              <w:jc w:val="both"/>
              <w:rPr>
                <w:bCs/>
                <w:sz w:val="20"/>
                <w:szCs w:val="20"/>
              </w:rPr>
            </w:pPr>
          </w:p>
        </w:tc>
      </w:tr>
      <w:tr w:rsidR="006A2A6A" w:rsidRPr="00154588" w14:paraId="61ECA49B" w14:textId="77777777" w:rsidTr="00D15C1B">
        <w:trPr>
          <w:jc w:val="center"/>
        </w:trPr>
        <w:tc>
          <w:tcPr>
            <w:tcW w:w="4957" w:type="dxa"/>
            <w:gridSpan w:val="2"/>
          </w:tcPr>
          <w:p w14:paraId="7A965E68" w14:textId="68C7F783" w:rsidR="006A2A6A" w:rsidRPr="00154588" w:rsidRDefault="006A2A6A" w:rsidP="008C12B4">
            <w:pPr>
              <w:jc w:val="both"/>
              <w:rPr>
                <w:bCs/>
                <w:sz w:val="20"/>
                <w:szCs w:val="20"/>
              </w:rPr>
            </w:pPr>
            <w:r w:rsidRPr="00154588">
              <w:rPr>
                <w:bCs/>
                <w:sz w:val="20"/>
                <w:szCs w:val="20"/>
              </w:rPr>
              <w:t>(4) ABE, după consultarea CERS, elaborează proiecte de standarde tehnice de reglementare, specificând criteriile și procesele care trebuie examinate în vederea evaluării posibilităților de soluționare a instituțiilor sau a grupurilor menționate la alineatul (2) din prezentul articol și la articolul 16.</w:t>
            </w:r>
          </w:p>
          <w:p w14:paraId="7A9008B6" w14:textId="77777777" w:rsidR="006A2A6A" w:rsidRPr="00154588" w:rsidRDefault="006A2A6A" w:rsidP="008C12B4">
            <w:pPr>
              <w:jc w:val="both"/>
              <w:rPr>
                <w:bCs/>
                <w:sz w:val="20"/>
                <w:szCs w:val="20"/>
              </w:rPr>
            </w:pPr>
          </w:p>
          <w:p w14:paraId="75B0AE1E" w14:textId="77777777" w:rsidR="006A2A6A" w:rsidRPr="00154588" w:rsidRDefault="006A2A6A" w:rsidP="008C12B4">
            <w:pPr>
              <w:jc w:val="both"/>
              <w:rPr>
                <w:bCs/>
                <w:sz w:val="20"/>
                <w:szCs w:val="20"/>
              </w:rPr>
            </w:pPr>
            <w:r w:rsidRPr="00154588">
              <w:rPr>
                <w:bCs/>
                <w:sz w:val="20"/>
                <w:szCs w:val="20"/>
              </w:rPr>
              <w:t>ABE înaintează aceste proiecte de standarde tehnice de reglementare Comisiei până la 3 iulie 2015.</w:t>
            </w:r>
          </w:p>
          <w:p w14:paraId="1614BC4C" w14:textId="77777777" w:rsidR="006A2A6A" w:rsidRPr="00154588" w:rsidRDefault="006A2A6A" w:rsidP="008C12B4">
            <w:pPr>
              <w:jc w:val="both"/>
              <w:rPr>
                <w:bCs/>
                <w:sz w:val="20"/>
                <w:szCs w:val="20"/>
              </w:rPr>
            </w:pPr>
          </w:p>
          <w:p w14:paraId="1F0F0503" w14:textId="34886BC7" w:rsidR="006A2A6A" w:rsidRPr="00154588" w:rsidRDefault="006A2A6A" w:rsidP="008C12B4">
            <w:pPr>
              <w:jc w:val="both"/>
              <w:rPr>
                <w:bCs/>
                <w:sz w:val="20"/>
                <w:szCs w:val="20"/>
              </w:rPr>
            </w:pPr>
            <w:r w:rsidRPr="00154588">
              <w:rPr>
                <w:bCs/>
                <w:sz w:val="20"/>
                <w:szCs w:val="20"/>
              </w:rPr>
              <w:t>Se conferă Comisiei competența de a adopta standardele tehnice de reglementare menționate la primul paragraf în conformitate cu articolele 10-14 din Regulamentul (UE) nr. 1093/2010.</w:t>
            </w:r>
          </w:p>
        </w:tc>
        <w:tc>
          <w:tcPr>
            <w:tcW w:w="4819" w:type="dxa"/>
          </w:tcPr>
          <w:p w14:paraId="194DED3A" w14:textId="77777777" w:rsidR="006A2A6A" w:rsidRPr="00154588" w:rsidRDefault="006A2A6A" w:rsidP="008C12B4">
            <w:pPr>
              <w:jc w:val="both"/>
              <w:rPr>
                <w:bCs/>
                <w:sz w:val="20"/>
                <w:szCs w:val="20"/>
              </w:rPr>
            </w:pPr>
          </w:p>
        </w:tc>
        <w:tc>
          <w:tcPr>
            <w:tcW w:w="2552" w:type="dxa"/>
          </w:tcPr>
          <w:p w14:paraId="5990A264" w14:textId="733E7C8E" w:rsidR="006A2A6A" w:rsidRPr="00154588" w:rsidRDefault="0038188A" w:rsidP="008C12B4">
            <w:pPr>
              <w:jc w:val="both"/>
              <w:rPr>
                <w:bCs/>
                <w:sz w:val="20"/>
                <w:szCs w:val="20"/>
              </w:rPr>
            </w:pPr>
            <w:r w:rsidRPr="00154588">
              <w:rPr>
                <w:bCs/>
                <w:sz w:val="20"/>
                <w:szCs w:val="20"/>
              </w:rPr>
              <w:t>Norme UE neaplicabile</w:t>
            </w:r>
          </w:p>
        </w:tc>
        <w:tc>
          <w:tcPr>
            <w:tcW w:w="3118" w:type="dxa"/>
          </w:tcPr>
          <w:p w14:paraId="1CB2B39E" w14:textId="51E02CFC" w:rsidR="006A2A6A" w:rsidRPr="00154588" w:rsidRDefault="006A2A6A" w:rsidP="008C12B4">
            <w:pPr>
              <w:jc w:val="both"/>
              <w:rPr>
                <w:bCs/>
                <w:sz w:val="20"/>
                <w:szCs w:val="20"/>
              </w:rPr>
            </w:pPr>
            <w:r w:rsidRPr="00154588">
              <w:rPr>
                <w:sz w:val="20"/>
                <w:szCs w:val="20"/>
                <w:lang w:val="ro-MD"/>
              </w:rPr>
              <w:t>Prevederi care se referă la atribuțiile de reglementare ale autorităților europene.</w:t>
            </w:r>
          </w:p>
        </w:tc>
      </w:tr>
      <w:tr w:rsidR="00BA564F" w:rsidRPr="00154588" w14:paraId="1CFB83E1" w14:textId="77777777" w:rsidTr="00D15C1B">
        <w:trPr>
          <w:jc w:val="center"/>
        </w:trPr>
        <w:tc>
          <w:tcPr>
            <w:tcW w:w="4957" w:type="dxa"/>
            <w:gridSpan w:val="2"/>
          </w:tcPr>
          <w:p w14:paraId="6DE0CCC8" w14:textId="77777777" w:rsidR="00BA564F" w:rsidRPr="00154588" w:rsidRDefault="00BA564F" w:rsidP="008C12B4">
            <w:pPr>
              <w:jc w:val="both"/>
              <w:rPr>
                <w:bCs/>
                <w:sz w:val="20"/>
                <w:szCs w:val="20"/>
              </w:rPr>
            </w:pPr>
            <w:r w:rsidRPr="00154588">
              <w:rPr>
                <w:bCs/>
                <w:sz w:val="20"/>
                <w:szCs w:val="20"/>
              </w:rPr>
              <w:t xml:space="preserve">(5) ABE monitorizează punerea în aplicare de către autoritățile de rezoluție a evaluărilor posibilităților de soluționare a instituțiilor și grupurilor. ABE transmite Comisiei un raport privind practicile existente în legătură cu evaluările posibilităților de soluționare și privind posibilele divergențe dintre statele membre până la 11 mai 2028. </w:t>
            </w:r>
          </w:p>
          <w:p w14:paraId="756CF9DD" w14:textId="77777777" w:rsidR="00BA564F" w:rsidRPr="00154588" w:rsidRDefault="00BA564F" w:rsidP="008C12B4">
            <w:pPr>
              <w:jc w:val="both"/>
              <w:rPr>
                <w:bCs/>
                <w:sz w:val="20"/>
                <w:szCs w:val="20"/>
              </w:rPr>
            </w:pPr>
          </w:p>
          <w:p w14:paraId="7AD24303" w14:textId="77777777" w:rsidR="00BA564F" w:rsidRPr="00154588" w:rsidRDefault="00BA564F" w:rsidP="008C12B4">
            <w:pPr>
              <w:jc w:val="both"/>
              <w:rPr>
                <w:bCs/>
                <w:sz w:val="20"/>
                <w:szCs w:val="20"/>
              </w:rPr>
            </w:pPr>
            <w:r w:rsidRPr="00154588">
              <w:rPr>
                <w:bCs/>
                <w:sz w:val="20"/>
                <w:szCs w:val="20"/>
              </w:rPr>
              <w:t xml:space="preserve">Raportul menționat la primul paragraf cuprinde următoarele elemente: </w:t>
            </w:r>
          </w:p>
          <w:p w14:paraId="65AE35DF" w14:textId="77777777" w:rsidR="00BA564F" w:rsidRPr="00154588" w:rsidRDefault="00BA564F" w:rsidP="008C12B4">
            <w:pPr>
              <w:jc w:val="both"/>
              <w:rPr>
                <w:bCs/>
                <w:sz w:val="20"/>
                <w:szCs w:val="20"/>
              </w:rPr>
            </w:pPr>
            <w:r w:rsidRPr="00154588">
              <w:rPr>
                <w:bCs/>
                <w:sz w:val="20"/>
                <w:szCs w:val="20"/>
              </w:rPr>
              <w:lastRenderedPageBreak/>
              <w:t xml:space="preserve">(a) o evaluare a metodologiilor elaborate de autoritățile de rezoluție pentru a efectua evaluări ale posibilităților de soluționare, inclusiv identificarea domeniilor în care pot exista divergențe între statele membre; </w:t>
            </w:r>
          </w:p>
          <w:p w14:paraId="772FC8C3" w14:textId="77777777" w:rsidR="00BA564F" w:rsidRPr="00154588" w:rsidRDefault="00BA564F" w:rsidP="008C12B4">
            <w:pPr>
              <w:jc w:val="both"/>
              <w:rPr>
                <w:bCs/>
                <w:sz w:val="20"/>
                <w:szCs w:val="20"/>
              </w:rPr>
            </w:pPr>
          </w:p>
          <w:p w14:paraId="2A21204C" w14:textId="77777777" w:rsidR="00BA564F" w:rsidRPr="00154588" w:rsidRDefault="00BA564F" w:rsidP="008C12B4">
            <w:pPr>
              <w:jc w:val="both"/>
              <w:rPr>
                <w:bCs/>
                <w:sz w:val="20"/>
                <w:szCs w:val="20"/>
              </w:rPr>
            </w:pPr>
            <w:r w:rsidRPr="00154588">
              <w:rPr>
                <w:bCs/>
                <w:sz w:val="20"/>
                <w:szCs w:val="20"/>
              </w:rPr>
              <w:t xml:space="preserve">(b) o evaluare a capacităților de testare necesare autorităților de rezoluție pentru a asigura punerea în aplicare eficace a strategiei de rezoluție; </w:t>
            </w:r>
          </w:p>
          <w:p w14:paraId="21C3EED3" w14:textId="77777777" w:rsidR="00BA564F" w:rsidRPr="00154588" w:rsidRDefault="00BA564F" w:rsidP="008C12B4">
            <w:pPr>
              <w:jc w:val="both"/>
              <w:rPr>
                <w:bCs/>
                <w:sz w:val="20"/>
                <w:szCs w:val="20"/>
              </w:rPr>
            </w:pPr>
          </w:p>
          <w:p w14:paraId="64D0EB67" w14:textId="6D8EFE70" w:rsidR="00BA564F" w:rsidRPr="00154588" w:rsidRDefault="00BA564F" w:rsidP="008C12B4">
            <w:pPr>
              <w:jc w:val="both"/>
              <w:rPr>
                <w:bCs/>
                <w:sz w:val="20"/>
                <w:szCs w:val="20"/>
              </w:rPr>
            </w:pPr>
            <w:r w:rsidRPr="00154588">
              <w:rPr>
                <w:bCs/>
                <w:sz w:val="20"/>
                <w:szCs w:val="20"/>
              </w:rPr>
              <w:t>(c) nivelul de transparență față de părțile interesate relevante aferent metodologiilor elaborate de autoritățile de rezoluție pentru a efectua evaluări ale posibilităților de soluționare și aferent rezultatelor respectivelor evaluări</w:t>
            </w:r>
          </w:p>
        </w:tc>
        <w:tc>
          <w:tcPr>
            <w:tcW w:w="4819" w:type="dxa"/>
          </w:tcPr>
          <w:p w14:paraId="3DE3A7E2" w14:textId="77777777" w:rsidR="00BA564F" w:rsidRPr="00154588" w:rsidRDefault="00BA564F" w:rsidP="008C12B4">
            <w:pPr>
              <w:jc w:val="both"/>
              <w:rPr>
                <w:bCs/>
                <w:sz w:val="20"/>
                <w:szCs w:val="20"/>
              </w:rPr>
            </w:pPr>
          </w:p>
        </w:tc>
        <w:tc>
          <w:tcPr>
            <w:tcW w:w="2552" w:type="dxa"/>
          </w:tcPr>
          <w:p w14:paraId="61AC5E4B" w14:textId="03D2196E" w:rsidR="00BA564F" w:rsidRPr="00154588" w:rsidRDefault="00BA3EAF" w:rsidP="008C12B4">
            <w:pPr>
              <w:jc w:val="both"/>
              <w:rPr>
                <w:bCs/>
                <w:sz w:val="20"/>
                <w:szCs w:val="20"/>
              </w:rPr>
            </w:pPr>
            <w:r w:rsidRPr="00154588">
              <w:rPr>
                <w:bCs/>
                <w:sz w:val="20"/>
                <w:szCs w:val="20"/>
              </w:rPr>
              <w:t>Norme UE neaplicabile</w:t>
            </w:r>
          </w:p>
        </w:tc>
        <w:tc>
          <w:tcPr>
            <w:tcW w:w="3118" w:type="dxa"/>
          </w:tcPr>
          <w:p w14:paraId="2CAA513E" w14:textId="2A7DCB53" w:rsidR="00BA564F" w:rsidRPr="00154588" w:rsidRDefault="009C345F" w:rsidP="008C12B4">
            <w:pPr>
              <w:jc w:val="both"/>
              <w:rPr>
                <w:sz w:val="20"/>
                <w:szCs w:val="20"/>
                <w:lang w:val="ro-MD"/>
              </w:rPr>
            </w:pPr>
            <w:r w:rsidRPr="00154588">
              <w:rPr>
                <w:sz w:val="20"/>
                <w:szCs w:val="20"/>
                <w:lang w:val="ro-MD"/>
              </w:rPr>
              <w:t>Prevederi care se referă la atribuțiile de reglementare ale autorităților europene.</w:t>
            </w:r>
          </w:p>
        </w:tc>
      </w:tr>
      <w:tr w:rsidR="006A2A6A" w:rsidRPr="00154588" w14:paraId="724FBFD8" w14:textId="77777777" w:rsidTr="00D15C1B">
        <w:trPr>
          <w:jc w:val="center"/>
        </w:trPr>
        <w:tc>
          <w:tcPr>
            <w:tcW w:w="4957" w:type="dxa"/>
            <w:gridSpan w:val="2"/>
          </w:tcPr>
          <w:p w14:paraId="23C10149" w14:textId="77777777" w:rsidR="006A2A6A" w:rsidRPr="00154588" w:rsidRDefault="006A2A6A" w:rsidP="008C12B4">
            <w:pPr>
              <w:rPr>
                <w:b/>
                <w:sz w:val="20"/>
                <w:szCs w:val="20"/>
              </w:rPr>
            </w:pPr>
            <w:r w:rsidRPr="00154588">
              <w:rPr>
                <w:b/>
                <w:sz w:val="20"/>
                <w:szCs w:val="20"/>
              </w:rPr>
              <w:t>Articolul 16</w:t>
            </w:r>
          </w:p>
          <w:p w14:paraId="3E5B21F7" w14:textId="77777777" w:rsidR="006A2A6A" w:rsidRPr="00154588" w:rsidRDefault="006A2A6A" w:rsidP="008C12B4">
            <w:pPr>
              <w:rPr>
                <w:b/>
                <w:sz w:val="20"/>
                <w:szCs w:val="20"/>
              </w:rPr>
            </w:pPr>
          </w:p>
          <w:p w14:paraId="20E85BC2" w14:textId="4932CF68" w:rsidR="006A2A6A" w:rsidRPr="00154588" w:rsidRDefault="006A2A6A" w:rsidP="008C12B4">
            <w:pPr>
              <w:rPr>
                <w:bCs/>
                <w:sz w:val="20"/>
                <w:szCs w:val="20"/>
              </w:rPr>
            </w:pPr>
            <w:r w:rsidRPr="00154588">
              <w:rPr>
                <w:b/>
                <w:sz w:val="20"/>
                <w:szCs w:val="20"/>
              </w:rPr>
              <w:t>Evaluarea posibilităților de soluționare în cazul grupurilor</w:t>
            </w:r>
          </w:p>
        </w:tc>
        <w:tc>
          <w:tcPr>
            <w:tcW w:w="4819" w:type="dxa"/>
          </w:tcPr>
          <w:p w14:paraId="75F4F263" w14:textId="77777777" w:rsidR="006A2A6A" w:rsidRPr="00154588" w:rsidRDefault="006A2A6A" w:rsidP="008C12B4">
            <w:pPr>
              <w:jc w:val="both"/>
              <w:rPr>
                <w:bCs/>
                <w:sz w:val="20"/>
                <w:szCs w:val="20"/>
              </w:rPr>
            </w:pPr>
          </w:p>
        </w:tc>
        <w:tc>
          <w:tcPr>
            <w:tcW w:w="2552" w:type="dxa"/>
          </w:tcPr>
          <w:p w14:paraId="13B8A3E5" w14:textId="77777777" w:rsidR="006A2A6A" w:rsidRPr="00154588" w:rsidRDefault="006A2A6A" w:rsidP="008C12B4">
            <w:pPr>
              <w:jc w:val="both"/>
              <w:rPr>
                <w:bCs/>
                <w:sz w:val="20"/>
                <w:szCs w:val="20"/>
              </w:rPr>
            </w:pPr>
          </w:p>
        </w:tc>
        <w:tc>
          <w:tcPr>
            <w:tcW w:w="3118" w:type="dxa"/>
          </w:tcPr>
          <w:p w14:paraId="2D744BA1" w14:textId="77777777" w:rsidR="006A2A6A" w:rsidRPr="00154588" w:rsidRDefault="006A2A6A" w:rsidP="008C12B4">
            <w:pPr>
              <w:jc w:val="both"/>
              <w:rPr>
                <w:bCs/>
                <w:sz w:val="20"/>
                <w:szCs w:val="20"/>
              </w:rPr>
            </w:pPr>
          </w:p>
        </w:tc>
      </w:tr>
      <w:tr w:rsidR="006A2A6A" w:rsidRPr="00154588" w14:paraId="32BC2E6C" w14:textId="77777777" w:rsidTr="00D15C1B">
        <w:trPr>
          <w:jc w:val="center"/>
        </w:trPr>
        <w:tc>
          <w:tcPr>
            <w:tcW w:w="4957" w:type="dxa"/>
            <w:gridSpan w:val="2"/>
          </w:tcPr>
          <w:p w14:paraId="69EF873A" w14:textId="77777777" w:rsidR="006A2A6A" w:rsidRPr="00154588" w:rsidRDefault="006A2A6A" w:rsidP="008C12B4">
            <w:pPr>
              <w:jc w:val="both"/>
              <w:rPr>
                <w:bCs/>
                <w:sz w:val="20"/>
                <w:szCs w:val="20"/>
              </w:rPr>
            </w:pPr>
            <w:r w:rsidRPr="00154588">
              <w:rPr>
                <w:bCs/>
                <w:sz w:val="20"/>
                <w:szCs w:val="20"/>
              </w:rPr>
              <w:t>(1)   Statele membre se asigură că autoritățile de rezoluție a grupului, împreună cu autoritățile de rezoluție a filialelor, după consultarea cu supraveghetorul consolidant și cu autoritățile competente ale filialelor respective, precum și autoritățile de rezoluție din jurisdicțiile în care sunt situate sucursale semnificative, în măsura în care acest lucru este relevant pentru sucursalele semnificative, evaluează măsura în care un grup poate face obiectul unei proceduri de rezoluție, fără să se bazeze pe niciuna din următoarele:</w:t>
            </w:r>
          </w:p>
          <w:p w14:paraId="3D9C183F" w14:textId="77777777" w:rsidR="006A2A6A" w:rsidRPr="00154588" w:rsidRDefault="006A2A6A" w:rsidP="008C12B4">
            <w:pPr>
              <w:jc w:val="both"/>
              <w:rPr>
                <w:bCs/>
                <w:sz w:val="20"/>
                <w:szCs w:val="20"/>
              </w:rPr>
            </w:pPr>
          </w:p>
          <w:p w14:paraId="6379C373" w14:textId="46EEC675" w:rsidR="006A2A6A" w:rsidRPr="00154588" w:rsidRDefault="006A2A6A" w:rsidP="008C12B4">
            <w:pPr>
              <w:jc w:val="both"/>
              <w:rPr>
                <w:bCs/>
                <w:sz w:val="20"/>
                <w:szCs w:val="20"/>
              </w:rPr>
            </w:pPr>
            <w:r w:rsidRPr="00154588">
              <w:rPr>
                <w:bCs/>
                <w:sz w:val="20"/>
                <w:szCs w:val="20"/>
              </w:rPr>
              <w:t>(a) orice sprijin financiar public extraordinar, în afara utilizării mecanismelor de finanțare instituite în conformitate cu articolul 100;</w:t>
            </w:r>
          </w:p>
          <w:p w14:paraId="514BFFF2" w14:textId="77777777" w:rsidR="006A2A6A" w:rsidRPr="00154588" w:rsidRDefault="006A2A6A" w:rsidP="008C12B4">
            <w:pPr>
              <w:jc w:val="both"/>
              <w:rPr>
                <w:bCs/>
                <w:sz w:val="20"/>
                <w:szCs w:val="20"/>
              </w:rPr>
            </w:pPr>
          </w:p>
          <w:p w14:paraId="7AFAB2B7" w14:textId="34E4EB1D" w:rsidR="006A2A6A" w:rsidRPr="00154588" w:rsidRDefault="006A2A6A" w:rsidP="008C12B4">
            <w:pPr>
              <w:jc w:val="both"/>
              <w:rPr>
                <w:bCs/>
                <w:sz w:val="20"/>
                <w:szCs w:val="20"/>
              </w:rPr>
            </w:pPr>
            <w:r w:rsidRPr="00154588">
              <w:rPr>
                <w:bCs/>
                <w:sz w:val="20"/>
                <w:szCs w:val="20"/>
              </w:rPr>
              <w:t>(b) orice asistență privind lichiditatea în situații de urgență din partea băncii centrale;</w:t>
            </w:r>
          </w:p>
          <w:p w14:paraId="7EA71F12" w14:textId="77777777" w:rsidR="006A2A6A" w:rsidRPr="00154588" w:rsidRDefault="006A2A6A" w:rsidP="008C12B4">
            <w:pPr>
              <w:jc w:val="both"/>
              <w:rPr>
                <w:bCs/>
                <w:sz w:val="20"/>
                <w:szCs w:val="20"/>
              </w:rPr>
            </w:pPr>
          </w:p>
          <w:p w14:paraId="2B6B30BD" w14:textId="77777777" w:rsidR="006A2A6A" w:rsidRPr="00154588" w:rsidRDefault="006A2A6A" w:rsidP="008C12B4">
            <w:pPr>
              <w:jc w:val="both"/>
              <w:rPr>
                <w:bCs/>
                <w:sz w:val="20"/>
                <w:szCs w:val="20"/>
              </w:rPr>
            </w:pPr>
            <w:r w:rsidRPr="00154588">
              <w:rPr>
                <w:bCs/>
                <w:sz w:val="20"/>
                <w:szCs w:val="20"/>
              </w:rPr>
              <w:t>(c) orice asistență privind lichiditatea din partea băncii centrale furnizată cu garanții, dobânzi sau durate non-standard.</w:t>
            </w:r>
          </w:p>
          <w:p w14:paraId="1AD1BEBE" w14:textId="77777777" w:rsidR="006A2A6A" w:rsidRPr="00154588" w:rsidRDefault="006A2A6A" w:rsidP="008C12B4">
            <w:pPr>
              <w:jc w:val="both"/>
              <w:rPr>
                <w:bCs/>
                <w:sz w:val="20"/>
                <w:szCs w:val="20"/>
              </w:rPr>
            </w:pPr>
          </w:p>
          <w:p w14:paraId="5978EF9E" w14:textId="77777777" w:rsidR="006A2A6A" w:rsidRPr="00154588" w:rsidRDefault="006A2A6A" w:rsidP="008C12B4">
            <w:pPr>
              <w:jc w:val="both"/>
              <w:rPr>
                <w:bCs/>
                <w:sz w:val="20"/>
                <w:szCs w:val="20"/>
              </w:rPr>
            </w:pPr>
            <w:r w:rsidRPr="00154588">
              <w:rPr>
                <w:bCs/>
                <w:sz w:val="20"/>
                <w:szCs w:val="20"/>
              </w:rPr>
              <w:t xml:space="preserve">Se consideră că rezoluția unui grup este posibilă dacă autoritățile de rezoluție consideră că este fezabil și credibil fie să lichideze entitățile din grup prin procedura obișnuită de insolvență, fie să declanșeze procedura de rezoluție a grupului aplicând instrumente și exercitând competențe de rezoluție, în privința entităților din grup care fac obiectul rezoluției, evitând totodată, pe cât posibil, orice consecință </w:t>
            </w:r>
            <w:r w:rsidRPr="00154588">
              <w:rPr>
                <w:bCs/>
                <w:sz w:val="20"/>
                <w:szCs w:val="20"/>
              </w:rPr>
              <w:lastRenderedPageBreak/>
              <w:t>negativă semnificativă asupra sistemelor financiare ale statelor membre în care se situează entitățile sau filialele din grup, ale altor state membre sau ale Uniunii, inclusiv instabilitate financiară mai extinsă sau de evenimente la scara întregului sistem, cu scopul de a asigura continuitatea funcțiilor critice îndeplinite de acele entități din grup, atunci când acestea pot fi separate cu ușurință în timp util sau prin alte mijloace.</w:t>
            </w:r>
          </w:p>
          <w:p w14:paraId="0F8D5E10" w14:textId="77777777" w:rsidR="006A2A6A" w:rsidRPr="00154588" w:rsidRDefault="006A2A6A" w:rsidP="008C12B4">
            <w:pPr>
              <w:jc w:val="both"/>
              <w:rPr>
                <w:bCs/>
                <w:sz w:val="20"/>
                <w:szCs w:val="20"/>
              </w:rPr>
            </w:pPr>
          </w:p>
          <w:p w14:paraId="50529FDB" w14:textId="77777777" w:rsidR="006A2A6A" w:rsidRPr="00154588" w:rsidRDefault="006A2A6A" w:rsidP="008C12B4">
            <w:pPr>
              <w:jc w:val="both"/>
              <w:rPr>
                <w:bCs/>
                <w:sz w:val="20"/>
                <w:szCs w:val="20"/>
              </w:rPr>
            </w:pPr>
            <w:r w:rsidRPr="00154588">
              <w:rPr>
                <w:bCs/>
                <w:sz w:val="20"/>
                <w:szCs w:val="20"/>
              </w:rPr>
              <w:t>Autoritățile de rezoluție ale grupului notifică ABE în timp util dacă acestea consideră că rezoluția unui grup nu este posibilă.</w:t>
            </w:r>
          </w:p>
          <w:p w14:paraId="738DAE44" w14:textId="77777777" w:rsidR="006A2A6A" w:rsidRPr="00154588" w:rsidRDefault="006A2A6A" w:rsidP="008C12B4">
            <w:pPr>
              <w:jc w:val="both"/>
              <w:rPr>
                <w:bCs/>
                <w:sz w:val="20"/>
                <w:szCs w:val="20"/>
              </w:rPr>
            </w:pPr>
          </w:p>
          <w:p w14:paraId="61AF2657" w14:textId="10EACD6B" w:rsidR="006A2A6A" w:rsidRPr="00154588" w:rsidRDefault="006A2A6A" w:rsidP="008C12B4">
            <w:pPr>
              <w:rPr>
                <w:bCs/>
                <w:sz w:val="20"/>
                <w:szCs w:val="20"/>
              </w:rPr>
            </w:pPr>
            <w:r w:rsidRPr="00154588">
              <w:rPr>
                <w:bCs/>
                <w:sz w:val="20"/>
                <w:szCs w:val="20"/>
              </w:rPr>
              <w:t>Evaluarea posibilităților de soluționare a unui grup este luată în considerare în cadrul colegiilor de rezoluție menționate la articolul 88.</w:t>
            </w:r>
          </w:p>
        </w:tc>
        <w:tc>
          <w:tcPr>
            <w:tcW w:w="4819" w:type="dxa"/>
          </w:tcPr>
          <w:p w14:paraId="04B71C3D" w14:textId="77777777" w:rsidR="006A2A6A" w:rsidRPr="00154588" w:rsidRDefault="006A2A6A" w:rsidP="008C12B4">
            <w:pPr>
              <w:jc w:val="center"/>
              <w:rPr>
                <w:b/>
                <w:bCs/>
                <w:sz w:val="20"/>
                <w:szCs w:val="20"/>
                <w:vertAlign w:val="superscript"/>
                <w:lang w:eastAsia="ro-MD"/>
              </w:rPr>
            </w:pPr>
            <w:r w:rsidRPr="00154588">
              <w:rPr>
                <w:b/>
                <w:sz w:val="20"/>
                <w:szCs w:val="20"/>
              </w:rPr>
              <w:lastRenderedPageBreak/>
              <w:t xml:space="preserve">Secţiunea </w:t>
            </w:r>
            <w:r w:rsidRPr="00154588">
              <w:rPr>
                <w:b/>
                <w:bCs/>
                <w:sz w:val="20"/>
                <w:szCs w:val="20"/>
                <w:lang w:eastAsia="ro-MD"/>
              </w:rPr>
              <w:t>1</w:t>
            </w:r>
            <w:r w:rsidRPr="00154588">
              <w:rPr>
                <w:b/>
                <w:bCs/>
                <w:sz w:val="20"/>
                <w:szCs w:val="20"/>
                <w:vertAlign w:val="superscript"/>
                <w:lang w:eastAsia="ro-MD"/>
              </w:rPr>
              <w:t>2</w:t>
            </w:r>
          </w:p>
          <w:p w14:paraId="7FC31072" w14:textId="77777777" w:rsidR="006A2A6A" w:rsidRPr="00154588" w:rsidRDefault="006A2A6A" w:rsidP="008C12B4">
            <w:pPr>
              <w:jc w:val="center"/>
              <w:rPr>
                <w:b/>
                <w:sz w:val="20"/>
                <w:szCs w:val="20"/>
              </w:rPr>
            </w:pPr>
            <w:r w:rsidRPr="00154588">
              <w:rPr>
                <w:b/>
                <w:sz w:val="20"/>
                <w:szCs w:val="20"/>
              </w:rPr>
              <w:t>Posibilitatea de soluţionare a unui grup în cazul în care Banca Națională a Moldovei este autoritate de rezoluție la nivel de grup</w:t>
            </w:r>
          </w:p>
          <w:p w14:paraId="795ADFC5" w14:textId="77777777" w:rsidR="006A2A6A" w:rsidRPr="00154588" w:rsidRDefault="006A2A6A" w:rsidP="008C12B4">
            <w:pPr>
              <w:ind w:firstLine="708"/>
              <w:jc w:val="both"/>
              <w:rPr>
                <w:b/>
                <w:sz w:val="20"/>
                <w:szCs w:val="20"/>
              </w:rPr>
            </w:pPr>
            <w:r w:rsidRPr="00154588">
              <w:rPr>
                <w:b/>
                <w:sz w:val="20"/>
                <w:szCs w:val="20"/>
              </w:rPr>
              <w:t>Articolul 34</w:t>
            </w:r>
            <w:r w:rsidRPr="00154588">
              <w:rPr>
                <w:b/>
                <w:sz w:val="20"/>
                <w:szCs w:val="20"/>
                <w:vertAlign w:val="superscript"/>
              </w:rPr>
              <w:t>3</w:t>
            </w:r>
            <w:r w:rsidRPr="00154588">
              <w:rPr>
                <w:b/>
                <w:sz w:val="20"/>
                <w:szCs w:val="20"/>
              </w:rPr>
              <w:t xml:space="preserve">  - </w:t>
            </w:r>
            <w:r w:rsidRPr="00154588">
              <w:rPr>
                <w:sz w:val="20"/>
                <w:szCs w:val="20"/>
              </w:rPr>
              <w:t xml:space="preserve">(1) Banca Națională a Moldovei, în calitate de autoritate de rezoluție la nivel de grup, împreună cu autoritățile de rezoluție ale filialelor, după consultarea cu supraveghetorul consolidant și cu autoritățile competente ale filialelor, precum și cu autoritățile de rezoluție din jurisdicțiile în care își au sediul sucursale semnificative, în măsura în care este relevant pentru sucursalele semnificative respective, evaluează măsura în care soluționarea grupului este posibilă, în sensul alin.(2), fără să se prezume oricare dintre următoarele: </w:t>
            </w:r>
          </w:p>
          <w:p w14:paraId="2E477A3C" w14:textId="77777777" w:rsidR="006A2A6A" w:rsidRPr="00154588" w:rsidRDefault="006A2A6A" w:rsidP="008C12B4">
            <w:pPr>
              <w:ind w:firstLine="708"/>
              <w:jc w:val="both"/>
              <w:rPr>
                <w:sz w:val="20"/>
                <w:szCs w:val="20"/>
              </w:rPr>
            </w:pPr>
            <w:r w:rsidRPr="00154588">
              <w:rPr>
                <w:sz w:val="20"/>
                <w:szCs w:val="20"/>
              </w:rPr>
              <w:t>a) sprijin financiar public extraordinar, cu excepția  mecanismelor de finanțare instituite în conformitate cu art.296-300 și, după caz, a mecanismelor de finanțare instituie de alte state membre.</w:t>
            </w:r>
          </w:p>
          <w:p w14:paraId="07291868" w14:textId="77777777" w:rsidR="006A2A6A" w:rsidRPr="00154588" w:rsidRDefault="006A2A6A" w:rsidP="008C12B4">
            <w:pPr>
              <w:ind w:firstLine="708"/>
              <w:jc w:val="both"/>
              <w:rPr>
                <w:sz w:val="20"/>
                <w:szCs w:val="20"/>
              </w:rPr>
            </w:pPr>
            <w:r w:rsidRPr="00154588">
              <w:rPr>
                <w:sz w:val="20"/>
                <w:szCs w:val="20"/>
              </w:rPr>
              <w:t>b) asistență de lichiditate  în situații de urgență din partea băncii centrale;</w:t>
            </w:r>
          </w:p>
          <w:p w14:paraId="4E9A01A2" w14:textId="77777777" w:rsidR="006A2A6A" w:rsidRPr="00154588" w:rsidRDefault="006A2A6A" w:rsidP="008C12B4">
            <w:pPr>
              <w:ind w:firstLine="708"/>
              <w:jc w:val="both"/>
              <w:rPr>
                <w:sz w:val="20"/>
                <w:szCs w:val="20"/>
              </w:rPr>
            </w:pPr>
            <w:r w:rsidRPr="00154588">
              <w:rPr>
                <w:sz w:val="20"/>
                <w:szCs w:val="20"/>
              </w:rPr>
              <w:t>c) asistența de lichiditate din partea băncii centrale oferită cu garanţii, rate ale dobânzilor sau durate nonstandard.</w:t>
            </w:r>
          </w:p>
          <w:p w14:paraId="053D7201" w14:textId="77777777" w:rsidR="006A2A6A" w:rsidRPr="00154588" w:rsidRDefault="006A2A6A" w:rsidP="008C12B4">
            <w:pPr>
              <w:ind w:firstLine="708"/>
              <w:jc w:val="both"/>
              <w:rPr>
                <w:sz w:val="20"/>
                <w:szCs w:val="20"/>
              </w:rPr>
            </w:pPr>
            <w:r w:rsidRPr="00154588">
              <w:rPr>
                <w:sz w:val="20"/>
                <w:szCs w:val="20"/>
              </w:rPr>
              <w:t xml:space="preserve">(2) </w:t>
            </w:r>
            <w:r w:rsidRPr="00154588">
              <w:rPr>
                <w:sz w:val="20"/>
                <w:szCs w:val="20"/>
                <w:shd w:val="clear" w:color="auto" w:fill="FFFFFF"/>
              </w:rPr>
              <w:t xml:space="preserve">Se consideră că soluționarea unui grup este posibilă dacă autoritățile de rezoluție consideră că este fezabil și credibil fie să lichideze entități din grup prin procedura obișnuită de insolvabilitate, fie să soluționeze </w:t>
            </w:r>
            <w:r w:rsidRPr="00154588">
              <w:rPr>
                <w:sz w:val="20"/>
                <w:szCs w:val="20"/>
                <w:shd w:val="clear" w:color="auto" w:fill="FFFFFF"/>
              </w:rPr>
              <w:lastRenderedPageBreak/>
              <w:t>grupul aplicând instrumente de rezoluție și exercitând competențe de rezoluție asupra entităților de rezoluție din grup, cu evitarea, pe cât posibil, a oricăror consecințe negative considerate de către autoritățile de rezoluție ca fiind semnificative asupra sistemelor financiare ale statelor membre în care sunt situate entitățile sau sucursalele din grup sau ale altor state membre sau al Uniunii Europene, inclusiv instabilitate financiară mai extinsă sau evenimente la scara întregului sistem, cu scopul asigurării continuității funcțiilor critice îndeplinite de acele entități din grup, în cazul în care acestea pot fi ușor separate în timp util sau prin alte mijloace.</w:t>
            </w:r>
          </w:p>
          <w:p w14:paraId="214B5526" w14:textId="77777777" w:rsidR="006A2A6A" w:rsidRPr="00154588" w:rsidRDefault="006A2A6A" w:rsidP="008C12B4">
            <w:pPr>
              <w:ind w:firstLine="708"/>
              <w:jc w:val="both"/>
              <w:rPr>
                <w:sz w:val="20"/>
                <w:szCs w:val="20"/>
              </w:rPr>
            </w:pPr>
            <w:r w:rsidRPr="00154588">
              <w:rPr>
                <w:sz w:val="20"/>
                <w:szCs w:val="20"/>
              </w:rPr>
              <w:t>(3) Banca Națională a Moldovei, în calitate de autoritate de rezoluție la nivel de grup, notifică Autoritatea Bancară Europeană în timp util ori de câte ori consideră că soluționarea unui grup nu este posibilă.</w:t>
            </w:r>
          </w:p>
          <w:p w14:paraId="620E62E7" w14:textId="77777777" w:rsidR="006A2A6A" w:rsidRPr="00154588" w:rsidRDefault="006A2A6A" w:rsidP="008C12B4">
            <w:pPr>
              <w:ind w:firstLine="708"/>
              <w:jc w:val="both"/>
              <w:rPr>
                <w:sz w:val="20"/>
                <w:szCs w:val="20"/>
              </w:rPr>
            </w:pPr>
            <w:r w:rsidRPr="00154588">
              <w:rPr>
                <w:sz w:val="20"/>
                <w:szCs w:val="20"/>
              </w:rPr>
              <w:t>(4) Evaluarea posibilității de soluționare a unui grup este analizată în cadrul colegiilor de rezoluție menționate la art.295</w:t>
            </w:r>
            <w:r w:rsidRPr="00154588">
              <w:rPr>
                <w:sz w:val="20"/>
                <w:szCs w:val="20"/>
                <w:vertAlign w:val="superscript"/>
              </w:rPr>
              <w:t>2</w:t>
            </w:r>
            <w:r w:rsidRPr="00154588">
              <w:rPr>
                <w:sz w:val="20"/>
                <w:szCs w:val="20"/>
              </w:rPr>
              <w:t>-295</w:t>
            </w:r>
            <w:r w:rsidRPr="00154588">
              <w:rPr>
                <w:sz w:val="20"/>
                <w:szCs w:val="20"/>
                <w:vertAlign w:val="superscript"/>
              </w:rPr>
              <w:t>7</w:t>
            </w:r>
            <w:r w:rsidRPr="00154588">
              <w:rPr>
                <w:sz w:val="20"/>
                <w:szCs w:val="20"/>
              </w:rPr>
              <w:t>.</w:t>
            </w:r>
          </w:p>
          <w:p w14:paraId="2A6D8A30" w14:textId="77777777" w:rsidR="006A2A6A" w:rsidRPr="00154588" w:rsidRDefault="006A2A6A" w:rsidP="008C12B4">
            <w:pPr>
              <w:jc w:val="both"/>
              <w:rPr>
                <w:bCs/>
                <w:sz w:val="20"/>
                <w:szCs w:val="20"/>
              </w:rPr>
            </w:pPr>
          </w:p>
        </w:tc>
        <w:tc>
          <w:tcPr>
            <w:tcW w:w="2552" w:type="dxa"/>
          </w:tcPr>
          <w:p w14:paraId="0B334487" w14:textId="5FECD521"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48D89E53" w14:textId="77777777" w:rsidR="006A2A6A" w:rsidRPr="00154588" w:rsidRDefault="006A2A6A" w:rsidP="008C12B4">
            <w:pPr>
              <w:jc w:val="both"/>
              <w:rPr>
                <w:bCs/>
                <w:sz w:val="20"/>
                <w:szCs w:val="20"/>
              </w:rPr>
            </w:pPr>
          </w:p>
        </w:tc>
      </w:tr>
      <w:tr w:rsidR="006A2A6A" w:rsidRPr="00154588" w14:paraId="5DFD1B01" w14:textId="77777777" w:rsidTr="00D15C1B">
        <w:trPr>
          <w:jc w:val="center"/>
        </w:trPr>
        <w:tc>
          <w:tcPr>
            <w:tcW w:w="4957" w:type="dxa"/>
            <w:gridSpan w:val="2"/>
          </w:tcPr>
          <w:p w14:paraId="26E4FCF4" w14:textId="6B0ADCC0" w:rsidR="006A2A6A" w:rsidRPr="00154588" w:rsidRDefault="006A2A6A" w:rsidP="008C12B4">
            <w:pPr>
              <w:jc w:val="both"/>
              <w:rPr>
                <w:bCs/>
                <w:sz w:val="20"/>
                <w:szCs w:val="20"/>
              </w:rPr>
            </w:pPr>
            <w:r w:rsidRPr="00154588">
              <w:rPr>
                <w:bCs/>
                <w:sz w:val="20"/>
                <w:szCs w:val="20"/>
              </w:rPr>
              <w:t>(2) Pentru a evalua posibilitățile de soluționare a grupului, autoritățile de rezoluție examinează cel puțin elementele menționate în secțiunea C din anexă.</w:t>
            </w:r>
          </w:p>
        </w:tc>
        <w:tc>
          <w:tcPr>
            <w:tcW w:w="4819" w:type="dxa"/>
          </w:tcPr>
          <w:p w14:paraId="2FCE7648" w14:textId="77777777" w:rsidR="006A2A6A" w:rsidRPr="00154588" w:rsidRDefault="006A2A6A" w:rsidP="008C12B4">
            <w:pPr>
              <w:ind w:firstLine="708"/>
              <w:jc w:val="both"/>
              <w:rPr>
                <w:bCs/>
                <w:sz w:val="20"/>
                <w:szCs w:val="20"/>
              </w:rPr>
            </w:pPr>
            <w:r w:rsidRPr="00154588">
              <w:rPr>
                <w:bCs/>
                <w:sz w:val="20"/>
                <w:szCs w:val="20"/>
              </w:rPr>
              <w:t>(5) În scopul evaluării posibilității de soluționare a grupului, Banca Națională a Moldovei, în calitate de autoritate de rezoluție la nivel de grup, examinează cel puțin aspectele prevăzute în secțiunea C din anexă.</w:t>
            </w:r>
          </w:p>
          <w:p w14:paraId="68C5167B" w14:textId="77777777" w:rsidR="006A2A6A" w:rsidRPr="00154588" w:rsidRDefault="006A2A6A" w:rsidP="008C12B4">
            <w:pPr>
              <w:jc w:val="both"/>
              <w:rPr>
                <w:bCs/>
                <w:sz w:val="20"/>
                <w:szCs w:val="20"/>
              </w:rPr>
            </w:pPr>
          </w:p>
        </w:tc>
        <w:tc>
          <w:tcPr>
            <w:tcW w:w="2552" w:type="dxa"/>
          </w:tcPr>
          <w:p w14:paraId="4BAB2C00" w14:textId="4FF75E63" w:rsidR="006A2A6A" w:rsidRPr="00154588" w:rsidRDefault="006A2A6A" w:rsidP="008C12B4">
            <w:pPr>
              <w:jc w:val="both"/>
              <w:rPr>
                <w:bCs/>
                <w:sz w:val="20"/>
                <w:szCs w:val="20"/>
              </w:rPr>
            </w:pPr>
            <w:r w:rsidRPr="00154588">
              <w:rPr>
                <w:bCs/>
                <w:sz w:val="20"/>
                <w:szCs w:val="20"/>
              </w:rPr>
              <w:t>Compatibil</w:t>
            </w:r>
          </w:p>
        </w:tc>
        <w:tc>
          <w:tcPr>
            <w:tcW w:w="3118" w:type="dxa"/>
          </w:tcPr>
          <w:p w14:paraId="00C3E820" w14:textId="77777777" w:rsidR="006A2A6A" w:rsidRPr="00154588" w:rsidRDefault="006A2A6A" w:rsidP="008C12B4">
            <w:pPr>
              <w:jc w:val="both"/>
              <w:rPr>
                <w:bCs/>
                <w:sz w:val="20"/>
                <w:szCs w:val="20"/>
              </w:rPr>
            </w:pPr>
          </w:p>
        </w:tc>
      </w:tr>
      <w:tr w:rsidR="006A2A6A" w:rsidRPr="00154588" w14:paraId="00414C31" w14:textId="77777777" w:rsidTr="00D15C1B">
        <w:trPr>
          <w:jc w:val="center"/>
        </w:trPr>
        <w:tc>
          <w:tcPr>
            <w:tcW w:w="4957" w:type="dxa"/>
            <w:gridSpan w:val="2"/>
          </w:tcPr>
          <w:p w14:paraId="09079D9A" w14:textId="59F4ADC8" w:rsidR="006A2A6A" w:rsidRPr="00154588" w:rsidRDefault="006A2A6A" w:rsidP="008C12B4">
            <w:pPr>
              <w:jc w:val="both"/>
              <w:rPr>
                <w:bCs/>
                <w:sz w:val="20"/>
                <w:szCs w:val="20"/>
              </w:rPr>
            </w:pPr>
            <w:r w:rsidRPr="00154588">
              <w:rPr>
                <w:bCs/>
                <w:sz w:val="20"/>
                <w:szCs w:val="20"/>
              </w:rPr>
              <w:t>(3)   Evaluarea posibilităților de soluționare a grupului în temeiul prezentului articol se realizează concomitent cu și în scopul elaborării și actualizării planurilor de rezoluție a grupului în conformitate cu articolul 12. Evaluarea se realizează în cadrul procedurilor de luare a deciziilor prevăzute la articolul 13.</w:t>
            </w:r>
          </w:p>
        </w:tc>
        <w:tc>
          <w:tcPr>
            <w:tcW w:w="4819" w:type="dxa"/>
          </w:tcPr>
          <w:p w14:paraId="2902D05D" w14:textId="77777777" w:rsidR="006A2A6A" w:rsidRPr="00154588" w:rsidRDefault="006A2A6A" w:rsidP="008C12B4">
            <w:pPr>
              <w:ind w:firstLine="708"/>
              <w:jc w:val="both"/>
              <w:rPr>
                <w:sz w:val="20"/>
                <w:szCs w:val="20"/>
              </w:rPr>
            </w:pPr>
            <w:r w:rsidRPr="00154588">
              <w:rPr>
                <w:sz w:val="20"/>
                <w:szCs w:val="20"/>
              </w:rPr>
              <w:t>(6) Evaluarea posibilității de soluționare a grupului în temeiul prezentului articol se realizează concomitent și în scopul elaborării și actualizării planurilor de rezoluție a grupului în conformitate cu art.31</w:t>
            </w:r>
            <w:r w:rsidRPr="00154588">
              <w:rPr>
                <w:sz w:val="20"/>
                <w:szCs w:val="20"/>
                <w:vertAlign w:val="superscript"/>
              </w:rPr>
              <w:t xml:space="preserve">1 </w:t>
            </w:r>
            <w:r w:rsidRPr="00154588">
              <w:rPr>
                <w:sz w:val="20"/>
                <w:szCs w:val="20"/>
              </w:rPr>
              <w:t>– 31</w:t>
            </w:r>
            <w:r w:rsidRPr="00154588">
              <w:rPr>
                <w:sz w:val="20"/>
                <w:szCs w:val="20"/>
                <w:vertAlign w:val="superscript"/>
              </w:rPr>
              <w:t>5</w:t>
            </w:r>
            <w:r w:rsidRPr="00154588">
              <w:rPr>
                <w:sz w:val="20"/>
                <w:szCs w:val="20"/>
              </w:rPr>
              <w:t xml:space="preserve">. </w:t>
            </w:r>
          </w:p>
          <w:p w14:paraId="24A6ED7C" w14:textId="3356BCA8" w:rsidR="006A2A6A" w:rsidRPr="00154588" w:rsidRDefault="006A2A6A" w:rsidP="008C12B4">
            <w:pPr>
              <w:ind w:firstLine="708"/>
              <w:jc w:val="both"/>
              <w:rPr>
                <w:sz w:val="20"/>
                <w:szCs w:val="20"/>
              </w:rPr>
            </w:pPr>
            <w:r w:rsidRPr="00154588">
              <w:rPr>
                <w:sz w:val="20"/>
                <w:szCs w:val="20"/>
              </w:rPr>
              <w:t>(7) Evaluarea posibilității de soluționare se realizează în cadrul procedurii  decizionale prevăzute la art.31</w:t>
            </w:r>
            <w:r w:rsidRPr="00154588">
              <w:rPr>
                <w:sz w:val="20"/>
                <w:szCs w:val="20"/>
                <w:vertAlign w:val="superscript"/>
              </w:rPr>
              <w:t>6</w:t>
            </w:r>
            <w:r w:rsidRPr="00154588">
              <w:rPr>
                <w:sz w:val="20"/>
                <w:szCs w:val="20"/>
              </w:rPr>
              <w:t>-31</w:t>
            </w:r>
            <w:r w:rsidRPr="00154588">
              <w:rPr>
                <w:sz w:val="20"/>
                <w:szCs w:val="20"/>
                <w:vertAlign w:val="superscript"/>
              </w:rPr>
              <w:t>13</w:t>
            </w:r>
            <w:r w:rsidRPr="00154588">
              <w:rPr>
                <w:sz w:val="20"/>
                <w:szCs w:val="20"/>
              </w:rPr>
              <w:t>.</w:t>
            </w:r>
          </w:p>
          <w:p w14:paraId="228BEE40" w14:textId="77777777" w:rsidR="006A2A6A" w:rsidRPr="00154588" w:rsidRDefault="006A2A6A" w:rsidP="008C12B4">
            <w:pPr>
              <w:jc w:val="both"/>
              <w:rPr>
                <w:bCs/>
                <w:sz w:val="20"/>
                <w:szCs w:val="20"/>
              </w:rPr>
            </w:pPr>
          </w:p>
        </w:tc>
        <w:tc>
          <w:tcPr>
            <w:tcW w:w="2552" w:type="dxa"/>
          </w:tcPr>
          <w:p w14:paraId="42F6A40D" w14:textId="384BD356" w:rsidR="006A2A6A" w:rsidRPr="00154588" w:rsidRDefault="006A2A6A" w:rsidP="008C12B4">
            <w:pPr>
              <w:jc w:val="both"/>
              <w:rPr>
                <w:bCs/>
                <w:sz w:val="20"/>
                <w:szCs w:val="20"/>
              </w:rPr>
            </w:pPr>
            <w:r w:rsidRPr="00154588">
              <w:rPr>
                <w:bCs/>
                <w:sz w:val="20"/>
                <w:szCs w:val="20"/>
              </w:rPr>
              <w:t>Compatibil</w:t>
            </w:r>
          </w:p>
        </w:tc>
        <w:tc>
          <w:tcPr>
            <w:tcW w:w="3118" w:type="dxa"/>
          </w:tcPr>
          <w:p w14:paraId="0B0061C4" w14:textId="77777777" w:rsidR="006A2A6A" w:rsidRPr="00154588" w:rsidRDefault="006A2A6A" w:rsidP="008C12B4">
            <w:pPr>
              <w:jc w:val="both"/>
              <w:rPr>
                <w:bCs/>
                <w:sz w:val="20"/>
                <w:szCs w:val="20"/>
              </w:rPr>
            </w:pPr>
          </w:p>
        </w:tc>
      </w:tr>
      <w:tr w:rsidR="006A2A6A" w:rsidRPr="00154588" w14:paraId="59FC50E1" w14:textId="77777777" w:rsidTr="00EA7C18">
        <w:trPr>
          <w:trHeight w:val="795"/>
          <w:jc w:val="center"/>
        </w:trPr>
        <w:tc>
          <w:tcPr>
            <w:tcW w:w="4957" w:type="dxa"/>
            <w:gridSpan w:val="2"/>
          </w:tcPr>
          <w:p w14:paraId="19119342" w14:textId="77777777" w:rsidR="006A2A6A" w:rsidRPr="00154588" w:rsidRDefault="006A2A6A" w:rsidP="008C12B4">
            <w:pPr>
              <w:jc w:val="both"/>
              <w:rPr>
                <w:bCs/>
                <w:sz w:val="20"/>
                <w:szCs w:val="20"/>
              </w:rPr>
            </w:pPr>
            <w:r w:rsidRPr="00154588">
              <w:rPr>
                <w:bCs/>
                <w:sz w:val="20"/>
                <w:szCs w:val="20"/>
              </w:rPr>
              <w:t>(4)   Statele membre se asigură că, în cazul în care un grup este format din mai multe grupuri de rezoluție, autoritățile menționate la alineatul (1) evaluează posibilitatea de soluționare a fiecărui grup de rezoluție în conformitate cu prezentul articol.</w:t>
            </w:r>
          </w:p>
          <w:p w14:paraId="7C966BEB" w14:textId="77777777" w:rsidR="006A2A6A" w:rsidRPr="00154588" w:rsidRDefault="006A2A6A" w:rsidP="008C12B4">
            <w:pPr>
              <w:jc w:val="both"/>
              <w:rPr>
                <w:bCs/>
                <w:sz w:val="20"/>
                <w:szCs w:val="20"/>
              </w:rPr>
            </w:pPr>
          </w:p>
          <w:p w14:paraId="40DB5409" w14:textId="524B0379" w:rsidR="006A2A6A" w:rsidRPr="00154588" w:rsidRDefault="006A2A6A" w:rsidP="008C12B4">
            <w:pPr>
              <w:jc w:val="both"/>
              <w:rPr>
                <w:bCs/>
                <w:sz w:val="20"/>
                <w:szCs w:val="20"/>
              </w:rPr>
            </w:pPr>
            <w:r w:rsidRPr="00154588">
              <w:rPr>
                <w:bCs/>
                <w:sz w:val="20"/>
                <w:szCs w:val="20"/>
              </w:rPr>
              <w:t>Evaluarea menționată la primul paragraf de la prezentul alineat se efectuează în plus față de evaluarea posibilității de soluționare a grupului în ansamblul său și se efectuează în cadrul procedurii decizionale prevăzute la articolul 13.</w:t>
            </w:r>
          </w:p>
        </w:tc>
        <w:tc>
          <w:tcPr>
            <w:tcW w:w="4819" w:type="dxa"/>
          </w:tcPr>
          <w:p w14:paraId="1455B2E4" w14:textId="77777777" w:rsidR="006A2A6A" w:rsidRPr="00154588" w:rsidRDefault="006A2A6A" w:rsidP="008C12B4">
            <w:pPr>
              <w:ind w:firstLine="708"/>
              <w:jc w:val="both"/>
              <w:rPr>
                <w:b/>
                <w:bCs/>
                <w:sz w:val="20"/>
                <w:szCs w:val="20"/>
              </w:rPr>
            </w:pPr>
            <w:r w:rsidRPr="00154588">
              <w:rPr>
                <w:sz w:val="20"/>
                <w:szCs w:val="20"/>
              </w:rPr>
              <w:t>(8) În cazul în care un grup este format din mai multe grupuri de rezoluție, Banca Națională a Moldovei, în calitate de autoritate de rezoluție la nivel de grup, împreună cu autoritățile prevăzute la alin.(1), evaluează posibilitatea de soluționare a fiecărui grup de rezoluție în conformitate cu  prezentul articol.</w:t>
            </w:r>
          </w:p>
          <w:p w14:paraId="36BC956B" w14:textId="77777777" w:rsidR="006A2A6A" w:rsidRPr="00154588" w:rsidRDefault="006A2A6A" w:rsidP="008C12B4">
            <w:pPr>
              <w:ind w:firstLine="708"/>
              <w:jc w:val="both"/>
              <w:rPr>
                <w:sz w:val="20"/>
                <w:szCs w:val="20"/>
              </w:rPr>
            </w:pPr>
            <w:r w:rsidRPr="00154588">
              <w:rPr>
                <w:sz w:val="20"/>
                <w:szCs w:val="20"/>
              </w:rPr>
              <w:t>(9) Evaluarea prevăzută la alin.(8) se efectuează în plus față de evaluarea posibilității de soluționare a grupului în ansamblul său și se efectuează în cadrul procedurii decizionale prevăzute la art.31</w:t>
            </w:r>
            <w:r w:rsidRPr="00154588">
              <w:rPr>
                <w:sz w:val="20"/>
                <w:szCs w:val="20"/>
                <w:vertAlign w:val="superscript"/>
              </w:rPr>
              <w:t>6</w:t>
            </w:r>
            <w:r w:rsidRPr="00154588">
              <w:rPr>
                <w:sz w:val="20"/>
                <w:szCs w:val="20"/>
              </w:rPr>
              <w:t>-31</w:t>
            </w:r>
            <w:r w:rsidRPr="00154588">
              <w:rPr>
                <w:sz w:val="20"/>
                <w:szCs w:val="20"/>
                <w:vertAlign w:val="superscript"/>
              </w:rPr>
              <w:t>13</w:t>
            </w:r>
            <w:r w:rsidRPr="00154588">
              <w:rPr>
                <w:sz w:val="20"/>
                <w:szCs w:val="20"/>
              </w:rPr>
              <w:t>.</w:t>
            </w:r>
          </w:p>
          <w:p w14:paraId="28C7D533" w14:textId="77777777" w:rsidR="006A2A6A" w:rsidRPr="00154588" w:rsidRDefault="006A2A6A" w:rsidP="008C12B4">
            <w:pPr>
              <w:ind w:firstLine="708"/>
              <w:jc w:val="both"/>
              <w:rPr>
                <w:sz w:val="20"/>
                <w:szCs w:val="20"/>
              </w:rPr>
            </w:pPr>
          </w:p>
          <w:p w14:paraId="0E2FF3ED" w14:textId="77777777" w:rsidR="006A2A6A" w:rsidRPr="00154588" w:rsidRDefault="006A2A6A" w:rsidP="008C12B4">
            <w:pPr>
              <w:jc w:val="both"/>
              <w:rPr>
                <w:bCs/>
                <w:sz w:val="20"/>
                <w:szCs w:val="20"/>
              </w:rPr>
            </w:pPr>
          </w:p>
        </w:tc>
        <w:tc>
          <w:tcPr>
            <w:tcW w:w="2552" w:type="dxa"/>
          </w:tcPr>
          <w:p w14:paraId="7DBA9E18" w14:textId="58AE7859"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7B4FEF68" w14:textId="77777777" w:rsidR="006A2A6A" w:rsidRPr="00154588" w:rsidRDefault="006A2A6A" w:rsidP="008C12B4">
            <w:pPr>
              <w:jc w:val="both"/>
              <w:rPr>
                <w:bCs/>
                <w:sz w:val="20"/>
                <w:szCs w:val="20"/>
              </w:rPr>
            </w:pPr>
          </w:p>
        </w:tc>
      </w:tr>
      <w:tr w:rsidR="006A2A6A" w:rsidRPr="00154588" w14:paraId="0E615520" w14:textId="77777777" w:rsidTr="00D15C1B">
        <w:trPr>
          <w:trHeight w:val="585"/>
          <w:jc w:val="center"/>
        </w:trPr>
        <w:tc>
          <w:tcPr>
            <w:tcW w:w="4957" w:type="dxa"/>
            <w:gridSpan w:val="2"/>
          </w:tcPr>
          <w:p w14:paraId="26FF39B5" w14:textId="77777777" w:rsidR="006A2A6A" w:rsidRPr="00154588" w:rsidRDefault="00417602" w:rsidP="008C12B4">
            <w:pPr>
              <w:jc w:val="both"/>
              <w:rPr>
                <w:b/>
                <w:sz w:val="20"/>
                <w:szCs w:val="20"/>
              </w:rPr>
            </w:pPr>
            <w:r w:rsidRPr="00154588">
              <w:rPr>
                <w:b/>
                <w:sz w:val="20"/>
                <w:szCs w:val="20"/>
              </w:rPr>
              <w:t xml:space="preserve">Articolul 16 </w:t>
            </w:r>
          </w:p>
          <w:p w14:paraId="6F566468" w14:textId="77777777" w:rsidR="00032F22" w:rsidRPr="00154588" w:rsidRDefault="00032F22" w:rsidP="008C12B4">
            <w:pPr>
              <w:jc w:val="both"/>
              <w:rPr>
                <w:b/>
                <w:sz w:val="20"/>
                <w:szCs w:val="20"/>
              </w:rPr>
            </w:pPr>
            <w:r w:rsidRPr="00154588">
              <w:rPr>
                <w:b/>
                <w:sz w:val="20"/>
                <w:szCs w:val="20"/>
              </w:rPr>
              <w:t>Evaluarea posibilităților de soluționare în cazul grupurilor</w:t>
            </w:r>
          </w:p>
          <w:p w14:paraId="6056C9B0" w14:textId="77777777" w:rsidR="00032F22" w:rsidRPr="00154588" w:rsidRDefault="00032F22" w:rsidP="008C12B4">
            <w:pPr>
              <w:jc w:val="both"/>
              <w:rPr>
                <w:bCs/>
                <w:sz w:val="20"/>
                <w:szCs w:val="20"/>
              </w:rPr>
            </w:pPr>
            <w:r w:rsidRPr="00154588">
              <w:rPr>
                <w:bCs/>
                <w:sz w:val="20"/>
                <w:szCs w:val="20"/>
              </w:rPr>
              <w:t>(1)   Statele membre se asigură că autoritățile de rezoluție a grupului, împreună cu autoritățile de rezoluție a filialelor, după consultarea cu supraveghetorul consolidant și cu autoritățile competente ale filialelor respective, precum și autoritățile de rezoluție din jurisdicțiile în care sunt situate sucursale semnificative, în măsura în care acest lucru este relevant pentru sucursalele semnificative, evaluează măsura în care un grup poate face obiectul unei proceduri de rezoluție, fără să se bazeze pe niciuna din următoarele:</w:t>
            </w:r>
          </w:p>
          <w:p w14:paraId="7C8451F4" w14:textId="77777777" w:rsidR="00032F22" w:rsidRPr="00154588" w:rsidRDefault="00032F22" w:rsidP="008C12B4">
            <w:pPr>
              <w:jc w:val="both"/>
              <w:rPr>
                <w:bCs/>
                <w:sz w:val="20"/>
                <w:szCs w:val="20"/>
              </w:rPr>
            </w:pPr>
          </w:p>
          <w:p w14:paraId="7B4908DB" w14:textId="77777777" w:rsidR="00032F22" w:rsidRPr="00154588" w:rsidRDefault="00032F22" w:rsidP="008C12B4">
            <w:pPr>
              <w:jc w:val="both"/>
              <w:rPr>
                <w:bCs/>
                <w:sz w:val="20"/>
                <w:szCs w:val="20"/>
              </w:rPr>
            </w:pPr>
            <w:r w:rsidRPr="00154588">
              <w:rPr>
                <w:bCs/>
                <w:sz w:val="20"/>
                <w:szCs w:val="20"/>
              </w:rPr>
              <w:t>(a) orice sprijin financiar public extraordinar, în afara utilizării mecanismelor de finanțare instituite în conformitate cu articolul 100;</w:t>
            </w:r>
          </w:p>
          <w:p w14:paraId="3BE5A648" w14:textId="77777777" w:rsidR="00032F22" w:rsidRPr="00154588" w:rsidRDefault="00032F22" w:rsidP="008C12B4">
            <w:pPr>
              <w:jc w:val="both"/>
              <w:rPr>
                <w:bCs/>
                <w:sz w:val="20"/>
                <w:szCs w:val="20"/>
              </w:rPr>
            </w:pPr>
          </w:p>
          <w:p w14:paraId="7428E135" w14:textId="77777777" w:rsidR="00032F22" w:rsidRPr="00154588" w:rsidRDefault="00032F22" w:rsidP="008C12B4">
            <w:pPr>
              <w:jc w:val="both"/>
              <w:rPr>
                <w:bCs/>
                <w:sz w:val="20"/>
                <w:szCs w:val="20"/>
              </w:rPr>
            </w:pPr>
            <w:r w:rsidRPr="00154588">
              <w:rPr>
                <w:bCs/>
                <w:sz w:val="20"/>
                <w:szCs w:val="20"/>
              </w:rPr>
              <w:t>(b) orice asistență privind lichiditatea în situații de urgență din partea băncii centrale;</w:t>
            </w:r>
          </w:p>
          <w:p w14:paraId="5F54B247" w14:textId="77777777" w:rsidR="00032F22" w:rsidRPr="00154588" w:rsidRDefault="00032F22" w:rsidP="008C12B4">
            <w:pPr>
              <w:jc w:val="both"/>
              <w:rPr>
                <w:bCs/>
                <w:sz w:val="20"/>
                <w:szCs w:val="20"/>
              </w:rPr>
            </w:pPr>
          </w:p>
          <w:p w14:paraId="4F4829BB" w14:textId="77777777" w:rsidR="00032F22" w:rsidRPr="00154588" w:rsidRDefault="00032F22" w:rsidP="008C12B4">
            <w:pPr>
              <w:jc w:val="both"/>
              <w:rPr>
                <w:bCs/>
                <w:sz w:val="20"/>
                <w:szCs w:val="20"/>
              </w:rPr>
            </w:pPr>
            <w:r w:rsidRPr="00154588">
              <w:rPr>
                <w:bCs/>
                <w:sz w:val="20"/>
                <w:szCs w:val="20"/>
              </w:rPr>
              <w:t>(c) orice asistență privind lichiditatea din partea băncii centrale furnizată cu garanții, dobânzi sau durate non-standard.</w:t>
            </w:r>
          </w:p>
          <w:p w14:paraId="1E75BFE8" w14:textId="77777777" w:rsidR="00032F22" w:rsidRPr="00154588" w:rsidRDefault="00032F22" w:rsidP="008C12B4">
            <w:pPr>
              <w:jc w:val="both"/>
              <w:rPr>
                <w:bCs/>
                <w:sz w:val="20"/>
                <w:szCs w:val="20"/>
              </w:rPr>
            </w:pPr>
          </w:p>
          <w:p w14:paraId="264FDA02" w14:textId="77777777" w:rsidR="00032F22" w:rsidRPr="00154588" w:rsidRDefault="00032F22" w:rsidP="008C12B4">
            <w:pPr>
              <w:jc w:val="both"/>
              <w:rPr>
                <w:bCs/>
                <w:sz w:val="20"/>
                <w:szCs w:val="20"/>
              </w:rPr>
            </w:pPr>
            <w:r w:rsidRPr="00154588">
              <w:rPr>
                <w:bCs/>
                <w:sz w:val="20"/>
                <w:szCs w:val="20"/>
              </w:rPr>
              <w:t>Se consideră că rezoluția unui grup este posibilă dacă autoritățile de rezoluție consideră că este fezabil și credibil fie să lichideze entitățile din grup prin procedura obișnuită de insolvență, fie să declanșeze procedura de rezoluție a grupului aplicând instrumente și exercitând competențe de rezoluție, în privința entităților din grup care fac obiectul rezoluției, evitând totodată, pe cât posibil, orice consecință negativă semnificativă asupra sistemelor financiare ale statelor membre în care se situează entitățile sau filialele din grup, ale altor state membre sau ale Uniunii, inclusiv instabilitate financiară mai extinsă sau de evenimente la scara întregului sistem, cu scopul de a asigura continuitatea funcțiilor critice îndeplinite de acele entități din grup, atunci când acestea pot fi separate cu ușurință în timp util sau prin alte mijloace.</w:t>
            </w:r>
          </w:p>
          <w:p w14:paraId="606B5771" w14:textId="77777777" w:rsidR="00032F22" w:rsidRPr="00154588" w:rsidRDefault="00032F22" w:rsidP="008C12B4">
            <w:pPr>
              <w:jc w:val="both"/>
              <w:rPr>
                <w:bCs/>
                <w:sz w:val="20"/>
                <w:szCs w:val="20"/>
              </w:rPr>
            </w:pPr>
          </w:p>
          <w:p w14:paraId="1106664A" w14:textId="77777777" w:rsidR="00032F22" w:rsidRPr="00154588" w:rsidRDefault="00032F22" w:rsidP="008C12B4">
            <w:pPr>
              <w:jc w:val="both"/>
              <w:rPr>
                <w:bCs/>
                <w:sz w:val="20"/>
                <w:szCs w:val="20"/>
              </w:rPr>
            </w:pPr>
            <w:r w:rsidRPr="00154588">
              <w:rPr>
                <w:bCs/>
                <w:sz w:val="20"/>
                <w:szCs w:val="20"/>
              </w:rPr>
              <w:lastRenderedPageBreak/>
              <w:t>Autoritățile de rezoluție ale grupului notifică ABE în timp util dacă acestea consideră că rezoluția unui grup nu este posibilă.</w:t>
            </w:r>
          </w:p>
          <w:p w14:paraId="3D8EEF5D" w14:textId="77777777" w:rsidR="00032F22" w:rsidRPr="00154588" w:rsidRDefault="00032F22" w:rsidP="008C12B4">
            <w:pPr>
              <w:jc w:val="both"/>
              <w:rPr>
                <w:bCs/>
                <w:sz w:val="20"/>
                <w:szCs w:val="20"/>
              </w:rPr>
            </w:pPr>
          </w:p>
          <w:p w14:paraId="7EA80E73" w14:textId="77777777" w:rsidR="00032F22" w:rsidRPr="00154588" w:rsidRDefault="00032F22" w:rsidP="008C12B4">
            <w:pPr>
              <w:jc w:val="both"/>
              <w:rPr>
                <w:bCs/>
                <w:sz w:val="20"/>
                <w:szCs w:val="20"/>
              </w:rPr>
            </w:pPr>
            <w:r w:rsidRPr="00154588">
              <w:rPr>
                <w:bCs/>
                <w:sz w:val="20"/>
                <w:szCs w:val="20"/>
              </w:rPr>
              <w:t>Evaluarea posibilităților de soluționare a unui grup este luată în considerare în cadrul colegiilor de rezoluție menționate la articolul 88.</w:t>
            </w:r>
          </w:p>
          <w:p w14:paraId="70CD1974" w14:textId="77777777" w:rsidR="00032F22" w:rsidRPr="00154588" w:rsidRDefault="00032F22" w:rsidP="008C12B4">
            <w:pPr>
              <w:jc w:val="both"/>
              <w:rPr>
                <w:bCs/>
                <w:sz w:val="20"/>
                <w:szCs w:val="20"/>
              </w:rPr>
            </w:pPr>
            <w:r w:rsidRPr="00154588">
              <w:rPr>
                <w:bCs/>
                <w:sz w:val="20"/>
                <w:szCs w:val="20"/>
              </w:rPr>
              <w:t>(2) Pentru a evalua posibilitățile de soluționare a grupului, autoritățile de rezoluție examinează cel puțin elementele menționate în secțiunea C din anexă.</w:t>
            </w:r>
          </w:p>
          <w:p w14:paraId="2DFDDE12" w14:textId="77777777" w:rsidR="00032F22" w:rsidRPr="00154588" w:rsidRDefault="00032F22" w:rsidP="008C12B4">
            <w:pPr>
              <w:jc w:val="both"/>
              <w:rPr>
                <w:bCs/>
                <w:sz w:val="20"/>
                <w:szCs w:val="20"/>
              </w:rPr>
            </w:pPr>
            <w:r w:rsidRPr="00154588">
              <w:rPr>
                <w:bCs/>
                <w:sz w:val="20"/>
                <w:szCs w:val="20"/>
              </w:rPr>
              <w:t>(3)   Evaluarea posibilităților de soluționare a grupului în temeiul prezentului articol se realizează concomitent cu și în scopul elaborării și actualizării planurilor de rezoluție a grupului în conformitate cu articolul 12. Evaluarea se realizează în cadrul procedurilor de luare a deciziilor prevăzute la articolul 13.</w:t>
            </w:r>
          </w:p>
          <w:p w14:paraId="7F3D1EAB" w14:textId="77777777" w:rsidR="00032F22" w:rsidRPr="00154588" w:rsidRDefault="00032F22" w:rsidP="008C12B4">
            <w:pPr>
              <w:jc w:val="both"/>
              <w:rPr>
                <w:bCs/>
                <w:sz w:val="20"/>
                <w:szCs w:val="20"/>
              </w:rPr>
            </w:pPr>
            <w:r w:rsidRPr="00154588">
              <w:rPr>
                <w:bCs/>
                <w:sz w:val="20"/>
                <w:szCs w:val="20"/>
              </w:rPr>
              <w:t>(4)   Statele membre se asigură că, în cazul în care un grup este format din mai multe grupuri de rezoluție, autoritățile menționate la alineatul (1) evaluează posibilitatea de soluționare a fiecărui grup de rezoluție în conformitate cu prezentul articol.</w:t>
            </w:r>
          </w:p>
          <w:p w14:paraId="66CE86EC" w14:textId="77777777" w:rsidR="00032F22" w:rsidRPr="00154588" w:rsidRDefault="00032F22" w:rsidP="008C12B4">
            <w:pPr>
              <w:jc w:val="both"/>
              <w:rPr>
                <w:bCs/>
                <w:sz w:val="20"/>
                <w:szCs w:val="20"/>
              </w:rPr>
            </w:pPr>
          </w:p>
          <w:p w14:paraId="0E7676F8" w14:textId="1C1AEEDE" w:rsidR="00032F22" w:rsidRPr="00154588" w:rsidRDefault="00032F22" w:rsidP="008C12B4">
            <w:pPr>
              <w:jc w:val="both"/>
              <w:rPr>
                <w:bCs/>
                <w:sz w:val="20"/>
                <w:szCs w:val="20"/>
              </w:rPr>
            </w:pPr>
            <w:r w:rsidRPr="00154588">
              <w:rPr>
                <w:bCs/>
                <w:sz w:val="20"/>
                <w:szCs w:val="20"/>
              </w:rPr>
              <w:t>Evaluarea menționată la primul paragraf de la prezentul alineat se efectuează în plus față de evaluarea posibilității de soluționare a grupului în ansamblul său și se efectuează în cadrul procedurii decizionale prevăzute la articolul 13.</w:t>
            </w:r>
          </w:p>
        </w:tc>
        <w:tc>
          <w:tcPr>
            <w:tcW w:w="4819" w:type="dxa"/>
          </w:tcPr>
          <w:p w14:paraId="78A6A41A" w14:textId="77777777" w:rsidR="006A2A6A" w:rsidRPr="00154588" w:rsidRDefault="006A2A6A" w:rsidP="008C12B4">
            <w:pPr>
              <w:jc w:val="center"/>
              <w:rPr>
                <w:b/>
                <w:bCs/>
                <w:sz w:val="20"/>
                <w:szCs w:val="20"/>
                <w:vertAlign w:val="superscript"/>
              </w:rPr>
            </w:pPr>
            <w:r w:rsidRPr="00154588">
              <w:rPr>
                <w:b/>
                <w:bCs/>
                <w:sz w:val="20"/>
                <w:szCs w:val="20"/>
              </w:rPr>
              <w:lastRenderedPageBreak/>
              <w:t>Secțiunea 1</w:t>
            </w:r>
            <w:r w:rsidRPr="00154588">
              <w:rPr>
                <w:b/>
                <w:bCs/>
                <w:sz w:val="20"/>
                <w:szCs w:val="20"/>
                <w:vertAlign w:val="superscript"/>
              </w:rPr>
              <w:t>3</w:t>
            </w:r>
          </w:p>
          <w:p w14:paraId="2BF27561" w14:textId="77777777" w:rsidR="006A2A6A" w:rsidRPr="00154588" w:rsidRDefault="006A2A6A" w:rsidP="008C12B4">
            <w:pPr>
              <w:jc w:val="center"/>
              <w:rPr>
                <w:b/>
                <w:bCs/>
                <w:sz w:val="20"/>
                <w:szCs w:val="20"/>
              </w:rPr>
            </w:pPr>
            <w:r w:rsidRPr="00154588">
              <w:rPr>
                <w:b/>
                <w:bCs/>
                <w:sz w:val="20"/>
                <w:szCs w:val="20"/>
              </w:rPr>
              <w:t>Posibilitatea de soluționare a unui grup, în cazul în care Banca Națională a Moldovei este autoritate de rezoluție la nivel individual, după caz, autoritate de rezoluție a unui grup de rezoluție</w:t>
            </w:r>
          </w:p>
          <w:p w14:paraId="0F8DCE80" w14:textId="77777777" w:rsidR="006A2A6A" w:rsidRPr="00154588" w:rsidRDefault="006A2A6A" w:rsidP="008C12B4">
            <w:pPr>
              <w:jc w:val="both"/>
              <w:rPr>
                <w:sz w:val="20"/>
                <w:szCs w:val="20"/>
              </w:rPr>
            </w:pPr>
          </w:p>
          <w:p w14:paraId="69D6F831" w14:textId="77777777" w:rsidR="006A2A6A" w:rsidRPr="00154588" w:rsidRDefault="006A2A6A" w:rsidP="008C12B4">
            <w:pPr>
              <w:ind w:firstLine="709"/>
              <w:jc w:val="both"/>
              <w:rPr>
                <w:b/>
                <w:sz w:val="20"/>
                <w:szCs w:val="20"/>
              </w:rPr>
            </w:pPr>
            <w:r w:rsidRPr="00154588">
              <w:rPr>
                <w:b/>
                <w:bCs/>
                <w:sz w:val="20"/>
                <w:szCs w:val="20"/>
              </w:rPr>
              <w:t>Articolul 34</w:t>
            </w:r>
            <w:r w:rsidRPr="00154588">
              <w:rPr>
                <w:b/>
                <w:bCs/>
                <w:sz w:val="20"/>
                <w:szCs w:val="20"/>
                <w:vertAlign w:val="superscript"/>
              </w:rPr>
              <w:t>4</w:t>
            </w:r>
            <w:r w:rsidRPr="00154588">
              <w:rPr>
                <w:b/>
                <w:bCs/>
                <w:sz w:val="20"/>
                <w:szCs w:val="20"/>
              </w:rPr>
              <w:t>. –</w:t>
            </w:r>
            <w:r w:rsidRPr="00154588">
              <w:rPr>
                <w:sz w:val="20"/>
                <w:szCs w:val="20"/>
              </w:rPr>
              <w:t xml:space="preserve"> (1) Banca Națională a Moldovei, în calitate de autoritate de rezoluție la nivel individual, împreună cu autoritățile de rezoluție la nivel de grup și cu autoritățile de rezoluție ale celorlalte filiale, după consultarea supraveghetorului consolidant,</w:t>
            </w:r>
            <w:r w:rsidRPr="00154588" w:rsidDel="000215CA">
              <w:rPr>
                <w:sz w:val="20"/>
                <w:szCs w:val="20"/>
              </w:rPr>
              <w:t xml:space="preserve"> </w:t>
            </w:r>
            <w:r w:rsidRPr="00154588">
              <w:rPr>
                <w:sz w:val="20"/>
                <w:szCs w:val="20"/>
              </w:rPr>
              <w:t>autorităților competente ale celorlalte filiale, și autoritățile de rezoluție din  jurisdicțiile în care își au sediul sucursalele semnificative, în măsura în care este relevant pentru sucursalele semnificative respective, evaluează, în mod similar celor prevăzute la art.34</w:t>
            </w:r>
            <w:r w:rsidRPr="00154588">
              <w:rPr>
                <w:sz w:val="20"/>
                <w:szCs w:val="20"/>
                <w:vertAlign w:val="superscript"/>
              </w:rPr>
              <w:t>3</w:t>
            </w:r>
            <w:r w:rsidRPr="00154588">
              <w:rPr>
                <w:sz w:val="20"/>
                <w:szCs w:val="20"/>
              </w:rPr>
              <w:t>, măsura în care soluționarea unui grup este posibilă.</w:t>
            </w:r>
          </w:p>
          <w:p w14:paraId="76FC6BCE" w14:textId="77777777" w:rsidR="006A2A6A" w:rsidRPr="00154588" w:rsidRDefault="006A2A6A" w:rsidP="008C12B4">
            <w:pPr>
              <w:ind w:firstLine="709"/>
              <w:jc w:val="both"/>
              <w:rPr>
                <w:b/>
                <w:sz w:val="20"/>
                <w:szCs w:val="20"/>
                <w:lang w:val="ro-MD" w:eastAsia="ro-MD"/>
              </w:rPr>
            </w:pPr>
            <w:r w:rsidRPr="00154588">
              <w:rPr>
                <w:sz w:val="20"/>
                <w:szCs w:val="20"/>
              </w:rPr>
              <w:t>(2) În cazul în care un grup este format din mai multe grupuri de rezoluție, Banca Națională a Moldovei, în calitate de autoritate de rezoluție a unei entități de rezoluție, evaluează posibilitatea de soluționare a grupului de rezoluție a căruia întreprindere mamă este respectiva entitate de rezoluție, în mod similar celor prevăzute la art.34</w:t>
            </w:r>
            <w:r w:rsidRPr="00154588">
              <w:rPr>
                <w:sz w:val="20"/>
                <w:szCs w:val="20"/>
                <w:vertAlign w:val="superscript"/>
              </w:rPr>
              <w:t>3</w:t>
            </w:r>
            <w:r w:rsidRPr="00154588">
              <w:rPr>
                <w:sz w:val="20"/>
                <w:szCs w:val="20"/>
              </w:rPr>
              <w:t>.</w:t>
            </w:r>
          </w:p>
          <w:p w14:paraId="71BED318" w14:textId="5A4D7D91" w:rsidR="006A2A6A" w:rsidRPr="00154588" w:rsidRDefault="006A2A6A" w:rsidP="008C12B4">
            <w:pPr>
              <w:jc w:val="both"/>
              <w:rPr>
                <w:sz w:val="20"/>
                <w:szCs w:val="20"/>
                <w:lang w:val="ro-MD"/>
              </w:rPr>
            </w:pPr>
          </w:p>
        </w:tc>
        <w:tc>
          <w:tcPr>
            <w:tcW w:w="2552" w:type="dxa"/>
          </w:tcPr>
          <w:p w14:paraId="40B5391A" w14:textId="1182A914" w:rsidR="006A2A6A" w:rsidRPr="00154588" w:rsidRDefault="00F2760F" w:rsidP="008C12B4">
            <w:pPr>
              <w:jc w:val="both"/>
              <w:rPr>
                <w:bCs/>
                <w:sz w:val="20"/>
                <w:szCs w:val="20"/>
              </w:rPr>
            </w:pPr>
            <w:r w:rsidRPr="00154588">
              <w:rPr>
                <w:bCs/>
                <w:sz w:val="20"/>
                <w:szCs w:val="20"/>
              </w:rPr>
              <w:t>Compatibil</w:t>
            </w:r>
          </w:p>
        </w:tc>
        <w:tc>
          <w:tcPr>
            <w:tcW w:w="3118" w:type="dxa"/>
          </w:tcPr>
          <w:p w14:paraId="035C7E2E" w14:textId="285C0FA2" w:rsidR="006A2A6A" w:rsidRPr="00154588" w:rsidRDefault="00417602" w:rsidP="008C12B4">
            <w:pPr>
              <w:jc w:val="both"/>
              <w:rPr>
                <w:bCs/>
                <w:sz w:val="20"/>
                <w:szCs w:val="20"/>
              </w:rPr>
            </w:pPr>
            <w:r w:rsidRPr="00154588">
              <w:rPr>
                <w:bCs/>
                <w:sz w:val="20"/>
                <w:szCs w:val="20"/>
              </w:rPr>
              <w:t>Articolul 16 este tran</w:t>
            </w:r>
            <w:r w:rsidR="00032F22" w:rsidRPr="00154588">
              <w:rPr>
                <w:bCs/>
                <w:sz w:val="20"/>
                <w:szCs w:val="20"/>
              </w:rPr>
              <w:t>s</w:t>
            </w:r>
            <w:r w:rsidRPr="00154588">
              <w:rPr>
                <w:bCs/>
                <w:sz w:val="20"/>
                <w:szCs w:val="20"/>
              </w:rPr>
              <w:t xml:space="preserve">pus in L 232/2016 prin doua sectiuni, cu referire la BNM ca autoritate de rezolutie la nivel de grup </w:t>
            </w:r>
            <w:r w:rsidR="00032F22" w:rsidRPr="00154588">
              <w:rPr>
                <w:bCs/>
                <w:sz w:val="20"/>
                <w:szCs w:val="20"/>
              </w:rPr>
              <w:t>ș</w:t>
            </w:r>
            <w:r w:rsidRPr="00154588">
              <w:rPr>
                <w:bCs/>
                <w:sz w:val="20"/>
                <w:szCs w:val="20"/>
              </w:rPr>
              <w:t>i la nivel individual sau al unui grup de rezolutie</w:t>
            </w:r>
          </w:p>
        </w:tc>
      </w:tr>
      <w:tr w:rsidR="006A2A6A" w:rsidRPr="00154588" w14:paraId="61795E35" w14:textId="77777777" w:rsidTr="00D15C1B">
        <w:trPr>
          <w:jc w:val="center"/>
        </w:trPr>
        <w:tc>
          <w:tcPr>
            <w:tcW w:w="4957" w:type="dxa"/>
            <w:gridSpan w:val="2"/>
          </w:tcPr>
          <w:p w14:paraId="07E0B714" w14:textId="77777777" w:rsidR="006A2A6A" w:rsidRPr="00154588" w:rsidRDefault="006A2A6A" w:rsidP="008C12B4">
            <w:pPr>
              <w:rPr>
                <w:b/>
                <w:sz w:val="20"/>
                <w:szCs w:val="20"/>
              </w:rPr>
            </w:pPr>
            <w:r w:rsidRPr="00154588">
              <w:rPr>
                <w:b/>
                <w:sz w:val="20"/>
                <w:szCs w:val="20"/>
              </w:rPr>
              <w:t>Articolul 16a</w:t>
            </w:r>
          </w:p>
          <w:p w14:paraId="52DC1F34" w14:textId="77777777" w:rsidR="006A2A6A" w:rsidRPr="00154588" w:rsidRDefault="006A2A6A" w:rsidP="008C12B4">
            <w:pPr>
              <w:rPr>
                <w:b/>
                <w:sz w:val="20"/>
                <w:szCs w:val="20"/>
              </w:rPr>
            </w:pPr>
          </w:p>
          <w:p w14:paraId="49E8F97C" w14:textId="61A5FCC8" w:rsidR="006A2A6A" w:rsidRPr="00154588" w:rsidRDefault="006A2A6A" w:rsidP="008C12B4">
            <w:pPr>
              <w:rPr>
                <w:b/>
                <w:sz w:val="20"/>
                <w:szCs w:val="20"/>
              </w:rPr>
            </w:pPr>
            <w:r w:rsidRPr="00154588">
              <w:rPr>
                <w:b/>
                <w:sz w:val="20"/>
                <w:szCs w:val="20"/>
              </w:rPr>
              <w:t>Competența de a interzice anumite distribuiri</w:t>
            </w:r>
          </w:p>
        </w:tc>
        <w:tc>
          <w:tcPr>
            <w:tcW w:w="4819" w:type="dxa"/>
          </w:tcPr>
          <w:p w14:paraId="6E4F7167" w14:textId="77777777" w:rsidR="006A2A6A" w:rsidRPr="00154588" w:rsidRDefault="006A2A6A" w:rsidP="008C12B4">
            <w:pPr>
              <w:jc w:val="both"/>
              <w:rPr>
                <w:bCs/>
                <w:sz w:val="20"/>
                <w:szCs w:val="20"/>
              </w:rPr>
            </w:pPr>
          </w:p>
        </w:tc>
        <w:tc>
          <w:tcPr>
            <w:tcW w:w="2552" w:type="dxa"/>
          </w:tcPr>
          <w:p w14:paraId="3C10B058" w14:textId="77777777" w:rsidR="006A2A6A" w:rsidRPr="00154588" w:rsidRDefault="006A2A6A" w:rsidP="008C12B4">
            <w:pPr>
              <w:jc w:val="both"/>
              <w:rPr>
                <w:bCs/>
                <w:sz w:val="20"/>
                <w:szCs w:val="20"/>
              </w:rPr>
            </w:pPr>
          </w:p>
        </w:tc>
        <w:tc>
          <w:tcPr>
            <w:tcW w:w="3118" w:type="dxa"/>
          </w:tcPr>
          <w:p w14:paraId="6749ECEB" w14:textId="77777777" w:rsidR="006A2A6A" w:rsidRPr="00154588" w:rsidRDefault="006A2A6A" w:rsidP="008C12B4">
            <w:pPr>
              <w:jc w:val="both"/>
              <w:rPr>
                <w:bCs/>
                <w:sz w:val="20"/>
                <w:szCs w:val="20"/>
              </w:rPr>
            </w:pPr>
          </w:p>
        </w:tc>
      </w:tr>
      <w:tr w:rsidR="006A2A6A" w:rsidRPr="00154588" w14:paraId="1E27FE84" w14:textId="77777777" w:rsidTr="00D15C1B">
        <w:trPr>
          <w:jc w:val="center"/>
        </w:trPr>
        <w:tc>
          <w:tcPr>
            <w:tcW w:w="4957" w:type="dxa"/>
            <w:gridSpan w:val="2"/>
          </w:tcPr>
          <w:p w14:paraId="3E8DBB57" w14:textId="77777777" w:rsidR="006A2A6A" w:rsidRPr="00154588" w:rsidRDefault="006A2A6A" w:rsidP="008C12B4">
            <w:pPr>
              <w:jc w:val="both"/>
              <w:rPr>
                <w:bCs/>
                <w:sz w:val="20"/>
                <w:szCs w:val="20"/>
              </w:rPr>
            </w:pPr>
            <w:r w:rsidRPr="00154588">
              <w:rPr>
                <w:bCs/>
                <w:sz w:val="20"/>
                <w:szCs w:val="20"/>
              </w:rPr>
              <w:t>(1)   În cazul în care o entitate se află în situația în care respectă cerința amortizorului combinat atunci când aceasta este luată în considerare în plus față de fiecare dintre cerințele menționate la articolul 141a alineatul (1) literele (a), (b) și (c) din Directiva 2013/36/UE, însă nu respectă cerința amortizorului combinat atunci când aceasta este luată în considerare în plus față de cerințele menționate la articolele 45c și 45d din prezenta directivă, atunci când sunt calculate în conformitate cu articolul 45 alineatul (2) litera (a) din prezenta directivă, autoritatea de rezoluție a entității respective are competența, în conformitate cu alineatele (2) și (3) de la prezentul articol, de a interzice entității să distribuie mai mult decât suma maxim distribuibilă aferentă cerinței minime de fonduri proprii și datorii eligibile („M-MDA”), calculată în conformitate cu alineatul (4) de la prezentul articol, prin oricare dintre următoarele măsuri:</w:t>
            </w:r>
          </w:p>
          <w:p w14:paraId="4008EB56" w14:textId="77777777" w:rsidR="006A2A6A" w:rsidRPr="00154588" w:rsidRDefault="006A2A6A" w:rsidP="008C12B4">
            <w:pPr>
              <w:jc w:val="both"/>
              <w:rPr>
                <w:bCs/>
                <w:sz w:val="20"/>
                <w:szCs w:val="20"/>
              </w:rPr>
            </w:pPr>
          </w:p>
          <w:p w14:paraId="10DEAD78" w14:textId="5234DFDC" w:rsidR="006A2A6A" w:rsidRPr="00154588" w:rsidRDefault="006A2A6A" w:rsidP="008C12B4">
            <w:pPr>
              <w:jc w:val="both"/>
              <w:rPr>
                <w:bCs/>
                <w:sz w:val="20"/>
                <w:szCs w:val="20"/>
              </w:rPr>
            </w:pPr>
            <w:r w:rsidRPr="00154588">
              <w:rPr>
                <w:bCs/>
                <w:sz w:val="20"/>
                <w:szCs w:val="20"/>
              </w:rPr>
              <w:t>(a) efectuarea unei distribuiri în legătură cu fondurile proprii de nivel 1 de bază;</w:t>
            </w:r>
          </w:p>
          <w:p w14:paraId="49B18752" w14:textId="77777777" w:rsidR="006A2A6A" w:rsidRPr="00154588" w:rsidRDefault="006A2A6A" w:rsidP="008C12B4">
            <w:pPr>
              <w:jc w:val="both"/>
              <w:rPr>
                <w:bCs/>
                <w:sz w:val="20"/>
                <w:szCs w:val="20"/>
              </w:rPr>
            </w:pPr>
          </w:p>
          <w:p w14:paraId="545B8A19" w14:textId="7226B684" w:rsidR="006A2A6A" w:rsidRPr="00154588" w:rsidRDefault="006A2A6A" w:rsidP="008C12B4">
            <w:pPr>
              <w:jc w:val="both"/>
              <w:rPr>
                <w:bCs/>
                <w:sz w:val="20"/>
                <w:szCs w:val="20"/>
              </w:rPr>
            </w:pPr>
            <w:r w:rsidRPr="00154588">
              <w:rPr>
                <w:bCs/>
                <w:sz w:val="20"/>
                <w:szCs w:val="20"/>
              </w:rPr>
              <w:t>(b) crearea unei obligații de a plăti o remunerație variabilă sau beneficii discreționare de tipul pensiilor ori a unei obligații de a plăti o remunerație variabilă dacă obligația de plată a fost creată într-un moment când entitatea nu îndeplinea cerința amortizorului combinat; sau</w:t>
            </w:r>
          </w:p>
          <w:p w14:paraId="56CDD1EC" w14:textId="77777777" w:rsidR="006A2A6A" w:rsidRPr="00154588" w:rsidRDefault="006A2A6A" w:rsidP="008C12B4">
            <w:pPr>
              <w:jc w:val="both"/>
              <w:rPr>
                <w:bCs/>
                <w:sz w:val="20"/>
                <w:szCs w:val="20"/>
              </w:rPr>
            </w:pPr>
          </w:p>
          <w:p w14:paraId="30E1889B" w14:textId="7D48EFDC" w:rsidR="006A2A6A" w:rsidRPr="00154588" w:rsidRDefault="006A2A6A" w:rsidP="008C12B4">
            <w:pPr>
              <w:jc w:val="both"/>
              <w:rPr>
                <w:bCs/>
                <w:sz w:val="20"/>
                <w:szCs w:val="20"/>
              </w:rPr>
            </w:pPr>
            <w:r w:rsidRPr="00154588">
              <w:rPr>
                <w:bCs/>
                <w:sz w:val="20"/>
                <w:szCs w:val="20"/>
              </w:rPr>
              <w:t>(c) efectuarea de plăți legate de instrumente de fonduri proprii de nivel 1 suplimentar.</w:t>
            </w:r>
          </w:p>
          <w:p w14:paraId="57427075" w14:textId="77777777" w:rsidR="006A2A6A" w:rsidRPr="00154588" w:rsidRDefault="006A2A6A" w:rsidP="008C12B4">
            <w:pPr>
              <w:jc w:val="both"/>
              <w:rPr>
                <w:bCs/>
                <w:sz w:val="20"/>
                <w:szCs w:val="20"/>
              </w:rPr>
            </w:pPr>
          </w:p>
          <w:p w14:paraId="678270AE" w14:textId="2AE123A7" w:rsidR="006A2A6A" w:rsidRPr="00154588" w:rsidRDefault="006A2A6A" w:rsidP="008C12B4">
            <w:pPr>
              <w:jc w:val="both"/>
              <w:rPr>
                <w:bCs/>
                <w:sz w:val="20"/>
                <w:szCs w:val="20"/>
              </w:rPr>
            </w:pPr>
            <w:r w:rsidRPr="00154588">
              <w:rPr>
                <w:bCs/>
                <w:sz w:val="20"/>
                <w:szCs w:val="20"/>
              </w:rPr>
              <w:t>În cazul în care o entitate se află în situația menționată la primul paragraf, aceasta informează imediat autoritatea de rezoluție cu privire la neconformitatea respectivă.</w:t>
            </w:r>
          </w:p>
        </w:tc>
        <w:tc>
          <w:tcPr>
            <w:tcW w:w="4819" w:type="dxa"/>
          </w:tcPr>
          <w:p w14:paraId="1D6029BD" w14:textId="77777777" w:rsidR="006A2A6A" w:rsidRPr="00154588" w:rsidRDefault="006A2A6A" w:rsidP="008C12B4">
            <w:pPr>
              <w:jc w:val="center"/>
              <w:rPr>
                <w:b/>
                <w:bCs/>
                <w:sz w:val="20"/>
                <w:szCs w:val="20"/>
                <w:lang w:eastAsia="ro-MD"/>
              </w:rPr>
            </w:pPr>
            <w:r w:rsidRPr="00154588">
              <w:rPr>
                <w:b/>
                <w:sz w:val="20"/>
                <w:szCs w:val="20"/>
              </w:rPr>
              <w:lastRenderedPageBreak/>
              <w:t xml:space="preserve">Secţiunea </w:t>
            </w:r>
            <w:r w:rsidRPr="00154588">
              <w:rPr>
                <w:b/>
                <w:bCs/>
                <w:sz w:val="20"/>
                <w:szCs w:val="20"/>
                <w:lang w:eastAsia="ro-MD"/>
              </w:rPr>
              <w:t>1</w:t>
            </w:r>
            <w:r w:rsidRPr="00154588">
              <w:rPr>
                <w:b/>
                <w:bCs/>
                <w:sz w:val="20"/>
                <w:szCs w:val="20"/>
                <w:vertAlign w:val="superscript"/>
                <w:lang w:eastAsia="ro-MD"/>
              </w:rPr>
              <w:t>1</w:t>
            </w:r>
          </w:p>
          <w:p w14:paraId="05A978F7" w14:textId="3D422DF7" w:rsidR="006A2A6A" w:rsidRPr="00154588" w:rsidRDefault="006A2A6A" w:rsidP="008C12B4">
            <w:pPr>
              <w:jc w:val="center"/>
              <w:rPr>
                <w:b/>
                <w:bCs/>
                <w:sz w:val="20"/>
                <w:szCs w:val="20"/>
                <w:lang w:eastAsia="ro-MD"/>
              </w:rPr>
            </w:pPr>
            <w:r w:rsidRPr="00154588">
              <w:rPr>
                <w:b/>
                <w:bCs/>
                <w:sz w:val="20"/>
                <w:szCs w:val="20"/>
                <w:lang w:eastAsia="ro-MD"/>
              </w:rPr>
              <w:t>Competenţa de a interzice anumite distribuiri</w:t>
            </w:r>
            <w:r w:rsidRPr="00154588">
              <w:rPr>
                <w:sz w:val="20"/>
                <w:szCs w:val="20"/>
                <w:lang w:eastAsia="ro-MD"/>
              </w:rPr>
              <w:t> </w:t>
            </w:r>
          </w:p>
          <w:p w14:paraId="519250A1" w14:textId="77777777" w:rsidR="006A2A6A" w:rsidRPr="00154588" w:rsidRDefault="006A2A6A" w:rsidP="008C12B4">
            <w:pPr>
              <w:ind w:firstLine="567"/>
              <w:jc w:val="both"/>
              <w:rPr>
                <w:sz w:val="20"/>
                <w:szCs w:val="20"/>
                <w:lang w:eastAsia="ro-MD"/>
              </w:rPr>
            </w:pPr>
            <w:r w:rsidRPr="00154588">
              <w:rPr>
                <w:b/>
                <w:bCs/>
                <w:sz w:val="20"/>
                <w:szCs w:val="20"/>
                <w:lang w:eastAsia="ro-MD"/>
              </w:rPr>
              <w:t>Articolul 34</w:t>
            </w:r>
            <w:r w:rsidRPr="00154588">
              <w:rPr>
                <w:b/>
                <w:bCs/>
                <w:sz w:val="20"/>
                <w:szCs w:val="20"/>
                <w:vertAlign w:val="superscript"/>
                <w:lang w:eastAsia="ro-MD"/>
              </w:rPr>
              <w:t>1</w:t>
            </w:r>
            <w:r w:rsidRPr="00154588">
              <w:rPr>
                <w:b/>
                <w:bCs/>
                <w:sz w:val="20"/>
                <w:szCs w:val="20"/>
                <w:lang w:eastAsia="ro-MD"/>
              </w:rPr>
              <w:t>.</w:t>
            </w:r>
            <w:r w:rsidRPr="00154588">
              <w:rPr>
                <w:sz w:val="20"/>
                <w:szCs w:val="20"/>
                <w:lang w:eastAsia="ro-MD"/>
              </w:rPr>
              <w:t xml:space="preserve"> – (1) În cazul în care o </w:t>
            </w:r>
            <w:bookmarkStart w:id="4" w:name="_Hlk223085099"/>
            <w:r w:rsidRPr="00154588">
              <w:rPr>
                <w:sz w:val="20"/>
                <w:szCs w:val="20"/>
                <w:lang w:eastAsia="ro-MD"/>
              </w:rPr>
              <w:t>instituție de credit sau o entitate prevăzută la art.1 alin.(1) lit.c) și d</w:t>
            </w:r>
            <w:bookmarkEnd w:id="4"/>
            <w:r w:rsidRPr="00154588">
              <w:rPr>
                <w:sz w:val="20"/>
                <w:szCs w:val="20"/>
                <w:lang w:eastAsia="ro-MD"/>
              </w:rPr>
              <w:t>)  se află în situaţia în care respectă cerinţa amortizorului combinat atunci când aceasta este luată în considerare în plus faţă de fiecare dintre cerinţele de fonduri proprii, însă nu respectă cerinţa de amortizor combinat atunci când aceasta este luată în considerare în plus faţă de cerinţele prevăzute la art.</w:t>
            </w:r>
            <w:bookmarkStart w:id="5" w:name="_Hlk223085206"/>
            <w:r w:rsidRPr="00154588">
              <w:rPr>
                <w:sz w:val="20"/>
                <w:szCs w:val="20"/>
                <w:lang w:eastAsia="ro-MD"/>
              </w:rPr>
              <w:t>167, art.167</w:t>
            </w:r>
            <w:r w:rsidRPr="00154588">
              <w:rPr>
                <w:sz w:val="20"/>
                <w:szCs w:val="20"/>
                <w:vertAlign w:val="superscript"/>
                <w:lang w:eastAsia="ro-MD"/>
              </w:rPr>
              <w:t>5</w:t>
            </w:r>
            <w:r w:rsidRPr="00154588">
              <w:rPr>
                <w:sz w:val="20"/>
                <w:szCs w:val="20"/>
                <w:lang w:eastAsia="ro-MD"/>
              </w:rPr>
              <w:t>-167</w:t>
            </w:r>
            <w:r w:rsidRPr="00154588">
              <w:rPr>
                <w:sz w:val="20"/>
                <w:szCs w:val="20"/>
                <w:vertAlign w:val="superscript"/>
                <w:lang w:eastAsia="ro-MD"/>
              </w:rPr>
              <w:t xml:space="preserve">12 </w:t>
            </w:r>
            <w:r w:rsidRPr="00154588">
              <w:rPr>
                <w:sz w:val="20"/>
                <w:szCs w:val="20"/>
                <w:lang w:eastAsia="ro-MD"/>
              </w:rPr>
              <w:t>și art.167</w:t>
            </w:r>
            <w:r w:rsidRPr="00154588">
              <w:rPr>
                <w:sz w:val="20"/>
                <w:szCs w:val="20"/>
                <w:vertAlign w:val="superscript"/>
                <w:lang w:eastAsia="ro-MD"/>
              </w:rPr>
              <w:t>13</w:t>
            </w:r>
            <w:r w:rsidRPr="00154588">
              <w:rPr>
                <w:sz w:val="20"/>
                <w:szCs w:val="20"/>
                <w:lang w:eastAsia="ro-MD"/>
              </w:rPr>
              <w:t xml:space="preserve">, atunci când sunt calculate în conformitate cu art.164, alin.(1) lit.a), </w:t>
            </w:r>
            <w:bookmarkEnd w:id="5"/>
            <w:r w:rsidRPr="00154588">
              <w:rPr>
                <w:sz w:val="20"/>
                <w:szCs w:val="20"/>
                <w:lang w:eastAsia="ro-MD"/>
              </w:rPr>
              <w:t xml:space="preserve">Banca Naţională a Moldovei, în calitate de autoritate de rezoluţie, are competenţa de a interzice instituției de credit sau o entitate prevăzută la art.1 alin.(1) lit.c) și d)  în cauză să distribuie mai mult decât suma maximă distribuibilă, aferentă cerinţei minime de fonduri proprii </w:t>
            </w:r>
            <w:r w:rsidRPr="00154588">
              <w:rPr>
                <w:sz w:val="20"/>
                <w:szCs w:val="20"/>
                <w:lang w:eastAsia="ro-MD"/>
              </w:rPr>
              <w:lastRenderedPageBreak/>
              <w:t xml:space="preserve">şi datorii eligibile, calculate conform </w:t>
            </w:r>
            <w:bookmarkStart w:id="6" w:name="_Hlk223085308"/>
            <w:r w:rsidRPr="00154588">
              <w:rPr>
                <w:sz w:val="20"/>
                <w:szCs w:val="20"/>
                <w:lang w:eastAsia="ro-MD"/>
              </w:rPr>
              <w:t>alin.(8) din prezentul articol</w:t>
            </w:r>
            <w:bookmarkEnd w:id="6"/>
            <w:r w:rsidRPr="00154588">
              <w:rPr>
                <w:sz w:val="20"/>
                <w:szCs w:val="20"/>
                <w:lang w:eastAsia="ro-MD"/>
              </w:rPr>
              <w:t>, prin oricare dintre următoarele modalităţi:</w:t>
            </w:r>
          </w:p>
          <w:p w14:paraId="752C1377" w14:textId="77777777" w:rsidR="006A2A6A" w:rsidRPr="00154588" w:rsidRDefault="006A2A6A" w:rsidP="008C12B4">
            <w:pPr>
              <w:ind w:firstLine="567"/>
              <w:jc w:val="both"/>
              <w:rPr>
                <w:sz w:val="20"/>
                <w:szCs w:val="20"/>
                <w:lang w:eastAsia="ro-MD"/>
              </w:rPr>
            </w:pPr>
            <w:r w:rsidRPr="00154588">
              <w:rPr>
                <w:sz w:val="20"/>
                <w:szCs w:val="20"/>
                <w:lang w:eastAsia="ro-MD"/>
              </w:rPr>
              <w:t>a) efectuarea unei distribuiri în legătură cu fondurile proprii de nivelul 1 de bază;</w:t>
            </w:r>
          </w:p>
          <w:p w14:paraId="36F3BA69" w14:textId="77777777" w:rsidR="006A2A6A" w:rsidRPr="00154588" w:rsidRDefault="006A2A6A" w:rsidP="008C12B4">
            <w:pPr>
              <w:ind w:firstLine="567"/>
              <w:jc w:val="both"/>
              <w:rPr>
                <w:sz w:val="20"/>
                <w:szCs w:val="20"/>
                <w:lang w:eastAsia="ro-MD"/>
              </w:rPr>
            </w:pPr>
            <w:r w:rsidRPr="00154588">
              <w:rPr>
                <w:sz w:val="20"/>
                <w:szCs w:val="20"/>
                <w:lang w:eastAsia="ro-MD"/>
              </w:rPr>
              <w:t>b) crearea unei obligaţii de a plăti o remuneraţie variabilă sau beneficii discreţionare de tipul pensiilor ori a unei obligaţii de a plăti o remuneraţie variabilă, dacă obligaţia de plată a fost creată într-un moment în care instituția de credit sau entitatea prevăzută la art.1 alin.(1) lit.c) și d)  nu îndeplinea cerinţa amortizorului combinat; sau</w:t>
            </w:r>
          </w:p>
          <w:p w14:paraId="3F43237D" w14:textId="77777777" w:rsidR="006A2A6A" w:rsidRPr="00154588" w:rsidRDefault="006A2A6A" w:rsidP="008C12B4">
            <w:pPr>
              <w:ind w:firstLine="567"/>
              <w:jc w:val="both"/>
              <w:rPr>
                <w:sz w:val="20"/>
                <w:szCs w:val="20"/>
                <w:lang w:eastAsia="ro-MD"/>
              </w:rPr>
            </w:pPr>
            <w:r w:rsidRPr="00154588">
              <w:rPr>
                <w:sz w:val="20"/>
                <w:szCs w:val="20"/>
                <w:lang w:eastAsia="ro-MD"/>
              </w:rPr>
              <w:t>c) efectuarea plăţilor legate de instrumentele de fonduri proprii de nivelul 1 suplimentar.</w:t>
            </w:r>
          </w:p>
          <w:p w14:paraId="7E972C4A" w14:textId="77777777" w:rsidR="006A2A6A" w:rsidRPr="00154588" w:rsidRDefault="006A2A6A" w:rsidP="008C12B4">
            <w:pPr>
              <w:ind w:firstLine="567"/>
              <w:jc w:val="both"/>
              <w:rPr>
                <w:sz w:val="20"/>
                <w:szCs w:val="20"/>
                <w:lang w:eastAsia="ro-MD"/>
              </w:rPr>
            </w:pPr>
            <w:r w:rsidRPr="00154588">
              <w:rPr>
                <w:sz w:val="20"/>
                <w:szCs w:val="20"/>
                <w:lang w:eastAsia="ro-MD"/>
              </w:rPr>
              <w:t xml:space="preserve">(2) În cazul în care o instituție de credit sau o entitate prevăzută la art.1 alin. (1) lit.c) și d) se află în situația prevăzută la alin.(1), aceasta notifică imediat Banca Națională a Moldovei, în calitate de autoritate de rezoluție, cu privire la aceasta. </w:t>
            </w:r>
          </w:p>
          <w:p w14:paraId="659F7DAC" w14:textId="77777777" w:rsidR="006A2A6A" w:rsidRPr="00154588" w:rsidRDefault="006A2A6A" w:rsidP="008C12B4">
            <w:pPr>
              <w:jc w:val="both"/>
              <w:rPr>
                <w:bCs/>
                <w:sz w:val="20"/>
                <w:szCs w:val="20"/>
              </w:rPr>
            </w:pPr>
          </w:p>
        </w:tc>
        <w:tc>
          <w:tcPr>
            <w:tcW w:w="2552" w:type="dxa"/>
          </w:tcPr>
          <w:p w14:paraId="02660FAE" w14:textId="6809BD42"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20743079" w14:textId="77777777" w:rsidR="006A2A6A" w:rsidRPr="00154588" w:rsidRDefault="006A2A6A" w:rsidP="008C12B4">
            <w:pPr>
              <w:jc w:val="both"/>
              <w:rPr>
                <w:bCs/>
                <w:sz w:val="20"/>
                <w:szCs w:val="20"/>
              </w:rPr>
            </w:pPr>
          </w:p>
        </w:tc>
      </w:tr>
      <w:tr w:rsidR="006A2A6A" w:rsidRPr="00154588" w14:paraId="07335D63" w14:textId="77777777" w:rsidTr="00D15C1B">
        <w:trPr>
          <w:jc w:val="center"/>
        </w:trPr>
        <w:tc>
          <w:tcPr>
            <w:tcW w:w="4957" w:type="dxa"/>
            <w:gridSpan w:val="2"/>
          </w:tcPr>
          <w:p w14:paraId="2474BD6E" w14:textId="77777777" w:rsidR="006A2A6A" w:rsidRPr="00154588" w:rsidRDefault="006A2A6A" w:rsidP="008C12B4">
            <w:pPr>
              <w:jc w:val="both"/>
              <w:rPr>
                <w:bCs/>
                <w:sz w:val="20"/>
                <w:szCs w:val="20"/>
              </w:rPr>
            </w:pPr>
            <w:r w:rsidRPr="00154588">
              <w:rPr>
                <w:bCs/>
                <w:sz w:val="20"/>
                <w:szCs w:val="20"/>
              </w:rPr>
              <w:t>(2)   În situația menționată la alineatul (1), autoritatea de rezoluție a entității, după consultarea autorității competente, evaluează fără întârzieri inutile dacă să își exercite sau nu competența menționată la alineatul (1), ținând seama de toate elementele următoare:</w:t>
            </w:r>
          </w:p>
          <w:p w14:paraId="72749044" w14:textId="77777777" w:rsidR="006A2A6A" w:rsidRPr="00154588" w:rsidRDefault="006A2A6A" w:rsidP="008C12B4">
            <w:pPr>
              <w:jc w:val="both"/>
              <w:rPr>
                <w:bCs/>
                <w:sz w:val="20"/>
                <w:szCs w:val="20"/>
              </w:rPr>
            </w:pPr>
          </w:p>
          <w:p w14:paraId="1FD404F8" w14:textId="3513011E" w:rsidR="006A2A6A" w:rsidRPr="00154588" w:rsidRDefault="006A2A6A" w:rsidP="008C12B4">
            <w:pPr>
              <w:jc w:val="both"/>
              <w:rPr>
                <w:bCs/>
                <w:sz w:val="20"/>
                <w:szCs w:val="20"/>
              </w:rPr>
            </w:pPr>
            <w:r w:rsidRPr="00154588">
              <w:rPr>
                <w:bCs/>
                <w:sz w:val="20"/>
                <w:szCs w:val="20"/>
              </w:rPr>
              <w:t>(a) motivul, durata și amploarea neconformității, precum și impactul acesteia asupra posibilității de soluționare;</w:t>
            </w:r>
          </w:p>
          <w:p w14:paraId="23CF5C70" w14:textId="77777777" w:rsidR="006A2A6A" w:rsidRPr="00154588" w:rsidRDefault="006A2A6A" w:rsidP="008C12B4">
            <w:pPr>
              <w:jc w:val="both"/>
              <w:rPr>
                <w:bCs/>
                <w:sz w:val="20"/>
                <w:szCs w:val="20"/>
              </w:rPr>
            </w:pPr>
          </w:p>
          <w:p w14:paraId="2EA45CA7" w14:textId="2BDB9A78" w:rsidR="006A2A6A" w:rsidRPr="00154588" w:rsidRDefault="006A2A6A" w:rsidP="008C12B4">
            <w:pPr>
              <w:jc w:val="both"/>
              <w:rPr>
                <w:bCs/>
                <w:sz w:val="20"/>
                <w:szCs w:val="20"/>
              </w:rPr>
            </w:pPr>
            <w:r w:rsidRPr="00154588">
              <w:rPr>
                <w:bCs/>
                <w:sz w:val="20"/>
                <w:szCs w:val="20"/>
              </w:rPr>
              <w:t>(b) evoluția situației financiare a entității și probabilitatea ca aceasta să îndeplinească, în viitorul apropiat, condiția menționată la articolul 32 alineatul (1) litera (a);</w:t>
            </w:r>
          </w:p>
          <w:p w14:paraId="728350DA" w14:textId="77777777" w:rsidR="006A2A6A" w:rsidRPr="00154588" w:rsidRDefault="006A2A6A" w:rsidP="008C12B4">
            <w:pPr>
              <w:jc w:val="both"/>
              <w:rPr>
                <w:bCs/>
                <w:sz w:val="20"/>
                <w:szCs w:val="20"/>
              </w:rPr>
            </w:pPr>
          </w:p>
          <w:p w14:paraId="4959969A" w14:textId="73C01B13" w:rsidR="006A2A6A" w:rsidRPr="00154588" w:rsidRDefault="006A2A6A" w:rsidP="008C12B4">
            <w:pPr>
              <w:jc w:val="both"/>
              <w:rPr>
                <w:bCs/>
                <w:sz w:val="20"/>
                <w:szCs w:val="20"/>
              </w:rPr>
            </w:pPr>
            <w:r w:rsidRPr="00154588">
              <w:rPr>
                <w:bCs/>
                <w:sz w:val="20"/>
                <w:szCs w:val="20"/>
              </w:rPr>
              <w:t>(c) eventualitatea ca entitatea să fie capabilă să asigure conformitatea cu cerințele menționate la alineatul (1) într-un interval de timp rezonabil;</w:t>
            </w:r>
          </w:p>
          <w:p w14:paraId="0CF375E7" w14:textId="77777777" w:rsidR="006A2A6A" w:rsidRPr="00154588" w:rsidRDefault="006A2A6A" w:rsidP="008C12B4">
            <w:pPr>
              <w:jc w:val="both"/>
              <w:rPr>
                <w:bCs/>
                <w:sz w:val="20"/>
                <w:szCs w:val="20"/>
              </w:rPr>
            </w:pPr>
          </w:p>
          <w:p w14:paraId="7F163776" w14:textId="77777777" w:rsidR="006A2A6A" w:rsidRPr="00154588" w:rsidRDefault="006A2A6A" w:rsidP="008C12B4">
            <w:pPr>
              <w:jc w:val="both"/>
              <w:rPr>
                <w:bCs/>
                <w:sz w:val="20"/>
                <w:szCs w:val="20"/>
              </w:rPr>
            </w:pPr>
          </w:p>
          <w:p w14:paraId="36A069EE" w14:textId="3986643C" w:rsidR="006A2A6A" w:rsidRPr="00154588" w:rsidRDefault="006A2A6A" w:rsidP="008C12B4">
            <w:pPr>
              <w:jc w:val="both"/>
              <w:rPr>
                <w:bCs/>
                <w:sz w:val="20"/>
                <w:szCs w:val="20"/>
              </w:rPr>
            </w:pPr>
            <w:r w:rsidRPr="00154588">
              <w:rPr>
                <w:bCs/>
                <w:sz w:val="20"/>
                <w:szCs w:val="20"/>
              </w:rPr>
              <w:t>(d) în cazul în care entitatea nu este în măsură să înlocuiască datoriile care nu mai îndeplinesc criteriile de eligibilitate sau de scadență prevăzute la articolele 72b și 72c din Regulamentul (UE) nr. 575/2013 ori la articolul 45b sau la articolul 45f alineatul (2) din prezenta directivă, dacă această incapacitate este legată de specificul entității sau este cauzată de perturbări la nivelul întregii piețe;</w:t>
            </w:r>
          </w:p>
          <w:p w14:paraId="430CA9E6" w14:textId="77777777" w:rsidR="006A2A6A" w:rsidRPr="00154588" w:rsidRDefault="006A2A6A" w:rsidP="008C12B4">
            <w:pPr>
              <w:jc w:val="both"/>
              <w:rPr>
                <w:bCs/>
                <w:sz w:val="20"/>
                <w:szCs w:val="20"/>
              </w:rPr>
            </w:pPr>
          </w:p>
          <w:p w14:paraId="1769A275" w14:textId="16363B1C" w:rsidR="006A2A6A" w:rsidRPr="00154588" w:rsidRDefault="006A2A6A" w:rsidP="008C12B4">
            <w:pPr>
              <w:jc w:val="both"/>
              <w:rPr>
                <w:bCs/>
                <w:sz w:val="20"/>
                <w:szCs w:val="20"/>
              </w:rPr>
            </w:pPr>
            <w:r w:rsidRPr="00154588">
              <w:rPr>
                <w:bCs/>
                <w:sz w:val="20"/>
                <w:szCs w:val="20"/>
              </w:rPr>
              <w:lastRenderedPageBreak/>
              <w:t>(e) dacă exercitarea competenței menționate la alineatul (1) este mijlocul cel mai adecvat și proporțional de abordare a situației entității, luând în considerare, potențialul său impact atât asupra condițiilor de finanțare, cât și asupra posibilității de soluționare a entității în cauză.</w:t>
            </w:r>
          </w:p>
          <w:p w14:paraId="4A8A33BA" w14:textId="77777777" w:rsidR="006A2A6A" w:rsidRPr="00154588" w:rsidRDefault="006A2A6A" w:rsidP="008C12B4">
            <w:pPr>
              <w:jc w:val="both"/>
              <w:rPr>
                <w:bCs/>
                <w:sz w:val="20"/>
                <w:szCs w:val="20"/>
              </w:rPr>
            </w:pPr>
          </w:p>
          <w:p w14:paraId="4053EE7A" w14:textId="32EF3C84" w:rsidR="006A2A6A" w:rsidRPr="00154588" w:rsidRDefault="006A2A6A" w:rsidP="008C12B4">
            <w:pPr>
              <w:jc w:val="both"/>
              <w:rPr>
                <w:bCs/>
                <w:sz w:val="20"/>
                <w:szCs w:val="20"/>
              </w:rPr>
            </w:pPr>
            <w:r w:rsidRPr="00154588">
              <w:rPr>
                <w:bCs/>
                <w:sz w:val="20"/>
                <w:szCs w:val="20"/>
              </w:rPr>
              <w:t>Autoritatea de rezoluție își repetă evaluarea oportunității de a exercita competența menționată la alineatul (1) cel puțin o dată pe lună, atât timp cât entitatea continuă să se afle în situația menționată la alineatul (1).</w:t>
            </w:r>
          </w:p>
        </w:tc>
        <w:tc>
          <w:tcPr>
            <w:tcW w:w="4819" w:type="dxa"/>
          </w:tcPr>
          <w:p w14:paraId="616D3F83" w14:textId="77777777" w:rsidR="006A2A6A" w:rsidRPr="00154588" w:rsidRDefault="006A2A6A" w:rsidP="008C12B4">
            <w:pPr>
              <w:ind w:firstLine="567"/>
              <w:jc w:val="both"/>
              <w:rPr>
                <w:sz w:val="20"/>
                <w:szCs w:val="20"/>
                <w:lang w:eastAsia="ro-MD"/>
              </w:rPr>
            </w:pPr>
            <w:r w:rsidRPr="00154588">
              <w:rPr>
                <w:sz w:val="20"/>
                <w:szCs w:val="20"/>
              </w:rPr>
              <w:lastRenderedPageBreak/>
              <w:t>(</w:t>
            </w:r>
            <w:r w:rsidRPr="00154588">
              <w:rPr>
                <w:sz w:val="20"/>
                <w:szCs w:val="20"/>
                <w:lang w:eastAsia="ro-MD"/>
              </w:rPr>
              <w:t>3) În situația menționată la alin.(1), Banca Națională a Moldovei, în calitate de autoritate de rezoluție a instituției de credit sau entității prevăzute la art.1 alin.(1) lit.c) și d), după consultarea autorității competente, evaluează fără întârzieri inutile dacă să își exercite sau nu competența menționată la alin.(1), ținând seama de toate elementele următoare:</w:t>
            </w:r>
          </w:p>
          <w:p w14:paraId="372A6ACB" w14:textId="77777777" w:rsidR="006A2A6A" w:rsidRPr="00154588" w:rsidRDefault="006A2A6A" w:rsidP="008C12B4">
            <w:pPr>
              <w:ind w:firstLine="567"/>
              <w:jc w:val="both"/>
              <w:rPr>
                <w:sz w:val="20"/>
                <w:szCs w:val="20"/>
                <w:lang w:eastAsia="ro-MD"/>
              </w:rPr>
            </w:pPr>
            <w:r w:rsidRPr="00154588">
              <w:rPr>
                <w:sz w:val="20"/>
                <w:szCs w:val="20"/>
                <w:lang w:eastAsia="ro-MD"/>
              </w:rPr>
              <w:t>a) motivul, durata și amploarea neîndeplinirii, precum și impactul acestuia asupra posibilității de soluționare;</w:t>
            </w:r>
          </w:p>
          <w:p w14:paraId="714FBE4B" w14:textId="77777777" w:rsidR="006A2A6A" w:rsidRPr="00154588" w:rsidRDefault="006A2A6A" w:rsidP="008C12B4">
            <w:pPr>
              <w:ind w:firstLine="708"/>
              <w:jc w:val="both"/>
              <w:rPr>
                <w:sz w:val="20"/>
                <w:szCs w:val="20"/>
                <w:lang w:eastAsia="ro-MD"/>
              </w:rPr>
            </w:pPr>
            <w:r w:rsidRPr="00154588">
              <w:rPr>
                <w:sz w:val="20"/>
                <w:szCs w:val="20"/>
                <w:lang w:eastAsia="ro-MD"/>
              </w:rPr>
              <w:t>b) evoluția situației financiare a instituției de credit sau entității prevăzute la art.1 alin.(1) lit.c) și d) și probabilitatea ca aceasta să îndeplinească, în viitorul apropiat, condiția menționată la art.58 alin.(1) lit.a);</w:t>
            </w:r>
          </w:p>
          <w:p w14:paraId="1B442734" w14:textId="77777777" w:rsidR="006A2A6A" w:rsidRPr="00154588" w:rsidRDefault="006A2A6A" w:rsidP="008C12B4">
            <w:pPr>
              <w:ind w:firstLine="708"/>
              <w:jc w:val="both"/>
              <w:rPr>
                <w:sz w:val="20"/>
                <w:szCs w:val="20"/>
                <w:lang w:eastAsia="ro-MD"/>
              </w:rPr>
            </w:pPr>
            <w:r w:rsidRPr="00154588">
              <w:rPr>
                <w:sz w:val="20"/>
                <w:szCs w:val="20"/>
                <w:lang w:eastAsia="ro-MD"/>
              </w:rPr>
              <w:t>c) perspectiva ca instituția de credit sau entitatea prevăzută la art.1 alin.(1) lit.c) și d) să poată asigura respectarea cerințelor menționate la alin. (1) într-un interval de timp rezonabil;</w:t>
            </w:r>
          </w:p>
          <w:p w14:paraId="20A0B55B" w14:textId="77777777" w:rsidR="006A2A6A" w:rsidRPr="00154588" w:rsidRDefault="006A2A6A" w:rsidP="008C12B4">
            <w:pPr>
              <w:ind w:firstLine="708"/>
              <w:jc w:val="both"/>
              <w:rPr>
                <w:sz w:val="20"/>
                <w:szCs w:val="20"/>
                <w:lang w:eastAsia="ro-MD"/>
              </w:rPr>
            </w:pPr>
            <w:r w:rsidRPr="00154588">
              <w:rPr>
                <w:sz w:val="20"/>
                <w:szCs w:val="20"/>
                <w:lang w:eastAsia="ro-MD"/>
              </w:rPr>
              <w:t xml:space="preserve">d) în cazul în care instituția de credit sau entitatea prevăzută la art.1 alin.(1) lit. c) și d) nu este în măsură să înlocuiască datoriile care nu mai îndeplinesc criteriile de eligibilitate sau de scadență prevăzute </w:t>
            </w:r>
            <w:r w:rsidRPr="00154588">
              <w:rPr>
                <w:sz w:val="20"/>
                <w:szCs w:val="20"/>
              </w:rPr>
              <w:t>î</w:t>
            </w:r>
            <w:r w:rsidRPr="00154588">
              <w:rPr>
                <w:sz w:val="20"/>
                <w:szCs w:val="20"/>
                <w:lang w:eastAsia="ro-MD"/>
              </w:rPr>
              <w:t xml:space="preserve">n actele normative ale Băncii Naționale a Moldovei emise în aplicarea art. </w:t>
            </w:r>
            <w:r w:rsidRPr="00154588">
              <w:rPr>
                <w:sz w:val="20"/>
                <w:szCs w:val="20"/>
              </w:rPr>
              <w:t>60,</w:t>
            </w:r>
            <w:r w:rsidRPr="00154588">
              <w:rPr>
                <w:sz w:val="20"/>
                <w:szCs w:val="20"/>
                <w:lang w:eastAsia="ro-MD"/>
              </w:rPr>
              <w:t xml:space="preserve"> 61 şi 62 din Legea nr.202/2017</w:t>
            </w:r>
            <w:r w:rsidRPr="00154588">
              <w:rPr>
                <w:sz w:val="20"/>
                <w:szCs w:val="20"/>
              </w:rPr>
              <w:t xml:space="preserve"> </w:t>
            </w:r>
            <w:r w:rsidRPr="00154588">
              <w:rPr>
                <w:sz w:val="20"/>
                <w:szCs w:val="20"/>
                <w:lang w:eastAsia="ro-MD"/>
              </w:rPr>
              <w:t>sau la art.165, 167</w:t>
            </w:r>
            <w:r w:rsidRPr="00154588">
              <w:rPr>
                <w:sz w:val="20"/>
                <w:szCs w:val="20"/>
                <w:vertAlign w:val="superscript"/>
                <w:lang w:eastAsia="ro-MD"/>
              </w:rPr>
              <w:t>16</w:t>
            </w:r>
            <w:r w:rsidRPr="00154588">
              <w:rPr>
                <w:sz w:val="20"/>
                <w:szCs w:val="20"/>
                <w:lang w:eastAsia="ro-MD"/>
              </w:rPr>
              <w:t>, dacă această incapacitate este legată de specificul acesteia sau este cauzată de perturbări la nivelul întregii piețe;</w:t>
            </w:r>
          </w:p>
          <w:p w14:paraId="505A3821" w14:textId="77777777" w:rsidR="006A2A6A" w:rsidRPr="00154588" w:rsidRDefault="006A2A6A" w:rsidP="008C12B4">
            <w:pPr>
              <w:ind w:firstLine="708"/>
              <w:jc w:val="both"/>
              <w:rPr>
                <w:sz w:val="20"/>
                <w:szCs w:val="20"/>
                <w:lang w:eastAsia="ro-MD"/>
              </w:rPr>
            </w:pPr>
            <w:r w:rsidRPr="00154588">
              <w:rPr>
                <w:sz w:val="20"/>
                <w:szCs w:val="20"/>
                <w:lang w:eastAsia="ro-MD"/>
              </w:rPr>
              <w:lastRenderedPageBreak/>
              <w:t>e) dacă exercitarea competenței menționate la alin. (1) reprezintă mijlocul cel mai adecvat și proporțional de abordare a situației instituție de credit sau entității prevăzute la art.1 alin. (1) lit.c) și d), luând în considerare impactul potențial atât asupra condițiilor de finanțare, cât și asupra posibilității de soluționare a acesteia.</w:t>
            </w:r>
          </w:p>
          <w:p w14:paraId="5A8BFA71" w14:textId="77777777" w:rsidR="006A2A6A" w:rsidRPr="00154588" w:rsidRDefault="006A2A6A" w:rsidP="008C12B4">
            <w:pPr>
              <w:ind w:firstLine="708"/>
              <w:jc w:val="both"/>
              <w:rPr>
                <w:sz w:val="20"/>
                <w:szCs w:val="20"/>
                <w:lang w:eastAsia="ro-MD"/>
              </w:rPr>
            </w:pPr>
            <w:r w:rsidRPr="00154588">
              <w:rPr>
                <w:sz w:val="20"/>
                <w:szCs w:val="20"/>
                <w:lang w:eastAsia="ro-MD"/>
              </w:rPr>
              <w:t>(4) Banca Națională a Moldovei, în calitate de autoritate de rezoluție, repetă evaluarea cu privire la necesitatea exercit</w:t>
            </w:r>
            <w:r w:rsidRPr="00154588">
              <w:rPr>
                <w:sz w:val="20"/>
                <w:szCs w:val="20"/>
                <w:lang w:val="ro-MD" w:eastAsia="ro-MD"/>
              </w:rPr>
              <w:t>ării</w:t>
            </w:r>
            <w:r w:rsidRPr="00154588">
              <w:rPr>
                <w:sz w:val="20"/>
                <w:szCs w:val="20"/>
                <w:lang w:eastAsia="ro-MD"/>
              </w:rPr>
              <w:t xml:space="preserve"> competenței menționate la alin.(1) cel puțin lunar, atât timp cât instituția de credit sau entitatea prevăzută la art.1 alin.(1) lit.c) și d)  continuă să se afle în situația menționată la alin.(1).</w:t>
            </w:r>
          </w:p>
          <w:p w14:paraId="2054BFB2" w14:textId="77777777" w:rsidR="006A2A6A" w:rsidRPr="00154588" w:rsidRDefault="006A2A6A" w:rsidP="008C12B4">
            <w:pPr>
              <w:jc w:val="both"/>
              <w:rPr>
                <w:bCs/>
                <w:sz w:val="20"/>
                <w:szCs w:val="20"/>
              </w:rPr>
            </w:pPr>
          </w:p>
        </w:tc>
        <w:tc>
          <w:tcPr>
            <w:tcW w:w="2552" w:type="dxa"/>
          </w:tcPr>
          <w:p w14:paraId="48D62397" w14:textId="4E21215D"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5A20307F" w14:textId="77777777" w:rsidR="006A2A6A" w:rsidRPr="00154588" w:rsidRDefault="006A2A6A" w:rsidP="008C12B4">
            <w:pPr>
              <w:jc w:val="both"/>
              <w:rPr>
                <w:bCs/>
                <w:sz w:val="20"/>
                <w:szCs w:val="20"/>
              </w:rPr>
            </w:pPr>
          </w:p>
        </w:tc>
      </w:tr>
      <w:tr w:rsidR="006A2A6A" w:rsidRPr="00154588" w14:paraId="4DE35B15" w14:textId="77777777" w:rsidTr="00D15C1B">
        <w:trPr>
          <w:jc w:val="center"/>
        </w:trPr>
        <w:tc>
          <w:tcPr>
            <w:tcW w:w="4957" w:type="dxa"/>
            <w:gridSpan w:val="2"/>
          </w:tcPr>
          <w:p w14:paraId="1FFB2397" w14:textId="77777777" w:rsidR="006A2A6A" w:rsidRPr="00154588" w:rsidRDefault="006A2A6A" w:rsidP="008C12B4">
            <w:pPr>
              <w:jc w:val="both"/>
              <w:rPr>
                <w:bCs/>
                <w:sz w:val="20"/>
                <w:szCs w:val="20"/>
              </w:rPr>
            </w:pPr>
            <w:r w:rsidRPr="00154588">
              <w:rPr>
                <w:bCs/>
                <w:sz w:val="20"/>
                <w:szCs w:val="20"/>
              </w:rPr>
              <w:t>(3)   Dacă autoritatea de rezoluție constată că entitatea se află încă în situația menționată la alineatul (1) la nouă luni după ce entitatea i-a notificat această situație, autoritatea de rezoluție, după consultarea autorității competente, își exercită competența menționată la alineatul (1), cu excepția cazului în care autoritatea de rezoluție constată, în urma unei evaluări, că sunt îndeplinite cel puțin două dintre următoarele condiții:</w:t>
            </w:r>
          </w:p>
          <w:p w14:paraId="10F99FD0" w14:textId="77777777" w:rsidR="006A2A6A" w:rsidRPr="00154588" w:rsidRDefault="006A2A6A" w:rsidP="008C12B4">
            <w:pPr>
              <w:jc w:val="both"/>
              <w:rPr>
                <w:bCs/>
                <w:sz w:val="20"/>
                <w:szCs w:val="20"/>
              </w:rPr>
            </w:pPr>
          </w:p>
          <w:p w14:paraId="4BA3C843" w14:textId="77777777" w:rsidR="006A2A6A" w:rsidRPr="00154588" w:rsidRDefault="006A2A6A" w:rsidP="008C12B4">
            <w:pPr>
              <w:jc w:val="both"/>
              <w:rPr>
                <w:bCs/>
                <w:sz w:val="20"/>
                <w:szCs w:val="20"/>
              </w:rPr>
            </w:pPr>
          </w:p>
          <w:p w14:paraId="579A8B7B" w14:textId="392B4285" w:rsidR="006A2A6A" w:rsidRPr="00154588" w:rsidRDefault="006A2A6A" w:rsidP="008C12B4">
            <w:pPr>
              <w:jc w:val="both"/>
              <w:rPr>
                <w:bCs/>
                <w:sz w:val="20"/>
                <w:szCs w:val="20"/>
              </w:rPr>
            </w:pPr>
            <w:r w:rsidRPr="00154588">
              <w:rPr>
                <w:bCs/>
                <w:sz w:val="20"/>
                <w:szCs w:val="20"/>
              </w:rPr>
              <w:t>(a) neconformitatea este cauzată de o perturbare gravă a funcționării piețelor financiare, care generează tensiuni majore la nivelul mai multor segmente ale piețelor financiare;</w:t>
            </w:r>
          </w:p>
          <w:p w14:paraId="5EE5D1DD" w14:textId="77777777" w:rsidR="006A2A6A" w:rsidRPr="00154588" w:rsidRDefault="006A2A6A" w:rsidP="008C12B4">
            <w:pPr>
              <w:jc w:val="both"/>
              <w:rPr>
                <w:bCs/>
                <w:sz w:val="20"/>
                <w:szCs w:val="20"/>
              </w:rPr>
            </w:pPr>
          </w:p>
          <w:p w14:paraId="5F03AC4E" w14:textId="77777777" w:rsidR="006A2A6A" w:rsidRPr="00154588" w:rsidRDefault="006A2A6A" w:rsidP="008C12B4">
            <w:pPr>
              <w:jc w:val="both"/>
              <w:rPr>
                <w:bCs/>
                <w:sz w:val="20"/>
                <w:szCs w:val="20"/>
              </w:rPr>
            </w:pPr>
          </w:p>
          <w:p w14:paraId="6B330435" w14:textId="162917E5" w:rsidR="006A2A6A" w:rsidRPr="00154588" w:rsidRDefault="006A2A6A" w:rsidP="008C12B4">
            <w:pPr>
              <w:jc w:val="both"/>
              <w:rPr>
                <w:bCs/>
                <w:sz w:val="20"/>
                <w:szCs w:val="20"/>
              </w:rPr>
            </w:pPr>
            <w:r w:rsidRPr="00154588">
              <w:rPr>
                <w:bCs/>
                <w:sz w:val="20"/>
                <w:szCs w:val="20"/>
              </w:rPr>
              <w:t>(b) perturbarea menționată la litera (a) nu doar conduce la creșterea volatilității prețurilor pentru instrumentele de fonduri proprii și de datorii eligibile ale entității sau la creșterea costurilor pentru entitate, ci determină și închiderea totală sau parțială a unor piețe care împiedică entitatea să emită instrumente de fonduri proprii și de datorii eligibile pe respectivele piețe;</w:t>
            </w:r>
          </w:p>
          <w:p w14:paraId="1F355679" w14:textId="77777777" w:rsidR="006A2A6A" w:rsidRPr="00154588" w:rsidRDefault="006A2A6A" w:rsidP="008C12B4">
            <w:pPr>
              <w:jc w:val="both"/>
              <w:rPr>
                <w:bCs/>
                <w:sz w:val="20"/>
                <w:szCs w:val="20"/>
              </w:rPr>
            </w:pPr>
          </w:p>
          <w:p w14:paraId="16F3BC7A" w14:textId="20DB3FBE" w:rsidR="006A2A6A" w:rsidRPr="00154588" w:rsidRDefault="006A2A6A" w:rsidP="008C12B4">
            <w:pPr>
              <w:jc w:val="both"/>
              <w:rPr>
                <w:bCs/>
                <w:sz w:val="20"/>
                <w:szCs w:val="20"/>
              </w:rPr>
            </w:pPr>
            <w:r w:rsidRPr="00154588">
              <w:rPr>
                <w:bCs/>
                <w:sz w:val="20"/>
                <w:szCs w:val="20"/>
              </w:rPr>
              <w:t>(c) închiderea piețelor menționată la litera (b) este constatată nu numai pentru entitatea în cauză, ci și pentru mai multe alte entități;</w:t>
            </w:r>
          </w:p>
          <w:p w14:paraId="1F92603A" w14:textId="77777777" w:rsidR="006A2A6A" w:rsidRPr="00154588" w:rsidRDefault="006A2A6A" w:rsidP="008C12B4">
            <w:pPr>
              <w:jc w:val="both"/>
              <w:rPr>
                <w:bCs/>
                <w:sz w:val="20"/>
                <w:szCs w:val="20"/>
              </w:rPr>
            </w:pPr>
          </w:p>
          <w:p w14:paraId="198F6068" w14:textId="38DA116C" w:rsidR="006A2A6A" w:rsidRPr="00154588" w:rsidRDefault="006A2A6A" w:rsidP="008C12B4">
            <w:pPr>
              <w:jc w:val="both"/>
              <w:rPr>
                <w:bCs/>
                <w:sz w:val="20"/>
                <w:szCs w:val="20"/>
              </w:rPr>
            </w:pPr>
            <w:r w:rsidRPr="00154588">
              <w:rPr>
                <w:bCs/>
                <w:sz w:val="20"/>
                <w:szCs w:val="20"/>
              </w:rPr>
              <w:t>(d) perturbarea menționată la litera (a) împiedică entitatea în cauză să emită instrumente de fonduri proprii și de datorii eligibile suficient pentru a remedia neconformitatea; sau</w:t>
            </w:r>
          </w:p>
          <w:p w14:paraId="2C7224B0" w14:textId="77777777" w:rsidR="006A2A6A" w:rsidRPr="00154588" w:rsidRDefault="006A2A6A" w:rsidP="008C12B4">
            <w:pPr>
              <w:jc w:val="both"/>
              <w:rPr>
                <w:bCs/>
                <w:sz w:val="20"/>
                <w:szCs w:val="20"/>
              </w:rPr>
            </w:pPr>
          </w:p>
          <w:p w14:paraId="2EA7CC32" w14:textId="77777777" w:rsidR="006A2A6A" w:rsidRPr="00154588" w:rsidRDefault="006A2A6A" w:rsidP="008C12B4">
            <w:pPr>
              <w:jc w:val="both"/>
              <w:rPr>
                <w:bCs/>
                <w:sz w:val="20"/>
                <w:szCs w:val="20"/>
              </w:rPr>
            </w:pPr>
          </w:p>
          <w:p w14:paraId="4F63705D" w14:textId="0854D0C7" w:rsidR="006A2A6A" w:rsidRPr="00154588" w:rsidRDefault="006A2A6A" w:rsidP="008C12B4">
            <w:pPr>
              <w:jc w:val="both"/>
              <w:rPr>
                <w:bCs/>
                <w:sz w:val="20"/>
                <w:szCs w:val="20"/>
              </w:rPr>
            </w:pPr>
            <w:r w:rsidRPr="00154588">
              <w:rPr>
                <w:bCs/>
                <w:sz w:val="20"/>
                <w:szCs w:val="20"/>
              </w:rPr>
              <w:t>(e) o exercitare a competenței prevăzute la alineatul (1) are efecte de propagare negative pentru o parte a sectorului bancar, subminând astfel potențial stabilitatea financiară.</w:t>
            </w:r>
          </w:p>
          <w:p w14:paraId="00A3815B" w14:textId="77777777" w:rsidR="006A2A6A" w:rsidRPr="00154588" w:rsidRDefault="006A2A6A" w:rsidP="008C12B4">
            <w:pPr>
              <w:jc w:val="both"/>
              <w:rPr>
                <w:bCs/>
                <w:sz w:val="20"/>
                <w:szCs w:val="20"/>
              </w:rPr>
            </w:pPr>
          </w:p>
          <w:p w14:paraId="7A91C32A" w14:textId="77777777" w:rsidR="006A2A6A" w:rsidRPr="00154588" w:rsidRDefault="006A2A6A" w:rsidP="008C12B4">
            <w:pPr>
              <w:jc w:val="both"/>
              <w:rPr>
                <w:bCs/>
                <w:sz w:val="20"/>
                <w:szCs w:val="20"/>
              </w:rPr>
            </w:pPr>
          </w:p>
          <w:p w14:paraId="3D0E3A13" w14:textId="77777777" w:rsidR="006A2A6A" w:rsidRPr="00154588" w:rsidRDefault="006A2A6A" w:rsidP="008C12B4">
            <w:pPr>
              <w:jc w:val="both"/>
              <w:rPr>
                <w:bCs/>
                <w:sz w:val="20"/>
                <w:szCs w:val="20"/>
              </w:rPr>
            </w:pPr>
            <w:r w:rsidRPr="00154588">
              <w:rPr>
                <w:bCs/>
                <w:sz w:val="20"/>
                <w:szCs w:val="20"/>
              </w:rPr>
              <w:t>În cazul în care se aplică excepția prevăzută la primul paragraf, autoritatea de rezoluție notifică autorității competente decizia sa și își explică evaluarea în scris.</w:t>
            </w:r>
          </w:p>
          <w:p w14:paraId="65D6ADD0" w14:textId="77777777" w:rsidR="006A2A6A" w:rsidRPr="00154588" w:rsidRDefault="006A2A6A" w:rsidP="008C12B4">
            <w:pPr>
              <w:jc w:val="both"/>
              <w:rPr>
                <w:bCs/>
                <w:sz w:val="20"/>
                <w:szCs w:val="20"/>
              </w:rPr>
            </w:pPr>
          </w:p>
          <w:p w14:paraId="233BEB2B" w14:textId="77777777" w:rsidR="006A2A6A" w:rsidRPr="00154588" w:rsidRDefault="006A2A6A" w:rsidP="008C12B4">
            <w:pPr>
              <w:jc w:val="both"/>
              <w:rPr>
                <w:bCs/>
                <w:sz w:val="20"/>
                <w:szCs w:val="20"/>
              </w:rPr>
            </w:pPr>
          </w:p>
          <w:p w14:paraId="095767D8" w14:textId="77777777" w:rsidR="006A2A6A" w:rsidRPr="00154588" w:rsidRDefault="006A2A6A" w:rsidP="008C12B4">
            <w:pPr>
              <w:jc w:val="both"/>
              <w:rPr>
                <w:bCs/>
                <w:sz w:val="20"/>
                <w:szCs w:val="20"/>
              </w:rPr>
            </w:pPr>
          </w:p>
          <w:p w14:paraId="3CBFC17C" w14:textId="05202EDF" w:rsidR="006A2A6A" w:rsidRPr="00154588" w:rsidRDefault="006A2A6A" w:rsidP="008C12B4">
            <w:pPr>
              <w:jc w:val="both"/>
              <w:rPr>
                <w:bCs/>
                <w:sz w:val="20"/>
                <w:szCs w:val="20"/>
              </w:rPr>
            </w:pPr>
            <w:r w:rsidRPr="00154588">
              <w:rPr>
                <w:bCs/>
                <w:sz w:val="20"/>
                <w:szCs w:val="20"/>
              </w:rPr>
              <w:t>Autoritatea de rezoluție repetă în fiecare lună evaluarea proprie cu privire la aplicabilitatea excepției menționate la primul paragraf.</w:t>
            </w:r>
          </w:p>
        </w:tc>
        <w:tc>
          <w:tcPr>
            <w:tcW w:w="4819" w:type="dxa"/>
          </w:tcPr>
          <w:p w14:paraId="72D68046" w14:textId="77777777" w:rsidR="006A2A6A" w:rsidRPr="00154588" w:rsidRDefault="006A2A6A" w:rsidP="008C12B4">
            <w:pPr>
              <w:ind w:firstLine="708"/>
              <w:jc w:val="both"/>
              <w:rPr>
                <w:sz w:val="20"/>
                <w:szCs w:val="20"/>
                <w:lang w:eastAsia="ro-MD"/>
              </w:rPr>
            </w:pPr>
            <w:r w:rsidRPr="00154588">
              <w:rPr>
                <w:sz w:val="20"/>
                <w:szCs w:val="20"/>
                <w:lang w:eastAsia="ro-MD"/>
              </w:rPr>
              <w:lastRenderedPageBreak/>
              <w:t>(5) În cazul în care Banca Națională a Moldovei, în calitate de autoritate de rezoluție, constată că instituția de credit sau entitatea prevăzută la art.1 alin.(1) lit.c) și d)  se află încă în situația menționată la alin.(1), la nouă luni după notificarea situației de către instituția de credit sau entitatea prevăzută la art.1 alin.(1) lit.c) și d), Banca Națională a Moldovei, în calitate de autoritate de rezoluție, după consultarea autorității competente, își exercită competența menționată la alin.(1), cu excepția cazului în care consideră, în urma unei analize, că sunt îndeplinite cel puțin două dintre următoarele condiții:</w:t>
            </w:r>
          </w:p>
          <w:p w14:paraId="2A040101" w14:textId="77777777" w:rsidR="006A2A6A" w:rsidRPr="00154588" w:rsidRDefault="006A2A6A" w:rsidP="008C12B4">
            <w:pPr>
              <w:ind w:firstLine="708"/>
              <w:jc w:val="both"/>
              <w:rPr>
                <w:sz w:val="20"/>
                <w:szCs w:val="20"/>
                <w:lang w:eastAsia="ro-MD"/>
              </w:rPr>
            </w:pPr>
            <w:r w:rsidRPr="00154588">
              <w:rPr>
                <w:sz w:val="20"/>
                <w:szCs w:val="20"/>
                <w:lang w:eastAsia="ro-MD"/>
              </w:rPr>
              <w:t>a) neîndeplinirea cerinței este cauzată de o perturbare gravă a funcționării piețelor financiare, care generează tensiuni majore la nivelul mai multor segmente ale piețelor financiare;</w:t>
            </w:r>
          </w:p>
          <w:p w14:paraId="76A75BB3" w14:textId="77777777" w:rsidR="006A2A6A" w:rsidRPr="00154588" w:rsidRDefault="006A2A6A" w:rsidP="008C12B4">
            <w:pPr>
              <w:ind w:firstLine="708"/>
              <w:jc w:val="both"/>
              <w:rPr>
                <w:sz w:val="20"/>
                <w:szCs w:val="20"/>
                <w:lang w:eastAsia="ro-MD"/>
              </w:rPr>
            </w:pPr>
            <w:r w:rsidRPr="00154588">
              <w:rPr>
                <w:sz w:val="20"/>
                <w:szCs w:val="20"/>
                <w:lang w:eastAsia="ro-MD"/>
              </w:rPr>
              <w:t>b) perturbarea menționată la lit. a) determină atât creșterea volatilității prețurilor pentru instrumentele de fonduri proprii și de datorii eligibile ale instituție de credit sau  entității prevăzute la art.1 alin.(1) lit.c) și d)  sau creșterea costurilor pentru aceasta, cât și închiderea totală sau parțială a unor piețe, care împiedică instituția de credit sau entitatea prevăzută la art.1 alin.(1) lit.c) și d)  să emită instrumente de fonduri proprii și de datorii eligibile pe respectivele piețe;</w:t>
            </w:r>
          </w:p>
          <w:p w14:paraId="0D75E827" w14:textId="77777777" w:rsidR="006A2A6A" w:rsidRPr="00154588" w:rsidRDefault="006A2A6A" w:rsidP="008C12B4">
            <w:pPr>
              <w:ind w:firstLine="708"/>
              <w:jc w:val="both"/>
              <w:rPr>
                <w:sz w:val="20"/>
                <w:szCs w:val="20"/>
                <w:lang w:eastAsia="ro-MD"/>
              </w:rPr>
            </w:pPr>
            <w:r w:rsidRPr="00154588">
              <w:rPr>
                <w:sz w:val="20"/>
                <w:szCs w:val="20"/>
                <w:lang w:eastAsia="ro-MD"/>
              </w:rPr>
              <w:t>c) închiderea piețelor menționate la lit. b) este constatată nu numai pentru instituția de credit sau entitatea prevăzută la art.1 alin.(1) lit.c) și d) în cauză, ci și pentru multe alte entități;</w:t>
            </w:r>
          </w:p>
          <w:p w14:paraId="7F57D909" w14:textId="77777777" w:rsidR="006A2A6A" w:rsidRPr="00154588" w:rsidRDefault="006A2A6A" w:rsidP="008C12B4">
            <w:pPr>
              <w:ind w:firstLine="708"/>
              <w:jc w:val="both"/>
              <w:rPr>
                <w:sz w:val="20"/>
                <w:szCs w:val="20"/>
                <w:lang w:eastAsia="ro-MD"/>
              </w:rPr>
            </w:pPr>
            <w:r w:rsidRPr="00154588">
              <w:rPr>
                <w:sz w:val="20"/>
                <w:szCs w:val="20"/>
                <w:lang w:eastAsia="ro-MD"/>
              </w:rPr>
              <w:t xml:space="preserve">d) perturbarea menționată la lit.a) împiedică instituția de credit sau entitatea prevăzută la art.1 alin.(1) lit.c) și d) în cauză să emită suficiente instrumente de </w:t>
            </w:r>
            <w:r w:rsidRPr="00154588">
              <w:rPr>
                <w:sz w:val="20"/>
                <w:szCs w:val="20"/>
                <w:lang w:eastAsia="ro-MD"/>
              </w:rPr>
              <w:lastRenderedPageBreak/>
              <w:t>fonduri proprii și de datorii eligibile pentru a remedia neconformarea; sau</w:t>
            </w:r>
          </w:p>
          <w:p w14:paraId="682E294D" w14:textId="77777777" w:rsidR="006A2A6A" w:rsidRPr="00154588" w:rsidRDefault="006A2A6A" w:rsidP="008C12B4">
            <w:pPr>
              <w:ind w:firstLine="708"/>
              <w:jc w:val="both"/>
              <w:rPr>
                <w:sz w:val="20"/>
                <w:szCs w:val="20"/>
                <w:lang w:eastAsia="ro-MD"/>
              </w:rPr>
            </w:pPr>
            <w:r w:rsidRPr="00154588">
              <w:rPr>
                <w:sz w:val="20"/>
                <w:szCs w:val="20"/>
                <w:lang w:eastAsia="ro-MD"/>
              </w:rPr>
              <w:t>e) o exercitare a competenței menționate la alin.(1)  are efecte negative de contagiune pentru o parte a sectorului bancar, afectând astfel potențial stabilitatea financiară.</w:t>
            </w:r>
          </w:p>
          <w:p w14:paraId="264D8E7E" w14:textId="77777777" w:rsidR="006A2A6A" w:rsidRPr="00154588" w:rsidRDefault="006A2A6A" w:rsidP="008C12B4">
            <w:pPr>
              <w:ind w:firstLine="708"/>
              <w:jc w:val="both"/>
              <w:rPr>
                <w:sz w:val="20"/>
                <w:szCs w:val="20"/>
                <w:lang w:eastAsia="ro-MD"/>
              </w:rPr>
            </w:pPr>
            <w:r w:rsidRPr="00154588">
              <w:rPr>
                <w:sz w:val="20"/>
                <w:szCs w:val="20"/>
                <w:lang w:eastAsia="ro-MD"/>
              </w:rPr>
              <w:t>(6) În cazul în care se constată îndeplinirea condițiilor de exceptare menționate la alin.(5), Banca Națională a Moldovei, în calitate de autoritate de rezoluție, notifică decizia sa autorității competente și își explică evaluarea în scris.</w:t>
            </w:r>
          </w:p>
          <w:p w14:paraId="08602DE0" w14:textId="77777777" w:rsidR="006A2A6A" w:rsidRPr="00154588" w:rsidRDefault="006A2A6A" w:rsidP="008C12B4">
            <w:pPr>
              <w:ind w:firstLine="708"/>
              <w:jc w:val="both"/>
              <w:rPr>
                <w:sz w:val="20"/>
                <w:szCs w:val="20"/>
                <w:lang w:eastAsia="ro-MD"/>
              </w:rPr>
            </w:pPr>
            <w:r w:rsidRPr="00154588">
              <w:rPr>
                <w:sz w:val="20"/>
                <w:szCs w:val="20"/>
                <w:lang w:eastAsia="ro-MD"/>
              </w:rPr>
              <w:t>(7) Banca Națională a Moldovei, în calitate de autoritate de rezoluție, repetă în fiecare lună evaluarea proprie cu privire la aplicabilitatea excepţiei menţionate la alin.(5).</w:t>
            </w:r>
          </w:p>
          <w:p w14:paraId="62837A70" w14:textId="77777777" w:rsidR="006A2A6A" w:rsidRPr="00154588" w:rsidRDefault="006A2A6A" w:rsidP="008C12B4">
            <w:pPr>
              <w:jc w:val="both"/>
              <w:rPr>
                <w:bCs/>
                <w:sz w:val="20"/>
                <w:szCs w:val="20"/>
              </w:rPr>
            </w:pPr>
          </w:p>
        </w:tc>
        <w:tc>
          <w:tcPr>
            <w:tcW w:w="2552" w:type="dxa"/>
          </w:tcPr>
          <w:p w14:paraId="4D7F76B8" w14:textId="004E124F"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2DFA59E5" w14:textId="77777777" w:rsidR="006A2A6A" w:rsidRPr="00154588" w:rsidRDefault="006A2A6A" w:rsidP="008C12B4">
            <w:pPr>
              <w:jc w:val="both"/>
              <w:rPr>
                <w:bCs/>
                <w:sz w:val="20"/>
                <w:szCs w:val="20"/>
              </w:rPr>
            </w:pPr>
          </w:p>
        </w:tc>
      </w:tr>
      <w:tr w:rsidR="006A2A6A" w:rsidRPr="00154588" w14:paraId="04A7C2B0" w14:textId="77777777" w:rsidTr="00D15C1B">
        <w:trPr>
          <w:jc w:val="center"/>
        </w:trPr>
        <w:tc>
          <w:tcPr>
            <w:tcW w:w="4957" w:type="dxa"/>
            <w:gridSpan w:val="2"/>
          </w:tcPr>
          <w:p w14:paraId="53CF9DDC" w14:textId="4EFCE0BD" w:rsidR="006A2A6A" w:rsidRPr="00154588" w:rsidRDefault="006A2A6A" w:rsidP="008C12B4">
            <w:pPr>
              <w:jc w:val="both"/>
              <w:rPr>
                <w:bCs/>
                <w:sz w:val="20"/>
                <w:szCs w:val="20"/>
              </w:rPr>
            </w:pPr>
            <w:r w:rsidRPr="00154588">
              <w:rPr>
                <w:bCs/>
                <w:sz w:val="20"/>
                <w:szCs w:val="20"/>
              </w:rPr>
              <w:t>(4)   M-MDA se calculează prin înmulțirea sumei calculate în conformitate cu alineatul (5) cu factorul stabilit în conformitate cu alineatul (6). M-MDA se reduce cu orice cuantum care rezultă ca urmare a oricăreia dintre măsurile menționate la alineatul (1) litera (a), (b) sau (c).</w:t>
            </w:r>
          </w:p>
        </w:tc>
        <w:tc>
          <w:tcPr>
            <w:tcW w:w="4819" w:type="dxa"/>
          </w:tcPr>
          <w:p w14:paraId="54CDD464" w14:textId="77777777" w:rsidR="006A2A6A" w:rsidRPr="00154588" w:rsidRDefault="006A2A6A" w:rsidP="008C12B4">
            <w:pPr>
              <w:ind w:firstLine="708"/>
              <w:jc w:val="both"/>
              <w:rPr>
                <w:sz w:val="20"/>
                <w:szCs w:val="20"/>
                <w:lang w:eastAsia="ro-MD"/>
              </w:rPr>
            </w:pPr>
            <w:r w:rsidRPr="00154588">
              <w:rPr>
                <w:sz w:val="20"/>
                <w:szCs w:val="20"/>
                <w:lang w:eastAsia="ro-MD"/>
              </w:rPr>
              <w:t>(8) Suma maxim distribuibilă aferentă cerinței minime de fonduri proprii și datorii eligibile se calculează prin înmulțirea sumei calculate în conformitate cu alin.(9) cu factorul stabilit în conformitate cu alin.(10). Suma maxim distribuibilă aferentă cerinței minime de fonduri proprii și datorii eligibile se reduce cu orice cuantum  care rezultă ca urmare a inițierii oricăreia dintre acțiunile prevăzute la alin.(1) lit.a), b) sau c).</w:t>
            </w:r>
          </w:p>
          <w:p w14:paraId="034F7385" w14:textId="77777777" w:rsidR="006A2A6A" w:rsidRPr="00154588" w:rsidRDefault="006A2A6A" w:rsidP="008C12B4">
            <w:pPr>
              <w:jc w:val="both"/>
              <w:rPr>
                <w:bCs/>
                <w:sz w:val="20"/>
                <w:szCs w:val="20"/>
              </w:rPr>
            </w:pPr>
          </w:p>
        </w:tc>
        <w:tc>
          <w:tcPr>
            <w:tcW w:w="2552" w:type="dxa"/>
          </w:tcPr>
          <w:p w14:paraId="5BD529B0" w14:textId="1071FEF1" w:rsidR="006A2A6A" w:rsidRPr="00154588" w:rsidRDefault="006A2A6A" w:rsidP="008C12B4">
            <w:pPr>
              <w:jc w:val="both"/>
              <w:rPr>
                <w:bCs/>
                <w:sz w:val="20"/>
                <w:szCs w:val="20"/>
              </w:rPr>
            </w:pPr>
            <w:r w:rsidRPr="00154588">
              <w:rPr>
                <w:bCs/>
                <w:sz w:val="20"/>
                <w:szCs w:val="20"/>
              </w:rPr>
              <w:t>Compatibil</w:t>
            </w:r>
          </w:p>
        </w:tc>
        <w:tc>
          <w:tcPr>
            <w:tcW w:w="3118" w:type="dxa"/>
          </w:tcPr>
          <w:p w14:paraId="1BAD23E0" w14:textId="77777777" w:rsidR="006A2A6A" w:rsidRPr="00154588" w:rsidRDefault="006A2A6A" w:rsidP="008C12B4">
            <w:pPr>
              <w:jc w:val="both"/>
              <w:rPr>
                <w:bCs/>
                <w:sz w:val="20"/>
                <w:szCs w:val="20"/>
              </w:rPr>
            </w:pPr>
          </w:p>
        </w:tc>
      </w:tr>
      <w:tr w:rsidR="006A2A6A" w:rsidRPr="00154588" w14:paraId="40F164B7" w14:textId="77777777" w:rsidTr="00D15C1B">
        <w:trPr>
          <w:jc w:val="center"/>
        </w:trPr>
        <w:tc>
          <w:tcPr>
            <w:tcW w:w="4957" w:type="dxa"/>
            <w:gridSpan w:val="2"/>
          </w:tcPr>
          <w:p w14:paraId="144143FD" w14:textId="77777777" w:rsidR="006A2A6A" w:rsidRPr="00154588" w:rsidRDefault="006A2A6A" w:rsidP="008C12B4">
            <w:pPr>
              <w:jc w:val="both"/>
              <w:rPr>
                <w:bCs/>
                <w:sz w:val="20"/>
                <w:szCs w:val="20"/>
              </w:rPr>
            </w:pPr>
            <w:r w:rsidRPr="00154588">
              <w:rPr>
                <w:bCs/>
                <w:sz w:val="20"/>
                <w:szCs w:val="20"/>
              </w:rPr>
              <w:t>(5)   Suma de înmulțit în conformitate cu alineatul (4) constă în:</w:t>
            </w:r>
          </w:p>
          <w:p w14:paraId="4ECA3349" w14:textId="77777777" w:rsidR="006A2A6A" w:rsidRPr="00154588" w:rsidRDefault="006A2A6A" w:rsidP="008C12B4">
            <w:pPr>
              <w:jc w:val="both"/>
              <w:rPr>
                <w:bCs/>
                <w:sz w:val="20"/>
                <w:szCs w:val="20"/>
              </w:rPr>
            </w:pPr>
          </w:p>
          <w:p w14:paraId="123F2E9D" w14:textId="5EF8CD56" w:rsidR="006A2A6A" w:rsidRPr="00154588" w:rsidRDefault="006A2A6A" w:rsidP="008C12B4">
            <w:pPr>
              <w:jc w:val="both"/>
              <w:rPr>
                <w:bCs/>
                <w:sz w:val="20"/>
                <w:szCs w:val="20"/>
              </w:rPr>
            </w:pPr>
            <w:r w:rsidRPr="00154588">
              <w:rPr>
                <w:bCs/>
                <w:sz w:val="20"/>
                <w:szCs w:val="20"/>
              </w:rPr>
              <w:t>(a) orice profituri intermediare neincluse în fondurile proprii de nivel 1 de bază în conformitate cu articolul 26 alineatul (2) din Regulamentul (UE) nr. 575/2013, cu excluderea oricărei distribuiri de profituri sau a oricărei plăți care rezultă ca urmare a măsurilor menționate la alineatul (1) litera (a), (b) sau (c) de la prezentul articol;</w:t>
            </w:r>
          </w:p>
          <w:p w14:paraId="1CEC021F" w14:textId="77777777" w:rsidR="006A2A6A" w:rsidRPr="00154588" w:rsidRDefault="006A2A6A" w:rsidP="008C12B4">
            <w:pPr>
              <w:jc w:val="both"/>
              <w:rPr>
                <w:bCs/>
                <w:sz w:val="20"/>
                <w:szCs w:val="20"/>
              </w:rPr>
            </w:pPr>
          </w:p>
          <w:p w14:paraId="251A24DF" w14:textId="77777777" w:rsidR="006A2A6A" w:rsidRPr="00154588" w:rsidRDefault="006A2A6A" w:rsidP="008C12B4">
            <w:pPr>
              <w:jc w:val="both"/>
              <w:rPr>
                <w:bCs/>
                <w:sz w:val="20"/>
                <w:szCs w:val="20"/>
              </w:rPr>
            </w:pPr>
            <w:r w:rsidRPr="00154588">
              <w:rPr>
                <w:bCs/>
                <w:sz w:val="20"/>
                <w:szCs w:val="20"/>
              </w:rPr>
              <w:t>plus</w:t>
            </w:r>
          </w:p>
          <w:p w14:paraId="77054F08" w14:textId="77777777" w:rsidR="006A2A6A" w:rsidRPr="00154588" w:rsidRDefault="006A2A6A" w:rsidP="008C12B4">
            <w:pPr>
              <w:jc w:val="both"/>
              <w:rPr>
                <w:bCs/>
                <w:sz w:val="20"/>
                <w:szCs w:val="20"/>
              </w:rPr>
            </w:pPr>
          </w:p>
          <w:p w14:paraId="5A3E126F" w14:textId="73A012A9" w:rsidR="006A2A6A" w:rsidRPr="00154588" w:rsidRDefault="006A2A6A" w:rsidP="008C12B4">
            <w:pPr>
              <w:jc w:val="both"/>
              <w:rPr>
                <w:bCs/>
                <w:sz w:val="20"/>
                <w:szCs w:val="20"/>
              </w:rPr>
            </w:pPr>
            <w:r w:rsidRPr="00154588">
              <w:rPr>
                <w:bCs/>
                <w:sz w:val="20"/>
                <w:szCs w:val="20"/>
              </w:rPr>
              <w:t>(b) orice profituri la sfârșit de exercițiu financiar neincluse în fondurile proprii de nivel 1 de bază în conformitate cu articolul 26 alineatul (2) din Regulamentul (UE) nr. 575/2013, cu excluderea oricărei distribuiri de profituri sau a oricărei plăți care rezultă ca urmare a măsurilor menționate la alineatul (1) litera (a), (b) sau (c) de la prezentul articol;</w:t>
            </w:r>
          </w:p>
          <w:p w14:paraId="1A561D2B" w14:textId="77777777" w:rsidR="006A2A6A" w:rsidRPr="00154588" w:rsidRDefault="006A2A6A" w:rsidP="008C12B4">
            <w:pPr>
              <w:jc w:val="both"/>
              <w:rPr>
                <w:bCs/>
                <w:sz w:val="20"/>
                <w:szCs w:val="20"/>
              </w:rPr>
            </w:pPr>
          </w:p>
          <w:p w14:paraId="74A9C339" w14:textId="77777777" w:rsidR="006A2A6A" w:rsidRPr="00154588" w:rsidRDefault="006A2A6A" w:rsidP="008C12B4">
            <w:pPr>
              <w:jc w:val="both"/>
              <w:rPr>
                <w:bCs/>
                <w:sz w:val="20"/>
                <w:szCs w:val="20"/>
              </w:rPr>
            </w:pPr>
            <w:r w:rsidRPr="00154588">
              <w:rPr>
                <w:bCs/>
                <w:sz w:val="20"/>
                <w:szCs w:val="20"/>
              </w:rPr>
              <w:lastRenderedPageBreak/>
              <w:t>minus</w:t>
            </w:r>
          </w:p>
          <w:p w14:paraId="2FB36249" w14:textId="77777777" w:rsidR="006A2A6A" w:rsidRPr="00154588" w:rsidRDefault="006A2A6A" w:rsidP="008C12B4">
            <w:pPr>
              <w:jc w:val="both"/>
              <w:rPr>
                <w:bCs/>
                <w:sz w:val="20"/>
                <w:szCs w:val="20"/>
              </w:rPr>
            </w:pPr>
          </w:p>
          <w:p w14:paraId="7BA773DF" w14:textId="61B4E41D" w:rsidR="006A2A6A" w:rsidRPr="00154588" w:rsidRDefault="006A2A6A" w:rsidP="008C12B4">
            <w:pPr>
              <w:jc w:val="both"/>
              <w:rPr>
                <w:bCs/>
                <w:sz w:val="20"/>
                <w:szCs w:val="20"/>
              </w:rPr>
            </w:pPr>
            <w:r w:rsidRPr="00154588">
              <w:rPr>
                <w:bCs/>
                <w:sz w:val="20"/>
                <w:szCs w:val="20"/>
              </w:rPr>
              <w:t>(c) sumele care ar trebui achitate ca impozit dacă elementele specificate la literele (a) și (b) de la prezentul alineat ar fi reținute.</w:t>
            </w:r>
          </w:p>
        </w:tc>
        <w:tc>
          <w:tcPr>
            <w:tcW w:w="4819" w:type="dxa"/>
          </w:tcPr>
          <w:p w14:paraId="7D977ACB" w14:textId="77777777" w:rsidR="006A2A6A" w:rsidRPr="00154588" w:rsidRDefault="006A2A6A" w:rsidP="008C12B4">
            <w:pPr>
              <w:ind w:firstLine="708"/>
              <w:jc w:val="both"/>
              <w:rPr>
                <w:sz w:val="20"/>
                <w:szCs w:val="20"/>
                <w:lang w:eastAsia="ro-MD"/>
              </w:rPr>
            </w:pPr>
            <w:r w:rsidRPr="00154588">
              <w:rPr>
                <w:sz w:val="20"/>
                <w:szCs w:val="20"/>
                <w:lang w:eastAsia="ro-MD"/>
              </w:rPr>
              <w:lastRenderedPageBreak/>
              <w:t xml:space="preserve">(9) În sensul alin.(8), suma care urmează să fie înmulțită cu factorul stabilit în conformitate cu alin.(10), se obține prin parcurgerea următoarelor etape: </w:t>
            </w:r>
          </w:p>
          <w:p w14:paraId="374EAED0" w14:textId="77777777" w:rsidR="006A2A6A" w:rsidRPr="00154588" w:rsidRDefault="006A2A6A" w:rsidP="008C12B4">
            <w:pPr>
              <w:ind w:firstLine="708"/>
              <w:jc w:val="both"/>
              <w:rPr>
                <w:sz w:val="20"/>
                <w:szCs w:val="20"/>
                <w:lang w:eastAsia="ro-MD"/>
              </w:rPr>
            </w:pPr>
            <w:r w:rsidRPr="00154588">
              <w:rPr>
                <w:sz w:val="20"/>
                <w:szCs w:val="20"/>
                <w:lang w:eastAsia="ro-MD"/>
              </w:rPr>
              <w:t>a) orice profituri intermediare neincluse în fondurile proprii de nivel 1 de bază în conformitate cu actele normative ale Băncii Naționale a Moldovei emise în aplicarea art.60, 61 şi 62 din Legea nr.202/2017, cu excluderea oricărei distribuiri de profituri sau a oricărei plăți care rezultă în urma acțiunilor prevăzute la alin.(1), lit.a), b) sau c);</w:t>
            </w:r>
          </w:p>
          <w:p w14:paraId="60953F25" w14:textId="77777777" w:rsidR="006A2A6A" w:rsidRPr="00154588" w:rsidRDefault="006A2A6A" w:rsidP="008C12B4">
            <w:pPr>
              <w:jc w:val="both"/>
              <w:rPr>
                <w:sz w:val="20"/>
                <w:szCs w:val="20"/>
                <w:lang w:eastAsia="ro-MD"/>
              </w:rPr>
            </w:pPr>
            <w:r w:rsidRPr="00154588">
              <w:rPr>
                <w:sz w:val="20"/>
                <w:szCs w:val="20"/>
                <w:lang w:eastAsia="ro-MD"/>
              </w:rPr>
              <w:t>plus</w:t>
            </w:r>
          </w:p>
          <w:p w14:paraId="58A4699F" w14:textId="77777777" w:rsidR="006A2A6A" w:rsidRPr="00154588" w:rsidRDefault="006A2A6A" w:rsidP="008C12B4">
            <w:pPr>
              <w:ind w:firstLine="708"/>
              <w:jc w:val="both"/>
              <w:rPr>
                <w:sz w:val="20"/>
                <w:szCs w:val="20"/>
                <w:lang w:eastAsia="ro-MD"/>
              </w:rPr>
            </w:pPr>
            <w:r w:rsidRPr="00154588">
              <w:rPr>
                <w:sz w:val="20"/>
                <w:szCs w:val="20"/>
                <w:lang w:eastAsia="ro-MD"/>
              </w:rPr>
              <w:t>b) orice profituri înregistrate la sfârșit de exercițiu financiar neincluse în fondurile proprii de nivel 1 de bază în conformitate cu actele normative ale Băncii Naționale a Moldovei emise în aplicarea art.60, 61 şi 62 din Legea nr.202/2017, cu excluderea oricărei distribuiri de profituri sau a oricărei plăți care rezultă în urma inițierii acțiunilor prevăzute la alin.(1), lit.a), b) sau c);</w:t>
            </w:r>
          </w:p>
          <w:p w14:paraId="3674EA47" w14:textId="77777777" w:rsidR="006A2A6A" w:rsidRPr="00154588" w:rsidRDefault="006A2A6A" w:rsidP="008C12B4">
            <w:pPr>
              <w:jc w:val="both"/>
              <w:rPr>
                <w:sz w:val="20"/>
                <w:szCs w:val="20"/>
                <w:lang w:eastAsia="ro-MD"/>
              </w:rPr>
            </w:pPr>
            <w:r w:rsidRPr="00154588">
              <w:rPr>
                <w:sz w:val="20"/>
                <w:szCs w:val="20"/>
                <w:lang w:eastAsia="ro-MD"/>
              </w:rPr>
              <w:t>minus</w:t>
            </w:r>
          </w:p>
          <w:p w14:paraId="3E4C86C0" w14:textId="77777777" w:rsidR="006A2A6A" w:rsidRPr="00154588" w:rsidRDefault="006A2A6A" w:rsidP="008C12B4">
            <w:pPr>
              <w:ind w:firstLine="708"/>
              <w:jc w:val="both"/>
              <w:rPr>
                <w:sz w:val="20"/>
                <w:szCs w:val="20"/>
                <w:lang w:eastAsia="ro-MD"/>
              </w:rPr>
            </w:pPr>
            <w:r w:rsidRPr="00154588">
              <w:rPr>
                <w:sz w:val="20"/>
                <w:szCs w:val="20"/>
                <w:lang w:eastAsia="ro-MD"/>
              </w:rPr>
              <w:lastRenderedPageBreak/>
              <w:t>c) sumele care ar trebui plătite ca impozit dacă elementele menționate la lit. a) și b) de la prezentul alineat ar fi reținute.</w:t>
            </w:r>
          </w:p>
          <w:p w14:paraId="62931562" w14:textId="77777777" w:rsidR="006A2A6A" w:rsidRPr="00154588" w:rsidRDefault="006A2A6A" w:rsidP="008C12B4">
            <w:pPr>
              <w:jc w:val="both"/>
              <w:rPr>
                <w:bCs/>
                <w:sz w:val="20"/>
                <w:szCs w:val="20"/>
              </w:rPr>
            </w:pPr>
          </w:p>
        </w:tc>
        <w:tc>
          <w:tcPr>
            <w:tcW w:w="2552" w:type="dxa"/>
          </w:tcPr>
          <w:p w14:paraId="33FD855E" w14:textId="325560DE"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1FF231C8" w14:textId="77777777" w:rsidR="006A2A6A" w:rsidRPr="00154588" w:rsidRDefault="006A2A6A" w:rsidP="008C12B4">
            <w:pPr>
              <w:jc w:val="both"/>
              <w:rPr>
                <w:bCs/>
                <w:sz w:val="20"/>
                <w:szCs w:val="20"/>
              </w:rPr>
            </w:pPr>
          </w:p>
        </w:tc>
      </w:tr>
      <w:tr w:rsidR="006A2A6A" w:rsidRPr="00154588" w14:paraId="74A5A506" w14:textId="77777777" w:rsidTr="00D15C1B">
        <w:trPr>
          <w:jc w:val="center"/>
        </w:trPr>
        <w:tc>
          <w:tcPr>
            <w:tcW w:w="4957" w:type="dxa"/>
            <w:gridSpan w:val="2"/>
          </w:tcPr>
          <w:p w14:paraId="659D2C37" w14:textId="77777777" w:rsidR="006A2A6A" w:rsidRPr="00154588" w:rsidRDefault="006A2A6A" w:rsidP="008C12B4">
            <w:pPr>
              <w:jc w:val="both"/>
              <w:rPr>
                <w:bCs/>
                <w:sz w:val="20"/>
                <w:szCs w:val="20"/>
              </w:rPr>
            </w:pPr>
            <w:r w:rsidRPr="00154588">
              <w:rPr>
                <w:bCs/>
                <w:sz w:val="20"/>
                <w:szCs w:val="20"/>
              </w:rPr>
              <w:t>(6)   Factorul menționat la alineatul (4) se stabilește după cum urmează:</w:t>
            </w:r>
          </w:p>
          <w:p w14:paraId="4280D330" w14:textId="77777777" w:rsidR="006A2A6A" w:rsidRPr="00154588" w:rsidRDefault="006A2A6A" w:rsidP="008C12B4">
            <w:pPr>
              <w:jc w:val="both"/>
              <w:rPr>
                <w:bCs/>
                <w:sz w:val="20"/>
                <w:szCs w:val="20"/>
              </w:rPr>
            </w:pPr>
          </w:p>
          <w:p w14:paraId="3A87A0ED" w14:textId="0E50DA7F" w:rsidR="006A2A6A" w:rsidRPr="00154588" w:rsidRDefault="006A2A6A" w:rsidP="008C12B4">
            <w:pPr>
              <w:jc w:val="both"/>
              <w:rPr>
                <w:bCs/>
                <w:sz w:val="20"/>
                <w:szCs w:val="20"/>
              </w:rPr>
            </w:pPr>
            <w:r w:rsidRPr="00154588">
              <w:rPr>
                <w:bCs/>
                <w:sz w:val="20"/>
                <w:szCs w:val="20"/>
              </w:rPr>
              <w:t>(a) în cazul în care fondurile proprii de nivel 1 de bază menținute de entitate care nu sunt utilizate pentru a îndeplini oricare dintre cerințele prevăzute la articolul 92a din Regulamentul (UE) nr. 575/2013 și la articolele 45c și 45d din prezenta directivă, exprimate ca procent din cuantumul total al expunerii la risc calculat în conformitate cu articolul 92 alineatul (3) din Regulamentul (UE) nr. 575/2013, se situează în prima cuartilă (și anume, cea mai scăzută) a cerinței amortizorului combinat, factorul este 0;</w:t>
            </w:r>
          </w:p>
          <w:p w14:paraId="00357134" w14:textId="77777777" w:rsidR="006A2A6A" w:rsidRPr="00154588" w:rsidRDefault="006A2A6A" w:rsidP="008C12B4">
            <w:pPr>
              <w:jc w:val="both"/>
              <w:rPr>
                <w:bCs/>
                <w:sz w:val="20"/>
                <w:szCs w:val="20"/>
              </w:rPr>
            </w:pPr>
          </w:p>
          <w:p w14:paraId="691C4CE6" w14:textId="1FF17CE3" w:rsidR="006A2A6A" w:rsidRPr="00154588" w:rsidRDefault="006A2A6A" w:rsidP="008C12B4">
            <w:pPr>
              <w:jc w:val="both"/>
              <w:rPr>
                <w:bCs/>
                <w:sz w:val="20"/>
                <w:szCs w:val="20"/>
              </w:rPr>
            </w:pPr>
            <w:r w:rsidRPr="00154588">
              <w:rPr>
                <w:bCs/>
                <w:sz w:val="20"/>
                <w:szCs w:val="20"/>
              </w:rPr>
              <w:t>(b) în cazul în care fondurile proprii de nivel 1 de bază menținute de entitate care nu sunt utilizate pentru a îndeplini oricare dintre cerințele prevăzute la articolul 92a din Regulamentul (UE) nr. 575/2013 și la articolele 45c și 45d din prezenta directivă, exprimate ca procent din cuantumul total al expunerii la risc calculat în conformitate cu articolul 92 alineatul (3) din Regulamentul (UE) nr. 575/2013, se situează în a doua cuartilă a cerinței amortizorului combinat, factorul este 0,2;</w:t>
            </w:r>
          </w:p>
          <w:p w14:paraId="7DBEFD33" w14:textId="77777777" w:rsidR="006A2A6A" w:rsidRPr="00154588" w:rsidRDefault="006A2A6A" w:rsidP="008C12B4">
            <w:pPr>
              <w:jc w:val="both"/>
              <w:rPr>
                <w:bCs/>
                <w:sz w:val="20"/>
                <w:szCs w:val="20"/>
              </w:rPr>
            </w:pPr>
          </w:p>
          <w:p w14:paraId="0164C92F" w14:textId="3E676744" w:rsidR="006A2A6A" w:rsidRPr="00154588" w:rsidRDefault="006A2A6A" w:rsidP="008C12B4">
            <w:pPr>
              <w:jc w:val="both"/>
              <w:rPr>
                <w:bCs/>
                <w:sz w:val="20"/>
                <w:szCs w:val="20"/>
              </w:rPr>
            </w:pPr>
            <w:r w:rsidRPr="00154588">
              <w:rPr>
                <w:bCs/>
                <w:sz w:val="20"/>
                <w:szCs w:val="20"/>
              </w:rPr>
              <w:t>(c) în cazul în care fondurile proprii de nivel 1 de bază menținute de entitate care nu sunt utilizate pentru a îndeplini cerințele prevăzute la articolul 92a din Regulamentul (UE) nr. 575/2013 și la articolele 45c și 45d din prezenta directivă, exprimate ca procent din cuantumul total al expunerii la risc calculat în conformitate cu articolul 92 alineatul (3) din Regulamentul (UE) nr. 575/2013, se situează în a treia cuartilă a cerinței amortizorului combinat, factorul este 0,4;</w:t>
            </w:r>
          </w:p>
          <w:p w14:paraId="1286C13B" w14:textId="77777777" w:rsidR="006A2A6A" w:rsidRPr="00154588" w:rsidRDefault="006A2A6A" w:rsidP="008C12B4">
            <w:pPr>
              <w:jc w:val="both"/>
              <w:rPr>
                <w:bCs/>
                <w:sz w:val="20"/>
                <w:szCs w:val="20"/>
              </w:rPr>
            </w:pPr>
          </w:p>
          <w:p w14:paraId="28D77785" w14:textId="77777777" w:rsidR="006A2A6A" w:rsidRPr="00154588" w:rsidRDefault="006A2A6A" w:rsidP="008C12B4">
            <w:pPr>
              <w:jc w:val="both"/>
              <w:rPr>
                <w:bCs/>
                <w:sz w:val="20"/>
                <w:szCs w:val="20"/>
              </w:rPr>
            </w:pPr>
            <w:r w:rsidRPr="00154588">
              <w:rPr>
                <w:bCs/>
                <w:sz w:val="20"/>
                <w:szCs w:val="20"/>
              </w:rPr>
              <w:t xml:space="preserve">(d) în cazul în care fondurile proprii de nivel 1 de bază menținute de entitate care nu sunt utilizate pentru a îndeplini cerințele prevăzute la articolul 92a din Regulamentul (UE) nr. 575/2013 și la articolele 45c și 45d din prezenta directivă, exprimate ca procent din cuantumul total al expunerii la risc calculat în conformitate cu articolul 92 alineatul (3) din Regulamentul (UE) nr. 575/2013, se </w:t>
            </w:r>
            <w:r w:rsidRPr="00154588">
              <w:rPr>
                <w:bCs/>
                <w:sz w:val="20"/>
                <w:szCs w:val="20"/>
              </w:rPr>
              <w:lastRenderedPageBreak/>
              <w:t>situează în a patra cuartilă (și anume, cea mai ridicată) a cerinței amortizorului combinat, factorul este 0,6.</w:t>
            </w:r>
          </w:p>
          <w:p w14:paraId="4084E946" w14:textId="77777777" w:rsidR="006A2A6A" w:rsidRPr="00154588" w:rsidRDefault="006A2A6A" w:rsidP="008C12B4">
            <w:pPr>
              <w:jc w:val="both"/>
              <w:rPr>
                <w:bCs/>
                <w:sz w:val="20"/>
                <w:szCs w:val="20"/>
              </w:rPr>
            </w:pPr>
          </w:p>
          <w:p w14:paraId="099E7CB6" w14:textId="77777777" w:rsidR="006A2A6A" w:rsidRPr="00154588" w:rsidRDefault="006A2A6A" w:rsidP="008C12B4">
            <w:pPr>
              <w:jc w:val="both"/>
              <w:rPr>
                <w:bCs/>
                <w:sz w:val="20"/>
                <w:szCs w:val="20"/>
              </w:rPr>
            </w:pPr>
            <w:r w:rsidRPr="00154588">
              <w:rPr>
                <w:bCs/>
                <w:sz w:val="20"/>
                <w:szCs w:val="20"/>
              </w:rPr>
              <w:t>Limitele superioară și inferioară ale fiecărei cuartile a cerinței amortizorului combinat se calculează după cum urmează:</w:t>
            </w:r>
          </w:p>
          <w:p w14:paraId="7864235D" w14:textId="77777777" w:rsidR="006A2A6A" w:rsidRPr="00154588" w:rsidRDefault="006A2A6A" w:rsidP="008C12B4">
            <w:pPr>
              <w:jc w:val="both"/>
              <w:rPr>
                <w:bCs/>
                <w:sz w:val="20"/>
                <w:szCs w:val="20"/>
              </w:rPr>
            </w:pPr>
          </w:p>
          <w:p w14:paraId="095D8C27" w14:textId="64D67055" w:rsidR="006A2A6A" w:rsidRPr="00154588" w:rsidRDefault="006A2A6A" w:rsidP="008C12B4">
            <w:pPr>
              <w:jc w:val="both"/>
              <w:rPr>
                <w:bCs/>
                <w:sz w:val="16"/>
                <w:szCs w:val="16"/>
              </w:rPr>
            </w:pPr>
            <m:oMathPara>
              <m:oMath>
                <m:r>
                  <w:rPr>
                    <w:rFonts w:ascii="Cambria Math" w:hAnsi="Cambria Math"/>
                    <w:sz w:val="16"/>
                    <w:szCs w:val="16"/>
                  </w:rPr>
                  <m:t xml:space="preserve">Limita inferioară a cuartilei= </m:t>
                </m:r>
                <m:f>
                  <m:fPr>
                    <m:ctrlPr>
                      <w:rPr>
                        <w:rFonts w:ascii="Cambria Math" w:hAnsi="Cambria Math"/>
                        <w:bCs/>
                        <w:i/>
                        <w:sz w:val="16"/>
                        <w:szCs w:val="16"/>
                      </w:rPr>
                    </m:ctrlPr>
                  </m:fPr>
                  <m:num>
                    <m:r>
                      <w:rPr>
                        <w:rFonts w:ascii="Cambria Math" w:hAnsi="Cambria Math"/>
                        <w:sz w:val="16"/>
                        <w:szCs w:val="16"/>
                      </w:rPr>
                      <m:t>Cerința amortizorului combinat</m:t>
                    </m:r>
                  </m:num>
                  <m:den>
                    <m:r>
                      <w:rPr>
                        <w:rFonts w:ascii="Cambria Math" w:hAnsi="Cambria Math"/>
                        <w:sz w:val="16"/>
                        <w:szCs w:val="16"/>
                      </w:rPr>
                      <m:t>4</m:t>
                    </m:r>
                  </m:den>
                </m:f>
                <m:r>
                  <w:rPr>
                    <w:rFonts w:ascii="Cambria Math" w:hAnsi="Cambria Math"/>
                    <w:sz w:val="16"/>
                    <w:szCs w:val="16"/>
                  </w:rPr>
                  <m:t>×(</m:t>
                </m:r>
                <m:sSub>
                  <m:sSubPr>
                    <m:ctrlPr>
                      <w:rPr>
                        <w:rFonts w:ascii="Cambria Math" w:hAnsi="Cambria Math"/>
                        <w:bCs/>
                        <w:i/>
                        <w:sz w:val="16"/>
                        <w:szCs w:val="16"/>
                      </w:rPr>
                    </m:ctrlPr>
                  </m:sSubPr>
                  <m:e>
                    <m:r>
                      <w:rPr>
                        <w:rFonts w:ascii="Cambria Math" w:hAnsi="Cambria Math"/>
                        <w:sz w:val="16"/>
                        <w:szCs w:val="16"/>
                      </w:rPr>
                      <m:t>Q</m:t>
                    </m:r>
                  </m:e>
                  <m:sub>
                    <m:r>
                      <w:rPr>
                        <w:rFonts w:ascii="Cambria Math" w:hAnsi="Cambria Math"/>
                        <w:sz w:val="16"/>
                        <w:szCs w:val="16"/>
                      </w:rPr>
                      <m:t>n</m:t>
                    </m:r>
                  </m:sub>
                </m:sSub>
                <m:r>
                  <w:rPr>
                    <w:rFonts w:ascii="Cambria Math" w:hAnsi="Cambria Math"/>
                    <w:sz w:val="16"/>
                    <w:szCs w:val="16"/>
                  </w:rPr>
                  <m:t>-1)</m:t>
                </m:r>
              </m:oMath>
            </m:oMathPara>
          </w:p>
          <w:p w14:paraId="129D325D" w14:textId="77777777" w:rsidR="006A2A6A" w:rsidRPr="00154588" w:rsidRDefault="006A2A6A" w:rsidP="008C12B4">
            <w:pPr>
              <w:jc w:val="both"/>
              <w:rPr>
                <w:bCs/>
                <w:sz w:val="20"/>
                <w:szCs w:val="20"/>
              </w:rPr>
            </w:pPr>
          </w:p>
          <w:p w14:paraId="0414E0AB" w14:textId="1E9C74E5" w:rsidR="006A2A6A" w:rsidRPr="00154588" w:rsidRDefault="006A2A6A" w:rsidP="008C12B4">
            <w:pPr>
              <w:jc w:val="both"/>
              <w:rPr>
                <w:bCs/>
                <w:sz w:val="20"/>
                <w:szCs w:val="20"/>
              </w:rPr>
            </w:pPr>
            <m:oMathPara>
              <m:oMath>
                <m:r>
                  <w:rPr>
                    <w:rFonts w:ascii="Cambria Math" w:hAnsi="Cambria Math"/>
                    <w:sz w:val="16"/>
                    <w:szCs w:val="16"/>
                  </w:rPr>
                  <m:t xml:space="preserve">Limita superioară a cuartilei= </m:t>
                </m:r>
                <m:f>
                  <m:fPr>
                    <m:ctrlPr>
                      <w:rPr>
                        <w:rFonts w:ascii="Cambria Math" w:hAnsi="Cambria Math"/>
                        <w:bCs/>
                        <w:i/>
                        <w:sz w:val="16"/>
                        <w:szCs w:val="16"/>
                      </w:rPr>
                    </m:ctrlPr>
                  </m:fPr>
                  <m:num>
                    <m:r>
                      <w:rPr>
                        <w:rFonts w:ascii="Cambria Math" w:hAnsi="Cambria Math"/>
                        <w:sz w:val="16"/>
                        <w:szCs w:val="16"/>
                      </w:rPr>
                      <m:t>Cerința amortizorului combinat</m:t>
                    </m:r>
                  </m:num>
                  <m:den>
                    <m:r>
                      <w:rPr>
                        <w:rFonts w:ascii="Cambria Math" w:hAnsi="Cambria Math"/>
                        <w:sz w:val="16"/>
                        <w:szCs w:val="16"/>
                      </w:rPr>
                      <m:t>4</m:t>
                    </m:r>
                  </m:den>
                </m:f>
                <m:r>
                  <w:rPr>
                    <w:rFonts w:ascii="Cambria Math" w:hAnsi="Cambria Math"/>
                    <w:sz w:val="16"/>
                    <w:szCs w:val="16"/>
                  </w:rPr>
                  <m:t>×</m:t>
                </m:r>
                <m:sSub>
                  <m:sSubPr>
                    <m:ctrlPr>
                      <w:rPr>
                        <w:rFonts w:ascii="Cambria Math" w:hAnsi="Cambria Math"/>
                        <w:bCs/>
                        <w:i/>
                        <w:sz w:val="16"/>
                        <w:szCs w:val="16"/>
                      </w:rPr>
                    </m:ctrlPr>
                  </m:sSubPr>
                  <m:e>
                    <m:r>
                      <w:rPr>
                        <w:rFonts w:ascii="Cambria Math" w:hAnsi="Cambria Math"/>
                        <w:sz w:val="16"/>
                        <w:szCs w:val="16"/>
                      </w:rPr>
                      <m:t>Q</m:t>
                    </m:r>
                  </m:e>
                  <m:sub>
                    <m:r>
                      <w:rPr>
                        <w:rFonts w:ascii="Cambria Math" w:hAnsi="Cambria Math"/>
                        <w:sz w:val="16"/>
                        <w:szCs w:val="16"/>
                      </w:rPr>
                      <m:t>n</m:t>
                    </m:r>
                  </m:sub>
                </m:sSub>
              </m:oMath>
            </m:oMathPara>
          </w:p>
          <w:p w14:paraId="4F93F040" w14:textId="77777777" w:rsidR="006A2A6A" w:rsidRPr="00154588" w:rsidRDefault="006A2A6A" w:rsidP="008C12B4">
            <w:pPr>
              <w:jc w:val="both"/>
              <w:rPr>
                <w:bCs/>
                <w:sz w:val="20"/>
                <w:szCs w:val="20"/>
              </w:rPr>
            </w:pPr>
          </w:p>
          <w:p w14:paraId="4630855C" w14:textId="3ED23E86" w:rsidR="006A2A6A" w:rsidRPr="00154588" w:rsidRDefault="006A2A6A" w:rsidP="008C12B4">
            <w:pPr>
              <w:jc w:val="both"/>
              <w:rPr>
                <w:bCs/>
                <w:sz w:val="20"/>
                <w:szCs w:val="20"/>
              </w:rPr>
            </w:pPr>
            <w:r w:rsidRPr="00154588">
              <w:rPr>
                <w:bCs/>
                <w:sz w:val="20"/>
                <w:szCs w:val="20"/>
              </w:rPr>
              <w:t>unde „Qn ” = numărul de ordine al cuartilei în cauză.</w:t>
            </w:r>
          </w:p>
        </w:tc>
        <w:tc>
          <w:tcPr>
            <w:tcW w:w="4819" w:type="dxa"/>
          </w:tcPr>
          <w:p w14:paraId="1FCECAEA" w14:textId="77777777" w:rsidR="006A2A6A" w:rsidRPr="00154588" w:rsidRDefault="006A2A6A" w:rsidP="008C12B4">
            <w:pPr>
              <w:ind w:firstLine="708"/>
              <w:jc w:val="both"/>
              <w:rPr>
                <w:sz w:val="20"/>
                <w:szCs w:val="20"/>
              </w:rPr>
            </w:pPr>
            <w:r w:rsidRPr="00154588">
              <w:rPr>
                <w:sz w:val="20"/>
                <w:szCs w:val="20"/>
              </w:rPr>
              <w:lastRenderedPageBreak/>
              <w:t>(10) Factorul prevăzut la alin.(8) se determină după cum urmează:</w:t>
            </w:r>
          </w:p>
          <w:p w14:paraId="5B4B2429" w14:textId="77777777" w:rsidR="006A2A6A" w:rsidRPr="00154588" w:rsidRDefault="006A2A6A" w:rsidP="008C12B4">
            <w:pPr>
              <w:ind w:firstLine="708"/>
              <w:jc w:val="both"/>
              <w:rPr>
                <w:sz w:val="20"/>
                <w:szCs w:val="20"/>
              </w:rPr>
            </w:pPr>
            <w:r w:rsidRPr="00154588">
              <w:rPr>
                <w:sz w:val="20"/>
                <w:szCs w:val="20"/>
              </w:rPr>
              <w:t xml:space="preserve">a) în cazul în care fondurile proprii de </w:t>
            </w:r>
            <w:r w:rsidRPr="00154588">
              <w:rPr>
                <w:sz w:val="20"/>
                <w:szCs w:val="20"/>
                <w:lang w:eastAsia="ro-MD"/>
              </w:rPr>
              <w:t xml:space="preserve">nivel 1 de bază  menținute de instituția de credit sau entitatea prevăzută la art.1 alin.(1) lit.c) și d) </w:t>
            </w:r>
            <w:r w:rsidRPr="00154588">
              <w:rPr>
                <w:sz w:val="20"/>
                <w:szCs w:val="20"/>
              </w:rPr>
              <w:t>și nu sunt utilizate pentru a îndeplini  oricare dintre cerințele prevăzute în conformitate cu</w:t>
            </w:r>
            <w:r w:rsidRPr="00154588">
              <w:rPr>
                <w:sz w:val="20"/>
                <w:szCs w:val="20"/>
                <w:lang w:eastAsia="ro-MD"/>
              </w:rPr>
              <w:t xml:space="preserve"> actele normative ale Băncii Naționale a Moldovei emise în aplicarea art. </w:t>
            </w:r>
            <w:r w:rsidRPr="00154588">
              <w:rPr>
                <w:sz w:val="20"/>
                <w:szCs w:val="20"/>
              </w:rPr>
              <w:t xml:space="preserve"> art. </w:t>
            </w:r>
            <w:r w:rsidRPr="00154588">
              <w:rPr>
                <w:sz w:val="20"/>
                <w:szCs w:val="20"/>
                <w:lang w:eastAsia="ro-MD"/>
              </w:rPr>
              <w:t>60, 61 şi 62 din Legea nr.202/2017</w:t>
            </w:r>
            <w:r w:rsidRPr="00154588">
              <w:rPr>
                <w:sz w:val="20"/>
                <w:szCs w:val="20"/>
              </w:rPr>
              <w:t xml:space="preserve"> și la art.167, 167</w:t>
            </w:r>
            <w:r w:rsidRPr="00154588">
              <w:rPr>
                <w:sz w:val="20"/>
                <w:szCs w:val="20"/>
                <w:vertAlign w:val="superscript"/>
              </w:rPr>
              <w:t>5</w:t>
            </w:r>
            <w:r w:rsidRPr="00154588">
              <w:rPr>
                <w:sz w:val="20"/>
                <w:szCs w:val="20"/>
              </w:rPr>
              <w:t>-167</w:t>
            </w:r>
            <w:r w:rsidRPr="00154588">
              <w:rPr>
                <w:sz w:val="20"/>
                <w:szCs w:val="20"/>
                <w:vertAlign w:val="superscript"/>
              </w:rPr>
              <w:t xml:space="preserve">12 </w:t>
            </w:r>
            <w:r w:rsidRPr="00154588">
              <w:rPr>
                <w:sz w:val="20"/>
                <w:szCs w:val="20"/>
              </w:rPr>
              <w:t>și art.167</w:t>
            </w:r>
            <w:r w:rsidRPr="00154588">
              <w:rPr>
                <w:sz w:val="20"/>
                <w:szCs w:val="20"/>
                <w:vertAlign w:val="superscript"/>
              </w:rPr>
              <w:t>13</w:t>
            </w:r>
            <w:r w:rsidRPr="00154588">
              <w:rPr>
                <w:sz w:val="20"/>
                <w:szCs w:val="20"/>
              </w:rPr>
              <w:t>, exprimate ca procent din valoarea totală a expunerii la risc calculată în conformitate cu</w:t>
            </w:r>
            <w:r w:rsidRPr="00154588">
              <w:rPr>
                <w:sz w:val="20"/>
                <w:szCs w:val="20"/>
                <w:lang w:eastAsia="ro-MD"/>
              </w:rPr>
              <w:t xml:space="preserve"> actele normative ale Băncii Naționale a Moldovei emise în aplicarea </w:t>
            </w:r>
            <w:r w:rsidRPr="00154588">
              <w:rPr>
                <w:sz w:val="20"/>
                <w:szCs w:val="20"/>
              </w:rPr>
              <w:t xml:space="preserve"> art. </w:t>
            </w:r>
            <w:r w:rsidRPr="00154588">
              <w:rPr>
                <w:sz w:val="20"/>
                <w:szCs w:val="20"/>
                <w:lang w:eastAsia="ro-MD"/>
              </w:rPr>
              <w:t>60, 61 şi 62 din Legea nr.202/2017</w:t>
            </w:r>
            <w:r w:rsidRPr="00154588">
              <w:rPr>
                <w:sz w:val="20"/>
                <w:szCs w:val="20"/>
              </w:rPr>
              <w:t xml:space="preserve"> se situează în prima cuartilă (și anume cea mai scăzută) a cerinței amortizorului combinat, factorul este 0;</w:t>
            </w:r>
          </w:p>
          <w:p w14:paraId="6CB718BA" w14:textId="77777777" w:rsidR="006A2A6A" w:rsidRPr="00154588" w:rsidRDefault="006A2A6A" w:rsidP="008C12B4">
            <w:pPr>
              <w:ind w:firstLine="708"/>
              <w:jc w:val="both"/>
              <w:rPr>
                <w:sz w:val="20"/>
                <w:szCs w:val="20"/>
              </w:rPr>
            </w:pPr>
            <w:r w:rsidRPr="00154588">
              <w:rPr>
                <w:sz w:val="20"/>
                <w:szCs w:val="20"/>
              </w:rPr>
              <w:t xml:space="preserve">b) în cazul în care fondurile proprii de nivel 1 de bază  menținute de </w:t>
            </w:r>
            <w:r w:rsidRPr="00154588">
              <w:rPr>
                <w:sz w:val="20"/>
                <w:szCs w:val="20"/>
                <w:lang w:eastAsia="ro-MD"/>
              </w:rPr>
              <w:t>instituția de credit sau entitatea prevăzută la art.1 alin. (1) lit. c) și d)</w:t>
            </w:r>
            <w:r w:rsidRPr="00154588">
              <w:rPr>
                <w:sz w:val="20"/>
                <w:szCs w:val="20"/>
              </w:rPr>
              <w:t xml:space="preserve"> și nu sunt utilizate pentru a îndeplini oricare dintre cerințele în conformitate cu</w:t>
            </w:r>
            <w:r w:rsidRPr="00154588">
              <w:rPr>
                <w:sz w:val="20"/>
                <w:szCs w:val="20"/>
                <w:lang w:eastAsia="ro-MD"/>
              </w:rPr>
              <w:t xml:space="preserve"> actele normative ale Băncii Naționale a Moldovei emise în aplicarea </w:t>
            </w:r>
            <w:r w:rsidRPr="00154588">
              <w:rPr>
                <w:sz w:val="20"/>
                <w:szCs w:val="20"/>
              </w:rPr>
              <w:t xml:space="preserve"> art. </w:t>
            </w:r>
            <w:r w:rsidRPr="00154588">
              <w:rPr>
                <w:sz w:val="20"/>
                <w:szCs w:val="20"/>
                <w:lang w:eastAsia="ro-MD"/>
              </w:rPr>
              <w:t>60, 61 şi 62 din Legea nr.202/2017</w:t>
            </w:r>
            <w:r w:rsidRPr="00154588">
              <w:rPr>
                <w:sz w:val="20"/>
                <w:szCs w:val="20"/>
              </w:rPr>
              <w:t xml:space="preserve"> și la art.167, 167</w:t>
            </w:r>
            <w:r w:rsidRPr="00154588">
              <w:rPr>
                <w:sz w:val="20"/>
                <w:szCs w:val="20"/>
                <w:vertAlign w:val="superscript"/>
              </w:rPr>
              <w:t>5</w:t>
            </w:r>
            <w:r w:rsidRPr="00154588">
              <w:rPr>
                <w:sz w:val="20"/>
                <w:szCs w:val="20"/>
              </w:rPr>
              <w:t>-167</w:t>
            </w:r>
            <w:r w:rsidRPr="00154588">
              <w:rPr>
                <w:sz w:val="20"/>
                <w:szCs w:val="20"/>
                <w:vertAlign w:val="superscript"/>
              </w:rPr>
              <w:t xml:space="preserve">12 </w:t>
            </w:r>
            <w:r w:rsidRPr="00154588">
              <w:rPr>
                <w:sz w:val="20"/>
                <w:szCs w:val="20"/>
              </w:rPr>
              <w:t>și art.167</w:t>
            </w:r>
            <w:r w:rsidRPr="00154588">
              <w:rPr>
                <w:sz w:val="20"/>
                <w:szCs w:val="20"/>
                <w:vertAlign w:val="superscript"/>
              </w:rPr>
              <w:t>13</w:t>
            </w:r>
            <w:r w:rsidRPr="00154588">
              <w:rPr>
                <w:sz w:val="20"/>
                <w:szCs w:val="20"/>
              </w:rPr>
              <w:t>, exprimate ca procent din valoarea totală a expunerii la risc calculată în conformitate cu</w:t>
            </w:r>
            <w:r w:rsidRPr="00154588">
              <w:rPr>
                <w:sz w:val="20"/>
                <w:szCs w:val="20"/>
                <w:lang w:eastAsia="ro-MD"/>
              </w:rPr>
              <w:t xml:space="preserve"> actele normative ale Băncii Naționale a Moldovei emise în aplicarea </w:t>
            </w:r>
            <w:r w:rsidRPr="00154588">
              <w:rPr>
                <w:sz w:val="20"/>
                <w:szCs w:val="20"/>
              </w:rPr>
              <w:t xml:space="preserve"> art.</w:t>
            </w:r>
            <w:r w:rsidRPr="00154588">
              <w:rPr>
                <w:sz w:val="20"/>
                <w:szCs w:val="20"/>
                <w:lang w:eastAsia="ro-MD"/>
              </w:rPr>
              <w:t>60, 61 şi 62 din Legea nr.202/2017</w:t>
            </w:r>
            <w:r w:rsidRPr="00154588">
              <w:rPr>
                <w:sz w:val="20"/>
                <w:szCs w:val="20"/>
              </w:rPr>
              <w:t xml:space="preserve"> se situează în a doua cuartilă al cerinței amortizorului combinat, factorul este 0,2;</w:t>
            </w:r>
          </w:p>
          <w:p w14:paraId="473C7D9F" w14:textId="77777777" w:rsidR="006A2A6A" w:rsidRPr="00154588" w:rsidRDefault="006A2A6A" w:rsidP="008C12B4">
            <w:pPr>
              <w:ind w:firstLine="708"/>
              <w:jc w:val="both"/>
              <w:rPr>
                <w:sz w:val="20"/>
                <w:szCs w:val="20"/>
              </w:rPr>
            </w:pPr>
            <w:r w:rsidRPr="00154588">
              <w:rPr>
                <w:sz w:val="20"/>
                <w:szCs w:val="20"/>
              </w:rPr>
              <w:t xml:space="preserve">c) în cazul în care fondurile proprii de nivel 1 de bază  menținute de  </w:t>
            </w:r>
            <w:r w:rsidRPr="00154588">
              <w:rPr>
                <w:sz w:val="20"/>
                <w:szCs w:val="20"/>
                <w:lang w:eastAsia="ro-MD"/>
              </w:rPr>
              <w:t xml:space="preserve">instituția de credit sau entitatea prevăzută la art.1 alin. (1) lit. c) și d) </w:t>
            </w:r>
            <w:r w:rsidRPr="00154588">
              <w:rPr>
                <w:sz w:val="20"/>
                <w:szCs w:val="20"/>
              </w:rPr>
              <w:t xml:space="preserve"> și nu sunt utilizate pentru a îndeplini cerințele în conformitate cu</w:t>
            </w:r>
            <w:r w:rsidRPr="00154588">
              <w:rPr>
                <w:sz w:val="20"/>
                <w:szCs w:val="20"/>
                <w:lang w:eastAsia="ro-MD"/>
              </w:rPr>
              <w:t xml:space="preserve"> actele normative ale Băncii Naționale a Moldovei emise în aplicarea </w:t>
            </w:r>
            <w:r w:rsidRPr="00154588">
              <w:rPr>
                <w:sz w:val="20"/>
                <w:szCs w:val="20"/>
              </w:rPr>
              <w:t xml:space="preserve"> art. </w:t>
            </w:r>
            <w:r w:rsidRPr="00154588">
              <w:rPr>
                <w:sz w:val="20"/>
                <w:szCs w:val="20"/>
                <w:lang w:eastAsia="ro-MD"/>
              </w:rPr>
              <w:t>60, 61 şi 62 din Legea nr.202/2017</w:t>
            </w:r>
            <w:r w:rsidRPr="00154588">
              <w:rPr>
                <w:sz w:val="20"/>
                <w:szCs w:val="20"/>
              </w:rPr>
              <w:t xml:space="preserve"> și la art.167, 167</w:t>
            </w:r>
            <w:r w:rsidRPr="00154588">
              <w:rPr>
                <w:sz w:val="20"/>
                <w:szCs w:val="20"/>
                <w:vertAlign w:val="superscript"/>
              </w:rPr>
              <w:t>5</w:t>
            </w:r>
            <w:r w:rsidRPr="00154588">
              <w:rPr>
                <w:sz w:val="20"/>
                <w:szCs w:val="20"/>
              </w:rPr>
              <w:t>-167</w:t>
            </w:r>
            <w:r w:rsidRPr="00154588">
              <w:rPr>
                <w:sz w:val="20"/>
                <w:szCs w:val="20"/>
                <w:vertAlign w:val="superscript"/>
              </w:rPr>
              <w:t xml:space="preserve">12 </w:t>
            </w:r>
            <w:r w:rsidRPr="00154588">
              <w:rPr>
                <w:sz w:val="20"/>
                <w:szCs w:val="20"/>
              </w:rPr>
              <w:t>și art.167</w:t>
            </w:r>
            <w:r w:rsidRPr="00154588">
              <w:rPr>
                <w:sz w:val="20"/>
                <w:szCs w:val="20"/>
                <w:vertAlign w:val="superscript"/>
              </w:rPr>
              <w:t>13</w:t>
            </w:r>
            <w:r w:rsidRPr="00154588">
              <w:rPr>
                <w:sz w:val="20"/>
                <w:szCs w:val="20"/>
              </w:rPr>
              <w:t>, exprimate ca procent din valoarea totală a expunerii la risc calculată în conformitate cu</w:t>
            </w:r>
            <w:r w:rsidRPr="00154588">
              <w:rPr>
                <w:sz w:val="20"/>
                <w:szCs w:val="20"/>
                <w:lang w:eastAsia="ro-MD"/>
              </w:rPr>
              <w:t xml:space="preserve"> actele normative ale Băncii Naționale a Moldovei emise în aplicarea</w:t>
            </w:r>
            <w:r w:rsidRPr="00154588">
              <w:rPr>
                <w:sz w:val="20"/>
                <w:szCs w:val="20"/>
              </w:rPr>
              <w:t xml:space="preserve"> art. </w:t>
            </w:r>
            <w:r w:rsidRPr="00154588">
              <w:rPr>
                <w:sz w:val="20"/>
                <w:szCs w:val="20"/>
                <w:lang w:eastAsia="ro-MD"/>
              </w:rPr>
              <w:t>60, 61 şi 62 din Legea nr.202/2017</w:t>
            </w:r>
            <w:r w:rsidRPr="00154588">
              <w:rPr>
                <w:sz w:val="20"/>
                <w:szCs w:val="20"/>
              </w:rPr>
              <w:t xml:space="preserve"> se situează în a treia cuartilă al cerinței amortizorului combinat, factorul este 0,4;</w:t>
            </w:r>
          </w:p>
          <w:p w14:paraId="76AC25E2" w14:textId="77777777" w:rsidR="006A2A6A" w:rsidRPr="00154588" w:rsidRDefault="006A2A6A" w:rsidP="008C12B4">
            <w:pPr>
              <w:ind w:firstLine="567"/>
              <w:jc w:val="both"/>
              <w:rPr>
                <w:sz w:val="20"/>
                <w:szCs w:val="20"/>
              </w:rPr>
            </w:pPr>
            <w:r w:rsidRPr="00154588">
              <w:rPr>
                <w:sz w:val="20"/>
                <w:szCs w:val="20"/>
              </w:rPr>
              <w:lastRenderedPageBreak/>
              <w:t xml:space="preserve">d) în cazul în care fondurile proprii de nivel 1 de bază  menținute de </w:t>
            </w:r>
            <w:r w:rsidRPr="00154588">
              <w:rPr>
                <w:sz w:val="20"/>
                <w:szCs w:val="20"/>
                <w:lang w:eastAsia="ro-MD"/>
              </w:rPr>
              <w:t xml:space="preserve">instituția de credit sau entitatea prevăzută la art.1 alin. (1) lit. c) și d) </w:t>
            </w:r>
            <w:r w:rsidRPr="00154588">
              <w:rPr>
                <w:sz w:val="20"/>
                <w:szCs w:val="20"/>
              </w:rPr>
              <w:t xml:space="preserve"> care nu sunt utilizate pentru a îndeplini cerințele în conformitate cu</w:t>
            </w:r>
            <w:r w:rsidRPr="00154588">
              <w:rPr>
                <w:sz w:val="20"/>
                <w:szCs w:val="20"/>
                <w:lang w:eastAsia="ro-MD"/>
              </w:rPr>
              <w:t xml:space="preserve"> actele normative ale Băncii Naționale a Moldovei emise în aplicarea </w:t>
            </w:r>
            <w:r w:rsidRPr="00154588">
              <w:rPr>
                <w:sz w:val="20"/>
                <w:szCs w:val="20"/>
              </w:rPr>
              <w:t xml:space="preserve"> art.</w:t>
            </w:r>
            <w:r w:rsidRPr="00154588">
              <w:rPr>
                <w:sz w:val="20"/>
                <w:szCs w:val="20"/>
                <w:lang w:eastAsia="ro-MD"/>
              </w:rPr>
              <w:t>60, 61 şi 62 din Legea nr.202/2017</w:t>
            </w:r>
            <w:r w:rsidRPr="00154588">
              <w:rPr>
                <w:sz w:val="20"/>
                <w:szCs w:val="20"/>
              </w:rPr>
              <w:t xml:space="preserve"> și la art.167, 167</w:t>
            </w:r>
            <w:r w:rsidRPr="00154588">
              <w:rPr>
                <w:sz w:val="20"/>
                <w:szCs w:val="20"/>
                <w:vertAlign w:val="superscript"/>
              </w:rPr>
              <w:t>5</w:t>
            </w:r>
            <w:r w:rsidRPr="00154588">
              <w:rPr>
                <w:sz w:val="20"/>
                <w:szCs w:val="20"/>
              </w:rPr>
              <w:t>-167</w:t>
            </w:r>
            <w:r w:rsidRPr="00154588">
              <w:rPr>
                <w:sz w:val="20"/>
                <w:szCs w:val="20"/>
                <w:vertAlign w:val="superscript"/>
              </w:rPr>
              <w:t xml:space="preserve">12 </w:t>
            </w:r>
            <w:r w:rsidRPr="00154588">
              <w:rPr>
                <w:sz w:val="20"/>
                <w:szCs w:val="20"/>
              </w:rPr>
              <w:t>și art.167</w:t>
            </w:r>
            <w:r w:rsidRPr="00154588">
              <w:rPr>
                <w:sz w:val="20"/>
                <w:szCs w:val="20"/>
                <w:vertAlign w:val="superscript"/>
              </w:rPr>
              <w:t>13</w:t>
            </w:r>
            <w:r w:rsidRPr="00154588">
              <w:rPr>
                <w:sz w:val="20"/>
                <w:szCs w:val="20"/>
              </w:rPr>
              <w:t>, exprimate ca procent din valoarea totală a expunerii la risc calculată în conformitate cu</w:t>
            </w:r>
            <w:r w:rsidRPr="00154588">
              <w:rPr>
                <w:sz w:val="20"/>
                <w:szCs w:val="20"/>
                <w:lang w:eastAsia="ro-MD"/>
              </w:rPr>
              <w:t xml:space="preserve"> actele normative ale Băncii Naționale a Moldovei emise în aplicarea art. </w:t>
            </w:r>
            <w:r w:rsidRPr="00154588">
              <w:rPr>
                <w:sz w:val="20"/>
                <w:szCs w:val="20"/>
              </w:rPr>
              <w:t xml:space="preserve"> art. </w:t>
            </w:r>
            <w:r w:rsidRPr="00154588">
              <w:rPr>
                <w:sz w:val="20"/>
                <w:szCs w:val="20"/>
                <w:lang w:eastAsia="ro-MD"/>
              </w:rPr>
              <w:t xml:space="preserve">60, 61 şi 62 din Legea nr.202/2017 </w:t>
            </w:r>
            <w:r w:rsidRPr="00154588">
              <w:rPr>
                <w:sz w:val="20"/>
                <w:szCs w:val="20"/>
              </w:rPr>
              <w:t>se situează în a patra cuartilă (și anume cea mai ridicată) a cerinței amortizorului combinat, factorul este 0,6;</w:t>
            </w:r>
          </w:p>
          <w:p w14:paraId="7C7466FE" w14:textId="77777777" w:rsidR="006A2A6A" w:rsidRPr="00154588" w:rsidRDefault="006A2A6A" w:rsidP="008C12B4">
            <w:pPr>
              <w:ind w:firstLine="567"/>
              <w:jc w:val="both"/>
              <w:rPr>
                <w:sz w:val="20"/>
                <w:szCs w:val="20"/>
                <w:shd w:val="clear" w:color="auto" w:fill="FFFFFF"/>
              </w:rPr>
            </w:pPr>
            <w:r w:rsidRPr="00154588">
              <w:rPr>
                <w:sz w:val="20"/>
                <w:szCs w:val="20"/>
                <w:shd w:val="clear" w:color="auto" w:fill="FFFFFF"/>
              </w:rPr>
              <w:t>(11) În aplicarea prevederilor alin. (10), limita superioară și limita inferioară a fiecărei cuartile a cerinței amortizorului combinat se calculează după cum urmează:</w:t>
            </w:r>
          </w:p>
          <w:p w14:paraId="18A0132A" w14:textId="77777777" w:rsidR="006A2A6A" w:rsidRPr="00154588" w:rsidRDefault="006A2A6A" w:rsidP="008C12B4">
            <w:pPr>
              <w:ind w:firstLine="567"/>
              <w:jc w:val="both"/>
              <w:rPr>
                <w:sz w:val="20"/>
                <w:szCs w:val="20"/>
                <w:shd w:val="clear" w:color="auto" w:fill="FFFFFF"/>
              </w:rPr>
            </w:pPr>
          </w:p>
          <w:p w14:paraId="500BF385" w14:textId="77777777" w:rsidR="006A2A6A" w:rsidRPr="00154588" w:rsidRDefault="006A2A6A" w:rsidP="008C12B4">
            <w:pPr>
              <w:jc w:val="both"/>
              <w:rPr>
                <w:sz w:val="20"/>
                <w:szCs w:val="20"/>
                <w:shd w:val="clear" w:color="auto" w:fill="FFFFFF"/>
              </w:rPr>
            </w:pPr>
            <m:oMathPara>
              <m:oMathParaPr>
                <m:jc m:val="left"/>
              </m:oMathParaPr>
              <m:oMath>
                <m:r>
                  <w:rPr>
                    <w:rFonts w:ascii="Cambria Math" w:hAnsi="Cambria Math"/>
                    <w:sz w:val="20"/>
                    <w:szCs w:val="20"/>
                    <w:shd w:val="clear" w:color="auto" w:fill="FFFFFF"/>
                  </w:rPr>
                  <m:t>Limita inferioară a cuartilei</m:t>
                </m:r>
                <m:r>
                  <m:rPr>
                    <m:sty m:val="p"/>
                  </m:rPr>
                  <w:rPr>
                    <w:rFonts w:ascii="Cambria Math" w:hAnsi="Cambria Math"/>
                    <w:sz w:val="20"/>
                    <w:szCs w:val="20"/>
                    <w:shd w:val="clear" w:color="auto" w:fill="FFFFFF"/>
                  </w:rPr>
                  <m:t>=</m:t>
                </m:r>
                <m:f>
                  <m:fPr>
                    <m:ctrlPr>
                      <w:rPr>
                        <w:rFonts w:ascii="Cambria Math" w:hAnsi="Cambria Math"/>
                        <w:sz w:val="20"/>
                        <w:szCs w:val="20"/>
                        <w:shd w:val="clear" w:color="auto" w:fill="FFFFFF"/>
                      </w:rPr>
                    </m:ctrlPr>
                  </m:fPr>
                  <m:num>
                    <m:r>
                      <m:rPr>
                        <m:sty m:val="p"/>
                      </m:rPr>
                      <w:rPr>
                        <w:rFonts w:ascii="Cambria Math" w:hAnsi="Cambria Math"/>
                        <w:sz w:val="20"/>
                        <w:szCs w:val="20"/>
                        <w:shd w:val="clear" w:color="auto" w:fill="FFFFFF"/>
                      </w:rPr>
                      <m:t>Cerința amortizorului combinat</m:t>
                    </m:r>
                  </m:num>
                  <m:den>
                    <m:r>
                      <m:rPr>
                        <m:sty m:val="p"/>
                      </m:rPr>
                      <w:rPr>
                        <w:rFonts w:ascii="Cambria Math" w:hAnsi="Cambria Math"/>
                        <w:sz w:val="20"/>
                        <w:szCs w:val="20"/>
                        <w:shd w:val="clear" w:color="auto" w:fill="FFFFFF"/>
                      </w:rPr>
                      <m:t>4</m:t>
                    </m:r>
                  </m:den>
                </m:f>
                <m:r>
                  <w:rPr>
                    <w:rFonts w:ascii="Cambria Math" w:hAnsi="Cambria Math"/>
                    <w:sz w:val="20"/>
                    <w:szCs w:val="20"/>
                    <w:shd w:val="clear" w:color="auto" w:fill="FFFFFF"/>
                  </w:rPr>
                  <m:t xml:space="preserve">x </m:t>
                </m:r>
                <m:d>
                  <m:dPr>
                    <m:ctrlPr>
                      <w:rPr>
                        <w:rFonts w:ascii="Cambria Math" w:hAnsi="Cambria Math"/>
                        <w:i/>
                        <w:sz w:val="20"/>
                        <w:szCs w:val="20"/>
                        <w:shd w:val="clear" w:color="auto" w:fill="FFFFFF"/>
                      </w:rPr>
                    </m:ctrlPr>
                  </m:dPr>
                  <m:e>
                    <m:r>
                      <w:rPr>
                        <w:rFonts w:ascii="Cambria Math" w:hAnsi="Cambria Math"/>
                        <w:sz w:val="20"/>
                        <w:szCs w:val="20"/>
                        <w:shd w:val="clear" w:color="auto" w:fill="FFFFFF"/>
                      </w:rPr>
                      <m:t>Qn-1</m:t>
                    </m:r>
                  </m:e>
                </m:d>
              </m:oMath>
            </m:oMathPara>
          </w:p>
          <w:p w14:paraId="758A172B" w14:textId="77777777" w:rsidR="006A2A6A" w:rsidRPr="00154588" w:rsidRDefault="006A2A6A" w:rsidP="008C12B4">
            <w:pPr>
              <w:ind w:firstLine="567"/>
              <w:jc w:val="both"/>
              <w:rPr>
                <w:rFonts w:eastAsiaTheme="minorEastAsia"/>
                <w:sz w:val="20"/>
                <w:szCs w:val="20"/>
                <w:lang w:eastAsia="ro-MD"/>
              </w:rPr>
            </w:pPr>
            <m:oMathPara>
              <m:oMathParaPr>
                <m:jc m:val="left"/>
              </m:oMathParaPr>
              <m:oMath>
                <m:r>
                  <w:rPr>
                    <w:rFonts w:ascii="Cambria Math" w:hAnsi="Cambria Math"/>
                    <w:sz w:val="20"/>
                    <w:szCs w:val="20"/>
                    <w:lang w:eastAsia="ro-MD"/>
                  </w:rPr>
                  <m:t>L</m:t>
                </m:r>
                <m:r>
                  <w:rPr>
                    <w:rFonts w:ascii="Cambria Math" w:eastAsiaTheme="minorHAnsi" w:hAnsi="Cambria Math"/>
                    <w:kern w:val="2"/>
                    <w:sz w:val="20"/>
                    <w:szCs w:val="20"/>
                    <w:shd w:val="clear" w:color="auto" w:fill="FFFFFF"/>
                    <w14:ligatures w14:val="standardContextual"/>
                  </w:rPr>
                  <m:t>imita superioară a cuartilei=</m:t>
                </m:r>
                <m:f>
                  <m:fPr>
                    <m:ctrlPr>
                      <w:rPr>
                        <w:rFonts w:ascii="Cambria Math" w:hAnsi="Cambria Math"/>
                        <w:i/>
                        <w:sz w:val="20"/>
                        <w:szCs w:val="20"/>
                        <w:shd w:val="clear" w:color="auto" w:fill="FFFFFF"/>
                      </w:rPr>
                    </m:ctrlPr>
                  </m:fPr>
                  <m:num>
                    <m:r>
                      <w:rPr>
                        <w:rFonts w:ascii="Cambria Math" w:hAnsi="Cambria Math"/>
                        <w:sz w:val="20"/>
                        <w:szCs w:val="20"/>
                        <w:shd w:val="clear" w:color="auto" w:fill="FFFFFF"/>
                      </w:rPr>
                      <m:t>Cerința amortizorului combinat</m:t>
                    </m:r>
                  </m:num>
                  <m:den>
                    <m:r>
                      <w:rPr>
                        <w:rFonts w:ascii="Cambria Math" w:hAnsi="Cambria Math"/>
                        <w:sz w:val="20"/>
                        <w:szCs w:val="20"/>
                        <w:shd w:val="clear" w:color="auto" w:fill="FFFFFF"/>
                      </w:rPr>
                      <m:t>4</m:t>
                    </m:r>
                  </m:den>
                </m:f>
                <m:r>
                  <w:rPr>
                    <w:rFonts w:ascii="Cambria Math" w:eastAsiaTheme="minorHAnsi" w:hAnsi="Cambria Math"/>
                    <w:kern w:val="2"/>
                    <w:sz w:val="20"/>
                    <w:szCs w:val="20"/>
                    <w:shd w:val="clear" w:color="auto" w:fill="FFFFFF"/>
                    <w14:ligatures w14:val="standardContextual"/>
                  </w:rPr>
                  <m:t>=Qn</m:t>
                </m:r>
              </m:oMath>
            </m:oMathPara>
          </w:p>
          <w:p w14:paraId="4DA7D55D" w14:textId="77777777" w:rsidR="006A2A6A" w:rsidRPr="00154588" w:rsidRDefault="006A2A6A" w:rsidP="008C12B4">
            <w:pPr>
              <w:ind w:firstLine="567"/>
              <w:jc w:val="both"/>
              <w:rPr>
                <w:sz w:val="20"/>
                <w:szCs w:val="20"/>
              </w:rPr>
            </w:pPr>
            <w:r w:rsidRPr="00154588">
              <w:rPr>
                <w:sz w:val="20"/>
                <w:szCs w:val="20"/>
              </w:rPr>
              <w:t>unde „Qn” = numărul de ordine a cuartilei în cauză.</w:t>
            </w:r>
          </w:p>
          <w:p w14:paraId="603C1812" w14:textId="77777777" w:rsidR="006A2A6A" w:rsidRPr="00154588" w:rsidRDefault="006A2A6A" w:rsidP="008C12B4">
            <w:pPr>
              <w:ind w:firstLine="567"/>
              <w:jc w:val="both"/>
              <w:rPr>
                <w:sz w:val="20"/>
                <w:szCs w:val="20"/>
              </w:rPr>
            </w:pPr>
          </w:p>
          <w:p w14:paraId="1122C14F" w14:textId="77777777" w:rsidR="006A2A6A" w:rsidRPr="00154588" w:rsidRDefault="006A2A6A" w:rsidP="008C12B4">
            <w:pPr>
              <w:jc w:val="both"/>
              <w:rPr>
                <w:bCs/>
                <w:sz w:val="20"/>
                <w:szCs w:val="20"/>
              </w:rPr>
            </w:pPr>
          </w:p>
        </w:tc>
        <w:tc>
          <w:tcPr>
            <w:tcW w:w="2552" w:type="dxa"/>
          </w:tcPr>
          <w:p w14:paraId="339C36E2" w14:textId="7FCE8F1E"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0AF244DC" w14:textId="77777777" w:rsidR="006A2A6A" w:rsidRPr="00154588" w:rsidRDefault="006A2A6A" w:rsidP="008C12B4">
            <w:pPr>
              <w:jc w:val="both"/>
              <w:rPr>
                <w:bCs/>
                <w:sz w:val="20"/>
                <w:szCs w:val="20"/>
              </w:rPr>
            </w:pPr>
          </w:p>
        </w:tc>
      </w:tr>
      <w:tr w:rsidR="00BA564F" w:rsidRPr="00154588" w14:paraId="08227A09" w14:textId="77777777" w:rsidTr="00D15C1B">
        <w:trPr>
          <w:jc w:val="center"/>
        </w:trPr>
        <w:tc>
          <w:tcPr>
            <w:tcW w:w="4957" w:type="dxa"/>
            <w:gridSpan w:val="2"/>
          </w:tcPr>
          <w:p w14:paraId="60B1B0DD" w14:textId="77777777" w:rsidR="00BA564F" w:rsidRPr="00154588" w:rsidRDefault="00BA564F" w:rsidP="008C12B4">
            <w:pPr>
              <w:jc w:val="both"/>
              <w:rPr>
                <w:bCs/>
                <w:sz w:val="20"/>
                <w:szCs w:val="20"/>
              </w:rPr>
            </w:pPr>
            <w:r w:rsidRPr="00154588">
              <w:rPr>
                <w:bCs/>
                <w:sz w:val="20"/>
                <w:szCs w:val="20"/>
              </w:rPr>
              <w:t xml:space="preserve">(7) În cazul în care o entitate de rezoluție sau o entitate care nu este ea însăși o entitate de rezoluție nu face obiectul cerinței amortizorului combinat pe aceeași bază pe care are obligația de a respecta cerințele menționate la articolele 45c și 45d din prezenta directivă, autoritățile de rezoluție aplică alineatele (1)-(6) de la prezentul articol pe baza cerinței estimate a amortizorului combinat care rezultă din metodologia stabilită în actul delegat adoptat în temeiul articolului 45c alineatul (4) din prezenta directivă. Se aplică articolul 128 al patrulea paragraf din Directiva 2013/36/UE. </w:t>
            </w:r>
          </w:p>
          <w:p w14:paraId="00FFD1CD" w14:textId="77777777" w:rsidR="00BA564F" w:rsidRPr="00154588" w:rsidRDefault="00BA564F" w:rsidP="008C12B4">
            <w:pPr>
              <w:jc w:val="both"/>
              <w:rPr>
                <w:bCs/>
                <w:sz w:val="20"/>
                <w:szCs w:val="20"/>
              </w:rPr>
            </w:pPr>
          </w:p>
          <w:p w14:paraId="6D738081" w14:textId="1868A147" w:rsidR="00BA564F" w:rsidRPr="00154588" w:rsidRDefault="00BA564F" w:rsidP="008C12B4">
            <w:pPr>
              <w:jc w:val="both"/>
              <w:rPr>
                <w:bCs/>
                <w:sz w:val="20"/>
                <w:szCs w:val="20"/>
              </w:rPr>
            </w:pPr>
            <w:r w:rsidRPr="00154588">
              <w:rPr>
                <w:bCs/>
                <w:sz w:val="20"/>
                <w:szCs w:val="20"/>
              </w:rPr>
              <w:t xml:space="preserve">Autoritatea de rezoluție include cerința estimată a amortizorului combinat menționată la primul paragraf de la prezentul alineat în decizia de stabilire a cerințelor menționate la articolele 45c și 45d. Entitatea pune la dispoziția publicului cerința estimată a amortizorului </w:t>
            </w:r>
            <w:r w:rsidRPr="00154588">
              <w:rPr>
                <w:bCs/>
                <w:sz w:val="20"/>
                <w:szCs w:val="20"/>
              </w:rPr>
              <w:lastRenderedPageBreak/>
              <w:t>combinat, împreună cu informațiile menționate la articolul 45i alineatul (3).</w:t>
            </w:r>
          </w:p>
        </w:tc>
        <w:tc>
          <w:tcPr>
            <w:tcW w:w="4819" w:type="dxa"/>
          </w:tcPr>
          <w:p w14:paraId="378E30A7" w14:textId="60E4ABE5" w:rsidR="00C746CE" w:rsidRPr="00154588" w:rsidRDefault="00F81248" w:rsidP="008C12B4">
            <w:pPr>
              <w:jc w:val="both"/>
              <w:rPr>
                <w:sz w:val="20"/>
                <w:szCs w:val="20"/>
              </w:rPr>
            </w:pPr>
            <w:r w:rsidRPr="00154588">
              <w:rPr>
                <w:sz w:val="20"/>
                <w:szCs w:val="20"/>
              </w:rPr>
              <w:lastRenderedPageBreak/>
              <w:t>(1</w:t>
            </w:r>
            <w:r w:rsidR="00341535" w:rsidRPr="00154588">
              <w:rPr>
                <w:sz w:val="20"/>
                <w:szCs w:val="20"/>
              </w:rPr>
              <w:t>2</w:t>
            </w:r>
            <w:r w:rsidRPr="00154588">
              <w:rPr>
                <w:sz w:val="20"/>
                <w:szCs w:val="20"/>
              </w:rPr>
              <w:t xml:space="preserve">) </w:t>
            </w:r>
            <w:r w:rsidR="0067291D" w:rsidRPr="00154588">
              <w:rPr>
                <w:sz w:val="20"/>
                <w:szCs w:val="20"/>
              </w:rPr>
              <w:t xml:space="preserve">În cazul în care </w:t>
            </w:r>
            <w:r w:rsidR="00C746CE" w:rsidRPr="00154588">
              <w:rPr>
                <w:sz w:val="20"/>
                <w:szCs w:val="20"/>
              </w:rPr>
              <w:t>unei</w:t>
            </w:r>
            <w:r w:rsidR="0067291D" w:rsidRPr="00154588">
              <w:rPr>
                <w:sz w:val="20"/>
                <w:szCs w:val="20"/>
              </w:rPr>
              <w:t xml:space="preserve"> entit</w:t>
            </w:r>
            <w:r w:rsidR="00C746CE" w:rsidRPr="00154588">
              <w:rPr>
                <w:sz w:val="20"/>
                <w:szCs w:val="20"/>
              </w:rPr>
              <w:t>ăți</w:t>
            </w:r>
            <w:r w:rsidR="0067291D" w:rsidRPr="00154588">
              <w:rPr>
                <w:sz w:val="20"/>
                <w:szCs w:val="20"/>
              </w:rPr>
              <w:t xml:space="preserve"> de rezoluție sau </w:t>
            </w:r>
            <w:r w:rsidR="00C746CE" w:rsidRPr="00154588">
              <w:rPr>
                <w:sz w:val="20"/>
                <w:szCs w:val="20"/>
              </w:rPr>
              <w:t>unei</w:t>
            </w:r>
            <w:r w:rsidR="0067291D" w:rsidRPr="00154588">
              <w:rPr>
                <w:sz w:val="20"/>
                <w:szCs w:val="20"/>
              </w:rPr>
              <w:t xml:space="preserve"> entit</w:t>
            </w:r>
            <w:r w:rsidR="00C746CE" w:rsidRPr="00154588">
              <w:rPr>
                <w:sz w:val="20"/>
                <w:szCs w:val="20"/>
              </w:rPr>
              <w:t>ăți</w:t>
            </w:r>
            <w:r w:rsidR="0067291D" w:rsidRPr="00154588">
              <w:rPr>
                <w:sz w:val="20"/>
                <w:szCs w:val="20"/>
              </w:rPr>
              <w:t xml:space="preserve"> care nu este </w:t>
            </w:r>
            <w:r w:rsidR="00C746CE" w:rsidRPr="00154588">
              <w:rPr>
                <w:sz w:val="20"/>
                <w:szCs w:val="20"/>
              </w:rPr>
              <w:t xml:space="preserve"> ea însăși </w:t>
            </w:r>
            <w:r w:rsidR="0067291D" w:rsidRPr="00154588">
              <w:rPr>
                <w:sz w:val="20"/>
                <w:szCs w:val="20"/>
              </w:rPr>
              <w:t xml:space="preserve">entitate de rezoluție </w:t>
            </w:r>
            <w:r w:rsidR="00C746CE" w:rsidRPr="00154588">
              <w:rPr>
                <w:sz w:val="20"/>
                <w:szCs w:val="20"/>
              </w:rPr>
              <w:t xml:space="preserve">nu i se aplică cerința amortizorului combinat pe aceeași bază pe care aceasta are obligația de a respecta cerințele prevăzute la art. 167, art.167⁵–167¹² și art.167¹³, Banca Națională a Moldovei, în calitate de autoritate de rezoluție, aplică prevederile alin. (1)–(10) în baza unei cerințe estimate a amortizorului combinat, determinată în conformitate cu reglementările Băncii Naționale a Moldovei privind amortizoarele de capital ale băncilor. În acest caz, se aplică în mod corespunzător cerințele privind amortizorul O-SII prevăzute de reglementările respective. </w:t>
            </w:r>
          </w:p>
          <w:p w14:paraId="46C21B6A" w14:textId="58F1B8DB" w:rsidR="0067291D" w:rsidRPr="00154588" w:rsidRDefault="0067291D" w:rsidP="008C12B4">
            <w:pPr>
              <w:jc w:val="both"/>
              <w:rPr>
                <w:sz w:val="20"/>
                <w:szCs w:val="20"/>
              </w:rPr>
            </w:pPr>
            <w:r w:rsidRPr="00154588">
              <w:rPr>
                <w:sz w:val="20"/>
                <w:szCs w:val="20"/>
              </w:rPr>
              <w:t>(1</w:t>
            </w:r>
            <w:r w:rsidR="00341535" w:rsidRPr="00154588">
              <w:rPr>
                <w:sz w:val="20"/>
                <w:szCs w:val="20"/>
              </w:rPr>
              <w:t>3</w:t>
            </w:r>
            <w:r w:rsidRPr="00154588">
              <w:rPr>
                <w:sz w:val="20"/>
                <w:szCs w:val="20"/>
              </w:rPr>
              <w:t>) Banca Națională a Moldovei, în calitate de autoritate de rezoluție,</w:t>
            </w:r>
            <w:r w:rsidRPr="00154588">
              <w:rPr>
                <w:bCs/>
                <w:sz w:val="20"/>
                <w:szCs w:val="20"/>
              </w:rPr>
              <w:t xml:space="preserve"> include cerința estimată a amortizorului combinat menționată la alin(11) în decizia de stabilire a cerințelor menționate la</w:t>
            </w:r>
            <w:r w:rsidRPr="00154588">
              <w:rPr>
                <w:sz w:val="20"/>
                <w:szCs w:val="20"/>
              </w:rPr>
              <w:t xml:space="preserve"> art. 167, art. 167⁵–167¹² și art. 167¹³.</w:t>
            </w:r>
          </w:p>
          <w:p w14:paraId="1ECF13B6" w14:textId="7D2863D1" w:rsidR="0067291D" w:rsidRPr="00154588" w:rsidRDefault="000D3CF9" w:rsidP="008C12B4">
            <w:pPr>
              <w:jc w:val="both"/>
              <w:rPr>
                <w:sz w:val="20"/>
                <w:szCs w:val="20"/>
              </w:rPr>
            </w:pPr>
            <w:r w:rsidRPr="00154588">
              <w:rPr>
                <w:bCs/>
                <w:sz w:val="20"/>
                <w:szCs w:val="20"/>
              </w:rPr>
              <w:lastRenderedPageBreak/>
              <w:t xml:space="preserve">(14) </w:t>
            </w:r>
            <w:r w:rsidR="0067291D" w:rsidRPr="00154588">
              <w:rPr>
                <w:bCs/>
                <w:sz w:val="20"/>
                <w:szCs w:val="20"/>
              </w:rPr>
              <w:t xml:space="preserve">Entitatea </w:t>
            </w:r>
            <w:r w:rsidR="00C746CE" w:rsidRPr="00154588">
              <w:rPr>
                <w:bCs/>
                <w:sz w:val="20"/>
                <w:szCs w:val="20"/>
              </w:rPr>
              <w:t>comunică</w:t>
            </w:r>
            <w:r w:rsidR="0067291D" w:rsidRPr="00154588">
              <w:rPr>
                <w:bCs/>
                <w:sz w:val="20"/>
                <w:szCs w:val="20"/>
              </w:rPr>
              <w:t xml:space="preserve"> publicului cerința estimată a amortizorului combinat, împreună cu informațiile menționate la art</w:t>
            </w:r>
            <w:r w:rsidRPr="00154588">
              <w:rPr>
                <w:bCs/>
                <w:sz w:val="20"/>
                <w:szCs w:val="20"/>
              </w:rPr>
              <w:t>.170</w:t>
            </w:r>
            <w:r w:rsidRPr="00154588">
              <w:rPr>
                <w:bCs/>
                <w:sz w:val="20"/>
                <w:szCs w:val="20"/>
                <w:vertAlign w:val="superscript"/>
              </w:rPr>
              <w:t>3</w:t>
            </w:r>
            <w:r w:rsidRPr="00154588">
              <w:rPr>
                <w:bCs/>
                <w:sz w:val="20"/>
                <w:szCs w:val="20"/>
              </w:rPr>
              <w:t xml:space="preserve"> alin.(2)</w:t>
            </w:r>
          </w:p>
          <w:p w14:paraId="0315CDBA" w14:textId="1B9091FF" w:rsidR="0067291D" w:rsidRPr="00154588" w:rsidRDefault="0067291D" w:rsidP="008C12B4">
            <w:pPr>
              <w:jc w:val="both"/>
              <w:rPr>
                <w:sz w:val="20"/>
                <w:szCs w:val="20"/>
              </w:rPr>
            </w:pPr>
          </w:p>
        </w:tc>
        <w:tc>
          <w:tcPr>
            <w:tcW w:w="2552" w:type="dxa"/>
          </w:tcPr>
          <w:p w14:paraId="76820B98" w14:textId="2EA70B58" w:rsidR="00BA564F" w:rsidRPr="00154588" w:rsidRDefault="00F2760F" w:rsidP="008C12B4">
            <w:pPr>
              <w:jc w:val="both"/>
              <w:rPr>
                <w:bCs/>
                <w:sz w:val="20"/>
                <w:szCs w:val="20"/>
              </w:rPr>
            </w:pPr>
            <w:r w:rsidRPr="00154588">
              <w:rPr>
                <w:bCs/>
                <w:sz w:val="20"/>
                <w:szCs w:val="20"/>
              </w:rPr>
              <w:lastRenderedPageBreak/>
              <w:t>Compatibil</w:t>
            </w:r>
          </w:p>
        </w:tc>
        <w:tc>
          <w:tcPr>
            <w:tcW w:w="3118" w:type="dxa"/>
          </w:tcPr>
          <w:p w14:paraId="7603BACE" w14:textId="77777777" w:rsidR="00BA564F" w:rsidRPr="00154588" w:rsidRDefault="00BA564F" w:rsidP="008C12B4">
            <w:pPr>
              <w:jc w:val="both"/>
              <w:rPr>
                <w:bCs/>
                <w:sz w:val="20"/>
                <w:szCs w:val="20"/>
              </w:rPr>
            </w:pPr>
          </w:p>
        </w:tc>
      </w:tr>
      <w:tr w:rsidR="006A2A6A" w:rsidRPr="00154588" w14:paraId="37566B7D" w14:textId="77777777" w:rsidTr="00D15C1B">
        <w:trPr>
          <w:jc w:val="center"/>
        </w:trPr>
        <w:tc>
          <w:tcPr>
            <w:tcW w:w="4957" w:type="dxa"/>
            <w:gridSpan w:val="2"/>
          </w:tcPr>
          <w:p w14:paraId="6A9CEFE5" w14:textId="77777777" w:rsidR="006A2A6A" w:rsidRPr="00154588" w:rsidRDefault="006A2A6A" w:rsidP="008C12B4">
            <w:pPr>
              <w:rPr>
                <w:b/>
                <w:sz w:val="20"/>
                <w:szCs w:val="20"/>
              </w:rPr>
            </w:pPr>
            <w:r w:rsidRPr="00154588">
              <w:rPr>
                <w:b/>
                <w:sz w:val="20"/>
                <w:szCs w:val="20"/>
              </w:rPr>
              <w:t>Articolul 17</w:t>
            </w:r>
          </w:p>
          <w:p w14:paraId="21AC199B" w14:textId="77777777" w:rsidR="006A2A6A" w:rsidRPr="00154588" w:rsidRDefault="006A2A6A" w:rsidP="008C12B4">
            <w:pPr>
              <w:rPr>
                <w:b/>
                <w:sz w:val="20"/>
                <w:szCs w:val="20"/>
              </w:rPr>
            </w:pPr>
          </w:p>
          <w:p w14:paraId="533AB706" w14:textId="625F1AFC" w:rsidR="006A2A6A" w:rsidRPr="00154588" w:rsidRDefault="006A2A6A" w:rsidP="008C12B4">
            <w:pPr>
              <w:rPr>
                <w:bCs/>
                <w:sz w:val="20"/>
                <w:szCs w:val="20"/>
              </w:rPr>
            </w:pPr>
            <w:r w:rsidRPr="00154588">
              <w:rPr>
                <w:b/>
                <w:sz w:val="20"/>
                <w:szCs w:val="20"/>
              </w:rPr>
              <w:t>Competența de a aborda sau de a înlătura obstacolele din calea posibilităților de soluționare</w:t>
            </w:r>
          </w:p>
        </w:tc>
        <w:tc>
          <w:tcPr>
            <w:tcW w:w="4819" w:type="dxa"/>
          </w:tcPr>
          <w:p w14:paraId="09DB8FA8" w14:textId="77777777" w:rsidR="006A2A6A" w:rsidRPr="00154588" w:rsidRDefault="006A2A6A" w:rsidP="008C12B4">
            <w:pPr>
              <w:jc w:val="center"/>
              <w:rPr>
                <w:b/>
                <w:bCs/>
                <w:sz w:val="20"/>
                <w:szCs w:val="20"/>
              </w:rPr>
            </w:pPr>
            <w:r w:rsidRPr="00154588">
              <w:rPr>
                <w:b/>
                <w:bCs/>
                <w:sz w:val="20"/>
                <w:szCs w:val="20"/>
                <w:lang w:eastAsia="ro-MD"/>
              </w:rPr>
              <w:t xml:space="preserve">Secţiunea </w:t>
            </w:r>
            <w:r w:rsidRPr="00154588">
              <w:rPr>
                <w:b/>
                <w:bCs/>
                <w:sz w:val="20"/>
                <w:szCs w:val="20"/>
              </w:rPr>
              <w:t>a 2-a</w:t>
            </w:r>
          </w:p>
          <w:p w14:paraId="4722E903" w14:textId="77777777" w:rsidR="006A2A6A" w:rsidRPr="00154588" w:rsidRDefault="006A2A6A" w:rsidP="008C12B4">
            <w:pPr>
              <w:jc w:val="center"/>
              <w:rPr>
                <w:b/>
                <w:bCs/>
                <w:sz w:val="20"/>
                <w:szCs w:val="20"/>
              </w:rPr>
            </w:pPr>
            <w:r w:rsidRPr="00154588">
              <w:rPr>
                <w:b/>
                <w:bCs/>
                <w:sz w:val="20"/>
                <w:szCs w:val="20"/>
              </w:rPr>
              <w:t>Competenţa de a aborda sau de a înlătura obstacolele</w:t>
            </w:r>
          </w:p>
          <w:p w14:paraId="2151EEC9" w14:textId="77777777" w:rsidR="006A2A6A" w:rsidRPr="00154588" w:rsidRDefault="006A2A6A" w:rsidP="008C12B4">
            <w:pPr>
              <w:jc w:val="center"/>
              <w:rPr>
                <w:b/>
                <w:bCs/>
                <w:sz w:val="20"/>
                <w:szCs w:val="20"/>
              </w:rPr>
            </w:pPr>
            <w:r w:rsidRPr="00154588">
              <w:rPr>
                <w:b/>
                <w:bCs/>
                <w:sz w:val="20"/>
                <w:szCs w:val="20"/>
              </w:rPr>
              <w:t>din calea posibilităţilor de soluţionare</w:t>
            </w:r>
          </w:p>
          <w:p w14:paraId="35E6334C" w14:textId="77777777" w:rsidR="006A2A6A" w:rsidRPr="00154588" w:rsidRDefault="006A2A6A" w:rsidP="008C12B4">
            <w:pPr>
              <w:jc w:val="both"/>
              <w:rPr>
                <w:sz w:val="20"/>
                <w:szCs w:val="20"/>
              </w:rPr>
            </w:pPr>
          </w:p>
        </w:tc>
        <w:tc>
          <w:tcPr>
            <w:tcW w:w="2552" w:type="dxa"/>
          </w:tcPr>
          <w:p w14:paraId="5E8D3F61" w14:textId="77777777" w:rsidR="006A2A6A" w:rsidRPr="00154588" w:rsidRDefault="006A2A6A" w:rsidP="008C12B4">
            <w:pPr>
              <w:jc w:val="both"/>
              <w:rPr>
                <w:bCs/>
                <w:sz w:val="20"/>
                <w:szCs w:val="20"/>
              </w:rPr>
            </w:pPr>
          </w:p>
        </w:tc>
        <w:tc>
          <w:tcPr>
            <w:tcW w:w="3118" w:type="dxa"/>
          </w:tcPr>
          <w:p w14:paraId="6BC5506A" w14:textId="77777777" w:rsidR="006A2A6A" w:rsidRPr="00154588" w:rsidRDefault="006A2A6A" w:rsidP="008C12B4">
            <w:pPr>
              <w:jc w:val="both"/>
              <w:rPr>
                <w:bCs/>
                <w:sz w:val="20"/>
                <w:szCs w:val="20"/>
              </w:rPr>
            </w:pPr>
          </w:p>
        </w:tc>
      </w:tr>
      <w:tr w:rsidR="006A2A6A" w:rsidRPr="00154588" w14:paraId="3C785298" w14:textId="77777777" w:rsidTr="00D15C1B">
        <w:trPr>
          <w:jc w:val="center"/>
        </w:trPr>
        <w:tc>
          <w:tcPr>
            <w:tcW w:w="4957" w:type="dxa"/>
            <w:gridSpan w:val="2"/>
          </w:tcPr>
          <w:p w14:paraId="5B9FFFE3" w14:textId="3404718A" w:rsidR="006A2A6A" w:rsidRPr="00154588" w:rsidRDefault="006A2A6A" w:rsidP="008C12B4">
            <w:pPr>
              <w:jc w:val="both"/>
              <w:rPr>
                <w:bCs/>
                <w:sz w:val="20"/>
                <w:szCs w:val="20"/>
              </w:rPr>
            </w:pPr>
            <w:r w:rsidRPr="00154588">
              <w:rPr>
                <w:bCs/>
                <w:sz w:val="20"/>
                <w:szCs w:val="20"/>
              </w:rPr>
              <w:t>(1)   Statele membre se asigură că, atunci când, în urma evaluării posibilității de soluționare a unei entități, efectuată în conformitate cu articolele 15 și 16, autoritatea de rezoluție constată, după consultarea autorității competente, existența unor obstacole semnificative în calea posibilității de soluționare a entității respective, autoritatea de rezoluție respectivă notifică aceste constatări în scris entității în cauză, autorității competente și autorităților de rezoluție din jurisdicțiile în care sunt situate sucursale semnificative.</w:t>
            </w:r>
          </w:p>
        </w:tc>
        <w:tc>
          <w:tcPr>
            <w:tcW w:w="4819" w:type="dxa"/>
          </w:tcPr>
          <w:p w14:paraId="41AA76DC" w14:textId="5C6E0C00" w:rsidR="006A2A6A" w:rsidRPr="00154588" w:rsidRDefault="006A2A6A" w:rsidP="008C12B4">
            <w:pPr>
              <w:ind w:firstLine="567"/>
              <w:jc w:val="both"/>
              <w:rPr>
                <w:bCs/>
                <w:sz w:val="20"/>
                <w:szCs w:val="20"/>
              </w:rPr>
            </w:pPr>
            <w:bookmarkStart w:id="7" w:name="_Hlk223441031"/>
            <w:r w:rsidRPr="00154588">
              <w:rPr>
                <w:b/>
                <w:sz w:val="20"/>
                <w:szCs w:val="20"/>
              </w:rPr>
              <w:t>Articolul 35.</w:t>
            </w:r>
            <w:r w:rsidRPr="00154588">
              <w:rPr>
                <w:sz w:val="20"/>
                <w:szCs w:val="20"/>
              </w:rPr>
              <w:t xml:space="preserve"> –  Dacă în urma evaluării posibilităţii de soluţionare a unei instituții de credit și a altor entități, efectuată în conformitate cu prevederile art.32-34</w:t>
            </w:r>
            <w:r w:rsidRPr="00154588">
              <w:rPr>
                <w:sz w:val="20"/>
                <w:szCs w:val="20"/>
                <w:vertAlign w:val="superscript"/>
              </w:rPr>
              <w:t>4</w:t>
            </w:r>
            <w:r w:rsidRPr="00154588">
              <w:rPr>
                <w:sz w:val="20"/>
                <w:szCs w:val="20"/>
              </w:rPr>
              <w:t>, Banca Naţională a Moldovei, în calitate de autoritate de rezoluţie, după consultarea autorității</w:t>
            </w:r>
            <w:r w:rsidRPr="00154588" w:rsidDel="007E6E77">
              <w:rPr>
                <w:sz w:val="20"/>
                <w:szCs w:val="20"/>
              </w:rPr>
              <w:t xml:space="preserve"> </w:t>
            </w:r>
            <w:r w:rsidRPr="00154588">
              <w:rPr>
                <w:sz w:val="20"/>
                <w:szCs w:val="20"/>
              </w:rPr>
              <w:t>competente, apreciază că există obstacole semnificative în calea posibilităţii de soluţionare a instituției de credit sau entității respective, va notifica aceste constatări în scris instituției de credit și entităților respective, precum și autorităților competente și autorităților de rezoluție din jurisdicțiile în care  sunt situate sucursale semnificative.</w:t>
            </w:r>
            <w:bookmarkEnd w:id="7"/>
          </w:p>
        </w:tc>
        <w:tc>
          <w:tcPr>
            <w:tcW w:w="2552" w:type="dxa"/>
          </w:tcPr>
          <w:p w14:paraId="3B0E6EE6" w14:textId="5F78B223" w:rsidR="006A2A6A" w:rsidRPr="00154588" w:rsidRDefault="006A2A6A" w:rsidP="008C12B4">
            <w:pPr>
              <w:jc w:val="both"/>
              <w:rPr>
                <w:bCs/>
                <w:sz w:val="20"/>
                <w:szCs w:val="20"/>
              </w:rPr>
            </w:pPr>
            <w:r w:rsidRPr="00154588">
              <w:rPr>
                <w:bCs/>
                <w:sz w:val="20"/>
                <w:szCs w:val="20"/>
              </w:rPr>
              <w:t>Compatibil</w:t>
            </w:r>
          </w:p>
        </w:tc>
        <w:tc>
          <w:tcPr>
            <w:tcW w:w="3118" w:type="dxa"/>
          </w:tcPr>
          <w:p w14:paraId="33C141A0" w14:textId="77777777" w:rsidR="006A2A6A" w:rsidRPr="00154588" w:rsidRDefault="006A2A6A" w:rsidP="008C12B4">
            <w:pPr>
              <w:jc w:val="both"/>
              <w:rPr>
                <w:bCs/>
                <w:sz w:val="20"/>
                <w:szCs w:val="20"/>
              </w:rPr>
            </w:pPr>
          </w:p>
        </w:tc>
      </w:tr>
      <w:tr w:rsidR="006A2A6A" w:rsidRPr="00154588" w14:paraId="4096C592" w14:textId="77777777" w:rsidTr="00D15C1B">
        <w:trPr>
          <w:jc w:val="center"/>
        </w:trPr>
        <w:tc>
          <w:tcPr>
            <w:tcW w:w="4957" w:type="dxa"/>
            <w:gridSpan w:val="2"/>
          </w:tcPr>
          <w:p w14:paraId="6B01329A" w14:textId="2BC6F664" w:rsidR="006A2A6A" w:rsidRPr="00154588" w:rsidRDefault="006A2A6A" w:rsidP="008C12B4">
            <w:pPr>
              <w:jc w:val="both"/>
              <w:rPr>
                <w:bCs/>
                <w:sz w:val="20"/>
                <w:szCs w:val="20"/>
              </w:rPr>
            </w:pPr>
            <w:r w:rsidRPr="00154588">
              <w:rPr>
                <w:bCs/>
                <w:sz w:val="20"/>
                <w:szCs w:val="20"/>
              </w:rPr>
              <w:t>(2) Cerința aplicabilă autorităților de rezoluție de a elabora planuri de rezoluție și autorităților de rezoluție relevante de a ajunge la o decizie comună cu privire la planurile de rezoluție a grupurilor de la articolul 10 alineatul (1) și, respectiv, articolul 13 alineatul (4) este suspendată ca urmare a notificării menționate la alineatul (1) din prezentul articol, până ce măsurile de îndepărtare a obstacolelor semnificative din calea posibilităților de soluționare au fost acceptate de autoritatea de rezoluție în temeiul alineatului (3) din prezentul articol sau au fost decise în temeiul alineatului (4) din prezentul articol.</w:t>
            </w:r>
          </w:p>
        </w:tc>
        <w:tc>
          <w:tcPr>
            <w:tcW w:w="4819" w:type="dxa"/>
          </w:tcPr>
          <w:p w14:paraId="6450EF32" w14:textId="77777777" w:rsidR="006A2A6A" w:rsidRPr="00154588" w:rsidRDefault="006A2A6A" w:rsidP="008C12B4">
            <w:pPr>
              <w:ind w:firstLine="567"/>
              <w:jc w:val="both"/>
              <w:rPr>
                <w:sz w:val="20"/>
                <w:szCs w:val="20"/>
              </w:rPr>
            </w:pPr>
            <w:r w:rsidRPr="00154588">
              <w:rPr>
                <w:b/>
                <w:sz w:val="20"/>
                <w:szCs w:val="20"/>
              </w:rPr>
              <w:t>Articolul 36.</w:t>
            </w:r>
            <w:r w:rsidRPr="00154588">
              <w:rPr>
                <w:sz w:val="20"/>
                <w:szCs w:val="20"/>
              </w:rPr>
              <w:t xml:space="preserve"> – Cerinţa ca Banca Naţională a Moldovei, în calitate de autoritate de rezoluţie, să elaboreze planul de rezoluţie </w:t>
            </w:r>
            <w:bookmarkStart w:id="8" w:name="_Hlk223443280"/>
            <w:r w:rsidRPr="00154588">
              <w:rPr>
                <w:sz w:val="20"/>
                <w:szCs w:val="20"/>
              </w:rPr>
              <w:t xml:space="preserve">și cea potrivit căreia autoritățile de rezoluție relevante urmăresc să ajungă la o decizie comună cu privire la planul de rezoluție a grupului </w:t>
            </w:r>
            <w:bookmarkEnd w:id="8"/>
            <w:r w:rsidRPr="00154588">
              <w:rPr>
                <w:sz w:val="20"/>
                <w:szCs w:val="20"/>
              </w:rPr>
              <w:t>prevăzut</w:t>
            </w:r>
            <w:r w:rsidRPr="00154588" w:rsidDel="00DE26B3">
              <w:rPr>
                <w:sz w:val="20"/>
                <w:szCs w:val="20"/>
              </w:rPr>
              <w:t>e</w:t>
            </w:r>
            <w:r w:rsidRPr="00154588">
              <w:rPr>
                <w:sz w:val="20"/>
                <w:szCs w:val="20"/>
              </w:rPr>
              <w:t xml:space="preserve"> la art.23, art.31</w:t>
            </w:r>
            <w:r w:rsidRPr="00154588">
              <w:rPr>
                <w:sz w:val="20"/>
                <w:szCs w:val="20"/>
                <w:vertAlign w:val="superscript"/>
              </w:rPr>
              <w:t xml:space="preserve">9 </w:t>
            </w:r>
            <w:r w:rsidRPr="00154588">
              <w:rPr>
                <w:sz w:val="20"/>
                <w:szCs w:val="20"/>
              </w:rPr>
              <w:t>și art.31</w:t>
            </w:r>
            <w:r w:rsidRPr="00154588">
              <w:rPr>
                <w:sz w:val="20"/>
                <w:szCs w:val="20"/>
                <w:vertAlign w:val="superscript"/>
              </w:rPr>
              <w:t>18</w:t>
            </w:r>
            <w:r w:rsidRPr="00154588">
              <w:rPr>
                <w:sz w:val="20"/>
                <w:szCs w:val="20"/>
              </w:rPr>
              <w:t xml:space="preserve"> se suspendă ca urmare a notificării prevăzute la art.35, pînă cînd măsurile de reducere sau de înlăturare a obstacolelor semnificative din calea posibilităţii de soluţionare sînt acceptate de Banca Naţională a Moldovei, în calitate de autoritate de rezoluţie, potrivit art.37 sau au fost decise de aceasta în temeiul art.38.</w:t>
            </w:r>
          </w:p>
          <w:p w14:paraId="014E7F9D" w14:textId="77777777" w:rsidR="006A2A6A" w:rsidRPr="00154588" w:rsidRDefault="006A2A6A" w:rsidP="008C12B4">
            <w:pPr>
              <w:jc w:val="both"/>
              <w:rPr>
                <w:bCs/>
                <w:sz w:val="20"/>
                <w:szCs w:val="20"/>
              </w:rPr>
            </w:pPr>
          </w:p>
        </w:tc>
        <w:tc>
          <w:tcPr>
            <w:tcW w:w="2552" w:type="dxa"/>
          </w:tcPr>
          <w:p w14:paraId="13B4977B" w14:textId="3EB810C5" w:rsidR="006A2A6A" w:rsidRPr="00154588" w:rsidRDefault="006A2A6A" w:rsidP="008C12B4">
            <w:pPr>
              <w:jc w:val="both"/>
              <w:rPr>
                <w:bCs/>
                <w:sz w:val="20"/>
                <w:szCs w:val="20"/>
              </w:rPr>
            </w:pPr>
            <w:r w:rsidRPr="00154588">
              <w:rPr>
                <w:bCs/>
                <w:sz w:val="20"/>
                <w:szCs w:val="20"/>
              </w:rPr>
              <w:t>Compatibil</w:t>
            </w:r>
          </w:p>
        </w:tc>
        <w:tc>
          <w:tcPr>
            <w:tcW w:w="3118" w:type="dxa"/>
          </w:tcPr>
          <w:p w14:paraId="12240927" w14:textId="77777777" w:rsidR="006A2A6A" w:rsidRPr="00154588" w:rsidRDefault="006A2A6A" w:rsidP="008C12B4">
            <w:pPr>
              <w:jc w:val="both"/>
              <w:rPr>
                <w:bCs/>
                <w:sz w:val="20"/>
                <w:szCs w:val="20"/>
              </w:rPr>
            </w:pPr>
          </w:p>
        </w:tc>
      </w:tr>
      <w:tr w:rsidR="006A2A6A" w:rsidRPr="00154588" w14:paraId="464F7B18" w14:textId="77777777" w:rsidTr="00D15C1B">
        <w:trPr>
          <w:jc w:val="center"/>
        </w:trPr>
        <w:tc>
          <w:tcPr>
            <w:tcW w:w="4957" w:type="dxa"/>
            <w:gridSpan w:val="2"/>
          </w:tcPr>
          <w:p w14:paraId="34FF60A0" w14:textId="77777777" w:rsidR="006A2A6A" w:rsidRPr="00154588" w:rsidRDefault="006A2A6A" w:rsidP="008C12B4">
            <w:pPr>
              <w:jc w:val="both"/>
              <w:rPr>
                <w:bCs/>
                <w:sz w:val="20"/>
                <w:szCs w:val="20"/>
              </w:rPr>
            </w:pPr>
            <w:r w:rsidRPr="00154588">
              <w:rPr>
                <w:bCs/>
                <w:sz w:val="20"/>
                <w:szCs w:val="20"/>
              </w:rPr>
              <w:t>(3)   În termen de patru luni de la data primirii unei notificări în conformitate cu alineatul (1), entitatea propune autorității de rezoluție posibile măsuri având ca scop abordarea sau înlăturarea obstacolelor semnificative identificate în notificare.</w:t>
            </w:r>
          </w:p>
          <w:p w14:paraId="442AB95C" w14:textId="77777777" w:rsidR="006A2A6A" w:rsidRPr="00154588" w:rsidRDefault="006A2A6A" w:rsidP="008C12B4">
            <w:pPr>
              <w:jc w:val="both"/>
              <w:rPr>
                <w:bCs/>
                <w:sz w:val="20"/>
                <w:szCs w:val="20"/>
              </w:rPr>
            </w:pPr>
            <w:r w:rsidRPr="00154588">
              <w:rPr>
                <w:bCs/>
                <w:sz w:val="20"/>
                <w:szCs w:val="20"/>
              </w:rPr>
              <w:t>În termen de două săptămâni de la data primirii unei notificări în conformitate cu alineatul (1) de la prezentul articol, entitatea propune autorității de rezoluție posibile măsuri și calendarul punerii lor în aplicare pentru a se asigura respectarea de către entitate a articolului 45e sau 45f din prezenta directivă și a cerinței amortizorului combinat, în cazul în care un obstacol semnificativ în calea posibilității de soluționare este cauzat de una dintre situațiile următoare:</w:t>
            </w:r>
          </w:p>
          <w:p w14:paraId="3615D317" w14:textId="77777777" w:rsidR="006A2A6A" w:rsidRPr="00154588" w:rsidRDefault="006A2A6A" w:rsidP="008C12B4">
            <w:pPr>
              <w:jc w:val="both"/>
              <w:rPr>
                <w:bCs/>
                <w:sz w:val="20"/>
                <w:szCs w:val="20"/>
              </w:rPr>
            </w:pPr>
          </w:p>
          <w:p w14:paraId="2C1AFEC1" w14:textId="77777777" w:rsidR="006A2A6A" w:rsidRPr="00154588" w:rsidRDefault="006A2A6A" w:rsidP="008C12B4">
            <w:pPr>
              <w:jc w:val="both"/>
              <w:rPr>
                <w:bCs/>
                <w:sz w:val="20"/>
                <w:szCs w:val="20"/>
              </w:rPr>
            </w:pPr>
          </w:p>
          <w:p w14:paraId="5DA74606" w14:textId="6F9D175E" w:rsidR="006A2A6A" w:rsidRPr="00154588" w:rsidRDefault="006A2A6A" w:rsidP="008C12B4">
            <w:pPr>
              <w:jc w:val="both"/>
              <w:rPr>
                <w:bCs/>
                <w:sz w:val="20"/>
                <w:szCs w:val="20"/>
              </w:rPr>
            </w:pPr>
            <w:r w:rsidRPr="00154588">
              <w:rPr>
                <w:bCs/>
                <w:sz w:val="20"/>
                <w:szCs w:val="20"/>
              </w:rPr>
              <w:t>(a) entitatea respectă cerința amortizorului combinat atunci când aceasta este luată în considerare suplimentar față de fiecare dintre cerințele menționate la articolul 141a alineatul (1) literele (a), (b) și (c) din Directiva 2013/36/UE, însă nu respectă cerința amortizorului combinat atunci când aceasta este luată în considerare în plus față de cerințele menționate la articolele 45c și 45d din prezenta directivă, atunci când sunt calculate în conformitate cu articolul 45 alineatul (2) litera (a) din prezenta directivă; sau</w:t>
            </w:r>
          </w:p>
          <w:p w14:paraId="75362EEA" w14:textId="77777777" w:rsidR="006A2A6A" w:rsidRPr="00154588" w:rsidRDefault="006A2A6A" w:rsidP="008C12B4">
            <w:pPr>
              <w:jc w:val="both"/>
              <w:rPr>
                <w:bCs/>
                <w:sz w:val="20"/>
                <w:szCs w:val="20"/>
              </w:rPr>
            </w:pPr>
          </w:p>
          <w:p w14:paraId="776056A2" w14:textId="488D4BAD" w:rsidR="006A2A6A" w:rsidRPr="00154588" w:rsidRDefault="006A2A6A" w:rsidP="008C12B4">
            <w:pPr>
              <w:jc w:val="both"/>
              <w:rPr>
                <w:bCs/>
                <w:sz w:val="20"/>
                <w:szCs w:val="20"/>
              </w:rPr>
            </w:pPr>
            <w:r w:rsidRPr="00154588">
              <w:rPr>
                <w:bCs/>
                <w:sz w:val="20"/>
                <w:szCs w:val="20"/>
              </w:rPr>
              <w:t>(b) entitatea nu respectă cerințele menționate la articolele 92a și 494 din Regulamentul (UE) nr. 575/2013 sau cerințele menționate la articolele 45c și 45d din prezenta directivă.</w:t>
            </w:r>
          </w:p>
          <w:p w14:paraId="45E88BDF" w14:textId="77777777" w:rsidR="006A2A6A" w:rsidRPr="00154588" w:rsidRDefault="006A2A6A" w:rsidP="008C12B4">
            <w:pPr>
              <w:jc w:val="both"/>
              <w:rPr>
                <w:bCs/>
                <w:sz w:val="20"/>
                <w:szCs w:val="20"/>
              </w:rPr>
            </w:pPr>
          </w:p>
          <w:p w14:paraId="3A73A03C" w14:textId="77777777" w:rsidR="006A2A6A" w:rsidRPr="00154588" w:rsidRDefault="006A2A6A" w:rsidP="008C12B4">
            <w:pPr>
              <w:jc w:val="both"/>
              <w:rPr>
                <w:bCs/>
                <w:sz w:val="20"/>
                <w:szCs w:val="20"/>
              </w:rPr>
            </w:pPr>
          </w:p>
          <w:p w14:paraId="054AD025" w14:textId="77777777" w:rsidR="006A2A6A" w:rsidRPr="00154588" w:rsidRDefault="006A2A6A" w:rsidP="008C12B4">
            <w:pPr>
              <w:jc w:val="both"/>
              <w:rPr>
                <w:bCs/>
                <w:sz w:val="20"/>
                <w:szCs w:val="20"/>
              </w:rPr>
            </w:pPr>
            <w:r w:rsidRPr="00154588">
              <w:rPr>
                <w:bCs/>
                <w:sz w:val="20"/>
                <w:szCs w:val="20"/>
              </w:rPr>
              <w:t>Calendarul pentru punerea în aplicare a măsurilor propuse în temeiul celui de al doilea paragraf ia în considerare cauzele obstacolului semnificativ.</w:t>
            </w:r>
          </w:p>
          <w:p w14:paraId="221FBEA9" w14:textId="77777777" w:rsidR="006A2A6A" w:rsidRPr="00154588" w:rsidRDefault="006A2A6A" w:rsidP="008C12B4">
            <w:pPr>
              <w:jc w:val="both"/>
              <w:rPr>
                <w:bCs/>
                <w:sz w:val="20"/>
                <w:szCs w:val="20"/>
              </w:rPr>
            </w:pPr>
          </w:p>
          <w:p w14:paraId="5E89EF9E" w14:textId="36E21B1C" w:rsidR="006A2A6A" w:rsidRPr="00154588" w:rsidRDefault="006A2A6A" w:rsidP="008C12B4">
            <w:pPr>
              <w:jc w:val="both"/>
              <w:rPr>
                <w:bCs/>
                <w:sz w:val="20"/>
                <w:szCs w:val="20"/>
              </w:rPr>
            </w:pPr>
            <w:r w:rsidRPr="00154588">
              <w:rPr>
                <w:bCs/>
                <w:sz w:val="20"/>
                <w:szCs w:val="20"/>
              </w:rPr>
              <w:t>Autoritatea de rezoluție, după consultarea autorității competente, evaluează eficacitatea măsurilor propuse în temeiul primului și celui de-al doilea paragraf în abordarea sau înlăturarea obstacolului semnificativ în cauză.</w:t>
            </w:r>
          </w:p>
        </w:tc>
        <w:tc>
          <w:tcPr>
            <w:tcW w:w="4819" w:type="dxa"/>
          </w:tcPr>
          <w:p w14:paraId="769C0117" w14:textId="4210ED4B" w:rsidR="006A2A6A" w:rsidRPr="00154588" w:rsidRDefault="006A2A6A" w:rsidP="008C12B4">
            <w:pPr>
              <w:ind w:firstLine="567"/>
              <w:jc w:val="both"/>
              <w:rPr>
                <w:sz w:val="20"/>
                <w:szCs w:val="20"/>
              </w:rPr>
            </w:pPr>
            <w:r w:rsidRPr="00154588">
              <w:rPr>
                <w:b/>
                <w:sz w:val="20"/>
                <w:szCs w:val="20"/>
              </w:rPr>
              <w:lastRenderedPageBreak/>
              <w:t>Articolul 37.</w:t>
            </w:r>
            <w:r w:rsidRPr="00154588">
              <w:rPr>
                <w:sz w:val="20"/>
                <w:szCs w:val="20"/>
              </w:rPr>
              <w:t xml:space="preserve"> – (1) În termen de patru luni de la data primirii notificării, </w:t>
            </w:r>
            <w:bookmarkStart w:id="9" w:name="_Hlk223444115"/>
            <w:r w:rsidRPr="00154588">
              <w:rPr>
                <w:sz w:val="20"/>
                <w:szCs w:val="20"/>
              </w:rPr>
              <w:t>în conformitate cu prevederile art.35, instituția de credit sau entitatea</w:t>
            </w:r>
            <w:bookmarkEnd w:id="9"/>
            <w:r w:rsidRPr="00154588">
              <w:rPr>
                <w:sz w:val="20"/>
                <w:szCs w:val="20"/>
              </w:rPr>
              <w:t xml:space="preserve">  transmite Băncii Naţionale a Moldovei, în calitate de autoritate de rezoluţie, propuneri de măsuri av</w:t>
            </w:r>
            <w:r w:rsidR="00C746CE" w:rsidRPr="00154588">
              <w:rPr>
                <w:sz w:val="20"/>
                <w:szCs w:val="20"/>
              </w:rPr>
              <w:t>â</w:t>
            </w:r>
            <w:r w:rsidRPr="00154588">
              <w:rPr>
                <w:sz w:val="20"/>
                <w:szCs w:val="20"/>
              </w:rPr>
              <w:t>nd ca scop gestionarea sau înlăturarea obstacolelor semnificative precizate în notificare.</w:t>
            </w:r>
          </w:p>
          <w:p w14:paraId="59E2D8FF" w14:textId="77777777" w:rsidR="006A2A6A" w:rsidRPr="00154588" w:rsidRDefault="006A2A6A" w:rsidP="008C12B4">
            <w:pPr>
              <w:ind w:firstLine="567"/>
              <w:jc w:val="both"/>
              <w:rPr>
                <w:sz w:val="20"/>
                <w:szCs w:val="20"/>
              </w:rPr>
            </w:pPr>
            <w:r w:rsidRPr="00154588">
              <w:rPr>
                <w:sz w:val="20"/>
                <w:szCs w:val="20"/>
              </w:rPr>
              <w:t>(</w:t>
            </w:r>
            <w:bookmarkStart w:id="10" w:name="_Hlk223444182"/>
            <w:r w:rsidRPr="00154588">
              <w:rPr>
                <w:sz w:val="20"/>
                <w:szCs w:val="20"/>
              </w:rPr>
              <w:t xml:space="preserve">4) În termen de două săptămâni de la data primirii unei notificări în conformitate cu prevederile art. 35, instituția de credit sau entitatea propune  Băncii Naționale a Moldovei, în calitate de autoritate de rezoluție, măsuri posibile și calendarul privind implementarea acestora, pentru a se asigura conformarea cu cerințele prevăzute de </w:t>
            </w:r>
            <w:r w:rsidRPr="00154588">
              <w:rPr>
                <w:sz w:val="20"/>
                <w:szCs w:val="20"/>
              </w:rPr>
              <w:lastRenderedPageBreak/>
              <w:t>art.167</w:t>
            </w:r>
            <w:r w:rsidRPr="00154588">
              <w:rPr>
                <w:sz w:val="20"/>
                <w:szCs w:val="20"/>
                <w:vertAlign w:val="superscript"/>
              </w:rPr>
              <w:t xml:space="preserve">14 </w:t>
            </w:r>
            <w:r w:rsidRPr="00154588">
              <w:rPr>
                <w:sz w:val="20"/>
                <w:szCs w:val="20"/>
              </w:rPr>
              <w:t>sau art.167</w:t>
            </w:r>
            <w:r w:rsidRPr="00154588">
              <w:rPr>
                <w:sz w:val="20"/>
                <w:szCs w:val="20"/>
                <w:vertAlign w:val="superscript"/>
              </w:rPr>
              <w:t>15</w:t>
            </w:r>
            <w:r w:rsidRPr="00154588">
              <w:rPr>
                <w:sz w:val="20"/>
                <w:szCs w:val="20"/>
              </w:rPr>
              <w:t>-167</w:t>
            </w:r>
            <w:r w:rsidRPr="00154588">
              <w:rPr>
                <w:sz w:val="20"/>
                <w:szCs w:val="20"/>
                <w:vertAlign w:val="superscript"/>
              </w:rPr>
              <w:t>19</w:t>
            </w:r>
            <w:r w:rsidRPr="00154588">
              <w:rPr>
                <w:sz w:val="20"/>
                <w:szCs w:val="20"/>
              </w:rPr>
              <w:t xml:space="preserve"> și cu cerința amortizorului combinat, în cazul în care un obstacol semnificativ în calea posibilității de soluționare este cauzat de una dintre următoarele situații:</w:t>
            </w:r>
          </w:p>
          <w:p w14:paraId="6EABA266" w14:textId="77777777" w:rsidR="006A2A6A" w:rsidRPr="00154588" w:rsidRDefault="006A2A6A" w:rsidP="008C12B4">
            <w:pPr>
              <w:ind w:firstLine="567"/>
              <w:jc w:val="both"/>
              <w:rPr>
                <w:sz w:val="20"/>
                <w:szCs w:val="20"/>
              </w:rPr>
            </w:pPr>
            <w:r w:rsidRPr="00154588">
              <w:rPr>
                <w:sz w:val="20"/>
                <w:szCs w:val="20"/>
              </w:rPr>
              <w:t xml:space="preserve">a) instituția de credit sau entitatea respectă cerința amortizorului combinat atunci când aceasta este luată în considerare suplimentar  față de fiecare dintre cerințele de fonduri proprii prevăzute în </w:t>
            </w:r>
            <w:r w:rsidRPr="00154588">
              <w:rPr>
                <w:sz w:val="20"/>
                <w:szCs w:val="20"/>
                <w:lang w:eastAsia="ro-MD"/>
              </w:rPr>
              <w:t>actele normative ale Băncii Naționale a Moldovei emise în aplicarea</w:t>
            </w:r>
            <w:r w:rsidRPr="00154588">
              <w:rPr>
                <w:sz w:val="20"/>
                <w:szCs w:val="20"/>
              </w:rPr>
              <w:t xml:space="preserve"> art.63 din Legea nr.202/2017, dar nu respectă cerința amortizorului combinat atunci când aceasta este luată în considerare în plus față de cerințele menționate la art.167, 167</w:t>
            </w:r>
            <w:r w:rsidRPr="00154588">
              <w:rPr>
                <w:sz w:val="20"/>
                <w:szCs w:val="20"/>
                <w:vertAlign w:val="superscript"/>
              </w:rPr>
              <w:t>5</w:t>
            </w:r>
            <w:r w:rsidRPr="00154588">
              <w:rPr>
                <w:sz w:val="20"/>
                <w:szCs w:val="20"/>
              </w:rPr>
              <w:t>-167</w:t>
            </w:r>
            <w:r w:rsidRPr="00154588">
              <w:rPr>
                <w:sz w:val="20"/>
                <w:szCs w:val="20"/>
                <w:vertAlign w:val="superscript"/>
              </w:rPr>
              <w:t xml:space="preserve">12 </w:t>
            </w:r>
            <w:r w:rsidRPr="00154588">
              <w:rPr>
                <w:sz w:val="20"/>
                <w:szCs w:val="20"/>
              </w:rPr>
              <w:t>sau 167</w:t>
            </w:r>
            <w:r w:rsidRPr="00154588">
              <w:rPr>
                <w:sz w:val="20"/>
                <w:szCs w:val="20"/>
                <w:vertAlign w:val="superscript"/>
              </w:rPr>
              <w:t>13</w:t>
            </w:r>
            <w:r w:rsidRPr="00154588">
              <w:rPr>
                <w:sz w:val="20"/>
                <w:szCs w:val="20"/>
              </w:rPr>
              <w:t>, calculate în conformitate cu prevederile art.164 alin.(1) lit.a), sau</w:t>
            </w:r>
          </w:p>
          <w:p w14:paraId="4982153F" w14:textId="77777777" w:rsidR="006A2A6A" w:rsidRPr="00154588" w:rsidRDefault="006A2A6A" w:rsidP="008C12B4">
            <w:pPr>
              <w:ind w:firstLine="567"/>
              <w:jc w:val="both"/>
              <w:rPr>
                <w:sz w:val="20"/>
                <w:szCs w:val="20"/>
              </w:rPr>
            </w:pPr>
            <w:r w:rsidRPr="00154588">
              <w:rPr>
                <w:sz w:val="20"/>
                <w:szCs w:val="20"/>
              </w:rPr>
              <w:t xml:space="preserve">b) instituția de credit sau entitatea nu respectă cerințele prevăzute în </w:t>
            </w:r>
            <w:r w:rsidRPr="00154588">
              <w:rPr>
                <w:sz w:val="20"/>
                <w:szCs w:val="20"/>
                <w:lang w:eastAsia="ro-MD"/>
              </w:rPr>
              <w:t xml:space="preserve">actele normative ale Băncii Naționale a Moldovei emise în aplicarea </w:t>
            </w:r>
            <w:r w:rsidRPr="00154588">
              <w:rPr>
                <w:sz w:val="20"/>
                <w:szCs w:val="20"/>
              </w:rPr>
              <w:t xml:space="preserve"> art.</w:t>
            </w:r>
            <w:r w:rsidRPr="00154588">
              <w:rPr>
                <w:sz w:val="20"/>
                <w:szCs w:val="20"/>
                <w:lang w:eastAsia="ro-MD"/>
              </w:rPr>
              <w:t>60, 61 şi 62 din Legea nr.202/2017</w:t>
            </w:r>
            <w:r w:rsidRPr="00154588">
              <w:rPr>
                <w:sz w:val="20"/>
                <w:szCs w:val="20"/>
              </w:rPr>
              <w:t xml:space="preserve"> sau cerințele menționate la art.167, 167</w:t>
            </w:r>
            <w:r w:rsidRPr="00154588">
              <w:rPr>
                <w:sz w:val="20"/>
                <w:szCs w:val="20"/>
                <w:vertAlign w:val="superscript"/>
              </w:rPr>
              <w:t>5</w:t>
            </w:r>
            <w:r w:rsidRPr="00154588">
              <w:rPr>
                <w:sz w:val="20"/>
                <w:szCs w:val="20"/>
              </w:rPr>
              <w:t>-167</w:t>
            </w:r>
            <w:r w:rsidRPr="00154588">
              <w:rPr>
                <w:sz w:val="20"/>
                <w:szCs w:val="20"/>
                <w:vertAlign w:val="superscript"/>
              </w:rPr>
              <w:t xml:space="preserve">12 </w:t>
            </w:r>
            <w:r w:rsidRPr="00154588">
              <w:rPr>
                <w:sz w:val="20"/>
                <w:szCs w:val="20"/>
              </w:rPr>
              <w:t>sau 167</w:t>
            </w:r>
            <w:r w:rsidRPr="00154588">
              <w:rPr>
                <w:sz w:val="20"/>
                <w:szCs w:val="20"/>
                <w:vertAlign w:val="superscript"/>
              </w:rPr>
              <w:t>13</w:t>
            </w:r>
            <w:r w:rsidRPr="00154588">
              <w:rPr>
                <w:sz w:val="20"/>
                <w:szCs w:val="20"/>
              </w:rPr>
              <w:t>.</w:t>
            </w:r>
          </w:p>
          <w:p w14:paraId="1E75E4D6" w14:textId="77777777" w:rsidR="006A2A6A" w:rsidRPr="00154588" w:rsidRDefault="006A2A6A" w:rsidP="008C12B4">
            <w:pPr>
              <w:ind w:firstLine="567"/>
              <w:jc w:val="both"/>
              <w:rPr>
                <w:sz w:val="20"/>
                <w:szCs w:val="20"/>
              </w:rPr>
            </w:pPr>
            <w:r w:rsidRPr="00154588">
              <w:rPr>
                <w:sz w:val="20"/>
                <w:szCs w:val="20"/>
              </w:rPr>
              <w:t>(5) Calendarul pentru implementarea măsurilor propuse potrivit alin.(4) ia în considerare cauzele obstacolului semnificativ.</w:t>
            </w:r>
          </w:p>
          <w:p w14:paraId="2BD89C24" w14:textId="77777777" w:rsidR="006A2A6A" w:rsidRPr="00154588" w:rsidRDefault="006A2A6A" w:rsidP="008C12B4">
            <w:pPr>
              <w:ind w:firstLine="567"/>
              <w:jc w:val="both"/>
              <w:rPr>
                <w:sz w:val="20"/>
                <w:szCs w:val="20"/>
              </w:rPr>
            </w:pPr>
            <w:r w:rsidRPr="00154588">
              <w:rPr>
                <w:sz w:val="20"/>
                <w:szCs w:val="20"/>
              </w:rPr>
              <w:t>(6) Banca Naţională a Moldovei, în calitate de autoritate de rezoluţie, după consultarea autorității competente, evaluează eficacitatea măsurilor propuse, potrivit alin.(4) și (5), pentru gestionarea sau înlăturarea obstacolelor semnificative în cauză.</w:t>
            </w:r>
          </w:p>
          <w:bookmarkEnd w:id="10"/>
          <w:p w14:paraId="43D14B95" w14:textId="77777777" w:rsidR="006A2A6A" w:rsidRPr="00154588" w:rsidRDefault="006A2A6A" w:rsidP="008C12B4">
            <w:pPr>
              <w:jc w:val="both"/>
              <w:rPr>
                <w:bCs/>
                <w:sz w:val="20"/>
                <w:szCs w:val="20"/>
              </w:rPr>
            </w:pPr>
          </w:p>
        </w:tc>
        <w:tc>
          <w:tcPr>
            <w:tcW w:w="2552" w:type="dxa"/>
          </w:tcPr>
          <w:p w14:paraId="68F570C8" w14:textId="545FEC6E"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2AF489B1" w14:textId="77777777" w:rsidR="006A2A6A" w:rsidRPr="00154588" w:rsidRDefault="006A2A6A" w:rsidP="008C12B4">
            <w:pPr>
              <w:jc w:val="both"/>
              <w:rPr>
                <w:bCs/>
                <w:sz w:val="20"/>
                <w:szCs w:val="20"/>
              </w:rPr>
            </w:pPr>
          </w:p>
        </w:tc>
      </w:tr>
      <w:tr w:rsidR="00BA564F" w:rsidRPr="00154588" w14:paraId="119EAF85" w14:textId="77777777" w:rsidTr="00D15C1B">
        <w:trPr>
          <w:jc w:val="center"/>
        </w:trPr>
        <w:tc>
          <w:tcPr>
            <w:tcW w:w="4957" w:type="dxa"/>
            <w:gridSpan w:val="2"/>
          </w:tcPr>
          <w:p w14:paraId="201B1980" w14:textId="0A48100E" w:rsidR="00BA564F" w:rsidRPr="00154588" w:rsidRDefault="00BA564F" w:rsidP="008C12B4">
            <w:pPr>
              <w:jc w:val="both"/>
              <w:rPr>
                <w:bCs/>
                <w:sz w:val="20"/>
                <w:szCs w:val="20"/>
              </w:rPr>
            </w:pPr>
            <w:r w:rsidRPr="00154588">
              <w:rPr>
                <w:bCs/>
                <w:sz w:val="20"/>
                <w:szCs w:val="20"/>
              </w:rPr>
              <w:t>(3a) În cazul în care autoritatea de rezoluție constată că măsurile propuse de entitatea în cauză reduc sau elimină în mod eficace obstacolele semnificative din calea posibilității de soluționare, autoritatea de rezoluție ia o decizie, după consultarea autorității competente. Decizia respectivă indică faptul că autoritatea de rezoluție a evaluat măsurile propuse ca fiind adecvate pentru reducerea sau eliminarea eficace a obstacolelor semnificative din calea posibilității de soluționare și impune entității să pună în aplicare măsurile propuse.</w:t>
            </w:r>
          </w:p>
        </w:tc>
        <w:tc>
          <w:tcPr>
            <w:tcW w:w="4819" w:type="dxa"/>
          </w:tcPr>
          <w:p w14:paraId="3C051CFF" w14:textId="77777777" w:rsidR="003F513D" w:rsidRPr="00154588" w:rsidRDefault="002E7BEF" w:rsidP="008C12B4">
            <w:pPr>
              <w:jc w:val="both"/>
              <w:rPr>
                <w:bCs/>
                <w:sz w:val="20"/>
                <w:szCs w:val="20"/>
              </w:rPr>
            </w:pPr>
            <w:r w:rsidRPr="00154588">
              <w:rPr>
                <w:bCs/>
                <w:sz w:val="20"/>
                <w:szCs w:val="20"/>
              </w:rPr>
              <w:t xml:space="preserve">(7) În cazul în care Banca Națională a Moldovei, în calitate de autoritate de rezoluție, constată că măsurile propuse de </w:t>
            </w:r>
            <w:r w:rsidR="003F513D" w:rsidRPr="00154588">
              <w:rPr>
                <w:sz w:val="20"/>
                <w:szCs w:val="20"/>
              </w:rPr>
              <w:t>instituția de credit sau entitatea</w:t>
            </w:r>
            <w:r w:rsidRPr="00154588">
              <w:rPr>
                <w:bCs/>
                <w:sz w:val="20"/>
                <w:szCs w:val="20"/>
              </w:rPr>
              <w:t xml:space="preserve"> în cauză reduc sau elimină în mod eficace obstacolele semnificative din calea posibilității de soluționare, </w:t>
            </w:r>
            <w:r w:rsidR="003F513D" w:rsidRPr="00154588">
              <w:rPr>
                <w:bCs/>
                <w:sz w:val="20"/>
                <w:szCs w:val="20"/>
              </w:rPr>
              <w:t>aceasta</w:t>
            </w:r>
            <w:r w:rsidRPr="00154588">
              <w:rPr>
                <w:bCs/>
                <w:sz w:val="20"/>
                <w:szCs w:val="20"/>
              </w:rPr>
              <w:t>, după consultarea autorității competente</w:t>
            </w:r>
            <w:r w:rsidR="003F513D" w:rsidRPr="00154588">
              <w:rPr>
                <w:bCs/>
                <w:sz w:val="20"/>
                <w:szCs w:val="20"/>
              </w:rPr>
              <w:t>, ia o decizie prin care:</w:t>
            </w:r>
          </w:p>
          <w:p w14:paraId="63198913" w14:textId="77777777" w:rsidR="0016310D" w:rsidRPr="00154588" w:rsidRDefault="003F513D" w:rsidP="008C12B4">
            <w:pPr>
              <w:jc w:val="both"/>
              <w:rPr>
                <w:bCs/>
                <w:sz w:val="20"/>
                <w:szCs w:val="20"/>
              </w:rPr>
            </w:pPr>
            <w:r w:rsidRPr="00154588">
              <w:rPr>
                <w:bCs/>
                <w:sz w:val="20"/>
                <w:szCs w:val="20"/>
              </w:rPr>
              <w:t>a)constată că</w:t>
            </w:r>
            <w:r w:rsidR="002E7BEF" w:rsidRPr="00154588">
              <w:rPr>
                <w:bCs/>
                <w:sz w:val="20"/>
                <w:szCs w:val="20"/>
              </w:rPr>
              <w:t xml:space="preserve"> măsurile propuse </w:t>
            </w:r>
            <w:r w:rsidR="0016310D" w:rsidRPr="00154588">
              <w:rPr>
                <w:bCs/>
                <w:sz w:val="20"/>
                <w:szCs w:val="20"/>
              </w:rPr>
              <w:t>sunt</w:t>
            </w:r>
            <w:r w:rsidR="002E7BEF" w:rsidRPr="00154588">
              <w:rPr>
                <w:bCs/>
                <w:sz w:val="20"/>
                <w:szCs w:val="20"/>
              </w:rPr>
              <w:t xml:space="preserve"> adecvate pentru reducerea sau eliminarea eficace a obstacolelor semnificative din calea posibilității de soluționare</w:t>
            </w:r>
            <w:r w:rsidR="0016310D" w:rsidRPr="00154588">
              <w:rPr>
                <w:bCs/>
                <w:sz w:val="20"/>
                <w:szCs w:val="20"/>
              </w:rPr>
              <w:t>;</w:t>
            </w:r>
            <w:r w:rsidR="002E7BEF" w:rsidRPr="00154588">
              <w:rPr>
                <w:bCs/>
                <w:sz w:val="20"/>
                <w:szCs w:val="20"/>
              </w:rPr>
              <w:t xml:space="preserve"> și</w:t>
            </w:r>
          </w:p>
          <w:p w14:paraId="4AADFD45" w14:textId="27B38095" w:rsidR="00BA564F" w:rsidRPr="00154588" w:rsidRDefault="0016310D" w:rsidP="008C12B4">
            <w:pPr>
              <w:jc w:val="both"/>
              <w:rPr>
                <w:bCs/>
                <w:sz w:val="20"/>
                <w:szCs w:val="20"/>
              </w:rPr>
            </w:pPr>
            <w:r w:rsidRPr="00154588">
              <w:rPr>
                <w:bCs/>
                <w:sz w:val="20"/>
                <w:szCs w:val="20"/>
              </w:rPr>
              <w:t>b)</w:t>
            </w:r>
            <w:r w:rsidR="002E7BEF" w:rsidRPr="00154588">
              <w:rPr>
                <w:bCs/>
                <w:sz w:val="20"/>
                <w:szCs w:val="20"/>
              </w:rPr>
              <w:t xml:space="preserve"> impune </w:t>
            </w:r>
            <w:r w:rsidR="003F513D" w:rsidRPr="00154588">
              <w:rPr>
                <w:bCs/>
                <w:sz w:val="20"/>
                <w:szCs w:val="20"/>
              </w:rPr>
              <w:t xml:space="preserve">instituției de credit sau </w:t>
            </w:r>
            <w:r w:rsidR="002E7BEF" w:rsidRPr="00154588">
              <w:rPr>
                <w:bCs/>
                <w:sz w:val="20"/>
                <w:szCs w:val="20"/>
              </w:rPr>
              <w:t>entității să pună în aplicare măsurile propuse.</w:t>
            </w:r>
          </w:p>
        </w:tc>
        <w:tc>
          <w:tcPr>
            <w:tcW w:w="2552" w:type="dxa"/>
          </w:tcPr>
          <w:p w14:paraId="6F4A6FAD" w14:textId="63F3596B" w:rsidR="00BA564F" w:rsidRPr="00154588" w:rsidRDefault="003F513D" w:rsidP="008C12B4">
            <w:pPr>
              <w:jc w:val="both"/>
              <w:rPr>
                <w:bCs/>
                <w:sz w:val="20"/>
                <w:szCs w:val="20"/>
              </w:rPr>
            </w:pPr>
            <w:r w:rsidRPr="00154588">
              <w:rPr>
                <w:bCs/>
                <w:sz w:val="20"/>
                <w:szCs w:val="20"/>
              </w:rPr>
              <w:t>Compatibil</w:t>
            </w:r>
          </w:p>
          <w:p w14:paraId="0FDA1BA2" w14:textId="12A6585D" w:rsidR="003F513D" w:rsidRPr="00154588" w:rsidRDefault="003F513D" w:rsidP="008C12B4">
            <w:pPr>
              <w:jc w:val="both"/>
              <w:rPr>
                <w:bCs/>
                <w:sz w:val="20"/>
                <w:szCs w:val="20"/>
              </w:rPr>
            </w:pPr>
          </w:p>
        </w:tc>
        <w:tc>
          <w:tcPr>
            <w:tcW w:w="3118" w:type="dxa"/>
          </w:tcPr>
          <w:p w14:paraId="3D62C7FB" w14:textId="77777777" w:rsidR="00BA564F" w:rsidRPr="00154588" w:rsidRDefault="00BA564F" w:rsidP="008C12B4">
            <w:pPr>
              <w:jc w:val="both"/>
              <w:rPr>
                <w:bCs/>
                <w:sz w:val="20"/>
                <w:szCs w:val="20"/>
              </w:rPr>
            </w:pPr>
          </w:p>
        </w:tc>
      </w:tr>
      <w:tr w:rsidR="006A2A6A" w:rsidRPr="00154588" w14:paraId="020A1052" w14:textId="77777777" w:rsidTr="00D15C1B">
        <w:trPr>
          <w:jc w:val="center"/>
        </w:trPr>
        <w:tc>
          <w:tcPr>
            <w:tcW w:w="4957" w:type="dxa"/>
            <w:gridSpan w:val="2"/>
          </w:tcPr>
          <w:p w14:paraId="07E91057" w14:textId="77777777" w:rsidR="006A2A6A" w:rsidRPr="00154588" w:rsidRDefault="006A2A6A" w:rsidP="008C12B4">
            <w:pPr>
              <w:jc w:val="both"/>
              <w:rPr>
                <w:bCs/>
                <w:sz w:val="20"/>
                <w:szCs w:val="20"/>
              </w:rPr>
            </w:pPr>
            <w:r w:rsidRPr="00154588">
              <w:rPr>
                <w:bCs/>
                <w:sz w:val="20"/>
                <w:szCs w:val="20"/>
              </w:rPr>
              <w:t xml:space="preserve">(4)   Dacă constată că măsurile propuse de o entitate în conformitate cu alineatul (3) nu reduc sau nu înlătură în mod eficient obstacolele în cauză, autoritatea de rezoluție, fie direct, fie indirect prin intermediul autorității competente, solicită entității să ia măsuri alternative care pot conduce la atingerea acestui obiectiv și notifică măsurile respective în </w:t>
            </w:r>
            <w:r w:rsidRPr="00154588">
              <w:rPr>
                <w:bCs/>
                <w:sz w:val="20"/>
                <w:szCs w:val="20"/>
              </w:rPr>
              <w:lastRenderedPageBreak/>
              <w:t>scris entității, care în termen de o lună propune un plan vizând intrarea în conformitate cu acestea.</w:t>
            </w:r>
          </w:p>
          <w:p w14:paraId="0BB19446" w14:textId="77777777" w:rsidR="006A2A6A" w:rsidRPr="00154588" w:rsidRDefault="006A2A6A" w:rsidP="008C12B4">
            <w:pPr>
              <w:jc w:val="both"/>
              <w:rPr>
                <w:bCs/>
                <w:sz w:val="20"/>
                <w:szCs w:val="20"/>
              </w:rPr>
            </w:pPr>
          </w:p>
          <w:p w14:paraId="236A1DA4" w14:textId="13249015" w:rsidR="006A2A6A" w:rsidRPr="00154588" w:rsidRDefault="006A2A6A" w:rsidP="008C12B4">
            <w:pPr>
              <w:jc w:val="both"/>
              <w:rPr>
                <w:bCs/>
                <w:sz w:val="20"/>
                <w:szCs w:val="20"/>
              </w:rPr>
            </w:pPr>
            <w:r w:rsidRPr="00154588">
              <w:rPr>
                <w:bCs/>
                <w:sz w:val="20"/>
                <w:szCs w:val="20"/>
              </w:rPr>
              <w:t>În identificarea măsurilor alternative, autoritatea de rezoluție demonstrează că măsurile propuse de entitate nu ar reuși să îndepărteze obstacolele din calea posibilității de soluționare și în ce mod măsurile alternative propuse sunt potrivite pentru îndepărtarea acestora. Autoritatea de rezoluție ține seama de amenințarea pe care aceste obstacole la posibilitatea de soluționare o reprezintă pentru stabilitatea financiară și de efectul măsurilor asupra activității economice a entității, asupra stabilității acesteia și a capacității sale de a contribui la economie.</w:t>
            </w:r>
          </w:p>
        </w:tc>
        <w:tc>
          <w:tcPr>
            <w:tcW w:w="4819" w:type="dxa"/>
          </w:tcPr>
          <w:p w14:paraId="35761174" w14:textId="77777777" w:rsidR="006A2A6A" w:rsidRPr="00154588" w:rsidRDefault="006A2A6A" w:rsidP="008C12B4">
            <w:pPr>
              <w:ind w:firstLine="567"/>
              <w:jc w:val="both"/>
              <w:rPr>
                <w:sz w:val="20"/>
                <w:szCs w:val="20"/>
              </w:rPr>
            </w:pPr>
            <w:r w:rsidRPr="00154588">
              <w:rPr>
                <w:b/>
                <w:sz w:val="20"/>
                <w:szCs w:val="20"/>
              </w:rPr>
              <w:lastRenderedPageBreak/>
              <w:t>Articolul 38.</w:t>
            </w:r>
            <w:r w:rsidRPr="00154588">
              <w:rPr>
                <w:sz w:val="20"/>
                <w:szCs w:val="20"/>
              </w:rPr>
              <w:t xml:space="preserve"> – </w:t>
            </w:r>
            <w:bookmarkStart w:id="11" w:name="_Hlk223444351"/>
            <w:r w:rsidRPr="00154588">
              <w:rPr>
                <w:sz w:val="20"/>
                <w:szCs w:val="20"/>
              </w:rPr>
              <w:t xml:space="preserve">(1) Dacă Banca Naţională a Moldovei, în calitate de autoritate de rezoluţie, apreciază că măsurile propuse de instituția de credit sau de entitate în conformitate cu prevederile art.37 nu asigură reducerea sau înlăturarea obstacolelor în cauză, va impune acesteia, direct sau indirect, prin intermediul autorității competente, </w:t>
            </w:r>
            <w:r w:rsidRPr="00154588">
              <w:rPr>
                <w:sz w:val="20"/>
                <w:szCs w:val="20"/>
              </w:rPr>
              <w:lastRenderedPageBreak/>
              <w:t>să ia măsuri alternative cu acelaşi scop şi va notifica respectivele măsuri în scris instituție de credit sau entității, care, în termen de o lună de la primirea notificării va propune un plan de conformare la acestea.</w:t>
            </w:r>
          </w:p>
          <w:bookmarkEnd w:id="11"/>
          <w:p w14:paraId="0D885188" w14:textId="77777777" w:rsidR="006A2A6A" w:rsidRPr="00154588" w:rsidRDefault="006A2A6A" w:rsidP="008C12B4">
            <w:pPr>
              <w:ind w:firstLine="567"/>
              <w:jc w:val="both"/>
              <w:rPr>
                <w:sz w:val="20"/>
                <w:szCs w:val="20"/>
              </w:rPr>
            </w:pPr>
            <w:r w:rsidRPr="00154588">
              <w:rPr>
                <w:sz w:val="20"/>
                <w:szCs w:val="20"/>
              </w:rPr>
              <w:t xml:space="preserve">(2) </w:t>
            </w:r>
            <w:bookmarkStart w:id="12" w:name="_Hlk223444440"/>
            <w:r w:rsidRPr="00154588">
              <w:rPr>
                <w:sz w:val="20"/>
                <w:szCs w:val="20"/>
              </w:rPr>
              <w:t xml:space="preserve">Notificarea menționată la alin.(1) va fi însoțită de </w:t>
            </w:r>
            <w:bookmarkEnd w:id="12"/>
            <w:r w:rsidRPr="00154588">
              <w:rPr>
                <w:sz w:val="20"/>
                <w:szCs w:val="20"/>
              </w:rPr>
              <w:t xml:space="preserve">argumentele pentru care măsurile propuse de </w:t>
            </w:r>
            <w:bookmarkStart w:id="13" w:name="_Hlk223444630"/>
            <w:r w:rsidRPr="00154588">
              <w:rPr>
                <w:sz w:val="20"/>
                <w:szCs w:val="20"/>
              </w:rPr>
              <w:t xml:space="preserve">instituția de credit sau de entitate </w:t>
            </w:r>
            <w:bookmarkEnd w:id="13"/>
            <w:r w:rsidRPr="00154588">
              <w:rPr>
                <w:sz w:val="20"/>
                <w:szCs w:val="20"/>
              </w:rPr>
              <w:t>nu sînt considerate eficace pentru înlăturarea obstacolelor din calea posibilităţii de soluţionare şi de prezentarea modului în care măsurile alternative propuse sînt proporţionale pentru îndepărtarea acestor obstacole.</w:t>
            </w:r>
          </w:p>
          <w:p w14:paraId="41AC7F56" w14:textId="77777777" w:rsidR="006A2A6A" w:rsidRPr="00154588" w:rsidRDefault="006A2A6A" w:rsidP="008C12B4">
            <w:pPr>
              <w:ind w:firstLine="567"/>
              <w:jc w:val="both"/>
              <w:rPr>
                <w:sz w:val="20"/>
                <w:szCs w:val="20"/>
              </w:rPr>
            </w:pPr>
            <w:r w:rsidRPr="00154588">
              <w:rPr>
                <w:sz w:val="20"/>
                <w:szCs w:val="20"/>
              </w:rPr>
              <w:t>(3) La stabilirea măsurilor alternative, Banca Naţională a Moldovei, în calitate de autoritate de rezoluţie, ţine cont de ameninţarea pentru stabilitatea financiară reprezentată de aceste obstacole în calea soluţionării şi de efectul măsurilor asupra activităţii instituției de credit sau entității, stabilităţii acesteia şi a capacităţii sale de a contribui la economie.</w:t>
            </w:r>
          </w:p>
          <w:p w14:paraId="4A8407BF" w14:textId="77777777" w:rsidR="006A2A6A" w:rsidRPr="00154588" w:rsidRDefault="006A2A6A" w:rsidP="008C12B4">
            <w:pPr>
              <w:jc w:val="both"/>
              <w:rPr>
                <w:bCs/>
                <w:sz w:val="20"/>
                <w:szCs w:val="20"/>
              </w:rPr>
            </w:pPr>
          </w:p>
        </w:tc>
        <w:tc>
          <w:tcPr>
            <w:tcW w:w="2552" w:type="dxa"/>
          </w:tcPr>
          <w:p w14:paraId="561349AE" w14:textId="7EFE0EB9"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3CFE775F" w14:textId="77777777" w:rsidR="006A2A6A" w:rsidRPr="00154588" w:rsidRDefault="006A2A6A" w:rsidP="008C12B4">
            <w:pPr>
              <w:jc w:val="both"/>
              <w:rPr>
                <w:bCs/>
                <w:sz w:val="20"/>
                <w:szCs w:val="20"/>
              </w:rPr>
            </w:pPr>
          </w:p>
        </w:tc>
      </w:tr>
      <w:tr w:rsidR="006A2A6A" w:rsidRPr="00154588" w14:paraId="4D64E0B5" w14:textId="77777777" w:rsidTr="00D15C1B">
        <w:trPr>
          <w:jc w:val="center"/>
        </w:trPr>
        <w:tc>
          <w:tcPr>
            <w:tcW w:w="4957" w:type="dxa"/>
            <w:gridSpan w:val="2"/>
          </w:tcPr>
          <w:p w14:paraId="104EF7FA" w14:textId="098FFA56" w:rsidR="006A2A6A" w:rsidRPr="00154588" w:rsidRDefault="006A2A6A" w:rsidP="008C12B4">
            <w:pPr>
              <w:jc w:val="both"/>
              <w:rPr>
                <w:bCs/>
                <w:sz w:val="20"/>
                <w:szCs w:val="20"/>
              </w:rPr>
            </w:pPr>
            <w:r w:rsidRPr="00154588">
              <w:rPr>
                <w:bCs/>
                <w:sz w:val="20"/>
                <w:szCs w:val="20"/>
              </w:rPr>
              <w:t xml:space="preserve">(5)   În sensul alineatului (4), autoritățile de rezoluție au </w:t>
            </w:r>
            <w:r w:rsidR="0021194D" w:rsidRPr="00154588">
              <w:rPr>
                <w:bCs/>
                <w:sz w:val="20"/>
                <w:szCs w:val="20"/>
              </w:rPr>
              <w:t xml:space="preserve">cel puțin </w:t>
            </w:r>
            <w:r w:rsidRPr="00154588">
              <w:rPr>
                <w:bCs/>
                <w:sz w:val="20"/>
                <w:szCs w:val="20"/>
              </w:rPr>
              <w:t>competența de a lua oricare dintre următoarele măsuri:</w:t>
            </w:r>
          </w:p>
          <w:p w14:paraId="21C809A5" w14:textId="77777777" w:rsidR="006A2A6A" w:rsidRPr="00154588" w:rsidRDefault="006A2A6A" w:rsidP="008C12B4">
            <w:pPr>
              <w:jc w:val="both"/>
              <w:rPr>
                <w:bCs/>
                <w:sz w:val="20"/>
                <w:szCs w:val="20"/>
              </w:rPr>
            </w:pPr>
          </w:p>
          <w:p w14:paraId="54554A59" w14:textId="45706504" w:rsidR="006A2A6A" w:rsidRPr="00154588" w:rsidRDefault="006A2A6A" w:rsidP="008C12B4">
            <w:pPr>
              <w:jc w:val="both"/>
              <w:rPr>
                <w:bCs/>
                <w:sz w:val="20"/>
                <w:szCs w:val="20"/>
              </w:rPr>
            </w:pPr>
            <w:r w:rsidRPr="00154588">
              <w:rPr>
                <w:bCs/>
                <w:sz w:val="20"/>
                <w:szCs w:val="20"/>
              </w:rPr>
              <w:t>(a) să solicite entitate revizuirea oricăror acorduri de finanțare intragrup sau examinarea motivelor pentru absența acestora, sau încheierea unor acorduri de servicii, fie intragrup, fie cu părți terțe, pentru a asigura furnizarea de funcții critice;</w:t>
            </w:r>
          </w:p>
          <w:p w14:paraId="671209ED" w14:textId="77777777" w:rsidR="006A2A6A" w:rsidRPr="00154588" w:rsidRDefault="006A2A6A" w:rsidP="008C12B4">
            <w:pPr>
              <w:jc w:val="both"/>
              <w:rPr>
                <w:bCs/>
                <w:sz w:val="20"/>
                <w:szCs w:val="20"/>
              </w:rPr>
            </w:pPr>
          </w:p>
          <w:p w14:paraId="2301CD73" w14:textId="03E02785" w:rsidR="006A2A6A" w:rsidRPr="00154588" w:rsidRDefault="006A2A6A" w:rsidP="008C12B4">
            <w:pPr>
              <w:jc w:val="both"/>
              <w:rPr>
                <w:bCs/>
                <w:sz w:val="20"/>
                <w:szCs w:val="20"/>
              </w:rPr>
            </w:pPr>
            <w:r w:rsidRPr="00154588">
              <w:rPr>
                <w:bCs/>
                <w:sz w:val="20"/>
                <w:szCs w:val="20"/>
              </w:rPr>
              <w:t>(b) să solicite entitate limitarea expunerilor sale individuale și agregate maxime;</w:t>
            </w:r>
          </w:p>
          <w:p w14:paraId="17338028" w14:textId="77777777" w:rsidR="006A2A6A" w:rsidRPr="00154588" w:rsidRDefault="006A2A6A" w:rsidP="008C12B4">
            <w:pPr>
              <w:jc w:val="both"/>
              <w:rPr>
                <w:bCs/>
                <w:sz w:val="20"/>
                <w:szCs w:val="20"/>
              </w:rPr>
            </w:pPr>
          </w:p>
          <w:p w14:paraId="78665807" w14:textId="4958BD5B" w:rsidR="006A2A6A" w:rsidRPr="00154588" w:rsidRDefault="006A2A6A" w:rsidP="008C12B4">
            <w:pPr>
              <w:jc w:val="both"/>
              <w:rPr>
                <w:bCs/>
                <w:sz w:val="20"/>
                <w:szCs w:val="20"/>
              </w:rPr>
            </w:pPr>
            <w:r w:rsidRPr="00154588">
              <w:rPr>
                <w:bCs/>
                <w:sz w:val="20"/>
                <w:szCs w:val="20"/>
              </w:rPr>
              <w:t>(c) să impună cerințe suplimentare de informare punctuală sau periodică, relevante pentru procedura de rezoluție;</w:t>
            </w:r>
          </w:p>
          <w:p w14:paraId="094BFD8E" w14:textId="77777777" w:rsidR="006A2A6A" w:rsidRPr="00154588" w:rsidRDefault="006A2A6A" w:rsidP="008C12B4">
            <w:pPr>
              <w:jc w:val="both"/>
              <w:rPr>
                <w:bCs/>
                <w:sz w:val="20"/>
                <w:szCs w:val="20"/>
              </w:rPr>
            </w:pPr>
          </w:p>
          <w:p w14:paraId="2D217435" w14:textId="6C65340F" w:rsidR="006A2A6A" w:rsidRPr="00154588" w:rsidRDefault="006A2A6A" w:rsidP="008C12B4">
            <w:pPr>
              <w:jc w:val="both"/>
              <w:rPr>
                <w:bCs/>
                <w:sz w:val="20"/>
                <w:szCs w:val="20"/>
              </w:rPr>
            </w:pPr>
            <w:r w:rsidRPr="00154588">
              <w:rPr>
                <w:bCs/>
                <w:sz w:val="20"/>
                <w:szCs w:val="20"/>
              </w:rPr>
              <w:t>(d) să solicite entitate renunțarea la anumite active;</w:t>
            </w:r>
          </w:p>
          <w:p w14:paraId="7773E1C1" w14:textId="77777777" w:rsidR="006A2A6A" w:rsidRPr="00154588" w:rsidRDefault="006A2A6A" w:rsidP="008C12B4">
            <w:pPr>
              <w:jc w:val="both"/>
              <w:rPr>
                <w:bCs/>
                <w:sz w:val="20"/>
                <w:szCs w:val="20"/>
              </w:rPr>
            </w:pPr>
          </w:p>
          <w:p w14:paraId="65525E2D" w14:textId="63ED3F90" w:rsidR="006A2A6A" w:rsidRPr="00154588" w:rsidRDefault="006A2A6A" w:rsidP="008C12B4">
            <w:pPr>
              <w:jc w:val="both"/>
              <w:rPr>
                <w:bCs/>
                <w:sz w:val="20"/>
                <w:szCs w:val="20"/>
              </w:rPr>
            </w:pPr>
            <w:r w:rsidRPr="00154588">
              <w:rPr>
                <w:bCs/>
                <w:sz w:val="20"/>
                <w:szCs w:val="20"/>
              </w:rPr>
              <w:t>(e) să solicite entitate limitarea sau încetarea anumitor activități aflate în curs de desfășurare sau propuse;</w:t>
            </w:r>
          </w:p>
          <w:p w14:paraId="23F3E2FA" w14:textId="77777777" w:rsidR="006A2A6A" w:rsidRPr="00154588" w:rsidRDefault="006A2A6A" w:rsidP="008C12B4">
            <w:pPr>
              <w:jc w:val="both"/>
              <w:rPr>
                <w:bCs/>
                <w:sz w:val="20"/>
                <w:szCs w:val="20"/>
              </w:rPr>
            </w:pPr>
          </w:p>
          <w:p w14:paraId="5A7B68E0" w14:textId="1FAC74D2" w:rsidR="006A2A6A" w:rsidRPr="00154588" w:rsidRDefault="006A2A6A" w:rsidP="008C12B4">
            <w:pPr>
              <w:jc w:val="both"/>
              <w:rPr>
                <w:bCs/>
                <w:sz w:val="20"/>
                <w:szCs w:val="20"/>
              </w:rPr>
            </w:pPr>
            <w:r w:rsidRPr="00154588">
              <w:rPr>
                <w:bCs/>
                <w:sz w:val="20"/>
                <w:szCs w:val="20"/>
              </w:rPr>
              <w:t>(f) să limiteze sau să împiedice crearea de noi linii de activitate economică, dezvoltarea celor existente, vânzarea de produse noi sau vânzarea produselor existente;</w:t>
            </w:r>
          </w:p>
          <w:p w14:paraId="460FF373" w14:textId="77777777" w:rsidR="006A2A6A" w:rsidRPr="00154588" w:rsidRDefault="006A2A6A" w:rsidP="008C12B4">
            <w:pPr>
              <w:jc w:val="both"/>
              <w:rPr>
                <w:bCs/>
                <w:sz w:val="20"/>
                <w:szCs w:val="20"/>
              </w:rPr>
            </w:pPr>
          </w:p>
          <w:p w14:paraId="76709A80" w14:textId="360A5948" w:rsidR="006A2A6A" w:rsidRPr="00154588" w:rsidRDefault="006A2A6A" w:rsidP="008C12B4">
            <w:pPr>
              <w:jc w:val="both"/>
              <w:rPr>
                <w:bCs/>
                <w:sz w:val="20"/>
                <w:szCs w:val="20"/>
              </w:rPr>
            </w:pPr>
            <w:r w:rsidRPr="00154588">
              <w:rPr>
                <w:bCs/>
                <w:sz w:val="20"/>
                <w:szCs w:val="20"/>
              </w:rPr>
              <w:t xml:space="preserve">(g) să solicite modificarea structurilor juridice sau operaționale ale entitate sau ale oricărei entități din grup, fie </w:t>
            </w:r>
            <w:r w:rsidRPr="00154588">
              <w:rPr>
                <w:bCs/>
                <w:sz w:val="20"/>
                <w:szCs w:val="20"/>
              </w:rPr>
              <w:lastRenderedPageBreak/>
              <w:t>în mod direct, fie în mod indirect sub controlul lor, pentru a reduce complexitatea și a garanta astfel posibilitatea separării, din punct de vedere juridic și operațional, a funcțiilor critice de alte funcții, prin aplicarea instrumentelor de rezoluție;</w:t>
            </w:r>
          </w:p>
          <w:p w14:paraId="58E426C5" w14:textId="77777777" w:rsidR="006A2A6A" w:rsidRPr="00154588" w:rsidRDefault="006A2A6A" w:rsidP="008C12B4">
            <w:pPr>
              <w:jc w:val="both"/>
              <w:rPr>
                <w:bCs/>
                <w:sz w:val="20"/>
                <w:szCs w:val="20"/>
              </w:rPr>
            </w:pPr>
          </w:p>
          <w:p w14:paraId="0419B42F" w14:textId="77777777" w:rsidR="006A2A6A" w:rsidRPr="00154588" w:rsidRDefault="006A2A6A" w:rsidP="008C12B4">
            <w:pPr>
              <w:jc w:val="both"/>
              <w:rPr>
                <w:bCs/>
                <w:sz w:val="20"/>
                <w:szCs w:val="20"/>
              </w:rPr>
            </w:pPr>
            <w:r w:rsidRPr="00154588">
              <w:rPr>
                <w:bCs/>
                <w:sz w:val="20"/>
                <w:szCs w:val="20"/>
              </w:rPr>
              <w:t>(h) să solicite unei entitate sau unei întreprinderi-mamă înființarea unei societăți financiare holding-mamă într-un stat membru sau a unei societăți financiare holding-mamă din Uniune;</w:t>
            </w:r>
          </w:p>
          <w:p w14:paraId="5D71CE72" w14:textId="77777777" w:rsidR="006A2A6A" w:rsidRPr="00154588" w:rsidRDefault="006A2A6A" w:rsidP="008C12B4">
            <w:pPr>
              <w:jc w:val="both"/>
              <w:rPr>
                <w:bCs/>
                <w:sz w:val="20"/>
                <w:szCs w:val="20"/>
              </w:rPr>
            </w:pPr>
          </w:p>
          <w:p w14:paraId="69A851C9" w14:textId="77777777" w:rsidR="006A2A6A" w:rsidRPr="00154588" w:rsidRDefault="006A2A6A" w:rsidP="008C12B4">
            <w:pPr>
              <w:jc w:val="both"/>
              <w:rPr>
                <w:bCs/>
                <w:sz w:val="20"/>
                <w:szCs w:val="20"/>
              </w:rPr>
            </w:pPr>
            <w:r w:rsidRPr="00154588">
              <w:rPr>
                <w:bCs/>
                <w:sz w:val="20"/>
                <w:szCs w:val="20"/>
              </w:rPr>
              <w:t>(ha) să solicite unei instituții sau unei entități menționate la articolul 1 alineatul (1) litera (b), (c) sau (d) din prezenta directivă să prezinte un plan de restabilire a conformității cu cerințele articolului 45e sau 45f din prezenta directivă, exprimate sub forma unui procent din cuantumul total al expunerii la risc calculat în conformitate cu articolul 92 alineatul (3) din Regulamentul (UE) nr. 575/2013 și, după caz, cu cerința amortizorului combinat și cu cerințele menționate la articolul 45e sau 45f din prezenta directivă, exprimate ca procent din indicatorul de măsurare a expunerii totale menționat la articolele 429 și 429a din Regulamentul (UE) nr. 575/2013;</w:t>
            </w:r>
          </w:p>
          <w:p w14:paraId="080EFB3A" w14:textId="77777777" w:rsidR="006A2A6A" w:rsidRPr="00154588" w:rsidRDefault="006A2A6A" w:rsidP="008C12B4">
            <w:pPr>
              <w:jc w:val="both"/>
              <w:rPr>
                <w:bCs/>
                <w:sz w:val="20"/>
                <w:szCs w:val="20"/>
              </w:rPr>
            </w:pPr>
          </w:p>
          <w:p w14:paraId="252DB316" w14:textId="6C107F99" w:rsidR="006A2A6A" w:rsidRPr="00154588" w:rsidRDefault="006A2A6A" w:rsidP="008C12B4">
            <w:pPr>
              <w:jc w:val="both"/>
              <w:rPr>
                <w:bCs/>
                <w:sz w:val="20"/>
                <w:szCs w:val="20"/>
              </w:rPr>
            </w:pPr>
            <w:r w:rsidRPr="00154588">
              <w:rPr>
                <w:bCs/>
                <w:sz w:val="20"/>
                <w:szCs w:val="20"/>
              </w:rPr>
              <w:t>(i) să solicite unei instituții sau entități menționate la articolul 1 alineatul (1) litera (b), (c) sau (d) să emită datorii eligibile pentru a îndeplini cerințele de la articolul 45e sau 45f;</w:t>
            </w:r>
          </w:p>
          <w:p w14:paraId="653C105B" w14:textId="77777777" w:rsidR="006A2A6A" w:rsidRPr="00154588" w:rsidRDefault="006A2A6A" w:rsidP="008C12B4">
            <w:pPr>
              <w:jc w:val="both"/>
              <w:rPr>
                <w:bCs/>
                <w:sz w:val="20"/>
                <w:szCs w:val="20"/>
              </w:rPr>
            </w:pPr>
          </w:p>
          <w:p w14:paraId="2A92D2A9" w14:textId="6CAE0C08" w:rsidR="006A2A6A" w:rsidRPr="00154588" w:rsidRDefault="006A2A6A" w:rsidP="008C12B4">
            <w:pPr>
              <w:jc w:val="both"/>
              <w:rPr>
                <w:bCs/>
                <w:sz w:val="20"/>
                <w:szCs w:val="20"/>
              </w:rPr>
            </w:pPr>
            <w:r w:rsidRPr="00154588">
              <w:rPr>
                <w:bCs/>
                <w:sz w:val="20"/>
                <w:szCs w:val="20"/>
              </w:rPr>
              <w:t>(j) să solicite unei instituții sau entități menționate la articolul 1 alineatul (1) litera (b), (c) sau (d) să adopte alte măsuri pentru a îndeplini cerința minimă de fonduri proprii și datorii eligibile în temeiul articolului 45e sau 45f, inclusiv, îndeosebi, să încerce să renegocieze orice datorie eligibilă și orice instrument de fonduri proprii de nivel 1 suplimentar sau instrument de fonduri proprii de nivel 2 pe care l-a emis, pentru a se asigura că orice decizie a autorității de rezoluție de a reduce valoarea datoriei sau instrumentului în cauză sau de a-l converti ar fi aplicată în temeiul legislației jurisdicției care îl reglementează;</w:t>
            </w:r>
          </w:p>
          <w:p w14:paraId="5DA876B5" w14:textId="77777777" w:rsidR="006A2A6A" w:rsidRPr="00154588" w:rsidRDefault="006A2A6A" w:rsidP="008C12B4">
            <w:pPr>
              <w:jc w:val="both"/>
              <w:rPr>
                <w:bCs/>
                <w:sz w:val="20"/>
                <w:szCs w:val="20"/>
              </w:rPr>
            </w:pPr>
          </w:p>
          <w:p w14:paraId="5CF891BF" w14:textId="257DF85F" w:rsidR="006A2A6A" w:rsidRPr="00154588" w:rsidRDefault="006A2A6A" w:rsidP="008C12B4">
            <w:pPr>
              <w:jc w:val="both"/>
              <w:rPr>
                <w:bCs/>
                <w:sz w:val="20"/>
                <w:szCs w:val="20"/>
              </w:rPr>
            </w:pPr>
            <w:r w:rsidRPr="00154588">
              <w:rPr>
                <w:bCs/>
                <w:sz w:val="20"/>
                <w:szCs w:val="20"/>
              </w:rPr>
              <w:t>(ja) în scopul asigurării conformității continue cu articolul 45e sau 45f, să solicite unei instituții sau entități menționate la articolul 1 alineatul (1) litera (b), (c) sau (d) să modifice profilul de scadență:</w:t>
            </w:r>
          </w:p>
          <w:p w14:paraId="1C3E7416" w14:textId="77777777" w:rsidR="006A2A6A" w:rsidRPr="00154588" w:rsidRDefault="006A2A6A" w:rsidP="008C12B4">
            <w:pPr>
              <w:jc w:val="both"/>
              <w:rPr>
                <w:bCs/>
                <w:sz w:val="20"/>
                <w:szCs w:val="20"/>
              </w:rPr>
            </w:pPr>
          </w:p>
          <w:p w14:paraId="16C22C07" w14:textId="22F82A5D" w:rsidR="006A2A6A" w:rsidRPr="00154588" w:rsidRDefault="006A2A6A" w:rsidP="008C12B4">
            <w:pPr>
              <w:jc w:val="both"/>
              <w:rPr>
                <w:bCs/>
                <w:sz w:val="20"/>
                <w:szCs w:val="20"/>
              </w:rPr>
            </w:pPr>
            <w:r w:rsidRPr="00154588">
              <w:rPr>
                <w:bCs/>
                <w:sz w:val="20"/>
                <w:szCs w:val="20"/>
              </w:rPr>
              <w:t>(i) al instrumentelor de fonduri proprii, după obținerea acordului autorității competente; și</w:t>
            </w:r>
          </w:p>
          <w:p w14:paraId="1FA2A122" w14:textId="77777777" w:rsidR="006A2A6A" w:rsidRPr="00154588" w:rsidRDefault="006A2A6A" w:rsidP="008C12B4">
            <w:pPr>
              <w:jc w:val="both"/>
              <w:rPr>
                <w:bCs/>
                <w:sz w:val="20"/>
                <w:szCs w:val="20"/>
              </w:rPr>
            </w:pPr>
          </w:p>
          <w:p w14:paraId="6C5563B5" w14:textId="77777777" w:rsidR="006A2A6A" w:rsidRPr="00154588" w:rsidRDefault="006A2A6A" w:rsidP="008C12B4">
            <w:pPr>
              <w:jc w:val="both"/>
              <w:rPr>
                <w:bCs/>
                <w:sz w:val="20"/>
                <w:szCs w:val="20"/>
              </w:rPr>
            </w:pPr>
          </w:p>
          <w:p w14:paraId="06EA1894" w14:textId="512B57E3" w:rsidR="006A2A6A" w:rsidRPr="00154588" w:rsidRDefault="006A2A6A" w:rsidP="008C12B4">
            <w:pPr>
              <w:jc w:val="both"/>
              <w:rPr>
                <w:bCs/>
                <w:sz w:val="20"/>
                <w:szCs w:val="20"/>
              </w:rPr>
            </w:pPr>
            <w:r w:rsidRPr="00154588">
              <w:rPr>
                <w:bCs/>
                <w:sz w:val="20"/>
                <w:szCs w:val="20"/>
              </w:rPr>
              <w:t>(ii) al datoriilor eligibile menționate la articolul 45b și la articolul 45f alineatul (2) litera (a);</w:t>
            </w:r>
          </w:p>
          <w:p w14:paraId="5DBD95A5" w14:textId="77777777" w:rsidR="006A2A6A" w:rsidRPr="00154588" w:rsidRDefault="006A2A6A" w:rsidP="008C12B4">
            <w:pPr>
              <w:jc w:val="both"/>
              <w:rPr>
                <w:bCs/>
                <w:sz w:val="20"/>
                <w:szCs w:val="20"/>
              </w:rPr>
            </w:pPr>
          </w:p>
          <w:p w14:paraId="1BDA54E2" w14:textId="3563CFE5" w:rsidR="006A2A6A" w:rsidRPr="00154588" w:rsidRDefault="006A2A6A" w:rsidP="008C12B4">
            <w:pPr>
              <w:jc w:val="both"/>
              <w:rPr>
                <w:bCs/>
                <w:sz w:val="20"/>
                <w:szCs w:val="20"/>
              </w:rPr>
            </w:pPr>
            <w:r w:rsidRPr="00154588">
              <w:rPr>
                <w:bCs/>
                <w:sz w:val="20"/>
                <w:szCs w:val="20"/>
              </w:rPr>
              <w:t>(k) în cazul în care o entitate este filială a unei societăți holding cu activitate mixtă, să solicite respectivei societăți holding cu activitate mixtă înființarea unei societăți financiare holding separate pentru a controla entitatea, dacă acest lucru este necesar pentru a facilita rezoluția entității și pentru a evita eventualele efecte negative ale aplicării instrumentelor și ale exercitării competențelor de rezoluție menționate în titlul IV asupra părții nefinanciare a grupului.</w:t>
            </w:r>
          </w:p>
        </w:tc>
        <w:tc>
          <w:tcPr>
            <w:tcW w:w="4819" w:type="dxa"/>
          </w:tcPr>
          <w:p w14:paraId="7FA6D4B3" w14:textId="33A82F28" w:rsidR="006A2A6A" w:rsidRPr="00154588" w:rsidRDefault="006A2A6A" w:rsidP="008C12B4">
            <w:pPr>
              <w:ind w:firstLine="567"/>
              <w:jc w:val="both"/>
              <w:rPr>
                <w:sz w:val="20"/>
                <w:szCs w:val="20"/>
              </w:rPr>
            </w:pPr>
            <w:r w:rsidRPr="00154588">
              <w:rPr>
                <w:b/>
                <w:sz w:val="20"/>
                <w:szCs w:val="20"/>
              </w:rPr>
              <w:lastRenderedPageBreak/>
              <w:t>Articolul 39.</w:t>
            </w:r>
            <w:r w:rsidRPr="00154588">
              <w:rPr>
                <w:sz w:val="20"/>
                <w:szCs w:val="20"/>
              </w:rPr>
              <w:t xml:space="preserve"> – În sensul art.38, Banca Naţională a Moldovei, în calitate de autoritate de rezoluţie, poate lua </w:t>
            </w:r>
            <w:r w:rsidR="00B45EE5" w:rsidRPr="00154588">
              <w:rPr>
                <w:sz w:val="20"/>
                <w:szCs w:val="20"/>
              </w:rPr>
              <w:t xml:space="preserve">cel putin </w:t>
            </w:r>
            <w:r w:rsidRPr="00154588">
              <w:rPr>
                <w:sz w:val="20"/>
                <w:szCs w:val="20"/>
              </w:rPr>
              <w:t>oricare dintre următoarele măsuri:</w:t>
            </w:r>
          </w:p>
          <w:p w14:paraId="3E3ADB47" w14:textId="77777777" w:rsidR="006A2A6A" w:rsidRPr="00154588" w:rsidRDefault="006A2A6A" w:rsidP="008C12B4">
            <w:pPr>
              <w:ind w:firstLine="567"/>
              <w:jc w:val="both"/>
              <w:rPr>
                <w:sz w:val="20"/>
                <w:szCs w:val="20"/>
              </w:rPr>
            </w:pPr>
            <w:r w:rsidRPr="00154588">
              <w:rPr>
                <w:sz w:val="20"/>
                <w:szCs w:val="20"/>
              </w:rPr>
              <w:t xml:space="preserve">a) să solicite </w:t>
            </w:r>
            <w:bookmarkStart w:id="14" w:name="_Hlk223444830"/>
            <w:r w:rsidRPr="00154588">
              <w:rPr>
                <w:sz w:val="20"/>
                <w:szCs w:val="20"/>
              </w:rPr>
              <w:t>instituției de credit sau entității</w:t>
            </w:r>
            <w:bookmarkEnd w:id="14"/>
            <w:r w:rsidRPr="00154588">
              <w:rPr>
                <w:sz w:val="20"/>
                <w:szCs w:val="20"/>
              </w:rPr>
              <w:t xml:space="preserve"> revizuirea oricăror acorduri de finanţare intragrup sau examinarea motivelor pentru absenţa acestora, încheierea unor contracte de servicii – fie intragrup, fie cu părţi terţe – vizînd asigurarea desfăşurării funcţiilor critice ale instituției de credit sau entității;</w:t>
            </w:r>
          </w:p>
          <w:p w14:paraId="72FAFD32" w14:textId="77777777" w:rsidR="006A2A6A" w:rsidRPr="00154588" w:rsidRDefault="006A2A6A" w:rsidP="008C12B4">
            <w:pPr>
              <w:ind w:firstLine="567"/>
              <w:jc w:val="both"/>
              <w:rPr>
                <w:sz w:val="20"/>
                <w:szCs w:val="20"/>
              </w:rPr>
            </w:pPr>
            <w:r w:rsidRPr="00154588">
              <w:rPr>
                <w:sz w:val="20"/>
                <w:szCs w:val="20"/>
              </w:rPr>
              <w:t>b) să solicite instituției de credit sau entității</w:t>
            </w:r>
            <w:r w:rsidRPr="00154588" w:rsidDel="0077650D">
              <w:rPr>
                <w:sz w:val="20"/>
                <w:szCs w:val="20"/>
              </w:rPr>
              <w:t xml:space="preserve"> </w:t>
            </w:r>
            <w:r w:rsidRPr="00154588">
              <w:rPr>
                <w:sz w:val="20"/>
                <w:szCs w:val="20"/>
              </w:rPr>
              <w:t xml:space="preserve"> limitarea expunerilor sale individuale şi agregate maxime;</w:t>
            </w:r>
          </w:p>
          <w:p w14:paraId="21D04F2B" w14:textId="77777777" w:rsidR="006A2A6A" w:rsidRPr="00154588" w:rsidRDefault="006A2A6A" w:rsidP="008C12B4">
            <w:pPr>
              <w:ind w:firstLine="567"/>
              <w:jc w:val="both"/>
              <w:rPr>
                <w:sz w:val="20"/>
                <w:szCs w:val="20"/>
              </w:rPr>
            </w:pPr>
            <w:r w:rsidRPr="00154588">
              <w:rPr>
                <w:sz w:val="20"/>
                <w:szCs w:val="20"/>
              </w:rPr>
              <w:t>c) să impună cerinţe suplimentare de informare specifice sau periodice, relevante pentru procedura de rezoluţie;</w:t>
            </w:r>
          </w:p>
          <w:p w14:paraId="4F79DC98" w14:textId="77777777" w:rsidR="006A2A6A" w:rsidRPr="00154588" w:rsidRDefault="006A2A6A" w:rsidP="008C12B4">
            <w:pPr>
              <w:ind w:firstLine="567"/>
              <w:jc w:val="both"/>
              <w:rPr>
                <w:sz w:val="20"/>
                <w:szCs w:val="20"/>
              </w:rPr>
            </w:pPr>
            <w:r w:rsidRPr="00154588">
              <w:rPr>
                <w:sz w:val="20"/>
                <w:szCs w:val="20"/>
              </w:rPr>
              <w:t>d) să solicite instituției de credit sau entității</w:t>
            </w:r>
            <w:r w:rsidRPr="00154588" w:rsidDel="00336705">
              <w:rPr>
                <w:sz w:val="20"/>
                <w:szCs w:val="20"/>
              </w:rPr>
              <w:t xml:space="preserve"> </w:t>
            </w:r>
            <w:r w:rsidRPr="00154588">
              <w:rPr>
                <w:sz w:val="20"/>
                <w:szCs w:val="20"/>
              </w:rPr>
              <w:t xml:space="preserve"> renunţarea la anumite active;</w:t>
            </w:r>
          </w:p>
          <w:p w14:paraId="111080FF" w14:textId="77777777" w:rsidR="006A2A6A" w:rsidRPr="00154588" w:rsidRDefault="006A2A6A" w:rsidP="008C12B4">
            <w:pPr>
              <w:ind w:firstLine="567"/>
              <w:jc w:val="both"/>
              <w:rPr>
                <w:sz w:val="20"/>
                <w:szCs w:val="20"/>
              </w:rPr>
            </w:pPr>
            <w:r w:rsidRPr="00154588">
              <w:rPr>
                <w:sz w:val="20"/>
                <w:szCs w:val="20"/>
              </w:rPr>
              <w:t>e) să solicite instituției de credit sau entității limitarea sau încetarea anumitor activităţi derulate sau propuse;</w:t>
            </w:r>
          </w:p>
          <w:p w14:paraId="41317EF1" w14:textId="77777777" w:rsidR="006A2A6A" w:rsidRPr="00154588" w:rsidRDefault="006A2A6A" w:rsidP="008C12B4">
            <w:pPr>
              <w:ind w:firstLine="567"/>
              <w:jc w:val="both"/>
              <w:rPr>
                <w:sz w:val="20"/>
                <w:szCs w:val="20"/>
              </w:rPr>
            </w:pPr>
            <w:r w:rsidRPr="00154588">
              <w:rPr>
                <w:sz w:val="20"/>
                <w:szCs w:val="20"/>
              </w:rPr>
              <w:t>f) să limiteze sau să împiedice crearea de noi linii de activitate, dezvoltarea celor existente, vînzarea de produse noi sau vînzarea produselor existente;</w:t>
            </w:r>
          </w:p>
          <w:p w14:paraId="22DFC842" w14:textId="77777777" w:rsidR="006A2A6A" w:rsidRPr="00154588" w:rsidRDefault="006A2A6A" w:rsidP="008C12B4">
            <w:pPr>
              <w:ind w:firstLine="567"/>
              <w:jc w:val="both"/>
              <w:rPr>
                <w:sz w:val="20"/>
                <w:szCs w:val="20"/>
              </w:rPr>
            </w:pPr>
            <w:r w:rsidRPr="00154588">
              <w:rPr>
                <w:sz w:val="20"/>
                <w:szCs w:val="20"/>
              </w:rPr>
              <w:t>g) să solicite modificări în structura juridică sau operaţională a instituției de credit sau entității</w:t>
            </w:r>
            <w:r w:rsidRPr="00154588" w:rsidDel="00792CD5">
              <w:rPr>
                <w:sz w:val="20"/>
                <w:szCs w:val="20"/>
              </w:rPr>
              <w:t xml:space="preserve"> </w:t>
            </w:r>
            <w:r w:rsidRPr="00154588">
              <w:rPr>
                <w:sz w:val="20"/>
                <w:szCs w:val="20"/>
              </w:rPr>
              <w:t xml:space="preserve"> sau a oricărei entităţi din grup, fie în mod direct, fie în mod indirect sub controlul instituției de credit sau entității, </w:t>
            </w:r>
            <w:r w:rsidRPr="00154588">
              <w:rPr>
                <w:sz w:val="20"/>
                <w:szCs w:val="20"/>
              </w:rPr>
              <w:lastRenderedPageBreak/>
              <w:t>pentru a reduce complexitatea şi a garanta astfel posibilitatea separării, din punct de vedere juridic şi operaţional, a funcţiilor critice de alte funcţii la aplicarea instrumentelor de rezoluţie;</w:t>
            </w:r>
          </w:p>
          <w:p w14:paraId="7E12443F" w14:textId="77777777" w:rsidR="006A2A6A" w:rsidRPr="00154588" w:rsidRDefault="006A2A6A" w:rsidP="008C12B4">
            <w:pPr>
              <w:ind w:firstLine="567"/>
              <w:jc w:val="both"/>
              <w:rPr>
                <w:sz w:val="20"/>
                <w:szCs w:val="20"/>
              </w:rPr>
            </w:pPr>
            <w:bookmarkStart w:id="15" w:name="_Hlk223445071"/>
            <w:r w:rsidRPr="00154588">
              <w:rPr>
                <w:sz w:val="20"/>
                <w:szCs w:val="20"/>
              </w:rPr>
              <w:t>h</w:t>
            </w:r>
            <w:r w:rsidRPr="00154588">
              <w:rPr>
                <w:sz w:val="20"/>
                <w:szCs w:val="20"/>
                <w:vertAlign w:val="superscript"/>
              </w:rPr>
              <w:t>1</w:t>
            </w:r>
            <w:r w:rsidRPr="00154588">
              <w:rPr>
                <w:sz w:val="20"/>
                <w:szCs w:val="20"/>
              </w:rPr>
              <w:t>) să solicite unei instituții sau unei entități menționate la art.1, alin.(1) lit.b), c) sau d) să prezinte un plan de restabilire a conformării cu cerințele prevăzute la art.164</w:t>
            </w:r>
            <w:r w:rsidRPr="00154588">
              <w:rPr>
                <w:sz w:val="20"/>
                <w:szCs w:val="20"/>
                <w:vertAlign w:val="superscript"/>
              </w:rPr>
              <w:t>14</w:t>
            </w:r>
            <w:r w:rsidRPr="00154588">
              <w:rPr>
                <w:sz w:val="20"/>
                <w:szCs w:val="20"/>
              </w:rPr>
              <w:t xml:space="preserve"> sau 167</w:t>
            </w:r>
            <w:r w:rsidRPr="00154588">
              <w:rPr>
                <w:sz w:val="20"/>
                <w:szCs w:val="20"/>
                <w:vertAlign w:val="superscript"/>
              </w:rPr>
              <w:t>15</w:t>
            </w:r>
            <w:r w:rsidRPr="00154588">
              <w:rPr>
                <w:sz w:val="20"/>
                <w:szCs w:val="20"/>
              </w:rPr>
              <w:t>-167</w:t>
            </w:r>
            <w:r w:rsidRPr="00154588">
              <w:rPr>
                <w:sz w:val="20"/>
                <w:szCs w:val="20"/>
                <w:vertAlign w:val="superscript"/>
              </w:rPr>
              <w:t>19</w:t>
            </w:r>
            <w:r w:rsidRPr="00154588">
              <w:rPr>
                <w:sz w:val="20"/>
                <w:szCs w:val="20"/>
              </w:rPr>
              <w:t xml:space="preserve"> exprimate sub forma unui procent din valoarea totală a expunerii la risc calculată în conformitate cu prevederile actelor normative ale Băncii Naționale ale Moldovei emise în aplicarea art.</w:t>
            </w:r>
            <w:r w:rsidRPr="00154588">
              <w:rPr>
                <w:sz w:val="20"/>
                <w:szCs w:val="20"/>
                <w:lang w:eastAsia="ro-MD"/>
              </w:rPr>
              <w:t xml:space="preserve">60, 61 şi 62 din Legea nr.202/2017 </w:t>
            </w:r>
            <w:r w:rsidRPr="00154588">
              <w:rPr>
                <w:sz w:val="20"/>
                <w:szCs w:val="20"/>
              </w:rPr>
              <w:t>și, după caz, cu cerința amortizorului combinat și cu cerințele prevăzute la art.164</w:t>
            </w:r>
            <w:r w:rsidRPr="00154588">
              <w:rPr>
                <w:sz w:val="20"/>
                <w:szCs w:val="20"/>
                <w:vertAlign w:val="superscript"/>
              </w:rPr>
              <w:t>14</w:t>
            </w:r>
            <w:r w:rsidRPr="00154588">
              <w:rPr>
                <w:sz w:val="20"/>
                <w:szCs w:val="20"/>
              </w:rPr>
              <w:t xml:space="preserve"> sau 167</w:t>
            </w:r>
            <w:r w:rsidRPr="00154588">
              <w:rPr>
                <w:sz w:val="20"/>
                <w:szCs w:val="20"/>
                <w:vertAlign w:val="superscript"/>
              </w:rPr>
              <w:t>15</w:t>
            </w:r>
            <w:r w:rsidRPr="00154588">
              <w:rPr>
                <w:sz w:val="20"/>
                <w:szCs w:val="20"/>
              </w:rPr>
              <w:t>-167</w:t>
            </w:r>
            <w:r w:rsidRPr="00154588">
              <w:rPr>
                <w:sz w:val="20"/>
                <w:szCs w:val="20"/>
                <w:vertAlign w:val="superscript"/>
              </w:rPr>
              <w:t>19</w:t>
            </w:r>
            <w:r w:rsidRPr="00154588">
              <w:rPr>
                <w:sz w:val="20"/>
                <w:szCs w:val="20"/>
              </w:rPr>
              <w:t xml:space="preserve"> exprimate ca procent din indicatorul de măsurare a expunerii totale prevăzute în reglementările emise de Banca Națională a Moldovei pentru transpunerea  art.429 și 429a din Regulamentul (UE) nr.575/2013;</w:t>
            </w:r>
          </w:p>
          <w:p w14:paraId="1DD10E8A" w14:textId="77777777" w:rsidR="006A2A6A" w:rsidRPr="00154588" w:rsidRDefault="006A2A6A" w:rsidP="008C12B4">
            <w:pPr>
              <w:ind w:firstLine="567"/>
              <w:jc w:val="both"/>
              <w:rPr>
                <w:sz w:val="20"/>
                <w:szCs w:val="20"/>
              </w:rPr>
            </w:pPr>
            <w:r w:rsidRPr="00154588">
              <w:rPr>
                <w:sz w:val="20"/>
                <w:szCs w:val="20"/>
              </w:rPr>
              <w:t>h</w:t>
            </w:r>
            <w:r w:rsidRPr="00154588">
              <w:rPr>
                <w:sz w:val="20"/>
                <w:szCs w:val="20"/>
                <w:vertAlign w:val="superscript"/>
              </w:rPr>
              <w:t>2</w:t>
            </w:r>
            <w:r w:rsidRPr="00154588">
              <w:rPr>
                <w:sz w:val="20"/>
                <w:szCs w:val="20"/>
              </w:rPr>
              <w:t xml:space="preserve">) </w:t>
            </w:r>
            <w:bookmarkStart w:id="16" w:name="_Hlk215847075"/>
            <w:r w:rsidRPr="00154588">
              <w:rPr>
                <w:sz w:val="20"/>
                <w:szCs w:val="20"/>
              </w:rPr>
              <w:t xml:space="preserve">să solicite </w:t>
            </w:r>
            <w:bookmarkStart w:id="17" w:name="_Hlk215845958"/>
            <w:r w:rsidRPr="00154588">
              <w:rPr>
                <w:sz w:val="20"/>
                <w:szCs w:val="20"/>
              </w:rPr>
              <w:t xml:space="preserve"> instituției de credit  sau entităților menționate la art.1, alin.(1) lit.b), c) sau d)</w:t>
            </w:r>
            <w:bookmarkEnd w:id="17"/>
            <w:r w:rsidRPr="00154588">
              <w:rPr>
                <w:sz w:val="20"/>
                <w:szCs w:val="20"/>
              </w:rPr>
              <w:t xml:space="preserve"> să emită datorii eligibile pentru a îndeplini cerințele de la</w:t>
            </w:r>
            <w:bookmarkEnd w:id="16"/>
            <w:r w:rsidRPr="00154588">
              <w:rPr>
                <w:sz w:val="20"/>
                <w:szCs w:val="20"/>
              </w:rPr>
              <w:t xml:space="preserve"> art.164</w:t>
            </w:r>
            <w:r w:rsidRPr="00154588">
              <w:rPr>
                <w:sz w:val="20"/>
                <w:szCs w:val="20"/>
                <w:vertAlign w:val="superscript"/>
              </w:rPr>
              <w:t>14</w:t>
            </w:r>
            <w:r w:rsidRPr="00154588">
              <w:rPr>
                <w:sz w:val="20"/>
                <w:szCs w:val="20"/>
              </w:rPr>
              <w:t xml:space="preserve"> sau 167</w:t>
            </w:r>
            <w:r w:rsidRPr="00154588">
              <w:rPr>
                <w:sz w:val="20"/>
                <w:szCs w:val="20"/>
                <w:vertAlign w:val="superscript"/>
              </w:rPr>
              <w:t>15</w:t>
            </w:r>
            <w:r w:rsidRPr="00154588">
              <w:rPr>
                <w:sz w:val="20"/>
                <w:szCs w:val="20"/>
              </w:rPr>
              <w:t>-167</w:t>
            </w:r>
            <w:r w:rsidRPr="00154588">
              <w:rPr>
                <w:sz w:val="20"/>
                <w:szCs w:val="20"/>
                <w:vertAlign w:val="superscript"/>
              </w:rPr>
              <w:t>19</w:t>
            </w:r>
            <w:r w:rsidRPr="00154588">
              <w:rPr>
                <w:sz w:val="20"/>
                <w:szCs w:val="20"/>
              </w:rPr>
              <w:t>;</w:t>
            </w:r>
          </w:p>
          <w:p w14:paraId="78277C1A" w14:textId="77777777" w:rsidR="006A2A6A" w:rsidRPr="00154588" w:rsidRDefault="006A2A6A" w:rsidP="008C12B4">
            <w:pPr>
              <w:ind w:firstLine="567"/>
              <w:jc w:val="both"/>
              <w:rPr>
                <w:sz w:val="20"/>
                <w:szCs w:val="20"/>
                <w:vertAlign w:val="superscript"/>
              </w:rPr>
            </w:pPr>
            <w:r w:rsidRPr="00154588">
              <w:rPr>
                <w:sz w:val="20"/>
                <w:szCs w:val="20"/>
              </w:rPr>
              <w:t>h</w:t>
            </w:r>
            <w:r w:rsidRPr="00154588">
              <w:rPr>
                <w:sz w:val="20"/>
                <w:szCs w:val="20"/>
                <w:vertAlign w:val="superscript"/>
              </w:rPr>
              <w:t>3</w:t>
            </w:r>
            <w:r w:rsidRPr="00154588">
              <w:rPr>
                <w:sz w:val="20"/>
                <w:szCs w:val="20"/>
              </w:rPr>
              <w:t>) să solicite instituției de credit sau entității sau întreprinderi-mamă înființarea unei societăți financiare holding-mamă în Republica Moldova sau a unei societăți financiară holding-mamă în Uniunea Europeană;</w:t>
            </w:r>
          </w:p>
          <w:bookmarkEnd w:id="15"/>
          <w:p w14:paraId="1DD0E596" w14:textId="77777777" w:rsidR="006A2A6A" w:rsidRPr="00154588" w:rsidRDefault="006A2A6A" w:rsidP="008C12B4">
            <w:pPr>
              <w:ind w:firstLine="567"/>
              <w:jc w:val="both"/>
              <w:rPr>
                <w:sz w:val="20"/>
                <w:szCs w:val="20"/>
                <w:lang w:eastAsia="ro-MD"/>
              </w:rPr>
            </w:pPr>
            <w:r w:rsidRPr="00154588">
              <w:rPr>
                <w:sz w:val="20"/>
                <w:szCs w:val="20"/>
              </w:rPr>
              <w:t xml:space="preserve">i) să solicite </w:t>
            </w:r>
            <w:bookmarkStart w:id="18" w:name="_Hlk223445254"/>
            <w:r w:rsidRPr="00154588">
              <w:rPr>
                <w:sz w:val="20"/>
                <w:szCs w:val="20"/>
              </w:rPr>
              <w:t>instituției de credit  sau entităților menționate la art.1, alin.(1) lit.b), c) sau d</w:t>
            </w:r>
            <w:bookmarkEnd w:id="18"/>
            <w:r w:rsidRPr="00154588">
              <w:rPr>
                <w:sz w:val="20"/>
                <w:szCs w:val="20"/>
              </w:rPr>
              <w:t xml:space="preserve">) adoptarea altor măsuri pentru a îndeplini cerinţa minimă pentru fondurile proprii şi datoriile eligibile potrivit </w:t>
            </w:r>
            <w:bookmarkStart w:id="19" w:name="_Hlk223445315"/>
            <w:r w:rsidRPr="00154588">
              <w:rPr>
                <w:sz w:val="20"/>
                <w:szCs w:val="20"/>
              </w:rPr>
              <w:t>art.164</w:t>
            </w:r>
            <w:r w:rsidRPr="00154588">
              <w:rPr>
                <w:sz w:val="20"/>
                <w:szCs w:val="20"/>
                <w:vertAlign w:val="superscript"/>
              </w:rPr>
              <w:t>14</w:t>
            </w:r>
            <w:r w:rsidRPr="00154588">
              <w:rPr>
                <w:sz w:val="20"/>
                <w:szCs w:val="20"/>
              </w:rPr>
              <w:t xml:space="preserve"> sau 167</w:t>
            </w:r>
            <w:r w:rsidRPr="00154588">
              <w:rPr>
                <w:sz w:val="20"/>
                <w:szCs w:val="20"/>
                <w:vertAlign w:val="superscript"/>
              </w:rPr>
              <w:t>15</w:t>
            </w:r>
            <w:r w:rsidRPr="00154588">
              <w:rPr>
                <w:sz w:val="20"/>
                <w:szCs w:val="20"/>
              </w:rPr>
              <w:t>-167</w:t>
            </w:r>
            <w:r w:rsidRPr="00154588">
              <w:rPr>
                <w:sz w:val="20"/>
                <w:szCs w:val="20"/>
                <w:vertAlign w:val="superscript"/>
              </w:rPr>
              <w:t>19</w:t>
            </w:r>
            <w:bookmarkEnd w:id="19"/>
            <w:r w:rsidRPr="00154588">
              <w:rPr>
                <w:sz w:val="20"/>
                <w:szCs w:val="20"/>
              </w:rPr>
              <w:t xml:space="preserve">, inclusiv să încerce să renegocieze orice datorie eligibilă şi orice instrument </w:t>
            </w:r>
            <w:bookmarkStart w:id="20" w:name="_Hlk223445346"/>
            <w:r w:rsidRPr="00154588">
              <w:rPr>
                <w:sz w:val="20"/>
                <w:szCs w:val="20"/>
              </w:rPr>
              <w:t xml:space="preserve">de nivelul 1 suplimentar sau instrument de fonduri proprii de nivelul 2 </w:t>
            </w:r>
            <w:bookmarkEnd w:id="20"/>
            <w:r w:rsidRPr="00154588">
              <w:rPr>
                <w:sz w:val="20"/>
                <w:szCs w:val="20"/>
              </w:rPr>
              <w:t xml:space="preserve"> pe care l-a emis, pentru a se asigura că orice decizie a Băncii Naţionale a Moldovei, în calitate de autoritate de rezoluţie, de a reduce valoarea sau a converti datoria ori instrumentul în cauză poate fi aplicată potrivit legislaţiei din jurisdicţia </w:t>
            </w:r>
            <w:bookmarkStart w:id="21" w:name="_Hlk223445368"/>
            <w:r w:rsidRPr="00154588">
              <w:rPr>
                <w:sz w:val="20"/>
                <w:szCs w:val="20"/>
              </w:rPr>
              <w:t xml:space="preserve">care îl reglementează </w:t>
            </w:r>
            <w:bookmarkStart w:id="22" w:name="_Hlk223445379"/>
            <w:bookmarkEnd w:id="21"/>
            <w:r w:rsidRPr="00154588">
              <w:rPr>
                <w:sz w:val="20"/>
                <w:szCs w:val="20"/>
              </w:rPr>
              <w:t>datoria sau instrumentul</w:t>
            </w:r>
            <w:bookmarkEnd w:id="22"/>
            <w:r w:rsidRPr="00154588">
              <w:rPr>
                <w:sz w:val="20"/>
                <w:szCs w:val="20"/>
                <w:lang w:eastAsia="ro-MD"/>
              </w:rPr>
              <w:t>;</w:t>
            </w:r>
          </w:p>
          <w:p w14:paraId="720473F2" w14:textId="77777777" w:rsidR="006A2A6A" w:rsidRPr="00154588" w:rsidRDefault="006A2A6A" w:rsidP="008C12B4">
            <w:pPr>
              <w:ind w:firstLine="567"/>
              <w:jc w:val="both"/>
              <w:rPr>
                <w:sz w:val="20"/>
                <w:szCs w:val="20"/>
              </w:rPr>
            </w:pPr>
            <w:bookmarkStart w:id="23" w:name="_Hlk223445448"/>
            <w:r w:rsidRPr="00154588">
              <w:rPr>
                <w:sz w:val="20"/>
                <w:szCs w:val="20"/>
              </w:rPr>
              <w:t>i</w:t>
            </w:r>
            <w:r w:rsidRPr="00154588">
              <w:rPr>
                <w:sz w:val="20"/>
                <w:szCs w:val="20"/>
                <w:vertAlign w:val="superscript"/>
              </w:rPr>
              <w:t>1</w:t>
            </w:r>
            <w:r w:rsidRPr="00154588">
              <w:rPr>
                <w:sz w:val="20"/>
                <w:szCs w:val="20"/>
              </w:rPr>
              <w:t>) în scopul asigurării conformării continue cu cerințele prevăzute în art.164</w:t>
            </w:r>
            <w:r w:rsidRPr="00154588">
              <w:rPr>
                <w:sz w:val="20"/>
                <w:szCs w:val="20"/>
                <w:vertAlign w:val="superscript"/>
              </w:rPr>
              <w:t>14</w:t>
            </w:r>
            <w:r w:rsidRPr="00154588">
              <w:rPr>
                <w:sz w:val="20"/>
                <w:szCs w:val="20"/>
              </w:rPr>
              <w:t xml:space="preserve"> sau 167</w:t>
            </w:r>
            <w:r w:rsidRPr="00154588">
              <w:rPr>
                <w:sz w:val="20"/>
                <w:szCs w:val="20"/>
                <w:vertAlign w:val="superscript"/>
              </w:rPr>
              <w:t>15</w:t>
            </w:r>
            <w:r w:rsidRPr="00154588">
              <w:rPr>
                <w:sz w:val="20"/>
                <w:szCs w:val="20"/>
              </w:rPr>
              <w:t>-167</w:t>
            </w:r>
            <w:r w:rsidRPr="00154588">
              <w:rPr>
                <w:sz w:val="20"/>
                <w:szCs w:val="20"/>
                <w:vertAlign w:val="superscript"/>
              </w:rPr>
              <w:t>19</w:t>
            </w:r>
            <w:r w:rsidRPr="00154588">
              <w:rPr>
                <w:sz w:val="20"/>
                <w:szCs w:val="20"/>
              </w:rPr>
              <w:t>, să solicite unei instituții de credit sau unei entități prevăzute  la art.1, alin.(1) lit.b), c) sau d) să modifice profilul de scadență pentru:</w:t>
            </w:r>
          </w:p>
          <w:p w14:paraId="2FE0FD8E" w14:textId="77777777" w:rsidR="006A2A6A" w:rsidRPr="00154588" w:rsidRDefault="006A2A6A" w:rsidP="008C12B4">
            <w:pPr>
              <w:ind w:firstLine="567"/>
              <w:jc w:val="both"/>
              <w:rPr>
                <w:sz w:val="20"/>
                <w:szCs w:val="20"/>
              </w:rPr>
            </w:pPr>
            <w:r w:rsidRPr="00154588">
              <w:rPr>
                <w:sz w:val="20"/>
                <w:szCs w:val="20"/>
              </w:rPr>
              <w:t>1) instrumentele de fonduri proprii, după obținerea acordului autorității competente; și</w:t>
            </w:r>
          </w:p>
          <w:p w14:paraId="656C0720" w14:textId="77777777" w:rsidR="006A2A6A" w:rsidRPr="00154588" w:rsidRDefault="006A2A6A" w:rsidP="008C12B4">
            <w:pPr>
              <w:ind w:firstLine="567"/>
              <w:jc w:val="both"/>
              <w:rPr>
                <w:sz w:val="20"/>
                <w:szCs w:val="20"/>
              </w:rPr>
            </w:pPr>
            <w:r w:rsidRPr="00154588">
              <w:rPr>
                <w:sz w:val="20"/>
                <w:szCs w:val="20"/>
              </w:rPr>
              <w:lastRenderedPageBreak/>
              <w:t>2) datoriile eligibile prevăzute la art. 165-165</w:t>
            </w:r>
            <w:r w:rsidRPr="00154588">
              <w:rPr>
                <w:sz w:val="20"/>
                <w:szCs w:val="20"/>
                <w:vertAlign w:val="superscript"/>
              </w:rPr>
              <w:t xml:space="preserve">8 </w:t>
            </w:r>
            <w:r w:rsidRPr="00154588">
              <w:rPr>
                <w:sz w:val="20"/>
                <w:szCs w:val="20"/>
              </w:rPr>
              <w:t>și 167</w:t>
            </w:r>
            <w:r w:rsidRPr="00154588">
              <w:rPr>
                <w:sz w:val="20"/>
                <w:szCs w:val="20"/>
                <w:vertAlign w:val="superscript"/>
              </w:rPr>
              <w:t>16</w:t>
            </w:r>
            <w:r w:rsidRPr="00154588">
              <w:rPr>
                <w:sz w:val="20"/>
                <w:szCs w:val="20"/>
              </w:rPr>
              <w:t>, lit.a);</w:t>
            </w:r>
          </w:p>
          <w:p w14:paraId="7C5A4EF5" w14:textId="77777777" w:rsidR="006A2A6A" w:rsidRPr="00154588" w:rsidRDefault="006A2A6A" w:rsidP="008C12B4">
            <w:pPr>
              <w:ind w:firstLine="567"/>
              <w:jc w:val="both"/>
              <w:rPr>
                <w:sz w:val="20"/>
                <w:szCs w:val="20"/>
              </w:rPr>
            </w:pPr>
            <w:r w:rsidRPr="00154588">
              <w:rPr>
                <w:sz w:val="20"/>
                <w:szCs w:val="20"/>
              </w:rPr>
              <w:t>k) în cazul în care instituția de credit sau entitatea este filială a unei societăți holding cu activitate mixtă, poate solicita societății holding cu activitate mixtă înființarea unei societăți financiare holding separate pentru a controla instituția de credit sau entitatea, dacă este necesar, pentru a facilita rezoluția instituției de credit sau entității și pentru a evita eventualele efecte negative ale aplicării instrumentelor de rezoluție și exercitării competenţelor prevăzute la Titlul IV asupra părţii nefinanciare a grupului.</w:t>
            </w:r>
          </w:p>
          <w:bookmarkEnd w:id="23"/>
          <w:p w14:paraId="23730D5B" w14:textId="77777777" w:rsidR="006A2A6A" w:rsidRPr="00154588" w:rsidRDefault="006A2A6A" w:rsidP="008C12B4">
            <w:pPr>
              <w:jc w:val="both"/>
              <w:rPr>
                <w:bCs/>
                <w:sz w:val="20"/>
                <w:szCs w:val="20"/>
              </w:rPr>
            </w:pPr>
          </w:p>
        </w:tc>
        <w:tc>
          <w:tcPr>
            <w:tcW w:w="2552" w:type="dxa"/>
          </w:tcPr>
          <w:p w14:paraId="58980795" w14:textId="0478E5D8"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5B67C747" w14:textId="55FAC780" w:rsidR="006A2A6A" w:rsidRPr="00154588" w:rsidRDefault="006A2A6A" w:rsidP="008C12B4">
            <w:pPr>
              <w:jc w:val="both"/>
              <w:rPr>
                <w:bCs/>
                <w:sz w:val="20"/>
                <w:szCs w:val="20"/>
              </w:rPr>
            </w:pPr>
          </w:p>
        </w:tc>
      </w:tr>
      <w:tr w:rsidR="006A2A6A" w:rsidRPr="00154588" w14:paraId="0DF515A9" w14:textId="77777777" w:rsidTr="00D15C1B">
        <w:trPr>
          <w:jc w:val="center"/>
        </w:trPr>
        <w:tc>
          <w:tcPr>
            <w:tcW w:w="4957" w:type="dxa"/>
            <w:gridSpan w:val="2"/>
          </w:tcPr>
          <w:p w14:paraId="0A8869F3" w14:textId="77777777" w:rsidR="006A2A6A" w:rsidRPr="00154588" w:rsidRDefault="006A2A6A" w:rsidP="008C12B4">
            <w:pPr>
              <w:jc w:val="both"/>
              <w:rPr>
                <w:bCs/>
                <w:sz w:val="20"/>
                <w:szCs w:val="20"/>
              </w:rPr>
            </w:pPr>
            <w:r w:rsidRPr="00154588">
              <w:rPr>
                <w:bCs/>
                <w:sz w:val="20"/>
                <w:szCs w:val="20"/>
              </w:rPr>
              <w:lastRenderedPageBreak/>
              <w:t>(6)   O decizie luată în conformitate cu alineatul (1) sau alineatul (4) îndeplinește următoarele cerințe:</w:t>
            </w:r>
          </w:p>
          <w:p w14:paraId="71A54C78" w14:textId="77777777" w:rsidR="006A2A6A" w:rsidRPr="00154588" w:rsidRDefault="006A2A6A" w:rsidP="008C12B4">
            <w:pPr>
              <w:jc w:val="both"/>
              <w:rPr>
                <w:bCs/>
                <w:sz w:val="20"/>
                <w:szCs w:val="20"/>
              </w:rPr>
            </w:pPr>
          </w:p>
          <w:p w14:paraId="17817CB4" w14:textId="49BCF8E5" w:rsidR="006A2A6A" w:rsidRPr="00154588" w:rsidRDefault="006A2A6A" w:rsidP="008C12B4">
            <w:pPr>
              <w:jc w:val="both"/>
              <w:rPr>
                <w:bCs/>
                <w:sz w:val="20"/>
                <w:szCs w:val="20"/>
              </w:rPr>
            </w:pPr>
            <w:r w:rsidRPr="00154588">
              <w:rPr>
                <w:bCs/>
                <w:sz w:val="20"/>
                <w:szCs w:val="20"/>
              </w:rPr>
              <w:t>(a) să fie susținute de o expunere a motivelor care au stat la baza evaluării sau a constatării în cauză;</w:t>
            </w:r>
          </w:p>
          <w:p w14:paraId="5D99BB90" w14:textId="77777777" w:rsidR="006A2A6A" w:rsidRPr="00154588" w:rsidRDefault="006A2A6A" w:rsidP="008C12B4">
            <w:pPr>
              <w:jc w:val="both"/>
              <w:rPr>
                <w:bCs/>
                <w:sz w:val="20"/>
                <w:szCs w:val="20"/>
              </w:rPr>
            </w:pPr>
          </w:p>
          <w:p w14:paraId="168B7D3F" w14:textId="2D37F126" w:rsidR="006A2A6A" w:rsidRPr="00154588" w:rsidRDefault="006A2A6A" w:rsidP="008C12B4">
            <w:pPr>
              <w:jc w:val="both"/>
              <w:rPr>
                <w:bCs/>
                <w:sz w:val="20"/>
                <w:szCs w:val="20"/>
              </w:rPr>
            </w:pPr>
            <w:r w:rsidRPr="00154588">
              <w:rPr>
                <w:bCs/>
                <w:sz w:val="20"/>
                <w:szCs w:val="20"/>
              </w:rPr>
              <w:t>(b) să indice modul în care respectiva evaluare sau constatare respectă cerința privind aplicarea proporțională prevăzută la alineatul (4); și</w:t>
            </w:r>
          </w:p>
          <w:p w14:paraId="00508F51" w14:textId="77777777" w:rsidR="006A2A6A" w:rsidRPr="00154588" w:rsidRDefault="006A2A6A" w:rsidP="008C12B4">
            <w:pPr>
              <w:jc w:val="both"/>
              <w:rPr>
                <w:bCs/>
                <w:sz w:val="20"/>
                <w:szCs w:val="20"/>
              </w:rPr>
            </w:pPr>
          </w:p>
          <w:p w14:paraId="179762C6" w14:textId="112756C1" w:rsidR="006A2A6A" w:rsidRPr="00154588" w:rsidRDefault="006A2A6A" w:rsidP="008C12B4">
            <w:pPr>
              <w:jc w:val="both"/>
              <w:rPr>
                <w:bCs/>
                <w:sz w:val="20"/>
                <w:szCs w:val="20"/>
              </w:rPr>
            </w:pPr>
            <w:r w:rsidRPr="00154588">
              <w:rPr>
                <w:bCs/>
                <w:sz w:val="20"/>
                <w:szCs w:val="20"/>
              </w:rPr>
              <w:t>(c) să se supună dreptului la recurs.</w:t>
            </w:r>
          </w:p>
        </w:tc>
        <w:tc>
          <w:tcPr>
            <w:tcW w:w="4819" w:type="dxa"/>
          </w:tcPr>
          <w:p w14:paraId="7124987A" w14:textId="77777777" w:rsidR="006A2A6A" w:rsidRPr="00154588" w:rsidRDefault="006A2A6A" w:rsidP="008C12B4">
            <w:pPr>
              <w:ind w:firstLine="567"/>
              <w:jc w:val="both"/>
              <w:rPr>
                <w:sz w:val="20"/>
                <w:szCs w:val="20"/>
              </w:rPr>
            </w:pPr>
            <w:r w:rsidRPr="00154588">
              <w:rPr>
                <w:b/>
                <w:sz w:val="20"/>
                <w:szCs w:val="20"/>
              </w:rPr>
              <w:t>Articolul 40.</w:t>
            </w:r>
            <w:r w:rsidRPr="00154588">
              <w:rPr>
                <w:sz w:val="20"/>
                <w:szCs w:val="20"/>
              </w:rPr>
              <w:t xml:space="preserve"> – Decizia luată conform art.35 şi 38 trebuie să îndeplinească următoarele cerinţe:</w:t>
            </w:r>
          </w:p>
          <w:p w14:paraId="23FA7D87" w14:textId="77777777" w:rsidR="006A2A6A" w:rsidRPr="00154588" w:rsidRDefault="006A2A6A" w:rsidP="008C12B4">
            <w:pPr>
              <w:ind w:firstLine="567"/>
              <w:jc w:val="both"/>
              <w:rPr>
                <w:sz w:val="20"/>
                <w:szCs w:val="20"/>
              </w:rPr>
            </w:pPr>
            <w:r w:rsidRPr="00154588">
              <w:rPr>
                <w:sz w:val="20"/>
                <w:szCs w:val="20"/>
              </w:rPr>
              <w:t>a) să fie susţinută de o expunere a motivelor care au stat la baza evaluării sau a constatării în cauză;</w:t>
            </w:r>
          </w:p>
          <w:p w14:paraId="5BAE6B99" w14:textId="77777777" w:rsidR="006A2A6A" w:rsidRPr="00154588" w:rsidRDefault="006A2A6A" w:rsidP="008C12B4">
            <w:pPr>
              <w:ind w:firstLine="567"/>
              <w:jc w:val="both"/>
              <w:rPr>
                <w:sz w:val="20"/>
                <w:szCs w:val="20"/>
              </w:rPr>
            </w:pPr>
            <w:r w:rsidRPr="00154588">
              <w:rPr>
                <w:sz w:val="20"/>
                <w:szCs w:val="20"/>
              </w:rPr>
              <w:t>b) să indice modul în care respectiva evaluare sau constatare respectă cerinţa privind aplicarea proporţională prevăzută la art.38;</w:t>
            </w:r>
          </w:p>
          <w:p w14:paraId="4D62B854" w14:textId="77777777" w:rsidR="006A2A6A" w:rsidRPr="00154588" w:rsidRDefault="006A2A6A" w:rsidP="008C12B4">
            <w:pPr>
              <w:ind w:firstLine="567"/>
              <w:jc w:val="both"/>
              <w:rPr>
                <w:sz w:val="20"/>
                <w:szCs w:val="20"/>
              </w:rPr>
            </w:pPr>
            <w:r w:rsidRPr="00154588">
              <w:rPr>
                <w:sz w:val="20"/>
                <w:szCs w:val="20"/>
              </w:rPr>
              <w:t>c) să poată fi contestată cu respectarea prevederilor Legii nr.548</w:t>
            </w:r>
            <w:r w:rsidRPr="00154588">
              <w:rPr>
                <w:sz w:val="20"/>
                <w:szCs w:val="20"/>
                <w:lang w:eastAsia="ro-MD"/>
              </w:rPr>
              <w:t>/</w:t>
            </w:r>
            <w:r w:rsidRPr="00154588">
              <w:rPr>
                <w:sz w:val="20"/>
                <w:szCs w:val="20"/>
              </w:rPr>
              <w:t>1995 cu privire la Banca Naţională a Moldovei.</w:t>
            </w:r>
          </w:p>
          <w:p w14:paraId="29D107F7" w14:textId="77777777" w:rsidR="006A2A6A" w:rsidRPr="00154588" w:rsidRDefault="006A2A6A" w:rsidP="008C12B4">
            <w:pPr>
              <w:jc w:val="both"/>
              <w:rPr>
                <w:bCs/>
                <w:sz w:val="20"/>
                <w:szCs w:val="20"/>
              </w:rPr>
            </w:pPr>
          </w:p>
        </w:tc>
        <w:tc>
          <w:tcPr>
            <w:tcW w:w="2552" w:type="dxa"/>
          </w:tcPr>
          <w:p w14:paraId="40BF7896" w14:textId="2D16348F" w:rsidR="006A2A6A" w:rsidRPr="00154588" w:rsidRDefault="006A2A6A" w:rsidP="008C12B4">
            <w:pPr>
              <w:jc w:val="both"/>
              <w:rPr>
                <w:bCs/>
                <w:sz w:val="20"/>
                <w:szCs w:val="20"/>
              </w:rPr>
            </w:pPr>
            <w:r w:rsidRPr="00154588">
              <w:rPr>
                <w:bCs/>
                <w:sz w:val="20"/>
                <w:szCs w:val="20"/>
              </w:rPr>
              <w:t>Compatibil</w:t>
            </w:r>
          </w:p>
        </w:tc>
        <w:tc>
          <w:tcPr>
            <w:tcW w:w="3118" w:type="dxa"/>
          </w:tcPr>
          <w:p w14:paraId="0C81E4C4" w14:textId="77777777" w:rsidR="006A2A6A" w:rsidRPr="00154588" w:rsidRDefault="006A2A6A" w:rsidP="008C12B4">
            <w:pPr>
              <w:jc w:val="both"/>
              <w:rPr>
                <w:bCs/>
                <w:sz w:val="20"/>
                <w:szCs w:val="20"/>
              </w:rPr>
            </w:pPr>
          </w:p>
        </w:tc>
      </w:tr>
      <w:tr w:rsidR="006A2A6A" w:rsidRPr="00154588" w14:paraId="15392380" w14:textId="77777777" w:rsidTr="00D15C1B">
        <w:trPr>
          <w:jc w:val="center"/>
        </w:trPr>
        <w:tc>
          <w:tcPr>
            <w:tcW w:w="4957" w:type="dxa"/>
            <w:gridSpan w:val="2"/>
          </w:tcPr>
          <w:p w14:paraId="578D145A" w14:textId="65E3ED5E" w:rsidR="006A2A6A" w:rsidRPr="00154588" w:rsidRDefault="006A2A6A" w:rsidP="008C12B4">
            <w:pPr>
              <w:jc w:val="both"/>
              <w:rPr>
                <w:bCs/>
                <w:sz w:val="20"/>
                <w:szCs w:val="20"/>
              </w:rPr>
            </w:pPr>
            <w:r w:rsidRPr="00154588">
              <w:rPr>
                <w:bCs/>
                <w:sz w:val="20"/>
                <w:szCs w:val="20"/>
              </w:rPr>
              <w:t>(7)   Înainte de identificarea oricăreia dintre măsurile menționate la alineatul (4), autoritatea de rezoluție, în urma consultării autorității competente și, după caz, a autorității macroprudențiale naționale desemnate, ia în considerare, în mod corespunzător, efectul potențial al măsurilor respective asupra entității respective, asupra pieței interne de servicii financiare, și asupra stabilității financiare din alte state membre și din Uniune în ansamblu.</w:t>
            </w:r>
          </w:p>
        </w:tc>
        <w:tc>
          <w:tcPr>
            <w:tcW w:w="4819" w:type="dxa"/>
          </w:tcPr>
          <w:p w14:paraId="0940E611" w14:textId="77777777" w:rsidR="006A2A6A" w:rsidRPr="00154588" w:rsidRDefault="006A2A6A" w:rsidP="008C12B4">
            <w:pPr>
              <w:jc w:val="both"/>
              <w:rPr>
                <w:sz w:val="20"/>
                <w:szCs w:val="20"/>
              </w:rPr>
            </w:pPr>
            <w:r w:rsidRPr="00154588">
              <w:rPr>
                <w:b/>
                <w:sz w:val="20"/>
                <w:szCs w:val="20"/>
              </w:rPr>
              <w:t>Articolul 41.</w:t>
            </w:r>
            <w:r w:rsidRPr="00154588">
              <w:rPr>
                <w:sz w:val="20"/>
                <w:szCs w:val="20"/>
              </w:rPr>
              <w:t xml:space="preserve"> – (1) Anterior identificării oricăreia dintre măsurile la care se face referire la art.38, Banca Naţională a Moldovei, în calitate de autoritate de rezoluţie, după consultarea, dacă este cazul, a autorităţii naţionale macroprudenţiale desemnate, ia în considerare, în mod corespunzător, efectul potenţial al măsurilor respective asupra </w:t>
            </w:r>
            <w:bookmarkStart w:id="24" w:name="_Hlk223445536"/>
            <w:r w:rsidRPr="00154588">
              <w:rPr>
                <w:sz w:val="20"/>
                <w:szCs w:val="20"/>
              </w:rPr>
              <w:t>instituției de credit sau entității</w:t>
            </w:r>
            <w:bookmarkEnd w:id="24"/>
            <w:r w:rsidRPr="00154588">
              <w:rPr>
                <w:sz w:val="20"/>
                <w:szCs w:val="20"/>
              </w:rPr>
              <w:t xml:space="preserve"> respective şi asupra pieţei de servicii financiare.</w:t>
            </w:r>
          </w:p>
          <w:p w14:paraId="19C6D96B" w14:textId="77777777" w:rsidR="006A2A6A" w:rsidRPr="00154588" w:rsidRDefault="006A2A6A" w:rsidP="008C12B4">
            <w:pPr>
              <w:ind w:firstLine="567"/>
              <w:jc w:val="both"/>
              <w:rPr>
                <w:sz w:val="20"/>
                <w:szCs w:val="20"/>
              </w:rPr>
            </w:pPr>
            <w:r w:rsidRPr="00154588">
              <w:rPr>
                <w:sz w:val="20"/>
                <w:szCs w:val="20"/>
              </w:rPr>
              <w:t>(2) Banca Naţională a Moldovei se asigură că activitatea prevăzută la alin.(1) se realizează după consultarea de către structura care exercită funcţia de rezoluţie a structurii care exercită funcţia de supraveghere.</w:t>
            </w:r>
          </w:p>
          <w:p w14:paraId="2D1C35A9" w14:textId="77777777" w:rsidR="006A2A6A" w:rsidRPr="00154588" w:rsidRDefault="006A2A6A" w:rsidP="008C12B4">
            <w:pPr>
              <w:jc w:val="both"/>
              <w:rPr>
                <w:bCs/>
                <w:sz w:val="20"/>
                <w:szCs w:val="20"/>
              </w:rPr>
            </w:pPr>
          </w:p>
        </w:tc>
        <w:tc>
          <w:tcPr>
            <w:tcW w:w="2552" w:type="dxa"/>
          </w:tcPr>
          <w:p w14:paraId="68E38841" w14:textId="47EB286B" w:rsidR="006A2A6A" w:rsidRPr="00154588" w:rsidRDefault="006A2A6A" w:rsidP="008C12B4">
            <w:pPr>
              <w:jc w:val="both"/>
              <w:rPr>
                <w:bCs/>
                <w:sz w:val="20"/>
                <w:szCs w:val="20"/>
              </w:rPr>
            </w:pPr>
            <w:r w:rsidRPr="00154588">
              <w:rPr>
                <w:bCs/>
                <w:sz w:val="20"/>
                <w:szCs w:val="20"/>
              </w:rPr>
              <w:t>Compatibil</w:t>
            </w:r>
          </w:p>
        </w:tc>
        <w:tc>
          <w:tcPr>
            <w:tcW w:w="3118" w:type="dxa"/>
          </w:tcPr>
          <w:p w14:paraId="7BEF2164" w14:textId="77777777" w:rsidR="006A2A6A" w:rsidRPr="00154588" w:rsidRDefault="006A2A6A" w:rsidP="008C12B4">
            <w:pPr>
              <w:jc w:val="both"/>
              <w:rPr>
                <w:bCs/>
                <w:sz w:val="20"/>
                <w:szCs w:val="20"/>
              </w:rPr>
            </w:pPr>
          </w:p>
        </w:tc>
      </w:tr>
      <w:tr w:rsidR="006A2A6A" w:rsidRPr="00154588" w14:paraId="5E165993" w14:textId="77777777" w:rsidTr="00D15C1B">
        <w:trPr>
          <w:jc w:val="center"/>
        </w:trPr>
        <w:tc>
          <w:tcPr>
            <w:tcW w:w="4957" w:type="dxa"/>
            <w:gridSpan w:val="2"/>
          </w:tcPr>
          <w:p w14:paraId="79CB66EC" w14:textId="2F9BE148" w:rsidR="006A2A6A" w:rsidRPr="00154588" w:rsidRDefault="006A2A6A" w:rsidP="008C12B4">
            <w:pPr>
              <w:jc w:val="both"/>
              <w:rPr>
                <w:bCs/>
                <w:sz w:val="20"/>
                <w:szCs w:val="20"/>
              </w:rPr>
            </w:pPr>
            <w:r w:rsidRPr="00154588">
              <w:rPr>
                <w:bCs/>
                <w:sz w:val="20"/>
                <w:szCs w:val="20"/>
              </w:rPr>
              <w:t>(8)   Până la 3 iulie 2015, ABE elaborează orientări în conformitate cu articolul 16 din Regulamentul (UE) nr. 1093/2010 prin care specifică detalii suplimentare prevăzute la alineatul (5) și a circumstanțelor în care fiecare dintre acestea pot fi aplicate.</w:t>
            </w:r>
          </w:p>
        </w:tc>
        <w:tc>
          <w:tcPr>
            <w:tcW w:w="4819" w:type="dxa"/>
          </w:tcPr>
          <w:p w14:paraId="0EA5C71B" w14:textId="77777777" w:rsidR="006A2A6A" w:rsidRPr="00154588" w:rsidRDefault="006A2A6A" w:rsidP="008C12B4">
            <w:pPr>
              <w:jc w:val="both"/>
              <w:rPr>
                <w:bCs/>
                <w:sz w:val="20"/>
                <w:szCs w:val="20"/>
              </w:rPr>
            </w:pPr>
          </w:p>
        </w:tc>
        <w:tc>
          <w:tcPr>
            <w:tcW w:w="2552" w:type="dxa"/>
          </w:tcPr>
          <w:p w14:paraId="4D0DDC7D" w14:textId="511DB7C1" w:rsidR="006A2A6A" w:rsidRPr="00154588" w:rsidRDefault="0038188A" w:rsidP="008C12B4">
            <w:pPr>
              <w:jc w:val="both"/>
              <w:rPr>
                <w:bCs/>
                <w:sz w:val="20"/>
                <w:szCs w:val="20"/>
              </w:rPr>
            </w:pPr>
            <w:r w:rsidRPr="00154588">
              <w:rPr>
                <w:bCs/>
                <w:sz w:val="20"/>
                <w:szCs w:val="20"/>
              </w:rPr>
              <w:t>Norme UE neaplicabile</w:t>
            </w:r>
          </w:p>
        </w:tc>
        <w:tc>
          <w:tcPr>
            <w:tcW w:w="3118" w:type="dxa"/>
          </w:tcPr>
          <w:p w14:paraId="27D081A0" w14:textId="2EB28350" w:rsidR="006A2A6A" w:rsidRPr="00154588" w:rsidRDefault="006A2A6A" w:rsidP="008C12B4">
            <w:pPr>
              <w:jc w:val="both"/>
              <w:rPr>
                <w:bCs/>
                <w:sz w:val="20"/>
                <w:szCs w:val="20"/>
              </w:rPr>
            </w:pPr>
            <w:r w:rsidRPr="00154588">
              <w:rPr>
                <w:sz w:val="20"/>
                <w:szCs w:val="20"/>
                <w:lang w:val="ro-MD"/>
              </w:rPr>
              <w:t>Prevederi care se referă la atribuțiile de reglementare ale autorităților europene.</w:t>
            </w:r>
          </w:p>
        </w:tc>
      </w:tr>
      <w:tr w:rsidR="006A2A6A" w:rsidRPr="00154588" w14:paraId="7796FBF2" w14:textId="77777777" w:rsidTr="00D15C1B">
        <w:trPr>
          <w:jc w:val="center"/>
        </w:trPr>
        <w:tc>
          <w:tcPr>
            <w:tcW w:w="4957" w:type="dxa"/>
            <w:gridSpan w:val="2"/>
          </w:tcPr>
          <w:p w14:paraId="0DC9D26D" w14:textId="77777777" w:rsidR="006A2A6A" w:rsidRPr="00154588" w:rsidRDefault="006A2A6A" w:rsidP="008C12B4">
            <w:pPr>
              <w:rPr>
                <w:b/>
                <w:sz w:val="20"/>
                <w:szCs w:val="20"/>
              </w:rPr>
            </w:pPr>
            <w:r w:rsidRPr="00154588">
              <w:rPr>
                <w:b/>
                <w:sz w:val="20"/>
                <w:szCs w:val="20"/>
              </w:rPr>
              <w:lastRenderedPageBreak/>
              <w:t>Articolul 18</w:t>
            </w:r>
          </w:p>
          <w:p w14:paraId="129A69A1" w14:textId="77777777" w:rsidR="006A2A6A" w:rsidRPr="00154588" w:rsidRDefault="006A2A6A" w:rsidP="008C12B4">
            <w:pPr>
              <w:rPr>
                <w:b/>
                <w:sz w:val="20"/>
                <w:szCs w:val="20"/>
              </w:rPr>
            </w:pPr>
          </w:p>
          <w:p w14:paraId="6479A27C" w14:textId="48D30AA6" w:rsidR="006A2A6A" w:rsidRPr="00154588" w:rsidRDefault="006A2A6A" w:rsidP="008C12B4">
            <w:pPr>
              <w:rPr>
                <w:bCs/>
                <w:sz w:val="20"/>
                <w:szCs w:val="20"/>
              </w:rPr>
            </w:pPr>
            <w:r w:rsidRPr="00154588">
              <w:rPr>
                <w:b/>
                <w:sz w:val="20"/>
                <w:szCs w:val="20"/>
              </w:rPr>
              <w:t>Competența de a aborda sau de a înlătura obstacolele din calea posibilităților de soluționare: tratamentul grupurilor</w:t>
            </w:r>
          </w:p>
        </w:tc>
        <w:tc>
          <w:tcPr>
            <w:tcW w:w="4819" w:type="dxa"/>
          </w:tcPr>
          <w:p w14:paraId="798E145F" w14:textId="77777777" w:rsidR="006A2A6A" w:rsidRPr="00154588" w:rsidRDefault="006A2A6A" w:rsidP="008C12B4">
            <w:pPr>
              <w:jc w:val="center"/>
              <w:rPr>
                <w:b/>
                <w:sz w:val="20"/>
                <w:szCs w:val="20"/>
              </w:rPr>
            </w:pPr>
            <w:r w:rsidRPr="00154588">
              <w:rPr>
                <w:b/>
                <w:sz w:val="20"/>
                <w:szCs w:val="20"/>
              </w:rPr>
              <w:t>Secţiunea a 3-a</w:t>
            </w:r>
          </w:p>
          <w:p w14:paraId="5AB067C3" w14:textId="77777777" w:rsidR="006A2A6A" w:rsidRPr="00154588" w:rsidRDefault="006A2A6A" w:rsidP="008C12B4">
            <w:pPr>
              <w:jc w:val="center"/>
              <w:rPr>
                <w:b/>
                <w:sz w:val="20"/>
                <w:szCs w:val="20"/>
              </w:rPr>
            </w:pPr>
            <w:r w:rsidRPr="00154588">
              <w:rPr>
                <w:b/>
                <w:sz w:val="20"/>
                <w:szCs w:val="20"/>
              </w:rPr>
              <w:t>Competenţa de a aborda sau de a înlătura obstacolele</w:t>
            </w:r>
          </w:p>
          <w:p w14:paraId="3C89895E" w14:textId="77777777" w:rsidR="006A2A6A" w:rsidRPr="00154588" w:rsidRDefault="006A2A6A" w:rsidP="008C12B4">
            <w:pPr>
              <w:jc w:val="center"/>
              <w:rPr>
                <w:b/>
                <w:sz w:val="20"/>
                <w:szCs w:val="20"/>
              </w:rPr>
            </w:pPr>
            <w:r w:rsidRPr="00154588">
              <w:rPr>
                <w:b/>
                <w:sz w:val="20"/>
                <w:szCs w:val="20"/>
              </w:rPr>
              <w:t>din calea posibilităţilor de soluţionare a unui grup – tratamentul grupurilor</w:t>
            </w:r>
          </w:p>
          <w:p w14:paraId="30C27EB6" w14:textId="77777777" w:rsidR="006A2A6A" w:rsidRPr="00154588" w:rsidRDefault="006A2A6A" w:rsidP="008C12B4">
            <w:pPr>
              <w:jc w:val="both"/>
              <w:rPr>
                <w:bCs/>
                <w:sz w:val="20"/>
                <w:szCs w:val="20"/>
              </w:rPr>
            </w:pPr>
          </w:p>
        </w:tc>
        <w:tc>
          <w:tcPr>
            <w:tcW w:w="2552" w:type="dxa"/>
          </w:tcPr>
          <w:p w14:paraId="4E70214E" w14:textId="77777777" w:rsidR="006A2A6A" w:rsidRPr="00154588" w:rsidRDefault="006A2A6A" w:rsidP="008C12B4">
            <w:pPr>
              <w:jc w:val="both"/>
              <w:rPr>
                <w:bCs/>
                <w:sz w:val="20"/>
                <w:szCs w:val="20"/>
              </w:rPr>
            </w:pPr>
          </w:p>
        </w:tc>
        <w:tc>
          <w:tcPr>
            <w:tcW w:w="3118" w:type="dxa"/>
          </w:tcPr>
          <w:p w14:paraId="3EBA93B0" w14:textId="77777777" w:rsidR="006A2A6A" w:rsidRPr="00154588" w:rsidRDefault="006A2A6A" w:rsidP="008C12B4">
            <w:pPr>
              <w:jc w:val="both"/>
              <w:rPr>
                <w:bCs/>
                <w:sz w:val="20"/>
                <w:szCs w:val="20"/>
              </w:rPr>
            </w:pPr>
          </w:p>
        </w:tc>
      </w:tr>
      <w:tr w:rsidR="006A2A6A" w:rsidRPr="00154588" w14:paraId="0C829787" w14:textId="77777777" w:rsidTr="00D15C1B">
        <w:trPr>
          <w:jc w:val="center"/>
        </w:trPr>
        <w:tc>
          <w:tcPr>
            <w:tcW w:w="4957" w:type="dxa"/>
            <w:gridSpan w:val="2"/>
          </w:tcPr>
          <w:p w14:paraId="6FBF26C8" w14:textId="368C386D" w:rsidR="006A2A6A" w:rsidRPr="00154588" w:rsidRDefault="006A2A6A" w:rsidP="008C12B4">
            <w:pPr>
              <w:jc w:val="both"/>
              <w:rPr>
                <w:bCs/>
                <w:sz w:val="20"/>
                <w:szCs w:val="20"/>
              </w:rPr>
            </w:pPr>
            <w:r w:rsidRPr="00154588">
              <w:rPr>
                <w:bCs/>
                <w:sz w:val="20"/>
                <w:szCs w:val="20"/>
              </w:rPr>
              <w:t>(1)   Autoritatea de rezoluție a grupului, împreună cu autoritățile de rezoluție ale filialelor, în urma consultării colegiului de supraveghere și a autorităților de rezoluție ale jurisdicțiilor în care sunt situate sucursalele semnificative, în măsura în care este relevant pentru sucursala semnificativă, iau în considerare evaluarea prevăzută la articolul 16 în cadrul colegiului de rezoluție și iau toate măsurile rezonabile pentru a ajunge la o decizie comună cu privire la aplicarea măsurilor identificate în conformitate cu articolul 17 alineatul (4) în ceea ce privește toate entitățile de rezoluție și filialele acestora care sunt entități menționate la articolul 1 alineatul (1) și fac parte din grup.</w:t>
            </w:r>
          </w:p>
        </w:tc>
        <w:tc>
          <w:tcPr>
            <w:tcW w:w="4819" w:type="dxa"/>
          </w:tcPr>
          <w:p w14:paraId="3E1E9DC0" w14:textId="77777777" w:rsidR="006A2A6A" w:rsidRPr="00154588" w:rsidRDefault="006A2A6A" w:rsidP="008C12B4">
            <w:pPr>
              <w:ind w:firstLine="709"/>
              <w:jc w:val="both"/>
              <w:rPr>
                <w:sz w:val="20"/>
                <w:szCs w:val="20"/>
              </w:rPr>
            </w:pPr>
            <w:r w:rsidRPr="00154588">
              <w:rPr>
                <w:b/>
                <w:bCs/>
                <w:sz w:val="20"/>
                <w:szCs w:val="20"/>
              </w:rPr>
              <w:t>Articolul 41</w:t>
            </w:r>
            <w:r w:rsidRPr="00154588">
              <w:rPr>
                <w:b/>
                <w:bCs/>
                <w:sz w:val="20"/>
                <w:szCs w:val="20"/>
                <w:vertAlign w:val="superscript"/>
              </w:rPr>
              <w:t>1</w:t>
            </w:r>
            <w:r w:rsidRPr="00154588">
              <w:rPr>
                <w:b/>
                <w:bCs/>
                <w:sz w:val="20"/>
                <w:szCs w:val="20"/>
              </w:rPr>
              <w:t>.</w:t>
            </w:r>
            <w:r w:rsidRPr="00154588">
              <w:rPr>
                <w:b/>
                <w:bCs/>
                <w:sz w:val="20"/>
                <w:szCs w:val="20"/>
                <w:vertAlign w:val="superscript"/>
              </w:rPr>
              <w:t xml:space="preserve">  </w:t>
            </w:r>
            <w:r w:rsidRPr="00154588">
              <w:rPr>
                <w:sz w:val="20"/>
                <w:szCs w:val="20"/>
              </w:rPr>
              <w:t>– Banca Națională a Moldovei, în calitate de autoritate de rezoluție la nivel de grup, împreună cu autoritățile de rezoluție ale filialelor, după consultarea cu colegiul de supraveghere și cu autoritățile de rezoluție din jurisdicțiile în care sunt situate sucursalele semnificative, în măsura în care este relevant pentru sucursalele semnificativă, analizează evaluarea prevăzută la art.34</w:t>
            </w:r>
            <w:r w:rsidRPr="00154588">
              <w:rPr>
                <w:sz w:val="20"/>
                <w:szCs w:val="20"/>
                <w:vertAlign w:val="superscript"/>
              </w:rPr>
              <w:t>3</w:t>
            </w:r>
            <w:r w:rsidRPr="00154588">
              <w:rPr>
                <w:sz w:val="20"/>
                <w:szCs w:val="20"/>
              </w:rPr>
              <w:t xml:space="preserve"> în cadrul colegiului de rezoluție și iau toate măsurile rezonabile pentru a ajunge la o decizie comună cu privire la aplicarea măsurilor identificate în conformitate cu art.38 asupra entităților de rezoluție și filialelor  acestora care sunt entități prevăzute la art.1 alin.(1) și care fac parte din grup.</w:t>
            </w:r>
          </w:p>
          <w:p w14:paraId="1174AF65" w14:textId="77777777" w:rsidR="006A2A6A" w:rsidRPr="00154588" w:rsidRDefault="006A2A6A" w:rsidP="008C12B4">
            <w:pPr>
              <w:jc w:val="both"/>
              <w:rPr>
                <w:bCs/>
                <w:sz w:val="20"/>
                <w:szCs w:val="20"/>
              </w:rPr>
            </w:pPr>
          </w:p>
        </w:tc>
        <w:tc>
          <w:tcPr>
            <w:tcW w:w="2552" w:type="dxa"/>
          </w:tcPr>
          <w:p w14:paraId="027674C5" w14:textId="6BEC5CFD" w:rsidR="006A2A6A" w:rsidRPr="00154588" w:rsidRDefault="006A2A6A" w:rsidP="008C12B4">
            <w:pPr>
              <w:jc w:val="both"/>
              <w:rPr>
                <w:bCs/>
                <w:sz w:val="20"/>
                <w:szCs w:val="20"/>
              </w:rPr>
            </w:pPr>
            <w:r w:rsidRPr="00154588">
              <w:rPr>
                <w:bCs/>
                <w:sz w:val="20"/>
                <w:szCs w:val="20"/>
              </w:rPr>
              <w:t>Compatibil</w:t>
            </w:r>
          </w:p>
        </w:tc>
        <w:tc>
          <w:tcPr>
            <w:tcW w:w="3118" w:type="dxa"/>
          </w:tcPr>
          <w:p w14:paraId="156A5421" w14:textId="77777777" w:rsidR="006A2A6A" w:rsidRPr="00154588" w:rsidRDefault="006A2A6A" w:rsidP="008C12B4">
            <w:pPr>
              <w:jc w:val="both"/>
              <w:rPr>
                <w:bCs/>
                <w:sz w:val="20"/>
                <w:szCs w:val="20"/>
              </w:rPr>
            </w:pPr>
          </w:p>
        </w:tc>
      </w:tr>
      <w:tr w:rsidR="006A2A6A" w:rsidRPr="00154588" w14:paraId="40DD59F6" w14:textId="77777777" w:rsidTr="00D15C1B">
        <w:trPr>
          <w:jc w:val="center"/>
        </w:trPr>
        <w:tc>
          <w:tcPr>
            <w:tcW w:w="4957" w:type="dxa"/>
            <w:gridSpan w:val="2"/>
          </w:tcPr>
          <w:p w14:paraId="0706AB34" w14:textId="767B8527" w:rsidR="006A2A6A" w:rsidRPr="00154588" w:rsidRDefault="006A2A6A" w:rsidP="008C12B4">
            <w:pPr>
              <w:jc w:val="both"/>
              <w:rPr>
                <w:bCs/>
                <w:sz w:val="20"/>
                <w:szCs w:val="20"/>
              </w:rPr>
            </w:pPr>
            <w:r w:rsidRPr="00154588">
              <w:rPr>
                <w:bCs/>
                <w:sz w:val="20"/>
                <w:szCs w:val="20"/>
              </w:rPr>
              <w:t xml:space="preserve">(2)   Autoritatea de rezoluție a grupului, în cooperare cu supraveghetorul consolidant întocmește și prezintă un raport întreprinderii-mamă din Uniune, autorităților de rezoluție ale filialelor, care îl transmit filialelor aflate în </w:t>
            </w:r>
            <w:r w:rsidR="0021194D" w:rsidRPr="00154588">
              <w:rPr>
                <w:bCs/>
                <w:sz w:val="20"/>
                <w:szCs w:val="20"/>
              </w:rPr>
              <w:t xml:space="preserve">sfera </w:t>
            </w:r>
            <w:r w:rsidRPr="00154588">
              <w:rPr>
                <w:bCs/>
                <w:sz w:val="20"/>
                <w:szCs w:val="20"/>
              </w:rPr>
              <w:t>lor</w:t>
            </w:r>
            <w:r w:rsidR="0021194D" w:rsidRPr="00154588">
              <w:rPr>
                <w:bCs/>
                <w:sz w:val="20"/>
                <w:szCs w:val="20"/>
              </w:rPr>
              <w:t xml:space="preserve"> de competență</w:t>
            </w:r>
            <w:r w:rsidRPr="00154588">
              <w:rPr>
                <w:bCs/>
                <w:sz w:val="20"/>
                <w:szCs w:val="20"/>
              </w:rPr>
              <w:t>, și autorităților de rezoluție din jurisdicțiile în care sunt situate sucursale semnificative. Raportul este întocmit după consultarea autorităților competente și analizează obstacolele semnificative din calea aplicării eficiente a instrumentelor de rezoluție și a exercitării competențelor de rezoluție în privința grupului, precum și în privința grupurilor de rezoluție atunci când un grup este format din mai multe grupuri de rezoluție. Raportul ia în considerare impactul asupra modelului de afaceri al grupului și recomandă toate măsurile proporționale și specifice care, în opinia autorității de rezoluție a grupului, sunt necesare sau adecvate pentru eliminarea acestor obstacole.</w:t>
            </w:r>
          </w:p>
          <w:p w14:paraId="751A4C6E" w14:textId="77777777" w:rsidR="006A2A6A" w:rsidRPr="00154588" w:rsidRDefault="006A2A6A" w:rsidP="008C12B4">
            <w:pPr>
              <w:jc w:val="both"/>
              <w:rPr>
                <w:bCs/>
                <w:sz w:val="20"/>
                <w:szCs w:val="20"/>
              </w:rPr>
            </w:pPr>
          </w:p>
          <w:p w14:paraId="61387FF0" w14:textId="77777777" w:rsidR="006A2A6A" w:rsidRPr="00154588" w:rsidRDefault="006A2A6A" w:rsidP="008C12B4">
            <w:pPr>
              <w:jc w:val="both"/>
              <w:rPr>
                <w:bCs/>
                <w:sz w:val="20"/>
                <w:szCs w:val="20"/>
              </w:rPr>
            </w:pPr>
          </w:p>
          <w:p w14:paraId="35A6198D" w14:textId="0CF2FF4A" w:rsidR="006A2A6A" w:rsidRPr="00154588" w:rsidRDefault="006A2A6A" w:rsidP="008C12B4">
            <w:pPr>
              <w:jc w:val="both"/>
              <w:rPr>
                <w:bCs/>
                <w:sz w:val="20"/>
                <w:szCs w:val="20"/>
              </w:rPr>
            </w:pPr>
            <w:r w:rsidRPr="00154588">
              <w:rPr>
                <w:bCs/>
                <w:sz w:val="20"/>
                <w:szCs w:val="20"/>
              </w:rPr>
              <w:t xml:space="preserve">În cazul în care un obstacol care afectează posibilitatea de soluționare a grupului este cauzat de o situație a unei entități a grupului menționată la articolul 17 alineatul (3) al doilea paragraf, autoritatea de rezoluție a grupului notifică evaluarea sa privind acest obstacol întreprinderii-mamă din Uniune după consultarea autorității de rezoluție a entității </w:t>
            </w:r>
            <w:r w:rsidRPr="00154588">
              <w:rPr>
                <w:bCs/>
                <w:sz w:val="20"/>
                <w:szCs w:val="20"/>
              </w:rPr>
              <w:lastRenderedPageBreak/>
              <w:t>de rezoluție și a autorităților de rezoluție ale instituțiilor-filiale.</w:t>
            </w:r>
          </w:p>
        </w:tc>
        <w:tc>
          <w:tcPr>
            <w:tcW w:w="4819" w:type="dxa"/>
          </w:tcPr>
          <w:p w14:paraId="104A30A0" w14:textId="7BB021F3" w:rsidR="006A2A6A" w:rsidRPr="00154588" w:rsidRDefault="006A2A6A" w:rsidP="008C12B4">
            <w:pPr>
              <w:ind w:firstLine="709"/>
              <w:jc w:val="both"/>
              <w:rPr>
                <w:sz w:val="20"/>
                <w:szCs w:val="20"/>
              </w:rPr>
            </w:pPr>
            <w:r w:rsidRPr="00154588">
              <w:rPr>
                <w:b/>
                <w:bCs/>
                <w:sz w:val="20"/>
                <w:szCs w:val="20"/>
              </w:rPr>
              <w:lastRenderedPageBreak/>
              <w:t>Articolul 41</w:t>
            </w:r>
            <w:r w:rsidRPr="00154588">
              <w:rPr>
                <w:b/>
                <w:bCs/>
                <w:sz w:val="20"/>
                <w:szCs w:val="20"/>
                <w:vertAlign w:val="superscript"/>
              </w:rPr>
              <w:t>2</w:t>
            </w:r>
            <w:r w:rsidRPr="00154588">
              <w:rPr>
                <w:b/>
                <w:bCs/>
                <w:sz w:val="20"/>
                <w:szCs w:val="20"/>
              </w:rPr>
              <w:t>. –</w:t>
            </w:r>
            <w:r w:rsidRPr="00154588">
              <w:rPr>
                <w:sz w:val="20"/>
                <w:szCs w:val="20"/>
              </w:rPr>
              <w:t xml:space="preserve"> (1) Banca Națională a Moldovei, în calitate de autoritate de rezoluție la nivel de grup, în cooperare cu supraveghetorul consolidant întocmesc și prezintă un raport întreprinderii-mamă din Uniunea Europeană și autorităților de rezoluție ale filialelor pentru a fi transmis filialelor care intră în responsabilitatea acestora, precum și autorităților de rezoluție din jurisdicțiile în care sunt situate sucursale semnificative. </w:t>
            </w:r>
          </w:p>
          <w:p w14:paraId="09382AF1" w14:textId="77777777" w:rsidR="006A2A6A" w:rsidRPr="00154588" w:rsidRDefault="006A2A6A" w:rsidP="008C12B4">
            <w:pPr>
              <w:ind w:firstLine="709"/>
              <w:jc w:val="both"/>
              <w:rPr>
                <w:sz w:val="20"/>
                <w:szCs w:val="20"/>
              </w:rPr>
            </w:pPr>
            <w:r w:rsidRPr="00154588">
              <w:rPr>
                <w:sz w:val="20"/>
                <w:szCs w:val="20"/>
              </w:rPr>
              <w:t xml:space="preserve">(2) Raportul este întocmit după consultarea autorităților competente și include o analiză a obstacolelor considerate de Banca Națională a Moldovei ca fiind  semnificative în aplicarea eficace a instrumentelor de rezoluție și a exercitării competențelor de rezoluție în raport cu grupul, precum și în raport cu grupurile de rezoluție, atunci când un grup este format din mai mult de un grup de rezoluție. </w:t>
            </w:r>
          </w:p>
          <w:p w14:paraId="4AD41799" w14:textId="77777777" w:rsidR="006A2A6A" w:rsidRPr="00154588" w:rsidRDefault="006A2A6A" w:rsidP="008C12B4">
            <w:pPr>
              <w:ind w:firstLine="709"/>
              <w:jc w:val="both"/>
              <w:rPr>
                <w:sz w:val="20"/>
                <w:szCs w:val="20"/>
              </w:rPr>
            </w:pPr>
            <w:r w:rsidRPr="00154588">
              <w:rPr>
                <w:sz w:val="20"/>
                <w:szCs w:val="20"/>
              </w:rPr>
              <w:t>(3) Banca Națională a Moldovei, în calitate de autoritate de rezoluție la nivel de grup, se asigură de includerea în cadrul raportului a impactului măsurilor asupra modelului de afaceri al grupului și a recomandărilor de măsuri proporționale și specifice care, în opinia acesteia, sunt necesare sau adecvate pentru a îndepărta aceste obstacole.</w:t>
            </w:r>
          </w:p>
          <w:p w14:paraId="459A1D53" w14:textId="77777777" w:rsidR="006A2A6A" w:rsidRPr="00154588" w:rsidRDefault="006A2A6A" w:rsidP="008C12B4">
            <w:pPr>
              <w:ind w:firstLine="709"/>
              <w:jc w:val="both"/>
              <w:rPr>
                <w:sz w:val="20"/>
                <w:szCs w:val="20"/>
              </w:rPr>
            </w:pPr>
            <w:r w:rsidRPr="00154588">
              <w:rPr>
                <w:sz w:val="20"/>
                <w:szCs w:val="20"/>
              </w:rPr>
              <w:t xml:space="preserve">(4) În cazul în care un obstacol care afectează posibilitatea de soluționare a grupului este cauzat de situația în care se află o entitate a grupului, așa cum este </w:t>
            </w:r>
            <w:r w:rsidRPr="00154588">
              <w:rPr>
                <w:sz w:val="20"/>
                <w:szCs w:val="20"/>
              </w:rPr>
              <w:lastRenderedPageBreak/>
              <w:t>prevăzut la art.37 alin.(4), Banca Națională a Moldovei, în calitate de autoritate de rezoluție la nivel de grup, notifică analiza sa privind acest obstacol întreprinderii-mamă din Uniunea Europeană, după consultarea autorității de rezoluție a entității de rezoluție și a autorităților de rezoluție ale filialelor acesteia care sunt instituții.</w:t>
            </w:r>
          </w:p>
          <w:p w14:paraId="688AE75A" w14:textId="77777777" w:rsidR="006A2A6A" w:rsidRPr="00154588" w:rsidRDefault="006A2A6A" w:rsidP="008C12B4">
            <w:pPr>
              <w:jc w:val="both"/>
              <w:rPr>
                <w:bCs/>
                <w:sz w:val="20"/>
                <w:szCs w:val="20"/>
              </w:rPr>
            </w:pPr>
          </w:p>
        </w:tc>
        <w:tc>
          <w:tcPr>
            <w:tcW w:w="2552" w:type="dxa"/>
          </w:tcPr>
          <w:p w14:paraId="5C215C1D" w14:textId="65B85091"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06D7B322" w14:textId="29B833A0" w:rsidR="006A2A6A" w:rsidRPr="00154588" w:rsidRDefault="00B7717C" w:rsidP="008C12B4">
            <w:pPr>
              <w:jc w:val="both"/>
              <w:rPr>
                <w:bCs/>
                <w:sz w:val="20"/>
                <w:szCs w:val="20"/>
              </w:rPr>
            </w:pPr>
            <w:r w:rsidRPr="00154588">
              <w:rPr>
                <w:bCs/>
                <w:sz w:val="20"/>
                <w:szCs w:val="20"/>
              </w:rPr>
              <w:t>-</w:t>
            </w:r>
          </w:p>
        </w:tc>
      </w:tr>
      <w:tr w:rsidR="006A2A6A" w:rsidRPr="00154588" w14:paraId="3925BFA8" w14:textId="77777777" w:rsidTr="00D15C1B">
        <w:trPr>
          <w:jc w:val="center"/>
        </w:trPr>
        <w:tc>
          <w:tcPr>
            <w:tcW w:w="4957" w:type="dxa"/>
            <w:gridSpan w:val="2"/>
          </w:tcPr>
          <w:p w14:paraId="191D9C60" w14:textId="77777777" w:rsidR="006A2A6A" w:rsidRPr="00154588" w:rsidRDefault="006A2A6A" w:rsidP="008C12B4">
            <w:pPr>
              <w:jc w:val="both"/>
              <w:rPr>
                <w:bCs/>
                <w:sz w:val="20"/>
                <w:szCs w:val="20"/>
              </w:rPr>
            </w:pPr>
            <w:r w:rsidRPr="00154588">
              <w:rPr>
                <w:bCs/>
                <w:sz w:val="20"/>
                <w:szCs w:val="20"/>
              </w:rPr>
              <w:t>(3)   În termen de patru luni de la data primirii raportului, întreprinderea-mamă din Uniune poate prezenta observații și poate propune autorității de rezoluție a grupului măsuri alternative de remediere a obstacolelor identificate în raport.</w:t>
            </w:r>
          </w:p>
          <w:p w14:paraId="7339BA5B" w14:textId="77777777" w:rsidR="006A2A6A" w:rsidRPr="00154588" w:rsidRDefault="006A2A6A" w:rsidP="008C12B4">
            <w:pPr>
              <w:jc w:val="both"/>
              <w:rPr>
                <w:bCs/>
                <w:sz w:val="20"/>
                <w:szCs w:val="20"/>
              </w:rPr>
            </w:pPr>
          </w:p>
          <w:p w14:paraId="2004DFF3" w14:textId="77777777" w:rsidR="006A2A6A" w:rsidRPr="00154588" w:rsidRDefault="006A2A6A" w:rsidP="008C12B4">
            <w:pPr>
              <w:jc w:val="both"/>
              <w:rPr>
                <w:bCs/>
                <w:sz w:val="20"/>
                <w:szCs w:val="20"/>
              </w:rPr>
            </w:pPr>
            <w:r w:rsidRPr="00154588">
              <w:rPr>
                <w:bCs/>
                <w:sz w:val="20"/>
                <w:szCs w:val="20"/>
              </w:rPr>
              <w:t>În cazul în care obstacolele identificate în raport sunt cauzate de o situație a unei entități din grup menționate la articolul 17 alineatul (3) al doilea paragraf din prezenta directivă, întreprinderea-mamă din Uniune, în termen de două săptămâni de la data primirii unei notificări efectuate în conformitate cu alineatul (2) al doilea paragraf de la prezentul articol, propune autorității de rezoluție a grupului posibile măsuri și calendarul punerii lor în aplicare pentru a se asigura că entitatea grupului respectă cerințele menționate la articolul 45e sau 45f din prezenta directivă, exprimate ca procent din cuantumul total al expunerii la risc, calculat în conformitate cu articolul 92 alineatul (3) din Regulamentul (UE) nr. 575/2013 și, după caz, cerința amortizorului combinat și cerințele menționate la articolele 45e și 45f din prezenta directivă, exprimate ca procent din indicatorul de măsurare a expunerii totale menționat la articolele 429 și 429a din Regulamentul (UE) nr. 575/2013.</w:t>
            </w:r>
          </w:p>
          <w:p w14:paraId="76103548" w14:textId="77777777" w:rsidR="006A2A6A" w:rsidRPr="00154588" w:rsidRDefault="006A2A6A" w:rsidP="008C12B4">
            <w:pPr>
              <w:jc w:val="both"/>
              <w:rPr>
                <w:bCs/>
                <w:sz w:val="20"/>
                <w:szCs w:val="20"/>
              </w:rPr>
            </w:pPr>
          </w:p>
          <w:p w14:paraId="44C91B04" w14:textId="77777777" w:rsidR="006A2A6A" w:rsidRPr="00154588" w:rsidRDefault="006A2A6A" w:rsidP="008C12B4">
            <w:pPr>
              <w:jc w:val="both"/>
              <w:rPr>
                <w:bCs/>
                <w:sz w:val="20"/>
                <w:szCs w:val="20"/>
              </w:rPr>
            </w:pPr>
          </w:p>
          <w:p w14:paraId="583E18CD" w14:textId="66D8FA59" w:rsidR="006A2A6A" w:rsidRPr="00154588" w:rsidRDefault="006A2A6A" w:rsidP="008C12B4">
            <w:pPr>
              <w:jc w:val="both"/>
              <w:rPr>
                <w:bCs/>
                <w:sz w:val="20"/>
                <w:szCs w:val="20"/>
              </w:rPr>
            </w:pPr>
            <w:r w:rsidRPr="00154588">
              <w:rPr>
                <w:bCs/>
                <w:sz w:val="20"/>
                <w:szCs w:val="20"/>
              </w:rPr>
              <w:t>Calendarul pentru punerea în aplicare a măsurilor propuse în temeiul celui de al doilea paragraf ia în considerare cauzele obstacolului semnificativ. Autoritatea de rezoluție, după consultarea autorității competente, evaluează eficacitatea măsurilor propuse în abordarea sau înlăturarea obstacolului semnificativ.</w:t>
            </w:r>
          </w:p>
        </w:tc>
        <w:tc>
          <w:tcPr>
            <w:tcW w:w="4819" w:type="dxa"/>
          </w:tcPr>
          <w:p w14:paraId="5AFEEF99" w14:textId="77777777" w:rsidR="006A2A6A" w:rsidRPr="00154588" w:rsidRDefault="006A2A6A" w:rsidP="008C12B4">
            <w:pPr>
              <w:ind w:firstLine="709"/>
              <w:jc w:val="both"/>
              <w:rPr>
                <w:b/>
                <w:sz w:val="20"/>
                <w:szCs w:val="20"/>
              </w:rPr>
            </w:pPr>
            <w:r w:rsidRPr="00154588">
              <w:rPr>
                <w:b/>
                <w:bCs/>
                <w:sz w:val="20"/>
                <w:szCs w:val="20"/>
              </w:rPr>
              <w:t>Articolul 41</w:t>
            </w:r>
            <w:r w:rsidRPr="00154588">
              <w:rPr>
                <w:b/>
                <w:bCs/>
                <w:sz w:val="20"/>
                <w:szCs w:val="20"/>
                <w:vertAlign w:val="superscript"/>
              </w:rPr>
              <w:t>3</w:t>
            </w:r>
            <w:r w:rsidRPr="00154588">
              <w:rPr>
                <w:b/>
                <w:bCs/>
                <w:sz w:val="20"/>
                <w:szCs w:val="20"/>
              </w:rPr>
              <w:t>.</w:t>
            </w:r>
            <w:r w:rsidRPr="00154588">
              <w:rPr>
                <w:b/>
                <w:bCs/>
                <w:sz w:val="20"/>
                <w:szCs w:val="20"/>
                <w:vertAlign w:val="superscript"/>
              </w:rPr>
              <w:t xml:space="preserve"> </w:t>
            </w:r>
            <w:r w:rsidRPr="00154588">
              <w:rPr>
                <w:b/>
                <w:bCs/>
                <w:sz w:val="20"/>
                <w:szCs w:val="20"/>
              </w:rPr>
              <w:t>–</w:t>
            </w:r>
            <w:r w:rsidRPr="00154588">
              <w:rPr>
                <w:sz w:val="20"/>
                <w:szCs w:val="20"/>
                <w:vertAlign w:val="superscript"/>
              </w:rPr>
              <w:t xml:space="preserve"> </w:t>
            </w:r>
            <w:r w:rsidRPr="00154588">
              <w:rPr>
                <w:sz w:val="20"/>
                <w:szCs w:val="20"/>
              </w:rPr>
              <w:t xml:space="preserve">(1) </w:t>
            </w:r>
            <w:bookmarkStart w:id="25" w:name="_Hlk215929841"/>
            <w:r w:rsidRPr="00154588">
              <w:rPr>
                <w:sz w:val="20"/>
                <w:szCs w:val="20"/>
              </w:rPr>
              <w:t>În termen de patru luni de la data primirii raportului, întreprinderea-mamă din Uniunea Europeană cu sediul în Republica Moldova poate prezenta observații și poate propune B</w:t>
            </w:r>
            <w:r w:rsidRPr="00154588">
              <w:rPr>
                <w:sz w:val="20"/>
                <w:szCs w:val="20"/>
                <w:lang w:val="ro-MD"/>
              </w:rPr>
              <w:t xml:space="preserve">ăncii </w:t>
            </w:r>
            <w:r w:rsidRPr="00154588">
              <w:rPr>
                <w:sz w:val="20"/>
                <w:szCs w:val="20"/>
              </w:rPr>
              <w:t>Naționale a Moldovei, în calitate de autoritate de rezoluție la nivel de grup, măsuri alternative de remediere a obstacolelor identificate în raport.</w:t>
            </w:r>
            <w:bookmarkEnd w:id="25"/>
          </w:p>
          <w:p w14:paraId="013AAA3C" w14:textId="77777777" w:rsidR="006A2A6A" w:rsidRPr="00154588" w:rsidRDefault="006A2A6A" w:rsidP="008C12B4">
            <w:pPr>
              <w:ind w:firstLine="709"/>
              <w:jc w:val="both"/>
              <w:rPr>
                <w:sz w:val="20"/>
                <w:szCs w:val="20"/>
              </w:rPr>
            </w:pPr>
            <w:r w:rsidRPr="00154588">
              <w:rPr>
                <w:sz w:val="20"/>
                <w:szCs w:val="20"/>
              </w:rPr>
              <w:t>(2) În cazul în care obstacolele identificate în raport sunt cauzate de o situație a unei entități din grup, așa cum este prevăzut la art.37 alin.(4), întreprinderea-mamă din Uniunea Europeană cu sediul în Republica Moldova, în termen de două săptămâni de la data primirii unei notificări efectuate în conformitate cu prevederile art.41</w:t>
            </w:r>
            <w:r w:rsidRPr="00154588">
              <w:rPr>
                <w:sz w:val="20"/>
                <w:szCs w:val="20"/>
                <w:vertAlign w:val="superscript"/>
              </w:rPr>
              <w:t>2</w:t>
            </w:r>
            <w:r w:rsidRPr="00154588">
              <w:rPr>
                <w:sz w:val="20"/>
                <w:szCs w:val="20"/>
              </w:rPr>
              <w:t xml:space="preserve"> alin.(4), propune Băncii Naționale a Moldovei, în calitate de autoritate de rezoluție la nivel de grup, posibile măsuri și calendarul de implementare a acestora pentru a se asigura că entitatea respectivă respectă cerințele menționate la art.167</w:t>
            </w:r>
            <w:r w:rsidRPr="00154588">
              <w:rPr>
                <w:sz w:val="20"/>
                <w:szCs w:val="20"/>
                <w:vertAlign w:val="superscript"/>
              </w:rPr>
              <w:t xml:space="preserve">14 </w:t>
            </w:r>
            <w:r w:rsidRPr="00154588">
              <w:rPr>
                <w:sz w:val="20"/>
                <w:szCs w:val="20"/>
              </w:rPr>
              <w:t>sau 167</w:t>
            </w:r>
            <w:r w:rsidRPr="00154588">
              <w:rPr>
                <w:sz w:val="20"/>
                <w:szCs w:val="20"/>
                <w:vertAlign w:val="superscript"/>
              </w:rPr>
              <w:t>15</w:t>
            </w:r>
            <w:r w:rsidRPr="00154588">
              <w:rPr>
                <w:sz w:val="20"/>
                <w:szCs w:val="20"/>
              </w:rPr>
              <w:t>-167</w:t>
            </w:r>
            <w:r w:rsidRPr="00154588">
              <w:rPr>
                <w:sz w:val="20"/>
                <w:szCs w:val="20"/>
                <w:vertAlign w:val="superscript"/>
              </w:rPr>
              <w:t>19</w:t>
            </w:r>
            <w:r w:rsidRPr="00154588">
              <w:rPr>
                <w:sz w:val="20"/>
                <w:szCs w:val="20"/>
              </w:rPr>
              <w:t xml:space="preserve">, exprimate ca procent din valoarea totală a expunerii la risc, calculată în conformitate cu actele normative ale Băncii Naționale ale Moldovei emise în aplicarea art. </w:t>
            </w:r>
            <w:r w:rsidRPr="00154588">
              <w:rPr>
                <w:sz w:val="20"/>
                <w:szCs w:val="20"/>
                <w:lang w:eastAsia="ro-MD"/>
              </w:rPr>
              <w:t xml:space="preserve">60, 61 şi 62 din Legea nr.202/2017 </w:t>
            </w:r>
            <w:r w:rsidRPr="00154588">
              <w:rPr>
                <w:sz w:val="20"/>
                <w:szCs w:val="20"/>
              </w:rPr>
              <w:t>și, după caz, cerința amortizorului combinat și cerințele prevăzute la art.167</w:t>
            </w:r>
            <w:r w:rsidRPr="00154588">
              <w:rPr>
                <w:sz w:val="20"/>
                <w:szCs w:val="20"/>
                <w:vertAlign w:val="superscript"/>
              </w:rPr>
              <w:t xml:space="preserve">14 </w:t>
            </w:r>
            <w:r w:rsidRPr="00154588">
              <w:rPr>
                <w:sz w:val="20"/>
                <w:szCs w:val="20"/>
              </w:rPr>
              <w:t>sau 167</w:t>
            </w:r>
            <w:r w:rsidRPr="00154588">
              <w:rPr>
                <w:sz w:val="20"/>
                <w:szCs w:val="20"/>
                <w:vertAlign w:val="superscript"/>
              </w:rPr>
              <w:t>15</w:t>
            </w:r>
            <w:r w:rsidRPr="00154588">
              <w:rPr>
                <w:sz w:val="20"/>
                <w:szCs w:val="20"/>
              </w:rPr>
              <w:t>-167</w:t>
            </w:r>
            <w:r w:rsidRPr="00154588">
              <w:rPr>
                <w:sz w:val="20"/>
                <w:szCs w:val="20"/>
                <w:vertAlign w:val="superscript"/>
              </w:rPr>
              <w:t>19</w:t>
            </w:r>
            <w:r w:rsidRPr="00154588">
              <w:rPr>
                <w:sz w:val="20"/>
                <w:szCs w:val="20"/>
              </w:rPr>
              <w:t>,exprimate ca procent din indicatorul de măsurare a expunerii totale prevăzut în reglementările emise de Banca Națională a Moldovei pentru transpunerea art.429 și 429a din Regulamentul (UE) nr.575/2013.</w:t>
            </w:r>
          </w:p>
          <w:p w14:paraId="7DF723DB" w14:textId="11F084DA" w:rsidR="006A2A6A" w:rsidRPr="00154588" w:rsidRDefault="006A2A6A" w:rsidP="008C12B4">
            <w:pPr>
              <w:ind w:firstLine="709"/>
              <w:jc w:val="both"/>
              <w:rPr>
                <w:bCs/>
                <w:sz w:val="20"/>
                <w:szCs w:val="20"/>
              </w:rPr>
            </w:pPr>
            <w:r w:rsidRPr="00154588">
              <w:rPr>
                <w:sz w:val="20"/>
                <w:szCs w:val="20"/>
              </w:rPr>
              <w:t>(3) Calendarul pentru implementarea măsurilor propuse potrivit alin.(2) ia în considerare cauzele  care au determinat obstacolul semnificativ. Banca Națională a Moldovei, în calitate de autoritate de rezoluție la nivel de grup, după consultarea autorității competente, evaluează eficacitatea măsurilor respective, pentru gestionarea sau înlăturarea obstacolelor semnificative în cauză.</w:t>
            </w:r>
          </w:p>
        </w:tc>
        <w:tc>
          <w:tcPr>
            <w:tcW w:w="2552" w:type="dxa"/>
          </w:tcPr>
          <w:p w14:paraId="3F0FE586" w14:textId="6AF7B1DA" w:rsidR="006A2A6A" w:rsidRPr="00154588" w:rsidRDefault="006A2A6A" w:rsidP="008C12B4">
            <w:pPr>
              <w:jc w:val="both"/>
              <w:rPr>
                <w:bCs/>
                <w:sz w:val="20"/>
                <w:szCs w:val="20"/>
              </w:rPr>
            </w:pPr>
            <w:r w:rsidRPr="00154588">
              <w:rPr>
                <w:bCs/>
                <w:sz w:val="20"/>
                <w:szCs w:val="20"/>
              </w:rPr>
              <w:t>Compatibil</w:t>
            </w:r>
          </w:p>
        </w:tc>
        <w:tc>
          <w:tcPr>
            <w:tcW w:w="3118" w:type="dxa"/>
          </w:tcPr>
          <w:p w14:paraId="5FE5170D" w14:textId="77777777" w:rsidR="006A2A6A" w:rsidRPr="00154588" w:rsidRDefault="006A2A6A" w:rsidP="008C12B4">
            <w:pPr>
              <w:jc w:val="both"/>
              <w:rPr>
                <w:bCs/>
                <w:sz w:val="20"/>
                <w:szCs w:val="20"/>
              </w:rPr>
            </w:pPr>
          </w:p>
        </w:tc>
      </w:tr>
      <w:tr w:rsidR="006A2A6A" w:rsidRPr="00154588" w14:paraId="67B808A2" w14:textId="77777777" w:rsidTr="003843B9">
        <w:trPr>
          <w:trHeight w:val="450"/>
          <w:jc w:val="center"/>
        </w:trPr>
        <w:tc>
          <w:tcPr>
            <w:tcW w:w="4957" w:type="dxa"/>
            <w:gridSpan w:val="2"/>
          </w:tcPr>
          <w:p w14:paraId="596BDE93" w14:textId="27BD1E41" w:rsidR="006A2A6A" w:rsidRPr="00154588" w:rsidRDefault="006A2A6A" w:rsidP="008C12B4">
            <w:pPr>
              <w:jc w:val="both"/>
              <w:rPr>
                <w:bCs/>
                <w:sz w:val="20"/>
                <w:szCs w:val="20"/>
              </w:rPr>
            </w:pPr>
            <w:r w:rsidRPr="00154588">
              <w:rPr>
                <w:bCs/>
                <w:sz w:val="20"/>
                <w:szCs w:val="20"/>
              </w:rPr>
              <w:t xml:space="preserve">(4) Autoritatea de rezoluţie a grupului comunică </w:t>
            </w:r>
            <w:r w:rsidR="0021194D" w:rsidRPr="00154588">
              <w:rPr>
                <w:bCs/>
                <w:sz w:val="20"/>
                <w:szCs w:val="20"/>
              </w:rPr>
              <w:t xml:space="preserve">orice </w:t>
            </w:r>
            <w:r w:rsidRPr="00154588">
              <w:rPr>
                <w:bCs/>
                <w:sz w:val="20"/>
                <w:szCs w:val="20"/>
              </w:rPr>
              <w:t>măsur</w:t>
            </w:r>
            <w:r w:rsidR="0021194D" w:rsidRPr="00154588">
              <w:rPr>
                <w:bCs/>
                <w:sz w:val="20"/>
                <w:szCs w:val="20"/>
              </w:rPr>
              <w:t>ă</w:t>
            </w:r>
            <w:r w:rsidRPr="00154588">
              <w:rPr>
                <w:bCs/>
                <w:sz w:val="20"/>
                <w:szCs w:val="20"/>
              </w:rPr>
              <w:t xml:space="preserve"> propus</w:t>
            </w:r>
            <w:r w:rsidR="0021194D" w:rsidRPr="00154588">
              <w:rPr>
                <w:bCs/>
                <w:sz w:val="20"/>
                <w:szCs w:val="20"/>
              </w:rPr>
              <w:t>ă</w:t>
            </w:r>
            <w:r w:rsidRPr="00154588">
              <w:rPr>
                <w:bCs/>
                <w:sz w:val="20"/>
                <w:szCs w:val="20"/>
              </w:rPr>
              <w:t xml:space="preserve"> de întreprinderea-mamă din Uniune</w:t>
            </w:r>
            <w:r w:rsidR="0021194D" w:rsidRPr="00154588">
              <w:rPr>
                <w:bCs/>
                <w:sz w:val="20"/>
                <w:szCs w:val="20"/>
              </w:rPr>
              <w:t xml:space="preserve"> către supraveghetorul consolidant, ABE, autoritățile de rezoluție ale filialelor, precum și către autoritățile de rezoluție din </w:t>
            </w:r>
            <w:r w:rsidR="0021194D" w:rsidRPr="00154588">
              <w:rPr>
                <w:bCs/>
                <w:sz w:val="20"/>
                <w:szCs w:val="20"/>
              </w:rPr>
              <w:lastRenderedPageBreak/>
              <w:t>jurisdicțiile în care sunt situate sucursale semnificative dacă măsura respectivă este relevantă pentru aceste sucursale semnificative</w:t>
            </w:r>
            <w:r w:rsidRPr="00154588">
              <w:rPr>
                <w:bCs/>
                <w:sz w:val="20"/>
                <w:szCs w:val="20"/>
              </w:rPr>
              <w:t>. Autorităţile de rezoluţie ale grupului și autorităţile de rezoluţie ale filialelor, în urma consultării autorităţilor competente și a autorităţilor de rezoluţie din jurisdicţiile în care sunt situate sucursale semnificative, fac tot posibilul pentru a ajunge la o decizie comună în cadrul colegiului de rezoluţie referitor la identificarea obstacolelor semnificative și, după caz, la evaluarea măsurilor propuse de către întreprinderea-mamă din Uniune și a măsurilor impuse de autorităţi în vederea abordării sau a eliminării obstacolelor</w:t>
            </w:r>
            <w:r w:rsidR="0021194D" w:rsidRPr="00154588">
              <w:rPr>
                <w:bCs/>
                <w:sz w:val="20"/>
                <w:szCs w:val="20"/>
              </w:rPr>
              <w:t xml:space="preserve"> respective</w:t>
            </w:r>
            <w:r w:rsidRPr="00154588">
              <w:rPr>
                <w:bCs/>
                <w:sz w:val="20"/>
                <w:szCs w:val="20"/>
              </w:rPr>
              <w:t>, ţinând seama de impactul potenţial al măsurilor în toate statele membre în care operează grupul.</w:t>
            </w:r>
          </w:p>
          <w:p w14:paraId="3BA2B382" w14:textId="575B5A48" w:rsidR="006A2A6A" w:rsidRPr="00154588" w:rsidRDefault="006A2A6A" w:rsidP="008C12B4">
            <w:pPr>
              <w:jc w:val="both"/>
              <w:rPr>
                <w:bCs/>
                <w:sz w:val="20"/>
                <w:szCs w:val="20"/>
              </w:rPr>
            </w:pPr>
          </w:p>
        </w:tc>
        <w:tc>
          <w:tcPr>
            <w:tcW w:w="4819" w:type="dxa"/>
          </w:tcPr>
          <w:p w14:paraId="35A42CF1" w14:textId="4CCAD2DD" w:rsidR="006A2A6A" w:rsidRPr="00154588" w:rsidRDefault="006A2A6A" w:rsidP="008C12B4">
            <w:pPr>
              <w:ind w:firstLine="709"/>
              <w:jc w:val="both"/>
              <w:rPr>
                <w:sz w:val="20"/>
                <w:szCs w:val="20"/>
              </w:rPr>
            </w:pPr>
            <w:r w:rsidRPr="00154588">
              <w:rPr>
                <w:b/>
                <w:bCs/>
                <w:sz w:val="20"/>
                <w:szCs w:val="20"/>
              </w:rPr>
              <w:lastRenderedPageBreak/>
              <w:t>Articolul 41</w:t>
            </w:r>
            <w:r w:rsidRPr="00154588">
              <w:rPr>
                <w:b/>
                <w:bCs/>
                <w:sz w:val="20"/>
                <w:szCs w:val="20"/>
                <w:vertAlign w:val="superscript"/>
              </w:rPr>
              <w:t>4</w:t>
            </w:r>
            <w:r w:rsidRPr="00154588">
              <w:rPr>
                <w:sz w:val="20"/>
                <w:szCs w:val="20"/>
              </w:rPr>
              <w:t>. – (1) Banca Națională a Moldovei, în calitate de autoritate de rezoluție la nivel de grup, comunică</w:t>
            </w:r>
            <w:r w:rsidR="00B7717C" w:rsidRPr="00154588">
              <w:rPr>
                <w:sz w:val="20"/>
                <w:szCs w:val="20"/>
              </w:rPr>
              <w:t xml:space="preserve"> orice</w:t>
            </w:r>
            <w:r w:rsidRPr="00154588">
              <w:rPr>
                <w:sz w:val="20"/>
                <w:szCs w:val="20"/>
              </w:rPr>
              <w:t xml:space="preserve"> măsur</w:t>
            </w:r>
            <w:r w:rsidR="00B7717C" w:rsidRPr="00154588">
              <w:rPr>
                <w:sz w:val="20"/>
                <w:szCs w:val="20"/>
              </w:rPr>
              <w:t>ă</w:t>
            </w:r>
            <w:r w:rsidRPr="00154588">
              <w:rPr>
                <w:sz w:val="20"/>
                <w:szCs w:val="20"/>
              </w:rPr>
              <w:t xml:space="preserve"> propus</w:t>
            </w:r>
            <w:r w:rsidR="00B7717C" w:rsidRPr="00154588">
              <w:rPr>
                <w:sz w:val="20"/>
                <w:szCs w:val="20"/>
              </w:rPr>
              <w:t>ă</w:t>
            </w:r>
            <w:r w:rsidRPr="00154588">
              <w:rPr>
                <w:sz w:val="20"/>
                <w:szCs w:val="20"/>
              </w:rPr>
              <w:t xml:space="preserve"> de întreprinderea-mamă din Uniunea Europeană</w:t>
            </w:r>
            <w:r w:rsidR="009C345F" w:rsidRPr="00154588">
              <w:rPr>
                <w:sz w:val="20"/>
                <w:szCs w:val="20"/>
              </w:rPr>
              <w:t xml:space="preserve"> către</w:t>
            </w:r>
            <w:r w:rsidRPr="00154588">
              <w:rPr>
                <w:sz w:val="20"/>
                <w:szCs w:val="20"/>
              </w:rPr>
              <w:t xml:space="preserve"> supraveghetorul </w:t>
            </w:r>
            <w:r w:rsidRPr="00154588">
              <w:rPr>
                <w:sz w:val="20"/>
                <w:szCs w:val="20"/>
              </w:rPr>
              <w:lastRenderedPageBreak/>
              <w:t>consolidant, Autorit</w:t>
            </w:r>
            <w:r w:rsidR="009C345F" w:rsidRPr="00154588">
              <w:rPr>
                <w:sz w:val="20"/>
                <w:szCs w:val="20"/>
              </w:rPr>
              <w:t>atea</w:t>
            </w:r>
            <w:r w:rsidRPr="00154588">
              <w:rPr>
                <w:sz w:val="20"/>
                <w:szCs w:val="20"/>
              </w:rPr>
              <w:t xml:space="preserve"> Bancar</w:t>
            </w:r>
            <w:r w:rsidR="009C345F" w:rsidRPr="00154588">
              <w:rPr>
                <w:sz w:val="20"/>
                <w:szCs w:val="20"/>
              </w:rPr>
              <w:t>ă</w:t>
            </w:r>
            <w:r w:rsidRPr="00154588">
              <w:rPr>
                <w:sz w:val="20"/>
                <w:szCs w:val="20"/>
              </w:rPr>
              <w:t xml:space="preserve"> Europe</w:t>
            </w:r>
            <w:r w:rsidR="009C345F" w:rsidRPr="00154588">
              <w:rPr>
                <w:sz w:val="20"/>
                <w:szCs w:val="20"/>
              </w:rPr>
              <w:t>a</w:t>
            </w:r>
            <w:r w:rsidRPr="00154588">
              <w:rPr>
                <w:sz w:val="20"/>
                <w:szCs w:val="20"/>
              </w:rPr>
              <w:t>n</w:t>
            </w:r>
            <w:r w:rsidR="009C345F" w:rsidRPr="00154588">
              <w:rPr>
                <w:sz w:val="20"/>
                <w:szCs w:val="20"/>
              </w:rPr>
              <w:t>ă</w:t>
            </w:r>
            <w:r w:rsidRPr="00154588">
              <w:rPr>
                <w:sz w:val="20"/>
                <w:szCs w:val="20"/>
              </w:rPr>
              <w:t>, autoritățil</w:t>
            </w:r>
            <w:r w:rsidR="009C345F" w:rsidRPr="00154588">
              <w:rPr>
                <w:sz w:val="20"/>
                <w:szCs w:val="20"/>
              </w:rPr>
              <w:t>e</w:t>
            </w:r>
            <w:r w:rsidRPr="00154588">
              <w:rPr>
                <w:sz w:val="20"/>
                <w:szCs w:val="20"/>
              </w:rPr>
              <w:t>de rezoluție ale filialelor</w:t>
            </w:r>
            <w:r w:rsidR="001C3B07" w:rsidRPr="00154588">
              <w:rPr>
                <w:sz w:val="20"/>
                <w:szCs w:val="20"/>
              </w:rPr>
              <w:t xml:space="preserve">, precum </w:t>
            </w:r>
            <w:r w:rsidRPr="00154588">
              <w:rPr>
                <w:sz w:val="20"/>
                <w:szCs w:val="20"/>
              </w:rPr>
              <w:t>și autoritățil</w:t>
            </w:r>
            <w:r w:rsidR="001C3B07" w:rsidRPr="00154588">
              <w:rPr>
                <w:sz w:val="20"/>
                <w:szCs w:val="20"/>
              </w:rPr>
              <w:t>e</w:t>
            </w:r>
            <w:r w:rsidRPr="00154588">
              <w:rPr>
                <w:sz w:val="20"/>
                <w:szCs w:val="20"/>
              </w:rPr>
              <w:t xml:space="preserve"> de rezoluție din jurisdicțiile în care sunt situate sucursalele semnificative, în măsura în care este relevantă pentru sucursalele semnificative. </w:t>
            </w:r>
          </w:p>
          <w:p w14:paraId="765CE36D" w14:textId="520C79B7" w:rsidR="006A2A6A" w:rsidRPr="00154588" w:rsidRDefault="006A2A6A" w:rsidP="008C12B4">
            <w:pPr>
              <w:ind w:firstLine="709"/>
              <w:jc w:val="both"/>
              <w:rPr>
                <w:sz w:val="20"/>
                <w:szCs w:val="20"/>
              </w:rPr>
            </w:pPr>
            <w:r w:rsidRPr="00154588">
              <w:rPr>
                <w:sz w:val="20"/>
                <w:szCs w:val="20"/>
              </w:rPr>
              <w:t>(2) Banca Națională a Moldovei, în calitate de autoritate de rezoluție la nivel de grup și autoritățile de rezoluție ale filialelor, după consultarea cu autoritățile competente și cu autoritățile de rezoluție din jurisdicțiile în care sunt situate sucursale semnificative, depun toate diligențele pentru a ajunge la o decizie comună în cadrul colegiului de rezoluție cu privire la identificarea obstacolelor și, după caz, la evaluarea măsurilor propuse de către întreprinderea-mamă din Uniunea Europeană cu sediul în Republica Moldova și a măsurilor impuse de autorități în vederea reducerii sau eliminării obstacolelor</w:t>
            </w:r>
            <w:r w:rsidR="00B7717C" w:rsidRPr="00154588">
              <w:rPr>
                <w:sz w:val="20"/>
                <w:szCs w:val="20"/>
              </w:rPr>
              <w:t xml:space="preserve"> respective</w:t>
            </w:r>
            <w:r w:rsidRPr="00154588">
              <w:rPr>
                <w:sz w:val="20"/>
                <w:szCs w:val="20"/>
              </w:rPr>
              <w:t>, ținând cont de impactul potențial al măsurilor în toate statele membre în care grupul operează.</w:t>
            </w:r>
          </w:p>
          <w:p w14:paraId="3DEAA586" w14:textId="77777777" w:rsidR="006A2A6A" w:rsidRPr="00154588" w:rsidRDefault="006A2A6A" w:rsidP="008C12B4">
            <w:pPr>
              <w:jc w:val="both"/>
              <w:rPr>
                <w:bCs/>
                <w:sz w:val="20"/>
                <w:szCs w:val="20"/>
              </w:rPr>
            </w:pPr>
          </w:p>
        </w:tc>
        <w:tc>
          <w:tcPr>
            <w:tcW w:w="2552" w:type="dxa"/>
          </w:tcPr>
          <w:p w14:paraId="4D55448A" w14:textId="3B6ED69B"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5B3346C3" w14:textId="15C3FB97" w:rsidR="006A2A6A" w:rsidRPr="00154588" w:rsidRDefault="00B7717C" w:rsidP="008C12B4">
            <w:pPr>
              <w:jc w:val="both"/>
              <w:rPr>
                <w:bCs/>
                <w:sz w:val="20"/>
                <w:szCs w:val="20"/>
              </w:rPr>
            </w:pPr>
            <w:r w:rsidRPr="00154588">
              <w:rPr>
                <w:bCs/>
                <w:sz w:val="20"/>
                <w:szCs w:val="20"/>
              </w:rPr>
              <w:t>-</w:t>
            </w:r>
          </w:p>
        </w:tc>
      </w:tr>
      <w:tr w:rsidR="006A2A6A" w:rsidRPr="00154588" w14:paraId="2BB962B3" w14:textId="77777777" w:rsidTr="00D15C1B">
        <w:trPr>
          <w:trHeight w:val="3225"/>
          <w:jc w:val="center"/>
        </w:trPr>
        <w:tc>
          <w:tcPr>
            <w:tcW w:w="4957" w:type="dxa"/>
            <w:gridSpan w:val="2"/>
          </w:tcPr>
          <w:p w14:paraId="49197D19" w14:textId="77777777" w:rsidR="006A2A6A" w:rsidRPr="00154588" w:rsidRDefault="006A2A6A" w:rsidP="008C12B4">
            <w:pPr>
              <w:jc w:val="both"/>
              <w:rPr>
                <w:bCs/>
                <w:sz w:val="20"/>
                <w:szCs w:val="20"/>
              </w:rPr>
            </w:pPr>
            <w:r w:rsidRPr="00154588">
              <w:rPr>
                <w:bCs/>
                <w:sz w:val="20"/>
                <w:szCs w:val="20"/>
              </w:rPr>
              <w:t>(5)   Decizia comună se ia în termen de patru luni de la data prezentării unor eventuale observații de către întreprinderea-mamă din Uniune. În cazul în care întreprinderea-mamă din Uniune nu a prezentat observații, decizia comună se ia în termen de o lună de la data expirării perioadei de patru luni menționate la alineatul (3) primul paragraf.</w:t>
            </w:r>
          </w:p>
          <w:p w14:paraId="71E112ED" w14:textId="77777777" w:rsidR="006A2A6A" w:rsidRPr="00154588" w:rsidRDefault="006A2A6A" w:rsidP="008C12B4">
            <w:pPr>
              <w:jc w:val="both"/>
              <w:rPr>
                <w:bCs/>
                <w:sz w:val="20"/>
                <w:szCs w:val="20"/>
              </w:rPr>
            </w:pPr>
          </w:p>
          <w:p w14:paraId="62A00F0C" w14:textId="77777777" w:rsidR="006A2A6A" w:rsidRPr="00154588" w:rsidRDefault="006A2A6A" w:rsidP="008C12B4">
            <w:pPr>
              <w:jc w:val="both"/>
              <w:rPr>
                <w:bCs/>
                <w:sz w:val="20"/>
                <w:szCs w:val="20"/>
              </w:rPr>
            </w:pPr>
          </w:p>
          <w:p w14:paraId="316E306D" w14:textId="77777777" w:rsidR="006A2A6A" w:rsidRPr="00154588" w:rsidRDefault="006A2A6A" w:rsidP="008C12B4">
            <w:pPr>
              <w:jc w:val="both"/>
              <w:rPr>
                <w:bCs/>
                <w:sz w:val="20"/>
                <w:szCs w:val="20"/>
              </w:rPr>
            </w:pPr>
            <w:r w:rsidRPr="00154588">
              <w:rPr>
                <w:bCs/>
                <w:sz w:val="20"/>
                <w:szCs w:val="20"/>
              </w:rPr>
              <w:t>Decizia comună privind obstacolele din calea posibilității de soluționare, cauzate de o situație menționată la articolul 17 alineatul (3) al doilea paragraf, se adoptă în termen de două săptămâni de la data la care întreprinderea-mamă din Uniune prezintă eventuale observații în conformitate cu alineatul (3) de la prezentul articol.</w:t>
            </w:r>
          </w:p>
          <w:p w14:paraId="6B44A31B" w14:textId="77777777" w:rsidR="006A2A6A" w:rsidRPr="00154588" w:rsidRDefault="006A2A6A" w:rsidP="008C12B4">
            <w:pPr>
              <w:jc w:val="both"/>
              <w:rPr>
                <w:bCs/>
                <w:sz w:val="20"/>
                <w:szCs w:val="20"/>
              </w:rPr>
            </w:pPr>
          </w:p>
          <w:p w14:paraId="43323706" w14:textId="77777777" w:rsidR="006A2A6A" w:rsidRPr="00154588" w:rsidRDefault="006A2A6A" w:rsidP="008C12B4">
            <w:pPr>
              <w:jc w:val="both"/>
              <w:rPr>
                <w:bCs/>
                <w:sz w:val="20"/>
                <w:szCs w:val="20"/>
              </w:rPr>
            </w:pPr>
            <w:r w:rsidRPr="00154588">
              <w:rPr>
                <w:bCs/>
                <w:sz w:val="20"/>
                <w:szCs w:val="20"/>
              </w:rPr>
              <w:t>Decizia comună este motivată și este prezentată într-un document transmis întreprinderii-mamă din Uniune de către autoritatea de rezoluție a grupului.</w:t>
            </w:r>
          </w:p>
          <w:p w14:paraId="7875B087" w14:textId="77777777" w:rsidR="006A2A6A" w:rsidRPr="00154588" w:rsidRDefault="006A2A6A" w:rsidP="008C12B4">
            <w:pPr>
              <w:jc w:val="both"/>
              <w:rPr>
                <w:bCs/>
                <w:sz w:val="20"/>
                <w:szCs w:val="20"/>
              </w:rPr>
            </w:pPr>
          </w:p>
          <w:p w14:paraId="56021298" w14:textId="77777777" w:rsidR="006A2A6A" w:rsidRPr="00154588" w:rsidRDefault="006A2A6A" w:rsidP="008C12B4">
            <w:pPr>
              <w:jc w:val="both"/>
              <w:rPr>
                <w:bCs/>
                <w:sz w:val="20"/>
                <w:szCs w:val="20"/>
              </w:rPr>
            </w:pPr>
          </w:p>
          <w:p w14:paraId="0462E1DA" w14:textId="77777777" w:rsidR="006A2A6A" w:rsidRPr="00154588" w:rsidRDefault="006A2A6A" w:rsidP="008C12B4">
            <w:pPr>
              <w:jc w:val="both"/>
              <w:rPr>
                <w:bCs/>
                <w:sz w:val="20"/>
                <w:szCs w:val="20"/>
              </w:rPr>
            </w:pPr>
            <w:r w:rsidRPr="00154588">
              <w:rPr>
                <w:bCs/>
                <w:sz w:val="20"/>
                <w:szCs w:val="20"/>
              </w:rPr>
              <w:t>ABE poate să acorde asistență autorităților de rezoluție, la cererea unei autorități de rezoluție, în ceea ce privește adoptarea unei decizii comune în conformitate cu articolul 31 al doilea paragraf litera (c) din Regulamentul (UE) nr. 1093/2010.</w:t>
            </w:r>
          </w:p>
        </w:tc>
        <w:tc>
          <w:tcPr>
            <w:tcW w:w="4819" w:type="dxa"/>
          </w:tcPr>
          <w:p w14:paraId="5B68FF37" w14:textId="1C084ECA" w:rsidR="006A2A6A" w:rsidRPr="00154588" w:rsidRDefault="006A2A6A" w:rsidP="008C12B4">
            <w:pPr>
              <w:ind w:firstLine="709"/>
              <w:jc w:val="both"/>
              <w:rPr>
                <w:sz w:val="20"/>
                <w:szCs w:val="20"/>
                <w:vertAlign w:val="superscript"/>
              </w:rPr>
            </w:pPr>
            <w:r w:rsidRPr="00154588">
              <w:rPr>
                <w:b/>
                <w:bCs/>
                <w:sz w:val="20"/>
                <w:szCs w:val="20"/>
              </w:rPr>
              <w:t>Articolul 41</w:t>
            </w:r>
            <w:r w:rsidRPr="00154588">
              <w:rPr>
                <w:b/>
                <w:bCs/>
                <w:sz w:val="20"/>
                <w:szCs w:val="20"/>
                <w:vertAlign w:val="superscript"/>
              </w:rPr>
              <w:t>5</w:t>
            </w:r>
            <w:r w:rsidRPr="00154588">
              <w:rPr>
                <w:sz w:val="20"/>
                <w:szCs w:val="20"/>
                <w:vertAlign w:val="superscript"/>
              </w:rPr>
              <w:t xml:space="preserve"> </w:t>
            </w:r>
            <w:r w:rsidRPr="00154588">
              <w:rPr>
                <w:sz w:val="20"/>
                <w:szCs w:val="20"/>
              </w:rPr>
              <w:t>- (1) Banca Națională a Moldovei, în calitate de autoritate de rezolu</w:t>
            </w:r>
            <w:r w:rsidRPr="00154588">
              <w:rPr>
                <w:sz w:val="20"/>
                <w:szCs w:val="20"/>
                <w:lang w:val="ro-MD"/>
              </w:rPr>
              <w:t>ție la nivel de grup  și autoritățile de rezoluție ale filialelor iau</w:t>
            </w:r>
            <w:r w:rsidRPr="00154588">
              <w:rPr>
                <w:sz w:val="20"/>
                <w:szCs w:val="20"/>
              </w:rPr>
              <w:t xml:space="preserve"> decizia comună în termen de patru luni de la </w:t>
            </w:r>
            <w:r w:rsidR="00341535" w:rsidRPr="00154588">
              <w:rPr>
                <w:sz w:val="20"/>
                <w:szCs w:val="20"/>
              </w:rPr>
              <w:t xml:space="preserve">data prezentării unor eventuale </w:t>
            </w:r>
            <w:r w:rsidRPr="00154588">
              <w:rPr>
                <w:sz w:val="20"/>
                <w:szCs w:val="20"/>
              </w:rPr>
              <w:t>observații de către întreprinderea-mamă din Uniunea Europeană. În cazul în care întreprinderea-mamă din Uniunea Europeană nu a prezentat observații, decizia comună se adoptă în termen de o lună de la data expirării perioadei de patru luni prevăzute la art.41</w:t>
            </w:r>
            <w:r w:rsidRPr="00154588">
              <w:rPr>
                <w:sz w:val="20"/>
                <w:szCs w:val="20"/>
                <w:vertAlign w:val="superscript"/>
              </w:rPr>
              <w:t>3</w:t>
            </w:r>
            <w:r w:rsidRPr="00154588">
              <w:rPr>
                <w:sz w:val="20"/>
                <w:szCs w:val="20"/>
              </w:rPr>
              <w:t>, alin.(1).</w:t>
            </w:r>
          </w:p>
          <w:p w14:paraId="6613BC04" w14:textId="77777777" w:rsidR="006A2A6A" w:rsidRPr="00154588" w:rsidRDefault="006A2A6A" w:rsidP="008C12B4">
            <w:pPr>
              <w:ind w:firstLine="709"/>
              <w:jc w:val="both"/>
              <w:rPr>
                <w:sz w:val="20"/>
                <w:szCs w:val="20"/>
              </w:rPr>
            </w:pPr>
            <w:r w:rsidRPr="00154588">
              <w:rPr>
                <w:sz w:val="20"/>
                <w:szCs w:val="20"/>
              </w:rPr>
              <w:t>(2) Decizia comună privind obstacolele din calea posibilității de soluționare, cauzate de o situație prevăzută  la art.37, alin.(4) se adoptă în termen de două săptămâni de la data la care întreprinderea-mamă din Uniunea Europeană prezintă eventuale observații în conformitate cu prevederile art.41</w:t>
            </w:r>
            <w:r w:rsidRPr="00154588">
              <w:rPr>
                <w:sz w:val="20"/>
                <w:szCs w:val="20"/>
                <w:vertAlign w:val="superscript"/>
              </w:rPr>
              <w:t>3</w:t>
            </w:r>
            <w:r w:rsidRPr="00154588">
              <w:rPr>
                <w:sz w:val="20"/>
                <w:szCs w:val="20"/>
              </w:rPr>
              <w:t>.</w:t>
            </w:r>
          </w:p>
          <w:p w14:paraId="1E20D9E5" w14:textId="337DFF86" w:rsidR="006A2A6A" w:rsidRPr="00154588" w:rsidRDefault="006A2A6A" w:rsidP="008C12B4">
            <w:pPr>
              <w:ind w:firstLine="709"/>
              <w:jc w:val="both"/>
              <w:rPr>
                <w:sz w:val="20"/>
                <w:szCs w:val="20"/>
              </w:rPr>
            </w:pPr>
            <w:r w:rsidRPr="00154588">
              <w:rPr>
                <w:sz w:val="20"/>
                <w:szCs w:val="20"/>
              </w:rPr>
              <w:t xml:space="preserve">(3) Decizia comună </w:t>
            </w:r>
            <w:r w:rsidR="00341535" w:rsidRPr="00154588">
              <w:rPr>
                <w:sz w:val="20"/>
                <w:szCs w:val="20"/>
              </w:rPr>
              <w:t>este</w:t>
            </w:r>
            <w:r w:rsidRPr="00154588">
              <w:rPr>
                <w:sz w:val="20"/>
                <w:szCs w:val="20"/>
              </w:rPr>
              <w:t xml:space="preserve"> motivată și </w:t>
            </w:r>
            <w:r w:rsidR="00341535" w:rsidRPr="00154588">
              <w:rPr>
                <w:sz w:val="20"/>
                <w:szCs w:val="20"/>
              </w:rPr>
              <w:t xml:space="preserve">se consemnează </w:t>
            </w:r>
            <w:r w:rsidRPr="00154588">
              <w:rPr>
                <w:sz w:val="20"/>
                <w:szCs w:val="20"/>
              </w:rPr>
              <w:t>într-un document care va fi transmis de Banca Națională a Moldovei, în calitate de autoritate de rezoluție la nivel de grup, către întreprinderea-mamă din Uniunea Europeană.</w:t>
            </w:r>
          </w:p>
          <w:p w14:paraId="6D53E401" w14:textId="03C0787F" w:rsidR="006A2A6A" w:rsidRPr="00154588" w:rsidRDefault="006A2A6A" w:rsidP="008C12B4">
            <w:pPr>
              <w:ind w:firstLine="709"/>
              <w:jc w:val="both"/>
              <w:rPr>
                <w:sz w:val="20"/>
                <w:szCs w:val="20"/>
              </w:rPr>
            </w:pPr>
            <w:r w:rsidRPr="00154588">
              <w:rPr>
                <w:sz w:val="20"/>
                <w:szCs w:val="20"/>
              </w:rPr>
              <w:t xml:space="preserve">(4) Banca Națională a Moldovei, în calitate de autoritate de rezoluție la nivel de grup, poate solicita asistența Autorității Bancare Europene asistență </w:t>
            </w:r>
            <w:r w:rsidR="00341535" w:rsidRPr="00154588">
              <w:rPr>
                <w:sz w:val="20"/>
                <w:szCs w:val="20"/>
              </w:rPr>
              <w:t>în vederea adoptării unei decizii comune</w:t>
            </w:r>
            <w:r w:rsidRPr="00154588">
              <w:rPr>
                <w:sz w:val="20"/>
                <w:szCs w:val="20"/>
              </w:rPr>
              <w:t xml:space="preserve"> în conformitate cu art.31, lit.(c) din Regulamentul (UE) nr. 1093/2010.</w:t>
            </w:r>
          </w:p>
          <w:p w14:paraId="607F148D" w14:textId="77777777" w:rsidR="006A2A6A" w:rsidRPr="00154588" w:rsidRDefault="006A2A6A" w:rsidP="008C12B4">
            <w:pPr>
              <w:jc w:val="both"/>
              <w:rPr>
                <w:bCs/>
                <w:sz w:val="20"/>
                <w:szCs w:val="20"/>
              </w:rPr>
            </w:pPr>
          </w:p>
        </w:tc>
        <w:tc>
          <w:tcPr>
            <w:tcW w:w="2552" w:type="dxa"/>
          </w:tcPr>
          <w:p w14:paraId="06445372" w14:textId="262BCD0E" w:rsidR="006A2A6A" w:rsidRPr="00154588" w:rsidRDefault="006A2A6A" w:rsidP="008C12B4">
            <w:pPr>
              <w:jc w:val="both"/>
              <w:rPr>
                <w:bCs/>
                <w:sz w:val="20"/>
                <w:szCs w:val="20"/>
              </w:rPr>
            </w:pPr>
            <w:r w:rsidRPr="00154588">
              <w:rPr>
                <w:bCs/>
                <w:sz w:val="20"/>
                <w:szCs w:val="20"/>
              </w:rPr>
              <w:t>Compatibil</w:t>
            </w:r>
          </w:p>
        </w:tc>
        <w:tc>
          <w:tcPr>
            <w:tcW w:w="3118" w:type="dxa"/>
          </w:tcPr>
          <w:p w14:paraId="0641F750" w14:textId="77777777" w:rsidR="006A2A6A" w:rsidRPr="00154588" w:rsidRDefault="006A2A6A" w:rsidP="008C12B4">
            <w:pPr>
              <w:jc w:val="both"/>
              <w:rPr>
                <w:bCs/>
                <w:sz w:val="20"/>
                <w:szCs w:val="20"/>
              </w:rPr>
            </w:pPr>
          </w:p>
        </w:tc>
      </w:tr>
      <w:tr w:rsidR="006A2A6A" w:rsidRPr="00154588" w14:paraId="456EE93F" w14:textId="77777777" w:rsidTr="00D15C1B">
        <w:trPr>
          <w:jc w:val="center"/>
        </w:trPr>
        <w:tc>
          <w:tcPr>
            <w:tcW w:w="4957" w:type="dxa"/>
            <w:gridSpan w:val="2"/>
          </w:tcPr>
          <w:p w14:paraId="2681A9C2" w14:textId="77777777" w:rsidR="006A2A6A" w:rsidRPr="00154588" w:rsidRDefault="006A2A6A" w:rsidP="008C12B4">
            <w:pPr>
              <w:jc w:val="both"/>
              <w:rPr>
                <w:bCs/>
                <w:sz w:val="20"/>
                <w:szCs w:val="20"/>
              </w:rPr>
            </w:pPr>
            <w:r w:rsidRPr="00154588">
              <w:rPr>
                <w:bCs/>
                <w:sz w:val="20"/>
                <w:szCs w:val="20"/>
              </w:rPr>
              <w:lastRenderedPageBreak/>
              <w:t>(6)   În absența unei decizii comune în termenul relevant menționat la alineatul (5), autoritatea de rezoluție a grupului ia propria decizie privind măsurile adecvate care trebuie luate în conformitate cu articolul 17 alineatul (4) la nivelul grupului.</w:t>
            </w:r>
          </w:p>
          <w:p w14:paraId="733A5B4A" w14:textId="77777777" w:rsidR="006A2A6A" w:rsidRPr="00154588" w:rsidRDefault="006A2A6A" w:rsidP="008C12B4">
            <w:pPr>
              <w:jc w:val="both"/>
              <w:rPr>
                <w:bCs/>
                <w:sz w:val="20"/>
                <w:szCs w:val="20"/>
              </w:rPr>
            </w:pPr>
          </w:p>
          <w:p w14:paraId="575A2DE0" w14:textId="543AEA46" w:rsidR="006A2A6A" w:rsidRPr="00154588" w:rsidRDefault="006A2A6A" w:rsidP="008C12B4">
            <w:pPr>
              <w:jc w:val="both"/>
              <w:rPr>
                <w:bCs/>
                <w:sz w:val="20"/>
                <w:szCs w:val="20"/>
              </w:rPr>
            </w:pPr>
            <w:r w:rsidRPr="00154588">
              <w:rPr>
                <w:bCs/>
                <w:sz w:val="20"/>
                <w:szCs w:val="20"/>
              </w:rPr>
              <w:t>Decizia este temeinic motivată și ține seama de avizele și rezervele exprimate de alte autorități de rezoluție. Autoritatea de rezoluție a grupului transmite decizia întreprinderii-mamă din Uniune.</w:t>
            </w:r>
          </w:p>
          <w:p w14:paraId="399EBF45" w14:textId="77777777" w:rsidR="006A2A6A" w:rsidRPr="00154588" w:rsidRDefault="006A2A6A" w:rsidP="008C12B4">
            <w:pPr>
              <w:jc w:val="both"/>
              <w:rPr>
                <w:bCs/>
                <w:sz w:val="20"/>
                <w:szCs w:val="20"/>
              </w:rPr>
            </w:pPr>
          </w:p>
          <w:p w14:paraId="7774C02B" w14:textId="77777777" w:rsidR="006A2A6A" w:rsidRPr="00154588" w:rsidRDefault="006A2A6A" w:rsidP="008C12B4">
            <w:pPr>
              <w:jc w:val="both"/>
              <w:rPr>
                <w:bCs/>
                <w:sz w:val="20"/>
                <w:szCs w:val="20"/>
              </w:rPr>
            </w:pPr>
          </w:p>
          <w:p w14:paraId="113F13E3" w14:textId="77777777" w:rsidR="006A2A6A" w:rsidRPr="00154588" w:rsidRDefault="006A2A6A" w:rsidP="008C12B4">
            <w:pPr>
              <w:jc w:val="both"/>
              <w:rPr>
                <w:bCs/>
                <w:sz w:val="20"/>
                <w:szCs w:val="20"/>
              </w:rPr>
            </w:pPr>
          </w:p>
          <w:p w14:paraId="2207227A" w14:textId="1A1C8C31" w:rsidR="006A2A6A" w:rsidRPr="00154588" w:rsidRDefault="006A2A6A" w:rsidP="008C12B4">
            <w:pPr>
              <w:jc w:val="both"/>
              <w:rPr>
                <w:bCs/>
                <w:sz w:val="20"/>
                <w:szCs w:val="20"/>
              </w:rPr>
            </w:pPr>
            <w:r w:rsidRPr="00154588">
              <w:rPr>
                <w:bCs/>
                <w:sz w:val="20"/>
                <w:szCs w:val="20"/>
              </w:rPr>
              <w:t>Dacă, la încheierea termenului relevant menționat la alineatul (5) de la prezentul articol, una dintre autoritățile de rezoluție aduce o problemă menționată la alineatul (9) din prezentul articol în atenția ABE, în conformitate cu articolul 19 din Regulamentul (UE) nr. 1093/2010, autoritatea de rezoluție a grupului își amână decizia, așteaptă luarea unei decizii de către ABE în conformitate cu articolul 19 alineatul (3) din regulamentul menționat și adoptă propria decizie în conformitate cu decizia ABE. Termenul relevant menționat la alineatul (5) de la prezentul articol se consideră perioadă de conciliere în sensul Regulamentului (UE) nr. 1093/2010. ABE adoptă propria decizie în termen de o lună. Problema nu poate fi adusă în atenția ABE după expirarea termenului relevant menționat la alineatul (5) de la prezentul articol sau după ce s-a ajuns la o decizie comună. În absența unei decizii a ABE, se aplică decizia autorității de rezoluție a grupului.</w:t>
            </w:r>
          </w:p>
        </w:tc>
        <w:tc>
          <w:tcPr>
            <w:tcW w:w="4819" w:type="dxa"/>
          </w:tcPr>
          <w:p w14:paraId="48AE3BE3" w14:textId="09DB5830" w:rsidR="006A2A6A" w:rsidRPr="00154588" w:rsidRDefault="006A2A6A" w:rsidP="008C12B4">
            <w:pPr>
              <w:ind w:firstLine="709"/>
              <w:jc w:val="both"/>
              <w:rPr>
                <w:sz w:val="20"/>
                <w:szCs w:val="20"/>
                <w:vertAlign w:val="superscript"/>
              </w:rPr>
            </w:pPr>
            <w:r w:rsidRPr="00154588">
              <w:rPr>
                <w:b/>
                <w:bCs/>
                <w:sz w:val="20"/>
                <w:szCs w:val="20"/>
              </w:rPr>
              <w:t>Articolul 41</w:t>
            </w:r>
            <w:r w:rsidRPr="00154588">
              <w:rPr>
                <w:b/>
                <w:bCs/>
                <w:sz w:val="20"/>
                <w:szCs w:val="20"/>
                <w:vertAlign w:val="superscript"/>
              </w:rPr>
              <w:t>6</w:t>
            </w:r>
            <w:r w:rsidRPr="00154588">
              <w:rPr>
                <w:b/>
                <w:bCs/>
                <w:sz w:val="20"/>
                <w:szCs w:val="20"/>
              </w:rPr>
              <w:t>.</w:t>
            </w:r>
            <w:r w:rsidRPr="00154588">
              <w:rPr>
                <w:sz w:val="20"/>
                <w:szCs w:val="20"/>
                <w:vertAlign w:val="superscript"/>
              </w:rPr>
              <w:t xml:space="preserve"> </w:t>
            </w:r>
            <w:r w:rsidRPr="00154588">
              <w:rPr>
                <w:sz w:val="20"/>
                <w:szCs w:val="20"/>
              </w:rPr>
              <w:t>- (1) În absența unei decizii comune, în termenul prevăzut la art. 41</w:t>
            </w:r>
            <w:r w:rsidRPr="00154588">
              <w:rPr>
                <w:sz w:val="20"/>
                <w:szCs w:val="20"/>
                <w:vertAlign w:val="superscript"/>
              </w:rPr>
              <w:t>5</w:t>
            </w:r>
            <w:r w:rsidRPr="00154588">
              <w:rPr>
                <w:sz w:val="20"/>
                <w:szCs w:val="20"/>
              </w:rPr>
              <w:t xml:space="preserve">, Banca Națională a Moldovei, în calitate de autoritate de rezoluție la nivel de grup, adoptă propria decizie cu privire la măsurile </w:t>
            </w:r>
            <w:r w:rsidR="00341535" w:rsidRPr="00154588">
              <w:rPr>
                <w:sz w:val="20"/>
                <w:szCs w:val="20"/>
              </w:rPr>
              <w:t xml:space="preserve">adecvate </w:t>
            </w:r>
            <w:r w:rsidRPr="00154588">
              <w:rPr>
                <w:sz w:val="20"/>
                <w:szCs w:val="20"/>
              </w:rPr>
              <w:t>care trebuie luate potrivit dispozițiilor art.38 la nivelul grupului.</w:t>
            </w:r>
          </w:p>
          <w:p w14:paraId="5F3C45A9" w14:textId="2DFA9078" w:rsidR="006A2A6A" w:rsidRPr="00154588" w:rsidRDefault="006A2A6A" w:rsidP="008C12B4">
            <w:pPr>
              <w:ind w:firstLine="709"/>
              <w:jc w:val="both"/>
              <w:rPr>
                <w:sz w:val="20"/>
                <w:szCs w:val="20"/>
              </w:rPr>
            </w:pPr>
            <w:r w:rsidRPr="00154588">
              <w:rPr>
                <w:sz w:val="20"/>
                <w:szCs w:val="20"/>
              </w:rPr>
              <w:t xml:space="preserve">(2) Decizia </w:t>
            </w:r>
            <w:r w:rsidR="00341535" w:rsidRPr="00154588">
              <w:rPr>
                <w:sz w:val="20"/>
                <w:szCs w:val="20"/>
              </w:rPr>
              <w:t>este</w:t>
            </w:r>
            <w:r w:rsidRPr="00154588">
              <w:rPr>
                <w:sz w:val="20"/>
                <w:szCs w:val="20"/>
              </w:rPr>
              <w:t xml:space="preserve"> temeinic motivată și ia în considerare opiniile și rezervele celorlalte autorități de rezoluție. Decizia </w:t>
            </w:r>
            <w:r w:rsidR="00341535" w:rsidRPr="00154588">
              <w:rPr>
                <w:sz w:val="20"/>
                <w:szCs w:val="20"/>
              </w:rPr>
              <w:t xml:space="preserve">se </w:t>
            </w:r>
            <w:r w:rsidRPr="00154588">
              <w:rPr>
                <w:sz w:val="20"/>
                <w:szCs w:val="20"/>
              </w:rPr>
              <w:t>transmi</w:t>
            </w:r>
            <w:r w:rsidR="00341535" w:rsidRPr="00154588">
              <w:rPr>
                <w:sz w:val="20"/>
                <w:szCs w:val="20"/>
              </w:rPr>
              <w:t>te întreprinderii</w:t>
            </w:r>
            <w:r w:rsidR="00AE49BE" w:rsidRPr="00154588">
              <w:rPr>
                <w:sz w:val="20"/>
                <w:szCs w:val="20"/>
              </w:rPr>
              <w:t>-</w:t>
            </w:r>
            <w:r w:rsidR="00341535" w:rsidRPr="00154588">
              <w:rPr>
                <w:sz w:val="20"/>
                <w:szCs w:val="20"/>
              </w:rPr>
              <w:t>mamă din Uniunea Europeană</w:t>
            </w:r>
            <w:r w:rsidRPr="00154588">
              <w:rPr>
                <w:sz w:val="20"/>
                <w:szCs w:val="20"/>
              </w:rPr>
              <w:t xml:space="preserve"> de către Banca Națională a Moldovei, în calitate de autoritate de rezoluție la nivel de grup</w:t>
            </w:r>
            <w:r w:rsidR="00341535" w:rsidRPr="00154588">
              <w:rPr>
                <w:sz w:val="20"/>
                <w:szCs w:val="20"/>
              </w:rPr>
              <w:t>.</w:t>
            </w:r>
          </w:p>
          <w:p w14:paraId="26494833" w14:textId="0ABE35C1" w:rsidR="006A2A6A" w:rsidRPr="00154588" w:rsidRDefault="006A2A6A" w:rsidP="008C12B4">
            <w:pPr>
              <w:ind w:firstLine="709"/>
              <w:jc w:val="both"/>
              <w:rPr>
                <w:sz w:val="20"/>
                <w:szCs w:val="20"/>
              </w:rPr>
            </w:pPr>
            <w:r w:rsidRPr="00154588">
              <w:rPr>
                <w:sz w:val="20"/>
                <w:szCs w:val="20"/>
              </w:rPr>
              <w:t xml:space="preserve">(3) Dacă, </w:t>
            </w:r>
            <w:r w:rsidR="00341535" w:rsidRPr="00154588">
              <w:rPr>
                <w:sz w:val="20"/>
                <w:szCs w:val="20"/>
              </w:rPr>
              <w:t xml:space="preserve">la expirarea </w:t>
            </w:r>
            <w:r w:rsidRPr="00154588">
              <w:rPr>
                <w:sz w:val="20"/>
                <w:szCs w:val="20"/>
              </w:rPr>
              <w:t>termenul</w:t>
            </w:r>
            <w:r w:rsidR="00341535" w:rsidRPr="00154588">
              <w:rPr>
                <w:sz w:val="20"/>
                <w:szCs w:val="20"/>
              </w:rPr>
              <w:t>ui</w:t>
            </w:r>
            <w:r w:rsidRPr="00154588">
              <w:rPr>
                <w:sz w:val="20"/>
                <w:szCs w:val="20"/>
              </w:rPr>
              <w:t xml:space="preserve"> prevăzut la art.41</w:t>
            </w:r>
            <w:r w:rsidRPr="00154588">
              <w:rPr>
                <w:sz w:val="20"/>
                <w:szCs w:val="20"/>
                <w:vertAlign w:val="superscript"/>
              </w:rPr>
              <w:t>5</w:t>
            </w:r>
            <w:r w:rsidRPr="00154588">
              <w:rPr>
                <w:sz w:val="20"/>
                <w:szCs w:val="20"/>
              </w:rPr>
              <w:t xml:space="preserve">, o autoritate de </w:t>
            </w:r>
            <w:r w:rsidR="00482992" w:rsidRPr="00154588">
              <w:rPr>
                <w:sz w:val="20"/>
                <w:szCs w:val="20"/>
              </w:rPr>
              <w:t xml:space="preserve">rezoluție </w:t>
            </w:r>
            <w:r w:rsidR="00341535" w:rsidRPr="00154588">
              <w:rPr>
                <w:sz w:val="20"/>
                <w:szCs w:val="20"/>
              </w:rPr>
              <w:t>sesizează Autoritatea Bancară Europeană în condițiile art. 19 din Regulamentul (UE) nr.1093/2010 cu privire la aspectele prevăzute la art</w:t>
            </w:r>
            <w:r w:rsidR="00C517E5" w:rsidRPr="00154588">
              <w:rPr>
                <w:sz w:val="20"/>
                <w:szCs w:val="20"/>
              </w:rPr>
              <w:t>.</w:t>
            </w:r>
            <w:r w:rsidR="00341535" w:rsidRPr="00154588">
              <w:rPr>
                <w:sz w:val="20"/>
                <w:szCs w:val="20"/>
              </w:rPr>
              <w:t>39 lit.g), h³) sau k)</w:t>
            </w:r>
            <w:r w:rsidRPr="00154588">
              <w:rPr>
                <w:sz w:val="20"/>
                <w:szCs w:val="20"/>
              </w:rPr>
              <w:t>, Banca Națională a Moldovei, în calitate de autoritate de  rezoluție la nivel de grup, își amână propria decizie și așteaptă decizia pe care Autoritatea Bancară Europeană  o poate lua în conformitate cu art.19 alin.(3) din regulamentul respectiv.</w:t>
            </w:r>
          </w:p>
          <w:p w14:paraId="6463A444" w14:textId="11209DD4" w:rsidR="006A2A6A" w:rsidRPr="00154588" w:rsidRDefault="006A2A6A" w:rsidP="008C12B4">
            <w:pPr>
              <w:ind w:firstLine="709"/>
              <w:jc w:val="both"/>
              <w:rPr>
                <w:sz w:val="20"/>
                <w:szCs w:val="20"/>
              </w:rPr>
            </w:pPr>
            <w:r w:rsidRPr="00154588">
              <w:rPr>
                <w:sz w:val="20"/>
                <w:szCs w:val="20"/>
              </w:rPr>
              <w:t>(4) Termenul prevăzut la art.41</w:t>
            </w:r>
            <w:r w:rsidRPr="00154588">
              <w:rPr>
                <w:sz w:val="20"/>
                <w:szCs w:val="20"/>
                <w:vertAlign w:val="superscript"/>
              </w:rPr>
              <w:t>5</w:t>
            </w:r>
            <w:r w:rsidRPr="00154588">
              <w:rPr>
                <w:sz w:val="20"/>
                <w:szCs w:val="20"/>
              </w:rPr>
              <w:t xml:space="preserve"> </w:t>
            </w:r>
            <w:r w:rsidR="00341535" w:rsidRPr="00154588">
              <w:rPr>
                <w:sz w:val="20"/>
                <w:szCs w:val="20"/>
              </w:rPr>
              <w:t>constituie</w:t>
            </w:r>
            <w:r w:rsidRPr="00154588">
              <w:rPr>
                <w:sz w:val="20"/>
                <w:szCs w:val="20"/>
              </w:rPr>
              <w:t xml:space="preserve"> perioadă de conciliere în sensul art.19 din Regulamentului (UE) nr.1093/2010. </w:t>
            </w:r>
          </w:p>
          <w:p w14:paraId="5DA1B971" w14:textId="77777777" w:rsidR="006A2A6A" w:rsidRPr="00154588" w:rsidRDefault="006A2A6A" w:rsidP="008C12B4">
            <w:pPr>
              <w:ind w:firstLine="709"/>
              <w:jc w:val="both"/>
              <w:rPr>
                <w:sz w:val="20"/>
                <w:szCs w:val="20"/>
              </w:rPr>
            </w:pPr>
            <w:r w:rsidRPr="00154588">
              <w:rPr>
                <w:sz w:val="20"/>
                <w:szCs w:val="20"/>
              </w:rPr>
              <w:t xml:space="preserve">(5) Banca Națională a Moldovei, în calitate de autoritate de rezoluție la nivel de grup, adoptă propria decizie în conformitate cu decizia Autorității Bancare Europene exprimată în termen de o lună. </w:t>
            </w:r>
          </w:p>
          <w:p w14:paraId="2053FDBE" w14:textId="65B9C450" w:rsidR="006A2A6A" w:rsidRPr="00154588" w:rsidRDefault="006A2A6A" w:rsidP="008C12B4">
            <w:pPr>
              <w:ind w:firstLine="709"/>
              <w:jc w:val="both"/>
              <w:rPr>
                <w:sz w:val="20"/>
                <w:szCs w:val="20"/>
              </w:rPr>
            </w:pPr>
            <w:r w:rsidRPr="00154588">
              <w:rPr>
                <w:sz w:val="20"/>
                <w:szCs w:val="20"/>
              </w:rPr>
              <w:t xml:space="preserve">(6) </w:t>
            </w:r>
            <w:r w:rsidR="00341535" w:rsidRPr="00154588">
              <w:rPr>
                <w:sz w:val="20"/>
                <w:szCs w:val="20"/>
              </w:rPr>
              <w:t>Problema nu poate fi adusă în atenția Autorității Bancare Europene după expirarea termenului prevăzut la art. 41</w:t>
            </w:r>
            <w:r w:rsidR="00341535" w:rsidRPr="00154588">
              <w:rPr>
                <w:sz w:val="20"/>
                <w:szCs w:val="20"/>
                <w:vertAlign w:val="superscript"/>
              </w:rPr>
              <w:t>5</w:t>
            </w:r>
            <w:r w:rsidR="00341535" w:rsidRPr="00154588">
              <w:rPr>
                <w:sz w:val="20"/>
                <w:szCs w:val="20"/>
              </w:rPr>
              <w:t xml:space="preserve"> sau după adoptarea unei decizii comune. </w:t>
            </w:r>
            <w:r w:rsidRPr="00154588">
              <w:rPr>
                <w:sz w:val="20"/>
                <w:szCs w:val="20"/>
              </w:rPr>
              <w:t>În absența unei decizii a Autorității Bancare Europene, se aplică decizia Băncii Naționale a Moldovei, în calitate de autoritate de rezoluție la nivel de grup.</w:t>
            </w:r>
          </w:p>
          <w:p w14:paraId="691D27E0" w14:textId="77777777" w:rsidR="006A2A6A" w:rsidRPr="00154588" w:rsidRDefault="006A2A6A" w:rsidP="008C12B4">
            <w:pPr>
              <w:jc w:val="both"/>
              <w:rPr>
                <w:bCs/>
                <w:sz w:val="20"/>
                <w:szCs w:val="20"/>
              </w:rPr>
            </w:pPr>
          </w:p>
        </w:tc>
        <w:tc>
          <w:tcPr>
            <w:tcW w:w="2552" w:type="dxa"/>
          </w:tcPr>
          <w:p w14:paraId="07BD23F3" w14:textId="79665644" w:rsidR="006A2A6A" w:rsidRPr="00154588" w:rsidRDefault="006A2A6A" w:rsidP="008C12B4">
            <w:pPr>
              <w:jc w:val="both"/>
              <w:rPr>
                <w:bCs/>
                <w:sz w:val="20"/>
                <w:szCs w:val="20"/>
              </w:rPr>
            </w:pPr>
            <w:r w:rsidRPr="00154588">
              <w:rPr>
                <w:bCs/>
                <w:sz w:val="20"/>
                <w:szCs w:val="20"/>
              </w:rPr>
              <w:t>Compatibil</w:t>
            </w:r>
          </w:p>
        </w:tc>
        <w:tc>
          <w:tcPr>
            <w:tcW w:w="3118" w:type="dxa"/>
          </w:tcPr>
          <w:p w14:paraId="7E18C46A" w14:textId="77777777" w:rsidR="006A2A6A" w:rsidRPr="00154588" w:rsidRDefault="006A2A6A" w:rsidP="008C12B4">
            <w:pPr>
              <w:jc w:val="both"/>
              <w:rPr>
                <w:bCs/>
                <w:sz w:val="20"/>
                <w:szCs w:val="20"/>
              </w:rPr>
            </w:pPr>
          </w:p>
        </w:tc>
      </w:tr>
      <w:tr w:rsidR="006A2A6A" w:rsidRPr="00154588" w14:paraId="55392C9A" w14:textId="77777777" w:rsidTr="00D15C1B">
        <w:trPr>
          <w:jc w:val="center"/>
        </w:trPr>
        <w:tc>
          <w:tcPr>
            <w:tcW w:w="4957" w:type="dxa"/>
            <w:gridSpan w:val="2"/>
          </w:tcPr>
          <w:p w14:paraId="6B77C94A" w14:textId="77777777" w:rsidR="006A2A6A" w:rsidRPr="00154588" w:rsidRDefault="006A2A6A" w:rsidP="008C12B4">
            <w:pPr>
              <w:jc w:val="both"/>
              <w:rPr>
                <w:bCs/>
                <w:sz w:val="20"/>
                <w:szCs w:val="20"/>
              </w:rPr>
            </w:pPr>
            <w:r w:rsidRPr="00154588">
              <w:rPr>
                <w:bCs/>
                <w:sz w:val="20"/>
                <w:szCs w:val="20"/>
              </w:rPr>
              <w:t>(6a)   În absența unei decizii comune în termenul relevant menționat la alineatul (5) de la prezentul articol, autoritatea de rezoluție a entității relevante de rezoluție ia propria decizie privind măsurile adecvate care trebuie luate în conformitate cu articolul 17 alineatul (4) la nivelul grupului de rezoluție.</w:t>
            </w:r>
          </w:p>
          <w:p w14:paraId="2E1089AD" w14:textId="77777777" w:rsidR="006A2A6A" w:rsidRPr="00154588" w:rsidRDefault="006A2A6A" w:rsidP="008C12B4">
            <w:pPr>
              <w:jc w:val="both"/>
              <w:rPr>
                <w:bCs/>
                <w:sz w:val="20"/>
                <w:szCs w:val="20"/>
              </w:rPr>
            </w:pPr>
          </w:p>
          <w:p w14:paraId="26247934" w14:textId="77777777" w:rsidR="006A2A6A" w:rsidRPr="00154588" w:rsidRDefault="006A2A6A" w:rsidP="008C12B4">
            <w:pPr>
              <w:jc w:val="both"/>
              <w:rPr>
                <w:bCs/>
                <w:sz w:val="20"/>
                <w:szCs w:val="20"/>
              </w:rPr>
            </w:pPr>
          </w:p>
          <w:p w14:paraId="6D72157D" w14:textId="77777777" w:rsidR="006A2A6A" w:rsidRPr="00154588" w:rsidRDefault="006A2A6A" w:rsidP="008C12B4">
            <w:pPr>
              <w:jc w:val="both"/>
              <w:rPr>
                <w:bCs/>
                <w:sz w:val="20"/>
                <w:szCs w:val="20"/>
              </w:rPr>
            </w:pPr>
            <w:r w:rsidRPr="00154588">
              <w:rPr>
                <w:bCs/>
                <w:sz w:val="20"/>
                <w:szCs w:val="20"/>
              </w:rPr>
              <w:t xml:space="preserve">Decizia menționată la primul paragraf se motivează temeinic și ține seama de opiniile și rezervele autorităților de rezoluție ale altor entități din același grup de rezoluție și </w:t>
            </w:r>
            <w:r w:rsidRPr="00154588">
              <w:rPr>
                <w:bCs/>
                <w:sz w:val="20"/>
                <w:szCs w:val="20"/>
              </w:rPr>
              <w:lastRenderedPageBreak/>
              <w:t>ale autorității de rezoluție a grupului. Autoritatea de rezoluție competentă transmite decizia entității de rezoluție.</w:t>
            </w:r>
          </w:p>
          <w:p w14:paraId="4CAF551F" w14:textId="77777777" w:rsidR="006A2A6A" w:rsidRPr="00154588" w:rsidRDefault="006A2A6A" w:rsidP="008C12B4">
            <w:pPr>
              <w:jc w:val="both"/>
              <w:rPr>
                <w:bCs/>
                <w:sz w:val="20"/>
                <w:szCs w:val="20"/>
              </w:rPr>
            </w:pPr>
          </w:p>
          <w:p w14:paraId="271B4213" w14:textId="77777777" w:rsidR="006A2A6A" w:rsidRPr="00154588" w:rsidRDefault="006A2A6A" w:rsidP="008C12B4">
            <w:pPr>
              <w:jc w:val="both"/>
              <w:rPr>
                <w:bCs/>
                <w:sz w:val="20"/>
                <w:szCs w:val="20"/>
              </w:rPr>
            </w:pPr>
          </w:p>
          <w:p w14:paraId="55615298" w14:textId="77777777" w:rsidR="006A2A6A" w:rsidRPr="00154588" w:rsidRDefault="006A2A6A" w:rsidP="008C12B4">
            <w:pPr>
              <w:jc w:val="both"/>
              <w:rPr>
                <w:bCs/>
                <w:sz w:val="20"/>
                <w:szCs w:val="20"/>
              </w:rPr>
            </w:pPr>
          </w:p>
          <w:p w14:paraId="0E4E4FDA" w14:textId="040041B4" w:rsidR="006A2A6A" w:rsidRPr="00154588" w:rsidRDefault="006A2A6A" w:rsidP="008C12B4">
            <w:pPr>
              <w:jc w:val="both"/>
              <w:rPr>
                <w:bCs/>
                <w:sz w:val="20"/>
                <w:szCs w:val="20"/>
              </w:rPr>
            </w:pPr>
            <w:r w:rsidRPr="00154588">
              <w:rPr>
                <w:bCs/>
                <w:sz w:val="20"/>
                <w:szCs w:val="20"/>
              </w:rPr>
              <w:t>Dacă, la încheierea termenului relevant menționat la alineatul (5) de la prezentul articol, una dintre autoritățile de rezoluție aduce o problemă menționată la alineatul (9) din prezentul articol în atenția ABE, în conformitate cu articolul 19 din Regulamentul (UE) nr. 1093/2010, autoritatea de rezoluție a entității de rezoluție își amână decizia, așteaptă luarea unei decizii de către ABE în conformitate cu articolul 19 alineatul (3) din regulamentul menționat și adoptă propria decizie în conformitate cu decizia ABE. Termenul relevant menționat la alineatul (5) de la prezentul articol se consideră perioadă de conciliere în sensul Regulamentului (UE) nr. 1093/2010. ABE adoptă propria decizie în termen de o lună. Problema nu poate fi adusă în atenția ABE după expirarea termenului relevant menționat la alineatul (5) de la prezentul articol sau după ce s-a ajuns la o decizie comună. În absența unei decizii a ABE, se aplică decizia autorității de rezoluție a entității de rezoluție.</w:t>
            </w:r>
          </w:p>
        </w:tc>
        <w:tc>
          <w:tcPr>
            <w:tcW w:w="4819" w:type="dxa"/>
          </w:tcPr>
          <w:p w14:paraId="46C89226" w14:textId="77777777" w:rsidR="006A2A6A" w:rsidRPr="00154588" w:rsidRDefault="006A2A6A" w:rsidP="008C12B4">
            <w:pPr>
              <w:ind w:firstLine="709"/>
              <w:jc w:val="both"/>
              <w:rPr>
                <w:sz w:val="20"/>
                <w:szCs w:val="20"/>
              </w:rPr>
            </w:pPr>
            <w:r w:rsidRPr="00154588">
              <w:rPr>
                <w:b/>
                <w:bCs/>
                <w:sz w:val="20"/>
                <w:szCs w:val="20"/>
              </w:rPr>
              <w:lastRenderedPageBreak/>
              <w:t>Articolul 41</w:t>
            </w:r>
            <w:r w:rsidRPr="00154588">
              <w:rPr>
                <w:b/>
                <w:bCs/>
                <w:sz w:val="20"/>
                <w:szCs w:val="20"/>
                <w:vertAlign w:val="superscript"/>
              </w:rPr>
              <w:t>7</w:t>
            </w:r>
            <w:r w:rsidRPr="00154588">
              <w:rPr>
                <w:b/>
                <w:bCs/>
                <w:sz w:val="20"/>
                <w:szCs w:val="20"/>
              </w:rPr>
              <w:t>.</w:t>
            </w:r>
            <w:r w:rsidRPr="00154588">
              <w:rPr>
                <w:sz w:val="20"/>
                <w:szCs w:val="20"/>
                <w:vertAlign w:val="superscript"/>
              </w:rPr>
              <w:t xml:space="preserve"> </w:t>
            </w:r>
            <w:r w:rsidRPr="00154588">
              <w:rPr>
                <w:sz w:val="20"/>
                <w:szCs w:val="20"/>
              </w:rPr>
              <w:t>– (1) În absența unei decizii comune și după expirarea termenului prevăzut  la art.41</w:t>
            </w:r>
            <w:r w:rsidRPr="00154588">
              <w:rPr>
                <w:sz w:val="20"/>
                <w:szCs w:val="20"/>
                <w:vertAlign w:val="superscript"/>
              </w:rPr>
              <w:t>5</w:t>
            </w:r>
            <w:r w:rsidRPr="00154588">
              <w:rPr>
                <w:sz w:val="20"/>
                <w:szCs w:val="20"/>
              </w:rPr>
              <w:t>, Banca Națională a Moldovei, în calitate de autoritate de rezoluție la nivel individual, ia propria decizie cu privire la măsurile adecvate care trebuie luate în conformitate cu art.38 la nivelul grupului de rezoluție.</w:t>
            </w:r>
          </w:p>
          <w:p w14:paraId="6BA133C9" w14:textId="7DBF31EC" w:rsidR="00E41C8D" w:rsidRPr="00154588" w:rsidRDefault="00E41C8D" w:rsidP="008C12B4">
            <w:pPr>
              <w:ind w:firstLine="709"/>
              <w:jc w:val="both"/>
              <w:rPr>
                <w:sz w:val="20"/>
                <w:szCs w:val="20"/>
              </w:rPr>
            </w:pPr>
            <w:r w:rsidRPr="00154588">
              <w:rPr>
                <w:sz w:val="20"/>
                <w:szCs w:val="20"/>
              </w:rPr>
              <w:t xml:space="preserve">(2) Decizia menționată la alin.(1) este temeinic motivată și  ține seama de opiniile și rezervele autorităților de rezoluție ale altor entități din același grup de rezoluție, după caz, și ale autorității de rezoluție a grupului. </w:t>
            </w:r>
          </w:p>
          <w:p w14:paraId="224C9ECE" w14:textId="19C7175A" w:rsidR="00E41C8D" w:rsidRPr="00154588" w:rsidRDefault="00E41C8D" w:rsidP="008C12B4">
            <w:pPr>
              <w:ind w:firstLine="709"/>
              <w:jc w:val="both"/>
              <w:rPr>
                <w:sz w:val="20"/>
                <w:szCs w:val="20"/>
              </w:rPr>
            </w:pPr>
            <w:r w:rsidRPr="00154588">
              <w:rPr>
                <w:sz w:val="20"/>
                <w:szCs w:val="20"/>
              </w:rPr>
              <w:lastRenderedPageBreak/>
              <w:t>(3) Decizia se transmite filialei sau entității de rezoluție a grupului de rezoluție de către Banca Națională a Moldovei, în calitate de autoritate de rezoluție la nivel individual.</w:t>
            </w:r>
          </w:p>
          <w:p w14:paraId="7075172E" w14:textId="3BC8E8B7" w:rsidR="00E41C8D" w:rsidRPr="00154588" w:rsidRDefault="00E41C8D" w:rsidP="008C12B4">
            <w:pPr>
              <w:ind w:firstLine="709"/>
              <w:jc w:val="both"/>
              <w:rPr>
                <w:sz w:val="20"/>
                <w:szCs w:val="20"/>
              </w:rPr>
            </w:pPr>
            <w:r w:rsidRPr="00154588">
              <w:rPr>
                <w:sz w:val="20"/>
                <w:szCs w:val="20"/>
              </w:rPr>
              <w:t>(4) Dacă, la expirarea termenului prevăzut la art.41</w:t>
            </w:r>
            <w:r w:rsidRPr="00154588">
              <w:rPr>
                <w:sz w:val="20"/>
                <w:szCs w:val="20"/>
                <w:vertAlign w:val="superscript"/>
              </w:rPr>
              <w:t>5</w:t>
            </w:r>
            <w:r w:rsidRPr="00154588">
              <w:rPr>
                <w:sz w:val="20"/>
                <w:szCs w:val="20"/>
              </w:rPr>
              <w:t xml:space="preserve">, o autoritate de rezoluție aduce o problemă prevăzută la art.39 litg), h³) sau k) în atenția Autorității Bancare Europene, în condițiile art. 19 din Regulamentul (UE) nr. 1093/2010, </w:t>
            </w:r>
            <w:r w:rsidRPr="00154588">
              <w:rPr>
                <w:rStyle w:val="cf11"/>
                <w:rFonts w:ascii="Times New Roman" w:hAnsi="Times New Roman" w:cs="Times New Roman"/>
                <w:sz w:val="20"/>
                <w:szCs w:val="20"/>
              </w:rPr>
              <w:t xml:space="preserve"> Banca Națională a Moldovei</w:t>
            </w:r>
            <w:r w:rsidRPr="00154588">
              <w:rPr>
                <w:sz w:val="20"/>
                <w:szCs w:val="20"/>
              </w:rPr>
              <w:t xml:space="preserve">, în calitate de autoritate de rezoluție la nivel individual își amână decizia și așteaptă decizia pe care  Autoritatea Bancară Europeană  o poate lua în conformitate cu art.19 alin.(3) din regulamentul respectiv. </w:t>
            </w:r>
          </w:p>
          <w:p w14:paraId="57073173" w14:textId="2594796B" w:rsidR="00E41C8D" w:rsidRPr="00154588" w:rsidRDefault="00E41C8D" w:rsidP="008C12B4">
            <w:pPr>
              <w:ind w:firstLine="709"/>
              <w:jc w:val="both"/>
              <w:rPr>
                <w:sz w:val="20"/>
                <w:szCs w:val="20"/>
              </w:rPr>
            </w:pPr>
            <w:r w:rsidRPr="00154588">
              <w:rPr>
                <w:sz w:val="20"/>
                <w:szCs w:val="20"/>
              </w:rPr>
              <w:t>(5)Termenulprevăzut la art.41</w:t>
            </w:r>
            <w:r w:rsidRPr="00154588">
              <w:rPr>
                <w:sz w:val="20"/>
                <w:szCs w:val="20"/>
                <w:vertAlign w:val="superscript"/>
              </w:rPr>
              <w:t>5</w:t>
            </w:r>
            <w:r w:rsidRPr="00154588">
              <w:rPr>
                <w:sz w:val="20"/>
                <w:szCs w:val="20"/>
              </w:rPr>
              <w:t xml:space="preserve"> se consideră perioadă de conciliere în sensul art.19 din Regulamentului (UE) nr.1093/2010.   </w:t>
            </w:r>
          </w:p>
          <w:p w14:paraId="4A00FECA" w14:textId="77777777" w:rsidR="00E41C8D" w:rsidRPr="00154588" w:rsidRDefault="00E41C8D" w:rsidP="008C12B4">
            <w:pPr>
              <w:ind w:firstLine="709"/>
              <w:jc w:val="both"/>
              <w:rPr>
                <w:sz w:val="20"/>
                <w:szCs w:val="20"/>
              </w:rPr>
            </w:pPr>
            <w:r w:rsidRPr="00154588">
              <w:rPr>
                <w:sz w:val="20"/>
                <w:szCs w:val="20"/>
              </w:rPr>
              <w:t>(6) Banca Națională a Moldovei, în calitate de autoritate de rezoluție la nivel individual, adoptă propria decizie în conformitate cu decizia Autorității Bancare Europene exprimată în termen de o lună.</w:t>
            </w:r>
          </w:p>
          <w:p w14:paraId="233B6872" w14:textId="32745854" w:rsidR="00E41C8D" w:rsidRPr="00154588" w:rsidRDefault="00E41C8D" w:rsidP="008C12B4">
            <w:pPr>
              <w:ind w:firstLine="567"/>
              <w:jc w:val="both"/>
              <w:rPr>
                <w:sz w:val="20"/>
                <w:szCs w:val="20"/>
              </w:rPr>
            </w:pPr>
            <w:r w:rsidRPr="00154588">
              <w:rPr>
                <w:sz w:val="20"/>
                <w:szCs w:val="20"/>
              </w:rPr>
              <w:t>(7) Problema nu poate fi adusă în atenția Autorității Bancare Europene după expirarea termenului prevăzut la art.41</w:t>
            </w:r>
            <w:r w:rsidRPr="00154588">
              <w:rPr>
                <w:sz w:val="20"/>
                <w:szCs w:val="20"/>
                <w:vertAlign w:val="superscript"/>
              </w:rPr>
              <w:t>5</w:t>
            </w:r>
            <w:r w:rsidRPr="00154588">
              <w:rPr>
                <w:sz w:val="20"/>
                <w:szCs w:val="20"/>
              </w:rPr>
              <w:t xml:space="preserve"> sau după adoptarea unei decizii comune. În absența unei decizii a Autorității Bancare Europene, se aplică decizia Băncii Național a Moldovei, în calitate de autoritate de rezoluție la nivel individual.</w:t>
            </w:r>
          </w:p>
          <w:p w14:paraId="3698004D" w14:textId="77777777" w:rsidR="006A2A6A" w:rsidRPr="00154588" w:rsidRDefault="006A2A6A" w:rsidP="008C12B4">
            <w:pPr>
              <w:jc w:val="both"/>
              <w:rPr>
                <w:bCs/>
                <w:sz w:val="20"/>
                <w:szCs w:val="20"/>
              </w:rPr>
            </w:pPr>
          </w:p>
        </w:tc>
        <w:tc>
          <w:tcPr>
            <w:tcW w:w="2552" w:type="dxa"/>
          </w:tcPr>
          <w:p w14:paraId="237A1D9F" w14:textId="66087A25"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1ECF1E2E" w14:textId="77777777" w:rsidR="006A2A6A" w:rsidRPr="00154588" w:rsidRDefault="006A2A6A" w:rsidP="008C12B4">
            <w:pPr>
              <w:jc w:val="both"/>
              <w:rPr>
                <w:bCs/>
                <w:sz w:val="20"/>
                <w:szCs w:val="20"/>
              </w:rPr>
            </w:pPr>
          </w:p>
        </w:tc>
      </w:tr>
      <w:tr w:rsidR="006A2A6A" w:rsidRPr="00154588" w14:paraId="303FAFCC" w14:textId="77777777" w:rsidTr="00D15C1B">
        <w:trPr>
          <w:jc w:val="center"/>
        </w:trPr>
        <w:tc>
          <w:tcPr>
            <w:tcW w:w="4957" w:type="dxa"/>
            <w:gridSpan w:val="2"/>
          </w:tcPr>
          <w:p w14:paraId="560AA7FD" w14:textId="3B5E255F" w:rsidR="006A2A6A" w:rsidRPr="00154588" w:rsidRDefault="006A2A6A" w:rsidP="008C12B4">
            <w:pPr>
              <w:jc w:val="both"/>
              <w:rPr>
                <w:bCs/>
                <w:sz w:val="20"/>
                <w:szCs w:val="20"/>
              </w:rPr>
            </w:pPr>
            <w:r w:rsidRPr="00154588">
              <w:rPr>
                <w:bCs/>
                <w:sz w:val="20"/>
                <w:szCs w:val="20"/>
              </w:rPr>
              <w:t>(7) În absența unei decizii comune, autoritățile de rezoluție ale filialelor care nu sunt entități de rezoluție iau propriile decizii privind măsurile adecvate care trebuie luate de filiale la nivel individual în conformitate cu articolul 17 alineatul (4).</w:t>
            </w:r>
          </w:p>
          <w:p w14:paraId="6B22EC36" w14:textId="77777777" w:rsidR="006A2A6A" w:rsidRPr="00154588" w:rsidRDefault="006A2A6A" w:rsidP="008C12B4">
            <w:pPr>
              <w:jc w:val="both"/>
              <w:rPr>
                <w:bCs/>
                <w:sz w:val="20"/>
                <w:szCs w:val="20"/>
              </w:rPr>
            </w:pPr>
          </w:p>
          <w:p w14:paraId="0E096F7D" w14:textId="77777777" w:rsidR="006A2A6A" w:rsidRPr="00154588" w:rsidRDefault="006A2A6A" w:rsidP="008C12B4">
            <w:pPr>
              <w:jc w:val="both"/>
              <w:rPr>
                <w:bCs/>
                <w:sz w:val="20"/>
                <w:szCs w:val="20"/>
              </w:rPr>
            </w:pPr>
          </w:p>
          <w:p w14:paraId="71DB708B" w14:textId="35CCD4B8" w:rsidR="006A2A6A" w:rsidRPr="00154588" w:rsidRDefault="006A2A6A" w:rsidP="008C12B4">
            <w:pPr>
              <w:jc w:val="both"/>
              <w:rPr>
                <w:bCs/>
                <w:sz w:val="20"/>
                <w:szCs w:val="20"/>
              </w:rPr>
            </w:pPr>
            <w:r w:rsidRPr="00154588">
              <w:rPr>
                <w:bCs/>
                <w:sz w:val="20"/>
                <w:szCs w:val="20"/>
              </w:rPr>
              <w:t>Decizia este temeinic motivată și ține seama de avizele și rezervele celorlalte autorități de rezoluție. Decizia se transmite filialei în cauză și entității de rezoluție din cadrul aceluiași grup de rezoluție, precum și autorității de rezoluție a respectivei entități de rezoluție și, în cazul în care este diferită de cea dintâi, autorității de rezoluție a grupului.</w:t>
            </w:r>
          </w:p>
          <w:p w14:paraId="7D283E69" w14:textId="77777777" w:rsidR="006A2A6A" w:rsidRPr="00154588" w:rsidRDefault="006A2A6A" w:rsidP="008C12B4">
            <w:pPr>
              <w:jc w:val="both"/>
              <w:rPr>
                <w:bCs/>
                <w:sz w:val="20"/>
                <w:szCs w:val="20"/>
              </w:rPr>
            </w:pPr>
          </w:p>
          <w:p w14:paraId="7252FEC9" w14:textId="77777777" w:rsidR="006A2A6A" w:rsidRPr="00154588" w:rsidRDefault="006A2A6A" w:rsidP="008C12B4">
            <w:pPr>
              <w:jc w:val="both"/>
              <w:rPr>
                <w:bCs/>
                <w:sz w:val="20"/>
                <w:szCs w:val="20"/>
              </w:rPr>
            </w:pPr>
          </w:p>
          <w:p w14:paraId="2B5AE147" w14:textId="73BC2F26" w:rsidR="006A2A6A" w:rsidRPr="00154588" w:rsidRDefault="006A2A6A" w:rsidP="008C12B4">
            <w:pPr>
              <w:jc w:val="both"/>
              <w:rPr>
                <w:bCs/>
                <w:sz w:val="20"/>
                <w:szCs w:val="20"/>
              </w:rPr>
            </w:pPr>
            <w:r w:rsidRPr="00154588">
              <w:rPr>
                <w:bCs/>
                <w:sz w:val="20"/>
                <w:szCs w:val="20"/>
              </w:rPr>
              <w:t xml:space="preserve">Dacă, la încheierea termenului relevant menționat la alineatul (5) de la prezentul articol, una dintre autoritățile de rezoluție aduce o problemă menționată la alineatul (9) din </w:t>
            </w:r>
            <w:r w:rsidRPr="00154588">
              <w:rPr>
                <w:bCs/>
                <w:sz w:val="20"/>
                <w:szCs w:val="20"/>
              </w:rPr>
              <w:lastRenderedPageBreak/>
              <w:t>prezentul articol în atenția ABE, în conformitate cu articolul 19 din Regulamentul (UE) nr. 1093/2010, autoritatea de rezoluție a filialei își amână decizia, așteaptă luarea unei decizii de către ABE în conformitate cu articolul 19 alineatul (3) din regulamentul menționat și adoptă propria decizie în conformitate cu decizia ABE. Termenul relevant menționat la alineatul (5) de la prezentul articol se consideră perioadă de conciliere în sensul Regulamentului (UE) nr. 1093/2010. ABE adoptă propria decizie în termen de o lună. Problema nu poate fi adusă în atenția ABE după expirarea termenului relevant menționat la alineatul (5) de la prezentul articol sau după ce s-a ajuns la o decizie comună. În absența unei decizii a ABE, se aplică decizia autorității de rezoluție a filialei.</w:t>
            </w:r>
          </w:p>
        </w:tc>
        <w:tc>
          <w:tcPr>
            <w:tcW w:w="4819" w:type="dxa"/>
          </w:tcPr>
          <w:p w14:paraId="70BCBC23" w14:textId="32176E4B" w:rsidR="00E41C8D" w:rsidRPr="00154588" w:rsidRDefault="006A2A6A" w:rsidP="008C12B4">
            <w:pPr>
              <w:ind w:firstLine="567"/>
              <w:jc w:val="both"/>
              <w:rPr>
                <w:sz w:val="20"/>
                <w:szCs w:val="20"/>
              </w:rPr>
            </w:pPr>
            <w:r w:rsidRPr="00154588">
              <w:rPr>
                <w:b/>
                <w:bCs/>
                <w:sz w:val="20"/>
                <w:szCs w:val="20"/>
              </w:rPr>
              <w:lastRenderedPageBreak/>
              <w:t>Articolul 41</w:t>
            </w:r>
            <w:r w:rsidRPr="00154588">
              <w:rPr>
                <w:b/>
                <w:bCs/>
                <w:sz w:val="20"/>
                <w:szCs w:val="20"/>
                <w:vertAlign w:val="superscript"/>
              </w:rPr>
              <w:t>8</w:t>
            </w:r>
            <w:r w:rsidRPr="00154588">
              <w:rPr>
                <w:b/>
                <w:bCs/>
                <w:sz w:val="20"/>
                <w:szCs w:val="20"/>
              </w:rPr>
              <w:t>.</w:t>
            </w:r>
            <w:r w:rsidRPr="00154588">
              <w:rPr>
                <w:sz w:val="20"/>
                <w:szCs w:val="20"/>
                <w:vertAlign w:val="superscript"/>
              </w:rPr>
              <w:t xml:space="preserve"> </w:t>
            </w:r>
            <w:r w:rsidRPr="00154588">
              <w:rPr>
                <w:sz w:val="20"/>
                <w:szCs w:val="20"/>
              </w:rPr>
              <w:t xml:space="preserve">– (1) În absența unei decizii comune, </w:t>
            </w:r>
            <w:r w:rsidR="00E41C8D" w:rsidRPr="00154588">
              <w:rPr>
                <w:sz w:val="20"/>
                <w:szCs w:val="20"/>
              </w:rPr>
              <w:t xml:space="preserve">Banca Națională a Moldovei, în calitate de autoritate de rezoluție la nivel individual pentru o filială care nu este entitate de rezoluție, ia propria decizie cu privire la măsurile adecvate care urmează să fie aplicate de filială la nivel individual, în conformitate cu art.38. </w:t>
            </w:r>
          </w:p>
          <w:p w14:paraId="138A830D" w14:textId="77777777" w:rsidR="00E41C8D" w:rsidRPr="00154588" w:rsidRDefault="00E41C8D" w:rsidP="008C12B4">
            <w:pPr>
              <w:ind w:firstLine="567"/>
              <w:jc w:val="both"/>
              <w:rPr>
                <w:sz w:val="20"/>
                <w:szCs w:val="20"/>
              </w:rPr>
            </w:pPr>
            <w:r w:rsidRPr="00154588">
              <w:rPr>
                <w:sz w:val="20"/>
                <w:szCs w:val="20"/>
              </w:rPr>
              <w:t>(2) Decizia este temeinic motivată și ține cont de opiniile și rezervele celorlalte autorități de rezoluție.  Banca Națională a Moldovei, în calitate de autoritate de rezoluție la nivel individual, pentru o filială care nu este entitate de rezoluție, transmite decizia filialei vizate, entității de rezoluție din același grup de rezoluție, autorității de rezoluție a entității de rezoluție respective și, dacă este diferită, autorității de rezoluție la nivel de grup</w:t>
            </w:r>
            <w:r w:rsidRPr="00154588">
              <w:rPr>
                <w:color w:val="0000FF"/>
                <w:sz w:val="20"/>
                <w:szCs w:val="20"/>
                <w:shd w:val="clear" w:color="auto" w:fill="FFFFFF"/>
              </w:rPr>
              <w:t>.</w:t>
            </w:r>
          </w:p>
          <w:p w14:paraId="43D258C6" w14:textId="6D6599C3" w:rsidR="00E41C8D" w:rsidRPr="00154588" w:rsidRDefault="00E41C8D" w:rsidP="008C12B4">
            <w:pPr>
              <w:ind w:firstLine="567"/>
              <w:jc w:val="both"/>
              <w:rPr>
                <w:sz w:val="20"/>
                <w:szCs w:val="20"/>
              </w:rPr>
            </w:pPr>
            <w:r w:rsidRPr="00154588">
              <w:rPr>
                <w:sz w:val="20"/>
                <w:szCs w:val="20"/>
              </w:rPr>
              <w:t>(3) Dacă, la expirarea termenului  prevăzut la art.41</w:t>
            </w:r>
            <w:r w:rsidRPr="00154588">
              <w:rPr>
                <w:sz w:val="20"/>
                <w:szCs w:val="20"/>
                <w:vertAlign w:val="superscript"/>
              </w:rPr>
              <w:t>5</w:t>
            </w:r>
            <w:r w:rsidRPr="00154588">
              <w:rPr>
                <w:sz w:val="20"/>
                <w:szCs w:val="20"/>
              </w:rPr>
              <w:t xml:space="preserve">, oricare dintre autoritățile de rezoluție aduce o problemă prevăzută la art.39 lit. g), h³) sau k) în atenția Autorității Bancare Europene, în condițiile art19 din </w:t>
            </w:r>
            <w:r w:rsidRPr="00154588">
              <w:rPr>
                <w:sz w:val="20"/>
                <w:szCs w:val="20"/>
              </w:rPr>
              <w:lastRenderedPageBreak/>
              <w:t xml:space="preserve">Regulamentul (UE) nr. 1093/2010,, Banca Națională a Moldovei, în calitate de autoritate de rezoluție la nivel individual, pentru o filială care nu este entitate de rezoluție își amână decizia și așteaptă decizia pe care Autoritatea Bancară Europeană o poate lua în conformitate cu art.19 alin.(3) din regulamentul respectiv. </w:t>
            </w:r>
          </w:p>
          <w:p w14:paraId="77A46F9B" w14:textId="6DC8AEB9" w:rsidR="00E41C8D" w:rsidRPr="00154588" w:rsidRDefault="00E41C8D" w:rsidP="008C12B4">
            <w:pPr>
              <w:ind w:firstLine="567"/>
              <w:jc w:val="both"/>
              <w:rPr>
                <w:sz w:val="20"/>
                <w:szCs w:val="20"/>
              </w:rPr>
            </w:pPr>
            <w:r w:rsidRPr="00154588">
              <w:rPr>
                <w:sz w:val="20"/>
                <w:szCs w:val="20"/>
              </w:rPr>
              <w:t>(4)</w:t>
            </w:r>
            <w:r w:rsidRPr="00154588">
              <w:t xml:space="preserve"> </w:t>
            </w:r>
            <w:r w:rsidRPr="00154588">
              <w:rPr>
                <w:sz w:val="20"/>
                <w:szCs w:val="20"/>
              </w:rPr>
              <w:t>Termenul prevăzut la art.41</w:t>
            </w:r>
            <w:r w:rsidRPr="00154588">
              <w:rPr>
                <w:sz w:val="20"/>
                <w:szCs w:val="20"/>
                <w:vertAlign w:val="superscript"/>
              </w:rPr>
              <w:t>5</w:t>
            </w:r>
            <w:r w:rsidRPr="00154588">
              <w:rPr>
                <w:sz w:val="20"/>
                <w:szCs w:val="20"/>
              </w:rPr>
              <w:t xml:space="preserve"> constituie perioadă de conciliere în sensul Regulamentului (UE) nr. 1093/2010. </w:t>
            </w:r>
          </w:p>
          <w:p w14:paraId="7A5A78AD" w14:textId="46E3CF57" w:rsidR="00E41C8D" w:rsidRPr="00154588" w:rsidRDefault="00E41C8D" w:rsidP="008C12B4">
            <w:pPr>
              <w:ind w:firstLine="709"/>
              <w:jc w:val="both"/>
              <w:rPr>
                <w:sz w:val="20"/>
                <w:szCs w:val="20"/>
              </w:rPr>
            </w:pPr>
            <w:r w:rsidRPr="00154588">
              <w:rPr>
                <w:sz w:val="20"/>
                <w:szCs w:val="20"/>
              </w:rPr>
              <w:t xml:space="preserve">(5) Banca Națională a Moldovei, în calitate de autoritate de rezoluție la nivel individual, pentru o filială care nu este entitate de rezoluție, adoptă propria decizie în conformitate cu decizia Autorității Bancare Europene exprimată în termen de o lună. </w:t>
            </w:r>
          </w:p>
          <w:p w14:paraId="70852C97" w14:textId="2C96183F" w:rsidR="006A2A6A" w:rsidRPr="00154588" w:rsidRDefault="00E41C8D" w:rsidP="008C12B4">
            <w:pPr>
              <w:jc w:val="both"/>
              <w:rPr>
                <w:bCs/>
                <w:sz w:val="20"/>
                <w:szCs w:val="20"/>
              </w:rPr>
            </w:pPr>
            <w:r w:rsidRPr="00154588">
              <w:rPr>
                <w:sz w:val="20"/>
                <w:szCs w:val="20"/>
              </w:rPr>
              <w:t>(6) Problema nu poate fi adusă în atenția Autorității Bancare Europene după expirarea termenului prevăzut la art.41</w:t>
            </w:r>
            <w:r w:rsidRPr="00154588">
              <w:rPr>
                <w:sz w:val="20"/>
                <w:szCs w:val="20"/>
                <w:vertAlign w:val="superscript"/>
              </w:rPr>
              <w:t>5</w:t>
            </w:r>
            <w:r w:rsidRPr="00154588">
              <w:rPr>
                <w:sz w:val="20"/>
                <w:szCs w:val="20"/>
              </w:rPr>
              <w:t xml:space="preserve"> sau după adoptarea unei decizii comune.</w:t>
            </w:r>
            <w:r w:rsidR="003F0383" w:rsidRPr="00154588">
              <w:rPr>
                <w:sz w:val="20"/>
                <w:szCs w:val="20"/>
              </w:rPr>
              <w:t xml:space="preserve"> </w:t>
            </w:r>
            <w:r w:rsidRPr="00154588">
              <w:rPr>
                <w:sz w:val="20"/>
                <w:szCs w:val="20"/>
              </w:rPr>
              <w:t>În absența unei decizii a Autorității Bancare Europene, se aplică decizia Băncii Naționale a Moldovei, în calitate de autoritate de rezoluție la nivel individual, pentru o filială care nu este entitate de rezoluție.</w:t>
            </w:r>
          </w:p>
        </w:tc>
        <w:tc>
          <w:tcPr>
            <w:tcW w:w="2552" w:type="dxa"/>
          </w:tcPr>
          <w:p w14:paraId="3D42ED98" w14:textId="6E42B8A0" w:rsidR="006A2A6A" w:rsidRPr="00154588" w:rsidRDefault="006A2A6A" w:rsidP="008C12B4">
            <w:pPr>
              <w:jc w:val="both"/>
              <w:rPr>
                <w:bCs/>
                <w:sz w:val="20"/>
                <w:szCs w:val="20"/>
              </w:rPr>
            </w:pPr>
            <w:r w:rsidRPr="00154588">
              <w:rPr>
                <w:bCs/>
                <w:sz w:val="20"/>
                <w:szCs w:val="20"/>
              </w:rPr>
              <w:lastRenderedPageBreak/>
              <w:t>Compatibil</w:t>
            </w:r>
          </w:p>
        </w:tc>
        <w:tc>
          <w:tcPr>
            <w:tcW w:w="3118" w:type="dxa"/>
          </w:tcPr>
          <w:p w14:paraId="4BA1C4EC" w14:textId="77777777" w:rsidR="006A2A6A" w:rsidRPr="00154588" w:rsidRDefault="006A2A6A" w:rsidP="008C12B4">
            <w:pPr>
              <w:jc w:val="both"/>
              <w:rPr>
                <w:bCs/>
                <w:sz w:val="20"/>
                <w:szCs w:val="20"/>
              </w:rPr>
            </w:pPr>
          </w:p>
        </w:tc>
      </w:tr>
      <w:tr w:rsidR="006A2A6A" w:rsidRPr="00154588" w14:paraId="1A5A10E8" w14:textId="77777777" w:rsidTr="00D15C1B">
        <w:trPr>
          <w:jc w:val="center"/>
        </w:trPr>
        <w:tc>
          <w:tcPr>
            <w:tcW w:w="4957" w:type="dxa"/>
            <w:gridSpan w:val="2"/>
          </w:tcPr>
          <w:p w14:paraId="522AE249" w14:textId="4AEAFC8A" w:rsidR="006A2A6A" w:rsidRPr="00154588" w:rsidRDefault="006A2A6A" w:rsidP="008C12B4">
            <w:pPr>
              <w:jc w:val="both"/>
              <w:rPr>
                <w:bCs/>
                <w:sz w:val="20"/>
                <w:szCs w:val="20"/>
              </w:rPr>
            </w:pPr>
            <w:r w:rsidRPr="00154588">
              <w:rPr>
                <w:bCs/>
                <w:sz w:val="20"/>
                <w:szCs w:val="20"/>
              </w:rPr>
              <w:t>(8) Decizia comună menționată la alineatul (5), precum și deciziile adoptate de autoritățile de rezoluție în absența deciziei comune menționate la alineatul (6) sunt recunoscute ca fiind definitive și sunt aplicate de către celelalte autorități de rezoluție vizate.</w:t>
            </w:r>
          </w:p>
        </w:tc>
        <w:tc>
          <w:tcPr>
            <w:tcW w:w="4819" w:type="dxa"/>
          </w:tcPr>
          <w:p w14:paraId="44EFF2B7" w14:textId="77777777" w:rsidR="006A2A6A" w:rsidRPr="00154588" w:rsidRDefault="006A2A6A" w:rsidP="008C12B4">
            <w:pPr>
              <w:jc w:val="both"/>
              <w:rPr>
                <w:bCs/>
                <w:sz w:val="20"/>
                <w:szCs w:val="20"/>
              </w:rPr>
            </w:pPr>
          </w:p>
        </w:tc>
        <w:tc>
          <w:tcPr>
            <w:tcW w:w="2552" w:type="dxa"/>
          </w:tcPr>
          <w:p w14:paraId="4727CBB8" w14:textId="2D98F2CD" w:rsidR="006A2A6A" w:rsidRPr="00154588" w:rsidRDefault="00F2760F" w:rsidP="008C12B4">
            <w:pPr>
              <w:jc w:val="both"/>
              <w:rPr>
                <w:bCs/>
                <w:sz w:val="20"/>
                <w:szCs w:val="20"/>
              </w:rPr>
            </w:pPr>
            <w:r w:rsidRPr="00154588">
              <w:rPr>
                <w:bCs/>
                <w:sz w:val="20"/>
                <w:szCs w:val="20"/>
              </w:rPr>
              <w:t>Prevederi UE neaplicabile</w:t>
            </w:r>
          </w:p>
        </w:tc>
        <w:tc>
          <w:tcPr>
            <w:tcW w:w="3118" w:type="dxa"/>
          </w:tcPr>
          <w:p w14:paraId="5CBF3379" w14:textId="5A99ECF6" w:rsidR="006A2A6A" w:rsidRPr="00154588" w:rsidRDefault="00A02B79" w:rsidP="008C12B4">
            <w:pPr>
              <w:jc w:val="both"/>
              <w:rPr>
                <w:bCs/>
                <w:sz w:val="20"/>
                <w:szCs w:val="20"/>
              </w:rPr>
            </w:pPr>
            <w:r w:rsidRPr="00154588">
              <w:rPr>
                <w:sz w:val="20"/>
                <w:szCs w:val="16"/>
              </w:rPr>
              <w:t>Prevederi care se referă la atribuțiile de reglementare ale autorităților europene</w:t>
            </w:r>
          </w:p>
        </w:tc>
      </w:tr>
      <w:tr w:rsidR="006A2A6A" w:rsidRPr="00154588" w14:paraId="7EF0A687" w14:textId="77777777" w:rsidTr="00D15C1B">
        <w:trPr>
          <w:jc w:val="center"/>
        </w:trPr>
        <w:tc>
          <w:tcPr>
            <w:tcW w:w="4957" w:type="dxa"/>
            <w:gridSpan w:val="2"/>
          </w:tcPr>
          <w:p w14:paraId="53477B40" w14:textId="4038B0A0" w:rsidR="006A2A6A" w:rsidRPr="00154588" w:rsidRDefault="006A2A6A" w:rsidP="008C12B4">
            <w:pPr>
              <w:jc w:val="both"/>
              <w:rPr>
                <w:bCs/>
                <w:sz w:val="20"/>
                <w:szCs w:val="20"/>
              </w:rPr>
            </w:pPr>
            <w:r w:rsidRPr="00154588">
              <w:rPr>
                <w:bCs/>
                <w:sz w:val="20"/>
                <w:szCs w:val="20"/>
              </w:rPr>
              <w:t>(9)   În absența unei decizii comune privind luarea oricăror măsuri menționate la articolul 17 alineatul (5) litera (g), (h) sau (k)</w:t>
            </w:r>
            <w:r w:rsidR="0021194D" w:rsidRPr="00154588">
              <w:rPr>
                <w:bCs/>
                <w:sz w:val="20"/>
                <w:szCs w:val="20"/>
              </w:rPr>
              <w:t xml:space="preserve"> din prezenta directivă</w:t>
            </w:r>
            <w:r w:rsidRPr="00154588">
              <w:rPr>
                <w:bCs/>
                <w:sz w:val="20"/>
                <w:szCs w:val="20"/>
              </w:rPr>
              <w:t>, ABE poate, la cererea unei autorități de rezoluție în conformitate cu alineatul (6)</w:t>
            </w:r>
            <w:r w:rsidR="0021194D" w:rsidRPr="00154588">
              <w:rPr>
                <w:bCs/>
                <w:sz w:val="20"/>
                <w:szCs w:val="20"/>
              </w:rPr>
              <w:t>, (6a)</w:t>
            </w:r>
            <w:r w:rsidRPr="00154588">
              <w:rPr>
                <w:bCs/>
                <w:sz w:val="20"/>
                <w:szCs w:val="20"/>
              </w:rPr>
              <w:t xml:space="preserve"> sau (7) d</w:t>
            </w:r>
            <w:r w:rsidR="002024E9" w:rsidRPr="00154588">
              <w:rPr>
                <w:bCs/>
                <w:sz w:val="20"/>
                <w:szCs w:val="20"/>
              </w:rPr>
              <w:t>e la</w:t>
            </w:r>
            <w:r w:rsidRPr="00154588">
              <w:rPr>
                <w:bCs/>
                <w:sz w:val="20"/>
                <w:szCs w:val="20"/>
              </w:rPr>
              <w:t xml:space="preserve"> prezentul articol, să </w:t>
            </w:r>
            <w:r w:rsidR="002024E9" w:rsidRPr="00154588">
              <w:rPr>
                <w:bCs/>
                <w:sz w:val="20"/>
                <w:szCs w:val="20"/>
              </w:rPr>
              <w:t>ajute</w:t>
            </w:r>
            <w:r w:rsidRPr="00154588">
              <w:rPr>
                <w:bCs/>
                <w:sz w:val="20"/>
                <w:szCs w:val="20"/>
              </w:rPr>
              <w:t xml:space="preserve"> autoritățil</w:t>
            </w:r>
            <w:r w:rsidR="002024E9" w:rsidRPr="00154588">
              <w:rPr>
                <w:bCs/>
                <w:sz w:val="20"/>
                <w:szCs w:val="20"/>
              </w:rPr>
              <w:t>e</w:t>
            </w:r>
            <w:r w:rsidRPr="00154588">
              <w:rPr>
                <w:bCs/>
                <w:sz w:val="20"/>
                <w:szCs w:val="20"/>
              </w:rPr>
              <w:t xml:space="preserve"> de rezoluție </w:t>
            </w:r>
            <w:r w:rsidR="002024E9" w:rsidRPr="00154588">
              <w:rPr>
                <w:bCs/>
                <w:sz w:val="20"/>
                <w:szCs w:val="20"/>
              </w:rPr>
              <w:t xml:space="preserve"> să ajungă la un </w:t>
            </w:r>
            <w:r w:rsidRPr="00154588">
              <w:rPr>
                <w:bCs/>
                <w:sz w:val="20"/>
                <w:szCs w:val="20"/>
              </w:rPr>
              <w:t xml:space="preserve"> acord în conformitate cu articolul 19 alineatul (3) din Regulamentul (UE) nr. 1093/2010.</w:t>
            </w:r>
          </w:p>
        </w:tc>
        <w:tc>
          <w:tcPr>
            <w:tcW w:w="4819" w:type="dxa"/>
          </w:tcPr>
          <w:p w14:paraId="38C017EE" w14:textId="77777777" w:rsidR="006A2A6A" w:rsidRPr="00154588" w:rsidRDefault="006A2A6A" w:rsidP="008C12B4">
            <w:pPr>
              <w:jc w:val="both"/>
              <w:rPr>
                <w:bCs/>
                <w:sz w:val="20"/>
                <w:szCs w:val="20"/>
              </w:rPr>
            </w:pPr>
          </w:p>
        </w:tc>
        <w:tc>
          <w:tcPr>
            <w:tcW w:w="2552" w:type="dxa"/>
          </w:tcPr>
          <w:p w14:paraId="346E8910" w14:textId="170E8D3B" w:rsidR="006A2A6A" w:rsidRPr="00154588" w:rsidRDefault="00F2760F" w:rsidP="008C12B4">
            <w:pPr>
              <w:jc w:val="both"/>
              <w:rPr>
                <w:bCs/>
                <w:sz w:val="20"/>
                <w:szCs w:val="20"/>
              </w:rPr>
            </w:pPr>
            <w:r w:rsidRPr="00154588">
              <w:rPr>
                <w:bCs/>
                <w:sz w:val="20"/>
                <w:szCs w:val="20"/>
              </w:rPr>
              <w:t>Prevederi UE neaplicabile</w:t>
            </w:r>
          </w:p>
        </w:tc>
        <w:tc>
          <w:tcPr>
            <w:tcW w:w="3118" w:type="dxa"/>
          </w:tcPr>
          <w:p w14:paraId="0F8D0D32" w14:textId="5E247F0B" w:rsidR="006A2A6A" w:rsidRPr="00154588" w:rsidRDefault="00A02B79" w:rsidP="008C12B4">
            <w:pPr>
              <w:jc w:val="both"/>
              <w:rPr>
                <w:bCs/>
                <w:sz w:val="20"/>
                <w:szCs w:val="20"/>
              </w:rPr>
            </w:pPr>
            <w:r w:rsidRPr="00154588">
              <w:rPr>
                <w:sz w:val="20"/>
                <w:szCs w:val="16"/>
              </w:rPr>
              <w:t>Prevederi care se referă la atribuțiile de reglementare ale autorităților europene</w:t>
            </w:r>
          </w:p>
        </w:tc>
      </w:tr>
      <w:tr w:rsidR="006A2A6A" w:rsidRPr="00154588" w14:paraId="00CFB951" w14:textId="77777777" w:rsidTr="00D15C1B">
        <w:trPr>
          <w:jc w:val="center"/>
        </w:trPr>
        <w:tc>
          <w:tcPr>
            <w:tcW w:w="4957" w:type="dxa"/>
            <w:gridSpan w:val="2"/>
          </w:tcPr>
          <w:p w14:paraId="4AEB7574" w14:textId="77777777" w:rsidR="006A2A6A" w:rsidRPr="00154588" w:rsidRDefault="006A2A6A" w:rsidP="008C12B4">
            <w:pPr>
              <w:rPr>
                <w:b/>
                <w:sz w:val="20"/>
                <w:szCs w:val="20"/>
              </w:rPr>
            </w:pPr>
            <w:r w:rsidRPr="00154588">
              <w:rPr>
                <w:b/>
                <w:sz w:val="20"/>
                <w:szCs w:val="20"/>
              </w:rPr>
              <w:t>CAPITOLUL III</w:t>
            </w:r>
          </w:p>
          <w:p w14:paraId="4605B44A" w14:textId="77777777" w:rsidR="006A2A6A" w:rsidRPr="00154588" w:rsidRDefault="006A2A6A" w:rsidP="008C12B4">
            <w:pPr>
              <w:rPr>
                <w:b/>
                <w:sz w:val="20"/>
                <w:szCs w:val="20"/>
              </w:rPr>
            </w:pPr>
          </w:p>
          <w:p w14:paraId="00B8ACAE" w14:textId="63E249DB" w:rsidR="006A2A6A" w:rsidRPr="00154588" w:rsidRDefault="006A2A6A" w:rsidP="008C12B4">
            <w:pPr>
              <w:rPr>
                <w:bCs/>
                <w:sz w:val="20"/>
                <w:szCs w:val="20"/>
              </w:rPr>
            </w:pPr>
            <w:r w:rsidRPr="00154588">
              <w:rPr>
                <w:b/>
                <w:sz w:val="20"/>
                <w:szCs w:val="20"/>
              </w:rPr>
              <w:t>Sprijin financiar intragrup</w:t>
            </w:r>
          </w:p>
        </w:tc>
        <w:tc>
          <w:tcPr>
            <w:tcW w:w="4819" w:type="dxa"/>
          </w:tcPr>
          <w:p w14:paraId="11EF659F" w14:textId="77777777" w:rsidR="00253759" w:rsidRPr="00154588" w:rsidRDefault="00253759" w:rsidP="008C12B4">
            <w:pPr>
              <w:ind w:firstLine="567"/>
              <w:jc w:val="center"/>
              <w:rPr>
                <w:rFonts w:eastAsia="Calibri"/>
                <w:b/>
                <w:sz w:val="20"/>
                <w:szCs w:val="20"/>
              </w:rPr>
            </w:pPr>
            <w:r w:rsidRPr="00154588">
              <w:rPr>
                <w:rFonts w:eastAsia="Calibri"/>
                <w:b/>
                <w:sz w:val="20"/>
                <w:szCs w:val="20"/>
              </w:rPr>
              <w:t>Capitolul III</w:t>
            </w:r>
          </w:p>
          <w:p w14:paraId="74E9F3A0" w14:textId="75CDF06F" w:rsidR="006A2A6A" w:rsidRPr="00154588" w:rsidRDefault="00253759" w:rsidP="008C12B4">
            <w:pPr>
              <w:ind w:firstLine="567"/>
              <w:jc w:val="center"/>
              <w:rPr>
                <w:rFonts w:eastAsia="Calibri"/>
                <w:b/>
                <w:sz w:val="20"/>
                <w:szCs w:val="20"/>
              </w:rPr>
            </w:pPr>
            <w:r w:rsidRPr="00154588">
              <w:rPr>
                <w:rFonts w:eastAsia="Calibri"/>
                <w:b/>
                <w:sz w:val="20"/>
                <w:szCs w:val="20"/>
              </w:rPr>
              <w:t>SPRIJIN FINANCIAR INTRAGRUP</w:t>
            </w:r>
          </w:p>
        </w:tc>
        <w:tc>
          <w:tcPr>
            <w:tcW w:w="2552" w:type="dxa"/>
          </w:tcPr>
          <w:p w14:paraId="456D68AE" w14:textId="77777777" w:rsidR="006A2A6A" w:rsidRPr="00154588" w:rsidRDefault="006A2A6A" w:rsidP="008C12B4">
            <w:pPr>
              <w:jc w:val="both"/>
              <w:rPr>
                <w:bCs/>
                <w:sz w:val="20"/>
                <w:szCs w:val="20"/>
              </w:rPr>
            </w:pPr>
          </w:p>
        </w:tc>
        <w:tc>
          <w:tcPr>
            <w:tcW w:w="3118" w:type="dxa"/>
          </w:tcPr>
          <w:p w14:paraId="1155B0C8" w14:textId="77777777" w:rsidR="006A2A6A" w:rsidRPr="00154588" w:rsidRDefault="006A2A6A" w:rsidP="008C12B4">
            <w:pPr>
              <w:jc w:val="both"/>
              <w:rPr>
                <w:bCs/>
                <w:sz w:val="20"/>
                <w:szCs w:val="20"/>
              </w:rPr>
            </w:pPr>
          </w:p>
        </w:tc>
      </w:tr>
      <w:tr w:rsidR="006A2A6A" w:rsidRPr="00154588" w14:paraId="63D766E9" w14:textId="77777777" w:rsidTr="00D15C1B">
        <w:trPr>
          <w:jc w:val="center"/>
        </w:trPr>
        <w:tc>
          <w:tcPr>
            <w:tcW w:w="4957" w:type="dxa"/>
            <w:gridSpan w:val="2"/>
          </w:tcPr>
          <w:p w14:paraId="5F10B971" w14:textId="77777777" w:rsidR="006A2A6A" w:rsidRPr="00154588" w:rsidRDefault="006A2A6A" w:rsidP="008C12B4">
            <w:pPr>
              <w:rPr>
                <w:b/>
                <w:sz w:val="20"/>
                <w:szCs w:val="20"/>
              </w:rPr>
            </w:pPr>
            <w:r w:rsidRPr="00154588">
              <w:rPr>
                <w:b/>
                <w:sz w:val="20"/>
                <w:szCs w:val="20"/>
              </w:rPr>
              <w:t>Articolul 19</w:t>
            </w:r>
          </w:p>
          <w:p w14:paraId="1FA71AE4" w14:textId="77777777" w:rsidR="006A2A6A" w:rsidRPr="00154588" w:rsidRDefault="006A2A6A" w:rsidP="008C12B4">
            <w:pPr>
              <w:rPr>
                <w:b/>
                <w:sz w:val="20"/>
                <w:szCs w:val="20"/>
              </w:rPr>
            </w:pPr>
          </w:p>
          <w:p w14:paraId="290D0F81" w14:textId="68BF5373" w:rsidR="006A2A6A" w:rsidRPr="00154588" w:rsidRDefault="006A2A6A" w:rsidP="008C12B4">
            <w:pPr>
              <w:rPr>
                <w:bCs/>
                <w:sz w:val="20"/>
                <w:szCs w:val="20"/>
              </w:rPr>
            </w:pPr>
            <w:r w:rsidRPr="00154588">
              <w:rPr>
                <w:b/>
                <w:sz w:val="20"/>
                <w:szCs w:val="20"/>
              </w:rPr>
              <w:t>Acord de sprijin financiar intragrup</w:t>
            </w:r>
          </w:p>
        </w:tc>
        <w:tc>
          <w:tcPr>
            <w:tcW w:w="4819" w:type="dxa"/>
          </w:tcPr>
          <w:p w14:paraId="4D0607CE" w14:textId="7E4033B6" w:rsidR="006A2A6A" w:rsidRPr="00154588" w:rsidRDefault="00253759" w:rsidP="008C12B4">
            <w:pPr>
              <w:ind w:firstLine="567"/>
              <w:jc w:val="center"/>
              <w:rPr>
                <w:rFonts w:eastAsia="Calibri"/>
                <w:b/>
                <w:sz w:val="20"/>
                <w:szCs w:val="20"/>
              </w:rPr>
            </w:pPr>
            <w:r w:rsidRPr="00154588">
              <w:rPr>
                <w:rFonts w:eastAsia="Calibri"/>
                <w:b/>
                <w:sz w:val="20"/>
                <w:szCs w:val="20"/>
              </w:rPr>
              <w:t>Secțiunea 1</w:t>
            </w:r>
            <w:r w:rsidRPr="00154588">
              <w:rPr>
                <w:rFonts w:eastAsia="Calibri"/>
                <w:b/>
                <w:bCs/>
                <w:sz w:val="20"/>
                <w:szCs w:val="20"/>
              </w:rPr>
              <w:br/>
            </w:r>
            <w:r w:rsidRPr="00154588">
              <w:rPr>
                <w:rFonts w:eastAsia="Calibri"/>
                <w:b/>
                <w:sz w:val="20"/>
                <w:szCs w:val="20"/>
              </w:rPr>
              <w:t>Încheierea acordurilor de sprijin financiar intragrup</w:t>
            </w:r>
          </w:p>
        </w:tc>
        <w:tc>
          <w:tcPr>
            <w:tcW w:w="2552" w:type="dxa"/>
          </w:tcPr>
          <w:p w14:paraId="1BF1A486" w14:textId="77777777" w:rsidR="006A2A6A" w:rsidRPr="00154588" w:rsidRDefault="006A2A6A" w:rsidP="008C12B4">
            <w:pPr>
              <w:jc w:val="both"/>
              <w:rPr>
                <w:bCs/>
                <w:sz w:val="20"/>
                <w:szCs w:val="20"/>
              </w:rPr>
            </w:pPr>
          </w:p>
        </w:tc>
        <w:tc>
          <w:tcPr>
            <w:tcW w:w="3118" w:type="dxa"/>
          </w:tcPr>
          <w:p w14:paraId="20416D8B" w14:textId="77777777" w:rsidR="006A2A6A" w:rsidRPr="00154588" w:rsidRDefault="006A2A6A" w:rsidP="008C12B4">
            <w:pPr>
              <w:jc w:val="both"/>
              <w:rPr>
                <w:bCs/>
                <w:sz w:val="20"/>
                <w:szCs w:val="20"/>
              </w:rPr>
            </w:pPr>
          </w:p>
        </w:tc>
      </w:tr>
      <w:tr w:rsidR="006A2A6A" w:rsidRPr="00154588" w14:paraId="6F19A2A1" w14:textId="77777777" w:rsidTr="00D15C1B">
        <w:trPr>
          <w:jc w:val="center"/>
        </w:trPr>
        <w:tc>
          <w:tcPr>
            <w:tcW w:w="4957" w:type="dxa"/>
            <w:gridSpan w:val="2"/>
          </w:tcPr>
          <w:p w14:paraId="7834B8AA" w14:textId="59DD764B" w:rsidR="006A2A6A" w:rsidRPr="00154588" w:rsidRDefault="006A2A6A" w:rsidP="008C12B4">
            <w:pPr>
              <w:jc w:val="both"/>
              <w:rPr>
                <w:bCs/>
                <w:sz w:val="20"/>
                <w:szCs w:val="20"/>
              </w:rPr>
            </w:pPr>
            <w:r w:rsidRPr="00154588">
              <w:rPr>
                <w:bCs/>
                <w:sz w:val="20"/>
                <w:szCs w:val="20"/>
              </w:rPr>
              <w:t xml:space="preserve">(1) Statele membre se asigură că o instituție-mamă dintr-un stat membru, o instituție-mamă din Uniune sau o entitate menționată la articolul 1 alineatul (1) litera (c) sau (d) și filialele sale din alte state membre sau din țări terțe, care sunt instituții sau instituții financiare care fac obiectul supravegherii consolidate a întreprinderii-mamă, pot </w:t>
            </w:r>
            <w:r w:rsidRPr="00154588">
              <w:rPr>
                <w:bCs/>
                <w:sz w:val="20"/>
                <w:szCs w:val="20"/>
              </w:rPr>
              <w:lastRenderedPageBreak/>
              <w:t>încheia un acord privind acordarea de sprijin financiar oricărei alte părți la acord care îndeplinește condițiile de intervenție timpurie în conformitate cu articolul 27, dacă sunt respectate condițiile prevăzute în prezentul capitol.</w:t>
            </w:r>
          </w:p>
        </w:tc>
        <w:tc>
          <w:tcPr>
            <w:tcW w:w="4819" w:type="dxa"/>
          </w:tcPr>
          <w:p w14:paraId="55ECF50D" w14:textId="77777777" w:rsidR="00253759" w:rsidRPr="00154588" w:rsidRDefault="00253759" w:rsidP="008C12B4">
            <w:pPr>
              <w:ind w:firstLine="567"/>
              <w:jc w:val="both"/>
              <w:rPr>
                <w:rFonts w:eastAsia="Calibri"/>
                <w:kern w:val="2"/>
                <w:sz w:val="20"/>
                <w:szCs w:val="20"/>
                <w14:ligatures w14:val="standardContextual"/>
              </w:rPr>
            </w:pPr>
            <w:r w:rsidRPr="00154588">
              <w:rPr>
                <w:rFonts w:eastAsia="Calibri"/>
                <w:b/>
                <w:sz w:val="20"/>
                <w:szCs w:val="20"/>
              </w:rPr>
              <w:lastRenderedPageBreak/>
              <w:t>Articolul 41</w:t>
            </w:r>
            <w:r w:rsidRPr="00154588">
              <w:rPr>
                <w:rFonts w:eastAsia="Calibri"/>
                <w:b/>
                <w:sz w:val="20"/>
                <w:szCs w:val="20"/>
                <w:vertAlign w:val="superscript"/>
              </w:rPr>
              <w:t>9</w:t>
            </w:r>
            <w:r w:rsidRPr="00154588">
              <w:rPr>
                <w:rFonts w:eastAsia="Calibri"/>
                <w:b/>
                <w:sz w:val="20"/>
                <w:szCs w:val="20"/>
              </w:rPr>
              <w:t>.</w:t>
            </w:r>
            <w:r w:rsidRPr="00154588">
              <w:rPr>
                <w:rFonts w:eastAsia="Calibri"/>
                <w:sz w:val="20"/>
                <w:szCs w:val="20"/>
              </w:rPr>
              <w:t xml:space="preserve"> – (1) În cazul în care o instituție-mamă din Republica Moldova, o instituție-mamă din Uniunea Europeană, persoană juridică din Republica Moldova, sau o entitate prevăzută la art.1 alin.(1) lit.c) sau d), persoană juridică din Republica Moldova, și filiale ale acesteia din Republica Moldova, din alte state membre </w:t>
            </w:r>
            <w:r w:rsidRPr="00154588">
              <w:rPr>
                <w:rFonts w:eastAsia="Calibri"/>
                <w:sz w:val="20"/>
                <w:szCs w:val="20"/>
              </w:rPr>
              <w:lastRenderedPageBreak/>
              <w:t>sau din state terțe care sunt instituții sau instituții financiare care fac obiectul supravegherii pe bază consolidată a întreprinderii-mamă, pot încheia un acord privind acordarea de sprijin financiar oricărei părți la acord care îndeplinește condițiile de intervenție timpurie conform art.42-44, dacă sunt respectate condițiile prevăzute la art.41</w:t>
            </w:r>
            <w:r w:rsidRPr="00154588">
              <w:rPr>
                <w:rFonts w:eastAsia="Calibri"/>
                <w:sz w:val="20"/>
                <w:szCs w:val="20"/>
                <w:vertAlign w:val="superscript"/>
              </w:rPr>
              <w:t>9</w:t>
            </w:r>
            <w:r w:rsidRPr="00154588">
              <w:rPr>
                <w:rFonts w:eastAsia="Calibri"/>
                <w:sz w:val="20"/>
                <w:szCs w:val="20"/>
              </w:rPr>
              <w:t>-41</w:t>
            </w:r>
            <w:r w:rsidRPr="00154588">
              <w:rPr>
                <w:rFonts w:eastAsia="Calibri"/>
                <w:sz w:val="20"/>
                <w:szCs w:val="20"/>
                <w:vertAlign w:val="superscript"/>
              </w:rPr>
              <w:t>39</w:t>
            </w:r>
            <w:r w:rsidRPr="00154588">
              <w:rPr>
                <w:rFonts w:eastAsia="Calibri"/>
                <w:sz w:val="20"/>
                <w:szCs w:val="20"/>
              </w:rPr>
              <w:t>.</w:t>
            </w:r>
          </w:p>
          <w:p w14:paraId="42E2819A" w14:textId="7E81E8E8" w:rsidR="006A2A6A" w:rsidRPr="00154588" w:rsidRDefault="00253759" w:rsidP="008C12B4">
            <w:pPr>
              <w:ind w:firstLine="567"/>
              <w:jc w:val="both"/>
              <w:rPr>
                <w:bCs/>
                <w:sz w:val="20"/>
                <w:szCs w:val="20"/>
              </w:rPr>
            </w:pPr>
            <w:r w:rsidRPr="00154588">
              <w:rPr>
                <w:rFonts w:eastAsia="Calibri"/>
                <w:sz w:val="20"/>
                <w:szCs w:val="20"/>
              </w:rPr>
              <w:t>(2) Instituțiile și instituțiile financiare, persoane juridice din Republica Moldova, care sunt filiale ale unor instituții-mamă sau ale unor entități similare celor prevăzute la art.1 alin.(1) lit.c) sau d) din alte state membre, care sunt supuse supravegherii pe bază consolidată în cadrul Uniunii Europene, pot participa în cadrul acordurilor intragrup încheiate în cadrul grupului în condițiile prevăzute la alin.(1).</w:t>
            </w:r>
          </w:p>
        </w:tc>
        <w:tc>
          <w:tcPr>
            <w:tcW w:w="2552" w:type="dxa"/>
          </w:tcPr>
          <w:p w14:paraId="46388CB0" w14:textId="7298D825" w:rsidR="006A2A6A" w:rsidRPr="00154588" w:rsidRDefault="00253759" w:rsidP="008C12B4">
            <w:pPr>
              <w:jc w:val="both"/>
              <w:rPr>
                <w:bCs/>
                <w:sz w:val="20"/>
                <w:szCs w:val="20"/>
              </w:rPr>
            </w:pPr>
            <w:r w:rsidRPr="00154588">
              <w:rPr>
                <w:bCs/>
                <w:sz w:val="20"/>
                <w:szCs w:val="20"/>
              </w:rPr>
              <w:lastRenderedPageBreak/>
              <w:t>Compatibil</w:t>
            </w:r>
          </w:p>
        </w:tc>
        <w:tc>
          <w:tcPr>
            <w:tcW w:w="3118" w:type="dxa"/>
          </w:tcPr>
          <w:p w14:paraId="027A05AC" w14:textId="77777777" w:rsidR="006A2A6A" w:rsidRPr="00154588" w:rsidRDefault="006A2A6A" w:rsidP="008C12B4">
            <w:pPr>
              <w:jc w:val="both"/>
              <w:rPr>
                <w:bCs/>
                <w:sz w:val="20"/>
                <w:szCs w:val="20"/>
              </w:rPr>
            </w:pPr>
          </w:p>
        </w:tc>
      </w:tr>
      <w:tr w:rsidR="006A2A6A" w:rsidRPr="00154588" w14:paraId="2297F788" w14:textId="77777777" w:rsidTr="00D15C1B">
        <w:trPr>
          <w:jc w:val="center"/>
        </w:trPr>
        <w:tc>
          <w:tcPr>
            <w:tcW w:w="4957" w:type="dxa"/>
            <w:gridSpan w:val="2"/>
          </w:tcPr>
          <w:p w14:paraId="17786C45" w14:textId="5357923C" w:rsidR="006A2A6A" w:rsidRPr="00154588" w:rsidRDefault="006A2A6A" w:rsidP="008C12B4">
            <w:pPr>
              <w:jc w:val="both"/>
              <w:rPr>
                <w:bCs/>
                <w:sz w:val="20"/>
                <w:szCs w:val="20"/>
              </w:rPr>
            </w:pPr>
            <w:r w:rsidRPr="00154588">
              <w:rPr>
                <w:bCs/>
                <w:sz w:val="20"/>
                <w:szCs w:val="20"/>
              </w:rPr>
              <w:t>(2) Prezentul capitol nu se aplică acordurilor financiare intragrup, inclusiv acordurilor de finanțare și derulării acordurilor de finanțare centralizate, cu condiția ca niciuna dintre părțile la respectivele acorduri să nu îndeplinească condițiile de intervenție timpurie.</w:t>
            </w:r>
          </w:p>
        </w:tc>
        <w:tc>
          <w:tcPr>
            <w:tcW w:w="4819" w:type="dxa"/>
          </w:tcPr>
          <w:p w14:paraId="4A97EDE3" w14:textId="1EB04C1E" w:rsidR="006A2A6A" w:rsidRPr="00154588" w:rsidRDefault="00253759" w:rsidP="008C12B4">
            <w:pPr>
              <w:ind w:firstLine="567"/>
              <w:jc w:val="both"/>
              <w:rPr>
                <w:bCs/>
                <w:sz w:val="20"/>
                <w:szCs w:val="20"/>
              </w:rPr>
            </w:pPr>
            <w:r w:rsidRPr="00154588">
              <w:rPr>
                <w:b/>
                <w:sz w:val="20"/>
                <w:szCs w:val="20"/>
              </w:rPr>
              <w:t>Articolul 41</w:t>
            </w:r>
            <w:r w:rsidRPr="00154588">
              <w:rPr>
                <w:b/>
                <w:sz w:val="20"/>
                <w:szCs w:val="20"/>
                <w:vertAlign w:val="superscript"/>
              </w:rPr>
              <w:t>10</w:t>
            </w:r>
            <w:r w:rsidRPr="00154588">
              <w:rPr>
                <w:b/>
                <w:sz w:val="20"/>
                <w:szCs w:val="20"/>
              </w:rPr>
              <w:t>.</w:t>
            </w:r>
            <w:r w:rsidRPr="00154588">
              <w:rPr>
                <w:sz w:val="20"/>
                <w:szCs w:val="20"/>
              </w:rPr>
              <w:t xml:space="preserve"> – Prevederile  art.41</w:t>
            </w:r>
            <w:r w:rsidRPr="00154588">
              <w:rPr>
                <w:sz w:val="20"/>
                <w:szCs w:val="20"/>
                <w:vertAlign w:val="superscript"/>
              </w:rPr>
              <w:t>9</w:t>
            </w:r>
            <w:r w:rsidRPr="00154588">
              <w:rPr>
                <w:sz w:val="20"/>
                <w:szCs w:val="20"/>
              </w:rPr>
              <w:t>-41</w:t>
            </w:r>
            <w:r w:rsidRPr="00154588">
              <w:rPr>
                <w:sz w:val="20"/>
                <w:szCs w:val="20"/>
                <w:vertAlign w:val="superscript"/>
              </w:rPr>
              <w:t>39</w:t>
            </w:r>
            <w:r w:rsidRPr="00154588">
              <w:rPr>
                <w:sz w:val="20"/>
                <w:szCs w:val="20"/>
              </w:rPr>
              <w:t>, nu se aplică acordurilor financiare intragrup, inclusiv acordurilor de finanțare și derulării acordurilor de finanțare centralizate, cu condiţia ca niciuna dintre părţile la respectivele acorduri nu îndeplinește condiţiile de intervenţie timpurie</w:t>
            </w:r>
          </w:p>
        </w:tc>
        <w:tc>
          <w:tcPr>
            <w:tcW w:w="2552" w:type="dxa"/>
          </w:tcPr>
          <w:p w14:paraId="7F6F0755" w14:textId="6CA90644" w:rsidR="006A2A6A" w:rsidRPr="00154588" w:rsidRDefault="00253759" w:rsidP="008C12B4">
            <w:pPr>
              <w:jc w:val="both"/>
              <w:rPr>
                <w:bCs/>
                <w:sz w:val="20"/>
                <w:szCs w:val="20"/>
              </w:rPr>
            </w:pPr>
            <w:r w:rsidRPr="00154588">
              <w:rPr>
                <w:bCs/>
                <w:sz w:val="20"/>
                <w:szCs w:val="20"/>
              </w:rPr>
              <w:t>Compatibil</w:t>
            </w:r>
          </w:p>
        </w:tc>
        <w:tc>
          <w:tcPr>
            <w:tcW w:w="3118" w:type="dxa"/>
          </w:tcPr>
          <w:p w14:paraId="617950B2" w14:textId="77777777" w:rsidR="006A2A6A" w:rsidRPr="00154588" w:rsidRDefault="006A2A6A" w:rsidP="008C12B4">
            <w:pPr>
              <w:jc w:val="both"/>
              <w:rPr>
                <w:bCs/>
                <w:sz w:val="20"/>
                <w:szCs w:val="20"/>
              </w:rPr>
            </w:pPr>
          </w:p>
        </w:tc>
      </w:tr>
      <w:tr w:rsidR="006A2A6A" w:rsidRPr="00154588" w14:paraId="57A98E50" w14:textId="77777777" w:rsidTr="00D15C1B">
        <w:trPr>
          <w:jc w:val="center"/>
        </w:trPr>
        <w:tc>
          <w:tcPr>
            <w:tcW w:w="4957" w:type="dxa"/>
            <w:gridSpan w:val="2"/>
          </w:tcPr>
          <w:p w14:paraId="1345EDEF" w14:textId="77777777" w:rsidR="006A2A6A" w:rsidRPr="00154588" w:rsidRDefault="006A2A6A" w:rsidP="008C12B4">
            <w:pPr>
              <w:jc w:val="both"/>
              <w:rPr>
                <w:bCs/>
                <w:sz w:val="20"/>
                <w:szCs w:val="20"/>
              </w:rPr>
            </w:pPr>
            <w:r w:rsidRPr="00154588">
              <w:rPr>
                <w:bCs/>
                <w:sz w:val="20"/>
                <w:szCs w:val="20"/>
              </w:rPr>
              <w:t>(3)   Un acord de sprijin financiar intragrup nu constituie o condiție prealabilă:</w:t>
            </w:r>
          </w:p>
          <w:p w14:paraId="191D14FA" w14:textId="77777777" w:rsidR="006A2A6A" w:rsidRPr="00154588" w:rsidRDefault="006A2A6A" w:rsidP="008C12B4">
            <w:pPr>
              <w:jc w:val="both"/>
              <w:rPr>
                <w:bCs/>
                <w:sz w:val="20"/>
                <w:szCs w:val="20"/>
              </w:rPr>
            </w:pPr>
          </w:p>
          <w:p w14:paraId="474F80B1" w14:textId="4F81A0A7" w:rsidR="006A2A6A" w:rsidRPr="00154588" w:rsidRDefault="006A2A6A" w:rsidP="008C12B4">
            <w:pPr>
              <w:jc w:val="both"/>
              <w:rPr>
                <w:bCs/>
                <w:sz w:val="20"/>
                <w:szCs w:val="20"/>
              </w:rPr>
            </w:pPr>
            <w:r w:rsidRPr="00154588">
              <w:rPr>
                <w:bCs/>
                <w:sz w:val="20"/>
                <w:szCs w:val="20"/>
              </w:rPr>
              <w:t>(a) pentru acordarea de sprijin financiar intragrup oricărei entități din grup care întâmpină dificultăți financiare, dacă instituția decide acest lucru, pentru fiecare situație în mod individual și conform politicilor grupului, în cazul în care aceasta nu reprezintă un risc pentru întreg grupul; sau</w:t>
            </w:r>
          </w:p>
          <w:p w14:paraId="5008E4EF" w14:textId="77777777" w:rsidR="006A2A6A" w:rsidRPr="00154588" w:rsidRDefault="006A2A6A" w:rsidP="008C12B4">
            <w:pPr>
              <w:jc w:val="both"/>
              <w:rPr>
                <w:bCs/>
                <w:sz w:val="20"/>
                <w:szCs w:val="20"/>
              </w:rPr>
            </w:pPr>
          </w:p>
          <w:p w14:paraId="2A0E5F1C" w14:textId="125E8784" w:rsidR="006A2A6A" w:rsidRPr="00154588" w:rsidRDefault="006A2A6A" w:rsidP="008C12B4">
            <w:pPr>
              <w:jc w:val="both"/>
              <w:rPr>
                <w:bCs/>
                <w:sz w:val="20"/>
                <w:szCs w:val="20"/>
              </w:rPr>
            </w:pPr>
            <w:r w:rsidRPr="00154588">
              <w:rPr>
                <w:bCs/>
                <w:sz w:val="20"/>
                <w:szCs w:val="20"/>
              </w:rPr>
              <w:t>(b) pentru a funcționa într-un stat membru.</w:t>
            </w:r>
          </w:p>
        </w:tc>
        <w:tc>
          <w:tcPr>
            <w:tcW w:w="4819" w:type="dxa"/>
          </w:tcPr>
          <w:p w14:paraId="78A3971E" w14:textId="77777777" w:rsidR="00253759" w:rsidRPr="00154588" w:rsidRDefault="00253759" w:rsidP="008C12B4">
            <w:pPr>
              <w:ind w:firstLine="567"/>
              <w:jc w:val="both"/>
              <w:rPr>
                <w:rFonts w:eastAsia="Calibri"/>
                <w:kern w:val="2"/>
                <w:sz w:val="20"/>
                <w:szCs w:val="20"/>
                <w14:ligatures w14:val="standardContextual"/>
              </w:rPr>
            </w:pPr>
            <w:r w:rsidRPr="00154588">
              <w:rPr>
                <w:rFonts w:eastAsia="Calibri"/>
                <w:b/>
                <w:sz w:val="20"/>
                <w:szCs w:val="20"/>
              </w:rPr>
              <w:t>Articolul 41</w:t>
            </w:r>
            <w:r w:rsidRPr="00154588">
              <w:rPr>
                <w:rFonts w:eastAsia="Calibri"/>
                <w:b/>
                <w:sz w:val="20"/>
                <w:szCs w:val="20"/>
                <w:vertAlign w:val="superscript"/>
              </w:rPr>
              <w:t>11</w:t>
            </w:r>
            <w:r w:rsidRPr="00154588">
              <w:rPr>
                <w:rFonts w:eastAsia="Calibri"/>
                <w:b/>
                <w:sz w:val="20"/>
                <w:szCs w:val="20"/>
              </w:rPr>
              <w:t>.</w:t>
            </w:r>
            <w:r w:rsidRPr="00154588">
              <w:rPr>
                <w:rFonts w:eastAsia="Calibri"/>
                <w:sz w:val="20"/>
                <w:szCs w:val="20"/>
              </w:rPr>
              <w:t xml:space="preserve"> – (1) Existența unui acord de sprijin financiar intragrup nu constituie o condiție prealabilă pentru ca o instituție de credit să poată furniza sprijin financiar intragrup unei entități din grup care întâmpină dificultăți financiare, dacă instituția</w:t>
            </w:r>
            <w:r w:rsidRPr="00154588" w:rsidDel="004D4214">
              <w:rPr>
                <w:rFonts w:eastAsia="Calibri"/>
                <w:sz w:val="20"/>
                <w:szCs w:val="20"/>
              </w:rPr>
              <w:t xml:space="preserve"> </w:t>
            </w:r>
            <w:r w:rsidRPr="00154588">
              <w:rPr>
                <w:rFonts w:eastAsia="Calibri"/>
                <w:sz w:val="20"/>
                <w:szCs w:val="20"/>
              </w:rPr>
              <w:t>decide astfel, cu luarea în considerare a situației specifice a entității și a politicilor grupului, în cazul în care aceasta nu reprezintă un risc pentru întregul grup.</w:t>
            </w:r>
          </w:p>
          <w:p w14:paraId="76DA6125" w14:textId="7597E26F" w:rsidR="006A2A6A" w:rsidRPr="00154588" w:rsidRDefault="00253759" w:rsidP="008C12B4">
            <w:pPr>
              <w:ind w:firstLine="567"/>
              <w:jc w:val="both"/>
              <w:rPr>
                <w:rFonts w:eastAsia="Calibri"/>
                <w:sz w:val="20"/>
                <w:szCs w:val="20"/>
              </w:rPr>
            </w:pPr>
            <w:r w:rsidRPr="00154588">
              <w:rPr>
                <w:rFonts w:eastAsia="Calibri"/>
                <w:sz w:val="20"/>
                <w:szCs w:val="20"/>
              </w:rPr>
              <w:t>(2) Existența unui acord de sprijin financiar intragrup nu constituie o condiție prealabilă pentru ca entitățile prevăzute la art.41</w:t>
            </w:r>
            <w:r w:rsidRPr="00154588">
              <w:rPr>
                <w:rFonts w:eastAsia="Calibri"/>
                <w:sz w:val="20"/>
                <w:szCs w:val="20"/>
                <w:vertAlign w:val="superscript"/>
              </w:rPr>
              <w:t>9</w:t>
            </w:r>
            <w:r w:rsidRPr="00154588">
              <w:rPr>
                <w:rFonts w:eastAsia="Calibri"/>
                <w:sz w:val="20"/>
                <w:szCs w:val="20"/>
              </w:rPr>
              <w:t xml:space="preserve"> să funcționeze în Republica Moldova.</w:t>
            </w:r>
          </w:p>
        </w:tc>
        <w:tc>
          <w:tcPr>
            <w:tcW w:w="2552" w:type="dxa"/>
          </w:tcPr>
          <w:p w14:paraId="17EE1DDA" w14:textId="2B623E3D" w:rsidR="006A2A6A" w:rsidRPr="00154588" w:rsidRDefault="00253759" w:rsidP="008C12B4">
            <w:pPr>
              <w:jc w:val="both"/>
              <w:rPr>
                <w:bCs/>
                <w:sz w:val="20"/>
                <w:szCs w:val="20"/>
              </w:rPr>
            </w:pPr>
            <w:r w:rsidRPr="00154588">
              <w:rPr>
                <w:bCs/>
                <w:sz w:val="20"/>
                <w:szCs w:val="20"/>
              </w:rPr>
              <w:t>Compatibil</w:t>
            </w:r>
          </w:p>
        </w:tc>
        <w:tc>
          <w:tcPr>
            <w:tcW w:w="3118" w:type="dxa"/>
          </w:tcPr>
          <w:p w14:paraId="24FBEEF1" w14:textId="77777777" w:rsidR="006A2A6A" w:rsidRPr="00154588" w:rsidRDefault="006A2A6A" w:rsidP="008C12B4">
            <w:pPr>
              <w:jc w:val="both"/>
              <w:rPr>
                <w:bCs/>
                <w:sz w:val="20"/>
                <w:szCs w:val="20"/>
              </w:rPr>
            </w:pPr>
          </w:p>
        </w:tc>
      </w:tr>
      <w:tr w:rsidR="006A2A6A" w:rsidRPr="00154588" w14:paraId="30BBC202" w14:textId="77777777" w:rsidTr="00D15C1B">
        <w:trPr>
          <w:jc w:val="center"/>
        </w:trPr>
        <w:tc>
          <w:tcPr>
            <w:tcW w:w="4957" w:type="dxa"/>
            <w:gridSpan w:val="2"/>
          </w:tcPr>
          <w:p w14:paraId="17976792" w14:textId="7B4BC754" w:rsidR="006A2A6A" w:rsidRPr="00154588" w:rsidRDefault="006A2A6A" w:rsidP="008C12B4">
            <w:pPr>
              <w:jc w:val="both"/>
              <w:rPr>
                <w:bCs/>
                <w:sz w:val="20"/>
                <w:szCs w:val="20"/>
              </w:rPr>
            </w:pPr>
            <w:r w:rsidRPr="00154588">
              <w:rPr>
                <w:bCs/>
                <w:sz w:val="20"/>
                <w:szCs w:val="20"/>
              </w:rPr>
              <w:t>(4) Statele membre elimină din dreptul intern orice obstacole de natură juridică din calea tranzacțiilor de sprijin financiar intragrup desfășurate în conformitate cu prezentul capitol, cu condiția ca nicio dispoziție din prezentul capitol să nu împiedice statele membre să impună limite tranzacțiilor intragrup în temeiul dreptului intern de punere în aplicare a opțiunilor prevăzute în Regulamentul (UE) nr. 575/2013 sau de transpunere a Directivei 2013/36/UE, sau care impune separarea, din motive de stabilitate financiară, a unor părți dintr-un grup sau a activităților desfășurate în cadrul unui grup.</w:t>
            </w:r>
          </w:p>
        </w:tc>
        <w:tc>
          <w:tcPr>
            <w:tcW w:w="4819" w:type="dxa"/>
          </w:tcPr>
          <w:p w14:paraId="4333FA65" w14:textId="77777777" w:rsidR="00253759" w:rsidRPr="00154588" w:rsidRDefault="00253759" w:rsidP="008C12B4">
            <w:pPr>
              <w:ind w:firstLine="567"/>
              <w:jc w:val="both"/>
              <w:rPr>
                <w:rFonts w:eastAsia="Calibri"/>
                <w:kern w:val="2"/>
                <w:sz w:val="20"/>
                <w:szCs w:val="20"/>
                <w14:ligatures w14:val="standardContextual"/>
              </w:rPr>
            </w:pPr>
            <w:r w:rsidRPr="00154588">
              <w:rPr>
                <w:rFonts w:eastAsia="Calibri"/>
                <w:b/>
                <w:sz w:val="20"/>
                <w:szCs w:val="20"/>
              </w:rPr>
              <w:t>Articolul 41</w:t>
            </w:r>
            <w:r w:rsidRPr="00154588">
              <w:rPr>
                <w:rFonts w:eastAsia="Calibri"/>
                <w:b/>
                <w:sz w:val="20"/>
                <w:szCs w:val="20"/>
                <w:vertAlign w:val="superscript"/>
              </w:rPr>
              <w:t>12</w:t>
            </w:r>
            <w:r w:rsidRPr="00154588">
              <w:rPr>
                <w:rFonts w:eastAsia="Calibri"/>
                <w:sz w:val="20"/>
                <w:szCs w:val="20"/>
              </w:rPr>
              <w:t xml:space="preserve"> – (1) Prevederile din legislația națională, ce constituie un impediment legal pentru tranzacțiile privind furnizarea de sprijin financiar intragrup derulate potrivit dispozițiilor art.41</w:t>
            </w:r>
            <w:r w:rsidRPr="00154588">
              <w:rPr>
                <w:rFonts w:eastAsia="Calibri"/>
                <w:sz w:val="20"/>
                <w:szCs w:val="20"/>
                <w:vertAlign w:val="superscript"/>
              </w:rPr>
              <w:t>9</w:t>
            </w:r>
            <w:r w:rsidRPr="00154588">
              <w:rPr>
                <w:rFonts w:eastAsia="Calibri"/>
                <w:sz w:val="20"/>
                <w:szCs w:val="20"/>
              </w:rPr>
              <w:t>-41</w:t>
            </w:r>
            <w:r w:rsidRPr="00154588">
              <w:rPr>
                <w:rFonts w:eastAsia="Calibri"/>
                <w:sz w:val="20"/>
                <w:szCs w:val="20"/>
                <w:vertAlign w:val="superscript"/>
              </w:rPr>
              <w:t>39</w:t>
            </w:r>
            <w:r w:rsidRPr="00154588">
              <w:rPr>
                <w:rFonts w:eastAsia="Calibri"/>
                <w:sz w:val="20"/>
                <w:szCs w:val="20"/>
              </w:rPr>
              <w:t>, nu se aplică.</w:t>
            </w:r>
          </w:p>
          <w:p w14:paraId="3F0077B6" w14:textId="3C19C6AA" w:rsidR="006A2A6A" w:rsidRPr="00154588" w:rsidRDefault="00253759" w:rsidP="008C12B4">
            <w:pPr>
              <w:jc w:val="both"/>
              <w:rPr>
                <w:bCs/>
                <w:sz w:val="20"/>
                <w:szCs w:val="20"/>
              </w:rPr>
            </w:pPr>
            <w:r w:rsidRPr="00154588">
              <w:rPr>
                <w:rFonts w:eastAsia="Calibri"/>
                <w:sz w:val="20"/>
                <w:szCs w:val="20"/>
              </w:rPr>
              <w:t>(2) Dispozițiile art.41</w:t>
            </w:r>
            <w:r w:rsidRPr="00154588">
              <w:rPr>
                <w:rFonts w:eastAsia="Calibri"/>
                <w:sz w:val="20"/>
                <w:szCs w:val="20"/>
                <w:vertAlign w:val="superscript"/>
              </w:rPr>
              <w:t>9</w:t>
            </w:r>
            <w:r w:rsidRPr="00154588">
              <w:rPr>
                <w:rFonts w:eastAsia="Calibri"/>
                <w:sz w:val="20"/>
                <w:szCs w:val="20"/>
              </w:rPr>
              <w:t>-41</w:t>
            </w:r>
            <w:r w:rsidRPr="00154588">
              <w:rPr>
                <w:rFonts w:eastAsia="Calibri"/>
                <w:sz w:val="20"/>
                <w:szCs w:val="20"/>
                <w:vertAlign w:val="superscript"/>
              </w:rPr>
              <w:t>39</w:t>
            </w:r>
            <w:r w:rsidRPr="00154588">
              <w:rPr>
                <w:rFonts w:eastAsia="Calibri"/>
                <w:sz w:val="20"/>
                <w:szCs w:val="20"/>
              </w:rPr>
              <w:t xml:space="preserve"> nu aduc atingere prevederilor care stabilesc limite asupra tranzacțiilor intragrup potrivit reglementărilor naționale în aplicarea Regulamentul (UE) 575/2013 sau de transpunere a Directivei 2013/36/UE ori a prevederilor care impun separarea, din motive de stabilitate financiară, a unor părți dintr-un grup sau a activităților desfășurate în cadrul unui grup.</w:t>
            </w:r>
          </w:p>
        </w:tc>
        <w:tc>
          <w:tcPr>
            <w:tcW w:w="2552" w:type="dxa"/>
          </w:tcPr>
          <w:p w14:paraId="050D40E3" w14:textId="41268573" w:rsidR="006A2A6A" w:rsidRPr="00154588" w:rsidRDefault="00253759" w:rsidP="008C12B4">
            <w:pPr>
              <w:jc w:val="both"/>
              <w:rPr>
                <w:bCs/>
                <w:sz w:val="20"/>
                <w:szCs w:val="20"/>
              </w:rPr>
            </w:pPr>
            <w:r w:rsidRPr="00154588">
              <w:rPr>
                <w:bCs/>
                <w:sz w:val="20"/>
                <w:szCs w:val="20"/>
              </w:rPr>
              <w:t>Compatibil</w:t>
            </w:r>
          </w:p>
        </w:tc>
        <w:tc>
          <w:tcPr>
            <w:tcW w:w="3118" w:type="dxa"/>
          </w:tcPr>
          <w:p w14:paraId="687EFD7C" w14:textId="77777777" w:rsidR="006A2A6A" w:rsidRPr="00154588" w:rsidRDefault="006A2A6A" w:rsidP="008C12B4">
            <w:pPr>
              <w:jc w:val="both"/>
              <w:rPr>
                <w:bCs/>
                <w:sz w:val="20"/>
                <w:szCs w:val="20"/>
              </w:rPr>
            </w:pPr>
          </w:p>
        </w:tc>
      </w:tr>
      <w:tr w:rsidR="006A2A6A" w:rsidRPr="00154588" w14:paraId="634BCA99" w14:textId="77777777" w:rsidTr="00D15C1B">
        <w:trPr>
          <w:jc w:val="center"/>
        </w:trPr>
        <w:tc>
          <w:tcPr>
            <w:tcW w:w="4957" w:type="dxa"/>
            <w:gridSpan w:val="2"/>
          </w:tcPr>
          <w:p w14:paraId="28FA4282" w14:textId="77777777" w:rsidR="006A2A6A" w:rsidRPr="00154588" w:rsidRDefault="006A2A6A" w:rsidP="008C12B4">
            <w:pPr>
              <w:jc w:val="both"/>
              <w:rPr>
                <w:bCs/>
                <w:sz w:val="20"/>
                <w:szCs w:val="20"/>
              </w:rPr>
            </w:pPr>
            <w:r w:rsidRPr="00154588">
              <w:rPr>
                <w:bCs/>
                <w:sz w:val="20"/>
                <w:szCs w:val="20"/>
              </w:rPr>
              <w:lastRenderedPageBreak/>
              <w:t>(5)   Acordul de sprijin financiar intragrup poate:</w:t>
            </w:r>
          </w:p>
          <w:p w14:paraId="4C2C92D8" w14:textId="77777777" w:rsidR="006A2A6A" w:rsidRPr="00154588" w:rsidRDefault="006A2A6A" w:rsidP="008C12B4">
            <w:pPr>
              <w:jc w:val="both"/>
              <w:rPr>
                <w:bCs/>
                <w:sz w:val="20"/>
                <w:szCs w:val="20"/>
              </w:rPr>
            </w:pPr>
          </w:p>
          <w:p w14:paraId="6F4DD4BA" w14:textId="2F82E8DF" w:rsidR="006A2A6A" w:rsidRPr="00154588" w:rsidRDefault="006A2A6A" w:rsidP="008C12B4">
            <w:pPr>
              <w:jc w:val="both"/>
              <w:rPr>
                <w:bCs/>
                <w:sz w:val="20"/>
                <w:szCs w:val="20"/>
              </w:rPr>
            </w:pPr>
            <w:r w:rsidRPr="00154588">
              <w:rPr>
                <w:bCs/>
                <w:sz w:val="20"/>
                <w:szCs w:val="20"/>
              </w:rPr>
              <w:t>(a) să acopere una sau mai multe filiale ale grupului și poate prevedea sprijin financiar din partea întreprinderii-mamă către filiale, din partea filialelor către întreprinderea-mamă, între filialele din grup care sunt parte la acord sau orice combinație a acestor entități;</w:t>
            </w:r>
          </w:p>
          <w:p w14:paraId="17E6C581" w14:textId="77777777" w:rsidR="006A2A6A" w:rsidRPr="00154588" w:rsidRDefault="006A2A6A" w:rsidP="008C12B4">
            <w:pPr>
              <w:jc w:val="both"/>
              <w:rPr>
                <w:bCs/>
                <w:sz w:val="20"/>
                <w:szCs w:val="20"/>
              </w:rPr>
            </w:pPr>
          </w:p>
          <w:p w14:paraId="42DD58FE" w14:textId="77777777" w:rsidR="006A2A6A" w:rsidRPr="00154588" w:rsidRDefault="006A2A6A" w:rsidP="008C12B4">
            <w:pPr>
              <w:jc w:val="both"/>
              <w:rPr>
                <w:bCs/>
                <w:sz w:val="20"/>
                <w:szCs w:val="20"/>
              </w:rPr>
            </w:pPr>
          </w:p>
          <w:p w14:paraId="1D89DEA6" w14:textId="77777777" w:rsidR="006A2A6A" w:rsidRPr="00154588" w:rsidRDefault="006A2A6A" w:rsidP="008C12B4">
            <w:pPr>
              <w:jc w:val="both"/>
              <w:rPr>
                <w:bCs/>
                <w:sz w:val="20"/>
                <w:szCs w:val="20"/>
              </w:rPr>
            </w:pPr>
          </w:p>
          <w:p w14:paraId="5443B886" w14:textId="69357C79" w:rsidR="006A2A6A" w:rsidRPr="00154588" w:rsidRDefault="006A2A6A" w:rsidP="008C12B4">
            <w:pPr>
              <w:jc w:val="both"/>
              <w:rPr>
                <w:bCs/>
                <w:sz w:val="20"/>
                <w:szCs w:val="20"/>
              </w:rPr>
            </w:pPr>
            <w:r w:rsidRPr="00154588">
              <w:rPr>
                <w:bCs/>
                <w:sz w:val="20"/>
                <w:szCs w:val="20"/>
              </w:rPr>
              <w:t>(b) să prevadă sprijin financiar sub forma unui împrumut, a acordării de garanții, a furnizării de active pentru a fi utilizate drept garanție reală sau a oricărei combinații între aceste forme de sprijin financiar, în cadrul uneia sau mai multor tranzacții, inclusiv între beneficiarul sprijinului și o terță parte.</w:t>
            </w:r>
          </w:p>
        </w:tc>
        <w:tc>
          <w:tcPr>
            <w:tcW w:w="4819" w:type="dxa"/>
          </w:tcPr>
          <w:p w14:paraId="4BA9E1C9" w14:textId="77777777" w:rsidR="00253759" w:rsidRPr="00154588" w:rsidRDefault="00253759"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13</w:t>
            </w:r>
            <w:r w:rsidRPr="00154588">
              <w:rPr>
                <w:rFonts w:eastAsia="Calibri"/>
                <w:b/>
                <w:sz w:val="20"/>
                <w:szCs w:val="20"/>
              </w:rPr>
              <w:t>.</w:t>
            </w:r>
            <w:r w:rsidRPr="00154588">
              <w:rPr>
                <w:rFonts w:eastAsia="Calibri"/>
                <w:sz w:val="20"/>
                <w:szCs w:val="20"/>
              </w:rPr>
              <w:t xml:space="preserve"> – (1) Acordul de sprijin financiar intragrup poate:</w:t>
            </w:r>
          </w:p>
          <w:p w14:paraId="4F47C824" w14:textId="77777777" w:rsidR="00253759" w:rsidRPr="00154588" w:rsidRDefault="00253759" w:rsidP="008C12B4">
            <w:pPr>
              <w:ind w:firstLine="567"/>
              <w:jc w:val="both"/>
              <w:rPr>
                <w:rFonts w:eastAsia="Calibri"/>
                <w:sz w:val="20"/>
                <w:szCs w:val="20"/>
              </w:rPr>
            </w:pPr>
            <w:r w:rsidRPr="00154588">
              <w:rPr>
                <w:rFonts w:eastAsia="Calibri"/>
                <w:sz w:val="20"/>
                <w:szCs w:val="20"/>
              </w:rPr>
              <w:t>a) să acopere una sau mai multe filiale ale grupului și poate prevedea sprijin financiar din partea întreprinderii-mamă către filiale, din partea filialelor către întreprinderea-mamă, între filialele din grup care sunt parte la acord sau orice altă combinație între părți ale acordului.</w:t>
            </w:r>
          </w:p>
          <w:p w14:paraId="0FD5EB0B" w14:textId="77777777" w:rsidR="00253759" w:rsidRPr="00154588" w:rsidRDefault="00253759" w:rsidP="008C12B4">
            <w:pPr>
              <w:ind w:firstLine="567"/>
              <w:jc w:val="both"/>
              <w:rPr>
                <w:rFonts w:eastAsia="Calibri"/>
                <w:sz w:val="20"/>
                <w:szCs w:val="20"/>
              </w:rPr>
            </w:pPr>
            <w:r w:rsidRPr="00154588">
              <w:rPr>
                <w:rFonts w:eastAsia="Calibri"/>
                <w:sz w:val="20"/>
                <w:szCs w:val="20"/>
              </w:rPr>
              <w:t xml:space="preserve">b) să prevadă sprijin financiar sub formă unui împrumut, a acordării de garanții,  furnizării de active pentru a fi utilizate drept garanții reale sau oricărei combinații între aceste forme de sprijin financiar, în cadrul uneia sau mai multor tranzacții, inclusiv între beneficiarul sprijinului și o terță parte. </w:t>
            </w:r>
          </w:p>
          <w:p w14:paraId="4A8B412F" w14:textId="77777777" w:rsidR="006A2A6A" w:rsidRPr="00154588" w:rsidRDefault="006A2A6A" w:rsidP="008C12B4">
            <w:pPr>
              <w:jc w:val="both"/>
              <w:rPr>
                <w:bCs/>
                <w:sz w:val="20"/>
                <w:szCs w:val="20"/>
              </w:rPr>
            </w:pPr>
          </w:p>
        </w:tc>
        <w:tc>
          <w:tcPr>
            <w:tcW w:w="2552" w:type="dxa"/>
          </w:tcPr>
          <w:p w14:paraId="3C9D0846" w14:textId="7DDA6976" w:rsidR="006A2A6A" w:rsidRPr="00154588" w:rsidRDefault="00253759" w:rsidP="008C12B4">
            <w:pPr>
              <w:jc w:val="both"/>
              <w:rPr>
                <w:bCs/>
                <w:sz w:val="20"/>
                <w:szCs w:val="20"/>
              </w:rPr>
            </w:pPr>
            <w:r w:rsidRPr="00154588">
              <w:rPr>
                <w:bCs/>
                <w:sz w:val="20"/>
                <w:szCs w:val="20"/>
              </w:rPr>
              <w:t>Compatibil</w:t>
            </w:r>
          </w:p>
        </w:tc>
        <w:tc>
          <w:tcPr>
            <w:tcW w:w="3118" w:type="dxa"/>
          </w:tcPr>
          <w:p w14:paraId="6F532DCF" w14:textId="77777777" w:rsidR="006A2A6A" w:rsidRPr="00154588" w:rsidRDefault="006A2A6A" w:rsidP="008C12B4">
            <w:pPr>
              <w:jc w:val="both"/>
              <w:rPr>
                <w:bCs/>
                <w:sz w:val="20"/>
                <w:szCs w:val="20"/>
              </w:rPr>
            </w:pPr>
          </w:p>
        </w:tc>
      </w:tr>
      <w:tr w:rsidR="006A2A6A" w:rsidRPr="00154588" w14:paraId="055F9533" w14:textId="77777777" w:rsidTr="00D15C1B">
        <w:trPr>
          <w:jc w:val="center"/>
        </w:trPr>
        <w:tc>
          <w:tcPr>
            <w:tcW w:w="4957" w:type="dxa"/>
            <w:gridSpan w:val="2"/>
          </w:tcPr>
          <w:p w14:paraId="21D5E36A" w14:textId="6FC8DDD8" w:rsidR="006A2A6A" w:rsidRPr="00154588" w:rsidRDefault="006A2A6A" w:rsidP="008C12B4">
            <w:pPr>
              <w:jc w:val="both"/>
              <w:rPr>
                <w:bCs/>
                <w:sz w:val="20"/>
                <w:szCs w:val="20"/>
              </w:rPr>
            </w:pPr>
            <w:r w:rsidRPr="00154588">
              <w:rPr>
                <w:bCs/>
                <w:sz w:val="20"/>
                <w:szCs w:val="20"/>
              </w:rPr>
              <w:t>(6) În cazul în care, în conformitate cu termenii acordului de sprijin financiar intragrup, o entitate din grup se angajează să acorde sprijin financiar unei alte entități din grup, acest acord poate include un altul, reciproc, prin care entitatea din grup care primește sprijinul se angajează, să acorde sprijin financiar entității din grup care acordă sprijinul.</w:t>
            </w:r>
          </w:p>
        </w:tc>
        <w:tc>
          <w:tcPr>
            <w:tcW w:w="4819" w:type="dxa"/>
          </w:tcPr>
          <w:p w14:paraId="09D42A3D" w14:textId="24D48914" w:rsidR="006A2A6A" w:rsidRPr="00154588" w:rsidRDefault="00253759"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13</w:t>
            </w:r>
            <w:r w:rsidRPr="00154588">
              <w:rPr>
                <w:rFonts w:eastAsia="Calibri"/>
                <w:b/>
                <w:sz w:val="20"/>
                <w:szCs w:val="20"/>
              </w:rPr>
              <w:t>.</w:t>
            </w:r>
            <w:r w:rsidRPr="00154588">
              <w:rPr>
                <w:rFonts w:eastAsia="Calibri"/>
                <w:sz w:val="20"/>
                <w:szCs w:val="20"/>
              </w:rPr>
              <w:t xml:space="preserve"> – (2) În cazul în care, în conformitate cu termenii acordului de sprijin financiar intragrup, o entitate din grup se angajează să acorde sprijin financiar unei alte entități din grup, acest din urmă acord poate include o clauză de reciprocitate, prin care entitatea din grup care primește sprijinul se angajează să acorde sprijin financiar entității din grup care acordă sprijinul.</w:t>
            </w:r>
          </w:p>
        </w:tc>
        <w:tc>
          <w:tcPr>
            <w:tcW w:w="2552" w:type="dxa"/>
          </w:tcPr>
          <w:p w14:paraId="61A94778" w14:textId="3F0CC828" w:rsidR="006A2A6A" w:rsidRPr="00154588" w:rsidRDefault="00253759" w:rsidP="008C12B4">
            <w:pPr>
              <w:jc w:val="both"/>
              <w:rPr>
                <w:bCs/>
                <w:sz w:val="20"/>
                <w:szCs w:val="20"/>
              </w:rPr>
            </w:pPr>
            <w:r w:rsidRPr="00154588">
              <w:rPr>
                <w:bCs/>
                <w:sz w:val="20"/>
                <w:szCs w:val="20"/>
              </w:rPr>
              <w:t>Compatibil</w:t>
            </w:r>
          </w:p>
        </w:tc>
        <w:tc>
          <w:tcPr>
            <w:tcW w:w="3118" w:type="dxa"/>
          </w:tcPr>
          <w:p w14:paraId="3627BA5C" w14:textId="77777777" w:rsidR="006A2A6A" w:rsidRPr="00154588" w:rsidRDefault="006A2A6A" w:rsidP="008C12B4">
            <w:pPr>
              <w:jc w:val="both"/>
              <w:rPr>
                <w:bCs/>
                <w:sz w:val="20"/>
                <w:szCs w:val="20"/>
              </w:rPr>
            </w:pPr>
          </w:p>
        </w:tc>
      </w:tr>
      <w:tr w:rsidR="006A2A6A" w:rsidRPr="00154588" w14:paraId="066AD0C0" w14:textId="77777777" w:rsidTr="00D15C1B">
        <w:trPr>
          <w:jc w:val="center"/>
        </w:trPr>
        <w:tc>
          <w:tcPr>
            <w:tcW w:w="4957" w:type="dxa"/>
            <w:gridSpan w:val="2"/>
          </w:tcPr>
          <w:p w14:paraId="3CC61E3A" w14:textId="77777777" w:rsidR="006A2A6A" w:rsidRPr="00154588" w:rsidRDefault="006A2A6A" w:rsidP="008C12B4">
            <w:pPr>
              <w:jc w:val="both"/>
              <w:rPr>
                <w:bCs/>
                <w:sz w:val="20"/>
                <w:szCs w:val="20"/>
              </w:rPr>
            </w:pPr>
            <w:r w:rsidRPr="00154588">
              <w:rPr>
                <w:bCs/>
                <w:sz w:val="20"/>
                <w:szCs w:val="20"/>
              </w:rPr>
              <w:t>(7)   Acordul de sprijin financiar intragrup specifică principiile pentru calcularea contraprestației datorată pentru orice tranzacție efectuată în temeiul acordului. Aceste principii includ cerința de a stabili contraprestația în momentul furnizării sprijinului financiar. Acordul, inclusiv principiile pentru calcularea contraprestației aferente furnizării sprijinului financiar, precum și ceilalți termeni ai acordului, respectă următoarele principii:</w:t>
            </w:r>
          </w:p>
          <w:p w14:paraId="7834B82A" w14:textId="77777777" w:rsidR="006A2A6A" w:rsidRPr="00154588" w:rsidRDefault="006A2A6A" w:rsidP="008C12B4">
            <w:pPr>
              <w:jc w:val="both"/>
              <w:rPr>
                <w:bCs/>
                <w:sz w:val="20"/>
                <w:szCs w:val="20"/>
              </w:rPr>
            </w:pPr>
          </w:p>
          <w:p w14:paraId="2D7C6AED" w14:textId="77777777" w:rsidR="006A2A6A" w:rsidRPr="00154588" w:rsidRDefault="006A2A6A" w:rsidP="008C12B4">
            <w:pPr>
              <w:jc w:val="both"/>
              <w:rPr>
                <w:bCs/>
                <w:sz w:val="20"/>
                <w:szCs w:val="20"/>
              </w:rPr>
            </w:pPr>
          </w:p>
          <w:p w14:paraId="4D5CF012" w14:textId="77777777" w:rsidR="006A2A6A" w:rsidRPr="00154588" w:rsidRDefault="006A2A6A" w:rsidP="008C12B4">
            <w:pPr>
              <w:jc w:val="both"/>
              <w:rPr>
                <w:bCs/>
                <w:sz w:val="20"/>
                <w:szCs w:val="20"/>
              </w:rPr>
            </w:pPr>
          </w:p>
          <w:p w14:paraId="00A2DE4C" w14:textId="2DB0F1B0" w:rsidR="006A2A6A" w:rsidRPr="00154588" w:rsidRDefault="006A2A6A" w:rsidP="008C12B4">
            <w:pPr>
              <w:jc w:val="both"/>
              <w:rPr>
                <w:bCs/>
                <w:sz w:val="20"/>
                <w:szCs w:val="20"/>
              </w:rPr>
            </w:pPr>
            <w:r w:rsidRPr="00154588">
              <w:rPr>
                <w:bCs/>
                <w:sz w:val="20"/>
                <w:szCs w:val="20"/>
              </w:rPr>
              <w:t>(a) fiecare parte trebuie să decidă în mod liber cu privire la încheierea acordului;</w:t>
            </w:r>
          </w:p>
          <w:p w14:paraId="0336BA04" w14:textId="77777777" w:rsidR="006A2A6A" w:rsidRPr="00154588" w:rsidRDefault="006A2A6A" w:rsidP="008C12B4">
            <w:pPr>
              <w:jc w:val="both"/>
              <w:rPr>
                <w:bCs/>
                <w:sz w:val="20"/>
                <w:szCs w:val="20"/>
              </w:rPr>
            </w:pPr>
          </w:p>
          <w:p w14:paraId="1D8B5722" w14:textId="0172BEEE" w:rsidR="006A2A6A" w:rsidRPr="00154588" w:rsidRDefault="006A2A6A" w:rsidP="008C12B4">
            <w:pPr>
              <w:jc w:val="both"/>
              <w:rPr>
                <w:bCs/>
                <w:sz w:val="20"/>
                <w:szCs w:val="20"/>
              </w:rPr>
            </w:pPr>
            <w:r w:rsidRPr="00154588">
              <w:rPr>
                <w:bCs/>
                <w:sz w:val="20"/>
                <w:szCs w:val="20"/>
              </w:rPr>
              <w:t>(b) la încheierea acordului și la calcularea contraprestației aferente furnizării sprijinului financiar, fiecare parte trebuie să acționeze potrivit propriilor interese, care pot ține seama de eventualele beneficii directe sau indirecte pe care le poate obține partea în urma furnizării sprijinului financiar;</w:t>
            </w:r>
          </w:p>
          <w:p w14:paraId="059A69E7" w14:textId="77777777" w:rsidR="006A2A6A" w:rsidRPr="00154588" w:rsidRDefault="006A2A6A" w:rsidP="008C12B4">
            <w:pPr>
              <w:jc w:val="both"/>
              <w:rPr>
                <w:bCs/>
                <w:sz w:val="20"/>
                <w:szCs w:val="20"/>
              </w:rPr>
            </w:pPr>
          </w:p>
          <w:p w14:paraId="44B72251" w14:textId="77777777" w:rsidR="006A2A6A" w:rsidRPr="00154588" w:rsidRDefault="006A2A6A" w:rsidP="008C12B4">
            <w:pPr>
              <w:jc w:val="both"/>
              <w:rPr>
                <w:bCs/>
                <w:sz w:val="20"/>
                <w:szCs w:val="20"/>
              </w:rPr>
            </w:pPr>
          </w:p>
          <w:p w14:paraId="3F6CC2D8" w14:textId="51AD4BD6" w:rsidR="006A2A6A" w:rsidRPr="00154588" w:rsidRDefault="006A2A6A" w:rsidP="008C12B4">
            <w:pPr>
              <w:jc w:val="both"/>
              <w:rPr>
                <w:bCs/>
                <w:sz w:val="20"/>
                <w:szCs w:val="20"/>
              </w:rPr>
            </w:pPr>
            <w:r w:rsidRPr="00154588">
              <w:rPr>
                <w:bCs/>
                <w:sz w:val="20"/>
                <w:szCs w:val="20"/>
              </w:rPr>
              <w:lastRenderedPageBreak/>
              <w:t>(c) fiecare parte care acordă sprijin financiar trebuie să primească toate informațiile relevante de la părțile care primesc sprijin financiar, înainte de stabilirea contraprestației aferente furnizării acestuia și înainte de luarea oricărei decizii privind furnizarea acestuia;</w:t>
            </w:r>
          </w:p>
          <w:p w14:paraId="4A7BB60E" w14:textId="77777777" w:rsidR="006A2A6A" w:rsidRPr="00154588" w:rsidRDefault="006A2A6A" w:rsidP="008C12B4">
            <w:pPr>
              <w:jc w:val="both"/>
              <w:rPr>
                <w:bCs/>
                <w:sz w:val="20"/>
                <w:szCs w:val="20"/>
              </w:rPr>
            </w:pPr>
          </w:p>
          <w:p w14:paraId="3080F78C" w14:textId="77777777" w:rsidR="006A2A6A" w:rsidRPr="00154588" w:rsidRDefault="006A2A6A" w:rsidP="008C12B4">
            <w:pPr>
              <w:jc w:val="both"/>
              <w:rPr>
                <w:bCs/>
                <w:sz w:val="20"/>
                <w:szCs w:val="20"/>
              </w:rPr>
            </w:pPr>
          </w:p>
          <w:p w14:paraId="41498E6F" w14:textId="3A270D8A" w:rsidR="006A2A6A" w:rsidRPr="00154588" w:rsidRDefault="006A2A6A" w:rsidP="008C12B4">
            <w:pPr>
              <w:jc w:val="both"/>
              <w:rPr>
                <w:bCs/>
                <w:sz w:val="20"/>
                <w:szCs w:val="20"/>
              </w:rPr>
            </w:pPr>
            <w:r w:rsidRPr="00154588">
              <w:rPr>
                <w:bCs/>
                <w:sz w:val="20"/>
                <w:szCs w:val="20"/>
              </w:rPr>
              <w:t>(d) contraprestația aferentă furnizării sprijinului financiar poate ține seama de informațiile pe care partea furnizoare de sprijin financiar le deține în virtutea faptului că aparține aceluiași grup ca și partea beneficiară a sprijinului financiar și care nu sunt disponibile pentru piață; și</w:t>
            </w:r>
          </w:p>
          <w:p w14:paraId="3DEA1948" w14:textId="77777777" w:rsidR="006A2A6A" w:rsidRPr="00154588" w:rsidRDefault="006A2A6A" w:rsidP="008C12B4">
            <w:pPr>
              <w:jc w:val="both"/>
              <w:rPr>
                <w:bCs/>
                <w:sz w:val="20"/>
                <w:szCs w:val="20"/>
              </w:rPr>
            </w:pPr>
          </w:p>
          <w:p w14:paraId="467EA15C" w14:textId="538FCC8C" w:rsidR="006A2A6A" w:rsidRPr="00154588" w:rsidRDefault="006A2A6A" w:rsidP="008C12B4">
            <w:pPr>
              <w:jc w:val="both"/>
              <w:rPr>
                <w:bCs/>
                <w:sz w:val="20"/>
                <w:szCs w:val="20"/>
              </w:rPr>
            </w:pPr>
            <w:r w:rsidRPr="00154588">
              <w:rPr>
                <w:bCs/>
                <w:sz w:val="20"/>
                <w:szCs w:val="20"/>
              </w:rPr>
              <w:t>(e) în ceea ce privește principiile de calcul al contraprestației aferente furnizării sprijinului financiar, nu există obligația de a se ține seama de eventualele efecte temporare anticipate asupra prețurilor de pe piață ca urmare a unor evenimente externe grupului.</w:t>
            </w:r>
          </w:p>
        </w:tc>
        <w:tc>
          <w:tcPr>
            <w:tcW w:w="4819" w:type="dxa"/>
          </w:tcPr>
          <w:p w14:paraId="50D87BB2" w14:textId="77777777" w:rsidR="00253759" w:rsidRPr="00154588" w:rsidRDefault="00253759" w:rsidP="008C12B4">
            <w:pPr>
              <w:ind w:firstLine="567"/>
              <w:jc w:val="both"/>
              <w:rPr>
                <w:rFonts w:eastAsia="Calibri"/>
                <w:sz w:val="20"/>
                <w:szCs w:val="20"/>
              </w:rPr>
            </w:pPr>
            <w:r w:rsidRPr="00154588">
              <w:rPr>
                <w:rFonts w:eastAsia="Calibri"/>
                <w:b/>
                <w:sz w:val="20"/>
                <w:szCs w:val="20"/>
              </w:rPr>
              <w:lastRenderedPageBreak/>
              <w:t>Articolul 41</w:t>
            </w:r>
            <w:r w:rsidRPr="00154588">
              <w:rPr>
                <w:rFonts w:eastAsia="Calibri"/>
                <w:b/>
                <w:sz w:val="20"/>
                <w:szCs w:val="20"/>
                <w:vertAlign w:val="superscript"/>
              </w:rPr>
              <w:t>14</w:t>
            </w:r>
            <w:r w:rsidRPr="00154588">
              <w:rPr>
                <w:rFonts w:eastAsia="Calibri"/>
                <w:b/>
                <w:sz w:val="20"/>
                <w:szCs w:val="20"/>
              </w:rPr>
              <w:t>.</w:t>
            </w:r>
            <w:r w:rsidRPr="00154588">
              <w:rPr>
                <w:rFonts w:eastAsia="Calibri"/>
                <w:sz w:val="20"/>
                <w:szCs w:val="20"/>
              </w:rPr>
              <w:t xml:space="preserve"> – Acordul de sprijin financiar intragrup trebuie să respecte următoarele cerințe:</w:t>
            </w:r>
          </w:p>
          <w:p w14:paraId="1C0E36EE" w14:textId="77777777" w:rsidR="00253759" w:rsidRPr="00154588" w:rsidRDefault="00253759" w:rsidP="008C12B4">
            <w:pPr>
              <w:ind w:firstLine="567"/>
              <w:jc w:val="both"/>
              <w:rPr>
                <w:rFonts w:eastAsia="Calibri"/>
                <w:sz w:val="20"/>
                <w:szCs w:val="20"/>
              </w:rPr>
            </w:pPr>
            <w:r w:rsidRPr="00154588">
              <w:rPr>
                <w:rFonts w:eastAsia="Calibri"/>
                <w:sz w:val="20"/>
                <w:szCs w:val="20"/>
              </w:rPr>
              <w:t>a) fiecare parte trebuie să decidă în mod liber cu privire la încheierea acordului;</w:t>
            </w:r>
          </w:p>
          <w:p w14:paraId="685E0513" w14:textId="77777777" w:rsidR="00253759" w:rsidRPr="00154588" w:rsidRDefault="00253759" w:rsidP="008C12B4">
            <w:pPr>
              <w:ind w:firstLine="567"/>
              <w:jc w:val="both"/>
              <w:rPr>
                <w:rFonts w:eastAsia="Calibri"/>
                <w:sz w:val="20"/>
                <w:szCs w:val="20"/>
              </w:rPr>
            </w:pPr>
            <w:r w:rsidRPr="00154588">
              <w:rPr>
                <w:rFonts w:eastAsia="Calibri"/>
                <w:sz w:val="20"/>
                <w:szCs w:val="20"/>
              </w:rPr>
              <w:t>b) acordul cuprinde principiile pentru calcularea contraprestației datorate pentru orice tranzacție efectuată în temeiul acordului;</w:t>
            </w:r>
          </w:p>
          <w:p w14:paraId="79F5A814" w14:textId="77777777" w:rsidR="00253759" w:rsidRPr="00154588" w:rsidRDefault="00253759" w:rsidP="008C12B4">
            <w:pPr>
              <w:ind w:firstLine="567"/>
              <w:jc w:val="both"/>
              <w:rPr>
                <w:rFonts w:eastAsia="Calibri"/>
                <w:sz w:val="20"/>
                <w:szCs w:val="20"/>
              </w:rPr>
            </w:pPr>
            <w:r w:rsidRPr="00154588">
              <w:rPr>
                <w:rFonts w:eastAsia="Calibri"/>
                <w:sz w:val="20"/>
                <w:szCs w:val="20"/>
              </w:rPr>
              <w:t>c) contraprestația se stabilește în momentul furnizării sprijinului financiar;</w:t>
            </w:r>
          </w:p>
          <w:p w14:paraId="603E02F8" w14:textId="77777777" w:rsidR="00253759" w:rsidRPr="00154588" w:rsidRDefault="00253759" w:rsidP="008C12B4">
            <w:pPr>
              <w:ind w:firstLine="567"/>
              <w:jc w:val="both"/>
              <w:rPr>
                <w:rFonts w:eastAsia="Calibri"/>
                <w:sz w:val="20"/>
                <w:szCs w:val="20"/>
              </w:rPr>
            </w:pPr>
            <w:r w:rsidRPr="00154588">
              <w:rPr>
                <w:rFonts w:eastAsia="Calibri"/>
                <w:sz w:val="20"/>
                <w:szCs w:val="20"/>
              </w:rPr>
              <w:t>d) la încheierea acordului și la calcularea contraprestației aferente furnizării sprijinului financiar, fiecare parte acționează potrivit propriilor interese, care pot ține seama de eventualele beneficii directe sau indirecte pe care le poate obține în urma furnizării sprijinului financiar;</w:t>
            </w:r>
          </w:p>
          <w:p w14:paraId="4604E01A" w14:textId="77777777" w:rsidR="00253759" w:rsidRPr="00154588" w:rsidRDefault="00253759" w:rsidP="008C12B4">
            <w:pPr>
              <w:ind w:firstLine="567"/>
              <w:jc w:val="both"/>
              <w:rPr>
                <w:rFonts w:eastAsia="Calibri"/>
                <w:sz w:val="20"/>
                <w:szCs w:val="20"/>
              </w:rPr>
            </w:pPr>
            <w:r w:rsidRPr="00154588">
              <w:rPr>
                <w:rFonts w:eastAsia="Calibri"/>
                <w:sz w:val="20"/>
                <w:szCs w:val="20"/>
              </w:rPr>
              <w:t>e) fiecare parte care acordă sprijin financiar are acces la toate informațiile relevante de la părțile care primesc sprijin financiar, înainte de stabilirea contraprestației aferente furnizării acestuia și înainte de a lua orice decizie privind furnizarea acestuia;</w:t>
            </w:r>
          </w:p>
          <w:p w14:paraId="44161086" w14:textId="77777777" w:rsidR="00253759" w:rsidRPr="00154588" w:rsidRDefault="00253759" w:rsidP="008C12B4">
            <w:pPr>
              <w:ind w:firstLine="567"/>
              <w:jc w:val="both"/>
              <w:rPr>
                <w:rFonts w:eastAsia="Calibri"/>
                <w:sz w:val="20"/>
                <w:szCs w:val="20"/>
              </w:rPr>
            </w:pPr>
            <w:r w:rsidRPr="00154588">
              <w:rPr>
                <w:rFonts w:eastAsia="Calibri"/>
                <w:sz w:val="20"/>
                <w:szCs w:val="20"/>
              </w:rPr>
              <w:t xml:space="preserve">f) contraprestația aferentă furnizării sprijinului financiar poate ține seama de informațiile pe care partea </w:t>
            </w:r>
            <w:r w:rsidRPr="00154588">
              <w:rPr>
                <w:rFonts w:eastAsia="Calibri"/>
                <w:sz w:val="20"/>
                <w:szCs w:val="20"/>
              </w:rPr>
              <w:lastRenderedPageBreak/>
              <w:t>furnizoare de sprijin financiar le deține în virtutea faptului că aparține aceluiași grup ca partea beneficiară a sprijinului financiar și care nu sunt disponibile pentru piață;</w:t>
            </w:r>
          </w:p>
          <w:p w14:paraId="5D8478E8" w14:textId="7AB6FD3A" w:rsidR="006A2A6A" w:rsidRPr="00154588" w:rsidRDefault="00253759" w:rsidP="008C12B4">
            <w:pPr>
              <w:ind w:firstLine="567"/>
              <w:jc w:val="both"/>
              <w:rPr>
                <w:rFonts w:eastAsia="Calibri"/>
                <w:sz w:val="20"/>
                <w:szCs w:val="20"/>
              </w:rPr>
            </w:pPr>
            <w:r w:rsidRPr="00154588">
              <w:rPr>
                <w:rFonts w:eastAsia="Calibri"/>
                <w:sz w:val="20"/>
                <w:szCs w:val="20"/>
              </w:rPr>
              <w:t>g) la calcularea contraprestației aferente furnizării sprijinului financiar nu trebuie să existe obligația de a se ține seama de eventualele efecte temporare anticipate asupra prețurilor de pe piață ca urmare a unor evenimente externe grupului.</w:t>
            </w:r>
          </w:p>
        </w:tc>
        <w:tc>
          <w:tcPr>
            <w:tcW w:w="2552" w:type="dxa"/>
          </w:tcPr>
          <w:p w14:paraId="50C7D0C7" w14:textId="68677CC6" w:rsidR="006A2A6A" w:rsidRPr="00154588" w:rsidRDefault="00253759" w:rsidP="008C12B4">
            <w:pPr>
              <w:jc w:val="both"/>
              <w:rPr>
                <w:bCs/>
                <w:sz w:val="20"/>
                <w:szCs w:val="20"/>
              </w:rPr>
            </w:pPr>
            <w:r w:rsidRPr="00154588">
              <w:rPr>
                <w:bCs/>
                <w:sz w:val="20"/>
                <w:szCs w:val="20"/>
              </w:rPr>
              <w:lastRenderedPageBreak/>
              <w:t>Compatibil</w:t>
            </w:r>
          </w:p>
        </w:tc>
        <w:tc>
          <w:tcPr>
            <w:tcW w:w="3118" w:type="dxa"/>
          </w:tcPr>
          <w:p w14:paraId="1CA1438D" w14:textId="77777777" w:rsidR="006A2A6A" w:rsidRPr="00154588" w:rsidRDefault="006A2A6A" w:rsidP="008C12B4">
            <w:pPr>
              <w:jc w:val="both"/>
              <w:rPr>
                <w:bCs/>
                <w:sz w:val="20"/>
                <w:szCs w:val="20"/>
              </w:rPr>
            </w:pPr>
          </w:p>
        </w:tc>
      </w:tr>
      <w:tr w:rsidR="006A2A6A" w:rsidRPr="00154588" w14:paraId="268EE985" w14:textId="77777777" w:rsidTr="00D15C1B">
        <w:trPr>
          <w:jc w:val="center"/>
        </w:trPr>
        <w:tc>
          <w:tcPr>
            <w:tcW w:w="4957" w:type="dxa"/>
            <w:gridSpan w:val="2"/>
          </w:tcPr>
          <w:p w14:paraId="51EA6635" w14:textId="2487FBC2" w:rsidR="006A2A6A" w:rsidRPr="00154588" w:rsidRDefault="006A2A6A" w:rsidP="008C12B4">
            <w:pPr>
              <w:tabs>
                <w:tab w:val="left" w:pos="1089"/>
              </w:tabs>
              <w:jc w:val="both"/>
              <w:rPr>
                <w:bCs/>
                <w:sz w:val="20"/>
                <w:szCs w:val="20"/>
              </w:rPr>
            </w:pPr>
            <w:r w:rsidRPr="00154588">
              <w:rPr>
                <w:bCs/>
                <w:sz w:val="20"/>
                <w:szCs w:val="20"/>
              </w:rPr>
              <w:t>(8) Acordul de sprijin financiar intragrup poate fi încheiat numai dacă, la momentul elaborării proiectului de acord, autoritățile lor competente respective estimează că niciuna dintre părți nu îndeplinește condițiile de intervenție timpurie.</w:t>
            </w:r>
          </w:p>
        </w:tc>
        <w:tc>
          <w:tcPr>
            <w:tcW w:w="4819" w:type="dxa"/>
          </w:tcPr>
          <w:p w14:paraId="7414817D" w14:textId="77777777" w:rsidR="00253759" w:rsidRPr="00154588" w:rsidRDefault="00253759"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15</w:t>
            </w:r>
            <w:r w:rsidRPr="00154588">
              <w:rPr>
                <w:rFonts w:eastAsia="Calibri"/>
                <w:b/>
                <w:sz w:val="20"/>
                <w:szCs w:val="20"/>
              </w:rPr>
              <w:t>.</w:t>
            </w:r>
            <w:r w:rsidRPr="00154588">
              <w:rPr>
                <w:rFonts w:eastAsia="Calibri"/>
                <w:sz w:val="20"/>
                <w:szCs w:val="20"/>
              </w:rPr>
              <w:t xml:space="preserve"> – (1) Acordul de sprijin financiar intragrup poate fi încheiat numai dacă, la momentul elaborării proiectului de acord, autorităţile competente relevante estimează că niciuna dintre instituțiile de credit din grup nu îndeplinesc condiţiile pentru intervenţie timpurie.</w:t>
            </w:r>
          </w:p>
          <w:p w14:paraId="7EC7EE85" w14:textId="2EC81C03" w:rsidR="006A2A6A" w:rsidRPr="00154588" w:rsidRDefault="00253759" w:rsidP="008C12B4">
            <w:pPr>
              <w:ind w:firstLine="567"/>
              <w:jc w:val="both"/>
              <w:rPr>
                <w:rFonts w:eastAsia="Calibri"/>
                <w:kern w:val="2"/>
                <w:sz w:val="20"/>
                <w:szCs w:val="20"/>
                <w14:ligatures w14:val="standardContextual"/>
              </w:rPr>
            </w:pPr>
            <w:r w:rsidRPr="00154588">
              <w:rPr>
                <w:rFonts w:eastAsia="Calibri"/>
                <w:sz w:val="20"/>
                <w:szCs w:val="20"/>
              </w:rPr>
              <w:t>(2) În vederea încheierii acordului de sprijin financiar intragrup, Banca Națională a Moldovei, în calitate de autoritate competentă la nivel individual, informează supraveghetorul consolidant dacă instituțiile de credit din grup aflate în supravegherea sa îndeplinesc sau nu condițiile de intervenție timpurie.</w:t>
            </w:r>
          </w:p>
        </w:tc>
        <w:tc>
          <w:tcPr>
            <w:tcW w:w="2552" w:type="dxa"/>
          </w:tcPr>
          <w:p w14:paraId="0E8E9159" w14:textId="652A9464" w:rsidR="006A2A6A" w:rsidRPr="00154588" w:rsidRDefault="00253759" w:rsidP="008C12B4">
            <w:pPr>
              <w:jc w:val="both"/>
              <w:rPr>
                <w:bCs/>
                <w:sz w:val="20"/>
                <w:szCs w:val="20"/>
              </w:rPr>
            </w:pPr>
            <w:r w:rsidRPr="00154588">
              <w:rPr>
                <w:bCs/>
                <w:sz w:val="20"/>
                <w:szCs w:val="20"/>
              </w:rPr>
              <w:t>Compatibil</w:t>
            </w:r>
          </w:p>
        </w:tc>
        <w:tc>
          <w:tcPr>
            <w:tcW w:w="3118" w:type="dxa"/>
          </w:tcPr>
          <w:p w14:paraId="0E6AC51F" w14:textId="77777777" w:rsidR="006A2A6A" w:rsidRPr="00154588" w:rsidRDefault="006A2A6A" w:rsidP="008C12B4">
            <w:pPr>
              <w:jc w:val="both"/>
              <w:rPr>
                <w:bCs/>
                <w:sz w:val="20"/>
                <w:szCs w:val="20"/>
              </w:rPr>
            </w:pPr>
          </w:p>
        </w:tc>
      </w:tr>
      <w:tr w:rsidR="006A2A6A" w:rsidRPr="00154588" w14:paraId="3C3E4727" w14:textId="77777777" w:rsidTr="00D15C1B">
        <w:trPr>
          <w:jc w:val="center"/>
        </w:trPr>
        <w:tc>
          <w:tcPr>
            <w:tcW w:w="4957" w:type="dxa"/>
            <w:gridSpan w:val="2"/>
          </w:tcPr>
          <w:p w14:paraId="5BC70248" w14:textId="2543A468" w:rsidR="006A2A6A" w:rsidRPr="00154588" w:rsidRDefault="006A2A6A" w:rsidP="008C12B4">
            <w:pPr>
              <w:jc w:val="both"/>
              <w:rPr>
                <w:bCs/>
                <w:sz w:val="20"/>
                <w:szCs w:val="20"/>
              </w:rPr>
            </w:pPr>
            <w:r w:rsidRPr="00154588">
              <w:rPr>
                <w:bCs/>
                <w:sz w:val="20"/>
                <w:szCs w:val="20"/>
              </w:rPr>
              <w:t>(9) Statele membre se asigură că toate drepturile, creanțele sau acțiunile decurgând din acordul de sprijin financiar intragrup pot fi exercitate numai de către părțile la acord, cu excluderea părților terțe.</w:t>
            </w:r>
          </w:p>
        </w:tc>
        <w:tc>
          <w:tcPr>
            <w:tcW w:w="4819" w:type="dxa"/>
          </w:tcPr>
          <w:p w14:paraId="6E3A36DE" w14:textId="035B9D1E" w:rsidR="006A2A6A" w:rsidRPr="00154588" w:rsidRDefault="00253759" w:rsidP="008C12B4">
            <w:pPr>
              <w:ind w:firstLine="567"/>
              <w:rPr>
                <w:rFonts w:eastAsia="Calibri"/>
                <w:sz w:val="20"/>
                <w:szCs w:val="20"/>
              </w:rPr>
            </w:pPr>
            <w:r w:rsidRPr="00154588">
              <w:rPr>
                <w:rFonts w:eastAsia="Calibri"/>
                <w:b/>
                <w:sz w:val="20"/>
                <w:szCs w:val="20"/>
              </w:rPr>
              <w:t>Articolul 41</w:t>
            </w:r>
            <w:r w:rsidRPr="00154588">
              <w:rPr>
                <w:rFonts w:eastAsia="Calibri"/>
                <w:b/>
                <w:sz w:val="20"/>
                <w:szCs w:val="20"/>
                <w:vertAlign w:val="superscript"/>
              </w:rPr>
              <w:t>16</w:t>
            </w:r>
            <w:r w:rsidRPr="00154588">
              <w:rPr>
                <w:rFonts w:eastAsia="Calibri"/>
                <w:b/>
                <w:sz w:val="20"/>
                <w:szCs w:val="20"/>
              </w:rPr>
              <w:t>.</w:t>
            </w:r>
            <w:r w:rsidRPr="00154588">
              <w:rPr>
                <w:rFonts w:eastAsia="Calibri"/>
                <w:sz w:val="20"/>
                <w:szCs w:val="20"/>
              </w:rPr>
              <w:t xml:space="preserve"> – Toate drepturile, creanțele sau acțiunile decurgând din acordul de sprijin financiar intragrup pot fi exercitate numai de către părțile la acord, cu excluderea părţilor terţe.</w:t>
            </w:r>
          </w:p>
        </w:tc>
        <w:tc>
          <w:tcPr>
            <w:tcW w:w="2552" w:type="dxa"/>
          </w:tcPr>
          <w:p w14:paraId="2667B0CF" w14:textId="2D8B9FB7" w:rsidR="006A2A6A" w:rsidRPr="00154588" w:rsidRDefault="00253759" w:rsidP="008C12B4">
            <w:pPr>
              <w:jc w:val="both"/>
              <w:rPr>
                <w:bCs/>
                <w:sz w:val="20"/>
                <w:szCs w:val="20"/>
              </w:rPr>
            </w:pPr>
            <w:r w:rsidRPr="00154588">
              <w:rPr>
                <w:bCs/>
                <w:sz w:val="20"/>
                <w:szCs w:val="20"/>
              </w:rPr>
              <w:t>Compatibil</w:t>
            </w:r>
          </w:p>
        </w:tc>
        <w:tc>
          <w:tcPr>
            <w:tcW w:w="3118" w:type="dxa"/>
          </w:tcPr>
          <w:p w14:paraId="72F6C1C6" w14:textId="77777777" w:rsidR="006A2A6A" w:rsidRPr="00154588" w:rsidRDefault="006A2A6A" w:rsidP="008C12B4">
            <w:pPr>
              <w:jc w:val="both"/>
              <w:rPr>
                <w:bCs/>
                <w:sz w:val="20"/>
                <w:szCs w:val="20"/>
              </w:rPr>
            </w:pPr>
          </w:p>
        </w:tc>
      </w:tr>
      <w:tr w:rsidR="00FE35B8" w:rsidRPr="00154588" w14:paraId="1D163A0C" w14:textId="77777777" w:rsidTr="00D15C1B">
        <w:trPr>
          <w:jc w:val="center"/>
        </w:trPr>
        <w:tc>
          <w:tcPr>
            <w:tcW w:w="4957" w:type="dxa"/>
            <w:gridSpan w:val="2"/>
          </w:tcPr>
          <w:p w14:paraId="4A9B9B03" w14:textId="77777777" w:rsidR="00FE35B8" w:rsidRPr="00154588" w:rsidRDefault="00FE35B8" w:rsidP="008C12B4">
            <w:pPr>
              <w:jc w:val="both"/>
              <w:rPr>
                <w:b/>
                <w:sz w:val="20"/>
                <w:szCs w:val="20"/>
              </w:rPr>
            </w:pPr>
            <w:r w:rsidRPr="00154588">
              <w:rPr>
                <w:b/>
                <w:sz w:val="20"/>
                <w:szCs w:val="20"/>
              </w:rPr>
              <w:t>Articolul 26 Prezentarea informațiilor</w:t>
            </w:r>
          </w:p>
          <w:p w14:paraId="27271C44" w14:textId="4E96A7B1" w:rsidR="00FE35B8" w:rsidRPr="00154588" w:rsidRDefault="00FE35B8" w:rsidP="008C12B4">
            <w:pPr>
              <w:jc w:val="both"/>
              <w:rPr>
                <w:bCs/>
                <w:sz w:val="20"/>
                <w:szCs w:val="20"/>
              </w:rPr>
            </w:pPr>
            <w:r w:rsidRPr="00154588">
              <w:rPr>
                <w:bCs/>
                <w:sz w:val="20"/>
                <w:szCs w:val="20"/>
              </w:rPr>
              <w:t>(1)   Statele membre se asigură că entitățile din grup fac public faptul că au încheiat sau nu un acord de sprijin financiar intragrup în conformitate cu articolul 19 și publică o descriere a condițiilor generale ale acordului și denumirile entităților din grup care sunt parte la acesta și actualizează aceste informații cel puțin o dată pe an.</w:t>
            </w:r>
          </w:p>
          <w:p w14:paraId="41C33D22" w14:textId="227415A7" w:rsidR="00FE35B8" w:rsidRPr="00154588" w:rsidRDefault="00FE35B8" w:rsidP="008C12B4">
            <w:pPr>
              <w:jc w:val="both"/>
              <w:rPr>
                <w:bCs/>
                <w:sz w:val="20"/>
                <w:szCs w:val="20"/>
              </w:rPr>
            </w:pPr>
            <w:r w:rsidRPr="00154588">
              <w:rPr>
                <w:bCs/>
                <w:sz w:val="20"/>
                <w:szCs w:val="20"/>
              </w:rPr>
              <w:t>Se aplică articolele 431-434 din Regulamentul (UE) nr. 575/2013.</w:t>
            </w:r>
          </w:p>
        </w:tc>
        <w:tc>
          <w:tcPr>
            <w:tcW w:w="4819" w:type="dxa"/>
          </w:tcPr>
          <w:p w14:paraId="48C9FAE9" w14:textId="77777777" w:rsidR="00FE35B8" w:rsidRPr="00154588" w:rsidRDefault="00FE35B8"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17</w:t>
            </w:r>
            <w:r w:rsidRPr="00154588">
              <w:rPr>
                <w:rFonts w:eastAsia="Calibri"/>
                <w:b/>
                <w:sz w:val="20"/>
                <w:szCs w:val="20"/>
              </w:rPr>
              <w:t>.</w:t>
            </w:r>
            <w:r w:rsidRPr="00154588">
              <w:rPr>
                <w:rFonts w:eastAsia="Calibri"/>
                <w:sz w:val="20"/>
                <w:szCs w:val="20"/>
              </w:rPr>
              <w:t xml:space="preserve"> – Entitățile din grup, persoane juridice înregistrate în Republica Moldova, care pot intra într-un acord de sprijin financiar intragrup în conformitate cu prevederile art.41</w:t>
            </w:r>
            <w:r w:rsidRPr="00154588">
              <w:rPr>
                <w:rFonts w:eastAsia="Calibri"/>
                <w:sz w:val="20"/>
                <w:szCs w:val="20"/>
                <w:vertAlign w:val="superscript"/>
              </w:rPr>
              <w:t>9</w:t>
            </w:r>
            <w:r w:rsidRPr="00154588">
              <w:rPr>
                <w:rFonts w:eastAsia="Calibri"/>
                <w:sz w:val="20"/>
                <w:szCs w:val="20"/>
              </w:rPr>
              <w:t>-41</w:t>
            </w:r>
            <w:r w:rsidRPr="00154588">
              <w:rPr>
                <w:rFonts w:eastAsia="Calibri"/>
                <w:sz w:val="20"/>
                <w:szCs w:val="20"/>
                <w:vertAlign w:val="superscript"/>
              </w:rPr>
              <w:t>16</w:t>
            </w:r>
            <w:r w:rsidRPr="00154588">
              <w:rPr>
                <w:rFonts w:eastAsia="Calibri"/>
                <w:sz w:val="20"/>
                <w:szCs w:val="20"/>
              </w:rPr>
              <w:t>, fac public faptul că au încheiat sau nu au încheiat un astfel de acord.</w:t>
            </w:r>
          </w:p>
          <w:p w14:paraId="07AB931E" w14:textId="77777777" w:rsidR="00FE35B8" w:rsidRPr="00154588" w:rsidRDefault="00FE35B8" w:rsidP="008C12B4">
            <w:pPr>
              <w:ind w:firstLine="567"/>
              <w:jc w:val="both"/>
              <w:rPr>
                <w:rFonts w:eastAsia="Calibri"/>
                <w:sz w:val="20"/>
                <w:szCs w:val="20"/>
              </w:rPr>
            </w:pPr>
            <w:r w:rsidRPr="00154588">
              <w:rPr>
                <w:rFonts w:eastAsia="Calibri"/>
                <w:sz w:val="20"/>
                <w:szCs w:val="20"/>
              </w:rPr>
              <w:t xml:space="preserve">(2) Entitățile din grup prevăzute la alin.(1) care sunt parte a unui acord de sprijin financiar intragrup trebuie să facă publică descrierea condițiilor generale ale acordului, denumirile entităților din grup care sunt parte la acesta și să actualizeze aceste informații cel puțin o dată pe an. </w:t>
            </w:r>
          </w:p>
          <w:p w14:paraId="7A0D2680" w14:textId="0A38F1DD" w:rsidR="00FE35B8" w:rsidRPr="00154588" w:rsidRDefault="00FE35B8" w:rsidP="008C12B4">
            <w:pPr>
              <w:ind w:firstLine="567"/>
              <w:jc w:val="both"/>
              <w:rPr>
                <w:rFonts w:eastAsia="Calibri"/>
                <w:kern w:val="2"/>
                <w:sz w:val="24"/>
                <w:szCs w:val="24"/>
                <w14:ligatures w14:val="standardContextual"/>
              </w:rPr>
            </w:pPr>
            <w:r w:rsidRPr="00154588">
              <w:rPr>
                <w:rFonts w:eastAsia="Calibri"/>
                <w:sz w:val="20"/>
                <w:szCs w:val="20"/>
              </w:rPr>
              <w:lastRenderedPageBreak/>
              <w:t>(3) Prevederile prevăzute în actele normative ale Băncii Naționale a Moldovei emise în aplicarea prevederilor art.31 alin.(2) și (3), art.91 și art.93 din Legea nr.202/2017 sunt aplicate în mod corespunzător.</w:t>
            </w:r>
          </w:p>
        </w:tc>
        <w:tc>
          <w:tcPr>
            <w:tcW w:w="2552" w:type="dxa"/>
          </w:tcPr>
          <w:p w14:paraId="658B04F1" w14:textId="3F84F4B4" w:rsidR="00FE35B8" w:rsidRPr="00154588" w:rsidRDefault="00FE35B8" w:rsidP="008C12B4">
            <w:pPr>
              <w:jc w:val="both"/>
              <w:rPr>
                <w:bCs/>
                <w:sz w:val="20"/>
                <w:szCs w:val="20"/>
              </w:rPr>
            </w:pPr>
            <w:r w:rsidRPr="00154588">
              <w:rPr>
                <w:bCs/>
                <w:sz w:val="20"/>
                <w:szCs w:val="20"/>
              </w:rPr>
              <w:lastRenderedPageBreak/>
              <w:t>Compatibil</w:t>
            </w:r>
          </w:p>
        </w:tc>
        <w:tc>
          <w:tcPr>
            <w:tcW w:w="3118" w:type="dxa"/>
          </w:tcPr>
          <w:p w14:paraId="214988EA" w14:textId="73924621" w:rsidR="00FE35B8" w:rsidRPr="00154588" w:rsidRDefault="00FE35B8" w:rsidP="008C12B4">
            <w:pPr>
              <w:jc w:val="both"/>
              <w:rPr>
                <w:bCs/>
                <w:sz w:val="20"/>
                <w:szCs w:val="20"/>
              </w:rPr>
            </w:pPr>
            <w:r w:rsidRPr="00154588">
              <w:rPr>
                <w:bCs/>
                <w:sz w:val="20"/>
                <w:szCs w:val="20"/>
              </w:rPr>
              <w:t>Acest articol transpune art.26 (1) din Directivă</w:t>
            </w:r>
          </w:p>
        </w:tc>
      </w:tr>
      <w:tr w:rsidR="00FE35B8" w:rsidRPr="00154588" w14:paraId="7B25ECA9" w14:textId="77777777" w:rsidTr="00D15C1B">
        <w:trPr>
          <w:jc w:val="center"/>
        </w:trPr>
        <w:tc>
          <w:tcPr>
            <w:tcW w:w="4957" w:type="dxa"/>
            <w:gridSpan w:val="2"/>
          </w:tcPr>
          <w:p w14:paraId="74C0F606" w14:textId="77777777" w:rsidR="00FE35B8" w:rsidRPr="00154588" w:rsidRDefault="00FE35B8" w:rsidP="008C12B4">
            <w:pPr>
              <w:rPr>
                <w:b/>
                <w:sz w:val="20"/>
                <w:szCs w:val="20"/>
              </w:rPr>
            </w:pPr>
            <w:r w:rsidRPr="00154588">
              <w:rPr>
                <w:b/>
                <w:sz w:val="20"/>
                <w:szCs w:val="20"/>
              </w:rPr>
              <w:t>Articolul 20</w:t>
            </w:r>
          </w:p>
          <w:p w14:paraId="29AB41B0" w14:textId="77777777" w:rsidR="00FE35B8" w:rsidRPr="00154588" w:rsidRDefault="00FE35B8" w:rsidP="008C12B4">
            <w:pPr>
              <w:rPr>
                <w:b/>
                <w:sz w:val="20"/>
                <w:szCs w:val="20"/>
              </w:rPr>
            </w:pPr>
          </w:p>
          <w:p w14:paraId="2DE473D0" w14:textId="2A03BA01" w:rsidR="00FE35B8" w:rsidRPr="00154588" w:rsidRDefault="00FE35B8" w:rsidP="008C12B4">
            <w:pPr>
              <w:rPr>
                <w:bCs/>
                <w:sz w:val="20"/>
                <w:szCs w:val="20"/>
              </w:rPr>
            </w:pPr>
            <w:r w:rsidRPr="00154588">
              <w:rPr>
                <w:b/>
                <w:sz w:val="20"/>
                <w:szCs w:val="20"/>
              </w:rPr>
              <w:t>Examinarea de către autoritățile competente a proiectului de acord și medierea</w:t>
            </w:r>
          </w:p>
        </w:tc>
        <w:tc>
          <w:tcPr>
            <w:tcW w:w="4819" w:type="dxa"/>
          </w:tcPr>
          <w:p w14:paraId="78245B01" w14:textId="77777777" w:rsidR="00056709" w:rsidRPr="00154588" w:rsidRDefault="00056709" w:rsidP="008C12B4">
            <w:pPr>
              <w:ind w:firstLine="567"/>
              <w:jc w:val="center"/>
              <w:rPr>
                <w:rFonts w:eastAsia="Calibri"/>
                <w:b/>
                <w:bCs/>
                <w:kern w:val="2"/>
                <w:sz w:val="20"/>
                <w:szCs w:val="20"/>
                <w14:ligatures w14:val="standardContextual"/>
              </w:rPr>
            </w:pPr>
            <w:r w:rsidRPr="00154588">
              <w:rPr>
                <w:rFonts w:eastAsia="Calibri"/>
                <w:b/>
                <w:bCs/>
                <w:kern w:val="2"/>
                <w:sz w:val="20"/>
                <w:szCs w:val="20"/>
                <w14:ligatures w14:val="standardContextual"/>
              </w:rPr>
              <w:t>Secţiunea a 2-a </w:t>
            </w:r>
          </w:p>
          <w:p w14:paraId="7FCFEC17" w14:textId="09BB51A4" w:rsidR="00FE35B8" w:rsidRPr="00154588" w:rsidRDefault="00056709" w:rsidP="008C12B4">
            <w:pPr>
              <w:ind w:firstLine="567"/>
              <w:jc w:val="center"/>
              <w:rPr>
                <w:rFonts w:eastAsia="Calibri"/>
                <w:b/>
                <w:kern w:val="2"/>
                <w:sz w:val="20"/>
                <w:szCs w:val="20"/>
                <w14:ligatures w14:val="standardContextual"/>
              </w:rPr>
            </w:pPr>
            <w:r w:rsidRPr="00154588">
              <w:rPr>
                <w:rFonts w:eastAsia="Calibri"/>
                <w:b/>
                <w:bCs/>
                <w:kern w:val="2"/>
                <w:sz w:val="20"/>
                <w:szCs w:val="20"/>
                <w14:ligatures w14:val="standardContextual"/>
              </w:rPr>
              <w:t>Autorizarea proiectului de acord de sprijin financiar intragrup în cazul în care Banca Națională a Moldovei este supraveghetor consolidant</w:t>
            </w:r>
          </w:p>
        </w:tc>
        <w:tc>
          <w:tcPr>
            <w:tcW w:w="2552" w:type="dxa"/>
          </w:tcPr>
          <w:p w14:paraId="4D595A2A" w14:textId="77777777" w:rsidR="00FE35B8" w:rsidRPr="00154588" w:rsidRDefault="00FE35B8" w:rsidP="008C12B4">
            <w:pPr>
              <w:jc w:val="both"/>
              <w:rPr>
                <w:bCs/>
                <w:sz w:val="20"/>
                <w:szCs w:val="20"/>
              </w:rPr>
            </w:pPr>
          </w:p>
        </w:tc>
        <w:tc>
          <w:tcPr>
            <w:tcW w:w="3118" w:type="dxa"/>
          </w:tcPr>
          <w:p w14:paraId="77E4E8DA" w14:textId="77777777" w:rsidR="00FE35B8" w:rsidRPr="00154588" w:rsidRDefault="00FE35B8" w:rsidP="008C12B4">
            <w:pPr>
              <w:jc w:val="both"/>
              <w:rPr>
                <w:bCs/>
                <w:sz w:val="20"/>
                <w:szCs w:val="20"/>
              </w:rPr>
            </w:pPr>
          </w:p>
        </w:tc>
      </w:tr>
      <w:tr w:rsidR="00FE35B8" w:rsidRPr="00154588" w14:paraId="67033130" w14:textId="77777777" w:rsidTr="00D15C1B">
        <w:trPr>
          <w:jc w:val="center"/>
        </w:trPr>
        <w:tc>
          <w:tcPr>
            <w:tcW w:w="4957" w:type="dxa"/>
            <w:gridSpan w:val="2"/>
          </w:tcPr>
          <w:p w14:paraId="346A90F0" w14:textId="41C9A095" w:rsidR="00FE35B8" w:rsidRPr="00154588" w:rsidRDefault="00FE35B8" w:rsidP="008C12B4">
            <w:pPr>
              <w:rPr>
                <w:bCs/>
                <w:sz w:val="20"/>
                <w:szCs w:val="20"/>
              </w:rPr>
            </w:pPr>
            <w:r w:rsidRPr="00154588">
              <w:rPr>
                <w:bCs/>
                <w:sz w:val="20"/>
                <w:szCs w:val="20"/>
              </w:rPr>
              <w:t>(1)   Instituția-mamă din Uniune depune pe lângă supraveghetorul consolidant o cerere de autorizare pentru orice proiect de acord de sprijin financiar intragrup propus în temeiul articolului 19. Cererea trebuie să conțină textul proiectului de acord și să indice entitățile din grup care intenționează să fie parte la acord.</w:t>
            </w:r>
          </w:p>
        </w:tc>
        <w:tc>
          <w:tcPr>
            <w:tcW w:w="4819" w:type="dxa"/>
          </w:tcPr>
          <w:p w14:paraId="41B07EEF" w14:textId="77777777" w:rsidR="001F1176" w:rsidRPr="00154588" w:rsidRDefault="001F1176" w:rsidP="008C12B4">
            <w:pPr>
              <w:ind w:firstLine="567"/>
              <w:rPr>
                <w:rFonts w:eastAsia="Calibri"/>
                <w:sz w:val="20"/>
                <w:szCs w:val="20"/>
              </w:rPr>
            </w:pPr>
            <w:r w:rsidRPr="00154588">
              <w:rPr>
                <w:rFonts w:eastAsia="Calibri"/>
                <w:b/>
                <w:sz w:val="20"/>
                <w:szCs w:val="20"/>
              </w:rPr>
              <w:t>Articolul 41</w:t>
            </w:r>
            <w:r w:rsidRPr="00154588">
              <w:rPr>
                <w:rFonts w:eastAsia="Calibri"/>
                <w:b/>
                <w:sz w:val="20"/>
                <w:szCs w:val="20"/>
                <w:vertAlign w:val="superscript"/>
              </w:rPr>
              <w:t>18</w:t>
            </w:r>
            <w:r w:rsidRPr="00154588">
              <w:rPr>
                <w:rFonts w:eastAsia="Calibri"/>
                <w:b/>
                <w:sz w:val="20"/>
                <w:szCs w:val="20"/>
              </w:rPr>
              <w:t>.</w:t>
            </w:r>
            <w:r w:rsidRPr="00154588">
              <w:rPr>
                <w:rFonts w:eastAsia="Calibri"/>
                <w:sz w:val="20"/>
                <w:szCs w:val="20"/>
              </w:rPr>
              <w:t xml:space="preserve"> – (1) Instituția-mamă din Uniunea Europeană, persoană juridică din Republica Moldova, solicită Băncii Naționale a Moldovei, în calitate de supraveghetor consolidant, autorizarea pentru orice proiect de acord de sprijin financiar intragrup propus în temeiul art.41</w:t>
            </w:r>
            <w:r w:rsidRPr="00154588">
              <w:rPr>
                <w:rFonts w:eastAsia="Calibri"/>
                <w:sz w:val="20"/>
                <w:szCs w:val="20"/>
                <w:vertAlign w:val="superscript"/>
              </w:rPr>
              <w:t>9</w:t>
            </w:r>
            <w:r w:rsidRPr="00154588">
              <w:rPr>
                <w:rFonts w:eastAsia="Calibri"/>
                <w:sz w:val="20"/>
                <w:szCs w:val="20"/>
              </w:rPr>
              <w:t>- 41</w:t>
            </w:r>
            <w:r w:rsidRPr="00154588">
              <w:rPr>
                <w:rFonts w:eastAsia="Calibri"/>
                <w:sz w:val="20"/>
                <w:szCs w:val="20"/>
                <w:vertAlign w:val="superscript"/>
              </w:rPr>
              <w:t>16</w:t>
            </w:r>
            <w:r w:rsidRPr="00154588">
              <w:rPr>
                <w:rFonts w:eastAsia="Calibri"/>
                <w:sz w:val="20"/>
                <w:szCs w:val="20"/>
              </w:rPr>
              <w:t>.</w:t>
            </w:r>
          </w:p>
          <w:p w14:paraId="7BDC9CF7" w14:textId="24477D85" w:rsidR="00FE35B8" w:rsidRPr="00154588" w:rsidRDefault="001F1176" w:rsidP="008C12B4">
            <w:pPr>
              <w:ind w:firstLine="567"/>
              <w:rPr>
                <w:sz w:val="20"/>
                <w:szCs w:val="20"/>
              </w:rPr>
            </w:pPr>
            <w:r w:rsidRPr="00154588">
              <w:rPr>
                <w:rFonts w:eastAsia="Calibri"/>
                <w:sz w:val="20"/>
                <w:szCs w:val="20"/>
              </w:rPr>
              <w:t>(2) Cererea trebuie să conțină textul proiectului de acord și să indice entitățile din grup care intenționează să fie parte la acord.</w:t>
            </w:r>
          </w:p>
        </w:tc>
        <w:tc>
          <w:tcPr>
            <w:tcW w:w="2552" w:type="dxa"/>
          </w:tcPr>
          <w:p w14:paraId="6C5873C2" w14:textId="0935EE39" w:rsidR="00FE35B8" w:rsidRPr="00154588" w:rsidRDefault="00481C6E" w:rsidP="008C12B4">
            <w:pPr>
              <w:jc w:val="both"/>
              <w:rPr>
                <w:bCs/>
                <w:sz w:val="20"/>
                <w:szCs w:val="20"/>
              </w:rPr>
            </w:pPr>
            <w:r w:rsidRPr="00154588">
              <w:rPr>
                <w:bCs/>
                <w:sz w:val="20"/>
                <w:szCs w:val="20"/>
              </w:rPr>
              <w:t>Compatibil</w:t>
            </w:r>
          </w:p>
        </w:tc>
        <w:tc>
          <w:tcPr>
            <w:tcW w:w="3118" w:type="dxa"/>
          </w:tcPr>
          <w:p w14:paraId="185DCCDE" w14:textId="77777777" w:rsidR="00FE35B8" w:rsidRPr="00154588" w:rsidRDefault="00FE35B8" w:rsidP="008C12B4">
            <w:pPr>
              <w:jc w:val="both"/>
              <w:rPr>
                <w:bCs/>
                <w:sz w:val="20"/>
                <w:szCs w:val="20"/>
              </w:rPr>
            </w:pPr>
          </w:p>
        </w:tc>
      </w:tr>
      <w:tr w:rsidR="00FE35B8" w:rsidRPr="00154588" w14:paraId="1CE2E232" w14:textId="77777777" w:rsidTr="00D15C1B">
        <w:trPr>
          <w:jc w:val="center"/>
        </w:trPr>
        <w:tc>
          <w:tcPr>
            <w:tcW w:w="4957" w:type="dxa"/>
            <w:gridSpan w:val="2"/>
          </w:tcPr>
          <w:p w14:paraId="58E6009C" w14:textId="7FDDBC17" w:rsidR="00FE35B8" w:rsidRPr="00154588" w:rsidRDefault="00FE35B8" w:rsidP="008C12B4">
            <w:pPr>
              <w:jc w:val="both"/>
              <w:rPr>
                <w:bCs/>
                <w:sz w:val="20"/>
                <w:szCs w:val="20"/>
              </w:rPr>
            </w:pPr>
            <w:r w:rsidRPr="00154588">
              <w:rPr>
                <w:bCs/>
                <w:sz w:val="20"/>
                <w:szCs w:val="20"/>
              </w:rPr>
              <w:t>(2)   Supraveghetorul consolidant transmite fără întârziere cererea autorităților competente ale fiecărei filiale care intenționează să fie parte la acord, pentru a se ajunge la o decizie comună.</w:t>
            </w:r>
          </w:p>
        </w:tc>
        <w:tc>
          <w:tcPr>
            <w:tcW w:w="4819" w:type="dxa"/>
          </w:tcPr>
          <w:p w14:paraId="73251DA1" w14:textId="0BEB91D7" w:rsidR="00FE35B8" w:rsidRPr="00154588" w:rsidRDefault="001F1176" w:rsidP="008C12B4">
            <w:pPr>
              <w:ind w:firstLine="567"/>
              <w:jc w:val="both"/>
              <w:rPr>
                <w:sz w:val="20"/>
                <w:szCs w:val="20"/>
              </w:rPr>
            </w:pPr>
            <w:r w:rsidRPr="00154588">
              <w:rPr>
                <w:rFonts w:eastAsia="Calibri"/>
                <w:b/>
                <w:sz w:val="20"/>
                <w:szCs w:val="20"/>
              </w:rPr>
              <w:t>Articolul 41</w:t>
            </w:r>
            <w:r w:rsidRPr="00154588">
              <w:rPr>
                <w:rFonts w:eastAsia="Calibri"/>
                <w:b/>
                <w:sz w:val="20"/>
                <w:szCs w:val="20"/>
                <w:vertAlign w:val="superscript"/>
              </w:rPr>
              <w:t>19</w:t>
            </w:r>
            <w:r w:rsidRPr="00154588">
              <w:rPr>
                <w:rFonts w:eastAsia="Calibri"/>
                <w:b/>
                <w:sz w:val="20"/>
                <w:szCs w:val="20"/>
              </w:rPr>
              <w:t>.</w:t>
            </w:r>
            <w:r w:rsidRPr="00154588">
              <w:rPr>
                <w:rFonts w:eastAsia="Calibri"/>
                <w:sz w:val="20"/>
                <w:szCs w:val="20"/>
              </w:rPr>
              <w:t xml:space="preserve"> – Banca Națională a Moldovei, în calitate de supraveghetor consolidant, transmite fără întârziere cererea autorităților competente ale fiecărei filiale care intenționează să fie parte la acord, pentru a ajunge la o decizie comună.</w:t>
            </w:r>
          </w:p>
        </w:tc>
        <w:tc>
          <w:tcPr>
            <w:tcW w:w="2552" w:type="dxa"/>
          </w:tcPr>
          <w:p w14:paraId="69EE341F" w14:textId="7500C1F7" w:rsidR="00FE35B8" w:rsidRPr="00154588" w:rsidRDefault="00481C6E" w:rsidP="008C12B4">
            <w:pPr>
              <w:jc w:val="both"/>
              <w:rPr>
                <w:bCs/>
                <w:sz w:val="20"/>
                <w:szCs w:val="20"/>
              </w:rPr>
            </w:pPr>
            <w:r w:rsidRPr="00154588">
              <w:rPr>
                <w:bCs/>
                <w:sz w:val="20"/>
                <w:szCs w:val="20"/>
              </w:rPr>
              <w:t>Compatibil</w:t>
            </w:r>
          </w:p>
        </w:tc>
        <w:tc>
          <w:tcPr>
            <w:tcW w:w="3118" w:type="dxa"/>
          </w:tcPr>
          <w:p w14:paraId="72526B7D" w14:textId="77777777" w:rsidR="00FE35B8" w:rsidRPr="00154588" w:rsidRDefault="00FE35B8" w:rsidP="008C12B4">
            <w:pPr>
              <w:jc w:val="both"/>
              <w:rPr>
                <w:bCs/>
                <w:sz w:val="20"/>
                <w:szCs w:val="20"/>
              </w:rPr>
            </w:pPr>
          </w:p>
        </w:tc>
      </w:tr>
      <w:tr w:rsidR="00FE35B8" w:rsidRPr="00154588" w14:paraId="24D6AE13" w14:textId="77777777" w:rsidTr="00D15C1B">
        <w:trPr>
          <w:jc w:val="center"/>
        </w:trPr>
        <w:tc>
          <w:tcPr>
            <w:tcW w:w="4957" w:type="dxa"/>
            <w:gridSpan w:val="2"/>
          </w:tcPr>
          <w:p w14:paraId="39205AC9" w14:textId="4AF207E9" w:rsidR="00FE35B8" w:rsidRPr="00154588" w:rsidRDefault="00FE35B8" w:rsidP="008C12B4">
            <w:pPr>
              <w:jc w:val="both"/>
              <w:rPr>
                <w:bCs/>
                <w:sz w:val="20"/>
                <w:szCs w:val="20"/>
              </w:rPr>
            </w:pPr>
            <w:r w:rsidRPr="00154588">
              <w:rPr>
                <w:bCs/>
                <w:sz w:val="20"/>
                <w:szCs w:val="20"/>
              </w:rPr>
              <w:t>(3)   În conformitate cu procedura prevăzută la alineatele (5) și (6) din prezentul articol, supraveghetorul consolidant acordă autorizația în cazul în care termenii acordului propus respectă condițiile de acordare a sprijinului financiar prevăzute la articolul 23.</w:t>
            </w:r>
          </w:p>
        </w:tc>
        <w:tc>
          <w:tcPr>
            <w:tcW w:w="4819" w:type="dxa"/>
          </w:tcPr>
          <w:p w14:paraId="3BE8BD50" w14:textId="4AECFAAE" w:rsidR="00FE35B8" w:rsidRPr="00154588" w:rsidRDefault="001F1176" w:rsidP="008C12B4">
            <w:pPr>
              <w:ind w:firstLine="567"/>
              <w:jc w:val="both"/>
              <w:rPr>
                <w:rFonts w:eastAsia="Calibri"/>
                <w:kern w:val="2"/>
                <w:sz w:val="20"/>
                <w:szCs w:val="20"/>
                <w14:ligatures w14:val="standardContextual"/>
              </w:rPr>
            </w:pPr>
            <w:r w:rsidRPr="00154588">
              <w:rPr>
                <w:rFonts w:eastAsia="Calibri"/>
                <w:b/>
                <w:sz w:val="20"/>
                <w:szCs w:val="20"/>
              </w:rPr>
              <w:t>Articolul 41</w:t>
            </w:r>
            <w:r w:rsidRPr="00154588">
              <w:rPr>
                <w:rFonts w:eastAsia="Calibri"/>
                <w:b/>
                <w:sz w:val="20"/>
                <w:szCs w:val="20"/>
                <w:vertAlign w:val="superscript"/>
              </w:rPr>
              <w:t>20</w:t>
            </w:r>
            <w:r w:rsidRPr="00154588">
              <w:rPr>
                <w:rFonts w:eastAsia="Calibri"/>
                <w:b/>
                <w:sz w:val="20"/>
                <w:szCs w:val="20"/>
              </w:rPr>
              <w:t>.</w:t>
            </w:r>
            <w:r w:rsidRPr="00154588">
              <w:rPr>
                <w:rFonts w:eastAsia="Calibri"/>
                <w:sz w:val="20"/>
                <w:szCs w:val="20"/>
              </w:rPr>
              <w:t xml:space="preserve"> – Banca Națională a Moldovei, în calitate de supraveghetor consolidant, acordă autorizația, în conformitate cu procedura prevăzută la art.41</w:t>
            </w:r>
            <w:r w:rsidRPr="00154588">
              <w:rPr>
                <w:rFonts w:eastAsia="Calibri"/>
                <w:sz w:val="20"/>
                <w:szCs w:val="20"/>
                <w:vertAlign w:val="superscript"/>
              </w:rPr>
              <w:t>22</w:t>
            </w:r>
            <w:r w:rsidRPr="00154588">
              <w:rPr>
                <w:rFonts w:eastAsia="Calibri"/>
                <w:sz w:val="20"/>
                <w:szCs w:val="20"/>
              </w:rPr>
              <w:t xml:space="preserve"> și 41</w:t>
            </w:r>
            <w:r w:rsidRPr="00154588">
              <w:rPr>
                <w:rFonts w:eastAsia="Calibri"/>
                <w:sz w:val="20"/>
                <w:szCs w:val="20"/>
                <w:vertAlign w:val="superscript"/>
              </w:rPr>
              <w:t>23</w:t>
            </w:r>
            <w:r w:rsidRPr="00154588">
              <w:rPr>
                <w:rFonts w:eastAsia="Calibri"/>
                <w:sz w:val="20"/>
                <w:szCs w:val="20"/>
              </w:rPr>
              <w:t>, doar în cazul în care termenii acordului propus respectă condițiile privind acordarea sprijinului financiar intragrup prevăzut la art.41</w:t>
            </w:r>
            <w:r w:rsidRPr="00154588">
              <w:rPr>
                <w:rFonts w:eastAsia="Calibri"/>
                <w:sz w:val="20"/>
                <w:szCs w:val="20"/>
                <w:vertAlign w:val="superscript"/>
              </w:rPr>
              <w:t>29</w:t>
            </w:r>
            <w:r w:rsidRPr="00154588">
              <w:rPr>
                <w:rFonts w:eastAsia="Calibri"/>
                <w:sz w:val="20"/>
                <w:szCs w:val="20"/>
              </w:rPr>
              <w:t>.</w:t>
            </w:r>
          </w:p>
        </w:tc>
        <w:tc>
          <w:tcPr>
            <w:tcW w:w="2552" w:type="dxa"/>
          </w:tcPr>
          <w:p w14:paraId="018C861F" w14:textId="777F93D6" w:rsidR="00FE35B8" w:rsidRPr="00154588" w:rsidRDefault="00481C6E" w:rsidP="008C12B4">
            <w:pPr>
              <w:jc w:val="both"/>
              <w:rPr>
                <w:bCs/>
                <w:sz w:val="20"/>
                <w:szCs w:val="20"/>
              </w:rPr>
            </w:pPr>
            <w:r w:rsidRPr="00154588">
              <w:rPr>
                <w:bCs/>
                <w:sz w:val="20"/>
                <w:szCs w:val="20"/>
              </w:rPr>
              <w:t>Compatibil</w:t>
            </w:r>
          </w:p>
        </w:tc>
        <w:tc>
          <w:tcPr>
            <w:tcW w:w="3118" w:type="dxa"/>
          </w:tcPr>
          <w:p w14:paraId="07020EC2" w14:textId="77777777" w:rsidR="00FE35B8" w:rsidRPr="00154588" w:rsidRDefault="00FE35B8" w:rsidP="008C12B4">
            <w:pPr>
              <w:jc w:val="both"/>
              <w:rPr>
                <w:bCs/>
                <w:sz w:val="20"/>
                <w:szCs w:val="20"/>
              </w:rPr>
            </w:pPr>
          </w:p>
        </w:tc>
      </w:tr>
      <w:tr w:rsidR="00FE35B8" w:rsidRPr="00154588" w14:paraId="24295BDD" w14:textId="77777777" w:rsidTr="00D15C1B">
        <w:trPr>
          <w:jc w:val="center"/>
        </w:trPr>
        <w:tc>
          <w:tcPr>
            <w:tcW w:w="4957" w:type="dxa"/>
            <w:gridSpan w:val="2"/>
          </w:tcPr>
          <w:p w14:paraId="2E6B00AF" w14:textId="1FD2EEEE" w:rsidR="00FE35B8" w:rsidRPr="00154588" w:rsidRDefault="00FE35B8" w:rsidP="008C12B4">
            <w:pPr>
              <w:rPr>
                <w:bCs/>
                <w:sz w:val="20"/>
                <w:szCs w:val="20"/>
              </w:rPr>
            </w:pPr>
            <w:r w:rsidRPr="00154588">
              <w:rPr>
                <w:bCs/>
                <w:sz w:val="20"/>
                <w:szCs w:val="20"/>
              </w:rPr>
              <w:t>(4)   Supraveghetorul consolidant poate, în conformitate cu procedura prevăzută la alineatele (5) și (6) din prezentul articol, să interzică încheierea acordului propus în cazul în care se consideră că acesta nu respectă condițiile de acordare a sprijinului financiar prevăzute la articolul 23.</w:t>
            </w:r>
          </w:p>
        </w:tc>
        <w:tc>
          <w:tcPr>
            <w:tcW w:w="4819" w:type="dxa"/>
          </w:tcPr>
          <w:p w14:paraId="328604D3" w14:textId="3F7C331A" w:rsidR="00FE35B8" w:rsidRPr="00154588" w:rsidRDefault="001F1176" w:rsidP="008C12B4">
            <w:pPr>
              <w:ind w:firstLine="567"/>
              <w:jc w:val="both"/>
              <w:rPr>
                <w:sz w:val="20"/>
                <w:szCs w:val="20"/>
              </w:rPr>
            </w:pPr>
            <w:r w:rsidRPr="00154588">
              <w:rPr>
                <w:rFonts w:eastAsia="Calibri"/>
                <w:b/>
                <w:sz w:val="20"/>
                <w:szCs w:val="20"/>
              </w:rPr>
              <w:t>Articolul 41</w:t>
            </w:r>
            <w:r w:rsidRPr="00154588">
              <w:rPr>
                <w:rFonts w:eastAsia="Calibri"/>
                <w:b/>
                <w:sz w:val="20"/>
                <w:szCs w:val="20"/>
                <w:vertAlign w:val="superscript"/>
              </w:rPr>
              <w:t>21</w:t>
            </w:r>
            <w:r w:rsidRPr="00154588">
              <w:rPr>
                <w:rFonts w:eastAsia="Calibri"/>
                <w:b/>
                <w:sz w:val="20"/>
                <w:szCs w:val="20"/>
              </w:rPr>
              <w:t>.</w:t>
            </w:r>
            <w:r w:rsidRPr="00154588">
              <w:rPr>
                <w:rFonts w:eastAsia="Calibri"/>
                <w:sz w:val="20"/>
                <w:szCs w:val="20"/>
              </w:rPr>
              <w:t xml:space="preserve"> – Banca Națională a Moldovei, în calitate de supraveghetor consolidant, respinge cererea  în cazul în care, din analiza derulată, rezultă că proiectul de acord de sprijin financiar intragrup nu respectă condițiile prevăzute la art.41</w:t>
            </w:r>
            <w:r w:rsidRPr="00154588">
              <w:rPr>
                <w:rFonts w:eastAsia="Calibri"/>
                <w:sz w:val="20"/>
                <w:szCs w:val="20"/>
                <w:vertAlign w:val="superscript"/>
              </w:rPr>
              <w:t>29</w:t>
            </w:r>
            <w:r w:rsidRPr="00154588">
              <w:rPr>
                <w:rFonts w:eastAsia="Calibri"/>
                <w:sz w:val="20"/>
                <w:szCs w:val="20"/>
              </w:rPr>
              <w:t>.</w:t>
            </w:r>
          </w:p>
        </w:tc>
        <w:tc>
          <w:tcPr>
            <w:tcW w:w="2552" w:type="dxa"/>
          </w:tcPr>
          <w:p w14:paraId="29D78B62" w14:textId="7457768B" w:rsidR="00FE35B8" w:rsidRPr="00154588" w:rsidRDefault="00481C6E" w:rsidP="008C12B4">
            <w:pPr>
              <w:jc w:val="both"/>
              <w:rPr>
                <w:bCs/>
                <w:sz w:val="20"/>
                <w:szCs w:val="20"/>
              </w:rPr>
            </w:pPr>
            <w:r w:rsidRPr="00154588">
              <w:rPr>
                <w:bCs/>
                <w:sz w:val="20"/>
                <w:szCs w:val="20"/>
              </w:rPr>
              <w:t>Compatibil</w:t>
            </w:r>
          </w:p>
        </w:tc>
        <w:tc>
          <w:tcPr>
            <w:tcW w:w="3118" w:type="dxa"/>
          </w:tcPr>
          <w:p w14:paraId="4D0AE96B" w14:textId="77777777" w:rsidR="00FE35B8" w:rsidRPr="00154588" w:rsidRDefault="00FE35B8" w:rsidP="008C12B4">
            <w:pPr>
              <w:jc w:val="both"/>
              <w:rPr>
                <w:bCs/>
                <w:sz w:val="20"/>
                <w:szCs w:val="20"/>
              </w:rPr>
            </w:pPr>
          </w:p>
        </w:tc>
      </w:tr>
      <w:tr w:rsidR="00FE35B8" w:rsidRPr="00154588" w14:paraId="1BF3910D" w14:textId="77777777" w:rsidTr="00D15C1B">
        <w:trPr>
          <w:jc w:val="center"/>
        </w:trPr>
        <w:tc>
          <w:tcPr>
            <w:tcW w:w="4957" w:type="dxa"/>
            <w:gridSpan w:val="2"/>
          </w:tcPr>
          <w:p w14:paraId="5B76177D" w14:textId="77777777" w:rsidR="00FE35B8" w:rsidRPr="00154588" w:rsidRDefault="00FE35B8" w:rsidP="008C12B4">
            <w:pPr>
              <w:jc w:val="both"/>
              <w:rPr>
                <w:bCs/>
                <w:sz w:val="20"/>
                <w:szCs w:val="20"/>
              </w:rPr>
            </w:pPr>
            <w:r w:rsidRPr="00154588">
              <w:rPr>
                <w:bCs/>
                <w:sz w:val="20"/>
                <w:szCs w:val="20"/>
              </w:rPr>
              <w:t>(5)   Autoritățile competente trebuie să facă tot posibilul pentru ca, în termen de patru luni de la data primirii cererii de către supraveghetorul consolidant, să ajungă la o decizie comună, luând în considerare impactul potențial, inclusiv orice consecințe de ordin fiscal, al executării acordului în toate statele membre în care funcționează grupul, cu privire la măsura în care termenii acordului propus respectă condițiile de acordare a sprijinului financiar prevăzute la articolul 23. Decizia comună se redactează într-un document conținând decizia motivată temeinic, care va fi transmis solicitantului de către supraveghetorul consolidant.</w:t>
            </w:r>
          </w:p>
          <w:p w14:paraId="2A4D0218" w14:textId="77777777" w:rsidR="00FE35B8" w:rsidRPr="00154588" w:rsidRDefault="00FE35B8" w:rsidP="008C12B4">
            <w:pPr>
              <w:jc w:val="both"/>
              <w:rPr>
                <w:bCs/>
                <w:sz w:val="20"/>
                <w:szCs w:val="20"/>
              </w:rPr>
            </w:pPr>
          </w:p>
          <w:p w14:paraId="7F1AB0B0" w14:textId="77777777" w:rsidR="00FE35B8" w:rsidRPr="00154588" w:rsidRDefault="00FE35B8" w:rsidP="008C12B4">
            <w:pPr>
              <w:jc w:val="both"/>
              <w:rPr>
                <w:bCs/>
                <w:sz w:val="20"/>
                <w:szCs w:val="20"/>
              </w:rPr>
            </w:pPr>
          </w:p>
          <w:p w14:paraId="543B1F1B" w14:textId="4DA767FC" w:rsidR="00FE35B8" w:rsidRPr="00154588" w:rsidRDefault="00FE35B8" w:rsidP="008C12B4">
            <w:pPr>
              <w:jc w:val="both"/>
              <w:rPr>
                <w:bCs/>
                <w:sz w:val="20"/>
                <w:szCs w:val="20"/>
              </w:rPr>
            </w:pPr>
            <w:r w:rsidRPr="00154588">
              <w:rPr>
                <w:bCs/>
                <w:sz w:val="20"/>
                <w:szCs w:val="20"/>
              </w:rPr>
              <w:t>ABE poate acorda asistență autorităților competente, la cererea uneia dintre acestea, pentru a ajunge la un acord în conformitate cu articolul 31 din Regulamentul (UE) nr. 1093/2010.</w:t>
            </w:r>
          </w:p>
        </w:tc>
        <w:tc>
          <w:tcPr>
            <w:tcW w:w="4819" w:type="dxa"/>
          </w:tcPr>
          <w:p w14:paraId="2ECFEA85" w14:textId="77777777" w:rsidR="001F1176" w:rsidRPr="00154588" w:rsidRDefault="001F1176" w:rsidP="008C12B4">
            <w:pPr>
              <w:ind w:firstLine="567"/>
              <w:jc w:val="both"/>
              <w:rPr>
                <w:rFonts w:eastAsia="Calibri"/>
                <w:sz w:val="20"/>
                <w:szCs w:val="20"/>
              </w:rPr>
            </w:pPr>
            <w:r w:rsidRPr="00154588">
              <w:rPr>
                <w:rFonts w:eastAsia="Calibri"/>
                <w:b/>
                <w:sz w:val="20"/>
                <w:szCs w:val="20"/>
              </w:rPr>
              <w:lastRenderedPageBreak/>
              <w:t>Articolul 41</w:t>
            </w:r>
            <w:r w:rsidRPr="00154588">
              <w:rPr>
                <w:rFonts w:eastAsia="Calibri"/>
                <w:b/>
                <w:sz w:val="20"/>
                <w:szCs w:val="20"/>
                <w:vertAlign w:val="superscript"/>
              </w:rPr>
              <w:t>22</w:t>
            </w:r>
            <w:r w:rsidRPr="00154588">
              <w:rPr>
                <w:rFonts w:eastAsia="Calibri"/>
                <w:b/>
                <w:sz w:val="20"/>
                <w:szCs w:val="20"/>
              </w:rPr>
              <w:t>.</w:t>
            </w:r>
            <w:r w:rsidRPr="00154588">
              <w:rPr>
                <w:rFonts w:eastAsia="Calibri"/>
                <w:sz w:val="20"/>
                <w:szCs w:val="20"/>
              </w:rPr>
              <w:t xml:space="preserve"> – (1) Banca Națională a Moldovei, în calitate de supraveghetor consolidant, va depune toate eforturile pentru a adopta, împreună cu autoritățile competente relevante, în termen de patru luni de la data primirii cererii de autorizare, o decizie comună cu privire la măsura în care termenii acordului propus respectă condițiile de acordare a sprijinului financiar prevăzute la art.41</w:t>
            </w:r>
            <w:r w:rsidRPr="00154588">
              <w:rPr>
                <w:rFonts w:eastAsia="Calibri"/>
                <w:sz w:val="20"/>
                <w:szCs w:val="20"/>
                <w:vertAlign w:val="superscript"/>
              </w:rPr>
              <w:t>29</w:t>
            </w:r>
            <w:r w:rsidRPr="00154588">
              <w:rPr>
                <w:rFonts w:eastAsia="Calibri"/>
                <w:sz w:val="20"/>
                <w:szCs w:val="20"/>
              </w:rPr>
              <w:t>, luând în considerare impactul potențial, inclusiv orice consecințe de ordin fiscal, al executării acordului în toate statele membre în care funcționează grupul.</w:t>
            </w:r>
          </w:p>
          <w:p w14:paraId="7964C189" w14:textId="77777777" w:rsidR="001F1176" w:rsidRPr="00154588" w:rsidRDefault="001F1176" w:rsidP="008C12B4">
            <w:pPr>
              <w:ind w:firstLine="567"/>
              <w:jc w:val="both"/>
              <w:rPr>
                <w:rFonts w:eastAsia="Calibri"/>
                <w:sz w:val="20"/>
                <w:szCs w:val="20"/>
              </w:rPr>
            </w:pPr>
            <w:r w:rsidRPr="00154588">
              <w:rPr>
                <w:rFonts w:eastAsia="Calibri"/>
                <w:sz w:val="20"/>
                <w:szCs w:val="20"/>
              </w:rPr>
              <w:t xml:space="preserve">(2) Decizia comună se prezintă într-un document care conține motivarea temeinică a acesteia și care este </w:t>
            </w:r>
            <w:r w:rsidRPr="00154588">
              <w:rPr>
                <w:rFonts w:eastAsia="Calibri"/>
                <w:sz w:val="20"/>
                <w:szCs w:val="20"/>
              </w:rPr>
              <w:lastRenderedPageBreak/>
              <w:t>transmisă solicitantului de către Banca Națională a Moldovei, în calitate de supraveghetor consolidant.</w:t>
            </w:r>
          </w:p>
          <w:p w14:paraId="5BB7B86C" w14:textId="0E3081AA" w:rsidR="00FE35B8" w:rsidRPr="00154588" w:rsidRDefault="001F1176" w:rsidP="008C12B4">
            <w:pPr>
              <w:ind w:firstLine="567"/>
              <w:jc w:val="both"/>
              <w:rPr>
                <w:sz w:val="20"/>
                <w:szCs w:val="20"/>
              </w:rPr>
            </w:pPr>
            <w:r w:rsidRPr="00154588">
              <w:rPr>
                <w:rFonts w:eastAsia="Calibri"/>
                <w:sz w:val="20"/>
                <w:szCs w:val="20"/>
              </w:rPr>
              <w:t>(3) Banca Națională a Moldovei, în calitate de supraveghetor consolidant, poate solicita Autorității Bancare Europene asistență pentru adoptarea unei decizii comune de către autoritățile competente, în conformitate cu prevederile art.31 din Regulamentul (UE) nr.1093/2010.</w:t>
            </w:r>
          </w:p>
        </w:tc>
        <w:tc>
          <w:tcPr>
            <w:tcW w:w="2552" w:type="dxa"/>
          </w:tcPr>
          <w:p w14:paraId="36143905" w14:textId="5A6BB1CC" w:rsidR="00FE35B8" w:rsidRPr="00154588" w:rsidRDefault="00481C6E" w:rsidP="008C12B4">
            <w:pPr>
              <w:jc w:val="both"/>
              <w:rPr>
                <w:bCs/>
                <w:sz w:val="20"/>
                <w:szCs w:val="20"/>
              </w:rPr>
            </w:pPr>
            <w:r w:rsidRPr="00154588">
              <w:rPr>
                <w:bCs/>
                <w:sz w:val="20"/>
                <w:szCs w:val="20"/>
              </w:rPr>
              <w:lastRenderedPageBreak/>
              <w:t>Compatibil</w:t>
            </w:r>
          </w:p>
        </w:tc>
        <w:tc>
          <w:tcPr>
            <w:tcW w:w="3118" w:type="dxa"/>
          </w:tcPr>
          <w:p w14:paraId="40DC346E" w14:textId="77777777" w:rsidR="00FE35B8" w:rsidRPr="00154588" w:rsidRDefault="00FE35B8" w:rsidP="008C12B4">
            <w:pPr>
              <w:jc w:val="both"/>
              <w:rPr>
                <w:bCs/>
                <w:sz w:val="20"/>
                <w:szCs w:val="20"/>
              </w:rPr>
            </w:pPr>
          </w:p>
        </w:tc>
      </w:tr>
      <w:tr w:rsidR="00FE35B8" w:rsidRPr="00154588" w14:paraId="217C133C" w14:textId="77777777" w:rsidTr="00D15C1B">
        <w:trPr>
          <w:jc w:val="center"/>
        </w:trPr>
        <w:tc>
          <w:tcPr>
            <w:tcW w:w="4957" w:type="dxa"/>
            <w:gridSpan w:val="2"/>
          </w:tcPr>
          <w:p w14:paraId="25C22987" w14:textId="1E84FC3C" w:rsidR="00FE35B8" w:rsidRPr="00154588" w:rsidRDefault="00FE35B8" w:rsidP="008C12B4">
            <w:pPr>
              <w:jc w:val="both"/>
              <w:rPr>
                <w:bCs/>
                <w:sz w:val="20"/>
                <w:szCs w:val="20"/>
              </w:rPr>
            </w:pPr>
            <w:r w:rsidRPr="00154588">
              <w:rPr>
                <w:bCs/>
                <w:sz w:val="20"/>
                <w:szCs w:val="20"/>
              </w:rPr>
              <w:t>(6)   În cazul în care autoritățile competente nu ajung la o decizie comună în termen de patru luni, supraveghetorul consolidant adoptă propria decizie în legătură cu cererea respectivă. Decizia este prezentată într-un document conținând decizia temeinic motivată și ține seama de avizele și rezervele celorlalte autorități competente, exprimate pe parcursul perioadei de patru luni. Supraveghetorul consolidant notifică decizia sa solicitantului și celorlalte autorități competente.</w:t>
            </w:r>
          </w:p>
        </w:tc>
        <w:tc>
          <w:tcPr>
            <w:tcW w:w="4819" w:type="dxa"/>
          </w:tcPr>
          <w:p w14:paraId="3DE43AEA" w14:textId="77777777" w:rsidR="001F1176" w:rsidRPr="00154588" w:rsidRDefault="001F1176"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23</w:t>
            </w:r>
            <w:r w:rsidRPr="00154588">
              <w:rPr>
                <w:rFonts w:eastAsia="Calibri"/>
                <w:b/>
                <w:sz w:val="20"/>
                <w:szCs w:val="20"/>
              </w:rPr>
              <w:t>.</w:t>
            </w:r>
            <w:r w:rsidRPr="00154588">
              <w:rPr>
                <w:rFonts w:eastAsia="Calibri"/>
                <w:sz w:val="20"/>
                <w:szCs w:val="20"/>
              </w:rPr>
              <w:t xml:space="preserve"> – (1) În cazul în care autoritățile competente nu ajung la o decizie comună în termenul de patru luni prevăzut la art.41</w:t>
            </w:r>
            <w:r w:rsidRPr="00154588">
              <w:rPr>
                <w:rFonts w:eastAsia="Calibri"/>
                <w:sz w:val="20"/>
                <w:szCs w:val="20"/>
                <w:vertAlign w:val="superscript"/>
              </w:rPr>
              <w:t>22</w:t>
            </w:r>
            <w:r w:rsidRPr="00154588">
              <w:rPr>
                <w:rFonts w:eastAsia="Calibri"/>
                <w:sz w:val="20"/>
                <w:szCs w:val="20"/>
              </w:rPr>
              <w:t xml:space="preserve"> alin.(1), Banca Națională a Moldovei, în calitate de supraveghetor consolidant, adoptă propria decizie în legătură cu cererea respectivă, pe care o transmite celorlalte autorități competente și instituției de credit solicitante.</w:t>
            </w:r>
          </w:p>
          <w:p w14:paraId="6F83F714" w14:textId="314A9336" w:rsidR="00FE35B8" w:rsidRPr="00154588" w:rsidRDefault="001F1176" w:rsidP="008C12B4">
            <w:pPr>
              <w:ind w:firstLine="567"/>
              <w:jc w:val="both"/>
              <w:rPr>
                <w:sz w:val="20"/>
                <w:szCs w:val="20"/>
              </w:rPr>
            </w:pPr>
            <w:r w:rsidRPr="00154588">
              <w:rPr>
                <w:rFonts w:eastAsia="Calibri"/>
                <w:sz w:val="20"/>
                <w:szCs w:val="20"/>
              </w:rPr>
              <w:t>(2) Decizia trebuie să fie formalizată într-un document, să fie temeinic motivată și să țină cont de avizele și rezervele celorlalte autorități competente, exprimate în termenul de patru luni.</w:t>
            </w:r>
          </w:p>
        </w:tc>
        <w:tc>
          <w:tcPr>
            <w:tcW w:w="2552" w:type="dxa"/>
          </w:tcPr>
          <w:p w14:paraId="1375CE24" w14:textId="7090D053" w:rsidR="00FE35B8" w:rsidRPr="00154588" w:rsidRDefault="00481C6E" w:rsidP="008C12B4">
            <w:pPr>
              <w:jc w:val="both"/>
              <w:rPr>
                <w:bCs/>
                <w:sz w:val="20"/>
                <w:szCs w:val="20"/>
              </w:rPr>
            </w:pPr>
            <w:r w:rsidRPr="00154588">
              <w:rPr>
                <w:bCs/>
                <w:sz w:val="20"/>
                <w:szCs w:val="20"/>
              </w:rPr>
              <w:t>Compatibil</w:t>
            </w:r>
          </w:p>
        </w:tc>
        <w:tc>
          <w:tcPr>
            <w:tcW w:w="3118" w:type="dxa"/>
          </w:tcPr>
          <w:p w14:paraId="2971FBAB" w14:textId="77777777" w:rsidR="00FE35B8" w:rsidRPr="00154588" w:rsidRDefault="00FE35B8" w:rsidP="008C12B4">
            <w:pPr>
              <w:jc w:val="both"/>
              <w:rPr>
                <w:bCs/>
                <w:sz w:val="20"/>
                <w:szCs w:val="20"/>
              </w:rPr>
            </w:pPr>
          </w:p>
        </w:tc>
      </w:tr>
      <w:tr w:rsidR="00FE35B8" w:rsidRPr="00154588" w14:paraId="7E7D8DD2" w14:textId="77777777" w:rsidTr="00D15C1B">
        <w:trPr>
          <w:jc w:val="center"/>
        </w:trPr>
        <w:tc>
          <w:tcPr>
            <w:tcW w:w="4957" w:type="dxa"/>
            <w:gridSpan w:val="2"/>
          </w:tcPr>
          <w:p w14:paraId="7438C527" w14:textId="190FA18B" w:rsidR="00FE35B8" w:rsidRPr="00154588" w:rsidRDefault="00FE35B8" w:rsidP="008C12B4">
            <w:pPr>
              <w:jc w:val="both"/>
              <w:rPr>
                <w:bCs/>
                <w:sz w:val="20"/>
                <w:szCs w:val="20"/>
              </w:rPr>
            </w:pPr>
            <w:r w:rsidRPr="00154588">
              <w:rPr>
                <w:bCs/>
                <w:sz w:val="20"/>
                <w:szCs w:val="20"/>
              </w:rPr>
              <w:t>(7)   Dacă până la finalul perioadei de patru luni, oricare dintre autoritățile competente implicate aduce problema în atenția ABE în conformitate cu articolul 19 din Regulamentul (UE) nr. 1093/2010, supraveghetorul consolidant își amână decizia și așteaptă decizia luată de ABE în conformitate cu articolul 19 alineatul (3) din regulamentul menționat, adoptând ulterior propria decizie în conformitate cu decizia ABE. Perioada de patru luni se consideră a fi perioada de conciliere în înțelesul regulamentului menționat. ABE adoptă propria decizie în termen de o lună. Problema nu poate fi adusă în atenția ABE după expirarea perioadei de patru luni sau după ce s-a ajuns la o decizie comună.</w:t>
            </w:r>
          </w:p>
        </w:tc>
        <w:tc>
          <w:tcPr>
            <w:tcW w:w="4819" w:type="dxa"/>
          </w:tcPr>
          <w:p w14:paraId="32C8FB9A" w14:textId="77777777" w:rsidR="001F1176" w:rsidRPr="00154588" w:rsidRDefault="001F1176"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24</w:t>
            </w:r>
            <w:r w:rsidRPr="00154588">
              <w:rPr>
                <w:rFonts w:eastAsia="Calibri"/>
                <w:b/>
                <w:sz w:val="20"/>
                <w:szCs w:val="20"/>
              </w:rPr>
              <w:t>.</w:t>
            </w:r>
            <w:r w:rsidRPr="00154588">
              <w:rPr>
                <w:rFonts w:eastAsia="Calibri"/>
                <w:sz w:val="20"/>
                <w:szCs w:val="20"/>
              </w:rPr>
              <w:t xml:space="preserve"> – (1) Dacă, în termenul de patru luni prevăzut la art.41</w:t>
            </w:r>
            <w:r w:rsidRPr="00154588">
              <w:rPr>
                <w:rFonts w:eastAsia="Calibri"/>
                <w:sz w:val="20"/>
                <w:szCs w:val="20"/>
                <w:vertAlign w:val="superscript"/>
              </w:rPr>
              <w:t>22</w:t>
            </w:r>
            <w:r w:rsidRPr="00154588">
              <w:rPr>
                <w:rFonts w:eastAsia="Calibri"/>
                <w:sz w:val="20"/>
                <w:szCs w:val="20"/>
              </w:rPr>
              <w:t xml:space="preserve"> alin.(1), oricare dintre autoritățile competente implicate solicită opinia Autorității Bancare Europene conform art. 19 din Regulamentul (UE) nr.1093/2010, Banca Națională a Moldovei, în calitate de supraveghetor consolidant, își amână decizia și așteaptă decizia pe care Autoritatea Bancară Europeană o poate lua.</w:t>
            </w:r>
          </w:p>
          <w:p w14:paraId="63691A63" w14:textId="77777777" w:rsidR="001F1176" w:rsidRPr="00154588" w:rsidRDefault="001F1176" w:rsidP="008C12B4">
            <w:pPr>
              <w:ind w:firstLine="567"/>
              <w:jc w:val="both"/>
              <w:rPr>
                <w:rFonts w:eastAsia="Calibri"/>
                <w:sz w:val="20"/>
                <w:szCs w:val="20"/>
              </w:rPr>
            </w:pPr>
            <w:r w:rsidRPr="00154588">
              <w:rPr>
                <w:rFonts w:eastAsia="Calibri"/>
                <w:sz w:val="20"/>
                <w:szCs w:val="20"/>
              </w:rPr>
              <w:t>(2) Perioada de patru luni se consideră perioada de conciliere în sensul art.19 din Regulament (UE) nr.1093/2010.</w:t>
            </w:r>
          </w:p>
          <w:p w14:paraId="522620D4" w14:textId="77777777" w:rsidR="001F1176" w:rsidRPr="00154588" w:rsidRDefault="001F1176" w:rsidP="008C12B4">
            <w:pPr>
              <w:ind w:firstLine="567"/>
              <w:jc w:val="both"/>
              <w:rPr>
                <w:rFonts w:eastAsia="Calibri"/>
                <w:sz w:val="20"/>
                <w:szCs w:val="20"/>
              </w:rPr>
            </w:pPr>
            <w:r w:rsidRPr="00154588">
              <w:rPr>
                <w:rFonts w:eastAsia="Calibri"/>
                <w:sz w:val="20"/>
                <w:szCs w:val="20"/>
              </w:rPr>
              <w:t>(3) Banca Națională a Moldovei, în calitate de supraveghetor consolidant, adoptă propria decizie în conformitate cu decizia Autorității Bancare Europene exprimată în termen de o lună.</w:t>
            </w:r>
          </w:p>
          <w:p w14:paraId="5DFC61D0" w14:textId="676AD992" w:rsidR="00FE35B8" w:rsidRPr="00154588" w:rsidRDefault="001F1176" w:rsidP="008C12B4">
            <w:pPr>
              <w:ind w:firstLine="567"/>
              <w:jc w:val="both"/>
              <w:rPr>
                <w:sz w:val="20"/>
                <w:szCs w:val="20"/>
              </w:rPr>
            </w:pPr>
            <w:r w:rsidRPr="00154588">
              <w:rPr>
                <w:rFonts w:eastAsia="Calibri"/>
                <w:sz w:val="20"/>
                <w:szCs w:val="20"/>
              </w:rPr>
              <w:t>(4) După expirarea termenului de patru luni sau după ce s-a ajuns la o decizie comună, Banca Națională a Moldovei, în calitate de supraveghetor consolidant, nu mai poate solicita opinia Autorității Bancare Europene în legătură cu cererea de autorizare a ajutorului financiar intragrup.</w:t>
            </w:r>
          </w:p>
        </w:tc>
        <w:tc>
          <w:tcPr>
            <w:tcW w:w="2552" w:type="dxa"/>
          </w:tcPr>
          <w:p w14:paraId="0574235B" w14:textId="7E94EB99" w:rsidR="00FE35B8" w:rsidRPr="00154588" w:rsidRDefault="00481C6E" w:rsidP="008C12B4">
            <w:pPr>
              <w:jc w:val="both"/>
              <w:rPr>
                <w:bCs/>
                <w:sz w:val="20"/>
                <w:szCs w:val="20"/>
              </w:rPr>
            </w:pPr>
            <w:r w:rsidRPr="00154588">
              <w:rPr>
                <w:bCs/>
                <w:sz w:val="20"/>
                <w:szCs w:val="20"/>
              </w:rPr>
              <w:t>Compatibil</w:t>
            </w:r>
          </w:p>
        </w:tc>
        <w:tc>
          <w:tcPr>
            <w:tcW w:w="3118" w:type="dxa"/>
          </w:tcPr>
          <w:p w14:paraId="537D019F" w14:textId="77777777" w:rsidR="00FE35B8" w:rsidRPr="00154588" w:rsidRDefault="00FE35B8" w:rsidP="008C12B4">
            <w:pPr>
              <w:jc w:val="both"/>
              <w:rPr>
                <w:bCs/>
                <w:sz w:val="20"/>
                <w:szCs w:val="20"/>
              </w:rPr>
            </w:pPr>
          </w:p>
        </w:tc>
      </w:tr>
      <w:tr w:rsidR="001F1176" w:rsidRPr="00154588" w14:paraId="6A7618D3" w14:textId="77777777" w:rsidTr="00D15C1B">
        <w:trPr>
          <w:jc w:val="center"/>
        </w:trPr>
        <w:tc>
          <w:tcPr>
            <w:tcW w:w="4957" w:type="dxa"/>
            <w:gridSpan w:val="2"/>
          </w:tcPr>
          <w:p w14:paraId="00F6BD67" w14:textId="77777777" w:rsidR="001F1176" w:rsidRPr="00154588" w:rsidRDefault="001F1176" w:rsidP="008C12B4">
            <w:pPr>
              <w:jc w:val="both"/>
              <w:rPr>
                <w:bCs/>
                <w:sz w:val="20"/>
                <w:szCs w:val="20"/>
              </w:rPr>
            </w:pPr>
          </w:p>
        </w:tc>
        <w:tc>
          <w:tcPr>
            <w:tcW w:w="4819" w:type="dxa"/>
          </w:tcPr>
          <w:p w14:paraId="131AEBBA" w14:textId="77777777" w:rsidR="001F1176" w:rsidRPr="00154588" w:rsidRDefault="001F1176" w:rsidP="008C12B4">
            <w:pPr>
              <w:ind w:firstLine="567"/>
              <w:jc w:val="center"/>
              <w:rPr>
                <w:rFonts w:eastAsia="Calibri"/>
                <w:b/>
                <w:bCs/>
                <w:kern w:val="2"/>
                <w:sz w:val="20"/>
                <w:szCs w:val="20"/>
                <w14:ligatures w14:val="standardContextual"/>
              </w:rPr>
            </w:pPr>
            <w:r w:rsidRPr="00154588">
              <w:rPr>
                <w:rFonts w:eastAsia="Calibri"/>
                <w:b/>
                <w:bCs/>
                <w:kern w:val="2"/>
                <w:sz w:val="20"/>
                <w:szCs w:val="20"/>
                <w14:ligatures w14:val="standardContextual"/>
              </w:rPr>
              <w:t>Secţiunea a 3-a</w:t>
            </w:r>
          </w:p>
          <w:p w14:paraId="0AD20B00" w14:textId="77777777" w:rsidR="001F1176" w:rsidRPr="00154588" w:rsidRDefault="001F1176" w:rsidP="008C12B4">
            <w:pPr>
              <w:ind w:firstLine="567"/>
              <w:jc w:val="center"/>
              <w:rPr>
                <w:rFonts w:eastAsia="Calibri"/>
                <w:b/>
                <w:bCs/>
                <w:kern w:val="2"/>
                <w:sz w:val="20"/>
                <w:szCs w:val="20"/>
                <w14:ligatures w14:val="standardContextual"/>
              </w:rPr>
            </w:pPr>
            <w:r w:rsidRPr="00154588">
              <w:rPr>
                <w:rFonts w:eastAsia="Calibri"/>
                <w:b/>
                <w:bCs/>
                <w:kern w:val="2"/>
                <w:sz w:val="20"/>
                <w:szCs w:val="20"/>
                <w14:ligatures w14:val="standardContextual"/>
              </w:rPr>
              <w:t>Autorizarea proiectului de acord de sprijin financiar intragrup în cazul</w:t>
            </w:r>
          </w:p>
          <w:p w14:paraId="36FCBCF7" w14:textId="77777777" w:rsidR="001F1176" w:rsidRPr="00154588" w:rsidRDefault="001F1176" w:rsidP="008C12B4">
            <w:pPr>
              <w:ind w:firstLine="567"/>
              <w:jc w:val="center"/>
              <w:rPr>
                <w:rFonts w:eastAsia="Calibri"/>
                <w:b/>
                <w:bCs/>
                <w:kern w:val="2"/>
                <w:sz w:val="20"/>
                <w:szCs w:val="20"/>
                <w14:ligatures w14:val="standardContextual"/>
              </w:rPr>
            </w:pPr>
            <w:r w:rsidRPr="00154588">
              <w:rPr>
                <w:rFonts w:eastAsia="Calibri"/>
                <w:b/>
                <w:bCs/>
                <w:kern w:val="2"/>
                <w:sz w:val="20"/>
                <w:szCs w:val="20"/>
                <w14:ligatures w14:val="standardContextual"/>
              </w:rPr>
              <w:t>în care Banca Națională a Moldovei este autoritate competentă la nivel individual</w:t>
            </w:r>
          </w:p>
          <w:p w14:paraId="14CCD6D6" w14:textId="77777777" w:rsidR="001F1176" w:rsidRPr="00154588" w:rsidRDefault="001F1176" w:rsidP="008C12B4">
            <w:pPr>
              <w:jc w:val="both"/>
              <w:rPr>
                <w:rFonts w:eastAsia="Calibri"/>
                <w:b/>
                <w:sz w:val="20"/>
                <w:szCs w:val="20"/>
              </w:rPr>
            </w:pPr>
          </w:p>
        </w:tc>
        <w:tc>
          <w:tcPr>
            <w:tcW w:w="2552" w:type="dxa"/>
          </w:tcPr>
          <w:p w14:paraId="115A8EFC" w14:textId="77777777" w:rsidR="001F1176" w:rsidRPr="00154588" w:rsidRDefault="001F1176" w:rsidP="008C12B4">
            <w:pPr>
              <w:jc w:val="both"/>
              <w:rPr>
                <w:bCs/>
                <w:sz w:val="20"/>
                <w:szCs w:val="20"/>
              </w:rPr>
            </w:pPr>
          </w:p>
        </w:tc>
        <w:tc>
          <w:tcPr>
            <w:tcW w:w="3118" w:type="dxa"/>
          </w:tcPr>
          <w:p w14:paraId="5A2C2436" w14:textId="77777777" w:rsidR="001F1176" w:rsidRPr="00154588" w:rsidRDefault="001F1176" w:rsidP="008C12B4">
            <w:pPr>
              <w:jc w:val="both"/>
              <w:rPr>
                <w:bCs/>
                <w:sz w:val="20"/>
                <w:szCs w:val="20"/>
              </w:rPr>
            </w:pPr>
          </w:p>
        </w:tc>
      </w:tr>
      <w:tr w:rsidR="001F1176" w:rsidRPr="00154588" w14:paraId="2CBD3618" w14:textId="77777777" w:rsidTr="00D15C1B">
        <w:trPr>
          <w:jc w:val="center"/>
        </w:trPr>
        <w:tc>
          <w:tcPr>
            <w:tcW w:w="4957" w:type="dxa"/>
            <w:gridSpan w:val="2"/>
          </w:tcPr>
          <w:p w14:paraId="293E7B9F" w14:textId="77777777" w:rsidR="001F1176" w:rsidRPr="00154588" w:rsidRDefault="001F1176" w:rsidP="008C12B4">
            <w:pPr>
              <w:jc w:val="both"/>
              <w:rPr>
                <w:bCs/>
                <w:sz w:val="20"/>
                <w:szCs w:val="20"/>
              </w:rPr>
            </w:pPr>
          </w:p>
        </w:tc>
        <w:tc>
          <w:tcPr>
            <w:tcW w:w="4819" w:type="dxa"/>
          </w:tcPr>
          <w:p w14:paraId="137D08EE" w14:textId="77777777" w:rsidR="001F1176" w:rsidRPr="00154588" w:rsidRDefault="001F1176"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25</w:t>
            </w:r>
            <w:r w:rsidRPr="00154588">
              <w:rPr>
                <w:rFonts w:eastAsia="Calibri"/>
                <w:b/>
                <w:sz w:val="20"/>
                <w:szCs w:val="20"/>
              </w:rPr>
              <w:t>.</w:t>
            </w:r>
            <w:r w:rsidRPr="00154588">
              <w:rPr>
                <w:rFonts w:eastAsia="Calibri"/>
                <w:sz w:val="20"/>
                <w:szCs w:val="20"/>
              </w:rPr>
              <w:t xml:space="preserve"> – (1) Banca Națională a Moldovei, în calitate de autoritate competentă la nivel individual, depune toate eforturile pentru adoptarea unei decizii comune cu celelalte autorități competente relevante, în termen de patru luni de la data primirii cererii de autorizare de către supraveghetorul consolidant, cu privire la măsura în care termenii acordului propus respectă condițiile de acordare a sprijinului financiar prevăzute la art.41</w:t>
            </w:r>
            <w:r w:rsidRPr="00154588">
              <w:rPr>
                <w:rFonts w:eastAsia="Calibri"/>
                <w:sz w:val="20"/>
                <w:szCs w:val="20"/>
                <w:vertAlign w:val="superscript"/>
              </w:rPr>
              <w:t>28</w:t>
            </w:r>
            <w:r w:rsidRPr="00154588">
              <w:rPr>
                <w:rFonts w:eastAsia="Calibri"/>
                <w:sz w:val="20"/>
                <w:szCs w:val="20"/>
              </w:rPr>
              <w:t>, luând în considerare impactul potențial, inclusiv orice consecințe de ordin fiscal, ale aplicării acordului în Republica Moldova.</w:t>
            </w:r>
          </w:p>
          <w:p w14:paraId="3ECC5C1E" w14:textId="77777777" w:rsidR="001F1176" w:rsidRPr="00154588" w:rsidRDefault="001F1176" w:rsidP="008C12B4">
            <w:pPr>
              <w:ind w:firstLine="567"/>
              <w:jc w:val="both"/>
              <w:rPr>
                <w:rFonts w:eastAsia="Calibri"/>
                <w:sz w:val="20"/>
                <w:szCs w:val="20"/>
              </w:rPr>
            </w:pPr>
            <w:r w:rsidRPr="00154588">
              <w:rPr>
                <w:rFonts w:eastAsia="Calibri"/>
                <w:sz w:val="20"/>
                <w:szCs w:val="20"/>
              </w:rPr>
              <w:t>(2) Banca Națională a Moldovei, în calitate de autoritate competentă la nivel individual, poate solicita Autorității Bancare Europene să acorde asistență pentru adoptarea unei decizii comune de către autoritățile competente, în conformitate cu prevederile art.31 din Regulamentul (UE) nr.1093/2010.</w:t>
            </w:r>
          </w:p>
          <w:p w14:paraId="40F6B394" w14:textId="77777777" w:rsidR="001F1176" w:rsidRPr="00154588" w:rsidRDefault="001F1176" w:rsidP="008C12B4">
            <w:pPr>
              <w:ind w:firstLine="567"/>
              <w:jc w:val="both"/>
              <w:rPr>
                <w:rFonts w:eastAsia="Calibri"/>
                <w:sz w:val="20"/>
                <w:szCs w:val="20"/>
              </w:rPr>
            </w:pPr>
            <w:r w:rsidRPr="00154588">
              <w:rPr>
                <w:rFonts w:eastAsia="Calibri"/>
                <w:sz w:val="20"/>
                <w:szCs w:val="20"/>
              </w:rPr>
              <w:t>(3) Perioada de patru luni se consideră perioada de conciliere în sensul art.19 din Regulament (UE) nr.1093/2010.</w:t>
            </w:r>
          </w:p>
          <w:p w14:paraId="535415F2" w14:textId="77777777" w:rsidR="001F1176" w:rsidRPr="00154588" w:rsidRDefault="001F1176" w:rsidP="008C12B4">
            <w:pPr>
              <w:ind w:firstLine="567"/>
              <w:jc w:val="both"/>
              <w:rPr>
                <w:rFonts w:eastAsia="Calibri"/>
                <w:sz w:val="20"/>
                <w:szCs w:val="20"/>
              </w:rPr>
            </w:pPr>
            <w:r w:rsidRPr="00154588">
              <w:rPr>
                <w:rFonts w:eastAsia="Calibri"/>
                <w:sz w:val="20"/>
                <w:szCs w:val="20"/>
              </w:rPr>
              <w:t>(4) După expirarea termenului de patru luni sau după ce s-a ajuns la o decizie comună, Banca Națională a Moldovei, în calitate de autoritate competentă la nivel individual, nu mai poate solicita opinia Autorității Bancare Europene în legătură cu cererea de acordare a ajutorului financiar intragrup.</w:t>
            </w:r>
          </w:p>
          <w:p w14:paraId="5D194931" w14:textId="1C51241F" w:rsidR="001F1176" w:rsidRPr="00154588" w:rsidRDefault="001F1176" w:rsidP="008C12B4">
            <w:pPr>
              <w:ind w:firstLine="567"/>
              <w:jc w:val="both"/>
              <w:rPr>
                <w:rFonts w:eastAsia="Calibri"/>
                <w:kern w:val="2"/>
                <w:sz w:val="20"/>
                <w:szCs w:val="20"/>
                <w14:ligatures w14:val="standardContextual"/>
              </w:rPr>
            </w:pPr>
            <w:r w:rsidRPr="00154588">
              <w:rPr>
                <w:rFonts w:eastAsia="Calibri"/>
                <w:sz w:val="20"/>
                <w:szCs w:val="20"/>
              </w:rPr>
              <w:t>(5) Banca Națională a Moldovei în calitate de autoritate competentă la nivel individual notifică decizia sa filialei din Republica Moldova.</w:t>
            </w:r>
          </w:p>
        </w:tc>
        <w:tc>
          <w:tcPr>
            <w:tcW w:w="2552" w:type="dxa"/>
          </w:tcPr>
          <w:p w14:paraId="2E19D31D" w14:textId="31CD9CDB" w:rsidR="001F1176" w:rsidRPr="00154588" w:rsidRDefault="00F350DC" w:rsidP="008C12B4">
            <w:pPr>
              <w:jc w:val="both"/>
              <w:rPr>
                <w:bCs/>
                <w:sz w:val="20"/>
                <w:szCs w:val="20"/>
              </w:rPr>
            </w:pPr>
            <w:r w:rsidRPr="00154588">
              <w:rPr>
                <w:bCs/>
                <w:sz w:val="20"/>
                <w:szCs w:val="20"/>
              </w:rPr>
              <w:t>Compatibil</w:t>
            </w:r>
          </w:p>
        </w:tc>
        <w:tc>
          <w:tcPr>
            <w:tcW w:w="3118" w:type="dxa"/>
          </w:tcPr>
          <w:p w14:paraId="2FC4D21C" w14:textId="77777777" w:rsidR="001F1176" w:rsidRPr="00154588" w:rsidRDefault="001F1176" w:rsidP="008C12B4">
            <w:pPr>
              <w:jc w:val="both"/>
              <w:rPr>
                <w:bCs/>
                <w:sz w:val="20"/>
                <w:szCs w:val="20"/>
              </w:rPr>
            </w:pPr>
          </w:p>
        </w:tc>
      </w:tr>
      <w:tr w:rsidR="00FE35B8" w:rsidRPr="00154588" w14:paraId="0AF64803" w14:textId="77777777" w:rsidTr="00D15C1B">
        <w:trPr>
          <w:jc w:val="center"/>
        </w:trPr>
        <w:tc>
          <w:tcPr>
            <w:tcW w:w="4957" w:type="dxa"/>
            <w:gridSpan w:val="2"/>
          </w:tcPr>
          <w:p w14:paraId="6C352E42" w14:textId="77777777" w:rsidR="00FE35B8" w:rsidRPr="00154588" w:rsidRDefault="00FE35B8" w:rsidP="008C12B4">
            <w:pPr>
              <w:rPr>
                <w:b/>
                <w:sz w:val="20"/>
                <w:szCs w:val="20"/>
              </w:rPr>
            </w:pPr>
            <w:r w:rsidRPr="00154588">
              <w:rPr>
                <w:b/>
                <w:sz w:val="20"/>
                <w:szCs w:val="20"/>
              </w:rPr>
              <w:t>Articolul 21</w:t>
            </w:r>
          </w:p>
          <w:p w14:paraId="4F3C7850" w14:textId="77777777" w:rsidR="00FE35B8" w:rsidRPr="00154588" w:rsidRDefault="00FE35B8" w:rsidP="008C12B4">
            <w:pPr>
              <w:rPr>
                <w:b/>
                <w:sz w:val="20"/>
                <w:szCs w:val="20"/>
              </w:rPr>
            </w:pPr>
          </w:p>
          <w:p w14:paraId="7F7194EB" w14:textId="5DE062E9" w:rsidR="00FE35B8" w:rsidRPr="00154588" w:rsidRDefault="00FE35B8" w:rsidP="008C12B4">
            <w:pPr>
              <w:rPr>
                <w:bCs/>
                <w:sz w:val="20"/>
                <w:szCs w:val="20"/>
              </w:rPr>
            </w:pPr>
            <w:r w:rsidRPr="00154588">
              <w:rPr>
                <w:b/>
                <w:sz w:val="20"/>
                <w:szCs w:val="20"/>
              </w:rPr>
              <w:t>Aprobarea de către acționari a proiectului de acord</w:t>
            </w:r>
          </w:p>
        </w:tc>
        <w:tc>
          <w:tcPr>
            <w:tcW w:w="4819" w:type="dxa"/>
          </w:tcPr>
          <w:p w14:paraId="2CC9757A" w14:textId="77777777" w:rsidR="001F1176" w:rsidRPr="00154588" w:rsidRDefault="001F1176" w:rsidP="008C12B4">
            <w:pPr>
              <w:jc w:val="center"/>
              <w:rPr>
                <w:rFonts w:eastAsia="Calibri"/>
                <w:b/>
                <w:sz w:val="20"/>
                <w:szCs w:val="20"/>
              </w:rPr>
            </w:pPr>
            <w:r w:rsidRPr="00154588">
              <w:rPr>
                <w:rFonts w:eastAsia="Calibri"/>
                <w:b/>
                <w:sz w:val="20"/>
                <w:szCs w:val="20"/>
              </w:rPr>
              <w:t>Secțiunea a 4-a</w:t>
            </w:r>
          </w:p>
          <w:p w14:paraId="7B89B967" w14:textId="47AC9479" w:rsidR="00FE35B8" w:rsidRPr="00154588" w:rsidRDefault="001F1176" w:rsidP="008C12B4">
            <w:pPr>
              <w:jc w:val="both"/>
              <w:rPr>
                <w:bCs/>
                <w:sz w:val="20"/>
                <w:szCs w:val="20"/>
              </w:rPr>
            </w:pPr>
            <w:r w:rsidRPr="00154588">
              <w:rPr>
                <w:rFonts w:eastAsia="Calibri"/>
                <w:b/>
                <w:sz w:val="20"/>
                <w:szCs w:val="20"/>
              </w:rPr>
              <w:t>Aprobarea de către acționari a proiectului de acord</w:t>
            </w:r>
          </w:p>
        </w:tc>
        <w:tc>
          <w:tcPr>
            <w:tcW w:w="2552" w:type="dxa"/>
          </w:tcPr>
          <w:p w14:paraId="603A1E7A" w14:textId="77777777" w:rsidR="00FE35B8" w:rsidRPr="00154588" w:rsidRDefault="00FE35B8" w:rsidP="008C12B4">
            <w:pPr>
              <w:jc w:val="both"/>
              <w:rPr>
                <w:bCs/>
                <w:sz w:val="20"/>
                <w:szCs w:val="20"/>
              </w:rPr>
            </w:pPr>
          </w:p>
        </w:tc>
        <w:tc>
          <w:tcPr>
            <w:tcW w:w="3118" w:type="dxa"/>
          </w:tcPr>
          <w:p w14:paraId="30B00F0E" w14:textId="77777777" w:rsidR="00FE35B8" w:rsidRPr="00154588" w:rsidRDefault="00FE35B8" w:rsidP="008C12B4">
            <w:pPr>
              <w:jc w:val="both"/>
              <w:rPr>
                <w:bCs/>
                <w:sz w:val="20"/>
                <w:szCs w:val="20"/>
              </w:rPr>
            </w:pPr>
          </w:p>
        </w:tc>
      </w:tr>
      <w:tr w:rsidR="00FE35B8" w:rsidRPr="00154588" w14:paraId="4BA60171" w14:textId="77777777" w:rsidTr="00D15C1B">
        <w:trPr>
          <w:jc w:val="center"/>
        </w:trPr>
        <w:tc>
          <w:tcPr>
            <w:tcW w:w="4957" w:type="dxa"/>
            <w:gridSpan w:val="2"/>
          </w:tcPr>
          <w:p w14:paraId="75713823" w14:textId="6B7D40EB" w:rsidR="00FE35B8" w:rsidRPr="00154588" w:rsidRDefault="00FE35B8" w:rsidP="008C12B4">
            <w:pPr>
              <w:jc w:val="both"/>
              <w:rPr>
                <w:bCs/>
                <w:sz w:val="20"/>
                <w:szCs w:val="20"/>
              </w:rPr>
            </w:pPr>
            <w:r w:rsidRPr="00154588">
              <w:rPr>
                <w:bCs/>
                <w:sz w:val="20"/>
                <w:szCs w:val="20"/>
              </w:rPr>
              <w:t>(1)   Statele membre solicită ca orice proiect de acord care a fost autorizat de autoritățile competente să fie prezentat pentru aprobare acționarilor fiecărei entități din grup care intenționează să fie parte la acord. În acest caz, acordul nu este valabil decât pentru acele părți ai căror acționari au aprobat acordul în conformitate cu alineatul (2).</w:t>
            </w:r>
          </w:p>
        </w:tc>
        <w:tc>
          <w:tcPr>
            <w:tcW w:w="4819" w:type="dxa"/>
          </w:tcPr>
          <w:p w14:paraId="16730299" w14:textId="77777777" w:rsidR="001F1176" w:rsidRPr="00154588" w:rsidRDefault="001F1176"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26</w:t>
            </w:r>
            <w:r w:rsidRPr="00154588">
              <w:rPr>
                <w:rFonts w:eastAsia="Calibri"/>
                <w:b/>
                <w:sz w:val="20"/>
                <w:szCs w:val="20"/>
              </w:rPr>
              <w:t>.</w:t>
            </w:r>
            <w:r w:rsidRPr="00154588">
              <w:rPr>
                <w:rFonts w:eastAsia="Calibri"/>
                <w:sz w:val="20"/>
                <w:szCs w:val="20"/>
              </w:rPr>
              <w:t xml:space="preserve"> – (1) Orice proiect de acord care a fost autorizat de autoritățile competente este supus aprobării acționarilor fiecărei entități din grup care intenționează să fie parte la acord.</w:t>
            </w:r>
          </w:p>
          <w:p w14:paraId="3AEDFF5C" w14:textId="5F18EC0F" w:rsidR="00FE35B8" w:rsidRPr="00154588" w:rsidRDefault="001F1176" w:rsidP="008C12B4">
            <w:pPr>
              <w:ind w:firstLine="567"/>
              <w:jc w:val="both"/>
              <w:rPr>
                <w:sz w:val="20"/>
                <w:szCs w:val="20"/>
              </w:rPr>
            </w:pPr>
            <w:r w:rsidRPr="00154588">
              <w:rPr>
                <w:rFonts w:eastAsia="Calibri"/>
                <w:sz w:val="20"/>
                <w:szCs w:val="20"/>
              </w:rPr>
              <w:t>(2) În acest caz, acordul nu este valabil decât pentru acele părţi ai căror acţionari au aprobat acordul în conformitate cu alin.(3).</w:t>
            </w:r>
          </w:p>
        </w:tc>
        <w:tc>
          <w:tcPr>
            <w:tcW w:w="2552" w:type="dxa"/>
          </w:tcPr>
          <w:p w14:paraId="2180FC40" w14:textId="321F38B4" w:rsidR="00FE35B8" w:rsidRPr="00154588" w:rsidRDefault="00481C6E" w:rsidP="008C12B4">
            <w:pPr>
              <w:jc w:val="both"/>
              <w:rPr>
                <w:bCs/>
                <w:sz w:val="20"/>
                <w:szCs w:val="20"/>
              </w:rPr>
            </w:pPr>
            <w:r w:rsidRPr="00154588">
              <w:rPr>
                <w:bCs/>
                <w:sz w:val="20"/>
                <w:szCs w:val="20"/>
              </w:rPr>
              <w:t>Compatibil</w:t>
            </w:r>
          </w:p>
        </w:tc>
        <w:tc>
          <w:tcPr>
            <w:tcW w:w="3118" w:type="dxa"/>
          </w:tcPr>
          <w:p w14:paraId="6C59DBE5" w14:textId="77777777" w:rsidR="00FE35B8" w:rsidRPr="00154588" w:rsidRDefault="00FE35B8" w:rsidP="008C12B4">
            <w:pPr>
              <w:jc w:val="both"/>
              <w:rPr>
                <w:bCs/>
                <w:sz w:val="20"/>
                <w:szCs w:val="20"/>
              </w:rPr>
            </w:pPr>
          </w:p>
        </w:tc>
      </w:tr>
      <w:tr w:rsidR="00FE35B8" w:rsidRPr="00154588" w14:paraId="205D958F" w14:textId="77777777" w:rsidTr="00D15C1B">
        <w:trPr>
          <w:jc w:val="center"/>
        </w:trPr>
        <w:tc>
          <w:tcPr>
            <w:tcW w:w="4957" w:type="dxa"/>
            <w:gridSpan w:val="2"/>
          </w:tcPr>
          <w:p w14:paraId="31F2CE59" w14:textId="6CEE6942" w:rsidR="00FE35B8" w:rsidRPr="00154588" w:rsidRDefault="00FE35B8" w:rsidP="008C12B4">
            <w:pPr>
              <w:jc w:val="both"/>
              <w:rPr>
                <w:bCs/>
                <w:sz w:val="20"/>
                <w:szCs w:val="20"/>
              </w:rPr>
            </w:pPr>
            <w:r w:rsidRPr="00154588">
              <w:rPr>
                <w:bCs/>
                <w:sz w:val="20"/>
                <w:szCs w:val="20"/>
              </w:rPr>
              <w:t xml:space="preserve">(2)   Un acord de sprijin financiar la nivelul grupului este valabil pentru o entitate din grup numai dacă acționarii acesteia au aprobat organul de conducere al respectivei entități din grup să ia o decizie stipulând faptul că entitatea din grup acordă sau primește sprijin financiar în </w:t>
            </w:r>
            <w:r w:rsidRPr="00154588">
              <w:rPr>
                <w:bCs/>
                <w:sz w:val="20"/>
                <w:szCs w:val="20"/>
              </w:rPr>
              <w:lastRenderedPageBreak/>
              <w:t>conformitate cu termenii acordului și cu condițiile stabilite în prezentul capitol și numai dacă această autorizare din partea acționarilor nu a fost revocată.</w:t>
            </w:r>
          </w:p>
        </w:tc>
        <w:tc>
          <w:tcPr>
            <w:tcW w:w="4819" w:type="dxa"/>
          </w:tcPr>
          <w:p w14:paraId="68E4D4F8" w14:textId="66EFCB1D" w:rsidR="00481C6E" w:rsidRPr="00154588" w:rsidRDefault="00481C6E" w:rsidP="008C12B4">
            <w:pPr>
              <w:ind w:firstLine="567"/>
              <w:jc w:val="both"/>
              <w:rPr>
                <w:rFonts w:eastAsia="Calibri"/>
                <w:sz w:val="20"/>
                <w:szCs w:val="20"/>
              </w:rPr>
            </w:pPr>
            <w:r w:rsidRPr="00154588">
              <w:rPr>
                <w:rFonts w:eastAsia="Calibri"/>
                <w:b/>
                <w:sz w:val="20"/>
                <w:szCs w:val="20"/>
              </w:rPr>
              <w:lastRenderedPageBreak/>
              <w:t>Articolul 41</w:t>
            </w:r>
            <w:r w:rsidRPr="00154588">
              <w:rPr>
                <w:rFonts w:eastAsia="Calibri"/>
                <w:b/>
                <w:sz w:val="20"/>
                <w:szCs w:val="20"/>
                <w:vertAlign w:val="superscript"/>
              </w:rPr>
              <w:t>26</w:t>
            </w:r>
            <w:r w:rsidRPr="00154588">
              <w:rPr>
                <w:rFonts w:eastAsia="Calibri"/>
                <w:b/>
                <w:sz w:val="20"/>
                <w:szCs w:val="20"/>
              </w:rPr>
              <w:t>.</w:t>
            </w:r>
            <w:r w:rsidRPr="00154588">
              <w:rPr>
                <w:rFonts w:eastAsia="Calibri"/>
                <w:sz w:val="20"/>
                <w:szCs w:val="20"/>
              </w:rPr>
              <w:t xml:space="preserve"> – (3) Acordul de sprijin financiar la nivelul grupului este valabil doar pentru entitățile din grup ai căror acționari au aprobat acordul și au autorizat organul de conducere al respectivei entități din grup să decidă acordarea și/sau primirea de sprijin financiar în </w:t>
            </w:r>
            <w:r w:rsidRPr="00154588">
              <w:rPr>
                <w:rFonts w:eastAsia="Calibri"/>
                <w:sz w:val="20"/>
                <w:szCs w:val="20"/>
              </w:rPr>
              <w:lastRenderedPageBreak/>
              <w:t>conformitate cu termenii acordului și cu condițiile stabilite la art.41</w:t>
            </w:r>
            <w:r w:rsidRPr="00154588">
              <w:rPr>
                <w:rFonts w:eastAsia="Calibri"/>
                <w:sz w:val="20"/>
                <w:szCs w:val="20"/>
                <w:vertAlign w:val="superscript"/>
              </w:rPr>
              <w:t>9</w:t>
            </w:r>
            <w:r w:rsidRPr="00154588">
              <w:rPr>
                <w:rFonts w:eastAsia="Calibri"/>
                <w:sz w:val="20"/>
                <w:szCs w:val="20"/>
              </w:rPr>
              <w:t>-41</w:t>
            </w:r>
            <w:r w:rsidRPr="00154588">
              <w:rPr>
                <w:rFonts w:eastAsia="Calibri"/>
                <w:sz w:val="20"/>
                <w:szCs w:val="20"/>
                <w:vertAlign w:val="superscript"/>
              </w:rPr>
              <w:t>39</w:t>
            </w:r>
            <w:r w:rsidRPr="00154588">
              <w:rPr>
                <w:rFonts w:eastAsia="Calibri"/>
                <w:sz w:val="20"/>
                <w:szCs w:val="20"/>
              </w:rPr>
              <w:t>. Acordul nu mai este valabil dacă acționarii revocă autorizarea.</w:t>
            </w:r>
          </w:p>
          <w:p w14:paraId="01C13F8D" w14:textId="77777777" w:rsidR="00FE35B8" w:rsidRPr="00154588" w:rsidRDefault="00FE35B8" w:rsidP="008C12B4">
            <w:pPr>
              <w:jc w:val="both"/>
              <w:rPr>
                <w:bCs/>
                <w:sz w:val="20"/>
                <w:szCs w:val="20"/>
              </w:rPr>
            </w:pPr>
          </w:p>
        </w:tc>
        <w:tc>
          <w:tcPr>
            <w:tcW w:w="2552" w:type="dxa"/>
          </w:tcPr>
          <w:p w14:paraId="06839E19" w14:textId="72CF2F6C" w:rsidR="00FE35B8" w:rsidRPr="00154588" w:rsidRDefault="00481C6E" w:rsidP="008C12B4">
            <w:pPr>
              <w:jc w:val="both"/>
              <w:rPr>
                <w:bCs/>
                <w:sz w:val="20"/>
                <w:szCs w:val="20"/>
              </w:rPr>
            </w:pPr>
            <w:r w:rsidRPr="00154588">
              <w:rPr>
                <w:bCs/>
                <w:sz w:val="20"/>
                <w:szCs w:val="20"/>
              </w:rPr>
              <w:lastRenderedPageBreak/>
              <w:t>Compatibil</w:t>
            </w:r>
          </w:p>
        </w:tc>
        <w:tc>
          <w:tcPr>
            <w:tcW w:w="3118" w:type="dxa"/>
          </w:tcPr>
          <w:p w14:paraId="0254D21E" w14:textId="77777777" w:rsidR="00FE35B8" w:rsidRPr="00154588" w:rsidRDefault="00FE35B8" w:rsidP="008C12B4">
            <w:pPr>
              <w:jc w:val="both"/>
              <w:rPr>
                <w:bCs/>
                <w:sz w:val="20"/>
                <w:szCs w:val="20"/>
              </w:rPr>
            </w:pPr>
          </w:p>
        </w:tc>
      </w:tr>
      <w:tr w:rsidR="00FE35B8" w:rsidRPr="00154588" w14:paraId="08381F2B" w14:textId="77777777" w:rsidTr="00D15C1B">
        <w:trPr>
          <w:jc w:val="center"/>
        </w:trPr>
        <w:tc>
          <w:tcPr>
            <w:tcW w:w="4957" w:type="dxa"/>
            <w:gridSpan w:val="2"/>
          </w:tcPr>
          <w:p w14:paraId="7BA81735" w14:textId="185D875F" w:rsidR="00FE35B8" w:rsidRPr="00154588" w:rsidRDefault="00FE35B8" w:rsidP="008C12B4">
            <w:pPr>
              <w:jc w:val="both"/>
              <w:rPr>
                <w:bCs/>
                <w:sz w:val="20"/>
                <w:szCs w:val="20"/>
              </w:rPr>
            </w:pPr>
            <w:r w:rsidRPr="00154588">
              <w:rPr>
                <w:bCs/>
                <w:sz w:val="20"/>
                <w:szCs w:val="20"/>
              </w:rPr>
              <w:t>(3) Organul de conducere al fiecărei entități parte la un acord prezintă acționarilor în fiecare an un raport privind executarea acordului și punerea în aplicare a oricărei decizii luate în temeiul acestuia.</w:t>
            </w:r>
          </w:p>
        </w:tc>
        <w:tc>
          <w:tcPr>
            <w:tcW w:w="4819" w:type="dxa"/>
          </w:tcPr>
          <w:p w14:paraId="65E25CC5" w14:textId="24A194B0" w:rsidR="00FE35B8" w:rsidRPr="00154588" w:rsidRDefault="00481C6E" w:rsidP="008C12B4">
            <w:pPr>
              <w:ind w:firstLine="567"/>
              <w:jc w:val="both"/>
              <w:rPr>
                <w:sz w:val="20"/>
                <w:szCs w:val="20"/>
              </w:rPr>
            </w:pPr>
            <w:r w:rsidRPr="00154588">
              <w:rPr>
                <w:rFonts w:eastAsia="Calibri"/>
                <w:b/>
                <w:sz w:val="20"/>
                <w:szCs w:val="20"/>
              </w:rPr>
              <w:t>Articolul 41</w:t>
            </w:r>
            <w:r w:rsidRPr="00154588">
              <w:rPr>
                <w:rFonts w:eastAsia="Calibri"/>
                <w:b/>
                <w:sz w:val="20"/>
                <w:szCs w:val="20"/>
                <w:vertAlign w:val="superscript"/>
              </w:rPr>
              <w:t>27</w:t>
            </w:r>
            <w:r w:rsidRPr="00154588">
              <w:rPr>
                <w:rFonts w:eastAsia="Calibri"/>
                <w:b/>
                <w:sz w:val="20"/>
                <w:szCs w:val="20"/>
              </w:rPr>
              <w:t>.</w:t>
            </w:r>
            <w:r w:rsidRPr="00154588">
              <w:rPr>
                <w:rFonts w:eastAsia="Calibri"/>
                <w:sz w:val="20"/>
                <w:szCs w:val="20"/>
              </w:rPr>
              <w:t xml:space="preserve"> – Organul de conducere al entității din Republica Moldova, care este parte la un acord de sprijin financiar la nivel de grup, prezintă acționarilor în fiecare an un raport privind executarea acordului și punerea în aplicare a oricărei decizii luate în temeiul acestuia.</w:t>
            </w:r>
          </w:p>
        </w:tc>
        <w:tc>
          <w:tcPr>
            <w:tcW w:w="2552" w:type="dxa"/>
          </w:tcPr>
          <w:p w14:paraId="06F3076B" w14:textId="115B40DE" w:rsidR="00FE35B8" w:rsidRPr="00154588" w:rsidRDefault="00481C6E" w:rsidP="008C12B4">
            <w:pPr>
              <w:jc w:val="both"/>
              <w:rPr>
                <w:bCs/>
                <w:sz w:val="20"/>
                <w:szCs w:val="20"/>
              </w:rPr>
            </w:pPr>
            <w:r w:rsidRPr="00154588">
              <w:rPr>
                <w:bCs/>
                <w:sz w:val="20"/>
                <w:szCs w:val="20"/>
              </w:rPr>
              <w:t>Compatibil</w:t>
            </w:r>
          </w:p>
        </w:tc>
        <w:tc>
          <w:tcPr>
            <w:tcW w:w="3118" w:type="dxa"/>
          </w:tcPr>
          <w:p w14:paraId="34704F4A" w14:textId="77777777" w:rsidR="00FE35B8" w:rsidRPr="00154588" w:rsidRDefault="00FE35B8" w:rsidP="008C12B4">
            <w:pPr>
              <w:jc w:val="both"/>
              <w:rPr>
                <w:bCs/>
                <w:sz w:val="20"/>
                <w:szCs w:val="20"/>
              </w:rPr>
            </w:pPr>
          </w:p>
        </w:tc>
      </w:tr>
      <w:tr w:rsidR="00FE35B8" w:rsidRPr="00154588" w14:paraId="00AF8AE0" w14:textId="77777777" w:rsidTr="00D15C1B">
        <w:trPr>
          <w:jc w:val="center"/>
        </w:trPr>
        <w:tc>
          <w:tcPr>
            <w:tcW w:w="4957" w:type="dxa"/>
            <w:gridSpan w:val="2"/>
          </w:tcPr>
          <w:p w14:paraId="54DE049A" w14:textId="77777777" w:rsidR="00FE35B8" w:rsidRPr="00154588" w:rsidRDefault="00FE35B8" w:rsidP="008C12B4">
            <w:pPr>
              <w:tabs>
                <w:tab w:val="left" w:pos="1077"/>
              </w:tabs>
              <w:rPr>
                <w:b/>
                <w:sz w:val="20"/>
                <w:szCs w:val="20"/>
              </w:rPr>
            </w:pPr>
            <w:r w:rsidRPr="00154588">
              <w:rPr>
                <w:b/>
                <w:sz w:val="20"/>
                <w:szCs w:val="20"/>
              </w:rPr>
              <w:t>Articolul 22</w:t>
            </w:r>
          </w:p>
          <w:p w14:paraId="64637E1B" w14:textId="77777777" w:rsidR="00FE35B8" w:rsidRPr="00154588" w:rsidRDefault="00FE35B8" w:rsidP="008C12B4">
            <w:pPr>
              <w:tabs>
                <w:tab w:val="left" w:pos="1077"/>
              </w:tabs>
              <w:rPr>
                <w:b/>
                <w:sz w:val="20"/>
                <w:szCs w:val="20"/>
              </w:rPr>
            </w:pPr>
          </w:p>
          <w:p w14:paraId="603190C9" w14:textId="3CFD135D" w:rsidR="00FE35B8" w:rsidRPr="00154588" w:rsidRDefault="00FE35B8" w:rsidP="008C12B4">
            <w:pPr>
              <w:tabs>
                <w:tab w:val="left" w:pos="1077"/>
              </w:tabs>
              <w:rPr>
                <w:bCs/>
                <w:sz w:val="20"/>
                <w:szCs w:val="20"/>
              </w:rPr>
            </w:pPr>
            <w:r w:rsidRPr="00154588">
              <w:rPr>
                <w:b/>
                <w:sz w:val="20"/>
                <w:szCs w:val="20"/>
              </w:rPr>
              <w:t>Transmiterea acordurilor de sprijin financiar la nivel de grup către autoritățile de rezoluție</w:t>
            </w:r>
          </w:p>
        </w:tc>
        <w:tc>
          <w:tcPr>
            <w:tcW w:w="4819" w:type="dxa"/>
          </w:tcPr>
          <w:p w14:paraId="0FF9DF82" w14:textId="77777777" w:rsidR="00DE6561" w:rsidRPr="00154588" w:rsidRDefault="00DE6561" w:rsidP="008C12B4">
            <w:pPr>
              <w:ind w:firstLine="567"/>
              <w:jc w:val="center"/>
              <w:rPr>
                <w:rFonts w:eastAsia="Calibri"/>
                <w:b/>
                <w:sz w:val="20"/>
                <w:szCs w:val="20"/>
              </w:rPr>
            </w:pPr>
            <w:r w:rsidRPr="00154588">
              <w:rPr>
                <w:rFonts w:eastAsia="Calibri"/>
                <w:b/>
                <w:sz w:val="20"/>
                <w:szCs w:val="20"/>
              </w:rPr>
              <w:t>Secțiunea a 5-a</w:t>
            </w:r>
          </w:p>
          <w:p w14:paraId="000033BB" w14:textId="77777777" w:rsidR="00DE6561" w:rsidRPr="00154588" w:rsidRDefault="00DE6561" w:rsidP="008C12B4">
            <w:pPr>
              <w:ind w:firstLine="567"/>
              <w:jc w:val="center"/>
              <w:rPr>
                <w:rFonts w:eastAsia="Calibri"/>
                <w:b/>
                <w:sz w:val="20"/>
                <w:szCs w:val="20"/>
              </w:rPr>
            </w:pPr>
            <w:r w:rsidRPr="00154588">
              <w:rPr>
                <w:rFonts w:eastAsia="Calibri"/>
                <w:b/>
                <w:sz w:val="20"/>
                <w:szCs w:val="20"/>
              </w:rPr>
              <w:t>Acordarea sprijinului financiar intragrup</w:t>
            </w:r>
          </w:p>
          <w:p w14:paraId="6DD3180B" w14:textId="77777777" w:rsidR="00FE35B8" w:rsidRPr="00154588" w:rsidRDefault="00FE35B8" w:rsidP="008C12B4">
            <w:pPr>
              <w:jc w:val="both"/>
              <w:rPr>
                <w:bCs/>
                <w:sz w:val="20"/>
                <w:szCs w:val="20"/>
              </w:rPr>
            </w:pPr>
          </w:p>
        </w:tc>
        <w:tc>
          <w:tcPr>
            <w:tcW w:w="2552" w:type="dxa"/>
          </w:tcPr>
          <w:p w14:paraId="12D1F248" w14:textId="77777777" w:rsidR="00FE35B8" w:rsidRPr="00154588" w:rsidRDefault="00FE35B8" w:rsidP="008C12B4">
            <w:pPr>
              <w:jc w:val="both"/>
              <w:rPr>
                <w:bCs/>
                <w:sz w:val="20"/>
                <w:szCs w:val="20"/>
              </w:rPr>
            </w:pPr>
          </w:p>
        </w:tc>
        <w:tc>
          <w:tcPr>
            <w:tcW w:w="3118" w:type="dxa"/>
          </w:tcPr>
          <w:p w14:paraId="1B486D41" w14:textId="77777777" w:rsidR="00FE35B8" w:rsidRPr="00154588" w:rsidRDefault="00FE35B8" w:rsidP="008C12B4">
            <w:pPr>
              <w:jc w:val="both"/>
              <w:rPr>
                <w:bCs/>
                <w:sz w:val="20"/>
                <w:szCs w:val="20"/>
              </w:rPr>
            </w:pPr>
          </w:p>
        </w:tc>
      </w:tr>
      <w:tr w:rsidR="00DE6561" w:rsidRPr="00154588" w14:paraId="667F876A" w14:textId="77777777" w:rsidTr="00D15C1B">
        <w:trPr>
          <w:jc w:val="center"/>
        </w:trPr>
        <w:tc>
          <w:tcPr>
            <w:tcW w:w="4957" w:type="dxa"/>
            <w:gridSpan w:val="2"/>
          </w:tcPr>
          <w:p w14:paraId="6C4F512A" w14:textId="79162251" w:rsidR="00DE6561" w:rsidRPr="00154588" w:rsidRDefault="00DE6561" w:rsidP="008C12B4">
            <w:pPr>
              <w:jc w:val="both"/>
              <w:rPr>
                <w:bCs/>
                <w:sz w:val="20"/>
                <w:szCs w:val="20"/>
              </w:rPr>
            </w:pPr>
            <w:r w:rsidRPr="00154588">
              <w:rPr>
                <w:bCs/>
                <w:sz w:val="20"/>
                <w:szCs w:val="20"/>
              </w:rPr>
              <w:t>Autoritățile competente transmit autorităților de rezoluție relevante acordurile de sprijin financiar la nivel de grup pe care le-au autorizat și orice modificări la acestea.</w:t>
            </w:r>
          </w:p>
        </w:tc>
        <w:tc>
          <w:tcPr>
            <w:tcW w:w="4819" w:type="dxa"/>
          </w:tcPr>
          <w:p w14:paraId="53459BFE" w14:textId="4BFB561D" w:rsidR="00DE6561" w:rsidRPr="00154588" w:rsidRDefault="00DE6561" w:rsidP="008C12B4">
            <w:pPr>
              <w:ind w:firstLine="567"/>
              <w:jc w:val="both"/>
              <w:rPr>
                <w:sz w:val="20"/>
                <w:szCs w:val="20"/>
              </w:rPr>
            </w:pPr>
            <w:r w:rsidRPr="00154588">
              <w:rPr>
                <w:rFonts w:eastAsia="Calibri"/>
                <w:b/>
                <w:sz w:val="20"/>
                <w:szCs w:val="20"/>
              </w:rPr>
              <w:t>Articolul 41</w:t>
            </w:r>
            <w:r w:rsidRPr="00154588">
              <w:rPr>
                <w:rFonts w:eastAsia="Calibri"/>
                <w:b/>
                <w:sz w:val="20"/>
                <w:szCs w:val="20"/>
                <w:vertAlign w:val="superscript"/>
              </w:rPr>
              <w:t>28</w:t>
            </w:r>
            <w:r w:rsidRPr="00154588">
              <w:rPr>
                <w:rFonts w:eastAsia="Calibri"/>
                <w:b/>
                <w:sz w:val="20"/>
                <w:szCs w:val="20"/>
              </w:rPr>
              <w:t>.</w:t>
            </w:r>
            <w:r w:rsidRPr="00154588">
              <w:rPr>
                <w:rFonts w:eastAsia="Calibri"/>
                <w:sz w:val="20"/>
                <w:szCs w:val="20"/>
              </w:rPr>
              <w:t xml:space="preserve"> – Banca Națională a Moldovei în calitate de supraveghetor consolidant sau de autoritate competentă la nivel individual, remite acordurile de sprijin financiar intragrup la nivel de grup pe care le-a autorizat și orice modificări ale acestora structurii care exercită funcția de rezoluție, precum și celorlalte autorități de rezoluție relevante.</w:t>
            </w:r>
          </w:p>
        </w:tc>
        <w:tc>
          <w:tcPr>
            <w:tcW w:w="2552" w:type="dxa"/>
          </w:tcPr>
          <w:p w14:paraId="79475254" w14:textId="0218681B" w:rsidR="00DE6561" w:rsidRPr="00154588" w:rsidRDefault="00DE6561" w:rsidP="008C12B4">
            <w:pPr>
              <w:jc w:val="both"/>
              <w:rPr>
                <w:bCs/>
                <w:sz w:val="20"/>
                <w:szCs w:val="20"/>
              </w:rPr>
            </w:pPr>
            <w:r w:rsidRPr="00154588">
              <w:rPr>
                <w:bCs/>
                <w:sz w:val="20"/>
                <w:szCs w:val="20"/>
              </w:rPr>
              <w:t>Compatibil</w:t>
            </w:r>
          </w:p>
        </w:tc>
        <w:tc>
          <w:tcPr>
            <w:tcW w:w="3118" w:type="dxa"/>
          </w:tcPr>
          <w:p w14:paraId="402E55B4" w14:textId="77777777" w:rsidR="00DE6561" w:rsidRPr="00154588" w:rsidRDefault="00DE6561" w:rsidP="008C12B4">
            <w:pPr>
              <w:jc w:val="both"/>
              <w:rPr>
                <w:bCs/>
                <w:sz w:val="20"/>
                <w:szCs w:val="20"/>
              </w:rPr>
            </w:pPr>
          </w:p>
        </w:tc>
      </w:tr>
      <w:tr w:rsidR="00DE6561" w:rsidRPr="00154588" w14:paraId="5987FBDA" w14:textId="77777777" w:rsidTr="00D15C1B">
        <w:trPr>
          <w:jc w:val="center"/>
        </w:trPr>
        <w:tc>
          <w:tcPr>
            <w:tcW w:w="4957" w:type="dxa"/>
            <w:gridSpan w:val="2"/>
          </w:tcPr>
          <w:p w14:paraId="03A90EC4" w14:textId="77777777" w:rsidR="00DE6561" w:rsidRPr="00154588" w:rsidRDefault="00DE6561" w:rsidP="008C12B4">
            <w:pPr>
              <w:rPr>
                <w:b/>
                <w:sz w:val="20"/>
                <w:szCs w:val="20"/>
              </w:rPr>
            </w:pPr>
            <w:r w:rsidRPr="00154588">
              <w:rPr>
                <w:b/>
                <w:sz w:val="20"/>
                <w:szCs w:val="20"/>
              </w:rPr>
              <w:t>Articolul 23</w:t>
            </w:r>
          </w:p>
          <w:p w14:paraId="07A8356C" w14:textId="77777777" w:rsidR="00DE6561" w:rsidRPr="00154588" w:rsidRDefault="00DE6561" w:rsidP="008C12B4">
            <w:pPr>
              <w:rPr>
                <w:b/>
                <w:sz w:val="20"/>
                <w:szCs w:val="20"/>
              </w:rPr>
            </w:pPr>
          </w:p>
          <w:p w14:paraId="283B8267" w14:textId="5B1616E5" w:rsidR="00DE6561" w:rsidRPr="00154588" w:rsidRDefault="00DE6561" w:rsidP="008C12B4">
            <w:pPr>
              <w:rPr>
                <w:bCs/>
                <w:sz w:val="20"/>
                <w:szCs w:val="20"/>
              </w:rPr>
            </w:pPr>
            <w:r w:rsidRPr="00154588">
              <w:rPr>
                <w:b/>
                <w:sz w:val="20"/>
                <w:szCs w:val="20"/>
              </w:rPr>
              <w:t>Condiții de acordare a sprijinului financiar la nivel de grup</w:t>
            </w:r>
          </w:p>
        </w:tc>
        <w:tc>
          <w:tcPr>
            <w:tcW w:w="4819" w:type="dxa"/>
          </w:tcPr>
          <w:p w14:paraId="2B0E8AD7" w14:textId="77777777" w:rsidR="00DE6561" w:rsidRPr="00154588" w:rsidRDefault="00DE6561" w:rsidP="008C12B4">
            <w:pPr>
              <w:jc w:val="both"/>
              <w:rPr>
                <w:bCs/>
                <w:sz w:val="20"/>
                <w:szCs w:val="20"/>
              </w:rPr>
            </w:pPr>
          </w:p>
        </w:tc>
        <w:tc>
          <w:tcPr>
            <w:tcW w:w="2552" w:type="dxa"/>
          </w:tcPr>
          <w:p w14:paraId="286BBEBB" w14:textId="77777777" w:rsidR="00DE6561" w:rsidRPr="00154588" w:rsidRDefault="00DE6561" w:rsidP="008C12B4">
            <w:pPr>
              <w:jc w:val="both"/>
              <w:rPr>
                <w:bCs/>
                <w:sz w:val="20"/>
                <w:szCs w:val="20"/>
              </w:rPr>
            </w:pPr>
          </w:p>
        </w:tc>
        <w:tc>
          <w:tcPr>
            <w:tcW w:w="3118" w:type="dxa"/>
          </w:tcPr>
          <w:p w14:paraId="4880CCBF" w14:textId="77777777" w:rsidR="00DE6561" w:rsidRPr="00154588" w:rsidRDefault="00DE6561" w:rsidP="008C12B4">
            <w:pPr>
              <w:jc w:val="both"/>
              <w:rPr>
                <w:bCs/>
                <w:sz w:val="20"/>
                <w:szCs w:val="20"/>
              </w:rPr>
            </w:pPr>
          </w:p>
        </w:tc>
      </w:tr>
      <w:tr w:rsidR="00DE6561" w:rsidRPr="00154588" w14:paraId="0C5A3E9D" w14:textId="77777777" w:rsidTr="00D15C1B">
        <w:trPr>
          <w:jc w:val="center"/>
        </w:trPr>
        <w:tc>
          <w:tcPr>
            <w:tcW w:w="4957" w:type="dxa"/>
            <w:gridSpan w:val="2"/>
          </w:tcPr>
          <w:p w14:paraId="7C791911" w14:textId="77777777" w:rsidR="00DE6561" w:rsidRPr="00154588" w:rsidRDefault="00DE6561" w:rsidP="008C12B4">
            <w:pPr>
              <w:jc w:val="both"/>
              <w:rPr>
                <w:bCs/>
                <w:sz w:val="20"/>
                <w:szCs w:val="20"/>
              </w:rPr>
            </w:pPr>
            <w:r w:rsidRPr="00154588">
              <w:rPr>
                <w:bCs/>
                <w:sz w:val="20"/>
                <w:szCs w:val="20"/>
              </w:rPr>
              <w:t>(1)   Sprijinul financiar poate fi acordat de o entitate din grup în conformitate cu articolul 19 doar dacă sunt îndeplinite toate următoarele condiții:</w:t>
            </w:r>
          </w:p>
          <w:p w14:paraId="46AFC25E" w14:textId="77777777" w:rsidR="00DE6561" w:rsidRPr="00154588" w:rsidRDefault="00DE6561" w:rsidP="008C12B4">
            <w:pPr>
              <w:jc w:val="both"/>
              <w:rPr>
                <w:bCs/>
                <w:sz w:val="20"/>
                <w:szCs w:val="20"/>
              </w:rPr>
            </w:pPr>
          </w:p>
          <w:p w14:paraId="08D36F66" w14:textId="4E44F675" w:rsidR="00DE6561" w:rsidRPr="00154588" w:rsidRDefault="00DE6561" w:rsidP="008C12B4">
            <w:pPr>
              <w:jc w:val="both"/>
              <w:rPr>
                <w:bCs/>
                <w:sz w:val="20"/>
                <w:szCs w:val="20"/>
              </w:rPr>
            </w:pPr>
            <w:r w:rsidRPr="00154588">
              <w:rPr>
                <w:bCs/>
                <w:sz w:val="20"/>
                <w:szCs w:val="20"/>
              </w:rPr>
              <w:t>(a) există o perspectivă rezonabilă conform căreia sprijinul acordat va contribui în mod semnificativ la soluționarea dificultăților financiare ale entității din grup beneficiare;</w:t>
            </w:r>
          </w:p>
          <w:p w14:paraId="32655573" w14:textId="77777777" w:rsidR="00DE6561" w:rsidRPr="00154588" w:rsidRDefault="00DE6561" w:rsidP="008C12B4">
            <w:pPr>
              <w:jc w:val="both"/>
              <w:rPr>
                <w:bCs/>
                <w:sz w:val="20"/>
                <w:szCs w:val="20"/>
              </w:rPr>
            </w:pPr>
          </w:p>
          <w:p w14:paraId="394A1405" w14:textId="715FD57B" w:rsidR="00DE6561" w:rsidRPr="00154588" w:rsidRDefault="00DE6561" w:rsidP="008C12B4">
            <w:pPr>
              <w:jc w:val="both"/>
              <w:rPr>
                <w:bCs/>
                <w:sz w:val="20"/>
                <w:szCs w:val="20"/>
              </w:rPr>
            </w:pPr>
            <w:r w:rsidRPr="00154588">
              <w:rPr>
                <w:bCs/>
                <w:sz w:val="20"/>
                <w:szCs w:val="20"/>
              </w:rPr>
              <w:t>(b) furnizarea de sprijin financiar are ca obiectiv menținerea sau refacerea stabilității financiare a grupului în ansamblul său sau a oricărei entități din grup și este în interesul entității din grup care furnizează sprijinul;</w:t>
            </w:r>
          </w:p>
          <w:p w14:paraId="69EEC946" w14:textId="77777777" w:rsidR="00DE6561" w:rsidRPr="00154588" w:rsidRDefault="00DE6561" w:rsidP="008C12B4">
            <w:pPr>
              <w:jc w:val="both"/>
              <w:rPr>
                <w:bCs/>
                <w:sz w:val="20"/>
                <w:szCs w:val="20"/>
              </w:rPr>
            </w:pPr>
          </w:p>
          <w:p w14:paraId="3E3EB1B6" w14:textId="77777777" w:rsidR="00DE6561" w:rsidRPr="00154588" w:rsidRDefault="00DE6561" w:rsidP="008C12B4">
            <w:pPr>
              <w:jc w:val="both"/>
              <w:rPr>
                <w:bCs/>
                <w:sz w:val="20"/>
                <w:szCs w:val="20"/>
              </w:rPr>
            </w:pPr>
          </w:p>
          <w:p w14:paraId="598D1B85" w14:textId="3EA8EB83" w:rsidR="00DE6561" w:rsidRPr="00154588" w:rsidRDefault="00DE6561" w:rsidP="008C12B4">
            <w:pPr>
              <w:jc w:val="both"/>
              <w:rPr>
                <w:bCs/>
                <w:sz w:val="20"/>
                <w:szCs w:val="20"/>
              </w:rPr>
            </w:pPr>
            <w:r w:rsidRPr="00154588">
              <w:rPr>
                <w:bCs/>
                <w:sz w:val="20"/>
                <w:szCs w:val="20"/>
              </w:rPr>
              <w:t>(c) sprijinul financiar este oferit în termenii prevăzuți la articolul 19 alineatul (7), inclusiv în ceea ce privește contraprestația;</w:t>
            </w:r>
          </w:p>
          <w:p w14:paraId="156598BB" w14:textId="77777777" w:rsidR="00DE6561" w:rsidRPr="00154588" w:rsidRDefault="00DE6561" w:rsidP="008C12B4">
            <w:pPr>
              <w:jc w:val="both"/>
              <w:rPr>
                <w:bCs/>
                <w:sz w:val="20"/>
                <w:szCs w:val="20"/>
              </w:rPr>
            </w:pPr>
          </w:p>
          <w:p w14:paraId="3DCF72FC" w14:textId="03D5DDC1" w:rsidR="00DE6561" w:rsidRPr="00154588" w:rsidRDefault="00DE6561" w:rsidP="008C12B4">
            <w:pPr>
              <w:jc w:val="both"/>
              <w:rPr>
                <w:bCs/>
                <w:sz w:val="20"/>
                <w:szCs w:val="20"/>
              </w:rPr>
            </w:pPr>
            <w:r w:rsidRPr="00154588">
              <w:rPr>
                <w:bCs/>
                <w:sz w:val="20"/>
                <w:szCs w:val="20"/>
              </w:rPr>
              <w:t xml:space="preserve">(d) pe baza informațiilor aflate la dispoziția organului de conducere al entității din grup furnizoare de sprijin financiar </w:t>
            </w:r>
            <w:r w:rsidRPr="00154588">
              <w:rPr>
                <w:bCs/>
                <w:sz w:val="20"/>
                <w:szCs w:val="20"/>
              </w:rPr>
              <w:lastRenderedPageBreak/>
              <w:t>la momentul luării deciziei de acordare a sprijinului financiar, există o perspectivă rezonabilă ca entitatea din grup beneficiară să achite contraprestația sprijinului acordat, iar dacă sprijinul este acordat sub formă de împrumut, ca entitatea din grup beneficiară să îl ramburseze. Dacă sprijinul este acordat sub forma unei garanții sau a unui titlu de valoare de orice fel, se aplică aceeași condiție datoriei rezultate pentru beneficiar în cazul executării garanției sau titlului de valoare respective;</w:t>
            </w:r>
          </w:p>
          <w:p w14:paraId="5A7B03CA" w14:textId="77777777" w:rsidR="00DE6561" w:rsidRPr="00154588" w:rsidRDefault="00DE6561" w:rsidP="008C12B4">
            <w:pPr>
              <w:jc w:val="both"/>
              <w:rPr>
                <w:bCs/>
                <w:sz w:val="20"/>
                <w:szCs w:val="20"/>
              </w:rPr>
            </w:pPr>
          </w:p>
          <w:p w14:paraId="798A95D9" w14:textId="1FC92D26" w:rsidR="00DE6561" w:rsidRPr="00154588" w:rsidRDefault="00DE6561" w:rsidP="008C12B4">
            <w:pPr>
              <w:jc w:val="both"/>
              <w:rPr>
                <w:bCs/>
                <w:sz w:val="20"/>
                <w:szCs w:val="20"/>
              </w:rPr>
            </w:pPr>
            <w:r w:rsidRPr="00154588">
              <w:rPr>
                <w:bCs/>
                <w:sz w:val="20"/>
                <w:szCs w:val="20"/>
              </w:rPr>
              <w:t>(e) furnizarea sprijinului financiar nu ar compromite lichiditatea sau solvabilitatea entității din grup care furnizează sprijinul;</w:t>
            </w:r>
          </w:p>
          <w:p w14:paraId="54A3AECD" w14:textId="77777777" w:rsidR="00DE6561" w:rsidRPr="00154588" w:rsidRDefault="00DE6561" w:rsidP="008C12B4">
            <w:pPr>
              <w:jc w:val="both"/>
              <w:rPr>
                <w:bCs/>
                <w:sz w:val="20"/>
                <w:szCs w:val="20"/>
              </w:rPr>
            </w:pPr>
          </w:p>
          <w:p w14:paraId="0FCBF427" w14:textId="475EED7A" w:rsidR="00DE6561" w:rsidRPr="00154588" w:rsidRDefault="00DE6561" w:rsidP="008C12B4">
            <w:pPr>
              <w:jc w:val="both"/>
              <w:rPr>
                <w:bCs/>
                <w:sz w:val="20"/>
                <w:szCs w:val="20"/>
              </w:rPr>
            </w:pPr>
            <w:r w:rsidRPr="00154588">
              <w:rPr>
                <w:bCs/>
                <w:sz w:val="20"/>
                <w:szCs w:val="20"/>
              </w:rPr>
              <w:t>(f) furnizarea sprijinului financiar nu ar reprezenta o amenințare la adresa stabilității financiare în statul membru al entității din grup care furnizează sprijinul;</w:t>
            </w:r>
          </w:p>
          <w:p w14:paraId="1E622981" w14:textId="77777777" w:rsidR="00DE6561" w:rsidRPr="00154588" w:rsidRDefault="00DE6561" w:rsidP="008C12B4">
            <w:pPr>
              <w:jc w:val="both"/>
              <w:rPr>
                <w:bCs/>
                <w:sz w:val="20"/>
                <w:szCs w:val="20"/>
              </w:rPr>
            </w:pPr>
          </w:p>
          <w:p w14:paraId="20A5DB64" w14:textId="29FC192F" w:rsidR="00DE6561" w:rsidRPr="00154588" w:rsidRDefault="00DE6561" w:rsidP="008C12B4">
            <w:pPr>
              <w:jc w:val="both"/>
              <w:rPr>
                <w:bCs/>
                <w:sz w:val="20"/>
                <w:szCs w:val="20"/>
              </w:rPr>
            </w:pPr>
            <w:r w:rsidRPr="00154588">
              <w:rPr>
                <w:bCs/>
                <w:sz w:val="20"/>
                <w:szCs w:val="20"/>
              </w:rPr>
              <w:t>(g) entitatea din grup care furnizează sprijinul se conformează la momentul acordării cerințelor Directivei 2013/36/UE referitoare la capital sau la lichidități, precum și oricăror cerințe impuse în temeiul articolului 104 alineatul (2) din Directiva 2013/36/UE, iar furnizarea sprijinului financiar nu cauzează încălcarea de către entitate a acestor cerințe, cu excepția cazului în care este autorizată de autoritatea competentă responsabilă cu supravegherea la nivel individual a entității care furnizează sprijinul;</w:t>
            </w:r>
          </w:p>
          <w:p w14:paraId="15DE6133" w14:textId="77777777" w:rsidR="00DE6561" w:rsidRPr="00154588" w:rsidRDefault="00DE6561" w:rsidP="008C12B4">
            <w:pPr>
              <w:jc w:val="both"/>
              <w:rPr>
                <w:bCs/>
                <w:sz w:val="20"/>
                <w:szCs w:val="20"/>
              </w:rPr>
            </w:pPr>
          </w:p>
          <w:p w14:paraId="2FA3CE6F" w14:textId="34A7F202" w:rsidR="00DE6561" w:rsidRPr="00154588" w:rsidRDefault="00DE6561" w:rsidP="008C12B4">
            <w:pPr>
              <w:jc w:val="both"/>
              <w:rPr>
                <w:bCs/>
                <w:sz w:val="20"/>
                <w:szCs w:val="20"/>
              </w:rPr>
            </w:pPr>
            <w:r w:rsidRPr="00154588">
              <w:rPr>
                <w:bCs/>
                <w:sz w:val="20"/>
                <w:szCs w:val="20"/>
              </w:rPr>
              <w:t>(h) entitatea din grup care furnizează sprijinul se conformează la momentul acordării acestuia cerințelor Directivei 2013/36/UE și a Regulamentului (UE) nr. 575/2013 referitoare la expunerile mari, inclusiv legislația națională privind exercitarea opțiunilor prevăzute în aceasta, iar acordarea sprijinului financiar nu cauzează încălcarea, de către entitatea din grup, a acestor cerințe, cu excepția cazului în care este autorizată de autoritatea competentă responsabilă cu supravegherea la nivel individual a entității din grup care acordă sprijinul;</w:t>
            </w:r>
          </w:p>
          <w:p w14:paraId="3A3332B2" w14:textId="77777777" w:rsidR="00DE6561" w:rsidRPr="00154588" w:rsidRDefault="00DE6561" w:rsidP="008C12B4">
            <w:pPr>
              <w:jc w:val="both"/>
              <w:rPr>
                <w:bCs/>
                <w:sz w:val="20"/>
                <w:szCs w:val="20"/>
              </w:rPr>
            </w:pPr>
          </w:p>
          <w:p w14:paraId="462E5AFF" w14:textId="58C91142" w:rsidR="00DE6561" w:rsidRPr="00154588" w:rsidRDefault="00DE6561" w:rsidP="008C12B4">
            <w:pPr>
              <w:jc w:val="both"/>
              <w:rPr>
                <w:bCs/>
                <w:sz w:val="20"/>
                <w:szCs w:val="20"/>
              </w:rPr>
            </w:pPr>
            <w:r w:rsidRPr="00154588">
              <w:rPr>
                <w:bCs/>
                <w:sz w:val="20"/>
                <w:szCs w:val="20"/>
              </w:rPr>
              <w:t>(i) furnizarea sprijinului financiar nu ar submina posibilitățile de soluționare a entității din grup care furnizează sprijinul.</w:t>
            </w:r>
          </w:p>
        </w:tc>
        <w:tc>
          <w:tcPr>
            <w:tcW w:w="4819" w:type="dxa"/>
          </w:tcPr>
          <w:p w14:paraId="1CC6263E" w14:textId="77777777" w:rsidR="00DE6561" w:rsidRPr="00154588" w:rsidRDefault="00DE6561" w:rsidP="008C12B4">
            <w:pPr>
              <w:ind w:firstLine="567"/>
              <w:jc w:val="both"/>
              <w:rPr>
                <w:rFonts w:eastAsia="Calibri"/>
                <w:sz w:val="20"/>
                <w:szCs w:val="20"/>
              </w:rPr>
            </w:pPr>
            <w:r w:rsidRPr="00154588">
              <w:rPr>
                <w:rFonts w:eastAsia="Calibri"/>
                <w:b/>
                <w:sz w:val="20"/>
                <w:szCs w:val="20"/>
              </w:rPr>
              <w:lastRenderedPageBreak/>
              <w:t>Articolul 41</w:t>
            </w:r>
            <w:r w:rsidRPr="00154588">
              <w:rPr>
                <w:rFonts w:eastAsia="Calibri"/>
                <w:b/>
                <w:sz w:val="20"/>
                <w:szCs w:val="20"/>
                <w:vertAlign w:val="superscript"/>
              </w:rPr>
              <w:t>29</w:t>
            </w:r>
            <w:r w:rsidRPr="00154588">
              <w:rPr>
                <w:rFonts w:eastAsia="Calibri"/>
                <w:b/>
                <w:sz w:val="20"/>
                <w:szCs w:val="20"/>
              </w:rPr>
              <w:t xml:space="preserve">. – </w:t>
            </w:r>
            <w:r w:rsidRPr="00154588">
              <w:rPr>
                <w:rFonts w:eastAsia="Calibri"/>
                <w:sz w:val="20"/>
                <w:szCs w:val="20"/>
              </w:rPr>
              <w:t>Sprijinul financiar poate fi acordat de o entitate din grup, persoană juridică din Republica Moldova, în conformitate cu prevederile art.41</w:t>
            </w:r>
            <w:r w:rsidRPr="00154588">
              <w:rPr>
                <w:rFonts w:eastAsia="Calibri"/>
                <w:sz w:val="20"/>
                <w:szCs w:val="20"/>
                <w:vertAlign w:val="superscript"/>
              </w:rPr>
              <w:t>9</w:t>
            </w:r>
            <w:r w:rsidRPr="00154588">
              <w:rPr>
                <w:rFonts w:eastAsia="Calibri"/>
                <w:sz w:val="20"/>
                <w:szCs w:val="20"/>
              </w:rPr>
              <w:t>-41</w:t>
            </w:r>
            <w:r w:rsidRPr="00154588">
              <w:rPr>
                <w:rFonts w:eastAsia="Calibri"/>
                <w:sz w:val="20"/>
                <w:szCs w:val="20"/>
                <w:vertAlign w:val="superscript"/>
              </w:rPr>
              <w:t>16</w:t>
            </w:r>
            <w:r w:rsidRPr="00154588">
              <w:rPr>
                <w:rFonts w:eastAsia="Calibri"/>
                <w:sz w:val="20"/>
                <w:szCs w:val="20"/>
              </w:rPr>
              <w:t>, dacă sunt îndeplinite cumulativ următoarele condiții:</w:t>
            </w:r>
          </w:p>
          <w:p w14:paraId="78B5CFAB" w14:textId="77777777" w:rsidR="00DE6561" w:rsidRPr="00154588" w:rsidRDefault="00DE6561" w:rsidP="008C12B4">
            <w:pPr>
              <w:ind w:firstLine="567"/>
              <w:jc w:val="both"/>
              <w:rPr>
                <w:rFonts w:eastAsia="Calibri"/>
                <w:sz w:val="20"/>
                <w:szCs w:val="20"/>
              </w:rPr>
            </w:pPr>
            <w:r w:rsidRPr="00154588">
              <w:rPr>
                <w:rFonts w:eastAsia="Calibri"/>
                <w:sz w:val="20"/>
                <w:szCs w:val="20"/>
              </w:rPr>
              <w:t>a) există, în opinia entității din grup care furnizează sprijinul financiar, o perspectivă rezonabilă că sprijinul acordat va contribui în mod semnificativ la soluționarea dificultăților financiare ale entității din grup beneficiare;</w:t>
            </w:r>
          </w:p>
          <w:p w14:paraId="71ECC755" w14:textId="77777777" w:rsidR="00DE6561" w:rsidRPr="00154588" w:rsidRDefault="00DE6561" w:rsidP="008C12B4">
            <w:pPr>
              <w:ind w:firstLine="567"/>
              <w:jc w:val="both"/>
              <w:rPr>
                <w:rFonts w:eastAsia="Calibri"/>
                <w:sz w:val="20"/>
                <w:szCs w:val="20"/>
              </w:rPr>
            </w:pPr>
            <w:r w:rsidRPr="00154588">
              <w:rPr>
                <w:rFonts w:eastAsia="Calibri"/>
                <w:sz w:val="20"/>
                <w:szCs w:val="20"/>
              </w:rPr>
              <w:t>b) furnizarea de sprijin financiar are ca obiectiv menținerea sau refacerea stabilității financiare a grupului în ansamblul său sau a oricărei entități din grup și este în interesul entității din grup care furnizează sprijinul;</w:t>
            </w:r>
          </w:p>
          <w:p w14:paraId="23A7FD98" w14:textId="77777777" w:rsidR="00DE6561" w:rsidRPr="00154588" w:rsidRDefault="00DE6561" w:rsidP="008C12B4">
            <w:pPr>
              <w:ind w:firstLine="567"/>
              <w:jc w:val="both"/>
              <w:rPr>
                <w:rFonts w:eastAsia="Calibri"/>
                <w:sz w:val="20"/>
                <w:szCs w:val="20"/>
              </w:rPr>
            </w:pPr>
            <w:r w:rsidRPr="00154588">
              <w:rPr>
                <w:rFonts w:eastAsia="Calibri"/>
                <w:sz w:val="20"/>
                <w:szCs w:val="20"/>
              </w:rPr>
              <w:t>c) sprijinul financiar este oferit în termenii prevăzuți la art.41</w:t>
            </w:r>
            <w:r w:rsidRPr="00154588">
              <w:rPr>
                <w:rFonts w:eastAsia="Calibri"/>
                <w:sz w:val="20"/>
                <w:szCs w:val="20"/>
                <w:vertAlign w:val="superscript"/>
              </w:rPr>
              <w:t>14</w:t>
            </w:r>
            <w:r w:rsidRPr="00154588">
              <w:rPr>
                <w:rFonts w:eastAsia="Calibri"/>
                <w:sz w:val="20"/>
                <w:szCs w:val="20"/>
              </w:rPr>
              <w:t>, inclusiv în ceea ce privește contraprestația;</w:t>
            </w:r>
          </w:p>
          <w:p w14:paraId="7EB8717A" w14:textId="77777777" w:rsidR="00DE6561" w:rsidRPr="00154588" w:rsidRDefault="00DE6561" w:rsidP="008C12B4">
            <w:pPr>
              <w:ind w:firstLine="567"/>
              <w:jc w:val="both"/>
              <w:rPr>
                <w:rFonts w:eastAsia="Calibri"/>
                <w:sz w:val="20"/>
                <w:szCs w:val="20"/>
              </w:rPr>
            </w:pPr>
            <w:r w:rsidRPr="00154588">
              <w:rPr>
                <w:rFonts w:eastAsia="Calibri"/>
                <w:sz w:val="20"/>
                <w:szCs w:val="20"/>
              </w:rPr>
              <w:t xml:space="preserve">d) pe baza informațiilor aflate la dispoziția organului de conducere a entității din grup care furnizează sprijinul financiar la momentul luării deciziei de acordare a sprijinului financiar există o perspectivă rezonabilă ca </w:t>
            </w:r>
            <w:r w:rsidRPr="00154588">
              <w:rPr>
                <w:rFonts w:eastAsia="Calibri"/>
                <w:sz w:val="20"/>
                <w:szCs w:val="20"/>
              </w:rPr>
              <w:lastRenderedPageBreak/>
              <w:t>entitatea din grup beneficiară să achite contraprestația sprijinului acordat și, în cazul în care sprijinul este acordat sub formă de împrumut, ca entitatea din grup beneficiară să îl ramburseze. În cazul în care sprijinul este acordat sub forma unei garanții sau a unui titlu de valoare de orice fel, se aplică aceeași condiție datoriei rezultate pentru beneficiar în cazul executării garanției sau titlului de valoare respective;</w:t>
            </w:r>
          </w:p>
          <w:p w14:paraId="04E65D8B" w14:textId="77777777" w:rsidR="00DE6561" w:rsidRPr="00154588" w:rsidRDefault="00DE6561" w:rsidP="008C12B4">
            <w:pPr>
              <w:ind w:firstLine="567"/>
              <w:jc w:val="both"/>
              <w:rPr>
                <w:rFonts w:eastAsia="Calibri"/>
                <w:sz w:val="20"/>
                <w:szCs w:val="20"/>
              </w:rPr>
            </w:pPr>
            <w:r w:rsidRPr="00154588">
              <w:rPr>
                <w:rFonts w:eastAsia="Calibri"/>
                <w:sz w:val="20"/>
                <w:szCs w:val="20"/>
              </w:rPr>
              <w:t>e) furnizarea sprijinului financiar nu compromite lichiditatea sau solvabilitatea entității din grup care furnizează sprijinul;</w:t>
            </w:r>
          </w:p>
          <w:p w14:paraId="149F59AB" w14:textId="77777777" w:rsidR="00DE6561" w:rsidRPr="00154588" w:rsidRDefault="00DE6561" w:rsidP="008C12B4">
            <w:pPr>
              <w:ind w:firstLine="567"/>
              <w:jc w:val="both"/>
              <w:rPr>
                <w:rFonts w:eastAsia="Calibri"/>
                <w:sz w:val="20"/>
                <w:szCs w:val="20"/>
              </w:rPr>
            </w:pPr>
            <w:r w:rsidRPr="00154588">
              <w:rPr>
                <w:rFonts w:eastAsia="Calibri"/>
                <w:sz w:val="20"/>
                <w:szCs w:val="20"/>
              </w:rPr>
              <w:t>f) furnizarea sprijinului financiar nu reprezintă o amenințare la adresa stabilității financiare a Republicii Moldova;</w:t>
            </w:r>
          </w:p>
          <w:p w14:paraId="403FA321" w14:textId="77777777" w:rsidR="00DE6561" w:rsidRPr="00154588" w:rsidRDefault="00DE6561" w:rsidP="008C12B4">
            <w:pPr>
              <w:ind w:firstLine="567"/>
              <w:jc w:val="both"/>
              <w:rPr>
                <w:rFonts w:eastAsia="Calibri"/>
                <w:kern w:val="2"/>
                <w:sz w:val="20"/>
                <w:szCs w:val="20"/>
                <w14:ligatures w14:val="standardContextual"/>
              </w:rPr>
            </w:pPr>
            <w:r w:rsidRPr="00154588">
              <w:rPr>
                <w:rFonts w:eastAsia="Calibri"/>
                <w:sz w:val="20"/>
                <w:szCs w:val="20"/>
              </w:rPr>
              <w:t>g) entitatea din grup care furnizează sprijinul îndeplinește la data acordării sprijinului cerințele referitoare la capital și lichiditate și oricăror cerințe impuse în cadrul supravegherii prudențiale prevăzute în Legea nr.202/2017, iar furnizarea sprijinului financiar nu duce la încălcarea de către entitatea din grup a acestor cerințe, cu excepția cazului în care este autorizată de Banca Națională Moldovei, în calitate de autoritate competentă responsabilă cu supravegherea la nivel individual a entității care furnizează sprijinul;</w:t>
            </w:r>
          </w:p>
          <w:p w14:paraId="6461F0B1" w14:textId="77777777" w:rsidR="00DE6561" w:rsidRPr="00154588" w:rsidRDefault="00DE6561" w:rsidP="008C12B4">
            <w:pPr>
              <w:ind w:firstLine="567"/>
              <w:jc w:val="both"/>
              <w:rPr>
                <w:rFonts w:eastAsia="Calibri"/>
                <w:sz w:val="20"/>
                <w:szCs w:val="20"/>
              </w:rPr>
            </w:pPr>
            <w:r w:rsidRPr="00154588">
              <w:rPr>
                <w:rFonts w:eastAsia="Calibri"/>
                <w:sz w:val="20"/>
                <w:szCs w:val="20"/>
              </w:rPr>
              <w:t>h) entitatea din grup care furnizează sprijinul îndeplinește la data acordării acestuia cerințele referitoare la expuneri mari prevăzute la art.74 din Legea nr.202/2017, și de reglementările emise în aplicarea acestora, iar acordarea sprijinului financiar nu duce la încălcarea, de către entitatea din grup, a acestor cerințe, cu excepția cazului în care este autorizată de Banca Națională a Moldovei, în calitate de autoritate competentă responsabilă la nivel individual a entității din grup;</w:t>
            </w:r>
          </w:p>
          <w:p w14:paraId="09F6B317" w14:textId="68483443" w:rsidR="00DE6561" w:rsidRPr="00154588" w:rsidRDefault="00DE6561" w:rsidP="008C12B4">
            <w:pPr>
              <w:ind w:firstLine="567"/>
              <w:jc w:val="both"/>
              <w:rPr>
                <w:sz w:val="20"/>
                <w:szCs w:val="20"/>
              </w:rPr>
            </w:pPr>
            <w:r w:rsidRPr="00154588">
              <w:rPr>
                <w:rFonts w:eastAsia="Calibri"/>
                <w:sz w:val="20"/>
                <w:szCs w:val="20"/>
              </w:rPr>
              <w:t>i) furnizarea sprijinului financiar nu ar submina posibilitatea de soluționare a entității din grup care furnizează sprijinul.</w:t>
            </w:r>
          </w:p>
        </w:tc>
        <w:tc>
          <w:tcPr>
            <w:tcW w:w="2552" w:type="dxa"/>
          </w:tcPr>
          <w:p w14:paraId="58C06946" w14:textId="02A6D422" w:rsidR="00DE6561" w:rsidRPr="00154588" w:rsidRDefault="00DE6561" w:rsidP="008C12B4">
            <w:pPr>
              <w:jc w:val="both"/>
              <w:rPr>
                <w:bCs/>
                <w:sz w:val="20"/>
                <w:szCs w:val="20"/>
              </w:rPr>
            </w:pPr>
            <w:r w:rsidRPr="00154588">
              <w:rPr>
                <w:bCs/>
                <w:sz w:val="20"/>
                <w:szCs w:val="20"/>
              </w:rPr>
              <w:lastRenderedPageBreak/>
              <w:t>Compatibil</w:t>
            </w:r>
          </w:p>
        </w:tc>
        <w:tc>
          <w:tcPr>
            <w:tcW w:w="3118" w:type="dxa"/>
          </w:tcPr>
          <w:p w14:paraId="689377C5" w14:textId="77777777" w:rsidR="00DE6561" w:rsidRPr="00154588" w:rsidRDefault="00DE6561" w:rsidP="008C12B4">
            <w:pPr>
              <w:jc w:val="both"/>
              <w:rPr>
                <w:bCs/>
                <w:sz w:val="20"/>
                <w:szCs w:val="20"/>
              </w:rPr>
            </w:pPr>
          </w:p>
        </w:tc>
      </w:tr>
      <w:tr w:rsidR="00DE6561" w:rsidRPr="00154588" w14:paraId="4A3446E7" w14:textId="77777777" w:rsidTr="00D15C1B">
        <w:trPr>
          <w:jc w:val="center"/>
        </w:trPr>
        <w:tc>
          <w:tcPr>
            <w:tcW w:w="4957" w:type="dxa"/>
            <w:gridSpan w:val="2"/>
          </w:tcPr>
          <w:p w14:paraId="1E031F73" w14:textId="77777777" w:rsidR="00DE6561" w:rsidRPr="00154588" w:rsidRDefault="00DE6561" w:rsidP="008C12B4">
            <w:pPr>
              <w:jc w:val="both"/>
              <w:rPr>
                <w:bCs/>
                <w:sz w:val="20"/>
                <w:szCs w:val="20"/>
              </w:rPr>
            </w:pPr>
            <w:r w:rsidRPr="00154588">
              <w:rPr>
                <w:bCs/>
                <w:sz w:val="20"/>
                <w:szCs w:val="20"/>
              </w:rPr>
              <w:t>(2)   ABE elaborează proiecte de standarde tehnice de reglementare, precizând condițiile prevăzute la alineatul (1) literele (a), (c), (e) și (i).</w:t>
            </w:r>
          </w:p>
          <w:p w14:paraId="232448C8" w14:textId="77777777" w:rsidR="00DE6561" w:rsidRPr="00154588" w:rsidRDefault="00DE6561" w:rsidP="008C12B4">
            <w:pPr>
              <w:jc w:val="both"/>
              <w:rPr>
                <w:bCs/>
                <w:sz w:val="20"/>
                <w:szCs w:val="20"/>
              </w:rPr>
            </w:pPr>
          </w:p>
          <w:p w14:paraId="78DA4522" w14:textId="77777777" w:rsidR="00DE6561" w:rsidRPr="00154588" w:rsidRDefault="00DE6561" w:rsidP="008C12B4">
            <w:pPr>
              <w:jc w:val="both"/>
              <w:rPr>
                <w:bCs/>
                <w:sz w:val="20"/>
                <w:szCs w:val="20"/>
              </w:rPr>
            </w:pPr>
            <w:r w:rsidRPr="00154588">
              <w:rPr>
                <w:bCs/>
                <w:sz w:val="20"/>
                <w:szCs w:val="20"/>
              </w:rPr>
              <w:t>ABE înaintează aceste proiecte de standarde tehnice de reglementare Comisiei până la 3 iulie 2015.</w:t>
            </w:r>
          </w:p>
          <w:p w14:paraId="689B18B1" w14:textId="77777777" w:rsidR="00DE6561" w:rsidRPr="00154588" w:rsidRDefault="00DE6561" w:rsidP="008C12B4">
            <w:pPr>
              <w:jc w:val="both"/>
              <w:rPr>
                <w:bCs/>
                <w:sz w:val="20"/>
                <w:szCs w:val="20"/>
              </w:rPr>
            </w:pPr>
          </w:p>
          <w:p w14:paraId="6F492427" w14:textId="210F3B82" w:rsidR="00DE6561" w:rsidRPr="00154588" w:rsidRDefault="00DE6561" w:rsidP="008C12B4">
            <w:pPr>
              <w:jc w:val="both"/>
              <w:rPr>
                <w:bCs/>
                <w:sz w:val="20"/>
                <w:szCs w:val="20"/>
              </w:rPr>
            </w:pPr>
            <w:r w:rsidRPr="00154588">
              <w:rPr>
                <w:bCs/>
                <w:sz w:val="20"/>
                <w:szCs w:val="20"/>
              </w:rPr>
              <w:t>Se conferă Comisiei competența de a adopta standardele tehnice de reglementare menționate la primul paragraf în conformitate cu articolele 10-14 din Regulamentul (UE) nr. 1093/2010.</w:t>
            </w:r>
          </w:p>
        </w:tc>
        <w:tc>
          <w:tcPr>
            <w:tcW w:w="4819" w:type="dxa"/>
          </w:tcPr>
          <w:p w14:paraId="76334AA4" w14:textId="28ECB871" w:rsidR="00DE6561" w:rsidRPr="00154588" w:rsidRDefault="00DE6561" w:rsidP="008C12B4">
            <w:pPr>
              <w:jc w:val="center"/>
              <w:rPr>
                <w:sz w:val="20"/>
                <w:szCs w:val="20"/>
              </w:rPr>
            </w:pPr>
            <w:r w:rsidRPr="00154588">
              <w:rPr>
                <w:sz w:val="20"/>
                <w:szCs w:val="16"/>
              </w:rPr>
              <w:lastRenderedPageBreak/>
              <w:t>-</w:t>
            </w:r>
          </w:p>
        </w:tc>
        <w:tc>
          <w:tcPr>
            <w:tcW w:w="2552" w:type="dxa"/>
          </w:tcPr>
          <w:p w14:paraId="6D426EB5" w14:textId="1C6C93DB" w:rsidR="00DE6561" w:rsidRPr="00154588" w:rsidRDefault="00DE6561" w:rsidP="008C12B4">
            <w:pPr>
              <w:jc w:val="both"/>
              <w:rPr>
                <w:sz w:val="20"/>
                <w:szCs w:val="20"/>
              </w:rPr>
            </w:pPr>
            <w:r w:rsidRPr="00154588">
              <w:rPr>
                <w:sz w:val="20"/>
                <w:szCs w:val="16"/>
              </w:rPr>
              <w:t>Norme UE neaplicabile</w:t>
            </w:r>
          </w:p>
        </w:tc>
        <w:tc>
          <w:tcPr>
            <w:tcW w:w="3118" w:type="dxa"/>
          </w:tcPr>
          <w:p w14:paraId="289E1762" w14:textId="0C70F302" w:rsidR="00DE6561" w:rsidRPr="00154588" w:rsidRDefault="00DE6561" w:rsidP="008C12B4">
            <w:pPr>
              <w:jc w:val="both"/>
              <w:rPr>
                <w:sz w:val="20"/>
                <w:szCs w:val="20"/>
              </w:rPr>
            </w:pPr>
            <w:r w:rsidRPr="00154588">
              <w:rPr>
                <w:sz w:val="20"/>
                <w:szCs w:val="16"/>
              </w:rPr>
              <w:t>Prevederi care se referă la atribuțiile de reglementare ale autorităților europene.</w:t>
            </w:r>
          </w:p>
        </w:tc>
      </w:tr>
      <w:tr w:rsidR="00DE6561" w:rsidRPr="00154588" w14:paraId="270C4BF4" w14:textId="77777777" w:rsidTr="00D15C1B">
        <w:trPr>
          <w:jc w:val="center"/>
        </w:trPr>
        <w:tc>
          <w:tcPr>
            <w:tcW w:w="4957" w:type="dxa"/>
            <w:gridSpan w:val="2"/>
          </w:tcPr>
          <w:p w14:paraId="5F977948" w14:textId="78C01CD5" w:rsidR="00DE6561" w:rsidRPr="00154588" w:rsidRDefault="00DE6561" w:rsidP="008C12B4">
            <w:pPr>
              <w:jc w:val="both"/>
              <w:rPr>
                <w:bCs/>
                <w:sz w:val="20"/>
                <w:szCs w:val="20"/>
              </w:rPr>
            </w:pPr>
            <w:r w:rsidRPr="00154588">
              <w:rPr>
                <w:bCs/>
                <w:sz w:val="20"/>
                <w:szCs w:val="20"/>
              </w:rPr>
              <w:t>(3)   Până la 3 ianuarie 2016, ABE emite orientări, în conformitate cu articolul 16 din Regulamentul (UE) nr. 1093/2010, care să promoveze convergența diferitelor practici și să specifice condițiile prevăzute la alineatul (1) literele (b), (d), (f), (g) și (h) din prezentul articol.</w:t>
            </w:r>
          </w:p>
        </w:tc>
        <w:tc>
          <w:tcPr>
            <w:tcW w:w="4819" w:type="dxa"/>
          </w:tcPr>
          <w:p w14:paraId="20CAC2F4" w14:textId="64273AEA" w:rsidR="00DE6561" w:rsidRPr="00154588" w:rsidRDefault="00DE6561" w:rsidP="008C12B4">
            <w:pPr>
              <w:jc w:val="center"/>
              <w:rPr>
                <w:sz w:val="20"/>
                <w:szCs w:val="20"/>
              </w:rPr>
            </w:pPr>
            <w:r w:rsidRPr="00154588">
              <w:rPr>
                <w:sz w:val="20"/>
                <w:szCs w:val="16"/>
              </w:rPr>
              <w:t>-</w:t>
            </w:r>
          </w:p>
        </w:tc>
        <w:tc>
          <w:tcPr>
            <w:tcW w:w="2552" w:type="dxa"/>
          </w:tcPr>
          <w:p w14:paraId="7DF38E9B" w14:textId="500BFCC5" w:rsidR="00DE6561" w:rsidRPr="00154588" w:rsidRDefault="00DE6561" w:rsidP="008C12B4">
            <w:pPr>
              <w:jc w:val="both"/>
              <w:rPr>
                <w:sz w:val="20"/>
                <w:szCs w:val="20"/>
              </w:rPr>
            </w:pPr>
            <w:r w:rsidRPr="00154588">
              <w:rPr>
                <w:sz w:val="20"/>
                <w:szCs w:val="16"/>
              </w:rPr>
              <w:t>Norme UE neaplicabile</w:t>
            </w:r>
          </w:p>
        </w:tc>
        <w:tc>
          <w:tcPr>
            <w:tcW w:w="3118" w:type="dxa"/>
          </w:tcPr>
          <w:p w14:paraId="03B2C8A6" w14:textId="76ED02A1" w:rsidR="00DE6561" w:rsidRPr="00154588" w:rsidRDefault="00DE6561" w:rsidP="008C12B4">
            <w:pPr>
              <w:jc w:val="both"/>
              <w:rPr>
                <w:sz w:val="20"/>
                <w:szCs w:val="20"/>
              </w:rPr>
            </w:pPr>
            <w:r w:rsidRPr="00154588">
              <w:rPr>
                <w:sz w:val="20"/>
                <w:szCs w:val="16"/>
              </w:rPr>
              <w:t>Prevederi care se referă la atribuțiile de reglementare ale autorităților europene.</w:t>
            </w:r>
          </w:p>
        </w:tc>
      </w:tr>
      <w:tr w:rsidR="00DE6561" w:rsidRPr="00154588" w14:paraId="69F4F384" w14:textId="77777777" w:rsidTr="00D15C1B">
        <w:trPr>
          <w:jc w:val="center"/>
        </w:trPr>
        <w:tc>
          <w:tcPr>
            <w:tcW w:w="4957" w:type="dxa"/>
            <w:gridSpan w:val="2"/>
          </w:tcPr>
          <w:p w14:paraId="2050DA2B" w14:textId="77777777" w:rsidR="00DE6561" w:rsidRPr="00154588" w:rsidRDefault="00DE6561" w:rsidP="008C12B4">
            <w:pPr>
              <w:rPr>
                <w:b/>
                <w:sz w:val="20"/>
                <w:szCs w:val="20"/>
              </w:rPr>
            </w:pPr>
            <w:r w:rsidRPr="00154588">
              <w:rPr>
                <w:b/>
                <w:sz w:val="20"/>
                <w:szCs w:val="20"/>
              </w:rPr>
              <w:t>Articolul 24</w:t>
            </w:r>
          </w:p>
          <w:p w14:paraId="58CE7345" w14:textId="77777777" w:rsidR="00DE6561" w:rsidRPr="00154588" w:rsidRDefault="00DE6561" w:rsidP="008C12B4">
            <w:pPr>
              <w:rPr>
                <w:b/>
                <w:sz w:val="20"/>
                <w:szCs w:val="20"/>
              </w:rPr>
            </w:pPr>
          </w:p>
          <w:p w14:paraId="60177216" w14:textId="0328FB22" w:rsidR="00DE6561" w:rsidRPr="00154588" w:rsidRDefault="00DE6561" w:rsidP="008C12B4">
            <w:pPr>
              <w:rPr>
                <w:bCs/>
                <w:sz w:val="20"/>
                <w:szCs w:val="20"/>
              </w:rPr>
            </w:pPr>
            <w:r w:rsidRPr="00154588">
              <w:rPr>
                <w:b/>
                <w:sz w:val="20"/>
                <w:szCs w:val="20"/>
              </w:rPr>
              <w:t>Decizia de a furniza sprijin financiar</w:t>
            </w:r>
          </w:p>
        </w:tc>
        <w:tc>
          <w:tcPr>
            <w:tcW w:w="4819" w:type="dxa"/>
          </w:tcPr>
          <w:p w14:paraId="28596AAD" w14:textId="77777777" w:rsidR="00DE6561" w:rsidRPr="00154588" w:rsidRDefault="00DE6561" w:rsidP="008C12B4">
            <w:pPr>
              <w:jc w:val="both"/>
              <w:rPr>
                <w:bCs/>
                <w:sz w:val="20"/>
                <w:szCs w:val="20"/>
              </w:rPr>
            </w:pPr>
          </w:p>
        </w:tc>
        <w:tc>
          <w:tcPr>
            <w:tcW w:w="2552" w:type="dxa"/>
          </w:tcPr>
          <w:p w14:paraId="00C6DD3C" w14:textId="77777777" w:rsidR="00DE6561" w:rsidRPr="00154588" w:rsidRDefault="00DE6561" w:rsidP="008C12B4">
            <w:pPr>
              <w:jc w:val="both"/>
              <w:rPr>
                <w:bCs/>
                <w:sz w:val="20"/>
                <w:szCs w:val="20"/>
              </w:rPr>
            </w:pPr>
          </w:p>
        </w:tc>
        <w:tc>
          <w:tcPr>
            <w:tcW w:w="3118" w:type="dxa"/>
          </w:tcPr>
          <w:p w14:paraId="6821FA1F" w14:textId="77777777" w:rsidR="00DE6561" w:rsidRPr="00154588" w:rsidRDefault="00DE6561" w:rsidP="008C12B4">
            <w:pPr>
              <w:jc w:val="both"/>
              <w:rPr>
                <w:bCs/>
                <w:sz w:val="20"/>
                <w:szCs w:val="20"/>
              </w:rPr>
            </w:pPr>
          </w:p>
        </w:tc>
      </w:tr>
      <w:tr w:rsidR="00DE6561" w:rsidRPr="00154588" w14:paraId="72086E3E" w14:textId="77777777" w:rsidTr="00D15C1B">
        <w:trPr>
          <w:jc w:val="center"/>
        </w:trPr>
        <w:tc>
          <w:tcPr>
            <w:tcW w:w="4957" w:type="dxa"/>
            <w:gridSpan w:val="2"/>
          </w:tcPr>
          <w:p w14:paraId="070F8B01" w14:textId="5B9F5156" w:rsidR="00DE6561" w:rsidRPr="00154588" w:rsidRDefault="00DE6561" w:rsidP="008C12B4">
            <w:pPr>
              <w:jc w:val="both"/>
              <w:rPr>
                <w:bCs/>
                <w:sz w:val="20"/>
                <w:szCs w:val="20"/>
              </w:rPr>
            </w:pPr>
            <w:r w:rsidRPr="00154588">
              <w:rPr>
                <w:bCs/>
                <w:sz w:val="20"/>
                <w:szCs w:val="20"/>
              </w:rPr>
              <w:t>Decizia de a furniza sprijin financiar intragrup în conformitate cu acordul este luată de organul de conducere al entității din grup care furnizează sprijinul financiar. Această decizie trebuie să fie motivată și să indice scopul sprijinului financiar propus. Mai exact, decizia precizează modul în care furnizarea sprijinului financiar este conformă cu condițiile prevăzute la articolul 23 alineatul (1). Decizia de a accepta sprijinul financiar la nivel de grup în conformitate cu acordul este luată de organul de conducere al entității din grup care primește sprijin financiar.</w:t>
            </w:r>
          </w:p>
        </w:tc>
        <w:tc>
          <w:tcPr>
            <w:tcW w:w="4819" w:type="dxa"/>
          </w:tcPr>
          <w:p w14:paraId="45795D52" w14:textId="77777777" w:rsidR="00DE6561" w:rsidRPr="00154588" w:rsidRDefault="00DE6561"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30</w:t>
            </w:r>
            <w:r w:rsidRPr="00154588">
              <w:rPr>
                <w:rFonts w:eastAsia="Calibri"/>
                <w:b/>
                <w:sz w:val="20"/>
                <w:szCs w:val="20"/>
              </w:rPr>
              <w:t>.</w:t>
            </w:r>
            <w:r w:rsidRPr="00154588">
              <w:rPr>
                <w:rFonts w:eastAsia="Calibri"/>
                <w:sz w:val="20"/>
                <w:szCs w:val="20"/>
              </w:rPr>
              <w:t xml:space="preserve"> – (1) Decizia de a furniza sprijin financiar intragrup în conformitate cu acordul este luată de organul de conducere al entității din grup care furnizează sprijinul financiar.</w:t>
            </w:r>
          </w:p>
          <w:p w14:paraId="5BFDF864" w14:textId="77777777" w:rsidR="00DE6561" w:rsidRPr="00154588" w:rsidRDefault="00DE6561" w:rsidP="008C12B4">
            <w:pPr>
              <w:ind w:firstLine="567"/>
              <w:jc w:val="both"/>
              <w:rPr>
                <w:rFonts w:eastAsia="Calibri"/>
                <w:sz w:val="20"/>
                <w:szCs w:val="20"/>
              </w:rPr>
            </w:pPr>
            <w:r w:rsidRPr="00154588">
              <w:rPr>
                <w:rFonts w:eastAsia="Calibri"/>
                <w:sz w:val="20"/>
                <w:szCs w:val="20"/>
              </w:rPr>
              <w:t>(2) Această decizie trebuie să fie motivată și să indice scopul pentru care se propune sprijinul financiar, respectiv modul în care furnizarea sprijinului financiar este conformă cu condițiile stabilite la art.41</w:t>
            </w:r>
            <w:r w:rsidRPr="00154588">
              <w:rPr>
                <w:rFonts w:eastAsia="Calibri"/>
                <w:sz w:val="20"/>
                <w:szCs w:val="20"/>
                <w:vertAlign w:val="superscript"/>
              </w:rPr>
              <w:t>29</w:t>
            </w:r>
            <w:r w:rsidRPr="00154588">
              <w:rPr>
                <w:rFonts w:eastAsia="Calibri"/>
                <w:sz w:val="20"/>
                <w:szCs w:val="20"/>
              </w:rPr>
              <w:t>.</w:t>
            </w:r>
          </w:p>
          <w:p w14:paraId="0FD5ADCF" w14:textId="1E0D0E37" w:rsidR="00DE6561" w:rsidRPr="00154588" w:rsidRDefault="00DE6561" w:rsidP="008C12B4">
            <w:pPr>
              <w:ind w:firstLine="567"/>
              <w:jc w:val="both"/>
              <w:rPr>
                <w:sz w:val="20"/>
                <w:szCs w:val="20"/>
              </w:rPr>
            </w:pPr>
            <w:r w:rsidRPr="00154588">
              <w:rPr>
                <w:rFonts w:eastAsia="Calibri"/>
                <w:sz w:val="20"/>
                <w:szCs w:val="20"/>
              </w:rPr>
              <w:t>(3) Decizia de a accepta sprijinul financiar intragrup pe baza acordului este luată de organul de conducere al entității din grup care primește sprijin financiar.</w:t>
            </w:r>
          </w:p>
        </w:tc>
        <w:tc>
          <w:tcPr>
            <w:tcW w:w="2552" w:type="dxa"/>
          </w:tcPr>
          <w:p w14:paraId="39B9ACD0" w14:textId="5524C317" w:rsidR="00DE6561" w:rsidRPr="00154588" w:rsidRDefault="00DE6561" w:rsidP="008C12B4">
            <w:pPr>
              <w:jc w:val="both"/>
              <w:rPr>
                <w:bCs/>
                <w:sz w:val="20"/>
                <w:szCs w:val="20"/>
              </w:rPr>
            </w:pPr>
            <w:r w:rsidRPr="00154588">
              <w:rPr>
                <w:bCs/>
                <w:sz w:val="20"/>
                <w:szCs w:val="20"/>
              </w:rPr>
              <w:t>Compatibil</w:t>
            </w:r>
          </w:p>
        </w:tc>
        <w:tc>
          <w:tcPr>
            <w:tcW w:w="3118" w:type="dxa"/>
          </w:tcPr>
          <w:p w14:paraId="232783CD" w14:textId="77777777" w:rsidR="00DE6561" w:rsidRPr="00154588" w:rsidRDefault="00DE6561" w:rsidP="008C12B4">
            <w:pPr>
              <w:jc w:val="both"/>
              <w:rPr>
                <w:bCs/>
                <w:sz w:val="20"/>
                <w:szCs w:val="20"/>
              </w:rPr>
            </w:pPr>
          </w:p>
        </w:tc>
      </w:tr>
      <w:tr w:rsidR="00DE6561" w:rsidRPr="00154588" w14:paraId="79E2F32D" w14:textId="77777777" w:rsidTr="00D15C1B">
        <w:trPr>
          <w:jc w:val="center"/>
        </w:trPr>
        <w:tc>
          <w:tcPr>
            <w:tcW w:w="4957" w:type="dxa"/>
            <w:gridSpan w:val="2"/>
          </w:tcPr>
          <w:p w14:paraId="7B93E518" w14:textId="77777777" w:rsidR="00DE6561" w:rsidRPr="00154588" w:rsidRDefault="00DE6561" w:rsidP="008C12B4">
            <w:pPr>
              <w:rPr>
                <w:b/>
                <w:sz w:val="20"/>
                <w:szCs w:val="20"/>
              </w:rPr>
            </w:pPr>
            <w:r w:rsidRPr="00154588">
              <w:rPr>
                <w:b/>
                <w:sz w:val="20"/>
                <w:szCs w:val="20"/>
              </w:rPr>
              <w:t>Articolul 25</w:t>
            </w:r>
          </w:p>
          <w:p w14:paraId="73C8BC6F" w14:textId="77777777" w:rsidR="00DE6561" w:rsidRPr="00154588" w:rsidRDefault="00DE6561" w:rsidP="008C12B4">
            <w:pPr>
              <w:rPr>
                <w:b/>
                <w:sz w:val="20"/>
                <w:szCs w:val="20"/>
              </w:rPr>
            </w:pPr>
          </w:p>
          <w:p w14:paraId="243F4EBF" w14:textId="76F1DA25" w:rsidR="00DE6561" w:rsidRPr="00154588" w:rsidRDefault="00DE6561" w:rsidP="008C12B4">
            <w:pPr>
              <w:rPr>
                <w:bCs/>
                <w:sz w:val="20"/>
                <w:szCs w:val="20"/>
              </w:rPr>
            </w:pPr>
            <w:r w:rsidRPr="00154588">
              <w:rPr>
                <w:b/>
                <w:sz w:val="20"/>
                <w:szCs w:val="20"/>
              </w:rPr>
              <w:t>Dreptul de opoziție al autorităților competente</w:t>
            </w:r>
          </w:p>
        </w:tc>
        <w:tc>
          <w:tcPr>
            <w:tcW w:w="4819" w:type="dxa"/>
          </w:tcPr>
          <w:p w14:paraId="011CA726" w14:textId="77777777" w:rsidR="00DE6561" w:rsidRPr="00154588" w:rsidRDefault="00DE6561" w:rsidP="008C12B4">
            <w:pPr>
              <w:jc w:val="both"/>
              <w:rPr>
                <w:bCs/>
                <w:sz w:val="20"/>
                <w:szCs w:val="20"/>
              </w:rPr>
            </w:pPr>
          </w:p>
        </w:tc>
        <w:tc>
          <w:tcPr>
            <w:tcW w:w="2552" w:type="dxa"/>
          </w:tcPr>
          <w:p w14:paraId="4BB0EA47" w14:textId="77777777" w:rsidR="00DE6561" w:rsidRPr="00154588" w:rsidRDefault="00DE6561" w:rsidP="008C12B4">
            <w:pPr>
              <w:jc w:val="both"/>
              <w:rPr>
                <w:bCs/>
                <w:sz w:val="20"/>
                <w:szCs w:val="20"/>
              </w:rPr>
            </w:pPr>
          </w:p>
        </w:tc>
        <w:tc>
          <w:tcPr>
            <w:tcW w:w="3118" w:type="dxa"/>
          </w:tcPr>
          <w:p w14:paraId="5D187F8E" w14:textId="77777777" w:rsidR="00DE6561" w:rsidRPr="00154588" w:rsidRDefault="00DE6561" w:rsidP="008C12B4">
            <w:pPr>
              <w:jc w:val="both"/>
              <w:rPr>
                <w:bCs/>
                <w:sz w:val="20"/>
                <w:szCs w:val="20"/>
              </w:rPr>
            </w:pPr>
          </w:p>
        </w:tc>
      </w:tr>
      <w:tr w:rsidR="00DE6561" w:rsidRPr="00154588" w14:paraId="2F180A53" w14:textId="77777777" w:rsidTr="00D15C1B">
        <w:trPr>
          <w:jc w:val="center"/>
        </w:trPr>
        <w:tc>
          <w:tcPr>
            <w:tcW w:w="4957" w:type="dxa"/>
            <w:gridSpan w:val="2"/>
          </w:tcPr>
          <w:p w14:paraId="1931E8C8" w14:textId="77777777" w:rsidR="00DE6561" w:rsidRPr="00154588" w:rsidRDefault="00DE6561" w:rsidP="008C12B4">
            <w:pPr>
              <w:jc w:val="both"/>
              <w:rPr>
                <w:bCs/>
                <w:sz w:val="20"/>
                <w:szCs w:val="20"/>
              </w:rPr>
            </w:pPr>
            <w:r w:rsidRPr="00154588">
              <w:rPr>
                <w:bCs/>
                <w:sz w:val="20"/>
                <w:szCs w:val="20"/>
              </w:rPr>
              <w:t>(1)   Înainte de a acorda sprijin conform unui acord de sprijin financiar intragrup, organul de conducere al unei entități din grup care intenționează să acorde sprijinul financiar trebuie să notifice:</w:t>
            </w:r>
          </w:p>
          <w:p w14:paraId="7FA9E5A1" w14:textId="77777777" w:rsidR="00DE6561" w:rsidRPr="00154588" w:rsidRDefault="00DE6561" w:rsidP="008C12B4">
            <w:pPr>
              <w:jc w:val="both"/>
              <w:rPr>
                <w:bCs/>
                <w:sz w:val="20"/>
                <w:szCs w:val="20"/>
              </w:rPr>
            </w:pPr>
          </w:p>
          <w:p w14:paraId="07E20A68" w14:textId="61C5E332" w:rsidR="00DE6561" w:rsidRPr="00154588" w:rsidRDefault="00DE6561" w:rsidP="008C12B4">
            <w:pPr>
              <w:jc w:val="both"/>
              <w:rPr>
                <w:bCs/>
                <w:sz w:val="20"/>
                <w:szCs w:val="20"/>
              </w:rPr>
            </w:pPr>
            <w:r w:rsidRPr="00154588">
              <w:rPr>
                <w:bCs/>
                <w:sz w:val="20"/>
                <w:szCs w:val="20"/>
              </w:rPr>
              <w:t>(a) propria autoritate competentă;</w:t>
            </w:r>
          </w:p>
          <w:p w14:paraId="05B5EA83" w14:textId="77777777" w:rsidR="00DE6561" w:rsidRPr="00154588" w:rsidRDefault="00DE6561" w:rsidP="008C12B4">
            <w:pPr>
              <w:jc w:val="both"/>
              <w:rPr>
                <w:bCs/>
                <w:sz w:val="20"/>
                <w:szCs w:val="20"/>
              </w:rPr>
            </w:pPr>
          </w:p>
          <w:p w14:paraId="21D7DACA" w14:textId="144D5F5E" w:rsidR="00DE6561" w:rsidRPr="00154588" w:rsidRDefault="00DE6561" w:rsidP="008C12B4">
            <w:pPr>
              <w:jc w:val="both"/>
              <w:rPr>
                <w:bCs/>
                <w:sz w:val="20"/>
                <w:szCs w:val="20"/>
              </w:rPr>
            </w:pPr>
            <w:r w:rsidRPr="00154588">
              <w:rPr>
                <w:bCs/>
                <w:sz w:val="20"/>
                <w:szCs w:val="20"/>
              </w:rPr>
              <w:t>(b) dacă este vorba de o autoritate distinctă de autoritățile menționate la literele (a) și (c), după caz, supraveghetorul consolidant;</w:t>
            </w:r>
          </w:p>
          <w:p w14:paraId="6303652D" w14:textId="77777777" w:rsidR="00DE6561" w:rsidRPr="00154588" w:rsidRDefault="00DE6561" w:rsidP="008C12B4">
            <w:pPr>
              <w:jc w:val="both"/>
              <w:rPr>
                <w:bCs/>
                <w:sz w:val="20"/>
                <w:szCs w:val="20"/>
              </w:rPr>
            </w:pPr>
          </w:p>
          <w:p w14:paraId="14689C1F" w14:textId="2F2CC161" w:rsidR="00DE6561" w:rsidRPr="00154588" w:rsidRDefault="00DE6561" w:rsidP="008C12B4">
            <w:pPr>
              <w:jc w:val="both"/>
              <w:rPr>
                <w:bCs/>
                <w:sz w:val="20"/>
                <w:szCs w:val="20"/>
              </w:rPr>
            </w:pPr>
            <w:r w:rsidRPr="00154588">
              <w:rPr>
                <w:bCs/>
                <w:sz w:val="20"/>
                <w:szCs w:val="20"/>
              </w:rPr>
              <w:t>(c) dacă este vorba de o autoritate distinctă de autoritățile menționate la literele (a) și (b), autoritatea competentă a entității din grup care primește sprijinul financiar; și</w:t>
            </w:r>
          </w:p>
          <w:p w14:paraId="0C3A0018" w14:textId="77777777" w:rsidR="00DE6561" w:rsidRPr="00154588" w:rsidRDefault="00DE6561" w:rsidP="008C12B4">
            <w:pPr>
              <w:jc w:val="both"/>
              <w:rPr>
                <w:bCs/>
                <w:sz w:val="20"/>
                <w:szCs w:val="20"/>
              </w:rPr>
            </w:pPr>
          </w:p>
          <w:p w14:paraId="49D7290C" w14:textId="773EEFC6" w:rsidR="00DE6561" w:rsidRPr="00154588" w:rsidRDefault="00DE6561" w:rsidP="008C12B4">
            <w:pPr>
              <w:jc w:val="both"/>
              <w:rPr>
                <w:bCs/>
                <w:sz w:val="20"/>
                <w:szCs w:val="20"/>
              </w:rPr>
            </w:pPr>
            <w:r w:rsidRPr="00154588">
              <w:rPr>
                <w:bCs/>
                <w:sz w:val="20"/>
                <w:szCs w:val="20"/>
              </w:rPr>
              <w:t>(d) ABE.</w:t>
            </w:r>
          </w:p>
          <w:p w14:paraId="5E4E8EB8" w14:textId="77777777" w:rsidR="00DE6561" w:rsidRPr="00154588" w:rsidRDefault="00DE6561" w:rsidP="008C12B4">
            <w:pPr>
              <w:jc w:val="both"/>
              <w:rPr>
                <w:bCs/>
                <w:sz w:val="20"/>
                <w:szCs w:val="20"/>
              </w:rPr>
            </w:pPr>
          </w:p>
          <w:p w14:paraId="4429802B" w14:textId="06C60F20" w:rsidR="00DE6561" w:rsidRPr="00154588" w:rsidRDefault="00DE6561" w:rsidP="008C12B4">
            <w:pPr>
              <w:jc w:val="both"/>
              <w:rPr>
                <w:bCs/>
                <w:sz w:val="20"/>
                <w:szCs w:val="20"/>
              </w:rPr>
            </w:pPr>
            <w:r w:rsidRPr="00154588">
              <w:rPr>
                <w:bCs/>
                <w:sz w:val="20"/>
                <w:szCs w:val="20"/>
              </w:rPr>
              <w:t>Notificarea trebuie să conțină decizia motivată a organului de conducere, în conformitate cu articolul 24, precum și detalii cu privire la sprijinul financiar propus, inclusiv o copie a acordului de sprijin financiar la nivel de grup.</w:t>
            </w:r>
          </w:p>
        </w:tc>
        <w:tc>
          <w:tcPr>
            <w:tcW w:w="4819" w:type="dxa"/>
          </w:tcPr>
          <w:p w14:paraId="014F2E01" w14:textId="77777777" w:rsidR="00DE6561" w:rsidRPr="00154588" w:rsidRDefault="00DE6561" w:rsidP="008C12B4">
            <w:pPr>
              <w:ind w:firstLine="567"/>
              <w:jc w:val="both"/>
              <w:rPr>
                <w:rFonts w:eastAsia="Calibri"/>
                <w:sz w:val="20"/>
                <w:szCs w:val="20"/>
              </w:rPr>
            </w:pPr>
            <w:r w:rsidRPr="00154588">
              <w:rPr>
                <w:rFonts w:eastAsia="Calibri"/>
                <w:b/>
                <w:sz w:val="20"/>
                <w:szCs w:val="20"/>
              </w:rPr>
              <w:lastRenderedPageBreak/>
              <w:t>Articolul 41</w:t>
            </w:r>
            <w:r w:rsidRPr="00154588">
              <w:rPr>
                <w:rFonts w:eastAsia="Calibri"/>
                <w:b/>
                <w:sz w:val="20"/>
                <w:szCs w:val="20"/>
                <w:vertAlign w:val="superscript"/>
              </w:rPr>
              <w:t>31</w:t>
            </w:r>
            <w:r w:rsidRPr="00154588">
              <w:rPr>
                <w:rFonts w:eastAsia="Calibri"/>
                <w:b/>
                <w:sz w:val="20"/>
                <w:szCs w:val="20"/>
              </w:rPr>
              <w:t>.</w:t>
            </w:r>
            <w:r w:rsidRPr="00154588">
              <w:rPr>
                <w:rFonts w:eastAsia="Calibri"/>
                <w:sz w:val="20"/>
                <w:szCs w:val="20"/>
              </w:rPr>
              <w:t xml:space="preserve"> – (1) Înainte de a acorda sprijin conform unui acord de sprijin financiar intragrup, organul de conducere al entității din grup, persoană juridică din Republica Moldova, care intenționează să acorde sprijinul financiar și care este supusă supravegherii Băncii Naționale a Moldovei la nivel individual sau consolidat, trebuie să notifice:</w:t>
            </w:r>
          </w:p>
          <w:p w14:paraId="55A49130" w14:textId="77777777" w:rsidR="00DE6561" w:rsidRPr="00154588" w:rsidRDefault="00DE6561" w:rsidP="008C12B4">
            <w:pPr>
              <w:ind w:firstLine="567"/>
              <w:jc w:val="both"/>
              <w:rPr>
                <w:rFonts w:eastAsia="Calibri"/>
                <w:sz w:val="20"/>
                <w:szCs w:val="20"/>
              </w:rPr>
            </w:pPr>
            <w:r w:rsidRPr="00154588">
              <w:rPr>
                <w:rFonts w:eastAsia="Calibri"/>
                <w:sz w:val="20"/>
                <w:szCs w:val="20"/>
              </w:rPr>
              <w:t>a) Banca Națională a Moldovei, în calitate de autoritate competentă;</w:t>
            </w:r>
          </w:p>
          <w:p w14:paraId="2562BA74" w14:textId="77777777" w:rsidR="00DE6561" w:rsidRPr="00154588" w:rsidRDefault="00DE6561" w:rsidP="008C12B4">
            <w:pPr>
              <w:ind w:firstLine="567"/>
              <w:jc w:val="both"/>
              <w:rPr>
                <w:rFonts w:eastAsia="Calibri"/>
                <w:sz w:val="20"/>
                <w:szCs w:val="20"/>
              </w:rPr>
            </w:pPr>
            <w:r w:rsidRPr="00154588">
              <w:rPr>
                <w:rFonts w:eastAsia="Calibri"/>
                <w:sz w:val="20"/>
                <w:szCs w:val="20"/>
              </w:rPr>
              <w:t>b) supraveghetorul consolidant, dacă este autoritate distinctă de autoritățile prevăzute la lit.a) și c), după caz;</w:t>
            </w:r>
          </w:p>
          <w:p w14:paraId="5797B52D" w14:textId="77777777" w:rsidR="00DE6561" w:rsidRPr="00154588" w:rsidRDefault="00DE6561" w:rsidP="008C12B4">
            <w:pPr>
              <w:ind w:firstLine="567"/>
              <w:jc w:val="both"/>
              <w:rPr>
                <w:rFonts w:eastAsia="Calibri"/>
                <w:sz w:val="20"/>
                <w:szCs w:val="20"/>
              </w:rPr>
            </w:pPr>
            <w:r w:rsidRPr="00154588">
              <w:rPr>
                <w:rFonts w:eastAsia="Calibri"/>
                <w:sz w:val="20"/>
                <w:szCs w:val="20"/>
              </w:rPr>
              <w:lastRenderedPageBreak/>
              <w:t>c) autoritatea competentă a entității beneficiare a sprijinului financiar, dacă este autoritate distinctă de autoritățile prevăzute la lit.a) și b);</w:t>
            </w:r>
          </w:p>
          <w:p w14:paraId="720E72A9" w14:textId="77777777" w:rsidR="00DE6561" w:rsidRPr="00154588" w:rsidRDefault="00DE6561" w:rsidP="008C12B4">
            <w:pPr>
              <w:ind w:firstLine="567"/>
              <w:jc w:val="both"/>
              <w:rPr>
                <w:rFonts w:eastAsia="Calibri"/>
                <w:sz w:val="20"/>
                <w:szCs w:val="20"/>
              </w:rPr>
            </w:pPr>
            <w:r w:rsidRPr="00154588">
              <w:rPr>
                <w:rFonts w:eastAsia="Calibri"/>
                <w:sz w:val="20"/>
                <w:szCs w:val="20"/>
              </w:rPr>
              <w:t>d) Autoritatea Bancară Europeană.</w:t>
            </w:r>
          </w:p>
          <w:p w14:paraId="2F51AC24" w14:textId="77777777" w:rsidR="00DE6561" w:rsidRPr="00154588" w:rsidRDefault="00DE6561" w:rsidP="008C12B4">
            <w:pPr>
              <w:ind w:firstLine="567"/>
              <w:jc w:val="both"/>
              <w:rPr>
                <w:rFonts w:eastAsia="Calibri"/>
                <w:sz w:val="20"/>
                <w:szCs w:val="20"/>
              </w:rPr>
            </w:pPr>
            <w:r w:rsidRPr="00154588">
              <w:rPr>
                <w:rFonts w:eastAsia="Calibri"/>
                <w:sz w:val="20"/>
                <w:szCs w:val="20"/>
              </w:rPr>
              <w:t>(2) Notificarea trebuie să conțină decizia motivată a organului de conducere, conform art.41</w:t>
            </w:r>
            <w:r w:rsidRPr="00154588">
              <w:rPr>
                <w:rFonts w:eastAsia="Calibri"/>
                <w:sz w:val="20"/>
                <w:szCs w:val="20"/>
                <w:vertAlign w:val="superscript"/>
              </w:rPr>
              <w:t>30</w:t>
            </w:r>
            <w:r w:rsidRPr="00154588">
              <w:rPr>
                <w:rFonts w:eastAsia="Calibri"/>
                <w:sz w:val="20"/>
                <w:szCs w:val="20"/>
              </w:rPr>
              <w:t>, precum și detalii cu privire la sprijinul financiar propus, inclusiv o copie a acordului de sprijin financiar intragrup.</w:t>
            </w:r>
          </w:p>
          <w:p w14:paraId="769A5C90" w14:textId="77777777" w:rsidR="00DE6561" w:rsidRPr="00154588" w:rsidRDefault="00DE6561" w:rsidP="008C12B4">
            <w:pPr>
              <w:jc w:val="both"/>
              <w:rPr>
                <w:bCs/>
                <w:sz w:val="20"/>
                <w:szCs w:val="20"/>
              </w:rPr>
            </w:pPr>
          </w:p>
        </w:tc>
        <w:tc>
          <w:tcPr>
            <w:tcW w:w="2552" w:type="dxa"/>
          </w:tcPr>
          <w:p w14:paraId="4F009991" w14:textId="7E5D1FAC" w:rsidR="00DE6561" w:rsidRPr="00154588" w:rsidRDefault="00DE6561" w:rsidP="008C12B4">
            <w:pPr>
              <w:jc w:val="both"/>
              <w:rPr>
                <w:bCs/>
                <w:sz w:val="20"/>
                <w:szCs w:val="20"/>
              </w:rPr>
            </w:pPr>
            <w:r w:rsidRPr="00154588">
              <w:rPr>
                <w:bCs/>
                <w:sz w:val="20"/>
                <w:szCs w:val="20"/>
              </w:rPr>
              <w:lastRenderedPageBreak/>
              <w:t>Compatibil</w:t>
            </w:r>
          </w:p>
        </w:tc>
        <w:tc>
          <w:tcPr>
            <w:tcW w:w="3118" w:type="dxa"/>
          </w:tcPr>
          <w:p w14:paraId="65103D85" w14:textId="77777777" w:rsidR="00DE6561" w:rsidRPr="00154588" w:rsidRDefault="00DE6561" w:rsidP="008C12B4">
            <w:pPr>
              <w:jc w:val="both"/>
              <w:rPr>
                <w:bCs/>
                <w:sz w:val="20"/>
                <w:szCs w:val="20"/>
              </w:rPr>
            </w:pPr>
          </w:p>
        </w:tc>
      </w:tr>
      <w:tr w:rsidR="00DE6561" w:rsidRPr="00154588" w14:paraId="17EDEAB6" w14:textId="77777777" w:rsidTr="00D15C1B">
        <w:trPr>
          <w:jc w:val="center"/>
        </w:trPr>
        <w:tc>
          <w:tcPr>
            <w:tcW w:w="4957" w:type="dxa"/>
            <w:gridSpan w:val="2"/>
          </w:tcPr>
          <w:p w14:paraId="50BFA473" w14:textId="77777777" w:rsidR="00DE6561" w:rsidRPr="00154588" w:rsidRDefault="00DE6561" w:rsidP="008C12B4">
            <w:pPr>
              <w:jc w:val="both"/>
              <w:rPr>
                <w:bCs/>
                <w:sz w:val="20"/>
                <w:szCs w:val="20"/>
              </w:rPr>
            </w:pPr>
          </w:p>
        </w:tc>
        <w:tc>
          <w:tcPr>
            <w:tcW w:w="4819" w:type="dxa"/>
          </w:tcPr>
          <w:p w14:paraId="7725D97E" w14:textId="77777777" w:rsidR="00DE6561" w:rsidRPr="00154588" w:rsidRDefault="00DE6561" w:rsidP="008C12B4">
            <w:pPr>
              <w:jc w:val="center"/>
              <w:rPr>
                <w:rFonts w:eastAsia="Calibri"/>
                <w:b/>
                <w:sz w:val="20"/>
                <w:szCs w:val="20"/>
              </w:rPr>
            </w:pPr>
            <w:r w:rsidRPr="00154588">
              <w:rPr>
                <w:rFonts w:eastAsia="Calibri"/>
                <w:b/>
                <w:sz w:val="20"/>
                <w:szCs w:val="20"/>
              </w:rPr>
              <w:t>Secţiunea a 6-a</w:t>
            </w:r>
          </w:p>
          <w:p w14:paraId="6314B514" w14:textId="224CAA70" w:rsidR="00DE6561" w:rsidRPr="00154588" w:rsidRDefault="00DE6561" w:rsidP="008C12B4">
            <w:pPr>
              <w:jc w:val="center"/>
              <w:rPr>
                <w:rFonts w:eastAsia="Calibri"/>
                <w:b/>
                <w:sz w:val="20"/>
                <w:szCs w:val="20"/>
              </w:rPr>
            </w:pPr>
            <w:r w:rsidRPr="00154588">
              <w:rPr>
                <w:rFonts w:eastAsia="Calibri"/>
                <w:b/>
                <w:sz w:val="20"/>
                <w:szCs w:val="20"/>
              </w:rPr>
              <w:t>Aprobarea acordării sprijinului financiar intragrup de către Banca Națională a Moldovei, în calitate de autoritate competentă la nivel individual a entității care furnizează sprijinul</w:t>
            </w:r>
          </w:p>
        </w:tc>
        <w:tc>
          <w:tcPr>
            <w:tcW w:w="2552" w:type="dxa"/>
          </w:tcPr>
          <w:p w14:paraId="2C73B049" w14:textId="77777777" w:rsidR="00DE6561" w:rsidRPr="00154588" w:rsidRDefault="00DE6561" w:rsidP="008C12B4">
            <w:pPr>
              <w:jc w:val="both"/>
              <w:rPr>
                <w:bCs/>
                <w:sz w:val="20"/>
                <w:szCs w:val="20"/>
              </w:rPr>
            </w:pPr>
          </w:p>
        </w:tc>
        <w:tc>
          <w:tcPr>
            <w:tcW w:w="3118" w:type="dxa"/>
          </w:tcPr>
          <w:p w14:paraId="6D3EA933" w14:textId="77777777" w:rsidR="00DE6561" w:rsidRPr="00154588" w:rsidRDefault="00DE6561" w:rsidP="008C12B4">
            <w:pPr>
              <w:jc w:val="both"/>
              <w:rPr>
                <w:bCs/>
                <w:sz w:val="20"/>
                <w:szCs w:val="20"/>
              </w:rPr>
            </w:pPr>
          </w:p>
        </w:tc>
      </w:tr>
      <w:tr w:rsidR="00DE6561" w:rsidRPr="00154588" w14:paraId="659ACFCD" w14:textId="77777777" w:rsidTr="00D15C1B">
        <w:trPr>
          <w:jc w:val="center"/>
        </w:trPr>
        <w:tc>
          <w:tcPr>
            <w:tcW w:w="4957" w:type="dxa"/>
            <w:gridSpan w:val="2"/>
          </w:tcPr>
          <w:p w14:paraId="0C9A72B2" w14:textId="6D443FDA" w:rsidR="00DE6561" w:rsidRPr="00154588" w:rsidRDefault="00DE6561" w:rsidP="008C12B4">
            <w:pPr>
              <w:jc w:val="both"/>
              <w:rPr>
                <w:bCs/>
                <w:sz w:val="20"/>
                <w:szCs w:val="20"/>
              </w:rPr>
            </w:pPr>
            <w:r w:rsidRPr="00154588">
              <w:rPr>
                <w:bCs/>
                <w:sz w:val="20"/>
                <w:szCs w:val="20"/>
              </w:rPr>
              <w:t>(2)   În termen de cinci zile lucrătoare de la data primirii unei notificări complete, autoritatea competentă a entității din grup care furnizează sprijin financiar poate aproba acordarea de sprijin financiar, poate interzice sau limita acest lucru în cazul în care evaluează că nu au fost îndeplinite condițiile pentru acordarea de sprijin financiar intragrup prevăzute la articolul 23. Orice decizie a autorității competente privind interzicerea sau limitarea sprijinului financiar trebuie să fie motivată.</w:t>
            </w:r>
          </w:p>
        </w:tc>
        <w:tc>
          <w:tcPr>
            <w:tcW w:w="4819" w:type="dxa"/>
          </w:tcPr>
          <w:p w14:paraId="0E8C8387" w14:textId="77777777" w:rsidR="00DE6561" w:rsidRPr="00154588" w:rsidRDefault="00DE6561"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32</w:t>
            </w:r>
            <w:r w:rsidRPr="00154588">
              <w:rPr>
                <w:rFonts w:eastAsia="Calibri"/>
                <w:b/>
                <w:sz w:val="20"/>
                <w:szCs w:val="20"/>
              </w:rPr>
              <w:t>.</w:t>
            </w:r>
            <w:r w:rsidRPr="00154588">
              <w:rPr>
                <w:rFonts w:eastAsia="Calibri"/>
                <w:sz w:val="20"/>
                <w:szCs w:val="20"/>
              </w:rPr>
              <w:t xml:space="preserve"> – (1) Banca Națională a Moldovei, în calitate de autoritate competentă la nivel individual a entității din grup care furnizează sprijin financiar, evaluează dacă au fost îndeplinite condițiile pentru acordarea de sprijin financiar intragrup prevăzute la art.41</w:t>
            </w:r>
            <w:r w:rsidRPr="00154588">
              <w:rPr>
                <w:rFonts w:eastAsia="Calibri"/>
                <w:sz w:val="20"/>
                <w:szCs w:val="20"/>
                <w:vertAlign w:val="superscript"/>
              </w:rPr>
              <w:t>29</w:t>
            </w:r>
            <w:r w:rsidRPr="00154588">
              <w:rPr>
                <w:rFonts w:eastAsia="Calibri"/>
                <w:sz w:val="20"/>
                <w:szCs w:val="20"/>
              </w:rPr>
              <w:t xml:space="preserve"> și, în termen de cinci zile lucrătoare de la data primirii unei notificări complete de la entitatea care acordă sprijin financiar, aprobă acordarea sau, în cazul în care constată că nu au fost îndeplinite condițiile prevăzute la art.41</w:t>
            </w:r>
            <w:r w:rsidRPr="00154588">
              <w:rPr>
                <w:rFonts w:eastAsia="Calibri"/>
                <w:sz w:val="20"/>
                <w:szCs w:val="20"/>
                <w:vertAlign w:val="superscript"/>
              </w:rPr>
              <w:t>29</w:t>
            </w:r>
            <w:r w:rsidRPr="00154588">
              <w:rPr>
                <w:rFonts w:eastAsia="Calibri"/>
                <w:sz w:val="20"/>
                <w:szCs w:val="20"/>
              </w:rPr>
              <w:t>, interzice sau limitează sprijinul financiar.</w:t>
            </w:r>
          </w:p>
          <w:p w14:paraId="4AC87058" w14:textId="34224E4E" w:rsidR="00DE6561" w:rsidRPr="00154588" w:rsidRDefault="00DE6561" w:rsidP="008C12B4">
            <w:pPr>
              <w:ind w:firstLine="567"/>
              <w:jc w:val="both"/>
              <w:rPr>
                <w:sz w:val="20"/>
                <w:szCs w:val="20"/>
              </w:rPr>
            </w:pPr>
            <w:r w:rsidRPr="00154588">
              <w:rPr>
                <w:rFonts w:eastAsia="Calibri"/>
                <w:sz w:val="20"/>
                <w:szCs w:val="20"/>
              </w:rPr>
              <w:t>(2) Decizia Băncii Naționale a Moldovei, în calitate de autoritate competentă la nivel individual, privind interzicerea sau limitarea sprijinului financiar trebuie să fie motivată.</w:t>
            </w:r>
          </w:p>
        </w:tc>
        <w:tc>
          <w:tcPr>
            <w:tcW w:w="2552" w:type="dxa"/>
          </w:tcPr>
          <w:p w14:paraId="130FAB7C" w14:textId="559503EB" w:rsidR="00DE6561" w:rsidRPr="00154588" w:rsidRDefault="00DE6561" w:rsidP="008C12B4">
            <w:pPr>
              <w:jc w:val="both"/>
              <w:rPr>
                <w:bCs/>
                <w:sz w:val="20"/>
                <w:szCs w:val="20"/>
              </w:rPr>
            </w:pPr>
            <w:r w:rsidRPr="00154588">
              <w:rPr>
                <w:bCs/>
                <w:sz w:val="20"/>
                <w:szCs w:val="20"/>
              </w:rPr>
              <w:t>Compatibil</w:t>
            </w:r>
          </w:p>
        </w:tc>
        <w:tc>
          <w:tcPr>
            <w:tcW w:w="3118" w:type="dxa"/>
          </w:tcPr>
          <w:p w14:paraId="5B328112" w14:textId="77777777" w:rsidR="00DE6561" w:rsidRPr="00154588" w:rsidRDefault="00DE6561" w:rsidP="008C12B4">
            <w:pPr>
              <w:jc w:val="both"/>
              <w:rPr>
                <w:bCs/>
                <w:sz w:val="20"/>
                <w:szCs w:val="20"/>
              </w:rPr>
            </w:pPr>
          </w:p>
        </w:tc>
      </w:tr>
      <w:tr w:rsidR="00DE6561" w:rsidRPr="00154588" w14:paraId="66292A6E" w14:textId="77777777" w:rsidTr="00D15C1B">
        <w:trPr>
          <w:jc w:val="center"/>
        </w:trPr>
        <w:tc>
          <w:tcPr>
            <w:tcW w:w="4957" w:type="dxa"/>
            <w:gridSpan w:val="2"/>
          </w:tcPr>
          <w:p w14:paraId="55C23E52" w14:textId="77777777" w:rsidR="00DE6561" w:rsidRPr="00154588" w:rsidRDefault="00DE6561" w:rsidP="008C12B4">
            <w:pPr>
              <w:jc w:val="both"/>
              <w:rPr>
                <w:bCs/>
                <w:sz w:val="20"/>
                <w:szCs w:val="20"/>
              </w:rPr>
            </w:pPr>
            <w:r w:rsidRPr="00154588">
              <w:rPr>
                <w:bCs/>
                <w:sz w:val="20"/>
                <w:szCs w:val="20"/>
              </w:rPr>
              <w:t>(3)   Decizia autorității competente privind aprobarea, interzicerea sau limitarea sprijinului financiar este notificată imediat către:</w:t>
            </w:r>
          </w:p>
          <w:p w14:paraId="5C71356F" w14:textId="77777777" w:rsidR="00DE6561" w:rsidRPr="00154588" w:rsidRDefault="00DE6561" w:rsidP="008C12B4">
            <w:pPr>
              <w:jc w:val="both"/>
              <w:rPr>
                <w:bCs/>
                <w:sz w:val="20"/>
                <w:szCs w:val="20"/>
              </w:rPr>
            </w:pPr>
          </w:p>
          <w:p w14:paraId="2E766F04" w14:textId="68C9810A" w:rsidR="00DE6561" w:rsidRPr="00154588" w:rsidRDefault="00DE6561" w:rsidP="008C12B4">
            <w:pPr>
              <w:jc w:val="both"/>
              <w:rPr>
                <w:bCs/>
                <w:sz w:val="20"/>
                <w:szCs w:val="20"/>
              </w:rPr>
            </w:pPr>
            <w:r w:rsidRPr="00154588">
              <w:rPr>
                <w:bCs/>
                <w:sz w:val="20"/>
                <w:szCs w:val="20"/>
              </w:rPr>
              <w:t>(a) supraveghetorul consolidant;</w:t>
            </w:r>
          </w:p>
          <w:p w14:paraId="108DA866" w14:textId="77777777" w:rsidR="00DE6561" w:rsidRPr="00154588" w:rsidRDefault="00DE6561" w:rsidP="008C12B4">
            <w:pPr>
              <w:jc w:val="both"/>
              <w:rPr>
                <w:bCs/>
                <w:sz w:val="20"/>
                <w:szCs w:val="20"/>
              </w:rPr>
            </w:pPr>
          </w:p>
          <w:p w14:paraId="7279FA7E" w14:textId="77777777" w:rsidR="00DE6561" w:rsidRPr="00154588" w:rsidRDefault="00DE6561" w:rsidP="008C12B4">
            <w:pPr>
              <w:jc w:val="both"/>
              <w:rPr>
                <w:bCs/>
                <w:sz w:val="20"/>
                <w:szCs w:val="20"/>
              </w:rPr>
            </w:pPr>
          </w:p>
          <w:p w14:paraId="09C09264" w14:textId="7DFCDD7A" w:rsidR="00DE6561" w:rsidRPr="00154588" w:rsidRDefault="00DE6561" w:rsidP="008C12B4">
            <w:pPr>
              <w:jc w:val="both"/>
              <w:rPr>
                <w:bCs/>
                <w:sz w:val="20"/>
                <w:szCs w:val="20"/>
              </w:rPr>
            </w:pPr>
            <w:r w:rsidRPr="00154588">
              <w:rPr>
                <w:bCs/>
                <w:sz w:val="20"/>
                <w:szCs w:val="20"/>
              </w:rPr>
              <w:t>(b) autoritatea competentă a entității din grup care primește sprijinul financiar; și</w:t>
            </w:r>
          </w:p>
          <w:p w14:paraId="3BBCB229" w14:textId="77777777" w:rsidR="00DE6561" w:rsidRPr="00154588" w:rsidRDefault="00DE6561" w:rsidP="008C12B4">
            <w:pPr>
              <w:jc w:val="both"/>
              <w:rPr>
                <w:bCs/>
                <w:sz w:val="20"/>
                <w:szCs w:val="20"/>
              </w:rPr>
            </w:pPr>
          </w:p>
          <w:p w14:paraId="48D354C5" w14:textId="02CC9856" w:rsidR="00DE6561" w:rsidRPr="00154588" w:rsidRDefault="00DE6561" w:rsidP="008C12B4">
            <w:pPr>
              <w:jc w:val="both"/>
              <w:rPr>
                <w:bCs/>
                <w:sz w:val="20"/>
                <w:szCs w:val="20"/>
              </w:rPr>
            </w:pPr>
            <w:r w:rsidRPr="00154588">
              <w:rPr>
                <w:bCs/>
                <w:sz w:val="20"/>
                <w:szCs w:val="20"/>
              </w:rPr>
              <w:t>(c) ABE.</w:t>
            </w:r>
          </w:p>
          <w:p w14:paraId="6E67D7F0" w14:textId="77777777" w:rsidR="00DE6561" w:rsidRPr="00154588" w:rsidRDefault="00DE6561" w:rsidP="008C12B4">
            <w:pPr>
              <w:jc w:val="both"/>
              <w:rPr>
                <w:bCs/>
                <w:sz w:val="20"/>
                <w:szCs w:val="20"/>
              </w:rPr>
            </w:pPr>
          </w:p>
          <w:p w14:paraId="1C2A5943" w14:textId="20D4123E" w:rsidR="00DE6561" w:rsidRPr="00154588" w:rsidRDefault="00DE6561" w:rsidP="008C12B4">
            <w:pPr>
              <w:jc w:val="both"/>
              <w:rPr>
                <w:bCs/>
                <w:sz w:val="20"/>
                <w:szCs w:val="20"/>
              </w:rPr>
            </w:pPr>
            <w:r w:rsidRPr="00154588">
              <w:rPr>
                <w:bCs/>
                <w:sz w:val="20"/>
                <w:szCs w:val="20"/>
              </w:rPr>
              <w:t>Supraveghetorul consolidant informează imediat pe ceilalți membri ai colegiului de supraveghere și pe membrii colegiului de rezoluție.</w:t>
            </w:r>
          </w:p>
        </w:tc>
        <w:tc>
          <w:tcPr>
            <w:tcW w:w="4819" w:type="dxa"/>
          </w:tcPr>
          <w:p w14:paraId="6F217D22" w14:textId="77777777" w:rsidR="00DE6561" w:rsidRPr="00154588" w:rsidRDefault="00DE6561"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33</w:t>
            </w:r>
            <w:r w:rsidRPr="00154588">
              <w:rPr>
                <w:rFonts w:eastAsia="Calibri"/>
                <w:b/>
                <w:sz w:val="20"/>
                <w:szCs w:val="20"/>
              </w:rPr>
              <w:t xml:space="preserve">. </w:t>
            </w:r>
            <w:r w:rsidRPr="00154588">
              <w:rPr>
                <w:rFonts w:eastAsia="Calibri"/>
                <w:sz w:val="20"/>
                <w:szCs w:val="20"/>
              </w:rPr>
              <w:t>– Banca Națională a Moldovei, în calitate de autoritate competentă la nivel individual a entității care furnizează sprijin financiar, comunică fără întârziere decizia privind aprobarea, interzicerea sau limitarea sprijinului financiar către:</w:t>
            </w:r>
          </w:p>
          <w:p w14:paraId="72CA6A2C" w14:textId="77777777" w:rsidR="00DE6561" w:rsidRPr="00154588" w:rsidRDefault="00DE6561" w:rsidP="008C12B4">
            <w:pPr>
              <w:ind w:firstLine="567"/>
              <w:jc w:val="both"/>
              <w:rPr>
                <w:rFonts w:eastAsia="Calibri"/>
                <w:sz w:val="20"/>
                <w:szCs w:val="20"/>
              </w:rPr>
            </w:pPr>
            <w:r w:rsidRPr="00154588">
              <w:rPr>
                <w:rFonts w:eastAsia="Calibri"/>
                <w:sz w:val="20"/>
                <w:szCs w:val="20"/>
              </w:rPr>
              <w:t>a) supraveghetorul consolidant, dacă este diferit;</w:t>
            </w:r>
          </w:p>
          <w:p w14:paraId="5A581EAE" w14:textId="77777777" w:rsidR="00DE6561" w:rsidRPr="00154588" w:rsidRDefault="00DE6561" w:rsidP="008C12B4">
            <w:pPr>
              <w:ind w:left="567"/>
              <w:jc w:val="both"/>
              <w:rPr>
                <w:rFonts w:eastAsia="Calibri"/>
                <w:sz w:val="20"/>
                <w:szCs w:val="20"/>
              </w:rPr>
            </w:pPr>
            <w:r w:rsidRPr="00154588">
              <w:rPr>
                <w:rFonts w:eastAsia="Calibri"/>
                <w:sz w:val="20"/>
                <w:szCs w:val="20"/>
              </w:rPr>
              <w:t>b) autoritatea competentă a entității din grup care beneficiază de sprijinul financiar; și</w:t>
            </w:r>
          </w:p>
          <w:p w14:paraId="1ECA1B8D" w14:textId="33B6AB14" w:rsidR="00DE6561" w:rsidRPr="00154588" w:rsidRDefault="00DE6561" w:rsidP="008C12B4">
            <w:pPr>
              <w:ind w:firstLine="567"/>
              <w:jc w:val="both"/>
              <w:rPr>
                <w:sz w:val="20"/>
                <w:szCs w:val="20"/>
              </w:rPr>
            </w:pPr>
            <w:r w:rsidRPr="00154588">
              <w:rPr>
                <w:rFonts w:eastAsia="Calibri"/>
                <w:sz w:val="20"/>
                <w:szCs w:val="20"/>
              </w:rPr>
              <w:t>c) Autoritatea Bancară Europeană.</w:t>
            </w:r>
          </w:p>
        </w:tc>
        <w:tc>
          <w:tcPr>
            <w:tcW w:w="2552" w:type="dxa"/>
          </w:tcPr>
          <w:p w14:paraId="05EC2028" w14:textId="50C420B7" w:rsidR="00DE6561" w:rsidRPr="00154588" w:rsidRDefault="00DE6561" w:rsidP="008C12B4">
            <w:pPr>
              <w:jc w:val="both"/>
              <w:rPr>
                <w:bCs/>
                <w:sz w:val="20"/>
                <w:szCs w:val="20"/>
              </w:rPr>
            </w:pPr>
            <w:r w:rsidRPr="00154588">
              <w:rPr>
                <w:bCs/>
                <w:sz w:val="20"/>
                <w:szCs w:val="20"/>
              </w:rPr>
              <w:t>Compatibil</w:t>
            </w:r>
          </w:p>
        </w:tc>
        <w:tc>
          <w:tcPr>
            <w:tcW w:w="3118" w:type="dxa"/>
          </w:tcPr>
          <w:p w14:paraId="4E9A5621" w14:textId="0FAFFD3A" w:rsidR="00DE6561" w:rsidRPr="00154588" w:rsidRDefault="00DE6561" w:rsidP="008C12B4">
            <w:pPr>
              <w:jc w:val="both"/>
              <w:rPr>
                <w:bCs/>
                <w:sz w:val="20"/>
                <w:szCs w:val="20"/>
              </w:rPr>
            </w:pPr>
            <w:r w:rsidRPr="00154588">
              <w:rPr>
                <w:bCs/>
                <w:sz w:val="20"/>
                <w:szCs w:val="20"/>
              </w:rPr>
              <w:t xml:space="preserve">Textul „Supraveghetorul consolidant informează imediat pe ceilalți membri ai colegiului de supraveghere și pe membrii colegiului de rezoluție.” Este transpus în </w:t>
            </w:r>
            <w:r w:rsidRPr="00154588">
              <w:rPr>
                <w:b/>
                <w:sz w:val="20"/>
                <w:szCs w:val="20"/>
              </w:rPr>
              <w:t>secțiunea a 7 la art. 41</w:t>
            </w:r>
            <w:r w:rsidRPr="00154588">
              <w:rPr>
                <w:b/>
                <w:sz w:val="20"/>
                <w:szCs w:val="20"/>
                <w:vertAlign w:val="superscript"/>
              </w:rPr>
              <w:t>36</w:t>
            </w:r>
          </w:p>
        </w:tc>
      </w:tr>
      <w:tr w:rsidR="00DE6561" w:rsidRPr="00154588" w14:paraId="37DE2F3E" w14:textId="77777777" w:rsidTr="00D15C1B">
        <w:trPr>
          <w:jc w:val="center"/>
        </w:trPr>
        <w:tc>
          <w:tcPr>
            <w:tcW w:w="4957" w:type="dxa"/>
            <w:gridSpan w:val="2"/>
          </w:tcPr>
          <w:p w14:paraId="20FEF2FF" w14:textId="272E75BB" w:rsidR="00DE6561" w:rsidRPr="00154588" w:rsidRDefault="00DE6561" w:rsidP="008C12B4">
            <w:pPr>
              <w:jc w:val="both"/>
              <w:rPr>
                <w:bCs/>
                <w:sz w:val="20"/>
                <w:szCs w:val="20"/>
              </w:rPr>
            </w:pPr>
            <w:r w:rsidRPr="00154588">
              <w:rPr>
                <w:bCs/>
                <w:sz w:val="20"/>
                <w:szCs w:val="20"/>
              </w:rPr>
              <w:t xml:space="preserve">(4)   Dacă supraveghetorul consolidant sau autoritatea competentă care răspunde de entitatea din grup beneficiară </w:t>
            </w:r>
            <w:r w:rsidRPr="00154588">
              <w:rPr>
                <w:bCs/>
                <w:sz w:val="20"/>
                <w:szCs w:val="20"/>
              </w:rPr>
              <w:lastRenderedPageBreak/>
              <w:t>a sprijinului au obiecții privind decizia de interzicere sau de limitare a sprijinului financiar, ele pot sesiza ABE în termen de două zile și pot solicita asistența acesteia în conformitate cu articolul 31 din Regulamentul (UE) nr. 1093/2010.</w:t>
            </w:r>
          </w:p>
        </w:tc>
        <w:tc>
          <w:tcPr>
            <w:tcW w:w="4819" w:type="dxa"/>
          </w:tcPr>
          <w:p w14:paraId="3DBA04D3" w14:textId="0DE4F987" w:rsidR="00DE6561" w:rsidRPr="00154588" w:rsidRDefault="00DE6561" w:rsidP="008C12B4">
            <w:pPr>
              <w:jc w:val="center"/>
              <w:rPr>
                <w:bCs/>
                <w:sz w:val="20"/>
                <w:szCs w:val="20"/>
              </w:rPr>
            </w:pPr>
            <w:r w:rsidRPr="00154588">
              <w:rPr>
                <w:bCs/>
                <w:sz w:val="20"/>
                <w:szCs w:val="20"/>
              </w:rPr>
              <w:lastRenderedPageBreak/>
              <w:t>-</w:t>
            </w:r>
          </w:p>
        </w:tc>
        <w:tc>
          <w:tcPr>
            <w:tcW w:w="2552" w:type="dxa"/>
          </w:tcPr>
          <w:p w14:paraId="59E508CB" w14:textId="77777777" w:rsidR="00DE6561" w:rsidRPr="00154588" w:rsidRDefault="00DE6561" w:rsidP="008C12B4">
            <w:pPr>
              <w:jc w:val="both"/>
              <w:rPr>
                <w:bCs/>
                <w:sz w:val="20"/>
                <w:szCs w:val="20"/>
              </w:rPr>
            </w:pPr>
          </w:p>
        </w:tc>
        <w:tc>
          <w:tcPr>
            <w:tcW w:w="3118" w:type="dxa"/>
          </w:tcPr>
          <w:p w14:paraId="428F2F3C" w14:textId="53CD8144" w:rsidR="00DE6561" w:rsidRPr="00154588" w:rsidRDefault="00DE6561" w:rsidP="008C12B4">
            <w:pPr>
              <w:jc w:val="both"/>
              <w:rPr>
                <w:bCs/>
                <w:sz w:val="20"/>
                <w:szCs w:val="20"/>
              </w:rPr>
            </w:pPr>
            <w:r w:rsidRPr="00154588">
              <w:rPr>
                <w:bCs/>
                <w:sz w:val="20"/>
                <w:szCs w:val="20"/>
              </w:rPr>
              <w:t xml:space="preserve">Este transpus în </w:t>
            </w:r>
            <w:r w:rsidRPr="00154588">
              <w:rPr>
                <w:b/>
                <w:sz w:val="20"/>
                <w:szCs w:val="20"/>
              </w:rPr>
              <w:t>secțiunea a 7 la art. 41</w:t>
            </w:r>
            <w:r w:rsidRPr="00154588">
              <w:rPr>
                <w:b/>
                <w:sz w:val="20"/>
                <w:szCs w:val="20"/>
                <w:vertAlign w:val="superscript"/>
              </w:rPr>
              <w:t>37</w:t>
            </w:r>
          </w:p>
        </w:tc>
      </w:tr>
      <w:tr w:rsidR="00DE6561" w:rsidRPr="00154588" w14:paraId="10229F6C" w14:textId="77777777" w:rsidTr="00D15C1B">
        <w:trPr>
          <w:jc w:val="center"/>
        </w:trPr>
        <w:tc>
          <w:tcPr>
            <w:tcW w:w="4957" w:type="dxa"/>
            <w:gridSpan w:val="2"/>
          </w:tcPr>
          <w:p w14:paraId="3E6855B3" w14:textId="4C6C7A44" w:rsidR="00DE6561" w:rsidRPr="00154588" w:rsidRDefault="00DE6561" w:rsidP="008C12B4">
            <w:pPr>
              <w:jc w:val="both"/>
              <w:rPr>
                <w:bCs/>
                <w:sz w:val="20"/>
                <w:szCs w:val="20"/>
              </w:rPr>
            </w:pPr>
            <w:r w:rsidRPr="00154588">
              <w:rPr>
                <w:bCs/>
                <w:sz w:val="20"/>
                <w:szCs w:val="20"/>
              </w:rPr>
              <w:t>(5)   În cazul în care autoritatea competentă nu interzice sau nu limitează sprijinul financiar în termenul prevăzut la alineatul (2), sau a fost de acord cu acel sprijin înainte de sfârșitul acelei perioade, acesta poate fi acordat în conformitate cu condițiile prezentate autorității competente.</w:t>
            </w:r>
          </w:p>
        </w:tc>
        <w:tc>
          <w:tcPr>
            <w:tcW w:w="4819" w:type="dxa"/>
          </w:tcPr>
          <w:p w14:paraId="4BC5E699" w14:textId="359DC0A2" w:rsidR="00DE6561" w:rsidRPr="00154588" w:rsidRDefault="00DE6561" w:rsidP="008C12B4">
            <w:pPr>
              <w:ind w:firstLine="567"/>
              <w:jc w:val="both"/>
              <w:rPr>
                <w:rFonts w:eastAsia="Calibri"/>
                <w:sz w:val="24"/>
                <w:szCs w:val="24"/>
              </w:rPr>
            </w:pPr>
            <w:r w:rsidRPr="00154588">
              <w:rPr>
                <w:rFonts w:eastAsia="Calibri"/>
                <w:b/>
                <w:sz w:val="20"/>
                <w:szCs w:val="20"/>
              </w:rPr>
              <w:t>Articolul 41</w:t>
            </w:r>
            <w:r w:rsidRPr="00154588">
              <w:rPr>
                <w:rFonts w:eastAsia="Calibri"/>
                <w:b/>
                <w:sz w:val="20"/>
                <w:szCs w:val="20"/>
                <w:vertAlign w:val="superscript"/>
              </w:rPr>
              <w:t>34</w:t>
            </w:r>
            <w:r w:rsidRPr="00154588">
              <w:rPr>
                <w:rFonts w:eastAsia="Calibri"/>
                <w:b/>
                <w:sz w:val="20"/>
                <w:szCs w:val="20"/>
              </w:rPr>
              <w:t>.</w:t>
            </w:r>
            <w:r w:rsidRPr="00154588">
              <w:rPr>
                <w:rFonts w:eastAsia="Calibri"/>
                <w:sz w:val="20"/>
                <w:szCs w:val="20"/>
              </w:rPr>
              <w:t xml:space="preserve"> – În cazul în care Banca Națională a Moldovei, în calitate de autoritate competentă la nivel individual a entității care furnizează sprijin financiar, nu interzice sau nu limitează sprijinul financiar în termenul de cinci zile lucrătoare sau a fost de acord cu acel sprijin înainte de termen, sprijinul financiar poate fi acordat în conformitate cu condițiile prezentate acesteia.</w:t>
            </w:r>
          </w:p>
        </w:tc>
        <w:tc>
          <w:tcPr>
            <w:tcW w:w="2552" w:type="dxa"/>
          </w:tcPr>
          <w:p w14:paraId="7BB30C6F" w14:textId="0F27FE3A" w:rsidR="00DE6561" w:rsidRPr="00154588" w:rsidRDefault="00DE6561" w:rsidP="008C12B4">
            <w:pPr>
              <w:jc w:val="both"/>
              <w:rPr>
                <w:bCs/>
                <w:sz w:val="20"/>
                <w:szCs w:val="20"/>
              </w:rPr>
            </w:pPr>
            <w:r w:rsidRPr="00154588">
              <w:rPr>
                <w:bCs/>
                <w:sz w:val="20"/>
                <w:szCs w:val="20"/>
              </w:rPr>
              <w:t>Compatibil</w:t>
            </w:r>
          </w:p>
        </w:tc>
        <w:tc>
          <w:tcPr>
            <w:tcW w:w="3118" w:type="dxa"/>
          </w:tcPr>
          <w:p w14:paraId="1EF10487" w14:textId="77777777" w:rsidR="00DE6561" w:rsidRPr="00154588" w:rsidRDefault="00DE6561" w:rsidP="008C12B4">
            <w:pPr>
              <w:jc w:val="both"/>
              <w:rPr>
                <w:bCs/>
                <w:sz w:val="20"/>
                <w:szCs w:val="20"/>
              </w:rPr>
            </w:pPr>
          </w:p>
        </w:tc>
      </w:tr>
      <w:tr w:rsidR="00DE6561" w:rsidRPr="00154588" w14:paraId="6A243BB2" w14:textId="77777777" w:rsidTr="00D15C1B">
        <w:trPr>
          <w:jc w:val="center"/>
        </w:trPr>
        <w:tc>
          <w:tcPr>
            <w:tcW w:w="4957" w:type="dxa"/>
            <w:gridSpan w:val="2"/>
          </w:tcPr>
          <w:p w14:paraId="3168BCFA" w14:textId="16FBE08C" w:rsidR="00DE6561" w:rsidRPr="00154588" w:rsidRDefault="00DE6561" w:rsidP="008C12B4">
            <w:pPr>
              <w:tabs>
                <w:tab w:val="left" w:pos="914"/>
              </w:tabs>
              <w:jc w:val="both"/>
              <w:rPr>
                <w:bCs/>
                <w:sz w:val="20"/>
                <w:szCs w:val="20"/>
              </w:rPr>
            </w:pPr>
            <w:r w:rsidRPr="00154588">
              <w:rPr>
                <w:bCs/>
                <w:sz w:val="20"/>
                <w:szCs w:val="20"/>
              </w:rPr>
              <w:t>(6) Decizia organului de conducere al instituției de a furniza sprijin financiar se transmite către:</w:t>
            </w:r>
          </w:p>
          <w:p w14:paraId="2C0FFEBE" w14:textId="77777777" w:rsidR="00DE6561" w:rsidRPr="00154588" w:rsidRDefault="00DE6561" w:rsidP="008C12B4">
            <w:pPr>
              <w:tabs>
                <w:tab w:val="left" w:pos="914"/>
              </w:tabs>
              <w:jc w:val="both"/>
              <w:rPr>
                <w:bCs/>
                <w:sz w:val="20"/>
                <w:szCs w:val="20"/>
              </w:rPr>
            </w:pPr>
          </w:p>
          <w:p w14:paraId="54B6E3B0" w14:textId="57E214D1" w:rsidR="00DE6561" w:rsidRPr="00154588" w:rsidRDefault="00DE6561" w:rsidP="008C12B4">
            <w:pPr>
              <w:tabs>
                <w:tab w:val="left" w:pos="914"/>
              </w:tabs>
              <w:jc w:val="both"/>
              <w:rPr>
                <w:bCs/>
                <w:sz w:val="20"/>
                <w:szCs w:val="20"/>
              </w:rPr>
            </w:pPr>
            <w:r w:rsidRPr="00154588">
              <w:rPr>
                <w:bCs/>
                <w:sz w:val="20"/>
                <w:szCs w:val="20"/>
              </w:rPr>
              <w:t>(a) autoritatea competentă;</w:t>
            </w:r>
          </w:p>
          <w:p w14:paraId="0749C250" w14:textId="77777777" w:rsidR="00DE6561" w:rsidRPr="00154588" w:rsidRDefault="00DE6561" w:rsidP="008C12B4">
            <w:pPr>
              <w:tabs>
                <w:tab w:val="left" w:pos="914"/>
              </w:tabs>
              <w:jc w:val="both"/>
              <w:rPr>
                <w:bCs/>
                <w:sz w:val="20"/>
                <w:szCs w:val="20"/>
              </w:rPr>
            </w:pPr>
          </w:p>
          <w:p w14:paraId="0A090E8A" w14:textId="17456FBB" w:rsidR="00DE6561" w:rsidRPr="00154588" w:rsidRDefault="00DE6561" w:rsidP="008C12B4">
            <w:pPr>
              <w:tabs>
                <w:tab w:val="left" w:pos="914"/>
              </w:tabs>
              <w:jc w:val="both"/>
              <w:rPr>
                <w:bCs/>
                <w:sz w:val="20"/>
                <w:szCs w:val="20"/>
              </w:rPr>
            </w:pPr>
            <w:r w:rsidRPr="00154588">
              <w:rPr>
                <w:bCs/>
                <w:sz w:val="20"/>
                <w:szCs w:val="20"/>
              </w:rPr>
              <w:t>(b) dacă este vorba de o autoritate distinctă de autoritățile menționate la literele (a) și (c), după caz, supraveghetorul consolidant;</w:t>
            </w:r>
          </w:p>
          <w:p w14:paraId="187F76F0" w14:textId="77777777" w:rsidR="00DE6561" w:rsidRPr="00154588" w:rsidRDefault="00DE6561" w:rsidP="008C12B4">
            <w:pPr>
              <w:tabs>
                <w:tab w:val="left" w:pos="914"/>
              </w:tabs>
              <w:jc w:val="both"/>
              <w:rPr>
                <w:bCs/>
                <w:sz w:val="20"/>
                <w:szCs w:val="20"/>
              </w:rPr>
            </w:pPr>
          </w:p>
          <w:p w14:paraId="1621E958" w14:textId="5DDC13FA" w:rsidR="00DE6561" w:rsidRPr="00154588" w:rsidRDefault="00DE6561" w:rsidP="008C12B4">
            <w:pPr>
              <w:tabs>
                <w:tab w:val="left" w:pos="914"/>
              </w:tabs>
              <w:jc w:val="both"/>
              <w:rPr>
                <w:bCs/>
                <w:sz w:val="20"/>
                <w:szCs w:val="20"/>
              </w:rPr>
            </w:pPr>
            <w:r w:rsidRPr="00154588">
              <w:rPr>
                <w:bCs/>
                <w:sz w:val="20"/>
                <w:szCs w:val="20"/>
              </w:rPr>
              <w:t>(c) dacă este vorba de o autoritate distinctă de autoritățile menționate la literele (a) și (b), autoritatea competentă a entității din grup care primește sprijinul financiar; și</w:t>
            </w:r>
          </w:p>
          <w:p w14:paraId="2E019FD3" w14:textId="77777777" w:rsidR="00DE6561" w:rsidRPr="00154588" w:rsidRDefault="00DE6561" w:rsidP="008C12B4">
            <w:pPr>
              <w:tabs>
                <w:tab w:val="left" w:pos="914"/>
              </w:tabs>
              <w:jc w:val="both"/>
              <w:rPr>
                <w:bCs/>
                <w:sz w:val="20"/>
                <w:szCs w:val="20"/>
              </w:rPr>
            </w:pPr>
          </w:p>
          <w:p w14:paraId="03A3E646" w14:textId="5EF73CC1" w:rsidR="00DE6561" w:rsidRPr="00154588" w:rsidRDefault="00DE6561" w:rsidP="008C12B4">
            <w:pPr>
              <w:tabs>
                <w:tab w:val="left" w:pos="914"/>
              </w:tabs>
              <w:jc w:val="both"/>
              <w:rPr>
                <w:bCs/>
                <w:sz w:val="20"/>
                <w:szCs w:val="20"/>
              </w:rPr>
            </w:pPr>
            <w:r w:rsidRPr="00154588">
              <w:rPr>
                <w:bCs/>
                <w:sz w:val="20"/>
                <w:szCs w:val="20"/>
              </w:rPr>
              <w:t>(d) ABE.</w:t>
            </w:r>
          </w:p>
          <w:p w14:paraId="41C5B517" w14:textId="77777777" w:rsidR="00DE6561" w:rsidRPr="00154588" w:rsidRDefault="00DE6561" w:rsidP="008C12B4">
            <w:pPr>
              <w:tabs>
                <w:tab w:val="left" w:pos="914"/>
              </w:tabs>
              <w:jc w:val="both"/>
              <w:rPr>
                <w:bCs/>
                <w:sz w:val="20"/>
                <w:szCs w:val="20"/>
              </w:rPr>
            </w:pPr>
          </w:p>
          <w:p w14:paraId="30DFDBA7" w14:textId="58C10CE5" w:rsidR="00DE6561" w:rsidRPr="00154588" w:rsidRDefault="00DE6561" w:rsidP="008C12B4">
            <w:pPr>
              <w:tabs>
                <w:tab w:val="left" w:pos="914"/>
              </w:tabs>
              <w:jc w:val="both"/>
              <w:rPr>
                <w:bCs/>
                <w:sz w:val="20"/>
                <w:szCs w:val="20"/>
              </w:rPr>
            </w:pPr>
            <w:r w:rsidRPr="00154588">
              <w:rPr>
                <w:bCs/>
                <w:sz w:val="20"/>
                <w:szCs w:val="20"/>
              </w:rPr>
              <w:t>Supraveghetorul consolidant informează imediat pe ceilalți membri ai colegiului de supraveghere și pe membrii colegiului de rezoluție.</w:t>
            </w:r>
            <w:r w:rsidRPr="00154588">
              <w:rPr>
                <w:bCs/>
                <w:sz w:val="20"/>
                <w:szCs w:val="20"/>
              </w:rPr>
              <w:tab/>
            </w:r>
          </w:p>
        </w:tc>
        <w:tc>
          <w:tcPr>
            <w:tcW w:w="4819" w:type="dxa"/>
          </w:tcPr>
          <w:p w14:paraId="1211DBAA" w14:textId="77777777" w:rsidR="00DE6561" w:rsidRPr="00154588" w:rsidRDefault="00DE6561"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35</w:t>
            </w:r>
            <w:r w:rsidRPr="00154588">
              <w:rPr>
                <w:rFonts w:eastAsia="Calibri"/>
                <w:sz w:val="20"/>
                <w:szCs w:val="20"/>
              </w:rPr>
              <w:t>. – Decizia organului de conducere al instituției, persoană juridică din Republica Moldova, de a furniza sprijin financiar se transmite:</w:t>
            </w:r>
          </w:p>
          <w:p w14:paraId="5224CDD7" w14:textId="77777777" w:rsidR="00DE6561" w:rsidRPr="00154588" w:rsidRDefault="00DE6561" w:rsidP="008C12B4">
            <w:pPr>
              <w:ind w:firstLine="567"/>
              <w:jc w:val="both"/>
              <w:rPr>
                <w:rFonts w:eastAsia="Calibri"/>
                <w:sz w:val="20"/>
                <w:szCs w:val="20"/>
              </w:rPr>
            </w:pPr>
            <w:r w:rsidRPr="00154588">
              <w:rPr>
                <w:rFonts w:eastAsia="Calibri"/>
                <w:sz w:val="20"/>
                <w:szCs w:val="20"/>
              </w:rPr>
              <w:t>a) Băncii Naționale a Moldovei;</w:t>
            </w:r>
          </w:p>
          <w:p w14:paraId="68F99D13" w14:textId="77777777" w:rsidR="00DE6561" w:rsidRPr="00154588" w:rsidRDefault="00DE6561" w:rsidP="008C12B4">
            <w:pPr>
              <w:ind w:firstLine="567"/>
              <w:jc w:val="both"/>
              <w:rPr>
                <w:rFonts w:eastAsia="Calibri"/>
                <w:sz w:val="20"/>
                <w:szCs w:val="20"/>
              </w:rPr>
            </w:pPr>
            <w:r w:rsidRPr="00154588">
              <w:rPr>
                <w:rFonts w:eastAsia="Calibri"/>
                <w:sz w:val="20"/>
                <w:szCs w:val="20"/>
              </w:rPr>
              <w:t>b) supraveghetorului consolidant, dacă este autoritate distinctă de autoritățile prevăzute la lit. a) și c), după caz;</w:t>
            </w:r>
          </w:p>
          <w:p w14:paraId="4B0BD84A" w14:textId="77777777" w:rsidR="00DE6561" w:rsidRPr="00154588" w:rsidRDefault="00DE6561" w:rsidP="008C12B4">
            <w:pPr>
              <w:ind w:firstLine="567"/>
              <w:jc w:val="both"/>
              <w:rPr>
                <w:rFonts w:eastAsia="Calibri"/>
                <w:sz w:val="20"/>
                <w:szCs w:val="20"/>
              </w:rPr>
            </w:pPr>
            <w:r w:rsidRPr="00154588">
              <w:rPr>
                <w:rFonts w:eastAsia="Calibri"/>
                <w:sz w:val="20"/>
                <w:szCs w:val="20"/>
              </w:rPr>
              <w:t>c) autorității competente a entității din grup care beneficiază de sprijinul financiar, dacă este autoritate distinctă de autoritățile prevăzute la lit.a) și b);</w:t>
            </w:r>
          </w:p>
          <w:p w14:paraId="1D13C840" w14:textId="23D8DBD2" w:rsidR="00DE6561" w:rsidRPr="00154588" w:rsidRDefault="00DE6561" w:rsidP="008C12B4">
            <w:pPr>
              <w:ind w:firstLine="567"/>
              <w:jc w:val="both"/>
              <w:rPr>
                <w:rFonts w:eastAsia="Calibri"/>
                <w:sz w:val="24"/>
                <w:szCs w:val="24"/>
              </w:rPr>
            </w:pPr>
            <w:r w:rsidRPr="00154588">
              <w:rPr>
                <w:rFonts w:eastAsia="Calibri"/>
                <w:sz w:val="20"/>
                <w:szCs w:val="20"/>
              </w:rPr>
              <w:t>d) Autorității Bancare Europene.</w:t>
            </w:r>
          </w:p>
        </w:tc>
        <w:tc>
          <w:tcPr>
            <w:tcW w:w="2552" w:type="dxa"/>
          </w:tcPr>
          <w:p w14:paraId="6B5339E0" w14:textId="67E0F9CB" w:rsidR="00DE6561" w:rsidRPr="00154588" w:rsidRDefault="00DE6561" w:rsidP="008C12B4">
            <w:pPr>
              <w:jc w:val="both"/>
              <w:rPr>
                <w:bCs/>
                <w:sz w:val="20"/>
                <w:szCs w:val="20"/>
              </w:rPr>
            </w:pPr>
            <w:r w:rsidRPr="00154588">
              <w:rPr>
                <w:bCs/>
                <w:sz w:val="20"/>
                <w:szCs w:val="20"/>
              </w:rPr>
              <w:t>Compatibil</w:t>
            </w:r>
          </w:p>
        </w:tc>
        <w:tc>
          <w:tcPr>
            <w:tcW w:w="3118" w:type="dxa"/>
          </w:tcPr>
          <w:p w14:paraId="72E02AB4" w14:textId="400BBE72" w:rsidR="00DE6561" w:rsidRPr="00154588" w:rsidRDefault="00C92E02" w:rsidP="008C12B4">
            <w:pPr>
              <w:jc w:val="both"/>
              <w:rPr>
                <w:bCs/>
                <w:sz w:val="20"/>
                <w:szCs w:val="20"/>
              </w:rPr>
            </w:pPr>
            <w:r w:rsidRPr="00154588">
              <w:rPr>
                <w:bCs/>
                <w:sz w:val="20"/>
                <w:szCs w:val="20"/>
              </w:rPr>
              <w:t xml:space="preserve">Textul „Supraveghetorul consolidant informează imediat pe ceilalți membri ai colegiului de supraveghere și pe membrii colegiului de rezoluție.” Este transpus în </w:t>
            </w:r>
            <w:r w:rsidRPr="00154588">
              <w:rPr>
                <w:b/>
                <w:sz w:val="20"/>
                <w:szCs w:val="20"/>
              </w:rPr>
              <w:t>secțiunea a 7 la art.41</w:t>
            </w:r>
            <w:r w:rsidRPr="00154588">
              <w:rPr>
                <w:b/>
                <w:sz w:val="20"/>
                <w:szCs w:val="20"/>
                <w:vertAlign w:val="superscript"/>
              </w:rPr>
              <w:t>38</w:t>
            </w:r>
          </w:p>
        </w:tc>
      </w:tr>
      <w:tr w:rsidR="00DE6561" w:rsidRPr="00154588" w14:paraId="340DBC76" w14:textId="77777777" w:rsidTr="00D15C1B">
        <w:trPr>
          <w:jc w:val="center"/>
        </w:trPr>
        <w:tc>
          <w:tcPr>
            <w:tcW w:w="4957" w:type="dxa"/>
            <w:gridSpan w:val="2"/>
          </w:tcPr>
          <w:p w14:paraId="571A1587" w14:textId="5BA1C2C3" w:rsidR="00DE6561" w:rsidRPr="00154588" w:rsidRDefault="00DE6561" w:rsidP="008C12B4">
            <w:pPr>
              <w:jc w:val="both"/>
              <w:rPr>
                <w:bCs/>
                <w:sz w:val="20"/>
                <w:szCs w:val="20"/>
              </w:rPr>
            </w:pPr>
            <w:r w:rsidRPr="00154588">
              <w:rPr>
                <w:bCs/>
                <w:sz w:val="20"/>
                <w:szCs w:val="20"/>
              </w:rPr>
              <w:t>(7)   Dacă autoritatea competentă limitează sau interzice sprijinul financiar la nivel de grup în temeiul alineatului (2) din prezentul articol și dacă planul de redresare la nivel de grup în conformitate cu articolul 7 alineatul (5) face referire la sprijinul financiar intragrup, autoritatea competentă a entității din grup pentru care sprijinul este refuzat sau interzis poate solicita supraveghetorului consolidant să lanseze o reevaluare a planului de redresare la nivel de grup în temeiul articolului 8 sau, dacă planul de redresare este întocmit cu titlu individual, să solicite entității din grup să prezinte un plan de redresare revizuit.</w:t>
            </w:r>
          </w:p>
        </w:tc>
        <w:tc>
          <w:tcPr>
            <w:tcW w:w="4819" w:type="dxa"/>
          </w:tcPr>
          <w:p w14:paraId="3065826B" w14:textId="54D58A3D" w:rsidR="00DE6561" w:rsidRPr="00154588" w:rsidRDefault="006B4FF3" w:rsidP="008C12B4">
            <w:pPr>
              <w:jc w:val="both"/>
              <w:rPr>
                <w:bCs/>
                <w:sz w:val="20"/>
                <w:szCs w:val="20"/>
              </w:rPr>
            </w:pPr>
            <w:r w:rsidRPr="00154588">
              <w:rPr>
                <w:bCs/>
                <w:sz w:val="20"/>
                <w:szCs w:val="20"/>
              </w:rPr>
              <w:t>-</w:t>
            </w:r>
          </w:p>
        </w:tc>
        <w:tc>
          <w:tcPr>
            <w:tcW w:w="2552" w:type="dxa"/>
          </w:tcPr>
          <w:p w14:paraId="2D3E1F86" w14:textId="7562E188" w:rsidR="00DE6561" w:rsidRPr="00154588" w:rsidRDefault="00F350DC" w:rsidP="008C12B4">
            <w:pPr>
              <w:jc w:val="both"/>
              <w:rPr>
                <w:bCs/>
                <w:sz w:val="20"/>
                <w:szCs w:val="20"/>
              </w:rPr>
            </w:pPr>
            <w:r w:rsidRPr="00154588">
              <w:rPr>
                <w:bCs/>
                <w:sz w:val="20"/>
                <w:szCs w:val="20"/>
              </w:rPr>
              <w:t>Compatibil</w:t>
            </w:r>
          </w:p>
        </w:tc>
        <w:tc>
          <w:tcPr>
            <w:tcW w:w="3118" w:type="dxa"/>
          </w:tcPr>
          <w:p w14:paraId="434C1C2A" w14:textId="6BCB623E" w:rsidR="00DE6561" w:rsidRPr="00154588" w:rsidRDefault="00C92E02" w:rsidP="008C12B4">
            <w:pPr>
              <w:jc w:val="both"/>
              <w:rPr>
                <w:bCs/>
                <w:sz w:val="20"/>
                <w:szCs w:val="20"/>
              </w:rPr>
            </w:pPr>
            <w:r w:rsidRPr="00154588">
              <w:rPr>
                <w:bCs/>
                <w:sz w:val="20"/>
                <w:szCs w:val="20"/>
              </w:rPr>
              <w:t xml:space="preserve">Este transpus în </w:t>
            </w:r>
            <w:r w:rsidRPr="00154588">
              <w:rPr>
                <w:b/>
                <w:sz w:val="20"/>
                <w:szCs w:val="20"/>
              </w:rPr>
              <w:t>secțiunea a 7 la art. 41</w:t>
            </w:r>
            <w:r w:rsidRPr="00154588">
              <w:rPr>
                <w:b/>
                <w:sz w:val="20"/>
                <w:szCs w:val="20"/>
                <w:vertAlign w:val="superscript"/>
              </w:rPr>
              <w:t>39</w:t>
            </w:r>
          </w:p>
        </w:tc>
      </w:tr>
      <w:tr w:rsidR="008B7D81" w:rsidRPr="00154588" w14:paraId="6EFD58AE" w14:textId="77777777" w:rsidTr="00D15C1B">
        <w:trPr>
          <w:jc w:val="center"/>
        </w:trPr>
        <w:tc>
          <w:tcPr>
            <w:tcW w:w="4957" w:type="dxa"/>
            <w:gridSpan w:val="2"/>
          </w:tcPr>
          <w:p w14:paraId="643617BF" w14:textId="77777777" w:rsidR="008B7D81" w:rsidRPr="00154588" w:rsidRDefault="008B7D81" w:rsidP="008C12B4">
            <w:pPr>
              <w:jc w:val="both"/>
              <w:rPr>
                <w:bCs/>
                <w:sz w:val="20"/>
                <w:szCs w:val="20"/>
              </w:rPr>
            </w:pPr>
          </w:p>
        </w:tc>
        <w:tc>
          <w:tcPr>
            <w:tcW w:w="4819" w:type="dxa"/>
          </w:tcPr>
          <w:p w14:paraId="25D01AA8" w14:textId="77777777" w:rsidR="008B7D81" w:rsidRPr="00154588" w:rsidRDefault="008B7D81" w:rsidP="008C12B4">
            <w:pPr>
              <w:jc w:val="center"/>
              <w:rPr>
                <w:rFonts w:eastAsia="Calibri"/>
                <w:b/>
                <w:sz w:val="20"/>
                <w:szCs w:val="20"/>
              </w:rPr>
            </w:pPr>
            <w:r w:rsidRPr="00154588">
              <w:rPr>
                <w:rFonts w:eastAsia="Calibri"/>
                <w:b/>
                <w:sz w:val="20"/>
                <w:szCs w:val="20"/>
              </w:rPr>
              <w:t>Secţiunea a 7-a</w:t>
            </w:r>
          </w:p>
          <w:p w14:paraId="0A39F4AC" w14:textId="7DC63508" w:rsidR="008B7D81" w:rsidRPr="00154588" w:rsidRDefault="008B7D81" w:rsidP="008C12B4">
            <w:pPr>
              <w:jc w:val="center"/>
              <w:rPr>
                <w:rFonts w:eastAsia="Calibri"/>
                <w:b/>
                <w:sz w:val="20"/>
                <w:szCs w:val="20"/>
              </w:rPr>
            </w:pPr>
            <w:r w:rsidRPr="00154588">
              <w:rPr>
                <w:rFonts w:eastAsia="Calibri"/>
                <w:b/>
                <w:sz w:val="20"/>
                <w:szCs w:val="20"/>
              </w:rPr>
              <w:t>Competențele Băncii Naționale a Moldovei, în calitate de supraveghetor consolidant sau de autoritate competentă la nivel individual a entității beneficiare</w:t>
            </w:r>
          </w:p>
        </w:tc>
        <w:tc>
          <w:tcPr>
            <w:tcW w:w="2552" w:type="dxa"/>
          </w:tcPr>
          <w:p w14:paraId="6C6C2EBE" w14:textId="77777777" w:rsidR="008B7D81" w:rsidRPr="00154588" w:rsidRDefault="008B7D81" w:rsidP="008C12B4">
            <w:pPr>
              <w:jc w:val="both"/>
              <w:rPr>
                <w:bCs/>
                <w:sz w:val="20"/>
                <w:szCs w:val="20"/>
              </w:rPr>
            </w:pPr>
          </w:p>
        </w:tc>
        <w:tc>
          <w:tcPr>
            <w:tcW w:w="3118" w:type="dxa"/>
          </w:tcPr>
          <w:p w14:paraId="0D4A1B13" w14:textId="77777777" w:rsidR="008B7D81" w:rsidRPr="00154588" w:rsidRDefault="008B7D81" w:rsidP="008C12B4">
            <w:pPr>
              <w:jc w:val="both"/>
              <w:rPr>
                <w:bCs/>
                <w:sz w:val="20"/>
                <w:szCs w:val="20"/>
              </w:rPr>
            </w:pPr>
          </w:p>
        </w:tc>
      </w:tr>
      <w:tr w:rsidR="008B7D81" w:rsidRPr="00154588" w14:paraId="6286D32F" w14:textId="77777777" w:rsidTr="00D15C1B">
        <w:trPr>
          <w:jc w:val="center"/>
        </w:trPr>
        <w:tc>
          <w:tcPr>
            <w:tcW w:w="4957" w:type="dxa"/>
            <w:gridSpan w:val="2"/>
          </w:tcPr>
          <w:p w14:paraId="2E96264E" w14:textId="77777777" w:rsidR="008B7D81" w:rsidRPr="00154588" w:rsidRDefault="008B7D81" w:rsidP="008C12B4">
            <w:pPr>
              <w:rPr>
                <w:b/>
                <w:sz w:val="20"/>
                <w:szCs w:val="20"/>
              </w:rPr>
            </w:pPr>
            <w:r w:rsidRPr="00154588">
              <w:rPr>
                <w:b/>
                <w:sz w:val="20"/>
                <w:szCs w:val="20"/>
              </w:rPr>
              <w:lastRenderedPageBreak/>
              <w:t>Articolul 25 Dreptul de opoziție al autorităților competente</w:t>
            </w:r>
          </w:p>
          <w:p w14:paraId="3D199DE9" w14:textId="7329C4A0" w:rsidR="008B7D81" w:rsidRPr="00154588" w:rsidRDefault="008B7D81" w:rsidP="008C12B4">
            <w:pPr>
              <w:jc w:val="both"/>
              <w:rPr>
                <w:bCs/>
                <w:sz w:val="20"/>
                <w:szCs w:val="20"/>
              </w:rPr>
            </w:pPr>
            <w:r w:rsidRPr="00154588">
              <w:rPr>
                <w:bCs/>
                <w:sz w:val="20"/>
                <w:szCs w:val="20"/>
              </w:rPr>
              <w:t>(3)   (...)</w:t>
            </w:r>
          </w:p>
          <w:p w14:paraId="7094F540" w14:textId="1ACBC398" w:rsidR="008B7D81" w:rsidRPr="00154588" w:rsidRDefault="008B7D81" w:rsidP="008C12B4">
            <w:pPr>
              <w:rPr>
                <w:bCs/>
                <w:sz w:val="20"/>
                <w:szCs w:val="20"/>
              </w:rPr>
            </w:pPr>
            <w:r w:rsidRPr="00154588">
              <w:rPr>
                <w:bCs/>
                <w:sz w:val="20"/>
                <w:szCs w:val="20"/>
              </w:rPr>
              <w:t>Supraveghetorul consolidant informează imediat pe ceilalți membri ai colegiului de supraveghere și pe membrii colegiului de rezoluție.</w:t>
            </w:r>
          </w:p>
        </w:tc>
        <w:tc>
          <w:tcPr>
            <w:tcW w:w="4819" w:type="dxa"/>
          </w:tcPr>
          <w:p w14:paraId="1D9193CF" w14:textId="64E9C9A3" w:rsidR="008B7D81" w:rsidRPr="00154588" w:rsidRDefault="008B7D81"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36</w:t>
            </w:r>
            <w:r w:rsidRPr="00154588">
              <w:rPr>
                <w:rFonts w:eastAsia="Calibri"/>
                <w:sz w:val="20"/>
                <w:szCs w:val="20"/>
              </w:rPr>
              <w:t>. – Banca Națională a Moldovei, în calitate de supraveghetor consolidant, informează imediat pe ceilalți membri ai colegiului de supraveghere și membrilor colegiului de rezoluție decizia privind aprobarea, interzicerea sau limitarea sprijinului financiar, adoptată de autoritatea competentă a entității care furnizează sprijinul.</w:t>
            </w:r>
          </w:p>
        </w:tc>
        <w:tc>
          <w:tcPr>
            <w:tcW w:w="2552" w:type="dxa"/>
          </w:tcPr>
          <w:p w14:paraId="74E033E7" w14:textId="47A25F98" w:rsidR="008B7D81" w:rsidRPr="00154588" w:rsidRDefault="008B7D81" w:rsidP="008C12B4">
            <w:pPr>
              <w:jc w:val="both"/>
              <w:rPr>
                <w:bCs/>
                <w:sz w:val="20"/>
                <w:szCs w:val="20"/>
              </w:rPr>
            </w:pPr>
            <w:r w:rsidRPr="00154588">
              <w:rPr>
                <w:bCs/>
                <w:sz w:val="20"/>
                <w:szCs w:val="20"/>
              </w:rPr>
              <w:t>Compatibil</w:t>
            </w:r>
          </w:p>
        </w:tc>
        <w:tc>
          <w:tcPr>
            <w:tcW w:w="3118" w:type="dxa"/>
          </w:tcPr>
          <w:p w14:paraId="58341E9A" w14:textId="77777777" w:rsidR="008B7D81" w:rsidRPr="00154588" w:rsidRDefault="008B7D81" w:rsidP="008C12B4">
            <w:pPr>
              <w:jc w:val="both"/>
              <w:rPr>
                <w:bCs/>
                <w:sz w:val="20"/>
                <w:szCs w:val="20"/>
              </w:rPr>
            </w:pPr>
          </w:p>
        </w:tc>
      </w:tr>
      <w:tr w:rsidR="008B7D81" w:rsidRPr="00154588" w14:paraId="572F1135" w14:textId="77777777" w:rsidTr="00D15C1B">
        <w:trPr>
          <w:jc w:val="center"/>
        </w:trPr>
        <w:tc>
          <w:tcPr>
            <w:tcW w:w="4957" w:type="dxa"/>
            <w:gridSpan w:val="2"/>
          </w:tcPr>
          <w:p w14:paraId="795B5391" w14:textId="77678F83" w:rsidR="008B7D81" w:rsidRPr="00154588" w:rsidRDefault="008B7D81" w:rsidP="008C12B4">
            <w:pPr>
              <w:jc w:val="both"/>
              <w:rPr>
                <w:bCs/>
                <w:sz w:val="20"/>
                <w:szCs w:val="20"/>
              </w:rPr>
            </w:pPr>
            <w:r w:rsidRPr="00154588">
              <w:rPr>
                <w:bCs/>
                <w:sz w:val="20"/>
                <w:szCs w:val="20"/>
              </w:rPr>
              <w:t>(4)   Dacă supraveghetorul consolidant sau autoritatea competentă care răspunde de entitatea din grup beneficiară a sprijinului au obiecții privind decizia de interzicere sau de limitare a sprijinului financiar, ele pot sesiza ABE în termen de două zile și pot solicita asistența acesteia în conformitate cu articolul 31 din Regulamentul (UE) nr. 1093/2010.</w:t>
            </w:r>
          </w:p>
        </w:tc>
        <w:tc>
          <w:tcPr>
            <w:tcW w:w="4819" w:type="dxa"/>
          </w:tcPr>
          <w:p w14:paraId="3FA1DFC8" w14:textId="1950C772" w:rsidR="008B7D81" w:rsidRPr="00154588" w:rsidRDefault="008B7D81"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37</w:t>
            </w:r>
            <w:r w:rsidRPr="00154588">
              <w:rPr>
                <w:rFonts w:eastAsia="Calibri"/>
                <w:b/>
                <w:sz w:val="20"/>
                <w:szCs w:val="20"/>
              </w:rPr>
              <w:t xml:space="preserve">. </w:t>
            </w:r>
            <w:r w:rsidRPr="00154588">
              <w:rPr>
                <w:rFonts w:eastAsia="Calibri"/>
                <w:sz w:val="20"/>
                <w:szCs w:val="20"/>
              </w:rPr>
              <w:t>– În cazul în care are obiecții privind decizia de interzicere sau de limitare a sprijinului financiar luată de autoritatea competentă a entității din grup care furnizează sprijinul financiar, Banca Națională a Moldovei, în calitate de supraveghetor consolidant sau de autoritate competentă la nivel individual a entității din grup beneficiare a sprijinului financiar, poate sesiza Autoritatea Bancară Europeană și poate solicita asistența acesteia conform art.31 din Regulamentul (UE) nr.1093/2010, în termen de două zile de la primirea deciziei autorității competente a entității din grup care furnizează sprijinul financiar.</w:t>
            </w:r>
          </w:p>
        </w:tc>
        <w:tc>
          <w:tcPr>
            <w:tcW w:w="2552" w:type="dxa"/>
          </w:tcPr>
          <w:p w14:paraId="4012CA1B" w14:textId="74DD7225" w:rsidR="008B7D81" w:rsidRPr="00154588" w:rsidRDefault="008B7D81" w:rsidP="008C12B4">
            <w:pPr>
              <w:jc w:val="both"/>
              <w:rPr>
                <w:bCs/>
                <w:sz w:val="20"/>
                <w:szCs w:val="20"/>
              </w:rPr>
            </w:pPr>
            <w:r w:rsidRPr="00154588">
              <w:rPr>
                <w:bCs/>
                <w:sz w:val="20"/>
                <w:szCs w:val="20"/>
              </w:rPr>
              <w:t>Compatibil</w:t>
            </w:r>
          </w:p>
        </w:tc>
        <w:tc>
          <w:tcPr>
            <w:tcW w:w="3118" w:type="dxa"/>
          </w:tcPr>
          <w:p w14:paraId="2BE04E78" w14:textId="77777777" w:rsidR="008B7D81" w:rsidRPr="00154588" w:rsidRDefault="008B7D81" w:rsidP="008C12B4">
            <w:pPr>
              <w:jc w:val="both"/>
              <w:rPr>
                <w:bCs/>
                <w:sz w:val="20"/>
                <w:szCs w:val="20"/>
              </w:rPr>
            </w:pPr>
          </w:p>
        </w:tc>
      </w:tr>
      <w:tr w:rsidR="008B7D81" w:rsidRPr="00154588" w14:paraId="38EDCD09" w14:textId="77777777" w:rsidTr="00D15C1B">
        <w:trPr>
          <w:jc w:val="center"/>
        </w:trPr>
        <w:tc>
          <w:tcPr>
            <w:tcW w:w="4957" w:type="dxa"/>
            <w:gridSpan w:val="2"/>
          </w:tcPr>
          <w:p w14:paraId="08B68BB1" w14:textId="209E09B7" w:rsidR="008B7D81" w:rsidRPr="00154588" w:rsidRDefault="008B7D81" w:rsidP="008C12B4">
            <w:pPr>
              <w:tabs>
                <w:tab w:val="left" w:pos="914"/>
              </w:tabs>
              <w:jc w:val="both"/>
              <w:rPr>
                <w:bCs/>
                <w:sz w:val="20"/>
                <w:szCs w:val="20"/>
              </w:rPr>
            </w:pPr>
            <w:r w:rsidRPr="00154588">
              <w:rPr>
                <w:bCs/>
                <w:sz w:val="20"/>
                <w:szCs w:val="20"/>
              </w:rPr>
              <w:t>(6) (...) Supraveghetorul consolidant informează imediat pe ceilalți membri ai colegiului de supraveghere și pe membrii colegiului de rezoluție.</w:t>
            </w:r>
            <w:r w:rsidRPr="00154588">
              <w:rPr>
                <w:bCs/>
                <w:sz w:val="20"/>
                <w:szCs w:val="20"/>
              </w:rPr>
              <w:tab/>
            </w:r>
          </w:p>
        </w:tc>
        <w:tc>
          <w:tcPr>
            <w:tcW w:w="4819" w:type="dxa"/>
          </w:tcPr>
          <w:p w14:paraId="5E19B1F5" w14:textId="4C44EB9B" w:rsidR="008B7D81" w:rsidRPr="00154588" w:rsidRDefault="008B7D81"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38</w:t>
            </w:r>
            <w:r w:rsidRPr="00154588">
              <w:rPr>
                <w:rFonts w:eastAsia="Calibri"/>
                <w:b/>
                <w:sz w:val="20"/>
                <w:szCs w:val="20"/>
              </w:rPr>
              <w:t xml:space="preserve">. </w:t>
            </w:r>
            <w:r w:rsidRPr="00154588">
              <w:rPr>
                <w:rFonts w:eastAsia="Calibri"/>
                <w:sz w:val="20"/>
                <w:szCs w:val="20"/>
              </w:rPr>
              <w:t>– Banca Națională a Moldovei, în calitate de supraveghetor consolidant, informează imediat pe ceilalți membri ai colegiului de supraveghere și membrilor colegiului de rezoluție decizia organului de conducere al instituției de credit care furnizează sprijinul financiar.</w:t>
            </w:r>
          </w:p>
        </w:tc>
        <w:tc>
          <w:tcPr>
            <w:tcW w:w="2552" w:type="dxa"/>
          </w:tcPr>
          <w:p w14:paraId="1ACCE7BC" w14:textId="0328A3AD" w:rsidR="008B7D81" w:rsidRPr="00154588" w:rsidRDefault="008B7D81" w:rsidP="008C12B4">
            <w:pPr>
              <w:jc w:val="both"/>
              <w:rPr>
                <w:bCs/>
                <w:sz w:val="20"/>
                <w:szCs w:val="20"/>
              </w:rPr>
            </w:pPr>
            <w:r w:rsidRPr="00154588">
              <w:rPr>
                <w:bCs/>
                <w:sz w:val="20"/>
                <w:szCs w:val="20"/>
              </w:rPr>
              <w:t>Compatibil</w:t>
            </w:r>
          </w:p>
        </w:tc>
        <w:tc>
          <w:tcPr>
            <w:tcW w:w="3118" w:type="dxa"/>
          </w:tcPr>
          <w:p w14:paraId="41E2E812" w14:textId="77777777" w:rsidR="008B7D81" w:rsidRPr="00154588" w:rsidRDefault="008B7D81" w:rsidP="008C12B4">
            <w:pPr>
              <w:jc w:val="both"/>
              <w:rPr>
                <w:bCs/>
                <w:sz w:val="20"/>
                <w:szCs w:val="20"/>
              </w:rPr>
            </w:pPr>
          </w:p>
        </w:tc>
      </w:tr>
      <w:tr w:rsidR="008B7D81" w:rsidRPr="00154588" w14:paraId="13BC567F" w14:textId="77777777" w:rsidTr="00D15C1B">
        <w:trPr>
          <w:jc w:val="center"/>
        </w:trPr>
        <w:tc>
          <w:tcPr>
            <w:tcW w:w="4957" w:type="dxa"/>
            <w:gridSpan w:val="2"/>
          </w:tcPr>
          <w:p w14:paraId="3158A71D" w14:textId="3259B22F" w:rsidR="008B7D81" w:rsidRPr="00154588" w:rsidRDefault="008B7D81" w:rsidP="008C12B4">
            <w:pPr>
              <w:jc w:val="both"/>
              <w:rPr>
                <w:bCs/>
                <w:sz w:val="20"/>
                <w:szCs w:val="20"/>
              </w:rPr>
            </w:pPr>
            <w:r w:rsidRPr="00154588">
              <w:rPr>
                <w:bCs/>
                <w:sz w:val="20"/>
                <w:szCs w:val="20"/>
              </w:rPr>
              <w:t>(7)   Dacă autoritatea competentă limitează sau interzice sprijinul financiar la nivel de grup în temeiul alineatului (2) din prezentul articol și dacă planul de redresare la nivel de grup în conformitate cu articolul 7 alineatul (5) face referire la sprijinul financiar intragrup, autoritatea competentă a entității din grup pentru care sprijinul este refuzat sau interzis poate solicita supraveghetorului consolidant să lanseze o reevaluare a planului de redresare la nivel de grup în temeiul articolului 8 sau, dacă planul de redresare este întocmit cu titlu individual, să solicite entității din grup să prezinte un plan de redresare revizuit.</w:t>
            </w:r>
          </w:p>
        </w:tc>
        <w:tc>
          <w:tcPr>
            <w:tcW w:w="4819" w:type="dxa"/>
          </w:tcPr>
          <w:p w14:paraId="310FC2C7" w14:textId="36A68D04" w:rsidR="008B7D81" w:rsidRPr="00154588" w:rsidRDefault="008B7D81" w:rsidP="008C12B4">
            <w:pPr>
              <w:ind w:firstLine="567"/>
              <w:jc w:val="both"/>
              <w:rPr>
                <w:rFonts w:eastAsia="Calibri"/>
                <w:sz w:val="20"/>
                <w:szCs w:val="20"/>
              </w:rPr>
            </w:pPr>
            <w:r w:rsidRPr="00154588">
              <w:rPr>
                <w:rFonts w:eastAsia="Calibri"/>
                <w:b/>
                <w:sz w:val="20"/>
                <w:szCs w:val="20"/>
              </w:rPr>
              <w:t>Articolul 41</w:t>
            </w:r>
            <w:r w:rsidRPr="00154588">
              <w:rPr>
                <w:rFonts w:eastAsia="Calibri"/>
                <w:b/>
                <w:sz w:val="20"/>
                <w:szCs w:val="20"/>
                <w:vertAlign w:val="superscript"/>
              </w:rPr>
              <w:t>39</w:t>
            </w:r>
            <w:r w:rsidRPr="00154588">
              <w:rPr>
                <w:rFonts w:eastAsia="Calibri"/>
                <w:b/>
                <w:sz w:val="20"/>
                <w:szCs w:val="20"/>
              </w:rPr>
              <w:t xml:space="preserve">. – </w:t>
            </w:r>
            <w:r w:rsidRPr="00154588">
              <w:rPr>
                <w:rFonts w:eastAsia="Calibri"/>
                <w:sz w:val="20"/>
                <w:szCs w:val="20"/>
              </w:rPr>
              <w:t>În cazul în care autoritatea competentă a entității din grup care ar furniza sprijin financiar intragrup interzice sau limitează furnizarea de sprijin financiar intragrup, iar planul de redresare la nivel de grup prevede furnizarea de sprijin financiar intragrup potrivit art.22</w:t>
            </w:r>
            <w:r w:rsidRPr="00154588">
              <w:rPr>
                <w:rFonts w:eastAsia="Calibri"/>
                <w:sz w:val="20"/>
                <w:szCs w:val="20"/>
                <w:vertAlign w:val="superscript"/>
              </w:rPr>
              <w:t>7</w:t>
            </w:r>
            <w:r w:rsidRPr="00154588">
              <w:rPr>
                <w:rFonts w:eastAsia="Calibri"/>
                <w:sz w:val="20"/>
                <w:szCs w:val="20"/>
              </w:rPr>
              <w:t>, Banca Națională a Moldovei, în calitate de autoritate competentă la nivel individual a entității din grup care ar fi beneficiat de sprijinul financiar, poate solicita supraveghetorului consolidant să reevalueze planul de redresare la nivel de grup potrivit art.22</w:t>
            </w:r>
            <w:r w:rsidRPr="00154588">
              <w:rPr>
                <w:rFonts w:eastAsia="Calibri"/>
                <w:sz w:val="20"/>
                <w:szCs w:val="20"/>
                <w:vertAlign w:val="superscript"/>
              </w:rPr>
              <w:t>15</w:t>
            </w:r>
            <w:r w:rsidRPr="00154588">
              <w:rPr>
                <w:rFonts w:eastAsia="Calibri"/>
                <w:sz w:val="20"/>
                <w:szCs w:val="20"/>
              </w:rPr>
              <w:t>-22</w:t>
            </w:r>
            <w:r w:rsidRPr="00154588">
              <w:rPr>
                <w:rFonts w:eastAsia="Calibri"/>
                <w:sz w:val="20"/>
                <w:szCs w:val="20"/>
                <w:vertAlign w:val="superscript"/>
              </w:rPr>
              <w:t>21</w:t>
            </w:r>
            <w:r w:rsidRPr="00154588">
              <w:rPr>
                <w:rFonts w:eastAsia="Calibri"/>
                <w:sz w:val="20"/>
                <w:szCs w:val="20"/>
              </w:rPr>
              <w:t xml:space="preserve"> sau, dacă planul de redresare este întocmit la nivel individual, să solicite entității din grup care ar fi beneficiat de sprijinul financiar intragrup să prezinte un plan de redresare revizuit.</w:t>
            </w:r>
          </w:p>
        </w:tc>
        <w:tc>
          <w:tcPr>
            <w:tcW w:w="2552" w:type="dxa"/>
          </w:tcPr>
          <w:p w14:paraId="44B00B75" w14:textId="240B565C" w:rsidR="008B7D81" w:rsidRPr="00154588" w:rsidRDefault="008B7D81" w:rsidP="008C12B4">
            <w:pPr>
              <w:jc w:val="both"/>
              <w:rPr>
                <w:bCs/>
                <w:sz w:val="20"/>
                <w:szCs w:val="20"/>
              </w:rPr>
            </w:pPr>
            <w:r w:rsidRPr="00154588">
              <w:rPr>
                <w:bCs/>
                <w:sz w:val="20"/>
                <w:szCs w:val="20"/>
              </w:rPr>
              <w:t>Compatibil</w:t>
            </w:r>
          </w:p>
        </w:tc>
        <w:tc>
          <w:tcPr>
            <w:tcW w:w="3118" w:type="dxa"/>
          </w:tcPr>
          <w:p w14:paraId="30B46611" w14:textId="77777777" w:rsidR="008B7D81" w:rsidRPr="00154588" w:rsidRDefault="008B7D81" w:rsidP="008C12B4">
            <w:pPr>
              <w:jc w:val="both"/>
              <w:rPr>
                <w:bCs/>
                <w:sz w:val="20"/>
                <w:szCs w:val="20"/>
              </w:rPr>
            </w:pPr>
          </w:p>
        </w:tc>
      </w:tr>
      <w:tr w:rsidR="008B7D81" w:rsidRPr="00154588" w14:paraId="684546EF" w14:textId="77777777" w:rsidTr="00D15C1B">
        <w:trPr>
          <w:jc w:val="center"/>
        </w:trPr>
        <w:tc>
          <w:tcPr>
            <w:tcW w:w="4957" w:type="dxa"/>
            <w:gridSpan w:val="2"/>
          </w:tcPr>
          <w:p w14:paraId="2A837384" w14:textId="77777777" w:rsidR="008B7D81" w:rsidRPr="00154588" w:rsidRDefault="008B7D81" w:rsidP="008C12B4">
            <w:pPr>
              <w:rPr>
                <w:b/>
                <w:sz w:val="20"/>
                <w:szCs w:val="20"/>
              </w:rPr>
            </w:pPr>
            <w:r w:rsidRPr="00154588">
              <w:rPr>
                <w:b/>
                <w:sz w:val="20"/>
                <w:szCs w:val="20"/>
              </w:rPr>
              <w:t>Articolul 26</w:t>
            </w:r>
          </w:p>
          <w:p w14:paraId="0FF34953" w14:textId="77777777" w:rsidR="008B7D81" w:rsidRPr="00154588" w:rsidRDefault="008B7D81" w:rsidP="008C12B4">
            <w:pPr>
              <w:rPr>
                <w:b/>
                <w:sz w:val="20"/>
                <w:szCs w:val="20"/>
              </w:rPr>
            </w:pPr>
          </w:p>
          <w:p w14:paraId="1FB2C2A4" w14:textId="4B3EF92F" w:rsidR="008B7D81" w:rsidRPr="00154588" w:rsidRDefault="008B7D81" w:rsidP="008C12B4">
            <w:pPr>
              <w:rPr>
                <w:bCs/>
                <w:sz w:val="20"/>
                <w:szCs w:val="20"/>
              </w:rPr>
            </w:pPr>
            <w:r w:rsidRPr="00154588">
              <w:rPr>
                <w:b/>
                <w:sz w:val="20"/>
                <w:szCs w:val="20"/>
              </w:rPr>
              <w:t>Prezentarea informațiilor</w:t>
            </w:r>
          </w:p>
        </w:tc>
        <w:tc>
          <w:tcPr>
            <w:tcW w:w="4819" w:type="dxa"/>
          </w:tcPr>
          <w:p w14:paraId="1B088424" w14:textId="77777777" w:rsidR="008B7D81" w:rsidRPr="00154588" w:rsidRDefault="008B7D81" w:rsidP="008C12B4">
            <w:pPr>
              <w:jc w:val="both"/>
              <w:rPr>
                <w:bCs/>
                <w:sz w:val="20"/>
                <w:szCs w:val="20"/>
              </w:rPr>
            </w:pPr>
          </w:p>
        </w:tc>
        <w:tc>
          <w:tcPr>
            <w:tcW w:w="2552" w:type="dxa"/>
          </w:tcPr>
          <w:p w14:paraId="1F4BB68E" w14:textId="77777777" w:rsidR="008B7D81" w:rsidRPr="00154588" w:rsidRDefault="008B7D81" w:rsidP="008C12B4">
            <w:pPr>
              <w:jc w:val="both"/>
              <w:rPr>
                <w:bCs/>
                <w:sz w:val="20"/>
                <w:szCs w:val="20"/>
              </w:rPr>
            </w:pPr>
          </w:p>
        </w:tc>
        <w:tc>
          <w:tcPr>
            <w:tcW w:w="3118" w:type="dxa"/>
          </w:tcPr>
          <w:p w14:paraId="36A71B76" w14:textId="77777777" w:rsidR="008B7D81" w:rsidRPr="00154588" w:rsidRDefault="008B7D81" w:rsidP="008C12B4">
            <w:pPr>
              <w:jc w:val="both"/>
              <w:rPr>
                <w:bCs/>
                <w:sz w:val="20"/>
                <w:szCs w:val="20"/>
              </w:rPr>
            </w:pPr>
          </w:p>
        </w:tc>
      </w:tr>
      <w:tr w:rsidR="00176DE5" w:rsidRPr="00154588" w14:paraId="462986CB" w14:textId="77777777" w:rsidTr="00D15C1B">
        <w:trPr>
          <w:jc w:val="center"/>
        </w:trPr>
        <w:tc>
          <w:tcPr>
            <w:tcW w:w="4957" w:type="dxa"/>
            <w:gridSpan w:val="2"/>
          </w:tcPr>
          <w:p w14:paraId="4061F424" w14:textId="77777777" w:rsidR="00176DE5" w:rsidRPr="00154588" w:rsidRDefault="00176DE5" w:rsidP="008C12B4">
            <w:pPr>
              <w:jc w:val="both"/>
              <w:rPr>
                <w:bCs/>
                <w:sz w:val="20"/>
                <w:szCs w:val="20"/>
              </w:rPr>
            </w:pPr>
            <w:r w:rsidRPr="00154588">
              <w:rPr>
                <w:bCs/>
                <w:sz w:val="20"/>
                <w:szCs w:val="20"/>
              </w:rPr>
              <w:t xml:space="preserve">(1)   Statele membre se asigură că entitățile din grup fac public faptul că au încheiat sau nu un acord de sprijin financiar intragrup în conformitate cu articolul 19 și publică </w:t>
            </w:r>
            <w:r w:rsidRPr="00154588">
              <w:rPr>
                <w:bCs/>
                <w:sz w:val="20"/>
                <w:szCs w:val="20"/>
              </w:rPr>
              <w:lastRenderedPageBreak/>
              <w:t>o descriere a condițiilor generale ale acordului și denumirile entităților din grup care sunt parte la acesta și actualizează aceste informații cel puțin o dată pe an.</w:t>
            </w:r>
          </w:p>
          <w:p w14:paraId="05B0651E" w14:textId="08DFE252" w:rsidR="00176DE5" w:rsidRPr="00154588" w:rsidRDefault="00176DE5" w:rsidP="008C12B4">
            <w:pPr>
              <w:jc w:val="both"/>
              <w:rPr>
                <w:bCs/>
                <w:sz w:val="20"/>
                <w:szCs w:val="20"/>
              </w:rPr>
            </w:pPr>
            <w:r w:rsidRPr="00154588">
              <w:rPr>
                <w:bCs/>
                <w:sz w:val="20"/>
                <w:szCs w:val="20"/>
              </w:rPr>
              <w:t>Se aplică articolele 431-434 din Regulamentul (UE) nr. 575/2013.</w:t>
            </w:r>
          </w:p>
        </w:tc>
        <w:tc>
          <w:tcPr>
            <w:tcW w:w="4819" w:type="dxa"/>
          </w:tcPr>
          <w:p w14:paraId="29D49639" w14:textId="77777777" w:rsidR="00176DE5" w:rsidRPr="00154588" w:rsidRDefault="00176DE5" w:rsidP="008C12B4">
            <w:pPr>
              <w:ind w:firstLine="567"/>
              <w:jc w:val="both"/>
              <w:rPr>
                <w:rFonts w:eastAsia="Calibri"/>
                <w:sz w:val="20"/>
                <w:szCs w:val="20"/>
              </w:rPr>
            </w:pPr>
            <w:r w:rsidRPr="00154588">
              <w:rPr>
                <w:rFonts w:eastAsia="Calibri"/>
                <w:b/>
                <w:sz w:val="20"/>
                <w:szCs w:val="20"/>
              </w:rPr>
              <w:lastRenderedPageBreak/>
              <w:t>Articolul 41</w:t>
            </w:r>
            <w:r w:rsidRPr="00154588">
              <w:rPr>
                <w:rFonts w:eastAsia="Calibri"/>
                <w:b/>
                <w:sz w:val="20"/>
                <w:szCs w:val="20"/>
                <w:vertAlign w:val="superscript"/>
              </w:rPr>
              <w:t>17</w:t>
            </w:r>
            <w:r w:rsidRPr="00154588">
              <w:rPr>
                <w:rFonts w:eastAsia="Calibri"/>
                <w:b/>
                <w:sz w:val="20"/>
                <w:szCs w:val="20"/>
              </w:rPr>
              <w:t>.</w:t>
            </w:r>
            <w:r w:rsidRPr="00154588">
              <w:rPr>
                <w:rFonts w:eastAsia="Calibri"/>
                <w:sz w:val="20"/>
                <w:szCs w:val="20"/>
              </w:rPr>
              <w:t xml:space="preserve"> – Entitățile din grup, persoane juridice înregistrate în Republica Moldova, care pot intra într-un acord de sprijin financiar intragrup în conformitate </w:t>
            </w:r>
            <w:r w:rsidRPr="00154588">
              <w:rPr>
                <w:rFonts w:eastAsia="Calibri"/>
                <w:sz w:val="20"/>
                <w:szCs w:val="20"/>
              </w:rPr>
              <w:lastRenderedPageBreak/>
              <w:t>cu prevederile art.41</w:t>
            </w:r>
            <w:r w:rsidRPr="00154588">
              <w:rPr>
                <w:rFonts w:eastAsia="Calibri"/>
                <w:sz w:val="20"/>
                <w:szCs w:val="20"/>
                <w:vertAlign w:val="superscript"/>
              </w:rPr>
              <w:t>9</w:t>
            </w:r>
            <w:r w:rsidRPr="00154588">
              <w:rPr>
                <w:rFonts w:eastAsia="Calibri"/>
                <w:sz w:val="20"/>
                <w:szCs w:val="20"/>
              </w:rPr>
              <w:t>-41</w:t>
            </w:r>
            <w:r w:rsidRPr="00154588">
              <w:rPr>
                <w:rFonts w:eastAsia="Calibri"/>
                <w:sz w:val="20"/>
                <w:szCs w:val="20"/>
                <w:vertAlign w:val="superscript"/>
              </w:rPr>
              <w:t>16</w:t>
            </w:r>
            <w:r w:rsidRPr="00154588">
              <w:rPr>
                <w:rFonts w:eastAsia="Calibri"/>
                <w:sz w:val="20"/>
                <w:szCs w:val="20"/>
              </w:rPr>
              <w:t>, fac public faptul că au încheiat sau nu au încheiat un astfel de acord.</w:t>
            </w:r>
          </w:p>
          <w:p w14:paraId="5B93D415" w14:textId="77777777" w:rsidR="00176DE5" w:rsidRPr="00154588" w:rsidRDefault="00176DE5" w:rsidP="008C12B4">
            <w:pPr>
              <w:ind w:firstLine="567"/>
              <w:jc w:val="both"/>
              <w:rPr>
                <w:rFonts w:eastAsia="Calibri"/>
                <w:sz w:val="20"/>
                <w:szCs w:val="20"/>
              </w:rPr>
            </w:pPr>
            <w:r w:rsidRPr="00154588">
              <w:rPr>
                <w:rFonts w:eastAsia="Calibri"/>
                <w:sz w:val="20"/>
                <w:szCs w:val="20"/>
              </w:rPr>
              <w:t xml:space="preserve">(2) Entitățile din grup prevăzute la alin.(1) care sunt parte a unui acord de sprijin financiar intragrup trebuie să facă publică descrierea condițiilor generale ale acordului, denumirile entităților din grup care sunt parte la acesta și să actualizeze aceste informații cel puțin o dată pe an. </w:t>
            </w:r>
          </w:p>
          <w:p w14:paraId="0D2F7085" w14:textId="513C1F7E" w:rsidR="00176DE5" w:rsidRPr="00154588" w:rsidRDefault="00176DE5" w:rsidP="008C12B4">
            <w:pPr>
              <w:ind w:firstLine="594"/>
              <w:jc w:val="both"/>
              <w:rPr>
                <w:bCs/>
                <w:sz w:val="20"/>
                <w:szCs w:val="20"/>
              </w:rPr>
            </w:pPr>
            <w:r w:rsidRPr="00154588">
              <w:rPr>
                <w:rFonts w:eastAsia="Calibri"/>
                <w:sz w:val="20"/>
                <w:szCs w:val="20"/>
              </w:rPr>
              <w:t>(3) Prevederile prevăzute în actele normative ale Băncii Naționale a Moldovei emise în aplicarea prevederilor art.31 alin.(2) și (3), art.91 și art.93 din Legea nr.202/2017 sunt aplicate în mod corespunzător.</w:t>
            </w:r>
          </w:p>
        </w:tc>
        <w:tc>
          <w:tcPr>
            <w:tcW w:w="2552" w:type="dxa"/>
          </w:tcPr>
          <w:p w14:paraId="40F126DB" w14:textId="0A90F3E7" w:rsidR="00176DE5" w:rsidRPr="00154588" w:rsidRDefault="00176DE5" w:rsidP="008C12B4">
            <w:pPr>
              <w:jc w:val="both"/>
              <w:rPr>
                <w:bCs/>
                <w:sz w:val="20"/>
                <w:szCs w:val="20"/>
              </w:rPr>
            </w:pPr>
            <w:r w:rsidRPr="00154588">
              <w:rPr>
                <w:bCs/>
                <w:sz w:val="20"/>
                <w:szCs w:val="20"/>
              </w:rPr>
              <w:lastRenderedPageBreak/>
              <w:t>Compatibil</w:t>
            </w:r>
          </w:p>
        </w:tc>
        <w:tc>
          <w:tcPr>
            <w:tcW w:w="3118" w:type="dxa"/>
          </w:tcPr>
          <w:p w14:paraId="093B9300" w14:textId="77777777" w:rsidR="00176DE5" w:rsidRPr="00154588" w:rsidRDefault="00176DE5" w:rsidP="008C12B4">
            <w:pPr>
              <w:jc w:val="both"/>
              <w:rPr>
                <w:rFonts w:eastAsia="Calibri"/>
                <w:bCs/>
                <w:sz w:val="20"/>
                <w:szCs w:val="20"/>
              </w:rPr>
            </w:pPr>
            <w:r w:rsidRPr="00154588">
              <w:rPr>
                <w:rFonts w:eastAsia="Calibri"/>
                <w:bCs/>
                <w:sz w:val="20"/>
                <w:szCs w:val="20"/>
              </w:rPr>
              <w:t>Este transpus prin art. 41</w:t>
            </w:r>
            <w:r w:rsidRPr="00154588">
              <w:rPr>
                <w:rFonts w:eastAsia="Calibri"/>
                <w:bCs/>
                <w:sz w:val="20"/>
                <w:szCs w:val="20"/>
                <w:vertAlign w:val="superscript"/>
              </w:rPr>
              <w:t xml:space="preserve">17 </w:t>
            </w:r>
            <w:r w:rsidRPr="00154588">
              <w:rPr>
                <w:rFonts w:eastAsia="Calibri"/>
                <w:bCs/>
                <w:sz w:val="20"/>
                <w:szCs w:val="20"/>
              </w:rPr>
              <w:t xml:space="preserve">din </w:t>
            </w:r>
          </w:p>
          <w:p w14:paraId="7E6C6444" w14:textId="103CD81D" w:rsidR="00176DE5" w:rsidRPr="00154588" w:rsidRDefault="00176DE5" w:rsidP="008C12B4">
            <w:pPr>
              <w:rPr>
                <w:bCs/>
                <w:sz w:val="20"/>
                <w:szCs w:val="20"/>
              </w:rPr>
            </w:pPr>
            <w:r w:rsidRPr="00154588">
              <w:rPr>
                <w:rFonts w:eastAsia="Calibri"/>
                <w:bCs/>
                <w:sz w:val="20"/>
                <w:szCs w:val="20"/>
              </w:rPr>
              <w:t>Secțiunea 1</w:t>
            </w:r>
            <w:r w:rsidRPr="00154588">
              <w:rPr>
                <w:rFonts w:eastAsia="Calibri"/>
                <w:bCs/>
                <w:sz w:val="20"/>
                <w:szCs w:val="20"/>
              </w:rPr>
              <w:br/>
              <w:t xml:space="preserve">Încheierea acordurilor de sprijin </w:t>
            </w:r>
            <w:r w:rsidRPr="00154588">
              <w:rPr>
                <w:rFonts w:eastAsia="Calibri"/>
                <w:bCs/>
                <w:sz w:val="20"/>
                <w:szCs w:val="20"/>
              </w:rPr>
              <w:lastRenderedPageBreak/>
              <w:t>financiar intragrup</w:t>
            </w:r>
            <w:r w:rsidRPr="00154588">
              <w:rPr>
                <w:rFonts w:eastAsia="Calibri"/>
                <w:bCs/>
                <w:sz w:val="20"/>
                <w:szCs w:val="20"/>
              </w:rPr>
              <w:br/>
            </w:r>
          </w:p>
        </w:tc>
      </w:tr>
      <w:tr w:rsidR="004D3E79" w:rsidRPr="00154588" w14:paraId="6697CF4B" w14:textId="77777777" w:rsidTr="00D15C1B">
        <w:trPr>
          <w:jc w:val="center"/>
        </w:trPr>
        <w:tc>
          <w:tcPr>
            <w:tcW w:w="4957" w:type="dxa"/>
            <w:gridSpan w:val="2"/>
          </w:tcPr>
          <w:p w14:paraId="29B7A0DF" w14:textId="77777777" w:rsidR="004D3E79" w:rsidRPr="00154588" w:rsidRDefault="004D3E79" w:rsidP="008C12B4">
            <w:pPr>
              <w:jc w:val="both"/>
              <w:rPr>
                <w:bCs/>
                <w:sz w:val="20"/>
                <w:szCs w:val="20"/>
              </w:rPr>
            </w:pPr>
            <w:r w:rsidRPr="00154588">
              <w:rPr>
                <w:bCs/>
                <w:sz w:val="20"/>
                <w:szCs w:val="20"/>
              </w:rPr>
              <w:lastRenderedPageBreak/>
              <w:t>(2)   ABE elaborează proiecte de standarde tehnice de punere în aplicare pentru a specifica forma și conținutul descrierii menționate la alineatul (1).</w:t>
            </w:r>
          </w:p>
          <w:p w14:paraId="220B0AE2" w14:textId="77777777" w:rsidR="004D3E79" w:rsidRPr="00154588" w:rsidRDefault="004D3E79" w:rsidP="008C12B4">
            <w:pPr>
              <w:jc w:val="both"/>
              <w:rPr>
                <w:bCs/>
                <w:sz w:val="20"/>
                <w:szCs w:val="20"/>
              </w:rPr>
            </w:pPr>
          </w:p>
          <w:p w14:paraId="04A362C2" w14:textId="77777777" w:rsidR="004D3E79" w:rsidRPr="00154588" w:rsidRDefault="004D3E79" w:rsidP="008C12B4">
            <w:pPr>
              <w:jc w:val="both"/>
              <w:rPr>
                <w:bCs/>
                <w:sz w:val="20"/>
                <w:szCs w:val="20"/>
              </w:rPr>
            </w:pPr>
            <w:r w:rsidRPr="00154588">
              <w:rPr>
                <w:bCs/>
                <w:sz w:val="20"/>
                <w:szCs w:val="20"/>
              </w:rPr>
              <w:t>ABE înaintează Comisiei aceste proiecte de standarde tehnice de punere în aplicare până la 3 iulie 2015.</w:t>
            </w:r>
          </w:p>
          <w:p w14:paraId="0B10547E" w14:textId="77777777" w:rsidR="004D3E79" w:rsidRPr="00154588" w:rsidRDefault="004D3E79" w:rsidP="008C12B4">
            <w:pPr>
              <w:jc w:val="both"/>
              <w:rPr>
                <w:bCs/>
                <w:sz w:val="20"/>
                <w:szCs w:val="20"/>
              </w:rPr>
            </w:pPr>
          </w:p>
          <w:p w14:paraId="5AE9AFB8" w14:textId="0C86191A" w:rsidR="004D3E79" w:rsidRPr="00154588" w:rsidRDefault="004D3E79" w:rsidP="008C12B4">
            <w:pPr>
              <w:jc w:val="both"/>
              <w:rPr>
                <w:bCs/>
                <w:sz w:val="20"/>
                <w:szCs w:val="20"/>
              </w:rPr>
            </w:pPr>
            <w:r w:rsidRPr="00154588">
              <w:rPr>
                <w:bCs/>
                <w:sz w:val="20"/>
                <w:szCs w:val="20"/>
              </w:rPr>
              <w:t>Se conferă Comisiei competența de a adopta proiectele de standarde tehnice de punere în aplicare menționate la primul paragraf, în conformitate cu articolul 15 din Regulamentul (UE) nr. 1093/2010.</w:t>
            </w:r>
          </w:p>
        </w:tc>
        <w:tc>
          <w:tcPr>
            <w:tcW w:w="4819" w:type="dxa"/>
          </w:tcPr>
          <w:p w14:paraId="7617D9DE" w14:textId="10475D79" w:rsidR="004D3E79" w:rsidRPr="00154588" w:rsidRDefault="004D3E79" w:rsidP="008C12B4">
            <w:pPr>
              <w:jc w:val="center"/>
              <w:rPr>
                <w:bCs/>
                <w:sz w:val="20"/>
                <w:szCs w:val="16"/>
              </w:rPr>
            </w:pPr>
            <w:r w:rsidRPr="00154588">
              <w:rPr>
                <w:sz w:val="20"/>
                <w:szCs w:val="16"/>
              </w:rPr>
              <w:t>-</w:t>
            </w:r>
          </w:p>
        </w:tc>
        <w:tc>
          <w:tcPr>
            <w:tcW w:w="2552" w:type="dxa"/>
          </w:tcPr>
          <w:p w14:paraId="1108D44B" w14:textId="1CD9A46E" w:rsidR="004D3E79" w:rsidRPr="00154588" w:rsidRDefault="004D3E79" w:rsidP="008C12B4">
            <w:pPr>
              <w:jc w:val="center"/>
              <w:rPr>
                <w:bCs/>
                <w:sz w:val="20"/>
                <w:szCs w:val="16"/>
              </w:rPr>
            </w:pPr>
            <w:r w:rsidRPr="00154588">
              <w:rPr>
                <w:sz w:val="20"/>
                <w:szCs w:val="16"/>
              </w:rPr>
              <w:t>Norme UE neaplicabile</w:t>
            </w:r>
          </w:p>
        </w:tc>
        <w:tc>
          <w:tcPr>
            <w:tcW w:w="3118" w:type="dxa"/>
          </w:tcPr>
          <w:p w14:paraId="1AC4EDC2" w14:textId="6485CFA6" w:rsidR="004D3E79" w:rsidRPr="00154588" w:rsidRDefault="004D3E79" w:rsidP="008C12B4">
            <w:pPr>
              <w:jc w:val="center"/>
              <w:rPr>
                <w:bCs/>
                <w:sz w:val="20"/>
                <w:szCs w:val="16"/>
              </w:rPr>
            </w:pPr>
            <w:r w:rsidRPr="00154588">
              <w:rPr>
                <w:sz w:val="20"/>
                <w:szCs w:val="16"/>
              </w:rPr>
              <w:t>Prevederi care se referă la atribuțiile de reglementare ale autorităților europene.</w:t>
            </w:r>
          </w:p>
        </w:tc>
      </w:tr>
      <w:tr w:rsidR="008B7D81" w:rsidRPr="00154588" w14:paraId="3A7D16B8" w14:textId="77777777" w:rsidTr="00D15C1B">
        <w:trPr>
          <w:jc w:val="center"/>
        </w:trPr>
        <w:tc>
          <w:tcPr>
            <w:tcW w:w="4957" w:type="dxa"/>
            <w:gridSpan w:val="2"/>
          </w:tcPr>
          <w:p w14:paraId="6D0F7A3B" w14:textId="77777777" w:rsidR="008B7D81" w:rsidRPr="00154588" w:rsidRDefault="008B7D81" w:rsidP="008C12B4">
            <w:pPr>
              <w:rPr>
                <w:b/>
                <w:sz w:val="20"/>
                <w:szCs w:val="20"/>
              </w:rPr>
            </w:pPr>
            <w:r w:rsidRPr="00154588">
              <w:rPr>
                <w:b/>
                <w:sz w:val="20"/>
                <w:szCs w:val="20"/>
              </w:rPr>
              <w:t>TITLUL III</w:t>
            </w:r>
          </w:p>
          <w:p w14:paraId="05D11290" w14:textId="77777777" w:rsidR="008B7D81" w:rsidRPr="00154588" w:rsidRDefault="008B7D81" w:rsidP="008C12B4">
            <w:pPr>
              <w:rPr>
                <w:b/>
                <w:sz w:val="20"/>
                <w:szCs w:val="20"/>
              </w:rPr>
            </w:pPr>
          </w:p>
          <w:p w14:paraId="1AE7F026" w14:textId="40C1CBCB" w:rsidR="008B7D81" w:rsidRPr="00154588" w:rsidRDefault="008B7D81" w:rsidP="008C12B4">
            <w:pPr>
              <w:rPr>
                <w:b/>
                <w:sz w:val="20"/>
                <w:szCs w:val="20"/>
              </w:rPr>
            </w:pPr>
            <w:r w:rsidRPr="00154588">
              <w:rPr>
                <w:b/>
                <w:sz w:val="20"/>
                <w:szCs w:val="20"/>
              </w:rPr>
              <w:t>INTERVENȚIE TIMPURIE</w:t>
            </w:r>
          </w:p>
        </w:tc>
        <w:tc>
          <w:tcPr>
            <w:tcW w:w="4819" w:type="dxa"/>
          </w:tcPr>
          <w:p w14:paraId="08EB5A6B" w14:textId="77777777" w:rsidR="00B020D8" w:rsidRPr="00154588" w:rsidRDefault="00B020D8" w:rsidP="008C12B4">
            <w:pPr>
              <w:jc w:val="center"/>
              <w:rPr>
                <w:rFonts w:eastAsia="Calibri"/>
                <w:b/>
                <w:sz w:val="20"/>
                <w:szCs w:val="18"/>
              </w:rPr>
            </w:pPr>
            <w:r w:rsidRPr="00154588">
              <w:rPr>
                <w:rFonts w:eastAsia="Calibri"/>
                <w:b/>
                <w:sz w:val="20"/>
                <w:szCs w:val="18"/>
              </w:rPr>
              <w:t>TITLUL III</w:t>
            </w:r>
          </w:p>
          <w:p w14:paraId="17A8417D" w14:textId="56594E08" w:rsidR="008B7D81" w:rsidRPr="00154588" w:rsidRDefault="00B020D8" w:rsidP="008C12B4">
            <w:pPr>
              <w:jc w:val="center"/>
              <w:rPr>
                <w:rFonts w:eastAsia="Calibri"/>
                <w:b/>
                <w:sz w:val="20"/>
                <w:szCs w:val="18"/>
              </w:rPr>
            </w:pPr>
            <w:r w:rsidRPr="00154588">
              <w:rPr>
                <w:rFonts w:eastAsia="Calibri"/>
                <w:b/>
                <w:sz w:val="20"/>
                <w:szCs w:val="18"/>
              </w:rPr>
              <w:t>INTERVENŢIA TIMPURIE</w:t>
            </w:r>
          </w:p>
        </w:tc>
        <w:tc>
          <w:tcPr>
            <w:tcW w:w="2552" w:type="dxa"/>
          </w:tcPr>
          <w:p w14:paraId="69311EB4" w14:textId="77777777" w:rsidR="008B7D81" w:rsidRPr="00154588" w:rsidRDefault="008B7D81" w:rsidP="008C12B4">
            <w:pPr>
              <w:jc w:val="both"/>
              <w:rPr>
                <w:bCs/>
                <w:sz w:val="20"/>
                <w:szCs w:val="20"/>
              </w:rPr>
            </w:pPr>
          </w:p>
        </w:tc>
        <w:tc>
          <w:tcPr>
            <w:tcW w:w="3118" w:type="dxa"/>
          </w:tcPr>
          <w:p w14:paraId="1C73DD33" w14:textId="77777777" w:rsidR="008B7D81" w:rsidRPr="00154588" w:rsidRDefault="008B7D81" w:rsidP="008C12B4">
            <w:pPr>
              <w:jc w:val="both"/>
              <w:rPr>
                <w:bCs/>
                <w:sz w:val="20"/>
                <w:szCs w:val="20"/>
              </w:rPr>
            </w:pPr>
          </w:p>
        </w:tc>
      </w:tr>
      <w:tr w:rsidR="008B7D81" w:rsidRPr="00154588" w14:paraId="6C0DEF2B" w14:textId="77777777" w:rsidTr="00D15C1B">
        <w:trPr>
          <w:jc w:val="center"/>
        </w:trPr>
        <w:tc>
          <w:tcPr>
            <w:tcW w:w="4957" w:type="dxa"/>
            <w:gridSpan w:val="2"/>
          </w:tcPr>
          <w:p w14:paraId="3442F7D7" w14:textId="15DFF4F9" w:rsidR="008B7D81" w:rsidRPr="00154588" w:rsidRDefault="008B7D81" w:rsidP="008C12B4">
            <w:pPr>
              <w:tabs>
                <w:tab w:val="left" w:pos="1165"/>
              </w:tabs>
              <w:rPr>
                <w:b/>
                <w:sz w:val="20"/>
                <w:szCs w:val="20"/>
              </w:rPr>
            </w:pPr>
            <w:r w:rsidRPr="00154588">
              <w:rPr>
                <w:b/>
                <w:sz w:val="20"/>
                <w:szCs w:val="20"/>
              </w:rPr>
              <w:t>Articolul 27</w:t>
            </w:r>
          </w:p>
          <w:p w14:paraId="082ACC59" w14:textId="77777777" w:rsidR="008B7D81" w:rsidRPr="00154588" w:rsidRDefault="008B7D81" w:rsidP="008C12B4">
            <w:pPr>
              <w:tabs>
                <w:tab w:val="left" w:pos="1165"/>
              </w:tabs>
              <w:rPr>
                <w:b/>
                <w:sz w:val="20"/>
                <w:szCs w:val="20"/>
              </w:rPr>
            </w:pPr>
          </w:p>
          <w:p w14:paraId="53CA520F" w14:textId="6CEE329E" w:rsidR="008B7D81" w:rsidRPr="00154588" w:rsidRDefault="008B7D81" w:rsidP="008C12B4">
            <w:pPr>
              <w:tabs>
                <w:tab w:val="left" w:pos="1165"/>
              </w:tabs>
              <w:rPr>
                <w:b/>
                <w:sz w:val="20"/>
                <w:szCs w:val="20"/>
              </w:rPr>
            </w:pPr>
            <w:r w:rsidRPr="00154588">
              <w:rPr>
                <w:b/>
                <w:sz w:val="20"/>
                <w:szCs w:val="20"/>
              </w:rPr>
              <w:t>Măsuri de intervenție timpurie</w:t>
            </w:r>
          </w:p>
        </w:tc>
        <w:tc>
          <w:tcPr>
            <w:tcW w:w="4819" w:type="dxa"/>
          </w:tcPr>
          <w:p w14:paraId="4625498E" w14:textId="77777777" w:rsidR="00B020D8" w:rsidRPr="00154588" w:rsidRDefault="00B020D8" w:rsidP="008C12B4">
            <w:pPr>
              <w:jc w:val="center"/>
              <w:rPr>
                <w:rFonts w:eastAsia="Calibri"/>
                <w:b/>
                <w:sz w:val="20"/>
                <w:szCs w:val="18"/>
              </w:rPr>
            </w:pPr>
            <w:r w:rsidRPr="00154588">
              <w:rPr>
                <w:rFonts w:eastAsia="Calibri"/>
                <w:b/>
                <w:sz w:val="20"/>
                <w:szCs w:val="18"/>
              </w:rPr>
              <w:t>Capitolul I</w:t>
            </w:r>
          </w:p>
          <w:p w14:paraId="052F8E3B" w14:textId="50C89A37" w:rsidR="008B7D81" w:rsidRPr="00154588" w:rsidRDefault="00B020D8" w:rsidP="008C12B4">
            <w:pPr>
              <w:jc w:val="center"/>
              <w:rPr>
                <w:rFonts w:eastAsia="Calibri"/>
                <w:b/>
                <w:sz w:val="20"/>
                <w:szCs w:val="18"/>
              </w:rPr>
            </w:pPr>
            <w:r w:rsidRPr="00154588">
              <w:rPr>
                <w:rFonts w:eastAsia="Calibri"/>
                <w:b/>
                <w:sz w:val="20"/>
                <w:szCs w:val="18"/>
              </w:rPr>
              <w:t>MĂSURILE DE INTERVENŢIE TIMPURIE</w:t>
            </w:r>
          </w:p>
        </w:tc>
        <w:tc>
          <w:tcPr>
            <w:tcW w:w="2552" w:type="dxa"/>
          </w:tcPr>
          <w:p w14:paraId="42557737" w14:textId="77777777" w:rsidR="008B7D81" w:rsidRPr="00154588" w:rsidRDefault="008B7D81" w:rsidP="008C12B4">
            <w:pPr>
              <w:jc w:val="both"/>
              <w:rPr>
                <w:bCs/>
                <w:sz w:val="20"/>
                <w:szCs w:val="20"/>
              </w:rPr>
            </w:pPr>
          </w:p>
        </w:tc>
        <w:tc>
          <w:tcPr>
            <w:tcW w:w="3118" w:type="dxa"/>
          </w:tcPr>
          <w:p w14:paraId="63CB5F8E" w14:textId="77777777" w:rsidR="008B7D81" w:rsidRPr="00154588" w:rsidRDefault="008B7D81" w:rsidP="008C12B4">
            <w:pPr>
              <w:jc w:val="both"/>
              <w:rPr>
                <w:bCs/>
                <w:sz w:val="20"/>
                <w:szCs w:val="20"/>
              </w:rPr>
            </w:pPr>
          </w:p>
        </w:tc>
      </w:tr>
      <w:tr w:rsidR="008B7D81" w:rsidRPr="00154588" w14:paraId="1F1BD91A" w14:textId="77777777" w:rsidTr="00D15C1B">
        <w:trPr>
          <w:jc w:val="center"/>
        </w:trPr>
        <w:tc>
          <w:tcPr>
            <w:tcW w:w="4957" w:type="dxa"/>
            <w:gridSpan w:val="2"/>
          </w:tcPr>
          <w:p w14:paraId="59186BAD" w14:textId="50C47FEB" w:rsidR="002024E9" w:rsidRPr="00154588" w:rsidRDefault="008B7D81" w:rsidP="008C12B4">
            <w:pPr>
              <w:jc w:val="both"/>
              <w:rPr>
                <w:bCs/>
                <w:sz w:val="20"/>
                <w:szCs w:val="20"/>
              </w:rPr>
            </w:pPr>
            <w:r w:rsidRPr="00154588">
              <w:rPr>
                <w:bCs/>
                <w:sz w:val="20"/>
                <w:szCs w:val="20"/>
              </w:rPr>
              <w:t>(1</w:t>
            </w:r>
            <w:r w:rsidR="00DD0B8B" w:rsidRPr="00154588">
              <w:rPr>
                <w:bCs/>
                <w:sz w:val="20"/>
                <w:szCs w:val="20"/>
              </w:rPr>
              <w:t>)</w:t>
            </w:r>
            <w:r w:rsidR="002024E9" w:rsidRPr="00154588">
              <w:t xml:space="preserve"> </w:t>
            </w:r>
            <w:r w:rsidR="002024E9" w:rsidRPr="00154588">
              <w:rPr>
                <w:bCs/>
                <w:sz w:val="20"/>
                <w:szCs w:val="20"/>
              </w:rPr>
              <w:t xml:space="preserve">Statele membre se asigură că autoritățile competente iau în considerare fără întârzieri nejustificate și, dacă este necesar, aplică măsuri de intervenție timpurie atunci când o instituție sau o entitate menționată la articolul 1 alineatul (1) litera (b), (c) sau (d): </w:t>
            </w:r>
          </w:p>
          <w:p w14:paraId="27C1B831" w14:textId="77777777" w:rsidR="002024E9" w:rsidRPr="00154588" w:rsidRDefault="002024E9" w:rsidP="008C12B4">
            <w:pPr>
              <w:jc w:val="both"/>
              <w:rPr>
                <w:bCs/>
                <w:sz w:val="20"/>
                <w:szCs w:val="20"/>
              </w:rPr>
            </w:pPr>
          </w:p>
          <w:p w14:paraId="138F495B" w14:textId="77777777" w:rsidR="002024E9" w:rsidRPr="00154588" w:rsidRDefault="002024E9" w:rsidP="008C12B4">
            <w:pPr>
              <w:jc w:val="both"/>
              <w:rPr>
                <w:bCs/>
                <w:sz w:val="20"/>
                <w:szCs w:val="20"/>
              </w:rPr>
            </w:pPr>
            <w:r w:rsidRPr="00154588">
              <w:rPr>
                <w:bCs/>
                <w:sz w:val="20"/>
                <w:szCs w:val="20"/>
              </w:rPr>
              <w:t xml:space="preserve">(a) îndeplinește condițiile menționate la articolul 102 din Directiva 2013/36/UE sau la articolul 38 din Directiva (UE) 2019/2034 ori autoritatea competentă a stabilit, în contextul unui proces de supraveghere și evaluare în conformitate cu articolul 97 din Directiva 2013/36/UE, că acordurile, strategiile, procesele și mecanismele implementate de instituție sau de entitate, precum și fondurile proprii și lichiditatea deținute de instituția sau entitatea respectivă nu asigură o bună administrare și o acoperire corespunzătoare </w:t>
            </w:r>
            <w:r w:rsidRPr="00154588">
              <w:rPr>
                <w:bCs/>
                <w:sz w:val="20"/>
                <w:szCs w:val="20"/>
              </w:rPr>
              <w:lastRenderedPageBreak/>
              <w:t>a riscurilor la care este expusă și se aplică oricare dintre următoarele:</w:t>
            </w:r>
          </w:p>
          <w:p w14:paraId="27105936" w14:textId="77777777" w:rsidR="002024E9" w:rsidRPr="00154588" w:rsidRDefault="002024E9" w:rsidP="008C12B4">
            <w:pPr>
              <w:jc w:val="both"/>
              <w:rPr>
                <w:bCs/>
                <w:sz w:val="20"/>
                <w:szCs w:val="20"/>
              </w:rPr>
            </w:pPr>
            <w:r w:rsidRPr="00154588">
              <w:rPr>
                <w:bCs/>
                <w:sz w:val="20"/>
                <w:szCs w:val="20"/>
              </w:rPr>
              <w:t xml:space="preserve">         (i) instituția sau entitatea nu a luat măsurile de remediere solicitate de autoritatea competentă, inclusiv măsurile menționate la articolul 104 din Directiva 2013/36/UE sau la articolul 39 din Directiva (UE) 2019/2034; </w:t>
            </w:r>
          </w:p>
          <w:p w14:paraId="354AD282" w14:textId="77777777" w:rsidR="002024E9" w:rsidRPr="00154588" w:rsidRDefault="002024E9" w:rsidP="008C12B4">
            <w:pPr>
              <w:jc w:val="both"/>
              <w:rPr>
                <w:bCs/>
                <w:sz w:val="20"/>
                <w:szCs w:val="20"/>
              </w:rPr>
            </w:pPr>
            <w:r w:rsidRPr="00154588">
              <w:rPr>
                <w:bCs/>
                <w:sz w:val="20"/>
                <w:szCs w:val="20"/>
              </w:rPr>
              <w:t xml:space="preserve">         (ii) autoritatea competentă consideră că măsurile de remediere, altele decât măsurile de intervenție timpurie, sunt insuficiente pentru a soluționa problemele instituției sau entității respective; </w:t>
            </w:r>
          </w:p>
          <w:p w14:paraId="5B3BE652" w14:textId="77777777" w:rsidR="002024E9" w:rsidRPr="00154588" w:rsidRDefault="002024E9" w:rsidP="008C12B4">
            <w:pPr>
              <w:jc w:val="both"/>
              <w:rPr>
                <w:bCs/>
                <w:sz w:val="20"/>
                <w:szCs w:val="20"/>
              </w:rPr>
            </w:pPr>
          </w:p>
          <w:p w14:paraId="1B3D24D1" w14:textId="77777777" w:rsidR="002024E9" w:rsidRPr="00154588" w:rsidRDefault="002024E9" w:rsidP="008C12B4">
            <w:pPr>
              <w:jc w:val="both"/>
              <w:rPr>
                <w:bCs/>
                <w:sz w:val="20"/>
                <w:szCs w:val="20"/>
              </w:rPr>
            </w:pPr>
            <w:r w:rsidRPr="00154588">
              <w:rPr>
                <w:bCs/>
                <w:sz w:val="20"/>
                <w:szCs w:val="20"/>
              </w:rPr>
              <w:t xml:space="preserve">(b) încalcă cerințele prevăzute la articolul 45e sau 45f din prezenta directivă; sau </w:t>
            </w:r>
          </w:p>
          <w:p w14:paraId="5B22073B" w14:textId="77777777" w:rsidR="002024E9" w:rsidRPr="00154588" w:rsidRDefault="002024E9" w:rsidP="008C12B4">
            <w:pPr>
              <w:jc w:val="both"/>
              <w:rPr>
                <w:bCs/>
                <w:sz w:val="20"/>
                <w:szCs w:val="20"/>
              </w:rPr>
            </w:pPr>
          </w:p>
          <w:p w14:paraId="3D9ABA9E" w14:textId="77777777" w:rsidR="002024E9" w:rsidRPr="00154588" w:rsidRDefault="002024E9" w:rsidP="008C12B4">
            <w:pPr>
              <w:jc w:val="both"/>
              <w:rPr>
                <w:bCs/>
                <w:sz w:val="20"/>
                <w:szCs w:val="20"/>
              </w:rPr>
            </w:pPr>
            <w:r w:rsidRPr="00154588">
              <w:rPr>
                <w:bCs/>
                <w:sz w:val="20"/>
                <w:szCs w:val="20"/>
              </w:rPr>
              <w:t xml:space="preserve">(c) încalcă sau este susceptibilă de a încălca, în perioada de 12 luni de la evaluarea realizată de către autoritatea competentă, oricare dintre cerințele prevăzute la titlul II din Directiva 2014/65/UE ori la articolele 3-7, articolele 14-17 sau articolele 24, 25 și 26 din Regulamentul (UE) nr. 600/2014 al Parlamentului European și al Consiliului (*). </w:t>
            </w:r>
          </w:p>
          <w:p w14:paraId="7EED6018" w14:textId="77777777" w:rsidR="002024E9" w:rsidRPr="00154588" w:rsidRDefault="002024E9" w:rsidP="008C12B4">
            <w:pPr>
              <w:jc w:val="both"/>
              <w:rPr>
                <w:bCs/>
                <w:sz w:val="20"/>
                <w:szCs w:val="20"/>
              </w:rPr>
            </w:pPr>
          </w:p>
          <w:p w14:paraId="653CFFD5" w14:textId="77777777" w:rsidR="002024E9" w:rsidRPr="00154588" w:rsidRDefault="002024E9" w:rsidP="008C12B4">
            <w:pPr>
              <w:jc w:val="both"/>
              <w:rPr>
                <w:bCs/>
                <w:sz w:val="20"/>
                <w:szCs w:val="20"/>
              </w:rPr>
            </w:pPr>
            <w:r w:rsidRPr="00154588">
              <w:rPr>
                <w:bCs/>
                <w:sz w:val="20"/>
                <w:szCs w:val="20"/>
              </w:rPr>
              <w:t xml:space="preserve">Autoritatea competentă poate stabili că este îndeplinită condiția menționată la primul paragraf litera (a) punctul (ii) de la prezentul alineat, fără să fi luat anterior alte măsuri de remediere, inclusiv exercitarea competențelor menționate la articolul 104 din Directiva 2013/36/UE sau la articolul 39 din Directiva (UE) 2019/2034. </w:t>
            </w:r>
          </w:p>
          <w:p w14:paraId="576E831A" w14:textId="77777777" w:rsidR="002024E9" w:rsidRPr="00154588" w:rsidRDefault="002024E9" w:rsidP="008C12B4">
            <w:pPr>
              <w:jc w:val="both"/>
              <w:rPr>
                <w:bCs/>
                <w:sz w:val="20"/>
                <w:szCs w:val="20"/>
              </w:rPr>
            </w:pPr>
          </w:p>
          <w:p w14:paraId="4218FD02" w14:textId="77777777" w:rsidR="002024E9" w:rsidRPr="00154588" w:rsidRDefault="002024E9" w:rsidP="008C12B4">
            <w:pPr>
              <w:jc w:val="both"/>
              <w:rPr>
                <w:bCs/>
                <w:sz w:val="20"/>
                <w:szCs w:val="20"/>
              </w:rPr>
            </w:pPr>
            <w:r w:rsidRPr="00154588">
              <w:rPr>
                <w:bCs/>
                <w:sz w:val="20"/>
                <w:szCs w:val="20"/>
              </w:rPr>
              <w:t xml:space="preserve">În sensul primului paragraf literele (b) și (c) de la prezentul alineat, statele membre se asigură că </w:t>
            </w:r>
            <w:r w:rsidRPr="00154588">
              <w:rPr>
                <w:b/>
                <w:sz w:val="20"/>
                <w:szCs w:val="20"/>
              </w:rPr>
              <w:t>autoritățile de rezoluție sau autoritățile competente</w:t>
            </w:r>
            <w:r w:rsidRPr="00154588">
              <w:rPr>
                <w:bCs/>
                <w:sz w:val="20"/>
                <w:szCs w:val="20"/>
              </w:rPr>
              <w:t>, astfel cum sunt definite la articolul 4 alineatul (1) punctul 26 din Directiva 2014/65/UE, informează fără întârziere autoritatea competentă cu privire la încălcare sau la probabila încălcare.</w:t>
            </w:r>
          </w:p>
          <w:p w14:paraId="5BFE773A" w14:textId="5A831706" w:rsidR="008B7D81" w:rsidRPr="00154588" w:rsidRDefault="008B7D81" w:rsidP="008C12B4">
            <w:pPr>
              <w:jc w:val="both"/>
              <w:rPr>
                <w:bCs/>
                <w:sz w:val="20"/>
                <w:szCs w:val="20"/>
              </w:rPr>
            </w:pPr>
          </w:p>
        </w:tc>
        <w:tc>
          <w:tcPr>
            <w:tcW w:w="4819" w:type="dxa"/>
          </w:tcPr>
          <w:p w14:paraId="2546F14F" w14:textId="24CDE590" w:rsidR="001C3B07" w:rsidRPr="00154588" w:rsidRDefault="00B020D8" w:rsidP="008C12B4">
            <w:pPr>
              <w:ind w:firstLine="567"/>
              <w:jc w:val="both"/>
              <w:rPr>
                <w:bCs/>
                <w:sz w:val="20"/>
                <w:szCs w:val="20"/>
              </w:rPr>
            </w:pPr>
            <w:r w:rsidRPr="00154588">
              <w:rPr>
                <w:rFonts w:eastAsia="Calibri"/>
                <w:b/>
                <w:sz w:val="20"/>
                <w:szCs w:val="18"/>
              </w:rPr>
              <w:lastRenderedPageBreak/>
              <w:t>Articolul 42.</w:t>
            </w:r>
            <w:r w:rsidRPr="00154588">
              <w:rPr>
                <w:rFonts w:eastAsia="Calibri"/>
                <w:sz w:val="20"/>
                <w:szCs w:val="18"/>
              </w:rPr>
              <w:t xml:space="preserve"> – (1)</w:t>
            </w:r>
            <w:r w:rsidR="001C3B07" w:rsidRPr="00154588">
              <w:rPr>
                <w:rFonts w:eastAsia="Calibri"/>
                <w:sz w:val="20"/>
                <w:szCs w:val="18"/>
              </w:rPr>
              <w:t xml:space="preserve"> Banca Națională a </w:t>
            </w:r>
            <w:r w:rsidR="00105A46" w:rsidRPr="00154588">
              <w:rPr>
                <w:rFonts w:eastAsia="Calibri"/>
                <w:sz w:val="20"/>
                <w:szCs w:val="18"/>
              </w:rPr>
              <w:t>M</w:t>
            </w:r>
            <w:r w:rsidR="001C3B07" w:rsidRPr="00154588">
              <w:rPr>
                <w:rFonts w:eastAsia="Calibri"/>
                <w:sz w:val="20"/>
                <w:szCs w:val="18"/>
              </w:rPr>
              <w:t xml:space="preserve">oldovei în calitate de autoritate competentă, ia în considerare fără </w:t>
            </w:r>
            <w:r w:rsidR="00807BB5" w:rsidRPr="00154588">
              <w:rPr>
                <w:rFonts w:eastAsia="Calibri"/>
                <w:sz w:val="20"/>
                <w:szCs w:val="18"/>
              </w:rPr>
              <w:t>întârzieri</w:t>
            </w:r>
            <w:r w:rsidR="001C3B07" w:rsidRPr="00154588">
              <w:rPr>
                <w:rFonts w:eastAsia="Calibri"/>
                <w:sz w:val="20"/>
                <w:szCs w:val="18"/>
              </w:rPr>
              <w:t xml:space="preserve"> nejustificate, </w:t>
            </w:r>
            <w:r w:rsidR="004263D8" w:rsidRPr="00154588">
              <w:rPr>
                <w:rFonts w:eastAsia="Calibri"/>
                <w:sz w:val="20"/>
                <w:szCs w:val="18"/>
              </w:rPr>
              <w:t>ș</w:t>
            </w:r>
            <w:r w:rsidR="001C3B07" w:rsidRPr="00154588">
              <w:rPr>
                <w:rFonts w:eastAsia="Calibri"/>
                <w:sz w:val="20"/>
                <w:szCs w:val="18"/>
              </w:rPr>
              <w:t xml:space="preserve">i dacă este necesar aplică masurile de interventie timpurie atunci </w:t>
            </w:r>
            <w:r w:rsidR="00807BB5" w:rsidRPr="00154588">
              <w:rPr>
                <w:rFonts w:eastAsia="Calibri"/>
                <w:sz w:val="20"/>
                <w:szCs w:val="18"/>
              </w:rPr>
              <w:t>când</w:t>
            </w:r>
            <w:r w:rsidR="004263D8" w:rsidRPr="00154588">
              <w:rPr>
                <w:rFonts w:eastAsia="Calibri"/>
                <w:sz w:val="20"/>
                <w:szCs w:val="18"/>
              </w:rPr>
              <w:t xml:space="preserve"> o</w:t>
            </w:r>
            <w:r w:rsidR="001C3B07" w:rsidRPr="00154588">
              <w:rPr>
                <w:rFonts w:eastAsia="Calibri"/>
                <w:sz w:val="20"/>
                <w:szCs w:val="18"/>
              </w:rPr>
              <w:t xml:space="preserve"> </w:t>
            </w:r>
            <w:r w:rsidR="001C3B07" w:rsidRPr="00154588">
              <w:rPr>
                <w:bCs/>
                <w:sz w:val="20"/>
                <w:szCs w:val="20"/>
              </w:rPr>
              <w:t>instituție de credit sau o entitate menționată la art</w:t>
            </w:r>
            <w:r w:rsidR="00807BB5" w:rsidRPr="00154588">
              <w:rPr>
                <w:bCs/>
                <w:sz w:val="20"/>
                <w:szCs w:val="20"/>
              </w:rPr>
              <w:t>.</w:t>
            </w:r>
            <w:r w:rsidR="001C3B07" w:rsidRPr="00154588">
              <w:rPr>
                <w:bCs/>
                <w:sz w:val="20"/>
                <w:szCs w:val="20"/>
              </w:rPr>
              <w:t>1 alin</w:t>
            </w:r>
            <w:r w:rsidR="00807BB5" w:rsidRPr="00154588">
              <w:rPr>
                <w:bCs/>
                <w:sz w:val="20"/>
                <w:szCs w:val="20"/>
              </w:rPr>
              <w:t>.</w:t>
            </w:r>
            <w:r w:rsidR="001C3B07" w:rsidRPr="00154588">
              <w:rPr>
                <w:bCs/>
                <w:sz w:val="20"/>
                <w:szCs w:val="20"/>
              </w:rPr>
              <w:t>(1) lit</w:t>
            </w:r>
            <w:r w:rsidR="00807BB5" w:rsidRPr="00154588">
              <w:rPr>
                <w:bCs/>
                <w:sz w:val="20"/>
                <w:szCs w:val="20"/>
              </w:rPr>
              <w:t>.</w:t>
            </w:r>
            <w:r w:rsidR="001C3B07" w:rsidRPr="00154588">
              <w:rPr>
                <w:bCs/>
                <w:sz w:val="20"/>
                <w:szCs w:val="20"/>
              </w:rPr>
              <w:t>b), c) sau d):</w:t>
            </w:r>
          </w:p>
          <w:p w14:paraId="5E7C7125" w14:textId="2ECD5D0F" w:rsidR="009E7CDF" w:rsidRPr="00154588" w:rsidRDefault="001C3B07" w:rsidP="008C12B4">
            <w:pPr>
              <w:ind w:firstLine="567"/>
              <w:jc w:val="both"/>
              <w:rPr>
                <w:rFonts w:eastAsia="Calibri"/>
                <w:sz w:val="20"/>
                <w:szCs w:val="18"/>
              </w:rPr>
            </w:pPr>
            <w:r w:rsidRPr="00154588">
              <w:rPr>
                <w:bCs/>
                <w:sz w:val="20"/>
                <w:szCs w:val="20"/>
              </w:rPr>
              <w:t>a)_</w:t>
            </w:r>
            <w:r w:rsidR="006A1603" w:rsidRPr="00154588">
              <w:rPr>
                <w:bCs/>
                <w:sz w:val="20"/>
                <w:szCs w:val="20"/>
              </w:rPr>
              <w:t>întrunește</w:t>
            </w:r>
            <w:r w:rsidR="00921E7D" w:rsidRPr="00154588">
              <w:rPr>
                <w:bCs/>
                <w:sz w:val="20"/>
                <w:szCs w:val="20"/>
              </w:rPr>
              <w:t xml:space="preserve"> condițiile </w:t>
            </w:r>
            <w:r w:rsidR="00807BB5" w:rsidRPr="00154588">
              <w:rPr>
                <w:bCs/>
                <w:sz w:val="20"/>
                <w:szCs w:val="20"/>
              </w:rPr>
              <w:t>menționate</w:t>
            </w:r>
            <w:r w:rsidR="00921E7D" w:rsidRPr="00154588">
              <w:rPr>
                <w:bCs/>
                <w:sz w:val="20"/>
                <w:szCs w:val="20"/>
              </w:rPr>
              <w:t xml:space="preserve"> la art.139 din Legea </w:t>
            </w:r>
            <w:r w:rsidR="00807BB5" w:rsidRPr="00154588">
              <w:rPr>
                <w:bCs/>
                <w:sz w:val="20"/>
                <w:szCs w:val="20"/>
              </w:rPr>
              <w:t>nr.</w:t>
            </w:r>
            <w:r w:rsidR="00921E7D" w:rsidRPr="00154588">
              <w:rPr>
                <w:bCs/>
                <w:sz w:val="20"/>
                <w:szCs w:val="20"/>
              </w:rPr>
              <w:t>202/2017 sau B</w:t>
            </w:r>
            <w:r w:rsidR="00964598" w:rsidRPr="00154588">
              <w:rPr>
                <w:bCs/>
                <w:sz w:val="20"/>
                <w:szCs w:val="20"/>
              </w:rPr>
              <w:t xml:space="preserve">anca </w:t>
            </w:r>
            <w:r w:rsidR="00921E7D" w:rsidRPr="00154588">
              <w:rPr>
                <w:bCs/>
                <w:sz w:val="20"/>
                <w:szCs w:val="20"/>
              </w:rPr>
              <w:t>N</w:t>
            </w:r>
            <w:r w:rsidR="00964598" w:rsidRPr="00154588">
              <w:rPr>
                <w:bCs/>
                <w:sz w:val="20"/>
                <w:szCs w:val="20"/>
              </w:rPr>
              <w:t xml:space="preserve">ațională a </w:t>
            </w:r>
            <w:r w:rsidR="00921E7D" w:rsidRPr="00154588">
              <w:rPr>
                <w:bCs/>
                <w:sz w:val="20"/>
                <w:szCs w:val="20"/>
              </w:rPr>
              <w:t>M</w:t>
            </w:r>
            <w:r w:rsidR="00964598" w:rsidRPr="00154588">
              <w:rPr>
                <w:bCs/>
                <w:sz w:val="20"/>
                <w:szCs w:val="20"/>
              </w:rPr>
              <w:t>oldovei,</w:t>
            </w:r>
            <w:r w:rsidR="00921E7D" w:rsidRPr="00154588">
              <w:rPr>
                <w:bCs/>
                <w:sz w:val="20"/>
                <w:szCs w:val="20"/>
              </w:rPr>
              <w:t xml:space="preserve"> </w:t>
            </w:r>
            <w:r w:rsidR="004263D8" w:rsidRPr="00154588">
              <w:rPr>
                <w:bCs/>
                <w:sz w:val="20"/>
                <w:szCs w:val="20"/>
              </w:rPr>
              <w:t>î</w:t>
            </w:r>
            <w:r w:rsidR="00921E7D" w:rsidRPr="00154588">
              <w:rPr>
                <w:bCs/>
                <w:sz w:val="20"/>
                <w:szCs w:val="20"/>
              </w:rPr>
              <w:t>n calitate de autoritate competentă</w:t>
            </w:r>
            <w:r w:rsidR="00964598" w:rsidRPr="00154588">
              <w:rPr>
                <w:bCs/>
                <w:sz w:val="20"/>
                <w:szCs w:val="20"/>
              </w:rPr>
              <w:t>, a stabilit în contextul unui proces de verificare și evaluare în conformitate cu a</w:t>
            </w:r>
            <w:r w:rsidR="00B03D05" w:rsidRPr="00154588">
              <w:rPr>
                <w:bCs/>
                <w:sz w:val="20"/>
                <w:szCs w:val="20"/>
              </w:rPr>
              <w:t>r</w:t>
            </w:r>
            <w:r w:rsidR="00964598" w:rsidRPr="00154588">
              <w:rPr>
                <w:bCs/>
                <w:sz w:val="20"/>
                <w:szCs w:val="20"/>
              </w:rPr>
              <w:t>t</w:t>
            </w:r>
            <w:r w:rsidR="003F0383" w:rsidRPr="00154588">
              <w:rPr>
                <w:bCs/>
                <w:sz w:val="20"/>
                <w:szCs w:val="20"/>
              </w:rPr>
              <w:t>.</w:t>
            </w:r>
            <w:r w:rsidR="00964598" w:rsidRPr="00154588">
              <w:rPr>
                <w:bCs/>
                <w:sz w:val="20"/>
                <w:szCs w:val="20"/>
              </w:rPr>
              <w:t xml:space="preserve">100 din Legea </w:t>
            </w:r>
            <w:r w:rsidR="00807BB5" w:rsidRPr="00154588">
              <w:rPr>
                <w:bCs/>
                <w:sz w:val="20"/>
                <w:szCs w:val="20"/>
              </w:rPr>
              <w:t>nr.</w:t>
            </w:r>
            <w:r w:rsidR="00964598" w:rsidRPr="00154588">
              <w:rPr>
                <w:bCs/>
                <w:sz w:val="20"/>
                <w:szCs w:val="20"/>
              </w:rPr>
              <w:t xml:space="preserve">202/2017, că activitățile, strategiile, procesele și mecanismele </w:t>
            </w:r>
            <w:r w:rsidR="00807BB5" w:rsidRPr="00154588">
              <w:rPr>
                <w:bCs/>
                <w:sz w:val="20"/>
                <w:szCs w:val="20"/>
              </w:rPr>
              <w:t>implementate</w:t>
            </w:r>
            <w:r w:rsidR="00964598" w:rsidRPr="00154588">
              <w:rPr>
                <w:bCs/>
                <w:sz w:val="20"/>
                <w:szCs w:val="20"/>
              </w:rPr>
              <w:t xml:space="preserve"> de instituția de credit sau </w:t>
            </w:r>
            <w:r w:rsidR="00921E7D" w:rsidRPr="00154588">
              <w:rPr>
                <w:bCs/>
                <w:sz w:val="20"/>
                <w:szCs w:val="20"/>
              </w:rPr>
              <w:t xml:space="preserve"> </w:t>
            </w:r>
            <w:r w:rsidR="009E7CDF" w:rsidRPr="00154588">
              <w:rPr>
                <w:bCs/>
                <w:sz w:val="20"/>
                <w:szCs w:val="20"/>
              </w:rPr>
              <w:t xml:space="preserve">entitate, precum si fondurile proprii si lichiditatea deținute de instituția de credit sau entitatea respectivă nu asigură o bună administrtare </w:t>
            </w:r>
            <w:r w:rsidR="004263D8" w:rsidRPr="00154588">
              <w:rPr>
                <w:bCs/>
                <w:sz w:val="20"/>
                <w:szCs w:val="20"/>
              </w:rPr>
              <w:t>ș</w:t>
            </w:r>
            <w:r w:rsidR="009E7CDF" w:rsidRPr="00154588">
              <w:rPr>
                <w:bCs/>
                <w:sz w:val="20"/>
                <w:szCs w:val="20"/>
              </w:rPr>
              <w:t>i o acoperire corespunzătoare a riscurilor la care este expusă și se aplică oricare dintre următoarele</w:t>
            </w:r>
            <w:r w:rsidR="009E7CDF" w:rsidRPr="00154588">
              <w:rPr>
                <w:rFonts w:eastAsia="Calibri"/>
                <w:sz w:val="20"/>
                <w:szCs w:val="18"/>
              </w:rPr>
              <w:t>:</w:t>
            </w:r>
          </w:p>
          <w:p w14:paraId="54DB4331" w14:textId="6B315993" w:rsidR="00191FB4" w:rsidRPr="00154588" w:rsidRDefault="00191FB4" w:rsidP="008C12B4">
            <w:pPr>
              <w:ind w:firstLine="567"/>
              <w:jc w:val="both"/>
              <w:rPr>
                <w:bCs/>
                <w:sz w:val="20"/>
                <w:szCs w:val="20"/>
              </w:rPr>
            </w:pPr>
            <w:r w:rsidRPr="00154588">
              <w:rPr>
                <w:rFonts w:eastAsia="Calibri"/>
                <w:sz w:val="20"/>
                <w:szCs w:val="18"/>
              </w:rPr>
              <w:lastRenderedPageBreak/>
              <w:t>(i)</w:t>
            </w:r>
            <w:r w:rsidR="004263D8" w:rsidRPr="00154588">
              <w:rPr>
                <w:rFonts w:eastAsia="Calibri"/>
                <w:sz w:val="20"/>
                <w:szCs w:val="18"/>
              </w:rPr>
              <w:t xml:space="preserve"> </w:t>
            </w:r>
            <w:r w:rsidR="004263D8" w:rsidRPr="00154588">
              <w:rPr>
                <w:bCs/>
                <w:sz w:val="20"/>
                <w:szCs w:val="20"/>
              </w:rPr>
              <w:t xml:space="preserve">instituția </w:t>
            </w:r>
            <w:r w:rsidR="00105A46" w:rsidRPr="00154588">
              <w:rPr>
                <w:bCs/>
                <w:sz w:val="20"/>
                <w:szCs w:val="20"/>
              </w:rPr>
              <w:t xml:space="preserve">de credit </w:t>
            </w:r>
            <w:r w:rsidR="004263D8" w:rsidRPr="00154588">
              <w:rPr>
                <w:bCs/>
                <w:sz w:val="20"/>
                <w:szCs w:val="20"/>
              </w:rPr>
              <w:t>sau entitatea nu a luat măsurile de remediere solicitate de autoritatea competentă, inclusiv măsurile menționate la art</w:t>
            </w:r>
            <w:r w:rsidR="00807BB5" w:rsidRPr="00154588">
              <w:rPr>
                <w:bCs/>
                <w:sz w:val="20"/>
                <w:szCs w:val="20"/>
              </w:rPr>
              <w:t>.</w:t>
            </w:r>
            <w:r w:rsidR="004263D8" w:rsidRPr="00154588">
              <w:rPr>
                <w:bCs/>
                <w:sz w:val="20"/>
                <w:szCs w:val="20"/>
              </w:rPr>
              <w:t>139 alin.(3)</w:t>
            </w:r>
            <w:r w:rsidRPr="00154588">
              <w:rPr>
                <w:bCs/>
                <w:sz w:val="20"/>
                <w:szCs w:val="20"/>
              </w:rPr>
              <w:t xml:space="preserve"> din Legea </w:t>
            </w:r>
            <w:r w:rsidR="00807BB5" w:rsidRPr="00154588">
              <w:rPr>
                <w:bCs/>
                <w:sz w:val="20"/>
                <w:szCs w:val="20"/>
              </w:rPr>
              <w:t>nr.</w:t>
            </w:r>
            <w:r w:rsidRPr="00154588">
              <w:rPr>
                <w:bCs/>
                <w:sz w:val="20"/>
                <w:szCs w:val="20"/>
              </w:rPr>
              <w:t>202/2017;</w:t>
            </w:r>
          </w:p>
          <w:p w14:paraId="5DE22F40" w14:textId="4ADE1BCB" w:rsidR="00191FB4" w:rsidRPr="00154588" w:rsidRDefault="00191FB4" w:rsidP="008C12B4">
            <w:pPr>
              <w:ind w:firstLine="567"/>
              <w:jc w:val="both"/>
              <w:rPr>
                <w:rFonts w:eastAsia="Calibri"/>
                <w:sz w:val="20"/>
                <w:szCs w:val="18"/>
              </w:rPr>
            </w:pPr>
            <w:r w:rsidRPr="00154588">
              <w:rPr>
                <w:bCs/>
                <w:sz w:val="20"/>
                <w:szCs w:val="20"/>
              </w:rPr>
              <w:t>(ii) Banca Națională</w:t>
            </w:r>
            <w:r w:rsidR="006A1603" w:rsidRPr="00154588">
              <w:rPr>
                <w:bCs/>
                <w:sz w:val="20"/>
                <w:szCs w:val="20"/>
              </w:rPr>
              <w:t xml:space="preserve"> a Moldovei</w:t>
            </w:r>
            <w:r w:rsidRPr="00154588">
              <w:rPr>
                <w:bCs/>
                <w:sz w:val="20"/>
                <w:szCs w:val="20"/>
              </w:rPr>
              <w:t>, în calitate de autoritate competentă, consideră că măsurile de remediere, altele decât măsurile de intervenție timpurie, sunt insuficiente pentru a soluționa problemele instituției sau entității respective</w:t>
            </w:r>
            <w:r w:rsidRPr="00154588">
              <w:rPr>
                <w:rFonts w:eastAsia="Calibri"/>
                <w:sz w:val="20"/>
                <w:szCs w:val="18"/>
              </w:rPr>
              <w:t>;</w:t>
            </w:r>
          </w:p>
          <w:p w14:paraId="7553C62B" w14:textId="6A7CD4A2" w:rsidR="00191FB4" w:rsidRPr="00154588" w:rsidRDefault="00191FB4" w:rsidP="008C12B4">
            <w:pPr>
              <w:pStyle w:val="a7"/>
              <w:numPr>
                <w:ilvl w:val="0"/>
                <w:numId w:val="11"/>
              </w:numPr>
              <w:ind w:left="0" w:firstLine="567"/>
              <w:jc w:val="both"/>
              <w:rPr>
                <w:rFonts w:cs="Times New Roman"/>
                <w:sz w:val="20"/>
                <w:szCs w:val="20"/>
                <w:lang w:val="it-CH"/>
              </w:rPr>
            </w:pPr>
            <w:r w:rsidRPr="00154588">
              <w:rPr>
                <w:rFonts w:cs="Times New Roman"/>
                <w:sz w:val="20"/>
                <w:szCs w:val="20"/>
                <w:lang w:val="it-CH"/>
              </w:rPr>
              <w:t>încalcă cerințele prevăzute la articolul 167</w:t>
            </w:r>
            <w:r w:rsidRPr="00154588">
              <w:rPr>
                <w:rFonts w:cs="Times New Roman"/>
                <w:sz w:val="20"/>
                <w:szCs w:val="20"/>
                <w:vertAlign w:val="superscript"/>
                <w:lang w:val="it-CH"/>
              </w:rPr>
              <w:t>14</w:t>
            </w:r>
            <w:r w:rsidRPr="00154588">
              <w:rPr>
                <w:rFonts w:cs="Times New Roman"/>
                <w:sz w:val="20"/>
                <w:szCs w:val="20"/>
                <w:lang w:val="it-CH"/>
              </w:rPr>
              <w:t xml:space="preserve"> sau 1</w:t>
            </w:r>
            <w:r w:rsidR="006A1603" w:rsidRPr="00154588">
              <w:rPr>
                <w:rFonts w:cs="Times New Roman"/>
                <w:sz w:val="20"/>
                <w:szCs w:val="20"/>
                <w:lang w:val="it-CH"/>
              </w:rPr>
              <w:t>67</w:t>
            </w:r>
            <w:r w:rsidRPr="00154588">
              <w:rPr>
                <w:rFonts w:cs="Times New Roman"/>
                <w:sz w:val="20"/>
                <w:szCs w:val="20"/>
                <w:vertAlign w:val="superscript"/>
                <w:lang w:val="it-CH"/>
              </w:rPr>
              <w:t>15</w:t>
            </w:r>
            <w:r w:rsidRPr="00154588">
              <w:rPr>
                <w:rFonts w:cs="Times New Roman"/>
                <w:sz w:val="20"/>
                <w:szCs w:val="20"/>
                <w:lang w:val="it-CH"/>
              </w:rPr>
              <w:t xml:space="preserve"> – 167</w:t>
            </w:r>
            <w:r w:rsidRPr="00154588">
              <w:rPr>
                <w:rFonts w:cs="Times New Roman"/>
                <w:sz w:val="20"/>
                <w:szCs w:val="20"/>
                <w:vertAlign w:val="superscript"/>
                <w:lang w:val="it-CH"/>
              </w:rPr>
              <w:t>19</w:t>
            </w:r>
            <w:r w:rsidRPr="00154588">
              <w:rPr>
                <w:rFonts w:cs="Times New Roman"/>
                <w:sz w:val="20"/>
                <w:szCs w:val="20"/>
                <w:lang w:val="it-CH"/>
              </w:rPr>
              <w:t xml:space="preserve"> din prezenta lege; </w:t>
            </w:r>
          </w:p>
          <w:p w14:paraId="1945F373" w14:textId="55B4F62E" w:rsidR="00871791" w:rsidRPr="00154588" w:rsidRDefault="006020E6" w:rsidP="008C12B4">
            <w:pPr>
              <w:ind w:firstLine="567"/>
              <w:jc w:val="both"/>
              <w:rPr>
                <w:bCs/>
                <w:sz w:val="20"/>
                <w:szCs w:val="20"/>
              </w:rPr>
            </w:pPr>
            <w:r w:rsidRPr="00154588">
              <w:rPr>
                <w:rFonts w:eastAsia="Calibri"/>
                <w:sz w:val="20"/>
                <w:szCs w:val="18"/>
              </w:rPr>
              <w:t>(2) Banca Națională</w:t>
            </w:r>
            <w:r w:rsidR="00B52CF3" w:rsidRPr="00154588">
              <w:rPr>
                <w:rFonts w:eastAsia="Calibri"/>
                <w:sz w:val="20"/>
                <w:szCs w:val="18"/>
              </w:rPr>
              <w:t xml:space="preserve"> a Moldovei</w:t>
            </w:r>
            <w:r w:rsidRPr="00154588">
              <w:rPr>
                <w:rFonts w:eastAsia="Calibri"/>
                <w:sz w:val="20"/>
                <w:szCs w:val="18"/>
              </w:rPr>
              <w:t xml:space="preserve">, în calitate de autoritate competentă poate </w:t>
            </w:r>
            <w:r w:rsidRPr="00154588">
              <w:rPr>
                <w:bCs/>
                <w:sz w:val="20"/>
                <w:szCs w:val="20"/>
              </w:rPr>
              <w:t>stabili că este îndeplinită condiția menționată la alin</w:t>
            </w:r>
            <w:r w:rsidR="00807BB5" w:rsidRPr="00154588">
              <w:rPr>
                <w:bCs/>
                <w:sz w:val="20"/>
                <w:szCs w:val="20"/>
              </w:rPr>
              <w:t>.</w:t>
            </w:r>
            <w:r w:rsidRPr="00154588">
              <w:rPr>
                <w:bCs/>
                <w:sz w:val="20"/>
                <w:szCs w:val="20"/>
              </w:rPr>
              <w:t>(1) lit</w:t>
            </w:r>
            <w:r w:rsidR="00807BB5" w:rsidRPr="00154588">
              <w:rPr>
                <w:bCs/>
                <w:sz w:val="20"/>
                <w:szCs w:val="20"/>
              </w:rPr>
              <w:t>.</w:t>
            </w:r>
            <w:r w:rsidRPr="00154588">
              <w:rPr>
                <w:bCs/>
                <w:sz w:val="20"/>
                <w:szCs w:val="20"/>
              </w:rPr>
              <w:t>a) punctul (ii), fără să fi luat anterior alte măsuri de remediere, inclusiv exercitarea competențelor menționate la art</w:t>
            </w:r>
            <w:r w:rsidR="00807BB5" w:rsidRPr="00154588">
              <w:rPr>
                <w:bCs/>
                <w:sz w:val="20"/>
                <w:szCs w:val="20"/>
              </w:rPr>
              <w:t>.</w:t>
            </w:r>
            <w:r w:rsidRPr="00154588">
              <w:rPr>
                <w:bCs/>
                <w:sz w:val="20"/>
                <w:szCs w:val="20"/>
              </w:rPr>
              <w:t xml:space="preserve">139 alin.(3) din Legea </w:t>
            </w:r>
            <w:r w:rsidR="00807BB5" w:rsidRPr="00154588">
              <w:rPr>
                <w:bCs/>
                <w:sz w:val="20"/>
                <w:szCs w:val="20"/>
              </w:rPr>
              <w:t>nr.</w:t>
            </w:r>
            <w:r w:rsidRPr="00154588">
              <w:rPr>
                <w:bCs/>
                <w:sz w:val="20"/>
                <w:szCs w:val="20"/>
              </w:rPr>
              <w:t xml:space="preserve">202/2017. </w:t>
            </w:r>
          </w:p>
          <w:p w14:paraId="29AF5D55" w14:textId="13E72305" w:rsidR="006020E6" w:rsidRPr="00154588" w:rsidRDefault="006020E6" w:rsidP="008C12B4">
            <w:pPr>
              <w:ind w:firstLine="567"/>
              <w:jc w:val="both"/>
              <w:rPr>
                <w:rFonts w:eastAsia="Calibri"/>
                <w:sz w:val="20"/>
                <w:szCs w:val="18"/>
              </w:rPr>
            </w:pPr>
            <w:r w:rsidRPr="00154588">
              <w:rPr>
                <w:rFonts w:eastAsia="Calibri"/>
                <w:sz w:val="20"/>
                <w:szCs w:val="18"/>
              </w:rPr>
              <w:t>(3)În sensul alin.(1) lit</w:t>
            </w:r>
            <w:r w:rsidR="00807BB5" w:rsidRPr="00154588">
              <w:rPr>
                <w:rFonts w:eastAsia="Calibri"/>
                <w:sz w:val="20"/>
                <w:szCs w:val="18"/>
              </w:rPr>
              <w:t>.</w:t>
            </w:r>
            <w:r w:rsidRPr="00154588">
              <w:rPr>
                <w:rFonts w:eastAsia="Calibri"/>
                <w:sz w:val="20"/>
                <w:szCs w:val="18"/>
              </w:rPr>
              <w:t>b)</w:t>
            </w:r>
            <w:r w:rsidR="001E78F2" w:rsidRPr="00154588">
              <w:rPr>
                <w:rFonts w:eastAsia="Calibri"/>
                <w:sz w:val="20"/>
                <w:szCs w:val="18"/>
              </w:rPr>
              <w:t xml:space="preserve">, </w:t>
            </w:r>
            <w:r w:rsidR="00AA51F2" w:rsidRPr="00154588">
              <w:rPr>
                <w:rFonts w:eastAsia="Calibri"/>
                <w:sz w:val="20"/>
                <w:szCs w:val="18"/>
              </w:rPr>
              <w:t>autoritatea</w:t>
            </w:r>
            <w:r w:rsidR="001E78F2" w:rsidRPr="00154588">
              <w:rPr>
                <w:rFonts w:eastAsia="Calibri"/>
                <w:sz w:val="20"/>
                <w:szCs w:val="18"/>
              </w:rPr>
              <w:t xml:space="preserve"> de </w:t>
            </w:r>
            <w:r w:rsidR="00666CB8" w:rsidRPr="00154588">
              <w:rPr>
                <w:rFonts w:eastAsia="Calibri"/>
                <w:sz w:val="20"/>
                <w:szCs w:val="18"/>
              </w:rPr>
              <w:t>rezoluție</w:t>
            </w:r>
            <w:r w:rsidR="001E78F2" w:rsidRPr="00154588">
              <w:rPr>
                <w:rFonts w:eastAsia="Calibri"/>
                <w:sz w:val="20"/>
                <w:szCs w:val="18"/>
              </w:rPr>
              <w:t xml:space="preserve"> </w:t>
            </w:r>
            <w:r w:rsidR="00666CB8" w:rsidRPr="00154588">
              <w:rPr>
                <w:rFonts w:eastAsia="Calibri"/>
                <w:sz w:val="20"/>
                <w:szCs w:val="18"/>
              </w:rPr>
              <w:t>informează</w:t>
            </w:r>
            <w:r w:rsidR="001E78F2" w:rsidRPr="00154588">
              <w:rPr>
                <w:rFonts w:eastAsia="Calibri"/>
                <w:sz w:val="20"/>
                <w:szCs w:val="18"/>
              </w:rPr>
              <w:t xml:space="preserve"> fără întarziere  </w:t>
            </w:r>
            <w:r w:rsidR="00AA51F2" w:rsidRPr="00154588">
              <w:rPr>
                <w:rFonts w:eastAsia="Calibri"/>
                <w:sz w:val="20"/>
                <w:szCs w:val="18"/>
              </w:rPr>
              <w:t>autoritatea competentă</w:t>
            </w:r>
            <w:r w:rsidR="001E78F2" w:rsidRPr="00154588">
              <w:rPr>
                <w:rFonts w:eastAsia="Calibri"/>
                <w:sz w:val="20"/>
                <w:szCs w:val="18"/>
              </w:rPr>
              <w:t xml:space="preserve"> </w:t>
            </w:r>
            <w:r w:rsidR="001E78F2" w:rsidRPr="00154588">
              <w:rPr>
                <w:bCs/>
                <w:sz w:val="20"/>
                <w:szCs w:val="20"/>
              </w:rPr>
              <w:t>cu privire la încălcare sau la probabila încălcare.</w:t>
            </w:r>
          </w:p>
          <w:p w14:paraId="04585F36" w14:textId="77777777" w:rsidR="006840E9" w:rsidRPr="00154588" w:rsidRDefault="006840E9" w:rsidP="008C12B4">
            <w:pPr>
              <w:pStyle w:val="a7"/>
              <w:ind w:left="0" w:firstLine="567"/>
              <w:jc w:val="both"/>
              <w:rPr>
                <w:rFonts w:eastAsia="Calibri" w:cs="Times New Roman"/>
                <w:sz w:val="20"/>
                <w:szCs w:val="18"/>
                <w:lang w:val="ro-RO"/>
              </w:rPr>
            </w:pPr>
          </w:p>
          <w:p w14:paraId="096CA78F" w14:textId="0BC2704A" w:rsidR="008B7D81" w:rsidRPr="00154588" w:rsidRDefault="008B7D81" w:rsidP="008C12B4">
            <w:pPr>
              <w:ind w:firstLine="567"/>
              <w:jc w:val="both"/>
              <w:rPr>
                <w:rFonts w:eastAsia="Calibri"/>
                <w:kern w:val="2"/>
                <w:sz w:val="20"/>
                <w:szCs w:val="18"/>
                <w14:ligatures w14:val="standardContextual"/>
              </w:rPr>
            </w:pPr>
          </w:p>
        </w:tc>
        <w:tc>
          <w:tcPr>
            <w:tcW w:w="2552" w:type="dxa"/>
          </w:tcPr>
          <w:p w14:paraId="3BD59C5C" w14:textId="735E941B" w:rsidR="008B7D81" w:rsidRPr="00154588" w:rsidRDefault="00B020D8" w:rsidP="008C12B4">
            <w:pPr>
              <w:jc w:val="both"/>
              <w:rPr>
                <w:bCs/>
                <w:sz w:val="20"/>
                <w:szCs w:val="20"/>
              </w:rPr>
            </w:pPr>
            <w:r w:rsidRPr="00154588">
              <w:rPr>
                <w:bCs/>
                <w:sz w:val="20"/>
                <w:szCs w:val="20"/>
              </w:rPr>
              <w:lastRenderedPageBreak/>
              <w:t>Compatibil</w:t>
            </w:r>
          </w:p>
        </w:tc>
        <w:tc>
          <w:tcPr>
            <w:tcW w:w="3118" w:type="dxa"/>
          </w:tcPr>
          <w:p w14:paraId="0CDC48AC" w14:textId="2C1741BB" w:rsidR="00F317EA" w:rsidRPr="00154588" w:rsidRDefault="00F317EA" w:rsidP="008C12B4">
            <w:pPr>
              <w:jc w:val="both"/>
              <w:rPr>
                <w:bCs/>
                <w:sz w:val="20"/>
                <w:szCs w:val="20"/>
                <w:lang w:val="ro-MD"/>
              </w:rPr>
            </w:pPr>
          </w:p>
        </w:tc>
      </w:tr>
      <w:tr w:rsidR="008B7D81" w:rsidRPr="00154588" w14:paraId="00AEFECD" w14:textId="77777777" w:rsidTr="00D15C1B">
        <w:trPr>
          <w:jc w:val="center"/>
        </w:trPr>
        <w:tc>
          <w:tcPr>
            <w:tcW w:w="4957" w:type="dxa"/>
            <w:gridSpan w:val="2"/>
          </w:tcPr>
          <w:p w14:paraId="7383EE5D" w14:textId="77777777" w:rsidR="002024E9" w:rsidRPr="00154588" w:rsidRDefault="002024E9" w:rsidP="008C12B4">
            <w:pPr>
              <w:jc w:val="both"/>
              <w:rPr>
                <w:bCs/>
                <w:sz w:val="20"/>
                <w:szCs w:val="20"/>
              </w:rPr>
            </w:pPr>
            <w:r w:rsidRPr="00154588">
              <w:rPr>
                <w:bCs/>
                <w:sz w:val="20"/>
                <w:szCs w:val="20"/>
              </w:rPr>
              <w:t xml:space="preserve">(2) În sensul alineatului (1), măsurile de intervenție timpurie includ următoarele: </w:t>
            </w:r>
          </w:p>
          <w:p w14:paraId="632BADAB" w14:textId="77777777" w:rsidR="002024E9" w:rsidRPr="00154588" w:rsidRDefault="002024E9" w:rsidP="008C12B4">
            <w:pPr>
              <w:jc w:val="both"/>
              <w:rPr>
                <w:bCs/>
                <w:sz w:val="20"/>
                <w:szCs w:val="20"/>
              </w:rPr>
            </w:pPr>
          </w:p>
          <w:p w14:paraId="66F9B00B" w14:textId="77777777" w:rsidR="002024E9" w:rsidRPr="00154588" w:rsidRDefault="002024E9" w:rsidP="008C12B4">
            <w:pPr>
              <w:jc w:val="both"/>
              <w:rPr>
                <w:bCs/>
                <w:sz w:val="20"/>
                <w:szCs w:val="20"/>
              </w:rPr>
            </w:pPr>
            <w:r w:rsidRPr="00154588">
              <w:rPr>
                <w:bCs/>
                <w:sz w:val="20"/>
                <w:szCs w:val="20"/>
              </w:rPr>
              <w:t xml:space="preserve">(a) cerința ca organul de conducere al instituției sau al entității: </w:t>
            </w:r>
          </w:p>
          <w:p w14:paraId="321D4169" w14:textId="77777777" w:rsidR="002024E9" w:rsidRPr="00154588" w:rsidRDefault="002024E9" w:rsidP="008C12B4">
            <w:pPr>
              <w:jc w:val="both"/>
              <w:rPr>
                <w:bCs/>
                <w:sz w:val="20"/>
                <w:szCs w:val="20"/>
              </w:rPr>
            </w:pPr>
            <w:r w:rsidRPr="00154588">
              <w:rPr>
                <w:bCs/>
                <w:sz w:val="20"/>
                <w:szCs w:val="20"/>
              </w:rPr>
              <w:t xml:space="preserve">        (i) să pună în aplicare una sau mai multe dintre dispozițiile sau măsurile stabilite în planul de redresare; sau</w:t>
            </w:r>
          </w:p>
          <w:p w14:paraId="51CB4E42" w14:textId="77777777" w:rsidR="006E4EA1" w:rsidRPr="00154588" w:rsidRDefault="002024E9" w:rsidP="008C12B4">
            <w:pPr>
              <w:jc w:val="both"/>
              <w:rPr>
                <w:bCs/>
                <w:sz w:val="20"/>
                <w:szCs w:val="20"/>
              </w:rPr>
            </w:pPr>
            <w:r w:rsidRPr="00154588">
              <w:rPr>
                <w:bCs/>
                <w:sz w:val="20"/>
                <w:szCs w:val="20"/>
              </w:rPr>
              <w:lastRenderedPageBreak/>
              <w:t xml:space="preserve">         (ii) să actualizeze planul de redresare în conformitate cu articolul 5 alineatul (2) atunci când circumstanțele care au condus la intervenția timpurie diferă de prezumțiile prevăzute în planul inițial de redresare și să pună în aplicare una sau mai multe dintre dispozițiile sau măsurile stabilite în planul actualizat de redresare într-un anumit interval de timp;</w:t>
            </w:r>
          </w:p>
          <w:p w14:paraId="54915E9B" w14:textId="77777777" w:rsidR="006E4EA1" w:rsidRPr="00154588" w:rsidRDefault="006E4EA1" w:rsidP="008C12B4">
            <w:pPr>
              <w:jc w:val="both"/>
              <w:rPr>
                <w:bCs/>
                <w:sz w:val="20"/>
                <w:szCs w:val="20"/>
              </w:rPr>
            </w:pPr>
            <w:r w:rsidRPr="00154588">
              <w:rPr>
                <w:bCs/>
                <w:sz w:val="20"/>
                <w:szCs w:val="20"/>
              </w:rPr>
              <w:t xml:space="preserve">(b) cerința ca organul de conducere al instituției sau al entității să convoace o adunare a acționarilor instituției ori ai entității sau, în cazul în care organul de conducere nu respectă această cerință, convocarea directă de către autoritatea competentă a adunării respective și, în ambele cazuri, stabilirea ordinii de zi și solicitarea ca acționarii să analizeze posibilitatea adoptării anumitor decizii; </w:t>
            </w:r>
          </w:p>
          <w:p w14:paraId="74BDA432" w14:textId="77777777" w:rsidR="006E4EA1" w:rsidRPr="00154588" w:rsidRDefault="006E4EA1" w:rsidP="008C12B4">
            <w:pPr>
              <w:jc w:val="both"/>
              <w:rPr>
                <w:bCs/>
                <w:sz w:val="20"/>
                <w:szCs w:val="20"/>
              </w:rPr>
            </w:pPr>
          </w:p>
          <w:p w14:paraId="5952F303" w14:textId="77777777" w:rsidR="006E4EA1" w:rsidRPr="00154588" w:rsidRDefault="006E4EA1" w:rsidP="008C12B4">
            <w:pPr>
              <w:jc w:val="both"/>
              <w:rPr>
                <w:bCs/>
                <w:sz w:val="20"/>
                <w:szCs w:val="20"/>
              </w:rPr>
            </w:pPr>
            <w:r w:rsidRPr="00154588">
              <w:rPr>
                <w:bCs/>
                <w:sz w:val="20"/>
                <w:szCs w:val="20"/>
              </w:rPr>
              <w:t>(c) cerința ca organul de conducere al instituției sau al entității să elaboreze, în conformitate cu planul de redresare, după caz, un plan de negociere a restructurării datoriilor cu o parte sau cu totalitatea creditorilor acesteia;</w:t>
            </w:r>
          </w:p>
          <w:p w14:paraId="0D8D5B18" w14:textId="77777777" w:rsidR="006E4EA1" w:rsidRPr="00154588" w:rsidRDefault="006E4EA1" w:rsidP="008C12B4">
            <w:pPr>
              <w:jc w:val="both"/>
              <w:rPr>
                <w:bCs/>
                <w:sz w:val="20"/>
                <w:szCs w:val="20"/>
              </w:rPr>
            </w:pPr>
          </w:p>
          <w:p w14:paraId="48024683" w14:textId="77777777" w:rsidR="006E4EA1" w:rsidRPr="00154588" w:rsidRDefault="006E4EA1" w:rsidP="008C12B4">
            <w:pPr>
              <w:jc w:val="both"/>
              <w:rPr>
                <w:bCs/>
                <w:sz w:val="20"/>
                <w:szCs w:val="20"/>
              </w:rPr>
            </w:pPr>
            <w:r w:rsidRPr="00154588">
              <w:rPr>
                <w:bCs/>
                <w:sz w:val="20"/>
                <w:szCs w:val="20"/>
              </w:rPr>
              <w:t xml:space="preserve"> (d) cerința de a modifica structura juridică a instituției sau a entității;</w:t>
            </w:r>
          </w:p>
          <w:p w14:paraId="66DFD84B" w14:textId="77777777" w:rsidR="006E4EA1" w:rsidRPr="00154588" w:rsidRDefault="006E4EA1" w:rsidP="008C12B4">
            <w:pPr>
              <w:jc w:val="both"/>
              <w:rPr>
                <w:bCs/>
                <w:sz w:val="20"/>
                <w:szCs w:val="20"/>
              </w:rPr>
            </w:pPr>
          </w:p>
          <w:p w14:paraId="0BA888CF" w14:textId="77777777" w:rsidR="006E4EA1" w:rsidRPr="00154588" w:rsidRDefault="006E4EA1" w:rsidP="008C12B4">
            <w:pPr>
              <w:jc w:val="both"/>
              <w:rPr>
                <w:bCs/>
                <w:sz w:val="20"/>
                <w:szCs w:val="20"/>
              </w:rPr>
            </w:pPr>
            <w:r w:rsidRPr="00154588">
              <w:rPr>
                <w:bCs/>
                <w:sz w:val="20"/>
                <w:szCs w:val="20"/>
              </w:rPr>
              <w:t xml:space="preserve">(e) cerința de a demite sau de a înlocui, în conformitate cu articolul 28, întreaga conducere superioară sau întregul organ de conducere al instituției sau al entității ori anumiți membri din cadrul acestora; </w:t>
            </w:r>
          </w:p>
          <w:p w14:paraId="7876B3C6" w14:textId="77777777" w:rsidR="006E4EA1" w:rsidRPr="00154588" w:rsidRDefault="006E4EA1" w:rsidP="008C12B4">
            <w:pPr>
              <w:jc w:val="both"/>
              <w:rPr>
                <w:bCs/>
                <w:sz w:val="20"/>
                <w:szCs w:val="20"/>
              </w:rPr>
            </w:pPr>
          </w:p>
          <w:p w14:paraId="02F5DB2B" w14:textId="77777777" w:rsidR="006E4EA1" w:rsidRPr="00154588" w:rsidRDefault="006E4EA1" w:rsidP="008C12B4">
            <w:pPr>
              <w:jc w:val="both"/>
              <w:rPr>
                <w:bCs/>
                <w:sz w:val="20"/>
                <w:szCs w:val="20"/>
              </w:rPr>
            </w:pPr>
            <w:r w:rsidRPr="00154588">
              <w:rPr>
                <w:bCs/>
                <w:sz w:val="20"/>
                <w:szCs w:val="20"/>
              </w:rPr>
              <w:t xml:space="preserve">(f) numirea unuia sau a mai multor administratori temporari în cadrul instituției sau entității, în conformitate cu articolul 29; </w:t>
            </w:r>
          </w:p>
          <w:p w14:paraId="0291A325" w14:textId="77777777" w:rsidR="006E4EA1" w:rsidRPr="00154588" w:rsidRDefault="006E4EA1" w:rsidP="008C12B4">
            <w:pPr>
              <w:jc w:val="both"/>
              <w:rPr>
                <w:bCs/>
                <w:sz w:val="20"/>
                <w:szCs w:val="20"/>
              </w:rPr>
            </w:pPr>
          </w:p>
          <w:p w14:paraId="0F0BDAED" w14:textId="563F889F" w:rsidR="008B7D81" w:rsidRPr="00154588" w:rsidRDefault="006E4EA1" w:rsidP="008C12B4">
            <w:pPr>
              <w:jc w:val="both"/>
              <w:rPr>
                <w:bCs/>
                <w:sz w:val="20"/>
                <w:szCs w:val="20"/>
              </w:rPr>
            </w:pPr>
            <w:r w:rsidRPr="00154588">
              <w:rPr>
                <w:bCs/>
                <w:sz w:val="20"/>
                <w:szCs w:val="20"/>
              </w:rPr>
              <w:t>(g) cerința ca organul de conducere al instituției sau entității să elaboreze un plan pe care instituția sau entitatea să îl poată pune în aplicare în cazul în care decide să inițieze lichidarea voluntară a activităților sale.</w:t>
            </w:r>
            <w:r w:rsidRPr="00154588" w:rsidDel="002024E9">
              <w:rPr>
                <w:bCs/>
                <w:sz w:val="20"/>
                <w:szCs w:val="20"/>
              </w:rPr>
              <w:t xml:space="preserve"> </w:t>
            </w:r>
          </w:p>
        </w:tc>
        <w:tc>
          <w:tcPr>
            <w:tcW w:w="4819" w:type="dxa"/>
          </w:tcPr>
          <w:p w14:paraId="0D57B925" w14:textId="5E693046" w:rsidR="001E78F2" w:rsidRPr="00154588" w:rsidRDefault="00B020D8" w:rsidP="008C12B4">
            <w:pPr>
              <w:ind w:firstLine="567"/>
              <w:jc w:val="both"/>
              <w:rPr>
                <w:rFonts w:eastAsia="Calibri"/>
                <w:sz w:val="20"/>
                <w:szCs w:val="18"/>
              </w:rPr>
            </w:pPr>
            <w:r w:rsidRPr="00154588">
              <w:rPr>
                <w:rFonts w:eastAsia="Calibri"/>
                <w:b/>
                <w:sz w:val="20"/>
                <w:szCs w:val="18"/>
              </w:rPr>
              <w:lastRenderedPageBreak/>
              <w:t>Articolul 43.</w:t>
            </w:r>
            <w:r w:rsidRPr="00154588">
              <w:rPr>
                <w:rFonts w:eastAsia="Calibri"/>
                <w:sz w:val="20"/>
                <w:szCs w:val="18"/>
              </w:rPr>
              <w:t xml:space="preserve"> –</w:t>
            </w:r>
            <w:r w:rsidR="001E78F2" w:rsidRPr="00154588">
              <w:rPr>
                <w:rFonts w:eastAsia="Calibri"/>
                <w:sz w:val="20"/>
                <w:szCs w:val="18"/>
              </w:rPr>
              <w:t>În sensul art</w:t>
            </w:r>
            <w:r w:rsidR="00807BB5" w:rsidRPr="00154588">
              <w:rPr>
                <w:rFonts w:eastAsia="Calibri"/>
                <w:sz w:val="20"/>
                <w:szCs w:val="18"/>
              </w:rPr>
              <w:t>.</w:t>
            </w:r>
            <w:r w:rsidR="001E78F2" w:rsidRPr="00154588">
              <w:rPr>
                <w:rFonts w:eastAsia="Calibri"/>
                <w:sz w:val="20"/>
                <w:szCs w:val="18"/>
              </w:rPr>
              <w:t xml:space="preserve">42, </w:t>
            </w:r>
            <w:r w:rsidR="00073A55" w:rsidRPr="00154588">
              <w:rPr>
                <w:rFonts w:eastAsia="Calibri"/>
                <w:sz w:val="20"/>
                <w:szCs w:val="18"/>
              </w:rPr>
              <w:t xml:space="preserve">Banca Națională a Moldovei, în calitate de autoritate competentă, poate aplica </w:t>
            </w:r>
            <w:r w:rsidR="001E78F2" w:rsidRPr="00154588">
              <w:rPr>
                <w:rFonts w:eastAsia="Calibri"/>
                <w:sz w:val="20"/>
                <w:szCs w:val="18"/>
              </w:rPr>
              <w:t xml:space="preserve">măsurile de </w:t>
            </w:r>
            <w:r w:rsidR="00666CB8" w:rsidRPr="00154588">
              <w:rPr>
                <w:rFonts w:eastAsia="Calibri"/>
                <w:sz w:val="20"/>
                <w:szCs w:val="18"/>
              </w:rPr>
              <w:t>intervenție</w:t>
            </w:r>
            <w:r w:rsidR="001E78F2" w:rsidRPr="00154588">
              <w:rPr>
                <w:rFonts w:eastAsia="Calibri"/>
                <w:sz w:val="20"/>
                <w:szCs w:val="18"/>
              </w:rPr>
              <w:t xml:space="preserve"> timpurie </w:t>
            </w:r>
            <w:r w:rsidR="00666CB8" w:rsidRPr="00154588">
              <w:rPr>
                <w:rFonts w:eastAsia="Calibri"/>
                <w:sz w:val="20"/>
                <w:szCs w:val="18"/>
              </w:rPr>
              <w:t>următoare</w:t>
            </w:r>
            <w:r w:rsidR="001E78F2" w:rsidRPr="00154588">
              <w:rPr>
                <w:rFonts w:eastAsia="Calibri"/>
                <w:sz w:val="20"/>
                <w:szCs w:val="18"/>
              </w:rPr>
              <w:t xml:space="preserve">: </w:t>
            </w:r>
          </w:p>
          <w:p w14:paraId="7F40C0C9" w14:textId="046DD895" w:rsidR="001E78F2" w:rsidRPr="00154588" w:rsidRDefault="00073A55" w:rsidP="008C12B4">
            <w:pPr>
              <w:pStyle w:val="a7"/>
              <w:ind w:left="0" w:firstLine="567"/>
              <w:jc w:val="both"/>
              <w:rPr>
                <w:rFonts w:cs="Times New Roman"/>
                <w:sz w:val="20"/>
                <w:szCs w:val="20"/>
                <w:lang w:val="ro-RO"/>
              </w:rPr>
            </w:pPr>
            <w:r w:rsidRPr="00154588">
              <w:rPr>
                <w:rFonts w:eastAsia="Calibri" w:cs="Times New Roman"/>
                <w:sz w:val="20"/>
                <w:szCs w:val="18"/>
                <w:lang w:val="ro-RO"/>
              </w:rPr>
              <w:t xml:space="preserve">a) să solicite </w:t>
            </w:r>
            <w:r w:rsidR="001E78F2" w:rsidRPr="00154588">
              <w:rPr>
                <w:rFonts w:eastAsia="Calibri" w:cs="Times New Roman"/>
                <w:sz w:val="20"/>
                <w:szCs w:val="18"/>
                <w:lang w:val="ro-RO"/>
              </w:rPr>
              <w:t xml:space="preserve">ca </w:t>
            </w:r>
            <w:r w:rsidR="001E78F2" w:rsidRPr="00154588">
              <w:rPr>
                <w:rFonts w:cs="Times New Roman"/>
                <w:sz w:val="20"/>
                <w:szCs w:val="20"/>
                <w:lang w:val="ro-RO"/>
              </w:rPr>
              <w:t xml:space="preserve">organul de conducere al instituției de credit sau al entității: </w:t>
            </w:r>
          </w:p>
          <w:p w14:paraId="555029A1" w14:textId="63287FCA" w:rsidR="001E78F2" w:rsidRPr="00154588" w:rsidRDefault="001E78F2" w:rsidP="008C12B4">
            <w:pPr>
              <w:ind w:firstLine="567"/>
              <w:jc w:val="both"/>
              <w:rPr>
                <w:bCs/>
                <w:sz w:val="20"/>
                <w:szCs w:val="20"/>
              </w:rPr>
            </w:pPr>
            <w:r w:rsidRPr="00154588">
              <w:rPr>
                <w:bCs/>
                <w:sz w:val="20"/>
                <w:szCs w:val="20"/>
              </w:rPr>
              <w:t>(i) să pună în aplicare una sau mai multe dintre dispozițiile sau măsurile stabilite în planul de redresare; sau</w:t>
            </w:r>
          </w:p>
          <w:p w14:paraId="7F59EB03" w14:textId="67631744" w:rsidR="001E78F2" w:rsidRPr="00154588" w:rsidRDefault="001E78F2" w:rsidP="008C12B4">
            <w:pPr>
              <w:ind w:firstLine="567"/>
              <w:jc w:val="both"/>
              <w:rPr>
                <w:bCs/>
                <w:sz w:val="20"/>
                <w:szCs w:val="20"/>
              </w:rPr>
            </w:pPr>
            <w:r w:rsidRPr="00154588">
              <w:rPr>
                <w:bCs/>
                <w:sz w:val="20"/>
                <w:szCs w:val="20"/>
              </w:rPr>
              <w:lastRenderedPageBreak/>
              <w:t>(ii) să actualizeze planul de redresare în conformitate cu art</w:t>
            </w:r>
            <w:r w:rsidR="00807BB5" w:rsidRPr="00154588">
              <w:rPr>
                <w:bCs/>
                <w:sz w:val="20"/>
                <w:szCs w:val="20"/>
              </w:rPr>
              <w:t>.</w:t>
            </w:r>
            <w:r w:rsidRPr="00154588">
              <w:rPr>
                <w:bCs/>
                <w:sz w:val="20"/>
                <w:szCs w:val="20"/>
              </w:rPr>
              <w:t>10 atunci când circumstanțele care au condus la intervenția timpurie diferă de prezumțiile prevăzute în planul inițial de redresare și să pună în aplicare una sau mai multe dintre dispozițiile sau măsurile stabilite în planul actualizat de redresare într-un anumit interval de timp;</w:t>
            </w:r>
          </w:p>
          <w:p w14:paraId="3799D703" w14:textId="5F807B45" w:rsidR="001E78F2" w:rsidRPr="00154588" w:rsidRDefault="001E78F2" w:rsidP="008C12B4">
            <w:pPr>
              <w:ind w:firstLine="567"/>
              <w:jc w:val="both"/>
              <w:rPr>
                <w:bCs/>
                <w:sz w:val="20"/>
                <w:szCs w:val="20"/>
              </w:rPr>
            </w:pPr>
            <w:r w:rsidRPr="00154588">
              <w:rPr>
                <w:bCs/>
                <w:sz w:val="20"/>
                <w:szCs w:val="20"/>
              </w:rPr>
              <w:t xml:space="preserve">b) </w:t>
            </w:r>
            <w:r w:rsidR="00073A55" w:rsidRPr="00154588">
              <w:rPr>
                <w:bCs/>
                <w:sz w:val="20"/>
                <w:szCs w:val="20"/>
              </w:rPr>
              <w:t>să solicite</w:t>
            </w:r>
            <w:r w:rsidRPr="00154588">
              <w:rPr>
                <w:bCs/>
                <w:sz w:val="20"/>
                <w:szCs w:val="20"/>
              </w:rPr>
              <w:t xml:space="preserve"> ca organul de conducere al instituției</w:t>
            </w:r>
            <w:r w:rsidR="007301E7" w:rsidRPr="00154588">
              <w:rPr>
                <w:bCs/>
                <w:sz w:val="20"/>
                <w:szCs w:val="20"/>
              </w:rPr>
              <w:t xml:space="preserve"> de credit</w:t>
            </w:r>
            <w:r w:rsidRPr="00154588">
              <w:rPr>
                <w:bCs/>
                <w:sz w:val="20"/>
                <w:szCs w:val="20"/>
              </w:rPr>
              <w:t xml:space="preserve"> sau al entității să convoace o adunare a acționarilor </w:t>
            </w:r>
            <w:r w:rsidR="007301E7" w:rsidRPr="00154588">
              <w:rPr>
                <w:bCs/>
                <w:sz w:val="20"/>
                <w:szCs w:val="20"/>
              </w:rPr>
              <w:t xml:space="preserve">instituției de credit sau entității </w:t>
            </w:r>
            <w:r w:rsidRPr="00154588">
              <w:rPr>
                <w:bCs/>
                <w:sz w:val="20"/>
                <w:szCs w:val="20"/>
              </w:rPr>
              <w:t xml:space="preserve">sau, în cazul în care organul de conducere nu respectă această cerință, convocarea directă de către </w:t>
            </w:r>
            <w:r w:rsidR="007301E7" w:rsidRPr="00154588">
              <w:rPr>
                <w:bCs/>
                <w:sz w:val="20"/>
                <w:szCs w:val="20"/>
              </w:rPr>
              <w:t xml:space="preserve">Banca </w:t>
            </w:r>
            <w:r w:rsidR="00666CB8" w:rsidRPr="00154588">
              <w:rPr>
                <w:bCs/>
                <w:sz w:val="20"/>
                <w:szCs w:val="20"/>
              </w:rPr>
              <w:t>Națională</w:t>
            </w:r>
            <w:r w:rsidR="007301E7" w:rsidRPr="00154588">
              <w:rPr>
                <w:bCs/>
                <w:sz w:val="20"/>
                <w:szCs w:val="20"/>
              </w:rPr>
              <w:t xml:space="preserve"> a Moldovei, în calitate de </w:t>
            </w:r>
            <w:r w:rsidRPr="00154588">
              <w:rPr>
                <w:bCs/>
                <w:sz w:val="20"/>
                <w:szCs w:val="20"/>
              </w:rPr>
              <w:t xml:space="preserve">autoritatea competentă a adunării respective și, în ambele cazuri, stabilirea ordinii de zi și solicitarea ca acționarii să analizeze posibilitatea adoptării anumitor decizii; </w:t>
            </w:r>
          </w:p>
          <w:p w14:paraId="48CAD884" w14:textId="5F05F1A9" w:rsidR="007301E7" w:rsidRPr="00154588" w:rsidRDefault="007301E7" w:rsidP="008C12B4">
            <w:pPr>
              <w:ind w:firstLine="567"/>
              <w:jc w:val="both"/>
              <w:rPr>
                <w:bCs/>
                <w:sz w:val="20"/>
                <w:szCs w:val="20"/>
              </w:rPr>
            </w:pPr>
            <w:r w:rsidRPr="00154588">
              <w:rPr>
                <w:bCs/>
                <w:sz w:val="20"/>
                <w:szCs w:val="20"/>
              </w:rPr>
              <w:t xml:space="preserve">c) </w:t>
            </w:r>
            <w:r w:rsidR="00073A55" w:rsidRPr="00154588">
              <w:rPr>
                <w:bCs/>
                <w:sz w:val="20"/>
                <w:szCs w:val="20"/>
              </w:rPr>
              <w:t xml:space="preserve">să solicite </w:t>
            </w:r>
            <w:r w:rsidRPr="00154588">
              <w:rPr>
                <w:bCs/>
                <w:sz w:val="20"/>
                <w:szCs w:val="20"/>
              </w:rPr>
              <w:t>ca organul de conducere al instituției de credit sau al entității să elaboreze, în conformitate cu planul de redresare, după caz, un plan de negociere a restructurării datoriilor cu o parte sau cu totalitatea creditorilor acesteia;</w:t>
            </w:r>
          </w:p>
          <w:p w14:paraId="02561D58" w14:textId="0214DA4F" w:rsidR="001E78F2" w:rsidRPr="00154588" w:rsidRDefault="005B6492" w:rsidP="008C12B4">
            <w:pPr>
              <w:ind w:firstLine="567"/>
              <w:jc w:val="both"/>
              <w:rPr>
                <w:rFonts w:eastAsia="Calibri"/>
                <w:sz w:val="20"/>
                <w:szCs w:val="18"/>
              </w:rPr>
            </w:pPr>
            <w:r w:rsidRPr="00154588">
              <w:rPr>
                <w:bCs/>
                <w:sz w:val="20"/>
                <w:szCs w:val="20"/>
              </w:rPr>
              <w:t xml:space="preserve">d) </w:t>
            </w:r>
            <w:r w:rsidR="00073A55" w:rsidRPr="00154588">
              <w:rPr>
                <w:bCs/>
                <w:sz w:val="20"/>
                <w:szCs w:val="20"/>
              </w:rPr>
              <w:t>să solicite instituției de credit sau a entității</w:t>
            </w:r>
            <w:r w:rsidRPr="00154588">
              <w:rPr>
                <w:bCs/>
                <w:sz w:val="20"/>
                <w:szCs w:val="20"/>
              </w:rPr>
              <w:t xml:space="preserve"> de a</w:t>
            </w:r>
            <w:r w:rsidR="00073A55" w:rsidRPr="00154588">
              <w:rPr>
                <w:bCs/>
                <w:sz w:val="20"/>
                <w:szCs w:val="20"/>
              </w:rPr>
              <w:t>-și</w:t>
            </w:r>
            <w:r w:rsidRPr="00154588">
              <w:rPr>
                <w:bCs/>
                <w:sz w:val="20"/>
                <w:szCs w:val="20"/>
              </w:rPr>
              <w:t xml:space="preserve"> modifica structura juridică;</w:t>
            </w:r>
          </w:p>
          <w:p w14:paraId="1AC93269" w14:textId="7507AA1D" w:rsidR="005B6492" w:rsidRPr="00154588" w:rsidRDefault="005B6492" w:rsidP="008C12B4">
            <w:pPr>
              <w:ind w:firstLine="567"/>
              <w:jc w:val="both"/>
              <w:rPr>
                <w:bCs/>
                <w:sz w:val="20"/>
                <w:szCs w:val="20"/>
              </w:rPr>
            </w:pPr>
            <w:r w:rsidRPr="00154588">
              <w:rPr>
                <w:bCs/>
                <w:sz w:val="20"/>
                <w:szCs w:val="20"/>
              </w:rPr>
              <w:t xml:space="preserve">e) </w:t>
            </w:r>
            <w:r w:rsidR="00073A55" w:rsidRPr="00154588">
              <w:rPr>
                <w:bCs/>
                <w:sz w:val="20"/>
                <w:szCs w:val="20"/>
              </w:rPr>
              <w:t>să solicite</w:t>
            </w:r>
            <w:r w:rsidRPr="00154588">
              <w:rPr>
                <w:bCs/>
                <w:sz w:val="20"/>
                <w:szCs w:val="20"/>
              </w:rPr>
              <w:t xml:space="preserve"> de a demite sau de a înlocui, în conformitate cu art</w:t>
            </w:r>
            <w:r w:rsidR="00174C5E" w:rsidRPr="00154588">
              <w:rPr>
                <w:bCs/>
                <w:sz w:val="20"/>
                <w:szCs w:val="20"/>
              </w:rPr>
              <w:t>.</w:t>
            </w:r>
            <w:r w:rsidRPr="00154588">
              <w:rPr>
                <w:bCs/>
                <w:sz w:val="20"/>
                <w:szCs w:val="20"/>
              </w:rPr>
              <w:t xml:space="preserve">45, întreaga conducere superioară sau întregul organ de conducere al instituției de credit sau al entității ori anumiți membri din cadrul acestora; </w:t>
            </w:r>
          </w:p>
          <w:p w14:paraId="5711FCA3" w14:textId="42161B31" w:rsidR="005B6492" w:rsidRPr="00154588" w:rsidRDefault="005B6492" w:rsidP="008C12B4">
            <w:pPr>
              <w:ind w:firstLine="567"/>
              <w:jc w:val="both"/>
              <w:rPr>
                <w:bCs/>
                <w:sz w:val="20"/>
                <w:szCs w:val="20"/>
              </w:rPr>
            </w:pPr>
            <w:r w:rsidRPr="00154588">
              <w:rPr>
                <w:bCs/>
                <w:sz w:val="20"/>
                <w:szCs w:val="20"/>
              </w:rPr>
              <w:t>f) numirea unuia sau a mai multor administratori temporari în cadrul instituției de credit  sau entității, în conformitate cu art</w:t>
            </w:r>
            <w:r w:rsidR="00174C5E" w:rsidRPr="00154588">
              <w:rPr>
                <w:bCs/>
                <w:sz w:val="20"/>
                <w:szCs w:val="20"/>
              </w:rPr>
              <w:t>.</w:t>
            </w:r>
            <w:r w:rsidRPr="00154588">
              <w:rPr>
                <w:bCs/>
                <w:sz w:val="20"/>
                <w:szCs w:val="20"/>
              </w:rPr>
              <w:t xml:space="preserve">46; </w:t>
            </w:r>
          </w:p>
          <w:p w14:paraId="339FA29D" w14:textId="651DEC8F" w:rsidR="005B6492" w:rsidRPr="00154588" w:rsidRDefault="00073A55" w:rsidP="008C12B4">
            <w:pPr>
              <w:ind w:firstLine="567"/>
              <w:jc w:val="both"/>
              <w:rPr>
                <w:bCs/>
                <w:sz w:val="20"/>
                <w:szCs w:val="20"/>
              </w:rPr>
            </w:pPr>
            <w:r w:rsidRPr="00154588">
              <w:rPr>
                <w:bCs/>
                <w:sz w:val="20"/>
                <w:szCs w:val="20"/>
              </w:rPr>
              <w:t>g) să solicite ca organul de conducere al instituției sau entității să elaboreze un plan pe care instituția de credit sau entitatea să îl poată pune în aplicare în cazul în care decide să inițieze lichidarea voluntară a activităților sale.</w:t>
            </w:r>
          </w:p>
          <w:p w14:paraId="4041AAE2" w14:textId="77777777" w:rsidR="00073A55" w:rsidRPr="00154588" w:rsidRDefault="00073A55" w:rsidP="008C12B4">
            <w:pPr>
              <w:ind w:firstLine="567"/>
              <w:jc w:val="both"/>
              <w:rPr>
                <w:rFonts w:eastAsia="Calibri"/>
                <w:sz w:val="20"/>
                <w:szCs w:val="18"/>
              </w:rPr>
            </w:pPr>
          </w:p>
          <w:p w14:paraId="596D2572" w14:textId="038B6877" w:rsidR="008B7D81" w:rsidRPr="00154588" w:rsidRDefault="008B7D81" w:rsidP="008C12B4">
            <w:pPr>
              <w:ind w:firstLine="567"/>
              <w:jc w:val="both"/>
              <w:rPr>
                <w:rFonts w:eastAsia="Calibri"/>
                <w:sz w:val="20"/>
                <w:szCs w:val="18"/>
              </w:rPr>
            </w:pPr>
          </w:p>
        </w:tc>
        <w:tc>
          <w:tcPr>
            <w:tcW w:w="2552" w:type="dxa"/>
          </w:tcPr>
          <w:p w14:paraId="4D1747EA" w14:textId="0E64B3D7" w:rsidR="008B7D81" w:rsidRPr="00154588" w:rsidRDefault="00B020D8" w:rsidP="008C12B4">
            <w:pPr>
              <w:jc w:val="both"/>
              <w:rPr>
                <w:bCs/>
                <w:sz w:val="20"/>
                <w:szCs w:val="20"/>
              </w:rPr>
            </w:pPr>
            <w:r w:rsidRPr="00154588">
              <w:rPr>
                <w:bCs/>
                <w:sz w:val="20"/>
                <w:szCs w:val="20"/>
              </w:rPr>
              <w:lastRenderedPageBreak/>
              <w:t>Compatibil</w:t>
            </w:r>
          </w:p>
        </w:tc>
        <w:tc>
          <w:tcPr>
            <w:tcW w:w="3118" w:type="dxa"/>
          </w:tcPr>
          <w:p w14:paraId="112EB0AE" w14:textId="77777777" w:rsidR="008B7D81" w:rsidRPr="00154588" w:rsidRDefault="008B7D81" w:rsidP="008C12B4">
            <w:pPr>
              <w:jc w:val="both"/>
              <w:rPr>
                <w:bCs/>
                <w:sz w:val="20"/>
                <w:szCs w:val="20"/>
              </w:rPr>
            </w:pPr>
          </w:p>
        </w:tc>
      </w:tr>
      <w:tr w:rsidR="008B7D81" w:rsidRPr="00154588" w14:paraId="0AC09F68" w14:textId="77777777" w:rsidTr="00D15C1B">
        <w:trPr>
          <w:jc w:val="center"/>
        </w:trPr>
        <w:tc>
          <w:tcPr>
            <w:tcW w:w="4957" w:type="dxa"/>
            <w:gridSpan w:val="2"/>
          </w:tcPr>
          <w:p w14:paraId="0B87DB1B" w14:textId="163359B3" w:rsidR="008B7D81" w:rsidRPr="00154588" w:rsidRDefault="006E4EA1" w:rsidP="008C12B4">
            <w:pPr>
              <w:jc w:val="both"/>
              <w:rPr>
                <w:bCs/>
                <w:sz w:val="20"/>
                <w:szCs w:val="20"/>
              </w:rPr>
            </w:pPr>
            <w:r w:rsidRPr="00154588">
              <w:rPr>
                <w:bCs/>
                <w:sz w:val="20"/>
                <w:szCs w:val="20"/>
              </w:rPr>
              <w:t>(3) Autoritățile competente aleg măsurile adecvate de intervenție timpurie menționate la alineatul (2) de la prezentul articol proporțional cu obiectivele urmărite, ținând seama, printre alte informații relevante, de gravitatea încălcării sau a încălcării probabile și de rapiditatea deteriorării situației financiare a instituției sau a entității menționate la articolul 1 alineatul (1) litera (b), (c) sau (d).</w:t>
            </w:r>
          </w:p>
        </w:tc>
        <w:tc>
          <w:tcPr>
            <w:tcW w:w="4819" w:type="dxa"/>
          </w:tcPr>
          <w:p w14:paraId="2CA76F45" w14:textId="692FCF77" w:rsidR="008B7D81" w:rsidRPr="00154588" w:rsidRDefault="00B020D8" w:rsidP="008C12B4">
            <w:pPr>
              <w:ind w:firstLine="567"/>
              <w:jc w:val="both"/>
              <w:rPr>
                <w:rFonts w:eastAsia="Calibri"/>
                <w:sz w:val="20"/>
                <w:szCs w:val="18"/>
              </w:rPr>
            </w:pPr>
            <w:r w:rsidRPr="00154588">
              <w:rPr>
                <w:rFonts w:eastAsia="Calibri"/>
                <w:b/>
                <w:sz w:val="20"/>
                <w:szCs w:val="18"/>
              </w:rPr>
              <w:t>Articolul 44.</w:t>
            </w:r>
            <w:r w:rsidRPr="00154588">
              <w:rPr>
                <w:rFonts w:eastAsia="Calibri"/>
                <w:sz w:val="20"/>
                <w:szCs w:val="18"/>
              </w:rPr>
              <w:t xml:space="preserve"> –</w:t>
            </w:r>
            <w:r w:rsidR="00C92FC3" w:rsidRPr="00154588">
              <w:rPr>
                <w:rFonts w:eastAsia="Calibri"/>
                <w:sz w:val="20"/>
                <w:szCs w:val="18"/>
              </w:rPr>
              <w:t xml:space="preserve"> </w:t>
            </w:r>
            <w:r w:rsidR="00174C5E" w:rsidRPr="00154588">
              <w:rPr>
                <w:rFonts w:eastAsia="Calibri"/>
                <w:sz w:val="20"/>
                <w:szCs w:val="18"/>
              </w:rPr>
              <w:t>(1)</w:t>
            </w:r>
            <w:r w:rsidR="00807BB5" w:rsidRPr="00154588">
              <w:rPr>
                <w:rFonts w:eastAsia="Calibri"/>
                <w:sz w:val="20"/>
                <w:szCs w:val="18"/>
              </w:rPr>
              <w:t xml:space="preserve"> </w:t>
            </w:r>
            <w:r w:rsidRPr="00154588">
              <w:rPr>
                <w:rFonts w:eastAsia="Calibri"/>
                <w:sz w:val="20"/>
                <w:szCs w:val="18"/>
              </w:rPr>
              <w:t xml:space="preserve">Banca Naţională a Moldovei, în calitate de autoritate competentă, </w:t>
            </w:r>
            <w:r w:rsidR="00174C5E" w:rsidRPr="00154588">
              <w:rPr>
                <w:bCs/>
                <w:sz w:val="20"/>
                <w:szCs w:val="20"/>
              </w:rPr>
              <w:t>alege măsurile adecvate de intervenție timpurie menționate la art.43 proporțional cu obiectivele urmărite, ținând seama, printre alte informații relevante, de gravitatea încălcării sau a încălcării probabile și de rapiditatea deteriorării situației financiare a instituției de credit sau a entității menționate la art</w:t>
            </w:r>
            <w:r w:rsidR="00BA38FE" w:rsidRPr="00154588">
              <w:rPr>
                <w:bCs/>
                <w:sz w:val="20"/>
                <w:szCs w:val="20"/>
              </w:rPr>
              <w:t>.</w:t>
            </w:r>
            <w:r w:rsidR="00174C5E" w:rsidRPr="00154588">
              <w:rPr>
                <w:bCs/>
                <w:sz w:val="20"/>
                <w:szCs w:val="20"/>
              </w:rPr>
              <w:t>1 alin</w:t>
            </w:r>
            <w:r w:rsidR="00BA38FE" w:rsidRPr="00154588">
              <w:rPr>
                <w:bCs/>
                <w:sz w:val="20"/>
                <w:szCs w:val="20"/>
              </w:rPr>
              <w:t>.</w:t>
            </w:r>
            <w:r w:rsidR="00174C5E" w:rsidRPr="00154588">
              <w:rPr>
                <w:bCs/>
                <w:sz w:val="20"/>
                <w:szCs w:val="20"/>
              </w:rPr>
              <w:t>(1) lit</w:t>
            </w:r>
            <w:r w:rsidR="00BA38FE" w:rsidRPr="00154588">
              <w:rPr>
                <w:bCs/>
                <w:sz w:val="20"/>
                <w:szCs w:val="20"/>
              </w:rPr>
              <w:t>.</w:t>
            </w:r>
            <w:r w:rsidR="00174C5E" w:rsidRPr="00154588">
              <w:rPr>
                <w:bCs/>
                <w:sz w:val="20"/>
                <w:szCs w:val="20"/>
              </w:rPr>
              <w:t>b), c) sau d).</w:t>
            </w:r>
          </w:p>
        </w:tc>
        <w:tc>
          <w:tcPr>
            <w:tcW w:w="2552" w:type="dxa"/>
          </w:tcPr>
          <w:p w14:paraId="5EB848E3" w14:textId="0C543D33" w:rsidR="008B7D81" w:rsidRPr="00154588" w:rsidRDefault="00B020D8" w:rsidP="008C12B4">
            <w:pPr>
              <w:jc w:val="both"/>
              <w:rPr>
                <w:bCs/>
                <w:sz w:val="20"/>
                <w:szCs w:val="20"/>
              </w:rPr>
            </w:pPr>
            <w:r w:rsidRPr="00154588">
              <w:rPr>
                <w:bCs/>
                <w:sz w:val="20"/>
                <w:szCs w:val="20"/>
              </w:rPr>
              <w:t>Compatibil</w:t>
            </w:r>
          </w:p>
        </w:tc>
        <w:tc>
          <w:tcPr>
            <w:tcW w:w="3118" w:type="dxa"/>
          </w:tcPr>
          <w:p w14:paraId="5ED10DA5" w14:textId="77777777" w:rsidR="008B7D81" w:rsidRPr="00154588" w:rsidRDefault="008B7D81" w:rsidP="008C12B4">
            <w:pPr>
              <w:jc w:val="both"/>
              <w:rPr>
                <w:bCs/>
                <w:sz w:val="20"/>
                <w:szCs w:val="20"/>
              </w:rPr>
            </w:pPr>
          </w:p>
        </w:tc>
      </w:tr>
      <w:tr w:rsidR="00B020D8" w:rsidRPr="00154588" w14:paraId="226EC51F" w14:textId="77777777" w:rsidTr="00D15C1B">
        <w:trPr>
          <w:jc w:val="center"/>
        </w:trPr>
        <w:tc>
          <w:tcPr>
            <w:tcW w:w="4957" w:type="dxa"/>
            <w:gridSpan w:val="2"/>
          </w:tcPr>
          <w:p w14:paraId="46C6136D" w14:textId="77777777" w:rsidR="006E4EA1" w:rsidRPr="00154588" w:rsidRDefault="00B020D8" w:rsidP="008C12B4">
            <w:pPr>
              <w:jc w:val="both"/>
              <w:rPr>
                <w:bCs/>
                <w:sz w:val="20"/>
                <w:szCs w:val="20"/>
              </w:rPr>
            </w:pPr>
            <w:r w:rsidRPr="00154588">
              <w:rPr>
                <w:bCs/>
                <w:sz w:val="20"/>
                <w:szCs w:val="20"/>
              </w:rPr>
              <w:lastRenderedPageBreak/>
              <w:t>(</w:t>
            </w:r>
            <w:r w:rsidR="006E4EA1" w:rsidRPr="00154588">
              <w:rPr>
                <w:bCs/>
                <w:sz w:val="20"/>
                <w:szCs w:val="20"/>
              </w:rPr>
              <w:t xml:space="preserve">(4) Pentru fiecare dintre măsurile de intervenție timpurie menționate la alineatul (2), autoritățile competente stabilesc un termen de punere în aplicare care este strict limitat la timpul necesar pentru punerea în aplicare a măsurii în cauză în condiții rezonabile. Autoritățile competente efectuează o evaluare a eficacității măsurii imediat după expirarea termenului și transmit evaluarea respectivă autorității de rezoluție. </w:t>
            </w:r>
          </w:p>
          <w:p w14:paraId="06569506" w14:textId="77777777" w:rsidR="006E4EA1" w:rsidRPr="00154588" w:rsidRDefault="006E4EA1" w:rsidP="008C12B4">
            <w:pPr>
              <w:jc w:val="both"/>
              <w:rPr>
                <w:bCs/>
                <w:sz w:val="20"/>
                <w:szCs w:val="20"/>
              </w:rPr>
            </w:pPr>
          </w:p>
          <w:p w14:paraId="2E9F64A3" w14:textId="6A36F9BF" w:rsidR="00B020D8" w:rsidRPr="00154588" w:rsidRDefault="006E4EA1" w:rsidP="008C12B4">
            <w:pPr>
              <w:jc w:val="both"/>
              <w:rPr>
                <w:bCs/>
                <w:sz w:val="20"/>
                <w:szCs w:val="20"/>
              </w:rPr>
            </w:pPr>
            <w:r w:rsidRPr="00154588">
              <w:rPr>
                <w:bCs/>
                <w:sz w:val="20"/>
                <w:szCs w:val="20"/>
              </w:rPr>
              <w:t>În cazul în care evaluarea concluzionează că măsurile de intervenție timpurie nu au fost puse în aplicare integral sau nu sunt eficace, autoritatea competentă poate efectua o evaluare pentru a stabili dacă este îndeplinită condiția menționată la articolul 32 alineatul (1) litera (a).</w:t>
            </w:r>
          </w:p>
        </w:tc>
        <w:tc>
          <w:tcPr>
            <w:tcW w:w="4819" w:type="dxa"/>
          </w:tcPr>
          <w:p w14:paraId="283B5A63" w14:textId="642C0C74" w:rsidR="00174C5E" w:rsidRPr="00154588" w:rsidRDefault="00174C5E" w:rsidP="008C12B4">
            <w:pPr>
              <w:jc w:val="both"/>
              <w:rPr>
                <w:bCs/>
                <w:sz w:val="20"/>
                <w:szCs w:val="20"/>
              </w:rPr>
            </w:pPr>
            <w:r w:rsidRPr="00154588">
              <w:rPr>
                <w:bCs/>
                <w:sz w:val="20"/>
                <w:szCs w:val="20"/>
              </w:rPr>
              <w:t xml:space="preserve">(2) Pentru fiecare dintre măsurile de intervenție timpurie menționate la art.43, Banca Națională a Moldovei, în calitate de autoritate competentă, stabilește un termen de punere în aplicare care este strict limitat la timpul necesar pentru punerea în aplicare a măsurii în cauză în condiții rezonabile. Banca Națională a Moldovei, în calitate de autoritate competentă, efectuează o evaluare a eficacității măsurii imediat după expirarea termenului și transmite evaluarea respectivă </w:t>
            </w:r>
            <w:r w:rsidR="00807BB5" w:rsidRPr="00154588">
              <w:rPr>
                <w:bCs/>
                <w:sz w:val="20"/>
                <w:szCs w:val="20"/>
              </w:rPr>
              <w:t>structurii</w:t>
            </w:r>
            <w:r w:rsidRPr="00154588">
              <w:rPr>
                <w:bCs/>
                <w:sz w:val="20"/>
                <w:szCs w:val="20"/>
              </w:rPr>
              <w:t xml:space="preserve"> care exercită </w:t>
            </w:r>
            <w:r w:rsidR="00807BB5" w:rsidRPr="00154588">
              <w:rPr>
                <w:bCs/>
                <w:sz w:val="20"/>
                <w:szCs w:val="20"/>
              </w:rPr>
              <w:t>funcția</w:t>
            </w:r>
            <w:r w:rsidRPr="00154588">
              <w:rPr>
                <w:bCs/>
                <w:sz w:val="20"/>
                <w:szCs w:val="20"/>
              </w:rPr>
              <w:t xml:space="preserve"> de rezoluție. </w:t>
            </w:r>
          </w:p>
          <w:p w14:paraId="63906018" w14:textId="08074842" w:rsidR="00B020D8" w:rsidRPr="00154588" w:rsidRDefault="00B020D8" w:rsidP="008C12B4">
            <w:pPr>
              <w:rPr>
                <w:bCs/>
                <w:sz w:val="20"/>
                <w:szCs w:val="20"/>
              </w:rPr>
            </w:pPr>
          </w:p>
        </w:tc>
        <w:tc>
          <w:tcPr>
            <w:tcW w:w="2552" w:type="dxa"/>
          </w:tcPr>
          <w:p w14:paraId="45B5D8F0" w14:textId="301101E0" w:rsidR="00B020D8" w:rsidRPr="00154588" w:rsidRDefault="000A6B3F" w:rsidP="008C12B4">
            <w:pPr>
              <w:jc w:val="both"/>
              <w:rPr>
                <w:bCs/>
                <w:sz w:val="20"/>
                <w:szCs w:val="20"/>
              </w:rPr>
            </w:pPr>
            <w:r w:rsidRPr="00154588">
              <w:rPr>
                <w:bCs/>
                <w:sz w:val="20"/>
                <w:szCs w:val="20"/>
              </w:rPr>
              <w:t>Compatibil</w:t>
            </w:r>
          </w:p>
        </w:tc>
        <w:tc>
          <w:tcPr>
            <w:tcW w:w="3118" w:type="dxa"/>
          </w:tcPr>
          <w:p w14:paraId="6C504E0B" w14:textId="656D3C4F" w:rsidR="00B020D8" w:rsidRPr="00154588" w:rsidRDefault="00B020D8" w:rsidP="008C12B4">
            <w:pPr>
              <w:jc w:val="both"/>
              <w:rPr>
                <w:bCs/>
                <w:sz w:val="20"/>
                <w:szCs w:val="20"/>
              </w:rPr>
            </w:pPr>
          </w:p>
        </w:tc>
      </w:tr>
      <w:tr w:rsidR="00B020D8" w:rsidRPr="00154588" w14:paraId="47B63EAC" w14:textId="77777777" w:rsidTr="00D15C1B">
        <w:trPr>
          <w:jc w:val="center"/>
        </w:trPr>
        <w:tc>
          <w:tcPr>
            <w:tcW w:w="4957" w:type="dxa"/>
            <w:gridSpan w:val="2"/>
          </w:tcPr>
          <w:p w14:paraId="6C82A76C" w14:textId="77777777" w:rsidR="006E4EA1" w:rsidRPr="00154588" w:rsidRDefault="006E4EA1" w:rsidP="008C12B4">
            <w:pPr>
              <w:jc w:val="both"/>
              <w:rPr>
                <w:bCs/>
                <w:sz w:val="20"/>
                <w:szCs w:val="20"/>
              </w:rPr>
            </w:pPr>
            <w:r w:rsidRPr="00154588">
              <w:rPr>
                <w:bCs/>
                <w:sz w:val="20"/>
                <w:szCs w:val="20"/>
              </w:rPr>
              <w:t>(5) Până la 11 mai 2028, ABE emite orientări în conformitate cu articolul 16 din Regulamentul (UE) nr. 1093/2010 pentru promovarea unei aplicări consecvente a condițiilor menționate la alineatul (1) de la prezentul articol.</w:t>
            </w:r>
          </w:p>
          <w:p w14:paraId="75CDEA9D" w14:textId="77777777" w:rsidR="006E4EA1" w:rsidRPr="00154588" w:rsidRDefault="006E4EA1" w:rsidP="008C12B4">
            <w:pPr>
              <w:jc w:val="both"/>
              <w:rPr>
                <w:bCs/>
                <w:sz w:val="20"/>
                <w:szCs w:val="20"/>
              </w:rPr>
            </w:pPr>
          </w:p>
          <w:p w14:paraId="0F723B34" w14:textId="15E1F600" w:rsidR="00B020D8" w:rsidRPr="00154588" w:rsidRDefault="00B020D8" w:rsidP="008C12B4">
            <w:pPr>
              <w:jc w:val="both"/>
              <w:rPr>
                <w:bCs/>
                <w:sz w:val="20"/>
                <w:szCs w:val="20"/>
              </w:rPr>
            </w:pPr>
          </w:p>
          <w:p w14:paraId="3A24651F" w14:textId="74352C58" w:rsidR="006E4EA1" w:rsidRPr="00154588" w:rsidRDefault="006E4EA1" w:rsidP="008C12B4">
            <w:pPr>
              <w:jc w:val="both"/>
              <w:rPr>
                <w:bCs/>
                <w:sz w:val="20"/>
                <w:szCs w:val="20"/>
              </w:rPr>
            </w:pPr>
          </w:p>
        </w:tc>
        <w:tc>
          <w:tcPr>
            <w:tcW w:w="4819" w:type="dxa"/>
          </w:tcPr>
          <w:p w14:paraId="675EFEA7" w14:textId="3CE1D9C2" w:rsidR="00B020D8" w:rsidRPr="00154588" w:rsidRDefault="00B020D8" w:rsidP="008C12B4">
            <w:pPr>
              <w:jc w:val="center"/>
              <w:rPr>
                <w:bCs/>
                <w:sz w:val="20"/>
                <w:szCs w:val="20"/>
              </w:rPr>
            </w:pPr>
            <w:r w:rsidRPr="00154588">
              <w:rPr>
                <w:sz w:val="20"/>
                <w:szCs w:val="16"/>
              </w:rPr>
              <w:t>-</w:t>
            </w:r>
          </w:p>
        </w:tc>
        <w:tc>
          <w:tcPr>
            <w:tcW w:w="2552" w:type="dxa"/>
          </w:tcPr>
          <w:p w14:paraId="67577734" w14:textId="3F6BBCE5" w:rsidR="00B020D8" w:rsidRPr="00154588" w:rsidRDefault="00B020D8" w:rsidP="008C12B4">
            <w:pPr>
              <w:jc w:val="both"/>
              <w:rPr>
                <w:bCs/>
                <w:sz w:val="20"/>
                <w:szCs w:val="20"/>
              </w:rPr>
            </w:pPr>
            <w:r w:rsidRPr="00154588">
              <w:rPr>
                <w:sz w:val="20"/>
                <w:szCs w:val="16"/>
              </w:rPr>
              <w:t>Norme UE neaplicabile</w:t>
            </w:r>
          </w:p>
        </w:tc>
        <w:tc>
          <w:tcPr>
            <w:tcW w:w="3118" w:type="dxa"/>
          </w:tcPr>
          <w:p w14:paraId="2184ECC5" w14:textId="233A79BB" w:rsidR="00B020D8" w:rsidRPr="00154588" w:rsidRDefault="00B020D8" w:rsidP="008C12B4">
            <w:pPr>
              <w:jc w:val="both"/>
              <w:rPr>
                <w:bCs/>
                <w:sz w:val="20"/>
                <w:szCs w:val="20"/>
              </w:rPr>
            </w:pPr>
            <w:r w:rsidRPr="00154588">
              <w:rPr>
                <w:sz w:val="20"/>
                <w:szCs w:val="16"/>
              </w:rPr>
              <w:t>Prevederi care se referă la atribuțiile de reglementare ale autorităților europene.</w:t>
            </w:r>
          </w:p>
        </w:tc>
      </w:tr>
      <w:tr w:rsidR="008B7D81" w:rsidRPr="00154588" w14:paraId="16E815FB" w14:textId="77777777" w:rsidTr="00D15C1B">
        <w:trPr>
          <w:jc w:val="center"/>
        </w:trPr>
        <w:tc>
          <w:tcPr>
            <w:tcW w:w="4957" w:type="dxa"/>
            <w:gridSpan w:val="2"/>
          </w:tcPr>
          <w:p w14:paraId="1C5754F9" w14:textId="77777777" w:rsidR="008B7D81" w:rsidRPr="00154588" w:rsidRDefault="008B7D81" w:rsidP="008C12B4">
            <w:pPr>
              <w:rPr>
                <w:b/>
                <w:sz w:val="20"/>
                <w:szCs w:val="20"/>
              </w:rPr>
            </w:pPr>
            <w:r w:rsidRPr="00154588">
              <w:rPr>
                <w:b/>
                <w:sz w:val="20"/>
                <w:szCs w:val="20"/>
              </w:rPr>
              <w:t>Articolul 28</w:t>
            </w:r>
          </w:p>
          <w:p w14:paraId="5D638815" w14:textId="77777777" w:rsidR="008B7D81" w:rsidRPr="00154588" w:rsidRDefault="008B7D81" w:rsidP="008C12B4">
            <w:pPr>
              <w:rPr>
                <w:b/>
                <w:sz w:val="20"/>
                <w:szCs w:val="20"/>
              </w:rPr>
            </w:pPr>
          </w:p>
          <w:p w14:paraId="2A56A907" w14:textId="77777777" w:rsidR="006E4EA1" w:rsidRPr="00154588" w:rsidRDefault="006E4EA1" w:rsidP="008C12B4">
            <w:pPr>
              <w:rPr>
                <w:b/>
                <w:sz w:val="20"/>
                <w:szCs w:val="20"/>
              </w:rPr>
            </w:pPr>
            <w:r w:rsidRPr="00154588">
              <w:rPr>
                <w:b/>
                <w:sz w:val="20"/>
                <w:szCs w:val="20"/>
              </w:rPr>
              <w:t>Înlocuirea conducerii superioare sau a organului de conducere</w:t>
            </w:r>
          </w:p>
          <w:p w14:paraId="6572EE79" w14:textId="18A70E1B" w:rsidR="008B7D81" w:rsidRPr="00154588" w:rsidRDefault="008B7D81" w:rsidP="008C12B4">
            <w:pPr>
              <w:rPr>
                <w:bCs/>
                <w:sz w:val="20"/>
                <w:szCs w:val="20"/>
              </w:rPr>
            </w:pPr>
          </w:p>
        </w:tc>
        <w:tc>
          <w:tcPr>
            <w:tcW w:w="4819" w:type="dxa"/>
          </w:tcPr>
          <w:p w14:paraId="56EE63D4" w14:textId="77777777" w:rsidR="00461D67" w:rsidRPr="00154588" w:rsidRDefault="00461D67" w:rsidP="008C12B4">
            <w:pPr>
              <w:jc w:val="center"/>
              <w:rPr>
                <w:rFonts w:eastAsia="Calibri"/>
                <w:b/>
                <w:sz w:val="20"/>
                <w:szCs w:val="18"/>
              </w:rPr>
            </w:pPr>
            <w:r w:rsidRPr="00154588">
              <w:rPr>
                <w:rFonts w:eastAsia="Calibri"/>
                <w:b/>
                <w:sz w:val="20"/>
                <w:szCs w:val="18"/>
              </w:rPr>
              <w:t>Capitolul II</w:t>
            </w:r>
          </w:p>
          <w:p w14:paraId="252DC7EB" w14:textId="128DBA96" w:rsidR="008B7D81" w:rsidRPr="00154588" w:rsidRDefault="00461D67" w:rsidP="008C12B4">
            <w:pPr>
              <w:jc w:val="center"/>
              <w:rPr>
                <w:rFonts w:eastAsia="Calibri"/>
                <w:b/>
                <w:sz w:val="20"/>
                <w:szCs w:val="18"/>
              </w:rPr>
            </w:pPr>
            <w:r w:rsidRPr="00154588">
              <w:rPr>
                <w:rFonts w:eastAsia="Calibri"/>
                <w:b/>
                <w:sz w:val="20"/>
                <w:szCs w:val="18"/>
              </w:rPr>
              <w:t xml:space="preserve">ÎNLOCUIREA ORGANULUI DE CONDUCERE </w:t>
            </w:r>
            <w:r w:rsidR="004A3A83" w:rsidRPr="00154588">
              <w:rPr>
                <w:rFonts w:eastAsia="Calibri"/>
                <w:b/>
                <w:sz w:val="20"/>
                <w:szCs w:val="18"/>
              </w:rPr>
              <w:t xml:space="preserve">SAU </w:t>
            </w:r>
            <w:r w:rsidRPr="00154588">
              <w:rPr>
                <w:rFonts w:eastAsia="Calibri"/>
                <w:b/>
                <w:sz w:val="20"/>
                <w:szCs w:val="18"/>
              </w:rPr>
              <w:t xml:space="preserve">A CONDUCERII SUPERIOARE </w:t>
            </w:r>
          </w:p>
        </w:tc>
        <w:tc>
          <w:tcPr>
            <w:tcW w:w="2552" w:type="dxa"/>
          </w:tcPr>
          <w:p w14:paraId="0E6CD4A9" w14:textId="77777777" w:rsidR="008B7D81" w:rsidRPr="00154588" w:rsidRDefault="008B7D81" w:rsidP="008C12B4">
            <w:pPr>
              <w:jc w:val="both"/>
              <w:rPr>
                <w:bCs/>
                <w:sz w:val="20"/>
                <w:szCs w:val="20"/>
              </w:rPr>
            </w:pPr>
          </w:p>
        </w:tc>
        <w:tc>
          <w:tcPr>
            <w:tcW w:w="3118" w:type="dxa"/>
          </w:tcPr>
          <w:p w14:paraId="002722DA" w14:textId="77777777" w:rsidR="008B7D81" w:rsidRPr="00154588" w:rsidRDefault="008B7D81" w:rsidP="008C12B4">
            <w:pPr>
              <w:jc w:val="both"/>
              <w:rPr>
                <w:bCs/>
                <w:sz w:val="20"/>
                <w:szCs w:val="20"/>
              </w:rPr>
            </w:pPr>
          </w:p>
        </w:tc>
      </w:tr>
      <w:tr w:rsidR="00461D67" w:rsidRPr="00154588" w14:paraId="5E954F9B" w14:textId="77777777" w:rsidTr="00D15C1B">
        <w:trPr>
          <w:jc w:val="center"/>
        </w:trPr>
        <w:tc>
          <w:tcPr>
            <w:tcW w:w="4957" w:type="dxa"/>
            <w:gridSpan w:val="2"/>
          </w:tcPr>
          <w:p w14:paraId="4E968539" w14:textId="77777777" w:rsidR="006E4EA1" w:rsidRPr="00154588" w:rsidRDefault="006E4EA1" w:rsidP="008C12B4">
            <w:pPr>
              <w:tabs>
                <w:tab w:val="left" w:pos="1064"/>
              </w:tabs>
              <w:jc w:val="both"/>
              <w:rPr>
                <w:bCs/>
                <w:sz w:val="20"/>
                <w:szCs w:val="20"/>
              </w:rPr>
            </w:pPr>
            <w:r w:rsidRPr="00154588">
              <w:rPr>
                <w:bCs/>
                <w:sz w:val="20"/>
                <w:szCs w:val="20"/>
              </w:rPr>
              <w:t>În sensul articolului 27 alineatul (2) litera (e), statele membre se asigură că noua conducere superioară sau noul organ de conducere ori membrii individuali ai acestora sunt numiți în conformitate cu dreptul Uniunii și cu dreptul intern și că astfel de numiri sunt supuse aprobării sau acordului autorității competente.</w:t>
            </w:r>
          </w:p>
          <w:p w14:paraId="691495EA" w14:textId="77777777" w:rsidR="006E4EA1" w:rsidRPr="00154588" w:rsidRDefault="006E4EA1" w:rsidP="008C12B4">
            <w:pPr>
              <w:tabs>
                <w:tab w:val="left" w:pos="1064"/>
              </w:tabs>
              <w:jc w:val="both"/>
              <w:rPr>
                <w:bCs/>
                <w:sz w:val="20"/>
                <w:szCs w:val="20"/>
              </w:rPr>
            </w:pPr>
          </w:p>
          <w:p w14:paraId="7701E4CB" w14:textId="2ABBCDB2" w:rsidR="00461D67" w:rsidRPr="00154588" w:rsidRDefault="00461D67" w:rsidP="008C12B4">
            <w:pPr>
              <w:tabs>
                <w:tab w:val="left" w:pos="1064"/>
              </w:tabs>
              <w:jc w:val="both"/>
              <w:rPr>
                <w:bCs/>
                <w:sz w:val="20"/>
                <w:szCs w:val="20"/>
              </w:rPr>
            </w:pPr>
          </w:p>
        </w:tc>
        <w:tc>
          <w:tcPr>
            <w:tcW w:w="4819" w:type="dxa"/>
          </w:tcPr>
          <w:p w14:paraId="5A5EE4FE" w14:textId="01CEF82A" w:rsidR="00461D67" w:rsidRPr="00154588" w:rsidRDefault="00461D67" w:rsidP="008C12B4">
            <w:pPr>
              <w:ind w:firstLine="567"/>
              <w:jc w:val="both"/>
              <w:rPr>
                <w:rFonts w:eastAsia="Calibri"/>
                <w:kern w:val="2"/>
                <w:sz w:val="20"/>
                <w:szCs w:val="18"/>
                <w14:ligatures w14:val="standardContextual"/>
              </w:rPr>
            </w:pPr>
            <w:r w:rsidRPr="00154588">
              <w:rPr>
                <w:rFonts w:eastAsia="Calibri"/>
                <w:b/>
                <w:sz w:val="20"/>
                <w:szCs w:val="18"/>
              </w:rPr>
              <w:t>Articolul 45.</w:t>
            </w:r>
            <w:r w:rsidRPr="00154588">
              <w:rPr>
                <w:rFonts w:eastAsia="Calibri"/>
                <w:sz w:val="20"/>
                <w:szCs w:val="18"/>
              </w:rPr>
              <w:t xml:space="preserve"> – În</w:t>
            </w:r>
            <w:r w:rsidR="004A3A83" w:rsidRPr="00154588">
              <w:rPr>
                <w:rFonts w:eastAsia="Calibri"/>
                <w:sz w:val="20"/>
                <w:szCs w:val="18"/>
              </w:rPr>
              <w:t xml:space="preserve"> sensul art. 43 lit. (e) </w:t>
            </w:r>
            <w:r w:rsidRPr="00154588">
              <w:rPr>
                <w:rFonts w:eastAsia="Calibri"/>
                <w:sz w:val="20"/>
                <w:szCs w:val="18"/>
              </w:rPr>
              <w:t xml:space="preserve">cazul deteriorării semnificative a situaţiei financiare a unei instituției de credit sau atunci cînd se produc încălcări grave ale legislaţiei, reglementărilor sau actelor constitutive ale instituției de credit ori grave nereguli administrative şi dacă alte măsuri luate în conformitate cu art.42-44 nu sînt suficiente pentru a pune capăt acestei deteriorări sau în cazul în care capitalul instituției de credit este deţinut în proporţie de cel puţin 50% de persoane care nu dispun de act permisiv al autorității competente, dacă aceasta este obligatorie conform legii, </w:t>
            </w:r>
            <w:r w:rsidRPr="00154588">
              <w:rPr>
                <w:sz w:val="20"/>
                <w:szCs w:val="18"/>
                <w:lang w:eastAsia="ro-MD"/>
              </w:rPr>
              <w:t>sau în cazul în care capitalul instituției de credit este constituit în proporţie de cel puţin 50% din acţiuni ce cad sub incidenţa dispoziţiilor art.52 alin.(3) şi art.52</w:t>
            </w:r>
            <w:r w:rsidRPr="00154588">
              <w:rPr>
                <w:sz w:val="20"/>
                <w:szCs w:val="18"/>
                <w:vertAlign w:val="superscript"/>
                <w:lang w:eastAsia="ro-MD"/>
              </w:rPr>
              <w:t>1</w:t>
            </w:r>
            <w:r w:rsidRPr="00154588">
              <w:rPr>
                <w:sz w:val="20"/>
                <w:szCs w:val="18"/>
                <w:lang w:eastAsia="ro-MD"/>
              </w:rPr>
              <w:t xml:space="preserve"> din Legea nr.202/2017,</w:t>
            </w:r>
            <w:r w:rsidRPr="00154588">
              <w:rPr>
                <w:rFonts w:eastAsia="Calibri"/>
                <w:sz w:val="20"/>
                <w:szCs w:val="18"/>
              </w:rPr>
              <w:t xml:space="preserve"> autoritatea competentă, pe lângă măsurile prevăzute la art.139 şi 141 din Legea nr.202/2017, poate solicita înlocuirea organului de conducere sau a conducerii superioare al instituției de credit, în ansamblul său, sau a unor membri ai acestuia, în termenul şi condiţiile prevăzute de autoritatea </w:t>
            </w:r>
            <w:r w:rsidRPr="00154588">
              <w:rPr>
                <w:rFonts w:eastAsia="Calibri"/>
                <w:sz w:val="20"/>
                <w:szCs w:val="18"/>
              </w:rPr>
              <w:lastRenderedPageBreak/>
              <w:t>competentă. Desemnarea noului organ de conducere sau a conducerii superioare este efectuată în conformitate cu prevederile Legii nr.1134</w:t>
            </w:r>
            <w:r w:rsidRPr="00154588">
              <w:rPr>
                <w:sz w:val="20"/>
                <w:szCs w:val="18"/>
                <w:lang w:eastAsia="ro-MD"/>
              </w:rPr>
              <w:t>/</w:t>
            </w:r>
            <w:r w:rsidRPr="00154588">
              <w:rPr>
                <w:rFonts w:eastAsia="Calibri"/>
                <w:sz w:val="20"/>
                <w:szCs w:val="18"/>
              </w:rPr>
              <w:t>1997 privind societăţile pe acţiuni, Legii nr.202/2017</w:t>
            </w:r>
            <w:r w:rsidR="004A3A83" w:rsidRPr="00154588">
              <w:rPr>
                <w:rFonts w:eastAsia="Calibri"/>
                <w:sz w:val="20"/>
                <w:szCs w:val="18"/>
              </w:rPr>
              <w:t xml:space="preserve"> și </w:t>
            </w:r>
            <w:r w:rsidR="004A3A83" w:rsidRPr="00154588">
              <w:rPr>
                <w:bCs/>
                <w:sz w:val="20"/>
                <w:szCs w:val="20"/>
              </w:rPr>
              <w:t>cu dreptul Uniunii</w:t>
            </w:r>
            <w:r w:rsidRPr="00154588">
              <w:rPr>
                <w:rFonts w:eastAsia="Calibri"/>
                <w:sz w:val="20"/>
                <w:szCs w:val="18"/>
              </w:rPr>
              <w:t xml:space="preserve"> </w:t>
            </w:r>
            <w:r w:rsidR="00BA38FE" w:rsidRPr="00154588">
              <w:rPr>
                <w:bCs/>
                <w:sz w:val="20"/>
                <w:szCs w:val="20"/>
              </w:rPr>
              <w:t>Europene</w:t>
            </w:r>
            <w:r w:rsidRPr="00154588">
              <w:rPr>
                <w:rFonts w:eastAsia="Calibri"/>
                <w:sz w:val="20"/>
                <w:szCs w:val="18"/>
              </w:rPr>
              <w:t xml:space="preserve"> şi face obiectul aprobării autorității competente.</w:t>
            </w:r>
          </w:p>
        </w:tc>
        <w:tc>
          <w:tcPr>
            <w:tcW w:w="2552" w:type="dxa"/>
          </w:tcPr>
          <w:p w14:paraId="29215BB8" w14:textId="2FBAD7BB" w:rsidR="00461D67" w:rsidRPr="00154588" w:rsidRDefault="00461D67" w:rsidP="008C12B4">
            <w:pPr>
              <w:jc w:val="both"/>
              <w:rPr>
                <w:bCs/>
                <w:sz w:val="20"/>
                <w:szCs w:val="20"/>
              </w:rPr>
            </w:pPr>
            <w:r w:rsidRPr="00154588">
              <w:rPr>
                <w:bCs/>
                <w:sz w:val="20"/>
                <w:szCs w:val="20"/>
              </w:rPr>
              <w:lastRenderedPageBreak/>
              <w:t>Compatibil</w:t>
            </w:r>
          </w:p>
        </w:tc>
        <w:tc>
          <w:tcPr>
            <w:tcW w:w="3118" w:type="dxa"/>
          </w:tcPr>
          <w:p w14:paraId="7FC86A5F" w14:textId="77777777" w:rsidR="00461D67" w:rsidRPr="00154588" w:rsidRDefault="00461D67" w:rsidP="008C12B4">
            <w:pPr>
              <w:jc w:val="both"/>
              <w:rPr>
                <w:bCs/>
                <w:sz w:val="20"/>
                <w:szCs w:val="20"/>
              </w:rPr>
            </w:pPr>
          </w:p>
        </w:tc>
      </w:tr>
      <w:tr w:rsidR="00461D67" w:rsidRPr="00154588" w14:paraId="363F87BB" w14:textId="77777777" w:rsidTr="00D15C1B">
        <w:trPr>
          <w:jc w:val="center"/>
        </w:trPr>
        <w:tc>
          <w:tcPr>
            <w:tcW w:w="4957" w:type="dxa"/>
            <w:gridSpan w:val="2"/>
          </w:tcPr>
          <w:p w14:paraId="26BC9E17" w14:textId="77777777" w:rsidR="00461D67" w:rsidRPr="00154588" w:rsidRDefault="00461D67" w:rsidP="008C12B4">
            <w:pPr>
              <w:rPr>
                <w:b/>
                <w:sz w:val="20"/>
                <w:szCs w:val="20"/>
              </w:rPr>
            </w:pPr>
            <w:r w:rsidRPr="00154588">
              <w:rPr>
                <w:b/>
                <w:sz w:val="20"/>
                <w:szCs w:val="20"/>
              </w:rPr>
              <w:t>Articolul 29</w:t>
            </w:r>
          </w:p>
          <w:p w14:paraId="2D09A143" w14:textId="77777777" w:rsidR="00461D67" w:rsidRPr="00154588" w:rsidRDefault="00461D67" w:rsidP="008C12B4">
            <w:pPr>
              <w:rPr>
                <w:b/>
                <w:sz w:val="20"/>
                <w:szCs w:val="20"/>
              </w:rPr>
            </w:pPr>
          </w:p>
          <w:p w14:paraId="5534B7FE" w14:textId="657C5710" w:rsidR="00461D67" w:rsidRPr="00154588" w:rsidRDefault="00461D67" w:rsidP="008C12B4">
            <w:pPr>
              <w:rPr>
                <w:bCs/>
                <w:sz w:val="20"/>
                <w:szCs w:val="20"/>
              </w:rPr>
            </w:pPr>
            <w:r w:rsidRPr="00154588">
              <w:rPr>
                <w:b/>
                <w:sz w:val="20"/>
                <w:szCs w:val="20"/>
              </w:rPr>
              <w:t>Administratorul temporar</w:t>
            </w:r>
          </w:p>
        </w:tc>
        <w:tc>
          <w:tcPr>
            <w:tcW w:w="4819" w:type="dxa"/>
          </w:tcPr>
          <w:p w14:paraId="67693155" w14:textId="77777777" w:rsidR="00461D67" w:rsidRPr="00154588" w:rsidRDefault="00461D67" w:rsidP="008C12B4">
            <w:pPr>
              <w:jc w:val="center"/>
              <w:rPr>
                <w:rFonts w:eastAsia="Calibri"/>
                <w:b/>
                <w:sz w:val="20"/>
                <w:szCs w:val="18"/>
              </w:rPr>
            </w:pPr>
            <w:r w:rsidRPr="00154588">
              <w:rPr>
                <w:rFonts w:eastAsia="Calibri"/>
                <w:b/>
                <w:sz w:val="20"/>
                <w:szCs w:val="18"/>
              </w:rPr>
              <w:t>Capitolul III</w:t>
            </w:r>
          </w:p>
          <w:p w14:paraId="66F2EDE2" w14:textId="7D505CD6" w:rsidR="00461D67" w:rsidRPr="00154588" w:rsidRDefault="00461D67" w:rsidP="008C12B4">
            <w:pPr>
              <w:jc w:val="center"/>
              <w:rPr>
                <w:rFonts w:eastAsia="Calibri"/>
                <w:b/>
                <w:sz w:val="20"/>
                <w:szCs w:val="18"/>
              </w:rPr>
            </w:pPr>
            <w:r w:rsidRPr="00154588">
              <w:rPr>
                <w:rFonts w:eastAsia="Calibri"/>
                <w:b/>
                <w:sz w:val="20"/>
                <w:szCs w:val="18"/>
              </w:rPr>
              <w:t>DESEMNAREA ADMINISTRATORULUI TEMPORAR</w:t>
            </w:r>
          </w:p>
        </w:tc>
        <w:tc>
          <w:tcPr>
            <w:tcW w:w="2552" w:type="dxa"/>
          </w:tcPr>
          <w:p w14:paraId="7058220D" w14:textId="77777777" w:rsidR="00461D67" w:rsidRPr="00154588" w:rsidRDefault="00461D67" w:rsidP="008C12B4">
            <w:pPr>
              <w:jc w:val="both"/>
              <w:rPr>
                <w:bCs/>
                <w:sz w:val="20"/>
                <w:szCs w:val="20"/>
              </w:rPr>
            </w:pPr>
          </w:p>
        </w:tc>
        <w:tc>
          <w:tcPr>
            <w:tcW w:w="3118" w:type="dxa"/>
          </w:tcPr>
          <w:p w14:paraId="001F2D62" w14:textId="77777777" w:rsidR="00461D67" w:rsidRPr="00154588" w:rsidRDefault="00461D67" w:rsidP="008C12B4">
            <w:pPr>
              <w:jc w:val="both"/>
              <w:rPr>
                <w:bCs/>
                <w:sz w:val="20"/>
                <w:szCs w:val="20"/>
              </w:rPr>
            </w:pPr>
          </w:p>
        </w:tc>
      </w:tr>
      <w:tr w:rsidR="00461D67" w:rsidRPr="00154588" w14:paraId="1331A4B5" w14:textId="77777777" w:rsidTr="00D15C1B">
        <w:trPr>
          <w:jc w:val="center"/>
        </w:trPr>
        <w:tc>
          <w:tcPr>
            <w:tcW w:w="4957" w:type="dxa"/>
            <w:gridSpan w:val="2"/>
          </w:tcPr>
          <w:p w14:paraId="21BAA8F7" w14:textId="77777777" w:rsidR="006E4EA1" w:rsidRPr="00154588" w:rsidRDefault="00461D67" w:rsidP="008C12B4">
            <w:pPr>
              <w:jc w:val="both"/>
              <w:rPr>
                <w:bCs/>
                <w:sz w:val="20"/>
                <w:szCs w:val="20"/>
              </w:rPr>
            </w:pPr>
            <w:r w:rsidRPr="00154588">
              <w:rPr>
                <w:bCs/>
                <w:sz w:val="20"/>
                <w:szCs w:val="20"/>
              </w:rPr>
              <w:t>(1</w:t>
            </w:r>
            <w:r w:rsidR="006E4EA1" w:rsidRPr="00154588">
              <w:t xml:space="preserve"> </w:t>
            </w:r>
            <w:r w:rsidR="006E4EA1" w:rsidRPr="00154588">
              <w:rPr>
                <w:bCs/>
                <w:sz w:val="20"/>
                <w:szCs w:val="20"/>
              </w:rPr>
              <w:t xml:space="preserve">(1) În sensul articolului 27 alineatul (2) litera (f), statele membre se asigură că autoritățile competente pot numi, proporțional cu circumstanțele existente, unul sau mai mulți administratori temporari care: </w:t>
            </w:r>
          </w:p>
          <w:p w14:paraId="62667AAA" w14:textId="77777777" w:rsidR="006E4EA1" w:rsidRPr="00154588" w:rsidRDefault="006E4EA1" w:rsidP="008C12B4">
            <w:pPr>
              <w:jc w:val="both"/>
              <w:rPr>
                <w:bCs/>
                <w:sz w:val="20"/>
                <w:szCs w:val="20"/>
              </w:rPr>
            </w:pPr>
          </w:p>
          <w:p w14:paraId="7240FB91" w14:textId="77777777" w:rsidR="006E4EA1" w:rsidRPr="00154588" w:rsidRDefault="006E4EA1" w:rsidP="008C12B4">
            <w:pPr>
              <w:jc w:val="both"/>
              <w:rPr>
                <w:bCs/>
                <w:sz w:val="20"/>
                <w:szCs w:val="20"/>
              </w:rPr>
            </w:pPr>
            <w:r w:rsidRPr="00154588">
              <w:rPr>
                <w:bCs/>
                <w:sz w:val="20"/>
                <w:szCs w:val="20"/>
              </w:rPr>
              <w:t xml:space="preserve">(a) să înlocuiască temporar organul de conducere al instituției sau al entității menționate la articolul 1 alineatul (1) litera (b), (c) sau (d); sau </w:t>
            </w:r>
          </w:p>
          <w:p w14:paraId="07E4FA7A" w14:textId="77777777" w:rsidR="006E4EA1" w:rsidRPr="00154588" w:rsidRDefault="006E4EA1" w:rsidP="008C12B4">
            <w:pPr>
              <w:jc w:val="both"/>
              <w:rPr>
                <w:bCs/>
                <w:sz w:val="20"/>
                <w:szCs w:val="20"/>
              </w:rPr>
            </w:pPr>
          </w:p>
          <w:p w14:paraId="66F62439" w14:textId="77777777" w:rsidR="006E4EA1" w:rsidRPr="00154588" w:rsidRDefault="006E4EA1" w:rsidP="008C12B4">
            <w:pPr>
              <w:jc w:val="both"/>
              <w:rPr>
                <w:bCs/>
                <w:sz w:val="20"/>
                <w:szCs w:val="20"/>
              </w:rPr>
            </w:pPr>
            <w:r w:rsidRPr="00154588">
              <w:rPr>
                <w:bCs/>
                <w:sz w:val="20"/>
                <w:szCs w:val="20"/>
              </w:rPr>
              <w:t xml:space="preserve">(b) să colaboreze temporar cu organul de conducere al instituției sau al entității menționate la articolul 1 alineatul (1) litera (b), (c) sau (d). </w:t>
            </w:r>
          </w:p>
          <w:p w14:paraId="4F338193" w14:textId="77777777" w:rsidR="006E4EA1" w:rsidRPr="00154588" w:rsidRDefault="006E4EA1" w:rsidP="008C12B4">
            <w:pPr>
              <w:jc w:val="both"/>
              <w:rPr>
                <w:bCs/>
                <w:sz w:val="20"/>
                <w:szCs w:val="20"/>
              </w:rPr>
            </w:pPr>
          </w:p>
          <w:p w14:paraId="5CDD7E69" w14:textId="77777777" w:rsidR="006E4EA1" w:rsidRPr="00154588" w:rsidRDefault="006E4EA1" w:rsidP="008C12B4">
            <w:pPr>
              <w:jc w:val="both"/>
              <w:rPr>
                <w:bCs/>
                <w:sz w:val="20"/>
                <w:szCs w:val="20"/>
              </w:rPr>
            </w:pPr>
            <w:r w:rsidRPr="00154588">
              <w:rPr>
                <w:bCs/>
                <w:sz w:val="20"/>
                <w:szCs w:val="20"/>
              </w:rPr>
              <w:t xml:space="preserve">La momentul numirii administratorului temporar, autoritatea competentă precizează dacă numirea se face în sensul literei (a) sau (b) de la primul paragraf. </w:t>
            </w:r>
          </w:p>
          <w:p w14:paraId="78B8EBF7" w14:textId="77777777" w:rsidR="006E4EA1" w:rsidRPr="00154588" w:rsidRDefault="006E4EA1" w:rsidP="008C12B4">
            <w:pPr>
              <w:jc w:val="both"/>
              <w:rPr>
                <w:bCs/>
                <w:sz w:val="20"/>
                <w:szCs w:val="20"/>
              </w:rPr>
            </w:pPr>
            <w:r w:rsidRPr="00154588">
              <w:rPr>
                <w:bCs/>
                <w:sz w:val="20"/>
                <w:szCs w:val="20"/>
              </w:rPr>
              <w:t xml:space="preserve">În sensul literei (b) de la primul paragraf, autoritatea competentă precizează de asemenea, la momentul numirii, rolul, atribuțiile și competențele administratorului temporar, precum și eventualele cerințe pentru organul de conducere al instituției sau al entității, și anume de a se consulta cu administratorul temporar sau de a obține aprobarea acestuia înainte de a lua anumite decizii sau măsuri. </w:t>
            </w:r>
          </w:p>
          <w:p w14:paraId="2012C98A" w14:textId="77777777" w:rsidR="006E4EA1" w:rsidRPr="00154588" w:rsidRDefault="006E4EA1" w:rsidP="008C12B4">
            <w:pPr>
              <w:jc w:val="both"/>
              <w:rPr>
                <w:bCs/>
                <w:sz w:val="20"/>
                <w:szCs w:val="20"/>
              </w:rPr>
            </w:pPr>
          </w:p>
          <w:p w14:paraId="1BEBF1B0" w14:textId="77777777" w:rsidR="006E4EA1" w:rsidRPr="00154588" w:rsidRDefault="006E4EA1" w:rsidP="008C12B4">
            <w:pPr>
              <w:jc w:val="both"/>
              <w:rPr>
                <w:bCs/>
                <w:sz w:val="20"/>
                <w:szCs w:val="20"/>
              </w:rPr>
            </w:pPr>
            <w:r w:rsidRPr="00154588">
              <w:rPr>
                <w:bCs/>
                <w:sz w:val="20"/>
                <w:szCs w:val="20"/>
              </w:rPr>
              <w:t xml:space="preserve">Statele membre impun autorității competente să facă publică numirea oricărui administrator temporar, cu excepția cazului în care administratorul temporar nu are competența de a reprezenta instituția sau entitatea menționată la articolul 1 alineatul (1) litera (b), (c) sau (d). </w:t>
            </w:r>
          </w:p>
          <w:p w14:paraId="27AA6715" w14:textId="77777777" w:rsidR="006E4EA1" w:rsidRPr="00154588" w:rsidRDefault="006E4EA1" w:rsidP="008C12B4">
            <w:pPr>
              <w:jc w:val="both"/>
              <w:rPr>
                <w:bCs/>
                <w:sz w:val="20"/>
                <w:szCs w:val="20"/>
              </w:rPr>
            </w:pPr>
          </w:p>
          <w:p w14:paraId="7E499FF5" w14:textId="77777777" w:rsidR="006B5D69" w:rsidRPr="00154588" w:rsidRDefault="006E4EA1" w:rsidP="008C12B4">
            <w:pPr>
              <w:jc w:val="both"/>
              <w:rPr>
                <w:bCs/>
                <w:sz w:val="20"/>
                <w:szCs w:val="20"/>
              </w:rPr>
            </w:pPr>
            <w:r w:rsidRPr="00154588">
              <w:rPr>
                <w:bCs/>
                <w:sz w:val="20"/>
                <w:szCs w:val="20"/>
              </w:rPr>
              <w:t xml:space="preserve">Statele membre se asigură, de asemenea, că orice administrator temporar deține suficiente cunoștințe, aptitudini și experiență pentru a-și exercita atribuțiile și îndeplinește cerințele prevăzute la articolul 91 alineatele (2) și (2a) din Directiva 2013/36/UE. Evaluarea de către autoritatea competentă prin care se stabilește dacă </w:t>
            </w:r>
            <w:r w:rsidRPr="00154588">
              <w:rPr>
                <w:bCs/>
                <w:sz w:val="20"/>
                <w:szCs w:val="20"/>
              </w:rPr>
              <w:lastRenderedPageBreak/>
              <w:t>administratorul temporar deține astfel de cunoștințe, aptitudini și experiență și dacă respectă cerințele respective face parte integrantă din decizia de numire a administratorului temporar respectiv.</w:t>
            </w:r>
          </w:p>
          <w:p w14:paraId="3CFBCADB" w14:textId="77777777" w:rsidR="006B5D69" w:rsidRPr="00154588" w:rsidRDefault="006B5D69" w:rsidP="008C12B4">
            <w:pPr>
              <w:jc w:val="both"/>
              <w:rPr>
                <w:bCs/>
                <w:sz w:val="20"/>
                <w:szCs w:val="20"/>
              </w:rPr>
            </w:pPr>
          </w:p>
          <w:p w14:paraId="2DD8FF3E" w14:textId="77777777" w:rsidR="006B5D69" w:rsidRPr="00154588" w:rsidRDefault="006B5D69" w:rsidP="008C12B4">
            <w:pPr>
              <w:jc w:val="both"/>
              <w:rPr>
                <w:bCs/>
                <w:sz w:val="20"/>
                <w:szCs w:val="20"/>
              </w:rPr>
            </w:pPr>
          </w:p>
          <w:p w14:paraId="6C58F6D6" w14:textId="77777777" w:rsidR="006B5D69" w:rsidRPr="00154588" w:rsidRDefault="006B5D69" w:rsidP="008C12B4">
            <w:pPr>
              <w:jc w:val="both"/>
              <w:rPr>
                <w:bCs/>
                <w:sz w:val="20"/>
                <w:szCs w:val="20"/>
              </w:rPr>
            </w:pPr>
          </w:p>
          <w:p w14:paraId="66A30C26" w14:textId="77777777" w:rsidR="006B5D69" w:rsidRPr="00154588" w:rsidRDefault="006B5D69" w:rsidP="008C12B4">
            <w:pPr>
              <w:jc w:val="both"/>
              <w:rPr>
                <w:bCs/>
                <w:sz w:val="20"/>
                <w:szCs w:val="20"/>
              </w:rPr>
            </w:pPr>
          </w:p>
          <w:p w14:paraId="122B07DF" w14:textId="77777777" w:rsidR="006B5D69" w:rsidRPr="00154588" w:rsidRDefault="006B5D69" w:rsidP="008C12B4">
            <w:pPr>
              <w:jc w:val="both"/>
              <w:rPr>
                <w:bCs/>
                <w:sz w:val="20"/>
                <w:szCs w:val="20"/>
              </w:rPr>
            </w:pPr>
          </w:p>
          <w:p w14:paraId="44FD1917" w14:textId="77777777" w:rsidR="006B5D69" w:rsidRPr="00154588" w:rsidRDefault="006B5D69" w:rsidP="008C12B4">
            <w:pPr>
              <w:jc w:val="both"/>
              <w:rPr>
                <w:bCs/>
                <w:sz w:val="20"/>
                <w:szCs w:val="20"/>
              </w:rPr>
            </w:pPr>
          </w:p>
          <w:p w14:paraId="555E701B" w14:textId="77777777" w:rsidR="006B5D69" w:rsidRPr="00154588" w:rsidRDefault="006B5D69" w:rsidP="008C12B4">
            <w:pPr>
              <w:jc w:val="both"/>
              <w:rPr>
                <w:bCs/>
                <w:sz w:val="20"/>
                <w:szCs w:val="20"/>
              </w:rPr>
            </w:pPr>
          </w:p>
          <w:p w14:paraId="3C945FC5" w14:textId="77777777" w:rsidR="006B5D69" w:rsidRPr="00154588" w:rsidRDefault="006B5D69" w:rsidP="008C12B4">
            <w:pPr>
              <w:jc w:val="both"/>
              <w:rPr>
                <w:bCs/>
                <w:sz w:val="20"/>
                <w:szCs w:val="20"/>
              </w:rPr>
            </w:pPr>
          </w:p>
          <w:p w14:paraId="4A8DC326" w14:textId="77777777" w:rsidR="006B5D69" w:rsidRPr="00154588" w:rsidRDefault="006B5D69" w:rsidP="008C12B4">
            <w:pPr>
              <w:jc w:val="both"/>
              <w:rPr>
                <w:bCs/>
                <w:sz w:val="20"/>
                <w:szCs w:val="20"/>
              </w:rPr>
            </w:pPr>
          </w:p>
          <w:p w14:paraId="533EB9A5" w14:textId="259FD427" w:rsidR="00461D67" w:rsidRPr="00154588" w:rsidRDefault="00461D67" w:rsidP="008C12B4">
            <w:pPr>
              <w:jc w:val="both"/>
              <w:rPr>
                <w:bCs/>
                <w:sz w:val="20"/>
                <w:szCs w:val="20"/>
              </w:rPr>
            </w:pPr>
          </w:p>
        </w:tc>
        <w:tc>
          <w:tcPr>
            <w:tcW w:w="4819" w:type="dxa"/>
          </w:tcPr>
          <w:p w14:paraId="4CB71CF5" w14:textId="0201A8CD" w:rsidR="0046472D" w:rsidRPr="00154588" w:rsidRDefault="00461D67" w:rsidP="008C12B4">
            <w:pPr>
              <w:ind w:firstLine="567"/>
              <w:jc w:val="both"/>
              <w:rPr>
                <w:rFonts w:eastAsia="Calibri"/>
                <w:sz w:val="20"/>
                <w:szCs w:val="18"/>
              </w:rPr>
            </w:pPr>
            <w:r w:rsidRPr="00154588">
              <w:rPr>
                <w:rFonts w:eastAsia="Calibri"/>
                <w:b/>
                <w:sz w:val="20"/>
                <w:szCs w:val="18"/>
              </w:rPr>
              <w:lastRenderedPageBreak/>
              <w:t>Articolul 46.</w:t>
            </w:r>
            <w:r w:rsidRPr="00154588">
              <w:rPr>
                <w:rFonts w:eastAsia="Calibri"/>
                <w:sz w:val="20"/>
                <w:szCs w:val="18"/>
              </w:rPr>
              <w:t xml:space="preserve"> – (1) În </w:t>
            </w:r>
            <w:r w:rsidR="0046472D" w:rsidRPr="00154588">
              <w:rPr>
                <w:rFonts w:eastAsia="Calibri"/>
                <w:sz w:val="20"/>
                <w:szCs w:val="18"/>
              </w:rPr>
              <w:t xml:space="preserve">sensul art.43 lit.f) Banca Națională a </w:t>
            </w:r>
            <w:r w:rsidR="00BA38FE" w:rsidRPr="00154588">
              <w:rPr>
                <w:rFonts w:eastAsia="Calibri"/>
                <w:sz w:val="20"/>
                <w:szCs w:val="18"/>
              </w:rPr>
              <w:t>M</w:t>
            </w:r>
            <w:r w:rsidR="0046472D" w:rsidRPr="00154588">
              <w:rPr>
                <w:rFonts w:eastAsia="Calibri"/>
                <w:sz w:val="20"/>
                <w:szCs w:val="18"/>
              </w:rPr>
              <w:t xml:space="preserve">oldovei în calitate de </w:t>
            </w:r>
            <w:r w:rsidRPr="00154588">
              <w:rPr>
                <w:rFonts w:eastAsia="Calibri"/>
                <w:sz w:val="20"/>
                <w:szCs w:val="18"/>
              </w:rPr>
              <w:t xml:space="preserve"> autoritate competentă,</w:t>
            </w:r>
            <w:r w:rsidR="0046472D" w:rsidRPr="00154588">
              <w:rPr>
                <w:rFonts w:eastAsia="Calibri"/>
                <w:sz w:val="20"/>
                <w:szCs w:val="18"/>
              </w:rPr>
              <w:t xml:space="preserve"> poate </w:t>
            </w:r>
            <w:r w:rsidR="00D537F8" w:rsidRPr="00154588">
              <w:rPr>
                <w:rFonts w:eastAsia="Calibri"/>
                <w:sz w:val="20"/>
                <w:szCs w:val="18"/>
              </w:rPr>
              <w:t>desemna</w:t>
            </w:r>
            <w:r w:rsidR="0046472D" w:rsidRPr="00154588">
              <w:rPr>
                <w:rFonts w:eastAsia="Calibri"/>
                <w:sz w:val="20"/>
                <w:szCs w:val="18"/>
              </w:rPr>
              <w:t xml:space="preserve">, proporțional cu circumstanțele </w:t>
            </w:r>
            <w:r w:rsidR="008E7CEB" w:rsidRPr="00154588">
              <w:rPr>
                <w:rFonts w:eastAsia="Calibri"/>
                <w:sz w:val="20"/>
                <w:szCs w:val="18"/>
              </w:rPr>
              <w:t>existente</w:t>
            </w:r>
            <w:r w:rsidR="0046472D" w:rsidRPr="00154588">
              <w:rPr>
                <w:rFonts w:eastAsia="Calibri"/>
                <w:sz w:val="20"/>
                <w:szCs w:val="18"/>
              </w:rPr>
              <w:t xml:space="preserve">, unul sau mai </w:t>
            </w:r>
            <w:r w:rsidR="008E7CEB" w:rsidRPr="00154588">
              <w:rPr>
                <w:rFonts w:eastAsia="Calibri"/>
                <w:sz w:val="20"/>
                <w:szCs w:val="18"/>
              </w:rPr>
              <w:t>mulți</w:t>
            </w:r>
            <w:r w:rsidR="0046472D" w:rsidRPr="00154588">
              <w:rPr>
                <w:rFonts w:eastAsia="Calibri"/>
                <w:sz w:val="20"/>
                <w:szCs w:val="18"/>
              </w:rPr>
              <w:t xml:space="preserve"> administratori temporari care:</w:t>
            </w:r>
          </w:p>
          <w:p w14:paraId="54DAEF27" w14:textId="3E152942" w:rsidR="0046472D" w:rsidRPr="00154588" w:rsidRDefault="0046472D" w:rsidP="008C12B4">
            <w:pPr>
              <w:ind w:firstLine="567"/>
              <w:jc w:val="both"/>
              <w:rPr>
                <w:bCs/>
                <w:sz w:val="20"/>
                <w:szCs w:val="20"/>
              </w:rPr>
            </w:pPr>
            <w:r w:rsidRPr="00154588">
              <w:rPr>
                <w:bCs/>
                <w:sz w:val="20"/>
                <w:szCs w:val="20"/>
              </w:rPr>
              <w:t>a) să înlocuiască temporar organul de conducere al instituției de credit sau al entității menționate la art</w:t>
            </w:r>
            <w:r w:rsidR="00C517E5" w:rsidRPr="00154588">
              <w:rPr>
                <w:bCs/>
                <w:sz w:val="20"/>
                <w:szCs w:val="20"/>
              </w:rPr>
              <w:t>.</w:t>
            </w:r>
            <w:r w:rsidRPr="00154588">
              <w:rPr>
                <w:bCs/>
                <w:sz w:val="20"/>
                <w:szCs w:val="20"/>
              </w:rPr>
              <w:t>1 alin</w:t>
            </w:r>
            <w:r w:rsidR="00C517E5" w:rsidRPr="00154588">
              <w:rPr>
                <w:bCs/>
                <w:sz w:val="20"/>
                <w:szCs w:val="20"/>
              </w:rPr>
              <w:t>.</w:t>
            </w:r>
            <w:r w:rsidRPr="00154588">
              <w:rPr>
                <w:bCs/>
                <w:sz w:val="20"/>
                <w:szCs w:val="20"/>
              </w:rPr>
              <w:t>(1) lit</w:t>
            </w:r>
            <w:r w:rsidR="00C517E5" w:rsidRPr="00154588">
              <w:rPr>
                <w:bCs/>
                <w:sz w:val="20"/>
                <w:szCs w:val="20"/>
              </w:rPr>
              <w:t>.</w:t>
            </w:r>
            <w:r w:rsidRPr="00154588">
              <w:rPr>
                <w:bCs/>
                <w:sz w:val="20"/>
                <w:szCs w:val="20"/>
              </w:rPr>
              <w:t xml:space="preserve">b), c) sau d); sau </w:t>
            </w:r>
          </w:p>
          <w:p w14:paraId="4BC1A235" w14:textId="4700EDF2" w:rsidR="0046472D" w:rsidRPr="00154588" w:rsidRDefault="0046472D" w:rsidP="008C12B4">
            <w:pPr>
              <w:ind w:firstLine="567"/>
              <w:jc w:val="both"/>
              <w:rPr>
                <w:bCs/>
                <w:sz w:val="20"/>
                <w:szCs w:val="20"/>
              </w:rPr>
            </w:pPr>
            <w:r w:rsidRPr="00154588">
              <w:rPr>
                <w:bCs/>
                <w:sz w:val="20"/>
                <w:szCs w:val="20"/>
              </w:rPr>
              <w:t xml:space="preserve">b) să colaboreze temporar cu organul de conducere al instituției de credit sau al entității menționate la </w:t>
            </w:r>
            <w:r w:rsidR="00C517E5" w:rsidRPr="00154588">
              <w:rPr>
                <w:bCs/>
                <w:sz w:val="20"/>
                <w:szCs w:val="20"/>
              </w:rPr>
              <w:t>art.1 alin.(1) lit.b), c) sau d)</w:t>
            </w:r>
            <w:r w:rsidRPr="00154588">
              <w:rPr>
                <w:bCs/>
                <w:sz w:val="20"/>
                <w:szCs w:val="20"/>
              </w:rPr>
              <w:t xml:space="preserve">. </w:t>
            </w:r>
          </w:p>
          <w:p w14:paraId="5E78A64A" w14:textId="77777777" w:rsidR="0046472D" w:rsidRPr="00154588" w:rsidRDefault="0046472D" w:rsidP="008C12B4">
            <w:pPr>
              <w:ind w:firstLine="567"/>
              <w:jc w:val="both"/>
              <w:rPr>
                <w:bCs/>
                <w:sz w:val="20"/>
                <w:szCs w:val="20"/>
              </w:rPr>
            </w:pPr>
          </w:p>
          <w:p w14:paraId="573DDC95" w14:textId="31594DEC" w:rsidR="00DC7E22" w:rsidRPr="00154588" w:rsidRDefault="00DC7E22" w:rsidP="008C12B4">
            <w:pPr>
              <w:ind w:firstLine="567"/>
              <w:jc w:val="both"/>
              <w:rPr>
                <w:rFonts w:eastAsia="Calibri"/>
                <w:sz w:val="20"/>
                <w:szCs w:val="18"/>
              </w:rPr>
            </w:pPr>
            <w:r w:rsidRPr="00154588">
              <w:rPr>
                <w:bCs/>
                <w:sz w:val="20"/>
                <w:szCs w:val="20"/>
              </w:rPr>
              <w:t xml:space="preserve">(2) La momentul </w:t>
            </w:r>
            <w:r w:rsidR="00D537F8" w:rsidRPr="00154588">
              <w:rPr>
                <w:bCs/>
                <w:sz w:val="20"/>
                <w:szCs w:val="20"/>
              </w:rPr>
              <w:t>desemnării</w:t>
            </w:r>
            <w:r w:rsidRPr="00154588">
              <w:rPr>
                <w:bCs/>
                <w:sz w:val="20"/>
                <w:szCs w:val="20"/>
              </w:rPr>
              <w:t xml:space="preserve"> administratorului temporar,</w:t>
            </w:r>
            <w:r w:rsidRPr="00154588">
              <w:rPr>
                <w:rFonts w:eastAsia="Calibri"/>
                <w:sz w:val="20"/>
                <w:szCs w:val="18"/>
              </w:rPr>
              <w:t xml:space="preserve"> Banca Naţională a Moldovei, în calitate de autoritate competentă, precizează dacă numirea se face </w:t>
            </w:r>
            <w:r w:rsidRPr="00154588">
              <w:rPr>
                <w:bCs/>
                <w:sz w:val="20"/>
                <w:szCs w:val="20"/>
              </w:rPr>
              <w:t>în sensul lit</w:t>
            </w:r>
            <w:r w:rsidR="00C517E5" w:rsidRPr="00154588">
              <w:rPr>
                <w:bCs/>
                <w:sz w:val="20"/>
                <w:szCs w:val="20"/>
              </w:rPr>
              <w:t>.</w:t>
            </w:r>
            <w:r w:rsidRPr="00154588">
              <w:rPr>
                <w:bCs/>
                <w:sz w:val="20"/>
                <w:szCs w:val="20"/>
              </w:rPr>
              <w:t xml:space="preserve">a) sau b) de la alin.(1) și </w:t>
            </w:r>
            <w:r w:rsidRPr="00154588">
              <w:rPr>
                <w:rFonts w:eastAsia="Calibri"/>
                <w:sz w:val="20"/>
                <w:szCs w:val="18"/>
              </w:rPr>
              <w:t>specifică, de asemenea, la momentul desemnării, rolul, atribuţiile şi competenţele administratorului temporar, precum şi orice cerinţe, pentru organul de conducere al instituției de credit</w:t>
            </w:r>
            <w:r w:rsidR="00D537F8" w:rsidRPr="00154588">
              <w:rPr>
                <w:rFonts w:eastAsia="Calibri"/>
                <w:sz w:val="20"/>
                <w:szCs w:val="18"/>
              </w:rPr>
              <w:t xml:space="preserve"> sau al entității</w:t>
            </w:r>
            <w:r w:rsidRPr="00154588">
              <w:rPr>
                <w:rFonts w:eastAsia="Calibri"/>
                <w:sz w:val="20"/>
                <w:szCs w:val="18"/>
              </w:rPr>
              <w:t>, de a se consulta cu administratorul temporar sau de a obţine acordul acestuia înainte de a lua anumite decizii sau de a întreprinde anumite acţiuni.</w:t>
            </w:r>
          </w:p>
          <w:p w14:paraId="55D8A3BC" w14:textId="77777777" w:rsidR="00D537F8" w:rsidRPr="00154588" w:rsidRDefault="00D537F8" w:rsidP="008C12B4">
            <w:pPr>
              <w:ind w:firstLine="567"/>
              <w:jc w:val="both"/>
              <w:rPr>
                <w:rFonts w:eastAsia="Calibri"/>
                <w:sz w:val="20"/>
                <w:szCs w:val="18"/>
              </w:rPr>
            </w:pPr>
          </w:p>
          <w:p w14:paraId="500F4FA9" w14:textId="3FEC0B8A" w:rsidR="00D537F8" w:rsidRPr="00154588" w:rsidRDefault="00D537F8" w:rsidP="008C12B4">
            <w:pPr>
              <w:ind w:firstLine="567"/>
              <w:jc w:val="both"/>
              <w:rPr>
                <w:rFonts w:eastAsia="Calibri"/>
                <w:sz w:val="20"/>
                <w:szCs w:val="18"/>
              </w:rPr>
            </w:pPr>
            <w:r w:rsidRPr="00154588">
              <w:rPr>
                <w:rFonts w:eastAsia="Calibri"/>
                <w:sz w:val="20"/>
                <w:szCs w:val="18"/>
              </w:rPr>
              <w:t xml:space="preserve">(3) Banca Naţională a Moldovei, în calitate de autoritate competentă, face publică pe pagina web oficială desemnarea oricărui administrator temporar, cu excepţia cazului în care administratorul temporar nu deţine competenţa de a reprezenta instituția de credit sau entitatea </w:t>
            </w:r>
            <w:r w:rsidRPr="00154588">
              <w:rPr>
                <w:bCs/>
                <w:sz w:val="20"/>
                <w:szCs w:val="20"/>
              </w:rPr>
              <w:t xml:space="preserve">menționată la </w:t>
            </w:r>
            <w:r w:rsidR="00C517E5" w:rsidRPr="00154588">
              <w:rPr>
                <w:bCs/>
                <w:sz w:val="20"/>
                <w:szCs w:val="20"/>
              </w:rPr>
              <w:t>art.1 alin.(1) lit.b), c) sau d)</w:t>
            </w:r>
            <w:r w:rsidRPr="00154588">
              <w:rPr>
                <w:rFonts w:eastAsia="Calibri"/>
                <w:sz w:val="20"/>
                <w:szCs w:val="18"/>
              </w:rPr>
              <w:t>.</w:t>
            </w:r>
          </w:p>
          <w:p w14:paraId="175375FC" w14:textId="77777777" w:rsidR="00D537F8" w:rsidRPr="00154588" w:rsidRDefault="00D537F8" w:rsidP="008C12B4">
            <w:pPr>
              <w:ind w:firstLine="567"/>
              <w:jc w:val="both"/>
              <w:rPr>
                <w:bCs/>
                <w:sz w:val="20"/>
                <w:szCs w:val="20"/>
              </w:rPr>
            </w:pPr>
          </w:p>
          <w:p w14:paraId="41F6860C" w14:textId="5D776929" w:rsidR="00D537F8" w:rsidRPr="00154588" w:rsidRDefault="00D537F8" w:rsidP="008C12B4">
            <w:pPr>
              <w:ind w:firstLine="567"/>
              <w:jc w:val="both"/>
              <w:rPr>
                <w:bCs/>
                <w:sz w:val="20"/>
                <w:szCs w:val="20"/>
              </w:rPr>
            </w:pPr>
            <w:r w:rsidRPr="00154588">
              <w:rPr>
                <w:bCs/>
                <w:sz w:val="20"/>
                <w:szCs w:val="20"/>
              </w:rPr>
              <w:t xml:space="preserve">(4) </w:t>
            </w:r>
            <w:r w:rsidRPr="00154588">
              <w:rPr>
                <w:sz w:val="20"/>
                <w:szCs w:val="18"/>
                <w:lang w:eastAsia="ro-MD"/>
              </w:rPr>
              <w:t>În funcţia de administrator</w:t>
            </w:r>
            <w:r w:rsidRPr="00154588">
              <w:rPr>
                <w:rFonts w:eastAsia="Calibri"/>
                <w:sz w:val="20"/>
                <w:szCs w:val="18"/>
              </w:rPr>
              <w:t xml:space="preserve"> temporar</w:t>
            </w:r>
            <w:r w:rsidRPr="00154588">
              <w:rPr>
                <w:sz w:val="20"/>
                <w:szCs w:val="18"/>
                <w:lang w:eastAsia="ro-MD"/>
              </w:rPr>
              <w:t xml:space="preserve"> este numită o persoană care dispune de </w:t>
            </w:r>
            <w:r w:rsidRPr="00154588">
              <w:rPr>
                <w:rFonts w:eastAsia="Calibri"/>
                <w:sz w:val="20"/>
                <w:szCs w:val="18"/>
              </w:rPr>
              <w:t xml:space="preserve">o reputație suficient de bună, acționează cu onestitate, integritate și pe baza unei gândiri independente, posedă suficiente cunoștințe, aptitudini și experiență pentru a-și exercita atribuțiile și îndeplinește criteriile și cerințele prevăzute în actele normative ale Băncii Naționale a Moldovei necesare pentru exercitarea </w:t>
            </w:r>
            <w:r w:rsidR="00C61C7A" w:rsidRPr="00154588">
              <w:rPr>
                <w:sz w:val="20"/>
                <w:szCs w:val="18"/>
                <w:lang w:eastAsia="ro-MD"/>
              </w:rPr>
              <w:t>funcției</w:t>
            </w:r>
            <w:r w:rsidRPr="00154588">
              <w:rPr>
                <w:rFonts w:eastAsia="Calibri"/>
                <w:sz w:val="20"/>
                <w:szCs w:val="18"/>
              </w:rPr>
              <w:t xml:space="preserve"> şi </w:t>
            </w:r>
            <w:r w:rsidRPr="00154588">
              <w:rPr>
                <w:sz w:val="20"/>
                <w:szCs w:val="18"/>
                <w:lang w:eastAsia="ro-MD"/>
              </w:rPr>
              <w:t>care</w:t>
            </w:r>
            <w:r w:rsidRPr="00154588">
              <w:rPr>
                <w:rFonts w:eastAsia="Calibri"/>
                <w:sz w:val="20"/>
                <w:szCs w:val="18"/>
              </w:rPr>
              <w:t xml:space="preserve"> nu se </w:t>
            </w:r>
            <w:r w:rsidRPr="00154588">
              <w:rPr>
                <w:sz w:val="20"/>
                <w:szCs w:val="18"/>
                <w:lang w:eastAsia="ro-MD"/>
              </w:rPr>
              <w:t>află</w:t>
            </w:r>
            <w:r w:rsidRPr="00154588">
              <w:rPr>
                <w:rFonts w:eastAsia="Calibri"/>
                <w:sz w:val="20"/>
                <w:szCs w:val="18"/>
              </w:rPr>
              <w:t xml:space="preserve"> în conflict de </w:t>
            </w:r>
            <w:r w:rsidRPr="00154588">
              <w:rPr>
                <w:rFonts w:eastAsia="Calibri"/>
                <w:sz w:val="20"/>
                <w:szCs w:val="18"/>
              </w:rPr>
              <w:lastRenderedPageBreak/>
              <w:t>interese</w:t>
            </w:r>
            <w:r w:rsidRPr="00154588">
              <w:rPr>
                <w:sz w:val="20"/>
                <w:szCs w:val="18"/>
                <w:lang w:eastAsia="ro-MD"/>
              </w:rPr>
              <w:t xml:space="preserve">, astfel cum este stabilit în actele normative emise de Banca </w:t>
            </w:r>
            <w:r w:rsidR="00C61C7A" w:rsidRPr="00154588">
              <w:rPr>
                <w:sz w:val="20"/>
                <w:szCs w:val="18"/>
                <w:lang w:eastAsia="ro-MD"/>
              </w:rPr>
              <w:t>Națională</w:t>
            </w:r>
            <w:r w:rsidRPr="00154588">
              <w:rPr>
                <w:sz w:val="20"/>
                <w:szCs w:val="18"/>
                <w:lang w:eastAsia="ro-MD"/>
              </w:rPr>
              <w:t xml:space="preserve"> a Moldovei, în calitate de autoritate competentă</w:t>
            </w:r>
            <w:r w:rsidRPr="00154588">
              <w:rPr>
                <w:rFonts w:eastAsia="Calibri"/>
                <w:kern w:val="2"/>
                <w:sz w:val="20"/>
                <w:szCs w:val="18"/>
                <w14:ligatures w14:val="standardContextual"/>
              </w:rPr>
              <w:t xml:space="preserve">. </w:t>
            </w:r>
            <w:r w:rsidR="006B5D69" w:rsidRPr="00154588">
              <w:rPr>
                <w:bCs/>
                <w:sz w:val="20"/>
                <w:szCs w:val="20"/>
              </w:rPr>
              <w:t>Evaluarea de către autoritatea competentă prin care se stabilește dacă administratorul temporar deține astfel de cunoștințe, aptitudini și experiență și dacă respectă cerințele respective face parte integrantă din decizia de desemnare a administratorului temporar respectiv.</w:t>
            </w:r>
          </w:p>
          <w:p w14:paraId="045D3B63" w14:textId="77777777" w:rsidR="006B5D69" w:rsidRPr="00154588" w:rsidRDefault="00461D67" w:rsidP="008C12B4">
            <w:pPr>
              <w:ind w:firstLine="567"/>
              <w:jc w:val="both"/>
              <w:rPr>
                <w:rFonts w:eastAsia="Calibri"/>
                <w:sz w:val="20"/>
                <w:szCs w:val="18"/>
              </w:rPr>
            </w:pPr>
            <w:r w:rsidRPr="00154588">
              <w:rPr>
                <w:rFonts w:eastAsia="Calibri"/>
                <w:sz w:val="20"/>
                <w:szCs w:val="18"/>
              </w:rPr>
              <w:t xml:space="preserve"> </w:t>
            </w:r>
          </w:p>
          <w:p w14:paraId="7AC3884B" w14:textId="06EB6A1C" w:rsidR="00461D67" w:rsidRPr="00154588" w:rsidRDefault="00461D67" w:rsidP="008C12B4">
            <w:pPr>
              <w:ind w:firstLine="567"/>
              <w:jc w:val="both"/>
              <w:rPr>
                <w:rFonts w:eastAsia="Calibri"/>
                <w:sz w:val="20"/>
                <w:szCs w:val="18"/>
              </w:rPr>
            </w:pPr>
          </w:p>
          <w:p w14:paraId="3A50A7D9" w14:textId="13D46173" w:rsidR="00461D67" w:rsidRPr="00154588" w:rsidRDefault="00461D67" w:rsidP="008C12B4">
            <w:pPr>
              <w:ind w:firstLine="567"/>
              <w:jc w:val="both"/>
              <w:rPr>
                <w:rFonts w:eastAsia="Calibri"/>
                <w:sz w:val="20"/>
                <w:szCs w:val="18"/>
              </w:rPr>
            </w:pPr>
          </w:p>
          <w:p w14:paraId="3D88B18D" w14:textId="4A8353AF" w:rsidR="00461D67" w:rsidRPr="00154588" w:rsidRDefault="00461D67" w:rsidP="008C12B4">
            <w:pPr>
              <w:ind w:firstLine="567"/>
              <w:jc w:val="both"/>
              <w:rPr>
                <w:rFonts w:eastAsia="Calibri"/>
                <w:kern w:val="2"/>
                <w:sz w:val="20"/>
                <w:szCs w:val="18"/>
                <w14:ligatures w14:val="standardContextual"/>
              </w:rPr>
            </w:pPr>
          </w:p>
        </w:tc>
        <w:tc>
          <w:tcPr>
            <w:tcW w:w="2552" w:type="dxa"/>
          </w:tcPr>
          <w:p w14:paraId="4DA348B9" w14:textId="275A0F7F" w:rsidR="00461D67" w:rsidRPr="00154588" w:rsidRDefault="00461D67" w:rsidP="008C12B4">
            <w:pPr>
              <w:jc w:val="both"/>
              <w:rPr>
                <w:bCs/>
                <w:sz w:val="20"/>
                <w:szCs w:val="20"/>
              </w:rPr>
            </w:pPr>
            <w:r w:rsidRPr="00154588">
              <w:rPr>
                <w:bCs/>
                <w:sz w:val="20"/>
                <w:szCs w:val="20"/>
              </w:rPr>
              <w:lastRenderedPageBreak/>
              <w:t>Compatibil</w:t>
            </w:r>
          </w:p>
        </w:tc>
        <w:tc>
          <w:tcPr>
            <w:tcW w:w="3118" w:type="dxa"/>
          </w:tcPr>
          <w:p w14:paraId="0C29BE32" w14:textId="77777777" w:rsidR="00461D67" w:rsidRPr="00154588" w:rsidRDefault="00461D67" w:rsidP="008C12B4">
            <w:pPr>
              <w:jc w:val="both"/>
              <w:rPr>
                <w:bCs/>
                <w:sz w:val="20"/>
                <w:szCs w:val="20"/>
              </w:rPr>
            </w:pPr>
          </w:p>
        </w:tc>
      </w:tr>
      <w:tr w:rsidR="00461D67" w:rsidRPr="00154588" w14:paraId="097A1C81" w14:textId="77777777" w:rsidTr="00D15C1B">
        <w:trPr>
          <w:jc w:val="center"/>
        </w:trPr>
        <w:tc>
          <w:tcPr>
            <w:tcW w:w="4957" w:type="dxa"/>
            <w:gridSpan w:val="2"/>
          </w:tcPr>
          <w:p w14:paraId="56E3FB29" w14:textId="2808003C" w:rsidR="00461D67" w:rsidRPr="00154588" w:rsidRDefault="00461D67" w:rsidP="008C12B4">
            <w:pPr>
              <w:jc w:val="both"/>
              <w:rPr>
                <w:bCs/>
                <w:sz w:val="20"/>
                <w:szCs w:val="20"/>
              </w:rPr>
            </w:pPr>
            <w:r w:rsidRPr="00154588">
              <w:rPr>
                <w:bCs/>
                <w:sz w:val="20"/>
                <w:szCs w:val="20"/>
              </w:rPr>
              <w:t xml:space="preserve">(2)   </w:t>
            </w:r>
            <w:r w:rsidR="006E4EA1" w:rsidRPr="00154588">
              <w:rPr>
                <w:bCs/>
                <w:sz w:val="20"/>
                <w:szCs w:val="20"/>
              </w:rPr>
              <w:t>Proporțional cu circumstanțele existente, autoritatea competentă precizează competențele administratorului temporar la momentul numirii acestuia. Printre aceste competențe se pot număra toate sau unele dintre competențele deținute de organul de conducere al instituției sau al entității menționate la articolul 1 alineatul (1) litera (b), (c) sau (d) în conformitate cu statutul instituției sau al entității și cu dreptul intern, inclusiv competența de a exercita toate sau o parte din funcțiile administrative ale organului de conducere al instituției sau al entității. Competențele administratorului temporar în raport cu instituția sau entitatea sunt în conformitate cu dreptul aplicabil societăților. Autoritatea competentă poate adapta aceste competențe dacă circumstanțele se modifică.</w:t>
            </w:r>
          </w:p>
        </w:tc>
        <w:tc>
          <w:tcPr>
            <w:tcW w:w="4819" w:type="dxa"/>
          </w:tcPr>
          <w:p w14:paraId="040E5027" w14:textId="1DB95837" w:rsidR="00461D67" w:rsidRPr="00154588" w:rsidRDefault="00461D67" w:rsidP="008C12B4">
            <w:pPr>
              <w:ind w:firstLine="567"/>
              <w:jc w:val="both"/>
              <w:rPr>
                <w:rFonts w:eastAsia="Calibri"/>
                <w:sz w:val="20"/>
                <w:szCs w:val="18"/>
              </w:rPr>
            </w:pPr>
            <w:r w:rsidRPr="00154588">
              <w:rPr>
                <w:rFonts w:eastAsia="Calibri"/>
                <w:b/>
                <w:sz w:val="20"/>
                <w:szCs w:val="18"/>
              </w:rPr>
              <w:t>Articolul 47.</w:t>
            </w:r>
            <w:r w:rsidRPr="00154588">
              <w:rPr>
                <w:rFonts w:eastAsia="Calibri"/>
                <w:sz w:val="20"/>
                <w:szCs w:val="18"/>
              </w:rPr>
              <w:t xml:space="preserve"> – (1) Banca Naţională a Moldovei, în calitate de autoritate competentă, atribuie administratorului temporar, la momentul desemnării acestuia, competenţele care îi revin, în funcţie de circumstanţele </w:t>
            </w:r>
            <w:r w:rsidR="006B5D69" w:rsidRPr="00154588">
              <w:rPr>
                <w:rFonts w:eastAsia="Calibri"/>
                <w:sz w:val="20"/>
                <w:szCs w:val="18"/>
              </w:rPr>
              <w:t>existente</w:t>
            </w:r>
            <w:r w:rsidRPr="00154588">
              <w:rPr>
                <w:rFonts w:eastAsia="Calibri"/>
                <w:sz w:val="20"/>
                <w:szCs w:val="18"/>
              </w:rPr>
              <w:t xml:space="preserve">. Competenţele pot include unele sau toate competenţele organului de conducere al instituției de credit </w:t>
            </w:r>
            <w:r w:rsidR="004B297B" w:rsidRPr="00154588">
              <w:rPr>
                <w:bCs/>
                <w:sz w:val="20"/>
                <w:szCs w:val="20"/>
              </w:rPr>
              <w:t xml:space="preserve">sau al entității menționate la </w:t>
            </w:r>
            <w:r w:rsidR="00C517E5" w:rsidRPr="00154588">
              <w:rPr>
                <w:bCs/>
                <w:sz w:val="20"/>
                <w:szCs w:val="20"/>
              </w:rPr>
              <w:t>art.1 alin.(1) lit.b), c) sau d)</w:t>
            </w:r>
            <w:r w:rsidR="004B297B" w:rsidRPr="00154588">
              <w:rPr>
                <w:bCs/>
                <w:sz w:val="20"/>
                <w:szCs w:val="20"/>
              </w:rPr>
              <w:t xml:space="preserve"> </w:t>
            </w:r>
            <w:r w:rsidRPr="00154588">
              <w:rPr>
                <w:rFonts w:eastAsia="Calibri"/>
                <w:sz w:val="20"/>
                <w:szCs w:val="18"/>
              </w:rPr>
              <w:t>în conformitate cu actele constitutive ale instituției de credit</w:t>
            </w:r>
            <w:r w:rsidR="004B297B" w:rsidRPr="00154588">
              <w:rPr>
                <w:rFonts w:eastAsia="Calibri"/>
                <w:sz w:val="20"/>
                <w:szCs w:val="18"/>
              </w:rPr>
              <w:t xml:space="preserve"> sau entității</w:t>
            </w:r>
            <w:r w:rsidRPr="00154588">
              <w:rPr>
                <w:rFonts w:eastAsia="Calibri"/>
                <w:sz w:val="20"/>
                <w:szCs w:val="18"/>
              </w:rPr>
              <w:t xml:space="preserve"> şi cu legislaţia naţională aplicabilă, inclusiv competenţa de a exercita unele sau toate funcţiile administrative ale organului de conducere al instituției de credit</w:t>
            </w:r>
            <w:r w:rsidR="00BA38FE" w:rsidRPr="00154588">
              <w:rPr>
                <w:bCs/>
                <w:sz w:val="20"/>
                <w:szCs w:val="20"/>
              </w:rPr>
              <w:t xml:space="preserve"> sau al entității</w:t>
            </w:r>
            <w:r w:rsidRPr="00154588">
              <w:rPr>
                <w:rFonts w:eastAsia="Calibri"/>
                <w:sz w:val="20"/>
                <w:szCs w:val="18"/>
              </w:rPr>
              <w:t>. Competenţele administratorului temporar respectă, în relaţie cu banca, prevederile Legii nr.1134</w:t>
            </w:r>
            <w:r w:rsidRPr="00154588">
              <w:rPr>
                <w:sz w:val="20"/>
                <w:szCs w:val="18"/>
                <w:lang w:eastAsia="ro-MD"/>
              </w:rPr>
              <w:t>/</w:t>
            </w:r>
            <w:r w:rsidRPr="00154588">
              <w:rPr>
                <w:rFonts w:eastAsia="Calibri"/>
                <w:sz w:val="20"/>
                <w:szCs w:val="18"/>
              </w:rPr>
              <w:t>1997 privind societăţile pe acţiuni şi ale Legii nr.202/2017.</w:t>
            </w:r>
            <w:r w:rsidR="004B297B" w:rsidRPr="00154588">
              <w:rPr>
                <w:rFonts w:eastAsia="Calibri"/>
                <w:sz w:val="20"/>
                <w:szCs w:val="18"/>
              </w:rPr>
              <w:t xml:space="preserve"> </w:t>
            </w:r>
            <w:r w:rsidR="004B297B" w:rsidRPr="00154588">
              <w:rPr>
                <w:bCs/>
                <w:sz w:val="20"/>
                <w:szCs w:val="20"/>
              </w:rPr>
              <w:t>Autoritatea competentă poate adapta aceste competențe dacă circumstanțele se modifică.</w:t>
            </w:r>
          </w:p>
          <w:p w14:paraId="14766FEA" w14:textId="4DDB6C5B" w:rsidR="00461D67" w:rsidRPr="00154588" w:rsidRDefault="00461D67" w:rsidP="008C12B4">
            <w:pPr>
              <w:ind w:firstLine="567"/>
              <w:jc w:val="both"/>
              <w:rPr>
                <w:sz w:val="20"/>
                <w:szCs w:val="20"/>
              </w:rPr>
            </w:pPr>
            <w:r w:rsidRPr="00154588">
              <w:rPr>
                <w:rFonts w:eastAsia="Calibri"/>
                <w:sz w:val="20"/>
                <w:szCs w:val="18"/>
              </w:rPr>
              <w:t xml:space="preserve">(2) Remuneraţia administratorului temporar, după caz, a administratorilor temporari se suportă de către instituția de credit şi este stabilită de Banca Naţională a Moldovei, în calitate de autoritate competentă, </w:t>
            </w:r>
            <w:r w:rsidR="004B297B" w:rsidRPr="00154588">
              <w:rPr>
                <w:rFonts w:eastAsia="Calibri"/>
                <w:sz w:val="20"/>
                <w:szCs w:val="18"/>
              </w:rPr>
              <w:t>ținând</w:t>
            </w:r>
            <w:r w:rsidRPr="00154588">
              <w:rPr>
                <w:rFonts w:eastAsia="Calibri"/>
                <w:sz w:val="20"/>
                <w:szCs w:val="18"/>
              </w:rPr>
              <w:t xml:space="preserve"> seama de politica de remunerare a băncii, elaborată cu respectarea dispoziţiilor legale aplicabile, nivelul total al acestor remuneraţii neputînd depăşi nivelul cumulat al remuneraţiilor acordate membrilor organului de conducere al instituției de credit, pe o perioadă echivalentă de timp.</w:t>
            </w:r>
          </w:p>
        </w:tc>
        <w:tc>
          <w:tcPr>
            <w:tcW w:w="2552" w:type="dxa"/>
          </w:tcPr>
          <w:p w14:paraId="67A6B482" w14:textId="4511307C" w:rsidR="00461D67" w:rsidRPr="00154588" w:rsidRDefault="00461D67" w:rsidP="008C12B4">
            <w:pPr>
              <w:jc w:val="both"/>
              <w:rPr>
                <w:bCs/>
                <w:sz w:val="20"/>
                <w:szCs w:val="20"/>
              </w:rPr>
            </w:pPr>
            <w:r w:rsidRPr="00154588">
              <w:rPr>
                <w:bCs/>
                <w:sz w:val="20"/>
                <w:szCs w:val="20"/>
              </w:rPr>
              <w:t>Compatibil</w:t>
            </w:r>
          </w:p>
        </w:tc>
        <w:tc>
          <w:tcPr>
            <w:tcW w:w="3118" w:type="dxa"/>
          </w:tcPr>
          <w:p w14:paraId="0167D2EC" w14:textId="19A2FB04" w:rsidR="00461D67" w:rsidRPr="00154588" w:rsidRDefault="00461D67" w:rsidP="008C12B4">
            <w:pPr>
              <w:jc w:val="both"/>
              <w:rPr>
                <w:bCs/>
                <w:sz w:val="20"/>
                <w:szCs w:val="20"/>
              </w:rPr>
            </w:pPr>
          </w:p>
        </w:tc>
      </w:tr>
      <w:tr w:rsidR="00461D67" w:rsidRPr="00154588" w14:paraId="172B2A88" w14:textId="77777777" w:rsidTr="00D15C1B">
        <w:trPr>
          <w:jc w:val="center"/>
        </w:trPr>
        <w:tc>
          <w:tcPr>
            <w:tcW w:w="4957" w:type="dxa"/>
            <w:gridSpan w:val="2"/>
          </w:tcPr>
          <w:p w14:paraId="7C02BF3C" w14:textId="77777777" w:rsidR="006E4EA1" w:rsidRPr="00154588" w:rsidRDefault="00461D67" w:rsidP="008C12B4">
            <w:pPr>
              <w:jc w:val="both"/>
              <w:rPr>
                <w:bCs/>
                <w:sz w:val="20"/>
                <w:szCs w:val="20"/>
              </w:rPr>
            </w:pPr>
            <w:r w:rsidRPr="00154588">
              <w:rPr>
                <w:bCs/>
                <w:sz w:val="20"/>
                <w:szCs w:val="20"/>
              </w:rPr>
              <w:t xml:space="preserve">(3)   </w:t>
            </w:r>
            <w:r w:rsidR="006E4EA1" w:rsidRPr="00154588">
              <w:rPr>
                <w:bCs/>
                <w:sz w:val="20"/>
                <w:szCs w:val="20"/>
              </w:rPr>
              <w:t xml:space="preserve">Autoritatea competentă precizează rolul și funcțiile administratorului temporar la momentul numirii acestuia. Rolul și funcțiile respective pot include: </w:t>
            </w:r>
          </w:p>
          <w:p w14:paraId="15E92C66" w14:textId="77777777" w:rsidR="006E4EA1" w:rsidRPr="00154588" w:rsidRDefault="006E4EA1" w:rsidP="008C12B4">
            <w:pPr>
              <w:jc w:val="both"/>
              <w:rPr>
                <w:bCs/>
                <w:sz w:val="20"/>
                <w:szCs w:val="20"/>
              </w:rPr>
            </w:pPr>
          </w:p>
          <w:p w14:paraId="57347F8C" w14:textId="77777777" w:rsidR="006E4EA1" w:rsidRPr="00154588" w:rsidRDefault="006E4EA1" w:rsidP="008C12B4">
            <w:pPr>
              <w:jc w:val="both"/>
              <w:rPr>
                <w:bCs/>
                <w:sz w:val="20"/>
                <w:szCs w:val="20"/>
              </w:rPr>
            </w:pPr>
            <w:r w:rsidRPr="00154588">
              <w:rPr>
                <w:bCs/>
                <w:sz w:val="20"/>
                <w:szCs w:val="20"/>
              </w:rPr>
              <w:lastRenderedPageBreak/>
              <w:t xml:space="preserve">(a) evaluarea poziției financiare a instituției sau a entității menționate la articolul 1 alineatul (1) litera (b), (c) sau (d); </w:t>
            </w:r>
          </w:p>
          <w:p w14:paraId="0A295B25" w14:textId="77777777" w:rsidR="006E4EA1" w:rsidRPr="00154588" w:rsidRDefault="006E4EA1" w:rsidP="008C12B4">
            <w:pPr>
              <w:jc w:val="both"/>
              <w:rPr>
                <w:bCs/>
                <w:sz w:val="20"/>
                <w:szCs w:val="20"/>
              </w:rPr>
            </w:pPr>
          </w:p>
          <w:p w14:paraId="7972BF6F" w14:textId="77777777" w:rsidR="006E4EA1" w:rsidRPr="00154588" w:rsidRDefault="006E4EA1" w:rsidP="008C12B4">
            <w:pPr>
              <w:jc w:val="both"/>
            </w:pPr>
            <w:r w:rsidRPr="00154588">
              <w:rPr>
                <w:bCs/>
                <w:sz w:val="20"/>
                <w:szCs w:val="20"/>
              </w:rPr>
              <w:t>(b) gestionarea activității sau a unei părți a activității instituției sau entității menționate la articolul 1 alineatul (1) litera (b), (c) sau (d) în vederea menținerii sau restabilirii poziției financiare a acesteia;</w:t>
            </w:r>
            <w:r w:rsidRPr="00154588">
              <w:t xml:space="preserve"> </w:t>
            </w:r>
          </w:p>
          <w:p w14:paraId="4CE0236E" w14:textId="77777777" w:rsidR="006E4EA1" w:rsidRPr="00154588" w:rsidRDefault="006E4EA1" w:rsidP="008C12B4">
            <w:pPr>
              <w:jc w:val="both"/>
            </w:pPr>
          </w:p>
          <w:p w14:paraId="60D721BA" w14:textId="77777777" w:rsidR="006E4EA1" w:rsidRPr="00154588" w:rsidRDefault="006E4EA1" w:rsidP="008C12B4">
            <w:pPr>
              <w:jc w:val="both"/>
              <w:rPr>
                <w:bCs/>
                <w:sz w:val="20"/>
                <w:szCs w:val="20"/>
              </w:rPr>
            </w:pPr>
            <w:r w:rsidRPr="00154588">
              <w:rPr>
                <w:bCs/>
                <w:sz w:val="20"/>
                <w:szCs w:val="20"/>
              </w:rPr>
              <w:t xml:space="preserve">(c) adoptarea de măsuri în vederea restabilirii administrării corecte și prudente a activității instituției sau entității menționate la articolul 1 alineatul (1) litera (b), (c) sau (d); </w:t>
            </w:r>
          </w:p>
          <w:p w14:paraId="42FE507A" w14:textId="77777777" w:rsidR="006E4EA1" w:rsidRPr="00154588" w:rsidRDefault="006E4EA1" w:rsidP="008C12B4">
            <w:pPr>
              <w:jc w:val="both"/>
              <w:rPr>
                <w:bCs/>
                <w:sz w:val="20"/>
                <w:szCs w:val="20"/>
              </w:rPr>
            </w:pPr>
          </w:p>
          <w:p w14:paraId="236F4172" w14:textId="77777777" w:rsidR="006E4EA1" w:rsidRPr="00154588" w:rsidRDefault="006E4EA1" w:rsidP="008C12B4">
            <w:pPr>
              <w:jc w:val="both"/>
              <w:rPr>
                <w:bCs/>
                <w:sz w:val="20"/>
                <w:szCs w:val="20"/>
              </w:rPr>
            </w:pPr>
            <w:r w:rsidRPr="00154588">
              <w:rPr>
                <w:bCs/>
                <w:sz w:val="20"/>
                <w:szCs w:val="20"/>
              </w:rPr>
              <w:t xml:space="preserve">(d) asigurarea respectării de către instituția sau entitatea menționată la articolul 1 alineatul (1) litera (b), (c) sau (d) a oricăror cerințe în temeiul alineatului (3) al doilea paragraf, al alineatului (4) primul paragraf sau al alineatului (5) de la articolul 30a. </w:t>
            </w:r>
          </w:p>
          <w:p w14:paraId="15E3E725" w14:textId="77777777" w:rsidR="006E4EA1" w:rsidRPr="00154588" w:rsidRDefault="006E4EA1" w:rsidP="008C12B4">
            <w:pPr>
              <w:jc w:val="both"/>
              <w:rPr>
                <w:bCs/>
                <w:sz w:val="20"/>
                <w:szCs w:val="20"/>
              </w:rPr>
            </w:pPr>
          </w:p>
          <w:p w14:paraId="1D398452" w14:textId="3363C75C" w:rsidR="006E4EA1" w:rsidRPr="00154588" w:rsidRDefault="006E4EA1" w:rsidP="008C12B4">
            <w:pPr>
              <w:jc w:val="both"/>
              <w:rPr>
                <w:bCs/>
                <w:sz w:val="20"/>
                <w:szCs w:val="20"/>
              </w:rPr>
            </w:pPr>
            <w:r w:rsidRPr="00154588">
              <w:rPr>
                <w:bCs/>
                <w:sz w:val="20"/>
                <w:szCs w:val="20"/>
              </w:rPr>
              <w:t>Autoritatea competentă precizează, în momentul numirii administratorului temporar, eventualele limite ale rolului și funcțiilor acestuia.</w:t>
            </w:r>
            <w:r w:rsidRPr="00154588" w:rsidDel="006E4EA1">
              <w:rPr>
                <w:bCs/>
                <w:sz w:val="20"/>
                <w:szCs w:val="20"/>
              </w:rPr>
              <w:t xml:space="preserve"> </w:t>
            </w:r>
          </w:p>
          <w:p w14:paraId="3047FE2D" w14:textId="77777777" w:rsidR="006E4EA1" w:rsidRPr="00154588" w:rsidRDefault="006E4EA1" w:rsidP="008C12B4">
            <w:pPr>
              <w:jc w:val="both"/>
              <w:rPr>
                <w:bCs/>
                <w:sz w:val="20"/>
                <w:szCs w:val="20"/>
              </w:rPr>
            </w:pPr>
          </w:p>
          <w:p w14:paraId="3B2DADA5" w14:textId="61996F34" w:rsidR="00461D67" w:rsidRPr="00154588" w:rsidRDefault="00461D67" w:rsidP="008C12B4">
            <w:pPr>
              <w:jc w:val="both"/>
              <w:rPr>
                <w:bCs/>
                <w:sz w:val="20"/>
                <w:szCs w:val="20"/>
              </w:rPr>
            </w:pPr>
          </w:p>
        </w:tc>
        <w:tc>
          <w:tcPr>
            <w:tcW w:w="4819" w:type="dxa"/>
          </w:tcPr>
          <w:p w14:paraId="4E1EFFD2" w14:textId="77777777" w:rsidR="004B297B" w:rsidRPr="00154588" w:rsidRDefault="00461D67" w:rsidP="008C12B4">
            <w:pPr>
              <w:ind w:firstLine="567"/>
              <w:jc w:val="both"/>
              <w:rPr>
                <w:rFonts w:eastAsia="Calibri"/>
                <w:sz w:val="20"/>
                <w:szCs w:val="18"/>
              </w:rPr>
            </w:pPr>
            <w:r w:rsidRPr="00154588">
              <w:rPr>
                <w:rFonts w:eastAsia="Calibri"/>
                <w:b/>
                <w:sz w:val="20"/>
                <w:szCs w:val="18"/>
              </w:rPr>
              <w:lastRenderedPageBreak/>
              <w:t>Articolul</w:t>
            </w:r>
            <w:r w:rsidRPr="00154588">
              <w:rPr>
                <w:rFonts w:eastAsia="Calibri"/>
                <w:sz w:val="20"/>
                <w:szCs w:val="18"/>
              </w:rPr>
              <w:t xml:space="preserve"> </w:t>
            </w:r>
            <w:r w:rsidRPr="00154588">
              <w:rPr>
                <w:rFonts w:eastAsia="Calibri"/>
                <w:b/>
                <w:sz w:val="20"/>
                <w:szCs w:val="18"/>
              </w:rPr>
              <w:t>48.</w:t>
            </w:r>
            <w:r w:rsidRPr="00154588">
              <w:rPr>
                <w:rFonts w:eastAsia="Calibri"/>
                <w:sz w:val="20"/>
                <w:szCs w:val="18"/>
              </w:rPr>
              <w:t xml:space="preserve"> – Rolul şi funcţiile administratorului temporar sînt stabilite de Banca Naţională a Moldovei, în calitate de autoritate competentă, la momentul desemnării acestuia şi pot include</w:t>
            </w:r>
            <w:r w:rsidR="004B297B" w:rsidRPr="00154588">
              <w:rPr>
                <w:rFonts w:eastAsia="Calibri"/>
                <w:sz w:val="20"/>
                <w:szCs w:val="18"/>
              </w:rPr>
              <w:t>:</w:t>
            </w:r>
          </w:p>
          <w:p w14:paraId="01A2AFDF" w14:textId="40E464BF" w:rsidR="004B297B" w:rsidRPr="00154588" w:rsidRDefault="004B297B" w:rsidP="008C12B4">
            <w:pPr>
              <w:ind w:firstLine="567"/>
              <w:jc w:val="both"/>
              <w:rPr>
                <w:bCs/>
                <w:sz w:val="20"/>
                <w:szCs w:val="20"/>
              </w:rPr>
            </w:pPr>
            <w:r w:rsidRPr="00154588">
              <w:rPr>
                <w:rFonts w:eastAsia="Calibri"/>
                <w:sz w:val="20"/>
                <w:szCs w:val="18"/>
              </w:rPr>
              <w:lastRenderedPageBreak/>
              <w:t>a)</w:t>
            </w:r>
            <w:r w:rsidR="00461D67" w:rsidRPr="00154588">
              <w:rPr>
                <w:rFonts w:eastAsia="Calibri"/>
                <w:sz w:val="20"/>
                <w:szCs w:val="18"/>
              </w:rPr>
              <w:t xml:space="preserve"> evaluarea poziţiei financiare a instituției de credit</w:t>
            </w:r>
            <w:r w:rsidRPr="00154588">
              <w:rPr>
                <w:rFonts w:eastAsia="Calibri"/>
                <w:sz w:val="20"/>
                <w:szCs w:val="18"/>
              </w:rPr>
              <w:t xml:space="preserve"> </w:t>
            </w:r>
            <w:r w:rsidRPr="00154588">
              <w:rPr>
                <w:bCs/>
                <w:sz w:val="20"/>
                <w:szCs w:val="20"/>
              </w:rPr>
              <w:t xml:space="preserve">sau a entității menționate la </w:t>
            </w:r>
            <w:r w:rsidR="00C517E5" w:rsidRPr="00154588">
              <w:rPr>
                <w:bCs/>
                <w:sz w:val="20"/>
                <w:szCs w:val="20"/>
              </w:rPr>
              <w:t>art.1 alin.(1) lit.b), c) sau d)</w:t>
            </w:r>
            <w:r w:rsidRPr="00154588">
              <w:rPr>
                <w:bCs/>
                <w:sz w:val="20"/>
                <w:szCs w:val="20"/>
              </w:rPr>
              <w:t xml:space="preserve">; </w:t>
            </w:r>
          </w:p>
          <w:p w14:paraId="4ED8FC6D" w14:textId="564BFCC0" w:rsidR="004B297B" w:rsidRPr="00154588" w:rsidRDefault="004B297B" w:rsidP="008C12B4">
            <w:pPr>
              <w:ind w:firstLine="567"/>
              <w:jc w:val="both"/>
              <w:rPr>
                <w:rFonts w:eastAsia="Calibri"/>
                <w:sz w:val="20"/>
                <w:szCs w:val="18"/>
              </w:rPr>
            </w:pPr>
            <w:r w:rsidRPr="00154588">
              <w:rPr>
                <w:rFonts w:eastAsia="Calibri"/>
                <w:sz w:val="20"/>
                <w:szCs w:val="18"/>
              </w:rPr>
              <w:t xml:space="preserve">b) </w:t>
            </w:r>
            <w:r w:rsidR="00461D67" w:rsidRPr="00154588">
              <w:rPr>
                <w:rFonts w:eastAsia="Calibri"/>
                <w:sz w:val="20"/>
                <w:szCs w:val="18"/>
              </w:rPr>
              <w:t xml:space="preserve">conducerea activităţii sau a unei părţi a activităţii instituției de credit </w:t>
            </w:r>
            <w:r w:rsidRPr="00154588">
              <w:rPr>
                <w:bCs/>
                <w:sz w:val="20"/>
                <w:szCs w:val="20"/>
              </w:rPr>
              <w:t xml:space="preserve">sau a entității menționate la </w:t>
            </w:r>
            <w:r w:rsidR="00C517E5" w:rsidRPr="00154588">
              <w:rPr>
                <w:bCs/>
                <w:sz w:val="20"/>
                <w:szCs w:val="20"/>
              </w:rPr>
              <w:t xml:space="preserve">art.1 alin.(1) lit.b), c) sau d) </w:t>
            </w:r>
            <w:r w:rsidR="00461D67" w:rsidRPr="00154588">
              <w:rPr>
                <w:rFonts w:eastAsia="Calibri"/>
                <w:sz w:val="20"/>
                <w:szCs w:val="18"/>
              </w:rPr>
              <w:t xml:space="preserve">în vederea menţinerii sau restabilirii poziţiei financiare a </w:t>
            </w:r>
            <w:r w:rsidRPr="00154588">
              <w:rPr>
                <w:rFonts w:eastAsia="Calibri"/>
                <w:sz w:val="20"/>
                <w:szCs w:val="18"/>
              </w:rPr>
              <w:t>acesteia;</w:t>
            </w:r>
          </w:p>
          <w:p w14:paraId="2F3CD1D3" w14:textId="0551D460" w:rsidR="004B297B" w:rsidRPr="00154588" w:rsidRDefault="004B297B" w:rsidP="008C12B4">
            <w:pPr>
              <w:ind w:firstLine="567"/>
              <w:jc w:val="both"/>
              <w:rPr>
                <w:bCs/>
                <w:sz w:val="20"/>
                <w:szCs w:val="20"/>
              </w:rPr>
            </w:pPr>
            <w:r w:rsidRPr="00154588">
              <w:rPr>
                <w:rFonts w:eastAsia="Calibri"/>
                <w:sz w:val="20"/>
                <w:szCs w:val="18"/>
              </w:rPr>
              <w:t>c)</w:t>
            </w:r>
            <w:r w:rsidR="008E7CEB" w:rsidRPr="00154588">
              <w:rPr>
                <w:rFonts w:eastAsia="Calibri"/>
                <w:sz w:val="20"/>
                <w:szCs w:val="18"/>
              </w:rPr>
              <w:t xml:space="preserve"> </w:t>
            </w:r>
            <w:r w:rsidR="00461D67" w:rsidRPr="00154588">
              <w:rPr>
                <w:rFonts w:eastAsia="Calibri"/>
                <w:sz w:val="20"/>
                <w:szCs w:val="18"/>
              </w:rPr>
              <w:t xml:space="preserve">adoptarea de măsuri în vederea restabilirii </w:t>
            </w:r>
            <w:r w:rsidRPr="00154588">
              <w:rPr>
                <w:rFonts w:eastAsia="Calibri"/>
                <w:sz w:val="20"/>
                <w:szCs w:val="18"/>
              </w:rPr>
              <w:t xml:space="preserve">administrării </w:t>
            </w:r>
            <w:r w:rsidR="00461D67" w:rsidRPr="00154588">
              <w:rPr>
                <w:rFonts w:eastAsia="Calibri"/>
                <w:sz w:val="20"/>
                <w:szCs w:val="18"/>
              </w:rPr>
              <w:t>sănătoase şi prudente a activităţii instituției de credit</w:t>
            </w:r>
            <w:r w:rsidRPr="00154588">
              <w:rPr>
                <w:rFonts w:eastAsia="Calibri"/>
                <w:sz w:val="20"/>
                <w:szCs w:val="18"/>
              </w:rPr>
              <w:t xml:space="preserve"> </w:t>
            </w:r>
            <w:r w:rsidRPr="00154588">
              <w:rPr>
                <w:bCs/>
                <w:sz w:val="20"/>
                <w:szCs w:val="20"/>
              </w:rPr>
              <w:t xml:space="preserve">sau a entității menționate la </w:t>
            </w:r>
            <w:r w:rsidR="00C517E5" w:rsidRPr="00154588">
              <w:rPr>
                <w:bCs/>
                <w:sz w:val="20"/>
                <w:szCs w:val="20"/>
              </w:rPr>
              <w:t>art.1 alin.(1) lit.b), c) sau d)</w:t>
            </w:r>
            <w:r w:rsidRPr="00154588">
              <w:rPr>
                <w:bCs/>
                <w:sz w:val="20"/>
                <w:szCs w:val="20"/>
              </w:rPr>
              <w:t xml:space="preserve">; </w:t>
            </w:r>
          </w:p>
          <w:p w14:paraId="58748AA8" w14:textId="2F4D27D7" w:rsidR="00120686" w:rsidRPr="00154588" w:rsidRDefault="004B297B" w:rsidP="008C12B4">
            <w:pPr>
              <w:ind w:firstLine="567"/>
              <w:jc w:val="both"/>
              <w:rPr>
                <w:bCs/>
                <w:sz w:val="20"/>
                <w:szCs w:val="20"/>
              </w:rPr>
            </w:pPr>
            <w:r w:rsidRPr="00154588">
              <w:rPr>
                <w:rFonts w:eastAsia="Calibri"/>
                <w:sz w:val="20"/>
                <w:szCs w:val="18"/>
              </w:rPr>
              <w:t xml:space="preserve">d) asigurarea respectării de catre </w:t>
            </w:r>
            <w:r w:rsidRPr="00154588">
              <w:rPr>
                <w:bCs/>
                <w:sz w:val="20"/>
                <w:szCs w:val="20"/>
              </w:rPr>
              <w:t xml:space="preserve">instituția de credit sau entitatea menționată la </w:t>
            </w:r>
            <w:r w:rsidR="00C517E5" w:rsidRPr="00154588">
              <w:rPr>
                <w:bCs/>
                <w:sz w:val="20"/>
                <w:szCs w:val="20"/>
              </w:rPr>
              <w:t>art.1 alin.(1) lit.b), c) sau d)</w:t>
            </w:r>
            <w:r w:rsidRPr="00154588">
              <w:rPr>
                <w:bCs/>
                <w:sz w:val="20"/>
                <w:szCs w:val="20"/>
              </w:rPr>
              <w:t xml:space="preserve"> a oricăror cerințe în temeiul</w:t>
            </w:r>
            <w:r w:rsidR="00461D67" w:rsidRPr="00154588">
              <w:rPr>
                <w:rFonts w:eastAsia="Calibri"/>
                <w:sz w:val="20"/>
                <w:szCs w:val="18"/>
              </w:rPr>
              <w:t xml:space="preserve"> </w:t>
            </w:r>
            <w:r w:rsidR="0096013F" w:rsidRPr="00154588">
              <w:rPr>
                <w:bCs/>
                <w:sz w:val="20"/>
                <w:szCs w:val="20"/>
              </w:rPr>
              <w:t>art</w:t>
            </w:r>
            <w:r w:rsidR="00C517E5" w:rsidRPr="00154588">
              <w:rPr>
                <w:bCs/>
                <w:sz w:val="20"/>
                <w:szCs w:val="20"/>
              </w:rPr>
              <w:t>.</w:t>
            </w:r>
            <w:r w:rsidR="0096013F" w:rsidRPr="00154588">
              <w:rPr>
                <w:bCs/>
                <w:sz w:val="20"/>
                <w:szCs w:val="20"/>
              </w:rPr>
              <w:t>54</w:t>
            </w:r>
            <w:r w:rsidR="0096013F" w:rsidRPr="00154588">
              <w:rPr>
                <w:bCs/>
                <w:sz w:val="20"/>
                <w:szCs w:val="20"/>
                <w:vertAlign w:val="superscript"/>
              </w:rPr>
              <w:t>17</w:t>
            </w:r>
            <w:r w:rsidR="0096013F" w:rsidRPr="00154588">
              <w:rPr>
                <w:bCs/>
                <w:sz w:val="20"/>
                <w:szCs w:val="20"/>
              </w:rPr>
              <w:t xml:space="preserve"> alin.(2), 54</w:t>
            </w:r>
            <w:r w:rsidR="0096013F" w:rsidRPr="00154588">
              <w:rPr>
                <w:bCs/>
                <w:sz w:val="20"/>
                <w:szCs w:val="20"/>
                <w:vertAlign w:val="superscript"/>
              </w:rPr>
              <w:t>18</w:t>
            </w:r>
            <w:r w:rsidR="0096013F" w:rsidRPr="00154588">
              <w:rPr>
                <w:bCs/>
                <w:sz w:val="20"/>
                <w:szCs w:val="20"/>
              </w:rPr>
              <w:t xml:space="preserve"> alin.(1) și 54</w:t>
            </w:r>
            <w:r w:rsidR="0096013F" w:rsidRPr="00154588">
              <w:rPr>
                <w:bCs/>
                <w:sz w:val="20"/>
                <w:szCs w:val="20"/>
                <w:vertAlign w:val="superscript"/>
              </w:rPr>
              <w:t>19</w:t>
            </w:r>
            <w:r w:rsidR="0096013F" w:rsidRPr="00154588">
              <w:rPr>
                <w:bCs/>
                <w:sz w:val="20"/>
                <w:szCs w:val="20"/>
              </w:rPr>
              <w:t xml:space="preserve"> din prezenta lege</w:t>
            </w:r>
            <w:r w:rsidR="00120686" w:rsidRPr="00154588">
              <w:rPr>
                <w:bCs/>
                <w:sz w:val="20"/>
                <w:szCs w:val="20"/>
              </w:rPr>
              <w:t xml:space="preserve"> </w:t>
            </w:r>
          </w:p>
          <w:p w14:paraId="4E6FA3DF" w14:textId="3DFE2917" w:rsidR="00461D67" w:rsidRPr="00154588" w:rsidRDefault="00461D67" w:rsidP="008C12B4">
            <w:pPr>
              <w:ind w:firstLine="567"/>
              <w:jc w:val="both"/>
              <w:rPr>
                <w:sz w:val="20"/>
                <w:szCs w:val="20"/>
              </w:rPr>
            </w:pPr>
          </w:p>
        </w:tc>
        <w:tc>
          <w:tcPr>
            <w:tcW w:w="2552" w:type="dxa"/>
          </w:tcPr>
          <w:p w14:paraId="76C48F5B" w14:textId="3F7DEB79" w:rsidR="00461D67" w:rsidRPr="00154588" w:rsidRDefault="00461D67" w:rsidP="008C12B4">
            <w:pPr>
              <w:jc w:val="both"/>
              <w:rPr>
                <w:bCs/>
                <w:sz w:val="20"/>
                <w:szCs w:val="20"/>
              </w:rPr>
            </w:pPr>
            <w:r w:rsidRPr="00154588">
              <w:rPr>
                <w:bCs/>
                <w:sz w:val="20"/>
                <w:szCs w:val="20"/>
              </w:rPr>
              <w:lastRenderedPageBreak/>
              <w:t>Compatibil</w:t>
            </w:r>
          </w:p>
        </w:tc>
        <w:tc>
          <w:tcPr>
            <w:tcW w:w="3118" w:type="dxa"/>
          </w:tcPr>
          <w:p w14:paraId="6DBC91FD" w14:textId="77777777" w:rsidR="00461D67" w:rsidRPr="00154588" w:rsidRDefault="00461D67" w:rsidP="008C12B4">
            <w:pPr>
              <w:jc w:val="both"/>
              <w:rPr>
                <w:bCs/>
                <w:sz w:val="20"/>
                <w:szCs w:val="20"/>
              </w:rPr>
            </w:pPr>
          </w:p>
        </w:tc>
      </w:tr>
      <w:tr w:rsidR="00461D67" w:rsidRPr="00154588" w14:paraId="08D92EF5" w14:textId="77777777" w:rsidTr="00D15C1B">
        <w:trPr>
          <w:jc w:val="center"/>
        </w:trPr>
        <w:tc>
          <w:tcPr>
            <w:tcW w:w="4957" w:type="dxa"/>
            <w:gridSpan w:val="2"/>
          </w:tcPr>
          <w:p w14:paraId="068105DC" w14:textId="7D426041" w:rsidR="00461D67" w:rsidRPr="00154588" w:rsidRDefault="00461D67" w:rsidP="008C12B4">
            <w:pPr>
              <w:jc w:val="both"/>
              <w:rPr>
                <w:bCs/>
                <w:sz w:val="20"/>
                <w:szCs w:val="20"/>
              </w:rPr>
            </w:pPr>
            <w:r w:rsidRPr="00154588">
              <w:rPr>
                <w:bCs/>
                <w:sz w:val="20"/>
                <w:szCs w:val="20"/>
              </w:rPr>
              <w:t>(4) Statele membre se asigură că autoritățile competente dețin competența exclusivă de a numi și de a destitui orice administrator temporar. Autoritatea competentă poate destitui un administrator temporar în orice moment și din orice motiv. Autoritatea competentă poate modifica în orice moment mandatul administratorului temporar, sub rezerva prezentului articol.</w:t>
            </w:r>
          </w:p>
        </w:tc>
        <w:tc>
          <w:tcPr>
            <w:tcW w:w="4819" w:type="dxa"/>
          </w:tcPr>
          <w:p w14:paraId="5B748B4F" w14:textId="7CB9692C" w:rsidR="00461D67" w:rsidRPr="00154588" w:rsidRDefault="00461D67" w:rsidP="008C12B4">
            <w:pPr>
              <w:ind w:firstLine="567"/>
              <w:jc w:val="both"/>
              <w:rPr>
                <w:sz w:val="20"/>
                <w:szCs w:val="20"/>
              </w:rPr>
            </w:pPr>
            <w:r w:rsidRPr="00154588">
              <w:rPr>
                <w:rFonts w:eastAsia="Calibri"/>
                <w:b/>
                <w:sz w:val="20"/>
                <w:szCs w:val="18"/>
              </w:rPr>
              <w:t>Articolul 49.</w:t>
            </w:r>
            <w:r w:rsidRPr="00154588">
              <w:rPr>
                <w:rFonts w:eastAsia="Calibri"/>
                <w:sz w:val="20"/>
                <w:szCs w:val="18"/>
              </w:rPr>
              <w:t xml:space="preserve"> – Banca Naţională a Moldovei, în calitate de autoritate competentă, deţine competenţa exclusivă de a desemna, de a înlocui şi, după caz, de a revoca orice administrator temporar. Banca Naţională a Moldovei, în calitate de autoritate competentă, poate înlocui un administrator temporar în orice moment şi din orice motiv. Banca Naţională a Moldovei, în calitate de autoritate competentă, poate modifica în orice moment termenii mandatului conferit administratorului temporar, potrivit dispoziţiilor art.46-54.</w:t>
            </w:r>
          </w:p>
        </w:tc>
        <w:tc>
          <w:tcPr>
            <w:tcW w:w="2552" w:type="dxa"/>
          </w:tcPr>
          <w:p w14:paraId="2C95C495" w14:textId="5CBF6669" w:rsidR="00461D67" w:rsidRPr="00154588" w:rsidRDefault="00461D67" w:rsidP="008C12B4">
            <w:pPr>
              <w:jc w:val="both"/>
              <w:rPr>
                <w:bCs/>
                <w:sz w:val="20"/>
                <w:szCs w:val="20"/>
              </w:rPr>
            </w:pPr>
            <w:r w:rsidRPr="00154588">
              <w:rPr>
                <w:bCs/>
                <w:sz w:val="20"/>
                <w:szCs w:val="20"/>
              </w:rPr>
              <w:t>Compatibil</w:t>
            </w:r>
          </w:p>
        </w:tc>
        <w:tc>
          <w:tcPr>
            <w:tcW w:w="3118" w:type="dxa"/>
          </w:tcPr>
          <w:p w14:paraId="08A34234" w14:textId="77777777" w:rsidR="00461D67" w:rsidRPr="00154588" w:rsidRDefault="00461D67" w:rsidP="008C12B4">
            <w:pPr>
              <w:jc w:val="both"/>
              <w:rPr>
                <w:bCs/>
                <w:sz w:val="20"/>
                <w:szCs w:val="20"/>
              </w:rPr>
            </w:pPr>
          </w:p>
        </w:tc>
      </w:tr>
      <w:tr w:rsidR="00461D67" w:rsidRPr="00154588" w14:paraId="308FD793" w14:textId="77777777" w:rsidTr="00D15C1B">
        <w:trPr>
          <w:jc w:val="center"/>
        </w:trPr>
        <w:tc>
          <w:tcPr>
            <w:tcW w:w="4957" w:type="dxa"/>
            <w:gridSpan w:val="2"/>
          </w:tcPr>
          <w:p w14:paraId="76378A33" w14:textId="77777777" w:rsidR="00461D67" w:rsidRPr="00154588" w:rsidRDefault="00461D67" w:rsidP="008C12B4">
            <w:pPr>
              <w:jc w:val="both"/>
              <w:rPr>
                <w:bCs/>
                <w:sz w:val="20"/>
                <w:szCs w:val="20"/>
              </w:rPr>
            </w:pPr>
            <w:r w:rsidRPr="00154588">
              <w:rPr>
                <w:bCs/>
                <w:sz w:val="20"/>
                <w:szCs w:val="20"/>
              </w:rPr>
              <w:t>(5) Autoritatea competentă poate solicita ca anumite acte ale unui administrator temporar să facă obiectul aprobării prealabile a autorității competente. Autoritatea competentă precizează orice astfel de cerințe în momentul numirii unui administrator temporar sau în momentul oricărei modificări a condițiilor mandatului administratorului temporar.</w:t>
            </w:r>
          </w:p>
          <w:p w14:paraId="48D7389E" w14:textId="77777777" w:rsidR="00461D67" w:rsidRPr="00154588" w:rsidRDefault="00461D67" w:rsidP="008C12B4">
            <w:pPr>
              <w:jc w:val="both"/>
              <w:rPr>
                <w:bCs/>
                <w:sz w:val="20"/>
                <w:szCs w:val="20"/>
              </w:rPr>
            </w:pPr>
          </w:p>
          <w:p w14:paraId="43C82E2C" w14:textId="3C44AC62" w:rsidR="00461D67" w:rsidRPr="00154588" w:rsidRDefault="00461D67" w:rsidP="008C12B4">
            <w:pPr>
              <w:jc w:val="both"/>
              <w:rPr>
                <w:bCs/>
                <w:sz w:val="20"/>
                <w:szCs w:val="20"/>
              </w:rPr>
            </w:pPr>
            <w:r w:rsidRPr="00154588">
              <w:rPr>
                <w:bCs/>
                <w:sz w:val="20"/>
                <w:szCs w:val="20"/>
              </w:rPr>
              <w:t>În orice caz, administratorul temporar poate exercita competența de a convoca adunarea generală a acționarilor instituției</w:t>
            </w:r>
            <w:r w:rsidR="006E4EA1" w:rsidRPr="00154588">
              <w:rPr>
                <w:bCs/>
                <w:sz w:val="20"/>
                <w:szCs w:val="20"/>
              </w:rPr>
              <w:t xml:space="preserve"> sau ai entității menționate la articolul 1 alineatul (1) litera (b), (c) sau (d)</w:t>
            </w:r>
            <w:r w:rsidRPr="00154588">
              <w:rPr>
                <w:bCs/>
                <w:sz w:val="20"/>
                <w:szCs w:val="20"/>
              </w:rPr>
              <w:t xml:space="preserve"> și de a stabili ordinea de zi a acestei </w:t>
            </w:r>
            <w:r w:rsidRPr="00154588">
              <w:rPr>
                <w:bCs/>
                <w:sz w:val="20"/>
                <w:szCs w:val="20"/>
              </w:rPr>
              <w:lastRenderedPageBreak/>
              <w:t>adunări numai cu aprobarea prealabilă a autorității competente.</w:t>
            </w:r>
          </w:p>
        </w:tc>
        <w:tc>
          <w:tcPr>
            <w:tcW w:w="4819" w:type="dxa"/>
          </w:tcPr>
          <w:p w14:paraId="7774BE20" w14:textId="77777777" w:rsidR="00461D67" w:rsidRPr="00154588" w:rsidRDefault="00461D67" w:rsidP="008C12B4">
            <w:pPr>
              <w:ind w:firstLine="567"/>
              <w:jc w:val="both"/>
              <w:rPr>
                <w:rFonts w:eastAsia="Calibri"/>
                <w:sz w:val="20"/>
                <w:szCs w:val="18"/>
              </w:rPr>
            </w:pPr>
            <w:r w:rsidRPr="00154588">
              <w:rPr>
                <w:rFonts w:eastAsia="Calibri"/>
                <w:b/>
                <w:sz w:val="20"/>
                <w:szCs w:val="18"/>
              </w:rPr>
              <w:lastRenderedPageBreak/>
              <w:t>Articolul 50.</w:t>
            </w:r>
            <w:r w:rsidRPr="00154588">
              <w:rPr>
                <w:rFonts w:eastAsia="Calibri"/>
                <w:sz w:val="20"/>
                <w:szCs w:val="18"/>
              </w:rPr>
              <w:t xml:space="preserve"> – (1) Banca Naţională a Moldovei, în calitate de autoritate competentă, poate solicita ca anumite acte ale unui administrator temporar să facă obiectul aprobării sale prealabile. Banca Naţională a Moldovei, în calitate de autoritate competentă, stabileşte orice astfel de cerinţe la momentul desemnării unui administrator temporar sau la momentul oricărei modificări a termenilor mandatului conferit unui administrator temporar.</w:t>
            </w:r>
          </w:p>
          <w:p w14:paraId="2622127A" w14:textId="10C68960" w:rsidR="00461D67" w:rsidRPr="00154588" w:rsidRDefault="00461D67" w:rsidP="008C12B4">
            <w:pPr>
              <w:ind w:firstLine="567"/>
              <w:jc w:val="both"/>
              <w:rPr>
                <w:sz w:val="20"/>
                <w:szCs w:val="20"/>
              </w:rPr>
            </w:pPr>
            <w:r w:rsidRPr="00154588">
              <w:rPr>
                <w:rFonts w:eastAsia="Calibri"/>
                <w:sz w:val="20"/>
                <w:szCs w:val="18"/>
              </w:rPr>
              <w:t>(2) Administratorul temporar poate exercita, în orice situaţie, competenţa de a convoca adunarea generală a acţionarilor instituției de credit</w:t>
            </w:r>
            <w:r w:rsidR="00120686" w:rsidRPr="00154588">
              <w:rPr>
                <w:rFonts w:eastAsia="Calibri"/>
                <w:sz w:val="20"/>
                <w:szCs w:val="18"/>
              </w:rPr>
              <w:t xml:space="preserve"> </w:t>
            </w:r>
            <w:r w:rsidR="00120686" w:rsidRPr="00154588">
              <w:rPr>
                <w:bCs/>
                <w:sz w:val="20"/>
                <w:szCs w:val="20"/>
              </w:rPr>
              <w:t xml:space="preserve">sau  entității menționate </w:t>
            </w:r>
            <w:r w:rsidR="00120686" w:rsidRPr="00154588">
              <w:rPr>
                <w:bCs/>
                <w:sz w:val="20"/>
                <w:szCs w:val="20"/>
              </w:rPr>
              <w:lastRenderedPageBreak/>
              <w:t xml:space="preserve">la </w:t>
            </w:r>
            <w:r w:rsidR="00C517E5" w:rsidRPr="00154588">
              <w:rPr>
                <w:bCs/>
                <w:sz w:val="20"/>
                <w:szCs w:val="20"/>
              </w:rPr>
              <w:t>art.1 alin.(1) lit.b), c) sau d)</w:t>
            </w:r>
            <w:r w:rsidR="00120686" w:rsidRPr="00154588">
              <w:rPr>
                <w:bCs/>
                <w:sz w:val="20"/>
                <w:szCs w:val="20"/>
              </w:rPr>
              <w:t xml:space="preserve"> </w:t>
            </w:r>
            <w:r w:rsidRPr="00154588">
              <w:rPr>
                <w:rFonts w:eastAsia="Calibri"/>
                <w:sz w:val="20"/>
                <w:szCs w:val="18"/>
              </w:rPr>
              <w:t xml:space="preserve"> şi de a stabili ordinea de zi a acestei adunări numai cu aprobarea prealabilă a Băncii Naţionale a Moldovei, în calitate de autoritate competentă.</w:t>
            </w:r>
          </w:p>
        </w:tc>
        <w:tc>
          <w:tcPr>
            <w:tcW w:w="2552" w:type="dxa"/>
          </w:tcPr>
          <w:p w14:paraId="15FAA64D" w14:textId="35C8A1BD" w:rsidR="00461D67" w:rsidRPr="00154588" w:rsidRDefault="00461D67" w:rsidP="008C12B4">
            <w:pPr>
              <w:jc w:val="both"/>
              <w:rPr>
                <w:bCs/>
                <w:sz w:val="20"/>
                <w:szCs w:val="20"/>
              </w:rPr>
            </w:pPr>
            <w:r w:rsidRPr="00154588">
              <w:rPr>
                <w:bCs/>
                <w:sz w:val="20"/>
                <w:szCs w:val="20"/>
              </w:rPr>
              <w:lastRenderedPageBreak/>
              <w:t>Compatibil</w:t>
            </w:r>
          </w:p>
        </w:tc>
        <w:tc>
          <w:tcPr>
            <w:tcW w:w="3118" w:type="dxa"/>
          </w:tcPr>
          <w:p w14:paraId="4BCA89CD" w14:textId="77777777" w:rsidR="00461D67" w:rsidRPr="00154588" w:rsidRDefault="00461D67" w:rsidP="008C12B4">
            <w:pPr>
              <w:jc w:val="both"/>
              <w:rPr>
                <w:bCs/>
                <w:sz w:val="20"/>
                <w:szCs w:val="20"/>
              </w:rPr>
            </w:pPr>
          </w:p>
        </w:tc>
      </w:tr>
      <w:tr w:rsidR="00461D67" w:rsidRPr="00154588" w14:paraId="6EEDE9C7" w14:textId="77777777" w:rsidTr="00D15C1B">
        <w:trPr>
          <w:jc w:val="center"/>
        </w:trPr>
        <w:tc>
          <w:tcPr>
            <w:tcW w:w="4957" w:type="dxa"/>
            <w:gridSpan w:val="2"/>
          </w:tcPr>
          <w:p w14:paraId="58E58FE8" w14:textId="77777777" w:rsidR="006E4EA1" w:rsidRPr="00154588" w:rsidRDefault="00461D67" w:rsidP="008C12B4">
            <w:pPr>
              <w:jc w:val="both"/>
              <w:rPr>
                <w:bCs/>
                <w:sz w:val="20"/>
                <w:szCs w:val="20"/>
              </w:rPr>
            </w:pPr>
            <w:r w:rsidRPr="00154588">
              <w:rPr>
                <w:bCs/>
                <w:sz w:val="20"/>
                <w:szCs w:val="20"/>
              </w:rPr>
              <w:t xml:space="preserve">(6) </w:t>
            </w:r>
            <w:r w:rsidR="006E4EA1" w:rsidRPr="00154588">
              <w:rPr>
                <w:bCs/>
                <w:sz w:val="20"/>
                <w:szCs w:val="20"/>
              </w:rPr>
              <w:t xml:space="preserve">La cererea autorității competente, administratorul temporar întocmește rapoarte privind poziția financiară a instituției sau a entității menționate la articolul 1 alineatul (1) litera (b), (c) sau (d) și privind măsurile întreprinse în timpul mandatului său, la intervale stabilite de autoritatea competentă. Administratorul temporar întocmește, în orice caz, un astfel de raport la sfârșitul mandatului său. </w:t>
            </w:r>
          </w:p>
          <w:p w14:paraId="0837ACD3" w14:textId="77777777" w:rsidR="006E4EA1" w:rsidRPr="00154588" w:rsidRDefault="006E4EA1" w:rsidP="008C12B4">
            <w:pPr>
              <w:jc w:val="both"/>
              <w:rPr>
                <w:bCs/>
                <w:sz w:val="20"/>
                <w:szCs w:val="20"/>
              </w:rPr>
            </w:pPr>
          </w:p>
          <w:p w14:paraId="57F2FFDE" w14:textId="5A7B23DB" w:rsidR="00461D67" w:rsidRPr="00154588" w:rsidRDefault="00461D67" w:rsidP="008C12B4">
            <w:pPr>
              <w:jc w:val="both"/>
              <w:rPr>
                <w:bCs/>
                <w:sz w:val="20"/>
                <w:szCs w:val="20"/>
              </w:rPr>
            </w:pPr>
          </w:p>
        </w:tc>
        <w:tc>
          <w:tcPr>
            <w:tcW w:w="4819" w:type="dxa"/>
          </w:tcPr>
          <w:p w14:paraId="0BF394C2" w14:textId="646AB305" w:rsidR="000A4A29" w:rsidRPr="00154588" w:rsidRDefault="00461D67" w:rsidP="008C12B4">
            <w:pPr>
              <w:jc w:val="both"/>
              <w:rPr>
                <w:bCs/>
                <w:sz w:val="20"/>
                <w:szCs w:val="20"/>
              </w:rPr>
            </w:pPr>
            <w:r w:rsidRPr="00154588">
              <w:rPr>
                <w:rFonts w:eastAsia="Calibri"/>
                <w:b/>
                <w:sz w:val="20"/>
                <w:szCs w:val="18"/>
              </w:rPr>
              <w:t>Articolul 51.</w:t>
            </w:r>
            <w:r w:rsidRPr="00154588">
              <w:rPr>
                <w:rFonts w:eastAsia="Calibri"/>
                <w:sz w:val="20"/>
                <w:szCs w:val="18"/>
              </w:rPr>
              <w:t xml:space="preserve"> – </w:t>
            </w:r>
            <w:r w:rsidR="00120686" w:rsidRPr="00154588">
              <w:rPr>
                <w:rFonts w:eastAsia="Calibri"/>
                <w:sz w:val="20"/>
                <w:szCs w:val="18"/>
              </w:rPr>
              <w:t xml:space="preserve">La cererea </w:t>
            </w:r>
            <w:r w:rsidRPr="00154588">
              <w:rPr>
                <w:rFonts w:eastAsia="Calibri"/>
                <w:sz w:val="20"/>
                <w:szCs w:val="18"/>
              </w:rPr>
              <w:t>B</w:t>
            </w:r>
            <w:r w:rsidR="00120686" w:rsidRPr="00154588">
              <w:rPr>
                <w:rFonts w:eastAsia="Calibri"/>
                <w:sz w:val="20"/>
                <w:szCs w:val="18"/>
              </w:rPr>
              <w:t>ăncii</w:t>
            </w:r>
            <w:r w:rsidRPr="00154588">
              <w:rPr>
                <w:rFonts w:eastAsia="Calibri"/>
                <w:sz w:val="20"/>
                <w:szCs w:val="18"/>
              </w:rPr>
              <w:t xml:space="preserve"> Naţional</w:t>
            </w:r>
            <w:r w:rsidR="00120686" w:rsidRPr="00154588">
              <w:rPr>
                <w:rFonts w:eastAsia="Calibri"/>
                <w:sz w:val="20"/>
                <w:szCs w:val="18"/>
              </w:rPr>
              <w:t>e</w:t>
            </w:r>
            <w:r w:rsidRPr="00154588">
              <w:rPr>
                <w:rFonts w:eastAsia="Calibri"/>
                <w:sz w:val="20"/>
                <w:szCs w:val="18"/>
              </w:rPr>
              <w:t xml:space="preserve"> a Moldovei, în calitate de autoritate competentă, administratorul temporar</w:t>
            </w:r>
            <w:r w:rsidR="005A7199" w:rsidRPr="00154588">
              <w:rPr>
                <w:rFonts w:eastAsia="Calibri"/>
                <w:sz w:val="20"/>
                <w:szCs w:val="18"/>
              </w:rPr>
              <w:t xml:space="preserve"> întocmește</w:t>
            </w:r>
            <w:r w:rsidRPr="00154588">
              <w:rPr>
                <w:rFonts w:eastAsia="Calibri"/>
                <w:sz w:val="20"/>
                <w:szCs w:val="18"/>
              </w:rPr>
              <w:t xml:space="preserve"> rapoarte privind poziţia financiară a instituției de credit </w:t>
            </w:r>
            <w:r w:rsidR="000A4A29" w:rsidRPr="00154588">
              <w:rPr>
                <w:bCs/>
                <w:sz w:val="20"/>
                <w:szCs w:val="20"/>
              </w:rPr>
              <w:t xml:space="preserve">sau a entității menționate la </w:t>
            </w:r>
            <w:r w:rsidR="00C517E5" w:rsidRPr="00154588">
              <w:rPr>
                <w:bCs/>
                <w:sz w:val="20"/>
                <w:szCs w:val="20"/>
              </w:rPr>
              <w:t>art.1 alin.(1) lit.b), c) sau d)</w:t>
            </w:r>
            <w:r w:rsidR="000A4A29" w:rsidRPr="00154588">
              <w:rPr>
                <w:bCs/>
                <w:sz w:val="20"/>
                <w:szCs w:val="20"/>
              </w:rPr>
              <w:t xml:space="preserve"> </w:t>
            </w:r>
            <w:r w:rsidRPr="00154588">
              <w:rPr>
                <w:rFonts w:eastAsia="Calibri"/>
                <w:sz w:val="20"/>
                <w:szCs w:val="18"/>
              </w:rPr>
              <w:t xml:space="preserve">şi </w:t>
            </w:r>
            <w:r w:rsidR="000A4A29" w:rsidRPr="00154588">
              <w:rPr>
                <w:rFonts w:eastAsia="Calibri"/>
                <w:sz w:val="20"/>
                <w:szCs w:val="18"/>
              </w:rPr>
              <w:t xml:space="preserve">privind </w:t>
            </w:r>
            <w:r w:rsidRPr="00154588">
              <w:rPr>
                <w:rFonts w:eastAsia="Calibri"/>
                <w:sz w:val="20"/>
                <w:szCs w:val="18"/>
              </w:rPr>
              <w:t xml:space="preserve">actele întreprinse pe parcursul mandatului său, la intervale stabilite de </w:t>
            </w:r>
            <w:r w:rsidR="000A4A29" w:rsidRPr="00154588">
              <w:rPr>
                <w:bCs/>
                <w:sz w:val="20"/>
                <w:szCs w:val="20"/>
              </w:rPr>
              <w:t>autoritatea competentă</w:t>
            </w:r>
            <w:r w:rsidR="000A4A29" w:rsidRPr="00154588">
              <w:rPr>
                <w:rFonts w:eastAsia="Calibri"/>
                <w:sz w:val="20"/>
                <w:szCs w:val="18"/>
              </w:rPr>
              <w:t xml:space="preserve">. </w:t>
            </w:r>
            <w:r w:rsidR="000A4A29" w:rsidRPr="00154588">
              <w:rPr>
                <w:bCs/>
                <w:sz w:val="20"/>
                <w:szCs w:val="20"/>
              </w:rPr>
              <w:t xml:space="preserve">Administratorul temporar întocmește, în orice caz, un astfel de raport la sfârșitul mandatului său. </w:t>
            </w:r>
          </w:p>
          <w:p w14:paraId="1EA0FBF5" w14:textId="77777777" w:rsidR="000A4A29" w:rsidRPr="00154588" w:rsidRDefault="000A4A29" w:rsidP="008C12B4">
            <w:pPr>
              <w:ind w:firstLine="567"/>
              <w:jc w:val="both"/>
              <w:rPr>
                <w:rFonts w:eastAsia="Calibri"/>
                <w:sz w:val="20"/>
                <w:szCs w:val="18"/>
              </w:rPr>
            </w:pPr>
          </w:p>
          <w:p w14:paraId="0B9AA4F8" w14:textId="6C62BA81" w:rsidR="00461D67" w:rsidRPr="00154588" w:rsidRDefault="00461D67" w:rsidP="008C12B4">
            <w:pPr>
              <w:ind w:firstLine="567"/>
              <w:jc w:val="both"/>
              <w:rPr>
                <w:sz w:val="20"/>
                <w:szCs w:val="20"/>
              </w:rPr>
            </w:pPr>
            <w:r w:rsidRPr="00154588">
              <w:rPr>
                <w:rFonts w:eastAsia="Calibri"/>
                <w:sz w:val="20"/>
                <w:szCs w:val="18"/>
              </w:rPr>
              <w:t>.</w:t>
            </w:r>
          </w:p>
        </w:tc>
        <w:tc>
          <w:tcPr>
            <w:tcW w:w="2552" w:type="dxa"/>
          </w:tcPr>
          <w:p w14:paraId="0775953D" w14:textId="0A31F104" w:rsidR="00461D67" w:rsidRPr="00154588" w:rsidRDefault="00461D67" w:rsidP="008C12B4">
            <w:pPr>
              <w:jc w:val="both"/>
              <w:rPr>
                <w:bCs/>
                <w:sz w:val="20"/>
                <w:szCs w:val="20"/>
              </w:rPr>
            </w:pPr>
            <w:r w:rsidRPr="00154588">
              <w:rPr>
                <w:bCs/>
                <w:sz w:val="20"/>
                <w:szCs w:val="20"/>
              </w:rPr>
              <w:t>Compatibil</w:t>
            </w:r>
          </w:p>
        </w:tc>
        <w:tc>
          <w:tcPr>
            <w:tcW w:w="3118" w:type="dxa"/>
          </w:tcPr>
          <w:p w14:paraId="44EB03A6" w14:textId="77777777" w:rsidR="00461D67" w:rsidRPr="00154588" w:rsidRDefault="00461D67" w:rsidP="008C12B4">
            <w:pPr>
              <w:jc w:val="both"/>
              <w:rPr>
                <w:bCs/>
                <w:sz w:val="20"/>
                <w:szCs w:val="20"/>
              </w:rPr>
            </w:pPr>
          </w:p>
        </w:tc>
      </w:tr>
      <w:tr w:rsidR="00461D67" w:rsidRPr="00154588" w14:paraId="685BE151" w14:textId="77777777" w:rsidTr="00D15C1B">
        <w:trPr>
          <w:jc w:val="center"/>
        </w:trPr>
        <w:tc>
          <w:tcPr>
            <w:tcW w:w="4957" w:type="dxa"/>
            <w:gridSpan w:val="2"/>
          </w:tcPr>
          <w:p w14:paraId="4E5EDAC0" w14:textId="2299D216" w:rsidR="00461D67" w:rsidRPr="00154588" w:rsidRDefault="00461D67" w:rsidP="008C12B4">
            <w:pPr>
              <w:jc w:val="both"/>
              <w:rPr>
                <w:bCs/>
                <w:sz w:val="20"/>
                <w:szCs w:val="20"/>
              </w:rPr>
            </w:pPr>
            <w:r w:rsidRPr="00154588">
              <w:rPr>
                <w:bCs/>
                <w:sz w:val="20"/>
                <w:szCs w:val="20"/>
              </w:rPr>
              <w:t xml:space="preserve">(7)   </w:t>
            </w:r>
            <w:r w:rsidR="006E4EA1" w:rsidRPr="00154588">
              <w:rPr>
                <w:bCs/>
                <w:sz w:val="20"/>
                <w:szCs w:val="20"/>
              </w:rPr>
              <w:t xml:space="preserve">Administratorul temporar este numit pentru o perioadă de maximum un an. Autoritatea competentă poate prelungi în mod excepțional perioada menționată o singură dată, pentru o durată proporțională cu situația dată, în cazul în care continuă să fie îndeplinite condițiile pentru numirea administratorului temporar. Autoritatea competentă are responsabilitatea de a stabili dacă sunt îndeplinite condițiile respective și de a justifica acționarilor orice prelungire a mandatului administratorului temporar </w:t>
            </w:r>
            <w:r w:rsidRPr="00154588">
              <w:rPr>
                <w:bCs/>
                <w:sz w:val="20"/>
                <w:szCs w:val="20"/>
              </w:rPr>
              <w:t>.</w:t>
            </w:r>
          </w:p>
        </w:tc>
        <w:tc>
          <w:tcPr>
            <w:tcW w:w="4819" w:type="dxa"/>
          </w:tcPr>
          <w:p w14:paraId="5B364BD0" w14:textId="11F2A278" w:rsidR="00461D67" w:rsidRPr="00154588" w:rsidRDefault="00461D67" w:rsidP="008C12B4">
            <w:pPr>
              <w:ind w:firstLine="567"/>
              <w:jc w:val="both"/>
              <w:rPr>
                <w:sz w:val="20"/>
                <w:szCs w:val="20"/>
              </w:rPr>
            </w:pPr>
            <w:r w:rsidRPr="00154588">
              <w:rPr>
                <w:rFonts w:eastAsia="Calibri"/>
                <w:b/>
                <w:sz w:val="20"/>
                <w:szCs w:val="18"/>
              </w:rPr>
              <w:t>Articolul 52.</w:t>
            </w:r>
            <w:r w:rsidRPr="00154588">
              <w:rPr>
                <w:rFonts w:eastAsia="Calibri"/>
                <w:sz w:val="20"/>
                <w:szCs w:val="18"/>
              </w:rPr>
              <w:t xml:space="preserve"> – </w:t>
            </w:r>
            <w:r w:rsidR="000A4A29" w:rsidRPr="00154588">
              <w:rPr>
                <w:bCs/>
                <w:sz w:val="20"/>
                <w:szCs w:val="20"/>
              </w:rPr>
              <w:t xml:space="preserve">Administratorul temporar este numit pentru o perioadă de maximum un an. </w:t>
            </w:r>
            <w:r w:rsidRPr="00154588">
              <w:rPr>
                <w:rFonts w:eastAsia="Calibri"/>
                <w:sz w:val="20"/>
                <w:szCs w:val="18"/>
              </w:rPr>
              <w:t xml:space="preserve"> Banca Naţională a Moldovei poate prelungi, în mod excepţional, </w:t>
            </w:r>
            <w:r w:rsidR="000A4A29" w:rsidRPr="00154588">
              <w:rPr>
                <w:bCs/>
                <w:sz w:val="20"/>
                <w:szCs w:val="20"/>
              </w:rPr>
              <w:t>perioada menționată o singură dată, pentru o durată proporțională cu situația dată, în cazul în care continuă să fie îndeplinite condițiile pentru numirea administratorului temporar</w:t>
            </w:r>
            <w:r w:rsidRPr="00154588">
              <w:rPr>
                <w:sz w:val="20"/>
                <w:szCs w:val="18"/>
                <w:lang w:eastAsia="ro-MD"/>
              </w:rPr>
              <w:t>, precum şi în cazul în care prelungirea perioadei de desemnare a administratorului temporar este necesară în vederea asigurării gestiunii ordonate a instituției de credit pe perioada desfăşurării procedurilor de alegere, desemnare şi de intrare în exerciţiul funcţiei a membrilor organelor de conducere ale instituției de credit</w:t>
            </w:r>
            <w:r w:rsidRPr="00154588">
              <w:rPr>
                <w:rFonts w:eastAsia="Calibri"/>
                <w:sz w:val="20"/>
                <w:szCs w:val="18"/>
              </w:rPr>
              <w:t>. Banca Naţională a Moldovei, în calitate de autoritate competentă, este responsabilă pentru a determina în ce măsură sînt îndeplinite condiţiile pentru menţinerea unui administrator temporar şi pentru a justifica o astfel de decizie în faţa acţionarilor.</w:t>
            </w:r>
          </w:p>
        </w:tc>
        <w:tc>
          <w:tcPr>
            <w:tcW w:w="2552" w:type="dxa"/>
          </w:tcPr>
          <w:p w14:paraId="2BF4884A" w14:textId="6CF19019" w:rsidR="00461D67" w:rsidRPr="00154588" w:rsidRDefault="00461D67" w:rsidP="008C12B4">
            <w:pPr>
              <w:jc w:val="both"/>
              <w:rPr>
                <w:bCs/>
                <w:sz w:val="20"/>
                <w:szCs w:val="20"/>
              </w:rPr>
            </w:pPr>
            <w:r w:rsidRPr="00154588">
              <w:rPr>
                <w:bCs/>
                <w:sz w:val="20"/>
                <w:szCs w:val="20"/>
              </w:rPr>
              <w:t>Compatibil</w:t>
            </w:r>
          </w:p>
        </w:tc>
        <w:tc>
          <w:tcPr>
            <w:tcW w:w="3118" w:type="dxa"/>
          </w:tcPr>
          <w:p w14:paraId="5F1D3FEB" w14:textId="13415BCF" w:rsidR="00461D67" w:rsidRPr="00154588" w:rsidRDefault="00461D67" w:rsidP="008C12B4">
            <w:pPr>
              <w:jc w:val="both"/>
              <w:rPr>
                <w:bCs/>
                <w:sz w:val="20"/>
                <w:szCs w:val="20"/>
              </w:rPr>
            </w:pPr>
          </w:p>
        </w:tc>
      </w:tr>
      <w:tr w:rsidR="00461D67" w:rsidRPr="00154588" w14:paraId="58AA4961" w14:textId="77777777" w:rsidTr="00D15C1B">
        <w:trPr>
          <w:jc w:val="center"/>
        </w:trPr>
        <w:tc>
          <w:tcPr>
            <w:tcW w:w="4957" w:type="dxa"/>
            <w:gridSpan w:val="2"/>
          </w:tcPr>
          <w:p w14:paraId="47E85257" w14:textId="0F790618" w:rsidR="00461D67" w:rsidRPr="00154588" w:rsidRDefault="00461D67" w:rsidP="008C12B4">
            <w:pPr>
              <w:jc w:val="both"/>
              <w:rPr>
                <w:bCs/>
                <w:sz w:val="20"/>
                <w:szCs w:val="20"/>
              </w:rPr>
            </w:pPr>
            <w:r w:rsidRPr="00154588">
              <w:rPr>
                <w:bCs/>
                <w:sz w:val="20"/>
                <w:szCs w:val="20"/>
              </w:rPr>
              <w:t>(8) Sub rezerva prezentului articol, numirea unui administrator temporar nu aduce atingere drepturilor acționarilor în conformitate cu dreptul Uniunii sau dreptul comercial național.</w:t>
            </w:r>
          </w:p>
        </w:tc>
        <w:tc>
          <w:tcPr>
            <w:tcW w:w="4819" w:type="dxa"/>
          </w:tcPr>
          <w:p w14:paraId="70E51A35" w14:textId="244F7D9C" w:rsidR="00461D67" w:rsidRPr="00154588" w:rsidRDefault="00461D67" w:rsidP="008C12B4">
            <w:pPr>
              <w:ind w:firstLine="567"/>
              <w:jc w:val="both"/>
              <w:rPr>
                <w:sz w:val="20"/>
                <w:szCs w:val="20"/>
              </w:rPr>
            </w:pPr>
            <w:r w:rsidRPr="00154588">
              <w:rPr>
                <w:rFonts w:eastAsia="Calibri"/>
                <w:b/>
                <w:sz w:val="20"/>
                <w:szCs w:val="18"/>
              </w:rPr>
              <w:t>Articolul 53.</w:t>
            </w:r>
            <w:r w:rsidRPr="00154588">
              <w:rPr>
                <w:rFonts w:eastAsia="Calibri"/>
                <w:sz w:val="20"/>
                <w:szCs w:val="18"/>
              </w:rPr>
              <w:t xml:space="preserve"> – Desemnarea unui administrator temporar în conformitate cu dispoziţiile art.46-54 se face prin derogare de la dispoziţiile privind desemnarea şi revocarea membrilor organelor de conducere, cuprinse în Legea nr.1134</w:t>
            </w:r>
            <w:r w:rsidRPr="00154588">
              <w:rPr>
                <w:sz w:val="20"/>
                <w:szCs w:val="18"/>
                <w:lang w:eastAsia="ro-MD"/>
              </w:rPr>
              <w:t>/</w:t>
            </w:r>
            <w:r w:rsidRPr="00154588">
              <w:rPr>
                <w:rFonts w:eastAsia="Calibri"/>
                <w:sz w:val="20"/>
                <w:szCs w:val="18"/>
              </w:rPr>
              <w:t>1997 privind societăţile pe acţiuni. Desemnarea potrivit art.46-54 nu aduce atingere altor drepturi ale acţionarilor prevăzute de Legea nr.1134</w:t>
            </w:r>
            <w:r w:rsidRPr="00154588">
              <w:rPr>
                <w:sz w:val="20"/>
                <w:szCs w:val="18"/>
                <w:lang w:eastAsia="ro-MD"/>
              </w:rPr>
              <w:t>/</w:t>
            </w:r>
            <w:r w:rsidRPr="00154588">
              <w:rPr>
                <w:rFonts w:eastAsia="Calibri"/>
                <w:sz w:val="20"/>
                <w:szCs w:val="18"/>
              </w:rPr>
              <w:t>1997 privind societăţile pe acţiuni</w:t>
            </w:r>
            <w:r w:rsidR="004A6E65" w:rsidRPr="00154588">
              <w:rPr>
                <w:rFonts w:eastAsia="Calibri"/>
                <w:sz w:val="20"/>
                <w:szCs w:val="18"/>
              </w:rPr>
              <w:t>,</w:t>
            </w:r>
            <w:r w:rsidRPr="00154588">
              <w:rPr>
                <w:rFonts w:eastAsia="Calibri"/>
                <w:sz w:val="20"/>
                <w:szCs w:val="18"/>
              </w:rPr>
              <w:t xml:space="preserve"> de Legea nr.202/2017</w:t>
            </w:r>
            <w:r w:rsidR="004A6E65" w:rsidRPr="00154588">
              <w:rPr>
                <w:rFonts w:eastAsia="Calibri"/>
                <w:sz w:val="20"/>
                <w:szCs w:val="18"/>
              </w:rPr>
              <w:t xml:space="preserve"> și dreptul Uniunii Europene</w:t>
            </w:r>
            <w:r w:rsidRPr="00154588">
              <w:rPr>
                <w:rFonts w:eastAsia="Calibri"/>
                <w:sz w:val="20"/>
                <w:szCs w:val="18"/>
              </w:rPr>
              <w:t>.</w:t>
            </w:r>
          </w:p>
        </w:tc>
        <w:tc>
          <w:tcPr>
            <w:tcW w:w="2552" w:type="dxa"/>
          </w:tcPr>
          <w:p w14:paraId="39C765F2" w14:textId="38F7E984" w:rsidR="00461D67" w:rsidRPr="00154588" w:rsidRDefault="00461D67" w:rsidP="008C12B4">
            <w:pPr>
              <w:jc w:val="both"/>
              <w:rPr>
                <w:bCs/>
                <w:sz w:val="20"/>
                <w:szCs w:val="20"/>
              </w:rPr>
            </w:pPr>
            <w:r w:rsidRPr="00154588">
              <w:rPr>
                <w:bCs/>
                <w:sz w:val="20"/>
                <w:szCs w:val="20"/>
              </w:rPr>
              <w:t>Compatibil</w:t>
            </w:r>
          </w:p>
        </w:tc>
        <w:tc>
          <w:tcPr>
            <w:tcW w:w="3118" w:type="dxa"/>
          </w:tcPr>
          <w:p w14:paraId="319EB61A" w14:textId="77777777" w:rsidR="00461D67" w:rsidRPr="00154588" w:rsidRDefault="00461D67" w:rsidP="008C12B4">
            <w:pPr>
              <w:jc w:val="both"/>
              <w:rPr>
                <w:bCs/>
                <w:sz w:val="20"/>
                <w:szCs w:val="20"/>
              </w:rPr>
            </w:pPr>
          </w:p>
        </w:tc>
      </w:tr>
      <w:tr w:rsidR="00461D67" w:rsidRPr="00154588" w14:paraId="58742203" w14:textId="77777777" w:rsidTr="00D15C1B">
        <w:trPr>
          <w:jc w:val="center"/>
        </w:trPr>
        <w:tc>
          <w:tcPr>
            <w:tcW w:w="4957" w:type="dxa"/>
            <w:gridSpan w:val="2"/>
          </w:tcPr>
          <w:p w14:paraId="4DA1E7FA" w14:textId="1AF08535" w:rsidR="00461D67" w:rsidRPr="00154588" w:rsidRDefault="00461D67" w:rsidP="008C12B4">
            <w:pPr>
              <w:jc w:val="both"/>
              <w:rPr>
                <w:bCs/>
                <w:sz w:val="20"/>
                <w:szCs w:val="20"/>
              </w:rPr>
            </w:pPr>
            <w:r w:rsidRPr="00154588">
              <w:rPr>
                <w:bCs/>
                <w:sz w:val="20"/>
                <w:szCs w:val="20"/>
              </w:rPr>
              <w:t xml:space="preserve">(9) În conformitate cu dreptul intern, statele membre pot limita răspunderea oricărui administrator temporar în ceea ce privește actele și omisiunile survenite în exercitarea </w:t>
            </w:r>
            <w:r w:rsidRPr="00154588">
              <w:rPr>
                <w:bCs/>
                <w:sz w:val="20"/>
                <w:szCs w:val="20"/>
              </w:rPr>
              <w:lastRenderedPageBreak/>
              <w:t>atribuțiilor acestuia în calitate de administrator temporar în conformitate cu alineatul (3).</w:t>
            </w:r>
          </w:p>
        </w:tc>
        <w:tc>
          <w:tcPr>
            <w:tcW w:w="4819" w:type="dxa"/>
          </w:tcPr>
          <w:p w14:paraId="34FD8461" w14:textId="77777777" w:rsidR="00461D67" w:rsidRPr="00154588" w:rsidRDefault="00461D67" w:rsidP="008C12B4">
            <w:pPr>
              <w:ind w:firstLine="567"/>
              <w:jc w:val="both"/>
              <w:rPr>
                <w:rFonts w:eastAsia="Calibri"/>
                <w:sz w:val="20"/>
                <w:szCs w:val="18"/>
              </w:rPr>
            </w:pPr>
            <w:r w:rsidRPr="00154588">
              <w:rPr>
                <w:rFonts w:eastAsia="Calibri"/>
                <w:b/>
                <w:sz w:val="20"/>
                <w:szCs w:val="18"/>
              </w:rPr>
              <w:lastRenderedPageBreak/>
              <w:t>Articolul 54.</w:t>
            </w:r>
            <w:r w:rsidRPr="00154588">
              <w:rPr>
                <w:rFonts w:eastAsia="Calibri"/>
                <w:sz w:val="20"/>
                <w:szCs w:val="18"/>
              </w:rPr>
              <w:t xml:space="preserve"> – (1) Dispoziţiile art.35 din Legea nr.548</w:t>
            </w:r>
            <w:r w:rsidRPr="00154588">
              <w:rPr>
                <w:sz w:val="20"/>
                <w:szCs w:val="18"/>
                <w:lang w:eastAsia="ro-MD"/>
              </w:rPr>
              <w:t>/</w:t>
            </w:r>
            <w:r w:rsidRPr="00154588">
              <w:rPr>
                <w:rFonts w:eastAsia="Calibri"/>
                <w:sz w:val="20"/>
                <w:szCs w:val="18"/>
              </w:rPr>
              <w:t xml:space="preserve">1995 cu privire la Banca Naţională a Moldovei sînt aplicabile în mod corespunzător în ceea ce priveşte regimul răspunderii administratorului temporar pentru </w:t>
            </w:r>
            <w:r w:rsidRPr="00154588">
              <w:rPr>
                <w:rFonts w:eastAsia="Calibri"/>
                <w:sz w:val="20"/>
                <w:szCs w:val="18"/>
              </w:rPr>
              <w:lastRenderedPageBreak/>
              <w:t>exercitarea atribuţiilor conferite în conformitate cu prezenta lege.</w:t>
            </w:r>
          </w:p>
          <w:p w14:paraId="483E9C58" w14:textId="6B417DEC" w:rsidR="00461D67" w:rsidRPr="00154588" w:rsidRDefault="00461D67" w:rsidP="008C12B4">
            <w:pPr>
              <w:ind w:firstLine="567"/>
              <w:jc w:val="both"/>
              <w:rPr>
                <w:sz w:val="20"/>
                <w:szCs w:val="20"/>
              </w:rPr>
            </w:pPr>
            <w:r w:rsidRPr="00154588">
              <w:rPr>
                <w:rFonts w:eastAsia="Calibri"/>
                <w:sz w:val="20"/>
                <w:szCs w:val="18"/>
              </w:rPr>
              <w:t>(2) În aplicarea de către Banca Naţională a Moldovei a măsurilor de intervenţie timpurie, prevăzute în art.42-53 din prezenta lege, aceasta poate excepta o instituție de credit, integral sau parţial, de la obligaţia menţinerii rezervelor obligatorii.</w:t>
            </w:r>
          </w:p>
        </w:tc>
        <w:tc>
          <w:tcPr>
            <w:tcW w:w="2552" w:type="dxa"/>
          </w:tcPr>
          <w:p w14:paraId="268260ED" w14:textId="19C6363C" w:rsidR="00461D67" w:rsidRPr="00154588" w:rsidRDefault="00461D67" w:rsidP="008C12B4">
            <w:pPr>
              <w:jc w:val="both"/>
              <w:rPr>
                <w:bCs/>
                <w:sz w:val="20"/>
                <w:szCs w:val="20"/>
              </w:rPr>
            </w:pPr>
            <w:r w:rsidRPr="00154588">
              <w:rPr>
                <w:bCs/>
                <w:sz w:val="20"/>
                <w:szCs w:val="20"/>
              </w:rPr>
              <w:lastRenderedPageBreak/>
              <w:t>Compatibil</w:t>
            </w:r>
          </w:p>
        </w:tc>
        <w:tc>
          <w:tcPr>
            <w:tcW w:w="3118" w:type="dxa"/>
          </w:tcPr>
          <w:p w14:paraId="72CD2B0D" w14:textId="77777777" w:rsidR="00461D67" w:rsidRPr="00154588" w:rsidRDefault="00461D67" w:rsidP="008C12B4">
            <w:pPr>
              <w:jc w:val="both"/>
              <w:rPr>
                <w:bCs/>
                <w:sz w:val="20"/>
                <w:szCs w:val="20"/>
              </w:rPr>
            </w:pPr>
          </w:p>
        </w:tc>
      </w:tr>
      <w:tr w:rsidR="00461D67" w:rsidRPr="00154588" w14:paraId="3E846B79" w14:textId="77777777" w:rsidTr="00D15C1B">
        <w:trPr>
          <w:jc w:val="center"/>
        </w:trPr>
        <w:tc>
          <w:tcPr>
            <w:tcW w:w="4957" w:type="dxa"/>
            <w:gridSpan w:val="2"/>
          </w:tcPr>
          <w:p w14:paraId="0451CA9A" w14:textId="7D7CF8E4" w:rsidR="00461D67" w:rsidRPr="00154588" w:rsidRDefault="00461D67" w:rsidP="008C12B4">
            <w:pPr>
              <w:jc w:val="both"/>
              <w:rPr>
                <w:bCs/>
                <w:sz w:val="20"/>
                <w:szCs w:val="20"/>
              </w:rPr>
            </w:pPr>
            <w:r w:rsidRPr="00154588">
              <w:rPr>
                <w:bCs/>
                <w:sz w:val="20"/>
                <w:szCs w:val="20"/>
              </w:rPr>
              <w:t>(10) Un administrator temporar numit în temeiul prezentului articol nu este considerat ca membru din umbră sau de facto al organului de conducere în temeiul dreptului intern.</w:t>
            </w:r>
          </w:p>
        </w:tc>
        <w:tc>
          <w:tcPr>
            <w:tcW w:w="4819" w:type="dxa"/>
          </w:tcPr>
          <w:p w14:paraId="42A9A9C9" w14:textId="1015775F" w:rsidR="00461D67" w:rsidRPr="00154588" w:rsidRDefault="00461D67" w:rsidP="008C12B4">
            <w:pPr>
              <w:ind w:firstLine="567"/>
              <w:jc w:val="both"/>
              <w:rPr>
                <w:rFonts w:eastAsia="Calibri"/>
                <w:kern w:val="2"/>
                <w:sz w:val="20"/>
                <w:szCs w:val="18"/>
                <w14:ligatures w14:val="standardContextual"/>
              </w:rPr>
            </w:pPr>
            <w:r w:rsidRPr="00154588">
              <w:rPr>
                <w:rFonts w:eastAsia="Calibri"/>
                <w:sz w:val="20"/>
                <w:szCs w:val="18"/>
              </w:rPr>
              <w:t>(3) Un administrator temporar desemnat în conformitate cu dispoziţiile art. 46-53 nu este considerat ca membru de fapt sau aparent al organului de conducere în temeiul dreptului intern al Republici Moldova.</w:t>
            </w:r>
          </w:p>
        </w:tc>
        <w:tc>
          <w:tcPr>
            <w:tcW w:w="2552" w:type="dxa"/>
          </w:tcPr>
          <w:p w14:paraId="0BCB04A1" w14:textId="641B67FF" w:rsidR="00461D67" w:rsidRPr="00154588" w:rsidRDefault="00461D67" w:rsidP="008C12B4">
            <w:pPr>
              <w:jc w:val="both"/>
              <w:rPr>
                <w:bCs/>
                <w:sz w:val="20"/>
                <w:szCs w:val="20"/>
              </w:rPr>
            </w:pPr>
            <w:r w:rsidRPr="00154588">
              <w:rPr>
                <w:bCs/>
                <w:sz w:val="20"/>
                <w:szCs w:val="20"/>
              </w:rPr>
              <w:t>Compatibil</w:t>
            </w:r>
          </w:p>
        </w:tc>
        <w:tc>
          <w:tcPr>
            <w:tcW w:w="3118" w:type="dxa"/>
          </w:tcPr>
          <w:p w14:paraId="067D56CE" w14:textId="77777777" w:rsidR="00461D67" w:rsidRPr="00154588" w:rsidRDefault="00461D67" w:rsidP="008C12B4">
            <w:pPr>
              <w:jc w:val="both"/>
              <w:rPr>
                <w:bCs/>
                <w:sz w:val="20"/>
                <w:szCs w:val="20"/>
              </w:rPr>
            </w:pPr>
          </w:p>
        </w:tc>
      </w:tr>
      <w:tr w:rsidR="00461D67" w:rsidRPr="00154588" w14:paraId="0E4911C9" w14:textId="77777777" w:rsidTr="000A6B3F">
        <w:trPr>
          <w:trHeight w:val="2060"/>
          <w:jc w:val="center"/>
        </w:trPr>
        <w:tc>
          <w:tcPr>
            <w:tcW w:w="4957" w:type="dxa"/>
            <w:gridSpan w:val="2"/>
          </w:tcPr>
          <w:p w14:paraId="0CEF53FD" w14:textId="77777777" w:rsidR="00461D67" w:rsidRPr="00154588" w:rsidRDefault="00461D67" w:rsidP="008C12B4">
            <w:pPr>
              <w:rPr>
                <w:b/>
                <w:sz w:val="20"/>
                <w:szCs w:val="20"/>
              </w:rPr>
            </w:pPr>
            <w:r w:rsidRPr="00154588">
              <w:rPr>
                <w:b/>
                <w:sz w:val="20"/>
                <w:szCs w:val="20"/>
              </w:rPr>
              <w:t>Articolul 30</w:t>
            </w:r>
          </w:p>
          <w:p w14:paraId="5475B71F" w14:textId="77777777" w:rsidR="00461D67" w:rsidRPr="00154588" w:rsidRDefault="00461D67" w:rsidP="008C12B4">
            <w:pPr>
              <w:rPr>
                <w:b/>
                <w:sz w:val="20"/>
                <w:szCs w:val="20"/>
              </w:rPr>
            </w:pPr>
          </w:p>
          <w:p w14:paraId="7E698032" w14:textId="77777777" w:rsidR="00461D67" w:rsidRPr="00154588" w:rsidRDefault="00461D67" w:rsidP="008C12B4">
            <w:pPr>
              <w:rPr>
                <w:b/>
                <w:sz w:val="20"/>
                <w:szCs w:val="20"/>
              </w:rPr>
            </w:pPr>
          </w:p>
          <w:p w14:paraId="4ADD7A2A" w14:textId="18927D00" w:rsidR="00461D67" w:rsidRPr="00154588" w:rsidRDefault="00461D67" w:rsidP="008C12B4">
            <w:pPr>
              <w:rPr>
                <w:bCs/>
                <w:sz w:val="20"/>
                <w:szCs w:val="20"/>
              </w:rPr>
            </w:pPr>
            <w:r w:rsidRPr="00154588">
              <w:rPr>
                <w:b/>
                <w:sz w:val="20"/>
                <w:szCs w:val="20"/>
              </w:rPr>
              <w:t>Coordonarea măsurilor de intervenție timpurie în cazul grupurilor</w:t>
            </w:r>
          </w:p>
        </w:tc>
        <w:tc>
          <w:tcPr>
            <w:tcW w:w="4819" w:type="dxa"/>
          </w:tcPr>
          <w:p w14:paraId="1FE7B65C" w14:textId="77777777" w:rsidR="00461D67" w:rsidRPr="00154588" w:rsidRDefault="00461D67" w:rsidP="008C12B4">
            <w:pPr>
              <w:ind w:firstLine="567"/>
              <w:jc w:val="center"/>
              <w:rPr>
                <w:rFonts w:eastAsia="Calibri"/>
                <w:b/>
                <w:sz w:val="20"/>
                <w:szCs w:val="20"/>
              </w:rPr>
            </w:pPr>
            <w:r w:rsidRPr="00154588">
              <w:rPr>
                <w:rFonts w:eastAsia="Calibri"/>
                <w:b/>
                <w:sz w:val="20"/>
                <w:szCs w:val="20"/>
              </w:rPr>
              <w:t>Capitolul IV</w:t>
            </w:r>
          </w:p>
          <w:p w14:paraId="4D707979" w14:textId="5AC515FB" w:rsidR="00461D67" w:rsidRPr="00154588" w:rsidRDefault="00461D67" w:rsidP="008C12B4">
            <w:pPr>
              <w:ind w:firstLine="567"/>
              <w:jc w:val="center"/>
              <w:rPr>
                <w:rFonts w:eastAsia="Calibri"/>
                <w:b/>
                <w:sz w:val="20"/>
                <w:szCs w:val="20"/>
              </w:rPr>
            </w:pPr>
            <w:r w:rsidRPr="00154588">
              <w:rPr>
                <w:rFonts w:eastAsia="Calibri"/>
                <w:b/>
                <w:sz w:val="20"/>
                <w:szCs w:val="20"/>
              </w:rPr>
              <w:t>COORDONAREA MĂSURILOR DE INTERVENȚIE TIMPURIE ÎN CAZUL</w:t>
            </w:r>
          </w:p>
          <w:p w14:paraId="6EF0EEEC" w14:textId="77777777" w:rsidR="00461D67" w:rsidRPr="00154588" w:rsidRDefault="00461D67" w:rsidP="008C12B4">
            <w:pPr>
              <w:ind w:firstLine="567"/>
              <w:jc w:val="center"/>
              <w:rPr>
                <w:rFonts w:eastAsia="Calibri"/>
                <w:b/>
                <w:sz w:val="20"/>
                <w:szCs w:val="20"/>
              </w:rPr>
            </w:pPr>
            <w:r w:rsidRPr="00154588">
              <w:rPr>
                <w:rFonts w:eastAsia="Calibri"/>
                <w:b/>
                <w:sz w:val="20"/>
                <w:szCs w:val="20"/>
              </w:rPr>
              <w:t>GRUPURILOR PENTRU CARE BANCA NAȚIONALĂ A MOLDOVE</w:t>
            </w:r>
          </w:p>
          <w:p w14:paraId="1B3A3795" w14:textId="42C486B5" w:rsidR="00461D67" w:rsidRPr="00154588" w:rsidRDefault="00461D67" w:rsidP="008C12B4">
            <w:pPr>
              <w:ind w:firstLine="567"/>
              <w:jc w:val="center"/>
              <w:rPr>
                <w:rFonts w:eastAsia="Calibri"/>
                <w:b/>
                <w:sz w:val="20"/>
                <w:szCs w:val="20"/>
              </w:rPr>
            </w:pPr>
            <w:r w:rsidRPr="00154588">
              <w:rPr>
                <w:rFonts w:eastAsia="Calibri"/>
                <w:b/>
                <w:sz w:val="20"/>
                <w:szCs w:val="20"/>
              </w:rPr>
              <w:t>ESTE SUPRAVEHGETOR CONSOLIDANT</w:t>
            </w:r>
          </w:p>
        </w:tc>
        <w:tc>
          <w:tcPr>
            <w:tcW w:w="2552" w:type="dxa"/>
          </w:tcPr>
          <w:p w14:paraId="0F8AF6B9" w14:textId="77777777" w:rsidR="00461D67" w:rsidRPr="00154588" w:rsidRDefault="00461D67" w:rsidP="008C12B4">
            <w:pPr>
              <w:jc w:val="both"/>
              <w:rPr>
                <w:bCs/>
                <w:sz w:val="20"/>
                <w:szCs w:val="20"/>
              </w:rPr>
            </w:pPr>
          </w:p>
        </w:tc>
        <w:tc>
          <w:tcPr>
            <w:tcW w:w="3118" w:type="dxa"/>
          </w:tcPr>
          <w:p w14:paraId="42E077B1" w14:textId="32C3EA5E" w:rsidR="00DE44F6" w:rsidRPr="00154588" w:rsidRDefault="00DE44F6" w:rsidP="008C12B4">
            <w:pPr>
              <w:rPr>
                <w:rFonts w:eastAsia="Calibri"/>
                <w:kern w:val="2"/>
                <w:sz w:val="20"/>
                <w:szCs w:val="20"/>
                <w14:ligatures w14:val="standardContextual"/>
              </w:rPr>
            </w:pPr>
            <w:r w:rsidRPr="00154588">
              <w:rPr>
                <w:bCs/>
                <w:sz w:val="20"/>
                <w:szCs w:val="20"/>
              </w:rPr>
              <w:t xml:space="preserve">Articolul 30 alin. (1) (2) (4)-(8) au fost transpuse și prin  </w:t>
            </w:r>
            <w:r w:rsidRPr="00154588">
              <w:rPr>
                <w:rFonts w:eastAsia="Calibri"/>
                <w:kern w:val="2"/>
                <w:sz w:val="20"/>
                <w:szCs w:val="20"/>
                <w14:ligatures w14:val="standardContextual"/>
              </w:rPr>
              <w:t>Capitolul V</w:t>
            </w:r>
          </w:p>
          <w:p w14:paraId="385CAC60" w14:textId="77777777" w:rsidR="00DE44F6" w:rsidRPr="00154588" w:rsidRDefault="00DE44F6" w:rsidP="008C12B4">
            <w:pPr>
              <w:rPr>
                <w:rFonts w:eastAsia="Calibri"/>
                <w:kern w:val="2"/>
                <w:sz w:val="20"/>
                <w:szCs w:val="20"/>
                <w14:ligatures w14:val="standardContextual"/>
              </w:rPr>
            </w:pPr>
            <w:r w:rsidRPr="00154588">
              <w:rPr>
                <w:rFonts w:eastAsia="Calibri"/>
                <w:kern w:val="2"/>
                <w:sz w:val="20"/>
                <w:szCs w:val="20"/>
                <w14:ligatures w14:val="standardContextual"/>
              </w:rPr>
              <w:t>COORONAREA MĂSURILOR DE INTEVENȚIE TIMPURIE ȘI</w:t>
            </w:r>
            <w:r w:rsidRPr="00154588">
              <w:rPr>
                <w:rFonts w:eastAsia="Calibri"/>
                <w:kern w:val="2"/>
                <w:sz w:val="20"/>
                <w:szCs w:val="20"/>
                <w14:ligatures w14:val="standardContextual"/>
              </w:rPr>
              <w:br/>
              <w:t xml:space="preserve">DESEMNAREA ADMINISTRATORULUI TEMPORAR ÎN CAZUL </w:t>
            </w:r>
          </w:p>
          <w:p w14:paraId="564DA801" w14:textId="77777777" w:rsidR="00DE44F6" w:rsidRPr="00154588" w:rsidRDefault="00DE44F6" w:rsidP="008C12B4">
            <w:pPr>
              <w:rPr>
                <w:rFonts w:eastAsia="Calibri"/>
                <w:kern w:val="2"/>
                <w:sz w:val="20"/>
                <w:szCs w:val="20"/>
                <w14:ligatures w14:val="standardContextual"/>
              </w:rPr>
            </w:pPr>
            <w:r w:rsidRPr="00154588">
              <w:rPr>
                <w:rFonts w:eastAsia="Calibri"/>
                <w:kern w:val="2"/>
                <w:sz w:val="20"/>
                <w:szCs w:val="20"/>
                <w14:ligatures w14:val="standardContextual"/>
              </w:rPr>
              <w:t xml:space="preserve">GRUPURILOR PENTRU CARE  BANCA NAȚIONALĂ A MOLDOCVEI </w:t>
            </w:r>
          </w:p>
          <w:p w14:paraId="6127D6AB" w14:textId="7C3312FD" w:rsidR="00461D67" w:rsidRPr="00154588" w:rsidRDefault="00DE44F6" w:rsidP="008C12B4">
            <w:pPr>
              <w:rPr>
                <w:bCs/>
                <w:sz w:val="20"/>
                <w:szCs w:val="20"/>
              </w:rPr>
            </w:pPr>
            <w:r w:rsidRPr="00154588">
              <w:rPr>
                <w:rFonts w:eastAsia="Calibri"/>
                <w:kern w:val="2"/>
                <w:sz w:val="20"/>
                <w:szCs w:val="20"/>
                <w14:ligatures w14:val="standardContextual"/>
              </w:rPr>
              <w:t>ESTE AUTORIATEA COMPETENTĂ LA NIVEL INDIVIDUAL</w:t>
            </w:r>
          </w:p>
        </w:tc>
      </w:tr>
      <w:tr w:rsidR="00461D67" w:rsidRPr="00154588" w14:paraId="4CE0E8D4" w14:textId="77777777" w:rsidTr="00D15C1B">
        <w:trPr>
          <w:jc w:val="center"/>
        </w:trPr>
        <w:tc>
          <w:tcPr>
            <w:tcW w:w="4957" w:type="dxa"/>
            <w:gridSpan w:val="2"/>
          </w:tcPr>
          <w:p w14:paraId="6FA57ADF" w14:textId="6E64A0A5" w:rsidR="00461D67" w:rsidRPr="00154588" w:rsidRDefault="00461D67" w:rsidP="008C12B4">
            <w:pPr>
              <w:jc w:val="both"/>
              <w:rPr>
                <w:bCs/>
                <w:sz w:val="20"/>
                <w:szCs w:val="20"/>
              </w:rPr>
            </w:pPr>
            <w:r w:rsidRPr="00154588">
              <w:rPr>
                <w:bCs/>
                <w:sz w:val="20"/>
                <w:szCs w:val="20"/>
              </w:rPr>
              <w:t xml:space="preserve">(1)   Atunci când condițiile de </w:t>
            </w:r>
            <w:r w:rsidR="00010854" w:rsidRPr="00154588">
              <w:rPr>
                <w:bCs/>
                <w:sz w:val="20"/>
                <w:szCs w:val="20"/>
              </w:rPr>
              <w:t>aplicare a măsurilor de intervenție timpurie în temeiul articolului</w:t>
            </w:r>
            <w:r w:rsidRPr="00154588">
              <w:rPr>
                <w:bCs/>
                <w:sz w:val="20"/>
                <w:szCs w:val="20"/>
              </w:rPr>
              <w:t xml:space="preserve"> 27 sunt îndeplinite în legătură cu o întreprindere-mamă din Uniune, supraveghetorul consolidant notifică ABE și se consultă cu celelalte autorități competente din cadrul colegiului de supraveghere</w:t>
            </w:r>
            <w:r w:rsidR="00010854" w:rsidRPr="00154588">
              <w:rPr>
                <w:bCs/>
                <w:sz w:val="20"/>
                <w:szCs w:val="20"/>
              </w:rPr>
              <w:t>, înainte de a decide cu privire la aplicarea unei măsuri de intervenție timpurie</w:t>
            </w:r>
            <w:r w:rsidRPr="00154588">
              <w:rPr>
                <w:bCs/>
                <w:sz w:val="20"/>
                <w:szCs w:val="20"/>
              </w:rPr>
              <w:t>.</w:t>
            </w:r>
          </w:p>
        </w:tc>
        <w:tc>
          <w:tcPr>
            <w:tcW w:w="4819" w:type="dxa"/>
          </w:tcPr>
          <w:p w14:paraId="37B065DD" w14:textId="673FBDE0" w:rsidR="00461D67" w:rsidRPr="00154588" w:rsidRDefault="00461D67" w:rsidP="008C12B4">
            <w:pPr>
              <w:ind w:firstLine="567"/>
              <w:jc w:val="both"/>
              <w:rPr>
                <w:rFonts w:eastAsia="Calibri"/>
                <w:kern w:val="2"/>
                <w:sz w:val="20"/>
                <w:szCs w:val="20"/>
                <w14:ligatures w14:val="standardContextual"/>
              </w:rPr>
            </w:pP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1</w:t>
            </w:r>
            <w:r w:rsidRPr="00154588">
              <w:rPr>
                <w:rFonts w:eastAsia="Calibri"/>
                <w:b/>
                <w:bCs/>
                <w:kern w:val="2"/>
                <w:sz w:val="20"/>
                <w:szCs w:val="20"/>
                <w14:ligatures w14:val="standardContextual"/>
              </w:rPr>
              <w:t xml:space="preserve">. – </w:t>
            </w:r>
            <w:r w:rsidRPr="00154588">
              <w:rPr>
                <w:rFonts w:eastAsia="Calibri"/>
                <w:kern w:val="2"/>
                <w:sz w:val="20"/>
                <w:szCs w:val="20"/>
                <w14:ligatures w14:val="standardContextual"/>
              </w:rPr>
              <w:t xml:space="preserve">În </w:t>
            </w:r>
            <w:r w:rsidRPr="00154588">
              <w:rPr>
                <w:rFonts w:eastAsia="Calibri"/>
                <w:sz w:val="20"/>
                <w:szCs w:val="20"/>
              </w:rPr>
              <w:t xml:space="preserve">situația în care condițiile de </w:t>
            </w:r>
            <w:r w:rsidR="004A6E65" w:rsidRPr="00154588">
              <w:rPr>
                <w:rFonts w:eastAsia="Calibri"/>
                <w:sz w:val="20"/>
                <w:szCs w:val="20"/>
              </w:rPr>
              <w:t xml:space="preserve">aplicare </w:t>
            </w:r>
            <w:r w:rsidRPr="00154588">
              <w:rPr>
                <w:rFonts w:eastAsia="Calibri"/>
                <w:sz w:val="20"/>
                <w:szCs w:val="20"/>
              </w:rPr>
              <w:t>a măsurilor</w:t>
            </w:r>
            <w:r w:rsidR="004A6E65" w:rsidRPr="00154588">
              <w:rPr>
                <w:rFonts w:eastAsia="Calibri"/>
                <w:sz w:val="20"/>
                <w:szCs w:val="20"/>
              </w:rPr>
              <w:t xml:space="preserve"> de intervenție timpurie</w:t>
            </w:r>
            <w:r w:rsidRPr="00154588">
              <w:rPr>
                <w:rFonts w:eastAsia="Calibri"/>
                <w:sz w:val="20"/>
                <w:szCs w:val="20"/>
              </w:rPr>
              <w:t xml:space="preserve"> prevăzute la art.42-44  sunt îndeplinite în legătură cu o întreprindere-mamă din Uniunea Europeană pentru care Banca Națională a Moldovei este supraveghetor consolidant</w:t>
            </w:r>
            <w:r w:rsidRPr="00154588">
              <w:rPr>
                <w:rFonts w:eastAsia="Calibri"/>
                <w:kern w:val="2"/>
                <w:sz w:val="20"/>
                <w:szCs w:val="20"/>
                <w14:ligatures w14:val="standardContextual"/>
              </w:rPr>
              <w:t>, aceasta trebuie să notifice Autoritatea Bancară Europeană și să se consulte cu celelalte autorități competente din cadrul colegiului de supraveghere</w:t>
            </w:r>
            <w:r w:rsidR="004A6E65" w:rsidRPr="00154588">
              <w:rPr>
                <w:rFonts w:eastAsia="Calibri"/>
                <w:kern w:val="2"/>
                <w:sz w:val="20"/>
                <w:szCs w:val="20"/>
                <w14:ligatures w14:val="standardContextual"/>
              </w:rPr>
              <w:t>,</w:t>
            </w:r>
            <w:r w:rsidR="004A6E65" w:rsidRPr="00154588">
              <w:rPr>
                <w:bCs/>
                <w:sz w:val="20"/>
                <w:szCs w:val="20"/>
              </w:rPr>
              <w:t xml:space="preserve"> înainte de a decide cu privire la aplicarea unei măsuri de intervenție timpurie</w:t>
            </w:r>
            <w:r w:rsidRPr="00154588">
              <w:rPr>
                <w:rFonts w:eastAsia="Calibri"/>
                <w:kern w:val="2"/>
                <w:sz w:val="20"/>
                <w:szCs w:val="20"/>
                <w14:ligatures w14:val="standardContextual"/>
              </w:rPr>
              <w:t>.</w:t>
            </w:r>
          </w:p>
        </w:tc>
        <w:tc>
          <w:tcPr>
            <w:tcW w:w="2552" w:type="dxa"/>
          </w:tcPr>
          <w:p w14:paraId="1DCD14FB" w14:textId="21A8E382" w:rsidR="00461D67" w:rsidRPr="00154588" w:rsidRDefault="00461D67" w:rsidP="008C12B4">
            <w:pPr>
              <w:jc w:val="both"/>
              <w:rPr>
                <w:bCs/>
                <w:sz w:val="20"/>
                <w:szCs w:val="20"/>
              </w:rPr>
            </w:pPr>
            <w:r w:rsidRPr="00154588">
              <w:rPr>
                <w:bCs/>
                <w:sz w:val="20"/>
                <w:szCs w:val="20"/>
              </w:rPr>
              <w:t>Compatibil</w:t>
            </w:r>
          </w:p>
        </w:tc>
        <w:tc>
          <w:tcPr>
            <w:tcW w:w="3118" w:type="dxa"/>
          </w:tcPr>
          <w:p w14:paraId="5FAA91BC" w14:textId="77777777" w:rsidR="00461D67" w:rsidRPr="00154588" w:rsidRDefault="00461D67" w:rsidP="008C12B4">
            <w:pPr>
              <w:jc w:val="both"/>
              <w:rPr>
                <w:bCs/>
                <w:sz w:val="20"/>
                <w:szCs w:val="20"/>
              </w:rPr>
            </w:pPr>
          </w:p>
        </w:tc>
      </w:tr>
      <w:tr w:rsidR="00461D67" w:rsidRPr="00154588" w14:paraId="40A4F227" w14:textId="77777777" w:rsidTr="00D15C1B">
        <w:trPr>
          <w:jc w:val="center"/>
        </w:trPr>
        <w:tc>
          <w:tcPr>
            <w:tcW w:w="4957" w:type="dxa"/>
            <w:gridSpan w:val="2"/>
          </w:tcPr>
          <w:p w14:paraId="1F3C1FFE" w14:textId="0080A972" w:rsidR="00461D67" w:rsidRPr="00154588" w:rsidRDefault="00461D67" w:rsidP="008C12B4">
            <w:pPr>
              <w:jc w:val="both"/>
              <w:rPr>
                <w:bCs/>
                <w:sz w:val="20"/>
                <w:szCs w:val="20"/>
              </w:rPr>
            </w:pPr>
            <w:r w:rsidRPr="00154588">
              <w:rPr>
                <w:bCs/>
                <w:sz w:val="20"/>
                <w:szCs w:val="20"/>
              </w:rPr>
              <w:t>(2)   În urma  notificări</w:t>
            </w:r>
            <w:r w:rsidR="00010854" w:rsidRPr="00154588">
              <w:rPr>
                <w:bCs/>
                <w:sz w:val="20"/>
                <w:szCs w:val="20"/>
              </w:rPr>
              <w:t>i</w:t>
            </w:r>
            <w:r w:rsidRPr="00154588">
              <w:rPr>
                <w:bCs/>
                <w:sz w:val="20"/>
                <w:szCs w:val="20"/>
              </w:rPr>
              <w:t xml:space="preserve"> și</w:t>
            </w:r>
            <w:r w:rsidR="00010854" w:rsidRPr="00154588">
              <w:rPr>
                <w:bCs/>
                <w:sz w:val="20"/>
                <w:szCs w:val="20"/>
              </w:rPr>
              <w:t xml:space="preserve"> a</w:t>
            </w:r>
            <w:r w:rsidRPr="00154588">
              <w:rPr>
                <w:bCs/>
                <w:sz w:val="20"/>
                <w:szCs w:val="20"/>
              </w:rPr>
              <w:t xml:space="preserve"> consultări</w:t>
            </w:r>
            <w:r w:rsidR="00010854" w:rsidRPr="00154588">
              <w:rPr>
                <w:bCs/>
                <w:sz w:val="20"/>
                <w:szCs w:val="20"/>
              </w:rPr>
              <w:t>i menționate la alineatul (1) de la prezentul articol,</w:t>
            </w:r>
            <w:r w:rsidRPr="00154588">
              <w:rPr>
                <w:bCs/>
                <w:sz w:val="20"/>
                <w:szCs w:val="20"/>
              </w:rPr>
              <w:t xml:space="preserve">, supraveghetorul consolidant decide dacă să aplice vreuna dintre măsurile prevăzute la articolul 27 </w:t>
            </w:r>
            <w:r w:rsidR="00010854" w:rsidRPr="00154588">
              <w:rPr>
                <w:bCs/>
                <w:sz w:val="20"/>
                <w:szCs w:val="20"/>
              </w:rPr>
              <w:t>în raport cu întreprinderea-mamă relevantă din Uniune</w:t>
            </w:r>
            <w:r w:rsidRPr="00154588">
              <w:rPr>
                <w:bCs/>
                <w:sz w:val="20"/>
                <w:szCs w:val="20"/>
              </w:rPr>
              <w:t xml:space="preserve">, ținând seama de impactul </w:t>
            </w:r>
            <w:r w:rsidR="00010854" w:rsidRPr="00154588">
              <w:rPr>
                <w:bCs/>
                <w:sz w:val="20"/>
                <w:szCs w:val="20"/>
              </w:rPr>
              <w:t xml:space="preserve">respectivelor </w:t>
            </w:r>
            <w:r w:rsidRPr="00154588">
              <w:rPr>
                <w:bCs/>
                <w:sz w:val="20"/>
                <w:szCs w:val="20"/>
              </w:rPr>
              <w:t>măsuri asupra entităților din grup situate în alte state membre. Supraveghetorul consolidant notifică decizi</w:t>
            </w:r>
            <w:r w:rsidR="00010854" w:rsidRPr="00154588">
              <w:rPr>
                <w:bCs/>
                <w:sz w:val="20"/>
                <w:szCs w:val="20"/>
              </w:rPr>
              <w:t>a ABE și</w:t>
            </w:r>
            <w:r w:rsidR="00010854" w:rsidRPr="00154588" w:rsidDel="00010854">
              <w:rPr>
                <w:bCs/>
                <w:sz w:val="20"/>
                <w:szCs w:val="20"/>
              </w:rPr>
              <w:t xml:space="preserve"> </w:t>
            </w:r>
            <w:r w:rsidRPr="00154588">
              <w:rPr>
                <w:bCs/>
                <w:sz w:val="20"/>
                <w:szCs w:val="20"/>
              </w:rPr>
              <w:t xml:space="preserve"> celorlalte autorități competente din cadrul colegiului de supraveghere .</w:t>
            </w:r>
          </w:p>
        </w:tc>
        <w:tc>
          <w:tcPr>
            <w:tcW w:w="4819" w:type="dxa"/>
          </w:tcPr>
          <w:p w14:paraId="0FB7E485" w14:textId="36EF967D" w:rsidR="00461D67" w:rsidRPr="00154588" w:rsidRDefault="00461D67" w:rsidP="008C12B4">
            <w:pPr>
              <w:ind w:firstLine="567"/>
              <w:jc w:val="both"/>
              <w:rPr>
                <w:rFonts w:eastAsia="Calibri"/>
                <w:kern w:val="2"/>
                <w:sz w:val="20"/>
                <w:szCs w:val="20"/>
                <w14:ligatures w14:val="standardContextual"/>
              </w:rPr>
            </w:pP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2</w:t>
            </w:r>
            <w:r w:rsidRPr="00154588">
              <w:rPr>
                <w:rFonts w:eastAsia="Calibri"/>
                <w:b/>
                <w:bCs/>
                <w:kern w:val="2"/>
                <w:sz w:val="20"/>
                <w:szCs w:val="20"/>
                <w14:ligatures w14:val="standardContextual"/>
              </w:rPr>
              <w:t>.</w:t>
            </w:r>
            <w:r w:rsidRPr="00154588">
              <w:rPr>
                <w:rFonts w:eastAsia="Calibri"/>
                <w:kern w:val="2"/>
                <w:sz w:val="20"/>
                <w:szCs w:val="20"/>
                <w14:ligatures w14:val="standardContextual"/>
              </w:rPr>
              <w:t xml:space="preserve"> – În urma notificări</w:t>
            </w:r>
            <w:r w:rsidR="004A6E65" w:rsidRPr="00154588">
              <w:rPr>
                <w:rFonts w:eastAsia="Calibri"/>
                <w:kern w:val="2"/>
                <w:sz w:val="20"/>
                <w:szCs w:val="20"/>
                <w14:ligatures w14:val="standardContextual"/>
              </w:rPr>
              <w:t>i</w:t>
            </w:r>
            <w:r w:rsidRPr="00154588">
              <w:rPr>
                <w:rFonts w:eastAsia="Calibri"/>
                <w:kern w:val="2"/>
                <w:sz w:val="20"/>
                <w:szCs w:val="20"/>
                <w14:ligatures w14:val="standardContextual"/>
              </w:rPr>
              <w:t xml:space="preserve"> și </w:t>
            </w:r>
            <w:r w:rsidR="004A6E65" w:rsidRPr="00154588">
              <w:rPr>
                <w:rFonts w:eastAsia="Calibri"/>
                <w:kern w:val="2"/>
                <w:sz w:val="20"/>
                <w:szCs w:val="20"/>
                <w14:ligatures w14:val="standardContextual"/>
              </w:rPr>
              <w:t xml:space="preserve">a </w:t>
            </w:r>
            <w:r w:rsidRPr="00154588">
              <w:rPr>
                <w:rFonts w:eastAsia="Calibri"/>
                <w:kern w:val="2"/>
                <w:sz w:val="20"/>
                <w:szCs w:val="20"/>
                <w14:ligatures w14:val="standardContextual"/>
              </w:rPr>
              <w:t>consultări</w:t>
            </w:r>
            <w:r w:rsidR="004A6E65" w:rsidRPr="00154588">
              <w:rPr>
                <w:rFonts w:eastAsia="Calibri"/>
                <w:kern w:val="2"/>
                <w:sz w:val="20"/>
                <w:szCs w:val="20"/>
                <w14:ligatures w14:val="standardContextual"/>
              </w:rPr>
              <w:t xml:space="preserve">i </w:t>
            </w:r>
            <w:r w:rsidR="004A6E65" w:rsidRPr="00154588">
              <w:rPr>
                <w:bCs/>
                <w:sz w:val="20"/>
                <w:szCs w:val="20"/>
              </w:rPr>
              <w:t>menționate la art.54</w:t>
            </w:r>
            <w:r w:rsidR="004A6E65" w:rsidRPr="00154588">
              <w:rPr>
                <w:bCs/>
                <w:sz w:val="20"/>
                <w:szCs w:val="20"/>
                <w:vertAlign w:val="superscript"/>
              </w:rPr>
              <w:t>1</w:t>
            </w:r>
            <w:r w:rsidRPr="00154588">
              <w:rPr>
                <w:rFonts w:eastAsia="Calibri"/>
                <w:kern w:val="2"/>
                <w:sz w:val="20"/>
                <w:szCs w:val="20"/>
                <w14:ligatures w14:val="standardContextual"/>
              </w:rPr>
              <w:t xml:space="preserve">, Banca Națională a Moldovei, în calitate de supraveghetor consolidant, decide dacă să aplice </w:t>
            </w:r>
            <w:r w:rsidR="004A6E65" w:rsidRPr="00154588">
              <w:rPr>
                <w:rFonts w:eastAsia="Calibri"/>
                <w:kern w:val="2"/>
                <w:sz w:val="20"/>
                <w:szCs w:val="20"/>
                <w14:ligatures w14:val="standardContextual"/>
              </w:rPr>
              <w:t xml:space="preserve">vreuna </w:t>
            </w:r>
            <w:r w:rsidRPr="00154588">
              <w:rPr>
                <w:rFonts w:eastAsia="Calibri"/>
                <w:kern w:val="2"/>
                <w:sz w:val="20"/>
                <w:szCs w:val="20"/>
                <w14:ligatures w14:val="standardContextual"/>
              </w:rPr>
              <w:t>din măsurile prevăzute la art.42-44</w:t>
            </w:r>
            <w:r w:rsidR="004A6E65" w:rsidRPr="00154588">
              <w:rPr>
                <w:rFonts w:eastAsia="Calibri"/>
                <w:kern w:val="2"/>
                <w:sz w:val="20"/>
                <w:szCs w:val="20"/>
                <w14:ligatures w14:val="standardContextual"/>
              </w:rPr>
              <w:t xml:space="preserve"> </w:t>
            </w:r>
            <w:r w:rsidR="004A6E65" w:rsidRPr="00154588">
              <w:rPr>
                <w:bCs/>
                <w:sz w:val="20"/>
                <w:szCs w:val="20"/>
              </w:rPr>
              <w:t>în raport cu întreprinderea-mamă relevantă din Uniune</w:t>
            </w:r>
            <w:r w:rsidRPr="00154588">
              <w:rPr>
                <w:rFonts w:eastAsia="Calibri"/>
                <w:kern w:val="2"/>
                <w:sz w:val="20"/>
                <w:szCs w:val="20"/>
                <w14:ligatures w14:val="standardContextual"/>
              </w:rPr>
              <w:t xml:space="preserve"> ținând seama de impactul măsurilor respective asupra entităților din grup situate în alte state membre. Banca Națională a Moldovei, în calitate de supraveghetor consolidant, notifică decizia</w:t>
            </w:r>
            <w:r w:rsidR="00747977" w:rsidRPr="00154588">
              <w:rPr>
                <w:rFonts w:eastAsia="Calibri"/>
                <w:kern w:val="2"/>
                <w:sz w:val="20"/>
                <w:szCs w:val="20"/>
                <w14:ligatures w14:val="standardContextual"/>
              </w:rPr>
              <w:t xml:space="preserve"> Autorității Bancare Europene și</w:t>
            </w:r>
            <w:r w:rsidRPr="00154588">
              <w:rPr>
                <w:rFonts w:eastAsia="Calibri"/>
                <w:kern w:val="2"/>
                <w:sz w:val="20"/>
                <w:szCs w:val="20"/>
                <w14:ligatures w14:val="standardContextual"/>
              </w:rPr>
              <w:t xml:space="preserve"> celorlalte autorități competente din cadrul colegiului de supraveghere. </w:t>
            </w:r>
          </w:p>
        </w:tc>
        <w:tc>
          <w:tcPr>
            <w:tcW w:w="2552" w:type="dxa"/>
          </w:tcPr>
          <w:p w14:paraId="05FD8EC6" w14:textId="5EEA2CA4" w:rsidR="00461D67" w:rsidRPr="00154588" w:rsidRDefault="00461D67" w:rsidP="008C12B4">
            <w:pPr>
              <w:jc w:val="both"/>
              <w:rPr>
                <w:bCs/>
                <w:sz w:val="20"/>
                <w:szCs w:val="20"/>
              </w:rPr>
            </w:pPr>
            <w:r w:rsidRPr="00154588">
              <w:rPr>
                <w:bCs/>
                <w:sz w:val="20"/>
                <w:szCs w:val="20"/>
              </w:rPr>
              <w:t>Compatibil</w:t>
            </w:r>
          </w:p>
        </w:tc>
        <w:tc>
          <w:tcPr>
            <w:tcW w:w="3118" w:type="dxa"/>
          </w:tcPr>
          <w:p w14:paraId="6B5AF507" w14:textId="77777777" w:rsidR="00461D67" w:rsidRPr="00154588" w:rsidRDefault="00461D67" w:rsidP="008C12B4">
            <w:pPr>
              <w:jc w:val="both"/>
              <w:rPr>
                <w:bCs/>
                <w:sz w:val="20"/>
                <w:szCs w:val="20"/>
              </w:rPr>
            </w:pPr>
          </w:p>
        </w:tc>
      </w:tr>
      <w:tr w:rsidR="00461D67" w:rsidRPr="00154588" w14:paraId="75B62EC1" w14:textId="77777777" w:rsidTr="00D15C1B">
        <w:trPr>
          <w:jc w:val="center"/>
        </w:trPr>
        <w:tc>
          <w:tcPr>
            <w:tcW w:w="4957" w:type="dxa"/>
            <w:gridSpan w:val="2"/>
          </w:tcPr>
          <w:p w14:paraId="0E56695B" w14:textId="273009C4" w:rsidR="00461D67" w:rsidRPr="00154588" w:rsidRDefault="00461D67" w:rsidP="008C12B4">
            <w:pPr>
              <w:jc w:val="both"/>
              <w:rPr>
                <w:bCs/>
                <w:sz w:val="20"/>
                <w:szCs w:val="20"/>
              </w:rPr>
            </w:pPr>
            <w:r w:rsidRPr="00154588">
              <w:rPr>
                <w:bCs/>
                <w:sz w:val="20"/>
                <w:szCs w:val="20"/>
              </w:rPr>
              <w:lastRenderedPageBreak/>
              <w:t xml:space="preserve">(3)   Atunci când condițiile de </w:t>
            </w:r>
            <w:r w:rsidR="00010854" w:rsidRPr="00154588">
              <w:rPr>
                <w:bCs/>
                <w:sz w:val="20"/>
                <w:szCs w:val="20"/>
              </w:rPr>
              <w:t>aplicare a măsurilor de intervenție timpurie în temeiul articolului</w:t>
            </w:r>
            <w:r w:rsidR="00010854" w:rsidRPr="00154588" w:rsidDel="00010854">
              <w:rPr>
                <w:bCs/>
                <w:sz w:val="20"/>
                <w:szCs w:val="20"/>
              </w:rPr>
              <w:t xml:space="preserve"> </w:t>
            </w:r>
            <w:r w:rsidRPr="00154588">
              <w:rPr>
                <w:bCs/>
                <w:sz w:val="20"/>
                <w:szCs w:val="20"/>
              </w:rPr>
              <w:t>27 sunt îndeplin</w:t>
            </w:r>
            <w:r w:rsidR="00010854" w:rsidRPr="00154588">
              <w:rPr>
                <w:bCs/>
                <w:sz w:val="20"/>
                <w:szCs w:val="20"/>
              </w:rPr>
              <w:t>ite</w:t>
            </w:r>
            <w:r w:rsidRPr="00154588">
              <w:rPr>
                <w:bCs/>
                <w:sz w:val="20"/>
                <w:szCs w:val="20"/>
              </w:rPr>
              <w:t xml:space="preserve"> în legătură cu o filială a unei întreprinderi-mamă din Uniune, autoritatea competentă responsabilă cu supravegherea la nivel individual care intenționează să ia o măsură în conformitate cu articol</w:t>
            </w:r>
            <w:r w:rsidR="00010854" w:rsidRPr="00154588">
              <w:rPr>
                <w:bCs/>
                <w:sz w:val="20"/>
                <w:szCs w:val="20"/>
              </w:rPr>
              <w:t>ul</w:t>
            </w:r>
            <w:r w:rsidRPr="00154588">
              <w:rPr>
                <w:bCs/>
                <w:sz w:val="20"/>
                <w:szCs w:val="20"/>
              </w:rPr>
              <w:t xml:space="preserve"> respectiv notifică ABE și se consultă cu supraveghetorul consolidant.</w:t>
            </w:r>
          </w:p>
          <w:p w14:paraId="5842FB78" w14:textId="77777777" w:rsidR="00461D67" w:rsidRPr="00154588" w:rsidRDefault="00461D67" w:rsidP="008C12B4">
            <w:pPr>
              <w:jc w:val="both"/>
              <w:rPr>
                <w:bCs/>
                <w:sz w:val="20"/>
                <w:szCs w:val="20"/>
              </w:rPr>
            </w:pPr>
          </w:p>
          <w:p w14:paraId="241484AD" w14:textId="68C89126" w:rsidR="00461D67" w:rsidRPr="00154588" w:rsidRDefault="00010854" w:rsidP="008C12B4">
            <w:pPr>
              <w:jc w:val="both"/>
              <w:rPr>
                <w:bCs/>
                <w:sz w:val="20"/>
                <w:szCs w:val="20"/>
              </w:rPr>
            </w:pPr>
            <w:r w:rsidRPr="00154588">
              <w:rPr>
                <w:bCs/>
                <w:sz w:val="20"/>
                <w:szCs w:val="20"/>
              </w:rPr>
              <w:t>După</w:t>
            </w:r>
            <w:r w:rsidR="00461D67" w:rsidRPr="00154588">
              <w:rPr>
                <w:bCs/>
                <w:sz w:val="20"/>
                <w:szCs w:val="20"/>
              </w:rPr>
              <w:t xml:space="preserve"> primirea notificării, supraveghetorul consolidant poate evalua impactul probabil al </w:t>
            </w:r>
            <w:r w:rsidRPr="00154588">
              <w:rPr>
                <w:bCs/>
                <w:sz w:val="20"/>
                <w:szCs w:val="20"/>
              </w:rPr>
              <w:t>al aplicării măsurilor de intervenție timpurie în temeiul articolului 27 instituției sau entității menționate la articolul 1 alineatul (1) litera (b), (c) sau (d) în cauză,</w:t>
            </w:r>
            <w:r w:rsidR="00461D67" w:rsidRPr="00154588">
              <w:rPr>
                <w:bCs/>
                <w:sz w:val="20"/>
                <w:szCs w:val="20"/>
              </w:rPr>
              <w:t xml:space="preserve"> grupului sau  entităților din grup situate în alte state membre. </w:t>
            </w:r>
            <w:r w:rsidRPr="00154588">
              <w:rPr>
                <w:bCs/>
                <w:sz w:val="20"/>
                <w:szCs w:val="20"/>
              </w:rPr>
              <w:t>Supraveghetorul consolidant comunică evaluarea respectivă autorității competente în termen de trei zile.</w:t>
            </w:r>
          </w:p>
          <w:p w14:paraId="4232B8AA" w14:textId="77777777" w:rsidR="00461D67" w:rsidRPr="00154588" w:rsidRDefault="00461D67" w:rsidP="008C12B4">
            <w:pPr>
              <w:jc w:val="both"/>
              <w:rPr>
                <w:bCs/>
                <w:sz w:val="20"/>
                <w:szCs w:val="20"/>
              </w:rPr>
            </w:pPr>
          </w:p>
          <w:p w14:paraId="1DFFD343" w14:textId="67ACD1A5" w:rsidR="00461D67" w:rsidRPr="00154588" w:rsidRDefault="00461D67" w:rsidP="008C12B4">
            <w:pPr>
              <w:jc w:val="both"/>
              <w:rPr>
                <w:bCs/>
                <w:sz w:val="20"/>
                <w:szCs w:val="20"/>
              </w:rPr>
            </w:pPr>
            <w:r w:rsidRPr="00154588">
              <w:rPr>
                <w:bCs/>
                <w:sz w:val="20"/>
                <w:szCs w:val="20"/>
              </w:rPr>
              <w:t xml:space="preserve">În urma acestei notificări și consultări, autoritatea competentă decide dacă să aplice </w:t>
            </w:r>
            <w:r w:rsidR="00010854" w:rsidRPr="00154588">
              <w:rPr>
                <w:bCs/>
                <w:sz w:val="20"/>
                <w:szCs w:val="20"/>
              </w:rPr>
              <w:t>o</w:t>
            </w:r>
            <w:r w:rsidRPr="00154588">
              <w:rPr>
                <w:bCs/>
                <w:sz w:val="20"/>
                <w:szCs w:val="20"/>
              </w:rPr>
              <w:t xml:space="preserve"> măsur</w:t>
            </w:r>
            <w:r w:rsidR="00010854" w:rsidRPr="00154588">
              <w:rPr>
                <w:bCs/>
                <w:sz w:val="20"/>
                <w:szCs w:val="20"/>
              </w:rPr>
              <w:t xml:space="preserve">ă de intervenție timpurie. </w:t>
            </w:r>
            <w:r w:rsidRPr="00154588">
              <w:rPr>
                <w:bCs/>
                <w:sz w:val="20"/>
                <w:szCs w:val="20"/>
              </w:rPr>
              <w:t>La luarea acestei decizii se ține seama în mod corespunzător de orice evaluare realizată de supraveghetorul consolidant. Autoritatea competentă notifică decizia</w:t>
            </w:r>
            <w:r w:rsidR="00010854" w:rsidRPr="00154588">
              <w:rPr>
                <w:bCs/>
                <w:sz w:val="20"/>
                <w:szCs w:val="20"/>
              </w:rPr>
              <w:t xml:space="preserve"> ABE,</w:t>
            </w:r>
            <w:r w:rsidRPr="00154588">
              <w:rPr>
                <w:bCs/>
                <w:sz w:val="20"/>
                <w:szCs w:val="20"/>
              </w:rPr>
              <w:t xml:space="preserve"> supraveghetorului consolidant și celorlalte autorități competente din cadrul colegiului de supraveghere.</w:t>
            </w:r>
          </w:p>
        </w:tc>
        <w:tc>
          <w:tcPr>
            <w:tcW w:w="4819" w:type="dxa"/>
          </w:tcPr>
          <w:p w14:paraId="2F34142A" w14:textId="66A610D0" w:rsidR="00461D67" w:rsidRPr="00154588" w:rsidRDefault="00461D67" w:rsidP="008C12B4">
            <w:pPr>
              <w:ind w:firstLine="567"/>
              <w:jc w:val="both"/>
              <w:rPr>
                <w:rFonts w:eastAsia="Calibri"/>
                <w:kern w:val="2"/>
                <w:sz w:val="20"/>
                <w:szCs w:val="20"/>
                <w14:ligatures w14:val="standardContextual"/>
              </w:rPr>
            </w:pP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3</w:t>
            </w:r>
            <w:r w:rsidRPr="00154588">
              <w:rPr>
                <w:rFonts w:eastAsia="Calibri"/>
                <w:kern w:val="2"/>
                <w:sz w:val="20"/>
                <w:szCs w:val="20"/>
                <w14:ligatures w14:val="standardContextual"/>
              </w:rPr>
              <w:t xml:space="preserve">. – </w:t>
            </w:r>
            <w:r w:rsidR="00747977" w:rsidRPr="00154588">
              <w:rPr>
                <w:bCs/>
                <w:sz w:val="20"/>
                <w:szCs w:val="20"/>
              </w:rPr>
              <w:t xml:space="preserve">Atunci când condițiile de aplicare a măsurilor de intervenție timpurie în temeiul </w:t>
            </w:r>
            <w:r w:rsidRPr="00154588">
              <w:rPr>
                <w:rFonts w:eastAsia="Calibri"/>
                <w:kern w:val="2"/>
                <w:sz w:val="20"/>
                <w:szCs w:val="20"/>
                <w14:ligatures w14:val="standardContextual"/>
              </w:rPr>
              <w:t xml:space="preserve">art.42-44 </w:t>
            </w:r>
            <w:r w:rsidR="00747977" w:rsidRPr="00154588">
              <w:rPr>
                <w:bCs/>
                <w:sz w:val="20"/>
                <w:szCs w:val="20"/>
              </w:rPr>
              <w:t xml:space="preserve">sunt îndeplinite în legătură cu o filială </w:t>
            </w:r>
            <w:r w:rsidRPr="00154588">
              <w:rPr>
                <w:rFonts w:eastAsia="Calibri"/>
                <w:kern w:val="2"/>
                <w:sz w:val="20"/>
                <w:szCs w:val="20"/>
                <w14:ligatures w14:val="standardContextual"/>
              </w:rPr>
              <w:t>pentru a cărei întreprindere-mamă din Uniunea Europeană Banca Națională a Moldovei este supraveghetor consolidant,</w:t>
            </w:r>
            <w:r w:rsidR="00D75904" w:rsidRPr="00154588">
              <w:rPr>
                <w:rFonts w:eastAsia="Calibri"/>
                <w:kern w:val="2"/>
                <w:sz w:val="20"/>
                <w:szCs w:val="20"/>
                <w14:ligatures w14:val="standardContextual"/>
              </w:rPr>
              <w:t xml:space="preserve"> aceasta</w:t>
            </w:r>
            <w:r w:rsidRPr="00154588">
              <w:rPr>
                <w:rFonts w:eastAsia="Calibri"/>
                <w:kern w:val="2"/>
                <w:sz w:val="20"/>
                <w:szCs w:val="20"/>
                <w14:ligatures w14:val="standardContextual"/>
              </w:rPr>
              <w:t xml:space="preserve"> poate evalua impactul probabil al </w:t>
            </w:r>
            <w:r w:rsidR="00D75904" w:rsidRPr="00154588">
              <w:rPr>
                <w:rFonts w:eastAsia="Calibri"/>
                <w:kern w:val="2"/>
                <w:sz w:val="20"/>
                <w:szCs w:val="20"/>
                <w14:ligatures w14:val="standardContextual"/>
              </w:rPr>
              <w:t xml:space="preserve">aplicării </w:t>
            </w:r>
            <w:r w:rsidRPr="00154588">
              <w:rPr>
                <w:rFonts w:eastAsia="Calibri"/>
                <w:kern w:val="2"/>
                <w:sz w:val="20"/>
                <w:szCs w:val="20"/>
                <w14:ligatures w14:val="standardContextual"/>
              </w:rPr>
              <w:t>măsurilor prevăzute la art.42-44 instituției</w:t>
            </w:r>
            <w:r w:rsidR="00D75904" w:rsidRPr="00154588">
              <w:rPr>
                <w:rFonts w:eastAsia="Calibri"/>
                <w:kern w:val="2"/>
                <w:sz w:val="20"/>
                <w:szCs w:val="20"/>
                <w14:ligatures w14:val="standardContextual"/>
              </w:rPr>
              <w:t xml:space="preserve"> de credit</w:t>
            </w:r>
            <w:r w:rsidR="00D75904" w:rsidRPr="00154588">
              <w:rPr>
                <w:bCs/>
                <w:sz w:val="20"/>
                <w:szCs w:val="20"/>
              </w:rPr>
              <w:t xml:space="preserve"> sau entității menționate la </w:t>
            </w:r>
            <w:r w:rsidR="0096005B" w:rsidRPr="00154588">
              <w:rPr>
                <w:bCs/>
                <w:sz w:val="20"/>
                <w:szCs w:val="20"/>
              </w:rPr>
              <w:t>art.1 alin.(1) lit.b), c) sau d)</w:t>
            </w:r>
            <w:r w:rsidR="0096005B" w:rsidRPr="00154588">
              <w:rPr>
                <w:rFonts w:eastAsia="Calibri"/>
                <w:kern w:val="2"/>
                <w:sz w:val="20"/>
                <w:szCs w:val="20"/>
                <w14:ligatures w14:val="standardContextual"/>
              </w:rPr>
              <w:t xml:space="preserve"> </w:t>
            </w:r>
            <w:r w:rsidRPr="00154588">
              <w:rPr>
                <w:rFonts w:eastAsia="Calibri"/>
                <w:kern w:val="2"/>
                <w:sz w:val="20"/>
                <w:szCs w:val="20"/>
                <w14:ligatures w14:val="standardContextual"/>
              </w:rPr>
              <w:t>în cauză,</w:t>
            </w:r>
            <w:r w:rsidR="00D75904" w:rsidRPr="00154588">
              <w:rPr>
                <w:rFonts w:eastAsia="Calibri"/>
                <w:kern w:val="2"/>
                <w:sz w:val="20"/>
                <w:szCs w:val="20"/>
                <w14:ligatures w14:val="standardContextual"/>
              </w:rPr>
              <w:t xml:space="preserve"> </w:t>
            </w:r>
            <w:r w:rsidRPr="00154588">
              <w:rPr>
                <w:rFonts w:eastAsia="Calibri"/>
                <w:kern w:val="2"/>
                <w:sz w:val="20"/>
                <w:szCs w:val="20"/>
                <w14:ligatures w14:val="standardContextual"/>
              </w:rPr>
              <w:t>grupului sau entităților din grup situate în alte state membre ale Uniunii Europene. Banca Națională a Moldovei, în calitate de supraveghetor consolidant, comunică evaluarea respectivă autorității competente în cauză în termen de trei zile de la primirea cererii de consultare.</w:t>
            </w:r>
          </w:p>
        </w:tc>
        <w:tc>
          <w:tcPr>
            <w:tcW w:w="2552" w:type="dxa"/>
          </w:tcPr>
          <w:p w14:paraId="349B533E" w14:textId="6D094D67" w:rsidR="00461D67" w:rsidRPr="00154588" w:rsidRDefault="00461D67" w:rsidP="008C12B4">
            <w:pPr>
              <w:jc w:val="both"/>
              <w:rPr>
                <w:bCs/>
                <w:sz w:val="20"/>
                <w:szCs w:val="20"/>
              </w:rPr>
            </w:pPr>
            <w:r w:rsidRPr="00154588">
              <w:rPr>
                <w:bCs/>
                <w:sz w:val="20"/>
                <w:szCs w:val="20"/>
              </w:rPr>
              <w:t>Compatibil</w:t>
            </w:r>
          </w:p>
        </w:tc>
        <w:tc>
          <w:tcPr>
            <w:tcW w:w="3118" w:type="dxa"/>
          </w:tcPr>
          <w:p w14:paraId="45D53795" w14:textId="77777777" w:rsidR="00461D67" w:rsidRPr="00154588" w:rsidRDefault="00461D67" w:rsidP="008C12B4">
            <w:pPr>
              <w:jc w:val="both"/>
              <w:rPr>
                <w:bCs/>
                <w:sz w:val="20"/>
                <w:szCs w:val="20"/>
              </w:rPr>
            </w:pPr>
          </w:p>
        </w:tc>
      </w:tr>
      <w:tr w:rsidR="00461D67" w:rsidRPr="00154588" w14:paraId="5E74D37A" w14:textId="77777777" w:rsidTr="00D15C1B">
        <w:trPr>
          <w:jc w:val="center"/>
        </w:trPr>
        <w:tc>
          <w:tcPr>
            <w:tcW w:w="4957" w:type="dxa"/>
            <w:gridSpan w:val="2"/>
          </w:tcPr>
          <w:p w14:paraId="6D84E631" w14:textId="328CAEDC" w:rsidR="00461D67" w:rsidRPr="00154588" w:rsidRDefault="00461D67" w:rsidP="008C12B4">
            <w:pPr>
              <w:jc w:val="both"/>
              <w:rPr>
                <w:bCs/>
                <w:sz w:val="20"/>
                <w:szCs w:val="20"/>
              </w:rPr>
            </w:pPr>
            <w:r w:rsidRPr="00154588">
              <w:rPr>
                <w:bCs/>
                <w:sz w:val="20"/>
                <w:szCs w:val="20"/>
              </w:rPr>
              <w:t xml:space="preserve">(4)   În cazul în care mai multe autorități competente intenționează să </w:t>
            </w:r>
            <w:r w:rsidR="001D4849" w:rsidRPr="00154588">
              <w:rPr>
                <w:bCs/>
                <w:sz w:val="20"/>
                <w:szCs w:val="20"/>
              </w:rPr>
              <w:t>aplice o măsură de intervenție timpurie în temeiul articolului</w:t>
            </w:r>
            <w:r w:rsidR="001D4849" w:rsidRPr="00154588" w:rsidDel="001D4849">
              <w:rPr>
                <w:bCs/>
                <w:sz w:val="20"/>
                <w:szCs w:val="20"/>
              </w:rPr>
              <w:t xml:space="preserve"> </w:t>
            </w:r>
            <w:r w:rsidRPr="00154588">
              <w:rPr>
                <w:bCs/>
                <w:sz w:val="20"/>
                <w:szCs w:val="20"/>
              </w:rPr>
              <w:t xml:space="preserve">27 mai multor instituții </w:t>
            </w:r>
            <w:r w:rsidR="001D4849" w:rsidRPr="00154588">
              <w:rPr>
                <w:bCs/>
                <w:sz w:val="20"/>
                <w:szCs w:val="20"/>
              </w:rPr>
              <w:t xml:space="preserve"> sau entități menționate la articolul 1 alineatul (1) litera (b), (c) sau (d) </w:t>
            </w:r>
            <w:r w:rsidRPr="00154588">
              <w:rPr>
                <w:bCs/>
                <w:sz w:val="20"/>
                <w:szCs w:val="20"/>
              </w:rPr>
              <w:t xml:space="preserve">din cadrul aceluiași grup, supraveghetorul consolidant și celelalte autorități competente relevante evaluează </w:t>
            </w:r>
            <w:r w:rsidR="001D4849" w:rsidRPr="00154588">
              <w:rPr>
                <w:bCs/>
                <w:sz w:val="20"/>
                <w:szCs w:val="20"/>
              </w:rPr>
              <w:t xml:space="preserve">dacă este mai adecvat să numească </w:t>
            </w:r>
            <w:r w:rsidRPr="00154588">
              <w:rPr>
                <w:bCs/>
                <w:sz w:val="20"/>
                <w:szCs w:val="20"/>
              </w:rPr>
              <w:t xml:space="preserve"> același administrator temporar pentru toate entitățile în cauză sau </w:t>
            </w:r>
            <w:r w:rsidR="001D4849" w:rsidRPr="00154588">
              <w:rPr>
                <w:bCs/>
                <w:sz w:val="20"/>
                <w:szCs w:val="20"/>
              </w:rPr>
              <w:t xml:space="preserve">să se </w:t>
            </w:r>
            <w:r w:rsidRPr="00154588">
              <w:rPr>
                <w:bCs/>
                <w:sz w:val="20"/>
                <w:szCs w:val="20"/>
              </w:rPr>
              <w:t>coordon</w:t>
            </w:r>
            <w:r w:rsidR="001D4849" w:rsidRPr="00154588">
              <w:rPr>
                <w:bCs/>
                <w:sz w:val="20"/>
                <w:szCs w:val="20"/>
              </w:rPr>
              <w:t>eze</w:t>
            </w:r>
            <w:r w:rsidRPr="00154588">
              <w:rPr>
                <w:bCs/>
                <w:sz w:val="20"/>
                <w:szCs w:val="20"/>
              </w:rPr>
              <w:t xml:space="preserve"> aplic</w:t>
            </w:r>
            <w:r w:rsidR="001D4849" w:rsidRPr="00154588">
              <w:rPr>
                <w:bCs/>
                <w:sz w:val="20"/>
                <w:szCs w:val="20"/>
              </w:rPr>
              <w:t>area</w:t>
            </w:r>
            <w:r w:rsidRPr="00154588">
              <w:rPr>
                <w:bCs/>
                <w:sz w:val="20"/>
                <w:szCs w:val="20"/>
              </w:rPr>
              <w:t xml:space="preserve"> </w:t>
            </w:r>
            <w:r w:rsidR="001D4849" w:rsidRPr="00154588">
              <w:rPr>
                <w:bCs/>
                <w:sz w:val="20"/>
                <w:szCs w:val="20"/>
              </w:rPr>
              <w:t>celorlalte</w:t>
            </w:r>
            <w:r w:rsidRPr="00154588">
              <w:rPr>
                <w:bCs/>
                <w:sz w:val="20"/>
                <w:szCs w:val="20"/>
              </w:rPr>
              <w:t xml:space="preserve"> măsuri</w:t>
            </w:r>
            <w:r w:rsidR="001D4849" w:rsidRPr="00154588">
              <w:rPr>
                <w:bCs/>
                <w:sz w:val="20"/>
                <w:szCs w:val="20"/>
              </w:rPr>
              <w:t xml:space="preserve"> de intervenție timpăurie </w:t>
            </w:r>
            <w:r w:rsidRPr="00154588">
              <w:rPr>
                <w:bCs/>
                <w:sz w:val="20"/>
                <w:szCs w:val="20"/>
              </w:rPr>
              <w:t xml:space="preserve">mai multor instituții </w:t>
            </w:r>
            <w:r w:rsidR="001D4849" w:rsidRPr="00154588">
              <w:rPr>
                <w:bCs/>
                <w:sz w:val="20"/>
                <w:szCs w:val="20"/>
              </w:rPr>
              <w:t xml:space="preserve">sau entități </w:t>
            </w:r>
            <w:r w:rsidRPr="00154588">
              <w:rPr>
                <w:bCs/>
                <w:sz w:val="20"/>
                <w:szCs w:val="20"/>
              </w:rPr>
              <w:t>pentru a facilita găsirea unor soluții pentru restabilirea poziției financiare a instituției</w:t>
            </w:r>
            <w:r w:rsidR="001D4849" w:rsidRPr="00154588">
              <w:rPr>
                <w:bCs/>
                <w:sz w:val="20"/>
                <w:szCs w:val="20"/>
              </w:rPr>
              <w:t xml:space="preserve"> sau a entității</w:t>
            </w:r>
            <w:r w:rsidRPr="00154588">
              <w:rPr>
                <w:bCs/>
                <w:sz w:val="20"/>
                <w:szCs w:val="20"/>
              </w:rPr>
              <w:t xml:space="preserve"> în cauză.  </w:t>
            </w:r>
            <w:r w:rsidR="001D4849" w:rsidRPr="00154588">
              <w:rPr>
                <w:bCs/>
                <w:sz w:val="20"/>
                <w:szCs w:val="20"/>
              </w:rPr>
              <w:t>E</w:t>
            </w:r>
            <w:r w:rsidRPr="00154588">
              <w:rPr>
                <w:bCs/>
                <w:sz w:val="20"/>
                <w:szCs w:val="20"/>
              </w:rPr>
              <w:t>valuare ia forma unei decizii comune a supraveghetorului consolidant și a celorlalte autorități competente relevante. Decizia comună se ia în termen de cinci zile de la data notificării menționate la alineatul (1)</w:t>
            </w:r>
            <w:r w:rsidR="001D4849" w:rsidRPr="00154588">
              <w:rPr>
                <w:bCs/>
                <w:sz w:val="20"/>
                <w:szCs w:val="20"/>
              </w:rPr>
              <w:t xml:space="preserve"> de la prezentul articol</w:t>
            </w:r>
            <w:r w:rsidRPr="00154588">
              <w:rPr>
                <w:bCs/>
                <w:sz w:val="20"/>
                <w:szCs w:val="20"/>
              </w:rPr>
              <w:t xml:space="preserve">. Decizia comună </w:t>
            </w:r>
            <w:r w:rsidR="001D4849" w:rsidRPr="00154588">
              <w:rPr>
                <w:bCs/>
                <w:sz w:val="20"/>
                <w:szCs w:val="20"/>
              </w:rPr>
              <w:t>se</w:t>
            </w:r>
            <w:r w:rsidRPr="00154588">
              <w:rPr>
                <w:bCs/>
                <w:sz w:val="20"/>
                <w:szCs w:val="20"/>
              </w:rPr>
              <w:t xml:space="preserve"> motiv</w:t>
            </w:r>
            <w:r w:rsidR="001D4849" w:rsidRPr="00154588">
              <w:rPr>
                <w:bCs/>
                <w:sz w:val="20"/>
                <w:szCs w:val="20"/>
              </w:rPr>
              <w:t>ează</w:t>
            </w:r>
            <w:r w:rsidRPr="00154588">
              <w:rPr>
                <w:bCs/>
                <w:sz w:val="20"/>
                <w:szCs w:val="20"/>
              </w:rPr>
              <w:t xml:space="preserve"> și </w:t>
            </w:r>
            <w:r w:rsidR="001D4849" w:rsidRPr="00154588">
              <w:rPr>
                <w:bCs/>
                <w:sz w:val="20"/>
                <w:szCs w:val="20"/>
              </w:rPr>
              <w:t xml:space="preserve">se </w:t>
            </w:r>
            <w:r w:rsidRPr="00154588">
              <w:rPr>
                <w:bCs/>
                <w:sz w:val="20"/>
                <w:szCs w:val="20"/>
              </w:rPr>
              <w:t>prez</w:t>
            </w:r>
            <w:r w:rsidR="001D4849" w:rsidRPr="00154588">
              <w:rPr>
                <w:bCs/>
                <w:sz w:val="20"/>
                <w:szCs w:val="20"/>
              </w:rPr>
              <w:t>intă</w:t>
            </w:r>
            <w:r w:rsidRPr="00154588">
              <w:rPr>
                <w:bCs/>
                <w:sz w:val="20"/>
                <w:szCs w:val="20"/>
              </w:rPr>
              <w:t xml:space="preserve"> sub forma unui document</w:t>
            </w:r>
            <w:r w:rsidR="001D4849" w:rsidRPr="00154588">
              <w:rPr>
                <w:bCs/>
                <w:sz w:val="20"/>
                <w:szCs w:val="20"/>
              </w:rPr>
              <w:t xml:space="preserve"> care este</w:t>
            </w:r>
            <w:r w:rsidRPr="00154588">
              <w:rPr>
                <w:bCs/>
                <w:sz w:val="20"/>
                <w:szCs w:val="20"/>
              </w:rPr>
              <w:t xml:space="preserve"> transmis întreprinderii-mamă din Uniune de către supraveghetorul consolidant.</w:t>
            </w:r>
          </w:p>
          <w:p w14:paraId="55447952" w14:textId="77777777" w:rsidR="00461D67" w:rsidRPr="00154588" w:rsidRDefault="00461D67" w:rsidP="008C12B4">
            <w:pPr>
              <w:jc w:val="both"/>
              <w:rPr>
                <w:bCs/>
                <w:sz w:val="20"/>
                <w:szCs w:val="20"/>
              </w:rPr>
            </w:pPr>
          </w:p>
          <w:p w14:paraId="1E7FDD9E" w14:textId="2EE8883D" w:rsidR="00461D67" w:rsidRPr="00154588" w:rsidRDefault="00461D67" w:rsidP="008C12B4">
            <w:pPr>
              <w:jc w:val="both"/>
              <w:rPr>
                <w:bCs/>
                <w:sz w:val="20"/>
                <w:szCs w:val="20"/>
              </w:rPr>
            </w:pPr>
            <w:r w:rsidRPr="00154588">
              <w:rPr>
                <w:bCs/>
                <w:sz w:val="20"/>
                <w:szCs w:val="20"/>
              </w:rPr>
              <w:lastRenderedPageBreak/>
              <w:t>ABE poate, la cererea unei</w:t>
            </w:r>
            <w:r w:rsidR="001D4849" w:rsidRPr="00154588">
              <w:rPr>
                <w:bCs/>
                <w:sz w:val="20"/>
                <w:szCs w:val="20"/>
              </w:rPr>
              <w:t xml:space="preserve"> autorități competențe, să ajute autorității competențe să ajungă</w:t>
            </w:r>
            <w:r w:rsidRPr="00154588">
              <w:rPr>
                <w:bCs/>
                <w:sz w:val="20"/>
                <w:szCs w:val="20"/>
              </w:rPr>
              <w:t xml:space="preserve"> la un acord în conformitate cu articolul 31 din Regulamentul (UE) nr. 1093/2010.</w:t>
            </w:r>
          </w:p>
          <w:p w14:paraId="2A65AB86" w14:textId="77777777" w:rsidR="00461D67" w:rsidRPr="00154588" w:rsidRDefault="00461D67" w:rsidP="008C12B4">
            <w:pPr>
              <w:jc w:val="both"/>
              <w:rPr>
                <w:bCs/>
                <w:sz w:val="20"/>
                <w:szCs w:val="20"/>
              </w:rPr>
            </w:pPr>
          </w:p>
          <w:p w14:paraId="522E6019" w14:textId="2AC3B328" w:rsidR="00461D67" w:rsidRPr="00154588" w:rsidRDefault="00461D67" w:rsidP="008C12B4">
            <w:pPr>
              <w:jc w:val="both"/>
              <w:rPr>
                <w:bCs/>
                <w:sz w:val="20"/>
                <w:szCs w:val="20"/>
              </w:rPr>
            </w:pPr>
            <w:r w:rsidRPr="00154588">
              <w:rPr>
                <w:bCs/>
                <w:sz w:val="20"/>
                <w:szCs w:val="20"/>
              </w:rPr>
              <w:t xml:space="preserve">În absența unei decizii comune în termen de cinci zile, supraveghetorul consolidant și autoritățile competente ale filialelor pot lua decizii individuale </w:t>
            </w:r>
            <w:r w:rsidR="002000E3" w:rsidRPr="00154588">
              <w:rPr>
                <w:bCs/>
                <w:sz w:val="20"/>
                <w:szCs w:val="20"/>
              </w:rPr>
              <w:t xml:space="preserve">cu privire la </w:t>
            </w:r>
            <w:r w:rsidRPr="00154588">
              <w:rPr>
                <w:bCs/>
                <w:sz w:val="20"/>
                <w:szCs w:val="20"/>
              </w:rPr>
              <w:t xml:space="preserve">numirea unui administrator temporar în </w:t>
            </w:r>
            <w:r w:rsidR="002000E3" w:rsidRPr="00154588">
              <w:rPr>
                <w:bCs/>
                <w:sz w:val="20"/>
                <w:szCs w:val="20"/>
              </w:rPr>
              <w:t xml:space="preserve">cadrul </w:t>
            </w:r>
            <w:r w:rsidRPr="00154588">
              <w:rPr>
                <w:bCs/>
                <w:sz w:val="20"/>
                <w:szCs w:val="20"/>
              </w:rPr>
              <w:t>instituțiil</w:t>
            </w:r>
            <w:r w:rsidR="002000E3" w:rsidRPr="00154588">
              <w:rPr>
                <w:bCs/>
                <w:sz w:val="20"/>
                <w:szCs w:val="20"/>
              </w:rPr>
              <w:t>or sau entităților mentionate la articolul 1 alineatul (1) litera (b), (c) sau (d) care intră în sfera lor de responsabilitate și cu privire la aplicarea celorlalte măsuri de intervenție timpurie</w:t>
            </w:r>
            <w:r w:rsidRPr="00154588">
              <w:rPr>
                <w:bCs/>
                <w:sz w:val="20"/>
                <w:szCs w:val="20"/>
              </w:rPr>
              <w:t>.</w:t>
            </w:r>
          </w:p>
        </w:tc>
        <w:tc>
          <w:tcPr>
            <w:tcW w:w="4819" w:type="dxa"/>
          </w:tcPr>
          <w:p w14:paraId="53C85916" w14:textId="77920CA2" w:rsidR="00461D67" w:rsidRPr="00154588" w:rsidRDefault="00461D67" w:rsidP="008C12B4">
            <w:pPr>
              <w:ind w:firstLine="567"/>
              <w:jc w:val="both"/>
              <w:rPr>
                <w:rFonts w:eastAsia="Calibri"/>
                <w:kern w:val="2"/>
                <w:sz w:val="20"/>
                <w:szCs w:val="20"/>
                <w14:ligatures w14:val="standardContextual"/>
              </w:rPr>
            </w:pPr>
            <w:r w:rsidRPr="00154588">
              <w:rPr>
                <w:rFonts w:eastAsia="Calibri"/>
                <w:b/>
                <w:bCs/>
                <w:kern w:val="2"/>
                <w:sz w:val="20"/>
                <w:szCs w:val="20"/>
                <w14:ligatures w14:val="standardContextual"/>
              </w:rPr>
              <w:lastRenderedPageBreak/>
              <w:t>Articolul 54</w:t>
            </w:r>
            <w:r w:rsidRPr="00154588">
              <w:rPr>
                <w:rFonts w:eastAsia="Calibri"/>
                <w:b/>
                <w:bCs/>
                <w:kern w:val="2"/>
                <w:sz w:val="20"/>
                <w:szCs w:val="20"/>
                <w:vertAlign w:val="superscript"/>
                <w14:ligatures w14:val="standardContextual"/>
              </w:rPr>
              <w:t>4</w:t>
            </w:r>
            <w:r w:rsidRPr="00154588">
              <w:rPr>
                <w:rFonts w:eastAsia="Calibri"/>
                <w:b/>
                <w:bCs/>
                <w:kern w:val="2"/>
                <w:sz w:val="20"/>
                <w:szCs w:val="20"/>
                <w14:ligatures w14:val="standardContextual"/>
              </w:rPr>
              <w:t xml:space="preserve">. – </w:t>
            </w:r>
            <w:r w:rsidRPr="00154588">
              <w:rPr>
                <w:rFonts w:eastAsia="Calibri"/>
                <w:kern w:val="2"/>
                <w:sz w:val="20"/>
                <w:szCs w:val="20"/>
                <w14:ligatures w14:val="standardContextual"/>
              </w:rPr>
              <w:t>(1) În cazul în care mai multe autorități competente intenționeazăsă aplice oricare din măsurile prevăzute la art.42-44 mai multor instituții</w:t>
            </w:r>
            <w:r w:rsidR="00D75904" w:rsidRPr="00154588">
              <w:rPr>
                <w:bCs/>
                <w:sz w:val="20"/>
                <w:szCs w:val="20"/>
              </w:rPr>
              <w:t xml:space="preserve"> </w:t>
            </w:r>
            <w:r w:rsidR="007915F1" w:rsidRPr="00154588">
              <w:rPr>
                <w:bCs/>
                <w:sz w:val="20"/>
                <w:szCs w:val="20"/>
              </w:rPr>
              <w:t xml:space="preserve">de credit </w:t>
            </w:r>
            <w:r w:rsidR="00D75904" w:rsidRPr="00154588">
              <w:rPr>
                <w:bCs/>
                <w:sz w:val="20"/>
                <w:szCs w:val="20"/>
              </w:rPr>
              <w:t xml:space="preserve">sau entități menționate la </w:t>
            </w:r>
            <w:r w:rsidR="0096005B" w:rsidRPr="00154588">
              <w:rPr>
                <w:bCs/>
                <w:sz w:val="20"/>
                <w:szCs w:val="20"/>
              </w:rPr>
              <w:t>art.1 alin.(1) lit.b), c) sau d)</w:t>
            </w:r>
            <w:r w:rsidR="0096005B" w:rsidRPr="00154588">
              <w:rPr>
                <w:rFonts w:eastAsia="Calibri"/>
                <w:kern w:val="2"/>
                <w:sz w:val="20"/>
                <w:szCs w:val="20"/>
                <w14:ligatures w14:val="standardContextual"/>
              </w:rPr>
              <w:t xml:space="preserve"> </w:t>
            </w:r>
            <w:r w:rsidRPr="00154588">
              <w:rPr>
                <w:rFonts w:eastAsia="Calibri"/>
                <w:kern w:val="2"/>
                <w:sz w:val="20"/>
                <w:szCs w:val="20"/>
                <w14:ligatures w14:val="standardContextual"/>
              </w:rPr>
              <w:t>din cadrul aceluiași grup, Banca Națională a Moldovei, în calitate de supraveghetor consolidant, evalue</w:t>
            </w:r>
            <w:r w:rsidR="00D75904" w:rsidRPr="00154588">
              <w:rPr>
                <w:rFonts w:eastAsia="Calibri"/>
                <w:kern w:val="2"/>
                <w:sz w:val="20"/>
                <w:szCs w:val="20"/>
                <w14:ligatures w14:val="standardContextual"/>
              </w:rPr>
              <w:t>a</w:t>
            </w:r>
            <w:r w:rsidRPr="00154588">
              <w:rPr>
                <w:rFonts w:eastAsia="Calibri"/>
                <w:kern w:val="2"/>
                <w:sz w:val="20"/>
                <w:szCs w:val="20"/>
                <w14:ligatures w14:val="standardContextual"/>
              </w:rPr>
              <w:t>z</w:t>
            </w:r>
            <w:r w:rsidR="00D75904" w:rsidRPr="00154588">
              <w:rPr>
                <w:rFonts w:eastAsia="Calibri"/>
                <w:kern w:val="2"/>
                <w:sz w:val="20"/>
                <w:szCs w:val="20"/>
                <w14:ligatures w14:val="standardContextual"/>
              </w:rPr>
              <w:t>ă</w:t>
            </w:r>
            <w:r w:rsidRPr="00154588">
              <w:rPr>
                <w:rFonts w:eastAsia="Calibri"/>
                <w:kern w:val="2"/>
                <w:sz w:val="20"/>
                <w:szCs w:val="20"/>
                <w14:ligatures w14:val="standardContextual"/>
              </w:rPr>
              <w:t xml:space="preserve"> împreună cu celelalte autorități competente relevante </w:t>
            </w:r>
            <w:r w:rsidR="00D75904" w:rsidRPr="00154588">
              <w:rPr>
                <w:bCs/>
                <w:sz w:val="20"/>
                <w:szCs w:val="20"/>
              </w:rPr>
              <w:t xml:space="preserve">dacă este mai adecvat să numească </w:t>
            </w:r>
            <w:r w:rsidRPr="00154588">
              <w:rPr>
                <w:rFonts w:eastAsia="Calibri"/>
                <w:kern w:val="2"/>
                <w:sz w:val="20"/>
                <w:szCs w:val="20"/>
                <w14:ligatures w14:val="standardContextual"/>
              </w:rPr>
              <w:t xml:space="preserve">același administrator temporar pentru toate entitățile în cauză sau </w:t>
            </w:r>
            <w:r w:rsidR="00D75904" w:rsidRPr="00154588">
              <w:rPr>
                <w:rFonts w:eastAsia="Calibri"/>
                <w:kern w:val="2"/>
                <w:sz w:val="20"/>
                <w:szCs w:val="20"/>
                <w14:ligatures w14:val="standardContextual"/>
              </w:rPr>
              <w:t xml:space="preserve">să se </w:t>
            </w:r>
            <w:r w:rsidRPr="00154588">
              <w:rPr>
                <w:rFonts w:eastAsia="Calibri"/>
                <w:kern w:val="2"/>
                <w:sz w:val="20"/>
                <w:szCs w:val="20"/>
                <w14:ligatures w14:val="standardContextual"/>
              </w:rPr>
              <w:t>coordon</w:t>
            </w:r>
            <w:r w:rsidR="00D75904" w:rsidRPr="00154588">
              <w:rPr>
                <w:rFonts w:eastAsia="Calibri"/>
                <w:kern w:val="2"/>
                <w:sz w:val="20"/>
                <w:szCs w:val="20"/>
                <w14:ligatures w14:val="standardContextual"/>
              </w:rPr>
              <w:t>eze</w:t>
            </w:r>
            <w:r w:rsidRPr="00154588">
              <w:rPr>
                <w:rFonts w:eastAsia="Calibri"/>
                <w:kern w:val="2"/>
                <w:sz w:val="20"/>
                <w:szCs w:val="20"/>
                <w14:ligatures w14:val="standardContextual"/>
              </w:rPr>
              <w:t xml:space="preserve"> aplic</w:t>
            </w:r>
            <w:r w:rsidR="00D75904" w:rsidRPr="00154588">
              <w:rPr>
                <w:rFonts w:eastAsia="Calibri"/>
                <w:kern w:val="2"/>
                <w:sz w:val="20"/>
                <w:szCs w:val="20"/>
                <w14:ligatures w14:val="standardContextual"/>
              </w:rPr>
              <w:t>area</w:t>
            </w:r>
            <w:r w:rsidRPr="00154588">
              <w:rPr>
                <w:rFonts w:eastAsia="Calibri"/>
                <w:kern w:val="2"/>
                <w:sz w:val="20"/>
                <w:szCs w:val="20"/>
                <w14:ligatures w14:val="standardContextual"/>
              </w:rPr>
              <w:t xml:space="preserve"> </w:t>
            </w:r>
            <w:r w:rsidR="004F0F85" w:rsidRPr="00154588">
              <w:rPr>
                <w:rFonts w:eastAsia="Calibri"/>
                <w:kern w:val="2"/>
                <w:sz w:val="20"/>
                <w:szCs w:val="20"/>
                <w14:ligatures w14:val="standardContextual"/>
              </w:rPr>
              <w:t>celorlalte măsuri de interventie timpurie</w:t>
            </w:r>
            <w:r w:rsidRPr="00154588">
              <w:rPr>
                <w:rFonts w:eastAsia="Calibri"/>
                <w:kern w:val="2"/>
                <w:sz w:val="20"/>
                <w:szCs w:val="20"/>
                <w14:ligatures w14:val="standardContextual"/>
              </w:rPr>
              <w:t> mai multor instituții</w:t>
            </w:r>
            <w:r w:rsidR="00D75904" w:rsidRPr="00154588">
              <w:rPr>
                <w:rFonts w:eastAsia="Calibri"/>
                <w:kern w:val="2"/>
                <w:sz w:val="20"/>
                <w:szCs w:val="20"/>
                <w14:ligatures w14:val="standardContextual"/>
              </w:rPr>
              <w:t xml:space="preserve"> sau entități</w:t>
            </w:r>
            <w:r w:rsidRPr="00154588">
              <w:rPr>
                <w:rFonts w:eastAsia="Calibri"/>
                <w:kern w:val="2"/>
                <w:sz w:val="20"/>
                <w:szCs w:val="20"/>
                <w14:ligatures w14:val="standardContextual"/>
              </w:rPr>
              <w:t xml:space="preserve"> pentru a facilita găsirea unor soluții pentru restabilirea poziției financiare a instituției</w:t>
            </w:r>
            <w:r w:rsidR="00D75904" w:rsidRPr="00154588">
              <w:rPr>
                <w:rFonts w:eastAsia="Calibri"/>
                <w:kern w:val="2"/>
                <w:sz w:val="20"/>
                <w:szCs w:val="20"/>
                <w14:ligatures w14:val="standardContextual"/>
              </w:rPr>
              <w:t xml:space="preserve"> sau entității</w:t>
            </w:r>
            <w:r w:rsidRPr="00154588">
              <w:rPr>
                <w:rFonts w:eastAsia="Calibri"/>
                <w:kern w:val="2"/>
                <w:sz w:val="20"/>
                <w:szCs w:val="20"/>
                <w14:ligatures w14:val="standardContextual"/>
              </w:rPr>
              <w:t xml:space="preserve"> în cauză. Evaluarea ia forma unei decizii comune a Băncii Naționale a Moldovei, în calitate de supraveghetor consolidant, și a celorlalte autorități competente relevante. Decizia comună trebuie să fie luată în termen de cinci zile de la data notificării prevăzute la art.54</w:t>
            </w:r>
            <w:r w:rsidRPr="00154588">
              <w:rPr>
                <w:rFonts w:eastAsia="Calibri"/>
                <w:kern w:val="2"/>
                <w:sz w:val="20"/>
                <w:szCs w:val="20"/>
                <w:vertAlign w:val="superscript"/>
                <w14:ligatures w14:val="standardContextual"/>
              </w:rPr>
              <w:t>1</w:t>
            </w:r>
            <w:r w:rsidRPr="00154588">
              <w:rPr>
                <w:rFonts w:eastAsia="Calibri"/>
                <w:kern w:val="2"/>
                <w:sz w:val="20"/>
                <w:szCs w:val="20"/>
                <w14:ligatures w14:val="standardContextual"/>
              </w:rPr>
              <w:t xml:space="preserve">. Decizia comună este formalizată într-un document care cuprinde motivele pe care se întemeiază și care este transmis de către Banca Națională a Moldovei, </w:t>
            </w:r>
            <w:r w:rsidRPr="00154588">
              <w:rPr>
                <w:rFonts w:eastAsia="Calibri"/>
                <w:kern w:val="2"/>
                <w:sz w:val="20"/>
                <w:szCs w:val="20"/>
                <w14:ligatures w14:val="standardContextual"/>
              </w:rPr>
              <w:lastRenderedPageBreak/>
              <w:t>în calitate de supraveghetor consolidant, întreprinderii-mamă din Uniunea Europeană pentru care Banca Națională a Moldovei este supraveghetor consolidant.</w:t>
            </w:r>
          </w:p>
          <w:p w14:paraId="4A10C768" w14:textId="6192089B" w:rsidR="00AD5368" w:rsidRPr="00154588" w:rsidRDefault="00461D67"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(2) Banca Națională a Moldovei, în calitate de supraveghetor consolidant, poate solicita asistența Autorității Bancare Europene în conformitate cu art.31 din Regulamentul (UE) nr.1093/2010</w:t>
            </w:r>
            <w:r w:rsidR="00966EF8" w:rsidRPr="00154588">
              <w:t xml:space="preserve"> </w:t>
            </w:r>
            <w:r w:rsidR="00966EF8" w:rsidRPr="00154588">
              <w:rPr>
                <w:rFonts w:eastAsia="Calibri"/>
                <w:kern w:val="2"/>
                <w:sz w:val="20"/>
                <w:szCs w:val="20"/>
                <w14:ligatures w14:val="standardContextual"/>
              </w:rPr>
              <w:t>în vederea facilitării ajungerii la un acord între autoritățile competente.</w:t>
            </w:r>
            <w:r w:rsidRPr="00154588">
              <w:rPr>
                <w:rFonts w:eastAsia="Calibri"/>
                <w:kern w:val="2"/>
                <w:sz w:val="20"/>
                <w:szCs w:val="20"/>
                <w14:ligatures w14:val="standardContextual"/>
              </w:rPr>
              <w:t>.</w:t>
            </w:r>
          </w:p>
        </w:tc>
        <w:tc>
          <w:tcPr>
            <w:tcW w:w="2552" w:type="dxa"/>
          </w:tcPr>
          <w:p w14:paraId="2FF8F836" w14:textId="7E57BA54" w:rsidR="00461D67" w:rsidRPr="00154588" w:rsidRDefault="00461D67" w:rsidP="008C12B4">
            <w:pPr>
              <w:jc w:val="both"/>
              <w:rPr>
                <w:bCs/>
                <w:sz w:val="20"/>
                <w:szCs w:val="20"/>
              </w:rPr>
            </w:pPr>
            <w:r w:rsidRPr="00154588">
              <w:rPr>
                <w:bCs/>
                <w:sz w:val="20"/>
                <w:szCs w:val="20"/>
              </w:rPr>
              <w:lastRenderedPageBreak/>
              <w:t>Compatibil</w:t>
            </w:r>
          </w:p>
        </w:tc>
        <w:tc>
          <w:tcPr>
            <w:tcW w:w="3118" w:type="dxa"/>
          </w:tcPr>
          <w:p w14:paraId="7D56FB5E" w14:textId="4D6BC281" w:rsidR="00461D67" w:rsidRPr="00154588" w:rsidRDefault="00461D67" w:rsidP="008C12B4">
            <w:pPr>
              <w:jc w:val="both"/>
              <w:rPr>
                <w:bCs/>
                <w:sz w:val="20"/>
                <w:szCs w:val="20"/>
              </w:rPr>
            </w:pPr>
          </w:p>
        </w:tc>
      </w:tr>
      <w:tr w:rsidR="00461D67" w:rsidRPr="00154588" w14:paraId="6AF9B92D" w14:textId="77777777" w:rsidTr="00D15C1B">
        <w:trPr>
          <w:jc w:val="center"/>
        </w:trPr>
        <w:tc>
          <w:tcPr>
            <w:tcW w:w="4957" w:type="dxa"/>
            <w:gridSpan w:val="2"/>
          </w:tcPr>
          <w:p w14:paraId="33CE1A49" w14:textId="4240755C" w:rsidR="00461D67" w:rsidRPr="00154588" w:rsidRDefault="00461D67" w:rsidP="008C12B4">
            <w:pPr>
              <w:jc w:val="both"/>
              <w:rPr>
                <w:bCs/>
                <w:sz w:val="20"/>
                <w:szCs w:val="20"/>
              </w:rPr>
            </w:pPr>
            <w:r w:rsidRPr="00154588">
              <w:rPr>
                <w:bCs/>
                <w:sz w:val="20"/>
                <w:szCs w:val="20"/>
              </w:rPr>
              <w:t>(5)   În cazul în care o autoritate competentă implicată nu este de acord cu decizia notificată în conformitate cu alineatul (1) sau cu alineatul (3), sau în absența unei decizii comune în conformitate cu alineatul (4), autoritatea competentă poate sesiza ABE în conformitate cu alineatul (6).</w:t>
            </w:r>
          </w:p>
        </w:tc>
        <w:tc>
          <w:tcPr>
            <w:tcW w:w="4819" w:type="dxa"/>
          </w:tcPr>
          <w:p w14:paraId="2460DDA3" w14:textId="24EBFA82" w:rsidR="00461D67" w:rsidRPr="00154588" w:rsidRDefault="00461D67" w:rsidP="008C12B4">
            <w:pPr>
              <w:ind w:firstLine="567"/>
              <w:jc w:val="both"/>
              <w:rPr>
                <w:rFonts w:eastAsia="Calibri"/>
                <w:kern w:val="2"/>
                <w:sz w:val="20"/>
                <w:szCs w:val="20"/>
                <w14:ligatures w14:val="standardContextual"/>
              </w:rPr>
            </w:pP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5</w:t>
            </w:r>
            <w:r w:rsidRPr="00154588">
              <w:rPr>
                <w:rFonts w:eastAsia="Calibri"/>
                <w:b/>
                <w:bCs/>
                <w:kern w:val="2"/>
                <w:sz w:val="20"/>
                <w:szCs w:val="20"/>
                <w14:ligatures w14:val="standardContextual"/>
              </w:rPr>
              <w:t xml:space="preserve">. </w:t>
            </w:r>
            <w:r w:rsidRPr="00154588">
              <w:rPr>
                <w:rFonts w:eastAsia="Calibri"/>
                <w:kern w:val="2"/>
                <w:sz w:val="20"/>
                <w:szCs w:val="20"/>
                <w14:ligatures w14:val="standardContextual"/>
              </w:rPr>
              <w:t>–</w:t>
            </w:r>
            <w:r w:rsidR="00E3179F" w:rsidRPr="00154588">
              <w:rPr>
                <w:rFonts w:eastAsia="Calibri"/>
                <w:kern w:val="2"/>
                <w:sz w:val="20"/>
                <w:szCs w:val="20"/>
                <w14:ligatures w14:val="standardContextual"/>
              </w:rPr>
              <w:t xml:space="preserve"> </w:t>
            </w:r>
            <w:r w:rsidR="00966EF8" w:rsidRPr="00154588">
              <w:rPr>
                <w:rFonts w:eastAsia="Calibri"/>
                <w:kern w:val="2"/>
                <w:sz w:val="20"/>
                <w:szCs w:val="20"/>
                <w14:ligatures w14:val="standardContextual"/>
              </w:rPr>
              <w:t>(1)</w:t>
            </w:r>
            <w:r w:rsidRPr="00154588">
              <w:rPr>
                <w:rFonts w:eastAsia="Calibri"/>
                <w:b/>
                <w:bCs/>
                <w:kern w:val="2"/>
                <w:sz w:val="20"/>
                <w:szCs w:val="20"/>
                <w14:ligatures w14:val="standardContextual"/>
              </w:rPr>
              <w:t xml:space="preserve"> </w:t>
            </w:r>
            <w:r w:rsidRPr="00154588">
              <w:rPr>
                <w:rFonts w:eastAsia="Calibri"/>
                <w:kern w:val="2"/>
                <w:sz w:val="20"/>
                <w:szCs w:val="20"/>
                <w14:ligatures w14:val="standardContextual"/>
              </w:rPr>
              <w:t>În cazul în care Banca Națională a Moldovei, în calitate de supraveghetor consolidant, nu este de acord cu decizia notificată în conformitate cu prevederile art.54</w:t>
            </w:r>
            <w:r w:rsidRPr="00154588">
              <w:rPr>
                <w:rFonts w:eastAsia="Calibri"/>
                <w:kern w:val="2"/>
                <w:sz w:val="20"/>
                <w:szCs w:val="20"/>
                <w:vertAlign w:val="superscript"/>
                <w14:ligatures w14:val="standardContextual"/>
              </w:rPr>
              <w:t>3</w:t>
            </w:r>
            <w:r w:rsidRPr="00154588">
              <w:rPr>
                <w:rFonts w:eastAsia="Calibri"/>
                <w:kern w:val="2"/>
                <w:sz w:val="20"/>
                <w:szCs w:val="20"/>
                <w14:ligatures w14:val="standardContextual"/>
              </w:rPr>
              <w:t> sau în absența unei decizii comune în conformitate cu prevederile art.54</w:t>
            </w:r>
            <w:r w:rsidRPr="00154588">
              <w:rPr>
                <w:rFonts w:eastAsia="Calibri"/>
                <w:kern w:val="2"/>
                <w:sz w:val="20"/>
                <w:szCs w:val="20"/>
                <w:vertAlign w:val="superscript"/>
                <w14:ligatures w14:val="standardContextual"/>
              </w:rPr>
              <w:t>4</w:t>
            </w:r>
            <w:r w:rsidRPr="00154588">
              <w:rPr>
                <w:rFonts w:eastAsia="Calibri"/>
                <w:kern w:val="2"/>
                <w:sz w:val="20"/>
                <w:szCs w:val="20"/>
                <w14:ligatures w14:val="standardContextual"/>
              </w:rPr>
              <w:t>, aceasta poate sesiza Autoritatea Bancară Europeană în conformitate cu prevederile art.54</w:t>
            </w:r>
            <w:r w:rsidRPr="00154588">
              <w:rPr>
                <w:rFonts w:eastAsia="Calibri"/>
                <w:kern w:val="2"/>
                <w:sz w:val="20"/>
                <w:szCs w:val="20"/>
                <w:vertAlign w:val="superscript"/>
                <w14:ligatures w14:val="standardContextual"/>
              </w:rPr>
              <w:t>6</w:t>
            </w:r>
            <w:r w:rsidRPr="00154588">
              <w:rPr>
                <w:rFonts w:eastAsia="Calibri"/>
                <w:kern w:val="2"/>
                <w:sz w:val="20"/>
                <w:szCs w:val="20"/>
                <w14:ligatures w14:val="standardContextual"/>
              </w:rPr>
              <w:t>.</w:t>
            </w:r>
          </w:p>
          <w:p w14:paraId="32F6B2AD" w14:textId="52BBEECD" w:rsidR="00461D67" w:rsidRPr="00154588" w:rsidRDefault="00461D67"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w:t>
            </w:r>
            <w:r w:rsidR="00966EF8" w:rsidRPr="00154588">
              <w:rPr>
                <w:rFonts w:eastAsia="Calibri"/>
                <w:kern w:val="2"/>
                <w:sz w:val="20"/>
                <w:szCs w:val="20"/>
                <w14:ligatures w14:val="standardContextual"/>
              </w:rPr>
              <w:t>2</w:t>
            </w:r>
            <w:r w:rsidRPr="00154588">
              <w:rPr>
                <w:rFonts w:eastAsia="Calibri"/>
                <w:kern w:val="2"/>
                <w:sz w:val="20"/>
                <w:szCs w:val="20"/>
                <w14:ligatures w14:val="standardContextual"/>
              </w:rPr>
              <w:t>) În absența unei decizii comune în termenul de cinci zile, prevăzut la</w:t>
            </w:r>
            <w:r w:rsidR="00966EF8" w:rsidRPr="00154588">
              <w:rPr>
                <w:rFonts w:eastAsia="Calibri"/>
                <w:kern w:val="2"/>
                <w:sz w:val="20"/>
                <w:szCs w:val="20"/>
                <w14:ligatures w14:val="standardContextual"/>
              </w:rPr>
              <w:t xml:space="preserve"> art.54</w:t>
            </w:r>
            <w:r w:rsidR="00966EF8" w:rsidRPr="00154588">
              <w:rPr>
                <w:rFonts w:eastAsia="Calibri"/>
                <w:kern w:val="2"/>
                <w:sz w:val="20"/>
                <w:szCs w:val="20"/>
                <w:vertAlign w:val="superscript"/>
                <w14:ligatures w14:val="standardContextual"/>
              </w:rPr>
              <w:t>4</w:t>
            </w:r>
            <w:r w:rsidRPr="00154588">
              <w:rPr>
                <w:rFonts w:eastAsia="Calibri"/>
                <w:kern w:val="2"/>
                <w:sz w:val="20"/>
                <w:szCs w:val="20"/>
                <w14:ligatures w14:val="standardContextual"/>
              </w:rPr>
              <w:t> alin. (1), Banca Națională a Moldovei, în calitate de supraveghetor consolidant, și autoritățile competente ale filialelor pot lua decizii individuale privind desemnarea unui administrator temporar în</w:t>
            </w:r>
            <w:r w:rsidR="00AD5368" w:rsidRPr="00154588">
              <w:rPr>
                <w:rFonts w:eastAsia="Calibri"/>
                <w:kern w:val="2"/>
                <w:sz w:val="20"/>
                <w:szCs w:val="20"/>
                <w14:ligatures w14:val="standardContextual"/>
              </w:rPr>
              <w:t xml:space="preserve"> cadrul</w:t>
            </w:r>
            <w:r w:rsidRPr="00154588">
              <w:rPr>
                <w:rFonts w:eastAsia="Calibri"/>
                <w:kern w:val="2"/>
                <w:sz w:val="20"/>
                <w:szCs w:val="20"/>
                <w14:ligatures w14:val="standardContextual"/>
              </w:rPr>
              <w:t xml:space="preserve"> instituțiil</w:t>
            </w:r>
            <w:r w:rsidR="00AD5368" w:rsidRPr="00154588">
              <w:rPr>
                <w:rFonts w:eastAsia="Calibri"/>
                <w:kern w:val="2"/>
                <w:sz w:val="20"/>
                <w:szCs w:val="20"/>
                <w14:ligatures w14:val="standardContextual"/>
              </w:rPr>
              <w:t xml:space="preserve">or </w:t>
            </w:r>
            <w:r w:rsidR="00AD5368" w:rsidRPr="00154588">
              <w:rPr>
                <w:bCs/>
                <w:sz w:val="20"/>
                <w:szCs w:val="20"/>
              </w:rPr>
              <w:t xml:space="preserve">sau entităților </w:t>
            </w:r>
            <w:r w:rsidR="00E3179F" w:rsidRPr="00154588">
              <w:rPr>
                <w:bCs/>
                <w:sz w:val="20"/>
                <w:szCs w:val="20"/>
              </w:rPr>
              <w:t>menționate</w:t>
            </w:r>
            <w:r w:rsidR="00AD5368" w:rsidRPr="00154588">
              <w:rPr>
                <w:bCs/>
                <w:sz w:val="20"/>
                <w:szCs w:val="20"/>
              </w:rPr>
              <w:t xml:space="preserve"> la </w:t>
            </w:r>
            <w:r w:rsidR="0096005B" w:rsidRPr="00154588">
              <w:rPr>
                <w:bCs/>
                <w:sz w:val="20"/>
                <w:szCs w:val="20"/>
              </w:rPr>
              <w:t xml:space="preserve">art.1 alin.(1) lit.b), c) sau d) </w:t>
            </w:r>
            <w:r w:rsidR="00AD5368" w:rsidRPr="00154588">
              <w:rPr>
                <w:bCs/>
                <w:sz w:val="20"/>
                <w:szCs w:val="20"/>
              </w:rPr>
              <w:t>care intră în sfera lor de responsabilitate și cu privire la aplicarea celorlalte măsuri de intervenție timpurie</w:t>
            </w:r>
            <w:r w:rsidRPr="00154588">
              <w:rPr>
                <w:rFonts w:eastAsia="Calibri"/>
                <w:kern w:val="2"/>
                <w:sz w:val="20"/>
                <w:szCs w:val="20"/>
                <w14:ligatures w14:val="standardContextual"/>
              </w:rPr>
              <w:t>.</w:t>
            </w:r>
          </w:p>
        </w:tc>
        <w:tc>
          <w:tcPr>
            <w:tcW w:w="2552" w:type="dxa"/>
          </w:tcPr>
          <w:p w14:paraId="2DD3B511" w14:textId="6D4948F2" w:rsidR="00461D67" w:rsidRPr="00154588" w:rsidRDefault="00461D67" w:rsidP="008C12B4">
            <w:pPr>
              <w:jc w:val="both"/>
              <w:rPr>
                <w:bCs/>
                <w:sz w:val="20"/>
                <w:szCs w:val="20"/>
              </w:rPr>
            </w:pPr>
            <w:r w:rsidRPr="00154588">
              <w:rPr>
                <w:bCs/>
                <w:sz w:val="20"/>
                <w:szCs w:val="20"/>
              </w:rPr>
              <w:t>Compatibil</w:t>
            </w:r>
          </w:p>
        </w:tc>
        <w:tc>
          <w:tcPr>
            <w:tcW w:w="3118" w:type="dxa"/>
          </w:tcPr>
          <w:p w14:paraId="2DD61675" w14:textId="77777777" w:rsidR="00461D67" w:rsidRPr="00154588" w:rsidRDefault="00461D67" w:rsidP="008C12B4">
            <w:pPr>
              <w:jc w:val="both"/>
              <w:rPr>
                <w:bCs/>
                <w:sz w:val="20"/>
                <w:szCs w:val="20"/>
              </w:rPr>
            </w:pPr>
          </w:p>
        </w:tc>
      </w:tr>
      <w:tr w:rsidR="00461D67" w:rsidRPr="00154588" w14:paraId="2A801D68" w14:textId="77777777" w:rsidTr="00D15C1B">
        <w:trPr>
          <w:jc w:val="center"/>
        </w:trPr>
        <w:tc>
          <w:tcPr>
            <w:tcW w:w="4957" w:type="dxa"/>
            <w:gridSpan w:val="2"/>
          </w:tcPr>
          <w:p w14:paraId="61595654" w14:textId="734B0482" w:rsidR="00461D67" w:rsidRPr="00154588" w:rsidRDefault="00461D67" w:rsidP="008C12B4">
            <w:pPr>
              <w:jc w:val="both"/>
              <w:rPr>
                <w:bCs/>
                <w:sz w:val="20"/>
                <w:szCs w:val="20"/>
              </w:rPr>
            </w:pPr>
            <w:r w:rsidRPr="00154588">
              <w:rPr>
                <w:bCs/>
                <w:sz w:val="20"/>
                <w:szCs w:val="20"/>
              </w:rPr>
              <w:t xml:space="preserve">(6) La solicitarea oricărei autorități competente, ABE poate să </w:t>
            </w:r>
            <w:r w:rsidR="002000E3" w:rsidRPr="00154588">
              <w:rPr>
                <w:bCs/>
                <w:sz w:val="20"/>
                <w:szCs w:val="20"/>
              </w:rPr>
              <w:t>ajute</w:t>
            </w:r>
            <w:r w:rsidRPr="00154588">
              <w:rPr>
                <w:bCs/>
                <w:sz w:val="20"/>
                <w:szCs w:val="20"/>
              </w:rPr>
              <w:t xml:space="preserve"> autorităților competente care intenționează să aplice una sau mai multe dintre măsurile menționate la articolul 27 alineatul (</w:t>
            </w:r>
            <w:r w:rsidR="002000E3" w:rsidRPr="00154588">
              <w:rPr>
                <w:bCs/>
                <w:sz w:val="20"/>
                <w:szCs w:val="20"/>
              </w:rPr>
              <w:t>2</w:t>
            </w:r>
            <w:r w:rsidRPr="00154588">
              <w:rPr>
                <w:bCs/>
                <w:sz w:val="20"/>
                <w:szCs w:val="20"/>
              </w:rPr>
              <w:t>) litera (a) din prezenta directivă în ceea ce privește secțiunea A</w:t>
            </w:r>
            <w:r w:rsidR="002000E3" w:rsidRPr="00154588">
              <w:rPr>
                <w:bCs/>
                <w:sz w:val="20"/>
                <w:szCs w:val="20"/>
              </w:rPr>
              <w:t xml:space="preserve"> punctele 4, 10, 11 și 19</w:t>
            </w:r>
            <w:r w:rsidRPr="00154588">
              <w:rPr>
                <w:bCs/>
                <w:sz w:val="20"/>
                <w:szCs w:val="20"/>
              </w:rPr>
              <w:t xml:space="preserve"> din anexa la prezenta directivă, la articolul 27 alineatul (</w:t>
            </w:r>
            <w:r w:rsidR="002000E3" w:rsidRPr="00154588">
              <w:rPr>
                <w:bCs/>
                <w:sz w:val="20"/>
                <w:szCs w:val="20"/>
              </w:rPr>
              <w:t>2</w:t>
            </w:r>
            <w:r w:rsidRPr="00154588">
              <w:rPr>
                <w:bCs/>
                <w:sz w:val="20"/>
                <w:szCs w:val="20"/>
              </w:rPr>
              <w:t>) litera (</w:t>
            </w:r>
            <w:r w:rsidR="002000E3" w:rsidRPr="00154588">
              <w:rPr>
                <w:bCs/>
                <w:sz w:val="20"/>
                <w:szCs w:val="20"/>
              </w:rPr>
              <w:t>c</w:t>
            </w:r>
            <w:r w:rsidRPr="00154588">
              <w:rPr>
                <w:bCs/>
                <w:sz w:val="20"/>
                <w:szCs w:val="20"/>
              </w:rPr>
              <w:t>) din prezenta directivă sau la articolul 27 alineatul (</w:t>
            </w:r>
            <w:r w:rsidR="002000E3" w:rsidRPr="00154588">
              <w:rPr>
                <w:bCs/>
                <w:sz w:val="20"/>
                <w:szCs w:val="20"/>
              </w:rPr>
              <w:t>2</w:t>
            </w:r>
            <w:r w:rsidRPr="00154588">
              <w:rPr>
                <w:bCs/>
                <w:sz w:val="20"/>
                <w:szCs w:val="20"/>
              </w:rPr>
              <w:t>) litera (</w:t>
            </w:r>
            <w:r w:rsidR="002000E3" w:rsidRPr="00154588">
              <w:rPr>
                <w:bCs/>
                <w:sz w:val="20"/>
                <w:szCs w:val="20"/>
              </w:rPr>
              <w:t>d</w:t>
            </w:r>
            <w:r w:rsidRPr="00154588">
              <w:rPr>
                <w:bCs/>
                <w:sz w:val="20"/>
                <w:szCs w:val="20"/>
              </w:rPr>
              <w:t xml:space="preserve">) din prezenta directivă </w:t>
            </w:r>
            <w:r w:rsidR="002000E3" w:rsidRPr="00154588">
              <w:rPr>
                <w:bCs/>
                <w:sz w:val="20"/>
                <w:szCs w:val="20"/>
              </w:rPr>
              <w:t xml:space="preserve">să </w:t>
            </w:r>
            <w:r w:rsidRPr="00154588">
              <w:rPr>
                <w:bCs/>
                <w:sz w:val="20"/>
                <w:szCs w:val="20"/>
              </w:rPr>
              <w:t>ajung</w:t>
            </w:r>
            <w:r w:rsidR="002000E3" w:rsidRPr="00154588">
              <w:rPr>
                <w:bCs/>
                <w:sz w:val="20"/>
                <w:szCs w:val="20"/>
              </w:rPr>
              <w:t>ă</w:t>
            </w:r>
            <w:r w:rsidRPr="00154588">
              <w:rPr>
                <w:bCs/>
                <w:sz w:val="20"/>
                <w:szCs w:val="20"/>
              </w:rPr>
              <w:t xml:space="preserve"> la un acord în conformitate cu articolul 19 alineatul (3) din Regulamentul (UE) nr. 1093/2010.</w:t>
            </w:r>
          </w:p>
        </w:tc>
        <w:tc>
          <w:tcPr>
            <w:tcW w:w="4819" w:type="dxa"/>
          </w:tcPr>
          <w:p w14:paraId="4C23F67B" w14:textId="3D244595" w:rsidR="00461D67" w:rsidRPr="00154588" w:rsidRDefault="00461D67" w:rsidP="008C12B4">
            <w:pPr>
              <w:ind w:firstLine="567"/>
              <w:jc w:val="both"/>
              <w:rPr>
                <w:rFonts w:eastAsia="Aptos"/>
                <w:kern w:val="2"/>
                <w:sz w:val="20"/>
                <w:szCs w:val="20"/>
                <w14:ligatures w14:val="standardContextual"/>
              </w:rPr>
            </w:pPr>
            <w:r w:rsidRPr="00154588">
              <w:rPr>
                <w:rFonts w:eastAsia="Aptos"/>
                <w:b/>
                <w:bCs/>
                <w:kern w:val="2"/>
                <w:sz w:val="20"/>
                <w:szCs w:val="20"/>
                <w14:ligatures w14:val="standardContextual"/>
              </w:rPr>
              <w:t>Articolul 54</w:t>
            </w:r>
            <w:r w:rsidRPr="00154588">
              <w:rPr>
                <w:rFonts w:eastAsia="Aptos"/>
                <w:b/>
                <w:bCs/>
                <w:kern w:val="2"/>
                <w:sz w:val="20"/>
                <w:szCs w:val="20"/>
                <w:vertAlign w:val="superscript"/>
                <w14:ligatures w14:val="standardContextual"/>
              </w:rPr>
              <w:t>6</w:t>
            </w:r>
            <w:r w:rsidRPr="00154588">
              <w:rPr>
                <w:rFonts w:eastAsia="Aptos"/>
                <w:b/>
                <w:bCs/>
                <w:kern w:val="2"/>
                <w:sz w:val="20"/>
                <w:szCs w:val="20"/>
                <w14:ligatures w14:val="standardContextual"/>
              </w:rPr>
              <w:t xml:space="preserve">. – </w:t>
            </w:r>
            <w:r w:rsidRPr="00154588">
              <w:rPr>
                <w:rFonts w:eastAsia="Aptos"/>
                <w:kern w:val="2"/>
                <w:sz w:val="20"/>
                <w:szCs w:val="20"/>
                <w14:ligatures w14:val="standardContextual"/>
              </w:rPr>
              <w:t>În cazul în care Banca Națională a Moldovei, în calitate de supraveghetor consolidant, intenționează să aplice una sau mai multe dintre măsurile prevăzute la art.4</w:t>
            </w:r>
            <w:r w:rsidR="00834565" w:rsidRPr="00154588">
              <w:rPr>
                <w:rFonts w:eastAsia="Aptos"/>
                <w:kern w:val="2"/>
                <w:sz w:val="20"/>
                <w:szCs w:val="20"/>
                <w14:ligatures w14:val="standardContextual"/>
              </w:rPr>
              <w:t>3</w:t>
            </w:r>
            <w:r w:rsidRPr="00154588">
              <w:rPr>
                <w:rFonts w:eastAsia="Aptos"/>
                <w:kern w:val="2"/>
                <w:sz w:val="20"/>
                <w:szCs w:val="20"/>
                <w14:ligatures w14:val="standardContextual"/>
              </w:rPr>
              <w:t xml:space="preserve"> lit.a) în ceea ce privește lit.d), j), k), s) din secțiunea A din anex</w:t>
            </w:r>
            <w:r w:rsidR="00834565" w:rsidRPr="00154588">
              <w:rPr>
                <w:rFonts w:eastAsia="Aptos"/>
                <w:kern w:val="2"/>
                <w:sz w:val="20"/>
                <w:szCs w:val="20"/>
                <w14:ligatures w14:val="standardContextual"/>
              </w:rPr>
              <w:t>a la prezenta lege</w:t>
            </w:r>
            <w:r w:rsidRPr="00154588">
              <w:rPr>
                <w:rFonts w:eastAsia="Aptos"/>
                <w:kern w:val="2"/>
                <w:sz w:val="20"/>
                <w:szCs w:val="20"/>
                <w14:ligatures w14:val="standardContextual"/>
              </w:rPr>
              <w:t>, la art. 4</w:t>
            </w:r>
            <w:r w:rsidR="00834565" w:rsidRPr="00154588">
              <w:rPr>
                <w:rFonts w:eastAsia="Aptos"/>
                <w:kern w:val="2"/>
                <w:sz w:val="20"/>
                <w:szCs w:val="20"/>
                <w14:ligatures w14:val="standardContextual"/>
              </w:rPr>
              <w:t>3</w:t>
            </w:r>
            <w:r w:rsidRPr="00154588">
              <w:rPr>
                <w:rFonts w:eastAsia="Aptos"/>
                <w:kern w:val="2"/>
                <w:sz w:val="20"/>
                <w:szCs w:val="20"/>
                <w14:ligatures w14:val="standardContextual"/>
              </w:rPr>
              <w:t xml:space="preserve"> lit.</w:t>
            </w:r>
            <w:r w:rsidR="00834565" w:rsidRPr="00154588">
              <w:rPr>
                <w:rFonts w:eastAsia="Aptos"/>
                <w:kern w:val="2"/>
                <w:sz w:val="20"/>
                <w:szCs w:val="20"/>
                <w14:ligatures w14:val="standardContextual"/>
              </w:rPr>
              <w:t>c</w:t>
            </w:r>
            <w:r w:rsidRPr="00154588">
              <w:rPr>
                <w:rFonts w:eastAsia="Aptos"/>
                <w:kern w:val="2"/>
                <w:sz w:val="20"/>
                <w:szCs w:val="20"/>
                <w14:ligatures w14:val="standardContextual"/>
              </w:rPr>
              <w:t>) sau lit.</w:t>
            </w:r>
            <w:r w:rsidR="00834565" w:rsidRPr="00154588">
              <w:rPr>
                <w:rFonts w:eastAsia="Aptos"/>
                <w:kern w:val="2"/>
                <w:sz w:val="20"/>
                <w:szCs w:val="20"/>
                <w14:ligatures w14:val="standardContextual"/>
              </w:rPr>
              <w:t>d</w:t>
            </w:r>
            <w:r w:rsidRPr="00154588">
              <w:rPr>
                <w:rFonts w:eastAsia="Aptos"/>
                <w:kern w:val="2"/>
                <w:sz w:val="20"/>
                <w:szCs w:val="20"/>
                <w14:ligatures w14:val="standardContextual"/>
              </w:rPr>
              <w:t xml:space="preserve">), aceasta poate solicita asistența Autorității Bancare Europene în conformitate cu prevederile art.19 alin.(3) din Regulamentul (UE) nr.1093/2010, în vederea ajungerii la un acord cu </w:t>
            </w:r>
            <w:r w:rsidR="00834565" w:rsidRPr="00154588">
              <w:rPr>
                <w:rFonts w:eastAsia="Aptos"/>
                <w:kern w:val="2"/>
                <w:sz w:val="20"/>
                <w:szCs w:val="20"/>
                <w14:ligatures w14:val="standardContextual"/>
              </w:rPr>
              <w:t>celelalte autorități competente ale grupului</w:t>
            </w:r>
            <w:r w:rsidRPr="00154588">
              <w:rPr>
                <w:rFonts w:eastAsia="Aptos"/>
                <w:kern w:val="2"/>
                <w:sz w:val="20"/>
                <w:szCs w:val="20"/>
                <w14:ligatures w14:val="standardContextual"/>
              </w:rPr>
              <w:t>.</w:t>
            </w:r>
          </w:p>
        </w:tc>
        <w:tc>
          <w:tcPr>
            <w:tcW w:w="2552" w:type="dxa"/>
          </w:tcPr>
          <w:p w14:paraId="7C6C4D4B" w14:textId="559CB4AD" w:rsidR="00461D67" w:rsidRPr="00154588" w:rsidRDefault="00461D67" w:rsidP="008C12B4">
            <w:pPr>
              <w:jc w:val="both"/>
              <w:rPr>
                <w:bCs/>
                <w:sz w:val="20"/>
                <w:szCs w:val="20"/>
              </w:rPr>
            </w:pPr>
            <w:r w:rsidRPr="00154588">
              <w:rPr>
                <w:bCs/>
                <w:sz w:val="20"/>
                <w:szCs w:val="20"/>
              </w:rPr>
              <w:t>Compatibil</w:t>
            </w:r>
          </w:p>
        </w:tc>
        <w:tc>
          <w:tcPr>
            <w:tcW w:w="3118" w:type="dxa"/>
          </w:tcPr>
          <w:p w14:paraId="61DE2510" w14:textId="77777777" w:rsidR="00461D67" w:rsidRPr="00154588" w:rsidRDefault="00461D67" w:rsidP="008C12B4">
            <w:pPr>
              <w:jc w:val="both"/>
              <w:rPr>
                <w:bCs/>
                <w:sz w:val="20"/>
                <w:szCs w:val="20"/>
              </w:rPr>
            </w:pPr>
          </w:p>
        </w:tc>
      </w:tr>
      <w:tr w:rsidR="00461D67" w:rsidRPr="00154588" w14:paraId="46449427" w14:textId="77777777" w:rsidTr="00D15C1B">
        <w:trPr>
          <w:jc w:val="center"/>
        </w:trPr>
        <w:tc>
          <w:tcPr>
            <w:tcW w:w="4957" w:type="dxa"/>
            <w:gridSpan w:val="2"/>
          </w:tcPr>
          <w:p w14:paraId="78E8003D" w14:textId="77777777" w:rsidR="00461D67" w:rsidRPr="00154588" w:rsidRDefault="00461D67" w:rsidP="008C12B4">
            <w:pPr>
              <w:jc w:val="both"/>
              <w:rPr>
                <w:bCs/>
                <w:sz w:val="20"/>
                <w:szCs w:val="20"/>
              </w:rPr>
            </w:pPr>
            <w:r w:rsidRPr="00154588">
              <w:rPr>
                <w:bCs/>
                <w:sz w:val="20"/>
                <w:szCs w:val="20"/>
              </w:rPr>
              <w:t xml:space="preserve">(7)   Decizia fiecărei autorități competente trebuie să fie motivată. Această decizie ține seama de opiniile și rezervele exprimate de celelalte autorități competente pe parcursul perioadei de consultare menționate la alineatul (1) sau la alineatul (3) sau pe parcursul perioadei de 5 zile menționate la alineatul (4) precum și de impactul potențial al deciziei asupra stabilității financiare din statele membre vizate. Deciziile sunt transmise întreprinderii-mamă din Uniune de </w:t>
            </w:r>
            <w:r w:rsidRPr="00154588">
              <w:rPr>
                <w:bCs/>
                <w:sz w:val="20"/>
                <w:szCs w:val="20"/>
              </w:rPr>
              <w:lastRenderedPageBreak/>
              <w:t>către supraveghetorul consolidant și filialelor de către autoritățile competente respective.</w:t>
            </w:r>
          </w:p>
          <w:p w14:paraId="3AF54D6D" w14:textId="77777777" w:rsidR="00461D67" w:rsidRPr="00154588" w:rsidRDefault="00461D67" w:rsidP="008C12B4">
            <w:pPr>
              <w:jc w:val="both"/>
              <w:rPr>
                <w:bCs/>
                <w:sz w:val="20"/>
                <w:szCs w:val="20"/>
              </w:rPr>
            </w:pPr>
          </w:p>
          <w:p w14:paraId="71771852" w14:textId="775E2988" w:rsidR="00461D67" w:rsidRPr="00154588" w:rsidRDefault="00461D67" w:rsidP="008C12B4">
            <w:pPr>
              <w:jc w:val="both"/>
              <w:rPr>
                <w:bCs/>
                <w:sz w:val="20"/>
                <w:szCs w:val="20"/>
              </w:rPr>
            </w:pPr>
            <w:r w:rsidRPr="00154588">
              <w:rPr>
                <w:bCs/>
                <w:sz w:val="20"/>
                <w:szCs w:val="20"/>
              </w:rPr>
              <w:t>În situațiile menționate la alineatul (6) din prezentul articol, în care înainte de sfârșitul perioadei de consultare menționate la alineatele (1) și (3) din prezentul articol sau până la finalul perioadei de cinci zile menționate la alineatul (4) din prezentul articol, oricare dintre autoritățile competente implicate a adus problema în atenția ABE în conformitate cu articolul 19 alineatul (3) din Regulamentul (UE) nr. 1093/2010, supraveghetorul consolidant și celelalte autorități competente își amână deciziile și așteaptă decizia pe care ABE o poate lua în conformitate cu articolul 19 alineatul (3) din regulamentul menționat, adoptând apoi propriile lor decizii în conformitate cu decizia ABE. Perioada de cinci zile se consideră a fi perioadă de conciliere în înțelesul regulamentului menționat. ABE adoptă propria sa decizie în termen de trei zile. Problema nu poate fi adusă în atenția ABE după expirarea perioadei de cinci zile sau după ce s-a ajuns la o decizie comună.</w:t>
            </w:r>
          </w:p>
        </w:tc>
        <w:tc>
          <w:tcPr>
            <w:tcW w:w="4819" w:type="dxa"/>
          </w:tcPr>
          <w:p w14:paraId="6BB2F53E" w14:textId="77777777" w:rsidR="00461D67" w:rsidRPr="00154588" w:rsidRDefault="00461D67" w:rsidP="008C12B4">
            <w:pPr>
              <w:ind w:firstLine="567"/>
              <w:jc w:val="both"/>
              <w:rPr>
                <w:rFonts w:eastAsia="Calibri"/>
                <w:kern w:val="2"/>
                <w:sz w:val="20"/>
                <w:szCs w:val="20"/>
                <w14:ligatures w14:val="standardContextual"/>
              </w:rPr>
            </w:pPr>
            <w:r w:rsidRPr="00154588">
              <w:rPr>
                <w:rFonts w:eastAsia="Calibri"/>
                <w:b/>
                <w:bCs/>
                <w:kern w:val="2"/>
                <w:sz w:val="20"/>
                <w:szCs w:val="20"/>
                <w14:ligatures w14:val="standardContextual"/>
              </w:rPr>
              <w:lastRenderedPageBreak/>
              <w:t>Articolul 54</w:t>
            </w:r>
            <w:r w:rsidRPr="00154588">
              <w:rPr>
                <w:rFonts w:eastAsia="Calibri"/>
                <w:b/>
                <w:bCs/>
                <w:kern w:val="2"/>
                <w:sz w:val="20"/>
                <w:szCs w:val="20"/>
                <w:vertAlign w:val="superscript"/>
                <w14:ligatures w14:val="standardContextual"/>
              </w:rPr>
              <w:t>7</w:t>
            </w:r>
            <w:r w:rsidRPr="00154588">
              <w:rPr>
                <w:rFonts w:eastAsia="Calibri"/>
                <w:b/>
                <w:bCs/>
                <w:kern w:val="2"/>
                <w:sz w:val="20"/>
                <w:szCs w:val="20"/>
                <w14:ligatures w14:val="standardContextual"/>
              </w:rPr>
              <w:t xml:space="preserve">. – </w:t>
            </w:r>
            <w:r w:rsidRPr="00154588">
              <w:rPr>
                <w:rFonts w:eastAsia="Calibri"/>
                <w:kern w:val="2"/>
                <w:sz w:val="20"/>
                <w:szCs w:val="20"/>
                <w14:ligatures w14:val="standardContextual"/>
              </w:rPr>
              <w:t>(1) Decizia Băncii Naționale a Moldovei, în calitate de supraveghetor consolidant, trebuie să fie motivată. Această decizie trebuie să țină cont de opiniile și rezervele exprimate de celelalte autorități competente pe parcursul perioadei de consultare prevăzute la art.54</w:t>
            </w:r>
            <w:r w:rsidRPr="00154588">
              <w:rPr>
                <w:rFonts w:eastAsia="Calibri"/>
                <w:kern w:val="2"/>
                <w:sz w:val="20"/>
                <w:szCs w:val="20"/>
                <w:vertAlign w:val="superscript"/>
                <w14:ligatures w14:val="standardContextual"/>
              </w:rPr>
              <w:t>1</w:t>
            </w:r>
            <w:r w:rsidRPr="00154588">
              <w:rPr>
                <w:rFonts w:eastAsia="Calibri"/>
                <w:kern w:val="2"/>
                <w:sz w:val="20"/>
                <w:szCs w:val="20"/>
                <w14:ligatures w14:val="standardContextual"/>
              </w:rPr>
              <w:t> sau la art.54</w:t>
            </w:r>
            <w:r w:rsidRPr="00154588">
              <w:rPr>
                <w:rFonts w:eastAsia="Calibri"/>
                <w:kern w:val="2"/>
                <w:sz w:val="20"/>
                <w:szCs w:val="20"/>
                <w:vertAlign w:val="superscript"/>
                <w14:ligatures w14:val="standardContextual"/>
              </w:rPr>
              <w:t>3</w:t>
            </w:r>
            <w:r w:rsidRPr="00154588">
              <w:rPr>
                <w:rFonts w:eastAsia="Calibri"/>
                <w:kern w:val="2"/>
                <w:sz w:val="20"/>
                <w:szCs w:val="20"/>
                <w14:ligatures w14:val="standardContextual"/>
              </w:rPr>
              <w:t> ori pe parcursul perioadei de cinci zile prevăzute la art.54</w:t>
            </w:r>
            <w:r w:rsidRPr="00154588">
              <w:rPr>
                <w:rFonts w:eastAsia="Calibri"/>
                <w:kern w:val="2"/>
                <w:sz w:val="20"/>
                <w:szCs w:val="20"/>
                <w:vertAlign w:val="superscript"/>
                <w14:ligatures w14:val="standardContextual"/>
              </w:rPr>
              <w:t>4</w:t>
            </w:r>
            <w:r w:rsidRPr="00154588">
              <w:rPr>
                <w:rFonts w:eastAsia="Calibri"/>
                <w:kern w:val="2"/>
                <w:sz w:val="20"/>
                <w:szCs w:val="20"/>
                <w14:ligatures w14:val="standardContextual"/>
              </w:rPr>
              <w:t xml:space="preserve">, precum și de impactul potențial al deciziei asupra stabilității financiare </w:t>
            </w:r>
            <w:r w:rsidRPr="00154588">
              <w:rPr>
                <w:rFonts w:eastAsia="Calibri"/>
                <w:kern w:val="2"/>
                <w:sz w:val="20"/>
                <w:szCs w:val="20"/>
                <w14:ligatures w14:val="standardContextual"/>
              </w:rPr>
              <w:lastRenderedPageBreak/>
              <w:t>din statele membre ale Uniunii Europene vizate. Decizia Băncii Naționale a Moldovei, în calitate de supraveghetor consolidant, este transmisă de către aceasta întreprinderii-mamă din Uniunea Europeană pentru care Banca Națională a Moldovei este supraveghetor consolidant.</w:t>
            </w:r>
          </w:p>
          <w:p w14:paraId="4B773878" w14:textId="77777777" w:rsidR="00461D67" w:rsidRPr="00154588" w:rsidRDefault="00461D67"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(2) În situațiile prevăzute la art.54</w:t>
            </w:r>
            <w:r w:rsidRPr="00154588">
              <w:rPr>
                <w:rFonts w:eastAsia="Calibri"/>
                <w:kern w:val="2"/>
                <w:sz w:val="20"/>
                <w:szCs w:val="20"/>
                <w:vertAlign w:val="superscript"/>
                <w14:ligatures w14:val="standardContextual"/>
              </w:rPr>
              <w:t>6</w:t>
            </w:r>
            <w:r w:rsidRPr="00154588">
              <w:rPr>
                <w:rFonts w:eastAsia="Calibri"/>
                <w:kern w:val="2"/>
                <w:sz w:val="20"/>
                <w:szCs w:val="20"/>
                <w14:ligatures w14:val="standardContextual"/>
              </w:rPr>
              <w:t>, în care, înainte de sfârșitul perioadei de consultare prevăzute la art.54</w:t>
            </w:r>
            <w:r w:rsidRPr="00154588">
              <w:rPr>
                <w:rFonts w:eastAsia="Calibri"/>
                <w:kern w:val="2"/>
                <w:sz w:val="20"/>
                <w:szCs w:val="20"/>
                <w:vertAlign w:val="superscript"/>
                <w14:ligatures w14:val="standardContextual"/>
              </w:rPr>
              <w:t>1</w:t>
            </w:r>
            <w:r w:rsidRPr="00154588">
              <w:rPr>
                <w:rFonts w:eastAsia="Calibri"/>
                <w:kern w:val="2"/>
                <w:sz w:val="20"/>
                <w:szCs w:val="20"/>
                <w14:ligatures w14:val="standardContextual"/>
              </w:rPr>
              <w:t> și 54</w:t>
            </w:r>
            <w:r w:rsidRPr="00154588">
              <w:rPr>
                <w:rFonts w:eastAsia="Calibri"/>
                <w:kern w:val="2"/>
                <w:sz w:val="20"/>
                <w:szCs w:val="20"/>
                <w:vertAlign w:val="superscript"/>
                <w14:ligatures w14:val="standardContextual"/>
              </w:rPr>
              <w:t>3</w:t>
            </w:r>
            <w:r w:rsidRPr="00154588">
              <w:rPr>
                <w:rFonts w:eastAsia="Calibri"/>
                <w:kern w:val="2"/>
                <w:sz w:val="20"/>
                <w:szCs w:val="20"/>
                <w14:ligatures w14:val="standardContextual"/>
              </w:rPr>
              <w:t> sau la finalul perioadei de cinci zile prevăzute la art.54</w:t>
            </w:r>
            <w:r w:rsidRPr="00154588">
              <w:rPr>
                <w:rFonts w:eastAsia="Calibri"/>
                <w:kern w:val="2"/>
                <w:sz w:val="20"/>
                <w:szCs w:val="20"/>
                <w:vertAlign w:val="superscript"/>
                <w14:ligatures w14:val="standardContextual"/>
              </w:rPr>
              <w:t>4</w:t>
            </w:r>
            <w:r w:rsidRPr="00154588">
              <w:rPr>
                <w:rFonts w:eastAsia="Calibri"/>
                <w:kern w:val="2"/>
                <w:sz w:val="20"/>
                <w:szCs w:val="20"/>
                <w14:ligatures w14:val="standardContextual"/>
              </w:rPr>
              <w:t>, oricare dintre autoritățile competente în cauză a adus problema în atenția Autorității Bancare Europene în conformitate cu prevederile art.19 alin.(3) din Regulamentul (UE) nr.1093/2010, Banca Națională a Moldovei, în calitate de supraveghetor consolidant, își amână decizia și așteaptă decizia pe care Autoritatea Bancară Europeană o poate lua în conformitate cu prevederile art.19 alin.(3) din același regulament.</w:t>
            </w:r>
          </w:p>
          <w:p w14:paraId="37BE31A1" w14:textId="77777777" w:rsidR="00461D67" w:rsidRPr="00154588" w:rsidRDefault="00461D67"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(3) Perioada de cinci zile se consideră a fi perioadă de conciliere în înțelesul Regulamentului (UE) nr.1093/2010.</w:t>
            </w:r>
          </w:p>
          <w:p w14:paraId="1682C5C2" w14:textId="77777777" w:rsidR="00461D67" w:rsidRPr="00154588" w:rsidRDefault="00461D67"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(4) Banca Națională a Moldovei, în calitate de supraveghetor consolidant, adoptă propria decizie în conformitate cu decizia Autorității Bancare Europene, exprimată în termen de trei zile.</w:t>
            </w:r>
          </w:p>
          <w:p w14:paraId="1F893DFD" w14:textId="0BC34E2E" w:rsidR="00461D67" w:rsidRPr="00154588" w:rsidRDefault="00461D67"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(5) Problema nu poate fi adusă în atenția Autorității Bancare Europene după expirarea perioadei de cinci zile sau după ce s-a ajuns la o decizie comună.</w:t>
            </w:r>
          </w:p>
        </w:tc>
        <w:tc>
          <w:tcPr>
            <w:tcW w:w="2552" w:type="dxa"/>
          </w:tcPr>
          <w:p w14:paraId="195FAC94" w14:textId="35E24362" w:rsidR="00461D67" w:rsidRPr="00154588" w:rsidRDefault="00461D67" w:rsidP="008C12B4">
            <w:pPr>
              <w:jc w:val="both"/>
              <w:rPr>
                <w:bCs/>
                <w:sz w:val="20"/>
                <w:szCs w:val="20"/>
              </w:rPr>
            </w:pPr>
            <w:r w:rsidRPr="00154588">
              <w:rPr>
                <w:bCs/>
                <w:sz w:val="20"/>
                <w:szCs w:val="20"/>
              </w:rPr>
              <w:lastRenderedPageBreak/>
              <w:t>Compatibil</w:t>
            </w:r>
          </w:p>
        </w:tc>
        <w:tc>
          <w:tcPr>
            <w:tcW w:w="3118" w:type="dxa"/>
          </w:tcPr>
          <w:p w14:paraId="066C687C" w14:textId="77777777" w:rsidR="00461D67" w:rsidRPr="00154588" w:rsidRDefault="00461D67" w:rsidP="008C12B4">
            <w:pPr>
              <w:jc w:val="both"/>
              <w:rPr>
                <w:bCs/>
                <w:sz w:val="20"/>
                <w:szCs w:val="20"/>
              </w:rPr>
            </w:pPr>
          </w:p>
        </w:tc>
      </w:tr>
      <w:tr w:rsidR="00461D67" w:rsidRPr="00154588" w14:paraId="3B82BC6A" w14:textId="77777777" w:rsidTr="00D15C1B">
        <w:trPr>
          <w:jc w:val="center"/>
        </w:trPr>
        <w:tc>
          <w:tcPr>
            <w:tcW w:w="4957" w:type="dxa"/>
            <w:gridSpan w:val="2"/>
          </w:tcPr>
          <w:p w14:paraId="05C9DA65" w14:textId="0EA6B47F" w:rsidR="00461D67" w:rsidRPr="00154588" w:rsidRDefault="00461D67" w:rsidP="008C12B4">
            <w:pPr>
              <w:jc w:val="both"/>
              <w:rPr>
                <w:bCs/>
                <w:sz w:val="20"/>
                <w:szCs w:val="20"/>
              </w:rPr>
            </w:pPr>
            <w:r w:rsidRPr="00154588">
              <w:rPr>
                <w:bCs/>
                <w:sz w:val="20"/>
                <w:szCs w:val="20"/>
              </w:rPr>
              <w:t>(8)   În absența unei decizii din partea ABE în termen de trei zile, se aplică deciziile individuale luate în conformitate cu alineatele (1) sau (3), sau cu alineatul (4) al treilea paragraf.</w:t>
            </w:r>
          </w:p>
        </w:tc>
        <w:tc>
          <w:tcPr>
            <w:tcW w:w="4819" w:type="dxa"/>
          </w:tcPr>
          <w:p w14:paraId="4CCCB204" w14:textId="60225743" w:rsidR="00461D67" w:rsidRPr="00154588" w:rsidRDefault="00461D67" w:rsidP="008C12B4">
            <w:pPr>
              <w:ind w:firstLine="567"/>
              <w:jc w:val="both"/>
              <w:rPr>
                <w:rFonts w:eastAsia="Calibri"/>
                <w:kern w:val="2"/>
                <w:sz w:val="20"/>
                <w:szCs w:val="20"/>
                <w14:ligatures w14:val="standardContextual"/>
              </w:rPr>
            </w:pP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8</w:t>
            </w:r>
            <w:r w:rsidRPr="00154588">
              <w:rPr>
                <w:rFonts w:eastAsia="Calibri"/>
                <w:b/>
                <w:bCs/>
                <w:kern w:val="2"/>
                <w:sz w:val="20"/>
                <w:szCs w:val="20"/>
                <w14:ligatures w14:val="standardContextual"/>
              </w:rPr>
              <w:t xml:space="preserve">. – </w:t>
            </w:r>
            <w:r w:rsidRPr="00154588">
              <w:rPr>
                <w:rFonts w:eastAsia="Calibri"/>
                <w:kern w:val="2"/>
                <w:sz w:val="20"/>
                <w:szCs w:val="20"/>
                <w14:ligatures w14:val="standardContextual"/>
              </w:rPr>
              <w:t>În absența unei decizii din partea Autorității Bancare Europene în termen de trei zile, se aplică deciziile individuale luate în conformitate cu prevederile art.54</w:t>
            </w:r>
            <w:r w:rsidRPr="00154588">
              <w:rPr>
                <w:rFonts w:eastAsia="Calibri"/>
                <w:kern w:val="2"/>
                <w:sz w:val="20"/>
                <w:szCs w:val="20"/>
                <w:vertAlign w:val="superscript"/>
                <w14:ligatures w14:val="standardContextual"/>
              </w:rPr>
              <w:t>1</w:t>
            </w:r>
            <w:r w:rsidRPr="00154588">
              <w:rPr>
                <w:rFonts w:eastAsia="Calibri"/>
                <w:kern w:val="2"/>
                <w:sz w:val="20"/>
                <w:szCs w:val="20"/>
                <w14:ligatures w14:val="standardContextual"/>
              </w:rPr>
              <w:t>, 54</w:t>
            </w:r>
            <w:r w:rsidRPr="00154588">
              <w:rPr>
                <w:rFonts w:eastAsia="Calibri"/>
                <w:kern w:val="2"/>
                <w:sz w:val="20"/>
                <w:szCs w:val="20"/>
                <w:vertAlign w:val="superscript"/>
                <w14:ligatures w14:val="standardContextual"/>
              </w:rPr>
              <w:t>3</w:t>
            </w:r>
            <w:r w:rsidRPr="00154588">
              <w:rPr>
                <w:rFonts w:eastAsia="Calibri"/>
                <w:kern w:val="2"/>
                <w:sz w:val="20"/>
                <w:szCs w:val="20"/>
                <w14:ligatures w14:val="standardContextual"/>
              </w:rPr>
              <w:t xml:space="preserve"> sau art.54</w:t>
            </w:r>
            <w:r w:rsidRPr="00154588">
              <w:rPr>
                <w:rFonts w:eastAsia="Calibri"/>
                <w:kern w:val="2"/>
                <w:sz w:val="20"/>
                <w:szCs w:val="20"/>
                <w:vertAlign w:val="superscript"/>
                <w14:ligatures w14:val="standardContextual"/>
              </w:rPr>
              <w:t>4</w:t>
            </w:r>
            <w:r w:rsidRPr="00154588">
              <w:rPr>
                <w:rFonts w:eastAsia="Calibri"/>
                <w:kern w:val="2"/>
                <w:sz w:val="20"/>
                <w:szCs w:val="20"/>
                <w14:ligatures w14:val="standardContextual"/>
              </w:rPr>
              <w:t xml:space="preserve"> alin.(3).</w:t>
            </w:r>
          </w:p>
        </w:tc>
        <w:tc>
          <w:tcPr>
            <w:tcW w:w="2552" w:type="dxa"/>
          </w:tcPr>
          <w:p w14:paraId="2B7BB1E6" w14:textId="7A119CBB" w:rsidR="00461D67" w:rsidRPr="00154588" w:rsidRDefault="00461D67" w:rsidP="008C12B4">
            <w:pPr>
              <w:jc w:val="both"/>
              <w:rPr>
                <w:bCs/>
                <w:sz w:val="20"/>
                <w:szCs w:val="20"/>
              </w:rPr>
            </w:pPr>
            <w:r w:rsidRPr="00154588">
              <w:rPr>
                <w:bCs/>
                <w:sz w:val="20"/>
                <w:szCs w:val="20"/>
              </w:rPr>
              <w:t>Compatibil</w:t>
            </w:r>
          </w:p>
        </w:tc>
        <w:tc>
          <w:tcPr>
            <w:tcW w:w="3118" w:type="dxa"/>
          </w:tcPr>
          <w:p w14:paraId="4364879E" w14:textId="77777777" w:rsidR="00461D67" w:rsidRPr="00154588" w:rsidRDefault="00461D67" w:rsidP="008C12B4">
            <w:pPr>
              <w:jc w:val="both"/>
              <w:rPr>
                <w:bCs/>
                <w:sz w:val="20"/>
                <w:szCs w:val="20"/>
              </w:rPr>
            </w:pPr>
          </w:p>
        </w:tc>
      </w:tr>
      <w:tr w:rsidR="000348FA" w:rsidRPr="00154588" w14:paraId="2220C6D9" w14:textId="77777777" w:rsidTr="00D15C1B">
        <w:trPr>
          <w:jc w:val="center"/>
        </w:trPr>
        <w:tc>
          <w:tcPr>
            <w:tcW w:w="4957" w:type="dxa"/>
            <w:gridSpan w:val="2"/>
          </w:tcPr>
          <w:p w14:paraId="4A849A8D" w14:textId="77777777" w:rsidR="000348FA" w:rsidRPr="00154588" w:rsidRDefault="000348FA" w:rsidP="008C12B4">
            <w:pPr>
              <w:rPr>
                <w:b/>
                <w:sz w:val="20"/>
                <w:szCs w:val="20"/>
              </w:rPr>
            </w:pPr>
            <w:r w:rsidRPr="00154588">
              <w:rPr>
                <w:b/>
                <w:sz w:val="20"/>
                <w:szCs w:val="20"/>
              </w:rPr>
              <w:t xml:space="preserve">Articolul 30 </w:t>
            </w:r>
          </w:p>
          <w:p w14:paraId="029795FF" w14:textId="338E4BEE" w:rsidR="000348FA" w:rsidRPr="00154588" w:rsidRDefault="000348FA" w:rsidP="008C12B4">
            <w:pPr>
              <w:rPr>
                <w:bCs/>
                <w:sz w:val="20"/>
                <w:szCs w:val="20"/>
              </w:rPr>
            </w:pPr>
            <w:r w:rsidRPr="00154588">
              <w:rPr>
                <w:b/>
                <w:sz w:val="20"/>
                <w:szCs w:val="20"/>
              </w:rPr>
              <w:t>Coordonarea măsurilor de intervenție timpurie în cazul grupurilor</w:t>
            </w:r>
          </w:p>
        </w:tc>
        <w:tc>
          <w:tcPr>
            <w:tcW w:w="4819" w:type="dxa"/>
          </w:tcPr>
          <w:p w14:paraId="4CDF0949" w14:textId="77777777" w:rsidR="000348FA" w:rsidRPr="00154588" w:rsidRDefault="000348FA" w:rsidP="008C12B4">
            <w:pPr>
              <w:jc w:val="center"/>
              <w:rPr>
                <w:rFonts w:eastAsia="Calibri"/>
                <w:b/>
                <w:bCs/>
                <w:kern w:val="2"/>
                <w:sz w:val="20"/>
                <w:szCs w:val="20"/>
                <w14:ligatures w14:val="standardContextual"/>
              </w:rPr>
            </w:pPr>
            <w:r w:rsidRPr="00154588">
              <w:rPr>
                <w:rFonts w:eastAsia="Calibri"/>
                <w:b/>
                <w:bCs/>
                <w:kern w:val="2"/>
                <w:sz w:val="20"/>
                <w:szCs w:val="20"/>
                <w14:ligatures w14:val="standardContextual"/>
              </w:rPr>
              <w:t>Capitolul V</w:t>
            </w:r>
          </w:p>
          <w:p w14:paraId="23740E76" w14:textId="2D9EA4AE" w:rsidR="000348FA" w:rsidRPr="00154588" w:rsidRDefault="000348FA" w:rsidP="008C12B4">
            <w:pPr>
              <w:jc w:val="center"/>
              <w:rPr>
                <w:rFonts w:eastAsia="Calibri"/>
                <w:b/>
                <w:bCs/>
                <w:kern w:val="2"/>
                <w:sz w:val="20"/>
                <w:szCs w:val="20"/>
                <w14:ligatures w14:val="standardContextual"/>
              </w:rPr>
            </w:pPr>
            <w:r w:rsidRPr="00154588">
              <w:rPr>
                <w:rFonts w:eastAsia="Calibri"/>
                <w:b/>
                <w:bCs/>
                <w:kern w:val="2"/>
                <w:sz w:val="20"/>
                <w:szCs w:val="20"/>
                <w14:ligatures w14:val="standardContextual"/>
              </w:rPr>
              <w:t xml:space="preserve">COORONAREA MĂSURILOR DE INTEVENȚIE TIMPURIE ÎN CAZUL </w:t>
            </w:r>
          </w:p>
          <w:p w14:paraId="365B8FA6" w14:textId="77777777" w:rsidR="000348FA" w:rsidRPr="00154588" w:rsidRDefault="000348FA" w:rsidP="008C12B4">
            <w:pPr>
              <w:jc w:val="center"/>
              <w:rPr>
                <w:rFonts w:eastAsia="Calibri"/>
                <w:b/>
                <w:bCs/>
                <w:kern w:val="2"/>
                <w:sz w:val="20"/>
                <w:szCs w:val="20"/>
                <w14:ligatures w14:val="standardContextual"/>
              </w:rPr>
            </w:pPr>
            <w:r w:rsidRPr="00154588">
              <w:rPr>
                <w:rFonts w:eastAsia="Calibri"/>
                <w:b/>
                <w:bCs/>
                <w:kern w:val="2"/>
                <w:sz w:val="20"/>
                <w:szCs w:val="20"/>
                <w14:ligatures w14:val="standardContextual"/>
              </w:rPr>
              <w:t xml:space="preserve">GRUPURILOR PENTRU CARE  BANCA NAȚIONALĂ A MOLDOCVEI </w:t>
            </w:r>
          </w:p>
          <w:p w14:paraId="0C61FF0D" w14:textId="477068E1" w:rsidR="000348FA" w:rsidRPr="00154588" w:rsidRDefault="000348FA" w:rsidP="008C12B4">
            <w:pPr>
              <w:jc w:val="center"/>
              <w:rPr>
                <w:rFonts w:eastAsia="Calibri"/>
                <w:b/>
                <w:bCs/>
                <w:kern w:val="2"/>
                <w:sz w:val="20"/>
                <w:szCs w:val="20"/>
                <w14:ligatures w14:val="standardContextual"/>
              </w:rPr>
            </w:pPr>
            <w:r w:rsidRPr="00154588">
              <w:rPr>
                <w:rFonts w:eastAsia="Calibri"/>
                <w:b/>
                <w:bCs/>
                <w:kern w:val="2"/>
                <w:sz w:val="20"/>
                <w:szCs w:val="20"/>
                <w14:ligatures w14:val="standardContextual"/>
              </w:rPr>
              <w:t>ESTE AUTORIATEA COMPETENTĂ LA NIVEL INDIVIDUAL</w:t>
            </w:r>
          </w:p>
        </w:tc>
        <w:tc>
          <w:tcPr>
            <w:tcW w:w="2552" w:type="dxa"/>
          </w:tcPr>
          <w:p w14:paraId="26825E08" w14:textId="77777777" w:rsidR="000348FA" w:rsidRPr="00154588" w:rsidRDefault="000348FA" w:rsidP="008C12B4">
            <w:pPr>
              <w:jc w:val="both"/>
              <w:rPr>
                <w:bCs/>
                <w:sz w:val="20"/>
                <w:szCs w:val="20"/>
              </w:rPr>
            </w:pPr>
          </w:p>
        </w:tc>
        <w:tc>
          <w:tcPr>
            <w:tcW w:w="3118" w:type="dxa"/>
          </w:tcPr>
          <w:p w14:paraId="725E2E3D" w14:textId="77777777" w:rsidR="000348FA" w:rsidRPr="00154588" w:rsidRDefault="000348FA" w:rsidP="008C12B4">
            <w:pPr>
              <w:jc w:val="both"/>
              <w:rPr>
                <w:bCs/>
                <w:sz w:val="20"/>
                <w:szCs w:val="20"/>
              </w:rPr>
            </w:pPr>
          </w:p>
        </w:tc>
      </w:tr>
      <w:tr w:rsidR="000348FA" w:rsidRPr="00154588" w14:paraId="7382F72A" w14:textId="77777777" w:rsidTr="00D15C1B">
        <w:trPr>
          <w:jc w:val="center"/>
        </w:trPr>
        <w:tc>
          <w:tcPr>
            <w:tcW w:w="4957" w:type="dxa"/>
            <w:gridSpan w:val="2"/>
          </w:tcPr>
          <w:p w14:paraId="286B7D36" w14:textId="1C826B32" w:rsidR="000348FA" w:rsidRPr="00154588" w:rsidRDefault="000348FA" w:rsidP="008C12B4">
            <w:pPr>
              <w:jc w:val="both"/>
              <w:rPr>
                <w:bCs/>
                <w:sz w:val="20"/>
                <w:szCs w:val="20"/>
              </w:rPr>
            </w:pPr>
            <w:r w:rsidRPr="00154588">
              <w:rPr>
                <w:bCs/>
                <w:sz w:val="20"/>
                <w:szCs w:val="20"/>
              </w:rPr>
              <w:t xml:space="preserve">(1)   Atunci când condițiile de </w:t>
            </w:r>
            <w:r w:rsidR="00140D51" w:rsidRPr="00154588">
              <w:rPr>
                <w:bCs/>
                <w:sz w:val="20"/>
                <w:szCs w:val="20"/>
              </w:rPr>
              <w:t xml:space="preserve">aplicare  </w:t>
            </w:r>
            <w:r w:rsidRPr="00154588">
              <w:rPr>
                <w:bCs/>
                <w:sz w:val="20"/>
                <w:szCs w:val="20"/>
              </w:rPr>
              <w:t xml:space="preserve">a </w:t>
            </w:r>
            <w:r w:rsidR="00140D51" w:rsidRPr="00154588">
              <w:rPr>
                <w:bCs/>
                <w:sz w:val="20"/>
                <w:szCs w:val="20"/>
              </w:rPr>
              <w:t>măsurilor de interventie timpurie în temeiul</w:t>
            </w:r>
            <w:r w:rsidRPr="00154588">
              <w:rPr>
                <w:bCs/>
                <w:sz w:val="20"/>
                <w:szCs w:val="20"/>
              </w:rPr>
              <w:t xml:space="preserve"> articolul</w:t>
            </w:r>
            <w:r w:rsidR="00140D51" w:rsidRPr="00154588">
              <w:rPr>
                <w:bCs/>
                <w:sz w:val="20"/>
                <w:szCs w:val="20"/>
              </w:rPr>
              <w:t>ui</w:t>
            </w:r>
            <w:r w:rsidRPr="00154588">
              <w:rPr>
                <w:bCs/>
                <w:sz w:val="20"/>
                <w:szCs w:val="20"/>
              </w:rPr>
              <w:t xml:space="preserve"> 27 sunt îndeplinite în legătură cu o întreprindere-mamă din Uniune, supraveghetorul consolidant notifică ABE și se consultă cu celelalte autorități competente din cadrul colegiului de supraveghere</w:t>
            </w:r>
            <w:r w:rsidR="00140D51" w:rsidRPr="00154588">
              <w:rPr>
                <w:bCs/>
                <w:sz w:val="20"/>
                <w:szCs w:val="20"/>
              </w:rPr>
              <w:t xml:space="preserve"> înainte de a decide cu privire la aplicarea unei măsuri de intervenție timpurie.</w:t>
            </w:r>
            <w:r w:rsidRPr="00154588">
              <w:rPr>
                <w:bCs/>
                <w:sz w:val="20"/>
                <w:szCs w:val="20"/>
              </w:rPr>
              <w:t>.</w:t>
            </w:r>
          </w:p>
        </w:tc>
        <w:tc>
          <w:tcPr>
            <w:tcW w:w="4819" w:type="dxa"/>
          </w:tcPr>
          <w:p w14:paraId="06173A2C" w14:textId="46D8C635" w:rsidR="000348FA" w:rsidRPr="00154588" w:rsidRDefault="00F90496" w:rsidP="008C12B4">
            <w:pPr>
              <w:ind w:firstLine="567"/>
              <w:jc w:val="both"/>
              <w:rPr>
                <w:rFonts w:eastAsia="Calibri"/>
                <w:kern w:val="2"/>
                <w:sz w:val="20"/>
                <w:szCs w:val="20"/>
                <w14:ligatures w14:val="standardContextual"/>
              </w:rPr>
            </w:pP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9</w:t>
            </w:r>
            <w:r w:rsidRPr="00154588">
              <w:rPr>
                <w:rFonts w:eastAsia="Calibri"/>
                <w:b/>
                <w:bCs/>
                <w:kern w:val="2"/>
                <w:sz w:val="20"/>
                <w:szCs w:val="20"/>
                <w14:ligatures w14:val="standardContextual"/>
              </w:rPr>
              <w:t xml:space="preserve">. – </w:t>
            </w:r>
            <w:r w:rsidRPr="00154588">
              <w:rPr>
                <w:rFonts w:eastAsia="Calibri"/>
                <w:kern w:val="2"/>
                <w:sz w:val="20"/>
                <w:szCs w:val="20"/>
                <w14:ligatures w14:val="standardContextual"/>
              </w:rPr>
              <w:t xml:space="preserve">Banca Națională a Moldovei, în calitate de autoritate competentă la nivel individual, membră a colegiului de supraveghere, colaborează cu supraveghetorul consolidant și cu celelalte autorități competente din cadrul colegiului de supraveghere atunci când condițiile de </w:t>
            </w:r>
            <w:r w:rsidR="00041EAB" w:rsidRPr="00154588">
              <w:rPr>
                <w:rFonts w:eastAsia="Calibri"/>
                <w:kern w:val="2"/>
                <w:sz w:val="20"/>
                <w:szCs w:val="20"/>
                <w14:ligatures w14:val="standardContextual"/>
              </w:rPr>
              <w:t xml:space="preserve">aplicare </w:t>
            </w:r>
            <w:r w:rsidRPr="00154588">
              <w:rPr>
                <w:rFonts w:eastAsia="Calibri"/>
                <w:kern w:val="2"/>
                <w:sz w:val="20"/>
                <w:szCs w:val="20"/>
                <w14:ligatures w14:val="standardContextual"/>
              </w:rPr>
              <w:t xml:space="preserve">a </w:t>
            </w:r>
            <w:r w:rsidR="00041EAB" w:rsidRPr="00154588">
              <w:rPr>
                <w:rFonts w:eastAsia="Calibri"/>
                <w:kern w:val="2"/>
                <w:sz w:val="20"/>
                <w:szCs w:val="20"/>
                <w14:ligatures w14:val="standardContextual"/>
              </w:rPr>
              <w:t xml:space="preserve">măsurilor de </w:t>
            </w:r>
            <w:r w:rsidR="00E3179F" w:rsidRPr="00154588">
              <w:rPr>
                <w:rFonts w:eastAsia="Calibri"/>
                <w:kern w:val="2"/>
                <w:sz w:val="20"/>
                <w:szCs w:val="20"/>
                <w14:ligatures w14:val="standardContextual"/>
              </w:rPr>
              <w:t>intervenție</w:t>
            </w:r>
            <w:r w:rsidR="00041EAB" w:rsidRPr="00154588">
              <w:rPr>
                <w:rFonts w:eastAsia="Calibri"/>
                <w:kern w:val="2"/>
                <w:sz w:val="20"/>
                <w:szCs w:val="20"/>
                <w14:ligatures w14:val="standardContextual"/>
              </w:rPr>
              <w:t xml:space="preserve"> timpurie în temeiul</w:t>
            </w:r>
            <w:r w:rsidRPr="00154588">
              <w:rPr>
                <w:rFonts w:eastAsia="Calibri"/>
                <w:kern w:val="2"/>
                <w:sz w:val="20"/>
                <w:szCs w:val="20"/>
                <w14:ligatures w14:val="standardContextual"/>
              </w:rPr>
              <w:t> art.42-44  sunt îndeplinite în legătură cu o întreprindere-mamă din Uniunea Europeană.</w:t>
            </w:r>
          </w:p>
          <w:p w14:paraId="3EAF36B7" w14:textId="41C3394F" w:rsidR="004F746E" w:rsidRPr="00154588" w:rsidRDefault="004F746E" w:rsidP="008C12B4">
            <w:pPr>
              <w:ind w:firstLine="567"/>
              <w:jc w:val="both"/>
              <w:rPr>
                <w:rFonts w:eastAsia="Calibri"/>
                <w:kern w:val="2"/>
                <w:sz w:val="20"/>
                <w:szCs w:val="20"/>
                <w14:ligatures w14:val="standardContextual"/>
              </w:rPr>
            </w:pPr>
          </w:p>
        </w:tc>
        <w:tc>
          <w:tcPr>
            <w:tcW w:w="2552" w:type="dxa"/>
          </w:tcPr>
          <w:p w14:paraId="62D2E9DD" w14:textId="4A94EF19" w:rsidR="000348FA" w:rsidRPr="00154588" w:rsidRDefault="00F90496" w:rsidP="008C12B4">
            <w:pPr>
              <w:jc w:val="both"/>
              <w:rPr>
                <w:bCs/>
                <w:sz w:val="20"/>
                <w:szCs w:val="20"/>
              </w:rPr>
            </w:pPr>
            <w:r w:rsidRPr="00154588">
              <w:rPr>
                <w:bCs/>
                <w:sz w:val="20"/>
                <w:szCs w:val="20"/>
              </w:rPr>
              <w:lastRenderedPageBreak/>
              <w:t>Compatibil</w:t>
            </w:r>
          </w:p>
        </w:tc>
        <w:tc>
          <w:tcPr>
            <w:tcW w:w="3118" w:type="dxa"/>
          </w:tcPr>
          <w:p w14:paraId="5062A5E4" w14:textId="77777777" w:rsidR="000348FA" w:rsidRPr="00154588" w:rsidRDefault="000348FA" w:rsidP="008C12B4">
            <w:pPr>
              <w:jc w:val="both"/>
              <w:rPr>
                <w:bCs/>
                <w:sz w:val="20"/>
                <w:szCs w:val="20"/>
              </w:rPr>
            </w:pPr>
          </w:p>
        </w:tc>
      </w:tr>
      <w:tr w:rsidR="000348FA" w:rsidRPr="00154588" w14:paraId="69E30F91" w14:textId="77777777" w:rsidTr="00D15C1B">
        <w:trPr>
          <w:jc w:val="center"/>
        </w:trPr>
        <w:tc>
          <w:tcPr>
            <w:tcW w:w="4957" w:type="dxa"/>
            <w:gridSpan w:val="2"/>
          </w:tcPr>
          <w:p w14:paraId="605CCFC3" w14:textId="5239F94D" w:rsidR="000348FA" w:rsidRPr="00154588" w:rsidRDefault="000348FA" w:rsidP="008C12B4">
            <w:pPr>
              <w:jc w:val="both"/>
              <w:rPr>
                <w:bCs/>
                <w:sz w:val="20"/>
                <w:szCs w:val="20"/>
              </w:rPr>
            </w:pPr>
            <w:r w:rsidRPr="00154588">
              <w:rPr>
                <w:bCs/>
                <w:sz w:val="20"/>
                <w:szCs w:val="20"/>
              </w:rPr>
              <w:t>(2)   În urma notificări</w:t>
            </w:r>
            <w:r w:rsidR="00140D51" w:rsidRPr="00154588">
              <w:rPr>
                <w:bCs/>
                <w:sz w:val="20"/>
                <w:szCs w:val="20"/>
              </w:rPr>
              <w:t>i</w:t>
            </w:r>
            <w:r w:rsidRPr="00154588">
              <w:rPr>
                <w:bCs/>
                <w:sz w:val="20"/>
                <w:szCs w:val="20"/>
              </w:rPr>
              <w:t xml:space="preserve"> și consultări</w:t>
            </w:r>
            <w:r w:rsidR="00140D51" w:rsidRPr="00154588">
              <w:rPr>
                <w:bCs/>
                <w:sz w:val="20"/>
                <w:szCs w:val="20"/>
              </w:rPr>
              <w:t>i menționate la alineatul (1) de la prezentul articol</w:t>
            </w:r>
            <w:r w:rsidRPr="00154588">
              <w:rPr>
                <w:bCs/>
                <w:sz w:val="20"/>
                <w:szCs w:val="20"/>
              </w:rPr>
              <w:t xml:space="preserve">, supraveghetorul consolidant decide dacă să aplice </w:t>
            </w:r>
            <w:r w:rsidR="00140D51" w:rsidRPr="00154588">
              <w:rPr>
                <w:bCs/>
                <w:sz w:val="20"/>
                <w:szCs w:val="20"/>
              </w:rPr>
              <w:t>măsurile de intervenție timpurie în temeiul articolului</w:t>
            </w:r>
            <w:r w:rsidRPr="00154588">
              <w:rPr>
                <w:bCs/>
                <w:sz w:val="20"/>
                <w:szCs w:val="20"/>
              </w:rPr>
              <w:t xml:space="preserve"> 27 în raport cu întreprinderea-mamă relevantă din Uniune, ținând seama de impactul </w:t>
            </w:r>
            <w:r w:rsidR="00140D51" w:rsidRPr="00154588">
              <w:rPr>
                <w:bCs/>
                <w:sz w:val="20"/>
                <w:szCs w:val="20"/>
              </w:rPr>
              <w:t xml:space="preserve">respectivelor </w:t>
            </w:r>
            <w:r w:rsidRPr="00154588">
              <w:rPr>
                <w:bCs/>
                <w:sz w:val="20"/>
                <w:szCs w:val="20"/>
              </w:rPr>
              <w:t>măsuri asupra entităților din grup situate în alte state membre. Supraveghetorul consolidant notifică decizi</w:t>
            </w:r>
            <w:r w:rsidR="00140D51" w:rsidRPr="00154588">
              <w:rPr>
                <w:bCs/>
                <w:sz w:val="20"/>
                <w:szCs w:val="20"/>
              </w:rPr>
              <w:t>a ABE și</w:t>
            </w:r>
            <w:r w:rsidRPr="00154588">
              <w:rPr>
                <w:bCs/>
                <w:sz w:val="20"/>
                <w:szCs w:val="20"/>
              </w:rPr>
              <w:t xml:space="preserve"> celorlalte autorități competente din cadrul colegiului de supraveghere.</w:t>
            </w:r>
          </w:p>
          <w:p w14:paraId="3528B145" w14:textId="77777777" w:rsidR="00041EAB" w:rsidRPr="00154588" w:rsidRDefault="00041EAB" w:rsidP="008C12B4">
            <w:pPr>
              <w:jc w:val="both"/>
              <w:rPr>
                <w:bCs/>
                <w:sz w:val="20"/>
                <w:szCs w:val="20"/>
              </w:rPr>
            </w:pPr>
          </w:p>
          <w:p w14:paraId="21E7BF0B" w14:textId="77777777" w:rsidR="00041EAB" w:rsidRPr="00154588" w:rsidRDefault="00041EAB" w:rsidP="008C12B4">
            <w:pPr>
              <w:jc w:val="both"/>
              <w:rPr>
                <w:bCs/>
                <w:sz w:val="20"/>
                <w:szCs w:val="20"/>
              </w:rPr>
            </w:pPr>
            <w:r w:rsidRPr="00154588">
              <w:rPr>
                <w:bCs/>
                <w:sz w:val="20"/>
                <w:szCs w:val="20"/>
              </w:rPr>
              <w:t>(3) Atunci când condițiile de aplicare a măsurilor de intervenție timpurie în temeiul articolului 27 sunt întrunite în legătură cu o filială a unei întreprinderi-mamă din Uniune, autoritatea competentă responsabilă cu supravegherea la nivel individual care intenționează să ia o măsură în conformitate cu articolul respectiv notifică ABE și se consultă cu supraveghetorul consolidant.</w:t>
            </w:r>
          </w:p>
          <w:p w14:paraId="758A2AD0" w14:textId="77777777" w:rsidR="00041EAB" w:rsidRPr="00154588" w:rsidRDefault="00041EAB" w:rsidP="008C12B4">
            <w:pPr>
              <w:jc w:val="both"/>
              <w:rPr>
                <w:bCs/>
                <w:sz w:val="20"/>
                <w:szCs w:val="20"/>
              </w:rPr>
            </w:pPr>
            <w:r w:rsidRPr="00154588">
              <w:rPr>
                <w:bCs/>
                <w:sz w:val="20"/>
                <w:szCs w:val="20"/>
              </w:rPr>
              <w:t>După primirea notificării, supraveghetorul consolidant poate evalua impactul probabil al aplicării măsurilor de intervenție timpurie în temeiul articolului 27 instituției sau entității menționate la articolul 1 alineatul (1) litera (b), (c) sau (d) în cauză, grupului sau entităților din grup situate în alte state membre. Supraveghetorul consolidant comunică evaluarea respectivă autorității competente în termen de trei zile.</w:t>
            </w:r>
          </w:p>
          <w:p w14:paraId="50996932" w14:textId="77777777" w:rsidR="00041EAB" w:rsidRPr="00154588" w:rsidRDefault="00041EAB" w:rsidP="008C12B4">
            <w:pPr>
              <w:jc w:val="both"/>
              <w:rPr>
                <w:bCs/>
                <w:sz w:val="20"/>
                <w:szCs w:val="20"/>
              </w:rPr>
            </w:pPr>
          </w:p>
          <w:p w14:paraId="3641C227" w14:textId="286571EA" w:rsidR="00041EAB" w:rsidRPr="00154588" w:rsidRDefault="00041EAB" w:rsidP="008C12B4">
            <w:pPr>
              <w:jc w:val="both"/>
              <w:rPr>
                <w:bCs/>
                <w:sz w:val="20"/>
                <w:szCs w:val="20"/>
              </w:rPr>
            </w:pPr>
            <w:r w:rsidRPr="00154588">
              <w:rPr>
                <w:bCs/>
                <w:sz w:val="20"/>
                <w:szCs w:val="20"/>
              </w:rPr>
              <w:t>În urma acestei notificări și consultări, autoritatea competentă decide dacă să aplice o măsură de intervenție timpurie. La luarea acestei decizii se ține seama în mod corespunzător de orice evaluare realizată de supraveghetorul consolidant. Autoritatea competentă notifică decizia ABE, supraveghetorului consolidant și celorlalte autorități competente din cadrul colegiului de supraveghere.</w:t>
            </w:r>
          </w:p>
          <w:p w14:paraId="66AB279E" w14:textId="48B68D7F" w:rsidR="00041EAB" w:rsidRPr="00154588" w:rsidRDefault="00041EAB" w:rsidP="008C12B4">
            <w:pPr>
              <w:jc w:val="both"/>
              <w:rPr>
                <w:bCs/>
                <w:sz w:val="20"/>
                <w:szCs w:val="20"/>
              </w:rPr>
            </w:pPr>
          </w:p>
        </w:tc>
        <w:tc>
          <w:tcPr>
            <w:tcW w:w="4819" w:type="dxa"/>
          </w:tcPr>
          <w:p w14:paraId="503FFD08" w14:textId="77777777" w:rsidR="00761274" w:rsidRPr="00154588" w:rsidRDefault="00761274" w:rsidP="008C12B4">
            <w:pPr>
              <w:ind w:firstLine="567"/>
              <w:jc w:val="both"/>
              <w:rPr>
                <w:rFonts w:eastAsia="Calibri"/>
                <w:b/>
                <w:bCs/>
                <w:kern w:val="2"/>
                <w:sz w:val="20"/>
                <w:szCs w:val="20"/>
                <w14:ligatures w14:val="standardContextual"/>
              </w:rPr>
            </w:pPr>
          </w:p>
          <w:p w14:paraId="65538065" w14:textId="77777777" w:rsidR="00761274" w:rsidRPr="00154588" w:rsidRDefault="00761274" w:rsidP="008C12B4">
            <w:pPr>
              <w:ind w:firstLine="567"/>
              <w:jc w:val="both"/>
              <w:rPr>
                <w:rFonts w:eastAsia="Calibri"/>
                <w:b/>
                <w:bCs/>
                <w:kern w:val="2"/>
                <w:sz w:val="20"/>
                <w:szCs w:val="20"/>
                <w14:ligatures w14:val="standardContextual"/>
              </w:rPr>
            </w:pPr>
          </w:p>
          <w:p w14:paraId="211AD89A" w14:textId="77777777" w:rsidR="00761274" w:rsidRPr="00154588" w:rsidRDefault="00761274" w:rsidP="008C12B4">
            <w:pPr>
              <w:ind w:firstLine="567"/>
              <w:jc w:val="both"/>
              <w:rPr>
                <w:rFonts w:eastAsia="Calibri"/>
                <w:b/>
                <w:bCs/>
                <w:kern w:val="2"/>
                <w:sz w:val="20"/>
                <w:szCs w:val="20"/>
                <w14:ligatures w14:val="standardContextual"/>
              </w:rPr>
            </w:pPr>
          </w:p>
          <w:p w14:paraId="418ABD3C" w14:textId="77777777" w:rsidR="00761274" w:rsidRPr="00154588" w:rsidRDefault="00761274" w:rsidP="008C12B4">
            <w:pPr>
              <w:ind w:firstLine="567"/>
              <w:jc w:val="both"/>
              <w:rPr>
                <w:rFonts w:eastAsia="Calibri"/>
                <w:b/>
                <w:bCs/>
                <w:kern w:val="2"/>
                <w:sz w:val="20"/>
                <w:szCs w:val="20"/>
                <w14:ligatures w14:val="standardContextual"/>
              </w:rPr>
            </w:pPr>
          </w:p>
          <w:p w14:paraId="6845950C" w14:textId="77777777" w:rsidR="00761274" w:rsidRPr="00154588" w:rsidRDefault="00761274" w:rsidP="008C12B4">
            <w:pPr>
              <w:ind w:firstLine="567"/>
              <w:jc w:val="both"/>
              <w:rPr>
                <w:rFonts w:eastAsia="Calibri"/>
                <w:b/>
                <w:bCs/>
                <w:kern w:val="2"/>
                <w:sz w:val="20"/>
                <w:szCs w:val="20"/>
                <w14:ligatures w14:val="standardContextual"/>
              </w:rPr>
            </w:pPr>
          </w:p>
          <w:p w14:paraId="5BD537CA" w14:textId="77777777" w:rsidR="00761274" w:rsidRPr="00154588" w:rsidRDefault="00761274" w:rsidP="008C12B4">
            <w:pPr>
              <w:ind w:firstLine="567"/>
              <w:jc w:val="both"/>
              <w:rPr>
                <w:rFonts w:eastAsia="Calibri"/>
                <w:b/>
                <w:bCs/>
                <w:kern w:val="2"/>
                <w:sz w:val="20"/>
                <w:szCs w:val="20"/>
                <w14:ligatures w14:val="standardContextual"/>
              </w:rPr>
            </w:pPr>
          </w:p>
          <w:p w14:paraId="0F94E57C" w14:textId="77777777" w:rsidR="00761274" w:rsidRPr="00154588" w:rsidRDefault="00761274" w:rsidP="008C12B4">
            <w:pPr>
              <w:ind w:firstLine="567"/>
              <w:jc w:val="both"/>
              <w:rPr>
                <w:rFonts w:eastAsia="Calibri"/>
                <w:b/>
                <w:bCs/>
                <w:kern w:val="2"/>
                <w:sz w:val="20"/>
                <w:szCs w:val="20"/>
                <w14:ligatures w14:val="standardContextual"/>
              </w:rPr>
            </w:pPr>
          </w:p>
          <w:p w14:paraId="2E4B61D0" w14:textId="77777777" w:rsidR="00761274" w:rsidRPr="00154588" w:rsidRDefault="00761274" w:rsidP="008C12B4">
            <w:pPr>
              <w:ind w:firstLine="567"/>
              <w:jc w:val="both"/>
              <w:rPr>
                <w:rFonts w:eastAsia="Calibri"/>
                <w:b/>
                <w:bCs/>
                <w:kern w:val="2"/>
                <w:sz w:val="20"/>
                <w:szCs w:val="20"/>
                <w14:ligatures w14:val="standardContextual"/>
              </w:rPr>
            </w:pPr>
          </w:p>
          <w:p w14:paraId="6A0564AE" w14:textId="77777777" w:rsidR="00761274" w:rsidRPr="00154588" w:rsidRDefault="00761274" w:rsidP="008C12B4">
            <w:pPr>
              <w:ind w:firstLine="567"/>
              <w:jc w:val="both"/>
              <w:rPr>
                <w:rFonts w:eastAsia="Calibri"/>
                <w:b/>
                <w:bCs/>
                <w:kern w:val="2"/>
                <w:sz w:val="20"/>
                <w:szCs w:val="20"/>
                <w14:ligatures w14:val="standardContextual"/>
              </w:rPr>
            </w:pPr>
          </w:p>
          <w:p w14:paraId="08A8608D" w14:textId="77777777" w:rsidR="00761274" w:rsidRPr="00154588" w:rsidRDefault="00761274" w:rsidP="008C12B4">
            <w:pPr>
              <w:ind w:firstLine="567"/>
              <w:jc w:val="both"/>
              <w:rPr>
                <w:rFonts w:eastAsia="Calibri"/>
                <w:b/>
                <w:bCs/>
                <w:kern w:val="2"/>
                <w:sz w:val="20"/>
                <w:szCs w:val="20"/>
                <w14:ligatures w14:val="standardContextual"/>
              </w:rPr>
            </w:pPr>
          </w:p>
          <w:p w14:paraId="623C37DE" w14:textId="77777777" w:rsidR="00761274" w:rsidRPr="00154588" w:rsidRDefault="00761274" w:rsidP="008C12B4">
            <w:pPr>
              <w:ind w:firstLine="567"/>
              <w:jc w:val="both"/>
              <w:rPr>
                <w:rFonts w:eastAsia="Calibri"/>
                <w:b/>
                <w:bCs/>
                <w:kern w:val="2"/>
                <w:sz w:val="20"/>
                <w:szCs w:val="20"/>
                <w14:ligatures w14:val="standardContextual"/>
              </w:rPr>
            </w:pPr>
          </w:p>
          <w:p w14:paraId="6EDA74F1" w14:textId="77777777" w:rsidR="00761274" w:rsidRPr="00154588" w:rsidRDefault="00761274" w:rsidP="008C12B4">
            <w:pPr>
              <w:ind w:firstLine="567"/>
              <w:jc w:val="both"/>
              <w:rPr>
                <w:rFonts w:eastAsia="Calibri"/>
                <w:b/>
                <w:bCs/>
                <w:kern w:val="2"/>
                <w:sz w:val="20"/>
                <w:szCs w:val="20"/>
                <w14:ligatures w14:val="standardContextual"/>
              </w:rPr>
            </w:pPr>
          </w:p>
          <w:p w14:paraId="4F510505" w14:textId="77777777" w:rsidR="00761274" w:rsidRPr="00154588" w:rsidRDefault="00761274" w:rsidP="008C12B4">
            <w:pPr>
              <w:ind w:firstLine="567"/>
              <w:jc w:val="both"/>
              <w:rPr>
                <w:rFonts w:eastAsia="Calibri"/>
                <w:b/>
                <w:bCs/>
                <w:kern w:val="2"/>
                <w:sz w:val="20"/>
                <w:szCs w:val="20"/>
                <w14:ligatures w14:val="standardContextual"/>
              </w:rPr>
            </w:pPr>
          </w:p>
          <w:p w14:paraId="5B865EA7" w14:textId="77777777" w:rsidR="00761274" w:rsidRPr="00154588" w:rsidRDefault="00761274" w:rsidP="008C12B4">
            <w:pPr>
              <w:ind w:firstLine="567"/>
              <w:jc w:val="both"/>
              <w:rPr>
                <w:rFonts w:eastAsia="Calibri"/>
                <w:b/>
                <w:bCs/>
                <w:kern w:val="2"/>
                <w:sz w:val="20"/>
                <w:szCs w:val="20"/>
                <w14:ligatures w14:val="standardContextual"/>
              </w:rPr>
            </w:pPr>
          </w:p>
          <w:p w14:paraId="1BA6FC31" w14:textId="710E053E" w:rsidR="004F746E" w:rsidRPr="00154588" w:rsidRDefault="004F746E" w:rsidP="008C12B4">
            <w:pPr>
              <w:ind w:firstLine="567"/>
              <w:jc w:val="both"/>
              <w:rPr>
                <w:rFonts w:eastAsia="Calibri"/>
                <w:kern w:val="2"/>
                <w:sz w:val="20"/>
                <w:szCs w:val="20"/>
                <w14:ligatures w14:val="standardContextual"/>
              </w:rPr>
            </w:pP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10</w:t>
            </w:r>
            <w:r w:rsidRPr="00154588">
              <w:rPr>
                <w:rFonts w:eastAsia="Calibri"/>
                <w:b/>
                <w:bCs/>
                <w:kern w:val="2"/>
                <w:sz w:val="20"/>
                <w:szCs w:val="20"/>
                <w14:ligatures w14:val="standardContextual"/>
              </w:rPr>
              <w:t xml:space="preserve">. – </w:t>
            </w:r>
            <w:r w:rsidRPr="00154588">
              <w:rPr>
                <w:rFonts w:eastAsia="Calibri"/>
                <w:kern w:val="2"/>
                <w:sz w:val="20"/>
                <w:szCs w:val="20"/>
                <w14:ligatures w14:val="standardContextual"/>
              </w:rPr>
              <w:t>(1) În situația în care condițiile de aplicare a măsurilor de interventie timpurie prevăzute la art.42-44 </w:t>
            </w:r>
            <w:r w:rsidRPr="00154588" w:rsidDel="00041EAB">
              <w:rPr>
                <w:rFonts w:eastAsia="Calibri"/>
                <w:kern w:val="2"/>
                <w:sz w:val="20"/>
                <w:szCs w:val="20"/>
                <w14:ligatures w14:val="standardContextual"/>
              </w:rPr>
              <w:t xml:space="preserve"> </w:t>
            </w:r>
            <w:r w:rsidRPr="00154588">
              <w:rPr>
                <w:rFonts w:eastAsia="Calibri"/>
                <w:kern w:val="2"/>
                <w:sz w:val="20"/>
                <w:szCs w:val="20"/>
                <w14:ligatures w14:val="standardContextual"/>
              </w:rPr>
              <w:t>sunt îndeplinite în legătură cu o filială a unei întreprinderi-mamă din Uniunea Europeană, pentru care Banca Națională a Moldovei, în calitate de autoritate competentă la nivel individual, intenționează să ia o măsură în conformitate cu prevederile respective, aceasta notific</w:t>
            </w:r>
            <w:r w:rsidR="00761274" w:rsidRPr="00154588">
              <w:rPr>
                <w:rFonts w:eastAsia="Calibri"/>
                <w:kern w:val="2"/>
                <w:sz w:val="20"/>
                <w:szCs w:val="20"/>
                <w14:ligatures w14:val="standardContextual"/>
              </w:rPr>
              <w:t>ă</w:t>
            </w:r>
            <w:r w:rsidRPr="00154588">
              <w:rPr>
                <w:rFonts w:eastAsia="Calibri"/>
                <w:kern w:val="2"/>
                <w:sz w:val="20"/>
                <w:szCs w:val="20"/>
                <w14:ligatures w14:val="standardContextual"/>
              </w:rPr>
              <w:t xml:space="preserve"> Autoritatea Bancară Europeană și se consult</w:t>
            </w:r>
            <w:r w:rsidR="00761274" w:rsidRPr="00154588">
              <w:rPr>
                <w:rFonts w:eastAsia="Calibri"/>
                <w:kern w:val="2"/>
                <w:sz w:val="20"/>
                <w:szCs w:val="20"/>
                <w14:ligatures w14:val="standardContextual"/>
              </w:rPr>
              <w:t>ă</w:t>
            </w:r>
            <w:r w:rsidRPr="00154588">
              <w:rPr>
                <w:rFonts w:eastAsia="Calibri"/>
                <w:kern w:val="2"/>
                <w:sz w:val="20"/>
                <w:szCs w:val="20"/>
                <w14:ligatures w14:val="standardContextual"/>
              </w:rPr>
              <w:t xml:space="preserve"> cu supraveghetorul consolidant.</w:t>
            </w:r>
          </w:p>
          <w:p w14:paraId="4F1BD00F" w14:textId="184E6EB4" w:rsidR="000348FA" w:rsidRPr="00154588" w:rsidRDefault="00F90496"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(2) În urma notificării</w:t>
            </w:r>
            <w:r w:rsidR="00041EAB" w:rsidRPr="00154588">
              <w:rPr>
                <w:rFonts w:eastAsia="Calibri"/>
                <w:kern w:val="2"/>
                <w:sz w:val="20"/>
                <w:szCs w:val="20"/>
                <w14:ligatures w14:val="standardContextual"/>
              </w:rPr>
              <w:t xml:space="preserve"> și consultării</w:t>
            </w:r>
            <w:r w:rsidRPr="00154588">
              <w:rPr>
                <w:rFonts w:eastAsia="Calibri"/>
                <w:kern w:val="2"/>
                <w:sz w:val="20"/>
                <w:szCs w:val="20"/>
                <w14:ligatures w14:val="standardContextual"/>
              </w:rPr>
              <w:t xml:space="preserve"> prevăzute la alin.(1) , Banca Națională a Moldovei, în calitate de autoritate competentă la nivel individual, decide dacă să aplice  măsurile</w:t>
            </w:r>
            <w:r w:rsidR="004F746E" w:rsidRPr="00154588">
              <w:rPr>
                <w:rFonts w:eastAsia="Calibri"/>
                <w:kern w:val="2"/>
                <w:sz w:val="20"/>
                <w:szCs w:val="20"/>
                <w14:ligatures w14:val="standardContextual"/>
              </w:rPr>
              <w:t xml:space="preserve"> de intervenție timpurie</w:t>
            </w:r>
            <w:r w:rsidRPr="00154588">
              <w:rPr>
                <w:rFonts w:eastAsia="Calibri"/>
                <w:kern w:val="2"/>
                <w:sz w:val="20"/>
                <w:szCs w:val="20"/>
                <w14:ligatures w14:val="standardContextual"/>
              </w:rPr>
              <w:t xml:space="preserve"> prevăzute la art.42-44 . La luarea acestei decizii Banca Națională a Moldovei trebuie să ia în considerare, în mod corespunzător, orice evaluare realizată de supraveghetorul consolidant. Banca Națională a Moldovei, în calitate de autoritate competentă la nivel individual, trebuie să notifice decizia </w:t>
            </w:r>
            <w:r w:rsidR="00041EAB" w:rsidRPr="00154588">
              <w:rPr>
                <w:rFonts w:eastAsia="Calibri"/>
                <w:kern w:val="2"/>
                <w:sz w:val="20"/>
                <w:szCs w:val="20"/>
                <w14:ligatures w14:val="standardContextual"/>
              </w:rPr>
              <w:t xml:space="preserve">Autorității Bancare Europene, </w:t>
            </w:r>
            <w:r w:rsidRPr="00154588">
              <w:rPr>
                <w:rFonts w:eastAsia="Calibri"/>
                <w:kern w:val="2"/>
                <w:sz w:val="20"/>
                <w:szCs w:val="20"/>
                <w14:ligatures w14:val="standardContextual"/>
              </w:rPr>
              <w:t>supraveghetorului consolidant</w:t>
            </w:r>
            <w:r w:rsidR="00041EAB" w:rsidRPr="00154588">
              <w:rPr>
                <w:rFonts w:eastAsia="Calibri"/>
                <w:kern w:val="2"/>
                <w:sz w:val="20"/>
                <w:szCs w:val="20"/>
                <w14:ligatures w14:val="standardContextual"/>
              </w:rPr>
              <w:t xml:space="preserve"> și</w:t>
            </w:r>
            <w:r w:rsidRPr="00154588">
              <w:rPr>
                <w:rFonts w:eastAsia="Calibri"/>
                <w:kern w:val="2"/>
                <w:sz w:val="20"/>
                <w:szCs w:val="20"/>
                <w14:ligatures w14:val="standardContextual"/>
              </w:rPr>
              <w:t xml:space="preserve"> celorlalte autorități competente din cadrul colegiului de supraveghere.</w:t>
            </w:r>
          </w:p>
        </w:tc>
        <w:tc>
          <w:tcPr>
            <w:tcW w:w="2552" w:type="dxa"/>
          </w:tcPr>
          <w:p w14:paraId="7909AC5B" w14:textId="4EA55D76" w:rsidR="000348FA" w:rsidRPr="00154588" w:rsidRDefault="00F90496" w:rsidP="008C12B4">
            <w:pPr>
              <w:jc w:val="both"/>
              <w:rPr>
                <w:bCs/>
                <w:sz w:val="20"/>
                <w:szCs w:val="20"/>
              </w:rPr>
            </w:pPr>
            <w:r w:rsidRPr="00154588">
              <w:rPr>
                <w:bCs/>
                <w:sz w:val="20"/>
                <w:szCs w:val="20"/>
              </w:rPr>
              <w:t>Compatibil</w:t>
            </w:r>
          </w:p>
        </w:tc>
        <w:tc>
          <w:tcPr>
            <w:tcW w:w="3118" w:type="dxa"/>
          </w:tcPr>
          <w:p w14:paraId="03262842" w14:textId="366E608B" w:rsidR="000348FA" w:rsidRPr="00154588" w:rsidRDefault="00761274" w:rsidP="008C12B4">
            <w:pPr>
              <w:jc w:val="both"/>
              <w:rPr>
                <w:bCs/>
                <w:sz w:val="20"/>
                <w:szCs w:val="20"/>
              </w:rPr>
            </w:pPr>
            <w:r w:rsidRPr="00154588">
              <w:rPr>
                <w:bCs/>
                <w:sz w:val="20"/>
                <w:szCs w:val="20"/>
              </w:rPr>
              <w:t xml:space="preserve">Alin. (2) este transpus prin </w:t>
            </w: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2</w:t>
            </w:r>
            <w:r w:rsidRPr="00154588">
              <w:rPr>
                <w:rFonts w:eastAsia="Calibri"/>
                <w:b/>
                <w:bCs/>
                <w:kern w:val="2"/>
                <w:sz w:val="20"/>
                <w:szCs w:val="20"/>
                <w14:ligatures w14:val="standardContextual"/>
              </w:rPr>
              <w:t>.</w:t>
            </w:r>
            <w:r w:rsidRPr="00154588">
              <w:rPr>
                <w:rFonts w:eastAsia="Calibri"/>
                <w:kern w:val="2"/>
                <w:sz w:val="20"/>
                <w:szCs w:val="20"/>
                <w14:ligatures w14:val="standardContextual"/>
              </w:rPr>
              <w:t xml:space="preserve"> </w:t>
            </w:r>
          </w:p>
        </w:tc>
      </w:tr>
      <w:tr w:rsidR="00140D51" w:rsidRPr="00154588" w14:paraId="145E6870" w14:textId="77777777" w:rsidTr="00D15C1B">
        <w:trPr>
          <w:jc w:val="center"/>
        </w:trPr>
        <w:tc>
          <w:tcPr>
            <w:tcW w:w="4957" w:type="dxa"/>
            <w:gridSpan w:val="2"/>
          </w:tcPr>
          <w:p w14:paraId="0030F4C9" w14:textId="77777777" w:rsidR="001D0BF3" w:rsidRPr="00154588" w:rsidRDefault="001D0BF3" w:rsidP="008C12B4">
            <w:pPr>
              <w:jc w:val="both"/>
              <w:rPr>
                <w:bCs/>
                <w:sz w:val="20"/>
                <w:szCs w:val="20"/>
              </w:rPr>
            </w:pPr>
          </w:p>
          <w:p w14:paraId="56824CFF" w14:textId="080D7A96" w:rsidR="00AE6BF8" w:rsidRPr="00154588" w:rsidRDefault="00AE6BF8" w:rsidP="008C12B4">
            <w:pPr>
              <w:jc w:val="both"/>
              <w:rPr>
                <w:bCs/>
                <w:sz w:val="20"/>
                <w:szCs w:val="20"/>
              </w:rPr>
            </w:pPr>
          </w:p>
        </w:tc>
        <w:tc>
          <w:tcPr>
            <w:tcW w:w="4819" w:type="dxa"/>
          </w:tcPr>
          <w:p w14:paraId="5FD0C38D" w14:textId="77777777" w:rsidR="00140D51" w:rsidRPr="00154588" w:rsidRDefault="00140D51" w:rsidP="008C12B4">
            <w:pPr>
              <w:ind w:firstLine="567"/>
              <w:jc w:val="both"/>
              <w:rPr>
                <w:rFonts w:eastAsia="Calibri"/>
                <w:b/>
                <w:bCs/>
                <w:kern w:val="2"/>
                <w:sz w:val="20"/>
                <w:szCs w:val="20"/>
                <w14:ligatures w14:val="standardContextual"/>
              </w:rPr>
            </w:pPr>
          </w:p>
        </w:tc>
        <w:tc>
          <w:tcPr>
            <w:tcW w:w="2552" w:type="dxa"/>
          </w:tcPr>
          <w:p w14:paraId="66EAEE28" w14:textId="77777777" w:rsidR="00140D51" w:rsidRPr="00154588" w:rsidRDefault="00140D51" w:rsidP="008C12B4">
            <w:pPr>
              <w:jc w:val="both"/>
              <w:rPr>
                <w:bCs/>
                <w:sz w:val="20"/>
                <w:szCs w:val="20"/>
              </w:rPr>
            </w:pPr>
          </w:p>
        </w:tc>
        <w:tc>
          <w:tcPr>
            <w:tcW w:w="3118" w:type="dxa"/>
          </w:tcPr>
          <w:p w14:paraId="5DBF70FC" w14:textId="77777777" w:rsidR="00140D51" w:rsidRPr="00154588" w:rsidRDefault="00140D51" w:rsidP="008C12B4">
            <w:pPr>
              <w:jc w:val="both"/>
              <w:rPr>
                <w:bCs/>
                <w:sz w:val="20"/>
                <w:szCs w:val="20"/>
              </w:rPr>
            </w:pPr>
          </w:p>
        </w:tc>
      </w:tr>
      <w:tr w:rsidR="000348FA" w:rsidRPr="00154588" w14:paraId="6B058C44" w14:textId="77777777" w:rsidTr="00D15C1B">
        <w:trPr>
          <w:jc w:val="center"/>
        </w:trPr>
        <w:tc>
          <w:tcPr>
            <w:tcW w:w="4957" w:type="dxa"/>
            <w:gridSpan w:val="2"/>
          </w:tcPr>
          <w:p w14:paraId="517B159F" w14:textId="4E12E729" w:rsidR="000348FA" w:rsidRPr="00154588" w:rsidRDefault="000348FA" w:rsidP="008C12B4">
            <w:pPr>
              <w:jc w:val="both"/>
              <w:rPr>
                <w:bCs/>
                <w:sz w:val="20"/>
                <w:szCs w:val="20"/>
              </w:rPr>
            </w:pPr>
            <w:r w:rsidRPr="00154588">
              <w:rPr>
                <w:bCs/>
                <w:sz w:val="20"/>
                <w:szCs w:val="20"/>
              </w:rPr>
              <w:t xml:space="preserve">(4)   În cazul în care mai multe autorități competente intenționează să </w:t>
            </w:r>
            <w:r w:rsidR="00AE6BF8" w:rsidRPr="00154588">
              <w:rPr>
                <w:bCs/>
                <w:sz w:val="20"/>
                <w:szCs w:val="20"/>
              </w:rPr>
              <w:t>aplice o măsură de intervenție timpurie în temeiul articolului 27 mai multor instituții sau entități menționate la articolul 1 alineatul (1) litera (b), (c) sau (d</w:t>
            </w:r>
            <w:r w:rsidR="00B829A1" w:rsidRPr="00154588">
              <w:rPr>
                <w:bCs/>
                <w:sz w:val="20"/>
                <w:szCs w:val="20"/>
              </w:rPr>
              <w:t>)</w:t>
            </w:r>
            <w:r w:rsidR="00AE6BF8" w:rsidRPr="00154588">
              <w:rPr>
                <w:bCs/>
                <w:sz w:val="20"/>
                <w:szCs w:val="20"/>
              </w:rPr>
              <w:t xml:space="preserve"> din</w:t>
            </w:r>
            <w:r w:rsidRPr="00154588">
              <w:rPr>
                <w:bCs/>
                <w:sz w:val="20"/>
                <w:szCs w:val="20"/>
              </w:rPr>
              <w:t xml:space="preserve"> cadrul aceluiași grup, supraveghetorul consolidant și celelalte autorități competente relevante evaluează </w:t>
            </w:r>
            <w:r w:rsidR="00AE6BF8" w:rsidRPr="00154588">
              <w:rPr>
                <w:bCs/>
                <w:sz w:val="20"/>
                <w:szCs w:val="20"/>
              </w:rPr>
              <w:t xml:space="preserve">dacă este mai adecvat să se numească același </w:t>
            </w:r>
            <w:r w:rsidRPr="00154588">
              <w:rPr>
                <w:bCs/>
                <w:sz w:val="20"/>
                <w:szCs w:val="20"/>
              </w:rPr>
              <w:t xml:space="preserve">administrator temporar </w:t>
            </w:r>
            <w:r w:rsidRPr="00154588">
              <w:rPr>
                <w:bCs/>
                <w:sz w:val="20"/>
                <w:szCs w:val="20"/>
              </w:rPr>
              <w:lastRenderedPageBreak/>
              <w:t>pentru toate entitățile în cauză sau</w:t>
            </w:r>
            <w:r w:rsidR="00AE6BF8" w:rsidRPr="00154588">
              <w:rPr>
                <w:bCs/>
                <w:sz w:val="20"/>
                <w:szCs w:val="20"/>
              </w:rPr>
              <w:t xml:space="preserve"> să se</w:t>
            </w:r>
            <w:r w:rsidRPr="00154588">
              <w:rPr>
                <w:bCs/>
                <w:sz w:val="20"/>
                <w:szCs w:val="20"/>
              </w:rPr>
              <w:t xml:space="preserve"> coordon</w:t>
            </w:r>
            <w:r w:rsidR="00AE6BF8" w:rsidRPr="00154588">
              <w:rPr>
                <w:bCs/>
                <w:sz w:val="20"/>
                <w:szCs w:val="20"/>
              </w:rPr>
              <w:t>eze</w:t>
            </w:r>
            <w:r w:rsidRPr="00154588">
              <w:rPr>
                <w:bCs/>
                <w:sz w:val="20"/>
                <w:szCs w:val="20"/>
              </w:rPr>
              <w:t xml:space="preserve"> aplic</w:t>
            </w:r>
            <w:r w:rsidR="00AE6BF8" w:rsidRPr="00154588">
              <w:rPr>
                <w:bCs/>
                <w:sz w:val="20"/>
                <w:szCs w:val="20"/>
              </w:rPr>
              <w:t>area</w:t>
            </w:r>
            <w:r w:rsidRPr="00154588">
              <w:rPr>
                <w:bCs/>
                <w:sz w:val="20"/>
                <w:szCs w:val="20"/>
              </w:rPr>
              <w:t xml:space="preserve"> </w:t>
            </w:r>
            <w:r w:rsidR="00AE6BF8" w:rsidRPr="00154588">
              <w:rPr>
                <w:bCs/>
                <w:sz w:val="20"/>
                <w:szCs w:val="20"/>
              </w:rPr>
              <w:t>celorlate</w:t>
            </w:r>
            <w:r w:rsidRPr="00154588">
              <w:rPr>
                <w:bCs/>
                <w:sz w:val="20"/>
                <w:szCs w:val="20"/>
              </w:rPr>
              <w:t xml:space="preserve"> măsuri </w:t>
            </w:r>
            <w:r w:rsidR="00AE6BF8" w:rsidRPr="00154588">
              <w:rPr>
                <w:bCs/>
                <w:sz w:val="20"/>
                <w:szCs w:val="20"/>
              </w:rPr>
              <w:t>de intervenție timpurie</w:t>
            </w:r>
            <w:r w:rsidR="00AE6BF8" w:rsidRPr="00154588" w:rsidDel="00AE6BF8">
              <w:rPr>
                <w:bCs/>
                <w:sz w:val="20"/>
                <w:szCs w:val="20"/>
              </w:rPr>
              <w:t xml:space="preserve"> </w:t>
            </w:r>
            <w:r w:rsidRPr="00154588">
              <w:rPr>
                <w:bCs/>
                <w:sz w:val="20"/>
                <w:szCs w:val="20"/>
              </w:rPr>
              <w:t xml:space="preserve">mai multor instituții </w:t>
            </w:r>
            <w:r w:rsidR="00AE6BF8" w:rsidRPr="00154588">
              <w:rPr>
                <w:bCs/>
                <w:sz w:val="20"/>
                <w:szCs w:val="20"/>
              </w:rPr>
              <w:t>sau entități pentru a facilita găsirea unor soluții pentru restabilirea poziției financiare a instituției sau a entității în cauză.</w:t>
            </w:r>
            <w:r w:rsidRPr="00154588">
              <w:rPr>
                <w:bCs/>
                <w:sz w:val="20"/>
                <w:szCs w:val="20"/>
              </w:rPr>
              <w:t xml:space="preserve">. </w:t>
            </w:r>
            <w:r w:rsidR="00AE6BF8" w:rsidRPr="00154588">
              <w:rPr>
                <w:bCs/>
                <w:sz w:val="20"/>
                <w:szCs w:val="20"/>
              </w:rPr>
              <w:t>E</w:t>
            </w:r>
            <w:r w:rsidRPr="00154588">
              <w:rPr>
                <w:bCs/>
                <w:sz w:val="20"/>
                <w:szCs w:val="20"/>
              </w:rPr>
              <w:t>valuare</w:t>
            </w:r>
            <w:r w:rsidR="00AE6BF8" w:rsidRPr="00154588">
              <w:rPr>
                <w:bCs/>
                <w:sz w:val="20"/>
                <w:szCs w:val="20"/>
              </w:rPr>
              <w:t>a</w:t>
            </w:r>
            <w:r w:rsidRPr="00154588">
              <w:rPr>
                <w:bCs/>
                <w:sz w:val="20"/>
                <w:szCs w:val="20"/>
              </w:rPr>
              <w:t xml:space="preserve"> ia forma unei decizii comune a supraveghetorului consolidant și a celorlalte autorități competente relevante. Decizia comună se ia în termen de cinci zile de la data notificării menționate la alineatul (1)</w:t>
            </w:r>
            <w:r w:rsidR="00AE6BF8" w:rsidRPr="00154588">
              <w:rPr>
                <w:bCs/>
                <w:sz w:val="20"/>
                <w:szCs w:val="20"/>
              </w:rPr>
              <w:t xml:space="preserve"> de la prezentul articol</w:t>
            </w:r>
            <w:r w:rsidRPr="00154588">
              <w:rPr>
                <w:bCs/>
                <w:sz w:val="20"/>
                <w:szCs w:val="20"/>
              </w:rPr>
              <w:t xml:space="preserve">. Decizia comună </w:t>
            </w:r>
            <w:r w:rsidR="00AE6BF8" w:rsidRPr="00154588">
              <w:rPr>
                <w:bCs/>
                <w:sz w:val="20"/>
                <w:szCs w:val="20"/>
              </w:rPr>
              <w:t>se</w:t>
            </w:r>
            <w:r w:rsidRPr="00154588">
              <w:rPr>
                <w:bCs/>
                <w:sz w:val="20"/>
                <w:szCs w:val="20"/>
              </w:rPr>
              <w:t xml:space="preserve"> motiv</w:t>
            </w:r>
            <w:r w:rsidR="00AE6BF8" w:rsidRPr="00154588">
              <w:rPr>
                <w:bCs/>
                <w:sz w:val="20"/>
                <w:szCs w:val="20"/>
              </w:rPr>
              <w:t>ează</w:t>
            </w:r>
            <w:r w:rsidRPr="00154588">
              <w:rPr>
                <w:bCs/>
                <w:sz w:val="20"/>
                <w:szCs w:val="20"/>
              </w:rPr>
              <w:t xml:space="preserve"> și </w:t>
            </w:r>
            <w:r w:rsidR="00AE6BF8" w:rsidRPr="00154588">
              <w:rPr>
                <w:bCs/>
                <w:sz w:val="20"/>
                <w:szCs w:val="20"/>
              </w:rPr>
              <w:t>se prezintă</w:t>
            </w:r>
            <w:r w:rsidRPr="00154588">
              <w:rPr>
                <w:bCs/>
                <w:sz w:val="20"/>
                <w:szCs w:val="20"/>
              </w:rPr>
              <w:t xml:space="preserve"> sub forma unui document transmis întreprinderii-mamă din Uniune de către supraveghetorul consolidant.</w:t>
            </w:r>
          </w:p>
          <w:p w14:paraId="79F94827" w14:textId="77777777" w:rsidR="000348FA" w:rsidRPr="00154588" w:rsidRDefault="000348FA" w:rsidP="008C12B4">
            <w:pPr>
              <w:jc w:val="both"/>
              <w:rPr>
                <w:bCs/>
                <w:sz w:val="20"/>
                <w:szCs w:val="20"/>
              </w:rPr>
            </w:pPr>
          </w:p>
          <w:p w14:paraId="6B5206BD" w14:textId="4E91FBB5" w:rsidR="000348FA" w:rsidRPr="00154588" w:rsidRDefault="000348FA" w:rsidP="008C12B4">
            <w:pPr>
              <w:jc w:val="both"/>
              <w:rPr>
                <w:bCs/>
                <w:sz w:val="20"/>
                <w:szCs w:val="20"/>
              </w:rPr>
            </w:pPr>
            <w:r w:rsidRPr="00154588">
              <w:rPr>
                <w:bCs/>
                <w:sz w:val="20"/>
                <w:szCs w:val="20"/>
              </w:rPr>
              <w:t xml:space="preserve">ABE poate </w:t>
            </w:r>
            <w:r w:rsidR="00041EAB" w:rsidRPr="00154588">
              <w:rPr>
                <w:bCs/>
                <w:sz w:val="20"/>
                <w:szCs w:val="20"/>
              </w:rPr>
              <w:t xml:space="preserve">, la cererea unei </w:t>
            </w:r>
            <w:r w:rsidRPr="00154588">
              <w:rPr>
                <w:bCs/>
                <w:sz w:val="20"/>
                <w:szCs w:val="20"/>
              </w:rPr>
              <w:t xml:space="preserve">autorități competente, </w:t>
            </w:r>
            <w:r w:rsidR="00041EAB" w:rsidRPr="00154588">
              <w:rPr>
                <w:bCs/>
                <w:sz w:val="20"/>
                <w:szCs w:val="20"/>
              </w:rPr>
              <w:t>să ajute autoritățile competente să ajungă</w:t>
            </w:r>
            <w:r w:rsidRPr="00154588">
              <w:rPr>
                <w:bCs/>
                <w:sz w:val="20"/>
                <w:szCs w:val="20"/>
              </w:rPr>
              <w:t xml:space="preserve"> la un acord în conformitate cu articolul 31 din Regulamentul (UE) nr. 1093/2010.</w:t>
            </w:r>
          </w:p>
          <w:p w14:paraId="44D96331" w14:textId="77777777" w:rsidR="000348FA" w:rsidRPr="00154588" w:rsidRDefault="000348FA" w:rsidP="008C12B4">
            <w:pPr>
              <w:jc w:val="both"/>
              <w:rPr>
                <w:bCs/>
                <w:sz w:val="20"/>
                <w:szCs w:val="20"/>
              </w:rPr>
            </w:pPr>
          </w:p>
          <w:p w14:paraId="5FDA1CB2" w14:textId="2321C5AD" w:rsidR="000348FA" w:rsidRPr="00154588" w:rsidRDefault="000348FA" w:rsidP="008C12B4">
            <w:pPr>
              <w:jc w:val="both"/>
              <w:rPr>
                <w:bCs/>
                <w:sz w:val="20"/>
                <w:szCs w:val="20"/>
              </w:rPr>
            </w:pPr>
            <w:r w:rsidRPr="00154588">
              <w:rPr>
                <w:bCs/>
                <w:sz w:val="20"/>
                <w:szCs w:val="20"/>
              </w:rPr>
              <w:t>În absența unei decizii comune în termen de cinci zile, supraveghetorul consolidant și autoritățile competente ale filialelor pot lua decizii individuale privind numirea unui administrator temporar în</w:t>
            </w:r>
            <w:r w:rsidR="00041EAB" w:rsidRPr="00154588">
              <w:rPr>
                <w:bCs/>
                <w:sz w:val="20"/>
                <w:szCs w:val="20"/>
              </w:rPr>
              <w:t xml:space="preserve"> cadrul</w:t>
            </w:r>
            <w:r w:rsidRPr="00154588">
              <w:rPr>
                <w:bCs/>
                <w:sz w:val="20"/>
                <w:szCs w:val="20"/>
              </w:rPr>
              <w:t xml:space="preserve"> instituțiil</w:t>
            </w:r>
            <w:r w:rsidR="00041EAB" w:rsidRPr="00154588">
              <w:rPr>
                <w:bCs/>
                <w:sz w:val="20"/>
                <w:szCs w:val="20"/>
              </w:rPr>
              <w:t>or sau entităților menționate la articolul 1 alineatul (1) litera (b), (c) sau (d)</w:t>
            </w:r>
            <w:r w:rsidR="00041EAB" w:rsidRPr="00154588" w:rsidDel="00041EAB">
              <w:rPr>
                <w:bCs/>
                <w:sz w:val="20"/>
                <w:szCs w:val="20"/>
              </w:rPr>
              <w:t xml:space="preserve"> </w:t>
            </w:r>
            <w:r w:rsidR="00041EAB" w:rsidRPr="00154588">
              <w:rPr>
                <w:bCs/>
                <w:sz w:val="20"/>
                <w:szCs w:val="20"/>
              </w:rPr>
              <w:t>care intră în sfera lor de responsabilitate și cu privire la aplicarea celorlalte măsuri de intervenție timpurie</w:t>
            </w:r>
            <w:r w:rsidRPr="00154588">
              <w:rPr>
                <w:bCs/>
                <w:sz w:val="20"/>
                <w:szCs w:val="20"/>
              </w:rPr>
              <w:t>.</w:t>
            </w:r>
          </w:p>
        </w:tc>
        <w:tc>
          <w:tcPr>
            <w:tcW w:w="4819" w:type="dxa"/>
          </w:tcPr>
          <w:p w14:paraId="2AF94818" w14:textId="38D25C07" w:rsidR="00F90496" w:rsidRPr="00154588" w:rsidRDefault="00F90496" w:rsidP="008C12B4">
            <w:pPr>
              <w:ind w:firstLine="594"/>
              <w:jc w:val="both"/>
              <w:rPr>
                <w:rFonts w:eastAsia="Calibri"/>
                <w:kern w:val="2"/>
                <w:sz w:val="20"/>
                <w:szCs w:val="20"/>
                <w14:ligatures w14:val="standardContextual"/>
              </w:rPr>
            </w:pPr>
            <w:r w:rsidRPr="00154588">
              <w:rPr>
                <w:rFonts w:eastAsia="Calibri"/>
                <w:b/>
                <w:bCs/>
                <w:kern w:val="2"/>
                <w:sz w:val="20"/>
                <w:szCs w:val="20"/>
                <w14:ligatures w14:val="standardContextual"/>
              </w:rPr>
              <w:lastRenderedPageBreak/>
              <w:t>Articolul 54</w:t>
            </w:r>
            <w:r w:rsidRPr="00154588">
              <w:rPr>
                <w:rFonts w:eastAsia="Calibri"/>
                <w:b/>
                <w:bCs/>
                <w:kern w:val="2"/>
                <w:sz w:val="20"/>
                <w:szCs w:val="20"/>
                <w:vertAlign w:val="superscript"/>
                <w14:ligatures w14:val="standardContextual"/>
              </w:rPr>
              <w:t>11</w:t>
            </w:r>
            <w:r w:rsidRPr="00154588">
              <w:rPr>
                <w:rFonts w:eastAsia="Calibri"/>
                <w:b/>
                <w:bCs/>
                <w:kern w:val="2"/>
                <w:sz w:val="20"/>
                <w:szCs w:val="20"/>
                <w14:ligatures w14:val="standardContextual"/>
              </w:rPr>
              <w:t xml:space="preserve">. – </w:t>
            </w:r>
            <w:r w:rsidRPr="00154588">
              <w:rPr>
                <w:rFonts w:eastAsia="Calibri"/>
                <w:kern w:val="2"/>
                <w:sz w:val="20"/>
                <w:szCs w:val="20"/>
                <w14:ligatures w14:val="standardContextual"/>
              </w:rPr>
              <w:t xml:space="preserve">(1) În cazul în care mai multe autorități competente intenționeazăsă </w:t>
            </w:r>
            <w:r w:rsidR="00B829A1" w:rsidRPr="00154588">
              <w:rPr>
                <w:bCs/>
                <w:sz w:val="20"/>
                <w:szCs w:val="20"/>
              </w:rPr>
              <w:t>aplice o măsură de intervenție timpurie în temeiul</w:t>
            </w:r>
            <w:r w:rsidR="00B829A1" w:rsidRPr="00154588" w:rsidDel="00B829A1">
              <w:rPr>
                <w:rFonts w:eastAsia="Calibri"/>
                <w:kern w:val="2"/>
                <w:sz w:val="20"/>
                <w:szCs w:val="20"/>
                <w14:ligatures w14:val="standardContextual"/>
              </w:rPr>
              <w:t xml:space="preserve"> </w:t>
            </w:r>
            <w:r w:rsidRPr="00154588">
              <w:rPr>
                <w:rFonts w:eastAsia="Calibri"/>
                <w:kern w:val="2"/>
                <w:sz w:val="20"/>
                <w:szCs w:val="20"/>
                <w14:ligatures w14:val="standardContextual"/>
              </w:rPr>
              <w:t xml:space="preserve"> art.42-44 mai multor instituții </w:t>
            </w:r>
            <w:r w:rsidR="00B829A1" w:rsidRPr="00154588">
              <w:rPr>
                <w:bCs/>
                <w:sz w:val="20"/>
                <w:szCs w:val="20"/>
              </w:rPr>
              <w:t xml:space="preserve">sau entități menționate la </w:t>
            </w:r>
            <w:r w:rsidR="0096005B" w:rsidRPr="00154588">
              <w:rPr>
                <w:bCs/>
                <w:sz w:val="20"/>
                <w:szCs w:val="20"/>
              </w:rPr>
              <w:t>art.1 alin.(1) lit.b), c) sau d)</w:t>
            </w:r>
            <w:r w:rsidR="00B829A1" w:rsidRPr="00154588">
              <w:rPr>
                <w:bCs/>
                <w:sz w:val="20"/>
                <w:szCs w:val="20"/>
              </w:rPr>
              <w:t xml:space="preserve"> </w:t>
            </w:r>
            <w:r w:rsidRPr="00154588">
              <w:rPr>
                <w:rFonts w:eastAsia="Calibri"/>
                <w:kern w:val="2"/>
                <w:sz w:val="20"/>
                <w:szCs w:val="20"/>
                <w14:ligatures w14:val="standardContextual"/>
              </w:rPr>
              <w:t xml:space="preserve">din cadrul aceluiași grup, Banca Națională a Moldovei, în calitate de autoritate competentă la nivel individual, evaluează împreună cu supraveghetorul </w:t>
            </w:r>
            <w:r w:rsidRPr="00154588">
              <w:rPr>
                <w:rFonts w:eastAsia="Calibri"/>
                <w:kern w:val="2"/>
                <w:sz w:val="20"/>
                <w:szCs w:val="20"/>
                <w14:ligatures w14:val="standardContextual"/>
              </w:rPr>
              <w:lastRenderedPageBreak/>
              <w:t xml:space="preserve">consolidant și cu celelalte autorități competente relevante </w:t>
            </w:r>
            <w:r w:rsidR="00B829A1" w:rsidRPr="00154588">
              <w:rPr>
                <w:bCs/>
                <w:sz w:val="20"/>
                <w:szCs w:val="20"/>
              </w:rPr>
              <w:t>dacă este mai adecvat să se numească același</w:t>
            </w:r>
            <w:r w:rsidR="00B829A1" w:rsidRPr="00154588" w:rsidDel="00B829A1">
              <w:rPr>
                <w:rFonts w:eastAsia="Calibri"/>
                <w:kern w:val="2"/>
                <w:sz w:val="20"/>
                <w:szCs w:val="20"/>
                <w14:ligatures w14:val="standardContextual"/>
              </w:rPr>
              <w:t xml:space="preserve"> </w:t>
            </w:r>
            <w:r w:rsidRPr="00154588">
              <w:rPr>
                <w:rFonts w:eastAsia="Calibri"/>
                <w:kern w:val="2"/>
                <w:sz w:val="20"/>
                <w:szCs w:val="20"/>
                <w14:ligatures w14:val="standardContextual"/>
              </w:rPr>
              <w:t xml:space="preserve">administrator temporar pentru toate entitățile în cauză sau </w:t>
            </w:r>
            <w:r w:rsidR="00B829A1" w:rsidRPr="00154588">
              <w:rPr>
                <w:rFonts w:eastAsia="Calibri"/>
                <w:kern w:val="2"/>
                <w:sz w:val="20"/>
                <w:szCs w:val="20"/>
                <w14:ligatures w14:val="standardContextual"/>
              </w:rPr>
              <w:t xml:space="preserve">să se </w:t>
            </w:r>
            <w:r w:rsidRPr="00154588">
              <w:rPr>
                <w:rFonts w:eastAsia="Calibri"/>
                <w:kern w:val="2"/>
                <w:sz w:val="20"/>
                <w:szCs w:val="20"/>
                <w14:ligatures w14:val="standardContextual"/>
              </w:rPr>
              <w:t>coordon</w:t>
            </w:r>
            <w:r w:rsidR="00B829A1" w:rsidRPr="00154588">
              <w:rPr>
                <w:rFonts w:eastAsia="Calibri"/>
                <w:kern w:val="2"/>
                <w:sz w:val="20"/>
                <w:szCs w:val="20"/>
                <w14:ligatures w14:val="standardContextual"/>
              </w:rPr>
              <w:t>eze</w:t>
            </w:r>
            <w:r w:rsidRPr="00154588">
              <w:rPr>
                <w:rFonts w:eastAsia="Calibri"/>
                <w:kern w:val="2"/>
                <w:sz w:val="20"/>
                <w:szCs w:val="20"/>
                <w14:ligatures w14:val="standardContextual"/>
              </w:rPr>
              <w:t xml:space="preserve"> aplic</w:t>
            </w:r>
            <w:r w:rsidR="00B829A1" w:rsidRPr="00154588">
              <w:rPr>
                <w:rFonts w:eastAsia="Calibri"/>
                <w:kern w:val="2"/>
                <w:sz w:val="20"/>
                <w:szCs w:val="20"/>
                <w14:ligatures w14:val="standardContextual"/>
              </w:rPr>
              <w:t>area</w:t>
            </w:r>
            <w:r w:rsidRPr="00154588">
              <w:rPr>
                <w:rFonts w:eastAsia="Calibri"/>
                <w:kern w:val="2"/>
                <w:sz w:val="20"/>
                <w:szCs w:val="20"/>
                <w14:ligatures w14:val="standardContextual"/>
              </w:rPr>
              <w:t xml:space="preserve"> </w:t>
            </w:r>
            <w:r w:rsidR="00B829A1" w:rsidRPr="00154588">
              <w:rPr>
                <w:rFonts w:eastAsia="Calibri"/>
                <w:kern w:val="2"/>
                <w:sz w:val="20"/>
                <w:szCs w:val="20"/>
                <w14:ligatures w14:val="standardContextual"/>
              </w:rPr>
              <w:t>celorlalte</w:t>
            </w:r>
            <w:r w:rsidRPr="00154588">
              <w:rPr>
                <w:rFonts w:eastAsia="Calibri"/>
                <w:kern w:val="2"/>
                <w:sz w:val="20"/>
                <w:szCs w:val="20"/>
                <w14:ligatures w14:val="standardContextual"/>
              </w:rPr>
              <w:t xml:space="preserve"> măsuri</w:t>
            </w:r>
            <w:r w:rsidR="00B829A1" w:rsidRPr="00154588">
              <w:rPr>
                <w:rFonts w:eastAsia="Calibri"/>
                <w:kern w:val="2"/>
                <w:sz w:val="20"/>
                <w:szCs w:val="20"/>
                <w14:ligatures w14:val="standardContextual"/>
              </w:rPr>
              <w:t xml:space="preserve"> </w:t>
            </w:r>
            <w:r w:rsidR="00B829A1" w:rsidRPr="00154588">
              <w:rPr>
                <w:bCs/>
                <w:sz w:val="20"/>
                <w:szCs w:val="20"/>
              </w:rPr>
              <w:t>de intervenție timpurie</w:t>
            </w:r>
            <w:r w:rsidR="00B829A1" w:rsidRPr="00154588" w:rsidDel="00AE6BF8">
              <w:rPr>
                <w:bCs/>
                <w:sz w:val="20"/>
                <w:szCs w:val="20"/>
              </w:rPr>
              <w:t xml:space="preserve"> </w:t>
            </w:r>
            <w:r w:rsidRPr="00154588">
              <w:rPr>
                <w:rFonts w:eastAsia="Calibri"/>
                <w:kern w:val="2"/>
                <w:sz w:val="20"/>
                <w:szCs w:val="20"/>
                <w14:ligatures w14:val="standardContextual"/>
              </w:rPr>
              <w:t xml:space="preserve"> prevăzute la art.42-44 mai multor </w:t>
            </w:r>
            <w:r w:rsidR="00B829A1" w:rsidRPr="00154588">
              <w:rPr>
                <w:bCs/>
                <w:sz w:val="20"/>
                <w:szCs w:val="20"/>
              </w:rPr>
              <w:t>sau entități pentru a facilita găsirea unor soluții pentru restabilirea poziției financiare a instituției sau a entității în cauză</w:t>
            </w:r>
            <w:r w:rsidRPr="00154588">
              <w:rPr>
                <w:rFonts w:eastAsia="Calibri"/>
                <w:kern w:val="2"/>
                <w:sz w:val="20"/>
                <w:szCs w:val="20"/>
                <w14:ligatures w14:val="standardContextual"/>
              </w:rPr>
              <w:t>. Evaluarea ia forma unei decizii comune a supraveghetorului consolidant, a Băncii Naționale a Moldovei, în calitate de autoritate competentă la nivel individual, și a celorlalte autorități competente relevante. Decizia comună trebuie să fie luată în termen de cinci zile de la data notificării prevăzute la art.54</w:t>
            </w:r>
            <w:r w:rsidRPr="00154588">
              <w:rPr>
                <w:rFonts w:eastAsia="Calibri"/>
                <w:kern w:val="2"/>
                <w:sz w:val="20"/>
                <w:szCs w:val="20"/>
                <w:vertAlign w:val="superscript"/>
                <w14:ligatures w14:val="standardContextual"/>
              </w:rPr>
              <w:t>10</w:t>
            </w:r>
            <w:r w:rsidRPr="00154588">
              <w:rPr>
                <w:rFonts w:eastAsia="Calibri"/>
                <w:kern w:val="2"/>
                <w:sz w:val="20"/>
                <w:szCs w:val="20"/>
                <w14:ligatures w14:val="standardContextual"/>
              </w:rPr>
              <w:t>. Decizia comună este formalizată într-un document care cuprinde motivele pe care se întemeiază.</w:t>
            </w:r>
          </w:p>
          <w:p w14:paraId="384F99A9" w14:textId="77777777" w:rsidR="00F90496" w:rsidRPr="00154588" w:rsidRDefault="00F90496" w:rsidP="008C12B4">
            <w:pPr>
              <w:ind w:firstLine="594"/>
              <w:jc w:val="both"/>
              <w:rPr>
                <w:rFonts w:eastAsia="Calibri"/>
                <w:kern w:val="2"/>
                <w:sz w:val="20"/>
                <w:szCs w:val="20"/>
                <w14:ligatures w14:val="standardContextual"/>
              </w:rPr>
            </w:pPr>
            <w:r w:rsidRPr="00154588">
              <w:rPr>
                <w:rFonts w:eastAsia="Calibri"/>
                <w:kern w:val="2"/>
                <w:sz w:val="20"/>
                <w:szCs w:val="20"/>
                <w14:ligatures w14:val="standardContextual"/>
              </w:rPr>
              <w:t>(2) Banca Națională a Moldovei, în calitate de autoritate competentă la nivel individual, poate solicita asistență Autorității Bancare Europene, în vederea ajungerii la un acord în conformitate cu prevederile art.31 din Regulamentul (UE) nr.1093/2010.</w:t>
            </w:r>
          </w:p>
          <w:p w14:paraId="4D8BB114" w14:textId="5036170A" w:rsidR="000348FA" w:rsidRPr="00154588" w:rsidRDefault="00F90496" w:rsidP="008C12B4">
            <w:pPr>
              <w:ind w:firstLine="594"/>
              <w:jc w:val="both"/>
              <w:rPr>
                <w:rFonts w:eastAsia="Calibri"/>
                <w:b/>
                <w:bCs/>
                <w:kern w:val="2"/>
                <w:sz w:val="20"/>
                <w:szCs w:val="20"/>
                <w14:ligatures w14:val="standardContextual"/>
              </w:rPr>
            </w:pPr>
            <w:r w:rsidRPr="00154588">
              <w:rPr>
                <w:rFonts w:eastAsia="Calibri"/>
                <w:kern w:val="2"/>
                <w:sz w:val="20"/>
                <w:szCs w:val="20"/>
                <w14:ligatures w14:val="standardContextual"/>
              </w:rPr>
              <w:t>(3) În absența unei decizii comune în termenul de cinci zile prevăzut la alin.(1), supraveghetorul consolidant, Banca Națională a Moldovei, în calitate de autoritate competentă la nivel individual, și celelalte autorități competente ale filialelor pot lua decizii individuale privind desemnarea unui administrator temporar în</w:t>
            </w:r>
            <w:r w:rsidR="00B829A1" w:rsidRPr="00154588">
              <w:rPr>
                <w:rFonts w:eastAsia="Calibri"/>
                <w:kern w:val="2"/>
                <w:sz w:val="20"/>
                <w:szCs w:val="20"/>
                <w14:ligatures w14:val="standardContextual"/>
              </w:rPr>
              <w:t xml:space="preserve"> cadrul</w:t>
            </w:r>
            <w:r w:rsidRPr="00154588">
              <w:rPr>
                <w:rFonts w:eastAsia="Calibri"/>
                <w:kern w:val="2"/>
                <w:sz w:val="20"/>
                <w:szCs w:val="20"/>
                <w14:ligatures w14:val="standardContextual"/>
              </w:rPr>
              <w:t xml:space="preserve"> instituții</w:t>
            </w:r>
            <w:r w:rsidR="00B829A1" w:rsidRPr="00154588">
              <w:rPr>
                <w:rFonts w:eastAsia="Calibri"/>
                <w:kern w:val="2"/>
                <w:sz w:val="20"/>
                <w:szCs w:val="20"/>
                <w14:ligatures w14:val="standardContextual"/>
              </w:rPr>
              <w:t>or</w:t>
            </w:r>
            <w:r w:rsidRPr="00154588">
              <w:rPr>
                <w:rFonts w:eastAsia="Calibri"/>
                <w:kern w:val="2"/>
                <w:sz w:val="20"/>
                <w:szCs w:val="20"/>
                <w14:ligatures w14:val="standardContextual"/>
              </w:rPr>
              <w:t xml:space="preserve"> </w:t>
            </w:r>
            <w:r w:rsidR="00B829A1" w:rsidRPr="00154588">
              <w:rPr>
                <w:bCs/>
                <w:sz w:val="20"/>
                <w:szCs w:val="20"/>
              </w:rPr>
              <w:t xml:space="preserve">sau entităților menționate la </w:t>
            </w:r>
            <w:r w:rsidR="0096005B" w:rsidRPr="00154588">
              <w:rPr>
                <w:bCs/>
                <w:sz w:val="20"/>
                <w:szCs w:val="20"/>
              </w:rPr>
              <w:t xml:space="preserve">art.1 alin.(1) lit.b), c) sau d) </w:t>
            </w:r>
            <w:r w:rsidR="00B829A1" w:rsidRPr="00154588">
              <w:rPr>
                <w:bCs/>
                <w:sz w:val="20"/>
                <w:szCs w:val="20"/>
              </w:rPr>
              <w:t>care intră în sfera lor de responsabilitate și cu privire la aplicarea celorlalte măsuri de intervenție timpurie</w:t>
            </w:r>
            <w:r w:rsidR="00A517D9" w:rsidRPr="00154588">
              <w:rPr>
                <w:bCs/>
                <w:sz w:val="20"/>
                <w:szCs w:val="20"/>
              </w:rPr>
              <w:t>.</w:t>
            </w:r>
          </w:p>
        </w:tc>
        <w:tc>
          <w:tcPr>
            <w:tcW w:w="2552" w:type="dxa"/>
          </w:tcPr>
          <w:p w14:paraId="031532FF" w14:textId="38FF5E5F" w:rsidR="000348FA" w:rsidRPr="00154588" w:rsidRDefault="00F90496" w:rsidP="008C12B4">
            <w:pPr>
              <w:jc w:val="both"/>
              <w:rPr>
                <w:bCs/>
                <w:sz w:val="20"/>
                <w:szCs w:val="20"/>
              </w:rPr>
            </w:pPr>
            <w:r w:rsidRPr="00154588">
              <w:rPr>
                <w:bCs/>
                <w:sz w:val="20"/>
                <w:szCs w:val="20"/>
              </w:rPr>
              <w:lastRenderedPageBreak/>
              <w:t>Compatibil</w:t>
            </w:r>
          </w:p>
        </w:tc>
        <w:tc>
          <w:tcPr>
            <w:tcW w:w="3118" w:type="dxa"/>
          </w:tcPr>
          <w:p w14:paraId="5F52153C" w14:textId="77777777" w:rsidR="000348FA" w:rsidRPr="00154588" w:rsidRDefault="000348FA" w:rsidP="008C12B4">
            <w:pPr>
              <w:jc w:val="both"/>
              <w:rPr>
                <w:bCs/>
                <w:sz w:val="20"/>
                <w:szCs w:val="20"/>
              </w:rPr>
            </w:pPr>
          </w:p>
        </w:tc>
      </w:tr>
      <w:tr w:rsidR="000348FA" w:rsidRPr="00154588" w14:paraId="36DAA3B6" w14:textId="77777777" w:rsidTr="00D15C1B">
        <w:trPr>
          <w:jc w:val="center"/>
        </w:trPr>
        <w:tc>
          <w:tcPr>
            <w:tcW w:w="4957" w:type="dxa"/>
            <w:gridSpan w:val="2"/>
          </w:tcPr>
          <w:p w14:paraId="11482B05" w14:textId="59B7F68F" w:rsidR="000348FA" w:rsidRPr="00154588" w:rsidRDefault="000348FA" w:rsidP="008C12B4">
            <w:pPr>
              <w:jc w:val="both"/>
              <w:rPr>
                <w:bCs/>
                <w:sz w:val="20"/>
                <w:szCs w:val="20"/>
              </w:rPr>
            </w:pPr>
            <w:r w:rsidRPr="00154588">
              <w:rPr>
                <w:bCs/>
                <w:sz w:val="20"/>
                <w:szCs w:val="20"/>
              </w:rPr>
              <w:t>(5)   În cazul în care o autoritate competentă implicată nu este de acord cu decizia notificată în conformitate cu alineatul (1) sau cu alineatul (3), sau în absența unei decizii comune în conformitate cu alineatul (4), autoritatea competentă poate sesiza ABE în conformitate cu alineatul (6).</w:t>
            </w:r>
          </w:p>
        </w:tc>
        <w:tc>
          <w:tcPr>
            <w:tcW w:w="4819" w:type="dxa"/>
          </w:tcPr>
          <w:p w14:paraId="18A70E19" w14:textId="31E76465" w:rsidR="000348FA" w:rsidRPr="00154588" w:rsidRDefault="00F90496" w:rsidP="008C12B4">
            <w:pPr>
              <w:ind w:firstLine="567"/>
              <w:jc w:val="both"/>
              <w:rPr>
                <w:rFonts w:eastAsia="Calibri"/>
                <w:kern w:val="2"/>
                <w:sz w:val="20"/>
                <w:szCs w:val="20"/>
                <w14:ligatures w14:val="standardContextual"/>
              </w:rPr>
            </w:pP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12</w:t>
            </w:r>
            <w:r w:rsidRPr="00154588">
              <w:rPr>
                <w:rFonts w:eastAsia="Calibri"/>
                <w:b/>
                <w:bCs/>
                <w:kern w:val="2"/>
                <w:sz w:val="20"/>
                <w:szCs w:val="20"/>
                <w14:ligatures w14:val="standardContextual"/>
              </w:rPr>
              <w:t xml:space="preserve">. – </w:t>
            </w:r>
            <w:r w:rsidRPr="00154588">
              <w:rPr>
                <w:rFonts w:eastAsia="Calibri"/>
                <w:kern w:val="2"/>
                <w:sz w:val="20"/>
                <w:szCs w:val="20"/>
                <w14:ligatures w14:val="standardContextual"/>
              </w:rPr>
              <w:t>În cazul în care Banca Națională a Moldovei, în calitate de autoritate competentă la nivel individual, nu este de acord cu decizia notificată în mod similar celor prevăzute la art.54</w:t>
            </w:r>
            <w:r w:rsidRPr="00154588">
              <w:rPr>
                <w:rFonts w:eastAsia="Calibri"/>
                <w:kern w:val="2"/>
                <w:sz w:val="20"/>
                <w:szCs w:val="20"/>
                <w:vertAlign w:val="superscript"/>
                <w14:ligatures w14:val="standardContextual"/>
              </w:rPr>
              <w:t>1</w:t>
            </w:r>
            <w:r w:rsidRPr="00154588">
              <w:rPr>
                <w:rFonts w:eastAsia="Calibri"/>
                <w:kern w:val="2"/>
                <w:sz w:val="20"/>
                <w:szCs w:val="20"/>
                <w14:ligatures w14:val="standardContextual"/>
              </w:rPr>
              <w:t> sau în absența unei decizii comune în conformitate cu prevederile art.54</w:t>
            </w:r>
            <w:r w:rsidRPr="00154588">
              <w:rPr>
                <w:rFonts w:eastAsia="Calibri"/>
                <w:kern w:val="2"/>
                <w:sz w:val="20"/>
                <w:szCs w:val="20"/>
                <w:vertAlign w:val="superscript"/>
                <w14:ligatures w14:val="standardContextual"/>
              </w:rPr>
              <w:t>11</w:t>
            </w:r>
            <w:r w:rsidRPr="00154588">
              <w:rPr>
                <w:rFonts w:eastAsia="Calibri"/>
                <w:kern w:val="2"/>
                <w:sz w:val="20"/>
                <w:szCs w:val="20"/>
                <w14:ligatures w14:val="standardContextual"/>
              </w:rPr>
              <w:t>, aceasta poate aduce problema în atenția Autorității Bancare Europene în conformitate cu prevederile art.54</w:t>
            </w:r>
            <w:r w:rsidRPr="00154588">
              <w:rPr>
                <w:rFonts w:eastAsia="Calibri"/>
                <w:kern w:val="2"/>
                <w:sz w:val="20"/>
                <w:szCs w:val="20"/>
                <w:vertAlign w:val="superscript"/>
                <w14:ligatures w14:val="standardContextual"/>
              </w:rPr>
              <w:t>13</w:t>
            </w:r>
            <w:r w:rsidRPr="00154588">
              <w:rPr>
                <w:rFonts w:eastAsia="Calibri"/>
                <w:kern w:val="2"/>
                <w:sz w:val="20"/>
                <w:szCs w:val="20"/>
                <w14:ligatures w14:val="standardContextual"/>
              </w:rPr>
              <w:t>.</w:t>
            </w:r>
          </w:p>
        </w:tc>
        <w:tc>
          <w:tcPr>
            <w:tcW w:w="2552" w:type="dxa"/>
          </w:tcPr>
          <w:p w14:paraId="5BD4A029" w14:textId="37D42892" w:rsidR="000348FA" w:rsidRPr="00154588" w:rsidRDefault="00F90496" w:rsidP="008C12B4">
            <w:pPr>
              <w:jc w:val="both"/>
              <w:rPr>
                <w:bCs/>
                <w:sz w:val="20"/>
                <w:szCs w:val="20"/>
              </w:rPr>
            </w:pPr>
            <w:r w:rsidRPr="00154588">
              <w:rPr>
                <w:bCs/>
                <w:sz w:val="20"/>
                <w:szCs w:val="20"/>
              </w:rPr>
              <w:t>Compatibil</w:t>
            </w:r>
          </w:p>
        </w:tc>
        <w:tc>
          <w:tcPr>
            <w:tcW w:w="3118" w:type="dxa"/>
          </w:tcPr>
          <w:p w14:paraId="07111EE3" w14:textId="09133D47" w:rsidR="000348FA" w:rsidRPr="00154588" w:rsidRDefault="000348FA" w:rsidP="008C12B4">
            <w:pPr>
              <w:jc w:val="both"/>
              <w:rPr>
                <w:bCs/>
                <w:sz w:val="20"/>
                <w:szCs w:val="20"/>
                <w:lang w:val="en-US"/>
              </w:rPr>
            </w:pPr>
          </w:p>
        </w:tc>
      </w:tr>
      <w:tr w:rsidR="000348FA" w:rsidRPr="00154588" w14:paraId="46510AE9" w14:textId="77777777" w:rsidTr="00D15C1B">
        <w:trPr>
          <w:jc w:val="center"/>
        </w:trPr>
        <w:tc>
          <w:tcPr>
            <w:tcW w:w="4957" w:type="dxa"/>
            <w:gridSpan w:val="2"/>
          </w:tcPr>
          <w:p w14:paraId="2DD31E35" w14:textId="017AC184" w:rsidR="000348FA" w:rsidRPr="00154588" w:rsidRDefault="000348FA" w:rsidP="008C12B4">
            <w:pPr>
              <w:jc w:val="both"/>
              <w:rPr>
                <w:bCs/>
                <w:sz w:val="20"/>
                <w:szCs w:val="20"/>
              </w:rPr>
            </w:pPr>
            <w:r w:rsidRPr="00154588">
              <w:rPr>
                <w:bCs/>
                <w:sz w:val="20"/>
                <w:szCs w:val="20"/>
              </w:rPr>
              <w:t xml:space="preserve">(6) La solicitarea oricărei autorități competente, ABE poate să acorde asistență autorităților competente care intenționează să aplice una sau mai multe dintre măsurile menționate la articolul 27 alineatul (1) litera (a) din prezenta directivă în ceea ce privește punctele 4, 10, 11 și 19 din secțiunea A din anexa la prezenta directivă, la articolul 27 alineatul (1) litera (e) din prezenta directivă sau la articolul 27 alineatul (1) litera (g) din prezenta directivă pentru </w:t>
            </w:r>
            <w:r w:rsidRPr="00154588">
              <w:rPr>
                <w:bCs/>
                <w:sz w:val="20"/>
                <w:szCs w:val="20"/>
              </w:rPr>
              <w:lastRenderedPageBreak/>
              <w:t>ajungerea la un acord în conformitate cu articolul 19 alineatul (3) din Regulamentul (UE) nr. 1093/2010.</w:t>
            </w:r>
          </w:p>
        </w:tc>
        <w:tc>
          <w:tcPr>
            <w:tcW w:w="4819" w:type="dxa"/>
          </w:tcPr>
          <w:p w14:paraId="348DC141" w14:textId="77777777" w:rsidR="00F90496" w:rsidRPr="00154588" w:rsidRDefault="00F90496" w:rsidP="008C12B4">
            <w:pPr>
              <w:ind w:firstLine="567"/>
              <w:jc w:val="both"/>
              <w:rPr>
                <w:rFonts w:eastAsia="Calibri"/>
                <w:kern w:val="2"/>
                <w:sz w:val="20"/>
                <w:szCs w:val="20"/>
                <w14:ligatures w14:val="standardContextual"/>
              </w:rPr>
            </w:pPr>
            <w:r w:rsidRPr="00154588">
              <w:rPr>
                <w:rFonts w:eastAsia="Calibri"/>
                <w:b/>
                <w:bCs/>
                <w:kern w:val="2"/>
                <w:sz w:val="20"/>
                <w:szCs w:val="20"/>
                <w14:ligatures w14:val="standardContextual"/>
              </w:rPr>
              <w:lastRenderedPageBreak/>
              <w:t>Articolul 54</w:t>
            </w:r>
            <w:r w:rsidRPr="00154588">
              <w:rPr>
                <w:rFonts w:eastAsia="Calibri"/>
                <w:b/>
                <w:bCs/>
                <w:kern w:val="2"/>
                <w:sz w:val="20"/>
                <w:szCs w:val="20"/>
                <w:vertAlign w:val="superscript"/>
                <w14:ligatures w14:val="standardContextual"/>
              </w:rPr>
              <w:t>13</w:t>
            </w:r>
            <w:r w:rsidRPr="00154588">
              <w:rPr>
                <w:rFonts w:eastAsia="Calibri"/>
                <w:b/>
                <w:bCs/>
                <w:kern w:val="2"/>
                <w:sz w:val="20"/>
                <w:szCs w:val="20"/>
                <w14:ligatures w14:val="standardContextual"/>
              </w:rPr>
              <w:t xml:space="preserve">. – </w:t>
            </w:r>
            <w:r w:rsidRPr="00154588">
              <w:rPr>
                <w:rFonts w:eastAsia="Calibri"/>
                <w:kern w:val="2"/>
                <w:sz w:val="20"/>
                <w:szCs w:val="20"/>
                <w14:ligatures w14:val="standardContextual"/>
              </w:rPr>
              <w:t xml:space="preserve">Atunci când Banca Națională a Moldovei, în calitate de autoritate competentă la nivel individual, intenționează să aplice una sau mai multe dintre măsurile prevăzute la art.42 alin.(1) lit.a) în ceea ce privește lit.d), j), k) și s) din secțiunea A din anexă, la art.42 alin.(1) lit.e) sau lit.g), aceasta poate solicita asistență Autorității Bancare Europene pentru a se ajunge la un acord în conformitate cu prevederile art.19 alin.(3) </w:t>
            </w:r>
            <w:r w:rsidRPr="00154588">
              <w:rPr>
                <w:rFonts w:eastAsia="Calibri"/>
                <w:kern w:val="2"/>
                <w:sz w:val="20"/>
                <w:szCs w:val="20"/>
                <w14:ligatures w14:val="standardContextual"/>
              </w:rPr>
              <w:lastRenderedPageBreak/>
              <w:t>din Regulamentul (UE) nr.1093/2010, cu privire la numirea administratorului temporar.</w:t>
            </w:r>
          </w:p>
          <w:p w14:paraId="173A972C" w14:textId="77777777" w:rsidR="000348FA" w:rsidRPr="00154588" w:rsidRDefault="000348FA" w:rsidP="008C12B4">
            <w:pPr>
              <w:jc w:val="both"/>
              <w:rPr>
                <w:rFonts w:eastAsia="Calibri"/>
                <w:b/>
                <w:bCs/>
                <w:kern w:val="2"/>
                <w:sz w:val="20"/>
                <w:szCs w:val="20"/>
                <w14:ligatures w14:val="standardContextual"/>
              </w:rPr>
            </w:pPr>
          </w:p>
        </w:tc>
        <w:tc>
          <w:tcPr>
            <w:tcW w:w="2552" w:type="dxa"/>
          </w:tcPr>
          <w:p w14:paraId="3DC62423" w14:textId="61253C82" w:rsidR="000348FA" w:rsidRPr="00154588" w:rsidRDefault="00F90496" w:rsidP="008C12B4">
            <w:pPr>
              <w:jc w:val="both"/>
              <w:rPr>
                <w:bCs/>
                <w:sz w:val="20"/>
                <w:szCs w:val="20"/>
              </w:rPr>
            </w:pPr>
            <w:r w:rsidRPr="00154588">
              <w:rPr>
                <w:bCs/>
                <w:sz w:val="20"/>
                <w:szCs w:val="20"/>
              </w:rPr>
              <w:lastRenderedPageBreak/>
              <w:t>Compatibil</w:t>
            </w:r>
          </w:p>
        </w:tc>
        <w:tc>
          <w:tcPr>
            <w:tcW w:w="3118" w:type="dxa"/>
          </w:tcPr>
          <w:p w14:paraId="7565328C" w14:textId="77777777" w:rsidR="000348FA" w:rsidRPr="00154588" w:rsidRDefault="000348FA" w:rsidP="008C12B4">
            <w:pPr>
              <w:jc w:val="both"/>
              <w:rPr>
                <w:bCs/>
                <w:sz w:val="20"/>
                <w:szCs w:val="20"/>
              </w:rPr>
            </w:pPr>
          </w:p>
        </w:tc>
      </w:tr>
      <w:tr w:rsidR="000348FA" w:rsidRPr="00154588" w14:paraId="0B79FCA9" w14:textId="77777777" w:rsidTr="00D15C1B">
        <w:trPr>
          <w:jc w:val="center"/>
        </w:trPr>
        <w:tc>
          <w:tcPr>
            <w:tcW w:w="4957" w:type="dxa"/>
            <w:gridSpan w:val="2"/>
          </w:tcPr>
          <w:p w14:paraId="5D5E9834" w14:textId="77777777" w:rsidR="000348FA" w:rsidRPr="00154588" w:rsidRDefault="000348FA" w:rsidP="008C12B4">
            <w:pPr>
              <w:jc w:val="both"/>
              <w:rPr>
                <w:bCs/>
                <w:sz w:val="20"/>
                <w:szCs w:val="20"/>
              </w:rPr>
            </w:pPr>
            <w:r w:rsidRPr="00154588">
              <w:rPr>
                <w:bCs/>
                <w:sz w:val="20"/>
                <w:szCs w:val="20"/>
              </w:rPr>
              <w:t>(7)   Decizia fiecărei autorități competente trebuie să fie motivată. Această decizie ține seama de opiniile și rezervele exprimate de celelalte autorități competente pe parcursul perioadei de consultare menționate la alineatul (1) sau la alineatul (3) sau pe parcursul perioadei de 5 zile menționate la alineatul (4) precum și de impactul potențial al deciziei asupra stabilității financiare din statele membre vizate. Deciziile sunt transmise întreprinderii-mamă din Uniune de către supraveghetorul consolidant și filialelor de către autoritățile competente respective.</w:t>
            </w:r>
          </w:p>
          <w:p w14:paraId="1101E606" w14:textId="77777777" w:rsidR="000348FA" w:rsidRPr="00154588" w:rsidRDefault="000348FA" w:rsidP="008C12B4">
            <w:pPr>
              <w:jc w:val="both"/>
              <w:rPr>
                <w:bCs/>
                <w:sz w:val="20"/>
                <w:szCs w:val="20"/>
              </w:rPr>
            </w:pPr>
          </w:p>
          <w:p w14:paraId="35760E79" w14:textId="10E23F09" w:rsidR="000348FA" w:rsidRPr="00154588" w:rsidRDefault="000348FA" w:rsidP="008C12B4">
            <w:pPr>
              <w:jc w:val="both"/>
              <w:rPr>
                <w:bCs/>
                <w:sz w:val="20"/>
                <w:szCs w:val="20"/>
              </w:rPr>
            </w:pPr>
            <w:r w:rsidRPr="00154588">
              <w:rPr>
                <w:bCs/>
                <w:sz w:val="20"/>
                <w:szCs w:val="20"/>
              </w:rPr>
              <w:t>În situațiile menționate la alineatul (6) din prezentul articol, în care înainte de sfârșitul perioadei de consultare menționate la alineatele (1) și (3) din prezentul articol sau până la finalul perioadei de cinci zile menționate la alineatul (4) din prezentul articol, oricare dintre autoritățile competente implicate a adus problema în atenția ABE în conformitate cu articolul 19 alineatul (3) din Regulamentul (UE) nr. 1093/2010, supraveghetorul consolidant și celelalte autorități competente își amână deciziile și așteaptă decizia pe care ABE o poate lua în conformitate cu articolul 19 alineatul (3) din regulamentul menționat, adoptând apoi propriile lor decizii în conformitate cu decizia ABE. Perioada de cinci zile se consideră a fi perioadă de conciliere în înțelesul regulamentului menționat. ABE adoptă propria sa decizie în termen de trei zile. Problema nu poate fi adusă în atenția ABE după expirarea perioadei de cinci zile sau după ce s-a ajuns la o decizie comună.</w:t>
            </w:r>
          </w:p>
        </w:tc>
        <w:tc>
          <w:tcPr>
            <w:tcW w:w="4819" w:type="dxa"/>
          </w:tcPr>
          <w:p w14:paraId="219F3612" w14:textId="77777777" w:rsidR="00F90496" w:rsidRPr="00154588" w:rsidRDefault="00F90496" w:rsidP="008C12B4">
            <w:pPr>
              <w:ind w:firstLine="567"/>
              <w:jc w:val="both"/>
              <w:rPr>
                <w:rFonts w:eastAsia="Calibri"/>
                <w:kern w:val="2"/>
                <w:sz w:val="20"/>
                <w:szCs w:val="20"/>
                <w14:ligatures w14:val="standardContextual"/>
              </w:rPr>
            </w:pP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14</w:t>
            </w:r>
            <w:r w:rsidRPr="00154588">
              <w:rPr>
                <w:rFonts w:eastAsia="Calibri"/>
                <w:b/>
                <w:bCs/>
                <w:kern w:val="2"/>
                <w:sz w:val="20"/>
                <w:szCs w:val="20"/>
                <w14:ligatures w14:val="standardContextual"/>
              </w:rPr>
              <w:t xml:space="preserve">. – </w:t>
            </w:r>
            <w:r w:rsidRPr="00154588">
              <w:rPr>
                <w:rFonts w:eastAsia="Calibri"/>
                <w:kern w:val="2"/>
                <w:sz w:val="20"/>
                <w:szCs w:val="20"/>
                <w14:ligatures w14:val="standardContextual"/>
              </w:rPr>
              <w:t>(1) Decizia Băncii Naționale a Moldovei, în calitate de autoritate competentă la nivel individual, trebuie să fie motivată. Această decizie trebuie să țină cont de opiniile și rezervele exprimate de celelalte autorități competente și de supraveghetorul consolidant pe parcursul perioadei de consultare prevăzute la art.54</w:t>
            </w:r>
            <w:r w:rsidRPr="00154588">
              <w:rPr>
                <w:rFonts w:eastAsia="Calibri"/>
                <w:kern w:val="2"/>
                <w:sz w:val="20"/>
                <w:szCs w:val="20"/>
                <w:vertAlign w:val="superscript"/>
                <w14:ligatures w14:val="standardContextual"/>
              </w:rPr>
              <w:t>9 </w:t>
            </w:r>
            <w:r w:rsidRPr="00154588">
              <w:rPr>
                <w:rFonts w:eastAsia="Calibri"/>
                <w:kern w:val="2"/>
                <w:sz w:val="20"/>
                <w:szCs w:val="20"/>
                <w14:ligatures w14:val="standardContextual"/>
              </w:rPr>
              <w:t>sau la art.54</w:t>
            </w:r>
            <w:r w:rsidRPr="00154588">
              <w:rPr>
                <w:rFonts w:eastAsia="Calibri"/>
                <w:kern w:val="2"/>
                <w:sz w:val="20"/>
                <w:szCs w:val="20"/>
                <w:vertAlign w:val="superscript"/>
                <w14:ligatures w14:val="standardContextual"/>
              </w:rPr>
              <w:t>10</w:t>
            </w:r>
            <w:r w:rsidRPr="00154588">
              <w:rPr>
                <w:rFonts w:eastAsia="Calibri"/>
                <w:kern w:val="2"/>
                <w:sz w:val="20"/>
                <w:szCs w:val="20"/>
                <w14:ligatures w14:val="standardContextual"/>
              </w:rPr>
              <w:t> ori pe parcursul perioadei de cinci zile prevăzute la art. 54</w:t>
            </w:r>
            <w:r w:rsidRPr="00154588">
              <w:rPr>
                <w:rFonts w:eastAsia="Calibri"/>
                <w:kern w:val="2"/>
                <w:sz w:val="20"/>
                <w:szCs w:val="20"/>
                <w:vertAlign w:val="superscript"/>
                <w14:ligatures w14:val="standardContextual"/>
              </w:rPr>
              <w:t>11</w:t>
            </w:r>
            <w:r w:rsidRPr="00154588">
              <w:rPr>
                <w:rFonts w:eastAsia="Calibri"/>
                <w:kern w:val="2"/>
                <w:sz w:val="20"/>
                <w:szCs w:val="20"/>
                <w14:ligatures w14:val="standardContextual"/>
              </w:rPr>
              <w:t>, precum și de impactul potențial al deciziei asupra stabilității financiare din statele membre vizate. Decizia este transmisă de către Banca Națională a Moldovei filialelor întreprinderii-mamă din Uniunea Europeană pentru care este responsabilă cu supravegherea la nivel individual.</w:t>
            </w:r>
          </w:p>
          <w:p w14:paraId="73EA01B0" w14:textId="77777777" w:rsidR="00F90496" w:rsidRPr="00154588" w:rsidRDefault="00F90496"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(2) În situațiile prevăzute la art.54</w:t>
            </w:r>
            <w:r w:rsidRPr="00154588">
              <w:rPr>
                <w:rFonts w:eastAsia="Calibri"/>
                <w:kern w:val="2"/>
                <w:sz w:val="20"/>
                <w:szCs w:val="20"/>
                <w:vertAlign w:val="superscript"/>
                <w14:ligatures w14:val="standardContextual"/>
              </w:rPr>
              <w:t>13</w:t>
            </w:r>
            <w:r w:rsidRPr="00154588">
              <w:rPr>
                <w:rFonts w:eastAsia="Calibri"/>
                <w:kern w:val="2"/>
                <w:sz w:val="20"/>
                <w:szCs w:val="20"/>
                <w14:ligatures w14:val="standardContextual"/>
              </w:rPr>
              <w:t>, în care, înainte de sfârșitul perioadei de consultare prevăzute la art.54</w:t>
            </w:r>
            <w:r w:rsidRPr="00154588">
              <w:rPr>
                <w:rFonts w:eastAsia="Calibri"/>
                <w:kern w:val="2"/>
                <w:sz w:val="20"/>
                <w:szCs w:val="20"/>
                <w:vertAlign w:val="superscript"/>
                <w14:ligatures w14:val="standardContextual"/>
              </w:rPr>
              <w:t>9</w:t>
            </w:r>
            <w:r w:rsidRPr="00154588">
              <w:rPr>
                <w:rFonts w:eastAsia="Calibri"/>
                <w:kern w:val="2"/>
                <w:sz w:val="20"/>
                <w:szCs w:val="20"/>
                <w14:ligatures w14:val="standardContextual"/>
              </w:rPr>
              <w:t> și 54</w:t>
            </w:r>
            <w:r w:rsidRPr="00154588">
              <w:rPr>
                <w:rFonts w:eastAsia="Calibri"/>
                <w:kern w:val="2"/>
                <w:sz w:val="20"/>
                <w:szCs w:val="20"/>
                <w:vertAlign w:val="superscript"/>
                <w14:ligatures w14:val="standardContextual"/>
              </w:rPr>
              <w:t>10</w:t>
            </w:r>
            <w:r w:rsidRPr="00154588">
              <w:rPr>
                <w:rFonts w:eastAsia="Calibri"/>
                <w:kern w:val="2"/>
                <w:sz w:val="20"/>
                <w:szCs w:val="20"/>
                <w14:ligatures w14:val="standardContextual"/>
              </w:rPr>
              <w:t> sau la finalul perioadei de cinci zile prevăzute la art.54</w:t>
            </w:r>
            <w:r w:rsidRPr="00154588">
              <w:rPr>
                <w:rFonts w:eastAsia="Calibri"/>
                <w:kern w:val="2"/>
                <w:sz w:val="20"/>
                <w:szCs w:val="20"/>
                <w:vertAlign w:val="superscript"/>
                <w14:ligatures w14:val="standardContextual"/>
              </w:rPr>
              <w:t>11</w:t>
            </w:r>
            <w:r w:rsidRPr="00154588">
              <w:rPr>
                <w:rFonts w:eastAsia="Calibri"/>
                <w:kern w:val="2"/>
                <w:sz w:val="20"/>
                <w:szCs w:val="20"/>
                <w14:ligatures w14:val="standardContextual"/>
              </w:rPr>
              <w:t xml:space="preserve"> alin.(1), oricare dintre autoritățile competente relevante a adus problema în atenția Autorității Bancare Europene în conformitate cu prevederile art.19 alin.(3) din Regulamentul (UE) nr.1093/2010, Banca Națională a Moldovei, în calitate de autoritate competentă la nivel individual, își amână decizia și așteaptă decizia pe care Autoritatea Bancară Europeană o poate lua în conformitate cu prevederile art.19 alin.(3) din același regulament.</w:t>
            </w:r>
          </w:p>
          <w:p w14:paraId="734FC322" w14:textId="77777777" w:rsidR="00F90496" w:rsidRPr="00154588" w:rsidRDefault="00F90496"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(3) Perioada de cinci zile se consideră a fi perioadă de conciliere în înțelesul Regulamentului (UE) nr.1093/2010.</w:t>
            </w:r>
          </w:p>
          <w:p w14:paraId="55FDD57A" w14:textId="77777777" w:rsidR="00F90496" w:rsidRPr="00154588" w:rsidRDefault="00F90496"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(4) Banca Națională a Moldovei, în calitate de autoritate competentă la nivel individual, adoptă propria decizie în conformitate cu decizia Autorității Bancare Europene, exprimată în termen de trei zile.</w:t>
            </w:r>
          </w:p>
          <w:p w14:paraId="0D1608F5" w14:textId="709B45CC" w:rsidR="000348FA" w:rsidRPr="00154588" w:rsidRDefault="00F90496"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(5) Problema nu poate fi adusă în atenția Autorității Bancare Europene după expirarea perioadei de cinci zile sau după ce sa ajuns la o decizie comună.</w:t>
            </w:r>
          </w:p>
        </w:tc>
        <w:tc>
          <w:tcPr>
            <w:tcW w:w="2552" w:type="dxa"/>
          </w:tcPr>
          <w:p w14:paraId="2162600B" w14:textId="6C8F2E67" w:rsidR="000348FA" w:rsidRPr="00154588" w:rsidRDefault="00F90496" w:rsidP="008C12B4">
            <w:pPr>
              <w:jc w:val="both"/>
              <w:rPr>
                <w:bCs/>
                <w:sz w:val="20"/>
                <w:szCs w:val="20"/>
              </w:rPr>
            </w:pPr>
            <w:r w:rsidRPr="00154588">
              <w:rPr>
                <w:bCs/>
                <w:sz w:val="20"/>
                <w:szCs w:val="20"/>
              </w:rPr>
              <w:t>Compatibil</w:t>
            </w:r>
          </w:p>
        </w:tc>
        <w:tc>
          <w:tcPr>
            <w:tcW w:w="3118" w:type="dxa"/>
          </w:tcPr>
          <w:p w14:paraId="560B52F2" w14:textId="77777777" w:rsidR="000348FA" w:rsidRPr="00154588" w:rsidRDefault="000348FA" w:rsidP="008C12B4">
            <w:pPr>
              <w:jc w:val="both"/>
              <w:rPr>
                <w:bCs/>
                <w:sz w:val="20"/>
                <w:szCs w:val="20"/>
              </w:rPr>
            </w:pPr>
          </w:p>
        </w:tc>
      </w:tr>
      <w:tr w:rsidR="000348FA" w:rsidRPr="00154588" w14:paraId="0F868CFB" w14:textId="77777777" w:rsidTr="00D15C1B">
        <w:trPr>
          <w:jc w:val="center"/>
        </w:trPr>
        <w:tc>
          <w:tcPr>
            <w:tcW w:w="4957" w:type="dxa"/>
            <w:gridSpan w:val="2"/>
          </w:tcPr>
          <w:p w14:paraId="7C3A9706" w14:textId="5299015A" w:rsidR="000348FA" w:rsidRPr="00154588" w:rsidRDefault="000348FA" w:rsidP="008C12B4">
            <w:pPr>
              <w:jc w:val="both"/>
              <w:rPr>
                <w:bCs/>
                <w:sz w:val="20"/>
                <w:szCs w:val="20"/>
              </w:rPr>
            </w:pPr>
            <w:r w:rsidRPr="00154588">
              <w:rPr>
                <w:bCs/>
                <w:sz w:val="20"/>
                <w:szCs w:val="20"/>
              </w:rPr>
              <w:t>(8)   În absența unei decizii din partea ABE în termen de trei zile, se aplică deciziile individuale luate în conformitate cu alineatele (1) sau (3), sau cu alineatul (4) al treilea paragraf.</w:t>
            </w:r>
          </w:p>
        </w:tc>
        <w:tc>
          <w:tcPr>
            <w:tcW w:w="4819" w:type="dxa"/>
          </w:tcPr>
          <w:p w14:paraId="6EC0C786" w14:textId="4D25E683" w:rsidR="000348FA" w:rsidRPr="00154588" w:rsidRDefault="00F90496" w:rsidP="008C12B4">
            <w:pPr>
              <w:ind w:firstLine="567"/>
              <w:jc w:val="both"/>
              <w:rPr>
                <w:rFonts w:eastAsia="Calibri"/>
                <w:kern w:val="2"/>
                <w:sz w:val="20"/>
                <w:szCs w:val="20"/>
                <w14:ligatures w14:val="standardContextual"/>
              </w:rPr>
            </w:pP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15</w:t>
            </w:r>
            <w:r w:rsidRPr="00154588">
              <w:rPr>
                <w:rFonts w:eastAsia="Calibri"/>
                <w:b/>
                <w:bCs/>
                <w:kern w:val="2"/>
                <w:sz w:val="20"/>
                <w:szCs w:val="20"/>
                <w14:ligatures w14:val="standardContextual"/>
              </w:rPr>
              <w:t xml:space="preserve">. – </w:t>
            </w:r>
            <w:r w:rsidRPr="00154588">
              <w:rPr>
                <w:rFonts w:eastAsia="Calibri"/>
                <w:kern w:val="2"/>
                <w:sz w:val="20"/>
                <w:szCs w:val="20"/>
                <w14:ligatures w14:val="standardContextual"/>
              </w:rPr>
              <w:t>În absența unei decizii din partea Autorității Bancare Europene în termen de trei zile se aplică deciziile individuale luate în conformitate cu prevederile art.54</w:t>
            </w:r>
            <w:r w:rsidRPr="00154588">
              <w:rPr>
                <w:rFonts w:eastAsia="Calibri"/>
                <w:kern w:val="2"/>
                <w:sz w:val="20"/>
                <w:szCs w:val="20"/>
                <w:vertAlign w:val="superscript"/>
                <w14:ligatures w14:val="standardContextual"/>
              </w:rPr>
              <w:t>9</w:t>
            </w:r>
            <w:r w:rsidRPr="00154588">
              <w:rPr>
                <w:rFonts w:eastAsia="Calibri"/>
                <w:kern w:val="2"/>
                <w:sz w:val="20"/>
                <w:szCs w:val="20"/>
                <w14:ligatures w14:val="standardContextual"/>
              </w:rPr>
              <w:t>, art.54</w:t>
            </w:r>
            <w:r w:rsidRPr="00154588">
              <w:rPr>
                <w:rFonts w:eastAsia="Calibri"/>
                <w:kern w:val="2"/>
                <w:sz w:val="20"/>
                <w:szCs w:val="20"/>
                <w:vertAlign w:val="superscript"/>
                <w14:ligatures w14:val="standardContextual"/>
              </w:rPr>
              <w:t>10</w:t>
            </w:r>
            <w:r w:rsidRPr="00154588">
              <w:rPr>
                <w:rFonts w:eastAsia="Calibri"/>
                <w:kern w:val="2"/>
                <w:sz w:val="20"/>
                <w:szCs w:val="20"/>
                <w14:ligatures w14:val="standardContextual"/>
              </w:rPr>
              <w:t> sau cu art.54</w:t>
            </w:r>
            <w:r w:rsidRPr="00154588">
              <w:rPr>
                <w:rFonts w:eastAsia="Calibri"/>
                <w:kern w:val="2"/>
                <w:sz w:val="20"/>
                <w:szCs w:val="20"/>
                <w:vertAlign w:val="superscript"/>
                <w14:ligatures w14:val="standardContextual"/>
              </w:rPr>
              <w:t>11</w:t>
            </w:r>
            <w:r w:rsidRPr="00154588">
              <w:rPr>
                <w:rFonts w:eastAsia="Calibri"/>
                <w:kern w:val="2"/>
                <w:sz w:val="20"/>
                <w:szCs w:val="20"/>
                <w14:ligatures w14:val="standardContextual"/>
              </w:rPr>
              <w:t xml:space="preserve"> alin.(3).</w:t>
            </w:r>
          </w:p>
        </w:tc>
        <w:tc>
          <w:tcPr>
            <w:tcW w:w="2552" w:type="dxa"/>
          </w:tcPr>
          <w:p w14:paraId="74B353BE" w14:textId="4BF403D4" w:rsidR="000348FA" w:rsidRPr="00154588" w:rsidRDefault="00F90496" w:rsidP="008C12B4">
            <w:pPr>
              <w:jc w:val="both"/>
              <w:rPr>
                <w:bCs/>
                <w:sz w:val="20"/>
                <w:szCs w:val="20"/>
              </w:rPr>
            </w:pPr>
            <w:r w:rsidRPr="00154588">
              <w:rPr>
                <w:bCs/>
                <w:sz w:val="20"/>
                <w:szCs w:val="20"/>
              </w:rPr>
              <w:t>Compatibil</w:t>
            </w:r>
          </w:p>
        </w:tc>
        <w:tc>
          <w:tcPr>
            <w:tcW w:w="3118" w:type="dxa"/>
          </w:tcPr>
          <w:p w14:paraId="1EA087CD" w14:textId="77777777" w:rsidR="000348FA" w:rsidRPr="00154588" w:rsidRDefault="000348FA" w:rsidP="008C12B4">
            <w:pPr>
              <w:jc w:val="both"/>
              <w:rPr>
                <w:bCs/>
                <w:sz w:val="20"/>
                <w:szCs w:val="20"/>
              </w:rPr>
            </w:pPr>
          </w:p>
        </w:tc>
      </w:tr>
      <w:tr w:rsidR="002000E3" w:rsidRPr="00154588" w14:paraId="1162CC5E" w14:textId="77777777" w:rsidTr="00D15C1B">
        <w:trPr>
          <w:jc w:val="center"/>
        </w:trPr>
        <w:tc>
          <w:tcPr>
            <w:tcW w:w="4957" w:type="dxa"/>
            <w:gridSpan w:val="2"/>
          </w:tcPr>
          <w:p w14:paraId="37EC0415" w14:textId="77777777" w:rsidR="002000E3" w:rsidRPr="00154588" w:rsidRDefault="002000E3" w:rsidP="008C12B4">
            <w:pPr>
              <w:jc w:val="both"/>
              <w:rPr>
                <w:b/>
                <w:sz w:val="20"/>
                <w:szCs w:val="20"/>
              </w:rPr>
            </w:pPr>
            <w:r w:rsidRPr="00154588">
              <w:rPr>
                <w:b/>
                <w:sz w:val="20"/>
                <w:szCs w:val="20"/>
              </w:rPr>
              <w:t xml:space="preserve">Articolul 30a </w:t>
            </w:r>
          </w:p>
          <w:p w14:paraId="7FC5D6A8" w14:textId="55123E47" w:rsidR="002000E3" w:rsidRPr="00154588" w:rsidRDefault="002000E3" w:rsidP="008C12B4">
            <w:pPr>
              <w:jc w:val="both"/>
              <w:rPr>
                <w:b/>
                <w:sz w:val="20"/>
                <w:szCs w:val="20"/>
              </w:rPr>
            </w:pPr>
            <w:r w:rsidRPr="00154588">
              <w:rPr>
                <w:b/>
                <w:sz w:val="20"/>
                <w:szCs w:val="20"/>
              </w:rPr>
              <w:t>Pregătirea rezoluției</w:t>
            </w:r>
          </w:p>
        </w:tc>
        <w:tc>
          <w:tcPr>
            <w:tcW w:w="4819" w:type="dxa"/>
          </w:tcPr>
          <w:p w14:paraId="0C5A189B" w14:textId="2D40047B" w:rsidR="002000E3" w:rsidRPr="00154588" w:rsidRDefault="00430211" w:rsidP="008C12B4">
            <w:pPr>
              <w:ind w:firstLine="567"/>
              <w:jc w:val="center"/>
              <w:rPr>
                <w:rFonts w:eastAsia="Calibri"/>
                <w:b/>
                <w:bCs/>
                <w:kern w:val="2"/>
                <w:sz w:val="20"/>
                <w:szCs w:val="20"/>
                <w14:ligatures w14:val="standardContextual"/>
              </w:rPr>
            </w:pPr>
            <w:r w:rsidRPr="00154588">
              <w:rPr>
                <w:rFonts w:eastAsia="Calibri"/>
                <w:b/>
                <w:bCs/>
                <w:kern w:val="2"/>
                <w:sz w:val="20"/>
                <w:szCs w:val="20"/>
                <w14:ligatures w14:val="standardContextual"/>
              </w:rPr>
              <w:t>CAPITOLUL VI</w:t>
            </w:r>
          </w:p>
          <w:p w14:paraId="3B12D4FC" w14:textId="77777777" w:rsidR="00430211" w:rsidRPr="00154588" w:rsidRDefault="00430211" w:rsidP="008C12B4">
            <w:pPr>
              <w:ind w:firstLine="567"/>
              <w:jc w:val="center"/>
              <w:rPr>
                <w:b/>
                <w:sz w:val="20"/>
                <w:szCs w:val="20"/>
              </w:rPr>
            </w:pPr>
            <w:r w:rsidRPr="00154588">
              <w:rPr>
                <w:b/>
                <w:sz w:val="20"/>
                <w:szCs w:val="20"/>
              </w:rPr>
              <w:t>PREGĂTIREA REZOLUȚIEI</w:t>
            </w:r>
          </w:p>
          <w:p w14:paraId="63C8DB46" w14:textId="29A2C3C1" w:rsidR="00E563E1" w:rsidRPr="00154588" w:rsidRDefault="00E563E1" w:rsidP="008C12B4">
            <w:pPr>
              <w:ind w:firstLine="567"/>
              <w:jc w:val="both"/>
              <w:rPr>
                <w:rFonts w:eastAsia="Calibri"/>
                <w:b/>
                <w:bCs/>
                <w:kern w:val="2"/>
                <w:sz w:val="20"/>
                <w:szCs w:val="20"/>
                <w14:ligatures w14:val="standardContextual"/>
              </w:rPr>
            </w:pPr>
          </w:p>
        </w:tc>
        <w:tc>
          <w:tcPr>
            <w:tcW w:w="2552" w:type="dxa"/>
          </w:tcPr>
          <w:p w14:paraId="2B90EA2B" w14:textId="77777777" w:rsidR="002000E3" w:rsidRPr="00154588" w:rsidRDefault="002000E3" w:rsidP="008C12B4">
            <w:pPr>
              <w:jc w:val="both"/>
              <w:rPr>
                <w:bCs/>
                <w:sz w:val="20"/>
                <w:szCs w:val="20"/>
              </w:rPr>
            </w:pPr>
          </w:p>
        </w:tc>
        <w:tc>
          <w:tcPr>
            <w:tcW w:w="3118" w:type="dxa"/>
          </w:tcPr>
          <w:p w14:paraId="71743003" w14:textId="77777777" w:rsidR="002000E3" w:rsidRPr="00154588" w:rsidRDefault="002000E3" w:rsidP="008C12B4">
            <w:pPr>
              <w:jc w:val="both"/>
              <w:rPr>
                <w:bCs/>
                <w:sz w:val="20"/>
                <w:szCs w:val="20"/>
              </w:rPr>
            </w:pPr>
          </w:p>
        </w:tc>
      </w:tr>
      <w:tr w:rsidR="002000E3" w:rsidRPr="00154588" w14:paraId="786D7442" w14:textId="77777777" w:rsidTr="00D15C1B">
        <w:trPr>
          <w:jc w:val="center"/>
        </w:trPr>
        <w:tc>
          <w:tcPr>
            <w:tcW w:w="4957" w:type="dxa"/>
            <w:gridSpan w:val="2"/>
          </w:tcPr>
          <w:p w14:paraId="2F329FE5" w14:textId="77777777" w:rsidR="002000E3" w:rsidRPr="00154588" w:rsidRDefault="002000E3" w:rsidP="008C12B4">
            <w:pPr>
              <w:jc w:val="both"/>
              <w:rPr>
                <w:bCs/>
                <w:sz w:val="20"/>
                <w:szCs w:val="20"/>
              </w:rPr>
            </w:pPr>
            <w:r w:rsidRPr="00154588">
              <w:rPr>
                <w:bCs/>
                <w:sz w:val="20"/>
                <w:szCs w:val="20"/>
              </w:rPr>
              <w:lastRenderedPageBreak/>
              <w:t xml:space="preserve">(1) Statele membre se asigură că autoritățile competente notifică fără întârziere autorităților de rezoluție următoarele: </w:t>
            </w:r>
          </w:p>
          <w:p w14:paraId="32816DB5" w14:textId="77777777" w:rsidR="002000E3" w:rsidRPr="00154588" w:rsidRDefault="002000E3" w:rsidP="008C12B4">
            <w:pPr>
              <w:jc w:val="both"/>
              <w:rPr>
                <w:bCs/>
                <w:sz w:val="20"/>
                <w:szCs w:val="20"/>
              </w:rPr>
            </w:pPr>
            <w:r w:rsidRPr="00154588">
              <w:rPr>
                <w:bCs/>
                <w:sz w:val="20"/>
                <w:szCs w:val="20"/>
              </w:rPr>
              <w:t xml:space="preserve">(a) oricare dintre măsurile menționate la articolul 104 alineatul (1) din Directiva 2013/36/UE sau la articolul 39 alineatul (2) din Directiva (UE) 2019/2034 pe care le iau sau pe care impun unei instituții sau entități menționate la articolul 1 alineatul (1) litera (b), (c) sau (d) din prezenta directivă să le ia; </w:t>
            </w:r>
          </w:p>
          <w:p w14:paraId="4CFD64D1" w14:textId="77777777" w:rsidR="002000E3" w:rsidRPr="00154588" w:rsidRDefault="002000E3" w:rsidP="008C12B4">
            <w:pPr>
              <w:jc w:val="both"/>
              <w:rPr>
                <w:bCs/>
                <w:sz w:val="20"/>
                <w:szCs w:val="20"/>
              </w:rPr>
            </w:pPr>
          </w:p>
          <w:p w14:paraId="3F2F611A" w14:textId="77777777" w:rsidR="002000E3" w:rsidRPr="00154588" w:rsidRDefault="002000E3" w:rsidP="008C12B4">
            <w:pPr>
              <w:jc w:val="both"/>
              <w:rPr>
                <w:bCs/>
                <w:sz w:val="20"/>
                <w:szCs w:val="20"/>
              </w:rPr>
            </w:pPr>
            <w:r w:rsidRPr="00154588">
              <w:rPr>
                <w:bCs/>
                <w:sz w:val="20"/>
                <w:szCs w:val="20"/>
              </w:rPr>
              <w:t xml:space="preserve">(b) faptul că, după cum reiese din activitatea de supraveghere, sunt îndeplinite condițiile prevăzute la articolul 27 alineatul (1) în ceea ce privește o instituție sau o entitate menționată la articolul 1 alineatul (1) litera (b), (c) sau (d), indiferent de aplicarea oricărei măsuri de intervenție timpurie; </w:t>
            </w:r>
          </w:p>
          <w:p w14:paraId="7A88B96C" w14:textId="77777777" w:rsidR="002000E3" w:rsidRPr="00154588" w:rsidRDefault="002000E3" w:rsidP="008C12B4">
            <w:pPr>
              <w:jc w:val="both"/>
              <w:rPr>
                <w:bCs/>
                <w:sz w:val="20"/>
                <w:szCs w:val="20"/>
              </w:rPr>
            </w:pPr>
          </w:p>
          <w:p w14:paraId="1385C9C0" w14:textId="77777777" w:rsidR="002000E3" w:rsidRPr="00154588" w:rsidRDefault="002000E3" w:rsidP="008C12B4">
            <w:pPr>
              <w:jc w:val="both"/>
              <w:rPr>
                <w:bCs/>
                <w:sz w:val="20"/>
                <w:szCs w:val="20"/>
              </w:rPr>
            </w:pPr>
            <w:r w:rsidRPr="00154588">
              <w:rPr>
                <w:bCs/>
                <w:sz w:val="20"/>
                <w:szCs w:val="20"/>
              </w:rPr>
              <w:t xml:space="preserve">(c) aplicarea oricăreia dintre măsurile de intervenție timpurie menționate la articolul 27. </w:t>
            </w:r>
          </w:p>
          <w:p w14:paraId="65D67BD7" w14:textId="77777777" w:rsidR="002000E3" w:rsidRPr="00154588" w:rsidRDefault="002000E3" w:rsidP="008C12B4">
            <w:pPr>
              <w:jc w:val="both"/>
              <w:rPr>
                <w:bCs/>
                <w:sz w:val="20"/>
                <w:szCs w:val="20"/>
              </w:rPr>
            </w:pPr>
          </w:p>
          <w:p w14:paraId="4359F1A5" w14:textId="7743245A" w:rsidR="002000E3" w:rsidRPr="00154588" w:rsidRDefault="002000E3" w:rsidP="008C12B4">
            <w:pPr>
              <w:jc w:val="both"/>
              <w:rPr>
                <w:bCs/>
                <w:sz w:val="20"/>
                <w:szCs w:val="20"/>
              </w:rPr>
            </w:pPr>
            <w:r w:rsidRPr="00154588">
              <w:rPr>
                <w:bCs/>
                <w:sz w:val="20"/>
                <w:szCs w:val="20"/>
              </w:rPr>
              <w:t>Autoritățile competente monitorizează îndeaproape, în strânsă cooperare cu autoritățile de rezoluție, situația instituției sau a entității și respectarea de către aceasta a măsurilor menționate la primul paragraf litera (a), care vizează remedierea unei deteriorări a situației instituției sau entității respective, precum și respectarea măsurilor de intervenție timpurie menționate la primul paragraf litera (c).</w:t>
            </w:r>
          </w:p>
        </w:tc>
        <w:tc>
          <w:tcPr>
            <w:tcW w:w="4819" w:type="dxa"/>
          </w:tcPr>
          <w:p w14:paraId="4A089E40" w14:textId="49024A4E" w:rsidR="002000E3" w:rsidRPr="00154588" w:rsidRDefault="00E563E1" w:rsidP="008C12B4">
            <w:pPr>
              <w:ind w:firstLine="594"/>
              <w:jc w:val="both"/>
              <w:rPr>
                <w:rFonts w:eastAsia="Calibri"/>
                <w:kern w:val="2"/>
                <w:sz w:val="20"/>
                <w:szCs w:val="20"/>
                <w14:ligatures w14:val="standardContextual"/>
              </w:rPr>
            </w:pP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16</w:t>
            </w:r>
            <w:r w:rsidRPr="00154588">
              <w:rPr>
                <w:rFonts w:eastAsia="Calibri"/>
                <w:b/>
                <w:bCs/>
                <w:kern w:val="2"/>
                <w:sz w:val="20"/>
                <w:szCs w:val="20"/>
                <w14:ligatures w14:val="standardContextual"/>
              </w:rPr>
              <w:t xml:space="preserve"> -</w:t>
            </w:r>
            <w:r w:rsidRPr="00154588">
              <w:rPr>
                <w:rFonts w:eastAsia="Calibri"/>
                <w:kern w:val="2"/>
                <w:sz w:val="20"/>
                <w:szCs w:val="20"/>
                <w14:ligatures w14:val="standardContextual"/>
              </w:rPr>
              <w:t xml:space="preserve"> </w:t>
            </w:r>
            <w:r w:rsidR="00430211" w:rsidRPr="00154588">
              <w:rPr>
                <w:rFonts w:eastAsia="Calibri"/>
                <w:kern w:val="2"/>
                <w:sz w:val="20"/>
                <w:szCs w:val="20"/>
                <w14:ligatures w14:val="standardContextual"/>
              </w:rPr>
              <w:t>(1)Banca Națională a Moldovei se asigură că structura care exercita functia de supraveghere comunică fără intarziere stucturii care exercită functia de rezolutie următoarele:</w:t>
            </w:r>
          </w:p>
          <w:p w14:paraId="078D5914" w14:textId="7E2F500B" w:rsidR="00430211" w:rsidRPr="00154588" w:rsidRDefault="00430211" w:rsidP="008C12B4">
            <w:pPr>
              <w:ind w:firstLine="594"/>
              <w:jc w:val="both"/>
              <w:rPr>
                <w:bCs/>
                <w:sz w:val="20"/>
                <w:szCs w:val="20"/>
              </w:rPr>
            </w:pPr>
            <w:r w:rsidRPr="00154588">
              <w:rPr>
                <w:rFonts w:eastAsia="Calibri"/>
                <w:kern w:val="2"/>
                <w:sz w:val="20"/>
                <w:szCs w:val="20"/>
                <w14:ligatures w14:val="standardContextual"/>
              </w:rPr>
              <w:t>a)</w:t>
            </w:r>
            <w:r w:rsidR="00053F17" w:rsidRPr="00154588">
              <w:rPr>
                <w:rFonts w:eastAsia="Calibri"/>
                <w:kern w:val="2"/>
                <w:sz w:val="20"/>
                <w:szCs w:val="20"/>
                <w14:ligatures w14:val="standardContextual"/>
              </w:rPr>
              <w:t xml:space="preserve"> </w:t>
            </w:r>
            <w:r w:rsidR="00053F17" w:rsidRPr="00154588">
              <w:rPr>
                <w:bCs/>
                <w:sz w:val="20"/>
                <w:szCs w:val="20"/>
              </w:rPr>
              <w:t xml:space="preserve">oricare dintre măsurile menționate la art.139 alin. (3) din Legea 202/2017 pe care </w:t>
            </w:r>
            <w:r w:rsidR="00E563E1" w:rsidRPr="00154588">
              <w:rPr>
                <w:bCs/>
                <w:sz w:val="20"/>
                <w:szCs w:val="20"/>
              </w:rPr>
              <w:t>B</w:t>
            </w:r>
            <w:r w:rsidR="00053F17" w:rsidRPr="00154588">
              <w:rPr>
                <w:bCs/>
                <w:sz w:val="20"/>
                <w:szCs w:val="20"/>
              </w:rPr>
              <w:t xml:space="preserve">anca </w:t>
            </w:r>
            <w:r w:rsidR="00E563E1" w:rsidRPr="00154588">
              <w:rPr>
                <w:bCs/>
                <w:sz w:val="20"/>
                <w:szCs w:val="20"/>
              </w:rPr>
              <w:t>N</w:t>
            </w:r>
            <w:r w:rsidR="00053F17" w:rsidRPr="00154588">
              <w:rPr>
                <w:bCs/>
                <w:sz w:val="20"/>
                <w:szCs w:val="20"/>
              </w:rPr>
              <w:t xml:space="preserve">ațională </w:t>
            </w:r>
            <w:r w:rsidR="00E563E1" w:rsidRPr="00154588">
              <w:rPr>
                <w:bCs/>
                <w:sz w:val="20"/>
                <w:szCs w:val="20"/>
              </w:rPr>
              <w:t>a Moldovei, î</w:t>
            </w:r>
            <w:r w:rsidR="00053F17" w:rsidRPr="00154588">
              <w:rPr>
                <w:bCs/>
                <w:sz w:val="20"/>
                <w:szCs w:val="20"/>
              </w:rPr>
              <w:t>n calitate de autoritate competentă</w:t>
            </w:r>
            <w:r w:rsidR="00E563E1" w:rsidRPr="00154588">
              <w:rPr>
                <w:bCs/>
                <w:sz w:val="20"/>
                <w:szCs w:val="20"/>
              </w:rPr>
              <w:t>,</w:t>
            </w:r>
            <w:r w:rsidR="00053F17" w:rsidRPr="00154588">
              <w:rPr>
                <w:bCs/>
                <w:sz w:val="20"/>
                <w:szCs w:val="20"/>
              </w:rPr>
              <w:t xml:space="preserve"> le ia sau pe care impun unei instituții</w:t>
            </w:r>
            <w:r w:rsidR="004D51D5" w:rsidRPr="00154588">
              <w:rPr>
                <w:bCs/>
                <w:sz w:val="20"/>
                <w:szCs w:val="20"/>
              </w:rPr>
              <w:t xml:space="preserve"> de credit</w:t>
            </w:r>
            <w:r w:rsidR="00053F17" w:rsidRPr="00154588">
              <w:rPr>
                <w:bCs/>
                <w:sz w:val="20"/>
                <w:szCs w:val="20"/>
              </w:rPr>
              <w:t xml:space="preserve"> sau entități menționate la </w:t>
            </w:r>
            <w:r w:rsidR="0096005B" w:rsidRPr="00154588">
              <w:rPr>
                <w:bCs/>
                <w:sz w:val="20"/>
                <w:szCs w:val="20"/>
              </w:rPr>
              <w:t xml:space="preserve">art.1 alin.(1) lit.b), c) sau d) </w:t>
            </w:r>
            <w:r w:rsidR="00053F17" w:rsidRPr="00154588">
              <w:rPr>
                <w:bCs/>
                <w:sz w:val="20"/>
                <w:szCs w:val="20"/>
              </w:rPr>
              <w:t>să le ia;</w:t>
            </w:r>
          </w:p>
          <w:p w14:paraId="72BFEBE9" w14:textId="74070E12" w:rsidR="00053F17" w:rsidRPr="00154588" w:rsidRDefault="00053F17" w:rsidP="008C12B4">
            <w:pPr>
              <w:ind w:firstLine="594"/>
              <w:jc w:val="both"/>
              <w:rPr>
                <w:bCs/>
                <w:sz w:val="20"/>
                <w:szCs w:val="20"/>
              </w:rPr>
            </w:pPr>
            <w:r w:rsidRPr="00154588">
              <w:rPr>
                <w:bCs/>
                <w:sz w:val="20"/>
                <w:szCs w:val="20"/>
              </w:rPr>
              <w:t xml:space="preserve">b) faptul că, după cum reiese din activitatea de supraveghere, sunt </w:t>
            </w:r>
            <w:r w:rsidR="00AA51F2" w:rsidRPr="00154588">
              <w:rPr>
                <w:bCs/>
                <w:sz w:val="20"/>
                <w:szCs w:val="20"/>
              </w:rPr>
              <w:t xml:space="preserve">întrunite </w:t>
            </w:r>
            <w:r w:rsidRPr="00154588">
              <w:rPr>
                <w:bCs/>
                <w:sz w:val="20"/>
                <w:szCs w:val="20"/>
              </w:rPr>
              <w:t>condițiile prevăzute la art</w:t>
            </w:r>
            <w:r w:rsidR="0096005B" w:rsidRPr="00154588">
              <w:rPr>
                <w:bCs/>
                <w:sz w:val="20"/>
                <w:szCs w:val="20"/>
              </w:rPr>
              <w:t>.</w:t>
            </w:r>
            <w:r w:rsidRPr="00154588">
              <w:rPr>
                <w:bCs/>
                <w:sz w:val="20"/>
                <w:szCs w:val="20"/>
              </w:rPr>
              <w:t xml:space="preserve">42 </w:t>
            </w:r>
            <w:r w:rsidR="00E563E1" w:rsidRPr="00154588">
              <w:rPr>
                <w:bCs/>
                <w:sz w:val="20"/>
                <w:szCs w:val="20"/>
              </w:rPr>
              <w:t xml:space="preserve"> </w:t>
            </w:r>
            <w:r w:rsidRPr="00154588">
              <w:rPr>
                <w:bCs/>
                <w:sz w:val="20"/>
                <w:szCs w:val="20"/>
              </w:rPr>
              <w:t>în ceea ce privește o instituție</w:t>
            </w:r>
            <w:r w:rsidR="004D51D5" w:rsidRPr="00154588">
              <w:rPr>
                <w:bCs/>
                <w:sz w:val="20"/>
                <w:szCs w:val="20"/>
              </w:rPr>
              <w:t xml:space="preserve"> de credit</w:t>
            </w:r>
            <w:r w:rsidRPr="00154588">
              <w:rPr>
                <w:bCs/>
                <w:sz w:val="20"/>
                <w:szCs w:val="20"/>
              </w:rPr>
              <w:t xml:space="preserve"> sau o entitate menționată la </w:t>
            </w:r>
            <w:r w:rsidR="0096005B" w:rsidRPr="00154588">
              <w:rPr>
                <w:bCs/>
                <w:sz w:val="20"/>
                <w:szCs w:val="20"/>
              </w:rPr>
              <w:t>art.1 alin.(1) lit.b), c) sau d)</w:t>
            </w:r>
            <w:r w:rsidRPr="00154588">
              <w:rPr>
                <w:bCs/>
                <w:sz w:val="20"/>
                <w:szCs w:val="20"/>
              </w:rPr>
              <w:t xml:space="preserve">, indiferent de aplicarea oricărei măsuri de intervenție timpurie; </w:t>
            </w:r>
          </w:p>
          <w:p w14:paraId="60AC473E" w14:textId="075CD5BC" w:rsidR="00E563E1" w:rsidRPr="00154588" w:rsidRDefault="00E563E1" w:rsidP="008C12B4">
            <w:pPr>
              <w:ind w:firstLine="594"/>
              <w:jc w:val="both"/>
              <w:rPr>
                <w:bCs/>
                <w:sz w:val="20"/>
                <w:szCs w:val="20"/>
              </w:rPr>
            </w:pPr>
            <w:r w:rsidRPr="00154588">
              <w:rPr>
                <w:rFonts w:eastAsia="Calibri"/>
                <w:kern w:val="2"/>
                <w:sz w:val="20"/>
                <w:szCs w:val="20"/>
                <w14:ligatures w14:val="standardContextual"/>
              </w:rPr>
              <w:t>c)</w:t>
            </w:r>
            <w:r w:rsidRPr="00154588">
              <w:rPr>
                <w:bCs/>
                <w:sz w:val="20"/>
                <w:szCs w:val="20"/>
              </w:rPr>
              <w:t>aplicarea oricăreia dintre măsurile de intervenție timpurie menționate la art</w:t>
            </w:r>
            <w:r w:rsidR="0096005B" w:rsidRPr="00154588">
              <w:rPr>
                <w:bCs/>
                <w:sz w:val="20"/>
                <w:szCs w:val="20"/>
              </w:rPr>
              <w:t>.</w:t>
            </w:r>
            <w:r w:rsidRPr="00154588">
              <w:rPr>
                <w:bCs/>
                <w:sz w:val="20"/>
                <w:szCs w:val="20"/>
              </w:rPr>
              <w:t xml:space="preserve">43. </w:t>
            </w:r>
          </w:p>
          <w:p w14:paraId="368DF50A" w14:textId="77777777" w:rsidR="004D51D5" w:rsidRPr="00154588" w:rsidRDefault="004D51D5" w:rsidP="008C12B4">
            <w:pPr>
              <w:ind w:firstLine="594"/>
              <w:jc w:val="both"/>
              <w:rPr>
                <w:bCs/>
                <w:sz w:val="20"/>
                <w:szCs w:val="20"/>
              </w:rPr>
            </w:pPr>
          </w:p>
          <w:p w14:paraId="635E1D48" w14:textId="14E4DC63" w:rsidR="00E563E1" w:rsidRPr="00154588" w:rsidRDefault="00E563E1" w:rsidP="008C12B4">
            <w:pPr>
              <w:ind w:firstLine="594"/>
              <w:jc w:val="both"/>
              <w:rPr>
                <w:bCs/>
                <w:sz w:val="20"/>
                <w:szCs w:val="20"/>
              </w:rPr>
            </w:pPr>
            <w:r w:rsidRPr="00154588">
              <w:rPr>
                <w:bCs/>
                <w:sz w:val="20"/>
                <w:szCs w:val="20"/>
              </w:rPr>
              <w:t>(2)</w:t>
            </w:r>
            <w:r w:rsidR="008B3619" w:rsidRPr="00154588">
              <w:rPr>
                <w:bCs/>
                <w:sz w:val="20"/>
                <w:szCs w:val="20"/>
              </w:rPr>
              <w:t xml:space="preserve"> Banca Națională a Moldovei, în calitate de autoritate competentă, monitorizează îndeaproape, în strânsă cooperare cu autoritatea de rezoluție, situația instituției de credit sau a entității și respectarea de către aceasta a măsurilor menționate la alin.(1) lit</w:t>
            </w:r>
            <w:r w:rsidR="0096005B" w:rsidRPr="00154588">
              <w:rPr>
                <w:bCs/>
                <w:sz w:val="20"/>
                <w:szCs w:val="20"/>
              </w:rPr>
              <w:t>.</w:t>
            </w:r>
            <w:r w:rsidR="008B3619" w:rsidRPr="00154588">
              <w:rPr>
                <w:bCs/>
                <w:sz w:val="20"/>
                <w:szCs w:val="20"/>
              </w:rPr>
              <w:t>a), care vizează remedierea unei deteriorări a situației instituției de credit sau entității respective, precum și respectarea măsurilor de intervenție timpurie menționate la alin. (1) lit</w:t>
            </w:r>
            <w:r w:rsidR="0096005B" w:rsidRPr="00154588">
              <w:rPr>
                <w:bCs/>
                <w:sz w:val="20"/>
                <w:szCs w:val="20"/>
              </w:rPr>
              <w:t>.</w:t>
            </w:r>
            <w:r w:rsidR="008B3619" w:rsidRPr="00154588">
              <w:rPr>
                <w:bCs/>
                <w:sz w:val="20"/>
                <w:szCs w:val="20"/>
              </w:rPr>
              <w:t>c).</w:t>
            </w:r>
          </w:p>
          <w:p w14:paraId="6C9810E5" w14:textId="4C35FA00" w:rsidR="00053F17" w:rsidRPr="00154588" w:rsidRDefault="00053F17" w:rsidP="008C12B4">
            <w:pPr>
              <w:ind w:firstLine="594"/>
              <w:jc w:val="both"/>
              <w:rPr>
                <w:rFonts w:eastAsia="Calibri"/>
                <w:kern w:val="2"/>
                <w:sz w:val="20"/>
                <w:szCs w:val="20"/>
                <w14:ligatures w14:val="standardContextual"/>
              </w:rPr>
            </w:pPr>
          </w:p>
        </w:tc>
        <w:tc>
          <w:tcPr>
            <w:tcW w:w="2552" w:type="dxa"/>
          </w:tcPr>
          <w:p w14:paraId="20CD05BF" w14:textId="3A72B1DD" w:rsidR="002000E3" w:rsidRPr="00154588" w:rsidRDefault="0088106A" w:rsidP="008C12B4">
            <w:pPr>
              <w:jc w:val="both"/>
              <w:rPr>
                <w:bCs/>
                <w:sz w:val="20"/>
                <w:szCs w:val="20"/>
              </w:rPr>
            </w:pPr>
            <w:r w:rsidRPr="00154588">
              <w:rPr>
                <w:bCs/>
                <w:sz w:val="20"/>
                <w:szCs w:val="20"/>
              </w:rPr>
              <w:t>Compatibil</w:t>
            </w:r>
          </w:p>
        </w:tc>
        <w:tc>
          <w:tcPr>
            <w:tcW w:w="3118" w:type="dxa"/>
          </w:tcPr>
          <w:p w14:paraId="7462413B" w14:textId="53F78240" w:rsidR="00B829D8" w:rsidRPr="00154588" w:rsidRDefault="00B829D8" w:rsidP="008C12B4">
            <w:pPr>
              <w:jc w:val="both"/>
              <w:rPr>
                <w:bCs/>
                <w:sz w:val="20"/>
                <w:szCs w:val="20"/>
                <w:lang w:val="ro-MD"/>
              </w:rPr>
            </w:pPr>
          </w:p>
        </w:tc>
      </w:tr>
      <w:tr w:rsidR="002000E3" w:rsidRPr="00154588" w14:paraId="1980312C" w14:textId="77777777" w:rsidTr="00D15C1B">
        <w:trPr>
          <w:jc w:val="center"/>
        </w:trPr>
        <w:tc>
          <w:tcPr>
            <w:tcW w:w="4957" w:type="dxa"/>
            <w:gridSpan w:val="2"/>
          </w:tcPr>
          <w:p w14:paraId="4AD59A2E" w14:textId="77777777" w:rsidR="002000E3" w:rsidRPr="00154588" w:rsidRDefault="002000E3" w:rsidP="008C12B4">
            <w:pPr>
              <w:jc w:val="both"/>
              <w:rPr>
                <w:bCs/>
                <w:sz w:val="20"/>
                <w:szCs w:val="20"/>
              </w:rPr>
            </w:pPr>
            <w:r w:rsidRPr="00154588">
              <w:rPr>
                <w:bCs/>
                <w:sz w:val="20"/>
                <w:szCs w:val="20"/>
              </w:rPr>
              <w:t xml:space="preserve">(2) Statele membre se asigură că autoritățile competente notifică autoritățile de rezoluție cât mai curând posibil în cazul în care consideră că există un risc semnificativ ca una sau mai multe dintre circumstanțele menționate la articolul 32 alineatul (4) să se aplice în legătură cu o instituție sau o entitate menționată la articolul 1 alineatul (1) litera (b), (c) sau (d). Notificarea respectivă conține: </w:t>
            </w:r>
          </w:p>
          <w:p w14:paraId="2E22A6FE" w14:textId="77777777" w:rsidR="002000E3" w:rsidRPr="00154588" w:rsidRDefault="002000E3" w:rsidP="008C12B4">
            <w:pPr>
              <w:jc w:val="both"/>
              <w:rPr>
                <w:bCs/>
                <w:sz w:val="20"/>
                <w:szCs w:val="20"/>
              </w:rPr>
            </w:pPr>
          </w:p>
          <w:p w14:paraId="40379721" w14:textId="77777777" w:rsidR="002000E3" w:rsidRPr="00154588" w:rsidRDefault="002000E3" w:rsidP="008C12B4">
            <w:pPr>
              <w:jc w:val="both"/>
              <w:rPr>
                <w:bCs/>
                <w:sz w:val="20"/>
                <w:szCs w:val="20"/>
              </w:rPr>
            </w:pPr>
            <w:r w:rsidRPr="00154588">
              <w:rPr>
                <w:bCs/>
                <w:sz w:val="20"/>
                <w:szCs w:val="20"/>
              </w:rPr>
              <w:t xml:space="preserve">(a) motivele notificării; </w:t>
            </w:r>
          </w:p>
          <w:p w14:paraId="7627499E" w14:textId="77777777" w:rsidR="002000E3" w:rsidRPr="00154588" w:rsidRDefault="002000E3" w:rsidP="008C12B4">
            <w:pPr>
              <w:jc w:val="both"/>
              <w:rPr>
                <w:bCs/>
                <w:sz w:val="20"/>
                <w:szCs w:val="20"/>
              </w:rPr>
            </w:pPr>
          </w:p>
          <w:p w14:paraId="44813474" w14:textId="77777777" w:rsidR="002000E3" w:rsidRPr="00154588" w:rsidRDefault="002000E3" w:rsidP="008C12B4">
            <w:pPr>
              <w:jc w:val="both"/>
              <w:rPr>
                <w:bCs/>
                <w:sz w:val="20"/>
                <w:szCs w:val="20"/>
              </w:rPr>
            </w:pPr>
            <w:r w:rsidRPr="00154588">
              <w:rPr>
                <w:bCs/>
                <w:sz w:val="20"/>
                <w:szCs w:val="20"/>
              </w:rPr>
              <w:t xml:space="preserve">(b) o prezentare generală a măsurilor luate în considerare care ar împiedica intrarea în dificultate a instituției sau entității în cauză într-un interval de timp rezonabil, impactul preconizat al acestora asupra instituției sau entității în ceea ce privește circumstanțele menționate la articolul 32 alineatul (4) și intervalul de timp preconizat pentru punerea în aplicare a măsurilor respective. </w:t>
            </w:r>
          </w:p>
          <w:p w14:paraId="77FAE836" w14:textId="77777777" w:rsidR="002000E3" w:rsidRPr="00154588" w:rsidRDefault="002000E3" w:rsidP="008C12B4">
            <w:pPr>
              <w:jc w:val="both"/>
              <w:rPr>
                <w:bCs/>
                <w:sz w:val="20"/>
                <w:szCs w:val="20"/>
              </w:rPr>
            </w:pPr>
          </w:p>
          <w:p w14:paraId="48DC90ED" w14:textId="77777777" w:rsidR="002000E3" w:rsidRPr="00154588" w:rsidRDefault="002000E3" w:rsidP="008C12B4">
            <w:pPr>
              <w:jc w:val="both"/>
              <w:rPr>
                <w:bCs/>
                <w:sz w:val="20"/>
                <w:szCs w:val="20"/>
              </w:rPr>
            </w:pPr>
            <w:r w:rsidRPr="00154588">
              <w:rPr>
                <w:bCs/>
                <w:sz w:val="20"/>
                <w:szCs w:val="20"/>
              </w:rPr>
              <w:lastRenderedPageBreak/>
              <w:t xml:space="preserve">După primirea notificării menționate la primul paragraf de la prezentul alineat și în strânsă cooperare cu autoritățile competente, autoritățile de rezoluție evaluează ce reprezintă un interval de timp rezonabil în scopul evaluării condiției menționate la articolul 32 alineatul (1) litera (b), ținând seama de rapiditatea deteriorării situației instituției sau entității menționate la articolul 1 alineatul (1) litera (b), (c) sau (d), de necesitatea de a pune în aplicare în mod eficace strategia de rezoluție și de orice alte considerente relevante în situația respectivă. Autoritățile de rezoluție pot, în orice moment, să reevalueze intervalul de timp și să îl adapteze la circumstanțele situației respective. Autoritățile de rezoluție comunică evaluarea sau reevaluarea respectivă autorităților competente cât mai curând posibil. </w:t>
            </w:r>
          </w:p>
          <w:p w14:paraId="10867FA6" w14:textId="77777777" w:rsidR="002000E3" w:rsidRPr="00154588" w:rsidRDefault="002000E3" w:rsidP="008C12B4">
            <w:pPr>
              <w:jc w:val="both"/>
              <w:rPr>
                <w:bCs/>
                <w:sz w:val="20"/>
                <w:szCs w:val="20"/>
              </w:rPr>
            </w:pPr>
          </w:p>
          <w:p w14:paraId="7196522F" w14:textId="489829C0" w:rsidR="002000E3" w:rsidRPr="00154588" w:rsidRDefault="002000E3" w:rsidP="008C12B4">
            <w:pPr>
              <w:jc w:val="both"/>
              <w:rPr>
                <w:bCs/>
                <w:sz w:val="20"/>
                <w:szCs w:val="20"/>
              </w:rPr>
            </w:pPr>
            <w:r w:rsidRPr="00154588">
              <w:rPr>
                <w:bCs/>
                <w:sz w:val="20"/>
                <w:szCs w:val="20"/>
              </w:rPr>
              <w:t>În urma primirii notificării menționate la primul paragraf de la prezentul alineat, autoritățile competente și autoritățile de rezoluție monitorizează, în strânsă cooperare, situația instituției sau a entității menționate la articolul 1 alineatul (1) litera (b), (c) sau (d), punerea în aplicare a măsurilor relevante în intervalul de timp preconizat și orice alte evoluții relevante. În acest scop, autoritățile competente și autoritățile de rezoluție se reunesc periodic, cu o frecvență care urmează să fie stabilită de autoritățile de rezoluție în funcție de circumstanțele situației respective. Autoritățile competente și autoritățile de rezoluție își comunică reciproc, fără întârziere, toate informațiile relevante.</w:t>
            </w:r>
          </w:p>
        </w:tc>
        <w:tc>
          <w:tcPr>
            <w:tcW w:w="4819" w:type="dxa"/>
          </w:tcPr>
          <w:p w14:paraId="51721630" w14:textId="5CB97D67" w:rsidR="00EA4D4C" w:rsidRPr="00154588" w:rsidRDefault="008B3619" w:rsidP="008C12B4">
            <w:pPr>
              <w:ind w:firstLine="414"/>
              <w:jc w:val="both"/>
              <w:rPr>
                <w:bCs/>
                <w:sz w:val="20"/>
                <w:szCs w:val="20"/>
              </w:rPr>
            </w:pPr>
            <w:r w:rsidRPr="00154588">
              <w:rPr>
                <w:rFonts w:eastAsia="Calibri"/>
                <w:kern w:val="2"/>
                <w:sz w:val="20"/>
                <w:szCs w:val="20"/>
                <w14:ligatures w14:val="standardContextual"/>
              </w:rPr>
              <w:lastRenderedPageBreak/>
              <w:t>(3)</w:t>
            </w:r>
            <w:r w:rsidRPr="00154588">
              <w:rPr>
                <w:bCs/>
                <w:sz w:val="20"/>
                <w:szCs w:val="20"/>
              </w:rPr>
              <w:t xml:space="preserve">Banca Națională a Moldovei, în calitate de autoritate competentă, </w:t>
            </w:r>
            <w:r w:rsidRPr="00154588">
              <w:rPr>
                <w:b/>
                <w:sz w:val="20"/>
                <w:szCs w:val="20"/>
              </w:rPr>
              <w:t xml:space="preserve">notifică </w:t>
            </w:r>
            <w:r w:rsidRPr="00154588">
              <w:rPr>
                <w:bCs/>
                <w:sz w:val="20"/>
                <w:szCs w:val="20"/>
              </w:rPr>
              <w:t>autoritatea de rezoluție cât mai curând posibil în cazul în care consideră că există un risc semnificativ ca una sau mai multe dintre circumstanțele menționate la</w:t>
            </w:r>
            <w:r w:rsidR="00EA4D4C" w:rsidRPr="00154588">
              <w:rPr>
                <w:bCs/>
                <w:sz w:val="20"/>
                <w:szCs w:val="20"/>
              </w:rPr>
              <w:t xml:space="preserve"> art. 59 să se aplice în legătură cu o instituție de credit  sau o entitate menționată la </w:t>
            </w:r>
            <w:r w:rsidR="0096005B" w:rsidRPr="00154588">
              <w:rPr>
                <w:bCs/>
                <w:sz w:val="20"/>
                <w:szCs w:val="20"/>
              </w:rPr>
              <w:t>art.1 alin.(1) lit.b), c) sau d)</w:t>
            </w:r>
            <w:r w:rsidR="00EA4D4C" w:rsidRPr="00154588">
              <w:rPr>
                <w:bCs/>
                <w:sz w:val="20"/>
                <w:szCs w:val="20"/>
              </w:rPr>
              <w:t>.</w:t>
            </w:r>
          </w:p>
          <w:p w14:paraId="6BA3A7B7" w14:textId="77777777" w:rsidR="0096005B" w:rsidRPr="00154588" w:rsidRDefault="0096005B" w:rsidP="008C12B4">
            <w:pPr>
              <w:ind w:firstLine="414"/>
              <w:jc w:val="both"/>
              <w:rPr>
                <w:bCs/>
                <w:sz w:val="20"/>
                <w:szCs w:val="20"/>
              </w:rPr>
            </w:pPr>
          </w:p>
          <w:p w14:paraId="790C0348" w14:textId="3BC76612" w:rsidR="00EA4D4C" w:rsidRPr="00154588" w:rsidRDefault="00EA4D4C" w:rsidP="008C12B4">
            <w:pPr>
              <w:ind w:firstLine="414"/>
              <w:jc w:val="both"/>
              <w:rPr>
                <w:bCs/>
                <w:sz w:val="20"/>
                <w:szCs w:val="20"/>
              </w:rPr>
            </w:pPr>
            <w:r w:rsidRPr="00154588">
              <w:rPr>
                <w:bCs/>
                <w:sz w:val="20"/>
                <w:szCs w:val="20"/>
              </w:rPr>
              <w:t xml:space="preserve">(4) Notificarea prevăzută la alin. (3) conține: </w:t>
            </w:r>
          </w:p>
          <w:p w14:paraId="77C8FEA8" w14:textId="4CA340C3" w:rsidR="00EA4D4C" w:rsidRPr="00154588" w:rsidRDefault="00EA4D4C" w:rsidP="008C12B4">
            <w:pPr>
              <w:ind w:firstLine="414"/>
              <w:jc w:val="both"/>
              <w:rPr>
                <w:bCs/>
                <w:sz w:val="20"/>
                <w:szCs w:val="20"/>
              </w:rPr>
            </w:pPr>
            <w:r w:rsidRPr="00154588">
              <w:rPr>
                <w:bCs/>
                <w:sz w:val="20"/>
                <w:szCs w:val="20"/>
              </w:rPr>
              <w:t xml:space="preserve">a) motivele notificării; </w:t>
            </w:r>
          </w:p>
          <w:p w14:paraId="16987ACC" w14:textId="48C8A8D4" w:rsidR="00EA4D4C" w:rsidRPr="00154588" w:rsidRDefault="00EA4D4C" w:rsidP="008C12B4">
            <w:pPr>
              <w:ind w:firstLine="414"/>
              <w:jc w:val="both"/>
              <w:rPr>
                <w:bCs/>
                <w:sz w:val="20"/>
                <w:szCs w:val="20"/>
              </w:rPr>
            </w:pPr>
            <w:r w:rsidRPr="00154588">
              <w:rPr>
                <w:bCs/>
                <w:sz w:val="20"/>
                <w:szCs w:val="20"/>
              </w:rPr>
              <w:t>b) o prezentare generală a măsurilor luate în considerare care ar împiedica intrarea în dificultate a instituției de credit sau entității în cauză într-un interval de timp rezonabil, impactul preconizat al acestora asupra instituției de credit sau entității în ceea ce privește circumstanțele menționate la art.59 și intervalul de timp preconizat pentru punerea în aplicare a măsurilor respective;</w:t>
            </w:r>
          </w:p>
          <w:p w14:paraId="1A883888" w14:textId="77777777" w:rsidR="00EA4D4C" w:rsidRPr="00154588" w:rsidRDefault="00EA4D4C" w:rsidP="008C12B4">
            <w:pPr>
              <w:ind w:firstLine="414"/>
              <w:jc w:val="both"/>
              <w:rPr>
                <w:bCs/>
                <w:sz w:val="20"/>
                <w:szCs w:val="20"/>
              </w:rPr>
            </w:pPr>
          </w:p>
          <w:p w14:paraId="6ED2C6F1" w14:textId="40F41DFA" w:rsidR="003E4705" w:rsidRPr="00154588" w:rsidRDefault="00EA4D4C" w:rsidP="008C12B4">
            <w:pPr>
              <w:ind w:firstLine="414"/>
              <w:jc w:val="both"/>
              <w:rPr>
                <w:bCs/>
                <w:sz w:val="20"/>
                <w:szCs w:val="20"/>
              </w:rPr>
            </w:pPr>
            <w:r w:rsidRPr="00154588">
              <w:rPr>
                <w:bCs/>
                <w:sz w:val="20"/>
                <w:szCs w:val="20"/>
              </w:rPr>
              <w:t>(5)</w:t>
            </w:r>
            <w:r w:rsidR="003E4705" w:rsidRPr="00154588">
              <w:rPr>
                <w:bCs/>
                <w:sz w:val="20"/>
                <w:szCs w:val="20"/>
              </w:rPr>
              <w:t xml:space="preserve"> După primirea notificării menționate la alin. (3) și în strânsă cooperare cu autoritatea competentă, Banca Națională a Moldovei în calitate de autoritate de rezoluție evaluează ce reprezintă un interval de timp rezonabil în scopul evaluării condiției menționate la art</w:t>
            </w:r>
            <w:r w:rsidR="0096005B" w:rsidRPr="00154588">
              <w:rPr>
                <w:bCs/>
                <w:sz w:val="20"/>
                <w:szCs w:val="20"/>
              </w:rPr>
              <w:t>.</w:t>
            </w:r>
            <w:r w:rsidR="003E4705" w:rsidRPr="00154588">
              <w:rPr>
                <w:bCs/>
                <w:sz w:val="20"/>
                <w:szCs w:val="20"/>
              </w:rPr>
              <w:t xml:space="preserve">58 alin. (1) lit. (b), ținând seama de rapiditatea deteriorării situației instituției  de credit sau entității menționate la </w:t>
            </w:r>
            <w:r w:rsidR="0096005B" w:rsidRPr="00154588">
              <w:rPr>
                <w:bCs/>
                <w:sz w:val="20"/>
                <w:szCs w:val="20"/>
              </w:rPr>
              <w:t>art.1 alin.(1) lit.b), c) sau d)</w:t>
            </w:r>
            <w:r w:rsidR="003E4705" w:rsidRPr="00154588">
              <w:rPr>
                <w:bCs/>
                <w:sz w:val="20"/>
                <w:szCs w:val="20"/>
              </w:rPr>
              <w:t xml:space="preserve">, de necesitatea de a pune în aplicare în mod eficace strategia de rezoluție și de orice alte considerente relevante în situația respectivă. </w:t>
            </w:r>
            <w:r w:rsidR="00117DF2" w:rsidRPr="00154588">
              <w:rPr>
                <w:bCs/>
                <w:sz w:val="20"/>
                <w:szCs w:val="20"/>
              </w:rPr>
              <w:t>A</w:t>
            </w:r>
            <w:r w:rsidR="003E4705" w:rsidRPr="00154588">
              <w:rPr>
                <w:bCs/>
                <w:sz w:val="20"/>
                <w:szCs w:val="20"/>
              </w:rPr>
              <w:t>utoritate</w:t>
            </w:r>
            <w:r w:rsidR="00117DF2" w:rsidRPr="00154588">
              <w:rPr>
                <w:bCs/>
                <w:sz w:val="20"/>
                <w:szCs w:val="20"/>
              </w:rPr>
              <w:t>a</w:t>
            </w:r>
            <w:r w:rsidR="003E4705" w:rsidRPr="00154588">
              <w:rPr>
                <w:bCs/>
                <w:sz w:val="20"/>
                <w:szCs w:val="20"/>
              </w:rPr>
              <w:t xml:space="preserve"> de rezoluție poate, în orice moment, să reevalueze intervalul de timp și să îl adapteze la circumstanțele situației respective</w:t>
            </w:r>
            <w:r w:rsidR="00B829D8" w:rsidRPr="00154588">
              <w:rPr>
                <w:bCs/>
                <w:sz w:val="20"/>
                <w:szCs w:val="20"/>
              </w:rPr>
              <w:t xml:space="preserve"> și</w:t>
            </w:r>
            <w:r w:rsidR="003E4705" w:rsidRPr="00154588">
              <w:rPr>
                <w:bCs/>
                <w:sz w:val="20"/>
                <w:szCs w:val="20"/>
              </w:rPr>
              <w:t xml:space="preserve"> comunică evaluarea sau reevaluarea respectivă autorități</w:t>
            </w:r>
            <w:r w:rsidR="00F004BC" w:rsidRPr="00154588">
              <w:rPr>
                <w:bCs/>
                <w:sz w:val="20"/>
                <w:szCs w:val="20"/>
              </w:rPr>
              <w:t>i</w:t>
            </w:r>
            <w:r w:rsidR="003E4705" w:rsidRPr="00154588">
              <w:rPr>
                <w:bCs/>
                <w:sz w:val="20"/>
                <w:szCs w:val="20"/>
              </w:rPr>
              <w:t xml:space="preserve"> competente cât mai curând posibil. </w:t>
            </w:r>
          </w:p>
          <w:p w14:paraId="1F2517FC" w14:textId="2726F354" w:rsidR="00EA4D4C" w:rsidRPr="00154588" w:rsidRDefault="00EA4D4C" w:rsidP="008C12B4">
            <w:pPr>
              <w:ind w:firstLine="414"/>
              <w:jc w:val="both"/>
              <w:rPr>
                <w:bCs/>
                <w:sz w:val="20"/>
                <w:szCs w:val="20"/>
              </w:rPr>
            </w:pPr>
          </w:p>
          <w:p w14:paraId="3CBE38A2" w14:textId="6E5BDA89" w:rsidR="00EA4D4C" w:rsidRPr="00154588" w:rsidRDefault="00F004BC" w:rsidP="008C12B4">
            <w:pPr>
              <w:ind w:firstLine="414"/>
              <w:jc w:val="both"/>
              <w:rPr>
                <w:rFonts w:eastAsia="Calibri"/>
                <w:kern w:val="2"/>
                <w:sz w:val="20"/>
                <w:szCs w:val="20"/>
                <w14:ligatures w14:val="standardContextual"/>
              </w:rPr>
            </w:pPr>
            <w:r w:rsidRPr="00154588">
              <w:rPr>
                <w:rFonts w:eastAsia="Calibri"/>
                <w:kern w:val="2"/>
                <w:sz w:val="20"/>
                <w:szCs w:val="20"/>
                <w14:ligatures w14:val="standardContextual"/>
              </w:rPr>
              <w:t>(6)</w:t>
            </w:r>
            <w:r w:rsidRPr="00154588">
              <w:rPr>
                <w:bCs/>
                <w:sz w:val="20"/>
                <w:szCs w:val="20"/>
              </w:rPr>
              <w:t xml:space="preserve"> În urma primirii notificării menționate la</w:t>
            </w:r>
            <w:r w:rsidR="00B161BB" w:rsidRPr="00154588">
              <w:rPr>
                <w:bCs/>
                <w:sz w:val="20"/>
                <w:szCs w:val="20"/>
              </w:rPr>
              <w:t xml:space="preserve"> </w:t>
            </w:r>
            <w:r w:rsidRPr="00154588">
              <w:rPr>
                <w:bCs/>
                <w:sz w:val="20"/>
                <w:szCs w:val="20"/>
              </w:rPr>
              <w:t>alin</w:t>
            </w:r>
            <w:r w:rsidR="00B161BB" w:rsidRPr="00154588">
              <w:rPr>
                <w:bCs/>
                <w:sz w:val="20"/>
                <w:szCs w:val="20"/>
              </w:rPr>
              <w:t>. (3)</w:t>
            </w:r>
            <w:r w:rsidRPr="00154588">
              <w:rPr>
                <w:bCs/>
                <w:sz w:val="20"/>
                <w:szCs w:val="20"/>
              </w:rPr>
              <w:t xml:space="preserve">, </w:t>
            </w:r>
            <w:r w:rsidR="00C25429" w:rsidRPr="00154588">
              <w:rPr>
                <w:rFonts w:eastAsia="Calibri"/>
                <w:kern w:val="2"/>
                <w:sz w:val="20"/>
                <w:szCs w:val="20"/>
                <w14:ligatures w14:val="standardContextual"/>
              </w:rPr>
              <w:t>Banca Națională a Moldovei, în calitate de autoritate competentă și în calitate de autoritate de rezolutie,</w:t>
            </w:r>
            <w:r w:rsidR="00B161BB" w:rsidRPr="00154588">
              <w:rPr>
                <w:rFonts w:eastAsia="Calibri"/>
                <w:kern w:val="2"/>
                <w:sz w:val="20"/>
                <w:szCs w:val="20"/>
                <w14:ligatures w14:val="standardContextual"/>
              </w:rPr>
              <w:t xml:space="preserve"> </w:t>
            </w:r>
            <w:r w:rsidRPr="00154588">
              <w:rPr>
                <w:bCs/>
                <w:sz w:val="20"/>
                <w:szCs w:val="20"/>
              </w:rPr>
              <w:t>monitorizează, în strânsă cooperare, situația instituției</w:t>
            </w:r>
            <w:r w:rsidR="00B161BB" w:rsidRPr="00154588">
              <w:rPr>
                <w:bCs/>
                <w:sz w:val="20"/>
                <w:szCs w:val="20"/>
              </w:rPr>
              <w:t xml:space="preserve"> de credit</w:t>
            </w:r>
            <w:r w:rsidRPr="00154588">
              <w:rPr>
                <w:bCs/>
                <w:sz w:val="20"/>
                <w:szCs w:val="20"/>
              </w:rPr>
              <w:t xml:space="preserve"> sau a entității menționate la </w:t>
            </w:r>
            <w:r w:rsidR="0096005B" w:rsidRPr="00154588">
              <w:rPr>
                <w:bCs/>
                <w:sz w:val="20"/>
                <w:szCs w:val="20"/>
              </w:rPr>
              <w:t>art.1 alin.(1) lit.b), c) sau d)</w:t>
            </w:r>
            <w:r w:rsidRPr="00154588">
              <w:rPr>
                <w:bCs/>
                <w:sz w:val="20"/>
                <w:szCs w:val="20"/>
              </w:rPr>
              <w:t xml:space="preserve">, punerea în aplicare a măsurilor relevante în intervalul de timp preconizat și orice alte evoluții relevante. În acest scop, </w:t>
            </w:r>
            <w:r w:rsidR="000C24F2" w:rsidRPr="00154588">
              <w:rPr>
                <w:rFonts w:eastAsia="Calibri"/>
                <w:kern w:val="2"/>
                <w:sz w:val="20"/>
                <w:szCs w:val="20"/>
                <w14:ligatures w14:val="standardContextual"/>
              </w:rPr>
              <w:t>autoritatea competentă</w:t>
            </w:r>
            <w:r w:rsidR="00B161BB" w:rsidRPr="00154588">
              <w:rPr>
                <w:bCs/>
                <w:sz w:val="20"/>
                <w:szCs w:val="20"/>
              </w:rPr>
              <w:t xml:space="preserve"> și </w:t>
            </w:r>
            <w:r w:rsidR="000C24F2" w:rsidRPr="00154588">
              <w:rPr>
                <w:rFonts w:eastAsia="Calibri"/>
                <w:kern w:val="2"/>
                <w:sz w:val="20"/>
                <w:szCs w:val="20"/>
                <w14:ligatures w14:val="standardContextual"/>
              </w:rPr>
              <w:t>autoritatea</w:t>
            </w:r>
            <w:r w:rsidR="00B161BB" w:rsidRPr="00154588">
              <w:rPr>
                <w:rFonts w:eastAsia="Calibri"/>
                <w:kern w:val="2"/>
                <w:sz w:val="20"/>
                <w:szCs w:val="20"/>
                <w14:ligatures w14:val="standardContextual"/>
              </w:rPr>
              <w:t xml:space="preserve"> de rezoluție </w:t>
            </w:r>
            <w:r w:rsidRPr="00154588">
              <w:rPr>
                <w:bCs/>
                <w:sz w:val="20"/>
                <w:szCs w:val="20"/>
              </w:rPr>
              <w:t xml:space="preserve">se reunesc periodic, cu o frecvență care urmează să fie stabilită de </w:t>
            </w:r>
            <w:r w:rsidR="00B161BB" w:rsidRPr="00154588">
              <w:rPr>
                <w:bCs/>
                <w:sz w:val="20"/>
                <w:szCs w:val="20"/>
              </w:rPr>
              <w:t xml:space="preserve">Banca Națională a Moldovei în calitate de </w:t>
            </w:r>
            <w:r w:rsidRPr="00154588">
              <w:rPr>
                <w:bCs/>
                <w:sz w:val="20"/>
                <w:szCs w:val="20"/>
              </w:rPr>
              <w:t>autorit</w:t>
            </w:r>
            <w:r w:rsidR="00B161BB" w:rsidRPr="00154588">
              <w:rPr>
                <w:bCs/>
                <w:sz w:val="20"/>
                <w:szCs w:val="20"/>
              </w:rPr>
              <w:t>ate</w:t>
            </w:r>
            <w:r w:rsidRPr="00154588">
              <w:rPr>
                <w:bCs/>
                <w:sz w:val="20"/>
                <w:szCs w:val="20"/>
              </w:rPr>
              <w:t xml:space="preserve"> de rezoluție în funcție de circumstanțele situației respective</w:t>
            </w:r>
            <w:r w:rsidR="00B161BB" w:rsidRPr="00154588">
              <w:rPr>
                <w:bCs/>
                <w:sz w:val="20"/>
                <w:szCs w:val="20"/>
              </w:rPr>
              <w:t xml:space="preserve"> </w:t>
            </w:r>
            <w:r w:rsidRPr="00154588">
              <w:rPr>
                <w:bCs/>
                <w:sz w:val="20"/>
                <w:szCs w:val="20"/>
              </w:rPr>
              <w:t>și își comunică reciproc, fără întârziere, toate informațiile relevante.</w:t>
            </w:r>
          </w:p>
          <w:p w14:paraId="2EDBCCE3" w14:textId="3CCF144A" w:rsidR="00EA4D4C" w:rsidRPr="00154588" w:rsidRDefault="00EA4D4C" w:rsidP="008C12B4">
            <w:pPr>
              <w:ind w:firstLine="414"/>
              <w:jc w:val="both"/>
              <w:rPr>
                <w:rFonts w:eastAsia="Calibri"/>
                <w:kern w:val="2"/>
                <w:sz w:val="20"/>
                <w:szCs w:val="20"/>
                <w14:ligatures w14:val="standardContextual"/>
              </w:rPr>
            </w:pPr>
          </w:p>
        </w:tc>
        <w:tc>
          <w:tcPr>
            <w:tcW w:w="2552" w:type="dxa"/>
          </w:tcPr>
          <w:p w14:paraId="414FE506" w14:textId="3BBB171C" w:rsidR="002000E3" w:rsidRPr="00154588" w:rsidRDefault="0088106A" w:rsidP="008C12B4">
            <w:pPr>
              <w:jc w:val="both"/>
              <w:rPr>
                <w:bCs/>
                <w:sz w:val="20"/>
                <w:szCs w:val="20"/>
              </w:rPr>
            </w:pPr>
            <w:r w:rsidRPr="00154588">
              <w:rPr>
                <w:bCs/>
                <w:sz w:val="20"/>
                <w:szCs w:val="20"/>
              </w:rPr>
              <w:lastRenderedPageBreak/>
              <w:t>Compatibil</w:t>
            </w:r>
          </w:p>
        </w:tc>
        <w:tc>
          <w:tcPr>
            <w:tcW w:w="3118" w:type="dxa"/>
          </w:tcPr>
          <w:p w14:paraId="3111F8BD" w14:textId="77777777" w:rsidR="002000E3" w:rsidRPr="00154588" w:rsidRDefault="002000E3" w:rsidP="008C12B4">
            <w:pPr>
              <w:jc w:val="both"/>
              <w:rPr>
                <w:bCs/>
                <w:sz w:val="20"/>
                <w:szCs w:val="20"/>
              </w:rPr>
            </w:pPr>
          </w:p>
        </w:tc>
      </w:tr>
      <w:tr w:rsidR="002000E3" w:rsidRPr="00154588" w14:paraId="448DD2AE" w14:textId="77777777" w:rsidTr="00D15C1B">
        <w:trPr>
          <w:jc w:val="center"/>
        </w:trPr>
        <w:tc>
          <w:tcPr>
            <w:tcW w:w="4957" w:type="dxa"/>
            <w:gridSpan w:val="2"/>
          </w:tcPr>
          <w:p w14:paraId="53303B5E" w14:textId="77777777" w:rsidR="002000E3" w:rsidRPr="00154588" w:rsidRDefault="002000E3" w:rsidP="008C12B4">
            <w:pPr>
              <w:jc w:val="both"/>
              <w:rPr>
                <w:bCs/>
                <w:sz w:val="20"/>
                <w:szCs w:val="20"/>
              </w:rPr>
            </w:pPr>
            <w:r w:rsidRPr="00154588">
              <w:rPr>
                <w:bCs/>
                <w:sz w:val="20"/>
                <w:szCs w:val="20"/>
              </w:rPr>
              <w:t xml:space="preserve">(3) Autoritățile competente comunică autorităților de rezoluție toate informațiile solicitate de acestea care sunt necesare pentru oricare dintre acțiunile următoare: </w:t>
            </w:r>
          </w:p>
          <w:p w14:paraId="5D873557" w14:textId="77777777" w:rsidR="002000E3" w:rsidRPr="00154588" w:rsidRDefault="002000E3" w:rsidP="008C12B4">
            <w:pPr>
              <w:jc w:val="both"/>
              <w:rPr>
                <w:bCs/>
                <w:sz w:val="20"/>
                <w:szCs w:val="20"/>
              </w:rPr>
            </w:pPr>
          </w:p>
          <w:p w14:paraId="0F903DBC" w14:textId="77777777" w:rsidR="002000E3" w:rsidRPr="00154588" w:rsidRDefault="002000E3" w:rsidP="008C12B4">
            <w:pPr>
              <w:jc w:val="both"/>
              <w:rPr>
                <w:bCs/>
                <w:sz w:val="20"/>
                <w:szCs w:val="20"/>
              </w:rPr>
            </w:pPr>
            <w:r w:rsidRPr="00154588">
              <w:rPr>
                <w:bCs/>
                <w:sz w:val="20"/>
                <w:szCs w:val="20"/>
              </w:rPr>
              <w:t xml:space="preserve">(a) actualizarea planului de rezoluție și pregătirea unei eventuale rezoluții a instituției sau a entității menționate la articolul 1 alineatul (1) litera (b), (c) sau (d); </w:t>
            </w:r>
          </w:p>
          <w:p w14:paraId="17F7DF0F" w14:textId="77777777" w:rsidR="002000E3" w:rsidRPr="00154588" w:rsidRDefault="002000E3" w:rsidP="008C12B4">
            <w:pPr>
              <w:jc w:val="both"/>
              <w:rPr>
                <w:bCs/>
                <w:sz w:val="20"/>
                <w:szCs w:val="20"/>
              </w:rPr>
            </w:pPr>
          </w:p>
          <w:p w14:paraId="519CA8EC" w14:textId="77777777" w:rsidR="002000E3" w:rsidRPr="00154588" w:rsidRDefault="002000E3" w:rsidP="008C12B4">
            <w:pPr>
              <w:jc w:val="both"/>
              <w:rPr>
                <w:bCs/>
                <w:sz w:val="20"/>
                <w:szCs w:val="20"/>
              </w:rPr>
            </w:pPr>
            <w:r w:rsidRPr="00154588">
              <w:rPr>
                <w:bCs/>
                <w:sz w:val="20"/>
                <w:szCs w:val="20"/>
              </w:rPr>
              <w:t xml:space="preserve">(b) efectuarea evaluării menționate la articolul 36. </w:t>
            </w:r>
          </w:p>
          <w:p w14:paraId="2170D0BD" w14:textId="77777777" w:rsidR="002000E3" w:rsidRPr="00154588" w:rsidRDefault="002000E3" w:rsidP="008C12B4">
            <w:pPr>
              <w:jc w:val="both"/>
              <w:rPr>
                <w:bCs/>
                <w:sz w:val="20"/>
                <w:szCs w:val="20"/>
              </w:rPr>
            </w:pPr>
          </w:p>
          <w:p w14:paraId="77CDDEDA" w14:textId="7B742164" w:rsidR="002000E3" w:rsidRPr="00154588" w:rsidRDefault="002000E3" w:rsidP="008C12B4">
            <w:pPr>
              <w:jc w:val="both"/>
              <w:rPr>
                <w:bCs/>
                <w:sz w:val="20"/>
                <w:szCs w:val="20"/>
              </w:rPr>
            </w:pPr>
            <w:r w:rsidRPr="00154588">
              <w:rPr>
                <w:bCs/>
                <w:sz w:val="20"/>
                <w:szCs w:val="20"/>
              </w:rPr>
              <w:t>Atunci când astfel de informații</w:t>
            </w:r>
            <w:r w:rsidR="00BB42FF" w:rsidRPr="00154588">
              <w:rPr>
                <w:bCs/>
                <w:sz w:val="20"/>
                <w:szCs w:val="20"/>
              </w:rPr>
              <w:t xml:space="preserve"> </w:t>
            </w:r>
            <w:r w:rsidRPr="00154588">
              <w:rPr>
                <w:bCs/>
                <w:sz w:val="20"/>
                <w:szCs w:val="20"/>
              </w:rPr>
              <w:t>nu sunt</w:t>
            </w:r>
            <w:r w:rsidR="00BB42FF" w:rsidRPr="00154588">
              <w:rPr>
                <w:bCs/>
                <w:sz w:val="20"/>
                <w:szCs w:val="20"/>
              </w:rPr>
              <w:t xml:space="preserve"> deja</w:t>
            </w:r>
            <w:r w:rsidRPr="00154588">
              <w:rPr>
                <w:bCs/>
                <w:sz w:val="20"/>
                <w:szCs w:val="20"/>
              </w:rPr>
              <w:t xml:space="preserve"> la dispoziția autorităților competente, autoritățile de rezoluție și autoritățile competente cooperează și se coordonează pentru a obține informațiile respective. În acest scop, autoritățile competente și autoritățile de rezoluție au competența de a </w:t>
            </w:r>
            <w:r w:rsidRPr="00154588">
              <w:rPr>
                <w:bCs/>
                <w:sz w:val="20"/>
                <w:szCs w:val="20"/>
              </w:rPr>
              <w:lastRenderedPageBreak/>
              <w:t>impune instituției sau entității menționate la articolul 1 alineatul (1) litera (b), (c) sau (d) să comunice astfel de informații, inclusiv prin inspecții la fața locului, și de a-și comunica reciproc informațiile respective.</w:t>
            </w:r>
          </w:p>
        </w:tc>
        <w:tc>
          <w:tcPr>
            <w:tcW w:w="4819" w:type="dxa"/>
          </w:tcPr>
          <w:p w14:paraId="5FFCA700" w14:textId="15878F3F" w:rsidR="00B161BB" w:rsidRPr="00154588" w:rsidRDefault="00B161BB" w:rsidP="008C12B4">
            <w:pPr>
              <w:ind w:firstLine="414"/>
              <w:jc w:val="both"/>
              <w:rPr>
                <w:bCs/>
                <w:sz w:val="20"/>
                <w:szCs w:val="20"/>
              </w:rPr>
            </w:pPr>
            <w:r w:rsidRPr="00154588">
              <w:rPr>
                <w:rFonts w:eastAsia="Calibri"/>
                <w:b/>
                <w:bCs/>
                <w:kern w:val="2"/>
                <w:sz w:val="20"/>
                <w:szCs w:val="20"/>
                <w14:ligatures w14:val="standardContextual"/>
              </w:rPr>
              <w:lastRenderedPageBreak/>
              <w:t>Articolul 54</w:t>
            </w:r>
            <w:r w:rsidRPr="00154588">
              <w:rPr>
                <w:rFonts w:eastAsia="Calibri"/>
                <w:b/>
                <w:bCs/>
                <w:kern w:val="2"/>
                <w:sz w:val="20"/>
                <w:szCs w:val="20"/>
                <w:vertAlign w:val="superscript"/>
                <w14:ligatures w14:val="standardContextual"/>
              </w:rPr>
              <w:t>17</w:t>
            </w:r>
            <w:r w:rsidR="00A517D9" w:rsidRPr="00154588">
              <w:rPr>
                <w:rFonts w:eastAsia="Calibri"/>
                <w:b/>
                <w:bCs/>
                <w:kern w:val="2"/>
                <w:sz w:val="20"/>
                <w:szCs w:val="20"/>
                <w14:ligatures w14:val="standardContextual"/>
              </w:rPr>
              <w:t>.</w:t>
            </w:r>
            <w:r w:rsidRPr="00154588">
              <w:rPr>
                <w:rFonts w:eastAsia="Calibri"/>
                <w:b/>
                <w:bCs/>
                <w:kern w:val="2"/>
                <w:sz w:val="20"/>
                <w:szCs w:val="20"/>
                <w14:ligatures w14:val="standardContextual"/>
              </w:rPr>
              <w:t xml:space="preserve"> – </w:t>
            </w:r>
            <w:r w:rsidRPr="00154588">
              <w:rPr>
                <w:rFonts w:eastAsia="Calibri"/>
                <w:kern w:val="2"/>
                <w:sz w:val="20"/>
                <w:szCs w:val="20"/>
                <w14:ligatures w14:val="standardContextual"/>
              </w:rPr>
              <w:t>(1)</w:t>
            </w:r>
            <w:r w:rsidRPr="00154588">
              <w:rPr>
                <w:bCs/>
                <w:sz w:val="20"/>
                <w:szCs w:val="20"/>
              </w:rPr>
              <w:t xml:space="preserve"> Banca Națională a Moldovei, în calitate de autoritate competentă, comunică autorită</w:t>
            </w:r>
            <w:r w:rsidR="00C25429" w:rsidRPr="00154588">
              <w:rPr>
                <w:bCs/>
                <w:sz w:val="20"/>
                <w:szCs w:val="20"/>
              </w:rPr>
              <w:t>ț</w:t>
            </w:r>
            <w:r w:rsidRPr="00154588">
              <w:rPr>
                <w:bCs/>
                <w:sz w:val="20"/>
                <w:szCs w:val="20"/>
              </w:rPr>
              <w:t xml:space="preserve">ii de rezoluție toate informațiile solicitate de aceasta care sunt necesare pentru oricare dintre acțiunile următoare: </w:t>
            </w:r>
          </w:p>
          <w:p w14:paraId="0DFB42CE" w14:textId="1895EFA5" w:rsidR="00B161BB" w:rsidRPr="00154588" w:rsidRDefault="00B161BB" w:rsidP="008C12B4">
            <w:pPr>
              <w:ind w:firstLine="414"/>
              <w:jc w:val="both"/>
              <w:rPr>
                <w:bCs/>
                <w:sz w:val="20"/>
                <w:szCs w:val="20"/>
              </w:rPr>
            </w:pPr>
            <w:r w:rsidRPr="00154588">
              <w:rPr>
                <w:bCs/>
                <w:sz w:val="20"/>
                <w:szCs w:val="20"/>
              </w:rPr>
              <w:t xml:space="preserve">a) actualizarea planului de rezoluție și pregătirea unei eventuale rezoluții a instituției  de credit sau a entității menționate la </w:t>
            </w:r>
            <w:r w:rsidR="0096005B" w:rsidRPr="00154588">
              <w:rPr>
                <w:bCs/>
                <w:sz w:val="20"/>
                <w:szCs w:val="20"/>
              </w:rPr>
              <w:t>art.1 alin.(1) lit.b), c) sau d)</w:t>
            </w:r>
            <w:r w:rsidRPr="00154588">
              <w:rPr>
                <w:bCs/>
                <w:sz w:val="20"/>
                <w:szCs w:val="20"/>
              </w:rPr>
              <w:t xml:space="preserve">; </w:t>
            </w:r>
          </w:p>
          <w:p w14:paraId="7B3E808B" w14:textId="77777777" w:rsidR="00B161BB" w:rsidRPr="00154588" w:rsidRDefault="00B161BB" w:rsidP="008C12B4">
            <w:pPr>
              <w:ind w:firstLine="414"/>
              <w:jc w:val="both"/>
              <w:rPr>
                <w:bCs/>
                <w:sz w:val="20"/>
                <w:szCs w:val="20"/>
              </w:rPr>
            </w:pPr>
          </w:p>
          <w:p w14:paraId="27D65F0A" w14:textId="4235264D" w:rsidR="00B161BB" w:rsidRPr="00154588" w:rsidRDefault="00B161BB" w:rsidP="008C12B4">
            <w:pPr>
              <w:ind w:firstLine="414"/>
              <w:jc w:val="both"/>
              <w:rPr>
                <w:bCs/>
                <w:sz w:val="20"/>
                <w:szCs w:val="20"/>
              </w:rPr>
            </w:pPr>
            <w:r w:rsidRPr="00154588">
              <w:rPr>
                <w:bCs/>
                <w:sz w:val="20"/>
                <w:szCs w:val="20"/>
              </w:rPr>
              <w:t>b) efectuarea evaluării menționate la art</w:t>
            </w:r>
            <w:r w:rsidR="0096005B" w:rsidRPr="00154588">
              <w:rPr>
                <w:bCs/>
                <w:sz w:val="20"/>
                <w:szCs w:val="20"/>
              </w:rPr>
              <w:t>.</w:t>
            </w:r>
            <w:r w:rsidRPr="00154588">
              <w:rPr>
                <w:bCs/>
                <w:sz w:val="20"/>
                <w:szCs w:val="20"/>
              </w:rPr>
              <w:t xml:space="preserve">72-84. </w:t>
            </w:r>
          </w:p>
          <w:p w14:paraId="6608D6ED" w14:textId="77777777" w:rsidR="00B161BB" w:rsidRPr="00154588" w:rsidRDefault="00B161BB" w:rsidP="008C12B4">
            <w:pPr>
              <w:ind w:firstLine="414"/>
              <w:jc w:val="both"/>
              <w:rPr>
                <w:bCs/>
                <w:sz w:val="20"/>
                <w:szCs w:val="20"/>
              </w:rPr>
            </w:pPr>
          </w:p>
          <w:p w14:paraId="7A9F98FE" w14:textId="6D93C024" w:rsidR="00B161BB" w:rsidRPr="00154588" w:rsidRDefault="00B161BB" w:rsidP="008C12B4">
            <w:pPr>
              <w:ind w:firstLine="414"/>
              <w:jc w:val="both"/>
              <w:rPr>
                <w:bCs/>
                <w:sz w:val="20"/>
                <w:szCs w:val="20"/>
              </w:rPr>
            </w:pPr>
            <w:r w:rsidRPr="00154588">
              <w:rPr>
                <w:bCs/>
                <w:sz w:val="20"/>
                <w:szCs w:val="20"/>
              </w:rPr>
              <w:t xml:space="preserve">(2)Atunci când informațiile menționate la alin. 1) nu sunt la dispoziția autorității competente, autoritatea de rezoluție și autoritatea competentă cooperează </w:t>
            </w:r>
            <w:r w:rsidR="00BB42FF" w:rsidRPr="00154588">
              <w:rPr>
                <w:bCs/>
                <w:sz w:val="20"/>
                <w:szCs w:val="20"/>
              </w:rPr>
              <w:t>ș</w:t>
            </w:r>
            <w:r w:rsidRPr="00154588">
              <w:rPr>
                <w:bCs/>
                <w:sz w:val="20"/>
                <w:szCs w:val="20"/>
              </w:rPr>
              <w:t xml:space="preserve">i se coordonează pentru a obține informațiile respective. În acest scop, autoritatea competentă și autoritatea de </w:t>
            </w:r>
            <w:r w:rsidRPr="00154588">
              <w:rPr>
                <w:bCs/>
                <w:sz w:val="20"/>
                <w:szCs w:val="20"/>
              </w:rPr>
              <w:lastRenderedPageBreak/>
              <w:t xml:space="preserve">rezoluție au competența de a impune instituției de credit sau entității menționate la </w:t>
            </w:r>
            <w:r w:rsidR="0096005B" w:rsidRPr="00154588">
              <w:rPr>
                <w:bCs/>
                <w:sz w:val="20"/>
                <w:szCs w:val="20"/>
              </w:rPr>
              <w:t xml:space="preserve">art.1 alin.(1) lit.b), c) sau d) </w:t>
            </w:r>
            <w:r w:rsidRPr="00154588">
              <w:rPr>
                <w:bCs/>
                <w:sz w:val="20"/>
                <w:szCs w:val="20"/>
              </w:rPr>
              <w:t>să comunice astfel de informații, inclusiv prin inspecții la fața locului, și de a-și comunica reciproc informațiile respective.</w:t>
            </w:r>
          </w:p>
          <w:p w14:paraId="2FEB47CF" w14:textId="57BD3AFD" w:rsidR="002000E3" w:rsidRPr="00154588" w:rsidRDefault="002000E3" w:rsidP="008C12B4">
            <w:pPr>
              <w:ind w:firstLine="414"/>
              <w:jc w:val="both"/>
              <w:rPr>
                <w:rFonts w:eastAsia="Calibri"/>
                <w:kern w:val="2"/>
                <w:sz w:val="20"/>
                <w:szCs w:val="20"/>
                <w14:ligatures w14:val="standardContextual"/>
              </w:rPr>
            </w:pPr>
          </w:p>
        </w:tc>
        <w:tc>
          <w:tcPr>
            <w:tcW w:w="2552" w:type="dxa"/>
          </w:tcPr>
          <w:p w14:paraId="702E985A" w14:textId="4ABA9F7E" w:rsidR="002000E3" w:rsidRPr="00154588" w:rsidRDefault="0088106A" w:rsidP="008C12B4">
            <w:pPr>
              <w:jc w:val="both"/>
              <w:rPr>
                <w:bCs/>
                <w:sz w:val="20"/>
                <w:szCs w:val="20"/>
              </w:rPr>
            </w:pPr>
            <w:r w:rsidRPr="00154588">
              <w:rPr>
                <w:bCs/>
                <w:sz w:val="20"/>
                <w:szCs w:val="20"/>
              </w:rPr>
              <w:lastRenderedPageBreak/>
              <w:t>Compatibil</w:t>
            </w:r>
          </w:p>
        </w:tc>
        <w:tc>
          <w:tcPr>
            <w:tcW w:w="3118" w:type="dxa"/>
          </w:tcPr>
          <w:p w14:paraId="4697B1D3" w14:textId="77777777" w:rsidR="002000E3" w:rsidRPr="00154588" w:rsidRDefault="002000E3" w:rsidP="008C12B4">
            <w:pPr>
              <w:jc w:val="both"/>
              <w:rPr>
                <w:bCs/>
                <w:sz w:val="20"/>
                <w:szCs w:val="20"/>
              </w:rPr>
            </w:pPr>
          </w:p>
        </w:tc>
      </w:tr>
      <w:tr w:rsidR="002000E3" w:rsidRPr="00154588" w14:paraId="52A01C30" w14:textId="77777777" w:rsidTr="00D15C1B">
        <w:trPr>
          <w:jc w:val="center"/>
        </w:trPr>
        <w:tc>
          <w:tcPr>
            <w:tcW w:w="4957" w:type="dxa"/>
            <w:gridSpan w:val="2"/>
          </w:tcPr>
          <w:p w14:paraId="75CDBD38" w14:textId="77777777" w:rsidR="0045723A" w:rsidRPr="00154588" w:rsidRDefault="0045723A" w:rsidP="008C12B4">
            <w:pPr>
              <w:jc w:val="both"/>
              <w:rPr>
                <w:bCs/>
                <w:sz w:val="20"/>
                <w:szCs w:val="20"/>
              </w:rPr>
            </w:pPr>
            <w:r w:rsidRPr="00154588">
              <w:rPr>
                <w:bCs/>
                <w:sz w:val="20"/>
                <w:szCs w:val="20"/>
              </w:rPr>
              <w:t xml:space="preserve">(4) Printre competențele autorităților de rezoluție se numără competența de a scoate pe piață către cumpărători potențiali instituția sau entitatea menționată la articolul 1 alineatul (1) litera (b), (c) sau (d), de a lua măsuri în vederea unei astfel de scoateri pe piață sau de a solicita instituției sau entității respective să facă acest lucru, în următoarele scopuri: </w:t>
            </w:r>
          </w:p>
          <w:p w14:paraId="29817703" w14:textId="77777777" w:rsidR="0045723A" w:rsidRPr="00154588" w:rsidRDefault="0045723A" w:rsidP="008C12B4">
            <w:pPr>
              <w:jc w:val="both"/>
              <w:rPr>
                <w:bCs/>
                <w:sz w:val="20"/>
                <w:szCs w:val="20"/>
              </w:rPr>
            </w:pPr>
          </w:p>
          <w:p w14:paraId="33622642" w14:textId="77777777" w:rsidR="0045723A" w:rsidRPr="00154588" w:rsidRDefault="0045723A" w:rsidP="008C12B4">
            <w:pPr>
              <w:jc w:val="both"/>
              <w:rPr>
                <w:bCs/>
                <w:sz w:val="20"/>
                <w:szCs w:val="20"/>
              </w:rPr>
            </w:pPr>
            <w:r w:rsidRPr="00154588">
              <w:rPr>
                <w:bCs/>
                <w:sz w:val="20"/>
                <w:szCs w:val="20"/>
              </w:rPr>
              <w:t xml:space="preserve">(a) pentru a pregăti rezoluția instituției sau a entității respective, sub rezerva criteriilor prevăzute la articolul 39 alineatul (2) și a cerințelor de confidențialitate prevăzute la articolele 84 și 84b; </w:t>
            </w:r>
          </w:p>
          <w:p w14:paraId="1A721A01" w14:textId="77777777" w:rsidR="0045723A" w:rsidRPr="00154588" w:rsidRDefault="0045723A" w:rsidP="008C12B4">
            <w:pPr>
              <w:jc w:val="both"/>
              <w:rPr>
                <w:bCs/>
                <w:sz w:val="20"/>
                <w:szCs w:val="20"/>
              </w:rPr>
            </w:pPr>
          </w:p>
          <w:p w14:paraId="4617D745" w14:textId="77777777" w:rsidR="0045723A" w:rsidRPr="00154588" w:rsidRDefault="0045723A" w:rsidP="008C12B4">
            <w:pPr>
              <w:jc w:val="both"/>
              <w:rPr>
                <w:bCs/>
                <w:sz w:val="20"/>
                <w:szCs w:val="20"/>
              </w:rPr>
            </w:pPr>
            <w:r w:rsidRPr="00154588">
              <w:rPr>
                <w:bCs/>
                <w:sz w:val="20"/>
                <w:szCs w:val="20"/>
              </w:rPr>
              <w:t xml:space="preserve">(b) pentru a efectua evaluarea efectuată de către autoritatea de rezoluție cu privire la condiția menționată la articolul 32 alineatul (1) litera (b). </w:t>
            </w:r>
          </w:p>
          <w:p w14:paraId="6781FF88" w14:textId="77777777" w:rsidR="0045723A" w:rsidRPr="00154588" w:rsidRDefault="0045723A" w:rsidP="008C12B4">
            <w:pPr>
              <w:jc w:val="both"/>
              <w:rPr>
                <w:bCs/>
                <w:sz w:val="20"/>
                <w:szCs w:val="20"/>
              </w:rPr>
            </w:pPr>
          </w:p>
          <w:p w14:paraId="1CD331D9" w14:textId="61F0A1F4" w:rsidR="002000E3" w:rsidRPr="00154588" w:rsidRDefault="0045723A" w:rsidP="008C12B4">
            <w:pPr>
              <w:jc w:val="both"/>
              <w:rPr>
                <w:bCs/>
                <w:sz w:val="20"/>
                <w:szCs w:val="20"/>
              </w:rPr>
            </w:pPr>
            <w:r w:rsidRPr="00154588">
              <w:rPr>
                <w:bCs/>
                <w:sz w:val="20"/>
                <w:szCs w:val="20"/>
              </w:rPr>
              <w:t>Atunci când, în exercitarea competenței menționate la primul paragraf, autoritatea de rezoluție decide să scoată pe piață direct instituția sau entitatea către cumpărători potențiali, ea ține seama în mod corespunzător de circumstanțele situației respective, în special de orice măsuri preventive care ar putea fi luate de o schemă de garantare a depozitelor sau orice măsură care ar putea fi luată de un SIP, precum și de impactul potențial al exercitării competenței respective asupra poziției generale a instituției sau a entității.</w:t>
            </w:r>
          </w:p>
        </w:tc>
        <w:tc>
          <w:tcPr>
            <w:tcW w:w="4819" w:type="dxa"/>
          </w:tcPr>
          <w:p w14:paraId="767D30AA" w14:textId="68365B53" w:rsidR="002000E3" w:rsidRPr="00154588" w:rsidRDefault="00B161BB" w:rsidP="008C12B4">
            <w:pPr>
              <w:ind w:firstLine="504"/>
              <w:jc w:val="both"/>
              <w:rPr>
                <w:bCs/>
                <w:sz w:val="20"/>
                <w:szCs w:val="20"/>
              </w:rPr>
            </w:pP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18</w:t>
            </w:r>
            <w:r w:rsidR="00A517D9" w:rsidRPr="00154588">
              <w:rPr>
                <w:rFonts w:eastAsia="Calibri"/>
                <w:b/>
                <w:bCs/>
                <w:kern w:val="2"/>
                <w:sz w:val="20"/>
                <w:szCs w:val="20"/>
                <w14:ligatures w14:val="standardContextual"/>
              </w:rPr>
              <w:t>.</w:t>
            </w:r>
            <w:r w:rsidRPr="00154588">
              <w:rPr>
                <w:rFonts w:eastAsia="Calibri"/>
                <w:b/>
                <w:bCs/>
                <w:kern w:val="2"/>
                <w:sz w:val="20"/>
                <w:szCs w:val="20"/>
                <w14:ligatures w14:val="standardContextual"/>
              </w:rPr>
              <w:t xml:space="preserve"> – </w:t>
            </w:r>
            <w:r w:rsidRPr="00154588">
              <w:rPr>
                <w:rFonts w:eastAsia="Calibri"/>
                <w:kern w:val="2"/>
                <w:sz w:val="20"/>
                <w:szCs w:val="20"/>
                <w14:ligatures w14:val="standardContextual"/>
              </w:rPr>
              <w:t xml:space="preserve">(1)Banca Națională a </w:t>
            </w:r>
            <w:r w:rsidR="00C25429" w:rsidRPr="00154588">
              <w:rPr>
                <w:rFonts w:eastAsia="Calibri"/>
                <w:kern w:val="2"/>
                <w:sz w:val="20"/>
                <w:szCs w:val="20"/>
                <w14:ligatures w14:val="standardContextual"/>
              </w:rPr>
              <w:t>Moldovei</w:t>
            </w:r>
            <w:r w:rsidRPr="00154588">
              <w:rPr>
                <w:rFonts w:eastAsia="Calibri"/>
                <w:kern w:val="2"/>
                <w:sz w:val="20"/>
                <w:szCs w:val="20"/>
                <w14:ligatures w14:val="standardContextual"/>
              </w:rPr>
              <w:t xml:space="preserve">, </w:t>
            </w:r>
            <w:r w:rsidR="00A339F9" w:rsidRPr="00154588">
              <w:rPr>
                <w:rFonts w:eastAsia="Calibri"/>
                <w:kern w:val="2"/>
                <w:sz w:val="20"/>
                <w:szCs w:val="20"/>
                <w14:ligatures w14:val="standardContextual"/>
              </w:rPr>
              <w:t>î</w:t>
            </w:r>
            <w:r w:rsidRPr="00154588">
              <w:rPr>
                <w:rFonts w:eastAsia="Calibri"/>
                <w:kern w:val="2"/>
                <w:sz w:val="20"/>
                <w:szCs w:val="20"/>
                <w14:ligatures w14:val="standardContextual"/>
              </w:rPr>
              <w:t xml:space="preserve">n calitate de autoritate </w:t>
            </w:r>
            <w:r w:rsidR="00A339F9" w:rsidRPr="00154588">
              <w:rPr>
                <w:rFonts w:eastAsia="Calibri"/>
                <w:kern w:val="2"/>
                <w:sz w:val="20"/>
                <w:szCs w:val="20"/>
                <w14:ligatures w14:val="standardContextual"/>
              </w:rPr>
              <w:t>de rezoluție</w:t>
            </w:r>
            <w:r w:rsidRPr="00154588">
              <w:rPr>
                <w:rFonts w:eastAsia="Calibri"/>
                <w:kern w:val="2"/>
                <w:sz w:val="20"/>
                <w:szCs w:val="20"/>
                <w14:ligatures w14:val="standardContextual"/>
              </w:rPr>
              <w:t xml:space="preserve"> are competența </w:t>
            </w:r>
            <w:r w:rsidRPr="00154588">
              <w:rPr>
                <w:bCs/>
                <w:sz w:val="20"/>
                <w:szCs w:val="20"/>
              </w:rPr>
              <w:t xml:space="preserve">de a scoate pe piață către cumpărători potențiali instituția de credit sau entitatea menționată la </w:t>
            </w:r>
            <w:r w:rsidR="0096005B" w:rsidRPr="00154588">
              <w:rPr>
                <w:bCs/>
                <w:sz w:val="20"/>
                <w:szCs w:val="20"/>
              </w:rPr>
              <w:t>art.1 alin.(1) lit.b), c) sau d)</w:t>
            </w:r>
            <w:r w:rsidRPr="00154588">
              <w:rPr>
                <w:bCs/>
                <w:sz w:val="20"/>
                <w:szCs w:val="20"/>
              </w:rPr>
              <w:t>, de a lua măsuri în vederea unei astfel de scoateri pe piață sau de a solicita instituției de credit sau entității respective să facă acest lucru, în următoarele scopuri:</w:t>
            </w:r>
          </w:p>
          <w:p w14:paraId="2663D590" w14:textId="461EA7CF" w:rsidR="00B161BB" w:rsidRPr="00154588" w:rsidRDefault="00B161BB" w:rsidP="008C12B4">
            <w:pPr>
              <w:ind w:firstLine="504"/>
              <w:jc w:val="both"/>
              <w:rPr>
                <w:bCs/>
                <w:sz w:val="20"/>
                <w:szCs w:val="20"/>
              </w:rPr>
            </w:pPr>
            <w:r w:rsidRPr="00154588">
              <w:rPr>
                <w:bCs/>
                <w:sz w:val="20"/>
                <w:szCs w:val="20"/>
              </w:rPr>
              <w:t xml:space="preserve">a) pentru a pregăti rezoluția instituției de credit sau a entității respective, </w:t>
            </w:r>
            <w:r w:rsidR="00A339F9" w:rsidRPr="00154588">
              <w:rPr>
                <w:bCs/>
                <w:sz w:val="20"/>
                <w:szCs w:val="20"/>
              </w:rPr>
              <w:t>conform</w:t>
            </w:r>
            <w:r w:rsidRPr="00154588">
              <w:rPr>
                <w:bCs/>
                <w:sz w:val="20"/>
                <w:szCs w:val="20"/>
              </w:rPr>
              <w:t xml:space="preserve"> criteriilor prevăzute la art</w:t>
            </w:r>
            <w:r w:rsidR="00F22A3C" w:rsidRPr="00154588">
              <w:rPr>
                <w:bCs/>
                <w:sz w:val="20"/>
                <w:szCs w:val="20"/>
              </w:rPr>
              <w:t>.108</w:t>
            </w:r>
            <w:r w:rsidRPr="00154588">
              <w:rPr>
                <w:bCs/>
                <w:sz w:val="20"/>
                <w:szCs w:val="20"/>
              </w:rPr>
              <w:t xml:space="preserve"> și a cerințelor de confidențialitate prevăzute la art</w:t>
            </w:r>
            <w:r w:rsidR="0096005B" w:rsidRPr="00154588">
              <w:rPr>
                <w:bCs/>
                <w:sz w:val="20"/>
                <w:szCs w:val="20"/>
              </w:rPr>
              <w:t>.</w:t>
            </w:r>
            <w:r w:rsidRPr="00154588">
              <w:rPr>
                <w:bCs/>
                <w:sz w:val="20"/>
                <w:szCs w:val="20"/>
              </w:rPr>
              <w:t xml:space="preserve"> </w:t>
            </w:r>
            <w:r w:rsidR="00F22A3C" w:rsidRPr="00154588">
              <w:rPr>
                <w:bCs/>
                <w:sz w:val="20"/>
                <w:szCs w:val="20"/>
              </w:rPr>
              <w:t xml:space="preserve">288-291 și </w:t>
            </w:r>
            <w:r w:rsidR="00052DC8" w:rsidRPr="00154588">
              <w:rPr>
                <w:bCs/>
                <w:sz w:val="20"/>
                <w:szCs w:val="20"/>
              </w:rPr>
              <w:t>291</w:t>
            </w:r>
            <w:r w:rsidR="00052DC8" w:rsidRPr="00154588">
              <w:rPr>
                <w:bCs/>
                <w:sz w:val="20"/>
                <w:szCs w:val="20"/>
                <w:vertAlign w:val="superscript"/>
              </w:rPr>
              <w:t>2</w:t>
            </w:r>
            <w:r w:rsidRPr="00154588">
              <w:rPr>
                <w:sz w:val="20"/>
                <w:szCs w:val="20"/>
              </w:rPr>
              <w:t>;</w:t>
            </w:r>
            <w:r w:rsidRPr="00154588">
              <w:rPr>
                <w:bCs/>
                <w:sz w:val="20"/>
                <w:szCs w:val="20"/>
              </w:rPr>
              <w:t xml:space="preserve"> </w:t>
            </w:r>
          </w:p>
          <w:p w14:paraId="5F04B4C6" w14:textId="77777777" w:rsidR="00B161BB" w:rsidRPr="00154588" w:rsidRDefault="00B161BB" w:rsidP="008C12B4">
            <w:pPr>
              <w:ind w:firstLine="504"/>
              <w:jc w:val="both"/>
              <w:rPr>
                <w:bCs/>
                <w:sz w:val="20"/>
                <w:szCs w:val="20"/>
              </w:rPr>
            </w:pPr>
          </w:p>
          <w:p w14:paraId="52980A5D" w14:textId="21188D7D" w:rsidR="00B161BB" w:rsidRPr="00154588" w:rsidRDefault="00B161BB" w:rsidP="008C12B4">
            <w:pPr>
              <w:ind w:firstLine="504"/>
              <w:jc w:val="both"/>
              <w:rPr>
                <w:bCs/>
                <w:sz w:val="20"/>
                <w:szCs w:val="20"/>
              </w:rPr>
            </w:pPr>
            <w:r w:rsidRPr="00154588">
              <w:rPr>
                <w:bCs/>
                <w:sz w:val="20"/>
                <w:szCs w:val="20"/>
              </w:rPr>
              <w:t>b) pentru a efectua</w:t>
            </w:r>
            <w:r w:rsidR="00A339F9" w:rsidRPr="00154588">
              <w:rPr>
                <w:bCs/>
                <w:sz w:val="20"/>
                <w:szCs w:val="20"/>
              </w:rPr>
              <w:t xml:space="preserve">rea </w:t>
            </w:r>
            <w:r w:rsidRPr="00154588">
              <w:rPr>
                <w:bCs/>
                <w:sz w:val="20"/>
                <w:szCs w:val="20"/>
              </w:rPr>
              <w:t>de către autoritatea de rezoluție</w:t>
            </w:r>
            <w:r w:rsidR="00A339F9" w:rsidRPr="00154588">
              <w:rPr>
                <w:bCs/>
                <w:sz w:val="20"/>
                <w:szCs w:val="20"/>
              </w:rPr>
              <w:t xml:space="preserve"> a</w:t>
            </w:r>
            <w:r w:rsidRPr="00154588">
              <w:rPr>
                <w:bCs/>
                <w:sz w:val="20"/>
                <w:szCs w:val="20"/>
              </w:rPr>
              <w:t xml:space="preserve"> </w:t>
            </w:r>
            <w:r w:rsidR="00A339F9" w:rsidRPr="00154588">
              <w:rPr>
                <w:bCs/>
                <w:sz w:val="20"/>
                <w:szCs w:val="20"/>
              </w:rPr>
              <w:t xml:space="preserve">evaluării efectuate </w:t>
            </w:r>
            <w:r w:rsidRPr="00154588">
              <w:rPr>
                <w:bCs/>
                <w:sz w:val="20"/>
                <w:szCs w:val="20"/>
              </w:rPr>
              <w:t>cu privire la condiția menționată la art</w:t>
            </w:r>
            <w:r w:rsidR="00F22A3C" w:rsidRPr="00154588">
              <w:rPr>
                <w:bCs/>
                <w:sz w:val="20"/>
                <w:szCs w:val="20"/>
              </w:rPr>
              <w:t>.58</w:t>
            </w:r>
            <w:r w:rsidRPr="00154588">
              <w:rPr>
                <w:bCs/>
                <w:sz w:val="20"/>
                <w:szCs w:val="20"/>
              </w:rPr>
              <w:t xml:space="preserve"> alin</w:t>
            </w:r>
            <w:r w:rsidR="00F22A3C" w:rsidRPr="00154588">
              <w:rPr>
                <w:bCs/>
                <w:sz w:val="20"/>
                <w:szCs w:val="20"/>
              </w:rPr>
              <w:t>.</w:t>
            </w:r>
            <w:r w:rsidRPr="00154588">
              <w:rPr>
                <w:bCs/>
                <w:sz w:val="20"/>
                <w:szCs w:val="20"/>
              </w:rPr>
              <w:t>(1) lit</w:t>
            </w:r>
            <w:r w:rsidR="00F22A3C" w:rsidRPr="00154588">
              <w:rPr>
                <w:bCs/>
                <w:sz w:val="20"/>
                <w:szCs w:val="20"/>
              </w:rPr>
              <w:t>.</w:t>
            </w:r>
            <w:r w:rsidRPr="00154588">
              <w:rPr>
                <w:bCs/>
                <w:sz w:val="20"/>
                <w:szCs w:val="20"/>
              </w:rPr>
              <w:t xml:space="preserve">(b). </w:t>
            </w:r>
          </w:p>
          <w:p w14:paraId="2DD263FC" w14:textId="77777777" w:rsidR="00B161BB" w:rsidRPr="00154588" w:rsidRDefault="00B161BB" w:rsidP="008C12B4">
            <w:pPr>
              <w:ind w:firstLine="504"/>
              <w:jc w:val="both"/>
              <w:rPr>
                <w:bCs/>
                <w:sz w:val="20"/>
                <w:szCs w:val="20"/>
              </w:rPr>
            </w:pPr>
          </w:p>
          <w:p w14:paraId="6D2C04A2" w14:textId="485B552D" w:rsidR="00B161BB" w:rsidRPr="00154588" w:rsidRDefault="00496771" w:rsidP="008C12B4">
            <w:pPr>
              <w:ind w:firstLine="504"/>
              <w:jc w:val="both"/>
              <w:rPr>
                <w:rFonts w:eastAsia="Calibri"/>
                <w:kern w:val="2"/>
                <w:sz w:val="20"/>
                <w:szCs w:val="20"/>
                <w14:ligatures w14:val="standardContextual"/>
              </w:rPr>
            </w:pPr>
            <w:r w:rsidRPr="00154588">
              <w:rPr>
                <w:bCs/>
                <w:sz w:val="20"/>
                <w:szCs w:val="20"/>
              </w:rPr>
              <w:t>(2)</w:t>
            </w:r>
            <w:r w:rsidR="00B161BB" w:rsidRPr="00154588">
              <w:rPr>
                <w:bCs/>
                <w:sz w:val="20"/>
                <w:szCs w:val="20"/>
              </w:rPr>
              <w:t xml:space="preserve">Atunci când, în exercitarea competenței menționate la </w:t>
            </w:r>
            <w:r w:rsidRPr="00154588">
              <w:rPr>
                <w:bCs/>
                <w:sz w:val="20"/>
                <w:szCs w:val="20"/>
              </w:rPr>
              <w:t>alin.(1)</w:t>
            </w:r>
            <w:r w:rsidR="00B161BB" w:rsidRPr="00154588">
              <w:rPr>
                <w:bCs/>
                <w:sz w:val="20"/>
                <w:szCs w:val="20"/>
              </w:rPr>
              <w:t xml:space="preserve">, </w:t>
            </w:r>
            <w:r w:rsidRPr="00154588">
              <w:rPr>
                <w:bCs/>
                <w:sz w:val="20"/>
                <w:szCs w:val="20"/>
              </w:rPr>
              <w:t xml:space="preserve">Banca Națională a Moldovei, în calitate de </w:t>
            </w:r>
            <w:r w:rsidR="00B161BB" w:rsidRPr="00154588">
              <w:rPr>
                <w:bCs/>
                <w:sz w:val="20"/>
                <w:szCs w:val="20"/>
              </w:rPr>
              <w:t>autoritate de rezoluție decide să scoată pe piață direct instituția</w:t>
            </w:r>
            <w:r w:rsidRPr="00154588">
              <w:rPr>
                <w:bCs/>
                <w:sz w:val="20"/>
                <w:szCs w:val="20"/>
              </w:rPr>
              <w:t xml:space="preserve"> de credit</w:t>
            </w:r>
            <w:r w:rsidR="00B161BB" w:rsidRPr="00154588">
              <w:rPr>
                <w:bCs/>
                <w:sz w:val="20"/>
                <w:szCs w:val="20"/>
              </w:rPr>
              <w:t xml:space="preserve"> sau entitatea către cumpărători potențiali, ea ține seama în mod corespunzător de circumstanțele situației respective, în special de orice măsuri preventive care ar putea fi luate de</w:t>
            </w:r>
            <w:r w:rsidR="00552A29" w:rsidRPr="00154588">
              <w:rPr>
                <w:bCs/>
                <w:sz w:val="20"/>
                <w:szCs w:val="20"/>
              </w:rPr>
              <w:t xml:space="preserve"> către</w:t>
            </w:r>
            <w:r w:rsidR="00B161BB" w:rsidRPr="00154588">
              <w:rPr>
                <w:bCs/>
                <w:sz w:val="20"/>
                <w:szCs w:val="20"/>
              </w:rPr>
              <w:t xml:space="preserve"> </w:t>
            </w:r>
            <w:r w:rsidRPr="00154588">
              <w:rPr>
                <w:bCs/>
                <w:sz w:val="20"/>
                <w:szCs w:val="20"/>
              </w:rPr>
              <w:t>Fondul de Garantare a Depozitelor</w:t>
            </w:r>
            <w:r w:rsidR="00B161BB" w:rsidRPr="00154588">
              <w:rPr>
                <w:bCs/>
                <w:sz w:val="20"/>
                <w:szCs w:val="20"/>
              </w:rPr>
              <w:t xml:space="preserve"> </w:t>
            </w:r>
            <w:r w:rsidR="00552A29" w:rsidRPr="00154588">
              <w:rPr>
                <w:bCs/>
                <w:sz w:val="20"/>
                <w:szCs w:val="20"/>
              </w:rPr>
              <w:t xml:space="preserve">în sistemul bancar </w:t>
            </w:r>
            <w:r w:rsidR="00B161BB" w:rsidRPr="00154588">
              <w:rPr>
                <w:bCs/>
                <w:sz w:val="20"/>
                <w:szCs w:val="20"/>
              </w:rPr>
              <w:t xml:space="preserve">sau orice măsură care ar putea fi luată de un SIP, precum și de impactul potențial al exercitării competenței respective asupra poziției generale a instituției </w:t>
            </w:r>
            <w:r w:rsidRPr="00154588">
              <w:rPr>
                <w:bCs/>
                <w:sz w:val="20"/>
                <w:szCs w:val="20"/>
              </w:rPr>
              <w:t xml:space="preserve">de credit </w:t>
            </w:r>
            <w:r w:rsidR="00B161BB" w:rsidRPr="00154588">
              <w:rPr>
                <w:bCs/>
                <w:sz w:val="20"/>
                <w:szCs w:val="20"/>
              </w:rPr>
              <w:t>sau a entității.</w:t>
            </w:r>
          </w:p>
        </w:tc>
        <w:tc>
          <w:tcPr>
            <w:tcW w:w="2552" w:type="dxa"/>
          </w:tcPr>
          <w:p w14:paraId="4CBA9A89" w14:textId="0207AD34" w:rsidR="002000E3" w:rsidRPr="00154588" w:rsidRDefault="0088106A" w:rsidP="008C12B4">
            <w:pPr>
              <w:jc w:val="both"/>
              <w:rPr>
                <w:bCs/>
                <w:sz w:val="20"/>
                <w:szCs w:val="20"/>
              </w:rPr>
            </w:pPr>
            <w:r w:rsidRPr="00154588">
              <w:rPr>
                <w:bCs/>
                <w:sz w:val="20"/>
                <w:szCs w:val="20"/>
              </w:rPr>
              <w:t>Compatibil</w:t>
            </w:r>
          </w:p>
        </w:tc>
        <w:tc>
          <w:tcPr>
            <w:tcW w:w="3118" w:type="dxa"/>
          </w:tcPr>
          <w:p w14:paraId="2DC751F6" w14:textId="77777777" w:rsidR="002000E3" w:rsidRPr="00154588" w:rsidRDefault="002000E3" w:rsidP="008C12B4">
            <w:pPr>
              <w:jc w:val="both"/>
              <w:rPr>
                <w:bCs/>
                <w:sz w:val="20"/>
                <w:szCs w:val="20"/>
              </w:rPr>
            </w:pPr>
          </w:p>
        </w:tc>
      </w:tr>
      <w:tr w:rsidR="002000E3" w:rsidRPr="00154588" w14:paraId="42A7BD6C" w14:textId="77777777" w:rsidTr="00D15C1B">
        <w:trPr>
          <w:jc w:val="center"/>
        </w:trPr>
        <w:tc>
          <w:tcPr>
            <w:tcW w:w="4957" w:type="dxa"/>
            <w:gridSpan w:val="2"/>
          </w:tcPr>
          <w:p w14:paraId="73E64C4B" w14:textId="6FFB95D6" w:rsidR="002000E3" w:rsidRPr="00154588" w:rsidRDefault="0045723A" w:rsidP="008C12B4">
            <w:pPr>
              <w:jc w:val="both"/>
              <w:rPr>
                <w:bCs/>
                <w:sz w:val="20"/>
                <w:szCs w:val="20"/>
              </w:rPr>
            </w:pPr>
            <w:r w:rsidRPr="00154588">
              <w:rPr>
                <w:bCs/>
                <w:sz w:val="20"/>
                <w:szCs w:val="20"/>
              </w:rPr>
              <w:t>(5) Autoritățile de rezoluție au competența de a însărcina instituția sau entitatea menționată la articolul 1 alineatul (1) litera (b), (c) sau (d) să instituie mecanismele necesare, inclusiv o platformă digitală, pentru schimbul de informații cu cumpărătorii potențiali sau cu consultanții și evaluatorii angajați de autoritatea de rezoluție. Atunci când autoritatea de rezoluție exercită această competență, se aplică articolul 84 alineatul (1) literele (e) și (f).</w:t>
            </w:r>
          </w:p>
          <w:p w14:paraId="719B55AE" w14:textId="77777777" w:rsidR="002000E3" w:rsidRPr="00154588" w:rsidRDefault="002000E3" w:rsidP="008C12B4">
            <w:pPr>
              <w:jc w:val="both"/>
              <w:rPr>
                <w:bCs/>
                <w:sz w:val="20"/>
                <w:szCs w:val="20"/>
              </w:rPr>
            </w:pPr>
          </w:p>
        </w:tc>
        <w:tc>
          <w:tcPr>
            <w:tcW w:w="4819" w:type="dxa"/>
          </w:tcPr>
          <w:p w14:paraId="366F7B57" w14:textId="23839520" w:rsidR="00552A29" w:rsidRPr="00154588" w:rsidRDefault="00552A29" w:rsidP="008C12B4">
            <w:pPr>
              <w:ind w:firstLine="504"/>
              <w:jc w:val="both"/>
              <w:rPr>
                <w:bCs/>
                <w:sz w:val="20"/>
                <w:szCs w:val="20"/>
              </w:rPr>
            </w:pP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1</w:t>
            </w:r>
            <w:r w:rsidR="00727956" w:rsidRPr="00154588">
              <w:rPr>
                <w:rFonts w:eastAsia="Calibri"/>
                <w:b/>
                <w:bCs/>
                <w:kern w:val="2"/>
                <w:sz w:val="20"/>
                <w:szCs w:val="20"/>
                <w:vertAlign w:val="superscript"/>
                <w14:ligatures w14:val="standardContextual"/>
              </w:rPr>
              <w:t>9</w:t>
            </w:r>
            <w:r w:rsidR="004C3014" w:rsidRPr="00154588">
              <w:rPr>
                <w:rFonts w:eastAsia="Calibri"/>
                <w:b/>
                <w:bCs/>
                <w:kern w:val="2"/>
                <w:sz w:val="20"/>
                <w:szCs w:val="20"/>
                <w14:ligatures w14:val="standardContextual"/>
              </w:rPr>
              <w:t>.</w:t>
            </w:r>
            <w:r w:rsidRPr="00154588">
              <w:rPr>
                <w:rFonts w:eastAsia="Calibri"/>
                <w:b/>
                <w:bCs/>
                <w:kern w:val="2"/>
                <w:sz w:val="20"/>
                <w:szCs w:val="20"/>
                <w:vertAlign w:val="superscript"/>
                <w14:ligatures w14:val="standardContextual"/>
              </w:rPr>
              <w:t xml:space="preserve"> </w:t>
            </w:r>
            <w:r w:rsidRPr="00154588">
              <w:rPr>
                <w:rFonts w:eastAsia="Calibri"/>
                <w:kern w:val="2"/>
                <w:sz w:val="20"/>
                <w:szCs w:val="20"/>
                <w14:ligatures w14:val="standardContextual"/>
              </w:rPr>
              <w:t xml:space="preserve">- </w:t>
            </w:r>
            <w:r w:rsidRPr="00154588">
              <w:rPr>
                <w:bCs/>
                <w:sz w:val="20"/>
                <w:szCs w:val="20"/>
              </w:rPr>
              <w:t xml:space="preserve">Banca Națională a Moldovei, în calitate de autoritate de rezoluție, poate impune instituției de credit sau entității menționate la </w:t>
            </w:r>
            <w:r w:rsidR="0096005B" w:rsidRPr="00154588">
              <w:rPr>
                <w:bCs/>
                <w:sz w:val="20"/>
                <w:szCs w:val="20"/>
              </w:rPr>
              <w:t>art.1 alin.(1) lit.b), c) sau d)</w:t>
            </w:r>
            <w:r w:rsidRPr="00154588">
              <w:rPr>
                <w:bCs/>
                <w:sz w:val="20"/>
                <w:szCs w:val="20"/>
              </w:rPr>
              <w:t>, să instituie mecanismele necesare, inclusiv o platformă digitală, pentru schimbul de informații cu cumpărătorii potențiali sau cu consultanții și evaluatorii angajați de autoritatea de rezoluție. Atunci când autoritatea de rezoluție exercită această competență, se aplică art</w:t>
            </w:r>
            <w:r w:rsidR="00FA0B2B" w:rsidRPr="00154588">
              <w:rPr>
                <w:bCs/>
                <w:sz w:val="20"/>
                <w:szCs w:val="20"/>
              </w:rPr>
              <w:t>.2</w:t>
            </w:r>
            <w:r w:rsidRPr="00154588">
              <w:rPr>
                <w:bCs/>
                <w:sz w:val="20"/>
                <w:szCs w:val="20"/>
              </w:rPr>
              <w:t>8</w:t>
            </w:r>
            <w:r w:rsidR="00FA0B2B" w:rsidRPr="00154588">
              <w:rPr>
                <w:bCs/>
                <w:sz w:val="20"/>
                <w:szCs w:val="20"/>
              </w:rPr>
              <w:t>8</w:t>
            </w:r>
            <w:r w:rsidRPr="00154588">
              <w:rPr>
                <w:bCs/>
                <w:sz w:val="20"/>
                <w:szCs w:val="20"/>
              </w:rPr>
              <w:t xml:space="preserve"> lit</w:t>
            </w:r>
            <w:r w:rsidR="00FA0B2B" w:rsidRPr="00154588">
              <w:rPr>
                <w:bCs/>
                <w:sz w:val="20"/>
                <w:szCs w:val="20"/>
              </w:rPr>
              <w:t>d</w:t>
            </w:r>
            <w:r w:rsidRPr="00154588">
              <w:rPr>
                <w:bCs/>
                <w:sz w:val="20"/>
                <w:szCs w:val="20"/>
              </w:rPr>
              <w:t xml:space="preserve">) și </w:t>
            </w:r>
            <w:r w:rsidR="00FA0B2B" w:rsidRPr="00154588">
              <w:rPr>
                <w:bCs/>
                <w:sz w:val="20"/>
                <w:szCs w:val="20"/>
              </w:rPr>
              <w:t>e</w:t>
            </w:r>
            <w:r w:rsidRPr="00154588">
              <w:rPr>
                <w:bCs/>
                <w:sz w:val="20"/>
                <w:szCs w:val="20"/>
              </w:rPr>
              <w:t>).</w:t>
            </w:r>
          </w:p>
          <w:p w14:paraId="6F32E952" w14:textId="6DDB8F25" w:rsidR="002000E3" w:rsidRPr="00154588" w:rsidRDefault="002000E3" w:rsidP="008C12B4">
            <w:pPr>
              <w:ind w:firstLine="504"/>
              <w:jc w:val="both"/>
              <w:rPr>
                <w:rFonts w:eastAsia="Calibri"/>
                <w:kern w:val="2"/>
                <w:sz w:val="20"/>
                <w:szCs w:val="20"/>
                <w14:ligatures w14:val="standardContextual"/>
              </w:rPr>
            </w:pPr>
          </w:p>
        </w:tc>
        <w:tc>
          <w:tcPr>
            <w:tcW w:w="2552" w:type="dxa"/>
          </w:tcPr>
          <w:p w14:paraId="0F2DEB66" w14:textId="5313455C" w:rsidR="002000E3" w:rsidRPr="00154588" w:rsidRDefault="0088106A" w:rsidP="008C12B4">
            <w:pPr>
              <w:jc w:val="both"/>
              <w:rPr>
                <w:bCs/>
                <w:sz w:val="20"/>
                <w:szCs w:val="20"/>
              </w:rPr>
            </w:pPr>
            <w:r w:rsidRPr="00154588">
              <w:rPr>
                <w:bCs/>
                <w:sz w:val="20"/>
                <w:szCs w:val="20"/>
              </w:rPr>
              <w:t>Compatibil</w:t>
            </w:r>
          </w:p>
        </w:tc>
        <w:tc>
          <w:tcPr>
            <w:tcW w:w="3118" w:type="dxa"/>
          </w:tcPr>
          <w:p w14:paraId="6FAC5E3A" w14:textId="77777777" w:rsidR="002000E3" w:rsidRPr="00154588" w:rsidRDefault="002000E3" w:rsidP="008C12B4">
            <w:pPr>
              <w:jc w:val="both"/>
              <w:rPr>
                <w:bCs/>
                <w:sz w:val="20"/>
                <w:szCs w:val="20"/>
              </w:rPr>
            </w:pPr>
          </w:p>
        </w:tc>
      </w:tr>
      <w:tr w:rsidR="002000E3" w:rsidRPr="00154588" w14:paraId="5EFD2660" w14:textId="77777777" w:rsidTr="00D15C1B">
        <w:trPr>
          <w:jc w:val="center"/>
        </w:trPr>
        <w:tc>
          <w:tcPr>
            <w:tcW w:w="4957" w:type="dxa"/>
            <w:gridSpan w:val="2"/>
          </w:tcPr>
          <w:p w14:paraId="36067551" w14:textId="5F8BC82B" w:rsidR="002000E3" w:rsidRPr="00154588" w:rsidRDefault="0045723A" w:rsidP="008C12B4">
            <w:pPr>
              <w:jc w:val="both"/>
              <w:rPr>
                <w:bCs/>
                <w:sz w:val="20"/>
                <w:szCs w:val="20"/>
              </w:rPr>
            </w:pPr>
            <w:r w:rsidRPr="00154588">
              <w:rPr>
                <w:bCs/>
                <w:sz w:val="20"/>
                <w:szCs w:val="20"/>
              </w:rPr>
              <w:lastRenderedPageBreak/>
              <w:t>(6) Notificarea prealabilă de către autoritatea competentă în conformitate cu alineatul (1) primul paragraf de la prezentul articol nu constituie o condiție obligatorie pentru pregătirea rezoluției instituției sau a entității menționate la articolul 1 alineatul (1) litera (b), (c) sau (d) ori exercitarea competențelor menționate la alineatele (3), (4) și (5) de la prezentul articol de către autoritățile de rezoluție.</w:t>
            </w:r>
          </w:p>
        </w:tc>
        <w:tc>
          <w:tcPr>
            <w:tcW w:w="4819" w:type="dxa"/>
          </w:tcPr>
          <w:p w14:paraId="30CF7F8A" w14:textId="09FCA01B" w:rsidR="002000E3" w:rsidRPr="00154588" w:rsidRDefault="00FA0B2B" w:rsidP="008C12B4">
            <w:pPr>
              <w:ind w:firstLine="504"/>
              <w:jc w:val="both"/>
              <w:rPr>
                <w:rFonts w:eastAsia="Calibri"/>
                <w:b/>
                <w:bCs/>
                <w:kern w:val="2"/>
                <w:sz w:val="20"/>
                <w:szCs w:val="20"/>
                <w14:ligatures w14:val="standardContextual"/>
              </w:rPr>
            </w:pPr>
            <w:r w:rsidRPr="00154588">
              <w:rPr>
                <w:rFonts w:eastAsia="Calibri"/>
                <w:b/>
                <w:bCs/>
                <w:kern w:val="2"/>
                <w:sz w:val="20"/>
                <w:szCs w:val="20"/>
                <w14:ligatures w14:val="standardContextual"/>
              </w:rPr>
              <w:t>Articolul 54</w:t>
            </w:r>
            <w:r w:rsidR="00727956" w:rsidRPr="00154588">
              <w:rPr>
                <w:rFonts w:eastAsia="Calibri"/>
                <w:b/>
                <w:bCs/>
                <w:kern w:val="2"/>
                <w:sz w:val="20"/>
                <w:szCs w:val="20"/>
                <w:vertAlign w:val="superscript"/>
                <w14:ligatures w14:val="standardContextual"/>
              </w:rPr>
              <w:t>20</w:t>
            </w:r>
            <w:r w:rsidR="004C3014" w:rsidRPr="00154588">
              <w:rPr>
                <w:rFonts w:eastAsia="Calibri"/>
                <w:b/>
                <w:bCs/>
                <w:kern w:val="2"/>
                <w:sz w:val="20"/>
                <w:szCs w:val="20"/>
                <w14:ligatures w14:val="standardContextual"/>
              </w:rPr>
              <w:t>.</w:t>
            </w:r>
            <w:r w:rsidRPr="00154588">
              <w:rPr>
                <w:rFonts w:eastAsia="Calibri"/>
                <w:b/>
                <w:bCs/>
                <w:kern w:val="2"/>
                <w:sz w:val="20"/>
                <w:szCs w:val="20"/>
                <w:vertAlign w:val="superscript"/>
                <w14:ligatures w14:val="standardContextual"/>
              </w:rPr>
              <w:t xml:space="preserve"> </w:t>
            </w:r>
            <w:r w:rsidR="00727956" w:rsidRPr="00154588">
              <w:rPr>
                <w:rFonts w:eastAsia="Calibri"/>
                <w:kern w:val="2"/>
                <w:sz w:val="20"/>
                <w:szCs w:val="20"/>
                <w14:ligatures w14:val="standardContextual"/>
              </w:rPr>
              <w:t>–</w:t>
            </w:r>
            <w:r w:rsidRPr="00154588">
              <w:rPr>
                <w:rFonts w:eastAsia="Calibri"/>
                <w:kern w:val="2"/>
                <w:sz w:val="20"/>
                <w:szCs w:val="20"/>
                <w14:ligatures w14:val="standardContextual"/>
              </w:rPr>
              <w:t xml:space="preserve"> </w:t>
            </w:r>
            <w:r w:rsidR="00727956" w:rsidRPr="00154588">
              <w:rPr>
                <w:rFonts w:eastAsia="Calibri"/>
                <w:kern w:val="2"/>
                <w:sz w:val="20"/>
                <w:szCs w:val="20"/>
                <w14:ligatures w14:val="standardContextual"/>
              </w:rPr>
              <w:t>(</w:t>
            </w:r>
            <w:r w:rsidR="005237BE" w:rsidRPr="00154588">
              <w:rPr>
                <w:rFonts w:eastAsia="Calibri"/>
                <w:kern w:val="2"/>
                <w:sz w:val="20"/>
                <w:szCs w:val="20"/>
                <w14:ligatures w14:val="standardContextual"/>
              </w:rPr>
              <w:t>1</w:t>
            </w:r>
            <w:r w:rsidR="00727956" w:rsidRPr="00154588">
              <w:rPr>
                <w:rFonts w:eastAsia="Calibri"/>
                <w:kern w:val="2"/>
                <w:sz w:val="20"/>
                <w:szCs w:val="20"/>
                <w14:ligatures w14:val="standardContextual"/>
              </w:rPr>
              <w:t>)</w:t>
            </w:r>
            <w:r w:rsidRPr="00154588">
              <w:rPr>
                <w:bCs/>
                <w:sz w:val="20"/>
                <w:szCs w:val="20"/>
              </w:rPr>
              <w:t xml:space="preserve">Notificarea prealabilă de către Banca Națională a Moldovei, </w:t>
            </w:r>
            <w:r w:rsidR="00727956" w:rsidRPr="00154588">
              <w:rPr>
                <w:bCs/>
                <w:sz w:val="20"/>
                <w:szCs w:val="20"/>
              </w:rPr>
              <w:t>î</w:t>
            </w:r>
            <w:r w:rsidRPr="00154588">
              <w:rPr>
                <w:bCs/>
                <w:sz w:val="20"/>
                <w:szCs w:val="20"/>
              </w:rPr>
              <w:t>n calitate de autoritate competentă, menționată la art.54</w:t>
            </w:r>
            <w:r w:rsidRPr="00154588">
              <w:rPr>
                <w:bCs/>
                <w:sz w:val="20"/>
                <w:szCs w:val="20"/>
                <w:vertAlign w:val="superscript"/>
              </w:rPr>
              <w:t>16</w:t>
            </w:r>
            <w:r w:rsidRPr="00154588">
              <w:rPr>
                <w:bCs/>
                <w:sz w:val="20"/>
                <w:szCs w:val="20"/>
              </w:rPr>
              <w:t xml:space="preserve"> alin.(3)</w:t>
            </w:r>
            <w:r w:rsidR="00727956" w:rsidRPr="00154588">
              <w:rPr>
                <w:bCs/>
                <w:sz w:val="20"/>
                <w:szCs w:val="20"/>
              </w:rPr>
              <w:t xml:space="preserve"> nu constituie o condiție obligatorie pentru pregătirea rezoluției instituției de credit sau a entității menționate la </w:t>
            </w:r>
            <w:r w:rsidR="0096005B" w:rsidRPr="00154588">
              <w:rPr>
                <w:bCs/>
                <w:sz w:val="20"/>
                <w:szCs w:val="20"/>
              </w:rPr>
              <w:t>art.1 alin.(1) lit.b), c) sau d)</w:t>
            </w:r>
            <w:r w:rsidR="00727956" w:rsidRPr="00154588">
              <w:rPr>
                <w:bCs/>
                <w:sz w:val="20"/>
                <w:szCs w:val="20"/>
              </w:rPr>
              <w:t xml:space="preserve"> ori exercitarea competențelor menționate la art.54</w:t>
            </w:r>
            <w:r w:rsidR="00727956" w:rsidRPr="00154588">
              <w:rPr>
                <w:bCs/>
                <w:sz w:val="20"/>
                <w:szCs w:val="20"/>
                <w:vertAlign w:val="superscript"/>
              </w:rPr>
              <w:t>17</w:t>
            </w:r>
            <w:r w:rsidR="00727956" w:rsidRPr="00154588">
              <w:rPr>
                <w:bCs/>
                <w:sz w:val="20"/>
                <w:szCs w:val="20"/>
              </w:rPr>
              <w:t xml:space="preserve"> - 54</w:t>
            </w:r>
            <w:r w:rsidR="00727956" w:rsidRPr="00154588">
              <w:rPr>
                <w:bCs/>
                <w:sz w:val="20"/>
                <w:szCs w:val="20"/>
                <w:vertAlign w:val="superscript"/>
              </w:rPr>
              <w:t>19</w:t>
            </w:r>
            <w:r w:rsidR="00727956" w:rsidRPr="00154588">
              <w:rPr>
                <w:bCs/>
                <w:sz w:val="20"/>
                <w:szCs w:val="20"/>
              </w:rPr>
              <w:t xml:space="preserve"> de către Banca Națională a Moldovei,în calitate de  autoritate de rezoluție.</w:t>
            </w:r>
          </w:p>
        </w:tc>
        <w:tc>
          <w:tcPr>
            <w:tcW w:w="2552" w:type="dxa"/>
          </w:tcPr>
          <w:p w14:paraId="235CA62E" w14:textId="5DD97BDA" w:rsidR="002000E3" w:rsidRPr="00154588" w:rsidRDefault="0088106A" w:rsidP="008C12B4">
            <w:pPr>
              <w:jc w:val="both"/>
              <w:rPr>
                <w:bCs/>
                <w:sz w:val="20"/>
                <w:szCs w:val="20"/>
              </w:rPr>
            </w:pPr>
            <w:r w:rsidRPr="00154588">
              <w:rPr>
                <w:bCs/>
                <w:sz w:val="20"/>
                <w:szCs w:val="20"/>
              </w:rPr>
              <w:t>Compatibil</w:t>
            </w:r>
          </w:p>
        </w:tc>
        <w:tc>
          <w:tcPr>
            <w:tcW w:w="3118" w:type="dxa"/>
          </w:tcPr>
          <w:p w14:paraId="345FEC68" w14:textId="77777777" w:rsidR="002000E3" w:rsidRPr="00154588" w:rsidRDefault="002000E3" w:rsidP="008C12B4">
            <w:pPr>
              <w:jc w:val="both"/>
              <w:rPr>
                <w:bCs/>
                <w:sz w:val="20"/>
                <w:szCs w:val="20"/>
              </w:rPr>
            </w:pPr>
          </w:p>
        </w:tc>
      </w:tr>
      <w:tr w:rsidR="002000E3" w:rsidRPr="00154588" w14:paraId="18BEE402" w14:textId="77777777" w:rsidTr="00D15C1B">
        <w:trPr>
          <w:jc w:val="center"/>
        </w:trPr>
        <w:tc>
          <w:tcPr>
            <w:tcW w:w="4957" w:type="dxa"/>
            <w:gridSpan w:val="2"/>
          </w:tcPr>
          <w:p w14:paraId="2AE6F9D7" w14:textId="1236CC34" w:rsidR="002000E3" w:rsidRPr="00154588" w:rsidRDefault="0045723A" w:rsidP="008C12B4">
            <w:pPr>
              <w:jc w:val="both"/>
              <w:rPr>
                <w:bCs/>
                <w:sz w:val="20"/>
                <w:szCs w:val="20"/>
              </w:rPr>
            </w:pPr>
            <w:r w:rsidRPr="00154588">
              <w:rPr>
                <w:bCs/>
                <w:sz w:val="20"/>
                <w:szCs w:val="20"/>
              </w:rPr>
              <w:t>(7) Autoritățile de rezoluție informează fără întârziere autoritățile competente cu privire la toate măsurile luate în temeiul alineatelor (3), (4) și (5).</w:t>
            </w:r>
          </w:p>
        </w:tc>
        <w:tc>
          <w:tcPr>
            <w:tcW w:w="4819" w:type="dxa"/>
          </w:tcPr>
          <w:p w14:paraId="7A0B7170" w14:textId="1EB874AF" w:rsidR="002000E3" w:rsidRPr="00154588" w:rsidRDefault="00727956" w:rsidP="008C12B4">
            <w:pPr>
              <w:ind w:firstLine="504"/>
              <w:jc w:val="both"/>
              <w:rPr>
                <w:rFonts w:eastAsia="Calibri"/>
                <w:kern w:val="2"/>
                <w:sz w:val="20"/>
                <w:szCs w:val="20"/>
                <w14:ligatures w14:val="standardContextual"/>
              </w:rPr>
            </w:pPr>
            <w:r w:rsidRPr="00154588">
              <w:rPr>
                <w:rFonts w:eastAsia="Calibri"/>
                <w:kern w:val="2"/>
                <w:sz w:val="20"/>
                <w:szCs w:val="20"/>
                <w14:ligatures w14:val="standardContextual"/>
              </w:rPr>
              <w:t>(2)</w:t>
            </w:r>
            <w:r w:rsidRPr="00154588">
              <w:rPr>
                <w:bCs/>
                <w:sz w:val="20"/>
                <w:szCs w:val="20"/>
              </w:rPr>
              <w:t xml:space="preserve"> Banca Națională a Moldovei,în calitate de  autoritate de rezoluție informează fără întârziere autoritătatea competentă cu privire la toate măsurile luate în temeiul art.54</w:t>
            </w:r>
            <w:r w:rsidRPr="00154588">
              <w:rPr>
                <w:bCs/>
                <w:sz w:val="20"/>
                <w:szCs w:val="20"/>
                <w:vertAlign w:val="superscript"/>
              </w:rPr>
              <w:t>17</w:t>
            </w:r>
            <w:r w:rsidRPr="00154588">
              <w:rPr>
                <w:bCs/>
                <w:sz w:val="20"/>
                <w:szCs w:val="20"/>
              </w:rPr>
              <w:t xml:space="preserve"> - 54</w:t>
            </w:r>
            <w:r w:rsidRPr="00154588">
              <w:rPr>
                <w:bCs/>
                <w:sz w:val="20"/>
                <w:szCs w:val="20"/>
                <w:vertAlign w:val="superscript"/>
              </w:rPr>
              <w:t>19</w:t>
            </w:r>
            <w:r w:rsidRPr="00154588">
              <w:rPr>
                <w:bCs/>
                <w:sz w:val="20"/>
                <w:szCs w:val="20"/>
              </w:rPr>
              <w:t>.</w:t>
            </w:r>
          </w:p>
        </w:tc>
        <w:tc>
          <w:tcPr>
            <w:tcW w:w="2552" w:type="dxa"/>
          </w:tcPr>
          <w:p w14:paraId="240BC8B4" w14:textId="044BC817" w:rsidR="002000E3" w:rsidRPr="00154588" w:rsidRDefault="0088106A" w:rsidP="008C12B4">
            <w:pPr>
              <w:jc w:val="both"/>
              <w:rPr>
                <w:bCs/>
                <w:sz w:val="20"/>
                <w:szCs w:val="20"/>
              </w:rPr>
            </w:pPr>
            <w:r w:rsidRPr="00154588">
              <w:rPr>
                <w:bCs/>
                <w:sz w:val="20"/>
                <w:szCs w:val="20"/>
              </w:rPr>
              <w:t>Compatibil</w:t>
            </w:r>
          </w:p>
        </w:tc>
        <w:tc>
          <w:tcPr>
            <w:tcW w:w="3118" w:type="dxa"/>
          </w:tcPr>
          <w:p w14:paraId="731F7455" w14:textId="77777777" w:rsidR="002000E3" w:rsidRPr="00154588" w:rsidRDefault="002000E3" w:rsidP="008C12B4">
            <w:pPr>
              <w:jc w:val="both"/>
              <w:rPr>
                <w:bCs/>
                <w:sz w:val="20"/>
                <w:szCs w:val="20"/>
              </w:rPr>
            </w:pPr>
          </w:p>
        </w:tc>
      </w:tr>
      <w:tr w:rsidR="002000E3" w:rsidRPr="00154588" w14:paraId="2AC81244" w14:textId="77777777" w:rsidTr="00D15C1B">
        <w:trPr>
          <w:jc w:val="center"/>
        </w:trPr>
        <w:tc>
          <w:tcPr>
            <w:tcW w:w="4957" w:type="dxa"/>
            <w:gridSpan w:val="2"/>
          </w:tcPr>
          <w:p w14:paraId="1C4B9CC5" w14:textId="77777777" w:rsidR="0045723A" w:rsidRPr="00154588" w:rsidRDefault="0045723A" w:rsidP="008C12B4">
            <w:pPr>
              <w:jc w:val="both"/>
              <w:rPr>
                <w:bCs/>
                <w:sz w:val="20"/>
                <w:szCs w:val="20"/>
              </w:rPr>
            </w:pPr>
            <w:r w:rsidRPr="00154588">
              <w:rPr>
                <w:bCs/>
                <w:sz w:val="20"/>
                <w:szCs w:val="20"/>
              </w:rPr>
              <w:t xml:space="preserve">(8) Statele membre se asigură că autoritățile competente și autoritățile de rezoluție cooperează îndeaproape în următoarele situații: </w:t>
            </w:r>
          </w:p>
          <w:p w14:paraId="3E2FCF35" w14:textId="77777777" w:rsidR="0045723A" w:rsidRPr="00154588" w:rsidRDefault="0045723A" w:rsidP="008C12B4">
            <w:pPr>
              <w:jc w:val="both"/>
              <w:rPr>
                <w:bCs/>
                <w:sz w:val="20"/>
                <w:szCs w:val="20"/>
              </w:rPr>
            </w:pPr>
          </w:p>
          <w:p w14:paraId="2AD63167" w14:textId="0A60C9F1" w:rsidR="0045723A" w:rsidRPr="00154588" w:rsidRDefault="0045723A" w:rsidP="008C12B4">
            <w:pPr>
              <w:jc w:val="both"/>
              <w:rPr>
                <w:bCs/>
                <w:sz w:val="20"/>
                <w:szCs w:val="20"/>
              </w:rPr>
            </w:pPr>
            <w:r w:rsidRPr="00154588">
              <w:rPr>
                <w:bCs/>
                <w:sz w:val="20"/>
                <w:szCs w:val="20"/>
              </w:rPr>
              <w:t xml:space="preserve">(a) atunci când intenționează să ia măsurile menționate la alineatul (1) primul paragraf litera (a) de la prezentul articol, care vizează remedierea unei deteriorări a situației unei instituții sau a unei entități menționate la articolul 1 alineatul (1) litera (b), (c) sau (d), precum și măsurile menționate la alineatul (1) primul paragraf litera (c) de la prezentul articol; </w:t>
            </w:r>
          </w:p>
          <w:p w14:paraId="083E7CC8" w14:textId="77777777" w:rsidR="0045723A" w:rsidRPr="00154588" w:rsidRDefault="0045723A" w:rsidP="008C12B4">
            <w:pPr>
              <w:jc w:val="both"/>
              <w:rPr>
                <w:bCs/>
                <w:sz w:val="20"/>
                <w:szCs w:val="20"/>
              </w:rPr>
            </w:pPr>
          </w:p>
          <w:p w14:paraId="712E0C88" w14:textId="77777777" w:rsidR="002000E3" w:rsidRPr="00154588" w:rsidRDefault="0045723A" w:rsidP="008C12B4">
            <w:pPr>
              <w:jc w:val="both"/>
              <w:rPr>
                <w:bCs/>
                <w:sz w:val="20"/>
                <w:szCs w:val="20"/>
              </w:rPr>
            </w:pPr>
            <w:r w:rsidRPr="00154588">
              <w:rPr>
                <w:bCs/>
                <w:sz w:val="20"/>
                <w:szCs w:val="20"/>
              </w:rPr>
              <w:t>(b) atunci când intenționează să întreprindă oricare dintre acțiunile menționate la alineatele (3), (4) și (5);</w:t>
            </w:r>
          </w:p>
          <w:p w14:paraId="6DBED71C" w14:textId="77777777" w:rsidR="0045723A" w:rsidRPr="00154588" w:rsidRDefault="0045723A" w:rsidP="008C12B4">
            <w:pPr>
              <w:jc w:val="both"/>
              <w:rPr>
                <w:bCs/>
                <w:sz w:val="20"/>
                <w:szCs w:val="20"/>
              </w:rPr>
            </w:pPr>
          </w:p>
          <w:p w14:paraId="20099B85" w14:textId="77777777" w:rsidR="0045723A" w:rsidRPr="00154588" w:rsidRDefault="0045723A" w:rsidP="008C12B4">
            <w:pPr>
              <w:jc w:val="both"/>
              <w:rPr>
                <w:bCs/>
                <w:sz w:val="20"/>
                <w:szCs w:val="20"/>
              </w:rPr>
            </w:pPr>
            <w:r w:rsidRPr="00154588">
              <w:rPr>
                <w:bCs/>
                <w:sz w:val="20"/>
                <w:szCs w:val="20"/>
              </w:rPr>
              <w:t xml:space="preserve">(c) pe parcursul punerii în aplicare a acțiunilor menționate la literele (a) și (b) de la prezentul paragraf. </w:t>
            </w:r>
          </w:p>
          <w:p w14:paraId="77DB6BA6" w14:textId="77777777" w:rsidR="0045723A" w:rsidRPr="00154588" w:rsidRDefault="0045723A" w:rsidP="008C12B4">
            <w:pPr>
              <w:jc w:val="both"/>
              <w:rPr>
                <w:bCs/>
                <w:sz w:val="20"/>
                <w:szCs w:val="20"/>
              </w:rPr>
            </w:pPr>
          </w:p>
          <w:p w14:paraId="1DF8F32A" w14:textId="1BAA85CB" w:rsidR="0045723A" w:rsidRPr="00154588" w:rsidRDefault="0045723A" w:rsidP="008C12B4">
            <w:pPr>
              <w:jc w:val="both"/>
              <w:rPr>
                <w:bCs/>
                <w:sz w:val="20"/>
                <w:szCs w:val="20"/>
              </w:rPr>
            </w:pPr>
            <w:r w:rsidRPr="00154588">
              <w:rPr>
                <w:bCs/>
                <w:sz w:val="20"/>
                <w:szCs w:val="20"/>
              </w:rPr>
              <w:t>Autoritățile competente și autoritățile de rezoluție se asigură că măsurile și acțiunile respective sunt consecvente, coordonate și eficace.”</w:t>
            </w:r>
          </w:p>
        </w:tc>
        <w:tc>
          <w:tcPr>
            <w:tcW w:w="4819" w:type="dxa"/>
          </w:tcPr>
          <w:p w14:paraId="22151F76" w14:textId="68D321B1" w:rsidR="002000E3" w:rsidRPr="00154588" w:rsidRDefault="00727956" w:rsidP="008C12B4">
            <w:pPr>
              <w:ind w:firstLine="504"/>
              <w:jc w:val="both"/>
              <w:rPr>
                <w:bCs/>
                <w:sz w:val="20"/>
                <w:szCs w:val="20"/>
              </w:rPr>
            </w:pPr>
            <w:r w:rsidRPr="00154588">
              <w:rPr>
                <w:rFonts w:eastAsia="Calibri"/>
                <w:b/>
                <w:bCs/>
                <w:kern w:val="2"/>
                <w:sz w:val="20"/>
                <w:szCs w:val="20"/>
                <w14:ligatures w14:val="standardContextual"/>
              </w:rPr>
              <w:t>Articolul 54</w:t>
            </w:r>
            <w:r w:rsidRPr="00154588">
              <w:rPr>
                <w:rFonts w:eastAsia="Calibri"/>
                <w:b/>
                <w:bCs/>
                <w:kern w:val="2"/>
                <w:sz w:val="20"/>
                <w:szCs w:val="20"/>
                <w:vertAlign w:val="superscript"/>
                <w14:ligatures w14:val="standardContextual"/>
              </w:rPr>
              <w:t>21</w:t>
            </w:r>
            <w:r w:rsidR="000A26AE" w:rsidRPr="00154588">
              <w:rPr>
                <w:rFonts w:eastAsia="Calibri"/>
                <w:b/>
                <w:bCs/>
                <w:kern w:val="2"/>
                <w:sz w:val="20"/>
                <w:szCs w:val="20"/>
                <w14:ligatures w14:val="standardContextual"/>
              </w:rPr>
              <w:t>.</w:t>
            </w:r>
            <w:r w:rsidRPr="00154588">
              <w:rPr>
                <w:rFonts w:eastAsia="Calibri"/>
                <w:kern w:val="2"/>
                <w:sz w:val="20"/>
                <w:szCs w:val="20"/>
                <w14:ligatures w14:val="standardContextual"/>
              </w:rPr>
              <w:t xml:space="preserve">- </w:t>
            </w:r>
            <w:r w:rsidR="00125AE2" w:rsidRPr="00154588">
              <w:rPr>
                <w:rFonts w:eastAsia="Calibri"/>
                <w:kern w:val="2"/>
                <w:sz w:val="20"/>
                <w:szCs w:val="20"/>
                <w14:ligatures w14:val="standardContextual"/>
              </w:rPr>
              <w:t>(1)</w:t>
            </w:r>
            <w:r w:rsidRPr="00154588">
              <w:rPr>
                <w:rFonts w:eastAsia="Calibri"/>
                <w:kern w:val="2"/>
                <w:sz w:val="20"/>
                <w:szCs w:val="20"/>
                <w14:ligatures w14:val="standardContextual"/>
              </w:rPr>
              <w:t xml:space="preserve">Banca Națională a Moldovei </w:t>
            </w:r>
            <w:r w:rsidR="002E7046" w:rsidRPr="00154588">
              <w:rPr>
                <w:rFonts w:eastAsia="Calibri"/>
                <w:kern w:val="2"/>
                <w:sz w:val="20"/>
                <w:szCs w:val="20"/>
                <w14:ligatures w14:val="standardContextual"/>
              </w:rPr>
              <w:t>în calitate de autoritate competentă</w:t>
            </w:r>
            <w:r w:rsidRPr="00154588">
              <w:rPr>
                <w:rFonts w:eastAsia="Calibri"/>
                <w:kern w:val="2"/>
                <w:sz w:val="20"/>
                <w:szCs w:val="20"/>
                <w14:ligatures w14:val="standardContextual"/>
              </w:rPr>
              <w:t xml:space="preserve"> și </w:t>
            </w:r>
            <w:r w:rsidR="002E7046" w:rsidRPr="00154588">
              <w:rPr>
                <w:rFonts w:eastAsia="Calibri"/>
                <w:kern w:val="2"/>
                <w:sz w:val="20"/>
                <w:szCs w:val="20"/>
                <w14:ligatures w14:val="standardContextual"/>
              </w:rPr>
              <w:t>autoritate de rezolutie</w:t>
            </w:r>
            <w:r w:rsidRPr="00154588">
              <w:rPr>
                <w:rFonts w:eastAsia="Calibri"/>
                <w:kern w:val="2"/>
                <w:sz w:val="20"/>
                <w:szCs w:val="20"/>
                <w14:ligatures w14:val="standardContextual"/>
              </w:rPr>
              <w:t xml:space="preserve"> </w:t>
            </w:r>
            <w:r w:rsidRPr="00154588">
              <w:rPr>
                <w:bCs/>
                <w:sz w:val="20"/>
                <w:szCs w:val="20"/>
              </w:rPr>
              <w:t>cooperează îndeaproape în următoarele situații:</w:t>
            </w:r>
          </w:p>
          <w:p w14:paraId="2ECB28AA" w14:textId="0F5FDBB1" w:rsidR="00125AE2" w:rsidRPr="00154588" w:rsidRDefault="00727956" w:rsidP="008C12B4">
            <w:pPr>
              <w:ind w:firstLine="504"/>
              <w:jc w:val="both"/>
              <w:rPr>
                <w:bCs/>
                <w:sz w:val="20"/>
                <w:szCs w:val="20"/>
              </w:rPr>
            </w:pPr>
            <w:r w:rsidRPr="00154588">
              <w:rPr>
                <w:bCs/>
                <w:sz w:val="20"/>
                <w:szCs w:val="20"/>
              </w:rPr>
              <w:t xml:space="preserve">a) atunci când intenționează să ia măsurile menționate la </w:t>
            </w:r>
            <w:r w:rsidR="00125AE2" w:rsidRPr="00154588">
              <w:rPr>
                <w:bCs/>
                <w:sz w:val="20"/>
                <w:szCs w:val="20"/>
              </w:rPr>
              <w:t>art.54</w:t>
            </w:r>
            <w:r w:rsidR="00125AE2" w:rsidRPr="00154588">
              <w:rPr>
                <w:bCs/>
                <w:sz w:val="20"/>
                <w:szCs w:val="20"/>
                <w:vertAlign w:val="superscript"/>
              </w:rPr>
              <w:t>16</w:t>
            </w:r>
            <w:r w:rsidR="00125AE2" w:rsidRPr="00154588">
              <w:rPr>
                <w:bCs/>
                <w:sz w:val="20"/>
                <w:szCs w:val="20"/>
              </w:rPr>
              <w:t xml:space="preserve"> alin.(1) lit.</w:t>
            </w:r>
            <w:r w:rsidRPr="00154588">
              <w:rPr>
                <w:bCs/>
                <w:sz w:val="20"/>
                <w:szCs w:val="20"/>
              </w:rPr>
              <w:t xml:space="preserve">a), care vizează remedierea unei deteriorări a situației unei instituții </w:t>
            </w:r>
            <w:r w:rsidR="00125AE2" w:rsidRPr="00154588">
              <w:rPr>
                <w:bCs/>
                <w:sz w:val="20"/>
                <w:szCs w:val="20"/>
              </w:rPr>
              <w:t xml:space="preserve">de credit </w:t>
            </w:r>
            <w:r w:rsidRPr="00154588">
              <w:rPr>
                <w:bCs/>
                <w:sz w:val="20"/>
                <w:szCs w:val="20"/>
              </w:rPr>
              <w:t xml:space="preserve">sau a unei entități menționate la </w:t>
            </w:r>
            <w:r w:rsidR="0096005B" w:rsidRPr="00154588">
              <w:rPr>
                <w:bCs/>
                <w:sz w:val="20"/>
                <w:szCs w:val="20"/>
              </w:rPr>
              <w:t>art.1 alin.(1) lit.b), c) sau d)</w:t>
            </w:r>
            <w:r w:rsidRPr="00154588">
              <w:rPr>
                <w:bCs/>
                <w:sz w:val="20"/>
                <w:szCs w:val="20"/>
              </w:rPr>
              <w:t xml:space="preserve">, precum și măsurile menționate la </w:t>
            </w:r>
            <w:r w:rsidR="00125AE2" w:rsidRPr="00154588">
              <w:rPr>
                <w:bCs/>
                <w:sz w:val="20"/>
                <w:szCs w:val="20"/>
              </w:rPr>
              <w:t>art. 54</w:t>
            </w:r>
            <w:r w:rsidR="00125AE2" w:rsidRPr="00154588">
              <w:rPr>
                <w:bCs/>
                <w:sz w:val="20"/>
                <w:szCs w:val="20"/>
                <w:vertAlign w:val="superscript"/>
              </w:rPr>
              <w:t>16</w:t>
            </w:r>
            <w:r w:rsidR="00125AE2" w:rsidRPr="00154588">
              <w:rPr>
                <w:bCs/>
                <w:sz w:val="20"/>
                <w:szCs w:val="20"/>
              </w:rPr>
              <w:t xml:space="preserve"> alin.(1) lit.c).</w:t>
            </w:r>
          </w:p>
          <w:p w14:paraId="734A7116" w14:textId="52F8D333" w:rsidR="00727956" w:rsidRPr="00154588" w:rsidRDefault="00125AE2" w:rsidP="008C12B4">
            <w:pPr>
              <w:ind w:firstLine="504"/>
              <w:jc w:val="both"/>
              <w:rPr>
                <w:bCs/>
                <w:sz w:val="20"/>
                <w:szCs w:val="20"/>
              </w:rPr>
            </w:pPr>
            <w:r w:rsidRPr="00154588">
              <w:rPr>
                <w:bCs/>
                <w:sz w:val="20"/>
                <w:szCs w:val="20"/>
              </w:rPr>
              <w:t xml:space="preserve"> </w:t>
            </w:r>
          </w:p>
          <w:p w14:paraId="09E14DA9" w14:textId="42B2825B" w:rsidR="00727956" w:rsidRPr="00154588" w:rsidRDefault="00727956" w:rsidP="008C12B4">
            <w:pPr>
              <w:ind w:firstLine="504"/>
              <w:jc w:val="both"/>
              <w:rPr>
                <w:bCs/>
                <w:sz w:val="20"/>
                <w:szCs w:val="20"/>
              </w:rPr>
            </w:pPr>
            <w:r w:rsidRPr="00154588">
              <w:rPr>
                <w:bCs/>
                <w:sz w:val="20"/>
                <w:szCs w:val="20"/>
              </w:rPr>
              <w:t xml:space="preserve">b) atunci când intenționează să întreprindă oricare dintre acțiunile menționate la </w:t>
            </w:r>
            <w:r w:rsidR="00125AE2" w:rsidRPr="00154588">
              <w:rPr>
                <w:bCs/>
                <w:sz w:val="20"/>
                <w:szCs w:val="20"/>
              </w:rPr>
              <w:t>art.54</w:t>
            </w:r>
            <w:r w:rsidR="00125AE2" w:rsidRPr="00154588">
              <w:rPr>
                <w:bCs/>
                <w:sz w:val="20"/>
                <w:szCs w:val="20"/>
                <w:vertAlign w:val="superscript"/>
              </w:rPr>
              <w:t>17</w:t>
            </w:r>
            <w:r w:rsidR="00125AE2" w:rsidRPr="00154588">
              <w:rPr>
                <w:bCs/>
                <w:sz w:val="20"/>
                <w:szCs w:val="20"/>
              </w:rPr>
              <w:t xml:space="preserve"> - 54</w:t>
            </w:r>
            <w:r w:rsidR="00125AE2" w:rsidRPr="00154588">
              <w:rPr>
                <w:bCs/>
                <w:sz w:val="20"/>
                <w:szCs w:val="20"/>
                <w:vertAlign w:val="superscript"/>
              </w:rPr>
              <w:t>19</w:t>
            </w:r>
            <w:r w:rsidRPr="00154588">
              <w:rPr>
                <w:bCs/>
                <w:sz w:val="20"/>
                <w:szCs w:val="20"/>
              </w:rPr>
              <w:t>;</w:t>
            </w:r>
          </w:p>
          <w:p w14:paraId="236CF8D4" w14:textId="77777777" w:rsidR="00727956" w:rsidRPr="00154588" w:rsidRDefault="00727956" w:rsidP="008C12B4">
            <w:pPr>
              <w:ind w:firstLine="504"/>
              <w:jc w:val="both"/>
              <w:rPr>
                <w:bCs/>
                <w:sz w:val="20"/>
                <w:szCs w:val="20"/>
              </w:rPr>
            </w:pPr>
          </w:p>
          <w:p w14:paraId="2692ABD8" w14:textId="381F09DF" w:rsidR="00727956" w:rsidRPr="00154588" w:rsidRDefault="00727956" w:rsidP="008C12B4">
            <w:pPr>
              <w:ind w:firstLine="504"/>
              <w:jc w:val="both"/>
              <w:rPr>
                <w:bCs/>
                <w:sz w:val="20"/>
                <w:szCs w:val="20"/>
              </w:rPr>
            </w:pPr>
            <w:r w:rsidRPr="00154588">
              <w:rPr>
                <w:bCs/>
                <w:sz w:val="20"/>
                <w:szCs w:val="20"/>
              </w:rPr>
              <w:t>(c) pe parcursul punerii în aplicare a acțiunilor menționate la lit</w:t>
            </w:r>
            <w:r w:rsidR="0096005B" w:rsidRPr="00154588">
              <w:rPr>
                <w:bCs/>
                <w:sz w:val="20"/>
                <w:szCs w:val="20"/>
              </w:rPr>
              <w:t>.</w:t>
            </w:r>
            <w:r w:rsidRPr="00154588">
              <w:rPr>
                <w:bCs/>
                <w:sz w:val="20"/>
                <w:szCs w:val="20"/>
              </w:rPr>
              <w:t xml:space="preserve">a) și b) de la prezentul </w:t>
            </w:r>
            <w:r w:rsidR="00125AE2" w:rsidRPr="00154588">
              <w:rPr>
                <w:bCs/>
                <w:sz w:val="20"/>
                <w:szCs w:val="20"/>
              </w:rPr>
              <w:t>alineat</w:t>
            </w:r>
            <w:r w:rsidRPr="00154588">
              <w:rPr>
                <w:bCs/>
                <w:sz w:val="20"/>
                <w:szCs w:val="20"/>
              </w:rPr>
              <w:t xml:space="preserve">. </w:t>
            </w:r>
          </w:p>
          <w:p w14:paraId="63D7343D" w14:textId="77777777" w:rsidR="00727956" w:rsidRPr="00154588" w:rsidRDefault="00727956" w:rsidP="008C12B4">
            <w:pPr>
              <w:ind w:firstLine="504"/>
              <w:jc w:val="both"/>
              <w:rPr>
                <w:bCs/>
                <w:sz w:val="20"/>
                <w:szCs w:val="20"/>
              </w:rPr>
            </w:pPr>
          </w:p>
          <w:p w14:paraId="72955B29" w14:textId="6A2360BA" w:rsidR="00727956" w:rsidRPr="00154588" w:rsidRDefault="00125AE2" w:rsidP="008C12B4">
            <w:pPr>
              <w:ind w:firstLine="504"/>
              <w:jc w:val="both"/>
              <w:rPr>
                <w:rFonts w:eastAsia="Calibri"/>
                <w:kern w:val="2"/>
                <w:sz w:val="20"/>
                <w:szCs w:val="20"/>
                <w14:ligatures w14:val="standardContextual"/>
              </w:rPr>
            </w:pPr>
            <w:r w:rsidRPr="00154588">
              <w:rPr>
                <w:bCs/>
                <w:sz w:val="20"/>
                <w:szCs w:val="20"/>
              </w:rPr>
              <w:t xml:space="preserve">2)Banca Națională a Moldovei, în calitate de autoritate competentă </w:t>
            </w:r>
            <w:r w:rsidR="00727956" w:rsidRPr="00154588">
              <w:rPr>
                <w:bCs/>
                <w:sz w:val="20"/>
                <w:szCs w:val="20"/>
              </w:rPr>
              <w:t>și</w:t>
            </w:r>
            <w:r w:rsidRPr="00154588">
              <w:rPr>
                <w:bCs/>
                <w:sz w:val="20"/>
                <w:szCs w:val="20"/>
              </w:rPr>
              <w:t xml:space="preserve"> în calitate de</w:t>
            </w:r>
            <w:r w:rsidR="00727956" w:rsidRPr="00154588">
              <w:rPr>
                <w:bCs/>
                <w:sz w:val="20"/>
                <w:szCs w:val="20"/>
              </w:rPr>
              <w:t xml:space="preserve"> autorit</w:t>
            </w:r>
            <w:r w:rsidRPr="00154588">
              <w:rPr>
                <w:bCs/>
                <w:sz w:val="20"/>
                <w:szCs w:val="20"/>
              </w:rPr>
              <w:t>ate</w:t>
            </w:r>
            <w:r w:rsidR="00727956" w:rsidRPr="00154588">
              <w:rPr>
                <w:bCs/>
                <w:sz w:val="20"/>
                <w:szCs w:val="20"/>
              </w:rPr>
              <w:t xml:space="preserve"> de rezoluție se asigură că măsurile și acțiunile </w:t>
            </w:r>
            <w:r w:rsidRPr="00154588">
              <w:rPr>
                <w:bCs/>
                <w:sz w:val="20"/>
                <w:szCs w:val="20"/>
              </w:rPr>
              <w:t>aplicate confrom prezentului capitol</w:t>
            </w:r>
            <w:r w:rsidR="00727956" w:rsidRPr="00154588">
              <w:rPr>
                <w:bCs/>
                <w:sz w:val="20"/>
                <w:szCs w:val="20"/>
              </w:rPr>
              <w:t xml:space="preserve"> sunt consecvente, coordonate și eficace.</w:t>
            </w:r>
          </w:p>
        </w:tc>
        <w:tc>
          <w:tcPr>
            <w:tcW w:w="2552" w:type="dxa"/>
          </w:tcPr>
          <w:p w14:paraId="66D729FB" w14:textId="483F0347" w:rsidR="002000E3" w:rsidRPr="00154588" w:rsidRDefault="0088106A" w:rsidP="008C12B4">
            <w:pPr>
              <w:jc w:val="both"/>
              <w:rPr>
                <w:bCs/>
                <w:sz w:val="20"/>
                <w:szCs w:val="20"/>
              </w:rPr>
            </w:pPr>
            <w:r w:rsidRPr="00154588">
              <w:rPr>
                <w:bCs/>
                <w:sz w:val="20"/>
                <w:szCs w:val="20"/>
              </w:rPr>
              <w:t>Compatibil</w:t>
            </w:r>
          </w:p>
        </w:tc>
        <w:tc>
          <w:tcPr>
            <w:tcW w:w="3118" w:type="dxa"/>
          </w:tcPr>
          <w:p w14:paraId="67726636" w14:textId="77777777" w:rsidR="002000E3" w:rsidRPr="00154588" w:rsidRDefault="002000E3" w:rsidP="008C12B4">
            <w:pPr>
              <w:jc w:val="both"/>
              <w:rPr>
                <w:bCs/>
                <w:sz w:val="20"/>
                <w:szCs w:val="20"/>
              </w:rPr>
            </w:pPr>
          </w:p>
        </w:tc>
      </w:tr>
      <w:tr w:rsidR="00461D67" w:rsidRPr="00154588" w14:paraId="09BD8B15" w14:textId="77777777" w:rsidTr="00D15C1B">
        <w:trPr>
          <w:jc w:val="center"/>
        </w:trPr>
        <w:tc>
          <w:tcPr>
            <w:tcW w:w="4957" w:type="dxa"/>
            <w:gridSpan w:val="2"/>
          </w:tcPr>
          <w:p w14:paraId="1D762210" w14:textId="77777777" w:rsidR="00461D67" w:rsidRPr="00154588" w:rsidRDefault="00461D67" w:rsidP="008C12B4">
            <w:pPr>
              <w:rPr>
                <w:b/>
                <w:sz w:val="20"/>
                <w:szCs w:val="20"/>
              </w:rPr>
            </w:pPr>
            <w:r w:rsidRPr="00154588">
              <w:rPr>
                <w:b/>
                <w:sz w:val="20"/>
                <w:szCs w:val="20"/>
              </w:rPr>
              <w:t>TITLUL IV</w:t>
            </w:r>
          </w:p>
          <w:p w14:paraId="58057D2D" w14:textId="77777777" w:rsidR="00461D67" w:rsidRPr="00154588" w:rsidRDefault="00461D67" w:rsidP="008C12B4">
            <w:pPr>
              <w:rPr>
                <w:b/>
                <w:sz w:val="20"/>
                <w:szCs w:val="20"/>
              </w:rPr>
            </w:pPr>
          </w:p>
          <w:p w14:paraId="4F22DED0" w14:textId="65A01E7B" w:rsidR="00461D67" w:rsidRPr="00154588" w:rsidRDefault="00461D67" w:rsidP="008C12B4">
            <w:pPr>
              <w:rPr>
                <w:bCs/>
                <w:sz w:val="20"/>
                <w:szCs w:val="20"/>
              </w:rPr>
            </w:pPr>
            <w:r w:rsidRPr="00154588">
              <w:rPr>
                <w:b/>
                <w:sz w:val="20"/>
                <w:szCs w:val="20"/>
              </w:rPr>
              <w:t>REZOLUȚIA</w:t>
            </w:r>
          </w:p>
        </w:tc>
        <w:tc>
          <w:tcPr>
            <w:tcW w:w="4819" w:type="dxa"/>
          </w:tcPr>
          <w:p w14:paraId="3FA3BCD3" w14:textId="77777777" w:rsidR="00461D67" w:rsidRPr="00154588" w:rsidRDefault="00461D67" w:rsidP="008C12B4">
            <w:pPr>
              <w:jc w:val="center"/>
              <w:rPr>
                <w:b/>
                <w:sz w:val="20"/>
                <w:szCs w:val="20"/>
                <w:lang w:val="ro-MD"/>
              </w:rPr>
            </w:pPr>
            <w:r w:rsidRPr="00154588">
              <w:rPr>
                <w:b/>
                <w:sz w:val="20"/>
                <w:szCs w:val="20"/>
                <w:lang w:val="ro-MD"/>
              </w:rPr>
              <w:t>TITLUL IV</w:t>
            </w:r>
          </w:p>
          <w:p w14:paraId="078FBA3B" w14:textId="77777777" w:rsidR="00461D67" w:rsidRPr="00154588" w:rsidRDefault="00461D67" w:rsidP="008C12B4">
            <w:pPr>
              <w:jc w:val="center"/>
              <w:rPr>
                <w:b/>
                <w:sz w:val="20"/>
                <w:szCs w:val="20"/>
                <w:lang w:val="ro-MD"/>
              </w:rPr>
            </w:pPr>
            <w:r w:rsidRPr="00154588">
              <w:rPr>
                <w:b/>
                <w:sz w:val="20"/>
                <w:szCs w:val="20"/>
                <w:lang w:val="ro-MD"/>
              </w:rPr>
              <w:t>REZOLUŢIA</w:t>
            </w:r>
          </w:p>
          <w:p w14:paraId="2FE8192A" w14:textId="77777777" w:rsidR="00461D67" w:rsidRPr="00154588" w:rsidRDefault="00461D67" w:rsidP="008C12B4">
            <w:pPr>
              <w:jc w:val="center"/>
              <w:rPr>
                <w:b/>
                <w:sz w:val="20"/>
                <w:szCs w:val="20"/>
                <w:lang w:val="ro-MD"/>
              </w:rPr>
            </w:pPr>
            <w:r w:rsidRPr="00154588">
              <w:rPr>
                <w:b/>
                <w:sz w:val="20"/>
                <w:szCs w:val="20"/>
                <w:lang w:val="ro-MD"/>
              </w:rPr>
              <w:t>Capitolul I</w:t>
            </w:r>
          </w:p>
          <w:p w14:paraId="761A2EC8" w14:textId="77777777" w:rsidR="00461D67" w:rsidRPr="00154588" w:rsidRDefault="00461D67" w:rsidP="008C12B4">
            <w:pPr>
              <w:jc w:val="center"/>
              <w:rPr>
                <w:b/>
                <w:sz w:val="20"/>
                <w:szCs w:val="20"/>
                <w:lang w:val="ro-MD"/>
              </w:rPr>
            </w:pPr>
            <w:r w:rsidRPr="00154588">
              <w:rPr>
                <w:b/>
                <w:sz w:val="20"/>
                <w:szCs w:val="20"/>
                <w:lang w:val="ro-MD"/>
              </w:rPr>
              <w:t>OBIECTIVE, CONDIŢII ŞI PRINCIPII GENERALE</w:t>
            </w:r>
          </w:p>
          <w:p w14:paraId="65819648" w14:textId="7377CD77" w:rsidR="00461D67" w:rsidRPr="00154588" w:rsidRDefault="00461D67" w:rsidP="008C12B4">
            <w:pPr>
              <w:jc w:val="center"/>
              <w:rPr>
                <w:b/>
                <w:sz w:val="20"/>
                <w:szCs w:val="20"/>
                <w:lang w:val="ro-MD"/>
              </w:rPr>
            </w:pPr>
            <w:r w:rsidRPr="00154588">
              <w:rPr>
                <w:b/>
                <w:sz w:val="20"/>
                <w:szCs w:val="20"/>
                <w:lang w:val="ro-MD"/>
              </w:rPr>
              <w:t>Secțiunea 1</w:t>
            </w:r>
          </w:p>
          <w:p w14:paraId="06B0CDFD" w14:textId="376F2A17" w:rsidR="00461D67" w:rsidRPr="00154588" w:rsidRDefault="00461D67" w:rsidP="008C12B4">
            <w:pPr>
              <w:jc w:val="center"/>
              <w:rPr>
                <w:bCs/>
                <w:sz w:val="20"/>
                <w:szCs w:val="20"/>
              </w:rPr>
            </w:pPr>
            <w:r w:rsidRPr="00154588">
              <w:rPr>
                <w:b/>
                <w:sz w:val="20"/>
                <w:szCs w:val="20"/>
                <w:lang w:val="ro-MD"/>
              </w:rPr>
              <w:t>Obiective</w:t>
            </w:r>
          </w:p>
        </w:tc>
        <w:tc>
          <w:tcPr>
            <w:tcW w:w="2552" w:type="dxa"/>
          </w:tcPr>
          <w:p w14:paraId="3AABE900" w14:textId="77777777" w:rsidR="00461D67" w:rsidRPr="00154588" w:rsidRDefault="00461D67" w:rsidP="008C12B4">
            <w:pPr>
              <w:jc w:val="both"/>
              <w:rPr>
                <w:bCs/>
                <w:sz w:val="20"/>
                <w:szCs w:val="20"/>
              </w:rPr>
            </w:pPr>
          </w:p>
        </w:tc>
        <w:tc>
          <w:tcPr>
            <w:tcW w:w="3118" w:type="dxa"/>
          </w:tcPr>
          <w:p w14:paraId="70167672" w14:textId="77777777" w:rsidR="00461D67" w:rsidRPr="00154588" w:rsidRDefault="00461D67" w:rsidP="008C12B4">
            <w:pPr>
              <w:jc w:val="both"/>
              <w:rPr>
                <w:bCs/>
                <w:sz w:val="20"/>
                <w:szCs w:val="20"/>
              </w:rPr>
            </w:pPr>
          </w:p>
        </w:tc>
      </w:tr>
      <w:tr w:rsidR="00461D67" w:rsidRPr="00154588" w14:paraId="7858B724" w14:textId="77777777" w:rsidTr="00D15C1B">
        <w:trPr>
          <w:jc w:val="center"/>
        </w:trPr>
        <w:tc>
          <w:tcPr>
            <w:tcW w:w="4957" w:type="dxa"/>
            <w:gridSpan w:val="2"/>
          </w:tcPr>
          <w:p w14:paraId="2B46F72F" w14:textId="77777777" w:rsidR="00461D67" w:rsidRPr="00154588" w:rsidRDefault="00461D67" w:rsidP="008C12B4">
            <w:pPr>
              <w:rPr>
                <w:b/>
                <w:sz w:val="20"/>
                <w:szCs w:val="20"/>
              </w:rPr>
            </w:pPr>
            <w:r w:rsidRPr="00154588">
              <w:rPr>
                <w:b/>
                <w:sz w:val="20"/>
                <w:szCs w:val="20"/>
              </w:rPr>
              <w:t>CAPITOLUL I</w:t>
            </w:r>
          </w:p>
          <w:p w14:paraId="5C859CFD" w14:textId="77777777" w:rsidR="00461D67" w:rsidRPr="00154588" w:rsidRDefault="00461D67" w:rsidP="008C12B4">
            <w:pPr>
              <w:rPr>
                <w:b/>
                <w:sz w:val="20"/>
                <w:szCs w:val="20"/>
              </w:rPr>
            </w:pPr>
          </w:p>
          <w:p w14:paraId="3B2E40EE" w14:textId="0CE48ABA" w:rsidR="00461D67" w:rsidRPr="00154588" w:rsidRDefault="00461D67" w:rsidP="008C12B4">
            <w:pPr>
              <w:rPr>
                <w:bCs/>
                <w:sz w:val="20"/>
                <w:szCs w:val="20"/>
              </w:rPr>
            </w:pPr>
            <w:r w:rsidRPr="00154588">
              <w:rPr>
                <w:b/>
                <w:sz w:val="20"/>
                <w:szCs w:val="20"/>
              </w:rPr>
              <w:t>Obiective, condiții și principii generale</w:t>
            </w:r>
          </w:p>
        </w:tc>
        <w:tc>
          <w:tcPr>
            <w:tcW w:w="4819" w:type="dxa"/>
          </w:tcPr>
          <w:p w14:paraId="0942CDC8" w14:textId="77777777" w:rsidR="00461D67" w:rsidRPr="00154588" w:rsidRDefault="00461D67" w:rsidP="008C12B4">
            <w:pPr>
              <w:jc w:val="both"/>
              <w:rPr>
                <w:bCs/>
                <w:sz w:val="20"/>
                <w:szCs w:val="20"/>
              </w:rPr>
            </w:pPr>
          </w:p>
        </w:tc>
        <w:tc>
          <w:tcPr>
            <w:tcW w:w="2552" w:type="dxa"/>
          </w:tcPr>
          <w:p w14:paraId="590319BB" w14:textId="77777777" w:rsidR="00461D67" w:rsidRPr="00154588" w:rsidRDefault="00461D67" w:rsidP="008C12B4">
            <w:pPr>
              <w:jc w:val="both"/>
              <w:rPr>
                <w:bCs/>
                <w:sz w:val="20"/>
                <w:szCs w:val="20"/>
              </w:rPr>
            </w:pPr>
          </w:p>
        </w:tc>
        <w:tc>
          <w:tcPr>
            <w:tcW w:w="3118" w:type="dxa"/>
          </w:tcPr>
          <w:p w14:paraId="66FEF179" w14:textId="77777777" w:rsidR="00461D67" w:rsidRPr="00154588" w:rsidRDefault="00461D67" w:rsidP="008C12B4">
            <w:pPr>
              <w:jc w:val="both"/>
              <w:rPr>
                <w:bCs/>
                <w:sz w:val="20"/>
                <w:szCs w:val="20"/>
              </w:rPr>
            </w:pPr>
          </w:p>
        </w:tc>
      </w:tr>
      <w:tr w:rsidR="00461D67" w:rsidRPr="00154588" w14:paraId="24B00725" w14:textId="77777777" w:rsidTr="00D15C1B">
        <w:trPr>
          <w:jc w:val="center"/>
        </w:trPr>
        <w:tc>
          <w:tcPr>
            <w:tcW w:w="4957" w:type="dxa"/>
            <w:gridSpan w:val="2"/>
          </w:tcPr>
          <w:p w14:paraId="28AB4999" w14:textId="77777777" w:rsidR="00461D67" w:rsidRPr="00154588" w:rsidRDefault="00461D67" w:rsidP="008C12B4">
            <w:pPr>
              <w:rPr>
                <w:b/>
                <w:sz w:val="20"/>
                <w:szCs w:val="20"/>
              </w:rPr>
            </w:pPr>
            <w:r w:rsidRPr="00154588">
              <w:rPr>
                <w:b/>
                <w:sz w:val="20"/>
                <w:szCs w:val="20"/>
              </w:rPr>
              <w:t>Articolul 31</w:t>
            </w:r>
          </w:p>
          <w:p w14:paraId="4E333A4A" w14:textId="77777777" w:rsidR="00461D67" w:rsidRPr="00154588" w:rsidRDefault="00461D67" w:rsidP="008C12B4">
            <w:pPr>
              <w:rPr>
                <w:b/>
                <w:sz w:val="20"/>
                <w:szCs w:val="20"/>
              </w:rPr>
            </w:pPr>
          </w:p>
          <w:p w14:paraId="08B098B0" w14:textId="1E4FFC35" w:rsidR="00461D67" w:rsidRPr="00154588" w:rsidRDefault="00461D67" w:rsidP="008C12B4">
            <w:pPr>
              <w:rPr>
                <w:bCs/>
                <w:sz w:val="20"/>
                <w:szCs w:val="20"/>
              </w:rPr>
            </w:pPr>
            <w:r w:rsidRPr="00154588">
              <w:rPr>
                <w:b/>
                <w:sz w:val="20"/>
                <w:szCs w:val="20"/>
              </w:rPr>
              <w:lastRenderedPageBreak/>
              <w:t>Obiectivele rezoluției</w:t>
            </w:r>
          </w:p>
        </w:tc>
        <w:tc>
          <w:tcPr>
            <w:tcW w:w="4819" w:type="dxa"/>
          </w:tcPr>
          <w:p w14:paraId="601CB1E2" w14:textId="77777777" w:rsidR="00461D67" w:rsidRPr="00154588" w:rsidRDefault="00461D67" w:rsidP="008C12B4">
            <w:pPr>
              <w:jc w:val="both"/>
              <w:rPr>
                <w:bCs/>
                <w:sz w:val="20"/>
                <w:szCs w:val="20"/>
              </w:rPr>
            </w:pPr>
          </w:p>
        </w:tc>
        <w:tc>
          <w:tcPr>
            <w:tcW w:w="2552" w:type="dxa"/>
          </w:tcPr>
          <w:p w14:paraId="23C8A6B3" w14:textId="77777777" w:rsidR="00461D67" w:rsidRPr="00154588" w:rsidRDefault="00461D67" w:rsidP="008C12B4">
            <w:pPr>
              <w:jc w:val="both"/>
              <w:rPr>
                <w:bCs/>
                <w:sz w:val="20"/>
                <w:szCs w:val="20"/>
              </w:rPr>
            </w:pPr>
          </w:p>
        </w:tc>
        <w:tc>
          <w:tcPr>
            <w:tcW w:w="3118" w:type="dxa"/>
          </w:tcPr>
          <w:p w14:paraId="63AFEFED" w14:textId="77777777" w:rsidR="00461D67" w:rsidRPr="00154588" w:rsidRDefault="00461D67" w:rsidP="008C12B4">
            <w:pPr>
              <w:jc w:val="both"/>
              <w:rPr>
                <w:bCs/>
                <w:sz w:val="20"/>
                <w:szCs w:val="20"/>
              </w:rPr>
            </w:pPr>
          </w:p>
        </w:tc>
      </w:tr>
      <w:tr w:rsidR="00461D67" w:rsidRPr="00154588" w14:paraId="01D08292" w14:textId="77777777" w:rsidTr="00D15C1B">
        <w:trPr>
          <w:jc w:val="center"/>
        </w:trPr>
        <w:tc>
          <w:tcPr>
            <w:tcW w:w="4957" w:type="dxa"/>
            <w:gridSpan w:val="2"/>
          </w:tcPr>
          <w:p w14:paraId="4ECF3DCF" w14:textId="4311C80B" w:rsidR="00461D67" w:rsidRPr="00154588" w:rsidRDefault="00461D67" w:rsidP="008C12B4">
            <w:pPr>
              <w:jc w:val="both"/>
              <w:rPr>
                <w:bCs/>
                <w:sz w:val="20"/>
                <w:szCs w:val="20"/>
              </w:rPr>
            </w:pPr>
            <w:r w:rsidRPr="00154588">
              <w:rPr>
                <w:bCs/>
                <w:sz w:val="20"/>
                <w:szCs w:val="20"/>
              </w:rPr>
              <w:t>(1)   Atunci când aplică instrumente și exercită competențe de rezoluție, autoritățile de rezoluție trebuie să țină cont de obiectivele rezoluției și să aleagă acele instrumente și competențe care permit realizarea în cel mai înalt grad a obiectivelor relevante pentru fiecare situație în parte.</w:t>
            </w:r>
          </w:p>
        </w:tc>
        <w:tc>
          <w:tcPr>
            <w:tcW w:w="4819" w:type="dxa"/>
          </w:tcPr>
          <w:p w14:paraId="60681E59" w14:textId="7BD3C8B8" w:rsidR="00461D67" w:rsidRPr="00154588" w:rsidRDefault="00461D67" w:rsidP="008C12B4">
            <w:pPr>
              <w:ind w:firstLine="504"/>
              <w:jc w:val="both"/>
              <w:rPr>
                <w:bCs/>
                <w:sz w:val="20"/>
                <w:szCs w:val="20"/>
                <w:lang w:val="ro-MD"/>
              </w:rPr>
            </w:pPr>
            <w:r w:rsidRPr="00154588">
              <w:rPr>
                <w:b/>
                <w:sz w:val="20"/>
                <w:szCs w:val="20"/>
                <w:lang w:val="ro-MD"/>
              </w:rPr>
              <w:t>Articolul 55.</w:t>
            </w:r>
            <w:r w:rsidRPr="00154588">
              <w:rPr>
                <w:bCs/>
                <w:sz w:val="20"/>
                <w:szCs w:val="20"/>
                <w:lang w:val="ro-MD"/>
              </w:rPr>
              <w:t xml:space="preserve"> – În situaţia în care aplică instrumente de rezoluţie şi exercită competenţe de rezoluţie, Banca Naţională a Moldovei, în calitate de autoritate de rezoluţie, are în vedere obiectivele rezoluţiei şi alege acele instrumente şi competenţe care permit realizarea în cel mai înalt grad a obiectivelor considerate de aceasta ca fiind relevante pentru fiecare situaţie în parte.</w:t>
            </w:r>
          </w:p>
        </w:tc>
        <w:tc>
          <w:tcPr>
            <w:tcW w:w="2552" w:type="dxa"/>
          </w:tcPr>
          <w:p w14:paraId="49A4DBC2" w14:textId="51197C72" w:rsidR="00461D67" w:rsidRPr="00154588" w:rsidRDefault="00461D67" w:rsidP="008C12B4">
            <w:pPr>
              <w:jc w:val="both"/>
              <w:rPr>
                <w:bCs/>
                <w:sz w:val="20"/>
                <w:szCs w:val="20"/>
              </w:rPr>
            </w:pPr>
            <w:r w:rsidRPr="00154588">
              <w:rPr>
                <w:bCs/>
                <w:sz w:val="20"/>
                <w:szCs w:val="20"/>
              </w:rPr>
              <w:t>Compatibil</w:t>
            </w:r>
          </w:p>
        </w:tc>
        <w:tc>
          <w:tcPr>
            <w:tcW w:w="3118" w:type="dxa"/>
          </w:tcPr>
          <w:p w14:paraId="548F7F5C" w14:textId="77777777" w:rsidR="00461D67" w:rsidRPr="00154588" w:rsidRDefault="00461D67" w:rsidP="008C12B4">
            <w:pPr>
              <w:jc w:val="both"/>
              <w:rPr>
                <w:bCs/>
                <w:sz w:val="20"/>
                <w:szCs w:val="20"/>
              </w:rPr>
            </w:pPr>
          </w:p>
        </w:tc>
      </w:tr>
      <w:tr w:rsidR="00461D67" w:rsidRPr="00154588" w14:paraId="7FC2792A" w14:textId="77777777" w:rsidTr="00D15C1B">
        <w:trPr>
          <w:jc w:val="center"/>
        </w:trPr>
        <w:tc>
          <w:tcPr>
            <w:tcW w:w="4957" w:type="dxa"/>
            <w:gridSpan w:val="2"/>
          </w:tcPr>
          <w:p w14:paraId="19575328" w14:textId="4CBD1036" w:rsidR="00461D67" w:rsidRPr="00154588" w:rsidRDefault="00461D67" w:rsidP="008C12B4">
            <w:pPr>
              <w:jc w:val="both"/>
              <w:rPr>
                <w:bCs/>
                <w:sz w:val="20"/>
                <w:szCs w:val="20"/>
              </w:rPr>
            </w:pPr>
            <w:r w:rsidRPr="00154588">
              <w:rPr>
                <w:bCs/>
                <w:sz w:val="20"/>
                <w:szCs w:val="20"/>
              </w:rPr>
              <w:t>(2) Obiectivele rezoluției menționate la alineatul (1) din prezentul articol sunt:</w:t>
            </w:r>
          </w:p>
          <w:p w14:paraId="646EDB6C" w14:textId="53EC69BA" w:rsidR="00461D67" w:rsidRPr="00154588" w:rsidRDefault="00461D67" w:rsidP="008C12B4">
            <w:pPr>
              <w:jc w:val="both"/>
              <w:rPr>
                <w:bCs/>
                <w:sz w:val="20"/>
                <w:szCs w:val="20"/>
              </w:rPr>
            </w:pPr>
            <w:r w:rsidRPr="00154588">
              <w:rPr>
                <w:bCs/>
                <w:sz w:val="20"/>
                <w:szCs w:val="20"/>
              </w:rPr>
              <w:t>(a) asigurarea continuității funcțiilor critice;</w:t>
            </w:r>
          </w:p>
          <w:p w14:paraId="7D881D8E" w14:textId="77777777" w:rsidR="00461D67" w:rsidRPr="00154588" w:rsidRDefault="00461D67" w:rsidP="008C12B4">
            <w:pPr>
              <w:jc w:val="both"/>
              <w:rPr>
                <w:bCs/>
                <w:sz w:val="20"/>
                <w:szCs w:val="20"/>
              </w:rPr>
            </w:pPr>
          </w:p>
          <w:p w14:paraId="5BCA8126" w14:textId="4872FFF9" w:rsidR="00461D67" w:rsidRPr="00154588" w:rsidRDefault="00461D67" w:rsidP="008C12B4">
            <w:pPr>
              <w:jc w:val="both"/>
              <w:rPr>
                <w:bCs/>
                <w:sz w:val="20"/>
                <w:szCs w:val="20"/>
              </w:rPr>
            </w:pPr>
            <w:r w:rsidRPr="00154588">
              <w:rPr>
                <w:bCs/>
                <w:sz w:val="20"/>
                <w:szCs w:val="20"/>
              </w:rPr>
              <w:t>(b) evitarea efectelor negative semnificative asupra stabilității financiare, în special prin prevenirea contagiunii, inclusiv asupra infrastructurilor pieței și prin menținerea disciplinei pe piață;</w:t>
            </w:r>
          </w:p>
          <w:p w14:paraId="02C98798" w14:textId="77777777" w:rsidR="00461D67" w:rsidRPr="00154588" w:rsidRDefault="00461D67" w:rsidP="008C12B4">
            <w:pPr>
              <w:jc w:val="both"/>
              <w:rPr>
                <w:bCs/>
                <w:sz w:val="20"/>
                <w:szCs w:val="20"/>
              </w:rPr>
            </w:pPr>
          </w:p>
          <w:p w14:paraId="6BED5C45" w14:textId="45F8AD5B" w:rsidR="00461D67" w:rsidRPr="00154588" w:rsidRDefault="00461D67" w:rsidP="008C12B4">
            <w:pPr>
              <w:jc w:val="both"/>
              <w:rPr>
                <w:bCs/>
                <w:sz w:val="20"/>
                <w:szCs w:val="20"/>
              </w:rPr>
            </w:pPr>
            <w:r w:rsidRPr="00154588">
              <w:rPr>
                <w:bCs/>
                <w:sz w:val="20"/>
                <w:szCs w:val="20"/>
              </w:rPr>
              <w:t xml:space="preserve">(c) protejarea fondurilor publice prin reducerea la minimum a </w:t>
            </w:r>
            <w:r w:rsidR="0045723A" w:rsidRPr="00154588">
              <w:rPr>
                <w:bCs/>
                <w:sz w:val="20"/>
                <w:szCs w:val="20"/>
              </w:rPr>
              <w:t xml:space="preserve">dependenței de </w:t>
            </w:r>
            <w:r w:rsidRPr="00154588">
              <w:rPr>
                <w:bCs/>
                <w:sz w:val="20"/>
                <w:szCs w:val="20"/>
              </w:rPr>
              <w:t>sprijinul financiar public extraordinar</w:t>
            </w:r>
            <w:r w:rsidR="0045723A" w:rsidRPr="00154588">
              <w:rPr>
                <w:bCs/>
                <w:sz w:val="20"/>
                <w:szCs w:val="20"/>
              </w:rPr>
              <w:t>,</w:t>
            </w:r>
            <w:r w:rsidR="0045723A" w:rsidRPr="00154588">
              <w:t xml:space="preserve"> </w:t>
            </w:r>
            <w:r w:rsidR="0045723A" w:rsidRPr="00154588">
              <w:rPr>
                <w:bCs/>
                <w:sz w:val="20"/>
                <w:szCs w:val="20"/>
              </w:rPr>
              <w:t>în special atunci când acesta provine de la bugetul unui stat membru</w:t>
            </w:r>
            <w:r w:rsidRPr="00154588">
              <w:rPr>
                <w:bCs/>
                <w:sz w:val="20"/>
                <w:szCs w:val="20"/>
              </w:rPr>
              <w:t>;</w:t>
            </w:r>
          </w:p>
          <w:p w14:paraId="0BF9A990" w14:textId="77777777" w:rsidR="00461D67" w:rsidRPr="00154588" w:rsidRDefault="00461D67" w:rsidP="008C12B4">
            <w:pPr>
              <w:jc w:val="both"/>
              <w:rPr>
                <w:bCs/>
                <w:sz w:val="20"/>
                <w:szCs w:val="20"/>
              </w:rPr>
            </w:pPr>
          </w:p>
          <w:p w14:paraId="5D77CD1B" w14:textId="4F572A2A" w:rsidR="00461D67" w:rsidRPr="00154588" w:rsidRDefault="00461D67" w:rsidP="008C12B4">
            <w:pPr>
              <w:jc w:val="both"/>
              <w:rPr>
                <w:bCs/>
                <w:sz w:val="20"/>
                <w:szCs w:val="20"/>
              </w:rPr>
            </w:pPr>
            <w:r w:rsidRPr="00154588">
              <w:rPr>
                <w:bCs/>
                <w:sz w:val="20"/>
                <w:szCs w:val="20"/>
              </w:rPr>
              <w:t>(d) protecția deponenților care intră sub incidența Directivei 2014/49/UE și a investitorilor aflați sub incidența Directivei 97/9/CE;</w:t>
            </w:r>
          </w:p>
          <w:p w14:paraId="58046072" w14:textId="77777777" w:rsidR="00461D67" w:rsidRPr="00154588" w:rsidRDefault="00461D67" w:rsidP="008C12B4">
            <w:pPr>
              <w:jc w:val="both"/>
              <w:rPr>
                <w:bCs/>
                <w:sz w:val="20"/>
                <w:szCs w:val="20"/>
              </w:rPr>
            </w:pPr>
          </w:p>
          <w:p w14:paraId="5D975896" w14:textId="5353C270" w:rsidR="00461D67" w:rsidRPr="00154588" w:rsidRDefault="00461D67" w:rsidP="008C12B4">
            <w:pPr>
              <w:jc w:val="both"/>
              <w:rPr>
                <w:bCs/>
                <w:sz w:val="20"/>
                <w:szCs w:val="20"/>
              </w:rPr>
            </w:pPr>
            <w:r w:rsidRPr="00154588">
              <w:rPr>
                <w:bCs/>
                <w:sz w:val="20"/>
                <w:szCs w:val="20"/>
              </w:rPr>
              <w:t>(e) protejarea fondurilor și a activelor clienților.</w:t>
            </w:r>
          </w:p>
          <w:p w14:paraId="122E49B6" w14:textId="77777777" w:rsidR="00461D67" w:rsidRPr="00154588" w:rsidRDefault="00461D67" w:rsidP="008C12B4">
            <w:pPr>
              <w:jc w:val="both"/>
              <w:rPr>
                <w:bCs/>
                <w:sz w:val="20"/>
                <w:szCs w:val="20"/>
              </w:rPr>
            </w:pPr>
          </w:p>
          <w:p w14:paraId="7ABA9C09" w14:textId="14CE8F15" w:rsidR="00461D67" w:rsidRPr="00154588" w:rsidRDefault="00461D67" w:rsidP="008C12B4">
            <w:pPr>
              <w:jc w:val="both"/>
              <w:rPr>
                <w:bCs/>
                <w:sz w:val="20"/>
                <w:szCs w:val="20"/>
              </w:rPr>
            </w:pPr>
            <w:r w:rsidRPr="00154588">
              <w:rPr>
                <w:bCs/>
                <w:sz w:val="20"/>
                <w:szCs w:val="20"/>
              </w:rPr>
              <w:t>Atunci când urmărește obiectivele de mai sus, autoritatea de rezoluție încearcă să reducă la minimum costul rezoluției și să evite distrugerea valorii, cu excepția cazului în care aceasta este necesară pentru a realiza obiectivele rezoluției.</w:t>
            </w:r>
          </w:p>
        </w:tc>
        <w:tc>
          <w:tcPr>
            <w:tcW w:w="4819" w:type="dxa"/>
          </w:tcPr>
          <w:p w14:paraId="2D12ACC0" w14:textId="77777777" w:rsidR="00461D67" w:rsidRPr="00154588" w:rsidRDefault="00461D67" w:rsidP="008C12B4">
            <w:pPr>
              <w:ind w:firstLine="504"/>
              <w:jc w:val="both"/>
              <w:rPr>
                <w:bCs/>
                <w:sz w:val="20"/>
                <w:szCs w:val="20"/>
                <w:lang w:val="ro-MD"/>
              </w:rPr>
            </w:pPr>
            <w:r w:rsidRPr="00154588">
              <w:rPr>
                <w:b/>
                <w:sz w:val="20"/>
                <w:szCs w:val="20"/>
                <w:lang w:val="ro-MD"/>
              </w:rPr>
              <w:t>Articolul 56.</w:t>
            </w:r>
            <w:r w:rsidRPr="00154588">
              <w:rPr>
                <w:bCs/>
                <w:sz w:val="20"/>
                <w:szCs w:val="20"/>
                <w:lang w:val="ro-MD"/>
              </w:rPr>
              <w:t xml:space="preserve"> – (1) Obiectivele rezoluţiei prevăzute la art.55 sînt următoarele:</w:t>
            </w:r>
          </w:p>
          <w:p w14:paraId="407A1200" w14:textId="3ECA9B86" w:rsidR="00461D67" w:rsidRPr="00154588" w:rsidRDefault="00461D67" w:rsidP="008C12B4">
            <w:pPr>
              <w:ind w:firstLine="504"/>
              <w:jc w:val="both"/>
              <w:rPr>
                <w:bCs/>
                <w:sz w:val="20"/>
                <w:szCs w:val="20"/>
                <w:lang w:val="ro-MD"/>
              </w:rPr>
            </w:pPr>
            <w:r w:rsidRPr="00154588">
              <w:rPr>
                <w:bCs/>
                <w:sz w:val="20"/>
                <w:szCs w:val="20"/>
                <w:lang w:val="ro-MD"/>
              </w:rPr>
              <w:t>a) asigurarea continuității funcțiilor critice;</w:t>
            </w:r>
          </w:p>
          <w:p w14:paraId="26115215" w14:textId="77777777" w:rsidR="00461D67" w:rsidRPr="00154588" w:rsidRDefault="00461D67" w:rsidP="008C12B4">
            <w:pPr>
              <w:ind w:firstLine="504"/>
              <w:jc w:val="both"/>
              <w:rPr>
                <w:bCs/>
                <w:sz w:val="20"/>
                <w:szCs w:val="20"/>
                <w:lang w:val="ro-MD"/>
              </w:rPr>
            </w:pPr>
            <w:r w:rsidRPr="00154588">
              <w:rPr>
                <w:bCs/>
                <w:sz w:val="20"/>
                <w:szCs w:val="20"/>
                <w:lang w:val="ro-MD"/>
              </w:rPr>
              <w:t>b) evitarea efectelor negative semnificative asupra stabilităţii financiare, în special prin prevenirea contagiunii, inclusiv asupra infrastructurilor pieţei, şi prin menţinerea disciplinei pe piaţă;</w:t>
            </w:r>
          </w:p>
          <w:p w14:paraId="0186BF6F" w14:textId="73DDECCE" w:rsidR="00461D67" w:rsidRPr="00154588" w:rsidRDefault="00461D67" w:rsidP="008C12B4">
            <w:pPr>
              <w:ind w:firstLine="504"/>
              <w:jc w:val="both"/>
              <w:rPr>
                <w:bCs/>
                <w:sz w:val="20"/>
                <w:szCs w:val="20"/>
                <w:lang w:val="ro-MD"/>
              </w:rPr>
            </w:pPr>
            <w:r w:rsidRPr="00154588">
              <w:rPr>
                <w:bCs/>
                <w:sz w:val="20"/>
                <w:szCs w:val="20"/>
                <w:lang w:val="ro-MD"/>
              </w:rPr>
              <w:t>c) protejarea fondurilor publice prin reducerea la minimum a dependenţei de sprijin financiar public extraordinar</w:t>
            </w:r>
            <w:r w:rsidR="00566CFF" w:rsidRPr="00154588">
              <w:rPr>
                <w:bCs/>
                <w:sz w:val="20"/>
                <w:szCs w:val="20"/>
              </w:rPr>
              <w:t>,</w:t>
            </w:r>
            <w:r w:rsidR="00566CFF" w:rsidRPr="00154588">
              <w:t xml:space="preserve"> </w:t>
            </w:r>
            <w:r w:rsidR="00566CFF" w:rsidRPr="00154588">
              <w:rPr>
                <w:bCs/>
                <w:sz w:val="20"/>
                <w:szCs w:val="20"/>
              </w:rPr>
              <w:t>în special atunci când acesta provine de la bugetul unui stat membru</w:t>
            </w:r>
            <w:r w:rsidRPr="00154588">
              <w:rPr>
                <w:bCs/>
                <w:sz w:val="20"/>
                <w:szCs w:val="20"/>
                <w:lang w:val="ro-MD"/>
              </w:rPr>
              <w:t>;</w:t>
            </w:r>
          </w:p>
          <w:p w14:paraId="296AA399" w14:textId="5CA0CF02" w:rsidR="00461D67" w:rsidRPr="00154588" w:rsidRDefault="00461D67" w:rsidP="008C12B4">
            <w:pPr>
              <w:ind w:firstLine="504"/>
              <w:jc w:val="both"/>
              <w:rPr>
                <w:bCs/>
                <w:sz w:val="20"/>
                <w:szCs w:val="20"/>
                <w:lang w:val="ro-MD"/>
              </w:rPr>
            </w:pPr>
            <w:r w:rsidRPr="00154588">
              <w:rPr>
                <w:bCs/>
                <w:sz w:val="20"/>
                <w:szCs w:val="20"/>
                <w:lang w:val="ro-MD"/>
              </w:rPr>
              <w:t>d) protejarea deponenţilor care intră sub incidența legislaţiei privind garantarea depozitelor;</w:t>
            </w:r>
          </w:p>
          <w:p w14:paraId="7B12E6BE" w14:textId="77777777" w:rsidR="00461D67" w:rsidRPr="00154588" w:rsidRDefault="00461D67" w:rsidP="008C12B4">
            <w:pPr>
              <w:ind w:firstLine="504"/>
              <w:jc w:val="both"/>
              <w:rPr>
                <w:bCs/>
                <w:sz w:val="20"/>
                <w:szCs w:val="20"/>
                <w:lang w:val="ro-MD"/>
              </w:rPr>
            </w:pPr>
            <w:r w:rsidRPr="00154588">
              <w:rPr>
                <w:bCs/>
                <w:sz w:val="20"/>
                <w:szCs w:val="20"/>
                <w:lang w:val="ro-MD"/>
              </w:rPr>
              <w:t>e) protejarea fondurilor şi activelor clienţilor.</w:t>
            </w:r>
          </w:p>
          <w:p w14:paraId="5AF9D62C" w14:textId="77777777" w:rsidR="0045723A" w:rsidRPr="00154588" w:rsidRDefault="0045723A" w:rsidP="008C12B4">
            <w:pPr>
              <w:ind w:firstLine="504"/>
              <w:jc w:val="both"/>
              <w:rPr>
                <w:bCs/>
                <w:sz w:val="20"/>
                <w:szCs w:val="20"/>
                <w:lang w:val="ro-MD"/>
              </w:rPr>
            </w:pPr>
          </w:p>
          <w:p w14:paraId="13649C6E" w14:textId="230391B7" w:rsidR="00461D67" w:rsidRPr="00154588" w:rsidRDefault="00461D67" w:rsidP="008C12B4">
            <w:pPr>
              <w:ind w:firstLine="504"/>
              <w:jc w:val="both"/>
              <w:rPr>
                <w:bCs/>
                <w:sz w:val="20"/>
                <w:szCs w:val="20"/>
                <w:lang w:val="ro-MD"/>
              </w:rPr>
            </w:pPr>
            <w:r w:rsidRPr="00154588">
              <w:rPr>
                <w:bCs/>
                <w:sz w:val="20"/>
                <w:szCs w:val="20"/>
                <w:lang w:val="ro-MD"/>
              </w:rPr>
              <w:t>(2) În situaţia în care urmăreşte obiectivele prevăzute la alin.(1), Banca Naţională a Moldovei, în calitate de autoritate de rezoluţie, încearcă să reducă la minimum costul rezoluției şi să evite distrugerea de valoare, cu excepţia cazului în care aceasta este necesar pentru a realiza obiectivele rezoluției.</w:t>
            </w:r>
          </w:p>
        </w:tc>
        <w:tc>
          <w:tcPr>
            <w:tcW w:w="2552" w:type="dxa"/>
          </w:tcPr>
          <w:p w14:paraId="2F8001FD" w14:textId="673FB7CE" w:rsidR="00461D67" w:rsidRPr="00154588" w:rsidRDefault="00461D67" w:rsidP="008C12B4">
            <w:pPr>
              <w:jc w:val="both"/>
              <w:rPr>
                <w:bCs/>
                <w:sz w:val="20"/>
                <w:szCs w:val="20"/>
              </w:rPr>
            </w:pPr>
            <w:r w:rsidRPr="00154588">
              <w:rPr>
                <w:bCs/>
                <w:sz w:val="20"/>
                <w:szCs w:val="20"/>
              </w:rPr>
              <w:t>Compatibil</w:t>
            </w:r>
          </w:p>
        </w:tc>
        <w:tc>
          <w:tcPr>
            <w:tcW w:w="3118" w:type="dxa"/>
          </w:tcPr>
          <w:p w14:paraId="5CD91B94" w14:textId="77777777" w:rsidR="00461D67" w:rsidRPr="00154588" w:rsidRDefault="00461D67" w:rsidP="008C12B4">
            <w:pPr>
              <w:jc w:val="both"/>
              <w:rPr>
                <w:bCs/>
                <w:sz w:val="20"/>
                <w:szCs w:val="20"/>
              </w:rPr>
            </w:pPr>
          </w:p>
        </w:tc>
      </w:tr>
      <w:tr w:rsidR="00461D67" w:rsidRPr="00154588" w14:paraId="7236BF6C" w14:textId="77777777" w:rsidTr="00D15C1B">
        <w:trPr>
          <w:jc w:val="center"/>
        </w:trPr>
        <w:tc>
          <w:tcPr>
            <w:tcW w:w="4957" w:type="dxa"/>
            <w:gridSpan w:val="2"/>
          </w:tcPr>
          <w:p w14:paraId="11D43EFD" w14:textId="3441148D" w:rsidR="00461D67" w:rsidRPr="00154588" w:rsidRDefault="00461D67" w:rsidP="008C12B4">
            <w:pPr>
              <w:tabs>
                <w:tab w:val="left" w:pos="1139"/>
              </w:tabs>
              <w:jc w:val="both"/>
              <w:rPr>
                <w:bCs/>
                <w:sz w:val="20"/>
                <w:szCs w:val="20"/>
              </w:rPr>
            </w:pPr>
            <w:r w:rsidRPr="00154588">
              <w:rPr>
                <w:bCs/>
                <w:sz w:val="20"/>
                <w:szCs w:val="20"/>
              </w:rPr>
              <w:t>(3)   Sub rezerva unei serii de dispoziții din prezenta directivă, obiectivele rezoluției au o importanță egală, iar autoritățile de rezoluție trebuie să le aplice în mod echilibrat, în funcție de natura și de circumstanțele proprii fiecărui caz.</w:t>
            </w:r>
          </w:p>
        </w:tc>
        <w:tc>
          <w:tcPr>
            <w:tcW w:w="4819" w:type="dxa"/>
          </w:tcPr>
          <w:p w14:paraId="762B5C9F" w14:textId="7EA5E3F3" w:rsidR="00461D67" w:rsidRPr="00154588" w:rsidRDefault="00461D67" w:rsidP="008C12B4">
            <w:pPr>
              <w:ind w:firstLine="684"/>
              <w:jc w:val="both"/>
              <w:rPr>
                <w:bCs/>
                <w:sz w:val="20"/>
                <w:szCs w:val="20"/>
                <w:lang w:val="ro-MD"/>
              </w:rPr>
            </w:pPr>
            <w:r w:rsidRPr="00154588">
              <w:rPr>
                <w:b/>
                <w:sz w:val="20"/>
                <w:szCs w:val="20"/>
                <w:lang w:val="ro-MD"/>
              </w:rPr>
              <w:t>Articolul 57.</w:t>
            </w:r>
            <w:r w:rsidRPr="00154588">
              <w:rPr>
                <w:bCs/>
                <w:sz w:val="20"/>
                <w:szCs w:val="20"/>
                <w:lang w:val="ro-MD"/>
              </w:rPr>
              <w:t xml:space="preserve"> – Dacă nu se dispune altfel în cuprinsul prezentei legi, obiectivele rezoluţiei au o importanţă egală, iar Banca Naţională a Moldovei, în calitate de autoritate de rezoluţie, trebuie să le aplice în mod echilibrat, în funcţie de natura şi de circumstanţele proprii fiecărui caz.</w:t>
            </w:r>
          </w:p>
        </w:tc>
        <w:tc>
          <w:tcPr>
            <w:tcW w:w="2552" w:type="dxa"/>
          </w:tcPr>
          <w:p w14:paraId="5C57A9DC" w14:textId="7AFDC98E" w:rsidR="00461D67" w:rsidRPr="00154588" w:rsidRDefault="00461D67" w:rsidP="008C12B4">
            <w:pPr>
              <w:jc w:val="both"/>
              <w:rPr>
                <w:bCs/>
                <w:sz w:val="20"/>
                <w:szCs w:val="20"/>
              </w:rPr>
            </w:pPr>
            <w:r w:rsidRPr="00154588">
              <w:rPr>
                <w:bCs/>
                <w:sz w:val="20"/>
                <w:szCs w:val="20"/>
              </w:rPr>
              <w:t>Compatibil</w:t>
            </w:r>
          </w:p>
        </w:tc>
        <w:tc>
          <w:tcPr>
            <w:tcW w:w="3118" w:type="dxa"/>
          </w:tcPr>
          <w:p w14:paraId="2A1C49A5" w14:textId="77777777" w:rsidR="00461D67" w:rsidRPr="00154588" w:rsidRDefault="00461D67" w:rsidP="008C12B4">
            <w:pPr>
              <w:jc w:val="both"/>
              <w:rPr>
                <w:bCs/>
                <w:sz w:val="20"/>
                <w:szCs w:val="20"/>
              </w:rPr>
            </w:pPr>
          </w:p>
        </w:tc>
      </w:tr>
      <w:tr w:rsidR="00461D67" w:rsidRPr="00154588" w14:paraId="53C4B7D7" w14:textId="77777777" w:rsidTr="00D15C1B">
        <w:trPr>
          <w:jc w:val="center"/>
        </w:trPr>
        <w:tc>
          <w:tcPr>
            <w:tcW w:w="4957" w:type="dxa"/>
            <w:gridSpan w:val="2"/>
          </w:tcPr>
          <w:p w14:paraId="090B8580" w14:textId="77777777" w:rsidR="00461D67" w:rsidRPr="00154588" w:rsidRDefault="00461D67" w:rsidP="008C12B4">
            <w:pPr>
              <w:rPr>
                <w:b/>
                <w:sz w:val="20"/>
                <w:szCs w:val="20"/>
              </w:rPr>
            </w:pPr>
            <w:r w:rsidRPr="00154588">
              <w:rPr>
                <w:b/>
                <w:sz w:val="20"/>
                <w:szCs w:val="20"/>
              </w:rPr>
              <w:t>Articolul 32</w:t>
            </w:r>
          </w:p>
          <w:p w14:paraId="1A0D43B0" w14:textId="77777777" w:rsidR="00461D67" w:rsidRPr="00154588" w:rsidRDefault="00461D67" w:rsidP="008C12B4">
            <w:pPr>
              <w:rPr>
                <w:b/>
                <w:sz w:val="20"/>
                <w:szCs w:val="20"/>
              </w:rPr>
            </w:pPr>
          </w:p>
          <w:p w14:paraId="69848E5E" w14:textId="09EA75A8" w:rsidR="00461D67" w:rsidRPr="00154588" w:rsidRDefault="00461D67" w:rsidP="008C12B4">
            <w:pPr>
              <w:rPr>
                <w:bCs/>
                <w:sz w:val="20"/>
                <w:szCs w:val="20"/>
              </w:rPr>
            </w:pPr>
            <w:r w:rsidRPr="00154588">
              <w:rPr>
                <w:b/>
                <w:sz w:val="20"/>
                <w:szCs w:val="20"/>
              </w:rPr>
              <w:t>Condiții pentru declanșarea procedurii de rezoluție</w:t>
            </w:r>
          </w:p>
        </w:tc>
        <w:tc>
          <w:tcPr>
            <w:tcW w:w="4819" w:type="dxa"/>
          </w:tcPr>
          <w:p w14:paraId="35ECD038" w14:textId="77777777" w:rsidR="00461D67" w:rsidRPr="00154588" w:rsidRDefault="00461D67" w:rsidP="008C12B4">
            <w:pPr>
              <w:jc w:val="center"/>
              <w:rPr>
                <w:bCs/>
                <w:sz w:val="20"/>
                <w:szCs w:val="20"/>
              </w:rPr>
            </w:pPr>
            <w:r w:rsidRPr="00154588">
              <w:rPr>
                <w:b/>
                <w:bCs/>
                <w:sz w:val="20"/>
                <w:szCs w:val="20"/>
              </w:rPr>
              <w:t>Secţiunea a 2-a</w:t>
            </w:r>
          </w:p>
          <w:p w14:paraId="58FCC4F7" w14:textId="77777777" w:rsidR="00461D67" w:rsidRPr="00154588" w:rsidRDefault="00461D67" w:rsidP="008C12B4">
            <w:pPr>
              <w:jc w:val="center"/>
              <w:rPr>
                <w:bCs/>
                <w:sz w:val="20"/>
                <w:szCs w:val="20"/>
              </w:rPr>
            </w:pPr>
            <w:r w:rsidRPr="00154588">
              <w:rPr>
                <w:b/>
                <w:bCs/>
                <w:sz w:val="20"/>
                <w:szCs w:val="20"/>
              </w:rPr>
              <w:t>Condiţiile de declanşare a procedurii de rezoluţie</w:t>
            </w:r>
          </w:p>
          <w:p w14:paraId="1C17044F" w14:textId="77777777" w:rsidR="00461D67" w:rsidRPr="00154588" w:rsidRDefault="00461D67" w:rsidP="008C12B4">
            <w:pPr>
              <w:jc w:val="both"/>
              <w:rPr>
                <w:bCs/>
                <w:sz w:val="20"/>
                <w:szCs w:val="20"/>
              </w:rPr>
            </w:pPr>
          </w:p>
        </w:tc>
        <w:tc>
          <w:tcPr>
            <w:tcW w:w="2552" w:type="dxa"/>
          </w:tcPr>
          <w:p w14:paraId="20268E85" w14:textId="77777777" w:rsidR="00461D67" w:rsidRPr="00154588" w:rsidRDefault="00461D67" w:rsidP="008C12B4">
            <w:pPr>
              <w:jc w:val="both"/>
              <w:rPr>
                <w:bCs/>
                <w:sz w:val="20"/>
                <w:szCs w:val="20"/>
              </w:rPr>
            </w:pPr>
          </w:p>
        </w:tc>
        <w:tc>
          <w:tcPr>
            <w:tcW w:w="3118" w:type="dxa"/>
          </w:tcPr>
          <w:p w14:paraId="023654DE" w14:textId="77777777" w:rsidR="00461D67" w:rsidRPr="00154588" w:rsidRDefault="00461D67" w:rsidP="008C12B4">
            <w:pPr>
              <w:jc w:val="both"/>
              <w:rPr>
                <w:bCs/>
                <w:sz w:val="20"/>
                <w:szCs w:val="20"/>
              </w:rPr>
            </w:pPr>
          </w:p>
        </w:tc>
      </w:tr>
      <w:tr w:rsidR="00461D67" w:rsidRPr="00154588" w14:paraId="5342F9FE" w14:textId="77777777" w:rsidTr="00D15C1B">
        <w:trPr>
          <w:jc w:val="center"/>
        </w:trPr>
        <w:tc>
          <w:tcPr>
            <w:tcW w:w="4957" w:type="dxa"/>
            <w:gridSpan w:val="2"/>
          </w:tcPr>
          <w:p w14:paraId="17C6AA50" w14:textId="7D74271F" w:rsidR="00461D67" w:rsidRPr="00154588" w:rsidRDefault="00461D67" w:rsidP="008C12B4">
            <w:pPr>
              <w:jc w:val="both"/>
              <w:rPr>
                <w:bCs/>
                <w:sz w:val="20"/>
                <w:szCs w:val="20"/>
              </w:rPr>
            </w:pPr>
            <w:r w:rsidRPr="00154588">
              <w:rPr>
                <w:bCs/>
                <w:sz w:val="20"/>
                <w:szCs w:val="20"/>
              </w:rPr>
              <w:t xml:space="preserve">(1)   Statele membre se asigură că autoritățile de rezoluție iau o măsură de rezoluție </w:t>
            </w:r>
            <w:r w:rsidR="0045723A" w:rsidRPr="00154588">
              <w:rPr>
                <w:bCs/>
                <w:sz w:val="20"/>
                <w:szCs w:val="20"/>
              </w:rPr>
              <w:t xml:space="preserve">în legătură cu o instituție dacă autoritățile de rezoluție stabilesc, la primirea unei comunicări în temeiul alineatului (2) sau din proprie </w:t>
            </w:r>
            <w:r w:rsidR="0045723A" w:rsidRPr="00154588">
              <w:rPr>
                <w:bCs/>
                <w:sz w:val="20"/>
                <w:szCs w:val="20"/>
              </w:rPr>
              <w:lastRenderedPageBreak/>
              <w:t>inițiativă și având în vedere necesitatea de a pune în aplicare în mod eficace strategia de rezoluție, că</w:t>
            </w:r>
            <w:r w:rsidRPr="00154588">
              <w:rPr>
                <w:bCs/>
                <w:sz w:val="20"/>
                <w:szCs w:val="20"/>
              </w:rPr>
              <w:t xml:space="preserve"> sunt îndeplinite</w:t>
            </w:r>
            <w:r w:rsidR="0045723A" w:rsidRPr="00154588">
              <w:rPr>
                <w:bCs/>
                <w:sz w:val="20"/>
                <w:szCs w:val="20"/>
              </w:rPr>
              <w:t xml:space="preserve"> cumulativ</w:t>
            </w:r>
            <w:r w:rsidRPr="00154588">
              <w:rPr>
                <w:bCs/>
                <w:sz w:val="20"/>
                <w:szCs w:val="20"/>
              </w:rPr>
              <w:t xml:space="preserve"> următoare</w:t>
            </w:r>
            <w:r w:rsidR="0045723A" w:rsidRPr="00154588">
              <w:rPr>
                <w:bCs/>
                <w:sz w:val="20"/>
                <w:szCs w:val="20"/>
              </w:rPr>
              <w:t>le condiții</w:t>
            </w:r>
            <w:r w:rsidRPr="00154588">
              <w:rPr>
                <w:bCs/>
                <w:sz w:val="20"/>
                <w:szCs w:val="20"/>
              </w:rPr>
              <w:t>:</w:t>
            </w:r>
          </w:p>
          <w:p w14:paraId="2C92EEA9" w14:textId="77777777" w:rsidR="00461D67" w:rsidRPr="00154588" w:rsidRDefault="00461D67" w:rsidP="008C12B4">
            <w:pPr>
              <w:jc w:val="both"/>
              <w:rPr>
                <w:bCs/>
                <w:sz w:val="20"/>
                <w:szCs w:val="20"/>
              </w:rPr>
            </w:pPr>
          </w:p>
          <w:p w14:paraId="2BBDFD1A" w14:textId="65A4DDC6" w:rsidR="00461D67" w:rsidRPr="00154588" w:rsidRDefault="00461D67" w:rsidP="008C12B4">
            <w:pPr>
              <w:jc w:val="both"/>
              <w:rPr>
                <w:bCs/>
                <w:sz w:val="20"/>
                <w:szCs w:val="20"/>
              </w:rPr>
            </w:pPr>
            <w:r w:rsidRPr="00154588">
              <w:rPr>
                <w:bCs/>
                <w:sz w:val="20"/>
                <w:szCs w:val="20"/>
              </w:rPr>
              <w:t>(a)  instituția este în curs de a intra în dificultate sau este susceptibilă de a intra în dificultate;</w:t>
            </w:r>
          </w:p>
          <w:p w14:paraId="4A42784A" w14:textId="77777777" w:rsidR="00461D67" w:rsidRPr="00154588" w:rsidRDefault="00461D67" w:rsidP="008C12B4">
            <w:pPr>
              <w:jc w:val="both"/>
              <w:rPr>
                <w:bCs/>
                <w:sz w:val="20"/>
                <w:szCs w:val="20"/>
              </w:rPr>
            </w:pPr>
          </w:p>
          <w:p w14:paraId="66FD23DF" w14:textId="494ADE05" w:rsidR="00461D67" w:rsidRPr="00154588" w:rsidRDefault="00461D67" w:rsidP="008C12B4">
            <w:pPr>
              <w:jc w:val="both"/>
              <w:rPr>
                <w:bCs/>
                <w:sz w:val="20"/>
                <w:szCs w:val="20"/>
              </w:rPr>
            </w:pPr>
            <w:r w:rsidRPr="00154588">
              <w:rPr>
                <w:bCs/>
                <w:sz w:val="20"/>
                <w:szCs w:val="20"/>
              </w:rPr>
              <w:t>(b) având în vedere calendarul și alte circumstanțe relevante, nu există nicio perspectivă rezonabilă potrivit căreia intrarea în dificultate ar putea fi împiedicată, într-</w:t>
            </w:r>
            <w:r w:rsidR="00476435" w:rsidRPr="00154588">
              <w:rPr>
                <w:bCs/>
                <w:sz w:val="20"/>
                <w:szCs w:val="20"/>
              </w:rPr>
              <w:t xml:space="preserve">un interval de timp </w:t>
            </w:r>
            <w:r w:rsidRPr="00154588">
              <w:rPr>
                <w:bCs/>
                <w:sz w:val="20"/>
                <w:szCs w:val="20"/>
              </w:rPr>
              <w:t>rezonabil, prin măsuri alternative ale sectorului privat, inclusiv prin măsuri luate de către un SIP</w:t>
            </w:r>
            <w:r w:rsidR="00C81CAC" w:rsidRPr="00154588">
              <w:rPr>
                <w:bCs/>
                <w:sz w:val="20"/>
                <w:szCs w:val="20"/>
              </w:rPr>
              <w:t>,</w:t>
            </w:r>
            <w:r w:rsidR="00C81CAC" w:rsidRPr="00154588">
              <w:t xml:space="preserve"> </w:t>
            </w:r>
            <w:r w:rsidR="00C81CAC" w:rsidRPr="00154588">
              <w:rPr>
                <w:bCs/>
                <w:sz w:val="20"/>
                <w:szCs w:val="20"/>
              </w:rPr>
              <w:t>prin măsurile preventive menționate la articolul 11 alineatul (3) din Directiva 2014/49/UE,</w:t>
            </w:r>
            <w:r w:rsidRPr="00154588">
              <w:rPr>
                <w:bCs/>
                <w:sz w:val="20"/>
                <w:szCs w:val="20"/>
              </w:rPr>
              <w:t xml:space="preserve"> prin măsuri de supraveghere,  prin măsuri de intervenție timpurie sau prin reducerea valorii</w:t>
            </w:r>
            <w:r w:rsidR="00C81CAC" w:rsidRPr="00154588">
              <w:rPr>
                <w:bCs/>
                <w:sz w:val="20"/>
                <w:szCs w:val="20"/>
              </w:rPr>
              <w:t xml:space="preserve"> contabile</w:t>
            </w:r>
            <w:r w:rsidRPr="00154588">
              <w:rPr>
                <w:bCs/>
                <w:sz w:val="20"/>
                <w:szCs w:val="20"/>
              </w:rPr>
              <w:t xml:space="preserve"> sau conversia instrumentelor de capital relevante și a datoriilor</w:t>
            </w:r>
            <w:r w:rsidR="003E5ACF" w:rsidRPr="00154588">
              <w:rPr>
                <w:bCs/>
                <w:sz w:val="20"/>
                <w:szCs w:val="20"/>
              </w:rPr>
              <w:t xml:space="preserve"> eligibile, </w:t>
            </w:r>
            <w:r w:rsidRPr="00154588">
              <w:rPr>
                <w:bCs/>
                <w:sz w:val="20"/>
                <w:szCs w:val="20"/>
              </w:rPr>
              <w:t xml:space="preserve"> </w:t>
            </w:r>
            <w:r w:rsidR="00C81CAC" w:rsidRPr="00154588">
              <w:rPr>
                <w:bCs/>
                <w:sz w:val="20"/>
                <w:szCs w:val="20"/>
              </w:rPr>
              <w:t>astfel cum se menționează la</w:t>
            </w:r>
            <w:r w:rsidR="00C81CAC" w:rsidRPr="00154588" w:rsidDel="00C81CAC">
              <w:rPr>
                <w:bCs/>
                <w:sz w:val="20"/>
                <w:szCs w:val="20"/>
              </w:rPr>
              <w:t xml:space="preserve"> </w:t>
            </w:r>
            <w:r w:rsidRPr="00154588">
              <w:rPr>
                <w:bCs/>
                <w:sz w:val="20"/>
                <w:szCs w:val="20"/>
              </w:rPr>
              <w:t>articolul 59 alineatul (2)</w:t>
            </w:r>
            <w:r w:rsidR="00C81CAC" w:rsidRPr="00154588">
              <w:rPr>
                <w:bCs/>
                <w:sz w:val="20"/>
                <w:szCs w:val="20"/>
              </w:rPr>
              <w:t xml:space="preserve"> din prezenta directivă</w:t>
            </w:r>
            <w:r w:rsidRPr="00154588">
              <w:rPr>
                <w:bCs/>
                <w:sz w:val="20"/>
                <w:szCs w:val="20"/>
              </w:rPr>
              <w:t xml:space="preserve">, </w:t>
            </w:r>
            <w:r w:rsidR="00C81CAC" w:rsidRPr="00154588">
              <w:rPr>
                <w:bCs/>
                <w:sz w:val="20"/>
                <w:szCs w:val="20"/>
              </w:rPr>
              <w:t>întreprinse în legătură cu instituția</w:t>
            </w:r>
            <w:r w:rsidR="003E5ACF" w:rsidRPr="00154588">
              <w:rPr>
                <w:bCs/>
                <w:sz w:val="20"/>
                <w:szCs w:val="20"/>
              </w:rPr>
              <w:t xml:space="preserve"> </w:t>
            </w:r>
            <w:r w:rsidR="00C81CAC" w:rsidRPr="00154588">
              <w:rPr>
                <w:bCs/>
                <w:sz w:val="20"/>
                <w:szCs w:val="20"/>
              </w:rPr>
              <w:t>respectivă;</w:t>
            </w:r>
            <w:r w:rsidR="00C81CAC" w:rsidRPr="00154588" w:rsidDel="00C81CAC">
              <w:rPr>
                <w:bCs/>
                <w:sz w:val="20"/>
                <w:szCs w:val="20"/>
              </w:rPr>
              <w:t xml:space="preserve"> </w:t>
            </w:r>
            <w:r w:rsidR="00C81CAC" w:rsidRPr="00154588">
              <w:rPr>
                <w:bCs/>
                <w:sz w:val="20"/>
                <w:szCs w:val="20"/>
              </w:rPr>
              <w:t xml:space="preserve"> </w:t>
            </w:r>
            <w:r w:rsidRPr="00154588">
              <w:rPr>
                <w:bCs/>
                <w:sz w:val="20"/>
                <w:szCs w:val="20"/>
              </w:rPr>
              <w:t>(c)</w:t>
            </w:r>
            <w:r w:rsidR="00C81CAC" w:rsidRPr="00154588">
              <w:rPr>
                <w:bCs/>
                <w:sz w:val="20"/>
                <w:szCs w:val="20"/>
              </w:rPr>
              <w:t xml:space="preserve"> o</w:t>
            </w:r>
            <w:r w:rsidRPr="00154588">
              <w:rPr>
                <w:bCs/>
                <w:sz w:val="20"/>
                <w:szCs w:val="20"/>
              </w:rPr>
              <w:t xml:space="preserve"> măsur</w:t>
            </w:r>
            <w:r w:rsidR="00C81CAC" w:rsidRPr="00154588">
              <w:rPr>
                <w:bCs/>
                <w:sz w:val="20"/>
                <w:szCs w:val="20"/>
              </w:rPr>
              <w:t>ă</w:t>
            </w:r>
            <w:r w:rsidRPr="00154588">
              <w:rPr>
                <w:bCs/>
                <w:sz w:val="20"/>
                <w:szCs w:val="20"/>
              </w:rPr>
              <w:t xml:space="preserve"> de rezoluție este necesară</w:t>
            </w:r>
            <w:r w:rsidR="003E5ACF" w:rsidRPr="00154588">
              <w:rPr>
                <w:bCs/>
                <w:sz w:val="20"/>
                <w:szCs w:val="20"/>
              </w:rPr>
              <w:t xml:space="preserve"> pentru</w:t>
            </w:r>
            <w:r w:rsidRPr="00154588">
              <w:rPr>
                <w:bCs/>
                <w:sz w:val="20"/>
                <w:szCs w:val="20"/>
              </w:rPr>
              <w:t xml:space="preserve"> </w:t>
            </w:r>
            <w:r w:rsidR="003E5ACF" w:rsidRPr="00154588">
              <w:rPr>
                <w:bCs/>
                <w:sz w:val="20"/>
                <w:szCs w:val="20"/>
              </w:rPr>
              <w:t xml:space="preserve">realizarea </w:t>
            </w:r>
            <w:r w:rsidRPr="00154588">
              <w:rPr>
                <w:bCs/>
                <w:sz w:val="20"/>
                <w:szCs w:val="20"/>
              </w:rPr>
              <w:t xml:space="preserve"> interesul</w:t>
            </w:r>
            <w:r w:rsidR="003E5ACF" w:rsidRPr="00154588">
              <w:rPr>
                <w:bCs/>
                <w:sz w:val="20"/>
                <w:szCs w:val="20"/>
              </w:rPr>
              <w:t>ui</w:t>
            </w:r>
            <w:r w:rsidRPr="00154588">
              <w:rPr>
                <w:bCs/>
                <w:sz w:val="20"/>
                <w:szCs w:val="20"/>
              </w:rPr>
              <w:t xml:space="preserve"> public în sensul alineatului (5).</w:t>
            </w:r>
          </w:p>
        </w:tc>
        <w:tc>
          <w:tcPr>
            <w:tcW w:w="4819" w:type="dxa"/>
          </w:tcPr>
          <w:p w14:paraId="19FFA0A1" w14:textId="2F1F00A5" w:rsidR="00461D67" w:rsidRPr="00154588" w:rsidRDefault="00461D67" w:rsidP="008C12B4">
            <w:pPr>
              <w:ind w:firstLine="684"/>
              <w:jc w:val="both"/>
              <w:rPr>
                <w:bCs/>
                <w:sz w:val="20"/>
                <w:szCs w:val="20"/>
                <w:lang w:val="ro-MD"/>
              </w:rPr>
            </w:pPr>
            <w:r w:rsidRPr="00154588">
              <w:rPr>
                <w:b/>
                <w:sz w:val="20"/>
                <w:szCs w:val="20"/>
                <w:lang w:val="ro-MD"/>
              </w:rPr>
              <w:lastRenderedPageBreak/>
              <w:t>Articolul 58.</w:t>
            </w:r>
            <w:r w:rsidRPr="00154588">
              <w:rPr>
                <w:bCs/>
                <w:sz w:val="20"/>
                <w:szCs w:val="20"/>
                <w:lang w:val="ro-MD"/>
              </w:rPr>
              <w:t xml:space="preserve"> – (1) Banca Naţională a Moldovei, în calitate de autoritate de rezoluţie, întreprinde o acţiune de rezoluţie cu privire la o instituțiile prevăzute la art.3 alin.(1) în cazul în care</w:t>
            </w:r>
            <w:r w:rsidR="00F66137" w:rsidRPr="00154588">
              <w:rPr>
                <w:bCs/>
                <w:sz w:val="20"/>
                <w:szCs w:val="20"/>
                <w:lang w:val="ro-MD"/>
              </w:rPr>
              <w:t xml:space="preserve">, la primirea unei </w:t>
            </w:r>
            <w:r w:rsidR="00437F6D" w:rsidRPr="00154588">
              <w:rPr>
                <w:bCs/>
                <w:sz w:val="20"/>
                <w:szCs w:val="20"/>
                <w:lang w:val="ro-MD"/>
              </w:rPr>
              <w:t>comunicări</w:t>
            </w:r>
            <w:r w:rsidR="00F66137" w:rsidRPr="00154588">
              <w:rPr>
                <w:bCs/>
                <w:sz w:val="20"/>
                <w:szCs w:val="20"/>
                <w:lang w:val="ro-MD"/>
              </w:rPr>
              <w:t xml:space="preserve">  </w:t>
            </w:r>
            <w:r w:rsidR="001A75B8" w:rsidRPr="00154588">
              <w:rPr>
                <w:bCs/>
                <w:sz w:val="20"/>
                <w:szCs w:val="20"/>
              </w:rPr>
              <w:t>î</w:t>
            </w:r>
            <w:r w:rsidR="00F66137" w:rsidRPr="00154588">
              <w:rPr>
                <w:bCs/>
                <w:sz w:val="20"/>
                <w:szCs w:val="20"/>
                <w:lang w:val="ro-MD"/>
              </w:rPr>
              <w:t xml:space="preserve">n </w:t>
            </w:r>
            <w:r w:rsidR="00F66137" w:rsidRPr="00154588">
              <w:rPr>
                <w:bCs/>
                <w:sz w:val="20"/>
                <w:szCs w:val="20"/>
                <w:lang w:val="ro-MD"/>
              </w:rPr>
              <w:lastRenderedPageBreak/>
              <w:t xml:space="preserve">temeiul alin. </w:t>
            </w:r>
            <w:r w:rsidR="00F66137" w:rsidRPr="00154588">
              <w:rPr>
                <w:sz w:val="20"/>
                <w:szCs w:val="20"/>
                <w:lang w:val="ro-MD"/>
              </w:rPr>
              <w:t>(</w:t>
            </w:r>
            <w:r w:rsidR="00210A39" w:rsidRPr="00154588">
              <w:rPr>
                <w:sz w:val="20"/>
                <w:szCs w:val="20"/>
                <w:lang w:val="ro-MD"/>
              </w:rPr>
              <w:t>3</w:t>
            </w:r>
            <w:r w:rsidR="00F66137" w:rsidRPr="00154588">
              <w:rPr>
                <w:sz w:val="20"/>
                <w:szCs w:val="20"/>
                <w:lang w:val="ro-MD"/>
              </w:rPr>
              <w:t>)</w:t>
            </w:r>
            <w:r w:rsidR="00F66137" w:rsidRPr="00154588">
              <w:rPr>
                <w:bCs/>
                <w:sz w:val="20"/>
                <w:szCs w:val="20"/>
                <w:lang w:val="ro-MD"/>
              </w:rPr>
              <w:t xml:space="preserve"> sau din proprie inițiativă</w:t>
            </w:r>
            <w:r w:rsidR="00566CFF" w:rsidRPr="00154588">
              <w:rPr>
                <w:bCs/>
                <w:sz w:val="20"/>
                <w:szCs w:val="20"/>
                <w:lang w:val="ro-MD"/>
              </w:rPr>
              <w:t>,</w:t>
            </w:r>
            <w:r w:rsidRPr="00154588">
              <w:rPr>
                <w:bCs/>
                <w:sz w:val="20"/>
                <w:szCs w:val="20"/>
                <w:lang w:val="ro-MD"/>
              </w:rPr>
              <w:t xml:space="preserve"> </w:t>
            </w:r>
            <w:r w:rsidR="00566CFF" w:rsidRPr="00154588">
              <w:rPr>
                <w:bCs/>
                <w:sz w:val="20"/>
                <w:szCs w:val="20"/>
              </w:rPr>
              <w:t>și având în vedere necesitatea de a pune în aplicare în mod eficace strategia de rezoluție,</w:t>
            </w:r>
            <w:r w:rsidR="00F66137" w:rsidRPr="00154588">
              <w:rPr>
                <w:bCs/>
                <w:sz w:val="20"/>
                <w:szCs w:val="20"/>
                <w:lang w:val="ro-MD"/>
              </w:rPr>
              <w:t xml:space="preserve">stabilește </w:t>
            </w:r>
            <w:r w:rsidRPr="00154588">
              <w:rPr>
                <w:bCs/>
                <w:sz w:val="20"/>
                <w:szCs w:val="20"/>
                <w:lang w:val="ro-MD"/>
              </w:rPr>
              <w:t>că s</w:t>
            </w:r>
            <w:r w:rsidR="00F66137" w:rsidRPr="00154588">
              <w:rPr>
                <w:bCs/>
                <w:sz w:val="20"/>
                <w:szCs w:val="20"/>
                <w:lang w:val="ro-MD"/>
              </w:rPr>
              <w:t>u</w:t>
            </w:r>
            <w:r w:rsidRPr="00154588">
              <w:rPr>
                <w:bCs/>
                <w:sz w:val="20"/>
                <w:szCs w:val="20"/>
                <w:lang w:val="ro-MD"/>
              </w:rPr>
              <w:t>nt îndeplinite cumulativ condiţiile următoare:</w:t>
            </w:r>
          </w:p>
          <w:p w14:paraId="7EC20BA3" w14:textId="69206932" w:rsidR="00461D67" w:rsidRPr="00154588" w:rsidRDefault="00461D67" w:rsidP="008C12B4">
            <w:pPr>
              <w:ind w:firstLine="684"/>
              <w:jc w:val="both"/>
              <w:rPr>
                <w:bCs/>
                <w:sz w:val="20"/>
                <w:szCs w:val="20"/>
                <w:lang w:val="ro-MD"/>
              </w:rPr>
            </w:pPr>
            <w:r w:rsidRPr="00154588">
              <w:rPr>
                <w:bCs/>
                <w:sz w:val="20"/>
                <w:szCs w:val="20"/>
                <w:lang w:val="ro-MD"/>
              </w:rPr>
              <w:t>a) instituția de credit intră sau este susceptibilă de a intra într-o stare de dificultate;</w:t>
            </w:r>
          </w:p>
          <w:p w14:paraId="75457388" w14:textId="38AB361B" w:rsidR="00461D67" w:rsidRPr="00154588" w:rsidRDefault="00461D67" w:rsidP="008C12B4">
            <w:pPr>
              <w:ind w:firstLine="684"/>
              <w:jc w:val="both"/>
              <w:rPr>
                <w:bCs/>
                <w:sz w:val="20"/>
                <w:szCs w:val="20"/>
                <w:lang w:val="ro-MD"/>
              </w:rPr>
            </w:pPr>
            <w:r w:rsidRPr="00154588">
              <w:rPr>
                <w:bCs/>
                <w:sz w:val="20"/>
                <w:szCs w:val="20"/>
                <w:lang w:val="ro-MD"/>
              </w:rPr>
              <w:t xml:space="preserve">b) </w:t>
            </w:r>
            <w:r w:rsidR="006A7254" w:rsidRPr="00154588">
              <w:rPr>
                <w:bCs/>
                <w:sz w:val="20"/>
                <w:szCs w:val="20"/>
                <w:lang w:val="ro-MD"/>
              </w:rPr>
              <w:t>având</w:t>
            </w:r>
            <w:r w:rsidRPr="00154588">
              <w:rPr>
                <w:bCs/>
                <w:sz w:val="20"/>
                <w:szCs w:val="20"/>
                <w:lang w:val="ro-MD"/>
              </w:rPr>
              <w:t xml:space="preserve"> în vedere orizontul de timp şi alte circumstanţe relevante, nu există nicio perspectivă rezonabilă potrivit căreia </w:t>
            </w:r>
            <w:r w:rsidR="00F66137" w:rsidRPr="00154588">
              <w:rPr>
                <w:bCs/>
                <w:sz w:val="20"/>
                <w:szCs w:val="20"/>
                <w:lang w:val="ro-MD"/>
              </w:rPr>
              <w:t xml:space="preserve">intrarea în </w:t>
            </w:r>
            <w:r w:rsidRPr="00154588">
              <w:rPr>
                <w:bCs/>
                <w:sz w:val="20"/>
                <w:szCs w:val="20"/>
                <w:lang w:val="ro-MD"/>
              </w:rPr>
              <w:t xml:space="preserve">dificultate ar putea fi împiedicată, într-o perioadă rezonabilă, prin măsuri alternative ale sectorului privat, inclusiv măsuri luate de către un sistem instituţional de protecţie, </w:t>
            </w:r>
            <w:r w:rsidR="00F66137" w:rsidRPr="00154588">
              <w:rPr>
                <w:bCs/>
                <w:sz w:val="20"/>
                <w:szCs w:val="20"/>
                <w:lang w:val="ro-MD"/>
              </w:rPr>
              <w:t xml:space="preserve">prin măsurile preventive prevăzute de Legea 160/2023, </w:t>
            </w:r>
            <w:r w:rsidRPr="00154588">
              <w:rPr>
                <w:bCs/>
                <w:sz w:val="20"/>
                <w:szCs w:val="20"/>
                <w:lang w:val="ro-MD"/>
              </w:rPr>
              <w:t xml:space="preserve">prin măsuri de supraveghere, inclusiv măsuri de intervenţie timpurie sau măsuri de reducere a valorii </w:t>
            </w:r>
            <w:r w:rsidR="004B52E5" w:rsidRPr="00154588">
              <w:rPr>
                <w:bCs/>
                <w:sz w:val="20"/>
                <w:szCs w:val="20"/>
                <w:lang w:val="ro-MD"/>
              </w:rPr>
              <w:t xml:space="preserve">contabile </w:t>
            </w:r>
            <w:r w:rsidRPr="00154588">
              <w:rPr>
                <w:bCs/>
                <w:sz w:val="20"/>
                <w:szCs w:val="20"/>
                <w:lang w:val="ro-MD"/>
              </w:rPr>
              <w:t>sau de conversie a instrumentelor de capital relevante</w:t>
            </w:r>
            <w:r w:rsidR="004B52E5" w:rsidRPr="00154588">
              <w:rPr>
                <w:bCs/>
                <w:sz w:val="20"/>
                <w:szCs w:val="20"/>
                <w:lang w:val="ro-MD"/>
              </w:rPr>
              <w:t xml:space="preserve"> și a datoriilor eligibile</w:t>
            </w:r>
            <w:r w:rsidRPr="00154588">
              <w:rPr>
                <w:bCs/>
                <w:sz w:val="20"/>
                <w:szCs w:val="20"/>
                <w:lang w:val="ro-MD"/>
              </w:rPr>
              <w:t>, în conformitate cu prevederile art.220, luate în legătură cu instituția de credit în cauză;</w:t>
            </w:r>
          </w:p>
          <w:p w14:paraId="39D8FBC2" w14:textId="1B478C6B" w:rsidR="00461D67" w:rsidRPr="00154588" w:rsidRDefault="00461D67" w:rsidP="008C12B4">
            <w:pPr>
              <w:ind w:firstLine="684"/>
              <w:jc w:val="both"/>
              <w:rPr>
                <w:bCs/>
                <w:sz w:val="20"/>
                <w:szCs w:val="20"/>
                <w:lang w:val="ro-MD"/>
              </w:rPr>
            </w:pPr>
            <w:r w:rsidRPr="00154588">
              <w:rPr>
                <w:bCs/>
                <w:sz w:val="20"/>
                <w:szCs w:val="20"/>
                <w:lang w:val="ro-MD"/>
              </w:rPr>
              <w:t xml:space="preserve">c) acţiunea de rezoluţie este necesară </w:t>
            </w:r>
            <w:r w:rsidR="004B52E5" w:rsidRPr="00154588">
              <w:rPr>
                <w:bCs/>
                <w:sz w:val="20"/>
                <w:szCs w:val="20"/>
                <w:lang w:val="ro-MD"/>
              </w:rPr>
              <w:t xml:space="preserve">pentru realizarea </w:t>
            </w:r>
            <w:r w:rsidRPr="00154588">
              <w:rPr>
                <w:bCs/>
                <w:sz w:val="20"/>
                <w:szCs w:val="20"/>
                <w:lang w:val="ro-MD"/>
              </w:rPr>
              <w:t xml:space="preserve"> interesului public în sensul art.60</w:t>
            </w:r>
            <w:r w:rsidR="00194095" w:rsidRPr="00154588">
              <w:rPr>
                <w:bCs/>
                <w:sz w:val="20"/>
                <w:szCs w:val="20"/>
                <w:lang w:val="ro-MD"/>
              </w:rPr>
              <w:t xml:space="preserve"> alin.(1)</w:t>
            </w:r>
            <w:r w:rsidRPr="00154588">
              <w:rPr>
                <w:bCs/>
                <w:sz w:val="20"/>
                <w:szCs w:val="20"/>
                <w:lang w:val="ro-MD"/>
              </w:rPr>
              <w:t>.</w:t>
            </w:r>
          </w:p>
        </w:tc>
        <w:tc>
          <w:tcPr>
            <w:tcW w:w="2552" w:type="dxa"/>
          </w:tcPr>
          <w:p w14:paraId="1430024A" w14:textId="12D80E32" w:rsidR="00461D67" w:rsidRPr="00154588" w:rsidRDefault="00461D67" w:rsidP="008C12B4">
            <w:pPr>
              <w:jc w:val="both"/>
              <w:rPr>
                <w:bCs/>
                <w:sz w:val="20"/>
                <w:szCs w:val="20"/>
              </w:rPr>
            </w:pPr>
            <w:r w:rsidRPr="00154588">
              <w:rPr>
                <w:bCs/>
                <w:sz w:val="20"/>
                <w:szCs w:val="20"/>
              </w:rPr>
              <w:lastRenderedPageBreak/>
              <w:t>Compatibil</w:t>
            </w:r>
          </w:p>
        </w:tc>
        <w:tc>
          <w:tcPr>
            <w:tcW w:w="3118" w:type="dxa"/>
          </w:tcPr>
          <w:p w14:paraId="10D496F2" w14:textId="49DA85CF" w:rsidR="00B6081A" w:rsidRPr="00154588" w:rsidRDefault="00B6081A" w:rsidP="008C12B4">
            <w:pPr>
              <w:jc w:val="both"/>
              <w:rPr>
                <w:bCs/>
                <w:sz w:val="20"/>
                <w:szCs w:val="20"/>
              </w:rPr>
            </w:pPr>
          </w:p>
        </w:tc>
      </w:tr>
      <w:tr w:rsidR="00461D67" w:rsidRPr="00154588" w14:paraId="387F30CE" w14:textId="77777777" w:rsidTr="00D15C1B">
        <w:trPr>
          <w:jc w:val="center"/>
        </w:trPr>
        <w:tc>
          <w:tcPr>
            <w:tcW w:w="4957" w:type="dxa"/>
            <w:gridSpan w:val="2"/>
          </w:tcPr>
          <w:p w14:paraId="4C37805C" w14:textId="22E299D9" w:rsidR="003E5ACF" w:rsidRPr="00154588" w:rsidRDefault="00461D67" w:rsidP="008C12B4">
            <w:pPr>
              <w:jc w:val="both"/>
              <w:rPr>
                <w:bCs/>
                <w:sz w:val="20"/>
                <w:szCs w:val="20"/>
              </w:rPr>
            </w:pPr>
            <w:r w:rsidRPr="00154588">
              <w:rPr>
                <w:bCs/>
                <w:sz w:val="20"/>
                <w:szCs w:val="20"/>
              </w:rPr>
              <w:t xml:space="preserve">(2)   Statele membre </w:t>
            </w:r>
            <w:r w:rsidR="003E5ACF" w:rsidRPr="00154588">
              <w:rPr>
                <w:bCs/>
                <w:sz w:val="20"/>
                <w:szCs w:val="20"/>
              </w:rPr>
              <w:t xml:space="preserve"> se asigură că </w:t>
            </w:r>
            <w:r w:rsidRPr="00154588">
              <w:rPr>
                <w:b/>
                <w:sz w:val="20"/>
                <w:szCs w:val="20"/>
              </w:rPr>
              <w:t>autoritatea competentă</w:t>
            </w:r>
            <w:r w:rsidR="003E5ACF" w:rsidRPr="00154588">
              <w:t xml:space="preserve"> </w:t>
            </w:r>
            <w:r w:rsidR="003E5ACF" w:rsidRPr="00154588">
              <w:rPr>
                <w:bCs/>
                <w:sz w:val="20"/>
                <w:szCs w:val="20"/>
              </w:rPr>
              <w:t>efectuează o evaluare a condiției menționate la alineatul (1) litera (a), după consultarea autorității de rezoluție.</w:t>
            </w:r>
          </w:p>
          <w:p w14:paraId="1B824388" w14:textId="77777777" w:rsidR="004B52E5" w:rsidRPr="00154588" w:rsidRDefault="004B52E5" w:rsidP="008C12B4">
            <w:pPr>
              <w:jc w:val="both"/>
              <w:rPr>
                <w:bCs/>
                <w:sz w:val="20"/>
                <w:szCs w:val="20"/>
              </w:rPr>
            </w:pPr>
          </w:p>
          <w:p w14:paraId="6ABEC17A" w14:textId="77777777" w:rsidR="003E5ACF" w:rsidRPr="00154588" w:rsidRDefault="003E5ACF" w:rsidP="008C12B4">
            <w:pPr>
              <w:jc w:val="both"/>
              <w:rPr>
                <w:bCs/>
                <w:sz w:val="20"/>
                <w:szCs w:val="20"/>
              </w:rPr>
            </w:pPr>
            <w:r w:rsidRPr="00154588">
              <w:rPr>
                <w:bCs/>
                <w:sz w:val="20"/>
                <w:szCs w:val="20"/>
              </w:rPr>
              <w:t xml:space="preserve">Statele membre pot să prevadă faptul că, pe lângă autoritatea competentă, evaluarea îndeplinirii condiției menționate la alineatul (1) litera (a) poate fi efectuată de autoritatea de rezoluție, în urma consultării autorității competente, în cazul în care autoritățile de rezoluție în temeiul dreptului intern dispun de instrumentele necesare pentru a efectua această evaluare inclusiv, în special, de acces adecvat la informațiile relevante. În acest caz, statele membre se asigură că autoritatea competentă comunică fără întârziere autorității de rezoluție orice informații relevante pe care aceasta din urmă le solicită pentru a-și putea efectua evaluarea, înainte sau după ce a fost informată de către autoritatea de rezoluție cu privire la intenția sa de a efectua evaluarea respectivă. </w:t>
            </w:r>
          </w:p>
          <w:p w14:paraId="37010E26" w14:textId="77777777" w:rsidR="003E5ACF" w:rsidRPr="00154588" w:rsidRDefault="003E5ACF" w:rsidP="008C12B4">
            <w:pPr>
              <w:jc w:val="both"/>
              <w:rPr>
                <w:bCs/>
                <w:sz w:val="20"/>
                <w:szCs w:val="20"/>
              </w:rPr>
            </w:pPr>
          </w:p>
          <w:p w14:paraId="0753F49E" w14:textId="77777777" w:rsidR="003E5ACF" w:rsidRPr="00154588" w:rsidRDefault="003E5ACF" w:rsidP="008C12B4">
            <w:pPr>
              <w:jc w:val="both"/>
              <w:rPr>
                <w:bCs/>
                <w:sz w:val="20"/>
                <w:szCs w:val="20"/>
              </w:rPr>
            </w:pPr>
            <w:r w:rsidRPr="00154588">
              <w:rPr>
                <w:bCs/>
                <w:sz w:val="20"/>
                <w:szCs w:val="20"/>
              </w:rPr>
              <w:t xml:space="preserve">Evaluarea îndeplinirii condiției menționate la alineatul (1) litera (b) este efectuată de autoritatea de rezoluție în strânsă cooperare cu autoritatea competentă. Autoritatea competentă comunică fără întârziere autorității de rezoluție orice informații relevante pe care autoritatea de rezoluție le </w:t>
            </w:r>
            <w:r w:rsidRPr="00154588">
              <w:rPr>
                <w:bCs/>
                <w:sz w:val="20"/>
                <w:szCs w:val="20"/>
              </w:rPr>
              <w:lastRenderedPageBreak/>
              <w:t xml:space="preserve">solicită pentru a efectua evaluarea. Autoritatea competentă poate, de asemenea, să comunice autorității de rezoluție concluzia sa că este îndeplinită condiția prevăzută la alineatul (1) litera (b). </w:t>
            </w:r>
          </w:p>
          <w:p w14:paraId="0B038E3A" w14:textId="77777777" w:rsidR="003E5ACF" w:rsidRPr="00154588" w:rsidRDefault="003E5ACF" w:rsidP="008C12B4">
            <w:pPr>
              <w:jc w:val="both"/>
              <w:rPr>
                <w:bCs/>
                <w:sz w:val="20"/>
                <w:szCs w:val="20"/>
              </w:rPr>
            </w:pPr>
          </w:p>
          <w:p w14:paraId="1AE584B1" w14:textId="77777777" w:rsidR="003E5ACF" w:rsidRPr="00154588" w:rsidRDefault="003E5ACF" w:rsidP="008C12B4">
            <w:pPr>
              <w:jc w:val="both"/>
              <w:rPr>
                <w:bCs/>
                <w:sz w:val="20"/>
                <w:szCs w:val="20"/>
              </w:rPr>
            </w:pPr>
            <w:r w:rsidRPr="00154588">
              <w:rPr>
                <w:bCs/>
                <w:sz w:val="20"/>
                <w:szCs w:val="20"/>
              </w:rPr>
              <w:t xml:space="preserve">Atunci când evaluează îndeplinirea condițiile menționate la alineatul (1) literele (a) și (b), autoritatea competentă sau autoritatea de rezoluție solicită cele mai recente informații disponibile de la schema de garantare a depozitelor sau, după caz, de la SIP al cărui membru este instituția, care ar fi relevante pentru o astfel de evaluare, inclusiv dacă schema de garantare a depozitelor sau SIP poate preveni intrarea în dificultate.  </w:t>
            </w:r>
          </w:p>
          <w:p w14:paraId="551B724C" w14:textId="091F2592" w:rsidR="00461D67" w:rsidRPr="00154588" w:rsidRDefault="00461D67" w:rsidP="008C12B4">
            <w:pPr>
              <w:jc w:val="both"/>
              <w:rPr>
                <w:bCs/>
                <w:sz w:val="20"/>
                <w:szCs w:val="20"/>
              </w:rPr>
            </w:pPr>
          </w:p>
        </w:tc>
        <w:tc>
          <w:tcPr>
            <w:tcW w:w="4819" w:type="dxa"/>
          </w:tcPr>
          <w:p w14:paraId="42D70D14" w14:textId="0AF10166" w:rsidR="00A23B50" w:rsidRPr="00154588" w:rsidRDefault="00461D67" w:rsidP="008C12B4">
            <w:pPr>
              <w:jc w:val="both"/>
              <w:rPr>
                <w:bCs/>
                <w:sz w:val="20"/>
                <w:szCs w:val="20"/>
              </w:rPr>
            </w:pPr>
            <w:r w:rsidRPr="00154588">
              <w:rPr>
                <w:bCs/>
                <w:sz w:val="20"/>
                <w:szCs w:val="20"/>
              </w:rPr>
              <w:lastRenderedPageBreak/>
              <w:t>(</w:t>
            </w:r>
            <w:r w:rsidR="007538DD" w:rsidRPr="00154588">
              <w:rPr>
                <w:bCs/>
                <w:sz w:val="20"/>
                <w:szCs w:val="20"/>
              </w:rPr>
              <w:t>4</w:t>
            </w:r>
            <w:r w:rsidRPr="00154588">
              <w:rPr>
                <w:bCs/>
                <w:sz w:val="20"/>
                <w:szCs w:val="20"/>
              </w:rPr>
              <w:t xml:space="preserve">) Banca Naţională a Moldovei, în calitate de autoritate </w:t>
            </w:r>
            <w:r w:rsidR="00236DB8" w:rsidRPr="00154588">
              <w:rPr>
                <w:bCs/>
                <w:sz w:val="20"/>
                <w:szCs w:val="20"/>
              </w:rPr>
              <w:t xml:space="preserve"> </w:t>
            </w:r>
            <w:r w:rsidR="004B52E5" w:rsidRPr="00154588">
              <w:rPr>
                <w:bCs/>
                <w:sz w:val="20"/>
                <w:szCs w:val="20"/>
              </w:rPr>
              <w:t xml:space="preserve">competentă efectuează o evaluare a condiției </w:t>
            </w:r>
            <w:r w:rsidR="00A017D2" w:rsidRPr="00154588">
              <w:rPr>
                <w:bCs/>
                <w:sz w:val="20"/>
                <w:szCs w:val="20"/>
              </w:rPr>
              <w:t>menționate</w:t>
            </w:r>
            <w:r w:rsidR="004B52E5" w:rsidRPr="00154588">
              <w:rPr>
                <w:bCs/>
                <w:sz w:val="20"/>
                <w:szCs w:val="20"/>
              </w:rPr>
              <w:t xml:space="preserve"> la alin.(1) lit.a)</w:t>
            </w:r>
            <w:r w:rsidR="00A23B50" w:rsidRPr="00154588">
              <w:rPr>
                <w:bCs/>
                <w:sz w:val="20"/>
                <w:szCs w:val="20"/>
              </w:rPr>
              <w:t>, după consultarea autorită</w:t>
            </w:r>
            <w:r w:rsidR="0096013F" w:rsidRPr="00154588">
              <w:rPr>
                <w:bCs/>
                <w:sz w:val="20"/>
                <w:szCs w:val="20"/>
              </w:rPr>
              <w:t>ț</w:t>
            </w:r>
            <w:r w:rsidR="00A23B50" w:rsidRPr="00154588">
              <w:rPr>
                <w:bCs/>
                <w:sz w:val="20"/>
                <w:szCs w:val="20"/>
              </w:rPr>
              <w:t xml:space="preserve">ii de rezoluție. </w:t>
            </w:r>
          </w:p>
          <w:p w14:paraId="3D4F4F12" w14:textId="77777777" w:rsidR="00A23B50" w:rsidRPr="00154588" w:rsidRDefault="00A23B50" w:rsidP="008C12B4">
            <w:pPr>
              <w:jc w:val="both"/>
              <w:rPr>
                <w:bCs/>
                <w:sz w:val="20"/>
                <w:szCs w:val="20"/>
              </w:rPr>
            </w:pPr>
          </w:p>
          <w:p w14:paraId="57C313D7" w14:textId="6380FCEA" w:rsidR="00A017D2" w:rsidRPr="00154588" w:rsidRDefault="00A017D2" w:rsidP="008C12B4">
            <w:pPr>
              <w:jc w:val="both"/>
              <w:rPr>
                <w:bCs/>
                <w:sz w:val="20"/>
                <w:szCs w:val="20"/>
              </w:rPr>
            </w:pPr>
          </w:p>
          <w:p w14:paraId="64C816F7" w14:textId="77777777" w:rsidR="004B52E5" w:rsidRPr="00154588" w:rsidRDefault="004B52E5" w:rsidP="008C12B4">
            <w:pPr>
              <w:jc w:val="both"/>
              <w:rPr>
                <w:bCs/>
                <w:sz w:val="20"/>
                <w:szCs w:val="20"/>
              </w:rPr>
            </w:pPr>
          </w:p>
          <w:p w14:paraId="6B8DAAF0" w14:textId="77777777" w:rsidR="004B52E5" w:rsidRPr="00154588" w:rsidRDefault="004B52E5" w:rsidP="008C12B4">
            <w:pPr>
              <w:jc w:val="both"/>
              <w:rPr>
                <w:bCs/>
                <w:sz w:val="20"/>
                <w:szCs w:val="20"/>
              </w:rPr>
            </w:pPr>
          </w:p>
          <w:p w14:paraId="243DCDAD" w14:textId="77777777" w:rsidR="004B52E5" w:rsidRPr="00154588" w:rsidRDefault="004B52E5" w:rsidP="008C12B4">
            <w:pPr>
              <w:jc w:val="both"/>
              <w:rPr>
                <w:bCs/>
                <w:sz w:val="20"/>
                <w:szCs w:val="20"/>
              </w:rPr>
            </w:pPr>
          </w:p>
          <w:p w14:paraId="79D54FAA" w14:textId="77777777" w:rsidR="004B52E5" w:rsidRPr="00154588" w:rsidRDefault="004B52E5" w:rsidP="008C12B4">
            <w:pPr>
              <w:jc w:val="both"/>
              <w:rPr>
                <w:bCs/>
                <w:sz w:val="20"/>
                <w:szCs w:val="20"/>
              </w:rPr>
            </w:pPr>
          </w:p>
          <w:p w14:paraId="085E9A33" w14:textId="77777777" w:rsidR="00461D67" w:rsidRPr="00154588" w:rsidRDefault="00461D67" w:rsidP="008C12B4">
            <w:pPr>
              <w:jc w:val="both"/>
              <w:rPr>
                <w:bCs/>
                <w:sz w:val="20"/>
                <w:szCs w:val="20"/>
              </w:rPr>
            </w:pPr>
          </w:p>
          <w:p w14:paraId="5A98BDC3" w14:textId="77777777" w:rsidR="00A23B50" w:rsidRPr="00154588" w:rsidRDefault="00A23B50" w:rsidP="008C12B4">
            <w:pPr>
              <w:jc w:val="both"/>
              <w:rPr>
                <w:bCs/>
                <w:sz w:val="20"/>
                <w:szCs w:val="20"/>
              </w:rPr>
            </w:pPr>
          </w:p>
          <w:p w14:paraId="498CFF0B" w14:textId="77777777" w:rsidR="008D2108" w:rsidRPr="00154588" w:rsidRDefault="008D2108" w:rsidP="008C12B4">
            <w:pPr>
              <w:jc w:val="both"/>
              <w:rPr>
                <w:bCs/>
                <w:sz w:val="20"/>
                <w:szCs w:val="20"/>
              </w:rPr>
            </w:pPr>
          </w:p>
          <w:p w14:paraId="2EFC904A" w14:textId="77777777" w:rsidR="008D2108" w:rsidRPr="00154588" w:rsidRDefault="008D2108" w:rsidP="008C12B4">
            <w:pPr>
              <w:jc w:val="both"/>
              <w:rPr>
                <w:bCs/>
                <w:sz w:val="20"/>
                <w:szCs w:val="20"/>
              </w:rPr>
            </w:pPr>
          </w:p>
          <w:p w14:paraId="6113C1D9" w14:textId="77777777" w:rsidR="008D2108" w:rsidRPr="00154588" w:rsidRDefault="008D2108" w:rsidP="008C12B4">
            <w:pPr>
              <w:jc w:val="both"/>
              <w:rPr>
                <w:bCs/>
                <w:sz w:val="20"/>
                <w:szCs w:val="20"/>
              </w:rPr>
            </w:pPr>
          </w:p>
          <w:p w14:paraId="475A3372" w14:textId="77777777" w:rsidR="008D2108" w:rsidRPr="00154588" w:rsidRDefault="008D2108" w:rsidP="008C12B4">
            <w:pPr>
              <w:jc w:val="both"/>
              <w:rPr>
                <w:bCs/>
                <w:sz w:val="20"/>
                <w:szCs w:val="20"/>
              </w:rPr>
            </w:pPr>
          </w:p>
          <w:p w14:paraId="0FB9A1C8" w14:textId="77777777" w:rsidR="008D2108" w:rsidRPr="00154588" w:rsidRDefault="008D2108" w:rsidP="008C12B4">
            <w:pPr>
              <w:jc w:val="both"/>
              <w:rPr>
                <w:bCs/>
                <w:sz w:val="20"/>
                <w:szCs w:val="20"/>
              </w:rPr>
            </w:pPr>
          </w:p>
          <w:p w14:paraId="3E18B931" w14:textId="77777777" w:rsidR="008D2108" w:rsidRPr="00154588" w:rsidRDefault="008D2108" w:rsidP="008C12B4">
            <w:pPr>
              <w:jc w:val="both"/>
              <w:rPr>
                <w:bCs/>
                <w:sz w:val="20"/>
                <w:szCs w:val="20"/>
              </w:rPr>
            </w:pPr>
          </w:p>
          <w:p w14:paraId="503C554C" w14:textId="77777777" w:rsidR="008D2108" w:rsidRPr="00154588" w:rsidRDefault="008D2108" w:rsidP="008C12B4">
            <w:pPr>
              <w:jc w:val="both"/>
              <w:rPr>
                <w:bCs/>
                <w:sz w:val="20"/>
                <w:szCs w:val="20"/>
              </w:rPr>
            </w:pPr>
          </w:p>
          <w:p w14:paraId="6425B56C" w14:textId="77777777" w:rsidR="008D2108" w:rsidRPr="00154588" w:rsidRDefault="008D2108" w:rsidP="008C12B4">
            <w:pPr>
              <w:jc w:val="both"/>
              <w:rPr>
                <w:bCs/>
                <w:sz w:val="20"/>
                <w:szCs w:val="20"/>
              </w:rPr>
            </w:pPr>
          </w:p>
          <w:p w14:paraId="6921B12E" w14:textId="77777777" w:rsidR="008D2108" w:rsidRPr="00154588" w:rsidRDefault="008D2108" w:rsidP="008C12B4">
            <w:pPr>
              <w:jc w:val="both"/>
              <w:rPr>
                <w:bCs/>
                <w:sz w:val="20"/>
                <w:szCs w:val="20"/>
              </w:rPr>
            </w:pPr>
          </w:p>
          <w:p w14:paraId="4BB20584" w14:textId="5ACF51BD" w:rsidR="00A23B50" w:rsidRPr="00154588" w:rsidRDefault="00A23B50" w:rsidP="008C12B4">
            <w:pPr>
              <w:jc w:val="both"/>
              <w:rPr>
                <w:bCs/>
                <w:sz w:val="20"/>
                <w:szCs w:val="20"/>
              </w:rPr>
            </w:pPr>
            <w:r w:rsidRPr="00154588">
              <w:rPr>
                <w:bCs/>
                <w:sz w:val="20"/>
                <w:szCs w:val="20"/>
              </w:rPr>
              <w:t>(</w:t>
            </w:r>
            <w:r w:rsidR="007538DD" w:rsidRPr="00154588">
              <w:rPr>
                <w:bCs/>
                <w:sz w:val="20"/>
                <w:szCs w:val="20"/>
              </w:rPr>
              <w:t>5</w:t>
            </w:r>
            <w:r w:rsidRPr="00154588">
              <w:rPr>
                <w:bCs/>
                <w:sz w:val="20"/>
                <w:szCs w:val="20"/>
              </w:rPr>
              <w:t xml:space="preserve">) Banca Naţională a Moldovei, în calitate de autoritate  </w:t>
            </w:r>
            <w:r w:rsidR="008D2108" w:rsidRPr="00154588">
              <w:rPr>
                <w:bCs/>
                <w:sz w:val="20"/>
                <w:szCs w:val="20"/>
              </w:rPr>
              <w:t>de rezoluție</w:t>
            </w:r>
            <w:r w:rsidRPr="00154588">
              <w:rPr>
                <w:bCs/>
                <w:sz w:val="20"/>
                <w:szCs w:val="20"/>
              </w:rPr>
              <w:t xml:space="preserve"> efectuează o evaluare a condiției menționate la alin.(1) lit.</w:t>
            </w:r>
            <w:r w:rsidR="008D2108" w:rsidRPr="00154588">
              <w:rPr>
                <w:bCs/>
                <w:sz w:val="20"/>
                <w:szCs w:val="20"/>
              </w:rPr>
              <w:t>b</w:t>
            </w:r>
            <w:r w:rsidRPr="00154588">
              <w:rPr>
                <w:bCs/>
                <w:sz w:val="20"/>
                <w:szCs w:val="20"/>
              </w:rPr>
              <w:t xml:space="preserve">), </w:t>
            </w:r>
            <w:r w:rsidR="008D2108" w:rsidRPr="00154588">
              <w:rPr>
                <w:bCs/>
                <w:sz w:val="20"/>
                <w:szCs w:val="20"/>
              </w:rPr>
              <w:t>în strânsă cooperare cu</w:t>
            </w:r>
            <w:r w:rsidRPr="00154588">
              <w:rPr>
                <w:bCs/>
                <w:sz w:val="20"/>
                <w:szCs w:val="20"/>
              </w:rPr>
              <w:t xml:space="preserve"> autorit</w:t>
            </w:r>
            <w:r w:rsidR="008D2108" w:rsidRPr="00154588">
              <w:rPr>
                <w:bCs/>
                <w:sz w:val="20"/>
                <w:szCs w:val="20"/>
              </w:rPr>
              <w:t xml:space="preserve">atea competentă, care comunică fără întârziere autorității de </w:t>
            </w:r>
            <w:r w:rsidR="008D2108" w:rsidRPr="00154588">
              <w:rPr>
                <w:bCs/>
                <w:sz w:val="20"/>
                <w:szCs w:val="20"/>
              </w:rPr>
              <w:lastRenderedPageBreak/>
              <w:t>rezoluție orice informații relevante pe care autoritatea de rezoluție le solicită pentru a efectua evaluarea</w:t>
            </w:r>
            <w:r w:rsidRPr="00154588">
              <w:rPr>
                <w:bCs/>
                <w:sz w:val="20"/>
                <w:szCs w:val="20"/>
              </w:rPr>
              <w:t xml:space="preserve">. </w:t>
            </w:r>
            <w:r w:rsidR="008D2108" w:rsidRPr="00154588">
              <w:rPr>
                <w:bCs/>
                <w:sz w:val="20"/>
                <w:szCs w:val="20"/>
              </w:rPr>
              <w:t>Banca Națională în calitate de autoritatea competentă poate, de asemenea, să comunice autorității de rezoluție concluzia sa că este îndeplinită condiția prevăzută la alin</w:t>
            </w:r>
            <w:r w:rsidR="003E4999" w:rsidRPr="00154588">
              <w:rPr>
                <w:bCs/>
                <w:sz w:val="20"/>
                <w:szCs w:val="20"/>
              </w:rPr>
              <w:t>.</w:t>
            </w:r>
            <w:r w:rsidR="008D2108" w:rsidRPr="00154588">
              <w:rPr>
                <w:bCs/>
                <w:sz w:val="20"/>
                <w:szCs w:val="20"/>
              </w:rPr>
              <w:t>1) lit</w:t>
            </w:r>
            <w:r w:rsidR="003E4999" w:rsidRPr="00154588">
              <w:rPr>
                <w:bCs/>
                <w:sz w:val="20"/>
                <w:szCs w:val="20"/>
              </w:rPr>
              <w:t>.</w:t>
            </w:r>
            <w:r w:rsidR="008D2108" w:rsidRPr="00154588">
              <w:rPr>
                <w:bCs/>
                <w:sz w:val="20"/>
                <w:szCs w:val="20"/>
              </w:rPr>
              <w:t>b).</w:t>
            </w:r>
          </w:p>
          <w:p w14:paraId="4828D3B5" w14:textId="77777777" w:rsidR="008D2108" w:rsidRPr="00154588" w:rsidRDefault="008D2108" w:rsidP="008C12B4">
            <w:pPr>
              <w:jc w:val="both"/>
              <w:rPr>
                <w:bCs/>
                <w:sz w:val="20"/>
                <w:szCs w:val="20"/>
              </w:rPr>
            </w:pPr>
            <w:r w:rsidRPr="00154588">
              <w:rPr>
                <w:bCs/>
                <w:sz w:val="20"/>
                <w:szCs w:val="20"/>
              </w:rPr>
              <w:t xml:space="preserve"> </w:t>
            </w:r>
          </w:p>
          <w:p w14:paraId="78EFF6CE" w14:textId="5E7F9587" w:rsidR="008D2108" w:rsidRPr="00154588" w:rsidRDefault="008D2108" w:rsidP="008C12B4">
            <w:pPr>
              <w:jc w:val="both"/>
              <w:rPr>
                <w:bCs/>
                <w:sz w:val="20"/>
                <w:szCs w:val="20"/>
              </w:rPr>
            </w:pPr>
            <w:r w:rsidRPr="00154588">
              <w:rPr>
                <w:bCs/>
                <w:sz w:val="20"/>
                <w:szCs w:val="20"/>
              </w:rPr>
              <w:t>(</w:t>
            </w:r>
            <w:r w:rsidR="007538DD" w:rsidRPr="00154588">
              <w:rPr>
                <w:bCs/>
                <w:sz w:val="20"/>
                <w:szCs w:val="20"/>
              </w:rPr>
              <w:t>6</w:t>
            </w:r>
            <w:r w:rsidRPr="00154588">
              <w:rPr>
                <w:bCs/>
                <w:sz w:val="20"/>
                <w:szCs w:val="20"/>
              </w:rPr>
              <w:t>) Pentru evaluarea îndeplinirii condițiilor menționate la alin</w:t>
            </w:r>
            <w:r w:rsidR="003E4999" w:rsidRPr="00154588">
              <w:rPr>
                <w:bCs/>
                <w:sz w:val="20"/>
                <w:szCs w:val="20"/>
              </w:rPr>
              <w:t>.</w:t>
            </w:r>
            <w:r w:rsidRPr="00154588">
              <w:rPr>
                <w:bCs/>
                <w:sz w:val="20"/>
                <w:szCs w:val="20"/>
              </w:rPr>
              <w:t>(1) lit</w:t>
            </w:r>
            <w:r w:rsidR="003E4999" w:rsidRPr="00154588">
              <w:rPr>
                <w:bCs/>
                <w:sz w:val="20"/>
                <w:szCs w:val="20"/>
              </w:rPr>
              <w:t>.</w:t>
            </w:r>
            <w:r w:rsidRPr="00154588">
              <w:rPr>
                <w:bCs/>
                <w:sz w:val="20"/>
                <w:szCs w:val="20"/>
              </w:rPr>
              <w:t xml:space="preserve">a) și b), Banca Națională în calitate de autoritatea competentă  sau de rezoluție solicită  cele mai recente informații disponibile de la Fondul de garantare a depozitelor în sistemul bancar, sau, după caz, de la </w:t>
            </w:r>
            <w:r w:rsidRPr="00154588">
              <w:rPr>
                <w:bCs/>
                <w:sz w:val="20"/>
                <w:szCs w:val="20"/>
                <w:lang w:val="ro-MD"/>
              </w:rPr>
              <w:t xml:space="preserve">sistemul instituţional de protecţie, </w:t>
            </w:r>
            <w:r w:rsidRPr="00154588">
              <w:rPr>
                <w:bCs/>
                <w:sz w:val="20"/>
                <w:szCs w:val="20"/>
              </w:rPr>
              <w:t>al cărui membru este instituția de credit,  care ar fi relevante pentru o astfel de evaluare, inclusiv dacă Fondul de garantare a depozitelor în s</w:t>
            </w:r>
            <w:r w:rsidR="002151CA" w:rsidRPr="00154588">
              <w:rPr>
                <w:bCs/>
                <w:sz w:val="20"/>
                <w:szCs w:val="20"/>
              </w:rPr>
              <w:t>i</w:t>
            </w:r>
            <w:r w:rsidRPr="00154588">
              <w:rPr>
                <w:bCs/>
                <w:sz w:val="20"/>
                <w:szCs w:val="20"/>
              </w:rPr>
              <w:t xml:space="preserve">stemul bancar sau </w:t>
            </w:r>
            <w:r w:rsidRPr="00154588">
              <w:rPr>
                <w:bCs/>
                <w:sz w:val="20"/>
                <w:szCs w:val="20"/>
                <w:lang w:val="ro-MD"/>
              </w:rPr>
              <w:t>sistemul instituţional de protecţie,</w:t>
            </w:r>
            <w:r w:rsidRPr="00154588">
              <w:rPr>
                <w:bCs/>
                <w:sz w:val="20"/>
                <w:szCs w:val="20"/>
              </w:rPr>
              <w:t xml:space="preserve"> pot preveni intrarea în dificultate.  </w:t>
            </w:r>
          </w:p>
          <w:p w14:paraId="2F93F9BE" w14:textId="28DC36F9" w:rsidR="00A23B50" w:rsidRPr="00154588" w:rsidRDefault="00A23B50" w:rsidP="008C12B4">
            <w:pPr>
              <w:jc w:val="both"/>
              <w:rPr>
                <w:bCs/>
                <w:sz w:val="20"/>
                <w:szCs w:val="20"/>
              </w:rPr>
            </w:pPr>
          </w:p>
        </w:tc>
        <w:tc>
          <w:tcPr>
            <w:tcW w:w="2552" w:type="dxa"/>
          </w:tcPr>
          <w:p w14:paraId="7CBC36D1" w14:textId="49B5429A" w:rsidR="00461D67" w:rsidRPr="00154588" w:rsidRDefault="00461D67" w:rsidP="008C12B4">
            <w:pPr>
              <w:jc w:val="both"/>
              <w:rPr>
                <w:bCs/>
                <w:sz w:val="20"/>
                <w:szCs w:val="20"/>
              </w:rPr>
            </w:pPr>
            <w:r w:rsidRPr="00154588">
              <w:rPr>
                <w:bCs/>
                <w:sz w:val="20"/>
                <w:szCs w:val="20"/>
              </w:rPr>
              <w:lastRenderedPageBreak/>
              <w:t>Compatibil</w:t>
            </w:r>
          </w:p>
        </w:tc>
        <w:tc>
          <w:tcPr>
            <w:tcW w:w="3118" w:type="dxa"/>
          </w:tcPr>
          <w:p w14:paraId="28400CB1" w14:textId="77777777" w:rsidR="00461D67" w:rsidRPr="00154588" w:rsidRDefault="00461D67" w:rsidP="008C12B4">
            <w:pPr>
              <w:jc w:val="both"/>
              <w:rPr>
                <w:bCs/>
                <w:sz w:val="20"/>
                <w:szCs w:val="20"/>
              </w:rPr>
            </w:pPr>
          </w:p>
          <w:p w14:paraId="7A489C05" w14:textId="77777777" w:rsidR="004B52E5" w:rsidRPr="00154588" w:rsidRDefault="004B52E5" w:rsidP="008C12B4">
            <w:pPr>
              <w:jc w:val="both"/>
              <w:rPr>
                <w:bCs/>
                <w:sz w:val="20"/>
                <w:szCs w:val="20"/>
              </w:rPr>
            </w:pPr>
          </w:p>
          <w:p w14:paraId="07E59A6A" w14:textId="77777777" w:rsidR="004B52E5" w:rsidRPr="00154588" w:rsidRDefault="004B52E5" w:rsidP="008C12B4">
            <w:pPr>
              <w:jc w:val="both"/>
              <w:rPr>
                <w:bCs/>
                <w:sz w:val="20"/>
                <w:szCs w:val="20"/>
              </w:rPr>
            </w:pPr>
          </w:p>
          <w:p w14:paraId="129AEEAC" w14:textId="77777777" w:rsidR="004B52E5" w:rsidRPr="00154588" w:rsidRDefault="004B52E5" w:rsidP="008C12B4">
            <w:pPr>
              <w:jc w:val="both"/>
              <w:rPr>
                <w:bCs/>
                <w:sz w:val="20"/>
                <w:szCs w:val="20"/>
              </w:rPr>
            </w:pPr>
          </w:p>
          <w:p w14:paraId="497210E2" w14:textId="77777777" w:rsidR="004B52E5" w:rsidRPr="00154588" w:rsidRDefault="004B52E5" w:rsidP="008C12B4">
            <w:pPr>
              <w:jc w:val="both"/>
              <w:rPr>
                <w:bCs/>
                <w:sz w:val="20"/>
                <w:szCs w:val="20"/>
              </w:rPr>
            </w:pPr>
          </w:p>
          <w:p w14:paraId="5B8FDEE5" w14:textId="2AF3EEEC" w:rsidR="004B52E5" w:rsidRPr="00154588" w:rsidRDefault="004B52E5" w:rsidP="008C12B4">
            <w:pPr>
              <w:jc w:val="both"/>
              <w:rPr>
                <w:bCs/>
                <w:sz w:val="20"/>
                <w:szCs w:val="20"/>
              </w:rPr>
            </w:pPr>
            <w:r w:rsidRPr="00154588">
              <w:rPr>
                <w:bCs/>
                <w:sz w:val="20"/>
                <w:szCs w:val="20"/>
              </w:rPr>
              <w:t xml:space="preserve">Paragraful 2 </w:t>
            </w:r>
            <w:r w:rsidR="006F5D7F" w:rsidRPr="00154588">
              <w:rPr>
                <w:bCs/>
                <w:sz w:val="20"/>
                <w:szCs w:val="20"/>
              </w:rPr>
              <w:t>opțiune</w:t>
            </w:r>
            <w:r w:rsidR="00EC3FD5" w:rsidRPr="00154588">
              <w:rPr>
                <w:bCs/>
                <w:sz w:val="20"/>
                <w:szCs w:val="20"/>
              </w:rPr>
              <w:t xml:space="preserve"> </w:t>
            </w:r>
            <w:r w:rsidR="006F5D7F" w:rsidRPr="00154588">
              <w:rPr>
                <w:bCs/>
                <w:sz w:val="20"/>
                <w:szCs w:val="20"/>
              </w:rPr>
              <w:t>națională</w:t>
            </w:r>
            <w:r w:rsidR="00EC3FD5" w:rsidRPr="00154588">
              <w:rPr>
                <w:bCs/>
                <w:sz w:val="20"/>
                <w:szCs w:val="20"/>
              </w:rPr>
              <w:t xml:space="preserve"> </w:t>
            </w:r>
          </w:p>
        </w:tc>
      </w:tr>
      <w:tr w:rsidR="00461D67" w:rsidRPr="00154588" w14:paraId="76321BE5" w14:textId="77777777" w:rsidTr="00D15C1B">
        <w:trPr>
          <w:jc w:val="center"/>
        </w:trPr>
        <w:tc>
          <w:tcPr>
            <w:tcW w:w="4957" w:type="dxa"/>
            <w:gridSpan w:val="2"/>
          </w:tcPr>
          <w:p w14:paraId="42BF7DB8" w14:textId="77AEB354" w:rsidR="00461D67" w:rsidRPr="00154588" w:rsidRDefault="00461D67" w:rsidP="008C12B4">
            <w:pPr>
              <w:jc w:val="both"/>
              <w:rPr>
                <w:bCs/>
                <w:sz w:val="20"/>
                <w:szCs w:val="20"/>
              </w:rPr>
            </w:pPr>
            <w:r w:rsidRPr="00154588">
              <w:rPr>
                <w:bCs/>
                <w:sz w:val="20"/>
                <w:szCs w:val="20"/>
              </w:rPr>
              <w:t>(3)   Adoptarea prealabilă a unei măsuri de intervenție timpurie în conformitate cu articolul 27 nu constituie o condiție pentru adoptarea unei măsuri de rezoluție.</w:t>
            </w:r>
          </w:p>
        </w:tc>
        <w:tc>
          <w:tcPr>
            <w:tcW w:w="4819" w:type="dxa"/>
          </w:tcPr>
          <w:p w14:paraId="75FBF91D" w14:textId="620D674F" w:rsidR="00461D67" w:rsidRPr="00154588" w:rsidRDefault="00461D67" w:rsidP="008C12B4">
            <w:pPr>
              <w:jc w:val="both"/>
              <w:rPr>
                <w:bCs/>
                <w:sz w:val="20"/>
                <w:szCs w:val="20"/>
              </w:rPr>
            </w:pPr>
            <w:r w:rsidRPr="00154588">
              <w:rPr>
                <w:b/>
                <w:sz w:val="20"/>
                <w:szCs w:val="20"/>
              </w:rPr>
              <w:t>Articolul 58.</w:t>
            </w:r>
            <w:r w:rsidRPr="00154588">
              <w:rPr>
                <w:bCs/>
                <w:sz w:val="20"/>
                <w:szCs w:val="20"/>
              </w:rPr>
              <w:t xml:space="preserve"> – (2) Adoptarea prealabilă a vreunei măsuri de intervenție timpurie nu constituie o condiţie pentru întreprinderea unei acțiuni de rezoluție.</w:t>
            </w:r>
          </w:p>
          <w:p w14:paraId="03E7E798" w14:textId="77777777" w:rsidR="00461D67" w:rsidRPr="00154588" w:rsidRDefault="00461D67" w:rsidP="008C12B4">
            <w:pPr>
              <w:jc w:val="both"/>
              <w:rPr>
                <w:bCs/>
                <w:sz w:val="20"/>
                <w:szCs w:val="20"/>
              </w:rPr>
            </w:pPr>
          </w:p>
        </w:tc>
        <w:tc>
          <w:tcPr>
            <w:tcW w:w="2552" w:type="dxa"/>
          </w:tcPr>
          <w:p w14:paraId="5B786751" w14:textId="04543FD2" w:rsidR="00461D67" w:rsidRPr="00154588" w:rsidRDefault="00461D67" w:rsidP="008C12B4">
            <w:pPr>
              <w:jc w:val="both"/>
              <w:rPr>
                <w:bCs/>
                <w:sz w:val="20"/>
                <w:szCs w:val="20"/>
              </w:rPr>
            </w:pPr>
            <w:r w:rsidRPr="00154588">
              <w:rPr>
                <w:bCs/>
                <w:sz w:val="20"/>
                <w:szCs w:val="20"/>
              </w:rPr>
              <w:t>Compatibil</w:t>
            </w:r>
          </w:p>
        </w:tc>
        <w:tc>
          <w:tcPr>
            <w:tcW w:w="3118" w:type="dxa"/>
          </w:tcPr>
          <w:p w14:paraId="352074DB" w14:textId="77777777" w:rsidR="00461D67" w:rsidRPr="00154588" w:rsidRDefault="00461D67" w:rsidP="008C12B4">
            <w:pPr>
              <w:jc w:val="both"/>
              <w:rPr>
                <w:bCs/>
                <w:sz w:val="20"/>
                <w:szCs w:val="20"/>
              </w:rPr>
            </w:pPr>
          </w:p>
        </w:tc>
      </w:tr>
      <w:tr w:rsidR="0065562E" w:rsidRPr="00154588" w14:paraId="71C94C84" w14:textId="77777777" w:rsidTr="00D15C1B">
        <w:trPr>
          <w:jc w:val="center"/>
        </w:trPr>
        <w:tc>
          <w:tcPr>
            <w:tcW w:w="4957" w:type="dxa"/>
            <w:gridSpan w:val="2"/>
          </w:tcPr>
          <w:p w14:paraId="3025E082" w14:textId="77777777" w:rsidR="0065562E" w:rsidRPr="00154588" w:rsidRDefault="0065562E" w:rsidP="008C12B4">
            <w:pPr>
              <w:jc w:val="both"/>
              <w:rPr>
                <w:bCs/>
                <w:sz w:val="20"/>
                <w:szCs w:val="20"/>
              </w:rPr>
            </w:pPr>
          </w:p>
        </w:tc>
        <w:tc>
          <w:tcPr>
            <w:tcW w:w="4819" w:type="dxa"/>
          </w:tcPr>
          <w:p w14:paraId="382298AC" w14:textId="4CBFE6F5" w:rsidR="0065562E" w:rsidRPr="00154588" w:rsidRDefault="0065562E" w:rsidP="008C12B4">
            <w:pPr>
              <w:jc w:val="both"/>
              <w:rPr>
                <w:b/>
                <w:sz w:val="20"/>
                <w:szCs w:val="20"/>
              </w:rPr>
            </w:pPr>
            <w:r w:rsidRPr="00154588">
              <w:rPr>
                <w:bCs/>
                <w:sz w:val="20"/>
                <w:szCs w:val="20"/>
              </w:rPr>
              <w:t>(3)</w:t>
            </w:r>
            <w:r w:rsidRPr="00154588">
              <w:rPr>
                <w:b/>
                <w:sz w:val="20"/>
                <w:szCs w:val="20"/>
              </w:rPr>
              <w:t xml:space="preserve"> </w:t>
            </w:r>
            <w:r w:rsidRPr="00154588">
              <w:rPr>
                <w:bCs/>
                <w:sz w:val="20"/>
                <w:szCs w:val="20"/>
              </w:rPr>
              <w:t>Condiția prevăzută la alin. (1) lit. b) din prezentul articol se consideră îndeplinită în cazul în care acțiunile emise în condițiile art. 521 din Legea nr. 202/2017 privind activitatea băncilor nu au fost vândute în termenul de 6 luni prevăzut la alin. (15) din același articol și aceste acțiuni reprezintă cel puțin 50% din capitalul social al băncii.</w:t>
            </w:r>
          </w:p>
        </w:tc>
        <w:tc>
          <w:tcPr>
            <w:tcW w:w="2552" w:type="dxa"/>
          </w:tcPr>
          <w:p w14:paraId="2247C6DE" w14:textId="77777777" w:rsidR="0065562E" w:rsidRPr="00154588" w:rsidRDefault="0065562E" w:rsidP="008C12B4">
            <w:pPr>
              <w:jc w:val="both"/>
              <w:rPr>
                <w:bCs/>
                <w:sz w:val="20"/>
                <w:szCs w:val="20"/>
              </w:rPr>
            </w:pPr>
          </w:p>
        </w:tc>
        <w:tc>
          <w:tcPr>
            <w:tcW w:w="3118" w:type="dxa"/>
          </w:tcPr>
          <w:p w14:paraId="36A4F7F5" w14:textId="0F47DAA1" w:rsidR="0065562E" w:rsidRPr="00154588" w:rsidRDefault="008C12A9" w:rsidP="008C12B4">
            <w:pPr>
              <w:jc w:val="both"/>
              <w:rPr>
                <w:bCs/>
                <w:sz w:val="20"/>
                <w:szCs w:val="20"/>
              </w:rPr>
            </w:pPr>
            <w:r w:rsidRPr="00154588">
              <w:rPr>
                <w:bCs/>
                <w:sz w:val="20"/>
                <w:szCs w:val="20"/>
              </w:rPr>
              <w:t xml:space="preserve"> </w:t>
            </w:r>
            <w:r w:rsidR="00A02B79" w:rsidRPr="00154588">
              <w:rPr>
                <w:bCs/>
                <w:sz w:val="20"/>
                <w:szCs w:val="20"/>
              </w:rPr>
              <w:t>Opțiune națională</w:t>
            </w:r>
          </w:p>
        </w:tc>
      </w:tr>
      <w:tr w:rsidR="00461D67" w:rsidRPr="00154588" w14:paraId="14B0D3E4" w14:textId="77777777" w:rsidTr="00D15C1B">
        <w:trPr>
          <w:jc w:val="center"/>
        </w:trPr>
        <w:tc>
          <w:tcPr>
            <w:tcW w:w="4957" w:type="dxa"/>
            <w:gridSpan w:val="2"/>
          </w:tcPr>
          <w:p w14:paraId="6DA87EC9" w14:textId="77777777" w:rsidR="00461D67" w:rsidRPr="00154588" w:rsidRDefault="00461D67" w:rsidP="008C12B4">
            <w:pPr>
              <w:jc w:val="both"/>
              <w:rPr>
                <w:bCs/>
                <w:sz w:val="20"/>
                <w:szCs w:val="20"/>
              </w:rPr>
            </w:pPr>
            <w:r w:rsidRPr="00154588">
              <w:rPr>
                <w:bCs/>
                <w:sz w:val="20"/>
                <w:szCs w:val="20"/>
              </w:rPr>
              <w:t>(4)   În sensul alineatului (1) litera (a), se consideră că o instituție este în curs de a intra în dificultate sau este susceptibilă de a intra în dificultate, dacă este îndeplinită cel puțin una dintre condițiile următoare:</w:t>
            </w:r>
          </w:p>
          <w:p w14:paraId="42E5903B" w14:textId="77777777" w:rsidR="00461D67" w:rsidRPr="00154588" w:rsidRDefault="00461D67" w:rsidP="008C12B4">
            <w:pPr>
              <w:jc w:val="both"/>
              <w:rPr>
                <w:bCs/>
                <w:sz w:val="20"/>
                <w:szCs w:val="20"/>
              </w:rPr>
            </w:pPr>
          </w:p>
          <w:p w14:paraId="5C3560DF" w14:textId="21A7F16C" w:rsidR="00461D67" w:rsidRPr="00154588" w:rsidRDefault="00461D67" w:rsidP="008C12B4">
            <w:pPr>
              <w:jc w:val="both"/>
              <w:rPr>
                <w:bCs/>
                <w:sz w:val="20"/>
                <w:szCs w:val="20"/>
              </w:rPr>
            </w:pPr>
            <w:r w:rsidRPr="00154588">
              <w:rPr>
                <w:bCs/>
                <w:sz w:val="20"/>
                <w:szCs w:val="20"/>
              </w:rPr>
              <w:t>(a) instituția încalcă cerințele deținerii în continuare a autorizației sau, potrivit unor elemente obiective, se poate conchide că instituția le va încălca în viitorul apropiat, într-o măsură suficientă pentru a justifica retragerea autorizației de către autoritatea competentă, inclusiv cazul în care instituția a suportat sau este susceptibilă de a suporta pierderi care îi vor epuiza toate sau o parte semnificativă din fondurile proprii, dar fără a se limita la acesta;</w:t>
            </w:r>
          </w:p>
          <w:p w14:paraId="06D224DB" w14:textId="77777777" w:rsidR="00461D67" w:rsidRPr="00154588" w:rsidRDefault="00461D67" w:rsidP="008C12B4">
            <w:pPr>
              <w:jc w:val="both"/>
              <w:rPr>
                <w:bCs/>
                <w:sz w:val="20"/>
                <w:szCs w:val="20"/>
              </w:rPr>
            </w:pPr>
          </w:p>
          <w:p w14:paraId="3A01E122" w14:textId="77777777" w:rsidR="00236DB8" w:rsidRPr="00154588" w:rsidRDefault="00236DB8" w:rsidP="008C12B4">
            <w:pPr>
              <w:jc w:val="both"/>
              <w:rPr>
                <w:bCs/>
                <w:sz w:val="20"/>
                <w:szCs w:val="20"/>
              </w:rPr>
            </w:pPr>
          </w:p>
          <w:p w14:paraId="21509CBD" w14:textId="77777777" w:rsidR="00236DB8" w:rsidRPr="00154588" w:rsidRDefault="00236DB8" w:rsidP="008C12B4">
            <w:pPr>
              <w:jc w:val="both"/>
              <w:rPr>
                <w:bCs/>
                <w:sz w:val="20"/>
                <w:szCs w:val="20"/>
              </w:rPr>
            </w:pPr>
          </w:p>
          <w:p w14:paraId="3CC043DC" w14:textId="17C522BD" w:rsidR="00461D67" w:rsidRPr="00154588" w:rsidRDefault="00461D67" w:rsidP="008C12B4">
            <w:pPr>
              <w:jc w:val="both"/>
              <w:rPr>
                <w:bCs/>
                <w:sz w:val="20"/>
                <w:szCs w:val="20"/>
              </w:rPr>
            </w:pPr>
            <w:r w:rsidRPr="00154588">
              <w:rPr>
                <w:bCs/>
                <w:sz w:val="20"/>
                <w:szCs w:val="20"/>
              </w:rPr>
              <w:lastRenderedPageBreak/>
              <w:t>(b) activul instituției este inferior pasivului sau, potrivit unor elemente obiective, se poate conchide că acest lucru se va petrece în viitorul apropiat;</w:t>
            </w:r>
          </w:p>
          <w:p w14:paraId="7FF29182" w14:textId="77777777" w:rsidR="00461D67" w:rsidRPr="00154588" w:rsidRDefault="00461D67" w:rsidP="008C12B4">
            <w:pPr>
              <w:jc w:val="both"/>
              <w:rPr>
                <w:bCs/>
                <w:sz w:val="20"/>
                <w:szCs w:val="20"/>
              </w:rPr>
            </w:pPr>
          </w:p>
          <w:p w14:paraId="67242AD3" w14:textId="2D2392A2" w:rsidR="00461D67" w:rsidRPr="00154588" w:rsidRDefault="00461D67" w:rsidP="008C12B4">
            <w:pPr>
              <w:jc w:val="both"/>
              <w:rPr>
                <w:bCs/>
                <w:sz w:val="20"/>
                <w:szCs w:val="20"/>
              </w:rPr>
            </w:pPr>
            <w:r w:rsidRPr="00154588">
              <w:rPr>
                <w:bCs/>
                <w:sz w:val="20"/>
                <w:szCs w:val="20"/>
              </w:rPr>
              <w:t>(c) instituția se află în imposibilitatea de a-și achita datoriile sau alte pasive la scadență sau, potrivit unor elemente obiective, se poate conchide că acest lucru se va petrece în viitorul apropiat;</w:t>
            </w:r>
          </w:p>
          <w:p w14:paraId="718BC188" w14:textId="77777777" w:rsidR="00461D67" w:rsidRPr="00154588" w:rsidRDefault="00461D67" w:rsidP="008C12B4">
            <w:pPr>
              <w:jc w:val="both"/>
              <w:rPr>
                <w:bCs/>
                <w:sz w:val="20"/>
                <w:szCs w:val="20"/>
              </w:rPr>
            </w:pPr>
          </w:p>
          <w:p w14:paraId="2A7F8F79" w14:textId="77777777" w:rsidR="003E5ACF" w:rsidRPr="00154588" w:rsidRDefault="00461D67" w:rsidP="008C12B4">
            <w:pPr>
              <w:jc w:val="both"/>
              <w:rPr>
                <w:bCs/>
                <w:sz w:val="20"/>
                <w:szCs w:val="20"/>
              </w:rPr>
            </w:pPr>
            <w:r w:rsidRPr="00154588">
              <w:rPr>
                <w:bCs/>
                <w:sz w:val="20"/>
                <w:szCs w:val="20"/>
              </w:rPr>
              <w:t xml:space="preserve">(d) este necesar un sprijin financiar public extraordinar, cu excepția cazului în care, </w:t>
            </w:r>
            <w:r w:rsidR="003E5ACF" w:rsidRPr="00154588">
              <w:rPr>
                <w:bCs/>
                <w:sz w:val="20"/>
                <w:szCs w:val="20"/>
              </w:rPr>
              <w:t>acest sprijin este acordat în una dintre formele menționate la articolul 32c.</w:t>
            </w:r>
          </w:p>
          <w:p w14:paraId="0B79C320" w14:textId="5F983C06" w:rsidR="00461D67" w:rsidRPr="00154588" w:rsidRDefault="00461D67" w:rsidP="008C12B4">
            <w:pPr>
              <w:jc w:val="both"/>
              <w:rPr>
                <w:bCs/>
                <w:sz w:val="20"/>
                <w:szCs w:val="20"/>
              </w:rPr>
            </w:pPr>
          </w:p>
          <w:p w14:paraId="7DCFE51F" w14:textId="77777777" w:rsidR="00461D67" w:rsidRPr="00154588" w:rsidRDefault="00461D67" w:rsidP="008C12B4">
            <w:pPr>
              <w:jc w:val="both"/>
              <w:rPr>
                <w:bCs/>
                <w:sz w:val="20"/>
                <w:szCs w:val="20"/>
              </w:rPr>
            </w:pPr>
          </w:p>
          <w:p w14:paraId="0DAFE948" w14:textId="77777777" w:rsidR="00461D67" w:rsidRPr="00154588" w:rsidRDefault="00461D67" w:rsidP="008C12B4">
            <w:pPr>
              <w:jc w:val="both"/>
              <w:rPr>
                <w:bCs/>
                <w:sz w:val="20"/>
                <w:szCs w:val="20"/>
              </w:rPr>
            </w:pPr>
          </w:p>
          <w:p w14:paraId="4D51544D" w14:textId="77777777" w:rsidR="00461D67" w:rsidRPr="00154588" w:rsidRDefault="00461D67" w:rsidP="008C12B4">
            <w:pPr>
              <w:jc w:val="both"/>
              <w:rPr>
                <w:bCs/>
                <w:sz w:val="20"/>
                <w:szCs w:val="20"/>
              </w:rPr>
            </w:pPr>
          </w:p>
          <w:p w14:paraId="7A522DFA" w14:textId="29F535E3" w:rsidR="00461D67" w:rsidRPr="00154588" w:rsidRDefault="00461D67" w:rsidP="008C12B4">
            <w:pPr>
              <w:jc w:val="both"/>
              <w:rPr>
                <w:bCs/>
                <w:sz w:val="20"/>
                <w:szCs w:val="20"/>
              </w:rPr>
            </w:pPr>
          </w:p>
        </w:tc>
        <w:tc>
          <w:tcPr>
            <w:tcW w:w="4819" w:type="dxa"/>
          </w:tcPr>
          <w:p w14:paraId="7908EAB0" w14:textId="53F390EA" w:rsidR="00461D67" w:rsidRPr="00154588" w:rsidRDefault="00461D67" w:rsidP="008C12B4">
            <w:pPr>
              <w:jc w:val="both"/>
              <w:rPr>
                <w:bCs/>
                <w:sz w:val="20"/>
                <w:szCs w:val="20"/>
              </w:rPr>
            </w:pPr>
            <w:r w:rsidRPr="00154588">
              <w:rPr>
                <w:b/>
                <w:sz w:val="20"/>
                <w:szCs w:val="20"/>
              </w:rPr>
              <w:lastRenderedPageBreak/>
              <w:t xml:space="preserve">Articolul 59. </w:t>
            </w:r>
            <w:r w:rsidRPr="00154588">
              <w:rPr>
                <w:bCs/>
                <w:sz w:val="20"/>
                <w:szCs w:val="20"/>
              </w:rPr>
              <w:t xml:space="preserve">– (1) În sensul art.58 alin.(1) lit.a), se consideră că o instituție de credit intră sau este susceptibilă de a intra într-o stare de dificultate, dacă este îndeplinită cel puţin una dintre </w:t>
            </w:r>
            <w:r w:rsidR="00236DB8" w:rsidRPr="00154588">
              <w:rPr>
                <w:bCs/>
                <w:sz w:val="20"/>
                <w:szCs w:val="20"/>
              </w:rPr>
              <w:t>condițiile</w:t>
            </w:r>
            <w:r w:rsidRPr="00154588">
              <w:rPr>
                <w:bCs/>
                <w:sz w:val="20"/>
                <w:szCs w:val="20"/>
              </w:rPr>
              <w:t xml:space="preserve"> următoare:</w:t>
            </w:r>
          </w:p>
          <w:p w14:paraId="44254545" w14:textId="77777777" w:rsidR="00236DB8" w:rsidRPr="00154588" w:rsidRDefault="00236DB8" w:rsidP="008C12B4">
            <w:pPr>
              <w:jc w:val="both"/>
              <w:rPr>
                <w:bCs/>
                <w:sz w:val="20"/>
                <w:szCs w:val="20"/>
              </w:rPr>
            </w:pPr>
          </w:p>
          <w:p w14:paraId="66204EA8" w14:textId="3F21132A" w:rsidR="00461D67" w:rsidRPr="00154588" w:rsidRDefault="00461D67" w:rsidP="008C12B4">
            <w:pPr>
              <w:jc w:val="both"/>
              <w:rPr>
                <w:bCs/>
                <w:sz w:val="20"/>
                <w:szCs w:val="20"/>
              </w:rPr>
            </w:pPr>
            <w:r w:rsidRPr="00154588">
              <w:rPr>
                <w:bCs/>
                <w:sz w:val="20"/>
                <w:szCs w:val="20"/>
              </w:rPr>
              <w:t xml:space="preserve">a) instituția de credit încalcă cerinţele care stau la baza menţinerii autorizației sau există elemente obiective pe baza cărora Banca Naţională a Moldovei, în calitate de autoritate competentă, poate determina că </w:t>
            </w:r>
            <w:r w:rsidR="00236DB8" w:rsidRPr="00154588">
              <w:rPr>
                <w:bCs/>
                <w:sz w:val="20"/>
                <w:szCs w:val="20"/>
              </w:rPr>
              <w:t xml:space="preserve">instituția de credit </w:t>
            </w:r>
            <w:r w:rsidRPr="00154588">
              <w:rPr>
                <w:bCs/>
                <w:sz w:val="20"/>
                <w:szCs w:val="20"/>
              </w:rPr>
              <w:t>va încălca aceste cerinţe în viitorul apropiat, într-o măsură</w:t>
            </w:r>
            <w:r w:rsidR="00236DB8" w:rsidRPr="00154588">
              <w:rPr>
                <w:bCs/>
                <w:sz w:val="20"/>
                <w:szCs w:val="20"/>
              </w:rPr>
              <w:t xml:space="preserve"> suficientă</w:t>
            </w:r>
            <w:r w:rsidRPr="00154588">
              <w:rPr>
                <w:bCs/>
                <w:sz w:val="20"/>
                <w:szCs w:val="20"/>
              </w:rPr>
              <w:t xml:space="preserve"> care ar justifica retragerea autorizației, inclusiv, dar fără a se limita la cazul în care instituția de credit a suportat sau este susceptibilă de a suporta pierderi care îi vor epuiza toate sau o parte semnificativă din fondurile proprii;</w:t>
            </w:r>
          </w:p>
          <w:p w14:paraId="57303ECA" w14:textId="77777777" w:rsidR="00236DB8" w:rsidRPr="00154588" w:rsidRDefault="00236DB8" w:rsidP="008C12B4">
            <w:pPr>
              <w:jc w:val="both"/>
              <w:rPr>
                <w:bCs/>
                <w:sz w:val="20"/>
                <w:szCs w:val="20"/>
              </w:rPr>
            </w:pPr>
          </w:p>
          <w:p w14:paraId="00767274" w14:textId="77777777" w:rsidR="00461D67" w:rsidRPr="00154588" w:rsidRDefault="00461D67" w:rsidP="008C12B4">
            <w:pPr>
              <w:jc w:val="both"/>
              <w:rPr>
                <w:bCs/>
                <w:sz w:val="20"/>
                <w:szCs w:val="20"/>
              </w:rPr>
            </w:pPr>
            <w:r w:rsidRPr="00154588">
              <w:rPr>
                <w:bCs/>
                <w:sz w:val="20"/>
                <w:szCs w:val="20"/>
              </w:rPr>
              <w:lastRenderedPageBreak/>
              <w:t>b) activele instituției de credit sînt inferioare datoriilor sau există elemente obiective pe baza cărora Banca Naţională a Moldovei, în calitate de autoritate competentă, poate determina că acest lucru se va petrece în viitorul apropiat;</w:t>
            </w:r>
          </w:p>
          <w:p w14:paraId="31124DDE" w14:textId="77777777" w:rsidR="00236DB8" w:rsidRPr="00154588" w:rsidRDefault="00236DB8" w:rsidP="008C12B4">
            <w:pPr>
              <w:jc w:val="both"/>
              <w:rPr>
                <w:bCs/>
                <w:sz w:val="20"/>
                <w:szCs w:val="20"/>
              </w:rPr>
            </w:pPr>
          </w:p>
          <w:p w14:paraId="5B118370" w14:textId="77777777" w:rsidR="00461D67" w:rsidRPr="00154588" w:rsidRDefault="00461D67" w:rsidP="008C12B4">
            <w:pPr>
              <w:jc w:val="both"/>
              <w:rPr>
                <w:bCs/>
                <w:sz w:val="20"/>
                <w:szCs w:val="20"/>
              </w:rPr>
            </w:pPr>
            <w:r w:rsidRPr="00154588">
              <w:rPr>
                <w:bCs/>
                <w:sz w:val="20"/>
                <w:szCs w:val="20"/>
              </w:rPr>
              <w:t>c) instituția de credit se află în imposibilitatea de a-şi achita datoriile sau alte obligaţii la scadenţă ori există elemente obiective pe baza cărora Banca Naţională a Moldovei, în calitate de autoritate competentă, poate determina că acest lucru se va petrece în viitorul apropiat;</w:t>
            </w:r>
          </w:p>
          <w:p w14:paraId="51E8F10C" w14:textId="77777777" w:rsidR="00236DB8" w:rsidRPr="00154588" w:rsidRDefault="00236DB8" w:rsidP="008C12B4">
            <w:pPr>
              <w:jc w:val="both"/>
              <w:rPr>
                <w:bCs/>
                <w:sz w:val="20"/>
                <w:szCs w:val="20"/>
              </w:rPr>
            </w:pPr>
          </w:p>
          <w:p w14:paraId="5EE60989" w14:textId="36FB9A5C" w:rsidR="00236DB8" w:rsidRPr="00154588" w:rsidRDefault="00461D67" w:rsidP="008C12B4">
            <w:pPr>
              <w:jc w:val="both"/>
              <w:rPr>
                <w:bCs/>
                <w:sz w:val="20"/>
                <w:szCs w:val="20"/>
              </w:rPr>
            </w:pPr>
            <w:r w:rsidRPr="00154588">
              <w:rPr>
                <w:bCs/>
                <w:sz w:val="20"/>
                <w:szCs w:val="20"/>
              </w:rPr>
              <w:t>d) este necesar un sprijin financiar public extraordinar</w:t>
            </w:r>
            <w:r w:rsidR="00236DB8" w:rsidRPr="00154588">
              <w:rPr>
                <w:bCs/>
                <w:sz w:val="20"/>
                <w:szCs w:val="20"/>
              </w:rPr>
              <w:t xml:space="preserve">, cu excepția cazului în care, acest sprijin este acordat în una dintre formele menționate la </w:t>
            </w:r>
            <w:r w:rsidR="005E61CF" w:rsidRPr="00154588">
              <w:rPr>
                <w:bCs/>
                <w:sz w:val="20"/>
                <w:szCs w:val="20"/>
              </w:rPr>
              <w:t>Sectiunea a 2</w:t>
            </w:r>
            <w:r w:rsidR="005E61CF" w:rsidRPr="00154588">
              <w:rPr>
                <w:bCs/>
                <w:sz w:val="20"/>
                <w:szCs w:val="20"/>
                <w:vertAlign w:val="superscript"/>
              </w:rPr>
              <w:t>2</w:t>
            </w:r>
            <w:r w:rsidR="005E61CF" w:rsidRPr="00154588">
              <w:rPr>
                <w:bCs/>
                <w:sz w:val="20"/>
                <w:szCs w:val="20"/>
              </w:rPr>
              <w:t>-a.</w:t>
            </w:r>
          </w:p>
          <w:p w14:paraId="49EC3B7A" w14:textId="72E919F5" w:rsidR="00461D67" w:rsidRPr="00154588" w:rsidRDefault="00461D67" w:rsidP="008C12B4">
            <w:pPr>
              <w:jc w:val="both"/>
              <w:rPr>
                <w:bCs/>
                <w:sz w:val="20"/>
                <w:szCs w:val="20"/>
              </w:rPr>
            </w:pPr>
          </w:p>
          <w:p w14:paraId="3FE5A94B" w14:textId="4CA4F381" w:rsidR="00461D67" w:rsidRPr="00154588" w:rsidRDefault="00461D67" w:rsidP="008C12B4">
            <w:pPr>
              <w:jc w:val="both"/>
              <w:rPr>
                <w:bCs/>
                <w:sz w:val="20"/>
                <w:szCs w:val="20"/>
              </w:rPr>
            </w:pPr>
          </w:p>
        </w:tc>
        <w:tc>
          <w:tcPr>
            <w:tcW w:w="2552" w:type="dxa"/>
          </w:tcPr>
          <w:p w14:paraId="55A7914B" w14:textId="2F211F53" w:rsidR="00461D67" w:rsidRPr="00154588" w:rsidRDefault="00461D67" w:rsidP="008C12B4">
            <w:pPr>
              <w:jc w:val="both"/>
              <w:rPr>
                <w:bCs/>
                <w:sz w:val="20"/>
                <w:szCs w:val="20"/>
              </w:rPr>
            </w:pPr>
            <w:r w:rsidRPr="00154588">
              <w:rPr>
                <w:bCs/>
                <w:sz w:val="20"/>
                <w:szCs w:val="20"/>
              </w:rPr>
              <w:lastRenderedPageBreak/>
              <w:t>Compatibil</w:t>
            </w:r>
          </w:p>
        </w:tc>
        <w:tc>
          <w:tcPr>
            <w:tcW w:w="3118" w:type="dxa"/>
          </w:tcPr>
          <w:p w14:paraId="187DD09A" w14:textId="77777777" w:rsidR="00461D67" w:rsidRPr="00154588" w:rsidRDefault="00461D67" w:rsidP="008C12B4">
            <w:pPr>
              <w:jc w:val="both"/>
              <w:rPr>
                <w:bCs/>
                <w:sz w:val="20"/>
                <w:szCs w:val="20"/>
              </w:rPr>
            </w:pPr>
          </w:p>
        </w:tc>
      </w:tr>
      <w:tr w:rsidR="00461D67" w:rsidRPr="00154588" w14:paraId="7FF8B118" w14:textId="77777777" w:rsidTr="00D15C1B">
        <w:trPr>
          <w:jc w:val="center"/>
        </w:trPr>
        <w:tc>
          <w:tcPr>
            <w:tcW w:w="4957" w:type="dxa"/>
            <w:gridSpan w:val="2"/>
          </w:tcPr>
          <w:p w14:paraId="2209D1FC" w14:textId="37A5ED12" w:rsidR="00D767DA" w:rsidRPr="00154588" w:rsidRDefault="00461D67" w:rsidP="008C12B4">
            <w:pPr>
              <w:jc w:val="both"/>
              <w:rPr>
                <w:bCs/>
                <w:sz w:val="20"/>
                <w:szCs w:val="20"/>
              </w:rPr>
            </w:pPr>
            <w:r w:rsidRPr="00154588">
              <w:rPr>
                <w:bCs/>
                <w:sz w:val="20"/>
                <w:szCs w:val="20"/>
              </w:rPr>
              <w:t xml:space="preserve">(5)   În sensul alineatului (1) litera (c) din prezentul articol, o măsură de rezoluție </w:t>
            </w:r>
            <w:r w:rsidR="00D767DA" w:rsidRPr="00154588">
              <w:rPr>
                <w:bCs/>
                <w:sz w:val="20"/>
                <w:szCs w:val="20"/>
              </w:rPr>
              <w:t xml:space="preserve">nu </w:t>
            </w:r>
            <w:r w:rsidRPr="00154588">
              <w:rPr>
                <w:bCs/>
                <w:sz w:val="20"/>
                <w:szCs w:val="20"/>
              </w:rPr>
              <w:t xml:space="preserve">este </w:t>
            </w:r>
            <w:r w:rsidR="00D767DA" w:rsidRPr="00154588">
              <w:rPr>
                <w:bCs/>
                <w:sz w:val="20"/>
                <w:szCs w:val="20"/>
              </w:rPr>
              <w:t xml:space="preserve"> necesară pentru realizarea interesului public în cazul în care autoritatea de rezoluție concluzionează că niciunul dintre obiectivele rezoluției nu ar fi în pericol în cazul în care instituția este lichidată prin procedura obișnuită de insolvență.</w:t>
            </w:r>
          </w:p>
          <w:p w14:paraId="147527E6" w14:textId="77777777" w:rsidR="00D767DA" w:rsidRPr="00154588" w:rsidRDefault="00D767DA" w:rsidP="008C12B4">
            <w:pPr>
              <w:jc w:val="both"/>
              <w:rPr>
                <w:bCs/>
                <w:sz w:val="20"/>
                <w:szCs w:val="20"/>
              </w:rPr>
            </w:pPr>
          </w:p>
          <w:p w14:paraId="04C04140" w14:textId="77777777" w:rsidR="00D767DA" w:rsidRPr="00154588" w:rsidRDefault="00D767DA" w:rsidP="008C12B4">
            <w:pPr>
              <w:jc w:val="both"/>
              <w:rPr>
                <w:bCs/>
                <w:sz w:val="20"/>
                <w:szCs w:val="20"/>
              </w:rPr>
            </w:pPr>
            <w:r w:rsidRPr="00154588">
              <w:rPr>
                <w:bCs/>
                <w:sz w:val="20"/>
                <w:szCs w:val="20"/>
              </w:rPr>
              <w:t xml:space="preserve">Dacă autoritatea de rezoluție concluzionează că unul sau mai multe dintre obiectivele rezoluției ar fi în pericol în cazul în care instituția este lichidată prin procedura obișnuită de insolvență, autoritatea de rezoluție concluzionează că o măsură de rezoluție este necesară pentru realizarea interesului public dacă este necesară pentru atingerea unuia sau mai multora dintre obiectivele rezoluției și este proporțională cu acestea, iar lichidarea instituției prin procedura obișnuită de insolvență nu ar atinge cu o eficacitate superioară obiectivele rezoluției care sunt în pericol. </w:t>
            </w:r>
          </w:p>
          <w:p w14:paraId="211E662B" w14:textId="77777777" w:rsidR="00D767DA" w:rsidRPr="00154588" w:rsidRDefault="00D767DA" w:rsidP="008C12B4">
            <w:pPr>
              <w:jc w:val="both"/>
              <w:rPr>
                <w:bCs/>
                <w:sz w:val="20"/>
                <w:szCs w:val="20"/>
              </w:rPr>
            </w:pPr>
          </w:p>
          <w:p w14:paraId="7D536708" w14:textId="77777777" w:rsidR="00D767DA" w:rsidRPr="00154588" w:rsidRDefault="00D767DA" w:rsidP="008C12B4">
            <w:pPr>
              <w:jc w:val="both"/>
              <w:rPr>
                <w:bCs/>
                <w:sz w:val="20"/>
                <w:szCs w:val="20"/>
              </w:rPr>
            </w:pPr>
            <w:r w:rsidRPr="00154588">
              <w:rPr>
                <w:bCs/>
                <w:sz w:val="20"/>
                <w:szCs w:val="20"/>
              </w:rPr>
              <w:t xml:space="preserve">Statele membre se asigură că, atunci când efectuează evaluarea menționată la primul paragraf, autoritatea de rezoluție, pe baza informațiilor de care dispune la momentul evaluării respective, ia în considerare și compară întregul sprijin financiar public extraordinar care poate fi preconizat în mod rezonabil să fie acordat instituției, atât în caz de rezoluție, cât și în cazul lichidării în conformitate cu dreptul intern aplicabil. </w:t>
            </w:r>
          </w:p>
          <w:p w14:paraId="3ABBF4A9" w14:textId="77777777" w:rsidR="00D767DA" w:rsidRPr="00154588" w:rsidRDefault="00D767DA" w:rsidP="008C12B4">
            <w:pPr>
              <w:jc w:val="both"/>
              <w:rPr>
                <w:bCs/>
                <w:sz w:val="20"/>
                <w:szCs w:val="20"/>
              </w:rPr>
            </w:pPr>
          </w:p>
          <w:p w14:paraId="712F13C6" w14:textId="6F1E8BE1" w:rsidR="00461D67" w:rsidRPr="00154588" w:rsidRDefault="00D767DA" w:rsidP="008C12B4">
            <w:pPr>
              <w:jc w:val="both"/>
              <w:rPr>
                <w:bCs/>
                <w:sz w:val="20"/>
                <w:szCs w:val="20"/>
              </w:rPr>
            </w:pPr>
            <w:r w:rsidRPr="00154588">
              <w:rPr>
                <w:bCs/>
                <w:sz w:val="20"/>
                <w:szCs w:val="20"/>
              </w:rPr>
              <w:lastRenderedPageBreak/>
              <w:t xml:space="preserve">Statele membre se asigură că, atunci când efectuează evaluarea menționată la al doilea paragraf, autoritatea de rezoluție ia în considerare costurile rezoluției și ale procedurii obișnuite de insolvență și urmărește să reducă la minimum și să evite distrugerea valorii, cu excepția cazului în care acest lucru este necesar pentru a realiza obiectivele rezoluției. </w:t>
            </w:r>
          </w:p>
        </w:tc>
        <w:tc>
          <w:tcPr>
            <w:tcW w:w="4819" w:type="dxa"/>
          </w:tcPr>
          <w:p w14:paraId="1013D286" w14:textId="1158A3E2" w:rsidR="00461D67" w:rsidRPr="00154588" w:rsidRDefault="00461D67" w:rsidP="008C12B4">
            <w:pPr>
              <w:jc w:val="both"/>
              <w:rPr>
                <w:bCs/>
                <w:sz w:val="20"/>
                <w:szCs w:val="20"/>
              </w:rPr>
            </w:pPr>
            <w:r w:rsidRPr="00154588">
              <w:rPr>
                <w:b/>
                <w:sz w:val="20"/>
                <w:szCs w:val="20"/>
              </w:rPr>
              <w:lastRenderedPageBreak/>
              <w:t>Articolul 60.</w:t>
            </w:r>
            <w:r w:rsidRPr="00154588">
              <w:rPr>
                <w:bCs/>
                <w:sz w:val="20"/>
                <w:szCs w:val="20"/>
              </w:rPr>
              <w:t xml:space="preserve"> – (1) În sensul art.58 alin.(1) lit.c), o acţiune de rezoluţie </w:t>
            </w:r>
            <w:r w:rsidR="00DC31FE" w:rsidRPr="00154588">
              <w:rPr>
                <w:bCs/>
                <w:sz w:val="20"/>
                <w:szCs w:val="20"/>
              </w:rPr>
              <w:t xml:space="preserve">nu </w:t>
            </w:r>
            <w:r w:rsidRPr="00154588">
              <w:rPr>
                <w:bCs/>
                <w:sz w:val="20"/>
                <w:szCs w:val="20"/>
              </w:rPr>
              <w:t>este considerată</w:t>
            </w:r>
            <w:r w:rsidR="00DC31FE" w:rsidRPr="00154588">
              <w:rPr>
                <w:bCs/>
                <w:sz w:val="20"/>
                <w:szCs w:val="20"/>
              </w:rPr>
              <w:t xml:space="preserve"> necesară pentru realizarea</w:t>
            </w:r>
            <w:r w:rsidRPr="00154588">
              <w:rPr>
                <w:bCs/>
                <w:sz w:val="20"/>
                <w:szCs w:val="20"/>
              </w:rPr>
              <w:t xml:space="preserve"> interes</w:t>
            </w:r>
            <w:r w:rsidR="00DC31FE" w:rsidRPr="00154588">
              <w:rPr>
                <w:bCs/>
                <w:sz w:val="20"/>
                <w:szCs w:val="20"/>
              </w:rPr>
              <w:t>ului</w:t>
            </w:r>
            <w:r w:rsidRPr="00154588">
              <w:rPr>
                <w:bCs/>
                <w:sz w:val="20"/>
                <w:szCs w:val="20"/>
              </w:rPr>
              <w:t xml:space="preserve"> public </w:t>
            </w:r>
            <w:r w:rsidR="00DC31FE" w:rsidRPr="00154588">
              <w:rPr>
                <w:bCs/>
                <w:sz w:val="20"/>
                <w:szCs w:val="20"/>
              </w:rPr>
              <w:t xml:space="preserve">în cazul în care în cazul Banca Națională a Moldovei, în calitate de autoritate de rezoluție concluzionează că niciunul dintre obiectivele rezoluției nu ar fi în pericol în cazul în care instituția </w:t>
            </w:r>
            <w:r w:rsidR="00376D52" w:rsidRPr="00154588">
              <w:rPr>
                <w:bCs/>
                <w:sz w:val="20"/>
                <w:szCs w:val="20"/>
              </w:rPr>
              <w:t xml:space="preserve">de credit </w:t>
            </w:r>
            <w:r w:rsidR="00DC31FE" w:rsidRPr="00154588">
              <w:rPr>
                <w:bCs/>
                <w:sz w:val="20"/>
                <w:szCs w:val="20"/>
              </w:rPr>
              <w:t>este lichidată prin procedura obișnuită de insol</w:t>
            </w:r>
            <w:r w:rsidR="00743C9C" w:rsidRPr="00154588">
              <w:rPr>
                <w:bCs/>
                <w:sz w:val="20"/>
                <w:szCs w:val="20"/>
              </w:rPr>
              <w:t>vabilitate</w:t>
            </w:r>
            <w:r w:rsidR="00DC31FE" w:rsidRPr="00154588">
              <w:rPr>
                <w:bCs/>
                <w:sz w:val="20"/>
                <w:szCs w:val="20"/>
              </w:rPr>
              <w:t>.</w:t>
            </w:r>
          </w:p>
          <w:p w14:paraId="54C0864B" w14:textId="77777777" w:rsidR="00DC31FE" w:rsidRPr="00154588" w:rsidRDefault="00DC31FE" w:rsidP="008C12B4">
            <w:pPr>
              <w:jc w:val="both"/>
              <w:rPr>
                <w:bCs/>
                <w:sz w:val="20"/>
                <w:szCs w:val="20"/>
              </w:rPr>
            </w:pPr>
          </w:p>
          <w:p w14:paraId="242D9BB1" w14:textId="0F9F91A8" w:rsidR="00DC31FE" w:rsidRPr="00154588" w:rsidRDefault="00DC31FE" w:rsidP="008C12B4">
            <w:pPr>
              <w:jc w:val="both"/>
              <w:rPr>
                <w:bCs/>
                <w:sz w:val="20"/>
                <w:szCs w:val="20"/>
              </w:rPr>
            </w:pPr>
            <w:r w:rsidRPr="00154588">
              <w:rPr>
                <w:bCs/>
                <w:sz w:val="20"/>
                <w:szCs w:val="20"/>
              </w:rPr>
              <w:t>(2)</w:t>
            </w:r>
            <w:r w:rsidRPr="00154588">
              <w:t xml:space="preserve"> </w:t>
            </w:r>
            <w:r w:rsidRPr="00154588">
              <w:rPr>
                <w:bCs/>
                <w:sz w:val="20"/>
                <w:szCs w:val="20"/>
              </w:rPr>
              <w:t>Dacă Banca Națională a Moldovei, în calitate de autoritate de rezoluție, concluzionează că unul sau mai multe dintre obiectivele rezoluției ar fi în pericol în cazul în care instituția  de credit este lichidată prin procedura obișnuită de insol</w:t>
            </w:r>
            <w:r w:rsidR="00743C9C" w:rsidRPr="00154588">
              <w:rPr>
                <w:bCs/>
                <w:sz w:val="20"/>
                <w:szCs w:val="20"/>
              </w:rPr>
              <w:t>vabilitate</w:t>
            </w:r>
            <w:r w:rsidRPr="00154588">
              <w:rPr>
                <w:bCs/>
                <w:sz w:val="20"/>
                <w:szCs w:val="20"/>
              </w:rPr>
              <w:t xml:space="preserve">, </w:t>
            </w:r>
            <w:r w:rsidR="00C82502" w:rsidRPr="00154588">
              <w:rPr>
                <w:bCs/>
                <w:sz w:val="20"/>
                <w:szCs w:val="20"/>
              </w:rPr>
              <w:t>atunci</w:t>
            </w:r>
            <w:r w:rsidRPr="00154588">
              <w:rPr>
                <w:bCs/>
                <w:sz w:val="20"/>
                <w:szCs w:val="20"/>
              </w:rPr>
              <w:t xml:space="preserve"> concluzionează că o </w:t>
            </w:r>
            <w:r w:rsidR="00F027B8" w:rsidRPr="00154588">
              <w:rPr>
                <w:bCs/>
                <w:sz w:val="20"/>
                <w:szCs w:val="20"/>
              </w:rPr>
              <w:t>acțiune</w:t>
            </w:r>
            <w:r w:rsidRPr="00154588">
              <w:rPr>
                <w:bCs/>
                <w:sz w:val="20"/>
                <w:szCs w:val="20"/>
              </w:rPr>
              <w:t xml:space="preserve"> de rezoluție este necesară pentru realizarea interesului public</w:t>
            </w:r>
            <w:r w:rsidR="00DE2720" w:rsidRPr="00154588">
              <w:rPr>
                <w:bCs/>
                <w:sz w:val="20"/>
                <w:szCs w:val="20"/>
              </w:rPr>
              <w:t>,</w:t>
            </w:r>
            <w:r w:rsidRPr="00154588">
              <w:rPr>
                <w:bCs/>
                <w:sz w:val="20"/>
                <w:szCs w:val="20"/>
              </w:rPr>
              <w:t xml:space="preserve"> dacă este necesară pentru atingerea unuia sau mai multora dintre obiectivele rezoluției și este proporțională cu acestea, iar lichidarea instituției </w:t>
            </w:r>
            <w:r w:rsidR="005F4E97" w:rsidRPr="00154588">
              <w:rPr>
                <w:bCs/>
                <w:sz w:val="20"/>
                <w:szCs w:val="20"/>
              </w:rPr>
              <w:t xml:space="preserve">de credit </w:t>
            </w:r>
            <w:r w:rsidRPr="00154588">
              <w:rPr>
                <w:bCs/>
                <w:sz w:val="20"/>
                <w:szCs w:val="20"/>
              </w:rPr>
              <w:t>prin procedura obișnuită de insolv</w:t>
            </w:r>
            <w:r w:rsidR="00743C9C" w:rsidRPr="00154588">
              <w:rPr>
                <w:bCs/>
                <w:sz w:val="20"/>
                <w:szCs w:val="20"/>
              </w:rPr>
              <w:t>abilitate</w:t>
            </w:r>
            <w:r w:rsidRPr="00154588">
              <w:rPr>
                <w:bCs/>
                <w:sz w:val="20"/>
                <w:szCs w:val="20"/>
              </w:rPr>
              <w:t xml:space="preserve"> nu ar atinge cu o eficacitate superioară obiectivele rezoluției care sunt în pericol.</w:t>
            </w:r>
          </w:p>
          <w:p w14:paraId="0CBAF993" w14:textId="581F6762" w:rsidR="005F4E97" w:rsidRPr="00154588" w:rsidRDefault="005F4E97" w:rsidP="008C12B4">
            <w:pPr>
              <w:jc w:val="both"/>
              <w:rPr>
                <w:bCs/>
                <w:sz w:val="20"/>
                <w:szCs w:val="20"/>
              </w:rPr>
            </w:pPr>
            <w:r w:rsidRPr="00154588">
              <w:rPr>
                <w:bCs/>
                <w:sz w:val="20"/>
                <w:szCs w:val="20"/>
              </w:rPr>
              <w:t xml:space="preserve">(3) Banca Națională a Moldovei, în calitate de autoritate de rezoluție, </w:t>
            </w:r>
            <w:r w:rsidR="00DE2720" w:rsidRPr="00154588">
              <w:rPr>
                <w:bCs/>
                <w:sz w:val="20"/>
                <w:szCs w:val="20"/>
              </w:rPr>
              <w:t>când</w:t>
            </w:r>
            <w:r w:rsidRPr="00154588">
              <w:rPr>
                <w:bCs/>
                <w:sz w:val="20"/>
                <w:szCs w:val="20"/>
              </w:rPr>
              <w:t xml:space="preserve"> efectuează evaluarea menționată la alin. (1), pe baza informațiilor de care dispune la momentul evaluării respective, ia în considerare și compară întregul sprijin financiar public extraordinar care poate fi preconizat în mod rezonabil să fie acordat instituției de credit, atât în caz de rezoluție, cât și în cazul lichidării în </w:t>
            </w:r>
            <w:r w:rsidRPr="00154588">
              <w:rPr>
                <w:bCs/>
                <w:sz w:val="20"/>
                <w:szCs w:val="20"/>
              </w:rPr>
              <w:lastRenderedPageBreak/>
              <w:t xml:space="preserve">conformitate cu </w:t>
            </w:r>
            <w:r w:rsidR="005848D1" w:rsidRPr="00154588">
              <w:rPr>
                <w:bCs/>
                <w:sz w:val="20"/>
                <w:szCs w:val="20"/>
              </w:rPr>
              <w:t>legislația</w:t>
            </w:r>
            <w:r w:rsidRPr="00154588">
              <w:rPr>
                <w:bCs/>
                <w:sz w:val="20"/>
                <w:szCs w:val="20"/>
              </w:rPr>
              <w:t xml:space="preserve"> cu privire la lichidarea </w:t>
            </w:r>
            <w:r w:rsidR="005848D1" w:rsidRPr="00154588">
              <w:rPr>
                <w:bCs/>
                <w:sz w:val="20"/>
                <w:szCs w:val="20"/>
              </w:rPr>
              <w:t>instituțiilor</w:t>
            </w:r>
            <w:r w:rsidRPr="00154588">
              <w:rPr>
                <w:bCs/>
                <w:sz w:val="20"/>
                <w:szCs w:val="20"/>
              </w:rPr>
              <w:t xml:space="preserve"> de credit.</w:t>
            </w:r>
          </w:p>
          <w:p w14:paraId="38ACD974" w14:textId="77A39FB6" w:rsidR="005F4E97" w:rsidRPr="00154588" w:rsidRDefault="005F4E97" w:rsidP="008C12B4">
            <w:pPr>
              <w:jc w:val="both"/>
              <w:rPr>
                <w:bCs/>
                <w:sz w:val="20"/>
                <w:szCs w:val="20"/>
              </w:rPr>
            </w:pPr>
            <w:r w:rsidRPr="00154588">
              <w:rPr>
                <w:bCs/>
                <w:sz w:val="20"/>
                <w:szCs w:val="20"/>
              </w:rPr>
              <w:t>(4) Banca Națională a Moldovei, în calitate de autoritate de rezoluție, c</w:t>
            </w:r>
            <w:r w:rsidR="00743C9C" w:rsidRPr="00154588">
              <w:rPr>
                <w:bCs/>
                <w:sz w:val="20"/>
                <w:szCs w:val="20"/>
              </w:rPr>
              <w:t>î</w:t>
            </w:r>
            <w:r w:rsidRPr="00154588">
              <w:rPr>
                <w:bCs/>
                <w:sz w:val="20"/>
                <w:szCs w:val="20"/>
              </w:rPr>
              <w:t>nd efectuează evaluarea menționată la alin. (2), ia în considerare costurile rezoluției și ale procedurii obișnuite de ins</w:t>
            </w:r>
            <w:r w:rsidR="00743C9C" w:rsidRPr="00154588">
              <w:rPr>
                <w:bCs/>
                <w:sz w:val="20"/>
                <w:szCs w:val="20"/>
              </w:rPr>
              <w:t>olvabilitate</w:t>
            </w:r>
            <w:r w:rsidRPr="00154588">
              <w:rPr>
                <w:bCs/>
                <w:sz w:val="20"/>
                <w:szCs w:val="20"/>
              </w:rPr>
              <w:t xml:space="preserve"> și urmărește să reducă la minimum și să evite distrugerea valorii, cu excepția cazului în care acest lucru este necesar pentru a realiza obiectivele rezoluției</w:t>
            </w:r>
            <w:r w:rsidR="00EF7DF6" w:rsidRPr="00154588">
              <w:rPr>
                <w:bCs/>
                <w:sz w:val="20"/>
                <w:szCs w:val="20"/>
              </w:rPr>
              <w:t>.</w:t>
            </w:r>
          </w:p>
          <w:p w14:paraId="1987C301" w14:textId="5A1F0A62" w:rsidR="005F4E97" w:rsidRPr="00154588" w:rsidRDefault="005F4E97" w:rsidP="008C12B4">
            <w:pPr>
              <w:jc w:val="both"/>
              <w:rPr>
                <w:bCs/>
                <w:sz w:val="20"/>
                <w:szCs w:val="20"/>
              </w:rPr>
            </w:pPr>
          </w:p>
        </w:tc>
        <w:tc>
          <w:tcPr>
            <w:tcW w:w="2552" w:type="dxa"/>
          </w:tcPr>
          <w:p w14:paraId="1A271F15" w14:textId="2DF85E29" w:rsidR="00461D67" w:rsidRPr="00154588" w:rsidRDefault="00461D67" w:rsidP="008C12B4">
            <w:pPr>
              <w:jc w:val="both"/>
              <w:rPr>
                <w:bCs/>
                <w:sz w:val="20"/>
                <w:szCs w:val="20"/>
              </w:rPr>
            </w:pPr>
            <w:r w:rsidRPr="00154588">
              <w:rPr>
                <w:bCs/>
                <w:sz w:val="20"/>
                <w:szCs w:val="20"/>
              </w:rPr>
              <w:lastRenderedPageBreak/>
              <w:t>Compatibil</w:t>
            </w:r>
          </w:p>
        </w:tc>
        <w:tc>
          <w:tcPr>
            <w:tcW w:w="3118" w:type="dxa"/>
          </w:tcPr>
          <w:p w14:paraId="4C2A2905" w14:textId="77777777" w:rsidR="00461D67" w:rsidRPr="00154588" w:rsidRDefault="00461D67" w:rsidP="008C12B4">
            <w:pPr>
              <w:jc w:val="both"/>
              <w:rPr>
                <w:bCs/>
                <w:sz w:val="20"/>
                <w:szCs w:val="20"/>
              </w:rPr>
            </w:pPr>
          </w:p>
          <w:p w14:paraId="4164DC6F" w14:textId="77777777" w:rsidR="00DE2720" w:rsidRPr="00154588" w:rsidRDefault="00DE2720" w:rsidP="008C12B4">
            <w:pPr>
              <w:jc w:val="both"/>
              <w:rPr>
                <w:bCs/>
                <w:sz w:val="20"/>
                <w:szCs w:val="20"/>
              </w:rPr>
            </w:pPr>
          </w:p>
          <w:p w14:paraId="46AB91FE" w14:textId="77777777" w:rsidR="00DE2720" w:rsidRPr="00154588" w:rsidRDefault="00DE2720" w:rsidP="008C12B4">
            <w:pPr>
              <w:jc w:val="both"/>
              <w:rPr>
                <w:bCs/>
                <w:sz w:val="20"/>
                <w:szCs w:val="20"/>
              </w:rPr>
            </w:pPr>
          </w:p>
          <w:p w14:paraId="601F6FF0" w14:textId="77777777" w:rsidR="00DE2720" w:rsidRPr="00154588" w:rsidRDefault="00DE2720" w:rsidP="008C12B4">
            <w:pPr>
              <w:jc w:val="both"/>
              <w:rPr>
                <w:bCs/>
                <w:sz w:val="20"/>
                <w:szCs w:val="20"/>
              </w:rPr>
            </w:pPr>
          </w:p>
          <w:p w14:paraId="3EA3D656" w14:textId="77777777" w:rsidR="00DE2720" w:rsidRPr="00154588" w:rsidRDefault="00DE2720" w:rsidP="008C12B4">
            <w:pPr>
              <w:jc w:val="both"/>
              <w:rPr>
                <w:bCs/>
                <w:sz w:val="20"/>
                <w:szCs w:val="20"/>
              </w:rPr>
            </w:pPr>
          </w:p>
          <w:p w14:paraId="148B759F" w14:textId="77777777" w:rsidR="00DE2720" w:rsidRPr="00154588" w:rsidRDefault="00DE2720" w:rsidP="008C12B4">
            <w:pPr>
              <w:jc w:val="both"/>
              <w:rPr>
                <w:bCs/>
                <w:sz w:val="20"/>
                <w:szCs w:val="20"/>
              </w:rPr>
            </w:pPr>
          </w:p>
          <w:p w14:paraId="4605752B" w14:textId="77777777" w:rsidR="00DE2720" w:rsidRPr="00154588" w:rsidRDefault="00DE2720" w:rsidP="008C12B4">
            <w:pPr>
              <w:jc w:val="both"/>
              <w:rPr>
                <w:bCs/>
                <w:sz w:val="20"/>
                <w:szCs w:val="20"/>
              </w:rPr>
            </w:pPr>
          </w:p>
          <w:p w14:paraId="19B90A61" w14:textId="77777777" w:rsidR="00DE2720" w:rsidRPr="00154588" w:rsidRDefault="00DE2720" w:rsidP="008C12B4">
            <w:pPr>
              <w:jc w:val="both"/>
              <w:rPr>
                <w:bCs/>
                <w:sz w:val="20"/>
                <w:szCs w:val="20"/>
              </w:rPr>
            </w:pPr>
          </w:p>
          <w:p w14:paraId="4665E435" w14:textId="77777777" w:rsidR="00DE2720" w:rsidRPr="00154588" w:rsidRDefault="00DE2720" w:rsidP="008C12B4">
            <w:pPr>
              <w:jc w:val="both"/>
              <w:rPr>
                <w:bCs/>
                <w:sz w:val="20"/>
                <w:szCs w:val="20"/>
              </w:rPr>
            </w:pPr>
          </w:p>
          <w:p w14:paraId="25B4CF21" w14:textId="77777777" w:rsidR="00DE2720" w:rsidRPr="00154588" w:rsidRDefault="00DE2720" w:rsidP="008C12B4">
            <w:pPr>
              <w:jc w:val="both"/>
              <w:rPr>
                <w:bCs/>
                <w:sz w:val="20"/>
                <w:szCs w:val="20"/>
              </w:rPr>
            </w:pPr>
          </w:p>
          <w:p w14:paraId="1CB46685" w14:textId="77777777" w:rsidR="00DE2720" w:rsidRPr="00154588" w:rsidRDefault="00DE2720" w:rsidP="008C12B4">
            <w:pPr>
              <w:jc w:val="both"/>
              <w:rPr>
                <w:bCs/>
                <w:sz w:val="20"/>
                <w:szCs w:val="20"/>
              </w:rPr>
            </w:pPr>
          </w:p>
          <w:p w14:paraId="21BE0655" w14:textId="77777777" w:rsidR="00DE2720" w:rsidRPr="00154588" w:rsidRDefault="00DE2720" w:rsidP="008C12B4">
            <w:pPr>
              <w:jc w:val="both"/>
              <w:rPr>
                <w:bCs/>
                <w:sz w:val="20"/>
                <w:szCs w:val="20"/>
              </w:rPr>
            </w:pPr>
          </w:p>
          <w:p w14:paraId="0D2B996D" w14:textId="77777777" w:rsidR="00DE2720" w:rsidRPr="00154588" w:rsidRDefault="00DE2720" w:rsidP="008C12B4">
            <w:pPr>
              <w:jc w:val="both"/>
              <w:rPr>
                <w:bCs/>
                <w:sz w:val="20"/>
                <w:szCs w:val="20"/>
              </w:rPr>
            </w:pPr>
          </w:p>
          <w:p w14:paraId="3E5C04E7" w14:textId="77777777" w:rsidR="00DE2720" w:rsidRPr="00154588" w:rsidRDefault="00DE2720" w:rsidP="008C12B4">
            <w:pPr>
              <w:jc w:val="both"/>
              <w:rPr>
                <w:bCs/>
                <w:sz w:val="20"/>
                <w:szCs w:val="20"/>
              </w:rPr>
            </w:pPr>
          </w:p>
          <w:p w14:paraId="6822C4B3" w14:textId="77777777" w:rsidR="00DE2720" w:rsidRPr="00154588" w:rsidRDefault="00DE2720" w:rsidP="008C12B4">
            <w:pPr>
              <w:jc w:val="both"/>
              <w:rPr>
                <w:bCs/>
                <w:sz w:val="20"/>
                <w:szCs w:val="20"/>
              </w:rPr>
            </w:pPr>
          </w:p>
          <w:p w14:paraId="07BD63B3" w14:textId="77777777" w:rsidR="00DE2720" w:rsidRPr="00154588" w:rsidRDefault="00DE2720" w:rsidP="008C12B4">
            <w:pPr>
              <w:jc w:val="both"/>
              <w:rPr>
                <w:bCs/>
                <w:sz w:val="20"/>
                <w:szCs w:val="20"/>
              </w:rPr>
            </w:pPr>
          </w:p>
          <w:p w14:paraId="1C262D23" w14:textId="77777777" w:rsidR="00DE2720" w:rsidRPr="00154588" w:rsidRDefault="00DE2720" w:rsidP="008C12B4">
            <w:pPr>
              <w:jc w:val="both"/>
              <w:rPr>
                <w:bCs/>
                <w:sz w:val="20"/>
                <w:szCs w:val="20"/>
              </w:rPr>
            </w:pPr>
          </w:p>
          <w:p w14:paraId="7918CD0D" w14:textId="77777777" w:rsidR="00DE2720" w:rsidRPr="00154588" w:rsidRDefault="00DE2720" w:rsidP="008C12B4">
            <w:pPr>
              <w:jc w:val="both"/>
              <w:rPr>
                <w:bCs/>
                <w:sz w:val="20"/>
                <w:szCs w:val="20"/>
              </w:rPr>
            </w:pPr>
          </w:p>
          <w:p w14:paraId="7F9E265B" w14:textId="77777777" w:rsidR="00DE2720" w:rsidRPr="00154588" w:rsidRDefault="00DE2720" w:rsidP="008C12B4">
            <w:pPr>
              <w:jc w:val="both"/>
              <w:rPr>
                <w:bCs/>
                <w:sz w:val="20"/>
                <w:szCs w:val="20"/>
              </w:rPr>
            </w:pPr>
          </w:p>
          <w:p w14:paraId="37FBFFFB" w14:textId="77777777" w:rsidR="00DE2720" w:rsidRPr="00154588" w:rsidRDefault="00DE2720" w:rsidP="008C12B4">
            <w:pPr>
              <w:jc w:val="both"/>
              <w:rPr>
                <w:bCs/>
                <w:sz w:val="20"/>
                <w:szCs w:val="20"/>
              </w:rPr>
            </w:pPr>
          </w:p>
          <w:p w14:paraId="3998BBF5" w14:textId="77777777" w:rsidR="00DE2720" w:rsidRPr="00154588" w:rsidRDefault="00DE2720" w:rsidP="008C12B4">
            <w:pPr>
              <w:jc w:val="both"/>
              <w:rPr>
                <w:bCs/>
                <w:sz w:val="20"/>
                <w:szCs w:val="20"/>
              </w:rPr>
            </w:pPr>
          </w:p>
          <w:p w14:paraId="57B09154" w14:textId="77777777" w:rsidR="00DE2720" w:rsidRPr="00154588" w:rsidRDefault="00DE2720" w:rsidP="008C12B4">
            <w:pPr>
              <w:jc w:val="both"/>
              <w:rPr>
                <w:bCs/>
                <w:sz w:val="20"/>
                <w:szCs w:val="20"/>
              </w:rPr>
            </w:pPr>
          </w:p>
          <w:p w14:paraId="206FDDA9" w14:textId="77777777" w:rsidR="00DE2720" w:rsidRPr="00154588" w:rsidRDefault="00DE2720" w:rsidP="008C12B4">
            <w:pPr>
              <w:jc w:val="both"/>
              <w:rPr>
                <w:bCs/>
                <w:sz w:val="20"/>
                <w:szCs w:val="20"/>
              </w:rPr>
            </w:pPr>
          </w:p>
          <w:p w14:paraId="0FDF98AB" w14:textId="77777777" w:rsidR="00DE2720" w:rsidRPr="00154588" w:rsidRDefault="00DE2720" w:rsidP="008C12B4">
            <w:pPr>
              <w:jc w:val="both"/>
              <w:rPr>
                <w:bCs/>
                <w:sz w:val="20"/>
                <w:szCs w:val="20"/>
              </w:rPr>
            </w:pPr>
          </w:p>
          <w:p w14:paraId="1964C70D" w14:textId="77777777" w:rsidR="00DE2720" w:rsidRPr="00154588" w:rsidRDefault="00DE2720" w:rsidP="008C12B4">
            <w:pPr>
              <w:jc w:val="both"/>
              <w:rPr>
                <w:bCs/>
                <w:sz w:val="20"/>
                <w:szCs w:val="20"/>
              </w:rPr>
            </w:pPr>
          </w:p>
          <w:p w14:paraId="6DC52FCC" w14:textId="77777777" w:rsidR="00DE2720" w:rsidRPr="00154588" w:rsidRDefault="00DE2720" w:rsidP="008C12B4">
            <w:pPr>
              <w:jc w:val="both"/>
              <w:rPr>
                <w:bCs/>
                <w:sz w:val="20"/>
                <w:szCs w:val="20"/>
              </w:rPr>
            </w:pPr>
          </w:p>
          <w:p w14:paraId="4565C816" w14:textId="77777777" w:rsidR="00DE2720" w:rsidRPr="00154588" w:rsidRDefault="00DE2720" w:rsidP="008C12B4">
            <w:pPr>
              <w:jc w:val="both"/>
              <w:rPr>
                <w:bCs/>
                <w:sz w:val="20"/>
                <w:szCs w:val="20"/>
              </w:rPr>
            </w:pPr>
          </w:p>
          <w:p w14:paraId="2F5C5314" w14:textId="77777777" w:rsidR="00DE2720" w:rsidRPr="00154588" w:rsidRDefault="00DE2720" w:rsidP="008C12B4">
            <w:pPr>
              <w:jc w:val="both"/>
              <w:rPr>
                <w:bCs/>
                <w:sz w:val="20"/>
                <w:szCs w:val="20"/>
              </w:rPr>
            </w:pPr>
          </w:p>
          <w:p w14:paraId="0D09BD4C" w14:textId="77777777" w:rsidR="00DE2720" w:rsidRPr="00154588" w:rsidRDefault="00DE2720" w:rsidP="008C12B4">
            <w:pPr>
              <w:jc w:val="both"/>
              <w:rPr>
                <w:bCs/>
                <w:sz w:val="20"/>
                <w:szCs w:val="20"/>
              </w:rPr>
            </w:pPr>
          </w:p>
          <w:p w14:paraId="78CA423E" w14:textId="77777777" w:rsidR="00DE2720" w:rsidRPr="00154588" w:rsidRDefault="00DE2720" w:rsidP="008C12B4">
            <w:pPr>
              <w:jc w:val="both"/>
              <w:rPr>
                <w:bCs/>
                <w:sz w:val="20"/>
                <w:szCs w:val="20"/>
              </w:rPr>
            </w:pPr>
          </w:p>
          <w:p w14:paraId="69E02B2A" w14:textId="529B0F41" w:rsidR="00EC2F7C" w:rsidRPr="00154588" w:rsidRDefault="00EC2F7C" w:rsidP="008C12B4">
            <w:pPr>
              <w:jc w:val="both"/>
              <w:rPr>
                <w:bCs/>
                <w:sz w:val="20"/>
                <w:szCs w:val="20"/>
              </w:rPr>
            </w:pPr>
          </w:p>
        </w:tc>
      </w:tr>
      <w:tr w:rsidR="00461D67" w:rsidRPr="00154588" w14:paraId="35227F50" w14:textId="77777777" w:rsidTr="00D15C1B">
        <w:trPr>
          <w:jc w:val="center"/>
        </w:trPr>
        <w:tc>
          <w:tcPr>
            <w:tcW w:w="4957" w:type="dxa"/>
            <w:gridSpan w:val="2"/>
          </w:tcPr>
          <w:p w14:paraId="647BA2A8" w14:textId="40B09A25" w:rsidR="00461D67" w:rsidRPr="00154588" w:rsidRDefault="00461D67" w:rsidP="008C12B4">
            <w:pPr>
              <w:jc w:val="both"/>
              <w:rPr>
                <w:bCs/>
                <w:sz w:val="20"/>
                <w:szCs w:val="20"/>
              </w:rPr>
            </w:pPr>
            <w:r w:rsidRPr="00154588">
              <w:rPr>
                <w:bCs/>
                <w:sz w:val="20"/>
                <w:szCs w:val="20"/>
              </w:rPr>
              <w:lastRenderedPageBreak/>
              <w:t>(6)   Până la 3 iulie 2015, ABE emite orientări în conformitate cu articolul 16 din Regulamentul (UE) nr. 1093/2010 pentru a promova convergența practicilor de supraveghere și de rezoluție în ceea ce privește interpretarea diferitelor circumstanțe în care se consideră că o instituție este în curs de a intra în dificultate sau este susceptibilă de a intra în dificultate.</w:t>
            </w:r>
          </w:p>
        </w:tc>
        <w:tc>
          <w:tcPr>
            <w:tcW w:w="4819" w:type="dxa"/>
          </w:tcPr>
          <w:p w14:paraId="2AC48C30" w14:textId="77777777" w:rsidR="00461D67" w:rsidRPr="00154588" w:rsidRDefault="00461D67" w:rsidP="008C12B4">
            <w:pPr>
              <w:jc w:val="both"/>
              <w:rPr>
                <w:bCs/>
                <w:sz w:val="20"/>
                <w:szCs w:val="20"/>
              </w:rPr>
            </w:pPr>
          </w:p>
        </w:tc>
        <w:tc>
          <w:tcPr>
            <w:tcW w:w="2552" w:type="dxa"/>
          </w:tcPr>
          <w:p w14:paraId="0D0033DE" w14:textId="04868C95" w:rsidR="00461D67" w:rsidRPr="00154588" w:rsidRDefault="00461D67" w:rsidP="008C12B4">
            <w:pPr>
              <w:jc w:val="both"/>
              <w:rPr>
                <w:bCs/>
                <w:sz w:val="20"/>
                <w:szCs w:val="20"/>
              </w:rPr>
            </w:pPr>
            <w:r w:rsidRPr="00154588">
              <w:rPr>
                <w:bCs/>
                <w:sz w:val="20"/>
                <w:szCs w:val="20"/>
              </w:rPr>
              <w:t>Prevederi UE neaplicabile</w:t>
            </w:r>
          </w:p>
        </w:tc>
        <w:tc>
          <w:tcPr>
            <w:tcW w:w="3118" w:type="dxa"/>
          </w:tcPr>
          <w:p w14:paraId="5BD28305" w14:textId="501594D6" w:rsidR="00461D67" w:rsidRPr="00154588" w:rsidRDefault="00461D67" w:rsidP="008C12B4">
            <w:pPr>
              <w:jc w:val="both"/>
              <w:rPr>
                <w:bCs/>
                <w:sz w:val="20"/>
                <w:szCs w:val="20"/>
              </w:rPr>
            </w:pPr>
            <w:r w:rsidRPr="00154588">
              <w:rPr>
                <w:bCs/>
                <w:sz w:val="20"/>
                <w:szCs w:val="20"/>
                <w:lang w:val="ro-MD"/>
              </w:rPr>
              <w:t>Prevederi care se referă la atribuțiile de reglementare ale autorităților europene.</w:t>
            </w:r>
          </w:p>
        </w:tc>
      </w:tr>
      <w:tr w:rsidR="00461D67" w:rsidRPr="00154588" w14:paraId="48A693E3" w14:textId="77777777" w:rsidTr="00D15C1B">
        <w:trPr>
          <w:jc w:val="center"/>
        </w:trPr>
        <w:tc>
          <w:tcPr>
            <w:tcW w:w="4957" w:type="dxa"/>
            <w:gridSpan w:val="2"/>
          </w:tcPr>
          <w:p w14:paraId="1E4EE35F" w14:textId="77777777" w:rsidR="00461D67" w:rsidRPr="00154588" w:rsidRDefault="00461D67" w:rsidP="008C12B4">
            <w:pPr>
              <w:rPr>
                <w:b/>
                <w:sz w:val="20"/>
                <w:szCs w:val="20"/>
              </w:rPr>
            </w:pPr>
            <w:r w:rsidRPr="00154588">
              <w:rPr>
                <w:b/>
                <w:sz w:val="20"/>
                <w:szCs w:val="20"/>
              </w:rPr>
              <w:t>Articolul 32a</w:t>
            </w:r>
          </w:p>
          <w:p w14:paraId="41A1851A" w14:textId="77777777" w:rsidR="00461D67" w:rsidRPr="00154588" w:rsidRDefault="00461D67" w:rsidP="008C12B4">
            <w:pPr>
              <w:rPr>
                <w:b/>
                <w:sz w:val="20"/>
                <w:szCs w:val="20"/>
              </w:rPr>
            </w:pPr>
          </w:p>
          <w:p w14:paraId="2612E348" w14:textId="5D08576A" w:rsidR="00461D67" w:rsidRPr="00154588" w:rsidRDefault="00461D67" w:rsidP="008C12B4">
            <w:pPr>
              <w:rPr>
                <w:bCs/>
                <w:sz w:val="20"/>
                <w:szCs w:val="20"/>
              </w:rPr>
            </w:pPr>
            <w:r w:rsidRPr="00154588">
              <w:rPr>
                <w:b/>
                <w:sz w:val="20"/>
                <w:szCs w:val="20"/>
              </w:rPr>
              <w:t xml:space="preserve">Condiții de declanșare a </w:t>
            </w:r>
            <w:r w:rsidR="00D767DA" w:rsidRPr="00154588">
              <w:rPr>
                <w:b/>
                <w:sz w:val="20"/>
                <w:szCs w:val="20"/>
              </w:rPr>
              <w:t xml:space="preserve">procedurii de </w:t>
            </w:r>
            <w:r w:rsidRPr="00154588">
              <w:rPr>
                <w:b/>
                <w:sz w:val="20"/>
                <w:szCs w:val="20"/>
              </w:rPr>
              <w:t>rezoluției cu privire la un organism central și la instituțiile de credit</w:t>
            </w:r>
            <w:r w:rsidR="00D767DA" w:rsidRPr="00154588">
              <w:rPr>
                <w:b/>
                <w:sz w:val="20"/>
                <w:szCs w:val="20"/>
              </w:rPr>
              <w:t xml:space="preserve"> sau instituțiile financiare</w:t>
            </w:r>
            <w:r w:rsidRPr="00154588">
              <w:rPr>
                <w:b/>
                <w:sz w:val="20"/>
                <w:szCs w:val="20"/>
              </w:rPr>
              <w:t xml:space="preserve"> afiliate în mod permanent unui organism central</w:t>
            </w:r>
          </w:p>
        </w:tc>
        <w:tc>
          <w:tcPr>
            <w:tcW w:w="4819" w:type="dxa"/>
          </w:tcPr>
          <w:p w14:paraId="27DF6064" w14:textId="77777777" w:rsidR="00461D67" w:rsidRPr="00154588" w:rsidRDefault="00461D67" w:rsidP="008C12B4">
            <w:pPr>
              <w:jc w:val="both"/>
              <w:rPr>
                <w:bCs/>
                <w:sz w:val="20"/>
                <w:szCs w:val="20"/>
              </w:rPr>
            </w:pPr>
          </w:p>
        </w:tc>
        <w:tc>
          <w:tcPr>
            <w:tcW w:w="2552" w:type="dxa"/>
          </w:tcPr>
          <w:p w14:paraId="68AD410C" w14:textId="77777777" w:rsidR="00461D67" w:rsidRPr="00154588" w:rsidRDefault="00461D67" w:rsidP="008C12B4">
            <w:pPr>
              <w:jc w:val="both"/>
              <w:rPr>
                <w:bCs/>
                <w:sz w:val="20"/>
                <w:szCs w:val="20"/>
              </w:rPr>
            </w:pPr>
          </w:p>
        </w:tc>
        <w:tc>
          <w:tcPr>
            <w:tcW w:w="3118" w:type="dxa"/>
          </w:tcPr>
          <w:p w14:paraId="59A5678A" w14:textId="77777777" w:rsidR="00461D67" w:rsidRPr="00154588" w:rsidRDefault="00461D67" w:rsidP="008C12B4">
            <w:pPr>
              <w:jc w:val="both"/>
              <w:rPr>
                <w:bCs/>
                <w:sz w:val="20"/>
                <w:szCs w:val="20"/>
              </w:rPr>
            </w:pPr>
          </w:p>
        </w:tc>
      </w:tr>
      <w:tr w:rsidR="00461D67" w:rsidRPr="00154588" w14:paraId="256DA8AD" w14:textId="77777777" w:rsidTr="00D15C1B">
        <w:trPr>
          <w:jc w:val="center"/>
        </w:trPr>
        <w:tc>
          <w:tcPr>
            <w:tcW w:w="4957" w:type="dxa"/>
            <w:gridSpan w:val="2"/>
          </w:tcPr>
          <w:p w14:paraId="5E35E051" w14:textId="5B330679" w:rsidR="00461D67" w:rsidRPr="00154588" w:rsidRDefault="00461D67" w:rsidP="008C12B4">
            <w:pPr>
              <w:jc w:val="both"/>
              <w:rPr>
                <w:bCs/>
                <w:sz w:val="20"/>
                <w:szCs w:val="20"/>
              </w:rPr>
            </w:pPr>
            <w:r w:rsidRPr="00154588">
              <w:rPr>
                <w:bCs/>
                <w:sz w:val="20"/>
                <w:szCs w:val="20"/>
              </w:rPr>
              <w:t xml:space="preserve">Statele membre se asigură că autoritățile de rezoluție pot lua o măsură de rezoluție în legătură cu un organism central și cu toate instituțiile de credit </w:t>
            </w:r>
            <w:r w:rsidR="00D767DA" w:rsidRPr="00154588">
              <w:rPr>
                <w:bCs/>
                <w:sz w:val="20"/>
                <w:szCs w:val="20"/>
              </w:rPr>
              <w:t xml:space="preserve">sau instituțiile financiare  </w:t>
            </w:r>
            <w:r w:rsidRPr="00154588">
              <w:rPr>
                <w:bCs/>
                <w:sz w:val="20"/>
                <w:szCs w:val="20"/>
              </w:rPr>
              <w:t xml:space="preserve">afiliate în mod permanent care fac parte din același grup de rezoluție, atunci când </w:t>
            </w:r>
            <w:r w:rsidR="00D767DA" w:rsidRPr="00154588">
              <w:rPr>
                <w:bCs/>
                <w:sz w:val="20"/>
                <w:szCs w:val="20"/>
              </w:rPr>
              <w:t>organismul central și toate instituțiile de credit sau instituțiile financiare afiliate în mod permanent la acesta sau grupul de rezoluție căruia îi aparțin îndeplinesc în ansamblul lor condițiile prevăzute la articolul 32 alineatul (1)</w:t>
            </w:r>
            <w:r w:rsidRPr="00154588">
              <w:rPr>
                <w:bCs/>
                <w:sz w:val="20"/>
                <w:szCs w:val="20"/>
              </w:rPr>
              <w:t>.</w:t>
            </w:r>
          </w:p>
        </w:tc>
        <w:tc>
          <w:tcPr>
            <w:tcW w:w="4819" w:type="dxa"/>
          </w:tcPr>
          <w:p w14:paraId="07BEE75F" w14:textId="3E530E08" w:rsidR="00461D67" w:rsidRPr="00154588" w:rsidRDefault="00461D67" w:rsidP="008C12B4">
            <w:pPr>
              <w:jc w:val="both"/>
              <w:rPr>
                <w:bCs/>
                <w:sz w:val="20"/>
                <w:szCs w:val="20"/>
              </w:rPr>
            </w:pPr>
            <w:r w:rsidRPr="00154588">
              <w:rPr>
                <w:b/>
                <w:sz w:val="20"/>
                <w:szCs w:val="20"/>
              </w:rPr>
              <w:t>Articolul 60.</w:t>
            </w:r>
            <w:r w:rsidRPr="00154588">
              <w:rPr>
                <w:bCs/>
                <w:sz w:val="20"/>
                <w:szCs w:val="20"/>
              </w:rPr>
              <w:t xml:space="preserve"> – (</w:t>
            </w:r>
            <w:r w:rsidR="00B9027B" w:rsidRPr="00154588">
              <w:rPr>
                <w:bCs/>
                <w:color w:val="EE0000"/>
                <w:sz w:val="20"/>
                <w:szCs w:val="20"/>
              </w:rPr>
              <w:t>5</w:t>
            </w:r>
            <w:r w:rsidRPr="00154588">
              <w:rPr>
                <w:bCs/>
                <w:sz w:val="20"/>
                <w:szCs w:val="20"/>
              </w:rPr>
              <w:t xml:space="preserve">)  Banca Națională a Moldovei, în calitate de autoritate de rezoluție, poate lua o </w:t>
            </w:r>
            <w:r w:rsidR="00F027B8" w:rsidRPr="00154588">
              <w:rPr>
                <w:bCs/>
                <w:sz w:val="20"/>
                <w:szCs w:val="20"/>
              </w:rPr>
              <w:t xml:space="preserve">acțiune </w:t>
            </w:r>
            <w:r w:rsidRPr="00154588">
              <w:rPr>
                <w:bCs/>
                <w:sz w:val="20"/>
                <w:szCs w:val="20"/>
              </w:rPr>
              <w:t>de rezoluție în legătură cu un organism central și cu toate instituțiile de credit</w:t>
            </w:r>
            <w:r w:rsidR="00F66137" w:rsidRPr="00154588">
              <w:rPr>
                <w:bCs/>
                <w:sz w:val="20"/>
                <w:szCs w:val="20"/>
              </w:rPr>
              <w:t xml:space="preserve"> sau instituțiile financiare</w:t>
            </w:r>
            <w:r w:rsidRPr="00154588">
              <w:rPr>
                <w:bCs/>
                <w:sz w:val="20"/>
                <w:szCs w:val="20"/>
              </w:rPr>
              <w:t xml:space="preserve"> afiliate în mod permanent care fac parte din același grup de rezoluție, atunci când</w:t>
            </w:r>
            <w:r w:rsidR="00F66137" w:rsidRPr="00154588">
              <w:rPr>
                <w:bCs/>
                <w:sz w:val="20"/>
                <w:szCs w:val="20"/>
              </w:rPr>
              <w:t xml:space="preserve"> organismul central și toate instituțiile de credit sau instituțiile financiare afiliate în mod permanent la acesta sau</w:t>
            </w:r>
            <w:r w:rsidRPr="00154588">
              <w:rPr>
                <w:bCs/>
                <w:sz w:val="20"/>
                <w:szCs w:val="20"/>
              </w:rPr>
              <w:t xml:space="preserve"> grup</w:t>
            </w:r>
            <w:r w:rsidR="00B9027B" w:rsidRPr="00154588">
              <w:rPr>
                <w:bCs/>
                <w:sz w:val="20"/>
                <w:szCs w:val="20"/>
              </w:rPr>
              <w:t>ul</w:t>
            </w:r>
            <w:r w:rsidRPr="00154588">
              <w:rPr>
                <w:bCs/>
                <w:sz w:val="20"/>
                <w:szCs w:val="20"/>
              </w:rPr>
              <w:t xml:space="preserve"> de rezoluție</w:t>
            </w:r>
            <w:r w:rsidR="00B060CB" w:rsidRPr="00154588">
              <w:rPr>
                <w:bCs/>
                <w:sz w:val="20"/>
                <w:szCs w:val="20"/>
              </w:rPr>
              <w:t xml:space="preserve"> căruia îi aparțin,</w:t>
            </w:r>
            <w:r w:rsidRPr="00154588">
              <w:rPr>
                <w:bCs/>
                <w:sz w:val="20"/>
                <w:szCs w:val="20"/>
              </w:rPr>
              <w:t xml:space="preserve"> îndepline</w:t>
            </w:r>
            <w:r w:rsidR="00B060CB" w:rsidRPr="00154588">
              <w:rPr>
                <w:bCs/>
                <w:sz w:val="20"/>
                <w:szCs w:val="20"/>
              </w:rPr>
              <w:t>sc</w:t>
            </w:r>
            <w:r w:rsidRPr="00154588">
              <w:rPr>
                <w:bCs/>
                <w:sz w:val="20"/>
                <w:szCs w:val="20"/>
              </w:rPr>
              <w:t xml:space="preserve"> în ansamblul </w:t>
            </w:r>
            <w:r w:rsidR="00B060CB" w:rsidRPr="00154588">
              <w:rPr>
                <w:bCs/>
                <w:sz w:val="20"/>
                <w:szCs w:val="20"/>
              </w:rPr>
              <w:t xml:space="preserve">lor </w:t>
            </w:r>
            <w:r w:rsidRPr="00154588">
              <w:rPr>
                <w:bCs/>
                <w:sz w:val="20"/>
                <w:szCs w:val="20"/>
              </w:rPr>
              <w:t>condițiile prevăzute la articolele 58</w:t>
            </w:r>
            <w:r w:rsidR="00F66137" w:rsidRPr="00154588">
              <w:rPr>
                <w:bCs/>
                <w:sz w:val="20"/>
                <w:szCs w:val="20"/>
              </w:rPr>
              <w:t xml:space="preserve"> alin.(1)</w:t>
            </w:r>
            <w:r w:rsidRPr="00154588">
              <w:rPr>
                <w:bCs/>
                <w:sz w:val="20"/>
                <w:szCs w:val="20"/>
              </w:rPr>
              <w:t>.</w:t>
            </w:r>
          </w:p>
        </w:tc>
        <w:tc>
          <w:tcPr>
            <w:tcW w:w="2552" w:type="dxa"/>
          </w:tcPr>
          <w:p w14:paraId="4FECE437" w14:textId="7A1A1451" w:rsidR="00461D67" w:rsidRPr="00154588" w:rsidRDefault="00461D67" w:rsidP="008C12B4">
            <w:pPr>
              <w:jc w:val="both"/>
              <w:rPr>
                <w:bCs/>
                <w:sz w:val="20"/>
                <w:szCs w:val="20"/>
              </w:rPr>
            </w:pPr>
            <w:r w:rsidRPr="00154588">
              <w:rPr>
                <w:bCs/>
                <w:sz w:val="20"/>
                <w:szCs w:val="20"/>
              </w:rPr>
              <w:t>Compatibil</w:t>
            </w:r>
          </w:p>
        </w:tc>
        <w:tc>
          <w:tcPr>
            <w:tcW w:w="3118" w:type="dxa"/>
          </w:tcPr>
          <w:p w14:paraId="4DFBE3A7" w14:textId="77777777" w:rsidR="00461D67" w:rsidRPr="00154588" w:rsidRDefault="00461D67" w:rsidP="008C12B4">
            <w:pPr>
              <w:jc w:val="both"/>
              <w:rPr>
                <w:bCs/>
                <w:sz w:val="20"/>
                <w:szCs w:val="20"/>
              </w:rPr>
            </w:pPr>
          </w:p>
        </w:tc>
      </w:tr>
      <w:tr w:rsidR="00461D67" w:rsidRPr="00154588" w14:paraId="09DBB014" w14:textId="77777777" w:rsidTr="00D15C1B">
        <w:trPr>
          <w:jc w:val="center"/>
        </w:trPr>
        <w:tc>
          <w:tcPr>
            <w:tcW w:w="4957" w:type="dxa"/>
            <w:gridSpan w:val="2"/>
          </w:tcPr>
          <w:p w14:paraId="5687FC70" w14:textId="77777777" w:rsidR="005F002A" w:rsidRPr="00154588" w:rsidRDefault="00461D67" w:rsidP="008C12B4">
            <w:pPr>
              <w:jc w:val="both"/>
              <w:rPr>
                <w:b/>
                <w:sz w:val="20"/>
                <w:szCs w:val="20"/>
              </w:rPr>
            </w:pPr>
            <w:r w:rsidRPr="00154588">
              <w:rPr>
                <w:b/>
                <w:sz w:val="20"/>
                <w:szCs w:val="20"/>
              </w:rPr>
              <w:t xml:space="preserve">Articolul 32b </w:t>
            </w:r>
          </w:p>
          <w:p w14:paraId="78B0F3B1" w14:textId="77777777" w:rsidR="005F002A" w:rsidRPr="00154588" w:rsidRDefault="005F002A" w:rsidP="008C12B4">
            <w:pPr>
              <w:jc w:val="both"/>
              <w:rPr>
                <w:b/>
                <w:sz w:val="20"/>
                <w:szCs w:val="20"/>
              </w:rPr>
            </w:pPr>
          </w:p>
          <w:p w14:paraId="51BFF7AF" w14:textId="134E27FE" w:rsidR="00461D67" w:rsidRPr="00154588" w:rsidRDefault="00461D67" w:rsidP="008C12B4">
            <w:pPr>
              <w:jc w:val="both"/>
              <w:rPr>
                <w:b/>
                <w:sz w:val="20"/>
                <w:szCs w:val="20"/>
              </w:rPr>
            </w:pPr>
            <w:r w:rsidRPr="00154588">
              <w:rPr>
                <w:b/>
                <w:sz w:val="20"/>
                <w:szCs w:val="20"/>
              </w:rPr>
              <w:t>Procedurile în ceea ce privește instituţiile și entităţile care nu fac obiectul măsurilor de rezoluţie</w:t>
            </w:r>
          </w:p>
        </w:tc>
        <w:tc>
          <w:tcPr>
            <w:tcW w:w="4819" w:type="dxa"/>
          </w:tcPr>
          <w:p w14:paraId="4C8DDED2" w14:textId="77777777" w:rsidR="00461D67" w:rsidRPr="00154588" w:rsidRDefault="00461D67" w:rsidP="008C12B4">
            <w:pPr>
              <w:jc w:val="both"/>
              <w:rPr>
                <w:bCs/>
                <w:sz w:val="20"/>
                <w:szCs w:val="20"/>
              </w:rPr>
            </w:pPr>
          </w:p>
        </w:tc>
        <w:tc>
          <w:tcPr>
            <w:tcW w:w="2552" w:type="dxa"/>
          </w:tcPr>
          <w:p w14:paraId="79AA0DDB" w14:textId="77777777" w:rsidR="00461D67" w:rsidRPr="00154588" w:rsidRDefault="00461D67" w:rsidP="008C12B4">
            <w:pPr>
              <w:jc w:val="both"/>
              <w:rPr>
                <w:bCs/>
                <w:sz w:val="20"/>
                <w:szCs w:val="20"/>
              </w:rPr>
            </w:pPr>
          </w:p>
        </w:tc>
        <w:tc>
          <w:tcPr>
            <w:tcW w:w="3118" w:type="dxa"/>
          </w:tcPr>
          <w:p w14:paraId="0BE27629" w14:textId="77777777" w:rsidR="00461D67" w:rsidRPr="00154588" w:rsidRDefault="00461D67" w:rsidP="008C12B4">
            <w:pPr>
              <w:jc w:val="both"/>
              <w:rPr>
                <w:bCs/>
                <w:sz w:val="20"/>
                <w:szCs w:val="20"/>
              </w:rPr>
            </w:pPr>
          </w:p>
        </w:tc>
      </w:tr>
      <w:tr w:rsidR="00461D67" w:rsidRPr="00154588" w14:paraId="14B3265E" w14:textId="77777777" w:rsidTr="00D15C1B">
        <w:trPr>
          <w:jc w:val="center"/>
        </w:trPr>
        <w:tc>
          <w:tcPr>
            <w:tcW w:w="4957" w:type="dxa"/>
            <w:gridSpan w:val="2"/>
          </w:tcPr>
          <w:p w14:paraId="5873912B" w14:textId="38610202" w:rsidR="00461D67" w:rsidRPr="00154588" w:rsidRDefault="00461D67" w:rsidP="008C12B4">
            <w:pPr>
              <w:jc w:val="both"/>
              <w:rPr>
                <w:bCs/>
                <w:sz w:val="20"/>
                <w:szCs w:val="20"/>
              </w:rPr>
            </w:pPr>
            <w:r w:rsidRPr="00154588">
              <w:rPr>
                <w:bCs/>
                <w:sz w:val="20"/>
                <w:szCs w:val="20"/>
              </w:rPr>
              <w:t xml:space="preserve">Statele membre se asigură că </w:t>
            </w:r>
            <w:r w:rsidR="005F002A" w:rsidRPr="00154588">
              <w:rPr>
                <w:bCs/>
                <w:sz w:val="20"/>
                <w:szCs w:val="20"/>
              </w:rPr>
              <w:t xml:space="preserve">atunci când o </w:t>
            </w:r>
            <w:r w:rsidR="005F002A" w:rsidRPr="00154588">
              <w:rPr>
                <w:b/>
                <w:sz w:val="20"/>
                <w:szCs w:val="20"/>
              </w:rPr>
              <w:t>autoritate de rezoluție</w:t>
            </w:r>
            <w:r w:rsidR="005F002A" w:rsidRPr="00154588">
              <w:rPr>
                <w:bCs/>
                <w:sz w:val="20"/>
                <w:szCs w:val="20"/>
              </w:rPr>
              <w:t xml:space="preserve"> stabilește că o instituție sau o entitate menționată la articolul 1 alineatul (1) litera (b), (c) sau (d) îndeplinește condițiile prevăzute la articolul 32 alineatul (1) literele (a) și (b), dar nu și condiția prevăzută la articolul 32 alineatul (1) litera (c), </w:t>
            </w:r>
            <w:r w:rsidR="005F002A" w:rsidRPr="00154588">
              <w:rPr>
                <w:b/>
                <w:sz w:val="20"/>
                <w:szCs w:val="20"/>
              </w:rPr>
              <w:t>autoritatea competentă sau autoritatea de rezoluție</w:t>
            </w:r>
            <w:r w:rsidR="005F002A" w:rsidRPr="00154588">
              <w:rPr>
                <w:bCs/>
                <w:sz w:val="20"/>
                <w:szCs w:val="20"/>
              </w:rPr>
              <w:t xml:space="preserve"> inițiază sau solicită inițierea procedurii administrative sau judiciare relevante, inclusiv, dacă este </w:t>
            </w:r>
            <w:r w:rsidR="005F002A" w:rsidRPr="00154588">
              <w:rPr>
                <w:bCs/>
                <w:sz w:val="20"/>
                <w:szCs w:val="20"/>
              </w:rPr>
              <w:lastRenderedPageBreak/>
              <w:t>disponibilă, a unei proceduri voluntare, pentru lichidarea instituției sau a entității într-un mod ordonat, în conformitate cu dreptul intern aplicabil.</w:t>
            </w:r>
          </w:p>
        </w:tc>
        <w:tc>
          <w:tcPr>
            <w:tcW w:w="4819" w:type="dxa"/>
          </w:tcPr>
          <w:p w14:paraId="40F9820A" w14:textId="5023FB7E" w:rsidR="00CD124F" w:rsidRPr="00154588" w:rsidRDefault="00461D67" w:rsidP="008C12B4">
            <w:pPr>
              <w:jc w:val="both"/>
              <w:rPr>
                <w:bCs/>
                <w:sz w:val="20"/>
                <w:szCs w:val="20"/>
                <w:lang w:val="ro-MD"/>
              </w:rPr>
            </w:pPr>
            <w:r w:rsidRPr="00154588">
              <w:rPr>
                <w:b/>
                <w:sz w:val="20"/>
                <w:szCs w:val="20"/>
              </w:rPr>
              <w:lastRenderedPageBreak/>
              <w:t>Articolul 60.</w:t>
            </w:r>
            <w:r w:rsidRPr="00154588">
              <w:rPr>
                <w:bCs/>
                <w:sz w:val="20"/>
                <w:szCs w:val="20"/>
              </w:rPr>
              <w:t xml:space="preserve"> – (</w:t>
            </w:r>
            <w:r w:rsidR="00B9027B" w:rsidRPr="00154588">
              <w:rPr>
                <w:bCs/>
                <w:sz w:val="20"/>
                <w:szCs w:val="20"/>
              </w:rPr>
              <w:t>6</w:t>
            </w:r>
            <w:r w:rsidRPr="00154588">
              <w:rPr>
                <w:bCs/>
                <w:sz w:val="20"/>
                <w:szCs w:val="20"/>
              </w:rPr>
              <w:t>)</w:t>
            </w:r>
            <w:r w:rsidR="00CD124F" w:rsidRPr="00154588">
              <w:rPr>
                <w:bCs/>
                <w:sz w:val="20"/>
                <w:szCs w:val="20"/>
              </w:rPr>
              <w:t>În cazul în care</w:t>
            </w:r>
            <w:r w:rsidRPr="00154588">
              <w:rPr>
                <w:bCs/>
                <w:sz w:val="20"/>
                <w:szCs w:val="20"/>
              </w:rPr>
              <w:t xml:space="preserve"> Banca Națională a Moldovei</w:t>
            </w:r>
            <w:r w:rsidR="00F215FC" w:rsidRPr="00154588">
              <w:rPr>
                <w:bCs/>
                <w:sz w:val="20"/>
                <w:szCs w:val="20"/>
              </w:rPr>
              <w:t>, în calitate de autoritate de rezoluție,</w:t>
            </w:r>
            <w:r w:rsidRPr="00154588">
              <w:rPr>
                <w:bCs/>
                <w:sz w:val="20"/>
                <w:szCs w:val="20"/>
              </w:rPr>
              <w:t xml:space="preserve"> </w:t>
            </w:r>
            <w:r w:rsidR="00F215FC" w:rsidRPr="00154588">
              <w:rPr>
                <w:bCs/>
                <w:sz w:val="20"/>
                <w:szCs w:val="20"/>
              </w:rPr>
              <w:t>stabilește că</w:t>
            </w:r>
            <w:r w:rsidR="00E34BFE" w:rsidRPr="00154588">
              <w:rPr>
                <w:bCs/>
                <w:sz w:val="20"/>
                <w:szCs w:val="20"/>
              </w:rPr>
              <w:t xml:space="preserve"> </w:t>
            </w:r>
            <w:r w:rsidRPr="00154588">
              <w:rPr>
                <w:bCs/>
                <w:sz w:val="20"/>
                <w:szCs w:val="20"/>
              </w:rPr>
              <w:t>o instituție de credit sau o entitate menționată la art.1 alin.(1) lit. b), c) sau d), în</w:t>
            </w:r>
            <w:r w:rsidR="00F215FC" w:rsidRPr="00154588">
              <w:rPr>
                <w:bCs/>
                <w:sz w:val="20"/>
                <w:szCs w:val="20"/>
              </w:rPr>
              <w:t>deplinește condițiile prevăzute</w:t>
            </w:r>
            <w:r w:rsidRPr="00154588">
              <w:rPr>
                <w:bCs/>
                <w:sz w:val="20"/>
                <w:szCs w:val="20"/>
              </w:rPr>
              <w:t xml:space="preserve"> la art.58 alin.(1) lit.a) și b), dar </w:t>
            </w:r>
            <w:r w:rsidR="00F215FC" w:rsidRPr="00154588">
              <w:rPr>
                <w:bCs/>
                <w:sz w:val="20"/>
                <w:szCs w:val="20"/>
              </w:rPr>
              <w:t xml:space="preserve"> nu si condiția prevăzută la</w:t>
            </w:r>
            <w:r w:rsidRPr="00154588">
              <w:rPr>
                <w:bCs/>
                <w:sz w:val="20"/>
                <w:szCs w:val="20"/>
              </w:rPr>
              <w:t xml:space="preserve"> art.58 alin.(1) lit.c), </w:t>
            </w:r>
            <w:r w:rsidR="004753EC" w:rsidRPr="00154588">
              <w:rPr>
                <w:bCs/>
                <w:sz w:val="20"/>
                <w:szCs w:val="20"/>
                <w:lang w:val="ro-MD"/>
              </w:rPr>
              <w:t>Banca Națională a Moldovei</w:t>
            </w:r>
            <w:r w:rsidR="00CD124F" w:rsidRPr="00154588">
              <w:rPr>
                <w:bCs/>
                <w:sz w:val="20"/>
                <w:szCs w:val="20"/>
                <w:lang w:val="ro-MD"/>
              </w:rPr>
              <w:t xml:space="preserve"> înaintează:</w:t>
            </w:r>
          </w:p>
          <w:p w14:paraId="3EFE8E74" w14:textId="16351DAD" w:rsidR="00CD124F" w:rsidRPr="00154588" w:rsidRDefault="00CD124F" w:rsidP="008C12B4">
            <w:pPr>
              <w:jc w:val="both"/>
              <w:rPr>
                <w:bCs/>
                <w:sz w:val="20"/>
                <w:szCs w:val="20"/>
                <w:lang w:val="ro-MD"/>
              </w:rPr>
            </w:pPr>
            <w:r w:rsidRPr="00154588">
              <w:rPr>
                <w:bCs/>
                <w:sz w:val="20"/>
                <w:szCs w:val="20"/>
                <w:lang w:val="ro-MD"/>
              </w:rPr>
              <w:lastRenderedPageBreak/>
              <w:t xml:space="preserve">a) </w:t>
            </w:r>
            <w:r w:rsidR="00413327" w:rsidRPr="00154588">
              <w:rPr>
                <w:bCs/>
                <w:sz w:val="20"/>
                <w:szCs w:val="20"/>
                <w:lang w:val="ro-MD"/>
              </w:rPr>
              <w:t>cererea introductivă privind intentarea proce</w:t>
            </w:r>
            <w:r w:rsidR="00376D52" w:rsidRPr="00154588">
              <w:rPr>
                <w:bCs/>
                <w:sz w:val="20"/>
                <w:szCs w:val="20"/>
                <w:lang w:val="ro-MD"/>
              </w:rPr>
              <w:t xml:space="preserve">durii obișnuite de </w:t>
            </w:r>
            <w:r w:rsidR="00413327" w:rsidRPr="00154588">
              <w:rPr>
                <w:bCs/>
                <w:sz w:val="20"/>
                <w:szCs w:val="20"/>
                <w:lang w:val="ro-MD"/>
              </w:rPr>
              <w:t xml:space="preserve">insolvabilitate în </w:t>
            </w:r>
            <w:r w:rsidRPr="00154588">
              <w:rPr>
                <w:bCs/>
                <w:sz w:val="20"/>
                <w:szCs w:val="20"/>
                <w:lang w:val="ro-MD"/>
              </w:rPr>
              <w:t>instanț</w:t>
            </w:r>
            <w:r w:rsidR="00413327" w:rsidRPr="00154588">
              <w:rPr>
                <w:bCs/>
                <w:sz w:val="20"/>
                <w:szCs w:val="20"/>
                <w:lang w:val="ro-MD"/>
              </w:rPr>
              <w:t>a</w:t>
            </w:r>
            <w:r w:rsidRPr="00154588">
              <w:rPr>
                <w:bCs/>
                <w:sz w:val="20"/>
                <w:szCs w:val="20"/>
                <w:lang w:val="ro-MD"/>
              </w:rPr>
              <w:t xml:space="preserve"> de insolvabilitate; sau</w:t>
            </w:r>
            <w:r w:rsidR="00413327" w:rsidRPr="00154588">
              <w:rPr>
                <w:bCs/>
                <w:sz w:val="20"/>
                <w:szCs w:val="20"/>
                <w:lang w:val="ro-MD"/>
              </w:rPr>
              <w:t xml:space="preserve"> după caz,</w:t>
            </w:r>
          </w:p>
          <w:p w14:paraId="73D516EE" w14:textId="131C5EF0" w:rsidR="00413327" w:rsidRPr="00154588" w:rsidRDefault="00CD124F" w:rsidP="008C12B4">
            <w:pPr>
              <w:jc w:val="both"/>
              <w:rPr>
                <w:bCs/>
                <w:sz w:val="20"/>
                <w:szCs w:val="20"/>
                <w:lang w:val="ro-MD"/>
              </w:rPr>
            </w:pPr>
            <w:r w:rsidRPr="00154588">
              <w:rPr>
                <w:bCs/>
                <w:sz w:val="20"/>
                <w:szCs w:val="20"/>
                <w:lang w:val="ro-MD"/>
              </w:rPr>
              <w:t xml:space="preserve">b) </w:t>
            </w:r>
            <w:r w:rsidR="00413327" w:rsidRPr="00154588">
              <w:rPr>
                <w:bCs/>
                <w:sz w:val="20"/>
                <w:szCs w:val="20"/>
                <w:lang w:val="ro-MD"/>
              </w:rPr>
              <w:t>cererea privind dizolvarea și lichidarea entității în</w:t>
            </w:r>
          </w:p>
          <w:p w14:paraId="64950A5E" w14:textId="71B6EBD3" w:rsidR="00461D67" w:rsidRPr="00154588" w:rsidRDefault="00CD124F" w:rsidP="008C12B4">
            <w:pPr>
              <w:jc w:val="both"/>
              <w:rPr>
                <w:bCs/>
                <w:sz w:val="20"/>
                <w:szCs w:val="20"/>
              </w:rPr>
            </w:pPr>
            <w:r w:rsidRPr="00154588">
              <w:rPr>
                <w:bCs/>
                <w:sz w:val="20"/>
                <w:szCs w:val="20"/>
                <w:lang w:val="ro-MD"/>
              </w:rPr>
              <w:t>instanț</w:t>
            </w:r>
            <w:r w:rsidR="00413327" w:rsidRPr="00154588">
              <w:rPr>
                <w:bCs/>
                <w:sz w:val="20"/>
                <w:szCs w:val="20"/>
                <w:lang w:val="ro-MD"/>
              </w:rPr>
              <w:t>a</w:t>
            </w:r>
            <w:r w:rsidRPr="00154588">
              <w:rPr>
                <w:bCs/>
                <w:sz w:val="20"/>
                <w:szCs w:val="20"/>
                <w:lang w:val="ro-MD"/>
              </w:rPr>
              <w:t xml:space="preserve"> de judecată competente, </w:t>
            </w:r>
            <w:r w:rsidR="00705BFE" w:rsidRPr="00154588">
              <w:rPr>
                <w:bCs/>
                <w:sz w:val="20"/>
                <w:szCs w:val="20"/>
                <w:lang w:val="ro-MD"/>
              </w:rPr>
              <w:t>conform art.22</w:t>
            </w:r>
            <w:r w:rsidR="000540CF" w:rsidRPr="00154588">
              <w:rPr>
                <w:bCs/>
                <w:sz w:val="20"/>
                <w:szCs w:val="20"/>
                <w:lang w:val="ro-MD"/>
              </w:rPr>
              <w:t xml:space="preserve"> alin.2</w:t>
            </w:r>
            <w:r w:rsidR="000540CF" w:rsidRPr="00154588">
              <w:rPr>
                <w:bCs/>
                <w:sz w:val="20"/>
                <w:szCs w:val="20"/>
                <w:vertAlign w:val="superscript"/>
                <w:lang w:val="ro-MD"/>
              </w:rPr>
              <w:t>2</w:t>
            </w:r>
            <w:r w:rsidR="00376D52" w:rsidRPr="00154588">
              <w:rPr>
                <w:bCs/>
                <w:sz w:val="20"/>
                <w:szCs w:val="20"/>
                <w:vertAlign w:val="superscript"/>
                <w:lang w:val="ro-MD"/>
              </w:rPr>
              <w:t xml:space="preserve"> </w:t>
            </w:r>
            <w:r w:rsidR="00376D52" w:rsidRPr="00154588">
              <w:rPr>
                <w:bCs/>
                <w:sz w:val="20"/>
                <w:szCs w:val="20"/>
                <w:lang w:val="ro-MD"/>
              </w:rPr>
              <w:t>din Legea 202/2017</w:t>
            </w:r>
            <w:r w:rsidR="000540CF" w:rsidRPr="00154588">
              <w:rPr>
                <w:bCs/>
                <w:sz w:val="20"/>
                <w:szCs w:val="20"/>
                <w:lang w:val="ro-MD"/>
              </w:rPr>
              <w:t xml:space="preserve">. </w:t>
            </w:r>
          </w:p>
        </w:tc>
        <w:tc>
          <w:tcPr>
            <w:tcW w:w="2552" w:type="dxa"/>
          </w:tcPr>
          <w:p w14:paraId="44BB99A1" w14:textId="2CF625EF" w:rsidR="00461D67" w:rsidRPr="00154588" w:rsidRDefault="00461D67" w:rsidP="008C12B4">
            <w:pPr>
              <w:jc w:val="both"/>
              <w:rPr>
                <w:bCs/>
                <w:sz w:val="20"/>
                <w:szCs w:val="20"/>
              </w:rPr>
            </w:pPr>
            <w:r w:rsidRPr="00154588">
              <w:rPr>
                <w:bCs/>
                <w:sz w:val="20"/>
                <w:szCs w:val="20"/>
              </w:rPr>
              <w:lastRenderedPageBreak/>
              <w:t>Compatibil</w:t>
            </w:r>
          </w:p>
        </w:tc>
        <w:tc>
          <w:tcPr>
            <w:tcW w:w="3118" w:type="dxa"/>
          </w:tcPr>
          <w:p w14:paraId="6C019B63" w14:textId="21A5165E" w:rsidR="00461D67" w:rsidRPr="00154588" w:rsidRDefault="00461D67" w:rsidP="008C12B4">
            <w:pPr>
              <w:jc w:val="both"/>
              <w:rPr>
                <w:bCs/>
                <w:sz w:val="20"/>
                <w:szCs w:val="20"/>
              </w:rPr>
            </w:pPr>
          </w:p>
        </w:tc>
      </w:tr>
      <w:tr w:rsidR="005F002A" w:rsidRPr="00154588" w14:paraId="1704ADF5" w14:textId="77777777" w:rsidTr="00D15C1B">
        <w:trPr>
          <w:jc w:val="center"/>
        </w:trPr>
        <w:tc>
          <w:tcPr>
            <w:tcW w:w="4957" w:type="dxa"/>
            <w:gridSpan w:val="2"/>
          </w:tcPr>
          <w:p w14:paraId="4FA609BA" w14:textId="09D11A6B" w:rsidR="005F002A" w:rsidRPr="00154588" w:rsidRDefault="005F002A" w:rsidP="008C12B4">
            <w:pPr>
              <w:jc w:val="both"/>
              <w:rPr>
                <w:bCs/>
                <w:sz w:val="20"/>
                <w:szCs w:val="20"/>
              </w:rPr>
            </w:pPr>
            <w:r w:rsidRPr="00154588">
              <w:rPr>
                <w:bCs/>
                <w:sz w:val="20"/>
                <w:szCs w:val="20"/>
              </w:rPr>
              <w:t xml:space="preserve">(2) Statele membre se asigură că o instituție sau o entitate menționată la articolul 1 alineatul (1) litera (b), (c) sau (d), care este lichidată într-un mod ordonat în conformitate cu dreptul intern aplicabil în </w:t>
            </w:r>
            <w:r w:rsidRPr="00154588">
              <w:rPr>
                <w:bCs/>
                <w:sz w:val="20"/>
                <w:szCs w:val="20"/>
              </w:rPr>
              <w:lastRenderedPageBreak/>
              <w:t>circumstanțele menționate la alineatul (1) de la prezentul articol, inclusiv printr-o procedură de lichidare voluntară, iese de pe piață sau își încetează activitățile bancare într-un interval de timp rezonabil.</w:t>
            </w:r>
          </w:p>
        </w:tc>
        <w:tc>
          <w:tcPr>
            <w:tcW w:w="4819" w:type="dxa"/>
          </w:tcPr>
          <w:p w14:paraId="2FD016EA" w14:textId="3B5D3A30" w:rsidR="005F002A" w:rsidRPr="00154588" w:rsidRDefault="0049679A" w:rsidP="008C12B4">
            <w:pPr>
              <w:jc w:val="both"/>
              <w:rPr>
                <w:bCs/>
                <w:sz w:val="20"/>
                <w:szCs w:val="20"/>
              </w:rPr>
            </w:pPr>
            <w:r w:rsidRPr="00154588">
              <w:rPr>
                <w:bCs/>
                <w:sz w:val="20"/>
                <w:szCs w:val="20"/>
              </w:rPr>
              <w:lastRenderedPageBreak/>
              <w:t>(</w:t>
            </w:r>
            <w:r w:rsidR="00B9027B" w:rsidRPr="00154588">
              <w:rPr>
                <w:bCs/>
                <w:sz w:val="20"/>
                <w:szCs w:val="20"/>
              </w:rPr>
              <w:t>7</w:t>
            </w:r>
            <w:r w:rsidRPr="00154588">
              <w:rPr>
                <w:bCs/>
                <w:sz w:val="20"/>
                <w:szCs w:val="20"/>
              </w:rPr>
              <w:t xml:space="preserve">) În sensul alin. (1), lichidarea instituției de credit sau a entității se efectuează în mod ordonat, în conformitate cu prevederile Legii insolvabilității nr.149/2012 sau, după caz, ale Legii nr.202/2017, </w:t>
            </w:r>
            <w:r w:rsidRPr="00154588">
              <w:rPr>
                <w:bCs/>
                <w:sz w:val="20"/>
                <w:szCs w:val="20"/>
              </w:rPr>
              <w:lastRenderedPageBreak/>
              <w:t>astfel încât instituția de credit sau entitatea să iasă de pe piață ori să își înceteze activitățile bancare într-un termen rezonabil</w:t>
            </w:r>
            <w:r w:rsidR="00CD124F" w:rsidRPr="00154588">
              <w:rPr>
                <w:bCs/>
                <w:sz w:val="20"/>
                <w:szCs w:val="20"/>
              </w:rPr>
              <w:t>.</w:t>
            </w:r>
          </w:p>
        </w:tc>
        <w:tc>
          <w:tcPr>
            <w:tcW w:w="2552" w:type="dxa"/>
          </w:tcPr>
          <w:p w14:paraId="5D0BC986" w14:textId="49DF9B2C" w:rsidR="005F002A" w:rsidRPr="00154588" w:rsidRDefault="000E0A7F" w:rsidP="008C12B4">
            <w:pPr>
              <w:jc w:val="both"/>
              <w:rPr>
                <w:bCs/>
                <w:sz w:val="20"/>
                <w:szCs w:val="20"/>
              </w:rPr>
            </w:pPr>
            <w:r w:rsidRPr="00154588">
              <w:rPr>
                <w:bCs/>
                <w:sz w:val="20"/>
                <w:szCs w:val="20"/>
              </w:rPr>
              <w:lastRenderedPageBreak/>
              <w:t>Compatibil</w:t>
            </w:r>
          </w:p>
        </w:tc>
        <w:tc>
          <w:tcPr>
            <w:tcW w:w="3118" w:type="dxa"/>
          </w:tcPr>
          <w:p w14:paraId="283F1490" w14:textId="77777777" w:rsidR="005F002A" w:rsidRPr="00154588" w:rsidRDefault="005F002A" w:rsidP="008C12B4">
            <w:pPr>
              <w:jc w:val="both"/>
              <w:rPr>
                <w:bCs/>
                <w:sz w:val="20"/>
                <w:szCs w:val="20"/>
              </w:rPr>
            </w:pPr>
          </w:p>
        </w:tc>
      </w:tr>
      <w:tr w:rsidR="005F002A" w:rsidRPr="00154588" w14:paraId="2124FBA5" w14:textId="77777777" w:rsidTr="00D15C1B">
        <w:trPr>
          <w:jc w:val="center"/>
        </w:trPr>
        <w:tc>
          <w:tcPr>
            <w:tcW w:w="4957" w:type="dxa"/>
            <w:gridSpan w:val="2"/>
          </w:tcPr>
          <w:p w14:paraId="20A119CA" w14:textId="72CBD691" w:rsidR="005F002A" w:rsidRPr="00154588" w:rsidRDefault="005F002A" w:rsidP="008C12B4">
            <w:pPr>
              <w:jc w:val="both"/>
              <w:rPr>
                <w:bCs/>
                <w:sz w:val="20"/>
                <w:szCs w:val="20"/>
              </w:rPr>
            </w:pPr>
            <w:r w:rsidRPr="00154588">
              <w:rPr>
                <w:bCs/>
                <w:sz w:val="20"/>
                <w:szCs w:val="20"/>
              </w:rPr>
              <w:t xml:space="preserve">(3) Statele membre se asigură că, </w:t>
            </w:r>
            <w:r w:rsidRPr="00154588">
              <w:rPr>
                <w:b/>
                <w:sz w:val="20"/>
                <w:szCs w:val="20"/>
              </w:rPr>
              <w:t>atunci când o autoritate de rezoluție</w:t>
            </w:r>
            <w:r w:rsidRPr="00154588">
              <w:rPr>
                <w:bCs/>
                <w:sz w:val="20"/>
                <w:szCs w:val="20"/>
              </w:rPr>
              <w:t xml:space="preserve"> stabilește că o instituție sau o entitate menționată la articolul 1 alineatul (1) litera (b), (c) sau (d) îndeplinește condițiile prevăzute la articolul 32 alineatul (1) literele (a) și (b), dar nu și condiția prevăzută la articolul 32 alineatul (1) litera (c), constatarea respectivă este o condiție suficientă pentru ca </w:t>
            </w:r>
            <w:r w:rsidRPr="00154588">
              <w:rPr>
                <w:b/>
                <w:sz w:val="20"/>
                <w:szCs w:val="20"/>
              </w:rPr>
              <w:t>autoritatea competentă</w:t>
            </w:r>
            <w:r w:rsidRPr="00154588">
              <w:rPr>
                <w:bCs/>
                <w:sz w:val="20"/>
                <w:szCs w:val="20"/>
              </w:rPr>
              <w:t xml:space="preserve"> să retragă autorizația instituției sau entității respective.</w:t>
            </w:r>
          </w:p>
        </w:tc>
        <w:tc>
          <w:tcPr>
            <w:tcW w:w="4819" w:type="dxa"/>
          </w:tcPr>
          <w:p w14:paraId="5F6711D4" w14:textId="1181F6E4" w:rsidR="005F002A" w:rsidRPr="00154588" w:rsidRDefault="00413327" w:rsidP="008C12B4">
            <w:pPr>
              <w:jc w:val="both"/>
              <w:rPr>
                <w:bCs/>
                <w:sz w:val="20"/>
                <w:szCs w:val="20"/>
              </w:rPr>
            </w:pPr>
            <w:r w:rsidRPr="00154588">
              <w:rPr>
                <w:bCs/>
                <w:sz w:val="20"/>
                <w:szCs w:val="20"/>
              </w:rPr>
              <w:t>(</w:t>
            </w:r>
            <w:r w:rsidR="00B9027B" w:rsidRPr="00154588">
              <w:rPr>
                <w:bCs/>
                <w:sz w:val="20"/>
                <w:szCs w:val="20"/>
              </w:rPr>
              <w:t>8</w:t>
            </w:r>
            <w:r w:rsidRPr="00154588">
              <w:rPr>
                <w:bCs/>
                <w:sz w:val="20"/>
                <w:szCs w:val="20"/>
              </w:rPr>
              <w:t xml:space="preserve">)În cazul în care Banca Națională a Moldovei, în calitate de autoritate de rezoluție, stabilește că o instituție de credit sau o entitate menționată la art.1 alin.(1) lit. b), c) sau d), îndeplinește condițiile prevăzute la art.58 alin.(1) lit.a) și b), dar nu </w:t>
            </w:r>
            <w:r w:rsidR="000E0A7F" w:rsidRPr="00154588">
              <w:rPr>
                <w:bCs/>
                <w:sz w:val="20"/>
                <w:szCs w:val="20"/>
              </w:rPr>
              <w:t>ș</w:t>
            </w:r>
            <w:r w:rsidRPr="00154588">
              <w:rPr>
                <w:bCs/>
                <w:sz w:val="20"/>
                <w:szCs w:val="20"/>
              </w:rPr>
              <w:t>i condiția prevăzută la art.58 alin.(1) lit.c), constatarea respectivă este o condiție suficientă pentru ca autoritatea competentă să retragă autorizația instituției</w:t>
            </w:r>
            <w:r w:rsidR="000E0A7F" w:rsidRPr="00154588">
              <w:rPr>
                <w:bCs/>
                <w:sz w:val="20"/>
                <w:szCs w:val="20"/>
              </w:rPr>
              <w:t xml:space="preserve"> de credit</w:t>
            </w:r>
            <w:r w:rsidRPr="00154588">
              <w:rPr>
                <w:bCs/>
                <w:sz w:val="20"/>
                <w:szCs w:val="20"/>
              </w:rPr>
              <w:t xml:space="preserve"> sau entității respective.</w:t>
            </w:r>
          </w:p>
        </w:tc>
        <w:tc>
          <w:tcPr>
            <w:tcW w:w="2552" w:type="dxa"/>
          </w:tcPr>
          <w:p w14:paraId="1023DBBE" w14:textId="1DD06B90" w:rsidR="005F002A" w:rsidRPr="00154588" w:rsidRDefault="000E0A7F" w:rsidP="008C12B4">
            <w:pPr>
              <w:jc w:val="both"/>
              <w:rPr>
                <w:bCs/>
                <w:sz w:val="20"/>
                <w:szCs w:val="20"/>
                <w:lang w:val="en-US"/>
              </w:rPr>
            </w:pPr>
            <w:r w:rsidRPr="00154588">
              <w:rPr>
                <w:bCs/>
                <w:sz w:val="20"/>
                <w:szCs w:val="20"/>
              </w:rPr>
              <w:t>C</w:t>
            </w:r>
            <w:r w:rsidR="00B53006" w:rsidRPr="00154588">
              <w:rPr>
                <w:bCs/>
                <w:sz w:val="20"/>
                <w:szCs w:val="20"/>
              </w:rPr>
              <w:t>ompatibil</w:t>
            </w:r>
          </w:p>
        </w:tc>
        <w:tc>
          <w:tcPr>
            <w:tcW w:w="3118" w:type="dxa"/>
          </w:tcPr>
          <w:p w14:paraId="4AB1C6D0" w14:textId="74452B0A" w:rsidR="005F002A" w:rsidRPr="00154588" w:rsidRDefault="005F002A" w:rsidP="008C12B4">
            <w:pPr>
              <w:jc w:val="both"/>
              <w:rPr>
                <w:bCs/>
                <w:sz w:val="20"/>
                <w:szCs w:val="20"/>
              </w:rPr>
            </w:pPr>
          </w:p>
        </w:tc>
      </w:tr>
      <w:tr w:rsidR="005F002A" w:rsidRPr="00154588" w14:paraId="65520C92" w14:textId="77777777" w:rsidTr="00D15C1B">
        <w:trPr>
          <w:jc w:val="center"/>
        </w:trPr>
        <w:tc>
          <w:tcPr>
            <w:tcW w:w="4957" w:type="dxa"/>
            <w:gridSpan w:val="2"/>
          </w:tcPr>
          <w:p w14:paraId="6A90D411" w14:textId="14AA382F" w:rsidR="005F002A" w:rsidRPr="00154588" w:rsidRDefault="005F002A" w:rsidP="008C12B4">
            <w:pPr>
              <w:jc w:val="both"/>
              <w:rPr>
                <w:bCs/>
                <w:sz w:val="20"/>
                <w:szCs w:val="20"/>
              </w:rPr>
            </w:pPr>
            <w:r w:rsidRPr="00154588">
              <w:rPr>
                <w:bCs/>
                <w:sz w:val="20"/>
                <w:szCs w:val="20"/>
              </w:rPr>
              <w:t>(4) Statele membre se asigură că retragerea autorizației instituției sau entității menționate la articolul 1 alineatul (1) litera (b), (c) sau (d) este o condiție suficientă pentru ca autoritatea administrativă sau judiciară națională relevantă să poată iniția fără întârziere procedura de lichidare ordonată a instituției sau a entității, în conformitate cu dreptul intern aplicabil.</w:t>
            </w:r>
          </w:p>
        </w:tc>
        <w:tc>
          <w:tcPr>
            <w:tcW w:w="4819" w:type="dxa"/>
          </w:tcPr>
          <w:p w14:paraId="51247567" w14:textId="5B648DEF" w:rsidR="005F002A" w:rsidRPr="00154588" w:rsidRDefault="00413327" w:rsidP="008C12B4">
            <w:pPr>
              <w:jc w:val="both"/>
              <w:rPr>
                <w:bCs/>
                <w:sz w:val="20"/>
                <w:szCs w:val="20"/>
              </w:rPr>
            </w:pPr>
            <w:r w:rsidRPr="00154588">
              <w:rPr>
                <w:bCs/>
                <w:sz w:val="20"/>
                <w:szCs w:val="20"/>
              </w:rPr>
              <w:t>(</w:t>
            </w:r>
            <w:r w:rsidR="00B9027B" w:rsidRPr="00154588">
              <w:rPr>
                <w:bCs/>
                <w:sz w:val="20"/>
                <w:szCs w:val="20"/>
              </w:rPr>
              <w:t>9</w:t>
            </w:r>
            <w:r w:rsidRPr="00154588">
              <w:rPr>
                <w:bCs/>
                <w:sz w:val="20"/>
                <w:szCs w:val="20"/>
              </w:rPr>
              <w:t xml:space="preserve">)Retragerea autorizației instituției sau entității menționate la </w:t>
            </w:r>
            <w:r w:rsidR="005355F8" w:rsidRPr="00154588">
              <w:rPr>
                <w:bCs/>
                <w:sz w:val="20"/>
                <w:szCs w:val="20"/>
              </w:rPr>
              <w:t>art.1 alin.(1) lit.b), c) sau d)</w:t>
            </w:r>
            <w:r w:rsidRPr="00154588">
              <w:rPr>
                <w:bCs/>
                <w:sz w:val="20"/>
                <w:szCs w:val="20"/>
              </w:rPr>
              <w:t xml:space="preserve"> este o condiție suficientă pentru initeierea procesului de lichidare a instituției de credit</w:t>
            </w:r>
            <w:r w:rsidR="008E4813" w:rsidRPr="00154588">
              <w:rPr>
                <w:bCs/>
                <w:sz w:val="20"/>
                <w:szCs w:val="20"/>
              </w:rPr>
              <w:t xml:space="preserve"> sau entității, in conformitate cu legea aplicabilă.</w:t>
            </w:r>
          </w:p>
        </w:tc>
        <w:tc>
          <w:tcPr>
            <w:tcW w:w="2552" w:type="dxa"/>
          </w:tcPr>
          <w:p w14:paraId="7EB8D977" w14:textId="66D83853" w:rsidR="005F002A" w:rsidRPr="00154588" w:rsidRDefault="000E0A7F" w:rsidP="008C12B4">
            <w:pPr>
              <w:jc w:val="both"/>
              <w:rPr>
                <w:bCs/>
                <w:sz w:val="20"/>
                <w:szCs w:val="20"/>
              </w:rPr>
            </w:pPr>
            <w:r w:rsidRPr="00154588">
              <w:rPr>
                <w:bCs/>
                <w:sz w:val="20"/>
                <w:szCs w:val="20"/>
              </w:rPr>
              <w:t>C</w:t>
            </w:r>
            <w:r w:rsidR="00B53006" w:rsidRPr="00154588">
              <w:rPr>
                <w:bCs/>
                <w:sz w:val="20"/>
                <w:szCs w:val="20"/>
              </w:rPr>
              <w:t>ompatibil</w:t>
            </w:r>
          </w:p>
        </w:tc>
        <w:tc>
          <w:tcPr>
            <w:tcW w:w="3118" w:type="dxa"/>
          </w:tcPr>
          <w:p w14:paraId="147B9D66" w14:textId="77777777" w:rsidR="005F002A" w:rsidRPr="00154588" w:rsidRDefault="005F002A" w:rsidP="008C12B4">
            <w:pPr>
              <w:jc w:val="both"/>
              <w:rPr>
                <w:bCs/>
                <w:sz w:val="20"/>
                <w:szCs w:val="20"/>
              </w:rPr>
            </w:pPr>
          </w:p>
        </w:tc>
      </w:tr>
      <w:tr w:rsidR="00B53006" w:rsidRPr="00154588" w14:paraId="6A6E9DB3" w14:textId="77777777" w:rsidTr="00D15C1B">
        <w:trPr>
          <w:jc w:val="center"/>
        </w:trPr>
        <w:tc>
          <w:tcPr>
            <w:tcW w:w="4957" w:type="dxa"/>
            <w:gridSpan w:val="2"/>
          </w:tcPr>
          <w:p w14:paraId="091CAAEA" w14:textId="77777777" w:rsidR="00B53006" w:rsidRPr="00154588" w:rsidRDefault="00B53006" w:rsidP="008C12B4">
            <w:pPr>
              <w:rPr>
                <w:b/>
                <w:sz w:val="20"/>
                <w:szCs w:val="20"/>
              </w:rPr>
            </w:pPr>
            <w:r w:rsidRPr="00154588">
              <w:rPr>
                <w:b/>
                <w:sz w:val="20"/>
                <w:szCs w:val="20"/>
              </w:rPr>
              <w:t>Articolul 33</w:t>
            </w:r>
          </w:p>
          <w:p w14:paraId="2BD57600" w14:textId="77777777" w:rsidR="00B53006" w:rsidRPr="00154588" w:rsidRDefault="00B53006" w:rsidP="008C12B4">
            <w:pPr>
              <w:rPr>
                <w:b/>
                <w:sz w:val="20"/>
                <w:szCs w:val="20"/>
              </w:rPr>
            </w:pPr>
          </w:p>
          <w:p w14:paraId="6AB843DF" w14:textId="371CB12C" w:rsidR="00B53006" w:rsidRPr="00154588" w:rsidRDefault="00B53006" w:rsidP="008C12B4">
            <w:pPr>
              <w:rPr>
                <w:bCs/>
                <w:sz w:val="20"/>
                <w:szCs w:val="20"/>
              </w:rPr>
            </w:pPr>
            <w:r w:rsidRPr="00154588">
              <w:rPr>
                <w:b/>
                <w:sz w:val="20"/>
                <w:szCs w:val="20"/>
              </w:rPr>
              <w:t>Condiții de declanșare a procedurii de rezoluție în cazul instituțiilor financiare și al societăților financiare holding</w:t>
            </w:r>
          </w:p>
        </w:tc>
        <w:tc>
          <w:tcPr>
            <w:tcW w:w="4819" w:type="dxa"/>
          </w:tcPr>
          <w:p w14:paraId="2EAA18A8" w14:textId="77777777" w:rsidR="00B53006" w:rsidRPr="00154588" w:rsidRDefault="00B53006" w:rsidP="008C12B4">
            <w:pPr>
              <w:jc w:val="both"/>
              <w:rPr>
                <w:bCs/>
                <w:sz w:val="20"/>
                <w:szCs w:val="20"/>
              </w:rPr>
            </w:pPr>
          </w:p>
        </w:tc>
        <w:tc>
          <w:tcPr>
            <w:tcW w:w="2552" w:type="dxa"/>
          </w:tcPr>
          <w:p w14:paraId="38FCA727" w14:textId="77777777" w:rsidR="00B53006" w:rsidRPr="00154588" w:rsidRDefault="00B53006" w:rsidP="008C12B4">
            <w:pPr>
              <w:jc w:val="both"/>
              <w:rPr>
                <w:bCs/>
                <w:sz w:val="20"/>
                <w:szCs w:val="20"/>
              </w:rPr>
            </w:pPr>
          </w:p>
        </w:tc>
        <w:tc>
          <w:tcPr>
            <w:tcW w:w="3118" w:type="dxa"/>
          </w:tcPr>
          <w:p w14:paraId="4FA567CC" w14:textId="77777777" w:rsidR="00B53006" w:rsidRPr="00154588" w:rsidRDefault="00B53006" w:rsidP="008C12B4">
            <w:pPr>
              <w:jc w:val="both"/>
              <w:rPr>
                <w:bCs/>
                <w:sz w:val="20"/>
                <w:szCs w:val="20"/>
              </w:rPr>
            </w:pPr>
          </w:p>
        </w:tc>
      </w:tr>
      <w:tr w:rsidR="00B53006" w:rsidRPr="00154588" w14:paraId="546D09DC" w14:textId="77777777" w:rsidTr="00D15C1B">
        <w:trPr>
          <w:jc w:val="center"/>
        </w:trPr>
        <w:tc>
          <w:tcPr>
            <w:tcW w:w="4957" w:type="dxa"/>
            <w:gridSpan w:val="2"/>
          </w:tcPr>
          <w:p w14:paraId="24670182" w14:textId="359C8319" w:rsidR="00B53006" w:rsidRPr="00154588" w:rsidRDefault="00B53006" w:rsidP="008C12B4">
            <w:pPr>
              <w:jc w:val="both"/>
              <w:rPr>
                <w:bCs/>
                <w:sz w:val="20"/>
                <w:szCs w:val="20"/>
              </w:rPr>
            </w:pPr>
            <w:r w:rsidRPr="00154588">
              <w:rPr>
                <w:bCs/>
                <w:sz w:val="20"/>
                <w:szCs w:val="20"/>
              </w:rPr>
              <w:t>(1) Statele membre se asigură că autoritățile de rezoluție pot lua măsuri de rezoluție în legătură cu o instituție financiară menționată la articolul 1 alineatul (1) litera (b) atunci când condițiile prevăzute la articolul 32 alineatul (1) sunt îndeplinite atât în ceea ce privește instituția financiară, cât și în ceea ce privește întreprinderea-mamă care face obiectul supravegherii consolidate.</w:t>
            </w:r>
          </w:p>
        </w:tc>
        <w:tc>
          <w:tcPr>
            <w:tcW w:w="4819" w:type="dxa"/>
          </w:tcPr>
          <w:p w14:paraId="1E65B1C0" w14:textId="7F67A7C5" w:rsidR="00B53006" w:rsidRPr="00154588" w:rsidRDefault="00B53006" w:rsidP="008C12B4">
            <w:pPr>
              <w:jc w:val="both"/>
              <w:rPr>
                <w:bCs/>
                <w:sz w:val="20"/>
                <w:szCs w:val="20"/>
              </w:rPr>
            </w:pPr>
            <w:r w:rsidRPr="00154588">
              <w:rPr>
                <w:b/>
                <w:sz w:val="20"/>
                <w:szCs w:val="20"/>
              </w:rPr>
              <w:t>Articolul 60.</w:t>
            </w:r>
            <w:r w:rsidRPr="00154588">
              <w:rPr>
                <w:bCs/>
                <w:sz w:val="20"/>
                <w:szCs w:val="20"/>
              </w:rPr>
              <w:t xml:space="preserve"> – (</w:t>
            </w:r>
            <w:r w:rsidR="00E125A2" w:rsidRPr="00154588">
              <w:rPr>
                <w:bCs/>
                <w:sz w:val="20"/>
                <w:szCs w:val="20"/>
              </w:rPr>
              <w:t>10</w:t>
            </w:r>
            <w:r w:rsidRPr="00154588">
              <w:rPr>
                <w:bCs/>
                <w:sz w:val="20"/>
                <w:szCs w:val="20"/>
              </w:rPr>
              <w:t xml:space="preserve">) Banca Națională a Moldovei, în calitate de autoritate de rezoluție, poate lua o </w:t>
            </w:r>
            <w:r w:rsidR="00F027B8" w:rsidRPr="00154588">
              <w:rPr>
                <w:bCs/>
                <w:sz w:val="20"/>
                <w:szCs w:val="20"/>
              </w:rPr>
              <w:t xml:space="preserve">acțiune </w:t>
            </w:r>
            <w:r w:rsidRPr="00154588">
              <w:rPr>
                <w:bCs/>
                <w:sz w:val="20"/>
                <w:szCs w:val="20"/>
              </w:rPr>
              <w:t>de rezoluție în legătură cu o instituție menționată la art.1 alin.(1) lit.b), atunci când sunt îndeplinite condițiile prevăzute la art.58 atât în ceea ce privește instituția financiară, cât și în ceea ce privește întreprinderea-mamă care face obiectul supravegherii consolidate.</w:t>
            </w:r>
          </w:p>
        </w:tc>
        <w:tc>
          <w:tcPr>
            <w:tcW w:w="2552" w:type="dxa"/>
          </w:tcPr>
          <w:p w14:paraId="26307C3D" w14:textId="4AABAB6A" w:rsidR="00B53006" w:rsidRPr="00154588" w:rsidRDefault="00B53006" w:rsidP="008C12B4">
            <w:pPr>
              <w:jc w:val="both"/>
              <w:rPr>
                <w:bCs/>
                <w:sz w:val="20"/>
                <w:szCs w:val="20"/>
              </w:rPr>
            </w:pPr>
            <w:r w:rsidRPr="00154588">
              <w:rPr>
                <w:bCs/>
                <w:sz w:val="20"/>
                <w:szCs w:val="20"/>
              </w:rPr>
              <w:t>Compatibil</w:t>
            </w:r>
          </w:p>
        </w:tc>
        <w:tc>
          <w:tcPr>
            <w:tcW w:w="3118" w:type="dxa"/>
          </w:tcPr>
          <w:p w14:paraId="2D1AF206" w14:textId="77777777" w:rsidR="00B53006" w:rsidRPr="00154588" w:rsidRDefault="00B53006" w:rsidP="008C12B4">
            <w:pPr>
              <w:jc w:val="both"/>
              <w:rPr>
                <w:bCs/>
                <w:sz w:val="20"/>
                <w:szCs w:val="20"/>
              </w:rPr>
            </w:pPr>
          </w:p>
        </w:tc>
      </w:tr>
      <w:tr w:rsidR="00B53006" w:rsidRPr="00154588" w14:paraId="668949C4" w14:textId="77777777" w:rsidTr="00D15C1B">
        <w:trPr>
          <w:jc w:val="center"/>
        </w:trPr>
        <w:tc>
          <w:tcPr>
            <w:tcW w:w="4957" w:type="dxa"/>
            <w:gridSpan w:val="2"/>
          </w:tcPr>
          <w:p w14:paraId="3627FD2E" w14:textId="77777777" w:rsidR="00B53006" w:rsidRPr="00154588" w:rsidRDefault="00B53006" w:rsidP="008C12B4">
            <w:pPr>
              <w:jc w:val="both"/>
              <w:rPr>
                <w:bCs/>
                <w:sz w:val="20"/>
                <w:szCs w:val="20"/>
              </w:rPr>
            </w:pPr>
            <w:r w:rsidRPr="00154588">
              <w:rPr>
                <w:bCs/>
                <w:sz w:val="20"/>
                <w:szCs w:val="20"/>
              </w:rPr>
              <w:t>(2) Statele membre se asigură că autoritățile de rezoluție iau o măsură de rezoluție în legătură cu o entitate menționată la articolul 1 alineatul (1) litera (c) sau (d),</w:t>
            </w:r>
            <w:r w:rsidRPr="00154588">
              <w:t xml:space="preserve"> </w:t>
            </w:r>
            <w:r w:rsidRPr="00154588">
              <w:rPr>
                <w:bCs/>
                <w:sz w:val="20"/>
                <w:szCs w:val="20"/>
              </w:rPr>
              <w:t xml:space="preserve">având în vedere necesitatea de a pune în aplicare în mod eficace strategia de </w:t>
            </w:r>
            <w:r w:rsidRPr="00154588">
              <w:rPr>
                <w:bCs/>
                <w:sz w:val="20"/>
                <w:szCs w:val="20"/>
              </w:rPr>
              <w:lastRenderedPageBreak/>
              <w:t>rezoluție, atunci când entitatea îndeplinește condițiile prevăzute la articolul 32 alineatul (1).</w:t>
            </w:r>
          </w:p>
          <w:p w14:paraId="373E1C97" w14:textId="77777777" w:rsidR="00B53006" w:rsidRPr="00154588" w:rsidRDefault="00B53006" w:rsidP="008C12B4">
            <w:pPr>
              <w:jc w:val="both"/>
              <w:rPr>
                <w:bCs/>
                <w:sz w:val="20"/>
                <w:szCs w:val="20"/>
              </w:rPr>
            </w:pPr>
          </w:p>
          <w:p w14:paraId="7F6B6BF0" w14:textId="77777777" w:rsidR="00B53006" w:rsidRPr="00154588" w:rsidRDefault="00B53006" w:rsidP="008C12B4">
            <w:pPr>
              <w:jc w:val="both"/>
              <w:rPr>
                <w:bCs/>
                <w:sz w:val="20"/>
                <w:szCs w:val="20"/>
              </w:rPr>
            </w:pPr>
            <w:r w:rsidRPr="00154588">
              <w:rPr>
                <w:bCs/>
                <w:sz w:val="20"/>
                <w:szCs w:val="20"/>
              </w:rPr>
              <w:t xml:space="preserve">În scopul luării unei măsuri de rezoluție, se consideră că o entitate este în curs de a intra în dificultate sau </w:t>
            </w:r>
            <w:r w:rsidRPr="00154588">
              <w:rPr>
                <w:bCs/>
                <w:sz w:val="20"/>
                <w:szCs w:val="20"/>
              </w:rPr>
              <w:lastRenderedPageBreak/>
              <w:t xml:space="preserve">este susceptibilă de a intra în dificultate în oricare dintre următoarele situații: </w:t>
            </w:r>
          </w:p>
          <w:p w14:paraId="1FB80F5F" w14:textId="77777777" w:rsidR="00B53006" w:rsidRPr="00154588" w:rsidRDefault="00B53006" w:rsidP="008C12B4">
            <w:pPr>
              <w:jc w:val="both"/>
              <w:rPr>
                <w:bCs/>
                <w:sz w:val="20"/>
                <w:szCs w:val="20"/>
              </w:rPr>
            </w:pPr>
          </w:p>
          <w:p w14:paraId="34CA3E47" w14:textId="77777777" w:rsidR="00B53006" w:rsidRPr="00154588" w:rsidRDefault="00B53006" w:rsidP="008C12B4">
            <w:pPr>
              <w:jc w:val="both"/>
              <w:rPr>
                <w:bCs/>
                <w:sz w:val="20"/>
                <w:szCs w:val="20"/>
              </w:rPr>
            </w:pPr>
            <w:r w:rsidRPr="00154588">
              <w:rPr>
                <w:bCs/>
                <w:sz w:val="20"/>
                <w:szCs w:val="20"/>
              </w:rPr>
              <w:t xml:space="preserve">(a) entitatea îndeplinește una sau mai multe dintre condițiile prevăzute la articolul 32 alineatul (4) litera (b), (c) sau (d); </w:t>
            </w:r>
          </w:p>
          <w:p w14:paraId="3511D6E3" w14:textId="77777777" w:rsidR="00B53006" w:rsidRPr="00154588" w:rsidRDefault="00B53006" w:rsidP="008C12B4">
            <w:pPr>
              <w:jc w:val="both"/>
              <w:rPr>
                <w:bCs/>
                <w:sz w:val="20"/>
                <w:szCs w:val="20"/>
              </w:rPr>
            </w:pPr>
          </w:p>
          <w:p w14:paraId="4218CFCB" w14:textId="4B2A692E" w:rsidR="00B53006" w:rsidRPr="00154588" w:rsidRDefault="00B53006" w:rsidP="008C12B4">
            <w:pPr>
              <w:jc w:val="both"/>
              <w:rPr>
                <w:bCs/>
                <w:sz w:val="20"/>
                <w:szCs w:val="20"/>
              </w:rPr>
            </w:pPr>
            <w:r w:rsidRPr="00154588">
              <w:rPr>
                <w:bCs/>
                <w:sz w:val="20"/>
                <w:szCs w:val="20"/>
              </w:rPr>
              <w:t>(b) entitatea încalcă în mod semnificativ sau există elemente obiective care indică faptul că entitatea va încălca în mod semnificativ, în viitorul apropiat, cerințele aplicabile prevăzute în Regulamentul (UE) nr. 575/2013 sau în Directiva 2013/36/UE.”</w:t>
            </w:r>
          </w:p>
        </w:tc>
        <w:tc>
          <w:tcPr>
            <w:tcW w:w="4819" w:type="dxa"/>
          </w:tcPr>
          <w:p w14:paraId="5499E264" w14:textId="70AEAB3F" w:rsidR="00B53006" w:rsidRPr="00154588" w:rsidRDefault="00B53006" w:rsidP="008C12B4">
            <w:pPr>
              <w:jc w:val="both"/>
              <w:rPr>
                <w:bCs/>
                <w:sz w:val="20"/>
                <w:szCs w:val="20"/>
              </w:rPr>
            </w:pPr>
            <w:r w:rsidRPr="00154588">
              <w:rPr>
                <w:b/>
                <w:sz w:val="20"/>
                <w:szCs w:val="20"/>
              </w:rPr>
              <w:lastRenderedPageBreak/>
              <w:t>Articolul 60.</w:t>
            </w:r>
            <w:r w:rsidRPr="00154588">
              <w:rPr>
                <w:bCs/>
                <w:sz w:val="20"/>
                <w:szCs w:val="20"/>
              </w:rPr>
              <w:t xml:space="preserve"> – (</w:t>
            </w:r>
            <w:r w:rsidR="00376D52" w:rsidRPr="00154588">
              <w:rPr>
                <w:bCs/>
                <w:sz w:val="20"/>
                <w:szCs w:val="20"/>
              </w:rPr>
              <w:t>1</w:t>
            </w:r>
            <w:r w:rsidR="00E125A2" w:rsidRPr="00154588">
              <w:rPr>
                <w:bCs/>
                <w:sz w:val="20"/>
                <w:szCs w:val="20"/>
              </w:rPr>
              <w:t>1</w:t>
            </w:r>
            <w:r w:rsidRPr="00154588">
              <w:rPr>
                <w:bCs/>
                <w:sz w:val="20"/>
                <w:szCs w:val="20"/>
              </w:rPr>
              <w:t xml:space="preserve">) Banca Națională a Moldovei, în calitate de autoritate de rezoluție, ia o </w:t>
            </w:r>
            <w:r w:rsidR="00F027B8" w:rsidRPr="00154588">
              <w:rPr>
                <w:bCs/>
                <w:sz w:val="20"/>
                <w:szCs w:val="20"/>
              </w:rPr>
              <w:t xml:space="preserve">acțiune </w:t>
            </w:r>
            <w:r w:rsidRPr="00154588">
              <w:rPr>
                <w:bCs/>
                <w:sz w:val="20"/>
                <w:szCs w:val="20"/>
              </w:rPr>
              <w:t xml:space="preserve">de rezoluție în legătură cu o entitate menționată la art.1 alin.(1) lit.c) sau d), </w:t>
            </w:r>
            <w:r w:rsidR="00BF7B6D" w:rsidRPr="00154588">
              <w:rPr>
                <w:bCs/>
                <w:sz w:val="20"/>
                <w:szCs w:val="20"/>
              </w:rPr>
              <w:t xml:space="preserve">având în vedere necesitatea de a pune în aplicare </w:t>
            </w:r>
            <w:r w:rsidR="00BF7B6D" w:rsidRPr="00154588">
              <w:rPr>
                <w:bCs/>
                <w:sz w:val="20"/>
                <w:szCs w:val="20"/>
              </w:rPr>
              <w:lastRenderedPageBreak/>
              <w:t xml:space="preserve">în mod eficace strategia de rezoluție, </w:t>
            </w:r>
            <w:r w:rsidRPr="00154588">
              <w:rPr>
                <w:bCs/>
                <w:sz w:val="20"/>
                <w:szCs w:val="20"/>
              </w:rPr>
              <w:t>atunci când entitatea respectivă îndeplinește condițiile prevăzute la art.58.</w:t>
            </w:r>
          </w:p>
          <w:p w14:paraId="3F04B7BF" w14:textId="77777777" w:rsidR="00BF7B6D" w:rsidRPr="00154588" w:rsidRDefault="00BF7B6D" w:rsidP="008C12B4">
            <w:pPr>
              <w:jc w:val="both"/>
              <w:rPr>
                <w:bCs/>
                <w:sz w:val="20"/>
                <w:szCs w:val="20"/>
              </w:rPr>
            </w:pPr>
          </w:p>
          <w:p w14:paraId="555F8BE2" w14:textId="45756150" w:rsidR="00BF7B6D" w:rsidRPr="00154588" w:rsidRDefault="00376D52" w:rsidP="008C12B4">
            <w:pPr>
              <w:jc w:val="both"/>
              <w:rPr>
                <w:bCs/>
                <w:sz w:val="20"/>
                <w:szCs w:val="20"/>
              </w:rPr>
            </w:pPr>
            <w:r w:rsidRPr="00154588">
              <w:rPr>
                <w:bCs/>
                <w:sz w:val="20"/>
                <w:szCs w:val="20"/>
              </w:rPr>
              <w:t>(1</w:t>
            </w:r>
            <w:r w:rsidR="00E125A2" w:rsidRPr="00154588">
              <w:rPr>
                <w:bCs/>
                <w:sz w:val="20"/>
                <w:szCs w:val="20"/>
              </w:rPr>
              <w:t>2</w:t>
            </w:r>
            <w:r w:rsidR="00BF7B6D" w:rsidRPr="00154588">
              <w:rPr>
                <w:bCs/>
                <w:sz w:val="20"/>
                <w:szCs w:val="20"/>
              </w:rPr>
              <w:t>) În sensul alin.(</w:t>
            </w:r>
            <w:r w:rsidRPr="00154588">
              <w:rPr>
                <w:bCs/>
                <w:sz w:val="20"/>
                <w:szCs w:val="20"/>
              </w:rPr>
              <w:t>1</w:t>
            </w:r>
            <w:r w:rsidR="00E125A2" w:rsidRPr="00154588">
              <w:rPr>
                <w:bCs/>
                <w:sz w:val="20"/>
                <w:szCs w:val="20"/>
              </w:rPr>
              <w:t>1</w:t>
            </w:r>
            <w:r w:rsidR="00BF7B6D" w:rsidRPr="00154588">
              <w:rPr>
                <w:bCs/>
                <w:sz w:val="20"/>
                <w:szCs w:val="20"/>
              </w:rPr>
              <w:t xml:space="preserve">), în vederea luării unei </w:t>
            </w:r>
            <w:r w:rsidR="00437EBD" w:rsidRPr="00154588">
              <w:rPr>
                <w:bCs/>
                <w:sz w:val="20"/>
                <w:szCs w:val="20"/>
              </w:rPr>
              <w:t>acțiuni</w:t>
            </w:r>
            <w:r w:rsidR="00BF7B6D" w:rsidRPr="00154588">
              <w:rPr>
                <w:bCs/>
                <w:sz w:val="20"/>
                <w:szCs w:val="20"/>
              </w:rPr>
              <w:t xml:space="preserve"> de rezoluție, se consideră că o entitate </w:t>
            </w:r>
            <w:r w:rsidR="004D76CA" w:rsidRPr="00154588">
              <w:rPr>
                <w:bCs/>
                <w:sz w:val="20"/>
                <w:szCs w:val="20"/>
              </w:rPr>
              <w:t>intră</w:t>
            </w:r>
            <w:r w:rsidR="00BF7B6D" w:rsidRPr="00154588">
              <w:rPr>
                <w:bCs/>
                <w:sz w:val="20"/>
                <w:szCs w:val="20"/>
              </w:rPr>
              <w:t xml:space="preserve"> sau este </w:t>
            </w:r>
            <w:r w:rsidR="00BF7B6D" w:rsidRPr="00154588">
              <w:rPr>
                <w:bCs/>
                <w:sz w:val="20"/>
                <w:szCs w:val="20"/>
              </w:rPr>
              <w:lastRenderedPageBreak/>
              <w:t xml:space="preserve">susceptibilă de a intra în dificultate în oricare dintre următoarele situații: </w:t>
            </w:r>
          </w:p>
          <w:p w14:paraId="3452068E" w14:textId="03944E43" w:rsidR="00BF7B6D" w:rsidRPr="00154588" w:rsidRDefault="00BF7B6D" w:rsidP="008C12B4">
            <w:pPr>
              <w:jc w:val="both"/>
              <w:rPr>
                <w:bCs/>
                <w:sz w:val="20"/>
                <w:szCs w:val="20"/>
              </w:rPr>
            </w:pPr>
            <w:r w:rsidRPr="00154588">
              <w:rPr>
                <w:bCs/>
                <w:sz w:val="20"/>
                <w:szCs w:val="20"/>
              </w:rPr>
              <w:t>a) entitatea îndeplinește una sau mai multe dintre condițiile prevăzute la art</w:t>
            </w:r>
            <w:r w:rsidR="007E1356" w:rsidRPr="00154588">
              <w:rPr>
                <w:bCs/>
                <w:sz w:val="20"/>
                <w:szCs w:val="20"/>
              </w:rPr>
              <w:t xml:space="preserve">.59 </w:t>
            </w:r>
            <w:r w:rsidRPr="00154588">
              <w:rPr>
                <w:bCs/>
                <w:sz w:val="20"/>
                <w:szCs w:val="20"/>
              </w:rPr>
              <w:t>alin</w:t>
            </w:r>
            <w:r w:rsidR="007E1356" w:rsidRPr="00154588">
              <w:rPr>
                <w:bCs/>
                <w:sz w:val="20"/>
                <w:szCs w:val="20"/>
              </w:rPr>
              <w:t>.</w:t>
            </w:r>
            <w:r w:rsidRPr="00154588">
              <w:rPr>
                <w:bCs/>
                <w:sz w:val="20"/>
                <w:szCs w:val="20"/>
              </w:rPr>
              <w:t>(4) lit</w:t>
            </w:r>
            <w:r w:rsidR="007E1356" w:rsidRPr="00154588">
              <w:rPr>
                <w:bCs/>
                <w:sz w:val="20"/>
                <w:szCs w:val="20"/>
              </w:rPr>
              <w:t>.</w:t>
            </w:r>
            <w:r w:rsidRPr="00154588">
              <w:rPr>
                <w:bCs/>
                <w:sz w:val="20"/>
                <w:szCs w:val="20"/>
              </w:rPr>
              <w:t xml:space="preserve">b), c) sau d); </w:t>
            </w:r>
          </w:p>
          <w:p w14:paraId="49D24A68" w14:textId="77777777" w:rsidR="00BF7B6D" w:rsidRPr="00154588" w:rsidRDefault="00BF7B6D" w:rsidP="008C12B4">
            <w:pPr>
              <w:jc w:val="both"/>
              <w:rPr>
                <w:bCs/>
                <w:sz w:val="20"/>
                <w:szCs w:val="20"/>
              </w:rPr>
            </w:pPr>
          </w:p>
          <w:p w14:paraId="0F5B0DAA" w14:textId="3098B121" w:rsidR="00BF7B6D" w:rsidRPr="00154588" w:rsidRDefault="00BF7B6D" w:rsidP="008C12B4">
            <w:pPr>
              <w:jc w:val="both"/>
              <w:rPr>
                <w:bCs/>
                <w:sz w:val="20"/>
                <w:szCs w:val="20"/>
              </w:rPr>
            </w:pPr>
            <w:r w:rsidRPr="00154588">
              <w:rPr>
                <w:bCs/>
                <w:sz w:val="20"/>
                <w:szCs w:val="20"/>
              </w:rPr>
              <w:t xml:space="preserve">b) entitatea încalcă în mod semnificativ sau există elemente obiective care indică faptul că entitatea va încălca în mod semnificativ, în viitorul apropiat, cerințele aplicabile prevăzute în </w:t>
            </w:r>
            <w:r w:rsidR="002A40B4" w:rsidRPr="00154588">
              <w:rPr>
                <w:bCs/>
                <w:sz w:val="20"/>
                <w:szCs w:val="20"/>
              </w:rPr>
              <w:t>Legea 202/2017 sau in reglementările Băncii Naționale a Moldvei emise in aplicarea respectivei legi</w:t>
            </w:r>
            <w:r w:rsidRPr="00154588">
              <w:rPr>
                <w:bCs/>
                <w:sz w:val="20"/>
                <w:szCs w:val="20"/>
              </w:rPr>
              <w:t>.”</w:t>
            </w:r>
          </w:p>
        </w:tc>
        <w:tc>
          <w:tcPr>
            <w:tcW w:w="2552" w:type="dxa"/>
          </w:tcPr>
          <w:p w14:paraId="1E6D49D0" w14:textId="290AA110"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61B57D5D" w14:textId="77777777" w:rsidR="00B53006" w:rsidRPr="00154588" w:rsidRDefault="00B53006" w:rsidP="008C12B4">
            <w:pPr>
              <w:jc w:val="both"/>
              <w:rPr>
                <w:bCs/>
                <w:sz w:val="20"/>
                <w:szCs w:val="20"/>
              </w:rPr>
            </w:pPr>
          </w:p>
        </w:tc>
      </w:tr>
      <w:tr w:rsidR="00B53006" w:rsidRPr="00154588" w14:paraId="33C7F598" w14:textId="77777777" w:rsidTr="00D15C1B">
        <w:trPr>
          <w:jc w:val="center"/>
        </w:trPr>
        <w:tc>
          <w:tcPr>
            <w:tcW w:w="4957" w:type="dxa"/>
            <w:gridSpan w:val="2"/>
          </w:tcPr>
          <w:p w14:paraId="6BBA5503" w14:textId="33F4AA82" w:rsidR="00B53006" w:rsidRPr="00154588" w:rsidRDefault="00B53006" w:rsidP="008C12B4">
            <w:pPr>
              <w:jc w:val="both"/>
              <w:rPr>
                <w:bCs/>
                <w:sz w:val="20"/>
                <w:szCs w:val="20"/>
              </w:rPr>
            </w:pPr>
            <w:r w:rsidRPr="00154588">
              <w:rPr>
                <w:bCs/>
                <w:sz w:val="20"/>
                <w:szCs w:val="20"/>
              </w:rPr>
              <w:lastRenderedPageBreak/>
              <w:t>(3) În cazul în care instituțiile-filiale ale unei societăți holding cu activitate mixtă sunt deținute, direct sau indirect, de către o societate financiară holding intermediară, planul de rezoluție prevede că societatea financiară holding intermediară este identificată ca o entitate de rezoluție, iar statele membre se asigură că măsurile de rezoluție în sensul rezoluției grupului sunt luate în ceea ce privește societatea financiară holding intermediară. Statele membre se asigură că autoritățile de rezoluție nu iau măsuri de rezoluție în sensul rezoluției grupului în ceea ce privește societatea holding cu activitate mixtă.</w:t>
            </w:r>
          </w:p>
        </w:tc>
        <w:tc>
          <w:tcPr>
            <w:tcW w:w="4819" w:type="dxa"/>
          </w:tcPr>
          <w:p w14:paraId="7CADAEED" w14:textId="5868A0FE" w:rsidR="00B53006" w:rsidRPr="00154588" w:rsidRDefault="00B53006" w:rsidP="008C12B4">
            <w:pPr>
              <w:jc w:val="both"/>
              <w:rPr>
                <w:bCs/>
                <w:sz w:val="20"/>
                <w:szCs w:val="20"/>
              </w:rPr>
            </w:pPr>
            <w:r w:rsidRPr="00154588">
              <w:rPr>
                <w:b/>
                <w:sz w:val="20"/>
                <w:szCs w:val="20"/>
              </w:rPr>
              <w:t>Articolul 60.</w:t>
            </w:r>
            <w:r w:rsidRPr="00154588">
              <w:rPr>
                <w:bCs/>
                <w:sz w:val="20"/>
                <w:szCs w:val="20"/>
              </w:rPr>
              <w:t xml:space="preserve"> – (</w:t>
            </w:r>
            <w:r w:rsidR="00376D52" w:rsidRPr="00154588">
              <w:rPr>
                <w:bCs/>
                <w:sz w:val="20"/>
                <w:szCs w:val="20"/>
              </w:rPr>
              <w:t>1</w:t>
            </w:r>
            <w:r w:rsidR="00E125A2" w:rsidRPr="00154588">
              <w:rPr>
                <w:bCs/>
                <w:sz w:val="20"/>
                <w:szCs w:val="20"/>
              </w:rPr>
              <w:t>3</w:t>
            </w:r>
            <w:r w:rsidRPr="00154588">
              <w:rPr>
                <w:bCs/>
                <w:sz w:val="20"/>
                <w:szCs w:val="20"/>
              </w:rPr>
              <w:t xml:space="preserve">) În cazul în care instituțiile filiale ale unei societăți holding cu activitate mixtă sunt deținute, direct sau indirect, de o societate financiară holding intermediară, planul de rezoluție trebuie să prevadă că societatea financiară holding intermediară, este identificată ca entitate de rezoluție, iar </w:t>
            </w:r>
            <w:r w:rsidR="00437EBD" w:rsidRPr="00154588">
              <w:rPr>
                <w:bCs/>
                <w:sz w:val="20"/>
                <w:szCs w:val="20"/>
              </w:rPr>
              <w:t xml:space="preserve">acțiunile </w:t>
            </w:r>
            <w:r w:rsidRPr="00154588">
              <w:rPr>
                <w:bCs/>
                <w:sz w:val="20"/>
                <w:szCs w:val="20"/>
              </w:rPr>
              <w:t xml:space="preserve">de rezoluție în scopul rezoluției grupului sunt luate în legătură cu societatea financiară holding intermediară. Banca Națională a Moldovei care acționează ca autoritate de rezoluție nu ia </w:t>
            </w:r>
            <w:r w:rsidR="00437EBD" w:rsidRPr="00154588">
              <w:rPr>
                <w:bCs/>
                <w:sz w:val="20"/>
                <w:szCs w:val="20"/>
              </w:rPr>
              <w:t xml:space="preserve">acțiuni </w:t>
            </w:r>
            <w:r w:rsidRPr="00154588">
              <w:rPr>
                <w:bCs/>
                <w:sz w:val="20"/>
                <w:szCs w:val="20"/>
              </w:rPr>
              <w:t>de rezoluție în scopul rezoluției grupului în legătură cu societatea financiară holding cu activitate mixtă.</w:t>
            </w:r>
          </w:p>
        </w:tc>
        <w:tc>
          <w:tcPr>
            <w:tcW w:w="2552" w:type="dxa"/>
          </w:tcPr>
          <w:p w14:paraId="1B89374F" w14:textId="5975BDEA" w:rsidR="00B53006" w:rsidRPr="00154588" w:rsidRDefault="00B53006" w:rsidP="008C12B4">
            <w:pPr>
              <w:jc w:val="both"/>
              <w:rPr>
                <w:bCs/>
                <w:sz w:val="20"/>
                <w:szCs w:val="20"/>
              </w:rPr>
            </w:pPr>
            <w:r w:rsidRPr="00154588">
              <w:rPr>
                <w:bCs/>
                <w:sz w:val="20"/>
                <w:szCs w:val="20"/>
              </w:rPr>
              <w:t>Compatibil</w:t>
            </w:r>
          </w:p>
        </w:tc>
        <w:tc>
          <w:tcPr>
            <w:tcW w:w="3118" w:type="dxa"/>
          </w:tcPr>
          <w:p w14:paraId="7A1BA52B" w14:textId="77777777" w:rsidR="00B53006" w:rsidRPr="00154588" w:rsidRDefault="00B53006" w:rsidP="008C12B4">
            <w:pPr>
              <w:jc w:val="both"/>
              <w:rPr>
                <w:bCs/>
                <w:sz w:val="20"/>
                <w:szCs w:val="20"/>
              </w:rPr>
            </w:pPr>
          </w:p>
        </w:tc>
      </w:tr>
      <w:tr w:rsidR="00B53006" w:rsidRPr="00154588" w14:paraId="2E5BDEA4" w14:textId="77777777" w:rsidTr="00D15C1B">
        <w:trPr>
          <w:jc w:val="center"/>
        </w:trPr>
        <w:tc>
          <w:tcPr>
            <w:tcW w:w="4957" w:type="dxa"/>
            <w:gridSpan w:val="2"/>
          </w:tcPr>
          <w:p w14:paraId="4404D35E" w14:textId="756241E4" w:rsidR="00B53006" w:rsidRPr="00154588" w:rsidRDefault="00B53006" w:rsidP="008C12B4">
            <w:pPr>
              <w:jc w:val="both"/>
              <w:rPr>
                <w:bCs/>
                <w:sz w:val="20"/>
                <w:szCs w:val="20"/>
              </w:rPr>
            </w:pPr>
            <w:r w:rsidRPr="00154588">
              <w:rPr>
                <w:bCs/>
                <w:sz w:val="20"/>
                <w:szCs w:val="20"/>
              </w:rPr>
              <w:t>(4) În temeiul dispozițiilor alineatului (3) al prezentului articol și în pofida faptului că o entitate menționată la articolul 1 alineatul (1) litera (c) sau (d) nu îndeplinește condițiile prevăzute la articolul 32 alineatul (1), autoritățile de rezoluție pot lua măsuri de rezoluție cu privire la o entitate menționată la articolul 1 alineatul (1) litera (c) sau (d) în cazul în care sunt îndeplinite toate condițiile de mai jos:</w:t>
            </w:r>
          </w:p>
          <w:p w14:paraId="2F9B502E" w14:textId="3992CDF0" w:rsidR="00B53006" w:rsidRPr="00154588" w:rsidRDefault="00B53006" w:rsidP="008C12B4">
            <w:pPr>
              <w:jc w:val="both"/>
              <w:rPr>
                <w:bCs/>
                <w:sz w:val="20"/>
                <w:szCs w:val="20"/>
              </w:rPr>
            </w:pPr>
          </w:p>
          <w:p w14:paraId="5582568D" w14:textId="43EFFA44" w:rsidR="00B53006" w:rsidRPr="00154588" w:rsidRDefault="00B53006" w:rsidP="008C12B4">
            <w:pPr>
              <w:jc w:val="both"/>
              <w:rPr>
                <w:bCs/>
                <w:sz w:val="20"/>
                <w:szCs w:val="20"/>
              </w:rPr>
            </w:pPr>
            <w:r w:rsidRPr="00154588">
              <w:rPr>
                <w:bCs/>
                <w:sz w:val="20"/>
                <w:szCs w:val="20"/>
              </w:rPr>
              <w:t>(a) entitatea este o entitate de rezoluție;</w:t>
            </w:r>
          </w:p>
          <w:p w14:paraId="043F3B04" w14:textId="6860DE57" w:rsidR="00B53006" w:rsidRPr="00154588" w:rsidRDefault="00B53006" w:rsidP="008C12B4">
            <w:pPr>
              <w:jc w:val="both"/>
              <w:rPr>
                <w:bCs/>
                <w:sz w:val="20"/>
                <w:szCs w:val="20"/>
              </w:rPr>
            </w:pPr>
          </w:p>
          <w:p w14:paraId="6EAFEB97" w14:textId="66034262" w:rsidR="00B53006" w:rsidRPr="00154588" w:rsidRDefault="00B53006" w:rsidP="008C12B4">
            <w:pPr>
              <w:jc w:val="both"/>
              <w:rPr>
                <w:bCs/>
                <w:sz w:val="20"/>
                <w:szCs w:val="20"/>
              </w:rPr>
            </w:pPr>
            <w:r w:rsidRPr="00154588">
              <w:rPr>
                <w:bCs/>
                <w:sz w:val="20"/>
                <w:szCs w:val="20"/>
              </w:rPr>
              <w:t>(b) cel puțin una dintre filialele entității care sunt instituții, dar nu entități de rezoluție, respectă condițiile prevăzute la articolul 32 alineatul (1);</w:t>
            </w:r>
          </w:p>
          <w:p w14:paraId="6DEDFE2F" w14:textId="2616A72F" w:rsidR="00B53006" w:rsidRPr="00154588" w:rsidRDefault="00B53006" w:rsidP="008C12B4">
            <w:pPr>
              <w:jc w:val="both"/>
              <w:rPr>
                <w:bCs/>
                <w:sz w:val="20"/>
                <w:szCs w:val="20"/>
              </w:rPr>
            </w:pPr>
          </w:p>
          <w:p w14:paraId="207E2398" w14:textId="4E187A09" w:rsidR="00B53006" w:rsidRPr="00154588" w:rsidRDefault="00B53006" w:rsidP="008C12B4">
            <w:pPr>
              <w:jc w:val="both"/>
              <w:rPr>
                <w:bCs/>
                <w:sz w:val="20"/>
                <w:szCs w:val="20"/>
              </w:rPr>
            </w:pPr>
          </w:p>
          <w:p w14:paraId="4A10FCB7" w14:textId="1C0E7B72" w:rsidR="00B53006" w:rsidRPr="00154588" w:rsidRDefault="00B53006" w:rsidP="008C12B4">
            <w:pPr>
              <w:jc w:val="both"/>
              <w:rPr>
                <w:bCs/>
                <w:sz w:val="20"/>
                <w:szCs w:val="20"/>
              </w:rPr>
            </w:pPr>
            <w:r w:rsidRPr="00154588">
              <w:rPr>
                <w:bCs/>
                <w:sz w:val="20"/>
                <w:szCs w:val="20"/>
              </w:rPr>
              <w:lastRenderedPageBreak/>
              <w:t xml:space="preserve">(c) activele și pasivele filialelor menționate la litera (b) sunt de așa natură încât intrarea în dificultate a respectivelor filiale pune în pericol întregul grup de rezoluție, iar măsurile de rezoluție care vizează </w:t>
            </w:r>
            <w:r w:rsidRPr="00154588">
              <w:rPr>
                <w:bCs/>
                <w:sz w:val="20"/>
                <w:szCs w:val="20"/>
              </w:rPr>
              <w:lastRenderedPageBreak/>
              <w:t>entitatea sunt necesare fie pentru rezoluția acestor filiale care sunt instituții, fie pentru rezoluția întregului grup relevant de rezoluție.</w:t>
            </w:r>
          </w:p>
        </w:tc>
        <w:tc>
          <w:tcPr>
            <w:tcW w:w="4819" w:type="dxa"/>
          </w:tcPr>
          <w:p w14:paraId="5BA3116E" w14:textId="2EF29D73" w:rsidR="00B53006" w:rsidRPr="00154588" w:rsidRDefault="00B53006" w:rsidP="008C12B4">
            <w:pPr>
              <w:jc w:val="both"/>
              <w:rPr>
                <w:bCs/>
                <w:sz w:val="20"/>
                <w:szCs w:val="20"/>
              </w:rPr>
            </w:pPr>
            <w:r w:rsidRPr="00154588">
              <w:rPr>
                <w:b/>
                <w:sz w:val="20"/>
                <w:szCs w:val="20"/>
              </w:rPr>
              <w:lastRenderedPageBreak/>
              <w:t>Articolul 60.</w:t>
            </w:r>
            <w:r w:rsidRPr="00154588">
              <w:rPr>
                <w:bCs/>
                <w:sz w:val="20"/>
                <w:szCs w:val="20"/>
              </w:rPr>
              <w:t xml:space="preserve"> – (</w:t>
            </w:r>
            <w:r w:rsidR="00376D52" w:rsidRPr="00154588">
              <w:rPr>
                <w:bCs/>
                <w:sz w:val="20"/>
                <w:szCs w:val="20"/>
              </w:rPr>
              <w:t>1</w:t>
            </w:r>
            <w:r w:rsidR="00E125A2" w:rsidRPr="00154588">
              <w:rPr>
                <w:bCs/>
                <w:sz w:val="20"/>
                <w:szCs w:val="20"/>
              </w:rPr>
              <w:t>4</w:t>
            </w:r>
            <w:r w:rsidRPr="00154588">
              <w:rPr>
                <w:bCs/>
                <w:sz w:val="20"/>
                <w:szCs w:val="20"/>
              </w:rPr>
              <w:t>) Sub rezerva alin.</w:t>
            </w:r>
            <w:r w:rsidR="00376D52" w:rsidRPr="00154588">
              <w:rPr>
                <w:bCs/>
                <w:sz w:val="20"/>
                <w:szCs w:val="20"/>
              </w:rPr>
              <w:t>1</w:t>
            </w:r>
            <w:r w:rsidR="00E125A2" w:rsidRPr="00154588">
              <w:rPr>
                <w:bCs/>
                <w:sz w:val="20"/>
                <w:szCs w:val="20"/>
              </w:rPr>
              <w:t>3</w:t>
            </w:r>
            <w:r w:rsidRPr="00154588">
              <w:rPr>
                <w:bCs/>
                <w:sz w:val="20"/>
                <w:szCs w:val="20"/>
              </w:rPr>
              <w:t xml:space="preserve">) al prezentului articol și în pofida faptului că o entitate menționată la art.1 alin.(1) lit.c) sau d) nu îndeplinește condițiile prevăzute la art.58, Banca Națională a Moldovei în calitate de autoritate de rezoluție poate lua </w:t>
            </w:r>
            <w:r w:rsidR="00437EBD" w:rsidRPr="00154588">
              <w:rPr>
                <w:bCs/>
                <w:sz w:val="20"/>
                <w:szCs w:val="20"/>
              </w:rPr>
              <w:t xml:space="preserve">acțiuni </w:t>
            </w:r>
            <w:r w:rsidRPr="00154588">
              <w:rPr>
                <w:bCs/>
                <w:sz w:val="20"/>
                <w:szCs w:val="20"/>
              </w:rPr>
              <w:t>de rezoluție cu privire la o entitate menționată la art.1 alin.(1) lit.c) sau d) în cazul în care sunt îndeplinite toate condițiile următoare:</w:t>
            </w:r>
          </w:p>
          <w:p w14:paraId="19E09E60" w14:textId="77777777" w:rsidR="00B53006" w:rsidRPr="00154588" w:rsidRDefault="00B53006" w:rsidP="008C12B4">
            <w:pPr>
              <w:jc w:val="both"/>
              <w:rPr>
                <w:bCs/>
                <w:sz w:val="20"/>
                <w:szCs w:val="20"/>
              </w:rPr>
            </w:pPr>
            <w:r w:rsidRPr="00154588">
              <w:rPr>
                <w:bCs/>
                <w:sz w:val="20"/>
                <w:szCs w:val="20"/>
              </w:rPr>
              <w:t>a) entitatea este o entitate de rezoluție;</w:t>
            </w:r>
          </w:p>
          <w:p w14:paraId="5928948D" w14:textId="77777777" w:rsidR="00B53006" w:rsidRPr="00154588" w:rsidRDefault="00B53006" w:rsidP="008C12B4">
            <w:pPr>
              <w:jc w:val="both"/>
              <w:rPr>
                <w:bCs/>
                <w:sz w:val="20"/>
                <w:szCs w:val="20"/>
              </w:rPr>
            </w:pPr>
            <w:r w:rsidRPr="00154588">
              <w:rPr>
                <w:bCs/>
                <w:sz w:val="20"/>
                <w:szCs w:val="20"/>
              </w:rPr>
              <w:t>b) una sau mai multe dintre filialele entității care sunt instituții, dar nu entități de rezoluție, îndeplinesc condițiile prevăzute la art.58;</w:t>
            </w:r>
          </w:p>
          <w:p w14:paraId="271355E3" w14:textId="2C8F0E82" w:rsidR="00B53006" w:rsidRPr="00154588" w:rsidRDefault="00B53006" w:rsidP="008C12B4">
            <w:pPr>
              <w:jc w:val="both"/>
              <w:rPr>
                <w:bCs/>
                <w:sz w:val="20"/>
                <w:szCs w:val="20"/>
              </w:rPr>
            </w:pPr>
            <w:r w:rsidRPr="00154588">
              <w:rPr>
                <w:bCs/>
                <w:sz w:val="20"/>
                <w:szCs w:val="20"/>
              </w:rPr>
              <w:t xml:space="preserve">c) activele și pasivele filialelor menționate la lit.b) sunt de așa natură încât intrarea în dificultate a acestor filiale amenință grupul de rezoluție în ansamblu, iar </w:t>
            </w:r>
            <w:r w:rsidR="00437EBD" w:rsidRPr="00154588">
              <w:rPr>
                <w:bCs/>
                <w:sz w:val="20"/>
                <w:szCs w:val="20"/>
              </w:rPr>
              <w:t xml:space="preserve">acțiunile </w:t>
            </w:r>
            <w:r w:rsidRPr="00154588">
              <w:rPr>
                <w:bCs/>
                <w:sz w:val="20"/>
                <w:szCs w:val="20"/>
              </w:rPr>
              <w:t>de rezoluție cu privire la entitate sunt necesare fie pentru rezoluția acestor filiale care sunt instituții, fie pentru rezoluția grupului de rezoluție relevant în ansamblu.</w:t>
            </w:r>
          </w:p>
        </w:tc>
        <w:tc>
          <w:tcPr>
            <w:tcW w:w="2552" w:type="dxa"/>
          </w:tcPr>
          <w:p w14:paraId="4CE29D73" w14:textId="3BB70D26" w:rsidR="00B53006" w:rsidRPr="00154588" w:rsidRDefault="00B53006" w:rsidP="008C12B4">
            <w:pPr>
              <w:jc w:val="both"/>
              <w:rPr>
                <w:bCs/>
                <w:sz w:val="20"/>
                <w:szCs w:val="20"/>
              </w:rPr>
            </w:pPr>
            <w:r w:rsidRPr="00154588">
              <w:rPr>
                <w:bCs/>
                <w:sz w:val="20"/>
                <w:szCs w:val="20"/>
              </w:rPr>
              <w:t>Compatibil</w:t>
            </w:r>
          </w:p>
        </w:tc>
        <w:tc>
          <w:tcPr>
            <w:tcW w:w="3118" w:type="dxa"/>
          </w:tcPr>
          <w:p w14:paraId="2CBF29C8" w14:textId="77777777" w:rsidR="00B53006" w:rsidRPr="00154588" w:rsidRDefault="00B53006" w:rsidP="008C12B4">
            <w:pPr>
              <w:jc w:val="both"/>
              <w:rPr>
                <w:bCs/>
                <w:sz w:val="20"/>
                <w:szCs w:val="20"/>
              </w:rPr>
            </w:pPr>
          </w:p>
        </w:tc>
      </w:tr>
      <w:tr w:rsidR="00B53006" w:rsidRPr="00154588" w14:paraId="5BD00225" w14:textId="77777777" w:rsidTr="00D15C1B">
        <w:trPr>
          <w:jc w:val="center"/>
        </w:trPr>
        <w:tc>
          <w:tcPr>
            <w:tcW w:w="4957" w:type="dxa"/>
            <w:gridSpan w:val="2"/>
          </w:tcPr>
          <w:p w14:paraId="154682E6" w14:textId="77777777" w:rsidR="00B53006" w:rsidRPr="00154588" w:rsidRDefault="00B53006" w:rsidP="008C12B4">
            <w:pPr>
              <w:rPr>
                <w:b/>
                <w:sz w:val="20"/>
                <w:szCs w:val="20"/>
              </w:rPr>
            </w:pPr>
            <w:r w:rsidRPr="00154588">
              <w:rPr>
                <w:b/>
                <w:sz w:val="20"/>
                <w:szCs w:val="20"/>
              </w:rPr>
              <w:lastRenderedPageBreak/>
              <w:t>Articolul 33a</w:t>
            </w:r>
          </w:p>
          <w:p w14:paraId="4D186B2D" w14:textId="77777777" w:rsidR="00B53006" w:rsidRPr="00154588" w:rsidRDefault="00B53006" w:rsidP="008C12B4">
            <w:pPr>
              <w:rPr>
                <w:bCs/>
                <w:sz w:val="20"/>
                <w:szCs w:val="20"/>
              </w:rPr>
            </w:pPr>
          </w:p>
          <w:p w14:paraId="11C9A18F" w14:textId="3CD46AF9" w:rsidR="00B53006" w:rsidRPr="00154588" w:rsidRDefault="00B53006" w:rsidP="008C12B4">
            <w:pPr>
              <w:rPr>
                <w:b/>
                <w:sz w:val="20"/>
                <w:szCs w:val="20"/>
              </w:rPr>
            </w:pPr>
            <w:r w:rsidRPr="00154588">
              <w:rPr>
                <w:b/>
                <w:sz w:val="20"/>
                <w:szCs w:val="20"/>
              </w:rPr>
              <w:t>Competența de a suspenda anumite obligații</w:t>
            </w:r>
          </w:p>
        </w:tc>
        <w:tc>
          <w:tcPr>
            <w:tcW w:w="4819" w:type="dxa"/>
          </w:tcPr>
          <w:p w14:paraId="69C78234" w14:textId="77777777" w:rsidR="00B53006" w:rsidRPr="00154588" w:rsidRDefault="00B53006" w:rsidP="008C12B4">
            <w:pPr>
              <w:jc w:val="center"/>
              <w:rPr>
                <w:b/>
                <w:bCs/>
                <w:sz w:val="20"/>
                <w:szCs w:val="20"/>
              </w:rPr>
            </w:pPr>
            <w:r w:rsidRPr="00154588">
              <w:rPr>
                <w:b/>
                <w:bCs/>
                <w:sz w:val="20"/>
                <w:szCs w:val="20"/>
              </w:rPr>
              <w:t>Secţiunea a 2</w:t>
            </w:r>
            <w:r w:rsidRPr="00154588">
              <w:rPr>
                <w:b/>
                <w:bCs/>
                <w:sz w:val="20"/>
                <w:szCs w:val="20"/>
                <w:vertAlign w:val="superscript"/>
              </w:rPr>
              <w:t>1</w:t>
            </w:r>
            <w:r w:rsidRPr="00154588">
              <w:rPr>
                <w:b/>
                <w:bCs/>
                <w:sz w:val="20"/>
                <w:szCs w:val="20"/>
              </w:rPr>
              <w:t>-a</w:t>
            </w:r>
          </w:p>
          <w:p w14:paraId="25DB0279" w14:textId="77777777" w:rsidR="00B53006" w:rsidRPr="00154588" w:rsidRDefault="00B53006" w:rsidP="008C12B4">
            <w:pPr>
              <w:jc w:val="center"/>
              <w:rPr>
                <w:b/>
                <w:bCs/>
                <w:sz w:val="20"/>
                <w:szCs w:val="20"/>
              </w:rPr>
            </w:pPr>
            <w:r w:rsidRPr="00154588">
              <w:rPr>
                <w:b/>
                <w:bCs/>
                <w:sz w:val="20"/>
                <w:szCs w:val="20"/>
              </w:rPr>
              <w:t>Competenţa de a suspenda anumite obligaţii</w:t>
            </w:r>
          </w:p>
          <w:p w14:paraId="7BFCB197" w14:textId="77777777" w:rsidR="00B53006" w:rsidRPr="00154588" w:rsidRDefault="00B53006" w:rsidP="008C12B4">
            <w:pPr>
              <w:jc w:val="both"/>
              <w:rPr>
                <w:bCs/>
                <w:sz w:val="20"/>
                <w:szCs w:val="20"/>
              </w:rPr>
            </w:pPr>
          </w:p>
        </w:tc>
        <w:tc>
          <w:tcPr>
            <w:tcW w:w="2552" w:type="dxa"/>
          </w:tcPr>
          <w:p w14:paraId="37FA8732" w14:textId="77777777" w:rsidR="00B53006" w:rsidRPr="00154588" w:rsidRDefault="00B53006" w:rsidP="008C12B4">
            <w:pPr>
              <w:jc w:val="both"/>
              <w:rPr>
                <w:bCs/>
                <w:sz w:val="20"/>
                <w:szCs w:val="20"/>
              </w:rPr>
            </w:pPr>
          </w:p>
        </w:tc>
        <w:tc>
          <w:tcPr>
            <w:tcW w:w="3118" w:type="dxa"/>
          </w:tcPr>
          <w:p w14:paraId="21216986" w14:textId="77777777" w:rsidR="00B53006" w:rsidRPr="00154588" w:rsidRDefault="00B53006" w:rsidP="008C12B4">
            <w:pPr>
              <w:jc w:val="both"/>
              <w:rPr>
                <w:bCs/>
                <w:sz w:val="20"/>
                <w:szCs w:val="20"/>
              </w:rPr>
            </w:pPr>
          </w:p>
        </w:tc>
      </w:tr>
      <w:tr w:rsidR="00B53006" w:rsidRPr="00154588" w14:paraId="1EF81022" w14:textId="77777777" w:rsidTr="00D15C1B">
        <w:trPr>
          <w:jc w:val="center"/>
        </w:trPr>
        <w:tc>
          <w:tcPr>
            <w:tcW w:w="4957" w:type="dxa"/>
            <w:gridSpan w:val="2"/>
          </w:tcPr>
          <w:p w14:paraId="1EB7D179" w14:textId="77777777" w:rsidR="00B53006" w:rsidRPr="00154588" w:rsidRDefault="00B53006" w:rsidP="008C12B4">
            <w:pPr>
              <w:jc w:val="both"/>
              <w:rPr>
                <w:bCs/>
                <w:sz w:val="20"/>
                <w:szCs w:val="20"/>
              </w:rPr>
            </w:pPr>
            <w:r w:rsidRPr="00154588">
              <w:rPr>
                <w:bCs/>
                <w:sz w:val="20"/>
                <w:szCs w:val="20"/>
              </w:rPr>
              <w:t>(1)   Statele membre se asigură că autoritățile de rezoluție, după consultarea autorităților competente, care răspund în timp util, au competența de a suspenda orice obligații de plată sau de livrare în temeiul oricărui contract la care o instituție sau o entitate menționate la articolul 1 alineatul (1) litera (b), (c) sau (d) este parte atunci când sunt îndeplinite toate condițiile următoare:</w:t>
            </w:r>
          </w:p>
          <w:p w14:paraId="2CD1B861" w14:textId="77777777" w:rsidR="00B53006" w:rsidRPr="00154588" w:rsidRDefault="00B53006" w:rsidP="008C12B4">
            <w:pPr>
              <w:jc w:val="both"/>
              <w:rPr>
                <w:bCs/>
                <w:sz w:val="20"/>
                <w:szCs w:val="20"/>
              </w:rPr>
            </w:pPr>
          </w:p>
          <w:p w14:paraId="4EE1C7B7" w14:textId="77BD1B6A" w:rsidR="00B53006" w:rsidRPr="00154588" w:rsidRDefault="00B53006" w:rsidP="008C12B4">
            <w:pPr>
              <w:jc w:val="both"/>
              <w:rPr>
                <w:bCs/>
                <w:sz w:val="20"/>
                <w:szCs w:val="20"/>
              </w:rPr>
            </w:pPr>
            <w:r w:rsidRPr="00154588">
              <w:rPr>
                <w:bCs/>
                <w:sz w:val="20"/>
                <w:szCs w:val="20"/>
              </w:rPr>
              <w:t>(a) s-a stabilit că instituția sau entitatea este în curs de a intra în dificultate sau este susceptibilă de a intra în dificultate, în conformitate cu articolul 32 alineatul (1) litera (a);</w:t>
            </w:r>
          </w:p>
          <w:p w14:paraId="46B798AA" w14:textId="77777777" w:rsidR="00B53006" w:rsidRPr="00154588" w:rsidRDefault="00B53006" w:rsidP="008C12B4">
            <w:pPr>
              <w:jc w:val="both"/>
              <w:rPr>
                <w:bCs/>
                <w:sz w:val="20"/>
                <w:szCs w:val="20"/>
              </w:rPr>
            </w:pPr>
          </w:p>
          <w:p w14:paraId="1F61B98B" w14:textId="30545865" w:rsidR="00B53006" w:rsidRPr="00154588" w:rsidRDefault="00B53006" w:rsidP="008C12B4">
            <w:pPr>
              <w:jc w:val="both"/>
              <w:rPr>
                <w:bCs/>
                <w:sz w:val="20"/>
                <w:szCs w:val="20"/>
              </w:rPr>
            </w:pPr>
            <w:r w:rsidRPr="00154588">
              <w:rPr>
                <w:bCs/>
                <w:sz w:val="20"/>
                <w:szCs w:val="20"/>
              </w:rPr>
              <w:t>(b) nu există nicio măsură disponibilă imediat în sectorul privat menționată la articolul 32 alineatul (1) litera (b), care ar împiedica intrarea în dificultate a instituției sau a entității;</w:t>
            </w:r>
          </w:p>
          <w:p w14:paraId="0317D614" w14:textId="77777777" w:rsidR="00B53006" w:rsidRPr="00154588" w:rsidRDefault="00B53006" w:rsidP="008C12B4">
            <w:pPr>
              <w:jc w:val="both"/>
              <w:rPr>
                <w:bCs/>
                <w:sz w:val="20"/>
                <w:szCs w:val="20"/>
              </w:rPr>
            </w:pPr>
          </w:p>
          <w:p w14:paraId="72E752C0" w14:textId="3A4CD356" w:rsidR="00B53006" w:rsidRPr="00154588" w:rsidRDefault="00B53006" w:rsidP="008C12B4">
            <w:pPr>
              <w:jc w:val="both"/>
              <w:rPr>
                <w:bCs/>
                <w:sz w:val="20"/>
                <w:szCs w:val="20"/>
              </w:rPr>
            </w:pPr>
            <w:r w:rsidRPr="00154588">
              <w:rPr>
                <w:bCs/>
                <w:sz w:val="20"/>
                <w:szCs w:val="20"/>
              </w:rPr>
              <w:t>(c) exercitarea competenței de suspendare este considerată necesară pentru a se evita o deteriorare și mai mare a condițiilor financiare ale instituției sau ale entității; și</w:t>
            </w:r>
          </w:p>
          <w:p w14:paraId="2F5E7F65" w14:textId="77777777" w:rsidR="00B53006" w:rsidRPr="00154588" w:rsidRDefault="00B53006" w:rsidP="008C12B4">
            <w:pPr>
              <w:jc w:val="both"/>
              <w:rPr>
                <w:bCs/>
                <w:sz w:val="20"/>
                <w:szCs w:val="20"/>
              </w:rPr>
            </w:pPr>
          </w:p>
          <w:p w14:paraId="4FA30D5B" w14:textId="23882DAC" w:rsidR="00B53006" w:rsidRPr="00154588" w:rsidRDefault="00B53006" w:rsidP="008C12B4">
            <w:pPr>
              <w:jc w:val="both"/>
              <w:rPr>
                <w:bCs/>
                <w:sz w:val="20"/>
                <w:szCs w:val="20"/>
              </w:rPr>
            </w:pPr>
            <w:r w:rsidRPr="00154588">
              <w:rPr>
                <w:bCs/>
                <w:sz w:val="20"/>
                <w:szCs w:val="20"/>
              </w:rPr>
              <w:t>(d) exercitarea competenței de suspendare este fie:</w:t>
            </w:r>
          </w:p>
          <w:p w14:paraId="3D444256" w14:textId="77777777" w:rsidR="00B53006" w:rsidRPr="00154588" w:rsidRDefault="00B53006" w:rsidP="008C12B4">
            <w:pPr>
              <w:jc w:val="both"/>
              <w:rPr>
                <w:bCs/>
                <w:sz w:val="20"/>
                <w:szCs w:val="20"/>
              </w:rPr>
            </w:pPr>
          </w:p>
          <w:p w14:paraId="02705650" w14:textId="27668850" w:rsidR="00B53006" w:rsidRPr="00154588" w:rsidRDefault="00B53006" w:rsidP="008C12B4">
            <w:pPr>
              <w:jc w:val="both"/>
              <w:rPr>
                <w:bCs/>
                <w:sz w:val="20"/>
                <w:szCs w:val="20"/>
              </w:rPr>
            </w:pPr>
            <w:r w:rsidRPr="00154588">
              <w:rPr>
                <w:bCs/>
                <w:sz w:val="20"/>
                <w:szCs w:val="20"/>
              </w:rPr>
              <w:t>(i) necesară pentru a efectua constatarea prevăzută la articolul 32 alineatul (1) litera (c), fie</w:t>
            </w:r>
          </w:p>
          <w:p w14:paraId="2AABFAD4" w14:textId="77777777" w:rsidR="00B53006" w:rsidRPr="00154588" w:rsidRDefault="00B53006" w:rsidP="008C12B4">
            <w:pPr>
              <w:jc w:val="both"/>
              <w:rPr>
                <w:bCs/>
                <w:sz w:val="20"/>
                <w:szCs w:val="20"/>
              </w:rPr>
            </w:pPr>
          </w:p>
          <w:p w14:paraId="765A18C7" w14:textId="31F88DD9" w:rsidR="00B53006" w:rsidRPr="00154588" w:rsidRDefault="00B53006" w:rsidP="008C12B4">
            <w:pPr>
              <w:jc w:val="both"/>
              <w:rPr>
                <w:bCs/>
                <w:sz w:val="20"/>
                <w:szCs w:val="20"/>
              </w:rPr>
            </w:pPr>
            <w:r w:rsidRPr="00154588">
              <w:rPr>
                <w:bCs/>
                <w:sz w:val="20"/>
                <w:szCs w:val="20"/>
              </w:rPr>
              <w:t>(ii) necesară pentru a alege măsurile adecvate de rezoluție sau pentru a asigura aplicarea eficientă a unuia sau a mai multor instrumente de rezoluție.</w:t>
            </w:r>
          </w:p>
        </w:tc>
        <w:tc>
          <w:tcPr>
            <w:tcW w:w="4819" w:type="dxa"/>
          </w:tcPr>
          <w:p w14:paraId="5D04AA63" w14:textId="77777777" w:rsidR="00B53006" w:rsidRPr="00154588" w:rsidRDefault="00B53006" w:rsidP="008C12B4">
            <w:pPr>
              <w:jc w:val="both"/>
              <w:rPr>
                <w:bCs/>
                <w:sz w:val="20"/>
                <w:szCs w:val="20"/>
              </w:rPr>
            </w:pPr>
            <w:r w:rsidRPr="00154588">
              <w:rPr>
                <w:b/>
                <w:sz w:val="20"/>
                <w:szCs w:val="20"/>
              </w:rPr>
              <w:t>Articolul 60</w:t>
            </w:r>
            <w:r w:rsidRPr="00154588">
              <w:rPr>
                <w:b/>
                <w:sz w:val="20"/>
                <w:szCs w:val="20"/>
                <w:vertAlign w:val="superscript"/>
              </w:rPr>
              <w:t>1</w:t>
            </w:r>
            <w:r w:rsidRPr="00154588">
              <w:rPr>
                <w:b/>
                <w:sz w:val="20"/>
                <w:szCs w:val="20"/>
              </w:rPr>
              <w:t>.</w:t>
            </w:r>
            <w:r w:rsidRPr="00154588">
              <w:rPr>
                <w:bCs/>
                <w:sz w:val="20"/>
                <w:szCs w:val="20"/>
              </w:rPr>
              <w:t xml:space="preserve"> – (1) Banca Naţională a Moldovei, în calitate de autoritate de rezoluţie, are competenţa de a suspenda orice obligaţii de plată sau de livrare, rezultate din orice contract la care o instituție de credit sau entitate menționată la art.1 alin.(1) lit. b), c) sau d) este parte, atunci când sunt îndeplinite cumulativ următoarele condiţii:</w:t>
            </w:r>
          </w:p>
          <w:p w14:paraId="17097255" w14:textId="77777777" w:rsidR="00B53006" w:rsidRPr="00154588" w:rsidRDefault="00B53006" w:rsidP="008C12B4">
            <w:pPr>
              <w:jc w:val="both"/>
              <w:rPr>
                <w:bCs/>
                <w:sz w:val="20"/>
                <w:szCs w:val="20"/>
              </w:rPr>
            </w:pPr>
            <w:r w:rsidRPr="00154588">
              <w:rPr>
                <w:bCs/>
                <w:sz w:val="20"/>
                <w:szCs w:val="20"/>
              </w:rPr>
              <w:t>a) s-a stabilit că instituția de credit sau entitatea  intră sau este susceptibilă de a intra într-o stare de dificultate, în conformitate cu prevederile art.58 alin.(1) lit.a);</w:t>
            </w:r>
          </w:p>
          <w:p w14:paraId="6073DC9A" w14:textId="77777777" w:rsidR="00B53006" w:rsidRPr="00154588" w:rsidRDefault="00B53006" w:rsidP="008C12B4">
            <w:pPr>
              <w:jc w:val="both"/>
              <w:rPr>
                <w:bCs/>
                <w:sz w:val="20"/>
                <w:szCs w:val="20"/>
              </w:rPr>
            </w:pPr>
            <w:r w:rsidRPr="00154588">
              <w:rPr>
                <w:bCs/>
                <w:sz w:val="20"/>
                <w:szCs w:val="20"/>
              </w:rPr>
              <w:t>b) nu există o măsură imediat disponibilă în sectorul privat, prevăzută la art.58 alin.(1) lit.b), care ar putea împiedica intrarea instituției de credit sau entității într-o stare de dificultate;</w:t>
            </w:r>
          </w:p>
          <w:p w14:paraId="57E2E2D9" w14:textId="77777777" w:rsidR="00B53006" w:rsidRPr="00154588" w:rsidRDefault="00B53006" w:rsidP="008C12B4">
            <w:pPr>
              <w:jc w:val="both"/>
              <w:rPr>
                <w:bCs/>
                <w:sz w:val="20"/>
                <w:szCs w:val="20"/>
              </w:rPr>
            </w:pPr>
            <w:r w:rsidRPr="00154588">
              <w:rPr>
                <w:bCs/>
                <w:sz w:val="20"/>
                <w:szCs w:val="20"/>
              </w:rPr>
              <w:t>c) exercitarea competenţei de suspendare este considerată necesară pentru a evita o deteriorare şi mai mare a situaţiei financiare a instituției de credit sau entității; şi</w:t>
            </w:r>
          </w:p>
          <w:p w14:paraId="3625960B" w14:textId="77777777" w:rsidR="00B53006" w:rsidRPr="00154588" w:rsidRDefault="00B53006" w:rsidP="008C12B4">
            <w:pPr>
              <w:jc w:val="both"/>
              <w:rPr>
                <w:bCs/>
                <w:sz w:val="20"/>
                <w:szCs w:val="20"/>
              </w:rPr>
            </w:pPr>
            <w:r w:rsidRPr="00154588">
              <w:rPr>
                <w:bCs/>
                <w:sz w:val="20"/>
                <w:szCs w:val="20"/>
              </w:rPr>
              <w:t>d) exercitarea competenţei de suspendare este necesară:</w:t>
            </w:r>
          </w:p>
          <w:p w14:paraId="5AF9FD76" w14:textId="77777777" w:rsidR="00B53006" w:rsidRPr="00154588" w:rsidRDefault="00B53006" w:rsidP="008C12B4">
            <w:pPr>
              <w:jc w:val="both"/>
              <w:rPr>
                <w:bCs/>
                <w:sz w:val="20"/>
                <w:szCs w:val="20"/>
              </w:rPr>
            </w:pPr>
            <w:r w:rsidRPr="00154588">
              <w:rPr>
                <w:bCs/>
                <w:sz w:val="20"/>
                <w:szCs w:val="20"/>
              </w:rPr>
              <w:t>– pentru a efectua determinarea prevăzută la art.58 alin.(1) lit.c); sau</w:t>
            </w:r>
          </w:p>
          <w:p w14:paraId="437D6D10" w14:textId="77777777" w:rsidR="00B53006" w:rsidRPr="00154588" w:rsidRDefault="00B53006" w:rsidP="008C12B4">
            <w:pPr>
              <w:jc w:val="both"/>
              <w:rPr>
                <w:bCs/>
                <w:sz w:val="20"/>
                <w:szCs w:val="20"/>
              </w:rPr>
            </w:pPr>
            <w:r w:rsidRPr="00154588">
              <w:rPr>
                <w:bCs/>
                <w:sz w:val="20"/>
                <w:szCs w:val="20"/>
              </w:rPr>
              <w:t>– pentru a alege acţiunile de rezoluţie adecvate sau pentru a asigura aplicarea eficientă a unui sau mai multor instrumente de rezoluţie.</w:t>
            </w:r>
          </w:p>
          <w:p w14:paraId="3DCDC672" w14:textId="77777777" w:rsidR="00B53006" w:rsidRPr="00154588" w:rsidRDefault="00B53006" w:rsidP="008C12B4">
            <w:pPr>
              <w:jc w:val="both"/>
              <w:rPr>
                <w:bCs/>
                <w:sz w:val="20"/>
                <w:szCs w:val="20"/>
              </w:rPr>
            </w:pPr>
            <w:r w:rsidRPr="00154588">
              <w:rPr>
                <w:bCs/>
                <w:sz w:val="20"/>
                <w:szCs w:val="20"/>
              </w:rPr>
              <w:t>(2) Banca Naţională a Moldovei se asigură că exercitarea competenţei de suspendare, prevăzută la alin.(1), se efectuează după consultarea structurii care exercită funcţia de rezoluţie cu structura care exercită funcţia de supraveghere. În procesul de consultare, structura de supraveghere răspunde prompt la cererea de consultare.</w:t>
            </w:r>
          </w:p>
          <w:p w14:paraId="2CF30006" w14:textId="0E6D80C1" w:rsidR="00B53006" w:rsidRPr="00154588" w:rsidRDefault="00B53006" w:rsidP="008C12B4">
            <w:pPr>
              <w:jc w:val="both"/>
              <w:rPr>
                <w:bCs/>
                <w:sz w:val="20"/>
                <w:szCs w:val="20"/>
              </w:rPr>
            </w:pPr>
          </w:p>
        </w:tc>
        <w:tc>
          <w:tcPr>
            <w:tcW w:w="2552" w:type="dxa"/>
          </w:tcPr>
          <w:p w14:paraId="29186B5B" w14:textId="6EE39881" w:rsidR="00B53006" w:rsidRPr="00154588" w:rsidRDefault="00B53006" w:rsidP="008C12B4">
            <w:pPr>
              <w:jc w:val="both"/>
              <w:rPr>
                <w:bCs/>
                <w:sz w:val="20"/>
                <w:szCs w:val="20"/>
              </w:rPr>
            </w:pPr>
            <w:r w:rsidRPr="00154588">
              <w:rPr>
                <w:bCs/>
                <w:sz w:val="20"/>
                <w:szCs w:val="20"/>
              </w:rPr>
              <w:t>Compatibil</w:t>
            </w:r>
          </w:p>
        </w:tc>
        <w:tc>
          <w:tcPr>
            <w:tcW w:w="3118" w:type="dxa"/>
          </w:tcPr>
          <w:p w14:paraId="28DB47AB" w14:textId="77777777" w:rsidR="00B53006" w:rsidRPr="00154588" w:rsidRDefault="00B53006" w:rsidP="008C12B4">
            <w:pPr>
              <w:jc w:val="both"/>
              <w:rPr>
                <w:bCs/>
                <w:sz w:val="20"/>
                <w:szCs w:val="20"/>
              </w:rPr>
            </w:pPr>
          </w:p>
        </w:tc>
      </w:tr>
      <w:tr w:rsidR="00B53006" w:rsidRPr="00154588" w14:paraId="5F6ADF7A" w14:textId="77777777" w:rsidTr="00D15C1B">
        <w:trPr>
          <w:jc w:val="center"/>
        </w:trPr>
        <w:tc>
          <w:tcPr>
            <w:tcW w:w="4957" w:type="dxa"/>
            <w:gridSpan w:val="2"/>
          </w:tcPr>
          <w:p w14:paraId="613F9EE2" w14:textId="69283BDD" w:rsidR="00B53006" w:rsidRPr="00154588" w:rsidRDefault="00B53006" w:rsidP="008C12B4">
            <w:pPr>
              <w:tabs>
                <w:tab w:val="left" w:pos="889"/>
              </w:tabs>
              <w:jc w:val="both"/>
              <w:rPr>
                <w:bCs/>
                <w:sz w:val="20"/>
                <w:szCs w:val="20"/>
              </w:rPr>
            </w:pPr>
            <w:r w:rsidRPr="00154588">
              <w:rPr>
                <w:bCs/>
                <w:sz w:val="20"/>
                <w:szCs w:val="20"/>
              </w:rPr>
              <w:t>(2)   Competența menționată la alineatul (1) de la prezentul articol nu se aplică obligațiilor de plată și de livrare datorate:</w:t>
            </w:r>
          </w:p>
          <w:p w14:paraId="0A6EBF47" w14:textId="77777777" w:rsidR="00B53006" w:rsidRPr="00154588" w:rsidRDefault="00B53006" w:rsidP="008C12B4">
            <w:pPr>
              <w:tabs>
                <w:tab w:val="left" w:pos="889"/>
              </w:tabs>
              <w:jc w:val="both"/>
              <w:rPr>
                <w:bCs/>
                <w:sz w:val="20"/>
                <w:szCs w:val="20"/>
              </w:rPr>
            </w:pPr>
          </w:p>
          <w:p w14:paraId="3AA70A7B" w14:textId="77777777" w:rsidR="00B53006" w:rsidRPr="00154588" w:rsidRDefault="00B53006" w:rsidP="008C12B4">
            <w:pPr>
              <w:tabs>
                <w:tab w:val="left" w:pos="889"/>
              </w:tabs>
              <w:jc w:val="both"/>
              <w:rPr>
                <w:bCs/>
                <w:sz w:val="20"/>
                <w:szCs w:val="20"/>
              </w:rPr>
            </w:pPr>
          </w:p>
          <w:p w14:paraId="1F84E860" w14:textId="3F50663B" w:rsidR="00B53006" w:rsidRPr="00154588" w:rsidRDefault="00B53006" w:rsidP="008C12B4">
            <w:pPr>
              <w:tabs>
                <w:tab w:val="left" w:pos="889"/>
              </w:tabs>
              <w:jc w:val="both"/>
              <w:rPr>
                <w:bCs/>
                <w:sz w:val="20"/>
                <w:szCs w:val="20"/>
              </w:rPr>
            </w:pPr>
            <w:r w:rsidRPr="00154588">
              <w:rPr>
                <w:bCs/>
                <w:sz w:val="20"/>
                <w:szCs w:val="20"/>
              </w:rPr>
              <w:lastRenderedPageBreak/>
              <w:t>(a) sistemelor și operatorilor de sisteme desemnați în conformitate cu Directiva 98/26/CE;</w:t>
            </w:r>
          </w:p>
          <w:p w14:paraId="48D36099" w14:textId="77777777" w:rsidR="00B53006" w:rsidRPr="00154588" w:rsidRDefault="00B53006" w:rsidP="008C12B4">
            <w:pPr>
              <w:tabs>
                <w:tab w:val="left" w:pos="889"/>
              </w:tabs>
              <w:jc w:val="both"/>
              <w:rPr>
                <w:bCs/>
                <w:sz w:val="20"/>
                <w:szCs w:val="20"/>
              </w:rPr>
            </w:pPr>
          </w:p>
          <w:p w14:paraId="23D87C43" w14:textId="1C6E469A" w:rsidR="00B53006" w:rsidRPr="00154588" w:rsidRDefault="00B53006" w:rsidP="008C12B4">
            <w:pPr>
              <w:tabs>
                <w:tab w:val="left" w:pos="889"/>
              </w:tabs>
              <w:jc w:val="both"/>
              <w:rPr>
                <w:bCs/>
                <w:sz w:val="20"/>
                <w:szCs w:val="20"/>
              </w:rPr>
            </w:pPr>
            <w:r w:rsidRPr="00154588">
              <w:rPr>
                <w:bCs/>
                <w:sz w:val="20"/>
                <w:szCs w:val="20"/>
              </w:rPr>
              <w:t>(b) CPC-urilor autorizate în Uniune în temeiul articolului 14 din Regulamentul (UE) nr. 648/2012 și CPC-urilor din țări terțe recunoscute de ESMA în temeiul articolului 25 din regulamentul respectiv;</w:t>
            </w:r>
          </w:p>
          <w:p w14:paraId="4323C984" w14:textId="77777777" w:rsidR="00B53006" w:rsidRPr="00154588" w:rsidRDefault="00B53006" w:rsidP="008C12B4">
            <w:pPr>
              <w:tabs>
                <w:tab w:val="left" w:pos="889"/>
              </w:tabs>
              <w:jc w:val="both"/>
              <w:rPr>
                <w:bCs/>
                <w:sz w:val="20"/>
                <w:szCs w:val="20"/>
              </w:rPr>
            </w:pPr>
          </w:p>
          <w:p w14:paraId="67C2A768" w14:textId="4D974575" w:rsidR="00B53006" w:rsidRPr="00154588" w:rsidRDefault="00B53006" w:rsidP="008C12B4">
            <w:pPr>
              <w:tabs>
                <w:tab w:val="left" w:pos="889"/>
              </w:tabs>
              <w:jc w:val="both"/>
              <w:rPr>
                <w:bCs/>
                <w:sz w:val="20"/>
                <w:szCs w:val="20"/>
              </w:rPr>
            </w:pPr>
            <w:r w:rsidRPr="00154588">
              <w:rPr>
                <w:bCs/>
                <w:sz w:val="20"/>
                <w:szCs w:val="20"/>
              </w:rPr>
              <w:t>(c) băncilor centrale.</w:t>
            </w:r>
          </w:p>
          <w:p w14:paraId="319D33DF" w14:textId="77777777" w:rsidR="00B53006" w:rsidRPr="00154588" w:rsidRDefault="00B53006" w:rsidP="008C12B4">
            <w:pPr>
              <w:tabs>
                <w:tab w:val="left" w:pos="889"/>
              </w:tabs>
              <w:jc w:val="both"/>
              <w:rPr>
                <w:bCs/>
                <w:sz w:val="20"/>
                <w:szCs w:val="20"/>
              </w:rPr>
            </w:pPr>
          </w:p>
          <w:p w14:paraId="70C2E43E" w14:textId="76DBCBD9" w:rsidR="00B53006" w:rsidRPr="00154588" w:rsidRDefault="00B53006" w:rsidP="008C12B4">
            <w:pPr>
              <w:tabs>
                <w:tab w:val="left" w:pos="889"/>
              </w:tabs>
              <w:jc w:val="both"/>
              <w:rPr>
                <w:bCs/>
                <w:sz w:val="20"/>
                <w:szCs w:val="20"/>
              </w:rPr>
            </w:pPr>
            <w:r w:rsidRPr="00154588">
              <w:rPr>
                <w:bCs/>
                <w:sz w:val="20"/>
                <w:szCs w:val="20"/>
              </w:rPr>
              <w:t>Autoritățile de rezoluție stabilesc domeniul de aplicare al competenței menționate la alineatul (1) de la prezentul articol în funcție de circumstanțele fiecărui caz în parte. În special, autoritățile de rezoluție evaluează cu atenție dacă este adecvată prelungirea suspendării în cazul depozitelor eligibile, în conformitate cu definiția de la articolul 2 alineatul (1) punctul 4 din Directiva 2014/49/UE, în special în ceea ce privește depozitele garantate deținute de persoane fizice și de microîntreprinderi, întreprinderi mici și mijlocii.</w:t>
            </w:r>
          </w:p>
        </w:tc>
        <w:tc>
          <w:tcPr>
            <w:tcW w:w="4819" w:type="dxa"/>
          </w:tcPr>
          <w:p w14:paraId="289396A7" w14:textId="072C60E1" w:rsidR="00B53006" w:rsidRPr="00154588" w:rsidRDefault="00B53006" w:rsidP="008C12B4">
            <w:pPr>
              <w:jc w:val="both"/>
              <w:rPr>
                <w:bCs/>
                <w:sz w:val="20"/>
                <w:szCs w:val="20"/>
              </w:rPr>
            </w:pPr>
            <w:r w:rsidRPr="00154588">
              <w:rPr>
                <w:b/>
                <w:bCs/>
                <w:sz w:val="20"/>
                <w:szCs w:val="20"/>
              </w:rPr>
              <w:lastRenderedPageBreak/>
              <w:t>Articolul 60</w:t>
            </w:r>
            <w:r w:rsidRPr="00154588">
              <w:rPr>
                <w:b/>
                <w:bCs/>
                <w:sz w:val="20"/>
                <w:szCs w:val="20"/>
                <w:vertAlign w:val="superscript"/>
              </w:rPr>
              <w:t>2</w:t>
            </w:r>
            <w:r w:rsidRPr="00154588">
              <w:rPr>
                <w:b/>
                <w:bCs/>
                <w:sz w:val="20"/>
                <w:szCs w:val="20"/>
              </w:rPr>
              <w:t>.</w:t>
            </w:r>
            <w:r w:rsidRPr="00154588">
              <w:rPr>
                <w:bCs/>
                <w:sz w:val="20"/>
                <w:szCs w:val="20"/>
              </w:rPr>
              <w:t xml:space="preserve"> – (1) Banca Naţională a Moldovei, în calitate de autoritate de rezoluţie, stabileşte domeniul de aplicare a competenţei prevăzute la art.60</w:t>
            </w:r>
            <w:r w:rsidRPr="00154588">
              <w:rPr>
                <w:bCs/>
                <w:sz w:val="20"/>
                <w:szCs w:val="20"/>
                <w:vertAlign w:val="superscript"/>
              </w:rPr>
              <w:t>1</w:t>
            </w:r>
            <w:r w:rsidRPr="00154588">
              <w:rPr>
                <w:bCs/>
                <w:sz w:val="20"/>
                <w:szCs w:val="20"/>
              </w:rPr>
              <w:t xml:space="preserve"> în funcţie de împrejurările fiecărui caz în parte.</w:t>
            </w:r>
          </w:p>
          <w:p w14:paraId="410757C4" w14:textId="77777777" w:rsidR="00B53006" w:rsidRPr="00154588" w:rsidRDefault="00B53006" w:rsidP="008C12B4">
            <w:pPr>
              <w:jc w:val="both"/>
              <w:rPr>
                <w:bCs/>
                <w:sz w:val="20"/>
                <w:szCs w:val="20"/>
              </w:rPr>
            </w:pPr>
            <w:r w:rsidRPr="00154588">
              <w:rPr>
                <w:bCs/>
                <w:sz w:val="20"/>
                <w:szCs w:val="20"/>
              </w:rPr>
              <w:lastRenderedPageBreak/>
              <w:t xml:space="preserve">(2) În sensul alin.(1), Banca Naţională a Moldovei, în calitate de autoritate de rezoluţie, va evalua dacă este </w:t>
            </w:r>
            <w:r w:rsidRPr="00154588">
              <w:rPr>
                <w:bCs/>
                <w:sz w:val="20"/>
                <w:szCs w:val="20"/>
              </w:rPr>
              <w:lastRenderedPageBreak/>
              <w:t>adecvată prelungirea suspendării în cazul depozitelor eligibile  în special în ceea ce priveşte depozitele acoperite deţinute de persoane fizice şi întreprinderi mici şi mijlocii.</w:t>
            </w:r>
          </w:p>
          <w:p w14:paraId="51BEBE89" w14:textId="77777777" w:rsidR="00B53006" w:rsidRPr="00154588" w:rsidRDefault="00B53006" w:rsidP="008C12B4">
            <w:pPr>
              <w:jc w:val="both"/>
              <w:rPr>
                <w:bCs/>
                <w:sz w:val="20"/>
                <w:szCs w:val="20"/>
              </w:rPr>
            </w:pPr>
            <w:r w:rsidRPr="00154588">
              <w:rPr>
                <w:bCs/>
                <w:sz w:val="20"/>
                <w:szCs w:val="20"/>
              </w:rPr>
              <w:t>(3) În sensul alin.(1) şi (2), atunci când Banca Naţională a Moldovei, în calitate de autoritate de rezoluţie, îşi exercită competenţa de suspendare a obligaţiilor de plată sau de livrare privind depozitele acoperite, aceste depozite nu se consideră indisponibile în sensul Legii nr.160/2023 cu privire la garantarea depozitelor în bănci.</w:t>
            </w:r>
          </w:p>
          <w:p w14:paraId="1DA080C9" w14:textId="77777777" w:rsidR="00B53006" w:rsidRPr="00154588" w:rsidRDefault="00B53006" w:rsidP="008C12B4">
            <w:pPr>
              <w:jc w:val="both"/>
              <w:rPr>
                <w:bCs/>
                <w:sz w:val="20"/>
                <w:szCs w:val="20"/>
              </w:rPr>
            </w:pPr>
            <w:r w:rsidRPr="00154588">
              <w:rPr>
                <w:bCs/>
                <w:sz w:val="20"/>
                <w:szCs w:val="20"/>
              </w:rPr>
              <w:t>(4) În cazul exercitării competenţei de suspendare a obligaţiilor de plată sau de livrare privind depozitele acoperite, Banca Naţională a Moldovei, în calitate de autoritate de rezoluţie, se asigură că deponenţii au acces la o cuantumul zilnic adecvat din depozitele respective.</w:t>
            </w:r>
          </w:p>
          <w:p w14:paraId="317971E4" w14:textId="77777777" w:rsidR="00B53006" w:rsidRPr="00154588" w:rsidRDefault="00B53006" w:rsidP="008C12B4">
            <w:pPr>
              <w:jc w:val="both"/>
              <w:rPr>
                <w:bCs/>
                <w:sz w:val="20"/>
                <w:szCs w:val="20"/>
              </w:rPr>
            </w:pPr>
            <w:r w:rsidRPr="00154588">
              <w:rPr>
                <w:bCs/>
                <w:sz w:val="20"/>
                <w:szCs w:val="20"/>
              </w:rPr>
              <w:t>(5) Cuantumul zilnic adecvat prevăzut la alin.(4) se stabileşte de către Banca Naţională a Moldovei, în calitate de autoritate de rezoluţie, de la caz la caz, în funcţie de situaţia specifică a instituției supuse rezoluţiei şi de condiţiile economice şi financiare existente la momentul stabilirii cuantumului respectiv.</w:t>
            </w:r>
          </w:p>
          <w:p w14:paraId="55E4EC88" w14:textId="77777777" w:rsidR="00B53006" w:rsidRPr="00154588" w:rsidRDefault="00B53006" w:rsidP="008C12B4">
            <w:pPr>
              <w:jc w:val="both"/>
              <w:rPr>
                <w:bCs/>
                <w:sz w:val="20"/>
                <w:szCs w:val="20"/>
              </w:rPr>
            </w:pPr>
          </w:p>
          <w:p w14:paraId="6B8521D3" w14:textId="50635E5C" w:rsidR="00B53006" w:rsidRPr="00154588" w:rsidRDefault="00B53006" w:rsidP="008C12B4">
            <w:pPr>
              <w:jc w:val="both"/>
              <w:rPr>
                <w:bCs/>
                <w:sz w:val="20"/>
                <w:szCs w:val="20"/>
              </w:rPr>
            </w:pPr>
            <w:r w:rsidRPr="00154588">
              <w:rPr>
                <w:b/>
                <w:sz w:val="20"/>
                <w:szCs w:val="20"/>
              </w:rPr>
              <w:t>Articolul 60</w:t>
            </w:r>
            <w:r w:rsidRPr="00154588">
              <w:rPr>
                <w:b/>
                <w:sz w:val="20"/>
                <w:szCs w:val="20"/>
                <w:vertAlign w:val="superscript"/>
              </w:rPr>
              <w:t>1</w:t>
            </w:r>
            <w:r w:rsidRPr="00154588">
              <w:rPr>
                <w:b/>
                <w:sz w:val="20"/>
                <w:szCs w:val="20"/>
              </w:rPr>
              <w:t>.</w:t>
            </w:r>
            <w:r w:rsidRPr="00154588">
              <w:rPr>
                <w:bCs/>
                <w:sz w:val="20"/>
                <w:szCs w:val="20"/>
              </w:rPr>
              <w:t xml:space="preserve"> – (3) Nicio decizie de suspendare luată potrivit prevederilor alin.(1) nu se aplică obligaţiilor de plată şi de livrare datorate sistemelor sau operatorilor de sisteme, astfel cum sunt definiţi de Legea nr.183/2016 cu privire la caracterul definitiv al decontării în sistemele de plăţi şi de decontare a instrumentelor financiare, precum şi contrapărţilor centrale şi băncilor centrale.</w:t>
            </w:r>
          </w:p>
          <w:p w14:paraId="4497455B" w14:textId="77777777" w:rsidR="00B53006" w:rsidRPr="00154588" w:rsidRDefault="00B53006" w:rsidP="008C12B4">
            <w:pPr>
              <w:jc w:val="both"/>
              <w:rPr>
                <w:bCs/>
                <w:sz w:val="20"/>
                <w:szCs w:val="20"/>
              </w:rPr>
            </w:pPr>
          </w:p>
        </w:tc>
        <w:tc>
          <w:tcPr>
            <w:tcW w:w="2552" w:type="dxa"/>
          </w:tcPr>
          <w:p w14:paraId="684DE6CF" w14:textId="608EE5C2"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0F9C756F" w14:textId="77777777" w:rsidR="00B53006" w:rsidRPr="00154588" w:rsidRDefault="00B53006" w:rsidP="008C12B4">
            <w:pPr>
              <w:jc w:val="both"/>
              <w:rPr>
                <w:bCs/>
                <w:sz w:val="20"/>
                <w:szCs w:val="20"/>
              </w:rPr>
            </w:pPr>
          </w:p>
        </w:tc>
      </w:tr>
      <w:tr w:rsidR="00B53006" w:rsidRPr="00154588" w14:paraId="43E82F6B" w14:textId="77777777" w:rsidTr="00D15C1B">
        <w:trPr>
          <w:jc w:val="center"/>
        </w:trPr>
        <w:tc>
          <w:tcPr>
            <w:tcW w:w="4957" w:type="dxa"/>
            <w:gridSpan w:val="2"/>
          </w:tcPr>
          <w:p w14:paraId="1943906F" w14:textId="34FE41D4" w:rsidR="00B53006" w:rsidRPr="00154588" w:rsidRDefault="00B53006" w:rsidP="008C12B4">
            <w:pPr>
              <w:jc w:val="both"/>
              <w:rPr>
                <w:bCs/>
                <w:sz w:val="20"/>
                <w:szCs w:val="20"/>
              </w:rPr>
            </w:pPr>
            <w:r w:rsidRPr="00154588">
              <w:rPr>
                <w:bCs/>
                <w:sz w:val="20"/>
                <w:szCs w:val="20"/>
              </w:rPr>
              <w:lastRenderedPageBreak/>
              <w:t>(3) Statele membre pot să prevadă că, în cazul în care competența de a suspenda obligațiile de plată sau de livrare este exercitată în ceea ce privește depozitele eligibile, autoritățile de rezoluție se asigură că deponenții au acces la un cuantum zilnic adecvat din depozitele respective.</w:t>
            </w:r>
          </w:p>
        </w:tc>
        <w:tc>
          <w:tcPr>
            <w:tcW w:w="4819" w:type="dxa"/>
          </w:tcPr>
          <w:p w14:paraId="79937B33" w14:textId="255E788A" w:rsidR="00B53006" w:rsidRPr="00154588" w:rsidRDefault="00B53006" w:rsidP="008C12B4">
            <w:pPr>
              <w:tabs>
                <w:tab w:val="left" w:pos="1365"/>
              </w:tabs>
              <w:jc w:val="both"/>
              <w:rPr>
                <w:bCs/>
                <w:sz w:val="20"/>
                <w:szCs w:val="20"/>
              </w:rPr>
            </w:pPr>
            <w:r w:rsidRPr="00154588">
              <w:rPr>
                <w:b/>
                <w:bCs/>
                <w:sz w:val="20"/>
                <w:szCs w:val="20"/>
              </w:rPr>
              <w:t>Articolul 60</w:t>
            </w:r>
            <w:r w:rsidRPr="00154588">
              <w:rPr>
                <w:b/>
                <w:bCs/>
                <w:sz w:val="20"/>
                <w:szCs w:val="20"/>
                <w:vertAlign w:val="superscript"/>
              </w:rPr>
              <w:t>2</w:t>
            </w:r>
            <w:r w:rsidRPr="00154588">
              <w:rPr>
                <w:b/>
                <w:bCs/>
                <w:sz w:val="20"/>
                <w:szCs w:val="20"/>
              </w:rPr>
              <w:t>.</w:t>
            </w:r>
            <w:r w:rsidRPr="00154588">
              <w:rPr>
                <w:bCs/>
                <w:sz w:val="20"/>
                <w:szCs w:val="20"/>
              </w:rPr>
              <w:t xml:space="preserve"> – (3) În sensul alin.(1) şi (2), atunci când Banca Naţională a Moldovei, în calitate de autoritate de rezoluţie, îşi exercită competenţa de suspendare a obligaţiilor de plată sau de livrare privind depozitele acoperite, aceste depozite nu se consideră indisponibile în sensul Legii nr.160/2023 cu privire la garantarea depozitelor în bănci.</w:t>
            </w:r>
            <w:r w:rsidRPr="00154588">
              <w:rPr>
                <w:bCs/>
                <w:sz w:val="20"/>
                <w:szCs w:val="20"/>
              </w:rPr>
              <w:tab/>
            </w:r>
          </w:p>
        </w:tc>
        <w:tc>
          <w:tcPr>
            <w:tcW w:w="2552" w:type="dxa"/>
          </w:tcPr>
          <w:p w14:paraId="1A7902B1" w14:textId="504D2D43" w:rsidR="00B53006" w:rsidRPr="00154588" w:rsidRDefault="00B53006" w:rsidP="008C12B4">
            <w:pPr>
              <w:jc w:val="both"/>
              <w:rPr>
                <w:bCs/>
                <w:sz w:val="20"/>
                <w:szCs w:val="20"/>
              </w:rPr>
            </w:pPr>
            <w:r w:rsidRPr="00154588">
              <w:rPr>
                <w:bCs/>
                <w:sz w:val="20"/>
                <w:szCs w:val="20"/>
              </w:rPr>
              <w:t>Compatibil</w:t>
            </w:r>
          </w:p>
        </w:tc>
        <w:tc>
          <w:tcPr>
            <w:tcW w:w="3118" w:type="dxa"/>
          </w:tcPr>
          <w:p w14:paraId="2F68F234" w14:textId="77777777" w:rsidR="00B53006" w:rsidRPr="00154588" w:rsidRDefault="00B53006" w:rsidP="008C12B4">
            <w:pPr>
              <w:jc w:val="both"/>
              <w:rPr>
                <w:bCs/>
                <w:sz w:val="20"/>
                <w:szCs w:val="20"/>
              </w:rPr>
            </w:pPr>
          </w:p>
        </w:tc>
      </w:tr>
      <w:tr w:rsidR="00B53006" w:rsidRPr="00154588" w14:paraId="1EC446A3" w14:textId="77777777" w:rsidTr="00D15C1B">
        <w:trPr>
          <w:jc w:val="center"/>
        </w:trPr>
        <w:tc>
          <w:tcPr>
            <w:tcW w:w="4957" w:type="dxa"/>
            <w:gridSpan w:val="2"/>
          </w:tcPr>
          <w:p w14:paraId="19CEBBCF" w14:textId="77777777" w:rsidR="00B53006" w:rsidRPr="00154588" w:rsidRDefault="00B53006" w:rsidP="008C12B4">
            <w:pPr>
              <w:jc w:val="both"/>
              <w:rPr>
                <w:bCs/>
                <w:sz w:val="20"/>
                <w:szCs w:val="20"/>
              </w:rPr>
            </w:pPr>
            <w:r w:rsidRPr="00154588">
              <w:rPr>
                <w:bCs/>
                <w:sz w:val="20"/>
                <w:szCs w:val="20"/>
              </w:rPr>
              <w:t xml:space="preserve">(4) Perioada de suspendare în temeiul alineatului (1) este cât mai scurtă posibil și nu depășește perioada </w:t>
            </w:r>
            <w:r w:rsidRPr="00154588">
              <w:rPr>
                <w:bCs/>
                <w:sz w:val="20"/>
                <w:szCs w:val="20"/>
              </w:rPr>
              <w:lastRenderedPageBreak/>
              <w:t>minimă pe care autoritatea de rezoluție o consideră necesară pentru scopurile indicate la alineatul (1) literele (c) și (d) și, în orice caz, nu depășește perioada dintre publicarea unei notificări de suspendare în temeiul alineatului (8) și miezul nopții din statul membru al autorității de rezoluție a instituției sau entității de la finalul zilei de lucru care urmează zilei publicării respective.</w:t>
            </w:r>
          </w:p>
          <w:p w14:paraId="62676A9C" w14:textId="77777777" w:rsidR="00B53006" w:rsidRPr="00154588" w:rsidRDefault="00B53006" w:rsidP="008C12B4">
            <w:pPr>
              <w:jc w:val="both"/>
              <w:rPr>
                <w:bCs/>
                <w:sz w:val="20"/>
                <w:szCs w:val="20"/>
              </w:rPr>
            </w:pPr>
          </w:p>
          <w:p w14:paraId="5CA4E0E4" w14:textId="77777777" w:rsidR="00B53006" w:rsidRPr="00154588" w:rsidRDefault="00B53006" w:rsidP="008C12B4">
            <w:pPr>
              <w:jc w:val="both"/>
              <w:rPr>
                <w:bCs/>
                <w:sz w:val="20"/>
                <w:szCs w:val="20"/>
              </w:rPr>
            </w:pPr>
          </w:p>
          <w:p w14:paraId="0CBDD326" w14:textId="77777777" w:rsidR="00B53006" w:rsidRPr="00154588" w:rsidRDefault="00B53006" w:rsidP="008C12B4">
            <w:pPr>
              <w:jc w:val="both"/>
              <w:rPr>
                <w:bCs/>
                <w:sz w:val="20"/>
                <w:szCs w:val="20"/>
              </w:rPr>
            </w:pPr>
          </w:p>
          <w:p w14:paraId="3606DF54" w14:textId="66721B90" w:rsidR="00B53006" w:rsidRPr="00154588" w:rsidRDefault="00B53006" w:rsidP="008C12B4">
            <w:pPr>
              <w:jc w:val="both"/>
              <w:rPr>
                <w:bCs/>
                <w:sz w:val="20"/>
                <w:szCs w:val="20"/>
              </w:rPr>
            </w:pPr>
            <w:r w:rsidRPr="00154588">
              <w:rPr>
                <w:bCs/>
                <w:sz w:val="20"/>
                <w:szCs w:val="20"/>
              </w:rPr>
              <w:t>Suspendarea încetează să producă efecte la expirarea perioadei de suspendare menționate la primul paragraf.</w:t>
            </w:r>
          </w:p>
        </w:tc>
        <w:tc>
          <w:tcPr>
            <w:tcW w:w="4819" w:type="dxa"/>
          </w:tcPr>
          <w:p w14:paraId="444FEFC9" w14:textId="20369C6B" w:rsidR="00B53006" w:rsidRPr="00154588" w:rsidRDefault="00B53006" w:rsidP="008C12B4">
            <w:pPr>
              <w:jc w:val="both"/>
              <w:rPr>
                <w:bCs/>
                <w:sz w:val="20"/>
                <w:szCs w:val="20"/>
              </w:rPr>
            </w:pPr>
            <w:r w:rsidRPr="00154588">
              <w:rPr>
                <w:b/>
                <w:bCs/>
                <w:sz w:val="20"/>
                <w:szCs w:val="20"/>
              </w:rPr>
              <w:lastRenderedPageBreak/>
              <w:t>Articolul 60</w:t>
            </w:r>
            <w:r w:rsidRPr="00154588">
              <w:rPr>
                <w:b/>
                <w:bCs/>
                <w:sz w:val="20"/>
                <w:szCs w:val="20"/>
                <w:vertAlign w:val="superscript"/>
              </w:rPr>
              <w:t>3</w:t>
            </w:r>
            <w:r w:rsidRPr="00154588">
              <w:rPr>
                <w:b/>
                <w:bCs/>
                <w:sz w:val="20"/>
                <w:szCs w:val="20"/>
              </w:rPr>
              <w:t>.</w:t>
            </w:r>
            <w:r w:rsidRPr="00154588">
              <w:rPr>
                <w:bCs/>
                <w:sz w:val="20"/>
                <w:szCs w:val="20"/>
              </w:rPr>
              <w:t xml:space="preserve"> – Perioada de suspendare în temeiul art.60</w:t>
            </w:r>
            <w:r w:rsidRPr="00154588">
              <w:rPr>
                <w:bCs/>
                <w:sz w:val="20"/>
                <w:szCs w:val="20"/>
                <w:vertAlign w:val="superscript"/>
              </w:rPr>
              <w:t>1</w:t>
            </w:r>
            <w:r w:rsidRPr="00154588">
              <w:rPr>
                <w:bCs/>
                <w:sz w:val="20"/>
                <w:szCs w:val="20"/>
              </w:rPr>
              <w:t xml:space="preserve"> este cât mai scurt posibil și nu depășește </w:t>
            </w:r>
            <w:r w:rsidRPr="00154588">
              <w:rPr>
                <w:bCs/>
                <w:sz w:val="20"/>
                <w:szCs w:val="20"/>
              </w:rPr>
              <w:lastRenderedPageBreak/>
              <w:t>perioada minimă pe care Banca Națională a Moldovei în calitate de autoritatea de rezoluţie, o consideră necesară pentru scopurile indicate la art.60</w:t>
            </w:r>
            <w:r w:rsidRPr="00154588">
              <w:rPr>
                <w:bCs/>
                <w:sz w:val="20"/>
                <w:szCs w:val="20"/>
                <w:vertAlign w:val="superscript"/>
              </w:rPr>
              <w:t>1</w:t>
            </w:r>
            <w:r w:rsidRPr="00154588">
              <w:rPr>
                <w:bCs/>
                <w:sz w:val="20"/>
                <w:szCs w:val="20"/>
              </w:rPr>
              <w:t xml:space="preserve"> alin.(1) lit.(c) și (d) și, în orice caz, nu depăşește perioada dintre publicarea unei notificări de suspendare în temeiul art.60</w:t>
            </w:r>
            <w:r w:rsidRPr="00154588">
              <w:rPr>
                <w:bCs/>
                <w:sz w:val="20"/>
                <w:szCs w:val="20"/>
                <w:vertAlign w:val="superscript"/>
              </w:rPr>
              <w:t>6</w:t>
            </w:r>
            <w:r w:rsidR="007A5CD6" w:rsidRPr="00154588">
              <w:rPr>
                <w:bCs/>
                <w:sz w:val="20"/>
                <w:szCs w:val="20"/>
              </w:rPr>
              <w:t>-60</w:t>
            </w:r>
            <w:r w:rsidR="007A5CD6" w:rsidRPr="00154588">
              <w:rPr>
                <w:bCs/>
                <w:sz w:val="20"/>
                <w:szCs w:val="20"/>
                <w:vertAlign w:val="superscript"/>
              </w:rPr>
              <w:t>7</w:t>
            </w:r>
            <w:r w:rsidRPr="00154588">
              <w:rPr>
                <w:bCs/>
                <w:sz w:val="20"/>
                <w:szCs w:val="20"/>
                <w:vertAlign w:val="superscript"/>
              </w:rPr>
              <w:t xml:space="preserve"> </w:t>
            </w:r>
            <w:r w:rsidRPr="00154588">
              <w:rPr>
                <w:bCs/>
                <w:sz w:val="20"/>
                <w:szCs w:val="20"/>
              </w:rPr>
              <w:t xml:space="preserve">și miezul nopții în Republica Moldova de la sfârșitul zilei lucrătoare următoare zilei publicării. La expirarea perioadei de </w:t>
            </w:r>
            <w:r w:rsidRPr="00154588">
              <w:rPr>
                <w:bCs/>
                <w:sz w:val="20"/>
                <w:szCs w:val="20"/>
              </w:rPr>
              <w:lastRenderedPageBreak/>
              <w:t>suspendare menționate în prezentul articol, suspendarea își încetează efectele.</w:t>
            </w:r>
          </w:p>
          <w:p w14:paraId="19C3B2F0" w14:textId="77777777" w:rsidR="00B53006" w:rsidRPr="00154588" w:rsidRDefault="00B53006" w:rsidP="008C12B4">
            <w:pPr>
              <w:jc w:val="both"/>
              <w:rPr>
                <w:bCs/>
                <w:sz w:val="20"/>
                <w:szCs w:val="20"/>
              </w:rPr>
            </w:pPr>
          </w:p>
        </w:tc>
        <w:tc>
          <w:tcPr>
            <w:tcW w:w="2552" w:type="dxa"/>
          </w:tcPr>
          <w:p w14:paraId="3C0EE22B" w14:textId="3BCE4BCA"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22074E16" w14:textId="77777777" w:rsidR="00B53006" w:rsidRPr="00154588" w:rsidRDefault="00B53006" w:rsidP="008C12B4">
            <w:pPr>
              <w:jc w:val="both"/>
              <w:rPr>
                <w:bCs/>
                <w:sz w:val="20"/>
                <w:szCs w:val="20"/>
              </w:rPr>
            </w:pPr>
          </w:p>
        </w:tc>
      </w:tr>
      <w:tr w:rsidR="00B53006" w:rsidRPr="00154588" w14:paraId="4A13BEC8" w14:textId="77777777" w:rsidTr="00D15C1B">
        <w:trPr>
          <w:jc w:val="center"/>
        </w:trPr>
        <w:tc>
          <w:tcPr>
            <w:tcW w:w="4957" w:type="dxa"/>
            <w:gridSpan w:val="2"/>
          </w:tcPr>
          <w:p w14:paraId="77755F3E" w14:textId="5048AB43" w:rsidR="00B53006" w:rsidRPr="00154588" w:rsidRDefault="00B53006" w:rsidP="008C12B4">
            <w:pPr>
              <w:jc w:val="both"/>
              <w:rPr>
                <w:bCs/>
                <w:sz w:val="20"/>
                <w:szCs w:val="20"/>
              </w:rPr>
            </w:pPr>
            <w:r w:rsidRPr="00154588">
              <w:rPr>
                <w:bCs/>
                <w:sz w:val="20"/>
                <w:szCs w:val="20"/>
              </w:rPr>
              <w:lastRenderedPageBreak/>
              <w:t>(5) Atunci când își exercită competența menționată la alineatul (1) de la prezentul articol, autoritățile de rezoluție țin seama de impactul pe care l-ar putea avea exercitarea respectivei competențe asupra bunei funcționări a piețelor financiare și iau în considerare normele naționale existente, precum și competențele de supraveghere și competențele judiciare, pentru a proteja drepturile creditorilor și egalitatea de tratament a creditorilor în procedura obișnuită de insolvență. Autoritățile de rezoluție au în vedere, în special, aplicarea potențială a procedurilor naționale de insolvență în ceea ce privește instituția sau entitatea, ca urmare a constatării menționate la articolul 32 alineatul (1) litera (c), și ia măsurile pe care le consideră adecvate pentru a asigura o coordonare corespunzătoare cu autoritățile administrative sau judiciare naționale.</w:t>
            </w:r>
          </w:p>
        </w:tc>
        <w:tc>
          <w:tcPr>
            <w:tcW w:w="4819" w:type="dxa"/>
          </w:tcPr>
          <w:p w14:paraId="2C4EFAF7" w14:textId="5D5DBD59" w:rsidR="00B53006" w:rsidRPr="00154588" w:rsidRDefault="00B53006" w:rsidP="008C12B4">
            <w:pPr>
              <w:jc w:val="both"/>
              <w:rPr>
                <w:bCs/>
                <w:sz w:val="20"/>
                <w:szCs w:val="20"/>
              </w:rPr>
            </w:pPr>
            <w:r w:rsidRPr="00154588">
              <w:rPr>
                <w:b/>
                <w:bCs/>
                <w:sz w:val="20"/>
                <w:szCs w:val="20"/>
              </w:rPr>
              <w:t>Articolul 60</w:t>
            </w:r>
            <w:r w:rsidRPr="00154588">
              <w:rPr>
                <w:b/>
                <w:bCs/>
                <w:sz w:val="20"/>
                <w:szCs w:val="20"/>
                <w:vertAlign w:val="superscript"/>
              </w:rPr>
              <w:t>4</w:t>
            </w:r>
            <w:r w:rsidRPr="00154588">
              <w:rPr>
                <w:b/>
                <w:bCs/>
                <w:sz w:val="20"/>
                <w:szCs w:val="20"/>
              </w:rPr>
              <w:t>.</w:t>
            </w:r>
            <w:r w:rsidRPr="00154588">
              <w:rPr>
                <w:bCs/>
                <w:sz w:val="20"/>
                <w:szCs w:val="20"/>
              </w:rPr>
              <w:t xml:space="preserve"> – Atunci când îşi exercită competenţa în temeiul art.60</w:t>
            </w:r>
            <w:r w:rsidRPr="00154588" w:rsidDel="004D76CA">
              <w:rPr>
                <w:bCs/>
                <w:sz w:val="20"/>
                <w:szCs w:val="20"/>
                <w:vertAlign w:val="superscript"/>
              </w:rPr>
              <w:t>1</w:t>
            </w:r>
            <w:r w:rsidRPr="00154588">
              <w:rPr>
                <w:bCs/>
                <w:sz w:val="20"/>
                <w:szCs w:val="20"/>
              </w:rPr>
              <w:t>, Banca Naţională a Moldovei, în calitate de autoritate de rezoluţie, ţine cont de impactul pe care l-ar putea avea exercitarea respectivei competenţe asupra bunei funcţionări a pieţelor financiare și ia în considerare legislația națională care protejează drepturile creditorilor și egalitatea de tratament a creditorilor în cadrul procedurii de insolvabilitate. Banca Națională a Moldovei, acționând în calitate de autoritate de rezoluție, va ține cont în special de potențiala aplicare a procedurilor naționale de insolvabilitate instituției sau entității, ca urmare a constatării menționate la art.58 lit.c) și va lua măsurile pe care le consideră adecvate pentru a asigura o coordonare adecvată cu autoritățile administrative sau judiciare naționale.</w:t>
            </w:r>
          </w:p>
          <w:p w14:paraId="125D635B" w14:textId="77777777" w:rsidR="00B53006" w:rsidRPr="00154588" w:rsidRDefault="00B53006" w:rsidP="008C12B4">
            <w:pPr>
              <w:jc w:val="both"/>
              <w:rPr>
                <w:bCs/>
                <w:sz w:val="20"/>
                <w:szCs w:val="20"/>
              </w:rPr>
            </w:pPr>
          </w:p>
        </w:tc>
        <w:tc>
          <w:tcPr>
            <w:tcW w:w="2552" w:type="dxa"/>
          </w:tcPr>
          <w:p w14:paraId="175ECCC1" w14:textId="53BFAA81" w:rsidR="00B53006" w:rsidRPr="00154588" w:rsidRDefault="00B53006" w:rsidP="008C12B4">
            <w:pPr>
              <w:jc w:val="both"/>
              <w:rPr>
                <w:bCs/>
                <w:sz w:val="20"/>
                <w:szCs w:val="20"/>
              </w:rPr>
            </w:pPr>
            <w:r w:rsidRPr="00154588">
              <w:rPr>
                <w:bCs/>
                <w:sz w:val="20"/>
                <w:szCs w:val="20"/>
              </w:rPr>
              <w:t>Compatibil</w:t>
            </w:r>
          </w:p>
        </w:tc>
        <w:tc>
          <w:tcPr>
            <w:tcW w:w="3118" w:type="dxa"/>
          </w:tcPr>
          <w:p w14:paraId="2AE1C5A2" w14:textId="77777777" w:rsidR="00B53006" w:rsidRPr="00154588" w:rsidRDefault="00B53006" w:rsidP="008C12B4">
            <w:pPr>
              <w:jc w:val="both"/>
              <w:rPr>
                <w:bCs/>
                <w:sz w:val="20"/>
                <w:szCs w:val="20"/>
              </w:rPr>
            </w:pPr>
          </w:p>
        </w:tc>
      </w:tr>
      <w:tr w:rsidR="00B53006" w:rsidRPr="00154588" w14:paraId="7242FDF2" w14:textId="77777777" w:rsidTr="00D15C1B">
        <w:trPr>
          <w:jc w:val="center"/>
        </w:trPr>
        <w:tc>
          <w:tcPr>
            <w:tcW w:w="4957" w:type="dxa"/>
            <w:gridSpan w:val="2"/>
          </w:tcPr>
          <w:p w14:paraId="467ED464" w14:textId="36E55221" w:rsidR="00B53006" w:rsidRPr="00154588" w:rsidRDefault="00B53006" w:rsidP="008C12B4">
            <w:pPr>
              <w:jc w:val="both"/>
              <w:rPr>
                <w:bCs/>
                <w:sz w:val="20"/>
                <w:szCs w:val="20"/>
              </w:rPr>
            </w:pPr>
            <w:r w:rsidRPr="00154588">
              <w:rPr>
                <w:bCs/>
                <w:sz w:val="20"/>
                <w:szCs w:val="20"/>
              </w:rPr>
              <w:t>(6)   Dacă obligațiile contractuale de plată sau de livrare sunt suspendate în temeiul alineatului (1), obligațiile de plată sau de livrare ale contrapărților la acel contract se suspendă pentru aceeași perioadă.</w:t>
            </w:r>
          </w:p>
        </w:tc>
        <w:tc>
          <w:tcPr>
            <w:tcW w:w="4819" w:type="dxa"/>
          </w:tcPr>
          <w:p w14:paraId="70CD7059" w14:textId="77777777" w:rsidR="00B53006" w:rsidRPr="00154588" w:rsidRDefault="00B53006" w:rsidP="008C12B4">
            <w:pPr>
              <w:jc w:val="both"/>
              <w:rPr>
                <w:bCs/>
                <w:sz w:val="20"/>
                <w:szCs w:val="20"/>
              </w:rPr>
            </w:pPr>
            <w:r w:rsidRPr="00154588">
              <w:rPr>
                <w:b/>
                <w:bCs/>
                <w:sz w:val="20"/>
                <w:szCs w:val="20"/>
              </w:rPr>
              <w:t>Articolul 60</w:t>
            </w:r>
            <w:r w:rsidRPr="00154588">
              <w:rPr>
                <w:b/>
                <w:bCs/>
                <w:sz w:val="20"/>
                <w:szCs w:val="20"/>
                <w:vertAlign w:val="superscript"/>
              </w:rPr>
              <w:t>5</w:t>
            </w:r>
            <w:r w:rsidRPr="00154588">
              <w:rPr>
                <w:b/>
                <w:bCs/>
                <w:sz w:val="20"/>
                <w:szCs w:val="20"/>
              </w:rPr>
              <w:t>.</w:t>
            </w:r>
            <w:r w:rsidRPr="00154588">
              <w:rPr>
                <w:bCs/>
                <w:sz w:val="20"/>
                <w:szCs w:val="20"/>
              </w:rPr>
              <w:t xml:space="preserve"> – (1) În cazul în care obligaţiile de plată sau de livrare care decurg dintr-un contract sunt suspendate în conformitate cu prevederile art.60</w:t>
            </w:r>
            <w:r w:rsidRPr="00154588">
              <w:rPr>
                <w:bCs/>
                <w:sz w:val="20"/>
                <w:szCs w:val="20"/>
                <w:vertAlign w:val="superscript"/>
              </w:rPr>
              <w:t>1</w:t>
            </w:r>
            <w:r w:rsidRPr="00154588">
              <w:rPr>
                <w:bCs/>
                <w:sz w:val="20"/>
                <w:szCs w:val="20"/>
              </w:rPr>
              <w:t xml:space="preserve"> alin.(1), obligaţiile de plată sau de livrare ale oricărei contrapărţi la acel contract se suspendă pentru aceeaşi perioadă.</w:t>
            </w:r>
          </w:p>
          <w:p w14:paraId="3D6E5C68" w14:textId="77777777" w:rsidR="00B53006" w:rsidRPr="00154588" w:rsidRDefault="00B53006" w:rsidP="008C12B4">
            <w:pPr>
              <w:jc w:val="both"/>
              <w:rPr>
                <w:bCs/>
                <w:sz w:val="20"/>
                <w:szCs w:val="20"/>
              </w:rPr>
            </w:pPr>
          </w:p>
        </w:tc>
        <w:tc>
          <w:tcPr>
            <w:tcW w:w="2552" w:type="dxa"/>
          </w:tcPr>
          <w:p w14:paraId="05ECDB4B" w14:textId="5823331A" w:rsidR="00B53006" w:rsidRPr="00154588" w:rsidRDefault="00B53006" w:rsidP="008C12B4">
            <w:pPr>
              <w:jc w:val="both"/>
              <w:rPr>
                <w:bCs/>
                <w:sz w:val="20"/>
                <w:szCs w:val="20"/>
              </w:rPr>
            </w:pPr>
            <w:r w:rsidRPr="00154588">
              <w:rPr>
                <w:bCs/>
                <w:sz w:val="20"/>
                <w:szCs w:val="20"/>
              </w:rPr>
              <w:t>Compatibil</w:t>
            </w:r>
          </w:p>
        </w:tc>
        <w:tc>
          <w:tcPr>
            <w:tcW w:w="3118" w:type="dxa"/>
          </w:tcPr>
          <w:p w14:paraId="6AA57382" w14:textId="77777777" w:rsidR="00B53006" w:rsidRPr="00154588" w:rsidRDefault="00B53006" w:rsidP="008C12B4">
            <w:pPr>
              <w:jc w:val="both"/>
              <w:rPr>
                <w:bCs/>
                <w:sz w:val="20"/>
                <w:szCs w:val="20"/>
              </w:rPr>
            </w:pPr>
          </w:p>
        </w:tc>
      </w:tr>
      <w:tr w:rsidR="00B53006" w:rsidRPr="00154588" w14:paraId="5D514AA9" w14:textId="77777777" w:rsidTr="00D15C1B">
        <w:trPr>
          <w:jc w:val="center"/>
        </w:trPr>
        <w:tc>
          <w:tcPr>
            <w:tcW w:w="4957" w:type="dxa"/>
            <w:gridSpan w:val="2"/>
          </w:tcPr>
          <w:p w14:paraId="4CFC5CDE" w14:textId="3B9EC5E9" w:rsidR="00B53006" w:rsidRPr="00154588" w:rsidRDefault="00B53006" w:rsidP="008C12B4">
            <w:pPr>
              <w:jc w:val="both"/>
              <w:rPr>
                <w:bCs/>
                <w:sz w:val="20"/>
                <w:szCs w:val="20"/>
              </w:rPr>
            </w:pPr>
            <w:r w:rsidRPr="00154588">
              <w:rPr>
                <w:bCs/>
                <w:sz w:val="20"/>
                <w:szCs w:val="20"/>
              </w:rPr>
              <w:t>(7)   O obligație de plată sau de livrare care ar fi devenit scadentă pe perioada suspendării devine exigibilă imediat după expirarea perioadei respective.</w:t>
            </w:r>
          </w:p>
        </w:tc>
        <w:tc>
          <w:tcPr>
            <w:tcW w:w="4819" w:type="dxa"/>
          </w:tcPr>
          <w:p w14:paraId="54596DB5" w14:textId="7AE6FC08" w:rsidR="00B53006" w:rsidRPr="00154588" w:rsidRDefault="00B53006" w:rsidP="008C12B4">
            <w:pPr>
              <w:jc w:val="both"/>
              <w:rPr>
                <w:bCs/>
                <w:sz w:val="20"/>
                <w:szCs w:val="20"/>
              </w:rPr>
            </w:pPr>
            <w:r w:rsidRPr="00154588">
              <w:rPr>
                <w:b/>
                <w:bCs/>
                <w:sz w:val="20"/>
                <w:szCs w:val="20"/>
              </w:rPr>
              <w:t>Articolul 60</w:t>
            </w:r>
            <w:r w:rsidRPr="00154588">
              <w:rPr>
                <w:b/>
                <w:bCs/>
                <w:sz w:val="20"/>
                <w:szCs w:val="20"/>
                <w:vertAlign w:val="superscript"/>
              </w:rPr>
              <w:t>5</w:t>
            </w:r>
            <w:r w:rsidRPr="00154588">
              <w:rPr>
                <w:b/>
                <w:bCs/>
                <w:sz w:val="20"/>
                <w:szCs w:val="20"/>
              </w:rPr>
              <w:t>.</w:t>
            </w:r>
            <w:r w:rsidRPr="00154588">
              <w:rPr>
                <w:bCs/>
                <w:sz w:val="20"/>
                <w:szCs w:val="20"/>
              </w:rPr>
              <w:t xml:space="preserve"> – (2) O obligaţie de plată sau de livrare care ar fi devenit exigibilă în perioada de suspendare devine exigibilă imediat după expirarea perioadei de suspendare.</w:t>
            </w:r>
          </w:p>
          <w:p w14:paraId="3BC613AA" w14:textId="77777777" w:rsidR="00B53006" w:rsidRPr="00154588" w:rsidRDefault="00B53006" w:rsidP="008C12B4">
            <w:pPr>
              <w:jc w:val="both"/>
              <w:rPr>
                <w:bCs/>
                <w:sz w:val="20"/>
                <w:szCs w:val="20"/>
              </w:rPr>
            </w:pPr>
          </w:p>
        </w:tc>
        <w:tc>
          <w:tcPr>
            <w:tcW w:w="2552" w:type="dxa"/>
          </w:tcPr>
          <w:p w14:paraId="012A0308" w14:textId="7AFD07DA" w:rsidR="00B53006" w:rsidRPr="00154588" w:rsidRDefault="00B53006" w:rsidP="008C12B4">
            <w:pPr>
              <w:jc w:val="both"/>
              <w:rPr>
                <w:bCs/>
                <w:sz w:val="20"/>
                <w:szCs w:val="20"/>
              </w:rPr>
            </w:pPr>
            <w:r w:rsidRPr="00154588">
              <w:rPr>
                <w:bCs/>
                <w:sz w:val="20"/>
                <w:szCs w:val="20"/>
              </w:rPr>
              <w:t>Compatibil</w:t>
            </w:r>
          </w:p>
        </w:tc>
        <w:tc>
          <w:tcPr>
            <w:tcW w:w="3118" w:type="dxa"/>
          </w:tcPr>
          <w:p w14:paraId="43C303FA" w14:textId="77777777" w:rsidR="00B53006" w:rsidRPr="00154588" w:rsidRDefault="00B53006" w:rsidP="008C12B4">
            <w:pPr>
              <w:jc w:val="both"/>
              <w:rPr>
                <w:bCs/>
                <w:sz w:val="20"/>
                <w:szCs w:val="20"/>
              </w:rPr>
            </w:pPr>
          </w:p>
        </w:tc>
      </w:tr>
      <w:tr w:rsidR="00B53006" w:rsidRPr="00154588" w14:paraId="74983B1B" w14:textId="77777777" w:rsidTr="00D15C1B">
        <w:trPr>
          <w:jc w:val="center"/>
        </w:trPr>
        <w:tc>
          <w:tcPr>
            <w:tcW w:w="4957" w:type="dxa"/>
            <w:gridSpan w:val="2"/>
          </w:tcPr>
          <w:p w14:paraId="5AB8B80A" w14:textId="72E735C8" w:rsidR="00B53006" w:rsidRPr="00154588" w:rsidRDefault="00B53006" w:rsidP="008C12B4">
            <w:pPr>
              <w:jc w:val="both"/>
              <w:rPr>
                <w:bCs/>
                <w:sz w:val="20"/>
                <w:szCs w:val="20"/>
              </w:rPr>
            </w:pPr>
            <w:r w:rsidRPr="00154588">
              <w:rPr>
                <w:bCs/>
                <w:sz w:val="20"/>
                <w:szCs w:val="20"/>
              </w:rPr>
              <w:lastRenderedPageBreak/>
              <w:t>(8) Statele membre se asigură că autoritățile de rezoluție înștiințează instituția sau entitatea menționată la articolul 1 alineatul (1) litera (b), (c) sau (d) și autoritățile menționate la articolul 83 alineatul (2) literele (a)-(h) fără întârziere atunci când își exercită competența menționată la alineatul (1) de la prezentul articol, după ce s-a stabilit faptului că instituția sau entitatea este în curs de a intra în dificultate sau susceptibilă de a intra în dificultate în temeiul articolului 32 alineatul (1) litera (a) și înainte de luarea deciziei de rezoluție.</w:t>
            </w:r>
          </w:p>
          <w:p w14:paraId="74D22C87" w14:textId="77777777" w:rsidR="00B53006" w:rsidRPr="00154588" w:rsidRDefault="00B53006" w:rsidP="008C12B4">
            <w:pPr>
              <w:jc w:val="both"/>
              <w:rPr>
                <w:bCs/>
                <w:sz w:val="20"/>
                <w:szCs w:val="20"/>
              </w:rPr>
            </w:pPr>
          </w:p>
          <w:p w14:paraId="477D2DB7" w14:textId="7B794866" w:rsidR="00B53006" w:rsidRPr="00154588" w:rsidRDefault="00B53006" w:rsidP="008C12B4">
            <w:pPr>
              <w:jc w:val="both"/>
              <w:rPr>
                <w:bCs/>
                <w:sz w:val="20"/>
                <w:szCs w:val="20"/>
              </w:rPr>
            </w:pPr>
            <w:r w:rsidRPr="00154588">
              <w:rPr>
                <w:bCs/>
                <w:sz w:val="20"/>
                <w:szCs w:val="20"/>
              </w:rPr>
              <w:t xml:space="preserve">Autoritatea de rezoluție publică sau asigură publicarea ordinului sau a instrumentului prin care obligațiile sunt suspendate în temeiul prezentului articol și a condițiilor și </w:t>
            </w:r>
            <w:r w:rsidRPr="00154588">
              <w:rPr>
                <w:bCs/>
                <w:sz w:val="20"/>
                <w:szCs w:val="20"/>
              </w:rPr>
              <w:lastRenderedPageBreak/>
              <w:t>perioadei de suspendare prin mijloacele menționate la articolul 83 alineatul (4).</w:t>
            </w:r>
          </w:p>
        </w:tc>
        <w:tc>
          <w:tcPr>
            <w:tcW w:w="4819" w:type="dxa"/>
          </w:tcPr>
          <w:p w14:paraId="44DFC5E9" w14:textId="77777777" w:rsidR="00B53006" w:rsidRPr="00154588" w:rsidRDefault="00B53006" w:rsidP="008C12B4">
            <w:pPr>
              <w:jc w:val="both"/>
              <w:rPr>
                <w:bCs/>
                <w:sz w:val="20"/>
                <w:szCs w:val="20"/>
              </w:rPr>
            </w:pPr>
            <w:r w:rsidRPr="00154588">
              <w:rPr>
                <w:b/>
                <w:bCs/>
                <w:sz w:val="20"/>
                <w:szCs w:val="20"/>
              </w:rPr>
              <w:lastRenderedPageBreak/>
              <w:t>Articolul 60</w:t>
            </w:r>
            <w:r w:rsidRPr="00154588">
              <w:rPr>
                <w:b/>
                <w:bCs/>
                <w:sz w:val="20"/>
                <w:szCs w:val="20"/>
                <w:vertAlign w:val="superscript"/>
              </w:rPr>
              <w:t>6</w:t>
            </w:r>
            <w:r w:rsidRPr="00154588">
              <w:rPr>
                <w:b/>
                <w:bCs/>
                <w:sz w:val="20"/>
                <w:szCs w:val="20"/>
              </w:rPr>
              <w:t>.</w:t>
            </w:r>
            <w:r w:rsidRPr="00154588">
              <w:rPr>
                <w:bCs/>
                <w:sz w:val="20"/>
                <w:szCs w:val="20"/>
              </w:rPr>
              <w:t xml:space="preserve"> – (1) Banca Naţională a Moldovei, în calitate de autoritate de rezoluţie, notifică fără întârziere instituția de credit sau entitățile prevăzute la art.1 alin. (1) lit. b), c) sau d) și 284 alin.(1) lit. h) din prezenta lege atunci când îşi exercită competenţa potrivit art.60</w:t>
            </w:r>
            <w:r w:rsidRPr="00154588">
              <w:rPr>
                <w:bCs/>
                <w:sz w:val="20"/>
                <w:szCs w:val="20"/>
                <w:vertAlign w:val="superscript"/>
              </w:rPr>
              <w:t>1</w:t>
            </w:r>
            <w:r w:rsidRPr="00154588">
              <w:rPr>
                <w:bCs/>
                <w:sz w:val="20"/>
                <w:szCs w:val="20"/>
              </w:rPr>
              <w:t>.</w:t>
            </w:r>
          </w:p>
          <w:p w14:paraId="57B8435A" w14:textId="77777777" w:rsidR="00B53006" w:rsidRPr="00154588" w:rsidRDefault="00B53006" w:rsidP="008C12B4">
            <w:pPr>
              <w:jc w:val="both"/>
              <w:rPr>
                <w:bCs/>
                <w:sz w:val="20"/>
                <w:szCs w:val="20"/>
              </w:rPr>
            </w:pPr>
            <w:r w:rsidRPr="00154588">
              <w:rPr>
                <w:bCs/>
                <w:sz w:val="20"/>
                <w:szCs w:val="20"/>
              </w:rPr>
              <w:t>(2) Notificarea prevăzută la alin.(1) din prezentul articol se face după ce s-a stabilit că instituția de credit sau entitatea intră sau este susceptibilă de a intra într-o stare de dificultate, în conformitate cu prevederile art.58 alin.(1) lit.a) şi înainte să fie luată decizia de rezoluţie.</w:t>
            </w:r>
          </w:p>
          <w:p w14:paraId="41A01DB1" w14:textId="77777777" w:rsidR="00B53006" w:rsidRPr="00154588" w:rsidRDefault="00B53006" w:rsidP="008C12B4">
            <w:pPr>
              <w:jc w:val="both"/>
              <w:rPr>
                <w:bCs/>
                <w:sz w:val="20"/>
                <w:szCs w:val="20"/>
              </w:rPr>
            </w:pPr>
            <w:r w:rsidRPr="00154588">
              <w:rPr>
                <w:bCs/>
                <w:sz w:val="20"/>
                <w:szCs w:val="20"/>
              </w:rPr>
              <w:t> </w:t>
            </w:r>
          </w:p>
          <w:p w14:paraId="369FF5F4" w14:textId="77777777" w:rsidR="00B53006" w:rsidRPr="00154588" w:rsidRDefault="00B53006" w:rsidP="008C12B4">
            <w:pPr>
              <w:jc w:val="both"/>
              <w:rPr>
                <w:bCs/>
                <w:sz w:val="20"/>
                <w:szCs w:val="20"/>
              </w:rPr>
            </w:pPr>
            <w:r w:rsidRPr="00154588">
              <w:rPr>
                <w:b/>
                <w:bCs/>
                <w:sz w:val="20"/>
                <w:szCs w:val="20"/>
              </w:rPr>
              <w:t>Articolul 60</w:t>
            </w:r>
            <w:r w:rsidRPr="00154588">
              <w:rPr>
                <w:b/>
                <w:bCs/>
                <w:sz w:val="20"/>
                <w:szCs w:val="20"/>
                <w:vertAlign w:val="superscript"/>
              </w:rPr>
              <w:t>7</w:t>
            </w:r>
            <w:r w:rsidRPr="00154588">
              <w:rPr>
                <w:b/>
                <w:bCs/>
                <w:sz w:val="20"/>
                <w:szCs w:val="20"/>
              </w:rPr>
              <w:t>.</w:t>
            </w:r>
            <w:r w:rsidRPr="00154588">
              <w:rPr>
                <w:bCs/>
                <w:sz w:val="20"/>
                <w:szCs w:val="20"/>
              </w:rPr>
              <w:t xml:space="preserve"> – Banca Naţională a Moldovei, în calitate de autoritate de rezoluţie, publică sau asigură publicarea, în termen de două zile de la adoptare, a deciziei privind </w:t>
            </w:r>
            <w:r w:rsidRPr="00154588">
              <w:rPr>
                <w:bCs/>
                <w:sz w:val="20"/>
                <w:szCs w:val="20"/>
              </w:rPr>
              <w:lastRenderedPageBreak/>
              <w:t>aplicarea competenţei de suspendare a obligaţiilor în conformitate cu art.60</w:t>
            </w:r>
            <w:r w:rsidRPr="00154588">
              <w:rPr>
                <w:bCs/>
                <w:sz w:val="20"/>
                <w:szCs w:val="20"/>
                <w:vertAlign w:val="superscript"/>
              </w:rPr>
              <w:t>1</w:t>
            </w:r>
            <w:r w:rsidRPr="00154588">
              <w:rPr>
                <w:bCs/>
                <w:sz w:val="20"/>
                <w:szCs w:val="20"/>
              </w:rPr>
              <w:t>, fie a unei informări care însumează efectele acestei decizii, pe pagina web oficială a Băncii Naţionale a Moldovei şi pe pagina web oficială a instituției de credit sau entității supuse competenţei de suspendare a obligaţiilor de plată sau de livrare.</w:t>
            </w:r>
          </w:p>
          <w:p w14:paraId="11E4DB5C" w14:textId="77777777" w:rsidR="00B53006" w:rsidRPr="00154588" w:rsidRDefault="00B53006" w:rsidP="008C12B4">
            <w:pPr>
              <w:jc w:val="both"/>
              <w:rPr>
                <w:bCs/>
                <w:sz w:val="20"/>
                <w:szCs w:val="20"/>
              </w:rPr>
            </w:pPr>
          </w:p>
        </w:tc>
        <w:tc>
          <w:tcPr>
            <w:tcW w:w="2552" w:type="dxa"/>
          </w:tcPr>
          <w:p w14:paraId="4BF0ED11" w14:textId="6D0E71FB"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74C38F7F" w14:textId="77777777" w:rsidR="00B53006" w:rsidRPr="00154588" w:rsidRDefault="00B53006" w:rsidP="008C12B4">
            <w:pPr>
              <w:jc w:val="both"/>
              <w:rPr>
                <w:bCs/>
                <w:sz w:val="20"/>
                <w:szCs w:val="20"/>
              </w:rPr>
            </w:pPr>
          </w:p>
        </w:tc>
      </w:tr>
      <w:tr w:rsidR="00B53006" w:rsidRPr="00154588" w14:paraId="6B8BCA51" w14:textId="77777777" w:rsidTr="00D15C1B">
        <w:trPr>
          <w:jc w:val="center"/>
        </w:trPr>
        <w:tc>
          <w:tcPr>
            <w:tcW w:w="4957" w:type="dxa"/>
            <w:gridSpan w:val="2"/>
          </w:tcPr>
          <w:p w14:paraId="454417C0" w14:textId="77777777" w:rsidR="00B53006" w:rsidRPr="00154588" w:rsidRDefault="00B53006" w:rsidP="008C12B4">
            <w:pPr>
              <w:jc w:val="both"/>
              <w:rPr>
                <w:bCs/>
                <w:sz w:val="20"/>
                <w:szCs w:val="20"/>
              </w:rPr>
            </w:pPr>
            <w:r w:rsidRPr="00154588">
              <w:rPr>
                <w:bCs/>
                <w:sz w:val="20"/>
                <w:szCs w:val="20"/>
              </w:rPr>
              <w:t>(9)   Prezentul articol nu aduce atingere dispozițiilor cuprinse în dreptul național al statelor membre care acordă competențe de a suspenda obligațiile de plată sau de livrare ale instituțiilor și ale entităților menționate la alineatul (1) de la prezentul articol înainte de stabilirea faptului că respectivele instituții sau entități sunt în curs de a intra în dificultate sau susceptibile de a intra în dificultate în temeiul articolului 32 alineatul (1) litera (a) sau de a suspenda obligațiile de plată sau de livrare ale instituțiilor sau ale entităților care urmează să fie lichidate în cadrul procedurii obișnuite de insolvență și care depășesc domeniul de aplicare și durata prevăzută la acest articol. Aceste competențe se exercită în conformitate cu domeniul de aplicare, durata și condițiile prevăzute în legislația națională relevantă. Condițiile prevăzute în prezentul articol nu aduc atingere condițiilor legate de această competență de suspendare a obligațiilor de plată sau de livrare.</w:t>
            </w:r>
          </w:p>
          <w:p w14:paraId="3C8E2680" w14:textId="77777777" w:rsidR="00B53006" w:rsidRPr="00154588" w:rsidRDefault="00B53006" w:rsidP="008C12B4">
            <w:pPr>
              <w:jc w:val="both"/>
              <w:rPr>
                <w:bCs/>
                <w:sz w:val="20"/>
                <w:szCs w:val="20"/>
              </w:rPr>
            </w:pPr>
          </w:p>
          <w:p w14:paraId="7D08B2EE" w14:textId="44C45F70" w:rsidR="00B53006" w:rsidRPr="00154588" w:rsidRDefault="00B53006" w:rsidP="008C12B4">
            <w:pPr>
              <w:jc w:val="both"/>
              <w:rPr>
                <w:bCs/>
                <w:sz w:val="20"/>
                <w:szCs w:val="20"/>
              </w:rPr>
            </w:pPr>
            <w:r w:rsidRPr="00154588">
              <w:rPr>
                <w:bCs/>
                <w:sz w:val="20"/>
                <w:szCs w:val="20"/>
              </w:rPr>
              <w:lastRenderedPageBreak/>
              <w:t>În pofida primului paragraf de la prezentul alineat, statele membre se asigură că, în cazul în care competențele menționate la paragraful respectiv sunt exercitate în ceea ce privește depozitele eligibile și depozitele respective nu sunt considerate indisponibile în sensul Directivei 2014/49/UE, deponenții au acces la un cuantum zilnic adecvat din depozitele respective.</w:t>
            </w:r>
          </w:p>
        </w:tc>
        <w:tc>
          <w:tcPr>
            <w:tcW w:w="4819" w:type="dxa"/>
          </w:tcPr>
          <w:p w14:paraId="2C86A504" w14:textId="57D92464" w:rsidR="00B53006" w:rsidRPr="00154588" w:rsidRDefault="00B53006" w:rsidP="008C12B4">
            <w:pPr>
              <w:jc w:val="both"/>
              <w:rPr>
                <w:bCs/>
                <w:sz w:val="20"/>
                <w:szCs w:val="20"/>
              </w:rPr>
            </w:pPr>
            <w:r w:rsidRPr="00154588">
              <w:rPr>
                <w:b/>
                <w:bCs/>
                <w:sz w:val="20"/>
                <w:szCs w:val="20"/>
              </w:rPr>
              <w:lastRenderedPageBreak/>
              <w:t>Articolul 60</w:t>
            </w:r>
            <w:r w:rsidRPr="00154588">
              <w:rPr>
                <w:b/>
                <w:bCs/>
                <w:sz w:val="20"/>
                <w:szCs w:val="20"/>
                <w:vertAlign w:val="superscript"/>
              </w:rPr>
              <w:t>8</w:t>
            </w:r>
            <w:r w:rsidRPr="00154588">
              <w:rPr>
                <w:b/>
                <w:bCs/>
                <w:sz w:val="20"/>
                <w:szCs w:val="20"/>
              </w:rPr>
              <w:t>.</w:t>
            </w:r>
            <w:r w:rsidRPr="00154588">
              <w:rPr>
                <w:bCs/>
                <w:sz w:val="20"/>
                <w:szCs w:val="20"/>
              </w:rPr>
              <w:t xml:space="preserve"> – (1) Prevederile art.60</w:t>
            </w:r>
            <w:r w:rsidRPr="00154588">
              <w:rPr>
                <w:bCs/>
                <w:sz w:val="20"/>
                <w:szCs w:val="20"/>
                <w:vertAlign w:val="superscript"/>
              </w:rPr>
              <w:t>1</w:t>
            </w:r>
            <w:r w:rsidRPr="00154588">
              <w:rPr>
                <w:bCs/>
                <w:sz w:val="20"/>
                <w:szCs w:val="20"/>
              </w:rPr>
              <w:t>–60</w:t>
            </w:r>
            <w:r w:rsidRPr="00154588">
              <w:rPr>
                <w:bCs/>
                <w:sz w:val="20"/>
                <w:szCs w:val="20"/>
                <w:vertAlign w:val="superscript"/>
              </w:rPr>
              <w:t>10</w:t>
            </w:r>
            <w:r w:rsidRPr="00154588">
              <w:rPr>
                <w:bCs/>
                <w:sz w:val="20"/>
                <w:szCs w:val="20"/>
              </w:rPr>
              <w:t xml:space="preserve"> nu aduc atingere altor prevederi legale care acordă competenţe de suspendare a obligaţiilor de plată sau de livrare ale instituțiilor sau  entităților menționate la art</w:t>
            </w:r>
            <w:r w:rsidR="00A33BB6" w:rsidRPr="00154588">
              <w:rPr>
                <w:bCs/>
                <w:sz w:val="20"/>
                <w:szCs w:val="20"/>
              </w:rPr>
              <w:t>.</w:t>
            </w:r>
            <w:r w:rsidRPr="00154588">
              <w:rPr>
                <w:bCs/>
                <w:sz w:val="20"/>
                <w:szCs w:val="20"/>
              </w:rPr>
              <w:t>60</w:t>
            </w:r>
            <w:r w:rsidRPr="00154588">
              <w:rPr>
                <w:bCs/>
                <w:sz w:val="20"/>
                <w:szCs w:val="20"/>
                <w:vertAlign w:val="superscript"/>
              </w:rPr>
              <w:t>1</w:t>
            </w:r>
            <w:r w:rsidRPr="00154588">
              <w:rPr>
                <w:bCs/>
                <w:sz w:val="20"/>
                <w:szCs w:val="20"/>
              </w:rPr>
              <w:t xml:space="preserve"> înainte de a se stabili că aceste instituții sau entități  intră ori sunt susceptibile de a intra într-o stare de dificultate, în conformitate cu dispoziţiile art.58 alin.(1) lit.a), sau de suspendare a obligaţiilor de plată ori de livrare ale instituțiilor sau entităților care urmează să fie lichidate în cadrul procedurii obișnuite de insolvabilitate și care depășesc domeniul de aplicare și durata prevăzută la art</w:t>
            </w:r>
            <w:r w:rsidR="00A33BB6" w:rsidRPr="00154588">
              <w:rPr>
                <w:bCs/>
                <w:sz w:val="20"/>
                <w:szCs w:val="20"/>
              </w:rPr>
              <w:t>.</w:t>
            </w:r>
            <w:r w:rsidRPr="00154588">
              <w:rPr>
                <w:sz w:val="20"/>
                <w:szCs w:val="20"/>
              </w:rPr>
              <w:t>60¹-60</w:t>
            </w:r>
            <w:r w:rsidRPr="00154588">
              <w:rPr>
                <w:sz w:val="20"/>
                <w:szCs w:val="20"/>
                <w:vertAlign w:val="superscript"/>
              </w:rPr>
              <w:t>10</w:t>
            </w:r>
            <w:r w:rsidRPr="00154588">
              <w:rPr>
                <w:bCs/>
                <w:sz w:val="20"/>
                <w:szCs w:val="20"/>
              </w:rPr>
              <w:t>.</w:t>
            </w:r>
          </w:p>
          <w:p w14:paraId="44755349" w14:textId="4056048B" w:rsidR="00B53006" w:rsidRPr="00154588" w:rsidRDefault="00B53006" w:rsidP="008C12B4">
            <w:pPr>
              <w:jc w:val="both"/>
              <w:rPr>
                <w:bCs/>
                <w:sz w:val="20"/>
                <w:szCs w:val="20"/>
              </w:rPr>
            </w:pPr>
            <w:r w:rsidRPr="00154588">
              <w:rPr>
                <w:bCs/>
                <w:sz w:val="20"/>
                <w:szCs w:val="20"/>
              </w:rPr>
              <w:t>(2) Competenţele de suspendare prevăzute la alin.(1) se exercită în conformitate cu domeniul de aplicare, durata şi condiţiile prevăzute de Legea nr.548/1995 cu privire la Banca Naţională a Moldovei şi Legea nr.550/1995 cu privire la lichidarea instituțiilor de credit.</w:t>
            </w:r>
          </w:p>
          <w:p w14:paraId="1F56CA45" w14:textId="77777777" w:rsidR="00A20DE4" w:rsidRPr="00154588" w:rsidRDefault="00A20DE4" w:rsidP="008C12B4">
            <w:pPr>
              <w:jc w:val="both"/>
              <w:rPr>
                <w:bCs/>
                <w:sz w:val="20"/>
                <w:szCs w:val="20"/>
              </w:rPr>
            </w:pPr>
          </w:p>
          <w:p w14:paraId="1C3C3943" w14:textId="356ECD58" w:rsidR="00B53006" w:rsidRPr="00154588" w:rsidRDefault="00A20DE4" w:rsidP="008C12B4">
            <w:pPr>
              <w:jc w:val="both"/>
              <w:rPr>
                <w:bCs/>
                <w:sz w:val="20"/>
                <w:szCs w:val="20"/>
              </w:rPr>
            </w:pPr>
            <w:r w:rsidRPr="00154588">
              <w:rPr>
                <w:bCs/>
                <w:sz w:val="20"/>
                <w:szCs w:val="20"/>
              </w:rPr>
              <w:lastRenderedPageBreak/>
              <w:t xml:space="preserve">(3) Prin derogare de la alin.(1), în cazul în care competențele de suspendare prevăzute la alin.(1) sunt exercitate în </w:t>
            </w:r>
            <w:r w:rsidR="006518FA" w:rsidRPr="00154588">
              <w:rPr>
                <w:bCs/>
                <w:sz w:val="20"/>
                <w:szCs w:val="20"/>
              </w:rPr>
              <w:t>ceea ce privește</w:t>
            </w:r>
            <w:r w:rsidRPr="00154588">
              <w:rPr>
                <w:bCs/>
                <w:sz w:val="20"/>
                <w:szCs w:val="20"/>
              </w:rPr>
              <w:t xml:space="preserve"> depozitel</w:t>
            </w:r>
            <w:r w:rsidR="006518FA" w:rsidRPr="00154588">
              <w:rPr>
                <w:bCs/>
                <w:sz w:val="20"/>
                <w:szCs w:val="20"/>
              </w:rPr>
              <w:t>e</w:t>
            </w:r>
            <w:r w:rsidRPr="00154588">
              <w:rPr>
                <w:bCs/>
                <w:sz w:val="20"/>
                <w:szCs w:val="20"/>
              </w:rPr>
              <w:t xml:space="preserve"> eligibile, iar depozitele respective nu sunt considerate indisponibile în sensul Legii nr.160/2023 privind garantarea depozitelor,</w:t>
            </w:r>
            <w:r w:rsidRPr="00154588">
              <w:t xml:space="preserve"> </w:t>
            </w:r>
            <w:r w:rsidRPr="00154588">
              <w:rPr>
                <w:bCs/>
                <w:sz w:val="20"/>
                <w:szCs w:val="20"/>
              </w:rPr>
              <w:t>deponenților</w:t>
            </w:r>
            <w:r w:rsidR="00F15B76" w:rsidRPr="00154588">
              <w:rPr>
                <w:bCs/>
                <w:sz w:val="20"/>
                <w:szCs w:val="20"/>
              </w:rPr>
              <w:t xml:space="preserve"> li se asigură</w:t>
            </w:r>
            <w:r w:rsidRPr="00154588">
              <w:rPr>
                <w:bCs/>
                <w:sz w:val="20"/>
                <w:szCs w:val="20"/>
              </w:rPr>
              <w:t xml:space="preserve"> accesul la un cuantum zilnic adecvat din depozitele respective.</w:t>
            </w:r>
          </w:p>
        </w:tc>
        <w:tc>
          <w:tcPr>
            <w:tcW w:w="2552" w:type="dxa"/>
          </w:tcPr>
          <w:p w14:paraId="7ED6FFAF" w14:textId="5E37A477"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191BD729" w14:textId="77777777" w:rsidR="00B53006" w:rsidRPr="00154588" w:rsidRDefault="00B53006" w:rsidP="008C12B4">
            <w:pPr>
              <w:jc w:val="both"/>
              <w:rPr>
                <w:bCs/>
                <w:sz w:val="20"/>
                <w:szCs w:val="20"/>
              </w:rPr>
            </w:pPr>
          </w:p>
        </w:tc>
      </w:tr>
      <w:tr w:rsidR="00B53006" w:rsidRPr="00154588" w14:paraId="6F95E4BC" w14:textId="77777777" w:rsidTr="00D15C1B">
        <w:trPr>
          <w:jc w:val="center"/>
        </w:trPr>
        <w:tc>
          <w:tcPr>
            <w:tcW w:w="4957" w:type="dxa"/>
            <w:gridSpan w:val="2"/>
          </w:tcPr>
          <w:p w14:paraId="6474EAB1" w14:textId="77777777" w:rsidR="00B53006" w:rsidRPr="00154588" w:rsidRDefault="00B53006" w:rsidP="008C12B4">
            <w:pPr>
              <w:jc w:val="both"/>
              <w:rPr>
                <w:bCs/>
                <w:sz w:val="20"/>
                <w:szCs w:val="20"/>
              </w:rPr>
            </w:pPr>
            <w:r w:rsidRPr="00154588">
              <w:rPr>
                <w:bCs/>
                <w:sz w:val="20"/>
                <w:szCs w:val="20"/>
              </w:rPr>
              <w:t>(10)   Statele membre se asigură că, în cazul în care o autoritate de rezoluție exercită competența de a suspenda obligațiile de plată sau de livrare în legătură cu o instituție sau o entitate menționată la articolul 1 alineatul (1) litera (b), (c) sau (d) în temeiul alineatului (1) de la prezentul articol, autoritatea de rezoluție poate de asemenea exercita, pe durata respectivei suspendări, competența de a:</w:t>
            </w:r>
          </w:p>
          <w:p w14:paraId="745C85CE" w14:textId="77777777" w:rsidR="00B53006" w:rsidRPr="00154588" w:rsidRDefault="00B53006" w:rsidP="008C12B4">
            <w:pPr>
              <w:jc w:val="both"/>
              <w:rPr>
                <w:bCs/>
                <w:sz w:val="20"/>
                <w:szCs w:val="20"/>
              </w:rPr>
            </w:pPr>
          </w:p>
          <w:p w14:paraId="1C861331" w14:textId="77777777" w:rsidR="00B53006" w:rsidRPr="00154588" w:rsidRDefault="00B53006" w:rsidP="008C12B4">
            <w:pPr>
              <w:jc w:val="both"/>
              <w:rPr>
                <w:bCs/>
                <w:sz w:val="20"/>
                <w:szCs w:val="20"/>
              </w:rPr>
            </w:pPr>
            <w:r w:rsidRPr="00154588">
              <w:rPr>
                <w:bCs/>
                <w:sz w:val="20"/>
                <w:szCs w:val="20"/>
              </w:rPr>
              <w:t>(a) impune restricții creditorilor garantați ai respectivei instituții sau entități referitoare la executarea garanției în legătură cu oricare dintre activele instituției sau entității respective, pentru aceeași durată, caz în care se aplică articolul 70 alineatele (2), (3) și (4); și</w:t>
            </w:r>
          </w:p>
          <w:p w14:paraId="5E9B133E" w14:textId="77777777" w:rsidR="00B53006" w:rsidRPr="00154588" w:rsidRDefault="00B53006" w:rsidP="008C12B4">
            <w:pPr>
              <w:jc w:val="both"/>
              <w:rPr>
                <w:bCs/>
                <w:sz w:val="20"/>
                <w:szCs w:val="20"/>
              </w:rPr>
            </w:pPr>
          </w:p>
          <w:p w14:paraId="6874CDB8" w14:textId="7E3E268F" w:rsidR="00B53006" w:rsidRPr="00154588" w:rsidRDefault="00B53006" w:rsidP="008C12B4">
            <w:pPr>
              <w:jc w:val="both"/>
              <w:rPr>
                <w:bCs/>
                <w:sz w:val="20"/>
                <w:szCs w:val="20"/>
              </w:rPr>
            </w:pPr>
            <w:r w:rsidRPr="00154588">
              <w:rPr>
                <w:bCs/>
                <w:sz w:val="20"/>
                <w:szCs w:val="20"/>
              </w:rPr>
              <w:t>(b) suspenda drepturile de reziliere ale oricărei părți la un contract încheiat cu instituția sau entitatea respectivă, pentru aceeași durată, caz în care se aplică articolul 71 alineatele (2)-(8).</w:t>
            </w:r>
          </w:p>
        </w:tc>
        <w:tc>
          <w:tcPr>
            <w:tcW w:w="4819" w:type="dxa"/>
          </w:tcPr>
          <w:p w14:paraId="6EF81ADE" w14:textId="77777777" w:rsidR="00B53006" w:rsidRPr="00154588" w:rsidRDefault="00B53006" w:rsidP="008C12B4">
            <w:pPr>
              <w:jc w:val="both"/>
              <w:rPr>
                <w:bCs/>
                <w:sz w:val="20"/>
                <w:szCs w:val="20"/>
              </w:rPr>
            </w:pPr>
            <w:r w:rsidRPr="00154588">
              <w:rPr>
                <w:b/>
                <w:bCs/>
                <w:sz w:val="20"/>
                <w:szCs w:val="20"/>
              </w:rPr>
              <w:lastRenderedPageBreak/>
              <w:t>Articolul 60</w:t>
            </w:r>
            <w:r w:rsidRPr="00154588">
              <w:rPr>
                <w:b/>
                <w:bCs/>
                <w:sz w:val="20"/>
                <w:szCs w:val="20"/>
                <w:vertAlign w:val="superscript"/>
              </w:rPr>
              <w:t>9</w:t>
            </w:r>
            <w:r w:rsidRPr="00154588">
              <w:rPr>
                <w:b/>
                <w:bCs/>
                <w:sz w:val="20"/>
                <w:szCs w:val="20"/>
              </w:rPr>
              <w:t>.</w:t>
            </w:r>
            <w:r w:rsidRPr="00154588">
              <w:rPr>
                <w:bCs/>
                <w:sz w:val="20"/>
                <w:szCs w:val="20"/>
              </w:rPr>
              <w:t xml:space="preserve"> – Banca Naţională a Moldovei, în calitate de autoritate de rezoluţie, are dreptul să exercite, în perioada de suspendare prevăzută la art.60</w:t>
            </w:r>
            <w:r w:rsidRPr="00154588">
              <w:rPr>
                <w:bCs/>
                <w:sz w:val="20"/>
                <w:szCs w:val="20"/>
                <w:vertAlign w:val="superscript"/>
              </w:rPr>
              <w:t>3</w:t>
            </w:r>
            <w:r w:rsidRPr="00154588">
              <w:rPr>
                <w:bCs/>
                <w:sz w:val="20"/>
                <w:szCs w:val="20"/>
              </w:rPr>
              <w:t xml:space="preserve"> alin. (1), următoarele competenţe:</w:t>
            </w:r>
          </w:p>
          <w:p w14:paraId="3F2BB08F" w14:textId="77777777" w:rsidR="00B53006" w:rsidRPr="00154588" w:rsidRDefault="00B53006" w:rsidP="008C12B4">
            <w:pPr>
              <w:jc w:val="both"/>
              <w:rPr>
                <w:bCs/>
                <w:sz w:val="20"/>
                <w:szCs w:val="20"/>
              </w:rPr>
            </w:pPr>
            <w:r w:rsidRPr="00154588">
              <w:rPr>
                <w:bCs/>
                <w:sz w:val="20"/>
                <w:szCs w:val="20"/>
              </w:rPr>
              <w:t>a) să impună creditorilor garantaţi restricţii în ceea ce priveşte executarea garanţiilor reale, deţinute în legătură cu activele unei instituții supuse rezoluţiei;</w:t>
            </w:r>
          </w:p>
          <w:p w14:paraId="0A2125CF" w14:textId="77777777" w:rsidR="00B53006" w:rsidRPr="00154588" w:rsidRDefault="00B53006" w:rsidP="008C12B4">
            <w:pPr>
              <w:jc w:val="both"/>
              <w:rPr>
                <w:bCs/>
                <w:sz w:val="20"/>
                <w:szCs w:val="20"/>
              </w:rPr>
            </w:pPr>
            <w:r w:rsidRPr="00154588">
              <w:rPr>
                <w:bCs/>
                <w:sz w:val="20"/>
                <w:szCs w:val="20"/>
              </w:rPr>
              <w:t>b) să suspende drepturile de încetare ale oricărei părţi la un contract încheiat cu instituția respectivă.</w:t>
            </w:r>
          </w:p>
          <w:p w14:paraId="2F758800" w14:textId="77777777" w:rsidR="00B53006" w:rsidRPr="00154588" w:rsidRDefault="00B53006" w:rsidP="008C12B4">
            <w:pPr>
              <w:jc w:val="both"/>
              <w:rPr>
                <w:bCs/>
                <w:sz w:val="20"/>
                <w:szCs w:val="20"/>
              </w:rPr>
            </w:pPr>
          </w:p>
        </w:tc>
        <w:tc>
          <w:tcPr>
            <w:tcW w:w="2552" w:type="dxa"/>
          </w:tcPr>
          <w:p w14:paraId="556201EF" w14:textId="18040137" w:rsidR="00B53006" w:rsidRPr="00154588" w:rsidRDefault="00B53006" w:rsidP="008C12B4">
            <w:pPr>
              <w:jc w:val="both"/>
              <w:rPr>
                <w:bCs/>
                <w:sz w:val="20"/>
                <w:szCs w:val="20"/>
              </w:rPr>
            </w:pPr>
            <w:r w:rsidRPr="00154588">
              <w:rPr>
                <w:bCs/>
                <w:sz w:val="20"/>
                <w:szCs w:val="20"/>
              </w:rPr>
              <w:t>Compatibil</w:t>
            </w:r>
          </w:p>
        </w:tc>
        <w:tc>
          <w:tcPr>
            <w:tcW w:w="3118" w:type="dxa"/>
          </w:tcPr>
          <w:p w14:paraId="2BF11CA5" w14:textId="77777777" w:rsidR="00B53006" w:rsidRPr="00154588" w:rsidRDefault="00B53006" w:rsidP="008C12B4">
            <w:pPr>
              <w:jc w:val="both"/>
              <w:rPr>
                <w:bCs/>
                <w:sz w:val="20"/>
                <w:szCs w:val="20"/>
              </w:rPr>
            </w:pPr>
          </w:p>
        </w:tc>
      </w:tr>
      <w:tr w:rsidR="00B53006" w:rsidRPr="00154588" w14:paraId="599C1097" w14:textId="77777777" w:rsidTr="00D15C1B">
        <w:trPr>
          <w:jc w:val="center"/>
        </w:trPr>
        <w:tc>
          <w:tcPr>
            <w:tcW w:w="4957" w:type="dxa"/>
            <w:gridSpan w:val="2"/>
          </w:tcPr>
          <w:p w14:paraId="3A39AD22" w14:textId="2E000800" w:rsidR="00B53006" w:rsidRPr="00154588" w:rsidRDefault="00B53006" w:rsidP="008C12B4">
            <w:pPr>
              <w:jc w:val="both"/>
              <w:rPr>
                <w:bCs/>
                <w:sz w:val="20"/>
                <w:szCs w:val="20"/>
              </w:rPr>
            </w:pPr>
            <w:r w:rsidRPr="00154588">
              <w:rPr>
                <w:bCs/>
                <w:sz w:val="20"/>
                <w:szCs w:val="20"/>
              </w:rPr>
              <w:t>(11) În cazul în care, după stabilirea faptului că o instituție sau o entitate este în curs de a intra în dificultate sau susceptibilă de a intra în dificultate în temeiul articolului 32 alineatul (1) litera (a), o autoritate de rezoluție și-a exercitat competența de suspendare a obligațiilor de plată sau de livrare în condițiile prevăzute la alineatul (1) sau (10) de la prezentul articol și dacă ulterior sunt luate măsuri de rezoluție cu privire la instituția sau entitatea respectivă, autoritatea de rezoluție nu își exercită competențele prevăzute la articolul 69 alineatul (1), la articolul 70 alineatul (1) sau la articolul 71 alineatul (1) cu privire la respectiva instituție sau entitate.</w:t>
            </w:r>
          </w:p>
        </w:tc>
        <w:tc>
          <w:tcPr>
            <w:tcW w:w="4819" w:type="dxa"/>
          </w:tcPr>
          <w:p w14:paraId="514A38AE" w14:textId="3EF917C5" w:rsidR="00B53006" w:rsidRPr="00154588" w:rsidRDefault="00B53006" w:rsidP="008C12B4">
            <w:pPr>
              <w:jc w:val="both"/>
              <w:rPr>
                <w:bCs/>
                <w:sz w:val="20"/>
                <w:szCs w:val="20"/>
              </w:rPr>
            </w:pPr>
            <w:r w:rsidRPr="00154588">
              <w:rPr>
                <w:b/>
                <w:bCs/>
                <w:sz w:val="20"/>
                <w:szCs w:val="20"/>
              </w:rPr>
              <w:t>Articolul 60</w:t>
            </w:r>
            <w:r w:rsidRPr="00154588">
              <w:rPr>
                <w:b/>
                <w:bCs/>
                <w:sz w:val="20"/>
                <w:szCs w:val="20"/>
                <w:vertAlign w:val="superscript"/>
              </w:rPr>
              <w:t>10</w:t>
            </w:r>
            <w:r w:rsidRPr="00154588">
              <w:rPr>
                <w:b/>
                <w:bCs/>
                <w:sz w:val="20"/>
                <w:szCs w:val="20"/>
              </w:rPr>
              <w:t>.</w:t>
            </w:r>
            <w:r w:rsidRPr="00154588">
              <w:rPr>
                <w:bCs/>
                <w:sz w:val="20"/>
                <w:szCs w:val="20"/>
              </w:rPr>
              <w:t xml:space="preserve"> – În cazul în care, după stabilirea faptului că o instituție de credit sau entitate intră sau este susceptibilă de a intra într-o stare de dificultate conform prevederilor art.58 alin.(1) lit.a), Banca Naţională a Moldovei, în calitate de autoritate de rezoluţie, şi-a exercitat competenţa de suspendare a obligaţiilor de plată sau de livrare în condiţiile prevăzute de art.60</w:t>
            </w:r>
            <w:r w:rsidRPr="00154588">
              <w:rPr>
                <w:bCs/>
                <w:sz w:val="20"/>
                <w:szCs w:val="20"/>
                <w:vertAlign w:val="superscript"/>
              </w:rPr>
              <w:t>1</w:t>
            </w:r>
            <w:r w:rsidRPr="00154588">
              <w:rPr>
                <w:bCs/>
                <w:sz w:val="20"/>
                <w:szCs w:val="20"/>
              </w:rPr>
              <w:t xml:space="preserve"> alin.(1) sau art.60</w:t>
            </w:r>
            <w:r w:rsidRPr="00154588">
              <w:rPr>
                <w:bCs/>
                <w:sz w:val="20"/>
                <w:szCs w:val="20"/>
                <w:vertAlign w:val="superscript"/>
              </w:rPr>
              <w:t>9</w:t>
            </w:r>
            <w:r w:rsidRPr="00154588">
              <w:rPr>
                <w:bCs/>
                <w:sz w:val="20"/>
                <w:szCs w:val="20"/>
              </w:rPr>
              <w:t xml:space="preserve"> şi dacă, ulterior, sunt aplicate </w:t>
            </w:r>
            <w:r w:rsidR="00437EBD" w:rsidRPr="00154588">
              <w:rPr>
                <w:bCs/>
                <w:sz w:val="20"/>
                <w:szCs w:val="20"/>
              </w:rPr>
              <w:t xml:space="preserve">acțiuni </w:t>
            </w:r>
            <w:r w:rsidRPr="00154588">
              <w:rPr>
                <w:bCs/>
                <w:sz w:val="20"/>
                <w:szCs w:val="20"/>
              </w:rPr>
              <w:t>de rezoluţie în legătură cu instituția sau entitatea în cauză, Banca Naţională a Moldovei nu va mai exercita competenţele prevăzute la art.246, 250 sau 252 acestei instituții sau entități.</w:t>
            </w:r>
          </w:p>
          <w:p w14:paraId="7989C857" w14:textId="77777777" w:rsidR="00B53006" w:rsidRPr="00154588" w:rsidRDefault="00B53006" w:rsidP="008C12B4">
            <w:pPr>
              <w:jc w:val="both"/>
              <w:rPr>
                <w:bCs/>
                <w:sz w:val="20"/>
                <w:szCs w:val="20"/>
              </w:rPr>
            </w:pPr>
          </w:p>
        </w:tc>
        <w:tc>
          <w:tcPr>
            <w:tcW w:w="2552" w:type="dxa"/>
          </w:tcPr>
          <w:p w14:paraId="2E1DCBE9" w14:textId="6CAF501A" w:rsidR="00B53006" w:rsidRPr="00154588" w:rsidRDefault="00B53006" w:rsidP="008C12B4">
            <w:pPr>
              <w:jc w:val="both"/>
              <w:rPr>
                <w:bCs/>
                <w:sz w:val="20"/>
                <w:szCs w:val="20"/>
              </w:rPr>
            </w:pPr>
            <w:r w:rsidRPr="00154588">
              <w:rPr>
                <w:bCs/>
                <w:sz w:val="20"/>
                <w:szCs w:val="20"/>
              </w:rPr>
              <w:t>Compatibil</w:t>
            </w:r>
          </w:p>
        </w:tc>
        <w:tc>
          <w:tcPr>
            <w:tcW w:w="3118" w:type="dxa"/>
          </w:tcPr>
          <w:p w14:paraId="48247FD0" w14:textId="77777777" w:rsidR="00B53006" w:rsidRPr="00154588" w:rsidRDefault="00B53006" w:rsidP="008C12B4">
            <w:pPr>
              <w:jc w:val="both"/>
              <w:rPr>
                <w:bCs/>
                <w:sz w:val="20"/>
                <w:szCs w:val="20"/>
              </w:rPr>
            </w:pPr>
          </w:p>
        </w:tc>
      </w:tr>
      <w:tr w:rsidR="00B53006" w:rsidRPr="00154588" w14:paraId="210E7D06" w14:textId="77777777" w:rsidTr="00D15C1B">
        <w:trPr>
          <w:jc w:val="center"/>
        </w:trPr>
        <w:tc>
          <w:tcPr>
            <w:tcW w:w="4957" w:type="dxa"/>
            <w:gridSpan w:val="2"/>
          </w:tcPr>
          <w:p w14:paraId="51A7EB08" w14:textId="77777777" w:rsidR="00B53006" w:rsidRPr="00154588" w:rsidRDefault="00B53006" w:rsidP="008C12B4">
            <w:pPr>
              <w:rPr>
                <w:b/>
                <w:sz w:val="20"/>
                <w:szCs w:val="20"/>
              </w:rPr>
            </w:pPr>
            <w:r w:rsidRPr="00154588">
              <w:rPr>
                <w:b/>
                <w:sz w:val="20"/>
                <w:szCs w:val="20"/>
              </w:rPr>
              <w:t>Articole 34</w:t>
            </w:r>
          </w:p>
          <w:p w14:paraId="31F083CC" w14:textId="77777777" w:rsidR="00B53006" w:rsidRPr="00154588" w:rsidRDefault="00B53006" w:rsidP="008C12B4">
            <w:pPr>
              <w:rPr>
                <w:b/>
                <w:sz w:val="20"/>
                <w:szCs w:val="20"/>
              </w:rPr>
            </w:pPr>
          </w:p>
          <w:p w14:paraId="3F7E4D49" w14:textId="72FD068B" w:rsidR="00B53006" w:rsidRPr="00154588" w:rsidRDefault="00B53006" w:rsidP="008C12B4">
            <w:pPr>
              <w:rPr>
                <w:bCs/>
                <w:sz w:val="20"/>
                <w:szCs w:val="20"/>
              </w:rPr>
            </w:pPr>
            <w:r w:rsidRPr="00154588">
              <w:rPr>
                <w:b/>
                <w:sz w:val="20"/>
                <w:szCs w:val="20"/>
              </w:rPr>
              <w:t>Principii generale care reglementează rezoluția</w:t>
            </w:r>
          </w:p>
        </w:tc>
        <w:tc>
          <w:tcPr>
            <w:tcW w:w="4819" w:type="dxa"/>
          </w:tcPr>
          <w:p w14:paraId="02BB1E3D" w14:textId="77777777" w:rsidR="00B53006" w:rsidRPr="00154588" w:rsidRDefault="00B53006" w:rsidP="008C12B4">
            <w:pPr>
              <w:jc w:val="center"/>
              <w:rPr>
                <w:bCs/>
                <w:sz w:val="20"/>
                <w:szCs w:val="20"/>
              </w:rPr>
            </w:pPr>
            <w:r w:rsidRPr="00154588">
              <w:rPr>
                <w:b/>
                <w:bCs/>
                <w:sz w:val="20"/>
                <w:szCs w:val="20"/>
              </w:rPr>
              <w:t>Secţiunea a 3-a</w:t>
            </w:r>
          </w:p>
          <w:p w14:paraId="5F83B10C" w14:textId="77777777" w:rsidR="00B53006" w:rsidRPr="00154588" w:rsidRDefault="00B53006" w:rsidP="008C12B4">
            <w:pPr>
              <w:jc w:val="center"/>
              <w:rPr>
                <w:bCs/>
                <w:sz w:val="20"/>
                <w:szCs w:val="20"/>
              </w:rPr>
            </w:pPr>
            <w:r w:rsidRPr="00154588">
              <w:rPr>
                <w:b/>
                <w:bCs/>
                <w:sz w:val="20"/>
                <w:szCs w:val="20"/>
              </w:rPr>
              <w:t>Principiile generale ale rezoluţiei</w:t>
            </w:r>
          </w:p>
          <w:p w14:paraId="076DCA35" w14:textId="77777777" w:rsidR="00B53006" w:rsidRPr="00154588" w:rsidRDefault="00B53006" w:rsidP="008C12B4">
            <w:pPr>
              <w:jc w:val="both"/>
              <w:rPr>
                <w:bCs/>
                <w:sz w:val="20"/>
                <w:szCs w:val="20"/>
              </w:rPr>
            </w:pPr>
          </w:p>
        </w:tc>
        <w:tc>
          <w:tcPr>
            <w:tcW w:w="2552" w:type="dxa"/>
          </w:tcPr>
          <w:p w14:paraId="1DD9E8A4" w14:textId="77777777" w:rsidR="00B53006" w:rsidRPr="00154588" w:rsidRDefault="00B53006" w:rsidP="008C12B4">
            <w:pPr>
              <w:jc w:val="both"/>
              <w:rPr>
                <w:bCs/>
                <w:sz w:val="20"/>
                <w:szCs w:val="20"/>
              </w:rPr>
            </w:pPr>
          </w:p>
        </w:tc>
        <w:tc>
          <w:tcPr>
            <w:tcW w:w="3118" w:type="dxa"/>
          </w:tcPr>
          <w:p w14:paraId="4BBE8C35" w14:textId="77777777" w:rsidR="00B53006" w:rsidRPr="00154588" w:rsidRDefault="00B53006" w:rsidP="008C12B4">
            <w:pPr>
              <w:jc w:val="both"/>
              <w:rPr>
                <w:bCs/>
                <w:sz w:val="20"/>
                <w:szCs w:val="20"/>
              </w:rPr>
            </w:pPr>
          </w:p>
        </w:tc>
      </w:tr>
      <w:tr w:rsidR="00B53006" w:rsidRPr="00154588" w14:paraId="4AF6FCA8" w14:textId="77777777" w:rsidTr="00D15C1B">
        <w:trPr>
          <w:jc w:val="center"/>
        </w:trPr>
        <w:tc>
          <w:tcPr>
            <w:tcW w:w="4957" w:type="dxa"/>
            <w:gridSpan w:val="2"/>
          </w:tcPr>
          <w:p w14:paraId="022C29AD" w14:textId="77777777" w:rsidR="00B53006" w:rsidRPr="00154588" w:rsidRDefault="00B53006" w:rsidP="008C12B4">
            <w:pPr>
              <w:jc w:val="both"/>
              <w:rPr>
                <w:bCs/>
                <w:sz w:val="20"/>
                <w:szCs w:val="20"/>
              </w:rPr>
            </w:pPr>
            <w:r w:rsidRPr="00154588">
              <w:rPr>
                <w:bCs/>
                <w:sz w:val="20"/>
                <w:szCs w:val="20"/>
              </w:rPr>
              <w:lastRenderedPageBreak/>
              <w:t>(1)   Statele membre se asigură că, atunci când autoritățile de rezoluție aplică instrumente și exercită competențe de rezoluție, ele iau toate măsurile necesare pentru a garanta că măsurile de rezoluție sunt luate în conformitate cu următoarele principii:</w:t>
            </w:r>
          </w:p>
          <w:p w14:paraId="583264BB" w14:textId="77777777" w:rsidR="00B53006" w:rsidRPr="00154588" w:rsidRDefault="00B53006" w:rsidP="008C12B4">
            <w:pPr>
              <w:jc w:val="both"/>
              <w:rPr>
                <w:bCs/>
                <w:sz w:val="20"/>
                <w:szCs w:val="20"/>
              </w:rPr>
            </w:pPr>
          </w:p>
          <w:p w14:paraId="1A81EAF1" w14:textId="7E63DD6C" w:rsidR="00B53006" w:rsidRPr="00154588" w:rsidRDefault="00B53006" w:rsidP="008C12B4">
            <w:pPr>
              <w:jc w:val="both"/>
              <w:rPr>
                <w:bCs/>
                <w:sz w:val="20"/>
                <w:szCs w:val="20"/>
              </w:rPr>
            </w:pPr>
            <w:r w:rsidRPr="00154588">
              <w:rPr>
                <w:bCs/>
                <w:sz w:val="20"/>
                <w:szCs w:val="20"/>
              </w:rPr>
              <w:t>(a) acționarii instituției aflate în rezoluție sunt primii care suportă pierderi;</w:t>
            </w:r>
          </w:p>
          <w:p w14:paraId="051ED461" w14:textId="77777777" w:rsidR="00B53006" w:rsidRPr="00154588" w:rsidRDefault="00B53006" w:rsidP="008C12B4">
            <w:pPr>
              <w:jc w:val="both"/>
              <w:rPr>
                <w:bCs/>
                <w:sz w:val="20"/>
                <w:szCs w:val="20"/>
              </w:rPr>
            </w:pPr>
          </w:p>
          <w:p w14:paraId="7300DA66" w14:textId="495160C3" w:rsidR="00B53006" w:rsidRPr="00154588" w:rsidRDefault="00B53006" w:rsidP="008C12B4">
            <w:pPr>
              <w:jc w:val="both"/>
              <w:rPr>
                <w:bCs/>
                <w:sz w:val="20"/>
                <w:szCs w:val="20"/>
              </w:rPr>
            </w:pPr>
            <w:r w:rsidRPr="00154588">
              <w:rPr>
                <w:bCs/>
                <w:sz w:val="20"/>
                <w:szCs w:val="20"/>
              </w:rPr>
              <w:t>(b) creditorii instituției aflate în rezoluție suportă pierderi ulterior acționarilor, în conformitate cu ordinea priorității creanțelor acestora din cadrul procedurii obișnuite de insolvență, cu excepția cazului în care în prezenta directivă se prevede în mod expres altceva;</w:t>
            </w:r>
          </w:p>
          <w:p w14:paraId="02C77664" w14:textId="77777777" w:rsidR="00B53006" w:rsidRPr="00154588" w:rsidRDefault="00B53006" w:rsidP="008C12B4">
            <w:pPr>
              <w:jc w:val="both"/>
              <w:rPr>
                <w:bCs/>
                <w:sz w:val="20"/>
                <w:szCs w:val="20"/>
              </w:rPr>
            </w:pPr>
          </w:p>
          <w:p w14:paraId="71F0C17E" w14:textId="0D747FA4" w:rsidR="00B53006" w:rsidRPr="00154588" w:rsidRDefault="00B53006" w:rsidP="008C12B4">
            <w:pPr>
              <w:jc w:val="both"/>
              <w:rPr>
                <w:bCs/>
                <w:sz w:val="20"/>
                <w:szCs w:val="20"/>
              </w:rPr>
            </w:pPr>
            <w:r w:rsidRPr="00154588">
              <w:rPr>
                <w:bCs/>
                <w:sz w:val="20"/>
                <w:szCs w:val="20"/>
              </w:rPr>
              <w:t>(c) organul de conducere și conducerea superioară ale instituției aflate în rezoluție sunt înlocuite, cu excepția cazurilor în care păstrarea integrală sau parțială a organului de conducere sau a conducerii superioare, în funcție de circumstanțe, este considerată necesară pentru realizarea obiectivelor rezoluției;</w:t>
            </w:r>
          </w:p>
          <w:p w14:paraId="7DD5C85C" w14:textId="77777777" w:rsidR="00B53006" w:rsidRPr="00154588" w:rsidRDefault="00B53006" w:rsidP="008C12B4">
            <w:pPr>
              <w:jc w:val="both"/>
              <w:rPr>
                <w:bCs/>
                <w:sz w:val="20"/>
                <w:szCs w:val="20"/>
              </w:rPr>
            </w:pPr>
          </w:p>
          <w:p w14:paraId="33DCA37C" w14:textId="77777777" w:rsidR="00B53006" w:rsidRPr="00154588" w:rsidRDefault="00B53006" w:rsidP="008C12B4">
            <w:pPr>
              <w:jc w:val="both"/>
              <w:rPr>
                <w:bCs/>
                <w:sz w:val="20"/>
                <w:szCs w:val="20"/>
              </w:rPr>
            </w:pPr>
          </w:p>
          <w:p w14:paraId="6125376F" w14:textId="17132FCC" w:rsidR="00B53006" w:rsidRPr="00154588" w:rsidRDefault="00B53006" w:rsidP="008C12B4">
            <w:pPr>
              <w:jc w:val="both"/>
              <w:rPr>
                <w:bCs/>
                <w:sz w:val="20"/>
                <w:szCs w:val="20"/>
              </w:rPr>
            </w:pPr>
            <w:r w:rsidRPr="00154588">
              <w:rPr>
                <w:bCs/>
                <w:sz w:val="20"/>
                <w:szCs w:val="20"/>
              </w:rPr>
              <w:lastRenderedPageBreak/>
              <w:t>(d) organul de conducere și conducerea superioară a instituției aflată în rezoluție oferă întreaga asistență necesară pentru realizarea obiectivelor rezoluției;</w:t>
            </w:r>
          </w:p>
          <w:p w14:paraId="6BCC7B95" w14:textId="77777777" w:rsidR="00B53006" w:rsidRPr="00154588" w:rsidRDefault="00B53006" w:rsidP="008C12B4">
            <w:pPr>
              <w:jc w:val="both"/>
              <w:rPr>
                <w:bCs/>
                <w:sz w:val="20"/>
                <w:szCs w:val="20"/>
              </w:rPr>
            </w:pPr>
          </w:p>
          <w:p w14:paraId="11E8867A" w14:textId="1F017C88" w:rsidR="00B53006" w:rsidRPr="00154588" w:rsidRDefault="00B53006" w:rsidP="008C12B4">
            <w:pPr>
              <w:jc w:val="both"/>
              <w:rPr>
                <w:bCs/>
                <w:sz w:val="20"/>
                <w:szCs w:val="20"/>
              </w:rPr>
            </w:pPr>
            <w:r w:rsidRPr="00154588">
              <w:rPr>
                <w:bCs/>
                <w:sz w:val="20"/>
                <w:szCs w:val="20"/>
              </w:rPr>
              <w:t>(e) persoanele fizice și juridice sunt trase la răspundere, în temeiul legislației statului membru, în conformitate cu dreptul civil sau penal, pentru responsabilitatea lor legată de intrarea în dificultate a instituției;</w:t>
            </w:r>
          </w:p>
          <w:p w14:paraId="207BBB42" w14:textId="77777777" w:rsidR="00B53006" w:rsidRPr="00154588" w:rsidRDefault="00B53006" w:rsidP="008C12B4">
            <w:pPr>
              <w:jc w:val="both"/>
              <w:rPr>
                <w:bCs/>
                <w:sz w:val="20"/>
                <w:szCs w:val="20"/>
              </w:rPr>
            </w:pPr>
          </w:p>
          <w:p w14:paraId="2C92DA92" w14:textId="54B781F5" w:rsidR="00B53006" w:rsidRPr="00154588" w:rsidRDefault="00B53006" w:rsidP="008C12B4">
            <w:pPr>
              <w:jc w:val="both"/>
              <w:rPr>
                <w:bCs/>
                <w:sz w:val="20"/>
                <w:szCs w:val="20"/>
              </w:rPr>
            </w:pPr>
            <w:r w:rsidRPr="00154588">
              <w:rPr>
                <w:bCs/>
                <w:sz w:val="20"/>
                <w:szCs w:val="20"/>
              </w:rPr>
              <w:t>(f) cu excepția unor dispoziții contrare din prezenta directivă, creditorii din aceeași categorie sunt tratați în mod egal;</w:t>
            </w:r>
          </w:p>
          <w:p w14:paraId="18D7EBD5" w14:textId="77777777" w:rsidR="00B53006" w:rsidRPr="00154588" w:rsidRDefault="00B53006" w:rsidP="008C12B4">
            <w:pPr>
              <w:jc w:val="both"/>
              <w:rPr>
                <w:bCs/>
                <w:sz w:val="20"/>
                <w:szCs w:val="20"/>
              </w:rPr>
            </w:pPr>
          </w:p>
          <w:p w14:paraId="5A44DC10" w14:textId="64CAD76E" w:rsidR="00B53006" w:rsidRPr="00154588" w:rsidRDefault="00B53006" w:rsidP="008C12B4">
            <w:pPr>
              <w:jc w:val="both"/>
              <w:rPr>
                <w:bCs/>
                <w:sz w:val="20"/>
                <w:szCs w:val="20"/>
              </w:rPr>
            </w:pPr>
            <w:r w:rsidRPr="00154588">
              <w:rPr>
                <w:bCs/>
                <w:sz w:val="20"/>
                <w:szCs w:val="20"/>
              </w:rPr>
              <w:t>(g) niciun creditor nu suportă pierderi mai mari decât cele pe care le-ar fi suportat în cazul în care instituția sau entitatea menționată la articolul 1 alineatul (1) litera (b), (c) sau (d) ar fi fost lichidată prin intermediul procedurii obișnuite de insolvență conform mecanismelor de siguranță de la articolele 73-75;</w:t>
            </w:r>
          </w:p>
          <w:p w14:paraId="1EBB4129" w14:textId="77777777" w:rsidR="00B53006" w:rsidRPr="00154588" w:rsidRDefault="00B53006" w:rsidP="008C12B4">
            <w:pPr>
              <w:jc w:val="both"/>
              <w:rPr>
                <w:bCs/>
                <w:sz w:val="20"/>
                <w:szCs w:val="20"/>
              </w:rPr>
            </w:pPr>
          </w:p>
          <w:p w14:paraId="1B8DD49E" w14:textId="5AD62809" w:rsidR="00B53006" w:rsidRPr="00154588" w:rsidRDefault="00B53006" w:rsidP="008C12B4">
            <w:pPr>
              <w:jc w:val="both"/>
              <w:rPr>
                <w:bCs/>
                <w:sz w:val="20"/>
                <w:szCs w:val="20"/>
              </w:rPr>
            </w:pPr>
            <w:r w:rsidRPr="00154588">
              <w:rPr>
                <w:bCs/>
                <w:sz w:val="20"/>
                <w:szCs w:val="20"/>
              </w:rPr>
              <w:lastRenderedPageBreak/>
              <w:t>(h) depozitele acoperite sunt protejate în întregime; și</w:t>
            </w:r>
          </w:p>
          <w:p w14:paraId="2B22780F" w14:textId="77777777" w:rsidR="00B53006" w:rsidRPr="00154588" w:rsidRDefault="00B53006" w:rsidP="008C12B4">
            <w:pPr>
              <w:jc w:val="both"/>
              <w:rPr>
                <w:bCs/>
                <w:sz w:val="20"/>
                <w:szCs w:val="20"/>
              </w:rPr>
            </w:pPr>
          </w:p>
          <w:p w14:paraId="73991B49" w14:textId="7D9867E1" w:rsidR="00B53006" w:rsidRPr="00154588" w:rsidRDefault="00B53006" w:rsidP="008C12B4">
            <w:pPr>
              <w:jc w:val="both"/>
              <w:rPr>
                <w:bCs/>
                <w:sz w:val="20"/>
                <w:szCs w:val="20"/>
              </w:rPr>
            </w:pPr>
            <w:r w:rsidRPr="00154588">
              <w:rPr>
                <w:bCs/>
                <w:sz w:val="20"/>
                <w:szCs w:val="20"/>
              </w:rPr>
              <w:t>(i) măsurile de rezoluție se iau conform mecanismelor de siguranță din prezenta directivă.</w:t>
            </w:r>
          </w:p>
        </w:tc>
        <w:tc>
          <w:tcPr>
            <w:tcW w:w="4819" w:type="dxa"/>
          </w:tcPr>
          <w:p w14:paraId="316E2B9B" w14:textId="77777777" w:rsidR="00B53006" w:rsidRPr="00154588" w:rsidDel="00D236EF" w:rsidRDefault="00B53006" w:rsidP="008C12B4">
            <w:pPr>
              <w:jc w:val="both"/>
              <w:rPr>
                <w:bCs/>
                <w:sz w:val="20"/>
                <w:szCs w:val="20"/>
              </w:rPr>
            </w:pPr>
            <w:r w:rsidRPr="00154588">
              <w:rPr>
                <w:b/>
                <w:bCs/>
                <w:sz w:val="20"/>
                <w:szCs w:val="20"/>
              </w:rPr>
              <w:lastRenderedPageBreak/>
              <w:t>Articolul 61.</w:t>
            </w:r>
            <w:r w:rsidRPr="00154588">
              <w:rPr>
                <w:bCs/>
                <w:sz w:val="20"/>
                <w:szCs w:val="20"/>
              </w:rPr>
              <w:t xml:space="preserve"> –În aplicarea instrumentelor de rezoluţie şi, respectiv, în exercitarea competenţelor de rezoluţie sînt </w:t>
            </w:r>
            <w:r w:rsidRPr="00154588" w:rsidDel="00D236EF">
              <w:rPr>
                <w:bCs/>
                <w:sz w:val="20"/>
                <w:szCs w:val="20"/>
              </w:rPr>
              <w:t>aplicabile următoarele principii:</w:t>
            </w:r>
          </w:p>
          <w:p w14:paraId="6A8BB804" w14:textId="77777777" w:rsidR="00B53006" w:rsidRPr="00154588" w:rsidRDefault="00B53006" w:rsidP="008C12B4">
            <w:pPr>
              <w:jc w:val="both"/>
              <w:rPr>
                <w:bCs/>
                <w:sz w:val="20"/>
                <w:szCs w:val="20"/>
              </w:rPr>
            </w:pPr>
            <w:r w:rsidRPr="00154588" w:rsidDel="00D236EF">
              <w:rPr>
                <w:bCs/>
                <w:sz w:val="20"/>
                <w:szCs w:val="20"/>
              </w:rPr>
              <w:t xml:space="preserve">a) acţionarii  </w:t>
            </w:r>
            <w:r w:rsidRPr="00154588">
              <w:rPr>
                <w:bCs/>
                <w:sz w:val="20"/>
                <w:szCs w:val="20"/>
              </w:rPr>
              <w:t>instituției sau entității supuse rezoluţiei sînt primii care suportă pierderile;</w:t>
            </w:r>
          </w:p>
          <w:p w14:paraId="0D1F6213" w14:textId="77777777" w:rsidR="00B53006" w:rsidRPr="00154588" w:rsidRDefault="00B53006" w:rsidP="008C12B4">
            <w:pPr>
              <w:jc w:val="both"/>
              <w:rPr>
                <w:bCs/>
                <w:sz w:val="20"/>
                <w:szCs w:val="20"/>
              </w:rPr>
            </w:pPr>
            <w:r w:rsidRPr="00154588">
              <w:rPr>
                <w:bCs/>
                <w:sz w:val="20"/>
                <w:szCs w:val="20"/>
              </w:rPr>
              <w:t>b) creditorii instituției supuse rezoluţiei suportă pierderi ulterior acţionarilor, în conformitate cu ordinea priorităţii creanţelor acestora din cadrul procedurii obișnuite de insolvabilitate, cu excepţia cazului în care în prezenta lege se prevede în mod expres altfel;</w:t>
            </w:r>
          </w:p>
          <w:p w14:paraId="0802269B" w14:textId="77777777" w:rsidR="00B53006" w:rsidRPr="00154588" w:rsidRDefault="00B53006" w:rsidP="008C12B4">
            <w:pPr>
              <w:jc w:val="both"/>
              <w:rPr>
                <w:bCs/>
                <w:sz w:val="20"/>
                <w:szCs w:val="20"/>
              </w:rPr>
            </w:pPr>
            <w:r w:rsidRPr="00154588">
              <w:rPr>
                <w:bCs/>
                <w:sz w:val="20"/>
                <w:szCs w:val="20"/>
              </w:rPr>
              <w:t xml:space="preserve">c) organul de conducere și conducerea superioară a instituției supuse rezoluţiei </w:t>
            </w:r>
            <w:r w:rsidRPr="00154588" w:rsidDel="008E6787">
              <w:rPr>
                <w:bCs/>
                <w:sz w:val="20"/>
                <w:szCs w:val="20"/>
              </w:rPr>
              <w:t xml:space="preserve">este </w:t>
            </w:r>
            <w:r w:rsidRPr="00154588">
              <w:rPr>
                <w:bCs/>
                <w:sz w:val="20"/>
                <w:szCs w:val="20"/>
              </w:rPr>
              <w:t>înlocuit, cu excepţia cazurilor în care păstrarea integrală sau parţială a organului de conducere, în funcţie de circumstanţe, este considerată de Banca Naţională a Moldovei necesară pentru realizarea obiectivelor rezoluţiei;</w:t>
            </w:r>
          </w:p>
          <w:p w14:paraId="558FC885" w14:textId="77777777" w:rsidR="00B53006" w:rsidRPr="00154588" w:rsidRDefault="00B53006" w:rsidP="008C12B4">
            <w:pPr>
              <w:jc w:val="both"/>
              <w:rPr>
                <w:bCs/>
                <w:sz w:val="20"/>
                <w:szCs w:val="20"/>
              </w:rPr>
            </w:pPr>
            <w:r w:rsidRPr="00154588">
              <w:rPr>
                <w:bCs/>
                <w:sz w:val="20"/>
                <w:szCs w:val="20"/>
              </w:rPr>
              <w:t>d) organul de conducere și conducerea superioară a instituției supuse rezoluţiei oferă întreaga asistenţă necesară pentru realizarea obiectivelor rezoluţiei;</w:t>
            </w:r>
          </w:p>
          <w:p w14:paraId="080C89B6" w14:textId="77777777" w:rsidR="00B53006" w:rsidRPr="00154588" w:rsidRDefault="00B53006" w:rsidP="008C12B4">
            <w:pPr>
              <w:jc w:val="both"/>
              <w:rPr>
                <w:bCs/>
                <w:sz w:val="20"/>
                <w:szCs w:val="20"/>
              </w:rPr>
            </w:pPr>
            <w:r w:rsidRPr="00154588">
              <w:rPr>
                <w:bCs/>
                <w:sz w:val="20"/>
                <w:szCs w:val="20"/>
              </w:rPr>
              <w:t>e) persoanele fizice şi juridice care au contribuit la ajungerea în stare de dificultate a instituției supuse rezoluţiei sînt trase la răspundere potrivit legii civile sau penale;</w:t>
            </w:r>
          </w:p>
          <w:p w14:paraId="640BB41A" w14:textId="77777777" w:rsidR="00B53006" w:rsidRPr="00154588" w:rsidRDefault="00B53006" w:rsidP="008C12B4">
            <w:pPr>
              <w:jc w:val="both"/>
              <w:rPr>
                <w:bCs/>
                <w:sz w:val="20"/>
                <w:szCs w:val="20"/>
              </w:rPr>
            </w:pPr>
            <w:r w:rsidRPr="00154588">
              <w:rPr>
                <w:bCs/>
                <w:sz w:val="20"/>
                <w:szCs w:val="20"/>
              </w:rPr>
              <w:lastRenderedPageBreak/>
              <w:t>f) fără a aduce atingere altor dispoziţii din prezenta lege, creditorii din aceeaşi categorie sunt trataţi în mod egal, cu excepţia creditorilor care sunt deţinători de deţineri calificate în capitalul social al instituției , a foştilor deţinători de cotă în capitalul social al instituției, faţă de care au fost dispuse măsuri în cazul nerespectării cerinţelor privind calitatea acţionariatului prevăzută în legislaţia aplicabilă din domeniul financiar la momentul anulării şi a căror creanţă rezultantă din anularea acţiunilor nu a fost onorată, a membrilor organului de conducere al instituției, precum şi a persoanelor afiliate acestor categorii de persoane, astfel cum sunt determinate în Legea nr.202/2017;</w:t>
            </w:r>
          </w:p>
          <w:p w14:paraId="300930FF" w14:textId="77777777" w:rsidR="00B53006" w:rsidRPr="00154588" w:rsidRDefault="00B53006" w:rsidP="008C12B4">
            <w:pPr>
              <w:jc w:val="both"/>
              <w:rPr>
                <w:bCs/>
                <w:sz w:val="20"/>
                <w:szCs w:val="20"/>
              </w:rPr>
            </w:pPr>
            <w:r w:rsidRPr="00154588">
              <w:rPr>
                <w:bCs/>
                <w:sz w:val="20"/>
                <w:szCs w:val="20"/>
              </w:rPr>
              <w:t>g) niciun creditor nu suportă pierderi mai mari decît cele pe care le-ar fi suportat în cazul în care instituția de credit ar fi fost lichidată prin intermediul procedurii obișnuite de insolvabilitate conform mecanismelor de siguranţă prevăzute la art.262-266;</w:t>
            </w:r>
          </w:p>
          <w:p w14:paraId="6BA98186" w14:textId="77777777" w:rsidR="00B53006" w:rsidRPr="00154588" w:rsidRDefault="00B53006" w:rsidP="008C12B4">
            <w:pPr>
              <w:jc w:val="both"/>
              <w:rPr>
                <w:bCs/>
                <w:sz w:val="20"/>
                <w:szCs w:val="20"/>
              </w:rPr>
            </w:pPr>
            <w:r w:rsidRPr="00154588">
              <w:rPr>
                <w:bCs/>
                <w:sz w:val="20"/>
                <w:szCs w:val="20"/>
              </w:rPr>
              <w:t>h) depozitele acoperite sînt protejate în întregime; şi</w:t>
            </w:r>
          </w:p>
          <w:p w14:paraId="60DAD82E" w14:textId="77777777" w:rsidR="00B53006" w:rsidRPr="00154588" w:rsidRDefault="00B53006" w:rsidP="008C12B4">
            <w:pPr>
              <w:jc w:val="both"/>
              <w:rPr>
                <w:bCs/>
                <w:sz w:val="20"/>
                <w:szCs w:val="20"/>
              </w:rPr>
            </w:pPr>
            <w:r w:rsidRPr="00154588">
              <w:rPr>
                <w:bCs/>
                <w:sz w:val="20"/>
                <w:szCs w:val="20"/>
              </w:rPr>
              <w:lastRenderedPageBreak/>
              <w:t>i) acţiunile de rezoluţie se întreprind cu respectarea mecanismelor de siguranţă din prezenta lege.</w:t>
            </w:r>
          </w:p>
          <w:p w14:paraId="46A44922" w14:textId="77777777" w:rsidR="00B53006" w:rsidRPr="00154588" w:rsidRDefault="00B53006" w:rsidP="008C12B4">
            <w:pPr>
              <w:jc w:val="both"/>
              <w:rPr>
                <w:bCs/>
                <w:sz w:val="20"/>
                <w:szCs w:val="20"/>
              </w:rPr>
            </w:pPr>
            <w:r w:rsidRPr="00154588">
              <w:rPr>
                <w:bCs/>
                <w:sz w:val="20"/>
                <w:szCs w:val="20"/>
              </w:rPr>
              <w:t>(1</w:t>
            </w:r>
            <w:r w:rsidRPr="00154588">
              <w:rPr>
                <w:bCs/>
                <w:sz w:val="20"/>
                <w:szCs w:val="20"/>
                <w:vertAlign w:val="superscript"/>
              </w:rPr>
              <w:t>1</w:t>
            </w:r>
            <w:r w:rsidRPr="00154588">
              <w:rPr>
                <w:bCs/>
                <w:sz w:val="20"/>
                <w:szCs w:val="20"/>
              </w:rPr>
              <w:t>) În aplicarea dispoziţiilor alin.(1) lit.f), administratorul temporar şi administratorul special, desemnaţi de Banca Naţională a Moldovei conform prevederilor art.46 şi, respectiv, art.66, nu sînt consideraţi membri ai organului de conducere a instituției de credit.</w:t>
            </w:r>
          </w:p>
          <w:p w14:paraId="7235673A" w14:textId="77777777" w:rsidR="00B53006" w:rsidRPr="00154588" w:rsidRDefault="00B53006" w:rsidP="008C12B4">
            <w:pPr>
              <w:jc w:val="both"/>
              <w:rPr>
                <w:bCs/>
                <w:sz w:val="20"/>
                <w:szCs w:val="20"/>
              </w:rPr>
            </w:pPr>
          </w:p>
        </w:tc>
        <w:tc>
          <w:tcPr>
            <w:tcW w:w="2552" w:type="dxa"/>
          </w:tcPr>
          <w:p w14:paraId="19D336CD" w14:textId="17CC6495"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56EA12DD" w14:textId="77777777" w:rsidR="00B53006" w:rsidRPr="00154588" w:rsidRDefault="00B53006" w:rsidP="008C12B4">
            <w:pPr>
              <w:jc w:val="both"/>
              <w:rPr>
                <w:bCs/>
                <w:sz w:val="20"/>
                <w:szCs w:val="20"/>
              </w:rPr>
            </w:pPr>
          </w:p>
        </w:tc>
      </w:tr>
      <w:tr w:rsidR="00B53006" w:rsidRPr="00154588" w14:paraId="74C91E2E" w14:textId="77777777" w:rsidTr="00D15C1B">
        <w:trPr>
          <w:jc w:val="center"/>
        </w:trPr>
        <w:tc>
          <w:tcPr>
            <w:tcW w:w="4957" w:type="dxa"/>
            <w:gridSpan w:val="2"/>
          </w:tcPr>
          <w:p w14:paraId="78E0AEE5" w14:textId="5C773B67" w:rsidR="00B53006" w:rsidRPr="00154588" w:rsidRDefault="00B53006" w:rsidP="008C12B4">
            <w:pPr>
              <w:jc w:val="both"/>
              <w:rPr>
                <w:bCs/>
                <w:sz w:val="20"/>
                <w:szCs w:val="20"/>
              </w:rPr>
            </w:pPr>
            <w:r w:rsidRPr="00154588">
              <w:rPr>
                <w:bCs/>
                <w:sz w:val="20"/>
                <w:szCs w:val="20"/>
              </w:rPr>
              <w:lastRenderedPageBreak/>
              <w:t>(2) În cazul în care o instituție este o entitate din grup, autoritățile de rezoluție, fără a aduce atingere articolului 31, aplică instrumente și exercită competențe de rezoluție într-un mod care reduce la minimum impactul asupra altor entități din grup și asupra grupului în ansamblu, precum și efectele negative asupra stabilității financiare în Uniunea Europeană și în statele sale membre, în special în țările în care grupul își desfășoară activitatea.</w:t>
            </w:r>
          </w:p>
        </w:tc>
        <w:tc>
          <w:tcPr>
            <w:tcW w:w="4819" w:type="dxa"/>
          </w:tcPr>
          <w:p w14:paraId="747A6BAF" w14:textId="452BADD0" w:rsidR="00B53006" w:rsidRPr="00154588" w:rsidRDefault="00B53006" w:rsidP="008C12B4">
            <w:pPr>
              <w:jc w:val="both"/>
              <w:rPr>
                <w:bCs/>
                <w:sz w:val="20"/>
                <w:szCs w:val="20"/>
              </w:rPr>
            </w:pPr>
            <w:r w:rsidRPr="00154588">
              <w:rPr>
                <w:bCs/>
                <w:sz w:val="20"/>
                <w:szCs w:val="20"/>
              </w:rPr>
              <w:t> </w:t>
            </w:r>
            <w:r w:rsidRPr="00154588">
              <w:rPr>
                <w:b/>
                <w:bCs/>
                <w:sz w:val="20"/>
                <w:szCs w:val="20"/>
              </w:rPr>
              <w:t>Articolul 61</w:t>
            </w:r>
            <w:r w:rsidRPr="00154588">
              <w:rPr>
                <w:b/>
                <w:bCs/>
                <w:sz w:val="20"/>
                <w:szCs w:val="20"/>
                <w:vertAlign w:val="superscript"/>
              </w:rPr>
              <w:t>1</w:t>
            </w:r>
            <w:r w:rsidRPr="00154588">
              <w:rPr>
                <w:b/>
                <w:bCs/>
                <w:sz w:val="20"/>
                <w:szCs w:val="20"/>
              </w:rPr>
              <w:t>.</w:t>
            </w:r>
            <w:r w:rsidRPr="00154588">
              <w:rPr>
                <w:bCs/>
                <w:sz w:val="20"/>
                <w:szCs w:val="20"/>
              </w:rPr>
              <w:t xml:space="preserve">  – În cazul în care o instituţie de credit este o entitate din grup, Banca Națională a Moldovei, în calitate de autoritate de rezoluție, fără a aduce atingere art</w:t>
            </w:r>
            <w:r w:rsidR="00B818E4" w:rsidRPr="00154588">
              <w:rPr>
                <w:bCs/>
                <w:sz w:val="20"/>
                <w:szCs w:val="20"/>
              </w:rPr>
              <w:t>.</w:t>
            </w:r>
            <w:r w:rsidRPr="00154588">
              <w:rPr>
                <w:bCs/>
                <w:sz w:val="20"/>
                <w:szCs w:val="20"/>
              </w:rPr>
              <w:t>55 – 57 aplică instrumente de rezoluție și exercită competenţe de rezoluţie într-un mod care reduce la minimum impactul asupra altor entităţi din grup și asupra grupului în ansamblu, precum și efectele negative asupra stabilităţii financiare în Uniunea Europeană și în statele sale membre, în special în ţările în care grupul își desfășoară activitatea.</w:t>
            </w:r>
          </w:p>
          <w:p w14:paraId="1CB81970" w14:textId="77777777" w:rsidR="00B53006" w:rsidRPr="00154588" w:rsidRDefault="00B53006" w:rsidP="008C12B4">
            <w:pPr>
              <w:jc w:val="both"/>
              <w:rPr>
                <w:bCs/>
                <w:sz w:val="20"/>
                <w:szCs w:val="20"/>
              </w:rPr>
            </w:pPr>
          </w:p>
        </w:tc>
        <w:tc>
          <w:tcPr>
            <w:tcW w:w="2552" w:type="dxa"/>
          </w:tcPr>
          <w:p w14:paraId="74EF55E2" w14:textId="677917EB" w:rsidR="00B53006" w:rsidRPr="00154588" w:rsidRDefault="00B53006" w:rsidP="008C12B4">
            <w:pPr>
              <w:jc w:val="both"/>
              <w:rPr>
                <w:bCs/>
                <w:sz w:val="20"/>
                <w:szCs w:val="20"/>
              </w:rPr>
            </w:pPr>
            <w:r w:rsidRPr="00154588">
              <w:rPr>
                <w:bCs/>
                <w:sz w:val="20"/>
                <w:szCs w:val="20"/>
              </w:rPr>
              <w:t>Compatibil</w:t>
            </w:r>
          </w:p>
        </w:tc>
        <w:tc>
          <w:tcPr>
            <w:tcW w:w="3118" w:type="dxa"/>
          </w:tcPr>
          <w:p w14:paraId="1CBEA5E8" w14:textId="77777777" w:rsidR="00B53006" w:rsidRPr="00154588" w:rsidRDefault="00B53006" w:rsidP="008C12B4">
            <w:pPr>
              <w:jc w:val="both"/>
              <w:rPr>
                <w:bCs/>
                <w:sz w:val="20"/>
                <w:szCs w:val="20"/>
              </w:rPr>
            </w:pPr>
          </w:p>
        </w:tc>
      </w:tr>
      <w:tr w:rsidR="00B53006" w:rsidRPr="00154588" w14:paraId="4C5760E4" w14:textId="77777777" w:rsidTr="00D15C1B">
        <w:trPr>
          <w:jc w:val="center"/>
        </w:trPr>
        <w:tc>
          <w:tcPr>
            <w:tcW w:w="4957" w:type="dxa"/>
            <w:gridSpan w:val="2"/>
          </w:tcPr>
          <w:p w14:paraId="7D6982AE" w14:textId="124C6D44" w:rsidR="00B53006" w:rsidRPr="00154588" w:rsidRDefault="00B53006" w:rsidP="008C12B4">
            <w:pPr>
              <w:jc w:val="both"/>
              <w:rPr>
                <w:bCs/>
                <w:sz w:val="20"/>
                <w:szCs w:val="20"/>
              </w:rPr>
            </w:pPr>
            <w:r w:rsidRPr="00154588">
              <w:rPr>
                <w:bCs/>
                <w:sz w:val="20"/>
                <w:szCs w:val="20"/>
              </w:rPr>
              <w:t>(3) Când aplică instrumente și exercită competențe de rezoluție, statele membre se asigură că respectă, după caz, cadrul Uniunii privind ajutoarele de stat.</w:t>
            </w:r>
          </w:p>
        </w:tc>
        <w:tc>
          <w:tcPr>
            <w:tcW w:w="4819" w:type="dxa"/>
          </w:tcPr>
          <w:p w14:paraId="4F32253D" w14:textId="53587D11" w:rsidR="00B53006" w:rsidRPr="00154588" w:rsidRDefault="00B53006" w:rsidP="008C12B4">
            <w:pPr>
              <w:jc w:val="both"/>
              <w:rPr>
                <w:bCs/>
                <w:sz w:val="20"/>
                <w:szCs w:val="20"/>
              </w:rPr>
            </w:pPr>
            <w:r w:rsidRPr="00154588">
              <w:rPr>
                <w:b/>
                <w:bCs/>
                <w:sz w:val="20"/>
                <w:szCs w:val="20"/>
              </w:rPr>
              <w:t>Articolul 6</w:t>
            </w:r>
            <w:r w:rsidR="00FF1030" w:rsidRPr="00154588">
              <w:rPr>
                <w:b/>
                <w:bCs/>
                <w:sz w:val="20"/>
                <w:szCs w:val="20"/>
              </w:rPr>
              <w:t>2</w:t>
            </w:r>
            <w:r w:rsidRPr="00154588">
              <w:rPr>
                <w:b/>
                <w:bCs/>
                <w:sz w:val="20"/>
                <w:szCs w:val="20"/>
              </w:rPr>
              <w:t>.</w:t>
            </w:r>
            <w:r w:rsidRPr="00154588">
              <w:rPr>
                <w:bCs/>
                <w:sz w:val="20"/>
                <w:szCs w:val="20"/>
              </w:rPr>
              <w:t xml:space="preserve"> – Aplicarea instrumentelor de rezoluţie şi exercitarea competenţelor de rezoluţie de către autoritățile de rezoluţie prevăzute la art.3, se realizează, după caz, cu respectarea cadrului Uniunii Europene privind ajutorul de stat, Legii nr.139/2012 cu privire la ajutorul de stat şi a actelor normative aprobate în aplicarea acesteia (în continuare - </w:t>
            </w:r>
            <w:r w:rsidRPr="00154588">
              <w:rPr>
                <w:bCs/>
                <w:i/>
                <w:iCs/>
                <w:sz w:val="20"/>
                <w:szCs w:val="20"/>
              </w:rPr>
              <w:t>cadrul legal privind ajutorul de stat</w:t>
            </w:r>
            <w:r w:rsidRPr="00154588">
              <w:rPr>
                <w:bCs/>
                <w:sz w:val="20"/>
                <w:szCs w:val="20"/>
              </w:rPr>
              <w:t>).</w:t>
            </w:r>
          </w:p>
          <w:p w14:paraId="1E4B2031" w14:textId="77777777" w:rsidR="00B53006" w:rsidRPr="00154588" w:rsidRDefault="00B53006" w:rsidP="008C12B4">
            <w:pPr>
              <w:jc w:val="both"/>
              <w:rPr>
                <w:bCs/>
                <w:sz w:val="20"/>
                <w:szCs w:val="20"/>
              </w:rPr>
            </w:pPr>
          </w:p>
        </w:tc>
        <w:tc>
          <w:tcPr>
            <w:tcW w:w="2552" w:type="dxa"/>
          </w:tcPr>
          <w:p w14:paraId="0F1880DE" w14:textId="2B978264"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3A147CFF" w14:textId="77777777" w:rsidR="00B53006" w:rsidRPr="00154588" w:rsidRDefault="00B53006" w:rsidP="008C12B4">
            <w:pPr>
              <w:jc w:val="both"/>
              <w:rPr>
                <w:bCs/>
                <w:sz w:val="20"/>
                <w:szCs w:val="20"/>
              </w:rPr>
            </w:pPr>
          </w:p>
        </w:tc>
      </w:tr>
      <w:tr w:rsidR="00B53006" w:rsidRPr="00154588" w14:paraId="45271610" w14:textId="77777777" w:rsidTr="00D15C1B">
        <w:trPr>
          <w:jc w:val="center"/>
        </w:trPr>
        <w:tc>
          <w:tcPr>
            <w:tcW w:w="4957" w:type="dxa"/>
            <w:gridSpan w:val="2"/>
          </w:tcPr>
          <w:p w14:paraId="4418895C" w14:textId="7B7CE4A5" w:rsidR="00B53006" w:rsidRPr="00154588" w:rsidRDefault="00B53006" w:rsidP="008C12B4">
            <w:pPr>
              <w:jc w:val="both"/>
              <w:rPr>
                <w:bCs/>
                <w:sz w:val="20"/>
                <w:szCs w:val="20"/>
              </w:rPr>
            </w:pPr>
            <w:r w:rsidRPr="00154588">
              <w:rPr>
                <w:bCs/>
                <w:sz w:val="20"/>
                <w:szCs w:val="20"/>
              </w:rPr>
              <w:t>(4) În cazul în care unei instituții sau entități menționate la articolul 1 alineatul (1) litera (b), (c) sau (d) i se aplică un instrument de vânzare a activității, un instrument al instituției-punte sau un instrument de separare a activelor, se consideră că instituția sau entitatea face obiectul procedurii de insolvență sau al unei proceduri asemănătoare de insolvență în sensul articolului 5 alineatul (1) din Directiva 2001/23/CE a Consiliului ( 10 ).</w:t>
            </w:r>
          </w:p>
        </w:tc>
        <w:tc>
          <w:tcPr>
            <w:tcW w:w="4819" w:type="dxa"/>
          </w:tcPr>
          <w:p w14:paraId="1675E11E" w14:textId="77777777" w:rsidR="00B53006" w:rsidRPr="00154588" w:rsidRDefault="00B53006" w:rsidP="008C12B4">
            <w:pPr>
              <w:jc w:val="both"/>
              <w:rPr>
                <w:bCs/>
                <w:sz w:val="20"/>
                <w:szCs w:val="20"/>
              </w:rPr>
            </w:pPr>
            <w:r w:rsidRPr="00154588">
              <w:rPr>
                <w:b/>
                <w:bCs/>
                <w:sz w:val="20"/>
                <w:szCs w:val="20"/>
              </w:rPr>
              <w:t>Articolul</w:t>
            </w:r>
            <w:r w:rsidRPr="00154588">
              <w:rPr>
                <w:bCs/>
                <w:sz w:val="20"/>
                <w:szCs w:val="20"/>
              </w:rPr>
              <w:t xml:space="preserve"> </w:t>
            </w:r>
            <w:r w:rsidRPr="00154588">
              <w:rPr>
                <w:b/>
                <w:bCs/>
                <w:sz w:val="20"/>
                <w:szCs w:val="20"/>
              </w:rPr>
              <w:t>63.</w:t>
            </w:r>
            <w:r w:rsidRPr="00154588">
              <w:rPr>
                <w:bCs/>
                <w:sz w:val="20"/>
                <w:szCs w:val="20"/>
              </w:rPr>
              <w:t xml:space="preserve"> – În cazul în care unei instituții de credit sau entității prevăzute la art. 1 alin. (1) lit. b), c) sau d) i se aplică unul dintre instrumentele de rezoluţie, respectiv vînzarea afacerii, un instrument al instituției-punte sau separarea activelor, în partea ce priveşte tratamentul salariaţilor se aplică dispoziţiile relevante ale legislației aferente procedurii de insolvabilitate în  ceea ce privește drepturile și obligațiile angajaților.</w:t>
            </w:r>
          </w:p>
          <w:p w14:paraId="355E4CFE" w14:textId="77777777" w:rsidR="00B53006" w:rsidRPr="00154588" w:rsidRDefault="00B53006" w:rsidP="008C12B4">
            <w:pPr>
              <w:jc w:val="both"/>
              <w:rPr>
                <w:bCs/>
                <w:sz w:val="20"/>
                <w:szCs w:val="20"/>
              </w:rPr>
            </w:pPr>
          </w:p>
        </w:tc>
        <w:tc>
          <w:tcPr>
            <w:tcW w:w="2552" w:type="dxa"/>
          </w:tcPr>
          <w:p w14:paraId="43AE6100" w14:textId="6E71FF02" w:rsidR="00B53006" w:rsidRPr="00154588" w:rsidRDefault="00B53006" w:rsidP="008C12B4">
            <w:pPr>
              <w:jc w:val="both"/>
              <w:rPr>
                <w:bCs/>
                <w:sz w:val="20"/>
                <w:szCs w:val="20"/>
              </w:rPr>
            </w:pPr>
            <w:r w:rsidRPr="00154588">
              <w:rPr>
                <w:bCs/>
                <w:sz w:val="20"/>
                <w:szCs w:val="20"/>
              </w:rPr>
              <w:t>Compatibil</w:t>
            </w:r>
          </w:p>
        </w:tc>
        <w:tc>
          <w:tcPr>
            <w:tcW w:w="3118" w:type="dxa"/>
          </w:tcPr>
          <w:p w14:paraId="13CC223B" w14:textId="77777777" w:rsidR="00B53006" w:rsidRPr="00154588" w:rsidRDefault="00B53006" w:rsidP="008C12B4">
            <w:pPr>
              <w:jc w:val="both"/>
              <w:rPr>
                <w:bCs/>
                <w:sz w:val="20"/>
                <w:szCs w:val="20"/>
              </w:rPr>
            </w:pPr>
          </w:p>
        </w:tc>
      </w:tr>
      <w:tr w:rsidR="00B53006" w:rsidRPr="00154588" w14:paraId="66274E48" w14:textId="77777777" w:rsidTr="00D15C1B">
        <w:trPr>
          <w:jc w:val="center"/>
        </w:trPr>
        <w:tc>
          <w:tcPr>
            <w:tcW w:w="4957" w:type="dxa"/>
            <w:gridSpan w:val="2"/>
          </w:tcPr>
          <w:p w14:paraId="3C2B96F4" w14:textId="6EE31D4D" w:rsidR="00B53006" w:rsidRPr="00154588" w:rsidRDefault="00B53006" w:rsidP="008C12B4">
            <w:pPr>
              <w:jc w:val="both"/>
              <w:rPr>
                <w:bCs/>
                <w:sz w:val="20"/>
                <w:szCs w:val="20"/>
              </w:rPr>
            </w:pPr>
            <w:r w:rsidRPr="00154588">
              <w:rPr>
                <w:bCs/>
                <w:sz w:val="20"/>
                <w:szCs w:val="20"/>
              </w:rPr>
              <w:t>(5) Atunci când aplică instrumente de rezoluție și exercită competențe în materie de rezoluție, autoritățile de rezoluție informează și se consultă cu reprezentanții angajaților, dacă este cazul.</w:t>
            </w:r>
          </w:p>
        </w:tc>
        <w:tc>
          <w:tcPr>
            <w:tcW w:w="4819" w:type="dxa"/>
          </w:tcPr>
          <w:p w14:paraId="711A5394" w14:textId="77777777" w:rsidR="00B53006" w:rsidRPr="00154588" w:rsidRDefault="00B53006" w:rsidP="008C12B4">
            <w:pPr>
              <w:jc w:val="both"/>
              <w:rPr>
                <w:bCs/>
                <w:sz w:val="20"/>
                <w:szCs w:val="20"/>
              </w:rPr>
            </w:pPr>
            <w:r w:rsidRPr="00154588">
              <w:rPr>
                <w:b/>
                <w:bCs/>
                <w:sz w:val="20"/>
                <w:szCs w:val="20"/>
              </w:rPr>
              <w:t>Articolul 64.</w:t>
            </w:r>
            <w:r w:rsidRPr="00154588">
              <w:rPr>
                <w:bCs/>
                <w:sz w:val="20"/>
                <w:szCs w:val="20"/>
              </w:rPr>
              <w:t xml:space="preserve"> – În situaţia în care aplică instrumente de rezoluţie şi exercită competenţe de rezoluţie, Banca Naţională a Moldovei, în calitate de autoritate de rezoluţie, informează şi se consultă cu </w:t>
            </w:r>
            <w:r w:rsidRPr="00154588">
              <w:rPr>
                <w:bCs/>
                <w:sz w:val="20"/>
                <w:szCs w:val="20"/>
              </w:rPr>
              <w:lastRenderedPageBreak/>
              <w:t>reprezentanţii angajaţilor instituției supuse rezoluţiei, dacă este cazul.</w:t>
            </w:r>
          </w:p>
          <w:p w14:paraId="288BDF6F" w14:textId="77777777" w:rsidR="00B53006" w:rsidRPr="00154588" w:rsidRDefault="00B53006" w:rsidP="008C12B4">
            <w:pPr>
              <w:jc w:val="both"/>
              <w:rPr>
                <w:bCs/>
                <w:sz w:val="20"/>
                <w:szCs w:val="20"/>
              </w:rPr>
            </w:pPr>
          </w:p>
        </w:tc>
        <w:tc>
          <w:tcPr>
            <w:tcW w:w="2552" w:type="dxa"/>
          </w:tcPr>
          <w:p w14:paraId="4D395BDD" w14:textId="2650D0E9"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2C860E78" w14:textId="77777777" w:rsidR="00B53006" w:rsidRPr="00154588" w:rsidRDefault="00B53006" w:rsidP="008C12B4">
            <w:pPr>
              <w:jc w:val="both"/>
              <w:rPr>
                <w:bCs/>
                <w:sz w:val="20"/>
                <w:szCs w:val="20"/>
              </w:rPr>
            </w:pPr>
          </w:p>
        </w:tc>
      </w:tr>
      <w:tr w:rsidR="00B53006" w:rsidRPr="00154588" w14:paraId="1411D779" w14:textId="77777777" w:rsidTr="00D15C1B">
        <w:trPr>
          <w:jc w:val="center"/>
        </w:trPr>
        <w:tc>
          <w:tcPr>
            <w:tcW w:w="4957" w:type="dxa"/>
            <w:gridSpan w:val="2"/>
          </w:tcPr>
          <w:p w14:paraId="7507A98F" w14:textId="7AA14BB4" w:rsidR="00B53006" w:rsidRPr="00154588" w:rsidRDefault="00B53006" w:rsidP="008C12B4">
            <w:pPr>
              <w:jc w:val="both"/>
              <w:rPr>
                <w:bCs/>
                <w:sz w:val="20"/>
                <w:szCs w:val="20"/>
              </w:rPr>
            </w:pPr>
            <w:r w:rsidRPr="00154588">
              <w:rPr>
                <w:bCs/>
                <w:sz w:val="20"/>
                <w:szCs w:val="20"/>
              </w:rPr>
              <w:t>(6) Autoritățile de rezoluție aplică instrumente de rezoluție și exercită competențe de rezoluție fără a aduce atingere dispozițiilor privind reprezentarea angajaților în organele de conducere ale întreprinderilor, conform dreptului intern sau practicii naționale.</w:t>
            </w:r>
          </w:p>
        </w:tc>
        <w:tc>
          <w:tcPr>
            <w:tcW w:w="4819" w:type="dxa"/>
          </w:tcPr>
          <w:p w14:paraId="03DC6260" w14:textId="77777777" w:rsidR="00B53006" w:rsidRPr="00154588" w:rsidRDefault="00B53006" w:rsidP="008C12B4">
            <w:pPr>
              <w:jc w:val="both"/>
              <w:rPr>
                <w:bCs/>
                <w:sz w:val="20"/>
                <w:szCs w:val="20"/>
              </w:rPr>
            </w:pPr>
            <w:r w:rsidRPr="00154588">
              <w:rPr>
                <w:b/>
                <w:bCs/>
                <w:sz w:val="20"/>
                <w:szCs w:val="20"/>
              </w:rPr>
              <w:t>Articolul 65.</w:t>
            </w:r>
            <w:r w:rsidRPr="00154588">
              <w:rPr>
                <w:bCs/>
                <w:sz w:val="20"/>
                <w:szCs w:val="20"/>
              </w:rPr>
              <w:t xml:space="preserve"> – Banca Naţională a Moldovei, în calitate de autoritate de rezoluţie, aplică instrumente de rezoluţie şi exercită competenţe de rezoluţie fără a aduce atingere practicilor cu privire la reprezentarea angajaţilor în organele de conducere ale întreprinderilor.</w:t>
            </w:r>
          </w:p>
          <w:p w14:paraId="36076FD6" w14:textId="77777777" w:rsidR="00B53006" w:rsidRPr="00154588" w:rsidRDefault="00B53006" w:rsidP="008C12B4">
            <w:pPr>
              <w:jc w:val="both"/>
              <w:rPr>
                <w:bCs/>
                <w:sz w:val="20"/>
                <w:szCs w:val="20"/>
              </w:rPr>
            </w:pPr>
          </w:p>
        </w:tc>
        <w:tc>
          <w:tcPr>
            <w:tcW w:w="2552" w:type="dxa"/>
          </w:tcPr>
          <w:p w14:paraId="5F95867F" w14:textId="056B44C1" w:rsidR="00B53006" w:rsidRPr="00154588" w:rsidRDefault="00B53006" w:rsidP="008C12B4">
            <w:pPr>
              <w:jc w:val="both"/>
              <w:rPr>
                <w:bCs/>
                <w:sz w:val="20"/>
                <w:szCs w:val="20"/>
              </w:rPr>
            </w:pPr>
            <w:r w:rsidRPr="00154588">
              <w:rPr>
                <w:bCs/>
                <w:sz w:val="20"/>
                <w:szCs w:val="20"/>
              </w:rPr>
              <w:t>Compatibil</w:t>
            </w:r>
          </w:p>
        </w:tc>
        <w:tc>
          <w:tcPr>
            <w:tcW w:w="3118" w:type="dxa"/>
          </w:tcPr>
          <w:p w14:paraId="0655A662" w14:textId="77777777" w:rsidR="00B53006" w:rsidRPr="00154588" w:rsidRDefault="00B53006" w:rsidP="008C12B4">
            <w:pPr>
              <w:jc w:val="both"/>
              <w:rPr>
                <w:bCs/>
                <w:sz w:val="20"/>
                <w:szCs w:val="20"/>
              </w:rPr>
            </w:pPr>
          </w:p>
        </w:tc>
      </w:tr>
      <w:tr w:rsidR="00B53006" w:rsidRPr="00154588" w14:paraId="450B43A8" w14:textId="77777777" w:rsidTr="00D15C1B">
        <w:trPr>
          <w:jc w:val="center"/>
        </w:trPr>
        <w:tc>
          <w:tcPr>
            <w:tcW w:w="4957" w:type="dxa"/>
            <w:gridSpan w:val="2"/>
          </w:tcPr>
          <w:p w14:paraId="085E9FCA" w14:textId="77777777" w:rsidR="00B53006" w:rsidRPr="00154588" w:rsidRDefault="00B53006" w:rsidP="008C12B4">
            <w:pPr>
              <w:rPr>
                <w:b/>
                <w:sz w:val="20"/>
                <w:szCs w:val="20"/>
              </w:rPr>
            </w:pPr>
            <w:r w:rsidRPr="00154588">
              <w:rPr>
                <w:b/>
                <w:sz w:val="20"/>
                <w:szCs w:val="20"/>
              </w:rPr>
              <w:t>CAPITOLUL II</w:t>
            </w:r>
          </w:p>
          <w:p w14:paraId="3124C6B9" w14:textId="77777777" w:rsidR="00B53006" w:rsidRPr="00154588" w:rsidRDefault="00B53006" w:rsidP="008C12B4">
            <w:pPr>
              <w:rPr>
                <w:b/>
                <w:sz w:val="20"/>
                <w:szCs w:val="20"/>
              </w:rPr>
            </w:pPr>
          </w:p>
          <w:p w14:paraId="28D45AF4" w14:textId="6AE885D7" w:rsidR="00B53006" w:rsidRPr="00154588" w:rsidRDefault="00B53006" w:rsidP="008C12B4">
            <w:pPr>
              <w:rPr>
                <w:bCs/>
                <w:sz w:val="20"/>
                <w:szCs w:val="20"/>
              </w:rPr>
            </w:pPr>
            <w:r w:rsidRPr="00154588">
              <w:rPr>
                <w:b/>
                <w:sz w:val="20"/>
                <w:szCs w:val="20"/>
              </w:rPr>
              <w:t>Administratorul special</w:t>
            </w:r>
          </w:p>
        </w:tc>
        <w:tc>
          <w:tcPr>
            <w:tcW w:w="4819" w:type="dxa"/>
          </w:tcPr>
          <w:p w14:paraId="456082F6" w14:textId="77777777" w:rsidR="00B53006" w:rsidRPr="00154588" w:rsidRDefault="00B53006" w:rsidP="008C12B4">
            <w:pPr>
              <w:jc w:val="center"/>
              <w:rPr>
                <w:b/>
                <w:bCs/>
                <w:sz w:val="20"/>
                <w:szCs w:val="20"/>
              </w:rPr>
            </w:pPr>
            <w:r w:rsidRPr="00154588">
              <w:rPr>
                <w:b/>
                <w:bCs/>
                <w:sz w:val="20"/>
                <w:szCs w:val="20"/>
              </w:rPr>
              <w:t>Capitolul II</w:t>
            </w:r>
          </w:p>
          <w:p w14:paraId="228CEEA9" w14:textId="77777777" w:rsidR="00B53006" w:rsidRPr="00154588" w:rsidRDefault="00B53006" w:rsidP="008C12B4">
            <w:pPr>
              <w:jc w:val="center"/>
              <w:rPr>
                <w:b/>
                <w:bCs/>
                <w:sz w:val="20"/>
                <w:szCs w:val="20"/>
              </w:rPr>
            </w:pPr>
            <w:r w:rsidRPr="00154588">
              <w:rPr>
                <w:b/>
                <w:bCs/>
                <w:sz w:val="20"/>
                <w:szCs w:val="20"/>
              </w:rPr>
              <w:t>ADMINISTRATORUL SPECIAL</w:t>
            </w:r>
          </w:p>
          <w:p w14:paraId="4D3AA983" w14:textId="77777777" w:rsidR="00B53006" w:rsidRPr="00154588" w:rsidRDefault="00B53006" w:rsidP="008C12B4">
            <w:pPr>
              <w:jc w:val="center"/>
              <w:rPr>
                <w:bCs/>
                <w:sz w:val="20"/>
                <w:szCs w:val="20"/>
              </w:rPr>
            </w:pPr>
          </w:p>
        </w:tc>
        <w:tc>
          <w:tcPr>
            <w:tcW w:w="2552" w:type="dxa"/>
          </w:tcPr>
          <w:p w14:paraId="4ED7C676" w14:textId="77777777" w:rsidR="00B53006" w:rsidRPr="00154588" w:rsidRDefault="00B53006" w:rsidP="008C12B4">
            <w:pPr>
              <w:jc w:val="both"/>
              <w:rPr>
                <w:bCs/>
                <w:sz w:val="20"/>
                <w:szCs w:val="20"/>
              </w:rPr>
            </w:pPr>
          </w:p>
        </w:tc>
        <w:tc>
          <w:tcPr>
            <w:tcW w:w="3118" w:type="dxa"/>
          </w:tcPr>
          <w:p w14:paraId="46E58E3C" w14:textId="77777777" w:rsidR="00B53006" w:rsidRPr="00154588" w:rsidRDefault="00B53006" w:rsidP="008C12B4">
            <w:pPr>
              <w:jc w:val="both"/>
              <w:rPr>
                <w:bCs/>
                <w:sz w:val="20"/>
                <w:szCs w:val="20"/>
              </w:rPr>
            </w:pPr>
          </w:p>
        </w:tc>
      </w:tr>
      <w:tr w:rsidR="00B53006" w:rsidRPr="00154588" w14:paraId="22F01492" w14:textId="77777777" w:rsidTr="00D15C1B">
        <w:trPr>
          <w:jc w:val="center"/>
        </w:trPr>
        <w:tc>
          <w:tcPr>
            <w:tcW w:w="4957" w:type="dxa"/>
            <w:gridSpan w:val="2"/>
          </w:tcPr>
          <w:p w14:paraId="1096F33D" w14:textId="77777777" w:rsidR="00B53006" w:rsidRPr="00154588" w:rsidRDefault="00B53006" w:rsidP="008C12B4">
            <w:pPr>
              <w:rPr>
                <w:b/>
                <w:sz w:val="20"/>
                <w:szCs w:val="20"/>
              </w:rPr>
            </w:pPr>
            <w:r w:rsidRPr="00154588">
              <w:rPr>
                <w:b/>
                <w:sz w:val="20"/>
                <w:szCs w:val="20"/>
              </w:rPr>
              <w:t>Articolul 35</w:t>
            </w:r>
          </w:p>
          <w:p w14:paraId="09FE2529" w14:textId="77777777" w:rsidR="00B53006" w:rsidRPr="00154588" w:rsidRDefault="00B53006" w:rsidP="008C12B4">
            <w:pPr>
              <w:rPr>
                <w:b/>
                <w:sz w:val="20"/>
                <w:szCs w:val="20"/>
              </w:rPr>
            </w:pPr>
          </w:p>
          <w:p w14:paraId="6D380CF7" w14:textId="4F83EE57" w:rsidR="00B53006" w:rsidRPr="00154588" w:rsidRDefault="00B53006" w:rsidP="008C12B4">
            <w:pPr>
              <w:rPr>
                <w:bCs/>
                <w:sz w:val="20"/>
                <w:szCs w:val="20"/>
              </w:rPr>
            </w:pPr>
            <w:r w:rsidRPr="00154588">
              <w:rPr>
                <w:b/>
                <w:sz w:val="20"/>
                <w:szCs w:val="20"/>
              </w:rPr>
              <w:t>Administratorul special</w:t>
            </w:r>
          </w:p>
        </w:tc>
        <w:tc>
          <w:tcPr>
            <w:tcW w:w="4819" w:type="dxa"/>
          </w:tcPr>
          <w:p w14:paraId="7BF9449B" w14:textId="77777777" w:rsidR="00B53006" w:rsidRPr="00154588" w:rsidRDefault="00B53006" w:rsidP="008C12B4">
            <w:pPr>
              <w:jc w:val="both"/>
              <w:rPr>
                <w:bCs/>
                <w:sz w:val="20"/>
                <w:szCs w:val="20"/>
              </w:rPr>
            </w:pPr>
          </w:p>
        </w:tc>
        <w:tc>
          <w:tcPr>
            <w:tcW w:w="2552" w:type="dxa"/>
          </w:tcPr>
          <w:p w14:paraId="71880CA4" w14:textId="77777777" w:rsidR="00B53006" w:rsidRPr="00154588" w:rsidRDefault="00B53006" w:rsidP="008C12B4">
            <w:pPr>
              <w:jc w:val="both"/>
              <w:rPr>
                <w:bCs/>
                <w:sz w:val="20"/>
                <w:szCs w:val="20"/>
              </w:rPr>
            </w:pPr>
          </w:p>
        </w:tc>
        <w:tc>
          <w:tcPr>
            <w:tcW w:w="3118" w:type="dxa"/>
          </w:tcPr>
          <w:p w14:paraId="0B59F135" w14:textId="77777777" w:rsidR="00B53006" w:rsidRPr="00154588" w:rsidRDefault="00B53006" w:rsidP="008C12B4">
            <w:pPr>
              <w:jc w:val="both"/>
              <w:rPr>
                <w:bCs/>
                <w:sz w:val="20"/>
                <w:szCs w:val="20"/>
              </w:rPr>
            </w:pPr>
          </w:p>
        </w:tc>
      </w:tr>
      <w:tr w:rsidR="00B53006" w:rsidRPr="00154588" w14:paraId="265E23D1" w14:textId="77777777" w:rsidTr="00D15C1B">
        <w:trPr>
          <w:jc w:val="center"/>
        </w:trPr>
        <w:tc>
          <w:tcPr>
            <w:tcW w:w="4957" w:type="dxa"/>
            <w:gridSpan w:val="2"/>
          </w:tcPr>
          <w:p w14:paraId="6C235C17" w14:textId="524D6CDD" w:rsidR="00B53006" w:rsidRPr="00154588" w:rsidRDefault="00B53006" w:rsidP="008C12B4">
            <w:pPr>
              <w:jc w:val="both"/>
              <w:rPr>
                <w:bCs/>
                <w:sz w:val="20"/>
                <w:szCs w:val="20"/>
              </w:rPr>
            </w:pPr>
            <w:r w:rsidRPr="00154588">
              <w:rPr>
                <w:bCs/>
                <w:sz w:val="20"/>
                <w:szCs w:val="20"/>
              </w:rPr>
              <w:t>(1) Statele membre se asigură că autoritățile de rezoluție pot numi unul sau mai mulți administratori speciali care să înlocuiască organul de conducere al instituției aflate în procedură de rezoluție sau al instituției-punte sau care să colaboreze cu acesta. Autoritățile de rezoluție fac publică numirea administratorului special. Autoritățile de rezoluție se asigură că administratorul special deține calificările, cunoștințele și capacitatea necesare îndeplinirii funcțiilor sale.</w:t>
            </w:r>
            <w:r w:rsidRPr="00154588">
              <w:t xml:space="preserve">                        </w:t>
            </w:r>
            <w:r w:rsidRPr="00154588">
              <w:rPr>
                <w:bCs/>
                <w:sz w:val="20"/>
                <w:szCs w:val="20"/>
              </w:rPr>
              <w:t>Articolul 91 din Directiva 2013/36/UE nu se aplică numirii administratorilor speciali</w:t>
            </w:r>
          </w:p>
        </w:tc>
        <w:tc>
          <w:tcPr>
            <w:tcW w:w="4819" w:type="dxa"/>
          </w:tcPr>
          <w:p w14:paraId="082140D7" w14:textId="7407AF7A" w:rsidR="00B53006" w:rsidRPr="00154588" w:rsidRDefault="00B53006" w:rsidP="008C12B4">
            <w:pPr>
              <w:jc w:val="both"/>
              <w:rPr>
                <w:bCs/>
                <w:sz w:val="20"/>
                <w:szCs w:val="20"/>
              </w:rPr>
            </w:pPr>
            <w:r w:rsidRPr="00154588">
              <w:rPr>
                <w:b/>
                <w:bCs/>
                <w:sz w:val="20"/>
                <w:szCs w:val="20"/>
              </w:rPr>
              <w:t>Articolul 66.</w:t>
            </w:r>
            <w:r w:rsidRPr="00154588">
              <w:rPr>
                <w:bCs/>
                <w:sz w:val="20"/>
                <w:szCs w:val="20"/>
              </w:rPr>
              <w:t xml:space="preserve">  Banca Naţională a Moldovei, în calitate de autoritate de rezoluţie, poate desemna un</w:t>
            </w:r>
            <w:r w:rsidR="00F15B76" w:rsidRPr="00154588">
              <w:rPr>
                <w:bCs/>
                <w:sz w:val="20"/>
                <w:szCs w:val="20"/>
              </w:rPr>
              <w:t>ul sau mai mulți</w:t>
            </w:r>
            <w:r w:rsidRPr="00154588">
              <w:rPr>
                <w:bCs/>
                <w:sz w:val="20"/>
                <w:szCs w:val="20"/>
              </w:rPr>
              <w:t xml:space="preserve"> administrator</w:t>
            </w:r>
            <w:r w:rsidR="00F15B76" w:rsidRPr="00154588">
              <w:rPr>
                <w:bCs/>
                <w:sz w:val="20"/>
                <w:szCs w:val="20"/>
              </w:rPr>
              <w:t>i</w:t>
            </w:r>
            <w:r w:rsidRPr="00154588">
              <w:rPr>
                <w:bCs/>
                <w:sz w:val="20"/>
                <w:szCs w:val="20"/>
              </w:rPr>
              <w:t xml:space="preserve"> special</w:t>
            </w:r>
            <w:r w:rsidR="00F15B76" w:rsidRPr="00154588">
              <w:rPr>
                <w:bCs/>
                <w:sz w:val="20"/>
                <w:szCs w:val="20"/>
              </w:rPr>
              <w:t>i</w:t>
            </w:r>
            <w:r w:rsidRPr="00154588">
              <w:rPr>
                <w:bCs/>
                <w:sz w:val="20"/>
                <w:szCs w:val="20"/>
              </w:rPr>
              <w:t xml:space="preserve"> care să înlocuiască organul de conducere al instituției de credit supuse rezoluţiei, </w:t>
            </w:r>
            <w:r w:rsidR="00F15B76" w:rsidRPr="00154588">
              <w:rPr>
                <w:bCs/>
                <w:sz w:val="20"/>
                <w:szCs w:val="20"/>
              </w:rPr>
              <w:t xml:space="preserve">sau al instituției-punte sau care să colaboreze cu acesta, </w:t>
            </w:r>
            <w:r w:rsidRPr="00154588">
              <w:rPr>
                <w:bCs/>
                <w:sz w:val="20"/>
                <w:szCs w:val="20"/>
              </w:rPr>
              <w:t xml:space="preserve">caz în care face publică numirea acestuia pe pagina web oficială. </w:t>
            </w:r>
            <w:r w:rsidR="00F05CA2" w:rsidRPr="00154588">
              <w:rPr>
                <w:bCs/>
                <w:sz w:val="20"/>
                <w:szCs w:val="20"/>
              </w:rPr>
              <w:t xml:space="preserve"> </w:t>
            </w:r>
            <w:r w:rsidRPr="00154588">
              <w:rPr>
                <w:bCs/>
                <w:sz w:val="20"/>
                <w:szCs w:val="20"/>
              </w:rPr>
              <w:t xml:space="preserve"> </w:t>
            </w:r>
            <w:r w:rsidR="008C5F85" w:rsidRPr="00154588">
              <w:rPr>
                <w:bCs/>
                <w:sz w:val="20"/>
                <w:szCs w:val="20"/>
              </w:rPr>
              <w:t>La numirea administratorului special nu sunt aplicabile prevederile art. 43 din Legea nr. 202/2017.</w:t>
            </w:r>
            <w:r w:rsidRPr="00154588">
              <w:rPr>
                <w:bCs/>
                <w:sz w:val="20"/>
                <w:szCs w:val="20"/>
              </w:rPr>
              <w:t xml:space="preserve"> </w:t>
            </w:r>
            <w:r w:rsidR="00B702AA" w:rsidRPr="00154588">
              <w:rPr>
                <w:bCs/>
                <w:sz w:val="20"/>
                <w:szCs w:val="20"/>
              </w:rPr>
              <w:t xml:space="preserve"> </w:t>
            </w:r>
          </w:p>
        </w:tc>
        <w:tc>
          <w:tcPr>
            <w:tcW w:w="2552" w:type="dxa"/>
          </w:tcPr>
          <w:p w14:paraId="53C5E3E5" w14:textId="5FF682C3" w:rsidR="00B53006" w:rsidRPr="00154588" w:rsidRDefault="00B53006" w:rsidP="008C12B4">
            <w:pPr>
              <w:jc w:val="both"/>
              <w:rPr>
                <w:bCs/>
                <w:sz w:val="20"/>
                <w:szCs w:val="20"/>
              </w:rPr>
            </w:pPr>
            <w:r w:rsidRPr="00154588">
              <w:rPr>
                <w:bCs/>
                <w:sz w:val="20"/>
                <w:szCs w:val="20"/>
              </w:rPr>
              <w:t>Compatibil</w:t>
            </w:r>
          </w:p>
        </w:tc>
        <w:tc>
          <w:tcPr>
            <w:tcW w:w="3118" w:type="dxa"/>
          </w:tcPr>
          <w:p w14:paraId="69C4AB2B" w14:textId="77777777" w:rsidR="00B53006" w:rsidRPr="00154588" w:rsidRDefault="00B53006" w:rsidP="008C12B4">
            <w:pPr>
              <w:jc w:val="both"/>
              <w:rPr>
                <w:bCs/>
                <w:sz w:val="20"/>
                <w:szCs w:val="20"/>
              </w:rPr>
            </w:pPr>
          </w:p>
        </w:tc>
      </w:tr>
      <w:tr w:rsidR="00B53006" w:rsidRPr="00154588" w14:paraId="673122E0" w14:textId="77777777" w:rsidTr="00D15C1B">
        <w:trPr>
          <w:jc w:val="center"/>
        </w:trPr>
        <w:tc>
          <w:tcPr>
            <w:tcW w:w="4957" w:type="dxa"/>
            <w:gridSpan w:val="2"/>
          </w:tcPr>
          <w:p w14:paraId="5BDC96A6" w14:textId="233CCBEC" w:rsidR="00B53006" w:rsidRPr="00154588" w:rsidRDefault="00B53006" w:rsidP="008C12B4">
            <w:pPr>
              <w:tabs>
                <w:tab w:val="left" w:pos="1202"/>
              </w:tabs>
              <w:jc w:val="both"/>
              <w:rPr>
                <w:bCs/>
                <w:sz w:val="20"/>
                <w:szCs w:val="20"/>
              </w:rPr>
            </w:pPr>
            <w:r w:rsidRPr="00154588">
              <w:rPr>
                <w:bCs/>
                <w:sz w:val="20"/>
                <w:szCs w:val="20"/>
              </w:rPr>
              <w:t>(2) Administratorul special dispune de toate competențele acționarilor și ale organului de conducere al instituției</w:t>
            </w:r>
            <w:r w:rsidRPr="00154588">
              <w:t xml:space="preserve"> </w:t>
            </w:r>
            <w:r w:rsidRPr="00154588">
              <w:rPr>
                <w:bCs/>
                <w:sz w:val="20"/>
                <w:szCs w:val="20"/>
              </w:rPr>
              <w:t>aflate în rezoluție sau al instituției-punte. Cu toate acestea, administratorul special poate exercita aceste competențe numai sub controlul autorității de rezoluție.</w:t>
            </w:r>
          </w:p>
        </w:tc>
        <w:tc>
          <w:tcPr>
            <w:tcW w:w="4819" w:type="dxa"/>
          </w:tcPr>
          <w:p w14:paraId="707C6515" w14:textId="6E67EE7B" w:rsidR="00B53006" w:rsidRPr="00154588" w:rsidRDefault="00B53006" w:rsidP="008C12B4">
            <w:pPr>
              <w:jc w:val="both"/>
              <w:rPr>
                <w:bCs/>
                <w:sz w:val="20"/>
                <w:szCs w:val="20"/>
              </w:rPr>
            </w:pPr>
            <w:r w:rsidRPr="00154588">
              <w:rPr>
                <w:b/>
                <w:bCs/>
                <w:sz w:val="20"/>
                <w:szCs w:val="20"/>
              </w:rPr>
              <w:t>Articolul 67.</w:t>
            </w:r>
            <w:r w:rsidRPr="00154588">
              <w:rPr>
                <w:bCs/>
                <w:sz w:val="20"/>
                <w:szCs w:val="20"/>
              </w:rPr>
              <w:t xml:space="preserve"> – Administratorul special dispune de toate competenţele adunării generale a acţionarilor şi ale organului de conducere al instituției de credit </w:t>
            </w:r>
            <w:r w:rsidR="006518FA" w:rsidRPr="00154588">
              <w:rPr>
                <w:bCs/>
                <w:sz w:val="20"/>
                <w:szCs w:val="20"/>
              </w:rPr>
              <w:t>aflate în rezoluție sau al instituției-punte.</w:t>
            </w:r>
            <w:r w:rsidRPr="00154588">
              <w:rPr>
                <w:bCs/>
                <w:sz w:val="20"/>
                <w:szCs w:val="20"/>
              </w:rPr>
              <w:t>. Cu toate acestea, administratorul special nu poate exercita aceste competenţe decît sub controlul Băncii Naţionale a Moldovei, în calitate de autoritate de rezoluţie.</w:t>
            </w:r>
          </w:p>
          <w:p w14:paraId="764175E3" w14:textId="7F6D2D0C" w:rsidR="00B53006" w:rsidRPr="00154588" w:rsidRDefault="00B53006" w:rsidP="008C12B4">
            <w:pPr>
              <w:jc w:val="both"/>
              <w:rPr>
                <w:bCs/>
                <w:sz w:val="20"/>
                <w:szCs w:val="20"/>
              </w:rPr>
            </w:pPr>
            <w:r w:rsidRPr="00154588">
              <w:rPr>
                <w:bCs/>
                <w:sz w:val="20"/>
                <w:szCs w:val="20"/>
              </w:rPr>
              <w:lastRenderedPageBreak/>
              <w:t> </w:t>
            </w:r>
          </w:p>
        </w:tc>
        <w:tc>
          <w:tcPr>
            <w:tcW w:w="2552" w:type="dxa"/>
          </w:tcPr>
          <w:p w14:paraId="6B7C5B2E" w14:textId="144069DA"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1CC2DB90" w14:textId="77777777" w:rsidR="00B53006" w:rsidRPr="00154588" w:rsidRDefault="00B53006" w:rsidP="008C12B4">
            <w:pPr>
              <w:jc w:val="both"/>
              <w:rPr>
                <w:bCs/>
                <w:sz w:val="20"/>
                <w:szCs w:val="20"/>
              </w:rPr>
            </w:pPr>
          </w:p>
        </w:tc>
      </w:tr>
      <w:tr w:rsidR="00B53006" w:rsidRPr="00154588" w14:paraId="65B9012F" w14:textId="77777777" w:rsidTr="00D15C1B">
        <w:trPr>
          <w:jc w:val="center"/>
        </w:trPr>
        <w:tc>
          <w:tcPr>
            <w:tcW w:w="4957" w:type="dxa"/>
            <w:gridSpan w:val="2"/>
          </w:tcPr>
          <w:p w14:paraId="68B7679D" w14:textId="341F125B" w:rsidR="00B53006" w:rsidRPr="00154588" w:rsidRDefault="00B53006" w:rsidP="008C12B4">
            <w:pPr>
              <w:jc w:val="both"/>
              <w:rPr>
                <w:bCs/>
                <w:sz w:val="20"/>
                <w:szCs w:val="20"/>
              </w:rPr>
            </w:pPr>
            <w:r w:rsidRPr="00154588">
              <w:rPr>
                <w:bCs/>
                <w:sz w:val="20"/>
                <w:szCs w:val="20"/>
              </w:rPr>
              <w:t xml:space="preserve">(3)   Administratorul special are obligația statutară de a lua toate măsurile necesare pentru a promova obiectivele rezoluției menționate la articolul 31 și pentru a pune în aplicare măsurile de rezoluție în conformitate cu decizia autorității de rezoluție. După caz, această obligație are prioritate față de orice altă obligație de conducere rezultând din statutul instituției sau din dreptul intern, dacă acestea sunt </w:t>
            </w:r>
            <w:r w:rsidRPr="00154588">
              <w:rPr>
                <w:bCs/>
                <w:sz w:val="20"/>
                <w:szCs w:val="20"/>
              </w:rPr>
              <w:lastRenderedPageBreak/>
              <w:t>incompatibile. Măsurile în cauză pot include o majorare a capitalului, reorganizarea structurii de proprietate a instituției sau preluarea controlului de către instituții solide din punct de vedere financiar și organizațional, în conformitate cu instrumentele de rezoluție menționate la capitolul IV.</w:t>
            </w:r>
          </w:p>
        </w:tc>
        <w:tc>
          <w:tcPr>
            <w:tcW w:w="4819" w:type="dxa"/>
          </w:tcPr>
          <w:p w14:paraId="6B3EBEEA" w14:textId="430FED12" w:rsidR="00B53006" w:rsidRPr="00154588" w:rsidRDefault="00B53006" w:rsidP="008C12B4">
            <w:pPr>
              <w:jc w:val="both"/>
              <w:rPr>
                <w:bCs/>
                <w:sz w:val="20"/>
                <w:szCs w:val="20"/>
              </w:rPr>
            </w:pPr>
            <w:r w:rsidRPr="00154588">
              <w:rPr>
                <w:b/>
                <w:bCs/>
                <w:sz w:val="20"/>
                <w:szCs w:val="20"/>
              </w:rPr>
              <w:lastRenderedPageBreak/>
              <w:t>Articolul 68.</w:t>
            </w:r>
            <w:r w:rsidRPr="00154588">
              <w:rPr>
                <w:bCs/>
                <w:sz w:val="20"/>
                <w:szCs w:val="20"/>
              </w:rPr>
              <w:t xml:space="preserve"> – Administratorul special are obligaţia de a lua toate măsurile necesare pentru atingerea obiectivelor rezoluţiei prevăzute la art.55-57 şi pentru a implementa acţiunile de rezoluţie în conformitate cu decizia Băncii Naţionale a Moldovei, în calitate de autoritate de rezoluţie. După caz, această obligaţie are prioritate faţă de orice altă obligaţie de conducere rezultând din alte acte </w:t>
            </w:r>
            <w:r w:rsidRPr="00154588">
              <w:rPr>
                <w:bCs/>
                <w:sz w:val="20"/>
                <w:szCs w:val="20"/>
              </w:rPr>
              <w:lastRenderedPageBreak/>
              <w:t>normative sau din actele constitutive ale instituției de credit la care a fost desemnat administrator special, dacă acestea sînt incompatibile. Măsurile în cauză pot include o majorare a capitalului, reorganizarea structurii acţionariatului instituției de credit respective sau preluarea controlului acesteia de către instituţii solide din punct de vedere financiar şi organizaţional, în conformitate cu instrumentele de rezoluţie prevăzute în prezenta lege.</w:t>
            </w:r>
          </w:p>
          <w:p w14:paraId="56DB1499" w14:textId="77777777" w:rsidR="00B53006" w:rsidRPr="00154588" w:rsidRDefault="00B53006" w:rsidP="008C12B4">
            <w:pPr>
              <w:jc w:val="both"/>
              <w:rPr>
                <w:bCs/>
                <w:sz w:val="20"/>
                <w:szCs w:val="20"/>
              </w:rPr>
            </w:pPr>
          </w:p>
        </w:tc>
        <w:tc>
          <w:tcPr>
            <w:tcW w:w="2552" w:type="dxa"/>
          </w:tcPr>
          <w:p w14:paraId="215ECC11" w14:textId="0629815A"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4CC75EF3" w14:textId="77777777" w:rsidR="00B53006" w:rsidRPr="00154588" w:rsidRDefault="00B53006" w:rsidP="008C12B4">
            <w:pPr>
              <w:jc w:val="both"/>
              <w:rPr>
                <w:bCs/>
                <w:sz w:val="20"/>
                <w:szCs w:val="20"/>
              </w:rPr>
            </w:pPr>
          </w:p>
        </w:tc>
      </w:tr>
      <w:tr w:rsidR="00B53006" w:rsidRPr="00154588" w14:paraId="4821FF9D" w14:textId="77777777" w:rsidTr="00D15C1B">
        <w:trPr>
          <w:jc w:val="center"/>
        </w:trPr>
        <w:tc>
          <w:tcPr>
            <w:tcW w:w="4957" w:type="dxa"/>
            <w:gridSpan w:val="2"/>
          </w:tcPr>
          <w:p w14:paraId="10F56DB3" w14:textId="792D0714" w:rsidR="00B53006" w:rsidRPr="00154588" w:rsidRDefault="00B53006" w:rsidP="008C12B4">
            <w:pPr>
              <w:jc w:val="both"/>
              <w:rPr>
                <w:bCs/>
                <w:sz w:val="20"/>
                <w:szCs w:val="20"/>
              </w:rPr>
            </w:pPr>
            <w:r w:rsidRPr="00154588">
              <w:rPr>
                <w:bCs/>
                <w:sz w:val="20"/>
                <w:szCs w:val="20"/>
              </w:rPr>
              <w:t>(4)   Autoritățile de rezoluție pot stabili limite ale acțiunilor administratorului special sau pot solicita ca anumite acte ale administratorului special să facă obiectul aprobării prealabile a autorității de rezoluție. Autoritățile de rezoluție pot destitui administratorul special în orice moment.</w:t>
            </w:r>
          </w:p>
        </w:tc>
        <w:tc>
          <w:tcPr>
            <w:tcW w:w="4819" w:type="dxa"/>
          </w:tcPr>
          <w:p w14:paraId="25F9CCBE" w14:textId="77777777" w:rsidR="00B53006" w:rsidRPr="00154588" w:rsidRDefault="00B53006" w:rsidP="008C12B4">
            <w:pPr>
              <w:jc w:val="both"/>
              <w:rPr>
                <w:bCs/>
                <w:sz w:val="20"/>
                <w:szCs w:val="20"/>
              </w:rPr>
            </w:pPr>
            <w:r w:rsidRPr="00154588">
              <w:rPr>
                <w:b/>
                <w:bCs/>
                <w:sz w:val="20"/>
                <w:szCs w:val="20"/>
              </w:rPr>
              <w:t>Articolul 69.</w:t>
            </w:r>
            <w:r w:rsidRPr="00154588">
              <w:rPr>
                <w:bCs/>
                <w:sz w:val="20"/>
                <w:szCs w:val="20"/>
              </w:rPr>
              <w:t xml:space="preserve"> – Banca Naţională a Moldovei, în calitate de autoritate de rezoluţie, poate stabili restricţii în ceea ce priveşte modul de a acţiona al administratorului special sau poate solicita ca anumite acte ale administratorului special să facă obiectul aprobării sale prealabile. Banca Naţională a Moldovei, în calitate de autoritate de rezoluţie, poate înlocui administratorul special în orice moment.</w:t>
            </w:r>
          </w:p>
          <w:p w14:paraId="2CFB58FC" w14:textId="77777777" w:rsidR="00B53006" w:rsidRPr="00154588" w:rsidRDefault="00B53006" w:rsidP="008C12B4">
            <w:pPr>
              <w:jc w:val="both"/>
              <w:rPr>
                <w:bCs/>
                <w:sz w:val="20"/>
                <w:szCs w:val="20"/>
              </w:rPr>
            </w:pPr>
          </w:p>
        </w:tc>
        <w:tc>
          <w:tcPr>
            <w:tcW w:w="2552" w:type="dxa"/>
          </w:tcPr>
          <w:p w14:paraId="04BBBB14" w14:textId="0154132B" w:rsidR="00B53006" w:rsidRPr="00154588" w:rsidRDefault="00B53006" w:rsidP="008C12B4">
            <w:pPr>
              <w:jc w:val="both"/>
              <w:rPr>
                <w:bCs/>
                <w:sz w:val="20"/>
                <w:szCs w:val="20"/>
              </w:rPr>
            </w:pPr>
            <w:r w:rsidRPr="00154588">
              <w:rPr>
                <w:bCs/>
                <w:sz w:val="20"/>
                <w:szCs w:val="20"/>
              </w:rPr>
              <w:t>Compatibil</w:t>
            </w:r>
          </w:p>
        </w:tc>
        <w:tc>
          <w:tcPr>
            <w:tcW w:w="3118" w:type="dxa"/>
          </w:tcPr>
          <w:p w14:paraId="31049D3F" w14:textId="77777777" w:rsidR="00B53006" w:rsidRPr="00154588" w:rsidRDefault="00B53006" w:rsidP="008C12B4">
            <w:pPr>
              <w:jc w:val="both"/>
              <w:rPr>
                <w:bCs/>
                <w:sz w:val="20"/>
                <w:szCs w:val="20"/>
              </w:rPr>
            </w:pPr>
          </w:p>
        </w:tc>
      </w:tr>
      <w:tr w:rsidR="00B53006" w:rsidRPr="00154588" w14:paraId="784A1C53" w14:textId="77777777" w:rsidTr="00D15C1B">
        <w:trPr>
          <w:jc w:val="center"/>
        </w:trPr>
        <w:tc>
          <w:tcPr>
            <w:tcW w:w="4957" w:type="dxa"/>
            <w:gridSpan w:val="2"/>
          </w:tcPr>
          <w:p w14:paraId="07D83668" w14:textId="2434C50B" w:rsidR="00B53006" w:rsidRPr="00154588" w:rsidRDefault="00B53006" w:rsidP="008C12B4">
            <w:pPr>
              <w:jc w:val="both"/>
              <w:rPr>
                <w:bCs/>
                <w:sz w:val="20"/>
                <w:szCs w:val="20"/>
              </w:rPr>
            </w:pPr>
            <w:r w:rsidRPr="00154588">
              <w:rPr>
                <w:bCs/>
                <w:sz w:val="20"/>
                <w:szCs w:val="20"/>
              </w:rPr>
              <w:t>(5) Statele membre impun administratorului special să întocmească și să prezinte autorității de rezoluție responsabile cu numirea sa, la intervale regulate stabilite de aceasta, precum și la începutul și la sfârșitul mandatului său, rapoarte privind situația economică și financiară a instituției aflate în rezoluție sau a instituției-punte și măsurile întreprinse cu ocazia exercitării atribuțiilor sale.</w:t>
            </w:r>
          </w:p>
        </w:tc>
        <w:tc>
          <w:tcPr>
            <w:tcW w:w="4819" w:type="dxa"/>
          </w:tcPr>
          <w:p w14:paraId="78F2BCDB" w14:textId="17780141" w:rsidR="00B53006" w:rsidRPr="00154588" w:rsidRDefault="00B53006" w:rsidP="008C12B4">
            <w:pPr>
              <w:jc w:val="both"/>
              <w:rPr>
                <w:bCs/>
                <w:sz w:val="20"/>
                <w:szCs w:val="20"/>
              </w:rPr>
            </w:pPr>
            <w:r w:rsidRPr="00154588">
              <w:rPr>
                <w:b/>
                <w:bCs/>
                <w:sz w:val="20"/>
                <w:szCs w:val="20"/>
              </w:rPr>
              <w:t>Articolul 70.</w:t>
            </w:r>
            <w:r w:rsidRPr="00154588">
              <w:rPr>
                <w:bCs/>
                <w:sz w:val="20"/>
                <w:szCs w:val="20"/>
              </w:rPr>
              <w:t xml:space="preserve"> – Administratorul special are obligaţia să întocmească şi să prezinte Băncii Naţionale a Moldovei, în calitate de autoritate de rezoluţie, la intervale regulate stabilite de aceasta, precum şi la începutul şi la sfîrşitul mandatului său, rapoarte privind situaţia economică şi financiară a instituției de credit</w:t>
            </w:r>
            <w:r w:rsidR="00A169CC" w:rsidRPr="00154588">
              <w:rPr>
                <w:bCs/>
                <w:sz w:val="20"/>
                <w:szCs w:val="20"/>
              </w:rPr>
              <w:t xml:space="preserve"> aflate în rezolutie sau a instituției-punte</w:t>
            </w:r>
            <w:r w:rsidRPr="00154588">
              <w:rPr>
                <w:bCs/>
                <w:sz w:val="20"/>
                <w:szCs w:val="20"/>
              </w:rPr>
              <w:t xml:space="preserve"> la care a fost desemnat administrator special şi acţiunile întreprinse cu ocazia exercitării atribuţiilor sale.</w:t>
            </w:r>
          </w:p>
          <w:p w14:paraId="3766BC95" w14:textId="77777777" w:rsidR="00B53006" w:rsidRPr="00154588" w:rsidRDefault="00B53006" w:rsidP="008C12B4">
            <w:pPr>
              <w:jc w:val="both"/>
              <w:rPr>
                <w:bCs/>
                <w:sz w:val="20"/>
                <w:szCs w:val="20"/>
              </w:rPr>
            </w:pPr>
          </w:p>
        </w:tc>
        <w:tc>
          <w:tcPr>
            <w:tcW w:w="2552" w:type="dxa"/>
          </w:tcPr>
          <w:p w14:paraId="4D36A417" w14:textId="505567BB" w:rsidR="00B53006" w:rsidRPr="00154588" w:rsidRDefault="00B53006" w:rsidP="008C12B4">
            <w:pPr>
              <w:jc w:val="both"/>
              <w:rPr>
                <w:bCs/>
                <w:sz w:val="20"/>
                <w:szCs w:val="20"/>
              </w:rPr>
            </w:pPr>
            <w:r w:rsidRPr="00154588">
              <w:rPr>
                <w:bCs/>
                <w:sz w:val="20"/>
                <w:szCs w:val="20"/>
              </w:rPr>
              <w:t>Compatibil</w:t>
            </w:r>
          </w:p>
        </w:tc>
        <w:tc>
          <w:tcPr>
            <w:tcW w:w="3118" w:type="dxa"/>
          </w:tcPr>
          <w:p w14:paraId="4441F1E1" w14:textId="77777777" w:rsidR="00B53006" w:rsidRPr="00154588" w:rsidRDefault="00B53006" w:rsidP="008C12B4">
            <w:pPr>
              <w:jc w:val="both"/>
              <w:rPr>
                <w:bCs/>
                <w:sz w:val="20"/>
                <w:szCs w:val="20"/>
              </w:rPr>
            </w:pPr>
          </w:p>
        </w:tc>
      </w:tr>
      <w:tr w:rsidR="00B53006" w:rsidRPr="00154588" w14:paraId="09366E1E" w14:textId="77777777" w:rsidTr="00D15C1B">
        <w:trPr>
          <w:jc w:val="center"/>
        </w:trPr>
        <w:tc>
          <w:tcPr>
            <w:tcW w:w="4957" w:type="dxa"/>
            <w:gridSpan w:val="2"/>
          </w:tcPr>
          <w:p w14:paraId="627DC2CB" w14:textId="76D44838" w:rsidR="00B53006" w:rsidRPr="00154588" w:rsidRDefault="00B53006" w:rsidP="008C12B4">
            <w:pPr>
              <w:jc w:val="both"/>
              <w:rPr>
                <w:bCs/>
                <w:sz w:val="20"/>
                <w:szCs w:val="20"/>
              </w:rPr>
            </w:pPr>
            <w:r w:rsidRPr="00154588">
              <w:rPr>
                <w:bCs/>
                <w:sz w:val="20"/>
                <w:szCs w:val="20"/>
              </w:rPr>
              <w:t>(6)   Mandatul unui administrator special nu poate depăși un an. Mandatul poate fi reînnoit, în cazuri excepționale, dacă autoritatea de rezoluție consideră că sunt în continuare îndeplinite condițiile de numire a unui administrator special.</w:t>
            </w:r>
          </w:p>
        </w:tc>
        <w:tc>
          <w:tcPr>
            <w:tcW w:w="4819" w:type="dxa"/>
          </w:tcPr>
          <w:p w14:paraId="6FEE7925" w14:textId="77777777" w:rsidR="00B53006" w:rsidRPr="00154588" w:rsidRDefault="00B53006" w:rsidP="008C12B4">
            <w:pPr>
              <w:jc w:val="both"/>
              <w:rPr>
                <w:bCs/>
                <w:sz w:val="20"/>
                <w:szCs w:val="20"/>
              </w:rPr>
            </w:pPr>
            <w:r w:rsidRPr="00154588">
              <w:rPr>
                <w:b/>
                <w:bCs/>
                <w:sz w:val="20"/>
                <w:szCs w:val="20"/>
              </w:rPr>
              <w:t>Articolul 71.</w:t>
            </w:r>
            <w:r w:rsidRPr="00154588">
              <w:rPr>
                <w:bCs/>
                <w:sz w:val="20"/>
                <w:szCs w:val="20"/>
              </w:rPr>
              <w:t xml:space="preserve"> – (1) Mandatul unui administrator special nu poate depăşi un an. Mandatul poate fi reînnoit cu perioade de maximum un an, în cazuri excepţionale, dacă Banca Naţională a Moldovei, în calitate de autoritate de rezoluţie, consideră că sînt, în continuare, îndeplinite condiţiile de numire a unui administrator special.</w:t>
            </w:r>
          </w:p>
          <w:p w14:paraId="2AAA690B" w14:textId="77777777" w:rsidR="00B53006" w:rsidRPr="00154588" w:rsidRDefault="00B53006" w:rsidP="008C12B4">
            <w:pPr>
              <w:jc w:val="both"/>
              <w:rPr>
                <w:bCs/>
                <w:sz w:val="20"/>
                <w:szCs w:val="20"/>
              </w:rPr>
            </w:pPr>
            <w:r w:rsidRPr="00154588">
              <w:rPr>
                <w:bCs/>
                <w:sz w:val="20"/>
                <w:szCs w:val="20"/>
              </w:rPr>
              <w:t>(2) Dispoziţiile art.47 alin.(2) se aplică în mod corespunzător.</w:t>
            </w:r>
          </w:p>
          <w:p w14:paraId="668C9459" w14:textId="77777777" w:rsidR="00B53006" w:rsidRPr="00154588" w:rsidRDefault="00B53006" w:rsidP="008C12B4">
            <w:pPr>
              <w:jc w:val="both"/>
              <w:rPr>
                <w:bCs/>
                <w:sz w:val="20"/>
                <w:szCs w:val="20"/>
              </w:rPr>
            </w:pPr>
            <w:r w:rsidRPr="00154588">
              <w:rPr>
                <w:bCs/>
                <w:sz w:val="20"/>
                <w:szCs w:val="20"/>
              </w:rPr>
              <w:t>(3) Dispoziţiile art.35 din Legea nr.548/1995 cu privire la Banca Naţională a Moldovei sînt aplicabile în mod corespunzător în ceea ce priveşte regimul răspunderii administratorului special pentru exercitarea atribuţiilor conferite în conformitate cu prezenta lege.</w:t>
            </w:r>
          </w:p>
          <w:p w14:paraId="523E8196" w14:textId="77777777" w:rsidR="00B53006" w:rsidRPr="00154588" w:rsidRDefault="00B53006" w:rsidP="008C12B4">
            <w:pPr>
              <w:jc w:val="both"/>
              <w:rPr>
                <w:bCs/>
                <w:sz w:val="20"/>
                <w:szCs w:val="20"/>
              </w:rPr>
            </w:pPr>
          </w:p>
        </w:tc>
        <w:tc>
          <w:tcPr>
            <w:tcW w:w="2552" w:type="dxa"/>
          </w:tcPr>
          <w:p w14:paraId="2B0B0ED2" w14:textId="77794513"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624467E7" w14:textId="77777777" w:rsidR="00B53006" w:rsidRPr="00154588" w:rsidRDefault="00B53006" w:rsidP="008C12B4">
            <w:pPr>
              <w:jc w:val="both"/>
              <w:rPr>
                <w:bCs/>
                <w:sz w:val="20"/>
                <w:szCs w:val="20"/>
              </w:rPr>
            </w:pPr>
          </w:p>
        </w:tc>
      </w:tr>
      <w:tr w:rsidR="00B53006" w:rsidRPr="00154588" w14:paraId="3A15770E" w14:textId="77777777" w:rsidTr="00D15C1B">
        <w:trPr>
          <w:jc w:val="center"/>
        </w:trPr>
        <w:tc>
          <w:tcPr>
            <w:tcW w:w="4957" w:type="dxa"/>
            <w:gridSpan w:val="2"/>
          </w:tcPr>
          <w:p w14:paraId="2B477992" w14:textId="00B750AA" w:rsidR="00B53006" w:rsidRPr="00154588" w:rsidRDefault="00B53006" w:rsidP="008C12B4">
            <w:pPr>
              <w:jc w:val="both"/>
              <w:rPr>
                <w:bCs/>
                <w:sz w:val="20"/>
                <w:szCs w:val="20"/>
              </w:rPr>
            </w:pPr>
            <w:r w:rsidRPr="00154588">
              <w:rPr>
                <w:bCs/>
                <w:sz w:val="20"/>
                <w:szCs w:val="20"/>
              </w:rPr>
              <w:t>(7)   În cazul în care mai multe autorități de rezoluție intenționează să numească un administrator special pentru o entitate afiliată la un grup, ele evaluează în ce măsură numirea aceluiași administrator special pentru toate entitățile în cauză ar fi mai oportună pentru a facilita găsirea unor soluții de restabilire a solidității financiare ale entităților în cauză.</w:t>
            </w:r>
          </w:p>
        </w:tc>
        <w:tc>
          <w:tcPr>
            <w:tcW w:w="4819" w:type="dxa"/>
          </w:tcPr>
          <w:p w14:paraId="22209BD7" w14:textId="300A88EA" w:rsidR="00B53006" w:rsidRPr="00154588" w:rsidRDefault="00B53006" w:rsidP="008C12B4">
            <w:pPr>
              <w:jc w:val="both"/>
              <w:rPr>
                <w:bCs/>
                <w:sz w:val="20"/>
                <w:szCs w:val="20"/>
              </w:rPr>
            </w:pPr>
            <w:r w:rsidRPr="00154588">
              <w:rPr>
                <w:b/>
                <w:bCs/>
                <w:sz w:val="20"/>
                <w:szCs w:val="20"/>
              </w:rPr>
              <w:t>Articolul 71.</w:t>
            </w:r>
            <w:r w:rsidRPr="00154588">
              <w:rPr>
                <w:bCs/>
                <w:sz w:val="20"/>
                <w:szCs w:val="20"/>
              </w:rPr>
              <w:t xml:space="preserve"> – (4) În cazul în care mai multe autorităţi de rezoluţie, intenţionează să numească un administrator special pentru o entitate afiliată la un grup, ele evaluează în ce măsură numirea aceluiași administrator special pentru toate entităţile în cauză ar fi mai oportună pentru a facilita găsirea unor soluţii de restabilire a solidităţii financiare ale entităţilor în cauză.</w:t>
            </w:r>
          </w:p>
        </w:tc>
        <w:tc>
          <w:tcPr>
            <w:tcW w:w="2552" w:type="dxa"/>
          </w:tcPr>
          <w:p w14:paraId="28E93198" w14:textId="025BE96F" w:rsidR="00B53006" w:rsidRPr="00154588" w:rsidRDefault="00B53006" w:rsidP="008C12B4">
            <w:pPr>
              <w:jc w:val="both"/>
              <w:rPr>
                <w:bCs/>
                <w:sz w:val="20"/>
                <w:szCs w:val="20"/>
              </w:rPr>
            </w:pPr>
            <w:r w:rsidRPr="00154588">
              <w:rPr>
                <w:bCs/>
                <w:sz w:val="20"/>
                <w:szCs w:val="20"/>
              </w:rPr>
              <w:t>Compatibil</w:t>
            </w:r>
          </w:p>
        </w:tc>
        <w:tc>
          <w:tcPr>
            <w:tcW w:w="3118" w:type="dxa"/>
          </w:tcPr>
          <w:p w14:paraId="1520679E" w14:textId="77777777" w:rsidR="00B53006" w:rsidRPr="00154588" w:rsidRDefault="00B53006" w:rsidP="008C12B4">
            <w:pPr>
              <w:jc w:val="both"/>
              <w:rPr>
                <w:bCs/>
                <w:sz w:val="20"/>
                <w:szCs w:val="20"/>
              </w:rPr>
            </w:pPr>
          </w:p>
        </w:tc>
      </w:tr>
      <w:tr w:rsidR="00B53006" w:rsidRPr="00154588" w14:paraId="216E9591" w14:textId="77777777" w:rsidTr="00D15C1B">
        <w:trPr>
          <w:jc w:val="center"/>
        </w:trPr>
        <w:tc>
          <w:tcPr>
            <w:tcW w:w="4957" w:type="dxa"/>
            <w:gridSpan w:val="2"/>
          </w:tcPr>
          <w:p w14:paraId="3610C576" w14:textId="298597C7" w:rsidR="00B53006" w:rsidRPr="00154588" w:rsidRDefault="00B53006" w:rsidP="008C12B4">
            <w:pPr>
              <w:jc w:val="both"/>
              <w:rPr>
                <w:bCs/>
                <w:sz w:val="20"/>
                <w:szCs w:val="20"/>
              </w:rPr>
            </w:pPr>
            <w:r w:rsidRPr="00154588">
              <w:rPr>
                <w:bCs/>
                <w:sz w:val="20"/>
                <w:szCs w:val="20"/>
              </w:rPr>
              <w:t>(8) În caz de insolvență, dacă dreptul intern prevede numirea unui administrator de insolvență, acesta poate fi considerat administrator special în sensul prezentului articol.</w:t>
            </w:r>
          </w:p>
        </w:tc>
        <w:tc>
          <w:tcPr>
            <w:tcW w:w="4819" w:type="dxa"/>
          </w:tcPr>
          <w:p w14:paraId="4CAC2AB1" w14:textId="77777777" w:rsidR="00B53006" w:rsidRPr="00154588" w:rsidRDefault="00B53006" w:rsidP="008C12B4">
            <w:pPr>
              <w:jc w:val="both"/>
              <w:rPr>
                <w:bCs/>
                <w:sz w:val="20"/>
                <w:szCs w:val="20"/>
              </w:rPr>
            </w:pPr>
          </w:p>
        </w:tc>
        <w:tc>
          <w:tcPr>
            <w:tcW w:w="2552" w:type="dxa"/>
          </w:tcPr>
          <w:p w14:paraId="77DFCD71" w14:textId="790C7FDA" w:rsidR="00B53006" w:rsidRPr="00154588" w:rsidRDefault="00B53006" w:rsidP="008C12B4">
            <w:pPr>
              <w:jc w:val="both"/>
              <w:rPr>
                <w:bCs/>
                <w:sz w:val="20"/>
                <w:szCs w:val="20"/>
              </w:rPr>
            </w:pPr>
            <w:r w:rsidRPr="00154588">
              <w:rPr>
                <w:bCs/>
                <w:sz w:val="20"/>
                <w:szCs w:val="20"/>
              </w:rPr>
              <w:t>Prevederi UE neaplicabile</w:t>
            </w:r>
          </w:p>
        </w:tc>
        <w:tc>
          <w:tcPr>
            <w:tcW w:w="3118" w:type="dxa"/>
          </w:tcPr>
          <w:p w14:paraId="5FD95B4A" w14:textId="5B28FC10" w:rsidR="00B53006" w:rsidRPr="00154588" w:rsidRDefault="00B53006" w:rsidP="008C12B4">
            <w:pPr>
              <w:jc w:val="both"/>
              <w:rPr>
                <w:bCs/>
                <w:sz w:val="20"/>
                <w:szCs w:val="20"/>
              </w:rPr>
            </w:pPr>
            <w:r w:rsidRPr="00154588">
              <w:rPr>
                <w:bCs/>
                <w:i/>
                <w:sz w:val="20"/>
                <w:szCs w:val="20"/>
              </w:rPr>
              <w:t>Reieșind din prevederile din proiectul de modificare a cadrului de lichidare, alineatul (8) din Directivă nu este aplicabil.</w:t>
            </w:r>
          </w:p>
        </w:tc>
      </w:tr>
      <w:tr w:rsidR="00B53006" w:rsidRPr="00154588" w14:paraId="4A156FBC" w14:textId="77777777" w:rsidTr="00D15C1B">
        <w:trPr>
          <w:jc w:val="center"/>
        </w:trPr>
        <w:tc>
          <w:tcPr>
            <w:tcW w:w="4957" w:type="dxa"/>
            <w:gridSpan w:val="2"/>
          </w:tcPr>
          <w:p w14:paraId="324E458E" w14:textId="77777777" w:rsidR="00B53006" w:rsidRPr="00154588" w:rsidRDefault="00B53006" w:rsidP="008C12B4">
            <w:pPr>
              <w:rPr>
                <w:b/>
                <w:sz w:val="20"/>
                <w:szCs w:val="20"/>
              </w:rPr>
            </w:pPr>
            <w:r w:rsidRPr="00154588">
              <w:rPr>
                <w:b/>
                <w:sz w:val="20"/>
                <w:szCs w:val="20"/>
              </w:rPr>
              <w:t>CAPITOLUL III</w:t>
            </w:r>
          </w:p>
          <w:p w14:paraId="7FCF2C6D" w14:textId="77777777" w:rsidR="00B53006" w:rsidRPr="00154588" w:rsidRDefault="00B53006" w:rsidP="008C12B4">
            <w:pPr>
              <w:rPr>
                <w:b/>
                <w:sz w:val="20"/>
                <w:szCs w:val="20"/>
              </w:rPr>
            </w:pPr>
          </w:p>
          <w:p w14:paraId="32613363" w14:textId="49E85B9E" w:rsidR="00B53006" w:rsidRPr="00154588" w:rsidRDefault="00B53006" w:rsidP="008C12B4">
            <w:pPr>
              <w:rPr>
                <w:bCs/>
                <w:sz w:val="20"/>
                <w:szCs w:val="20"/>
              </w:rPr>
            </w:pPr>
            <w:r w:rsidRPr="00154588">
              <w:rPr>
                <w:b/>
                <w:sz w:val="20"/>
                <w:szCs w:val="20"/>
              </w:rPr>
              <w:t>Evaluare</w:t>
            </w:r>
          </w:p>
        </w:tc>
        <w:tc>
          <w:tcPr>
            <w:tcW w:w="4819" w:type="dxa"/>
          </w:tcPr>
          <w:p w14:paraId="492EDE48" w14:textId="77777777" w:rsidR="00B53006" w:rsidRPr="00154588" w:rsidRDefault="00B53006" w:rsidP="008C12B4">
            <w:pPr>
              <w:jc w:val="center"/>
              <w:rPr>
                <w:b/>
                <w:sz w:val="20"/>
                <w:szCs w:val="20"/>
              </w:rPr>
            </w:pPr>
            <w:r w:rsidRPr="00154588">
              <w:rPr>
                <w:b/>
                <w:sz w:val="20"/>
                <w:szCs w:val="20"/>
              </w:rPr>
              <w:t>Capitolul III</w:t>
            </w:r>
          </w:p>
          <w:p w14:paraId="261255D6" w14:textId="77777777" w:rsidR="00B53006" w:rsidRPr="00154588" w:rsidRDefault="00B53006" w:rsidP="008C12B4">
            <w:pPr>
              <w:jc w:val="center"/>
              <w:rPr>
                <w:b/>
                <w:sz w:val="20"/>
                <w:szCs w:val="20"/>
              </w:rPr>
            </w:pPr>
            <w:r w:rsidRPr="00154588">
              <w:rPr>
                <w:b/>
                <w:sz w:val="20"/>
                <w:szCs w:val="20"/>
              </w:rPr>
              <w:t>EVALUAREA</w:t>
            </w:r>
          </w:p>
          <w:p w14:paraId="6BA2ABBC" w14:textId="77777777" w:rsidR="00B53006" w:rsidRPr="00154588" w:rsidRDefault="00B53006" w:rsidP="008C12B4">
            <w:pPr>
              <w:jc w:val="both"/>
              <w:rPr>
                <w:bCs/>
                <w:sz w:val="20"/>
                <w:szCs w:val="20"/>
              </w:rPr>
            </w:pPr>
          </w:p>
        </w:tc>
        <w:tc>
          <w:tcPr>
            <w:tcW w:w="2552" w:type="dxa"/>
          </w:tcPr>
          <w:p w14:paraId="415B6FE0" w14:textId="77777777" w:rsidR="00B53006" w:rsidRPr="00154588" w:rsidRDefault="00B53006" w:rsidP="008C12B4">
            <w:pPr>
              <w:jc w:val="both"/>
              <w:rPr>
                <w:bCs/>
                <w:sz w:val="20"/>
                <w:szCs w:val="20"/>
              </w:rPr>
            </w:pPr>
          </w:p>
        </w:tc>
        <w:tc>
          <w:tcPr>
            <w:tcW w:w="3118" w:type="dxa"/>
          </w:tcPr>
          <w:p w14:paraId="6BDFAD5A" w14:textId="77777777" w:rsidR="00B53006" w:rsidRPr="00154588" w:rsidRDefault="00B53006" w:rsidP="008C12B4">
            <w:pPr>
              <w:jc w:val="both"/>
              <w:rPr>
                <w:bCs/>
                <w:sz w:val="20"/>
                <w:szCs w:val="20"/>
              </w:rPr>
            </w:pPr>
          </w:p>
        </w:tc>
      </w:tr>
      <w:tr w:rsidR="00B53006" w:rsidRPr="00154588" w14:paraId="7ABEF33F" w14:textId="77777777" w:rsidTr="00D15C1B">
        <w:trPr>
          <w:jc w:val="center"/>
        </w:trPr>
        <w:tc>
          <w:tcPr>
            <w:tcW w:w="4957" w:type="dxa"/>
            <w:gridSpan w:val="2"/>
          </w:tcPr>
          <w:p w14:paraId="54EF66FE" w14:textId="77777777" w:rsidR="00B53006" w:rsidRPr="00154588" w:rsidRDefault="00B53006" w:rsidP="008C12B4">
            <w:pPr>
              <w:rPr>
                <w:b/>
                <w:sz w:val="20"/>
                <w:szCs w:val="20"/>
              </w:rPr>
            </w:pPr>
            <w:r w:rsidRPr="00154588">
              <w:rPr>
                <w:b/>
                <w:sz w:val="20"/>
                <w:szCs w:val="20"/>
              </w:rPr>
              <w:t>Articolul 36</w:t>
            </w:r>
          </w:p>
          <w:p w14:paraId="7F4EFB09" w14:textId="77777777" w:rsidR="00B53006" w:rsidRPr="00154588" w:rsidRDefault="00B53006" w:rsidP="008C12B4">
            <w:pPr>
              <w:rPr>
                <w:b/>
                <w:sz w:val="20"/>
                <w:szCs w:val="20"/>
              </w:rPr>
            </w:pPr>
          </w:p>
          <w:p w14:paraId="32313AB8" w14:textId="77777777" w:rsidR="00B53006" w:rsidRPr="00154588" w:rsidRDefault="00B53006" w:rsidP="008C12B4">
            <w:pPr>
              <w:rPr>
                <w:b/>
                <w:sz w:val="20"/>
                <w:szCs w:val="20"/>
              </w:rPr>
            </w:pPr>
          </w:p>
          <w:p w14:paraId="315F34E7" w14:textId="1401742B" w:rsidR="00B53006" w:rsidRPr="00154588" w:rsidRDefault="00B53006" w:rsidP="008C12B4">
            <w:pPr>
              <w:rPr>
                <w:b/>
                <w:sz w:val="20"/>
                <w:szCs w:val="20"/>
              </w:rPr>
            </w:pPr>
            <w:r w:rsidRPr="00154588">
              <w:rPr>
                <w:b/>
                <w:sz w:val="20"/>
                <w:szCs w:val="20"/>
              </w:rPr>
              <w:t>Evaluare în scopul rezoluției</w:t>
            </w:r>
          </w:p>
        </w:tc>
        <w:tc>
          <w:tcPr>
            <w:tcW w:w="4819" w:type="dxa"/>
          </w:tcPr>
          <w:p w14:paraId="5F6CBC33" w14:textId="77777777" w:rsidR="00B53006" w:rsidRPr="00154588" w:rsidRDefault="00B53006" w:rsidP="008C12B4">
            <w:pPr>
              <w:jc w:val="both"/>
              <w:rPr>
                <w:bCs/>
                <w:sz w:val="20"/>
                <w:szCs w:val="20"/>
              </w:rPr>
            </w:pPr>
          </w:p>
        </w:tc>
        <w:tc>
          <w:tcPr>
            <w:tcW w:w="2552" w:type="dxa"/>
          </w:tcPr>
          <w:p w14:paraId="7657A831" w14:textId="77777777" w:rsidR="00B53006" w:rsidRPr="00154588" w:rsidRDefault="00B53006" w:rsidP="008C12B4">
            <w:pPr>
              <w:jc w:val="both"/>
              <w:rPr>
                <w:bCs/>
                <w:sz w:val="20"/>
                <w:szCs w:val="20"/>
              </w:rPr>
            </w:pPr>
          </w:p>
        </w:tc>
        <w:tc>
          <w:tcPr>
            <w:tcW w:w="3118" w:type="dxa"/>
          </w:tcPr>
          <w:p w14:paraId="1BDC6241" w14:textId="77777777" w:rsidR="00B53006" w:rsidRPr="00154588" w:rsidRDefault="00B53006" w:rsidP="008C12B4">
            <w:pPr>
              <w:jc w:val="both"/>
              <w:rPr>
                <w:bCs/>
                <w:sz w:val="20"/>
                <w:szCs w:val="20"/>
              </w:rPr>
            </w:pPr>
          </w:p>
        </w:tc>
      </w:tr>
      <w:tr w:rsidR="00B53006" w:rsidRPr="00154588" w14:paraId="6525DF5C" w14:textId="77777777" w:rsidTr="00D15C1B">
        <w:trPr>
          <w:jc w:val="center"/>
        </w:trPr>
        <w:tc>
          <w:tcPr>
            <w:tcW w:w="4957" w:type="dxa"/>
            <w:gridSpan w:val="2"/>
          </w:tcPr>
          <w:p w14:paraId="3367444F" w14:textId="730652E8" w:rsidR="00B53006" w:rsidRPr="00154588" w:rsidRDefault="00B53006" w:rsidP="008C12B4">
            <w:pPr>
              <w:jc w:val="both"/>
              <w:rPr>
                <w:bCs/>
                <w:sz w:val="20"/>
                <w:szCs w:val="20"/>
              </w:rPr>
            </w:pPr>
            <w:r w:rsidRPr="00154588">
              <w:rPr>
                <w:bCs/>
                <w:sz w:val="20"/>
                <w:szCs w:val="20"/>
              </w:rPr>
              <w:t>(1)   Înainte de a lua vreo măsură de rezoluție sau de a exercita competența de reducere a valorii contabile sau de conversie a instrumentelor de capital și datorii eligibile în conformitate cu articolul 59 relevante, autoritățile de rezoluție se asigură că o persoană independentă de orice autoritate publică, inclusiv de autoritatea de rezoluție și de instituția sau entitatea menționată la articolul 1 alineatul (1) litera (b), (c) sau (d), efectuează o evaluare corectă, prudentă și realistă a activelor și pasivelor instituției sau entității menționate la articolul 1 alineatul (1) litera (b), (c) sau (d). Sub rezerva alineatului (13) din prezentul articol și a articolului 85, în cazul în care sunt respectate toate cerințele enunțate la prezentul articol, evaluarea se consideră a fi definitivă.</w:t>
            </w:r>
          </w:p>
        </w:tc>
        <w:tc>
          <w:tcPr>
            <w:tcW w:w="4819" w:type="dxa"/>
          </w:tcPr>
          <w:p w14:paraId="67AEF0EA" w14:textId="71D4CE50" w:rsidR="00B53006" w:rsidRPr="00154588" w:rsidRDefault="00B53006" w:rsidP="008C12B4">
            <w:pPr>
              <w:jc w:val="both"/>
              <w:rPr>
                <w:bCs/>
                <w:sz w:val="20"/>
                <w:szCs w:val="20"/>
              </w:rPr>
            </w:pPr>
            <w:r w:rsidRPr="00154588">
              <w:rPr>
                <w:b/>
                <w:bCs/>
                <w:sz w:val="20"/>
                <w:szCs w:val="20"/>
              </w:rPr>
              <w:t>Articolul 72.</w:t>
            </w:r>
            <w:r w:rsidRPr="00154588">
              <w:rPr>
                <w:bCs/>
                <w:sz w:val="20"/>
                <w:szCs w:val="20"/>
              </w:rPr>
              <w:t xml:space="preserve"> – Înainte de a întreprinde vreo acţiune de rezoluţie sau de a exercita competenţa de reducere a valorii sau de conversie a instrumentelor de capital şi a datoriilor eligibile în conformitate cu prevederile art.219-225 în legătură cu o instituție de credit sau entitate menționată la art.1 alin.(1) lit.b), c) sau d), Banca Naţională a Moldovei, în calitate de autoritate de rezoluţie, se asigură că o persoană independentă de orice autoritate publică, inclusiv de Banca Naţională a Moldovei şi de respectiva instituție de credit sau entitate, efectuează o evaluare corectă, prudentă şi realistă a activelor, datoriilor şi capitalurilor proprii ale instituției de credit sau entitate menționată la art.1 alin.(1) lit.b), c) sau d). Cu respectarea prevederilor art.84 şi ale art.292-294, în cazul în care sînt îndeplinite toate cerinţele prevăzute de prezentul articol şi de art.73-84, evaluarea se consideră a fi definitivă.</w:t>
            </w:r>
          </w:p>
          <w:p w14:paraId="709C09A8" w14:textId="77777777" w:rsidR="00B53006" w:rsidRPr="00154588" w:rsidRDefault="00B53006" w:rsidP="008C12B4">
            <w:pPr>
              <w:jc w:val="both"/>
              <w:rPr>
                <w:bCs/>
                <w:sz w:val="20"/>
                <w:szCs w:val="20"/>
              </w:rPr>
            </w:pPr>
          </w:p>
        </w:tc>
        <w:tc>
          <w:tcPr>
            <w:tcW w:w="2552" w:type="dxa"/>
          </w:tcPr>
          <w:p w14:paraId="779C1006" w14:textId="3B4C4592" w:rsidR="00B53006" w:rsidRPr="00154588" w:rsidRDefault="00B53006" w:rsidP="008C12B4">
            <w:pPr>
              <w:jc w:val="both"/>
              <w:rPr>
                <w:bCs/>
                <w:sz w:val="20"/>
                <w:szCs w:val="20"/>
              </w:rPr>
            </w:pPr>
            <w:r w:rsidRPr="00154588">
              <w:rPr>
                <w:bCs/>
                <w:sz w:val="20"/>
                <w:szCs w:val="20"/>
              </w:rPr>
              <w:t>Compatibil</w:t>
            </w:r>
          </w:p>
        </w:tc>
        <w:tc>
          <w:tcPr>
            <w:tcW w:w="3118" w:type="dxa"/>
          </w:tcPr>
          <w:p w14:paraId="391FBC01" w14:textId="77777777" w:rsidR="00B53006" w:rsidRPr="00154588" w:rsidRDefault="00B53006" w:rsidP="008C12B4">
            <w:pPr>
              <w:jc w:val="both"/>
              <w:rPr>
                <w:bCs/>
                <w:sz w:val="20"/>
                <w:szCs w:val="20"/>
              </w:rPr>
            </w:pPr>
          </w:p>
        </w:tc>
      </w:tr>
      <w:tr w:rsidR="00B53006" w:rsidRPr="00154588" w14:paraId="7A29B40B" w14:textId="77777777" w:rsidTr="00D15C1B">
        <w:trPr>
          <w:jc w:val="center"/>
        </w:trPr>
        <w:tc>
          <w:tcPr>
            <w:tcW w:w="4957" w:type="dxa"/>
            <w:gridSpan w:val="2"/>
          </w:tcPr>
          <w:p w14:paraId="6EFD3555" w14:textId="10AA0D75" w:rsidR="00B53006" w:rsidRPr="00154588" w:rsidRDefault="00B53006" w:rsidP="008C12B4">
            <w:pPr>
              <w:jc w:val="both"/>
              <w:rPr>
                <w:bCs/>
                <w:sz w:val="20"/>
                <w:szCs w:val="20"/>
              </w:rPr>
            </w:pPr>
            <w:r w:rsidRPr="00154588">
              <w:rPr>
                <w:bCs/>
                <w:sz w:val="20"/>
                <w:szCs w:val="20"/>
              </w:rPr>
              <w:t>(2) Dacă o evaluare independentă în conformitate cu alineatul (1) nu este posibilă, autoritățile de rezoluție pot efectua o evaluare provizorie a activelor și pasivelor instituției sau ale entității menționate la articolul 1 alineatul (1) litera (b), (c) sau (d), în conformitate cu alineatul (9) din prezentul articol.</w:t>
            </w:r>
          </w:p>
        </w:tc>
        <w:tc>
          <w:tcPr>
            <w:tcW w:w="4819" w:type="dxa"/>
          </w:tcPr>
          <w:p w14:paraId="6FFC5BF0" w14:textId="4598C01B" w:rsidR="00B53006" w:rsidRPr="00154588" w:rsidRDefault="00B53006" w:rsidP="008C12B4">
            <w:pPr>
              <w:jc w:val="both"/>
              <w:rPr>
                <w:bCs/>
                <w:sz w:val="20"/>
                <w:szCs w:val="20"/>
              </w:rPr>
            </w:pPr>
            <w:r w:rsidRPr="00154588">
              <w:rPr>
                <w:b/>
                <w:bCs/>
                <w:sz w:val="20"/>
                <w:szCs w:val="20"/>
              </w:rPr>
              <w:t>Articolul 73.</w:t>
            </w:r>
            <w:r w:rsidRPr="00154588">
              <w:rPr>
                <w:bCs/>
                <w:sz w:val="20"/>
                <w:szCs w:val="20"/>
              </w:rPr>
              <w:t xml:space="preserve">  Dacă o evaluare independentă, în conformitate cu prevederile art.72 nu este posibilă, Banca Naţională a Moldovei, în calitate de autoritate de rezoluţie, asigură efectuarea unei evaluări provizorii a activelor, datoriilor şi capitalurilor proprii ale respectivei instituții de credit sau entității </w:t>
            </w:r>
            <w:r w:rsidRPr="00154588">
              <w:rPr>
                <w:bCs/>
                <w:sz w:val="20"/>
                <w:szCs w:val="20"/>
              </w:rPr>
              <w:lastRenderedPageBreak/>
              <w:t>menționată la art.1 alin.(1) lit.b), c) sau d), în conformitate cu prevederile art.80.</w:t>
            </w:r>
          </w:p>
          <w:p w14:paraId="6278FF34" w14:textId="77777777" w:rsidR="00B53006" w:rsidRPr="00154588" w:rsidRDefault="00B53006" w:rsidP="008C12B4">
            <w:pPr>
              <w:jc w:val="both"/>
              <w:rPr>
                <w:bCs/>
                <w:sz w:val="20"/>
                <w:szCs w:val="20"/>
              </w:rPr>
            </w:pPr>
          </w:p>
        </w:tc>
        <w:tc>
          <w:tcPr>
            <w:tcW w:w="2552" w:type="dxa"/>
          </w:tcPr>
          <w:p w14:paraId="6A7FBFDF" w14:textId="5E209E3A"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41F0B63D" w14:textId="77777777" w:rsidR="00B53006" w:rsidRPr="00154588" w:rsidRDefault="00B53006" w:rsidP="008C12B4">
            <w:pPr>
              <w:jc w:val="both"/>
              <w:rPr>
                <w:bCs/>
                <w:sz w:val="20"/>
                <w:szCs w:val="20"/>
              </w:rPr>
            </w:pPr>
          </w:p>
        </w:tc>
      </w:tr>
      <w:tr w:rsidR="00B53006" w:rsidRPr="00154588" w14:paraId="7DEA4F1E" w14:textId="77777777" w:rsidTr="00D15C1B">
        <w:trPr>
          <w:jc w:val="center"/>
        </w:trPr>
        <w:tc>
          <w:tcPr>
            <w:tcW w:w="4957" w:type="dxa"/>
            <w:gridSpan w:val="2"/>
          </w:tcPr>
          <w:p w14:paraId="3D9ED295" w14:textId="22820F34" w:rsidR="00B53006" w:rsidRPr="00154588" w:rsidRDefault="00B53006" w:rsidP="008C12B4">
            <w:pPr>
              <w:jc w:val="both"/>
              <w:rPr>
                <w:bCs/>
                <w:sz w:val="20"/>
                <w:szCs w:val="20"/>
              </w:rPr>
            </w:pPr>
            <w:r w:rsidRPr="00154588">
              <w:rPr>
                <w:bCs/>
                <w:sz w:val="20"/>
                <w:szCs w:val="20"/>
              </w:rPr>
              <w:t>(3) Obiectivul evaluării este acela de a evalua valoarea activelor și pasivelor instituției sau entității menționate la articolul 1 alineatul (1) litera (b), (c) sau (d) care îndeplinește condițiile de declanșare a procedurii de rezoluție menționate la articolele 32 și 33.</w:t>
            </w:r>
          </w:p>
        </w:tc>
        <w:tc>
          <w:tcPr>
            <w:tcW w:w="4819" w:type="dxa"/>
          </w:tcPr>
          <w:p w14:paraId="60C178A0" w14:textId="6155F83D" w:rsidR="00B53006" w:rsidRPr="00154588" w:rsidRDefault="00B53006" w:rsidP="008C12B4">
            <w:pPr>
              <w:jc w:val="both"/>
              <w:rPr>
                <w:bCs/>
                <w:sz w:val="20"/>
                <w:szCs w:val="20"/>
              </w:rPr>
            </w:pPr>
            <w:r w:rsidRPr="00154588">
              <w:rPr>
                <w:b/>
                <w:bCs/>
                <w:sz w:val="20"/>
                <w:szCs w:val="20"/>
              </w:rPr>
              <w:t>Articolul 74.</w:t>
            </w:r>
            <w:r w:rsidRPr="00154588">
              <w:rPr>
                <w:bCs/>
                <w:sz w:val="20"/>
                <w:szCs w:val="20"/>
              </w:rPr>
              <w:t xml:space="preserve"> – Obiectivul evaluării este acela de a determina valoarea activelor, datoriilor şi capitalurilor proprii ale instituției de credit sau entității menționată la art.1 alin.(1) lit.b), c) sau d),</w:t>
            </w:r>
            <w:r w:rsidRPr="00154588" w:rsidDel="008E6787">
              <w:rPr>
                <w:bCs/>
                <w:sz w:val="20"/>
                <w:szCs w:val="20"/>
              </w:rPr>
              <w:t xml:space="preserve"> </w:t>
            </w:r>
            <w:r w:rsidRPr="00154588">
              <w:rPr>
                <w:bCs/>
                <w:sz w:val="20"/>
                <w:szCs w:val="20"/>
              </w:rPr>
              <w:t>care îndeplineşte condiţiile de declanşare a procedurii de rezoluţie prevăzute la art.58-60 și 60 alin. (4).</w:t>
            </w:r>
          </w:p>
          <w:p w14:paraId="7CE07F3E" w14:textId="77777777" w:rsidR="00B53006" w:rsidRPr="00154588" w:rsidRDefault="00B53006" w:rsidP="008C12B4">
            <w:pPr>
              <w:jc w:val="both"/>
              <w:rPr>
                <w:bCs/>
                <w:sz w:val="20"/>
                <w:szCs w:val="20"/>
              </w:rPr>
            </w:pPr>
          </w:p>
        </w:tc>
        <w:tc>
          <w:tcPr>
            <w:tcW w:w="2552" w:type="dxa"/>
          </w:tcPr>
          <w:p w14:paraId="4A0843FA" w14:textId="2462F2A2" w:rsidR="00B53006" w:rsidRPr="00154588" w:rsidRDefault="00B53006" w:rsidP="008C12B4">
            <w:pPr>
              <w:jc w:val="both"/>
              <w:rPr>
                <w:bCs/>
                <w:sz w:val="20"/>
                <w:szCs w:val="20"/>
              </w:rPr>
            </w:pPr>
            <w:r w:rsidRPr="00154588">
              <w:rPr>
                <w:bCs/>
                <w:sz w:val="20"/>
                <w:szCs w:val="20"/>
              </w:rPr>
              <w:t>Compatibil</w:t>
            </w:r>
          </w:p>
        </w:tc>
        <w:tc>
          <w:tcPr>
            <w:tcW w:w="3118" w:type="dxa"/>
          </w:tcPr>
          <w:p w14:paraId="3A24B5AC" w14:textId="77777777" w:rsidR="00B53006" w:rsidRPr="00154588" w:rsidRDefault="00B53006" w:rsidP="008C12B4">
            <w:pPr>
              <w:jc w:val="both"/>
              <w:rPr>
                <w:bCs/>
                <w:sz w:val="20"/>
                <w:szCs w:val="20"/>
              </w:rPr>
            </w:pPr>
          </w:p>
        </w:tc>
      </w:tr>
      <w:tr w:rsidR="00B53006" w:rsidRPr="00154588" w14:paraId="16FFC141" w14:textId="77777777" w:rsidTr="00D15C1B">
        <w:trPr>
          <w:jc w:val="center"/>
        </w:trPr>
        <w:tc>
          <w:tcPr>
            <w:tcW w:w="4957" w:type="dxa"/>
            <w:gridSpan w:val="2"/>
          </w:tcPr>
          <w:p w14:paraId="7C13B69D" w14:textId="77777777" w:rsidR="00B53006" w:rsidRPr="00154588" w:rsidRDefault="00B53006" w:rsidP="008C12B4">
            <w:pPr>
              <w:jc w:val="both"/>
              <w:rPr>
                <w:bCs/>
                <w:sz w:val="20"/>
                <w:szCs w:val="20"/>
              </w:rPr>
            </w:pPr>
            <w:r w:rsidRPr="00154588">
              <w:rPr>
                <w:bCs/>
                <w:sz w:val="20"/>
                <w:szCs w:val="20"/>
              </w:rPr>
              <w:t>(4)   Scopurile evaluării sunt:</w:t>
            </w:r>
          </w:p>
          <w:p w14:paraId="48CEC832" w14:textId="77777777" w:rsidR="00B53006" w:rsidRPr="00154588" w:rsidRDefault="00B53006" w:rsidP="008C12B4">
            <w:pPr>
              <w:jc w:val="both"/>
              <w:rPr>
                <w:bCs/>
                <w:sz w:val="20"/>
                <w:szCs w:val="20"/>
              </w:rPr>
            </w:pPr>
          </w:p>
          <w:p w14:paraId="6010DBEA" w14:textId="77777777" w:rsidR="00B53006" w:rsidRPr="00154588" w:rsidRDefault="00B53006" w:rsidP="008C12B4">
            <w:pPr>
              <w:jc w:val="both"/>
              <w:rPr>
                <w:bCs/>
                <w:sz w:val="20"/>
                <w:szCs w:val="20"/>
              </w:rPr>
            </w:pPr>
          </w:p>
          <w:p w14:paraId="22F2ACE0" w14:textId="5237FC16" w:rsidR="00B53006" w:rsidRPr="00154588" w:rsidRDefault="00B53006" w:rsidP="008C12B4">
            <w:pPr>
              <w:jc w:val="both"/>
              <w:rPr>
                <w:bCs/>
                <w:sz w:val="20"/>
                <w:szCs w:val="20"/>
              </w:rPr>
            </w:pPr>
            <w:r w:rsidRPr="00154588">
              <w:rPr>
                <w:bCs/>
                <w:sz w:val="20"/>
                <w:szCs w:val="20"/>
              </w:rPr>
              <w:t>(a) să fundamenteze stabilirea faptului că s-au îndeplinit condițiile de declanșare a procedurii de rezoluție sau condițiile de reducere a valorii contabile sau de conversie a instrumentelor de capital și datorii eligibile în conformitate cu articolul 59;</w:t>
            </w:r>
          </w:p>
          <w:p w14:paraId="52DEE08B" w14:textId="77777777" w:rsidR="00B53006" w:rsidRPr="00154588" w:rsidRDefault="00B53006" w:rsidP="008C12B4">
            <w:pPr>
              <w:jc w:val="both"/>
              <w:rPr>
                <w:bCs/>
                <w:sz w:val="20"/>
                <w:szCs w:val="20"/>
              </w:rPr>
            </w:pPr>
          </w:p>
          <w:p w14:paraId="3619E1CA" w14:textId="13558E6F" w:rsidR="00B53006" w:rsidRPr="00154588" w:rsidRDefault="00B53006" w:rsidP="008C12B4">
            <w:pPr>
              <w:jc w:val="both"/>
              <w:rPr>
                <w:bCs/>
                <w:sz w:val="20"/>
                <w:szCs w:val="20"/>
              </w:rPr>
            </w:pPr>
            <w:r w:rsidRPr="00154588">
              <w:rPr>
                <w:bCs/>
                <w:sz w:val="20"/>
                <w:szCs w:val="20"/>
              </w:rPr>
              <w:t>(b) în cazul în care sunt îndeplinite condițiile de declanșare a procedurii de rezoluție, să fundamenteze decizia privind măsura de rezoluție corespunzătoare care trebuie luată în legătură cu instituția sau cu entitatea menționată la articolul 1 alineatul (1) litera (b), (c) sau (d);</w:t>
            </w:r>
          </w:p>
          <w:p w14:paraId="19F7D5A1" w14:textId="77777777" w:rsidR="00B53006" w:rsidRPr="00154588" w:rsidRDefault="00B53006" w:rsidP="008C12B4">
            <w:pPr>
              <w:jc w:val="both"/>
              <w:rPr>
                <w:bCs/>
                <w:sz w:val="20"/>
                <w:szCs w:val="20"/>
              </w:rPr>
            </w:pPr>
          </w:p>
          <w:p w14:paraId="3A592440" w14:textId="0BFBB9A5" w:rsidR="00B53006" w:rsidRPr="00154588" w:rsidRDefault="00B53006" w:rsidP="008C12B4">
            <w:pPr>
              <w:jc w:val="both"/>
              <w:rPr>
                <w:bCs/>
                <w:sz w:val="20"/>
                <w:szCs w:val="20"/>
              </w:rPr>
            </w:pPr>
            <w:r w:rsidRPr="00154588">
              <w:rPr>
                <w:bCs/>
                <w:sz w:val="20"/>
                <w:szCs w:val="20"/>
              </w:rPr>
              <w:t>(c) în cazul în care este exercitată competența de reducere a valorii contabile sau de conversie a instrumentelor de capital și datorii eligibile în conformitate cu articolul 59 relevante, să fundamenteze decizia privind amploarea anulării sau diluării acțiunilor sau a altor instrumente de proprietate, precum și amploarea reducerii valorii contabile sau a conversiei instrumentelor de capital și datorii eligibile în conformitate cu articolul 59 relevante;</w:t>
            </w:r>
          </w:p>
          <w:p w14:paraId="08D07EE0" w14:textId="77777777" w:rsidR="00B53006" w:rsidRPr="00154588" w:rsidRDefault="00B53006" w:rsidP="008C12B4">
            <w:pPr>
              <w:jc w:val="both"/>
              <w:rPr>
                <w:bCs/>
                <w:sz w:val="20"/>
                <w:szCs w:val="20"/>
              </w:rPr>
            </w:pPr>
          </w:p>
          <w:p w14:paraId="3223B202" w14:textId="7FEB4731" w:rsidR="00B53006" w:rsidRPr="00154588" w:rsidRDefault="00B53006" w:rsidP="008C12B4">
            <w:pPr>
              <w:jc w:val="both"/>
              <w:rPr>
                <w:bCs/>
                <w:sz w:val="20"/>
                <w:szCs w:val="20"/>
              </w:rPr>
            </w:pPr>
            <w:r w:rsidRPr="00154588">
              <w:rPr>
                <w:bCs/>
                <w:sz w:val="20"/>
                <w:szCs w:val="20"/>
              </w:rPr>
              <w:t>(d) în cazul în care se aplică instrumentul de recapitalizare internă, să fundamenteze decizia privind amploarea reducerii valorii contabile sau a conversiei datorii care pot face obiectul recapitalizării interne;</w:t>
            </w:r>
          </w:p>
          <w:p w14:paraId="1E70CC39" w14:textId="77777777" w:rsidR="00B53006" w:rsidRPr="00154588" w:rsidRDefault="00B53006" w:rsidP="008C12B4">
            <w:pPr>
              <w:jc w:val="both"/>
              <w:rPr>
                <w:bCs/>
                <w:sz w:val="20"/>
                <w:szCs w:val="20"/>
              </w:rPr>
            </w:pPr>
          </w:p>
          <w:p w14:paraId="7B9E5E0F" w14:textId="26D482B5" w:rsidR="00B53006" w:rsidRPr="00154588" w:rsidRDefault="00B53006" w:rsidP="008C12B4">
            <w:pPr>
              <w:jc w:val="both"/>
              <w:rPr>
                <w:bCs/>
                <w:sz w:val="20"/>
                <w:szCs w:val="20"/>
              </w:rPr>
            </w:pPr>
            <w:r w:rsidRPr="00154588">
              <w:rPr>
                <w:bCs/>
                <w:sz w:val="20"/>
                <w:szCs w:val="20"/>
              </w:rPr>
              <w:t xml:space="preserve">(e) în cazul în care se aplică instrumentul instituției-punte sau instrumentul de separare a activelor, să </w:t>
            </w:r>
            <w:r w:rsidRPr="00154588">
              <w:rPr>
                <w:bCs/>
                <w:sz w:val="20"/>
                <w:szCs w:val="20"/>
              </w:rPr>
              <w:lastRenderedPageBreak/>
              <w:t>fundamenteze decizia privind activele, drepturile, pasivele sau acțiunile sau alte instrumente de proprietate care urmează să fie transferate și decizia privind valoarea eventualelor contraprestații ce trebuie plătite instituției aflate în rezoluție sau, după caz, deținătorilor acțiunilor sau ai altor instrumente de proprietate;</w:t>
            </w:r>
          </w:p>
          <w:p w14:paraId="058B6AAD" w14:textId="77777777" w:rsidR="00B53006" w:rsidRPr="00154588" w:rsidRDefault="00B53006" w:rsidP="008C12B4">
            <w:pPr>
              <w:jc w:val="both"/>
              <w:rPr>
                <w:bCs/>
                <w:sz w:val="20"/>
                <w:szCs w:val="20"/>
              </w:rPr>
            </w:pPr>
          </w:p>
          <w:p w14:paraId="11601E6A" w14:textId="0F3607C3" w:rsidR="00B53006" w:rsidRPr="00154588" w:rsidRDefault="00B53006" w:rsidP="008C12B4">
            <w:pPr>
              <w:jc w:val="both"/>
              <w:rPr>
                <w:bCs/>
                <w:sz w:val="20"/>
                <w:szCs w:val="20"/>
              </w:rPr>
            </w:pPr>
            <w:r w:rsidRPr="00154588">
              <w:rPr>
                <w:bCs/>
                <w:sz w:val="20"/>
                <w:szCs w:val="20"/>
              </w:rPr>
              <w:t>(f) în cazul în care se aplică instrumentul de vânzare a activității, să fundamenteze decizia privind activele, drepturile, pasivele sau acțiunile sau alte instrumente de proprietate care urmează să fie transferate și să fundamenteze interpretarea pe care autoritatea de rezoluție o dă condițiilor comerciale în sensul articolului 38;</w:t>
            </w:r>
          </w:p>
          <w:p w14:paraId="2F7B813B" w14:textId="77777777" w:rsidR="00B53006" w:rsidRPr="00154588" w:rsidRDefault="00B53006" w:rsidP="008C12B4">
            <w:pPr>
              <w:jc w:val="both"/>
              <w:rPr>
                <w:bCs/>
                <w:sz w:val="20"/>
                <w:szCs w:val="20"/>
              </w:rPr>
            </w:pPr>
          </w:p>
          <w:p w14:paraId="79C03E9A" w14:textId="1E5A748D" w:rsidR="00B53006" w:rsidRPr="00154588" w:rsidRDefault="00B53006" w:rsidP="008C12B4">
            <w:pPr>
              <w:jc w:val="both"/>
              <w:rPr>
                <w:bCs/>
                <w:sz w:val="20"/>
                <w:szCs w:val="20"/>
              </w:rPr>
            </w:pPr>
            <w:r w:rsidRPr="00154588">
              <w:rPr>
                <w:bCs/>
                <w:sz w:val="20"/>
                <w:szCs w:val="20"/>
              </w:rPr>
              <w:t>(g) în toate situațiile, să asigure că eventualele pierderi privind activele instituției sau entității menționate la articolul 1 alineatul (1) litera (b), (c) sau (d) sunt recunoscute în întregime în momentul aplicării instrumentelor de rezoluție sau al exercitării competenței de reducere a valorii contabile sau de conversie a instrumentelor de capital și datorii eligibile în conformitate cu articolul 59 relevante.</w:t>
            </w:r>
          </w:p>
        </w:tc>
        <w:tc>
          <w:tcPr>
            <w:tcW w:w="4819" w:type="dxa"/>
          </w:tcPr>
          <w:p w14:paraId="6F58CD7D" w14:textId="77777777" w:rsidR="00B53006" w:rsidRPr="00154588" w:rsidRDefault="00B53006" w:rsidP="008C12B4">
            <w:pPr>
              <w:jc w:val="both"/>
              <w:rPr>
                <w:bCs/>
                <w:sz w:val="20"/>
                <w:szCs w:val="20"/>
              </w:rPr>
            </w:pPr>
            <w:r w:rsidRPr="00154588">
              <w:rPr>
                <w:b/>
                <w:bCs/>
                <w:sz w:val="20"/>
                <w:szCs w:val="20"/>
              </w:rPr>
              <w:lastRenderedPageBreak/>
              <w:t>Articolul 75.</w:t>
            </w:r>
            <w:r w:rsidRPr="00154588">
              <w:rPr>
                <w:bCs/>
                <w:sz w:val="20"/>
                <w:szCs w:val="20"/>
              </w:rPr>
              <w:t xml:space="preserve"> – Scopurile evaluării sînt:</w:t>
            </w:r>
          </w:p>
          <w:p w14:paraId="3CD01B4A" w14:textId="530D95AE" w:rsidR="00B53006" w:rsidRPr="00154588" w:rsidRDefault="00B53006" w:rsidP="008C12B4">
            <w:pPr>
              <w:jc w:val="both"/>
              <w:rPr>
                <w:bCs/>
                <w:sz w:val="20"/>
                <w:szCs w:val="20"/>
              </w:rPr>
            </w:pPr>
            <w:r w:rsidRPr="00154588">
              <w:rPr>
                <w:bCs/>
                <w:sz w:val="20"/>
                <w:szCs w:val="20"/>
              </w:rPr>
              <w:t xml:space="preserve">a) să sprijine evaluarea modului în care sînt îndeplinite condiţiile de declanşare a procedurii de rezoluţie sau condiţiile de reducere a valorii sau de conversie a instrumentelor de capital şi a datoriilor eligibile </w:t>
            </w:r>
            <w:r w:rsidR="00FF1030" w:rsidRPr="00154588">
              <w:rPr>
                <w:bCs/>
                <w:sz w:val="20"/>
                <w:szCs w:val="20"/>
              </w:rPr>
              <w:t xml:space="preserve">relevante </w:t>
            </w:r>
            <w:r w:rsidRPr="00154588">
              <w:rPr>
                <w:bCs/>
                <w:sz w:val="20"/>
                <w:szCs w:val="20"/>
              </w:rPr>
              <w:t>în conformitate cu prevederile art.219-225;</w:t>
            </w:r>
          </w:p>
          <w:p w14:paraId="16B3A87F" w14:textId="4D00D088" w:rsidR="00B53006" w:rsidRPr="00154588" w:rsidRDefault="00B53006" w:rsidP="008C12B4">
            <w:pPr>
              <w:jc w:val="both"/>
              <w:rPr>
                <w:bCs/>
                <w:sz w:val="20"/>
                <w:szCs w:val="20"/>
              </w:rPr>
            </w:pPr>
            <w:r w:rsidRPr="00154588">
              <w:rPr>
                <w:bCs/>
                <w:sz w:val="20"/>
                <w:szCs w:val="20"/>
              </w:rPr>
              <w:t>b) în cazul în care sînt îndeplinite condiţiile de declanşare a procedurii de rezoluţie, să contribuie la fundamentarea deciziei privind acţiunea de rezoluţie adecvată de întreprins în legătură cu instituția de credit sau entitatea menționată la art.1 alin.(1) lit.b), c) sau d);</w:t>
            </w:r>
          </w:p>
          <w:p w14:paraId="0553D5F9" w14:textId="2684C07A" w:rsidR="00B53006" w:rsidRPr="00154588" w:rsidRDefault="00B53006" w:rsidP="008C12B4">
            <w:pPr>
              <w:jc w:val="both"/>
              <w:rPr>
                <w:bCs/>
                <w:sz w:val="20"/>
                <w:szCs w:val="20"/>
              </w:rPr>
            </w:pPr>
            <w:r w:rsidRPr="00154588">
              <w:rPr>
                <w:bCs/>
                <w:sz w:val="20"/>
                <w:szCs w:val="20"/>
              </w:rPr>
              <w:t xml:space="preserve">c) în cazul exercitării competenţei de reducere a valorii sau de conversie a instrumentelor de capital şi a datoriilor eligibile </w:t>
            </w:r>
            <w:r w:rsidR="00A37A45" w:rsidRPr="00154588">
              <w:rPr>
                <w:bCs/>
                <w:sz w:val="20"/>
                <w:szCs w:val="20"/>
              </w:rPr>
              <w:t xml:space="preserve">relevante </w:t>
            </w:r>
            <w:r w:rsidRPr="00154588">
              <w:rPr>
                <w:bCs/>
                <w:sz w:val="20"/>
                <w:szCs w:val="20"/>
              </w:rPr>
              <w:t xml:space="preserve">în conformitate cu prevederile art.219-225, să contribuie la fundamentarea deciziei privind măsura în care sînt anulate sau diluate acţiunile sau alte instrumente de proprietate, precum şi măsura în care are loc reducerea valorii sau a conversiei instrumentelor de capital şi a datoriilor eligibile </w:t>
            </w:r>
            <w:r w:rsidR="00A37A45" w:rsidRPr="00154588">
              <w:rPr>
                <w:bCs/>
                <w:sz w:val="20"/>
                <w:szCs w:val="20"/>
              </w:rPr>
              <w:t xml:space="preserve">relevante </w:t>
            </w:r>
            <w:r w:rsidRPr="00154588">
              <w:rPr>
                <w:bCs/>
                <w:sz w:val="20"/>
                <w:szCs w:val="20"/>
              </w:rPr>
              <w:t>în conformitate cu prevederile art.219-225;</w:t>
            </w:r>
          </w:p>
          <w:p w14:paraId="7C447005" w14:textId="77777777" w:rsidR="00B53006" w:rsidRPr="00154588" w:rsidRDefault="00B53006" w:rsidP="008C12B4">
            <w:pPr>
              <w:jc w:val="both"/>
              <w:rPr>
                <w:bCs/>
                <w:sz w:val="20"/>
                <w:szCs w:val="20"/>
              </w:rPr>
            </w:pPr>
            <w:r w:rsidRPr="00154588">
              <w:rPr>
                <w:bCs/>
                <w:sz w:val="20"/>
                <w:szCs w:val="20"/>
              </w:rPr>
              <w:t>d) în cazul aplicării instrumentului de recapitalizare internă, să contribuie la fundamentarea deciziei privind măsura în care are loc reducerea valorii sau a conversiei datoriilor care pot face obiectul recapitalizării interne;</w:t>
            </w:r>
          </w:p>
          <w:p w14:paraId="688A635B" w14:textId="77777777" w:rsidR="00B53006" w:rsidRPr="00154588" w:rsidRDefault="00B53006" w:rsidP="008C12B4">
            <w:pPr>
              <w:jc w:val="both"/>
              <w:rPr>
                <w:bCs/>
                <w:sz w:val="20"/>
                <w:szCs w:val="20"/>
              </w:rPr>
            </w:pPr>
            <w:r w:rsidRPr="00154588">
              <w:rPr>
                <w:bCs/>
                <w:sz w:val="20"/>
                <w:szCs w:val="20"/>
              </w:rPr>
              <w:t xml:space="preserve">e) în cazul aplicării instrumentului instituției-punte sau instrumentului de separare a activelor, să contribuie la fundamentarea deciziei privind activele, drepturile, obligaţiile, acţiunile sau alte instrumente de proprietate care urmează să fie transferate şi a deciziei privind valoarea oricăror contraprestaţii ce trebuie plătite instituției supuse rezoluţiei sau, după </w:t>
            </w:r>
            <w:r w:rsidRPr="00154588">
              <w:rPr>
                <w:bCs/>
                <w:sz w:val="20"/>
                <w:szCs w:val="20"/>
              </w:rPr>
              <w:lastRenderedPageBreak/>
              <w:t>caz, proprietarilor acţiunilor sau ai altor instrumente de proprietate;</w:t>
            </w:r>
          </w:p>
          <w:p w14:paraId="2012777F" w14:textId="77777777" w:rsidR="00B53006" w:rsidRPr="00154588" w:rsidRDefault="00B53006" w:rsidP="008C12B4">
            <w:pPr>
              <w:jc w:val="both"/>
              <w:rPr>
                <w:bCs/>
                <w:sz w:val="20"/>
                <w:szCs w:val="20"/>
              </w:rPr>
            </w:pPr>
            <w:r w:rsidRPr="00154588">
              <w:rPr>
                <w:bCs/>
                <w:sz w:val="20"/>
                <w:szCs w:val="20"/>
              </w:rPr>
              <w:t>f) în cazul în care se aplică instrumentul de vînzare a afacerii, să contribuie la fundamentarea deciziei privind activele, drepturile, obligaţiile, acţiunile sau alte instrumente de proprietate care urmează să fie transferate şi să furnizeze informaţii care să permită Băncii Naţionale a Moldovei, în calitate de autoritate de rezoluţie, să determine care sînt condiţiile comerciale în sensul art.94-106;</w:t>
            </w:r>
          </w:p>
          <w:p w14:paraId="1A41111A" w14:textId="4DD8BD38" w:rsidR="00B53006" w:rsidRPr="00154588" w:rsidRDefault="00B53006" w:rsidP="008C12B4">
            <w:pPr>
              <w:jc w:val="both"/>
              <w:rPr>
                <w:bCs/>
                <w:sz w:val="20"/>
                <w:szCs w:val="20"/>
              </w:rPr>
            </w:pPr>
            <w:r w:rsidRPr="00154588">
              <w:rPr>
                <w:bCs/>
                <w:sz w:val="20"/>
                <w:szCs w:val="20"/>
              </w:rPr>
              <w:t xml:space="preserve">g) în toate situaţiile, să asigure că orice pierderi privind activele instituției de credit sau entității menționată la art.1 alin.(1) lit.b), c) sau d) sînt recunoscute în întregime în momentul aplicării instrumentelor de rezoluţie sau al exercitării competenţei de reducere a valorii sau de conversie a instrumentelor de capital şi a datoriilor eligibile </w:t>
            </w:r>
            <w:r w:rsidR="00475683" w:rsidRPr="00154588">
              <w:rPr>
                <w:bCs/>
                <w:sz w:val="20"/>
                <w:szCs w:val="20"/>
              </w:rPr>
              <w:t xml:space="preserve">relevante </w:t>
            </w:r>
            <w:r w:rsidRPr="00154588">
              <w:rPr>
                <w:bCs/>
                <w:sz w:val="20"/>
                <w:szCs w:val="20"/>
              </w:rPr>
              <w:t>în conformitate cu prevederile art.219-225.</w:t>
            </w:r>
          </w:p>
        </w:tc>
        <w:tc>
          <w:tcPr>
            <w:tcW w:w="2552" w:type="dxa"/>
          </w:tcPr>
          <w:p w14:paraId="3FD1B939" w14:textId="12F37450"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6BBB840A" w14:textId="77777777" w:rsidR="00B53006" w:rsidRPr="00154588" w:rsidRDefault="00B53006" w:rsidP="008C12B4">
            <w:pPr>
              <w:jc w:val="both"/>
              <w:rPr>
                <w:bCs/>
                <w:sz w:val="20"/>
                <w:szCs w:val="20"/>
              </w:rPr>
            </w:pPr>
          </w:p>
        </w:tc>
      </w:tr>
      <w:tr w:rsidR="00B53006" w:rsidRPr="00154588" w14:paraId="3DC9F2A1" w14:textId="77777777" w:rsidTr="00D15C1B">
        <w:trPr>
          <w:jc w:val="center"/>
        </w:trPr>
        <w:tc>
          <w:tcPr>
            <w:tcW w:w="4957" w:type="dxa"/>
            <w:gridSpan w:val="2"/>
          </w:tcPr>
          <w:p w14:paraId="4DD198B1" w14:textId="15E23EFE" w:rsidR="00B53006" w:rsidRPr="00154588" w:rsidRDefault="00B53006" w:rsidP="008C12B4">
            <w:pPr>
              <w:jc w:val="both"/>
              <w:rPr>
                <w:bCs/>
                <w:sz w:val="20"/>
                <w:szCs w:val="20"/>
              </w:rPr>
            </w:pPr>
            <w:r w:rsidRPr="00154588">
              <w:rPr>
                <w:bCs/>
                <w:sz w:val="20"/>
                <w:szCs w:val="20"/>
              </w:rPr>
              <w:t>(5) Fără a aduce atingere, după caz, cadrului Uniunii privind ajutoarele de stat, evaluarea se bazează pe estimări prudente, inclusiv în ceea ce privește ratele de default și gravitatea pierderilor. Evaluarea nu se bazează pe nicio potențială furnizare viitoare de sprijin financiar public extraordinar sau de asistență privind lichiditatea în situații de urgență din partea băncii centrale sau orice asistență sub formă de lichidități din partea băncii centrale acordată cu garanții, dobânzi sau durate non-standard instituției sau entității menționate la articolul 1 alineatul (1) litera (b), (c) sau (d) din momentul în care se ia măsura de rezoluție sau în care se exercită competența de reducere a valorii contabile sau de conversie a instrumentelor de capital și datorii eligibile în conformitate cu articolul 59 relevante. În plus, evaluarea ține seama de faptul că, în cazul în care se aplică unul dintre instrumentele de rezoluție:</w:t>
            </w:r>
          </w:p>
          <w:p w14:paraId="49521431" w14:textId="77777777" w:rsidR="00B53006" w:rsidRPr="00154588" w:rsidRDefault="00B53006" w:rsidP="008C12B4">
            <w:pPr>
              <w:jc w:val="both"/>
              <w:rPr>
                <w:bCs/>
                <w:sz w:val="20"/>
                <w:szCs w:val="20"/>
              </w:rPr>
            </w:pPr>
          </w:p>
          <w:p w14:paraId="0FCFEA19" w14:textId="05C53BCD" w:rsidR="00B53006" w:rsidRPr="00154588" w:rsidRDefault="00B53006" w:rsidP="008C12B4">
            <w:pPr>
              <w:jc w:val="both"/>
              <w:rPr>
                <w:bCs/>
                <w:sz w:val="20"/>
                <w:szCs w:val="20"/>
              </w:rPr>
            </w:pPr>
            <w:r w:rsidRPr="00154588">
              <w:rPr>
                <w:bCs/>
                <w:sz w:val="20"/>
                <w:szCs w:val="20"/>
              </w:rPr>
              <w:t xml:space="preserve">(a) autoritatea de rezoluție și orice mecanisme de finanțare care acționează în temeiul articolului 101 </w:t>
            </w:r>
            <w:r w:rsidRPr="00154588">
              <w:rPr>
                <w:bCs/>
                <w:sz w:val="20"/>
                <w:szCs w:val="20"/>
              </w:rPr>
              <w:lastRenderedPageBreak/>
              <w:t>poate recupera eventualele cheltuieli rezonabile suportate în mod corespunzător de la instituția aflată în rezoluție, în conformitate cu articolul 37 alineatul (7);</w:t>
            </w:r>
          </w:p>
          <w:p w14:paraId="3654795B" w14:textId="77777777" w:rsidR="00B53006" w:rsidRPr="00154588" w:rsidRDefault="00B53006" w:rsidP="008C12B4">
            <w:pPr>
              <w:jc w:val="both"/>
              <w:rPr>
                <w:bCs/>
                <w:sz w:val="20"/>
                <w:szCs w:val="20"/>
              </w:rPr>
            </w:pPr>
          </w:p>
          <w:p w14:paraId="3AEDF33E" w14:textId="7A93CF2E" w:rsidR="00B53006" w:rsidRPr="00154588" w:rsidRDefault="00B53006" w:rsidP="008C12B4">
            <w:pPr>
              <w:jc w:val="both"/>
              <w:rPr>
                <w:bCs/>
                <w:sz w:val="20"/>
                <w:szCs w:val="20"/>
              </w:rPr>
            </w:pPr>
            <w:r w:rsidRPr="00154588">
              <w:rPr>
                <w:bCs/>
                <w:sz w:val="20"/>
                <w:szCs w:val="20"/>
              </w:rPr>
              <w:t>(b) mecanismul de finanțare a rezoluției poate percepe dobânzi sau taxe în legătură cu eventualele împrumuturi sau garanții furnizate instituției aflate în rezoluție, în conformitate cu articolul 101.</w:t>
            </w:r>
          </w:p>
        </w:tc>
        <w:tc>
          <w:tcPr>
            <w:tcW w:w="4819" w:type="dxa"/>
          </w:tcPr>
          <w:p w14:paraId="50D8385B" w14:textId="0EDFF054" w:rsidR="00B53006" w:rsidRPr="00154588" w:rsidRDefault="00B53006" w:rsidP="008C12B4">
            <w:pPr>
              <w:jc w:val="both"/>
              <w:rPr>
                <w:bCs/>
                <w:sz w:val="20"/>
                <w:szCs w:val="20"/>
              </w:rPr>
            </w:pPr>
            <w:r w:rsidRPr="00154588">
              <w:rPr>
                <w:b/>
                <w:bCs/>
                <w:sz w:val="20"/>
                <w:szCs w:val="20"/>
              </w:rPr>
              <w:lastRenderedPageBreak/>
              <w:t>Articolul 76.</w:t>
            </w:r>
            <w:r w:rsidRPr="00154588">
              <w:rPr>
                <w:bCs/>
                <w:sz w:val="20"/>
                <w:szCs w:val="20"/>
              </w:rPr>
              <w:t xml:space="preserve"> – Fără a aduce atingere, după caz, cadrului legal privind ajutorul de stat, evaluarea se bazează pe estimări prudente, inclusiv în ceea ce priveşte ratele de nerambursare şi mărimea pierderilor. Evaluarea nu se bazează pe nicio potenţială furnizare viitoare de sprijin financiar public extraordinar sau asistenţă de lichiditate în situaţii de urgenţă din partea băncii centrale sau orice formă de asistenţă de lichiditate din partea băncii centrale oferită cu garanţii, rate ale dobînzilor sau durate nonstandard instituției de credit sau entității menționată la art.1 alin.(1) lit.b), c) sau d) din momentul în care se întreprinde acţiunea de rezoluţie sau în care se exercită competenţa de reducere a valorii sau de conversie a instrumentelor de capital şi a datoriilor eligibile </w:t>
            </w:r>
            <w:r w:rsidR="00475683" w:rsidRPr="00154588">
              <w:rPr>
                <w:bCs/>
                <w:sz w:val="20"/>
                <w:szCs w:val="20"/>
              </w:rPr>
              <w:t xml:space="preserve">relevante  </w:t>
            </w:r>
            <w:r w:rsidRPr="00154588">
              <w:rPr>
                <w:bCs/>
                <w:sz w:val="20"/>
                <w:szCs w:val="20"/>
              </w:rPr>
              <w:t>în conformitate cu prevederile art.219-225. În plus, evaluarea ţine seama de faptul că, în cazul aplicării oricărui instrument de rezoluţie:</w:t>
            </w:r>
          </w:p>
          <w:p w14:paraId="11F6DA85" w14:textId="401377F8" w:rsidR="00B53006" w:rsidRPr="00154588" w:rsidRDefault="00B53006" w:rsidP="008C12B4">
            <w:pPr>
              <w:jc w:val="both"/>
              <w:rPr>
                <w:bCs/>
                <w:sz w:val="20"/>
                <w:szCs w:val="20"/>
              </w:rPr>
            </w:pPr>
            <w:r w:rsidRPr="00154588">
              <w:rPr>
                <w:bCs/>
                <w:sz w:val="20"/>
                <w:szCs w:val="20"/>
              </w:rPr>
              <w:t xml:space="preserve">a) Banca Naţională a Moldovei, în calitate de autoritate de rezoluţie, şi Fondul de garantare a </w:t>
            </w:r>
            <w:r w:rsidRPr="00154588">
              <w:rPr>
                <w:bCs/>
                <w:sz w:val="20"/>
                <w:szCs w:val="20"/>
              </w:rPr>
              <w:lastRenderedPageBreak/>
              <w:t>depozitelor în sistemul bancar, în calitate de administrator al fondului de rezoluţie bancară, actionând potrivit prevederilor art.301 și 302, pot recupera orice cheltuieli, inclusiv costurile de evaluare conform prezentului capitol şi art.263-265, suportate în mod justificat de la instituția supusă rezoluţiei, în conformitate cu prevederile art.91;</w:t>
            </w:r>
          </w:p>
          <w:p w14:paraId="4629E387" w14:textId="77777777" w:rsidR="00B53006" w:rsidRPr="00154588" w:rsidRDefault="00B53006" w:rsidP="008C12B4">
            <w:pPr>
              <w:jc w:val="both"/>
              <w:rPr>
                <w:bCs/>
                <w:sz w:val="20"/>
                <w:szCs w:val="20"/>
              </w:rPr>
            </w:pPr>
            <w:r w:rsidRPr="00154588">
              <w:rPr>
                <w:bCs/>
                <w:sz w:val="20"/>
                <w:szCs w:val="20"/>
              </w:rPr>
              <w:t>b) Fondul de garantare a depozitelor în sistemul bancar, în calitate de administrator al fondului de rezoluţie bancară, poate percepe dobînzi sau taxe în legătură cu orice împrumuturi sau garanţii furnizate instituției de credit supuse rezoluţiei.</w:t>
            </w:r>
          </w:p>
          <w:p w14:paraId="7748DC85" w14:textId="77777777" w:rsidR="00B53006" w:rsidRPr="00154588" w:rsidRDefault="00B53006" w:rsidP="008C12B4">
            <w:pPr>
              <w:jc w:val="both"/>
              <w:rPr>
                <w:bCs/>
                <w:sz w:val="20"/>
                <w:szCs w:val="20"/>
              </w:rPr>
            </w:pPr>
          </w:p>
        </w:tc>
        <w:tc>
          <w:tcPr>
            <w:tcW w:w="2552" w:type="dxa"/>
          </w:tcPr>
          <w:p w14:paraId="6C04006A" w14:textId="1D564DCD"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7090D18D" w14:textId="77777777" w:rsidR="00B53006" w:rsidRPr="00154588" w:rsidRDefault="00B53006" w:rsidP="008C12B4">
            <w:pPr>
              <w:jc w:val="both"/>
              <w:rPr>
                <w:bCs/>
                <w:sz w:val="20"/>
                <w:szCs w:val="20"/>
              </w:rPr>
            </w:pPr>
          </w:p>
        </w:tc>
      </w:tr>
      <w:tr w:rsidR="00B53006" w:rsidRPr="00154588" w14:paraId="302C3FF9" w14:textId="77777777" w:rsidTr="00D15C1B">
        <w:trPr>
          <w:jc w:val="center"/>
        </w:trPr>
        <w:tc>
          <w:tcPr>
            <w:tcW w:w="4957" w:type="dxa"/>
            <w:gridSpan w:val="2"/>
          </w:tcPr>
          <w:p w14:paraId="72D69404" w14:textId="45AC3B96" w:rsidR="00B53006" w:rsidRPr="00154588" w:rsidRDefault="00B53006" w:rsidP="008C12B4">
            <w:pPr>
              <w:rPr>
                <w:bCs/>
                <w:sz w:val="20"/>
                <w:szCs w:val="20"/>
              </w:rPr>
            </w:pPr>
            <w:r w:rsidRPr="00154588">
              <w:rPr>
                <w:bCs/>
                <w:sz w:val="20"/>
                <w:szCs w:val="20"/>
              </w:rPr>
              <w:t>(6)   Evaluarea trebuie să fie însoțită de următoarele informații, care trebuie să figureze în registrele și evidențele contabile ale instituției sau ale entității menționate la articolul 1 alineatul (1) litera (b), (c) sau (d):</w:t>
            </w:r>
          </w:p>
          <w:p w14:paraId="163BE509" w14:textId="77777777" w:rsidR="00B53006" w:rsidRPr="00154588" w:rsidRDefault="00B53006" w:rsidP="008C12B4">
            <w:pPr>
              <w:rPr>
                <w:bCs/>
                <w:sz w:val="20"/>
                <w:szCs w:val="20"/>
              </w:rPr>
            </w:pPr>
          </w:p>
          <w:p w14:paraId="2CF9581D" w14:textId="77777777" w:rsidR="00B53006" w:rsidRPr="00154588" w:rsidRDefault="00B53006" w:rsidP="008C12B4">
            <w:pPr>
              <w:rPr>
                <w:bCs/>
                <w:sz w:val="20"/>
                <w:szCs w:val="20"/>
              </w:rPr>
            </w:pPr>
            <w:r w:rsidRPr="00154588">
              <w:rPr>
                <w:bCs/>
                <w:sz w:val="20"/>
                <w:szCs w:val="20"/>
              </w:rPr>
              <w:t>(a) un bilanț actualizat și un raport privind poziția financiară a instituției sau a entității menționate la articolul 1 alineatul (1) litera (b), (c) sau (d);</w:t>
            </w:r>
          </w:p>
          <w:p w14:paraId="74B61158" w14:textId="77777777" w:rsidR="00B53006" w:rsidRPr="00154588" w:rsidRDefault="00B53006" w:rsidP="008C12B4">
            <w:pPr>
              <w:rPr>
                <w:bCs/>
                <w:sz w:val="20"/>
                <w:szCs w:val="20"/>
              </w:rPr>
            </w:pPr>
          </w:p>
          <w:p w14:paraId="07C461BF" w14:textId="77777777" w:rsidR="00B53006" w:rsidRPr="00154588" w:rsidRDefault="00B53006" w:rsidP="008C12B4">
            <w:pPr>
              <w:rPr>
                <w:bCs/>
                <w:sz w:val="20"/>
                <w:szCs w:val="20"/>
              </w:rPr>
            </w:pPr>
            <w:r w:rsidRPr="00154588">
              <w:rPr>
                <w:bCs/>
                <w:sz w:val="20"/>
                <w:szCs w:val="20"/>
              </w:rPr>
              <w:t>(b) o analiză și o estimare a valorii contabile a activelor;</w:t>
            </w:r>
          </w:p>
          <w:p w14:paraId="13E68AC5" w14:textId="77777777" w:rsidR="00B53006" w:rsidRPr="00154588" w:rsidRDefault="00B53006" w:rsidP="008C12B4">
            <w:pPr>
              <w:rPr>
                <w:bCs/>
                <w:sz w:val="20"/>
                <w:szCs w:val="20"/>
              </w:rPr>
            </w:pPr>
          </w:p>
          <w:p w14:paraId="720BB8ED" w14:textId="77777777" w:rsidR="00B53006" w:rsidRPr="00154588" w:rsidRDefault="00B53006" w:rsidP="008C12B4">
            <w:pPr>
              <w:rPr>
                <w:bCs/>
                <w:sz w:val="20"/>
                <w:szCs w:val="20"/>
              </w:rPr>
            </w:pPr>
          </w:p>
          <w:p w14:paraId="1DFC730F" w14:textId="0E666BC1" w:rsidR="00B53006" w:rsidRPr="00154588" w:rsidRDefault="00B53006" w:rsidP="008C12B4">
            <w:pPr>
              <w:rPr>
                <w:bCs/>
                <w:sz w:val="20"/>
                <w:szCs w:val="20"/>
              </w:rPr>
            </w:pPr>
            <w:r w:rsidRPr="00154588">
              <w:rPr>
                <w:bCs/>
                <w:sz w:val="20"/>
                <w:szCs w:val="20"/>
              </w:rPr>
              <w:t>(c) o listă a soldului din bilanț și din afara bilanțului a datoriilor care figurează în registrele și evidențele contabile ale instituției sau ale entității menționate la articolul 1 alineatul (1) litera (b), (c) sau (d), cu indicarea creditelor relevante și a rangurilor de prioritate ale acestora, conform legislației aplicabile privind insolvența;</w:t>
            </w:r>
          </w:p>
        </w:tc>
        <w:tc>
          <w:tcPr>
            <w:tcW w:w="4819" w:type="dxa"/>
          </w:tcPr>
          <w:p w14:paraId="5AABDB55" w14:textId="276CBD68" w:rsidR="00B53006" w:rsidRPr="00154588" w:rsidRDefault="00B53006" w:rsidP="008C12B4">
            <w:pPr>
              <w:jc w:val="both"/>
              <w:rPr>
                <w:bCs/>
                <w:sz w:val="20"/>
                <w:szCs w:val="20"/>
              </w:rPr>
            </w:pPr>
            <w:r w:rsidRPr="00154588">
              <w:rPr>
                <w:b/>
                <w:bCs/>
                <w:sz w:val="20"/>
                <w:szCs w:val="20"/>
              </w:rPr>
              <w:t>Articolul 77.</w:t>
            </w:r>
            <w:r w:rsidRPr="00154588">
              <w:rPr>
                <w:bCs/>
                <w:sz w:val="20"/>
                <w:szCs w:val="20"/>
              </w:rPr>
              <w:t xml:space="preserve"> – Evaluarea trebuie să fie însoţită de următoarele informaţii, care trebuie să figureze în registrele şi evidenţele contabile ale instituției de credit sau entității menționată la art.1 alin. (1) lit.b), c) sau d):</w:t>
            </w:r>
          </w:p>
          <w:p w14:paraId="0E0A269F" w14:textId="6B6CFC70" w:rsidR="00B53006" w:rsidRPr="00154588" w:rsidRDefault="00B53006" w:rsidP="008C12B4">
            <w:pPr>
              <w:jc w:val="both"/>
              <w:rPr>
                <w:bCs/>
                <w:sz w:val="20"/>
                <w:szCs w:val="20"/>
              </w:rPr>
            </w:pPr>
            <w:r w:rsidRPr="00154588">
              <w:rPr>
                <w:bCs/>
                <w:sz w:val="20"/>
                <w:szCs w:val="20"/>
              </w:rPr>
              <w:t>a) bilanţul actualizat şi raportul privind poziţia financiară a instituției de credit sau entității menționată la art.1 alin. (1) lit.b), c) sau d);</w:t>
            </w:r>
          </w:p>
          <w:p w14:paraId="367853F7" w14:textId="77777777" w:rsidR="00B53006" w:rsidRPr="00154588" w:rsidRDefault="00B53006" w:rsidP="008C12B4">
            <w:pPr>
              <w:jc w:val="both"/>
              <w:rPr>
                <w:bCs/>
                <w:sz w:val="20"/>
                <w:szCs w:val="20"/>
              </w:rPr>
            </w:pPr>
            <w:r w:rsidRPr="00154588">
              <w:rPr>
                <w:bCs/>
                <w:sz w:val="20"/>
                <w:szCs w:val="20"/>
              </w:rPr>
              <w:t>b) analiza şi estimarea valorii contabile a activelor;</w:t>
            </w:r>
          </w:p>
          <w:p w14:paraId="4139F908" w14:textId="77777777" w:rsidR="00B53006" w:rsidRPr="00154588" w:rsidRDefault="00B53006" w:rsidP="008C12B4">
            <w:pPr>
              <w:jc w:val="both"/>
              <w:rPr>
                <w:bCs/>
                <w:sz w:val="20"/>
                <w:szCs w:val="20"/>
              </w:rPr>
            </w:pPr>
            <w:r w:rsidRPr="00154588">
              <w:rPr>
                <w:bCs/>
                <w:sz w:val="20"/>
                <w:szCs w:val="20"/>
              </w:rPr>
              <w:t>c) lista soldurilor datoriilor din bilanţ şi ale obligaţiilor din afara bilanţului care figurează în registrele şi evidenţele contabile ale instituției sau a entității, cu indicarea respectivelor creanţe şi ranguri de prioritate, conform legislaţiei aplicabile privind procedura obișnuită de insolvabilitate.</w:t>
            </w:r>
          </w:p>
          <w:p w14:paraId="606E0D5B" w14:textId="77777777" w:rsidR="00B53006" w:rsidRPr="00154588" w:rsidRDefault="00B53006" w:rsidP="008C12B4">
            <w:pPr>
              <w:jc w:val="both"/>
              <w:rPr>
                <w:bCs/>
                <w:sz w:val="20"/>
                <w:szCs w:val="20"/>
              </w:rPr>
            </w:pPr>
          </w:p>
        </w:tc>
        <w:tc>
          <w:tcPr>
            <w:tcW w:w="2552" w:type="dxa"/>
          </w:tcPr>
          <w:p w14:paraId="0C0680EB" w14:textId="68E11101" w:rsidR="00B53006" w:rsidRPr="00154588" w:rsidRDefault="00B53006" w:rsidP="008C12B4">
            <w:pPr>
              <w:jc w:val="both"/>
              <w:rPr>
                <w:bCs/>
                <w:sz w:val="20"/>
                <w:szCs w:val="20"/>
              </w:rPr>
            </w:pPr>
            <w:r w:rsidRPr="00154588">
              <w:rPr>
                <w:bCs/>
                <w:sz w:val="20"/>
                <w:szCs w:val="20"/>
              </w:rPr>
              <w:t>Compatibil</w:t>
            </w:r>
          </w:p>
        </w:tc>
        <w:tc>
          <w:tcPr>
            <w:tcW w:w="3118" w:type="dxa"/>
          </w:tcPr>
          <w:p w14:paraId="708C74BC" w14:textId="77777777" w:rsidR="00B53006" w:rsidRPr="00154588" w:rsidRDefault="00B53006" w:rsidP="008C12B4">
            <w:pPr>
              <w:jc w:val="both"/>
              <w:rPr>
                <w:bCs/>
                <w:sz w:val="20"/>
                <w:szCs w:val="20"/>
              </w:rPr>
            </w:pPr>
          </w:p>
        </w:tc>
      </w:tr>
      <w:tr w:rsidR="00B53006" w:rsidRPr="00154588" w14:paraId="316B3F77" w14:textId="77777777" w:rsidTr="00D15C1B">
        <w:trPr>
          <w:jc w:val="center"/>
        </w:trPr>
        <w:tc>
          <w:tcPr>
            <w:tcW w:w="4957" w:type="dxa"/>
            <w:gridSpan w:val="2"/>
          </w:tcPr>
          <w:p w14:paraId="46B2C93F" w14:textId="51315B9C" w:rsidR="00B53006" w:rsidRPr="00154588" w:rsidRDefault="00B53006" w:rsidP="008C12B4">
            <w:pPr>
              <w:jc w:val="both"/>
              <w:rPr>
                <w:bCs/>
                <w:sz w:val="20"/>
                <w:szCs w:val="20"/>
              </w:rPr>
            </w:pPr>
            <w:r w:rsidRPr="00154588">
              <w:rPr>
                <w:bCs/>
                <w:sz w:val="20"/>
                <w:szCs w:val="20"/>
              </w:rPr>
              <w:t>(7) După caz, în vederea fundamentării deciziilor menționate la alineatul (4) literele (e) și (f), informațiile de la alineatul (6) litera (b) pot fi însoțite de o analiză și de o estimare a valorii activelor și pasivelor instituției sau ale entității menționate la articolul 1 alineatul (1) litera (b), (c) sau (d) pe baza valorii de piață.</w:t>
            </w:r>
          </w:p>
        </w:tc>
        <w:tc>
          <w:tcPr>
            <w:tcW w:w="4819" w:type="dxa"/>
          </w:tcPr>
          <w:p w14:paraId="168669AF" w14:textId="6BA42C36" w:rsidR="00B53006" w:rsidRPr="00154588" w:rsidRDefault="00B53006" w:rsidP="008C12B4">
            <w:pPr>
              <w:jc w:val="both"/>
              <w:rPr>
                <w:bCs/>
                <w:sz w:val="20"/>
                <w:szCs w:val="20"/>
              </w:rPr>
            </w:pPr>
            <w:r w:rsidRPr="00154588">
              <w:rPr>
                <w:b/>
                <w:bCs/>
                <w:sz w:val="20"/>
                <w:szCs w:val="20"/>
              </w:rPr>
              <w:t>Articolul 78.</w:t>
            </w:r>
            <w:r w:rsidRPr="00154588">
              <w:rPr>
                <w:bCs/>
                <w:sz w:val="20"/>
                <w:szCs w:val="20"/>
              </w:rPr>
              <w:t xml:space="preserve"> –</w:t>
            </w:r>
            <w:r w:rsidR="006518FA" w:rsidRPr="00154588">
              <w:rPr>
                <w:bCs/>
                <w:sz w:val="20"/>
                <w:szCs w:val="20"/>
              </w:rPr>
              <w:t>(1)</w:t>
            </w:r>
            <w:r w:rsidRPr="00154588">
              <w:rPr>
                <w:bCs/>
                <w:sz w:val="20"/>
                <w:szCs w:val="20"/>
              </w:rPr>
              <w:t>După caz, în vederea sprijinirii fundamentării deciziilor prevăzute la art.75 lit.e) şi f), informaţiile de la art.77 lit.b) pot fi însoţite de o analiză şi de o estimare a valorii activelor, datoriilor şi capitalurilor proprii ale instituției de credit sau entității menționate la art.1 alin.(1) lit.b), c) sau d) pe baza valorii de piaţă.</w:t>
            </w:r>
          </w:p>
          <w:p w14:paraId="3A07F879" w14:textId="77777777" w:rsidR="00B53006" w:rsidRPr="00154588" w:rsidRDefault="00B53006" w:rsidP="008C12B4">
            <w:pPr>
              <w:jc w:val="both"/>
              <w:rPr>
                <w:bCs/>
                <w:sz w:val="20"/>
                <w:szCs w:val="20"/>
              </w:rPr>
            </w:pPr>
          </w:p>
        </w:tc>
        <w:tc>
          <w:tcPr>
            <w:tcW w:w="2552" w:type="dxa"/>
          </w:tcPr>
          <w:p w14:paraId="0A419CB0" w14:textId="02C20907" w:rsidR="00B53006" w:rsidRPr="00154588" w:rsidRDefault="00B53006" w:rsidP="008C12B4">
            <w:pPr>
              <w:jc w:val="both"/>
              <w:rPr>
                <w:bCs/>
                <w:sz w:val="20"/>
                <w:szCs w:val="20"/>
              </w:rPr>
            </w:pPr>
            <w:r w:rsidRPr="00154588">
              <w:rPr>
                <w:bCs/>
                <w:sz w:val="20"/>
                <w:szCs w:val="20"/>
              </w:rPr>
              <w:t>Compatibil</w:t>
            </w:r>
          </w:p>
        </w:tc>
        <w:tc>
          <w:tcPr>
            <w:tcW w:w="3118" w:type="dxa"/>
          </w:tcPr>
          <w:p w14:paraId="1224CA22" w14:textId="77777777" w:rsidR="00B53006" w:rsidRPr="00154588" w:rsidRDefault="00B53006" w:rsidP="008C12B4">
            <w:pPr>
              <w:jc w:val="both"/>
              <w:rPr>
                <w:bCs/>
                <w:sz w:val="20"/>
                <w:szCs w:val="20"/>
              </w:rPr>
            </w:pPr>
          </w:p>
        </w:tc>
      </w:tr>
      <w:tr w:rsidR="00B53006" w:rsidRPr="00154588" w14:paraId="2512DD1C" w14:textId="77777777" w:rsidTr="00D15C1B">
        <w:trPr>
          <w:jc w:val="center"/>
        </w:trPr>
        <w:tc>
          <w:tcPr>
            <w:tcW w:w="4957" w:type="dxa"/>
            <w:gridSpan w:val="2"/>
          </w:tcPr>
          <w:p w14:paraId="1CD38C8E" w14:textId="05CB802C" w:rsidR="00B53006" w:rsidRPr="00154588" w:rsidRDefault="00B53006" w:rsidP="008C12B4">
            <w:pPr>
              <w:jc w:val="both"/>
              <w:rPr>
                <w:bCs/>
                <w:sz w:val="20"/>
                <w:szCs w:val="20"/>
              </w:rPr>
            </w:pPr>
            <w:r w:rsidRPr="00154588">
              <w:rPr>
                <w:bCs/>
                <w:sz w:val="20"/>
                <w:szCs w:val="20"/>
              </w:rPr>
              <w:t xml:space="preserve">(7a) În cazul în care este necesar pentru fundamentarea deciziilor menționate la alineatul (4) literele (c) și (d), evaluatorul completează informațiile </w:t>
            </w:r>
            <w:r w:rsidRPr="00154588">
              <w:rPr>
                <w:bCs/>
                <w:sz w:val="20"/>
                <w:szCs w:val="20"/>
              </w:rPr>
              <w:lastRenderedPageBreak/>
              <w:t>de la alineatul (6) litera (c) cu o estimare a valorii activelor extrabilanțiere și a valorii datoriilor care ar putea rezulta în viitor din evenimente incerte și a datoriilor cu exigibilitate sau valoare incertă.</w:t>
            </w:r>
          </w:p>
        </w:tc>
        <w:tc>
          <w:tcPr>
            <w:tcW w:w="4819" w:type="dxa"/>
          </w:tcPr>
          <w:p w14:paraId="7AC3DC4E" w14:textId="2219621B" w:rsidR="00B53006" w:rsidRPr="00154588" w:rsidRDefault="00AD4F56" w:rsidP="008C12B4">
            <w:pPr>
              <w:jc w:val="both"/>
              <w:rPr>
                <w:sz w:val="20"/>
                <w:szCs w:val="20"/>
              </w:rPr>
            </w:pPr>
            <w:r w:rsidRPr="00154588">
              <w:rPr>
                <w:sz w:val="20"/>
                <w:szCs w:val="20"/>
              </w:rPr>
              <w:lastRenderedPageBreak/>
              <w:t>(2) În cazul în care pentru fundame</w:t>
            </w:r>
            <w:r w:rsidR="004642F7" w:rsidRPr="00154588">
              <w:rPr>
                <w:sz w:val="20"/>
                <w:szCs w:val="20"/>
              </w:rPr>
              <w:t>n</w:t>
            </w:r>
            <w:r w:rsidRPr="00154588">
              <w:rPr>
                <w:sz w:val="20"/>
                <w:szCs w:val="20"/>
              </w:rPr>
              <w:t xml:space="preserve">tarea deciziilor </w:t>
            </w:r>
            <w:r w:rsidR="008C7075" w:rsidRPr="00154588">
              <w:rPr>
                <w:sz w:val="20"/>
                <w:szCs w:val="20"/>
              </w:rPr>
              <w:t>menționate</w:t>
            </w:r>
            <w:r w:rsidRPr="00154588">
              <w:rPr>
                <w:sz w:val="20"/>
                <w:szCs w:val="20"/>
              </w:rPr>
              <w:t xml:space="preserve"> la art.75 lit.</w:t>
            </w:r>
            <w:r w:rsidRPr="00154588">
              <w:rPr>
                <w:bCs/>
                <w:sz w:val="20"/>
                <w:szCs w:val="20"/>
              </w:rPr>
              <w:t>c) și d), evaluatorul completează informațiile de la art.77 lit</w:t>
            </w:r>
            <w:r w:rsidR="004642F7" w:rsidRPr="00154588">
              <w:rPr>
                <w:bCs/>
                <w:sz w:val="20"/>
                <w:szCs w:val="20"/>
              </w:rPr>
              <w:t>.</w:t>
            </w:r>
            <w:r w:rsidRPr="00154588">
              <w:rPr>
                <w:bCs/>
                <w:sz w:val="20"/>
                <w:szCs w:val="20"/>
              </w:rPr>
              <w:t xml:space="preserve">c) cu o </w:t>
            </w:r>
            <w:r w:rsidRPr="00154588">
              <w:rPr>
                <w:bCs/>
                <w:sz w:val="20"/>
                <w:szCs w:val="20"/>
              </w:rPr>
              <w:lastRenderedPageBreak/>
              <w:t>estimare a valorii activelor extrabilanțiere și a valorii datoriilor care ar putea rezulta în viitor din evenimente incerte și a datoriilor cu exigibilitate sau valoare incertă.</w:t>
            </w:r>
          </w:p>
        </w:tc>
        <w:tc>
          <w:tcPr>
            <w:tcW w:w="2552" w:type="dxa"/>
          </w:tcPr>
          <w:p w14:paraId="46E7896E" w14:textId="3BD8B03E" w:rsidR="00B53006" w:rsidRPr="00154588" w:rsidRDefault="008C7075" w:rsidP="008C12B4">
            <w:pPr>
              <w:jc w:val="both"/>
              <w:rPr>
                <w:bCs/>
                <w:sz w:val="20"/>
                <w:szCs w:val="20"/>
              </w:rPr>
            </w:pPr>
            <w:r w:rsidRPr="00154588">
              <w:rPr>
                <w:bCs/>
                <w:sz w:val="20"/>
                <w:szCs w:val="20"/>
              </w:rPr>
              <w:lastRenderedPageBreak/>
              <w:t>Compatibil</w:t>
            </w:r>
          </w:p>
        </w:tc>
        <w:tc>
          <w:tcPr>
            <w:tcW w:w="3118" w:type="dxa"/>
          </w:tcPr>
          <w:p w14:paraId="3B902CC9" w14:textId="77777777" w:rsidR="00B53006" w:rsidRPr="00154588" w:rsidRDefault="00B53006" w:rsidP="008C12B4">
            <w:pPr>
              <w:jc w:val="both"/>
              <w:rPr>
                <w:bCs/>
                <w:sz w:val="20"/>
                <w:szCs w:val="20"/>
              </w:rPr>
            </w:pPr>
          </w:p>
        </w:tc>
      </w:tr>
      <w:tr w:rsidR="00B53006" w:rsidRPr="00154588" w14:paraId="4EB1DB14" w14:textId="77777777" w:rsidTr="00D15C1B">
        <w:trPr>
          <w:jc w:val="center"/>
        </w:trPr>
        <w:tc>
          <w:tcPr>
            <w:tcW w:w="4957" w:type="dxa"/>
            <w:gridSpan w:val="2"/>
          </w:tcPr>
          <w:p w14:paraId="27A5A757" w14:textId="24CFC4EC" w:rsidR="00B53006" w:rsidRPr="00154588" w:rsidRDefault="00B53006" w:rsidP="008C12B4">
            <w:pPr>
              <w:tabs>
                <w:tab w:val="left" w:pos="902"/>
              </w:tabs>
              <w:jc w:val="both"/>
              <w:rPr>
                <w:bCs/>
                <w:sz w:val="20"/>
                <w:szCs w:val="20"/>
              </w:rPr>
            </w:pPr>
            <w:r w:rsidRPr="00154588">
              <w:rPr>
                <w:bCs/>
                <w:sz w:val="20"/>
                <w:szCs w:val="20"/>
              </w:rPr>
              <w:t>(8) Evaluarea indică repartizarea creditorilor pe categorii în funcție de rangurile de prioritate conform legislației aplicabile privind insolvența și furnizează o estimare a tratamentului de care ar fi putut beneficia fiecare dintre categoriile de acționari și de creditori dacă instituția sau entitatea menționată la articolul 1 alineatul (1) litera (b), (c) sau (d) ar fi fost lichidată conform procedurilor obișnuite de insolvență.</w:t>
            </w:r>
          </w:p>
          <w:p w14:paraId="25EE6E65" w14:textId="77777777" w:rsidR="00B53006" w:rsidRPr="00154588" w:rsidRDefault="00B53006" w:rsidP="008C12B4">
            <w:pPr>
              <w:tabs>
                <w:tab w:val="left" w:pos="902"/>
              </w:tabs>
              <w:jc w:val="both"/>
              <w:rPr>
                <w:bCs/>
                <w:sz w:val="20"/>
                <w:szCs w:val="20"/>
              </w:rPr>
            </w:pPr>
          </w:p>
          <w:p w14:paraId="77F9984E" w14:textId="77777777" w:rsidR="00B53006" w:rsidRPr="00154588" w:rsidRDefault="00B53006" w:rsidP="008C12B4">
            <w:pPr>
              <w:tabs>
                <w:tab w:val="left" w:pos="902"/>
              </w:tabs>
              <w:jc w:val="both"/>
              <w:rPr>
                <w:bCs/>
                <w:sz w:val="20"/>
                <w:szCs w:val="20"/>
              </w:rPr>
            </w:pPr>
          </w:p>
          <w:p w14:paraId="76005427" w14:textId="026E6351" w:rsidR="00B53006" w:rsidRPr="00154588" w:rsidRDefault="00B53006" w:rsidP="008C12B4">
            <w:pPr>
              <w:tabs>
                <w:tab w:val="left" w:pos="902"/>
              </w:tabs>
              <w:jc w:val="both"/>
              <w:rPr>
                <w:bCs/>
                <w:sz w:val="20"/>
                <w:szCs w:val="20"/>
              </w:rPr>
            </w:pPr>
            <w:r w:rsidRPr="00154588">
              <w:rPr>
                <w:bCs/>
                <w:sz w:val="20"/>
                <w:szCs w:val="20"/>
              </w:rPr>
              <w:t>Această estimare nu afectează aplicarea principiului „nici un creditor nu trebuie să fie dezavantajat” în conformitate cu articolul 74.</w:t>
            </w:r>
          </w:p>
        </w:tc>
        <w:tc>
          <w:tcPr>
            <w:tcW w:w="4819" w:type="dxa"/>
          </w:tcPr>
          <w:p w14:paraId="57BA9F03" w14:textId="77777777" w:rsidR="00B53006" w:rsidRPr="00154588" w:rsidRDefault="00B53006" w:rsidP="008C12B4">
            <w:pPr>
              <w:jc w:val="both"/>
              <w:rPr>
                <w:bCs/>
                <w:sz w:val="20"/>
                <w:szCs w:val="20"/>
              </w:rPr>
            </w:pPr>
            <w:r w:rsidRPr="00154588">
              <w:rPr>
                <w:b/>
                <w:bCs/>
                <w:sz w:val="20"/>
                <w:szCs w:val="20"/>
              </w:rPr>
              <w:t>Articolul 79. –</w:t>
            </w:r>
            <w:r w:rsidRPr="00154588">
              <w:rPr>
                <w:bCs/>
                <w:sz w:val="20"/>
                <w:szCs w:val="20"/>
              </w:rPr>
              <w:t xml:space="preserve"> (1) Evaluarea indică repartizarea creditorilor pe categorii în funcţie de rangurile de prioritate conform legislaţiei aplicabile privind procedura obișnuită de insolvabilitate şi furnizează o estimare a tratamentului de care ar fi putut beneficia fiecare dintre categoriile de acţionari şi de creditori dacă instituția de credit sau entitatea menționată la art.1 alin.(1) lit.b), c) sau d)  ar fi fost lichidată conform procedurii obișnuite de insolvabilitate.</w:t>
            </w:r>
          </w:p>
          <w:p w14:paraId="2D732908" w14:textId="77777777" w:rsidR="00B53006" w:rsidRPr="00154588" w:rsidRDefault="00B53006" w:rsidP="008C12B4">
            <w:pPr>
              <w:jc w:val="both"/>
              <w:rPr>
                <w:bCs/>
                <w:sz w:val="20"/>
                <w:szCs w:val="20"/>
              </w:rPr>
            </w:pPr>
            <w:r w:rsidRPr="00154588">
              <w:rPr>
                <w:bCs/>
                <w:sz w:val="20"/>
                <w:szCs w:val="20"/>
              </w:rPr>
              <w:t>(2) Această estimare nu afectează aplicarea principiului potrivit căruia "niciun creditor nu trebuie să fie dezavantajat", în conformitate cu prevederile art.263-265.</w:t>
            </w:r>
          </w:p>
          <w:p w14:paraId="4AC87706" w14:textId="77777777" w:rsidR="00B53006" w:rsidRPr="00154588" w:rsidRDefault="00B53006" w:rsidP="008C12B4">
            <w:pPr>
              <w:jc w:val="both"/>
              <w:rPr>
                <w:bCs/>
                <w:sz w:val="20"/>
                <w:szCs w:val="20"/>
              </w:rPr>
            </w:pPr>
          </w:p>
        </w:tc>
        <w:tc>
          <w:tcPr>
            <w:tcW w:w="2552" w:type="dxa"/>
          </w:tcPr>
          <w:p w14:paraId="7979643C" w14:textId="5282E618" w:rsidR="00B53006" w:rsidRPr="00154588" w:rsidRDefault="00B53006" w:rsidP="008C12B4">
            <w:pPr>
              <w:jc w:val="both"/>
              <w:rPr>
                <w:bCs/>
                <w:sz w:val="20"/>
                <w:szCs w:val="20"/>
              </w:rPr>
            </w:pPr>
            <w:r w:rsidRPr="00154588">
              <w:rPr>
                <w:bCs/>
                <w:sz w:val="20"/>
                <w:szCs w:val="20"/>
              </w:rPr>
              <w:t>Compatibil</w:t>
            </w:r>
          </w:p>
        </w:tc>
        <w:tc>
          <w:tcPr>
            <w:tcW w:w="3118" w:type="dxa"/>
          </w:tcPr>
          <w:p w14:paraId="410755F8" w14:textId="77777777" w:rsidR="00B53006" w:rsidRPr="00154588" w:rsidRDefault="00B53006" w:rsidP="008C12B4">
            <w:pPr>
              <w:jc w:val="both"/>
              <w:rPr>
                <w:bCs/>
                <w:sz w:val="20"/>
                <w:szCs w:val="20"/>
              </w:rPr>
            </w:pPr>
          </w:p>
        </w:tc>
      </w:tr>
      <w:tr w:rsidR="00B53006" w:rsidRPr="00154588" w14:paraId="1D47B09B" w14:textId="77777777" w:rsidTr="00D15C1B">
        <w:trPr>
          <w:jc w:val="center"/>
        </w:trPr>
        <w:tc>
          <w:tcPr>
            <w:tcW w:w="4957" w:type="dxa"/>
            <w:gridSpan w:val="2"/>
          </w:tcPr>
          <w:p w14:paraId="069DF39B" w14:textId="77777777" w:rsidR="00B53006" w:rsidRPr="00154588" w:rsidRDefault="00B53006" w:rsidP="008C12B4">
            <w:pPr>
              <w:jc w:val="both"/>
              <w:rPr>
                <w:bCs/>
                <w:sz w:val="20"/>
                <w:szCs w:val="20"/>
              </w:rPr>
            </w:pPr>
            <w:r w:rsidRPr="00154588">
              <w:rPr>
                <w:bCs/>
                <w:sz w:val="20"/>
                <w:szCs w:val="20"/>
              </w:rPr>
              <w:t>(9)   În cazul în care, din cauza caracterului urgent al situației, nu este posibilă respectarea cerințelor prevăzute la alineatele (6) și (8) sau se aplică alineatul (2), trebuie efectuată o evaluare provizorie. Evaluarea provizorie respectă efectuată cerințele prevăzute la alineatul (3) și, pe cât este posibil în mod rezonabil având în vedere situația dată, cu cerințele de la alineatele (1), (6) și (8).</w:t>
            </w:r>
          </w:p>
          <w:p w14:paraId="57128331" w14:textId="77777777" w:rsidR="00B53006" w:rsidRPr="00154588" w:rsidRDefault="00B53006" w:rsidP="008C12B4">
            <w:pPr>
              <w:jc w:val="both"/>
              <w:rPr>
                <w:bCs/>
                <w:sz w:val="20"/>
                <w:szCs w:val="20"/>
              </w:rPr>
            </w:pPr>
          </w:p>
          <w:p w14:paraId="374E7E40" w14:textId="77777777" w:rsidR="00B53006" w:rsidRPr="00154588" w:rsidRDefault="00B53006" w:rsidP="008C12B4">
            <w:pPr>
              <w:jc w:val="both"/>
              <w:rPr>
                <w:bCs/>
                <w:sz w:val="20"/>
                <w:szCs w:val="20"/>
              </w:rPr>
            </w:pPr>
          </w:p>
          <w:p w14:paraId="25F25E11" w14:textId="77777777" w:rsidR="00B53006" w:rsidRPr="00154588" w:rsidRDefault="00B53006" w:rsidP="008C12B4">
            <w:pPr>
              <w:jc w:val="both"/>
              <w:rPr>
                <w:bCs/>
                <w:sz w:val="20"/>
                <w:szCs w:val="20"/>
              </w:rPr>
            </w:pPr>
          </w:p>
          <w:p w14:paraId="491B5A29" w14:textId="74973874" w:rsidR="00B53006" w:rsidRPr="00154588" w:rsidRDefault="00B53006" w:rsidP="008C12B4">
            <w:pPr>
              <w:jc w:val="both"/>
              <w:rPr>
                <w:bCs/>
                <w:sz w:val="20"/>
                <w:szCs w:val="20"/>
              </w:rPr>
            </w:pPr>
            <w:r w:rsidRPr="00154588">
              <w:rPr>
                <w:bCs/>
                <w:sz w:val="20"/>
                <w:szCs w:val="20"/>
              </w:rPr>
              <w:t>Evaluarea provizorie menționată la prezentul alineat cuprinde o rezervă pentru pierderi suplimentare, cu justificarea adecvată.</w:t>
            </w:r>
          </w:p>
        </w:tc>
        <w:tc>
          <w:tcPr>
            <w:tcW w:w="4819" w:type="dxa"/>
          </w:tcPr>
          <w:p w14:paraId="1799BF74" w14:textId="77777777" w:rsidR="00B53006" w:rsidRPr="00154588" w:rsidRDefault="00B53006" w:rsidP="008C12B4">
            <w:pPr>
              <w:jc w:val="both"/>
              <w:rPr>
                <w:bCs/>
                <w:sz w:val="20"/>
                <w:szCs w:val="20"/>
              </w:rPr>
            </w:pPr>
            <w:r w:rsidRPr="00154588">
              <w:rPr>
                <w:b/>
                <w:bCs/>
                <w:sz w:val="20"/>
                <w:szCs w:val="20"/>
              </w:rPr>
              <w:t>Articolul</w:t>
            </w:r>
            <w:r w:rsidRPr="00154588">
              <w:rPr>
                <w:bCs/>
                <w:sz w:val="20"/>
                <w:szCs w:val="20"/>
              </w:rPr>
              <w:t xml:space="preserve"> </w:t>
            </w:r>
            <w:r w:rsidRPr="00154588">
              <w:rPr>
                <w:b/>
                <w:bCs/>
                <w:sz w:val="20"/>
                <w:szCs w:val="20"/>
              </w:rPr>
              <w:t>80.</w:t>
            </w:r>
            <w:r w:rsidRPr="00154588">
              <w:rPr>
                <w:bCs/>
                <w:sz w:val="20"/>
                <w:szCs w:val="20"/>
              </w:rPr>
              <w:t xml:space="preserve"> – (1) În cazul în care, din motive legate de urgenţa situaţiei, nu este posibilă respectarea cerinţelor prevăzute la art.77 şi 79 sau se aplică art.73, este efectuată o evaluare provizorie. Evaluarea provizorie respectă cerinţele prevăzute la art.74 şi, pe cît este posibil în mod rezonabil, avînd în vedere situaţia dată, cerinţele de la art.72, 77 şi 79. În aceste cazuri, valoare de bilanţ a creditelor de consum performante cu o istorie de deservire va fi considerată valoarea de piaţă a acestora.</w:t>
            </w:r>
          </w:p>
          <w:p w14:paraId="00528B34" w14:textId="77777777" w:rsidR="00B53006" w:rsidRPr="00154588" w:rsidRDefault="00B53006" w:rsidP="008C12B4">
            <w:pPr>
              <w:jc w:val="both"/>
              <w:rPr>
                <w:bCs/>
                <w:sz w:val="20"/>
                <w:szCs w:val="20"/>
              </w:rPr>
            </w:pPr>
            <w:r w:rsidRPr="00154588">
              <w:rPr>
                <w:bCs/>
                <w:sz w:val="20"/>
                <w:szCs w:val="20"/>
              </w:rPr>
              <w:t>(2) Evaluarea provizorie prevăzută la alin.(1) include şi o rezervă pentru pierderi suplimentare, justificată în mod adecvat.</w:t>
            </w:r>
          </w:p>
          <w:p w14:paraId="03720E29" w14:textId="77777777" w:rsidR="00B53006" w:rsidRPr="00154588" w:rsidRDefault="00B53006" w:rsidP="008C12B4">
            <w:pPr>
              <w:jc w:val="both"/>
              <w:rPr>
                <w:bCs/>
                <w:sz w:val="20"/>
                <w:szCs w:val="20"/>
              </w:rPr>
            </w:pPr>
          </w:p>
        </w:tc>
        <w:tc>
          <w:tcPr>
            <w:tcW w:w="2552" w:type="dxa"/>
          </w:tcPr>
          <w:p w14:paraId="1562A128" w14:textId="530DC672" w:rsidR="00B53006" w:rsidRPr="00154588" w:rsidRDefault="00B53006" w:rsidP="008C12B4">
            <w:pPr>
              <w:jc w:val="both"/>
              <w:rPr>
                <w:bCs/>
                <w:sz w:val="20"/>
                <w:szCs w:val="20"/>
              </w:rPr>
            </w:pPr>
            <w:r w:rsidRPr="00154588">
              <w:rPr>
                <w:bCs/>
                <w:sz w:val="20"/>
                <w:szCs w:val="20"/>
              </w:rPr>
              <w:t>Compatibil</w:t>
            </w:r>
          </w:p>
        </w:tc>
        <w:tc>
          <w:tcPr>
            <w:tcW w:w="3118" w:type="dxa"/>
          </w:tcPr>
          <w:p w14:paraId="03CD30F6" w14:textId="77777777" w:rsidR="00B53006" w:rsidRPr="00154588" w:rsidRDefault="00B53006" w:rsidP="008C12B4">
            <w:pPr>
              <w:jc w:val="both"/>
              <w:rPr>
                <w:bCs/>
                <w:sz w:val="20"/>
                <w:szCs w:val="20"/>
              </w:rPr>
            </w:pPr>
          </w:p>
        </w:tc>
      </w:tr>
      <w:tr w:rsidR="00B53006" w:rsidRPr="00154588" w14:paraId="00782288" w14:textId="77777777" w:rsidTr="00D15C1B">
        <w:trPr>
          <w:jc w:val="center"/>
        </w:trPr>
        <w:tc>
          <w:tcPr>
            <w:tcW w:w="4957" w:type="dxa"/>
            <w:gridSpan w:val="2"/>
          </w:tcPr>
          <w:p w14:paraId="4CF6582F" w14:textId="319CEFB4" w:rsidR="00B53006" w:rsidRPr="00154588" w:rsidRDefault="00B53006" w:rsidP="008C12B4">
            <w:pPr>
              <w:jc w:val="both"/>
              <w:rPr>
                <w:bCs/>
                <w:sz w:val="20"/>
                <w:szCs w:val="20"/>
              </w:rPr>
            </w:pPr>
            <w:r w:rsidRPr="00154588">
              <w:rPr>
                <w:bCs/>
                <w:sz w:val="20"/>
                <w:szCs w:val="20"/>
              </w:rPr>
              <w:t>(10) O evaluare care nu respectă toate cerințele prevăzute în prezentul articol este considerată provizorie până la momentul în care o persoană independentă efectuează o evaluare care respectă pe deplin toate cerințele prevăzute la prezentul articol. Această evaluare definitivă ex post se efectuează cât mai curând posibil. Ea poate fi efectuată fie separat de evaluarea menționată la articolul 74, fie simultan cu cea efectuată de aceeași persoană independentă, însă este distinctă de aceasta.</w:t>
            </w:r>
          </w:p>
          <w:p w14:paraId="448BC3BD" w14:textId="77777777" w:rsidR="00B53006" w:rsidRPr="00154588" w:rsidRDefault="00B53006" w:rsidP="008C12B4">
            <w:pPr>
              <w:jc w:val="both"/>
              <w:rPr>
                <w:bCs/>
                <w:sz w:val="20"/>
                <w:szCs w:val="20"/>
              </w:rPr>
            </w:pPr>
          </w:p>
          <w:p w14:paraId="21A1DD37" w14:textId="77777777" w:rsidR="00B53006" w:rsidRPr="00154588" w:rsidRDefault="00B53006" w:rsidP="008C12B4">
            <w:pPr>
              <w:jc w:val="both"/>
              <w:rPr>
                <w:bCs/>
                <w:sz w:val="20"/>
                <w:szCs w:val="20"/>
              </w:rPr>
            </w:pPr>
            <w:r w:rsidRPr="00154588">
              <w:rPr>
                <w:bCs/>
                <w:sz w:val="20"/>
                <w:szCs w:val="20"/>
              </w:rPr>
              <w:t>Evaluarea definitivă ex post se realizează în următoarele scopuri:</w:t>
            </w:r>
          </w:p>
          <w:p w14:paraId="59B04E29" w14:textId="77777777" w:rsidR="00B53006" w:rsidRPr="00154588" w:rsidRDefault="00B53006" w:rsidP="008C12B4">
            <w:pPr>
              <w:jc w:val="both"/>
              <w:rPr>
                <w:bCs/>
                <w:sz w:val="20"/>
                <w:szCs w:val="20"/>
              </w:rPr>
            </w:pPr>
          </w:p>
          <w:p w14:paraId="14D9E575" w14:textId="77777777" w:rsidR="00B53006" w:rsidRPr="00154588" w:rsidRDefault="00B53006" w:rsidP="008C12B4">
            <w:pPr>
              <w:jc w:val="both"/>
              <w:rPr>
                <w:bCs/>
                <w:sz w:val="20"/>
                <w:szCs w:val="20"/>
              </w:rPr>
            </w:pPr>
          </w:p>
          <w:p w14:paraId="4BF800B0" w14:textId="77777777" w:rsidR="00B53006" w:rsidRPr="00154588" w:rsidRDefault="00B53006" w:rsidP="008C12B4">
            <w:pPr>
              <w:jc w:val="both"/>
              <w:rPr>
                <w:bCs/>
                <w:sz w:val="20"/>
                <w:szCs w:val="20"/>
              </w:rPr>
            </w:pPr>
          </w:p>
          <w:p w14:paraId="0CFC9CFC" w14:textId="2C09BAC8" w:rsidR="00B53006" w:rsidRPr="00154588" w:rsidRDefault="00B53006" w:rsidP="008C12B4">
            <w:pPr>
              <w:jc w:val="both"/>
              <w:rPr>
                <w:bCs/>
                <w:sz w:val="20"/>
                <w:szCs w:val="20"/>
              </w:rPr>
            </w:pPr>
            <w:r w:rsidRPr="00154588">
              <w:rPr>
                <w:bCs/>
                <w:sz w:val="20"/>
                <w:szCs w:val="20"/>
              </w:rPr>
              <w:t>(a) să asigure că eventualele pierderi privind activele instituției sau ale entității menționate la articolul 1 alineatul (1) litera (b), (c) sau (d) sunt recunoscute în întregime în registrele contabile ale instituției sau ale entității menționate la articolul 1 alineatul (1) litera (b), (c) sau (d);</w:t>
            </w:r>
          </w:p>
          <w:p w14:paraId="521F2D36" w14:textId="77777777" w:rsidR="00B53006" w:rsidRPr="00154588" w:rsidRDefault="00B53006" w:rsidP="008C12B4">
            <w:pPr>
              <w:jc w:val="both"/>
              <w:rPr>
                <w:bCs/>
                <w:sz w:val="20"/>
                <w:szCs w:val="20"/>
              </w:rPr>
            </w:pPr>
          </w:p>
          <w:p w14:paraId="4CE6EF7B" w14:textId="2AA2364C" w:rsidR="00B53006" w:rsidRPr="00154588" w:rsidRDefault="00B53006" w:rsidP="008C12B4">
            <w:pPr>
              <w:jc w:val="both"/>
              <w:rPr>
                <w:bCs/>
                <w:sz w:val="20"/>
                <w:szCs w:val="20"/>
              </w:rPr>
            </w:pPr>
            <w:r w:rsidRPr="00154588">
              <w:rPr>
                <w:bCs/>
                <w:sz w:val="20"/>
                <w:szCs w:val="20"/>
              </w:rPr>
              <w:t>(b) să fundamenteze o decizie de a reajusta creanțele creditorilor sau să majoreze valoarea contraprestațiilor plătite, în conformitate cu alineatul (11).</w:t>
            </w:r>
          </w:p>
        </w:tc>
        <w:tc>
          <w:tcPr>
            <w:tcW w:w="4819" w:type="dxa"/>
          </w:tcPr>
          <w:p w14:paraId="13EB4B68" w14:textId="77777777" w:rsidR="00B53006" w:rsidRPr="00154588" w:rsidRDefault="00B53006" w:rsidP="008C12B4">
            <w:pPr>
              <w:jc w:val="both"/>
              <w:rPr>
                <w:bCs/>
                <w:sz w:val="20"/>
                <w:szCs w:val="20"/>
              </w:rPr>
            </w:pPr>
            <w:r w:rsidRPr="00154588">
              <w:rPr>
                <w:b/>
                <w:bCs/>
                <w:sz w:val="20"/>
                <w:szCs w:val="20"/>
              </w:rPr>
              <w:lastRenderedPageBreak/>
              <w:t>Articolul 81.</w:t>
            </w:r>
            <w:r w:rsidRPr="00154588">
              <w:rPr>
                <w:bCs/>
                <w:sz w:val="20"/>
                <w:szCs w:val="20"/>
              </w:rPr>
              <w:t xml:space="preserve"> – (1) O evaluare care nu respectă toate cerinţele prevăzute la art.72-84 este considerată provizorie pînă la momentul în care o persoană independentă efectuează o evaluare care respectă pe deplin toate cerinţele prevăzute la art.72-84. Această evaluare definitivă ex-post se efectuează cît mai curînd posibil. Ea este distinctă de evaluarea prevăzută la art.263-265, indiferent dacă este efectuată simultan cu aceasta sau de către aceeaşi persoană independentă.</w:t>
            </w:r>
          </w:p>
          <w:p w14:paraId="44B886FC" w14:textId="77777777" w:rsidR="00B53006" w:rsidRPr="00154588" w:rsidRDefault="00B53006" w:rsidP="008C12B4">
            <w:pPr>
              <w:jc w:val="both"/>
              <w:rPr>
                <w:bCs/>
                <w:sz w:val="20"/>
                <w:szCs w:val="20"/>
              </w:rPr>
            </w:pPr>
            <w:r w:rsidRPr="00154588">
              <w:rPr>
                <w:bCs/>
                <w:sz w:val="20"/>
                <w:szCs w:val="20"/>
              </w:rPr>
              <w:t>(2) Evaluarea definitivă ex-post se realizează în următoarele scopuri:</w:t>
            </w:r>
          </w:p>
          <w:p w14:paraId="761F3FD8" w14:textId="77777777" w:rsidR="00B53006" w:rsidRPr="00154588" w:rsidRDefault="00B53006" w:rsidP="008C12B4">
            <w:pPr>
              <w:jc w:val="both"/>
              <w:rPr>
                <w:bCs/>
                <w:sz w:val="20"/>
                <w:szCs w:val="20"/>
              </w:rPr>
            </w:pPr>
            <w:r w:rsidRPr="00154588">
              <w:rPr>
                <w:bCs/>
                <w:sz w:val="20"/>
                <w:szCs w:val="20"/>
              </w:rPr>
              <w:lastRenderedPageBreak/>
              <w:t>a) să asigure că orice pierderi privind activele instituției de credit sau entității art. 1 alin.(1) lit.b), c) sau d)  sînt recunoscute în întregime în evidenţele contabile;</w:t>
            </w:r>
          </w:p>
          <w:p w14:paraId="27E13A8E" w14:textId="77777777" w:rsidR="00B53006" w:rsidRPr="00154588" w:rsidRDefault="00B53006" w:rsidP="008C12B4">
            <w:pPr>
              <w:jc w:val="both"/>
              <w:rPr>
                <w:bCs/>
                <w:sz w:val="20"/>
                <w:szCs w:val="20"/>
              </w:rPr>
            </w:pPr>
            <w:r w:rsidRPr="00154588">
              <w:rPr>
                <w:bCs/>
                <w:sz w:val="20"/>
                <w:szCs w:val="20"/>
              </w:rPr>
              <w:t>b) să contribuie la fundamentarea deciziei de a reajusta creanţele creditorilor sau de a majora valoarea contraprestaţiilor plătite, în conformitate cu prevederile art.82.</w:t>
            </w:r>
          </w:p>
          <w:p w14:paraId="4BB06CD1" w14:textId="77777777" w:rsidR="00B53006" w:rsidRPr="00154588" w:rsidRDefault="00B53006" w:rsidP="008C12B4">
            <w:pPr>
              <w:jc w:val="both"/>
              <w:rPr>
                <w:bCs/>
                <w:sz w:val="20"/>
                <w:szCs w:val="20"/>
              </w:rPr>
            </w:pPr>
          </w:p>
        </w:tc>
        <w:tc>
          <w:tcPr>
            <w:tcW w:w="2552" w:type="dxa"/>
          </w:tcPr>
          <w:p w14:paraId="4943229A" w14:textId="488FE33F"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2F933774" w14:textId="77777777" w:rsidR="00B53006" w:rsidRPr="00154588" w:rsidRDefault="00B53006" w:rsidP="008C12B4">
            <w:pPr>
              <w:jc w:val="both"/>
              <w:rPr>
                <w:bCs/>
                <w:sz w:val="20"/>
                <w:szCs w:val="20"/>
              </w:rPr>
            </w:pPr>
          </w:p>
        </w:tc>
      </w:tr>
      <w:tr w:rsidR="00B53006" w:rsidRPr="00154588" w14:paraId="7191DF8E" w14:textId="77777777" w:rsidTr="00D15C1B">
        <w:trPr>
          <w:jc w:val="center"/>
        </w:trPr>
        <w:tc>
          <w:tcPr>
            <w:tcW w:w="4957" w:type="dxa"/>
            <w:gridSpan w:val="2"/>
          </w:tcPr>
          <w:p w14:paraId="3F65873A" w14:textId="77777777" w:rsidR="00B53006" w:rsidRPr="00154588" w:rsidRDefault="00B53006" w:rsidP="008C12B4">
            <w:pPr>
              <w:jc w:val="both"/>
              <w:rPr>
                <w:bCs/>
                <w:sz w:val="20"/>
                <w:szCs w:val="20"/>
              </w:rPr>
            </w:pPr>
            <w:r w:rsidRPr="00154588">
              <w:rPr>
                <w:bCs/>
                <w:sz w:val="20"/>
                <w:szCs w:val="20"/>
              </w:rPr>
              <w:t>(11)   În situația în care evaluarea definitivă ex post estimează că valoarea activului net al instituției sau al entității menționate la articolul 1 alineatul (1) litera (b), (c) sau (d) este mai mare decât valoarea activului net al instituției sau al entității menționate la articolul 1 alineatul (1) litera (b), (c) sau (d) estimată de evaluarea provizorie, autoritatea de rezoluție are posibilitatea:</w:t>
            </w:r>
          </w:p>
          <w:p w14:paraId="47C2862D" w14:textId="77777777" w:rsidR="00B53006" w:rsidRPr="00154588" w:rsidRDefault="00B53006" w:rsidP="008C12B4">
            <w:pPr>
              <w:jc w:val="both"/>
              <w:rPr>
                <w:bCs/>
                <w:sz w:val="20"/>
                <w:szCs w:val="20"/>
              </w:rPr>
            </w:pPr>
          </w:p>
          <w:p w14:paraId="1ADDA66E" w14:textId="5BAAEFE8" w:rsidR="00B53006" w:rsidRPr="00154588" w:rsidRDefault="00B53006" w:rsidP="008C12B4">
            <w:pPr>
              <w:jc w:val="both"/>
              <w:rPr>
                <w:bCs/>
                <w:sz w:val="20"/>
                <w:szCs w:val="20"/>
              </w:rPr>
            </w:pPr>
            <w:r w:rsidRPr="00154588">
              <w:rPr>
                <w:bCs/>
                <w:sz w:val="20"/>
                <w:szCs w:val="20"/>
              </w:rPr>
              <w:t>(a) să-și exercite competența de a majora valoarea creanțelor creditorilor sau a proprietarilor de instrumente de capital relevante care au fost reduse în cadrul instrumentului de recapitalizare internă;</w:t>
            </w:r>
          </w:p>
          <w:p w14:paraId="44467C76" w14:textId="77777777" w:rsidR="00B53006" w:rsidRPr="00154588" w:rsidRDefault="00B53006" w:rsidP="008C12B4">
            <w:pPr>
              <w:jc w:val="both"/>
              <w:rPr>
                <w:bCs/>
                <w:sz w:val="20"/>
                <w:szCs w:val="20"/>
              </w:rPr>
            </w:pPr>
          </w:p>
          <w:p w14:paraId="7FCE6E64" w14:textId="35FD1C27" w:rsidR="00B53006" w:rsidRPr="00154588" w:rsidRDefault="00B53006" w:rsidP="008C12B4">
            <w:pPr>
              <w:jc w:val="both"/>
              <w:rPr>
                <w:bCs/>
                <w:sz w:val="20"/>
                <w:szCs w:val="20"/>
              </w:rPr>
            </w:pPr>
            <w:r w:rsidRPr="00154588">
              <w:rPr>
                <w:bCs/>
                <w:sz w:val="20"/>
                <w:szCs w:val="20"/>
              </w:rPr>
              <w:t>(b) să împuternicească o instituție-punte sau un vehicul de gestionare a activelor să efectueze o plată suplimentară de contraprestații aferente activelor, drepturilor sau datoriilor față de instituția aflată în rezoluție sau, după caz, aferente acțiunilor sau instrumentelor de proprietate către deținătorii acțiunilor sau altor instrumente de proprietate.</w:t>
            </w:r>
          </w:p>
        </w:tc>
        <w:tc>
          <w:tcPr>
            <w:tcW w:w="4819" w:type="dxa"/>
          </w:tcPr>
          <w:p w14:paraId="1E63F359" w14:textId="77777777" w:rsidR="00B53006" w:rsidRPr="00154588" w:rsidRDefault="00B53006" w:rsidP="008C12B4">
            <w:pPr>
              <w:jc w:val="both"/>
              <w:rPr>
                <w:bCs/>
                <w:sz w:val="20"/>
                <w:szCs w:val="20"/>
              </w:rPr>
            </w:pPr>
            <w:r w:rsidRPr="00154588">
              <w:rPr>
                <w:b/>
                <w:bCs/>
                <w:sz w:val="20"/>
                <w:szCs w:val="20"/>
              </w:rPr>
              <w:t>Articolul</w:t>
            </w:r>
            <w:r w:rsidRPr="00154588">
              <w:rPr>
                <w:bCs/>
                <w:sz w:val="20"/>
                <w:szCs w:val="20"/>
              </w:rPr>
              <w:t xml:space="preserve"> </w:t>
            </w:r>
            <w:r w:rsidRPr="00154588">
              <w:rPr>
                <w:b/>
                <w:bCs/>
                <w:sz w:val="20"/>
                <w:szCs w:val="20"/>
              </w:rPr>
              <w:t>82.</w:t>
            </w:r>
            <w:r w:rsidRPr="00154588">
              <w:rPr>
                <w:bCs/>
                <w:sz w:val="20"/>
                <w:szCs w:val="20"/>
              </w:rPr>
              <w:t xml:space="preserve"> – (1) În situaţia în care prin evaluarea definitivă ex-post se estimează că valoarea activului net al instituției de credit sau entității menționate la art. 1 alin. (1) lit. b), c) sau d) este mai mare decît valoarea activului net, estimată potrivit evaluării provizorii, Banca Naţională a Moldovei, în calitate de autoritate de rezoluţie, are posibilitatea:</w:t>
            </w:r>
          </w:p>
          <w:p w14:paraId="7B7B6CFA" w14:textId="77777777" w:rsidR="00B53006" w:rsidRPr="00154588" w:rsidRDefault="00B53006" w:rsidP="008C12B4">
            <w:pPr>
              <w:jc w:val="both"/>
              <w:rPr>
                <w:bCs/>
                <w:sz w:val="20"/>
                <w:szCs w:val="20"/>
              </w:rPr>
            </w:pPr>
            <w:r w:rsidRPr="00154588">
              <w:rPr>
                <w:bCs/>
                <w:sz w:val="20"/>
                <w:szCs w:val="20"/>
              </w:rPr>
              <w:t>a) să îşi exercite competenţa de a majora valoarea creanţelor creditorilor sau a proprietarilor de instrumente de capital relevante care au fost reduse în cadrul instrumentului de recapitalizare internă;</w:t>
            </w:r>
          </w:p>
          <w:p w14:paraId="4910B63F" w14:textId="77777777" w:rsidR="00B53006" w:rsidRPr="00154588" w:rsidRDefault="00B53006" w:rsidP="008C12B4">
            <w:pPr>
              <w:jc w:val="both"/>
              <w:rPr>
                <w:bCs/>
                <w:sz w:val="20"/>
                <w:szCs w:val="20"/>
              </w:rPr>
            </w:pPr>
            <w:r w:rsidRPr="00154588">
              <w:rPr>
                <w:bCs/>
                <w:sz w:val="20"/>
                <w:szCs w:val="20"/>
              </w:rPr>
              <w:t>b) să solicite instituției-punte sau vehiculului de administrare a activelor să efectueze o plată suplimentară de contraprestaţii aferente activelor, drepturilor sau obligaţiilor către instituția supusă rezoluţiei sau, după caz, aferente acţiunilor sau instrumentelor de proprietate către proprietarii acţiunilor sau instrumentelor de proprietate.</w:t>
            </w:r>
          </w:p>
          <w:p w14:paraId="212C5971" w14:textId="77777777" w:rsidR="00B53006" w:rsidRPr="00154588" w:rsidRDefault="00B53006" w:rsidP="008C12B4">
            <w:pPr>
              <w:jc w:val="both"/>
              <w:rPr>
                <w:bCs/>
                <w:sz w:val="20"/>
                <w:szCs w:val="20"/>
              </w:rPr>
            </w:pPr>
            <w:r w:rsidRPr="00154588">
              <w:rPr>
                <w:bCs/>
                <w:sz w:val="20"/>
                <w:szCs w:val="20"/>
              </w:rPr>
              <w:t>(2) În conformitate cu alin.(1), nu trebuie efectuată o evaluare definitivă ex-post în cazul în care se aplică instrumentul de vânzare a afacerii.</w:t>
            </w:r>
          </w:p>
          <w:p w14:paraId="6C09F3A7" w14:textId="77777777" w:rsidR="00B53006" w:rsidRPr="00154588" w:rsidRDefault="00B53006" w:rsidP="008C12B4">
            <w:pPr>
              <w:jc w:val="both"/>
              <w:rPr>
                <w:bCs/>
                <w:sz w:val="20"/>
                <w:szCs w:val="20"/>
              </w:rPr>
            </w:pPr>
          </w:p>
        </w:tc>
        <w:tc>
          <w:tcPr>
            <w:tcW w:w="2552" w:type="dxa"/>
          </w:tcPr>
          <w:p w14:paraId="154D1EDE" w14:textId="4A1CA918" w:rsidR="00B53006" w:rsidRPr="00154588" w:rsidRDefault="00B53006" w:rsidP="008C12B4">
            <w:pPr>
              <w:jc w:val="both"/>
              <w:rPr>
                <w:bCs/>
                <w:sz w:val="20"/>
                <w:szCs w:val="20"/>
              </w:rPr>
            </w:pPr>
            <w:r w:rsidRPr="00154588">
              <w:rPr>
                <w:bCs/>
                <w:sz w:val="20"/>
                <w:szCs w:val="20"/>
              </w:rPr>
              <w:t>Compatibil</w:t>
            </w:r>
          </w:p>
        </w:tc>
        <w:tc>
          <w:tcPr>
            <w:tcW w:w="3118" w:type="dxa"/>
          </w:tcPr>
          <w:p w14:paraId="4AA5F5BA" w14:textId="77777777" w:rsidR="00B53006" w:rsidRPr="00154588" w:rsidRDefault="00B53006" w:rsidP="008C12B4">
            <w:pPr>
              <w:jc w:val="both"/>
              <w:rPr>
                <w:bCs/>
                <w:sz w:val="20"/>
                <w:szCs w:val="20"/>
              </w:rPr>
            </w:pPr>
          </w:p>
        </w:tc>
      </w:tr>
      <w:tr w:rsidR="00B53006" w:rsidRPr="00154588" w14:paraId="2EAC725C" w14:textId="77777777" w:rsidTr="00D15C1B">
        <w:trPr>
          <w:jc w:val="center"/>
        </w:trPr>
        <w:tc>
          <w:tcPr>
            <w:tcW w:w="4957" w:type="dxa"/>
            <w:gridSpan w:val="2"/>
          </w:tcPr>
          <w:p w14:paraId="6D85D3B3" w14:textId="7BA8820A" w:rsidR="00B53006" w:rsidRPr="00154588" w:rsidRDefault="00B53006" w:rsidP="008C12B4">
            <w:pPr>
              <w:jc w:val="both"/>
              <w:rPr>
                <w:bCs/>
                <w:sz w:val="20"/>
                <w:szCs w:val="20"/>
              </w:rPr>
            </w:pPr>
            <w:r w:rsidRPr="00154588">
              <w:rPr>
                <w:bCs/>
                <w:sz w:val="20"/>
                <w:szCs w:val="20"/>
              </w:rPr>
              <w:t xml:space="preserve">(12)   Fără a aduce atingere alineatului (1), evaluarea provizorie efectuată în conformitate cu alineatele (9) și (10) este un temei valabil pentru ca autoritățile de rezoluție să ia măsuri de rezoluție, inclusiv să preia controlul unei instituții sau entități în curs de a intra în dificultate menționate la articolul 1 alineatul (1) literele (b), (c) și (d), sau să își exercite competența de reducere a valorii contabile sau de conversie a </w:t>
            </w:r>
            <w:r w:rsidRPr="00154588">
              <w:rPr>
                <w:bCs/>
                <w:sz w:val="20"/>
                <w:szCs w:val="20"/>
              </w:rPr>
              <w:lastRenderedPageBreak/>
              <w:t>instrumentelor de capital și datorii eligibile în conformitate cu articolul 59.</w:t>
            </w:r>
          </w:p>
        </w:tc>
        <w:tc>
          <w:tcPr>
            <w:tcW w:w="4819" w:type="dxa"/>
          </w:tcPr>
          <w:p w14:paraId="12858EED" w14:textId="42D55EAE" w:rsidR="00B53006" w:rsidRPr="00154588" w:rsidRDefault="00B53006" w:rsidP="008C12B4">
            <w:pPr>
              <w:jc w:val="both"/>
              <w:rPr>
                <w:bCs/>
                <w:sz w:val="20"/>
                <w:szCs w:val="20"/>
              </w:rPr>
            </w:pPr>
            <w:r w:rsidRPr="00154588">
              <w:rPr>
                <w:b/>
                <w:bCs/>
                <w:sz w:val="20"/>
                <w:szCs w:val="20"/>
              </w:rPr>
              <w:lastRenderedPageBreak/>
              <w:t>Articolul 83</w:t>
            </w:r>
            <w:r w:rsidRPr="00154588">
              <w:rPr>
                <w:bCs/>
                <w:sz w:val="20"/>
                <w:szCs w:val="20"/>
              </w:rPr>
              <w:t xml:space="preserve">. – Fără a aduce atingere prevederilor art.72, evaluarea provizorie efectuată în conformitate cu prevederile art.80 şi 81 constituie temei pentru ca Banca Naţională a Moldovei, în calitate de autoritate de rezoluţie, să întreprindă acţiuni de rezoluţie, inclusiv să preia controlul unei instituții de credit sau entități art.1 alin.(1) lit. b), c) sau d) care intră într-o stare de dificultate, sau să îşi exercite competenţa de reducere a valorii sau de </w:t>
            </w:r>
            <w:r w:rsidRPr="00154588">
              <w:rPr>
                <w:bCs/>
                <w:sz w:val="20"/>
                <w:szCs w:val="20"/>
              </w:rPr>
              <w:lastRenderedPageBreak/>
              <w:t>conversie a instrumentelor de capital şi a datoriilor eligibile în conformitate cu prevederile art.219-225.</w:t>
            </w:r>
          </w:p>
          <w:p w14:paraId="15664D0C" w14:textId="77777777" w:rsidR="00B53006" w:rsidRPr="00154588" w:rsidRDefault="00B53006" w:rsidP="008C12B4">
            <w:pPr>
              <w:jc w:val="both"/>
              <w:rPr>
                <w:bCs/>
                <w:sz w:val="20"/>
                <w:szCs w:val="20"/>
              </w:rPr>
            </w:pPr>
          </w:p>
        </w:tc>
        <w:tc>
          <w:tcPr>
            <w:tcW w:w="2552" w:type="dxa"/>
          </w:tcPr>
          <w:p w14:paraId="6189EC78" w14:textId="5197DD96"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03419136" w14:textId="77777777" w:rsidR="00B53006" w:rsidRPr="00154588" w:rsidRDefault="00B53006" w:rsidP="008C12B4">
            <w:pPr>
              <w:jc w:val="both"/>
              <w:rPr>
                <w:bCs/>
                <w:sz w:val="20"/>
                <w:szCs w:val="20"/>
              </w:rPr>
            </w:pPr>
          </w:p>
        </w:tc>
      </w:tr>
      <w:tr w:rsidR="00B53006" w:rsidRPr="00154588" w14:paraId="3AF14C6F" w14:textId="77777777" w:rsidTr="00D15C1B">
        <w:trPr>
          <w:jc w:val="center"/>
        </w:trPr>
        <w:tc>
          <w:tcPr>
            <w:tcW w:w="4957" w:type="dxa"/>
            <w:gridSpan w:val="2"/>
          </w:tcPr>
          <w:p w14:paraId="09FFB0D5" w14:textId="58C7307F" w:rsidR="00B53006" w:rsidRPr="00154588" w:rsidRDefault="00B53006" w:rsidP="008C12B4">
            <w:pPr>
              <w:jc w:val="both"/>
              <w:rPr>
                <w:bCs/>
                <w:sz w:val="20"/>
                <w:szCs w:val="20"/>
              </w:rPr>
            </w:pPr>
            <w:r w:rsidRPr="00154588">
              <w:rPr>
                <w:bCs/>
                <w:sz w:val="20"/>
                <w:szCs w:val="20"/>
              </w:rPr>
              <w:t>(13)   Evaluarea face parte integrantă din decizia de aplicare a unui instrument sau de exercitare a unei competențe de rezoluție sau din decizia de exercitare a competenței de reducere a valorii contabile sau de conversie a instrumentelor de capital și datorii eligibile în conformitate cu articolul 59. Evaluarea în sine nu face obiectul unei căi de atac separate, dar poate fi supusă unei căi de atac împreună cu decizia luată în conformitate cu articolul 85.</w:t>
            </w:r>
          </w:p>
        </w:tc>
        <w:tc>
          <w:tcPr>
            <w:tcW w:w="4819" w:type="dxa"/>
          </w:tcPr>
          <w:p w14:paraId="3220950F" w14:textId="0E9E0DE2" w:rsidR="00B53006" w:rsidRPr="00154588" w:rsidRDefault="00B53006" w:rsidP="008C12B4">
            <w:pPr>
              <w:jc w:val="both"/>
              <w:rPr>
                <w:bCs/>
                <w:sz w:val="20"/>
                <w:szCs w:val="20"/>
              </w:rPr>
            </w:pPr>
            <w:r w:rsidRPr="00154588">
              <w:rPr>
                <w:b/>
                <w:bCs/>
                <w:sz w:val="20"/>
                <w:szCs w:val="20"/>
              </w:rPr>
              <w:t>Articolul 84.</w:t>
            </w:r>
            <w:r w:rsidRPr="00154588">
              <w:rPr>
                <w:bCs/>
                <w:sz w:val="20"/>
                <w:szCs w:val="20"/>
              </w:rPr>
              <w:t xml:space="preserve"> – Evaluarea face parte integrantă din decizia de aplicare a unui instrument de rezoluţie sau de exercitare a unei competenţe de rezoluţie sau din decizia de exercitare a competenţei de reducere a valorii sau de conversie a instrumentelor de capital şi a datoriilor eligibile în conformitate cu prevederile art.219-225. Evaluarea în sine nu poate fi contestată separat, dar poate fi contestată împreună cu decizia luată, în conformitate cu dispoziţiile art.292-294.</w:t>
            </w:r>
          </w:p>
          <w:p w14:paraId="0643935C" w14:textId="77777777" w:rsidR="00B53006" w:rsidRPr="00154588" w:rsidRDefault="00B53006" w:rsidP="008C12B4">
            <w:pPr>
              <w:jc w:val="both"/>
              <w:rPr>
                <w:bCs/>
                <w:sz w:val="20"/>
                <w:szCs w:val="20"/>
              </w:rPr>
            </w:pPr>
          </w:p>
        </w:tc>
        <w:tc>
          <w:tcPr>
            <w:tcW w:w="2552" w:type="dxa"/>
          </w:tcPr>
          <w:p w14:paraId="5BFFD4EB" w14:textId="11B1981A" w:rsidR="00B53006" w:rsidRPr="00154588" w:rsidRDefault="00B53006" w:rsidP="008C12B4">
            <w:pPr>
              <w:jc w:val="both"/>
              <w:rPr>
                <w:bCs/>
                <w:sz w:val="20"/>
                <w:szCs w:val="20"/>
              </w:rPr>
            </w:pPr>
            <w:r w:rsidRPr="00154588">
              <w:rPr>
                <w:bCs/>
                <w:sz w:val="20"/>
                <w:szCs w:val="20"/>
              </w:rPr>
              <w:t>Compatibil</w:t>
            </w:r>
          </w:p>
        </w:tc>
        <w:tc>
          <w:tcPr>
            <w:tcW w:w="3118" w:type="dxa"/>
          </w:tcPr>
          <w:p w14:paraId="00981BF5" w14:textId="77777777" w:rsidR="00B53006" w:rsidRPr="00154588" w:rsidRDefault="00B53006" w:rsidP="008C12B4">
            <w:pPr>
              <w:jc w:val="both"/>
              <w:rPr>
                <w:bCs/>
                <w:sz w:val="20"/>
                <w:szCs w:val="20"/>
              </w:rPr>
            </w:pPr>
          </w:p>
        </w:tc>
      </w:tr>
      <w:tr w:rsidR="00B53006" w:rsidRPr="00154588" w14:paraId="4E64FFD8" w14:textId="77777777" w:rsidTr="00D15C1B">
        <w:trPr>
          <w:jc w:val="center"/>
        </w:trPr>
        <w:tc>
          <w:tcPr>
            <w:tcW w:w="4957" w:type="dxa"/>
            <w:gridSpan w:val="2"/>
          </w:tcPr>
          <w:p w14:paraId="54459B03" w14:textId="6B75DE5F" w:rsidR="00B53006" w:rsidRPr="00154588" w:rsidRDefault="00B53006" w:rsidP="008C12B4">
            <w:pPr>
              <w:jc w:val="both"/>
              <w:rPr>
                <w:bCs/>
                <w:sz w:val="20"/>
                <w:szCs w:val="20"/>
              </w:rPr>
            </w:pPr>
            <w:r w:rsidRPr="00154588">
              <w:rPr>
                <w:bCs/>
                <w:sz w:val="20"/>
                <w:szCs w:val="20"/>
              </w:rPr>
              <w:t>(14)   ABE elaborează proiecte de standarde tehnice de reglementare pentru a preciza circumstanțele în care o persoană este independentă de autoritatea de rezoluție și de instituția sau entitatea menționată la articolul 1 alineatul (1) litera (b), (c) sau (d) în sensul aplicării alineatului (1) din prezentul articol și a articolului 74.</w:t>
            </w:r>
          </w:p>
        </w:tc>
        <w:tc>
          <w:tcPr>
            <w:tcW w:w="4819" w:type="dxa"/>
          </w:tcPr>
          <w:p w14:paraId="1C15031E" w14:textId="77777777" w:rsidR="00B53006" w:rsidRPr="00154588" w:rsidRDefault="00B53006" w:rsidP="008C12B4">
            <w:pPr>
              <w:jc w:val="both"/>
              <w:rPr>
                <w:bCs/>
                <w:sz w:val="20"/>
                <w:szCs w:val="20"/>
              </w:rPr>
            </w:pPr>
          </w:p>
        </w:tc>
        <w:tc>
          <w:tcPr>
            <w:tcW w:w="2552" w:type="dxa"/>
          </w:tcPr>
          <w:p w14:paraId="4C5FA3D2" w14:textId="038EC739" w:rsidR="00B53006" w:rsidRPr="00154588" w:rsidRDefault="00B53006" w:rsidP="008C12B4">
            <w:pPr>
              <w:jc w:val="both"/>
              <w:rPr>
                <w:bCs/>
                <w:sz w:val="20"/>
                <w:szCs w:val="20"/>
              </w:rPr>
            </w:pPr>
            <w:r w:rsidRPr="00154588">
              <w:rPr>
                <w:bCs/>
                <w:sz w:val="20"/>
                <w:szCs w:val="20"/>
              </w:rPr>
              <w:t>Prevederi UE neaplicabile</w:t>
            </w:r>
          </w:p>
        </w:tc>
        <w:tc>
          <w:tcPr>
            <w:tcW w:w="3118" w:type="dxa"/>
          </w:tcPr>
          <w:p w14:paraId="0C1C8709" w14:textId="69158C72" w:rsidR="00B53006" w:rsidRPr="00154588" w:rsidRDefault="00B53006" w:rsidP="008C12B4">
            <w:pPr>
              <w:jc w:val="both"/>
              <w:rPr>
                <w:bCs/>
                <w:sz w:val="20"/>
                <w:szCs w:val="20"/>
              </w:rPr>
            </w:pPr>
            <w:r w:rsidRPr="00154588">
              <w:rPr>
                <w:bCs/>
                <w:sz w:val="20"/>
                <w:szCs w:val="20"/>
                <w:lang w:val="ro-MD"/>
              </w:rPr>
              <w:t>Prevederi care se referă la atribuțiile de reglementare ale autorităților europene.</w:t>
            </w:r>
          </w:p>
        </w:tc>
      </w:tr>
      <w:tr w:rsidR="00B53006" w:rsidRPr="00154588" w14:paraId="044A00D7" w14:textId="77777777" w:rsidTr="00D15C1B">
        <w:trPr>
          <w:jc w:val="center"/>
        </w:trPr>
        <w:tc>
          <w:tcPr>
            <w:tcW w:w="4957" w:type="dxa"/>
            <w:gridSpan w:val="2"/>
          </w:tcPr>
          <w:p w14:paraId="3A4969FE" w14:textId="77777777" w:rsidR="00B53006" w:rsidRPr="00154588" w:rsidRDefault="00B53006" w:rsidP="008C12B4">
            <w:pPr>
              <w:jc w:val="both"/>
              <w:rPr>
                <w:bCs/>
                <w:sz w:val="20"/>
                <w:szCs w:val="20"/>
              </w:rPr>
            </w:pPr>
            <w:r w:rsidRPr="00154588">
              <w:rPr>
                <w:bCs/>
                <w:sz w:val="20"/>
                <w:szCs w:val="20"/>
              </w:rPr>
              <w:t>(15)   ABE poate elabora proiecte de standarde tehnice de reglementare pentru a preciza criteriile de mai jos, în sensul aplicării alineatelor (1), (3) și (9) din prezentul articol și a articolului 74:</w:t>
            </w:r>
          </w:p>
          <w:p w14:paraId="0E8411D3" w14:textId="77777777" w:rsidR="00B53006" w:rsidRPr="00154588" w:rsidRDefault="00B53006" w:rsidP="008C12B4">
            <w:pPr>
              <w:jc w:val="both"/>
              <w:rPr>
                <w:bCs/>
                <w:sz w:val="20"/>
                <w:szCs w:val="20"/>
              </w:rPr>
            </w:pPr>
          </w:p>
          <w:p w14:paraId="55164401" w14:textId="3092E5BB" w:rsidR="00B53006" w:rsidRPr="00154588" w:rsidRDefault="00B53006" w:rsidP="008C12B4">
            <w:pPr>
              <w:jc w:val="both"/>
              <w:rPr>
                <w:bCs/>
                <w:sz w:val="20"/>
                <w:szCs w:val="20"/>
              </w:rPr>
            </w:pPr>
            <w:r w:rsidRPr="00154588">
              <w:rPr>
                <w:bCs/>
                <w:sz w:val="20"/>
                <w:szCs w:val="20"/>
              </w:rPr>
              <w:t>(a) metodologia utilizată pentru evaluarea valorii activelor și pasivelor instituției sau ale entității menționate la articolul 1 alineatul (1) litera (b), (c) sau (d);</w:t>
            </w:r>
          </w:p>
          <w:p w14:paraId="523BBC72" w14:textId="77777777" w:rsidR="00B53006" w:rsidRPr="00154588" w:rsidRDefault="00B53006" w:rsidP="008C12B4">
            <w:pPr>
              <w:jc w:val="both"/>
              <w:rPr>
                <w:bCs/>
                <w:sz w:val="20"/>
                <w:szCs w:val="20"/>
              </w:rPr>
            </w:pPr>
          </w:p>
          <w:p w14:paraId="53CCEDAD" w14:textId="2274B91B" w:rsidR="00B53006" w:rsidRPr="00154588" w:rsidRDefault="00B53006" w:rsidP="008C12B4">
            <w:pPr>
              <w:jc w:val="both"/>
              <w:rPr>
                <w:bCs/>
                <w:sz w:val="20"/>
                <w:szCs w:val="20"/>
              </w:rPr>
            </w:pPr>
            <w:r w:rsidRPr="00154588">
              <w:rPr>
                <w:bCs/>
                <w:sz w:val="20"/>
                <w:szCs w:val="20"/>
              </w:rPr>
              <w:t>(b) separarea evaluărilor în temeiul articolelor 36 și 74;</w:t>
            </w:r>
          </w:p>
          <w:p w14:paraId="77C6D6EB" w14:textId="77777777" w:rsidR="00B53006" w:rsidRPr="00154588" w:rsidRDefault="00B53006" w:rsidP="008C12B4">
            <w:pPr>
              <w:jc w:val="both"/>
              <w:rPr>
                <w:bCs/>
                <w:sz w:val="20"/>
                <w:szCs w:val="20"/>
              </w:rPr>
            </w:pPr>
          </w:p>
          <w:p w14:paraId="6C3D3371" w14:textId="77777777" w:rsidR="00B53006" w:rsidRPr="00154588" w:rsidRDefault="00B53006" w:rsidP="008C12B4">
            <w:pPr>
              <w:jc w:val="both"/>
              <w:rPr>
                <w:bCs/>
                <w:sz w:val="20"/>
                <w:szCs w:val="20"/>
              </w:rPr>
            </w:pPr>
          </w:p>
          <w:p w14:paraId="237C2034" w14:textId="28035230" w:rsidR="00B53006" w:rsidRPr="00154588" w:rsidRDefault="00B53006" w:rsidP="008C12B4">
            <w:pPr>
              <w:jc w:val="both"/>
              <w:rPr>
                <w:bCs/>
                <w:sz w:val="20"/>
                <w:szCs w:val="20"/>
              </w:rPr>
            </w:pPr>
            <w:r w:rsidRPr="00154588">
              <w:rPr>
                <w:bCs/>
                <w:sz w:val="20"/>
                <w:szCs w:val="20"/>
              </w:rPr>
              <w:t>(c) metodologia utilizată pentru calcularea și includerea unei rezerve pentru pierderi suplimentare în evaluarea provizorie.</w:t>
            </w:r>
          </w:p>
        </w:tc>
        <w:tc>
          <w:tcPr>
            <w:tcW w:w="4819" w:type="dxa"/>
          </w:tcPr>
          <w:p w14:paraId="5D10A56A" w14:textId="77777777" w:rsidR="00B53006" w:rsidRPr="00154588" w:rsidRDefault="00B53006" w:rsidP="008C12B4">
            <w:pPr>
              <w:jc w:val="both"/>
              <w:rPr>
                <w:bCs/>
                <w:sz w:val="20"/>
                <w:szCs w:val="20"/>
              </w:rPr>
            </w:pPr>
          </w:p>
        </w:tc>
        <w:tc>
          <w:tcPr>
            <w:tcW w:w="2552" w:type="dxa"/>
          </w:tcPr>
          <w:p w14:paraId="2F60807D" w14:textId="177D9087" w:rsidR="00B53006" w:rsidRPr="00154588" w:rsidRDefault="00B53006" w:rsidP="008C12B4">
            <w:pPr>
              <w:jc w:val="both"/>
              <w:rPr>
                <w:bCs/>
                <w:sz w:val="20"/>
                <w:szCs w:val="20"/>
              </w:rPr>
            </w:pPr>
            <w:r w:rsidRPr="00154588">
              <w:rPr>
                <w:bCs/>
                <w:sz w:val="20"/>
                <w:szCs w:val="20"/>
              </w:rPr>
              <w:t>Prevederi UE neaplicabile</w:t>
            </w:r>
          </w:p>
        </w:tc>
        <w:tc>
          <w:tcPr>
            <w:tcW w:w="3118" w:type="dxa"/>
          </w:tcPr>
          <w:p w14:paraId="242E0451" w14:textId="3BC5401A" w:rsidR="00B53006" w:rsidRPr="00154588" w:rsidRDefault="00B53006" w:rsidP="008C12B4">
            <w:pPr>
              <w:jc w:val="both"/>
              <w:rPr>
                <w:bCs/>
                <w:sz w:val="20"/>
                <w:szCs w:val="20"/>
              </w:rPr>
            </w:pPr>
            <w:r w:rsidRPr="00154588">
              <w:rPr>
                <w:bCs/>
                <w:sz w:val="20"/>
                <w:szCs w:val="20"/>
                <w:lang w:val="ro-MD"/>
              </w:rPr>
              <w:t>Prevederi care se referă la atribuțiile de reglementare ale autorităților europene.</w:t>
            </w:r>
          </w:p>
        </w:tc>
      </w:tr>
      <w:tr w:rsidR="00B53006" w:rsidRPr="00154588" w14:paraId="00547A84" w14:textId="77777777" w:rsidTr="00D15C1B">
        <w:trPr>
          <w:jc w:val="center"/>
        </w:trPr>
        <w:tc>
          <w:tcPr>
            <w:tcW w:w="4957" w:type="dxa"/>
            <w:gridSpan w:val="2"/>
          </w:tcPr>
          <w:p w14:paraId="64D93862" w14:textId="3BD5848B" w:rsidR="00B53006" w:rsidRPr="00154588" w:rsidRDefault="00B53006" w:rsidP="008C12B4">
            <w:pPr>
              <w:jc w:val="both"/>
              <w:rPr>
                <w:bCs/>
                <w:sz w:val="20"/>
                <w:szCs w:val="20"/>
              </w:rPr>
            </w:pPr>
            <w:r w:rsidRPr="00154588">
              <w:rPr>
                <w:bCs/>
                <w:sz w:val="20"/>
                <w:szCs w:val="20"/>
              </w:rPr>
              <w:t>(16) ABE înaintează proiectele de standarde tehnice menționate la alineatul (14) Comisiei până la 3 iulie 2015.</w:t>
            </w:r>
          </w:p>
          <w:p w14:paraId="2413E74C" w14:textId="77777777" w:rsidR="00B53006" w:rsidRPr="00154588" w:rsidRDefault="00B53006" w:rsidP="008C12B4">
            <w:pPr>
              <w:jc w:val="both"/>
              <w:rPr>
                <w:bCs/>
                <w:sz w:val="20"/>
                <w:szCs w:val="20"/>
              </w:rPr>
            </w:pPr>
          </w:p>
          <w:p w14:paraId="669C1E2F" w14:textId="77777777" w:rsidR="00B53006" w:rsidRPr="00154588" w:rsidRDefault="00B53006" w:rsidP="008C12B4">
            <w:pPr>
              <w:jc w:val="both"/>
              <w:rPr>
                <w:bCs/>
                <w:sz w:val="20"/>
                <w:szCs w:val="20"/>
              </w:rPr>
            </w:pPr>
          </w:p>
          <w:p w14:paraId="37AD7EE7" w14:textId="7C54F255" w:rsidR="00B53006" w:rsidRPr="00154588" w:rsidRDefault="00B53006" w:rsidP="008C12B4">
            <w:pPr>
              <w:jc w:val="both"/>
              <w:rPr>
                <w:bCs/>
                <w:sz w:val="20"/>
                <w:szCs w:val="20"/>
              </w:rPr>
            </w:pPr>
            <w:r w:rsidRPr="00154588">
              <w:rPr>
                <w:bCs/>
                <w:sz w:val="20"/>
                <w:szCs w:val="20"/>
              </w:rPr>
              <w:t>Se deleagă Comisiei competența de a adopta standardele tehnice de reglementare menționate la alineatele (14) și (15), în conformitate cu articolele 10-14 din Regulamentul (UE) nr. 1093/2010.</w:t>
            </w:r>
          </w:p>
        </w:tc>
        <w:tc>
          <w:tcPr>
            <w:tcW w:w="4819" w:type="dxa"/>
          </w:tcPr>
          <w:p w14:paraId="54BD9F41" w14:textId="77777777" w:rsidR="00B53006" w:rsidRPr="00154588" w:rsidRDefault="00B53006" w:rsidP="008C12B4">
            <w:pPr>
              <w:jc w:val="both"/>
              <w:rPr>
                <w:bCs/>
                <w:sz w:val="20"/>
                <w:szCs w:val="20"/>
              </w:rPr>
            </w:pPr>
          </w:p>
        </w:tc>
        <w:tc>
          <w:tcPr>
            <w:tcW w:w="2552" w:type="dxa"/>
          </w:tcPr>
          <w:p w14:paraId="752A2400" w14:textId="4DA38379" w:rsidR="00B53006" w:rsidRPr="00154588" w:rsidRDefault="00B53006" w:rsidP="008C12B4">
            <w:pPr>
              <w:jc w:val="both"/>
              <w:rPr>
                <w:bCs/>
                <w:sz w:val="20"/>
                <w:szCs w:val="20"/>
              </w:rPr>
            </w:pPr>
            <w:r w:rsidRPr="00154588">
              <w:rPr>
                <w:bCs/>
                <w:sz w:val="20"/>
                <w:szCs w:val="20"/>
              </w:rPr>
              <w:t>Prevederi UE neaplicabile</w:t>
            </w:r>
          </w:p>
        </w:tc>
        <w:tc>
          <w:tcPr>
            <w:tcW w:w="3118" w:type="dxa"/>
          </w:tcPr>
          <w:p w14:paraId="6CB4006B" w14:textId="1E905BAA" w:rsidR="00B53006" w:rsidRPr="00154588" w:rsidRDefault="00B53006" w:rsidP="008C12B4">
            <w:pPr>
              <w:jc w:val="both"/>
              <w:rPr>
                <w:bCs/>
                <w:sz w:val="20"/>
                <w:szCs w:val="20"/>
              </w:rPr>
            </w:pPr>
            <w:r w:rsidRPr="00154588">
              <w:rPr>
                <w:bCs/>
                <w:sz w:val="20"/>
                <w:szCs w:val="20"/>
                <w:lang w:val="ro-MD"/>
              </w:rPr>
              <w:t>Prevederi care se referă la atribuțiile de reglementare ale autorităților europene.</w:t>
            </w:r>
          </w:p>
        </w:tc>
      </w:tr>
      <w:tr w:rsidR="00B53006" w:rsidRPr="00154588" w14:paraId="1184A3CD" w14:textId="77777777" w:rsidTr="00D15C1B">
        <w:trPr>
          <w:jc w:val="center"/>
        </w:trPr>
        <w:tc>
          <w:tcPr>
            <w:tcW w:w="4957" w:type="dxa"/>
            <w:gridSpan w:val="2"/>
          </w:tcPr>
          <w:p w14:paraId="5A3CF595" w14:textId="77777777" w:rsidR="00B53006" w:rsidRPr="00154588" w:rsidRDefault="00B53006" w:rsidP="008C12B4">
            <w:pPr>
              <w:rPr>
                <w:b/>
                <w:sz w:val="20"/>
                <w:szCs w:val="20"/>
              </w:rPr>
            </w:pPr>
            <w:r w:rsidRPr="00154588">
              <w:rPr>
                <w:b/>
                <w:sz w:val="20"/>
                <w:szCs w:val="20"/>
              </w:rPr>
              <w:lastRenderedPageBreak/>
              <w:t>CAPITOLUL IV</w:t>
            </w:r>
          </w:p>
          <w:p w14:paraId="6FA62DC4" w14:textId="77777777" w:rsidR="00B53006" w:rsidRPr="00154588" w:rsidRDefault="00B53006" w:rsidP="008C12B4">
            <w:pPr>
              <w:rPr>
                <w:b/>
                <w:sz w:val="20"/>
                <w:szCs w:val="20"/>
              </w:rPr>
            </w:pPr>
          </w:p>
          <w:p w14:paraId="0510DAA3" w14:textId="5536B3D5" w:rsidR="00B53006" w:rsidRPr="00154588" w:rsidRDefault="00B53006" w:rsidP="008C12B4">
            <w:pPr>
              <w:rPr>
                <w:bCs/>
                <w:sz w:val="20"/>
                <w:szCs w:val="20"/>
              </w:rPr>
            </w:pPr>
            <w:r w:rsidRPr="00154588">
              <w:rPr>
                <w:b/>
                <w:sz w:val="20"/>
                <w:szCs w:val="20"/>
              </w:rPr>
              <w:t>Instrumente de rezoluție</w:t>
            </w:r>
          </w:p>
        </w:tc>
        <w:tc>
          <w:tcPr>
            <w:tcW w:w="4819" w:type="dxa"/>
          </w:tcPr>
          <w:p w14:paraId="0DF5666E" w14:textId="77777777" w:rsidR="00B53006" w:rsidRPr="00154588" w:rsidRDefault="00B53006" w:rsidP="008C12B4">
            <w:pPr>
              <w:jc w:val="both"/>
              <w:rPr>
                <w:bCs/>
                <w:sz w:val="20"/>
                <w:szCs w:val="20"/>
              </w:rPr>
            </w:pPr>
          </w:p>
        </w:tc>
        <w:tc>
          <w:tcPr>
            <w:tcW w:w="2552" w:type="dxa"/>
          </w:tcPr>
          <w:p w14:paraId="064DBC1F" w14:textId="77777777" w:rsidR="00B53006" w:rsidRPr="00154588" w:rsidRDefault="00B53006" w:rsidP="008C12B4">
            <w:pPr>
              <w:jc w:val="both"/>
              <w:rPr>
                <w:bCs/>
                <w:sz w:val="20"/>
                <w:szCs w:val="20"/>
              </w:rPr>
            </w:pPr>
          </w:p>
        </w:tc>
        <w:tc>
          <w:tcPr>
            <w:tcW w:w="3118" w:type="dxa"/>
          </w:tcPr>
          <w:p w14:paraId="6F36A3B0" w14:textId="77777777" w:rsidR="00B53006" w:rsidRPr="00154588" w:rsidRDefault="00B53006" w:rsidP="008C12B4">
            <w:pPr>
              <w:jc w:val="both"/>
              <w:rPr>
                <w:bCs/>
                <w:sz w:val="20"/>
                <w:szCs w:val="20"/>
              </w:rPr>
            </w:pPr>
          </w:p>
        </w:tc>
      </w:tr>
      <w:tr w:rsidR="00B53006" w:rsidRPr="00154588" w14:paraId="11806A20" w14:textId="77777777" w:rsidTr="00D15C1B">
        <w:trPr>
          <w:jc w:val="center"/>
        </w:trPr>
        <w:tc>
          <w:tcPr>
            <w:tcW w:w="4957" w:type="dxa"/>
            <w:gridSpan w:val="2"/>
          </w:tcPr>
          <w:p w14:paraId="729FE789" w14:textId="77777777" w:rsidR="00B53006" w:rsidRPr="00154588" w:rsidRDefault="00B53006" w:rsidP="008C12B4">
            <w:pPr>
              <w:rPr>
                <w:b/>
                <w:sz w:val="20"/>
                <w:szCs w:val="20"/>
              </w:rPr>
            </w:pPr>
            <w:r w:rsidRPr="00154588">
              <w:rPr>
                <w:b/>
                <w:sz w:val="20"/>
                <w:szCs w:val="20"/>
              </w:rPr>
              <w:t>Secțiunea 1</w:t>
            </w:r>
          </w:p>
          <w:p w14:paraId="7B825D64" w14:textId="77777777" w:rsidR="00B53006" w:rsidRPr="00154588" w:rsidRDefault="00B53006" w:rsidP="008C12B4">
            <w:pPr>
              <w:rPr>
                <w:b/>
                <w:sz w:val="20"/>
                <w:szCs w:val="20"/>
              </w:rPr>
            </w:pPr>
          </w:p>
          <w:p w14:paraId="2221B57A" w14:textId="5345B173" w:rsidR="00B53006" w:rsidRPr="00154588" w:rsidRDefault="00B53006" w:rsidP="008C12B4">
            <w:pPr>
              <w:rPr>
                <w:bCs/>
                <w:sz w:val="20"/>
                <w:szCs w:val="20"/>
              </w:rPr>
            </w:pPr>
            <w:r w:rsidRPr="00154588">
              <w:rPr>
                <w:b/>
                <w:sz w:val="20"/>
                <w:szCs w:val="20"/>
              </w:rPr>
              <w:t>Principii generale</w:t>
            </w:r>
          </w:p>
        </w:tc>
        <w:tc>
          <w:tcPr>
            <w:tcW w:w="4819" w:type="dxa"/>
          </w:tcPr>
          <w:p w14:paraId="490BACAD" w14:textId="77777777" w:rsidR="00B53006" w:rsidRPr="00154588" w:rsidRDefault="00B53006" w:rsidP="008C12B4">
            <w:pPr>
              <w:jc w:val="both"/>
              <w:rPr>
                <w:bCs/>
                <w:sz w:val="20"/>
                <w:szCs w:val="20"/>
              </w:rPr>
            </w:pPr>
          </w:p>
        </w:tc>
        <w:tc>
          <w:tcPr>
            <w:tcW w:w="2552" w:type="dxa"/>
          </w:tcPr>
          <w:p w14:paraId="0822E775" w14:textId="77777777" w:rsidR="00B53006" w:rsidRPr="00154588" w:rsidRDefault="00B53006" w:rsidP="008C12B4">
            <w:pPr>
              <w:jc w:val="both"/>
              <w:rPr>
                <w:bCs/>
                <w:sz w:val="20"/>
                <w:szCs w:val="20"/>
              </w:rPr>
            </w:pPr>
          </w:p>
        </w:tc>
        <w:tc>
          <w:tcPr>
            <w:tcW w:w="3118" w:type="dxa"/>
          </w:tcPr>
          <w:p w14:paraId="3E162E66" w14:textId="77777777" w:rsidR="00B53006" w:rsidRPr="00154588" w:rsidRDefault="00B53006" w:rsidP="008C12B4">
            <w:pPr>
              <w:jc w:val="both"/>
              <w:rPr>
                <w:bCs/>
                <w:sz w:val="20"/>
                <w:szCs w:val="20"/>
              </w:rPr>
            </w:pPr>
          </w:p>
        </w:tc>
      </w:tr>
      <w:tr w:rsidR="00B53006" w:rsidRPr="00154588" w14:paraId="4FBCC575" w14:textId="77777777" w:rsidTr="00D15C1B">
        <w:trPr>
          <w:jc w:val="center"/>
        </w:trPr>
        <w:tc>
          <w:tcPr>
            <w:tcW w:w="4957" w:type="dxa"/>
            <w:gridSpan w:val="2"/>
          </w:tcPr>
          <w:p w14:paraId="79698484" w14:textId="77777777" w:rsidR="00B53006" w:rsidRPr="00154588" w:rsidRDefault="00B53006" w:rsidP="008C12B4">
            <w:pPr>
              <w:rPr>
                <w:b/>
                <w:sz w:val="20"/>
                <w:szCs w:val="20"/>
              </w:rPr>
            </w:pPr>
            <w:r w:rsidRPr="00154588">
              <w:rPr>
                <w:b/>
                <w:sz w:val="20"/>
                <w:szCs w:val="20"/>
              </w:rPr>
              <w:t>Articolul 37</w:t>
            </w:r>
          </w:p>
          <w:p w14:paraId="600DC2AC" w14:textId="77777777" w:rsidR="00B53006" w:rsidRPr="00154588" w:rsidRDefault="00B53006" w:rsidP="008C12B4">
            <w:pPr>
              <w:rPr>
                <w:b/>
                <w:sz w:val="20"/>
                <w:szCs w:val="20"/>
              </w:rPr>
            </w:pPr>
          </w:p>
          <w:p w14:paraId="15A2B423" w14:textId="0AF2311B" w:rsidR="00B53006" w:rsidRPr="00154588" w:rsidRDefault="00B53006" w:rsidP="008C12B4">
            <w:pPr>
              <w:rPr>
                <w:bCs/>
                <w:sz w:val="20"/>
                <w:szCs w:val="20"/>
              </w:rPr>
            </w:pPr>
            <w:r w:rsidRPr="00154588">
              <w:rPr>
                <w:b/>
                <w:sz w:val="20"/>
                <w:szCs w:val="20"/>
              </w:rPr>
              <w:t>Principii generale ale instrumentelor de rezoluție</w:t>
            </w:r>
          </w:p>
        </w:tc>
        <w:tc>
          <w:tcPr>
            <w:tcW w:w="4819" w:type="dxa"/>
          </w:tcPr>
          <w:p w14:paraId="49E5B11A" w14:textId="77777777" w:rsidR="00B53006" w:rsidRPr="00154588" w:rsidRDefault="00B53006" w:rsidP="008C12B4">
            <w:pPr>
              <w:jc w:val="center"/>
              <w:rPr>
                <w:b/>
                <w:sz w:val="20"/>
                <w:szCs w:val="20"/>
              </w:rPr>
            </w:pPr>
            <w:r w:rsidRPr="00154588">
              <w:rPr>
                <w:b/>
                <w:sz w:val="20"/>
                <w:szCs w:val="20"/>
              </w:rPr>
              <w:t>Capitolul IV</w:t>
            </w:r>
          </w:p>
          <w:p w14:paraId="14BA1C20" w14:textId="52CE62C7" w:rsidR="00B53006" w:rsidRPr="00154588" w:rsidRDefault="00B53006" w:rsidP="008C12B4">
            <w:pPr>
              <w:jc w:val="center"/>
              <w:rPr>
                <w:b/>
                <w:sz w:val="20"/>
                <w:szCs w:val="20"/>
              </w:rPr>
            </w:pPr>
            <w:r w:rsidRPr="00154588">
              <w:rPr>
                <w:b/>
                <w:sz w:val="20"/>
                <w:szCs w:val="20"/>
              </w:rPr>
              <w:t>INSTRUMENTELE DE REZOLUŢIE </w:t>
            </w:r>
          </w:p>
          <w:p w14:paraId="42D5B571" w14:textId="77777777" w:rsidR="00B53006" w:rsidRPr="00154588" w:rsidRDefault="00B53006" w:rsidP="008C12B4">
            <w:pPr>
              <w:jc w:val="center"/>
              <w:rPr>
                <w:b/>
                <w:sz w:val="20"/>
                <w:szCs w:val="20"/>
              </w:rPr>
            </w:pPr>
            <w:r w:rsidRPr="00154588">
              <w:rPr>
                <w:b/>
                <w:sz w:val="20"/>
                <w:szCs w:val="20"/>
              </w:rPr>
              <w:t>Secţiunea 1</w:t>
            </w:r>
          </w:p>
          <w:p w14:paraId="1B9E8446" w14:textId="77777777" w:rsidR="00B53006" w:rsidRPr="00154588" w:rsidRDefault="00B53006" w:rsidP="008C12B4">
            <w:pPr>
              <w:jc w:val="center"/>
              <w:rPr>
                <w:b/>
                <w:sz w:val="20"/>
                <w:szCs w:val="20"/>
              </w:rPr>
            </w:pPr>
            <w:r w:rsidRPr="00154588">
              <w:rPr>
                <w:b/>
                <w:sz w:val="20"/>
                <w:szCs w:val="20"/>
              </w:rPr>
              <w:t>Principii generale</w:t>
            </w:r>
          </w:p>
          <w:p w14:paraId="058C806C" w14:textId="77777777" w:rsidR="00B53006" w:rsidRPr="00154588" w:rsidRDefault="00B53006" w:rsidP="008C12B4">
            <w:pPr>
              <w:jc w:val="both"/>
              <w:rPr>
                <w:bCs/>
                <w:sz w:val="20"/>
                <w:szCs w:val="20"/>
              </w:rPr>
            </w:pPr>
          </w:p>
        </w:tc>
        <w:tc>
          <w:tcPr>
            <w:tcW w:w="2552" w:type="dxa"/>
          </w:tcPr>
          <w:p w14:paraId="5167CFCB" w14:textId="77777777" w:rsidR="00B53006" w:rsidRPr="00154588" w:rsidRDefault="00B53006" w:rsidP="008C12B4">
            <w:pPr>
              <w:jc w:val="both"/>
              <w:rPr>
                <w:bCs/>
                <w:sz w:val="20"/>
                <w:szCs w:val="20"/>
              </w:rPr>
            </w:pPr>
          </w:p>
        </w:tc>
        <w:tc>
          <w:tcPr>
            <w:tcW w:w="3118" w:type="dxa"/>
          </w:tcPr>
          <w:p w14:paraId="169B754B" w14:textId="77777777" w:rsidR="00B53006" w:rsidRPr="00154588" w:rsidRDefault="00B53006" w:rsidP="008C12B4">
            <w:pPr>
              <w:jc w:val="both"/>
              <w:rPr>
                <w:bCs/>
                <w:sz w:val="20"/>
                <w:szCs w:val="20"/>
              </w:rPr>
            </w:pPr>
          </w:p>
        </w:tc>
      </w:tr>
      <w:tr w:rsidR="00B53006" w:rsidRPr="00154588" w14:paraId="06144731" w14:textId="77777777" w:rsidTr="00D15C1B">
        <w:trPr>
          <w:jc w:val="center"/>
        </w:trPr>
        <w:tc>
          <w:tcPr>
            <w:tcW w:w="4957" w:type="dxa"/>
            <w:gridSpan w:val="2"/>
          </w:tcPr>
          <w:p w14:paraId="595C84D4" w14:textId="54AC017B" w:rsidR="00B53006" w:rsidRPr="00154588" w:rsidRDefault="00B53006" w:rsidP="008C12B4">
            <w:pPr>
              <w:jc w:val="both"/>
              <w:rPr>
                <w:bCs/>
                <w:sz w:val="20"/>
                <w:szCs w:val="20"/>
              </w:rPr>
            </w:pPr>
            <w:r w:rsidRPr="00154588">
              <w:rPr>
                <w:bCs/>
                <w:sz w:val="20"/>
                <w:szCs w:val="20"/>
              </w:rPr>
              <w:t>(1) Statele membre se asigură că autoritățile de rezoluție dețin competențele necesare pentru a aplica instrumentele de rezoluție instituțiilor și entităților menționate la articolul 1 alineatul (1) litera (b), (c) sau (d) care îndeplinesc condițiile de declanșare a procedurii de rezoluție.</w:t>
            </w:r>
          </w:p>
        </w:tc>
        <w:tc>
          <w:tcPr>
            <w:tcW w:w="4819" w:type="dxa"/>
          </w:tcPr>
          <w:p w14:paraId="4F3D3AFF" w14:textId="77777777" w:rsidR="00B53006" w:rsidRPr="00154588" w:rsidRDefault="00B53006" w:rsidP="008C12B4">
            <w:pPr>
              <w:ind w:firstLine="567"/>
              <w:jc w:val="both"/>
              <w:rPr>
                <w:sz w:val="20"/>
                <w:szCs w:val="20"/>
              </w:rPr>
            </w:pPr>
            <w:r w:rsidRPr="00154588">
              <w:rPr>
                <w:b/>
                <w:sz w:val="20"/>
                <w:szCs w:val="20"/>
              </w:rPr>
              <w:t>Articolul 85.</w:t>
            </w:r>
            <w:r w:rsidRPr="00154588">
              <w:rPr>
                <w:sz w:val="20"/>
                <w:szCs w:val="20"/>
              </w:rPr>
              <w:t xml:space="preserve"> – Banca Naţională a Moldovei, în calitate de autoritate de rezoluţie, este împuternicită să aplice instrumentele de rezoluţie </w:t>
            </w:r>
            <w:bookmarkStart w:id="26" w:name="_Hlk223280464"/>
            <w:r w:rsidRPr="00154588">
              <w:rPr>
                <w:sz w:val="20"/>
                <w:szCs w:val="20"/>
              </w:rPr>
              <w:t>instituțiilor de credit sau entităților prevăzute la art.1 alin.(1) lit.b), c) sau d)</w:t>
            </w:r>
            <w:bookmarkEnd w:id="26"/>
            <w:r w:rsidRPr="00154588">
              <w:rPr>
                <w:sz w:val="20"/>
                <w:szCs w:val="20"/>
              </w:rPr>
              <w:t xml:space="preserve"> care îndeplinesc condiţiile aplicabile de declanşare a procedurii de rezoluţie.</w:t>
            </w:r>
          </w:p>
          <w:p w14:paraId="0C565417" w14:textId="77777777" w:rsidR="00B53006" w:rsidRPr="00154588" w:rsidRDefault="00B53006" w:rsidP="008C12B4">
            <w:pPr>
              <w:jc w:val="both"/>
              <w:rPr>
                <w:bCs/>
                <w:sz w:val="20"/>
                <w:szCs w:val="20"/>
              </w:rPr>
            </w:pPr>
          </w:p>
        </w:tc>
        <w:tc>
          <w:tcPr>
            <w:tcW w:w="2552" w:type="dxa"/>
          </w:tcPr>
          <w:p w14:paraId="6B7F9721" w14:textId="2BBAB0D2" w:rsidR="00B53006" w:rsidRPr="00154588" w:rsidRDefault="00B53006" w:rsidP="008C12B4">
            <w:pPr>
              <w:jc w:val="both"/>
              <w:rPr>
                <w:bCs/>
                <w:sz w:val="20"/>
                <w:szCs w:val="20"/>
              </w:rPr>
            </w:pPr>
            <w:r w:rsidRPr="00154588">
              <w:rPr>
                <w:bCs/>
                <w:sz w:val="20"/>
                <w:szCs w:val="20"/>
              </w:rPr>
              <w:t>Compatibil</w:t>
            </w:r>
          </w:p>
        </w:tc>
        <w:tc>
          <w:tcPr>
            <w:tcW w:w="3118" w:type="dxa"/>
          </w:tcPr>
          <w:p w14:paraId="18D5B9F0" w14:textId="77777777" w:rsidR="00B53006" w:rsidRPr="00154588" w:rsidRDefault="00B53006" w:rsidP="008C12B4">
            <w:pPr>
              <w:jc w:val="both"/>
              <w:rPr>
                <w:bCs/>
                <w:sz w:val="20"/>
                <w:szCs w:val="20"/>
              </w:rPr>
            </w:pPr>
          </w:p>
        </w:tc>
      </w:tr>
      <w:tr w:rsidR="00B53006" w:rsidRPr="00154588" w14:paraId="5AFDE2BB" w14:textId="77777777" w:rsidTr="00D15C1B">
        <w:trPr>
          <w:jc w:val="center"/>
        </w:trPr>
        <w:tc>
          <w:tcPr>
            <w:tcW w:w="4957" w:type="dxa"/>
            <w:gridSpan w:val="2"/>
          </w:tcPr>
          <w:p w14:paraId="35A39F33" w14:textId="080F55C4" w:rsidR="00B53006" w:rsidRPr="00154588" w:rsidRDefault="00B53006" w:rsidP="008C12B4">
            <w:pPr>
              <w:jc w:val="both"/>
              <w:rPr>
                <w:bCs/>
                <w:sz w:val="20"/>
                <w:szCs w:val="20"/>
              </w:rPr>
            </w:pPr>
            <w:r w:rsidRPr="00154588">
              <w:rPr>
                <w:bCs/>
                <w:sz w:val="20"/>
                <w:szCs w:val="20"/>
              </w:rPr>
              <w:t>(2)   În cazul în care autoritatea de rezoluție decide să aplice un instrument de rezoluție unei instituții sau entități menționate la articolul 1 alineatul (1) litera (b), (c) sau (d), iar măsura de rezoluție respectivă ar duce la suportarea unor pierderi de către creditori sau la conversia creanțelor acestora, autoritatea de rezoluție își exercită competența de reducere a valorii contabile sau de conversie a instrumentelor de capital și a datoriilor eligibile în conformitate cu articolul 59 imediat înainte sau odată cu aplicarea instrumentului de rezoluție.</w:t>
            </w:r>
          </w:p>
        </w:tc>
        <w:tc>
          <w:tcPr>
            <w:tcW w:w="4819" w:type="dxa"/>
          </w:tcPr>
          <w:p w14:paraId="169AC97D" w14:textId="60875451" w:rsidR="00B53006" w:rsidRPr="00154588" w:rsidRDefault="00B53006" w:rsidP="008C12B4">
            <w:pPr>
              <w:ind w:firstLine="567"/>
              <w:jc w:val="both"/>
              <w:rPr>
                <w:sz w:val="20"/>
                <w:szCs w:val="20"/>
              </w:rPr>
            </w:pPr>
            <w:r w:rsidRPr="00154588">
              <w:rPr>
                <w:b/>
                <w:sz w:val="20"/>
                <w:szCs w:val="20"/>
              </w:rPr>
              <w:t>Articolul 86.</w:t>
            </w:r>
            <w:r w:rsidRPr="00154588">
              <w:rPr>
                <w:sz w:val="20"/>
                <w:szCs w:val="20"/>
              </w:rPr>
              <w:t xml:space="preserve"> – În cazul în care Banca Naţională a Moldovei, în calitate de autoritate de rezoluţie, decide să aplice un instrument de rezoluţie unei instituții de credit sau entități prevăzute la art.1 alin.(1) lit.b), c) sau d), iar acţiunea de rezoluţie respectivă ar duce la suportarea unor pierderi de către creditori sau la conversia creanţelor acestora, Banca Naţională a Moldovei, în calitate de autoritate de rezoluţie, îşi exercită competenţa de reducere a valorii sau de conversie a instrumentelor de capital </w:t>
            </w:r>
            <w:r w:rsidRPr="00154588">
              <w:rPr>
                <w:sz w:val="20"/>
                <w:szCs w:val="20"/>
                <w:lang w:eastAsia="ro-MD"/>
              </w:rPr>
              <w:t xml:space="preserve">şi a datoriilor eligibile </w:t>
            </w:r>
            <w:r w:rsidRPr="00154588">
              <w:rPr>
                <w:sz w:val="20"/>
                <w:szCs w:val="20"/>
              </w:rPr>
              <w:t>în conformitate cu prevederile art.219-225, imediat înainte sau odată cu aplicarea instrumentului de rezoluţie.</w:t>
            </w:r>
          </w:p>
          <w:p w14:paraId="11DA9E29" w14:textId="77777777" w:rsidR="00B53006" w:rsidRPr="00154588" w:rsidRDefault="00B53006" w:rsidP="008C12B4">
            <w:pPr>
              <w:jc w:val="both"/>
              <w:rPr>
                <w:bCs/>
                <w:sz w:val="20"/>
                <w:szCs w:val="20"/>
              </w:rPr>
            </w:pPr>
          </w:p>
          <w:p w14:paraId="0CDC16D4" w14:textId="77777777" w:rsidR="00B53006" w:rsidRPr="00154588" w:rsidRDefault="00B53006" w:rsidP="008C12B4">
            <w:pPr>
              <w:rPr>
                <w:bCs/>
                <w:sz w:val="20"/>
                <w:szCs w:val="20"/>
              </w:rPr>
            </w:pPr>
          </w:p>
          <w:p w14:paraId="0438C610" w14:textId="72648DA4" w:rsidR="00B53006" w:rsidRPr="00154588" w:rsidRDefault="00B53006" w:rsidP="008C12B4">
            <w:pPr>
              <w:tabs>
                <w:tab w:val="left" w:pos="1005"/>
              </w:tabs>
              <w:rPr>
                <w:bCs/>
                <w:sz w:val="20"/>
                <w:szCs w:val="20"/>
              </w:rPr>
            </w:pPr>
            <w:r w:rsidRPr="00154588">
              <w:rPr>
                <w:sz w:val="20"/>
                <w:szCs w:val="20"/>
              </w:rPr>
              <w:tab/>
            </w:r>
          </w:p>
        </w:tc>
        <w:tc>
          <w:tcPr>
            <w:tcW w:w="2552" w:type="dxa"/>
          </w:tcPr>
          <w:p w14:paraId="1FB86E54" w14:textId="341E3BD6" w:rsidR="00B53006" w:rsidRPr="00154588" w:rsidRDefault="00B53006" w:rsidP="008C12B4">
            <w:pPr>
              <w:jc w:val="both"/>
              <w:rPr>
                <w:bCs/>
                <w:sz w:val="20"/>
                <w:szCs w:val="20"/>
              </w:rPr>
            </w:pPr>
            <w:r w:rsidRPr="00154588">
              <w:rPr>
                <w:bCs/>
                <w:sz w:val="20"/>
                <w:szCs w:val="20"/>
              </w:rPr>
              <w:t>Compatibil</w:t>
            </w:r>
          </w:p>
        </w:tc>
        <w:tc>
          <w:tcPr>
            <w:tcW w:w="3118" w:type="dxa"/>
          </w:tcPr>
          <w:p w14:paraId="016D489D" w14:textId="77777777" w:rsidR="00B53006" w:rsidRPr="00154588" w:rsidRDefault="00B53006" w:rsidP="008C12B4">
            <w:pPr>
              <w:jc w:val="both"/>
              <w:rPr>
                <w:bCs/>
                <w:sz w:val="20"/>
                <w:szCs w:val="20"/>
              </w:rPr>
            </w:pPr>
          </w:p>
        </w:tc>
      </w:tr>
      <w:tr w:rsidR="00B53006" w:rsidRPr="00154588" w14:paraId="3BE9A26C" w14:textId="77777777" w:rsidTr="00D15C1B">
        <w:trPr>
          <w:jc w:val="center"/>
        </w:trPr>
        <w:tc>
          <w:tcPr>
            <w:tcW w:w="4957" w:type="dxa"/>
            <w:gridSpan w:val="2"/>
          </w:tcPr>
          <w:p w14:paraId="33256E81" w14:textId="77777777" w:rsidR="00B53006" w:rsidRPr="00154588" w:rsidRDefault="00B53006" w:rsidP="008C12B4">
            <w:pPr>
              <w:jc w:val="both"/>
              <w:rPr>
                <w:bCs/>
                <w:sz w:val="20"/>
                <w:szCs w:val="20"/>
              </w:rPr>
            </w:pPr>
            <w:r w:rsidRPr="00154588">
              <w:rPr>
                <w:bCs/>
                <w:sz w:val="20"/>
                <w:szCs w:val="20"/>
              </w:rPr>
              <w:t>(3)   Instrumentele de rezoluție menționate la alineatul (1) sunt următoarele:</w:t>
            </w:r>
          </w:p>
          <w:p w14:paraId="1D78BA64" w14:textId="77777777" w:rsidR="00B53006" w:rsidRPr="00154588" w:rsidRDefault="00B53006" w:rsidP="008C12B4">
            <w:pPr>
              <w:jc w:val="both"/>
              <w:rPr>
                <w:bCs/>
                <w:sz w:val="20"/>
                <w:szCs w:val="20"/>
              </w:rPr>
            </w:pPr>
          </w:p>
          <w:p w14:paraId="1A1D755E" w14:textId="6209651B" w:rsidR="00B53006" w:rsidRPr="00154588" w:rsidRDefault="00B53006" w:rsidP="008C12B4">
            <w:pPr>
              <w:jc w:val="both"/>
              <w:rPr>
                <w:bCs/>
                <w:sz w:val="20"/>
                <w:szCs w:val="20"/>
              </w:rPr>
            </w:pPr>
            <w:r w:rsidRPr="00154588">
              <w:rPr>
                <w:bCs/>
                <w:sz w:val="20"/>
                <w:szCs w:val="20"/>
              </w:rPr>
              <w:t>(a) instrumentul de vânzare a activității;</w:t>
            </w:r>
          </w:p>
          <w:p w14:paraId="772C4800" w14:textId="77777777" w:rsidR="00B53006" w:rsidRPr="00154588" w:rsidRDefault="00B53006" w:rsidP="008C12B4">
            <w:pPr>
              <w:jc w:val="both"/>
              <w:rPr>
                <w:bCs/>
                <w:sz w:val="20"/>
                <w:szCs w:val="20"/>
              </w:rPr>
            </w:pPr>
          </w:p>
          <w:p w14:paraId="5472CA66" w14:textId="0513D3C9" w:rsidR="00B53006" w:rsidRPr="00154588" w:rsidRDefault="00B53006" w:rsidP="008C12B4">
            <w:pPr>
              <w:jc w:val="both"/>
              <w:rPr>
                <w:bCs/>
                <w:sz w:val="20"/>
                <w:szCs w:val="20"/>
              </w:rPr>
            </w:pPr>
            <w:r w:rsidRPr="00154588">
              <w:rPr>
                <w:bCs/>
                <w:sz w:val="20"/>
                <w:szCs w:val="20"/>
              </w:rPr>
              <w:t>(b) instrumentul instituției-punte;</w:t>
            </w:r>
          </w:p>
          <w:p w14:paraId="52CB9993" w14:textId="77777777" w:rsidR="00B53006" w:rsidRPr="00154588" w:rsidRDefault="00B53006" w:rsidP="008C12B4">
            <w:pPr>
              <w:jc w:val="both"/>
              <w:rPr>
                <w:bCs/>
                <w:sz w:val="20"/>
                <w:szCs w:val="20"/>
              </w:rPr>
            </w:pPr>
          </w:p>
          <w:p w14:paraId="46FF3409" w14:textId="14686C6A" w:rsidR="00B53006" w:rsidRPr="00154588" w:rsidRDefault="00B53006" w:rsidP="008C12B4">
            <w:pPr>
              <w:jc w:val="both"/>
              <w:rPr>
                <w:bCs/>
                <w:sz w:val="20"/>
                <w:szCs w:val="20"/>
              </w:rPr>
            </w:pPr>
            <w:r w:rsidRPr="00154588">
              <w:rPr>
                <w:bCs/>
                <w:sz w:val="20"/>
                <w:szCs w:val="20"/>
              </w:rPr>
              <w:t>(c) instrumentul de separare a activelor;</w:t>
            </w:r>
          </w:p>
          <w:p w14:paraId="7C1D8AF2" w14:textId="77777777" w:rsidR="00B53006" w:rsidRPr="00154588" w:rsidRDefault="00B53006" w:rsidP="008C12B4">
            <w:pPr>
              <w:jc w:val="both"/>
              <w:rPr>
                <w:bCs/>
                <w:sz w:val="20"/>
                <w:szCs w:val="20"/>
              </w:rPr>
            </w:pPr>
          </w:p>
          <w:p w14:paraId="2F6FF8F5" w14:textId="57053D3D" w:rsidR="00B53006" w:rsidRPr="00154588" w:rsidRDefault="00B53006" w:rsidP="008C12B4">
            <w:pPr>
              <w:jc w:val="both"/>
              <w:rPr>
                <w:bCs/>
                <w:sz w:val="20"/>
                <w:szCs w:val="20"/>
              </w:rPr>
            </w:pPr>
            <w:r w:rsidRPr="00154588">
              <w:rPr>
                <w:bCs/>
                <w:sz w:val="20"/>
                <w:szCs w:val="20"/>
              </w:rPr>
              <w:t>(d) instrumentul de recapitalizare internă.</w:t>
            </w:r>
          </w:p>
        </w:tc>
        <w:tc>
          <w:tcPr>
            <w:tcW w:w="4819" w:type="dxa"/>
          </w:tcPr>
          <w:p w14:paraId="6C86C15B" w14:textId="77777777" w:rsidR="00B53006" w:rsidRPr="00154588" w:rsidRDefault="00B53006"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87.</w:t>
            </w:r>
            <w:r w:rsidRPr="00154588">
              <w:rPr>
                <w:sz w:val="20"/>
                <w:szCs w:val="20"/>
              </w:rPr>
              <w:t xml:space="preserve"> – Instrumentele de rezoluţie prevăzute la art.85 sînt următoarele:</w:t>
            </w:r>
          </w:p>
          <w:p w14:paraId="08B4A032" w14:textId="77777777" w:rsidR="00B53006" w:rsidRPr="00154588" w:rsidRDefault="00B53006" w:rsidP="008C12B4">
            <w:pPr>
              <w:ind w:firstLine="567"/>
              <w:jc w:val="both"/>
              <w:rPr>
                <w:sz w:val="20"/>
                <w:szCs w:val="20"/>
              </w:rPr>
            </w:pPr>
            <w:r w:rsidRPr="00154588">
              <w:rPr>
                <w:sz w:val="20"/>
                <w:szCs w:val="20"/>
              </w:rPr>
              <w:t>a) instrumentul vînzarea afacerii;</w:t>
            </w:r>
          </w:p>
          <w:p w14:paraId="147261D4" w14:textId="77777777" w:rsidR="00B53006" w:rsidRPr="00154588" w:rsidRDefault="00B53006" w:rsidP="008C12B4">
            <w:pPr>
              <w:ind w:firstLine="567"/>
              <w:jc w:val="both"/>
              <w:rPr>
                <w:sz w:val="20"/>
                <w:szCs w:val="20"/>
              </w:rPr>
            </w:pPr>
            <w:r w:rsidRPr="00154588">
              <w:rPr>
                <w:sz w:val="20"/>
                <w:szCs w:val="20"/>
              </w:rPr>
              <w:t>b) instrumentul instituție-punte;</w:t>
            </w:r>
          </w:p>
          <w:p w14:paraId="031FB652" w14:textId="77777777" w:rsidR="00B53006" w:rsidRPr="00154588" w:rsidRDefault="00B53006" w:rsidP="008C12B4">
            <w:pPr>
              <w:ind w:firstLine="567"/>
              <w:jc w:val="both"/>
              <w:rPr>
                <w:sz w:val="20"/>
                <w:szCs w:val="20"/>
              </w:rPr>
            </w:pPr>
            <w:r w:rsidRPr="00154588">
              <w:rPr>
                <w:sz w:val="20"/>
                <w:szCs w:val="20"/>
              </w:rPr>
              <w:t>c) instrumentul separarea activelor;</w:t>
            </w:r>
          </w:p>
          <w:p w14:paraId="72A21305" w14:textId="77777777" w:rsidR="00B53006" w:rsidRPr="00154588" w:rsidRDefault="00B53006" w:rsidP="008C12B4">
            <w:pPr>
              <w:ind w:firstLine="567"/>
              <w:jc w:val="both"/>
              <w:rPr>
                <w:sz w:val="20"/>
                <w:szCs w:val="20"/>
              </w:rPr>
            </w:pPr>
            <w:r w:rsidRPr="00154588">
              <w:rPr>
                <w:sz w:val="20"/>
                <w:szCs w:val="20"/>
              </w:rPr>
              <w:t>d) instrumentul recapitalizarea internă.</w:t>
            </w:r>
          </w:p>
          <w:p w14:paraId="48FA935B" w14:textId="77777777" w:rsidR="00B53006" w:rsidRPr="00154588" w:rsidRDefault="00B53006" w:rsidP="008C12B4">
            <w:pPr>
              <w:jc w:val="both"/>
              <w:rPr>
                <w:bCs/>
                <w:sz w:val="20"/>
                <w:szCs w:val="20"/>
              </w:rPr>
            </w:pPr>
          </w:p>
        </w:tc>
        <w:tc>
          <w:tcPr>
            <w:tcW w:w="2552" w:type="dxa"/>
          </w:tcPr>
          <w:p w14:paraId="5A91BF31" w14:textId="06EA4887" w:rsidR="00B53006" w:rsidRPr="00154588" w:rsidRDefault="00B53006" w:rsidP="008C12B4">
            <w:pPr>
              <w:jc w:val="both"/>
              <w:rPr>
                <w:bCs/>
                <w:sz w:val="20"/>
                <w:szCs w:val="20"/>
              </w:rPr>
            </w:pPr>
            <w:r w:rsidRPr="00154588">
              <w:rPr>
                <w:bCs/>
                <w:sz w:val="20"/>
                <w:szCs w:val="20"/>
              </w:rPr>
              <w:t>Compatibil</w:t>
            </w:r>
          </w:p>
        </w:tc>
        <w:tc>
          <w:tcPr>
            <w:tcW w:w="3118" w:type="dxa"/>
          </w:tcPr>
          <w:p w14:paraId="24609996" w14:textId="77777777" w:rsidR="00B53006" w:rsidRPr="00154588" w:rsidRDefault="00B53006" w:rsidP="008C12B4">
            <w:pPr>
              <w:jc w:val="both"/>
              <w:rPr>
                <w:bCs/>
                <w:sz w:val="20"/>
                <w:szCs w:val="20"/>
              </w:rPr>
            </w:pPr>
          </w:p>
        </w:tc>
      </w:tr>
      <w:tr w:rsidR="00B53006" w:rsidRPr="00154588" w14:paraId="54D78063" w14:textId="77777777" w:rsidTr="00D15C1B">
        <w:trPr>
          <w:jc w:val="center"/>
        </w:trPr>
        <w:tc>
          <w:tcPr>
            <w:tcW w:w="4957" w:type="dxa"/>
            <w:gridSpan w:val="2"/>
          </w:tcPr>
          <w:p w14:paraId="0DF4E083" w14:textId="60176963" w:rsidR="00B53006" w:rsidRPr="00154588" w:rsidRDefault="00B53006" w:rsidP="008C12B4">
            <w:pPr>
              <w:jc w:val="both"/>
              <w:rPr>
                <w:bCs/>
                <w:sz w:val="20"/>
                <w:szCs w:val="20"/>
              </w:rPr>
            </w:pPr>
            <w:r w:rsidRPr="00154588">
              <w:rPr>
                <w:bCs/>
                <w:sz w:val="20"/>
                <w:szCs w:val="20"/>
              </w:rPr>
              <w:lastRenderedPageBreak/>
              <w:t>(4)   Sub rezerva alineatului (5), autoritățile de rezoluție pot aplica instrumentele de rezoluție fie individual, fie într-o combinație oarecare.</w:t>
            </w:r>
          </w:p>
        </w:tc>
        <w:tc>
          <w:tcPr>
            <w:tcW w:w="4819" w:type="dxa"/>
          </w:tcPr>
          <w:p w14:paraId="4D7C83B0" w14:textId="77777777" w:rsidR="00B53006" w:rsidRPr="00154588" w:rsidRDefault="00B53006" w:rsidP="008C12B4">
            <w:pPr>
              <w:ind w:firstLine="567"/>
              <w:jc w:val="both"/>
              <w:rPr>
                <w:sz w:val="20"/>
                <w:szCs w:val="20"/>
              </w:rPr>
            </w:pPr>
            <w:r w:rsidRPr="00154588">
              <w:rPr>
                <w:b/>
                <w:sz w:val="20"/>
                <w:szCs w:val="20"/>
              </w:rPr>
              <w:t>Articolul 88.</w:t>
            </w:r>
            <w:r w:rsidRPr="00154588">
              <w:rPr>
                <w:sz w:val="20"/>
                <w:szCs w:val="20"/>
              </w:rPr>
              <w:t xml:space="preserve"> – Cu respectarea prevederilor art.89, Banca Naţională a Moldovei, în calitate de autoritate de rezoluţie, poate aplica instrumentele de rezoluţie individual sau în orice combinaţie.</w:t>
            </w:r>
          </w:p>
          <w:p w14:paraId="209A4427" w14:textId="77777777" w:rsidR="00B53006" w:rsidRPr="00154588" w:rsidRDefault="00B53006" w:rsidP="008C12B4">
            <w:pPr>
              <w:jc w:val="both"/>
              <w:rPr>
                <w:bCs/>
                <w:sz w:val="20"/>
                <w:szCs w:val="20"/>
              </w:rPr>
            </w:pPr>
          </w:p>
        </w:tc>
        <w:tc>
          <w:tcPr>
            <w:tcW w:w="2552" w:type="dxa"/>
          </w:tcPr>
          <w:p w14:paraId="6D19349E" w14:textId="64ED16F7" w:rsidR="00B53006" w:rsidRPr="00154588" w:rsidRDefault="00B53006" w:rsidP="008C12B4">
            <w:pPr>
              <w:jc w:val="both"/>
              <w:rPr>
                <w:bCs/>
                <w:sz w:val="20"/>
                <w:szCs w:val="20"/>
              </w:rPr>
            </w:pPr>
            <w:r w:rsidRPr="00154588">
              <w:rPr>
                <w:bCs/>
                <w:sz w:val="20"/>
                <w:szCs w:val="20"/>
              </w:rPr>
              <w:t>Compatibil</w:t>
            </w:r>
          </w:p>
        </w:tc>
        <w:tc>
          <w:tcPr>
            <w:tcW w:w="3118" w:type="dxa"/>
          </w:tcPr>
          <w:p w14:paraId="7B047A72" w14:textId="77777777" w:rsidR="00B53006" w:rsidRPr="00154588" w:rsidRDefault="00B53006" w:rsidP="008C12B4">
            <w:pPr>
              <w:jc w:val="both"/>
              <w:rPr>
                <w:bCs/>
                <w:sz w:val="20"/>
                <w:szCs w:val="20"/>
              </w:rPr>
            </w:pPr>
          </w:p>
        </w:tc>
      </w:tr>
      <w:tr w:rsidR="00B53006" w:rsidRPr="00154588" w14:paraId="69977BF0" w14:textId="77777777" w:rsidTr="00D15C1B">
        <w:trPr>
          <w:jc w:val="center"/>
        </w:trPr>
        <w:tc>
          <w:tcPr>
            <w:tcW w:w="4957" w:type="dxa"/>
            <w:gridSpan w:val="2"/>
          </w:tcPr>
          <w:p w14:paraId="0B57AD85" w14:textId="24DAFE6F" w:rsidR="00B53006" w:rsidRPr="00154588" w:rsidRDefault="00B53006" w:rsidP="008C12B4">
            <w:pPr>
              <w:jc w:val="both"/>
              <w:rPr>
                <w:bCs/>
                <w:sz w:val="20"/>
                <w:szCs w:val="20"/>
              </w:rPr>
            </w:pPr>
            <w:r w:rsidRPr="00154588">
              <w:rPr>
                <w:bCs/>
                <w:sz w:val="20"/>
                <w:szCs w:val="20"/>
              </w:rPr>
              <w:t>(5) Autoritățile de rezoluție pot aplica instrumentul de separare a activelor numai împreună cu un alt instrument de rezoluție.</w:t>
            </w:r>
          </w:p>
        </w:tc>
        <w:tc>
          <w:tcPr>
            <w:tcW w:w="4819" w:type="dxa"/>
          </w:tcPr>
          <w:p w14:paraId="11262AA5" w14:textId="77777777" w:rsidR="00B53006" w:rsidRPr="00154588" w:rsidRDefault="00B53006" w:rsidP="008C12B4">
            <w:pPr>
              <w:ind w:firstLine="567"/>
              <w:jc w:val="both"/>
              <w:rPr>
                <w:sz w:val="20"/>
                <w:szCs w:val="20"/>
              </w:rPr>
            </w:pPr>
            <w:r w:rsidRPr="00154588">
              <w:rPr>
                <w:b/>
                <w:sz w:val="20"/>
                <w:szCs w:val="20"/>
              </w:rPr>
              <w:t>Articolul 89.</w:t>
            </w:r>
            <w:r w:rsidRPr="00154588">
              <w:rPr>
                <w:sz w:val="20"/>
                <w:szCs w:val="20"/>
              </w:rPr>
              <w:t xml:space="preserve"> – Banca Naţională a Moldovei, în calitate de autoritate de rezoluţie, poate aplica instrumentul de separare a activelor numai împreună cu un alt instrument de rezoluţie.</w:t>
            </w:r>
          </w:p>
          <w:p w14:paraId="03E8CA82" w14:textId="77777777" w:rsidR="00B53006" w:rsidRPr="00154588" w:rsidRDefault="00B53006" w:rsidP="008C12B4">
            <w:pPr>
              <w:jc w:val="both"/>
              <w:rPr>
                <w:bCs/>
                <w:sz w:val="20"/>
                <w:szCs w:val="20"/>
              </w:rPr>
            </w:pPr>
          </w:p>
        </w:tc>
        <w:tc>
          <w:tcPr>
            <w:tcW w:w="2552" w:type="dxa"/>
          </w:tcPr>
          <w:p w14:paraId="610B2145" w14:textId="7696FD36" w:rsidR="00B53006" w:rsidRPr="00154588" w:rsidRDefault="00B53006" w:rsidP="008C12B4">
            <w:pPr>
              <w:jc w:val="both"/>
              <w:rPr>
                <w:bCs/>
                <w:sz w:val="20"/>
                <w:szCs w:val="20"/>
              </w:rPr>
            </w:pPr>
            <w:r w:rsidRPr="00154588">
              <w:rPr>
                <w:bCs/>
                <w:sz w:val="20"/>
                <w:szCs w:val="20"/>
              </w:rPr>
              <w:t>Compatibil</w:t>
            </w:r>
          </w:p>
        </w:tc>
        <w:tc>
          <w:tcPr>
            <w:tcW w:w="3118" w:type="dxa"/>
          </w:tcPr>
          <w:p w14:paraId="03083374" w14:textId="77777777" w:rsidR="00B53006" w:rsidRPr="00154588" w:rsidRDefault="00B53006" w:rsidP="008C12B4">
            <w:pPr>
              <w:jc w:val="both"/>
              <w:rPr>
                <w:bCs/>
                <w:sz w:val="20"/>
                <w:szCs w:val="20"/>
              </w:rPr>
            </w:pPr>
          </w:p>
        </w:tc>
      </w:tr>
      <w:tr w:rsidR="00B53006" w:rsidRPr="00154588" w14:paraId="5657E4EA" w14:textId="77777777" w:rsidTr="00D15C1B">
        <w:trPr>
          <w:jc w:val="center"/>
        </w:trPr>
        <w:tc>
          <w:tcPr>
            <w:tcW w:w="4957" w:type="dxa"/>
            <w:gridSpan w:val="2"/>
          </w:tcPr>
          <w:p w14:paraId="646E9125" w14:textId="77777777" w:rsidR="00B53006" w:rsidRPr="00154588" w:rsidRDefault="00B53006" w:rsidP="008C12B4">
            <w:pPr>
              <w:jc w:val="both"/>
              <w:rPr>
                <w:bCs/>
                <w:sz w:val="20"/>
                <w:szCs w:val="20"/>
              </w:rPr>
            </w:pPr>
            <w:r w:rsidRPr="00154588">
              <w:rPr>
                <w:bCs/>
                <w:sz w:val="20"/>
                <w:szCs w:val="20"/>
              </w:rPr>
              <w:t xml:space="preserve">(6)   Atunci când instrumentele de rezoluție menționate la alineatul (3) litera (a) sau (b) de la prezentul articol sunt utilizate, în mod independent sau în combinație cu alte instrumente de rezoluție, pentru a transfera doar o parte din activele, drepturile sau pasivele unei instituții aflate în rezoluție, orice entitate reziduală rămasă după transferul activelor, drepturilor sau pasivelor și după aplicarea altor instrumente de rezoluție, după caz, este lichidată în mod ordonat în conformitate cu dreptul intern aplicabil. O astfel de lichidare se efectuează într-un termen rezonabil, având în vedere eventuala necesitate ca entitatea reziduală respectivă să furnizeze servicii sau sprijin în temeiul articolului 65, pentru a permite destinatarului să își desfășoare activitățile sau serviciile achiziționate în temeiul transferului, precum și orice alt motiv care face necesară continuarea activității entității reziduale pentru atingerea obiectivelor rezoluției sau respectarea principiilor prevăzute la articolul 34. </w:t>
            </w:r>
          </w:p>
          <w:p w14:paraId="4294FE7C" w14:textId="77777777" w:rsidR="00B53006" w:rsidRPr="00154588" w:rsidRDefault="00B53006" w:rsidP="008C12B4">
            <w:pPr>
              <w:jc w:val="both"/>
              <w:rPr>
                <w:bCs/>
                <w:sz w:val="20"/>
                <w:szCs w:val="20"/>
              </w:rPr>
            </w:pPr>
            <w:r w:rsidRPr="00154588">
              <w:rPr>
                <w:bCs/>
                <w:sz w:val="20"/>
                <w:szCs w:val="20"/>
              </w:rPr>
              <w:t>Primul paragraf de la prezentul alineat nu se aplică în cazul în care instrumentul de recapitalizare internă este aplicat unei instituții aflate în rezoluție în sensul articolului 43 alineatul (2) litera (a), în combinație cu alte instrumente de rezoluție.</w:t>
            </w:r>
          </w:p>
          <w:p w14:paraId="474F435D" w14:textId="77777777" w:rsidR="00B53006" w:rsidRPr="00154588" w:rsidRDefault="00B53006" w:rsidP="008C12B4">
            <w:pPr>
              <w:jc w:val="both"/>
              <w:rPr>
                <w:bCs/>
                <w:sz w:val="20"/>
                <w:szCs w:val="20"/>
              </w:rPr>
            </w:pPr>
            <w:r w:rsidRPr="00154588">
              <w:rPr>
                <w:bCs/>
                <w:sz w:val="20"/>
                <w:szCs w:val="20"/>
              </w:rPr>
              <w:t xml:space="preserve">În cazurile menționate la primul paragraf de la prezentul alineat, atunci când măsura de rezoluție ar conduce la suportarea de pierderi de către creditori sau la conversia creanțelor acestora, autoritatea de rezoluție poate decide să nu își exercite competența de reducere a valorii contabile și de conversie a instrumentelor de capital în conformitate cu articolul 59, astfel cum se menționează la alineatul (2) de la prezentul articol, dacă instrumentele respective urmează să rămână în entitatea reziduală, iar aplicarea instrumentelor de rezoluție menționate la </w:t>
            </w:r>
            <w:r w:rsidRPr="00154588">
              <w:rPr>
                <w:bCs/>
                <w:sz w:val="20"/>
                <w:szCs w:val="20"/>
              </w:rPr>
              <w:lastRenderedPageBreak/>
              <w:t>alineatul (3) litera (a) sau (b) de la prezentul articol împreună cu lichidarea entității reziduale ar asigura, pe baza evaluării menționate la articolul 36, faptul că acestea ar suporta pierderi înaintea oricărui alt creditor al instituției aflate în rezoluție.</w:t>
            </w:r>
            <w:r w:rsidRPr="00154588" w:rsidDel="00B83262">
              <w:rPr>
                <w:bCs/>
                <w:sz w:val="20"/>
                <w:szCs w:val="20"/>
              </w:rPr>
              <w:t xml:space="preserve"> </w:t>
            </w:r>
            <w:r w:rsidRPr="00154588">
              <w:rPr>
                <w:bCs/>
                <w:sz w:val="20"/>
                <w:szCs w:val="20"/>
              </w:rPr>
              <w:t xml:space="preserve"> </w:t>
            </w:r>
          </w:p>
          <w:p w14:paraId="578E113F" w14:textId="7FD20AD9" w:rsidR="00B53006" w:rsidRPr="00154588" w:rsidRDefault="00B53006" w:rsidP="008C12B4">
            <w:pPr>
              <w:jc w:val="both"/>
              <w:rPr>
                <w:bCs/>
                <w:sz w:val="20"/>
                <w:szCs w:val="20"/>
              </w:rPr>
            </w:pPr>
          </w:p>
        </w:tc>
        <w:tc>
          <w:tcPr>
            <w:tcW w:w="4819" w:type="dxa"/>
          </w:tcPr>
          <w:p w14:paraId="1A43E0EA" w14:textId="0F493172" w:rsidR="00B53006" w:rsidRPr="00154588" w:rsidRDefault="00B53006" w:rsidP="008C12B4">
            <w:pPr>
              <w:ind w:firstLine="567"/>
              <w:jc w:val="both"/>
              <w:rPr>
                <w:sz w:val="20"/>
                <w:szCs w:val="20"/>
              </w:rPr>
            </w:pPr>
            <w:r w:rsidRPr="00154588">
              <w:rPr>
                <w:b/>
                <w:sz w:val="20"/>
                <w:szCs w:val="20"/>
              </w:rPr>
              <w:lastRenderedPageBreak/>
              <w:t>Articolul 90.</w:t>
            </w:r>
            <w:r w:rsidRPr="00154588">
              <w:rPr>
                <w:sz w:val="20"/>
                <w:szCs w:val="20"/>
              </w:rPr>
              <w:t xml:space="preserve"> – </w:t>
            </w:r>
            <w:bookmarkStart w:id="27" w:name="_Hlk223280759"/>
            <w:r w:rsidR="00EE76D6" w:rsidRPr="00154588">
              <w:rPr>
                <w:sz w:val="20"/>
                <w:szCs w:val="20"/>
              </w:rPr>
              <w:t>(1)</w:t>
            </w:r>
            <w:r w:rsidR="00436B79" w:rsidRPr="00154588">
              <w:rPr>
                <w:sz w:val="20"/>
                <w:szCs w:val="20"/>
              </w:rPr>
              <w:t xml:space="preserve"> </w:t>
            </w:r>
            <w:r w:rsidRPr="00154588">
              <w:rPr>
                <w:sz w:val="20"/>
                <w:szCs w:val="20"/>
              </w:rPr>
              <w:t>În situaţia în care sînt utilizate  instrumentele de rezoluţie prevăzute la art.87 lit.a) sau b),</w:t>
            </w:r>
            <w:r w:rsidR="00EE76D6" w:rsidRPr="00154588">
              <w:rPr>
                <w:sz w:val="20"/>
                <w:szCs w:val="20"/>
              </w:rPr>
              <w:t>în mod independent sau în combinație cu alte instrumente de rezoluție,</w:t>
            </w:r>
            <w:r w:rsidRPr="00154588">
              <w:rPr>
                <w:sz w:val="20"/>
                <w:szCs w:val="20"/>
              </w:rPr>
              <w:t xml:space="preserve"> pentru a transfera doar parţial active, drepturi sau obligaţii ale unei instituții  supuse rezoluţiei, </w:t>
            </w:r>
            <w:r w:rsidR="00EE76D6" w:rsidRPr="00154588">
              <w:rPr>
                <w:sz w:val="20"/>
                <w:szCs w:val="20"/>
              </w:rPr>
              <w:t xml:space="preserve">orice entitate </w:t>
            </w:r>
            <w:r w:rsidRPr="00154588">
              <w:rPr>
                <w:sz w:val="20"/>
                <w:szCs w:val="20"/>
              </w:rPr>
              <w:t xml:space="preserve"> reziduală </w:t>
            </w:r>
            <w:r w:rsidR="00EE76D6" w:rsidRPr="00154588">
              <w:rPr>
                <w:sz w:val="20"/>
                <w:szCs w:val="20"/>
              </w:rPr>
              <w:t xml:space="preserve">rămasă după transferul </w:t>
            </w:r>
            <w:r w:rsidR="00EE76D6" w:rsidRPr="00154588">
              <w:rPr>
                <w:bCs/>
                <w:sz w:val="20"/>
                <w:szCs w:val="20"/>
              </w:rPr>
              <w:t>activelor, drepturilor sau pasivelor și după aplicarea altor instrumente de rezoluție, după caz, este lichidată în mod ordonat</w:t>
            </w:r>
            <w:r w:rsidRPr="00154588">
              <w:rPr>
                <w:sz w:val="20"/>
                <w:szCs w:val="20"/>
              </w:rPr>
              <w:t>, conform procedurii obișnuite de insolvabilitate. Lichidarea se realizează într-un termen rezonabil, având în vedere orice eventuală situație în care instituția de credit reziduală sau entitatea reziduală prevăzută la art.1 alin.(1) lit.b), c) sau d) trebuie să furnizeze servicii sau sprijin în conformitate cu prevederile art.236-238, pentru a permite destinatarului să-și desfășoare activitățile sau serviciile achiziționate în temeiul transferului, precum și orice alt motiv care face necesară continuarea activității instituției de credit reziduale sau a entității reziduale prevăzute la art.1 alin.(1) lit.b), c) sau d) pentru atingerea obiectivelor rezoluției sau respectarea principiilor prevăzute la art.61-65.</w:t>
            </w:r>
            <w:bookmarkEnd w:id="27"/>
          </w:p>
          <w:p w14:paraId="536BA3B2" w14:textId="6A115844" w:rsidR="00B0579A" w:rsidRPr="00154588" w:rsidRDefault="00EE76D6" w:rsidP="008C12B4">
            <w:pPr>
              <w:jc w:val="both"/>
              <w:rPr>
                <w:bCs/>
                <w:sz w:val="20"/>
                <w:szCs w:val="20"/>
              </w:rPr>
            </w:pPr>
            <w:r w:rsidRPr="00154588">
              <w:rPr>
                <w:bCs/>
                <w:sz w:val="20"/>
                <w:szCs w:val="20"/>
              </w:rPr>
              <w:t>(2)</w:t>
            </w:r>
            <w:r w:rsidR="000945CD" w:rsidRPr="00154588">
              <w:rPr>
                <w:bCs/>
                <w:sz w:val="20"/>
                <w:szCs w:val="20"/>
              </w:rPr>
              <w:t xml:space="preserve"> </w:t>
            </w:r>
            <w:r w:rsidR="0042303B" w:rsidRPr="00154588">
              <w:rPr>
                <w:bCs/>
                <w:sz w:val="20"/>
                <w:szCs w:val="20"/>
              </w:rPr>
              <w:t>Prevederile alin</w:t>
            </w:r>
            <w:r w:rsidR="000945CD" w:rsidRPr="00154588">
              <w:rPr>
                <w:bCs/>
                <w:sz w:val="20"/>
                <w:szCs w:val="20"/>
              </w:rPr>
              <w:t>.</w:t>
            </w:r>
            <w:r w:rsidR="0042303B" w:rsidRPr="00154588">
              <w:rPr>
                <w:bCs/>
                <w:sz w:val="20"/>
                <w:szCs w:val="20"/>
              </w:rPr>
              <w:t>(</w:t>
            </w:r>
            <w:r w:rsidR="000945CD" w:rsidRPr="00154588">
              <w:rPr>
                <w:bCs/>
                <w:sz w:val="20"/>
                <w:szCs w:val="20"/>
              </w:rPr>
              <w:t>1</w:t>
            </w:r>
            <w:r w:rsidR="0042303B" w:rsidRPr="00154588">
              <w:rPr>
                <w:bCs/>
                <w:sz w:val="20"/>
                <w:szCs w:val="20"/>
              </w:rPr>
              <w:t>)</w:t>
            </w:r>
            <w:r w:rsidR="000945CD" w:rsidRPr="00154588">
              <w:rPr>
                <w:bCs/>
                <w:sz w:val="20"/>
                <w:szCs w:val="20"/>
              </w:rPr>
              <w:t xml:space="preserve"> nu </w:t>
            </w:r>
            <w:r w:rsidR="0042303B" w:rsidRPr="00154588">
              <w:rPr>
                <w:bCs/>
                <w:sz w:val="20"/>
                <w:szCs w:val="20"/>
              </w:rPr>
              <w:t xml:space="preserve">sunt </w:t>
            </w:r>
            <w:r w:rsidR="000945CD" w:rsidRPr="00154588">
              <w:rPr>
                <w:bCs/>
                <w:sz w:val="20"/>
                <w:szCs w:val="20"/>
              </w:rPr>
              <w:t>aplicabil</w:t>
            </w:r>
            <w:r w:rsidR="0042303B" w:rsidRPr="00154588">
              <w:rPr>
                <w:bCs/>
                <w:sz w:val="20"/>
                <w:szCs w:val="20"/>
              </w:rPr>
              <w:t>e</w:t>
            </w:r>
            <w:r w:rsidR="000945CD" w:rsidRPr="00154588">
              <w:rPr>
                <w:bCs/>
                <w:sz w:val="20"/>
                <w:szCs w:val="20"/>
              </w:rPr>
              <w:t xml:space="preserve"> </w:t>
            </w:r>
            <w:r w:rsidR="0042303B" w:rsidRPr="00154588">
              <w:rPr>
                <w:bCs/>
                <w:sz w:val="20"/>
                <w:szCs w:val="20"/>
              </w:rPr>
              <w:t>î</w:t>
            </w:r>
            <w:r w:rsidR="000945CD" w:rsidRPr="00154588">
              <w:rPr>
                <w:bCs/>
                <w:sz w:val="20"/>
                <w:szCs w:val="20"/>
              </w:rPr>
              <w:t xml:space="preserve">n cazul </w:t>
            </w:r>
            <w:r w:rsidR="0042303B" w:rsidRPr="00154588">
              <w:rPr>
                <w:bCs/>
                <w:sz w:val="20"/>
                <w:szCs w:val="20"/>
              </w:rPr>
              <w:t>î</w:t>
            </w:r>
            <w:r w:rsidR="000945CD" w:rsidRPr="00154588">
              <w:rPr>
                <w:bCs/>
                <w:sz w:val="20"/>
                <w:szCs w:val="20"/>
              </w:rPr>
              <w:t xml:space="preserve">n care instrumentul de recapitalizare interna este </w:t>
            </w:r>
            <w:r w:rsidR="0042303B" w:rsidRPr="00154588">
              <w:rPr>
                <w:bCs/>
                <w:sz w:val="20"/>
                <w:szCs w:val="20"/>
              </w:rPr>
              <w:t>aplicabil</w:t>
            </w:r>
            <w:r w:rsidR="000945CD" w:rsidRPr="00154588">
              <w:rPr>
                <w:bCs/>
                <w:sz w:val="20"/>
                <w:szCs w:val="20"/>
              </w:rPr>
              <w:t xml:space="preserve"> unei </w:t>
            </w:r>
            <w:r w:rsidR="0042303B" w:rsidRPr="00154588">
              <w:rPr>
                <w:bCs/>
                <w:sz w:val="20"/>
                <w:szCs w:val="20"/>
              </w:rPr>
              <w:t>instituții</w:t>
            </w:r>
            <w:r w:rsidR="000945CD" w:rsidRPr="00154588">
              <w:rPr>
                <w:bCs/>
                <w:sz w:val="20"/>
                <w:szCs w:val="20"/>
              </w:rPr>
              <w:t xml:space="preserve"> de credit aflate </w:t>
            </w:r>
            <w:r w:rsidR="0042303B" w:rsidRPr="00154588">
              <w:rPr>
                <w:bCs/>
                <w:sz w:val="20"/>
                <w:szCs w:val="20"/>
              </w:rPr>
              <w:t>î</w:t>
            </w:r>
            <w:r w:rsidR="000945CD" w:rsidRPr="00154588">
              <w:rPr>
                <w:bCs/>
                <w:sz w:val="20"/>
                <w:szCs w:val="20"/>
              </w:rPr>
              <w:t xml:space="preserve">n </w:t>
            </w:r>
            <w:r w:rsidR="0042303B" w:rsidRPr="00154588">
              <w:rPr>
                <w:bCs/>
                <w:sz w:val="20"/>
                <w:szCs w:val="20"/>
              </w:rPr>
              <w:t>rezoluție</w:t>
            </w:r>
            <w:r w:rsidR="00B0579A" w:rsidRPr="00154588">
              <w:rPr>
                <w:bCs/>
                <w:sz w:val="20"/>
                <w:szCs w:val="20"/>
              </w:rPr>
              <w:t xml:space="preserve"> </w:t>
            </w:r>
            <w:r w:rsidR="000945CD" w:rsidRPr="00154588">
              <w:rPr>
                <w:bCs/>
                <w:sz w:val="20"/>
                <w:szCs w:val="20"/>
              </w:rPr>
              <w:t xml:space="preserve">in </w:t>
            </w:r>
            <w:r w:rsidR="00B0579A" w:rsidRPr="00154588">
              <w:rPr>
                <w:bCs/>
                <w:sz w:val="20"/>
                <w:szCs w:val="20"/>
              </w:rPr>
              <w:t>conformitate cu art.152.lit.a) în combinație cu alte instrumente de rezoluție.</w:t>
            </w:r>
          </w:p>
          <w:p w14:paraId="38F75F59" w14:textId="042EBAC2" w:rsidR="00EE76D6" w:rsidRPr="00154588" w:rsidRDefault="000945CD" w:rsidP="008C12B4">
            <w:pPr>
              <w:jc w:val="both"/>
              <w:rPr>
                <w:bCs/>
                <w:sz w:val="20"/>
                <w:szCs w:val="20"/>
              </w:rPr>
            </w:pPr>
            <w:r w:rsidRPr="00154588">
              <w:rPr>
                <w:bCs/>
                <w:sz w:val="20"/>
                <w:szCs w:val="20"/>
              </w:rPr>
              <w:t>(3)</w:t>
            </w:r>
            <w:r w:rsidR="00EE76D6" w:rsidRPr="00154588">
              <w:rPr>
                <w:bCs/>
                <w:sz w:val="20"/>
                <w:szCs w:val="20"/>
              </w:rPr>
              <w:t xml:space="preserve"> </w:t>
            </w:r>
            <w:r w:rsidR="006C7B23" w:rsidRPr="00154588">
              <w:rPr>
                <w:bCs/>
                <w:sz w:val="20"/>
                <w:szCs w:val="20"/>
              </w:rPr>
              <w:t xml:space="preserve">În cazurile prevăzute la alin.(1), atunci când măsura de rezoluție ar conduce la suportarea de pierderi de către creditori sau la conversia creanțelor acestora, autoritatea de rezoluție poate decide să nu își exercite competența de reducere a valorii contabile și de conversie a instrumentelor de capital </w:t>
            </w:r>
            <w:r w:rsidR="006C7B23" w:rsidRPr="00154588">
              <w:rPr>
                <w:bCs/>
                <w:sz w:val="20"/>
                <w:szCs w:val="20"/>
              </w:rPr>
              <w:lastRenderedPageBreak/>
              <w:t xml:space="preserve">în conformitate cu art.219–225, astfel cum se menționează la art.86, </w:t>
            </w:r>
            <w:r w:rsidR="006C7B23" w:rsidRPr="00154588">
              <w:rPr>
                <w:sz w:val="20"/>
                <w:szCs w:val="20"/>
              </w:rPr>
              <w:t xml:space="preserve">dacă </w:t>
            </w:r>
            <w:r w:rsidR="006C7B23" w:rsidRPr="00154588">
              <w:rPr>
                <w:bCs/>
                <w:sz w:val="20"/>
                <w:szCs w:val="20"/>
              </w:rPr>
              <w:t xml:space="preserve">instrumentele respective urmează să rămână în entitatea reziduală </w:t>
            </w:r>
            <w:r w:rsidR="006C7B23" w:rsidRPr="00154588">
              <w:rPr>
                <w:sz w:val="20"/>
                <w:szCs w:val="20"/>
              </w:rPr>
              <w:t>și dacă</w:t>
            </w:r>
            <w:r w:rsidR="006C7B23" w:rsidRPr="00154588">
              <w:rPr>
                <w:bCs/>
                <w:sz w:val="20"/>
                <w:szCs w:val="20"/>
              </w:rPr>
              <w:t xml:space="preserve"> aplicarea instrumentelor de rezoluție prevăzute la art87 lit.a) sau b), împreună cu lichidarea entității reziduale, asigură, pe baza evaluării efectuate în conformitate cu art. 74–82, că aceste instrumente vor suporta pierderi înaintea oricărui alt creditor al instituției supuse rezoluției.</w:t>
            </w:r>
          </w:p>
          <w:p w14:paraId="107B7613" w14:textId="77777777" w:rsidR="00B53006" w:rsidRPr="00154588" w:rsidRDefault="00B53006" w:rsidP="008C12B4">
            <w:pPr>
              <w:jc w:val="both"/>
              <w:rPr>
                <w:bCs/>
                <w:sz w:val="20"/>
                <w:szCs w:val="20"/>
              </w:rPr>
            </w:pPr>
          </w:p>
        </w:tc>
        <w:tc>
          <w:tcPr>
            <w:tcW w:w="2552" w:type="dxa"/>
          </w:tcPr>
          <w:p w14:paraId="60772130" w14:textId="197CE7A5"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554122CD" w14:textId="77777777" w:rsidR="00B53006" w:rsidRPr="00154588" w:rsidRDefault="00B53006" w:rsidP="008C12B4">
            <w:pPr>
              <w:jc w:val="both"/>
              <w:rPr>
                <w:bCs/>
                <w:sz w:val="20"/>
                <w:szCs w:val="20"/>
              </w:rPr>
            </w:pPr>
          </w:p>
        </w:tc>
      </w:tr>
      <w:tr w:rsidR="00B53006" w:rsidRPr="00154588" w14:paraId="12108CB0" w14:textId="77777777" w:rsidTr="00D15C1B">
        <w:trPr>
          <w:jc w:val="center"/>
        </w:trPr>
        <w:tc>
          <w:tcPr>
            <w:tcW w:w="4957" w:type="dxa"/>
            <w:gridSpan w:val="2"/>
          </w:tcPr>
          <w:p w14:paraId="45438761" w14:textId="53038FB5" w:rsidR="00B53006" w:rsidRPr="00154588" w:rsidRDefault="00B53006" w:rsidP="008C12B4">
            <w:pPr>
              <w:jc w:val="both"/>
              <w:rPr>
                <w:bCs/>
                <w:sz w:val="20"/>
                <w:szCs w:val="20"/>
              </w:rPr>
            </w:pPr>
            <w:r w:rsidRPr="00154588">
              <w:rPr>
                <w:bCs/>
                <w:sz w:val="20"/>
                <w:szCs w:val="20"/>
              </w:rPr>
              <w:t xml:space="preserve">(7) Autoritatea de rezoluție și orice mecanism de finanțare ce acționează în temeiul articolului </w:t>
            </w:r>
            <w:r w:rsidRPr="00154588">
              <w:rPr>
                <w:sz w:val="20"/>
                <w:szCs w:val="20"/>
              </w:rPr>
              <w:t>101</w:t>
            </w:r>
            <w:r w:rsidRPr="00154588">
              <w:rPr>
                <w:bCs/>
                <w:sz w:val="20"/>
                <w:szCs w:val="20"/>
              </w:rPr>
              <w:t xml:space="preserve"> poate recupera orice eventuale cheltuieli rezonabile suportate în mod corespunzător în legătură cu utilizarea instrumentelor de rezoluție, cu exercitarea competențelor de rezoluție sau cu utilizarea instrumentelor guvernamentale de stabilizare financiară, într-una sau mai multe dintre modalitățile următoare:</w:t>
            </w:r>
          </w:p>
          <w:p w14:paraId="3528EED3" w14:textId="77777777" w:rsidR="00B53006" w:rsidRPr="00154588" w:rsidRDefault="00B53006" w:rsidP="008C12B4">
            <w:pPr>
              <w:jc w:val="both"/>
              <w:rPr>
                <w:bCs/>
                <w:sz w:val="20"/>
                <w:szCs w:val="20"/>
              </w:rPr>
            </w:pPr>
          </w:p>
          <w:p w14:paraId="7C2252E3" w14:textId="1205D6CF" w:rsidR="00B53006" w:rsidRPr="00154588" w:rsidRDefault="00B53006" w:rsidP="008C12B4">
            <w:pPr>
              <w:jc w:val="both"/>
              <w:rPr>
                <w:bCs/>
                <w:sz w:val="20"/>
                <w:szCs w:val="20"/>
              </w:rPr>
            </w:pPr>
            <w:r w:rsidRPr="00154588">
              <w:rPr>
                <w:bCs/>
                <w:sz w:val="20"/>
                <w:szCs w:val="20"/>
              </w:rPr>
              <w:t>(a) ca deducere din orice contraprestații plătite de beneficiar instituției aflate în rezoluție sau, după caz, deținătorilor acțiunilor sau ai altor instrumente de proprietate;</w:t>
            </w:r>
          </w:p>
          <w:p w14:paraId="4BD2DBA1" w14:textId="77777777" w:rsidR="00B53006" w:rsidRPr="00154588" w:rsidRDefault="00B53006" w:rsidP="008C12B4">
            <w:pPr>
              <w:jc w:val="both"/>
              <w:rPr>
                <w:bCs/>
                <w:sz w:val="20"/>
                <w:szCs w:val="20"/>
              </w:rPr>
            </w:pPr>
          </w:p>
          <w:p w14:paraId="18F64036" w14:textId="77777777" w:rsidR="00B53006" w:rsidRPr="00154588" w:rsidRDefault="00B53006" w:rsidP="008C12B4">
            <w:pPr>
              <w:jc w:val="both"/>
              <w:rPr>
                <w:bCs/>
                <w:sz w:val="20"/>
                <w:szCs w:val="20"/>
              </w:rPr>
            </w:pPr>
          </w:p>
          <w:p w14:paraId="0F179F39" w14:textId="1F5B70DF" w:rsidR="00B53006" w:rsidRPr="00154588" w:rsidRDefault="00B53006" w:rsidP="008C12B4">
            <w:pPr>
              <w:jc w:val="both"/>
              <w:rPr>
                <w:bCs/>
                <w:sz w:val="20"/>
                <w:szCs w:val="20"/>
              </w:rPr>
            </w:pPr>
            <w:r w:rsidRPr="00154588">
              <w:rPr>
                <w:bCs/>
                <w:sz w:val="20"/>
                <w:szCs w:val="20"/>
              </w:rPr>
              <w:t>(b) de la instituția aflată în rezoluție, în calitate de creditor preferențial; or</w:t>
            </w:r>
          </w:p>
          <w:p w14:paraId="2DC2F01E" w14:textId="77777777" w:rsidR="00B53006" w:rsidRPr="00154588" w:rsidRDefault="00B53006" w:rsidP="008C12B4">
            <w:pPr>
              <w:jc w:val="both"/>
              <w:rPr>
                <w:bCs/>
                <w:sz w:val="20"/>
                <w:szCs w:val="20"/>
              </w:rPr>
            </w:pPr>
          </w:p>
          <w:p w14:paraId="6F542921" w14:textId="31C9A213" w:rsidR="00B53006" w:rsidRPr="00154588" w:rsidRDefault="00B53006" w:rsidP="008C12B4">
            <w:pPr>
              <w:jc w:val="both"/>
              <w:rPr>
                <w:bCs/>
                <w:sz w:val="20"/>
                <w:szCs w:val="20"/>
              </w:rPr>
            </w:pPr>
            <w:r w:rsidRPr="00154588">
              <w:rPr>
                <w:bCs/>
                <w:sz w:val="20"/>
                <w:szCs w:val="20"/>
              </w:rPr>
              <w:t>(c) din eventualele încasări ca urmare a încetării funcționării instituției-punte sau a vehiculului de gestionare a activelor, în calitate de creditor preferențial.</w:t>
            </w:r>
          </w:p>
        </w:tc>
        <w:tc>
          <w:tcPr>
            <w:tcW w:w="4819" w:type="dxa"/>
          </w:tcPr>
          <w:p w14:paraId="4714E4A6" w14:textId="77777777" w:rsidR="00B53006" w:rsidRPr="00154588" w:rsidRDefault="00B53006" w:rsidP="008C12B4">
            <w:pPr>
              <w:ind w:firstLine="567"/>
              <w:jc w:val="both"/>
              <w:rPr>
                <w:sz w:val="20"/>
                <w:szCs w:val="20"/>
              </w:rPr>
            </w:pPr>
            <w:r w:rsidRPr="00154588">
              <w:rPr>
                <w:b/>
                <w:sz w:val="20"/>
                <w:szCs w:val="20"/>
              </w:rPr>
              <w:t>Articolul 91.</w:t>
            </w:r>
            <w:r w:rsidRPr="00154588">
              <w:rPr>
                <w:sz w:val="20"/>
                <w:szCs w:val="20"/>
              </w:rPr>
              <w:t xml:space="preserve"> – (1) Banca Naţională a Moldovei, în calitate de autoritate de rezoluţie, şi Fondul de garantare a depozitelor în sistemul bancar, în calitate de administrator al fondului de rezoluţie bancară, acționând potrivit prevederilor art.301 şi 302, pot recupera orice cheltuieli rezonabile și costurile suportate în mod justificat în legătură cu utilizarea instrumentelor de rezoluţie, cu exercitarea competenţelor de rezoluţie sau cu utilizarea instrumentelor publice de stabilizare financiară, în una sau mai multe dintre următoarele modalităţi:</w:t>
            </w:r>
          </w:p>
          <w:p w14:paraId="0794927E" w14:textId="77777777" w:rsidR="00B53006" w:rsidRPr="00154588" w:rsidRDefault="00B53006" w:rsidP="008C12B4">
            <w:pPr>
              <w:ind w:firstLine="567"/>
              <w:jc w:val="both"/>
              <w:rPr>
                <w:sz w:val="20"/>
                <w:szCs w:val="20"/>
              </w:rPr>
            </w:pPr>
            <w:r w:rsidRPr="00154588">
              <w:rPr>
                <w:sz w:val="20"/>
                <w:szCs w:val="20"/>
              </w:rPr>
              <w:t>a) ca deducere din orice contraprestaţii plătite de destinatar instituției  supuse rezoluţiei sau, după caz, proprietarilor acţiunilor sau ai altor instrumente de proprietate;</w:t>
            </w:r>
          </w:p>
          <w:p w14:paraId="69C4AB9C" w14:textId="77777777" w:rsidR="00B53006" w:rsidRPr="00154588" w:rsidRDefault="00B53006" w:rsidP="008C12B4">
            <w:pPr>
              <w:ind w:firstLine="567"/>
              <w:jc w:val="both"/>
              <w:rPr>
                <w:sz w:val="20"/>
                <w:szCs w:val="20"/>
              </w:rPr>
            </w:pPr>
            <w:r w:rsidRPr="00154588">
              <w:rPr>
                <w:sz w:val="20"/>
                <w:szCs w:val="20"/>
              </w:rPr>
              <w:t>b) de la instituția supusă rezoluţiei, în calitate de creditor preferenţial;</w:t>
            </w:r>
          </w:p>
          <w:p w14:paraId="38F87695" w14:textId="05FA8D6D" w:rsidR="00B53006" w:rsidRPr="00154588" w:rsidRDefault="00B53006" w:rsidP="008C12B4">
            <w:pPr>
              <w:ind w:firstLine="567"/>
              <w:jc w:val="both"/>
              <w:rPr>
                <w:sz w:val="20"/>
                <w:szCs w:val="20"/>
              </w:rPr>
            </w:pPr>
            <w:r w:rsidRPr="00154588">
              <w:rPr>
                <w:sz w:val="20"/>
                <w:szCs w:val="20"/>
              </w:rPr>
              <w:t>c) din orice încasări rezultate în urma încetării funcţionării instituției -punte sau a vehiculului de administrare a activelor, în calitate de creditor preferenţial.</w:t>
            </w:r>
          </w:p>
          <w:p w14:paraId="3B547657" w14:textId="77777777" w:rsidR="00B53006" w:rsidRPr="00154588" w:rsidRDefault="00B53006" w:rsidP="008C12B4">
            <w:pPr>
              <w:ind w:firstLine="567"/>
              <w:jc w:val="both"/>
              <w:rPr>
                <w:bCs/>
                <w:sz w:val="20"/>
                <w:szCs w:val="20"/>
              </w:rPr>
            </w:pPr>
          </w:p>
        </w:tc>
        <w:tc>
          <w:tcPr>
            <w:tcW w:w="2552" w:type="dxa"/>
          </w:tcPr>
          <w:p w14:paraId="460A9F8F" w14:textId="67CF757D" w:rsidR="00B53006" w:rsidRPr="00154588" w:rsidRDefault="00B53006" w:rsidP="008C12B4">
            <w:pPr>
              <w:jc w:val="both"/>
              <w:rPr>
                <w:bCs/>
                <w:sz w:val="20"/>
                <w:szCs w:val="20"/>
              </w:rPr>
            </w:pPr>
            <w:r w:rsidRPr="00154588">
              <w:rPr>
                <w:bCs/>
                <w:sz w:val="20"/>
                <w:szCs w:val="20"/>
              </w:rPr>
              <w:t>Compatibil</w:t>
            </w:r>
          </w:p>
        </w:tc>
        <w:tc>
          <w:tcPr>
            <w:tcW w:w="3118" w:type="dxa"/>
          </w:tcPr>
          <w:p w14:paraId="2098138F" w14:textId="3B41527F" w:rsidR="00B53006" w:rsidRPr="00154588" w:rsidRDefault="00B53006" w:rsidP="008C12B4">
            <w:pPr>
              <w:jc w:val="both"/>
              <w:rPr>
                <w:bCs/>
                <w:sz w:val="20"/>
                <w:szCs w:val="20"/>
              </w:rPr>
            </w:pPr>
          </w:p>
        </w:tc>
      </w:tr>
      <w:tr w:rsidR="00B53006" w:rsidRPr="00154588" w14:paraId="1D2C59E6" w14:textId="77777777" w:rsidTr="00D15C1B">
        <w:trPr>
          <w:jc w:val="center"/>
        </w:trPr>
        <w:tc>
          <w:tcPr>
            <w:tcW w:w="4957" w:type="dxa"/>
            <w:gridSpan w:val="2"/>
          </w:tcPr>
          <w:p w14:paraId="45A52368" w14:textId="6AC6B949" w:rsidR="00B53006" w:rsidRPr="00154588" w:rsidRDefault="00B53006" w:rsidP="008C12B4">
            <w:pPr>
              <w:tabs>
                <w:tab w:val="left" w:pos="939"/>
              </w:tabs>
              <w:jc w:val="both"/>
              <w:rPr>
                <w:bCs/>
                <w:sz w:val="20"/>
                <w:szCs w:val="20"/>
              </w:rPr>
            </w:pPr>
            <w:r w:rsidRPr="00154588">
              <w:rPr>
                <w:bCs/>
                <w:sz w:val="20"/>
                <w:szCs w:val="20"/>
              </w:rPr>
              <w:t>(8)   Statele membre se asigură că normele legislației naționale în materie de insolvență referitoare la anularea sau inopozabilitatea actelor prejudiciabile masei creditorilor nu se aplică transferurilor de active, drepturi sau pasive de la o instituție aflată în rezoluție către o altă entitate în virtutea aplicării unui instrument de rezoluție, a exercitării unei competențe de rezoluție sau a utilizării unui instrument guvernamental de stabilizare financiară.</w:t>
            </w:r>
          </w:p>
        </w:tc>
        <w:tc>
          <w:tcPr>
            <w:tcW w:w="4819" w:type="dxa"/>
          </w:tcPr>
          <w:p w14:paraId="32C151CA" w14:textId="77777777" w:rsidR="00B53006" w:rsidRPr="00154588" w:rsidRDefault="00B53006" w:rsidP="008C12B4">
            <w:pPr>
              <w:ind w:firstLine="567"/>
              <w:jc w:val="both"/>
              <w:rPr>
                <w:sz w:val="20"/>
                <w:szCs w:val="20"/>
              </w:rPr>
            </w:pPr>
            <w:r w:rsidRPr="00154588">
              <w:rPr>
                <w:b/>
                <w:sz w:val="20"/>
                <w:szCs w:val="20"/>
              </w:rPr>
              <w:t>Articolul 93.</w:t>
            </w:r>
            <w:r w:rsidRPr="00154588">
              <w:rPr>
                <w:sz w:val="20"/>
                <w:szCs w:val="20"/>
              </w:rPr>
              <w:t xml:space="preserve"> – (1) Dispoziţiile legale referitoare la anularea sau inopozabilitatea actelor prejudiciabile masei creditorilor nu se aplică transferurilor de active, drepturi sau obligaţii de la o instituție supusă rezoluţiei către o altă entitate, efectuate în virtutea aplicării unui instrument de rezoluţie, a exercitării unei competenţe de rezoluţie sau a utilizării unui instrument public de stabilizare financiară.</w:t>
            </w:r>
          </w:p>
          <w:p w14:paraId="640DAC73" w14:textId="77777777" w:rsidR="00B53006" w:rsidRPr="00154588" w:rsidRDefault="00B53006" w:rsidP="008C12B4">
            <w:pPr>
              <w:jc w:val="both"/>
              <w:rPr>
                <w:bCs/>
                <w:sz w:val="20"/>
                <w:szCs w:val="20"/>
              </w:rPr>
            </w:pPr>
          </w:p>
        </w:tc>
        <w:tc>
          <w:tcPr>
            <w:tcW w:w="2552" w:type="dxa"/>
          </w:tcPr>
          <w:p w14:paraId="67FC1FA7" w14:textId="1CDB205E" w:rsidR="00B53006" w:rsidRPr="00154588" w:rsidRDefault="00B53006" w:rsidP="008C12B4">
            <w:pPr>
              <w:jc w:val="both"/>
              <w:rPr>
                <w:bCs/>
                <w:sz w:val="20"/>
                <w:szCs w:val="20"/>
              </w:rPr>
            </w:pPr>
            <w:r w:rsidRPr="00154588">
              <w:rPr>
                <w:bCs/>
                <w:sz w:val="20"/>
                <w:szCs w:val="20"/>
              </w:rPr>
              <w:t>Compatibil</w:t>
            </w:r>
          </w:p>
        </w:tc>
        <w:tc>
          <w:tcPr>
            <w:tcW w:w="3118" w:type="dxa"/>
          </w:tcPr>
          <w:p w14:paraId="4E573D95" w14:textId="77777777" w:rsidR="00B53006" w:rsidRPr="00154588" w:rsidRDefault="00B53006" w:rsidP="008C12B4">
            <w:pPr>
              <w:jc w:val="both"/>
              <w:rPr>
                <w:bCs/>
                <w:sz w:val="20"/>
                <w:szCs w:val="20"/>
              </w:rPr>
            </w:pPr>
          </w:p>
        </w:tc>
      </w:tr>
      <w:tr w:rsidR="00B53006" w:rsidRPr="00154588" w14:paraId="0F77A4DA" w14:textId="77777777" w:rsidTr="00D15C1B">
        <w:trPr>
          <w:jc w:val="center"/>
        </w:trPr>
        <w:tc>
          <w:tcPr>
            <w:tcW w:w="4957" w:type="dxa"/>
            <w:gridSpan w:val="2"/>
          </w:tcPr>
          <w:p w14:paraId="25C5BEBA" w14:textId="77777777" w:rsidR="00B53006" w:rsidRPr="00154588" w:rsidRDefault="00B53006" w:rsidP="008C12B4">
            <w:pPr>
              <w:jc w:val="both"/>
              <w:rPr>
                <w:bCs/>
                <w:sz w:val="20"/>
                <w:szCs w:val="20"/>
              </w:rPr>
            </w:pPr>
            <w:r w:rsidRPr="00154588">
              <w:rPr>
                <w:bCs/>
                <w:sz w:val="20"/>
                <w:szCs w:val="20"/>
              </w:rPr>
              <w:t xml:space="preserve">(10)   În situația extraordinară a unei crize sistemice, autoritatea de rezoluție poate căuta finanțare din surse </w:t>
            </w:r>
            <w:r w:rsidRPr="00154588">
              <w:rPr>
                <w:bCs/>
                <w:sz w:val="20"/>
                <w:szCs w:val="20"/>
              </w:rPr>
              <w:lastRenderedPageBreak/>
              <w:t>de finanțare alternative prin utilizarea instrumentelor de stabilizare guvernamentale prevăzute la articolele 56-58 atunci când sunt îndeplinite următoarele condiții:</w:t>
            </w:r>
          </w:p>
          <w:p w14:paraId="68E8B9C7" w14:textId="77777777" w:rsidR="00B53006" w:rsidRPr="00154588" w:rsidRDefault="00B53006" w:rsidP="008C12B4">
            <w:pPr>
              <w:jc w:val="both"/>
              <w:rPr>
                <w:bCs/>
                <w:sz w:val="20"/>
                <w:szCs w:val="20"/>
              </w:rPr>
            </w:pPr>
          </w:p>
          <w:p w14:paraId="665FB071" w14:textId="0A631B75" w:rsidR="00B53006" w:rsidRPr="00154588" w:rsidRDefault="00B53006" w:rsidP="008C12B4">
            <w:pPr>
              <w:jc w:val="both"/>
              <w:rPr>
                <w:bCs/>
                <w:sz w:val="20"/>
                <w:szCs w:val="20"/>
              </w:rPr>
            </w:pPr>
            <w:r w:rsidRPr="00154588">
              <w:rPr>
                <w:bCs/>
                <w:sz w:val="20"/>
                <w:szCs w:val="20"/>
              </w:rPr>
              <w:t>(a) acționarii și deținătorii de alte instrumente de proprietate, precum și deținătorii de instrumente de capital relevante și de alte datorii care pot face obiectul recapitalizării interne au adus o contribuție, prin reducerea valorii contabile, prin conversie sau prin alte modalități, în vederea absorbției pierderilor și a recapitalizării instituției aflate în rezoluție, în valoare de cel puțin 8 % din totalul pasivelor, incluzând fondurile proprii ale instituției respective, cuantificată la momentul luării măsurii de rezoluție în conformitate cu evaluarea prevăzută la articolul 36;</w:t>
            </w:r>
          </w:p>
          <w:p w14:paraId="0000D91D" w14:textId="77777777" w:rsidR="00B53006" w:rsidRPr="00154588" w:rsidRDefault="00B53006" w:rsidP="008C12B4">
            <w:pPr>
              <w:jc w:val="both"/>
              <w:rPr>
                <w:bCs/>
                <w:sz w:val="20"/>
                <w:szCs w:val="20"/>
              </w:rPr>
            </w:pPr>
          </w:p>
          <w:p w14:paraId="04923AD5" w14:textId="04BDBD09" w:rsidR="00B53006" w:rsidRPr="00154588" w:rsidRDefault="00B53006" w:rsidP="008C12B4">
            <w:pPr>
              <w:jc w:val="both"/>
              <w:rPr>
                <w:bCs/>
                <w:sz w:val="20"/>
                <w:szCs w:val="20"/>
              </w:rPr>
            </w:pPr>
            <w:r w:rsidRPr="00154588">
              <w:rPr>
                <w:bCs/>
                <w:sz w:val="20"/>
                <w:szCs w:val="20"/>
              </w:rPr>
              <w:t>(b) aceasta va fi condiționată de aprobarea prealabilă și finală în conformitate cu cadrul Uniunii privind ajutoarele de stat.</w:t>
            </w:r>
          </w:p>
        </w:tc>
        <w:tc>
          <w:tcPr>
            <w:tcW w:w="4819" w:type="dxa"/>
          </w:tcPr>
          <w:p w14:paraId="7876E96E" w14:textId="3A1E7FDB" w:rsidR="00B53006" w:rsidRPr="00154588" w:rsidRDefault="00B53006" w:rsidP="008C12B4">
            <w:pPr>
              <w:ind w:firstLine="567"/>
              <w:jc w:val="both"/>
              <w:rPr>
                <w:sz w:val="20"/>
                <w:szCs w:val="20"/>
              </w:rPr>
            </w:pPr>
            <w:r w:rsidRPr="00154588">
              <w:rPr>
                <w:b/>
                <w:sz w:val="20"/>
                <w:szCs w:val="20"/>
              </w:rPr>
              <w:lastRenderedPageBreak/>
              <w:t>Articolul 92.</w:t>
            </w:r>
            <w:r w:rsidRPr="00154588">
              <w:rPr>
                <w:sz w:val="20"/>
                <w:szCs w:val="20"/>
              </w:rPr>
              <w:t xml:space="preserve"> – În situaţia extraordinară a unei crize sistemice, Banca Naţională a Moldovei, în </w:t>
            </w:r>
            <w:r w:rsidRPr="00154588">
              <w:rPr>
                <w:sz w:val="20"/>
                <w:szCs w:val="20"/>
              </w:rPr>
              <w:lastRenderedPageBreak/>
              <w:t>calitate de autoritate de rezoluţie, poate căuta finanţare din surse alternative</w:t>
            </w:r>
            <w:r w:rsidRPr="00154588">
              <w:rPr>
                <w:sz w:val="20"/>
                <w:szCs w:val="20"/>
                <w:lang w:eastAsia="ro-MD"/>
              </w:rPr>
              <w:t>,</w:t>
            </w:r>
            <w:r w:rsidRPr="00154588">
              <w:rPr>
                <w:sz w:val="20"/>
                <w:szCs w:val="20"/>
              </w:rPr>
              <w:t xml:space="preserve"> prin utilizarea instrumentelor publice de stabilizare financiară prevăzute la art.213</w:t>
            </w:r>
            <w:r w:rsidR="0089173F" w:rsidRPr="00154588">
              <w:rPr>
                <w:sz w:val="20"/>
                <w:szCs w:val="20"/>
              </w:rPr>
              <w:t>-</w:t>
            </w:r>
            <w:r w:rsidRPr="00154588">
              <w:rPr>
                <w:sz w:val="20"/>
                <w:szCs w:val="20"/>
              </w:rPr>
              <w:t xml:space="preserve">218, în </w:t>
            </w:r>
            <w:r w:rsidRPr="00154588">
              <w:rPr>
                <w:sz w:val="20"/>
                <w:szCs w:val="20"/>
                <w:lang w:eastAsia="ro-MD"/>
              </w:rPr>
              <w:t>cazul</w:t>
            </w:r>
            <w:r w:rsidRPr="00154588">
              <w:rPr>
                <w:sz w:val="20"/>
                <w:szCs w:val="20"/>
              </w:rPr>
              <w:t xml:space="preserve"> în care </w:t>
            </w:r>
            <w:r w:rsidRPr="00154588">
              <w:rPr>
                <w:sz w:val="20"/>
                <w:szCs w:val="20"/>
                <w:lang w:eastAsia="ro-MD"/>
              </w:rPr>
              <w:t>sunt îndeplinite următoarele condiţii</w:t>
            </w:r>
            <w:r w:rsidRPr="00154588">
              <w:rPr>
                <w:sz w:val="20"/>
                <w:szCs w:val="20"/>
              </w:rPr>
              <w:t>:</w:t>
            </w:r>
          </w:p>
          <w:p w14:paraId="04E624D7" w14:textId="78104C1C" w:rsidR="00B53006" w:rsidRPr="00154588" w:rsidRDefault="00B53006" w:rsidP="008C12B4">
            <w:pPr>
              <w:ind w:firstLine="567"/>
              <w:jc w:val="both"/>
              <w:rPr>
                <w:sz w:val="20"/>
                <w:szCs w:val="20"/>
                <w:lang w:eastAsia="ro-MD"/>
              </w:rPr>
            </w:pPr>
            <w:r w:rsidRPr="00154588">
              <w:rPr>
                <w:sz w:val="20"/>
                <w:szCs w:val="20"/>
                <w:lang w:eastAsia="ro-MD"/>
              </w:rPr>
              <w:t xml:space="preserve">a) </w:t>
            </w:r>
            <w:r w:rsidRPr="00154588">
              <w:rPr>
                <w:sz w:val="20"/>
                <w:szCs w:val="20"/>
              </w:rPr>
              <w:t xml:space="preserve">acţionarii şi deţinătorii de alte instrumente de proprietate, precum şi deţinătorii de instrumente de capital relevante şi de alte </w:t>
            </w:r>
            <w:r w:rsidRPr="00154588">
              <w:rPr>
                <w:sz w:val="20"/>
                <w:szCs w:val="20"/>
                <w:lang w:eastAsia="ro-MD"/>
              </w:rPr>
              <w:t xml:space="preserve">datorii care pot face obiectul recapitalizării interne au contribuit, prin reducerea valorii </w:t>
            </w:r>
            <w:r w:rsidR="00D15F88" w:rsidRPr="00154588">
              <w:rPr>
                <w:sz w:val="20"/>
                <w:szCs w:val="20"/>
                <w:lang w:eastAsia="ro-MD"/>
              </w:rPr>
              <w:t xml:space="preserve"> contabile a </w:t>
            </w:r>
            <w:r w:rsidRPr="00154588">
              <w:rPr>
                <w:sz w:val="20"/>
                <w:szCs w:val="20"/>
                <w:lang w:eastAsia="ro-MD"/>
              </w:rPr>
              <w:t xml:space="preserve">acestor instrumente, prin conversie sau prin alte modalităţi, la absorbţia pierderilor şi la recapitalizarea </w:t>
            </w:r>
            <w:r w:rsidRPr="00154588">
              <w:rPr>
                <w:sz w:val="20"/>
                <w:szCs w:val="20"/>
              </w:rPr>
              <w:t>instituției</w:t>
            </w:r>
            <w:r w:rsidRPr="00154588">
              <w:rPr>
                <w:sz w:val="20"/>
                <w:szCs w:val="20"/>
                <w:lang w:eastAsia="ro-MD"/>
              </w:rPr>
              <w:t xml:space="preserve"> supuse rezoluţiei</w:t>
            </w:r>
            <w:r w:rsidR="00D15F88" w:rsidRPr="00154588">
              <w:rPr>
                <w:sz w:val="20"/>
                <w:szCs w:val="20"/>
                <w:lang w:eastAsia="ro-MD"/>
              </w:rPr>
              <w:t xml:space="preserve">, </w:t>
            </w:r>
            <w:r w:rsidR="00D15F88" w:rsidRPr="00154588">
              <w:rPr>
                <w:bCs/>
                <w:sz w:val="20"/>
                <w:szCs w:val="20"/>
              </w:rPr>
              <w:t xml:space="preserve">în valoare de cel puțin 8 % din totalul pasivelor, incluzând fondurile proprii ale instituției respective, cuantificată la momentul luării </w:t>
            </w:r>
            <w:r w:rsidR="00F027B8" w:rsidRPr="00154588">
              <w:rPr>
                <w:bCs/>
                <w:sz w:val="20"/>
                <w:szCs w:val="20"/>
              </w:rPr>
              <w:t>acțiunii</w:t>
            </w:r>
            <w:r w:rsidR="00D15F88" w:rsidRPr="00154588">
              <w:rPr>
                <w:bCs/>
                <w:sz w:val="20"/>
                <w:szCs w:val="20"/>
              </w:rPr>
              <w:t xml:space="preserve"> de rezoluție în conformitate cu evaluarea prevăzută la art.72-84</w:t>
            </w:r>
            <w:r w:rsidRPr="00154588">
              <w:rPr>
                <w:sz w:val="20"/>
                <w:szCs w:val="20"/>
                <w:lang w:eastAsia="ro-MD"/>
              </w:rPr>
              <w:t>;</w:t>
            </w:r>
          </w:p>
          <w:p w14:paraId="0C1FF399" w14:textId="77777777" w:rsidR="00B53006" w:rsidRPr="00154588" w:rsidRDefault="00B53006" w:rsidP="008C12B4">
            <w:pPr>
              <w:ind w:firstLine="567"/>
              <w:jc w:val="both"/>
              <w:rPr>
                <w:sz w:val="20"/>
                <w:szCs w:val="20"/>
                <w:lang w:eastAsia="ro-MD"/>
              </w:rPr>
            </w:pPr>
            <w:r w:rsidRPr="00154588">
              <w:rPr>
                <w:sz w:val="20"/>
                <w:szCs w:val="20"/>
                <w:lang w:eastAsia="ro-MD"/>
              </w:rPr>
              <w:t>b) finanţarea va fi condiţionată de autorizarea în conformitate cu cadrul legal privind ajutorul de stat.</w:t>
            </w:r>
          </w:p>
          <w:p w14:paraId="69C686C2" w14:textId="77777777" w:rsidR="00B53006" w:rsidRPr="00154588" w:rsidRDefault="00B53006" w:rsidP="008C12B4">
            <w:pPr>
              <w:jc w:val="both"/>
              <w:rPr>
                <w:bCs/>
                <w:sz w:val="20"/>
                <w:szCs w:val="20"/>
              </w:rPr>
            </w:pPr>
          </w:p>
        </w:tc>
        <w:tc>
          <w:tcPr>
            <w:tcW w:w="2552" w:type="dxa"/>
          </w:tcPr>
          <w:p w14:paraId="4B5F5921" w14:textId="1D757577"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23EB2FAB" w14:textId="16094474" w:rsidR="00B53006" w:rsidRPr="00154588" w:rsidRDefault="00B53006" w:rsidP="008C12B4">
            <w:pPr>
              <w:jc w:val="both"/>
              <w:rPr>
                <w:bCs/>
                <w:sz w:val="20"/>
                <w:szCs w:val="20"/>
              </w:rPr>
            </w:pPr>
          </w:p>
        </w:tc>
      </w:tr>
      <w:tr w:rsidR="00B53006" w:rsidRPr="00154588" w14:paraId="0A497DA8" w14:textId="77777777" w:rsidTr="00D15C1B">
        <w:trPr>
          <w:jc w:val="center"/>
        </w:trPr>
        <w:tc>
          <w:tcPr>
            <w:tcW w:w="4957" w:type="dxa"/>
            <w:gridSpan w:val="2"/>
          </w:tcPr>
          <w:p w14:paraId="09DA83EC" w14:textId="22EFAB65" w:rsidR="00B53006" w:rsidRPr="00154588" w:rsidRDefault="00B53006" w:rsidP="008C12B4">
            <w:pPr>
              <w:jc w:val="both"/>
              <w:rPr>
                <w:bCs/>
                <w:sz w:val="20"/>
                <w:szCs w:val="20"/>
              </w:rPr>
            </w:pPr>
            <w:r w:rsidRPr="00154588">
              <w:rPr>
                <w:bCs/>
                <w:sz w:val="20"/>
                <w:szCs w:val="20"/>
              </w:rPr>
              <w:t>(11) ABE monitorizează acțiunile și pregătirea autorităților de rezoluție pentru a asigura punerea în aplicare eficace a instrumentelor și competențelor de rezoluție în caz de rezoluție. ABE transmite Comisiei un raport privind stadiul în care se află practicile existente și privind posibilele divergențe dintre statele membre până la 11 mai 2028. Raportul menționat la primul paragraf cuprinde cel puțin următoarele: (a) mecanismele instituite pentru punerea în aplicare a instrumentului de recapitalizare internă și nivelul de implicare a infrastructurilor pieței financiare și a autorităților din țările terțe, după caz; (b) mecanismele instituite pentru punerea în funcțiune a altor instrumente de rezoluție; (c) nivelul de transparență față de părțile interesate relevante în ceea ce privește mecanismele menționate la literele (a) și (b).</w:t>
            </w:r>
          </w:p>
        </w:tc>
        <w:tc>
          <w:tcPr>
            <w:tcW w:w="4819" w:type="dxa"/>
          </w:tcPr>
          <w:p w14:paraId="1F03AB82" w14:textId="77777777" w:rsidR="00B53006" w:rsidRPr="00154588" w:rsidRDefault="00B53006" w:rsidP="008C12B4">
            <w:pPr>
              <w:ind w:firstLine="567"/>
              <w:jc w:val="both"/>
              <w:rPr>
                <w:b/>
                <w:sz w:val="20"/>
                <w:szCs w:val="20"/>
              </w:rPr>
            </w:pPr>
          </w:p>
        </w:tc>
        <w:tc>
          <w:tcPr>
            <w:tcW w:w="2552" w:type="dxa"/>
          </w:tcPr>
          <w:p w14:paraId="6AD76B99" w14:textId="67AEABB0" w:rsidR="00B53006" w:rsidRPr="00154588" w:rsidRDefault="00A02B79" w:rsidP="008C12B4">
            <w:pPr>
              <w:jc w:val="both"/>
              <w:rPr>
                <w:bCs/>
                <w:sz w:val="20"/>
                <w:szCs w:val="20"/>
              </w:rPr>
            </w:pPr>
            <w:r w:rsidRPr="00154588">
              <w:rPr>
                <w:bCs/>
                <w:sz w:val="20"/>
                <w:szCs w:val="20"/>
              </w:rPr>
              <w:t>Prevederi UE neaplicabile</w:t>
            </w:r>
          </w:p>
        </w:tc>
        <w:tc>
          <w:tcPr>
            <w:tcW w:w="3118" w:type="dxa"/>
          </w:tcPr>
          <w:p w14:paraId="6547B076" w14:textId="32FD72DA" w:rsidR="00B53006" w:rsidRPr="00154588" w:rsidRDefault="00A02B79" w:rsidP="008C12B4">
            <w:pPr>
              <w:jc w:val="both"/>
              <w:rPr>
                <w:bCs/>
                <w:sz w:val="20"/>
                <w:szCs w:val="20"/>
              </w:rPr>
            </w:pPr>
            <w:r w:rsidRPr="00154588">
              <w:rPr>
                <w:sz w:val="20"/>
                <w:szCs w:val="16"/>
              </w:rPr>
              <w:t>Prevederi care se referă la atribuțiile de reglementare ale autorităților europene</w:t>
            </w:r>
          </w:p>
        </w:tc>
      </w:tr>
      <w:tr w:rsidR="00B53006" w:rsidRPr="00154588" w14:paraId="13822298" w14:textId="77777777" w:rsidTr="00D15C1B">
        <w:trPr>
          <w:jc w:val="center"/>
        </w:trPr>
        <w:tc>
          <w:tcPr>
            <w:tcW w:w="4957" w:type="dxa"/>
            <w:gridSpan w:val="2"/>
          </w:tcPr>
          <w:p w14:paraId="79AF5C25" w14:textId="77777777" w:rsidR="00B53006" w:rsidRPr="00154588" w:rsidRDefault="00B53006" w:rsidP="008C12B4">
            <w:pPr>
              <w:rPr>
                <w:b/>
                <w:sz w:val="20"/>
                <w:szCs w:val="20"/>
              </w:rPr>
            </w:pPr>
            <w:r w:rsidRPr="00154588">
              <w:rPr>
                <w:b/>
                <w:sz w:val="20"/>
                <w:szCs w:val="20"/>
              </w:rPr>
              <w:t>Articolul 38</w:t>
            </w:r>
          </w:p>
          <w:p w14:paraId="576EF372" w14:textId="77777777" w:rsidR="00B53006" w:rsidRPr="00154588" w:rsidRDefault="00B53006" w:rsidP="008C12B4">
            <w:pPr>
              <w:rPr>
                <w:b/>
                <w:sz w:val="20"/>
                <w:szCs w:val="20"/>
              </w:rPr>
            </w:pPr>
          </w:p>
          <w:p w14:paraId="220457B1" w14:textId="567E4DEE" w:rsidR="00B53006" w:rsidRPr="00154588" w:rsidRDefault="00B53006" w:rsidP="008C12B4">
            <w:pPr>
              <w:rPr>
                <w:bCs/>
                <w:sz w:val="20"/>
                <w:szCs w:val="20"/>
              </w:rPr>
            </w:pPr>
            <w:r w:rsidRPr="00154588">
              <w:rPr>
                <w:b/>
                <w:sz w:val="20"/>
                <w:szCs w:val="20"/>
              </w:rPr>
              <w:t>Instrumentul de vânzare a activității</w:t>
            </w:r>
          </w:p>
        </w:tc>
        <w:tc>
          <w:tcPr>
            <w:tcW w:w="4819" w:type="dxa"/>
          </w:tcPr>
          <w:p w14:paraId="05F3D6A1" w14:textId="77777777" w:rsidR="00B53006" w:rsidRPr="00154588" w:rsidRDefault="00B53006" w:rsidP="008C12B4">
            <w:pPr>
              <w:jc w:val="center"/>
              <w:rPr>
                <w:sz w:val="20"/>
                <w:szCs w:val="20"/>
              </w:rPr>
            </w:pPr>
            <w:r w:rsidRPr="00154588">
              <w:rPr>
                <w:b/>
                <w:sz w:val="20"/>
                <w:szCs w:val="20"/>
              </w:rPr>
              <w:t>Secţiunea a 2-a</w:t>
            </w:r>
          </w:p>
          <w:p w14:paraId="767D8958" w14:textId="77777777" w:rsidR="00B53006" w:rsidRPr="00154588" w:rsidRDefault="00B53006" w:rsidP="008C12B4">
            <w:pPr>
              <w:jc w:val="center"/>
              <w:rPr>
                <w:sz w:val="20"/>
                <w:szCs w:val="20"/>
              </w:rPr>
            </w:pPr>
            <w:r w:rsidRPr="00154588">
              <w:rPr>
                <w:b/>
                <w:sz w:val="20"/>
                <w:szCs w:val="20"/>
              </w:rPr>
              <w:t>Instrumentul de vînzare a afacerii</w:t>
            </w:r>
          </w:p>
          <w:p w14:paraId="200D4ABD" w14:textId="77777777" w:rsidR="00B53006" w:rsidRPr="00154588" w:rsidRDefault="00B53006" w:rsidP="008C12B4">
            <w:pPr>
              <w:jc w:val="both"/>
              <w:rPr>
                <w:bCs/>
                <w:sz w:val="20"/>
                <w:szCs w:val="20"/>
              </w:rPr>
            </w:pPr>
          </w:p>
        </w:tc>
        <w:tc>
          <w:tcPr>
            <w:tcW w:w="2552" w:type="dxa"/>
          </w:tcPr>
          <w:p w14:paraId="4404A950" w14:textId="77777777" w:rsidR="00B53006" w:rsidRPr="00154588" w:rsidRDefault="00B53006" w:rsidP="008C12B4">
            <w:pPr>
              <w:jc w:val="both"/>
              <w:rPr>
                <w:bCs/>
                <w:sz w:val="20"/>
                <w:szCs w:val="20"/>
              </w:rPr>
            </w:pPr>
          </w:p>
        </w:tc>
        <w:tc>
          <w:tcPr>
            <w:tcW w:w="3118" w:type="dxa"/>
          </w:tcPr>
          <w:p w14:paraId="01E0378F" w14:textId="77777777" w:rsidR="00B53006" w:rsidRPr="00154588" w:rsidRDefault="00B53006" w:rsidP="008C12B4">
            <w:pPr>
              <w:jc w:val="both"/>
              <w:rPr>
                <w:bCs/>
                <w:sz w:val="20"/>
                <w:szCs w:val="20"/>
              </w:rPr>
            </w:pPr>
          </w:p>
        </w:tc>
      </w:tr>
      <w:tr w:rsidR="00B53006" w:rsidRPr="00154588" w14:paraId="699BFFB6" w14:textId="77777777" w:rsidTr="00D15C1B">
        <w:trPr>
          <w:jc w:val="center"/>
        </w:trPr>
        <w:tc>
          <w:tcPr>
            <w:tcW w:w="4957" w:type="dxa"/>
            <w:gridSpan w:val="2"/>
          </w:tcPr>
          <w:p w14:paraId="6F8A60E2" w14:textId="77777777" w:rsidR="00B53006" w:rsidRPr="00154588" w:rsidRDefault="00B53006" w:rsidP="008C12B4">
            <w:pPr>
              <w:jc w:val="both"/>
              <w:rPr>
                <w:bCs/>
                <w:sz w:val="20"/>
                <w:szCs w:val="20"/>
              </w:rPr>
            </w:pPr>
            <w:r w:rsidRPr="00154588">
              <w:rPr>
                <w:bCs/>
                <w:sz w:val="20"/>
                <w:szCs w:val="20"/>
              </w:rPr>
              <w:t>(1)   Statele membre se asigură că autoritățile de rezoluție au competența de a transfera către un cumpărător care nu este o instituție-punte:</w:t>
            </w:r>
          </w:p>
          <w:p w14:paraId="35633E7C" w14:textId="77777777" w:rsidR="00B53006" w:rsidRPr="00154588" w:rsidRDefault="00B53006" w:rsidP="008C12B4">
            <w:pPr>
              <w:jc w:val="both"/>
              <w:rPr>
                <w:bCs/>
                <w:sz w:val="20"/>
                <w:szCs w:val="20"/>
              </w:rPr>
            </w:pPr>
          </w:p>
          <w:p w14:paraId="4A230454" w14:textId="59B2A4A5" w:rsidR="00B53006" w:rsidRPr="00154588" w:rsidRDefault="00B53006" w:rsidP="008C12B4">
            <w:pPr>
              <w:jc w:val="both"/>
              <w:rPr>
                <w:bCs/>
                <w:sz w:val="20"/>
                <w:szCs w:val="20"/>
              </w:rPr>
            </w:pPr>
            <w:r w:rsidRPr="00154588">
              <w:rPr>
                <w:bCs/>
                <w:sz w:val="20"/>
                <w:szCs w:val="20"/>
              </w:rPr>
              <w:lastRenderedPageBreak/>
              <w:t>(a) acțiuni sau alte instrumente de proprietate emise de o instituție aflată în rezoluție;</w:t>
            </w:r>
          </w:p>
          <w:p w14:paraId="3C69F810" w14:textId="77777777" w:rsidR="00B53006" w:rsidRPr="00154588" w:rsidRDefault="00B53006" w:rsidP="008C12B4">
            <w:pPr>
              <w:jc w:val="both"/>
              <w:rPr>
                <w:bCs/>
                <w:sz w:val="20"/>
                <w:szCs w:val="20"/>
              </w:rPr>
            </w:pPr>
          </w:p>
          <w:p w14:paraId="63CBD091" w14:textId="40FFEDA5" w:rsidR="00B53006" w:rsidRPr="00154588" w:rsidRDefault="00B53006" w:rsidP="008C12B4">
            <w:pPr>
              <w:jc w:val="both"/>
              <w:rPr>
                <w:bCs/>
                <w:sz w:val="20"/>
                <w:szCs w:val="20"/>
              </w:rPr>
            </w:pPr>
            <w:r w:rsidRPr="00154588">
              <w:rPr>
                <w:bCs/>
                <w:sz w:val="20"/>
                <w:szCs w:val="20"/>
              </w:rPr>
              <w:t>(b) orice categorii de active, drepturi sau pasive ale unei instituții aflate în rezoluție sau totalitatea acestora.</w:t>
            </w:r>
          </w:p>
          <w:p w14:paraId="1D0D2EB5" w14:textId="77777777" w:rsidR="00B53006" w:rsidRPr="00154588" w:rsidRDefault="00B53006" w:rsidP="008C12B4">
            <w:pPr>
              <w:jc w:val="both"/>
              <w:rPr>
                <w:bCs/>
                <w:sz w:val="20"/>
                <w:szCs w:val="20"/>
              </w:rPr>
            </w:pPr>
          </w:p>
          <w:p w14:paraId="44F8ED1B" w14:textId="1DC59C0A" w:rsidR="00B53006" w:rsidRPr="00154588" w:rsidRDefault="00B53006" w:rsidP="008C12B4">
            <w:pPr>
              <w:jc w:val="both"/>
              <w:rPr>
                <w:bCs/>
                <w:sz w:val="20"/>
                <w:szCs w:val="20"/>
              </w:rPr>
            </w:pPr>
            <w:r w:rsidRPr="00154588">
              <w:rPr>
                <w:bCs/>
                <w:sz w:val="20"/>
                <w:szCs w:val="20"/>
              </w:rPr>
              <w:t>Sub rezerva alineatelor (8) și (9) din prezentul articol și a articolului 85, transferul menționat la primul paragraf are loc fără n a obține acordul acționarilor instituției aflate în rezoluție sau al oricărei părți terțe, alta decât cumpărătorul și fără a se conforma vreunei cerințe procedurale prevăzute de dreptul comercial sau de cel al titlurilor de valoare, altele decât cele incluse la articolul 39.</w:t>
            </w:r>
          </w:p>
        </w:tc>
        <w:tc>
          <w:tcPr>
            <w:tcW w:w="4819" w:type="dxa"/>
          </w:tcPr>
          <w:p w14:paraId="37967CC7" w14:textId="77777777" w:rsidR="00B53006" w:rsidRPr="00154588" w:rsidRDefault="00B53006" w:rsidP="008C12B4">
            <w:pPr>
              <w:ind w:firstLine="567"/>
              <w:jc w:val="both"/>
              <w:rPr>
                <w:sz w:val="20"/>
                <w:szCs w:val="20"/>
              </w:rPr>
            </w:pPr>
            <w:r w:rsidRPr="00154588">
              <w:rPr>
                <w:b/>
                <w:sz w:val="20"/>
                <w:szCs w:val="20"/>
              </w:rPr>
              <w:lastRenderedPageBreak/>
              <w:t>Articolul 94.</w:t>
            </w:r>
            <w:r w:rsidRPr="00154588">
              <w:rPr>
                <w:sz w:val="20"/>
                <w:szCs w:val="20"/>
              </w:rPr>
              <w:t xml:space="preserve"> – (1) Banca Naţională a Moldovei, în calitate de autoritate de rezoluţie, este împuternicită să transfere către un cumpărător care nu este o instituție-punte:</w:t>
            </w:r>
          </w:p>
          <w:p w14:paraId="233DAD7F" w14:textId="77777777" w:rsidR="00B53006" w:rsidRPr="00154588" w:rsidRDefault="00B53006" w:rsidP="008C12B4">
            <w:pPr>
              <w:ind w:firstLine="567"/>
              <w:jc w:val="both"/>
              <w:rPr>
                <w:sz w:val="20"/>
                <w:szCs w:val="20"/>
              </w:rPr>
            </w:pPr>
            <w:r w:rsidRPr="00154588">
              <w:rPr>
                <w:sz w:val="20"/>
                <w:szCs w:val="20"/>
              </w:rPr>
              <w:lastRenderedPageBreak/>
              <w:t>a) acţiuni sau alte instrumente de proprietate emise de o instituție supusă rezoluţiei;</w:t>
            </w:r>
          </w:p>
          <w:p w14:paraId="10359464" w14:textId="77777777" w:rsidR="00B53006" w:rsidRPr="00154588" w:rsidRDefault="00B53006" w:rsidP="008C12B4">
            <w:pPr>
              <w:ind w:firstLine="567"/>
              <w:jc w:val="both"/>
              <w:rPr>
                <w:sz w:val="20"/>
                <w:szCs w:val="20"/>
              </w:rPr>
            </w:pPr>
            <w:r w:rsidRPr="00154588">
              <w:rPr>
                <w:sz w:val="20"/>
                <w:szCs w:val="20"/>
              </w:rPr>
              <w:t>b) oricare dintre activele, drepturile sau obligaţiile unei instituții supuse rezoluţiei sau totalitatea acestora.</w:t>
            </w:r>
          </w:p>
          <w:p w14:paraId="728A7D18" w14:textId="77777777" w:rsidR="00B53006" w:rsidRPr="00154588" w:rsidRDefault="00B53006" w:rsidP="008C12B4">
            <w:pPr>
              <w:ind w:firstLine="567"/>
              <w:jc w:val="both"/>
              <w:rPr>
                <w:sz w:val="20"/>
                <w:szCs w:val="20"/>
              </w:rPr>
            </w:pPr>
            <w:r w:rsidRPr="00154588">
              <w:rPr>
                <w:sz w:val="20"/>
                <w:szCs w:val="20"/>
              </w:rPr>
              <w:t>(2) Cu respectarea prevederilor art.101, 102 şi art.292-294, transferul menţionat la alin.(1) are loc fără a obţine acordul acţionarilor instituției supuse rezoluţiei sau al oricărei părţi terţe, alta decît cumpărătorul, şi nu este supus niciunei cerinţe procedurale prevăzute de legislaţia aplicabilă în materie de societăţi sau de legislaţia pieţei de capital, în afara celor prevăzute la art.107-109, prevederile art.232 fiind aplicabile.</w:t>
            </w:r>
          </w:p>
          <w:p w14:paraId="30E3584F" w14:textId="77777777" w:rsidR="00B53006" w:rsidRPr="00154588" w:rsidRDefault="00B53006" w:rsidP="008C12B4">
            <w:pPr>
              <w:jc w:val="both"/>
              <w:rPr>
                <w:bCs/>
                <w:sz w:val="20"/>
                <w:szCs w:val="20"/>
              </w:rPr>
            </w:pPr>
          </w:p>
        </w:tc>
        <w:tc>
          <w:tcPr>
            <w:tcW w:w="2552" w:type="dxa"/>
          </w:tcPr>
          <w:p w14:paraId="7ECB9226" w14:textId="3F7F6500"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62B2ABF8" w14:textId="77777777" w:rsidR="00B53006" w:rsidRPr="00154588" w:rsidRDefault="00B53006" w:rsidP="008C12B4">
            <w:pPr>
              <w:jc w:val="both"/>
              <w:rPr>
                <w:bCs/>
                <w:sz w:val="20"/>
                <w:szCs w:val="20"/>
              </w:rPr>
            </w:pPr>
          </w:p>
        </w:tc>
      </w:tr>
      <w:tr w:rsidR="00B53006" w:rsidRPr="00154588" w14:paraId="05328A43" w14:textId="77777777" w:rsidTr="00D15C1B">
        <w:trPr>
          <w:jc w:val="center"/>
        </w:trPr>
        <w:tc>
          <w:tcPr>
            <w:tcW w:w="4957" w:type="dxa"/>
            <w:gridSpan w:val="2"/>
          </w:tcPr>
          <w:p w14:paraId="6E87B2D1" w14:textId="02876482" w:rsidR="00B53006" w:rsidRPr="00154588" w:rsidRDefault="00B53006" w:rsidP="008C12B4">
            <w:pPr>
              <w:jc w:val="both"/>
              <w:rPr>
                <w:bCs/>
                <w:sz w:val="20"/>
                <w:szCs w:val="20"/>
              </w:rPr>
            </w:pPr>
            <w:r w:rsidRPr="00154588">
              <w:rPr>
                <w:bCs/>
                <w:sz w:val="20"/>
                <w:szCs w:val="20"/>
              </w:rPr>
              <w:t>(2)   Un transfer efectuat în conformitate cu alineatul (1) se efectuează în condiții comerciale, având în vedere circumstanțele și în conformitate cu cadrul Uniunii privind ajutoarele de stat.</w:t>
            </w:r>
          </w:p>
        </w:tc>
        <w:tc>
          <w:tcPr>
            <w:tcW w:w="4819" w:type="dxa"/>
          </w:tcPr>
          <w:p w14:paraId="3DA87F98" w14:textId="77777777" w:rsidR="00B53006" w:rsidRPr="00154588" w:rsidRDefault="00B53006" w:rsidP="008C12B4">
            <w:pPr>
              <w:ind w:firstLine="567"/>
              <w:jc w:val="both"/>
              <w:rPr>
                <w:sz w:val="20"/>
                <w:szCs w:val="20"/>
              </w:rPr>
            </w:pPr>
            <w:r w:rsidRPr="00154588">
              <w:rPr>
                <w:b/>
                <w:sz w:val="20"/>
                <w:szCs w:val="20"/>
              </w:rPr>
              <w:t>Articolul 95.</w:t>
            </w:r>
            <w:r w:rsidRPr="00154588">
              <w:rPr>
                <w:sz w:val="20"/>
                <w:szCs w:val="20"/>
              </w:rPr>
              <w:t xml:space="preserve"> – Un transfer efectuat în conformitate cu prevederile art.94 trebuie să se realizeze în condiţii comerciale, în funcţie de circumstanţele existente</w:t>
            </w:r>
            <w:r w:rsidRPr="00154588">
              <w:rPr>
                <w:sz w:val="20"/>
                <w:szCs w:val="20"/>
                <w:lang w:eastAsia="ro-MD"/>
              </w:rPr>
              <w:t xml:space="preserve"> şi în conformitate cu cadrul legal privind ajutorul de stat</w:t>
            </w:r>
            <w:r w:rsidRPr="00154588">
              <w:rPr>
                <w:sz w:val="20"/>
                <w:szCs w:val="20"/>
              </w:rPr>
              <w:t>.</w:t>
            </w:r>
          </w:p>
          <w:p w14:paraId="4FCB7816" w14:textId="77777777" w:rsidR="00B53006" w:rsidRPr="00154588" w:rsidRDefault="00B53006" w:rsidP="008C12B4">
            <w:pPr>
              <w:jc w:val="both"/>
              <w:rPr>
                <w:bCs/>
                <w:sz w:val="20"/>
                <w:szCs w:val="20"/>
              </w:rPr>
            </w:pPr>
          </w:p>
        </w:tc>
        <w:tc>
          <w:tcPr>
            <w:tcW w:w="2552" w:type="dxa"/>
          </w:tcPr>
          <w:p w14:paraId="3A129ADF" w14:textId="155299FA" w:rsidR="00B53006" w:rsidRPr="00154588" w:rsidRDefault="00B53006" w:rsidP="008C12B4">
            <w:pPr>
              <w:jc w:val="both"/>
              <w:rPr>
                <w:bCs/>
                <w:sz w:val="20"/>
                <w:szCs w:val="20"/>
              </w:rPr>
            </w:pPr>
            <w:r w:rsidRPr="00154588">
              <w:rPr>
                <w:bCs/>
                <w:sz w:val="20"/>
                <w:szCs w:val="20"/>
              </w:rPr>
              <w:t>Compatibil</w:t>
            </w:r>
          </w:p>
        </w:tc>
        <w:tc>
          <w:tcPr>
            <w:tcW w:w="3118" w:type="dxa"/>
          </w:tcPr>
          <w:p w14:paraId="76CC41B6" w14:textId="77777777" w:rsidR="00B53006" w:rsidRPr="00154588" w:rsidRDefault="00B53006" w:rsidP="008C12B4">
            <w:pPr>
              <w:jc w:val="both"/>
              <w:rPr>
                <w:bCs/>
                <w:sz w:val="20"/>
                <w:szCs w:val="20"/>
              </w:rPr>
            </w:pPr>
          </w:p>
        </w:tc>
      </w:tr>
      <w:tr w:rsidR="00B53006" w:rsidRPr="00154588" w14:paraId="6C5E3B86" w14:textId="77777777" w:rsidTr="00D15C1B">
        <w:trPr>
          <w:jc w:val="center"/>
        </w:trPr>
        <w:tc>
          <w:tcPr>
            <w:tcW w:w="4957" w:type="dxa"/>
            <w:gridSpan w:val="2"/>
          </w:tcPr>
          <w:p w14:paraId="6ABF4AD8" w14:textId="4E206887" w:rsidR="00B53006" w:rsidRPr="00154588" w:rsidRDefault="00B53006" w:rsidP="008C12B4">
            <w:pPr>
              <w:jc w:val="both"/>
              <w:rPr>
                <w:bCs/>
                <w:sz w:val="20"/>
                <w:szCs w:val="20"/>
              </w:rPr>
            </w:pPr>
            <w:r w:rsidRPr="00154588">
              <w:rPr>
                <w:bCs/>
                <w:sz w:val="20"/>
                <w:szCs w:val="20"/>
              </w:rPr>
              <w:t>(3)   În conformitate cu alineatul (2) din prezentul articol, autoritățile de rezoluție iau toate măsurile rezonabile pentru a obține un transfer în condiții comerciale care sunt conforme evaluării efectuate în conformitate cu articolul 36, având în vedere circumstanțele cazului.</w:t>
            </w:r>
          </w:p>
        </w:tc>
        <w:tc>
          <w:tcPr>
            <w:tcW w:w="4819" w:type="dxa"/>
          </w:tcPr>
          <w:p w14:paraId="7E6D9C50" w14:textId="77777777" w:rsidR="00B53006" w:rsidRPr="00154588" w:rsidRDefault="00B53006" w:rsidP="008C12B4">
            <w:pPr>
              <w:ind w:firstLine="567"/>
              <w:jc w:val="both"/>
              <w:rPr>
                <w:sz w:val="20"/>
                <w:szCs w:val="20"/>
              </w:rPr>
            </w:pPr>
            <w:r w:rsidRPr="00154588">
              <w:rPr>
                <w:b/>
                <w:sz w:val="20"/>
                <w:szCs w:val="20"/>
              </w:rPr>
              <w:t>Articolul 96.</w:t>
            </w:r>
            <w:r w:rsidRPr="00154588">
              <w:rPr>
                <w:sz w:val="20"/>
                <w:szCs w:val="20"/>
              </w:rPr>
              <w:t xml:space="preserve"> – În sensul art.95, Banca Naţională a Moldovei, în calitate de autoritate de rezoluţie, ia toate măsurile rezonabile pentru realizarea unui transfer în condiţii comerciale care sînt conforme evaluării efectuate potrivit art.72-84, avînd în vedere circumstanţele situaţiei. În vederea finanţării sau garantării transferului prevăzut la art.94 şi 98, Ministerul Finanțelor este în drept să decidă asupra emiterii a garanţiilor de stat şi valorilor mobiliare de stat.</w:t>
            </w:r>
          </w:p>
          <w:p w14:paraId="7315FE6F" w14:textId="77777777" w:rsidR="00B53006" w:rsidRPr="00154588" w:rsidRDefault="00B53006" w:rsidP="008C12B4">
            <w:pPr>
              <w:jc w:val="both"/>
              <w:rPr>
                <w:bCs/>
                <w:sz w:val="20"/>
                <w:szCs w:val="20"/>
              </w:rPr>
            </w:pPr>
          </w:p>
        </w:tc>
        <w:tc>
          <w:tcPr>
            <w:tcW w:w="2552" w:type="dxa"/>
          </w:tcPr>
          <w:p w14:paraId="747F2303" w14:textId="1CE9D1A8" w:rsidR="00B53006" w:rsidRPr="00154588" w:rsidRDefault="00B53006" w:rsidP="008C12B4">
            <w:pPr>
              <w:jc w:val="both"/>
              <w:rPr>
                <w:bCs/>
                <w:sz w:val="20"/>
                <w:szCs w:val="20"/>
              </w:rPr>
            </w:pPr>
            <w:r w:rsidRPr="00154588">
              <w:rPr>
                <w:bCs/>
                <w:sz w:val="20"/>
                <w:szCs w:val="20"/>
              </w:rPr>
              <w:t>Compatibil</w:t>
            </w:r>
          </w:p>
        </w:tc>
        <w:tc>
          <w:tcPr>
            <w:tcW w:w="3118" w:type="dxa"/>
          </w:tcPr>
          <w:p w14:paraId="4C6F29C4" w14:textId="77777777" w:rsidR="00B53006" w:rsidRPr="00154588" w:rsidRDefault="00B53006" w:rsidP="008C12B4">
            <w:pPr>
              <w:jc w:val="both"/>
              <w:rPr>
                <w:bCs/>
                <w:sz w:val="20"/>
                <w:szCs w:val="20"/>
              </w:rPr>
            </w:pPr>
          </w:p>
        </w:tc>
      </w:tr>
      <w:tr w:rsidR="00B53006" w:rsidRPr="00154588" w14:paraId="7986B8B6" w14:textId="77777777" w:rsidTr="00D15C1B">
        <w:trPr>
          <w:jc w:val="center"/>
        </w:trPr>
        <w:tc>
          <w:tcPr>
            <w:tcW w:w="4957" w:type="dxa"/>
            <w:gridSpan w:val="2"/>
          </w:tcPr>
          <w:p w14:paraId="35E51C46" w14:textId="77777777" w:rsidR="00B53006" w:rsidRPr="00154588" w:rsidRDefault="00B53006" w:rsidP="008C12B4">
            <w:pPr>
              <w:jc w:val="both"/>
              <w:rPr>
                <w:bCs/>
                <w:sz w:val="20"/>
                <w:szCs w:val="20"/>
              </w:rPr>
            </w:pPr>
            <w:r w:rsidRPr="00154588">
              <w:rPr>
                <w:bCs/>
                <w:sz w:val="20"/>
                <w:szCs w:val="20"/>
              </w:rPr>
              <w:t>(4)   Sub rezerva articolului 37 alineatul (7), orice contraprestație plătită de cumpărător se face în favoarea:</w:t>
            </w:r>
          </w:p>
          <w:p w14:paraId="249375D7" w14:textId="77777777" w:rsidR="00B53006" w:rsidRPr="00154588" w:rsidRDefault="00B53006" w:rsidP="008C12B4">
            <w:pPr>
              <w:jc w:val="both"/>
              <w:rPr>
                <w:bCs/>
                <w:sz w:val="20"/>
                <w:szCs w:val="20"/>
              </w:rPr>
            </w:pPr>
          </w:p>
          <w:p w14:paraId="41DD18D4" w14:textId="75BCB651" w:rsidR="00B53006" w:rsidRPr="00154588" w:rsidRDefault="00B53006" w:rsidP="008C12B4">
            <w:pPr>
              <w:jc w:val="both"/>
              <w:rPr>
                <w:bCs/>
                <w:sz w:val="20"/>
                <w:szCs w:val="20"/>
              </w:rPr>
            </w:pPr>
            <w:r w:rsidRPr="00154588">
              <w:rPr>
                <w:bCs/>
                <w:sz w:val="20"/>
                <w:szCs w:val="20"/>
              </w:rPr>
              <w:t>(a) proprietarilor acțiunilor sau instrumentelor de proprietate, în cazul în care vânzarea activității s-a efectuat prin transferarea acțiunilor sau instrumentelor de proprietate emise de instituția aflată în rezoluție de la deținătorii respectivelor acțiuni sau instrumente la cumpărător;</w:t>
            </w:r>
          </w:p>
          <w:p w14:paraId="5A0E5042" w14:textId="77777777" w:rsidR="00B53006" w:rsidRPr="00154588" w:rsidRDefault="00B53006" w:rsidP="008C12B4">
            <w:pPr>
              <w:jc w:val="both"/>
              <w:rPr>
                <w:bCs/>
                <w:sz w:val="20"/>
                <w:szCs w:val="20"/>
              </w:rPr>
            </w:pPr>
          </w:p>
          <w:p w14:paraId="697B912A" w14:textId="77777777" w:rsidR="00B53006" w:rsidRPr="00154588" w:rsidRDefault="00B53006" w:rsidP="008C12B4">
            <w:pPr>
              <w:jc w:val="both"/>
              <w:rPr>
                <w:bCs/>
                <w:sz w:val="20"/>
                <w:szCs w:val="20"/>
              </w:rPr>
            </w:pPr>
          </w:p>
          <w:p w14:paraId="4E7F1A12" w14:textId="77777777" w:rsidR="00B53006" w:rsidRPr="00154588" w:rsidRDefault="00B53006" w:rsidP="008C12B4">
            <w:pPr>
              <w:jc w:val="both"/>
              <w:rPr>
                <w:bCs/>
                <w:sz w:val="20"/>
                <w:szCs w:val="20"/>
              </w:rPr>
            </w:pPr>
          </w:p>
          <w:p w14:paraId="2602286F" w14:textId="0495741D" w:rsidR="00B53006" w:rsidRPr="00154588" w:rsidRDefault="00B53006" w:rsidP="008C12B4">
            <w:pPr>
              <w:jc w:val="both"/>
              <w:rPr>
                <w:bCs/>
                <w:sz w:val="20"/>
                <w:szCs w:val="20"/>
              </w:rPr>
            </w:pPr>
            <w:r w:rsidRPr="00154588">
              <w:rPr>
                <w:bCs/>
                <w:sz w:val="20"/>
                <w:szCs w:val="20"/>
              </w:rPr>
              <w:lastRenderedPageBreak/>
              <w:t>(b) instituției aflate în rezoluție, în cazul în care vânzarea activității s-a efectuat prin transferarea unora sau a tuturor activelor sau pasivelor instituției aflate în rezoluție la cumpărător.</w:t>
            </w:r>
          </w:p>
        </w:tc>
        <w:tc>
          <w:tcPr>
            <w:tcW w:w="4819" w:type="dxa"/>
          </w:tcPr>
          <w:p w14:paraId="4AF94205" w14:textId="77777777" w:rsidR="00B53006" w:rsidRPr="00154588" w:rsidRDefault="00B53006" w:rsidP="008C12B4">
            <w:pPr>
              <w:ind w:firstLine="567"/>
              <w:jc w:val="both"/>
              <w:rPr>
                <w:sz w:val="20"/>
                <w:szCs w:val="20"/>
              </w:rPr>
            </w:pPr>
            <w:r w:rsidRPr="00154588">
              <w:rPr>
                <w:b/>
                <w:sz w:val="20"/>
                <w:szCs w:val="20"/>
              </w:rPr>
              <w:lastRenderedPageBreak/>
              <w:t>Articolul 97.</w:t>
            </w:r>
            <w:r w:rsidRPr="00154588">
              <w:rPr>
                <w:sz w:val="20"/>
                <w:szCs w:val="20"/>
              </w:rPr>
              <w:t xml:space="preserve"> – Cu respectarea prevederilor art.91, orice contraprestaţie se plăteşte de cumpărător în favoarea:</w:t>
            </w:r>
          </w:p>
          <w:p w14:paraId="576697B3" w14:textId="77777777" w:rsidR="00B53006" w:rsidRPr="00154588" w:rsidRDefault="00B53006" w:rsidP="008C12B4">
            <w:pPr>
              <w:ind w:firstLine="567"/>
              <w:jc w:val="both"/>
              <w:rPr>
                <w:sz w:val="20"/>
                <w:szCs w:val="20"/>
              </w:rPr>
            </w:pPr>
            <w:r w:rsidRPr="00154588">
              <w:rPr>
                <w:sz w:val="20"/>
                <w:szCs w:val="20"/>
              </w:rPr>
              <w:t>a) proprietarilor acţiunilor sau ai altor instrumente de proprietate, în cazul în care vînzarea afacerii s-a efectuat prin transferarea către cumpărător a acţiunilor sau instrumentelor de proprietate emise de instituția supusă rezoluţiei de la deţinătorii respectivelor acţiuni sau instrumente;</w:t>
            </w:r>
          </w:p>
          <w:p w14:paraId="15D69EB9" w14:textId="77777777" w:rsidR="00B53006" w:rsidRPr="00154588" w:rsidRDefault="00B53006" w:rsidP="008C12B4">
            <w:pPr>
              <w:ind w:firstLine="567"/>
              <w:jc w:val="both"/>
              <w:rPr>
                <w:sz w:val="20"/>
                <w:szCs w:val="20"/>
              </w:rPr>
            </w:pPr>
            <w:r w:rsidRPr="00154588">
              <w:rPr>
                <w:sz w:val="20"/>
                <w:szCs w:val="20"/>
              </w:rPr>
              <w:t>b) instituției supuse rezoluţiei, în cazul în care vînzarea către cumpărător a afacerii s-a efectuat prin transferarea unora sau a tuturor activelor, drepturilor sau obligaţiilor instituției supuse rezoluţiei.</w:t>
            </w:r>
          </w:p>
          <w:p w14:paraId="6593D9E0" w14:textId="77777777" w:rsidR="00B53006" w:rsidRPr="00154588" w:rsidRDefault="00B53006" w:rsidP="008C12B4">
            <w:pPr>
              <w:ind w:firstLine="567"/>
              <w:jc w:val="both"/>
              <w:rPr>
                <w:sz w:val="20"/>
                <w:szCs w:val="20"/>
              </w:rPr>
            </w:pPr>
            <w:r w:rsidRPr="00154588">
              <w:rPr>
                <w:sz w:val="20"/>
                <w:szCs w:val="20"/>
              </w:rPr>
              <w:lastRenderedPageBreak/>
              <w:t> </w:t>
            </w:r>
          </w:p>
          <w:p w14:paraId="1AB2C4B8" w14:textId="77777777" w:rsidR="00B53006" w:rsidRPr="00154588" w:rsidRDefault="00B53006" w:rsidP="008C12B4">
            <w:pPr>
              <w:jc w:val="both"/>
              <w:rPr>
                <w:bCs/>
                <w:sz w:val="20"/>
                <w:szCs w:val="20"/>
              </w:rPr>
            </w:pPr>
          </w:p>
        </w:tc>
        <w:tc>
          <w:tcPr>
            <w:tcW w:w="2552" w:type="dxa"/>
          </w:tcPr>
          <w:p w14:paraId="229E3166" w14:textId="511CD898"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29D9E388" w14:textId="77777777" w:rsidR="00B53006" w:rsidRPr="00154588" w:rsidRDefault="00B53006" w:rsidP="008C12B4">
            <w:pPr>
              <w:jc w:val="both"/>
              <w:rPr>
                <w:bCs/>
                <w:sz w:val="20"/>
                <w:szCs w:val="20"/>
              </w:rPr>
            </w:pPr>
          </w:p>
        </w:tc>
      </w:tr>
      <w:tr w:rsidR="00B53006" w:rsidRPr="00154588" w14:paraId="0DC65F5B" w14:textId="77777777" w:rsidTr="00D15C1B">
        <w:trPr>
          <w:jc w:val="center"/>
        </w:trPr>
        <w:tc>
          <w:tcPr>
            <w:tcW w:w="4957" w:type="dxa"/>
            <w:gridSpan w:val="2"/>
          </w:tcPr>
          <w:p w14:paraId="3FB170E7" w14:textId="3BC9AC13" w:rsidR="00B53006" w:rsidRPr="00154588" w:rsidRDefault="00B53006" w:rsidP="008C12B4">
            <w:pPr>
              <w:jc w:val="both"/>
              <w:rPr>
                <w:bCs/>
                <w:sz w:val="20"/>
                <w:szCs w:val="20"/>
              </w:rPr>
            </w:pPr>
            <w:r w:rsidRPr="00154588">
              <w:rPr>
                <w:bCs/>
                <w:sz w:val="20"/>
                <w:szCs w:val="20"/>
              </w:rPr>
              <w:t>(5) Atunci când aplică instrumentul de vânzare a activității, autoritatea de rezoluție poate exercita competența de transfer în mod repetat, pentru a efectua transferuri suplimentare de acțiuni ori de alte instrumente de proprietate emise de o instituție aflată în rezoluție sau, după caz, de active, drepturi sau pasive ale instituției aflate în rezoluție.</w:t>
            </w:r>
          </w:p>
        </w:tc>
        <w:tc>
          <w:tcPr>
            <w:tcW w:w="4819" w:type="dxa"/>
          </w:tcPr>
          <w:p w14:paraId="0679DF21" w14:textId="77777777" w:rsidR="00B53006" w:rsidRPr="00154588" w:rsidRDefault="00B53006" w:rsidP="008C12B4">
            <w:pPr>
              <w:ind w:firstLine="567"/>
              <w:jc w:val="both"/>
              <w:rPr>
                <w:sz w:val="20"/>
                <w:szCs w:val="20"/>
              </w:rPr>
            </w:pPr>
            <w:r w:rsidRPr="00154588">
              <w:rPr>
                <w:b/>
                <w:sz w:val="20"/>
                <w:szCs w:val="20"/>
              </w:rPr>
              <w:t>Articolul 98.</w:t>
            </w:r>
            <w:r w:rsidRPr="00154588">
              <w:rPr>
                <w:sz w:val="20"/>
                <w:szCs w:val="20"/>
              </w:rPr>
              <w:t xml:space="preserve"> – În situaţia în care aplică instrumentul de vînzare a afacerii, Banca Naţională a Moldovei, în calitate de autoritate de rezoluţie, poate exercita competenţa de transfer în mod repetat, pentru a efectua transferuri suplimentare de acţiuni ori de alte instrumente de proprietate emise de o instituției supusă rezoluţiei sau, după caz, de active, drepturi sau obligaţii ale instituțieisupuse rezoluţiei.</w:t>
            </w:r>
          </w:p>
          <w:p w14:paraId="1A9CDD6F" w14:textId="77777777" w:rsidR="00B53006" w:rsidRPr="00154588" w:rsidRDefault="00B53006" w:rsidP="008C12B4">
            <w:pPr>
              <w:jc w:val="both"/>
              <w:rPr>
                <w:bCs/>
                <w:sz w:val="20"/>
                <w:szCs w:val="20"/>
              </w:rPr>
            </w:pPr>
          </w:p>
        </w:tc>
        <w:tc>
          <w:tcPr>
            <w:tcW w:w="2552" w:type="dxa"/>
          </w:tcPr>
          <w:p w14:paraId="68537E2B" w14:textId="5AAE32C2" w:rsidR="00B53006" w:rsidRPr="00154588" w:rsidRDefault="00B53006" w:rsidP="008C12B4">
            <w:pPr>
              <w:jc w:val="both"/>
              <w:rPr>
                <w:bCs/>
                <w:sz w:val="20"/>
                <w:szCs w:val="20"/>
              </w:rPr>
            </w:pPr>
            <w:r w:rsidRPr="00154588">
              <w:rPr>
                <w:bCs/>
                <w:sz w:val="20"/>
                <w:szCs w:val="20"/>
              </w:rPr>
              <w:t>Compatibil</w:t>
            </w:r>
          </w:p>
        </w:tc>
        <w:tc>
          <w:tcPr>
            <w:tcW w:w="3118" w:type="dxa"/>
          </w:tcPr>
          <w:p w14:paraId="661C13A2" w14:textId="77777777" w:rsidR="00B53006" w:rsidRPr="00154588" w:rsidRDefault="00B53006" w:rsidP="008C12B4">
            <w:pPr>
              <w:jc w:val="both"/>
              <w:rPr>
                <w:bCs/>
                <w:sz w:val="20"/>
                <w:szCs w:val="20"/>
              </w:rPr>
            </w:pPr>
          </w:p>
        </w:tc>
      </w:tr>
      <w:tr w:rsidR="00B53006" w:rsidRPr="00154588" w14:paraId="6054862F" w14:textId="77777777" w:rsidTr="00D15C1B">
        <w:trPr>
          <w:jc w:val="center"/>
        </w:trPr>
        <w:tc>
          <w:tcPr>
            <w:tcW w:w="4957" w:type="dxa"/>
            <w:gridSpan w:val="2"/>
          </w:tcPr>
          <w:p w14:paraId="62E79BB5" w14:textId="1D156327" w:rsidR="00B53006" w:rsidRPr="00154588" w:rsidRDefault="00B53006" w:rsidP="008C12B4">
            <w:pPr>
              <w:jc w:val="both"/>
              <w:rPr>
                <w:bCs/>
                <w:sz w:val="20"/>
                <w:szCs w:val="20"/>
              </w:rPr>
            </w:pPr>
            <w:r w:rsidRPr="00154588">
              <w:rPr>
                <w:bCs/>
                <w:sz w:val="20"/>
                <w:szCs w:val="20"/>
              </w:rPr>
              <w:t>(6) După aplicarea instrumentului de vânzare a activității și cu aprobarea cumpărătorului, autoritățile de rezoluție pot exercita competențele de transfer în ceea ce privește activele, drepturile ori pasivele transferate cumpărătorului, în vederea transferului activelor, drepturilor sau pasivelor înapoi la instituția aflată în rezoluție, ori al acțiunilor sau al altor instrumente de proprietate înapoi la proprietarii lor inițiali, iar instituția aflată în rezoluție sau proprietarii inițiali au obligația de a accepta orice astfel de active, drepturi sau pasive, acțiuni sau alte instrumente de proprietate.</w:t>
            </w:r>
          </w:p>
        </w:tc>
        <w:tc>
          <w:tcPr>
            <w:tcW w:w="4819" w:type="dxa"/>
          </w:tcPr>
          <w:p w14:paraId="549F663E" w14:textId="77777777" w:rsidR="00B53006" w:rsidRPr="00154588" w:rsidRDefault="00B53006" w:rsidP="008C12B4">
            <w:pPr>
              <w:ind w:firstLine="567"/>
              <w:jc w:val="both"/>
              <w:rPr>
                <w:sz w:val="20"/>
                <w:szCs w:val="20"/>
              </w:rPr>
            </w:pPr>
            <w:r w:rsidRPr="00154588">
              <w:rPr>
                <w:b/>
                <w:sz w:val="20"/>
                <w:szCs w:val="20"/>
              </w:rPr>
              <w:t>Articolul 99.</w:t>
            </w:r>
            <w:r w:rsidRPr="00154588">
              <w:rPr>
                <w:sz w:val="20"/>
                <w:szCs w:val="20"/>
              </w:rPr>
              <w:t xml:space="preserve"> – După aplicarea instrumentului de vînzare a afacerii, Banca Naţională a Moldovei, în calitate de autoritate de rezoluţie, poate exercita, cu aprobarea cumpărătorului, competenţele de transfer în ceea ce priveşte activele, drepturile ori obligaţiile transferate cumpărătorului, în vederea transferării activelor, drepturilor sau obligaţiilor înapoi la instituția supusă rezoluţiei, ori a acţiunilor sau altor instrumente de proprietate înapoi la proprietarii lor iniţiali, iar instituția supusă rezoluţiei sau proprietarii iniţiali au obligaţia de a reprimi orice astfel de active, drepturi sau obligaţii, acţiuni sau alte instrumente de proprietate.</w:t>
            </w:r>
          </w:p>
          <w:p w14:paraId="354DB9B5" w14:textId="77777777" w:rsidR="00B53006" w:rsidRPr="00154588" w:rsidRDefault="00B53006" w:rsidP="008C12B4">
            <w:pPr>
              <w:jc w:val="both"/>
              <w:rPr>
                <w:bCs/>
                <w:sz w:val="20"/>
                <w:szCs w:val="20"/>
              </w:rPr>
            </w:pPr>
          </w:p>
        </w:tc>
        <w:tc>
          <w:tcPr>
            <w:tcW w:w="2552" w:type="dxa"/>
          </w:tcPr>
          <w:p w14:paraId="27015402" w14:textId="67DE19C3" w:rsidR="00B53006" w:rsidRPr="00154588" w:rsidRDefault="00B53006" w:rsidP="008C12B4">
            <w:pPr>
              <w:jc w:val="both"/>
              <w:rPr>
                <w:bCs/>
                <w:sz w:val="20"/>
                <w:szCs w:val="20"/>
              </w:rPr>
            </w:pPr>
            <w:r w:rsidRPr="00154588">
              <w:rPr>
                <w:bCs/>
                <w:sz w:val="20"/>
                <w:szCs w:val="20"/>
              </w:rPr>
              <w:t>Compatibil</w:t>
            </w:r>
          </w:p>
        </w:tc>
        <w:tc>
          <w:tcPr>
            <w:tcW w:w="3118" w:type="dxa"/>
          </w:tcPr>
          <w:p w14:paraId="7900A399" w14:textId="77777777" w:rsidR="00B53006" w:rsidRPr="00154588" w:rsidRDefault="00B53006" w:rsidP="008C12B4">
            <w:pPr>
              <w:jc w:val="both"/>
              <w:rPr>
                <w:bCs/>
                <w:sz w:val="20"/>
                <w:szCs w:val="20"/>
              </w:rPr>
            </w:pPr>
          </w:p>
        </w:tc>
      </w:tr>
      <w:tr w:rsidR="00B53006" w:rsidRPr="00154588" w14:paraId="18FDBA6B" w14:textId="77777777" w:rsidTr="00D15C1B">
        <w:trPr>
          <w:jc w:val="center"/>
        </w:trPr>
        <w:tc>
          <w:tcPr>
            <w:tcW w:w="4957" w:type="dxa"/>
            <w:gridSpan w:val="2"/>
          </w:tcPr>
          <w:p w14:paraId="4FD7C3B0" w14:textId="55C3EA79" w:rsidR="00B53006" w:rsidRPr="00154588" w:rsidRDefault="00B53006" w:rsidP="008C12B4">
            <w:pPr>
              <w:jc w:val="both"/>
              <w:rPr>
                <w:bCs/>
                <w:sz w:val="20"/>
                <w:szCs w:val="20"/>
              </w:rPr>
            </w:pPr>
            <w:r w:rsidRPr="00154588">
              <w:rPr>
                <w:bCs/>
                <w:sz w:val="20"/>
                <w:szCs w:val="20"/>
              </w:rPr>
              <w:t>(7) Cumpărătorul are autorizația corespunzătoare de desfășurare a activităților pe care le dobândește atunci când transferul este efectuat în conformitate cu alineatul (1). Statele membre se asigură că cererea de autorizare, coroborată cu transferul, este luată în considerare în timp util.</w:t>
            </w:r>
          </w:p>
        </w:tc>
        <w:tc>
          <w:tcPr>
            <w:tcW w:w="4819" w:type="dxa"/>
          </w:tcPr>
          <w:p w14:paraId="32640990" w14:textId="77777777" w:rsidR="00B53006" w:rsidRPr="00154588" w:rsidRDefault="00B53006" w:rsidP="008C12B4">
            <w:pPr>
              <w:ind w:firstLine="567"/>
              <w:jc w:val="both"/>
              <w:rPr>
                <w:sz w:val="20"/>
                <w:szCs w:val="20"/>
              </w:rPr>
            </w:pPr>
            <w:r w:rsidRPr="00154588">
              <w:rPr>
                <w:b/>
                <w:sz w:val="20"/>
                <w:szCs w:val="20"/>
              </w:rPr>
              <w:t>Articolul 100.</w:t>
            </w:r>
            <w:r w:rsidRPr="00154588">
              <w:rPr>
                <w:sz w:val="20"/>
                <w:szCs w:val="20"/>
              </w:rPr>
              <w:t xml:space="preserve"> – Cumpărătorul trebuie să îndeplinească condiţiile legale de desfăşurare a activităţilor pe care le dobîndeşte prin transfer în situaţia în care transferul este efectuat în conformitate cu prevederile art.94. În situaţia în care Banca Naţională a Moldovei este autoritatea competentă a cumpărătorului, aceasta evaluează o eventuală cerere de autorizare în acest sens, împreună cu transferul, în timp util.</w:t>
            </w:r>
          </w:p>
          <w:p w14:paraId="457B7A3B" w14:textId="77777777" w:rsidR="00B53006" w:rsidRPr="00154588" w:rsidRDefault="00B53006" w:rsidP="008C12B4">
            <w:pPr>
              <w:jc w:val="both"/>
              <w:rPr>
                <w:bCs/>
                <w:sz w:val="20"/>
                <w:szCs w:val="20"/>
              </w:rPr>
            </w:pPr>
          </w:p>
        </w:tc>
        <w:tc>
          <w:tcPr>
            <w:tcW w:w="2552" w:type="dxa"/>
          </w:tcPr>
          <w:p w14:paraId="65075FD6" w14:textId="4E8F2D26" w:rsidR="00B53006" w:rsidRPr="00154588" w:rsidRDefault="00B53006" w:rsidP="008C12B4">
            <w:pPr>
              <w:jc w:val="both"/>
              <w:rPr>
                <w:bCs/>
                <w:sz w:val="20"/>
                <w:szCs w:val="20"/>
              </w:rPr>
            </w:pPr>
            <w:r w:rsidRPr="00154588">
              <w:rPr>
                <w:bCs/>
                <w:sz w:val="20"/>
                <w:szCs w:val="20"/>
              </w:rPr>
              <w:t>Compatibil</w:t>
            </w:r>
          </w:p>
        </w:tc>
        <w:tc>
          <w:tcPr>
            <w:tcW w:w="3118" w:type="dxa"/>
          </w:tcPr>
          <w:p w14:paraId="66F47C97" w14:textId="77777777" w:rsidR="00B53006" w:rsidRPr="00154588" w:rsidRDefault="00B53006" w:rsidP="008C12B4">
            <w:pPr>
              <w:jc w:val="both"/>
              <w:rPr>
                <w:bCs/>
                <w:sz w:val="20"/>
                <w:szCs w:val="20"/>
              </w:rPr>
            </w:pPr>
          </w:p>
        </w:tc>
      </w:tr>
      <w:tr w:rsidR="00B53006" w:rsidRPr="00154588" w14:paraId="3D87CC7A" w14:textId="77777777" w:rsidTr="00D15C1B">
        <w:trPr>
          <w:jc w:val="center"/>
        </w:trPr>
        <w:tc>
          <w:tcPr>
            <w:tcW w:w="4957" w:type="dxa"/>
            <w:gridSpan w:val="2"/>
          </w:tcPr>
          <w:p w14:paraId="7076F077" w14:textId="773A7DEE" w:rsidR="00B53006" w:rsidRPr="00154588" w:rsidRDefault="00B53006" w:rsidP="008C12B4">
            <w:pPr>
              <w:jc w:val="both"/>
              <w:rPr>
                <w:bCs/>
                <w:sz w:val="20"/>
                <w:szCs w:val="20"/>
              </w:rPr>
            </w:pPr>
            <w:r w:rsidRPr="00154588">
              <w:rPr>
                <w:bCs/>
                <w:sz w:val="20"/>
                <w:szCs w:val="20"/>
              </w:rPr>
              <w:t xml:space="preserve">(8)   Prin derogare de la articolele 22-25 din Directiva 2013/36/UE de la obligația de a informa autoritățile competente de la articolul 26 din Directiva 2013/36/UE, articolul 10 alineatul (3), articolul 11 alineatele (1) și (2) și articolele 12 și 13 din Directiva 2014/65/UE și de la obligația de notificare menționată la articolul 11 alineatul (3) din respectiva directivă, în </w:t>
            </w:r>
            <w:r w:rsidRPr="00154588">
              <w:rPr>
                <w:bCs/>
                <w:sz w:val="20"/>
                <w:szCs w:val="20"/>
              </w:rPr>
              <w:lastRenderedPageBreak/>
              <w:t>cazul în care o vânzare de acțiuni sau alte instrumente de proprietate în virtutea aplicării instrumentului de vânzare a activității ar duce la achiziționarea sau majorarea unei participații calificate într-o instituție de tipul celor menționate la articolul 22 alineatul (1) din Directiva 2013/36/UE sau la articolul 11 alineatul (1) din Directiva 2014/65/UE, autoritatea competentă a acelei instituții efectuează evaluarea necesară în temeiul acelor articole în timp util, astfel încât să nu întârzie aplicarea instrumentului de vânzare a activității și să împiedice măsura de rezoluție să își atingă obiectivele relevante ale rezoluției.</w:t>
            </w:r>
          </w:p>
        </w:tc>
        <w:tc>
          <w:tcPr>
            <w:tcW w:w="4819" w:type="dxa"/>
          </w:tcPr>
          <w:p w14:paraId="3672D076" w14:textId="77777777" w:rsidR="00B53006" w:rsidRPr="00154588" w:rsidRDefault="00B53006" w:rsidP="008C12B4">
            <w:pPr>
              <w:ind w:firstLine="567"/>
              <w:jc w:val="both"/>
              <w:rPr>
                <w:sz w:val="20"/>
                <w:szCs w:val="20"/>
              </w:rPr>
            </w:pPr>
            <w:r w:rsidRPr="00154588">
              <w:rPr>
                <w:b/>
                <w:sz w:val="20"/>
                <w:szCs w:val="20"/>
              </w:rPr>
              <w:lastRenderedPageBreak/>
              <w:t>Articolul 101.</w:t>
            </w:r>
            <w:r w:rsidRPr="00154588">
              <w:rPr>
                <w:sz w:val="20"/>
                <w:szCs w:val="20"/>
              </w:rPr>
              <w:t xml:space="preserve"> – Prin derogare de la prevederile art.45–48, art.50 şi 51 din Legea nr.202/2017, în cazul în care un transfer al dreptului de proprietate asupra acțiunilor sau altor instrumente de proprietate, care au loc în virtutea aplicării instrumentului de vînzare a afacerii, ar duce la achiziţionarea sau majorarea unei dețineri în </w:t>
            </w:r>
            <w:r w:rsidRPr="00154588">
              <w:rPr>
                <w:sz w:val="20"/>
                <w:szCs w:val="20"/>
              </w:rPr>
              <w:lastRenderedPageBreak/>
              <w:t>capitalul social ale  instituției de credit, de tipul celei căreia îi sînt aplicabile prevederile art.45 alin.(1) din Legea nr.202/2017, Banca Naţională a Moldovei, în calitate de autoritate competentă a acelei instituții de credit, efectuează evaluarea necesară astfel încît să permită aplicarea promptă a instrumentului de vînzare a afacerii şi să faciliteze atingerea de către acţiunea de rezoluţie a obiectivelor relevante ale rezoluţiei.</w:t>
            </w:r>
          </w:p>
          <w:p w14:paraId="335C3DB3" w14:textId="77777777" w:rsidR="00B53006" w:rsidRPr="00154588" w:rsidRDefault="00B53006" w:rsidP="008C12B4">
            <w:pPr>
              <w:jc w:val="both"/>
              <w:rPr>
                <w:bCs/>
                <w:sz w:val="20"/>
                <w:szCs w:val="20"/>
              </w:rPr>
            </w:pPr>
          </w:p>
        </w:tc>
        <w:tc>
          <w:tcPr>
            <w:tcW w:w="2552" w:type="dxa"/>
          </w:tcPr>
          <w:p w14:paraId="48BD380A" w14:textId="65C3E671"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1E1BB7EB" w14:textId="77777777" w:rsidR="00B53006" w:rsidRPr="00154588" w:rsidRDefault="00B53006" w:rsidP="008C12B4">
            <w:pPr>
              <w:jc w:val="both"/>
              <w:rPr>
                <w:bCs/>
                <w:sz w:val="20"/>
                <w:szCs w:val="20"/>
              </w:rPr>
            </w:pPr>
          </w:p>
        </w:tc>
      </w:tr>
      <w:tr w:rsidR="00B53006" w:rsidRPr="00154588" w14:paraId="1C753755" w14:textId="77777777" w:rsidTr="00D15C1B">
        <w:trPr>
          <w:jc w:val="center"/>
        </w:trPr>
        <w:tc>
          <w:tcPr>
            <w:tcW w:w="4957" w:type="dxa"/>
            <w:gridSpan w:val="2"/>
          </w:tcPr>
          <w:p w14:paraId="07866D6F" w14:textId="77777777" w:rsidR="00B53006" w:rsidRPr="00154588" w:rsidRDefault="00B53006" w:rsidP="008C12B4">
            <w:pPr>
              <w:jc w:val="both"/>
              <w:rPr>
                <w:bCs/>
                <w:sz w:val="20"/>
                <w:szCs w:val="20"/>
              </w:rPr>
            </w:pPr>
            <w:r w:rsidRPr="00154588">
              <w:rPr>
                <w:bCs/>
                <w:sz w:val="20"/>
                <w:szCs w:val="20"/>
              </w:rPr>
              <w:t>(9)   Statele membre se asigură că, în cazul în care autoritatea competentă a respectivei instituții nu a finalizat evaluarea menționată la alineatul (8) de la data transferului de acțiuni sau de alte instrumente de proprietate în cursul aplicării instrumentului de vânzare a activității de către autoritatea de rezoluție, se aplică următoarele dispoziții:</w:t>
            </w:r>
          </w:p>
          <w:p w14:paraId="7149ED31" w14:textId="77777777" w:rsidR="00B53006" w:rsidRPr="00154588" w:rsidRDefault="00B53006" w:rsidP="008C12B4">
            <w:pPr>
              <w:jc w:val="both"/>
              <w:rPr>
                <w:bCs/>
                <w:sz w:val="20"/>
                <w:szCs w:val="20"/>
              </w:rPr>
            </w:pPr>
          </w:p>
          <w:p w14:paraId="474E18FA" w14:textId="5DE9E6D9" w:rsidR="00B53006" w:rsidRPr="00154588" w:rsidRDefault="00B53006" w:rsidP="008C12B4">
            <w:pPr>
              <w:jc w:val="both"/>
              <w:rPr>
                <w:bCs/>
                <w:sz w:val="20"/>
                <w:szCs w:val="20"/>
              </w:rPr>
            </w:pPr>
            <w:r w:rsidRPr="00154588">
              <w:rPr>
                <w:bCs/>
                <w:sz w:val="20"/>
                <w:szCs w:val="20"/>
              </w:rPr>
              <w:t>(a) respectivul transfer de acțiuni sau de alte instrumente de proprietate către cumpărător are efect juridic imediat;</w:t>
            </w:r>
          </w:p>
          <w:p w14:paraId="1A20F9D3" w14:textId="77777777" w:rsidR="00B53006" w:rsidRPr="00154588" w:rsidRDefault="00B53006" w:rsidP="008C12B4">
            <w:pPr>
              <w:jc w:val="both"/>
              <w:rPr>
                <w:bCs/>
                <w:sz w:val="20"/>
                <w:szCs w:val="20"/>
              </w:rPr>
            </w:pPr>
          </w:p>
          <w:p w14:paraId="35CA3837" w14:textId="7F28A693" w:rsidR="00B53006" w:rsidRPr="00154588" w:rsidRDefault="00B53006" w:rsidP="008C12B4">
            <w:pPr>
              <w:jc w:val="both"/>
              <w:rPr>
                <w:bCs/>
                <w:sz w:val="20"/>
                <w:szCs w:val="20"/>
              </w:rPr>
            </w:pPr>
            <w:r w:rsidRPr="00154588">
              <w:rPr>
                <w:bCs/>
                <w:sz w:val="20"/>
                <w:szCs w:val="20"/>
              </w:rPr>
              <w:t>(b) în cursul perioadei de evaluare și în cursul eventualelor perioade de dezinvestire prevăzute la litera (f), dreptul cumpărătorului de vot aferent respectivelor acțiuni sau altor instrumente de proprietate este suspendat și îi revine doar autorității de rezoluție, care nu are nicio obligație de a exercita vreun astfel de drept de vot și care nu are nici o răspundere pentru exercitarea sau neexercitarea respectivelor drepturi de vot;</w:t>
            </w:r>
          </w:p>
          <w:p w14:paraId="29DB66D4" w14:textId="77777777" w:rsidR="00B53006" w:rsidRPr="00154588" w:rsidRDefault="00B53006" w:rsidP="008C12B4">
            <w:pPr>
              <w:jc w:val="both"/>
              <w:rPr>
                <w:bCs/>
                <w:sz w:val="20"/>
                <w:szCs w:val="20"/>
              </w:rPr>
            </w:pPr>
          </w:p>
          <w:p w14:paraId="78559F1A" w14:textId="77777777" w:rsidR="00B53006" w:rsidRPr="00154588" w:rsidRDefault="00B53006" w:rsidP="008C12B4">
            <w:pPr>
              <w:jc w:val="both"/>
              <w:rPr>
                <w:bCs/>
                <w:sz w:val="20"/>
                <w:szCs w:val="20"/>
              </w:rPr>
            </w:pPr>
          </w:p>
          <w:p w14:paraId="0B59BFE1" w14:textId="7505EB81" w:rsidR="00B53006" w:rsidRPr="00154588" w:rsidRDefault="00B53006" w:rsidP="008C12B4">
            <w:pPr>
              <w:jc w:val="both"/>
              <w:rPr>
                <w:bCs/>
                <w:sz w:val="20"/>
                <w:szCs w:val="20"/>
              </w:rPr>
            </w:pPr>
            <w:r w:rsidRPr="00154588">
              <w:rPr>
                <w:bCs/>
                <w:sz w:val="20"/>
                <w:szCs w:val="20"/>
              </w:rPr>
              <w:t>(c) în cursul perioadei de evaluare și în cursul oricărei perioade de dezinvestire prevăzute la litera (f), sancțiunile și celelalte măsuri aplicate încălcării condițiilor pentru achiziții sau cedări ale participațiilor calificate avute în vedere la articolele 66, 67 și 68 din Directiva 2013/36/UE nu se aplică respectivelor transferuri de acțiuni sau de alte instrumente de proprietate;</w:t>
            </w:r>
          </w:p>
          <w:p w14:paraId="0D22E260" w14:textId="77777777" w:rsidR="00B53006" w:rsidRPr="00154588" w:rsidRDefault="00B53006" w:rsidP="008C12B4">
            <w:pPr>
              <w:jc w:val="both"/>
              <w:rPr>
                <w:bCs/>
                <w:sz w:val="20"/>
                <w:szCs w:val="20"/>
              </w:rPr>
            </w:pPr>
          </w:p>
          <w:p w14:paraId="266D55A6" w14:textId="5747B55F" w:rsidR="00B53006" w:rsidRPr="00154588" w:rsidRDefault="00B53006" w:rsidP="008C12B4">
            <w:pPr>
              <w:jc w:val="both"/>
              <w:rPr>
                <w:bCs/>
                <w:sz w:val="20"/>
                <w:szCs w:val="20"/>
              </w:rPr>
            </w:pPr>
            <w:r w:rsidRPr="00154588">
              <w:rPr>
                <w:bCs/>
                <w:sz w:val="20"/>
                <w:szCs w:val="20"/>
              </w:rPr>
              <w:lastRenderedPageBreak/>
              <w:t>(d) autoritatea competentă, imediat după finalizarea evaluării, notifică în scris autorității de rezoluție și cumpărătorului decizia autorității competente de a aproba sau, în conformitate cu articolul 22 alineatul (5) din Directiva 2013/36/UE, de a se opune respectivului transfer de acțiuni sau de alte instrumente de proprietate către cumpărător;</w:t>
            </w:r>
          </w:p>
          <w:p w14:paraId="4B7B8138" w14:textId="77777777" w:rsidR="00B53006" w:rsidRPr="00154588" w:rsidRDefault="00B53006" w:rsidP="008C12B4">
            <w:pPr>
              <w:jc w:val="both"/>
              <w:rPr>
                <w:bCs/>
                <w:sz w:val="20"/>
                <w:szCs w:val="20"/>
              </w:rPr>
            </w:pPr>
          </w:p>
          <w:p w14:paraId="462E4B41" w14:textId="77777777" w:rsidR="00B53006" w:rsidRPr="00154588" w:rsidRDefault="00B53006" w:rsidP="008C12B4">
            <w:pPr>
              <w:jc w:val="both"/>
              <w:rPr>
                <w:bCs/>
                <w:sz w:val="20"/>
                <w:szCs w:val="20"/>
              </w:rPr>
            </w:pPr>
          </w:p>
          <w:p w14:paraId="49DB8FC1" w14:textId="6A4E4205" w:rsidR="00B53006" w:rsidRPr="00154588" w:rsidRDefault="00B53006" w:rsidP="008C12B4">
            <w:pPr>
              <w:jc w:val="both"/>
              <w:rPr>
                <w:bCs/>
                <w:sz w:val="20"/>
                <w:szCs w:val="20"/>
              </w:rPr>
            </w:pPr>
            <w:r w:rsidRPr="00154588">
              <w:rPr>
                <w:bCs/>
                <w:sz w:val="20"/>
                <w:szCs w:val="20"/>
              </w:rPr>
              <w:t>(e) în cazul în care autoritatea competentă aprobă un astfel de transfer de acțiuni sau de alte instrumente de proprietate către cumpărător, dreptul de vot aferent respectivelor acțiuni sau altor instrumente de proprietate se consideră acordat în întregime cumpărătorului, imediat după primirea de către autoritatea de rezoluție și de către cumpărător a respectivei notificări de aprobare din partea autorității competente;</w:t>
            </w:r>
          </w:p>
          <w:p w14:paraId="0726C52B" w14:textId="77777777" w:rsidR="00B53006" w:rsidRPr="00154588" w:rsidRDefault="00B53006" w:rsidP="008C12B4">
            <w:pPr>
              <w:jc w:val="both"/>
              <w:rPr>
                <w:bCs/>
                <w:sz w:val="20"/>
                <w:szCs w:val="20"/>
              </w:rPr>
            </w:pPr>
          </w:p>
          <w:p w14:paraId="02A954A2" w14:textId="6C509418" w:rsidR="00B53006" w:rsidRPr="00154588" w:rsidRDefault="00B53006" w:rsidP="008C12B4">
            <w:pPr>
              <w:jc w:val="both"/>
              <w:rPr>
                <w:bCs/>
                <w:sz w:val="20"/>
                <w:szCs w:val="20"/>
              </w:rPr>
            </w:pPr>
            <w:r w:rsidRPr="00154588">
              <w:rPr>
                <w:bCs/>
                <w:sz w:val="20"/>
                <w:szCs w:val="20"/>
              </w:rPr>
              <w:t>(f) dacă autoritatea competentă se opune respectivului transfer de acțiuni sau de alte instrumente de proprietate către cumpărător, atunci:</w:t>
            </w:r>
          </w:p>
          <w:p w14:paraId="3520896B" w14:textId="77777777" w:rsidR="00B53006" w:rsidRPr="00154588" w:rsidRDefault="00B53006" w:rsidP="008C12B4">
            <w:pPr>
              <w:jc w:val="both"/>
              <w:rPr>
                <w:bCs/>
                <w:sz w:val="20"/>
                <w:szCs w:val="20"/>
              </w:rPr>
            </w:pPr>
          </w:p>
          <w:p w14:paraId="2EFD0FA6" w14:textId="00A8F1CA" w:rsidR="00B53006" w:rsidRPr="00154588" w:rsidRDefault="00B53006" w:rsidP="008C12B4">
            <w:pPr>
              <w:jc w:val="both"/>
              <w:rPr>
                <w:bCs/>
                <w:sz w:val="20"/>
                <w:szCs w:val="20"/>
              </w:rPr>
            </w:pPr>
            <w:r w:rsidRPr="00154588">
              <w:rPr>
                <w:bCs/>
                <w:sz w:val="20"/>
                <w:szCs w:val="20"/>
              </w:rPr>
              <w:t>(i) dreptul de vot aferent respectivelor acțiuni sau altor instrumente de proprietate prevăzut la punctul (b) rămâne în vigoare în întregime;</w:t>
            </w:r>
          </w:p>
          <w:p w14:paraId="3D4E298C" w14:textId="77777777" w:rsidR="00B53006" w:rsidRPr="00154588" w:rsidRDefault="00B53006" w:rsidP="008C12B4">
            <w:pPr>
              <w:jc w:val="both"/>
              <w:rPr>
                <w:bCs/>
                <w:sz w:val="20"/>
                <w:szCs w:val="20"/>
              </w:rPr>
            </w:pPr>
          </w:p>
          <w:p w14:paraId="6F28FBAA" w14:textId="6F934AC9" w:rsidR="00B53006" w:rsidRPr="00154588" w:rsidRDefault="00B53006" w:rsidP="008C12B4">
            <w:pPr>
              <w:jc w:val="both"/>
              <w:rPr>
                <w:bCs/>
                <w:sz w:val="20"/>
                <w:szCs w:val="20"/>
              </w:rPr>
            </w:pPr>
            <w:r w:rsidRPr="00154588">
              <w:rPr>
                <w:bCs/>
                <w:sz w:val="20"/>
                <w:szCs w:val="20"/>
              </w:rPr>
              <w:t>(ii) autoritatea de rezoluție poate cere cumpărătorului să cedeze respectivele acțiuni sau alte instrumente de proprietate într-un termen de dezinvestire determinat de autoritatea de rezoluție după ce a luat în considerare condițiile de piață prevalente; și</w:t>
            </w:r>
          </w:p>
          <w:p w14:paraId="2FDA9502" w14:textId="77777777" w:rsidR="00B53006" w:rsidRPr="00154588" w:rsidRDefault="00B53006" w:rsidP="008C12B4">
            <w:pPr>
              <w:jc w:val="both"/>
              <w:rPr>
                <w:bCs/>
                <w:sz w:val="20"/>
                <w:szCs w:val="20"/>
              </w:rPr>
            </w:pPr>
          </w:p>
          <w:p w14:paraId="098CD6FF" w14:textId="0CC4C9A7" w:rsidR="00B53006" w:rsidRPr="00154588" w:rsidRDefault="00B53006" w:rsidP="008C12B4">
            <w:pPr>
              <w:jc w:val="both"/>
              <w:rPr>
                <w:bCs/>
                <w:sz w:val="20"/>
                <w:szCs w:val="20"/>
              </w:rPr>
            </w:pPr>
            <w:r w:rsidRPr="00154588">
              <w:rPr>
                <w:bCs/>
                <w:sz w:val="20"/>
                <w:szCs w:val="20"/>
              </w:rPr>
              <w:t>(iii) în cazul în care cumpărătorul nu finalizează respectiva dezinvestire în termenul de dezinvestire stabilit de autoritatea de rezoluție, atunci autoritatea competentă, cu aprobarea autorității de rezoluție, poate impune cumpărătorului sancțiuni și alte măsuri pentru încălcarea cerințelor de achiziție sau de cedare a participațiilorcalificate menționate la articolele 66, 67 și 68 din Directiva 2013/36/UE.</w:t>
            </w:r>
          </w:p>
        </w:tc>
        <w:tc>
          <w:tcPr>
            <w:tcW w:w="4819" w:type="dxa"/>
          </w:tcPr>
          <w:p w14:paraId="11110080" w14:textId="77777777" w:rsidR="00B53006" w:rsidRPr="00154588" w:rsidRDefault="00B53006" w:rsidP="008C12B4">
            <w:pPr>
              <w:ind w:firstLine="567"/>
              <w:jc w:val="both"/>
              <w:rPr>
                <w:sz w:val="20"/>
                <w:szCs w:val="20"/>
              </w:rPr>
            </w:pPr>
            <w:r w:rsidRPr="00154588">
              <w:rPr>
                <w:b/>
                <w:sz w:val="20"/>
                <w:szCs w:val="20"/>
              </w:rPr>
              <w:lastRenderedPageBreak/>
              <w:t>Articolul 102.</w:t>
            </w:r>
            <w:r w:rsidRPr="00154588">
              <w:rPr>
                <w:sz w:val="20"/>
                <w:szCs w:val="20"/>
              </w:rPr>
              <w:t xml:space="preserve"> – (1) În cazul în care structura care exercită funcţia de supraveghere nu a finalizat evaluarea achiziţiei menționată la art.101, de la data transferului de acţiuni sau de alte instrumente de proprietate, aferent aplicării instrumentului de vînzare a afacerii de către structura care exercită funcţia de rezoluţie, se aplică următoarele dispoziţii:</w:t>
            </w:r>
          </w:p>
          <w:p w14:paraId="544CF947" w14:textId="77777777" w:rsidR="00B53006" w:rsidRPr="00154588" w:rsidRDefault="00B53006" w:rsidP="008C12B4">
            <w:pPr>
              <w:ind w:firstLine="567"/>
              <w:jc w:val="both"/>
              <w:rPr>
                <w:sz w:val="20"/>
                <w:szCs w:val="20"/>
              </w:rPr>
            </w:pPr>
            <w:r w:rsidRPr="00154588">
              <w:rPr>
                <w:sz w:val="20"/>
                <w:szCs w:val="20"/>
              </w:rPr>
              <w:t>a) respectivul transfer al dreptului de proprietate asupra acțiunilor sau de alte instrumente de proprietate către cumpărător are efect juridic imediat;</w:t>
            </w:r>
          </w:p>
          <w:p w14:paraId="2803FD46" w14:textId="375BAD7B" w:rsidR="00B53006" w:rsidRPr="00154588" w:rsidRDefault="00B53006" w:rsidP="008C12B4">
            <w:pPr>
              <w:ind w:firstLine="567"/>
              <w:jc w:val="both"/>
              <w:rPr>
                <w:sz w:val="20"/>
                <w:szCs w:val="20"/>
              </w:rPr>
            </w:pPr>
            <w:r w:rsidRPr="00154588">
              <w:rPr>
                <w:sz w:val="20"/>
                <w:szCs w:val="20"/>
              </w:rPr>
              <w:t>b) în cursul perioadei de evaluare a achiziţiei şi în cursul oricărei perioade în care s-a solicitat dezinvestirea acţiunilor sau a altor instrumente de proprietate, potrivit alin.(2) lit.b), drepturile de vot ale cumpărătorului sînt suspendate şi îi revin doar Băncii Naţionale a Moldovei, în calitate de autoritate de rezoluţie, care nu are nicio obligaţie de a exercita respectivele drepturi de vot şi nicio răspundere pentru exercitarea sau neexercitarea acestora;</w:t>
            </w:r>
          </w:p>
          <w:p w14:paraId="3C183029" w14:textId="77777777" w:rsidR="00B53006" w:rsidRPr="00154588" w:rsidRDefault="00B53006" w:rsidP="008C12B4">
            <w:pPr>
              <w:ind w:firstLine="567"/>
              <w:jc w:val="both"/>
              <w:rPr>
                <w:sz w:val="20"/>
                <w:szCs w:val="20"/>
              </w:rPr>
            </w:pPr>
            <w:r w:rsidRPr="00154588">
              <w:rPr>
                <w:sz w:val="20"/>
                <w:szCs w:val="20"/>
              </w:rPr>
              <w:t>c) în cursul perioadei de evaluare a achiziţiei şi în cursul oricărei perioade în care s-a solicitat dezinvestirea acţiunilor sau a altor instrumente de proprietate, potrivit alin.(2) lit.b), efectele juridice, inclusiv sancţiunile, prevăzute de Legea nr.202/2017</w:t>
            </w:r>
            <w:r w:rsidRPr="00154588" w:rsidDel="00DD2FC7">
              <w:rPr>
                <w:sz w:val="20"/>
                <w:szCs w:val="20"/>
              </w:rPr>
              <w:t xml:space="preserve"> </w:t>
            </w:r>
            <w:r w:rsidRPr="00154588">
              <w:rPr>
                <w:sz w:val="20"/>
                <w:szCs w:val="20"/>
              </w:rPr>
              <w:t>pentru încălcarea cerinţelor privind solicitarea aprobării Băncii Naţionale a Moldovei pentru achiziţia de dețineri în capitalul social al instituției de credit, respectiv a notificării înstrăinării şi reducerii deținerilor în capitalul social al instituției de credit, nu se aplică în cazul respectivului transfer al dreptului de proprietate asupra acțiunilor sau de alte instrumente de proprietate;</w:t>
            </w:r>
          </w:p>
          <w:p w14:paraId="06FC648C" w14:textId="77777777" w:rsidR="00B53006" w:rsidRPr="00154588" w:rsidRDefault="00B53006" w:rsidP="008C12B4">
            <w:pPr>
              <w:ind w:firstLine="567"/>
              <w:jc w:val="both"/>
              <w:rPr>
                <w:sz w:val="20"/>
                <w:szCs w:val="20"/>
              </w:rPr>
            </w:pPr>
            <w:r w:rsidRPr="00154588">
              <w:rPr>
                <w:sz w:val="20"/>
                <w:szCs w:val="20"/>
              </w:rPr>
              <w:lastRenderedPageBreak/>
              <w:t>d) Banca Naţională a Moldovei se asigură că, imediat după finalizarea evaluării achiziţiei, structura care exercită funcţia de supraveghere informează în scris cumpărătorul despre rezultatul evaluării, cu respectarea dispoziţiilor art.47 alin.(7), (7</w:t>
            </w:r>
            <w:r w:rsidRPr="00154588">
              <w:rPr>
                <w:sz w:val="20"/>
                <w:szCs w:val="20"/>
                <w:vertAlign w:val="superscript"/>
              </w:rPr>
              <w:t>1</w:t>
            </w:r>
            <w:r w:rsidRPr="00154588">
              <w:rPr>
                <w:sz w:val="20"/>
                <w:szCs w:val="20"/>
              </w:rPr>
              <w:t xml:space="preserve">) și/sau (8), după caz, din Legea nr.202/2017, precum şi informează despre aceasta structura care exercită funcţia de rezoluţie; </w:t>
            </w:r>
          </w:p>
          <w:p w14:paraId="1BAA058F" w14:textId="77777777" w:rsidR="00B53006" w:rsidRPr="00154588" w:rsidRDefault="00B53006" w:rsidP="008C12B4">
            <w:pPr>
              <w:ind w:firstLine="567"/>
              <w:jc w:val="both"/>
              <w:rPr>
                <w:sz w:val="20"/>
                <w:szCs w:val="20"/>
              </w:rPr>
            </w:pPr>
            <w:r w:rsidRPr="00154588">
              <w:rPr>
                <w:sz w:val="20"/>
                <w:szCs w:val="20"/>
              </w:rPr>
              <w:t>e) în cazul în care structura care exercită funcţia de supraveghere, aprobă achiziţia, drepturile de vot aferente acţiunilor sau altor instrumente de proprietate care au făcut obiectul transferului către cumpărător se consideră acordate în întregime acestuia, imediat după primirea de către cumpărător a acordului;</w:t>
            </w:r>
          </w:p>
          <w:p w14:paraId="64A4095A" w14:textId="77777777" w:rsidR="00B53006" w:rsidRPr="00154588" w:rsidRDefault="00B53006" w:rsidP="008C12B4">
            <w:pPr>
              <w:ind w:firstLine="567"/>
              <w:jc w:val="both"/>
              <w:rPr>
                <w:sz w:val="20"/>
                <w:szCs w:val="20"/>
              </w:rPr>
            </w:pPr>
            <w:r w:rsidRPr="00154588">
              <w:rPr>
                <w:sz w:val="20"/>
                <w:szCs w:val="20"/>
              </w:rPr>
              <w:t>f) în cazul în care structura care exercită funcţia de supraveghere, se opune achiziției, se aplică prevederile alin.(2).</w:t>
            </w:r>
          </w:p>
          <w:p w14:paraId="0407A9B3" w14:textId="77777777" w:rsidR="00B53006" w:rsidRPr="00154588" w:rsidRDefault="00B53006" w:rsidP="008C12B4">
            <w:pPr>
              <w:ind w:firstLine="567"/>
              <w:jc w:val="both"/>
              <w:rPr>
                <w:sz w:val="20"/>
                <w:szCs w:val="20"/>
              </w:rPr>
            </w:pPr>
            <w:r w:rsidRPr="00154588">
              <w:rPr>
                <w:sz w:val="20"/>
                <w:szCs w:val="20"/>
              </w:rPr>
              <w:t>(2) Pentru cazul prevăzut la alin.(1) lit.f) sînt aplicabile următoarele dispoziţii:</w:t>
            </w:r>
          </w:p>
          <w:p w14:paraId="3505F000" w14:textId="77777777" w:rsidR="00B53006" w:rsidRPr="00154588" w:rsidRDefault="00B53006" w:rsidP="008C12B4">
            <w:pPr>
              <w:ind w:firstLine="567"/>
              <w:jc w:val="both"/>
              <w:rPr>
                <w:sz w:val="20"/>
                <w:szCs w:val="20"/>
              </w:rPr>
            </w:pPr>
            <w:r w:rsidRPr="00154588">
              <w:rPr>
                <w:sz w:val="20"/>
                <w:szCs w:val="20"/>
              </w:rPr>
              <w:t>a) drepturile de vot aferente respectivelor acţiuni sau altor instrumente de proprietate sunt pe deplin valabile și se exercită în condiţiile prevăzute la alin.(1) lit.b);</w:t>
            </w:r>
          </w:p>
          <w:p w14:paraId="3FD4FDC7" w14:textId="77777777" w:rsidR="00B53006" w:rsidRPr="00154588" w:rsidRDefault="00B53006" w:rsidP="008C12B4">
            <w:pPr>
              <w:ind w:firstLine="567"/>
              <w:jc w:val="both"/>
              <w:rPr>
                <w:sz w:val="20"/>
                <w:szCs w:val="20"/>
              </w:rPr>
            </w:pPr>
            <w:r w:rsidRPr="00154588">
              <w:rPr>
                <w:sz w:val="20"/>
                <w:szCs w:val="20"/>
              </w:rPr>
              <w:t>b) Banca Naţională a Moldovei, în calitate de autoritate de rezoluţie, poate cere cumpărătorului să cesioneze respectivele acţiuni sau alte instrumente de proprietate într-un termen stabilit de aceasta, după ce a luat în considerare condiţiile de piaţă prevalente; şi</w:t>
            </w:r>
          </w:p>
          <w:p w14:paraId="69188399" w14:textId="77777777" w:rsidR="00B53006" w:rsidRPr="00154588" w:rsidRDefault="00B53006" w:rsidP="008C12B4">
            <w:pPr>
              <w:ind w:firstLine="567"/>
              <w:jc w:val="both"/>
              <w:rPr>
                <w:sz w:val="20"/>
                <w:szCs w:val="20"/>
              </w:rPr>
            </w:pPr>
            <w:r w:rsidRPr="00154588">
              <w:rPr>
                <w:sz w:val="20"/>
                <w:szCs w:val="20"/>
              </w:rPr>
              <w:t>c) în cazul în care cumpărătorul nu finalizează respectiva cesionare în termenul stabilit în lit.b), devin incidente prevederile ce ţin de nerespectarea cerinţelor privind calitatea acţionariatului prevăzută în legislaţia aplicabilă din domeniul bancar la momentul anulării.</w:t>
            </w:r>
          </w:p>
          <w:p w14:paraId="30F7BA06" w14:textId="77777777" w:rsidR="00B53006" w:rsidRPr="00154588" w:rsidRDefault="00B53006" w:rsidP="008C12B4">
            <w:pPr>
              <w:jc w:val="both"/>
              <w:rPr>
                <w:bCs/>
                <w:sz w:val="20"/>
                <w:szCs w:val="20"/>
              </w:rPr>
            </w:pPr>
          </w:p>
        </w:tc>
        <w:tc>
          <w:tcPr>
            <w:tcW w:w="2552" w:type="dxa"/>
          </w:tcPr>
          <w:p w14:paraId="15CFA1F5" w14:textId="276C5C83"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5984F544" w14:textId="77777777" w:rsidR="00B53006" w:rsidRPr="00154588" w:rsidRDefault="00B53006" w:rsidP="008C12B4">
            <w:pPr>
              <w:jc w:val="both"/>
              <w:rPr>
                <w:bCs/>
                <w:sz w:val="20"/>
                <w:szCs w:val="20"/>
              </w:rPr>
            </w:pPr>
          </w:p>
        </w:tc>
      </w:tr>
      <w:tr w:rsidR="00B53006" w:rsidRPr="00154588" w14:paraId="23CCA7C6" w14:textId="77777777" w:rsidTr="00D15C1B">
        <w:trPr>
          <w:jc w:val="center"/>
        </w:trPr>
        <w:tc>
          <w:tcPr>
            <w:tcW w:w="4957" w:type="dxa"/>
            <w:gridSpan w:val="2"/>
          </w:tcPr>
          <w:p w14:paraId="4A1C469E" w14:textId="1F567B72" w:rsidR="00B53006" w:rsidRPr="00154588" w:rsidRDefault="00B53006" w:rsidP="008C12B4">
            <w:pPr>
              <w:jc w:val="both"/>
              <w:rPr>
                <w:bCs/>
                <w:sz w:val="20"/>
                <w:szCs w:val="20"/>
              </w:rPr>
            </w:pPr>
            <w:r w:rsidRPr="00154588">
              <w:rPr>
                <w:bCs/>
                <w:sz w:val="20"/>
                <w:szCs w:val="20"/>
              </w:rPr>
              <w:t>(10)   Transferurile efectuate în virtutea aplicării instrumentului de vânzare a activității fac obiectul mecanismelor de siguranță menționate în capitolul VII din titlul IV.</w:t>
            </w:r>
          </w:p>
        </w:tc>
        <w:tc>
          <w:tcPr>
            <w:tcW w:w="4819" w:type="dxa"/>
          </w:tcPr>
          <w:p w14:paraId="71BFF5F4" w14:textId="77777777" w:rsidR="00B53006" w:rsidRPr="00154588" w:rsidRDefault="00B53006" w:rsidP="008C12B4">
            <w:pPr>
              <w:ind w:firstLine="567"/>
              <w:jc w:val="both"/>
              <w:rPr>
                <w:sz w:val="20"/>
                <w:szCs w:val="20"/>
              </w:rPr>
            </w:pPr>
            <w:r w:rsidRPr="00154588">
              <w:rPr>
                <w:b/>
                <w:sz w:val="20"/>
                <w:szCs w:val="20"/>
              </w:rPr>
              <w:t>Articolul 103.</w:t>
            </w:r>
            <w:r w:rsidRPr="00154588">
              <w:rPr>
                <w:sz w:val="20"/>
                <w:szCs w:val="20"/>
              </w:rPr>
              <w:t xml:space="preserve"> – Transferurile efectuate în virtutea aplicării instrumentului de vînzare a afacerii fac obiectul mecanismelor de siguranţă prevăzute la art.262-276.</w:t>
            </w:r>
          </w:p>
          <w:p w14:paraId="2F56DF0A" w14:textId="77777777" w:rsidR="00B53006" w:rsidRPr="00154588" w:rsidRDefault="00B53006" w:rsidP="008C12B4">
            <w:pPr>
              <w:jc w:val="both"/>
              <w:rPr>
                <w:bCs/>
                <w:sz w:val="20"/>
                <w:szCs w:val="20"/>
              </w:rPr>
            </w:pPr>
          </w:p>
        </w:tc>
        <w:tc>
          <w:tcPr>
            <w:tcW w:w="2552" w:type="dxa"/>
          </w:tcPr>
          <w:p w14:paraId="3AEB531A" w14:textId="0325D0CE"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70DFDC64" w14:textId="77777777" w:rsidR="00B53006" w:rsidRPr="00154588" w:rsidRDefault="00B53006" w:rsidP="008C12B4">
            <w:pPr>
              <w:jc w:val="both"/>
              <w:rPr>
                <w:bCs/>
                <w:sz w:val="20"/>
                <w:szCs w:val="20"/>
              </w:rPr>
            </w:pPr>
          </w:p>
        </w:tc>
      </w:tr>
      <w:tr w:rsidR="00B53006" w:rsidRPr="00154588" w14:paraId="114DD858" w14:textId="77777777" w:rsidTr="00D15C1B">
        <w:trPr>
          <w:jc w:val="center"/>
        </w:trPr>
        <w:tc>
          <w:tcPr>
            <w:tcW w:w="4957" w:type="dxa"/>
            <w:gridSpan w:val="2"/>
          </w:tcPr>
          <w:p w14:paraId="035855F3" w14:textId="149D0D0C" w:rsidR="00B53006" w:rsidRPr="00154588" w:rsidRDefault="00B53006" w:rsidP="008C12B4">
            <w:pPr>
              <w:jc w:val="both"/>
              <w:rPr>
                <w:bCs/>
                <w:sz w:val="20"/>
                <w:szCs w:val="20"/>
              </w:rPr>
            </w:pPr>
            <w:r w:rsidRPr="00154588">
              <w:rPr>
                <w:bCs/>
                <w:sz w:val="20"/>
                <w:szCs w:val="20"/>
              </w:rPr>
              <w:t>(11)   În sensul exercitării libertăților de a presta servicii sau de a se stabili într-un alt stat membru în conformitate cu Directiva 2013/36/UE sau cu Directiva 2014/65/UE, cumpărătorul este considerat a fi o continuare a instituției aflate în rezoluție și poate continua să exercite toate drepturile exercitate de instituția aflată în rezoluție aferente activelor, drepturilor sau pasivelor transferate.</w:t>
            </w:r>
          </w:p>
        </w:tc>
        <w:tc>
          <w:tcPr>
            <w:tcW w:w="4819" w:type="dxa"/>
          </w:tcPr>
          <w:p w14:paraId="14105ACC" w14:textId="77777777" w:rsidR="00B53006" w:rsidRPr="00154588" w:rsidRDefault="00B53006" w:rsidP="008C12B4">
            <w:pPr>
              <w:ind w:firstLine="567"/>
              <w:jc w:val="both"/>
              <w:rPr>
                <w:sz w:val="20"/>
                <w:szCs w:val="20"/>
              </w:rPr>
            </w:pPr>
            <w:bookmarkStart w:id="28" w:name="_Hlk223338026"/>
            <w:r w:rsidRPr="00154588">
              <w:rPr>
                <w:b/>
                <w:sz w:val="20"/>
                <w:szCs w:val="20"/>
              </w:rPr>
              <w:t>Articolul 104.</w:t>
            </w:r>
            <w:r w:rsidRPr="00154588">
              <w:rPr>
                <w:sz w:val="20"/>
                <w:szCs w:val="20"/>
              </w:rPr>
              <w:t xml:space="preserve"> – În scopul exercitării dreptului de a presta servicii în mod direct sau de a înființa o sucursală într-un alt stat membru al Uniunii Europene potrivit Legii 202/2017 sau legislației privind piața de capital, cumpărătorul este considerat continuatorul de drept al instituției  supuse rezoluţiei şi poate exercita în continuare orice astfel de drepturi exercitate de instituția  supusă rezoluţiei aferente activelor, drepturilor sau obligaţiilor transferate, inclusiv în ceea ce priveşte drepturile de proprietate intelectuală.</w:t>
            </w:r>
          </w:p>
          <w:bookmarkEnd w:id="28"/>
          <w:p w14:paraId="08FD9D31" w14:textId="77777777" w:rsidR="00B53006" w:rsidRPr="00154588" w:rsidRDefault="00B53006" w:rsidP="008C12B4">
            <w:pPr>
              <w:jc w:val="both"/>
              <w:rPr>
                <w:bCs/>
                <w:sz w:val="20"/>
                <w:szCs w:val="20"/>
              </w:rPr>
            </w:pPr>
          </w:p>
        </w:tc>
        <w:tc>
          <w:tcPr>
            <w:tcW w:w="2552" w:type="dxa"/>
          </w:tcPr>
          <w:p w14:paraId="5CFBD794" w14:textId="5CC81FB0" w:rsidR="00B53006" w:rsidRPr="00154588" w:rsidRDefault="00B53006" w:rsidP="008C12B4">
            <w:pPr>
              <w:jc w:val="both"/>
              <w:rPr>
                <w:bCs/>
                <w:sz w:val="20"/>
                <w:szCs w:val="20"/>
              </w:rPr>
            </w:pPr>
            <w:r w:rsidRPr="00154588">
              <w:rPr>
                <w:bCs/>
                <w:sz w:val="20"/>
                <w:szCs w:val="20"/>
              </w:rPr>
              <w:t>Compatibil</w:t>
            </w:r>
          </w:p>
        </w:tc>
        <w:tc>
          <w:tcPr>
            <w:tcW w:w="3118" w:type="dxa"/>
          </w:tcPr>
          <w:p w14:paraId="448A42F9" w14:textId="77777777" w:rsidR="00B53006" w:rsidRPr="00154588" w:rsidRDefault="00B53006" w:rsidP="008C12B4">
            <w:pPr>
              <w:jc w:val="both"/>
              <w:rPr>
                <w:bCs/>
                <w:sz w:val="20"/>
                <w:szCs w:val="20"/>
              </w:rPr>
            </w:pPr>
          </w:p>
        </w:tc>
      </w:tr>
      <w:tr w:rsidR="00B53006" w:rsidRPr="00154588" w14:paraId="4EF8BEF3" w14:textId="77777777" w:rsidTr="00D15C1B">
        <w:trPr>
          <w:jc w:val="center"/>
        </w:trPr>
        <w:tc>
          <w:tcPr>
            <w:tcW w:w="4957" w:type="dxa"/>
            <w:gridSpan w:val="2"/>
          </w:tcPr>
          <w:p w14:paraId="1912E03B" w14:textId="77777777" w:rsidR="00B53006" w:rsidRPr="00154588" w:rsidRDefault="00B53006" w:rsidP="008C12B4">
            <w:pPr>
              <w:jc w:val="both"/>
              <w:rPr>
                <w:bCs/>
                <w:sz w:val="20"/>
                <w:szCs w:val="20"/>
              </w:rPr>
            </w:pPr>
            <w:r w:rsidRPr="00154588">
              <w:rPr>
                <w:bCs/>
                <w:sz w:val="20"/>
                <w:szCs w:val="20"/>
              </w:rPr>
              <w:t>(12)   Statele membre se asigură că cumpărătorul menționate la alineatul (1) poate continua să exercite drepturile conferite de calitatea de membru și drepturile de acces la sistemele de plată, compensare și decontare, la bursele de valori, la schemele de compensare pentru investitori și la schemele de garantare a depozitelor ale instituției aflate în rezoluție, cu condiția ca aceasta să îndeplinească criteriile legate de calitatea de membru și criteriile de participare pentru lua parte la astfel de sisteme.</w:t>
            </w:r>
          </w:p>
          <w:p w14:paraId="64463797" w14:textId="77777777" w:rsidR="00B53006" w:rsidRPr="00154588" w:rsidRDefault="00B53006" w:rsidP="008C12B4">
            <w:pPr>
              <w:jc w:val="both"/>
              <w:rPr>
                <w:bCs/>
                <w:sz w:val="20"/>
                <w:szCs w:val="20"/>
              </w:rPr>
            </w:pPr>
          </w:p>
          <w:p w14:paraId="36E9DCAE" w14:textId="77777777" w:rsidR="00B53006" w:rsidRPr="00154588" w:rsidRDefault="00B53006" w:rsidP="008C12B4">
            <w:pPr>
              <w:jc w:val="both"/>
              <w:rPr>
                <w:bCs/>
                <w:sz w:val="20"/>
                <w:szCs w:val="20"/>
              </w:rPr>
            </w:pPr>
            <w:r w:rsidRPr="00154588">
              <w:rPr>
                <w:bCs/>
                <w:sz w:val="20"/>
                <w:szCs w:val="20"/>
              </w:rPr>
              <w:t>Fără a aduce atingere primului paragraf, statele membre se asigură că:</w:t>
            </w:r>
          </w:p>
          <w:p w14:paraId="44C3C053" w14:textId="77777777" w:rsidR="00B53006" w:rsidRPr="00154588" w:rsidRDefault="00B53006" w:rsidP="008C12B4">
            <w:pPr>
              <w:jc w:val="both"/>
              <w:rPr>
                <w:bCs/>
                <w:sz w:val="20"/>
                <w:szCs w:val="20"/>
              </w:rPr>
            </w:pPr>
          </w:p>
          <w:p w14:paraId="75C71129" w14:textId="3C262025" w:rsidR="00B53006" w:rsidRPr="00154588" w:rsidRDefault="00B53006" w:rsidP="008C12B4">
            <w:pPr>
              <w:jc w:val="both"/>
              <w:rPr>
                <w:bCs/>
                <w:sz w:val="20"/>
                <w:szCs w:val="20"/>
              </w:rPr>
            </w:pPr>
            <w:r w:rsidRPr="00154588">
              <w:rPr>
                <w:bCs/>
                <w:sz w:val="20"/>
                <w:szCs w:val="20"/>
              </w:rPr>
              <w:t>(a) accesul nu este refuzat pentru motivul că cumpărătorul nu dispune de un rating din partea unei agenții de rating de credit sau că ratingul respectiv nu este proporțional cu nivelurile de rating impuse pentru a beneficia de accesul la sistemele menționate în primul paragraf;</w:t>
            </w:r>
          </w:p>
          <w:p w14:paraId="70EA3DF0" w14:textId="77777777" w:rsidR="00B53006" w:rsidRPr="00154588" w:rsidRDefault="00B53006" w:rsidP="008C12B4">
            <w:pPr>
              <w:jc w:val="both"/>
              <w:rPr>
                <w:bCs/>
                <w:sz w:val="20"/>
                <w:szCs w:val="20"/>
              </w:rPr>
            </w:pPr>
          </w:p>
          <w:p w14:paraId="58D501FE" w14:textId="56DECB32" w:rsidR="00B53006" w:rsidRPr="00154588" w:rsidRDefault="00B53006" w:rsidP="008C12B4">
            <w:pPr>
              <w:jc w:val="both"/>
              <w:rPr>
                <w:bCs/>
                <w:sz w:val="20"/>
                <w:szCs w:val="20"/>
              </w:rPr>
            </w:pPr>
            <w:r w:rsidRPr="00154588">
              <w:rPr>
                <w:bCs/>
                <w:sz w:val="20"/>
                <w:szCs w:val="20"/>
              </w:rPr>
              <w:t>(b) în cazul în care cumpărătorul nu îndeplinește criteriile legate de calitatea de membru sau criteriile de participare la un sistem relevant de plată, compensare sau decontare, la bursa de valori, la o schemăde compensații pentru investitori sau la o schemă de garantare a depozitelor, drepturile menționate la primul paragraf se exercită pentru o perioadă de timp care poate fi precizată de autoritatea de rezoluție, demaxim 24 de luni, care poate fi prelungită la cererea cumpărătorului adresată autorității de rezoluție.</w:t>
            </w:r>
          </w:p>
        </w:tc>
        <w:tc>
          <w:tcPr>
            <w:tcW w:w="4819" w:type="dxa"/>
          </w:tcPr>
          <w:p w14:paraId="473D1754" w14:textId="77777777" w:rsidR="00B53006" w:rsidRPr="00154588" w:rsidRDefault="00B53006" w:rsidP="008C12B4">
            <w:pPr>
              <w:ind w:firstLine="567"/>
              <w:jc w:val="both"/>
              <w:rPr>
                <w:sz w:val="20"/>
                <w:szCs w:val="20"/>
              </w:rPr>
            </w:pPr>
            <w:r w:rsidRPr="00154588">
              <w:rPr>
                <w:b/>
                <w:sz w:val="20"/>
                <w:szCs w:val="20"/>
              </w:rPr>
              <w:t>Articolul 105.</w:t>
            </w:r>
            <w:r w:rsidRPr="00154588">
              <w:rPr>
                <w:sz w:val="20"/>
                <w:szCs w:val="20"/>
              </w:rPr>
              <w:t xml:space="preserve"> </w:t>
            </w:r>
            <w:bookmarkStart w:id="29" w:name="_Hlk223338104"/>
            <w:r w:rsidRPr="00154588">
              <w:rPr>
                <w:sz w:val="20"/>
                <w:szCs w:val="20"/>
              </w:rPr>
              <w:t>– (1) Cumpărătorul poate continua să exercite drepturile de membru și drepturile de acces la sistemele de plată, compensare și decontare, la bursele de valori, la schemele de compensare pentru investitori și la schemele de garantare a depozitelor ale instituției supuse  rezoluție, cu condiția ca aceasta să aibă calitate de membru și criteriile de participare pentru lua parte la astfel de sisteme, burse de valori sau scheme.</w:t>
            </w:r>
            <w:bookmarkEnd w:id="29"/>
          </w:p>
          <w:p w14:paraId="0DB4D0FA" w14:textId="77777777" w:rsidR="00B53006" w:rsidRPr="00154588" w:rsidRDefault="00B53006" w:rsidP="008C12B4">
            <w:pPr>
              <w:ind w:firstLine="567"/>
              <w:jc w:val="both"/>
              <w:rPr>
                <w:sz w:val="20"/>
                <w:szCs w:val="20"/>
              </w:rPr>
            </w:pPr>
            <w:r w:rsidRPr="00154588">
              <w:rPr>
                <w:sz w:val="20"/>
                <w:szCs w:val="20"/>
              </w:rPr>
              <w:t>(2) Prevederile alin.(1) nu înlătură cerinţa ca respectivul cumpărător să îndeplinească criteriile privind calitatea de membru şi criteriile de participare, în funcţie de care se poate lua parte la astfel de sisteme, burse şi scheme.</w:t>
            </w:r>
          </w:p>
          <w:p w14:paraId="6CC1CA07" w14:textId="77777777" w:rsidR="00B53006" w:rsidRPr="00154588" w:rsidRDefault="00B53006" w:rsidP="008C12B4">
            <w:pPr>
              <w:ind w:firstLine="567"/>
              <w:jc w:val="both"/>
              <w:rPr>
                <w:sz w:val="20"/>
                <w:szCs w:val="20"/>
              </w:rPr>
            </w:pPr>
            <w:r w:rsidRPr="00154588">
              <w:rPr>
                <w:sz w:val="20"/>
                <w:szCs w:val="20"/>
              </w:rPr>
              <w:t>(3) Fără a aduce atingere prevederilor alin.(1), următoarele dispoziţii sînt aplicabile:</w:t>
            </w:r>
          </w:p>
          <w:p w14:paraId="61706C1F" w14:textId="77777777" w:rsidR="00B53006" w:rsidRPr="00154588" w:rsidRDefault="00B53006" w:rsidP="008C12B4">
            <w:pPr>
              <w:ind w:firstLine="567"/>
              <w:jc w:val="both"/>
              <w:rPr>
                <w:sz w:val="20"/>
                <w:szCs w:val="20"/>
              </w:rPr>
            </w:pPr>
            <w:r w:rsidRPr="00154588">
              <w:rPr>
                <w:sz w:val="20"/>
                <w:szCs w:val="20"/>
              </w:rPr>
              <w:t>a) sistemele, bursele şi schemele prevăzute la alin.(1) nu pot refuza accesul pe motiv că respectivul cumpărător nu dispune de un rating din partea unei agenţii de rating de credit sau că ratingul respectiv nu este proporţional cu nivelurile de rating impuse pentru a beneficia de acces la sistemele prevăzute la alin.(1);</w:t>
            </w:r>
          </w:p>
          <w:p w14:paraId="30F0CB96" w14:textId="77777777" w:rsidR="00B53006" w:rsidRPr="00154588" w:rsidRDefault="00B53006" w:rsidP="008C12B4">
            <w:pPr>
              <w:ind w:firstLine="567"/>
              <w:jc w:val="both"/>
              <w:rPr>
                <w:sz w:val="20"/>
                <w:szCs w:val="20"/>
              </w:rPr>
            </w:pPr>
            <w:r w:rsidRPr="00154588">
              <w:rPr>
                <w:sz w:val="20"/>
                <w:szCs w:val="20"/>
              </w:rPr>
              <w:t xml:space="preserve">b) în cazul în care cumpărătorul nu îndeplineşte criteriile legate de calitatea de membru sau criteriile de participare la un sistem relevant de plăţi, compensare sau decontare, la o bursă de valori, la o schemă de compensare pentru investitori sau la o schemă de garantare a depozitelor, drepturile prevăzute la alin.(1) se exercită de către cumpărător numai pentru o perioadă de timp, de </w:t>
            </w:r>
            <w:r w:rsidRPr="00154588">
              <w:rPr>
                <w:sz w:val="20"/>
                <w:szCs w:val="20"/>
              </w:rPr>
              <w:lastRenderedPageBreak/>
              <w:t>maximum 24 de luni de la data transferului, care poate fi stabilită de către Banca Naţională a Moldovei, în calitate de autoritate de rezoluţie, şi care poate fi prelungită cu perioade de maximum 12 luni, la solicitarea cumpărătorului adresată aceleiaşi autorităţi.</w:t>
            </w:r>
          </w:p>
          <w:p w14:paraId="4D6BFC81" w14:textId="77777777" w:rsidR="00B53006" w:rsidRPr="00154588" w:rsidRDefault="00B53006" w:rsidP="008C12B4">
            <w:pPr>
              <w:jc w:val="both"/>
              <w:rPr>
                <w:bCs/>
                <w:sz w:val="20"/>
                <w:szCs w:val="20"/>
              </w:rPr>
            </w:pPr>
          </w:p>
        </w:tc>
        <w:tc>
          <w:tcPr>
            <w:tcW w:w="2552" w:type="dxa"/>
          </w:tcPr>
          <w:p w14:paraId="4638FDC4" w14:textId="04748D44"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136C21BF" w14:textId="77777777" w:rsidR="00B53006" w:rsidRPr="00154588" w:rsidRDefault="00B53006" w:rsidP="008C12B4">
            <w:pPr>
              <w:jc w:val="both"/>
              <w:rPr>
                <w:bCs/>
                <w:sz w:val="20"/>
                <w:szCs w:val="20"/>
              </w:rPr>
            </w:pPr>
          </w:p>
        </w:tc>
      </w:tr>
      <w:tr w:rsidR="00B53006" w:rsidRPr="00154588" w14:paraId="2021E5CA" w14:textId="77777777" w:rsidTr="00D15C1B">
        <w:trPr>
          <w:jc w:val="center"/>
        </w:trPr>
        <w:tc>
          <w:tcPr>
            <w:tcW w:w="4957" w:type="dxa"/>
            <w:gridSpan w:val="2"/>
          </w:tcPr>
          <w:p w14:paraId="6F0B2E31" w14:textId="62B11F73" w:rsidR="00B53006" w:rsidRPr="00154588" w:rsidRDefault="00B53006" w:rsidP="008C12B4">
            <w:pPr>
              <w:jc w:val="both"/>
              <w:rPr>
                <w:bCs/>
                <w:sz w:val="20"/>
                <w:szCs w:val="20"/>
              </w:rPr>
            </w:pPr>
            <w:r w:rsidRPr="00154588">
              <w:rPr>
                <w:bCs/>
                <w:sz w:val="20"/>
                <w:szCs w:val="20"/>
              </w:rPr>
              <w:t>(13)   Fără a aduce atingere titlului IV capitolul VII, acționarii sau creditorii instituției aflate în rezoluție și alte părți terțe ale căror active, drepturi sau pasive nu sunt transferate nu au niciun fel de drepturi asupra activelor, drepturilor sau pasivelor transferate, ori în legătură cu acestea.</w:t>
            </w:r>
          </w:p>
        </w:tc>
        <w:tc>
          <w:tcPr>
            <w:tcW w:w="4819" w:type="dxa"/>
          </w:tcPr>
          <w:p w14:paraId="430E622D" w14:textId="77777777" w:rsidR="00B53006" w:rsidRPr="00154588" w:rsidRDefault="00B53006" w:rsidP="008C12B4">
            <w:pPr>
              <w:ind w:firstLine="567"/>
              <w:jc w:val="both"/>
              <w:rPr>
                <w:sz w:val="20"/>
                <w:szCs w:val="20"/>
              </w:rPr>
            </w:pPr>
            <w:r w:rsidRPr="00154588">
              <w:rPr>
                <w:b/>
                <w:sz w:val="20"/>
                <w:szCs w:val="20"/>
              </w:rPr>
              <w:t>Articolul 106.</w:t>
            </w:r>
            <w:r w:rsidRPr="00154588">
              <w:rPr>
                <w:sz w:val="20"/>
                <w:szCs w:val="20"/>
              </w:rPr>
              <w:t xml:space="preserve"> – Fără a aduce atingere prevederilor 262-276, acţionarii sau creditorii instituției  supuse rezoluţiei şi alte părţi terţe ale căror active, drepturi sau obligaţii nu sînt transferate nu au niciun drept asupra activelor, drepturilor sau obligaţiilor transferate ori în legătură cu acestea.</w:t>
            </w:r>
          </w:p>
          <w:p w14:paraId="37D3DE68" w14:textId="77777777" w:rsidR="00B53006" w:rsidRPr="00154588" w:rsidRDefault="00B53006" w:rsidP="008C12B4">
            <w:pPr>
              <w:jc w:val="both"/>
              <w:rPr>
                <w:bCs/>
                <w:sz w:val="20"/>
                <w:szCs w:val="20"/>
              </w:rPr>
            </w:pPr>
          </w:p>
        </w:tc>
        <w:tc>
          <w:tcPr>
            <w:tcW w:w="2552" w:type="dxa"/>
          </w:tcPr>
          <w:p w14:paraId="0D8039F7" w14:textId="065C2A85" w:rsidR="00B53006" w:rsidRPr="00154588" w:rsidRDefault="00B53006" w:rsidP="008C12B4">
            <w:pPr>
              <w:jc w:val="both"/>
              <w:rPr>
                <w:bCs/>
                <w:sz w:val="20"/>
                <w:szCs w:val="20"/>
              </w:rPr>
            </w:pPr>
            <w:r w:rsidRPr="00154588">
              <w:rPr>
                <w:bCs/>
                <w:sz w:val="20"/>
                <w:szCs w:val="20"/>
              </w:rPr>
              <w:t>Compatibil</w:t>
            </w:r>
          </w:p>
        </w:tc>
        <w:tc>
          <w:tcPr>
            <w:tcW w:w="3118" w:type="dxa"/>
          </w:tcPr>
          <w:p w14:paraId="0B3C743A" w14:textId="77777777" w:rsidR="00B53006" w:rsidRPr="00154588" w:rsidRDefault="00B53006" w:rsidP="008C12B4">
            <w:pPr>
              <w:jc w:val="both"/>
              <w:rPr>
                <w:bCs/>
                <w:sz w:val="20"/>
                <w:szCs w:val="20"/>
              </w:rPr>
            </w:pPr>
          </w:p>
        </w:tc>
      </w:tr>
      <w:tr w:rsidR="00B53006" w:rsidRPr="00154588" w14:paraId="22EDC2AD" w14:textId="77777777" w:rsidTr="00D15C1B">
        <w:trPr>
          <w:jc w:val="center"/>
        </w:trPr>
        <w:tc>
          <w:tcPr>
            <w:tcW w:w="4957" w:type="dxa"/>
            <w:gridSpan w:val="2"/>
          </w:tcPr>
          <w:p w14:paraId="7C548CD0" w14:textId="77777777" w:rsidR="00B53006" w:rsidRPr="00154588" w:rsidRDefault="00B53006" w:rsidP="008C12B4">
            <w:pPr>
              <w:rPr>
                <w:b/>
                <w:sz w:val="20"/>
                <w:szCs w:val="20"/>
              </w:rPr>
            </w:pPr>
            <w:r w:rsidRPr="00154588">
              <w:rPr>
                <w:b/>
                <w:sz w:val="20"/>
                <w:szCs w:val="20"/>
              </w:rPr>
              <w:t>Articolul 39</w:t>
            </w:r>
          </w:p>
          <w:p w14:paraId="52AAF2A2" w14:textId="77777777" w:rsidR="00B53006" w:rsidRPr="00154588" w:rsidRDefault="00B53006" w:rsidP="008C12B4">
            <w:pPr>
              <w:rPr>
                <w:b/>
                <w:sz w:val="20"/>
                <w:szCs w:val="20"/>
              </w:rPr>
            </w:pPr>
          </w:p>
          <w:p w14:paraId="5EB10699" w14:textId="032B206C" w:rsidR="00B53006" w:rsidRPr="00154588" w:rsidRDefault="00B53006" w:rsidP="008C12B4">
            <w:pPr>
              <w:rPr>
                <w:bCs/>
                <w:sz w:val="20"/>
                <w:szCs w:val="20"/>
              </w:rPr>
            </w:pPr>
            <w:r w:rsidRPr="00154588">
              <w:rPr>
                <w:b/>
                <w:sz w:val="20"/>
                <w:szCs w:val="20"/>
              </w:rPr>
              <w:t>Instrumentul de vânzare a activității: cerințe procedurale</w:t>
            </w:r>
          </w:p>
        </w:tc>
        <w:tc>
          <w:tcPr>
            <w:tcW w:w="4819" w:type="dxa"/>
          </w:tcPr>
          <w:p w14:paraId="4FEEA9E8" w14:textId="77777777" w:rsidR="00B53006" w:rsidRPr="00154588" w:rsidRDefault="00B53006" w:rsidP="008C12B4">
            <w:pPr>
              <w:jc w:val="both"/>
              <w:rPr>
                <w:bCs/>
                <w:sz w:val="20"/>
                <w:szCs w:val="20"/>
              </w:rPr>
            </w:pPr>
          </w:p>
        </w:tc>
        <w:tc>
          <w:tcPr>
            <w:tcW w:w="2552" w:type="dxa"/>
          </w:tcPr>
          <w:p w14:paraId="1BB40E83" w14:textId="77777777" w:rsidR="00B53006" w:rsidRPr="00154588" w:rsidRDefault="00B53006" w:rsidP="008C12B4">
            <w:pPr>
              <w:jc w:val="both"/>
              <w:rPr>
                <w:bCs/>
                <w:sz w:val="20"/>
                <w:szCs w:val="20"/>
              </w:rPr>
            </w:pPr>
          </w:p>
        </w:tc>
        <w:tc>
          <w:tcPr>
            <w:tcW w:w="3118" w:type="dxa"/>
          </w:tcPr>
          <w:p w14:paraId="659D66A5" w14:textId="77777777" w:rsidR="00B53006" w:rsidRPr="00154588" w:rsidRDefault="00B53006" w:rsidP="008C12B4">
            <w:pPr>
              <w:jc w:val="both"/>
              <w:rPr>
                <w:bCs/>
                <w:sz w:val="20"/>
                <w:szCs w:val="20"/>
              </w:rPr>
            </w:pPr>
          </w:p>
        </w:tc>
      </w:tr>
      <w:tr w:rsidR="00B53006" w:rsidRPr="00154588" w14:paraId="50093A64" w14:textId="77777777" w:rsidTr="00D15C1B">
        <w:trPr>
          <w:jc w:val="center"/>
        </w:trPr>
        <w:tc>
          <w:tcPr>
            <w:tcW w:w="4957" w:type="dxa"/>
            <w:gridSpan w:val="2"/>
          </w:tcPr>
          <w:p w14:paraId="2DB074DB" w14:textId="04840E8B" w:rsidR="00B53006" w:rsidRPr="00154588" w:rsidRDefault="00B53006" w:rsidP="008C12B4">
            <w:pPr>
              <w:jc w:val="both"/>
              <w:rPr>
                <w:bCs/>
                <w:sz w:val="20"/>
                <w:szCs w:val="20"/>
              </w:rPr>
            </w:pPr>
            <w:r w:rsidRPr="00154588">
              <w:rPr>
                <w:bCs/>
                <w:sz w:val="20"/>
                <w:szCs w:val="20"/>
              </w:rPr>
              <w:t>(1) Sub rezerva alineatului (3) din prezentul articol, atunci când aplică unei instituții sau entități menționate la articolul 1 alineatul (1) litera (b), (c) sau (d) instrumentul de vânzare a activității, autoritatea de rezoluție scoate pe piață sau ia măsuri în vederea scoaterii pe piață a activelor, drepturilor, pasivelor, acțiunilor sau a altor instrumente de proprietate a acelei instituții pe care autoritatea intenționează să le transfere. Grupuri de drepturi, active și pasive pot fi scoase pe piață separat.</w:t>
            </w:r>
          </w:p>
        </w:tc>
        <w:tc>
          <w:tcPr>
            <w:tcW w:w="4819" w:type="dxa"/>
          </w:tcPr>
          <w:p w14:paraId="6CBF8197" w14:textId="77777777" w:rsidR="00B53006" w:rsidRPr="00154588" w:rsidRDefault="00B53006" w:rsidP="008C12B4">
            <w:pPr>
              <w:ind w:firstLine="567"/>
              <w:jc w:val="both"/>
              <w:rPr>
                <w:sz w:val="20"/>
                <w:szCs w:val="20"/>
              </w:rPr>
            </w:pPr>
            <w:r w:rsidRPr="00154588">
              <w:rPr>
                <w:b/>
                <w:sz w:val="20"/>
                <w:szCs w:val="20"/>
              </w:rPr>
              <w:t>Articolul 107.</w:t>
            </w:r>
            <w:r w:rsidRPr="00154588">
              <w:rPr>
                <w:sz w:val="20"/>
                <w:szCs w:val="20"/>
              </w:rPr>
              <w:t xml:space="preserve"> – Cu respectarea prevederilor art.109, în situaţia în care aplică unei </w:t>
            </w:r>
            <w:bookmarkStart w:id="30" w:name="_Hlk223338241"/>
            <w:r w:rsidRPr="00154588">
              <w:rPr>
                <w:sz w:val="20"/>
                <w:szCs w:val="20"/>
              </w:rPr>
              <w:t>instituții de credit sau entității prevăzute la art.1 alin.(1) lit.b), c) sau d)</w:t>
            </w:r>
            <w:bookmarkEnd w:id="30"/>
            <w:r w:rsidRPr="00154588">
              <w:rPr>
                <w:sz w:val="20"/>
                <w:szCs w:val="20"/>
              </w:rPr>
              <w:t xml:space="preserve"> instrumentul de vînzare a afacerii, Banca Naţională a Moldovei, în calitate de autoritate de rezoluţie, scoate pe piaţă sau ia măsuri în sensul scoaterii pe piaţă a activelor, drepturilor, obligaţiilor, acţiunilor sau altor instrumente de proprietate pe care intenţionează să le transfere. Grupuri de drepturi, active şi obligaţii pot fi scoase pe piaţă separat.</w:t>
            </w:r>
          </w:p>
          <w:p w14:paraId="6EAF827D" w14:textId="77777777" w:rsidR="00B53006" w:rsidRPr="00154588" w:rsidRDefault="00B53006" w:rsidP="008C12B4">
            <w:pPr>
              <w:jc w:val="both"/>
              <w:rPr>
                <w:bCs/>
                <w:sz w:val="20"/>
                <w:szCs w:val="20"/>
              </w:rPr>
            </w:pPr>
          </w:p>
        </w:tc>
        <w:tc>
          <w:tcPr>
            <w:tcW w:w="2552" w:type="dxa"/>
          </w:tcPr>
          <w:p w14:paraId="232625F1" w14:textId="4F2993E8" w:rsidR="00B53006" w:rsidRPr="00154588" w:rsidRDefault="00B53006" w:rsidP="008C12B4">
            <w:pPr>
              <w:jc w:val="both"/>
              <w:rPr>
                <w:bCs/>
                <w:sz w:val="20"/>
                <w:szCs w:val="20"/>
              </w:rPr>
            </w:pPr>
            <w:r w:rsidRPr="00154588">
              <w:rPr>
                <w:bCs/>
                <w:sz w:val="20"/>
                <w:szCs w:val="20"/>
              </w:rPr>
              <w:t>Compatibil</w:t>
            </w:r>
          </w:p>
        </w:tc>
        <w:tc>
          <w:tcPr>
            <w:tcW w:w="3118" w:type="dxa"/>
          </w:tcPr>
          <w:p w14:paraId="098A4C4C" w14:textId="77777777" w:rsidR="00B53006" w:rsidRPr="00154588" w:rsidRDefault="00B53006" w:rsidP="008C12B4">
            <w:pPr>
              <w:jc w:val="both"/>
              <w:rPr>
                <w:bCs/>
                <w:sz w:val="20"/>
                <w:szCs w:val="20"/>
              </w:rPr>
            </w:pPr>
          </w:p>
        </w:tc>
      </w:tr>
      <w:tr w:rsidR="00B53006" w:rsidRPr="00154588" w14:paraId="057A9E05" w14:textId="77777777" w:rsidTr="00D15C1B">
        <w:trPr>
          <w:jc w:val="center"/>
        </w:trPr>
        <w:tc>
          <w:tcPr>
            <w:tcW w:w="4957" w:type="dxa"/>
            <w:gridSpan w:val="2"/>
          </w:tcPr>
          <w:p w14:paraId="3FE5A6C7" w14:textId="77777777" w:rsidR="00B53006" w:rsidRPr="00154588" w:rsidRDefault="00B53006" w:rsidP="008C12B4">
            <w:pPr>
              <w:jc w:val="both"/>
              <w:rPr>
                <w:bCs/>
                <w:sz w:val="20"/>
                <w:szCs w:val="20"/>
              </w:rPr>
            </w:pPr>
            <w:r w:rsidRPr="00154588">
              <w:rPr>
                <w:bCs/>
                <w:sz w:val="20"/>
                <w:szCs w:val="20"/>
              </w:rPr>
              <w:t>(2)   Fără a aduce atingere, după caz, cadrului Uniunii pentru ajutoarele de stat, scoaterea pe piață menționată la alineatul (1) se efectuează în conformitate cu următoarele criterii:</w:t>
            </w:r>
          </w:p>
          <w:p w14:paraId="0780888C" w14:textId="77777777" w:rsidR="00B53006" w:rsidRPr="00154588" w:rsidRDefault="00B53006" w:rsidP="008C12B4">
            <w:pPr>
              <w:jc w:val="both"/>
              <w:rPr>
                <w:bCs/>
                <w:sz w:val="20"/>
                <w:szCs w:val="20"/>
              </w:rPr>
            </w:pPr>
          </w:p>
          <w:p w14:paraId="1B10A443" w14:textId="77777777" w:rsidR="00B53006" w:rsidRPr="00154588" w:rsidRDefault="00B53006" w:rsidP="008C12B4">
            <w:pPr>
              <w:jc w:val="both"/>
              <w:rPr>
                <w:bCs/>
                <w:sz w:val="20"/>
                <w:szCs w:val="20"/>
              </w:rPr>
            </w:pPr>
          </w:p>
          <w:p w14:paraId="5D2EDC18" w14:textId="39803BBD" w:rsidR="00B53006" w:rsidRPr="00154588" w:rsidRDefault="00B53006" w:rsidP="008C12B4">
            <w:pPr>
              <w:jc w:val="both"/>
              <w:rPr>
                <w:bCs/>
                <w:sz w:val="20"/>
                <w:szCs w:val="20"/>
              </w:rPr>
            </w:pPr>
            <w:r w:rsidRPr="00154588">
              <w:rPr>
                <w:bCs/>
                <w:sz w:val="20"/>
                <w:szCs w:val="20"/>
              </w:rPr>
              <w:t>(a) ea trebuie să fie cât se poate de transparentă și nu trebuie să prezinte în mod semnificativ incorect activele, drepturile, pasivele, acțiunile sau alte instrumente de proprietate a acelei instituții pe care autoritatea intenționează să le transfere, având în vedere circumstanțele și în special necesitatea de a menține stabilitatea financiară;</w:t>
            </w:r>
          </w:p>
          <w:p w14:paraId="69BE76AF" w14:textId="77777777" w:rsidR="00B53006" w:rsidRPr="00154588" w:rsidRDefault="00B53006" w:rsidP="008C12B4">
            <w:pPr>
              <w:jc w:val="both"/>
              <w:rPr>
                <w:bCs/>
                <w:sz w:val="20"/>
                <w:szCs w:val="20"/>
              </w:rPr>
            </w:pPr>
          </w:p>
          <w:p w14:paraId="745E8EF1" w14:textId="75854A42" w:rsidR="00B53006" w:rsidRPr="00154588" w:rsidRDefault="00B53006" w:rsidP="008C12B4">
            <w:pPr>
              <w:jc w:val="both"/>
              <w:rPr>
                <w:bCs/>
                <w:sz w:val="20"/>
                <w:szCs w:val="20"/>
              </w:rPr>
            </w:pPr>
            <w:r w:rsidRPr="00154588">
              <w:rPr>
                <w:bCs/>
                <w:sz w:val="20"/>
                <w:szCs w:val="20"/>
              </w:rPr>
              <w:lastRenderedPageBreak/>
              <w:t>(b) ea nu trebuie să favorizeze sau să discrimineze în mod necuvenit anumiți cumpărători potențiali;</w:t>
            </w:r>
          </w:p>
          <w:p w14:paraId="6A9EADAE" w14:textId="77777777" w:rsidR="00B53006" w:rsidRPr="00154588" w:rsidRDefault="00B53006" w:rsidP="008C12B4">
            <w:pPr>
              <w:jc w:val="both"/>
              <w:rPr>
                <w:bCs/>
                <w:sz w:val="20"/>
                <w:szCs w:val="20"/>
              </w:rPr>
            </w:pPr>
          </w:p>
          <w:p w14:paraId="34E26B02" w14:textId="7D711025" w:rsidR="00B53006" w:rsidRPr="00154588" w:rsidRDefault="00B53006" w:rsidP="008C12B4">
            <w:pPr>
              <w:jc w:val="both"/>
              <w:rPr>
                <w:bCs/>
                <w:sz w:val="20"/>
                <w:szCs w:val="20"/>
              </w:rPr>
            </w:pPr>
            <w:r w:rsidRPr="00154588">
              <w:rPr>
                <w:bCs/>
                <w:sz w:val="20"/>
                <w:szCs w:val="20"/>
              </w:rPr>
              <w:t>(c) ea trebuie să fie liberă de orice conflict de interese;</w:t>
            </w:r>
          </w:p>
          <w:p w14:paraId="6D2FF9B9" w14:textId="77777777" w:rsidR="00B53006" w:rsidRPr="00154588" w:rsidRDefault="00B53006" w:rsidP="008C12B4">
            <w:pPr>
              <w:jc w:val="both"/>
              <w:rPr>
                <w:bCs/>
                <w:sz w:val="20"/>
                <w:szCs w:val="20"/>
              </w:rPr>
            </w:pPr>
          </w:p>
          <w:p w14:paraId="715E9DFE" w14:textId="7CE878D9" w:rsidR="00B53006" w:rsidRPr="00154588" w:rsidRDefault="00B53006" w:rsidP="008C12B4">
            <w:pPr>
              <w:jc w:val="both"/>
              <w:rPr>
                <w:bCs/>
                <w:sz w:val="20"/>
                <w:szCs w:val="20"/>
              </w:rPr>
            </w:pPr>
            <w:r w:rsidRPr="00154588">
              <w:rPr>
                <w:bCs/>
                <w:sz w:val="20"/>
                <w:szCs w:val="20"/>
              </w:rPr>
              <w:t>(d) ea nu trebuie să confere niciun avantaj necuvenit vreunui cumpărător potențial;</w:t>
            </w:r>
          </w:p>
          <w:p w14:paraId="55E01F65" w14:textId="77777777" w:rsidR="00B53006" w:rsidRPr="00154588" w:rsidRDefault="00B53006" w:rsidP="008C12B4">
            <w:pPr>
              <w:jc w:val="both"/>
              <w:rPr>
                <w:bCs/>
                <w:sz w:val="20"/>
                <w:szCs w:val="20"/>
              </w:rPr>
            </w:pPr>
          </w:p>
          <w:p w14:paraId="215E0CC5" w14:textId="52C57A0F" w:rsidR="00B53006" w:rsidRPr="00154588" w:rsidRDefault="00B53006" w:rsidP="008C12B4">
            <w:pPr>
              <w:jc w:val="both"/>
              <w:rPr>
                <w:bCs/>
                <w:sz w:val="20"/>
                <w:szCs w:val="20"/>
              </w:rPr>
            </w:pPr>
            <w:r w:rsidRPr="00154588">
              <w:rPr>
                <w:bCs/>
                <w:sz w:val="20"/>
                <w:szCs w:val="20"/>
              </w:rPr>
              <w:t>(e) ea trebuie să țină seama de nevoia ca acțiunea de rezoluție să se desfășoare cu rapiditate;</w:t>
            </w:r>
          </w:p>
          <w:p w14:paraId="301C9EC9" w14:textId="77777777" w:rsidR="00B53006" w:rsidRPr="00154588" w:rsidRDefault="00B53006" w:rsidP="008C12B4">
            <w:pPr>
              <w:jc w:val="both"/>
              <w:rPr>
                <w:bCs/>
                <w:sz w:val="20"/>
                <w:szCs w:val="20"/>
              </w:rPr>
            </w:pPr>
          </w:p>
          <w:p w14:paraId="2045774D" w14:textId="04BC9C51" w:rsidR="00B53006" w:rsidRPr="00154588" w:rsidRDefault="00B53006" w:rsidP="008C12B4">
            <w:pPr>
              <w:jc w:val="both"/>
              <w:rPr>
                <w:bCs/>
                <w:sz w:val="20"/>
                <w:szCs w:val="20"/>
              </w:rPr>
            </w:pPr>
            <w:r w:rsidRPr="00154588">
              <w:rPr>
                <w:bCs/>
                <w:sz w:val="20"/>
                <w:szCs w:val="20"/>
              </w:rPr>
              <w:t>(f) scopul său trebuie să fie maximizarea, pe cât posibil, a prețului de vânzare al acțiunilor sau altor instrumente de proprietate, al activelor, drepturilor sau pasivelor în cauză.</w:t>
            </w:r>
          </w:p>
          <w:p w14:paraId="23FE772D" w14:textId="77777777" w:rsidR="00B53006" w:rsidRPr="00154588" w:rsidRDefault="00B53006" w:rsidP="008C12B4">
            <w:pPr>
              <w:jc w:val="both"/>
              <w:rPr>
                <w:bCs/>
                <w:sz w:val="20"/>
                <w:szCs w:val="20"/>
              </w:rPr>
            </w:pPr>
          </w:p>
          <w:p w14:paraId="742EC7A5" w14:textId="77777777" w:rsidR="00B53006" w:rsidRPr="00154588" w:rsidRDefault="00B53006" w:rsidP="008C12B4">
            <w:pPr>
              <w:jc w:val="both"/>
              <w:rPr>
                <w:bCs/>
                <w:sz w:val="20"/>
                <w:szCs w:val="20"/>
              </w:rPr>
            </w:pPr>
            <w:r w:rsidRPr="00154588">
              <w:rPr>
                <w:bCs/>
                <w:sz w:val="20"/>
                <w:szCs w:val="20"/>
              </w:rPr>
              <w:t>Sub rezerva prezentului alineat litera (b), principiile menționate în prezentul alineat nu trebuie să împiedice solicitarea anumitor cumpărători potențiali de către autoritatea de rezoluție.</w:t>
            </w:r>
          </w:p>
          <w:p w14:paraId="41ADFE07" w14:textId="77777777" w:rsidR="00B53006" w:rsidRPr="00154588" w:rsidRDefault="00B53006" w:rsidP="008C12B4">
            <w:pPr>
              <w:jc w:val="both"/>
              <w:rPr>
                <w:bCs/>
                <w:sz w:val="20"/>
                <w:szCs w:val="20"/>
              </w:rPr>
            </w:pPr>
          </w:p>
          <w:p w14:paraId="488F702D" w14:textId="77777777" w:rsidR="00B53006" w:rsidRPr="00154588" w:rsidRDefault="00B53006" w:rsidP="008C12B4">
            <w:pPr>
              <w:jc w:val="both"/>
              <w:rPr>
                <w:bCs/>
                <w:sz w:val="20"/>
                <w:szCs w:val="20"/>
              </w:rPr>
            </w:pPr>
          </w:p>
          <w:p w14:paraId="272BD4F3" w14:textId="4AF71A66" w:rsidR="00B53006" w:rsidRPr="00154588" w:rsidRDefault="00B53006" w:rsidP="008C12B4">
            <w:pPr>
              <w:jc w:val="both"/>
              <w:rPr>
                <w:bCs/>
                <w:sz w:val="20"/>
                <w:szCs w:val="20"/>
              </w:rPr>
            </w:pPr>
            <w:r w:rsidRPr="00154588">
              <w:rPr>
                <w:bCs/>
                <w:sz w:val="20"/>
                <w:szCs w:val="20"/>
              </w:rPr>
              <w:t>Orice publicare a scoaterii pe piață a instituției sau a entității menționate la articolul 1 alineatul (1) litera (b), (c) sau (d) din prezenta directivă, în mod normal necesară în conformitate cu articolul 17 alineatul (1) din Regulamentul (UE) nr. 596/2014, poate fi amânată în conformitate cu articolul 17 alineatul (4) sau (5) din respectivul regulament.</w:t>
            </w:r>
          </w:p>
        </w:tc>
        <w:tc>
          <w:tcPr>
            <w:tcW w:w="4819" w:type="dxa"/>
          </w:tcPr>
          <w:p w14:paraId="0B6F330F" w14:textId="77777777" w:rsidR="00B53006" w:rsidRPr="00154588" w:rsidRDefault="00B53006" w:rsidP="008C12B4">
            <w:pPr>
              <w:ind w:firstLine="567"/>
              <w:jc w:val="both"/>
              <w:rPr>
                <w:sz w:val="20"/>
                <w:szCs w:val="20"/>
              </w:rPr>
            </w:pPr>
            <w:r w:rsidRPr="00154588">
              <w:rPr>
                <w:b/>
                <w:sz w:val="20"/>
                <w:szCs w:val="20"/>
              </w:rPr>
              <w:lastRenderedPageBreak/>
              <w:t>Articolul 108.</w:t>
            </w:r>
            <w:r w:rsidRPr="00154588">
              <w:rPr>
                <w:sz w:val="20"/>
                <w:szCs w:val="20"/>
              </w:rPr>
              <w:t xml:space="preserve"> </w:t>
            </w:r>
            <w:r w:rsidRPr="00154588">
              <w:rPr>
                <w:sz w:val="20"/>
                <w:szCs w:val="20"/>
                <w:lang w:eastAsia="ro-MD"/>
              </w:rPr>
              <w:t xml:space="preserve"> (1) Fără a aduce atingere, după caz, cadrului legal privind ajutorul de stat, scoaterea</w:t>
            </w:r>
            <w:r w:rsidRPr="00154588">
              <w:rPr>
                <w:sz w:val="20"/>
                <w:szCs w:val="20"/>
              </w:rPr>
              <w:t xml:space="preserve"> pe piaţă prevăzută la art.107 se efectuează în conformitate cu următoarele principii:</w:t>
            </w:r>
          </w:p>
          <w:p w14:paraId="44068145" w14:textId="77777777" w:rsidR="00B53006" w:rsidRPr="00154588" w:rsidRDefault="00B53006" w:rsidP="008C12B4">
            <w:pPr>
              <w:ind w:firstLine="567"/>
              <w:jc w:val="both"/>
              <w:rPr>
                <w:sz w:val="20"/>
                <w:szCs w:val="20"/>
              </w:rPr>
            </w:pPr>
            <w:r w:rsidRPr="00154588">
              <w:rPr>
                <w:sz w:val="20"/>
                <w:szCs w:val="20"/>
              </w:rPr>
              <w:t>a) trebuie să fie cît se poate de transparentă şi trebuie să nu prezinte în mod semnificativ eronat, activele, drepturile, obligaţiile, acţiunile sau alte instrumente de proprietate pe care Banca Naţională a Moldovei, în calitate de autoritate de rezoluţie, intenţionează să le transfere, avînd în vedere circumstanţele şi, în special, necesitatea de a menţine stabilitatea financiară;</w:t>
            </w:r>
          </w:p>
          <w:p w14:paraId="4899FE18" w14:textId="77777777" w:rsidR="00B53006" w:rsidRPr="00154588" w:rsidRDefault="00B53006" w:rsidP="008C12B4">
            <w:pPr>
              <w:ind w:firstLine="567"/>
              <w:jc w:val="both"/>
              <w:rPr>
                <w:sz w:val="20"/>
                <w:szCs w:val="20"/>
              </w:rPr>
            </w:pPr>
            <w:r w:rsidRPr="00154588">
              <w:rPr>
                <w:sz w:val="20"/>
                <w:szCs w:val="20"/>
              </w:rPr>
              <w:t>b) nu trebuie să favorizeze sau să discrimineze nejustificat niciun potenţial cumpărător;</w:t>
            </w:r>
          </w:p>
          <w:p w14:paraId="56B5CA3D" w14:textId="77777777" w:rsidR="00B53006" w:rsidRPr="00154588" w:rsidRDefault="00B53006" w:rsidP="008C12B4">
            <w:pPr>
              <w:ind w:firstLine="567"/>
              <w:jc w:val="both"/>
              <w:rPr>
                <w:sz w:val="20"/>
                <w:szCs w:val="20"/>
              </w:rPr>
            </w:pPr>
            <w:r w:rsidRPr="00154588">
              <w:rPr>
                <w:sz w:val="20"/>
                <w:szCs w:val="20"/>
              </w:rPr>
              <w:lastRenderedPageBreak/>
              <w:t>c) trebuie să fie liberă de orice conflict de interese;</w:t>
            </w:r>
          </w:p>
          <w:p w14:paraId="171C791A" w14:textId="77777777" w:rsidR="00B53006" w:rsidRPr="00154588" w:rsidRDefault="00B53006" w:rsidP="008C12B4">
            <w:pPr>
              <w:ind w:firstLine="567"/>
              <w:jc w:val="both"/>
              <w:rPr>
                <w:sz w:val="20"/>
                <w:szCs w:val="20"/>
              </w:rPr>
            </w:pPr>
            <w:r w:rsidRPr="00154588">
              <w:rPr>
                <w:sz w:val="20"/>
                <w:szCs w:val="20"/>
              </w:rPr>
              <w:t>d) nu trebuie să confere niciun avantaj necuvenit vreunui cumpărător potenţial;</w:t>
            </w:r>
          </w:p>
          <w:p w14:paraId="3A5EA659" w14:textId="77777777" w:rsidR="00B53006" w:rsidRPr="00154588" w:rsidRDefault="00B53006" w:rsidP="008C12B4">
            <w:pPr>
              <w:ind w:firstLine="567"/>
              <w:jc w:val="both"/>
              <w:rPr>
                <w:sz w:val="20"/>
                <w:szCs w:val="20"/>
              </w:rPr>
            </w:pPr>
            <w:r w:rsidRPr="00154588">
              <w:rPr>
                <w:sz w:val="20"/>
                <w:szCs w:val="20"/>
              </w:rPr>
              <w:t>e) trebuie să ţină seama de necesitatea ca acţiunea de rezoluţie să se desfăşoare cu rapiditate;</w:t>
            </w:r>
          </w:p>
          <w:p w14:paraId="5C207E3F" w14:textId="77777777" w:rsidR="00B53006" w:rsidRPr="00154588" w:rsidRDefault="00B53006" w:rsidP="008C12B4">
            <w:pPr>
              <w:ind w:firstLine="567"/>
              <w:jc w:val="both"/>
              <w:rPr>
                <w:sz w:val="20"/>
                <w:szCs w:val="20"/>
              </w:rPr>
            </w:pPr>
            <w:r w:rsidRPr="00154588">
              <w:rPr>
                <w:sz w:val="20"/>
                <w:szCs w:val="20"/>
              </w:rPr>
              <w:t>f) scopul trebuie să fie maximizarea, pe cît posibil, a preţului de vînzare al acţiunilor sau al altor instrumente de proprietate, al activelor, drepturilor sau obligaţiilor în cauză.</w:t>
            </w:r>
          </w:p>
          <w:p w14:paraId="65980F86" w14:textId="77777777" w:rsidR="00B53006" w:rsidRPr="00154588" w:rsidRDefault="00B53006" w:rsidP="008C12B4">
            <w:pPr>
              <w:ind w:firstLine="567"/>
              <w:jc w:val="both"/>
              <w:rPr>
                <w:sz w:val="20"/>
                <w:szCs w:val="20"/>
              </w:rPr>
            </w:pPr>
            <w:r w:rsidRPr="00154588">
              <w:rPr>
                <w:sz w:val="20"/>
                <w:szCs w:val="20"/>
              </w:rPr>
              <w:t>(2) Cu respectarea principiului prevăzut la alin.(1) lit.b), celelalte principii prevăzute la alin.(1) nu aduc atingere dreptului Băncii Naţionale a Moldovei, în calitate de autoritate de rezoluţie, de a contacta în mod individual potenţialii cumpărători.</w:t>
            </w:r>
          </w:p>
          <w:p w14:paraId="15988350" w14:textId="77777777" w:rsidR="00B53006" w:rsidRPr="00154588" w:rsidRDefault="00B53006" w:rsidP="008C12B4">
            <w:pPr>
              <w:ind w:firstLine="567"/>
              <w:jc w:val="both"/>
              <w:rPr>
                <w:sz w:val="20"/>
                <w:szCs w:val="20"/>
              </w:rPr>
            </w:pPr>
            <w:bookmarkStart w:id="31" w:name="_Hlk223338704"/>
            <w:r w:rsidRPr="00154588">
              <w:rPr>
                <w:sz w:val="20"/>
                <w:szCs w:val="20"/>
              </w:rPr>
              <w:t xml:space="preserve">(3) Orice publicare a scoaterii pe piață a unei instituții de credit sau a unei entități </w:t>
            </w:r>
            <w:bookmarkStart w:id="32" w:name="_Hlk223338690"/>
            <w:bookmarkEnd w:id="31"/>
            <w:r w:rsidRPr="00154588">
              <w:rPr>
                <w:sz w:val="20"/>
                <w:szCs w:val="20"/>
              </w:rPr>
              <w:t>prevăzute la art.1 alin.(1) lit.b), c) sau d), în mod normal necesară în conformitate cu prevederile art.17 alin.(1) din Regulamentul (UE) nr.596/2014, poate fi amânată în conformitate cu prevederile art. 7 alin.(4) sau (5) din același regulament.</w:t>
            </w:r>
            <w:bookmarkEnd w:id="32"/>
          </w:p>
          <w:p w14:paraId="1372AA4A" w14:textId="77777777" w:rsidR="00B53006" w:rsidRPr="00154588" w:rsidRDefault="00B53006" w:rsidP="008C12B4">
            <w:pPr>
              <w:jc w:val="both"/>
              <w:rPr>
                <w:bCs/>
                <w:sz w:val="20"/>
                <w:szCs w:val="20"/>
              </w:rPr>
            </w:pPr>
          </w:p>
        </w:tc>
        <w:tc>
          <w:tcPr>
            <w:tcW w:w="2552" w:type="dxa"/>
          </w:tcPr>
          <w:p w14:paraId="41522868" w14:textId="091BFA42"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07E4FFA4" w14:textId="77777777" w:rsidR="00B53006" w:rsidRPr="00154588" w:rsidRDefault="00B53006" w:rsidP="008C12B4">
            <w:pPr>
              <w:jc w:val="both"/>
              <w:rPr>
                <w:bCs/>
                <w:sz w:val="20"/>
                <w:szCs w:val="20"/>
              </w:rPr>
            </w:pPr>
          </w:p>
        </w:tc>
      </w:tr>
      <w:tr w:rsidR="00B53006" w:rsidRPr="00154588" w14:paraId="337AE3A5" w14:textId="77777777" w:rsidTr="00D15C1B">
        <w:trPr>
          <w:jc w:val="center"/>
        </w:trPr>
        <w:tc>
          <w:tcPr>
            <w:tcW w:w="4957" w:type="dxa"/>
            <w:gridSpan w:val="2"/>
          </w:tcPr>
          <w:p w14:paraId="6A00CEA4" w14:textId="77777777" w:rsidR="00B53006" w:rsidRPr="00154588" w:rsidRDefault="00B53006" w:rsidP="008C12B4">
            <w:pPr>
              <w:jc w:val="both"/>
              <w:rPr>
                <w:bCs/>
                <w:sz w:val="20"/>
                <w:szCs w:val="20"/>
              </w:rPr>
            </w:pPr>
            <w:r w:rsidRPr="00154588">
              <w:rPr>
                <w:bCs/>
                <w:sz w:val="20"/>
                <w:szCs w:val="20"/>
              </w:rPr>
              <w:t>(3)   Autoritatea de rezoluție poate aplica instrumentul de vânzare a activității fără respectarea cerinței privind scoaterea pe piață prevăzută la alineatul (1), în cazul în care stabilește faptul că respectarea acestor cerințe ar putea submina unul sau mai multe dintre obiectivele rezoluției și mai ales dacă sunt îndeplinite următoarele condiții:</w:t>
            </w:r>
          </w:p>
          <w:p w14:paraId="64FA9976" w14:textId="77777777" w:rsidR="00B53006" w:rsidRPr="00154588" w:rsidRDefault="00B53006" w:rsidP="008C12B4">
            <w:pPr>
              <w:jc w:val="both"/>
              <w:rPr>
                <w:bCs/>
                <w:sz w:val="20"/>
                <w:szCs w:val="20"/>
              </w:rPr>
            </w:pPr>
          </w:p>
          <w:p w14:paraId="3784CB21" w14:textId="02E6A2A7" w:rsidR="00B53006" w:rsidRPr="00154588" w:rsidRDefault="00B53006" w:rsidP="008C12B4">
            <w:pPr>
              <w:jc w:val="both"/>
              <w:rPr>
                <w:bCs/>
                <w:sz w:val="20"/>
                <w:szCs w:val="20"/>
              </w:rPr>
            </w:pPr>
            <w:r w:rsidRPr="00154588">
              <w:rPr>
                <w:bCs/>
                <w:sz w:val="20"/>
                <w:szCs w:val="20"/>
              </w:rPr>
              <w:t>(a) acesta consideră că intrarea în dificultate sau susceptibila intrare în dificultate a instituției aflate în rezoluție ar crea sau ar înrăutăți o amenințare deja gravă la adresa stabilității financiare; și</w:t>
            </w:r>
          </w:p>
          <w:p w14:paraId="219DB4F8" w14:textId="77777777" w:rsidR="00B53006" w:rsidRPr="00154588" w:rsidRDefault="00B53006" w:rsidP="008C12B4">
            <w:pPr>
              <w:jc w:val="both"/>
              <w:rPr>
                <w:bCs/>
                <w:sz w:val="20"/>
                <w:szCs w:val="20"/>
              </w:rPr>
            </w:pPr>
          </w:p>
          <w:p w14:paraId="0276FBB6" w14:textId="5408F598" w:rsidR="00B53006" w:rsidRPr="00154588" w:rsidRDefault="00B53006" w:rsidP="008C12B4">
            <w:pPr>
              <w:jc w:val="both"/>
              <w:rPr>
                <w:bCs/>
                <w:sz w:val="20"/>
                <w:szCs w:val="20"/>
              </w:rPr>
            </w:pPr>
            <w:r w:rsidRPr="00154588">
              <w:rPr>
                <w:bCs/>
                <w:sz w:val="20"/>
                <w:szCs w:val="20"/>
              </w:rPr>
              <w:t xml:space="preserve">(b) acesta consideră că respectarea cerințelor sus-menționate ar putea submina eficacitatea instrumentului de vânzare a activității în ceea ce </w:t>
            </w:r>
            <w:r w:rsidRPr="00154588">
              <w:rPr>
                <w:bCs/>
                <w:sz w:val="20"/>
                <w:szCs w:val="20"/>
              </w:rPr>
              <w:lastRenderedPageBreak/>
              <w:t>privește eliminarea respectivei amenințări sau atingerea obiectivelor rezoluției menționate la articolul 31 alineatul (2) litera (b).</w:t>
            </w:r>
          </w:p>
        </w:tc>
        <w:tc>
          <w:tcPr>
            <w:tcW w:w="4819" w:type="dxa"/>
          </w:tcPr>
          <w:p w14:paraId="4A2ABA60" w14:textId="77777777" w:rsidR="00B53006" w:rsidRPr="00154588" w:rsidRDefault="00B53006" w:rsidP="008C12B4">
            <w:pPr>
              <w:ind w:firstLine="567"/>
              <w:jc w:val="both"/>
              <w:rPr>
                <w:sz w:val="20"/>
                <w:szCs w:val="20"/>
              </w:rPr>
            </w:pPr>
            <w:r w:rsidRPr="00154588">
              <w:rPr>
                <w:b/>
                <w:sz w:val="20"/>
                <w:szCs w:val="20"/>
              </w:rPr>
              <w:lastRenderedPageBreak/>
              <w:t>Articolul 109.</w:t>
            </w:r>
            <w:r w:rsidRPr="00154588">
              <w:rPr>
                <w:sz w:val="20"/>
                <w:szCs w:val="20"/>
              </w:rPr>
              <w:t xml:space="preserve"> – Banca Naţională a Moldovei, în calitate de autoritate de rezoluţie, poate aplica instrumentul de vînzare a afacerii fără respectarea cerinţei privind scoaterea pe piaţă prevăzută la art.107, în cazul în care stabileşte faptul că respectarea cerinţelor de la art.108 ar putea submina unul sau mai multe dintre obiectivele rezoluţiei şi mai ales dacă sînt îndeplinite următoarele condiţii:</w:t>
            </w:r>
          </w:p>
          <w:p w14:paraId="643CC293" w14:textId="77777777" w:rsidR="00B53006" w:rsidRPr="00154588" w:rsidRDefault="00B53006" w:rsidP="008C12B4">
            <w:pPr>
              <w:ind w:firstLine="567"/>
              <w:jc w:val="both"/>
              <w:rPr>
                <w:sz w:val="20"/>
                <w:szCs w:val="20"/>
              </w:rPr>
            </w:pPr>
            <w:r w:rsidRPr="00154588">
              <w:rPr>
                <w:sz w:val="20"/>
                <w:szCs w:val="20"/>
              </w:rPr>
              <w:t>a) Banca Naţională a Moldovei, în calitate de autoritate de rezoluţie, consideră că starea de dificultate în care se află sau este posibil să se afle instituția supusă rezoluţiei ar crea sau ar înrăutăţi o ameninţare deja gravă la adresa stabilităţii financiare; şi</w:t>
            </w:r>
          </w:p>
          <w:p w14:paraId="0A01691B" w14:textId="77777777" w:rsidR="00B53006" w:rsidRPr="00154588" w:rsidRDefault="00B53006" w:rsidP="008C12B4">
            <w:pPr>
              <w:ind w:firstLine="567"/>
              <w:jc w:val="both"/>
              <w:rPr>
                <w:sz w:val="20"/>
                <w:szCs w:val="20"/>
              </w:rPr>
            </w:pPr>
            <w:r w:rsidRPr="00154588">
              <w:rPr>
                <w:sz w:val="20"/>
                <w:szCs w:val="20"/>
              </w:rPr>
              <w:lastRenderedPageBreak/>
              <w:t>b) Banca Naţională a Moldovei, în calitate de autoritate de rezoluţie, consideră că respectarea cerinţelor de la art.108 ar putea submina eficacitatea instrumentului de vînzare a afacerii în ceea ce priveşte eliminarea ameninţării la adresa stabilităţii financiare sau atingerea obiectivului rezoluţiei prevăzut la art.56 alin.(1) lit.b).</w:t>
            </w:r>
          </w:p>
          <w:p w14:paraId="758C878B" w14:textId="77777777" w:rsidR="00B53006" w:rsidRPr="00154588" w:rsidRDefault="00B53006" w:rsidP="008C12B4">
            <w:pPr>
              <w:jc w:val="both"/>
              <w:rPr>
                <w:bCs/>
                <w:sz w:val="20"/>
                <w:szCs w:val="20"/>
              </w:rPr>
            </w:pPr>
          </w:p>
        </w:tc>
        <w:tc>
          <w:tcPr>
            <w:tcW w:w="2552" w:type="dxa"/>
          </w:tcPr>
          <w:p w14:paraId="3D3BA69C" w14:textId="115C7AB0"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34737B8D" w14:textId="77777777" w:rsidR="00B53006" w:rsidRPr="00154588" w:rsidRDefault="00B53006" w:rsidP="008C12B4">
            <w:pPr>
              <w:jc w:val="both"/>
              <w:rPr>
                <w:bCs/>
                <w:sz w:val="20"/>
                <w:szCs w:val="20"/>
              </w:rPr>
            </w:pPr>
          </w:p>
        </w:tc>
      </w:tr>
      <w:tr w:rsidR="00B53006" w:rsidRPr="00154588" w14:paraId="15F0FA91" w14:textId="77777777" w:rsidTr="00D15C1B">
        <w:trPr>
          <w:jc w:val="center"/>
        </w:trPr>
        <w:tc>
          <w:tcPr>
            <w:tcW w:w="4957" w:type="dxa"/>
            <w:gridSpan w:val="2"/>
          </w:tcPr>
          <w:p w14:paraId="3FAF7B81" w14:textId="4575A5F2" w:rsidR="00B53006" w:rsidRPr="00154588" w:rsidRDefault="00B53006" w:rsidP="008C12B4">
            <w:pPr>
              <w:jc w:val="both"/>
              <w:rPr>
                <w:bCs/>
                <w:sz w:val="20"/>
                <w:szCs w:val="20"/>
              </w:rPr>
            </w:pPr>
            <w:r w:rsidRPr="00154588">
              <w:rPr>
                <w:bCs/>
                <w:sz w:val="20"/>
                <w:szCs w:val="20"/>
              </w:rPr>
              <w:t>(4)   Până la 3 iulie 2015, ABE elaborează orientări în conformitate cu articolul 16 din Regulamentul (UE) nr. 1093/2010 prin care specifică circumstanțele de facto care constituie o amenințare gravă și elementele legate de eficacitatea instrumentului de vânzare a activității menționate la alineatul (3) literele (a) și (b).</w:t>
            </w:r>
          </w:p>
        </w:tc>
        <w:tc>
          <w:tcPr>
            <w:tcW w:w="4819" w:type="dxa"/>
          </w:tcPr>
          <w:p w14:paraId="111D8A3D" w14:textId="77777777" w:rsidR="00B53006" w:rsidRPr="00154588" w:rsidRDefault="00B53006" w:rsidP="008C12B4">
            <w:pPr>
              <w:jc w:val="both"/>
              <w:rPr>
                <w:bCs/>
                <w:sz w:val="20"/>
                <w:szCs w:val="20"/>
              </w:rPr>
            </w:pPr>
          </w:p>
        </w:tc>
        <w:tc>
          <w:tcPr>
            <w:tcW w:w="2552" w:type="dxa"/>
          </w:tcPr>
          <w:p w14:paraId="640EFF86" w14:textId="14F790C7" w:rsidR="00B53006" w:rsidRPr="00154588" w:rsidRDefault="00B53006" w:rsidP="008C12B4">
            <w:pPr>
              <w:jc w:val="both"/>
              <w:rPr>
                <w:bCs/>
                <w:sz w:val="20"/>
                <w:szCs w:val="20"/>
              </w:rPr>
            </w:pPr>
            <w:r w:rsidRPr="00154588">
              <w:rPr>
                <w:bCs/>
                <w:sz w:val="20"/>
                <w:szCs w:val="20"/>
              </w:rPr>
              <w:t>Prevederi UE neaplicabile</w:t>
            </w:r>
          </w:p>
        </w:tc>
        <w:tc>
          <w:tcPr>
            <w:tcW w:w="3118" w:type="dxa"/>
          </w:tcPr>
          <w:p w14:paraId="2E6DAAB2" w14:textId="307BF47D" w:rsidR="00B53006" w:rsidRPr="00154588" w:rsidRDefault="00B53006" w:rsidP="008C12B4">
            <w:pPr>
              <w:jc w:val="both"/>
              <w:rPr>
                <w:bCs/>
                <w:sz w:val="20"/>
                <w:szCs w:val="20"/>
              </w:rPr>
            </w:pPr>
            <w:r w:rsidRPr="00154588">
              <w:rPr>
                <w:bCs/>
                <w:sz w:val="20"/>
                <w:szCs w:val="20"/>
                <w:lang w:val="ro-MD"/>
              </w:rPr>
              <w:t>Prevederi care se referă la atribuțiile de reglementare ale autorităților europene.</w:t>
            </w:r>
          </w:p>
        </w:tc>
      </w:tr>
      <w:tr w:rsidR="00B53006" w:rsidRPr="00154588" w14:paraId="54143A94" w14:textId="77777777" w:rsidTr="00D15C1B">
        <w:trPr>
          <w:jc w:val="center"/>
        </w:trPr>
        <w:tc>
          <w:tcPr>
            <w:tcW w:w="4957" w:type="dxa"/>
            <w:gridSpan w:val="2"/>
          </w:tcPr>
          <w:p w14:paraId="72B4E111" w14:textId="77777777" w:rsidR="00B53006" w:rsidRPr="00154588" w:rsidRDefault="00B53006" w:rsidP="008C12B4">
            <w:pPr>
              <w:rPr>
                <w:b/>
                <w:sz w:val="20"/>
                <w:szCs w:val="20"/>
              </w:rPr>
            </w:pPr>
            <w:r w:rsidRPr="00154588">
              <w:rPr>
                <w:b/>
                <w:sz w:val="20"/>
                <w:szCs w:val="20"/>
              </w:rPr>
              <w:t>Articolul 40</w:t>
            </w:r>
          </w:p>
          <w:p w14:paraId="202B2B56" w14:textId="77777777" w:rsidR="00B53006" w:rsidRPr="00154588" w:rsidRDefault="00B53006" w:rsidP="008C12B4">
            <w:pPr>
              <w:rPr>
                <w:b/>
                <w:sz w:val="20"/>
                <w:szCs w:val="20"/>
              </w:rPr>
            </w:pPr>
          </w:p>
          <w:p w14:paraId="347C9F0E" w14:textId="332A33EC" w:rsidR="00B53006" w:rsidRPr="00154588" w:rsidRDefault="00B53006" w:rsidP="008C12B4">
            <w:pPr>
              <w:rPr>
                <w:bCs/>
                <w:sz w:val="20"/>
                <w:szCs w:val="20"/>
              </w:rPr>
            </w:pPr>
            <w:r w:rsidRPr="00154588">
              <w:rPr>
                <w:b/>
                <w:sz w:val="20"/>
                <w:szCs w:val="20"/>
              </w:rPr>
              <w:t>Instrumentul instituției punte</w:t>
            </w:r>
          </w:p>
        </w:tc>
        <w:tc>
          <w:tcPr>
            <w:tcW w:w="4819" w:type="dxa"/>
          </w:tcPr>
          <w:p w14:paraId="38359145" w14:textId="77777777" w:rsidR="00B53006" w:rsidRPr="00154588" w:rsidRDefault="00B53006" w:rsidP="008C12B4">
            <w:pPr>
              <w:jc w:val="center"/>
              <w:rPr>
                <w:b/>
                <w:sz w:val="20"/>
                <w:szCs w:val="20"/>
              </w:rPr>
            </w:pPr>
            <w:r w:rsidRPr="00154588">
              <w:rPr>
                <w:b/>
                <w:sz w:val="20"/>
                <w:szCs w:val="20"/>
              </w:rPr>
              <w:t>Secţiunea a 3-a</w:t>
            </w:r>
          </w:p>
          <w:p w14:paraId="7A12E1E0" w14:textId="77777777" w:rsidR="00B53006" w:rsidRPr="00154588" w:rsidRDefault="00B53006" w:rsidP="008C12B4">
            <w:pPr>
              <w:jc w:val="center"/>
              <w:rPr>
                <w:b/>
                <w:sz w:val="20"/>
                <w:szCs w:val="20"/>
              </w:rPr>
            </w:pPr>
            <w:r w:rsidRPr="00154588">
              <w:rPr>
                <w:b/>
                <w:sz w:val="20"/>
                <w:szCs w:val="20"/>
              </w:rPr>
              <w:t>Instrumentul instituției-punte</w:t>
            </w:r>
          </w:p>
          <w:p w14:paraId="00F9A8F0" w14:textId="77777777" w:rsidR="00B53006" w:rsidRPr="00154588" w:rsidRDefault="00B53006" w:rsidP="008C12B4">
            <w:pPr>
              <w:jc w:val="both"/>
              <w:rPr>
                <w:bCs/>
                <w:sz w:val="20"/>
                <w:szCs w:val="20"/>
              </w:rPr>
            </w:pPr>
          </w:p>
        </w:tc>
        <w:tc>
          <w:tcPr>
            <w:tcW w:w="2552" w:type="dxa"/>
          </w:tcPr>
          <w:p w14:paraId="1F3476EE" w14:textId="77777777" w:rsidR="00B53006" w:rsidRPr="00154588" w:rsidRDefault="00B53006" w:rsidP="008C12B4">
            <w:pPr>
              <w:jc w:val="both"/>
              <w:rPr>
                <w:bCs/>
                <w:sz w:val="20"/>
                <w:szCs w:val="20"/>
              </w:rPr>
            </w:pPr>
          </w:p>
        </w:tc>
        <w:tc>
          <w:tcPr>
            <w:tcW w:w="3118" w:type="dxa"/>
          </w:tcPr>
          <w:p w14:paraId="3AC3402B" w14:textId="77777777" w:rsidR="00B53006" w:rsidRPr="00154588" w:rsidRDefault="00B53006" w:rsidP="008C12B4">
            <w:pPr>
              <w:jc w:val="both"/>
              <w:rPr>
                <w:bCs/>
                <w:sz w:val="20"/>
                <w:szCs w:val="20"/>
              </w:rPr>
            </w:pPr>
          </w:p>
        </w:tc>
      </w:tr>
      <w:tr w:rsidR="00B53006" w:rsidRPr="00154588" w14:paraId="10432A02" w14:textId="77777777" w:rsidTr="00D15C1B">
        <w:trPr>
          <w:jc w:val="center"/>
        </w:trPr>
        <w:tc>
          <w:tcPr>
            <w:tcW w:w="4957" w:type="dxa"/>
            <w:gridSpan w:val="2"/>
          </w:tcPr>
          <w:p w14:paraId="48DA49B9" w14:textId="75B85924" w:rsidR="00B53006" w:rsidRPr="00154588" w:rsidRDefault="00B53006" w:rsidP="008C12B4">
            <w:pPr>
              <w:jc w:val="both"/>
              <w:rPr>
                <w:bCs/>
                <w:sz w:val="20"/>
                <w:szCs w:val="20"/>
              </w:rPr>
            </w:pPr>
            <w:r w:rsidRPr="00154588">
              <w:rPr>
                <w:bCs/>
                <w:sz w:val="20"/>
                <w:szCs w:val="20"/>
              </w:rPr>
              <w:t>(1)   Pentru ca instrumentul instituției-punte să fie eficace și pentru a ține seama de necesitatea de a de a urmări oricare dintre obiectivele rezoluției , statele membre se asigură că autoritățile de rezoluție dețin competența de a transfera către o instituție-punte toate elementele următoare:</w:t>
            </w:r>
          </w:p>
          <w:p w14:paraId="0D664D12" w14:textId="77777777" w:rsidR="00B53006" w:rsidRPr="00154588" w:rsidRDefault="00B53006" w:rsidP="008C12B4">
            <w:pPr>
              <w:jc w:val="both"/>
              <w:rPr>
                <w:bCs/>
                <w:sz w:val="20"/>
                <w:szCs w:val="20"/>
              </w:rPr>
            </w:pPr>
          </w:p>
          <w:p w14:paraId="51D4EB4C" w14:textId="26E72AEB" w:rsidR="00B53006" w:rsidRPr="00154588" w:rsidRDefault="00B53006" w:rsidP="008C12B4">
            <w:pPr>
              <w:jc w:val="both"/>
              <w:rPr>
                <w:bCs/>
                <w:sz w:val="20"/>
                <w:szCs w:val="20"/>
              </w:rPr>
            </w:pPr>
            <w:r w:rsidRPr="00154588">
              <w:rPr>
                <w:bCs/>
                <w:sz w:val="20"/>
                <w:szCs w:val="20"/>
              </w:rPr>
              <w:t>(a) acțiuni sau alte instrumente de proprietate emise de una sau de mai multe instituții aflate în rezoluție;</w:t>
            </w:r>
          </w:p>
          <w:p w14:paraId="70539F4B" w14:textId="77777777" w:rsidR="00B53006" w:rsidRPr="00154588" w:rsidRDefault="00B53006" w:rsidP="008C12B4">
            <w:pPr>
              <w:jc w:val="both"/>
              <w:rPr>
                <w:bCs/>
                <w:sz w:val="20"/>
                <w:szCs w:val="20"/>
              </w:rPr>
            </w:pPr>
          </w:p>
          <w:p w14:paraId="193C0204" w14:textId="0A002DEB" w:rsidR="00B53006" w:rsidRPr="00154588" w:rsidRDefault="00B53006" w:rsidP="008C12B4">
            <w:pPr>
              <w:jc w:val="both"/>
              <w:rPr>
                <w:bCs/>
                <w:sz w:val="20"/>
                <w:szCs w:val="20"/>
              </w:rPr>
            </w:pPr>
            <w:r w:rsidRPr="00154588">
              <w:rPr>
                <w:bCs/>
                <w:sz w:val="20"/>
                <w:szCs w:val="20"/>
              </w:rPr>
              <w:t>(b) oricare dintre activele, drepturile sau pasivele uneia sau ale mai multor instituții aflate în rezoluție sau totalitatea acestora.</w:t>
            </w:r>
          </w:p>
          <w:p w14:paraId="2E26098E" w14:textId="77777777" w:rsidR="00B53006" w:rsidRPr="00154588" w:rsidRDefault="00B53006" w:rsidP="008C12B4">
            <w:pPr>
              <w:jc w:val="both"/>
              <w:rPr>
                <w:bCs/>
                <w:sz w:val="20"/>
                <w:szCs w:val="20"/>
              </w:rPr>
            </w:pPr>
          </w:p>
          <w:p w14:paraId="0F394603" w14:textId="0449459C" w:rsidR="00B53006" w:rsidRPr="00154588" w:rsidRDefault="00B53006" w:rsidP="008C12B4">
            <w:pPr>
              <w:jc w:val="both"/>
              <w:rPr>
                <w:bCs/>
                <w:sz w:val="20"/>
                <w:szCs w:val="20"/>
              </w:rPr>
            </w:pPr>
            <w:r w:rsidRPr="00154588">
              <w:rPr>
                <w:bCs/>
                <w:sz w:val="20"/>
                <w:szCs w:val="20"/>
              </w:rPr>
              <w:t>Sub rezerva articolului 85, transferul menționat la primul paragraf poate avea loc fără a obține aprobarea acționarilor instituțiilor aflate în rezoluție sau a oricărei părți terțe, alta decât instituția-punte și fără respectarea niciunei cerințe procedurale prevăzute de dreptul comercial sau de cel al titlurilor de valoare.</w:t>
            </w:r>
          </w:p>
        </w:tc>
        <w:tc>
          <w:tcPr>
            <w:tcW w:w="4819" w:type="dxa"/>
          </w:tcPr>
          <w:p w14:paraId="05B09711" w14:textId="1665D9E0" w:rsidR="00B53006" w:rsidRPr="00154588" w:rsidRDefault="00B53006" w:rsidP="008C12B4">
            <w:pPr>
              <w:ind w:firstLine="567"/>
              <w:jc w:val="both"/>
              <w:rPr>
                <w:sz w:val="20"/>
                <w:szCs w:val="20"/>
              </w:rPr>
            </w:pPr>
            <w:r w:rsidRPr="00154588">
              <w:rPr>
                <w:b/>
                <w:sz w:val="20"/>
                <w:szCs w:val="20"/>
              </w:rPr>
              <w:t>Articolul 110.</w:t>
            </w:r>
            <w:r w:rsidRPr="00154588">
              <w:rPr>
                <w:sz w:val="20"/>
                <w:szCs w:val="20"/>
              </w:rPr>
              <w:t xml:space="preserve"> – (1) </w:t>
            </w:r>
            <w:bookmarkStart w:id="33" w:name="_Hlk223339537"/>
            <w:r w:rsidRPr="00154588">
              <w:rPr>
                <w:sz w:val="20"/>
                <w:szCs w:val="20"/>
              </w:rPr>
              <w:t>Pentru ca instrumentul instituţiei-punte să fie eficace și pentru a ţine seama de</w:t>
            </w:r>
            <w:r w:rsidR="00E16582" w:rsidRPr="00154588">
              <w:rPr>
                <w:bCs/>
                <w:sz w:val="20"/>
                <w:szCs w:val="20"/>
              </w:rPr>
              <w:t xml:space="preserve"> a urmări oricare dintre obiectivele rezoluției</w:t>
            </w:r>
            <w:r w:rsidRPr="00154588">
              <w:rPr>
                <w:sz w:val="20"/>
                <w:szCs w:val="20"/>
              </w:rPr>
              <w:t>,</w:t>
            </w:r>
            <w:r w:rsidRPr="00154588">
              <w:rPr>
                <w:color w:val="333333"/>
                <w:sz w:val="20"/>
                <w:szCs w:val="20"/>
              </w:rPr>
              <w:t xml:space="preserve"> </w:t>
            </w:r>
            <w:bookmarkEnd w:id="33"/>
            <w:r w:rsidRPr="00154588">
              <w:rPr>
                <w:sz w:val="20"/>
                <w:szCs w:val="20"/>
              </w:rPr>
              <w:t>Banca Naţională a Moldovei, în calitate de autoritate de rezoluţie, este împuternicită să transfere către o instituție-punte</w:t>
            </w:r>
            <w:r w:rsidR="00500B8C" w:rsidRPr="00154588">
              <w:rPr>
                <w:bCs/>
                <w:sz w:val="20"/>
                <w:szCs w:val="20"/>
              </w:rPr>
              <w:t xml:space="preserve"> toate elementele următoare</w:t>
            </w:r>
            <w:r w:rsidRPr="00154588">
              <w:rPr>
                <w:sz w:val="20"/>
                <w:szCs w:val="20"/>
              </w:rPr>
              <w:t>:</w:t>
            </w:r>
          </w:p>
          <w:p w14:paraId="62A029A3" w14:textId="77777777" w:rsidR="00B53006" w:rsidRPr="00154588" w:rsidRDefault="00B53006" w:rsidP="008C12B4">
            <w:pPr>
              <w:ind w:firstLine="567"/>
              <w:jc w:val="both"/>
              <w:rPr>
                <w:sz w:val="20"/>
                <w:szCs w:val="20"/>
              </w:rPr>
            </w:pPr>
            <w:r w:rsidRPr="00154588">
              <w:rPr>
                <w:sz w:val="20"/>
                <w:szCs w:val="20"/>
              </w:rPr>
              <w:t>a) acţiuni sau alte instrumente de proprietate emise de una sau de mai multe instituții supuse rezoluţiei;</w:t>
            </w:r>
          </w:p>
          <w:p w14:paraId="356A307A" w14:textId="77777777" w:rsidR="00B53006" w:rsidRPr="00154588" w:rsidRDefault="00B53006" w:rsidP="008C12B4">
            <w:pPr>
              <w:ind w:firstLine="567"/>
              <w:jc w:val="both"/>
              <w:rPr>
                <w:sz w:val="20"/>
                <w:szCs w:val="20"/>
              </w:rPr>
            </w:pPr>
            <w:r w:rsidRPr="00154588">
              <w:rPr>
                <w:sz w:val="20"/>
                <w:szCs w:val="20"/>
              </w:rPr>
              <w:t>b) oricare dintre activele, drepturile sau obligaţiile uneia sau ale mai multor instituțiisupuse rezoluţiei sau totalitatea acestora.</w:t>
            </w:r>
          </w:p>
          <w:p w14:paraId="45D27F21" w14:textId="77777777" w:rsidR="00B53006" w:rsidRPr="00154588" w:rsidRDefault="00B53006" w:rsidP="008C12B4">
            <w:pPr>
              <w:ind w:firstLine="567"/>
              <w:jc w:val="both"/>
              <w:rPr>
                <w:sz w:val="20"/>
                <w:szCs w:val="20"/>
              </w:rPr>
            </w:pPr>
            <w:r w:rsidRPr="00154588">
              <w:rPr>
                <w:sz w:val="20"/>
                <w:szCs w:val="20"/>
              </w:rPr>
              <w:t>(2) Cu respectarea prevederilor art.292-294, transferul menţionat la alin.(1) poate avea loc fără a obţine acordul acţionarilor instituțieisupuse rezoluţiei sau al oricărei părţi terţe, alta decît instituția-punte, şi nu este supus niciunei cerinţe procedurale prevăzute de legislaţia aplicabilă în materie de societăţi sau de legislaţia pieţei de capital, prevederile art.232 fiind aplicabile.</w:t>
            </w:r>
          </w:p>
          <w:p w14:paraId="63478FB9" w14:textId="77777777" w:rsidR="00B53006" w:rsidRPr="00154588" w:rsidRDefault="00B53006" w:rsidP="008C12B4">
            <w:pPr>
              <w:jc w:val="both"/>
              <w:rPr>
                <w:bCs/>
                <w:sz w:val="20"/>
                <w:szCs w:val="20"/>
              </w:rPr>
            </w:pPr>
          </w:p>
          <w:p w14:paraId="777761FF" w14:textId="77777777" w:rsidR="00B53006" w:rsidRPr="00154588" w:rsidRDefault="00B53006" w:rsidP="008C12B4">
            <w:pPr>
              <w:rPr>
                <w:bCs/>
                <w:sz w:val="20"/>
                <w:szCs w:val="20"/>
              </w:rPr>
            </w:pPr>
          </w:p>
          <w:p w14:paraId="6485B7E3" w14:textId="77777777" w:rsidR="00B53006" w:rsidRPr="00154588" w:rsidRDefault="00B53006" w:rsidP="008C12B4">
            <w:pPr>
              <w:rPr>
                <w:bCs/>
                <w:sz w:val="20"/>
                <w:szCs w:val="20"/>
              </w:rPr>
            </w:pPr>
          </w:p>
          <w:p w14:paraId="23523BA6" w14:textId="77777777" w:rsidR="00B53006" w:rsidRPr="00154588" w:rsidRDefault="00B53006" w:rsidP="008C12B4">
            <w:pPr>
              <w:rPr>
                <w:bCs/>
                <w:sz w:val="20"/>
                <w:szCs w:val="20"/>
              </w:rPr>
            </w:pPr>
          </w:p>
          <w:p w14:paraId="5A55A349" w14:textId="24C71D02" w:rsidR="00B53006" w:rsidRPr="00154588" w:rsidRDefault="00B53006" w:rsidP="008C12B4">
            <w:pPr>
              <w:tabs>
                <w:tab w:val="left" w:pos="975"/>
              </w:tabs>
              <w:rPr>
                <w:bCs/>
                <w:sz w:val="20"/>
                <w:szCs w:val="20"/>
              </w:rPr>
            </w:pPr>
            <w:r w:rsidRPr="00154588">
              <w:rPr>
                <w:sz w:val="20"/>
                <w:szCs w:val="20"/>
              </w:rPr>
              <w:tab/>
            </w:r>
          </w:p>
        </w:tc>
        <w:tc>
          <w:tcPr>
            <w:tcW w:w="2552" w:type="dxa"/>
          </w:tcPr>
          <w:p w14:paraId="3F1B0EE9" w14:textId="48CA82A3" w:rsidR="00B53006" w:rsidRPr="00154588" w:rsidRDefault="00B53006" w:rsidP="008C12B4">
            <w:pPr>
              <w:jc w:val="both"/>
              <w:rPr>
                <w:bCs/>
                <w:sz w:val="20"/>
                <w:szCs w:val="20"/>
              </w:rPr>
            </w:pPr>
            <w:r w:rsidRPr="00154588">
              <w:rPr>
                <w:bCs/>
                <w:sz w:val="20"/>
                <w:szCs w:val="20"/>
              </w:rPr>
              <w:t>Compatibil</w:t>
            </w:r>
          </w:p>
        </w:tc>
        <w:tc>
          <w:tcPr>
            <w:tcW w:w="3118" w:type="dxa"/>
          </w:tcPr>
          <w:p w14:paraId="0C17E859" w14:textId="77777777" w:rsidR="00B53006" w:rsidRPr="00154588" w:rsidRDefault="00B53006" w:rsidP="008C12B4">
            <w:pPr>
              <w:jc w:val="both"/>
              <w:rPr>
                <w:bCs/>
                <w:sz w:val="20"/>
                <w:szCs w:val="20"/>
              </w:rPr>
            </w:pPr>
          </w:p>
        </w:tc>
      </w:tr>
      <w:tr w:rsidR="00B53006" w:rsidRPr="00154588" w14:paraId="76DF4233" w14:textId="77777777" w:rsidTr="00D15C1B">
        <w:trPr>
          <w:jc w:val="center"/>
        </w:trPr>
        <w:tc>
          <w:tcPr>
            <w:tcW w:w="4957" w:type="dxa"/>
            <w:gridSpan w:val="2"/>
          </w:tcPr>
          <w:p w14:paraId="73D27994" w14:textId="77777777" w:rsidR="00B53006" w:rsidRPr="00154588" w:rsidRDefault="00B53006" w:rsidP="008C12B4">
            <w:pPr>
              <w:jc w:val="both"/>
              <w:rPr>
                <w:bCs/>
                <w:sz w:val="20"/>
                <w:szCs w:val="20"/>
              </w:rPr>
            </w:pPr>
            <w:r w:rsidRPr="00154588">
              <w:rPr>
                <w:bCs/>
                <w:sz w:val="20"/>
                <w:szCs w:val="20"/>
              </w:rPr>
              <w:t>(2)   Instituția-punte este o persoană juridică care îndeplinește toate cerințele următoare:</w:t>
            </w:r>
          </w:p>
          <w:p w14:paraId="1BDA9901" w14:textId="77777777" w:rsidR="00B53006" w:rsidRPr="00154588" w:rsidRDefault="00B53006" w:rsidP="008C12B4">
            <w:pPr>
              <w:jc w:val="both"/>
              <w:rPr>
                <w:bCs/>
                <w:sz w:val="20"/>
                <w:szCs w:val="20"/>
              </w:rPr>
            </w:pPr>
          </w:p>
          <w:p w14:paraId="4AAD70DF" w14:textId="227FCCA5" w:rsidR="00B53006" w:rsidRPr="00154588" w:rsidRDefault="00B53006" w:rsidP="008C12B4">
            <w:pPr>
              <w:jc w:val="both"/>
              <w:rPr>
                <w:bCs/>
                <w:sz w:val="20"/>
                <w:szCs w:val="20"/>
              </w:rPr>
            </w:pPr>
            <w:r w:rsidRPr="00154588">
              <w:rPr>
                <w:bCs/>
                <w:sz w:val="20"/>
                <w:szCs w:val="20"/>
              </w:rPr>
              <w:lastRenderedPageBreak/>
              <w:t>(a) ea se află total sau parțial în proprietatea uneia sau mai multor autorități publice printre care se pot număra autoritatea de rezoluție sau mecanismul de finanțare a rezoluției și este controlată de autoritatea de rezoluție;</w:t>
            </w:r>
          </w:p>
          <w:p w14:paraId="7ACFFB24" w14:textId="77777777" w:rsidR="00B53006" w:rsidRPr="00154588" w:rsidRDefault="00B53006" w:rsidP="008C12B4">
            <w:pPr>
              <w:jc w:val="both"/>
              <w:rPr>
                <w:bCs/>
                <w:sz w:val="20"/>
                <w:szCs w:val="20"/>
              </w:rPr>
            </w:pPr>
          </w:p>
          <w:p w14:paraId="6AA17D00" w14:textId="56044F5F" w:rsidR="00B53006" w:rsidRPr="00154588" w:rsidRDefault="00B53006" w:rsidP="008C12B4">
            <w:pPr>
              <w:jc w:val="both"/>
              <w:rPr>
                <w:bCs/>
                <w:sz w:val="20"/>
                <w:szCs w:val="20"/>
              </w:rPr>
            </w:pPr>
            <w:r w:rsidRPr="00154588">
              <w:rPr>
                <w:bCs/>
                <w:sz w:val="20"/>
                <w:szCs w:val="20"/>
              </w:rPr>
              <w:t>(b) este creată în scopul de a primi și a deține unele sau toate acțiunile sau alte instrumente de proprietate emise de o instituție aflată în rezoluție ori unele sau toate activele, drepturile și pasivele uneia sau mai multor instituții aflate în rezoluție în vederea păstrării accesului la funcțiile critice și a vânzării instituției sau a entității menționate la articolul 1 alineatul (1) litera (b), (c) sau (d).</w:t>
            </w:r>
          </w:p>
          <w:p w14:paraId="504564A2" w14:textId="77777777" w:rsidR="00B53006" w:rsidRPr="00154588" w:rsidRDefault="00B53006" w:rsidP="008C12B4">
            <w:pPr>
              <w:jc w:val="both"/>
              <w:rPr>
                <w:bCs/>
                <w:sz w:val="20"/>
                <w:szCs w:val="20"/>
              </w:rPr>
            </w:pPr>
          </w:p>
          <w:p w14:paraId="68DB5799" w14:textId="77777777" w:rsidR="00B53006" w:rsidRPr="00154588" w:rsidRDefault="00B53006" w:rsidP="008C12B4">
            <w:pPr>
              <w:jc w:val="both"/>
              <w:rPr>
                <w:bCs/>
                <w:sz w:val="20"/>
                <w:szCs w:val="20"/>
              </w:rPr>
            </w:pPr>
          </w:p>
          <w:p w14:paraId="23FFF539" w14:textId="77777777" w:rsidR="00B53006" w:rsidRPr="00154588" w:rsidRDefault="00B53006" w:rsidP="008C12B4">
            <w:pPr>
              <w:jc w:val="both"/>
              <w:rPr>
                <w:bCs/>
                <w:sz w:val="20"/>
                <w:szCs w:val="20"/>
              </w:rPr>
            </w:pPr>
            <w:r w:rsidRPr="00154588">
              <w:rPr>
                <w:bCs/>
                <w:sz w:val="20"/>
                <w:szCs w:val="20"/>
              </w:rPr>
              <w:t>Aplicarea instrumentului de recapitalizare internă în scopul menționat la articolul 43 alineatul (2) litera (b) nu trebuie să aducă atingere capacității autorității de rezoluție de a exercita un control asupra instituției-punte.</w:t>
            </w:r>
          </w:p>
          <w:p w14:paraId="075B45F9" w14:textId="77777777" w:rsidR="00B53006" w:rsidRPr="00154588" w:rsidRDefault="00B53006" w:rsidP="008C12B4">
            <w:pPr>
              <w:jc w:val="both"/>
              <w:rPr>
                <w:bCs/>
                <w:sz w:val="20"/>
                <w:szCs w:val="20"/>
              </w:rPr>
            </w:pPr>
          </w:p>
          <w:p w14:paraId="2A96CE3F" w14:textId="59F5CA4A" w:rsidR="00B53006" w:rsidRPr="00154588" w:rsidRDefault="00B53006" w:rsidP="008C12B4">
            <w:pPr>
              <w:jc w:val="both"/>
              <w:rPr>
                <w:bCs/>
                <w:sz w:val="20"/>
                <w:szCs w:val="20"/>
              </w:rPr>
            </w:pPr>
            <w:r w:rsidRPr="00154588">
              <w:rPr>
                <w:bCs/>
                <w:sz w:val="20"/>
                <w:szCs w:val="20"/>
              </w:rPr>
              <w:t>Fără a aduce atingere celui de al doilea paragraf, în cazul în care aplicarea instrumentului de recapitalizare internă permite acoperirea integrală a capitalului instituției-punte prin conversia datoriilor care pot face obiectul recapitalizării interne în acțiuni sau în alte tipuri de instrumente de capital, se poate deroga de la cerința ca instituția-punte să se afle integral sau parțial în proprietatea uneia sau a mai multor autorități publice menționate la primul paragraf litera (a).</w:t>
            </w:r>
          </w:p>
        </w:tc>
        <w:tc>
          <w:tcPr>
            <w:tcW w:w="4819" w:type="dxa"/>
          </w:tcPr>
          <w:p w14:paraId="7F5CE0A1" w14:textId="77777777" w:rsidR="00B53006" w:rsidRPr="00154588" w:rsidRDefault="00B53006" w:rsidP="008C12B4">
            <w:pPr>
              <w:ind w:firstLine="567"/>
              <w:jc w:val="both"/>
              <w:rPr>
                <w:sz w:val="20"/>
                <w:szCs w:val="20"/>
              </w:rPr>
            </w:pPr>
            <w:r w:rsidRPr="00154588">
              <w:rPr>
                <w:b/>
                <w:sz w:val="20"/>
                <w:szCs w:val="20"/>
              </w:rPr>
              <w:lastRenderedPageBreak/>
              <w:t>Articolul 111.</w:t>
            </w:r>
            <w:r w:rsidRPr="00154588">
              <w:rPr>
                <w:sz w:val="20"/>
                <w:szCs w:val="20"/>
              </w:rPr>
              <w:t xml:space="preserve"> – (1) Instituția-punte este o persoană juridică ce îndeplineşte cumulativ următoarele cerinţe:</w:t>
            </w:r>
          </w:p>
          <w:p w14:paraId="2922741B" w14:textId="77777777" w:rsidR="00B53006" w:rsidRPr="00154588" w:rsidRDefault="00B53006" w:rsidP="008C12B4">
            <w:pPr>
              <w:ind w:firstLine="567"/>
              <w:jc w:val="both"/>
              <w:rPr>
                <w:sz w:val="20"/>
                <w:szCs w:val="20"/>
              </w:rPr>
            </w:pPr>
            <w:r w:rsidRPr="00154588">
              <w:rPr>
                <w:sz w:val="20"/>
                <w:szCs w:val="20"/>
              </w:rPr>
              <w:lastRenderedPageBreak/>
              <w:t xml:space="preserve">a) capitalul social este deţinut </w:t>
            </w:r>
            <w:r w:rsidRPr="00154588">
              <w:rPr>
                <w:sz w:val="20"/>
                <w:szCs w:val="20"/>
                <w:lang w:eastAsia="ro-MD"/>
              </w:rPr>
              <w:t>în întregime sau parţial de către una sau mai multe autorităţi publice, inclusiv de Fondul de garantare a depozitelor în sistemul bancar, în calitate de administrator al fondului de rezoluţie bancară, cu excepţia Băncii Naţionale a Moldovei. Instituția</w:t>
            </w:r>
            <w:r w:rsidRPr="00154588">
              <w:rPr>
                <w:sz w:val="20"/>
                <w:szCs w:val="20"/>
              </w:rPr>
              <w:t xml:space="preserve">-punte este controlată de Banca Naţională a Moldovei, în calitate de autoritate de rezoluţie, în sensul celor prevăzute la art.231 alin.(1) lit.b) şi, în particular, </w:t>
            </w:r>
            <w:r w:rsidRPr="00154588">
              <w:rPr>
                <w:sz w:val="20"/>
                <w:szCs w:val="20"/>
                <w:lang w:eastAsia="ro-MD"/>
              </w:rPr>
              <w:t>având</w:t>
            </w:r>
            <w:r w:rsidRPr="00154588">
              <w:rPr>
                <w:sz w:val="20"/>
                <w:szCs w:val="20"/>
              </w:rPr>
              <w:t xml:space="preserve"> în vedere dispoziţiile art.122 alin.(1);</w:t>
            </w:r>
          </w:p>
          <w:p w14:paraId="29CCEDC7" w14:textId="77777777" w:rsidR="00B53006" w:rsidRPr="00154588" w:rsidRDefault="00B53006" w:rsidP="008C12B4">
            <w:pPr>
              <w:ind w:firstLine="567"/>
              <w:jc w:val="both"/>
              <w:rPr>
                <w:sz w:val="20"/>
                <w:szCs w:val="20"/>
              </w:rPr>
            </w:pPr>
            <w:bookmarkStart w:id="34" w:name="_Hlk223339817"/>
            <w:r w:rsidRPr="00154588">
              <w:rPr>
                <w:sz w:val="20"/>
                <w:szCs w:val="20"/>
              </w:rPr>
              <w:t>b) este creată în scopul de a primi şi a deţine unele sau toate acţiunile sau alte instrumente de proprietate emise de o instituțiesupusă rezoluţiei ori unele sau toate activele, drepturile şi obligaţiile uneia sau mai multor instituțiisupuse rezoluţiei, în vederea păstrării accesului la funcţiile critice şi a vînzării instituției de credit sau entități prevăzute la art.1 alin.(1) lit.b), c) sau d).</w:t>
            </w:r>
          </w:p>
          <w:bookmarkEnd w:id="34"/>
          <w:p w14:paraId="35CAA716" w14:textId="77777777" w:rsidR="00B53006" w:rsidRPr="00154588" w:rsidRDefault="00B53006" w:rsidP="008C12B4">
            <w:pPr>
              <w:ind w:firstLine="567"/>
              <w:jc w:val="both"/>
              <w:rPr>
                <w:sz w:val="20"/>
                <w:szCs w:val="20"/>
              </w:rPr>
            </w:pPr>
            <w:r w:rsidRPr="00154588">
              <w:rPr>
                <w:sz w:val="20"/>
                <w:szCs w:val="20"/>
              </w:rPr>
              <w:t>(2) Aplicarea instrumentului de recapitalizare internă în scopul prevăzut la art.152 lit.b) nu trebuie să aducă atingere capacităţii Băncii Naţionale a Moldovei, în calitate de autoritate de rezoluţie, de a exercita controlul asupra instituției-punte.</w:t>
            </w:r>
          </w:p>
          <w:p w14:paraId="36431934" w14:textId="6CDC1ED4" w:rsidR="00B53006" w:rsidRPr="00154588" w:rsidRDefault="00500B8C" w:rsidP="008C12B4">
            <w:pPr>
              <w:jc w:val="both"/>
              <w:rPr>
                <w:bCs/>
                <w:sz w:val="20"/>
                <w:szCs w:val="20"/>
              </w:rPr>
            </w:pPr>
            <w:r w:rsidRPr="00154588">
              <w:rPr>
                <w:bCs/>
                <w:sz w:val="20"/>
                <w:szCs w:val="20"/>
              </w:rPr>
              <w:t>(3)Fără a aduce atingere alin.(2), în cazul în care aplicarea instrumentului de recapitalizare internă permite acoperirea integrală a capitalului instituției-punte prin conversia datoriilor care pot face obiectul recapitalizării interne în acțiuni sau în alte tipuri de instrumente de capital, se poate deroga de la cerința ca instituția-punte să se afle integral sau parțial în proprietatea uneia sau a mai multor autorități publice menționate la alin. (1)  lit.(a).</w:t>
            </w:r>
          </w:p>
        </w:tc>
        <w:tc>
          <w:tcPr>
            <w:tcW w:w="2552" w:type="dxa"/>
          </w:tcPr>
          <w:p w14:paraId="4E324073" w14:textId="1C027717"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78DF516B" w14:textId="77777777" w:rsidR="00B53006" w:rsidRPr="00154588" w:rsidRDefault="00B53006" w:rsidP="008C12B4">
            <w:pPr>
              <w:jc w:val="both"/>
              <w:rPr>
                <w:bCs/>
                <w:sz w:val="20"/>
                <w:szCs w:val="20"/>
              </w:rPr>
            </w:pPr>
          </w:p>
        </w:tc>
      </w:tr>
      <w:tr w:rsidR="00B53006" w:rsidRPr="00154588" w14:paraId="06E3126C" w14:textId="77777777" w:rsidTr="00D15C1B">
        <w:trPr>
          <w:jc w:val="center"/>
        </w:trPr>
        <w:tc>
          <w:tcPr>
            <w:tcW w:w="4957" w:type="dxa"/>
            <w:gridSpan w:val="2"/>
          </w:tcPr>
          <w:p w14:paraId="12607930" w14:textId="3B23E7D8" w:rsidR="00B53006" w:rsidRPr="00154588" w:rsidRDefault="00B53006" w:rsidP="008C12B4">
            <w:pPr>
              <w:jc w:val="both"/>
              <w:rPr>
                <w:bCs/>
                <w:sz w:val="20"/>
                <w:szCs w:val="20"/>
              </w:rPr>
            </w:pPr>
            <w:r w:rsidRPr="00154588">
              <w:rPr>
                <w:bCs/>
                <w:sz w:val="20"/>
                <w:szCs w:val="20"/>
              </w:rPr>
              <w:t>(3) Atunci când aplică instrumentul instituției-punte, autoritatea de rezoluție se asigură că valoarea totală a pasivelor transferate instituției-punte nu depășește valoarea totală a drepturilor și activelor transferate de la instituția aflată în rezoluție sau furnizate din alte surse.</w:t>
            </w:r>
          </w:p>
        </w:tc>
        <w:tc>
          <w:tcPr>
            <w:tcW w:w="4819" w:type="dxa"/>
          </w:tcPr>
          <w:p w14:paraId="58AF0051" w14:textId="77777777" w:rsidR="00B53006" w:rsidRPr="00154588" w:rsidRDefault="00B53006" w:rsidP="008C12B4">
            <w:pPr>
              <w:ind w:firstLine="567"/>
              <w:jc w:val="both"/>
              <w:rPr>
                <w:sz w:val="20"/>
                <w:szCs w:val="20"/>
              </w:rPr>
            </w:pPr>
            <w:bookmarkStart w:id="35" w:name="_Hlk223339944"/>
            <w:r w:rsidRPr="00154588">
              <w:rPr>
                <w:b/>
                <w:sz w:val="20"/>
                <w:szCs w:val="20"/>
              </w:rPr>
              <w:t>Articolul 112.</w:t>
            </w:r>
            <w:r w:rsidRPr="00154588">
              <w:rPr>
                <w:sz w:val="20"/>
                <w:szCs w:val="20"/>
              </w:rPr>
              <w:t xml:space="preserve"> – În situaţia în care aplică instrumentul instituției-punte, Banca Naţională a Moldovei, în calitate de autoritate de rezoluţie, se asigură că valoarea totală a obligaţiilor transferate instituției-punte nu depăşeşte valoarea totală a drepturilor şi activelor transferate de la instituția supusă rezoluţiei sau furnizate din alte surse. În vederea asigurării condiţiei prevăzute în prezentul articol, Ministerul Finanțelor este în drept să decidă asupra emiterii a garanţiilor de stat și valorilor mobiliare de stat.</w:t>
            </w:r>
          </w:p>
          <w:bookmarkEnd w:id="35"/>
          <w:p w14:paraId="52C8DE04" w14:textId="77777777" w:rsidR="00B53006" w:rsidRPr="00154588" w:rsidRDefault="00B53006" w:rsidP="008C12B4">
            <w:pPr>
              <w:jc w:val="both"/>
              <w:rPr>
                <w:bCs/>
                <w:sz w:val="20"/>
                <w:szCs w:val="20"/>
              </w:rPr>
            </w:pPr>
          </w:p>
        </w:tc>
        <w:tc>
          <w:tcPr>
            <w:tcW w:w="2552" w:type="dxa"/>
          </w:tcPr>
          <w:p w14:paraId="5D1BF33C" w14:textId="259F78F6" w:rsidR="00B53006" w:rsidRPr="00154588" w:rsidRDefault="00B53006" w:rsidP="008C12B4">
            <w:pPr>
              <w:jc w:val="both"/>
              <w:rPr>
                <w:bCs/>
                <w:sz w:val="20"/>
                <w:szCs w:val="20"/>
              </w:rPr>
            </w:pPr>
            <w:r w:rsidRPr="00154588">
              <w:rPr>
                <w:bCs/>
                <w:sz w:val="20"/>
                <w:szCs w:val="20"/>
              </w:rPr>
              <w:t>Compatibil</w:t>
            </w:r>
          </w:p>
        </w:tc>
        <w:tc>
          <w:tcPr>
            <w:tcW w:w="3118" w:type="dxa"/>
          </w:tcPr>
          <w:p w14:paraId="144F23BC" w14:textId="77777777" w:rsidR="00B53006" w:rsidRPr="00154588" w:rsidRDefault="00B53006" w:rsidP="008C12B4">
            <w:pPr>
              <w:jc w:val="both"/>
              <w:rPr>
                <w:bCs/>
                <w:sz w:val="20"/>
                <w:szCs w:val="20"/>
              </w:rPr>
            </w:pPr>
          </w:p>
        </w:tc>
      </w:tr>
      <w:tr w:rsidR="00B53006" w:rsidRPr="00154588" w14:paraId="127A16A4" w14:textId="77777777" w:rsidTr="00D15C1B">
        <w:trPr>
          <w:jc w:val="center"/>
        </w:trPr>
        <w:tc>
          <w:tcPr>
            <w:tcW w:w="4957" w:type="dxa"/>
            <w:gridSpan w:val="2"/>
          </w:tcPr>
          <w:p w14:paraId="6368F7A8" w14:textId="77777777" w:rsidR="00B53006" w:rsidRPr="00154588" w:rsidRDefault="00B53006" w:rsidP="008C12B4">
            <w:pPr>
              <w:jc w:val="both"/>
              <w:rPr>
                <w:bCs/>
                <w:sz w:val="20"/>
                <w:szCs w:val="20"/>
              </w:rPr>
            </w:pPr>
            <w:r w:rsidRPr="00154588">
              <w:rPr>
                <w:bCs/>
                <w:sz w:val="20"/>
                <w:szCs w:val="20"/>
              </w:rPr>
              <w:lastRenderedPageBreak/>
              <w:t>(4)   Sub rezerva articolului 37 alineatul (7), orice contraprestație plătită de instituția-punte se face în favoarea:</w:t>
            </w:r>
          </w:p>
          <w:p w14:paraId="7FB25FFB" w14:textId="77777777" w:rsidR="00B53006" w:rsidRPr="00154588" w:rsidRDefault="00B53006" w:rsidP="008C12B4">
            <w:pPr>
              <w:jc w:val="both"/>
              <w:rPr>
                <w:bCs/>
                <w:sz w:val="20"/>
                <w:szCs w:val="20"/>
              </w:rPr>
            </w:pPr>
          </w:p>
          <w:p w14:paraId="76E5BD49" w14:textId="25531752" w:rsidR="00B53006" w:rsidRPr="00154588" w:rsidRDefault="00B53006" w:rsidP="008C12B4">
            <w:pPr>
              <w:jc w:val="both"/>
              <w:rPr>
                <w:bCs/>
                <w:sz w:val="20"/>
                <w:szCs w:val="20"/>
              </w:rPr>
            </w:pPr>
            <w:r w:rsidRPr="00154588">
              <w:rPr>
                <w:bCs/>
                <w:sz w:val="20"/>
                <w:szCs w:val="20"/>
              </w:rPr>
              <w:t>(a) proprietarilor acțiunilor sau instrumentelor de proprietate, în cazul în care transferul către instituția-punte s-a efectuat prin transferarea acțiunilor sau instrumentelor de proprietate emise de instituția aflată în rezoluție de la deținătorii respectivelor acțiuni sau instrumente la instituția-punte;</w:t>
            </w:r>
          </w:p>
          <w:p w14:paraId="669B92E7" w14:textId="77777777" w:rsidR="00B53006" w:rsidRPr="00154588" w:rsidRDefault="00B53006" w:rsidP="008C12B4">
            <w:pPr>
              <w:jc w:val="both"/>
              <w:rPr>
                <w:bCs/>
                <w:sz w:val="20"/>
                <w:szCs w:val="20"/>
              </w:rPr>
            </w:pPr>
          </w:p>
          <w:p w14:paraId="6A97391B" w14:textId="1AAA41EA" w:rsidR="00B53006" w:rsidRPr="00154588" w:rsidRDefault="00B53006" w:rsidP="008C12B4">
            <w:pPr>
              <w:jc w:val="both"/>
              <w:rPr>
                <w:bCs/>
                <w:sz w:val="20"/>
                <w:szCs w:val="20"/>
              </w:rPr>
            </w:pPr>
            <w:r w:rsidRPr="00154588">
              <w:rPr>
                <w:bCs/>
                <w:sz w:val="20"/>
                <w:szCs w:val="20"/>
              </w:rPr>
              <w:t>(b) instituției aflate în rezoluție, în cazul în care transferul către instituția-punte s-a efectuat prin transferarea unora sau a tuturor activelor sau pasivelor instituției aflate în rezoluție la instituția-punte.</w:t>
            </w:r>
          </w:p>
        </w:tc>
        <w:tc>
          <w:tcPr>
            <w:tcW w:w="4819" w:type="dxa"/>
          </w:tcPr>
          <w:p w14:paraId="607357AD" w14:textId="77777777" w:rsidR="00B53006" w:rsidRPr="00154588" w:rsidRDefault="00B53006" w:rsidP="008C12B4">
            <w:pPr>
              <w:ind w:firstLine="567"/>
              <w:jc w:val="both"/>
              <w:rPr>
                <w:sz w:val="20"/>
                <w:szCs w:val="20"/>
              </w:rPr>
            </w:pPr>
            <w:r w:rsidRPr="00154588">
              <w:rPr>
                <w:b/>
                <w:sz w:val="20"/>
                <w:szCs w:val="20"/>
              </w:rPr>
              <w:t>Articolul 113.</w:t>
            </w:r>
            <w:r w:rsidRPr="00154588">
              <w:rPr>
                <w:sz w:val="20"/>
                <w:szCs w:val="20"/>
              </w:rPr>
              <w:t xml:space="preserve"> – Cu respectarea prevederilor art.91, orice contraprestaţie se plăteşte de instituția-punte în favoarea:</w:t>
            </w:r>
          </w:p>
          <w:p w14:paraId="43F75F70" w14:textId="77777777" w:rsidR="00B53006" w:rsidRPr="00154588" w:rsidRDefault="00B53006" w:rsidP="008C12B4">
            <w:pPr>
              <w:ind w:firstLine="567"/>
              <w:jc w:val="both"/>
              <w:rPr>
                <w:sz w:val="20"/>
                <w:szCs w:val="20"/>
              </w:rPr>
            </w:pPr>
            <w:r w:rsidRPr="00154588">
              <w:rPr>
                <w:sz w:val="20"/>
                <w:szCs w:val="20"/>
              </w:rPr>
              <w:t>a) proprietarilor acţiunilor sau instrumentelor de proprietate, în cazul în care transferul către instituția-punte s-a efectuat prin transferarea acţiunilor sau instrumentelor de proprietate emise de instituția supusă rezoluţiei de la deţinătorii respectivelor acţiuni sau instrumente la instituția-punte;</w:t>
            </w:r>
          </w:p>
          <w:p w14:paraId="0415327E" w14:textId="77777777" w:rsidR="00B53006" w:rsidRPr="00154588" w:rsidRDefault="00B53006" w:rsidP="008C12B4">
            <w:pPr>
              <w:ind w:firstLine="567"/>
              <w:jc w:val="both"/>
              <w:rPr>
                <w:sz w:val="20"/>
                <w:szCs w:val="20"/>
              </w:rPr>
            </w:pPr>
            <w:r w:rsidRPr="00154588">
              <w:rPr>
                <w:sz w:val="20"/>
                <w:szCs w:val="20"/>
              </w:rPr>
              <w:t>b) instituției supuse rezoluţiei, în cazul în care transferul către instituția-punte s-a efectuat prin transferarea unora sau a tuturor activelor, drepturilor sau obligaţiilor instituției supuse rezoluţiei la instituția-punte.</w:t>
            </w:r>
          </w:p>
          <w:p w14:paraId="3C3EC758" w14:textId="77777777" w:rsidR="00B53006" w:rsidRPr="00154588" w:rsidRDefault="00B53006" w:rsidP="008C12B4">
            <w:pPr>
              <w:ind w:firstLine="567"/>
              <w:jc w:val="both"/>
              <w:rPr>
                <w:sz w:val="20"/>
                <w:szCs w:val="20"/>
              </w:rPr>
            </w:pPr>
            <w:r w:rsidRPr="00154588">
              <w:rPr>
                <w:sz w:val="20"/>
                <w:szCs w:val="20"/>
              </w:rPr>
              <w:t> </w:t>
            </w:r>
          </w:p>
          <w:p w14:paraId="55363D7E" w14:textId="77777777" w:rsidR="00B53006" w:rsidRPr="00154588" w:rsidRDefault="00B53006" w:rsidP="008C12B4">
            <w:pPr>
              <w:jc w:val="both"/>
              <w:rPr>
                <w:bCs/>
                <w:sz w:val="20"/>
                <w:szCs w:val="20"/>
              </w:rPr>
            </w:pPr>
          </w:p>
        </w:tc>
        <w:tc>
          <w:tcPr>
            <w:tcW w:w="2552" w:type="dxa"/>
          </w:tcPr>
          <w:p w14:paraId="2398AF5A" w14:textId="71F03368" w:rsidR="00B53006" w:rsidRPr="00154588" w:rsidRDefault="00B53006" w:rsidP="008C12B4">
            <w:pPr>
              <w:jc w:val="both"/>
              <w:rPr>
                <w:bCs/>
                <w:sz w:val="20"/>
                <w:szCs w:val="20"/>
              </w:rPr>
            </w:pPr>
            <w:r w:rsidRPr="00154588">
              <w:rPr>
                <w:bCs/>
                <w:sz w:val="20"/>
                <w:szCs w:val="20"/>
              </w:rPr>
              <w:t>Compatibil</w:t>
            </w:r>
          </w:p>
        </w:tc>
        <w:tc>
          <w:tcPr>
            <w:tcW w:w="3118" w:type="dxa"/>
          </w:tcPr>
          <w:p w14:paraId="338BDA53" w14:textId="77777777" w:rsidR="00B53006" w:rsidRPr="00154588" w:rsidRDefault="00B53006" w:rsidP="008C12B4">
            <w:pPr>
              <w:jc w:val="both"/>
              <w:rPr>
                <w:bCs/>
                <w:sz w:val="20"/>
                <w:szCs w:val="20"/>
              </w:rPr>
            </w:pPr>
          </w:p>
        </w:tc>
      </w:tr>
      <w:tr w:rsidR="00B53006" w:rsidRPr="00154588" w14:paraId="66C514B6" w14:textId="77777777" w:rsidTr="00D15C1B">
        <w:trPr>
          <w:jc w:val="center"/>
        </w:trPr>
        <w:tc>
          <w:tcPr>
            <w:tcW w:w="4957" w:type="dxa"/>
            <w:gridSpan w:val="2"/>
          </w:tcPr>
          <w:p w14:paraId="58F1EAED" w14:textId="2983F3A3" w:rsidR="00B53006" w:rsidRPr="00154588" w:rsidRDefault="00B53006" w:rsidP="008C12B4">
            <w:pPr>
              <w:jc w:val="both"/>
              <w:rPr>
                <w:bCs/>
                <w:sz w:val="20"/>
                <w:szCs w:val="20"/>
              </w:rPr>
            </w:pPr>
            <w:r w:rsidRPr="00154588">
              <w:rPr>
                <w:bCs/>
                <w:sz w:val="20"/>
                <w:szCs w:val="20"/>
              </w:rPr>
              <w:t>(5) Atunci când aplică instrumentul instituției-punte, autoritatea de rezoluție poate exercita competența de transfer în mod repetat, pentru a efectua transferuri suplimentare de acțiuni sau de alte instrumente de proprietate emise de o instituție aflată în rezoluție sau, după caz, de active, drepturi sau pasive ale instituției aflate în rezoluție.</w:t>
            </w:r>
          </w:p>
        </w:tc>
        <w:tc>
          <w:tcPr>
            <w:tcW w:w="4819" w:type="dxa"/>
          </w:tcPr>
          <w:p w14:paraId="61A85205" w14:textId="77777777" w:rsidR="00B53006" w:rsidRPr="00154588" w:rsidRDefault="00B53006" w:rsidP="008C12B4">
            <w:pPr>
              <w:ind w:firstLine="567"/>
              <w:jc w:val="both"/>
              <w:rPr>
                <w:sz w:val="20"/>
                <w:szCs w:val="20"/>
              </w:rPr>
            </w:pPr>
            <w:r w:rsidRPr="00154588">
              <w:rPr>
                <w:b/>
                <w:sz w:val="20"/>
                <w:szCs w:val="20"/>
              </w:rPr>
              <w:t>Articolul 114.</w:t>
            </w:r>
            <w:r w:rsidRPr="00154588">
              <w:rPr>
                <w:sz w:val="20"/>
                <w:szCs w:val="20"/>
              </w:rPr>
              <w:t xml:space="preserve"> – În situaţia în care aplică instrumentul instituție-punte, Banca Naţională a Moldovei, în calitate de autoritate de rezoluţie, poate exercita competenţa de transfer în mod repetat, pentru a efectua transferuri suplimentare de acţiuni sau de alte instrumente de proprietate emise de o instituție supusă rezoluţiei sau, după caz, de active, drepturi sau obligaţii ale instituției supuse rezoluţiei.</w:t>
            </w:r>
          </w:p>
          <w:p w14:paraId="329BE552" w14:textId="77777777" w:rsidR="00B53006" w:rsidRPr="00154588" w:rsidRDefault="00B53006" w:rsidP="008C12B4">
            <w:pPr>
              <w:jc w:val="both"/>
              <w:rPr>
                <w:bCs/>
                <w:sz w:val="20"/>
                <w:szCs w:val="20"/>
              </w:rPr>
            </w:pPr>
          </w:p>
        </w:tc>
        <w:tc>
          <w:tcPr>
            <w:tcW w:w="2552" w:type="dxa"/>
          </w:tcPr>
          <w:p w14:paraId="5DCDF7B6" w14:textId="26F105E8" w:rsidR="00B53006" w:rsidRPr="00154588" w:rsidRDefault="00B53006" w:rsidP="008C12B4">
            <w:pPr>
              <w:jc w:val="both"/>
              <w:rPr>
                <w:bCs/>
                <w:sz w:val="20"/>
                <w:szCs w:val="20"/>
              </w:rPr>
            </w:pPr>
            <w:r w:rsidRPr="00154588">
              <w:rPr>
                <w:bCs/>
                <w:sz w:val="20"/>
                <w:szCs w:val="20"/>
              </w:rPr>
              <w:t>Compatibil</w:t>
            </w:r>
          </w:p>
        </w:tc>
        <w:tc>
          <w:tcPr>
            <w:tcW w:w="3118" w:type="dxa"/>
          </w:tcPr>
          <w:p w14:paraId="41A4E599" w14:textId="77777777" w:rsidR="00B53006" w:rsidRPr="00154588" w:rsidRDefault="00B53006" w:rsidP="008C12B4">
            <w:pPr>
              <w:jc w:val="both"/>
              <w:rPr>
                <w:bCs/>
                <w:sz w:val="20"/>
                <w:szCs w:val="20"/>
              </w:rPr>
            </w:pPr>
          </w:p>
        </w:tc>
      </w:tr>
      <w:tr w:rsidR="00B53006" w:rsidRPr="00154588" w14:paraId="20D90E68" w14:textId="77777777" w:rsidTr="00D15C1B">
        <w:trPr>
          <w:jc w:val="center"/>
        </w:trPr>
        <w:tc>
          <w:tcPr>
            <w:tcW w:w="4957" w:type="dxa"/>
            <w:gridSpan w:val="2"/>
          </w:tcPr>
          <w:p w14:paraId="52180238" w14:textId="77777777" w:rsidR="00B53006" w:rsidRPr="00154588" w:rsidRDefault="00B53006" w:rsidP="008C12B4">
            <w:pPr>
              <w:jc w:val="both"/>
              <w:rPr>
                <w:bCs/>
                <w:sz w:val="20"/>
                <w:szCs w:val="20"/>
              </w:rPr>
            </w:pPr>
            <w:r w:rsidRPr="00154588">
              <w:rPr>
                <w:bCs/>
                <w:sz w:val="20"/>
                <w:szCs w:val="20"/>
              </w:rPr>
              <w:t>(6)   În urma aplicării instrumentului instituției-punte, autoritatea de rezoluție poate:</w:t>
            </w:r>
          </w:p>
          <w:p w14:paraId="328C7697" w14:textId="77777777" w:rsidR="00B53006" w:rsidRPr="00154588" w:rsidRDefault="00B53006" w:rsidP="008C12B4">
            <w:pPr>
              <w:jc w:val="both"/>
              <w:rPr>
                <w:bCs/>
                <w:sz w:val="20"/>
                <w:szCs w:val="20"/>
              </w:rPr>
            </w:pPr>
          </w:p>
          <w:p w14:paraId="48669150" w14:textId="2AEF1F31" w:rsidR="00B53006" w:rsidRPr="00154588" w:rsidRDefault="00B53006" w:rsidP="008C12B4">
            <w:pPr>
              <w:jc w:val="both"/>
              <w:rPr>
                <w:bCs/>
                <w:sz w:val="20"/>
                <w:szCs w:val="20"/>
              </w:rPr>
            </w:pPr>
            <w:r w:rsidRPr="00154588">
              <w:rPr>
                <w:bCs/>
                <w:sz w:val="20"/>
                <w:szCs w:val="20"/>
              </w:rPr>
              <w:t>(a) transfera înapoi drepturile, activele sau pasivele de la instituția-punte la instituția aflată în rezoluție, sau acțiunile sau alte instrumente de proprietate înapoi la proprietarii lor inițiali, iar instituția aflată în rezoluție sau proprietarii inițiali au obligația de a reprimi toate aceste active, drepturi sau pasive, sau acțiuni sau alte instrumente de proprietate, dacă și numai dacă sunt îndeplinite condițiile prevăzute la alineatul (7);</w:t>
            </w:r>
          </w:p>
          <w:p w14:paraId="21E172D2" w14:textId="77777777" w:rsidR="00B53006" w:rsidRPr="00154588" w:rsidRDefault="00B53006" w:rsidP="008C12B4">
            <w:pPr>
              <w:jc w:val="both"/>
              <w:rPr>
                <w:bCs/>
                <w:sz w:val="20"/>
                <w:szCs w:val="20"/>
              </w:rPr>
            </w:pPr>
          </w:p>
          <w:p w14:paraId="517671D4" w14:textId="77777777" w:rsidR="00B53006" w:rsidRPr="00154588" w:rsidRDefault="00B53006" w:rsidP="008C12B4">
            <w:pPr>
              <w:jc w:val="both"/>
              <w:rPr>
                <w:bCs/>
                <w:sz w:val="20"/>
                <w:szCs w:val="20"/>
              </w:rPr>
            </w:pPr>
          </w:p>
          <w:p w14:paraId="732073DC" w14:textId="4A0ED8E1" w:rsidR="00B53006" w:rsidRPr="00154588" w:rsidRDefault="00B53006" w:rsidP="008C12B4">
            <w:pPr>
              <w:jc w:val="both"/>
              <w:rPr>
                <w:bCs/>
                <w:sz w:val="20"/>
                <w:szCs w:val="20"/>
              </w:rPr>
            </w:pPr>
            <w:r w:rsidRPr="00154588">
              <w:rPr>
                <w:bCs/>
                <w:sz w:val="20"/>
                <w:szCs w:val="20"/>
              </w:rPr>
              <w:t>(b) transfera acțiuni sau alte instrumente de proprietate, sau active, drepturi sau pasive de la instituția-punte către o terță parte.</w:t>
            </w:r>
          </w:p>
        </w:tc>
        <w:tc>
          <w:tcPr>
            <w:tcW w:w="4819" w:type="dxa"/>
          </w:tcPr>
          <w:p w14:paraId="50F098F9" w14:textId="77777777" w:rsidR="00B53006" w:rsidRPr="00154588" w:rsidRDefault="00B53006" w:rsidP="008C12B4">
            <w:pPr>
              <w:ind w:firstLine="567"/>
              <w:jc w:val="both"/>
              <w:rPr>
                <w:sz w:val="20"/>
                <w:szCs w:val="20"/>
              </w:rPr>
            </w:pPr>
            <w:r w:rsidRPr="00154588">
              <w:rPr>
                <w:b/>
                <w:sz w:val="20"/>
                <w:szCs w:val="20"/>
              </w:rPr>
              <w:t>Articolul 115.</w:t>
            </w:r>
            <w:r w:rsidRPr="00154588">
              <w:rPr>
                <w:sz w:val="20"/>
                <w:szCs w:val="20"/>
              </w:rPr>
              <w:t xml:space="preserve"> – În urma aplicării instrumentului instituției-punte, Banca Naţională a Moldovei, în calitate de autoritate de rezoluţie, poate:</w:t>
            </w:r>
          </w:p>
          <w:p w14:paraId="39296239" w14:textId="77777777" w:rsidR="00B53006" w:rsidRPr="00154588" w:rsidRDefault="00B53006" w:rsidP="008C12B4">
            <w:pPr>
              <w:ind w:firstLine="567"/>
              <w:jc w:val="both"/>
              <w:rPr>
                <w:sz w:val="20"/>
                <w:szCs w:val="20"/>
              </w:rPr>
            </w:pPr>
            <w:r w:rsidRPr="00154588">
              <w:rPr>
                <w:sz w:val="20"/>
                <w:szCs w:val="20"/>
              </w:rPr>
              <w:t>a) transfera înapoi drepturile, activele sau obligaţiile de la instituția-punte la instituția supusă rezoluţiei ori acţiunile sau alte instrumente de proprietate înapoi la proprietarii lor iniţiali, iar instituția supusă rezoluţiei sau proprietarii iniţiali au obligaţia de a reprimi orice astfel de active, drepturi sau obligaţii ori acţiuni sau alte instrumente de proprietate, numai dacă sînt îndeplinite condiţiile prevăzute la art.116;</w:t>
            </w:r>
          </w:p>
          <w:p w14:paraId="03A9EF6A" w14:textId="77777777" w:rsidR="00B53006" w:rsidRPr="00154588" w:rsidRDefault="00B53006" w:rsidP="008C12B4">
            <w:pPr>
              <w:ind w:firstLine="567"/>
              <w:jc w:val="both"/>
              <w:rPr>
                <w:sz w:val="20"/>
                <w:szCs w:val="20"/>
              </w:rPr>
            </w:pPr>
            <w:r w:rsidRPr="00154588">
              <w:rPr>
                <w:sz w:val="20"/>
                <w:szCs w:val="20"/>
              </w:rPr>
              <w:t>b) transfera acţiuni sau alte instrumente de proprietate ori active, drepturi sau obligaţii de la instituția-punte către o terţă parte.</w:t>
            </w:r>
          </w:p>
          <w:p w14:paraId="712760B3" w14:textId="77777777" w:rsidR="00B53006" w:rsidRPr="00154588" w:rsidRDefault="00B53006" w:rsidP="008C12B4">
            <w:pPr>
              <w:jc w:val="both"/>
              <w:rPr>
                <w:bCs/>
                <w:sz w:val="20"/>
                <w:szCs w:val="20"/>
              </w:rPr>
            </w:pPr>
          </w:p>
        </w:tc>
        <w:tc>
          <w:tcPr>
            <w:tcW w:w="2552" w:type="dxa"/>
          </w:tcPr>
          <w:p w14:paraId="6BCF0E6C" w14:textId="077C6921" w:rsidR="00B53006" w:rsidRPr="00154588" w:rsidRDefault="00B53006" w:rsidP="008C12B4">
            <w:pPr>
              <w:jc w:val="both"/>
              <w:rPr>
                <w:bCs/>
                <w:sz w:val="20"/>
                <w:szCs w:val="20"/>
              </w:rPr>
            </w:pPr>
            <w:r w:rsidRPr="00154588">
              <w:rPr>
                <w:bCs/>
                <w:sz w:val="20"/>
                <w:szCs w:val="20"/>
              </w:rPr>
              <w:t>Compatibil</w:t>
            </w:r>
          </w:p>
        </w:tc>
        <w:tc>
          <w:tcPr>
            <w:tcW w:w="3118" w:type="dxa"/>
          </w:tcPr>
          <w:p w14:paraId="016935C8" w14:textId="77777777" w:rsidR="00B53006" w:rsidRPr="00154588" w:rsidRDefault="00B53006" w:rsidP="008C12B4">
            <w:pPr>
              <w:jc w:val="both"/>
              <w:rPr>
                <w:bCs/>
                <w:sz w:val="20"/>
                <w:szCs w:val="20"/>
              </w:rPr>
            </w:pPr>
          </w:p>
        </w:tc>
      </w:tr>
      <w:tr w:rsidR="00B53006" w:rsidRPr="00154588" w14:paraId="7DB83D73" w14:textId="77777777" w:rsidTr="00D15C1B">
        <w:trPr>
          <w:jc w:val="center"/>
        </w:trPr>
        <w:tc>
          <w:tcPr>
            <w:tcW w:w="4957" w:type="dxa"/>
            <w:gridSpan w:val="2"/>
          </w:tcPr>
          <w:p w14:paraId="042C6D60" w14:textId="77777777" w:rsidR="00B53006" w:rsidRPr="00154588" w:rsidRDefault="00B53006" w:rsidP="008C12B4">
            <w:pPr>
              <w:jc w:val="both"/>
              <w:rPr>
                <w:bCs/>
                <w:sz w:val="20"/>
                <w:szCs w:val="20"/>
              </w:rPr>
            </w:pPr>
            <w:r w:rsidRPr="00154588">
              <w:rPr>
                <w:bCs/>
                <w:sz w:val="20"/>
                <w:szCs w:val="20"/>
              </w:rPr>
              <w:t xml:space="preserve">(7)   Autoritățile de rezoluție pot transfera înapoi acțiuni sau alte instrumente de proprietate sau active, drepturi </w:t>
            </w:r>
            <w:r w:rsidRPr="00154588">
              <w:rPr>
                <w:bCs/>
                <w:sz w:val="20"/>
                <w:szCs w:val="20"/>
              </w:rPr>
              <w:lastRenderedPageBreak/>
              <w:t>sau pasive de la instituția-punte într-una dintre următoarele situații:</w:t>
            </w:r>
          </w:p>
          <w:p w14:paraId="3A656B38" w14:textId="77777777" w:rsidR="00B53006" w:rsidRPr="00154588" w:rsidRDefault="00B53006" w:rsidP="008C12B4">
            <w:pPr>
              <w:jc w:val="both"/>
              <w:rPr>
                <w:bCs/>
                <w:sz w:val="20"/>
                <w:szCs w:val="20"/>
              </w:rPr>
            </w:pPr>
          </w:p>
          <w:p w14:paraId="1AC6806E" w14:textId="77777777" w:rsidR="00B53006" w:rsidRPr="00154588" w:rsidRDefault="00B53006" w:rsidP="008C12B4">
            <w:pPr>
              <w:jc w:val="both"/>
              <w:rPr>
                <w:bCs/>
                <w:sz w:val="20"/>
                <w:szCs w:val="20"/>
              </w:rPr>
            </w:pPr>
          </w:p>
          <w:p w14:paraId="61812AFE" w14:textId="74C165A5" w:rsidR="00B53006" w:rsidRPr="00154588" w:rsidRDefault="00B53006" w:rsidP="008C12B4">
            <w:pPr>
              <w:jc w:val="both"/>
              <w:rPr>
                <w:bCs/>
                <w:sz w:val="20"/>
                <w:szCs w:val="20"/>
              </w:rPr>
            </w:pPr>
            <w:r w:rsidRPr="00154588">
              <w:rPr>
                <w:bCs/>
                <w:sz w:val="20"/>
                <w:szCs w:val="20"/>
              </w:rPr>
              <w:t>(a) atunci când posibilitatea ca anumite acțiuni sau alte instrumente de proprietate, active, drepturi sau pasive specifice să fie transferate înapoi este precizată în mod expres în cadrul instrumentului prin care este efectuat transferul;</w:t>
            </w:r>
          </w:p>
          <w:p w14:paraId="335B3BA0" w14:textId="77777777" w:rsidR="00B53006" w:rsidRPr="00154588" w:rsidRDefault="00B53006" w:rsidP="008C12B4">
            <w:pPr>
              <w:jc w:val="both"/>
              <w:rPr>
                <w:bCs/>
                <w:sz w:val="20"/>
                <w:szCs w:val="20"/>
              </w:rPr>
            </w:pPr>
          </w:p>
          <w:p w14:paraId="1D8E3803" w14:textId="408F31A3" w:rsidR="00B53006" w:rsidRPr="00154588" w:rsidRDefault="00B53006" w:rsidP="008C12B4">
            <w:pPr>
              <w:jc w:val="both"/>
              <w:rPr>
                <w:bCs/>
                <w:sz w:val="20"/>
                <w:szCs w:val="20"/>
              </w:rPr>
            </w:pPr>
            <w:r w:rsidRPr="00154588">
              <w:rPr>
                <w:bCs/>
                <w:sz w:val="20"/>
                <w:szCs w:val="20"/>
              </w:rPr>
              <w:t>(b) atunci când aceste acțiuni sau alte instrumente de proprietate, active, drepturi sau pasive specifice nu îndeplinesc condițiile de transfer sau nu se încadrează în categoria acțiunilor sau altor instrumente de proprietate, activelor, drepturilor sau pasivelor specificate în cadrul instrumentului prin care este efectuat transferul.</w:t>
            </w:r>
          </w:p>
          <w:p w14:paraId="74079A23" w14:textId="77777777" w:rsidR="00B53006" w:rsidRPr="00154588" w:rsidRDefault="00B53006" w:rsidP="008C12B4">
            <w:pPr>
              <w:jc w:val="both"/>
              <w:rPr>
                <w:bCs/>
                <w:sz w:val="20"/>
                <w:szCs w:val="20"/>
              </w:rPr>
            </w:pPr>
          </w:p>
          <w:p w14:paraId="4EB0ADE1" w14:textId="62B122C1" w:rsidR="00B53006" w:rsidRPr="00154588" w:rsidRDefault="00B53006" w:rsidP="008C12B4">
            <w:pPr>
              <w:jc w:val="both"/>
              <w:rPr>
                <w:bCs/>
                <w:sz w:val="20"/>
                <w:szCs w:val="20"/>
              </w:rPr>
            </w:pPr>
            <w:r w:rsidRPr="00154588">
              <w:rPr>
                <w:bCs/>
                <w:sz w:val="20"/>
                <w:szCs w:val="20"/>
              </w:rPr>
              <w:t>Un astfel de transfer înapoi se poate efectua în orice moment dat și în conformitate cu orice alte condiții stipulate în cadrul instrumentului respectiv pentru scopul în cauză.</w:t>
            </w:r>
          </w:p>
        </w:tc>
        <w:tc>
          <w:tcPr>
            <w:tcW w:w="4819" w:type="dxa"/>
          </w:tcPr>
          <w:p w14:paraId="44438869" w14:textId="77777777" w:rsidR="00B53006" w:rsidRPr="00154588" w:rsidRDefault="00B53006" w:rsidP="008C12B4">
            <w:pPr>
              <w:ind w:firstLine="567"/>
              <w:jc w:val="both"/>
              <w:rPr>
                <w:sz w:val="20"/>
                <w:szCs w:val="20"/>
              </w:rPr>
            </w:pPr>
            <w:r w:rsidRPr="00154588">
              <w:rPr>
                <w:b/>
                <w:sz w:val="20"/>
                <w:szCs w:val="20"/>
              </w:rPr>
              <w:lastRenderedPageBreak/>
              <w:t>Articolul 116.</w:t>
            </w:r>
            <w:r w:rsidRPr="00154588">
              <w:rPr>
                <w:sz w:val="20"/>
                <w:szCs w:val="20"/>
              </w:rPr>
              <w:t xml:space="preserve"> – (1) Banca Naţională a Moldovei, în calitate de autoritate de rezoluţie, poate transfera înapoi acţiuni sau alte instrumente de </w:t>
            </w:r>
            <w:r w:rsidRPr="00154588">
              <w:rPr>
                <w:sz w:val="20"/>
                <w:szCs w:val="20"/>
              </w:rPr>
              <w:lastRenderedPageBreak/>
              <w:t>proprietate ori active, drepturi sau obligaţii de la instituția-punte, în una dintre următoarele situaţii:</w:t>
            </w:r>
          </w:p>
          <w:p w14:paraId="6DD50EC4" w14:textId="77777777" w:rsidR="00B53006" w:rsidRPr="00154588" w:rsidRDefault="00B53006" w:rsidP="008C12B4">
            <w:pPr>
              <w:ind w:firstLine="567"/>
              <w:jc w:val="both"/>
              <w:rPr>
                <w:sz w:val="20"/>
                <w:szCs w:val="20"/>
              </w:rPr>
            </w:pPr>
            <w:r w:rsidRPr="00154588">
              <w:rPr>
                <w:sz w:val="20"/>
                <w:szCs w:val="20"/>
              </w:rPr>
              <w:t>a) în situaţia în care posibilitatea ca respectivele acţiuni sau alte instrumente de proprietate, active, drepturi sau obligaţii să fie transferate înapoi este precizată în mod expres în cadrul deciziei de aplicare a instrumentului instituției-punte, în baza căreia s-a efectuat transferul;</w:t>
            </w:r>
          </w:p>
          <w:p w14:paraId="21A46140" w14:textId="77777777" w:rsidR="00B53006" w:rsidRPr="00154588" w:rsidRDefault="00B53006" w:rsidP="008C12B4">
            <w:pPr>
              <w:ind w:firstLine="567"/>
              <w:jc w:val="both"/>
              <w:rPr>
                <w:sz w:val="20"/>
                <w:szCs w:val="20"/>
              </w:rPr>
            </w:pPr>
            <w:r w:rsidRPr="00154588">
              <w:rPr>
                <w:sz w:val="20"/>
                <w:szCs w:val="20"/>
              </w:rPr>
              <w:t>b) în situaţia în care respectivele acţiuni sau alte instrumente de proprietate, active, drepturi sau obligaţii nu îndeplinesc condiţiile de transfer sau nu se încadrează în categoria acţiunilor sau altor instrumente de proprietate, activelor, drepturilor sau obligaţiilor specificate în cadrul deciziei prevăzute la lit.a).</w:t>
            </w:r>
          </w:p>
          <w:p w14:paraId="3A33AB64" w14:textId="77777777" w:rsidR="00B53006" w:rsidRPr="00154588" w:rsidRDefault="00B53006" w:rsidP="008C12B4">
            <w:pPr>
              <w:ind w:firstLine="567"/>
              <w:jc w:val="both"/>
              <w:rPr>
                <w:sz w:val="20"/>
                <w:szCs w:val="20"/>
              </w:rPr>
            </w:pPr>
            <w:r w:rsidRPr="00154588">
              <w:rPr>
                <w:sz w:val="20"/>
                <w:szCs w:val="20"/>
              </w:rPr>
              <w:t>(2) Un astfel de transfer înapoi se poate efectua în orice moment şi respectă orice alte condiţii stipulate în cadrul deciziei de aplicare a instrumentului instituției-punte, în scopul realizării transferului în cauză.</w:t>
            </w:r>
          </w:p>
          <w:p w14:paraId="2FE202FE" w14:textId="77777777" w:rsidR="00B53006" w:rsidRPr="00154588" w:rsidRDefault="00B53006" w:rsidP="008C12B4">
            <w:pPr>
              <w:jc w:val="both"/>
              <w:rPr>
                <w:bCs/>
                <w:sz w:val="20"/>
                <w:szCs w:val="20"/>
              </w:rPr>
            </w:pPr>
          </w:p>
        </w:tc>
        <w:tc>
          <w:tcPr>
            <w:tcW w:w="2552" w:type="dxa"/>
          </w:tcPr>
          <w:p w14:paraId="7917EDCC" w14:textId="4AD9D447"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260A98E2" w14:textId="77777777" w:rsidR="00B53006" w:rsidRPr="00154588" w:rsidRDefault="00B53006" w:rsidP="008C12B4">
            <w:pPr>
              <w:jc w:val="both"/>
              <w:rPr>
                <w:bCs/>
                <w:sz w:val="20"/>
                <w:szCs w:val="20"/>
              </w:rPr>
            </w:pPr>
          </w:p>
        </w:tc>
      </w:tr>
      <w:tr w:rsidR="00B53006" w:rsidRPr="00154588" w14:paraId="7BA1EC9B" w14:textId="77777777" w:rsidTr="00D15C1B">
        <w:trPr>
          <w:jc w:val="center"/>
        </w:trPr>
        <w:tc>
          <w:tcPr>
            <w:tcW w:w="4957" w:type="dxa"/>
            <w:gridSpan w:val="2"/>
          </w:tcPr>
          <w:p w14:paraId="72B983C5" w14:textId="558AE33B" w:rsidR="00B53006" w:rsidRPr="00154588" w:rsidRDefault="00B53006" w:rsidP="008C12B4">
            <w:pPr>
              <w:jc w:val="both"/>
              <w:rPr>
                <w:bCs/>
                <w:sz w:val="20"/>
                <w:szCs w:val="20"/>
              </w:rPr>
            </w:pPr>
            <w:r w:rsidRPr="00154588">
              <w:rPr>
                <w:bCs/>
                <w:sz w:val="20"/>
                <w:szCs w:val="20"/>
              </w:rPr>
              <w:t>(8)   Transferurile între instituția aflată în rezoluție sau proprietarii inițiali ai acțiunilor sau ai altor instrumente de proprietate pe de o parte și instituția-punte pe de altă parte fac obiectul mecanismelor de siguranță prevăzute în titlul IV capitolul VII.</w:t>
            </w:r>
          </w:p>
        </w:tc>
        <w:tc>
          <w:tcPr>
            <w:tcW w:w="4819" w:type="dxa"/>
          </w:tcPr>
          <w:p w14:paraId="67358757" w14:textId="77777777" w:rsidR="00B53006" w:rsidRPr="00154588" w:rsidRDefault="00B53006" w:rsidP="008C12B4">
            <w:pPr>
              <w:ind w:firstLine="567"/>
              <w:jc w:val="both"/>
              <w:rPr>
                <w:sz w:val="20"/>
                <w:szCs w:val="20"/>
              </w:rPr>
            </w:pPr>
            <w:r w:rsidRPr="00154588">
              <w:rPr>
                <w:b/>
                <w:sz w:val="20"/>
                <w:szCs w:val="20"/>
              </w:rPr>
              <w:t>Articolul 117.</w:t>
            </w:r>
            <w:r w:rsidRPr="00154588">
              <w:rPr>
                <w:sz w:val="20"/>
                <w:szCs w:val="20"/>
              </w:rPr>
              <w:t xml:space="preserve"> – Transferurile între instituția supusă rezoluţiei sau proprietarii iniţiali ai acţiunilor sau ai altor instrumente de proprietate, pe de o parte, şi instituția-punte, pe de altă parte, trebuie să facă obiectul mecanismelor de siguranţă prevăzute la art.262-276.</w:t>
            </w:r>
          </w:p>
          <w:p w14:paraId="0B3BB70C" w14:textId="77777777" w:rsidR="00B53006" w:rsidRPr="00154588" w:rsidRDefault="00B53006" w:rsidP="008C12B4">
            <w:pPr>
              <w:jc w:val="both"/>
              <w:rPr>
                <w:bCs/>
                <w:sz w:val="20"/>
                <w:szCs w:val="20"/>
              </w:rPr>
            </w:pPr>
          </w:p>
        </w:tc>
        <w:tc>
          <w:tcPr>
            <w:tcW w:w="2552" w:type="dxa"/>
          </w:tcPr>
          <w:p w14:paraId="0814CC3C" w14:textId="21B197F6" w:rsidR="00B53006" w:rsidRPr="00154588" w:rsidRDefault="00B53006" w:rsidP="008C12B4">
            <w:pPr>
              <w:jc w:val="both"/>
              <w:rPr>
                <w:bCs/>
                <w:sz w:val="20"/>
                <w:szCs w:val="20"/>
              </w:rPr>
            </w:pPr>
            <w:r w:rsidRPr="00154588">
              <w:rPr>
                <w:bCs/>
                <w:sz w:val="20"/>
                <w:szCs w:val="20"/>
              </w:rPr>
              <w:t>Compatibil</w:t>
            </w:r>
          </w:p>
        </w:tc>
        <w:tc>
          <w:tcPr>
            <w:tcW w:w="3118" w:type="dxa"/>
          </w:tcPr>
          <w:p w14:paraId="20EBDB23" w14:textId="77777777" w:rsidR="00B53006" w:rsidRPr="00154588" w:rsidRDefault="00B53006" w:rsidP="008C12B4">
            <w:pPr>
              <w:jc w:val="both"/>
              <w:rPr>
                <w:bCs/>
                <w:sz w:val="20"/>
                <w:szCs w:val="20"/>
              </w:rPr>
            </w:pPr>
          </w:p>
        </w:tc>
      </w:tr>
      <w:tr w:rsidR="00B53006" w:rsidRPr="00154588" w14:paraId="7DB38632" w14:textId="77777777" w:rsidTr="00D15C1B">
        <w:trPr>
          <w:jc w:val="center"/>
        </w:trPr>
        <w:tc>
          <w:tcPr>
            <w:tcW w:w="4957" w:type="dxa"/>
            <w:gridSpan w:val="2"/>
          </w:tcPr>
          <w:p w14:paraId="12E48B9B" w14:textId="77777777" w:rsidR="00B53006" w:rsidRPr="00154588" w:rsidRDefault="00B53006" w:rsidP="008C12B4">
            <w:pPr>
              <w:jc w:val="both"/>
              <w:rPr>
                <w:bCs/>
                <w:sz w:val="20"/>
                <w:szCs w:val="20"/>
              </w:rPr>
            </w:pPr>
            <w:r w:rsidRPr="00154588">
              <w:rPr>
                <w:bCs/>
                <w:sz w:val="20"/>
                <w:szCs w:val="20"/>
              </w:rPr>
              <w:t>(9)   În sensul exercitării libertăților de a presta servicii sau de a se stabili într-un alt stat membru în conformitate cu Directiva 2013/36/UE sau cu Directiva 2014/65/UE, instituția-punte este considerată a fi o continuare a instituției aflate în rezoluție și poate continua să exercite toate drepturile exercitate de instituția aflată în rezoluție aferente activelor, drepturilor sau pasivelor transferate.</w:t>
            </w:r>
          </w:p>
          <w:p w14:paraId="13677652" w14:textId="77777777" w:rsidR="00B53006" w:rsidRPr="00154588" w:rsidRDefault="00B53006" w:rsidP="008C12B4">
            <w:pPr>
              <w:jc w:val="both"/>
              <w:rPr>
                <w:bCs/>
                <w:sz w:val="20"/>
                <w:szCs w:val="20"/>
              </w:rPr>
            </w:pPr>
          </w:p>
          <w:p w14:paraId="53AEDA33" w14:textId="77777777" w:rsidR="00B53006" w:rsidRPr="00154588" w:rsidRDefault="00B53006" w:rsidP="008C12B4">
            <w:pPr>
              <w:jc w:val="both"/>
              <w:rPr>
                <w:bCs/>
                <w:sz w:val="20"/>
                <w:szCs w:val="20"/>
              </w:rPr>
            </w:pPr>
          </w:p>
          <w:p w14:paraId="70B7B292" w14:textId="77777777" w:rsidR="00B53006" w:rsidRPr="00154588" w:rsidRDefault="00B53006" w:rsidP="008C12B4">
            <w:pPr>
              <w:jc w:val="both"/>
              <w:rPr>
                <w:bCs/>
                <w:sz w:val="20"/>
                <w:szCs w:val="20"/>
              </w:rPr>
            </w:pPr>
          </w:p>
          <w:p w14:paraId="6BF6E0B5" w14:textId="71D7B180" w:rsidR="00B53006" w:rsidRPr="00154588" w:rsidRDefault="00B53006" w:rsidP="008C12B4">
            <w:pPr>
              <w:jc w:val="both"/>
              <w:rPr>
                <w:bCs/>
                <w:sz w:val="20"/>
                <w:szCs w:val="20"/>
              </w:rPr>
            </w:pPr>
            <w:r w:rsidRPr="00154588">
              <w:rPr>
                <w:bCs/>
                <w:sz w:val="20"/>
                <w:szCs w:val="20"/>
              </w:rPr>
              <w:t xml:space="preserve">În alte scopuri, autoritățile de rezoluție pot solicita ca o instituție-punte să fie considerată drept o continuare a instituției aflate în rezoluție și să poată continua să exercite toate drepturile exercitate de instituția aflată </w:t>
            </w:r>
            <w:r w:rsidRPr="00154588">
              <w:rPr>
                <w:bCs/>
                <w:sz w:val="20"/>
                <w:szCs w:val="20"/>
              </w:rPr>
              <w:lastRenderedPageBreak/>
              <w:t>în rezoluție aferente activelor, drepturilor sau pasivelor transferate.</w:t>
            </w:r>
          </w:p>
        </w:tc>
        <w:tc>
          <w:tcPr>
            <w:tcW w:w="4819" w:type="dxa"/>
          </w:tcPr>
          <w:p w14:paraId="45273A9C" w14:textId="77777777" w:rsidR="00B53006" w:rsidRPr="00154588" w:rsidRDefault="00B53006" w:rsidP="008C12B4">
            <w:pPr>
              <w:ind w:firstLine="567"/>
              <w:jc w:val="both"/>
              <w:rPr>
                <w:sz w:val="20"/>
                <w:szCs w:val="20"/>
              </w:rPr>
            </w:pPr>
            <w:r w:rsidRPr="00154588">
              <w:rPr>
                <w:b/>
                <w:sz w:val="20"/>
                <w:szCs w:val="20"/>
              </w:rPr>
              <w:lastRenderedPageBreak/>
              <w:t>Articolul 118.</w:t>
            </w:r>
            <w:r w:rsidRPr="00154588">
              <w:rPr>
                <w:sz w:val="20"/>
                <w:szCs w:val="20"/>
              </w:rPr>
              <w:t xml:space="preserve"> – (1) </w:t>
            </w:r>
            <w:bookmarkStart w:id="36" w:name="_Hlk223340885"/>
            <w:r w:rsidRPr="00154588">
              <w:rPr>
                <w:sz w:val="20"/>
                <w:szCs w:val="20"/>
              </w:rPr>
              <w:t>În scopul exercitării dreptului de a presta servicii în mod direct sau de a înființa o sucursală într-un alt stat membru al Uniunii Europene, potrivit Legii nr.202/2017 sau legislației privind piața de capital</w:t>
            </w:r>
            <w:bookmarkEnd w:id="36"/>
            <w:r w:rsidRPr="00154588">
              <w:rPr>
                <w:sz w:val="20"/>
                <w:szCs w:val="20"/>
              </w:rPr>
              <w:t>, instituția-punte este considerată drept o continuatoare a instituției supuse rezoluţiei şi poate continua să exercite toate drepturile exercitate de instituția supusă rezoluţiei aferente activelor, drepturilor sau obligaţiilor transferate, inclusiv în ceea ce priveşte drepturile de proprietate intelectuală.</w:t>
            </w:r>
          </w:p>
          <w:p w14:paraId="0D005222" w14:textId="77777777" w:rsidR="00B53006" w:rsidRPr="00154588" w:rsidRDefault="00B53006" w:rsidP="008C12B4">
            <w:pPr>
              <w:ind w:firstLine="567"/>
              <w:jc w:val="both"/>
              <w:rPr>
                <w:sz w:val="20"/>
                <w:szCs w:val="20"/>
              </w:rPr>
            </w:pPr>
            <w:r w:rsidRPr="00154588">
              <w:rPr>
                <w:sz w:val="20"/>
                <w:szCs w:val="20"/>
              </w:rPr>
              <w:t xml:space="preserve">(2) </w:t>
            </w:r>
            <w:bookmarkStart w:id="37" w:name="_Hlk223340995"/>
            <w:r w:rsidRPr="00154588">
              <w:rPr>
                <w:sz w:val="20"/>
                <w:szCs w:val="20"/>
              </w:rPr>
              <w:t xml:space="preserve">În alte scopuri, Banca Națională a Moldovei, în calitatea de autoritate de rezoluție, are competența de a stabili ca o instituție-punte să fie considerată drept o continuatoare a instituției supuse rezoluției și să poată continua să exercite toate </w:t>
            </w:r>
            <w:r w:rsidRPr="00154588">
              <w:rPr>
                <w:sz w:val="20"/>
                <w:szCs w:val="20"/>
              </w:rPr>
              <w:lastRenderedPageBreak/>
              <w:t>drepturile exercitate de instituția supusă rezoluției aferente activelor, drepturilor sau obligațiilor transferate. </w:t>
            </w:r>
            <w:bookmarkEnd w:id="37"/>
          </w:p>
          <w:p w14:paraId="126FCFF7" w14:textId="77777777" w:rsidR="00B53006" w:rsidRPr="00154588" w:rsidRDefault="00B53006" w:rsidP="008C12B4">
            <w:pPr>
              <w:jc w:val="both"/>
              <w:rPr>
                <w:bCs/>
                <w:sz w:val="20"/>
                <w:szCs w:val="20"/>
              </w:rPr>
            </w:pPr>
          </w:p>
        </w:tc>
        <w:tc>
          <w:tcPr>
            <w:tcW w:w="2552" w:type="dxa"/>
          </w:tcPr>
          <w:p w14:paraId="555AB45F" w14:textId="351F8EFC"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13C6837F" w14:textId="77777777" w:rsidR="00B53006" w:rsidRPr="00154588" w:rsidRDefault="00B53006" w:rsidP="008C12B4">
            <w:pPr>
              <w:jc w:val="both"/>
              <w:rPr>
                <w:bCs/>
                <w:sz w:val="20"/>
                <w:szCs w:val="20"/>
              </w:rPr>
            </w:pPr>
          </w:p>
        </w:tc>
      </w:tr>
      <w:tr w:rsidR="00B53006" w:rsidRPr="00154588" w14:paraId="06D2FD49" w14:textId="77777777" w:rsidTr="00D15C1B">
        <w:trPr>
          <w:jc w:val="center"/>
        </w:trPr>
        <w:tc>
          <w:tcPr>
            <w:tcW w:w="4957" w:type="dxa"/>
            <w:gridSpan w:val="2"/>
          </w:tcPr>
          <w:p w14:paraId="02BAF37D" w14:textId="2099ED0F" w:rsidR="00B53006" w:rsidRPr="00154588" w:rsidRDefault="00B53006" w:rsidP="008C12B4">
            <w:pPr>
              <w:jc w:val="both"/>
              <w:rPr>
                <w:bCs/>
                <w:sz w:val="20"/>
                <w:szCs w:val="20"/>
              </w:rPr>
            </w:pPr>
            <w:r w:rsidRPr="00154588">
              <w:rPr>
                <w:bCs/>
                <w:sz w:val="20"/>
                <w:szCs w:val="20"/>
              </w:rPr>
              <w:t>(10) Statele membre se asigură că instituția-punte poate continua să exercite drepturile conferite de calitatea de membru și drepturile de acces la sistemele de plată, compensare și decontare, la bursele de valori, la schemele de compensare pentru investitori și la schemele de garantare a depozitelor ale instituției aflate în rezoluție, cu condiția ca aceasta să îndeplinească criteriile legate de calitatea de membru și criteriile de participare pentru lua parte la astfel de sisteme.</w:t>
            </w:r>
          </w:p>
          <w:p w14:paraId="3710B843" w14:textId="77777777" w:rsidR="00B53006" w:rsidRPr="00154588" w:rsidRDefault="00B53006" w:rsidP="008C12B4">
            <w:pPr>
              <w:jc w:val="both"/>
              <w:rPr>
                <w:bCs/>
                <w:sz w:val="20"/>
                <w:szCs w:val="20"/>
              </w:rPr>
            </w:pPr>
          </w:p>
          <w:p w14:paraId="339129C1" w14:textId="77777777" w:rsidR="00B53006" w:rsidRPr="00154588" w:rsidRDefault="00B53006" w:rsidP="008C12B4">
            <w:pPr>
              <w:jc w:val="both"/>
              <w:rPr>
                <w:bCs/>
                <w:sz w:val="20"/>
                <w:szCs w:val="20"/>
              </w:rPr>
            </w:pPr>
            <w:r w:rsidRPr="00154588">
              <w:rPr>
                <w:bCs/>
                <w:sz w:val="20"/>
                <w:szCs w:val="20"/>
              </w:rPr>
              <w:t>Fără a aduce atingere primului paragraf, statele membre se asigură că:</w:t>
            </w:r>
          </w:p>
          <w:p w14:paraId="0E063115" w14:textId="77777777" w:rsidR="00B53006" w:rsidRPr="00154588" w:rsidRDefault="00B53006" w:rsidP="008C12B4">
            <w:pPr>
              <w:jc w:val="both"/>
              <w:rPr>
                <w:bCs/>
                <w:sz w:val="20"/>
                <w:szCs w:val="20"/>
              </w:rPr>
            </w:pPr>
          </w:p>
          <w:p w14:paraId="4CBD4BD0" w14:textId="67F07004" w:rsidR="00B53006" w:rsidRPr="00154588" w:rsidRDefault="00B53006" w:rsidP="008C12B4">
            <w:pPr>
              <w:jc w:val="both"/>
              <w:rPr>
                <w:bCs/>
                <w:sz w:val="20"/>
                <w:szCs w:val="20"/>
              </w:rPr>
            </w:pPr>
            <w:r w:rsidRPr="00154588">
              <w:rPr>
                <w:bCs/>
                <w:sz w:val="20"/>
                <w:szCs w:val="20"/>
              </w:rPr>
              <w:t>(a) accesul nu este refuzat pentru motivul că instituția-punte nu dispune de un rating din partea unei agenții de rating de credit sau că ratingul respectiv nu este proporțional cu nivelurile de rating impuse pentru a beneficia de accesul la sistemele menționate la primul paragraf;</w:t>
            </w:r>
          </w:p>
          <w:p w14:paraId="15124C7F" w14:textId="77777777" w:rsidR="00B53006" w:rsidRPr="00154588" w:rsidRDefault="00B53006" w:rsidP="008C12B4">
            <w:pPr>
              <w:jc w:val="both"/>
              <w:rPr>
                <w:bCs/>
                <w:sz w:val="20"/>
                <w:szCs w:val="20"/>
              </w:rPr>
            </w:pPr>
          </w:p>
          <w:p w14:paraId="4E3FB632" w14:textId="1E0FDF97" w:rsidR="00B53006" w:rsidRPr="00154588" w:rsidRDefault="00B53006" w:rsidP="008C12B4">
            <w:pPr>
              <w:jc w:val="both"/>
              <w:rPr>
                <w:bCs/>
                <w:sz w:val="20"/>
                <w:szCs w:val="20"/>
              </w:rPr>
            </w:pPr>
            <w:r w:rsidRPr="00154588">
              <w:rPr>
                <w:bCs/>
                <w:sz w:val="20"/>
                <w:szCs w:val="20"/>
              </w:rPr>
              <w:t>(b) În cazul în care instituția-punte nu întrunește criteriile legate de calitatea de membru sau criteriile de participare la un sistem relevant de plată, compensare sau decontare, la bursa de valori, la o schemă de compensare pentru investitori sau la un sistem de garantare a depozitelor, drepturile menționate la primul paragraf se exercită pentru o perioadă de timp care poate fi precizată de autoritatea de rezoluție, de maximum 24 de luni, care poate fi prelungită la cererea instituției-punte adresată autorității de rezoluție.</w:t>
            </w:r>
          </w:p>
        </w:tc>
        <w:tc>
          <w:tcPr>
            <w:tcW w:w="4819" w:type="dxa"/>
          </w:tcPr>
          <w:p w14:paraId="0A523804" w14:textId="77777777" w:rsidR="00B53006" w:rsidRPr="00154588" w:rsidRDefault="00B53006" w:rsidP="008C12B4">
            <w:pPr>
              <w:ind w:firstLine="567"/>
              <w:jc w:val="both"/>
              <w:rPr>
                <w:sz w:val="20"/>
                <w:szCs w:val="20"/>
              </w:rPr>
            </w:pPr>
            <w:r w:rsidRPr="00154588">
              <w:rPr>
                <w:b/>
                <w:sz w:val="20"/>
                <w:szCs w:val="20"/>
              </w:rPr>
              <w:t>Articolul 119.</w:t>
            </w:r>
            <w:r w:rsidRPr="00154588">
              <w:rPr>
                <w:sz w:val="20"/>
                <w:szCs w:val="20"/>
              </w:rPr>
              <w:t xml:space="preserve"> – (1) </w:t>
            </w:r>
            <w:bookmarkStart w:id="38" w:name="_Hlk223341403"/>
            <w:r w:rsidRPr="00154588">
              <w:rPr>
                <w:sz w:val="20"/>
                <w:szCs w:val="20"/>
              </w:rPr>
              <w:t>Instituția-punte poate continua să-și exercite drepturile de membru și accesul</w:t>
            </w:r>
            <w:bookmarkEnd w:id="38"/>
            <w:r w:rsidRPr="00154588">
              <w:rPr>
                <w:sz w:val="20"/>
                <w:szCs w:val="20"/>
              </w:rPr>
              <w:t xml:space="preserve"> la sistemele de plăţi, compensare şi decontare, la bursele de valori, la schemele de compensare pentru investitori şi la schemele de garantare a depozitelor ale instituției supuse rezoluţiei decurgînd din calitatea de membru şi drepturile de acces ale acesteia la sistemele, bursele ori schemele respective.</w:t>
            </w:r>
          </w:p>
          <w:p w14:paraId="0F3BA53B" w14:textId="77777777" w:rsidR="00B53006" w:rsidRPr="00154588" w:rsidRDefault="00B53006" w:rsidP="008C12B4">
            <w:pPr>
              <w:ind w:firstLine="567"/>
              <w:jc w:val="both"/>
              <w:rPr>
                <w:sz w:val="20"/>
                <w:szCs w:val="20"/>
              </w:rPr>
            </w:pPr>
            <w:r w:rsidRPr="00154588">
              <w:rPr>
                <w:sz w:val="20"/>
                <w:szCs w:val="20"/>
              </w:rPr>
              <w:t>(2) Prevederile alin.(1) nu înlătură cerinţa ca instituțiapunte să îndeplinească criteriile privind calitatea de membru şi criteriile de participare, în funcţie de care se poate lua parte la astfel de sisteme, burse şi scheme.</w:t>
            </w:r>
          </w:p>
          <w:p w14:paraId="7E3E8F9D" w14:textId="77777777" w:rsidR="00B53006" w:rsidRPr="00154588" w:rsidRDefault="00B53006" w:rsidP="008C12B4">
            <w:pPr>
              <w:ind w:firstLine="567"/>
              <w:jc w:val="both"/>
              <w:rPr>
                <w:sz w:val="20"/>
                <w:szCs w:val="20"/>
              </w:rPr>
            </w:pPr>
            <w:r w:rsidRPr="00154588">
              <w:rPr>
                <w:sz w:val="20"/>
                <w:szCs w:val="20"/>
              </w:rPr>
              <w:t>(3) Fără a aduce atingere prevederilor alin.(1), următoarele dispoziţii sînt aplicabile:</w:t>
            </w:r>
          </w:p>
          <w:p w14:paraId="4118694E" w14:textId="77777777" w:rsidR="00B53006" w:rsidRPr="00154588" w:rsidRDefault="00B53006" w:rsidP="008C12B4">
            <w:pPr>
              <w:ind w:firstLine="567"/>
              <w:jc w:val="both"/>
              <w:rPr>
                <w:sz w:val="20"/>
                <w:szCs w:val="20"/>
              </w:rPr>
            </w:pPr>
            <w:r w:rsidRPr="00154588">
              <w:rPr>
                <w:sz w:val="20"/>
                <w:szCs w:val="20"/>
              </w:rPr>
              <w:t>a) sistemele, bursele şi schemele prevăzute la alin.(1) nu pot refuza accesul pe motiv că instituția-punte nu dispune de un rating din partea unei agenţii de rating de credit sau că ratingul respectiv nu este proporţional cu nivelurile de rating impuse pentru a beneficia de acces la sistemele prevăzute la alin.(1);</w:t>
            </w:r>
          </w:p>
          <w:p w14:paraId="608CA522" w14:textId="3CF6D2B3" w:rsidR="00B53006" w:rsidRPr="00154588" w:rsidRDefault="00B53006" w:rsidP="008C12B4">
            <w:pPr>
              <w:ind w:firstLine="567"/>
              <w:jc w:val="both"/>
              <w:rPr>
                <w:sz w:val="20"/>
                <w:szCs w:val="20"/>
              </w:rPr>
            </w:pPr>
            <w:r w:rsidRPr="00154588">
              <w:rPr>
                <w:sz w:val="20"/>
                <w:szCs w:val="20"/>
              </w:rPr>
              <w:t>b) în cazul în care instituția-punte nu îndeplineşte criteriile legate de calitatea de membru sau criteriile de participare la un sistem relevant de plăţi, compensare sau decontare, la o bursă de valori, la o schemă de compensare pentru investitori sau la o schemă de garantare a depozitelor, drepturile prevăzute la alin.(1) se exercită de către instituția-punte numai pentru o perioadă de timp de maximum 24 de luni de la data transferului, care poate fi stabilită de Banca Naţională a Moldovei, în calitate de autoritate de rezoluţie, şi care poate fi prelungită cu perioade de maximum 12 luni, la solicitarea instituției-punte adresată aceleiaşi autorităţi.</w:t>
            </w:r>
          </w:p>
          <w:p w14:paraId="3A71AFB3" w14:textId="77777777" w:rsidR="00B53006" w:rsidRPr="00154588" w:rsidRDefault="00B53006" w:rsidP="008C12B4">
            <w:pPr>
              <w:jc w:val="both"/>
              <w:rPr>
                <w:bCs/>
                <w:sz w:val="20"/>
                <w:szCs w:val="20"/>
              </w:rPr>
            </w:pPr>
          </w:p>
        </w:tc>
        <w:tc>
          <w:tcPr>
            <w:tcW w:w="2552" w:type="dxa"/>
          </w:tcPr>
          <w:p w14:paraId="3D028B6D" w14:textId="16BD327D" w:rsidR="00B53006" w:rsidRPr="00154588" w:rsidRDefault="00B53006" w:rsidP="008C12B4">
            <w:pPr>
              <w:jc w:val="both"/>
              <w:rPr>
                <w:bCs/>
                <w:sz w:val="20"/>
                <w:szCs w:val="20"/>
              </w:rPr>
            </w:pPr>
            <w:r w:rsidRPr="00154588">
              <w:rPr>
                <w:bCs/>
                <w:sz w:val="20"/>
                <w:szCs w:val="20"/>
              </w:rPr>
              <w:t>Compatibil</w:t>
            </w:r>
          </w:p>
        </w:tc>
        <w:tc>
          <w:tcPr>
            <w:tcW w:w="3118" w:type="dxa"/>
          </w:tcPr>
          <w:p w14:paraId="25ABAF7D" w14:textId="77777777" w:rsidR="00B53006" w:rsidRPr="00154588" w:rsidRDefault="00B53006" w:rsidP="008C12B4">
            <w:pPr>
              <w:jc w:val="both"/>
              <w:rPr>
                <w:bCs/>
                <w:sz w:val="20"/>
                <w:szCs w:val="20"/>
              </w:rPr>
            </w:pPr>
          </w:p>
        </w:tc>
      </w:tr>
      <w:tr w:rsidR="00B53006" w:rsidRPr="00154588" w14:paraId="03AAD95D" w14:textId="77777777" w:rsidTr="00D15C1B">
        <w:trPr>
          <w:jc w:val="center"/>
        </w:trPr>
        <w:tc>
          <w:tcPr>
            <w:tcW w:w="4957" w:type="dxa"/>
            <w:gridSpan w:val="2"/>
          </w:tcPr>
          <w:p w14:paraId="6A7DD8A4" w14:textId="5588496F" w:rsidR="00B53006" w:rsidRPr="00154588" w:rsidRDefault="00B53006" w:rsidP="008C12B4">
            <w:pPr>
              <w:jc w:val="both"/>
              <w:rPr>
                <w:bCs/>
                <w:sz w:val="20"/>
                <w:szCs w:val="20"/>
              </w:rPr>
            </w:pPr>
            <w:r w:rsidRPr="00154588">
              <w:rPr>
                <w:bCs/>
                <w:sz w:val="20"/>
                <w:szCs w:val="20"/>
              </w:rPr>
              <w:t xml:space="preserve">(11)   Fără a aduce atingere titlului IV capitolul VII, acționarii sau creditorii instituției aflate în rezoluție și alte părți terțe ale căror active, drepturi sau pasive nu sunt transferate instituției-punte nu au niciun fel de </w:t>
            </w:r>
            <w:r w:rsidRPr="00154588">
              <w:rPr>
                <w:bCs/>
                <w:sz w:val="20"/>
                <w:szCs w:val="20"/>
              </w:rPr>
              <w:lastRenderedPageBreak/>
              <w:t>drepturi asupra activelor, drepturilor sau pasivelor transferate instituției-punte, organului de conducere sau conducerii superioare ori în legătură cu acestea.</w:t>
            </w:r>
          </w:p>
        </w:tc>
        <w:tc>
          <w:tcPr>
            <w:tcW w:w="4819" w:type="dxa"/>
          </w:tcPr>
          <w:p w14:paraId="29764479" w14:textId="77777777" w:rsidR="00B53006" w:rsidRPr="00154588" w:rsidRDefault="00B53006" w:rsidP="008C12B4">
            <w:pPr>
              <w:ind w:firstLine="567"/>
              <w:jc w:val="both"/>
              <w:rPr>
                <w:sz w:val="20"/>
                <w:szCs w:val="20"/>
              </w:rPr>
            </w:pPr>
            <w:r w:rsidRPr="00154588">
              <w:rPr>
                <w:b/>
                <w:sz w:val="20"/>
                <w:szCs w:val="20"/>
              </w:rPr>
              <w:lastRenderedPageBreak/>
              <w:t>Articolul 120.</w:t>
            </w:r>
            <w:r w:rsidRPr="00154588">
              <w:rPr>
                <w:sz w:val="20"/>
                <w:szCs w:val="20"/>
              </w:rPr>
              <w:t xml:space="preserve"> – Fără a aduce atingere prevederilor art.262-276, acţionarii sau creditorii instituției supuse rezoluţiei şi alte părţi terţe ale căror active, drepturi sau obligaţii nu sînt transferate </w:t>
            </w:r>
            <w:r w:rsidRPr="00154588">
              <w:rPr>
                <w:sz w:val="20"/>
                <w:szCs w:val="20"/>
              </w:rPr>
              <w:lastRenderedPageBreak/>
              <w:t>instituției-punte nu au niciun drept asupra activelor, drepturilor sau obligaţiilor transferate instituției-punte, organului de conducere al acesteia ori în legătură cu acestea.</w:t>
            </w:r>
          </w:p>
          <w:p w14:paraId="34355F84" w14:textId="77777777" w:rsidR="00B53006" w:rsidRPr="00154588" w:rsidRDefault="00B53006" w:rsidP="008C12B4">
            <w:pPr>
              <w:jc w:val="both"/>
              <w:rPr>
                <w:bCs/>
                <w:sz w:val="20"/>
                <w:szCs w:val="20"/>
              </w:rPr>
            </w:pPr>
          </w:p>
        </w:tc>
        <w:tc>
          <w:tcPr>
            <w:tcW w:w="2552" w:type="dxa"/>
          </w:tcPr>
          <w:p w14:paraId="13F6516C" w14:textId="7346B030"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6B9E4F68" w14:textId="77777777" w:rsidR="00B53006" w:rsidRPr="00154588" w:rsidRDefault="00B53006" w:rsidP="008C12B4">
            <w:pPr>
              <w:jc w:val="both"/>
              <w:rPr>
                <w:bCs/>
                <w:sz w:val="20"/>
                <w:szCs w:val="20"/>
              </w:rPr>
            </w:pPr>
          </w:p>
        </w:tc>
      </w:tr>
      <w:tr w:rsidR="00B53006" w:rsidRPr="00154588" w14:paraId="6EFEB0D5" w14:textId="77777777" w:rsidTr="00D15C1B">
        <w:trPr>
          <w:jc w:val="center"/>
        </w:trPr>
        <w:tc>
          <w:tcPr>
            <w:tcW w:w="4957" w:type="dxa"/>
            <w:gridSpan w:val="2"/>
          </w:tcPr>
          <w:p w14:paraId="6A6465F3" w14:textId="7876931F" w:rsidR="00B53006" w:rsidRPr="00154588" w:rsidRDefault="00B53006" w:rsidP="008C12B4">
            <w:pPr>
              <w:jc w:val="both"/>
              <w:rPr>
                <w:bCs/>
                <w:sz w:val="20"/>
                <w:szCs w:val="20"/>
              </w:rPr>
            </w:pPr>
            <w:r w:rsidRPr="00154588">
              <w:rPr>
                <w:bCs/>
                <w:sz w:val="20"/>
                <w:szCs w:val="20"/>
              </w:rPr>
              <w:t>(12) Obiectivele instituției-punte nu implică nicio îndatorire sau responsabilitate față de acționarii sau creditorii instituției aflate în rezoluție, iar organul de conducere sau conducerea superioară nu are nicio răspundere față de acționarii sau creditorii respectivi pentru actele și omisiunile săvârșite în îndeplinirea atribuțiilor lor, cu excepția cazului în care actul sau omisiunea în cauză implică o neglijență sau o abatere gravă în conformitate cu dreptul intern, care afectează în mod direct drepturile acționarilor sau creditorilor.</w:t>
            </w:r>
          </w:p>
          <w:p w14:paraId="48760503" w14:textId="77777777" w:rsidR="00B53006" w:rsidRPr="00154588" w:rsidRDefault="00B53006" w:rsidP="008C12B4">
            <w:pPr>
              <w:jc w:val="both"/>
              <w:rPr>
                <w:bCs/>
                <w:sz w:val="20"/>
                <w:szCs w:val="20"/>
              </w:rPr>
            </w:pPr>
          </w:p>
          <w:p w14:paraId="483B05ED" w14:textId="28A800E2" w:rsidR="00B53006" w:rsidRPr="00154588" w:rsidRDefault="00B53006" w:rsidP="008C12B4">
            <w:pPr>
              <w:jc w:val="both"/>
              <w:rPr>
                <w:bCs/>
                <w:sz w:val="20"/>
                <w:szCs w:val="20"/>
              </w:rPr>
            </w:pPr>
            <w:r w:rsidRPr="00154588">
              <w:rPr>
                <w:bCs/>
                <w:sz w:val="20"/>
                <w:szCs w:val="20"/>
              </w:rPr>
              <w:t>În conformitate cu dreptul intern, statele membre pot limita mai mult răspunderea instituțiilor-punte și a organului de conducere sau a conducerii superioare a acestora în ceea ce privește actele și omisiunile săvârșite în îndeplinirea atribuțiilor lor.</w:t>
            </w:r>
          </w:p>
        </w:tc>
        <w:tc>
          <w:tcPr>
            <w:tcW w:w="4819" w:type="dxa"/>
          </w:tcPr>
          <w:p w14:paraId="7FC19595" w14:textId="77777777" w:rsidR="00B53006" w:rsidRPr="00154588" w:rsidRDefault="00B53006" w:rsidP="008C12B4">
            <w:pPr>
              <w:ind w:firstLine="567"/>
              <w:jc w:val="both"/>
              <w:rPr>
                <w:sz w:val="20"/>
                <w:szCs w:val="20"/>
              </w:rPr>
            </w:pPr>
            <w:r w:rsidRPr="00154588">
              <w:rPr>
                <w:b/>
                <w:sz w:val="20"/>
                <w:szCs w:val="20"/>
              </w:rPr>
              <w:t>Articolul 121.</w:t>
            </w:r>
            <w:r w:rsidRPr="00154588">
              <w:rPr>
                <w:sz w:val="20"/>
                <w:szCs w:val="20"/>
              </w:rPr>
              <w:t xml:space="preserve"> – Obiectivele instituției-punte nu implică nicio obligaţie sau responsabilitate a acesteia faţă de acţionarii, creditorii instituției supuse rezoluţiei, iar organul de conducere nu răspunde faţă de acţionarii sau creditorii respectivi sau faţă de orice altă persoană pentru actele săvîrşite şi omisiunile înregistrate în îndeplinirea atribuţiilor lor, cu excepţia cazului în care actul sau omisiunea în cauză implică intenţia sau neglijenţa gravă, potrivit legii, care afectează în mod direct drepturile acţionarilor, creditorilor, sau a altor persoane.</w:t>
            </w:r>
          </w:p>
          <w:p w14:paraId="2EFCEED3" w14:textId="77777777" w:rsidR="00B53006" w:rsidRPr="00154588" w:rsidRDefault="00B53006" w:rsidP="008C12B4">
            <w:pPr>
              <w:jc w:val="both"/>
              <w:rPr>
                <w:bCs/>
                <w:sz w:val="20"/>
                <w:szCs w:val="20"/>
              </w:rPr>
            </w:pPr>
          </w:p>
        </w:tc>
        <w:tc>
          <w:tcPr>
            <w:tcW w:w="2552" w:type="dxa"/>
          </w:tcPr>
          <w:p w14:paraId="447B7F6E" w14:textId="79E205EA" w:rsidR="00B53006" w:rsidRPr="00154588" w:rsidRDefault="00B53006" w:rsidP="008C12B4">
            <w:pPr>
              <w:jc w:val="both"/>
              <w:rPr>
                <w:bCs/>
                <w:sz w:val="20"/>
                <w:szCs w:val="20"/>
              </w:rPr>
            </w:pPr>
            <w:r w:rsidRPr="00154588">
              <w:rPr>
                <w:bCs/>
                <w:sz w:val="20"/>
                <w:szCs w:val="20"/>
              </w:rPr>
              <w:t>Compatibil</w:t>
            </w:r>
          </w:p>
        </w:tc>
        <w:tc>
          <w:tcPr>
            <w:tcW w:w="3118" w:type="dxa"/>
          </w:tcPr>
          <w:p w14:paraId="50D48264" w14:textId="77777777" w:rsidR="00B53006" w:rsidRPr="00154588" w:rsidRDefault="00B53006" w:rsidP="008C12B4">
            <w:pPr>
              <w:jc w:val="both"/>
              <w:rPr>
                <w:bCs/>
                <w:sz w:val="20"/>
                <w:szCs w:val="20"/>
              </w:rPr>
            </w:pPr>
          </w:p>
        </w:tc>
      </w:tr>
      <w:tr w:rsidR="00B53006" w:rsidRPr="00154588" w14:paraId="03C3FEAD" w14:textId="77777777" w:rsidTr="00D15C1B">
        <w:trPr>
          <w:jc w:val="center"/>
        </w:trPr>
        <w:tc>
          <w:tcPr>
            <w:tcW w:w="4957" w:type="dxa"/>
            <w:gridSpan w:val="2"/>
          </w:tcPr>
          <w:p w14:paraId="592E0FC9" w14:textId="77777777" w:rsidR="00B53006" w:rsidRPr="00154588" w:rsidRDefault="00B53006" w:rsidP="008C12B4">
            <w:pPr>
              <w:rPr>
                <w:b/>
                <w:sz w:val="20"/>
                <w:szCs w:val="20"/>
              </w:rPr>
            </w:pPr>
            <w:r w:rsidRPr="00154588">
              <w:rPr>
                <w:b/>
                <w:sz w:val="20"/>
                <w:szCs w:val="20"/>
              </w:rPr>
              <w:t>Articolul 41</w:t>
            </w:r>
          </w:p>
          <w:p w14:paraId="57206916" w14:textId="77777777" w:rsidR="00B53006" w:rsidRPr="00154588" w:rsidRDefault="00B53006" w:rsidP="008C12B4">
            <w:pPr>
              <w:rPr>
                <w:b/>
                <w:sz w:val="20"/>
                <w:szCs w:val="20"/>
              </w:rPr>
            </w:pPr>
          </w:p>
          <w:p w14:paraId="10D7EEB5" w14:textId="116C4D62" w:rsidR="00B53006" w:rsidRPr="00154588" w:rsidRDefault="00B53006" w:rsidP="008C12B4">
            <w:pPr>
              <w:rPr>
                <w:b/>
                <w:sz w:val="20"/>
                <w:szCs w:val="20"/>
              </w:rPr>
            </w:pPr>
            <w:r w:rsidRPr="00154588">
              <w:rPr>
                <w:b/>
                <w:sz w:val="20"/>
                <w:szCs w:val="20"/>
              </w:rPr>
              <w:t>Funcționarea unei instituții-punte</w:t>
            </w:r>
          </w:p>
        </w:tc>
        <w:tc>
          <w:tcPr>
            <w:tcW w:w="4819" w:type="dxa"/>
          </w:tcPr>
          <w:p w14:paraId="1A6C7399" w14:textId="77777777" w:rsidR="00B53006" w:rsidRPr="00154588" w:rsidRDefault="00B53006" w:rsidP="008C12B4">
            <w:pPr>
              <w:jc w:val="both"/>
              <w:rPr>
                <w:bCs/>
                <w:sz w:val="20"/>
                <w:szCs w:val="20"/>
              </w:rPr>
            </w:pPr>
          </w:p>
        </w:tc>
        <w:tc>
          <w:tcPr>
            <w:tcW w:w="2552" w:type="dxa"/>
          </w:tcPr>
          <w:p w14:paraId="5DC2FB51" w14:textId="77777777" w:rsidR="00B53006" w:rsidRPr="00154588" w:rsidRDefault="00B53006" w:rsidP="008C12B4">
            <w:pPr>
              <w:jc w:val="both"/>
              <w:rPr>
                <w:bCs/>
                <w:sz w:val="20"/>
                <w:szCs w:val="20"/>
              </w:rPr>
            </w:pPr>
          </w:p>
        </w:tc>
        <w:tc>
          <w:tcPr>
            <w:tcW w:w="3118" w:type="dxa"/>
          </w:tcPr>
          <w:p w14:paraId="1C304B83" w14:textId="77777777" w:rsidR="00B53006" w:rsidRPr="00154588" w:rsidRDefault="00B53006" w:rsidP="008C12B4">
            <w:pPr>
              <w:jc w:val="both"/>
              <w:rPr>
                <w:bCs/>
                <w:sz w:val="20"/>
                <w:szCs w:val="20"/>
              </w:rPr>
            </w:pPr>
          </w:p>
        </w:tc>
      </w:tr>
      <w:tr w:rsidR="00B53006" w:rsidRPr="00154588" w14:paraId="201DCB53" w14:textId="77777777" w:rsidTr="00D15C1B">
        <w:trPr>
          <w:jc w:val="center"/>
        </w:trPr>
        <w:tc>
          <w:tcPr>
            <w:tcW w:w="4957" w:type="dxa"/>
            <w:gridSpan w:val="2"/>
          </w:tcPr>
          <w:p w14:paraId="021A669B" w14:textId="77777777" w:rsidR="00B53006" w:rsidRPr="00154588" w:rsidRDefault="00B53006" w:rsidP="008C12B4">
            <w:pPr>
              <w:jc w:val="both"/>
              <w:rPr>
                <w:bCs/>
                <w:sz w:val="20"/>
                <w:szCs w:val="20"/>
              </w:rPr>
            </w:pPr>
            <w:r w:rsidRPr="00154588">
              <w:rPr>
                <w:bCs/>
                <w:sz w:val="20"/>
                <w:szCs w:val="20"/>
              </w:rPr>
              <w:t>(1)   Statele membre se asigură că funcționarea unei instituții punte respectă următoarele cerințe:</w:t>
            </w:r>
          </w:p>
          <w:p w14:paraId="1E298E74" w14:textId="77777777" w:rsidR="00B53006" w:rsidRPr="00154588" w:rsidRDefault="00B53006" w:rsidP="008C12B4">
            <w:pPr>
              <w:jc w:val="both"/>
              <w:rPr>
                <w:bCs/>
                <w:sz w:val="20"/>
                <w:szCs w:val="20"/>
              </w:rPr>
            </w:pPr>
          </w:p>
          <w:p w14:paraId="0AFDD93B" w14:textId="271CFD2E" w:rsidR="00B53006" w:rsidRPr="00154588" w:rsidRDefault="00B53006" w:rsidP="008C12B4">
            <w:pPr>
              <w:jc w:val="both"/>
              <w:rPr>
                <w:bCs/>
                <w:sz w:val="20"/>
                <w:szCs w:val="20"/>
              </w:rPr>
            </w:pPr>
            <w:r w:rsidRPr="00154588">
              <w:rPr>
                <w:bCs/>
                <w:sz w:val="20"/>
                <w:szCs w:val="20"/>
              </w:rPr>
              <w:t>(a) conținutul documentelor constitutive ale instituției-punte este aprobat de autoritatea de rezoluție;</w:t>
            </w:r>
          </w:p>
          <w:p w14:paraId="4783683A" w14:textId="77777777" w:rsidR="00B53006" w:rsidRPr="00154588" w:rsidRDefault="00B53006" w:rsidP="008C12B4">
            <w:pPr>
              <w:jc w:val="both"/>
              <w:rPr>
                <w:bCs/>
                <w:sz w:val="20"/>
                <w:szCs w:val="20"/>
              </w:rPr>
            </w:pPr>
          </w:p>
          <w:p w14:paraId="45CDE9A8" w14:textId="16B185BC" w:rsidR="00B53006" w:rsidRPr="00154588" w:rsidRDefault="00B53006" w:rsidP="008C12B4">
            <w:pPr>
              <w:jc w:val="both"/>
              <w:rPr>
                <w:bCs/>
                <w:sz w:val="20"/>
                <w:szCs w:val="20"/>
              </w:rPr>
            </w:pPr>
            <w:r w:rsidRPr="00154588">
              <w:rPr>
                <w:bCs/>
                <w:sz w:val="20"/>
                <w:szCs w:val="20"/>
              </w:rPr>
              <w:t>(b) sub rezerva structurii de proprietate a instituției-punte, autoritatea de rezoluție numește sau aprobă organul de conducere al instituției punte;</w:t>
            </w:r>
          </w:p>
          <w:p w14:paraId="0FF71602" w14:textId="77777777" w:rsidR="00B53006" w:rsidRPr="00154588" w:rsidRDefault="00B53006" w:rsidP="008C12B4">
            <w:pPr>
              <w:jc w:val="both"/>
              <w:rPr>
                <w:bCs/>
                <w:sz w:val="20"/>
                <w:szCs w:val="20"/>
              </w:rPr>
            </w:pPr>
          </w:p>
          <w:p w14:paraId="64169831" w14:textId="77777777" w:rsidR="00B53006" w:rsidRPr="00154588" w:rsidRDefault="00B53006" w:rsidP="008C12B4">
            <w:pPr>
              <w:jc w:val="both"/>
              <w:rPr>
                <w:bCs/>
                <w:sz w:val="20"/>
                <w:szCs w:val="20"/>
              </w:rPr>
            </w:pPr>
          </w:p>
          <w:p w14:paraId="1EBED2D8" w14:textId="77777777" w:rsidR="00B53006" w:rsidRPr="00154588" w:rsidRDefault="00B53006" w:rsidP="008C12B4">
            <w:pPr>
              <w:jc w:val="both"/>
              <w:rPr>
                <w:bCs/>
                <w:sz w:val="20"/>
                <w:szCs w:val="20"/>
              </w:rPr>
            </w:pPr>
          </w:p>
          <w:p w14:paraId="4A1FDE54" w14:textId="66FF508C" w:rsidR="00B53006" w:rsidRPr="00154588" w:rsidRDefault="00B53006" w:rsidP="008C12B4">
            <w:pPr>
              <w:jc w:val="both"/>
              <w:rPr>
                <w:bCs/>
                <w:sz w:val="20"/>
                <w:szCs w:val="20"/>
              </w:rPr>
            </w:pPr>
            <w:r w:rsidRPr="00154588">
              <w:rPr>
                <w:bCs/>
                <w:sz w:val="20"/>
                <w:szCs w:val="20"/>
              </w:rPr>
              <w:t>(c) autoritatea de rezoluție aprobă remunerațiile membrilor organului de conducere și stabilește responsabilitățile lor corespunzătoare;</w:t>
            </w:r>
          </w:p>
          <w:p w14:paraId="43A10725" w14:textId="77777777" w:rsidR="00B53006" w:rsidRPr="00154588" w:rsidRDefault="00B53006" w:rsidP="008C12B4">
            <w:pPr>
              <w:jc w:val="both"/>
              <w:rPr>
                <w:bCs/>
                <w:sz w:val="20"/>
                <w:szCs w:val="20"/>
              </w:rPr>
            </w:pPr>
          </w:p>
          <w:p w14:paraId="61152081" w14:textId="77777777" w:rsidR="00B53006" w:rsidRPr="00154588" w:rsidRDefault="00B53006" w:rsidP="008C12B4">
            <w:pPr>
              <w:jc w:val="both"/>
              <w:rPr>
                <w:bCs/>
                <w:sz w:val="20"/>
                <w:szCs w:val="20"/>
              </w:rPr>
            </w:pPr>
          </w:p>
          <w:p w14:paraId="5FDF5184" w14:textId="3A4AE9FD" w:rsidR="00B53006" w:rsidRPr="00154588" w:rsidRDefault="00B53006" w:rsidP="008C12B4">
            <w:pPr>
              <w:jc w:val="both"/>
              <w:rPr>
                <w:bCs/>
                <w:sz w:val="20"/>
                <w:szCs w:val="20"/>
              </w:rPr>
            </w:pPr>
            <w:r w:rsidRPr="00154588">
              <w:rPr>
                <w:bCs/>
                <w:sz w:val="20"/>
                <w:szCs w:val="20"/>
              </w:rPr>
              <w:t>(d) autoritatea de rezoluție aprobă strategia și profilul de risc ale instituției-punte;</w:t>
            </w:r>
          </w:p>
          <w:p w14:paraId="15472A38" w14:textId="77777777" w:rsidR="00B53006" w:rsidRPr="00154588" w:rsidRDefault="00B53006" w:rsidP="008C12B4">
            <w:pPr>
              <w:jc w:val="both"/>
              <w:rPr>
                <w:bCs/>
                <w:sz w:val="20"/>
                <w:szCs w:val="20"/>
              </w:rPr>
            </w:pPr>
          </w:p>
          <w:p w14:paraId="6EFC7FE5" w14:textId="77777777" w:rsidR="00B53006" w:rsidRPr="00154588" w:rsidRDefault="00B53006" w:rsidP="008C12B4">
            <w:pPr>
              <w:jc w:val="both"/>
              <w:rPr>
                <w:bCs/>
                <w:sz w:val="20"/>
                <w:szCs w:val="20"/>
              </w:rPr>
            </w:pPr>
          </w:p>
          <w:p w14:paraId="29AB6D3F" w14:textId="18ACDA99" w:rsidR="00B53006" w:rsidRPr="00154588" w:rsidRDefault="00B53006" w:rsidP="008C12B4">
            <w:pPr>
              <w:jc w:val="both"/>
              <w:rPr>
                <w:bCs/>
                <w:sz w:val="20"/>
                <w:szCs w:val="20"/>
              </w:rPr>
            </w:pPr>
            <w:r w:rsidRPr="00154588">
              <w:rPr>
                <w:bCs/>
                <w:sz w:val="20"/>
                <w:szCs w:val="20"/>
              </w:rPr>
              <w:lastRenderedPageBreak/>
              <w:t>(e) instituția-punte este autorizată în conformitate cu Directiva 2013/36/UE sau, după caz, cu Directiva 2014/65/UE, și deține autorizațiile necesare, în temeiul dreptului intern aplicabile, pentru desfășurarea activităților sau furnizarea serviciilor pe care le achiziționează în urma unui transfer efectuat conform articolului 63 din prezenta Directivă;</w:t>
            </w:r>
          </w:p>
          <w:p w14:paraId="308AC7C7" w14:textId="77777777" w:rsidR="00B53006" w:rsidRPr="00154588" w:rsidRDefault="00B53006" w:rsidP="008C12B4">
            <w:pPr>
              <w:jc w:val="both"/>
              <w:rPr>
                <w:bCs/>
                <w:sz w:val="20"/>
                <w:szCs w:val="20"/>
              </w:rPr>
            </w:pPr>
          </w:p>
          <w:p w14:paraId="5A2F62B2" w14:textId="1865E91E" w:rsidR="00B53006" w:rsidRPr="00154588" w:rsidRDefault="00B53006" w:rsidP="008C12B4">
            <w:pPr>
              <w:jc w:val="both"/>
              <w:rPr>
                <w:bCs/>
                <w:sz w:val="20"/>
                <w:szCs w:val="20"/>
              </w:rPr>
            </w:pPr>
            <w:r w:rsidRPr="00154588">
              <w:rPr>
                <w:bCs/>
                <w:sz w:val="20"/>
                <w:szCs w:val="20"/>
              </w:rPr>
              <w:t>(f) instituția-punte respectă, după caz, dispozițiile Regulamentului (UE) 575/2013 și ale Directivelor 2013/36/UE și 2014/65/UE, și face obiectul unei supravegheri în conformitate cu respectivele dispoziții.</w:t>
            </w:r>
          </w:p>
          <w:p w14:paraId="66EA2299" w14:textId="77777777" w:rsidR="00B53006" w:rsidRPr="00154588" w:rsidRDefault="00B53006" w:rsidP="008C12B4">
            <w:pPr>
              <w:jc w:val="both"/>
              <w:rPr>
                <w:bCs/>
                <w:sz w:val="20"/>
                <w:szCs w:val="20"/>
              </w:rPr>
            </w:pPr>
          </w:p>
          <w:p w14:paraId="5299E419" w14:textId="57D819E2" w:rsidR="00B53006" w:rsidRPr="00154588" w:rsidRDefault="00B53006" w:rsidP="008C12B4">
            <w:pPr>
              <w:jc w:val="both"/>
              <w:rPr>
                <w:bCs/>
                <w:sz w:val="20"/>
                <w:szCs w:val="20"/>
              </w:rPr>
            </w:pPr>
            <w:r w:rsidRPr="00154588">
              <w:rPr>
                <w:bCs/>
                <w:sz w:val="20"/>
                <w:szCs w:val="20"/>
              </w:rPr>
              <w:t>(g) instituția-punte funcționează în conformitate cu cadrul Uniunii privind ajutoarele de stat, iar autoritatea de rezoluție poate prevedea restricții asupra activității sale în consecință.</w:t>
            </w:r>
          </w:p>
          <w:p w14:paraId="74D06BCB" w14:textId="77777777" w:rsidR="00B53006" w:rsidRPr="00154588" w:rsidRDefault="00B53006" w:rsidP="008C12B4">
            <w:pPr>
              <w:jc w:val="both"/>
              <w:rPr>
                <w:bCs/>
                <w:sz w:val="20"/>
                <w:szCs w:val="20"/>
              </w:rPr>
            </w:pPr>
          </w:p>
          <w:p w14:paraId="0C2B4222" w14:textId="77777777" w:rsidR="00B53006" w:rsidRPr="00154588" w:rsidRDefault="00B53006" w:rsidP="008C12B4">
            <w:pPr>
              <w:jc w:val="both"/>
              <w:rPr>
                <w:bCs/>
                <w:sz w:val="20"/>
                <w:szCs w:val="20"/>
              </w:rPr>
            </w:pPr>
          </w:p>
          <w:p w14:paraId="656DFA49" w14:textId="7AC44D58" w:rsidR="00B53006" w:rsidRPr="00154588" w:rsidRDefault="00B53006" w:rsidP="008C12B4">
            <w:pPr>
              <w:jc w:val="both"/>
              <w:rPr>
                <w:bCs/>
                <w:sz w:val="20"/>
                <w:szCs w:val="20"/>
              </w:rPr>
            </w:pPr>
            <w:r w:rsidRPr="00154588">
              <w:rPr>
                <w:bCs/>
                <w:sz w:val="20"/>
                <w:szCs w:val="20"/>
              </w:rPr>
              <w:t>Fără a aduce atingere dispozițiilor menționate la literele (e) și (f) din primul paragraf și în cazul în care este necesar pentru a îndeplini obiectivele rezoluției, instituția-punte poate fi instituită și autorizată fără respectarea Directivei 2013/36/UE sau Directivei 2014/65/UE, pentru o perioadă scurtă de timp, la începutul funcționării sale. În acest scop, autoritatea de rezoluție înaintează autorității competente o cerere în acest sens. Dacă decide să acorde o astfel de autorizație, autoritatea competentă indică intervalul în care instituția-punte este scutită de respectarea cerințelor respectivelor directive.</w:t>
            </w:r>
          </w:p>
        </w:tc>
        <w:tc>
          <w:tcPr>
            <w:tcW w:w="4819" w:type="dxa"/>
          </w:tcPr>
          <w:p w14:paraId="1E667A38" w14:textId="77777777" w:rsidR="00B53006" w:rsidRPr="00154588" w:rsidRDefault="00B53006" w:rsidP="008C12B4">
            <w:pPr>
              <w:ind w:firstLine="567"/>
              <w:jc w:val="both"/>
              <w:rPr>
                <w:sz w:val="20"/>
                <w:szCs w:val="20"/>
              </w:rPr>
            </w:pPr>
            <w:r w:rsidRPr="00154588">
              <w:rPr>
                <w:b/>
                <w:sz w:val="20"/>
                <w:szCs w:val="20"/>
              </w:rPr>
              <w:lastRenderedPageBreak/>
              <w:t>Articolul 122.</w:t>
            </w:r>
            <w:r w:rsidRPr="00154588">
              <w:rPr>
                <w:sz w:val="20"/>
                <w:szCs w:val="20"/>
              </w:rPr>
              <w:t xml:space="preserve"> – (1) Funcţionarea unei instituții-punte respectă următoarele cerinţe:</w:t>
            </w:r>
          </w:p>
          <w:p w14:paraId="5C6B7DAD" w14:textId="77777777" w:rsidR="00B53006" w:rsidRPr="00154588" w:rsidRDefault="00B53006" w:rsidP="008C12B4">
            <w:pPr>
              <w:ind w:firstLine="567"/>
              <w:jc w:val="both"/>
              <w:rPr>
                <w:sz w:val="20"/>
                <w:szCs w:val="20"/>
              </w:rPr>
            </w:pPr>
            <w:r w:rsidRPr="00154588">
              <w:rPr>
                <w:sz w:val="20"/>
                <w:szCs w:val="20"/>
              </w:rPr>
              <w:t>a) conţinutul documentelor privind constituirea instituții-punte este aprobat de către Banca Naţională a Moldovei, în calitate de autoritate de rezoluţie;</w:t>
            </w:r>
          </w:p>
          <w:p w14:paraId="22C12CB1" w14:textId="77777777" w:rsidR="00B53006" w:rsidRPr="00154588" w:rsidRDefault="00B53006" w:rsidP="008C12B4">
            <w:pPr>
              <w:ind w:firstLine="567"/>
              <w:jc w:val="both"/>
              <w:rPr>
                <w:sz w:val="20"/>
                <w:szCs w:val="20"/>
              </w:rPr>
            </w:pPr>
            <w:bookmarkStart w:id="39" w:name="_Hlk223342001"/>
            <w:r w:rsidRPr="00154588">
              <w:rPr>
                <w:sz w:val="20"/>
                <w:szCs w:val="20"/>
              </w:rPr>
              <w:t>b) Organul de conducere, al instituției-punte este numit sau aprobat  de către Banca Naţională a Moldovei, în calitate de autoritate de rezoluție;</w:t>
            </w:r>
            <w:bookmarkEnd w:id="39"/>
          </w:p>
          <w:p w14:paraId="67DC49C8" w14:textId="77777777" w:rsidR="00B53006" w:rsidRPr="00154588" w:rsidRDefault="00B53006" w:rsidP="008C12B4">
            <w:pPr>
              <w:ind w:firstLine="567"/>
              <w:jc w:val="both"/>
              <w:rPr>
                <w:sz w:val="20"/>
                <w:szCs w:val="20"/>
              </w:rPr>
            </w:pPr>
            <w:r w:rsidRPr="00154588">
              <w:rPr>
                <w:sz w:val="20"/>
                <w:szCs w:val="20"/>
              </w:rPr>
              <w:t>d) Banca Naţională a Moldovei, în calitate de autoritate de rezoluţie, aprobă remuneraţiile membrilor organului de conducere şi le stabileşte responsabilităţile;</w:t>
            </w:r>
          </w:p>
          <w:p w14:paraId="09076270" w14:textId="77777777" w:rsidR="00B53006" w:rsidRPr="00154588" w:rsidRDefault="00B53006" w:rsidP="008C12B4">
            <w:pPr>
              <w:ind w:firstLine="567"/>
              <w:jc w:val="both"/>
              <w:rPr>
                <w:sz w:val="20"/>
                <w:szCs w:val="20"/>
              </w:rPr>
            </w:pPr>
            <w:r w:rsidRPr="00154588">
              <w:rPr>
                <w:sz w:val="20"/>
                <w:szCs w:val="20"/>
              </w:rPr>
              <w:t>e) Banca Naţională a Moldovei, în calitate de autoritate de rezoluţie, aprobă strategia şi profilul de risc ale instituției</w:t>
            </w:r>
            <w:r w:rsidRPr="00154588">
              <w:rPr>
                <w:sz w:val="20"/>
                <w:szCs w:val="20"/>
                <w:lang w:eastAsia="ro-MD"/>
              </w:rPr>
              <w:t>-punte;</w:t>
            </w:r>
          </w:p>
          <w:p w14:paraId="7B5821EC" w14:textId="77777777" w:rsidR="00B53006" w:rsidRPr="00154588" w:rsidRDefault="00B53006" w:rsidP="008C12B4">
            <w:pPr>
              <w:ind w:firstLine="567"/>
              <w:jc w:val="both"/>
              <w:rPr>
                <w:sz w:val="20"/>
                <w:szCs w:val="20"/>
              </w:rPr>
            </w:pPr>
            <w:r w:rsidRPr="00154588">
              <w:rPr>
                <w:sz w:val="20"/>
                <w:szCs w:val="20"/>
              </w:rPr>
              <w:t xml:space="preserve">f) instituția-punte este autorizată în conformitate cu prevederile Legii nr.202/2017, cu reglementările emise de către Banca Naţională a Moldovei în aplicarea acesteia sau cu legislaţia privind piaţa de capital, dacă această cerinţă este </w:t>
            </w:r>
            <w:r w:rsidRPr="00154588">
              <w:rPr>
                <w:sz w:val="20"/>
                <w:szCs w:val="20"/>
              </w:rPr>
              <w:lastRenderedPageBreak/>
              <w:t>aplicabilă, şi deţine actele permisive necesare pentru desfăşurarea activităţilor sau furnizarea serviciilor aferente elementelor preluate în urma unui transfer efectuat conform prevederilor art.231 şi 232;</w:t>
            </w:r>
          </w:p>
          <w:p w14:paraId="7F1A669F" w14:textId="77777777" w:rsidR="00B53006" w:rsidRPr="00154588" w:rsidRDefault="00B53006" w:rsidP="008C12B4">
            <w:pPr>
              <w:ind w:firstLine="567"/>
              <w:jc w:val="both"/>
              <w:rPr>
                <w:sz w:val="20"/>
                <w:szCs w:val="20"/>
              </w:rPr>
            </w:pPr>
            <w:r w:rsidRPr="00154588">
              <w:rPr>
                <w:sz w:val="20"/>
                <w:szCs w:val="20"/>
              </w:rPr>
              <w:t>g) instituția-punte respectă dispoziţiile Legii nr.202/2017, ale reglementărilor emise de către Banca Naţională a Moldovei în aplicarea acestora şi face obiectul unei supravegheri în conformitate cu aceleaşi dispoziţii;</w:t>
            </w:r>
          </w:p>
          <w:p w14:paraId="32DFE6C3" w14:textId="77777777" w:rsidR="00B53006" w:rsidRPr="00154588" w:rsidRDefault="00B53006" w:rsidP="008C12B4">
            <w:pPr>
              <w:ind w:firstLine="567"/>
              <w:jc w:val="both"/>
              <w:rPr>
                <w:sz w:val="20"/>
                <w:szCs w:val="20"/>
              </w:rPr>
            </w:pPr>
            <w:r w:rsidRPr="00154588">
              <w:rPr>
                <w:sz w:val="20"/>
                <w:szCs w:val="20"/>
                <w:lang w:eastAsia="ro-MD"/>
              </w:rPr>
              <w:t>h) instituția-punte funcţionează în conformitate cu cadrul legal privind ajutorul de stat, iar</w:t>
            </w:r>
            <w:r w:rsidRPr="00154588">
              <w:rPr>
                <w:sz w:val="20"/>
                <w:szCs w:val="20"/>
              </w:rPr>
              <w:t xml:space="preserve"> Banca Naţională a Moldovei, în calitate de autoritate de rezoluţie, poate prevedea, în mod corespunzător, restricţii asupra activităţii sale;</w:t>
            </w:r>
          </w:p>
          <w:p w14:paraId="52A48A33" w14:textId="77777777" w:rsidR="00B53006" w:rsidRPr="00154588" w:rsidRDefault="00B53006" w:rsidP="008C12B4">
            <w:pPr>
              <w:ind w:firstLine="567"/>
              <w:jc w:val="both"/>
              <w:rPr>
                <w:sz w:val="20"/>
                <w:szCs w:val="20"/>
              </w:rPr>
            </w:pPr>
            <w:r w:rsidRPr="00154588">
              <w:rPr>
                <w:sz w:val="20"/>
                <w:szCs w:val="20"/>
              </w:rPr>
              <w:t>(2) În cazul în care este necesar pentru a îndeplini obiectivele rezoluţiei, instituția-punte poate fi constituită şi autorizată fără ca aceasta să respecte, pentru o perioadă de cel mult 18 luni, la începutul funcţionării sale, cerinţele privind fondurile proprii şi, pentru o perioadă de cel mult 6 luni, alte cerinţe cuprinse în actele normative prevăzute la alin.(1) lit.f) şi g), utilizând majorările ulterioare ale fondurilor proprii, după caz, ca bază pentru calcularea indicatorilor prudenţiali respectivi. În acest sens, structura din cadrul Băncii Naţionale a Moldovei care exercită funcţia de rezoluţie transmite o cerere structurii care exercită funcţia de supraveghere sau Comisiei Naţionale a Pieţei Financiare, după caz. Dacă decide să acorde o astfel de autorizare, Banca Naţională a Moldovei, în calitate de autoritate competentă, sau Comisia Naţională a Pieţei Financiare, după caz, indică intervalul în care instituția-punte este scutită de respectarea cerinţelor respectivelor prevederi legale.</w:t>
            </w:r>
          </w:p>
          <w:p w14:paraId="7D2CDF93" w14:textId="5C643473" w:rsidR="0061132F" w:rsidRPr="00154588" w:rsidRDefault="0061132F" w:rsidP="008C12B4">
            <w:pPr>
              <w:ind w:firstLine="567"/>
              <w:jc w:val="both"/>
              <w:rPr>
                <w:sz w:val="20"/>
                <w:szCs w:val="20"/>
              </w:rPr>
            </w:pPr>
            <w:r w:rsidRPr="00154588">
              <w:rPr>
                <w:sz w:val="20"/>
                <w:szCs w:val="20"/>
              </w:rPr>
              <w:t>(</w:t>
            </w:r>
            <w:r w:rsidR="0046471E" w:rsidRPr="00154588">
              <w:rPr>
                <w:sz w:val="20"/>
                <w:szCs w:val="20"/>
              </w:rPr>
              <w:t>4</w:t>
            </w:r>
            <w:r w:rsidRPr="00154588">
              <w:rPr>
                <w:sz w:val="20"/>
                <w:szCs w:val="20"/>
              </w:rPr>
              <w:t>) În cazul în care instituția-punte este o firmă de investiții prevăzută la art.1 alin.(1) lit. a), dispozițiile prezentului articol se aplică în conformitate cu prevederile art. 329.</w:t>
            </w:r>
          </w:p>
          <w:p w14:paraId="5A29D31A" w14:textId="77777777" w:rsidR="00B53006" w:rsidRPr="00154588" w:rsidRDefault="00B53006" w:rsidP="008C12B4">
            <w:pPr>
              <w:jc w:val="both"/>
              <w:rPr>
                <w:bCs/>
                <w:sz w:val="20"/>
                <w:szCs w:val="20"/>
              </w:rPr>
            </w:pPr>
          </w:p>
        </w:tc>
        <w:tc>
          <w:tcPr>
            <w:tcW w:w="2552" w:type="dxa"/>
          </w:tcPr>
          <w:p w14:paraId="09C51AEA" w14:textId="6F09D22C"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69A62C24" w14:textId="77777777" w:rsidR="00B53006" w:rsidRPr="00154588" w:rsidRDefault="00B53006" w:rsidP="008C12B4">
            <w:pPr>
              <w:jc w:val="both"/>
              <w:rPr>
                <w:bCs/>
                <w:sz w:val="20"/>
                <w:szCs w:val="20"/>
              </w:rPr>
            </w:pPr>
          </w:p>
        </w:tc>
      </w:tr>
      <w:tr w:rsidR="00B53006" w:rsidRPr="00154588" w14:paraId="5E0F8440" w14:textId="77777777" w:rsidTr="00D15C1B">
        <w:trPr>
          <w:jc w:val="center"/>
        </w:trPr>
        <w:tc>
          <w:tcPr>
            <w:tcW w:w="4957" w:type="dxa"/>
            <w:gridSpan w:val="2"/>
          </w:tcPr>
          <w:p w14:paraId="537C3CCB" w14:textId="6939E91A" w:rsidR="00B53006" w:rsidRPr="00154588" w:rsidRDefault="00B53006" w:rsidP="008C12B4">
            <w:pPr>
              <w:jc w:val="both"/>
              <w:rPr>
                <w:bCs/>
                <w:sz w:val="20"/>
                <w:szCs w:val="20"/>
              </w:rPr>
            </w:pPr>
            <w:r w:rsidRPr="00154588">
              <w:rPr>
                <w:bCs/>
                <w:sz w:val="20"/>
                <w:szCs w:val="20"/>
              </w:rPr>
              <w:t xml:space="preserve">(2) Sub rezerva eventualelor restricții aplicate în conformitate cu normele Uniunii sau cele naționale în materie de concurență, conducerea instituției-punte gestionează instituția-punte în vederea păstrării accesului la funcțiile critice și a vânzării instituției sau a entității menționate la articolul 1 alineatul (1) litera </w:t>
            </w:r>
            <w:r w:rsidRPr="00154588">
              <w:rPr>
                <w:bCs/>
                <w:sz w:val="20"/>
                <w:szCs w:val="20"/>
              </w:rPr>
              <w:lastRenderedPageBreak/>
              <w:t>(b), (c) sau (d), a activelor, drepturilor sau pasivelor sale către unul sau mai mulți cumpărători din sectorul privat, atunci când condițiile sunt prielnice și în termenul specificat la alineatul (4) din prezentul articol sau la alineatul (6) din prezentul articol, după caz.</w:t>
            </w:r>
          </w:p>
        </w:tc>
        <w:tc>
          <w:tcPr>
            <w:tcW w:w="4819" w:type="dxa"/>
          </w:tcPr>
          <w:p w14:paraId="5FD20E5C" w14:textId="77777777" w:rsidR="00B53006" w:rsidRPr="00154588" w:rsidRDefault="00B53006" w:rsidP="008C12B4">
            <w:pPr>
              <w:ind w:firstLine="567"/>
              <w:jc w:val="both"/>
              <w:rPr>
                <w:sz w:val="20"/>
                <w:szCs w:val="20"/>
              </w:rPr>
            </w:pPr>
            <w:r w:rsidRPr="00154588">
              <w:rPr>
                <w:b/>
                <w:sz w:val="20"/>
                <w:szCs w:val="20"/>
              </w:rPr>
              <w:lastRenderedPageBreak/>
              <w:t>Articolul 123.</w:t>
            </w:r>
            <w:r w:rsidRPr="00154588">
              <w:rPr>
                <w:sz w:val="20"/>
                <w:szCs w:val="20"/>
              </w:rPr>
              <w:t xml:space="preserve"> – Cu respectarea oricăror restricţii aplicate în conformitate cu normele în materie de concurenţă, conducerea instituției-punte gestionează instituția-punte în vederea păstrării accesului la funcţiile critice şi a vînzării </w:t>
            </w:r>
            <w:bookmarkStart w:id="40" w:name="_Hlk223342551"/>
            <w:r w:rsidRPr="00154588">
              <w:rPr>
                <w:sz w:val="20"/>
                <w:szCs w:val="20"/>
              </w:rPr>
              <w:t xml:space="preserve">instituției de credit sau a entității prevăzute la art.1 alin.(1) lit.b), </w:t>
            </w:r>
            <w:r w:rsidRPr="00154588">
              <w:rPr>
                <w:sz w:val="20"/>
                <w:szCs w:val="20"/>
              </w:rPr>
              <w:lastRenderedPageBreak/>
              <w:t xml:space="preserve">c) sau d) </w:t>
            </w:r>
            <w:bookmarkEnd w:id="40"/>
            <w:r w:rsidRPr="00154588">
              <w:rPr>
                <w:sz w:val="20"/>
                <w:szCs w:val="20"/>
              </w:rPr>
              <w:t xml:space="preserve"> a activelor, drepturilor sau obligaţiilor sale către unul sau mai mulţi cumpărători din sectorul privat, în situaţia în care condiţiile sînt prielnice, în opinia Băncii Naţionale a Moldovei, în calitate de autoritate de rezoluţie, şi în termenul specificat la art.126 sau 127, după caz.</w:t>
            </w:r>
          </w:p>
          <w:p w14:paraId="70662859" w14:textId="77777777" w:rsidR="00B53006" w:rsidRPr="00154588" w:rsidRDefault="00B53006" w:rsidP="008C12B4">
            <w:pPr>
              <w:jc w:val="both"/>
              <w:rPr>
                <w:bCs/>
                <w:sz w:val="20"/>
                <w:szCs w:val="20"/>
              </w:rPr>
            </w:pPr>
          </w:p>
        </w:tc>
        <w:tc>
          <w:tcPr>
            <w:tcW w:w="2552" w:type="dxa"/>
          </w:tcPr>
          <w:p w14:paraId="60567DF6" w14:textId="66D0DF0A"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712B41FF" w14:textId="77777777" w:rsidR="00B53006" w:rsidRPr="00154588" w:rsidRDefault="00B53006" w:rsidP="008C12B4">
            <w:pPr>
              <w:jc w:val="both"/>
              <w:rPr>
                <w:bCs/>
                <w:sz w:val="20"/>
                <w:szCs w:val="20"/>
              </w:rPr>
            </w:pPr>
          </w:p>
        </w:tc>
      </w:tr>
      <w:tr w:rsidR="00B53006" w:rsidRPr="00154588" w14:paraId="4FCE9A49" w14:textId="77777777" w:rsidTr="00D15C1B">
        <w:trPr>
          <w:jc w:val="center"/>
        </w:trPr>
        <w:tc>
          <w:tcPr>
            <w:tcW w:w="4957" w:type="dxa"/>
            <w:gridSpan w:val="2"/>
          </w:tcPr>
          <w:p w14:paraId="652A8854" w14:textId="77777777" w:rsidR="00B53006" w:rsidRPr="00154588" w:rsidRDefault="00B53006" w:rsidP="008C12B4">
            <w:pPr>
              <w:jc w:val="both"/>
              <w:rPr>
                <w:bCs/>
                <w:sz w:val="20"/>
                <w:szCs w:val="20"/>
              </w:rPr>
            </w:pPr>
            <w:r w:rsidRPr="00154588">
              <w:rPr>
                <w:bCs/>
                <w:sz w:val="20"/>
                <w:szCs w:val="20"/>
              </w:rPr>
              <w:t>(3)   Autoritatea de rezoluție decide că o instituție-punte nu mai reprezintă o instituție-punte în conformitate cu articolul 40 alineatul (2) în momentul apariției oricăreia dintre următoarele situații:</w:t>
            </w:r>
          </w:p>
          <w:p w14:paraId="0A05C435" w14:textId="77777777" w:rsidR="00B53006" w:rsidRPr="00154588" w:rsidRDefault="00B53006" w:rsidP="008C12B4">
            <w:pPr>
              <w:jc w:val="both"/>
              <w:rPr>
                <w:bCs/>
                <w:sz w:val="20"/>
                <w:szCs w:val="20"/>
              </w:rPr>
            </w:pPr>
          </w:p>
          <w:p w14:paraId="074926C9" w14:textId="3ECAED7E" w:rsidR="00B53006" w:rsidRPr="00154588" w:rsidRDefault="00B53006" w:rsidP="008C12B4">
            <w:pPr>
              <w:jc w:val="both"/>
              <w:rPr>
                <w:bCs/>
                <w:sz w:val="20"/>
                <w:szCs w:val="20"/>
              </w:rPr>
            </w:pPr>
            <w:r w:rsidRPr="00154588">
              <w:rPr>
                <w:bCs/>
                <w:sz w:val="20"/>
                <w:szCs w:val="20"/>
              </w:rPr>
              <w:t>(a) fuzionarea instituției-punte cu o altă entitate;</w:t>
            </w:r>
          </w:p>
          <w:p w14:paraId="1C61A24C" w14:textId="77777777" w:rsidR="00B53006" w:rsidRPr="00154588" w:rsidRDefault="00B53006" w:rsidP="008C12B4">
            <w:pPr>
              <w:jc w:val="both"/>
              <w:rPr>
                <w:bCs/>
                <w:sz w:val="20"/>
                <w:szCs w:val="20"/>
              </w:rPr>
            </w:pPr>
          </w:p>
          <w:p w14:paraId="425440F7" w14:textId="46ADF51F" w:rsidR="00B53006" w:rsidRPr="00154588" w:rsidRDefault="00B53006" w:rsidP="008C12B4">
            <w:pPr>
              <w:jc w:val="both"/>
              <w:rPr>
                <w:bCs/>
                <w:sz w:val="20"/>
                <w:szCs w:val="20"/>
              </w:rPr>
            </w:pPr>
            <w:r w:rsidRPr="00154588">
              <w:rPr>
                <w:bCs/>
                <w:sz w:val="20"/>
                <w:szCs w:val="20"/>
              </w:rPr>
              <w:t>(b) instituția-punte nu mai respectă cerințele articolului 40 alineatul (2);</w:t>
            </w:r>
          </w:p>
          <w:p w14:paraId="354D1AF3" w14:textId="77777777" w:rsidR="00B53006" w:rsidRPr="00154588" w:rsidRDefault="00B53006" w:rsidP="008C12B4">
            <w:pPr>
              <w:jc w:val="both"/>
              <w:rPr>
                <w:bCs/>
                <w:sz w:val="20"/>
                <w:szCs w:val="20"/>
              </w:rPr>
            </w:pPr>
          </w:p>
          <w:p w14:paraId="74831455" w14:textId="5D880829" w:rsidR="00B53006" w:rsidRPr="00154588" w:rsidRDefault="00B53006" w:rsidP="008C12B4">
            <w:pPr>
              <w:jc w:val="both"/>
              <w:rPr>
                <w:bCs/>
                <w:sz w:val="20"/>
                <w:szCs w:val="20"/>
              </w:rPr>
            </w:pPr>
            <w:r w:rsidRPr="00154588">
              <w:rPr>
                <w:bCs/>
                <w:sz w:val="20"/>
                <w:szCs w:val="20"/>
              </w:rPr>
              <w:t>(c) vânzarea tuturor sau aproape a tuturor activelor, drepturilor sau pasivelor instituției-punte către o terță parte;</w:t>
            </w:r>
          </w:p>
          <w:p w14:paraId="63AFE85A" w14:textId="77777777" w:rsidR="00B53006" w:rsidRPr="00154588" w:rsidRDefault="00B53006" w:rsidP="008C12B4">
            <w:pPr>
              <w:jc w:val="both"/>
              <w:rPr>
                <w:bCs/>
                <w:sz w:val="20"/>
                <w:szCs w:val="20"/>
              </w:rPr>
            </w:pPr>
          </w:p>
          <w:p w14:paraId="1CBB4751" w14:textId="78187687" w:rsidR="00B53006" w:rsidRPr="00154588" w:rsidRDefault="00B53006" w:rsidP="008C12B4">
            <w:pPr>
              <w:jc w:val="both"/>
              <w:rPr>
                <w:bCs/>
                <w:sz w:val="20"/>
                <w:szCs w:val="20"/>
              </w:rPr>
            </w:pPr>
            <w:r w:rsidRPr="00154588">
              <w:rPr>
                <w:bCs/>
                <w:sz w:val="20"/>
                <w:szCs w:val="20"/>
              </w:rPr>
              <w:t>(d) expirarea perioadei specificate la alineatul (5) sau, după caz, la alineatul (6);</w:t>
            </w:r>
          </w:p>
          <w:p w14:paraId="57ABAFFD" w14:textId="77777777" w:rsidR="00B53006" w:rsidRPr="00154588" w:rsidRDefault="00B53006" w:rsidP="008C12B4">
            <w:pPr>
              <w:jc w:val="both"/>
              <w:rPr>
                <w:bCs/>
                <w:sz w:val="20"/>
                <w:szCs w:val="20"/>
              </w:rPr>
            </w:pPr>
          </w:p>
          <w:p w14:paraId="61308324" w14:textId="5473C34E" w:rsidR="00B53006" w:rsidRPr="00154588" w:rsidRDefault="00B53006" w:rsidP="008C12B4">
            <w:pPr>
              <w:jc w:val="both"/>
              <w:rPr>
                <w:bCs/>
                <w:sz w:val="20"/>
                <w:szCs w:val="20"/>
              </w:rPr>
            </w:pPr>
            <w:r w:rsidRPr="00154588">
              <w:rPr>
                <w:bCs/>
                <w:sz w:val="20"/>
                <w:szCs w:val="20"/>
              </w:rPr>
              <w:t>(e) activele instituției-punte sunt complet lichidate, iar pasivele sale sunt achitate integral.</w:t>
            </w:r>
          </w:p>
        </w:tc>
        <w:tc>
          <w:tcPr>
            <w:tcW w:w="4819" w:type="dxa"/>
          </w:tcPr>
          <w:p w14:paraId="6D9AB9D3" w14:textId="77777777" w:rsidR="00B53006" w:rsidRPr="00154588" w:rsidRDefault="00B53006" w:rsidP="008C12B4">
            <w:pPr>
              <w:ind w:firstLine="567"/>
              <w:jc w:val="both"/>
              <w:rPr>
                <w:sz w:val="20"/>
                <w:szCs w:val="20"/>
              </w:rPr>
            </w:pPr>
            <w:r w:rsidRPr="00154588">
              <w:rPr>
                <w:b/>
                <w:sz w:val="20"/>
                <w:szCs w:val="20"/>
              </w:rPr>
              <w:t>Articolul 124.</w:t>
            </w:r>
            <w:r w:rsidRPr="00154588">
              <w:rPr>
                <w:sz w:val="20"/>
                <w:szCs w:val="20"/>
              </w:rPr>
              <w:t xml:space="preserve"> – Banca Naţională a Moldovei, în calitate de autoritate de rezoluţie, decide că o instituție-punte nu mai reprezintă o instituție-punte în conformitate cu prevederile art.111 ca urmare a apariţiei oricăreia dintre următoarele situaţii:</w:t>
            </w:r>
          </w:p>
          <w:p w14:paraId="63D7D101" w14:textId="77777777" w:rsidR="00B53006" w:rsidRPr="00154588" w:rsidRDefault="00B53006" w:rsidP="008C12B4">
            <w:pPr>
              <w:ind w:firstLine="567"/>
              <w:jc w:val="both"/>
              <w:rPr>
                <w:sz w:val="20"/>
                <w:szCs w:val="20"/>
              </w:rPr>
            </w:pPr>
            <w:r w:rsidRPr="00154588">
              <w:rPr>
                <w:sz w:val="20"/>
                <w:szCs w:val="20"/>
              </w:rPr>
              <w:t>a) fuzionarea instituției-punte cu o altă entitate;</w:t>
            </w:r>
          </w:p>
          <w:p w14:paraId="697A0F38" w14:textId="77777777" w:rsidR="00B53006" w:rsidRPr="00154588" w:rsidRDefault="00B53006" w:rsidP="008C12B4">
            <w:pPr>
              <w:ind w:firstLine="567"/>
              <w:jc w:val="both"/>
              <w:rPr>
                <w:sz w:val="20"/>
                <w:szCs w:val="20"/>
              </w:rPr>
            </w:pPr>
            <w:r w:rsidRPr="00154588">
              <w:rPr>
                <w:sz w:val="20"/>
                <w:szCs w:val="20"/>
              </w:rPr>
              <w:t>b) instituția-punte nu mai respectă cerinţele art.111;</w:t>
            </w:r>
          </w:p>
          <w:p w14:paraId="0AA6BADA" w14:textId="77777777" w:rsidR="00B53006" w:rsidRPr="00154588" w:rsidRDefault="00B53006" w:rsidP="008C12B4">
            <w:pPr>
              <w:ind w:firstLine="567"/>
              <w:jc w:val="both"/>
              <w:rPr>
                <w:sz w:val="20"/>
                <w:szCs w:val="20"/>
              </w:rPr>
            </w:pPr>
            <w:r w:rsidRPr="00154588">
              <w:rPr>
                <w:sz w:val="20"/>
                <w:szCs w:val="20"/>
              </w:rPr>
              <w:t>c) vînzarea în întregime sau aproape în întregime a activelor, drepturilor sau obligaţiilor instituției-punte către o terţă parte;</w:t>
            </w:r>
          </w:p>
          <w:p w14:paraId="395AF910" w14:textId="77777777" w:rsidR="00B53006" w:rsidRPr="00154588" w:rsidRDefault="00B53006" w:rsidP="008C12B4">
            <w:pPr>
              <w:ind w:firstLine="567"/>
              <w:jc w:val="both"/>
              <w:rPr>
                <w:sz w:val="20"/>
                <w:szCs w:val="20"/>
              </w:rPr>
            </w:pPr>
            <w:r w:rsidRPr="00154588">
              <w:rPr>
                <w:sz w:val="20"/>
                <w:szCs w:val="20"/>
              </w:rPr>
              <w:t>d) expirarea perioadei specificate la art.126 sau, după caz, la art.127;</w:t>
            </w:r>
          </w:p>
          <w:p w14:paraId="7211B9AB" w14:textId="77777777" w:rsidR="00B53006" w:rsidRPr="00154588" w:rsidRDefault="00B53006" w:rsidP="008C12B4">
            <w:pPr>
              <w:ind w:firstLine="567"/>
              <w:jc w:val="both"/>
              <w:rPr>
                <w:sz w:val="20"/>
                <w:szCs w:val="20"/>
              </w:rPr>
            </w:pPr>
            <w:r w:rsidRPr="00154588">
              <w:rPr>
                <w:sz w:val="20"/>
                <w:szCs w:val="20"/>
              </w:rPr>
              <w:t>e) activele instituției-punte sînt complet lichidate, iar obligaţiile sale sînt achitate integral.</w:t>
            </w:r>
          </w:p>
          <w:p w14:paraId="0755F60F" w14:textId="77777777" w:rsidR="00B53006" w:rsidRPr="00154588" w:rsidRDefault="00B53006" w:rsidP="008C12B4">
            <w:pPr>
              <w:jc w:val="both"/>
              <w:rPr>
                <w:bCs/>
                <w:sz w:val="20"/>
                <w:szCs w:val="20"/>
              </w:rPr>
            </w:pPr>
          </w:p>
        </w:tc>
        <w:tc>
          <w:tcPr>
            <w:tcW w:w="2552" w:type="dxa"/>
          </w:tcPr>
          <w:p w14:paraId="6986F2B3" w14:textId="7609629D" w:rsidR="00B53006" w:rsidRPr="00154588" w:rsidRDefault="00B53006" w:rsidP="008C12B4">
            <w:pPr>
              <w:jc w:val="both"/>
              <w:rPr>
                <w:bCs/>
                <w:sz w:val="20"/>
                <w:szCs w:val="20"/>
              </w:rPr>
            </w:pPr>
            <w:r w:rsidRPr="00154588">
              <w:rPr>
                <w:bCs/>
                <w:sz w:val="20"/>
                <w:szCs w:val="20"/>
              </w:rPr>
              <w:t>Compatibil</w:t>
            </w:r>
          </w:p>
        </w:tc>
        <w:tc>
          <w:tcPr>
            <w:tcW w:w="3118" w:type="dxa"/>
          </w:tcPr>
          <w:p w14:paraId="7919B2E3" w14:textId="77777777" w:rsidR="00B53006" w:rsidRPr="00154588" w:rsidRDefault="00B53006" w:rsidP="008C12B4">
            <w:pPr>
              <w:jc w:val="both"/>
              <w:rPr>
                <w:bCs/>
                <w:sz w:val="20"/>
                <w:szCs w:val="20"/>
              </w:rPr>
            </w:pPr>
          </w:p>
        </w:tc>
      </w:tr>
      <w:tr w:rsidR="00B53006" w:rsidRPr="00154588" w14:paraId="555FFF64" w14:textId="77777777" w:rsidTr="00D15C1B">
        <w:trPr>
          <w:jc w:val="center"/>
        </w:trPr>
        <w:tc>
          <w:tcPr>
            <w:tcW w:w="4957" w:type="dxa"/>
            <w:gridSpan w:val="2"/>
          </w:tcPr>
          <w:p w14:paraId="0B8E0125" w14:textId="77777777" w:rsidR="00B53006" w:rsidRPr="00154588" w:rsidRDefault="00B53006" w:rsidP="008C12B4">
            <w:pPr>
              <w:jc w:val="both"/>
              <w:rPr>
                <w:bCs/>
                <w:sz w:val="20"/>
                <w:szCs w:val="20"/>
              </w:rPr>
            </w:pPr>
            <w:r w:rsidRPr="00154588">
              <w:rPr>
                <w:bCs/>
                <w:sz w:val="20"/>
                <w:szCs w:val="20"/>
              </w:rPr>
              <w:t>(4)   Atunci când autoritatea de rezoluție încearcă să vândă instituția-punte sau activele, drepturile ori pasivele acesteia, statele membre se asigură că instituția-punte sau activele ori pasivele relevante sunt puse în vânzare în mod deschis și transparent și că vânzarea nu le denaturează în mod semnificativ, nu favorizează sau discriminează în mod necuvenit anumiți cumpărători potențiali.</w:t>
            </w:r>
          </w:p>
          <w:p w14:paraId="7C09B2FC" w14:textId="77777777" w:rsidR="00B53006" w:rsidRPr="00154588" w:rsidRDefault="00B53006" w:rsidP="008C12B4">
            <w:pPr>
              <w:jc w:val="both"/>
              <w:rPr>
                <w:bCs/>
                <w:sz w:val="20"/>
                <w:szCs w:val="20"/>
              </w:rPr>
            </w:pPr>
          </w:p>
          <w:p w14:paraId="60773E64" w14:textId="61CEB0F8" w:rsidR="00B53006" w:rsidRPr="00154588" w:rsidRDefault="00B53006" w:rsidP="008C12B4">
            <w:pPr>
              <w:jc w:val="both"/>
              <w:rPr>
                <w:bCs/>
                <w:sz w:val="20"/>
                <w:szCs w:val="20"/>
              </w:rPr>
            </w:pPr>
            <w:r w:rsidRPr="00154588">
              <w:rPr>
                <w:bCs/>
                <w:sz w:val="20"/>
                <w:szCs w:val="20"/>
              </w:rPr>
              <w:t>Toate aceste vânzări trebuie efectuate în condiții comerciale, având în vedere circumstanțele și în conformitate cu cadrul Uniunii privind ajutoarele de stat.</w:t>
            </w:r>
          </w:p>
        </w:tc>
        <w:tc>
          <w:tcPr>
            <w:tcW w:w="4819" w:type="dxa"/>
          </w:tcPr>
          <w:p w14:paraId="443384E0" w14:textId="77777777" w:rsidR="00B53006" w:rsidRPr="00154588" w:rsidRDefault="00B53006" w:rsidP="008C12B4">
            <w:pPr>
              <w:ind w:firstLine="567"/>
              <w:jc w:val="both"/>
              <w:rPr>
                <w:sz w:val="20"/>
                <w:szCs w:val="20"/>
              </w:rPr>
            </w:pPr>
            <w:r w:rsidRPr="00154588">
              <w:rPr>
                <w:b/>
                <w:sz w:val="20"/>
                <w:szCs w:val="20"/>
              </w:rPr>
              <w:t>Articolul 125.</w:t>
            </w:r>
            <w:r w:rsidRPr="00154588">
              <w:rPr>
                <w:sz w:val="20"/>
                <w:szCs w:val="20"/>
              </w:rPr>
              <w:t xml:space="preserve"> – (1) În situaţia în care Banca Naţională a Moldovei, în calitate de autoritate de rezoluţie, intenţionează să vîndă instituția-punte sau activele, drepturile ori obligaţiile acesteia, aceasta se asigură că instituția-punte sau activele, drepturile ori obligaţiile relevante sînt puse în vînzare în mod deschis şi transparent şi nu sînt prezentate eronat, în mod semnificativ, iar în cadrul vînzării nu este favorizat sau discriminat nejustificat niciun potenţial cumpărător.</w:t>
            </w:r>
          </w:p>
          <w:p w14:paraId="077D667C" w14:textId="77777777" w:rsidR="00B53006" w:rsidRPr="00154588" w:rsidRDefault="00B53006" w:rsidP="008C12B4">
            <w:pPr>
              <w:ind w:firstLine="567"/>
              <w:jc w:val="both"/>
              <w:rPr>
                <w:sz w:val="20"/>
                <w:szCs w:val="20"/>
              </w:rPr>
            </w:pPr>
            <w:r w:rsidRPr="00154588">
              <w:rPr>
                <w:sz w:val="20"/>
                <w:szCs w:val="20"/>
              </w:rPr>
              <w:t>(2) Orice astfel de vînzări trebuie efectuate în condiţii comerciale, avînd în vedere circumstanţele</w:t>
            </w:r>
            <w:r w:rsidRPr="00154588">
              <w:rPr>
                <w:sz w:val="20"/>
                <w:szCs w:val="20"/>
                <w:lang w:eastAsia="ro-MD"/>
              </w:rPr>
              <w:t xml:space="preserve"> şi în conformitate cu cadrul legal privind ajutorul de stat</w:t>
            </w:r>
            <w:r w:rsidRPr="00154588">
              <w:rPr>
                <w:sz w:val="20"/>
                <w:szCs w:val="20"/>
              </w:rPr>
              <w:t>.</w:t>
            </w:r>
          </w:p>
          <w:p w14:paraId="1ED8299B" w14:textId="77777777" w:rsidR="00B53006" w:rsidRPr="00154588" w:rsidRDefault="00B53006" w:rsidP="008C12B4">
            <w:pPr>
              <w:jc w:val="both"/>
              <w:rPr>
                <w:bCs/>
                <w:sz w:val="20"/>
                <w:szCs w:val="20"/>
              </w:rPr>
            </w:pPr>
          </w:p>
        </w:tc>
        <w:tc>
          <w:tcPr>
            <w:tcW w:w="2552" w:type="dxa"/>
          </w:tcPr>
          <w:p w14:paraId="32E4695D" w14:textId="61191506" w:rsidR="00B53006" w:rsidRPr="00154588" w:rsidRDefault="00B53006" w:rsidP="008C12B4">
            <w:pPr>
              <w:jc w:val="both"/>
              <w:rPr>
                <w:bCs/>
                <w:sz w:val="20"/>
                <w:szCs w:val="20"/>
              </w:rPr>
            </w:pPr>
            <w:r w:rsidRPr="00154588">
              <w:rPr>
                <w:bCs/>
                <w:sz w:val="20"/>
                <w:szCs w:val="20"/>
              </w:rPr>
              <w:t>Compatibil</w:t>
            </w:r>
          </w:p>
        </w:tc>
        <w:tc>
          <w:tcPr>
            <w:tcW w:w="3118" w:type="dxa"/>
          </w:tcPr>
          <w:p w14:paraId="7FAADF09" w14:textId="77777777" w:rsidR="00B53006" w:rsidRPr="00154588" w:rsidRDefault="00B53006" w:rsidP="008C12B4">
            <w:pPr>
              <w:jc w:val="both"/>
              <w:rPr>
                <w:bCs/>
                <w:sz w:val="20"/>
                <w:szCs w:val="20"/>
              </w:rPr>
            </w:pPr>
          </w:p>
        </w:tc>
      </w:tr>
      <w:tr w:rsidR="00B53006" w:rsidRPr="00154588" w14:paraId="00D6E32E" w14:textId="77777777" w:rsidTr="00D15C1B">
        <w:trPr>
          <w:jc w:val="center"/>
        </w:trPr>
        <w:tc>
          <w:tcPr>
            <w:tcW w:w="4957" w:type="dxa"/>
            <w:gridSpan w:val="2"/>
          </w:tcPr>
          <w:p w14:paraId="604284C7" w14:textId="6D58301E" w:rsidR="00B53006" w:rsidRPr="00154588" w:rsidRDefault="00B53006" w:rsidP="008C12B4">
            <w:pPr>
              <w:jc w:val="both"/>
              <w:rPr>
                <w:bCs/>
                <w:sz w:val="20"/>
                <w:szCs w:val="20"/>
              </w:rPr>
            </w:pPr>
            <w:r w:rsidRPr="00154588">
              <w:rPr>
                <w:bCs/>
                <w:sz w:val="20"/>
                <w:szCs w:val="20"/>
              </w:rPr>
              <w:t xml:space="preserve">(5)   În cazul în care nu se aplică niciuna dintre situațiile menționate la alineatul (3) literele (a), (b), (c) și (e), autoritatea de rezoluție pune capăt funcționării instituției-punte cât mai curând posibil, și în orice caz, </w:t>
            </w:r>
            <w:r w:rsidRPr="00154588">
              <w:rPr>
                <w:bCs/>
                <w:sz w:val="20"/>
                <w:szCs w:val="20"/>
              </w:rPr>
              <w:lastRenderedPageBreak/>
              <w:t>după o perioadă de doi ani de la data efectuării ultimului transfer, în temeiul instrumentului instituției-punte, de la o instituție aflată în rezoluție.</w:t>
            </w:r>
          </w:p>
        </w:tc>
        <w:tc>
          <w:tcPr>
            <w:tcW w:w="4819" w:type="dxa"/>
          </w:tcPr>
          <w:p w14:paraId="3AACA0EA" w14:textId="77777777" w:rsidR="00B53006" w:rsidRPr="00154588" w:rsidRDefault="00B53006" w:rsidP="008C12B4">
            <w:pPr>
              <w:ind w:firstLine="567"/>
              <w:jc w:val="both"/>
              <w:rPr>
                <w:sz w:val="20"/>
                <w:szCs w:val="20"/>
              </w:rPr>
            </w:pPr>
            <w:r w:rsidRPr="00154588">
              <w:rPr>
                <w:b/>
                <w:sz w:val="20"/>
                <w:szCs w:val="20"/>
              </w:rPr>
              <w:lastRenderedPageBreak/>
              <w:t>Articolul 126.</w:t>
            </w:r>
            <w:r w:rsidRPr="00154588">
              <w:rPr>
                <w:sz w:val="20"/>
                <w:szCs w:val="20"/>
              </w:rPr>
              <w:t xml:space="preserve"> – În cazul în care nu este aplicabilă niciuna dintre situaţiile prevăzute la art.124 lit.a)-c) sau e), Banca Naţională a Moldovei, în calitate de autoritate de rezoluţie, ia măsuri pentru </w:t>
            </w:r>
            <w:r w:rsidRPr="00154588">
              <w:rPr>
                <w:sz w:val="20"/>
                <w:szCs w:val="20"/>
              </w:rPr>
              <w:lastRenderedPageBreak/>
              <w:t>încetarea statutului instituției-punte, cît mai curînd posibil, potrivit propriei aprecieri, dar nu mai tîrziu de 2 ani de la data la care a fost efectuat ultimul transfer de la o instituție supusă rezoluţiei, în virtutea aplicării instrumentului instituției-punte.</w:t>
            </w:r>
          </w:p>
          <w:p w14:paraId="7E4601CD" w14:textId="77777777" w:rsidR="00B53006" w:rsidRPr="00154588" w:rsidRDefault="00B53006" w:rsidP="008C12B4">
            <w:pPr>
              <w:jc w:val="both"/>
              <w:rPr>
                <w:bCs/>
                <w:sz w:val="20"/>
                <w:szCs w:val="20"/>
              </w:rPr>
            </w:pPr>
          </w:p>
        </w:tc>
        <w:tc>
          <w:tcPr>
            <w:tcW w:w="2552" w:type="dxa"/>
          </w:tcPr>
          <w:p w14:paraId="07A53B46" w14:textId="1A4867EA"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68DFA5F9" w14:textId="77777777" w:rsidR="00B53006" w:rsidRPr="00154588" w:rsidRDefault="00B53006" w:rsidP="008C12B4">
            <w:pPr>
              <w:jc w:val="both"/>
              <w:rPr>
                <w:bCs/>
                <w:sz w:val="20"/>
                <w:szCs w:val="20"/>
              </w:rPr>
            </w:pPr>
          </w:p>
        </w:tc>
      </w:tr>
      <w:tr w:rsidR="00B53006" w:rsidRPr="00154588" w14:paraId="4B40F8AA" w14:textId="77777777" w:rsidTr="00D15C1B">
        <w:trPr>
          <w:jc w:val="center"/>
        </w:trPr>
        <w:tc>
          <w:tcPr>
            <w:tcW w:w="4957" w:type="dxa"/>
            <w:gridSpan w:val="2"/>
          </w:tcPr>
          <w:p w14:paraId="3106B8F8" w14:textId="77777777" w:rsidR="00B53006" w:rsidRPr="00154588" w:rsidRDefault="00B53006" w:rsidP="008C12B4">
            <w:pPr>
              <w:jc w:val="both"/>
              <w:rPr>
                <w:bCs/>
                <w:sz w:val="20"/>
                <w:szCs w:val="20"/>
              </w:rPr>
            </w:pPr>
            <w:r w:rsidRPr="00154588">
              <w:rPr>
                <w:bCs/>
                <w:sz w:val="20"/>
                <w:szCs w:val="20"/>
              </w:rPr>
              <w:t>(6)   Autoritatea de rezoluție poate prelungi perioada menționată la alineatul (5) cu una sau mai multe perioade suplimentare de un an, atunci când o astfel de prelungire:</w:t>
            </w:r>
          </w:p>
          <w:p w14:paraId="3A3A4696" w14:textId="77777777" w:rsidR="00B53006" w:rsidRPr="00154588" w:rsidRDefault="00B53006" w:rsidP="008C12B4">
            <w:pPr>
              <w:jc w:val="both"/>
              <w:rPr>
                <w:bCs/>
                <w:sz w:val="20"/>
                <w:szCs w:val="20"/>
              </w:rPr>
            </w:pPr>
          </w:p>
          <w:p w14:paraId="22DB494B" w14:textId="47FC6EFA" w:rsidR="00B53006" w:rsidRPr="00154588" w:rsidRDefault="00B53006" w:rsidP="008C12B4">
            <w:pPr>
              <w:jc w:val="both"/>
              <w:rPr>
                <w:bCs/>
                <w:sz w:val="20"/>
                <w:szCs w:val="20"/>
              </w:rPr>
            </w:pPr>
            <w:r w:rsidRPr="00154588">
              <w:rPr>
                <w:bCs/>
                <w:sz w:val="20"/>
                <w:szCs w:val="20"/>
              </w:rPr>
              <w:t>(a) vine în sprijinul realizării uneia dintre situațiile menționate la alineatul (3) litera (a), (b), (c) sau (e); sau</w:t>
            </w:r>
          </w:p>
          <w:p w14:paraId="519792A5" w14:textId="77777777" w:rsidR="00B53006" w:rsidRPr="00154588" w:rsidRDefault="00B53006" w:rsidP="008C12B4">
            <w:pPr>
              <w:jc w:val="both"/>
              <w:rPr>
                <w:bCs/>
                <w:sz w:val="20"/>
                <w:szCs w:val="20"/>
              </w:rPr>
            </w:pPr>
          </w:p>
          <w:p w14:paraId="1338E5E0" w14:textId="6EA6FE7B" w:rsidR="00B53006" w:rsidRPr="00154588" w:rsidRDefault="00B53006" w:rsidP="008C12B4">
            <w:pPr>
              <w:jc w:val="both"/>
              <w:rPr>
                <w:bCs/>
                <w:sz w:val="20"/>
                <w:szCs w:val="20"/>
              </w:rPr>
            </w:pPr>
            <w:r w:rsidRPr="00154588">
              <w:rPr>
                <w:bCs/>
                <w:sz w:val="20"/>
                <w:szCs w:val="20"/>
              </w:rPr>
              <w:t>(b) este necesară pentru a asigura continuitatea unor servicii bancare și financiare esențiale.</w:t>
            </w:r>
          </w:p>
        </w:tc>
        <w:tc>
          <w:tcPr>
            <w:tcW w:w="4819" w:type="dxa"/>
          </w:tcPr>
          <w:p w14:paraId="421AE2C4" w14:textId="77777777" w:rsidR="00B53006" w:rsidRPr="00154588" w:rsidRDefault="00B53006" w:rsidP="008C12B4">
            <w:pPr>
              <w:ind w:firstLine="567"/>
              <w:jc w:val="both"/>
              <w:rPr>
                <w:sz w:val="20"/>
                <w:szCs w:val="20"/>
              </w:rPr>
            </w:pPr>
            <w:r w:rsidRPr="00154588">
              <w:rPr>
                <w:b/>
                <w:sz w:val="20"/>
                <w:szCs w:val="20"/>
              </w:rPr>
              <w:t>Articolul 127.</w:t>
            </w:r>
            <w:r w:rsidRPr="00154588">
              <w:rPr>
                <w:sz w:val="20"/>
                <w:szCs w:val="20"/>
              </w:rPr>
              <w:t xml:space="preserve"> – Banca Naţională a Moldovei, în calitate de autoritate de rezoluţie, poate prelungi perioada prevăzută la art.126 cu una sau mai multe perioade suplimentare de un an, în situaţia în care o astfel de prelungire:</w:t>
            </w:r>
          </w:p>
          <w:p w14:paraId="1C7A3DEA" w14:textId="77777777" w:rsidR="00B53006" w:rsidRPr="00154588" w:rsidRDefault="00B53006" w:rsidP="008C12B4">
            <w:pPr>
              <w:ind w:firstLine="567"/>
              <w:jc w:val="both"/>
              <w:rPr>
                <w:sz w:val="20"/>
                <w:szCs w:val="20"/>
              </w:rPr>
            </w:pPr>
            <w:r w:rsidRPr="00154588">
              <w:rPr>
                <w:sz w:val="20"/>
                <w:szCs w:val="20"/>
              </w:rPr>
              <w:t>a) vine în sprijinul realizării uneia dintre situaţiile prevăzute la art.124 lit.a)-c) sau e); sau</w:t>
            </w:r>
          </w:p>
          <w:p w14:paraId="18A60324" w14:textId="77777777" w:rsidR="00B53006" w:rsidRPr="00154588" w:rsidRDefault="00B53006" w:rsidP="008C12B4">
            <w:pPr>
              <w:ind w:firstLine="567"/>
              <w:jc w:val="both"/>
              <w:rPr>
                <w:sz w:val="20"/>
                <w:szCs w:val="20"/>
              </w:rPr>
            </w:pPr>
            <w:r w:rsidRPr="00154588">
              <w:rPr>
                <w:sz w:val="20"/>
                <w:szCs w:val="20"/>
              </w:rPr>
              <w:t>b) este necesară pentru a asigura continuitatea unor servicii bancare şi/sau financiare esenţiale.</w:t>
            </w:r>
          </w:p>
          <w:p w14:paraId="4DD69219" w14:textId="77777777" w:rsidR="00B53006" w:rsidRPr="00154588" w:rsidRDefault="00B53006" w:rsidP="008C12B4">
            <w:pPr>
              <w:jc w:val="both"/>
              <w:rPr>
                <w:bCs/>
                <w:sz w:val="20"/>
                <w:szCs w:val="20"/>
              </w:rPr>
            </w:pPr>
          </w:p>
        </w:tc>
        <w:tc>
          <w:tcPr>
            <w:tcW w:w="2552" w:type="dxa"/>
          </w:tcPr>
          <w:p w14:paraId="5D435B4F" w14:textId="66C74297" w:rsidR="00B53006" w:rsidRPr="00154588" w:rsidRDefault="00B53006" w:rsidP="008C12B4">
            <w:pPr>
              <w:jc w:val="both"/>
              <w:rPr>
                <w:bCs/>
                <w:sz w:val="20"/>
                <w:szCs w:val="20"/>
              </w:rPr>
            </w:pPr>
            <w:r w:rsidRPr="00154588">
              <w:rPr>
                <w:bCs/>
                <w:sz w:val="20"/>
                <w:szCs w:val="20"/>
              </w:rPr>
              <w:t>Compatibil</w:t>
            </w:r>
          </w:p>
        </w:tc>
        <w:tc>
          <w:tcPr>
            <w:tcW w:w="3118" w:type="dxa"/>
          </w:tcPr>
          <w:p w14:paraId="7C12CA40" w14:textId="77777777" w:rsidR="00B53006" w:rsidRPr="00154588" w:rsidRDefault="00B53006" w:rsidP="008C12B4">
            <w:pPr>
              <w:jc w:val="both"/>
              <w:rPr>
                <w:bCs/>
                <w:sz w:val="20"/>
                <w:szCs w:val="20"/>
              </w:rPr>
            </w:pPr>
          </w:p>
        </w:tc>
      </w:tr>
      <w:tr w:rsidR="00B53006" w:rsidRPr="00154588" w14:paraId="1A2CD437" w14:textId="77777777" w:rsidTr="00D15C1B">
        <w:trPr>
          <w:jc w:val="center"/>
        </w:trPr>
        <w:tc>
          <w:tcPr>
            <w:tcW w:w="4957" w:type="dxa"/>
            <w:gridSpan w:val="2"/>
          </w:tcPr>
          <w:p w14:paraId="352F231D" w14:textId="47858804" w:rsidR="00B53006" w:rsidRPr="00154588" w:rsidRDefault="00B53006" w:rsidP="008C12B4">
            <w:pPr>
              <w:jc w:val="both"/>
              <w:rPr>
                <w:bCs/>
                <w:sz w:val="20"/>
                <w:szCs w:val="20"/>
              </w:rPr>
            </w:pPr>
            <w:r w:rsidRPr="00154588">
              <w:rPr>
                <w:bCs/>
                <w:sz w:val="20"/>
                <w:szCs w:val="20"/>
              </w:rPr>
              <w:t>(7)   Toate deciziile autorității de rezoluție de a prelungi perioada menționată la alineatul (5) se motivează și cuprind o evaluare detaliată a situației care justifică prelungirea, inclusiv a condițiilor și perspectivelor pieței.</w:t>
            </w:r>
          </w:p>
        </w:tc>
        <w:tc>
          <w:tcPr>
            <w:tcW w:w="4819" w:type="dxa"/>
          </w:tcPr>
          <w:p w14:paraId="5FB5E178" w14:textId="77777777" w:rsidR="00B53006" w:rsidRPr="00154588" w:rsidRDefault="00B53006" w:rsidP="008C12B4">
            <w:pPr>
              <w:ind w:firstLine="567"/>
              <w:jc w:val="both"/>
              <w:rPr>
                <w:sz w:val="20"/>
                <w:szCs w:val="20"/>
              </w:rPr>
            </w:pPr>
            <w:r w:rsidRPr="00154588">
              <w:rPr>
                <w:b/>
                <w:sz w:val="20"/>
                <w:szCs w:val="20"/>
              </w:rPr>
              <w:t>Articolul 128.</w:t>
            </w:r>
            <w:r w:rsidRPr="00154588">
              <w:rPr>
                <w:sz w:val="20"/>
                <w:szCs w:val="20"/>
              </w:rPr>
              <w:t xml:space="preserve"> – Toate deciziile Băncii Naţionale a Moldovei, în calitate de autoritate de rezoluţie, de a prelungi perioada prevăzută la art.126 se motivează şi cuprind o evaluare detaliată a situaţiei care justifică prelungirea, inclusiv a condiţiilor şi perspectivelor pieţei.</w:t>
            </w:r>
          </w:p>
          <w:p w14:paraId="280A8BC9" w14:textId="77777777" w:rsidR="00B53006" w:rsidRPr="00154588" w:rsidRDefault="00B53006" w:rsidP="008C12B4">
            <w:pPr>
              <w:jc w:val="both"/>
              <w:rPr>
                <w:bCs/>
                <w:sz w:val="20"/>
                <w:szCs w:val="20"/>
              </w:rPr>
            </w:pPr>
          </w:p>
        </w:tc>
        <w:tc>
          <w:tcPr>
            <w:tcW w:w="2552" w:type="dxa"/>
          </w:tcPr>
          <w:p w14:paraId="43897DC1" w14:textId="055278BF" w:rsidR="00B53006" w:rsidRPr="00154588" w:rsidRDefault="00B53006" w:rsidP="008C12B4">
            <w:pPr>
              <w:jc w:val="both"/>
              <w:rPr>
                <w:bCs/>
                <w:sz w:val="20"/>
                <w:szCs w:val="20"/>
              </w:rPr>
            </w:pPr>
            <w:r w:rsidRPr="00154588">
              <w:rPr>
                <w:bCs/>
                <w:sz w:val="20"/>
                <w:szCs w:val="20"/>
              </w:rPr>
              <w:t>Compatibil</w:t>
            </w:r>
          </w:p>
        </w:tc>
        <w:tc>
          <w:tcPr>
            <w:tcW w:w="3118" w:type="dxa"/>
          </w:tcPr>
          <w:p w14:paraId="0CAA40F0" w14:textId="77777777" w:rsidR="00B53006" w:rsidRPr="00154588" w:rsidRDefault="00B53006" w:rsidP="008C12B4">
            <w:pPr>
              <w:jc w:val="both"/>
              <w:rPr>
                <w:bCs/>
                <w:sz w:val="20"/>
                <w:szCs w:val="20"/>
              </w:rPr>
            </w:pPr>
          </w:p>
        </w:tc>
      </w:tr>
      <w:tr w:rsidR="00B53006" w:rsidRPr="00154588" w14:paraId="3DB7954B" w14:textId="77777777" w:rsidTr="00D15C1B">
        <w:trPr>
          <w:jc w:val="center"/>
        </w:trPr>
        <w:tc>
          <w:tcPr>
            <w:tcW w:w="4957" w:type="dxa"/>
            <w:gridSpan w:val="2"/>
          </w:tcPr>
          <w:p w14:paraId="334AE7FB" w14:textId="51ABA4E9" w:rsidR="00B53006" w:rsidRPr="00154588" w:rsidRDefault="00B53006" w:rsidP="008C12B4">
            <w:pPr>
              <w:jc w:val="both"/>
              <w:rPr>
                <w:bCs/>
                <w:sz w:val="20"/>
                <w:szCs w:val="20"/>
              </w:rPr>
            </w:pPr>
            <w:r w:rsidRPr="00154588">
              <w:rPr>
                <w:bCs/>
                <w:sz w:val="20"/>
                <w:szCs w:val="20"/>
              </w:rPr>
              <w:t>(8) În cazul în care funcționarea unei instituții-punte încetează în situațiile menționate la alineatul (3) litera (c) sau (d), instituția-punte este lichidată în conformitate cu procedura obișnuită de insolvență.</w:t>
            </w:r>
          </w:p>
          <w:p w14:paraId="7978431A" w14:textId="77777777" w:rsidR="00B53006" w:rsidRPr="00154588" w:rsidRDefault="00B53006" w:rsidP="008C12B4">
            <w:pPr>
              <w:jc w:val="both"/>
              <w:rPr>
                <w:bCs/>
                <w:sz w:val="20"/>
                <w:szCs w:val="20"/>
              </w:rPr>
            </w:pPr>
          </w:p>
          <w:p w14:paraId="6B05918C" w14:textId="77777777" w:rsidR="00B53006" w:rsidRPr="00154588" w:rsidRDefault="00B53006" w:rsidP="008C12B4">
            <w:pPr>
              <w:jc w:val="both"/>
              <w:rPr>
                <w:bCs/>
                <w:sz w:val="20"/>
                <w:szCs w:val="20"/>
              </w:rPr>
            </w:pPr>
          </w:p>
          <w:p w14:paraId="71154762" w14:textId="5BB24DCA" w:rsidR="00B53006" w:rsidRPr="00154588" w:rsidRDefault="00B53006" w:rsidP="008C12B4">
            <w:pPr>
              <w:jc w:val="both"/>
              <w:rPr>
                <w:bCs/>
                <w:sz w:val="20"/>
                <w:szCs w:val="20"/>
              </w:rPr>
            </w:pPr>
            <w:r w:rsidRPr="00154588">
              <w:rPr>
                <w:bCs/>
                <w:sz w:val="20"/>
                <w:szCs w:val="20"/>
              </w:rPr>
              <w:t>Sub rezerva articolului 37 alineatul (7), toate încasările ca urmare a încetării funcționării instituției-punte revin acționarilor instituției-punte.</w:t>
            </w:r>
          </w:p>
        </w:tc>
        <w:tc>
          <w:tcPr>
            <w:tcW w:w="4819" w:type="dxa"/>
          </w:tcPr>
          <w:p w14:paraId="0D349877" w14:textId="77777777" w:rsidR="00B53006" w:rsidRPr="00154588" w:rsidRDefault="00B53006" w:rsidP="008C12B4">
            <w:pPr>
              <w:ind w:firstLine="567"/>
              <w:jc w:val="both"/>
              <w:rPr>
                <w:sz w:val="20"/>
                <w:szCs w:val="20"/>
              </w:rPr>
            </w:pPr>
            <w:r w:rsidRPr="00154588">
              <w:rPr>
                <w:b/>
                <w:sz w:val="20"/>
                <w:szCs w:val="20"/>
              </w:rPr>
              <w:t>Articolul 129.</w:t>
            </w:r>
            <w:r w:rsidRPr="00154588">
              <w:rPr>
                <w:sz w:val="20"/>
                <w:szCs w:val="20"/>
              </w:rPr>
              <w:t xml:space="preserve"> – (1) În cazul în care funcţionarea unei instituții-punte încetează în situaţiile prevăzute la art.124 lit.c) sau d), instituția-punte este lichidată în conformitate cu procedura obișnuită de insolvabilitate.</w:t>
            </w:r>
          </w:p>
          <w:p w14:paraId="35C9D1DE" w14:textId="77777777" w:rsidR="00B53006" w:rsidRPr="00154588" w:rsidRDefault="00B53006" w:rsidP="008C12B4">
            <w:pPr>
              <w:ind w:firstLine="567"/>
              <w:jc w:val="both"/>
              <w:rPr>
                <w:sz w:val="20"/>
                <w:szCs w:val="20"/>
              </w:rPr>
            </w:pPr>
            <w:r w:rsidRPr="00154588">
              <w:rPr>
                <w:sz w:val="20"/>
                <w:szCs w:val="20"/>
              </w:rPr>
              <w:t>(2) Cu respectarea prevederilor art.91, toate încasările rezultate ca urmare a încetării funcţionării instituției-punte revin acţionarului instituției-punte.</w:t>
            </w:r>
          </w:p>
          <w:p w14:paraId="0845A34F" w14:textId="77777777" w:rsidR="00B53006" w:rsidRPr="00154588" w:rsidRDefault="00B53006" w:rsidP="008C12B4">
            <w:pPr>
              <w:ind w:firstLine="567"/>
              <w:jc w:val="both"/>
              <w:rPr>
                <w:bCs/>
                <w:sz w:val="20"/>
                <w:szCs w:val="20"/>
              </w:rPr>
            </w:pPr>
          </w:p>
        </w:tc>
        <w:tc>
          <w:tcPr>
            <w:tcW w:w="2552" w:type="dxa"/>
          </w:tcPr>
          <w:p w14:paraId="1BD9D465" w14:textId="47EEDB5A" w:rsidR="00B53006" w:rsidRPr="00154588" w:rsidRDefault="00B53006" w:rsidP="008C12B4">
            <w:pPr>
              <w:jc w:val="both"/>
              <w:rPr>
                <w:bCs/>
                <w:sz w:val="20"/>
                <w:szCs w:val="20"/>
              </w:rPr>
            </w:pPr>
            <w:r w:rsidRPr="00154588">
              <w:rPr>
                <w:bCs/>
                <w:sz w:val="20"/>
                <w:szCs w:val="20"/>
              </w:rPr>
              <w:t>Compatibil</w:t>
            </w:r>
          </w:p>
        </w:tc>
        <w:tc>
          <w:tcPr>
            <w:tcW w:w="3118" w:type="dxa"/>
          </w:tcPr>
          <w:p w14:paraId="0EB5DE84" w14:textId="77777777" w:rsidR="00B53006" w:rsidRPr="00154588" w:rsidRDefault="00B53006" w:rsidP="008C12B4">
            <w:pPr>
              <w:jc w:val="both"/>
              <w:rPr>
                <w:bCs/>
                <w:sz w:val="20"/>
                <w:szCs w:val="20"/>
              </w:rPr>
            </w:pPr>
          </w:p>
        </w:tc>
      </w:tr>
      <w:tr w:rsidR="00B53006" w:rsidRPr="00154588" w14:paraId="3032D538" w14:textId="77777777" w:rsidTr="00D15C1B">
        <w:trPr>
          <w:jc w:val="center"/>
        </w:trPr>
        <w:tc>
          <w:tcPr>
            <w:tcW w:w="4957" w:type="dxa"/>
            <w:gridSpan w:val="2"/>
          </w:tcPr>
          <w:p w14:paraId="768A6ED3" w14:textId="450EE34D" w:rsidR="00B53006" w:rsidRPr="00154588" w:rsidRDefault="00B53006" w:rsidP="008C12B4">
            <w:pPr>
              <w:jc w:val="both"/>
              <w:rPr>
                <w:bCs/>
                <w:sz w:val="20"/>
                <w:szCs w:val="20"/>
              </w:rPr>
            </w:pPr>
            <w:r w:rsidRPr="00154588">
              <w:rPr>
                <w:bCs/>
                <w:sz w:val="20"/>
                <w:szCs w:val="20"/>
              </w:rPr>
              <w:t>(9)   În cazul în care o instituție-punte este utilizată cu scopul de a transfera activele și pasivele aparținând mai multor instituții aflate în rezoluție, obligația prevăzută la alineatul (8) se referă la activele și pasivele transferate de la fiecare dintre aceste instituții aflate în rezoluție și nu la instituția-punte în sine.</w:t>
            </w:r>
          </w:p>
        </w:tc>
        <w:tc>
          <w:tcPr>
            <w:tcW w:w="4819" w:type="dxa"/>
          </w:tcPr>
          <w:p w14:paraId="6059CF7E" w14:textId="77777777" w:rsidR="00B53006" w:rsidRPr="00154588" w:rsidRDefault="00B53006" w:rsidP="008C12B4">
            <w:pPr>
              <w:ind w:firstLine="567"/>
              <w:jc w:val="both"/>
              <w:rPr>
                <w:sz w:val="20"/>
                <w:szCs w:val="20"/>
              </w:rPr>
            </w:pPr>
            <w:r w:rsidRPr="00154588">
              <w:rPr>
                <w:b/>
                <w:sz w:val="20"/>
                <w:szCs w:val="20"/>
              </w:rPr>
              <w:t>Articolul 130.</w:t>
            </w:r>
            <w:r w:rsidRPr="00154588">
              <w:rPr>
                <w:sz w:val="20"/>
                <w:szCs w:val="20"/>
              </w:rPr>
              <w:t xml:space="preserve"> – În cazul în care o instituție-punte este utilizată în scopul de a transfera activele, drepturile sau obligaţiile aparţinînd mai multor instituții supuse rezoluţiei, obligaţia prevăzută la art.129 se referă la activele, drepturile sau obligaţiile transferate de la fiecare dintre aceste instituții supuse rezoluţiei, şi nu la instituția-punte în sine.</w:t>
            </w:r>
          </w:p>
          <w:p w14:paraId="70CED1F6" w14:textId="77777777" w:rsidR="00B53006" w:rsidRPr="00154588" w:rsidRDefault="00B53006" w:rsidP="008C12B4">
            <w:pPr>
              <w:jc w:val="both"/>
              <w:rPr>
                <w:bCs/>
                <w:sz w:val="20"/>
                <w:szCs w:val="20"/>
              </w:rPr>
            </w:pPr>
          </w:p>
        </w:tc>
        <w:tc>
          <w:tcPr>
            <w:tcW w:w="2552" w:type="dxa"/>
          </w:tcPr>
          <w:p w14:paraId="14303B33" w14:textId="3161ECBB" w:rsidR="00B53006" w:rsidRPr="00154588" w:rsidRDefault="00B53006" w:rsidP="008C12B4">
            <w:pPr>
              <w:jc w:val="both"/>
              <w:rPr>
                <w:bCs/>
                <w:sz w:val="20"/>
                <w:szCs w:val="20"/>
              </w:rPr>
            </w:pPr>
            <w:r w:rsidRPr="00154588">
              <w:rPr>
                <w:bCs/>
                <w:sz w:val="20"/>
                <w:szCs w:val="20"/>
              </w:rPr>
              <w:t>Compatibil</w:t>
            </w:r>
          </w:p>
        </w:tc>
        <w:tc>
          <w:tcPr>
            <w:tcW w:w="3118" w:type="dxa"/>
          </w:tcPr>
          <w:p w14:paraId="195BDE9C" w14:textId="77777777" w:rsidR="00B53006" w:rsidRPr="00154588" w:rsidRDefault="00B53006" w:rsidP="008C12B4">
            <w:pPr>
              <w:jc w:val="both"/>
              <w:rPr>
                <w:bCs/>
                <w:sz w:val="20"/>
                <w:szCs w:val="20"/>
              </w:rPr>
            </w:pPr>
          </w:p>
        </w:tc>
      </w:tr>
      <w:tr w:rsidR="00B53006" w:rsidRPr="00154588" w14:paraId="0ABF0B64" w14:textId="77777777" w:rsidTr="00D15C1B">
        <w:trPr>
          <w:jc w:val="center"/>
        </w:trPr>
        <w:tc>
          <w:tcPr>
            <w:tcW w:w="4957" w:type="dxa"/>
            <w:gridSpan w:val="2"/>
          </w:tcPr>
          <w:p w14:paraId="76B027B0" w14:textId="77777777" w:rsidR="00B53006" w:rsidRPr="00154588" w:rsidRDefault="00B53006" w:rsidP="008C12B4">
            <w:pPr>
              <w:rPr>
                <w:b/>
                <w:sz w:val="20"/>
                <w:szCs w:val="20"/>
              </w:rPr>
            </w:pPr>
            <w:r w:rsidRPr="00154588">
              <w:rPr>
                <w:b/>
                <w:sz w:val="20"/>
                <w:szCs w:val="20"/>
              </w:rPr>
              <w:t>Articolul 42</w:t>
            </w:r>
          </w:p>
          <w:p w14:paraId="4D14C1DF" w14:textId="243E727C" w:rsidR="00B53006" w:rsidRPr="00154588" w:rsidRDefault="00B53006" w:rsidP="008C12B4">
            <w:pPr>
              <w:rPr>
                <w:b/>
                <w:sz w:val="20"/>
                <w:szCs w:val="20"/>
              </w:rPr>
            </w:pPr>
            <w:r w:rsidRPr="00154588">
              <w:rPr>
                <w:b/>
                <w:sz w:val="20"/>
                <w:szCs w:val="20"/>
              </w:rPr>
              <w:t>Instrumentul de separare a activelor</w:t>
            </w:r>
          </w:p>
        </w:tc>
        <w:tc>
          <w:tcPr>
            <w:tcW w:w="4819" w:type="dxa"/>
          </w:tcPr>
          <w:p w14:paraId="4CA34764" w14:textId="77777777" w:rsidR="00B53006" w:rsidRPr="00154588" w:rsidRDefault="00B53006" w:rsidP="008C12B4">
            <w:pPr>
              <w:rPr>
                <w:b/>
                <w:sz w:val="20"/>
                <w:szCs w:val="20"/>
              </w:rPr>
            </w:pPr>
            <w:r w:rsidRPr="00154588">
              <w:rPr>
                <w:b/>
                <w:sz w:val="20"/>
                <w:szCs w:val="20"/>
              </w:rPr>
              <w:t>Secțiunea 4</w:t>
            </w:r>
          </w:p>
          <w:p w14:paraId="2EF6A9EF" w14:textId="77777777" w:rsidR="00B53006" w:rsidRPr="00154588" w:rsidRDefault="00B53006" w:rsidP="008C12B4">
            <w:pPr>
              <w:rPr>
                <w:b/>
                <w:sz w:val="20"/>
                <w:szCs w:val="20"/>
              </w:rPr>
            </w:pPr>
          </w:p>
          <w:p w14:paraId="3160C869" w14:textId="47E21129" w:rsidR="00B53006" w:rsidRPr="00154588" w:rsidRDefault="00B53006" w:rsidP="008C12B4">
            <w:pPr>
              <w:jc w:val="both"/>
              <w:rPr>
                <w:bCs/>
                <w:sz w:val="20"/>
                <w:szCs w:val="20"/>
              </w:rPr>
            </w:pPr>
            <w:r w:rsidRPr="00154588">
              <w:rPr>
                <w:b/>
                <w:sz w:val="20"/>
                <w:szCs w:val="20"/>
              </w:rPr>
              <w:t>Instrumentul de separare a activelor</w:t>
            </w:r>
          </w:p>
        </w:tc>
        <w:tc>
          <w:tcPr>
            <w:tcW w:w="2552" w:type="dxa"/>
          </w:tcPr>
          <w:p w14:paraId="2063C03C" w14:textId="77777777" w:rsidR="00B53006" w:rsidRPr="00154588" w:rsidRDefault="00B53006" w:rsidP="008C12B4">
            <w:pPr>
              <w:jc w:val="both"/>
              <w:rPr>
                <w:bCs/>
                <w:sz w:val="20"/>
                <w:szCs w:val="20"/>
              </w:rPr>
            </w:pPr>
          </w:p>
        </w:tc>
        <w:tc>
          <w:tcPr>
            <w:tcW w:w="3118" w:type="dxa"/>
          </w:tcPr>
          <w:p w14:paraId="2DD27A7D" w14:textId="77777777" w:rsidR="00B53006" w:rsidRPr="00154588" w:rsidRDefault="00B53006" w:rsidP="008C12B4">
            <w:pPr>
              <w:jc w:val="both"/>
              <w:rPr>
                <w:bCs/>
                <w:sz w:val="20"/>
                <w:szCs w:val="20"/>
              </w:rPr>
            </w:pPr>
          </w:p>
        </w:tc>
      </w:tr>
      <w:tr w:rsidR="00B53006" w:rsidRPr="00154588" w14:paraId="0930B2EC" w14:textId="77777777" w:rsidTr="00D15C1B">
        <w:trPr>
          <w:jc w:val="center"/>
        </w:trPr>
        <w:tc>
          <w:tcPr>
            <w:tcW w:w="4957" w:type="dxa"/>
            <w:gridSpan w:val="2"/>
          </w:tcPr>
          <w:p w14:paraId="5926AC00" w14:textId="55B6E2CD" w:rsidR="00B53006" w:rsidRPr="00154588" w:rsidRDefault="00B53006" w:rsidP="008C12B4">
            <w:pPr>
              <w:rPr>
                <w:bCs/>
                <w:sz w:val="20"/>
                <w:szCs w:val="20"/>
              </w:rPr>
            </w:pPr>
            <w:r w:rsidRPr="00154588">
              <w:rPr>
                <w:bCs/>
                <w:sz w:val="20"/>
                <w:szCs w:val="20"/>
              </w:rPr>
              <w:lastRenderedPageBreak/>
              <w:t>(1)   Pentru ca instrumentul de separare a activelor să fie eficace, statele membre se asigură că autoritățile de rezoluție dețin competența de a transfera activele, drepturile sau pasivele unei instituții aflate în rezoluție sau ale unei instituții-punte către unul sau mai multe vehicule de gestionare a activelor.</w:t>
            </w:r>
          </w:p>
          <w:p w14:paraId="5FBCD9BC" w14:textId="77777777" w:rsidR="00B53006" w:rsidRPr="00154588" w:rsidRDefault="00B53006" w:rsidP="008C12B4">
            <w:pPr>
              <w:rPr>
                <w:bCs/>
                <w:sz w:val="20"/>
                <w:szCs w:val="20"/>
              </w:rPr>
            </w:pPr>
          </w:p>
          <w:p w14:paraId="3BA161D4" w14:textId="6427A39E" w:rsidR="00B53006" w:rsidRPr="00154588" w:rsidRDefault="00B53006" w:rsidP="008C12B4">
            <w:pPr>
              <w:rPr>
                <w:bCs/>
                <w:sz w:val="20"/>
                <w:szCs w:val="20"/>
              </w:rPr>
            </w:pPr>
            <w:r w:rsidRPr="00154588">
              <w:rPr>
                <w:bCs/>
                <w:sz w:val="20"/>
                <w:szCs w:val="20"/>
              </w:rPr>
              <w:t>Sub rezerva articolului 85, transferul menționat la primul paragraf poate avea loc fără a obține acordul acționarilor instituțiilor aflate în rezoluție sau al oricărei părți terțe, alta decât instituția-punte și fără a se conforma vreunei cerințe procedurale prevăzute de dreptul comercial sau de dreptul titlurilor de valoare.</w:t>
            </w:r>
          </w:p>
          <w:p w14:paraId="6A2CE71E" w14:textId="77777777" w:rsidR="00B53006" w:rsidRPr="00154588" w:rsidRDefault="00B53006" w:rsidP="008C12B4">
            <w:pPr>
              <w:rPr>
                <w:bCs/>
                <w:sz w:val="20"/>
                <w:szCs w:val="20"/>
              </w:rPr>
            </w:pPr>
          </w:p>
        </w:tc>
        <w:tc>
          <w:tcPr>
            <w:tcW w:w="4819" w:type="dxa"/>
          </w:tcPr>
          <w:p w14:paraId="38908DB5" w14:textId="77777777" w:rsidR="00B53006" w:rsidRPr="00154588" w:rsidRDefault="00B53006" w:rsidP="008C12B4">
            <w:pPr>
              <w:ind w:firstLine="567"/>
              <w:jc w:val="both"/>
              <w:rPr>
                <w:sz w:val="20"/>
                <w:szCs w:val="20"/>
              </w:rPr>
            </w:pPr>
            <w:r w:rsidRPr="00154588">
              <w:rPr>
                <w:b/>
                <w:sz w:val="20"/>
                <w:szCs w:val="20"/>
              </w:rPr>
              <w:t>Articolul 138.</w:t>
            </w:r>
            <w:r w:rsidRPr="00154588">
              <w:rPr>
                <w:sz w:val="20"/>
                <w:szCs w:val="20"/>
              </w:rPr>
              <w:t xml:space="preserve"> – (1) Pentru ca instrumentul de separare a activelor să fie eficace, Banca Naţională a Moldovei, în calitate de autoritate de rezoluţie, este împuternicită să transfere activele, drepturile sau obligaţiile unei instituții supuse rezoluţiei sau ale unei instituții-punte către unul sau mai multe vehicule de administrare a activelor.</w:t>
            </w:r>
          </w:p>
          <w:p w14:paraId="1C991E84" w14:textId="77777777" w:rsidR="00B53006" w:rsidRPr="00154588" w:rsidRDefault="00B53006" w:rsidP="008C12B4">
            <w:pPr>
              <w:ind w:firstLine="567"/>
              <w:jc w:val="both"/>
              <w:rPr>
                <w:sz w:val="20"/>
                <w:szCs w:val="20"/>
              </w:rPr>
            </w:pPr>
            <w:r w:rsidRPr="00154588">
              <w:rPr>
                <w:sz w:val="20"/>
                <w:szCs w:val="20"/>
              </w:rPr>
              <w:t>(2) Cu respectarea prevederilor art.292-294, transferul prevăzut la alin.(1) poate avea loc fără a obţine acordul acţionarilor instituției supuse rezoluţiei sau al oricărei părţi terţe, alta decît instituția-punte, şi nu este supus niciunei cerinţe procedurale prevăzute de legislaţia aplicabilă în materie de societăţi sau de legislaţia pieţei de capital, prevederile art.232 fiind aplicabile.</w:t>
            </w:r>
          </w:p>
          <w:p w14:paraId="3934658D" w14:textId="77777777" w:rsidR="00B53006" w:rsidRPr="00154588" w:rsidRDefault="00B53006" w:rsidP="008C12B4">
            <w:pPr>
              <w:ind w:firstLine="567"/>
              <w:jc w:val="both"/>
              <w:rPr>
                <w:sz w:val="20"/>
                <w:szCs w:val="20"/>
              </w:rPr>
            </w:pPr>
            <w:r w:rsidRPr="00154588">
              <w:rPr>
                <w:sz w:val="20"/>
                <w:szCs w:val="20"/>
              </w:rPr>
              <w:t> </w:t>
            </w:r>
          </w:p>
          <w:p w14:paraId="6274A2C2" w14:textId="77777777" w:rsidR="00B53006" w:rsidRPr="00154588" w:rsidRDefault="00B53006" w:rsidP="008C12B4">
            <w:pPr>
              <w:jc w:val="both"/>
              <w:rPr>
                <w:bCs/>
                <w:sz w:val="20"/>
                <w:szCs w:val="20"/>
              </w:rPr>
            </w:pPr>
          </w:p>
        </w:tc>
        <w:tc>
          <w:tcPr>
            <w:tcW w:w="2552" w:type="dxa"/>
          </w:tcPr>
          <w:p w14:paraId="7CDBBCD0" w14:textId="1E4408C6" w:rsidR="00B53006" w:rsidRPr="00154588" w:rsidRDefault="00B53006" w:rsidP="008C12B4">
            <w:pPr>
              <w:jc w:val="both"/>
              <w:rPr>
                <w:bCs/>
                <w:sz w:val="20"/>
                <w:szCs w:val="20"/>
              </w:rPr>
            </w:pPr>
            <w:r w:rsidRPr="00154588">
              <w:rPr>
                <w:bCs/>
                <w:sz w:val="20"/>
                <w:szCs w:val="20"/>
              </w:rPr>
              <w:t>Compatibil</w:t>
            </w:r>
          </w:p>
        </w:tc>
        <w:tc>
          <w:tcPr>
            <w:tcW w:w="3118" w:type="dxa"/>
          </w:tcPr>
          <w:p w14:paraId="14E77F1C" w14:textId="77777777" w:rsidR="00B53006" w:rsidRPr="00154588" w:rsidRDefault="00B53006" w:rsidP="008C12B4">
            <w:pPr>
              <w:jc w:val="both"/>
              <w:rPr>
                <w:bCs/>
                <w:sz w:val="20"/>
                <w:szCs w:val="20"/>
              </w:rPr>
            </w:pPr>
          </w:p>
        </w:tc>
      </w:tr>
      <w:tr w:rsidR="00B53006" w:rsidRPr="00154588" w14:paraId="605FD64B" w14:textId="77777777" w:rsidTr="00D15C1B">
        <w:trPr>
          <w:jc w:val="center"/>
        </w:trPr>
        <w:tc>
          <w:tcPr>
            <w:tcW w:w="4957" w:type="dxa"/>
            <w:gridSpan w:val="2"/>
          </w:tcPr>
          <w:p w14:paraId="1155F014" w14:textId="3E89F06A" w:rsidR="00B53006" w:rsidRPr="00154588" w:rsidRDefault="00B53006" w:rsidP="008C12B4">
            <w:pPr>
              <w:jc w:val="both"/>
              <w:rPr>
                <w:bCs/>
                <w:sz w:val="20"/>
                <w:szCs w:val="20"/>
              </w:rPr>
            </w:pPr>
            <w:r w:rsidRPr="00154588">
              <w:rPr>
                <w:bCs/>
                <w:sz w:val="20"/>
                <w:szCs w:val="20"/>
              </w:rPr>
              <w:t>(2)   În sensul instrumentului de separare a activelor, un vehicul de gestionare a activelor este o persoană juridică ce îndeplinește toate cerințele de mai jos:</w:t>
            </w:r>
          </w:p>
          <w:p w14:paraId="379F9323" w14:textId="77777777" w:rsidR="00B53006" w:rsidRPr="00154588" w:rsidRDefault="00B53006" w:rsidP="008C12B4">
            <w:pPr>
              <w:jc w:val="both"/>
              <w:rPr>
                <w:bCs/>
                <w:sz w:val="20"/>
                <w:szCs w:val="20"/>
              </w:rPr>
            </w:pPr>
          </w:p>
          <w:p w14:paraId="66595D82" w14:textId="4CD8E394" w:rsidR="00B53006" w:rsidRPr="00154588" w:rsidRDefault="00B53006" w:rsidP="008C12B4">
            <w:pPr>
              <w:jc w:val="both"/>
              <w:rPr>
                <w:bCs/>
                <w:sz w:val="20"/>
                <w:szCs w:val="20"/>
              </w:rPr>
            </w:pPr>
            <w:r w:rsidRPr="00154588">
              <w:rPr>
                <w:bCs/>
                <w:sz w:val="20"/>
                <w:szCs w:val="20"/>
              </w:rPr>
              <w:t>(a) este total sau parțial în proprietatea uneia sau mai multor autorități publice printre care se pot număra autoritatea de rezoluție sau mecanismul de finanțare a rezoluției și este controlată de autoritatea de rezoluție;</w:t>
            </w:r>
          </w:p>
          <w:p w14:paraId="4689B99D" w14:textId="77777777" w:rsidR="00B53006" w:rsidRPr="00154588" w:rsidRDefault="00B53006" w:rsidP="008C12B4">
            <w:pPr>
              <w:jc w:val="both"/>
              <w:rPr>
                <w:bCs/>
                <w:sz w:val="20"/>
                <w:szCs w:val="20"/>
              </w:rPr>
            </w:pPr>
          </w:p>
          <w:p w14:paraId="042C150D" w14:textId="7FDC6E8B" w:rsidR="00B53006" w:rsidRPr="00154588" w:rsidRDefault="00B53006" w:rsidP="008C12B4">
            <w:pPr>
              <w:jc w:val="both"/>
              <w:rPr>
                <w:bCs/>
                <w:sz w:val="20"/>
                <w:szCs w:val="20"/>
              </w:rPr>
            </w:pPr>
            <w:r w:rsidRPr="00154588">
              <w:rPr>
                <w:bCs/>
                <w:sz w:val="20"/>
                <w:szCs w:val="20"/>
              </w:rPr>
              <w:t>(b) a fost creată în scopul de a primi, parțial sau integral, activele, drepturile și pasivele uneia sau ale mai multor instituții aflate în rezoluție sau ale unei instituții-punte.</w:t>
            </w:r>
          </w:p>
        </w:tc>
        <w:tc>
          <w:tcPr>
            <w:tcW w:w="4819" w:type="dxa"/>
          </w:tcPr>
          <w:p w14:paraId="294941AE" w14:textId="77777777" w:rsidR="00B53006" w:rsidRPr="00154588" w:rsidRDefault="00B53006" w:rsidP="008C12B4">
            <w:pPr>
              <w:ind w:firstLine="567"/>
              <w:jc w:val="both"/>
              <w:rPr>
                <w:sz w:val="20"/>
                <w:szCs w:val="20"/>
              </w:rPr>
            </w:pPr>
            <w:r w:rsidRPr="00154588">
              <w:rPr>
                <w:b/>
                <w:sz w:val="20"/>
                <w:szCs w:val="20"/>
              </w:rPr>
              <w:t>Articolul 139.</w:t>
            </w:r>
            <w:r w:rsidRPr="00154588">
              <w:rPr>
                <w:sz w:val="20"/>
                <w:szCs w:val="20"/>
              </w:rPr>
              <w:t xml:space="preserve"> –</w:t>
            </w:r>
            <w:r w:rsidRPr="00154588">
              <w:rPr>
                <w:sz w:val="20"/>
                <w:szCs w:val="20"/>
                <w:lang w:eastAsia="ro-MD"/>
              </w:rPr>
              <w:t xml:space="preserve"> (1)</w:t>
            </w:r>
            <w:r w:rsidRPr="00154588">
              <w:rPr>
                <w:sz w:val="20"/>
                <w:szCs w:val="20"/>
              </w:rPr>
              <w:t xml:space="preserve"> În sensul instrumentului de separare a activelor, un vehicul de administrare a activelor este o persoană juridică ce îndeplineşte cumulativ cerinţele de mai jos:</w:t>
            </w:r>
          </w:p>
          <w:p w14:paraId="7A69682E" w14:textId="77777777" w:rsidR="00B53006" w:rsidRPr="00154588" w:rsidRDefault="00B53006" w:rsidP="008C12B4">
            <w:pPr>
              <w:ind w:firstLine="567"/>
              <w:jc w:val="both"/>
              <w:rPr>
                <w:sz w:val="20"/>
                <w:szCs w:val="20"/>
              </w:rPr>
            </w:pPr>
            <w:r w:rsidRPr="00154588">
              <w:rPr>
                <w:sz w:val="20"/>
                <w:szCs w:val="20"/>
              </w:rPr>
              <w:t>a) capitalul social este deţinut în totalitate sau parţial de una sau mai multe autorităţi publice şi vehiculul de administrare a activelor este controlat de Banca Naţională a Moldovei, în calitate de autoritate de rezoluţie, în sensul celor prevăzute la art.231 alin.(1) lit.b) şi, în particular, avînd în vedere dispoziţiile art.141. Fondul de garantare a depozitelor în sistemul bancar, în calitate de administrator al fondului de rezoluţie bancară, poate fi acţionar al vehiculului de administrare a activelor;</w:t>
            </w:r>
          </w:p>
          <w:p w14:paraId="38CEA0DA" w14:textId="77777777" w:rsidR="00B53006" w:rsidRPr="00154588" w:rsidRDefault="00B53006" w:rsidP="008C12B4">
            <w:pPr>
              <w:ind w:firstLine="567"/>
              <w:jc w:val="both"/>
              <w:rPr>
                <w:sz w:val="20"/>
                <w:szCs w:val="20"/>
              </w:rPr>
            </w:pPr>
            <w:r w:rsidRPr="00154588">
              <w:rPr>
                <w:sz w:val="20"/>
                <w:szCs w:val="20"/>
              </w:rPr>
              <w:t>b) a fost creată în scopul de a primi, parţial sau integral, activele, drepturile şi obligaţiile uneia sau ale mai multe instituției supuse rezoluţiei sau ale unei instituții-punte.</w:t>
            </w:r>
          </w:p>
          <w:p w14:paraId="17901391" w14:textId="77777777" w:rsidR="00B53006" w:rsidRPr="00154588" w:rsidRDefault="00B53006" w:rsidP="008C12B4">
            <w:pPr>
              <w:ind w:firstLine="567"/>
              <w:jc w:val="both"/>
              <w:rPr>
                <w:bCs/>
                <w:sz w:val="20"/>
                <w:szCs w:val="20"/>
              </w:rPr>
            </w:pPr>
          </w:p>
        </w:tc>
        <w:tc>
          <w:tcPr>
            <w:tcW w:w="2552" w:type="dxa"/>
          </w:tcPr>
          <w:p w14:paraId="1F72FACE" w14:textId="33115711" w:rsidR="00B53006" w:rsidRPr="00154588" w:rsidRDefault="00B53006" w:rsidP="008C12B4">
            <w:pPr>
              <w:jc w:val="both"/>
              <w:rPr>
                <w:bCs/>
                <w:sz w:val="20"/>
                <w:szCs w:val="20"/>
              </w:rPr>
            </w:pPr>
            <w:r w:rsidRPr="00154588">
              <w:rPr>
                <w:bCs/>
                <w:sz w:val="20"/>
                <w:szCs w:val="20"/>
              </w:rPr>
              <w:t>Compatibil</w:t>
            </w:r>
          </w:p>
        </w:tc>
        <w:tc>
          <w:tcPr>
            <w:tcW w:w="3118" w:type="dxa"/>
          </w:tcPr>
          <w:p w14:paraId="190C7DF1" w14:textId="77777777" w:rsidR="00B53006" w:rsidRPr="00154588" w:rsidRDefault="00B53006" w:rsidP="008C12B4">
            <w:pPr>
              <w:jc w:val="both"/>
              <w:rPr>
                <w:bCs/>
                <w:sz w:val="20"/>
                <w:szCs w:val="20"/>
              </w:rPr>
            </w:pPr>
          </w:p>
        </w:tc>
      </w:tr>
      <w:tr w:rsidR="00B53006" w:rsidRPr="00154588" w14:paraId="4729D515" w14:textId="77777777" w:rsidTr="00D15C1B">
        <w:trPr>
          <w:jc w:val="center"/>
        </w:trPr>
        <w:tc>
          <w:tcPr>
            <w:tcW w:w="4957" w:type="dxa"/>
            <w:gridSpan w:val="2"/>
          </w:tcPr>
          <w:p w14:paraId="6098FB66" w14:textId="1A04B232" w:rsidR="00B53006" w:rsidRPr="00154588" w:rsidRDefault="00B53006" w:rsidP="008C12B4">
            <w:pPr>
              <w:jc w:val="both"/>
              <w:rPr>
                <w:bCs/>
                <w:sz w:val="20"/>
                <w:szCs w:val="20"/>
              </w:rPr>
            </w:pPr>
            <w:r w:rsidRPr="00154588">
              <w:rPr>
                <w:bCs/>
                <w:sz w:val="20"/>
                <w:szCs w:val="20"/>
              </w:rPr>
              <w:t>(3) Vehiculul de gestionare a activelor gestionează activele care îi sunt transferate cu scopul de a optimiza valoarea acestora prin intermediul unei eventuale vânzări sau prin lichidarea lor ordonată.</w:t>
            </w:r>
          </w:p>
        </w:tc>
        <w:tc>
          <w:tcPr>
            <w:tcW w:w="4819" w:type="dxa"/>
          </w:tcPr>
          <w:p w14:paraId="7F22DD40" w14:textId="77777777" w:rsidR="00B53006" w:rsidRPr="00154588" w:rsidRDefault="00B53006" w:rsidP="008C12B4">
            <w:pPr>
              <w:ind w:firstLine="567"/>
              <w:jc w:val="both"/>
              <w:rPr>
                <w:sz w:val="20"/>
                <w:szCs w:val="20"/>
              </w:rPr>
            </w:pPr>
            <w:r w:rsidRPr="00154588">
              <w:rPr>
                <w:b/>
                <w:sz w:val="20"/>
                <w:szCs w:val="20"/>
              </w:rPr>
              <w:t>Articolul 140.</w:t>
            </w:r>
            <w:r w:rsidRPr="00154588">
              <w:rPr>
                <w:sz w:val="20"/>
                <w:szCs w:val="20"/>
              </w:rPr>
              <w:t xml:space="preserve"> – Vehiculul de administrare a activelor gestionează activele care îi sînt transferate în scopul de a maximiza valoarea acestora prin intermediul unei eventuale vînzări sau prin lichidarea lor ordonată.</w:t>
            </w:r>
          </w:p>
          <w:p w14:paraId="34579C65" w14:textId="77777777" w:rsidR="00B53006" w:rsidRPr="00154588" w:rsidRDefault="00B53006" w:rsidP="008C12B4">
            <w:pPr>
              <w:jc w:val="both"/>
              <w:rPr>
                <w:bCs/>
                <w:sz w:val="20"/>
                <w:szCs w:val="20"/>
              </w:rPr>
            </w:pPr>
          </w:p>
        </w:tc>
        <w:tc>
          <w:tcPr>
            <w:tcW w:w="2552" w:type="dxa"/>
          </w:tcPr>
          <w:p w14:paraId="42426DC6" w14:textId="3B45F76D" w:rsidR="00B53006" w:rsidRPr="00154588" w:rsidRDefault="00B53006" w:rsidP="008C12B4">
            <w:pPr>
              <w:jc w:val="both"/>
              <w:rPr>
                <w:bCs/>
                <w:sz w:val="20"/>
                <w:szCs w:val="20"/>
              </w:rPr>
            </w:pPr>
            <w:r w:rsidRPr="00154588">
              <w:rPr>
                <w:bCs/>
                <w:sz w:val="20"/>
                <w:szCs w:val="20"/>
              </w:rPr>
              <w:t>Compatibil</w:t>
            </w:r>
          </w:p>
        </w:tc>
        <w:tc>
          <w:tcPr>
            <w:tcW w:w="3118" w:type="dxa"/>
          </w:tcPr>
          <w:p w14:paraId="097A2285" w14:textId="77777777" w:rsidR="00B53006" w:rsidRPr="00154588" w:rsidRDefault="00B53006" w:rsidP="008C12B4">
            <w:pPr>
              <w:jc w:val="both"/>
              <w:rPr>
                <w:bCs/>
                <w:sz w:val="20"/>
                <w:szCs w:val="20"/>
              </w:rPr>
            </w:pPr>
          </w:p>
        </w:tc>
      </w:tr>
      <w:tr w:rsidR="00B53006" w:rsidRPr="00154588" w14:paraId="2F70854B" w14:textId="77777777" w:rsidTr="00D15C1B">
        <w:trPr>
          <w:jc w:val="center"/>
        </w:trPr>
        <w:tc>
          <w:tcPr>
            <w:tcW w:w="4957" w:type="dxa"/>
            <w:gridSpan w:val="2"/>
          </w:tcPr>
          <w:p w14:paraId="02ED8E64" w14:textId="42D5D384" w:rsidR="00B53006" w:rsidRPr="00154588" w:rsidRDefault="00B53006" w:rsidP="008C12B4">
            <w:pPr>
              <w:jc w:val="both"/>
              <w:rPr>
                <w:bCs/>
                <w:sz w:val="20"/>
                <w:szCs w:val="20"/>
              </w:rPr>
            </w:pPr>
            <w:r w:rsidRPr="00154588">
              <w:rPr>
                <w:bCs/>
                <w:sz w:val="20"/>
                <w:szCs w:val="20"/>
              </w:rPr>
              <w:t>(4) Statele membre se asigură că funcționarea unui vehicul de gestionare a activelor respectă următoarele dispoziții:</w:t>
            </w:r>
          </w:p>
          <w:p w14:paraId="10E32D70" w14:textId="77777777" w:rsidR="00B53006" w:rsidRPr="00154588" w:rsidRDefault="00B53006" w:rsidP="008C12B4">
            <w:pPr>
              <w:jc w:val="both"/>
              <w:rPr>
                <w:bCs/>
                <w:sz w:val="20"/>
                <w:szCs w:val="20"/>
              </w:rPr>
            </w:pPr>
          </w:p>
          <w:p w14:paraId="2F2491CE" w14:textId="20204426" w:rsidR="00B53006" w:rsidRPr="00154588" w:rsidRDefault="00B53006" w:rsidP="008C12B4">
            <w:pPr>
              <w:jc w:val="both"/>
              <w:rPr>
                <w:bCs/>
                <w:sz w:val="20"/>
                <w:szCs w:val="20"/>
              </w:rPr>
            </w:pPr>
            <w:r w:rsidRPr="00154588">
              <w:rPr>
                <w:bCs/>
                <w:sz w:val="20"/>
                <w:szCs w:val="20"/>
              </w:rPr>
              <w:t>(a) conținutul documentelor constitutive ale vehiculului de gestionare a activelor este aprobat de autoritatea de rezoluție;</w:t>
            </w:r>
          </w:p>
          <w:p w14:paraId="1C9BE1DE" w14:textId="77777777" w:rsidR="00B53006" w:rsidRPr="00154588" w:rsidRDefault="00B53006" w:rsidP="008C12B4">
            <w:pPr>
              <w:jc w:val="both"/>
              <w:rPr>
                <w:bCs/>
                <w:sz w:val="20"/>
                <w:szCs w:val="20"/>
              </w:rPr>
            </w:pPr>
          </w:p>
          <w:p w14:paraId="29D3673F" w14:textId="7C3BC906" w:rsidR="00B53006" w:rsidRPr="00154588" w:rsidRDefault="00B53006" w:rsidP="008C12B4">
            <w:pPr>
              <w:jc w:val="both"/>
              <w:rPr>
                <w:bCs/>
                <w:sz w:val="20"/>
                <w:szCs w:val="20"/>
              </w:rPr>
            </w:pPr>
            <w:r w:rsidRPr="00154588">
              <w:rPr>
                <w:bCs/>
                <w:sz w:val="20"/>
                <w:szCs w:val="20"/>
              </w:rPr>
              <w:t>(b) sub rezerva structurii de proprietate a vehiculului de gestionare a activelor, autoritatea de rezoluție numește sau aprobă organul de conducere al vehiculului de gestionare a activelor;</w:t>
            </w:r>
          </w:p>
          <w:p w14:paraId="3C372EB5" w14:textId="77777777" w:rsidR="00B53006" w:rsidRPr="00154588" w:rsidRDefault="00B53006" w:rsidP="008C12B4">
            <w:pPr>
              <w:jc w:val="both"/>
              <w:rPr>
                <w:bCs/>
                <w:sz w:val="20"/>
                <w:szCs w:val="20"/>
              </w:rPr>
            </w:pPr>
          </w:p>
          <w:p w14:paraId="7F2B6CF4" w14:textId="2334D0B3" w:rsidR="00B53006" w:rsidRPr="00154588" w:rsidRDefault="00B53006" w:rsidP="008C12B4">
            <w:pPr>
              <w:jc w:val="both"/>
              <w:rPr>
                <w:bCs/>
                <w:sz w:val="20"/>
                <w:szCs w:val="20"/>
              </w:rPr>
            </w:pPr>
            <w:r w:rsidRPr="00154588">
              <w:rPr>
                <w:bCs/>
                <w:sz w:val="20"/>
                <w:szCs w:val="20"/>
              </w:rPr>
              <w:t>(c) autoritatea de rezoluție aprobă remunerațiile membrilor organului de conducere și stabilește responsabilitățile lor corespunzătoare;</w:t>
            </w:r>
          </w:p>
          <w:p w14:paraId="3AC90FD8" w14:textId="77777777" w:rsidR="00B53006" w:rsidRPr="00154588" w:rsidRDefault="00B53006" w:rsidP="008C12B4">
            <w:pPr>
              <w:jc w:val="both"/>
              <w:rPr>
                <w:bCs/>
                <w:sz w:val="20"/>
                <w:szCs w:val="20"/>
              </w:rPr>
            </w:pPr>
          </w:p>
          <w:p w14:paraId="465C7856" w14:textId="77777777" w:rsidR="00B53006" w:rsidRPr="00154588" w:rsidRDefault="00B53006" w:rsidP="008C12B4">
            <w:pPr>
              <w:jc w:val="both"/>
              <w:rPr>
                <w:bCs/>
                <w:sz w:val="20"/>
                <w:szCs w:val="20"/>
              </w:rPr>
            </w:pPr>
          </w:p>
          <w:p w14:paraId="6AEE4AF1" w14:textId="4E71A59D" w:rsidR="00B53006" w:rsidRPr="00154588" w:rsidRDefault="00B53006" w:rsidP="008C12B4">
            <w:pPr>
              <w:jc w:val="both"/>
              <w:rPr>
                <w:bCs/>
                <w:sz w:val="20"/>
                <w:szCs w:val="20"/>
              </w:rPr>
            </w:pPr>
            <w:r w:rsidRPr="00154588">
              <w:rPr>
                <w:bCs/>
                <w:sz w:val="20"/>
                <w:szCs w:val="20"/>
              </w:rPr>
              <w:t>(d) autoritatea de rezoluție aprobă strategia și profilul de risc ale vehiculului de gestionare a activelor;</w:t>
            </w:r>
          </w:p>
        </w:tc>
        <w:tc>
          <w:tcPr>
            <w:tcW w:w="4819" w:type="dxa"/>
          </w:tcPr>
          <w:p w14:paraId="27B0DC26" w14:textId="77777777" w:rsidR="00B53006" w:rsidRPr="00154588" w:rsidRDefault="00B53006" w:rsidP="008C12B4">
            <w:pPr>
              <w:ind w:firstLine="567"/>
              <w:jc w:val="both"/>
              <w:rPr>
                <w:sz w:val="20"/>
                <w:szCs w:val="20"/>
              </w:rPr>
            </w:pPr>
            <w:r w:rsidRPr="00154588">
              <w:rPr>
                <w:b/>
                <w:sz w:val="20"/>
                <w:szCs w:val="20"/>
              </w:rPr>
              <w:lastRenderedPageBreak/>
              <w:t>Articolul 141.</w:t>
            </w:r>
            <w:r w:rsidRPr="00154588">
              <w:rPr>
                <w:sz w:val="20"/>
                <w:szCs w:val="20"/>
              </w:rPr>
              <w:t xml:space="preserve"> – Funcţionarea unui vehicul de administrare a activelor respectă următoarele prevederi:</w:t>
            </w:r>
          </w:p>
          <w:p w14:paraId="46FA71CD" w14:textId="77777777" w:rsidR="00B53006" w:rsidRPr="00154588" w:rsidRDefault="00B53006" w:rsidP="008C12B4">
            <w:pPr>
              <w:ind w:firstLine="567"/>
              <w:jc w:val="both"/>
              <w:rPr>
                <w:sz w:val="20"/>
                <w:szCs w:val="20"/>
              </w:rPr>
            </w:pPr>
            <w:r w:rsidRPr="00154588">
              <w:rPr>
                <w:sz w:val="20"/>
                <w:szCs w:val="20"/>
              </w:rPr>
              <w:lastRenderedPageBreak/>
              <w:t>a) conţinutul documentelor privind constituirea vehiculului de administrare a activelor este aprobat de către Banca Naţională a Moldovei, în calitate de autoritate de rezoluţie;</w:t>
            </w:r>
          </w:p>
          <w:p w14:paraId="10EC90B4" w14:textId="77777777" w:rsidR="00B53006" w:rsidRPr="00154588" w:rsidRDefault="00B53006" w:rsidP="008C12B4">
            <w:pPr>
              <w:ind w:firstLine="567"/>
              <w:jc w:val="both"/>
              <w:rPr>
                <w:sz w:val="20"/>
                <w:szCs w:val="20"/>
              </w:rPr>
            </w:pPr>
            <w:r w:rsidRPr="00154588">
              <w:rPr>
                <w:sz w:val="20"/>
                <w:szCs w:val="20"/>
              </w:rPr>
              <w:t>b) în funcţie de structura acţionariatului vehiculului de administrare a activelor, Banca Naţională a Moldovei, în calitate de autoritate de rezoluţie, numeşte sau aprobă organul de conducere al vehiculului de administrare a activelor;</w:t>
            </w:r>
          </w:p>
          <w:p w14:paraId="5E780AF4" w14:textId="77777777" w:rsidR="00B53006" w:rsidRPr="00154588" w:rsidRDefault="00B53006" w:rsidP="008C12B4">
            <w:pPr>
              <w:ind w:firstLine="567"/>
              <w:jc w:val="both"/>
              <w:rPr>
                <w:sz w:val="20"/>
                <w:szCs w:val="20"/>
              </w:rPr>
            </w:pPr>
            <w:r w:rsidRPr="00154588">
              <w:rPr>
                <w:sz w:val="20"/>
                <w:szCs w:val="20"/>
              </w:rPr>
              <w:t>c) Banca Naţională a Moldovei, în calitate de autoritate de rezoluţie, aprobă remuneraţiile membrilor organului de conducere şi le stabileşte responsabilităţile;</w:t>
            </w:r>
          </w:p>
          <w:p w14:paraId="3E490A02" w14:textId="77777777" w:rsidR="00B53006" w:rsidRPr="00154588" w:rsidRDefault="00B53006" w:rsidP="008C12B4">
            <w:pPr>
              <w:ind w:firstLine="567"/>
              <w:jc w:val="both"/>
              <w:rPr>
                <w:sz w:val="20"/>
                <w:szCs w:val="20"/>
              </w:rPr>
            </w:pPr>
            <w:r w:rsidRPr="00154588">
              <w:rPr>
                <w:sz w:val="20"/>
                <w:szCs w:val="20"/>
              </w:rPr>
              <w:t>d) Banca Naţională a Moldovei, în calitate de autoritate de rezoluţie, aprobă strategia şi profilul de risc ale vehiculului de administrare a activelor.</w:t>
            </w:r>
          </w:p>
          <w:p w14:paraId="5CAD9095" w14:textId="77777777" w:rsidR="00B53006" w:rsidRPr="00154588" w:rsidRDefault="00B53006" w:rsidP="008C12B4">
            <w:pPr>
              <w:jc w:val="both"/>
              <w:rPr>
                <w:bCs/>
                <w:sz w:val="20"/>
                <w:szCs w:val="20"/>
              </w:rPr>
            </w:pPr>
          </w:p>
        </w:tc>
        <w:tc>
          <w:tcPr>
            <w:tcW w:w="2552" w:type="dxa"/>
          </w:tcPr>
          <w:p w14:paraId="093FED9F" w14:textId="0631D8AF"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748B9705" w14:textId="77777777" w:rsidR="00B53006" w:rsidRPr="00154588" w:rsidRDefault="00B53006" w:rsidP="008C12B4">
            <w:pPr>
              <w:jc w:val="both"/>
              <w:rPr>
                <w:bCs/>
                <w:sz w:val="20"/>
                <w:szCs w:val="20"/>
              </w:rPr>
            </w:pPr>
          </w:p>
        </w:tc>
      </w:tr>
      <w:tr w:rsidR="00B53006" w:rsidRPr="00154588" w14:paraId="037AA095" w14:textId="77777777" w:rsidTr="00D15C1B">
        <w:trPr>
          <w:jc w:val="center"/>
        </w:trPr>
        <w:tc>
          <w:tcPr>
            <w:tcW w:w="4957" w:type="dxa"/>
            <w:gridSpan w:val="2"/>
          </w:tcPr>
          <w:p w14:paraId="30A1DB3E" w14:textId="77777777" w:rsidR="00B53006" w:rsidRPr="00154588" w:rsidRDefault="00B53006" w:rsidP="008C12B4">
            <w:pPr>
              <w:jc w:val="both"/>
              <w:rPr>
                <w:bCs/>
                <w:sz w:val="20"/>
                <w:szCs w:val="20"/>
              </w:rPr>
            </w:pPr>
            <w:r w:rsidRPr="00154588">
              <w:rPr>
                <w:bCs/>
                <w:sz w:val="20"/>
                <w:szCs w:val="20"/>
              </w:rPr>
              <w:t>(5)   Autoritățile de rezoluție pot exercita competența menționată la alineatul (1) pentru a transfera active, drepturi sau pasive numai în cazul în care:</w:t>
            </w:r>
          </w:p>
          <w:p w14:paraId="70860521" w14:textId="77777777" w:rsidR="00B53006" w:rsidRPr="00154588" w:rsidRDefault="00B53006" w:rsidP="008C12B4">
            <w:pPr>
              <w:jc w:val="both"/>
              <w:rPr>
                <w:bCs/>
                <w:sz w:val="20"/>
                <w:szCs w:val="20"/>
              </w:rPr>
            </w:pPr>
          </w:p>
          <w:p w14:paraId="4DAF2F0D" w14:textId="72743E46" w:rsidR="00B53006" w:rsidRPr="00154588" w:rsidRDefault="00B53006" w:rsidP="008C12B4">
            <w:pPr>
              <w:jc w:val="both"/>
              <w:rPr>
                <w:bCs/>
                <w:sz w:val="20"/>
                <w:szCs w:val="20"/>
              </w:rPr>
            </w:pPr>
            <w:r w:rsidRPr="00154588">
              <w:rPr>
                <w:bCs/>
                <w:sz w:val="20"/>
                <w:szCs w:val="20"/>
              </w:rPr>
              <w:t>(a) situația de pe piața specifică a acelor active este de așa natură încât lichidarea lor în cadrul procedurii obișnuite de insolvență ar putea avea un efect negativ asupra uneia sau mai multor piețe financiare;</w:t>
            </w:r>
          </w:p>
          <w:p w14:paraId="54ACF178" w14:textId="77777777" w:rsidR="00B53006" w:rsidRPr="00154588" w:rsidRDefault="00B53006" w:rsidP="008C12B4">
            <w:pPr>
              <w:jc w:val="both"/>
              <w:rPr>
                <w:bCs/>
                <w:sz w:val="20"/>
                <w:szCs w:val="20"/>
              </w:rPr>
            </w:pPr>
          </w:p>
          <w:p w14:paraId="6481B68B" w14:textId="77777777" w:rsidR="00B53006" w:rsidRPr="00154588" w:rsidRDefault="00B53006" w:rsidP="008C12B4">
            <w:pPr>
              <w:jc w:val="both"/>
              <w:rPr>
                <w:bCs/>
                <w:sz w:val="20"/>
                <w:szCs w:val="20"/>
              </w:rPr>
            </w:pPr>
          </w:p>
          <w:p w14:paraId="2424F9E0" w14:textId="0B3D03F6" w:rsidR="00B53006" w:rsidRPr="00154588" w:rsidRDefault="00B53006" w:rsidP="008C12B4">
            <w:pPr>
              <w:jc w:val="both"/>
              <w:rPr>
                <w:bCs/>
                <w:sz w:val="20"/>
                <w:szCs w:val="20"/>
              </w:rPr>
            </w:pPr>
            <w:r w:rsidRPr="00154588">
              <w:rPr>
                <w:bCs/>
                <w:sz w:val="20"/>
                <w:szCs w:val="20"/>
              </w:rPr>
              <w:t>(b) un astfel de transfer este necesar pentru a asigura buna funcționare a instituției aflate în rezoluție, a instituției-punte</w:t>
            </w:r>
            <w:r w:rsidRPr="00154588">
              <w:t xml:space="preserve"> </w:t>
            </w:r>
            <w:r w:rsidRPr="00154588">
              <w:rPr>
                <w:bCs/>
                <w:sz w:val="20"/>
                <w:szCs w:val="20"/>
              </w:rPr>
              <w:t>sau a vehiculului de gestionare a activelor însuși; sau</w:t>
            </w:r>
          </w:p>
          <w:p w14:paraId="32750EB8" w14:textId="77777777" w:rsidR="00B53006" w:rsidRPr="00154588" w:rsidRDefault="00B53006" w:rsidP="008C12B4">
            <w:pPr>
              <w:jc w:val="both"/>
              <w:rPr>
                <w:bCs/>
                <w:sz w:val="20"/>
                <w:szCs w:val="20"/>
              </w:rPr>
            </w:pPr>
          </w:p>
          <w:p w14:paraId="38375D1A" w14:textId="48D301A5" w:rsidR="00B53006" w:rsidRPr="00154588" w:rsidRDefault="00B53006" w:rsidP="008C12B4">
            <w:pPr>
              <w:jc w:val="both"/>
              <w:rPr>
                <w:bCs/>
                <w:sz w:val="20"/>
                <w:szCs w:val="20"/>
              </w:rPr>
            </w:pPr>
            <w:r w:rsidRPr="00154588">
              <w:rPr>
                <w:bCs/>
                <w:sz w:val="20"/>
                <w:szCs w:val="20"/>
              </w:rPr>
              <w:t>(c) un astfel de transfer este necesar pentru a maximiza încasările rezultate din lichidare.</w:t>
            </w:r>
          </w:p>
        </w:tc>
        <w:tc>
          <w:tcPr>
            <w:tcW w:w="4819" w:type="dxa"/>
          </w:tcPr>
          <w:p w14:paraId="1982703A" w14:textId="77777777" w:rsidR="00B53006" w:rsidRPr="00154588" w:rsidRDefault="00B53006" w:rsidP="008C12B4">
            <w:pPr>
              <w:ind w:firstLine="567"/>
              <w:jc w:val="both"/>
              <w:rPr>
                <w:sz w:val="20"/>
                <w:szCs w:val="20"/>
              </w:rPr>
            </w:pPr>
            <w:r w:rsidRPr="00154588">
              <w:rPr>
                <w:b/>
                <w:sz w:val="20"/>
                <w:szCs w:val="20"/>
              </w:rPr>
              <w:t>Articolul 142.</w:t>
            </w:r>
            <w:r w:rsidRPr="00154588">
              <w:rPr>
                <w:sz w:val="20"/>
                <w:szCs w:val="20"/>
              </w:rPr>
              <w:t xml:space="preserve"> – Banca Naţională a Moldovei, în calitate de autoritate de rezoluţie, poate exercita competenţa prevăzută la art.138 de a transfera active, drepturi sau obligaţii numai în cazul în care:</w:t>
            </w:r>
          </w:p>
          <w:p w14:paraId="3C181585" w14:textId="77777777" w:rsidR="00B53006" w:rsidRPr="00154588" w:rsidRDefault="00B53006" w:rsidP="008C12B4">
            <w:pPr>
              <w:ind w:firstLine="567"/>
              <w:jc w:val="both"/>
              <w:rPr>
                <w:sz w:val="20"/>
                <w:szCs w:val="20"/>
              </w:rPr>
            </w:pPr>
            <w:r w:rsidRPr="00154588">
              <w:rPr>
                <w:sz w:val="20"/>
                <w:szCs w:val="20"/>
              </w:rPr>
              <w:t>a) situaţia de pe piaţa specifică a acelor active este de aşa natură încît lichidarea lor în cadrul procedurii obișnuite de insolvabilitate ar putea avea un efect negativ asupra uneia sau mai multor pieţe financiare;</w:t>
            </w:r>
          </w:p>
          <w:p w14:paraId="02FE6EDB" w14:textId="430CD0A1" w:rsidR="00B53006" w:rsidRPr="00154588" w:rsidRDefault="00B53006" w:rsidP="008C12B4">
            <w:pPr>
              <w:ind w:firstLine="567"/>
              <w:jc w:val="both"/>
              <w:rPr>
                <w:sz w:val="20"/>
                <w:szCs w:val="20"/>
              </w:rPr>
            </w:pPr>
            <w:r w:rsidRPr="00154588">
              <w:rPr>
                <w:sz w:val="20"/>
                <w:szCs w:val="20"/>
              </w:rPr>
              <w:t>b) un astfel de transfer este necesar pentru a asigura buna funcţionare a instituției supuse rezoluţiei sau a instituției-punte</w:t>
            </w:r>
            <w:r w:rsidR="00EE69D5" w:rsidRPr="00154588">
              <w:rPr>
                <w:sz w:val="20"/>
                <w:szCs w:val="20"/>
              </w:rPr>
              <w:t xml:space="preserve"> </w:t>
            </w:r>
            <w:r w:rsidR="00EE69D5" w:rsidRPr="00154588">
              <w:rPr>
                <w:bCs/>
                <w:sz w:val="20"/>
                <w:szCs w:val="20"/>
              </w:rPr>
              <w:t xml:space="preserve">sau a vehiculului de </w:t>
            </w:r>
            <w:r w:rsidR="0061132F" w:rsidRPr="00154588">
              <w:rPr>
                <w:bCs/>
                <w:sz w:val="20"/>
                <w:szCs w:val="20"/>
              </w:rPr>
              <w:t>administrare</w:t>
            </w:r>
            <w:r w:rsidR="00EE69D5" w:rsidRPr="00154588">
              <w:rPr>
                <w:bCs/>
                <w:sz w:val="20"/>
                <w:szCs w:val="20"/>
              </w:rPr>
              <w:t xml:space="preserve"> a activelor însuși</w:t>
            </w:r>
            <w:r w:rsidRPr="00154588">
              <w:rPr>
                <w:sz w:val="20"/>
                <w:szCs w:val="20"/>
              </w:rPr>
              <w:t>; sau</w:t>
            </w:r>
          </w:p>
          <w:p w14:paraId="75EF6B5F" w14:textId="77777777" w:rsidR="00B53006" w:rsidRPr="00154588" w:rsidRDefault="00B53006" w:rsidP="008C12B4">
            <w:pPr>
              <w:ind w:firstLine="567"/>
              <w:jc w:val="both"/>
              <w:rPr>
                <w:sz w:val="20"/>
                <w:szCs w:val="20"/>
              </w:rPr>
            </w:pPr>
            <w:r w:rsidRPr="00154588">
              <w:rPr>
                <w:sz w:val="20"/>
                <w:szCs w:val="20"/>
              </w:rPr>
              <w:t>c) un astfel de transfer este necesar pentru a maximiza încasările rezultate din lichidare.</w:t>
            </w:r>
          </w:p>
          <w:p w14:paraId="5229AFE2" w14:textId="77777777" w:rsidR="00B53006" w:rsidRPr="00154588" w:rsidRDefault="00B53006" w:rsidP="008C12B4">
            <w:pPr>
              <w:jc w:val="both"/>
              <w:rPr>
                <w:bCs/>
                <w:sz w:val="20"/>
                <w:szCs w:val="20"/>
              </w:rPr>
            </w:pPr>
          </w:p>
        </w:tc>
        <w:tc>
          <w:tcPr>
            <w:tcW w:w="2552" w:type="dxa"/>
          </w:tcPr>
          <w:p w14:paraId="429D241B" w14:textId="41525B03" w:rsidR="00B53006" w:rsidRPr="00154588" w:rsidRDefault="00B53006" w:rsidP="008C12B4">
            <w:pPr>
              <w:jc w:val="both"/>
              <w:rPr>
                <w:bCs/>
                <w:sz w:val="20"/>
                <w:szCs w:val="20"/>
              </w:rPr>
            </w:pPr>
            <w:r w:rsidRPr="00154588">
              <w:rPr>
                <w:bCs/>
                <w:sz w:val="20"/>
                <w:szCs w:val="20"/>
              </w:rPr>
              <w:t>Compatibil</w:t>
            </w:r>
          </w:p>
        </w:tc>
        <w:tc>
          <w:tcPr>
            <w:tcW w:w="3118" w:type="dxa"/>
          </w:tcPr>
          <w:p w14:paraId="217EED10" w14:textId="77777777" w:rsidR="00B53006" w:rsidRPr="00154588" w:rsidRDefault="00B53006" w:rsidP="008C12B4">
            <w:pPr>
              <w:jc w:val="both"/>
              <w:rPr>
                <w:bCs/>
                <w:sz w:val="20"/>
                <w:szCs w:val="20"/>
              </w:rPr>
            </w:pPr>
          </w:p>
        </w:tc>
      </w:tr>
      <w:tr w:rsidR="00B53006" w:rsidRPr="00154588" w14:paraId="423E8EED" w14:textId="77777777" w:rsidTr="00D15C1B">
        <w:trPr>
          <w:jc w:val="center"/>
        </w:trPr>
        <w:tc>
          <w:tcPr>
            <w:tcW w:w="4957" w:type="dxa"/>
            <w:gridSpan w:val="2"/>
          </w:tcPr>
          <w:p w14:paraId="4EDA2918" w14:textId="5543174F" w:rsidR="00B53006" w:rsidRPr="00154588" w:rsidRDefault="00B53006" w:rsidP="008C12B4">
            <w:pPr>
              <w:jc w:val="both"/>
              <w:rPr>
                <w:bCs/>
                <w:sz w:val="20"/>
                <w:szCs w:val="20"/>
              </w:rPr>
            </w:pPr>
            <w:r w:rsidRPr="00154588">
              <w:rPr>
                <w:bCs/>
                <w:sz w:val="20"/>
                <w:szCs w:val="20"/>
              </w:rPr>
              <w:t>(6)   Atunci când aplică instrumentul de separare a activelor, autoritățile de rezoluție stabilesc contraprestația în schimbul căreia sunt transferate activele, drepturile și pasivele către vehiculul de gestionare a activelor în conformitate cu principiile stabilite la articolul 36 și în conformitate cu cadrul Uniunii privind ajutoarele de stat. Prezentul alineat nu împiedică contraprestația să aibă o valoare nominală sau negativă.</w:t>
            </w:r>
          </w:p>
        </w:tc>
        <w:tc>
          <w:tcPr>
            <w:tcW w:w="4819" w:type="dxa"/>
          </w:tcPr>
          <w:p w14:paraId="0B8FA2D9" w14:textId="77777777" w:rsidR="00B53006" w:rsidRPr="00154588" w:rsidRDefault="00B53006" w:rsidP="008C12B4">
            <w:pPr>
              <w:ind w:firstLine="567"/>
              <w:jc w:val="both"/>
              <w:rPr>
                <w:sz w:val="20"/>
                <w:szCs w:val="20"/>
              </w:rPr>
            </w:pPr>
            <w:r w:rsidRPr="00154588">
              <w:rPr>
                <w:b/>
                <w:sz w:val="20"/>
                <w:szCs w:val="20"/>
              </w:rPr>
              <w:t>Articolul 143.</w:t>
            </w:r>
            <w:r w:rsidRPr="00154588">
              <w:rPr>
                <w:sz w:val="20"/>
                <w:szCs w:val="20"/>
              </w:rPr>
              <w:t xml:space="preserve"> – În situaţia în care aplică instrumentul de separare a activelor, Banca Naţională a Moldovei, în calitate de autoritate de rezoluţie, stabileşte contraprestaţia în schimbul căreia sînt transferate activele, drepturile şi obligaţiile către vehiculul de administrare a activelor, în conformitate cu principiile stabilite la art.72-84</w:t>
            </w:r>
            <w:r w:rsidRPr="00154588">
              <w:rPr>
                <w:sz w:val="20"/>
                <w:szCs w:val="20"/>
                <w:lang w:eastAsia="ro-MD"/>
              </w:rPr>
              <w:t xml:space="preserve"> şi cu cadrul legal privind ajutorul de stat.</w:t>
            </w:r>
            <w:r w:rsidRPr="00154588">
              <w:rPr>
                <w:sz w:val="20"/>
                <w:szCs w:val="20"/>
              </w:rPr>
              <w:t xml:space="preserve"> Prevederile prezentului articol nu împiedică respectiva contraprestaţie să aibă o valoare nominală sau negativă.</w:t>
            </w:r>
          </w:p>
          <w:p w14:paraId="711E200D" w14:textId="77777777" w:rsidR="00B53006" w:rsidRPr="00154588" w:rsidRDefault="00B53006" w:rsidP="008C12B4">
            <w:pPr>
              <w:jc w:val="both"/>
              <w:rPr>
                <w:bCs/>
                <w:sz w:val="20"/>
                <w:szCs w:val="20"/>
              </w:rPr>
            </w:pPr>
          </w:p>
        </w:tc>
        <w:tc>
          <w:tcPr>
            <w:tcW w:w="2552" w:type="dxa"/>
          </w:tcPr>
          <w:p w14:paraId="12F180F4" w14:textId="0F7A46BA"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55ECDDD1" w14:textId="77777777" w:rsidR="00B53006" w:rsidRPr="00154588" w:rsidRDefault="00B53006" w:rsidP="008C12B4">
            <w:pPr>
              <w:jc w:val="both"/>
              <w:rPr>
                <w:bCs/>
                <w:sz w:val="20"/>
                <w:szCs w:val="20"/>
              </w:rPr>
            </w:pPr>
          </w:p>
        </w:tc>
      </w:tr>
      <w:tr w:rsidR="00B53006" w:rsidRPr="00154588" w14:paraId="128B3326" w14:textId="77777777" w:rsidTr="00D15C1B">
        <w:trPr>
          <w:jc w:val="center"/>
        </w:trPr>
        <w:tc>
          <w:tcPr>
            <w:tcW w:w="4957" w:type="dxa"/>
            <w:gridSpan w:val="2"/>
          </w:tcPr>
          <w:p w14:paraId="5350FC0F" w14:textId="31D05E0C" w:rsidR="00B53006" w:rsidRPr="00154588" w:rsidRDefault="00B53006" w:rsidP="008C12B4">
            <w:pPr>
              <w:jc w:val="both"/>
              <w:rPr>
                <w:bCs/>
                <w:sz w:val="20"/>
                <w:szCs w:val="20"/>
              </w:rPr>
            </w:pPr>
            <w:r w:rsidRPr="00154588">
              <w:rPr>
                <w:bCs/>
                <w:sz w:val="20"/>
                <w:szCs w:val="20"/>
              </w:rPr>
              <w:t>(7)   Sub rezerva articolului 37 alineatul (7), orice contraprestație plătită de vehiculul de gestionare a activelor aferente activelor, drepturilor sau pasivelor dobândite în mod direct de la instituția aflată în rezoluție se fac în favoarea instituției aflată în rezoluție. Contraprestația poate fi plătită sub forma unei datorii emise de vehiculul de gestionare a activelor.</w:t>
            </w:r>
          </w:p>
        </w:tc>
        <w:tc>
          <w:tcPr>
            <w:tcW w:w="4819" w:type="dxa"/>
          </w:tcPr>
          <w:p w14:paraId="7417AEC7" w14:textId="77777777" w:rsidR="00B53006" w:rsidRPr="00154588" w:rsidRDefault="00B53006" w:rsidP="008C12B4">
            <w:pPr>
              <w:ind w:firstLine="567"/>
              <w:jc w:val="both"/>
              <w:rPr>
                <w:sz w:val="20"/>
                <w:szCs w:val="20"/>
              </w:rPr>
            </w:pPr>
            <w:r w:rsidRPr="00154588">
              <w:rPr>
                <w:b/>
                <w:sz w:val="20"/>
                <w:szCs w:val="20"/>
              </w:rPr>
              <w:t>Articolul 144.</w:t>
            </w:r>
            <w:r w:rsidRPr="00154588">
              <w:rPr>
                <w:sz w:val="20"/>
                <w:szCs w:val="20"/>
              </w:rPr>
              <w:t xml:space="preserve"> – Cu respectarea prevederilor art.91, orice contraprestaţie aferentă activelor, drepturilor sau obligaţiilor dobîndite în mod direct de la instituția supusă rezoluţiei se plăteşte de vehiculul de administrare a activelor în favoarea instituției supuse rezoluţiei. Contraprestaţia poate fi plătită prin instrumente de datorie emise de vehiculul de administrare a activelor.</w:t>
            </w:r>
          </w:p>
          <w:p w14:paraId="68FF8D1F" w14:textId="77777777" w:rsidR="00B53006" w:rsidRPr="00154588" w:rsidRDefault="00B53006" w:rsidP="008C12B4">
            <w:pPr>
              <w:jc w:val="both"/>
              <w:rPr>
                <w:bCs/>
                <w:sz w:val="20"/>
                <w:szCs w:val="20"/>
              </w:rPr>
            </w:pPr>
          </w:p>
        </w:tc>
        <w:tc>
          <w:tcPr>
            <w:tcW w:w="2552" w:type="dxa"/>
          </w:tcPr>
          <w:p w14:paraId="59D91A09" w14:textId="60F80FBB" w:rsidR="00B53006" w:rsidRPr="00154588" w:rsidRDefault="00B53006" w:rsidP="008C12B4">
            <w:pPr>
              <w:jc w:val="both"/>
              <w:rPr>
                <w:bCs/>
                <w:sz w:val="20"/>
                <w:szCs w:val="20"/>
              </w:rPr>
            </w:pPr>
            <w:r w:rsidRPr="00154588">
              <w:rPr>
                <w:bCs/>
                <w:sz w:val="20"/>
                <w:szCs w:val="20"/>
              </w:rPr>
              <w:t>Compatibil</w:t>
            </w:r>
          </w:p>
        </w:tc>
        <w:tc>
          <w:tcPr>
            <w:tcW w:w="3118" w:type="dxa"/>
          </w:tcPr>
          <w:p w14:paraId="78C8B776" w14:textId="77777777" w:rsidR="00B53006" w:rsidRPr="00154588" w:rsidRDefault="00B53006" w:rsidP="008C12B4">
            <w:pPr>
              <w:jc w:val="both"/>
              <w:rPr>
                <w:bCs/>
                <w:sz w:val="20"/>
                <w:szCs w:val="20"/>
              </w:rPr>
            </w:pPr>
          </w:p>
        </w:tc>
      </w:tr>
      <w:tr w:rsidR="00B53006" w:rsidRPr="00154588" w14:paraId="70244D9B" w14:textId="77777777" w:rsidTr="00D15C1B">
        <w:trPr>
          <w:jc w:val="center"/>
        </w:trPr>
        <w:tc>
          <w:tcPr>
            <w:tcW w:w="4957" w:type="dxa"/>
            <w:gridSpan w:val="2"/>
          </w:tcPr>
          <w:p w14:paraId="471799D2" w14:textId="2E320115" w:rsidR="00B53006" w:rsidRPr="00154588" w:rsidRDefault="00B53006" w:rsidP="008C12B4">
            <w:pPr>
              <w:jc w:val="both"/>
              <w:rPr>
                <w:bCs/>
                <w:sz w:val="20"/>
                <w:szCs w:val="20"/>
              </w:rPr>
            </w:pPr>
            <w:r w:rsidRPr="00154588">
              <w:rPr>
                <w:bCs/>
                <w:sz w:val="20"/>
                <w:szCs w:val="20"/>
              </w:rPr>
              <w:t>(8)   În cazul în care s-a aplicat instrumentul instituției punte, un vehicul de gestionare a activelor poate, după aplicarea instrumentului instituției-punte, să dobândească active, drepturi sau pasive de la instituția-punte.</w:t>
            </w:r>
          </w:p>
        </w:tc>
        <w:tc>
          <w:tcPr>
            <w:tcW w:w="4819" w:type="dxa"/>
          </w:tcPr>
          <w:p w14:paraId="53EF0DAA" w14:textId="77777777" w:rsidR="00B53006" w:rsidRPr="00154588" w:rsidRDefault="00B53006" w:rsidP="008C12B4">
            <w:pPr>
              <w:ind w:firstLine="567"/>
              <w:jc w:val="both"/>
              <w:rPr>
                <w:sz w:val="20"/>
                <w:szCs w:val="20"/>
              </w:rPr>
            </w:pPr>
            <w:r w:rsidRPr="00154588">
              <w:rPr>
                <w:b/>
                <w:sz w:val="20"/>
                <w:szCs w:val="20"/>
              </w:rPr>
              <w:t>Articolul 145.</w:t>
            </w:r>
            <w:r w:rsidRPr="00154588">
              <w:rPr>
                <w:sz w:val="20"/>
                <w:szCs w:val="20"/>
              </w:rPr>
              <w:t xml:space="preserve"> – În cazul în care s-a aplicat instrumentul instituției-punte, un vehicul de administrare a activelor poate, după aplicarea instrumentului instituției-punte, să dobîndească active, drepturi sau obligaţii de la instituția-punte.</w:t>
            </w:r>
          </w:p>
          <w:p w14:paraId="70CE45F0" w14:textId="77777777" w:rsidR="00B53006" w:rsidRPr="00154588" w:rsidRDefault="00B53006" w:rsidP="008C12B4">
            <w:pPr>
              <w:jc w:val="both"/>
              <w:rPr>
                <w:bCs/>
                <w:sz w:val="20"/>
                <w:szCs w:val="20"/>
              </w:rPr>
            </w:pPr>
          </w:p>
        </w:tc>
        <w:tc>
          <w:tcPr>
            <w:tcW w:w="2552" w:type="dxa"/>
          </w:tcPr>
          <w:p w14:paraId="1297E291" w14:textId="278061AF" w:rsidR="00B53006" w:rsidRPr="00154588" w:rsidRDefault="00B53006" w:rsidP="008C12B4">
            <w:pPr>
              <w:jc w:val="both"/>
              <w:rPr>
                <w:bCs/>
                <w:sz w:val="20"/>
                <w:szCs w:val="20"/>
              </w:rPr>
            </w:pPr>
            <w:r w:rsidRPr="00154588">
              <w:rPr>
                <w:bCs/>
                <w:sz w:val="20"/>
                <w:szCs w:val="20"/>
              </w:rPr>
              <w:t>Compatibil</w:t>
            </w:r>
          </w:p>
        </w:tc>
        <w:tc>
          <w:tcPr>
            <w:tcW w:w="3118" w:type="dxa"/>
          </w:tcPr>
          <w:p w14:paraId="67DB8CDF" w14:textId="77777777" w:rsidR="00B53006" w:rsidRPr="00154588" w:rsidRDefault="00B53006" w:rsidP="008C12B4">
            <w:pPr>
              <w:jc w:val="both"/>
              <w:rPr>
                <w:bCs/>
                <w:sz w:val="20"/>
                <w:szCs w:val="20"/>
              </w:rPr>
            </w:pPr>
          </w:p>
        </w:tc>
      </w:tr>
      <w:tr w:rsidR="00B53006" w:rsidRPr="00154588" w14:paraId="1767D4F0" w14:textId="77777777" w:rsidTr="00D15C1B">
        <w:trPr>
          <w:jc w:val="center"/>
        </w:trPr>
        <w:tc>
          <w:tcPr>
            <w:tcW w:w="4957" w:type="dxa"/>
            <w:gridSpan w:val="2"/>
          </w:tcPr>
          <w:p w14:paraId="1CC35CD5" w14:textId="77777777" w:rsidR="00B53006" w:rsidRPr="00154588" w:rsidRDefault="00B53006" w:rsidP="008C12B4">
            <w:pPr>
              <w:jc w:val="both"/>
              <w:rPr>
                <w:bCs/>
                <w:sz w:val="20"/>
                <w:szCs w:val="20"/>
              </w:rPr>
            </w:pPr>
            <w:r w:rsidRPr="00154588">
              <w:rPr>
                <w:bCs/>
                <w:sz w:val="20"/>
                <w:szCs w:val="20"/>
              </w:rPr>
              <w:t>(9)   Autoritățile de rezoluție pot transfera active, drepturi sau pasive de la instituția aflată în rezoluție la unul sau mai multe vehicule de gestionare a activelor în mai multe rânduri și pot transfera înapoi active, drepturi sau pasive de la unul sau mai multe vehicule de gestionare a activelor la instituția aflată în rezoluție, dacă și numai dacă sunt îndeplinite condițiile menționate la alineatul (10).</w:t>
            </w:r>
          </w:p>
          <w:p w14:paraId="0EB31EE6" w14:textId="77777777" w:rsidR="00B53006" w:rsidRPr="00154588" w:rsidRDefault="00B53006" w:rsidP="008C12B4">
            <w:pPr>
              <w:jc w:val="both"/>
              <w:rPr>
                <w:bCs/>
                <w:sz w:val="20"/>
                <w:szCs w:val="20"/>
              </w:rPr>
            </w:pPr>
          </w:p>
          <w:p w14:paraId="34171F94" w14:textId="0DCD0E88" w:rsidR="00B53006" w:rsidRPr="00154588" w:rsidRDefault="00B53006" w:rsidP="008C12B4">
            <w:pPr>
              <w:jc w:val="both"/>
              <w:rPr>
                <w:bCs/>
                <w:sz w:val="20"/>
                <w:szCs w:val="20"/>
              </w:rPr>
            </w:pPr>
            <w:r w:rsidRPr="00154588">
              <w:rPr>
                <w:bCs/>
                <w:sz w:val="20"/>
                <w:szCs w:val="20"/>
              </w:rPr>
              <w:t>Instituția aflată în rezoluție are obligația de a reprimi orice active, drepturi sau pasive de acest fel.</w:t>
            </w:r>
          </w:p>
        </w:tc>
        <w:tc>
          <w:tcPr>
            <w:tcW w:w="4819" w:type="dxa"/>
          </w:tcPr>
          <w:p w14:paraId="2BF0DD9F" w14:textId="77777777" w:rsidR="00B53006" w:rsidRPr="00154588" w:rsidRDefault="00B53006" w:rsidP="008C12B4">
            <w:pPr>
              <w:ind w:firstLine="567"/>
              <w:jc w:val="both"/>
              <w:rPr>
                <w:sz w:val="20"/>
                <w:szCs w:val="20"/>
              </w:rPr>
            </w:pPr>
            <w:r w:rsidRPr="00154588">
              <w:rPr>
                <w:b/>
                <w:sz w:val="20"/>
                <w:szCs w:val="20"/>
              </w:rPr>
              <w:t>Articolul 146.</w:t>
            </w:r>
            <w:r w:rsidRPr="00154588">
              <w:rPr>
                <w:sz w:val="20"/>
                <w:szCs w:val="20"/>
              </w:rPr>
              <w:t xml:space="preserve"> – (1) Banca Naţională a Moldovei, în calitate de autoritate de rezoluţie, poate transfera active, drepturi sau obligaţii de la instituția supusă rezoluţiei la unul sau mai multe vehicule de administrare a activelor în mai multe rînduri şi poate transfera înapoi active, drepturi sau obligaţii de la unul sau mai multe vehicule de administrare a activelor la instituția supusă rezoluţiei, numai dacă sînt îndeplinite condiţiile prevăzute la art.147.</w:t>
            </w:r>
          </w:p>
          <w:p w14:paraId="5272D45C" w14:textId="77777777" w:rsidR="00B53006" w:rsidRPr="00154588" w:rsidRDefault="00B53006" w:rsidP="008C12B4">
            <w:pPr>
              <w:ind w:firstLine="567"/>
              <w:jc w:val="both"/>
              <w:rPr>
                <w:sz w:val="20"/>
                <w:szCs w:val="20"/>
              </w:rPr>
            </w:pPr>
            <w:r w:rsidRPr="00154588">
              <w:rPr>
                <w:sz w:val="20"/>
                <w:szCs w:val="20"/>
              </w:rPr>
              <w:t>(2) Instituția supusă rezoluţiei are obligaţia de a reprimi orice astfel de active, drepturi sau obligaţii.</w:t>
            </w:r>
          </w:p>
          <w:p w14:paraId="40F804BE" w14:textId="77777777" w:rsidR="00B53006" w:rsidRPr="00154588" w:rsidRDefault="00B53006" w:rsidP="008C12B4">
            <w:pPr>
              <w:jc w:val="both"/>
              <w:rPr>
                <w:bCs/>
                <w:sz w:val="20"/>
                <w:szCs w:val="20"/>
              </w:rPr>
            </w:pPr>
          </w:p>
        </w:tc>
        <w:tc>
          <w:tcPr>
            <w:tcW w:w="2552" w:type="dxa"/>
          </w:tcPr>
          <w:p w14:paraId="347664AF" w14:textId="03304DDF" w:rsidR="00B53006" w:rsidRPr="00154588" w:rsidRDefault="00B53006" w:rsidP="008C12B4">
            <w:pPr>
              <w:jc w:val="both"/>
              <w:rPr>
                <w:bCs/>
                <w:sz w:val="20"/>
                <w:szCs w:val="20"/>
              </w:rPr>
            </w:pPr>
            <w:r w:rsidRPr="00154588">
              <w:rPr>
                <w:bCs/>
                <w:sz w:val="20"/>
                <w:szCs w:val="20"/>
              </w:rPr>
              <w:t>Compatibil</w:t>
            </w:r>
          </w:p>
        </w:tc>
        <w:tc>
          <w:tcPr>
            <w:tcW w:w="3118" w:type="dxa"/>
          </w:tcPr>
          <w:p w14:paraId="3D015714" w14:textId="77777777" w:rsidR="00B53006" w:rsidRPr="00154588" w:rsidRDefault="00B53006" w:rsidP="008C12B4">
            <w:pPr>
              <w:jc w:val="both"/>
              <w:rPr>
                <w:bCs/>
                <w:sz w:val="20"/>
                <w:szCs w:val="20"/>
              </w:rPr>
            </w:pPr>
          </w:p>
        </w:tc>
      </w:tr>
      <w:tr w:rsidR="00B53006" w:rsidRPr="00154588" w14:paraId="6F3269F8" w14:textId="77777777" w:rsidTr="00D15C1B">
        <w:trPr>
          <w:jc w:val="center"/>
        </w:trPr>
        <w:tc>
          <w:tcPr>
            <w:tcW w:w="4957" w:type="dxa"/>
            <w:gridSpan w:val="2"/>
          </w:tcPr>
          <w:p w14:paraId="04C16FCF" w14:textId="77777777" w:rsidR="00B53006" w:rsidRPr="00154588" w:rsidRDefault="00B53006" w:rsidP="008C12B4">
            <w:pPr>
              <w:jc w:val="both"/>
              <w:rPr>
                <w:bCs/>
                <w:sz w:val="20"/>
                <w:szCs w:val="20"/>
              </w:rPr>
            </w:pPr>
            <w:r w:rsidRPr="00154588">
              <w:rPr>
                <w:bCs/>
                <w:sz w:val="20"/>
                <w:szCs w:val="20"/>
              </w:rPr>
              <w:t>(10)   Autoritățile de rezoluție pot transfera înapoi drepturi, active sau pasive, de la vehiculul de gestionare a activelor la instituția aflată în rezoluție, într-una dintre următoarele situații:</w:t>
            </w:r>
          </w:p>
          <w:p w14:paraId="6CBDC773" w14:textId="77777777" w:rsidR="00B53006" w:rsidRPr="00154588" w:rsidRDefault="00B53006" w:rsidP="008C12B4">
            <w:pPr>
              <w:jc w:val="both"/>
              <w:rPr>
                <w:bCs/>
                <w:sz w:val="20"/>
                <w:szCs w:val="20"/>
              </w:rPr>
            </w:pPr>
          </w:p>
          <w:p w14:paraId="659A56FF" w14:textId="77777777" w:rsidR="00B53006" w:rsidRPr="00154588" w:rsidRDefault="00B53006" w:rsidP="008C12B4">
            <w:pPr>
              <w:jc w:val="both"/>
              <w:rPr>
                <w:bCs/>
                <w:sz w:val="20"/>
                <w:szCs w:val="20"/>
              </w:rPr>
            </w:pPr>
          </w:p>
          <w:p w14:paraId="7823D186" w14:textId="77777777" w:rsidR="00B53006" w:rsidRPr="00154588" w:rsidRDefault="00B53006" w:rsidP="008C12B4">
            <w:pPr>
              <w:jc w:val="both"/>
              <w:rPr>
                <w:bCs/>
                <w:sz w:val="20"/>
                <w:szCs w:val="20"/>
              </w:rPr>
            </w:pPr>
          </w:p>
          <w:p w14:paraId="547EEE42" w14:textId="6D0872AA" w:rsidR="00B53006" w:rsidRPr="00154588" w:rsidRDefault="00B53006" w:rsidP="008C12B4">
            <w:pPr>
              <w:jc w:val="both"/>
              <w:rPr>
                <w:bCs/>
                <w:sz w:val="20"/>
                <w:szCs w:val="20"/>
              </w:rPr>
            </w:pPr>
            <w:r w:rsidRPr="00154588">
              <w:rPr>
                <w:bCs/>
                <w:sz w:val="20"/>
                <w:szCs w:val="20"/>
              </w:rPr>
              <w:t>(a) atunci când posibilitatea ca anumite drepturi, active sau pasive specifice să fie transferate înapoi este precizată în mod expres în cadrul instrumentului prin care este efectuat transferul;</w:t>
            </w:r>
          </w:p>
          <w:p w14:paraId="24873FCE" w14:textId="77777777" w:rsidR="00B53006" w:rsidRPr="00154588" w:rsidRDefault="00B53006" w:rsidP="008C12B4">
            <w:pPr>
              <w:jc w:val="both"/>
              <w:rPr>
                <w:bCs/>
                <w:sz w:val="20"/>
                <w:szCs w:val="20"/>
              </w:rPr>
            </w:pPr>
          </w:p>
          <w:p w14:paraId="112DB6B7" w14:textId="77777777" w:rsidR="00B53006" w:rsidRPr="00154588" w:rsidRDefault="00B53006" w:rsidP="008C12B4">
            <w:pPr>
              <w:jc w:val="both"/>
              <w:rPr>
                <w:bCs/>
                <w:sz w:val="20"/>
                <w:szCs w:val="20"/>
              </w:rPr>
            </w:pPr>
            <w:r w:rsidRPr="00154588">
              <w:rPr>
                <w:bCs/>
                <w:sz w:val="20"/>
                <w:szCs w:val="20"/>
              </w:rPr>
              <w:t>(b) atunci când aceste drepturi, active sau pasive specifice nu îndeplinesc condițiile de transfer sau nu se încadrează în categoria drepturilor, activelor sau pasivelor specificate în cadrul instrumentului prin care este efectuat transferul.</w:t>
            </w:r>
          </w:p>
          <w:p w14:paraId="766C7178" w14:textId="77777777" w:rsidR="00B53006" w:rsidRPr="00154588" w:rsidRDefault="00B53006" w:rsidP="008C12B4">
            <w:pPr>
              <w:jc w:val="both"/>
              <w:rPr>
                <w:bCs/>
                <w:sz w:val="20"/>
                <w:szCs w:val="20"/>
              </w:rPr>
            </w:pPr>
          </w:p>
          <w:p w14:paraId="54470C44" w14:textId="1F4FE68A" w:rsidR="00B53006" w:rsidRPr="00154588" w:rsidRDefault="00B53006" w:rsidP="008C12B4">
            <w:pPr>
              <w:jc w:val="both"/>
              <w:rPr>
                <w:bCs/>
                <w:sz w:val="20"/>
                <w:szCs w:val="20"/>
              </w:rPr>
            </w:pPr>
            <w:r w:rsidRPr="00154588">
              <w:rPr>
                <w:bCs/>
                <w:sz w:val="20"/>
                <w:szCs w:val="20"/>
              </w:rPr>
              <w:t>În oricare dintre cazurile prevăzute la literele (a) și (b), transferul înapoi se poate efectua în orice momentt și respectă orice alte condiții stipulate în cadrul instrumentului respectiv pentru scopul în cauză.</w:t>
            </w:r>
          </w:p>
        </w:tc>
        <w:tc>
          <w:tcPr>
            <w:tcW w:w="4819" w:type="dxa"/>
          </w:tcPr>
          <w:p w14:paraId="084D4694" w14:textId="77777777" w:rsidR="00B53006" w:rsidRPr="00154588" w:rsidRDefault="00B53006" w:rsidP="008C12B4">
            <w:pPr>
              <w:ind w:firstLine="567"/>
              <w:jc w:val="both"/>
              <w:rPr>
                <w:sz w:val="20"/>
                <w:szCs w:val="20"/>
              </w:rPr>
            </w:pPr>
            <w:r w:rsidRPr="00154588">
              <w:rPr>
                <w:b/>
                <w:sz w:val="20"/>
                <w:szCs w:val="20"/>
              </w:rPr>
              <w:lastRenderedPageBreak/>
              <w:t>Articolul 147.</w:t>
            </w:r>
            <w:r w:rsidRPr="00154588">
              <w:rPr>
                <w:sz w:val="20"/>
                <w:szCs w:val="20"/>
              </w:rPr>
              <w:t xml:space="preserve"> – (1) Banca Naţională a Moldovei, în calitate de autoritate de rezoluţie, poate transfera înapoi drepturi, active sau obligaţii, de la vehiculul de administrare a activelor la instituția supusă rezoluţiei, într-una dintre următoarele situaţii:</w:t>
            </w:r>
          </w:p>
          <w:p w14:paraId="1799547D" w14:textId="77777777" w:rsidR="00B53006" w:rsidRPr="00154588" w:rsidRDefault="00B53006" w:rsidP="008C12B4">
            <w:pPr>
              <w:ind w:firstLine="567"/>
              <w:jc w:val="both"/>
              <w:rPr>
                <w:sz w:val="20"/>
                <w:szCs w:val="20"/>
              </w:rPr>
            </w:pPr>
            <w:r w:rsidRPr="00154588">
              <w:rPr>
                <w:sz w:val="20"/>
                <w:szCs w:val="20"/>
              </w:rPr>
              <w:t>a) în situaţia în care posibilitatea ca respectivele drepturi, active sau obligaţii să fie transferate înapoi este precizată în mod expres în cadrul deciziei de aplicare a instrumentului de separare a activelor, în baza căreia s-a efectuat transferul;</w:t>
            </w:r>
          </w:p>
          <w:p w14:paraId="704B0624" w14:textId="77777777" w:rsidR="00B53006" w:rsidRPr="00154588" w:rsidRDefault="00B53006" w:rsidP="008C12B4">
            <w:pPr>
              <w:ind w:firstLine="567"/>
              <w:jc w:val="both"/>
              <w:rPr>
                <w:sz w:val="20"/>
                <w:szCs w:val="20"/>
              </w:rPr>
            </w:pPr>
            <w:r w:rsidRPr="00154588">
              <w:rPr>
                <w:sz w:val="20"/>
                <w:szCs w:val="20"/>
              </w:rPr>
              <w:t>b) în situaţia în care respectivele drepturi, active sau obligaţii nu îndeplinesc condiţiile de transfer sau nu se încadrează în categoria drepturilor, activelor sau obligaţiilor specificate în cadrul deciziei prevăzute la lit.a).</w:t>
            </w:r>
          </w:p>
          <w:p w14:paraId="09377EE7" w14:textId="77777777" w:rsidR="00B53006" w:rsidRPr="00154588" w:rsidRDefault="00B53006" w:rsidP="008C12B4">
            <w:pPr>
              <w:ind w:firstLine="567"/>
              <w:jc w:val="both"/>
              <w:rPr>
                <w:sz w:val="20"/>
                <w:szCs w:val="20"/>
              </w:rPr>
            </w:pPr>
            <w:r w:rsidRPr="00154588">
              <w:rPr>
                <w:sz w:val="20"/>
                <w:szCs w:val="20"/>
              </w:rPr>
              <w:lastRenderedPageBreak/>
              <w:t>(2) În oricare dintre cazurile prevăzute la alin.(1), transferul înapoi se poate efectua în orice moment şi respectă orice alte condiţii stipulate în cadrul deciziei de aplicare a instrumentului de separare a activelor, în scopul realizării transferului respectiv.</w:t>
            </w:r>
          </w:p>
          <w:p w14:paraId="72A088A8" w14:textId="77777777" w:rsidR="00B53006" w:rsidRPr="00154588" w:rsidRDefault="00B53006" w:rsidP="008C12B4">
            <w:pPr>
              <w:jc w:val="both"/>
              <w:rPr>
                <w:bCs/>
                <w:sz w:val="20"/>
                <w:szCs w:val="20"/>
              </w:rPr>
            </w:pPr>
          </w:p>
        </w:tc>
        <w:tc>
          <w:tcPr>
            <w:tcW w:w="2552" w:type="dxa"/>
          </w:tcPr>
          <w:p w14:paraId="1BCAB683" w14:textId="6F280893"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4AC892C3" w14:textId="77777777" w:rsidR="00B53006" w:rsidRPr="00154588" w:rsidRDefault="00B53006" w:rsidP="008C12B4">
            <w:pPr>
              <w:jc w:val="both"/>
              <w:rPr>
                <w:bCs/>
                <w:sz w:val="20"/>
                <w:szCs w:val="20"/>
              </w:rPr>
            </w:pPr>
          </w:p>
        </w:tc>
      </w:tr>
      <w:tr w:rsidR="00B53006" w:rsidRPr="00154588" w14:paraId="544C1D48" w14:textId="77777777" w:rsidTr="00D15C1B">
        <w:trPr>
          <w:jc w:val="center"/>
        </w:trPr>
        <w:tc>
          <w:tcPr>
            <w:tcW w:w="4957" w:type="dxa"/>
            <w:gridSpan w:val="2"/>
          </w:tcPr>
          <w:p w14:paraId="455DBEEA" w14:textId="07B134BF" w:rsidR="00B53006" w:rsidRPr="00154588" w:rsidRDefault="00B53006" w:rsidP="008C12B4">
            <w:pPr>
              <w:jc w:val="both"/>
              <w:rPr>
                <w:bCs/>
                <w:sz w:val="20"/>
                <w:szCs w:val="20"/>
              </w:rPr>
            </w:pPr>
            <w:r w:rsidRPr="00154588">
              <w:rPr>
                <w:bCs/>
                <w:sz w:val="20"/>
                <w:szCs w:val="20"/>
              </w:rPr>
              <w:t>(11)   Transferurile între instituția aflată în rezoluție și vehiculul de gestionare a activelor trebuie să facă obiectul mecanismelor de siguranță privind transferurile parțiale de proprietate specificate în titlul IV capitolul VII.</w:t>
            </w:r>
          </w:p>
        </w:tc>
        <w:tc>
          <w:tcPr>
            <w:tcW w:w="4819" w:type="dxa"/>
          </w:tcPr>
          <w:p w14:paraId="4D49463F" w14:textId="77777777" w:rsidR="00B53006" w:rsidRPr="00154588" w:rsidRDefault="00B53006" w:rsidP="008C12B4">
            <w:pPr>
              <w:ind w:firstLine="567"/>
              <w:jc w:val="both"/>
              <w:rPr>
                <w:sz w:val="20"/>
                <w:szCs w:val="20"/>
              </w:rPr>
            </w:pPr>
            <w:r w:rsidRPr="00154588">
              <w:rPr>
                <w:b/>
                <w:sz w:val="20"/>
                <w:szCs w:val="20"/>
              </w:rPr>
              <w:t>Articolul 148.</w:t>
            </w:r>
            <w:r w:rsidRPr="00154588">
              <w:rPr>
                <w:sz w:val="20"/>
                <w:szCs w:val="20"/>
              </w:rPr>
              <w:t xml:space="preserve"> – Transferurile între instituția supusă rezoluţiei şi vehiculul de administrare a activelor trebuie să facă obiectul mecanismelor de siguranţă privind transferurile parţiale de proprietate specificate la art.262-276.</w:t>
            </w:r>
          </w:p>
          <w:p w14:paraId="062EA6A3" w14:textId="77777777" w:rsidR="00B53006" w:rsidRPr="00154588" w:rsidRDefault="00B53006" w:rsidP="008C12B4">
            <w:pPr>
              <w:jc w:val="both"/>
              <w:rPr>
                <w:bCs/>
                <w:sz w:val="20"/>
                <w:szCs w:val="20"/>
              </w:rPr>
            </w:pPr>
          </w:p>
        </w:tc>
        <w:tc>
          <w:tcPr>
            <w:tcW w:w="2552" w:type="dxa"/>
          </w:tcPr>
          <w:p w14:paraId="201F27A3" w14:textId="6DDDE1D1" w:rsidR="00B53006" w:rsidRPr="00154588" w:rsidRDefault="00B53006" w:rsidP="008C12B4">
            <w:pPr>
              <w:jc w:val="both"/>
              <w:rPr>
                <w:bCs/>
                <w:sz w:val="20"/>
                <w:szCs w:val="20"/>
              </w:rPr>
            </w:pPr>
            <w:r w:rsidRPr="00154588">
              <w:rPr>
                <w:bCs/>
                <w:sz w:val="20"/>
                <w:szCs w:val="20"/>
              </w:rPr>
              <w:t>Compatibil</w:t>
            </w:r>
          </w:p>
        </w:tc>
        <w:tc>
          <w:tcPr>
            <w:tcW w:w="3118" w:type="dxa"/>
          </w:tcPr>
          <w:p w14:paraId="6640677D" w14:textId="77777777" w:rsidR="00B53006" w:rsidRPr="00154588" w:rsidRDefault="00B53006" w:rsidP="008C12B4">
            <w:pPr>
              <w:jc w:val="both"/>
              <w:rPr>
                <w:bCs/>
                <w:sz w:val="20"/>
                <w:szCs w:val="20"/>
              </w:rPr>
            </w:pPr>
          </w:p>
        </w:tc>
      </w:tr>
      <w:tr w:rsidR="00B53006" w:rsidRPr="00154588" w14:paraId="4E4E54DC" w14:textId="77777777" w:rsidTr="00D15C1B">
        <w:trPr>
          <w:jc w:val="center"/>
        </w:trPr>
        <w:tc>
          <w:tcPr>
            <w:tcW w:w="4957" w:type="dxa"/>
            <w:gridSpan w:val="2"/>
          </w:tcPr>
          <w:p w14:paraId="22FE2E3C" w14:textId="45AC607F" w:rsidR="00B53006" w:rsidRPr="00154588" w:rsidRDefault="00B53006" w:rsidP="008C12B4">
            <w:pPr>
              <w:jc w:val="both"/>
              <w:rPr>
                <w:bCs/>
                <w:sz w:val="20"/>
                <w:szCs w:val="20"/>
              </w:rPr>
            </w:pPr>
            <w:r w:rsidRPr="00154588">
              <w:rPr>
                <w:bCs/>
                <w:sz w:val="20"/>
                <w:szCs w:val="20"/>
              </w:rPr>
              <w:t>(12)   Fără a aduce atingere titlului IV capitolul VII, acționarii sau creditorii instituției aflate în rezoluție și alte părți terțe ale căror active, drepturi sau pasive nu sunt transferate vehiculului de gestionare a activelor nu au niciun fel de drepturi asupra activelor, drepturilor sau pasivelor transferate vehiculului de gestionare a activelor sau organului de conducere sau conducerii superioare ale acestuia, ori în legătură cu acestea.</w:t>
            </w:r>
          </w:p>
        </w:tc>
        <w:tc>
          <w:tcPr>
            <w:tcW w:w="4819" w:type="dxa"/>
          </w:tcPr>
          <w:p w14:paraId="1B465C0C" w14:textId="77777777" w:rsidR="00B53006" w:rsidRPr="00154588" w:rsidRDefault="00B53006" w:rsidP="008C12B4">
            <w:pPr>
              <w:ind w:firstLine="567"/>
              <w:jc w:val="both"/>
              <w:rPr>
                <w:sz w:val="20"/>
                <w:szCs w:val="20"/>
              </w:rPr>
            </w:pPr>
            <w:r w:rsidRPr="00154588">
              <w:rPr>
                <w:b/>
                <w:sz w:val="20"/>
                <w:szCs w:val="20"/>
              </w:rPr>
              <w:t>Articolul 149.</w:t>
            </w:r>
            <w:r w:rsidRPr="00154588">
              <w:rPr>
                <w:sz w:val="20"/>
                <w:szCs w:val="20"/>
              </w:rPr>
              <w:t xml:space="preserve"> – Fără a aduce atingere prevederilor art.262-276, acţionarii sau creditorii instituției supuse rezoluţiei şi alte părţi terţe ale căror active, drepturi sau obligaţii nu sînt transferate vehiculului de administrare a activelor nu au niciun drept asupra activelor, drepturilor sau obligaţiilor transferate vehiculului de administrare a activelor, organului de conducere sau conducerii superioare al acestuia ori în legătură cu acestea.</w:t>
            </w:r>
          </w:p>
          <w:p w14:paraId="1F6D4718" w14:textId="77777777" w:rsidR="00B53006" w:rsidRPr="00154588" w:rsidRDefault="00B53006" w:rsidP="008C12B4">
            <w:pPr>
              <w:jc w:val="both"/>
              <w:rPr>
                <w:bCs/>
                <w:sz w:val="20"/>
                <w:szCs w:val="20"/>
              </w:rPr>
            </w:pPr>
          </w:p>
        </w:tc>
        <w:tc>
          <w:tcPr>
            <w:tcW w:w="2552" w:type="dxa"/>
          </w:tcPr>
          <w:p w14:paraId="2FA1FDC6" w14:textId="742D0DC7" w:rsidR="00B53006" w:rsidRPr="00154588" w:rsidRDefault="00B53006" w:rsidP="008C12B4">
            <w:pPr>
              <w:jc w:val="both"/>
              <w:rPr>
                <w:bCs/>
                <w:sz w:val="20"/>
                <w:szCs w:val="20"/>
              </w:rPr>
            </w:pPr>
            <w:r w:rsidRPr="00154588">
              <w:rPr>
                <w:bCs/>
                <w:sz w:val="20"/>
                <w:szCs w:val="20"/>
              </w:rPr>
              <w:t>Compatibil</w:t>
            </w:r>
          </w:p>
        </w:tc>
        <w:tc>
          <w:tcPr>
            <w:tcW w:w="3118" w:type="dxa"/>
          </w:tcPr>
          <w:p w14:paraId="74917416" w14:textId="77777777" w:rsidR="00B53006" w:rsidRPr="00154588" w:rsidRDefault="00B53006" w:rsidP="008C12B4">
            <w:pPr>
              <w:jc w:val="both"/>
              <w:rPr>
                <w:bCs/>
                <w:sz w:val="20"/>
                <w:szCs w:val="20"/>
              </w:rPr>
            </w:pPr>
          </w:p>
        </w:tc>
      </w:tr>
      <w:tr w:rsidR="00B53006" w:rsidRPr="00154588" w14:paraId="7B372154" w14:textId="77777777" w:rsidTr="00D15C1B">
        <w:trPr>
          <w:jc w:val="center"/>
        </w:trPr>
        <w:tc>
          <w:tcPr>
            <w:tcW w:w="4957" w:type="dxa"/>
            <w:gridSpan w:val="2"/>
          </w:tcPr>
          <w:p w14:paraId="095DCFCE" w14:textId="77777777" w:rsidR="00B53006" w:rsidRPr="00154588" w:rsidRDefault="00B53006" w:rsidP="008C12B4">
            <w:pPr>
              <w:jc w:val="both"/>
              <w:rPr>
                <w:bCs/>
                <w:sz w:val="20"/>
                <w:szCs w:val="20"/>
              </w:rPr>
            </w:pPr>
            <w:r w:rsidRPr="00154588">
              <w:rPr>
                <w:bCs/>
                <w:sz w:val="20"/>
                <w:szCs w:val="20"/>
              </w:rPr>
              <w:t>(13)   Obiectivele vehiculului de gestionare a activelor nu implică nicio îndatorire sau responsabilitate față de acționarii sau creditorii instituției aflate în rezoluție, iar organul de conducere sau conducerea superioară nu are nicio răspundere față de acționarii sau creditorii respectivi pentru actele sau omisiunile săvârșite în îndeplinirea atribuțiilor lor, cu excepția cazului în care actul sau omisiunea în cauză implică o neglijență sau o abatere gravă în conformitate cu dreptul intern, care afectează în mod direct drepturile acționarilor sau creditorilor.</w:t>
            </w:r>
          </w:p>
          <w:p w14:paraId="7F94B9E9" w14:textId="77777777" w:rsidR="00B53006" w:rsidRPr="00154588" w:rsidRDefault="00B53006" w:rsidP="008C12B4">
            <w:pPr>
              <w:jc w:val="both"/>
              <w:rPr>
                <w:bCs/>
                <w:sz w:val="20"/>
                <w:szCs w:val="20"/>
              </w:rPr>
            </w:pPr>
          </w:p>
          <w:p w14:paraId="4B4D9E13" w14:textId="3847BDE1" w:rsidR="00B53006" w:rsidRPr="00154588" w:rsidRDefault="00B53006" w:rsidP="008C12B4">
            <w:pPr>
              <w:jc w:val="both"/>
              <w:rPr>
                <w:bCs/>
                <w:sz w:val="20"/>
                <w:szCs w:val="20"/>
              </w:rPr>
            </w:pPr>
            <w:r w:rsidRPr="00154588">
              <w:rPr>
                <w:bCs/>
                <w:sz w:val="20"/>
                <w:szCs w:val="20"/>
              </w:rPr>
              <w:t>În conformitate cu dreptul intern, statele membre pot limita mai mult răspunderea vehiculelor de gestionare a activelor și a organului de conducere sau a conducerii superioare a acestora în ceea ce privește actele și omisiunile săvârșite în îndeplinirea atribuțiilor lor.</w:t>
            </w:r>
          </w:p>
        </w:tc>
        <w:tc>
          <w:tcPr>
            <w:tcW w:w="4819" w:type="dxa"/>
          </w:tcPr>
          <w:p w14:paraId="651B09DE" w14:textId="77777777" w:rsidR="00B53006" w:rsidRPr="00154588" w:rsidRDefault="00B53006" w:rsidP="008C12B4">
            <w:pPr>
              <w:ind w:firstLine="567"/>
              <w:jc w:val="both"/>
              <w:rPr>
                <w:sz w:val="20"/>
                <w:szCs w:val="20"/>
              </w:rPr>
            </w:pPr>
            <w:r w:rsidRPr="00154588">
              <w:rPr>
                <w:b/>
                <w:sz w:val="20"/>
                <w:szCs w:val="20"/>
              </w:rPr>
              <w:t>Articolul 150.</w:t>
            </w:r>
            <w:r w:rsidRPr="00154588">
              <w:rPr>
                <w:sz w:val="20"/>
                <w:szCs w:val="20"/>
              </w:rPr>
              <w:t xml:space="preserve"> – Obiectivele vehiculului de administrare a activelor nu implică nicio obligaţie sau responsabilitate a acestuia faţă de acţionarii sau creditorii instituției supuse rezoluţiei, iar organul de conducere sau conducerea superioară nu răspunde faţă de acţionarii sau creditorii respectivi pentru actele săvîrşite şi omisiunile înregistrate în îndeplinirea atribuţiilor lor, cu excepţia cazului în care actul sau omisiunea în cauză implică intenţia sau neglijenţa gravă potrivit legii, care afectează în mod direct drepturile acţionarilor sau creditorilor.</w:t>
            </w:r>
          </w:p>
          <w:p w14:paraId="137E4718" w14:textId="77777777" w:rsidR="00B53006" w:rsidRPr="00154588" w:rsidRDefault="00B53006" w:rsidP="008C12B4">
            <w:pPr>
              <w:jc w:val="both"/>
              <w:rPr>
                <w:bCs/>
                <w:sz w:val="20"/>
                <w:szCs w:val="20"/>
              </w:rPr>
            </w:pPr>
          </w:p>
        </w:tc>
        <w:tc>
          <w:tcPr>
            <w:tcW w:w="2552" w:type="dxa"/>
          </w:tcPr>
          <w:p w14:paraId="6087806A" w14:textId="7F76790F" w:rsidR="00B53006" w:rsidRPr="00154588" w:rsidRDefault="00B53006" w:rsidP="008C12B4">
            <w:pPr>
              <w:jc w:val="both"/>
              <w:rPr>
                <w:bCs/>
                <w:sz w:val="20"/>
                <w:szCs w:val="20"/>
              </w:rPr>
            </w:pPr>
            <w:r w:rsidRPr="00154588">
              <w:rPr>
                <w:bCs/>
                <w:sz w:val="20"/>
                <w:szCs w:val="20"/>
              </w:rPr>
              <w:t>Compatibil</w:t>
            </w:r>
          </w:p>
        </w:tc>
        <w:tc>
          <w:tcPr>
            <w:tcW w:w="3118" w:type="dxa"/>
          </w:tcPr>
          <w:p w14:paraId="4956596B" w14:textId="77777777" w:rsidR="00B53006" w:rsidRPr="00154588" w:rsidRDefault="00B53006" w:rsidP="008C12B4">
            <w:pPr>
              <w:jc w:val="both"/>
              <w:rPr>
                <w:bCs/>
                <w:sz w:val="20"/>
                <w:szCs w:val="20"/>
              </w:rPr>
            </w:pPr>
          </w:p>
        </w:tc>
      </w:tr>
      <w:tr w:rsidR="00B53006" w:rsidRPr="00154588" w14:paraId="0214D555" w14:textId="77777777" w:rsidTr="00D15C1B">
        <w:trPr>
          <w:jc w:val="center"/>
        </w:trPr>
        <w:tc>
          <w:tcPr>
            <w:tcW w:w="4957" w:type="dxa"/>
            <w:gridSpan w:val="2"/>
          </w:tcPr>
          <w:p w14:paraId="2D41BD01" w14:textId="58BFAC08" w:rsidR="00B53006" w:rsidRPr="00154588" w:rsidRDefault="00B53006" w:rsidP="008C12B4">
            <w:pPr>
              <w:jc w:val="both"/>
              <w:rPr>
                <w:bCs/>
                <w:sz w:val="20"/>
                <w:szCs w:val="20"/>
              </w:rPr>
            </w:pPr>
            <w:r w:rsidRPr="00154588">
              <w:rPr>
                <w:bCs/>
                <w:sz w:val="20"/>
                <w:szCs w:val="20"/>
              </w:rPr>
              <w:t xml:space="preserve">(14)   Până la 3 iulie 2015, ABE emite orientări, în conformitate articolul 16 din Regulamentul (UE) nr. 1093/2010 pentru a promova convergența procedurilor de supraveghere și de rezoluție în ceea </w:t>
            </w:r>
            <w:r w:rsidRPr="00154588">
              <w:rPr>
                <w:bCs/>
                <w:sz w:val="20"/>
                <w:szCs w:val="20"/>
              </w:rPr>
              <w:lastRenderedPageBreak/>
              <w:t>ce privește stabilirea situațiilor în care, în conformitate cu alineatul (5) din prezentul articol, lichidarea activelor sau a pasivelor în cadrul procedurii obișnuite de insolvență ar putea avea un efect negativ pe una sau mai mule piețe financiare.</w:t>
            </w:r>
          </w:p>
        </w:tc>
        <w:tc>
          <w:tcPr>
            <w:tcW w:w="4819" w:type="dxa"/>
          </w:tcPr>
          <w:p w14:paraId="6CCF5148" w14:textId="77777777" w:rsidR="00B53006" w:rsidRPr="00154588" w:rsidRDefault="00B53006" w:rsidP="008C12B4">
            <w:pPr>
              <w:jc w:val="both"/>
              <w:rPr>
                <w:bCs/>
                <w:sz w:val="20"/>
                <w:szCs w:val="20"/>
              </w:rPr>
            </w:pPr>
          </w:p>
        </w:tc>
        <w:tc>
          <w:tcPr>
            <w:tcW w:w="2552" w:type="dxa"/>
          </w:tcPr>
          <w:p w14:paraId="65298ECB" w14:textId="7879D145" w:rsidR="00B53006" w:rsidRPr="00154588" w:rsidRDefault="00B53006" w:rsidP="008C12B4">
            <w:pPr>
              <w:jc w:val="both"/>
              <w:rPr>
                <w:bCs/>
                <w:sz w:val="20"/>
                <w:szCs w:val="20"/>
              </w:rPr>
            </w:pPr>
            <w:r w:rsidRPr="00154588">
              <w:rPr>
                <w:bCs/>
                <w:sz w:val="20"/>
                <w:szCs w:val="20"/>
              </w:rPr>
              <w:t>Prevederi UE neaplicabile</w:t>
            </w:r>
          </w:p>
        </w:tc>
        <w:tc>
          <w:tcPr>
            <w:tcW w:w="3118" w:type="dxa"/>
          </w:tcPr>
          <w:p w14:paraId="0657EEFF" w14:textId="211A650A" w:rsidR="00B53006" w:rsidRPr="00154588" w:rsidRDefault="00B53006" w:rsidP="008C12B4">
            <w:pPr>
              <w:jc w:val="both"/>
              <w:rPr>
                <w:bCs/>
                <w:sz w:val="20"/>
                <w:szCs w:val="20"/>
              </w:rPr>
            </w:pPr>
            <w:r w:rsidRPr="00154588">
              <w:rPr>
                <w:bCs/>
                <w:sz w:val="20"/>
                <w:szCs w:val="20"/>
                <w:lang w:val="ro-MD"/>
              </w:rPr>
              <w:t>Prevederi care se referă la atribuțiile de reglementare ale autorităților europene.</w:t>
            </w:r>
          </w:p>
        </w:tc>
      </w:tr>
      <w:tr w:rsidR="00B53006" w:rsidRPr="00154588" w14:paraId="6DD4E891" w14:textId="77777777" w:rsidTr="00D15C1B">
        <w:trPr>
          <w:jc w:val="center"/>
        </w:trPr>
        <w:tc>
          <w:tcPr>
            <w:tcW w:w="4957" w:type="dxa"/>
            <w:gridSpan w:val="2"/>
          </w:tcPr>
          <w:p w14:paraId="195B3558" w14:textId="77777777" w:rsidR="00B53006" w:rsidRPr="00154588" w:rsidRDefault="00B53006" w:rsidP="008C12B4">
            <w:pPr>
              <w:rPr>
                <w:b/>
                <w:sz w:val="20"/>
                <w:szCs w:val="20"/>
              </w:rPr>
            </w:pPr>
            <w:r w:rsidRPr="00154588">
              <w:rPr>
                <w:b/>
                <w:sz w:val="20"/>
                <w:szCs w:val="20"/>
              </w:rPr>
              <w:t>Subsecțiunea 1</w:t>
            </w:r>
          </w:p>
          <w:p w14:paraId="5B1A2172" w14:textId="77777777" w:rsidR="00B53006" w:rsidRPr="00154588" w:rsidRDefault="00B53006" w:rsidP="008C12B4">
            <w:pPr>
              <w:rPr>
                <w:b/>
                <w:sz w:val="20"/>
                <w:szCs w:val="20"/>
              </w:rPr>
            </w:pPr>
          </w:p>
          <w:p w14:paraId="3C20B166" w14:textId="14820043" w:rsidR="00B53006" w:rsidRPr="00154588" w:rsidRDefault="00B53006" w:rsidP="008C12B4">
            <w:pPr>
              <w:rPr>
                <w:b/>
                <w:sz w:val="20"/>
                <w:szCs w:val="20"/>
              </w:rPr>
            </w:pPr>
            <w:r w:rsidRPr="00154588">
              <w:rPr>
                <w:b/>
                <w:sz w:val="20"/>
                <w:szCs w:val="20"/>
              </w:rPr>
              <w:t>Obiectivul și domeniul de aplicare al instrumentului de recapitalizare internă</w:t>
            </w:r>
          </w:p>
        </w:tc>
        <w:tc>
          <w:tcPr>
            <w:tcW w:w="4819" w:type="dxa"/>
          </w:tcPr>
          <w:p w14:paraId="22B88504" w14:textId="77777777" w:rsidR="00B53006" w:rsidRPr="00154588" w:rsidRDefault="00B53006" w:rsidP="008C12B4">
            <w:pPr>
              <w:rPr>
                <w:b/>
                <w:sz w:val="20"/>
                <w:szCs w:val="20"/>
              </w:rPr>
            </w:pPr>
            <w:r w:rsidRPr="00154588">
              <w:rPr>
                <w:b/>
                <w:sz w:val="20"/>
                <w:szCs w:val="20"/>
              </w:rPr>
              <w:t>Secțiunea 5</w:t>
            </w:r>
          </w:p>
          <w:p w14:paraId="1BD3AF9D" w14:textId="77777777" w:rsidR="00B53006" w:rsidRPr="00154588" w:rsidRDefault="00B53006" w:rsidP="008C12B4">
            <w:pPr>
              <w:rPr>
                <w:b/>
                <w:sz w:val="20"/>
                <w:szCs w:val="20"/>
              </w:rPr>
            </w:pPr>
          </w:p>
          <w:p w14:paraId="0904F348" w14:textId="2304E69D" w:rsidR="00B53006" w:rsidRPr="00154588" w:rsidRDefault="00B53006" w:rsidP="008C12B4">
            <w:pPr>
              <w:jc w:val="both"/>
              <w:rPr>
                <w:bCs/>
                <w:sz w:val="20"/>
                <w:szCs w:val="20"/>
              </w:rPr>
            </w:pPr>
            <w:r w:rsidRPr="00154588">
              <w:rPr>
                <w:b/>
                <w:sz w:val="20"/>
                <w:szCs w:val="20"/>
              </w:rPr>
              <w:t>Instrumentul de recapitalizare internă</w:t>
            </w:r>
          </w:p>
        </w:tc>
        <w:tc>
          <w:tcPr>
            <w:tcW w:w="2552" w:type="dxa"/>
          </w:tcPr>
          <w:p w14:paraId="77999720" w14:textId="77777777" w:rsidR="00B53006" w:rsidRPr="00154588" w:rsidRDefault="00B53006" w:rsidP="008C12B4">
            <w:pPr>
              <w:jc w:val="both"/>
              <w:rPr>
                <w:bCs/>
                <w:sz w:val="20"/>
                <w:szCs w:val="20"/>
              </w:rPr>
            </w:pPr>
          </w:p>
        </w:tc>
        <w:tc>
          <w:tcPr>
            <w:tcW w:w="3118" w:type="dxa"/>
          </w:tcPr>
          <w:p w14:paraId="5A479F09" w14:textId="77777777" w:rsidR="00B53006" w:rsidRPr="00154588" w:rsidRDefault="00B53006" w:rsidP="008C12B4">
            <w:pPr>
              <w:jc w:val="both"/>
              <w:rPr>
                <w:bCs/>
                <w:sz w:val="20"/>
                <w:szCs w:val="20"/>
              </w:rPr>
            </w:pPr>
          </w:p>
        </w:tc>
      </w:tr>
      <w:tr w:rsidR="00B53006" w:rsidRPr="00154588" w14:paraId="3500373B" w14:textId="77777777" w:rsidTr="00D15C1B">
        <w:trPr>
          <w:jc w:val="center"/>
        </w:trPr>
        <w:tc>
          <w:tcPr>
            <w:tcW w:w="4957" w:type="dxa"/>
            <w:gridSpan w:val="2"/>
          </w:tcPr>
          <w:p w14:paraId="1F429DB2" w14:textId="77777777" w:rsidR="00B53006" w:rsidRPr="00154588" w:rsidRDefault="00B53006" w:rsidP="008C12B4">
            <w:pPr>
              <w:rPr>
                <w:b/>
                <w:sz w:val="20"/>
                <w:szCs w:val="20"/>
              </w:rPr>
            </w:pPr>
            <w:r w:rsidRPr="00154588">
              <w:rPr>
                <w:b/>
                <w:sz w:val="20"/>
                <w:szCs w:val="20"/>
              </w:rPr>
              <w:t>Articolul 43</w:t>
            </w:r>
          </w:p>
          <w:p w14:paraId="59A86A6A" w14:textId="77777777" w:rsidR="00B53006" w:rsidRPr="00154588" w:rsidRDefault="00B53006" w:rsidP="008C12B4">
            <w:pPr>
              <w:rPr>
                <w:b/>
                <w:sz w:val="20"/>
                <w:szCs w:val="20"/>
              </w:rPr>
            </w:pPr>
          </w:p>
          <w:p w14:paraId="335657C8" w14:textId="2D07398E" w:rsidR="00B53006" w:rsidRPr="00154588" w:rsidRDefault="00B53006" w:rsidP="008C12B4">
            <w:pPr>
              <w:rPr>
                <w:b/>
                <w:sz w:val="20"/>
                <w:szCs w:val="20"/>
              </w:rPr>
            </w:pPr>
            <w:r w:rsidRPr="00154588">
              <w:rPr>
                <w:b/>
                <w:sz w:val="20"/>
                <w:szCs w:val="20"/>
              </w:rPr>
              <w:t>Instrumentul de recapitalizare internă</w:t>
            </w:r>
          </w:p>
        </w:tc>
        <w:tc>
          <w:tcPr>
            <w:tcW w:w="4819" w:type="dxa"/>
          </w:tcPr>
          <w:p w14:paraId="4A301AB2" w14:textId="77777777" w:rsidR="00B53006" w:rsidRPr="00154588" w:rsidRDefault="00B53006" w:rsidP="008C12B4">
            <w:pPr>
              <w:jc w:val="both"/>
              <w:rPr>
                <w:bCs/>
                <w:sz w:val="20"/>
                <w:szCs w:val="20"/>
              </w:rPr>
            </w:pPr>
          </w:p>
        </w:tc>
        <w:tc>
          <w:tcPr>
            <w:tcW w:w="2552" w:type="dxa"/>
          </w:tcPr>
          <w:p w14:paraId="02727AB7" w14:textId="77777777" w:rsidR="00B53006" w:rsidRPr="00154588" w:rsidRDefault="00B53006" w:rsidP="008C12B4">
            <w:pPr>
              <w:jc w:val="both"/>
              <w:rPr>
                <w:bCs/>
                <w:sz w:val="20"/>
                <w:szCs w:val="20"/>
              </w:rPr>
            </w:pPr>
          </w:p>
        </w:tc>
        <w:tc>
          <w:tcPr>
            <w:tcW w:w="3118" w:type="dxa"/>
          </w:tcPr>
          <w:p w14:paraId="7CDA7ADF" w14:textId="77777777" w:rsidR="00B53006" w:rsidRPr="00154588" w:rsidRDefault="00B53006" w:rsidP="008C12B4">
            <w:pPr>
              <w:jc w:val="both"/>
              <w:rPr>
                <w:bCs/>
                <w:sz w:val="20"/>
                <w:szCs w:val="20"/>
              </w:rPr>
            </w:pPr>
          </w:p>
        </w:tc>
      </w:tr>
      <w:tr w:rsidR="00B53006" w:rsidRPr="00154588" w14:paraId="4EE5FD00" w14:textId="77777777" w:rsidTr="00D15C1B">
        <w:trPr>
          <w:jc w:val="center"/>
        </w:trPr>
        <w:tc>
          <w:tcPr>
            <w:tcW w:w="4957" w:type="dxa"/>
            <w:gridSpan w:val="2"/>
          </w:tcPr>
          <w:p w14:paraId="05B53EB8" w14:textId="39E08B5A" w:rsidR="00B53006" w:rsidRPr="00154588" w:rsidRDefault="00B53006" w:rsidP="008C12B4">
            <w:pPr>
              <w:jc w:val="both"/>
              <w:rPr>
                <w:bCs/>
                <w:sz w:val="20"/>
                <w:szCs w:val="20"/>
              </w:rPr>
            </w:pPr>
            <w:r w:rsidRPr="00154588">
              <w:rPr>
                <w:bCs/>
                <w:sz w:val="20"/>
                <w:szCs w:val="20"/>
              </w:rPr>
              <w:t>(1) Pentru ca instrumentul de recapitalizare internă să fie eficace, statele membre se asigură că autoritățile de rezoluție dețin competențele de rezoluție menționate la articolul 63 alineatul (1).</w:t>
            </w:r>
          </w:p>
        </w:tc>
        <w:tc>
          <w:tcPr>
            <w:tcW w:w="4819" w:type="dxa"/>
          </w:tcPr>
          <w:p w14:paraId="44BAD365" w14:textId="77777777" w:rsidR="00B53006" w:rsidRPr="00154588" w:rsidRDefault="00B53006" w:rsidP="008C12B4">
            <w:pPr>
              <w:ind w:firstLine="567"/>
              <w:jc w:val="both"/>
              <w:rPr>
                <w:sz w:val="20"/>
                <w:szCs w:val="20"/>
              </w:rPr>
            </w:pPr>
            <w:r w:rsidRPr="00154588">
              <w:rPr>
                <w:b/>
                <w:sz w:val="20"/>
                <w:szCs w:val="20"/>
              </w:rPr>
              <w:t>Articolul 151.</w:t>
            </w:r>
            <w:r w:rsidRPr="00154588">
              <w:rPr>
                <w:sz w:val="20"/>
                <w:szCs w:val="20"/>
              </w:rPr>
              <w:t xml:space="preserve"> – Banca Naţională a Moldovei, în calitate de autoritate de rezoluţie, dispune de competenţele de rezoluţie prevăzute la art.231, în vederea aplicării instrumentului de recapitalizare internă.</w:t>
            </w:r>
          </w:p>
          <w:p w14:paraId="00E723CF" w14:textId="77777777" w:rsidR="00B53006" w:rsidRPr="00154588" w:rsidRDefault="00B53006" w:rsidP="008C12B4">
            <w:pPr>
              <w:jc w:val="both"/>
              <w:rPr>
                <w:bCs/>
                <w:sz w:val="20"/>
                <w:szCs w:val="20"/>
              </w:rPr>
            </w:pPr>
          </w:p>
        </w:tc>
        <w:tc>
          <w:tcPr>
            <w:tcW w:w="2552" w:type="dxa"/>
          </w:tcPr>
          <w:p w14:paraId="6CB5E805" w14:textId="0112848F" w:rsidR="00B53006" w:rsidRPr="00154588" w:rsidRDefault="00B53006" w:rsidP="008C12B4">
            <w:pPr>
              <w:jc w:val="both"/>
              <w:rPr>
                <w:bCs/>
                <w:sz w:val="20"/>
                <w:szCs w:val="20"/>
              </w:rPr>
            </w:pPr>
            <w:r w:rsidRPr="00154588">
              <w:rPr>
                <w:bCs/>
                <w:sz w:val="20"/>
                <w:szCs w:val="20"/>
              </w:rPr>
              <w:t>Compatibil</w:t>
            </w:r>
          </w:p>
        </w:tc>
        <w:tc>
          <w:tcPr>
            <w:tcW w:w="3118" w:type="dxa"/>
          </w:tcPr>
          <w:p w14:paraId="19930732" w14:textId="77777777" w:rsidR="00B53006" w:rsidRPr="00154588" w:rsidRDefault="00B53006" w:rsidP="008C12B4">
            <w:pPr>
              <w:jc w:val="both"/>
              <w:rPr>
                <w:bCs/>
                <w:sz w:val="20"/>
                <w:szCs w:val="20"/>
              </w:rPr>
            </w:pPr>
          </w:p>
        </w:tc>
      </w:tr>
      <w:tr w:rsidR="00B53006" w:rsidRPr="00154588" w14:paraId="74635293" w14:textId="77777777" w:rsidTr="00D15C1B">
        <w:trPr>
          <w:jc w:val="center"/>
        </w:trPr>
        <w:tc>
          <w:tcPr>
            <w:tcW w:w="4957" w:type="dxa"/>
            <w:gridSpan w:val="2"/>
          </w:tcPr>
          <w:p w14:paraId="2766CC30" w14:textId="66B8E772" w:rsidR="00B53006" w:rsidRPr="00154588" w:rsidRDefault="00B53006" w:rsidP="008C12B4">
            <w:pPr>
              <w:jc w:val="both"/>
              <w:rPr>
                <w:bCs/>
                <w:sz w:val="20"/>
                <w:szCs w:val="20"/>
              </w:rPr>
            </w:pPr>
            <w:r w:rsidRPr="00154588">
              <w:rPr>
                <w:bCs/>
                <w:sz w:val="20"/>
                <w:szCs w:val="20"/>
              </w:rPr>
              <w:t>(2) Statele membre se asigură că autoritățile de rezoluție pot aplica instrumentul de recapitalizare internă în vederea îndeplinirii obiectivelor rezoluției specificate la articolul 31, în conformitate cu principiile rezoluției specificate la articolul 34 pentru oricare din următoarele scopuri:</w:t>
            </w:r>
          </w:p>
          <w:p w14:paraId="6A08F732" w14:textId="77777777" w:rsidR="00B53006" w:rsidRPr="00154588" w:rsidRDefault="00B53006" w:rsidP="008C12B4">
            <w:pPr>
              <w:jc w:val="both"/>
              <w:rPr>
                <w:bCs/>
                <w:sz w:val="20"/>
                <w:szCs w:val="20"/>
              </w:rPr>
            </w:pPr>
          </w:p>
          <w:p w14:paraId="6E37BB4E" w14:textId="4ED7DFC3" w:rsidR="00B53006" w:rsidRPr="00154588" w:rsidRDefault="00B53006" w:rsidP="008C12B4">
            <w:pPr>
              <w:jc w:val="both"/>
              <w:rPr>
                <w:bCs/>
                <w:sz w:val="20"/>
                <w:szCs w:val="20"/>
              </w:rPr>
            </w:pPr>
            <w:r w:rsidRPr="00154588">
              <w:rPr>
                <w:bCs/>
                <w:sz w:val="20"/>
                <w:szCs w:val="20"/>
              </w:rPr>
              <w:t>(a) recapitalizarea unei instituții sau a unei entități menționate la articolul 1 alineatul (1) litera (b), (c) sau (d) din prezenta directivă care îndeplinește condițiile de declanșare a procedurii de rezoluție într-o măsură suficientă pentru a restabili capacitatea acesteia de a se conforma condițiilor de autorizare (în măsura în care respectivele condiții se aplică entității) și de a continua să-și desfășoare activitățile pentru care este autorizată în conformitate cu Directiva 2013/36/UE sau cu Directiva 2014/65/UE, în cazul în care entitatea este autorizată în conformitate cu respectivele directive și pentru a menține un nivel suficient de încredere a pieței în instituție sau entitate;</w:t>
            </w:r>
          </w:p>
          <w:p w14:paraId="6B199A5E" w14:textId="77777777" w:rsidR="00B53006" w:rsidRPr="00154588" w:rsidRDefault="00B53006" w:rsidP="008C12B4">
            <w:pPr>
              <w:jc w:val="both"/>
              <w:rPr>
                <w:bCs/>
                <w:sz w:val="20"/>
                <w:szCs w:val="20"/>
              </w:rPr>
            </w:pPr>
          </w:p>
          <w:p w14:paraId="58BCE796" w14:textId="2B07370E" w:rsidR="00B53006" w:rsidRPr="00154588" w:rsidRDefault="00B53006" w:rsidP="008C12B4">
            <w:pPr>
              <w:jc w:val="both"/>
              <w:rPr>
                <w:bCs/>
                <w:sz w:val="20"/>
                <w:szCs w:val="20"/>
              </w:rPr>
            </w:pPr>
            <w:r w:rsidRPr="00154588">
              <w:rPr>
                <w:bCs/>
                <w:sz w:val="20"/>
                <w:szCs w:val="20"/>
              </w:rPr>
              <w:t>(b) conversia în titluri de capital sau reducerea valorii principalului creanțelor sau al instrumentelor de datorie care sunt transferate:</w:t>
            </w:r>
          </w:p>
          <w:p w14:paraId="620D3EF4" w14:textId="77777777" w:rsidR="00B53006" w:rsidRPr="00154588" w:rsidRDefault="00B53006" w:rsidP="008C12B4">
            <w:pPr>
              <w:jc w:val="both"/>
              <w:rPr>
                <w:bCs/>
                <w:sz w:val="20"/>
                <w:szCs w:val="20"/>
              </w:rPr>
            </w:pPr>
          </w:p>
          <w:p w14:paraId="5C07F628" w14:textId="324F65F5" w:rsidR="00B53006" w:rsidRPr="00154588" w:rsidRDefault="00B53006" w:rsidP="008C12B4">
            <w:pPr>
              <w:jc w:val="both"/>
              <w:rPr>
                <w:bCs/>
                <w:sz w:val="20"/>
                <w:szCs w:val="20"/>
              </w:rPr>
            </w:pPr>
            <w:r w:rsidRPr="00154588">
              <w:rPr>
                <w:bCs/>
                <w:sz w:val="20"/>
                <w:szCs w:val="20"/>
              </w:rPr>
              <w:t>(i) către o instituție-punte, în vederea unui aport de capital către respectiva instituție-punte; sau</w:t>
            </w:r>
          </w:p>
          <w:p w14:paraId="387B4F3F" w14:textId="77777777" w:rsidR="00B53006" w:rsidRPr="00154588" w:rsidRDefault="00B53006" w:rsidP="008C12B4">
            <w:pPr>
              <w:jc w:val="both"/>
              <w:rPr>
                <w:bCs/>
                <w:sz w:val="20"/>
                <w:szCs w:val="20"/>
              </w:rPr>
            </w:pPr>
          </w:p>
          <w:p w14:paraId="7F97EAB5" w14:textId="47480E0A" w:rsidR="00B53006" w:rsidRPr="00154588" w:rsidRDefault="00B53006" w:rsidP="008C12B4">
            <w:pPr>
              <w:jc w:val="both"/>
              <w:rPr>
                <w:bCs/>
                <w:sz w:val="20"/>
                <w:szCs w:val="20"/>
              </w:rPr>
            </w:pPr>
            <w:r w:rsidRPr="00154588">
              <w:rPr>
                <w:bCs/>
                <w:sz w:val="20"/>
                <w:szCs w:val="20"/>
              </w:rPr>
              <w:t>(ii) în cadrul instrumentului de vânzare a activității sau al instrumentului de separare a activelor.</w:t>
            </w:r>
          </w:p>
        </w:tc>
        <w:tc>
          <w:tcPr>
            <w:tcW w:w="4819" w:type="dxa"/>
          </w:tcPr>
          <w:p w14:paraId="633327D7" w14:textId="77777777" w:rsidR="00B53006" w:rsidRPr="00154588" w:rsidRDefault="00B53006" w:rsidP="008C12B4">
            <w:pPr>
              <w:ind w:firstLine="567"/>
              <w:jc w:val="both"/>
              <w:rPr>
                <w:sz w:val="20"/>
                <w:szCs w:val="20"/>
              </w:rPr>
            </w:pPr>
            <w:r w:rsidRPr="00154588">
              <w:rPr>
                <w:b/>
                <w:sz w:val="20"/>
                <w:szCs w:val="20"/>
              </w:rPr>
              <w:lastRenderedPageBreak/>
              <w:t>Articolul 152.</w:t>
            </w:r>
            <w:r w:rsidRPr="00154588">
              <w:rPr>
                <w:sz w:val="20"/>
                <w:szCs w:val="20"/>
              </w:rPr>
              <w:t xml:space="preserve"> – Banca Naţională a Moldovei, în calitate de autoritate de rezoluţie, poate aplica instrumentul de recapitalizare internă în vederea îndeplinirii obiectivelor rezoluţiei prevăzute la art.56, în conformitate cu principiile rezoluţiei prevăzute la art.61 pentru oricare dintre următoarele scopuri:</w:t>
            </w:r>
          </w:p>
          <w:p w14:paraId="3C8C5E10" w14:textId="77777777" w:rsidR="00B53006" w:rsidRPr="00154588" w:rsidRDefault="00B53006" w:rsidP="008C12B4">
            <w:pPr>
              <w:ind w:firstLine="567"/>
              <w:jc w:val="both"/>
              <w:rPr>
                <w:sz w:val="20"/>
                <w:szCs w:val="20"/>
              </w:rPr>
            </w:pPr>
            <w:r w:rsidRPr="00154588">
              <w:rPr>
                <w:sz w:val="20"/>
                <w:szCs w:val="20"/>
              </w:rPr>
              <w:t xml:space="preserve">a) recapitalizarea unei </w:t>
            </w:r>
            <w:bookmarkStart w:id="41" w:name="_Hlk223353828"/>
            <w:r w:rsidRPr="00154588">
              <w:rPr>
                <w:sz w:val="20"/>
                <w:szCs w:val="20"/>
              </w:rPr>
              <w:t>instituții de credit sau a unei entități prevăzute la art.1 alin.(1) lit.b), c) sau d)</w:t>
            </w:r>
            <w:bookmarkEnd w:id="41"/>
            <w:r w:rsidRPr="00154588">
              <w:rPr>
                <w:sz w:val="20"/>
                <w:szCs w:val="20"/>
              </w:rPr>
              <w:t xml:space="preserve">, atunci cînd sînt îndeplinite condiţiile de declanşare a procedurii de rezoluţie într-o măsură suficientă pentru a restabili capacitatea acesteia de a se conforma condiţiilor de autorizare şi de a continua să-şi desfăşoare activităţile pentru care este autorizată în conformitate cu Legea nr.202/2017 şi pentru a menţine un nivel suficient de încredere a pieţei în </w:t>
            </w:r>
            <w:bookmarkStart w:id="42" w:name="_Hlk223353929"/>
            <w:r w:rsidRPr="00154588">
              <w:rPr>
                <w:sz w:val="20"/>
                <w:szCs w:val="20"/>
              </w:rPr>
              <w:t>instituția de credit sau entitatea</w:t>
            </w:r>
            <w:bookmarkEnd w:id="42"/>
            <w:r w:rsidRPr="00154588">
              <w:rPr>
                <w:sz w:val="20"/>
                <w:szCs w:val="20"/>
              </w:rPr>
              <w:t xml:space="preserve"> respectivă;</w:t>
            </w:r>
          </w:p>
          <w:p w14:paraId="7001686C" w14:textId="3ECDA239" w:rsidR="00B53006" w:rsidRPr="00154588" w:rsidRDefault="00B53006" w:rsidP="008C12B4">
            <w:pPr>
              <w:ind w:firstLine="567"/>
              <w:jc w:val="both"/>
              <w:rPr>
                <w:sz w:val="20"/>
                <w:szCs w:val="20"/>
              </w:rPr>
            </w:pPr>
            <w:r w:rsidRPr="00154588">
              <w:rPr>
                <w:sz w:val="20"/>
                <w:szCs w:val="20"/>
              </w:rPr>
              <w:t>b) conversia în titluri de capital sau reducerea valorii principalului creanţelor sau al instrumentelor de datorie care sînt transferate către o instituție-punte, în vederea realizării unui aport de capital la respectiva instituți</w:t>
            </w:r>
            <w:r w:rsidR="0035251F" w:rsidRPr="00154588">
              <w:rPr>
                <w:sz w:val="20"/>
                <w:szCs w:val="20"/>
              </w:rPr>
              <w:t>e</w:t>
            </w:r>
            <w:r w:rsidRPr="00154588">
              <w:rPr>
                <w:sz w:val="20"/>
                <w:szCs w:val="20"/>
              </w:rPr>
              <w:t>-punte sau în cadrul instrumentului de vînzare a afacerii sau al instrumentului de separare a activelor.</w:t>
            </w:r>
          </w:p>
          <w:p w14:paraId="58A12EBF" w14:textId="77777777" w:rsidR="00B53006" w:rsidRPr="00154588" w:rsidRDefault="00B53006" w:rsidP="008C12B4">
            <w:pPr>
              <w:jc w:val="both"/>
              <w:rPr>
                <w:bCs/>
                <w:sz w:val="20"/>
                <w:szCs w:val="20"/>
              </w:rPr>
            </w:pPr>
          </w:p>
        </w:tc>
        <w:tc>
          <w:tcPr>
            <w:tcW w:w="2552" w:type="dxa"/>
          </w:tcPr>
          <w:p w14:paraId="0D039A2F" w14:textId="3E740025" w:rsidR="00B53006" w:rsidRPr="00154588" w:rsidRDefault="00B53006" w:rsidP="008C12B4">
            <w:pPr>
              <w:jc w:val="both"/>
              <w:rPr>
                <w:bCs/>
                <w:sz w:val="20"/>
                <w:szCs w:val="20"/>
              </w:rPr>
            </w:pPr>
            <w:r w:rsidRPr="00154588">
              <w:rPr>
                <w:bCs/>
                <w:sz w:val="20"/>
                <w:szCs w:val="20"/>
              </w:rPr>
              <w:t>Compatibil</w:t>
            </w:r>
          </w:p>
        </w:tc>
        <w:tc>
          <w:tcPr>
            <w:tcW w:w="3118" w:type="dxa"/>
          </w:tcPr>
          <w:p w14:paraId="5E3EA6F5" w14:textId="77777777" w:rsidR="00B53006" w:rsidRPr="00154588" w:rsidRDefault="00B53006" w:rsidP="008C12B4">
            <w:pPr>
              <w:jc w:val="both"/>
              <w:rPr>
                <w:bCs/>
                <w:sz w:val="20"/>
                <w:szCs w:val="20"/>
              </w:rPr>
            </w:pPr>
          </w:p>
        </w:tc>
      </w:tr>
      <w:tr w:rsidR="00B53006" w:rsidRPr="00154588" w14:paraId="3E9758E7" w14:textId="77777777" w:rsidTr="00D15C1B">
        <w:trPr>
          <w:jc w:val="center"/>
        </w:trPr>
        <w:tc>
          <w:tcPr>
            <w:tcW w:w="4957" w:type="dxa"/>
            <w:gridSpan w:val="2"/>
          </w:tcPr>
          <w:p w14:paraId="652067F7" w14:textId="77777777" w:rsidR="00B53006" w:rsidRPr="00154588" w:rsidRDefault="00B53006" w:rsidP="008C12B4">
            <w:pPr>
              <w:jc w:val="both"/>
              <w:rPr>
                <w:bCs/>
                <w:sz w:val="20"/>
                <w:szCs w:val="20"/>
              </w:rPr>
            </w:pPr>
            <w:r w:rsidRPr="00154588">
              <w:rPr>
                <w:bCs/>
                <w:sz w:val="20"/>
                <w:szCs w:val="20"/>
              </w:rPr>
              <w:t>(3)   Statele membre se asigură că autoritățile de rezoluție pot aplica instrumentul de recapitalizare internă în scopul menționat la alineatul (2) litera (a) din prezentul articol, numai în cazul în care există o perspectivă rezonabilă potrivit căreia aplicarea acestui instrument, împreună cu alte măsuri relevante, inclusiv măsuri puse în aplicare în conformitate cu planul de reorganizare a activității menționat la articolul 52 va avea drept rezultat nu doar realizarea obiectivelor relevante ale rezoluției, ci și restabilirea viabilității pe termen lung și a solidității financiare a instituției sau a entității în cauză menționate la articolul 1 alineatul (1) litera (b), (c) sau (d).</w:t>
            </w:r>
          </w:p>
          <w:p w14:paraId="0EE016D6" w14:textId="77777777" w:rsidR="00B53006" w:rsidRPr="00154588" w:rsidRDefault="00B53006" w:rsidP="008C12B4">
            <w:pPr>
              <w:jc w:val="both"/>
              <w:rPr>
                <w:bCs/>
                <w:sz w:val="20"/>
                <w:szCs w:val="20"/>
              </w:rPr>
            </w:pPr>
          </w:p>
          <w:p w14:paraId="0AFB0AE3" w14:textId="6241CA7F" w:rsidR="00B53006" w:rsidRPr="00154588" w:rsidRDefault="00B53006" w:rsidP="008C12B4">
            <w:pPr>
              <w:jc w:val="both"/>
              <w:rPr>
                <w:bCs/>
                <w:sz w:val="20"/>
                <w:szCs w:val="20"/>
              </w:rPr>
            </w:pPr>
            <w:r w:rsidRPr="00154588">
              <w:rPr>
                <w:bCs/>
                <w:sz w:val="20"/>
                <w:szCs w:val="20"/>
              </w:rPr>
              <w:t>Statele membre se asigură că autoritățile de rezoluție pot aplica oricare dintre instrumentele de rezoluție prevăzute la articolul 37 alineatul (3) literele (a), (b) și (c) și instrumentul de recapitalizare internă menționat la alineatul (2) litera (b) din prezentul articol, în cazul în care condițiile prevăzute la primul paragraf nu sunt îndeplinite.</w:t>
            </w:r>
          </w:p>
        </w:tc>
        <w:tc>
          <w:tcPr>
            <w:tcW w:w="4819" w:type="dxa"/>
          </w:tcPr>
          <w:p w14:paraId="212D5262" w14:textId="1E353154" w:rsidR="00B53006" w:rsidRPr="00154588" w:rsidRDefault="00B53006" w:rsidP="008C12B4">
            <w:pPr>
              <w:ind w:firstLine="567"/>
              <w:jc w:val="both"/>
              <w:rPr>
                <w:sz w:val="20"/>
                <w:szCs w:val="20"/>
              </w:rPr>
            </w:pPr>
            <w:r w:rsidRPr="00154588">
              <w:rPr>
                <w:sz w:val="20"/>
                <w:szCs w:val="20"/>
              </w:rPr>
              <w:t> </w:t>
            </w:r>
            <w:r w:rsidRPr="00154588">
              <w:rPr>
                <w:b/>
                <w:sz w:val="20"/>
                <w:szCs w:val="20"/>
              </w:rPr>
              <w:t>Articolul 153.</w:t>
            </w:r>
            <w:r w:rsidRPr="00154588">
              <w:rPr>
                <w:sz w:val="20"/>
                <w:szCs w:val="20"/>
              </w:rPr>
              <w:t xml:space="preserve"> – (1) Banca Naţională a Moldovei, în calitate de autoritate de rezoluţie, poate aplica instrumentul de recapitalizare internă în scopul prevăzut la art.152 lit.a) numai dacă, în opinia sa, există o perspectivă rezonabilă potrivit căreia aplicarea acestui instrument, împreună cu alte măsuri relevante, inclusiv măsuri puse în aplicare în conformitate cu planul de reorganizare a </w:t>
            </w:r>
            <w:r w:rsidR="0035251F" w:rsidRPr="00154588">
              <w:rPr>
                <w:sz w:val="20"/>
                <w:szCs w:val="20"/>
              </w:rPr>
              <w:t>activității</w:t>
            </w:r>
            <w:r w:rsidRPr="00154588">
              <w:rPr>
                <w:sz w:val="20"/>
                <w:szCs w:val="20"/>
              </w:rPr>
              <w:t xml:space="preserve"> prevăzut la art.193, va avea drept rezultat realizarea obiectivelor relevante ale rezoluţiei, precum şi restabilirea </w:t>
            </w:r>
            <w:r w:rsidR="0035251F" w:rsidRPr="00154588">
              <w:rPr>
                <w:sz w:val="20"/>
                <w:szCs w:val="20"/>
              </w:rPr>
              <w:t>viabilității</w:t>
            </w:r>
            <w:r w:rsidRPr="00154588">
              <w:rPr>
                <w:sz w:val="20"/>
                <w:szCs w:val="20"/>
              </w:rPr>
              <w:t xml:space="preserve"> pe termen lung şi a solidităţii financiare a instituției de credit </w:t>
            </w:r>
            <w:bookmarkStart w:id="43" w:name="_Hlk223354009"/>
            <w:r w:rsidRPr="00154588">
              <w:rPr>
                <w:sz w:val="20"/>
                <w:szCs w:val="20"/>
              </w:rPr>
              <w:t>sau a unei entități prevăzute la art.1 alin.(1) lit.b), c) sau d)</w:t>
            </w:r>
            <w:bookmarkEnd w:id="43"/>
            <w:r w:rsidRPr="00154588">
              <w:rPr>
                <w:sz w:val="20"/>
                <w:szCs w:val="20"/>
              </w:rPr>
              <w:t xml:space="preserve"> în cauză.</w:t>
            </w:r>
          </w:p>
          <w:p w14:paraId="62BE3D09" w14:textId="77777777" w:rsidR="00B53006" w:rsidRPr="00154588" w:rsidRDefault="00B53006" w:rsidP="008C12B4">
            <w:pPr>
              <w:ind w:firstLine="567"/>
              <w:jc w:val="both"/>
              <w:rPr>
                <w:sz w:val="20"/>
                <w:szCs w:val="20"/>
              </w:rPr>
            </w:pPr>
            <w:r w:rsidRPr="00154588">
              <w:rPr>
                <w:sz w:val="20"/>
                <w:szCs w:val="20"/>
              </w:rPr>
              <w:t>(2) Banca Naţională a Moldovei, în calitate de autoritate de rezoluţie, poate aplica oricare dintre instrumentele de rezoluţie prevăzute la art.87 lit.a)-c) şi instrumentul de recapitalizare internă prevăzut la art.152 lit.b), în cazul în care condiţiile prevăzute la art.153 alin.(1) nu sînt îndeplinite.</w:t>
            </w:r>
          </w:p>
          <w:p w14:paraId="553DAAD1" w14:textId="77777777" w:rsidR="00B53006" w:rsidRPr="00154588" w:rsidRDefault="00B53006" w:rsidP="008C12B4">
            <w:pPr>
              <w:jc w:val="both"/>
              <w:rPr>
                <w:bCs/>
                <w:sz w:val="20"/>
                <w:szCs w:val="20"/>
              </w:rPr>
            </w:pPr>
          </w:p>
        </w:tc>
        <w:tc>
          <w:tcPr>
            <w:tcW w:w="2552" w:type="dxa"/>
          </w:tcPr>
          <w:p w14:paraId="55334AF7" w14:textId="03366D01" w:rsidR="00B53006" w:rsidRPr="00154588" w:rsidRDefault="00B53006" w:rsidP="008C12B4">
            <w:pPr>
              <w:jc w:val="both"/>
              <w:rPr>
                <w:bCs/>
                <w:sz w:val="20"/>
                <w:szCs w:val="20"/>
              </w:rPr>
            </w:pPr>
            <w:r w:rsidRPr="00154588">
              <w:rPr>
                <w:bCs/>
                <w:sz w:val="20"/>
                <w:szCs w:val="20"/>
              </w:rPr>
              <w:t>Compatibil</w:t>
            </w:r>
          </w:p>
        </w:tc>
        <w:tc>
          <w:tcPr>
            <w:tcW w:w="3118" w:type="dxa"/>
          </w:tcPr>
          <w:p w14:paraId="2BCFCBA2" w14:textId="77777777" w:rsidR="00B53006" w:rsidRPr="00154588" w:rsidRDefault="00B53006" w:rsidP="008C12B4">
            <w:pPr>
              <w:jc w:val="both"/>
              <w:rPr>
                <w:bCs/>
                <w:sz w:val="20"/>
                <w:szCs w:val="20"/>
              </w:rPr>
            </w:pPr>
          </w:p>
        </w:tc>
      </w:tr>
      <w:tr w:rsidR="00B53006" w:rsidRPr="00154588" w14:paraId="43934392" w14:textId="77777777" w:rsidTr="00D15C1B">
        <w:trPr>
          <w:jc w:val="center"/>
        </w:trPr>
        <w:tc>
          <w:tcPr>
            <w:tcW w:w="4957" w:type="dxa"/>
            <w:gridSpan w:val="2"/>
          </w:tcPr>
          <w:p w14:paraId="4BAB6DB5" w14:textId="5D492068" w:rsidR="00B53006" w:rsidRPr="00154588" w:rsidRDefault="00B53006" w:rsidP="008C12B4">
            <w:pPr>
              <w:jc w:val="both"/>
              <w:rPr>
                <w:bCs/>
                <w:sz w:val="20"/>
                <w:szCs w:val="20"/>
              </w:rPr>
            </w:pPr>
            <w:r w:rsidRPr="00154588">
              <w:rPr>
                <w:bCs/>
                <w:sz w:val="20"/>
                <w:szCs w:val="20"/>
              </w:rPr>
              <w:t>(4)   Statele membre se asigură că autoritățile de rezoluție pot aplica instrumentul de recapitalizare internă tuturor instituțiilor sau entităților menționate la articolul 1 alineatul (1) litera (b), (c) sau (d) respectând, în fiecare caz, forma juridică a instituției sau a entității în cauză, sau că pot schimba forma juridică.</w:t>
            </w:r>
          </w:p>
        </w:tc>
        <w:tc>
          <w:tcPr>
            <w:tcW w:w="4819" w:type="dxa"/>
          </w:tcPr>
          <w:p w14:paraId="6F080F03" w14:textId="77777777" w:rsidR="00B53006" w:rsidRPr="00154588" w:rsidRDefault="00B53006" w:rsidP="008C12B4">
            <w:pPr>
              <w:ind w:firstLine="567"/>
              <w:jc w:val="both"/>
              <w:rPr>
                <w:sz w:val="20"/>
                <w:szCs w:val="20"/>
              </w:rPr>
            </w:pPr>
            <w:r w:rsidRPr="00154588">
              <w:rPr>
                <w:b/>
                <w:bCs/>
                <w:sz w:val="20"/>
                <w:szCs w:val="20"/>
              </w:rPr>
              <w:t>Articolul 153</w:t>
            </w:r>
            <w:r w:rsidRPr="00154588">
              <w:rPr>
                <w:b/>
                <w:bCs/>
                <w:sz w:val="20"/>
                <w:szCs w:val="20"/>
                <w:vertAlign w:val="superscript"/>
              </w:rPr>
              <w:t>1</w:t>
            </w:r>
            <w:r w:rsidRPr="00154588">
              <w:rPr>
                <w:b/>
                <w:bCs/>
                <w:sz w:val="20"/>
                <w:szCs w:val="20"/>
              </w:rPr>
              <w:t>.</w:t>
            </w:r>
            <w:r w:rsidRPr="00154588">
              <w:rPr>
                <w:sz w:val="20"/>
                <w:szCs w:val="20"/>
              </w:rPr>
              <w:t> – (1) Banca Națională a Moldovei, în calitate de autoritate de rezoluție, poate aplica instrumentul de recapitalizare internă tuturor instituțiilor de credit sau entităților prevăzute la art.1 alin.(1) lit.b), c) sau d), respectând, în fiecare caz, forma juridică a instituției sau a entității în cauză, sau poate schimba forma juridică a acestora.</w:t>
            </w:r>
          </w:p>
          <w:p w14:paraId="35545003" w14:textId="77777777" w:rsidR="00B53006" w:rsidRPr="00154588" w:rsidRDefault="00B53006" w:rsidP="008C12B4">
            <w:pPr>
              <w:jc w:val="both"/>
              <w:rPr>
                <w:bCs/>
                <w:sz w:val="20"/>
                <w:szCs w:val="20"/>
              </w:rPr>
            </w:pPr>
          </w:p>
        </w:tc>
        <w:tc>
          <w:tcPr>
            <w:tcW w:w="2552" w:type="dxa"/>
          </w:tcPr>
          <w:p w14:paraId="3290962D" w14:textId="5A006AF8" w:rsidR="00B53006" w:rsidRPr="00154588" w:rsidRDefault="00B53006" w:rsidP="008C12B4">
            <w:pPr>
              <w:jc w:val="both"/>
              <w:rPr>
                <w:bCs/>
                <w:sz w:val="20"/>
                <w:szCs w:val="20"/>
              </w:rPr>
            </w:pPr>
            <w:r w:rsidRPr="00154588">
              <w:rPr>
                <w:bCs/>
                <w:sz w:val="20"/>
                <w:szCs w:val="20"/>
              </w:rPr>
              <w:t>Compatibil</w:t>
            </w:r>
          </w:p>
        </w:tc>
        <w:tc>
          <w:tcPr>
            <w:tcW w:w="3118" w:type="dxa"/>
          </w:tcPr>
          <w:p w14:paraId="6FDDF8D0" w14:textId="77777777" w:rsidR="00B53006" w:rsidRPr="00154588" w:rsidRDefault="00B53006" w:rsidP="008C12B4">
            <w:pPr>
              <w:jc w:val="both"/>
              <w:rPr>
                <w:bCs/>
                <w:sz w:val="20"/>
                <w:szCs w:val="20"/>
              </w:rPr>
            </w:pPr>
          </w:p>
        </w:tc>
      </w:tr>
      <w:tr w:rsidR="00B53006" w:rsidRPr="00154588" w14:paraId="0A124D56" w14:textId="77777777" w:rsidTr="00D15C1B">
        <w:trPr>
          <w:jc w:val="center"/>
        </w:trPr>
        <w:tc>
          <w:tcPr>
            <w:tcW w:w="4957" w:type="dxa"/>
            <w:gridSpan w:val="2"/>
          </w:tcPr>
          <w:p w14:paraId="7FD470C4" w14:textId="77777777" w:rsidR="00B53006" w:rsidRPr="00154588" w:rsidRDefault="00B53006" w:rsidP="008C12B4">
            <w:pPr>
              <w:rPr>
                <w:b/>
                <w:sz w:val="20"/>
                <w:szCs w:val="20"/>
              </w:rPr>
            </w:pPr>
            <w:r w:rsidRPr="00154588">
              <w:rPr>
                <w:b/>
                <w:sz w:val="20"/>
                <w:szCs w:val="20"/>
              </w:rPr>
              <w:t>Articolul 44</w:t>
            </w:r>
          </w:p>
          <w:p w14:paraId="13F71CD2" w14:textId="77777777" w:rsidR="00B53006" w:rsidRPr="00154588" w:rsidRDefault="00B53006" w:rsidP="008C12B4">
            <w:pPr>
              <w:rPr>
                <w:b/>
                <w:sz w:val="20"/>
                <w:szCs w:val="20"/>
              </w:rPr>
            </w:pPr>
          </w:p>
          <w:p w14:paraId="37B585A8" w14:textId="0A196375" w:rsidR="00B53006" w:rsidRPr="00154588" w:rsidRDefault="00B53006" w:rsidP="008C12B4">
            <w:pPr>
              <w:rPr>
                <w:b/>
                <w:sz w:val="20"/>
                <w:szCs w:val="20"/>
              </w:rPr>
            </w:pPr>
            <w:r w:rsidRPr="00154588">
              <w:rPr>
                <w:b/>
                <w:sz w:val="20"/>
                <w:szCs w:val="20"/>
              </w:rPr>
              <w:t>Domeniul de aplicare al instrumentului de recapitalizare internă</w:t>
            </w:r>
          </w:p>
        </w:tc>
        <w:tc>
          <w:tcPr>
            <w:tcW w:w="4819" w:type="dxa"/>
          </w:tcPr>
          <w:p w14:paraId="189E976D" w14:textId="77777777" w:rsidR="00B53006" w:rsidRPr="00154588" w:rsidRDefault="00B53006" w:rsidP="008C12B4">
            <w:pPr>
              <w:jc w:val="both"/>
              <w:rPr>
                <w:bCs/>
                <w:sz w:val="20"/>
                <w:szCs w:val="20"/>
              </w:rPr>
            </w:pPr>
          </w:p>
        </w:tc>
        <w:tc>
          <w:tcPr>
            <w:tcW w:w="2552" w:type="dxa"/>
          </w:tcPr>
          <w:p w14:paraId="5B63CB5C" w14:textId="77777777" w:rsidR="00B53006" w:rsidRPr="00154588" w:rsidRDefault="00B53006" w:rsidP="008C12B4">
            <w:pPr>
              <w:jc w:val="both"/>
              <w:rPr>
                <w:bCs/>
                <w:sz w:val="20"/>
                <w:szCs w:val="20"/>
              </w:rPr>
            </w:pPr>
          </w:p>
        </w:tc>
        <w:tc>
          <w:tcPr>
            <w:tcW w:w="3118" w:type="dxa"/>
          </w:tcPr>
          <w:p w14:paraId="1E7D737F" w14:textId="77777777" w:rsidR="00B53006" w:rsidRPr="00154588" w:rsidRDefault="00B53006" w:rsidP="008C12B4">
            <w:pPr>
              <w:jc w:val="both"/>
              <w:rPr>
                <w:bCs/>
                <w:sz w:val="20"/>
                <w:szCs w:val="20"/>
              </w:rPr>
            </w:pPr>
          </w:p>
        </w:tc>
      </w:tr>
      <w:tr w:rsidR="00B53006" w:rsidRPr="00154588" w14:paraId="66AF1167" w14:textId="77777777" w:rsidTr="00D15C1B">
        <w:trPr>
          <w:jc w:val="center"/>
        </w:trPr>
        <w:tc>
          <w:tcPr>
            <w:tcW w:w="4957" w:type="dxa"/>
            <w:gridSpan w:val="2"/>
          </w:tcPr>
          <w:p w14:paraId="1FA66BA3" w14:textId="0A59A6A6" w:rsidR="00B53006" w:rsidRPr="00154588" w:rsidRDefault="00B53006" w:rsidP="008C12B4">
            <w:pPr>
              <w:jc w:val="both"/>
              <w:rPr>
                <w:bCs/>
                <w:sz w:val="20"/>
                <w:szCs w:val="20"/>
              </w:rPr>
            </w:pPr>
            <w:r w:rsidRPr="00154588">
              <w:rPr>
                <w:bCs/>
                <w:sz w:val="20"/>
                <w:szCs w:val="20"/>
              </w:rPr>
              <w:t>(1)   Statele membre se asigură că instrumentul de recapitalizare internă poate fi aplicat tuturor pasivelor unei instituții sau entități menționate la articolul 1 alineatul (1) litera (b), (c) sau (d), care nu sunt excluse din domeniul de aplicare al acestui instrument în conformitate cu alineatul (2) sau (3) din prezentul articol.</w:t>
            </w:r>
          </w:p>
        </w:tc>
        <w:tc>
          <w:tcPr>
            <w:tcW w:w="4819" w:type="dxa"/>
          </w:tcPr>
          <w:p w14:paraId="4D92940D" w14:textId="77777777" w:rsidR="00B53006" w:rsidRPr="00154588" w:rsidRDefault="00B53006" w:rsidP="008C12B4">
            <w:pPr>
              <w:ind w:firstLine="567"/>
              <w:jc w:val="both"/>
              <w:rPr>
                <w:sz w:val="20"/>
                <w:szCs w:val="20"/>
              </w:rPr>
            </w:pPr>
            <w:r w:rsidRPr="00154588">
              <w:rPr>
                <w:b/>
                <w:sz w:val="20"/>
                <w:szCs w:val="20"/>
              </w:rPr>
              <w:t>Articolul 154.</w:t>
            </w:r>
            <w:r w:rsidRPr="00154588">
              <w:rPr>
                <w:sz w:val="20"/>
                <w:szCs w:val="20"/>
              </w:rPr>
              <w:t xml:space="preserve"> – Instrumentul de recapitalizare internă poate fi aplicat de Banca Naţională a Moldovei, în calitate de autoritate de rezoluţie, tuturor datoriilor unei instituției de credit sau entități prevăzute la art.1 alin.(1) lit.b), c) sau d) care nu sînt excluse din domeniul de aplicare al acestui instrument, în conformitate cu prevederile art.155 sau 156.</w:t>
            </w:r>
          </w:p>
          <w:p w14:paraId="0AC444A9" w14:textId="77777777" w:rsidR="00B53006" w:rsidRPr="00154588" w:rsidRDefault="00B53006" w:rsidP="008C12B4">
            <w:pPr>
              <w:jc w:val="both"/>
              <w:rPr>
                <w:bCs/>
                <w:sz w:val="20"/>
                <w:szCs w:val="20"/>
              </w:rPr>
            </w:pPr>
          </w:p>
        </w:tc>
        <w:tc>
          <w:tcPr>
            <w:tcW w:w="2552" w:type="dxa"/>
          </w:tcPr>
          <w:p w14:paraId="32721738" w14:textId="5D14A15B" w:rsidR="00B53006" w:rsidRPr="00154588" w:rsidRDefault="00B53006" w:rsidP="008C12B4">
            <w:pPr>
              <w:jc w:val="both"/>
              <w:rPr>
                <w:bCs/>
                <w:sz w:val="20"/>
                <w:szCs w:val="20"/>
              </w:rPr>
            </w:pPr>
            <w:r w:rsidRPr="00154588">
              <w:rPr>
                <w:bCs/>
                <w:sz w:val="20"/>
                <w:szCs w:val="20"/>
              </w:rPr>
              <w:t>Compatibil</w:t>
            </w:r>
          </w:p>
        </w:tc>
        <w:tc>
          <w:tcPr>
            <w:tcW w:w="3118" w:type="dxa"/>
          </w:tcPr>
          <w:p w14:paraId="5DF19C2E" w14:textId="77777777" w:rsidR="00B53006" w:rsidRPr="00154588" w:rsidRDefault="00B53006" w:rsidP="008C12B4">
            <w:pPr>
              <w:jc w:val="both"/>
              <w:rPr>
                <w:bCs/>
                <w:sz w:val="20"/>
                <w:szCs w:val="20"/>
              </w:rPr>
            </w:pPr>
          </w:p>
        </w:tc>
      </w:tr>
      <w:tr w:rsidR="00B53006" w:rsidRPr="00154588" w14:paraId="5EEF66C6" w14:textId="77777777" w:rsidTr="00D15C1B">
        <w:trPr>
          <w:jc w:val="center"/>
        </w:trPr>
        <w:tc>
          <w:tcPr>
            <w:tcW w:w="4957" w:type="dxa"/>
            <w:gridSpan w:val="2"/>
          </w:tcPr>
          <w:p w14:paraId="36EE5905" w14:textId="77777777" w:rsidR="00B53006" w:rsidRPr="00154588" w:rsidRDefault="00B53006" w:rsidP="008C12B4">
            <w:pPr>
              <w:jc w:val="both"/>
              <w:rPr>
                <w:bCs/>
                <w:sz w:val="20"/>
                <w:szCs w:val="20"/>
              </w:rPr>
            </w:pPr>
            <w:r w:rsidRPr="00154588">
              <w:rPr>
                <w:bCs/>
                <w:sz w:val="20"/>
                <w:szCs w:val="20"/>
              </w:rPr>
              <w:lastRenderedPageBreak/>
              <w:t>(2)   Autoritățile de rezoluție nu exercită competențele de reducere a valorii contabile sau de conversie în cazul următoarelor pasive fie că sunt reglementate de dreptul unui stat membru, fie de dreptul unui stat terț:</w:t>
            </w:r>
          </w:p>
          <w:p w14:paraId="1EA65FD3" w14:textId="77777777" w:rsidR="00B53006" w:rsidRPr="00154588" w:rsidRDefault="00B53006" w:rsidP="008C12B4">
            <w:pPr>
              <w:jc w:val="both"/>
              <w:rPr>
                <w:bCs/>
                <w:sz w:val="20"/>
                <w:szCs w:val="20"/>
              </w:rPr>
            </w:pPr>
          </w:p>
          <w:p w14:paraId="72D7EDE9" w14:textId="1894C716" w:rsidR="00B53006" w:rsidRPr="00154588" w:rsidRDefault="00B53006" w:rsidP="008C12B4">
            <w:pPr>
              <w:jc w:val="both"/>
              <w:rPr>
                <w:bCs/>
                <w:sz w:val="20"/>
                <w:szCs w:val="20"/>
              </w:rPr>
            </w:pPr>
            <w:r w:rsidRPr="00154588">
              <w:rPr>
                <w:bCs/>
                <w:sz w:val="20"/>
                <w:szCs w:val="20"/>
              </w:rPr>
              <w:t>(a) depozitele acoperite;</w:t>
            </w:r>
          </w:p>
          <w:p w14:paraId="60CEF3A9" w14:textId="77777777" w:rsidR="00B53006" w:rsidRPr="00154588" w:rsidRDefault="00B53006" w:rsidP="008C12B4">
            <w:pPr>
              <w:jc w:val="both"/>
              <w:rPr>
                <w:bCs/>
                <w:sz w:val="20"/>
                <w:szCs w:val="20"/>
              </w:rPr>
            </w:pPr>
          </w:p>
          <w:p w14:paraId="3EB64EBE" w14:textId="5FC10657" w:rsidR="00B53006" w:rsidRPr="00154588" w:rsidRDefault="00B53006" w:rsidP="008C12B4">
            <w:pPr>
              <w:jc w:val="both"/>
              <w:rPr>
                <w:bCs/>
                <w:sz w:val="20"/>
                <w:szCs w:val="20"/>
              </w:rPr>
            </w:pPr>
            <w:r w:rsidRPr="00154588">
              <w:rPr>
                <w:bCs/>
                <w:sz w:val="20"/>
                <w:szCs w:val="20"/>
              </w:rPr>
              <w:t>(b) obligațiile garantate inclusiv obligațiunile garantate și pasivele sub forma unor instrumente financiare utilizate în scopul acoperirii riscurilor, care constituie o parte integrantă a portofoliului de acoperire și care, în temeiul dreptului intern, sunt garantate în mod asemănător cu obligațiunile garantate;</w:t>
            </w:r>
          </w:p>
          <w:p w14:paraId="72F79514" w14:textId="77777777" w:rsidR="00B53006" w:rsidRPr="00154588" w:rsidRDefault="00B53006" w:rsidP="008C12B4">
            <w:pPr>
              <w:jc w:val="both"/>
              <w:rPr>
                <w:bCs/>
                <w:sz w:val="20"/>
                <w:szCs w:val="20"/>
              </w:rPr>
            </w:pPr>
          </w:p>
          <w:p w14:paraId="07391869" w14:textId="6AAB462C" w:rsidR="00B53006" w:rsidRPr="00154588" w:rsidRDefault="00B53006" w:rsidP="008C12B4">
            <w:pPr>
              <w:jc w:val="both"/>
              <w:rPr>
                <w:bCs/>
                <w:sz w:val="20"/>
                <w:szCs w:val="20"/>
              </w:rPr>
            </w:pPr>
            <w:r w:rsidRPr="00154588">
              <w:rPr>
                <w:bCs/>
                <w:sz w:val="20"/>
                <w:szCs w:val="20"/>
              </w:rPr>
              <w:t>(c) orice datorie care rezultă în virtutea deținerii de către instituția sau entitatea menționată la articolul 1 alineatul (1) litera (b), (c) sau (d) din prezenta directivă a unor active sau lichidități aparținând clienților, inclusiv active sau lichidități aparținând clienților deținute în numele unui OPCVM, în conformitate cu definiția de la articolul 1 alineatul (2) din Directiva 2009/65/CE, sau de un FIA, în conformitate cu definiția de la articolul 4 alineatul (1) litera (a) din Directiva 2011/61/UE a Parlamentului European și a Consiliului ( 11 ), cu condiția ca respectivul client să fie protejat în baza legislației aplicabile privind insolvența;</w:t>
            </w:r>
          </w:p>
          <w:p w14:paraId="346A3A21" w14:textId="77777777" w:rsidR="00B53006" w:rsidRPr="00154588" w:rsidRDefault="00B53006" w:rsidP="008C12B4">
            <w:pPr>
              <w:jc w:val="both"/>
              <w:rPr>
                <w:bCs/>
                <w:sz w:val="20"/>
                <w:szCs w:val="20"/>
              </w:rPr>
            </w:pPr>
          </w:p>
          <w:p w14:paraId="6CFF36B4" w14:textId="187F6751" w:rsidR="00B53006" w:rsidRPr="00154588" w:rsidRDefault="00B53006" w:rsidP="008C12B4">
            <w:pPr>
              <w:jc w:val="both"/>
              <w:rPr>
                <w:bCs/>
                <w:sz w:val="20"/>
                <w:szCs w:val="20"/>
              </w:rPr>
            </w:pPr>
            <w:r w:rsidRPr="00154588">
              <w:rPr>
                <w:bCs/>
                <w:sz w:val="20"/>
                <w:szCs w:val="20"/>
              </w:rPr>
              <w:t>(d) orice datorie care rezultă în virtutea existenței unei relații fiduciare între instituție sau entitatea menționată la articolul 1 alineatul (1) litera (b), (c) sau (d) (în calitate de fiduciar) și o altă persoană (în calitate de beneficiar), cu condiția ca respectivul beneficiar să fie protejat în baza legislației aplicabile privind insolvența sau în baza dreptului civil;</w:t>
            </w:r>
          </w:p>
          <w:p w14:paraId="15E29BCB" w14:textId="77777777" w:rsidR="00B53006" w:rsidRPr="00154588" w:rsidRDefault="00B53006" w:rsidP="008C12B4">
            <w:pPr>
              <w:jc w:val="both"/>
              <w:rPr>
                <w:bCs/>
                <w:sz w:val="20"/>
                <w:szCs w:val="20"/>
              </w:rPr>
            </w:pPr>
          </w:p>
          <w:p w14:paraId="07C16B2B" w14:textId="77777777" w:rsidR="00B53006" w:rsidRPr="00154588" w:rsidRDefault="00B53006" w:rsidP="008C12B4">
            <w:pPr>
              <w:jc w:val="both"/>
              <w:rPr>
                <w:bCs/>
                <w:sz w:val="20"/>
                <w:szCs w:val="20"/>
              </w:rPr>
            </w:pPr>
            <w:r w:rsidRPr="00154588">
              <w:rPr>
                <w:bCs/>
                <w:sz w:val="20"/>
                <w:szCs w:val="20"/>
              </w:rPr>
              <w:t>(e) datorii față de instituții, excluzând entitățile care fac parte din același grup, cu o scadență inițială de sub șapte zile;</w:t>
            </w:r>
          </w:p>
          <w:p w14:paraId="3497C59E" w14:textId="77777777" w:rsidR="00B53006" w:rsidRPr="00154588" w:rsidRDefault="00B53006" w:rsidP="008C12B4">
            <w:pPr>
              <w:jc w:val="both"/>
              <w:rPr>
                <w:bCs/>
                <w:sz w:val="20"/>
                <w:szCs w:val="20"/>
              </w:rPr>
            </w:pPr>
          </w:p>
          <w:p w14:paraId="27FCF244" w14:textId="36DE2E43" w:rsidR="00B53006" w:rsidRPr="00154588" w:rsidRDefault="00B53006" w:rsidP="008C12B4">
            <w:pPr>
              <w:jc w:val="both"/>
              <w:rPr>
                <w:bCs/>
                <w:sz w:val="20"/>
                <w:szCs w:val="20"/>
              </w:rPr>
            </w:pPr>
            <w:r w:rsidRPr="00154588">
              <w:rPr>
                <w:bCs/>
                <w:sz w:val="20"/>
                <w:szCs w:val="20"/>
              </w:rPr>
              <w:t xml:space="preserve">(f) datorii cu o scadență reziduală mai mică de șapte zile față de sisteme sau operatori de sisteme desemnați în conformitate cu Directiva 98/26/CE sau față de participanții la astfel de sisteme, care rezultă din participarea la un astfel de sistem, sau față de CPC-uri autorizate în Uniune în temeiul articolului 14 </w:t>
            </w:r>
            <w:r w:rsidRPr="00154588">
              <w:rPr>
                <w:bCs/>
                <w:sz w:val="20"/>
                <w:szCs w:val="20"/>
              </w:rPr>
              <w:lastRenderedPageBreak/>
              <w:t>din Regulamentul (UE) nr. 648/2012 și față de CPC-uri din țări terțe recunoscute de ESMA în temeiul articolului 25 din regulamentul respectiv;</w:t>
            </w:r>
          </w:p>
          <w:p w14:paraId="0F2C5696" w14:textId="77777777" w:rsidR="00B53006" w:rsidRPr="00154588" w:rsidRDefault="00B53006" w:rsidP="008C12B4">
            <w:pPr>
              <w:jc w:val="both"/>
              <w:rPr>
                <w:bCs/>
                <w:sz w:val="20"/>
                <w:szCs w:val="20"/>
              </w:rPr>
            </w:pPr>
          </w:p>
          <w:p w14:paraId="565EB553" w14:textId="76FBD9C4" w:rsidR="00B53006" w:rsidRPr="00154588" w:rsidRDefault="00B53006" w:rsidP="008C12B4">
            <w:pPr>
              <w:jc w:val="both"/>
              <w:rPr>
                <w:bCs/>
                <w:sz w:val="20"/>
                <w:szCs w:val="20"/>
              </w:rPr>
            </w:pPr>
            <w:r w:rsidRPr="00154588">
              <w:rPr>
                <w:bCs/>
                <w:sz w:val="20"/>
                <w:szCs w:val="20"/>
              </w:rPr>
              <w:t>(g) o datorie față de oricare dintre următoarele persoane:</w:t>
            </w:r>
          </w:p>
          <w:p w14:paraId="0A5F0DB1" w14:textId="77777777" w:rsidR="00B53006" w:rsidRPr="00154588" w:rsidRDefault="00B53006" w:rsidP="008C12B4">
            <w:pPr>
              <w:jc w:val="both"/>
              <w:rPr>
                <w:bCs/>
                <w:sz w:val="20"/>
                <w:szCs w:val="20"/>
              </w:rPr>
            </w:pPr>
          </w:p>
          <w:p w14:paraId="50FA985E" w14:textId="7B1BDD0B" w:rsidR="00B53006" w:rsidRPr="00154588" w:rsidRDefault="00B53006" w:rsidP="008C12B4">
            <w:pPr>
              <w:jc w:val="both"/>
              <w:rPr>
                <w:bCs/>
                <w:sz w:val="20"/>
                <w:szCs w:val="20"/>
              </w:rPr>
            </w:pPr>
            <w:r w:rsidRPr="00154588">
              <w:rPr>
                <w:bCs/>
                <w:sz w:val="20"/>
                <w:szCs w:val="20"/>
              </w:rPr>
              <w:t>(i) un angajat, în ceea ce privește salariile, beneficiile de tipul pensiilor sau alte forme de remunerație fixă acumulate, cu excepția componentei variabile a remunerației care nu este reglementată printr-un contract colectiv de muncă;</w:t>
            </w:r>
          </w:p>
          <w:p w14:paraId="38B429F0" w14:textId="77777777" w:rsidR="00B53006" w:rsidRPr="00154588" w:rsidRDefault="00B53006" w:rsidP="008C12B4">
            <w:pPr>
              <w:jc w:val="both"/>
              <w:rPr>
                <w:bCs/>
                <w:sz w:val="20"/>
                <w:szCs w:val="20"/>
              </w:rPr>
            </w:pPr>
          </w:p>
          <w:p w14:paraId="56B77CAD" w14:textId="14B83D7F" w:rsidR="00B53006" w:rsidRPr="00154588" w:rsidRDefault="00B53006" w:rsidP="008C12B4">
            <w:pPr>
              <w:jc w:val="both"/>
              <w:rPr>
                <w:bCs/>
                <w:sz w:val="20"/>
                <w:szCs w:val="20"/>
              </w:rPr>
            </w:pPr>
            <w:r w:rsidRPr="00154588">
              <w:rPr>
                <w:bCs/>
                <w:sz w:val="20"/>
                <w:szCs w:val="20"/>
              </w:rPr>
              <w:t>(ii) un creditor comercial, în ceea ce privește furnizarea către instituția sau entitatea menționată la articolul 1 alineatul (1) litera (b), (c) sau (d) de mărfuri sau servicii care sunt cruciale pentru desfășurarea zilnică a activităților sale, inclusiv servicii informatice, servicii de utilități, precum și închirierea, întreținerea și reparațiile spațiilor de lucru;</w:t>
            </w:r>
          </w:p>
          <w:p w14:paraId="5836D0E3" w14:textId="77777777" w:rsidR="00B53006" w:rsidRPr="00154588" w:rsidRDefault="00B53006" w:rsidP="008C12B4">
            <w:pPr>
              <w:jc w:val="both"/>
              <w:rPr>
                <w:bCs/>
                <w:sz w:val="20"/>
                <w:szCs w:val="20"/>
              </w:rPr>
            </w:pPr>
          </w:p>
          <w:p w14:paraId="5D21FBAF" w14:textId="3A24114B" w:rsidR="00B53006" w:rsidRPr="00154588" w:rsidRDefault="00B53006" w:rsidP="008C12B4">
            <w:pPr>
              <w:jc w:val="both"/>
              <w:rPr>
                <w:bCs/>
                <w:sz w:val="20"/>
                <w:szCs w:val="20"/>
              </w:rPr>
            </w:pPr>
            <w:r w:rsidRPr="00154588">
              <w:rPr>
                <w:bCs/>
                <w:sz w:val="20"/>
                <w:szCs w:val="20"/>
              </w:rPr>
              <w:t>(iii) autorități fiscale și de asigurări sociale, cu condiția ca datoriile respective să fie considerate creanțe privilegiate în baza legii aplicabile;</w:t>
            </w:r>
          </w:p>
          <w:p w14:paraId="7BC1542B" w14:textId="77777777" w:rsidR="00B53006" w:rsidRPr="00154588" w:rsidRDefault="00B53006" w:rsidP="008C12B4">
            <w:pPr>
              <w:jc w:val="both"/>
              <w:rPr>
                <w:bCs/>
                <w:sz w:val="20"/>
                <w:szCs w:val="20"/>
              </w:rPr>
            </w:pPr>
          </w:p>
          <w:p w14:paraId="73023AE4" w14:textId="77777777" w:rsidR="00B53006" w:rsidRPr="00154588" w:rsidRDefault="00B53006" w:rsidP="008C12B4">
            <w:pPr>
              <w:jc w:val="both"/>
              <w:rPr>
                <w:bCs/>
                <w:sz w:val="20"/>
                <w:szCs w:val="20"/>
              </w:rPr>
            </w:pPr>
            <w:r w:rsidRPr="00154588">
              <w:rPr>
                <w:bCs/>
                <w:sz w:val="20"/>
                <w:szCs w:val="20"/>
              </w:rPr>
              <w:t>(iv) scheme de garantare a depozitelor care decurg din contribuțiile datorate în conformitate cu Directiva 2014/49/UE;</w:t>
            </w:r>
          </w:p>
          <w:p w14:paraId="341E427A" w14:textId="77777777" w:rsidR="00B53006" w:rsidRPr="00154588" w:rsidRDefault="00B53006" w:rsidP="008C12B4">
            <w:pPr>
              <w:jc w:val="both"/>
              <w:rPr>
                <w:bCs/>
                <w:sz w:val="20"/>
                <w:szCs w:val="20"/>
              </w:rPr>
            </w:pPr>
          </w:p>
          <w:p w14:paraId="0C1189D2" w14:textId="77777777" w:rsidR="00B53006" w:rsidRPr="00154588" w:rsidRDefault="00B53006" w:rsidP="008C12B4">
            <w:pPr>
              <w:jc w:val="both"/>
              <w:rPr>
                <w:bCs/>
                <w:sz w:val="20"/>
                <w:szCs w:val="20"/>
              </w:rPr>
            </w:pPr>
            <w:r w:rsidRPr="00154588">
              <w:rPr>
                <w:bCs/>
                <w:sz w:val="20"/>
                <w:szCs w:val="20"/>
              </w:rPr>
              <w:t>(h) datorii către instituții sau entități menționate la articolul (1) alineatul (1) litera (b), (c) sau (d), care fac parte din același grup de rezoluție fără a fi ele însele entități de rezoluție, indiferent de scadența lor, cu excepția cazului în care aceste datorii au un rang inferior datoriilor negarantate obișnuite în temeiul dreptului național relevant care reglementează procedura obișnuită de insolvență aplicabilă la data transpunerii prezentei directive; în cazurile în care se aplică respectiva excepție, autoritatea de rezoluție a filialei relevante care nu este o entitate de rezoluție evaluează dacă valoarea elementelor care sunt conforme cu articolul 45f alineatul (2) este suficientă pentru a sprijini punerea în aplicare a strategiei de rezoluție preferate.</w:t>
            </w:r>
          </w:p>
          <w:p w14:paraId="2A7FEE77" w14:textId="77777777" w:rsidR="00B53006" w:rsidRPr="00154588" w:rsidRDefault="00B53006" w:rsidP="008C12B4">
            <w:pPr>
              <w:jc w:val="both"/>
              <w:rPr>
                <w:bCs/>
                <w:sz w:val="20"/>
                <w:szCs w:val="20"/>
              </w:rPr>
            </w:pPr>
          </w:p>
          <w:p w14:paraId="70353ED2" w14:textId="77777777" w:rsidR="00B53006" w:rsidRPr="00154588" w:rsidRDefault="00B53006" w:rsidP="008C12B4">
            <w:pPr>
              <w:jc w:val="both"/>
              <w:rPr>
                <w:bCs/>
                <w:sz w:val="20"/>
                <w:szCs w:val="20"/>
              </w:rPr>
            </w:pPr>
            <w:r w:rsidRPr="00154588">
              <w:rPr>
                <w:bCs/>
                <w:sz w:val="20"/>
                <w:szCs w:val="20"/>
              </w:rPr>
              <w:lastRenderedPageBreak/>
              <w:t>Litera (g) punctul (i) din primul paragraf nu se aplică componentei variabile a remunerației personalului cu competențe pentru asumarea de riscuri semnificative astfel cum este identificat la articolul 92 alineatul (2) din Directiva 2013/36/UE.</w:t>
            </w:r>
          </w:p>
          <w:p w14:paraId="45B7F127" w14:textId="77777777" w:rsidR="00B53006" w:rsidRPr="00154588" w:rsidRDefault="00B53006" w:rsidP="008C12B4">
            <w:pPr>
              <w:jc w:val="both"/>
              <w:rPr>
                <w:bCs/>
                <w:sz w:val="20"/>
                <w:szCs w:val="20"/>
              </w:rPr>
            </w:pPr>
          </w:p>
          <w:p w14:paraId="3CAB508A" w14:textId="77777777" w:rsidR="00B53006" w:rsidRPr="00154588" w:rsidRDefault="00B53006" w:rsidP="008C12B4">
            <w:pPr>
              <w:jc w:val="both"/>
              <w:rPr>
                <w:bCs/>
                <w:sz w:val="20"/>
                <w:szCs w:val="20"/>
              </w:rPr>
            </w:pPr>
            <w:r w:rsidRPr="00154588">
              <w:rPr>
                <w:bCs/>
                <w:sz w:val="20"/>
                <w:szCs w:val="20"/>
              </w:rPr>
              <w:t>Statele membre se asigură că toate activele garantate asociate unui portofoliu de acoperire a obligațiunilor garantate rămân neafectate, segregate și cu fonduri suficiente. Nici respectiva dispoziție și nici primul paragraf litera (b) nu împiedică autoritățile de rezoluție să-și exercite, după caz, respectivele competențe în legătură cu orice parte a unei obligații garantate sau a unei datorii pentru care s-a depus o garanție reală care depășește valoarea activelor, gajului, a dreptului de retenție sau a garanției reale care o acoperă.</w:t>
            </w:r>
          </w:p>
          <w:p w14:paraId="133DA324" w14:textId="77777777" w:rsidR="00B53006" w:rsidRPr="00154588" w:rsidRDefault="00B53006" w:rsidP="008C12B4">
            <w:pPr>
              <w:jc w:val="both"/>
              <w:rPr>
                <w:bCs/>
                <w:sz w:val="20"/>
                <w:szCs w:val="20"/>
              </w:rPr>
            </w:pPr>
          </w:p>
          <w:p w14:paraId="3EA849DC" w14:textId="77777777" w:rsidR="00B53006" w:rsidRPr="00154588" w:rsidRDefault="00B53006" w:rsidP="008C12B4">
            <w:pPr>
              <w:jc w:val="both"/>
              <w:rPr>
                <w:bCs/>
                <w:sz w:val="20"/>
                <w:szCs w:val="20"/>
              </w:rPr>
            </w:pPr>
            <w:r w:rsidRPr="00154588">
              <w:rPr>
                <w:bCs/>
                <w:sz w:val="20"/>
                <w:szCs w:val="20"/>
              </w:rPr>
              <w:t>Primul paragraf litera (a) nu împiedică autoritățile de rezoluție să-și exercite, după caz, respectivele competențe în legătură cu orice parte a unui depozit care depășește nivelul de acoperire prevăzut la articolul 6 din Directiva 2014/49/UE.</w:t>
            </w:r>
          </w:p>
          <w:p w14:paraId="240BF9DB" w14:textId="77777777" w:rsidR="00B53006" w:rsidRPr="00154588" w:rsidRDefault="00B53006" w:rsidP="008C12B4">
            <w:pPr>
              <w:jc w:val="both"/>
              <w:rPr>
                <w:bCs/>
                <w:sz w:val="20"/>
                <w:szCs w:val="20"/>
              </w:rPr>
            </w:pPr>
          </w:p>
          <w:p w14:paraId="6613843A" w14:textId="68B8D5CC" w:rsidR="00B53006" w:rsidRPr="00154588" w:rsidRDefault="00B53006" w:rsidP="008C12B4">
            <w:pPr>
              <w:jc w:val="both"/>
              <w:rPr>
                <w:bCs/>
                <w:sz w:val="20"/>
                <w:szCs w:val="20"/>
              </w:rPr>
            </w:pPr>
            <w:r w:rsidRPr="00154588">
              <w:rPr>
                <w:bCs/>
                <w:sz w:val="20"/>
                <w:szCs w:val="20"/>
              </w:rPr>
              <w:t>Fără a aduce atingere normelor privind expunerile mari din cadrul Regulamentului (UE) nr. 575/2013 și Directivei 2013/36/UE, statele membre se asigură că, pentru a garanta posibilități de soluționare a instituțiilor și grupurilor, autoritățile de rezoluție limitează, în conformitate cu articolul 17 alineatul (5) litera (b) din prezenta directivă, măsura în care alte instituții dețin datorii care pot face obiectul recapitalizării interne, cu excepția pasivelor care sunt deținute de entități care fac parte din același grup.</w:t>
            </w:r>
          </w:p>
        </w:tc>
        <w:tc>
          <w:tcPr>
            <w:tcW w:w="4819" w:type="dxa"/>
          </w:tcPr>
          <w:p w14:paraId="4E3EB94B" w14:textId="77777777" w:rsidR="00B53006" w:rsidRPr="00154588" w:rsidRDefault="00B53006" w:rsidP="008C12B4">
            <w:pPr>
              <w:ind w:firstLine="567"/>
              <w:jc w:val="both"/>
              <w:rPr>
                <w:sz w:val="20"/>
                <w:szCs w:val="20"/>
              </w:rPr>
            </w:pPr>
            <w:r w:rsidRPr="00154588">
              <w:rPr>
                <w:b/>
                <w:sz w:val="20"/>
                <w:szCs w:val="20"/>
              </w:rPr>
              <w:lastRenderedPageBreak/>
              <w:t>Articolul 155.</w:t>
            </w:r>
            <w:r w:rsidRPr="00154588">
              <w:rPr>
                <w:sz w:val="20"/>
                <w:szCs w:val="20"/>
              </w:rPr>
              <w:t xml:space="preserve"> – (1) Banca Naţională a Moldovei, în calitate de autoritate de rezoluţie, nu exercită competenţele de reducere a valorii sau de conversie în cazul următoarelor datorii, indiferent de legea care le reglementează:</w:t>
            </w:r>
          </w:p>
          <w:p w14:paraId="57575719" w14:textId="77777777" w:rsidR="00B53006" w:rsidRPr="00154588" w:rsidRDefault="00B53006" w:rsidP="008C12B4">
            <w:pPr>
              <w:ind w:firstLine="567"/>
              <w:jc w:val="both"/>
              <w:rPr>
                <w:sz w:val="20"/>
                <w:szCs w:val="20"/>
              </w:rPr>
            </w:pPr>
            <w:r w:rsidRPr="00154588">
              <w:rPr>
                <w:sz w:val="20"/>
                <w:szCs w:val="20"/>
              </w:rPr>
              <w:t>a) depozitele acoperite;</w:t>
            </w:r>
          </w:p>
          <w:p w14:paraId="4CB546A7" w14:textId="77777777" w:rsidR="00B53006" w:rsidRPr="00154588" w:rsidRDefault="00B53006" w:rsidP="008C12B4">
            <w:pPr>
              <w:ind w:firstLine="567"/>
              <w:jc w:val="both"/>
              <w:rPr>
                <w:sz w:val="20"/>
                <w:szCs w:val="20"/>
              </w:rPr>
            </w:pPr>
            <w:r w:rsidRPr="00154588">
              <w:rPr>
                <w:sz w:val="20"/>
                <w:szCs w:val="20"/>
              </w:rPr>
              <w:t>b) obligaţiile garantate, inclusiv obligaţiunile garantate şi datoriile sub forma unor instrumente financiare utilizate în scopul acoperirii riscurilor, care constituie o parte integrantă a portofoliului de acoperire şi care, în temeiul dreptului intern, sînt garantate în mod asemănător cu obligaţiunile garantate;</w:t>
            </w:r>
          </w:p>
          <w:p w14:paraId="61645613" w14:textId="77777777" w:rsidR="00B53006" w:rsidRPr="00154588" w:rsidRDefault="00B53006" w:rsidP="008C12B4">
            <w:pPr>
              <w:ind w:firstLine="567"/>
              <w:jc w:val="both"/>
              <w:rPr>
                <w:sz w:val="20"/>
                <w:szCs w:val="20"/>
              </w:rPr>
            </w:pPr>
            <w:r w:rsidRPr="00154588">
              <w:rPr>
                <w:sz w:val="20"/>
                <w:szCs w:val="20"/>
              </w:rPr>
              <w:t>c) orice datorie care rezultă în virtutea deţinerii de către instituția de credit sau entitatea prevăzută la art.1 alin.(1) lit.b), c) sau d) a unor active sau lichidităţi aparţinînd clienţilor, inclusiv active sau lichidităţi aparţinînd clienţilor, deţinute în numele unui organism de plasament colectiv, cu condiţia ca respectivul client să fie protejat în baza legislaţiei aplicabile privind insolvabilitatea;</w:t>
            </w:r>
          </w:p>
          <w:p w14:paraId="6146F5D6" w14:textId="77777777" w:rsidR="00B53006" w:rsidRPr="00154588" w:rsidRDefault="00B53006" w:rsidP="008C12B4">
            <w:pPr>
              <w:ind w:firstLine="567"/>
              <w:jc w:val="both"/>
              <w:rPr>
                <w:sz w:val="20"/>
                <w:szCs w:val="20"/>
              </w:rPr>
            </w:pPr>
            <w:r w:rsidRPr="00154588">
              <w:rPr>
                <w:sz w:val="20"/>
                <w:szCs w:val="20"/>
              </w:rPr>
              <w:t>d) orice datorie care rezultă în virtutea existenţei unei relaţii fiduciare între instituția de credit sau entitatea prevăzută la art.1 alin.(1) lit.b), c) sau d), în calitate de fiduciar, şi o altă persoană, în calitate de beneficiar, cu condiţia ca respectivul beneficiar să fie protejat în baza legislaţiei aplicabile insolvabilității sau a legii civile;</w:t>
            </w:r>
          </w:p>
          <w:p w14:paraId="7A51F1E6" w14:textId="77777777" w:rsidR="00B53006" w:rsidRPr="00154588" w:rsidRDefault="00B53006" w:rsidP="008C12B4">
            <w:pPr>
              <w:ind w:firstLine="567"/>
              <w:jc w:val="both"/>
              <w:rPr>
                <w:sz w:val="20"/>
                <w:szCs w:val="20"/>
              </w:rPr>
            </w:pPr>
            <w:r w:rsidRPr="00154588">
              <w:rPr>
                <w:sz w:val="20"/>
                <w:szCs w:val="20"/>
              </w:rPr>
              <w:t>e) datoriile faţă de instituție de credit , excluzînd entităţile care fac parte din acelaşi grup, cu o scadenţă iniţială mai mică de şapte zile;</w:t>
            </w:r>
          </w:p>
          <w:p w14:paraId="5D83AD2C" w14:textId="71D544D6" w:rsidR="00B53006" w:rsidRPr="00154588" w:rsidRDefault="00B53006" w:rsidP="008C12B4">
            <w:pPr>
              <w:ind w:firstLine="567"/>
              <w:jc w:val="both"/>
              <w:rPr>
                <w:sz w:val="20"/>
                <w:szCs w:val="20"/>
              </w:rPr>
            </w:pPr>
            <w:r w:rsidRPr="00154588">
              <w:rPr>
                <w:sz w:val="20"/>
                <w:szCs w:val="20"/>
              </w:rPr>
              <w:t xml:space="preserve">f) datoriile cu o scadenţă reziduală mai mică de şapte zile faţă de sistemele </w:t>
            </w:r>
            <w:bookmarkStart w:id="44" w:name="_Hlk223358229"/>
            <w:r w:rsidRPr="00154588">
              <w:rPr>
                <w:sz w:val="20"/>
                <w:szCs w:val="20"/>
              </w:rPr>
              <w:t xml:space="preserve">sau operatorii de sisteme desemnați în conformitate cu prevederile art.13 din Legea nr.183/2016 cu privire la caracterul definitiv al decontării în sistemele de plăți și de decontare a instrumentelor financiare </w:t>
            </w:r>
            <w:bookmarkEnd w:id="44"/>
            <w:r w:rsidRPr="00154588">
              <w:rPr>
                <w:sz w:val="20"/>
                <w:szCs w:val="20"/>
              </w:rPr>
              <w:t xml:space="preserve">sau faţă de participanţii la astfel de sisteme şi care rezultă din participarea la un </w:t>
            </w:r>
            <w:bookmarkStart w:id="45" w:name="_Hlk223358249"/>
            <w:r w:rsidRPr="00154588">
              <w:rPr>
                <w:sz w:val="20"/>
                <w:szCs w:val="20"/>
              </w:rPr>
              <w:t>astfel de sistem</w:t>
            </w:r>
            <w:bookmarkEnd w:id="45"/>
            <w:r w:rsidRPr="00154588">
              <w:rPr>
                <w:sz w:val="20"/>
                <w:szCs w:val="20"/>
              </w:rPr>
              <w:t xml:space="preserve">, </w:t>
            </w:r>
            <w:bookmarkStart w:id="46" w:name="_Hlk223358264"/>
            <w:r w:rsidRPr="00154588">
              <w:rPr>
                <w:sz w:val="20"/>
                <w:szCs w:val="20"/>
              </w:rPr>
              <w:t>sau față de CPC-uri autorizate în Uniunea Europeană în temeiul art.14 din Regulamentul (UE) nr 648/2012, și față de CPC-uri din țări terțe recunoscute de Autoritatea europeană pentru valori mobiliare și piețe (AEVMP) în temeiul art.25 din regulamentul respectiv</w:t>
            </w:r>
            <w:bookmarkEnd w:id="46"/>
            <w:r w:rsidRPr="00154588">
              <w:rPr>
                <w:sz w:val="20"/>
                <w:szCs w:val="20"/>
              </w:rPr>
              <w:t xml:space="preserve">;g) </w:t>
            </w:r>
            <w:r w:rsidRPr="00154588">
              <w:rPr>
                <w:sz w:val="20"/>
                <w:szCs w:val="20"/>
              </w:rPr>
              <w:lastRenderedPageBreak/>
              <w:t>datoria faţă de oricare dintre entităţile prevăzute la alin.(2);</w:t>
            </w:r>
          </w:p>
          <w:p w14:paraId="1F9760C8" w14:textId="77777777" w:rsidR="00B53006" w:rsidRPr="00154588" w:rsidRDefault="00B53006" w:rsidP="008C12B4">
            <w:pPr>
              <w:pStyle w:val="af3"/>
              <w:shd w:val="clear" w:color="auto" w:fill="FFFFFF" w:themeFill="background1"/>
              <w:spacing w:before="0" w:beforeAutospacing="0" w:after="0" w:afterAutospacing="0"/>
              <w:ind w:firstLine="567"/>
              <w:jc w:val="both"/>
              <w:rPr>
                <w:rFonts w:eastAsiaTheme="minorEastAsia"/>
                <w:sz w:val="20"/>
                <w:szCs w:val="20"/>
                <w:lang w:eastAsia="en-US"/>
              </w:rPr>
            </w:pPr>
            <w:bookmarkStart w:id="47" w:name="_Hlk223358335"/>
            <w:r w:rsidRPr="00154588">
              <w:rPr>
                <w:rFonts w:eastAsiaTheme="minorEastAsia"/>
                <w:sz w:val="20"/>
                <w:szCs w:val="20"/>
                <w:lang w:eastAsia="en-US"/>
              </w:rPr>
              <w:t xml:space="preserve">h) datorii către instituția de credit sau entității prevăzute la art.1 alin.(1) lit.b), c) sau d), care fac parte din același grup de rezoluție, fără a fi ele însele entități de rezoluție, indiferent de scadența lor, cu excepția cazului în care aceste datorii au un rang de prioritate inferior rangului pe care îl au datoriile negarantate obișnuite potrivit prevederilor procedurii obișnuite de insolvabilitate, aplicabilă la data intrării în vigoare a prezentei legi; în cazul în care se aplică excepția prevăzută anterior, </w:t>
            </w:r>
            <w:r w:rsidRPr="00154588">
              <w:rPr>
                <w:rFonts w:eastAsiaTheme="minorEastAsia"/>
                <w:sz w:val="20"/>
                <w:szCs w:val="20"/>
              </w:rPr>
              <w:t>Banca Națională a Moldovei, în calitate de autoritate de rezoluție a unei filiale,</w:t>
            </w:r>
            <w:r w:rsidRPr="00154588">
              <w:rPr>
                <w:rFonts w:eastAsiaTheme="minorEastAsia"/>
                <w:sz w:val="20"/>
                <w:szCs w:val="20"/>
                <w:lang w:eastAsia="en-US"/>
              </w:rPr>
              <w:t xml:space="preserve"> care nu este o entitate de rezoluție, evaluează dacă valoarea elementelor care sunt conforme cu prevederile art.167</w:t>
            </w:r>
            <w:r w:rsidRPr="00154588">
              <w:rPr>
                <w:rFonts w:eastAsiaTheme="minorEastAsia"/>
                <w:sz w:val="20"/>
                <w:szCs w:val="20"/>
                <w:vertAlign w:val="superscript"/>
                <w:lang w:eastAsia="en-US"/>
              </w:rPr>
              <w:t>16</w:t>
            </w:r>
            <w:r w:rsidRPr="00154588">
              <w:rPr>
                <w:rFonts w:eastAsiaTheme="minorEastAsia"/>
                <w:sz w:val="20"/>
                <w:szCs w:val="20"/>
                <w:lang w:eastAsia="en-US"/>
              </w:rPr>
              <w:t> este suficientă pentru a sprijini punerea în aplicare a strategiei de rezoluție preferate.</w:t>
            </w:r>
          </w:p>
          <w:bookmarkEnd w:id="47"/>
          <w:p w14:paraId="0D688C6F" w14:textId="77777777" w:rsidR="00B53006" w:rsidRPr="00154588" w:rsidRDefault="00B53006" w:rsidP="008C12B4">
            <w:pPr>
              <w:ind w:firstLine="567"/>
              <w:jc w:val="both"/>
              <w:rPr>
                <w:sz w:val="20"/>
                <w:szCs w:val="20"/>
              </w:rPr>
            </w:pPr>
            <w:r w:rsidRPr="00154588">
              <w:rPr>
                <w:sz w:val="20"/>
                <w:szCs w:val="20"/>
              </w:rPr>
              <w:t>(2) În aplicarea prevederilor alin.(1) lit.g), categoriile de entităţi sînt următoarele:</w:t>
            </w:r>
          </w:p>
          <w:p w14:paraId="7EE04581" w14:textId="77777777" w:rsidR="00B53006" w:rsidRPr="00154588" w:rsidRDefault="00B53006" w:rsidP="008C12B4">
            <w:pPr>
              <w:ind w:firstLine="567"/>
              <w:jc w:val="both"/>
              <w:rPr>
                <w:sz w:val="20"/>
                <w:szCs w:val="20"/>
              </w:rPr>
            </w:pPr>
            <w:r w:rsidRPr="00154588">
              <w:rPr>
                <w:sz w:val="20"/>
                <w:szCs w:val="20"/>
              </w:rPr>
              <w:t>a) angajatul, în ceea ce priveşte salariile, beneficiile de tipul pensiilor sau alte forme de remuneraţie fixă acumulate, cu excepţia componentei variabile a remuneraţiei care nu este reglementată printr-un contract colectiv de muncă;</w:t>
            </w:r>
          </w:p>
          <w:p w14:paraId="7CD75521" w14:textId="77777777" w:rsidR="00B53006" w:rsidRPr="00154588" w:rsidRDefault="00B53006" w:rsidP="008C12B4">
            <w:pPr>
              <w:ind w:firstLine="567"/>
              <w:jc w:val="both"/>
              <w:rPr>
                <w:sz w:val="20"/>
                <w:szCs w:val="20"/>
              </w:rPr>
            </w:pPr>
            <w:r w:rsidRPr="00154588">
              <w:rPr>
                <w:sz w:val="20"/>
                <w:szCs w:val="20"/>
              </w:rPr>
              <w:t>b) creditorii comerciali, în scopul de a obţine sau nu profit în ceea ce priveşte furnizarea către instituţia de credit sau entitatea menţionată la art.1 alin.(1) lit.b), c) sau d) de mărfuri sau servicii care sînt cruciale pentru desfăşurarea zilnică a activităţilor sale, incluzînd servicii informatice, servicii de utilităţi, precum şi închirierea, întreţinerea şi reparaţiile spaţiilor de lucru;</w:t>
            </w:r>
          </w:p>
          <w:p w14:paraId="6BE9C926" w14:textId="77777777" w:rsidR="00B53006" w:rsidRPr="00154588" w:rsidRDefault="00B53006" w:rsidP="008C12B4">
            <w:pPr>
              <w:ind w:firstLine="567"/>
              <w:jc w:val="both"/>
              <w:rPr>
                <w:sz w:val="20"/>
                <w:szCs w:val="20"/>
              </w:rPr>
            </w:pPr>
            <w:r w:rsidRPr="00154588">
              <w:rPr>
                <w:sz w:val="20"/>
                <w:szCs w:val="20"/>
              </w:rPr>
              <w:t>c) Serviciul Fiscal de Stat şi autorităţile de asigurări sociale, cu condiţia ca datoriile respective să fie considerate creanţe privilegiate în baza legii aplicabile;</w:t>
            </w:r>
          </w:p>
          <w:p w14:paraId="02D6A1E2" w14:textId="77777777" w:rsidR="00B53006" w:rsidRPr="00154588" w:rsidRDefault="00B53006" w:rsidP="008C12B4">
            <w:pPr>
              <w:ind w:firstLine="567"/>
              <w:jc w:val="both"/>
              <w:rPr>
                <w:sz w:val="20"/>
                <w:szCs w:val="20"/>
              </w:rPr>
            </w:pPr>
            <w:r w:rsidRPr="00154588">
              <w:rPr>
                <w:sz w:val="20"/>
                <w:szCs w:val="20"/>
              </w:rPr>
              <w:t>d) schemele de garantare a depozitelor pentru datorii care decurg din contribuţiile datorate în conformitate cu legislaţia privind schemele de garantare a depozitelor.</w:t>
            </w:r>
          </w:p>
          <w:p w14:paraId="7F0CFDF1" w14:textId="77777777" w:rsidR="00B53006" w:rsidRPr="00154588" w:rsidRDefault="00B53006" w:rsidP="008C12B4">
            <w:pPr>
              <w:ind w:firstLine="567"/>
              <w:jc w:val="both"/>
              <w:rPr>
                <w:sz w:val="20"/>
                <w:szCs w:val="20"/>
              </w:rPr>
            </w:pPr>
            <w:r w:rsidRPr="00154588">
              <w:rPr>
                <w:sz w:val="20"/>
                <w:szCs w:val="20"/>
              </w:rPr>
              <w:t xml:space="preserve">(3) Prevederile alin.(2) lit.a) nu se aplică componentei variabile a remuneraţiei personalului care expune instituția de credit unor riscuri semnificative, aşa cum este identificat potrivit </w:t>
            </w:r>
            <w:r w:rsidRPr="00154588">
              <w:rPr>
                <w:sz w:val="20"/>
                <w:szCs w:val="20"/>
              </w:rPr>
              <w:lastRenderedPageBreak/>
              <w:t>reglementărilor emise de către Banca Naţională a Moldovei.</w:t>
            </w:r>
          </w:p>
          <w:p w14:paraId="3076F227" w14:textId="77777777" w:rsidR="00B53006" w:rsidRPr="00154588" w:rsidRDefault="00B53006" w:rsidP="008C12B4">
            <w:pPr>
              <w:ind w:firstLine="567"/>
              <w:jc w:val="both"/>
              <w:rPr>
                <w:sz w:val="20"/>
                <w:szCs w:val="20"/>
              </w:rPr>
            </w:pPr>
            <w:r w:rsidRPr="00154588">
              <w:rPr>
                <w:sz w:val="20"/>
                <w:szCs w:val="20"/>
              </w:rPr>
              <w:t>(4) Toate activele garantate incluse într-un portofoliu de acoperire pentru obligaţiunile garantate rămîn neafectate, segregate şi cu fonduri suficiente.</w:t>
            </w:r>
          </w:p>
          <w:p w14:paraId="5E34866D" w14:textId="77777777" w:rsidR="00B53006" w:rsidRPr="00154588" w:rsidRDefault="00B53006" w:rsidP="008C12B4">
            <w:pPr>
              <w:ind w:firstLine="567"/>
              <w:jc w:val="both"/>
              <w:rPr>
                <w:sz w:val="20"/>
                <w:szCs w:val="20"/>
              </w:rPr>
            </w:pPr>
            <w:r w:rsidRPr="00154588">
              <w:rPr>
                <w:sz w:val="20"/>
                <w:szCs w:val="20"/>
              </w:rPr>
              <w:t>(5) Nici cerinţa prevăzută la alin.(4) şi nici prevederile alin.(1) lit.b) nu împiedică Banca Naţională a Moldovei, în calitate de autoritate de rezoluţie, să îşi exercite, după caz, respectivele competenţe în legătură cu orice parte a unei obligaţiuni garantate sau a unei datorii, pentru care s-a depus o garanţie reală, care depăşeşte valoarea activelor, a gajului, a dreptului de retenţie sau a garanţiei reale care o acoperă.</w:t>
            </w:r>
          </w:p>
          <w:p w14:paraId="2015EFA6" w14:textId="77777777" w:rsidR="00B53006" w:rsidRPr="00154588" w:rsidRDefault="00B53006" w:rsidP="008C12B4">
            <w:pPr>
              <w:ind w:firstLine="567"/>
              <w:jc w:val="both"/>
              <w:rPr>
                <w:sz w:val="20"/>
                <w:szCs w:val="20"/>
              </w:rPr>
            </w:pPr>
            <w:r w:rsidRPr="00154588">
              <w:rPr>
                <w:sz w:val="20"/>
                <w:szCs w:val="20"/>
              </w:rPr>
              <w:t>(6) Prevederile alin.(1) lit.a) nu împiedică Banca Naţională a Moldovei, în calitate de autoritate de rezoluţie, să îşi exercite, după caz, respectivele competenţe în legătură cu orice parte a unui depozit care depăşeşte nivelul de garantare prevăzut de legislaţia privind schemele de garantare a depozitelor.</w:t>
            </w:r>
          </w:p>
          <w:p w14:paraId="049763F0" w14:textId="77777777" w:rsidR="00B53006" w:rsidRPr="00154588" w:rsidRDefault="00B53006" w:rsidP="008C12B4">
            <w:pPr>
              <w:ind w:firstLine="567"/>
              <w:jc w:val="both"/>
              <w:rPr>
                <w:sz w:val="20"/>
                <w:szCs w:val="20"/>
              </w:rPr>
            </w:pPr>
            <w:r w:rsidRPr="00154588">
              <w:rPr>
                <w:sz w:val="20"/>
                <w:szCs w:val="20"/>
              </w:rPr>
              <w:t xml:space="preserve">(7) Fără a aduce atingere dispoziţiilor privind expunerile din Legea nr.202/2017 şi reglementărilor în materie emise de Banca Naţională a Moldovei, pentru a se asigura posibilităţi de soluţionare a instituțiilor și a grupurilor, Banca Naţională a Moldovei, în calitate de autoritate de rezoluţie, limitează, în conformitate cu prevederile art.39 lit.b) din prezenta lege, măsura în care alte instituții deţin datorii </w:t>
            </w:r>
            <w:r w:rsidRPr="00154588">
              <w:rPr>
                <w:sz w:val="20"/>
                <w:szCs w:val="20"/>
                <w:lang w:eastAsia="ro-MD"/>
              </w:rPr>
              <w:t>care pot face obiectul recapitalizării interne</w:t>
            </w:r>
            <w:r w:rsidRPr="00154588">
              <w:rPr>
                <w:sz w:val="20"/>
                <w:szCs w:val="20"/>
              </w:rPr>
              <w:t>, cu excepţia datoriilor care sînt deţinute la entităţi care fac parte din acelaşi grup.</w:t>
            </w:r>
          </w:p>
          <w:p w14:paraId="33A38480" w14:textId="77777777" w:rsidR="00B53006" w:rsidRPr="00154588" w:rsidRDefault="00B53006" w:rsidP="008C12B4">
            <w:pPr>
              <w:jc w:val="both"/>
              <w:rPr>
                <w:bCs/>
                <w:sz w:val="20"/>
                <w:szCs w:val="20"/>
              </w:rPr>
            </w:pPr>
          </w:p>
        </w:tc>
        <w:tc>
          <w:tcPr>
            <w:tcW w:w="2552" w:type="dxa"/>
          </w:tcPr>
          <w:p w14:paraId="74B27F12" w14:textId="7B7F1B2A"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7EC1CC4C" w14:textId="77777777" w:rsidR="00B53006" w:rsidRPr="00154588" w:rsidRDefault="00B53006" w:rsidP="008C12B4">
            <w:pPr>
              <w:jc w:val="both"/>
              <w:rPr>
                <w:bCs/>
                <w:sz w:val="20"/>
                <w:szCs w:val="20"/>
              </w:rPr>
            </w:pPr>
          </w:p>
        </w:tc>
      </w:tr>
      <w:tr w:rsidR="00B53006" w:rsidRPr="00154588" w14:paraId="03097C9A" w14:textId="77777777" w:rsidTr="00D15C1B">
        <w:trPr>
          <w:jc w:val="center"/>
        </w:trPr>
        <w:tc>
          <w:tcPr>
            <w:tcW w:w="4957" w:type="dxa"/>
            <w:gridSpan w:val="2"/>
          </w:tcPr>
          <w:p w14:paraId="39D0CF1B" w14:textId="1977C048" w:rsidR="00B53006" w:rsidRPr="00154588" w:rsidRDefault="00B53006" w:rsidP="008C12B4">
            <w:pPr>
              <w:tabs>
                <w:tab w:val="left" w:pos="915"/>
              </w:tabs>
              <w:jc w:val="both"/>
              <w:rPr>
                <w:bCs/>
                <w:sz w:val="20"/>
                <w:szCs w:val="20"/>
              </w:rPr>
            </w:pPr>
            <w:r w:rsidRPr="00154588">
              <w:rPr>
                <w:bCs/>
                <w:sz w:val="20"/>
                <w:szCs w:val="20"/>
              </w:rPr>
              <w:lastRenderedPageBreak/>
              <w:t>(3)   În situații excepționale, atunci când se aplică instrumentul de recapitalizare internă, autoritatea de rezoluție poate exclude, integral sau parțial, anumite pasive de la aplicarea competențelor de reducere a valorii contabile sau de conversie, în cazurile în care:</w:t>
            </w:r>
          </w:p>
          <w:p w14:paraId="3C6BF097" w14:textId="77777777" w:rsidR="00B53006" w:rsidRPr="00154588" w:rsidRDefault="00B53006" w:rsidP="008C12B4">
            <w:pPr>
              <w:tabs>
                <w:tab w:val="left" w:pos="915"/>
              </w:tabs>
              <w:jc w:val="both"/>
              <w:rPr>
                <w:bCs/>
                <w:sz w:val="20"/>
                <w:szCs w:val="20"/>
              </w:rPr>
            </w:pPr>
          </w:p>
          <w:p w14:paraId="716865D6" w14:textId="0A5D6803" w:rsidR="00B53006" w:rsidRPr="00154588" w:rsidRDefault="00B53006" w:rsidP="008C12B4">
            <w:pPr>
              <w:tabs>
                <w:tab w:val="left" w:pos="915"/>
              </w:tabs>
              <w:jc w:val="both"/>
              <w:rPr>
                <w:bCs/>
                <w:sz w:val="20"/>
                <w:szCs w:val="20"/>
              </w:rPr>
            </w:pPr>
            <w:r w:rsidRPr="00154588">
              <w:rPr>
                <w:bCs/>
                <w:sz w:val="20"/>
                <w:szCs w:val="20"/>
              </w:rPr>
              <w:t>(a) recapitalizarea pasivului respectiv nu este posibilă într-un termen rezonabil, în pofida eforturilor depuse cu bună credință de către autoritatea de rezoluție;</w:t>
            </w:r>
          </w:p>
          <w:p w14:paraId="4D17B1B6" w14:textId="77777777" w:rsidR="00B53006" w:rsidRPr="00154588" w:rsidRDefault="00B53006" w:rsidP="008C12B4">
            <w:pPr>
              <w:tabs>
                <w:tab w:val="left" w:pos="915"/>
              </w:tabs>
              <w:jc w:val="both"/>
              <w:rPr>
                <w:bCs/>
                <w:sz w:val="20"/>
                <w:szCs w:val="20"/>
              </w:rPr>
            </w:pPr>
          </w:p>
          <w:p w14:paraId="01B703E7" w14:textId="04ED7D22" w:rsidR="00B53006" w:rsidRPr="00154588" w:rsidRDefault="00B53006" w:rsidP="008C12B4">
            <w:pPr>
              <w:tabs>
                <w:tab w:val="left" w:pos="915"/>
              </w:tabs>
              <w:jc w:val="both"/>
              <w:rPr>
                <w:bCs/>
                <w:sz w:val="20"/>
                <w:szCs w:val="20"/>
              </w:rPr>
            </w:pPr>
            <w:r w:rsidRPr="00154588">
              <w:rPr>
                <w:bCs/>
                <w:sz w:val="20"/>
                <w:szCs w:val="20"/>
              </w:rPr>
              <w:t xml:space="preserve">(b) excluderea este strict necesară și este proporțională pentru a obține continuitatea funcțiilor </w:t>
            </w:r>
            <w:r w:rsidRPr="00154588">
              <w:rPr>
                <w:bCs/>
                <w:sz w:val="20"/>
                <w:szCs w:val="20"/>
              </w:rPr>
              <w:lastRenderedPageBreak/>
              <w:t>critice și a liniilor de activitate esențiale într-un mod care să mențină capacitatea instituției aflate în rezoluție de a continua operațiunile, serviciile și tranzacțiile-cheie;</w:t>
            </w:r>
          </w:p>
          <w:p w14:paraId="651D7594" w14:textId="77777777" w:rsidR="00B53006" w:rsidRPr="00154588" w:rsidRDefault="00B53006" w:rsidP="008C12B4">
            <w:pPr>
              <w:tabs>
                <w:tab w:val="left" w:pos="915"/>
              </w:tabs>
              <w:jc w:val="both"/>
              <w:rPr>
                <w:bCs/>
                <w:sz w:val="20"/>
                <w:szCs w:val="20"/>
              </w:rPr>
            </w:pPr>
          </w:p>
          <w:p w14:paraId="1CC1F8F0" w14:textId="15F8CD6D" w:rsidR="00B53006" w:rsidRPr="00154588" w:rsidRDefault="00B53006" w:rsidP="008C12B4">
            <w:pPr>
              <w:tabs>
                <w:tab w:val="left" w:pos="915"/>
              </w:tabs>
              <w:jc w:val="both"/>
              <w:rPr>
                <w:bCs/>
                <w:sz w:val="20"/>
                <w:szCs w:val="20"/>
              </w:rPr>
            </w:pPr>
            <w:r w:rsidRPr="00154588">
              <w:rPr>
                <w:bCs/>
                <w:sz w:val="20"/>
                <w:szCs w:val="20"/>
              </w:rPr>
              <w:t>(c) excluderea este strict necesară și proporțională pentru evitarea declanșării unei contaminări la scară largă, în special în ceea ce privește depozitele eligibile deținute de persoane fizice și de microîntreprinderi, întreprinderi mici și mijlocii, care ar perturba grav funcționarea piețelor financiare, inclusiv a infrastructurilor pieței financiare, într-un mod care ar putea determina o perturbare gravă a economiei unui stat membru sau a Uniunii; sau</w:t>
            </w:r>
          </w:p>
          <w:p w14:paraId="5877C98E" w14:textId="77777777" w:rsidR="00B53006" w:rsidRPr="00154588" w:rsidRDefault="00B53006" w:rsidP="008C12B4">
            <w:pPr>
              <w:tabs>
                <w:tab w:val="left" w:pos="915"/>
              </w:tabs>
              <w:jc w:val="both"/>
              <w:rPr>
                <w:bCs/>
                <w:sz w:val="20"/>
                <w:szCs w:val="20"/>
              </w:rPr>
            </w:pPr>
          </w:p>
          <w:p w14:paraId="6A5014C4" w14:textId="77777777" w:rsidR="00B53006" w:rsidRPr="00154588" w:rsidRDefault="00B53006" w:rsidP="008C12B4">
            <w:pPr>
              <w:tabs>
                <w:tab w:val="left" w:pos="915"/>
              </w:tabs>
              <w:jc w:val="both"/>
              <w:rPr>
                <w:bCs/>
                <w:sz w:val="20"/>
                <w:szCs w:val="20"/>
              </w:rPr>
            </w:pPr>
            <w:r w:rsidRPr="00154588">
              <w:rPr>
                <w:bCs/>
                <w:sz w:val="20"/>
                <w:szCs w:val="20"/>
              </w:rPr>
              <w:t>(d) aplicarea instrumentului de recapitalizare internă respectivelor pasive ar provoca o distrugere a valorii care ar face ca pierderile suportate de alți creditori să fie mai mari decât în cazul în care respectivele pasive ar fi fost excluse de la recapitalizarea internă.</w:t>
            </w:r>
          </w:p>
          <w:p w14:paraId="4705210A" w14:textId="77777777" w:rsidR="00B53006" w:rsidRPr="00154588" w:rsidRDefault="00B53006" w:rsidP="008C12B4">
            <w:pPr>
              <w:tabs>
                <w:tab w:val="left" w:pos="915"/>
              </w:tabs>
              <w:jc w:val="both"/>
              <w:rPr>
                <w:bCs/>
                <w:sz w:val="20"/>
                <w:szCs w:val="20"/>
              </w:rPr>
            </w:pPr>
          </w:p>
          <w:p w14:paraId="63127639" w14:textId="77777777" w:rsidR="00B53006" w:rsidRPr="00154588" w:rsidRDefault="00B53006" w:rsidP="008C12B4">
            <w:pPr>
              <w:tabs>
                <w:tab w:val="left" w:pos="915"/>
              </w:tabs>
              <w:jc w:val="both"/>
              <w:rPr>
                <w:bCs/>
                <w:sz w:val="20"/>
                <w:szCs w:val="20"/>
              </w:rPr>
            </w:pPr>
            <w:r w:rsidRPr="00154588">
              <w:rPr>
                <w:bCs/>
                <w:sz w:val="20"/>
                <w:szCs w:val="20"/>
              </w:rPr>
              <w:t>Autoritățile de rezoluție evaluează cu atenție dacă datoriile față de instituțiile sau entitățile menționate la articolul 1 alineatul (1) litera (b), (c) sau (d), care fac parte din același grup de rezoluție fără a fi ele însele entități de rezoluție și care nu sunt excluse de la aplicarea competențelor de reducere a valorii și de conversie în temeiul alineatului (2) litera (h) de la prezentul articol, ar trebui să fie excluse total sau parțial, în temeiul literelor (a)-(d) de la primul paragraf al prezentului alineat, pentru a asigura punerea în aplicare eficace a strategiei de rezoluție.</w:t>
            </w:r>
          </w:p>
          <w:p w14:paraId="564E477E" w14:textId="77777777" w:rsidR="00B53006" w:rsidRPr="00154588" w:rsidRDefault="00B53006" w:rsidP="008C12B4">
            <w:pPr>
              <w:tabs>
                <w:tab w:val="left" w:pos="915"/>
              </w:tabs>
              <w:jc w:val="both"/>
              <w:rPr>
                <w:bCs/>
                <w:sz w:val="20"/>
                <w:szCs w:val="20"/>
              </w:rPr>
            </w:pPr>
          </w:p>
          <w:p w14:paraId="55728098" w14:textId="14197E00" w:rsidR="00B53006" w:rsidRPr="00154588" w:rsidRDefault="00B53006" w:rsidP="008C12B4">
            <w:pPr>
              <w:tabs>
                <w:tab w:val="left" w:pos="915"/>
              </w:tabs>
              <w:jc w:val="both"/>
              <w:rPr>
                <w:bCs/>
                <w:sz w:val="20"/>
                <w:szCs w:val="20"/>
              </w:rPr>
            </w:pPr>
            <w:r w:rsidRPr="00154588">
              <w:rPr>
                <w:bCs/>
                <w:sz w:val="20"/>
                <w:szCs w:val="20"/>
              </w:rPr>
              <w:t>În cazul în care o autoritate de rezoluție decide să excludă, integral sau parțial, o datorie care poate face obiectul recapitalizării interne sau o categorie de datorii care pot face obiectul recapitalizării interne în temeiul prezentului alineat, nivelul reducerii valorii sau al conversiei aplicate altor datorii care pot face obiectul recapitalizării interne poate fi crescut pentru a ține seama de excluderile respective, cu condiția ca nivelul reducerii valorii sau al conversiei aplicate altor datorii care pot face obiectul recapitalizării interne să respecte principiul prevăzut la articolul 34 alineatul (1) litera (g).</w:t>
            </w:r>
          </w:p>
        </w:tc>
        <w:tc>
          <w:tcPr>
            <w:tcW w:w="4819" w:type="dxa"/>
          </w:tcPr>
          <w:p w14:paraId="32820ACA" w14:textId="77777777" w:rsidR="00B53006" w:rsidRPr="00154588" w:rsidRDefault="00B53006" w:rsidP="008C12B4">
            <w:pPr>
              <w:ind w:firstLine="567"/>
              <w:jc w:val="both"/>
              <w:rPr>
                <w:sz w:val="20"/>
                <w:szCs w:val="20"/>
              </w:rPr>
            </w:pPr>
            <w:bookmarkStart w:id="48" w:name="_Hlk223358851"/>
            <w:r w:rsidRPr="00154588">
              <w:rPr>
                <w:b/>
                <w:sz w:val="20"/>
                <w:szCs w:val="20"/>
              </w:rPr>
              <w:lastRenderedPageBreak/>
              <w:t>Articolul 155</w:t>
            </w:r>
            <w:r w:rsidRPr="00154588">
              <w:rPr>
                <w:b/>
                <w:sz w:val="20"/>
                <w:szCs w:val="20"/>
                <w:vertAlign w:val="superscript"/>
              </w:rPr>
              <w:t>1</w:t>
            </w:r>
            <w:r w:rsidRPr="00154588">
              <w:rPr>
                <w:sz w:val="20"/>
                <w:szCs w:val="20"/>
              </w:rPr>
              <w:t>. – (1) În situaţii excepţionale, atunci când se aplică instrumentul de recapitalizare internă, Banca Naţională a Moldovei, în calitate de autoritate de rezoluţie,  poate exclude, integral sau parţial, anumite datorii de la aplicarea competenţelor de reducere a valorii sau de conversie, în cazurile în care:</w:t>
            </w:r>
          </w:p>
          <w:p w14:paraId="41E4ABA5" w14:textId="77777777" w:rsidR="00B53006" w:rsidRPr="00154588" w:rsidRDefault="00B53006" w:rsidP="008C12B4">
            <w:pPr>
              <w:ind w:firstLine="567"/>
              <w:jc w:val="both"/>
              <w:rPr>
                <w:sz w:val="20"/>
                <w:szCs w:val="20"/>
              </w:rPr>
            </w:pPr>
            <w:r w:rsidRPr="00154588">
              <w:rPr>
                <w:sz w:val="20"/>
                <w:szCs w:val="20"/>
              </w:rPr>
              <w:t xml:space="preserve"> a) aplicarea instrumentului de recapitalizare internă respectivei datorii nu este posibilă într-un termen rezonabil, în pofida eforturilor depuse cu bună-credinţă de către Banca Naţională a Moldovei, în calitate de autoritate de rezoluţie;  </w:t>
            </w:r>
          </w:p>
          <w:p w14:paraId="7C999E9F" w14:textId="1DBEC7AC" w:rsidR="00B53006" w:rsidRPr="00154588" w:rsidRDefault="00B53006" w:rsidP="008C12B4">
            <w:pPr>
              <w:ind w:firstLine="567"/>
              <w:jc w:val="both"/>
              <w:rPr>
                <w:sz w:val="20"/>
                <w:szCs w:val="20"/>
              </w:rPr>
            </w:pPr>
            <w:r w:rsidRPr="00154588">
              <w:rPr>
                <w:sz w:val="20"/>
                <w:szCs w:val="20"/>
              </w:rPr>
              <w:lastRenderedPageBreak/>
              <w:t xml:space="preserve">b) excluderea este strict necesară și este proporţională pentru a obţine continuitatea funcţiilor critice și a liniilor de activitate </w:t>
            </w:r>
            <w:r w:rsidR="00BF6D01" w:rsidRPr="00154588">
              <w:rPr>
                <w:sz w:val="20"/>
                <w:szCs w:val="20"/>
              </w:rPr>
              <w:t xml:space="preserve">de bază </w:t>
            </w:r>
            <w:r w:rsidRPr="00154588">
              <w:rPr>
                <w:sz w:val="20"/>
                <w:szCs w:val="20"/>
              </w:rPr>
              <w:t xml:space="preserve">într-un mod care să menţină capacitatea instituţiei aflate în rezoluţie de a continua operaţiunile, serviciile și tranzacţiile-cheie; </w:t>
            </w:r>
          </w:p>
          <w:p w14:paraId="2C67371E" w14:textId="77777777" w:rsidR="00B53006" w:rsidRPr="00154588" w:rsidRDefault="00B53006" w:rsidP="008C12B4">
            <w:pPr>
              <w:ind w:firstLine="567"/>
              <w:jc w:val="both"/>
              <w:rPr>
                <w:sz w:val="20"/>
                <w:szCs w:val="20"/>
              </w:rPr>
            </w:pPr>
            <w:r w:rsidRPr="00154588">
              <w:rPr>
                <w:sz w:val="20"/>
                <w:szCs w:val="20"/>
              </w:rPr>
              <w:t xml:space="preserve">c) excluderea este strict necesară și proporţională pentru evitarea declanșării unei contaminări la scară largă, în special în ceea ce privește depozitele eligibile deţinute de persoane fizice și de microîntreprinderi, întreprinderi mici și mijlocii, care ar perturba grav funcţionarea pieţelor financiare, inclusiv a infrastructurilor pieţei financiare, într-un mod care ar putea determina o perturbare gravă a economiei Republicii Moldova a unui stat membru al Uniunii Europene; sau </w:t>
            </w:r>
          </w:p>
          <w:p w14:paraId="0EBA4F65" w14:textId="77777777" w:rsidR="00B53006" w:rsidRPr="00154588" w:rsidRDefault="00B53006" w:rsidP="008C12B4">
            <w:pPr>
              <w:ind w:firstLine="567"/>
              <w:jc w:val="both"/>
              <w:rPr>
                <w:sz w:val="20"/>
                <w:szCs w:val="20"/>
              </w:rPr>
            </w:pPr>
            <w:r w:rsidRPr="00154588">
              <w:rPr>
                <w:sz w:val="20"/>
                <w:szCs w:val="20"/>
              </w:rPr>
              <w:t>d) aplicarea instrumentului de recapitalizare internă respectivelor datorii ar provoca o pierdere de valoare care ar face ca pierderile suportate de alţi creditori să fie mai mari decât în cazul în care respectivele datorii ar fi fost excluse de la recapitalizarea internă.</w:t>
            </w:r>
          </w:p>
          <w:p w14:paraId="1C8492D6" w14:textId="77777777" w:rsidR="00B53006" w:rsidRPr="00154588" w:rsidRDefault="00B53006" w:rsidP="008C12B4">
            <w:pPr>
              <w:ind w:firstLine="567"/>
              <w:jc w:val="both"/>
              <w:rPr>
                <w:sz w:val="20"/>
                <w:szCs w:val="20"/>
              </w:rPr>
            </w:pPr>
            <w:r w:rsidRPr="00154588">
              <w:rPr>
                <w:sz w:val="20"/>
                <w:szCs w:val="20"/>
              </w:rPr>
              <w:t>(2) Banca Națională a Moldovei, în calitate de autoritate de rezoluție, evaluează cu atenție dacă datoriile față de instituțiile de credit sau entitățile prevăzute la art.1 alin.(1) lit.b), c) sau d), care fac parte din același grup de rezoluție, fără a fi ele însele entități de rezoluție, și care nu sunt excluse de la aplicarea competențelor de reducere a valorii și de conversie în temeiul art.155 alin.(1) lit.h), trebuie excluse total sau parțial, în temeiul alin.(1) lit.a)-d), pentru a asigura punerea în aplicare eficace a strategiei de rezoluție.</w:t>
            </w:r>
            <w:bookmarkEnd w:id="48"/>
          </w:p>
          <w:p w14:paraId="5C285D04" w14:textId="77777777" w:rsidR="00B53006" w:rsidRPr="00154588" w:rsidRDefault="00B53006" w:rsidP="008C12B4">
            <w:pPr>
              <w:ind w:firstLine="567"/>
              <w:jc w:val="both"/>
              <w:rPr>
                <w:sz w:val="20"/>
                <w:szCs w:val="20"/>
              </w:rPr>
            </w:pPr>
          </w:p>
          <w:p w14:paraId="6E5E85E2" w14:textId="77777777" w:rsidR="00B53006" w:rsidRPr="00154588" w:rsidRDefault="00B53006" w:rsidP="008C12B4">
            <w:pPr>
              <w:ind w:firstLine="567"/>
              <w:jc w:val="both"/>
              <w:rPr>
                <w:sz w:val="20"/>
                <w:szCs w:val="20"/>
              </w:rPr>
            </w:pPr>
            <w:r w:rsidRPr="00154588">
              <w:rPr>
                <w:b/>
                <w:sz w:val="20"/>
                <w:szCs w:val="20"/>
              </w:rPr>
              <w:t>Articolul 156.</w:t>
            </w:r>
            <w:r w:rsidRPr="00154588">
              <w:rPr>
                <w:sz w:val="20"/>
                <w:szCs w:val="20"/>
              </w:rPr>
              <w:t xml:space="preserve">  În cazul în care Banca Naţională a Moldovei, în calitate de autoritate de rezoluţie, decide să excludă, integral sau parţial, o datorie </w:t>
            </w:r>
            <w:r w:rsidRPr="00154588">
              <w:rPr>
                <w:sz w:val="20"/>
                <w:szCs w:val="20"/>
                <w:lang w:eastAsia="ro-MD"/>
              </w:rPr>
              <w:t>care poate face obiectul recapitalizării interne</w:t>
            </w:r>
            <w:r w:rsidRPr="00154588">
              <w:rPr>
                <w:sz w:val="20"/>
                <w:szCs w:val="20"/>
              </w:rPr>
              <w:t xml:space="preserve"> sau o categorie de datorii </w:t>
            </w:r>
            <w:r w:rsidRPr="00154588">
              <w:rPr>
                <w:sz w:val="20"/>
                <w:szCs w:val="20"/>
                <w:lang w:eastAsia="ro-MD"/>
              </w:rPr>
              <w:t>care pot face obiectul recapitalizării interne</w:t>
            </w:r>
            <w:r w:rsidRPr="00154588">
              <w:rPr>
                <w:sz w:val="20"/>
                <w:szCs w:val="20"/>
              </w:rPr>
              <w:t xml:space="preserve"> în temeiul art.155</w:t>
            </w:r>
            <w:r w:rsidRPr="00154588">
              <w:rPr>
                <w:sz w:val="20"/>
                <w:szCs w:val="20"/>
                <w:vertAlign w:val="superscript"/>
              </w:rPr>
              <w:t>1</w:t>
            </w:r>
            <w:r w:rsidRPr="00154588">
              <w:rPr>
                <w:sz w:val="20"/>
                <w:szCs w:val="20"/>
              </w:rPr>
              <w:t xml:space="preserve"> alin.(1), nivelul reducerii valorii sau conversiei aplicate altor datorii </w:t>
            </w:r>
            <w:r w:rsidRPr="00154588">
              <w:rPr>
                <w:sz w:val="20"/>
                <w:szCs w:val="20"/>
                <w:lang w:eastAsia="ro-MD"/>
              </w:rPr>
              <w:t>care pot face obiectul recapitalizării interne</w:t>
            </w:r>
            <w:r w:rsidRPr="00154588">
              <w:rPr>
                <w:sz w:val="20"/>
                <w:szCs w:val="20"/>
              </w:rPr>
              <w:t xml:space="preserve"> poate fi crescut pentru a ţine seama de excluderile respective, cu condiţia ca nivelul reducerii valorii sau conversiei aplicate altor datorii </w:t>
            </w:r>
            <w:r w:rsidRPr="00154588">
              <w:rPr>
                <w:sz w:val="20"/>
                <w:szCs w:val="20"/>
                <w:lang w:eastAsia="ro-MD"/>
              </w:rPr>
              <w:t xml:space="preserve">care pot face obiectul </w:t>
            </w:r>
            <w:r w:rsidRPr="00154588">
              <w:rPr>
                <w:sz w:val="20"/>
                <w:szCs w:val="20"/>
                <w:lang w:eastAsia="ro-MD"/>
              </w:rPr>
              <w:lastRenderedPageBreak/>
              <w:t>recapitalizării interne</w:t>
            </w:r>
            <w:r w:rsidRPr="00154588">
              <w:rPr>
                <w:sz w:val="20"/>
                <w:szCs w:val="20"/>
              </w:rPr>
              <w:t xml:space="preserve"> să respecte principiul prevăzut la art.61 lit.g).</w:t>
            </w:r>
          </w:p>
          <w:p w14:paraId="610505D8" w14:textId="77777777" w:rsidR="00B53006" w:rsidRPr="00154588" w:rsidRDefault="00B53006" w:rsidP="008C12B4">
            <w:pPr>
              <w:jc w:val="both"/>
              <w:rPr>
                <w:bCs/>
                <w:sz w:val="20"/>
                <w:szCs w:val="20"/>
              </w:rPr>
            </w:pPr>
          </w:p>
        </w:tc>
        <w:tc>
          <w:tcPr>
            <w:tcW w:w="2552" w:type="dxa"/>
          </w:tcPr>
          <w:p w14:paraId="4E1EA5DF" w14:textId="564204CE"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08CE2C90" w14:textId="77777777" w:rsidR="00B53006" w:rsidRPr="00154588" w:rsidRDefault="00B53006" w:rsidP="008C12B4">
            <w:pPr>
              <w:jc w:val="both"/>
              <w:rPr>
                <w:bCs/>
                <w:sz w:val="20"/>
                <w:szCs w:val="20"/>
              </w:rPr>
            </w:pPr>
          </w:p>
        </w:tc>
      </w:tr>
      <w:tr w:rsidR="00B53006" w:rsidRPr="00154588" w14:paraId="13A0C5D4" w14:textId="77777777" w:rsidTr="00D15C1B">
        <w:trPr>
          <w:jc w:val="center"/>
        </w:trPr>
        <w:tc>
          <w:tcPr>
            <w:tcW w:w="4957" w:type="dxa"/>
            <w:gridSpan w:val="2"/>
          </w:tcPr>
          <w:p w14:paraId="3DC4385F" w14:textId="77777777" w:rsidR="00B53006" w:rsidRPr="00154588" w:rsidRDefault="00B53006" w:rsidP="008C12B4">
            <w:pPr>
              <w:jc w:val="both"/>
              <w:rPr>
                <w:bCs/>
                <w:sz w:val="20"/>
                <w:szCs w:val="20"/>
              </w:rPr>
            </w:pPr>
            <w:r w:rsidRPr="00154588">
              <w:rPr>
                <w:bCs/>
                <w:sz w:val="20"/>
                <w:szCs w:val="20"/>
              </w:rPr>
              <w:lastRenderedPageBreak/>
              <w:t>(4)   În cazul în care o autoritate de rezoluție decide să excludă, integral sau parțial, o datorie care poate face obiectul recapitalizării interne sau o categorie de datorii care poate face obiectul recapitalizării interne în temeiul prezentului articol, iar pierderile care ar fi fost suportate de datoriile respective nu au fost transferate complet altor creditori, mecanismul de finanțare a rezoluției poate face o contribuție în beneficiul instituției aflate în rezoluție în unul sau mai multe din următoarele scopuri:</w:t>
            </w:r>
          </w:p>
          <w:p w14:paraId="00E09CC8" w14:textId="77777777" w:rsidR="00B53006" w:rsidRPr="00154588" w:rsidRDefault="00B53006" w:rsidP="008C12B4">
            <w:pPr>
              <w:jc w:val="both"/>
              <w:rPr>
                <w:bCs/>
                <w:sz w:val="20"/>
                <w:szCs w:val="20"/>
              </w:rPr>
            </w:pPr>
          </w:p>
          <w:p w14:paraId="138A212C" w14:textId="79510907" w:rsidR="00B53006" w:rsidRPr="00154588" w:rsidRDefault="00B53006" w:rsidP="008C12B4">
            <w:pPr>
              <w:jc w:val="both"/>
              <w:rPr>
                <w:bCs/>
                <w:sz w:val="20"/>
                <w:szCs w:val="20"/>
              </w:rPr>
            </w:pPr>
            <w:r w:rsidRPr="00154588">
              <w:rPr>
                <w:bCs/>
                <w:sz w:val="20"/>
                <w:szCs w:val="20"/>
              </w:rPr>
              <w:t>(a) de a acoperi orice pierderi care nu au fost absorbite de datorii care pot face obiectul recapitalizării interne și de a restabili la zero valoarea activului net al instituției aflate în rezoluție în conformitate cu articolul 46 alineatul (1) litera (a);</w:t>
            </w:r>
          </w:p>
          <w:p w14:paraId="4C5FEB74" w14:textId="77777777" w:rsidR="00B53006" w:rsidRPr="00154588" w:rsidRDefault="00B53006" w:rsidP="008C12B4">
            <w:pPr>
              <w:jc w:val="both"/>
              <w:rPr>
                <w:bCs/>
                <w:sz w:val="20"/>
                <w:szCs w:val="20"/>
              </w:rPr>
            </w:pPr>
          </w:p>
          <w:p w14:paraId="5B8E2E82" w14:textId="34D43772" w:rsidR="00B53006" w:rsidRPr="00154588" w:rsidRDefault="00B53006" w:rsidP="008C12B4">
            <w:pPr>
              <w:jc w:val="both"/>
              <w:rPr>
                <w:bCs/>
                <w:sz w:val="20"/>
                <w:szCs w:val="20"/>
              </w:rPr>
            </w:pPr>
            <w:r w:rsidRPr="00154588">
              <w:rPr>
                <w:bCs/>
                <w:sz w:val="20"/>
                <w:szCs w:val="20"/>
              </w:rPr>
              <w:t>(b) de a achiziționa acțiuni sau alte instrumente de proprietate sau de capital în instituția aflată în rezoluție, pentru a recapitaliza instituția în conformitate cu articolul 46 alineatul (1) litera (b).</w:t>
            </w:r>
          </w:p>
        </w:tc>
        <w:tc>
          <w:tcPr>
            <w:tcW w:w="4819" w:type="dxa"/>
          </w:tcPr>
          <w:p w14:paraId="157A58BD" w14:textId="77777777" w:rsidR="00B53006" w:rsidRPr="00154588" w:rsidRDefault="00B53006" w:rsidP="008C12B4">
            <w:pPr>
              <w:ind w:firstLine="567"/>
              <w:jc w:val="both"/>
              <w:rPr>
                <w:sz w:val="20"/>
                <w:szCs w:val="20"/>
              </w:rPr>
            </w:pPr>
            <w:r w:rsidRPr="00154588">
              <w:rPr>
                <w:b/>
                <w:sz w:val="20"/>
                <w:szCs w:val="20"/>
              </w:rPr>
              <w:t>Articolul 157.</w:t>
            </w:r>
            <w:r w:rsidRPr="00154588">
              <w:rPr>
                <w:sz w:val="20"/>
                <w:szCs w:val="20"/>
              </w:rPr>
              <w:t xml:space="preserve"> – În cazul în care Banca Naţională a Moldovei, în calitate de autoritate de rezoluţie, decide să excludă, integral sau parţial, o datorie </w:t>
            </w:r>
            <w:r w:rsidRPr="00154588">
              <w:rPr>
                <w:sz w:val="20"/>
                <w:szCs w:val="20"/>
                <w:lang w:eastAsia="ro-MD"/>
              </w:rPr>
              <w:t>care poate face obiectul recapitalizării interne</w:t>
            </w:r>
            <w:r w:rsidRPr="00154588">
              <w:rPr>
                <w:sz w:val="20"/>
                <w:szCs w:val="20"/>
              </w:rPr>
              <w:t xml:space="preserve"> sau o categorie de datorii </w:t>
            </w:r>
            <w:r w:rsidRPr="00154588">
              <w:rPr>
                <w:sz w:val="20"/>
                <w:szCs w:val="20"/>
                <w:lang w:eastAsia="ro-MD"/>
              </w:rPr>
              <w:t>care pot face obiectul recapitalizării interne</w:t>
            </w:r>
            <w:r w:rsidRPr="00154588">
              <w:rPr>
                <w:sz w:val="20"/>
                <w:szCs w:val="20"/>
              </w:rPr>
              <w:t xml:space="preserve"> cu respectarea art.154-163, iar pierderile care ar fi fost suportate de datoriile respective nu au fost transferate complet altor creditori, fondul de rezoluţie bancară poate contribui cu un aport în beneficiul instituției supuse rezoluţiei pentru atingerea unuia sau ambelor dintre următoarele scopuri:</w:t>
            </w:r>
          </w:p>
          <w:p w14:paraId="11AB0435" w14:textId="77777777" w:rsidR="00B53006" w:rsidRPr="00154588" w:rsidRDefault="00B53006" w:rsidP="008C12B4">
            <w:pPr>
              <w:ind w:firstLine="567"/>
              <w:jc w:val="both"/>
              <w:rPr>
                <w:sz w:val="20"/>
                <w:szCs w:val="20"/>
              </w:rPr>
            </w:pPr>
            <w:r w:rsidRPr="00154588">
              <w:rPr>
                <w:sz w:val="20"/>
                <w:szCs w:val="20"/>
              </w:rPr>
              <w:t xml:space="preserve">a) de a acoperi orice pierderi care nu au fost absorbite de datoriile </w:t>
            </w:r>
            <w:r w:rsidRPr="00154588">
              <w:rPr>
                <w:sz w:val="20"/>
                <w:szCs w:val="20"/>
                <w:lang w:eastAsia="ro-MD"/>
              </w:rPr>
              <w:t>care pot face obiectul recapitalizării interne</w:t>
            </w:r>
            <w:r w:rsidRPr="00154588">
              <w:rPr>
                <w:sz w:val="20"/>
                <w:szCs w:val="20"/>
              </w:rPr>
              <w:t xml:space="preserve"> şi de a restabili la zero valoarea activului net al instituției  supuse rezoluţiei, în conformitate cu prevederile art.171 lit.a);</w:t>
            </w:r>
          </w:p>
          <w:p w14:paraId="68CD2BE9" w14:textId="77777777" w:rsidR="00B53006" w:rsidRPr="00154588" w:rsidRDefault="00B53006" w:rsidP="008C12B4">
            <w:pPr>
              <w:ind w:firstLine="567"/>
              <w:jc w:val="both"/>
              <w:rPr>
                <w:sz w:val="20"/>
                <w:szCs w:val="20"/>
              </w:rPr>
            </w:pPr>
            <w:r w:rsidRPr="00154588">
              <w:rPr>
                <w:sz w:val="20"/>
                <w:szCs w:val="20"/>
              </w:rPr>
              <w:t>b) de a achiziţiona acţiuni sau alte instrumente de proprietate sau de capital în instituția supusă rezoluţiei, pentru a recapitaliza instituția  respectivă, în conformitate cu prevederile art.171 lit.b).</w:t>
            </w:r>
          </w:p>
          <w:p w14:paraId="6ED09F2C" w14:textId="77777777" w:rsidR="00B53006" w:rsidRPr="00154588" w:rsidRDefault="00B53006" w:rsidP="008C12B4">
            <w:pPr>
              <w:jc w:val="both"/>
              <w:rPr>
                <w:bCs/>
                <w:sz w:val="20"/>
                <w:szCs w:val="20"/>
              </w:rPr>
            </w:pPr>
          </w:p>
        </w:tc>
        <w:tc>
          <w:tcPr>
            <w:tcW w:w="2552" w:type="dxa"/>
          </w:tcPr>
          <w:p w14:paraId="017F175D" w14:textId="3DBF3811" w:rsidR="00B53006" w:rsidRPr="00154588" w:rsidRDefault="00B53006" w:rsidP="008C12B4">
            <w:pPr>
              <w:jc w:val="both"/>
              <w:rPr>
                <w:bCs/>
                <w:sz w:val="20"/>
                <w:szCs w:val="20"/>
              </w:rPr>
            </w:pPr>
            <w:r w:rsidRPr="00154588">
              <w:rPr>
                <w:bCs/>
                <w:sz w:val="20"/>
                <w:szCs w:val="20"/>
              </w:rPr>
              <w:t>Compatibil</w:t>
            </w:r>
          </w:p>
        </w:tc>
        <w:tc>
          <w:tcPr>
            <w:tcW w:w="3118" w:type="dxa"/>
          </w:tcPr>
          <w:p w14:paraId="03AFE9CF" w14:textId="77777777" w:rsidR="00B53006" w:rsidRPr="00154588" w:rsidRDefault="00B53006" w:rsidP="008C12B4">
            <w:pPr>
              <w:jc w:val="both"/>
              <w:rPr>
                <w:bCs/>
                <w:sz w:val="20"/>
                <w:szCs w:val="20"/>
              </w:rPr>
            </w:pPr>
          </w:p>
        </w:tc>
      </w:tr>
      <w:tr w:rsidR="00B53006" w:rsidRPr="00154588" w14:paraId="2C3BEE31" w14:textId="77777777" w:rsidTr="00D15C1B">
        <w:trPr>
          <w:jc w:val="center"/>
        </w:trPr>
        <w:tc>
          <w:tcPr>
            <w:tcW w:w="4957" w:type="dxa"/>
            <w:gridSpan w:val="2"/>
          </w:tcPr>
          <w:p w14:paraId="2F6230CA" w14:textId="3AFEC3C3" w:rsidR="00B53006" w:rsidRPr="00154588" w:rsidRDefault="00B53006" w:rsidP="008C12B4">
            <w:pPr>
              <w:tabs>
                <w:tab w:val="left" w:pos="945"/>
              </w:tabs>
              <w:jc w:val="both"/>
              <w:rPr>
                <w:bCs/>
                <w:sz w:val="20"/>
                <w:szCs w:val="20"/>
              </w:rPr>
            </w:pPr>
            <w:r w:rsidRPr="00154588">
              <w:rPr>
                <w:bCs/>
                <w:sz w:val="20"/>
                <w:szCs w:val="20"/>
              </w:rPr>
              <w:t>(5)   Mecanismul de finanțare a rezoluției poate face o contribuție menționată la alineatul (4), în cazul în care sunt îndeplinite cumulativ următoarele condiții:</w:t>
            </w:r>
          </w:p>
          <w:p w14:paraId="78B57F99" w14:textId="77777777" w:rsidR="00B53006" w:rsidRPr="00154588" w:rsidRDefault="00B53006" w:rsidP="008C12B4">
            <w:pPr>
              <w:tabs>
                <w:tab w:val="left" w:pos="945"/>
              </w:tabs>
              <w:jc w:val="both"/>
              <w:rPr>
                <w:bCs/>
                <w:sz w:val="20"/>
                <w:szCs w:val="20"/>
              </w:rPr>
            </w:pPr>
          </w:p>
          <w:p w14:paraId="5A11ED69" w14:textId="77777777" w:rsidR="00B53006" w:rsidRPr="00154588" w:rsidRDefault="00B53006" w:rsidP="008C12B4">
            <w:pPr>
              <w:tabs>
                <w:tab w:val="left" w:pos="945"/>
              </w:tabs>
              <w:jc w:val="both"/>
              <w:rPr>
                <w:bCs/>
                <w:sz w:val="20"/>
                <w:szCs w:val="20"/>
              </w:rPr>
            </w:pPr>
            <w:r w:rsidRPr="00154588">
              <w:rPr>
                <w:bCs/>
                <w:sz w:val="20"/>
                <w:szCs w:val="20"/>
              </w:rPr>
              <w:t>(a) a fost adusă o contribuție la absorbția pierderilor și la recapitalizare, în valoare de cel puțin 8 % din totalul</w:t>
            </w:r>
          </w:p>
          <w:p w14:paraId="7CCDAB62" w14:textId="77777777" w:rsidR="00B53006" w:rsidRPr="00154588" w:rsidRDefault="00B53006" w:rsidP="008C12B4">
            <w:pPr>
              <w:tabs>
                <w:tab w:val="left" w:pos="945"/>
              </w:tabs>
              <w:jc w:val="both"/>
              <w:rPr>
                <w:bCs/>
                <w:sz w:val="20"/>
                <w:szCs w:val="20"/>
              </w:rPr>
            </w:pPr>
            <w:r w:rsidRPr="00154588">
              <w:rPr>
                <w:bCs/>
                <w:sz w:val="20"/>
                <w:szCs w:val="20"/>
              </w:rPr>
              <w:t>datoriilor, inclusiv fondurile proprii ale instituției aflate în rezoluție, cuantificată în conformitate cu evaluarea</w:t>
            </w:r>
          </w:p>
          <w:p w14:paraId="7E8C2722" w14:textId="31044129" w:rsidR="00B53006" w:rsidRPr="00154588" w:rsidRDefault="00B53006" w:rsidP="008C12B4">
            <w:pPr>
              <w:tabs>
                <w:tab w:val="left" w:pos="945"/>
              </w:tabs>
              <w:jc w:val="both"/>
              <w:rPr>
                <w:bCs/>
                <w:sz w:val="20"/>
                <w:szCs w:val="20"/>
              </w:rPr>
            </w:pPr>
            <w:r w:rsidRPr="00154588">
              <w:rPr>
                <w:bCs/>
                <w:sz w:val="20"/>
                <w:szCs w:val="20"/>
              </w:rPr>
              <w:t>prevăzută la articolul 36, de către acționari și deținătorii de alte instrumente de proprietate, deținătorii de</w:t>
            </w:r>
            <w:r w:rsidR="00F81308" w:rsidRPr="00154588">
              <w:rPr>
                <w:bCs/>
                <w:sz w:val="20"/>
                <w:szCs w:val="20"/>
              </w:rPr>
              <w:t xml:space="preserve"> </w:t>
            </w:r>
            <w:r w:rsidRPr="00154588">
              <w:rPr>
                <w:bCs/>
                <w:sz w:val="20"/>
                <w:szCs w:val="20"/>
              </w:rPr>
              <w:t>instrumente de capital relevante și de alte datorii care pot face obiectul recapitalizării interne prin reducere,</w:t>
            </w:r>
            <w:r w:rsidR="00F81308" w:rsidRPr="00154588">
              <w:rPr>
                <w:bCs/>
                <w:sz w:val="20"/>
                <w:szCs w:val="20"/>
              </w:rPr>
              <w:t xml:space="preserve"> </w:t>
            </w:r>
            <w:r w:rsidRPr="00154588">
              <w:rPr>
                <w:bCs/>
                <w:sz w:val="20"/>
                <w:szCs w:val="20"/>
              </w:rPr>
              <w:t>reducerea valorii contabile sau conversie în temeiul articolului 48 alineatul (1) și al articolului 60 alineatul (1) și</w:t>
            </w:r>
            <w:r w:rsidR="00F81308" w:rsidRPr="00154588">
              <w:rPr>
                <w:bCs/>
                <w:sz w:val="20"/>
                <w:szCs w:val="20"/>
              </w:rPr>
              <w:t xml:space="preserve"> </w:t>
            </w:r>
            <w:r w:rsidRPr="00154588">
              <w:rPr>
                <w:bCs/>
                <w:sz w:val="20"/>
                <w:szCs w:val="20"/>
              </w:rPr>
              <w:t>de către schema de garantare a depozitelor în temeiul articolului 109, după caz;</w:t>
            </w:r>
          </w:p>
          <w:p w14:paraId="374C28FD" w14:textId="7FA370D0" w:rsidR="00B53006" w:rsidRPr="00154588" w:rsidRDefault="00B53006" w:rsidP="008C12B4">
            <w:pPr>
              <w:tabs>
                <w:tab w:val="left" w:pos="945"/>
              </w:tabs>
              <w:jc w:val="both"/>
              <w:rPr>
                <w:bCs/>
                <w:sz w:val="20"/>
                <w:szCs w:val="20"/>
              </w:rPr>
            </w:pPr>
            <w:r w:rsidRPr="00154588">
              <w:rPr>
                <w:bCs/>
                <w:sz w:val="20"/>
                <w:szCs w:val="20"/>
              </w:rPr>
              <w:t xml:space="preserve">(b) contribuția mecanismului de finanțare a rezoluției nu depășește 5 % din totalul datoriilor, inclusiv fondurile proprii ale instituției aflate în rezoluție, </w:t>
            </w:r>
            <w:r w:rsidRPr="00154588">
              <w:rPr>
                <w:bCs/>
                <w:sz w:val="20"/>
                <w:szCs w:val="20"/>
              </w:rPr>
              <w:lastRenderedPageBreak/>
              <w:t>cuantificată în conformitate cu evaluarea prevăzută la articolul 36.</w:t>
            </w:r>
          </w:p>
        </w:tc>
        <w:tc>
          <w:tcPr>
            <w:tcW w:w="4819" w:type="dxa"/>
          </w:tcPr>
          <w:p w14:paraId="0074EDB2" w14:textId="3C2BD65F" w:rsidR="00B53006" w:rsidRPr="00154588" w:rsidRDefault="00B53006" w:rsidP="008C12B4">
            <w:pPr>
              <w:ind w:firstLine="567"/>
              <w:jc w:val="both"/>
              <w:rPr>
                <w:sz w:val="20"/>
                <w:szCs w:val="20"/>
                <w:lang w:eastAsia="ro-MD"/>
              </w:rPr>
            </w:pPr>
            <w:r w:rsidRPr="00154588">
              <w:rPr>
                <w:b/>
                <w:sz w:val="20"/>
                <w:szCs w:val="20"/>
              </w:rPr>
              <w:lastRenderedPageBreak/>
              <w:t>Articolul 158.</w:t>
            </w:r>
            <w:r w:rsidRPr="00154588">
              <w:rPr>
                <w:sz w:val="20"/>
                <w:szCs w:val="20"/>
              </w:rPr>
              <w:t xml:space="preserve"> –</w:t>
            </w:r>
            <w:r w:rsidRPr="00154588">
              <w:rPr>
                <w:sz w:val="20"/>
                <w:szCs w:val="20"/>
                <w:lang w:eastAsia="ro-MD"/>
              </w:rPr>
              <w:t xml:space="preserve"> </w:t>
            </w:r>
            <w:r w:rsidRPr="00154588">
              <w:rPr>
                <w:sz w:val="20"/>
                <w:szCs w:val="20"/>
              </w:rPr>
              <w:t xml:space="preserve">Fondul de rezoluţie bancară poate </w:t>
            </w:r>
            <w:r w:rsidRPr="00154588">
              <w:rPr>
                <w:sz w:val="20"/>
                <w:szCs w:val="20"/>
                <w:lang w:eastAsia="ro-MD"/>
              </w:rPr>
              <w:t>contribui cu un aport conform art.157 dacă</w:t>
            </w:r>
            <w:r w:rsidR="00465021" w:rsidRPr="00154588">
              <w:rPr>
                <w:sz w:val="20"/>
                <w:szCs w:val="20"/>
                <w:lang w:eastAsia="ro-MD"/>
              </w:rPr>
              <w:t xml:space="preserve"> </w:t>
            </w:r>
            <w:r w:rsidR="00465021" w:rsidRPr="00154588">
              <w:rPr>
                <w:bCs/>
                <w:sz w:val="20"/>
                <w:szCs w:val="20"/>
              </w:rPr>
              <w:t>sunt îndeplinite cumulativ următoarele condiții</w:t>
            </w:r>
            <w:r w:rsidRPr="00154588">
              <w:rPr>
                <w:sz w:val="20"/>
                <w:szCs w:val="20"/>
                <w:lang w:eastAsia="ro-MD"/>
              </w:rPr>
              <w:t>:</w:t>
            </w:r>
          </w:p>
          <w:p w14:paraId="20CF8235" w14:textId="3CF4E582" w:rsidR="00B53006" w:rsidRPr="00154588" w:rsidRDefault="00B53006" w:rsidP="008C12B4">
            <w:pPr>
              <w:ind w:firstLine="567"/>
              <w:jc w:val="both"/>
              <w:rPr>
                <w:sz w:val="20"/>
                <w:szCs w:val="20"/>
              </w:rPr>
            </w:pPr>
            <w:r w:rsidRPr="00154588">
              <w:rPr>
                <w:sz w:val="20"/>
                <w:szCs w:val="20"/>
                <w:lang w:eastAsia="ro-MD"/>
              </w:rPr>
              <w:t xml:space="preserve">a) acţionarii şi deţinătorii de alte instrumente de proprietate, precum şi deţinătorii de instrumente de capital relevante şi de alte datorii care pot face obiectul recapitalizării interne </w:t>
            </w:r>
            <w:r w:rsidR="00362E14" w:rsidRPr="00154588">
              <w:rPr>
                <w:sz w:val="20"/>
                <w:szCs w:val="20"/>
                <w:lang w:eastAsia="ro-MD"/>
              </w:rPr>
              <w:t xml:space="preserve">și, după caz, </w:t>
            </w:r>
            <w:r w:rsidR="0084091C" w:rsidRPr="00154588">
              <w:rPr>
                <w:sz w:val="20"/>
                <w:szCs w:val="20"/>
                <w:lang w:eastAsia="ro-MD"/>
              </w:rPr>
              <w:t>fondul de acoperire a depozitelor bancare</w:t>
            </w:r>
            <w:r w:rsidR="00157364" w:rsidRPr="00154588">
              <w:rPr>
                <w:sz w:val="20"/>
                <w:szCs w:val="20"/>
                <w:lang w:eastAsia="ro-MD"/>
              </w:rPr>
              <w:t xml:space="preserve"> în temeiul art.313</w:t>
            </w:r>
            <w:r w:rsidR="00157364" w:rsidRPr="00154588">
              <w:rPr>
                <w:sz w:val="20"/>
                <w:szCs w:val="20"/>
                <w:vertAlign w:val="superscript"/>
                <w:lang w:eastAsia="ro-MD"/>
              </w:rPr>
              <w:t>8</w:t>
            </w:r>
            <w:r w:rsidR="00157364" w:rsidRPr="00154588">
              <w:rPr>
                <w:sz w:val="20"/>
                <w:szCs w:val="20"/>
                <w:lang w:eastAsia="ro-MD"/>
              </w:rPr>
              <w:t>-313</w:t>
            </w:r>
            <w:r w:rsidR="00157364" w:rsidRPr="00154588">
              <w:rPr>
                <w:sz w:val="20"/>
                <w:szCs w:val="20"/>
                <w:vertAlign w:val="superscript"/>
                <w:lang w:eastAsia="ro-MD"/>
              </w:rPr>
              <w:t>1</w:t>
            </w:r>
            <w:r w:rsidR="00E313F1" w:rsidRPr="00154588">
              <w:rPr>
                <w:sz w:val="20"/>
                <w:szCs w:val="20"/>
                <w:vertAlign w:val="superscript"/>
                <w:lang w:eastAsia="ro-MD"/>
              </w:rPr>
              <w:t>8</w:t>
            </w:r>
            <w:r w:rsidR="0084091C" w:rsidRPr="00154588">
              <w:rPr>
                <w:sz w:val="20"/>
                <w:szCs w:val="20"/>
                <w:lang w:eastAsia="ro-MD"/>
              </w:rPr>
              <w:t>,</w:t>
            </w:r>
            <w:r w:rsidRPr="00154588">
              <w:rPr>
                <w:sz w:val="20"/>
                <w:szCs w:val="20"/>
                <w:lang w:eastAsia="ro-MD"/>
              </w:rPr>
              <w:t xml:space="preserve"> au contribuit, prin reducerea valorii acestor instrumente</w:t>
            </w:r>
            <w:r w:rsidR="00465021" w:rsidRPr="00154588">
              <w:rPr>
                <w:sz w:val="20"/>
                <w:szCs w:val="20"/>
                <w:lang w:eastAsia="ro-MD"/>
              </w:rPr>
              <w:t xml:space="preserve"> sau</w:t>
            </w:r>
            <w:r w:rsidRPr="00154588">
              <w:rPr>
                <w:sz w:val="20"/>
                <w:szCs w:val="20"/>
                <w:lang w:eastAsia="ro-MD"/>
              </w:rPr>
              <w:t xml:space="preserve"> prin conversie</w:t>
            </w:r>
            <w:r w:rsidR="00465021" w:rsidRPr="00154588">
              <w:rPr>
                <w:sz w:val="20"/>
                <w:szCs w:val="20"/>
                <w:lang w:eastAsia="ro-MD"/>
              </w:rPr>
              <w:t xml:space="preserve"> </w:t>
            </w:r>
            <w:r w:rsidR="00465021" w:rsidRPr="00154588">
              <w:rPr>
                <w:bCs/>
                <w:sz w:val="20"/>
                <w:szCs w:val="20"/>
              </w:rPr>
              <w:t>în temeiul art.180 și art.226</w:t>
            </w:r>
            <w:r w:rsidRPr="00154588">
              <w:rPr>
                <w:sz w:val="20"/>
                <w:szCs w:val="20"/>
                <w:lang w:eastAsia="ro-MD"/>
              </w:rPr>
              <w:t>, la absorbţia pierderilor şi la recapitalizarea instituției supuse rezoluţiei</w:t>
            </w:r>
            <w:r w:rsidRPr="00154588">
              <w:rPr>
                <w:sz w:val="20"/>
                <w:szCs w:val="20"/>
              </w:rPr>
              <w:t xml:space="preserve"> cu cel puţin 8% din totalul datoriilor şi al capitalurilor proprii ale instituției respective, contribuţie evaluată la momentul întreprinderii acţiunii de rezoluţie în conformitate cu evaluarea prevăzută la art.72</w:t>
            </w:r>
            <w:r w:rsidRPr="00154588">
              <w:rPr>
                <w:sz w:val="20"/>
                <w:szCs w:val="20"/>
                <w:lang w:eastAsia="ro-MD"/>
              </w:rPr>
              <w:t>–</w:t>
            </w:r>
            <w:r w:rsidRPr="00154588">
              <w:rPr>
                <w:sz w:val="20"/>
                <w:szCs w:val="20"/>
              </w:rPr>
              <w:t>84; şi</w:t>
            </w:r>
            <w:r w:rsidR="007D47ED" w:rsidRPr="00154588">
              <w:rPr>
                <w:sz w:val="20"/>
                <w:szCs w:val="20"/>
                <w:lang w:eastAsia="ro-MD"/>
              </w:rPr>
              <w:t xml:space="preserve"> </w:t>
            </w:r>
          </w:p>
          <w:p w14:paraId="53C2FC1A" w14:textId="1A1581DF" w:rsidR="00B53006" w:rsidRPr="00154588" w:rsidRDefault="00B53006" w:rsidP="008C12B4">
            <w:pPr>
              <w:ind w:firstLine="567"/>
              <w:jc w:val="both"/>
              <w:rPr>
                <w:sz w:val="20"/>
                <w:szCs w:val="20"/>
              </w:rPr>
            </w:pPr>
            <w:r w:rsidRPr="00154588">
              <w:rPr>
                <w:sz w:val="20"/>
                <w:szCs w:val="20"/>
              </w:rPr>
              <w:t>b) contribuţia fondului de rezoluţie bancară nu depăşeşte 5% din totalul datoriilor şi al capitalurilor proprii ale instituției supuse rezoluţiei, cuantificată</w:t>
            </w:r>
            <w:r w:rsidR="00F81308" w:rsidRPr="00154588">
              <w:rPr>
                <w:sz w:val="20"/>
                <w:szCs w:val="20"/>
              </w:rPr>
              <w:t xml:space="preserve"> </w:t>
            </w:r>
            <w:r w:rsidRPr="00154588">
              <w:rPr>
                <w:sz w:val="20"/>
                <w:szCs w:val="20"/>
              </w:rPr>
              <w:t>potrivit evaluării prevăzute la art.72-84.</w:t>
            </w:r>
          </w:p>
          <w:p w14:paraId="018111B2" w14:textId="77777777" w:rsidR="00B53006" w:rsidRPr="00154588" w:rsidRDefault="00B53006" w:rsidP="008C12B4">
            <w:pPr>
              <w:jc w:val="both"/>
              <w:rPr>
                <w:bCs/>
                <w:sz w:val="20"/>
                <w:szCs w:val="20"/>
              </w:rPr>
            </w:pPr>
          </w:p>
        </w:tc>
        <w:tc>
          <w:tcPr>
            <w:tcW w:w="2552" w:type="dxa"/>
          </w:tcPr>
          <w:p w14:paraId="79385C17" w14:textId="6BD6A6DC"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0231DCFD" w14:textId="2C8340A3" w:rsidR="00B53006" w:rsidRPr="00154588" w:rsidRDefault="00B53006" w:rsidP="008C12B4">
            <w:pPr>
              <w:jc w:val="both"/>
              <w:rPr>
                <w:bCs/>
                <w:sz w:val="20"/>
                <w:szCs w:val="20"/>
              </w:rPr>
            </w:pPr>
          </w:p>
        </w:tc>
      </w:tr>
      <w:tr w:rsidR="00B53006" w:rsidRPr="00154588" w14:paraId="196E71FC" w14:textId="77777777" w:rsidTr="00D15C1B">
        <w:trPr>
          <w:jc w:val="center"/>
        </w:trPr>
        <w:tc>
          <w:tcPr>
            <w:tcW w:w="4957" w:type="dxa"/>
            <w:gridSpan w:val="2"/>
          </w:tcPr>
          <w:p w14:paraId="7312F661" w14:textId="77777777" w:rsidR="00B53006" w:rsidRPr="00154588" w:rsidRDefault="00B53006" w:rsidP="008C12B4">
            <w:pPr>
              <w:jc w:val="both"/>
              <w:rPr>
                <w:bCs/>
                <w:sz w:val="20"/>
                <w:szCs w:val="20"/>
              </w:rPr>
            </w:pPr>
            <w:r w:rsidRPr="00154588">
              <w:rPr>
                <w:bCs/>
                <w:sz w:val="20"/>
                <w:szCs w:val="20"/>
              </w:rPr>
              <w:t>(6)   Contribuția mecanismului de finanțare a rezoluției menționat la alineatul (4) poate fi finanțată prin:</w:t>
            </w:r>
          </w:p>
          <w:p w14:paraId="758317F5" w14:textId="77777777" w:rsidR="00B53006" w:rsidRPr="00154588" w:rsidRDefault="00B53006" w:rsidP="008C12B4">
            <w:pPr>
              <w:jc w:val="both"/>
              <w:rPr>
                <w:bCs/>
                <w:sz w:val="20"/>
                <w:szCs w:val="20"/>
              </w:rPr>
            </w:pPr>
          </w:p>
          <w:p w14:paraId="6B8BA786" w14:textId="28B2FC3A" w:rsidR="00B53006" w:rsidRPr="00154588" w:rsidRDefault="00B53006" w:rsidP="008C12B4">
            <w:pPr>
              <w:jc w:val="both"/>
              <w:rPr>
                <w:bCs/>
                <w:sz w:val="20"/>
                <w:szCs w:val="20"/>
              </w:rPr>
            </w:pPr>
            <w:r w:rsidRPr="00154588">
              <w:rPr>
                <w:bCs/>
                <w:sz w:val="20"/>
                <w:szCs w:val="20"/>
              </w:rPr>
              <w:t>(a) suma aflată la dispoziția mecanismului de finanțare care a fost obținută prin contribuții de la instituții și sucursale din Uniune în conformitate cu articolul 100 alineatul (6) și articolul 103;</w:t>
            </w:r>
          </w:p>
          <w:p w14:paraId="67A6C31A" w14:textId="77777777" w:rsidR="00B53006" w:rsidRPr="00154588" w:rsidRDefault="00B53006" w:rsidP="008C12B4">
            <w:pPr>
              <w:jc w:val="both"/>
              <w:rPr>
                <w:bCs/>
                <w:sz w:val="20"/>
                <w:szCs w:val="20"/>
              </w:rPr>
            </w:pPr>
          </w:p>
          <w:p w14:paraId="6CE2985B" w14:textId="18A5FC98" w:rsidR="00B53006" w:rsidRPr="00154588" w:rsidRDefault="00B53006" w:rsidP="008C12B4">
            <w:pPr>
              <w:jc w:val="both"/>
              <w:rPr>
                <w:bCs/>
                <w:sz w:val="20"/>
                <w:szCs w:val="20"/>
              </w:rPr>
            </w:pPr>
            <w:r w:rsidRPr="00154588">
              <w:rPr>
                <w:bCs/>
                <w:sz w:val="20"/>
                <w:szCs w:val="20"/>
              </w:rPr>
              <w:t>(b) suma care poate fi obținută prin contribuții ex post în conformitate cu articolul 104 în termen de trei ani; și</w:t>
            </w:r>
          </w:p>
          <w:p w14:paraId="4BFBD784" w14:textId="77777777" w:rsidR="00B53006" w:rsidRPr="00154588" w:rsidRDefault="00B53006" w:rsidP="008C12B4">
            <w:pPr>
              <w:jc w:val="both"/>
              <w:rPr>
                <w:bCs/>
                <w:sz w:val="20"/>
                <w:szCs w:val="20"/>
              </w:rPr>
            </w:pPr>
          </w:p>
          <w:p w14:paraId="1C1CFAA6" w14:textId="7CC7D0E6" w:rsidR="00B53006" w:rsidRPr="00154588" w:rsidRDefault="00B53006" w:rsidP="008C12B4">
            <w:pPr>
              <w:jc w:val="both"/>
              <w:rPr>
                <w:bCs/>
                <w:sz w:val="20"/>
                <w:szCs w:val="20"/>
              </w:rPr>
            </w:pPr>
            <w:r w:rsidRPr="00154588">
              <w:rPr>
                <w:bCs/>
                <w:sz w:val="20"/>
                <w:szCs w:val="20"/>
              </w:rPr>
              <w:t>(c) în cazul în care sumele menționate la literele (a) și (b) din acest alineat sunt insuficiente, sume obținute din surse de finanțare alternative în conformitate cu articolul 105.</w:t>
            </w:r>
          </w:p>
        </w:tc>
        <w:tc>
          <w:tcPr>
            <w:tcW w:w="4819" w:type="dxa"/>
          </w:tcPr>
          <w:p w14:paraId="2EFF3A2C" w14:textId="77777777" w:rsidR="00B53006" w:rsidRPr="00154588" w:rsidRDefault="00B53006" w:rsidP="008C12B4">
            <w:pPr>
              <w:ind w:firstLine="567"/>
              <w:jc w:val="both"/>
              <w:rPr>
                <w:sz w:val="20"/>
                <w:szCs w:val="20"/>
              </w:rPr>
            </w:pPr>
            <w:r w:rsidRPr="00154588">
              <w:rPr>
                <w:b/>
                <w:sz w:val="20"/>
                <w:szCs w:val="20"/>
              </w:rPr>
              <w:t>Articolul 159.</w:t>
            </w:r>
            <w:r w:rsidRPr="00154588">
              <w:rPr>
                <w:sz w:val="20"/>
                <w:szCs w:val="20"/>
              </w:rPr>
              <w:t xml:space="preserve"> – Contribuţia fondului de rezoluţie bancară prevăzută la art.157 poate fi finanţată prin:</w:t>
            </w:r>
          </w:p>
          <w:p w14:paraId="10678553" w14:textId="77777777" w:rsidR="00B53006" w:rsidRPr="00154588" w:rsidRDefault="00B53006" w:rsidP="008C12B4">
            <w:pPr>
              <w:ind w:firstLine="567"/>
              <w:jc w:val="both"/>
              <w:rPr>
                <w:sz w:val="20"/>
                <w:szCs w:val="20"/>
              </w:rPr>
            </w:pPr>
            <w:r w:rsidRPr="00154588">
              <w:rPr>
                <w:sz w:val="20"/>
                <w:szCs w:val="20"/>
              </w:rPr>
              <w:t xml:space="preserve">a) suma aflată la dispoziţia fondului de rezoluţie bancară care a fost atrasă prin contribuţii de la </w:t>
            </w:r>
            <w:bookmarkStart w:id="49" w:name="_Hlk223360846"/>
            <w:r w:rsidRPr="00154588">
              <w:rPr>
                <w:sz w:val="20"/>
                <w:szCs w:val="20"/>
              </w:rPr>
              <w:t>instituții de credit și sucursale ale acestora din Uniunea Europeană</w:t>
            </w:r>
            <w:bookmarkEnd w:id="49"/>
            <w:r w:rsidRPr="00154588">
              <w:rPr>
                <w:sz w:val="20"/>
                <w:szCs w:val="20"/>
              </w:rPr>
              <w:t>, în conformitate cu prevederile art.298 şi art.306 - art.309;</w:t>
            </w:r>
          </w:p>
          <w:p w14:paraId="6E7284BC" w14:textId="77777777" w:rsidR="00B53006" w:rsidRPr="00154588" w:rsidRDefault="00B53006" w:rsidP="008C12B4">
            <w:pPr>
              <w:ind w:firstLine="567"/>
              <w:jc w:val="both"/>
              <w:rPr>
                <w:sz w:val="20"/>
                <w:szCs w:val="20"/>
              </w:rPr>
            </w:pPr>
            <w:r w:rsidRPr="00154588">
              <w:rPr>
                <w:sz w:val="20"/>
                <w:szCs w:val="20"/>
              </w:rPr>
              <w:t>b) suma care poate fi atrasă prin contribuţii extraordinare în conformitate cu prevederile art.310-312 într-un interval de trei ani; şi</w:t>
            </w:r>
          </w:p>
          <w:p w14:paraId="3A5B1A5B" w14:textId="77777777" w:rsidR="00B53006" w:rsidRPr="00154588" w:rsidRDefault="00B53006" w:rsidP="008C12B4">
            <w:pPr>
              <w:ind w:firstLine="567"/>
              <w:jc w:val="both"/>
              <w:rPr>
                <w:sz w:val="20"/>
                <w:szCs w:val="20"/>
              </w:rPr>
            </w:pPr>
            <w:r w:rsidRPr="00154588">
              <w:rPr>
                <w:sz w:val="20"/>
                <w:szCs w:val="20"/>
              </w:rPr>
              <w:t>c) în cazul în care sumele prevăzute la lit.a) şi b) sînt insuficiente, sume atrase din surse de finanţare alternative în conformitate cu prevederile art.313.</w:t>
            </w:r>
          </w:p>
          <w:p w14:paraId="08770106" w14:textId="77777777" w:rsidR="00B53006" w:rsidRPr="00154588" w:rsidRDefault="00B53006" w:rsidP="008C12B4">
            <w:pPr>
              <w:jc w:val="both"/>
              <w:rPr>
                <w:bCs/>
                <w:sz w:val="20"/>
                <w:szCs w:val="20"/>
              </w:rPr>
            </w:pPr>
          </w:p>
        </w:tc>
        <w:tc>
          <w:tcPr>
            <w:tcW w:w="2552" w:type="dxa"/>
          </w:tcPr>
          <w:p w14:paraId="3255AF96" w14:textId="24CC3917" w:rsidR="00B53006" w:rsidRPr="00154588" w:rsidRDefault="00B53006" w:rsidP="008C12B4">
            <w:pPr>
              <w:jc w:val="both"/>
              <w:rPr>
                <w:bCs/>
                <w:sz w:val="20"/>
                <w:szCs w:val="20"/>
              </w:rPr>
            </w:pPr>
            <w:r w:rsidRPr="00154588">
              <w:rPr>
                <w:bCs/>
                <w:sz w:val="20"/>
                <w:szCs w:val="20"/>
              </w:rPr>
              <w:t>Compatibil</w:t>
            </w:r>
          </w:p>
        </w:tc>
        <w:tc>
          <w:tcPr>
            <w:tcW w:w="3118" w:type="dxa"/>
          </w:tcPr>
          <w:p w14:paraId="1C3DDABF" w14:textId="77777777" w:rsidR="00B53006" w:rsidRPr="00154588" w:rsidRDefault="00B53006" w:rsidP="008C12B4">
            <w:pPr>
              <w:jc w:val="both"/>
              <w:rPr>
                <w:bCs/>
                <w:sz w:val="20"/>
                <w:szCs w:val="20"/>
              </w:rPr>
            </w:pPr>
          </w:p>
        </w:tc>
      </w:tr>
      <w:tr w:rsidR="00B53006" w:rsidRPr="00154588" w14:paraId="4323EC0B" w14:textId="77777777" w:rsidTr="00D15C1B">
        <w:trPr>
          <w:jc w:val="center"/>
        </w:trPr>
        <w:tc>
          <w:tcPr>
            <w:tcW w:w="4957" w:type="dxa"/>
            <w:gridSpan w:val="2"/>
          </w:tcPr>
          <w:p w14:paraId="1C9AE026" w14:textId="3AFCDD54" w:rsidR="00B53006" w:rsidRPr="00154588" w:rsidRDefault="00B53006" w:rsidP="008C12B4">
            <w:pPr>
              <w:jc w:val="both"/>
              <w:rPr>
                <w:bCs/>
                <w:sz w:val="20"/>
                <w:szCs w:val="20"/>
              </w:rPr>
            </w:pPr>
            <w:r w:rsidRPr="00154588">
              <w:rPr>
                <w:bCs/>
                <w:sz w:val="20"/>
                <w:szCs w:val="20"/>
              </w:rPr>
              <w:t>(7) În circumstanțe extraordinare, autoritatea de rezoluție poate urmări să obțină finanțare suplimentară din surse de finanțare alternative după ce:</w:t>
            </w:r>
          </w:p>
          <w:p w14:paraId="5FD67B11" w14:textId="77777777" w:rsidR="00B53006" w:rsidRPr="00154588" w:rsidRDefault="00B53006" w:rsidP="008C12B4">
            <w:pPr>
              <w:jc w:val="both"/>
              <w:rPr>
                <w:bCs/>
                <w:sz w:val="20"/>
                <w:szCs w:val="20"/>
              </w:rPr>
            </w:pPr>
          </w:p>
          <w:p w14:paraId="1B44EFBB" w14:textId="505922CA" w:rsidR="00B53006" w:rsidRPr="00154588" w:rsidRDefault="00B53006" w:rsidP="008C12B4">
            <w:pPr>
              <w:jc w:val="both"/>
              <w:rPr>
                <w:bCs/>
                <w:sz w:val="20"/>
                <w:szCs w:val="20"/>
              </w:rPr>
            </w:pPr>
            <w:r w:rsidRPr="00154588">
              <w:rPr>
                <w:bCs/>
                <w:sz w:val="20"/>
                <w:szCs w:val="20"/>
              </w:rPr>
              <w:t>(a) mecanismul de finanțare a rezoluției a adus o contribuție în temeiul alineatului (4) și a fost atinsă limita de 5 % menționată la alineatul (5) litera (b); și</w:t>
            </w:r>
          </w:p>
          <w:p w14:paraId="3EADABE1" w14:textId="77777777" w:rsidR="00B53006" w:rsidRPr="00154588" w:rsidRDefault="00B53006" w:rsidP="008C12B4">
            <w:pPr>
              <w:jc w:val="both"/>
              <w:rPr>
                <w:bCs/>
                <w:sz w:val="20"/>
                <w:szCs w:val="20"/>
              </w:rPr>
            </w:pPr>
          </w:p>
          <w:p w14:paraId="679E0A64" w14:textId="46241317" w:rsidR="00B53006" w:rsidRPr="00154588" w:rsidRDefault="00B53006" w:rsidP="008C12B4">
            <w:pPr>
              <w:jc w:val="both"/>
              <w:rPr>
                <w:bCs/>
                <w:sz w:val="20"/>
                <w:szCs w:val="20"/>
              </w:rPr>
            </w:pPr>
            <w:r w:rsidRPr="00154588">
              <w:rPr>
                <w:bCs/>
                <w:sz w:val="20"/>
                <w:szCs w:val="20"/>
              </w:rPr>
              <w:t>(b) toate datoriile care pot face obiectul recapitalizării interne și nu sunt depozite eligibile, care sunt de rang inferior depozitelor menționate la articolul 108 alineatul (1) primul paragraf litera (b) și nu sunt excluse de la recapitalizarea internă în temeiul alineatului (3) de la prezentul articol au fost reduse sau convertite integral..</w:t>
            </w:r>
          </w:p>
          <w:p w14:paraId="15F0ACC6" w14:textId="77777777" w:rsidR="00B53006" w:rsidRPr="00154588" w:rsidRDefault="00B53006" w:rsidP="008C12B4">
            <w:pPr>
              <w:jc w:val="both"/>
              <w:rPr>
                <w:bCs/>
                <w:sz w:val="20"/>
                <w:szCs w:val="20"/>
              </w:rPr>
            </w:pPr>
          </w:p>
          <w:p w14:paraId="186272AC" w14:textId="19038667" w:rsidR="00B53006" w:rsidRPr="00154588" w:rsidRDefault="00B53006" w:rsidP="008C12B4">
            <w:pPr>
              <w:jc w:val="both"/>
              <w:rPr>
                <w:bCs/>
                <w:sz w:val="20"/>
                <w:szCs w:val="20"/>
              </w:rPr>
            </w:pPr>
            <w:r w:rsidRPr="00154588">
              <w:rPr>
                <w:bCs/>
                <w:sz w:val="20"/>
                <w:szCs w:val="20"/>
              </w:rPr>
              <w:t>Ca alternativă sau în mod suplimentar, atunci când sunt îndeplinite condițiile stabilite la primul paragraf, mecanismul de finanțare a rezoluției poate face o contribuție din resursele care au fost percepute prin contribuții ex ante în conformitate cu articolul 100 alineatul (6) și articolul 103 și care nu au fost încă utilizate.</w:t>
            </w:r>
          </w:p>
        </w:tc>
        <w:tc>
          <w:tcPr>
            <w:tcW w:w="4819" w:type="dxa"/>
          </w:tcPr>
          <w:p w14:paraId="3A45E2E6" w14:textId="77777777" w:rsidR="00B53006" w:rsidRPr="00154588" w:rsidRDefault="00B53006" w:rsidP="008C12B4">
            <w:pPr>
              <w:ind w:firstLine="567"/>
              <w:jc w:val="both"/>
              <w:rPr>
                <w:sz w:val="20"/>
                <w:szCs w:val="20"/>
              </w:rPr>
            </w:pPr>
            <w:r w:rsidRPr="00154588">
              <w:rPr>
                <w:b/>
                <w:sz w:val="20"/>
                <w:szCs w:val="20"/>
              </w:rPr>
              <w:t>Articolul 160.</w:t>
            </w:r>
            <w:r w:rsidRPr="00154588">
              <w:rPr>
                <w:sz w:val="20"/>
                <w:szCs w:val="20"/>
              </w:rPr>
              <w:t xml:space="preserve"> – (1) În circumstanţe extraordinare, Banca Naţională a Moldovei, în calitate de autoritate de rezoluţie, poate urmări să obţină finanţare suplimentară din surse de finanţare alternative după ce:</w:t>
            </w:r>
          </w:p>
          <w:p w14:paraId="261E75D0" w14:textId="0398FF64" w:rsidR="00B53006" w:rsidRPr="00154588" w:rsidRDefault="00B53006" w:rsidP="008C12B4">
            <w:pPr>
              <w:ind w:firstLine="567"/>
              <w:jc w:val="both"/>
              <w:rPr>
                <w:sz w:val="20"/>
                <w:szCs w:val="20"/>
              </w:rPr>
            </w:pPr>
            <w:r w:rsidRPr="00154588">
              <w:rPr>
                <w:sz w:val="20"/>
                <w:szCs w:val="20"/>
              </w:rPr>
              <w:t xml:space="preserve">a) </w:t>
            </w:r>
            <w:r w:rsidR="0095194A" w:rsidRPr="00154588">
              <w:rPr>
                <w:sz w:val="20"/>
                <w:szCs w:val="20"/>
              </w:rPr>
              <w:t xml:space="preserve">fondul de rezoluție bancară a adus o contribuție în temeiul art. 157 și </w:t>
            </w:r>
            <w:r w:rsidRPr="00154588">
              <w:rPr>
                <w:sz w:val="20"/>
                <w:szCs w:val="20"/>
              </w:rPr>
              <w:t>a fost atinsă limita de 5% prevăzută la art.158 lit.b); şi</w:t>
            </w:r>
          </w:p>
          <w:p w14:paraId="36096746" w14:textId="6BECEBFB" w:rsidR="00B53006" w:rsidRPr="00154588" w:rsidRDefault="00B53006" w:rsidP="008C12B4">
            <w:pPr>
              <w:ind w:firstLine="567"/>
              <w:jc w:val="both"/>
              <w:rPr>
                <w:sz w:val="20"/>
                <w:szCs w:val="20"/>
              </w:rPr>
            </w:pPr>
            <w:r w:rsidRPr="00154588">
              <w:rPr>
                <w:sz w:val="20"/>
                <w:szCs w:val="20"/>
              </w:rPr>
              <w:t>b) toate datoriile</w:t>
            </w:r>
            <w:r w:rsidR="0095194A" w:rsidRPr="00154588">
              <w:rPr>
                <w:bCs/>
                <w:sz w:val="20"/>
                <w:szCs w:val="20"/>
              </w:rPr>
              <w:t xml:space="preserve"> care pot face obiectul recapitalizării interne și nu sunt depozite eligibile, care sunt de rang inferior</w:t>
            </w:r>
            <w:r w:rsidR="00F83DCB" w:rsidRPr="00154588">
              <w:rPr>
                <w:bCs/>
                <w:sz w:val="20"/>
                <w:szCs w:val="20"/>
              </w:rPr>
              <w:t xml:space="preserve"> depozitelor </w:t>
            </w:r>
            <w:r w:rsidRPr="00154588">
              <w:rPr>
                <w:sz w:val="20"/>
                <w:szCs w:val="20"/>
              </w:rPr>
              <w:t xml:space="preserve">negarantate şi neprivilegiate, </w:t>
            </w:r>
            <w:r w:rsidR="00F83DCB" w:rsidRPr="00154588">
              <w:rPr>
                <w:bCs/>
                <w:sz w:val="20"/>
                <w:szCs w:val="20"/>
              </w:rPr>
              <w:t>și nu sunt excluse de la recapitalizarea internă în temeiul art.155</w:t>
            </w:r>
            <w:r w:rsidR="00F83DCB" w:rsidRPr="00154588">
              <w:rPr>
                <w:bCs/>
                <w:sz w:val="20"/>
                <w:szCs w:val="20"/>
                <w:vertAlign w:val="superscript"/>
              </w:rPr>
              <w:t>1</w:t>
            </w:r>
            <w:r w:rsidR="00F83DCB" w:rsidRPr="00154588">
              <w:rPr>
                <w:bCs/>
                <w:sz w:val="20"/>
                <w:szCs w:val="20"/>
              </w:rPr>
              <w:t xml:space="preserve">-156 </w:t>
            </w:r>
            <w:r w:rsidRPr="00154588">
              <w:rPr>
                <w:sz w:val="20"/>
                <w:szCs w:val="20"/>
              </w:rPr>
              <w:t>au fost reduse sau convertite integral.(2) Ca alternativă sau în mod suplimentar, atunci cînd sînt îndeplinite condiţiile de la alin.(1), fondul de rezoluţie bancară poate face o contribuţie din resursele care au fost atrase prin contribuţii anuale, în conformitate cu prevederile art.306-309, şi care nu au fost încă utilizate.</w:t>
            </w:r>
          </w:p>
          <w:p w14:paraId="0FA58565" w14:textId="77777777" w:rsidR="00B53006" w:rsidRPr="00154588" w:rsidRDefault="00B53006" w:rsidP="008C12B4">
            <w:pPr>
              <w:jc w:val="both"/>
              <w:rPr>
                <w:bCs/>
                <w:sz w:val="20"/>
                <w:szCs w:val="20"/>
              </w:rPr>
            </w:pPr>
          </w:p>
        </w:tc>
        <w:tc>
          <w:tcPr>
            <w:tcW w:w="2552" w:type="dxa"/>
          </w:tcPr>
          <w:p w14:paraId="4FB2706B" w14:textId="49B6E1E0" w:rsidR="00B53006" w:rsidRPr="00154588" w:rsidRDefault="00B53006" w:rsidP="008C12B4">
            <w:pPr>
              <w:jc w:val="both"/>
              <w:rPr>
                <w:bCs/>
                <w:sz w:val="20"/>
                <w:szCs w:val="20"/>
              </w:rPr>
            </w:pPr>
            <w:r w:rsidRPr="00154588">
              <w:rPr>
                <w:bCs/>
                <w:sz w:val="20"/>
                <w:szCs w:val="20"/>
              </w:rPr>
              <w:t>Compatibil</w:t>
            </w:r>
          </w:p>
        </w:tc>
        <w:tc>
          <w:tcPr>
            <w:tcW w:w="3118" w:type="dxa"/>
          </w:tcPr>
          <w:p w14:paraId="0B8F9962" w14:textId="3E3D760D" w:rsidR="00B53006" w:rsidRPr="00154588" w:rsidRDefault="00B53006" w:rsidP="008C12B4">
            <w:pPr>
              <w:jc w:val="both"/>
              <w:rPr>
                <w:bCs/>
                <w:sz w:val="20"/>
                <w:szCs w:val="20"/>
              </w:rPr>
            </w:pPr>
          </w:p>
        </w:tc>
      </w:tr>
      <w:tr w:rsidR="00B53006" w:rsidRPr="00154588" w14:paraId="690350DC" w14:textId="77777777" w:rsidTr="00D15C1B">
        <w:trPr>
          <w:jc w:val="center"/>
        </w:trPr>
        <w:tc>
          <w:tcPr>
            <w:tcW w:w="4957" w:type="dxa"/>
            <w:gridSpan w:val="2"/>
          </w:tcPr>
          <w:p w14:paraId="4C04ED49" w14:textId="77777777" w:rsidR="00B53006" w:rsidRPr="00154588" w:rsidRDefault="00B53006" w:rsidP="008C12B4">
            <w:pPr>
              <w:jc w:val="both"/>
              <w:rPr>
                <w:bCs/>
                <w:sz w:val="20"/>
                <w:szCs w:val="20"/>
              </w:rPr>
            </w:pPr>
            <w:r w:rsidRPr="00154588">
              <w:rPr>
                <w:bCs/>
                <w:sz w:val="20"/>
                <w:szCs w:val="20"/>
              </w:rPr>
              <w:t xml:space="preserve">(8)   Prin derogare de la alineatul (5) litera (a), mecanismul de finanțare a rezoluției poate, de </w:t>
            </w:r>
            <w:r w:rsidRPr="00154588">
              <w:rPr>
                <w:bCs/>
                <w:sz w:val="20"/>
                <w:szCs w:val="20"/>
              </w:rPr>
              <w:lastRenderedPageBreak/>
              <w:t>asemenea, să facă o contribuție, astfel cum se menționează la alineatul (4), numai dacă:</w:t>
            </w:r>
          </w:p>
          <w:p w14:paraId="69CE2F33" w14:textId="77777777" w:rsidR="00B53006" w:rsidRPr="00154588" w:rsidRDefault="00B53006" w:rsidP="008C12B4">
            <w:pPr>
              <w:jc w:val="both"/>
              <w:rPr>
                <w:bCs/>
                <w:sz w:val="20"/>
                <w:szCs w:val="20"/>
              </w:rPr>
            </w:pPr>
          </w:p>
          <w:p w14:paraId="1EE5C55E" w14:textId="2A8274F9" w:rsidR="00B53006" w:rsidRPr="00154588" w:rsidRDefault="00B53006" w:rsidP="008C12B4">
            <w:pPr>
              <w:jc w:val="both"/>
              <w:rPr>
                <w:bCs/>
                <w:sz w:val="20"/>
                <w:szCs w:val="20"/>
              </w:rPr>
            </w:pPr>
            <w:r w:rsidRPr="00154588">
              <w:rPr>
                <w:bCs/>
                <w:sz w:val="20"/>
                <w:szCs w:val="20"/>
              </w:rPr>
              <w:t>(a) contribuția la absorbția pierderilor și recapitalizare menționată la alineatul (5) punctul (i) are o valoare de cel puțin 20 % din activele ponderate în funcție de risc ale instituției în cauză;</w:t>
            </w:r>
          </w:p>
          <w:p w14:paraId="6FD15A79" w14:textId="77777777" w:rsidR="00B53006" w:rsidRPr="00154588" w:rsidRDefault="00B53006" w:rsidP="008C12B4">
            <w:pPr>
              <w:jc w:val="both"/>
              <w:rPr>
                <w:bCs/>
                <w:sz w:val="20"/>
                <w:szCs w:val="20"/>
              </w:rPr>
            </w:pPr>
          </w:p>
          <w:p w14:paraId="11F000B8" w14:textId="149813BC" w:rsidR="00B53006" w:rsidRPr="00154588" w:rsidRDefault="00B53006" w:rsidP="008C12B4">
            <w:pPr>
              <w:jc w:val="both"/>
              <w:rPr>
                <w:bCs/>
                <w:sz w:val="20"/>
                <w:szCs w:val="20"/>
              </w:rPr>
            </w:pPr>
            <w:r w:rsidRPr="00154588">
              <w:rPr>
                <w:bCs/>
                <w:sz w:val="20"/>
                <w:szCs w:val="20"/>
              </w:rPr>
              <w:t>(b) mecanismul de finanțare a rezoluției al statului membru în cauză are la dispoziție, prin intermediul contribuțiilor ex ante (excluzând contribuțiile către o schemă de garantare a depozitelor) percepute în conformitate cu articolul 100 alineatul (6) și articolul 103, o sumă cel puțin egală cu 3 % din depozitele acoperite ale tuturor instituțiilor de credit autorizate pe teritoriul statului membru respectiv; și</w:t>
            </w:r>
          </w:p>
          <w:p w14:paraId="3F586052" w14:textId="77777777" w:rsidR="00B53006" w:rsidRPr="00154588" w:rsidRDefault="00B53006" w:rsidP="008C12B4">
            <w:pPr>
              <w:jc w:val="both"/>
              <w:rPr>
                <w:bCs/>
                <w:sz w:val="20"/>
                <w:szCs w:val="20"/>
              </w:rPr>
            </w:pPr>
          </w:p>
          <w:p w14:paraId="27F994ED" w14:textId="53238452" w:rsidR="00B53006" w:rsidRPr="00154588" w:rsidRDefault="00B53006" w:rsidP="008C12B4">
            <w:pPr>
              <w:jc w:val="both"/>
              <w:rPr>
                <w:bCs/>
                <w:sz w:val="20"/>
                <w:szCs w:val="20"/>
              </w:rPr>
            </w:pPr>
            <w:r w:rsidRPr="00154588">
              <w:rPr>
                <w:bCs/>
                <w:sz w:val="20"/>
                <w:szCs w:val="20"/>
              </w:rPr>
              <w:t>(c) instituția în cauză deține active în valoare mai mică de 900 de miliarde EUR pe bază consolidată.</w:t>
            </w:r>
          </w:p>
        </w:tc>
        <w:tc>
          <w:tcPr>
            <w:tcW w:w="4819" w:type="dxa"/>
          </w:tcPr>
          <w:p w14:paraId="388F4302" w14:textId="77777777" w:rsidR="00B53006" w:rsidRPr="00154588" w:rsidRDefault="00B53006" w:rsidP="008C12B4">
            <w:pPr>
              <w:ind w:firstLine="567"/>
              <w:jc w:val="both"/>
              <w:rPr>
                <w:sz w:val="20"/>
                <w:szCs w:val="20"/>
              </w:rPr>
            </w:pPr>
            <w:r w:rsidRPr="00154588">
              <w:rPr>
                <w:b/>
                <w:sz w:val="20"/>
                <w:szCs w:val="20"/>
              </w:rPr>
              <w:lastRenderedPageBreak/>
              <w:t>Articolul 161.</w:t>
            </w:r>
            <w:r w:rsidRPr="00154588">
              <w:rPr>
                <w:sz w:val="20"/>
                <w:szCs w:val="20"/>
              </w:rPr>
              <w:t xml:space="preserve"> – Prin exceptare de la prevederile art.158 lit.a), fondul de rezoluţie bancară </w:t>
            </w:r>
            <w:r w:rsidRPr="00154588">
              <w:rPr>
                <w:sz w:val="20"/>
                <w:szCs w:val="20"/>
              </w:rPr>
              <w:lastRenderedPageBreak/>
              <w:t>poate, de asemenea, să facă o contribuţie potrivit art.157, în următoarele condiţii:</w:t>
            </w:r>
          </w:p>
          <w:p w14:paraId="6B0A734C" w14:textId="77777777" w:rsidR="00B53006" w:rsidRPr="00154588" w:rsidRDefault="00B53006" w:rsidP="008C12B4">
            <w:pPr>
              <w:ind w:firstLine="567"/>
              <w:jc w:val="both"/>
              <w:rPr>
                <w:sz w:val="20"/>
                <w:szCs w:val="20"/>
              </w:rPr>
            </w:pPr>
            <w:r w:rsidRPr="00154588">
              <w:rPr>
                <w:sz w:val="20"/>
                <w:szCs w:val="20"/>
              </w:rPr>
              <w:t>a) contribuţia la absorbţia pierderilor şi recapitalizare prevăzută la art.158 lit.a) are o valoare de cel puţin 20% din activele ponderate la risc ale instituției de credit în cauză;</w:t>
            </w:r>
          </w:p>
          <w:p w14:paraId="0AF62712" w14:textId="7B25E741" w:rsidR="00B53006" w:rsidRPr="00154588" w:rsidRDefault="00B53006" w:rsidP="008C12B4">
            <w:pPr>
              <w:ind w:firstLine="567"/>
              <w:jc w:val="both"/>
              <w:rPr>
                <w:sz w:val="20"/>
                <w:szCs w:val="20"/>
              </w:rPr>
            </w:pPr>
            <w:r w:rsidRPr="00154588">
              <w:rPr>
                <w:sz w:val="20"/>
                <w:szCs w:val="20"/>
              </w:rPr>
              <w:t>b) fondul de rezoluţie bancară are la dispoziţie, prin intermediul contribuţiilor anuale (excluzînd contribuţiile către schema de garantare a depozitelor) percepute în conformitate cu prevederile art.306-309, o sumă cel puţin egală cu 3% din depozitele acoperite ale tuturor instituțiilor de credit autorizate pe teritoriul Republicii Moldovei; şi</w:t>
            </w:r>
          </w:p>
          <w:p w14:paraId="204585C7" w14:textId="77777777" w:rsidR="00B53006" w:rsidRPr="00154588" w:rsidRDefault="00B53006" w:rsidP="008C12B4">
            <w:pPr>
              <w:ind w:firstLine="567"/>
              <w:jc w:val="both"/>
              <w:rPr>
                <w:sz w:val="20"/>
                <w:szCs w:val="20"/>
              </w:rPr>
            </w:pPr>
            <w:r w:rsidRPr="00154588">
              <w:rPr>
                <w:sz w:val="20"/>
                <w:szCs w:val="20"/>
              </w:rPr>
              <w:t xml:space="preserve">c) </w:t>
            </w:r>
            <w:bookmarkStart w:id="50" w:name="_Hlk223361193"/>
            <w:r w:rsidRPr="00154588">
              <w:rPr>
                <w:sz w:val="20"/>
                <w:szCs w:val="20"/>
              </w:rPr>
              <w:t>instituția de credit în cauză deţine active în valoare mai mică de 900 de miliarde EUR pe bază consolidată</w:t>
            </w:r>
            <w:bookmarkEnd w:id="50"/>
            <w:r w:rsidRPr="00154588">
              <w:rPr>
                <w:sz w:val="20"/>
                <w:szCs w:val="20"/>
              </w:rPr>
              <w:t>.</w:t>
            </w:r>
          </w:p>
          <w:p w14:paraId="359121FF" w14:textId="77777777" w:rsidR="00B53006" w:rsidRPr="00154588" w:rsidRDefault="00B53006" w:rsidP="008C12B4">
            <w:pPr>
              <w:jc w:val="both"/>
              <w:rPr>
                <w:bCs/>
                <w:sz w:val="20"/>
                <w:szCs w:val="20"/>
              </w:rPr>
            </w:pPr>
          </w:p>
        </w:tc>
        <w:tc>
          <w:tcPr>
            <w:tcW w:w="2552" w:type="dxa"/>
          </w:tcPr>
          <w:p w14:paraId="6402B700" w14:textId="080422E6"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5733610D" w14:textId="77777777" w:rsidR="00B53006" w:rsidRPr="00154588" w:rsidRDefault="00B53006" w:rsidP="008C12B4">
            <w:pPr>
              <w:jc w:val="both"/>
              <w:rPr>
                <w:bCs/>
                <w:sz w:val="20"/>
                <w:szCs w:val="20"/>
              </w:rPr>
            </w:pPr>
          </w:p>
        </w:tc>
      </w:tr>
      <w:tr w:rsidR="00B53006" w:rsidRPr="00154588" w14:paraId="21170303" w14:textId="77777777" w:rsidTr="00D15C1B">
        <w:trPr>
          <w:jc w:val="center"/>
        </w:trPr>
        <w:tc>
          <w:tcPr>
            <w:tcW w:w="4957" w:type="dxa"/>
            <w:gridSpan w:val="2"/>
          </w:tcPr>
          <w:p w14:paraId="26D800BE" w14:textId="77777777" w:rsidR="00B53006" w:rsidRPr="00154588" w:rsidRDefault="00B53006" w:rsidP="008C12B4">
            <w:pPr>
              <w:jc w:val="both"/>
              <w:rPr>
                <w:bCs/>
                <w:sz w:val="20"/>
                <w:szCs w:val="20"/>
              </w:rPr>
            </w:pPr>
            <w:r w:rsidRPr="00154588">
              <w:rPr>
                <w:bCs/>
                <w:sz w:val="20"/>
                <w:szCs w:val="20"/>
              </w:rPr>
              <w:t>(9)   Atunci când își exercită competențele discreționare menționate la alineatul (3), autoritățile de rezoluție acordă atenția cuvenită:</w:t>
            </w:r>
          </w:p>
          <w:p w14:paraId="58DFDD65" w14:textId="77777777" w:rsidR="00B53006" w:rsidRPr="00154588" w:rsidRDefault="00B53006" w:rsidP="008C12B4">
            <w:pPr>
              <w:jc w:val="both"/>
              <w:rPr>
                <w:bCs/>
                <w:sz w:val="20"/>
                <w:szCs w:val="20"/>
              </w:rPr>
            </w:pPr>
          </w:p>
          <w:p w14:paraId="0E09B29B" w14:textId="2796A25F" w:rsidR="00B53006" w:rsidRPr="00154588" w:rsidRDefault="00B53006" w:rsidP="008C12B4">
            <w:pPr>
              <w:jc w:val="both"/>
              <w:rPr>
                <w:bCs/>
                <w:sz w:val="20"/>
                <w:szCs w:val="20"/>
              </w:rPr>
            </w:pPr>
            <w:r w:rsidRPr="00154588">
              <w:rPr>
                <w:bCs/>
                <w:sz w:val="20"/>
                <w:szCs w:val="20"/>
              </w:rPr>
              <w:t>(a) principiului conform căruia pierderile ar trebui să fie suportate în primul rând de acționari și, în al doilea rând, în general, de către creditorii instituției aflate în rezoluție, în ordinea de preferință;</w:t>
            </w:r>
          </w:p>
          <w:p w14:paraId="25159949" w14:textId="77777777" w:rsidR="00B53006" w:rsidRPr="00154588" w:rsidRDefault="00B53006" w:rsidP="008C12B4">
            <w:pPr>
              <w:jc w:val="both"/>
              <w:rPr>
                <w:bCs/>
                <w:sz w:val="20"/>
                <w:szCs w:val="20"/>
              </w:rPr>
            </w:pPr>
          </w:p>
          <w:p w14:paraId="2E4F6481" w14:textId="7F2D24D4" w:rsidR="00B53006" w:rsidRPr="00154588" w:rsidRDefault="00B53006" w:rsidP="008C12B4">
            <w:pPr>
              <w:jc w:val="both"/>
              <w:rPr>
                <w:bCs/>
                <w:sz w:val="20"/>
                <w:szCs w:val="20"/>
              </w:rPr>
            </w:pPr>
            <w:r w:rsidRPr="00154588">
              <w:rPr>
                <w:bCs/>
                <w:sz w:val="20"/>
                <w:szCs w:val="20"/>
              </w:rPr>
              <w:t>(b) nivelului capacității de absorbție a pierderilor de care ar mai dispune instituția aflată în rezoluție în cazul excluderii pasivului sau a categoriei de pasive; și</w:t>
            </w:r>
          </w:p>
          <w:p w14:paraId="36CF7E95" w14:textId="77777777" w:rsidR="00B53006" w:rsidRPr="00154588" w:rsidRDefault="00B53006" w:rsidP="008C12B4">
            <w:pPr>
              <w:jc w:val="both"/>
              <w:rPr>
                <w:bCs/>
                <w:sz w:val="20"/>
                <w:szCs w:val="20"/>
              </w:rPr>
            </w:pPr>
          </w:p>
          <w:p w14:paraId="609897C3" w14:textId="6FED56F0" w:rsidR="00B53006" w:rsidRPr="00154588" w:rsidRDefault="00B53006" w:rsidP="008C12B4">
            <w:pPr>
              <w:jc w:val="both"/>
              <w:rPr>
                <w:bCs/>
                <w:sz w:val="20"/>
                <w:szCs w:val="20"/>
              </w:rPr>
            </w:pPr>
            <w:r w:rsidRPr="00154588">
              <w:rPr>
                <w:bCs/>
                <w:sz w:val="20"/>
                <w:szCs w:val="20"/>
              </w:rPr>
              <w:t>(c) necesității de a păstra resurse corespunzătoare pentru finanțarea rezoluției.</w:t>
            </w:r>
          </w:p>
        </w:tc>
        <w:tc>
          <w:tcPr>
            <w:tcW w:w="4819" w:type="dxa"/>
          </w:tcPr>
          <w:p w14:paraId="11CFDB3B" w14:textId="77777777" w:rsidR="00B53006" w:rsidRPr="00154588" w:rsidRDefault="00B53006" w:rsidP="008C12B4">
            <w:pPr>
              <w:ind w:firstLine="567"/>
              <w:jc w:val="both"/>
              <w:rPr>
                <w:sz w:val="20"/>
                <w:szCs w:val="20"/>
              </w:rPr>
            </w:pPr>
            <w:r w:rsidRPr="00154588">
              <w:rPr>
                <w:b/>
                <w:sz w:val="20"/>
                <w:szCs w:val="20"/>
              </w:rPr>
              <w:t>Articolul 162.</w:t>
            </w:r>
            <w:r w:rsidRPr="00154588">
              <w:rPr>
                <w:sz w:val="20"/>
                <w:szCs w:val="20"/>
              </w:rPr>
              <w:t xml:space="preserve"> – Atunci cînd îşi exercită competenţele de excludere prevăzute la art.156, Banca Naţională a Moldovei, în calitate de autoritate de rezoluţie, acordă atenţia cuvenită:</w:t>
            </w:r>
          </w:p>
          <w:p w14:paraId="6E1A11E4" w14:textId="554C0862" w:rsidR="00B53006" w:rsidRPr="00154588" w:rsidRDefault="00B53006" w:rsidP="008C12B4">
            <w:pPr>
              <w:ind w:firstLine="567"/>
              <w:jc w:val="both"/>
              <w:rPr>
                <w:sz w:val="20"/>
                <w:szCs w:val="20"/>
              </w:rPr>
            </w:pPr>
            <w:r w:rsidRPr="00154588">
              <w:rPr>
                <w:sz w:val="20"/>
                <w:szCs w:val="20"/>
              </w:rPr>
              <w:t>a) principiului conform căruia pierderile ar trebui să fie suportate, în primul rînd de acţionari şi, în al doilea rînd, în general, de către creditorii instituției supuse rezoluţiei, în ordinea de preferinţă</w:t>
            </w:r>
            <w:r w:rsidR="009A2F68" w:rsidRPr="00154588">
              <w:rPr>
                <w:sz w:val="20"/>
                <w:szCs w:val="20"/>
              </w:rPr>
              <w:t xml:space="preserve"> prevăzută în cadrul unei proceduri</w:t>
            </w:r>
            <w:r w:rsidR="00973589" w:rsidRPr="00154588">
              <w:rPr>
                <w:sz w:val="20"/>
                <w:szCs w:val="20"/>
              </w:rPr>
              <w:t>lor</w:t>
            </w:r>
            <w:r w:rsidR="009A2F68" w:rsidRPr="00154588">
              <w:rPr>
                <w:sz w:val="20"/>
                <w:szCs w:val="20"/>
              </w:rPr>
              <w:t xml:space="preserve"> obișnuite de insolvabilitate;</w:t>
            </w:r>
          </w:p>
          <w:p w14:paraId="792D3F27" w14:textId="77777777" w:rsidR="00B53006" w:rsidRPr="00154588" w:rsidRDefault="00B53006" w:rsidP="008C12B4">
            <w:pPr>
              <w:ind w:firstLine="567"/>
              <w:jc w:val="both"/>
              <w:rPr>
                <w:sz w:val="20"/>
                <w:szCs w:val="20"/>
              </w:rPr>
            </w:pPr>
            <w:r w:rsidRPr="00154588">
              <w:rPr>
                <w:sz w:val="20"/>
                <w:szCs w:val="20"/>
              </w:rPr>
              <w:t>b) nivelului capacităţii de absorbţie a pierderilor de care ar mai dispune instituția supusă rezoluţiei în cazul excluderii unei datorii sau a unei categorii de datorii; şi</w:t>
            </w:r>
          </w:p>
          <w:p w14:paraId="57DCA797" w14:textId="77777777" w:rsidR="00B53006" w:rsidRPr="00154588" w:rsidRDefault="00B53006" w:rsidP="008C12B4">
            <w:pPr>
              <w:ind w:firstLine="567"/>
              <w:jc w:val="both"/>
              <w:rPr>
                <w:sz w:val="20"/>
                <w:szCs w:val="20"/>
              </w:rPr>
            </w:pPr>
            <w:r w:rsidRPr="00154588">
              <w:rPr>
                <w:sz w:val="20"/>
                <w:szCs w:val="20"/>
              </w:rPr>
              <w:t>c) necesităţii de a păstra resurse corespunzătoare pentru finanţarea rezoluţiei.</w:t>
            </w:r>
          </w:p>
          <w:p w14:paraId="61A12FA8" w14:textId="77777777" w:rsidR="00B53006" w:rsidRPr="00154588" w:rsidRDefault="00B53006" w:rsidP="008C12B4">
            <w:pPr>
              <w:jc w:val="both"/>
              <w:rPr>
                <w:bCs/>
                <w:sz w:val="20"/>
                <w:szCs w:val="20"/>
              </w:rPr>
            </w:pPr>
          </w:p>
        </w:tc>
        <w:tc>
          <w:tcPr>
            <w:tcW w:w="2552" w:type="dxa"/>
          </w:tcPr>
          <w:p w14:paraId="5620464D" w14:textId="21BB80D6" w:rsidR="00B53006" w:rsidRPr="00154588" w:rsidRDefault="00B53006" w:rsidP="008C12B4">
            <w:pPr>
              <w:jc w:val="both"/>
              <w:rPr>
                <w:bCs/>
                <w:sz w:val="20"/>
                <w:szCs w:val="20"/>
              </w:rPr>
            </w:pPr>
            <w:r w:rsidRPr="00154588">
              <w:rPr>
                <w:bCs/>
                <w:sz w:val="20"/>
                <w:szCs w:val="20"/>
              </w:rPr>
              <w:t>Compatibil</w:t>
            </w:r>
          </w:p>
        </w:tc>
        <w:tc>
          <w:tcPr>
            <w:tcW w:w="3118" w:type="dxa"/>
          </w:tcPr>
          <w:p w14:paraId="2F35E67E" w14:textId="77777777" w:rsidR="00B53006" w:rsidRPr="00154588" w:rsidRDefault="00B53006" w:rsidP="008C12B4">
            <w:pPr>
              <w:jc w:val="both"/>
              <w:rPr>
                <w:bCs/>
                <w:sz w:val="20"/>
                <w:szCs w:val="20"/>
              </w:rPr>
            </w:pPr>
          </w:p>
        </w:tc>
      </w:tr>
      <w:tr w:rsidR="00B53006" w:rsidRPr="00154588" w14:paraId="64AAF202" w14:textId="77777777" w:rsidTr="00D15C1B">
        <w:trPr>
          <w:jc w:val="center"/>
        </w:trPr>
        <w:tc>
          <w:tcPr>
            <w:tcW w:w="4957" w:type="dxa"/>
            <w:gridSpan w:val="2"/>
          </w:tcPr>
          <w:p w14:paraId="56BD9ECA" w14:textId="6A3B9BA5" w:rsidR="00B53006" w:rsidRPr="00154588" w:rsidRDefault="00B53006" w:rsidP="008C12B4">
            <w:pPr>
              <w:jc w:val="both"/>
              <w:rPr>
                <w:bCs/>
                <w:sz w:val="20"/>
                <w:szCs w:val="20"/>
              </w:rPr>
            </w:pPr>
            <w:r w:rsidRPr="00154588">
              <w:rPr>
                <w:bCs/>
                <w:sz w:val="20"/>
                <w:szCs w:val="20"/>
              </w:rPr>
              <w:t>(10)   Excluderile prevăzute la alineatul (3) pot fi aplicate fie pentru a exclude complet un pasiv de la reducerea valorii contabile, fie pentru a limita amploarea reducerii valorii contabile aplicate respectivului pasiv.</w:t>
            </w:r>
          </w:p>
        </w:tc>
        <w:tc>
          <w:tcPr>
            <w:tcW w:w="4819" w:type="dxa"/>
          </w:tcPr>
          <w:p w14:paraId="3A9DBE8C" w14:textId="47275DAA" w:rsidR="00B53006" w:rsidRPr="00154588" w:rsidRDefault="00B53006" w:rsidP="008C12B4">
            <w:pPr>
              <w:ind w:firstLine="567"/>
              <w:jc w:val="both"/>
              <w:rPr>
                <w:sz w:val="20"/>
                <w:szCs w:val="20"/>
              </w:rPr>
            </w:pPr>
            <w:r w:rsidRPr="00154588">
              <w:rPr>
                <w:b/>
                <w:sz w:val="20"/>
                <w:szCs w:val="20"/>
              </w:rPr>
              <w:t>Articolul 163.</w:t>
            </w:r>
            <w:r w:rsidRPr="00154588">
              <w:rPr>
                <w:sz w:val="20"/>
                <w:szCs w:val="20"/>
              </w:rPr>
              <w:t xml:space="preserve"> – Excluderile prevăzute la art.</w:t>
            </w:r>
            <w:r w:rsidR="006B64C4" w:rsidRPr="00154588">
              <w:rPr>
                <w:bCs/>
                <w:sz w:val="20"/>
                <w:szCs w:val="20"/>
              </w:rPr>
              <w:t>155</w:t>
            </w:r>
            <w:r w:rsidR="006B64C4" w:rsidRPr="00154588">
              <w:rPr>
                <w:bCs/>
                <w:sz w:val="20"/>
                <w:szCs w:val="20"/>
                <w:vertAlign w:val="superscript"/>
              </w:rPr>
              <w:t xml:space="preserve">1 </w:t>
            </w:r>
            <w:r w:rsidR="006B64C4" w:rsidRPr="00154588">
              <w:rPr>
                <w:bCs/>
                <w:sz w:val="20"/>
                <w:szCs w:val="20"/>
              </w:rPr>
              <w:t>-</w:t>
            </w:r>
            <w:r w:rsidRPr="00154588">
              <w:rPr>
                <w:sz w:val="20"/>
                <w:szCs w:val="20"/>
              </w:rPr>
              <w:t>156 pot fi aplicate fie pentru a exclude complet o datorie de la reducerea valorii, fie pentru a limita nivelul reducerii valorii aplicate respectivei datorii.</w:t>
            </w:r>
          </w:p>
          <w:p w14:paraId="5BDAC220" w14:textId="77777777" w:rsidR="00B53006" w:rsidRPr="00154588" w:rsidRDefault="00B53006" w:rsidP="008C12B4">
            <w:pPr>
              <w:jc w:val="both"/>
              <w:rPr>
                <w:bCs/>
                <w:sz w:val="20"/>
                <w:szCs w:val="20"/>
              </w:rPr>
            </w:pPr>
          </w:p>
        </w:tc>
        <w:tc>
          <w:tcPr>
            <w:tcW w:w="2552" w:type="dxa"/>
          </w:tcPr>
          <w:p w14:paraId="70B39F5A" w14:textId="314A5CD2" w:rsidR="00B53006" w:rsidRPr="00154588" w:rsidRDefault="00B53006" w:rsidP="008C12B4">
            <w:pPr>
              <w:jc w:val="both"/>
              <w:rPr>
                <w:bCs/>
                <w:sz w:val="20"/>
                <w:szCs w:val="20"/>
              </w:rPr>
            </w:pPr>
            <w:r w:rsidRPr="00154588">
              <w:rPr>
                <w:bCs/>
                <w:sz w:val="20"/>
                <w:szCs w:val="20"/>
              </w:rPr>
              <w:t>Compatibil</w:t>
            </w:r>
          </w:p>
        </w:tc>
        <w:tc>
          <w:tcPr>
            <w:tcW w:w="3118" w:type="dxa"/>
          </w:tcPr>
          <w:p w14:paraId="35F53269" w14:textId="77777777" w:rsidR="00B53006" w:rsidRPr="00154588" w:rsidRDefault="00B53006" w:rsidP="008C12B4">
            <w:pPr>
              <w:jc w:val="both"/>
              <w:rPr>
                <w:bCs/>
                <w:sz w:val="20"/>
                <w:szCs w:val="20"/>
              </w:rPr>
            </w:pPr>
          </w:p>
        </w:tc>
      </w:tr>
      <w:tr w:rsidR="00B53006" w:rsidRPr="00154588" w14:paraId="624DD1DE" w14:textId="77777777" w:rsidTr="00291ADE">
        <w:trPr>
          <w:trHeight w:val="2627"/>
          <w:jc w:val="center"/>
        </w:trPr>
        <w:tc>
          <w:tcPr>
            <w:tcW w:w="4957" w:type="dxa"/>
            <w:gridSpan w:val="2"/>
          </w:tcPr>
          <w:p w14:paraId="267C534E" w14:textId="0310457F" w:rsidR="00B53006" w:rsidRPr="00154588" w:rsidRDefault="00B53006" w:rsidP="008C12B4">
            <w:pPr>
              <w:jc w:val="both"/>
              <w:rPr>
                <w:bCs/>
                <w:sz w:val="20"/>
                <w:szCs w:val="20"/>
              </w:rPr>
            </w:pPr>
            <w:r w:rsidRPr="00154588">
              <w:rPr>
                <w:bCs/>
                <w:sz w:val="20"/>
                <w:szCs w:val="20"/>
              </w:rPr>
              <w:lastRenderedPageBreak/>
              <w:t>(11)   Se conferă Comisiei competența de a adopta acte delegate în conformitate cu articolul 115 pentru a specifica în detaliu situațiile în care excluderea este necesară pentru atingerea obiectivelor menționate la alineatul (3) din prezentul articol.</w:t>
            </w:r>
          </w:p>
        </w:tc>
        <w:tc>
          <w:tcPr>
            <w:tcW w:w="4819" w:type="dxa"/>
          </w:tcPr>
          <w:p w14:paraId="03EDED94" w14:textId="77777777" w:rsidR="00B53006" w:rsidRPr="00154588" w:rsidRDefault="00B53006" w:rsidP="008C12B4">
            <w:pPr>
              <w:jc w:val="both"/>
              <w:rPr>
                <w:bCs/>
                <w:sz w:val="20"/>
                <w:szCs w:val="20"/>
              </w:rPr>
            </w:pPr>
          </w:p>
        </w:tc>
        <w:tc>
          <w:tcPr>
            <w:tcW w:w="2552" w:type="dxa"/>
          </w:tcPr>
          <w:p w14:paraId="336EBF87" w14:textId="552A7644" w:rsidR="00B53006" w:rsidRPr="00154588" w:rsidRDefault="00B53006" w:rsidP="008C12B4">
            <w:pPr>
              <w:jc w:val="both"/>
              <w:rPr>
                <w:bCs/>
                <w:sz w:val="20"/>
                <w:szCs w:val="20"/>
              </w:rPr>
            </w:pPr>
          </w:p>
        </w:tc>
        <w:tc>
          <w:tcPr>
            <w:tcW w:w="3118" w:type="dxa"/>
          </w:tcPr>
          <w:p w14:paraId="3AB66035" w14:textId="0CEF07B2" w:rsidR="00B53006" w:rsidRPr="00154588" w:rsidRDefault="00486CE5" w:rsidP="008C12B4">
            <w:pPr>
              <w:jc w:val="both"/>
              <w:rPr>
                <w:sz w:val="18"/>
                <w:szCs w:val="18"/>
              </w:rPr>
            </w:pPr>
            <w:r w:rsidRPr="00154588">
              <w:rPr>
                <w:color w:val="000000" w:themeColor="text1"/>
                <w:sz w:val="18"/>
                <w:szCs w:val="18"/>
                <w:lang w:val="ro-MD"/>
              </w:rPr>
              <w:t xml:space="preserve">Alineatul (11) = </w:t>
            </w:r>
            <w:r w:rsidR="006B64C4" w:rsidRPr="00154588">
              <w:rPr>
                <w:color w:val="000000" w:themeColor="text1"/>
                <w:sz w:val="18"/>
                <w:szCs w:val="18"/>
                <w:lang w:val="ro-MD"/>
              </w:rPr>
              <w:t>REGULAMENTUL DELEGAT (UE) 2016/860 AL COMISIEI din 4 februarie 2016 de specificare în detaliu a situațiilor în care excluderea de la aplicarea competențelor de reducere a valorii contabile sau de conversie este necesară în temeiul articolului 44 alineatul (3) din Directiva 2014/59/UE (Elena il transpune prin Regulamentul bail in)</w:t>
            </w:r>
          </w:p>
        </w:tc>
      </w:tr>
      <w:tr w:rsidR="00B53006" w:rsidRPr="00154588" w14:paraId="2A124F06" w14:textId="77777777" w:rsidTr="00D15C1B">
        <w:trPr>
          <w:jc w:val="center"/>
        </w:trPr>
        <w:tc>
          <w:tcPr>
            <w:tcW w:w="4957" w:type="dxa"/>
            <w:gridSpan w:val="2"/>
          </w:tcPr>
          <w:p w14:paraId="0D7AF63A" w14:textId="1CC6C680" w:rsidR="00B53006" w:rsidRPr="00154588" w:rsidRDefault="00B53006" w:rsidP="008C12B4">
            <w:pPr>
              <w:jc w:val="both"/>
              <w:rPr>
                <w:bCs/>
                <w:sz w:val="20"/>
                <w:szCs w:val="20"/>
              </w:rPr>
            </w:pPr>
            <w:r w:rsidRPr="00154588">
              <w:rPr>
                <w:bCs/>
                <w:sz w:val="20"/>
                <w:szCs w:val="20"/>
              </w:rPr>
              <w:t>(12)   Înainte de a exercita competența discreționară de a exclude un pasiv în temeiul alineatului (3), autoritatea de rezoluție notifică Comisia. În cazul în care excluderea ar necesita o contribuție din mecanismul de finanțare a rezoluției sau dintr-o sursă de finanțare alternativă în temeiul alineatelor (4)-(8), Comisia poate, în termen de 24 de ore de la primirea unei astfel de notificări sau într-un termen mai lung, cu acordul autorității de rezoluție, să interzică sau să solicite modificări la excluderea propusă, dacă nu sunt îndeplinite cerințele din prezentul articol și din actele delegate, cu scopul de a proteja integritatea pieței interne. Aceasta nu aduce atingere aplicării de către Comisie a cadrului Uniunii privind ajutoarele de stat.</w:t>
            </w:r>
          </w:p>
        </w:tc>
        <w:tc>
          <w:tcPr>
            <w:tcW w:w="4819" w:type="dxa"/>
          </w:tcPr>
          <w:p w14:paraId="066C8096" w14:textId="664A1BE8" w:rsidR="00B53006" w:rsidRPr="00154588" w:rsidRDefault="00B53006" w:rsidP="008C12B4">
            <w:pPr>
              <w:jc w:val="both"/>
              <w:rPr>
                <w:bCs/>
                <w:sz w:val="20"/>
                <w:szCs w:val="20"/>
              </w:rPr>
            </w:pPr>
            <w:r w:rsidRPr="00154588">
              <w:rPr>
                <w:b/>
                <w:sz w:val="20"/>
                <w:szCs w:val="20"/>
              </w:rPr>
              <w:t>Articolul 163</w:t>
            </w:r>
            <w:r w:rsidR="00020AC0" w:rsidRPr="00154588">
              <w:rPr>
                <w:b/>
                <w:sz w:val="20"/>
                <w:szCs w:val="20"/>
                <w:vertAlign w:val="superscript"/>
              </w:rPr>
              <w:t>1</w:t>
            </w:r>
            <w:r w:rsidRPr="00154588">
              <w:rPr>
                <w:b/>
                <w:sz w:val="20"/>
                <w:szCs w:val="20"/>
              </w:rPr>
              <w:t xml:space="preserve">. </w:t>
            </w:r>
            <w:r w:rsidRPr="00154588">
              <w:rPr>
                <w:bCs/>
                <w:sz w:val="20"/>
                <w:szCs w:val="20"/>
              </w:rPr>
              <w:t>Înainte de a exercita competența discreționară de a exclude un pasiv în temeiul art</w:t>
            </w:r>
            <w:r w:rsidR="006F0240" w:rsidRPr="00154588">
              <w:rPr>
                <w:bCs/>
                <w:sz w:val="20"/>
                <w:szCs w:val="20"/>
              </w:rPr>
              <w:t>.155</w:t>
            </w:r>
            <w:r w:rsidR="006F0240" w:rsidRPr="00154588">
              <w:rPr>
                <w:bCs/>
                <w:sz w:val="20"/>
                <w:szCs w:val="20"/>
                <w:vertAlign w:val="superscript"/>
              </w:rPr>
              <w:t>1</w:t>
            </w:r>
            <w:r w:rsidRPr="00154588">
              <w:rPr>
                <w:bCs/>
                <w:sz w:val="20"/>
                <w:szCs w:val="20"/>
              </w:rPr>
              <w:t>156, Banca Națională</w:t>
            </w:r>
            <w:r w:rsidR="00291ADE" w:rsidRPr="00154588">
              <w:rPr>
                <w:bCs/>
                <w:sz w:val="20"/>
                <w:szCs w:val="20"/>
              </w:rPr>
              <w:t xml:space="preserve"> a Moldovei</w:t>
            </w:r>
            <w:r w:rsidRPr="00154588">
              <w:rPr>
                <w:bCs/>
                <w:sz w:val="20"/>
                <w:szCs w:val="20"/>
              </w:rPr>
              <w:t>, în calitate de autoritate de rezoluție, notifică Comisia</w:t>
            </w:r>
            <w:r w:rsidR="006F0240" w:rsidRPr="00154588">
              <w:rPr>
                <w:bCs/>
                <w:sz w:val="20"/>
                <w:szCs w:val="20"/>
              </w:rPr>
              <w:t xml:space="preserve"> Europeană</w:t>
            </w:r>
            <w:r w:rsidRPr="00154588">
              <w:rPr>
                <w:bCs/>
                <w:sz w:val="20"/>
                <w:szCs w:val="20"/>
              </w:rPr>
              <w:t xml:space="preserve">. În cazul în care excluderea ar necesita o contribuție din </w:t>
            </w:r>
            <w:r w:rsidR="006F0240" w:rsidRPr="00154588">
              <w:rPr>
                <w:sz w:val="20"/>
                <w:szCs w:val="20"/>
              </w:rPr>
              <w:t xml:space="preserve">fondul de rezoluție bancară </w:t>
            </w:r>
            <w:r w:rsidRPr="00154588">
              <w:rPr>
                <w:bCs/>
                <w:sz w:val="20"/>
                <w:szCs w:val="20"/>
              </w:rPr>
              <w:t>sau dintr-o sursă de finanțare alternativă în temeiul articolelor 157-16</w:t>
            </w:r>
            <w:r w:rsidR="006F0240" w:rsidRPr="00154588">
              <w:rPr>
                <w:bCs/>
                <w:sz w:val="20"/>
                <w:szCs w:val="20"/>
              </w:rPr>
              <w:t>1</w:t>
            </w:r>
            <w:r w:rsidRPr="00154588">
              <w:rPr>
                <w:bCs/>
                <w:sz w:val="20"/>
                <w:szCs w:val="20"/>
              </w:rPr>
              <w:t>, Comisia</w:t>
            </w:r>
            <w:r w:rsidR="006F0240" w:rsidRPr="00154588">
              <w:rPr>
                <w:bCs/>
                <w:sz w:val="20"/>
                <w:szCs w:val="20"/>
              </w:rPr>
              <w:t xml:space="preserve"> Europeană</w:t>
            </w:r>
            <w:r w:rsidRPr="00154588">
              <w:rPr>
                <w:bCs/>
                <w:sz w:val="20"/>
                <w:szCs w:val="20"/>
              </w:rPr>
              <w:t xml:space="preserve"> poate, în termen de 24 de ore de la primirea unei astfel de notificări sau într-un termen mai lung, cu acordul autorității de rezoluție, să interzică sau să solicite modificări la excluderea propusă, dacă nu sunt îndeplinite cerințele din art</w:t>
            </w:r>
            <w:r w:rsidR="00291ADE" w:rsidRPr="00154588">
              <w:rPr>
                <w:bCs/>
                <w:sz w:val="20"/>
                <w:szCs w:val="20"/>
              </w:rPr>
              <w:t>.154-163</w:t>
            </w:r>
            <w:r w:rsidRPr="00154588">
              <w:rPr>
                <w:bCs/>
                <w:sz w:val="20"/>
                <w:szCs w:val="20"/>
              </w:rPr>
              <w:t xml:space="preserve"> și din </w:t>
            </w:r>
            <w:r w:rsidR="0095194A" w:rsidRPr="00154588">
              <w:rPr>
                <w:bCs/>
                <w:sz w:val="20"/>
                <w:szCs w:val="20"/>
              </w:rPr>
              <w:t>reglementările adoptate pentru punerea în aplicare a acestuia</w:t>
            </w:r>
            <w:r w:rsidRPr="00154588">
              <w:rPr>
                <w:bCs/>
                <w:sz w:val="20"/>
                <w:szCs w:val="20"/>
              </w:rPr>
              <w:t>, cu scopul de a proteja integritatea pieței interne. Aceasta nu aduce atingere aplicării de către Comisie a cadrului Uniunii Europene privind ajutoarele de stat.</w:t>
            </w:r>
          </w:p>
        </w:tc>
        <w:tc>
          <w:tcPr>
            <w:tcW w:w="2552" w:type="dxa"/>
          </w:tcPr>
          <w:p w14:paraId="559CD1A9" w14:textId="4BAB8967" w:rsidR="00B53006" w:rsidRPr="00154588" w:rsidRDefault="00B53006" w:rsidP="008C12B4">
            <w:pPr>
              <w:jc w:val="both"/>
              <w:rPr>
                <w:bCs/>
                <w:sz w:val="20"/>
                <w:szCs w:val="20"/>
              </w:rPr>
            </w:pPr>
            <w:r w:rsidRPr="00154588">
              <w:rPr>
                <w:bCs/>
                <w:sz w:val="20"/>
                <w:szCs w:val="20"/>
              </w:rPr>
              <w:t>Compatibil</w:t>
            </w:r>
          </w:p>
        </w:tc>
        <w:tc>
          <w:tcPr>
            <w:tcW w:w="3118" w:type="dxa"/>
          </w:tcPr>
          <w:p w14:paraId="7C2429F7" w14:textId="77777777" w:rsidR="00B53006" w:rsidRPr="00154588" w:rsidRDefault="00B53006" w:rsidP="008C12B4">
            <w:pPr>
              <w:jc w:val="both"/>
              <w:rPr>
                <w:bCs/>
                <w:sz w:val="20"/>
                <w:szCs w:val="20"/>
              </w:rPr>
            </w:pPr>
          </w:p>
        </w:tc>
      </w:tr>
      <w:tr w:rsidR="00B53006" w:rsidRPr="00154588" w14:paraId="7172C40A" w14:textId="77777777" w:rsidTr="00D15C1B">
        <w:trPr>
          <w:jc w:val="center"/>
        </w:trPr>
        <w:tc>
          <w:tcPr>
            <w:tcW w:w="4957" w:type="dxa"/>
            <w:gridSpan w:val="2"/>
          </w:tcPr>
          <w:p w14:paraId="1DE1CE50" w14:textId="77777777" w:rsidR="00B53006" w:rsidRPr="00154588" w:rsidRDefault="00B53006" w:rsidP="008C12B4">
            <w:pPr>
              <w:rPr>
                <w:b/>
                <w:sz w:val="20"/>
                <w:szCs w:val="20"/>
              </w:rPr>
            </w:pPr>
            <w:r w:rsidRPr="00154588">
              <w:rPr>
                <w:b/>
                <w:sz w:val="20"/>
                <w:szCs w:val="20"/>
              </w:rPr>
              <w:t>Articolul 44a</w:t>
            </w:r>
          </w:p>
          <w:p w14:paraId="7AB48BDB" w14:textId="77777777" w:rsidR="00B53006" w:rsidRPr="00154588" w:rsidRDefault="00B53006" w:rsidP="008C12B4">
            <w:pPr>
              <w:rPr>
                <w:b/>
                <w:sz w:val="20"/>
                <w:szCs w:val="20"/>
              </w:rPr>
            </w:pPr>
          </w:p>
          <w:p w14:paraId="4ED90B62" w14:textId="7B66449F" w:rsidR="00B53006" w:rsidRPr="00154588" w:rsidRDefault="00B53006" w:rsidP="008C12B4">
            <w:pPr>
              <w:rPr>
                <w:b/>
                <w:sz w:val="20"/>
                <w:szCs w:val="20"/>
              </w:rPr>
            </w:pPr>
            <w:r w:rsidRPr="00154588">
              <w:rPr>
                <w:b/>
                <w:sz w:val="20"/>
                <w:szCs w:val="20"/>
              </w:rPr>
              <w:t>Vânzarea datoriilor eligibile subordonate către clienții de retail</w:t>
            </w:r>
          </w:p>
        </w:tc>
        <w:tc>
          <w:tcPr>
            <w:tcW w:w="4819" w:type="dxa"/>
          </w:tcPr>
          <w:p w14:paraId="6517078F" w14:textId="77777777" w:rsidR="00B53006" w:rsidRPr="00154588" w:rsidRDefault="00B53006" w:rsidP="008C12B4">
            <w:pPr>
              <w:jc w:val="both"/>
              <w:rPr>
                <w:bCs/>
                <w:sz w:val="20"/>
                <w:szCs w:val="20"/>
              </w:rPr>
            </w:pPr>
          </w:p>
        </w:tc>
        <w:tc>
          <w:tcPr>
            <w:tcW w:w="2552" w:type="dxa"/>
          </w:tcPr>
          <w:p w14:paraId="258ADF81" w14:textId="77777777" w:rsidR="00B53006" w:rsidRPr="00154588" w:rsidRDefault="00B53006" w:rsidP="008C12B4">
            <w:pPr>
              <w:jc w:val="both"/>
              <w:rPr>
                <w:bCs/>
                <w:sz w:val="20"/>
                <w:szCs w:val="20"/>
              </w:rPr>
            </w:pPr>
          </w:p>
        </w:tc>
        <w:tc>
          <w:tcPr>
            <w:tcW w:w="3118" w:type="dxa"/>
          </w:tcPr>
          <w:p w14:paraId="5BAD2629" w14:textId="5F8FCCC9" w:rsidR="00B53006" w:rsidRPr="00154588" w:rsidRDefault="00B53006" w:rsidP="008C12B4">
            <w:pPr>
              <w:jc w:val="both"/>
              <w:rPr>
                <w:bCs/>
                <w:sz w:val="20"/>
                <w:szCs w:val="20"/>
              </w:rPr>
            </w:pPr>
            <w:r w:rsidRPr="00154588">
              <w:rPr>
                <w:bCs/>
                <w:sz w:val="20"/>
                <w:szCs w:val="20"/>
              </w:rPr>
              <w:t>A fost selectată doar o opțiune din articolul 44a care se va aplica la nivel național</w:t>
            </w:r>
          </w:p>
        </w:tc>
      </w:tr>
      <w:tr w:rsidR="00B53006" w:rsidRPr="00154588" w14:paraId="77CF5B13" w14:textId="77777777" w:rsidTr="00D15C1B">
        <w:trPr>
          <w:jc w:val="center"/>
        </w:trPr>
        <w:tc>
          <w:tcPr>
            <w:tcW w:w="4957" w:type="dxa"/>
            <w:gridSpan w:val="2"/>
          </w:tcPr>
          <w:p w14:paraId="2A57E0B7" w14:textId="77777777" w:rsidR="00B53006" w:rsidRPr="00154588" w:rsidRDefault="00B53006" w:rsidP="008C12B4">
            <w:pPr>
              <w:rPr>
                <w:bCs/>
                <w:sz w:val="20"/>
                <w:szCs w:val="20"/>
              </w:rPr>
            </w:pPr>
            <w:r w:rsidRPr="00154588">
              <w:rPr>
                <w:bCs/>
                <w:sz w:val="20"/>
                <w:szCs w:val="20"/>
              </w:rPr>
              <w:t>(1)   Statele membre se asigură că un vânzător de datorii eligibile care îndeplinește toate condițiile menționate la articolul 72a din Regulamentul (UE) nr. 575/2013, cu excepția articolului 72a alineatul (1) litera (b) și a articolului 72b alineatele (3)-(5) din regulamentul respectiv, vinde aceste datorii unui client de retail, astfel cum este definit la articolul 4 alineatul (1) punctul 11 din Directiva 2014/65/UE, numai în cazul în care sunt îndeplinite toate condițiile de mai jos:</w:t>
            </w:r>
          </w:p>
          <w:p w14:paraId="4278DA05" w14:textId="77777777" w:rsidR="00B53006" w:rsidRPr="00154588" w:rsidRDefault="00B53006" w:rsidP="008C12B4">
            <w:pPr>
              <w:rPr>
                <w:bCs/>
                <w:sz w:val="20"/>
                <w:szCs w:val="20"/>
              </w:rPr>
            </w:pPr>
          </w:p>
          <w:p w14:paraId="2E197C07" w14:textId="4427B5DE" w:rsidR="00B53006" w:rsidRPr="00154588" w:rsidRDefault="00B53006" w:rsidP="008C12B4">
            <w:pPr>
              <w:rPr>
                <w:bCs/>
                <w:sz w:val="20"/>
                <w:szCs w:val="20"/>
              </w:rPr>
            </w:pPr>
            <w:r w:rsidRPr="00154588">
              <w:rPr>
                <w:bCs/>
                <w:sz w:val="20"/>
                <w:szCs w:val="20"/>
              </w:rPr>
              <w:lastRenderedPageBreak/>
              <w:t>(a) vânzătorul a efectuat un test de adecvare în conformitate cu articolul 25 alineatul (2) din Directiva 2014/65/UE;</w:t>
            </w:r>
          </w:p>
          <w:p w14:paraId="22B7F202" w14:textId="77777777" w:rsidR="00B53006" w:rsidRPr="00154588" w:rsidRDefault="00B53006" w:rsidP="008C12B4">
            <w:pPr>
              <w:rPr>
                <w:bCs/>
                <w:sz w:val="20"/>
                <w:szCs w:val="20"/>
              </w:rPr>
            </w:pPr>
          </w:p>
          <w:p w14:paraId="7FF2245D" w14:textId="3AC7D7ED" w:rsidR="00B53006" w:rsidRPr="00154588" w:rsidRDefault="00B53006" w:rsidP="008C12B4">
            <w:pPr>
              <w:rPr>
                <w:bCs/>
                <w:sz w:val="20"/>
                <w:szCs w:val="20"/>
              </w:rPr>
            </w:pPr>
            <w:r w:rsidRPr="00154588">
              <w:rPr>
                <w:bCs/>
                <w:sz w:val="20"/>
                <w:szCs w:val="20"/>
              </w:rPr>
              <w:t>(b) vânzătorul este convins, pe baza testului menționat la litera (a), că astfel de datorii eligibile sunt adecvate pentru clientul de retail respectiv;</w:t>
            </w:r>
          </w:p>
          <w:p w14:paraId="0769F681" w14:textId="77777777" w:rsidR="00B53006" w:rsidRPr="00154588" w:rsidRDefault="00B53006" w:rsidP="008C12B4">
            <w:pPr>
              <w:rPr>
                <w:bCs/>
                <w:sz w:val="20"/>
                <w:szCs w:val="20"/>
              </w:rPr>
            </w:pPr>
          </w:p>
          <w:p w14:paraId="4E46E312" w14:textId="646CBE27" w:rsidR="00B53006" w:rsidRPr="00154588" w:rsidRDefault="00B53006" w:rsidP="008C12B4">
            <w:pPr>
              <w:rPr>
                <w:bCs/>
                <w:sz w:val="20"/>
                <w:szCs w:val="20"/>
              </w:rPr>
            </w:pPr>
            <w:r w:rsidRPr="00154588">
              <w:rPr>
                <w:bCs/>
                <w:sz w:val="20"/>
                <w:szCs w:val="20"/>
              </w:rPr>
              <w:t>(c) vânzătorul demonstrează caracterul adecvat în conformitate cu articolul 25 alineatul (6) din Directiva 2014/65/UE.</w:t>
            </w:r>
          </w:p>
          <w:p w14:paraId="74AB230E" w14:textId="77777777" w:rsidR="00B53006" w:rsidRPr="00154588" w:rsidRDefault="00B53006" w:rsidP="008C12B4">
            <w:pPr>
              <w:rPr>
                <w:bCs/>
                <w:sz w:val="20"/>
                <w:szCs w:val="20"/>
              </w:rPr>
            </w:pPr>
          </w:p>
          <w:p w14:paraId="6D007F06" w14:textId="271F3E70" w:rsidR="00B53006" w:rsidRPr="00154588" w:rsidRDefault="00B53006" w:rsidP="008C12B4">
            <w:pPr>
              <w:rPr>
                <w:bCs/>
                <w:sz w:val="20"/>
                <w:szCs w:val="20"/>
              </w:rPr>
            </w:pPr>
            <w:r w:rsidRPr="00154588">
              <w:rPr>
                <w:bCs/>
                <w:sz w:val="20"/>
                <w:szCs w:val="20"/>
              </w:rPr>
              <w:t>În pofida primului paragraf, statele membre pot prevedea că condițiile prevăzute la literele (a)-(c) din respectivul paragraf se aplică vânzătorilor de alte instrumente care se califică drept fonduri proprii sau datorii care pot face obiectul recapitalizării interne.</w:t>
            </w:r>
          </w:p>
        </w:tc>
        <w:tc>
          <w:tcPr>
            <w:tcW w:w="4819" w:type="dxa"/>
          </w:tcPr>
          <w:p w14:paraId="4AD06502" w14:textId="77777777" w:rsidR="00B53006" w:rsidRPr="00154588" w:rsidRDefault="00B53006" w:rsidP="008C12B4">
            <w:pPr>
              <w:jc w:val="both"/>
              <w:rPr>
                <w:sz w:val="20"/>
                <w:szCs w:val="20"/>
              </w:rPr>
            </w:pPr>
            <w:r w:rsidRPr="00154588">
              <w:rPr>
                <w:b/>
                <w:bCs/>
                <w:sz w:val="20"/>
                <w:szCs w:val="20"/>
              </w:rPr>
              <w:lastRenderedPageBreak/>
              <w:t>Articolul 167</w:t>
            </w:r>
            <w:r w:rsidRPr="00154588">
              <w:rPr>
                <w:b/>
                <w:bCs/>
                <w:sz w:val="20"/>
                <w:szCs w:val="20"/>
                <w:vertAlign w:val="superscript"/>
              </w:rPr>
              <w:t>1</w:t>
            </w:r>
            <w:r w:rsidRPr="00154588">
              <w:rPr>
                <w:b/>
                <w:bCs/>
                <w:sz w:val="20"/>
                <w:szCs w:val="20"/>
              </w:rPr>
              <w:t>.</w:t>
            </w:r>
            <w:r w:rsidRPr="00154588">
              <w:rPr>
                <w:sz w:val="20"/>
                <w:szCs w:val="20"/>
              </w:rPr>
              <w:t> – Un v</w:t>
            </w:r>
            <w:r w:rsidRPr="00154588">
              <w:rPr>
                <w:sz w:val="20"/>
                <w:szCs w:val="20"/>
                <w:lang w:val="ro-MD"/>
              </w:rPr>
              <w:t>ânzător</w:t>
            </w:r>
            <w:r w:rsidRPr="00154588">
              <w:rPr>
                <w:sz w:val="20"/>
                <w:szCs w:val="20"/>
              </w:rPr>
              <w:t xml:space="preserve"> de datorii eligibile care îndeplinește toate condițiile prevăzute </w:t>
            </w:r>
            <w:bookmarkStart w:id="51" w:name="_Hlk219106616"/>
            <w:bookmarkStart w:id="52" w:name="_Hlk223361841"/>
            <w:r w:rsidRPr="00154588">
              <w:rPr>
                <w:sz w:val="20"/>
                <w:szCs w:val="20"/>
              </w:rPr>
              <w:t xml:space="preserve">în reglementările  Băncii Naționale a Moldovei emise în aplicarea art.60, 61 și 62 din Legea nr.202/2017 </w:t>
            </w:r>
            <w:bookmarkEnd w:id="51"/>
            <w:bookmarkEnd w:id="52"/>
            <w:r w:rsidRPr="00154588">
              <w:rPr>
                <w:sz w:val="20"/>
                <w:szCs w:val="20"/>
              </w:rPr>
              <w:t>poate vinde acele datorii unui client obișnuit, astfel cum este definit și evaluat conform Legii nr. 171/2012 privind piața de capital, numai dacă suma nominală minimă a unui asemenea instrument de creanță este de cel puțin 50 000 de euro, echivalentul în lei, calculată la cursul oficial stabilit de Banca Națională a Moldovei la data vânzării.</w:t>
            </w:r>
          </w:p>
          <w:p w14:paraId="37BFCC54" w14:textId="77777777" w:rsidR="00B53006" w:rsidRPr="00154588" w:rsidRDefault="00B53006" w:rsidP="008C12B4">
            <w:pPr>
              <w:ind w:firstLine="567"/>
              <w:jc w:val="both"/>
              <w:rPr>
                <w:sz w:val="20"/>
                <w:szCs w:val="20"/>
              </w:rPr>
            </w:pPr>
            <w:r w:rsidRPr="00154588">
              <w:rPr>
                <w:b/>
                <w:bCs/>
                <w:sz w:val="20"/>
                <w:szCs w:val="20"/>
              </w:rPr>
              <w:lastRenderedPageBreak/>
              <w:t>Articolul 167</w:t>
            </w:r>
            <w:r w:rsidRPr="00154588">
              <w:rPr>
                <w:b/>
                <w:bCs/>
                <w:sz w:val="20"/>
                <w:szCs w:val="20"/>
                <w:vertAlign w:val="superscript"/>
              </w:rPr>
              <w:t>2</w:t>
            </w:r>
            <w:r w:rsidRPr="00154588">
              <w:rPr>
                <w:b/>
                <w:bCs/>
                <w:sz w:val="20"/>
                <w:szCs w:val="20"/>
              </w:rPr>
              <w:t>.</w:t>
            </w:r>
            <w:r w:rsidRPr="00154588">
              <w:rPr>
                <w:sz w:val="20"/>
                <w:szCs w:val="20"/>
              </w:rPr>
              <w:t> – Prevederile articolului 167</w:t>
            </w:r>
            <w:r w:rsidRPr="00154588">
              <w:rPr>
                <w:sz w:val="20"/>
                <w:szCs w:val="20"/>
                <w:vertAlign w:val="superscript"/>
              </w:rPr>
              <w:t>1</w:t>
            </w:r>
            <w:r w:rsidRPr="00154588">
              <w:rPr>
                <w:sz w:val="20"/>
                <w:szCs w:val="20"/>
              </w:rPr>
              <w:t> nu se aplică datoriilor emise înainte de data aplicării reglementărilor emise în temeiul art. 164.</w:t>
            </w:r>
          </w:p>
          <w:p w14:paraId="540E7ABF" w14:textId="77777777" w:rsidR="00B53006" w:rsidRPr="00154588" w:rsidRDefault="00B53006" w:rsidP="008C12B4">
            <w:pPr>
              <w:ind w:firstLine="567"/>
              <w:jc w:val="both"/>
              <w:rPr>
                <w:sz w:val="20"/>
                <w:szCs w:val="20"/>
              </w:rPr>
            </w:pPr>
            <w:r w:rsidRPr="00154588">
              <w:rPr>
                <w:b/>
                <w:bCs/>
                <w:sz w:val="20"/>
                <w:szCs w:val="20"/>
              </w:rPr>
              <w:t>Articolul 167</w:t>
            </w:r>
            <w:r w:rsidRPr="00154588">
              <w:rPr>
                <w:b/>
                <w:bCs/>
                <w:sz w:val="20"/>
                <w:szCs w:val="20"/>
                <w:vertAlign w:val="superscript"/>
              </w:rPr>
              <w:t>3</w:t>
            </w:r>
            <w:r w:rsidRPr="00154588">
              <w:rPr>
                <w:b/>
                <w:bCs/>
                <w:sz w:val="20"/>
                <w:szCs w:val="20"/>
              </w:rPr>
              <w:t>.</w:t>
            </w:r>
            <w:r w:rsidRPr="00154588">
              <w:rPr>
                <w:sz w:val="20"/>
                <w:szCs w:val="20"/>
              </w:rPr>
              <w:t> – Comisia Națională a Pieței Financiare și Banca Națională a Moldovei își comunică reciproc constatările privind posibilele încălcări ale Legii nr. 171/2012 privind piața de capital, referitoare la vânzările de instrumente prevăzute la art. 167</w:t>
            </w:r>
            <w:r w:rsidRPr="00154588">
              <w:rPr>
                <w:sz w:val="20"/>
                <w:szCs w:val="20"/>
                <w:vertAlign w:val="superscript"/>
              </w:rPr>
              <w:t>1</w:t>
            </w:r>
            <w:r w:rsidRPr="00154588">
              <w:rPr>
                <w:sz w:val="20"/>
                <w:szCs w:val="20"/>
              </w:rPr>
              <w:t>.</w:t>
            </w:r>
          </w:p>
          <w:p w14:paraId="340B1F6C" w14:textId="77777777" w:rsidR="00B53006" w:rsidRPr="00154588" w:rsidRDefault="00B53006" w:rsidP="008C12B4">
            <w:pPr>
              <w:jc w:val="both"/>
              <w:rPr>
                <w:bCs/>
                <w:sz w:val="20"/>
                <w:szCs w:val="20"/>
              </w:rPr>
            </w:pPr>
          </w:p>
        </w:tc>
        <w:tc>
          <w:tcPr>
            <w:tcW w:w="2552" w:type="dxa"/>
          </w:tcPr>
          <w:p w14:paraId="73829542" w14:textId="0CBA88B9" w:rsidR="00B53006" w:rsidRPr="00154588" w:rsidRDefault="00B53006" w:rsidP="008C12B4">
            <w:pPr>
              <w:jc w:val="both"/>
              <w:rPr>
                <w:bCs/>
                <w:sz w:val="20"/>
                <w:szCs w:val="20"/>
              </w:rPr>
            </w:pPr>
            <w:r w:rsidRPr="00154588">
              <w:rPr>
                <w:bCs/>
                <w:sz w:val="20"/>
                <w:szCs w:val="20"/>
              </w:rPr>
              <w:lastRenderedPageBreak/>
              <w:t>Compatibil</w:t>
            </w:r>
          </w:p>
        </w:tc>
        <w:tc>
          <w:tcPr>
            <w:tcW w:w="3118" w:type="dxa"/>
          </w:tcPr>
          <w:p w14:paraId="73A4FC42" w14:textId="15685BA0" w:rsidR="00B53006" w:rsidRPr="00154588" w:rsidRDefault="00B53006" w:rsidP="008C12B4">
            <w:pPr>
              <w:jc w:val="both"/>
              <w:rPr>
                <w:bCs/>
                <w:sz w:val="20"/>
                <w:szCs w:val="20"/>
              </w:rPr>
            </w:pPr>
          </w:p>
        </w:tc>
      </w:tr>
      <w:tr w:rsidR="00F4284C" w:rsidRPr="00154588" w14:paraId="0A409A8B" w14:textId="77777777" w:rsidTr="00D15C1B">
        <w:trPr>
          <w:jc w:val="center"/>
        </w:trPr>
        <w:tc>
          <w:tcPr>
            <w:tcW w:w="4957" w:type="dxa"/>
            <w:gridSpan w:val="2"/>
          </w:tcPr>
          <w:p w14:paraId="282CF904" w14:textId="77777777" w:rsidR="00F4284C" w:rsidRPr="00154588" w:rsidRDefault="00F4284C" w:rsidP="008C12B4">
            <w:pPr>
              <w:jc w:val="both"/>
              <w:rPr>
                <w:bCs/>
                <w:sz w:val="20"/>
                <w:szCs w:val="20"/>
              </w:rPr>
            </w:pPr>
            <w:r w:rsidRPr="00154588">
              <w:rPr>
                <w:bCs/>
                <w:sz w:val="20"/>
                <w:szCs w:val="20"/>
              </w:rPr>
              <w:t>(2)   Atunci când sunt îndeplinite condițiile prevăzute la alineatul (1), iar portofoliul de instrumente financiare al clientului de retail în cauză nu depășește 500 000  EUR la momentul achiziționării, vânzătorul se asigură, pe baza informațiilor prezentate de clientul de retail în conformitate cu alineatul (3), că următoarele două condiții sunt îndeplinite la momentul achiziționării:</w:t>
            </w:r>
          </w:p>
          <w:p w14:paraId="49891F92" w14:textId="77777777" w:rsidR="00F4284C" w:rsidRPr="00154588" w:rsidRDefault="00F4284C" w:rsidP="008C12B4">
            <w:pPr>
              <w:jc w:val="both"/>
              <w:rPr>
                <w:bCs/>
                <w:sz w:val="20"/>
                <w:szCs w:val="20"/>
              </w:rPr>
            </w:pPr>
          </w:p>
          <w:p w14:paraId="7173F679" w14:textId="242F66D8" w:rsidR="00F4284C" w:rsidRPr="00154588" w:rsidRDefault="00F4284C" w:rsidP="008C12B4">
            <w:pPr>
              <w:jc w:val="both"/>
              <w:rPr>
                <w:bCs/>
                <w:sz w:val="20"/>
                <w:szCs w:val="20"/>
              </w:rPr>
            </w:pPr>
            <w:r w:rsidRPr="00154588">
              <w:rPr>
                <w:bCs/>
                <w:sz w:val="20"/>
                <w:szCs w:val="20"/>
              </w:rPr>
              <w:t>(a) clientul de retail nu investește în datoriile menționate la alineatul (1) un cuantum total mai mare de 10 % din portofoliul de instrumente financiare al clientului respectiv;</w:t>
            </w:r>
          </w:p>
          <w:p w14:paraId="08C36171" w14:textId="77777777" w:rsidR="00F4284C" w:rsidRPr="00154588" w:rsidRDefault="00F4284C" w:rsidP="008C12B4">
            <w:pPr>
              <w:jc w:val="both"/>
              <w:rPr>
                <w:bCs/>
                <w:sz w:val="20"/>
                <w:szCs w:val="20"/>
              </w:rPr>
            </w:pPr>
          </w:p>
          <w:p w14:paraId="3A351B3B" w14:textId="71F7BB28" w:rsidR="00F4284C" w:rsidRPr="00154588" w:rsidRDefault="00F4284C" w:rsidP="008C12B4">
            <w:pPr>
              <w:jc w:val="both"/>
              <w:rPr>
                <w:bCs/>
                <w:sz w:val="20"/>
                <w:szCs w:val="20"/>
              </w:rPr>
            </w:pPr>
            <w:r w:rsidRPr="00154588">
              <w:rPr>
                <w:bCs/>
                <w:sz w:val="20"/>
                <w:szCs w:val="20"/>
              </w:rPr>
              <w:t>(b) cuantumul inițial investit într-unul sau mai multe instrumente de datorie menționate la alineatul (1) este de cel puțin 10 000  EUR.</w:t>
            </w:r>
          </w:p>
        </w:tc>
        <w:tc>
          <w:tcPr>
            <w:tcW w:w="4819" w:type="dxa"/>
          </w:tcPr>
          <w:p w14:paraId="3661804E" w14:textId="77777777" w:rsidR="00F4284C" w:rsidRPr="00154588" w:rsidRDefault="00F4284C" w:rsidP="008C12B4">
            <w:pPr>
              <w:jc w:val="both"/>
              <w:rPr>
                <w:bCs/>
                <w:sz w:val="20"/>
                <w:szCs w:val="20"/>
              </w:rPr>
            </w:pPr>
          </w:p>
        </w:tc>
        <w:tc>
          <w:tcPr>
            <w:tcW w:w="2552" w:type="dxa"/>
          </w:tcPr>
          <w:p w14:paraId="415CC200" w14:textId="128422A9" w:rsidR="00F4284C" w:rsidRPr="00154588" w:rsidRDefault="00F4284C" w:rsidP="008C12B4">
            <w:pPr>
              <w:jc w:val="both"/>
              <w:rPr>
                <w:bCs/>
                <w:sz w:val="20"/>
                <w:szCs w:val="20"/>
              </w:rPr>
            </w:pPr>
            <w:r w:rsidRPr="00154588">
              <w:rPr>
                <w:sz w:val="20"/>
                <w:szCs w:val="20"/>
              </w:rPr>
              <w:t>Prevederi UE neaplicabile</w:t>
            </w:r>
          </w:p>
        </w:tc>
        <w:tc>
          <w:tcPr>
            <w:tcW w:w="3118" w:type="dxa"/>
          </w:tcPr>
          <w:p w14:paraId="1E8B4DC6" w14:textId="77777777" w:rsidR="00F4284C" w:rsidRPr="00154588" w:rsidRDefault="00F4284C" w:rsidP="008C12B4">
            <w:pPr>
              <w:jc w:val="both"/>
              <w:rPr>
                <w:bCs/>
                <w:sz w:val="20"/>
                <w:szCs w:val="20"/>
              </w:rPr>
            </w:pPr>
          </w:p>
        </w:tc>
      </w:tr>
      <w:tr w:rsidR="00F4284C" w:rsidRPr="00154588" w14:paraId="706EE228" w14:textId="77777777" w:rsidTr="00D15C1B">
        <w:trPr>
          <w:jc w:val="center"/>
        </w:trPr>
        <w:tc>
          <w:tcPr>
            <w:tcW w:w="4957" w:type="dxa"/>
            <w:gridSpan w:val="2"/>
          </w:tcPr>
          <w:p w14:paraId="46931F56" w14:textId="61C86AC4" w:rsidR="00F4284C" w:rsidRPr="00154588" w:rsidRDefault="00F4284C" w:rsidP="008C12B4">
            <w:pPr>
              <w:jc w:val="both"/>
              <w:rPr>
                <w:bCs/>
                <w:sz w:val="20"/>
                <w:szCs w:val="20"/>
              </w:rPr>
            </w:pPr>
            <w:r w:rsidRPr="00154588">
              <w:rPr>
                <w:bCs/>
                <w:sz w:val="20"/>
                <w:szCs w:val="20"/>
              </w:rPr>
              <w:t>(3)   Clientul de retail prezintă vânzătorului informații exacte privind portofoliul său de instrumente financiare, inclusiv privind orice investiții în datoriile menționate la alineatul (1).</w:t>
            </w:r>
          </w:p>
        </w:tc>
        <w:tc>
          <w:tcPr>
            <w:tcW w:w="4819" w:type="dxa"/>
          </w:tcPr>
          <w:p w14:paraId="6D42BE48" w14:textId="77777777" w:rsidR="00F4284C" w:rsidRPr="00154588" w:rsidRDefault="00F4284C" w:rsidP="008C12B4">
            <w:pPr>
              <w:jc w:val="both"/>
              <w:rPr>
                <w:bCs/>
                <w:sz w:val="20"/>
                <w:szCs w:val="20"/>
              </w:rPr>
            </w:pPr>
          </w:p>
        </w:tc>
        <w:tc>
          <w:tcPr>
            <w:tcW w:w="2552" w:type="dxa"/>
          </w:tcPr>
          <w:p w14:paraId="4B31B923" w14:textId="36F1AB87" w:rsidR="00F4284C" w:rsidRPr="00154588" w:rsidRDefault="00F4284C" w:rsidP="008C12B4">
            <w:pPr>
              <w:jc w:val="both"/>
              <w:rPr>
                <w:bCs/>
                <w:sz w:val="20"/>
                <w:szCs w:val="20"/>
              </w:rPr>
            </w:pPr>
            <w:r w:rsidRPr="00154588">
              <w:rPr>
                <w:sz w:val="20"/>
                <w:szCs w:val="20"/>
              </w:rPr>
              <w:t>Prevederi UE neaplicabile</w:t>
            </w:r>
          </w:p>
        </w:tc>
        <w:tc>
          <w:tcPr>
            <w:tcW w:w="3118" w:type="dxa"/>
          </w:tcPr>
          <w:p w14:paraId="4D9844C9" w14:textId="77777777" w:rsidR="00F4284C" w:rsidRPr="00154588" w:rsidRDefault="00F4284C" w:rsidP="008C12B4">
            <w:pPr>
              <w:jc w:val="both"/>
              <w:rPr>
                <w:bCs/>
                <w:sz w:val="20"/>
                <w:szCs w:val="20"/>
              </w:rPr>
            </w:pPr>
          </w:p>
        </w:tc>
      </w:tr>
      <w:tr w:rsidR="00F4284C" w:rsidRPr="00154588" w14:paraId="17D50693" w14:textId="77777777" w:rsidTr="00D15C1B">
        <w:trPr>
          <w:jc w:val="center"/>
        </w:trPr>
        <w:tc>
          <w:tcPr>
            <w:tcW w:w="4957" w:type="dxa"/>
            <w:gridSpan w:val="2"/>
          </w:tcPr>
          <w:p w14:paraId="552FE481" w14:textId="53E3BE3E" w:rsidR="00F4284C" w:rsidRPr="00154588" w:rsidRDefault="00F4284C" w:rsidP="008C12B4">
            <w:pPr>
              <w:jc w:val="both"/>
              <w:rPr>
                <w:bCs/>
                <w:sz w:val="20"/>
                <w:szCs w:val="20"/>
              </w:rPr>
            </w:pPr>
            <w:r w:rsidRPr="00154588">
              <w:rPr>
                <w:bCs/>
                <w:sz w:val="20"/>
                <w:szCs w:val="20"/>
              </w:rPr>
              <w:t>(4)   În sensul alineatelor (2) și (3), în portofoliul de instrumente financiare al clientului de retail sunt incluse depozitele în numerar și instrumentele financiare, dar sunt excluse orice instrumente financiare depuse ca colateral.</w:t>
            </w:r>
          </w:p>
        </w:tc>
        <w:tc>
          <w:tcPr>
            <w:tcW w:w="4819" w:type="dxa"/>
          </w:tcPr>
          <w:p w14:paraId="188EAE90" w14:textId="77777777" w:rsidR="00F4284C" w:rsidRPr="00154588" w:rsidRDefault="00F4284C" w:rsidP="008C12B4">
            <w:pPr>
              <w:jc w:val="both"/>
              <w:rPr>
                <w:bCs/>
                <w:sz w:val="20"/>
                <w:szCs w:val="20"/>
              </w:rPr>
            </w:pPr>
          </w:p>
        </w:tc>
        <w:tc>
          <w:tcPr>
            <w:tcW w:w="2552" w:type="dxa"/>
          </w:tcPr>
          <w:p w14:paraId="7F5A6C65" w14:textId="57CBFFA8" w:rsidR="00F4284C" w:rsidRPr="00154588" w:rsidRDefault="00F4284C" w:rsidP="008C12B4">
            <w:pPr>
              <w:jc w:val="both"/>
              <w:rPr>
                <w:bCs/>
                <w:sz w:val="20"/>
                <w:szCs w:val="20"/>
              </w:rPr>
            </w:pPr>
            <w:r w:rsidRPr="00154588">
              <w:rPr>
                <w:sz w:val="20"/>
                <w:szCs w:val="20"/>
              </w:rPr>
              <w:t>Prevederi UE neaplicabile</w:t>
            </w:r>
          </w:p>
        </w:tc>
        <w:tc>
          <w:tcPr>
            <w:tcW w:w="3118" w:type="dxa"/>
          </w:tcPr>
          <w:p w14:paraId="4AFD51DB" w14:textId="77777777" w:rsidR="00F4284C" w:rsidRPr="00154588" w:rsidRDefault="00F4284C" w:rsidP="008C12B4">
            <w:pPr>
              <w:jc w:val="both"/>
              <w:rPr>
                <w:bCs/>
                <w:sz w:val="20"/>
                <w:szCs w:val="20"/>
              </w:rPr>
            </w:pPr>
          </w:p>
        </w:tc>
      </w:tr>
      <w:tr w:rsidR="00F4284C" w:rsidRPr="00154588" w14:paraId="45D9FC03" w14:textId="77777777" w:rsidTr="00D15C1B">
        <w:trPr>
          <w:jc w:val="center"/>
        </w:trPr>
        <w:tc>
          <w:tcPr>
            <w:tcW w:w="4957" w:type="dxa"/>
            <w:gridSpan w:val="2"/>
          </w:tcPr>
          <w:p w14:paraId="298FE32C" w14:textId="5D51BD48" w:rsidR="00F4284C" w:rsidRPr="00154588" w:rsidRDefault="00F4284C" w:rsidP="008C12B4">
            <w:pPr>
              <w:jc w:val="both"/>
              <w:rPr>
                <w:bCs/>
                <w:sz w:val="20"/>
                <w:szCs w:val="20"/>
              </w:rPr>
            </w:pPr>
            <w:r w:rsidRPr="00154588">
              <w:rPr>
                <w:bCs/>
                <w:sz w:val="20"/>
                <w:szCs w:val="20"/>
              </w:rPr>
              <w:t xml:space="preserve">(5)   Fără a aduce atingere articolului 25 din Directiva 2014/65/UE și prin derogare de la cerințele prevăzute la alineatele (1)-(4) de la prezentul articol, statele </w:t>
            </w:r>
            <w:r w:rsidRPr="00154588">
              <w:rPr>
                <w:bCs/>
                <w:sz w:val="20"/>
                <w:szCs w:val="20"/>
              </w:rPr>
              <w:lastRenderedPageBreak/>
              <w:t>membre pot stabili un cuantum nominal minim de cel puțin 50 000  EUR pentru datoriile menționate la alineatul (1), luând în considerare condițiile de piață și practicile din statul membru respectiv, precum și măsurile de protecție a consumatorilor existente în jurisdicția statului membru respectiv.</w:t>
            </w:r>
          </w:p>
        </w:tc>
        <w:tc>
          <w:tcPr>
            <w:tcW w:w="4819" w:type="dxa"/>
          </w:tcPr>
          <w:p w14:paraId="0970E7EB" w14:textId="77777777" w:rsidR="00F4284C" w:rsidRPr="00154588" w:rsidRDefault="00F4284C" w:rsidP="008C12B4">
            <w:pPr>
              <w:jc w:val="both"/>
              <w:rPr>
                <w:bCs/>
                <w:sz w:val="20"/>
                <w:szCs w:val="20"/>
              </w:rPr>
            </w:pPr>
          </w:p>
        </w:tc>
        <w:tc>
          <w:tcPr>
            <w:tcW w:w="2552" w:type="dxa"/>
          </w:tcPr>
          <w:p w14:paraId="387E551B" w14:textId="5095865C" w:rsidR="00F4284C" w:rsidRPr="00154588" w:rsidRDefault="00F4284C" w:rsidP="008C12B4">
            <w:pPr>
              <w:jc w:val="both"/>
              <w:rPr>
                <w:bCs/>
                <w:sz w:val="20"/>
                <w:szCs w:val="20"/>
              </w:rPr>
            </w:pPr>
            <w:r w:rsidRPr="00154588">
              <w:rPr>
                <w:sz w:val="20"/>
                <w:szCs w:val="20"/>
              </w:rPr>
              <w:t>Prevederi UE neaplicabile</w:t>
            </w:r>
          </w:p>
        </w:tc>
        <w:tc>
          <w:tcPr>
            <w:tcW w:w="3118" w:type="dxa"/>
          </w:tcPr>
          <w:p w14:paraId="6193B02B" w14:textId="77777777" w:rsidR="00F4284C" w:rsidRPr="00154588" w:rsidRDefault="00F4284C" w:rsidP="008C12B4">
            <w:pPr>
              <w:jc w:val="both"/>
              <w:rPr>
                <w:bCs/>
                <w:sz w:val="20"/>
                <w:szCs w:val="20"/>
              </w:rPr>
            </w:pPr>
          </w:p>
        </w:tc>
      </w:tr>
      <w:tr w:rsidR="00F4284C" w:rsidRPr="00154588" w14:paraId="2E2207D0" w14:textId="77777777" w:rsidTr="00D15C1B">
        <w:trPr>
          <w:jc w:val="center"/>
        </w:trPr>
        <w:tc>
          <w:tcPr>
            <w:tcW w:w="4957" w:type="dxa"/>
            <w:gridSpan w:val="2"/>
          </w:tcPr>
          <w:p w14:paraId="25E11627" w14:textId="38AAAFC1" w:rsidR="00F4284C" w:rsidRPr="00154588" w:rsidRDefault="00F4284C" w:rsidP="008C12B4">
            <w:pPr>
              <w:jc w:val="both"/>
              <w:rPr>
                <w:bCs/>
                <w:sz w:val="20"/>
                <w:szCs w:val="20"/>
              </w:rPr>
            </w:pPr>
            <w:r w:rsidRPr="00154588">
              <w:rPr>
                <w:bCs/>
                <w:sz w:val="20"/>
                <w:szCs w:val="20"/>
              </w:rPr>
              <w:t>(6)   În cazul în care valoarea totală a activelor entităților menționate la articolul 1 alineatul (1) care sunt stabilite într-un stat membru și fac obiectul cerinței menționate la articolul 45e nu depășește 50 de miliarde EUR, statul membru respectiv poate, prin derogare de la cerințele prevăzute la alineatele (1)-(5) de la prezentul articol, să aplice numai cerința prevăzută la alineatul (2) litera (b) de la prezentul articol.</w:t>
            </w:r>
          </w:p>
        </w:tc>
        <w:tc>
          <w:tcPr>
            <w:tcW w:w="4819" w:type="dxa"/>
          </w:tcPr>
          <w:p w14:paraId="08B57703" w14:textId="77777777" w:rsidR="00F4284C" w:rsidRPr="00154588" w:rsidRDefault="00F4284C" w:rsidP="008C12B4">
            <w:pPr>
              <w:jc w:val="both"/>
              <w:rPr>
                <w:bCs/>
                <w:sz w:val="20"/>
                <w:szCs w:val="20"/>
              </w:rPr>
            </w:pPr>
          </w:p>
        </w:tc>
        <w:tc>
          <w:tcPr>
            <w:tcW w:w="2552" w:type="dxa"/>
          </w:tcPr>
          <w:p w14:paraId="7944DBF8" w14:textId="183C4506" w:rsidR="00F4284C" w:rsidRPr="00154588" w:rsidRDefault="00F4284C" w:rsidP="008C12B4">
            <w:pPr>
              <w:jc w:val="both"/>
              <w:rPr>
                <w:bCs/>
                <w:sz w:val="20"/>
                <w:szCs w:val="20"/>
              </w:rPr>
            </w:pPr>
            <w:r w:rsidRPr="00154588">
              <w:rPr>
                <w:sz w:val="20"/>
                <w:szCs w:val="20"/>
              </w:rPr>
              <w:t>Prevederi UE neaplicabile</w:t>
            </w:r>
          </w:p>
        </w:tc>
        <w:tc>
          <w:tcPr>
            <w:tcW w:w="3118" w:type="dxa"/>
          </w:tcPr>
          <w:p w14:paraId="61B7A477" w14:textId="77777777" w:rsidR="00F4284C" w:rsidRPr="00154588" w:rsidRDefault="00F4284C" w:rsidP="008C12B4">
            <w:pPr>
              <w:jc w:val="both"/>
              <w:rPr>
                <w:bCs/>
                <w:sz w:val="20"/>
                <w:szCs w:val="20"/>
              </w:rPr>
            </w:pPr>
          </w:p>
        </w:tc>
      </w:tr>
      <w:tr w:rsidR="00F4284C" w:rsidRPr="00154588" w14:paraId="58D1D471" w14:textId="77777777" w:rsidTr="00D15C1B">
        <w:trPr>
          <w:jc w:val="center"/>
        </w:trPr>
        <w:tc>
          <w:tcPr>
            <w:tcW w:w="4957" w:type="dxa"/>
            <w:gridSpan w:val="2"/>
          </w:tcPr>
          <w:p w14:paraId="2F60FDAB" w14:textId="0737BBC8" w:rsidR="00F4284C" w:rsidRPr="00154588" w:rsidRDefault="00F4284C" w:rsidP="008C12B4">
            <w:pPr>
              <w:jc w:val="both"/>
              <w:rPr>
                <w:bCs/>
                <w:sz w:val="20"/>
                <w:szCs w:val="20"/>
              </w:rPr>
            </w:pPr>
            <w:r w:rsidRPr="00154588">
              <w:rPr>
                <w:bCs/>
                <w:sz w:val="20"/>
                <w:szCs w:val="20"/>
              </w:rPr>
              <w:t>(7)   Statele membre nu sunt obligate să aplice prezentul articol în cazul datoriilor menționate la alineatul (1) emise înainte de 28 decembrie 2020.</w:t>
            </w:r>
          </w:p>
        </w:tc>
        <w:tc>
          <w:tcPr>
            <w:tcW w:w="4819" w:type="dxa"/>
          </w:tcPr>
          <w:p w14:paraId="3DC997C8" w14:textId="77777777" w:rsidR="00F4284C" w:rsidRPr="00154588" w:rsidRDefault="00F4284C" w:rsidP="008C12B4">
            <w:pPr>
              <w:jc w:val="both"/>
              <w:rPr>
                <w:bCs/>
                <w:sz w:val="20"/>
                <w:szCs w:val="20"/>
              </w:rPr>
            </w:pPr>
          </w:p>
        </w:tc>
        <w:tc>
          <w:tcPr>
            <w:tcW w:w="2552" w:type="dxa"/>
          </w:tcPr>
          <w:p w14:paraId="56F5A34A" w14:textId="23A94D52" w:rsidR="00F4284C" w:rsidRPr="00154588" w:rsidRDefault="00F4284C" w:rsidP="008C12B4">
            <w:pPr>
              <w:jc w:val="both"/>
              <w:rPr>
                <w:bCs/>
                <w:sz w:val="20"/>
                <w:szCs w:val="20"/>
              </w:rPr>
            </w:pPr>
            <w:r w:rsidRPr="00154588">
              <w:rPr>
                <w:sz w:val="20"/>
                <w:szCs w:val="20"/>
              </w:rPr>
              <w:t>Prevederi UE neaplicabile</w:t>
            </w:r>
          </w:p>
        </w:tc>
        <w:tc>
          <w:tcPr>
            <w:tcW w:w="3118" w:type="dxa"/>
          </w:tcPr>
          <w:p w14:paraId="28862B9F" w14:textId="77777777" w:rsidR="00F4284C" w:rsidRPr="00154588" w:rsidRDefault="00F4284C" w:rsidP="008C12B4">
            <w:pPr>
              <w:jc w:val="both"/>
              <w:rPr>
                <w:bCs/>
                <w:sz w:val="20"/>
                <w:szCs w:val="20"/>
              </w:rPr>
            </w:pPr>
          </w:p>
        </w:tc>
      </w:tr>
      <w:tr w:rsidR="00F4284C" w:rsidRPr="00154588" w14:paraId="088C1513" w14:textId="77777777" w:rsidTr="00D15C1B">
        <w:trPr>
          <w:jc w:val="center"/>
        </w:trPr>
        <w:tc>
          <w:tcPr>
            <w:tcW w:w="4957" w:type="dxa"/>
            <w:gridSpan w:val="2"/>
          </w:tcPr>
          <w:p w14:paraId="67F45637" w14:textId="1638C0E0" w:rsidR="00F4284C" w:rsidRPr="00154588" w:rsidRDefault="00F4284C" w:rsidP="008C12B4">
            <w:pPr>
              <w:jc w:val="both"/>
              <w:rPr>
                <w:bCs/>
                <w:sz w:val="20"/>
                <w:szCs w:val="20"/>
              </w:rPr>
            </w:pPr>
            <w:r w:rsidRPr="00154588">
              <w:rPr>
                <w:bCs/>
                <w:sz w:val="20"/>
                <w:szCs w:val="20"/>
              </w:rPr>
              <w:t>(8) Până la 11 noiembrie 2027, ABE, în coordonare cu ESMA, prezintă Comisiei un raport privind aplicarea prezentului articol. Raportul respectiv compară măsurile adoptate de statele membre pentru a se conforma prezentului articol, analizează eficacitatea acestora în ceea ce privește protejarea clienților de retail și evaluează impactul acestora asupra operațiunilor transfrontaliere. Pe baza raportului respectiv, Comisia poate prezenta o propunere legislativă de modificare a prezentei directive.</w:t>
            </w:r>
          </w:p>
        </w:tc>
        <w:tc>
          <w:tcPr>
            <w:tcW w:w="4819" w:type="dxa"/>
          </w:tcPr>
          <w:p w14:paraId="239C5A64" w14:textId="77777777" w:rsidR="00F4284C" w:rsidRPr="00154588" w:rsidRDefault="00F4284C" w:rsidP="008C12B4">
            <w:pPr>
              <w:jc w:val="both"/>
              <w:rPr>
                <w:bCs/>
                <w:sz w:val="20"/>
                <w:szCs w:val="20"/>
              </w:rPr>
            </w:pPr>
          </w:p>
        </w:tc>
        <w:tc>
          <w:tcPr>
            <w:tcW w:w="2552" w:type="dxa"/>
          </w:tcPr>
          <w:p w14:paraId="40448313" w14:textId="7352BC33" w:rsidR="00F4284C" w:rsidRPr="00154588" w:rsidRDefault="00F4284C" w:rsidP="008C12B4">
            <w:pPr>
              <w:jc w:val="both"/>
              <w:rPr>
                <w:bCs/>
                <w:sz w:val="20"/>
                <w:szCs w:val="20"/>
              </w:rPr>
            </w:pPr>
            <w:r w:rsidRPr="00154588">
              <w:rPr>
                <w:sz w:val="20"/>
                <w:szCs w:val="20"/>
              </w:rPr>
              <w:t>Prevederi UE neaplicabile</w:t>
            </w:r>
          </w:p>
        </w:tc>
        <w:tc>
          <w:tcPr>
            <w:tcW w:w="3118" w:type="dxa"/>
          </w:tcPr>
          <w:p w14:paraId="1F653417" w14:textId="6B0B7B3C" w:rsidR="00F4284C" w:rsidRPr="00154588" w:rsidRDefault="00F4284C" w:rsidP="008C12B4">
            <w:pPr>
              <w:jc w:val="both"/>
              <w:rPr>
                <w:bCs/>
                <w:sz w:val="20"/>
                <w:szCs w:val="20"/>
              </w:rPr>
            </w:pPr>
            <w:r w:rsidRPr="00154588">
              <w:rPr>
                <w:sz w:val="20"/>
                <w:szCs w:val="20"/>
                <w:lang w:val="ro-MD"/>
              </w:rPr>
              <w:t>Prevederi care se referă la atribuțiile de reglementare ale autorităților europene.</w:t>
            </w:r>
          </w:p>
        </w:tc>
      </w:tr>
      <w:tr w:rsidR="00F4284C" w:rsidRPr="00154588" w14:paraId="533E27B8" w14:textId="77777777" w:rsidTr="00D15C1B">
        <w:trPr>
          <w:jc w:val="center"/>
        </w:trPr>
        <w:tc>
          <w:tcPr>
            <w:tcW w:w="4957" w:type="dxa"/>
            <w:gridSpan w:val="2"/>
          </w:tcPr>
          <w:p w14:paraId="3F1F836A" w14:textId="77777777" w:rsidR="00F4284C" w:rsidRPr="00154588" w:rsidRDefault="00F4284C" w:rsidP="008C12B4">
            <w:pPr>
              <w:jc w:val="center"/>
              <w:rPr>
                <w:b/>
                <w:sz w:val="20"/>
                <w:szCs w:val="20"/>
              </w:rPr>
            </w:pPr>
            <w:r w:rsidRPr="00154588">
              <w:rPr>
                <w:b/>
                <w:sz w:val="20"/>
                <w:szCs w:val="20"/>
              </w:rPr>
              <w:t>Subsecțiunea 2</w:t>
            </w:r>
          </w:p>
          <w:p w14:paraId="37015B4A" w14:textId="77777777" w:rsidR="00F4284C" w:rsidRPr="00154588" w:rsidRDefault="00F4284C" w:rsidP="008C12B4">
            <w:pPr>
              <w:jc w:val="center"/>
              <w:rPr>
                <w:b/>
                <w:sz w:val="20"/>
                <w:szCs w:val="20"/>
              </w:rPr>
            </w:pPr>
          </w:p>
          <w:p w14:paraId="1EA4450A" w14:textId="4A18014C" w:rsidR="00F4284C" w:rsidRPr="00154588" w:rsidRDefault="00F4284C" w:rsidP="008C12B4">
            <w:pPr>
              <w:jc w:val="center"/>
              <w:rPr>
                <w:bCs/>
                <w:sz w:val="20"/>
                <w:szCs w:val="20"/>
              </w:rPr>
            </w:pPr>
            <w:r w:rsidRPr="00154588">
              <w:rPr>
                <w:b/>
                <w:sz w:val="20"/>
                <w:szCs w:val="20"/>
              </w:rPr>
              <w:t>Cerință minimă privind fondurile proprii și pasivele eligibile</w:t>
            </w:r>
          </w:p>
        </w:tc>
        <w:tc>
          <w:tcPr>
            <w:tcW w:w="4819" w:type="dxa"/>
          </w:tcPr>
          <w:p w14:paraId="5B2F9DEC" w14:textId="77777777" w:rsidR="00F4284C" w:rsidRPr="00154588" w:rsidRDefault="00F4284C" w:rsidP="008C12B4">
            <w:pPr>
              <w:jc w:val="both"/>
              <w:rPr>
                <w:bCs/>
                <w:sz w:val="20"/>
                <w:szCs w:val="20"/>
              </w:rPr>
            </w:pPr>
          </w:p>
        </w:tc>
        <w:tc>
          <w:tcPr>
            <w:tcW w:w="2552" w:type="dxa"/>
          </w:tcPr>
          <w:p w14:paraId="0652B69F" w14:textId="77777777" w:rsidR="00F4284C" w:rsidRPr="00154588" w:rsidRDefault="00F4284C" w:rsidP="008C12B4">
            <w:pPr>
              <w:jc w:val="both"/>
              <w:rPr>
                <w:bCs/>
                <w:sz w:val="20"/>
                <w:szCs w:val="20"/>
              </w:rPr>
            </w:pPr>
          </w:p>
        </w:tc>
        <w:tc>
          <w:tcPr>
            <w:tcW w:w="3118" w:type="dxa"/>
          </w:tcPr>
          <w:p w14:paraId="2E34A337" w14:textId="77777777" w:rsidR="00F4284C" w:rsidRPr="00154588" w:rsidRDefault="00F4284C" w:rsidP="008C12B4">
            <w:pPr>
              <w:jc w:val="both"/>
              <w:rPr>
                <w:bCs/>
                <w:sz w:val="20"/>
                <w:szCs w:val="20"/>
              </w:rPr>
            </w:pPr>
          </w:p>
        </w:tc>
      </w:tr>
      <w:tr w:rsidR="00F4284C" w:rsidRPr="00154588" w14:paraId="2B70B677" w14:textId="77777777" w:rsidTr="00D15C1B">
        <w:trPr>
          <w:jc w:val="center"/>
        </w:trPr>
        <w:tc>
          <w:tcPr>
            <w:tcW w:w="4957" w:type="dxa"/>
            <w:gridSpan w:val="2"/>
          </w:tcPr>
          <w:p w14:paraId="6F31A05C" w14:textId="77777777" w:rsidR="00F4284C" w:rsidRPr="00154588" w:rsidRDefault="00F4284C" w:rsidP="008C12B4">
            <w:pPr>
              <w:rPr>
                <w:b/>
                <w:sz w:val="20"/>
                <w:szCs w:val="20"/>
              </w:rPr>
            </w:pPr>
            <w:r w:rsidRPr="00154588">
              <w:rPr>
                <w:b/>
                <w:sz w:val="20"/>
                <w:szCs w:val="20"/>
              </w:rPr>
              <w:t>Articolul 45</w:t>
            </w:r>
          </w:p>
          <w:p w14:paraId="5DE1CF8C" w14:textId="77777777" w:rsidR="00F4284C" w:rsidRPr="00154588" w:rsidRDefault="00F4284C" w:rsidP="008C12B4">
            <w:pPr>
              <w:rPr>
                <w:b/>
                <w:sz w:val="20"/>
                <w:szCs w:val="20"/>
              </w:rPr>
            </w:pPr>
          </w:p>
          <w:p w14:paraId="515C3045" w14:textId="77777777" w:rsidR="00F4284C" w:rsidRPr="00154588" w:rsidRDefault="00F4284C" w:rsidP="008C12B4">
            <w:pPr>
              <w:rPr>
                <w:b/>
                <w:sz w:val="20"/>
                <w:szCs w:val="20"/>
              </w:rPr>
            </w:pPr>
          </w:p>
          <w:p w14:paraId="52C09EFC" w14:textId="3AE41DE1" w:rsidR="00F4284C" w:rsidRPr="00154588" w:rsidRDefault="00F4284C" w:rsidP="008C12B4">
            <w:pPr>
              <w:rPr>
                <w:b/>
                <w:sz w:val="20"/>
                <w:szCs w:val="20"/>
              </w:rPr>
            </w:pPr>
            <w:r w:rsidRPr="00154588">
              <w:rPr>
                <w:b/>
                <w:sz w:val="20"/>
                <w:szCs w:val="20"/>
              </w:rPr>
              <w:t>Aplicarea și calcularea cerinței minime de fonduri proprii și datorii eligibile</w:t>
            </w:r>
          </w:p>
        </w:tc>
        <w:tc>
          <w:tcPr>
            <w:tcW w:w="4819" w:type="dxa"/>
          </w:tcPr>
          <w:p w14:paraId="12B3FBDA" w14:textId="77777777" w:rsidR="00F4284C" w:rsidRPr="00154588" w:rsidRDefault="00F4284C" w:rsidP="008C12B4">
            <w:pPr>
              <w:jc w:val="both"/>
              <w:rPr>
                <w:bCs/>
                <w:sz w:val="20"/>
                <w:szCs w:val="20"/>
              </w:rPr>
            </w:pPr>
          </w:p>
        </w:tc>
        <w:tc>
          <w:tcPr>
            <w:tcW w:w="2552" w:type="dxa"/>
          </w:tcPr>
          <w:p w14:paraId="0BBBEB15" w14:textId="77777777" w:rsidR="00F4284C" w:rsidRPr="00154588" w:rsidRDefault="00F4284C" w:rsidP="008C12B4">
            <w:pPr>
              <w:jc w:val="both"/>
              <w:rPr>
                <w:bCs/>
                <w:sz w:val="20"/>
                <w:szCs w:val="20"/>
              </w:rPr>
            </w:pPr>
          </w:p>
        </w:tc>
        <w:tc>
          <w:tcPr>
            <w:tcW w:w="3118" w:type="dxa"/>
          </w:tcPr>
          <w:p w14:paraId="433635C8" w14:textId="77777777" w:rsidR="00F4284C" w:rsidRPr="00154588" w:rsidRDefault="00F4284C" w:rsidP="008C12B4">
            <w:pPr>
              <w:jc w:val="both"/>
              <w:rPr>
                <w:bCs/>
                <w:sz w:val="20"/>
                <w:szCs w:val="20"/>
              </w:rPr>
            </w:pPr>
          </w:p>
        </w:tc>
      </w:tr>
      <w:tr w:rsidR="00F4284C" w:rsidRPr="00154588" w14:paraId="4836F8F9" w14:textId="77777777" w:rsidTr="00D15C1B">
        <w:trPr>
          <w:jc w:val="center"/>
        </w:trPr>
        <w:tc>
          <w:tcPr>
            <w:tcW w:w="4957" w:type="dxa"/>
            <w:gridSpan w:val="2"/>
          </w:tcPr>
          <w:p w14:paraId="42F227B8" w14:textId="441D6E78" w:rsidR="00F4284C" w:rsidRPr="00154588" w:rsidRDefault="00F4284C" w:rsidP="008C12B4">
            <w:pPr>
              <w:jc w:val="both"/>
              <w:rPr>
                <w:bCs/>
                <w:sz w:val="20"/>
                <w:szCs w:val="20"/>
              </w:rPr>
            </w:pPr>
            <w:r w:rsidRPr="00154588">
              <w:rPr>
                <w:bCs/>
                <w:sz w:val="20"/>
                <w:szCs w:val="20"/>
              </w:rPr>
              <w:t>(1)   Statele membre se asigură că instituțiile și entitățile menționate la articolul 1 alineatul (1) literele (b), (c) și (d) îndeplinesc, în permanență, cerințele de fonduri proprii și datorii eligibile în cazurile în care sunt impuse de autoritatea de rezoluție și după cum sunt stabilite de aceasta în conformitate cu prezentul articol și cu articolele 45a-45i .</w:t>
            </w:r>
          </w:p>
        </w:tc>
        <w:tc>
          <w:tcPr>
            <w:tcW w:w="4819" w:type="dxa"/>
          </w:tcPr>
          <w:p w14:paraId="6B258B16" w14:textId="77777777" w:rsidR="00F4284C" w:rsidRPr="00154588" w:rsidRDefault="00F4284C" w:rsidP="008C12B4">
            <w:pPr>
              <w:jc w:val="both"/>
              <w:rPr>
                <w:bCs/>
                <w:sz w:val="20"/>
                <w:szCs w:val="20"/>
              </w:rPr>
            </w:pPr>
          </w:p>
        </w:tc>
        <w:tc>
          <w:tcPr>
            <w:tcW w:w="2552" w:type="dxa"/>
          </w:tcPr>
          <w:p w14:paraId="6519B4AC" w14:textId="61745317" w:rsidR="00F4284C" w:rsidRPr="00154588" w:rsidRDefault="00F4284C" w:rsidP="008C12B4">
            <w:pPr>
              <w:jc w:val="both"/>
              <w:rPr>
                <w:bCs/>
                <w:sz w:val="20"/>
                <w:szCs w:val="20"/>
              </w:rPr>
            </w:pPr>
            <w:r w:rsidRPr="00154588">
              <w:rPr>
                <w:bCs/>
                <w:sz w:val="20"/>
                <w:szCs w:val="20"/>
              </w:rPr>
              <w:t>Compatibil</w:t>
            </w:r>
          </w:p>
        </w:tc>
        <w:tc>
          <w:tcPr>
            <w:tcW w:w="3118" w:type="dxa"/>
          </w:tcPr>
          <w:p w14:paraId="263518EE" w14:textId="7A17850C" w:rsidR="00F4284C" w:rsidRPr="00154588" w:rsidRDefault="00F4284C" w:rsidP="008C12B4">
            <w:pPr>
              <w:jc w:val="both"/>
              <w:rPr>
                <w:bCs/>
                <w:sz w:val="20"/>
                <w:szCs w:val="20"/>
              </w:rPr>
            </w:pPr>
            <w:r w:rsidRPr="00154588">
              <w:rPr>
                <w:bCs/>
                <w:sz w:val="20"/>
                <w:szCs w:val="20"/>
              </w:rPr>
              <w:t>Prevederea este acoperită de art.164 alin.(1)</w:t>
            </w:r>
          </w:p>
        </w:tc>
      </w:tr>
      <w:tr w:rsidR="00F4284C" w:rsidRPr="00154588" w14:paraId="7947889E" w14:textId="77777777" w:rsidTr="00D15C1B">
        <w:trPr>
          <w:jc w:val="center"/>
        </w:trPr>
        <w:tc>
          <w:tcPr>
            <w:tcW w:w="4957" w:type="dxa"/>
            <w:gridSpan w:val="2"/>
          </w:tcPr>
          <w:p w14:paraId="2A766EDE" w14:textId="77777777" w:rsidR="00F4284C" w:rsidRPr="00154588" w:rsidRDefault="00F4284C" w:rsidP="008C12B4">
            <w:pPr>
              <w:jc w:val="both"/>
              <w:rPr>
                <w:bCs/>
                <w:sz w:val="20"/>
                <w:szCs w:val="20"/>
              </w:rPr>
            </w:pPr>
            <w:r w:rsidRPr="00154588">
              <w:rPr>
                <w:bCs/>
                <w:sz w:val="20"/>
                <w:szCs w:val="20"/>
              </w:rPr>
              <w:lastRenderedPageBreak/>
              <w:t>(2)   Cerința menționată la alineatul (1) de la prezentul articol se calculează în conformitate cu articolul 45c alineatul (3), (5) sau (7), după caz, ca fiind cuantumul fondurilor proprii și al datoriilor eligibile și se exprimă ca procent din:</w:t>
            </w:r>
          </w:p>
          <w:p w14:paraId="4BE5365A" w14:textId="77777777" w:rsidR="00F4284C" w:rsidRPr="00154588" w:rsidRDefault="00F4284C" w:rsidP="008C12B4">
            <w:pPr>
              <w:jc w:val="both"/>
              <w:rPr>
                <w:bCs/>
                <w:sz w:val="20"/>
                <w:szCs w:val="20"/>
              </w:rPr>
            </w:pPr>
          </w:p>
          <w:p w14:paraId="26738B8A" w14:textId="6B44DD28" w:rsidR="00F4284C" w:rsidRPr="00154588" w:rsidRDefault="00F4284C" w:rsidP="008C12B4">
            <w:pPr>
              <w:jc w:val="both"/>
              <w:rPr>
                <w:bCs/>
                <w:sz w:val="20"/>
                <w:szCs w:val="20"/>
              </w:rPr>
            </w:pPr>
            <w:r w:rsidRPr="00154588">
              <w:rPr>
                <w:bCs/>
                <w:sz w:val="20"/>
                <w:szCs w:val="20"/>
              </w:rPr>
              <w:t>(a) cuantumul total al expunerii la risc al entității relevante menționate la alineatul (1) de la prezentul articol, calculat în conformitate cu articolul 92 alineatul (3) din Regulamentul (UE) nr. 575/2013; și</w:t>
            </w:r>
          </w:p>
          <w:p w14:paraId="39BCF570" w14:textId="77777777" w:rsidR="00F4284C" w:rsidRPr="00154588" w:rsidRDefault="00F4284C" w:rsidP="008C12B4">
            <w:pPr>
              <w:jc w:val="both"/>
              <w:rPr>
                <w:bCs/>
                <w:sz w:val="20"/>
                <w:szCs w:val="20"/>
              </w:rPr>
            </w:pPr>
          </w:p>
          <w:p w14:paraId="75529CDC" w14:textId="0BCA9705" w:rsidR="00F4284C" w:rsidRPr="00154588" w:rsidRDefault="00F4284C" w:rsidP="008C12B4">
            <w:pPr>
              <w:jc w:val="both"/>
              <w:rPr>
                <w:bCs/>
                <w:sz w:val="20"/>
                <w:szCs w:val="20"/>
              </w:rPr>
            </w:pPr>
            <w:r w:rsidRPr="00154588">
              <w:rPr>
                <w:bCs/>
                <w:sz w:val="20"/>
                <w:szCs w:val="20"/>
              </w:rPr>
              <w:t>(b) indicatorul de măsurare a expunerii totale al entității relevante menționate la alineatul (1) de la prezentul articol, calculat în conformitate cu articolele 429 și 429a din Regulamentul (UE) nr. 575/2013.</w:t>
            </w:r>
          </w:p>
        </w:tc>
        <w:tc>
          <w:tcPr>
            <w:tcW w:w="4819" w:type="dxa"/>
          </w:tcPr>
          <w:p w14:paraId="78A7A6E7" w14:textId="3823CD9B" w:rsidR="00F4284C" w:rsidRPr="00154588" w:rsidRDefault="00F4284C" w:rsidP="008C12B4">
            <w:pPr>
              <w:jc w:val="both"/>
              <w:rPr>
                <w:bCs/>
                <w:sz w:val="20"/>
                <w:szCs w:val="20"/>
              </w:rPr>
            </w:pPr>
            <w:r w:rsidRPr="00154588">
              <w:rPr>
                <w:b/>
                <w:sz w:val="20"/>
                <w:szCs w:val="20"/>
              </w:rPr>
              <w:t>Articolul 164.</w:t>
            </w:r>
            <w:r w:rsidRPr="00154588">
              <w:rPr>
                <w:bCs/>
                <w:sz w:val="20"/>
                <w:szCs w:val="20"/>
              </w:rPr>
              <w:t xml:space="preserve"> – (1) Instituțiile de credit și entitățile prevăzute la art.1 alin.(1) lit.b)</w:t>
            </w:r>
            <w:r w:rsidR="00210ADE" w:rsidRPr="00154588">
              <w:rPr>
                <w:bCs/>
                <w:sz w:val="20"/>
                <w:szCs w:val="20"/>
              </w:rPr>
              <w:t xml:space="preserve">, c) </w:t>
            </w:r>
            <w:r w:rsidR="00210ADE" w:rsidRPr="00154588">
              <w:rPr>
                <w:bCs/>
                <w:sz w:val="20"/>
                <w:szCs w:val="20"/>
                <w:lang w:val="ro-MD"/>
              </w:rPr>
              <w:t xml:space="preserve">și </w:t>
            </w:r>
            <w:r w:rsidRPr="00154588">
              <w:rPr>
                <w:bCs/>
                <w:sz w:val="20"/>
                <w:szCs w:val="20"/>
              </w:rPr>
              <w:t>d) îndeplinesc, în permanenţă, cerința minimă de fonduri proprii și datorii eligibile</w:t>
            </w:r>
            <w:r w:rsidR="00210ADE" w:rsidRPr="00154588">
              <w:rPr>
                <w:bCs/>
                <w:sz w:val="20"/>
                <w:szCs w:val="20"/>
              </w:rPr>
              <w:t>,</w:t>
            </w:r>
            <w:r w:rsidRPr="00154588">
              <w:rPr>
                <w:bCs/>
                <w:sz w:val="20"/>
                <w:szCs w:val="20"/>
              </w:rPr>
              <w:t xml:space="preserve"> </w:t>
            </w:r>
            <w:bookmarkStart w:id="53" w:name="_Hlk234927072"/>
            <w:r w:rsidRPr="00154588">
              <w:rPr>
                <w:bCs/>
                <w:sz w:val="20"/>
                <w:szCs w:val="20"/>
              </w:rPr>
              <w:t>în cazurile în care sunt impuse de Banca Na</w:t>
            </w:r>
            <w:r w:rsidRPr="00154588">
              <w:rPr>
                <w:bCs/>
                <w:sz w:val="20"/>
                <w:szCs w:val="20"/>
                <w:lang w:val="ro-MD"/>
              </w:rPr>
              <w:t xml:space="preserve">țională a Moldovei în calitate de </w:t>
            </w:r>
            <w:r w:rsidRPr="00154588">
              <w:rPr>
                <w:bCs/>
                <w:sz w:val="20"/>
                <w:szCs w:val="20"/>
              </w:rPr>
              <w:t>autoritatea de rezoluție și după cum sunt stabilite de aceasta în conformitate cu prezentul articol și cu art. 164</w:t>
            </w:r>
            <w:r w:rsidRPr="00154588">
              <w:rPr>
                <w:bCs/>
                <w:sz w:val="20"/>
                <w:szCs w:val="20"/>
                <w:vertAlign w:val="superscript"/>
              </w:rPr>
              <w:t>1</w:t>
            </w:r>
            <w:r w:rsidRPr="00154588">
              <w:rPr>
                <w:bCs/>
                <w:sz w:val="20"/>
                <w:szCs w:val="20"/>
              </w:rPr>
              <w:t>-170</w:t>
            </w:r>
            <w:r w:rsidRPr="00154588">
              <w:rPr>
                <w:bCs/>
                <w:sz w:val="20"/>
                <w:szCs w:val="20"/>
                <w:vertAlign w:val="superscript"/>
              </w:rPr>
              <w:t>4</w:t>
            </w:r>
            <w:bookmarkEnd w:id="53"/>
            <w:r w:rsidRPr="00154588">
              <w:rPr>
                <w:bCs/>
                <w:sz w:val="20"/>
                <w:szCs w:val="20"/>
              </w:rPr>
              <w:t>, aceasta fiind calculată ca suma fondurilor proprii și a datoriilor eligibile și fiind exprimată simultan ca procentaj din:</w:t>
            </w:r>
          </w:p>
          <w:p w14:paraId="52BAE4ED" w14:textId="77777777" w:rsidR="00F4284C" w:rsidRPr="00154588" w:rsidRDefault="00F4284C" w:rsidP="008C12B4">
            <w:pPr>
              <w:jc w:val="both"/>
              <w:rPr>
                <w:bCs/>
                <w:sz w:val="20"/>
                <w:szCs w:val="20"/>
              </w:rPr>
            </w:pPr>
            <w:r w:rsidRPr="00154588">
              <w:rPr>
                <w:bCs/>
                <w:sz w:val="20"/>
                <w:szCs w:val="20"/>
              </w:rPr>
              <w:t>a) cuantumul total al expunerii la risc a entității relevante menționate la alin.(1) de la prezentul articol, calculat în conformitate cu actele normative ale Băncii Naţionale a Moldovei emise în aplicarea art.60, 61 și 62 din Legea nr.202/2017; și</w:t>
            </w:r>
          </w:p>
          <w:p w14:paraId="66ED3F6C" w14:textId="77777777" w:rsidR="00F4284C" w:rsidRPr="00154588" w:rsidRDefault="00F4284C" w:rsidP="008C12B4">
            <w:pPr>
              <w:jc w:val="both"/>
              <w:rPr>
                <w:bCs/>
                <w:sz w:val="20"/>
                <w:szCs w:val="20"/>
              </w:rPr>
            </w:pPr>
            <w:r w:rsidRPr="00154588">
              <w:rPr>
                <w:bCs/>
                <w:sz w:val="20"/>
                <w:szCs w:val="20"/>
              </w:rPr>
              <w:t>b) indicatorul de măsurare a expunerii totale al entității relevante menționate la alin.(1) de la prezentul articol, calculat în conformitate cu actele normative ale Băncii Naţionale a Moldovei  emise în aplicarea art.77 din Legea nr.202/2017.</w:t>
            </w:r>
          </w:p>
          <w:p w14:paraId="36A6FE95" w14:textId="77777777" w:rsidR="00F4284C" w:rsidRPr="00154588" w:rsidRDefault="00F4284C" w:rsidP="008C12B4">
            <w:pPr>
              <w:jc w:val="both"/>
              <w:rPr>
                <w:bCs/>
                <w:sz w:val="20"/>
                <w:szCs w:val="20"/>
              </w:rPr>
            </w:pPr>
            <w:r w:rsidRPr="00154588">
              <w:rPr>
                <w:bCs/>
                <w:sz w:val="20"/>
                <w:szCs w:val="20"/>
              </w:rPr>
              <w:t>(2) Banca Națională a Moldovei va stabili, prin act normativ, următoarele:</w:t>
            </w:r>
          </w:p>
          <w:p w14:paraId="3F8166A2" w14:textId="77777777" w:rsidR="00F4284C" w:rsidRPr="00154588" w:rsidRDefault="00F4284C" w:rsidP="008C12B4">
            <w:pPr>
              <w:jc w:val="both"/>
              <w:rPr>
                <w:bCs/>
                <w:sz w:val="20"/>
                <w:szCs w:val="20"/>
              </w:rPr>
            </w:pPr>
            <w:r w:rsidRPr="00154588">
              <w:rPr>
                <w:bCs/>
                <w:sz w:val="20"/>
                <w:szCs w:val="20"/>
              </w:rPr>
              <w:t>a) modul de determinare a cerinței minime de fonduri proprii și datorii eligibile pentru institutiile de credit, în funcție de mărimea activelor și de importanța sistemică a acestora, precum și regulile de calcul, în baza prevederilor de la alin.(1);</w:t>
            </w:r>
          </w:p>
          <w:p w14:paraId="624B19C9" w14:textId="77777777" w:rsidR="00F4284C" w:rsidRPr="00154588" w:rsidRDefault="00F4284C" w:rsidP="008C12B4">
            <w:pPr>
              <w:jc w:val="both"/>
              <w:rPr>
                <w:bCs/>
                <w:sz w:val="20"/>
                <w:szCs w:val="20"/>
              </w:rPr>
            </w:pPr>
            <w:r w:rsidRPr="00154588">
              <w:rPr>
                <w:bCs/>
                <w:sz w:val="20"/>
                <w:szCs w:val="20"/>
              </w:rPr>
              <w:t>b) determinarea categoriilor de instituții de credit în funcție de mărimea activelor și de importanța sistemică a acestora, în vederea calculului cerinței minime de fonduri proprii și datorii eligibile potrivit lit.a);</w:t>
            </w:r>
          </w:p>
          <w:p w14:paraId="4A6CAA84" w14:textId="7629120D" w:rsidR="00F4284C" w:rsidRPr="00154588" w:rsidRDefault="00F4284C" w:rsidP="008C12B4">
            <w:pPr>
              <w:jc w:val="both"/>
              <w:rPr>
                <w:bCs/>
                <w:sz w:val="20"/>
                <w:szCs w:val="20"/>
              </w:rPr>
            </w:pPr>
            <w:r w:rsidRPr="00154588">
              <w:rPr>
                <w:bCs/>
                <w:sz w:val="20"/>
                <w:szCs w:val="20"/>
              </w:rPr>
              <w:t>c) cerințele de raportare și publicare a cerinței minime de fonduri proprii și datorii eligibile.</w:t>
            </w:r>
          </w:p>
        </w:tc>
        <w:tc>
          <w:tcPr>
            <w:tcW w:w="2552" w:type="dxa"/>
          </w:tcPr>
          <w:p w14:paraId="4C63388E" w14:textId="71CD6899" w:rsidR="00F4284C" w:rsidRPr="00154588" w:rsidRDefault="00F4284C" w:rsidP="008C12B4">
            <w:pPr>
              <w:jc w:val="both"/>
              <w:rPr>
                <w:bCs/>
                <w:sz w:val="20"/>
                <w:szCs w:val="20"/>
              </w:rPr>
            </w:pPr>
            <w:r w:rsidRPr="00154588">
              <w:rPr>
                <w:bCs/>
                <w:sz w:val="20"/>
                <w:szCs w:val="20"/>
              </w:rPr>
              <w:t>Compatibil</w:t>
            </w:r>
          </w:p>
        </w:tc>
        <w:tc>
          <w:tcPr>
            <w:tcW w:w="3118" w:type="dxa"/>
          </w:tcPr>
          <w:p w14:paraId="157D89C3" w14:textId="77777777" w:rsidR="00F4284C" w:rsidRPr="00154588" w:rsidRDefault="00F4284C" w:rsidP="008C12B4">
            <w:pPr>
              <w:jc w:val="both"/>
              <w:rPr>
                <w:bCs/>
                <w:sz w:val="20"/>
                <w:szCs w:val="20"/>
              </w:rPr>
            </w:pPr>
          </w:p>
        </w:tc>
      </w:tr>
      <w:tr w:rsidR="00F4284C" w:rsidRPr="00154588" w14:paraId="490ABCFA" w14:textId="77777777" w:rsidTr="00D15C1B">
        <w:trPr>
          <w:jc w:val="center"/>
        </w:trPr>
        <w:tc>
          <w:tcPr>
            <w:tcW w:w="4957" w:type="dxa"/>
            <w:gridSpan w:val="2"/>
          </w:tcPr>
          <w:p w14:paraId="389D4606" w14:textId="77777777" w:rsidR="00F4284C" w:rsidRPr="00154588" w:rsidRDefault="00F4284C" w:rsidP="008C12B4">
            <w:pPr>
              <w:jc w:val="both"/>
              <w:rPr>
                <w:bCs/>
                <w:sz w:val="20"/>
                <w:szCs w:val="20"/>
              </w:rPr>
            </w:pPr>
            <w:r w:rsidRPr="00154588">
              <w:rPr>
                <w:bCs/>
                <w:sz w:val="20"/>
                <w:szCs w:val="20"/>
              </w:rPr>
              <w:t>(3)   În conformitate cu articolul 65 alineatul (4) din Regulamentul (UE) 2019/2033, trimiterile la articolul 92 din Regulamentul (UE) nr. 575/2013 din prezenta directivă în ceea ce privește cerințele de fonduri proprii pe bază individuală ale firmelor de investiții menționate la articolul 2 alineatul (1) punctul 3 din prezenta directivă și care nu sunt firme de investiții menționate la articolul 1 alineatul (2) sau (5) din Regulamentul (UE) 2019/2033 se interpretează astfel:</w:t>
            </w:r>
          </w:p>
          <w:p w14:paraId="58B40EEF" w14:textId="77777777" w:rsidR="00F4284C" w:rsidRPr="00154588" w:rsidRDefault="00F4284C" w:rsidP="008C12B4">
            <w:pPr>
              <w:jc w:val="both"/>
              <w:rPr>
                <w:bCs/>
                <w:sz w:val="20"/>
                <w:szCs w:val="20"/>
              </w:rPr>
            </w:pPr>
          </w:p>
          <w:p w14:paraId="3FBF9524" w14:textId="432E0CF6" w:rsidR="00F4284C" w:rsidRPr="00154588" w:rsidRDefault="00F4284C" w:rsidP="008C12B4">
            <w:pPr>
              <w:jc w:val="both"/>
              <w:rPr>
                <w:bCs/>
                <w:sz w:val="20"/>
                <w:szCs w:val="20"/>
              </w:rPr>
            </w:pPr>
            <w:r w:rsidRPr="00154588">
              <w:rPr>
                <w:bCs/>
                <w:sz w:val="20"/>
                <w:szCs w:val="20"/>
              </w:rPr>
              <w:lastRenderedPageBreak/>
              <w:t>(a) trimiterile la articolul 92 alineatul (1) litera (c) din Regulamentul (UE) nr. 575/2013 referitoare la rata capitalului total din prezenta directivă se referă la articolul 11 alineatul (1) din Regulamentul (UE) 2019/2033;</w:t>
            </w:r>
          </w:p>
          <w:p w14:paraId="33C95C66" w14:textId="77777777" w:rsidR="00F4284C" w:rsidRPr="00154588" w:rsidRDefault="00F4284C" w:rsidP="008C12B4">
            <w:pPr>
              <w:jc w:val="both"/>
              <w:rPr>
                <w:bCs/>
                <w:sz w:val="20"/>
                <w:szCs w:val="20"/>
              </w:rPr>
            </w:pPr>
          </w:p>
          <w:p w14:paraId="3D432EB8" w14:textId="77777777" w:rsidR="00F4284C" w:rsidRPr="00154588" w:rsidRDefault="00F4284C" w:rsidP="008C12B4">
            <w:pPr>
              <w:jc w:val="both"/>
              <w:rPr>
                <w:bCs/>
                <w:sz w:val="20"/>
                <w:szCs w:val="20"/>
              </w:rPr>
            </w:pPr>
            <w:r w:rsidRPr="00154588">
              <w:rPr>
                <w:bCs/>
                <w:sz w:val="20"/>
                <w:szCs w:val="20"/>
              </w:rPr>
              <w:t>(b) trimiterile la articolul 92 alineatul (3) din Regulamentul (UE) nr. 575/2013 referitoare la cuantumul total al expunerii la risc din prezenta directivă se referă la cerința aplicabilă de la articolul 11 alineatul (1) din Regulamentul (UE) 2019/2033 înmulțită cu 12,5.</w:t>
            </w:r>
          </w:p>
          <w:p w14:paraId="7E625BEE" w14:textId="77777777" w:rsidR="00F4284C" w:rsidRPr="00154588" w:rsidRDefault="00F4284C" w:rsidP="008C12B4">
            <w:pPr>
              <w:jc w:val="both"/>
              <w:rPr>
                <w:bCs/>
                <w:sz w:val="20"/>
                <w:szCs w:val="20"/>
              </w:rPr>
            </w:pPr>
          </w:p>
          <w:p w14:paraId="22FABB10" w14:textId="0BD143A2" w:rsidR="00F4284C" w:rsidRPr="00154588" w:rsidRDefault="00F4284C" w:rsidP="008C12B4">
            <w:pPr>
              <w:jc w:val="both"/>
              <w:rPr>
                <w:bCs/>
                <w:sz w:val="20"/>
                <w:szCs w:val="20"/>
              </w:rPr>
            </w:pPr>
            <w:r w:rsidRPr="00154588">
              <w:rPr>
                <w:bCs/>
                <w:sz w:val="20"/>
                <w:szCs w:val="20"/>
              </w:rPr>
              <w:t>În conformitate cu articolul 65 din Directiva (UE) 2019/2034, trimiterile din prezenta directivă la articolul 104a din Directiva 2013/36/UE referitoare la cerințele de fonduri proprii suplimentare pentru firmele de investiții menționate la articolul 2 alineatul (1) punctul 3 din prezenta directivă și care nu sunt firmele de investiții menționate la articolul 1 alineatul (2) sau alineatul (5) din Regulamentul (UE) 2019/2033 se interpretează ca trimiteri la articolul 40 din Directiva 2019/2034.</w:t>
            </w:r>
          </w:p>
        </w:tc>
        <w:tc>
          <w:tcPr>
            <w:tcW w:w="4819" w:type="dxa"/>
          </w:tcPr>
          <w:p w14:paraId="4A43565C" w14:textId="77777777" w:rsidR="00F4284C" w:rsidRPr="00154588" w:rsidRDefault="00F4284C" w:rsidP="008C12B4">
            <w:pPr>
              <w:jc w:val="both"/>
              <w:rPr>
                <w:bCs/>
                <w:sz w:val="20"/>
                <w:szCs w:val="20"/>
              </w:rPr>
            </w:pPr>
          </w:p>
        </w:tc>
        <w:tc>
          <w:tcPr>
            <w:tcW w:w="2552" w:type="dxa"/>
          </w:tcPr>
          <w:p w14:paraId="154D304B" w14:textId="1E3782CD" w:rsidR="00F4284C" w:rsidRPr="00154588" w:rsidRDefault="00F4284C" w:rsidP="008C12B4">
            <w:pPr>
              <w:jc w:val="both"/>
              <w:rPr>
                <w:bCs/>
                <w:sz w:val="20"/>
                <w:szCs w:val="20"/>
              </w:rPr>
            </w:pPr>
            <w:r w:rsidRPr="00154588">
              <w:rPr>
                <w:bCs/>
                <w:sz w:val="20"/>
                <w:szCs w:val="20"/>
              </w:rPr>
              <w:t xml:space="preserve">prevederi UE </w:t>
            </w:r>
            <w:r w:rsidR="00A02B79" w:rsidRPr="00154588">
              <w:rPr>
                <w:bCs/>
                <w:sz w:val="20"/>
                <w:szCs w:val="20"/>
              </w:rPr>
              <w:t>neaplicabile</w:t>
            </w:r>
          </w:p>
        </w:tc>
        <w:tc>
          <w:tcPr>
            <w:tcW w:w="3118" w:type="dxa"/>
          </w:tcPr>
          <w:p w14:paraId="4D426D29" w14:textId="288C48C6" w:rsidR="00F4284C" w:rsidRPr="00154588" w:rsidRDefault="00F4284C" w:rsidP="008C12B4">
            <w:pPr>
              <w:jc w:val="both"/>
              <w:rPr>
                <w:bCs/>
                <w:sz w:val="20"/>
                <w:szCs w:val="20"/>
              </w:rPr>
            </w:pPr>
            <w:r w:rsidRPr="00154588">
              <w:rPr>
                <w:bCs/>
                <w:sz w:val="20"/>
                <w:szCs w:val="20"/>
              </w:rPr>
              <w:t xml:space="preserve">Trimiterile la prevederile menționate la alin.(3) urmează a fi transpuse </w:t>
            </w:r>
            <w:r w:rsidRPr="00154588">
              <w:rPr>
                <w:bCs/>
                <w:sz w:val="20"/>
                <w:szCs w:val="20"/>
                <w:lang w:val="ro-MD"/>
              </w:rPr>
              <w:t>î</w:t>
            </w:r>
            <w:r w:rsidRPr="00154588">
              <w:rPr>
                <w:bCs/>
                <w:sz w:val="20"/>
                <w:szCs w:val="20"/>
              </w:rPr>
              <w:t xml:space="preserve">n actele naționale  </w:t>
            </w:r>
          </w:p>
        </w:tc>
      </w:tr>
      <w:tr w:rsidR="00F4284C" w:rsidRPr="00154588" w14:paraId="26E50681" w14:textId="77777777" w:rsidTr="00D15C1B">
        <w:trPr>
          <w:jc w:val="center"/>
        </w:trPr>
        <w:tc>
          <w:tcPr>
            <w:tcW w:w="4957" w:type="dxa"/>
            <w:gridSpan w:val="2"/>
          </w:tcPr>
          <w:p w14:paraId="5C30EB78" w14:textId="77777777" w:rsidR="00F4284C" w:rsidRPr="00154588" w:rsidRDefault="00F4284C" w:rsidP="008C12B4">
            <w:pPr>
              <w:rPr>
                <w:b/>
                <w:sz w:val="20"/>
                <w:szCs w:val="20"/>
              </w:rPr>
            </w:pPr>
            <w:r w:rsidRPr="00154588">
              <w:rPr>
                <w:b/>
                <w:sz w:val="20"/>
                <w:szCs w:val="20"/>
              </w:rPr>
              <w:t>Articolul 45a</w:t>
            </w:r>
          </w:p>
          <w:p w14:paraId="5BC6406C" w14:textId="77777777" w:rsidR="00F4284C" w:rsidRPr="00154588" w:rsidRDefault="00F4284C" w:rsidP="008C12B4">
            <w:pPr>
              <w:rPr>
                <w:b/>
                <w:sz w:val="20"/>
                <w:szCs w:val="20"/>
              </w:rPr>
            </w:pPr>
          </w:p>
          <w:p w14:paraId="5DA9F51E" w14:textId="77777777" w:rsidR="00F4284C" w:rsidRPr="00154588" w:rsidRDefault="00F4284C" w:rsidP="008C12B4">
            <w:pPr>
              <w:rPr>
                <w:b/>
                <w:sz w:val="20"/>
                <w:szCs w:val="20"/>
              </w:rPr>
            </w:pPr>
          </w:p>
          <w:p w14:paraId="200C6FAB" w14:textId="5FA2434D" w:rsidR="00F4284C" w:rsidRPr="00154588" w:rsidRDefault="00F4284C" w:rsidP="008C12B4">
            <w:pPr>
              <w:rPr>
                <w:b/>
                <w:sz w:val="20"/>
                <w:szCs w:val="20"/>
              </w:rPr>
            </w:pPr>
            <w:r w:rsidRPr="00154588">
              <w:rPr>
                <w:b/>
                <w:sz w:val="20"/>
                <w:szCs w:val="20"/>
              </w:rPr>
              <w:t>Derogarea de la cerința minimă de fonduri proprii și datorii eligibile</w:t>
            </w:r>
          </w:p>
        </w:tc>
        <w:tc>
          <w:tcPr>
            <w:tcW w:w="4819" w:type="dxa"/>
          </w:tcPr>
          <w:p w14:paraId="54178AB9" w14:textId="77777777" w:rsidR="00F4284C" w:rsidRPr="00154588" w:rsidRDefault="00F4284C" w:rsidP="008C12B4">
            <w:pPr>
              <w:jc w:val="both"/>
              <w:rPr>
                <w:bCs/>
                <w:sz w:val="20"/>
                <w:szCs w:val="20"/>
              </w:rPr>
            </w:pPr>
          </w:p>
        </w:tc>
        <w:tc>
          <w:tcPr>
            <w:tcW w:w="2552" w:type="dxa"/>
          </w:tcPr>
          <w:p w14:paraId="5DBEAABA" w14:textId="77777777" w:rsidR="00F4284C" w:rsidRPr="00154588" w:rsidRDefault="00F4284C" w:rsidP="008C12B4">
            <w:pPr>
              <w:jc w:val="both"/>
              <w:rPr>
                <w:bCs/>
                <w:sz w:val="20"/>
                <w:szCs w:val="20"/>
              </w:rPr>
            </w:pPr>
          </w:p>
        </w:tc>
        <w:tc>
          <w:tcPr>
            <w:tcW w:w="3118" w:type="dxa"/>
          </w:tcPr>
          <w:p w14:paraId="76A88020" w14:textId="77777777" w:rsidR="00F4284C" w:rsidRPr="00154588" w:rsidRDefault="00F4284C" w:rsidP="008C12B4">
            <w:pPr>
              <w:jc w:val="both"/>
              <w:rPr>
                <w:bCs/>
                <w:sz w:val="20"/>
                <w:szCs w:val="20"/>
              </w:rPr>
            </w:pPr>
          </w:p>
        </w:tc>
      </w:tr>
      <w:tr w:rsidR="00F4284C" w:rsidRPr="00154588" w14:paraId="242EC592" w14:textId="77777777" w:rsidTr="00D15C1B">
        <w:trPr>
          <w:jc w:val="center"/>
        </w:trPr>
        <w:tc>
          <w:tcPr>
            <w:tcW w:w="4957" w:type="dxa"/>
            <w:gridSpan w:val="2"/>
          </w:tcPr>
          <w:p w14:paraId="1A2630BB" w14:textId="77777777" w:rsidR="00F4284C" w:rsidRPr="00154588" w:rsidRDefault="00F4284C" w:rsidP="008C12B4">
            <w:pPr>
              <w:jc w:val="both"/>
              <w:rPr>
                <w:bCs/>
                <w:sz w:val="20"/>
                <w:szCs w:val="20"/>
              </w:rPr>
            </w:pPr>
            <w:r w:rsidRPr="00154588">
              <w:rPr>
                <w:bCs/>
                <w:sz w:val="20"/>
                <w:szCs w:val="20"/>
              </w:rPr>
              <w:t>(1)   În pofida articolului 45, autoritățile de rezoluție acordă derogare de la cerința prevăzută la articolul 45 alineatul (1) instituțiilor de credit ipotecar finanțate prin obligațiuni garantate care nu sunt autorizate să primească depozite în temeiul dreptului intern, cu condiția ca toate condițiile următoare să fie îndeplinite:</w:t>
            </w:r>
          </w:p>
          <w:p w14:paraId="6D61D843" w14:textId="3487EBE0" w:rsidR="00F4284C" w:rsidRPr="00154588" w:rsidRDefault="00F4284C" w:rsidP="008C12B4">
            <w:pPr>
              <w:jc w:val="both"/>
              <w:rPr>
                <w:bCs/>
                <w:sz w:val="20"/>
                <w:szCs w:val="20"/>
              </w:rPr>
            </w:pPr>
          </w:p>
          <w:p w14:paraId="10B7B111" w14:textId="7E11010A" w:rsidR="00F4284C" w:rsidRPr="00154588" w:rsidRDefault="00F4284C" w:rsidP="008C12B4">
            <w:pPr>
              <w:jc w:val="both"/>
              <w:rPr>
                <w:bCs/>
                <w:sz w:val="20"/>
                <w:szCs w:val="20"/>
              </w:rPr>
            </w:pPr>
            <w:r w:rsidRPr="00154588">
              <w:rPr>
                <w:bCs/>
                <w:sz w:val="20"/>
                <w:szCs w:val="20"/>
              </w:rPr>
              <w:t>(a) aceste instituții vor fi lichidate în procedurile naționale de insolvență sau în alte proceduri stabilite pentru respectivele instituții și puse în aplicare în conformitate cu articolul 38, 40 sau 42; și</w:t>
            </w:r>
          </w:p>
          <w:p w14:paraId="72108AC7" w14:textId="5D70B515" w:rsidR="00F4284C" w:rsidRPr="00154588" w:rsidRDefault="00F4284C" w:rsidP="008C12B4">
            <w:pPr>
              <w:jc w:val="both"/>
              <w:rPr>
                <w:bCs/>
                <w:sz w:val="20"/>
                <w:szCs w:val="20"/>
              </w:rPr>
            </w:pPr>
          </w:p>
          <w:p w14:paraId="083A6117" w14:textId="6D967DBC" w:rsidR="00F4284C" w:rsidRPr="00154588" w:rsidRDefault="00F4284C" w:rsidP="008C12B4">
            <w:pPr>
              <w:jc w:val="both"/>
              <w:rPr>
                <w:bCs/>
                <w:sz w:val="20"/>
                <w:szCs w:val="20"/>
              </w:rPr>
            </w:pPr>
            <w:r w:rsidRPr="00154588">
              <w:rPr>
                <w:bCs/>
                <w:sz w:val="20"/>
                <w:szCs w:val="20"/>
              </w:rPr>
              <w:t>(b) procedurile menționate la litera (a) garantează faptul că creditorii acestor instituții, inclusiv deținătorii de obligațiuni garantate, după caz, suportă pierderile într-un mod care să permită atingerea obiectivelor rezoluției.</w:t>
            </w:r>
          </w:p>
        </w:tc>
        <w:tc>
          <w:tcPr>
            <w:tcW w:w="4819" w:type="dxa"/>
          </w:tcPr>
          <w:p w14:paraId="210C8D91" w14:textId="6E523AEA" w:rsidR="00F4284C" w:rsidRPr="00154588" w:rsidRDefault="00F4284C" w:rsidP="008C12B4">
            <w:pPr>
              <w:jc w:val="both"/>
              <w:rPr>
                <w:sz w:val="20"/>
                <w:szCs w:val="20"/>
              </w:rPr>
            </w:pPr>
            <w:r w:rsidRPr="00154588">
              <w:rPr>
                <w:b/>
                <w:sz w:val="20"/>
                <w:szCs w:val="20"/>
              </w:rPr>
              <w:t>Articolul 164</w:t>
            </w:r>
            <w:r w:rsidRPr="00154588">
              <w:rPr>
                <w:b/>
                <w:sz w:val="20"/>
                <w:szCs w:val="20"/>
                <w:vertAlign w:val="superscript"/>
              </w:rPr>
              <w:t>1</w:t>
            </w:r>
            <w:r w:rsidRPr="00154588">
              <w:rPr>
                <w:sz w:val="20"/>
                <w:szCs w:val="20"/>
              </w:rPr>
              <w:t>. – (1) Prin derogare de la prevederile art.164, Banca Naţională a Moldovei, în calitate de autoritate de rezoluţie, acordă exceptare de la cerința prevăzută la art.164 alin.(1) instituțiilor de credit ipotecar finanțate prin obligațiuni garantate care nu sunt autorizate să atragă depozite, dacă sunt îndeplinite cumulativ următoarele condiții:</w:t>
            </w:r>
          </w:p>
          <w:p w14:paraId="799FAABF" w14:textId="77777777" w:rsidR="00F4284C" w:rsidRPr="00154588" w:rsidRDefault="00F4284C" w:rsidP="008C12B4">
            <w:pPr>
              <w:jc w:val="both"/>
              <w:rPr>
                <w:sz w:val="20"/>
                <w:szCs w:val="20"/>
              </w:rPr>
            </w:pPr>
            <w:r w:rsidRPr="00154588">
              <w:rPr>
                <w:sz w:val="20"/>
                <w:szCs w:val="20"/>
              </w:rPr>
              <w:t>(a) aceste instituții vor fi lichidate prin procedura obișnuită de insolvabilitate sau prin alte tipuri de proceduri stabilite pentru acestea și puse în aplicare în conformitate cu prevederile art. 94-106, 110-121 sau 138-150; și</w:t>
            </w:r>
          </w:p>
          <w:p w14:paraId="468DB06E" w14:textId="43E0FADA" w:rsidR="00F4284C" w:rsidRPr="00154588" w:rsidRDefault="00F4284C" w:rsidP="008C12B4">
            <w:pPr>
              <w:jc w:val="both"/>
              <w:rPr>
                <w:bCs/>
                <w:sz w:val="20"/>
                <w:szCs w:val="20"/>
              </w:rPr>
            </w:pPr>
            <w:r w:rsidRPr="00154588">
              <w:rPr>
                <w:sz w:val="20"/>
                <w:szCs w:val="20"/>
              </w:rPr>
              <w:t>(b) procedurile menționate la lit.a) garantează faptul că creditorii acestor instituții, inclusiv deținătorii de obligațiuni garantate, după caz, suportă pierderile într-un mod care să permită atingerea obiectivelor rezoluției.</w:t>
            </w:r>
          </w:p>
        </w:tc>
        <w:tc>
          <w:tcPr>
            <w:tcW w:w="2552" w:type="dxa"/>
          </w:tcPr>
          <w:p w14:paraId="1E366B71" w14:textId="70329A22" w:rsidR="00F4284C" w:rsidRPr="00154588" w:rsidRDefault="00F4284C" w:rsidP="008C12B4">
            <w:pPr>
              <w:jc w:val="both"/>
              <w:rPr>
                <w:bCs/>
                <w:sz w:val="20"/>
                <w:szCs w:val="20"/>
              </w:rPr>
            </w:pPr>
            <w:r w:rsidRPr="00154588">
              <w:rPr>
                <w:bCs/>
                <w:sz w:val="20"/>
                <w:szCs w:val="20"/>
              </w:rPr>
              <w:t>Compatibil</w:t>
            </w:r>
          </w:p>
        </w:tc>
        <w:tc>
          <w:tcPr>
            <w:tcW w:w="3118" w:type="dxa"/>
          </w:tcPr>
          <w:p w14:paraId="28C4959C" w14:textId="77777777" w:rsidR="00F4284C" w:rsidRPr="00154588" w:rsidRDefault="00F4284C" w:rsidP="008C12B4">
            <w:pPr>
              <w:jc w:val="both"/>
              <w:rPr>
                <w:bCs/>
                <w:sz w:val="20"/>
                <w:szCs w:val="20"/>
              </w:rPr>
            </w:pPr>
          </w:p>
        </w:tc>
      </w:tr>
      <w:tr w:rsidR="00F4284C" w:rsidRPr="00154588" w14:paraId="60DEC00E" w14:textId="77777777" w:rsidTr="00D15C1B">
        <w:trPr>
          <w:jc w:val="center"/>
        </w:trPr>
        <w:tc>
          <w:tcPr>
            <w:tcW w:w="4957" w:type="dxa"/>
            <w:gridSpan w:val="2"/>
          </w:tcPr>
          <w:p w14:paraId="0F18BDDB" w14:textId="741519E2" w:rsidR="00F4284C" w:rsidRPr="00154588" w:rsidRDefault="00F4284C" w:rsidP="008C12B4">
            <w:pPr>
              <w:jc w:val="both"/>
              <w:rPr>
                <w:bCs/>
                <w:sz w:val="20"/>
                <w:szCs w:val="20"/>
              </w:rPr>
            </w:pPr>
            <w:r w:rsidRPr="00154588">
              <w:rPr>
                <w:bCs/>
                <w:sz w:val="20"/>
                <w:szCs w:val="20"/>
              </w:rPr>
              <w:lastRenderedPageBreak/>
              <w:t>(2)   Instituțiile care beneficiază de derogare de la cerința prevăzută la articolul 45 alineatul (1) nu fac parte din consolidarea menționată la articolul 45e alineatul (1).</w:t>
            </w:r>
          </w:p>
        </w:tc>
        <w:tc>
          <w:tcPr>
            <w:tcW w:w="4819" w:type="dxa"/>
          </w:tcPr>
          <w:p w14:paraId="05B0C52C" w14:textId="77777777" w:rsidR="00F4284C" w:rsidRPr="00154588" w:rsidRDefault="00F4284C" w:rsidP="008C12B4">
            <w:pPr>
              <w:jc w:val="both"/>
              <w:rPr>
                <w:bCs/>
                <w:sz w:val="20"/>
                <w:szCs w:val="20"/>
              </w:rPr>
            </w:pPr>
            <w:r w:rsidRPr="00154588">
              <w:rPr>
                <w:bCs/>
                <w:sz w:val="20"/>
                <w:szCs w:val="20"/>
              </w:rPr>
              <w:t>(2) Instituțiile de credit exceptate de la cerința prevăzută la art.164 alin.(1) nu se includ în consolidarea prevăzută la art.167</w:t>
            </w:r>
            <w:r w:rsidRPr="00154588">
              <w:rPr>
                <w:bCs/>
                <w:sz w:val="20"/>
                <w:szCs w:val="20"/>
                <w:vertAlign w:val="superscript"/>
              </w:rPr>
              <w:t>14</w:t>
            </w:r>
            <w:r w:rsidRPr="00154588">
              <w:rPr>
                <w:bCs/>
                <w:sz w:val="20"/>
                <w:szCs w:val="20"/>
              </w:rPr>
              <w:t xml:space="preserve"> alin.(1).</w:t>
            </w:r>
          </w:p>
          <w:p w14:paraId="60449EAB" w14:textId="77777777" w:rsidR="00F4284C" w:rsidRPr="00154588" w:rsidRDefault="00F4284C" w:rsidP="008C12B4">
            <w:pPr>
              <w:jc w:val="both"/>
              <w:rPr>
                <w:bCs/>
                <w:sz w:val="20"/>
                <w:szCs w:val="20"/>
              </w:rPr>
            </w:pPr>
          </w:p>
        </w:tc>
        <w:tc>
          <w:tcPr>
            <w:tcW w:w="2552" w:type="dxa"/>
          </w:tcPr>
          <w:p w14:paraId="51A72F82" w14:textId="62970272" w:rsidR="00F4284C" w:rsidRPr="00154588" w:rsidRDefault="00F4284C" w:rsidP="008C12B4">
            <w:pPr>
              <w:jc w:val="both"/>
              <w:rPr>
                <w:bCs/>
                <w:sz w:val="20"/>
                <w:szCs w:val="20"/>
              </w:rPr>
            </w:pPr>
            <w:r w:rsidRPr="00154588">
              <w:rPr>
                <w:bCs/>
                <w:sz w:val="20"/>
                <w:szCs w:val="20"/>
              </w:rPr>
              <w:t>Compatibil</w:t>
            </w:r>
          </w:p>
        </w:tc>
        <w:tc>
          <w:tcPr>
            <w:tcW w:w="3118" w:type="dxa"/>
          </w:tcPr>
          <w:p w14:paraId="15D673D5" w14:textId="77777777" w:rsidR="00F4284C" w:rsidRPr="00154588" w:rsidRDefault="00F4284C" w:rsidP="008C12B4">
            <w:pPr>
              <w:jc w:val="both"/>
              <w:rPr>
                <w:bCs/>
                <w:sz w:val="20"/>
                <w:szCs w:val="20"/>
              </w:rPr>
            </w:pPr>
          </w:p>
        </w:tc>
      </w:tr>
      <w:tr w:rsidR="00F4284C" w:rsidRPr="00154588" w14:paraId="37AC2C80" w14:textId="77777777" w:rsidTr="00D15C1B">
        <w:trPr>
          <w:jc w:val="center"/>
        </w:trPr>
        <w:tc>
          <w:tcPr>
            <w:tcW w:w="4957" w:type="dxa"/>
            <w:gridSpan w:val="2"/>
          </w:tcPr>
          <w:p w14:paraId="34072D12" w14:textId="77777777" w:rsidR="00F4284C" w:rsidRPr="00154588" w:rsidRDefault="00F4284C" w:rsidP="008C12B4">
            <w:pPr>
              <w:rPr>
                <w:b/>
                <w:sz w:val="20"/>
                <w:szCs w:val="20"/>
              </w:rPr>
            </w:pPr>
            <w:r w:rsidRPr="00154588">
              <w:rPr>
                <w:b/>
                <w:sz w:val="20"/>
                <w:szCs w:val="20"/>
              </w:rPr>
              <w:t>Articolul 45b</w:t>
            </w:r>
          </w:p>
          <w:p w14:paraId="1258EDC6" w14:textId="77777777" w:rsidR="00F4284C" w:rsidRPr="00154588" w:rsidRDefault="00F4284C" w:rsidP="008C12B4">
            <w:pPr>
              <w:rPr>
                <w:b/>
                <w:sz w:val="20"/>
                <w:szCs w:val="20"/>
              </w:rPr>
            </w:pPr>
          </w:p>
          <w:p w14:paraId="5BDEDA58" w14:textId="78A67D6C" w:rsidR="00F4284C" w:rsidRPr="00154588" w:rsidRDefault="00F4284C" w:rsidP="008C12B4">
            <w:pPr>
              <w:rPr>
                <w:b/>
                <w:sz w:val="20"/>
                <w:szCs w:val="20"/>
              </w:rPr>
            </w:pPr>
            <w:r w:rsidRPr="00154588">
              <w:rPr>
                <w:b/>
                <w:sz w:val="20"/>
                <w:szCs w:val="20"/>
              </w:rPr>
              <w:t>Datoriile eligibile pentru entitățile de rezoluție</w:t>
            </w:r>
          </w:p>
        </w:tc>
        <w:tc>
          <w:tcPr>
            <w:tcW w:w="4819" w:type="dxa"/>
          </w:tcPr>
          <w:p w14:paraId="21FEAD8F" w14:textId="77777777" w:rsidR="00F4284C" w:rsidRPr="00154588" w:rsidRDefault="00F4284C" w:rsidP="008C12B4">
            <w:pPr>
              <w:jc w:val="both"/>
              <w:rPr>
                <w:bCs/>
                <w:sz w:val="20"/>
                <w:szCs w:val="20"/>
              </w:rPr>
            </w:pPr>
          </w:p>
        </w:tc>
        <w:tc>
          <w:tcPr>
            <w:tcW w:w="2552" w:type="dxa"/>
          </w:tcPr>
          <w:p w14:paraId="55A704C3" w14:textId="77777777" w:rsidR="00F4284C" w:rsidRPr="00154588" w:rsidRDefault="00F4284C" w:rsidP="008C12B4">
            <w:pPr>
              <w:jc w:val="both"/>
              <w:rPr>
                <w:bCs/>
                <w:sz w:val="20"/>
                <w:szCs w:val="20"/>
              </w:rPr>
            </w:pPr>
          </w:p>
        </w:tc>
        <w:tc>
          <w:tcPr>
            <w:tcW w:w="3118" w:type="dxa"/>
          </w:tcPr>
          <w:p w14:paraId="036E9512" w14:textId="77777777" w:rsidR="00F4284C" w:rsidRPr="00154588" w:rsidRDefault="00F4284C" w:rsidP="008C12B4">
            <w:pPr>
              <w:jc w:val="both"/>
              <w:rPr>
                <w:bCs/>
                <w:sz w:val="20"/>
                <w:szCs w:val="20"/>
              </w:rPr>
            </w:pPr>
          </w:p>
        </w:tc>
      </w:tr>
      <w:tr w:rsidR="00F4284C" w:rsidRPr="00154588" w14:paraId="7C0B279C" w14:textId="77777777" w:rsidTr="00D15C1B">
        <w:trPr>
          <w:jc w:val="center"/>
        </w:trPr>
        <w:tc>
          <w:tcPr>
            <w:tcW w:w="4957" w:type="dxa"/>
            <w:gridSpan w:val="2"/>
          </w:tcPr>
          <w:p w14:paraId="455ECF55" w14:textId="77777777" w:rsidR="00F4284C" w:rsidRPr="00154588" w:rsidRDefault="00F4284C" w:rsidP="008C12B4">
            <w:pPr>
              <w:jc w:val="both"/>
              <w:rPr>
                <w:bCs/>
                <w:sz w:val="20"/>
                <w:szCs w:val="20"/>
              </w:rPr>
            </w:pPr>
            <w:r w:rsidRPr="00154588">
              <w:rPr>
                <w:bCs/>
                <w:sz w:val="20"/>
                <w:szCs w:val="20"/>
              </w:rPr>
              <w:t xml:space="preserve">(1)   Datoriile sunt incluse în cuantumul fondurilor proprii și al datoriilor eligibile ale entităților de rezoluție numai atunci când îndeplinesc condițiile </w:t>
            </w:r>
            <w:bookmarkStart w:id="54" w:name="_Hlk234224151"/>
            <w:r w:rsidRPr="00154588">
              <w:rPr>
                <w:bCs/>
                <w:sz w:val="20"/>
                <w:szCs w:val="20"/>
              </w:rPr>
              <w:t>menționate la următoarele articole din Regulamentul (UE) nr. 575/2013:</w:t>
            </w:r>
          </w:p>
          <w:p w14:paraId="3DCC9165" w14:textId="77777777" w:rsidR="00F4284C" w:rsidRPr="00154588" w:rsidRDefault="00F4284C" w:rsidP="008C12B4">
            <w:pPr>
              <w:jc w:val="both"/>
              <w:rPr>
                <w:bCs/>
                <w:sz w:val="20"/>
                <w:szCs w:val="20"/>
              </w:rPr>
            </w:pPr>
          </w:p>
          <w:p w14:paraId="2582DA76" w14:textId="3F626BC1" w:rsidR="00F4284C" w:rsidRPr="00154588" w:rsidRDefault="00F4284C" w:rsidP="008C12B4">
            <w:pPr>
              <w:jc w:val="both"/>
              <w:rPr>
                <w:bCs/>
                <w:sz w:val="20"/>
                <w:szCs w:val="20"/>
              </w:rPr>
            </w:pPr>
            <w:r w:rsidRPr="00154588">
              <w:rPr>
                <w:bCs/>
                <w:sz w:val="20"/>
                <w:szCs w:val="20"/>
              </w:rPr>
              <w:t>(a) articolul 72a;</w:t>
            </w:r>
          </w:p>
          <w:p w14:paraId="280396AB" w14:textId="77777777" w:rsidR="00F4284C" w:rsidRPr="00154588" w:rsidRDefault="00F4284C" w:rsidP="008C12B4">
            <w:pPr>
              <w:jc w:val="both"/>
              <w:rPr>
                <w:bCs/>
                <w:sz w:val="20"/>
                <w:szCs w:val="20"/>
              </w:rPr>
            </w:pPr>
          </w:p>
          <w:p w14:paraId="2557D095" w14:textId="1E273164" w:rsidR="00F4284C" w:rsidRPr="00154588" w:rsidRDefault="00F4284C" w:rsidP="008C12B4">
            <w:pPr>
              <w:jc w:val="both"/>
              <w:rPr>
                <w:bCs/>
                <w:sz w:val="20"/>
                <w:szCs w:val="20"/>
              </w:rPr>
            </w:pPr>
            <w:r w:rsidRPr="00154588">
              <w:rPr>
                <w:bCs/>
                <w:sz w:val="20"/>
                <w:szCs w:val="20"/>
              </w:rPr>
              <w:t>(b) articolul 72b, cu excepția literei (d) de la alineatul (2); și</w:t>
            </w:r>
          </w:p>
          <w:p w14:paraId="34E9979B" w14:textId="77777777" w:rsidR="00F4284C" w:rsidRPr="00154588" w:rsidRDefault="00F4284C" w:rsidP="008C12B4">
            <w:pPr>
              <w:jc w:val="both"/>
              <w:rPr>
                <w:bCs/>
                <w:sz w:val="20"/>
                <w:szCs w:val="20"/>
              </w:rPr>
            </w:pPr>
          </w:p>
          <w:p w14:paraId="23F0A6D1" w14:textId="77777777" w:rsidR="00F4284C" w:rsidRPr="00154588" w:rsidRDefault="00F4284C" w:rsidP="008C12B4">
            <w:pPr>
              <w:jc w:val="both"/>
              <w:rPr>
                <w:bCs/>
                <w:sz w:val="20"/>
                <w:szCs w:val="20"/>
              </w:rPr>
            </w:pPr>
          </w:p>
          <w:p w14:paraId="79CF0492" w14:textId="4D750AAB" w:rsidR="00F4284C" w:rsidRPr="00154588" w:rsidRDefault="00F4284C" w:rsidP="008C12B4">
            <w:pPr>
              <w:jc w:val="both"/>
              <w:rPr>
                <w:bCs/>
                <w:sz w:val="20"/>
                <w:szCs w:val="20"/>
              </w:rPr>
            </w:pPr>
            <w:r w:rsidRPr="00154588">
              <w:rPr>
                <w:bCs/>
                <w:sz w:val="20"/>
                <w:szCs w:val="20"/>
              </w:rPr>
              <w:t>(c) articolul 72c.</w:t>
            </w:r>
          </w:p>
          <w:bookmarkEnd w:id="54"/>
          <w:p w14:paraId="15EF49A2" w14:textId="77777777" w:rsidR="00F4284C" w:rsidRPr="00154588" w:rsidRDefault="00F4284C" w:rsidP="008C12B4">
            <w:pPr>
              <w:jc w:val="both"/>
              <w:rPr>
                <w:bCs/>
                <w:sz w:val="20"/>
                <w:szCs w:val="20"/>
              </w:rPr>
            </w:pPr>
          </w:p>
          <w:p w14:paraId="6EA27362" w14:textId="17E87FA1" w:rsidR="00F4284C" w:rsidRPr="00154588" w:rsidRDefault="00F4284C" w:rsidP="008C12B4">
            <w:pPr>
              <w:jc w:val="both"/>
              <w:rPr>
                <w:bCs/>
                <w:sz w:val="20"/>
                <w:szCs w:val="20"/>
              </w:rPr>
            </w:pPr>
            <w:bookmarkStart w:id="55" w:name="_Hlk234223116"/>
            <w:r w:rsidRPr="00154588">
              <w:rPr>
                <w:bCs/>
                <w:sz w:val="20"/>
                <w:szCs w:val="20"/>
              </w:rPr>
              <w:t>Prin derogare de la primul paragraf al prezentului alineat, în cazul în care prezenta directivă se referă la cerințele prevăzute la articolul 92a sau la articolul 92b din Regulamentul (UE) nr. 575/2013, în sensul acestor articole, datoriile eligibile constau în pasivele eligibile, astfel cum sunt definite la articolul 72k din regulamentul menționat și stabilite în conformitate cu partea II titlul I capitolul 5a din regulamentul menționat.</w:t>
            </w:r>
            <w:bookmarkEnd w:id="55"/>
          </w:p>
        </w:tc>
        <w:tc>
          <w:tcPr>
            <w:tcW w:w="4819" w:type="dxa"/>
          </w:tcPr>
          <w:p w14:paraId="5D43A7AC" w14:textId="29FF7305" w:rsidR="00F4284C" w:rsidRPr="00154588" w:rsidRDefault="00F4284C" w:rsidP="008C12B4">
            <w:pPr>
              <w:jc w:val="both"/>
              <w:rPr>
                <w:bCs/>
                <w:sz w:val="20"/>
                <w:szCs w:val="20"/>
              </w:rPr>
            </w:pPr>
            <w:r w:rsidRPr="00154588">
              <w:rPr>
                <w:b/>
                <w:sz w:val="20"/>
                <w:szCs w:val="20"/>
              </w:rPr>
              <w:t>Articolul 165.</w:t>
            </w:r>
            <w:r w:rsidRPr="00154588">
              <w:rPr>
                <w:bCs/>
                <w:sz w:val="20"/>
                <w:szCs w:val="20"/>
              </w:rPr>
              <w:t xml:space="preserve"> – (1) Datoriile sunt incluse în cuantumul fondurilor proprii și al datoriilor eligibile ale unei entități de rezoluție, numai dacă îndeplinesc condițiile prevăzute în reglementările Băncii Naționale a Moldovei emise în aplicarea art.164</w:t>
            </w:r>
            <w:r w:rsidRPr="00154588">
              <w:rPr>
                <w:sz w:val="20"/>
                <w:szCs w:val="20"/>
              </w:rPr>
              <w:t>-170</w:t>
            </w:r>
            <w:r w:rsidRPr="00154588">
              <w:rPr>
                <w:sz w:val="20"/>
                <w:szCs w:val="20"/>
                <w:vertAlign w:val="superscript"/>
              </w:rPr>
              <w:t>14</w:t>
            </w:r>
            <w:r w:rsidRPr="00154588">
              <w:rPr>
                <w:sz w:val="20"/>
                <w:szCs w:val="20"/>
              </w:rPr>
              <w:t xml:space="preserve"> din prezenta lege</w:t>
            </w:r>
            <w:r w:rsidRPr="00154588">
              <w:rPr>
                <w:bCs/>
                <w:sz w:val="20"/>
                <w:szCs w:val="20"/>
              </w:rPr>
              <w:t xml:space="preserve"> .</w:t>
            </w:r>
          </w:p>
          <w:p w14:paraId="7AA6512C" w14:textId="77777777" w:rsidR="00F4284C" w:rsidRPr="00154588" w:rsidRDefault="00F4284C" w:rsidP="008C12B4">
            <w:pPr>
              <w:rPr>
                <w:sz w:val="20"/>
                <w:szCs w:val="20"/>
              </w:rPr>
            </w:pPr>
          </w:p>
          <w:p w14:paraId="5F1674E7" w14:textId="77777777" w:rsidR="00F4284C" w:rsidRPr="00154588" w:rsidRDefault="00F4284C" w:rsidP="008C12B4">
            <w:pPr>
              <w:rPr>
                <w:sz w:val="20"/>
                <w:szCs w:val="20"/>
              </w:rPr>
            </w:pPr>
          </w:p>
          <w:p w14:paraId="5473184E" w14:textId="77777777" w:rsidR="00F4284C" w:rsidRPr="00154588" w:rsidRDefault="00F4284C" w:rsidP="008C12B4">
            <w:pPr>
              <w:rPr>
                <w:sz w:val="20"/>
                <w:szCs w:val="20"/>
              </w:rPr>
            </w:pPr>
          </w:p>
          <w:p w14:paraId="47364285" w14:textId="77777777" w:rsidR="00F4284C" w:rsidRPr="00154588" w:rsidRDefault="00F4284C" w:rsidP="008C12B4">
            <w:pPr>
              <w:rPr>
                <w:bCs/>
                <w:sz w:val="20"/>
                <w:szCs w:val="20"/>
              </w:rPr>
            </w:pPr>
          </w:p>
          <w:p w14:paraId="089ADA3E" w14:textId="77777777" w:rsidR="00F4284C" w:rsidRPr="00154588" w:rsidRDefault="00F4284C" w:rsidP="008C12B4">
            <w:pPr>
              <w:rPr>
                <w:sz w:val="20"/>
                <w:szCs w:val="20"/>
              </w:rPr>
            </w:pPr>
          </w:p>
          <w:p w14:paraId="720B6D3C" w14:textId="77777777" w:rsidR="00F4284C" w:rsidRPr="00154588" w:rsidRDefault="00F4284C" w:rsidP="008C12B4">
            <w:pPr>
              <w:rPr>
                <w:bCs/>
                <w:sz w:val="20"/>
                <w:szCs w:val="20"/>
              </w:rPr>
            </w:pPr>
          </w:p>
          <w:p w14:paraId="0346ABB7" w14:textId="77777777" w:rsidR="00F4284C" w:rsidRPr="00154588" w:rsidRDefault="00F4284C" w:rsidP="008C12B4">
            <w:pPr>
              <w:rPr>
                <w:bCs/>
                <w:sz w:val="20"/>
                <w:szCs w:val="20"/>
              </w:rPr>
            </w:pPr>
          </w:p>
          <w:p w14:paraId="277FA76A" w14:textId="5023508B" w:rsidR="00F4284C" w:rsidRPr="00154588" w:rsidRDefault="00F4284C" w:rsidP="008C12B4">
            <w:pPr>
              <w:rPr>
                <w:bCs/>
                <w:sz w:val="20"/>
                <w:szCs w:val="20"/>
              </w:rPr>
            </w:pPr>
            <w:r w:rsidRPr="00154588">
              <w:rPr>
                <w:sz w:val="20"/>
                <w:szCs w:val="20"/>
              </w:rPr>
              <w:t xml:space="preserve">(2) În cazul în care prezenta lege se referă la cerințele privind fondurile proprii și pasivele eligibile pentru G-SII </w:t>
            </w:r>
            <w:r w:rsidRPr="00154588">
              <w:rPr>
                <w:sz w:val="20"/>
                <w:szCs w:val="20"/>
                <w:lang w:val="ro-MD"/>
              </w:rPr>
              <w:t xml:space="preserve">și pentru G-SII din afara UE </w:t>
            </w:r>
            <w:r w:rsidRPr="00154588">
              <w:rPr>
                <w:sz w:val="20"/>
                <w:szCs w:val="20"/>
              </w:rPr>
              <w:t xml:space="preserve">, datoriile eligibile sunt  determinate în conformitate cu reglementările Băncii Naționale a Moldovei emise în aplicarea </w:t>
            </w:r>
            <w:bookmarkStart w:id="56" w:name="_Hlk234591607"/>
            <w:r w:rsidRPr="00154588">
              <w:rPr>
                <w:sz w:val="20"/>
                <w:szCs w:val="20"/>
              </w:rPr>
              <w:t>art.164-170</w:t>
            </w:r>
            <w:r w:rsidRPr="00154588">
              <w:rPr>
                <w:sz w:val="20"/>
                <w:szCs w:val="20"/>
                <w:vertAlign w:val="superscript"/>
              </w:rPr>
              <w:t>14</w:t>
            </w:r>
            <w:r w:rsidRPr="00154588">
              <w:rPr>
                <w:sz w:val="20"/>
                <w:szCs w:val="20"/>
              </w:rPr>
              <w:t xml:space="preserve"> din prezenta lege</w:t>
            </w:r>
            <w:bookmarkEnd w:id="56"/>
            <w:r w:rsidRPr="00154588">
              <w:rPr>
                <w:sz w:val="20"/>
                <w:szCs w:val="20"/>
              </w:rPr>
              <w:t>.</w:t>
            </w:r>
          </w:p>
        </w:tc>
        <w:tc>
          <w:tcPr>
            <w:tcW w:w="2552" w:type="dxa"/>
          </w:tcPr>
          <w:p w14:paraId="11C9C096" w14:textId="60500190" w:rsidR="00F4284C" w:rsidRPr="00154588" w:rsidRDefault="00F4284C" w:rsidP="008C12B4">
            <w:pPr>
              <w:jc w:val="both"/>
              <w:rPr>
                <w:bCs/>
                <w:sz w:val="20"/>
                <w:szCs w:val="20"/>
              </w:rPr>
            </w:pPr>
            <w:r w:rsidRPr="00154588">
              <w:rPr>
                <w:bCs/>
                <w:sz w:val="20"/>
                <w:szCs w:val="20"/>
              </w:rPr>
              <w:t>Compatibil</w:t>
            </w:r>
          </w:p>
        </w:tc>
        <w:tc>
          <w:tcPr>
            <w:tcW w:w="3118" w:type="dxa"/>
          </w:tcPr>
          <w:p w14:paraId="03EDF83D" w14:textId="56E69E92" w:rsidR="00F4284C" w:rsidRPr="00154588" w:rsidRDefault="00F4284C" w:rsidP="008C12B4">
            <w:pPr>
              <w:jc w:val="both"/>
              <w:rPr>
                <w:bCs/>
                <w:sz w:val="20"/>
                <w:szCs w:val="20"/>
              </w:rPr>
            </w:pPr>
          </w:p>
        </w:tc>
      </w:tr>
      <w:tr w:rsidR="00F4284C" w:rsidRPr="00154588" w14:paraId="5F756E87" w14:textId="77777777" w:rsidTr="00D15C1B">
        <w:trPr>
          <w:jc w:val="center"/>
        </w:trPr>
        <w:tc>
          <w:tcPr>
            <w:tcW w:w="4957" w:type="dxa"/>
            <w:gridSpan w:val="2"/>
          </w:tcPr>
          <w:p w14:paraId="2DE55EEA" w14:textId="77777777" w:rsidR="00F4284C" w:rsidRPr="00154588" w:rsidRDefault="00F4284C" w:rsidP="008C12B4">
            <w:pPr>
              <w:jc w:val="both"/>
              <w:rPr>
                <w:bCs/>
                <w:sz w:val="20"/>
                <w:szCs w:val="20"/>
              </w:rPr>
            </w:pPr>
            <w:r w:rsidRPr="00154588">
              <w:rPr>
                <w:bCs/>
                <w:sz w:val="20"/>
                <w:szCs w:val="20"/>
              </w:rPr>
              <w:t xml:space="preserve">(1a) Entitățile de rezoluție includ depozite în cuantumul fondurilor proprii și al datoriilor eligibile numai în cazul în care o astfel de includere a fost autorizată de autoritatea de rezoluție în conformitate cu alineatul (1b) și în cazul în care depozitele respective îndeplinesc toate condițiile următoare: </w:t>
            </w:r>
          </w:p>
          <w:p w14:paraId="3ABB7716" w14:textId="77777777" w:rsidR="00F4284C" w:rsidRPr="00154588" w:rsidRDefault="00F4284C" w:rsidP="008C12B4">
            <w:pPr>
              <w:jc w:val="both"/>
              <w:rPr>
                <w:bCs/>
                <w:sz w:val="20"/>
                <w:szCs w:val="20"/>
              </w:rPr>
            </w:pPr>
            <w:r w:rsidRPr="00154588">
              <w:rPr>
                <w:bCs/>
                <w:sz w:val="20"/>
                <w:szCs w:val="20"/>
              </w:rPr>
              <w:t xml:space="preserve">(a) depozitele îndeplinesc toate condițiile stabilite la alineatul (1) primul paragraf; </w:t>
            </w:r>
          </w:p>
          <w:p w14:paraId="7EB8451C" w14:textId="77777777" w:rsidR="00F4284C" w:rsidRPr="00154588" w:rsidRDefault="00F4284C" w:rsidP="008C12B4">
            <w:pPr>
              <w:jc w:val="both"/>
              <w:rPr>
                <w:bCs/>
                <w:sz w:val="20"/>
                <w:szCs w:val="20"/>
              </w:rPr>
            </w:pPr>
            <w:r w:rsidRPr="00154588">
              <w:rPr>
                <w:bCs/>
                <w:sz w:val="20"/>
                <w:szCs w:val="20"/>
              </w:rPr>
              <w:t xml:space="preserve">(b) depozitele nu sunt deținute de persoane fizice, microîntreprinderi și întreprinderi mici și mijlocii; </w:t>
            </w:r>
          </w:p>
          <w:p w14:paraId="1A8E801A" w14:textId="77777777" w:rsidR="00F4284C" w:rsidRPr="00154588" w:rsidRDefault="00F4284C" w:rsidP="008C12B4">
            <w:pPr>
              <w:jc w:val="both"/>
              <w:rPr>
                <w:bCs/>
                <w:sz w:val="20"/>
                <w:szCs w:val="20"/>
              </w:rPr>
            </w:pPr>
            <w:r w:rsidRPr="00154588">
              <w:rPr>
                <w:bCs/>
                <w:sz w:val="20"/>
                <w:szCs w:val="20"/>
              </w:rPr>
              <w:t xml:space="preserve">(c) depozitele sunt depozite la termen cu o scadență inițială de cel puțin un an și nu conferă deținătorului dreptul la rambursare anticipată, nici măcar în cazul în care rambursarea anticipată este condiționată de plata unei penalități; </w:t>
            </w:r>
          </w:p>
          <w:p w14:paraId="425962B9" w14:textId="77777777" w:rsidR="00F4284C" w:rsidRPr="00154588" w:rsidRDefault="00F4284C" w:rsidP="008C12B4">
            <w:pPr>
              <w:jc w:val="both"/>
              <w:rPr>
                <w:bCs/>
                <w:sz w:val="20"/>
                <w:szCs w:val="20"/>
              </w:rPr>
            </w:pPr>
            <w:r w:rsidRPr="00154588">
              <w:rPr>
                <w:bCs/>
                <w:sz w:val="20"/>
                <w:szCs w:val="20"/>
              </w:rPr>
              <w:lastRenderedPageBreak/>
              <w:t xml:space="preserve">(d) documentația contractuală relevantă se referă în mod explicit la: </w:t>
            </w:r>
          </w:p>
          <w:p w14:paraId="7D31353E" w14:textId="77777777" w:rsidR="00F4284C" w:rsidRPr="00154588" w:rsidRDefault="00F4284C" w:rsidP="008C12B4">
            <w:pPr>
              <w:jc w:val="both"/>
              <w:rPr>
                <w:bCs/>
                <w:sz w:val="20"/>
                <w:szCs w:val="20"/>
              </w:rPr>
            </w:pPr>
            <w:r w:rsidRPr="00154588">
              <w:rPr>
                <w:bCs/>
                <w:sz w:val="20"/>
                <w:szCs w:val="20"/>
              </w:rPr>
              <w:t xml:space="preserve">         (i) intenția entității de rezoluție de a include depozitele în cuantumul fondurilor proprii și al datoriilor eligibile; </w:t>
            </w:r>
          </w:p>
          <w:p w14:paraId="2D448703" w14:textId="5DB63610" w:rsidR="00F4284C" w:rsidRPr="00154588" w:rsidRDefault="00F4284C" w:rsidP="008C12B4">
            <w:pPr>
              <w:jc w:val="both"/>
              <w:rPr>
                <w:bCs/>
                <w:sz w:val="20"/>
                <w:szCs w:val="20"/>
              </w:rPr>
            </w:pPr>
            <w:r w:rsidRPr="00154588">
              <w:rPr>
                <w:bCs/>
                <w:sz w:val="20"/>
                <w:szCs w:val="20"/>
              </w:rPr>
              <w:t xml:space="preserve">        (ii) excluderea depozitelor din orice rambursare de către o schemă de garantare a depozitelor în temeiul articolului 5 alineatul (1) litera (l) din Directiva 2014/49/UE.</w:t>
            </w:r>
          </w:p>
        </w:tc>
        <w:tc>
          <w:tcPr>
            <w:tcW w:w="4819" w:type="dxa"/>
          </w:tcPr>
          <w:p w14:paraId="6C358EB0" w14:textId="0D03EA06" w:rsidR="00F4284C" w:rsidRPr="00154588" w:rsidRDefault="00F4284C" w:rsidP="008C12B4">
            <w:pPr>
              <w:jc w:val="both"/>
              <w:rPr>
                <w:sz w:val="20"/>
                <w:szCs w:val="20"/>
              </w:rPr>
            </w:pPr>
            <w:r w:rsidRPr="00154588">
              <w:rPr>
                <w:sz w:val="20"/>
                <w:szCs w:val="20"/>
              </w:rPr>
              <w:lastRenderedPageBreak/>
              <w:t xml:space="preserve">(3) Entitățile de rezoluție includ depozite în cuantumul fondurilor proprii și al datoriilor eligibile numai în cazul în care o astfel de includere a fost autorizată de autoritatea de rezoluție în conformitate cu alin.(4) și în cazul în care depozitele respective îndeplinesc toate condițiile următoare: </w:t>
            </w:r>
          </w:p>
          <w:p w14:paraId="5DAFF457" w14:textId="3A776947" w:rsidR="00F4284C" w:rsidRPr="00154588" w:rsidRDefault="00F4284C" w:rsidP="008C12B4">
            <w:pPr>
              <w:jc w:val="both"/>
              <w:rPr>
                <w:sz w:val="20"/>
                <w:szCs w:val="20"/>
              </w:rPr>
            </w:pPr>
            <w:r w:rsidRPr="00154588">
              <w:rPr>
                <w:sz w:val="20"/>
                <w:szCs w:val="20"/>
              </w:rPr>
              <w:t xml:space="preserve">a) depozitele îndeplinesc toate condițiile de includere conform alin.(1); </w:t>
            </w:r>
          </w:p>
          <w:p w14:paraId="423D97EE" w14:textId="120EA256" w:rsidR="00F4284C" w:rsidRPr="00154588" w:rsidRDefault="00F4284C" w:rsidP="008C12B4">
            <w:pPr>
              <w:jc w:val="both"/>
              <w:rPr>
                <w:sz w:val="20"/>
                <w:szCs w:val="20"/>
              </w:rPr>
            </w:pPr>
            <w:r w:rsidRPr="00154588">
              <w:rPr>
                <w:sz w:val="20"/>
                <w:szCs w:val="20"/>
              </w:rPr>
              <w:t xml:space="preserve">b) depozitele nu sunt deținute de persoane fizice, microîntreprinderi și întreprinderi mici și mijlocii; </w:t>
            </w:r>
          </w:p>
          <w:p w14:paraId="4FFA55A2" w14:textId="19283082" w:rsidR="00F4284C" w:rsidRPr="00154588" w:rsidRDefault="00F4284C" w:rsidP="008C12B4">
            <w:pPr>
              <w:jc w:val="both"/>
              <w:rPr>
                <w:sz w:val="20"/>
                <w:szCs w:val="20"/>
              </w:rPr>
            </w:pPr>
            <w:r w:rsidRPr="00154588">
              <w:rPr>
                <w:sz w:val="20"/>
                <w:szCs w:val="20"/>
              </w:rPr>
              <w:t xml:space="preserve">c) depozitele sunt depozite la termen cu o scadență inițială de cel puțin un an și nu conferă deținătorului dreptul la rambursare anticipată, nici măcar în cazul în care rambursarea anticipată este condiționată de plata unei penalități; </w:t>
            </w:r>
          </w:p>
          <w:p w14:paraId="51B40F54" w14:textId="75D5BB43" w:rsidR="00F4284C" w:rsidRPr="00154588" w:rsidRDefault="00F4284C" w:rsidP="008C12B4">
            <w:pPr>
              <w:jc w:val="both"/>
              <w:rPr>
                <w:sz w:val="20"/>
                <w:szCs w:val="20"/>
              </w:rPr>
            </w:pPr>
            <w:r w:rsidRPr="00154588">
              <w:rPr>
                <w:sz w:val="20"/>
                <w:szCs w:val="20"/>
              </w:rPr>
              <w:lastRenderedPageBreak/>
              <w:t xml:space="preserve">d) documentația contractuală relevantă se referă în mod explicit la: </w:t>
            </w:r>
          </w:p>
          <w:p w14:paraId="03BCDD70" w14:textId="77777777" w:rsidR="00F4284C" w:rsidRPr="00154588" w:rsidRDefault="00F4284C" w:rsidP="008C12B4">
            <w:pPr>
              <w:jc w:val="both"/>
              <w:rPr>
                <w:sz w:val="20"/>
                <w:szCs w:val="20"/>
              </w:rPr>
            </w:pPr>
            <w:r w:rsidRPr="00154588">
              <w:rPr>
                <w:sz w:val="20"/>
                <w:szCs w:val="20"/>
              </w:rPr>
              <w:t xml:space="preserve">         (i) intenția entității de rezoluție de a include depozitele în cuantumul fondurilor proprii și al datoriilor eligibile; </w:t>
            </w:r>
          </w:p>
          <w:p w14:paraId="38FC4473" w14:textId="237DE038" w:rsidR="00F4284C" w:rsidRPr="00154588" w:rsidRDefault="00F4284C" w:rsidP="008C12B4">
            <w:pPr>
              <w:jc w:val="both"/>
              <w:rPr>
                <w:bCs/>
                <w:sz w:val="20"/>
                <w:szCs w:val="20"/>
              </w:rPr>
            </w:pPr>
            <w:r w:rsidRPr="00154588">
              <w:rPr>
                <w:sz w:val="20"/>
                <w:szCs w:val="20"/>
              </w:rPr>
              <w:t xml:space="preserve">        (ii) excluderea depozitelor, care îndeplinesc condițiile mentionate la lit.a)-d) din prezentul alineat, inclusiv depozitele cu o scadență reziduală mai mica de un an, din orice rambursare de către o Fondul de garantare a depositelor în sistemul bancar.</w:t>
            </w:r>
          </w:p>
        </w:tc>
        <w:tc>
          <w:tcPr>
            <w:tcW w:w="2552" w:type="dxa"/>
          </w:tcPr>
          <w:p w14:paraId="40DAB8C2" w14:textId="6DFEF1AC"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21EEC12C" w14:textId="77777777" w:rsidR="00F4284C" w:rsidRPr="00154588" w:rsidRDefault="00F4284C" w:rsidP="008C12B4">
            <w:pPr>
              <w:jc w:val="both"/>
              <w:rPr>
                <w:bCs/>
                <w:sz w:val="20"/>
                <w:szCs w:val="20"/>
              </w:rPr>
            </w:pPr>
          </w:p>
        </w:tc>
      </w:tr>
      <w:tr w:rsidR="00F4284C" w:rsidRPr="00154588" w14:paraId="4C5C8FF7" w14:textId="77777777" w:rsidTr="00D15C1B">
        <w:trPr>
          <w:jc w:val="center"/>
        </w:trPr>
        <w:tc>
          <w:tcPr>
            <w:tcW w:w="4957" w:type="dxa"/>
            <w:gridSpan w:val="2"/>
          </w:tcPr>
          <w:p w14:paraId="6C310A0E" w14:textId="77777777" w:rsidR="00F4284C" w:rsidRPr="00154588" w:rsidRDefault="00F4284C" w:rsidP="008C12B4">
            <w:pPr>
              <w:jc w:val="both"/>
              <w:rPr>
                <w:bCs/>
                <w:sz w:val="20"/>
                <w:szCs w:val="20"/>
              </w:rPr>
            </w:pPr>
            <w:r w:rsidRPr="00154588">
              <w:rPr>
                <w:bCs/>
                <w:sz w:val="20"/>
                <w:szCs w:val="20"/>
              </w:rPr>
              <w:t xml:space="preserve">(1b) Autoritatea de rezoluție poate autoriza entitatea de rezoluție să includă în totalitate sau parțial depozitele în cuantumul fondurilor proprii și al datoriilor eligibile dacă constată că sunt îndeplinite cumulativ următoarele condiții: </w:t>
            </w:r>
          </w:p>
          <w:p w14:paraId="2A97BCCF" w14:textId="1CF132A8" w:rsidR="00F4284C" w:rsidRPr="00154588" w:rsidRDefault="00F4284C" w:rsidP="008C12B4">
            <w:pPr>
              <w:jc w:val="both"/>
              <w:rPr>
                <w:bCs/>
                <w:sz w:val="20"/>
                <w:szCs w:val="20"/>
              </w:rPr>
            </w:pPr>
            <w:r w:rsidRPr="00154588">
              <w:rPr>
                <w:bCs/>
                <w:sz w:val="20"/>
                <w:szCs w:val="20"/>
              </w:rPr>
              <w:t xml:space="preserve">(a) autoritatea de rezoluție anticipează că depozitele respective nu vor fi excluse în totalitate sau parțial de la recapitalizarea internă în temeiul articolului 44 alineatul (3) sau că nu vor fi transferate integral unui destinatar în cadrul unui transfer parțial; </w:t>
            </w:r>
          </w:p>
          <w:p w14:paraId="5C0AA02C" w14:textId="77777777" w:rsidR="00F4284C" w:rsidRPr="00154588" w:rsidRDefault="00F4284C" w:rsidP="008C12B4">
            <w:pPr>
              <w:jc w:val="both"/>
              <w:rPr>
                <w:bCs/>
                <w:sz w:val="20"/>
                <w:szCs w:val="20"/>
              </w:rPr>
            </w:pPr>
            <w:r w:rsidRPr="00154588">
              <w:rPr>
                <w:bCs/>
                <w:sz w:val="20"/>
                <w:szCs w:val="20"/>
              </w:rPr>
              <w:t xml:space="preserve">(b) autoritatea de rezoluție a concluzionat că includerea nu constituie sau este puțin probabil să constituie un obstacol semnificativ în calea posibilității de soluționare, în special din cauza impactului asupra fezabilității utilizării instrumentelor de rezoluție într-un mod care să permită îndeplinirea obiectivelor rezoluției. </w:t>
            </w:r>
          </w:p>
          <w:p w14:paraId="5279C64E" w14:textId="77777777" w:rsidR="00F4284C" w:rsidRPr="00154588" w:rsidRDefault="00F4284C" w:rsidP="008C12B4">
            <w:pPr>
              <w:jc w:val="both"/>
              <w:rPr>
                <w:bCs/>
                <w:sz w:val="20"/>
                <w:szCs w:val="20"/>
              </w:rPr>
            </w:pPr>
          </w:p>
          <w:p w14:paraId="2BFE07C8" w14:textId="1EAF9F2A" w:rsidR="00F4284C" w:rsidRPr="00154588" w:rsidRDefault="00F4284C" w:rsidP="008C12B4">
            <w:pPr>
              <w:jc w:val="both"/>
              <w:rPr>
                <w:bCs/>
                <w:sz w:val="20"/>
                <w:szCs w:val="20"/>
              </w:rPr>
            </w:pPr>
            <w:r w:rsidRPr="00154588">
              <w:rPr>
                <w:bCs/>
                <w:sz w:val="20"/>
                <w:szCs w:val="20"/>
              </w:rPr>
              <w:t>Autoritatea de rezoluție retrage autorizația în cazul în care ajunge la concluzia că oricare dintre condițiile menționate la primul paragraf nu mai este îndeplinită. În acest caz, entitatea de rezoluție încetează să includă depozitele în cuantumul fondurilor proprii și al datoriilor eligibile</w:t>
            </w:r>
          </w:p>
        </w:tc>
        <w:tc>
          <w:tcPr>
            <w:tcW w:w="4819" w:type="dxa"/>
          </w:tcPr>
          <w:p w14:paraId="486F4B9A" w14:textId="77777777" w:rsidR="00F4284C" w:rsidRPr="00154588" w:rsidRDefault="00F4284C" w:rsidP="008C12B4">
            <w:pPr>
              <w:jc w:val="both"/>
              <w:rPr>
                <w:sz w:val="20"/>
                <w:szCs w:val="20"/>
              </w:rPr>
            </w:pPr>
            <w:bookmarkStart w:id="57" w:name="_Hlk234591912"/>
            <w:r w:rsidRPr="00154588">
              <w:rPr>
                <w:sz w:val="20"/>
                <w:szCs w:val="20"/>
              </w:rPr>
              <w:t xml:space="preserve">(4) Banca Națională în calitate de autoritatea de rezoluție poate autoriza entitatea de rezoluție să includă în totalitate sau parțial depozitele în cuantumul fondurilor proprii și al datoriilor eligibile dacă constată că sunt îndeplinite cumulativ următoarele condiții: </w:t>
            </w:r>
          </w:p>
          <w:p w14:paraId="1D2A4861" w14:textId="06CA712A" w:rsidR="00F4284C" w:rsidRPr="00154588" w:rsidRDefault="00F4284C" w:rsidP="008C12B4">
            <w:pPr>
              <w:jc w:val="both"/>
              <w:rPr>
                <w:sz w:val="20"/>
                <w:szCs w:val="20"/>
              </w:rPr>
            </w:pPr>
            <w:r w:rsidRPr="00154588">
              <w:rPr>
                <w:sz w:val="20"/>
                <w:szCs w:val="20"/>
              </w:rPr>
              <w:t>a) autoritatea de rezoluție anticipează că depozitele respective nu vor fi excluse în totalitate sau parțial de la recapitalizarea internă în temeiul art.155</w:t>
            </w:r>
            <w:r w:rsidRPr="00154588">
              <w:rPr>
                <w:sz w:val="20"/>
                <w:szCs w:val="20"/>
                <w:vertAlign w:val="superscript"/>
              </w:rPr>
              <w:t xml:space="preserve">1 </w:t>
            </w:r>
            <w:r w:rsidRPr="00154588">
              <w:rPr>
                <w:sz w:val="20"/>
                <w:szCs w:val="20"/>
              </w:rPr>
              <w:t xml:space="preserve">sau că nu vor fi transferate integral unui destinatar în cadrul unui transfer parțial; </w:t>
            </w:r>
          </w:p>
          <w:p w14:paraId="7980B0CF" w14:textId="77777777" w:rsidR="00F4284C" w:rsidRPr="00154588" w:rsidRDefault="00F4284C" w:rsidP="008C12B4">
            <w:pPr>
              <w:jc w:val="both"/>
              <w:rPr>
                <w:sz w:val="20"/>
                <w:szCs w:val="20"/>
              </w:rPr>
            </w:pPr>
            <w:r w:rsidRPr="00154588">
              <w:rPr>
                <w:sz w:val="20"/>
                <w:szCs w:val="20"/>
              </w:rPr>
              <w:t xml:space="preserve">b) autoritatea de rezoluție a concluzionat că includerea nu constituie sau este puțin probabil să constituie un obstacol semnificativ în calea posibilității de soluționare, în special din cauza impactului asupra fezabilității utilizării instrumentelor de rezoluție într-un mod care să permită îndeplinirea obiectivelor rezoluției. </w:t>
            </w:r>
          </w:p>
          <w:p w14:paraId="4B7D54F4" w14:textId="2F0F86F5" w:rsidR="00F4284C" w:rsidRPr="00154588" w:rsidRDefault="00F4284C" w:rsidP="008C12B4">
            <w:pPr>
              <w:jc w:val="both"/>
              <w:rPr>
                <w:bCs/>
                <w:sz w:val="20"/>
                <w:szCs w:val="20"/>
              </w:rPr>
            </w:pPr>
            <w:r w:rsidRPr="00154588">
              <w:rPr>
                <w:sz w:val="20"/>
                <w:szCs w:val="20"/>
              </w:rPr>
              <w:t>(5)Autoritatea de rezoluție retrage autorizația în cazul în care ajunge la concluzia că oricare dintre condițiile menționate la alin.(4) nu mai este îndeplinită. În acest caz, entitatea de rezoluție încetează să includă depozitele în cuantumul fondurilor proprii și al datoriilor eligibile</w:t>
            </w:r>
            <w:bookmarkEnd w:id="57"/>
          </w:p>
        </w:tc>
        <w:tc>
          <w:tcPr>
            <w:tcW w:w="2552" w:type="dxa"/>
          </w:tcPr>
          <w:p w14:paraId="2230F18E" w14:textId="4A165A19" w:rsidR="00F4284C" w:rsidRPr="00154588" w:rsidRDefault="00F4284C" w:rsidP="008C12B4">
            <w:pPr>
              <w:jc w:val="both"/>
              <w:rPr>
                <w:bCs/>
                <w:sz w:val="20"/>
                <w:szCs w:val="20"/>
              </w:rPr>
            </w:pPr>
            <w:r w:rsidRPr="00154588">
              <w:rPr>
                <w:bCs/>
                <w:sz w:val="20"/>
                <w:szCs w:val="20"/>
              </w:rPr>
              <w:t>Compatibil</w:t>
            </w:r>
          </w:p>
        </w:tc>
        <w:tc>
          <w:tcPr>
            <w:tcW w:w="3118" w:type="dxa"/>
          </w:tcPr>
          <w:p w14:paraId="4AAF910E" w14:textId="77777777" w:rsidR="00F4284C" w:rsidRPr="00154588" w:rsidRDefault="00F4284C" w:rsidP="008C12B4">
            <w:pPr>
              <w:jc w:val="both"/>
              <w:rPr>
                <w:bCs/>
                <w:sz w:val="20"/>
                <w:szCs w:val="20"/>
              </w:rPr>
            </w:pPr>
          </w:p>
        </w:tc>
      </w:tr>
      <w:tr w:rsidR="00F4284C" w:rsidRPr="00154588" w14:paraId="11BB5ABE" w14:textId="77777777" w:rsidTr="00D15C1B">
        <w:trPr>
          <w:jc w:val="center"/>
        </w:trPr>
        <w:tc>
          <w:tcPr>
            <w:tcW w:w="4957" w:type="dxa"/>
            <w:gridSpan w:val="2"/>
          </w:tcPr>
          <w:p w14:paraId="6A9FCF6D" w14:textId="77777777" w:rsidR="00F4284C" w:rsidRPr="00154588" w:rsidRDefault="00F4284C" w:rsidP="008C12B4">
            <w:pPr>
              <w:jc w:val="both"/>
              <w:rPr>
                <w:bCs/>
                <w:sz w:val="20"/>
                <w:szCs w:val="20"/>
              </w:rPr>
            </w:pPr>
            <w:r w:rsidRPr="00154588">
              <w:rPr>
                <w:bCs/>
                <w:sz w:val="20"/>
                <w:szCs w:val="20"/>
              </w:rPr>
              <w:t>(2)   Datoriile care provin din instrumente de datorie cu instrumente derivate încorporate, cum ar fi produsele structurate, care îndeplinesc condițiile prevăzute la primul paragraf de la alineatul (1), cu excepția articolului 72a alineatul (2) litera (l) din Regulamentul (UE) nr. 575/2013, se includ în cuantumul fondurilor proprii și al datoriilor eligibile numai în cazul în care este îndeplinită una dintre condițiile următoare:</w:t>
            </w:r>
          </w:p>
          <w:p w14:paraId="1AFE6AE4" w14:textId="77777777" w:rsidR="00F4284C" w:rsidRPr="00154588" w:rsidRDefault="00F4284C" w:rsidP="008C12B4">
            <w:pPr>
              <w:jc w:val="both"/>
              <w:rPr>
                <w:bCs/>
                <w:sz w:val="20"/>
                <w:szCs w:val="20"/>
              </w:rPr>
            </w:pPr>
          </w:p>
          <w:p w14:paraId="72456315" w14:textId="60042B4F" w:rsidR="00F4284C" w:rsidRPr="00154588" w:rsidRDefault="00F4284C" w:rsidP="008C12B4">
            <w:pPr>
              <w:jc w:val="both"/>
              <w:rPr>
                <w:bCs/>
                <w:sz w:val="20"/>
                <w:szCs w:val="20"/>
              </w:rPr>
            </w:pPr>
            <w:r w:rsidRPr="00154588">
              <w:rPr>
                <w:bCs/>
                <w:sz w:val="20"/>
                <w:szCs w:val="20"/>
              </w:rPr>
              <w:t xml:space="preserve">(a) cuantumul principalului obligației care provine din instrumentul de datorie este cunoscut la momentul </w:t>
            </w:r>
            <w:r w:rsidRPr="00154588">
              <w:rPr>
                <w:bCs/>
                <w:sz w:val="20"/>
                <w:szCs w:val="20"/>
              </w:rPr>
              <w:lastRenderedPageBreak/>
              <w:t>emiterii, este fix sau în creștere și nu este afectat de nicio caracteristică a instrumentului derivat încorporat, iar cuantumul total al obligației care provine din instrumentul de datorie inclusiv instrumentul derivat încorporat, poate fi evaluat zilnic prin referință la o piață bidirecțională activă și lichidă pentru un instrument echivalent fără risc de credit, în conformitate cu articolele 104 și 105 din Regulamentul (UE) nr. 575/2013; sau</w:t>
            </w:r>
          </w:p>
          <w:p w14:paraId="6AF71F27" w14:textId="77777777" w:rsidR="00F4284C" w:rsidRPr="00154588" w:rsidRDefault="00F4284C" w:rsidP="008C12B4">
            <w:pPr>
              <w:jc w:val="both"/>
              <w:rPr>
                <w:bCs/>
                <w:sz w:val="20"/>
                <w:szCs w:val="20"/>
              </w:rPr>
            </w:pPr>
          </w:p>
          <w:p w14:paraId="0C94DC52" w14:textId="77777777" w:rsidR="00F4284C" w:rsidRPr="00154588" w:rsidRDefault="00F4284C" w:rsidP="008C12B4">
            <w:pPr>
              <w:jc w:val="both"/>
              <w:rPr>
                <w:bCs/>
                <w:sz w:val="20"/>
                <w:szCs w:val="20"/>
              </w:rPr>
            </w:pPr>
            <w:r w:rsidRPr="00154588">
              <w:rPr>
                <w:bCs/>
                <w:sz w:val="20"/>
                <w:szCs w:val="20"/>
              </w:rPr>
              <w:t>(b) instrumentul de datorie include o clauză contractuală care precizează că valoarea creanței în caz de insolvență a emitentului și de rezoluție a emitentului este fixă sau în creștere și nu depășește cuantumul datoriei plătite inițial.</w:t>
            </w:r>
          </w:p>
          <w:p w14:paraId="1586D60C" w14:textId="77777777" w:rsidR="00F4284C" w:rsidRPr="00154588" w:rsidRDefault="00F4284C" w:rsidP="008C12B4">
            <w:pPr>
              <w:jc w:val="both"/>
              <w:rPr>
                <w:bCs/>
                <w:sz w:val="20"/>
                <w:szCs w:val="20"/>
              </w:rPr>
            </w:pPr>
          </w:p>
          <w:p w14:paraId="203E86D2" w14:textId="77777777" w:rsidR="00F4284C" w:rsidRPr="00154588" w:rsidRDefault="00F4284C" w:rsidP="008C12B4">
            <w:pPr>
              <w:jc w:val="both"/>
              <w:rPr>
                <w:bCs/>
                <w:sz w:val="20"/>
                <w:szCs w:val="20"/>
              </w:rPr>
            </w:pPr>
          </w:p>
          <w:p w14:paraId="41D20A5D" w14:textId="77777777" w:rsidR="00F4284C" w:rsidRPr="00154588" w:rsidRDefault="00F4284C" w:rsidP="008C12B4">
            <w:pPr>
              <w:jc w:val="both"/>
              <w:rPr>
                <w:bCs/>
                <w:sz w:val="20"/>
                <w:szCs w:val="20"/>
              </w:rPr>
            </w:pPr>
            <w:r w:rsidRPr="00154588">
              <w:rPr>
                <w:bCs/>
                <w:sz w:val="20"/>
                <w:szCs w:val="20"/>
              </w:rPr>
              <w:t>Instrumentele de datorie menționate la primul paragraf, inclusiv instrumentele derivate încorporate aferente acestora, nu fac obiectul niciunui acord de compensare, iar evaluarea unor astfel de instrumente nu face obiectul articolului 49 alineatul (3).</w:t>
            </w:r>
          </w:p>
          <w:p w14:paraId="31E47404" w14:textId="77777777" w:rsidR="00F4284C" w:rsidRPr="00154588" w:rsidRDefault="00F4284C" w:rsidP="008C12B4">
            <w:pPr>
              <w:jc w:val="both"/>
              <w:rPr>
                <w:bCs/>
                <w:sz w:val="20"/>
                <w:szCs w:val="20"/>
              </w:rPr>
            </w:pPr>
          </w:p>
          <w:p w14:paraId="377B6347" w14:textId="24439C50" w:rsidR="00F4284C" w:rsidRPr="00154588" w:rsidRDefault="00F4284C" w:rsidP="008C12B4">
            <w:pPr>
              <w:jc w:val="both"/>
              <w:rPr>
                <w:bCs/>
                <w:sz w:val="20"/>
                <w:szCs w:val="20"/>
              </w:rPr>
            </w:pPr>
            <w:r w:rsidRPr="00154588">
              <w:rPr>
                <w:bCs/>
                <w:sz w:val="20"/>
                <w:szCs w:val="20"/>
              </w:rPr>
              <w:t>Datoriile menționate la primul paragraf sunt incluse în cuantumul fondurilor proprii și al datoriilor eligibile doar în ceea ce privește partea datoriei care corespunde cuantumului principalului menționat la litera (a) de la respectivul paragraf ori cuantumului fix sau în creștere menționat la litera (b) de la respectivul paragraf.</w:t>
            </w:r>
          </w:p>
        </w:tc>
        <w:tc>
          <w:tcPr>
            <w:tcW w:w="4819" w:type="dxa"/>
          </w:tcPr>
          <w:p w14:paraId="52B3D0D4" w14:textId="4C7F3D59" w:rsidR="00F4284C" w:rsidRPr="00154588" w:rsidRDefault="00F4284C" w:rsidP="008C12B4">
            <w:pPr>
              <w:jc w:val="both"/>
              <w:rPr>
                <w:sz w:val="20"/>
                <w:szCs w:val="20"/>
              </w:rPr>
            </w:pPr>
            <w:bookmarkStart w:id="58" w:name="_Hlk234310026"/>
            <w:r w:rsidRPr="00154588">
              <w:rPr>
                <w:b/>
                <w:sz w:val="20"/>
                <w:szCs w:val="20"/>
              </w:rPr>
              <w:lastRenderedPageBreak/>
              <w:t>Articolul 165</w:t>
            </w:r>
            <w:r w:rsidRPr="00154588">
              <w:rPr>
                <w:b/>
                <w:sz w:val="20"/>
                <w:szCs w:val="20"/>
                <w:vertAlign w:val="superscript"/>
              </w:rPr>
              <w:t>1</w:t>
            </w:r>
            <w:r w:rsidRPr="00154588">
              <w:rPr>
                <w:sz w:val="20"/>
                <w:szCs w:val="20"/>
              </w:rPr>
              <w:t xml:space="preserve">. – </w:t>
            </w:r>
            <w:bookmarkStart w:id="59" w:name="_Hlk234593019"/>
            <w:r w:rsidRPr="00154588">
              <w:rPr>
                <w:sz w:val="20"/>
                <w:szCs w:val="20"/>
              </w:rPr>
              <w:t>(1) Datoriile care provin din instrumente de datorie cu instrumente financiare derivate încorporate, cum ar fi produsele structurate, care îndeplinesc condițiile prevăzute la art.165 alin. (1), se includ în suma fondurilor proprii și a datoriilor eligibile numai dac</w:t>
            </w:r>
            <w:r w:rsidRPr="00154588">
              <w:rPr>
                <w:sz w:val="20"/>
                <w:szCs w:val="20"/>
                <w:lang w:val="ro-MD"/>
              </w:rPr>
              <w:t xml:space="preserve">ă </w:t>
            </w:r>
            <w:r w:rsidRPr="00154588">
              <w:rPr>
                <w:sz w:val="20"/>
                <w:szCs w:val="20"/>
              </w:rPr>
              <w:t>nu sunt excluse din categoria pasivelor eligibile în conformitate cu reglementările Băncii Naționale a Moldovei emise în aplicarea art. 60, 61 și 62 din Legea nr. 202/2017 și este îndeplinită una dintre următoarele condiții:</w:t>
            </w:r>
          </w:p>
          <w:p w14:paraId="575F4076" w14:textId="37AD38AC" w:rsidR="00F4284C" w:rsidRPr="00154588" w:rsidRDefault="00F4284C" w:rsidP="008C12B4">
            <w:pPr>
              <w:jc w:val="both"/>
              <w:rPr>
                <w:sz w:val="20"/>
                <w:szCs w:val="20"/>
              </w:rPr>
            </w:pPr>
            <w:r w:rsidRPr="00154588">
              <w:rPr>
                <w:sz w:val="20"/>
                <w:szCs w:val="20"/>
              </w:rPr>
              <w:lastRenderedPageBreak/>
              <w:t>a) valoarea principalului obligației care provine din instrumentul de datorie este cunoscută la momentul emiterii, este fixă sau în creștere și nu este afectată de nicio caracteristică a instrumentului derivat încorporat, iar valoarea totală a obligației care provine din instrumentul de datorie inclusiv instrumentul derivat încorporat, poate fi evaluată zilnic prin referință la o piață bidirecțională activă și lichidă pentru un instrument echivalent fără risc de credit, în conformitate cu reglementările Băncii Naționale a Moldovei  emise în aplicarea art.60 și 71 din Legea nr.202/2017; sau</w:t>
            </w:r>
          </w:p>
          <w:p w14:paraId="7C38DAD6" w14:textId="77777777" w:rsidR="00F4284C" w:rsidRPr="00154588" w:rsidRDefault="00F4284C" w:rsidP="008C12B4">
            <w:pPr>
              <w:jc w:val="both"/>
              <w:rPr>
                <w:sz w:val="20"/>
                <w:szCs w:val="20"/>
              </w:rPr>
            </w:pPr>
            <w:r w:rsidRPr="00154588">
              <w:rPr>
                <w:sz w:val="20"/>
                <w:szCs w:val="20"/>
              </w:rPr>
              <w:t>b) instrumentul de datorie include o clauză contractuală care precizează că valoarea creanței în caz de insolvabilitate sau de rezoluție a emitentului este fixă sau în creștere și nu depășește suma plătită inițial.</w:t>
            </w:r>
          </w:p>
          <w:bookmarkEnd w:id="58"/>
          <w:p w14:paraId="7871AC92" w14:textId="77777777" w:rsidR="00F4284C" w:rsidRPr="00154588" w:rsidRDefault="00F4284C" w:rsidP="008C12B4">
            <w:pPr>
              <w:jc w:val="both"/>
              <w:rPr>
                <w:sz w:val="20"/>
                <w:szCs w:val="20"/>
              </w:rPr>
            </w:pPr>
          </w:p>
          <w:p w14:paraId="2C303A21" w14:textId="4A9AF763" w:rsidR="00F4284C" w:rsidRPr="00154588" w:rsidRDefault="00F4284C" w:rsidP="008C12B4">
            <w:pPr>
              <w:jc w:val="both"/>
              <w:rPr>
                <w:sz w:val="20"/>
                <w:szCs w:val="20"/>
              </w:rPr>
            </w:pPr>
            <w:r w:rsidRPr="00154588">
              <w:rPr>
                <w:sz w:val="20"/>
                <w:szCs w:val="20"/>
              </w:rPr>
              <w:t>(2) Instrumentele de datorie prevăzute la alin.(1), inclusiv instrumentele derivate încorporate aferente acestora, nu fac obiectul niciunui acord de compensare, iar evaluarea unor astfel de instrumente nu face obiectul art.188.</w:t>
            </w:r>
          </w:p>
          <w:p w14:paraId="5132DD87" w14:textId="77777777" w:rsidR="00F4284C" w:rsidRPr="00154588" w:rsidRDefault="00F4284C" w:rsidP="008C12B4">
            <w:pPr>
              <w:jc w:val="both"/>
              <w:rPr>
                <w:sz w:val="20"/>
                <w:szCs w:val="20"/>
              </w:rPr>
            </w:pPr>
            <w:r w:rsidRPr="00154588">
              <w:rPr>
                <w:sz w:val="20"/>
                <w:szCs w:val="20"/>
              </w:rPr>
              <w:t>(3) Datoriile prevăzute la alin.(1) sunt incluse în suma fondurilor proprii și a datoriilor eligibile doar în ceea ce privește partea datoriei care corespunde valorii principalului prevăzut la alin.(1) lit.a) ori valorii fixe sau în creștere prevăzute la alin.(1) lit.b).</w:t>
            </w:r>
          </w:p>
          <w:bookmarkEnd w:id="59"/>
          <w:p w14:paraId="7544503C" w14:textId="77777777" w:rsidR="00F4284C" w:rsidRPr="00154588" w:rsidRDefault="00F4284C" w:rsidP="008C12B4">
            <w:pPr>
              <w:jc w:val="both"/>
              <w:rPr>
                <w:bCs/>
                <w:sz w:val="20"/>
                <w:szCs w:val="20"/>
              </w:rPr>
            </w:pPr>
          </w:p>
        </w:tc>
        <w:tc>
          <w:tcPr>
            <w:tcW w:w="2552" w:type="dxa"/>
          </w:tcPr>
          <w:p w14:paraId="6631D606" w14:textId="7858CAD9"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20ECA103" w14:textId="77777777" w:rsidR="00F4284C" w:rsidRPr="00154588" w:rsidRDefault="00F4284C" w:rsidP="008C12B4">
            <w:pPr>
              <w:jc w:val="both"/>
              <w:rPr>
                <w:bCs/>
                <w:sz w:val="20"/>
                <w:szCs w:val="20"/>
              </w:rPr>
            </w:pPr>
          </w:p>
        </w:tc>
      </w:tr>
      <w:tr w:rsidR="00F4284C" w:rsidRPr="00154588" w14:paraId="2CEB8ABF" w14:textId="77777777" w:rsidTr="00D15C1B">
        <w:trPr>
          <w:jc w:val="center"/>
        </w:trPr>
        <w:tc>
          <w:tcPr>
            <w:tcW w:w="4957" w:type="dxa"/>
            <w:gridSpan w:val="2"/>
          </w:tcPr>
          <w:p w14:paraId="67EA4EB2" w14:textId="77777777" w:rsidR="00F4284C" w:rsidRPr="00154588" w:rsidRDefault="00F4284C" w:rsidP="008C12B4">
            <w:pPr>
              <w:jc w:val="both"/>
              <w:rPr>
                <w:bCs/>
                <w:sz w:val="20"/>
                <w:szCs w:val="20"/>
              </w:rPr>
            </w:pPr>
            <w:r w:rsidRPr="00154588">
              <w:rPr>
                <w:bCs/>
                <w:sz w:val="20"/>
                <w:szCs w:val="20"/>
              </w:rPr>
              <w:t>(3)   În cazul în care datoriile sunt emise de o filială stabilită în Uniune către unul dintre acționarii existenți care nu face parte din același grup de rezoluție și respectiva filială face parte din același grup de rezoluție ca și entitatea de rezoluție, datoriile respective se includ în cuantumul fondurilor proprii și al datoriilor eligibile ale respectivei entități de rezoluție, cu condiția îndeplinirii tuturor condițiilor de mai jos:</w:t>
            </w:r>
          </w:p>
          <w:p w14:paraId="13787EF3" w14:textId="77777777" w:rsidR="00F4284C" w:rsidRPr="00154588" w:rsidRDefault="00F4284C" w:rsidP="008C12B4">
            <w:pPr>
              <w:jc w:val="both"/>
              <w:rPr>
                <w:bCs/>
                <w:sz w:val="20"/>
                <w:szCs w:val="20"/>
              </w:rPr>
            </w:pPr>
          </w:p>
          <w:p w14:paraId="1BB089BE" w14:textId="2BB9D6F7" w:rsidR="00F4284C" w:rsidRPr="00154588" w:rsidRDefault="00F4284C" w:rsidP="008C12B4">
            <w:pPr>
              <w:jc w:val="both"/>
              <w:rPr>
                <w:bCs/>
                <w:sz w:val="20"/>
                <w:szCs w:val="20"/>
              </w:rPr>
            </w:pPr>
            <w:r w:rsidRPr="00154588">
              <w:rPr>
                <w:bCs/>
                <w:sz w:val="20"/>
                <w:szCs w:val="20"/>
              </w:rPr>
              <w:t>(a) datoriile sunt emise în conformitate cu articolul 45f alineatul (2) litera (a);</w:t>
            </w:r>
          </w:p>
          <w:p w14:paraId="5EA10BB9" w14:textId="77777777" w:rsidR="00F4284C" w:rsidRPr="00154588" w:rsidRDefault="00F4284C" w:rsidP="008C12B4">
            <w:pPr>
              <w:jc w:val="both"/>
              <w:rPr>
                <w:bCs/>
                <w:sz w:val="20"/>
                <w:szCs w:val="20"/>
              </w:rPr>
            </w:pPr>
          </w:p>
          <w:p w14:paraId="6742701B" w14:textId="40BCC907" w:rsidR="00F4284C" w:rsidRPr="00154588" w:rsidRDefault="00F4284C" w:rsidP="008C12B4">
            <w:pPr>
              <w:jc w:val="both"/>
              <w:rPr>
                <w:bCs/>
                <w:sz w:val="20"/>
                <w:szCs w:val="20"/>
              </w:rPr>
            </w:pPr>
            <w:r w:rsidRPr="00154588">
              <w:rPr>
                <w:bCs/>
                <w:sz w:val="20"/>
                <w:szCs w:val="20"/>
              </w:rPr>
              <w:t xml:space="preserve">(b) exercitarea competenței de reducere a valorii sau de conversie în legătură cu respectivele datorii în conformitate cu articolele 59 sau 62 nu influențează </w:t>
            </w:r>
            <w:r w:rsidRPr="00154588">
              <w:rPr>
                <w:bCs/>
                <w:sz w:val="20"/>
                <w:szCs w:val="20"/>
              </w:rPr>
              <w:lastRenderedPageBreak/>
              <w:t>controlul exercitat de entitatea de rezoluție asupra filialei;</w:t>
            </w:r>
          </w:p>
          <w:p w14:paraId="7AD39A11" w14:textId="77777777" w:rsidR="00F4284C" w:rsidRPr="00154588" w:rsidRDefault="00F4284C" w:rsidP="008C12B4">
            <w:pPr>
              <w:jc w:val="both"/>
              <w:rPr>
                <w:bCs/>
                <w:sz w:val="20"/>
                <w:szCs w:val="20"/>
              </w:rPr>
            </w:pPr>
          </w:p>
          <w:p w14:paraId="4A8501D5" w14:textId="7589C0F7" w:rsidR="00F4284C" w:rsidRPr="00154588" w:rsidRDefault="00F4284C" w:rsidP="008C12B4">
            <w:pPr>
              <w:jc w:val="both"/>
              <w:rPr>
                <w:bCs/>
                <w:sz w:val="20"/>
                <w:szCs w:val="20"/>
              </w:rPr>
            </w:pPr>
            <w:r w:rsidRPr="00154588">
              <w:rPr>
                <w:bCs/>
                <w:sz w:val="20"/>
                <w:szCs w:val="20"/>
              </w:rPr>
              <w:t>(c) datoriile respective nu depășesc o valoare determinată prin scăderea:</w:t>
            </w:r>
          </w:p>
          <w:p w14:paraId="6BA433AD" w14:textId="77777777" w:rsidR="00F4284C" w:rsidRPr="00154588" w:rsidRDefault="00F4284C" w:rsidP="008C12B4">
            <w:pPr>
              <w:jc w:val="both"/>
              <w:rPr>
                <w:bCs/>
                <w:sz w:val="20"/>
                <w:szCs w:val="20"/>
              </w:rPr>
            </w:pPr>
          </w:p>
          <w:p w14:paraId="04D52372" w14:textId="70E753E1" w:rsidR="00F4284C" w:rsidRPr="00154588" w:rsidRDefault="00F4284C" w:rsidP="008C12B4">
            <w:pPr>
              <w:jc w:val="both"/>
              <w:rPr>
                <w:bCs/>
                <w:sz w:val="20"/>
                <w:szCs w:val="20"/>
              </w:rPr>
            </w:pPr>
            <w:r w:rsidRPr="00154588">
              <w:rPr>
                <w:bCs/>
                <w:sz w:val="20"/>
                <w:szCs w:val="20"/>
              </w:rPr>
              <w:t>(i) sumei datoriilor emise pentru și achiziționate de către entitatea de rezoluție, fie direct, fie indirect, prin intermediul altor entități din cadrul aceluiași grup de rezoluție și cuantumului fondurilor proprii emise în conformitate cu articolul 45f alineatul (2) litera (b) din</w:t>
            </w:r>
          </w:p>
          <w:p w14:paraId="7FBD85CE" w14:textId="77777777" w:rsidR="00F4284C" w:rsidRPr="00154588" w:rsidRDefault="00F4284C" w:rsidP="008C12B4">
            <w:pPr>
              <w:jc w:val="both"/>
              <w:rPr>
                <w:bCs/>
                <w:sz w:val="20"/>
                <w:szCs w:val="20"/>
              </w:rPr>
            </w:pPr>
          </w:p>
          <w:p w14:paraId="4885EF46" w14:textId="7E467AF0" w:rsidR="00F4284C" w:rsidRPr="00154588" w:rsidRDefault="00F4284C" w:rsidP="008C12B4">
            <w:pPr>
              <w:jc w:val="both"/>
              <w:rPr>
                <w:bCs/>
                <w:sz w:val="20"/>
                <w:szCs w:val="20"/>
              </w:rPr>
            </w:pPr>
            <w:r w:rsidRPr="00154588">
              <w:rPr>
                <w:bCs/>
                <w:sz w:val="20"/>
                <w:szCs w:val="20"/>
              </w:rPr>
              <w:t>(ii) cuantumul necesar în conformitate cu articolul 45f alineatul (1).</w:t>
            </w:r>
          </w:p>
        </w:tc>
        <w:tc>
          <w:tcPr>
            <w:tcW w:w="4819" w:type="dxa"/>
          </w:tcPr>
          <w:p w14:paraId="13F1BE4C" w14:textId="77777777" w:rsidR="00F4284C" w:rsidRPr="00154588" w:rsidRDefault="00F4284C" w:rsidP="008C12B4">
            <w:pPr>
              <w:jc w:val="both"/>
              <w:rPr>
                <w:sz w:val="20"/>
                <w:szCs w:val="20"/>
              </w:rPr>
            </w:pPr>
            <w:r w:rsidRPr="00154588">
              <w:rPr>
                <w:b/>
                <w:sz w:val="20"/>
                <w:szCs w:val="20"/>
              </w:rPr>
              <w:lastRenderedPageBreak/>
              <w:t>Articolul 165</w:t>
            </w:r>
            <w:r w:rsidRPr="00154588">
              <w:rPr>
                <w:b/>
                <w:sz w:val="20"/>
                <w:szCs w:val="20"/>
                <w:vertAlign w:val="superscript"/>
              </w:rPr>
              <w:t>2</w:t>
            </w:r>
            <w:r w:rsidRPr="00154588">
              <w:rPr>
                <w:b/>
                <w:sz w:val="20"/>
                <w:szCs w:val="20"/>
                <w:vertAlign w:val="subscript"/>
              </w:rPr>
              <w:t>.</w:t>
            </w:r>
            <w:r w:rsidRPr="00154588">
              <w:rPr>
                <w:b/>
                <w:sz w:val="20"/>
                <w:szCs w:val="20"/>
              </w:rPr>
              <w:t xml:space="preserve"> </w:t>
            </w:r>
            <w:r w:rsidRPr="00154588">
              <w:rPr>
                <w:sz w:val="20"/>
                <w:szCs w:val="20"/>
              </w:rPr>
              <w:t>– (1) În cazul în care datoriile sunt emise de o filială stabilită în Uniunea Europeană către unul dintre acţionarii existenţi care nu face parte din același grup de rezoluţie și respectiva filială face parte din același grup de rezoluţie ca și entitatea de rezoluţie, datoriile respective se includ în cuantumul fondurilor proprii și al datoriilor eligibile ale respectivei entităţi de rezoluţie, cu condiţia îndeplinirii tuturor condiţiilor de mai jos:</w:t>
            </w:r>
          </w:p>
          <w:p w14:paraId="3C1E24A7" w14:textId="77777777" w:rsidR="00F4284C" w:rsidRPr="00154588" w:rsidRDefault="00F4284C" w:rsidP="008C12B4">
            <w:pPr>
              <w:jc w:val="both"/>
              <w:rPr>
                <w:sz w:val="20"/>
                <w:szCs w:val="20"/>
              </w:rPr>
            </w:pPr>
            <w:r w:rsidRPr="00154588">
              <w:rPr>
                <w:sz w:val="20"/>
                <w:szCs w:val="20"/>
              </w:rPr>
              <w:t>a) datoriile sunt emise în conformitate cu art.167</w:t>
            </w:r>
            <w:r w:rsidRPr="00154588">
              <w:rPr>
                <w:sz w:val="20"/>
                <w:szCs w:val="20"/>
                <w:vertAlign w:val="superscript"/>
              </w:rPr>
              <w:t>16</w:t>
            </w:r>
            <w:r w:rsidRPr="00154588">
              <w:rPr>
                <w:sz w:val="20"/>
                <w:szCs w:val="20"/>
              </w:rPr>
              <w:t xml:space="preserve"> alin.(1) lit.a);</w:t>
            </w:r>
          </w:p>
          <w:p w14:paraId="6B70F99A" w14:textId="77777777" w:rsidR="00F4284C" w:rsidRPr="00154588" w:rsidRDefault="00F4284C" w:rsidP="008C12B4">
            <w:pPr>
              <w:jc w:val="both"/>
              <w:rPr>
                <w:sz w:val="20"/>
                <w:szCs w:val="20"/>
              </w:rPr>
            </w:pPr>
            <w:r w:rsidRPr="00154588">
              <w:rPr>
                <w:sz w:val="20"/>
                <w:szCs w:val="20"/>
              </w:rPr>
              <w:t>b) exercitarea competenţei de reducere a valorii sau de conversie în legătură cu respectivele datorii în conformitate cu art.219-225 sau art.230</w:t>
            </w:r>
            <w:r w:rsidRPr="00154588">
              <w:rPr>
                <w:sz w:val="20"/>
                <w:szCs w:val="20"/>
                <w:vertAlign w:val="superscript"/>
              </w:rPr>
              <w:t>2</w:t>
            </w:r>
            <w:r w:rsidRPr="00154588">
              <w:rPr>
                <w:b/>
                <w:bCs/>
                <w:sz w:val="20"/>
                <w:szCs w:val="20"/>
                <w:vertAlign w:val="superscript"/>
              </w:rPr>
              <w:t xml:space="preserve"> </w:t>
            </w:r>
            <w:r w:rsidRPr="00154588">
              <w:rPr>
                <w:sz w:val="20"/>
                <w:szCs w:val="20"/>
              </w:rPr>
              <w:t>din prezenta lege nu influenţează controlul exercitat de entitatea de rezoluţie asupra filialei;</w:t>
            </w:r>
          </w:p>
          <w:p w14:paraId="6824681A" w14:textId="77777777" w:rsidR="00F4284C" w:rsidRPr="00154588" w:rsidRDefault="00F4284C" w:rsidP="008C12B4">
            <w:pPr>
              <w:jc w:val="both"/>
              <w:rPr>
                <w:sz w:val="20"/>
                <w:szCs w:val="20"/>
              </w:rPr>
            </w:pPr>
            <w:r w:rsidRPr="00154588">
              <w:rPr>
                <w:sz w:val="20"/>
                <w:szCs w:val="20"/>
              </w:rPr>
              <w:lastRenderedPageBreak/>
              <w:t>c) datoriile respective nu depășesc o valoare determinată prin scăderea:</w:t>
            </w:r>
          </w:p>
          <w:p w14:paraId="57BAA1A8" w14:textId="1AC1FC0C" w:rsidR="00F4284C" w:rsidRPr="00154588" w:rsidRDefault="00F4284C" w:rsidP="008C12B4">
            <w:pPr>
              <w:jc w:val="both"/>
              <w:rPr>
                <w:sz w:val="20"/>
                <w:szCs w:val="20"/>
              </w:rPr>
            </w:pPr>
            <w:r w:rsidRPr="00154588">
              <w:rPr>
                <w:sz w:val="20"/>
                <w:szCs w:val="20"/>
              </w:rPr>
              <w:t>(i) sumei datoriilor emise pentru și achiziţionate de către entitatea de rezoluţie, fie direct, fie indirect, prin intermediul altor entităţi din cadrul aceluiași grup de rezoluţie și cuantumului fondurilor proprii emise în conformitate cu art.167</w:t>
            </w:r>
            <w:r w:rsidRPr="00154588">
              <w:rPr>
                <w:sz w:val="20"/>
                <w:szCs w:val="20"/>
                <w:vertAlign w:val="superscript"/>
              </w:rPr>
              <w:t>16</w:t>
            </w:r>
            <w:r w:rsidRPr="00154588">
              <w:rPr>
                <w:sz w:val="20"/>
                <w:szCs w:val="20"/>
              </w:rPr>
              <w:t xml:space="preserve"> alin.(2) lit.b) din </w:t>
            </w:r>
          </w:p>
          <w:p w14:paraId="2DD89FAC" w14:textId="560FE8F0" w:rsidR="00F4284C" w:rsidRPr="00154588" w:rsidRDefault="00F4284C" w:rsidP="008C12B4">
            <w:pPr>
              <w:jc w:val="both"/>
              <w:rPr>
                <w:sz w:val="20"/>
                <w:szCs w:val="20"/>
              </w:rPr>
            </w:pPr>
            <w:r w:rsidRPr="00154588">
              <w:rPr>
                <w:sz w:val="20"/>
                <w:szCs w:val="20"/>
              </w:rPr>
              <w:t>(ii) cuantumul necesar în conformitate cu art.167</w:t>
            </w:r>
            <w:r w:rsidRPr="00154588">
              <w:rPr>
                <w:sz w:val="20"/>
                <w:szCs w:val="20"/>
                <w:vertAlign w:val="superscript"/>
              </w:rPr>
              <w:t>15</w:t>
            </w:r>
            <w:r w:rsidRPr="00154588">
              <w:rPr>
                <w:sz w:val="20"/>
                <w:szCs w:val="20"/>
              </w:rPr>
              <w:t xml:space="preserve"> .</w:t>
            </w:r>
          </w:p>
          <w:p w14:paraId="0E61FBDE" w14:textId="77777777" w:rsidR="00F4284C" w:rsidRPr="00154588" w:rsidRDefault="00F4284C" w:rsidP="008C12B4">
            <w:pPr>
              <w:jc w:val="both"/>
              <w:rPr>
                <w:bCs/>
                <w:sz w:val="20"/>
                <w:szCs w:val="20"/>
              </w:rPr>
            </w:pPr>
          </w:p>
        </w:tc>
        <w:tc>
          <w:tcPr>
            <w:tcW w:w="2552" w:type="dxa"/>
          </w:tcPr>
          <w:p w14:paraId="3777FE44" w14:textId="016AE95C"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11625378" w14:textId="77777777" w:rsidR="00F4284C" w:rsidRPr="00154588" w:rsidRDefault="00F4284C" w:rsidP="008C12B4">
            <w:pPr>
              <w:jc w:val="both"/>
              <w:rPr>
                <w:bCs/>
                <w:sz w:val="20"/>
                <w:szCs w:val="20"/>
              </w:rPr>
            </w:pPr>
          </w:p>
        </w:tc>
      </w:tr>
      <w:tr w:rsidR="00F4284C" w:rsidRPr="00154588" w14:paraId="24389607" w14:textId="77777777" w:rsidTr="00D15C1B">
        <w:trPr>
          <w:jc w:val="center"/>
        </w:trPr>
        <w:tc>
          <w:tcPr>
            <w:tcW w:w="4957" w:type="dxa"/>
            <w:gridSpan w:val="2"/>
          </w:tcPr>
          <w:p w14:paraId="22BD999E" w14:textId="3B681A87" w:rsidR="00F4284C" w:rsidRPr="00154588" w:rsidRDefault="00F4284C" w:rsidP="008C12B4">
            <w:pPr>
              <w:jc w:val="both"/>
              <w:rPr>
                <w:bCs/>
                <w:sz w:val="20"/>
                <w:szCs w:val="20"/>
              </w:rPr>
            </w:pPr>
            <w:r w:rsidRPr="00154588">
              <w:rPr>
                <w:bCs/>
                <w:sz w:val="20"/>
                <w:szCs w:val="20"/>
              </w:rPr>
              <w:t>(4)   Fără a aduce atingere cerinței minime prevăzute la articolul 45c alineatul (5) sau la articolul 45d alineatul (1) litera (a), după caz, autoritățile de rezoluție se asigură că o parte a cerinței menționate la articolul 45e, egală cu 8 % din totalul datoriilor, inclusiv fonduri proprii, este îndeplinită de entitățile de rezoluție care sunt entități G-SII sau de entități de rezoluție care fac obiectul articolului 45c alineatele (5) sau (6) folosind fonduri proprii și instrumente eligibile subordonate, sau datorii astfel cum sunt menționate la alineatul (3) de la prezentul articol.</w:t>
            </w:r>
          </w:p>
          <w:p w14:paraId="097043B3" w14:textId="23CE70A1" w:rsidR="00F4284C" w:rsidRPr="00154588" w:rsidRDefault="00F4284C" w:rsidP="008C12B4">
            <w:pPr>
              <w:jc w:val="both"/>
              <w:rPr>
                <w:bCs/>
                <w:sz w:val="20"/>
                <w:szCs w:val="20"/>
              </w:rPr>
            </w:pPr>
            <w:r w:rsidRPr="00154588">
              <w:rPr>
                <w:bCs/>
                <w:sz w:val="20"/>
                <w:szCs w:val="20"/>
              </w:rPr>
              <w:t xml:space="preserve"> Autoritatea de rezoluție poate permite ca un nivel mai mic de 8 % din totalul datoriilor, inclusiv fonduri proprii, dar mai mare decât cuantumul rezultat din aplicarea formulei (1-(X1/X2)) x 8 % din totalul datoriilor, inclusiv fonduri proprii, să fie îndeplinit de entitățile de rezoluție care sunt entități G-SII sau de entități de rezoluție care fac obiectul articolului 45c alineatele (5) sau (6) folosind fonduri proprii, instrumente eligibile subordonate sau datorii astfel cum sunt menționate la alineatul (3) de la prezentul articol, </w:t>
            </w:r>
            <w:bookmarkStart w:id="60" w:name="_Hlk234227369"/>
            <w:r w:rsidRPr="00154588">
              <w:rPr>
                <w:bCs/>
                <w:sz w:val="20"/>
                <w:szCs w:val="20"/>
              </w:rPr>
              <w:t>atât timp cât sunt întrunite toate condițiile prevăzute la articolul 72b alineatul (3) din Regulamentul (UE) nr. 575/2013, unde, având în vedere reducerea care este posibilă în temeiul articolului 72b alineatul (3) din regulamentul menționat:</w:t>
            </w:r>
          </w:p>
          <w:p w14:paraId="7B1F8AF6" w14:textId="77777777" w:rsidR="00F4284C" w:rsidRPr="00154588" w:rsidRDefault="00F4284C" w:rsidP="008C12B4">
            <w:pPr>
              <w:jc w:val="both"/>
              <w:rPr>
                <w:bCs/>
                <w:sz w:val="20"/>
                <w:szCs w:val="20"/>
              </w:rPr>
            </w:pPr>
          </w:p>
          <w:bookmarkEnd w:id="60"/>
          <w:p w14:paraId="32E1DABB" w14:textId="5200934B" w:rsidR="00F4284C" w:rsidRPr="00154588" w:rsidRDefault="00F4284C" w:rsidP="008C12B4">
            <w:pPr>
              <w:jc w:val="both"/>
              <w:rPr>
                <w:bCs/>
                <w:sz w:val="20"/>
                <w:szCs w:val="20"/>
              </w:rPr>
            </w:pPr>
            <w:r w:rsidRPr="00154588">
              <w:rPr>
                <w:bCs/>
                <w:sz w:val="20"/>
                <w:szCs w:val="20"/>
              </w:rPr>
              <w:t>X1 = 3,5 % din cuantumul total al expunerii la risc, calculat în conformitate cu articolul 92 alineatul (3) din Regulamentul (UE) nr. 575/2013; și</w:t>
            </w:r>
          </w:p>
          <w:p w14:paraId="4B940E4E" w14:textId="77777777" w:rsidR="00F4284C" w:rsidRPr="00154588" w:rsidRDefault="00F4284C" w:rsidP="008C12B4">
            <w:pPr>
              <w:jc w:val="both"/>
              <w:rPr>
                <w:bCs/>
                <w:sz w:val="20"/>
                <w:szCs w:val="20"/>
              </w:rPr>
            </w:pPr>
          </w:p>
          <w:p w14:paraId="1D911453" w14:textId="0422F169" w:rsidR="00F4284C" w:rsidRPr="00154588" w:rsidRDefault="00F4284C" w:rsidP="008C12B4">
            <w:pPr>
              <w:jc w:val="both"/>
              <w:rPr>
                <w:bCs/>
                <w:sz w:val="20"/>
                <w:szCs w:val="20"/>
              </w:rPr>
            </w:pPr>
            <w:r w:rsidRPr="00154588">
              <w:rPr>
                <w:bCs/>
                <w:sz w:val="20"/>
                <w:szCs w:val="20"/>
              </w:rPr>
              <w:lastRenderedPageBreak/>
              <w:t>X2 = suma dintre 18 % din cuantumul total al expunerii la risc, calculat în conformitate cu articolul 92 alineatul (3) din Regulamentul (UE) nr. 575/2013, și cuantumul cerinței amortizorului combinat.</w:t>
            </w:r>
          </w:p>
          <w:p w14:paraId="070B27C0" w14:textId="77777777" w:rsidR="00F4284C" w:rsidRPr="00154588" w:rsidRDefault="00F4284C" w:rsidP="008C12B4">
            <w:pPr>
              <w:jc w:val="both"/>
              <w:rPr>
                <w:bCs/>
                <w:sz w:val="20"/>
                <w:szCs w:val="20"/>
              </w:rPr>
            </w:pPr>
          </w:p>
          <w:p w14:paraId="61C56634" w14:textId="025EB9D1" w:rsidR="00F4284C" w:rsidRPr="00154588" w:rsidRDefault="00F4284C" w:rsidP="008C12B4">
            <w:pPr>
              <w:jc w:val="both"/>
              <w:rPr>
                <w:bCs/>
                <w:sz w:val="20"/>
                <w:szCs w:val="20"/>
              </w:rPr>
            </w:pPr>
            <w:r w:rsidRPr="00154588">
              <w:rPr>
                <w:bCs/>
                <w:sz w:val="20"/>
                <w:szCs w:val="20"/>
              </w:rPr>
              <w:t>În cazul entităților de rezoluție care fac obiectul articolului 45c alineatul (5), atunci când aplicarea primului paragraf de la prezentul alineat conduce la o cerință mai mare de 27 % din cuantumul total al expunerii la risc, pentru entitatea de rezoluție în cauză, autoritatea de rezoluție limitează acea parte a cerinței menționate la articolul 45e care urmează să fie îndeplinită prin utilizarea de fonduri proprii, de instrumente eligibile subordonate, sau de pasive astfel cum sunt menționate la alineatul (3) de la prezentul articol, la o valoare egală cu 27 % din cuantumul total al expunerii la risc, dacă autoritatea de rezoluție estimează că:</w:t>
            </w:r>
          </w:p>
          <w:p w14:paraId="6CEEBF9D" w14:textId="77777777" w:rsidR="00F4284C" w:rsidRPr="00154588" w:rsidRDefault="00F4284C" w:rsidP="008C12B4">
            <w:pPr>
              <w:jc w:val="both"/>
              <w:rPr>
                <w:bCs/>
                <w:sz w:val="20"/>
                <w:szCs w:val="20"/>
              </w:rPr>
            </w:pPr>
          </w:p>
          <w:p w14:paraId="2F07160B" w14:textId="699E8B9B" w:rsidR="00F4284C" w:rsidRPr="00154588" w:rsidRDefault="00F4284C" w:rsidP="008C12B4">
            <w:pPr>
              <w:jc w:val="both"/>
              <w:rPr>
                <w:bCs/>
                <w:sz w:val="20"/>
                <w:szCs w:val="20"/>
              </w:rPr>
            </w:pPr>
            <w:r w:rsidRPr="00154588">
              <w:rPr>
                <w:bCs/>
                <w:sz w:val="20"/>
                <w:szCs w:val="20"/>
              </w:rPr>
              <w:t>(a) accesul la mecanismul de finanțare a rezoluției nu este avut în vedere în planul de rezoluție ca o opțiune pentru rezoluția respectivei entități de rezoluție; și</w:t>
            </w:r>
          </w:p>
          <w:p w14:paraId="3DE573DF" w14:textId="77777777" w:rsidR="00F4284C" w:rsidRPr="00154588" w:rsidRDefault="00F4284C" w:rsidP="008C12B4">
            <w:pPr>
              <w:jc w:val="both"/>
              <w:rPr>
                <w:bCs/>
                <w:sz w:val="20"/>
                <w:szCs w:val="20"/>
              </w:rPr>
            </w:pPr>
          </w:p>
          <w:p w14:paraId="23005471" w14:textId="77649B16" w:rsidR="00F4284C" w:rsidRPr="00154588" w:rsidRDefault="00F4284C" w:rsidP="008C12B4">
            <w:pPr>
              <w:jc w:val="both"/>
              <w:rPr>
                <w:bCs/>
                <w:sz w:val="20"/>
                <w:szCs w:val="20"/>
              </w:rPr>
            </w:pPr>
            <w:r w:rsidRPr="00154588">
              <w:rPr>
                <w:bCs/>
                <w:sz w:val="20"/>
                <w:szCs w:val="20"/>
              </w:rPr>
              <w:t>(b) în cazul în care litera (a) nu se aplică, cerința menționată la articolul 45e îi permite respectivei entități de rezoluție să îndeplinească cerințele menționate la articolul 44 alineatul (5) sau alineatul (8), după caz.</w:t>
            </w:r>
          </w:p>
          <w:p w14:paraId="5EB435CF" w14:textId="77777777" w:rsidR="00F4284C" w:rsidRPr="00154588" w:rsidRDefault="00F4284C" w:rsidP="008C12B4">
            <w:pPr>
              <w:jc w:val="both"/>
              <w:rPr>
                <w:bCs/>
                <w:sz w:val="20"/>
                <w:szCs w:val="20"/>
              </w:rPr>
            </w:pPr>
          </w:p>
          <w:p w14:paraId="42814055" w14:textId="77777777" w:rsidR="00F4284C" w:rsidRPr="00154588" w:rsidRDefault="00F4284C" w:rsidP="008C12B4">
            <w:pPr>
              <w:jc w:val="both"/>
              <w:rPr>
                <w:bCs/>
                <w:sz w:val="20"/>
                <w:szCs w:val="20"/>
              </w:rPr>
            </w:pPr>
            <w:r w:rsidRPr="00154588">
              <w:rPr>
                <w:bCs/>
                <w:sz w:val="20"/>
                <w:szCs w:val="20"/>
              </w:rPr>
              <w:t>Atunci când efectuează evaluarea menționată la al doilea paragraf, autoritatea de rezoluție ia în considerare și riscul de impact disproporționat asupra modelului de afaceri al entității de rezoluție în cauză.</w:t>
            </w:r>
          </w:p>
          <w:p w14:paraId="7EAE14E5" w14:textId="77777777" w:rsidR="00F4284C" w:rsidRPr="00154588" w:rsidRDefault="00F4284C" w:rsidP="008C12B4">
            <w:pPr>
              <w:jc w:val="both"/>
              <w:rPr>
                <w:bCs/>
                <w:sz w:val="20"/>
                <w:szCs w:val="20"/>
              </w:rPr>
            </w:pPr>
          </w:p>
          <w:p w14:paraId="5E1EA4A0" w14:textId="77777777" w:rsidR="00F4284C" w:rsidRPr="00154588" w:rsidRDefault="00F4284C" w:rsidP="008C12B4">
            <w:pPr>
              <w:jc w:val="both"/>
              <w:rPr>
                <w:bCs/>
                <w:sz w:val="20"/>
                <w:szCs w:val="20"/>
              </w:rPr>
            </w:pPr>
          </w:p>
          <w:p w14:paraId="78C4D416" w14:textId="7173B32F" w:rsidR="00F4284C" w:rsidRPr="00154588" w:rsidRDefault="00F4284C" w:rsidP="008C12B4">
            <w:pPr>
              <w:jc w:val="both"/>
              <w:rPr>
                <w:bCs/>
                <w:sz w:val="20"/>
                <w:szCs w:val="20"/>
              </w:rPr>
            </w:pPr>
            <w:r w:rsidRPr="00154588">
              <w:rPr>
                <w:bCs/>
                <w:sz w:val="20"/>
                <w:szCs w:val="20"/>
              </w:rPr>
              <w:t>Al doilea paragraf al prezentului alineat nu se aplică în cazul entităților de rezoluție care fac obiectul articolului 45c alineatul (6).</w:t>
            </w:r>
          </w:p>
        </w:tc>
        <w:tc>
          <w:tcPr>
            <w:tcW w:w="4819" w:type="dxa"/>
          </w:tcPr>
          <w:p w14:paraId="5E356561" w14:textId="097E74CC" w:rsidR="00F4284C" w:rsidRPr="00154588" w:rsidRDefault="00F4284C" w:rsidP="008C12B4">
            <w:pPr>
              <w:jc w:val="both"/>
              <w:rPr>
                <w:sz w:val="20"/>
                <w:szCs w:val="20"/>
              </w:rPr>
            </w:pPr>
            <w:bookmarkStart w:id="61" w:name="_Hlk234226504"/>
            <w:r w:rsidRPr="00154588">
              <w:rPr>
                <w:b/>
                <w:sz w:val="20"/>
                <w:szCs w:val="20"/>
              </w:rPr>
              <w:lastRenderedPageBreak/>
              <w:t>Articolul 165</w:t>
            </w:r>
            <w:r w:rsidRPr="00154588">
              <w:rPr>
                <w:b/>
                <w:sz w:val="20"/>
                <w:szCs w:val="20"/>
                <w:vertAlign w:val="superscript"/>
              </w:rPr>
              <w:t>3</w:t>
            </w:r>
            <w:r w:rsidRPr="00154588">
              <w:rPr>
                <w:b/>
                <w:sz w:val="20"/>
                <w:szCs w:val="20"/>
              </w:rPr>
              <w:t>.</w:t>
            </w:r>
            <w:r w:rsidRPr="00154588">
              <w:rPr>
                <w:sz w:val="20"/>
                <w:szCs w:val="20"/>
              </w:rPr>
              <w:t xml:space="preserve"> – </w:t>
            </w:r>
            <w:bookmarkStart w:id="62" w:name="_Hlk234593241"/>
            <w:r w:rsidRPr="00154588">
              <w:rPr>
                <w:sz w:val="20"/>
                <w:szCs w:val="20"/>
              </w:rPr>
              <w:t>(1) Fără a aduce atingere cerinței minime prevăzute la art.167</w:t>
            </w:r>
            <w:r w:rsidRPr="00154588">
              <w:rPr>
                <w:sz w:val="20"/>
                <w:szCs w:val="20"/>
                <w:vertAlign w:val="superscript"/>
              </w:rPr>
              <w:t>7</w:t>
            </w:r>
            <w:r w:rsidRPr="00154588">
              <w:rPr>
                <w:sz w:val="20"/>
                <w:szCs w:val="20"/>
              </w:rPr>
              <w:t xml:space="preserve"> sau art.167</w:t>
            </w:r>
            <w:r w:rsidRPr="00154588">
              <w:rPr>
                <w:sz w:val="20"/>
                <w:szCs w:val="20"/>
                <w:vertAlign w:val="superscript"/>
              </w:rPr>
              <w:t xml:space="preserve">13 </w:t>
            </w:r>
            <w:r w:rsidRPr="00154588">
              <w:rPr>
                <w:sz w:val="20"/>
                <w:szCs w:val="20"/>
              </w:rPr>
              <w:t>alin.(1)</w:t>
            </w:r>
            <w:r w:rsidRPr="00154588">
              <w:rPr>
                <w:sz w:val="20"/>
                <w:szCs w:val="20"/>
                <w:vertAlign w:val="superscript"/>
              </w:rPr>
              <w:t xml:space="preserve"> </w:t>
            </w:r>
            <w:r w:rsidRPr="00154588">
              <w:rPr>
                <w:sz w:val="20"/>
                <w:szCs w:val="20"/>
              </w:rPr>
              <w:t>lit.a), după caz, Banca Națională a Moldovei în calitate de autoritate de rezoluție, se asigură că entitățile de rezoluție, care sunt entități G-SII sau entități de rezoluție care fac obiectul art.167</w:t>
            </w:r>
            <w:r w:rsidRPr="00154588">
              <w:rPr>
                <w:sz w:val="20"/>
                <w:szCs w:val="20"/>
                <w:vertAlign w:val="superscript"/>
              </w:rPr>
              <w:t>7</w:t>
            </w:r>
            <w:r w:rsidRPr="00154588">
              <w:rPr>
                <w:sz w:val="20"/>
                <w:szCs w:val="20"/>
              </w:rPr>
              <w:t xml:space="preserve"> sau 167</w:t>
            </w:r>
            <w:r w:rsidRPr="00154588">
              <w:rPr>
                <w:sz w:val="20"/>
                <w:szCs w:val="20"/>
                <w:vertAlign w:val="superscript"/>
              </w:rPr>
              <w:t>8</w:t>
            </w:r>
            <w:r w:rsidRPr="00154588">
              <w:rPr>
                <w:sz w:val="20"/>
                <w:szCs w:val="20"/>
              </w:rPr>
              <w:t>, îndeplinesc o parte a cerinței prevăzute la art.167</w:t>
            </w:r>
            <w:r w:rsidRPr="00154588">
              <w:rPr>
                <w:sz w:val="20"/>
                <w:szCs w:val="20"/>
                <w:vertAlign w:val="superscript"/>
              </w:rPr>
              <w:t>14</w:t>
            </w:r>
            <w:r w:rsidRPr="00154588">
              <w:rPr>
                <w:sz w:val="20"/>
                <w:szCs w:val="20"/>
              </w:rPr>
              <w:t>, egală cu 8% din totalul datoriilor, inclusiv fonduri proprii, folosind fonduri proprii, instrumente eligibile subordonate sau datorii prevăzute la art.165</w:t>
            </w:r>
            <w:r w:rsidRPr="00154588">
              <w:rPr>
                <w:sz w:val="20"/>
                <w:szCs w:val="20"/>
                <w:vertAlign w:val="superscript"/>
              </w:rPr>
              <w:t>2</w:t>
            </w:r>
            <w:r w:rsidRPr="00154588">
              <w:rPr>
                <w:sz w:val="20"/>
                <w:szCs w:val="20"/>
              </w:rPr>
              <w:t>.</w:t>
            </w:r>
          </w:p>
          <w:p w14:paraId="4B5E7197" w14:textId="3546D2B9" w:rsidR="00F4284C" w:rsidRPr="00154588" w:rsidRDefault="00F4284C" w:rsidP="008C12B4">
            <w:pPr>
              <w:jc w:val="both"/>
              <w:rPr>
                <w:sz w:val="20"/>
                <w:szCs w:val="20"/>
              </w:rPr>
            </w:pPr>
            <w:r w:rsidRPr="00154588">
              <w:rPr>
                <w:sz w:val="20"/>
                <w:szCs w:val="20"/>
              </w:rPr>
              <w:t>(2) Banca Națională a Moldovei în calitate de autoritate de rezoluție, poate permite ca un nivel mai mic de 8% din totalul datoriilor, inclusiv fonduri proprii, dar mai mare decât valoarea rezultată din aplicarea formulei (1-(X1/X2)) x 8% din totalul datoriilor, inclusiv fonduri proprii, să fie îndeplinit de entitățile de rezoluție, care sunt entități G-SII sau entități de rezoluție care fac obiectul art.167</w:t>
            </w:r>
            <w:r w:rsidRPr="00154588">
              <w:rPr>
                <w:sz w:val="20"/>
                <w:szCs w:val="20"/>
                <w:vertAlign w:val="superscript"/>
              </w:rPr>
              <w:t>7</w:t>
            </w:r>
            <w:r w:rsidRPr="00154588">
              <w:rPr>
                <w:sz w:val="20"/>
                <w:szCs w:val="20"/>
              </w:rPr>
              <w:t xml:space="preserve"> sau 167</w:t>
            </w:r>
            <w:r w:rsidRPr="00154588">
              <w:rPr>
                <w:sz w:val="20"/>
                <w:szCs w:val="20"/>
                <w:vertAlign w:val="superscript"/>
              </w:rPr>
              <w:t>8</w:t>
            </w:r>
            <w:r w:rsidRPr="00154588">
              <w:rPr>
                <w:sz w:val="20"/>
                <w:szCs w:val="20"/>
              </w:rPr>
              <w:t>, folosind fonduri proprii, instrumente eligibile subordonate sau datorii prevăzute la art.165</w:t>
            </w:r>
            <w:r w:rsidRPr="00154588">
              <w:rPr>
                <w:sz w:val="20"/>
                <w:szCs w:val="20"/>
                <w:vertAlign w:val="superscript"/>
              </w:rPr>
              <w:t>2</w:t>
            </w:r>
            <w:r w:rsidRPr="00154588">
              <w:rPr>
                <w:sz w:val="20"/>
                <w:szCs w:val="20"/>
              </w:rPr>
              <w:t>, atât timp cât sunt întrunite toate condițiile prevăzute în reglementările Băncii Naționale a Moldovei emise în aplicarea art.164-170</w:t>
            </w:r>
            <w:r w:rsidRPr="00154588">
              <w:rPr>
                <w:sz w:val="20"/>
                <w:szCs w:val="20"/>
                <w:vertAlign w:val="superscript"/>
              </w:rPr>
              <w:t>14</w:t>
            </w:r>
            <w:r w:rsidRPr="00154588">
              <w:rPr>
                <w:sz w:val="20"/>
                <w:szCs w:val="20"/>
              </w:rPr>
              <w:t xml:space="preserve"> din prezenta lege.</w:t>
            </w:r>
          </w:p>
          <w:bookmarkEnd w:id="62"/>
          <w:p w14:paraId="013880E1" w14:textId="77777777" w:rsidR="00F4284C" w:rsidRPr="00154588" w:rsidRDefault="00F4284C" w:rsidP="008C12B4">
            <w:pPr>
              <w:jc w:val="both"/>
              <w:rPr>
                <w:sz w:val="20"/>
                <w:szCs w:val="20"/>
              </w:rPr>
            </w:pPr>
            <w:r w:rsidRPr="00154588">
              <w:rPr>
                <w:sz w:val="20"/>
                <w:szCs w:val="20"/>
              </w:rPr>
              <w:t>(3) În cazul entităților de rezoluție, care fac obiectul prevederilor art.167</w:t>
            </w:r>
            <w:r w:rsidRPr="00154588">
              <w:rPr>
                <w:sz w:val="20"/>
                <w:szCs w:val="20"/>
                <w:vertAlign w:val="superscript"/>
              </w:rPr>
              <w:t>7</w:t>
            </w:r>
            <w:r w:rsidRPr="00154588">
              <w:rPr>
                <w:sz w:val="20"/>
                <w:szCs w:val="20"/>
              </w:rPr>
              <w:t>, atunci când aplicarea prevederilor alin. (1) conduce la o cerință mai mare de 27% din valoarea totală a expunerii la risc, Banca Națională a Moldovei, în calitate de autoritate de rezoluție, limitează acea parte a cerinței prevăzute la art.167</w:t>
            </w:r>
            <w:r w:rsidRPr="00154588">
              <w:rPr>
                <w:sz w:val="20"/>
                <w:szCs w:val="20"/>
                <w:vertAlign w:val="superscript"/>
              </w:rPr>
              <w:t xml:space="preserve">14 </w:t>
            </w:r>
            <w:r w:rsidRPr="00154588">
              <w:rPr>
                <w:sz w:val="20"/>
                <w:szCs w:val="20"/>
              </w:rPr>
              <w:t xml:space="preserve">care urmează să fie îndeplinită prin </w:t>
            </w:r>
            <w:r w:rsidRPr="00154588">
              <w:rPr>
                <w:sz w:val="20"/>
                <w:szCs w:val="20"/>
              </w:rPr>
              <w:lastRenderedPageBreak/>
              <w:t>utilizarea de fonduri proprii, de instrumente eligibile subordonate sau de datorii prevăzute la art.165</w:t>
            </w:r>
            <w:r w:rsidRPr="00154588">
              <w:rPr>
                <w:sz w:val="20"/>
                <w:szCs w:val="20"/>
                <w:vertAlign w:val="superscript"/>
              </w:rPr>
              <w:t>2</w:t>
            </w:r>
            <w:r w:rsidRPr="00154588">
              <w:rPr>
                <w:sz w:val="20"/>
                <w:szCs w:val="20"/>
              </w:rPr>
              <w:t>, la o valoare egală cu 27% din valoarea totală a expunerii la risc, dacă aceasta a estimat că:</w:t>
            </w:r>
          </w:p>
          <w:p w14:paraId="6FB4F51A" w14:textId="77777777" w:rsidR="00F4284C" w:rsidRPr="00154588" w:rsidRDefault="00F4284C" w:rsidP="008C12B4">
            <w:pPr>
              <w:ind w:firstLine="567"/>
              <w:jc w:val="both"/>
              <w:rPr>
                <w:sz w:val="20"/>
                <w:szCs w:val="20"/>
              </w:rPr>
            </w:pPr>
            <w:r w:rsidRPr="00154588">
              <w:rPr>
                <w:sz w:val="20"/>
                <w:szCs w:val="20"/>
              </w:rPr>
              <w:t xml:space="preserve">a) accesul la mecanismul de finanţare a rezoluţiei nu este avut în vedere în planul de rezoluție ca o opțiune pentru soluționarea respectivei entități de rezoluție; și </w:t>
            </w:r>
          </w:p>
          <w:p w14:paraId="0C2BDD96" w14:textId="790ECF1B" w:rsidR="00F4284C" w:rsidRPr="00154588" w:rsidRDefault="00F4284C" w:rsidP="008C12B4">
            <w:pPr>
              <w:ind w:firstLine="567"/>
              <w:jc w:val="both"/>
              <w:rPr>
                <w:sz w:val="20"/>
                <w:szCs w:val="20"/>
              </w:rPr>
            </w:pPr>
            <w:r w:rsidRPr="00154588">
              <w:rPr>
                <w:sz w:val="20"/>
                <w:szCs w:val="20"/>
              </w:rPr>
              <w:t>b) în cazul în care lit.a) nu se aplică, cerința prevăzută la art.167</w:t>
            </w:r>
            <w:r w:rsidRPr="00154588">
              <w:rPr>
                <w:sz w:val="20"/>
                <w:szCs w:val="20"/>
                <w:vertAlign w:val="superscript"/>
              </w:rPr>
              <w:t>14</w:t>
            </w:r>
            <w:r w:rsidRPr="00154588">
              <w:rPr>
                <w:sz w:val="20"/>
                <w:szCs w:val="20"/>
              </w:rPr>
              <w:t xml:space="preserve"> îi permite respectivei entități de rezoluție, să îndeplinească cerințele prevăzute la art.158 sau 161 din prezenta lege, după caz. </w:t>
            </w:r>
          </w:p>
          <w:p w14:paraId="07BC9B54" w14:textId="77777777" w:rsidR="00F4284C" w:rsidRPr="00154588" w:rsidRDefault="00F4284C" w:rsidP="008C12B4">
            <w:pPr>
              <w:jc w:val="both"/>
              <w:rPr>
                <w:sz w:val="20"/>
                <w:szCs w:val="20"/>
              </w:rPr>
            </w:pPr>
          </w:p>
          <w:p w14:paraId="283936EB" w14:textId="77777777" w:rsidR="00F4284C" w:rsidRPr="00154588" w:rsidRDefault="00F4284C" w:rsidP="008C12B4">
            <w:pPr>
              <w:jc w:val="both"/>
              <w:rPr>
                <w:sz w:val="20"/>
                <w:szCs w:val="20"/>
              </w:rPr>
            </w:pPr>
          </w:p>
          <w:p w14:paraId="09E07B2B" w14:textId="699F8835" w:rsidR="00F4284C" w:rsidRPr="00154588" w:rsidRDefault="00F4284C" w:rsidP="008C12B4">
            <w:pPr>
              <w:jc w:val="both"/>
              <w:rPr>
                <w:sz w:val="20"/>
                <w:szCs w:val="20"/>
              </w:rPr>
            </w:pPr>
            <w:r w:rsidRPr="00154588">
              <w:rPr>
                <w:sz w:val="20"/>
                <w:szCs w:val="20"/>
              </w:rPr>
              <w:t>(4) Atunci când efectuează analiza prevăzută la alin.(3), Banca Națională a Moldovei, în calitate de autoritate de rezoluție, ia în considerare și riscul unui impact disproporționat asupra modelului de afaceri al entității de rezoluție în cauză.</w:t>
            </w:r>
          </w:p>
          <w:p w14:paraId="34657B24" w14:textId="77777777" w:rsidR="00F4284C" w:rsidRPr="00154588" w:rsidRDefault="00F4284C" w:rsidP="008C12B4">
            <w:pPr>
              <w:jc w:val="both"/>
              <w:rPr>
                <w:sz w:val="20"/>
                <w:szCs w:val="20"/>
              </w:rPr>
            </w:pPr>
          </w:p>
          <w:p w14:paraId="03E1D287" w14:textId="35FC8ACC" w:rsidR="00F4284C" w:rsidRPr="00154588" w:rsidRDefault="00F4284C" w:rsidP="008C12B4">
            <w:pPr>
              <w:jc w:val="both"/>
              <w:rPr>
                <w:sz w:val="20"/>
                <w:szCs w:val="20"/>
              </w:rPr>
            </w:pPr>
            <w:r w:rsidRPr="00154588">
              <w:rPr>
                <w:sz w:val="20"/>
                <w:szCs w:val="20"/>
              </w:rPr>
              <w:t>(5) Prevederile alin.(3) nu se aplică în cazul entităților de rezoluție care fac obiectul art.167</w:t>
            </w:r>
            <w:r w:rsidRPr="00154588">
              <w:rPr>
                <w:sz w:val="20"/>
                <w:szCs w:val="20"/>
                <w:vertAlign w:val="superscript"/>
              </w:rPr>
              <w:t>8</w:t>
            </w:r>
            <w:r w:rsidRPr="00154588">
              <w:rPr>
                <w:sz w:val="20"/>
                <w:szCs w:val="20"/>
              </w:rPr>
              <w:t>.</w:t>
            </w:r>
          </w:p>
          <w:bookmarkEnd w:id="61"/>
          <w:p w14:paraId="27488317" w14:textId="77777777" w:rsidR="00F4284C" w:rsidRPr="00154588" w:rsidRDefault="00F4284C" w:rsidP="008C12B4">
            <w:pPr>
              <w:jc w:val="both"/>
              <w:rPr>
                <w:bCs/>
                <w:sz w:val="20"/>
                <w:szCs w:val="20"/>
              </w:rPr>
            </w:pPr>
          </w:p>
        </w:tc>
        <w:tc>
          <w:tcPr>
            <w:tcW w:w="2552" w:type="dxa"/>
          </w:tcPr>
          <w:p w14:paraId="756A0F50" w14:textId="7D873214"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13DE2098" w14:textId="77777777" w:rsidR="00F4284C" w:rsidRPr="00154588" w:rsidRDefault="00F4284C" w:rsidP="008C12B4">
            <w:pPr>
              <w:jc w:val="both"/>
              <w:rPr>
                <w:bCs/>
                <w:sz w:val="20"/>
                <w:szCs w:val="20"/>
              </w:rPr>
            </w:pPr>
          </w:p>
          <w:p w14:paraId="08D592FB" w14:textId="77777777" w:rsidR="00F4284C" w:rsidRPr="00154588" w:rsidRDefault="00F4284C" w:rsidP="008C12B4">
            <w:pPr>
              <w:jc w:val="both"/>
              <w:rPr>
                <w:bCs/>
                <w:sz w:val="20"/>
                <w:szCs w:val="20"/>
              </w:rPr>
            </w:pPr>
          </w:p>
          <w:p w14:paraId="4BDFA096" w14:textId="77777777" w:rsidR="00F4284C" w:rsidRPr="00154588" w:rsidRDefault="00F4284C" w:rsidP="008C12B4">
            <w:pPr>
              <w:jc w:val="both"/>
              <w:rPr>
                <w:bCs/>
                <w:sz w:val="20"/>
                <w:szCs w:val="20"/>
              </w:rPr>
            </w:pPr>
          </w:p>
          <w:p w14:paraId="4C56CCA4" w14:textId="77777777" w:rsidR="00F4284C" w:rsidRPr="00154588" w:rsidRDefault="00F4284C" w:rsidP="008C12B4">
            <w:pPr>
              <w:jc w:val="both"/>
              <w:rPr>
                <w:bCs/>
                <w:sz w:val="20"/>
                <w:szCs w:val="20"/>
              </w:rPr>
            </w:pPr>
          </w:p>
          <w:p w14:paraId="555A6F97" w14:textId="77777777" w:rsidR="00F4284C" w:rsidRPr="00154588" w:rsidRDefault="00F4284C" w:rsidP="008C12B4">
            <w:pPr>
              <w:jc w:val="both"/>
              <w:rPr>
                <w:bCs/>
                <w:sz w:val="20"/>
                <w:szCs w:val="20"/>
              </w:rPr>
            </w:pPr>
          </w:p>
          <w:p w14:paraId="7871937A" w14:textId="77777777" w:rsidR="00F4284C" w:rsidRPr="00154588" w:rsidRDefault="00F4284C" w:rsidP="008C12B4">
            <w:pPr>
              <w:jc w:val="both"/>
              <w:rPr>
                <w:bCs/>
                <w:sz w:val="20"/>
                <w:szCs w:val="20"/>
              </w:rPr>
            </w:pPr>
          </w:p>
          <w:p w14:paraId="62F2E58B" w14:textId="77777777" w:rsidR="00F4284C" w:rsidRPr="00154588" w:rsidRDefault="00F4284C" w:rsidP="008C12B4">
            <w:pPr>
              <w:jc w:val="both"/>
              <w:rPr>
                <w:bCs/>
                <w:sz w:val="20"/>
                <w:szCs w:val="20"/>
              </w:rPr>
            </w:pPr>
          </w:p>
          <w:p w14:paraId="3DA10DE4" w14:textId="77777777" w:rsidR="00F4284C" w:rsidRPr="00154588" w:rsidRDefault="00F4284C" w:rsidP="008C12B4">
            <w:pPr>
              <w:jc w:val="both"/>
              <w:rPr>
                <w:bCs/>
                <w:sz w:val="20"/>
                <w:szCs w:val="20"/>
              </w:rPr>
            </w:pPr>
          </w:p>
          <w:p w14:paraId="0357275A" w14:textId="77777777" w:rsidR="00F4284C" w:rsidRPr="00154588" w:rsidRDefault="00F4284C" w:rsidP="008C12B4">
            <w:pPr>
              <w:jc w:val="both"/>
              <w:rPr>
                <w:bCs/>
                <w:sz w:val="20"/>
                <w:szCs w:val="20"/>
              </w:rPr>
            </w:pPr>
          </w:p>
          <w:p w14:paraId="040A29F6" w14:textId="77777777" w:rsidR="00F4284C" w:rsidRPr="00154588" w:rsidRDefault="00F4284C" w:rsidP="008C12B4">
            <w:pPr>
              <w:jc w:val="both"/>
              <w:rPr>
                <w:bCs/>
                <w:sz w:val="20"/>
                <w:szCs w:val="20"/>
              </w:rPr>
            </w:pPr>
          </w:p>
          <w:p w14:paraId="2D24B6A6" w14:textId="77777777" w:rsidR="00F4284C" w:rsidRPr="00154588" w:rsidRDefault="00F4284C" w:rsidP="008C12B4">
            <w:pPr>
              <w:jc w:val="both"/>
              <w:rPr>
                <w:bCs/>
                <w:sz w:val="20"/>
                <w:szCs w:val="20"/>
              </w:rPr>
            </w:pPr>
          </w:p>
          <w:p w14:paraId="249882EA" w14:textId="77777777" w:rsidR="00F4284C" w:rsidRPr="00154588" w:rsidRDefault="00F4284C" w:rsidP="008C12B4">
            <w:pPr>
              <w:jc w:val="both"/>
              <w:rPr>
                <w:bCs/>
                <w:sz w:val="20"/>
                <w:szCs w:val="20"/>
              </w:rPr>
            </w:pPr>
          </w:p>
          <w:p w14:paraId="1534138E" w14:textId="77777777" w:rsidR="00F4284C" w:rsidRPr="00154588" w:rsidRDefault="00F4284C" w:rsidP="008C12B4">
            <w:pPr>
              <w:jc w:val="both"/>
              <w:rPr>
                <w:bCs/>
                <w:sz w:val="20"/>
                <w:szCs w:val="20"/>
              </w:rPr>
            </w:pPr>
          </w:p>
          <w:p w14:paraId="00DA615C" w14:textId="47579E53" w:rsidR="00F4284C" w:rsidRPr="00154588" w:rsidRDefault="00F4284C" w:rsidP="008C12B4">
            <w:pPr>
              <w:jc w:val="both"/>
              <w:rPr>
                <w:bCs/>
                <w:sz w:val="20"/>
                <w:szCs w:val="20"/>
              </w:rPr>
            </w:pPr>
            <w:r w:rsidRPr="00154588">
              <w:rPr>
                <w:bCs/>
                <w:sz w:val="20"/>
                <w:szCs w:val="20"/>
              </w:rPr>
              <w:t xml:space="preserve"> </w:t>
            </w:r>
          </w:p>
        </w:tc>
      </w:tr>
      <w:tr w:rsidR="00F4284C" w:rsidRPr="00154588" w14:paraId="1D318BAA" w14:textId="77777777" w:rsidTr="00D15C1B">
        <w:trPr>
          <w:jc w:val="center"/>
        </w:trPr>
        <w:tc>
          <w:tcPr>
            <w:tcW w:w="4957" w:type="dxa"/>
            <w:gridSpan w:val="2"/>
          </w:tcPr>
          <w:p w14:paraId="2995D559" w14:textId="482C3F16" w:rsidR="00F4284C" w:rsidRPr="00154588" w:rsidRDefault="00F4284C" w:rsidP="008C12B4">
            <w:pPr>
              <w:jc w:val="both"/>
              <w:rPr>
                <w:bCs/>
                <w:sz w:val="20"/>
                <w:szCs w:val="20"/>
              </w:rPr>
            </w:pPr>
            <w:r w:rsidRPr="00154588">
              <w:rPr>
                <w:bCs/>
                <w:sz w:val="20"/>
                <w:szCs w:val="20"/>
              </w:rPr>
              <w:t xml:space="preserve">(5)   În cazul entităților de rezoluție care nu sunt nici entități G-SII, nici entități de rezoluție care fac obiectul articolului 45c alineatul (5) sau (6), autoritatea de rezoluție poate decide că o parte a cerinței menționate la articolul 45e, până la 8 % din totalul datoriilor, inclusiv fonduri proprii, ale entității sau până la valoarea formulei menționate la alineatul (7), oricare </w:t>
            </w:r>
            <w:r w:rsidRPr="00154588">
              <w:rPr>
                <w:bCs/>
                <w:sz w:val="20"/>
                <w:szCs w:val="20"/>
              </w:rPr>
              <w:lastRenderedPageBreak/>
              <w:t>dintre cele două cuantumuri este mai mare, este îndeplinită folosind fonduri proprii, instrumente eligibile subordonate, sau datorii astfel cum sunt menționate la alineatul (3) de la prezentul articol, dacă sunt îndeplinite următoarele condiții:</w:t>
            </w:r>
          </w:p>
          <w:p w14:paraId="3C5607FC" w14:textId="77777777" w:rsidR="00F4284C" w:rsidRPr="00154588" w:rsidRDefault="00F4284C" w:rsidP="008C12B4">
            <w:pPr>
              <w:jc w:val="both"/>
              <w:rPr>
                <w:bCs/>
                <w:sz w:val="20"/>
                <w:szCs w:val="20"/>
              </w:rPr>
            </w:pPr>
          </w:p>
          <w:p w14:paraId="02E79857" w14:textId="22233932" w:rsidR="00F4284C" w:rsidRPr="00154588" w:rsidRDefault="00F4284C" w:rsidP="008C12B4">
            <w:pPr>
              <w:jc w:val="both"/>
              <w:rPr>
                <w:bCs/>
                <w:sz w:val="20"/>
                <w:szCs w:val="20"/>
              </w:rPr>
            </w:pPr>
            <w:r w:rsidRPr="00154588">
              <w:rPr>
                <w:bCs/>
                <w:sz w:val="20"/>
                <w:szCs w:val="20"/>
              </w:rPr>
              <w:t>(a) datoriile nesubordonate menționate la alineatele (1) și (2) de la prezentul articol au același rang de prioritate în ierarhia creanțelor din procedura națională de insolvență ca anumite datorii care sunt excluse de la aplicarea competențelor de reducere a valorii și de conversie în conformitate cu articolul 44 alineatul (2) sau (3);</w:t>
            </w:r>
          </w:p>
          <w:p w14:paraId="09CBFCE1" w14:textId="77777777" w:rsidR="00F4284C" w:rsidRPr="00154588" w:rsidRDefault="00F4284C" w:rsidP="008C12B4">
            <w:pPr>
              <w:jc w:val="both"/>
              <w:rPr>
                <w:bCs/>
                <w:sz w:val="20"/>
                <w:szCs w:val="20"/>
              </w:rPr>
            </w:pPr>
          </w:p>
          <w:p w14:paraId="2B2E96FC" w14:textId="3897AB67" w:rsidR="00F4284C" w:rsidRPr="00154588" w:rsidRDefault="00F4284C" w:rsidP="008C12B4">
            <w:pPr>
              <w:jc w:val="both"/>
              <w:rPr>
                <w:bCs/>
                <w:sz w:val="20"/>
                <w:szCs w:val="20"/>
              </w:rPr>
            </w:pPr>
            <w:r w:rsidRPr="00154588">
              <w:rPr>
                <w:bCs/>
                <w:sz w:val="20"/>
                <w:szCs w:val="20"/>
              </w:rPr>
              <w:t>(b) există riscul ca, în urma aplicării, conform planului de rezoluție, a competențelor de reducere a valorii și de conversie a datoriilor nesubordonate care nu sunt excluse de la aplicarea competențelor de reducere a valorii și de conversie în conformitate cu articolul 44 alineatul (2) sau (3), creditorii ale căror creanțe rezultă din aceste obligații să suporte pierderi mai mari decât pierderile pe care le-ar suporta în cazul unei lichidări realizate în cadrul unei proceduri obișnuite de insolvență;</w:t>
            </w:r>
          </w:p>
          <w:p w14:paraId="35631E89" w14:textId="77777777" w:rsidR="00F4284C" w:rsidRPr="00154588" w:rsidRDefault="00F4284C" w:rsidP="008C12B4">
            <w:pPr>
              <w:jc w:val="both"/>
              <w:rPr>
                <w:bCs/>
                <w:sz w:val="20"/>
                <w:szCs w:val="20"/>
              </w:rPr>
            </w:pPr>
          </w:p>
          <w:p w14:paraId="61478403" w14:textId="3349FDBB" w:rsidR="00F4284C" w:rsidRPr="00154588" w:rsidRDefault="00F4284C" w:rsidP="008C12B4">
            <w:pPr>
              <w:jc w:val="both"/>
              <w:rPr>
                <w:bCs/>
                <w:sz w:val="20"/>
                <w:szCs w:val="20"/>
              </w:rPr>
            </w:pPr>
            <w:r w:rsidRPr="00154588">
              <w:rPr>
                <w:bCs/>
                <w:sz w:val="20"/>
                <w:szCs w:val="20"/>
              </w:rPr>
              <w:t>(c) cuantumul fondurilor proprii și al altor datorii subordonate nu depășește cuantumul necesar pentru a garanta că creditorii menționați la litera (b) nu suportă pierderi care depășesc nivelul pierderilor pe care le-ar fi suportat în cazul unei lichidări realizate în cadrul unei proceduri obișnuite de insolvență.</w:t>
            </w:r>
          </w:p>
          <w:p w14:paraId="0FA0450E" w14:textId="77777777" w:rsidR="00F4284C" w:rsidRPr="00154588" w:rsidRDefault="00F4284C" w:rsidP="008C12B4">
            <w:pPr>
              <w:jc w:val="both"/>
              <w:rPr>
                <w:bCs/>
                <w:sz w:val="20"/>
                <w:szCs w:val="20"/>
              </w:rPr>
            </w:pPr>
          </w:p>
          <w:p w14:paraId="36A2EB9D" w14:textId="1285D506" w:rsidR="00F4284C" w:rsidRPr="00154588" w:rsidRDefault="00F4284C" w:rsidP="008C12B4">
            <w:pPr>
              <w:jc w:val="both"/>
              <w:rPr>
                <w:bCs/>
                <w:sz w:val="20"/>
                <w:szCs w:val="20"/>
              </w:rPr>
            </w:pPr>
            <w:r w:rsidRPr="00154588">
              <w:rPr>
                <w:bCs/>
                <w:sz w:val="20"/>
                <w:szCs w:val="20"/>
              </w:rPr>
              <w:t>În cazul în care autoritatea de rezoluție stabilește că, dintr-o categorie de datorii care include datorii eligibile, cuantumul datoriilor care sunt excluse sau prezintă o probabilitate rezonabilă de a fi excluse de la aplicarea competențelor de reducere a valorii și de conversie în conformitate cu articolul 44 alineatul (2) sau (3) se ridică în total la peste 10 % din categoria respectivă, autoritatea de rezoluție evaluează riscul menționat la prezentul alineat primul paragraf litera (b).</w:t>
            </w:r>
          </w:p>
        </w:tc>
        <w:tc>
          <w:tcPr>
            <w:tcW w:w="4819" w:type="dxa"/>
          </w:tcPr>
          <w:p w14:paraId="58E6A0E7" w14:textId="77777777" w:rsidR="00F4284C" w:rsidRPr="00154588" w:rsidRDefault="00F4284C" w:rsidP="008C12B4">
            <w:pPr>
              <w:jc w:val="both"/>
              <w:rPr>
                <w:sz w:val="20"/>
                <w:szCs w:val="20"/>
              </w:rPr>
            </w:pPr>
            <w:r w:rsidRPr="00154588">
              <w:rPr>
                <w:b/>
                <w:sz w:val="20"/>
                <w:szCs w:val="20"/>
              </w:rPr>
              <w:lastRenderedPageBreak/>
              <w:t>Articolul 165</w:t>
            </w:r>
            <w:r w:rsidRPr="00154588">
              <w:rPr>
                <w:b/>
                <w:sz w:val="20"/>
                <w:szCs w:val="20"/>
                <w:vertAlign w:val="superscript"/>
              </w:rPr>
              <w:t>4</w:t>
            </w:r>
            <w:r w:rsidRPr="00154588">
              <w:rPr>
                <w:b/>
                <w:sz w:val="20"/>
                <w:szCs w:val="20"/>
              </w:rPr>
              <w:t>.</w:t>
            </w:r>
            <w:r w:rsidRPr="00154588">
              <w:rPr>
                <w:sz w:val="20"/>
                <w:szCs w:val="20"/>
              </w:rPr>
              <w:t xml:space="preserve"> – (1) În cazul entităților de rezoluție, care nu sunt nici instituții de tip G-SII, nici entități de rezoluție care fac obiectul prevederilor art.167</w:t>
            </w:r>
            <w:r w:rsidRPr="00154588">
              <w:rPr>
                <w:sz w:val="20"/>
                <w:szCs w:val="20"/>
                <w:vertAlign w:val="superscript"/>
              </w:rPr>
              <w:t>7</w:t>
            </w:r>
            <w:r w:rsidRPr="00154588">
              <w:rPr>
                <w:sz w:val="20"/>
                <w:szCs w:val="20"/>
              </w:rPr>
              <w:t xml:space="preserve"> sau 167</w:t>
            </w:r>
            <w:r w:rsidRPr="00154588">
              <w:rPr>
                <w:sz w:val="20"/>
                <w:szCs w:val="20"/>
                <w:vertAlign w:val="superscript"/>
              </w:rPr>
              <w:t>8</w:t>
            </w:r>
            <w:r w:rsidRPr="00154588">
              <w:rPr>
                <w:sz w:val="20"/>
                <w:szCs w:val="20"/>
              </w:rPr>
              <w:t>, Banca Națională a Moldovei, în calitate de autoritate de rezoluție, poate decide ca o parte a cerinței prevăzute la art.167</w:t>
            </w:r>
            <w:r w:rsidRPr="00154588">
              <w:rPr>
                <w:sz w:val="20"/>
                <w:szCs w:val="20"/>
                <w:vertAlign w:val="superscript"/>
              </w:rPr>
              <w:t>14</w:t>
            </w:r>
            <w:r w:rsidRPr="00154588">
              <w:rPr>
                <w:sz w:val="20"/>
                <w:szCs w:val="20"/>
              </w:rPr>
              <w:t xml:space="preserve">, până la 8% din totalul datoriilor, inclusiv fonduri proprii și nivelul rezultat din </w:t>
            </w:r>
            <w:r w:rsidRPr="00154588">
              <w:rPr>
                <w:sz w:val="20"/>
                <w:szCs w:val="20"/>
              </w:rPr>
              <w:lastRenderedPageBreak/>
              <w:t>aplicarea formulei prevăzute la art.165</w:t>
            </w:r>
            <w:r w:rsidRPr="00154588">
              <w:rPr>
                <w:sz w:val="20"/>
                <w:szCs w:val="20"/>
                <w:vertAlign w:val="superscript"/>
              </w:rPr>
              <w:t>7</w:t>
            </w:r>
            <w:r w:rsidRPr="00154588">
              <w:rPr>
                <w:sz w:val="20"/>
                <w:szCs w:val="20"/>
              </w:rPr>
              <w:t>, să fie îndeplinită folosind fonduri proprii, instrumente eligibile subordonate sau datorii prevăzute la art.165</w:t>
            </w:r>
            <w:r w:rsidRPr="00154588">
              <w:rPr>
                <w:sz w:val="20"/>
                <w:szCs w:val="20"/>
                <w:vertAlign w:val="superscript"/>
              </w:rPr>
              <w:t>2</w:t>
            </w:r>
            <w:r w:rsidRPr="00154588">
              <w:rPr>
                <w:sz w:val="20"/>
                <w:szCs w:val="20"/>
              </w:rPr>
              <w:t>, atunci când sunt îndeplinite următoarele condiții:</w:t>
            </w:r>
          </w:p>
          <w:p w14:paraId="22B7924A" w14:textId="77777777" w:rsidR="00F4284C" w:rsidRPr="00154588" w:rsidRDefault="00F4284C" w:rsidP="008C12B4">
            <w:pPr>
              <w:jc w:val="both"/>
              <w:rPr>
                <w:sz w:val="20"/>
                <w:szCs w:val="20"/>
              </w:rPr>
            </w:pPr>
            <w:r w:rsidRPr="00154588">
              <w:rPr>
                <w:sz w:val="20"/>
                <w:szCs w:val="20"/>
              </w:rPr>
              <w:t>a) datoriile nesubordonate prevăzute la art.165 și art.165</w:t>
            </w:r>
            <w:r w:rsidRPr="00154588">
              <w:rPr>
                <w:sz w:val="20"/>
                <w:szCs w:val="20"/>
                <w:vertAlign w:val="superscript"/>
              </w:rPr>
              <w:t>1</w:t>
            </w:r>
            <w:r w:rsidRPr="00154588">
              <w:rPr>
                <w:sz w:val="20"/>
                <w:szCs w:val="20"/>
              </w:rPr>
              <w:t xml:space="preserve"> au același rang în ordinea de plată a creanțelor conform procedurii obișnuite de insolvabilitate, ca și anumite datorii care sunt excluse de la aplicarea competențelor de reducere a valorii și de conversie în conformitate cu prevederile art.155 sau 155</w:t>
            </w:r>
            <w:r w:rsidRPr="00154588">
              <w:rPr>
                <w:sz w:val="20"/>
                <w:szCs w:val="20"/>
                <w:vertAlign w:val="superscript"/>
              </w:rPr>
              <w:t>1</w:t>
            </w:r>
            <w:r w:rsidRPr="00154588">
              <w:rPr>
                <w:sz w:val="20"/>
                <w:szCs w:val="20"/>
              </w:rPr>
              <w:t>;</w:t>
            </w:r>
          </w:p>
          <w:p w14:paraId="7773E896" w14:textId="77777777" w:rsidR="00F4284C" w:rsidRPr="00154588" w:rsidRDefault="00F4284C" w:rsidP="008C12B4">
            <w:pPr>
              <w:jc w:val="both"/>
              <w:rPr>
                <w:sz w:val="20"/>
                <w:szCs w:val="20"/>
              </w:rPr>
            </w:pPr>
            <w:r w:rsidRPr="00154588">
              <w:rPr>
                <w:sz w:val="20"/>
                <w:szCs w:val="20"/>
              </w:rPr>
              <w:t>b) există riscul ca, în urma exercitării planificate a competențelor de reducere a valorii și de conversie în legătură cu datoriile nesubordonate care nu sunt excluse de la exercitarea competențelor de reducere a valorii și de conversie în conformitate cu prevederile art.155 sau 155</w:t>
            </w:r>
            <w:r w:rsidRPr="00154588">
              <w:rPr>
                <w:sz w:val="20"/>
                <w:szCs w:val="20"/>
                <w:vertAlign w:val="superscript"/>
              </w:rPr>
              <w:t>1</w:t>
            </w:r>
            <w:r w:rsidRPr="00154588">
              <w:rPr>
                <w:sz w:val="20"/>
                <w:szCs w:val="20"/>
              </w:rPr>
              <w:t>, creditorii ale căror creanțe rezultă din respectivele obligații să suporte pierderi mai mari decât pierderile pe care le-ar suporta în cazul unei lichidări realizate în cadrul unei proceduri obișnuite de insolvabilitate;</w:t>
            </w:r>
          </w:p>
          <w:p w14:paraId="34AEBC2D" w14:textId="77777777" w:rsidR="00F4284C" w:rsidRPr="00154588" w:rsidRDefault="00F4284C" w:rsidP="008C12B4">
            <w:pPr>
              <w:jc w:val="both"/>
              <w:rPr>
                <w:sz w:val="20"/>
                <w:szCs w:val="20"/>
              </w:rPr>
            </w:pPr>
            <w:r w:rsidRPr="00154588">
              <w:rPr>
                <w:sz w:val="20"/>
                <w:szCs w:val="20"/>
              </w:rPr>
              <w:t>c) cuantumul fondurilor proprii și a altor datorii subordonate nu depășește cuantumul necesar pentru a asigura că, creditorii prevăzuți la lit.b), nu suportă pierderi al căror nivel îl depășește pe cel pe care l-ar fi suportat în cazul unei lichidări realizate în cadrul unei proceduri obișnuite de insolvabilitate.</w:t>
            </w:r>
          </w:p>
          <w:p w14:paraId="2E75E397" w14:textId="77777777" w:rsidR="00F4284C" w:rsidRPr="00154588" w:rsidRDefault="00F4284C" w:rsidP="008C12B4">
            <w:pPr>
              <w:jc w:val="both"/>
              <w:rPr>
                <w:sz w:val="20"/>
                <w:szCs w:val="20"/>
              </w:rPr>
            </w:pPr>
            <w:r w:rsidRPr="00154588">
              <w:rPr>
                <w:sz w:val="20"/>
                <w:szCs w:val="20"/>
              </w:rPr>
              <w:t>(2) În cazul în care Banca Națională a Moldovei, în calitate de autoritate de rezoluție, stabilește că, dintr-o categorie de datorii care include datorii eligibile, cuantumul datoriilor care sunt excluse sau prezintă o probabilitate rezonabilă de a fi excluse de la aplicarea competențelor de reducere a valorii și de conversie în conformitate cu prevederile art.155 sau 155</w:t>
            </w:r>
            <w:r w:rsidRPr="00154588">
              <w:rPr>
                <w:sz w:val="20"/>
                <w:szCs w:val="20"/>
                <w:vertAlign w:val="superscript"/>
              </w:rPr>
              <w:t>1</w:t>
            </w:r>
            <w:r w:rsidRPr="00154588">
              <w:rPr>
                <w:sz w:val="20"/>
                <w:szCs w:val="20"/>
              </w:rPr>
              <w:t>, se ridică în total la peste 10% din categoria respectivă, aceasta trebuie să evalueze riscul prevăzut la alin.(1) lit.b).</w:t>
            </w:r>
          </w:p>
          <w:p w14:paraId="7BA8D824" w14:textId="77777777" w:rsidR="00F4284C" w:rsidRPr="00154588" w:rsidRDefault="00F4284C" w:rsidP="008C12B4">
            <w:pPr>
              <w:jc w:val="both"/>
              <w:rPr>
                <w:sz w:val="20"/>
                <w:szCs w:val="20"/>
              </w:rPr>
            </w:pPr>
            <w:r w:rsidRPr="00154588">
              <w:rPr>
                <w:sz w:val="20"/>
                <w:szCs w:val="20"/>
              </w:rPr>
              <w:t>(3) Banca Națională a Moldovei, în calitate de autoritate de rezoluție, poate evalua riscul prevăzut de alin.(1) lit.b) și în cazul în care pragul de 10% prevăzut la alin.(2) nu este depășit.</w:t>
            </w:r>
          </w:p>
          <w:p w14:paraId="5BE17628" w14:textId="77777777" w:rsidR="00F4284C" w:rsidRPr="00154588" w:rsidRDefault="00F4284C" w:rsidP="008C12B4">
            <w:pPr>
              <w:jc w:val="both"/>
              <w:rPr>
                <w:bCs/>
                <w:sz w:val="20"/>
                <w:szCs w:val="20"/>
              </w:rPr>
            </w:pPr>
          </w:p>
        </w:tc>
        <w:tc>
          <w:tcPr>
            <w:tcW w:w="2552" w:type="dxa"/>
          </w:tcPr>
          <w:p w14:paraId="5EDC6F8B" w14:textId="46992A4B"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49B01F4E" w14:textId="77777777" w:rsidR="00F4284C" w:rsidRPr="00154588" w:rsidRDefault="00F4284C" w:rsidP="008C12B4">
            <w:pPr>
              <w:jc w:val="both"/>
              <w:rPr>
                <w:bCs/>
                <w:sz w:val="20"/>
                <w:szCs w:val="20"/>
              </w:rPr>
            </w:pPr>
          </w:p>
        </w:tc>
      </w:tr>
      <w:tr w:rsidR="00F4284C" w:rsidRPr="00154588" w14:paraId="2938DA6A" w14:textId="77777777" w:rsidTr="00D15C1B">
        <w:trPr>
          <w:jc w:val="center"/>
        </w:trPr>
        <w:tc>
          <w:tcPr>
            <w:tcW w:w="4957" w:type="dxa"/>
            <w:gridSpan w:val="2"/>
          </w:tcPr>
          <w:p w14:paraId="54251B75" w14:textId="77777777" w:rsidR="00F4284C" w:rsidRPr="00154588" w:rsidRDefault="00F4284C" w:rsidP="008C12B4">
            <w:pPr>
              <w:jc w:val="both"/>
              <w:rPr>
                <w:bCs/>
                <w:sz w:val="20"/>
                <w:szCs w:val="20"/>
              </w:rPr>
            </w:pPr>
            <w:r w:rsidRPr="00154588">
              <w:rPr>
                <w:bCs/>
                <w:sz w:val="20"/>
                <w:szCs w:val="20"/>
              </w:rPr>
              <w:t xml:space="preserve">(6)   În sensul alineatelor (4), (5) și (7), datoriile care provin din instrumente financiare derivate sunt incluse </w:t>
            </w:r>
            <w:r w:rsidRPr="00154588">
              <w:rPr>
                <w:bCs/>
                <w:sz w:val="20"/>
                <w:szCs w:val="20"/>
              </w:rPr>
              <w:lastRenderedPageBreak/>
              <w:t>în datoriile totale, pe baza faptului că drepturile la compensare ale contrapărții sunt recunoscute pe deplin.</w:t>
            </w:r>
          </w:p>
          <w:p w14:paraId="77AD5589" w14:textId="77777777" w:rsidR="00F4284C" w:rsidRPr="00154588" w:rsidRDefault="00F4284C" w:rsidP="008C12B4">
            <w:pPr>
              <w:jc w:val="both"/>
              <w:rPr>
                <w:bCs/>
                <w:sz w:val="20"/>
                <w:szCs w:val="20"/>
              </w:rPr>
            </w:pPr>
          </w:p>
          <w:p w14:paraId="2C666B70" w14:textId="14F4354C" w:rsidR="00F4284C" w:rsidRPr="00154588" w:rsidRDefault="00F4284C" w:rsidP="008C12B4">
            <w:pPr>
              <w:jc w:val="both"/>
              <w:rPr>
                <w:bCs/>
                <w:sz w:val="20"/>
                <w:szCs w:val="20"/>
              </w:rPr>
            </w:pPr>
            <w:r w:rsidRPr="00154588">
              <w:rPr>
                <w:bCs/>
                <w:sz w:val="20"/>
                <w:szCs w:val="20"/>
              </w:rPr>
              <w:t>Fondurile proprii ale unei entități de rezoluție care sunt utilizate pentru îndeplinirea cerinței amortizorului combinat sunt eligibile pentru îndeplinirea cerințelor menționate la alineatele (4), (5) și (7).</w:t>
            </w:r>
          </w:p>
        </w:tc>
        <w:tc>
          <w:tcPr>
            <w:tcW w:w="4819" w:type="dxa"/>
          </w:tcPr>
          <w:p w14:paraId="32C8575D" w14:textId="77777777" w:rsidR="00F4284C" w:rsidRPr="00154588" w:rsidRDefault="00F4284C" w:rsidP="008C12B4">
            <w:pPr>
              <w:jc w:val="both"/>
              <w:rPr>
                <w:sz w:val="20"/>
                <w:szCs w:val="20"/>
              </w:rPr>
            </w:pPr>
            <w:r w:rsidRPr="00154588">
              <w:rPr>
                <w:b/>
                <w:sz w:val="20"/>
                <w:szCs w:val="20"/>
              </w:rPr>
              <w:lastRenderedPageBreak/>
              <w:t>Articolul 165</w:t>
            </w:r>
            <w:r w:rsidRPr="00154588">
              <w:rPr>
                <w:b/>
                <w:sz w:val="20"/>
                <w:szCs w:val="20"/>
                <w:vertAlign w:val="superscript"/>
              </w:rPr>
              <w:t>5</w:t>
            </w:r>
            <w:r w:rsidRPr="00154588">
              <w:rPr>
                <w:b/>
                <w:sz w:val="20"/>
                <w:szCs w:val="20"/>
              </w:rPr>
              <w:t>.</w:t>
            </w:r>
            <w:r w:rsidRPr="00154588">
              <w:rPr>
                <w:sz w:val="20"/>
                <w:szCs w:val="20"/>
              </w:rPr>
              <w:t xml:space="preserve"> – (1) În aplicarea prevederilor art.165</w:t>
            </w:r>
            <w:r w:rsidRPr="00154588">
              <w:rPr>
                <w:sz w:val="20"/>
                <w:szCs w:val="20"/>
                <w:vertAlign w:val="superscript"/>
              </w:rPr>
              <w:t>3</w:t>
            </w:r>
            <w:r w:rsidRPr="00154588">
              <w:rPr>
                <w:sz w:val="20"/>
                <w:szCs w:val="20"/>
              </w:rPr>
              <w:t>, 165</w:t>
            </w:r>
            <w:r w:rsidRPr="00154588">
              <w:rPr>
                <w:sz w:val="20"/>
                <w:szCs w:val="20"/>
                <w:vertAlign w:val="superscript"/>
              </w:rPr>
              <w:t>4</w:t>
            </w:r>
            <w:r w:rsidRPr="00154588">
              <w:rPr>
                <w:sz w:val="20"/>
                <w:szCs w:val="20"/>
              </w:rPr>
              <w:t xml:space="preserve"> și 165</w:t>
            </w:r>
            <w:r w:rsidRPr="00154588">
              <w:rPr>
                <w:sz w:val="20"/>
                <w:szCs w:val="20"/>
                <w:vertAlign w:val="superscript"/>
              </w:rPr>
              <w:t>6</w:t>
            </w:r>
            <w:r w:rsidRPr="00154588">
              <w:rPr>
                <w:sz w:val="20"/>
                <w:szCs w:val="20"/>
              </w:rPr>
              <w:t xml:space="preserve">, datoriile care provin din </w:t>
            </w:r>
            <w:r w:rsidRPr="00154588">
              <w:rPr>
                <w:sz w:val="20"/>
                <w:szCs w:val="20"/>
              </w:rPr>
              <w:lastRenderedPageBreak/>
              <w:t>instrumente financiare derivate se includ în totalul datoriilor în condițiile recunoașterii depline a drepturilor contractuale de compensare ale contrapărții.</w:t>
            </w:r>
          </w:p>
          <w:p w14:paraId="4ACC6706" w14:textId="77777777" w:rsidR="00F4284C" w:rsidRPr="00154588" w:rsidRDefault="00F4284C" w:rsidP="008C12B4">
            <w:pPr>
              <w:jc w:val="both"/>
              <w:rPr>
                <w:sz w:val="20"/>
                <w:szCs w:val="20"/>
              </w:rPr>
            </w:pPr>
            <w:r w:rsidRPr="00154588">
              <w:rPr>
                <w:sz w:val="20"/>
                <w:szCs w:val="20"/>
              </w:rPr>
              <w:t>(2) Fondurile proprii ale unei entități de rezoluție, luate în calcul pentru îndeplinirea cerinței amortizorului combinat, sunt eligibile pentru îndeplinirea cerințelor prevăzute la art.165</w:t>
            </w:r>
            <w:r w:rsidRPr="00154588">
              <w:rPr>
                <w:sz w:val="20"/>
                <w:szCs w:val="20"/>
                <w:vertAlign w:val="superscript"/>
              </w:rPr>
              <w:t>3</w:t>
            </w:r>
            <w:r w:rsidRPr="00154588">
              <w:rPr>
                <w:sz w:val="20"/>
                <w:szCs w:val="20"/>
              </w:rPr>
              <w:t>, 165</w:t>
            </w:r>
            <w:r w:rsidRPr="00154588">
              <w:rPr>
                <w:sz w:val="20"/>
                <w:szCs w:val="20"/>
                <w:vertAlign w:val="superscript"/>
              </w:rPr>
              <w:t xml:space="preserve">4 </w:t>
            </w:r>
            <w:r w:rsidRPr="00154588">
              <w:rPr>
                <w:sz w:val="20"/>
                <w:szCs w:val="20"/>
              </w:rPr>
              <w:t>și 165</w:t>
            </w:r>
            <w:r w:rsidRPr="00154588">
              <w:rPr>
                <w:sz w:val="20"/>
                <w:szCs w:val="20"/>
                <w:vertAlign w:val="superscript"/>
              </w:rPr>
              <w:t>6</w:t>
            </w:r>
            <w:r w:rsidRPr="00154588">
              <w:rPr>
                <w:sz w:val="20"/>
                <w:szCs w:val="20"/>
              </w:rPr>
              <w:t>.</w:t>
            </w:r>
          </w:p>
          <w:p w14:paraId="290F2D14" w14:textId="77777777" w:rsidR="00F4284C" w:rsidRPr="00154588" w:rsidRDefault="00F4284C" w:rsidP="008C12B4">
            <w:pPr>
              <w:jc w:val="both"/>
              <w:rPr>
                <w:bCs/>
                <w:sz w:val="20"/>
                <w:szCs w:val="20"/>
              </w:rPr>
            </w:pPr>
          </w:p>
        </w:tc>
        <w:tc>
          <w:tcPr>
            <w:tcW w:w="2552" w:type="dxa"/>
          </w:tcPr>
          <w:p w14:paraId="4CEA15F7" w14:textId="7CF85C61"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4B597F52" w14:textId="77777777" w:rsidR="00F4284C" w:rsidRPr="00154588" w:rsidRDefault="00F4284C" w:rsidP="008C12B4">
            <w:pPr>
              <w:jc w:val="both"/>
              <w:rPr>
                <w:bCs/>
                <w:sz w:val="20"/>
                <w:szCs w:val="20"/>
              </w:rPr>
            </w:pPr>
          </w:p>
        </w:tc>
      </w:tr>
      <w:tr w:rsidR="00F4284C" w:rsidRPr="00154588" w14:paraId="4C86909C" w14:textId="77777777" w:rsidTr="00D15C1B">
        <w:trPr>
          <w:jc w:val="center"/>
        </w:trPr>
        <w:tc>
          <w:tcPr>
            <w:tcW w:w="4957" w:type="dxa"/>
            <w:gridSpan w:val="2"/>
          </w:tcPr>
          <w:p w14:paraId="434B15F1" w14:textId="647D07A1" w:rsidR="00F4284C" w:rsidRPr="00154588" w:rsidRDefault="00F4284C" w:rsidP="008C12B4">
            <w:pPr>
              <w:jc w:val="both"/>
              <w:rPr>
                <w:bCs/>
                <w:sz w:val="20"/>
                <w:szCs w:val="20"/>
              </w:rPr>
            </w:pPr>
            <w:r w:rsidRPr="00154588">
              <w:rPr>
                <w:bCs/>
                <w:sz w:val="20"/>
                <w:szCs w:val="20"/>
              </w:rPr>
              <w:t>(7)   Prin derogare de la alineatul (4) de la prezentul articol, autoritatea de rezoluție poate decide că cerința menționată la articolul 45e din prezenta directivă trebuie îndeplinită de entitățile de rezoluție care sunt entități G-SII sau de entitățile de rezoluție care fac obiectul articolului 45c alineatul (5) sau (6) din prezenta directivă folosind fonduri proprii, instrumente eligibile subordonate, sau datorii astfel cum sunt menționate la alineatul (3) de la prezentul articol, în măsura în care, ca urmare a obligației entității de rezoluție de a se conforma cerințelor amortizorului combinat și cerințelor menționate la articolul 92a din Regulamentul (UE) nr. 575/2013, la articolul 45c alineatul (5) și la articolul 45e din prezenta directivă, suma respectivelor fonduri proprii, instrumente și datorii nu depășește valoarea cea mai mare dintre:</w:t>
            </w:r>
          </w:p>
          <w:p w14:paraId="66E415FB" w14:textId="77777777" w:rsidR="00F4284C" w:rsidRPr="00154588" w:rsidRDefault="00F4284C" w:rsidP="008C12B4">
            <w:pPr>
              <w:jc w:val="both"/>
              <w:rPr>
                <w:bCs/>
                <w:sz w:val="20"/>
                <w:szCs w:val="20"/>
              </w:rPr>
            </w:pPr>
          </w:p>
          <w:p w14:paraId="30EFBB66" w14:textId="20C9558F" w:rsidR="00F4284C" w:rsidRPr="00154588" w:rsidRDefault="00F4284C" w:rsidP="008C12B4">
            <w:pPr>
              <w:jc w:val="both"/>
              <w:rPr>
                <w:bCs/>
                <w:sz w:val="20"/>
                <w:szCs w:val="20"/>
              </w:rPr>
            </w:pPr>
            <w:r w:rsidRPr="00154588">
              <w:rPr>
                <w:bCs/>
                <w:sz w:val="20"/>
                <w:szCs w:val="20"/>
              </w:rPr>
              <w:t>(a) 8 % din totalul datoriilor, inclusiv fonduri proprii ale entității; sau</w:t>
            </w:r>
          </w:p>
          <w:p w14:paraId="77F4F26C" w14:textId="77777777" w:rsidR="00F4284C" w:rsidRPr="00154588" w:rsidRDefault="00F4284C" w:rsidP="008C12B4">
            <w:pPr>
              <w:jc w:val="both"/>
              <w:rPr>
                <w:bCs/>
                <w:sz w:val="20"/>
                <w:szCs w:val="20"/>
              </w:rPr>
            </w:pPr>
          </w:p>
          <w:p w14:paraId="5ACAF0BF" w14:textId="5C252260" w:rsidR="00F4284C" w:rsidRPr="00154588" w:rsidRDefault="00F4284C" w:rsidP="008C12B4">
            <w:pPr>
              <w:jc w:val="both"/>
              <w:rPr>
                <w:bCs/>
                <w:sz w:val="20"/>
                <w:szCs w:val="20"/>
              </w:rPr>
            </w:pPr>
            <w:r w:rsidRPr="00154588">
              <w:rPr>
                <w:bCs/>
                <w:sz w:val="20"/>
                <w:szCs w:val="20"/>
              </w:rPr>
              <w:t>(b) cuantumul care rezultă din aplicarea formulei Ax2+Bx2+C, unde A, B și C au următoarele valori:</w:t>
            </w:r>
          </w:p>
          <w:p w14:paraId="3682A7A7" w14:textId="77777777" w:rsidR="00F4284C" w:rsidRPr="00154588" w:rsidRDefault="00F4284C" w:rsidP="008C12B4">
            <w:pPr>
              <w:jc w:val="both"/>
              <w:rPr>
                <w:bCs/>
                <w:sz w:val="20"/>
                <w:szCs w:val="20"/>
              </w:rPr>
            </w:pPr>
          </w:p>
          <w:p w14:paraId="4D668A75" w14:textId="77777777" w:rsidR="00F4284C" w:rsidRPr="00154588" w:rsidRDefault="00F4284C" w:rsidP="008C12B4">
            <w:pPr>
              <w:jc w:val="both"/>
              <w:rPr>
                <w:bCs/>
                <w:sz w:val="20"/>
                <w:szCs w:val="20"/>
              </w:rPr>
            </w:pPr>
            <w:r w:rsidRPr="00154588">
              <w:rPr>
                <w:bCs/>
                <w:sz w:val="20"/>
                <w:szCs w:val="20"/>
              </w:rPr>
              <w:t>A = cuantumul rezultat din cerința menționată la articolul 92 alineatul (1) litera (c) din Regulamentul (UE) nr. 575/2013;</w:t>
            </w:r>
          </w:p>
          <w:p w14:paraId="15D8EF6E" w14:textId="77777777" w:rsidR="00F4284C" w:rsidRPr="00154588" w:rsidRDefault="00F4284C" w:rsidP="008C12B4">
            <w:pPr>
              <w:jc w:val="both"/>
              <w:rPr>
                <w:bCs/>
                <w:sz w:val="20"/>
                <w:szCs w:val="20"/>
              </w:rPr>
            </w:pPr>
          </w:p>
          <w:p w14:paraId="71DA8DB5" w14:textId="77777777" w:rsidR="00F4284C" w:rsidRPr="00154588" w:rsidRDefault="00F4284C" w:rsidP="008C12B4">
            <w:pPr>
              <w:jc w:val="both"/>
              <w:rPr>
                <w:bCs/>
                <w:sz w:val="20"/>
                <w:szCs w:val="20"/>
              </w:rPr>
            </w:pPr>
            <w:r w:rsidRPr="00154588">
              <w:rPr>
                <w:bCs/>
                <w:sz w:val="20"/>
                <w:szCs w:val="20"/>
              </w:rPr>
              <w:t>B = cuantumul rezultat din cerința menționată la articolul 104a din Directiva 2013/36/UE;</w:t>
            </w:r>
          </w:p>
          <w:p w14:paraId="6AF6CEAB" w14:textId="77777777" w:rsidR="00F4284C" w:rsidRPr="00154588" w:rsidRDefault="00F4284C" w:rsidP="008C12B4">
            <w:pPr>
              <w:jc w:val="both"/>
              <w:rPr>
                <w:bCs/>
                <w:sz w:val="20"/>
                <w:szCs w:val="20"/>
              </w:rPr>
            </w:pPr>
          </w:p>
          <w:p w14:paraId="138090CA" w14:textId="77777777" w:rsidR="00F4284C" w:rsidRPr="00154588" w:rsidRDefault="00F4284C" w:rsidP="008C12B4">
            <w:pPr>
              <w:jc w:val="both"/>
              <w:rPr>
                <w:bCs/>
                <w:sz w:val="20"/>
                <w:szCs w:val="20"/>
              </w:rPr>
            </w:pPr>
          </w:p>
          <w:p w14:paraId="442E44C8" w14:textId="19635A01" w:rsidR="00F4284C" w:rsidRPr="00154588" w:rsidRDefault="00F4284C" w:rsidP="008C12B4">
            <w:pPr>
              <w:jc w:val="both"/>
              <w:rPr>
                <w:bCs/>
                <w:sz w:val="20"/>
                <w:szCs w:val="20"/>
              </w:rPr>
            </w:pPr>
            <w:r w:rsidRPr="00154588">
              <w:rPr>
                <w:bCs/>
                <w:sz w:val="20"/>
                <w:szCs w:val="20"/>
              </w:rPr>
              <w:t>C = cuantumul rezultat din cerința amortizorului combinat.</w:t>
            </w:r>
          </w:p>
        </w:tc>
        <w:tc>
          <w:tcPr>
            <w:tcW w:w="4819" w:type="dxa"/>
          </w:tcPr>
          <w:p w14:paraId="6B2F2415" w14:textId="46FB5FB1" w:rsidR="00F4284C" w:rsidRPr="00154588" w:rsidRDefault="00F4284C" w:rsidP="008C12B4">
            <w:pPr>
              <w:jc w:val="both"/>
              <w:rPr>
                <w:sz w:val="20"/>
                <w:szCs w:val="20"/>
              </w:rPr>
            </w:pPr>
            <w:r w:rsidRPr="00154588">
              <w:rPr>
                <w:b/>
                <w:sz w:val="20"/>
                <w:szCs w:val="20"/>
              </w:rPr>
              <w:t>Articolul 165</w:t>
            </w:r>
            <w:r w:rsidRPr="00154588">
              <w:rPr>
                <w:b/>
                <w:sz w:val="20"/>
                <w:szCs w:val="20"/>
                <w:vertAlign w:val="superscript"/>
              </w:rPr>
              <w:t>6</w:t>
            </w:r>
            <w:r w:rsidRPr="00154588">
              <w:rPr>
                <w:sz w:val="20"/>
                <w:szCs w:val="20"/>
              </w:rPr>
              <w:t xml:space="preserve">.– (1) Prin </w:t>
            </w:r>
            <w:bookmarkStart w:id="63" w:name="_Hlk234594236"/>
            <w:r w:rsidRPr="00154588">
              <w:rPr>
                <w:sz w:val="20"/>
                <w:szCs w:val="20"/>
              </w:rPr>
              <w:t xml:space="preserve">derogare </w:t>
            </w:r>
            <w:bookmarkEnd w:id="63"/>
            <w:r w:rsidRPr="00154588">
              <w:rPr>
                <w:sz w:val="20"/>
                <w:szCs w:val="20"/>
              </w:rPr>
              <w:t>de la art.165</w:t>
            </w:r>
            <w:r w:rsidRPr="00154588">
              <w:rPr>
                <w:sz w:val="20"/>
                <w:szCs w:val="20"/>
                <w:vertAlign w:val="superscript"/>
              </w:rPr>
              <w:t>3</w:t>
            </w:r>
            <w:r w:rsidRPr="00154588">
              <w:rPr>
                <w:sz w:val="20"/>
                <w:szCs w:val="20"/>
              </w:rPr>
              <w:t>, Banca Națională a Moldovei, în calitate de autoritate de rezoluție, poate decide ca o entitate de rezoluție, care este o instituție de tip G-SII sau o entitate de rezoluție care face obiectul prevederilor art.167</w:t>
            </w:r>
            <w:r w:rsidRPr="00154588">
              <w:rPr>
                <w:sz w:val="20"/>
                <w:szCs w:val="20"/>
                <w:vertAlign w:val="superscript"/>
              </w:rPr>
              <w:t>7</w:t>
            </w:r>
            <w:r w:rsidRPr="00154588">
              <w:rPr>
                <w:sz w:val="20"/>
                <w:szCs w:val="20"/>
              </w:rPr>
              <w:t xml:space="preserve"> sau 167</w:t>
            </w:r>
            <w:r w:rsidRPr="00154588">
              <w:rPr>
                <w:sz w:val="20"/>
                <w:szCs w:val="20"/>
                <w:vertAlign w:val="superscript"/>
              </w:rPr>
              <w:t>8</w:t>
            </w:r>
            <w:r w:rsidRPr="00154588">
              <w:rPr>
                <w:sz w:val="20"/>
                <w:szCs w:val="20"/>
              </w:rPr>
              <w:t>, să îndeplinească cerința prevăzută la art.167</w:t>
            </w:r>
            <w:r w:rsidRPr="00154588">
              <w:rPr>
                <w:sz w:val="20"/>
                <w:szCs w:val="20"/>
                <w:vertAlign w:val="superscript"/>
              </w:rPr>
              <w:t>14</w:t>
            </w:r>
            <w:r w:rsidRPr="00154588">
              <w:rPr>
                <w:sz w:val="20"/>
                <w:szCs w:val="20"/>
              </w:rPr>
              <w:t xml:space="preserve"> folosind fonduri proprii, instrumente eligibile subordonate sau datorii prevăzute la art.165</w:t>
            </w:r>
            <w:r w:rsidRPr="00154588">
              <w:rPr>
                <w:sz w:val="20"/>
                <w:szCs w:val="20"/>
                <w:vertAlign w:val="superscript"/>
              </w:rPr>
              <w:t>2</w:t>
            </w:r>
            <w:r w:rsidRPr="00154588">
              <w:rPr>
                <w:sz w:val="20"/>
                <w:szCs w:val="20"/>
              </w:rPr>
              <w:t>, în măsura în care, ca urmare a obligației entității de rezoluție de a se conforma cerinței amortizorului combinat</w:t>
            </w:r>
            <w:bookmarkStart w:id="64" w:name="_Hlk234594263"/>
            <w:r w:rsidRPr="00154588">
              <w:rPr>
                <w:sz w:val="20"/>
                <w:szCs w:val="20"/>
              </w:rPr>
              <w:t xml:space="preserve"> șicerinței privind fondurile proprii și pasivele eligibile pentru G-SII</w:t>
            </w:r>
            <w:bookmarkEnd w:id="64"/>
            <w:r w:rsidRPr="00154588">
              <w:rPr>
                <w:sz w:val="20"/>
                <w:szCs w:val="20"/>
              </w:rPr>
              <w:t>, la art.167</w:t>
            </w:r>
            <w:r w:rsidRPr="00154588">
              <w:rPr>
                <w:sz w:val="20"/>
                <w:szCs w:val="20"/>
                <w:vertAlign w:val="superscript"/>
              </w:rPr>
              <w:t>7</w:t>
            </w:r>
            <w:r w:rsidRPr="00154588">
              <w:rPr>
                <w:sz w:val="20"/>
                <w:szCs w:val="20"/>
              </w:rPr>
              <w:t xml:space="preserve"> și la art.167</w:t>
            </w:r>
            <w:r w:rsidRPr="00154588">
              <w:rPr>
                <w:sz w:val="20"/>
                <w:szCs w:val="20"/>
                <w:vertAlign w:val="superscript"/>
              </w:rPr>
              <w:t>14</w:t>
            </w:r>
            <w:r w:rsidRPr="00154588">
              <w:rPr>
                <w:sz w:val="20"/>
                <w:szCs w:val="20"/>
              </w:rPr>
              <w:t xml:space="preserve"> din prezenta lege, suma respectivelor fonduri proprii, instrumente și datorii nu depășește valoarea cea mai mare dintre:</w:t>
            </w:r>
          </w:p>
          <w:p w14:paraId="0A8824B4" w14:textId="77777777" w:rsidR="00F4284C" w:rsidRPr="00154588" w:rsidRDefault="00F4284C" w:rsidP="008C12B4">
            <w:pPr>
              <w:jc w:val="both"/>
              <w:rPr>
                <w:sz w:val="20"/>
                <w:szCs w:val="20"/>
              </w:rPr>
            </w:pPr>
            <w:r w:rsidRPr="00154588">
              <w:rPr>
                <w:sz w:val="20"/>
                <w:szCs w:val="20"/>
              </w:rPr>
              <w:t>a) 8 % din totalul datoriilor, inclusiv fonduri proprii ale entității; sau</w:t>
            </w:r>
          </w:p>
          <w:p w14:paraId="23F4D699" w14:textId="77777777" w:rsidR="00F4284C" w:rsidRPr="00154588" w:rsidRDefault="00F4284C" w:rsidP="008C12B4">
            <w:pPr>
              <w:jc w:val="both"/>
              <w:rPr>
                <w:sz w:val="20"/>
                <w:szCs w:val="20"/>
              </w:rPr>
            </w:pPr>
            <w:r w:rsidRPr="00154588">
              <w:rPr>
                <w:sz w:val="20"/>
                <w:szCs w:val="20"/>
              </w:rPr>
              <w:t>b) valoarea care rezultă din aplicarea formulei Ax2 + Bx2 + C, unde A, B și C au următoarele valori:</w:t>
            </w:r>
          </w:p>
          <w:p w14:paraId="02D970D2" w14:textId="7D50E360" w:rsidR="00F4284C" w:rsidRPr="00154588" w:rsidRDefault="00F4284C" w:rsidP="008C12B4">
            <w:pPr>
              <w:ind w:firstLine="567"/>
              <w:jc w:val="both"/>
              <w:rPr>
                <w:sz w:val="20"/>
                <w:szCs w:val="20"/>
              </w:rPr>
            </w:pPr>
            <w:r w:rsidRPr="00154588">
              <w:rPr>
                <w:sz w:val="20"/>
                <w:szCs w:val="20"/>
              </w:rPr>
              <w:t xml:space="preserve">A = valoarea rezultată din cerința </w:t>
            </w:r>
            <w:bookmarkStart w:id="65" w:name="_Hlk234594624"/>
            <w:r w:rsidRPr="00154588">
              <w:rPr>
                <w:sz w:val="20"/>
                <w:szCs w:val="20"/>
              </w:rPr>
              <w:t>privind rata fondurilor proprii totale</w:t>
            </w:r>
            <w:bookmarkEnd w:id="65"/>
            <w:r w:rsidRPr="00154588">
              <w:rPr>
                <w:sz w:val="20"/>
                <w:szCs w:val="20"/>
              </w:rPr>
              <w:t xml:space="preserve"> prevăzută în reglementările Băncii Naționale a Moldovei emise în aplicarea art.60, 61 și 62 din Legea nr.202/2017;</w:t>
            </w:r>
          </w:p>
          <w:p w14:paraId="6AC9D578" w14:textId="77777777" w:rsidR="00F4284C" w:rsidRPr="00154588" w:rsidRDefault="00F4284C" w:rsidP="008C12B4">
            <w:pPr>
              <w:ind w:firstLine="567"/>
              <w:jc w:val="both"/>
              <w:rPr>
                <w:sz w:val="20"/>
                <w:szCs w:val="20"/>
              </w:rPr>
            </w:pPr>
            <w:r w:rsidRPr="00154588">
              <w:rPr>
                <w:sz w:val="20"/>
                <w:szCs w:val="20"/>
              </w:rPr>
              <w:t>B = valoarea rezultată din cerința prevăzută la art.139</w:t>
            </w:r>
            <w:r w:rsidRPr="00154588">
              <w:rPr>
                <w:sz w:val="20"/>
                <w:szCs w:val="20"/>
                <w:vertAlign w:val="superscript"/>
              </w:rPr>
              <w:t>1</w:t>
            </w:r>
            <w:r w:rsidRPr="00154588">
              <w:rPr>
                <w:sz w:val="20"/>
                <w:szCs w:val="20"/>
              </w:rPr>
              <w:t xml:space="preserve"> din Legea nr.202/2017;</w:t>
            </w:r>
          </w:p>
          <w:p w14:paraId="40A6B037" w14:textId="5C0F4ABD" w:rsidR="00F4284C" w:rsidRPr="00154588" w:rsidRDefault="00F4284C" w:rsidP="008C12B4">
            <w:pPr>
              <w:jc w:val="both"/>
              <w:rPr>
                <w:bCs/>
                <w:sz w:val="20"/>
                <w:szCs w:val="20"/>
              </w:rPr>
            </w:pPr>
            <w:r w:rsidRPr="00154588">
              <w:rPr>
                <w:sz w:val="20"/>
                <w:szCs w:val="20"/>
              </w:rPr>
              <w:t>C = valoarea rezultată din cerința amortizorului combinat.</w:t>
            </w:r>
          </w:p>
        </w:tc>
        <w:tc>
          <w:tcPr>
            <w:tcW w:w="2552" w:type="dxa"/>
          </w:tcPr>
          <w:p w14:paraId="35E4B6E7" w14:textId="5EFCECF9" w:rsidR="00F4284C" w:rsidRPr="00154588" w:rsidRDefault="00F4284C" w:rsidP="008C12B4">
            <w:pPr>
              <w:jc w:val="both"/>
              <w:rPr>
                <w:bCs/>
                <w:sz w:val="20"/>
                <w:szCs w:val="20"/>
              </w:rPr>
            </w:pPr>
            <w:r w:rsidRPr="00154588">
              <w:rPr>
                <w:bCs/>
                <w:sz w:val="20"/>
                <w:szCs w:val="20"/>
              </w:rPr>
              <w:t>Compatibil</w:t>
            </w:r>
          </w:p>
        </w:tc>
        <w:tc>
          <w:tcPr>
            <w:tcW w:w="3118" w:type="dxa"/>
          </w:tcPr>
          <w:p w14:paraId="22498666" w14:textId="77777777" w:rsidR="00F4284C" w:rsidRPr="00154588" w:rsidRDefault="00F4284C" w:rsidP="008C12B4">
            <w:pPr>
              <w:jc w:val="both"/>
              <w:rPr>
                <w:bCs/>
                <w:sz w:val="20"/>
                <w:szCs w:val="20"/>
              </w:rPr>
            </w:pPr>
          </w:p>
        </w:tc>
      </w:tr>
      <w:tr w:rsidR="00F4284C" w:rsidRPr="00154588" w14:paraId="2CE0544B" w14:textId="77777777" w:rsidTr="00D15C1B">
        <w:trPr>
          <w:jc w:val="center"/>
        </w:trPr>
        <w:tc>
          <w:tcPr>
            <w:tcW w:w="4957" w:type="dxa"/>
            <w:gridSpan w:val="2"/>
          </w:tcPr>
          <w:p w14:paraId="2AC5A4CB" w14:textId="0470D31D" w:rsidR="00F4284C" w:rsidRPr="00154588" w:rsidRDefault="00F4284C" w:rsidP="008C12B4">
            <w:pPr>
              <w:jc w:val="both"/>
              <w:rPr>
                <w:bCs/>
                <w:sz w:val="20"/>
                <w:szCs w:val="20"/>
              </w:rPr>
            </w:pPr>
            <w:r w:rsidRPr="00154588">
              <w:rPr>
                <w:bCs/>
                <w:sz w:val="20"/>
                <w:szCs w:val="20"/>
              </w:rPr>
              <w:t xml:space="preserve">(8)   Autoritățile de rezoluție pot exercita competența menționată la alineatul (7) de la prezentul articol cu </w:t>
            </w:r>
            <w:r w:rsidRPr="00154588">
              <w:rPr>
                <w:bCs/>
                <w:sz w:val="20"/>
                <w:szCs w:val="20"/>
              </w:rPr>
              <w:lastRenderedPageBreak/>
              <w:t>privire la entitățile de rezoluție care sunt entități G-SII sau cărora li se aplică articolul 45c alineatul (5) sau (6) și care îndeplinesc una dintre condițiile stabilite la prezentul alineat al doilea paragraf până la o limită de 30 % din numărul total al tuturor entităților de rezoluție care sunt entități G-SII sau cărora li se aplică articolul 45c alineatul (5) sau (6), pentru care autoritatea de rezoluție stabilește cerința menționată la articolul 45e.</w:t>
            </w:r>
          </w:p>
          <w:p w14:paraId="0E3D5570" w14:textId="77777777" w:rsidR="00F4284C" w:rsidRPr="00154588" w:rsidRDefault="00F4284C" w:rsidP="008C12B4">
            <w:pPr>
              <w:jc w:val="both"/>
              <w:rPr>
                <w:bCs/>
                <w:sz w:val="20"/>
                <w:szCs w:val="20"/>
              </w:rPr>
            </w:pPr>
          </w:p>
          <w:p w14:paraId="7B4FD037" w14:textId="3D29F8DF" w:rsidR="00F4284C" w:rsidRPr="00154588" w:rsidRDefault="00F4284C" w:rsidP="008C12B4">
            <w:pPr>
              <w:jc w:val="both"/>
              <w:rPr>
                <w:bCs/>
                <w:sz w:val="20"/>
                <w:szCs w:val="20"/>
              </w:rPr>
            </w:pPr>
            <w:r w:rsidRPr="00154588">
              <w:rPr>
                <w:bCs/>
                <w:sz w:val="20"/>
                <w:szCs w:val="20"/>
              </w:rPr>
              <w:t>Autoritățile de rezoluție iau în considerare condițiile sus-menționate după cum urmează:</w:t>
            </w:r>
          </w:p>
          <w:p w14:paraId="3FF3D155" w14:textId="77777777" w:rsidR="00F4284C" w:rsidRPr="00154588" w:rsidRDefault="00F4284C" w:rsidP="008C12B4">
            <w:pPr>
              <w:jc w:val="both"/>
              <w:rPr>
                <w:bCs/>
                <w:sz w:val="20"/>
                <w:szCs w:val="20"/>
              </w:rPr>
            </w:pPr>
          </w:p>
          <w:p w14:paraId="631B620E" w14:textId="075403FF" w:rsidR="00F4284C" w:rsidRPr="00154588" w:rsidRDefault="00F4284C" w:rsidP="008C12B4">
            <w:pPr>
              <w:jc w:val="both"/>
              <w:rPr>
                <w:bCs/>
                <w:sz w:val="20"/>
                <w:szCs w:val="20"/>
              </w:rPr>
            </w:pPr>
            <w:r w:rsidRPr="00154588">
              <w:rPr>
                <w:bCs/>
                <w:sz w:val="20"/>
                <w:szCs w:val="20"/>
              </w:rPr>
              <w:t>(a) în cursul evaluării precedente a posibilității de soluționare au fost identificate obstacole semnificative în calea posibilității de soluționare și:</w:t>
            </w:r>
          </w:p>
          <w:p w14:paraId="2C8D8CED" w14:textId="77777777" w:rsidR="00F4284C" w:rsidRPr="00154588" w:rsidRDefault="00F4284C" w:rsidP="008C12B4">
            <w:pPr>
              <w:jc w:val="both"/>
              <w:rPr>
                <w:bCs/>
                <w:sz w:val="20"/>
                <w:szCs w:val="20"/>
              </w:rPr>
            </w:pPr>
          </w:p>
          <w:p w14:paraId="17D62BF5" w14:textId="1D9C1165" w:rsidR="00F4284C" w:rsidRPr="00154588" w:rsidRDefault="00F4284C" w:rsidP="008C12B4">
            <w:pPr>
              <w:jc w:val="both"/>
              <w:rPr>
                <w:bCs/>
                <w:sz w:val="20"/>
                <w:szCs w:val="20"/>
              </w:rPr>
            </w:pPr>
            <w:r w:rsidRPr="00154588">
              <w:rPr>
                <w:bCs/>
                <w:sz w:val="20"/>
                <w:szCs w:val="20"/>
              </w:rPr>
              <w:t>(i) nu a fost luată nicio măsură de remediere în urma aplicării măsurilor menționate la articolul 17 alineatul (5) în termenul impus de autoritatea de rezoluție sau</w:t>
            </w:r>
          </w:p>
          <w:p w14:paraId="0E61243B" w14:textId="77777777" w:rsidR="00F4284C" w:rsidRPr="00154588" w:rsidRDefault="00F4284C" w:rsidP="008C12B4">
            <w:pPr>
              <w:jc w:val="both"/>
              <w:rPr>
                <w:bCs/>
                <w:sz w:val="20"/>
                <w:szCs w:val="20"/>
              </w:rPr>
            </w:pPr>
          </w:p>
          <w:p w14:paraId="05FB786B" w14:textId="1B9AD2F7" w:rsidR="00F4284C" w:rsidRPr="00154588" w:rsidRDefault="00F4284C" w:rsidP="008C12B4">
            <w:pPr>
              <w:jc w:val="both"/>
              <w:rPr>
                <w:bCs/>
                <w:sz w:val="20"/>
                <w:szCs w:val="20"/>
              </w:rPr>
            </w:pPr>
            <w:r w:rsidRPr="00154588">
              <w:rPr>
                <w:bCs/>
                <w:sz w:val="20"/>
                <w:szCs w:val="20"/>
              </w:rPr>
              <w:t>(ii) obstacolele semnificative identificate nu pot fi abordate folosind niciuna dintre măsurile menționate la articolul 17 alineatul (5), iar exercitarea competenței menționate la alineatul (7) de la prezentul articol ar compensa parțial sau total impactul negativ al obstacolelor semnificative asupra posibilității de soluționare;</w:t>
            </w:r>
          </w:p>
          <w:p w14:paraId="1B475B65" w14:textId="77777777" w:rsidR="00F4284C" w:rsidRPr="00154588" w:rsidRDefault="00F4284C" w:rsidP="008C12B4">
            <w:pPr>
              <w:jc w:val="both"/>
              <w:rPr>
                <w:bCs/>
                <w:sz w:val="20"/>
                <w:szCs w:val="20"/>
              </w:rPr>
            </w:pPr>
          </w:p>
          <w:p w14:paraId="135D5D7A" w14:textId="77192B30" w:rsidR="00F4284C" w:rsidRPr="00154588" w:rsidRDefault="00F4284C" w:rsidP="008C12B4">
            <w:pPr>
              <w:jc w:val="both"/>
              <w:rPr>
                <w:bCs/>
                <w:sz w:val="20"/>
                <w:szCs w:val="20"/>
              </w:rPr>
            </w:pPr>
            <w:r w:rsidRPr="00154588">
              <w:rPr>
                <w:bCs/>
                <w:sz w:val="20"/>
                <w:szCs w:val="20"/>
              </w:rPr>
              <w:t>(b) autoritatea de rezoluție consideră că fezabilitatea și credibilitatea strategiei de rezoluție preferate a entității de rezoluție sunt limitate, având în vedere dimensiunea entității, gradul său de interconectare, natura, amploarea, riscurile și complexitatea activităților sale, statutul său juridic și structura acționariatului său; sau</w:t>
            </w:r>
          </w:p>
          <w:p w14:paraId="7FD7DC65" w14:textId="77777777" w:rsidR="00F4284C" w:rsidRPr="00154588" w:rsidRDefault="00F4284C" w:rsidP="008C12B4">
            <w:pPr>
              <w:jc w:val="both"/>
              <w:rPr>
                <w:bCs/>
                <w:sz w:val="20"/>
                <w:szCs w:val="20"/>
              </w:rPr>
            </w:pPr>
          </w:p>
          <w:p w14:paraId="0360F8AF" w14:textId="775FAD9D" w:rsidR="00F4284C" w:rsidRPr="00154588" w:rsidRDefault="00F4284C" w:rsidP="008C12B4">
            <w:pPr>
              <w:jc w:val="both"/>
              <w:rPr>
                <w:bCs/>
                <w:sz w:val="20"/>
                <w:szCs w:val="20"/>
              </w:rPr>
            </w:pPr>
            <w:r w:rsidRPr="00154588">
              <w:rPr>
                <w:bCs/>
                <w:sz w:val="20"/>
                <w:szCs w:val="20"/>
              </w:rPr>
              <w:t>(c) cerința menționată la articolul 104a din Directiva 2013/36/UE reflectă faptul că entitatea de rezoluție care este o entitate G-SII sau care face obiectul articolului 45c alineatul (5) sau (6) din prezenta directivă se numără, în privința riscului, printre primele 20 % dintre instituții pentru care autoritatea de rezoluție stabilește cerința menționată la articolul 45 alineatul (1) din prezenta directivă.</w:t>
            </w:r>
          </w:p>
          <w:p w14:paraId="3A310354" w14:textId="77777777" w:rsidR="00F4284C" w:rsidRPr="00154588" w:rsidRDefault="00F4284C" w:rsidP="008C12B4">
            <w:pPr>
              <w:jc w:val="both"/>
              <w:rPr>
                <w:bCs/>
                <w:sz w:val="20"/>
                <w:szCs w:val="20"/>
              </w:rPr>
            </w:pPr>
          </w:p>
          <w:p w14:paraId="0559785F" w14:textId="77777777" w:rsidR="00F4284C" w:rsidRPr="00154588" w:rsidRDefault="00F4284C" w:rsidP="008C12B4">
            <w:pPr>
              <w:jc w:val="both"/>
              <w:rPr>
                <w:bCs/>
                <w:sz w:val="20"/>
                <w:szCs w:val="20"/>
              </w:rPr>
            </w:pPr>
            <w:r w:rsidRPr="00154588">
              <w:rPr>
                <w:bCs/>
                <w:sz w:val="20"/>
                <w:szCs w:val="20"/>
              </w:rPr>
              <w:lastRenderedPageBreak/>
              <w:t>În scopul stabilirii procentelor menționate la primul și la al doilea paragraf, autoritatea de rezoluție rotunjește numărul care rezultă din calcul la cel mai apropiat număr întreg.</w:t>
            </w:r>
          </w:p>
          <w:p w14:paraId="546B9998" w14:textId="77777777" w:rsidR="00F4284C" w:rsidRPr="00154588" w:rsidRDefault="00F4284C" w:rsidP="008C12B4">
            <w:pPr>
              <w:jc w:val="both"/>
              <w:rPr>
                <w:bCs/>
                <w:sz w:val="20"/>
                <w:szCs w:val="20"/>
              </w:rPr>
            </w:pPr>
          </w:p>
          <w:p w14:paraId="0738B382" w14:textId="77777777" w:rsidR="00F4284C" w:rsidRPr="00154588" w:rsidRDefault="00F4284C" w:rsidP="008C12B4">
            <w:pPr>
              <w:jc w:val="both"/>
              <w:rPr>
                <w:bCs/>
                <w:sz w:val="20"/>
                <w:szCs w:val="20"/>
              </w:rPr>
            </w:pPr>
          </w:p>
          <w:p w14:paraId="53ADF129" w14:textId="77777777" w:rsidR="00F4284C" w:rsidRPr="00154588" w:rsidRDefault="00F4284C" w:rsidP="008C12B4">
            <w:pPr>
              <w:jc w:val="both"/>
              <w:rPr>
                <w:bCs/>
                <w:sz w:val="20"/>
                <w:szCs w:val="20"/>
              </w:rPr>
            </w:pPr>
          </w:p>
          <w:p w14:paraId="7B0A9725" w14:textId="2C945513" w:rsidR="00F4284C" w:rsidRPr="00154588" w:rsidRDefault="00F4284C" w:rsidP="008C12B4">
            <w:pPr>
              <w:jc w:val="both"/>
              <w:rPr>
                <w:bCs/>
                <w:sz w:val="20"/>
                <w:szCs w:val="20"/>
              </w:rPr>
            </w:pPr>
            <w:r w:rsidRPr="00154588">
              <w:rPr>
                <w:bCs/>
                <w:sz w:val="20"/>
                <w:szCs w:val="20"/>
              </w:rPr>
              <w:t>Statele membre pot, ținând cont de caracteristicile specifice ale sectorului lor bancar, inclusiv, în special, de numărul entităților de rezoluție care sunt entități G-SII sau care fac obiectul articolului 45c alineatul (5) sau (6) pentru care autoritatea națională de rezoluție stabilește cerința menționată la articolul 45e, să stabilească procentul menționat la primul paragraf la un nivel mai mare de 30 %.</w:t>
            </w:r>
          </w:p>
        </w:tc>
        <w:tc>
          <w:tcPr>
            <w:tcW w:w="4819" w:type="dxa"/>
          </w:tcPr>
          <w:p w14:paraId="5FA3BFFB" w14:textId="11B43C19" w:rsidR="00F4284C" w:rsidRPr="00154588" w:rsidRDefault="00F4284C" w:rsidP="008C12B4">
            <w:pPr>
              <w:jc w:val="both"/>
              <w:rPr>
                <w:sz w:val="20"/>
                <w:szCs w:val="20"/>
              </w:rPr>
            </w:pPr>
            <w:r w:rsidRPr="00154588">
              <w:rPr>
                <w:b/>
                <w:sz w:val="20"/>
                <w:szCs w:val="20"/>
              </w:rPr>
              <w:lastRenderedPageBreak/>
              <w:t>Articolul 165</w:t>
            </w:r>
            <w:r w:rsidRPr="00154588">
              <w:rPr>
                <w:b/>
                <w:sz w:val="20"/>
                <w:szCs w:val="20"/>
                <w:vertAlign w:val="superscript"/>
              </w:rPr>
              <w:t>7</w:t>
            </w:r>
            <w:r w:rsidRPr="00154588">
              <w:rPr>
                <w:b/>
                <w:sz w:val="20"/>
                <w:szCs w:val="20"/>
              </w:rPr>
              <w:t>.</w:t>
            </w:r>
            <w:r w:rsidRPr="00154588">
              <w:rPr>
                <w:sz w:val="20"/>
                <w:szCs w:val="20"/>
              </w:rPr>
              <w:t xml:space="preserve"> – (1) Banca Națională a Moldovei, în calitate de autoritate de rezoluție, poate exercita </w:t>
            </w:r>
            <w:r w:rsidRPr="00154588">
              <w:rPr>
                <w:sz w:val="20"/>
                <w:szCs w:val="20"/>
              </w:rPr>
              <w:lastRenderedPageBreak/>
              <w:t>competența prevăzută la art.165</w:t>
            </w:r>
            <w:r w:rsidRPr="00154588">
              <w:rPr>
                <w:sz w:val="20"/>
                <w:szCs w:val="20"/>
                <w:vertAlign w:val="superscript"/>
              </w:rPr>
              <w:t>6</w:t>
            </w:r>
            <w:r w:rsidRPr="00154588">
              <w:rPr>
                <w:sz w:val="20"/>
                <w:szCs w:val="20"/>
              </w:rPr>
              <w:t xml:space="preserve"> cu privire la toate entitățile de rezoluție, care sunt instituții de tip G-SII sau cărora li se aplică prevederile art.167</w:t>
            </w:r>
            <w:r w:rsidRPr="00154588">
              <w:rPr>
                <w:sz w:val="20"/>
                <w:szCs w:val="20"/>
                <w:vertAlign w:val="superscript"/>
              </w:rPr>
              <w:t>7</w:t>
            </w:r>
            <w:r w:rsidRPr="00154588">
              <w:rPr>
                <w:sz w:val="20"/>
                <w:szCs w:val="20"/>
              </w:rPr>
              <w:t xml:space="preserve"> sau 167</w:t>
            </w:r>
            <w:r w:rsidRPr="00154588">
              <w:rPr>
                <w:sz w:val="20"/>
                <w:szCs w:val="20"/>
                <w:vertAlign w:val="superscript"/>
              </w:rPr>
              <w:t>8</w:t>
            </w:r>
            <w:r w:rsidRPr="00154588">
              <w:rPr>
                <w:sz w:val="20"/>
                <w:szCs w:val="20"/>
              </w:rPr>
              <w:t xml:space="preserve"> și care îndeplinesc una dintre condițiile prevăzute la alin.(2),</w:t>
            </w:r>
            <w:r w:rsidRPr="00154588">
              <w:rPr>
                <w:bCs/>
                <w:sz w:val="20"/>
                <w:szCs w:val="20"/>
              </w:rPr>
              <w:t xml:space="preserve"> </w:t>
            </w:r>
            <w:bookmarkStart w:id="66" w:name="_Hlk234594706"/>
            <w:r w:rsidRPr="00154588">
              <w:rPr>
                <w:bCs/>
                <w:sz w:val="20"/>
                <w:szCs w:val="20"/>
              </w:rPr>
              <w:t>până la o limită de 30 % din numărul total al tuturor entităților de rezoluție care sunt entități G-SII sau cărora li se aplică art.167</w:t>
            </w:r>
            <w:r w:rsidRPr="00154588">
              <w:rPr>
                <w:bCs/>
                <w:sz w:val="20"/>
                <w:szCs w:val="20"/>
                <w:vertAlign w:val="superscript"/>
              </w:rPr>
              <w:t>7</w:t>
            </w:r>
            <w:r w:rsidRPr="00154588">
              <w:rPr>
                <w:bCs/>
                <w:sz w:val="20"/>
                <w:szCs w:val="20"/>
              </w:rPr>
              <w:t xml:space="preserve"> sau 167</w:t>
            </w:r>
            <w:r w:rsidRPr="00154588">
              <w:rPr>
                <w:bCs/>
                <w:sz w:val="20"/>
                <w:szCs w:val="20"/>
                <w:vertAlign w:val="superscript"/>
              </w:rPr>
              <w:t>8</w:t>
            </w:r>
            <w:r w:rsidRPr="00154588">
              <w:rPr>
                <w:bCs/>
                <w:sz w:val="20"/>
                <w:szCs w:val="20"/>
              </w:rPr>
              <w:t xml:space="preserve">, </w:t>
            </w:r>
            <w:r w:rsidRPr="00154588">
              <w:rPr>
                <w:sz w:val="20"/>
                <w:szCs w:val="20"/>
              </w:rPr>
              <w:t xml:space="preserve"> </w:t>
            </w:r>
            <w:bookmarkEnd w:id="66"/>
            <w:r w:rsidRPr="00154588">
              <w:rPr>
                <w:sz w:val="20"/>
                <w:szCs w:val="20"/>
              </w:rPr>
              <w:t>pentru care Banca Națională a Moldovei, în calitate de autoritate de rezoluție, determină cerința prevăzută la art.167</w:t>
            </w:r>
            <w:r w:rsidRPr="00154588">
              <w:rPr>
                <w:sz w:val="20"/>
                <w:szCs w:val="20"/>
                <w:vertAlign w:val="superscript"/>
              </w:rPr>
              <w:t>14</w:t>
            </w:r>
            <w:r w:rsidRPr="00154588">
              <w:rPr>
                <w:sz w:val="20"/>
                <w:szCs w:val="20"/>
              </w:rPr>
              <w:t>.</w:t>
            </w:r>
          </w:p>
          <w:p w14:paraId="2808F2D3" w14:textId="77777777" w:rsidR="00F4284C" w:rsidRPr="00154588" w:rsidRDefault="00F4284C" w:rsidP="008C12B4">
            <w:pPr>
              <w:jc w:val="both"/>
              <w:rPr>
                <w:sz w:val="20"/>
                <w:szCs w:val="20"/>
              </w:rPr>
            </w:pPr>
            <w:r w:rsidRPr="00154588">
              <w:rPr>
                <w:sz w:val="20"/>
                <w:szCs w:val="20"/>
              </w:rPr>
              <w:t>(2) În aplicarea prevederilor alin.(1), Banca Națională a Moldovei, în calitate de autoritate de rezoluție, ia în considerare următoarele condiții:</w:t>
            </w:r>
          </w:p>
          <w:p w14:paraId="7A585F0B" w14:textId="77777777" w:rsidR="00F4284C" w:rsidRPr="00154588" w:rsidRDefault="00F4284C" w:rsidP="008C12B4">
            <w:pPr>
              <w:jc w:val="both"/>
              <w:rPr>
                <w:sz w:val="20"/>
                <w:szCs w:val="20"/>
              </w:rPr>
            </w:pPr>
            <w:r w:rsidRPr="00154588">
              <w:rPr>
                <w:sz w:val="20"/>
                <w:szCs w:val="20"/>
              </w:rPr>
              <w:t>a) în cursul evaluării posibilității de soluționare din ciclurile anterioare de planificare au fost identificate obstacole semnificative și, fie:</w:t>
            </w:r>
          </w:p>
          <w:p w14:paraId="2B431365" w14:textId="77777777" w:rsidR="00F4284C" w:rsidRPr="00154588" w:rsidRDefault="00F4284C" w:rsidP="008C12B4">
            <w:pPr>
              <w:jc w:val="both"/>
              <w:rPr>
                <w:sz w:val="20"/>
                <w:szCs w:val="20"/>
              </w:rPr>
            </w:pPr>
            <w:r w:rsidRPr="00154588">
              <w:rPr>
                <w:sz w:val="20"/>
                <w:szCs w:val="20"/>
              </w:rPr>
              <w:t>(i) nu a fost luată nicio măsură de remediere în urma aplicării măsurilor prevăzute la art.39, în termenul impus de Banca Națională a Moldovei, în calitate de autoritate de rezoluție; fie</w:t>
            </w:r>
          </w:p>
          <w:p w14:paraId="474BE0D5" w14:textId="2405EF56" w:rsidR="00F4284C" w:rsidRPr="00154588" w:rsidRDefault="00F4284C" w:rsidP="008C12B4">
            <w:pPr>
              <w:jc w:val="both"/>
              <w:rPr>
                <w:sz w:val="20"/>
                <w:szCs w:val="20"/>
              </w:rPr>
            </w:pPr>
            <w:r w:rsidRPr="00154588">
              <w:rPr>
                <w:sz w:val="20"/>
                <w:szCs w:val="20"/>
              </w:rPr>
              <w:t>(ii) obstacolele semnificative identificate nu pot fi abordate folosind niciuna dintre măsurile prevăzute la art.39, iar exercitarea competenței prevăzute la art.165</w:t>
            </w:r>
            <w:r w:rsidRPr="00154588">
              <w:rPr>
                <w:sz w:val="20"/>
                <w:szCs w:val="20"/>
                <w:vertAlign w:val="superscript"/>
              </w:rPr>
              <w:t>6</w:t>
            </w:r>
            <w:r w:rsidRPr="00154588">
              <w:rPr>
                <w:sz w:val="20"/>
                <w:szCs w:val="20"/>
              </w:rPr>
              <w:t xml:space="preserve"> ar compensa parțial sau total impactul negativ al obstacolelor semnificative asupra posibilității de soluționare;</w:t>
            </w:r>
          </w:p>
          <w:p w14:paraId="44FD2EBC" w14:textId="77777777" w:rsidR="00F4284C" w:rsidRPr="00154588" w:rsidRDefault="00F4284C" w:rsidP="008C12B4">
            <w:pPr>
              <w:jc w:val="both"/>
              <w:rPr>
                <w:sz w:val="20"/>
                <w:szCs w:val="20"/>
              </w:rPr>
            </w:pPr>
            <w:r w:rsidRPr="00154588">
              <w:rPr>
                <w:sz w:val="20"/>
                <w:szCs w:val="20"/>
              </w:rPr>
              <w:t>b) Banca Națională a Moldovei, în calitate de autoritate de rezoluție, apreciază că fezabilitatea și credibilitatea strategiei de rezoluție preferate aferente entității de rezoluție sunt limitate, având în vedere dimensiunea entității, gradul său de interconectare, natura, amploarea, riscurile și complexitatea activităților sale, statutul său juridic și structura acționariatului său; sau</w:t>
            </w:r>
          </w:p>
          <w:p w14:paraId="3FF6B697" w14:textId="51908940" w:rsidR="00F4284C" w:rsidRPr="00154588" w:rsidRDefault="00F4284C" w:rsidP="008C12B4">
            <w:pPr>
              <w:jc w:val="both"/>
              <w:rPr>
                <w:sz w:val="20"/>
                <w:szCs w:val="20"/>
              </w:rPr>
            </w:pPr>
            <w:r w:rsidRPr="00154588">
              <w:rPr>
                <w:sz w:val="20"/>
                <w:szCs w:val="20"/>
              </w:rPr>
              <w:t>c) cerința prevăzută la art.139</w:t>
            </w:r>
            <w:r w:rsidRPr="00154588">
              <w:rPr>
                <w:sz w:val="20"/>
                <w:szCs w:val="20"/>
                <w:vertAlign w:val="superscript"/>
              </w:rPr>
              <w:t>1</w:t>
            </w:r>
            <w:r w:rsidRPr="00154588">
              <w:rPr>
                <w:sz w:val="20"/>
                <w:szCs w:val="20"/>
              </w:rPr>
              <w:t xml:space="preserve"> din Legea nr.202/2017, reflectă faptul că entitatea de rezoluție, care este o instituție de tip G-SII sau care face obiectul cerinței prevăzute la art.167</w:t>
            </w:r>
            <w:r w:rsidRPr="00154588">
              <w:rPr>
                <w:sz w:val="20"/>
                <w:szCs w:val="20"/>
                <w:vertAlign w:val="superscript"/>
              </w:rPr>
              <w:t>7</w:t>
            </w:r>
            <w:r w:rsidRPr="00154588">
              <w:rPr>
                <w:sz w:val="20"/>
                <w:szCs w:val="20"/>
              </w:rPr>
              <w:t xml:space="preserve"> sau 167</w:t>
            </w:r>
            <w:r w:rsidRPr="00154588">
              <w:rPr>
                <w:sz w:val="20"/>
                <w:szCs w:val="20"/>
                <w:vertAlign w:val="superscript"/>
              </w:rPr>
              <w:t>8</w:t>
            </w:r>
            <w:r w:rsidRPr="00154588">
              <w:rPr>
                <w:sz w:val="20"/>
                <w:szCs w:val="20"/>
              </w:rPr>
              <w:t xml:space="preserve"> se numără</w:t>
            </w:r>
            <w:bookmarkStart w:id="67" w:name="_Hlk234594795"/>
            <w:r w:rsidRPr="00154588">
              <w:rPr>
                <w:sz w:val="20"/>
                <w:szCs w:val="20"/>
              </w:rPr>
              <w:t xml:space="preserve">, </w:t>
            </w:r>
            <w:r w:rsidRPr="00154588">
              <w:rPr>
                <w:bCs/>
                <w:sz w:val="20"/>
                <w:szCs w:val="20"/>
              </w:rPr>
              <w:t xml:space="preserve">în privința riscului, </w:t>
            </w:r>
            <w:bookmarkEnd w:id="67"/>
            <w:r w:rsidRPr="00154588">
              <w:rPr>
                <w:sz w:val="20"/>
                <w:szCs w:val="20"/>
              </w:rPr>
              <w:t>printre primele 20% dintre instituțiile pentru care Banca Națională a Moldovei, în calitate de autoritate de rezoluție, determină cerința prevăzută la art.164 alin.(1).</w:t>
            </w:r>
          </w:p>
          <w:p w14:paraId="76C7A5F4" w14:textId="69989727" w:rsidR="00F4284C" w:rsidRPr="00154588" w:rsidRDefault="00F4284C" w:rsidP="008C12B4">
            <w:pPr>
              <w:jc w:val="both"/>
              <w:rPr>
                <w:sz w:val="20"/>
                <w:szCs w:val="20"/>
              </w:rPr>
            </w:pPr>
            <w:r w:rsidRPr="00154588">
              <w:rPr>
                <w:sz w:val="20"/>
                <w:szCs w:val="20"/>
              </w:rPr>
              <w:t xml:space="preserve">(3) În scopul stabilirii procentului prevăzut la alin.(1) și (2) , Banca Națională a Moldovei, în calitate de </w:t>
            </w:r>
            <w:r w:rsidRPr="00154588">
              <w:rPr>
                <w:sz w:val="20"/>
                <w:szCs w:val="20"/>
              </w:rPr>
              <w:lastRenderedPageBreak/>
              <w:t>autoritate de rezoluție, rotunjește numărul care rezultă din calcul la cel mai apropiat număr întreg.</w:t>
            </w:r>
          </w:p>
          <w:p w14:paraId="64367F71" w14:textId="7558C02C" w:rsidR="00F4284C" w:rsidRPr="00154588" w:rsidRDefault="00F4284C" w:rsidP="008C12B4">
            <w:pPr>
              <w:jc w:val="both"/>
              <w:rPr>
                <w:sz w:val="20"/>
                <w:szCs w:val="20"/>
              </w:rPr>
            </w:pPr>
            <w:r w:rsidRPr="00154588">
              <w:rPr>
                <w:sz w:val="20"/>
                <w:szCs w:val="20"/>
              </w:rPr>
              <w:t>(4) Banca Naţională a Moldovei, în calitate de autoritate de rezoluţie poate, ţinând cont de caracteristicile specifice ale sectorului bancar, inclusiv, în special, de numărul entităţilor de rezoluţie care sunt entităţi din categoria G-SII sau care fac obiectul art.167</w:t>
            </w:r>
            <w:r w:rsidRPr="00154588">
              <w:rPr>
                <w:sz w:val="20"/>
                <w:szCs w:val="20"/>
                <w:vertAlign w:val="superscript"/>
              </w:rPr>
              <w:t>7</w:t>
            </w:r>
            <w:r w:rsidRPr="00154588">
              <w:rPr>
                <w:sz w:val="20"/>
                <w:szCs w:val="20"/>
              </w:rPr>
              <w:t xml:space="preserve"> sau 167</w:t>
            </w:r>
            <w:r w:rsidRPr="00154588">
              <w:rPr>
                <w:sz w:val="20"/>
                <w:szCs w:val="20"/>
                <w:vertAlign w:val="superscript"/>
              </w:rPr>
              <w:t>8</w:t>
            </w:r>
            <w:r w:rsidRPr="00154588">
              <w:rPr>
                <w:sz w:val="20"/>
                <w:szCs w:val="20"/>
              </w:rPr>
              <w:t xml:space="preserve"> pentru care autoritatea de rezoluţie stabilește cerinţa menţionată la art.167</w:t>
            </w:r>
            <w:r w:rsidRPr="00154588">
              <w:rPr>
                <w:sz w:val="20"/>
                <w:szCs w:val="20"/>
                <w:vertAlign w:val="superscript"/>
              </w:rPr>
              <w:t>14</w:t>
            </w:r>
            <w:r w:rsidRPr="00154588">
              <w:rPr>
                <w:sz w:val="20"/>
                <w:szCs w:val="20"/>
              </w:rPr>
              <w:t>, să stabilească procentul menţionat la alin. (1) la un nivel mai mare de 30 %.</w:t>
            </w:r>
          </w:p>
          <w:p w14:paraId="465E248D" w14:textId="77777777" w:rsidR="00F4284C" w:rsidRPr="00154588" w:rsidRDefault="00F4284C" w:rsidP="008C12B4">
            <w:pPr>
              <w:jc w:val="both"/>
              <w:rPr>
                <w:bCs/>
                <w:sz w:val="20"/>
                <w:szCs w:val="20"/>
              </w:rPr>
            </w:pPr>
          </w:p>
        </w:tc>
        <w:tc>
          <w:tcPr>
            <w:tcW w:w="2552" w:type="dxa"/>
          </w:tcPr>
          <w:p w14:paraId="1F443DAF" w14:textId="281BF07D"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17FF239D" w14:textId="77777777" w:rsidR="00F4284C" w:rsidRPr="00154588" w:rsidRDefault="00F4284C" w:rsidP="008C12B4">
            <w:pPr>
              <w:jc w:val="both"/>
              <w:rPr>
                <w:bCs/>
                <w:sz w:val="20"/>
                <w:szCs w:val="20"/>
              </w:rPr>
            </w:pPr>
          </w:p>
        </w:tc>
      </w:tr>
      <w:tr w:rsidR="00F4284C" w:rsidRPr="00154588" w14:paraId="3A7D607B" w14:textId="77777777" w:rsidTr="00D15C1B">
        <w:trPr>
          <w:jc w:val="center"/>
        </w:trPr>
        <w:tc>
          <w:tcPr>
            <w:tcW w:w="4957" w:type="dxa"/>
            <w:gridSpan w:val="2"/>
          </w:tcPr>
          <w:p w14:paraId="6BF6AB6E" w14:textId="77777777" w:rsidR="00F4284C" w:rsidRPr="00154588" w:rsidRDefault="00F4284C" w:rsidP="008C12B4">
            <w:pPr>
              <w:jc w:val="both"/>
              <w:rPr>
                <w:bCs/>
                <w:sz w:val="20"/>
                <w:szCs w:val="20"/>
              </w:rPr>
            </w:pPr>
            <w:r w:rsidRPr="00154588">
              <w:rPr>
                <w:bCs/>
                <w:sz w:val="20"/>
                <w:szCs w:val="20"/>
              </w:rPr>
              <w:lastRenderedPageBreak/>
              <w:t>(9)   Autoritatea de rezoluție ia deciziile menționate la alineatul (5) sau (7), după consultarea autorității competente.</w:t>
            </w:r>
          </w:p>
          <w:p w14:paraId="427CBCD0" w14:textId="77777777" w:rsidR="00F4284C" w:rsidRPr="00154588" w:rsidRDefault="00F4284C" w:rsidP="008C12B4">
            <w:pPr>
              <w:jc w:val="both"/>
              <w:rPr>
                <w:bCs/>
                <w:sz w:val="20"/>
                <w:szCs w:val="20"/>
              </w:rPr>
            </w:pPr>
          </w:p>
          <w:p w14:paraId="12B0414A" w14:textId="77777777" w:rsidR="00F4284C" w:rsidRPr="00154588" w:rsidRDefault="00F4284C" w:rsidP="008C12B4">
            <w:pPr>
              <w:jc w:val="both"/>
              <w:rPr>
                <w:bCs/>
                <w:sz w:val="20"/>
                <w:szCs w:val="20"/>
              </w:rPr>
            </w:pPr>
          </w:p>
          <w:p w14:paraId="711B9D2F" w14:textId="77777777" w:rsidR="00F4284C" w:rsidRPr="00154588" w:rsidRDefault="00F4284C" w:rsidP="008C12B4">
            <w:pPr>
              <w:jc w:val="both"/>
              <w:rPr>
                <w:bCs/>
                <w:sz w:val="20"/>
                <w:szCs w:val="20"/>
              </w:rPr>
            </w:pPr>
            <w:r w:rsidRPr="00154588">
              <w:rPr>
                <w:bCs/>
                <w:sz w:val="20"/>
                <w:szCs w:val="20"/>
              </w:rPr>
              <w:t>Atunci când iau această decizie, autoritățile de rezoluție iau în considerare de asemenea:</w:t>
            </w:r>
          </w:p>
          <w:p w14:paraId="4B6A0896" w14:textId="77777777" w:rsidR="00F4284C" w:rsidRPr="00154588" w:rsidRDefault="00F4284C" w:rsidP="008C12B4">
            <w:pPr>
              <w:jc w:val="both"/>
              <w:rPr>
                <w:bCs/>
                <w:sz w:val="20"/>
                <w:szCs w:val="20"/>
              </w:rPr>
            </w:pPr>
          </w:p>
          <w:p w14:paraId="2E2A3C8C" w14:textId="60C7FAA9" w:rsidR="00F4284C" w:rsidRPr="00154588" w:rsidRDefault="00F4284C" w:rsidP="008C12B4">
            <w:pPr>
              <w:jc w:val="both"/>
              <w:rPr>
                <w:bCs/>
                <w:sz w:val="20"/>
                <w:szCs w:val="20"/>
              </w:rPr>
            </w:pPr>
            <w:r w:rsidRPr="00154588">
              <w:rPr>
                <w:bCs/>
                <w:sz w:val="20"/>
                <w:szCs w:val="20"/>
              </w:rPr>
              <w:t>(a) adâncimea pieței pentru instrumentele de fonduri proprii ale entității de rezoluție și pentru instrumentele eligibile subordonate, prețul unor astfel de instrumente, în cazul în care ele există, și timpul necesar pentru a executa eventualele tranzacții necesare în vederea respectării deciziei;</w:t>
            </w:r>
          </w:p>
          <w:p w14:paraId="2561A33F" w14:textId="77777777" w:rsidR="00F4284C" w:rsidRPr="00154588" w:rsidRDefault="00F4284C" w:rsidP="008C12B4">
            <w:pPr>
              <w:jc w:val="both"/>
              <w:rPr>
                <w:bCs/>
                <w:sz w:val="20"/>
                <w:szCs w:val="20"/>
              </w:rPr>
            </w:pPr>
          </w:p>
          <w:p w14:paraId="4D06F0B3" w14:textId="7F07940F" w:rsidR="00F4284C" w:rsidRPr="00154588" w:rsidRDefault="00F4284C" w:rsidP="008C12B4">
            <w:pPr>
              <w:jc w:val="both"/>
              <w:rPr>
                <w:bCs/>
                <w:sz w:val="20"/>
                <w:szCs w:val="20"/>
              </w:rPr>
            </w:pPr>
            <w:r w:rsidRPr="00154588">
              <w:rPr>
                <w:bCs/>
                <w:sz w:val="20"/>
                <w:szCs w:val="20"/>
              </w:rPr>
              <w:t>(b) cuantumul instrumentelor de datorie eligibile care întrunesc toate condițiile menționate la articolul 72a din Regulamentul (UE) nr. 575/2013, cu o scadență reziduală mai mică de un an începând de la data deciziei, cu scopul de a face ajustări cantitative la cerințele menționate la alineatele (5) și (7) de la prezentul articol;</w:t>
            </w:r>
          </w:p>
          <w:p w14:paraId="1E4CDDFE" w14:textId="77777777" w:rsidR="00F4284C" w:rsidRPr="00154588" w:rsidRDefault="00F4284C" w:rsidP="008C12B4">
            <w:pPr>
              <w:jc w:val="both"/>
              <w:rPr>
                <w:bCs/>
                <w:sz w:val="20"/>
                <w:szCs w:val="20"/>
              </w:rPr>
            </w:pPr>
          </w:p>
          <w:p w14:paraId="48234EB0" w14:textId="77777777" w:rsidR="00F4284C" w:rsidRPr="00154588" w:rsidRDefault="00F4284C" w:rsidP="008C12B4">
            <w:pPr>
              <w:jc w:val="both"/>
              <w:rPr>
                <w:bCs/>
                <w:sz w:val="20"/>
                <w:szCs w:val="20"/>
              </w:rPr>
            </w:pPr>
          </w:p>
          <w:p w14:paraId="2E90D519" w14:textId="77777777" w:rsidR="00F4284C" w:rsidRPr="00154588" w:rsidRDefault="00F4284C" w:rsidP="008C12B4">
            <w:pPr>
              <w:jc w:val="both"/>
              <w:rPr>
                <w:bCs/>
                <w:sz w:val="20"/>
                <w:szCs w:val="20"/>
              </w:rPr>
            </w:pPr>
          </w:p>
          <w:p w14:paraId="75001189" w14:textId="46031348" w:rsidR="00F4284C" w:rsidRPr="00154588" w:rsidRDefault="00F4284C" w:rsidP="008C12B4">
            <w:pPr>
              <w:jc w:val="both"/>
              <w:rPr>
                <w:bCs/>
                <w:sz w:val="20"/>
                <w:szCs w:val="20"/>
              </w:rPr>
            </w:pPr>
            <w:r w:rsidRPr="00154588">
              <w:rPr>
                <w:bCs/>
                <w:sz w:val="20"/>
                <w:szCs w:val="20"/>
              </w:rPr>
              <w:t>(c) disponibilitatea și valoarea instrumentelor care întrunesc toate condițiile menționate la articolul 72a din Regulamentul (UE) nr. 575/2013, altele decât cele menționate la articolul 72b alineatul (2) litera (d) din regulamentul respectiv;</w:t>
            </w:r>
          </w:p>
          <w:p w14:paraId="1EADAEFB" w14:textId="77777777" w:rsidR="00F4284C" w:rsidRPr="00154588" w:rsidRDefault="00F4284C" w:rsidP="008C12B4">
            <w:pPr>
              <w:jc w:val="both"/>
              <w:rPr>
                <w:bCs/>
                <w:sz w:val="20"/>
                <w:szCs w:val="20"/>
              </w:rPr>
            </w:pPr>
          </w:p>
          <w:p w14:paraId="179C4200" w14:textId="12FA9F9C" w:rsidR="00F4284C" w:rsidRPr="00154588" w:rsidRDefault="00F4284C" w:rsidP="008C12B4">
            <w:pPr>
              <w:jc w:val="both"/>
              <w:rPr>
                <w:bCs/>
                <w:sz w:val="20"/>
                <w:szCs w:val="20"/>
              </w:rPr>
            </w:pPr>
            <w:r w:rsidRPr="00154588">
              <w:rPr>
                <w:bCs/>
                <w:sz w:val="20"/>
                <w:szCs w:val="20"/>
              </w:rPr>
              <w:t>(d) dacă cuantumul datoriilor care sunt excluse de la aplicarea competențelor de reducere a valorii și de conversie în conformitate cu articolul 44 alineatul (2) sau (3) și care, în cadrul unei proceduri obișnuite de insolvență, au o poziție ierarhică egală sau inferioară datoriilor eligibile cu cel mai înalt rang, este semnificativ în comparație cu fondurile proprii și datoriile eligibile ale entității de rezoluție. În cazul în care cuantumul datoriilor excluse nu depășește 5 % din cuantumul fondurilor proprii și al datoriilor eligibile ale entității de rezoluție, cuantumul exclus este considerat a fi nesemnificativ. Peste acest prag, autoritățile de rezoluție sunt cele care evaluează dacă datoriile excluse sunt semnificative;</w:t>
            </w:r>
          </w:p>
          <w:p w14:paraId="609CA622" w14:textId="77777777" w:rsidR="00F4284C" w:rsidRPr="00154588" w:rsidRDefault="00F4284C" w:rsidP="008C12B4">
            <w:pPr>
              <w:jc w:val="both"/>
              <w:rPr>
                <w:bCs/>
                <w:sz w:val="20"/>
                <w:szCs w:val="20"/>
              </w:rPr>
            </w:pPr>
          </w:p>
          <w:p w14:paraId="75FD4A60" w14:textId="73D6D01B" w:rsidR="00F4284C" w:rsidRPr="00154588" w:rsidRDefault="00F4284C" w:rsidP="008C12B4">
            <w:pPr>
              <w:jc w:val="both"/>
              <w:rPr>
                <w:bCs/>
                <w:sz w:val="20"/>
                <w:szCs w:val="20"/>
              </w:rPr>
            </w:pPr>
            <w:r w:rsidRPr="00154588">
              <w:rPr>
                <w:bCs/>
                <w:sz w:val="20"/>
                <w:szCs w:val="20"/>
              </w:rPr>
              <w:t>(e) modelul de afaceri, modelul de finanțare și profilul de risc ale entității de rezoluție, precum și stabilitatea acesteia și capacitatea sa de a contribui la economie; și</w:t>
            </w:r>
          </w:p>
          <w:p w14:paraId="111B3B31" w14:textId="77777777" w:rsidR="00F4284C" w:rsidRPr="00154588" w:rsidRDefault="00F4284C" w:rsidP="008C12B4">
            <w:pPr>
              <w:jc w:val="both"/>
              <w:rPr>
                <w:bCs/>
                <w:sz w:val="20"/>
                <w:szCs w:val="20"/>
              </w:rPr>
            </w:pPr>
          </w:p>
          <w:p w14:paraId="70379B47" w14:textId="35400399" w:rsidR="00F4284C" w:rsidRPr="00154588" w:rsidRDefault="00F4284C" w:rsidP="008C12B4">
            <w:pPr>
              <w:jc w:val="both"/>
              <w:rPr>
                <w:bCs/>
                <w:sz w:val="20"/>
                <w:szCs w:val="20"/>
              </w:rPr>
            </w:pPr>
            <w:r w:rsidRPr="00154588">
              <w:rPr>
                <w:bCs/>
                <w:sz w:val="20"/>
                <w:szCs w:val="20"/>
              </w:rPr>
              <w:t>(f) impactul unor eventuale costuri de restructurare asupra recapitalizării entității de rezoluție.</w:t>
            </w:r>
          </w:p>
        </w:tc>
        <w:tc>
          <w:tcPr>
            <w:tcW w:w="4819" w:type="dxa"/>
          </w:tcPr>
          <w:p w14:paraId="6AC68313" w14:textId="27E890E8" w:rsidR="00F4284C" w:rsidRPr="00154588" w:rsidRDefault="00F4284C" w:rsidP="008C12B4">
            <w:pPr>
              <w:jc w:val="both"/>
              <w:rPr>
                <w:sz w:val="20"/>
                <w:szCs w:val="20"/>
              </w:rPr>
            </w:pPr>
            <w:r w:rsidRPr="00154588">
              <w:rPr>
                <w:b/>
                <w:sz w:val="20"/>
                <w:szCs w:val="20"/>
              </w:rPr>
              <w:lastRenderedPageBreak/>
              <w:t>Articolul 165</w:t>
            </w:r>
            <w:r w:rsidRPr="00154588">
              <w:rPr>
                <w:b/>
                <w:sz w:val="20"/>
                <w:szCs w:val="20"/>
                <w:vertAlign w:val="superscript"/>
              </w:rPr>
              <w:t>8</w:t>
            </w:r>
            <w:r w:rsidRPr="00154588">
              <w:rPr>
                <w:b/>
                <w:sz w:val="20"/>
                <w:szCs w:val="20"/>
              </w:rPr>
              <w:t>.</w:t>
            </w:r>
            <w:r w:rsidRPr="00154588">
              <w:rPr>
                <w:sz w:val="20"/>
                <w:szCs w:val="20"/>
              </w:rPr>
              <w:t xml:space="preserve"> – (1) Banca Națională a Moldovei ia deciziile prevăzute la art.165</w:t>
            </w:r>
            <w:r w:rsidRPr="00154588">
              <w:rPr>
                <w:sz w:val="20"/>
                <w:szCs w:val="20"/>
                <w:vertAlign w:val="superscript"/>
              </w:rPr>
              <w:t>4</w:t>
            </w:r>
            <w:r w:rsidRPr="00154588">
              <w:rPr>
                <w:sz w:val="20"/>
                <w:szCs w:val="20"/>
              </w:rPr>
              <w:t xml:space="preserve"> și 165</w:t>
            </w:r>
            <w:r w:rsidRPr="00154588">
              <w:rPr>
                <w:sz w:val="20"/>
                <w:szCs w:val="20"/>
                <w:vertAlign w:val="superscript"/>
              </w:rPr>
              <w:t>6</w:t>
            </w:r>
            <w:r w:rsidRPr="00154588">
              <w:rPr>
                <w:sz w:val="20"/>
                <w:szCs w:val="20"/>
              </w:rPr>
              <w:t xml:space="preserve"> după consultarea</w:t>
            </w:r>
            <w:r w:rsidRPr="00154588">
              <w:rPr>
                <w:bCs/>
                <w:sz w:val="20"/>
                <w:szCs w:val="20"/>
              </w:rPr>
              <w:t>autorității competente</w:t>
            </w:r>
            <w:r w:rsidRPr="00154588" w:rsidDel="00B044DC">
              <w:rPr>
                <w:sz w:val="20"/>
                <w:szCs w:val="20"/>
              </w:rPr>
              <w:t xml:space="preserve"> </w:t>
            </w:r>
            <w:r w:rsidRPr="00154588">
              <w:rPr>
                <w:sz w:val="20"/>
                <w:szCs w:val="20"/>
              </w:rPr>
              <w:t>.</w:t>
            </w:r>
          </w:p>
          <w:p w14:paraId="5C9F5906" w14:textId="04EBCABD" w:rsidR="00F4284C" w:rsidRPr="00154588" w:rsidRDefault="00F4284C" w:rsidP="008C12B4">
            <w:pPr>
              <w:jc w:val="both"/>
              <w:rPr>
                <w:sz w:val="20"/>
                <w:szCs w:val="20"/>
              </w:rPr>
            </w:pPr>
            <w:r w:rsidRPr="00154588">
              <w:rPr>
                <w:sz w:val="20"/>
                <w:szCs w:val="20"/>
              </w:rPr>
              <w:t xml:space="preserve">(2) În vederea luării deciziilor prevăzute la alin.(1), Banca Națională a Moldovei, în calitate de autoritate de rezoluție ia în considerare aspectele </w:t>
            </w:r>
            <w:bookmarkStart w:id="68" w:name="_Hlk234229659"/>
            <w:r w:rsidRPr="00154588">
              <w:rPr>
                <w:sz w:val="20"/>
                <w:szCs w:val="20"/>
              </w:rPr>
              <w:t>menționate în reglementările  Băncii Naționale a Moldovei emise în aplicarea art.</w:t>
            </w:r>
            <w:bookmarkEnd w:id="68"/>
            <w:r w:rsidRPr="00154588">
              <w:rPr>
                <w:sz w:val="20"/>
                <w:szCs w:val="20"/>
              </w:rPr>
              <w:t>164-170</w:t>
            </w:r>
            <w:r w:rsidRPr="00154588">
              <w:rPr>
                <w:sz w:val="20"/>
                <w:szCs w:val="20"/>
                <w:vertAlign w:val="superscript"/>
              </w:rPr>
              <w:t>14</w:t>
            </w:r>
            <w:r w:rsidRPr="00154588">
              <w:rPr>
                <w:sz w:val="20"/>
                <w:szCs w:val="20"/>
              </w:rPr>
              <w:t xml:space="preserve"> din prezenta lege. :</w:t>
            </w:r>
          </w:p>
          <w:p w14:paraId="4186443B" w14:textId="77777777" w:rsidR="00F4284C" w:rsidRPr="00154588" w:rsidRDefault="00F4284C" w:rsidP="008C12B4">
            <w:pPr>
              <w:jc w:val="both"/>
              <w:rPr>
                <w:bCs/>
                <w:sz w:val="20"/>
                <w:szCs w:val="20"/>
              </w:rPr>
            </w:pPr>
          </w:p>
        </w:tc>
        <w:tc>
          <w:tcPr>
            <w:tcW w:w="2552" w:type="dxa"/>
          </w:tcPr>
          <w:p w14:paraId="78D5607D" w14:textId="52E5B1B1" w:rsidR="00F4284C" w:rsidRPr="00154588" w:rsidRDefault="00F4284C" w:rsidP="008C12B4">
            <w:pPr>
              <w:jc w:val="both"/>
              <w:rPr>
                <w:bCs/>
                <w:sz w:val="20"/>
                <w:szCs w:val="20"/>
              </w:rPr>
            </w:pPr>
            <w:r w:rsidRPr="00154588">
              <w:rPr>
                <w:bCs/>
                <w:sz w:val="20"/>
                <w:szCs w:val="20"/>
              </w:rPr>
              <w:t>Compatibil</w:t>
            </w:r>
          </w:p>
        </w:tc>
        <w:tc>
          <w:tcPr>
            <w:tcW w:w="3118" w:type="dxa"/>
          </w:tcPr>
          <w:p w14:paraId="2CE3812A" w14:textId="0761AF2C" w:rsidR="00F4284C" w:rsidRPr="00154588" w:rsidRDefault="00F4284C" w:rsidP="008C12B4">
            <w:pPr>
              <w:jc w:val="both"/>
              <w:rPr>
                <w:bCs/>
                <w:sz w:val="20"/>
                <w:szCs w:val="20"/>
              </w:rPr>
            </w:pPr>
          </w:p>
        </w:tc>
      </w:tr>
      <w:tr w:rsidR="00F4284C" w:rsidRPr="00154588" w14:paraId="181F182E" w14:textId="77777777" w:rsidTr="00D15C1B">
        <w:trPr>
          <w:jc w:val="center"/>
        </w:trPr>
        <w:tc>
          <w:tcPr>
            <w:tcW w:w="4957" w:type="dxa"/>
            <w:gridSpan w:val="2"/>
          </w:tcPr>
          <w:p w14:paraId="2CEFFF53" w14:textId="77777777" w:rsidR="00F4284C" w:rsidRPr="00154588" w:rsidRDefault="00F4284C" w:rsidP="008C12B4">
            <w:pPr>
              <w:jc w:val="both"/>
              <w:rPr>
                <w:bCs/>
                <w:sz w:val="20"/>
                <w:szCs w:val="20"/>
              </w:rPr>
            </w:pPr>
            <w:bookmarkStart w:id="69" w:name="_Hlk234229878"/>
            <w:r w:rsidRPr="00154588">
              <w:rPr>
                <w:bCs/>
                <w:sz w:val="20"/>
                <w:szCs w:val="20"/>
              </w:rPr>
              <w:t xml:space="preserve">(10) Autoritatea de rezoluție poate permite entității de rezoluție să respecte cerințele menționate la alineatele (4), (5) și (7) utilizând fondurile proprii sau datoriile menționate la alineatele (1) și (3) atunci când sunt îndeplinite cumulativ următoarele condiții: </w:t>
            </w:r>
          </w:p>
          <w:p w14:paraId="6311104E" w14:textId="77777777" w:rsidR="00F4284C" w:rsidRPr="00154588" w:rsidRDefault="00F4284C" w:rsidP="008C12B4">
            <w:pPr>
              <w:jc w:val="both"/>
              <w:rPr>
                <w:bCs/>
                <w:sz w:val="20"/>
                <w:szCs w:val="20"/>
              </w:rPr>
            </w:pPr>
          </w:p>
          <w:p w14:paraId="3AF3488C" w14:textId="3A68D71C" w:rsidR="00F4284C" w:rsidRPr="00154588" w:rsidRDefault="00F4284C" w:rsidP="008C12B4">
            <w:pPr>
              <w:jc w:val="both"/>
              <w:rPr>
                <w:bCs/>
                <w:sz w:val="20"/>
                <w:szCs w:val="20"/>
              </w:rPr>
            </w:pPr>
            <w:r w:rsidRPr="00154588">
              <w:rPr>
                <w:bCs/>
                <w:sz w:val="20"/>
                <w:szCs w:val="20"/>
              </w:rPr>
              <w:t xml:space="preserve">(a) pentru entitățile care sunt entități G-SII sau entități de rezoluție cărora li se aplică articolul 45c alineatul (5) sau (6), autoritatea de rezoluție nu a redus cerința menționată la alineatul (4) de la prezentul articol, în temeiul primului paragraf de la alineatul respectiv; </w:t>
            </w:r>
          </w:p>
          <w:p w14:paraId="25979778" w14:textId="77777777" w:rsidR="00F4284C" w:rsidRPr="00154588" w:rsidRDefault="00F4284C" w:rsidP="008C12B4">
            <w:pPr>
              <w:jc w:val="both"/>
              <w:rPr>
                <w:bCs/>
                <w:sz w:val="20"/>
                <w:szCs w:val="20"/>
              </w:rPr>
            </w:pPr>
          </w:p>
          <w:p w14:paraId="51C44883" w14:textId="2ACD6B3C" w:rsidR="00F4284C" w:rsidRPr="00154588" w:rsidRDefault="00F4284C" w:rsidP="008C12B4">
            <w:pPr>
              <w:jc w:val="both"/>
              <w:rPr>
                <w:bCs/>
                <w:sz w:val="20"/>
                <w:szCs w:val="20"/>
              </w:rPr>
            </w:pPr>
            <w:r w:rsidRPr="00154588">
              <w:rPr>
                <w:bCs/>
                <w:sz w:val="20"/>
                <w:szCs w:val="20"/>
              </w:rPr>
              <w:t>(b) datoriile menționate la alineatul (1) de la prezentul articol care nu îndeplinesc condiția menționată la articolul 72b alineatul (2) litera (d) din Regulamentul (UE) nr. 575/2013 respectă condițiile prevăzute la articolul 72b alineatul (4) literele (b)-(e) din regulamentul respectiv</w:t>
            </w:r>
            <w:bookmarkEnd w:id="69"/>
          </w:p>
        </w:tc>
        <w:tc>
          <w:tcPr>
            <w:tcW w:w="4819" w:type="dxa"/>
          </w:tcPr>
          <w:p w14:paraId="01CDC4D9" w14:textId="0EBEEC40" w:rsidR="00F4284C" w:rsidRPr="00154588" w:rsidRDefault="00F4284C" w:rsidP="008C12B4">
            <w:pPr>
              <w:jc w:val="both"/>
              <w:rPr>
                <w:sz w:val="20"/>
                <w:szCs w:val="20"/>
              </w:rPr>
            </w:pPr>
            <w:bookmarkStart w:id="70" w:name="_Hlk234595112"/>
            <w:r w:rsidRPr="00154588">
              <w:rPr>
                <w:sz w:val="20"/>
                <w:szCs w:val="20"/>
              </w:rPr>
              <w:t>(3) Autoritatea de rezoluție poate permite entității de rezoluție să respecte cerințele menționate la art.165</w:t>
            </w:r>
            <w:r w:rsidRPr="00154588">
              <w:rPr>
                <w:sz w:val="20"/>
                <w:szCs w:val="20"/>
                <w:vertAlign w:val="superscript"/>
              </w:rPr>
              <w:t>3</w:t>
            </w:r>
            <w:r w:rsidRPr="00154588">
              <w:rPr>
                <w:sz w:val="20"/>
                <w:szCs w:val="20"/>
              </w:rPr>
              <w:t>, 165</w:t>
            </w:r>
            <w:r w:rsidRPr="00154588">
              <w:rPr>
                <w:sz w:val="20"/>
                <w:szCs w:val="20"/>
                <w:vertAlign w:val="superscript"/>
              </w:rPr>
              <w:t>4</w:t>
            </w:r>
            <w:r w:rsidRPr="00154588">
              <w:rPr>
                <w:sz w:val="20"/>
                <w:szCs w:val="20"/>
              </w:rPr>
              <w:t>, 165</w:t>
            </w:r>
            <w:r w:rsidRPr="00154588">
              <w:rPr>
                <w:sz w:val="20"/>
                <w:szCs w:val="20"/>
                <w:vertAlign w:val="superscript"/>
              </w:rPr>
              <w:t>6</w:t>
            </w:r>
            <w:r w:rsidRPr="00154588">
              <w:rPr>
                <w:sz w:val="20"/>
                <w:szCs w:val="20"/>
              </w:rPr>
              <w:t xml:space="preserve"> utilizând fondurile proprii sau datoriile menționate la art. 165 și 165</w:t>
            </w:r>
            <w:r w:rsidRPr="00154588">
              <w:rPr>
                <w:sz w:val="20"/>
                <w:szCs w:val="20"/>
                <w:vertAlign w:val="superscript"/>
              </w:rPr>
              <w:t>2</w:t>
            </w:r>
            <w:r w:rsidRPr="00154588">
              <w:rPr>
                <w:sz w:val="20"/>
                <w:szCs w:val="20"/>
              </w:rPr>
              <w:t xml:space="preserve"> atunci când sunt îndeplinite condițiile din reglementările BNM emise în aplicarea art.164-170</w:t>
            </w:r>
            <w:r w:rsidRPr="00154588">
              <w:rPr>
                <w:sz w:val="20"/>
                <w:szCs w:val="20"/>
                <w:vertAlign w:val="superscript"/>
              </w:rPr>
              <w:t>14</w:t>
            </w:r>
            <w:r w:rsidRPr="00154588">
              <w:rPr>
                <w:sz w:val="20"/>
                <w:szCs w:val="20"/>
              </w:rPr>
              <w:t xml:space="preserve"> din prezenta lege.</w:t>
            </w:r>
          </w:p>
          <w:bookmarkEnd w:id="70"/>
          <w:p w14:paraId="61015578" w14:textId="77777777" w:rsidR="00F4284C" w:rsidRPr="00154588" w:rsidRDefault="00F4284C" w:rsidP="008C12B4">
            <w:pPr>
              <w:jc w:val="both"/>
              <w:rPr>
                <w:sz w:val="20"/>
                <w:szCs w:val="20"/>
              </w:rPr>
            </w:pPr>
          </w:p>
          <w:p w14:paraId="721EA7B2" w14:textId="2697AF73" w:rsidR="00F4284C" w:rsidRPr="00154588" w:rsidRDefault="00F4284C" w:rsidP="008C12B4">
            <w:pPr>
              <w:jc w:val="both"/>
              <w:rPr>
                <w:b/>
                <w:sz w:val="20"/>
                <w:szCs w:val="20"/>
              </w:rPr>
            </w:pPr>
            <w:r w:rsidRPr="00154588">
              <w:rPr>
                <w:sz w:val="20"/>
                <w:szCs w:val="20"/>
              </w:rPr>
              <w:t>(</w:t>
            </w:r>
          </w:p>
        </w:tc>
        <w:tc>
          <w:tcPr>
            <w:tcW w:w="2552" w:type="dxa"/>
          </w:tcPr>
          <w:p w14:paraId="1D145D43" w14:textId="0349D9C9" w:rsidR="00F4284C" w:rsidRPr="00154588" w:rsidRDefault="00F4284C" w:rsidP="008C12B4">
            <w:pPr>
              <w:jc w:val="both"/>
              <w:rPr>
                <w:bCs/>
                <w:sz w:val="20"/>
                <w:szCs w:val="20"/>
              </w:rPr>
            </w:pPr>
            <w:r w:rsidRPr="00154588">
              <w:rPr>
                <w:bCs/>
                <w:sz w:val="20"/>
                <w:szCs w:val="20"/>
              </w:rPr>
              <w:t>Compatibil</w:t>
            </w:r>
          </w:p>
        </w:tc>
        <w:tc>
          <w:tcPr>
            <w:tcW w:w="3118" w:type="dxa"/>
          </w:tcPr>
          <w:p w14:paraId="314AA816" w14:textId="4989D65E" w:rsidR="00F4284C" w:rsidRPr="00154588" w:rsidRDefault="00F4284C" w:rsidP="008C12B4">
            <w:pPr>
              <w:jc w:val="both"/>
              <w:rPr>
                <w:bCs/>
                <w:sz w:val="20"/>
                <w:szCs w:val="20"/>
              </w:rPr>
            </w:pPr>
          </w:p>
        </w:tc>
      </w:tr>
      <w:tr w:rsidR="00F4284C" w:rsidRPr="00154588" w14:paraId="4B974226" w14:textId="77777777" w:rsidTr="00D15C1B">
        <w:trPr>
          <w:jc w:val="center"/>
        </w:trPr>
        <w:tc>
          <w:tcPr>
            <w:tcW w:w="4957" w:type="dxa"/>
            <w:gridSpan w:val="2"/>
          </w:tcPr>
          <w:p w14:paraId="120361BF" w14:textId="77777777" w:rsidR="00F4284C" w:rsidRPr="00154588" w:rsidRDefault="00F4284C" w:rsidP="008C12B4">
            <w:pPr>
              <w:rPr>
                <w:b/>
                <w:sz w:val="20"/>
                <w:szCs w:val="20"/>
              </w:rPr>
            </w:pPr>
            <w:r w:rsidRPr="00154588">
              <w:rPr>
                <w:b/>
                <w:sz w:val="20"/>
                <w:szCs w:val="20"/>
              </w:rPr>
              <w:t>Articolul 45c</w:t>
            </w:r>
          </w:p>
          <w:p w14:paraId="26C987FF" w14:textId="77777777" w:rsidR="00F4284C" w:rsidRPr="00154588" w:rsidRDefault="00F4284C" w:rsidP="008C12B4">
            <w:pPr>
              <w:rPr>
                <w:b/>
                <w:sz w:val="20"/>
                <w:szCs w:val="20"/>
              </w:rPr>
            </w:pPr>
          </w:p>
          <w:p w14:paraId="336EA36C" w14:textId="1C73108A" w:rsidR="00F4284C" w:rsidRPr="00154588" w:rsidRDefault="00F4284C" w:rsidP="008C12B4">
            <w:pPr>
              <w:rPr>
                <w:b/>
                <w:sz w:val="20"/>
                <w:szCs w:val="20"/>
              </w:rPr>
            </w:pPr>
            <w:r w:rsidRPr="00154588">
              <w:rPr>
                <w:b/>
                <w:sz w:val="20"/>
                <w:szCs w:val="20"/>
              </w:rPr>
              <w:t>Stabilirea cerinței minime de fonduri proprii și datorii eligibile</w:t>
            </w:r>
          </w:p>
        </w:tc>
        <w:tc>
          <w:tcPr>
            <w:tcW w:w="4819" w:type="dxa"/>
          </w:tcPr>
          <w:p w14:paraId="6D839479" w14:textId="77777777" w:rsidR="00F4284C" w:rsidRPr="00154588" w:rsidRDefault="00F4284C" w:rsidP="008C12B4">
            <w:pPr>
              <w:jc w:val="both"/>
              <w:rPr>
                <w:bCs/>
                <w:sz w:val="20"/>
                <w:szCs w:val="20"/>
              </w:rPr>
            </w:pPr>
          </w:p>
        </w:tc>
        <w:tc>
          <w:tcPr>
            <w:tcW w:w="2552" w:type="dxa"/>
          </w:tcPr>
          <w:p w14:paraId="1FD0D25A" w14:textId="77777777" w:rsidR="00F4284C" w:rsidRPr="00154588" w:rsidRDefault="00F4284C" w:rsidP="008C12B4">
            <w:pPr>
              <w:jc w:val="both"/>
              <w:rPr>
                <w:bCs/>
                <w:sz w:val="20"/>
                <w:szCs w:val="20"/>
              </w:rPr>
            </w:pPr>
          </w:p>
        </w:tc>
        <w:tc>
          <w:tcPr>
            <w:tcW w:w="3118" w:type="dxa"/>
          </w:tcPr>
          <w:p w14:paraId="29228F9A" w14:textId="77777777" w:rsidR="00F4284C" w:rsidRPr="00154588" w:rsidRDefault="00F4284C" w:rsidP="008C12B4">
            <w:pPr>
              <w:jc w:val="both"/>
              <w:rPr>
                <w:bCs/>
                <w:sz w:val="20"/>
                <w:szCs w:val="20"/>
              </w:rPr>
            </w:pPr>
          </w:p>
        </w:tc>
      </w:tr>
      <w:tr w:rsidR="00F4284C" w:rsidRPr="00154588" w14:paraId="00023B7D" w14:textId="77777777" w:rsidTr="00DB036B">
        <w:trPr>
          <w:trHeight w:val="1691"/>
          <w:jc w:val="center"/>
        </w:trPr>
        <w:tc>
          <w:tcPr>
            <w:tcW w:w="4957" w:type="dxa"/>
            <w:gridSpan w:val="2"/>
          </w:tcPr>
          <w:p w14:paraId="4763E390" w14:textId="77777777" w:rsidR="00F4284C" w:rsidRPr="00154588" w:rsidRDefault="00F4284C" w:rsidP="008C12B4">
            <w:pPr>
              <w:jc w:val="both"/>
              <w:rPr>
                <w:bCs/>
                <w:sz w:val="20"/>
                <w:szCs w:val="20"/>
              </w:rPr>
            </w:pPr>
            <w:r w:rsidRPr="00154588">
              <w:rPr>
                <w:bCs/>
                <w:sz w:val="20"/>
                <w:szCs w:val="20"/>
              </w:rPr>
              <w:lastRenderedPageBreak/>
              <w:t>(1)   Cerința menționată la articolul 45 alineatul (1) este stabilită de către autoritatea de rezoluție, în urma consultării autorității competente, pe baza următoarelor criterii:</w:t>
            </w:r>
          </w:p>
          <w:p w14:paraId="02632474" w14:textId="77777777" w:rsidR="00F4284C" w:rsidRPr="00154588" w:rsidRDefault="00F4284C" w:rsidP="008C12B4">
            <w:pPr>
              <w:jc w:val="both"/>
              <w:rPr>
                <w:bCs/>
                <w:sz w:val="20"/>
                <w:szCs w:val="20"/>
              </w:rPr>
            </w:pPr>
          </w:p>
          <w:p w14:paraId="3BD01C22" w14:textId="133C10F4" w:rsidR="00F4284C" w:rsidRPr="00154588" w:rsidRDefault="00F4284C" w:rsidP="008C12B4">
            <w:pPr>
              <w:jc w:val="both"/>
              <w:rPr>
                <w:bCs/>
                <w:sz w:val="20"/>
                <w:szCs w:val="20"/>
              </w:rPr>
            </w:pPr>
            <w:r w:rsidRPr="00154588">
              <w:rPr>
                <w:bCs/>
                <w:sz w:val="20"/>
                <w:szCs w:val="20"/>
              </w:rPr>
              <w:t>(a) necesitatea de a garanta faptul că grupul de rezoluție poate face obiectul rezoluției prin aplicarea instrumentelor de rezoluție entității de rezoluție, inclusiv, după caz, a instrumentului de recapitalizare internă, într-un mod care să permită atingerea obiectivelor rezoluției;</w:t>
            </w:r>
          </w:p>
          <w:p w14:paraId="39D42097" w14:textId="77777777" w:rsidR="00F4284C" w:rsidRPr="00154588" w:rsidRDefault="00F4284C" w:rsidP="008C12B4">
            <w:pPr>
              <w:jc w:val="both"/>
              <w:rPr>
                <w:bCs/>
                <w:sz w:val="20"/>
                <w:szCs w:val="20"/>
              </w:rPr>
            </w:pPr>
          </w:p>
          <w:p w14:paraId="1C06AADA" w14:textId="2BAA0E41" w:rsidR="00F4284C" w:rsidRPr="00154588" w:rsidRDefault="00F4284C" w:rsidP="008C12B4">
            <w:pPr>
              <w:jc w:val="both"/>
              <w:rPr>
                <w:bCs/>
                <w:sz w:val="20"/>
                <w:szCs w:val="20"/>
              </w:rPr>
            </w:pPr>
            <w:r w:rsidRPr="00154588">
              <w:rPr>
                <w:bCs/>
                <w:sz w:val="20"/>
                <w:szCs w:val="20"/>
              </w:rPr>
              <w:t>(b) necesitatea de a garanta, după caz, faptul că entitatea de rezoluție și filialele sale care sunt instituții sau entități menționate la articolul 1 alineatul (1) literele (b), (c) și (d), dar care nu sunt entități de rezoluție dețin suficiente fonduri proprii și datorii eligibile pentru a se asigura că, în cazul aplicării instrumentului de recapitalizare internă sau, respectiv, a competențelor de reducere a valorii și de conversie, pierderile ar putea fi absorbite și că este posibil de a readuce rata fondurilor proprii totale și, după caz, indicatorul efectului de levier ale entităților relevante la un nivel care să le permită acestora să respecte în continuare condițiile de autorizare și să își desfășoare în continuare activitățile pentru care sunt autorizate în temeiul Directivei 2013/36/UE sau al Directivei 2014/65/UE;</w:t>
            </w:r>
          </w:p>
          <w:p w14:paraId="46D5210C" w14:textId="77777777" w:rsidR="00F4284C" w:rsidRPr="00154588" w:rsidRDefault="00F4284C" w:rsidP="008C12B4">
            <w:pPr>
              <w:jc w:val="both"/>
              <w:rPr>
                <w:bCs/>
                <w:sz w:val="20"/>
                <w:szCs w:val="20"/>
              </w:rPr>
            </w:pPr>
          </w:p>
          <w:p w14:paraId="2FFE4160" w14:textId="7C503264" w:rsidR="00F4284C" w:rsidRPr="00154588" w:rsidRDefault="00F4284C" w:rsidP="008C12B4">
            <w:pPr>
              <w:jc w:val="both"/>
              <w:rPr>
                <w:bCs/>
                <w:sz w:val="20"/>
                <w:szCs w:val="20"/>
              </w:rPr>
            </w:pPr>
            <w:r w:rsidRPr="00154588">
              <w:rPr>
                <w:bCs/>
                <w:sz w:val="20"/>
                <w:szCs w:val="20"/>
              </w:rPr>
              <w:t>(c) necesitatea de a garanta că, dacă planul de rezoluție anticipează posibilitatea ca anumite categorii de datorii eligibile să fie excluse din recapitalizarea internă în temeiul articolului 44 alineatul (3) din prezenta directivă sau să fie transferate integral unui destinatar în cadrul unui transfer parțial, entitatea de rezoluție deține fonduri proprii și alte datorii eligibile suficiente pentru a absorbi pierderile și pentru a readuce rata fondurilor proprii totale și, după caz, indicatorul efectului de levier ale entității de rezoluție la nivelul care să îi permită acesteia să respecte în continuare condițiile de autorizare și să își desfășoare în continuare activitățile pentru care este autorizată în temeiul Directivei 2013/36/UE sau al Directivei 2014/65/UE;</w:t>
            </w:r>
          </w:p>
          <w:p w14:paraId="481ED01F" w14:textId="77777777" w:rsidR="00F4284C" w:rsidRPr="00154588" w:rsidRDefault="00F4284C" w:rsidP="008C12B4">
            <w:pPr>
              <w:jc w:val="both"/>
              <w:rPr>
                <w:bCs/>
                <w:sz w:val="20"/>
                <w:szCs w:val="20"/>
              </w:rPr>
            </w:pPr>
          </w:p>
          <w:p w14:paraId="1C1DA68E" w14:textId="6C510C42" w:rsidR="00F4284C" w:rsidRPr="00154588" w:rsidRDefault="00F4284C" w:rsidP="008C12B4">
            <w:pPr>
              <w:jc w:val="both"/>
              <w:rPr>
                <w:bCs/>
                <w:sz w:val="20"/>
                <w:szCs w:val="20"/>
              </w:rPr>
            </w:pPr>
            <w:r w:rsidRPr="00154588">
              <w:rPr>
                <w:bCs/>
                <w:sz w:val="20"/>
                <w:szCs w:val="20"/>
              </w:rPr>
              <w:lastRenderedPageBreak/>
              <w:t>(d) dimensiunea, modelul economic, modelul de finanțare și profilul de risc al entității;</w:t>
            </w:r>
          </w:p>
          <w:p w14:paraId="388B5A39" w14:textId="77777777" w:rsidR="00F4284C" w:rsidRPr="00154588" w:rsidRDefault="00F4284C" w:rsidP="008C12B4">
            <w:pPr>
              <w:jc w:val="both"/>
              <w:rPr>
                <w:bCs/>
                <w:sz w:val="20"/>
                <w:szCs w:val="20"/>
              </w:rPr>
            </w:pPr>
          </w:p>
          <w:p w14:paraId="3F3C9AA4" w14:textId="2D6DE759" w:rsidR="00F4284C" w:rsidRPr="00154588" w:rsidRDefault="00F4284C" w:rsidP="008C12B4">
            <w:pPr>
              <w:jc w:val="both"/>
              <w:rPr>
                <w:bCs/>
                <w:sz w:val="20"/>
                <w:szCs w:val="20"/>
              </w:rPr>
            </w:pPr>
            <w:r w:rsidRPr="00154588">
              <w:rPr>
                <w:bCs/>
                <w:sz w:val="20"/>
                <w:szCs w:val="20"/>
              </w:rPr>
              <w:t>(e) măsura în care intrarea în dificultate a entității ar avea un efect negativ asupra stabilității financiare, inclusiv prin contaminarea altor instituții sau entități, ca urmare a interconectării entității cu respectivele alte instituții sau entități ori cu restul sistemului financiar.</w:t>
            </w:r>
          </w:p>
        </w:tc>
        <w:tc>
          <w:tcPr>
            <w:tcW w:w="4819" w:type="dxa"/>
          </w:tcPr>
          <w:p w14:paraId="10A9F8CD" w14:textId="78B67413" w:rsidR="00F4284C" w:rsidRPr="00154588" w:rsidRDefault="00F4284C" w:rsidP="008C12B4">
            <w:pPr>
              <w:jc w:val="both"/>
              <w:rPr>
                <w:sz w:val="20"/>
                <w:szCs w:val="20"/>
              </w:rPr>
            </w:pPr>
            <w:r w:rsidRPr="00154588">
              <w:rPr>
                <w:b/>
                <w:sz w:val="20"/>
                <w:szCs w:val="20"/>
              </w:rPr>
              <w:lastRenderedPageBreak/>
              <w:t>Articolul 167</w:t>
            </w:r>
            <w:r w:rsidRPr="00154588">
              <w:rPr>
                <w:sz w:val="20"/>
                <w:szCs w:val="20"/>
              </w:rPr>
              <w:t xml:space="preserve">. – (1) Banca Naţională a Moldovei în calitate de autoritate de rezoluție, se asigură că cerinţa prevăzută </w:t>
            </w:r>
            <w:bookmarkStart w:id="71" w:name="_Hlk223294514"/>
            <w:r w:rsidRPr="00154588">
              <w:rPr>
                <w:sz w:val="20"/>
                <w:szCs w:val="20"/>
              </w:rPr>
              <w:t xml:space="preserve">la </w:t>
            </w:r>
            <w:bookmarkEnd w:id="71"/>
            <w:r w:rsidRPr="00154588">
              <w:rPr>
                <w:sz w:val="20"/>
                <w:szCs w:val="20"/>
              </w:rPr>
              <w:t xml:space="preserve">art.164 alin.(1), este determinată, în urma consultării cu </w:t>
            </w:r>
            <w:bookmarkStart w:id="72" w:name="_Hlk234595230"/>
            <w:r w:rsidRPr="00154588">
              <w:rPr>
                <w:sz w:val="20"/>
                <w:szCs w:val="20"/>
              </w:rPr>
              <w:t>autoritatea competentă</w:t>
            </w:r>
            <w:bookmarkEnd w:id="72"/>
            <w:r w:rsidRPr="00154588">
              <w:rPr>
                <w:sz w:val="20"/>
                <w:szCs w:val="20"/>
              </w:rPr>
              <w:t>, în baza următoarelor criterii:</w:t>
            </w:r>
          </w:p>
          <w:p w14:paraId="63BA8A3E" w14:textId="0A8FE80E" w:rsidR="00F4284C" w:rsidRPr="00154588" w:rsidRDefault="00F4284C" w:rsidP="008C12B4">
            <w:pPr>
              <w:jc w:val="both"/>
              <w:rPr>
                <w:sz w:val="20"/>
                <w:szCs w:val="20"/>
              </w:rPr>
            </w:pPr>
            <w:r w:rsidRPr="00154588">
              <w:rPr>
                <w:sz w:val="20"/>
                <w:szCs w:val="20"/>
              </w:rPr>
              <w:t xml:space="preserve">a) necesitatea de a asigură faptul că grupul de rezoluție poate </w:t>
            </w:r>
            <w:bookmarkStart w:id="73" w:name="_Hlk234595319"/>
            <w:r w:rsidRPr="00154588">
              <w:rPr>
                <w:sz w:val="20"/>
                <w:szCs w:val="20"/>
              </w:rPr>
              <w:t xml:space="preserve">face obiectul rezoluției </w:t>
            </w:r>
            <w:bookmarkEnd w:id="73"/>
            <w:r w:rsidRPr="00154588">
              <w:rPr>
                <w:sz w:val="20"/>
                <w:szCs w:val="20"/>
              </w:rPr>
              <w:t>prin aplicarea instrumentelor de rezoluţie,  inclusiv, după caz, a instrumentului de recapitalizare internă, într-un mod care să permită atingerea obiectivelor rezoluţiei;</w:t>
            </w:r>
          </w:p>
          <w:p w14:paraId="06564817" w14:textId="419FBA8A" w:rsidR="00F4284C" w:rsidRPr="00154588" w:rsidRDefault="00F4284C" w:rsidP="008C12B4">
            <w:pPr>
              <w:jc w:val="both"/>
              <w:rPr>
                <w:sz w:val="20"/>
                <w:szCs w:val="20"/>
              </w:rPr>
            </w:pPr>
            <w:r w:rsidRPr="00154588">
              <w:rPr>
                <w:sz w:val="20"/>
                <w:szCs w:val="20"/>
              </w:rPr>
              <w:t xml:space="preserve">b) necesitatea de a asigura, după caz, că entitatea de rezoluție și filialele sale care sunt instituții sau entități prevăzute la art.1 alin.(1) lit.b)-d), dar care nu sunt entități de rezoluție deține suficiente fonduri proprii și datorii eligibile pentru a garanta că, în cazul aplicării instrumentului de recapitalizare internă sau, respectiv, a competențelor de reducere a valorii ori de conversie, pierderile pot fi absorbite, iar rata fondurilor proprii totale și după caz, indicatorul efectului de levier ale entităților pot fi readuse la un nivel care să îi permită să respecte în continuare condițiile ce au stat la baza autorizării și să desfășoare activitățile pentru care a fost autorizată în temeiul Legii nr.202/2017 </w:t>
            </w:r>
            <w:bookmarkStart w:id="74" w:name="_Hlk234595403"/>
            <w:r w:rsidRPr="00154588">
              <w:rPr>
                <w:sz w:val="20"/>
                <w:szCs w:val="20"/>
              </w:rPr>
              <w:t>sau al Legii nr.171/2012 privind piața de capital</w:t>
            </w:r>
            <w:bookmarkEnd w:id="74"/>
            <w:r w:rsidRPr="00154588">
              <w:rPr>
                <w:sz w:val="20"/>
                <w:szCs w:val="20"/>
              </w:rPr>
              <w:t>;;</w:t>
            </w:r>
          </w:p>
          <w:p w14:paraId="37184C7C" w14:textId="4CB0D38D" w:rsidR="00F4284C" w:rsidRPr="00154588" w:rsidRDefault="00F4284C" w:rsidP="008C12B4">
            <w:pPr>
              <w:ind w:firstLine="567"/>
              <w:jc w:val="both"/>
              <w:rPr>
                <w:sz w:val="20"/>
                <w:szCs w:val="20"/>
              </w:rPr>
            </w:pPr>
            <w:r w:rsidRPr="00154588">
              <w:rPr>
                <w:sz w:val="20"/>
                <w:szCs w:val="20"/>
              </w:rPr>
              <w:t>c) necesitatea de a asigura că, dacă planul de rezoluțieanticipează că anumite categorii de datorii eligibile ar putea fi excluse de la recapitalizarea internă în temeiul art.155</w:t>
            </w:r>
            <w:r w:rsidRPr="00154588">
              <w:rPr>
                <w:sz w:val="20"/>
                <w:szCs w:val="20"/>
                <w:vertAlign w:val="superscript"/>
              </w:rPr>
              <w:t>1</w:t>
            </w:r>
            <w:r w:rsidRPr="00154588">
              <w:rPr>
                <w:sz w:val="20"/>
                <w:szCs w:val="20"/>
              </w:rPr>
              <w:t xml:space="preserve"> sau că ar putea fi transferate integral unui destinatar în cadrul unui transfer parțial, entitatea de rezoluție deține suficiente fonduri proprii și alte datorii </w:t>
            </w:r>
            <w:bookmarkStart w:id="75" w:name="_Hlk234595593"/>
            <w:r w:rsidRPr="00154588">
              <w:rPr>
                <w:sz w:val="20"/>
                <w:szCs w:val="20"/>
              </w:rPr>
              <w:t xml:space="preserve">eligibile pentru a absorbi pierderile și pentru a readuce </w:t>
            </w:r>
            <w:bookmarkEnd w:id="75"/>
            <w:r w:rsidRPr="00154588">
              <w:rPr>
                <w:sz w:val="20"/>
                <w:szCs w:val="20"/>
              </w:rPr>
              <w:t>rata fondurilor proprii totale ale entit</w:t>
            </w:r>
            <w:r w:rsidRPr="00154588">
              <w:rPr>
                <w:sz w:val="20"/>
                <w:szCs w:val="20"/>
                <w:lang w:val="ro-MD"/>
              </w:rPr>
              <w:t>ății de rezoluții</w:t>
            </w:r>
            <w:r w:rsidRPr="00154588">
              <w:rPr>
                <w:sz w:val="20"/>
                <w:szCs w:val="20"/>
              </w:rPr>
              <w:t xml:space="preserve"> la un nivel necesar pentru a-i permite să respecte în continuare condițiile care au stat la baza autorizării și să desfășoare activitățile pentru care a fost autorizată, în temeiul Legii nr.202/2017 </w:t>
            </w:r>
            <w:bookmarkStart w:id="76" w:name="_Hlk223295844"/>
            <w:r w:rsidRPr="00154588">
              <w:rPr>
                <w:sz w:val="20"/>
                <w:szCs w:val="20"/>
              </w:rPr>
              <w:t>sau al Legii nr.171/2012 privind piața de capital</w:t>
            </w:r>
            <w:bookmarkEnd w:id="76"/>
            <w:r w:rsidRPr="00154588">
              <w:rPr>
                <w:sz w:val="20"/>
                <w:szCs w:val="20"/>
              </w:rPr>
              <w:t>;</w:t>
            </w:r>
          </w:p>
          <w:p w14:paraId="3A3AF861" w14:textId="77777777" w:rsidR="00F4284C" w:rsidRPr="00154588" w:rsidRDefault="00F4284C" w:rsidP="008C12B4">
            <w:pPr>
              <w:ind w:firstLine="567"/>
              <w:jc w:val="both"/>
              <w:rPr>
                <w:sz w:val="20"/>
                <w:szCs w:val="20"/>
              </w:rPr>
            </w:pPr>
            <w:r w:rsidRPr="00154588">
              <w:rPr>
                <w:sz w:val="20"/>
                <w:szCs w:val="20"/>
              </w:rPr>
              <w:t>d) dimensiunea, modelul economic, modelul de finanţare şi profilul de risc al entității;</w:t>
            </w:r>
          </w:p>
          <w:p w14:paraId="03577816" w14:textId="34486ED3" w:rsidR="00F4284C" w:rsidRPr="00154588" w:rsidRDefault="00F4284C" w:rsidP="008C12B4">
            <w:pPr>
              <w:ind w:firstLine="567"/>
              <w:jc w:val="both"/>
              <w:rPr>
                <w:sz w:val="20"/>
                <w:szCs w:val="20"/>
              </w:rPr>
            </w:pPr>
            <w:r w:rsidRPr="00154588">
              <w:rPr>
                <w:sz w:val="20"/>
                <w:szCs w:val="20"/>
              </w:rPr>
              <w:t xml:space="preserve">e) măsura în care situaţia de dificultate în care se află </w:t>
            </w:r>
            <w:bookmarkStart w:id="77" w:name="_Hlk223295971"/>
            <w:r w:rsidRPr="00154588">
              <w:rPr>
                <w:sz w:val="20"/>
                <w:szCs w:val="20"/>
              </w:rPr>
              <w:t xml:space="preserve">instituția sau entitatea </w:t>
            </w:r>
            <w:bookmarkEnd w:id="77"/>
            <w:r w:rsidRPr="00154588">
              <w:rPr>
                <w:sz w:val="20"/>
                <w:szCs w:val="20"/>
              </w:rPr>
              <w:t xml:space="preserve">ar avea efecte negative asupra stabilităţii financiare, inclusiv din cauza contagiunii rezultate de pe urma </w:t>
            </w:r>
            <w:r w:rsidRPr="00154588">
              <w:rPr>
                <w:sz w:val="20"/>
                <w:szCs w:val="20"/>
              </w:rPr>
              <w:lastRenderedPageBreak/>
              <w:t xml:space="preserve">interconectării sale cu alte </w:t>
            </w:r>
            <w:bookmarkStart w:id="78" w:name="_Hlk234595683"/>
            <w:r w:rsidRPr="00154588">
              <w:rPr>
                <w:sz w:val="20"/>
                <w:szCs w:val="20"/>
              </w:rPr>
              <w:t>instituții de credit sau entități ori</w:t>
            </w:r>
            <w:bookmarkEnd w:id="78"/>
            <w:r w:rsidRPr="00154588">
              <w:rPr>
                <w:sz w:val="20"/>
                <w:szCs w:val="20"/>
              </w:rPr>
              <w:t xml:space="preserve"> cu restul sistemului financiar.</w:t>
            </w:r>
          </w:p>
          <w:p w14:paraId="4DA6851C" w14:textId="77777777" w:rsidR="00F4284C" w:rsidRPr="00154588" w:rsidRDefault="00F4284C" w:rsidP="008C12B4">
            <w:pPr>
              <w:ind w:firstLine="567"/>
              <w:jc w:val="both"/>
              <w:rPr>
                <w:sz w:val="20"/>
                <w:szCs w:val="18"/>
              </w:rPr>
            </w:pPr>
            <w:r w:rsidRPr="00154588">
              <w:rPr>
                <w:sz w:val="20"/>
                <w:szCs w:val="18"/>
              </w:rPr>
              <w:t>(2) În vederea punerii în aplicare a dispozițiilor alin.(1), Banca Națională a Moldovei va emite reglementări.</w:t>
            </w:r>
          </w:p>
          <w:p w14:paraId="4F21E971" w14:textId="77777777" w:rsidR="00F4284C" w:rsidRPr="00154588" w:rsidRDefault="00F4284C" w:rsidP="008C12B4">
            <w:pPr>
              <w:jc w:val="both"/>
              <w:rPr>
                <w:bCs/>
                <w:sz w:val="20"/>
                <w:szCs w:val="20"/>
              </w:rPr>
            </w:pPr>
          </w:p>
        </w:tc>
        <w:tc>
          <w:tcPr>
            <w:tcW w:w="2552" w:type="dxa"/>
          </w:tcPr>
          <w:p w14:paraId="6197DE09" w14:textId="50DEBBAD"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1A2DDC1C" w14:textId="77777777" w:rsidR="00F4284C" w:rsidRPr="00154588" w:rsidRDefault="00F4284C" w:rsidP="008C12B4">
            <w:pPr>
              <w:jc w:val="both"/>
              <w:rPr>
                <w:bCs/>
                <w:sz w:val="20"/>
                <w:szCs w:val="20"/>
              </w:rPr>
            </w:pPr>
          </w:p>
        </w:tc>
      </w:tr>
      <w:tr w:rsidR="00F4284C" w:rsidRPr="00154588" w14:paraId="764BBAB8" w14:textId="77777777" w:rsidTr="00D15C1B">
        <w:trPr>
          <w:jc w:val="center"/>
        </w:trPr>
        <w:tc>
          <w:tcPr>
            <w:tcW w:w="4957" w:type="dxa"/>
            <w:gridSpan w:val="2"/>
          </w:tcPr>
          <w:p w14:paraId="2F6AA4C8" w14:textId="77777777" w:rsidR="00F4284C" w:rsidRPr="00154588" w:rsidRDefault="00F4284C" w:rsidP="008C12B4">
            <w:pPr>
              <w:jc w:val="both"/>
              <w:rPr>
                <w:bCs/>
                <w:sz w:val="20"/>
                <w:szCs w:val="20"/>
              </w:rPr>
            </w:pPr>
            <w:r w:rsidRPr="00154588">
              <w:rPr>
                <w:bCs/>
                <w:sz w:val="20"/>
                <w:szCs w:val="20"/>
              </w:rPr>
              <w:t>(2)   În cazul în care planul de rezoluție prevede că o măsură de rezoluție urmează să fie adoptată sau că competențele de reducere a valorii și de conversie a instrumentelor de capital și a datoriilor eligibile relevante în conformitate cu articolul 59 urmează să fie exercitate în conformitate cu scenariul relevant menționat la articolul 10 alineatul (3), cerința menționată la articolul 45 alineatul (1) se ridică la un cuantum suficient pentru a se asigura următoarele:</w:t>
            </w:r>
          </w:p>
          <w:p w14:paraId="6339658D" w14:textId="77777777" w:rsidR="00F4284C" w:rsidRPr="00154588" w:rsidRDefault="00F4284C" w:rsidP="008C12B4">
            <w:pPr>
              <w:jc w:val="both"/>
              <w:rPr>
                <w:bCs/>
                <w:sz w:val="20"/>
                <w:szCs w:val="20"/>
              </w:rPr>
            </w:pPr>
          </w:p>
          <w:p w14:paraId="2341EEFF" w14:textId="5ACC1B1F" w:rsidR="00F4284C" w:rsidRPr="00154588" w:rsidRDefault="00F4284C" w:rsidP="008C12B4">
            <w:pPr>
              <w:jc w:val="both"/>
              <w:rPr>
                <w:bCs/>
                <w:sz w:val="20"/>
                <w:szCs w:val="20"/>
              </w:rPr>
            </w:pPr>
            <w:r w:rsidRPr="00154588">
              <w:rPr>
                <w:bCs/>
                <w:sz w:val="20"/>
                <w:szCs w:val="20"/>
              </w:rPr>
              <w:t>(a) pierderile pe care urmează să le suporte entitatea sunt absorbite în întregime („absorbția pierderilor”);</w:t>
            </w:r>
          </w:p>
          <w:p w14:paraId="337A74B8" w14:textId="77777777" w:rsidR="00F4284C" w:rsidRPr="00154588" w:rsidRDefault="00F4284C" w:rsidP="008C12B4">
            <w:pPr>
              <w:jc w:val="both"/>
              <w:rPr>
                <w:bCs/>
                <w:sz w:val="20"/>
                <w:szCs w:val="20"/>
              </w:rPr>
            </w:pPr>
          </w:p>
          <w:p w14:paraId="40C78853" w14:textId="77777777" w:rsidR="00F4284C" w:rsidRPr="00154588" w:rsidRDefault="00F4284C" w:rsidP="008C12B4">
            <w:pPr>
              <w:jc w:val="both"/>
              <w:rPr>
                <w:bCs/>
                <w:sz w:val="20"/>
                <w:szCs w:val="20"/>
              </w:rPr>
            </w:pPr>
            <w:r w:rsidRPr="00154588">
              <w:rPr>
                <w:bCs/>
                <w:sz w:val="20"/>
                <w:szCs w:val="20"/>
              </w:rPr>
              <w:t>(b</w:t>
            </w:r>
            <w:r w:rsidRPr="00154588">
              <w:rPr>
                <w:sz w:val="20"/>
                <w:szCs w:val="20"/>
              </w:rPr>
              <w:t xml:space="preserve">) </w:t>
            </w:r>
            <w:bookmarkStart w:id="79" w:name="_Hlk234241524"/>
            <w:r w:rsidRPr="00154588">
              <w:rPr>
                <w:sz w:val="20"/>
                <w:szCs w:val="20"/>
              </w:rPr>
              <w:t>datoriile care îndeplinesc criteriile de eligibilitate menționate la articolul 72a din Regulamentul (UE) nr. 575/2013, cu excepția articolului 72b alineatul (2) literele (b) și (d) din regulamentul respectiv, și, după caz, la articolul 45b alineatul (1a) din prezenta directivă.</w:t>
            </w:r>
            <w:bookmarkEnd w:id="79"/>
          </w:p>
          <w:p w14:paraId="797DAF4E" w14:textId="77777777" w:rsidR="00F4284C" w:rsidRPr="00154588" w:rsidRDefault="00F4284C" w:rsidP="008C12B4">
            <w:pPr>
              <w:jc w:val="both"/>
              <w:rPr>
                <w:bCs/>
                <w:sz w:val="20"/>
                <w:szCs w:val="20"/>
              </w:rPr>
            </w:pPr>
          </w:p>
          <w:p w14:paraId="10891D2A" w14:textId="2D50DC41" w:rsidR="00F4284C" w:rsidRPr="00154588" w:rsidRDefault="00F4284C" w:rsidP="008C12B4">
            <w:pPr>
              <w:jc w:val="both"/>
              <w:rPr>
                <w:bCs/>
                <w:sz w:val="20"/>
                <w:szCs w:val="20"/>
              </w:rPr>
            </w:pPr>
          </w:p>
        </w:tc>
        <w:tc>
          <w:tcPr>
            <w:tcW w:w="4819" w:type="dxa"/>
          </w:tcPr>
          <w:p w14:paraId="7B4BB911" w14:textId="121E84A7" w:rsidR="00F4284C" w:rsidRPr="00154588" w:rsidRDefault="00F4284C" w:rsidP="008C12B4">
            <w:pPr>
              <w:ind w:firstLine="567"/>
              <w:jc w:val="both"/>
              <w:rPr>
                <w:sz w:val="20"/>
                <w:szCs w:val="20"/>
              </w:rPr>
            </w:pPr>
            <w:bookmarkStart w:id="80" w:name="_Hlk234241491"/>
            <w:r w:rsidRPr="00154588">
              <w:rPr>
                <w:b/>
                <w:sz w:val="20"/>
                <w:szCs w:val="20"/>
              </w:rPr>
              <w:t>Articolul 167</w:t>
            </w:r>
            <w:r w:rsidRPr="00154588">
              <w:rPr>
                <w:b/>
                <w:sz w:val="20"/>
                <w:szCs w:val="20"/>
                <w:vertAlign w:val="superscript"/>
              </w:rPr>
              <w:t>5</w:t>
            </w:r>
            <w:r w:rsidRPr="00154588">
              <w:rPr>
                <w:b/>
                <w:sz w:val="20"/>
                <w:szCs w:val="20"/>
              </w:rPr>
              <w:t>.</w:t>
            </w:r>
            <w:r w:rsidRPr="00154588">
              <w:rPr>
                <w:sz w:val="20"/>
                <w:szCs w:val="20"/>
              </w:rPr>
              <w:t xml:space="preserve"> – (1) Atunci când planul de rezoluție prevede soluționarea printr-o strategie de rezoluție sau prin exercitarea competenței de reducere a valorii și de conversie a instrumentelor de capital și a datoriilor eligibile relevante, în conformitate cu prevederile art.219-225 din prezenta lege, potrivit scenariului relevant dintre scenariile prevăzute la art.25, cerința prevăzută la art.164 alin.(1) </w:t>
            </w:r>
            <w:bookmarkStart w:id="81" w:name="_Hlk234595907"/>
            <w:r w:rsidRPr="00154588">
              <w:rPr>
                <w:bCs/>
                <w:sz w:val="20"/>
                <w:szCs w:val="20"/>
              </w:rPr>
              <w:t>se ridică la un cuantum suficient pentru a se asigura următoarele</w:t>
            </w:r>
            <w:r w:rsidRPr="00154588">
              <w:rPr>
                <w:sz w:val="20"/>
                <w:szCs w:val="20"/>
              </w:rPr>
              <w:t>:</w:t>
            </w:r>
            <w:bookmarkEnd w:id="81"/>
          </w:p>
          <w:p w14:paraId="5E9B31B8" w14:textId="2DAAA92A" w:rsidR="00F4284C" w:rsidRPr="00154588" w:rsidRDefault="00F4284C" w:rsidP="008C12B4">
            <w:pPr>
              <w:ind w:firstLine="567"/>
              <w:jc w:val="both"/>
              <w:rPr>
                <w:sz w:val="20"/>
                <w:szCs w:val="20"/>
              </w:rPr>
            </w:pPr>
            <w:r w:rsidRPr="00154588">
              <w:rPr>
                <w:sz w:val="20"/>
                <w:szCs w:val="20"/>
              </w:rPr>
              <w:t>a) pierderile pe care le-ar putea suporta entitatea sunt acoperite în întregime („acoperirea pierderilor”);</w:t>
            </w:r>
          </w:p>
          <w:bookmarkEnd w:id="80"/>
          <w:p w14:paraId="02CF59FB" w14:textId="4AD86BF7" w:rsidR="00F4284C" w:rsidRPr="00154588" w:rsidRDefault="00F4284C" w:rsidP="008C12B4">
            <w:pPr>
              <w:ind w:firstLine="175"/>
              <w:jc w:val="both"/>
              <w:rPr>
                <w:sz w:val="20"/>
                <w:szCs w:val="20"/>
              </w:rPr>
            </w:pPr>
            <w:r w:rsidRPr="00154588">
              <w:rPr>
                <w:sz w:val="20"/>
                <w:szCs w:val="20"/>
              </w:rPr>
              <w:t>b) recapitalizarea entității poate fi realizată prin datorii eligibile care îndeplinesc criteriile de eligibilitate stabilite prin reglementările Băncii Naționale a Moldovei emise în aplicarea art.164-170</w:t>
            </w:r>
            <w:r w:rsidRPr="00154588">
              <w:rPr>
                <w:sz w:val="20"/>
                <w:szCs w:val="20"/>
                <w:vertAlign w:val="superscript"/>
              </w:rPr>
              <w:t>14</w:t>
            </w:r>
            <w:r w:rsidRPr="00154588">
              <w:rPr>
                <w:sz w:val="20"/>
                <w:szCs w:val="20"/>
              </w:rPr>
              <w:t xml:space="preserve"> din </w:t>
            </w:r>
            <w:bookmarkStart w:id="82" w:name="_Hlk234492148"/>
            <w:r w:rsidRPr="00154588">
              <w:rPr>
                <w:sz w:val="20"/>
                <w:szCs w:val="20"/>
              </w:rPr>
              <w:t>prezenta lege</w:t>
            </w:r>
            <w:bookmarkEnd w:id="82"/>
            <w:r w:rsidRPr="00154588">
              <w:rPr>
                <w:sz w:val="20"/>
                <w:szCs w:val="20"/>
              </w:rPr>
              <w:t xml:space="preserve">.                                                                                                                                                                                                                                                                                                                                                                                                                                                                                                                                                                       </w:t>
            </w:r>
          </w:p>
          <w:p w14:paraId="1F661FD8" w14:textId="77777777" w:rsidR="00F4284C" w:rsidRPr="00154588" w:rsidRDefault="00F4284C" w:rsidP="008C12B4">
            <w:pPr>
              <w:jc w:val="both"/>
              <w:rPr>
                <w:bCs/>
                <w:sz w:val="20"/>
                <w:szCs w:val="20"/>
              </w:rPr>
            </w:pPr>
          </w:p>
        </w:tc>
        <w:tc>
          <w:tcPr>
            <w:tcW w:w="2552" w:type="dxa"/>
          </w:tcPr>
          <w:p w14:paraId="5CEA62C0" w14:textId="0BD2B6AA" w:rsidR="00F4284C" w:rsidRPr="00154588" w:rsidRDefault="00F4284C" w:rsidP="008C12B4">
            <w:pPr>
              <w:jc w:val="both"/>
              <w:rPr>
                <w:bCs/>
                <w:sz w:val="20"/>
                <w:szCs w:val="20"/>
              </w:rPr>
            </w:pPr>
            <w:r w:rsidRPr="00154588">
              <w:rPr>
                <w:bCs/>
                <w:sz w:val="20"/>
                <w:szCs w:val="20"/>
              </w:rPr>
              <w:t>Compatibil</w:t>
            </w:r>
          </w:p>
        </w:tc>
        <w:tc>
          <w:tcPr>
            <w:tcW w:w="3118" w:type="dxa"/>
          </w:tcPr>
          <w:p w14:paraId="26DB4A86" w14:textId="77777777" w:rsidR="00F4284C" w:rsidRPr="00154588" w:rsidRDefault="00F4284C" w:rsidP="008C12B4">
            <w:pPr>
              <w:jc w:val="both"/>
              <w:rPr>
                <w:bCs/>
                <w:sz w:val="20"/>
                <w:szCs w:val="20"/>
              </w:rPr>
            </w:pPr>
          </w:p>
        </w:tc>
      </w:tr>
      <w:tr w:rsidR="00F4284C" w:rsidRPr="00154588" w14:paraId="358B9DA5" w14:textId="77777777" w:rsidTr="00D15C1B">
        <w:trPr>
          <w:jc w:val="center"/>
        </w:trPr>
        <w:tc>
          <w:tcPr>
            <w:tcW w:w="4957" w:type="dxa"/>
            <w:gridSpan w:val="2"/>
          </w:tcPr>
          <w:p w14:paraId="0D310C6B" w14:textId="77777777" w:rsidR="00F4284C" w:rsidRPr="00154588" w:rsidRDefault="00F4284C" w:rsidP="008C12B4">
            <w:pPr>
              <w:jc w:val="both"/>
              <w:rPr>
                <w:bCs/>
                <w:sz w:val="20"/>
                <w:szCs w:val="20"/>
              </w:rPr>
            </w:pPr>
            <w:r w:rsidRPr="00154588">
              <w:rPr>
                <w:bCs/>
                <w:sz w:val="20"/>
                <w:szCs w:val="20"/>
              </w:rPr>
              <w:t>(2a)   Autoritățile de rezoluție nu stabilesc cerința menționată la articolul 45 alineatul (1) pentru entitățile destinate lichidării.</w:t>
            </w:r>
          </w:p>
          <w:p w14:paraId="2DB61F8B" w14:textId="77777777" w:rsidR="00F4284C" w:rsidRPr="00154588" w:rsidRDefault="00F4284C" w:rsidP="008C12B4">
            <w:pPr>
              <w:jc w:val="both"/>
              <w:rPr>
                <w:bCs/>
                <w:sz w:val="20"/>
                <w:szCs w:val="20"/>
              </w:rPr>
            </w:pPr>
            <w:r w:rsidRPr="00154588">
              <w:rPr>
                <w:bCs/>
                <w:sz w:val="20"/>
                <w:szCs w:val="20"/>
              </w:rPr>
              <w:t xml:space="preserve">Prin derogare de la primul paragraf, o autoritate de rezoluție poate evalua dacă este justificat să se stabilească cerința menționată la articolul 45 alineatul (1) pentru o entitate destinată lichidării pe bază individuală, într-un cuantum care depășește cuantumul suficient pentru a absorbi pierderile în conformitate cu alineatul (2) litera (a) de la prezentul articol. În evaluarea sa, autoritatea de rezoluție ia în considerare, în special, orice posibil impact asupra stabilității financiare și asupra riscului de contagiune pentru sistemul financiar, inclusiv în ceea ce privește capacitatea de finanțare a schemelor de garantare a depozitelor. În cazul în care autoritatea de rezoluție </w:t>
            </w:r>
            <w:r w:rsidRPr="00154588">
              <w:rPr>
                <w:bCs/>
                <w:sz w:val="20"/>
                <w:szCs w:val="20"/>
              </w:rPr>
              <w:lastRenderedPageBreak/>
              <w:t>stabilește cerința menționată la articolul 45 alineatul (1), entitatea destinată lichidării îndeplinește cerința respectivă utilizând unul sau mai multe dintre următoarele elemente:</w:t>
            </w:r>
          </w:p>
          <w:p w14:paraId="3EE4D397" w14:textId="77777777" w:rsidR="00F4284C" w:rsidRPr="00154588" w:rsidRDefault="00F4284C" w:rsidP="008C12B4">
            <w:pPr>
              <w:jc w:val="both"/>
              <w:rPr>
                <w:bCs/>
                <w:sz w:val="20"/>
                <w:szCs w:val="20"/>
              </w:rPr>
            </w:pPr>
          </w:p>
          <w:p w14:paraId="77BA50CD" w14:textId="2E2B5248" w:rsidR="00F4284C" w:rsidRPr="00154588" w:rsidRDefault="00F4284C" w:rsidP="008C12B4">
            <w:pPr>
              <w:jc w:val="both"/>
              <w:rPr>
                <w:bCs/>
                <w:sz w:val="20"/>
                <w:szCs w:val="20"/>
              </w:rPr>
            </w:pPr>
            <w:r w:rsidRPr="00154588">
              <w:rPr>
                <w:bCs/>
                <w:sz w:val="20"/>
                <w:szCs w:val="20"/>
              </w:rPr>
              <w:t>(a) fondurile proprii;</w:t>
            </w:r>
          </w:p>
          <w:p w14:paraId="41BAC1C8" w14:textId="77777777" w:rsidR="00F4284C" w:rsidRPr="00154588" w:rsidRDefault="00F4284C" w:rsidP="008C12B4">
            <w:pPr>
              <w:jc w:val="both"/>
              <w:rPr>
                <w:bCs/>
                <w:sz w:val="20"/>
                <w:szCs w:val="20"/>
              </w:rPr>
            </w:pPr>
          </w:p>
          <w:p w14:paraId="506BA7A3" w14:textId="1CB38613" w:rsidR="00F4284C" w:rsidRPr="00154588" w:rsidRDefault="00F4284C" w:rsidP="008C12B4">
            <w:pPr>
              <w:jc w:val="both"/>
              <w:rPr>
                <w:bCs/>
                <w:sz w:val="20"/>
                <w:szCs w:val="20"/>
              </w:rPr>
            </w:pPr>
            <w:r w:rsidRPr="00154588">
              <w:rPr>
                <w:bCs/>
                <w:sz w:val="20"/>
                <w:szCs w:val="20"/>
              </w:rPr>
              <w:t>(b) datoriile care îndeplinesc criteriile de eligibilitate menționate la articolul 72a din Regulamentul (UE) nr. 575/2013, cu excepția celor menționate la articolul 72b alineatul (2) literele (b) și (d) din regulamentul respectiv;</w:t>
            </w:r>
          </w:p>
          <w:p w14:paraId="4D0AE637" w14:textId="77777777" w:rsidR="00F4284C" w:rsidRPr="00154588" w:rsidRDefault="00F4284C" w:rsidP="008C12B4">
            <w:pPr>
              <w:jc w:val="both"/>
              <w:rPr>
                <w:bCs/>
                <w:sz w:val="20"/>
                <w:szCs w:val="20"/>
              </w:rPr>
            </w:pPr>
          </w:p>
          <w:p w14:paraId="371D9524" w14:textId="422B9302" w:rsidR="00F4284C" w:rsidRPr="00154588" w:rsidRDefault="00F4284C" w:rsidP="008C12B4">
            <w:pPr>
              <w:jc w:val="both"/>
              <w:rPr>
                <w:bCs/>
                <w:sz w:val="20"/>
                <w:szCs w:val="20"/>
              </w:rPr>
            </w:pPr>
            <w:r w:rsidRPr="00154588">
              <w:rPr>
                <w:bCs/>
                <w:sz w:val="20"/>
                <w:szCs w:val="20"/>
              </w:rPr>
              <w:t>(c) datoriile menționate la articolul 45b alineatul (2).</w:t>
            </w:r>
          </w:p>
          <w:p w14:paraId="04EF65D7" w14:textId="77777777" w:rsidR="00F4284C" w:rsidRPr="00154588" w:rsidRDefault="00F4284C" w:rsidP="008C12B4">
            <w:pPr>
              <w:jc w:val="both"/>
              <w:rPr>
                <w:bCs/>
                <w:sz w:val="20"/>
                <w:szCs w:val="20"/>
              </w:rPr>
            </w:pPr>
          </w:p>
          <w:p w14:paraId="6F22A1D3" w14:textId="77777777" w:rsidR="00F4284C" w:rsidRPr="00154588" w:rsidRDefault="00F4284C" w:rsidP="008C12B4">
            <w:pPr>
              <w:jc w:val="both"/>
              <w:rPr>
                <w:bCs/>
                <w:sz w:val="20"/>
                <w:szCs w:val="20"/>
              </w:rPr>
            </w:pPr>
            <w:r w:rsidRPr="00154588">
              <w:rPr>
                <w:bCs/>
                <w:sz w:val="20"/>
                <w:szCs w:val="20"/>
              </w:rPr>
              <w:t>Articolul 77 alineatul (2) și articolul 78a din Regulamentul (UE) nr. 575/2013 nu se aplică entităților destinate lichidării pentru care autoritatea de rezoluție nu a stabilit cerința menționată la articolul 45 alineatul (1) din prezenta directivă.</w:t>
            </w:r>
          </w:p>
          <w:p w14:paraId="1EA708C0" w14:textId="77777777" w:rsidR="00F4284C" w:rsidRPr="00154588" w:rsidRDefault="00F4284C" w:rsidP="008C12B4">
            <w:pPr>
              <w:jc w:val="both"/>
              <w:rPr>
                <w:bCs/>
                <w:sz w:val="20"/>
                <w:szCs w:val="20"/>
              </w:rPr>
            </w:pPr>
          </w:p>
          <w:p w14:paraId="09077336" w14:textId="77777777" w:rsidR="00F4284C" w:rsidRPr="00154588" w:rsidRDefault="00F4284C" w:rsidP="008C12B4">
            <w:pPr>
              <w:jc w:val="both"/>
              <w:rPr>
                <w:bCs/>
                <w:sz w:val="20"/>
                <w:szCs w:val="20"/>
              </w:rPr>
            </w:pPr>
            <w:r w:rsidRPr="00154588">
              <w:rPr>
                <w:bCs/>
                <w:sz w:val="20"/>
                <w:szCs w:val="20"/>
              </w:rPr>
              <w:t>Deținerile de instrumente de fonduri proprii și de instrumente de datorii eligibile emise de instituții-filiale care sunt entități destinate lichidării pentru care autoritatea de rezoluție nu a stabilit cerința menționată la articolul 45 alineatul (1) nu se deduc în temeiul articolului 72e alineatul (5) din Regulamentul (UE) nr. 575/2013.</w:t>
            </w:r>
          </w:p>
          <w:p w14:paraId="6285CD8D" w14:textId="77777777" w:rsidR="00F4284C" w:rsidRPr="00154588" w:rsidRDefault="00F4284C" w:rsidP="008C12B4">
            <w:pPr>
              <w:jc w:val="both"/>
              <w:rPr>
                <w:bCs/>
                <w:sz w:val="20"/>
                <w:szCs w:val="20"/>
              </w:rPr>
            </w:pPr>
          </w:p>
          <w:p w14:paraId="7DBFDE39" w14:textId="77777777" w:rsidR="00F4284C" w:rsidRPr="00154588" w:rsidRDefault="00F4284C" w:rsidP="008C12B4">
            <w:pPr>
              <w:jc w:val="both"/>
              <w:rPr>
                <w:bCs/>
                <w:sz w:val="20"/>
                <w:szCs w:val="20"/>
              </w:rPr>
            </w:pPr>
          </w:p>
          <w:p w14:paraId="18613257" w14:textId="39A0A279" w:rsidR="00F4284C" w:rsidRPr="00154588" w:rsidRDefault="00F4284C" w:rsidP="008C12B4">
            <w:pPr>
              <w:jc w:val="both"/>
              <w:rPr>
                <w:bCs/>
                <w:sz w:val="20"/>
                <w:szCs w:val="20"/>
              </w:rPr>
            </w:pPr>
            <w:r w:rsidRPr="00154588">
              <w:rPr>
                <w:bCs/>
                <w:sz w:val="20"/>
                <w:szCs w:val="20"/>
              </w:rPr>
              <w:t xml:space="preserve">Prin derogare de la al patrulea paragraf, o instituție sau o entitate menționată la articolul 1 alineatul (1) litera (b), (c) sau (d), care nu este ea însăși o entitate de rezoluție, ci o filială a unei entități de rezoluție sau a unei entități dintr-o țară terță care ar fi o entitate de rezoluție dacă ar fi stabilită în Uniune, își deduce deținerile de instrumente de fonduri proprii în instituții-filiale care aparțin aceluiași grup de rezoluție și care sunt entități destinate lichidării pentru care autoritatea de rezoluție nu a stabilit cerința menționată la articolul 45 alineatul (1) în cazul în care cuantumul agregat al respectivelor dețineri este egal cu sau depășește 7 % din cuantumul total al fondurilor proprii și datoriilor care îndeplinesc criteriile de eligibilitate prevăzute la </w:t>
            </w:r>
            <w:r w:rsidRPr="00154588">
              <w:rPr>
                <w:bCs/>
                <w:sz w:val="20"/>
                <w:szCs w:val="20"/>
              </w:rPr>
              <w:lastRenderedPageBreak/>
              <w:t>articolul 45f alineatul (2), calculat anual la 31 decembrie ca medie pe ultimele 12 luni.</w:t>
            </w:r>
          </w:p>
        </w:tc>
        <w:tc>
          <w:tcPr>
            <w:tcW w:w="4819" w:type="dxa"/>
          </w:tcPr>
          <w:p w14:paraId="148AF51A" w14:textId="77777777" w:rsidR="00F4284C" w:rsidRPr="00154588" w:rsidRDefault="00F4284C" w:rsidP="008C12B4">
            <w:pPr>
              <w:jc w:val="both"/>
              <w:rPr>
                <w:sz w:val="20"/>
                <w:szCs w:val="20"/>
              </w:rPr>
            </w:pPr>
            <w:r w:rsidRPr="00154588">
              <w:rPr>
                <w:sz w:val="20"/>
                <w:szCs w:val="20"/>
              </w:rPr>
              <w:lastRenderedPageBreak/>
              <w:t>(2) Pentru entitățile destinate lichidării, Banca Națională a Moldovei, în calitate de autoritate de rezoluție, nu determină cerința prevăzută de art.164 alin.(1).</w:t>
            </w:r>
          </w:p>
          <w:p w14:paraId="31E99979" w14:textId="1FECE42C" w:rsidR="00F4284C" w:rsidRPr="00154588" w:rsidRDefault="00F4284C" w:rsidP="008C12B4">
            <w:pPr>
              <w:jc w:val="both"/>
              <w:rPr>
                <w:sz w:val="20"/>
                <w:szCs w:val="20"/>
              </w:rPr>
            </w:pPr>
            <w:r w:rsidRPr="00154588">
              <w:rPr>
                <w:sz w:val="20"/>
                <w:szCs w:val="20"/>
              </w:rPr>
              <w:t>(3) Prin derogare de la prevederile alin.(2), Banca Națională a Moldovei, în calitate de autoritate de rezoluție, poate evalua dacă este justificat să stabilească cerința prevăzută la art.164 alin.(1), pe bază individuală, pentru o entitate destinată lichidării, la un nivel care depășește valoarea necesară pentru a absorbi pierderile potrivit prevederilor alin.(1) lit.a).</w:t>
            </w:r>
          </w:p>
          <w:p w14:paraId="69B1852E" w14:textId="49FF75B9" w:rsidR="00F4284C" w:rsidRPr="00154588" w:rsidRDefault="00F4284C" w:rsidP="008C12B4">
            <w:pPr>
              <w:jc w:val="both"/>
              <w:rPr>
                <w:sz w:val="20"/>
                <w:szCs w:val="20"/>
              </w:rPr>
            </w:pPr>
            <w:r w:rsidRPr="00154588">
              <w:rPr>
                <w:sz w:val="20"/>
                <w:szCs w:val="20"/>
              </w:rPr>
              <w:t xml:space="preserve">(4) Banca Națională a Moldovei, în calitate de autoritate de rezoluție, ia în considerare în evaluarea sa, în special, orice posibil impact asupra stabilității financiare și asupra riscului de contagiune în cadrul </w:t>
            </w:r>
            <w:r w:rsidRPr="00154588">
              <w:rPr>
                <w:sz w:val="20"/>
                <w:szCs w:val="20"/>
              </w:rPr>
              <w:lastRenderedPageBreak/>
              <w:t>sistemului financiar, inclusiv în ceea ce privește capacitatea de finanțare a schemei de garantare a depozitelor.</w:t>
            </w:r>
          </w:p>
          <w:p w14:paraId="77AB330C" w14:textId="5D88CBD2" w:rsidR="00F4284C" w:rsidRPr="00154588" w:rsidRDefault="00F4284C" w:rsidP="008C12B4">
            <w:pPr>
              <w:jc w:val="both"/>
              <w:rPr>
                <w:sz w:val="20"/>
                <w:szCs w:val="20"/>
              </w:rPr>
            </w:pPr>
            <w:r w:rsidRPr="00154588">
              <w:rPr>
                <w:sz w:val="20"/>
                <w:szCs w:val="20"/>
              </w:rPr>
              <w:t xml:space="preserve">(5) În cazurile în care Banca Națională a Moldovei, în calitate de autoritate de rezoluție, determină cerința prevăzută la art.164 alin.(1), entitatea destinată lichidării are obligația de a îndeplini cerința respectivă conform </w:t>
            </w:r>
            <w:bookmarkStart w:id="83" w:name="_Hlk234492101"/>
            <w:r w:rsidRPr="00154588">
              <w:rPr>
                <w:sz w:val="20"/>
                <w:szCs w:val="20"/>
              </w:rPr>
              <w:t>reglementărilor Băncii Naționale a Moldovei emise în aplicarea art.164-170</w:t>
            </w:r>
            <w:r w:rsidRPr="00154588">
              <w:rPr>
                <w:sz w:val="20"/>
                <w:szCs w:val="20"/>
                <w:vertAlign w:val="superscript"/>
              </w:rPr>
              <w:t>14</w:t>
            </w:r>
            <w:r w:rsidRPr="00154588">
              <w:rPr>
                <w:sz w:val="20"/>
                <w:szCs w:val="20"/>
              </w:rPr>
              <w:t xml:space="preserve"> din Legea nr.232/2016</w:t>
            </w:r>
            <w:bookmarkEnd w:id="83"/>
            <w:r w:rsidRPr="00154588">
              <w:rPr>
                <w:sz w:val="20"/>
                <w:szCs w:val="20"/>
              </w:rPr>
              <w:t xml:space="preserve">.. </w:t>
            </w:r>
          </w:p>
          <w:p w14:paraId="7DD24F5D" w14:textId="40B7D231" w:rsidR="00F4284C" w:rsidRPr="00154588" w:rsidRDefault="00F4284C" w:rsidP="008C12B4">
            <w:pPr>
              <w:jc w:val="both"/>
              <w:rPr>
                <w:sz w:val="20"/>
                <w:szCs w:val="20"/>
              </w:rPr>
            </w:pPr>
            <w:r w:rsidRPr="00154588">
              <w:rPr>
                <w:sz w:val="20"/>
                <w:szCs w:val="20"/>
              </w:rPr>
              <w:t xml:space="preserve">(6) Prevederile din reglementările Băncii Naționale a Moldovei emise în aplicarea art.60, 61 și 62 din Legea nr.202/2017 </w:t>
            </w:r>
            <w:bookmarkStart w:id="84" w:name="_Hlk234596230"/>
            <w:r w:rsidRPr="00154588">
              <w:rPr>
                <w:sz w:val="20"/>
                <w:szCs w:val="20"/>
              </w:rPr>
              <w:t>referitoare la condițiile pentru diminuarea fondurilor proprii și aprobarea prealabilă a Băncii Naționale a Moldovei</w:t>
            </w:r>
            <w:bookmarkEnd w:id="84"/>
            <w:r w:rsidRPr="00154588">
              <w:rPr>
                <w:sz w:val="20"/>
                <w:szCs w:val="20"/>
              </w:rPr>
              <w:t>, nu se aplică entităților destinate lichidării pentru care Banca Națională a Moldovei, în calitate de autoritate de rezoluție, nu a determinat cerința prevăzută la art.164 alin.(1).</w:t>
            </w:r>
          </w:p>
          <w:p w14:paraId="083B944E" w14:textId="30F18B6B" w:rsidR="00F4284C" w:rsidRPr="00154588" w:rsidRDefault="00F4284C" w:rsidP="008C12B4">
            <w:pPr>
              <w:jc w:val="both"/>
              <w:rPr>
                <w:sz w:val="20"/>
                <w:szCs w:val="20"/>
              </w:rPr>
            </w:pPr>
            <w:r w:rsidRPr="00154588">
              <w:rPr>
                <w:sz w:val="20"/>
                <w:szCs w:val="20"/>
              </w:rPr>
              <w:t xml:space="preserve">(7) Deținerile de instrumente de fonduri proprii și de instrumente de pasive eligibile emise de instituții-filiale care sunt entități destinate lichidării pentru care Banca Națională a Moldovei, în calitate de autoritate de rezoluție, sau, după caz, o autoritate de rezoluție dintr-un alt stat membru al Uniunii Europene, nu a determinat cerința prevăzută la art.164 alin.(1) nu se deduc potrivitreglementărilor  interne ale Băncii Naționale a Moldovei emise în aplicarea art.60, 61 și 62 din Legea nr.202/2017 </w:t>
            </w:r>
            <w:bookmarkStart w:id="85" w:name="_Hlk234596338"/>
            <w:r w:rsidRPr="00154588">
              <w:rPr>
                <w:sz w:val="20"/>
                <w:szCs w:val="20"/>
              </w:rPr>
              <w:t>privitoare la deducerea deținerilor de instrumente de fonduri proprii și de instrumente de pasive eligibile.</w:t>
            </w:r>
            <w:bookmarkEnd w:id="85"/>
          </w:p>
          <w:p w14:paraId="70B52F01" w14:textId="34CD90E9" w:rsidR="00F4284C" w:rsidRPr="00154588" w:rsidRDefault="00F4284C" w:rsidP="008C12B4">
            <w:pPr>
              <w:jc w:val="both"/>
              <w:rPr>
                <w:sz w:val="20"/>
                <w:szCs w:val="20"/>
              </w:rPr>
            </w:pPr>
            <w:r w:rsidRPr="00154588">
              <w:rPr>
                <w:sz w:val="20"/>
                <w:szCs w:val="20"/>
              </w:rPr>
              <w:t xml:space="preserve">(8) Prin excepție de la prevederile alin.(7), o instituție de credit sau o entitate prevăzută la art.1 alin.(1) lit. b)-d), care nu este ea însăși o entitate de rezoluție, dar este o filială a unei entități de rezoluție sau a unei entități dintr-o țară terță care ar fi o entitate de rezoluție dacă ar avea sediul în Uniunea Europeană, deduce deținerile sale de instrumente de fonduri proprii în filiale care aparțin aceluiași grup de rezoluție și care sunt entități destinate lichidării pentru care Banca Națională a Moldovei, în calitate de autoritate de rezoluție, sau o autoritate de rezoluție dintr-un alt stat membru al Uniunii Europene, după caz, nu a determinat cerința prevăzută de art.164 alin.(1), în cazul în care cuantumul agregat al respectivelor dețineri este egal </w:t>
            </w:r>
            <w:r w:rsidRPr="00154588">
              <w:rPr>
                <w:sz w:val="20"/>
                <w:szCs w:val="20"/>
              </w:rPr>
              <w:lastRenderedPageBreak/>
              <w:t>cu sau depășește 7% din cuantumul total al fondurilor sale proprii și al datoriilor sale care îndeplinesc criteriile de eligibilitate prevăzute la art.167</w:t>
            </w:r>
            <w:r w:rsidRPr="00154588">
              <w:rPr>
                <w:sz w:val="20"/>
                <w:szCs w:val="20"/>
                <w:vertAlign w:val="superscript"/>
              </w:rPr>
              <w:t>16</w:t>
            </w:r>
            <w:r w:rsidRPr="00154588">
              <w:rPr>
                <w:sz w:val="20"/>
                <w:szCs w:val="20"/>
              </w:rPr>
              <w:t>, calculat anual la 31 decembrie ca medie pe ultimele 12 luni.</w:t>
            </w:r>
          </w:p>
          <w:p w14:paraId="7C528409" w14:textId="77777777" w:rsidR="00F4284C" w:rsidRPr="00154588" w:rsidRDefault="00F4284C" w:rsidP="008C12B4">
            <w:pPr>
              <w:jc w:val="both"/>
              <w:rPr>
                <w:bCs/>
                <w:sz w:val="20"/>
                <w:szCs w:val="20"/>
              </w:rPr>
            </w:pPr>
          </w:p>
        </w:tc>
        <w:tc>
          <w:tcPr>
            <w:tcW w:w="2552" w:type="dxa"/>
          </w:tcPr>
          <w:p w14:paraId="13EE7689" w14:textId="2DB650EE"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3E46260F" w14:textId="77777777" w:rsidR="00F4284C" w:rsidRPr="00154588" w:rsidRDefault="00F4284C" w:rsidP="008C12B4">
            <w:pPr>
              <w:jc w:val="both"/>
              <w:rPr>
                <w:bCs/>
                <w:sz w:val="20"/>
                <w:szCs w:val="20"/>
              </w:rPr>
            </w:pPr>
          </w:p>
        </w:tc>
      </w:tr>
      <w:tr w:rsidR="00F4284C" w:rsidRPr="00154588" w14:paraId="06881ACB" w14:textId="77777777" w:rsidTr="00D15C1B">
        <w:trPr>
          <w:jc w:val="center"/>
        </w:trPr>
        <w:tc>
          <w:tcPr>
            <w:tcW w:w="4957" w:type="dxa"/>
            <w:gridSpan w:val="2"/>
          </w:tcPr>
          <w:p w14:paraId="1A216841" w14:textId="77777777" w:rsidR="00F4284C" w:rsidRPr="00154588" w:rsidRDefault="00F4284C" w:rsidP="008C12B4">
            <w:pPr>
              <w:jc w:val="both"/>
              <w:rPr>
                <w:bCs/>
                <w:sz w:val="20"/>
                <w:szCs w:val="20"/>
              </w:rPr>
            </w:pPr>
            <w:r w:rsidRPr="00154588">
              <w:rPr>
                <w:bCs/>
                <w:sz w:val="20"/>
                <w:szCs w:val="20"/>
              </w:rPr>
              <w:lastRenderedPageBreak/>
              <w:t>(3)   În cazul entităților de rezoluție, cuantumul menționat primul paragraf de la alineatul (2) este:</w:t>
            </w:r>
          </w:p>
          <w:p w14:paraId="248C8E3D" w14:textId="77777777" w:rsidR="00F4284C" w:rsidRPr="00154588" w:rsidRDefault="00F4284C" w:rsidP="008C12B4">
            <w:pPr>
              <w:jc w:val="both"/>
              <w:rPr>
                <w:bCs/>
                <w:sz w:val="20"/>
                <w:szCs w:val="20"/>
              </w:rPr>
            </w:pPr>
          </w:p>
          <w:p w14:paraId="1094EFC7" w14:textId="7954DC33" w:rsidR="00F4284C" w:rsidRPr="00154588" w:rsidRDefault="00F4284C" w:rsidP="008C12B4">
            <w:pPr>
              <w:jc w:val="both"/>
              <w:rPr>
                <w:bCs/>
                <w:sz w:val="20"/>
                <w:szCs w:val="20"/>
              </w:rPr>
            </w:pPr>
            <w:r w:rsidRPr="00154588">
              <w:rPr>
                <w:bCs/>
                <w:sz w:val="20"/>
                <w:szCs w:val="20"/>
              </w:rPr>
              <w:t>(a) în scopul calculării cerinței menționate la articolul 45 alineatul (1), în conformitate cu articolul 45 alineatul (2) litera (a), suma dintre:</w:t>
            </w:r>
          </w:p>
          <w:p w14:paraId="3CBF4E0E" w14:textId="77777777" w:rsidR="00F4284C" w:rsidRPr="00154588" w:rsidRDefault="00F4284C" w:rsidP="008C12B4">
            <w:pPr>
              <w:jc w:val="both"/>
              <w:rPr>
                <w:bCs/>
                <w:sz w:val="20"/>
                <w:szCs w:val="20"/>
              </w:rPr>
            </w:pPr>
          </w:p>
          <w:p w14:paraId="47408A2F" w14:textId="07D45F33" w:rsidR="00F4284C" w:rsidRPr="00154588" w:rsidRDefault="00F4284C" w:rsidP="008C12B4">
            <w:pPr>
              <w:jc w:val="both"/>
              <w:rPr>
                <w:bCs/>
                <w:sz w:val="20"/>
                <w:szCs w:val="20"/>
              </w:rPr>
            </w:pPr>
            <w:r w:rsidRPr="00154588">
              <w:rPr>
                <w:bCs/>
                <w:sz w:val="20"/>
                <w:szCs w:val="20"/>
              </w:rPr>
              <w:t>(i) cuantumul pierderilor care urmează să fie absorbite prin rezoluție, care corespunde cerințelor menționate la articolul 92 alineatul (1) litera (c) din Regulamentul (UE) nr. 575/2013 și la articolul 104a din Directiva 2013/36/UE în cazul entității de rezoluție, la nivelul consolidat al grupului de rezoluție; și</w:t>
            </w:r>
          </w:p>
          <w:p w14:paraId="12021275" w14:textId="77777777" w:rsidR="00F4284C" w:rsidRPr="00154588" w:rsidRDefault="00F4284C" w:rsidP="008C12B4">
            <w:pPr>
              <w:jc w:val="both"/>
              <w:rPr>
                <w:bCs/>
                <w:sz w:val="20"/>
                <w:szCs w:val="20"/>
              </w:rPr>
            </w:pPr>
          </w:p>
          <w:p w14:paraId="09786FC4" w14:textId="7433F1E9" w:rsidR="00F4284C" w:rsidRPr="00154588" w:rsidRDefault="00F4284C" w:rsidP="008C12B4">
            <w:pPr>
              <w:jc w:val="both"/>
              <w:rPr>
                <w:bCs/>
                <w:sz w:val="20"/>
                <w:szCs w:val="20"/>
              </w:rPr>
            </w:pPr>
            <w:r w:rsidRPr="00154588">
              <w:rPr>
                <w:bCs/>
                <w:sz w:val="20"/>
                <w:szCs w:val="20"/>
              </w:rPr>
              <w:t>(ii) cuantumul recapitalizării care permite grupului de rezoluție rezultat în urma rezoluției să își restabilească conformitatea cu cerința privind rata fondurilor proprii totale menționată la articolul 92 alineatul (1) litera (c) din Regulamentul (UE) nr. 575/2013 și cu cerința menționată la articolul 104a din Directiva 2013/36/UE, la nivelul consolidat al grupului de rezoluție, după punerea în aplicare a strategiei de rezoluție preferate; și</w:t>
            </w:r>
          </w:p>
          <w:p w14:paraId="6C646D78" w14:textId="77777777" w:rsidR="00F4284C" w:rsidRPr="00154588" w:rsidRDefault="00F4284C" w:rsidP="008C12B4">
            <w:pPr>
              <w:jc w:val="both"/>
              <w:rPr>
                <w:bCs/>
                <w:sz w:val="20"/>
                <w:szCs w:val="20"/>
              </w:rPr>
            </w:pPr>
          </w:p>
          <w:p w14:paraId="1F26DD46" w14:textId="2BDA63D0" w:rsidR="00F4284C" w:rsidRPr="00154588" w:rsidRDefault="00F4284C" w:rsidP="008C12B4">
            <w:pPr>
              <w:jc w:val="both"/>
              <w:rPr>
                <w:bCs/>
                <w:sz w:val="20"/>
                <w:szCs w:val="20"/>
              </w:rPr>
            </w:pPr>
            <w:r w:rsidRPr="00154588">
              <w:rPr>
                <w:bCs/>
                <w:sz w:val="20"/>
                <w:szCs w:val="20"/>
              </w:rPr>
              <w:t>(b) în scopul calculării cerinței menționate la articolul 45 alineatul (1), în conformitate cu articolul 45 alineatul (2) litera (b), suma dintre:</w:t>
            </w:r>
          </w:p>
          <w:p w14:paraId="2B61ADC4" w14:textId="7B41F17E" w:rsidR="00F4284C" w:rsidRPr="00154588" w:rsidRDefault="00F4284C" w:rsidP="008C12B4">
            <w:pPr>
              <w:jc w:val="both"/>
              <w:rPr>
                <w:bCs/>
                <w:sz w:val="20"/>
                <w:szCs w:val="20"/>
              </w:rPr>
            </w:pPr>
            <w:r w:rsidRPr="00154588">
              <w:rPr>
                <w:bCs/>
                <w:sz w:val="20"/>
                <w:szCs w:val="20"/>
              </w:rPr>
              <w:t>(i) cuantumul pierderilor care urmează să fie absorbite prin rezoluție, care corespunde cerinței privind indicatorul efectului de levier menționate la articolul 92 alineatul (1) litera (d) din Regulamentul (UE) nr. 575/2013, aplicabilă entității de rezoluție, la nivelul consolidat al grupului de rezoluție; și</w:t>
            </w:r>
          </w:p>
          <w:p w14:paraId="6CF273EC" w14:textId="77777777" w:rsidR="00F4284C" w:rsidRPr="00154588" w:rsidRDefault="00F4284C" w:rsidP="008C12B4">
            <w:pPr>
              <w:jc w:val="both"/>
              <w:rPr>
                <w:bCs/>
                <w:sz w:val="20"/>
                <w:szCs w:val="20"/>
              </w:rPr>
            </w:pPr>
          </w:p>
          <w:p w14:paraId="165E6224" w14:textId="2C560671" w:rsidR="00F4284C" w:rsidRPr="00154588" w:rsidRDefault="00F4284C" w:rsidP="008C12B4">
            <w:pPr>
              <w:jc w:val="both"/>
              <w:rPr>
                <w:bCs/>
                <w:sz w:val="20"/>
                <w:szCs w:val="20"/>
              </w:rPr>
            </w:pPr>
            <w:r w:rsidRPr="00154588">
              <w:rPr>
                <w:bCs/>
                <w:sz w:val="20"/>
                <w:szCs w:val="20"/>
              </w:rPr>
              <w:t xml:space="preserve">(ii) cuantumul recapitalizării care permite grupului de rezoluție rezultat în urma rezoluției să își restabilească conformitatea cu cerința privind indicatorul efectului de levier menționată la articolul 92 alineatul (1) litera (d) din Regulamentul (UE) nr. 575/2013, la nivelul </w:t>
            </w:r>
            <w:r w:rsidRPr="00154588">
              <w:rPr>
                <w:bCs/>
                <w:sz w:val="20"/>
                <w:szCs w:val="20"/>
              </w:rPr>
              <w:lastRenderedPageBreak/>
              <w:t>consolidat al grupului de rezoluție, după punerea în aplicare a strategiei de rezoluție preferate.</w:t>
            </w:r>
          </w:p>
          <w:p w14:paraId="3DE7B600" w14:textId="77777777" w:rsidR="00F4284C" w:rsidRPr="00154588" w:rsidRDefault="00F4284C" w:rsidP="008C12B4">
            <w:pPr>
              <w:jc w:val="both"/>
              <w:rPr>
                <w:bCs/>
                <w:sz w:val="20"/>
                <w:szCs w:val="20"/>
              </w:rPr>
            </w:pPr>
          </w:p>
          <w:p w14:paraId="7D3DFD4E" w14:textId="77777777" w:rsidR="00F4284C" w:rsidRPr="00154588" w:rsidRDefault="00F4284C" w:rsidP="008C12B4">
            <w:pPr>
              <w:jc w:val="both"/>
              <w:rPr>
                <w:bCs/>
                <w:sz w:val="20"/>
                <w:szCs w:val="20"/>
              </w:rPr>
            </w:pPr>
            <w:r w:rsidRPr="00154588">
              <w:rPr>
                <w:bCs/>
                <w:sz w:val="20"/>
                <w:szCs w:val="20"/>
              </w:rPr>
              <w:t>În sensul articolului 45 alineatul (2) litera (a), cerința menționată la articolul 45 alineatul (1) se exprimă în termeni procentuali drept cuantumul calculat în conformitate cu prezentul alineat primul paragraf litera (a), împărțit la cuantumul total al expunerii la risc.</w:t>
            </w:r>
          </w:p>
          <w:p w14:paraId="4E2B9B56" w14:textId="77777777" w:rsidR="00F4284C" w:rsidRPr="00154588" w:rsidRDefault="00F4284C" w:rsidP="008C12B4">
            <w:pPr>
              <w:jc w:val="both"/>
              <w:rPr>
                <w:bCs/>
                <w:sz w:val="20"/>
                <w:szCs w:val="20"/>
              </w:rPr>
            </w:pPr>
          </w:p>
          <w:p w14:paraId="79F311C6" w14:textId="77777777" w:rsidR="00F4284C" w:rsidRPr="00154588" w:rsidRDefault="00F4284C" w:rsidP="008C12B4">
            <w:pPr>
              <w:jc w:val="both"/>
              <w:rPr>
                <w:bCs/>
                <w:sz w:val="20"/>
                <w:szCs w:val="20"/>
              </w:rPr>
            </w:pPr>
            <w:r w:rsidRPr="00154588">
              <w:rPr>
                <w:bCs/>
                <w:sz w:val="20"/>
                <w:szCs w:val="20"/>
              </w:rPr>
              <w:t>În sensul articolului 45 alineatul (2) litera (b), cerința menționată la articolul 45 alineatul (1) se exprimă în termeni procentuali drept cuantumul calculat în conformitate cu prezentul alineat primul paragraf litera (b), împărțit la indicatorul de măsurare a expunerii totale.</w:t>
            </w:r>
          </w:p>
          <w:p w14:paraId="7CFDC978" w14:textId="77777777" w:rsidR="00F4284C" w:rsidRPr="00154588" w:rsidRDefault="00F4284C" w:rsidP="008C12B4">
            <w:pPr>
              <w:jc w:val="both"/>
              <w:rPr>
                <w:bCs/>
                <w:sz w:val="20"/>
                <w:szCs w:val="20"/>
              </w:rPr>
            </w:pPr>
          </w:p>
          <w:p w14:paraId="650614B4" w14:textId="77777777" w:rsidR="00F4284C" w:rsidRPr="00154588" w:rsidRDefault="00F4284C" w:rsidP="008C12B4">
            <w:pPr>
              <w:jc w:val="both"/>
              <w:rPr>
                <w:bCs/>
                <w:sz w:val="20"/>
                <w:szCs w:val="20"/>
              </w:rPr>
            </w:pPr>
          </w:p>
          <w:p w14:paraId="2F26FA34" w14:textId="77777777" w:rsidR="00F4284C" w:rsidRPr="00154588" w:rsidRDefault="00F4284C" w:rsidP="008C12B4">
            <w:pPr>
              <w:jc w:val="both"/>
              <w:rPr>
                <w:bCs/>
                <w:sz w:val="20"/>
                <w:szCs w:val="20"/>
              </w:rPr>
            </w:pPr>
            <w:r w:rsidRPr="00154588">
              <w:rPr>
                <w:bCs/>
                <w:sz w:val="20"/>
                <w:szCs w:val="20"/>
              </w:rPr>
              <w:t>Atunci când stabilește cerința individuală prevăzută la primul paragraf litera (b) de la prezentul alineat, autoritatea de rezoluție ia în considerare cerințele menționate la articolul 37 alineatul (10) și la articolul 44 alineatele (5) și (8).</w:t>
            </w:r>
          </w:p>
          <w:p w14:paraId="05596F3E" w14:textId="77777777" w:rsidR="00F4284C" w:rsidRPr="00154588" w:rsidRDefault="00F4284C" w:rsidP="008C12B4">
            <w:pPr>
              <w:jc w:val="both"/>
              <w:rPr>
                <w:bCs/>
                <w:sz w:val="20"/>
                <w:szCs w:val="20"/>
              </w:rPr>
            </w:pPr>
          </w:p>
          <w:p w14:paraId="530D428A" w14:textId="77777777" w:rsidR="00F4284C" w:rsidRPr="00154588" w:rsidRDefault="00F4284C" w:rsidP="008C12B4">
            <w:pPr>
              <w:jc w:val="both"/>
              <w:rPr>
                <w:bCs/>
                <w:sz w:val="20"/>
                <w:szCs w:val="20"/>
              </w:rPr>
            </w:pPr>
            <w:r w:rsidRPr="00154588">
              <w:rPr>
                <w:bCs/>
                <w:sz w:val="20"/>
                <w:szCs w:val="20"/>
              </w:rPr>
              <w:t>Atunci când stabilește cuantumurile recapitalizării menționate la paragrafele anterioare, autoritatea de rezoluție:</w:t>
            </w:r>
          </w:p>
          <w:p w14:paraId="3EBE77A2" w14:textId="77777777" w:rsidR="00F4284C" w:rsidRPr="00154588" w:rsidRDefault="00F4284C" w:rsidP="008C12B4">
            <w:pPr>
              <w:jc w:val="both"/>
              <w:rPr>
                <w:bCs/>
                <w:sz w:val="20"/>
                <w:szCs w:val="20"/>
              </w:rPr>
            </w:pPr>
          </w:p>
          <w:p w14:paraId="232F5978" w14:textId="6B4AFFD2" w:rsidR="00F4284C" w:rsidRPr="00154588" w:rsidRDefault="00F4284C" w:rsidP="008C12B4">
            <w:pPr>
              <w:jc w:val="both"/>
              <w:rPr>
                <w:bCs/>
                <w:sz w:val="20"/>
                <w:szCs w:val="20"/>
              </w:rPr>
            </w:pPr>
            <w:r w:rsidRPr="00154588">
              <w:rPr>
                <w:bCs/>
                <w:sz w:val="20"/>
                <w:szCs w:val="20"/>
              </w:rPr>
              <w:t>(a) utilizează cele mai recente valori raportate pentru cuantumul total relevant al expunerii la risc sau indicatorul de măsurare a expunerii totale, ajustate pentru orice modificare rezultată în urma măsurilor de rezoluție stabilite în planul de rezoluție; și</w:t>
            </w:r>
          </w:p>
          <w:p w14:paraId="6A88117B" w14:textId="77777777" w:rsidR="00F4284C" w:rsidRPr="00154588" w:rsidRDefault="00F4284C" w:rsidP="008C12B4">
            <w:pPr>
              <w:jc w:val="both"/>
              <w:rPr>
                <w:bCs/>
                <w:sz w:val="20"/>
                <w:szCs w:val="20"/>
              </w:rPr>
            </w:pPr>
          </w:p>
          <w:p w14:paraId="644B136F" w14:textId="0906F754" w:rsidR="00F4284C" w:rsidRPr="00154588" w:rsidRDefault="00F4284C" w:rsidP="008C12B4">
            <w:pPr>
              <w:jc w:val="both"/>
              <w:rPr>
                <w:bCs/>
                <w:sz w:val="20"/>
                <w:szCs w:val="20"/>
              </w:rPr>
            </w:pPr>
            <w:r w:rsidRPr="00154588">
              <w:rPr>
                <w:bCs/>
                <w:sz w:val="20"/>
                <w:szCs w:val="20"/>
              </w:rPr>
              <w:t>(b) după consultarea autorității competente, ajustează cuantumul corespunzător cerinței actuale menționate la articolul 104a din Directiva 2013/36/UE în sensul scăderii sau creșterii pentru a stabili cerința care urmează să fie aplicată entității de rezoluție după punerea în aplicare a strategiei de rezoluție preferate.</w:t>
            </w:r>
          </w:p>
          <w:p w14:paraId="2F357440" w14:textId="77777777" w:rsidR="00F4284C" w:rsidRPr="00154588" w:rsidRDefault="00F4284C" w:rsidP="008C12B4">
            <w:pPr>
              <w:jc w:val="both"/>
              <w:rPr>
                <w:bCs/>
                <w:sz w:val="20"/>
                <w:szCs w:val="20"/>
              </w:rPr>
            </w:pPr>
          </w:p>
          <w:p w14:paraId="510397FE" w14:textId="77777777" w:rsidR="00F4284C" w:rsidRPr="00154588" w:rsidRDefault="00F4284C" w:rsidP="008C12B4">
            <w:pPr>
              <w:jc w:val="both"/>
              <w:rPr>
                <w:bCs/>
                <w:sz w:val="20"/>
                <w:szCs w:val="20"/>
              </w:rPr>
            </w:pPr>
          </w:p>
          <w:p w14:paraId="30B981E9" w14:textId="77777777" w:rsidR="00F4284C" w:rsidRPr="00154588" w:rsidRDefault="00F4284C" w:rsidP="008C12B4">
            <w:pPr>
              <w:jc w:val="both"/>
              <w:rPr>
                <w:bCs/>
                <w:sz w:val="20"/>
                <w:szCs w:val="20"/>
              </w:rPr>
            </w:pPr>
            <w:r w:rsidRPr="00154588">
              <w:rPr>
                <w:bCs/>
                <w:sz w:val="20"/>
                <w:szCs w:val="20"/>
              </w:rPr>
              <w:t xml:space="preserve">Autoritatea de rezoluție are posibilitatea să majoreze cerința prevăzută la primul paragraf litera (a) punctul (ii) cu </w:t>
            </w:r>
            <w:bookmarkStart w:id="86" w:name="_Hlk225432825"/>
            <w:r w:rsidRPr="00154588">
              <w:rPr>
                <w:bCs/>
                <w:sz w:val="20"/>
                <w:szCs w:val="20"/>
              </w:rPr>
              <w:t>un cuantum</w:t>
            </w:r>
            <w:bookmarkEnd w:id="86"/>
            <w:r w:rsidRPr="00154588">
              <w:rPr>
                <w:bCs/>
                <w:sz w:val="20"/>
                <w:szCs w:val="20"/>
              </w:rPr>
              <w:t xml:space="preserve"> corespunzător necesar pentru a se asigura că, în urma rezoluției, entitatea este în măsură </w:t>
            </w:r>
            <w:r w:rsidRPr="00154588">
              <w:rPr>
                <w:bCs/>
                <w:sz w:val="20"/>
                <w:szCs w:val="20"/>
              </w:rPr>
              <w:lastRenderedPageBreak/>
              <w:t>să mențină un grad suficient de încredere a pieței pentru o perioadă adecvată care nu depășește un an.</w:t>
            </w:r>
          </w:p>
          <w:p w14:paraId="57B98622" w14:textId="77777777" w:rsidR="00F4284C" w:rsidRPr="00154588" w:rsidRDefault="00F4284C" w:rsidP="008C12B4">
            <w:pPr>
              <w:jc w:val="both"/>
              <w:rPr>
                <w:bCs/>
                <w:sz w:val="20"/>
                <w:szCs w:val="20"/>
              </w:rPr>
            </w:pPr>
          </w:p>
          <w:p w14:paraId="76CF6436" w14:textId="77777777" w:rsidR="00F4284C" w:rsidRPr="00154588" w:rsidRDefault="00F4284C" w:rsidP="008C12B4">
            <w:pPr>
              <w:jc w:val="both"/>
              <w:rPr>
                <w:bCs/>
                <w:sz w:val="20"/>
                <w:szCs w:val="20"/>
              </w:rPr>
            </w:pPr>
          </w:p>
          <w:p w14:paraId="035BB2ED" w14:textId="77777777" w:rsidR="00F4284C" w:rsidRPr="00154588" w:rsidRDefault="00F4284C" w:rsidP="008C12B4">
            <w:pPr>
              <w:jc w:val="both"/>
              <w:rPr>
                <w:bCs/>
                <w:sz w:val="20"/>
                <w:szCs w:val="20"/>
              </w:rPr>
            </w:pPr>
            <w:r w:rsidRPr="00154588">
              <w:rPr>
                <w:bCs/>
                <w:sz w:val="20"/>
                <w:szCs w:val="20"/>
              </w:rPr>
              <w:t>În cazul în care se aplică al șaselea paragraf de la prezentul alineat, cuantumul menționat la respectivul paragraf este egal cu cerința amortizorului combinat care urmează să fie aplicată după aplicarea instrumentelor de rezoluție, din care se scade cuantumul menționat la articolul 128 punctul 6 litera (a) din Directiva 2013/36/UE.</w:t>
            </w:r>
          </w:p>
          <w:p w14:paraId="6FEBE923" w14:textId="77777777" w:rsidR="00F4284C" w:rsidRPr="00154588" w:rsidRDefault="00F4284C" w:rsidP="008C12B4">
            <w:pPr>
              <w:jc w:val="both"/>
              <w:rPr>
                <w:bCs/>
                <w:sz w:val="20"/>
                <w:szCs w:val="20"/>
              </w:rPr>
            </w:pPr>
          </w:p>
          <w:p w14:paraId="6582C31B" w14:textId="39EEBA3D" w:rsidR="00F4284C" w:rsidRPr="00154588" w:rsidRDefault="00F4284C" w:rsidP="008C12B4">
            <w:pPr>
              <w:jc w:val="both"/>
              <w:rPr>
                <w:bCs/>
                <w:sz w:val="20"/>
                <w:szCs w:val="20"/>
              </w:rPr>
            </w:pPr>
            <w:r w:rsidRPr="00154588">
              <w:rPr>
                <w:bCs/>
                <w:sz w:val="20"/>
                <w:szCs w:val="20"/>
              </w:rPr>
              <w:t>Cuantumul menționat la al șaselea paragraf de la prezentul alineat este ajustat în sensul scăderii în cazul în care, după consultarea autorității competente, autoritatea de rezoluție stabilește că ar fi fezabil și credibil pentru un cuantum mai scăzut care să fie suficient pentru a menține încrederea pieței și pentru a asigura atât continuarea prestării funcțiilor critice de către instituția sau entitatea menționată la articolul 1 alineatul (1) literele (b), (c) și (d), cât și accesul la finanțare fără a recurge la un sprijin financiar public extraordinar, în afara contribuțiilor din partea mecanismelor de finanțare a rezoluției, în conformitate cu articolul 44 alineatele (5) și (8) și articolul 101 alineatul (2), după punerea în aplicare a strategiei de rezoluție. Respectivul cuantum este ajustat în sensul creșterii în cazul în care, după consultarea autorității competente, autoritatea de rezoluție stabilește că este necesar un cuantum mai ridicat pentru a menține un grad suficient de încredere a pieței și pentru a asigura atât continuarea prestării funcțiilor critice de către instituția sau entitatea menționată la articolul 1 alineatul (1) literele (b), (c) și (d), cât și accesul acesteia la finanțare fără a recurge la un sprijin financiar public extraordinar, în afara contribuțiilor din partea mecanismelor de finanțare a rezoluției, în conformitate cu articolul 44 alineatele (5) și (8) și cu articolul 101 alineatul (2), pentru o perioadă adecvată care nu depășește un an.</w:t>
            </w:r>
          </w:p>
        </w:tc>
        <w:tc>
          <w:tcPr>
            <w:tcW w:w="4819" w:type="dxa"/>
          </w:tcPr>
          <w:p w14:paraId="5A08ED07" w14:textId="687D3BDA" w:rsidR="00F4284C" w:rsidRPr="00154588" w:rsidRDefault="00F4284C" w:rsidP="008C12B4">
            <w:pPr>
              <w:jc w:val="both"/>
              <w:rPr>
                <w:sz w:val="20"/>
                <w:szCs w:val="20"/>
              </w:rPr>
            </w:pPr>
            <w:r w:rsidRPr="00154588">
              <w:rPr>
                <w:b/>
                <w:sz w:val="20"/>
                <w:szCs w:val="20"/>
              </w:rPr>
              <w:lastRenderedPageBreak/>
              <w:t>Articolul 167</w:t>
            </w:r>
            <w:r w:rsidRPr="00154588">
              <w:rPr>
                <w:b/>
                <w:sz w:val="20"/>
                <w:szCs w:val="20"/>
                <w:vertAlign w:val="superscript"/>
              </w:rPr>
              <w:t>6</w:t>
            </w:r>
            <w:r w:rsidRPr="00154588">
              <w:rPr>
                <w:b/>
                <w:sz w:val="20"/>
                <w:szCs w:val="20"/>
              </w:rPr>
              <w:t>.</w:t>
            </w:r>
            <w:r w:rsidRPr="00154588">
              <w:rPr>
                <w:sz w:val="20"/>
                <w:szCs w:val="20"/>
              </w:rPr>
              <w:t xml:space="preserve"> – (1) În cazul entităților de rezoluție, valoarea prevăzută la art.167</w:t>
            </w:r>
            <w:r w:rsidRPr="00154588">
              <w:rPr>
                <w:sz w:val="20"/>
                <w:szCs w:val="20"/>
                <w:vertAlign w:val="superscript"/>
              </w:rPr>
              <w:t>5</w:t>
            </w:r>
            <w:r w:rsidRPr="00154588">
              <w:rPr>
                <w:sz w:val="20"/>
                <w:szCs w:val="20"/>
              </w:rPr>
              <w:t xml:space="preserve"> alin.(1) este:</w:t>
            </w:r>
          </w:p>
          <w:p w14:paraId="2A78949D" w14:textId="77777777" w:rsidR="00F4284C" w:rsidRPr="00154588" w:rsidRDefault="00F4284C" w:rsidP="008C12B4">
            <w:pPr>
              <w:jc w:val="both"/>
              <w:rPr>
                <w:sz w:val="20"/>
                <w:szCs w:val="20"/>
              </w:rPr>
            </w:pPr>
            <w:bookmarkStart w:id="87" w:name="_Hlk225499648"/>
          </w:p>
          <w:p w14:paraId="237A0454" w14:textId="6E14AE88" w:rsidR="00F4284C" w:rsidRPr="00154588" w:rsidRDefault="00F4284C" w:rsidP="008C12B4">
            <w:pPr>
              <w:jc w:val="both"/>
              <w:rPr>
                <w:sz w:val="20"/>
                <w:szCs w:val="20"/>
              </w:rPr>
            </w:pPr>
            <w:r w:rsidRPr="00154588">
              <w:rPr>
                <w:sz w:val="20"/>
                <w:szCs w:val="20"/>
              </w:rPr>
              <w:t>a) în scopul calculării cerinței prevăzute la art.164 alin.(1) în conformitate cu prevederile aceluiași articol lit. a), suma dintre:</w:t>
            </w:r>
          </w:p>
          <w:p w14:paraId="51B54E8A" w14:textId="166B8B5B" w:rsidR="00F4284C" w:rsidRPr="00154588" w:rsidRDefault="00F4284C" w:rsidP="008C12B4">
            <w:pPr>
              <w:jc w:val="both"/>
              <w:rPr>
                <w:bCs/>
                <w:sz w:val="20"/>
                <w:szCs w:val="20"/>
              </w:rPr>
            </w:pPr>
            <w:r w:rsidRPr="00154588">
              <w:rPr>
                <w:bCs/>
                <w:sz w:val="20"/>
                <w:szCs w:val="20"/>
              </w:rPr>
              <w:t>(i) cuantumul pierderilor care urmează să fie acoperite în rezoluție, care corespunde cerințelor ratei fondurilor proprii totale prevăzute în reglementările  Băncii Naționale a Moldovei emise în aplicarea art.60, 61 și 62 din Legea nr.202/2017 și la art.139</w:t>
            </w:r>
            <w:r w:rsidRPr="00154588">
              <w:rPr>
                <w:bCs/>
                <w:sz w:val="20"/>
                <w:szCs w:val="20"/>
                <w:vertAlign w:val="superscript"/>
              </w:rPr>
              <w:t>1</w:t>
            </w:r>
            <w:r w:rsidRPr="00154588">
              <w:rPr>
                <w:bCs/>
                <w:sz w:val="20"/>
                <w:szCs w:val="20"/>
              </w:rPr>
              <w:t xml:space="preserve"> din aceeași lege, aplicabile entității de rezoluție, la nivelul consolidat al grupului de rezoluție; și</w:t>
            </w:r>
          </w:p>
          <w:p w14:paraId="246EB79B" w14:textId="310EF5ED" w:rsidR="00F4284C" w:rsidRPr="00154588" w:rsidRDefault="00F4284C" w:rsidP="008C12B4">
            <w:pPr>
              <w:jc w:val="both"/>
              <w:rPr>
                <w:sz w:val="20"/>
                <w:szCs w:val="20"/>
              </w:rPr>
            </w:pPr>
            <w:r w:rsidRPr="00154588">
              <w:rPr>
                <w:sz w:val="20"/>
                <w:szCs w:val="20"/>
              </w:rPr>
              <w:t xml:space="preserve">(ii) </w:t>
            </w:r>
            <w:r w:rsidRPr="00154588">
              <w:rPr>
                <w:bCs/>
                <w:sz w:val="20"/>
                <w:szCs w:val="20"/>
              </w:rPr>
              <w:t>cuantumul necesar</w:t>
            </w:r>
            <w:r w:rsidRPr="00154588">
              <w:rPr>
                <w:sz w:val="20"/>
                <w:szCs w:val="20"/>
              </w:rPr>
              <w:t xml:space="preserve"> recapitalizării care permite grupului de rezoluție rezultat în urma aplicării rezoluției să se conformeze din nou cu cerința privind rata fondurilor proprii totale prevăzută în reglementările  Băncii Naționale a Moldovei emise în aplicarea art.60, 61 și 62 din Legea nr.202/2017 și la art.139</w:t>
            </w:r>
            <w:r w:rsidRPr="00154588">
              <w:rPr>
                <w:sz w:val="20"/>
                <w:szCs w:val="20"/>
                <w:vertAlign w:val="superscript"/>
              </w:rPr>
              <w:t>1</w:t>
            </w:r>
            <w:r w:rsidRPr="00154588">
              <w:rPr>
                <w:sz w:val="20"/>
                <w:szCs w:val="20"/>
              </w:rPr>
              <w:t xml:space="preserve"> din aceeași lege, la nivelul consolidat al grupului de rezoluție, după punerea în aplicare a strategiei de rezoluție preferate; și</w:t>
            </w:r>
          </w:p>
          <w:p w14:paraId="24D8169B" w14:textId="77777777" w:rsidR="00F4284C" w:rsidRPr="00154588" w:rsidRDefault="00F4284C" w:rsidP="008C12B4">
            <w:pPr>
              <w:jc w:val="both"/>
              <w:rPr>
                <w:sz w:val="20"/>
                <w:szCs w:val="20"/>
              </w:rPr>
            </w:pPr>
          </w:p>
          <w:p w14:paraId="468675E6" w14:textId="6EEA1297" w:rsidR="00F4284C" w:rsidRPr="00154588" w:rsidRDefault="00F4284C" w:rsidP="008C12B4">
            <w:pPr>
              <w:jc w:val="both"/>
              <w:rPr>
                <w:sz w:val="20"/>
                <w:szCs w:val="20"/>
              </w:rPr>
            </w:pPr>
            <w:r w:rsidRPr="00154588">
              <w:rPr>
                <w:sz w:val="20"/>
                <w:szCs w:val="20"/>
              </w:rPr>
              <w:t>b) în scopul calculării cerinței prevăzute la art.164 alin.(1), în conformitate cu prevederile aceluiași articol lit.b), suma dintre:</w:t>
            </w:r>
          </w:p>
          <w:p w14:paraId="62CF6482" w14:textId="77777777" w:rsidR="00F4284C" w:rsidRPr="00154588" w:rsidRDefault="00F4284C" w:rsidP="008C12B4">
            <w:pPr>
              <w:jc w:val="both"/>
              <w:rPr>
                <w:bCs/>
                <w:sz w:val="20"/>
                <w:szCs w:val="20"/>
              </w:rPr>
            </w:pPr>
            <w:r w:rsidRPr="00154588">
              <w:rPr>
                <w:bCs/>
                <w:sz w:val="20"/>
                <w:szCs w:val="20"/>
              </w:rPr>
              <w:t>(i) cuantumul pierderilor care urmează să fie acoperite în rezoluție, care corespunde cerinței privind indicatorul efectului de levier prevăzute în reglementările  Băncii Naționale a Moldovei emise în aplicarea art.60, 61 și 62 din Legea nr.202/2017, aplicabilă entității de rezoluție, la nivelul consolidat al grupului de rezoluție; și</w:t>
            </w:r>
          </w:p>
          <w:p w14:paraId="6DD29A8E" w14:textId="25FD64A2" w:rsidR="00F4284C" w:rsidRPr="00154588" w:rsidRDefault="00F4284C" w:rsidP="008C12B4">
            <w:pPr>
              <w:jc w:val="both"/>
              <w:rPr>
                <w:sz w:val="20"/>
                <w:szCs w:val="20"/>
              </w:rPr>
            </w:pPr>
            <w:r w:rsidRPr="00154588">
              <w:rPr>
                <w:sz w:val="20"/>
                <w:szCs w:val="20"/>
              </w:rPr>
              <w:t xml:space="preserve">(ii) </w:t>
            </w:r>
            <w:r w:rsidRPr="00154588">
              <w:rPr>
                <w:bCs/>
                <w:sz w:val="20"/>
                <w:szCs w:val="20"/>
              </w:rPr>
              <w:t>cuantumul necesar</w:t>
            </w:r>
            <w:r w:rsidRPr="00154588">
              <w:rPr>
                <w:sz w:val="20"/>
                <w:szCs w:val="20"/>
              </w:rPr>
              <w:t xml:space="preserve"> recapitalizării care permite grupului de rezoluție rezultat în urma aplicării rezoluției să se conformeze din nou cu cerința privind indicatorul efectului de levier prevăzută în reglementările Băncii Naționale a Moldovei emise în </w:t>
            </w:r>
            <w:r w:rsidRPr="00154588">
              <w:rPr>
                <w:sz w:val="20"/>
                <w:szCs w:val="20"/>
              </w:rPr>
              <w:lastRenderedPageBreak/>
              <w:t>aplicarea art.60, 61 și 62 din Legea nr.202/2017, la nivelul consolidat al grupului de rezoluție, după punerea în aplicare a strategiei de rezoluție preferate.</w:t>
            </w:r>
          </w:p>
          <w:p w14:paraId="38B00846" w14:textId="77777777" w:rsidR="00F4284C" w:rsidRPr="00154588" w:rsidRDefault="00F4284C" w:rsidP="008C12B4">
            <w:pPr>
              <w:jc w:val="both"/>
              <w:rPr>
                <w:sz w:val="20"/>
                <w:szCs w:val="20"/>
              </w:rPr>
            </w:pPr>
          </w:p>
          <w:p w14:paraId="43802303" w14:textId="2A707E75" w:rsidR="00F4284C" w:rsidRPr="00154588" w:rsidRDefault="00F4284C" w:rsidP="008C12B4">
            <w:pPr>
              <w:jc w:val="both"/>
              <w:rPr>
                <w:sz w:val="20"/>
                <w:szCs w:val="20"/>
              </w:rPr>
            </w:pPr>
            <w:r w:rsidRPr="00154588">
              <w:rPr>
                <w:sz w:val="20"/>
                <w:szCs w:val="20"/>
              </w:rPr>
              <w:t>(2) În aplicarea art.164 alin.(1) lit.a), cerința prevăzută la același articol se exprimă în termeni procentuali ca raport între valoarea calculată în conformitate cu prevederile alin.(1) lit.a) și valoarea totală a expunerii la risc.</w:t>
            </w:r>
          </w:p>
          <w:p w14:paraId="5713B76C" w14:textId="77777777" w:rsidR="00F4284C" w:rsidRPr="00154588" w:rsidRDefault="00F4284C" w:rsidP="008C12B4">
            <w:pPr>
              <w:jc w:val="both"/>
              <w:rPr>
                <w:sz w:val="20"/>
                <w:szCs w:val="20"/>
              </w:rPr>
            </w:pPr>
          </w:p>
          <w:p w14:paraId="25CBF372" w14:textId="1A62B057" w:rsidR="00F4284C" w:rsidRPr="00154588" w:rsidRDefault="00F4284C" w:rsidP="008C12B4">
            <w:pPr>
              <w:jc w:val="both"/>
              <w:rPr>
                <w:sz w:val="20"/>
                <w:szCs w:val="20"/>
              </w:rPr>
            </w:pPr>
            <w:r w:rsidRPr="00154588">
              <w:rPr>
                <w:sz w:val="20"/>
                <w:szCs w:val="20"/>
              </w:rPr>
              <w:t>(3) În aplicarea art.164 alin.(1) lit.b), cerința prevăzută la același articol se exprimă în termeni procentuali ca raport între valoarea calculată în conformitate cu prevederile alin.(1) lit.b) și indicatorul de măsurare a expunerii totale.</w:t>
            </w:r>
          </w:p>
          <w:p w14:paraId="59DC28C3" w14:textId="77777777" w:rsidR="00F4284C" w:rsidRPr="00154588" w:rsidRDefault="00F4284C" w:rsidP="008C12B4">
            <w:pPr>
              <w:jc w:val="both"/>
              <w:rPr>
                <w:sz w:val="20"/>
                <w:szCs w:val="20"/>
              </w:rPr>
            </w:pPr>
          </w:p>
          <w:p w14:paraId="1C472F96" w14:textId="36CDE9B1" w:rsidR="00F4284C" w:rsidRPr="00154588" w:rsidRDefault="00F4284C" w:rsidP="008C12B4">
            <w:pPr>
              <w:jc w:val="both"/>
              <w:rPr>
                <w:sz w:val="20"/>
                <w:szCs w:val="20"/>
              </w:rPr>
            </w:pPr>
            <w:r w:rsidRPr="00154588">
              <w:rPr>
                <w:sz w:val="20"/>
                <w:szCs w:val="20"/>
              </w:rPr>
              <w:t>(4) La determinarea cerinței individuale prevăzute la alin.(1) lit.b), Banca Națională a Moldovei, în calitate de autoritate de rezoluție, ia în considerare cerințele prevăzute la art.92, art.158 și art.161 din prezenta lege.</w:t>
            </w:r>
          </w:p>
          <w:bookmarkEnd w:id="87"/>
          <w:p w14:paraId="71F958CB" w14:textId="483DD26B" w:rsidR="00F4284C" w:rsidRPr="00154588" w:rsidRDefault="00F4284C" w:rsidP="008C12B4">
            <w:pPr>
              <w:jc w:val="both"/>
              <w:rPr>
                <w:sz w:val="20"/>
                <w:szCs w:val="20"/>
              </w:rPr>
            </w:pPr>
            <w:r w:rsidRPr="00154588">
              <w:rPr>
                <w:sz w:val="20"/>
                <w:szCs w:val="20"/>
              </w:rPr>
              <w:t>(5) La determinarea sumelor necesare recapitalizării, Banca Națională a Moldovei, în calitate de autoritate de rezoluție:</w:t>
            </w:r>
          </w:p>
          <w:p w14:paraId="4273A0B7" w14:textId="77777777" w:rsidR="00F4284C" w:rsidRPr="00154588" w:rsidRDefault="00F4284C" w:rsidP="008C12B4">
            <w:pPr>
              <w:jc w:val="both"/>
              <w:rPr>
                <w:sz w:val="20"/>
                <w:szCs w:val="20"/>
              </w:rPr>
            </w:pPr>
            <w:bookmarkStart w:id="88" w:name="_Hlk225499409"/>
          </w:p>
          <w:p w14:paraId="05D052A5" w14:textId="74AD9680" w:rsidR="00F4284C" w:rsidRPr="00154588" w:rsidRDefault="00F4284C" w:rsidP="008C12B4">
            <w:pPr>
              <w:jc w:val="both"/>
              <w:rPr>
                <w:sz w:val="20"/>
                <w:szCs w:val="20"/>
              </w:rPr>
            </w:pPr>
            <w:r w:rsidRPr="00154588">
              <w:rPr>
                <w:sz w:val="20"/>
                <w:szCs w:val="20"/>
              </w:rPr>
              <w:t>a) utilizează cele mai recente valori raportate pentru cuantumul total al expunerii la risc sau pentru indicatorul de măsurare a expunerii totale, ajustate pentru a lua în considerare eventuale modificări rezultate în urma acțiunilor de rezoluție stabilite în planul de rezoluție, luând în considerare strategia de rezoluție preferată; și</w:t>
            </w:r>
          </w:p>
          <w:p w14:paraId="23FF30D3" w14:textId="148AF7A8" w:rsidR="00F4284C" w:rsidRPr="00154588" w:rsidRDefault="00F4284C" w:rsidP="008C12B4">
            <w:pPr>
              <w:jc w:val="both"/>
              <w:rPr>
                <w:sz w:val="20"/>
                <w:szCs w:val="20"/>
              </w:rPr>
            </w:pPr>
            <w:r w:rsidRPr="00154588">
              <w:rPr>
                <w:sz w:val="20"/>
                <w:szCs w:val="20"/>
              </w:rPr>
              <w:t xml:space="preserve">b) </w:t>
            </w:r>
            <w:bookmarkStart w:id="89" w:name="_Hlk234596629"/>
            <w:r w:rsidRPr="00154588">
              <w:rPr>
                <w:bCs/>
                <w:sz w:val="20"/>
                <w:szCs w:val="20"/>
              </w:rPr>
              <w:t>după consultarea autorității competente,</w:t>
            </w:r>
            <w:r w:rsidRPr="00154588">
              <w:rPr>
                <w:sz w:val="20"/>
                <w:szCs w:val="20"/>
              </w:rPr>
              <w:t xml:space="preserve"> </w:t>
            </w:r>
            <w:bookmarkEnd w:id="89"/>
            <w:r w:rsidRPr="00154588">
              <w:rPr>
                <w:sz w:val="20"/>
                <w:szCs w:val="20"/>
              </w:rPr>
              <w:t>ajustează cuantumul care corespunde cerinței aplicabile prevăzute la art.139</w:t>
            </w:r>
            <w:r w:rsidRPr="00154588">
              <w:rPr>
                <w:sz w:val="20"/>
                <w:szCs w:val="20"/>
                <w:vertAlign w:val="superscript"/>
              </w:rPr>
              <w:t>1</w:t>
            </w:r>
            <w:r w:rsidRPr="00154588">
              <w:rPr>
                <w:sz w:val="20"/>
                <w:szCs w:val="20"/>
              </w:rPr>
              <w:t xml:space="preserve"> din Legea nr.202/2017, în sensul scăderii sau creșterii, pentru a stabili cerința care ar urma să fie aplicată entității de rezoluție, după punerea în aplicare a strategiei de rezoluție preferate..</w:t>
            </w:r>
          </w:p>
          <w:p w14:paraId="1000E0ED" w14:textId="00953096" w:rsidR="00F4284C" w:rsidRPr="00154588" w:rsidRDefault="00F4284C" w:rsidP="008C12B4">
            <w:pPr>
              <w:jc w:val="both"/>
              <w:rPr>
                <w:sz w:val="20"/>
                <w:szCs w:val="20"/>
              </w:rPr>
            </w:pPr>
            <w:r w:rsidRPr="00154588">
              <w:rPr>
                <w:sz w:val="20"/>
                <w:szCs w:val="20"/>
              </w:rPr>
              <w:t xml:space="preserve">(6) Banca Națională a Moldovei, în calitate de autoritate de rezoluție, poate majora cerința prevăzută la alin.(1) lit.a) subpct.(ii) cu un cuantum care să asigure că, în urma aplicării unui instrument de rezoluție, entitatea este în măsură să mențină un </w:t>
            </w:r>
            <w:r w:rsidRPr="00154588">
              <w:rPr>
                <w:sz w:val="20"/>
                <w:szCs w:val="20"/>
              </w:rPr>
              <w:lastRenderedPageBreak/>
              <w:t>grad suficient de încredere a pieței pentru o perioadă considerată adecvată de către autoritatea de rezoluție dar care nu poate depăși un an.</w:t>
            </w:r>
          </w:p>
          <w:p w14:paraId="0CC1A883" w14:textId="25439CDA" w:rsidR="00F4284C" w:rsidRPr="00154588" w:rsidRDefault="00F4284C" w:rsidP="008C12B4">
            <w:pPr>
              <w:jc w:val="both"/>
              <w:rPr>
                <w:sz w:val="20"/>
                <w:szCs w:val="20"/>
              </w:rPr>
            </w:pPr>
            <w:r w:rsidRPr="00154588">
              <w:rPr>
                <w:sz w:val="20"/>
                <w:szCs w:val="20"/>
              </w:rPr>
              <w:t xml:space="preserve">(7) În cazul în care se aplică prevederile alin.(6), </w:t>
            </w:r>
            <w:r w:rsidRPr="00154588">
              <w:rPr>
                <w:bCs/>
                <w:sz w:val="20"/>
                <w:szCs w:val="20"/>
              </w:rPr>
              <w:t>cuantumul</w:t>
            </w:r>
            <w:r w:rsidRPr="00154588">
              <w:rPr>
                <w:sz w:val="20"/>
                <w:szCs w:val="20"/>
              </w:rPr>
              <w:t xml:space="preserve"> prevăzută la respectivul alineat este egală cu cerința amortizorului combinat care urmează să fie aplicată după aplicarea instrumentelor de rezoluție, din care se scade </w:t>
            </w:r>
            <w:bookmarkStart w:id="90" w:name="_Hlk225499485"/>
            <w:r w:rsidRPr="00154588">
              <w:rPr>
                <w:sz w:val="20"/>
                <w:szCs w:val="20"/>
              </w:rPr>
              <w:t xml:space="preserve">cuantumul </w:t>
            </w:r>
            <w:bookmarkEnd w:id="90"/>
            <w:r w:rsidRPr="00154588">
              <w:rPr>
                <w:sz w:val="20"/>
                <w:szCs w:val="20"/>
              </w:rPr>
              <w:t>aferent amortizorului anticiclic de capital specific instituției de credit.</w:t>
            </w:r>
          </w:p>
          <w:bookmarkEnd w:id="88"/>
          <w:p w14:paraId="7C6A56D8" w14:textId="324B9F08" w:rsidR="00F4284C" w:rsidRPr="00154588" w:rsidRDefault="00F4284C" w:rsidP="008C12B4">
            <w:pPr>
              <w:jc w:val="both"/>
              <w:rPr>
                <w:sz w:val="20"/>
                <w:szCs w:val="20"/>
              </w:rPr>
            </w:pPr>
            <w:r w:rsidRPr="00154588">
              <w:rPr>
                <w:sz w:val="20"/>
                <w:szCs w:val="20"/>
              </w:rPr>
              <w:t xml:space="preserve">(8) Cuantumul prevăzut la alin.(6) se ajustează în sensul scăderii, în cazul în care, </w:t>
            </w:r>
            <w:bookmarkStart w:id="91" w:name="_Hlk234596729"/>
            <w:r w:rsidRPr="00154588">
              <w:rPr>
                <w:bCs/>
                <w:sz w:val="20"/>
                <w:szCs w:val="20"/>
              </w:rPr>
              <w:t>după consultarea autorității competente,</w:t>
            </w:r>
            <w:r w:rsidRPr="00154588">
              <w:rPr>
                <w:sz w:val="20"/>
                <w:szCs w:val="20"/>
              </w:rPr>
              <w:t xml:space="preserve"> </w:t>
            </w:r>
            <w:bookmarkEnd w:id="91"/>
            <w:r w:rsidRPr="00154588">
              <w:rPr>
                <w:sz w:val="20"/>
                <w:szCs w:val="20"/>
              </w:rPr>
              <w:t>Banca Națională a Moldovei, în calitate de autoritate de rezoluție,</w:t>
            </w:r>
            <w:r w:rsidRPr="00154588">
              <w:rPr>
                <w:bCs/>
                <w:sz w:val="20"/>
                <w:szCs w:val="20"/>
              </w:rPr>
              <w:t xml:space="preserve"> </w:t>
            </w:r>
            <w:r w:rsidRPr="00154588">
              <w:rPr>
                <w:sz w:val="20"/>
                <w:szCs w:val="20"/>
              </w:rPr>
              <w:t>determină că ar fi fezabil și credibil că o valoare mai mică este suficientă pentru a menține încrederea pieței și pentru a asigura atât continuarea furnizării de funcții critice de către instituția de credit sau entitatea prevăzută la art.1 alin.(1) lit.b)-d), cât și accesul la finanțare, după punerea în aplicare a strategiei de rezoluție, fără recurgerea la sprijin financiar public extraordinar, altul decât utilizarea resurselor fondului de rezoluție bancară efectuată în conformitate cu prevederile art.158 și 161 și 302 alin.(1).</w:t>
            </w:r>
          </w:p>
          <w:p w14:paraId="16929196" w14:textId="3427CE42" w:rsidR="00F4284C" w:rsidRPr="00154588" w:rsidRDefault="00F4284C" w:rsidP="008C12B4">
            <w:pPr>
              <w:jc w:val="both"/>
              <w:rPr>
                <w:sz w:val="20"/>
                <w:szCs w:val="20"/>
              </w:rPr>
            </w:pPr>
            <w:r w:rsidRPr="00154588">
              <w:rPr>
                <w:sz w:val="20"/>
                <w:szCs w:val="20"/>
              </w:rPr>
              <w:t xml:space="preserve">(9) </w:t>
            </w:r>
            <w:bookmarkStart w:id="92" w:name="_Hlk225499471"/>
            <w:r w:rsidRPr="00154588">
              <w:rPr>
                <w:sz w:val="20"/>
                <w:szCs w:val="20"/>
              </w:rPr>
              <w:t xml:space="preserve">Cuantumul prevăzut </w:t>
            </w:r>
            <w:bookmarkEnd w:id="92"/>
            <w:r w:rsidRPr="00154588">
              <w:rPr>
                <w:sz w:val="20"/>
                <w:szCs w:val="20"/>
              </w:rPr>
              <w:t xml:space="preserve">la alin.(6) se ajustează în sensul creșterii, în cazul în care, </w:t>
            </w:r>
            <w:bookmarkStart w:id="93" w:name="_Hlk234596752"/>
            <w:r w:rsidRPr="00154588">
              <w:rPr>
                <w:bCs/>
                <w:sz w:val="20"/>
                <w:szCs w:val="20"/>
              </w:rPr>
              <w:t>după consultarea autorității competente,</w:t>
            </w:r>
            <w:bookmarkEnd w:id="93"/>
            <w:r w:rsidRPr="00154588">
              <w:rPr>
                <w:bCs/>
                <w:sz w:val="20"/>
                <w:szCs w:val="20"/>
              </w:rPr>
              <w:t xml:space="preserve"> </w:t>
            </w:r>
            <w:r w:rsidRPr="00154588">
              <w:rPr>
                <w:sz w:val="20"/>
                <w:szCs w:val="20"/>
              </w:rPr>
              <w:t>Banca Națională a Moldovei, în calitate de autoritate de rezoluție, determină că este necesară o valoare mai mare pentru a menține un grad suficient de încredere a pieței pentru o perioadă considerată adecvată de către autoritatea de rezoluție, dar care nu poate depăși un an și pentru a asigura atât continuarea furnizării de funcții critice de către instituția de credit sau entitatea prevăzută la art.1 alin.(1) lit.b)-d), cât și accesul acesteia la finanțare fără recurgerea la sprijin financiar public extraordinar, altul decât utilizarea resurselor fondului de rezoluție bancară efectuată în conformitate cu prevederile art.158 și 161 și 302 alin. (1).</w:t>
            </w:r>
          </w:p>
          <w:p w14:paraId="2D5ED8AD" w14:textId="77777777" w:rsidR="00F4284C" w:rsidRPr="00154588" w:rsidRDefault="00F4284C" w:rsidP="008C12B4">
            <w:pPr>
              <w:jc w:val="both"/>
              <w:rPr>
                <w:bCs/>
                <w:sz w:val="20"/>
                <w:szCs w:val="20"/>
              </w:rPr>
            </w:pPr>
          </w:p>
        </w:tc>
        <w:tc>
          <w:tcPr>
            <w:tcW w:w="2552" w:type="dxa"/>
          </w:tcPr>
          <w:p w14:paraId="042C7329" w14:textId="464B84A4"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384A9A5A" w14:textId="77777777" w:rsidR="00F4284C" w:rsidRPr="00154588" w:rsidRDefault="00F4284C" w:rsidP="008C12B4">
            <w:pPr>
              <w:jc w:val="both"/>
              <w:rPr>
                <w:bCs/>
                <w:sz w:val="20"/>
                <w:szCs w:val="20"/>
              </w:rPr>
            </w:pPr>
          </w:p>
        </w:tc>
      </w:tr>
      <w:tr w:rsidR="00F4284C" w:rsidRPr="00154588" w14:paraId="5CD5A54E" w14:textId="77777777" w:rsidTr="00D15C1B">
        <w:trPr>
          <w:jc w:val="center"/>
        </w:trPr>
        <w:tc>
          <w:tcPr>
            <w:tcW w:w="4957" w:type="dxa"/>
            <w:gridSpan w:val="2"/>
          </w:tcPr>
          <w:p w14:paraId="0C257E9F" w14:textId="64BD7B82" w:rsidR="00F4284C" w:rsidRPr="00154588" w:rsidRDefault="00F4284C" w:rsidP="008C12B4">
            <w:pPr>
              <w:jc w:val="both"/>
              <w:rPr>
                <w:bCs/>
                <w:sz w:val="20"/>
                <w:szCs w:val="20"/>
              </w:rPr>
            </w:pPr>
            <w:r w:rsidRPr="00154588">
              <w:rPr>
                <w:bCs/>
                <w:sz w:val="20"/>
                <w:szCs w:val="20"/>
              </w:rPr>
              <w:lastRenderedPageBreak/>
              <w:t xml:space="preserve">(4)   ABE elaborează proiecte de standarde tehnice de reglementare care să precizeze metodologia care urmează să fie utilizată de autoritățile de rezoluție pentru a estima cerința menționată la articolul 104a din Directiva 2013/36/UE și cerința amortizorului </w:t>
            </w:r>
            <w:r w:rsidRPr="00154588">
              <w:rPr>
                <w:bCs/>
                <w:sz w:val="20"/>
                <w:szCs w:val="20"/>
              </w:rPr>
              <w:lastRenderedPageBreak/>
              <w:t>combinat, în scopul stabilirii cerinței menționate la articolul 45 alineatul (1) din prezenta directivă și al exercitării competențelor menționate la articolul 16a din prezenta directivă, pentru următoarele entități:</w:t>
            </w:r>
          </w:p>
          <w:p w14:paraId="4DE49BBE" w14:textId="77777777" w:rsidR="00F4284C" w:rsidRPr="00154588" w:rsidRDefault="00F4284C" w:rsidP="008C12B4">
            <w:pPr>
              <w:jc w:val="both"/>
              <w:rPr>
                <w:bCs/>
                <w:sz w:val="20"/>
                <w:szCs w:val="20"/>
              </w:rPr>
            </w:pPr>
          </w:p>
          <w:p w14:paraId="622C7C0D" w14:textId="6CB74525" w:rsidR="00F4284C" w:rsidRPr="00154588" w:rsidRDefault="00F4284C" w:rsidP="008C12B4">
            <w:pPr>
              <w:jc w:val="both"/>
              <w:rPr>
                <w:bCs/>
                <w:sz w:val="20"/>
                <w:szCs w:val="20"/>
              </w:rPr>
            </w:pPr>
            <w:r w:rsidRPr="00154588">
              <w:rPr>
                <w:bCs/>
                <w:sz w:val="20"/>
                <w:szCs w:val="20"/>
              </w:rPr>
              <w:t xml:space="preserve">(a) entitățile de rezoluție, la nivelul consolidat al grupului de rezoluție, în cazul în care grupul de rezoluție nu face obiectul cerințelor respective în temeiul Directivei 2013/36/UE; </w:t>
            </w:r>
          </w:p>
          <w:p w14:paraId="1283C9EB" w14:textId="77777777" w:rsidR="00F4284C" w:rsidRPr="00154588" w:rsidRDefault="00F4284C" w:rsidP="008C12B4">
            <w:pPr>
              <w:jc w:val="both"/>
              <w:rPr>
                <w:bCs/>
                <w:sz w:val="20"/>
                <w:szCs w:val="20"/>
              </w:rPr>
            </w:pPr>
          </w:p>
          <w:p w14:paraId="3AF74E69" w14:textId="51A71956" w:rsidR="00F4284C" w:rsidRPr="00154588" w:rsidRDefault="00F4284C" w:rsidP="008C12B4">
            <w:pPr>
              <w:jc w:val="both"/>
              <w:rPr>
                <w:bCs/>
                <w:sz w:val="20"/>
                <w:szCs w:val="20"/>
              </w:rPr>
            </w:pPr>
            <w:r w:rsidRPr="00154588">
              <w:rPr>
                <w:bCs/>
                <w:sz w:val="20"/>
                <w:szCs w:val="20"/>
              </w:rPr>
              <w:t>(b) entitățile care nu sunt ele însele entități de rezoluție, atunci când entitatea nu face obiectul cerințelor respective în temeiul Directivei 2013/36/UE pe aceeași bază ca și cerințele menționate la articolul 45f din prezenta directivă.</w:t>
            </w:r>
          </w:p>
          <w:p w14:paraId="236F52EA" w14:textId="77777777" w:rsidR="00F4284C" w:rsidRPr="00154588" w:rsidRDefault="00F4284C" w:rsidP="008C12B4">
            <w:pPr>
              <w:jc w:val="both"/>
              <w:rPr>
                <w:bCs/>
                <w:sz w:val="20"/>
                <w:szCs w:val="20"/>
              </w:rPr>
            </w:pPr>
          </w:p>
          <w:p w14:paraId="74FAA6E3" w14:textId="424D8EAB" w:rsidR="00F4284C" w:rsidRPr="00154588" w:rsidRDefault="00F4284C" w:rsidP="008C12B4">
            <w:pPr>
              <w:jc w:val="both"/>
              <w:rPr>
                <w:bCs/>
                <w:sz w:val="20"/>
                <w:szCs w:val="20"/>
              </w:rPr>
            </w:pPr>
            <w:r w:rsidRPr="00154588">
              <w:rPr>
                <w:bCs/>
                <w:sz w:val="20"/>
                <w:szCs w:val="20"/>
              </w:rPr>
              <w:t>ABE înaintează Comisiei aceste proiecte de standarde tehnice de reglementare până la 11 mai 2027.</w:t>
            </w:r>
          </w:p>
          <w:p w14:paraId="4EE141A8" w14:textId="77777777" w:rsidR="00F4284C" w:rsidRPr="00154588" w:rsidRDefault="00F4284C" w:rsidP="008C12B4">
            <w:pPr>
              <w:jc w:val="both"/>
              <w:rPr>
                <w:bCs/>
                <w:sz w:val="20"/>
                <w:szCs w:val="20"/>
              </w:rPr>
            </w:pPr>
          </w:p>
          <w:p w14:paraId="0F7D8A65" w14:textId="34671C40" w:rsidR="00F4284C" w:rsidRPr="00154588" w:rsidRDefault="00F4284C" w:rsidP="008C12B4">
            <w:pPr>
              <w:jc w:val="both"/>
              <w:rPr>
                <w:bCs/>
                <w:sz w:val="20"/>
                <w:szCs w:val="20"/>
              </w:rPr>
            </w:pPr>
            <w:r w:rsidRPr="00154588">
              <w:rPr>
                <w:bCs/>
                <w:sz w:val="20"/>
                <w:szCs w:val="20"/>
              </w:rPr>
              <w:t>Se deleagă Comisiei competența de a completa prezenta directivă prin adoptarea standardelor tehnice de reglementare menționate la primul paragraf de la prezentul alineat, în conformitate cu articolele 10-14 din Regulamentul (UE) nr. 1093/2010.</w:t>
            </w:r>
          </w:p>
        </w:tc>
        <w:tc>
          <w:tcPr>
            <w:tcW w:w="4819" w:type="dxa"/>
          </w:tcPr>
          <w:p w14:paraId="634DA7F7" w14:textId="77777777" w:rsidR="00F4284C" w:rsidRPr="00154588" w:rsidRDefault="00F4284C" w:rsidP="008C12B4">
            <w:pPr>
              <w:jc w:val="both"/>
              <w:rPr>
                <w:bCs/>
                <w:sz w:val="20"/>
                <w:szCs w:val="20"/>
              </w:rPr>
            </w:pPr>
          </w:p>
        </w:tc>
        <w:tc>
          <w:tcPr>
            <w:tcW w:w="2552" w:type="dxa"/>
          </w:tcPr>
          <w:p w14:paraId="4B47F892" w14:textId="2A132276"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2317C4A5" w14:textId="3B1DC290" w:rsidR="00F4284C" w:rsidRPr="00154588" w:rsidRDefault="00F4284C" w:rsidP="008C12B4">
            <w:pPr>
              <w:jc w:val="both"/>
              <w:rPr>
                <w:bCs/>
                <w:sz w:val="20"/>
                <w:szCs w:val="20"/>
              </w:rPr>
            </w:pPr>
            <w:r w:rsidRPr="00154588">
              <w:rPr>
                <w:bCs/>
                <w:sz w:val="20"/>
                <w:szCs w:val="20"/>
                <w:lang w:val="ro-MD"/>
              </w:rPr>
              <w:t>Prevederi care se referă la atribuțiile de reglementare ale autorităților europene.</w:t>
            </w:r>
          </w:p>
        </w:tc>
      </w:tr>
      <w:tr w:rsidR="00F4284C" w:rsidRPr="00154588" w14:paraId="4E00947E" w14:textId="77777777" w:rsidTr="00D15C1B">
        <w:trPr>
          <w:jc w:val="center"/>
        </w:trPr>
        <w:tc>
          <w:tcPr>
            <w:tcW w:w="4957" w:type="dxa"/>
            <w:gridSpan w:val="2"/>
          </w:tcPr>
          <w:p w14:paraId="02F5C965" w14:textId="77777777" w:rsidR="00F4284C" w:rsidRPr="00154588" w:rsidRDefault="00F4284C" w:rsidP="008C12B4">
            <w:pPr>
              <w:jc w:val="both"/>
              <w:rPr>
                <w:bCs/>
                <w:sz w:val="20"/>
                <w:szCs w:val="20"/>
              </w:rPr>
            </w:pPr>
            <w:r w:rsidRPr="00154588">
              <w:rPr>
                <w:bCs/>
                <w:sz w:val="20"/>
                <w:szCs w:val="20"/>
              </w:rPr>
              <w:t>(5)   Pentru entitățile de rezoluție care nu fac obiectul articolului 92a din Regulamentul (UE) nr. 575/2013 și care fac parte dintr-un grup de rezoluție a cărui valoare totală a activelor depășește 100 de miliarde EUR, nivelul cerinței menționate la alineatul (3) de la prezentul articol este cel puțin egal cu:</w:t>
            </w:r>
          </w:p>
          <w:p w14:paraId="79E2DCD1" w14:textId="77777777" w:rsidR="00F4284C" w:rsidRPr="00154588" w:rsidRDefault="00F4284C" w:rsidP="008C12B4">
            <w:pPr>
              <w:jc w:val="both"/>
              <w:rPr>
                <w:bCs/>
                <w:sz w:val="20"/>
                <w:szCs w:val="20"/>
              </w:rPr>
            </w:pPr>
          </w:p>
          <w:p w14:paraId="553FB333" w14:textId="36F897C3" w:rsidR="00F4284C" w:rsidRPr="00154588" w:rsidRDefault="00F4284C" w:rsidP="008C12B4">
            <w:pPr>
              <w:jc w:val="both"/>
              <w:rPr>
                <w:bCs/>
                <w:sz w:val="20"/>
                <w:szCs w:val="20"/>
              </w:rPr>
            </w:pPr>
            <w:r w:rsidRPr="00154588">
              <w:rPr>
                <w:bCs/>
                <w:sz w:val="20"/>
                <w:szCs w:val="20"/>
              </w:rPr>
              <w:t>(a) 13,5 % când este calculat în conformitate cu articolul 45 alineatul (2) litera (a); și</w:t>
            </w:r>
          </w:p>
          <w:p w14:paraId="07CA9268" w14:textId="77777777" w:rsidR="00F4284C" w:rsidRPr="00154588" w:rsidRDefault="00F4284C" w:rsidP="008C12B4">
            <w:pPr>
              <w:jc w:val="both"/>
              <w:rPr>
                <w:bCs/>
                <w:sz w:val="20"/>
                <w:szCs w:val="20"/>
              </w:rPr>
            </w:pPr>
          </w:p>
          <w:p w14:paraId="434BA2A7" w14:textId="08E7BAF7" w:rsidR="00F4284C" w:rsidRPr="00154588" w:rsidRDefault="00F4284C" w:rsidP="008C12B4">
            <w:pPr>
              <w:jc w:val="both"/>
              <w:rPr>
                <w:bCs/>
                <w:sz w:val="20"/>
                <w:szCs w:val="20"/>
              </w:rPr>
            </w:pPr>
            <w:r w:rsidRPr="00154588">
              <w:rPr>
                <w:bCs/>
                <w:sz w:val="20"/>
                <w:szCs w:val="20"/>
              </w:rPr>
              <w:t>(b) 5 % când este calculat în conformitate cu articolul 45 alineatul (2) litera (b).</w:t>
            </w:r>
          </w:p>
          <w:p w14:paraId="47ABC9B8" w14:textId="77777777" w:rsidR="00F4284C" w:rsidRPr="00154588" w:rsidRDefault="00F4284C" w:rsidP="008C12B4">
            <w:pPr>
              <w:jc w:val="both"/>
              <w:rPr>
                <w:bCs/>
                <w:sz w:val="20"/>
                <w:szCs w:val="20"/>
              </w:rPr>
            </w:pPr>
          </w:p>
          <w:p w14:paraId="2F9D20BD" w14:textId="2466701C" w:rsidR="00F4284C" w:rsidRPr="00154588" w:rsidRDefault="00F4284C" w:rsidP="008C12B4">
            <w:pPr>
              <w:jc w:val="both"/>
              <w:rPr>
                <w:bCs/>
                <w:sz w:val="20"/>
                <w:szCs w:val="20"/>
              </w:rPr>
            </w:pPr>
            <w:r w:rsidRPr="00154588">
              <w:rPr>
                <w:bCs/>
                <w:sz w:val="20"/>
                <w:szCs w:val="20"/>
              </w:rPr>
              <w:t xml:space="preserve">Prin derogare de la articolul 45b, entitățile de rezoluție menționate la primul paragraf de la prezentul alineat îndeplinesc un nivel al cerinței menționat la primul paragraf de la prezentul alineat, care este egal cu 13,5 % când este calculat în conformitate cu articolul 45 alineatul (2) litera (a) și cu 5 % când este calculat în conformitate cu articolul 45 alineatul (2) litera (b), </w:t>
            </w:r>
            <w:r w:rsidRPr="00154588">
              <w:rPr>
                <w:bCs/>
                <w:sz w:val="20"/>
                <w:szCs w:val="20"/>
              </w:rPr>
              <w:lastRenderedPageBreak/>
              <w:t>folosind fonduri proprii, instrumente eligibile subordonate sau datorii astfel cum sunt menționate la articolul 45b alineatul (3) din prezenta directivă.</w:t>
            </w:r>
          </w:p>
        </w:tc>
        <w:tc>
          <w:tcPr>
            <w:tcW w:w="4819" w:type="dxa"/>
          </w:tcPr>
          <w:p w14:paraId="34944B80" w14:textId="72B38CD4" w:rsidR="00F4284C" w:rsidRPr="00154588" w:rsidRDefault="00F4284C" w:rsidP="008C12B4">
            <w:pPr>
              <w:jc w:val="both"/>
              <w:rPr>
                <w:sz w:val="20"/>
                <w:szCs w:val="20"/>
              </w:rPr>
            </w:pPr>
            <w:r w:rsidRPr="00154588">
              <w:rPr>
                <w:b/>
                <w:sz w:val="20"/>
                <w:szCs w:val="20"/>
              </w:rPr>
              <w:lastRenderedPageBreak/>
              <w:t>Articolul 167</w:t>
            </w:r>
            <w:r w:rsidRPr="00154588">
              <w:rPr>
                <w:b/>
                <w:sz w:val="20"/>
                <w:szCs w:val="20"/>
                <w:vertAlign w:val="superscript"/>
              </w:rPr>
              <w:t>7</w:t>
            </w:r>
            <w:r w:rsidRPr="00154588">
              <w:rPr>
                <w:sz w:val="20"/>
                <w:szCs w:val="20"/>
              </w:rPr>
              <w:t xml:space="preserve">. – (1) Pentru entitățile de rezoluție, care nu fac obiectul </w:t>
            </w:r>
            <w:bookmarkStart w:id="94" w:name="_Hlk234596875"/>
            <w:bookmarkStart w:id="95" w:name="_Hlk219401738"/>
            <w:r w:rsidRPr="00154588">
              <w:rPr>
                <w:sz w:val="20"/>
                <w:szCs w:val="20"/>
              </w:rPr>
              <w:t xml:space="preserve">cerinței de fonduri proprii și pasivele eligibile pentru G-SII prevăzute în </w:t>
            </w:r>
            <w:bookmarkEnd w:id="94"/>
            <w:r w:rsidRPr="00154588">
              <w:rPr>
                <w:sz w:val="20"/>
                <w:szCs w:val="20"/>
              </w:rPr>
              <w:t>reglementările Băncii Naționale a Moldovei emise în aplicarea art.60, 61 și 62 din Legea nr.202/2017</w:t>
            </w:r>
            <w:bookmarkEnd w:id="95"/>
            <w:r w:rsidRPr="00154588">
              <w:rPr>
                <w:sz w:val="20"/>
                <w:szCs w:val="20"/>
              </w:rPr>
              <w:t>, și care fac parte dintr-un grup de rezoluție a cărui valoare totală a activelor depășește 100 de miliarde EUR, nivelul cerinței care trebuie respectată potrivit prevederilor art.167</w:t>
            </w:r>
            <w:r w:rsidRPr="00154588">
              <w:rPr>
                <w:sz w:val="20"/>
                <w:szCs w:val="20"/>
                <w:vertAlign w:val="superscript"/>
              </w:rPr>
              <w:t xml:space="preserve">6 </w:t>
            </w:r>
            <w:r w:rsidRPr="00154588">
              <w:rPr>
                <w:sz w:val="20"/>
                <w:szCs w:val="20"/>
              </w:rPr>
              <w:t>este cel puțin egal cu:</w:t>
            </w:r>
          </w:p>
          <w:p w14:paraId="38213B34" w14:textId="77777777" w:rsidR="00F4284C" w:rsidRPr="00154588" w:rsidRDefault="00F4284C" w:rsidP="008C12B4">
            <w:pPr>
              <w:jc w:val="both"/>
              <w:rPr>
                <w:sz w:val="20"/>
                <w:szCs w:val="20"/>
              </w:rPr>
            </w:pPr>
            <w:r w:rsidRPr="00154588">
              <w:rPr>
                <w:sz w:val="20"/>
                <w:szCs w:val="20"/>
              </w:rPr>
              <w:t>a) 13,5%, atunci când este calculat în conformitate cu prevederile art.164 alin.(1) lit. a); și</w:t>
            </w:r>
          </w:p>
          <w:p w14:paraId="6DE8FB3A" w14:textId="77777777" w:rsidR="00F4284C" w:rsidRPr="00154588" w:rsidRDefault="00F4284C" w:rsidP="008C12B4">
            <w:pPr>
              <w:jc w:val="both"/>
              <w:rPr>
                <w:sz w:val="20"/>
                <w:szCs w:val="20"/>
              </w:rPr>
            </w:pPr>
            <w:r w:rsidRPr="00154588">
              <w:rPr>
                <w:sz w:val="20"/>
                <w:szCs w:val="20"/>
              </w:rPr>
              <w:t>b) 5%, atunci când este calculat în conformitate cu prevederile art.164 alin.(1) lit.b).</w:t>
            </w:r>
          </w:p>
          <w:p w14:paraId="1DFAC8E6" w14:textId="77777777" w:rsidR="00F4284C" w:rsidRPr="00154588" w:rsidRDefault="00F4284C" w:rsidP="008C12B4">
            <w:pPr>
              <w:jc w:val="both"/>
              <w:rPr>
                <w:sz w:val="20"/>
                <w:szCs w:val="20"/>
              </w:rPr>
            </w:pPr>
            <w:r w:rsidRPr="00154588">
              <w:rPr>
                <w:sz w:val="20"/>
                <w:szCs w:val="20"/>
              </w:rPr>
              <w:t>(2) Prin excepție de la prevederile art.165 - 167</w:t>
            </w:r>
            <w:r w:rsidRPr="00154588">
              <w:rPr>
                <w:sz w:val="20"/>
                <w:szCs w:val="20"/>
                <w:vertAlign w:val="superscript"/>
              </w:rPr>
              <w:t>7</w:t>
            </w:r>
            <w:r w:rsidRPr="00154588">
              <w:rPr>
                <w:sz w:val="20"/>
                <w:szCs w:val="20"/>
              </w:rPr>
              <w:t xml:space="preserve"> entitățile de rezoluție prevăzute la alin.(1) îndeplinesc cerința prevăzută la alin.(1) care este egală cu 13,5%, atunci când este calculată în conformitate cu prevederile art.164 alin.(1) lit.a) și cu 5%, atunci când este calculată în conformitate cu prevederile art.164 alin.(1) lit.b), folosind fonduri </w:t>
            </w:r>
            <w:r w:rsidRPr="00154588">
              <w:rPr>
                <w:sz w:val="20"/>
                <w:szCs w:val="20"/>
              </w:rPr>
              <w:lastRenderedPageBreak/>
              <w:t>proprii, instrumente eligibile subordonate sau datorii prevăzute la art.165</w:t>
            </w:r>
            <w:r w:rsidRPr="00154588">
              <w:rPr>
                <w:sz w:val="20"/>
                <w:szCs w:val="20"/>
                <w:vertAlign w:val="superscript"/>
              </w:rPr>
              <w:t>2</w:t>
            </w:r>
            <w:r w:rsidRPr="00154588">
              <w:rPr>
                <w:sz w:val="20"/>
                <w:szCs w:val="20"/>
              </w:rPr>
              <w:t>.</w:t>
            </w:r>
          </w:p>
          <w:p w14:paraId="5562214A" w14:textId="77777777" w:rsidR="00F4284C" w:rsidRPr="00154588" w:rsidRDefault="00F4284C" w:rsidP="008C12B4">
            <w:pPr>
              <w:jc w:val="both"/>
              <w:rPr>
                <w:bCs/>
                <w:sz w:val="20"/>
                <w:szCs w:val="20"/>
              </w:rPr>
            </w:pPr>
          </w:p>
        </w:tc>
        <w:tc>
          <w:tcPr>
            <w:tcW w:w="2552" w:type="dxa"/>
          </w:tcPr>
          <w:p w14:paraId="1AD84FE9" w14:textId="75658730"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777E504B" w14:textId="77777777" w:rsidR="00F4284C" w:rsidRPr="00154588" w:rsidRDefault="00F4284C" w:rsidP="008C12B4">
            <w:pPr>
              <w:jc w:val="both"/>
              <w:rPr>
                <w:bCs/>
                <w:sz w:val="20"/>
                <w:szCs w:val="20"/>
              </w:rPr>
            </w:pPr>
          </w:p>
        </w:tc>
      </w:tr>
      <w:tr w:rsidR="00F4284C" w:rsidRPr="00154588" w14:paraId="110C83BE" w14:textId="77777777" w:rsidTr="00D15C1B">
        <w:trPr>
          <w:jc w:val="center"/>
        </w:trPr>
        <w:tc>
          <w:tcPr>
            <w:tcW w:w="4957" w:type="dxa"/>
            <w:gridSpan w:val="2"/>
          </w:tcPr>
          <w:p w14:paraId="79A85A61" w14:textId="4AA03E23" w:rsidR="00F4284C" w:rsidRPr="00154588" w:rsidRDefault="00F4284C" w:rsidP="008C12B4">
            <w:pPr>
              <w:jc w:val="both"/>
              <w:rPr>
                <w:bCs/>
                <w:sz w:val="20"/>
                <w:szCs w:val="20"/>
              </w:rPr>
            </w:pPr>
            <w:r w:rsidRPr="00154588">
              <w:rPr>
                <w:bCs/>
                <w:sz w:val="20"/>
                <w:szCs w:val="20"/>
              </w:rPr>
              <w:t>(6)   O autoritate de rezoluție poate decide, după consultarea autorității competente, să aplice cerințele prevăzute la alineatul (5) din prezentul articol unei entități de rezoluție care nu face obiectul articolului 92a din Regulamentul (UE) nr. 575/2013 și care face parte dintr-un grup de rezoluție a cărui valoare totală a activelor se situează sub 100 de miliarde EUR și pe care autoritatea de rezoluție a evaluat-o ca fiind în mod rezonabil susceptibilă de a prezenta un risc sistemic dacă intră în dificultate.</w:t>
            </w:r>
          </w:p>
          <w:p w14:paraId="49BE6988" w14:textId="77777777" w:rsidR="00F4284C" w:rsidRPr="00154588" w:rsidRDefault="00F4284C" w:rsidP="008C12B4">
            <w:pPr>
              <w:jc w:val="both"/>
              <w:rPr>
                <w:bCs/>
                <w:sz w:val="20"/>
                <w:szCs w:val="20"/>
              </w:rPr>
            </w:pPr>
          </w:p>
          <w:p w14:paraId="33959B83" w14:textId="77777777" w:rsidR="00F4284C" w:rsidRPr="00154588" w:rsidRDefault="00F4284C" w:rsidP="008C12B4">
            <w:pPr>
              <w:jc w:val="both"/>
              <w:rPr>
                <w:bCs/>
                <w:sz w:val="20"/>
                <w:szCs w:val="20"/>
              </w:rPr>
            </w:pPr>
            <w:r w:rsidRPr="00154588">
              <w:rPr>
                <w:bCs/>
                <w:sz w:val="20"/>
                <w:szCs w:val="20"/>
              </w:rPr>
              <w:t>Atunci când adoptă o decizie în conformitate cu prezentul alineat primul paragraf, o autoritate de rezoluție ia în considerare:</w:t>
            </w:r>
          </w:p>
          <w:p w14:paraId="0D7BCEB4" w14:textId="77777777" w:rsidR="00F4284C" w:rsidRPr="00154588" w:rsidRDefault="00F4284C" w:rsidP="008C12B4">
            <w:pPr>
              <w:jc w:val="both"/>
              <w:rPr>
                <w:bCs/>
                <w:sz w:val="20"/>
                <w:szCs w:val="20"/>
              </w:rPr>
            </w:pPr>
          </w:p>
          <w:p w14:paraId="12E03806" w14:textId="77777777" w:rsidR="00F4284C" w:rsidRPr="00154588" w:rsidRDefault="00F4284C" w:rsidP="008C12B4">
            <w:pPr>
              <w:jc w:val="both"/>
              <w:rPr>
                <w:bCs/>
                <w:sz w:val="20"/>
                <w:szCs w:val="20"/>
              </w:rPr>
            </w:pPr>
          </w:p>
          <w:p w14:paraId="16841377" w14:textId="77777777" w:rsidR="00F4284C" w:rsidRPr="00154588" w:rsidRDefault="00F4284C" w:rsidP="008C12B4">
            <w:pPr>
              <w:jc w:val="both"/>
              <w:rPr>
                <w:bCs/>
                <w:sz w:val="20"/>
                <w:szCs w:val="20"/>
              </w:rPr>
            </w:pPr>
          </w:p>
          <w:p w14:paraId="0C394703" w14:textId="373D450D" w:rsidR="00F4284C" w:rsidRPr="00154588" w:rsidRDefault="00F4284C" w:rsidP="008C12B4">
            <w:pPr>
              <w:jc w:val="both"/>
              <w:rPr>
                <w:bCs/>
                <w:sz w:val="20"/>
                <w:szCs w:val="20"/>
              </w:rPr>
            </w:pPr>
            <w:r w:rsidRPr="00154588">
              <w:rPr>
                <w:bCs/>
                <w:sz w:val="20"/>
                <w:szCs w:val="20"/>
              </w:rPr>
              <w:t>(a) prevalența depozitelor și absența instrumentelor de datorie, în modelul de finanțare;</w:t>
            </w:r>
          </w:p>
          <w:p w14:paraId="0C65FB4F" w14:textId="77777777" w:rsidR="00F4284C" w:rsidRPr="00154588" w:rsidRDefault="00F4284C" w:rsidP="008C12B4">
            <w:pPr>
              <w:jc w:val="both"/>
              <w:rPr>
                <w:bCs/>
                <w:sz w:val="20"/>
                <w:szCs w:val="20"/>
              </w:rPr>
            </w:pPr>
          </w:p>
          <w:p w14:paraId="5CA767B7" w14:textId="77777777" w:rsidR="00F4284C" w:rsidRPr="00154588" w:rsidRDefault="00F4284C" w:rsidP="008C12B4">
            <w:pPr>
              <w:jc w:val="both"/>
              <w:rPr>
                <w:bCs/>
                <w:sz w:val="20"/>
                <w:szCs w:val="20"/>
              </w:rPr>
            </w:pPr>
          </w:p>
          <w:p w14:paraId="65280A81" w14:textId="3E32A052" w:rsidR="00F4284C" w:rsidRPr="00154588" w:rsidRDefault="00F4284C" w:rsidP="008C12B4">
            <w:pPr>
              <w:jc w:val="both"/>
              <w:rPr>
                <w:bCs/>
                <w:sz w:val="20"/>
                <w:szCs w:val="20"/>
              </w:rPr>
            </w:pPr>
            <w:r w:rsidRPr="00154588">
              <w:rPr>
                <w:bCs/>
                <w:sz w:val="20"/>
                <w:szCs w:val="20"/>
              </w:rPr>
              <w:t>(b) măsura în care accesul la piețele de capital pentru datoriile eligibile este limitat;</w:t>
            </w:r>
          </w:p>
          <w:p w14:paraId="4C27F5CB" w14:textId="77777777" w:rsidR="00F4284C" w:rsidRPr="00154588" w:rsidRDefault="00F4284C" w:rsidP="008C12B4">
            <w:pPr>
              <w:jc w:val="both"/>
              <w:rPr>
                <w:bCs/>
                <w:sz w:val="20"/>
                <w:szCs w:val="20"/>
              </w:rPr>
            </w:pPr>
          </w:p>
          <w:p w14:paraId="7A9F0E14" w14:textId="27929A35" w:rsidR="00F4284C" w:rsidRPr="00154588" w:rsidRDefault="00F4284C" w:rsidP="008C12B4">
            <w:pPr>
              <w:jc w:val="both"/>
              <w:rPr>
                <w:bCs/>
                <w:sz w:val="20"/>
                <w:szCs w:val="20"/>
              </w:rPr>
            </w:pPr>
            <w:r w:rsidRPr="00154588">
              <w:rPr>
                <w:bCs/>
                <w:sz w:val="20"/>
                <w:szCs w:val="20"/>
              </w:rPr>
              <w:t>(c) măsura în care entitatea de rezoluție recurge la fonduri proprii de nivel 1 de bază pentru a îndeplini cerința menționată la articolul 45e.</w:t>
            </w:r>
          </w:p>
          <w:p w14:paraId="42EC037C" w14:textId="77777777" w:rsidR="00F4284C" w:rsidRPr="00154588" w:rsidRDefault="00F4284C" w:rsidP="008C12B4">
            <w:pPr>
              <w:jc w:val="both"/>
              <w:rPr>
                <w:bCs/>
                <w:sz w:val="20"/>
                <w:szCs w:val="20"/>
              </w:rPr>
            </w:pPr>
          </w:p>
          <w:p w14:paraId="03031049" w14:textId="734E8D60" w:rsidR="00F4284C" w:rsidRPr="00154588" w:rsidRDefault="00F4284C" w:rsidP="008C12B4">
            <w:pPr>
              <w:jc w:val="both"/>
              <w:rPr>
                <w:bCs/>
                <w:sz w:val="20"/>
                <w:szCs w:val="20"/>
              </w:rPr>
            </w:pPr>
            <w:r w:rsidRPr="00154588">
              <w:rPr>
                <w:bCs/>
                <w:sz w:val="20"/>
                <w:szCs w:val="20"/>
              </w:rPr>
              <w:t>Absența unei decizii în temeiul primului paragraf de la prezentul alineat nu aduce atingere niciunei decizii adoptate în temeiul articolului 45b alineatul (5).</w:t>
            </w:r>
          </w:p>
        </w:tc>
        <w:tc>
          <w:tcPr>
            <w:tcW w:w="4819" w:type="dxa"/>
          </w:tcPr>
          <w:p w14:paraId="40B5B4F6" w14:textId="2D4E1CBC" w:rsidR="00F4284C" w:rsidRPr="00154588" w:rsidRDefault="00F4284C" w:rsidP="008C12B4">
            <w:pPr>
              <w:jc w:val="both"/>
              <w:rPr>
                <w:sz w:val="20"/>
                <w:szCs w:val="20"/>
              </w:rPr>
            </w:pPr>
            <w:r w:rsidRPr="00154588">
              <w:rPr>
                <w:b/>
                <w:sz w:val="20"/>
                <w:szCs w:val="20"/>
              </w:rPr>
              <w:t>Articolul 167</w:t>
            </w:r>
            <w:r w:rsidRPr="00154588">
              <w:rPr>
                <w:b/>
                <w:sz w:val="20"/>
                <w:szCs w:val="20"/>
                <w:vertAlign w:val="superscript"/>
              </w:rPr>
              <w:t>8</w:t>
            </w:r>
            <w:r w:rsidRPr="00154588">
              <w:rPr>
                <w:b/>
                <w:sz w:val="20"/>
                <w:szCs w:val="20"/>
              </w:rPr>
              <w:t>.</w:t>
            </w:r>
            <w:r w:rsidRPr="00154588">
              <w:rPr>
                <w:sz w:val="20"/>
                <w:szCs w:val="20"/>
              </w:rPr>
              <w:t xml:space="preserve"> – (1) Banca Națională a Moldovei, în calitate de autoritate de rezoluție, poate decide</w:t>
            </w:r>
            <w:bookmarkStart w:id="96" w:name="_Hlk234596918"/>
            <w:r w:rsidRPr="00154588">
              <w:rPr>
                <w:bCs/>
                <w:sz w:val="20"/>
                <w:szCs w:val="20"/>
              </w:rPr>
              <w:t>, după consultarea autorității competente,</w:t>
            </w:r>
            <w:bookmarkEnd w:id="96"/>
            <w:r w:rsidRPr="00154588">
              <w:rPr>
                <w:bCs/>
                <w:sz w:val="20"/>
                <w:szCs w:val="20"/>
              </w:rPr>
              <w:t xml:space="preserve"> </w:t>
            </w:r>
            <w:r w:rsidRPr="00154588">
              <w:rPr>
                <w:sz w:val="20"/>
                <w:szCs w:val="20"/>
              </w:rPr>
              <w:t xml:space="preserve"> să aplice cerințele prevăzute la art.167</w:t>
            </w:r>
            <w:r w:rsidRPr="00154588">
              <w:rPr>
                <w:sz w:val="20"/>
                <w:szCs w:val="20"/>
                <w:vertAlign w:val="superscript"/>
              </w:rPr>
              <w:t>7</w:t>
            </w:r>
            <w:r w:rsidRPr="00154588">
              <w:rPr>
                <w:sz w:val="20"/>
                <w:szCs w:val="20"/>
              </w:rPr>
              <w:t xml:space="preserve"> unei entități de rezoluție, care nu face obiectul cerinței de fonduri proprii și pasivele eligibile pentru G-SII prevăzute în reglementările Băncii Naționale a Moldovei emise în aplicarea art.60, 61 și 62 din Legea nr.202/2017, și care face parte dintr-un grup de rezoluție a cărui valoare totală a activelor se situează sub 100 de miliarde EUR și pe care Banca Națională a Moldovei, în calitate de autoritate de rezoluție, a evaluat-o ca fiind în mod rezonabil susceptibilă de a prezenta un risc sistemic în cazul intrării acesteia în dificultate.</w:t>
            </w:r>
          </w:p>
          <w:p w14:paraId="1AFCB309" w14:textId="2F7E8A2A" w:rsidR="00F4284C" w:rsidRPr="00154588" w:rsidRDefault="00F4284C" w:rsidP="008C12B4">
            <w:pPr>
              <w:jc w:val="both"/>
              <w:rPr>
                <w:sz w:val="20"/>
                <w:szCs w:val="20"/>
              </w:rPr>
            </w:pPr>
            <w:r w:rsidRPr="00154588">
              <w:rPr>
                <w:sz w:val="20"/>
                <w:szCs w:val="20"/>
              </w:rPr>
              <w:t>(2) La adoptarea deciziei prevăzute la alin.(1), Banca Națională a Moldovei, în calitate de autoritate de rezoluție, ia în considerare:</w:t>
            </w:r>
          </w:p>
          <w:p w14:paraId="6B6D267A" w14:textId="77777777" w:rsidR="00F4284C" w:rsidRPr="00154588" w:rsidRDefault="00F4284C" w:rsidP="008C12B4">
            <w:pPr>
              <w:jc w:val="both"/>
              <w:rPr>
                <w:sz w:val="20"/>
                <w:szCs w:val="20"/>
              </w:rPr>
            </w:pPr>
            <w:r w:rsidRPr="00154588">
              <w:rPr>
                <w:sz w:val="20"/>
                <w:szCs w:val="20"/>
              </w:rPr>
              <w:t>a) preponderența depozitelor și absența instrumentelor de datorie în modelul de finanțare;</w:t>
            </w:r>
          </w:p>
          <w:p w14:paraId="5569F7BA" w14:textId="77777777" w:rsidR="00F4284C" w:rsidRPr="00154588" w:rsidRDefault="00F4284C" w:rsidP="008C12B4">
            <w:pPr>
              <w:jc w:val="both"/>
              <w:rPr>
                <w:sz w:val="20"/>
                <w:szCs w:val="20"/>
              </w:rPr>
            </w:pPr>
            <w:r w:rsidRPr="00154588">
              <w:rPr>
                <w:sz w:val="20"/>
                <w:szCs w:val="20"/>
              </w:rPr>
              <w:t>b) măsura în care accesul la piețele de capital pentru datoriile eligibile este limitat;</w:t>
            </w:r>
          </w:p>
          <w:p w14:paraId="5D517981" w14:textId="77777777" w:rsidR="00F4284C" w:rsidRPr="00154588" w:rsidRDefault="00F4284C" w:rsidP="008C12B4">
            <w:pPr>
              <w:jc w:val="both"/>
              <w:rPr>
                <w:sz w:val="20"/>
                <w:szCs w:val="20"/>
              </w:rPr>
            </w:pPr>
            <w:r w:rsidRPr="00154588">
              <w:rPr>
                <w:sz w:val="20"/>
                <w:szCs w:val="20"/>
              </w:rPr>
              <w:t>c) măsura în care entitatea de rezoluție se bazează pe fondurile proprii de nivel 1 de bază pentru a îndeplini cerința prevăzută la art.167</w:t>
            </w:r>
            <w:r w:rsidRPr="00154588">
              <w:rPr>
                <w:sz w:val="20"/>
                <w:szCs w:val="20"/>
                <w:vertAlign w:val="superscript"/>
              </w:rPr>
              <w:t>14</w:t>
            </w:r>
            <w:r w:rsidRPr="00154588">
              <w:rPr>
                <w:sz w:val="20"/>
                <w:szCs w:val="20"/>
              </w:rPr>
              <w:t>.</w:t>
            </w:r>
          </w:p>
          <w:p w14:paraId="19AF2906" w14:textId="24874AB2" w:rsidR="00F4284C" w:rsidRPr="00154588" w:rsidRDefault="00F4284C" w:rsidP="008C12B4">
            <w:pPr>
              <w:jc w:val="both"/>
              <w:rPr>
                <w:sz w:val="20"/>
                <w:szCs w:val="20"/>
              </w:rPr>
            </w:pPr>
            <w:r w:rsidRPr="00154588">
              <w:rPr>
                <w:sz w:val="20"/>
                <w:szCs w:val="20"/>
              </w:rPr>
              <w:t>(3) Absența unei decizii în temeiul alin.(1) nu aduce atingere niciunei decizii adoptate în temeiul art.165</w:t>
            </w:r>
            <w:r w:rsidRPr="00154588">
              <w:rPr>
                <w:sz w:val="20"/>
                <w:szCs w:val="20"/>
                <w:vertAlign w:val="superscript"/>
              </w:rPr>
              <w:t>4</w:t>
            </w:r>
            <w:r w:rsidRPr="00154588">
              <w:rPr>
                <w:sz w:val="20"/>
                <w:szCs w:val="20"/>
              </w:rPr>
              <w:t>.</w:t>
            </w:r>
          </w:p>
          <w:p w14:paraId="05C57FB7" w14:textId="77777777" w:rsidR="00F4284C" w:rsidRPr="00154588" w:rsidRDefault="00F4284C" w:rsidP="008C12B4">
            <w:pPr>
              <w:jc w:val="both"/>
              <w:rPr>
                <w:bCs/>
                <w:sz w:val="20"/>
                <w:szCs w:val="20"/>
              </w:rPr>
            </w:pPr>
          </w:p>
        </w:tc>
        <w:tc>
          <w:tcPr>
            <w:tcW w:w="2552" w:type="dxa"/>
          </w:tcPr>
          <w:p w14:paraId="059FBDC4" w14:textId="4AAA76C2" w:rsidR="00F4284C" w:rsidRPr="00154588" w:rsidRDefault="00F4284C" w:rsidP="008C12B4">
            <w:pPr>
              <w:jc w:val="both"/>
              <w:rPr>
                <w:bCs/>
                <w:sz w:val="20"/>
                <w:szCs w:val="20"/>
              </w:rPr>
            </w:pPr>
            <w:r w:rsidRPr="00154588">
              <w:rPr>
                <w:bCs/>
                <w:sz w:val="20"/>
                <w:szCs w:val="20"/>
              </w:rPr>
              <w:t>Compatibil</w:t>
            </w:r>
          </w:p>
        </w:tc>
        <w:tc>
          <w:tcPr>
            <w:tcW w:w="3118" w:type="dxa"/>
          </w:tcPr>
          <w:p w14:paraId="5C3FB815" w14:textId="77777777" w:rsidR="00F4284C" w:rsidRPr="00154588" w:rsidRDefault="00F4284C" w:rsidP="008C12B4">
            <w:pPr>
              <w:jc w:val="both"/>
              <w:rPr>
                <w:bCs/>
                <w:sz w:val="20"/>
                <w:szCs w:val="20"/>
              </w:rPr>
            </w:pPr>
          </w:p>
        </w:tc>
      </w:tr>
      <w:tr w:rsidR="00F4284C" w:rsidRPr="00154588" w14:paraId="50AE10C1" w14:textId="77777777" w:rsidTr="00D15C1B">
        <w:trPr>
          <w:jc w:val="center"/>
        </w:trPr>
        <w:tc>
          <w:tcPr>
            <w:tcW w:w="4957" w:type="dxa"/>
            <w:gridSpan w:val="2"/>
          </w:tcPr>
          <w:p w14:paraId="021ED237" w14:textId="77777777" w:rsidR="00F4284C" w:rsidRPr="00154588" w:rsidRDefault="00F4284C" w:rsidP="008C12B4">
            <w:pPr>
              <w:jc w:val="both"/>
              <w:rPr>
                <w:sz w:val="20"/>
                <w:szCs w:val="20"/>
              </w:rPr>
            </w:pPr>
            <w:r w:rsidRPr="00154588">
              <w:rPr>
                <w:sz w:val="20"/>
                <w:szCs w:val="20"/>
              </w:rPr>
              <w:t xml:space="preserve">(6a) În cazul entităților de rezoluție care fac parte dintr-un grup de rezoluție ale cărui active totale depășesc 30 de miliarde EUR și a cărui strategie de rezoluție preferată prevede în primul rând aplicarea instrumentului de vânzare a activității sau a instrumentului instituției-punte și ieșirea sa de pe piață, nivelul cerinței menționate la alineatul (3) de la prezentul articol este cel puțin egal cu: </w:t>
            </w:r>
          </w:p>
          <w:p w14:paraId="09AAFCAB" w14:textId="77777777" w:rsidR="00F4284C" w:rsidRPr="00154588" w:rsidRDefault="00F4284C" w:rsidP="008C12B4">
            <w:pPr>
              <w:jc w:val="both"/>
              <w:rPr>
                <w:sz w:val="20"/>
                <w:szCs w:val="20"/>
              </w:rPr>
            </w:pPr>
          </w:p>
          <w:p w14:paraId="7F35A193" w14:textId="6DFC7896" w:rsidR="00F4284C" w:rsidRPr="00154588" w:rsidRDefault="00F4284C" w:rsidP="008C12B4">
            <w:pPr>
              <w:jc w:val="both"/>
              <w:rPr>
                <w:sz w:val="20"/>
                <w:szCs w:val="20"/>
              </w:rPr>
            </w:pPr>
            <w:r w:rsidRPr="00154588">
              <w:rPr>
                <w:sz w:val="20"/>
                <w:szCs w:val="20"/>
              </w:rPr>
              <w:t xml:space="preserve">(a) 15 % atunci când este calculat în conformitate cu articolul 45 alineatul (2) litera (a); și </w:t>
            </w:r>
          </w:p>
          <w:p w14:paraId="6CD18239" w14:textId="77777777" w:rsidR="00F4284C" w:rsidRPr="00154588" w:rsidRDefault="00F4284C" w:rsidP="008C12B4">
            <w:pPr>
              <w:jc w:val="both"/>
              <w:rPr>
                <w:sz w:val="20"/>
                <w:szCs w:val="20"/>
              </w:rPr>
            </w:pPr>
          </w:p>
          <w:p w14:paraId="6F14BEAB" w14:textId="77777777" w:rsidR="00F4284C" w:rsidRPr="00154588" w:rsidRDefault="00F4284C" w:rsidP="008C12B4">
            <w:pPr>
              <w:jc w:val="both"/>
              <w:rPr>
                <w:sz w:val="20"/>
                <w:szCs w:val="20"/>
              </w:rPr>
            </w:pPr>
            <w:r w:rsidRPr="00154588">
              <w:rPr>
                <w:sz w:val="20"/>
                <w:szCs w:val="20"/>
              </w:rPr>
              <w:t xml:space="preserve">(b) 4,5 % atunci când este calculat în conformitate cu articolul 45 alineatul (2) litera (b). </w:t>
            </w:r>
          </w:p>
          <w:p w14:paraId="7DBE2C7B" w14:textId="77777777" w:rsidR="00F4284C" w:rsidRPr="00154588" w:rsidRDefault="00F4284C" w:rsidP="008C12B4">
            <w:pPr>
              <w:jc w:val="both"/>
              <w:rPr>
                <w:sz w:val="20"/>
                <w:szCs w:val="20"/>
              </w:rPr>
            </w:pPr>
          </w:p>
          <w:p w14:paraId="77654D13" w14:textId="09E3A85A" w:rsidR="00F4284C" w:rsidRPr="00154588" w:rsidRDefault="00F4284C" w:rsidP="008C12B4">
            <w:pPr>
              <w:jc w:val="both"/>
              <w:rPr>
                <w:sz w:val="20"/>
                <w:szCs w:val="20"/>
              </w:rPr>
            </w:pPr>
            <w:r w:rsidRPr="00154588">
              <w:rPr>
                <w:sz w:val="20"/>
                <w:szCs w:val="20"/>
              </w:rPr>
              <w:t>Primul paragraf de la prezentul alineat nu se aplică entităților de rezoluție a căror strategie de rezoluție preferată prevede aplicarea instrumentului de recapitalizare internă în sensul articolului 43 alineatul (2) litera (a), în mod independent sau în combinație cu alte instrumente de rezoluție.</w:t>
            </w:r>
          </w:p>
        </w:tc>
        <w:tc>
          <w:tcPr>
            <w:tcW w:w="4819" w:type="dxa"/>
          </w:tcPr>
          <w:p w14:paraId="43CB70C6" w14:textId="7549558B" w:rsidR="00F4284C" w:rsidRPr="00154588" w:rsidRDefault="00F4284C" w:rsidP="008C12B4">
            <w:pPr>
              <w:pStyle w:val="a7"/>
              <w:ind w:left="0"/>
              <w:jc w:val="both"/>
              <w:rPr>
                <w:rFonts w:cs="Times New Roman"/>
                <w:sz w:val="20"/>
                <w:szCs w:val="20"/>
                <w:lang w:val="ro-RO"/>
              </w:rPr>
            </w:pPr>
            <w:r w:rsidRPr="00154588">
              <w:rPr>
                <w:rFonts w:cs="Times New Roman"/>
                <w:sz w:val="20"/>
                <w:szCs w:val="20"/>
                <w:lang w:val="ro-RO"/>
              </w:rPr>
              <w:lastRenderedPageBreak/>
              <w:t>(4) În cazul entităților de rezoluție care fac parte dintr-un grup de rezoluție ale cărui active totale depășesc 30 de miliarde EUR și a cărui strategie de rezoluție preferată prevede în primul rând aplicarea instrumentului de vânzare a afacerii sau a instrumentului instituției-punte și ieșirea sa de pe piață, nivelul cerinței menționate la art.</w:t>
            </w:r>
            <w:r w:rsidRPr="00154588">
              <w:rPr>
                <w:rFonts w:cs="Times New Roman"/>
                <w:bCs/>
                <w:sz w:val="20"/>
                <w:szCs w:val="20"/>
                <w:lang w:val="ro-RO"/>
              </w:rPr>
              <w:t>167</w:t>
            </w:r>
            <w:r w:rsidRPr="00154588">
              <w:rPr>
                <w:rFonts w:cs="Times New Roman"/>
                <w:bCs/>
                <w:sz w:val="20"/>
                <w:szCs w:val="20"/>
                <w:vertAlign w:val="superscript"/>
                <w:lang w:val="ro-RO"/>
              </w:rPr>
              <w:t>6</w:t>
            </w:r>
            <w:r w:rsidRPr="00154588">
              <w:rPr>
                <w:rFonts w:cs="Times New Roman"/>
                <w:sz w:val="20"/>
                <w:szCs w:val="20"/>
                <w:lang w:val="ro-RO"/>
              </w:rPr>
              <w:t xml:space="preserve"> este cel puțin egal cu: </w:t>
            </w:r>
          </w:p>
          <w:p w14:paraId="6EB23DEF" w14:textId="77777777" w:rsidR="00F4284C" w:rsidRPr="00154588" w:rsidRDefault="00F4284C" w:rsidP="008C12B4">
            <w:pPr>
              <w:ind w:hanging="33"/>
              <w:jc w:val="both"/>
              <w:rPr>
                <w:bCs/>
                <w:sz w:val="20"/>
                <w:szCs w:val="20"/>
              </w:rPr>
            </w:pPr>
          </w:p>
          <w:p w14:paraId="46FEEA24" w14:textId="6970E222" w:rsidR="00F4284C" w:rsidRPr="00154588" w:rsidRDefault="00F4284C" w:rsidP="008C12B4">
            <w:pPr>
              <w:ind w:hanging="33"/>
              <w:jc w:val="both"/>
              <w:rPr>
                <w:bCs/>
                <w:sz w:val="20"/>
                <w:szCs w:val="20"/>
              </w:rPr>
            </w:pPr>
            <w:r w:rsidRPr="00154588">
              <w:rPr>
                <w:bCs/>
                <w:sz w:val="20"/>
                <w:szCs w:val="20"/>
              </w:rPr>
              <w:t xml:space="preserve">a) 15 % atunci când este calculat în conformitate cu art.164 alin.(1) lit.a); și </w:t>
            </w:r>
          </w:p>
          <w:p w14:paraId="3C694BB5" w14:textId="77777777" w:rsidR="00F4284C" w:rsidRPr="00154588" w:rsidRDefault="00F4284C" w:rsidP="008C12B4">
            <w:pPr>
              <w:ind w:hanging="33"/>
              <w:jc w:val="both"/>
              <w:rPr>
                <w:bCs/>
                <w:sz w:val="20"/>
                <w:szCs w:val="20"/>
              </w:rPr>
            </w:pPr>
          </w:p>
          <w:p w14:paraId="156B78F8" w14:textId="77777777" w:rsidR="00F4284C" w:rsidRPr="00154588" w:rsidRDefault="00F4284C" w:rsidP="008C12B4">
            <w:pPr>
              <w:ind w:hanging="33"/>
              <w:jc w:val="both"/>
              <w:rPr>
                <w:bCs/>
                <w:sz w:val="20"/>
                <w:szCs w:val="20"/>
              </w:rPr>
            </w:pPr>
            <w:r w:rsidRPr="00154588">
              <w:rPr>
                <w:bCs/>
                <w:sz w:val="20"/>
                <w:szCs w:val="20"/>
              </w:rPr>
              <w:t xml:space="preserve">b) 4,5 % atunci când este calculat în conformitate cu art.164 alin.(1) lit.b). </w:t>
            </w:r>
          </w:p>
          <w:p w14:paraId="2E8A366C" w14:textId="3BC7DE5C" w:rsidR="00F4284C" w:rsidRPr="00154588" w:rsidRDefault="00F4284C" w:rsidP="008C12B4">
            <w:pPr>
              <w:ind w:hanging="33"/>
              <w:jc w:val="both"/>
              <w:rPr>
                <w:bCs/>
                <w:sz w:val="20"/>
                <w:szCs w:val="20"/>
              </w:rPr>
            </w:pPr>
            <w:r w:rsidRPr="00154588">
              <w:rPr>
                <w:bCs/>
                <w:sz w:val="20"/>
                <w:szCs w:val="20"/>
              </w:rPr>
              <w:t>(5)Cerința de la alin.(4) nu se aplică entităților de rezoluție a căror strategie de rezoluție preferată prevede aplicarea instrumentului de recapitalizare internă în sensul art.152 lit.a), în mod independent sau în combinație cu alte instrumente de rezoluție.</w:t>
            </w:r>
          </w:p>
          <w:p w14:paraId="075694A5" w14:textId="77777777" w:rsidR="00F4284C" w:rsidRPr="00154588" w:rsidRDefault="00F4284C" w:rsidP="008C12B4">
            <w:pPr>
              <w:ind w:hanging="33"/>
              <w:jc w:val="both"/>
              <w:rPr>
                <w:bCs/>
                <w:sz w:val="20"/>
                <w:szCs w:val="20"/>
              </w:rPr>
            </w:pPr>
            <w:r w:rsidRPr="00154588">
              <w:rPr>
                <w:bCs/>
                <w:sz w:val="20"/>
                <w:szCs w:val="20"/>
              </w:rPr>
              <w:t xml:space="preserve"> </w:t>
            </w:r>
          </w:p>
          <w:p w14:paraId="044ADB40" w14:textId="2DEC812B" w:rsidR="00F4284C" w:rsidRPr="00154588" w:rsidRDefault="00F4284C" w:rsidP="008C12B4">
            <w:pPr>
              <w:pStyle w:val="a7"/>
              <w:tabs>
                <w:tab w:val="left" w:pos="317"/>
              </w:tabs>
              <w:ind w:left="0"/>
              <w:jc w:val="both"/>
              <w:rPr>
                <w:rFonts w:cs="Times New Roman"/>
                <w:b/>
                <w:sz w:val="20"/>
                <w:szCs w:val="20"/>
                <w:lang w:val="ro-RO"/>
              </w:rPr>
            </w:pPr>
          </w:p>
        </w:tc>
        <w:tc>
          <w:tcPr>
            <w:tcW w:w="2552" w:type="dxa"/>
          </w:tcPr>
          <w:p w14:paraId="46C9D7C7" w14:textId="0E5E62A8"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4867C99B" w14:textId="77777777" w:rsidR="00F4284C" w:rsidRPr="00154588" w:rsidRDefault="00F4284C" w:rsidP="008C12B4">
            <w:pPr>
              <w:jc w:val="both"/>
              <w:rPr>
                <w:bCs/>
                <w:sz w:val="20"/>
                <w:szCs w:val="20"/>
              </w:rPr>
            </w:pPr>
          </w:p>
        </w:tc>
      </w:tr>
      <w:tr w:rsidR="00F4284C" w:rsidRPr="00154588" w14:paraId="26A517F8" w14:textId="77777777" w:rsidTr="00D15C1B">
        <w:trPr>
          <w:jc w:val="center"/>
        </w:trPr>
        <w:tc>
          <w:tcPr>
            <w:tcW w:w="4957" w:type="dxa"/>
            <w:gridSpan w:val="2"/>
          </w:tcPr>
          <w:p w14:paraId="06F07891" w14:textId="77777777" w:rsidR="00F4284C" w:rsidRPr="00154588" w:rsidRDefault="00F4284C" w:rsidP="008C12B4">
            <w:pPr>
              <w:jc w:val="both"/>
              <w:rPr>
                <w:bCs/>
                <w:sz w:val="20"/>
                <w:szCs w:val="20"/>
              </w:rPr>
            </w:pPr>
            <w:r w:rsidRPr="00154588">
              <w:rPr>
                <w:bCs/>
                <w:sz w:val="20"/>
                <w:szCs w:val="20"/>
              </w:rPr>
              <w:t>(7)   În cazul entităților care nu sunt ele însele entități de rezoluție, cuantumul menționat la alineatul (2) primul paragraf este:</w:t>
            </w:r>
          </w:p>
          <w:p w14:paraId="48CABC19" w14:textId="77777777" w:rsidR="00F4284C" w:rsidRPr="00154588" w:rsidRDefault="00F4284C" w:rsidP="008C12B4">
            <w:pPr>
              <w:jc w:val="both"/>
              <w:rPr>
                <w:bCs/>
                <w:sz w:val="20"/>
                <w:szCs w:val="20"/>
              </w:rPr>
            </w:pPr>
          </w:p>
          <w:p w14:paraId="1651B7B7" w14:textId="3982BFB8" w:rsidR="00F4284C" w:rsidRPr="00154588" w:rsidRDefault="00F4284C" w:rsidP="008C12B4">
            <w:pPr>
              <w:jc w:val="both"/>
              <w:rPr>
                <w:bCs/>
                <w:sz w:val="20"/>
                <w:szCs w:val="20"/>
              </w:rPr>
            </w:pPr>
            <w:r w:rsidRPr="00154588">
              <w:rPr>
                <w:bCs/>
                <w:sz w:val="20"/>
                <w:szCs w:val="20"/>
              </w:rPr>
              <w:t>(a) în scopul calculării cerinței menționate la articolul 45 alineatul (1), în conformitate cu articolul 45 alineatul (2) litera (a), suma dintre:</w:t>
            </w:r>
          </w:p>
          <w:p w14:paraId="58019662" w14:textId="77777777" w:rsidR="00F4284C" w:rsidRPr="00154588" w:rsidRDefault="00F4284C" w:rsidP="008C12B4">
            <w:pPr>
              <w:jc w:val="both"/>
              <w:rPr>
                <w:bCs/>
                <w:sz w:val="20"/>
                <w:szCs w:val="20"/>
              </w:rPr>
            </w:pPr>
          </w:p>
          <w:p w14:paraId="3D81DCE8" w14:textId="160877F8" w:rsidR="00F4284C" w:rsidRPr="00154588" w:rsidRDefault="00F4284C" w:rsidP="008C12B4">
            <w:pPr>
              <w:jc w:val="both"/>
              <w:rPr>
                <w:bCs/>
                <w:sz w:val="20"/>
                <w:szCs w:val="20"/>
              </w:rPr>
            </w:pPr>
            <w:r w:rsidRPr="00154588">
              <w:rPr>
                <w:bCs/>
                <w:sz w:val="20"/>
                <w:szCs w:val="20"/>
              </w:rPr>
              <w:t>(i) cuantumul pierderilor care urmează să fie absorbite, care corespunde cerințelor menționate la articolul 92 alineatul (1) litera (c) din Regulamentul (UE) nr. 575/2013 și la articolul 104a din Directiva 2013/36/UE în cazul entității; și</w:t>
            </w:r>
          </w:p>
          <w:p w14:paraId="3A048E04" w14:textId="77777777" w:rsidR="00F4284C" w:rsidRPr="00154588" w:rsidRDefault="00F4284C" w:rsidP="008C12B4">
            <w:pPr>
              <w:jc w:val="both"/>
              <w:rPr>
                <w:bCs/>
                <w:sz w:val="20"/>
                <w:szCs w:val="20"/>
              </w:rPr>
            </w:pPr>
          </w:p>
          <w:p w14:paraId="4BCC6487" w14:textId="6A3889B9" w:rsidR="00F4284C" w:rsidRPr="00154588" w:rsidRDefault="00F4284C" w:rsidP="008C12B4">
            <w:pPr>
              <w:jc w:val="both"/>
              <w:rPr>
                <w:bCs/>
                <w:sz w:val="20"/>
                <w:szCs w:val="20"/>
              </w:rPr>
            </w:pPr>
            <w:r w:rsidRPr="00154588">
              <w:rPr>
                <w:bCs/>
                <w:sz w:val="20"/>
                <w:szCs w:val="20"/>
              </w:rPr>
              <w:t>(ii) cuantumul recapitalizării care îi permite entității să își restabilească conformitatea cu cerința privind rata fondurilor proprii totale menționată la articolul 92 alineatul (1) litera (c) din Regulamentul (UE) nr. 575/2013 și cu cerința menționată la articolul 104a din Directiva 2013/36/UE, după exercitarea competenței de reducere a valorii sau de conversie a instrumentelor de capital relevante și a datoriilor eligibile în conformitate cu articolul 59 din prezenta directivă sau după rezoluția grupului de rezoluție; și</w:t>
            </w:r>
          </w:p>
          <w:p w14:paraId="7B3970BF" w14:textId="77777777" w:rsidR="00F4284C" w:rsidRPr="00154588" w:rsidRDefault="00F4284C" w:rsidP="008C12B4">
            <w:pPr>
              <w:jc w:val="both"/>
              <w:rPr>
                <w:bCs/>
                <w:sz w:val="20"/>
                <w:szCs w:val="20"/>
              </w:rPr>
            </w:pPr>
          </w:p>
          <w:p w14:paraId="5DD62EEA" w14:textId="53EDF0B7" w:rsidR="00F4284C" w:rsidRPr="00154588" w:rsidRDefault="00F4284C" w:rsidP="008C12B4">
            <w:pPr>
              <w:jc w:val="both"/>
              <w:rPr>
                <w:bCs/>
                <w:sz w:val="20"/>
                <w:szCs w:val="20"/>
              </w:rPr>
            </w:pPr>
            <w:r w:rsidRPr="00154588">
              <w:rPr>
                <w:bCs/>
                <w:sz w:val="20"/>
                <w:szCs w:val="20"/>
              </w:rPr>
              <w:t>(b) în scopul calculării cerinței menționate la articolul 45 alineatul (1), în conformitate cu articolul 45 alineatul (2) litera (b), suma dintre:</w:t>
            </w:r>
          </w:p>
          <w:p w14:paraId="7CD29D2C" w14:textId="77777777" w:rsidR="00F4284C" w:rsidRPr="00154588" w:rsidRDefault="00F4284C" w:rsidP="008C12B4">
            <w:pPr>
              <w:jc w:val="both"/>
              <w:rPr>
                <w:bCs/>
                <w:sz w:val="20"/>
                <w:szCs w:val="20"/>
              </w:rPr>
            </w:pPr>
          </w:p>
          <w:p w14:paraId="7B61C7AF" w14:textId="07549BE9" w:rsidR="00F4284C" w:rsidRPr="00154588" w:rsidRDefault="00F4284C" w:rsidP="008C12B4">
            <w:pPr>
              <w:jc w:val="both"/>
              <w:rPr>
                <w:bCs/>
                <w:sz w:val="20"/>
                <w:szCs w:val="20"/>
              </w:rPr>
            </w:pPr>
            <w:r w:rsidRPr="00154588">
              <w:rPr>
                <w:bCs/>
                <w:sz w:val="20"/>
                <w:szCs w:val="20"/>
              </w:rPr>
              <w:t>(i) cuantumul pierderilor care urmează să fie absorbite, care corespunde cerinței privind indicatorul efectului de levier menționate la articolul 92 alineatul (1) litera (d) din Regulamentul (UE) nr. 575/2013, aplicabilă entității; și</w:t>
            </w:r>
          </w:p>
          <w:p w14:paraId="71366DC5" w14:textId="77777777" w:rsidR="00F4284C" w:rsidRPr="00154588" w:rsidRDefault="00F4284C" w:rsidP="008C12B4">
            <w:pPr>
              <w:jc w:val="both"/>
              <w:rPr>
                <w:bCs/>
                <w:sz w:val="20"/>
                <w:szCs w:val="20"/>
              </w:rPr>
            </w:pPr>
          </w:p>
          <w:p w14:paraId="2EB1BBC3" w14:textId="718B47F6" w:rsidR="00F4284C" w:rsidRPr="00154588" w:rsidRDefault="00F4284C" w:rsidP="008C12B4">
            <w:pPr>
              <w:jc w:val="both"/>
              <w:rPr>
                <w:bCs/>
                <w:sz w:val="20"/>
                <w:szCs w:val="20"/>
              </w:rPr>
            </w:pPr>
            <w:r w:rsidRPr="00154588">
              <w:rPr>
                <w:bCs/>
                <w:sz w:val="20"/>
                <w:szCs w:val="20"/>
              </w:rPr>
              <w:lastRenderedPageBreak/>
              <w:t>(ii) cuantumul recapitalizării care permite entității să își restabilească conformitatea cu cerința privind indicatorul efectului de levier menționată la articolul 92 alineatul (1) litera (d) din Regulamentul (UE) nr. 575/2013, după exercitarea competenței de reducere a valorii sau de conversie a instrumentelor de capital relevante și a datoriilor eligibile relevante în conformitate cu articolul 59 din prezenta directivă sau după rezoluția grupului de rezoluție.</w:t>
            </w:r>
          </w:p>
          <w:p w14:paraId="737CFD1B" w14:textId="77777777" w:rsidR="00F4284C" w:rsidRPr="00154588" w:rsidRDefault="00F4284C" w:rsidP="008C12B4">
            <w:pPr>
              <w:jc w:val="both"/>
              <w:rPr>
                <w:bCs/>
                <w:sz w:val="20"/>
                <w:szCs w:val="20"/>
              </w:rPr>
            </w:pPr>
          </w:p>
          <w:p w14:paraId="1D06E9C6" w14:textId="77777777" w:rsidR="00F4284C" w:rsidRPr="00154588" w:rsidRDefault="00F4284C" w:rsidP="008C12B4">
            <w:pPr>
              <w:jc w:val="both"/>
              <w:rPr>
                <w:bCs/>
                <w:sz w:val="20"/>
                <w:szCs w:val="20"/>
              </w:rPr>
            </w:pPr>
            <w:r w:rsidRPr="00154588">
              <w:rPr>
                <w:bCs/>
                <w:sz w:val="20"/>
                <w:szCs w:val="20"/>
              </w:rPr>
              <w:t>În sensul articolului 45 alineatul (2) litera (a), cerința menționată la articolul 45 alineatul (1) se exprimă în termeni procentuali drept cuantumul calculat în conformitate cu prezentul alineat primul paragraf litera (a), împărțit la cuantumul total al expunerii la risc.</w:t>
            </w:r>
          </w:p>
          <w:p w14:paraId="2D43193D" w14:textId="77777777" w:rsidR="00F4284C" w:rsidRPr="00154588" w:rsidRDefault="00F4284C" w:rsidP="008C12B4">
            <w:pPr>
              <w:jc w:val="both"/>
              <w:rPr>
                <w:bCs/>
                <w:sz w:val="20"/>
                <w:szCs w:val="20"/>
              </w:rPr>
            </w:pPr>
          </w:p>
          <w:p w14:paraId="1FB2D7A4" w14:textId="77777777" w:rsidR="00F4284C" w:rsidRPr="00154588" w:rsidRDefault="00F4284C" w:rsidP="008C12B4">
            <w:pPr>
              <w:jc w:val="both"/>
              <w:rPr>
                <w:bCs/>
                <w:sz w:val="20"/>
                <w:szCs w:val="20"/>
              </w:rPr>
            </w:pPr>
          </w:p>
          <w:p w14:paraId="022BF781" w14:textId="77777777" w:rsidR="00F4284C" w:rsidRPr="00154588" w:rsidRDefault="00F4284C" w:rsidP="008C12B4">
            <w:pPr>
              <w:jc w:val="both"/>
              <w:rPr>
                <w:bCs/>
                <w:sz w:val="20"/>
                <w:szCs w:val="20"/>
              </w:rPr>
            </w:pPr>
            <w:r w:rsidRPr="00154588">
              <w:rPr>
                <w:bCs/>
                <w:sz w:val="20"/>
                <w:szCs w:val="20"/>
              </w:rPr>
              <w:t>În sensul articolului 45 alineatul (2) litera (b), cerința menționată la articolul 45 alineatul (1) se exprimă în termeni procentuali drept cuantumul calculat în conformitate cu prezentul alineat primul paragraf litera (b), împărțit la indicatorul de măsurare a expunerii totale.</w:t>
            </w:r>
          </w:p>
          <w:p w14:paraId="6BC2C822" w14:textId="77777777" w:rsidR="00F4284C" w:rsidRPr="00154588" w:rsidRDefault="00F4284C" w:rsidP="008C12B4">
            <w:pPr>
              <w:jc w:val="both"/>
              <w:rPr>
                <w:bCs/>
                <w:sz w:val="20"/>
                <w:szCs w:val="20"/>
              </w:rPr>
            </w:pPr>
          </w:p>
          <w:p w14:paraId="557782B0" w14:textId="77777777" w:rsidR="00F4284C" w:rsidRPr="00154588" w:rsidRDefault="00F4284C" w:rsidP="008C12B4">
            <w:pPr>
              <w:jc w:val="both"/>
              <w:rPr>
                <w:bCs/>
                <w:sz w:val="20"/>
                <w:szCs w:val="20"/>
              </w:rPr>
            </w:pPr>
          </w:p>
          <w:p w14:paraId="2A84AA01" w14:textId="77777777" w:rsidR="00F4284C" w:rsidRPr="00154588" w:rsidRDefault="00F4284C" w:rsidP="008C12B4">
            <w:pPr>
              <w:jc w:val="both"/>
              <w:rPr>
                <w:bCs/>
                <w:sz w:val="20"/>
                <w:szCs w:val="20"/>
              </w:rPr>
            </w:pPr>
            <w:r w:rsidRPr="00154588">
              <w:rPr>
                <w:bCs/>
                <w:sz w:val="20"/>
                <w:szCs w:val="20"/>
              </w:rPr>
              <w:t>Atunci când stabilește cerința individuală prevăzută la primul paragraf litera (b) de la prezentul alineat, autoritatea de rezoluție ia în considerare cerințele menționate la articolul 37 alineatul (10) și la articolul 44 alineatele (5) și (8).</w:t>
            </w:r>
          </w:p>
          <w:p w14:paraId="3E7AB743" w14:textId="77777777" w:rsidR="00F4284C" w:rsidRPr="00154588" w:rsidRDefault="00F4284C" w:rsidP="008C12B4">
            <w:pPr>
              <w:jc w:val="both"/>
              <w:rPr>
                <w:bCs/>
                <w:sz w:val="20"/>
                <w:szCs w:val="20"/>
              </w:rPr>
            </w:pPr>
          </w:p>
          <w:p w14:paraId="04D56973" w14:textId="77777777" w:rsidR="00F4284C" w:rsidRPr="00154588" w:rsidRDefault="00F4284C" w:rsidP="008C12B4">
            <w:pPr>
              <w:jc w:val="both"/>
              <w:rPr>
                <w:bCs/>
                <w:sz w:val="20"/>
                <w:szCs w:val="20"/>
              </w:rPr>
            </w:pPr>
            <w:r w:rsidRPr="00154588">
              <w:rPr>
                <w:bCs/>
                <w:sz w:val="20"/>
                <w:szCs w:val="20"/>
              </w:rPr>
              <w:t>Atunci când stabilește cuantumurile recapitalizării menționate la paragrafele anterioare, autoritatea de rezoluție:</w:t>
            </w:r>
          </w:p>
          <w:p w14:paraId="0A3B07AB" w14:textId="77777777" w:rsidR="00F4284C" w:rsidRPr="00154588" w:rsidRDefault="00F4284C" w:rsidP="008C12B4">
            <w:pPr>
              <w:jc w:val="both"/>
              <w:rPr>
                <w:bCs/>
                <w:sz w:val="20"/>
                <w:szCs w:val="20"/>
              </w:rPr>
            </w:pPr>
          </w:p>
          <w:p w14:paraId="7F74F346" w14:textId="585C8C9D" w:rsidR="00F4284C" w:rsidRPr="00154588" w:rsidRDefault="00F4284C" w:rsidP="008C12B4">
            <w:pPr>
              <w:jc w:val="both"/>
              <w:rPr>
                <w:bCs/>
                <w:sz w:val="20"/>
                <w:szCs w:val="20"/>
              </w:rPr>
            </w:pPr>
            <w:r w:rsidRPr="00154588">
              <w:rPr>
                <w:bCs/>
                <w:sz w:val="20"/>
                <w:szCs w:val="20"/>
              </w:rPr>
              <w:t>(a) utilizează cele mai recente valori raportate pentru cuantumul total relevant al expunerii la risc sau indicatorul de măsurare a expunerii totale, ajustate pentru orice modificare rezultată în urma măsurilor stabilite în planul de rezoluție; și</w:t>
            </w:r>
          </w:p>
          <w:p w14:paraId="44A5C6CE" w14:textId="77777777" w:rsidR="00F4284C" w:rsidRPr="00154588" w:rsidRDefault="00F4284C" w:rsidP="008C12B4">
            <w:pPr>
              <w:jc w:val="both"/>
              <w:rPr>
                <w:bCs/>
                <w:sz w:val="20"/>
                <w:szCs w:val="20"/>
              </w:rPr>
            </w:pPr>
          </w:p>
          <w:p w14:paraId="7AFF88E5" w14:textId="7691F478" w:rsidR="00F4284C" w:rsidRPr="00154588" w:rsidRDefault="00F4284C" w:rsidP="008C12B4">
            <w:pPr>
              <w:jc w:val="both"/>
              <w:rPr>
                <w:bCs/>
                <w:sz w:val="20"/>
                <w:szCs w:val="20"/>
              </w:rPr>
            </w:pPr>
            <w:r w:rsidRPr="00154588">
              <w:rPr>
                <w:bCs/>
                <w:sz w:val="20"/>
                <w:szCs w:val="20"/>
              </w:rPr>
              <w:t xml:space="preserve">(b) după consultarea autorității competente, ajustează cuantumul corespunzător cerinței actuale menționate la articolul 104a din Directiva 2013/36/UE în sensul scăderii sau creșterii pentru a stabili cerința care </w:t>
            </w:r>
            <w:r w:rsidRPr="00154588">
              <w:rPr>
                <w:bCs/>
                <w:sz w:val="20"/>
                <w:szCs w:val="20"/>
              </w:rPr>
              <w:lastRenderedPageBreak/>
              <w:t>urmează să se aplice entității relevante după exercitarea competenței de reducere a valorii sau de conversie a instrumentelor de capital relevante și a datoriilor eligibile în conformitate cu articolul 59 din prezenta directivă sau după rezoluția grupului de rezoluție.</w:t>
            </w:r>
          </w:p>
          <w:p w14:paraId="3833B8A5" w14:textId="77777777" w:rsidR="00F4284C" w:rsidRPr="00154588" w:rsidRDefault="00F4284C" w:rsidP="008C12B4">
            <w:pPr>
              <w:jc w:val="both"/>
              <w:rPr>
                <w:bCs/>
                <w:sz w:val="20"/>
                <w:szCs w:val="20"/>
              </w:rPr>
            </w:pPr>
          </w:p>
          <w:p w14:paraId="333F6ABC" w14:textId="77777777" w:rsidR="00F4284C" w:rsidRPr="00154588" w:rsidRDefault="00F4284C" w:rsidP="008C12B4">
            <w:pPr>
              <w:jc w:val="both"/>
              <w:rPr>
                <w:bCs/>
                <w:sz w:val="20"/>
                <w:szCs w:val="20"/>
              </w:rPr>
            </w:pPr>
            <w:r w:rsidRPr="00154588">
              <w:rPr>
                <w:bCs/>
                <w:sz w:val="20"/>
                <w:szCs w:val="20"/>
              </w:rPr>
              <w:t>Autoritatea de rezoluție are posibilitatea să majoreze cerința menționată la primul paragraf litera (a) punctul (ii) de la prezentul alineat cu un cuantum corespunzător necesar pentru a se asigura că, în urma exercitării competenței de reducere a valorii sau de conversie a instrumentelor de capital relevante și a datoriilor eligibile în conformitate cu articolul 59, entitatea este în măsură să mențină un nivel suficient de încredere a pieței pentru o perioadă adecvată care nu depășește un an.</w:t>
            </w:r>
          </w:p>
          <w:p w14:paraId="22EE6B24" w14:textId="77777777" w:rsidR="00F4284C" w:rsidRPr="00154588" w:rsidRDefault="00F4284C" w:rsidP="008C12B4">
            <w:pPr>
              <w:jc w:val="both"/>
              <w:rPr>
                <w:bCs/>
                <w:sz w:val="20"/>
                <w:szCs w:val="20"/>
              </w:rPr>
            </w:pPr>
          </w:p>
          <w:p w14:paraId="39CF456A" w14:textId="77777777" w:rsidR="00F4284C" w:rsidRPr="00154588" w:rsidRDefault="00F4284C" w:rsidP="008C12B4">
            <w:pPr>
              <w:jc w:val="both"/>
              <w:rPr>
                <w:bCs/>
                <w:sz w:val="20"/>
                <w:szCs w:val="20"/>
              </w:rPr>
            </w:pPr>
          </w:p>
          <w:p w14:paraId="1B043952" w14:textId="77777777" w:rsidR="00F4284C" w:rsidRPr="00154588" w:rsidRDefault="00F4284C" w:rsidP="008C12B4">
            <w:pPr>
              <w:jc w:val="both"/>
              <w:rPr>
                <w:bCs/>
                <w:sz w:val="20"/>
                <w:szCs w:val="20"/>
              </w:rPr>
            </w:pPr>
          </w:p>
          <w:p w14:paraId="052CE039" w14:textId="77777777" w:rsidR="00F4284C" w:rsidRPr="00154588" w:rsidRDefault="00F4284C" w:rsidP="008C12B4">
            <w:pPr>
              <w:jc w:val="both"/>
              <w:rPr>
                <w:bCs/>
                <w:sz w:val="20"/>
                <w:szCs w:val="20"/>
              </w:rPr>
            </w:pPr>
          </w:p>
          <w:p w14:paraId="2F910A70" w14:textId="0C17B950" w:rsidR="00F4284C" w:rsidRPr="00154588" w:rsidRDefault="00F4284C" w:rsidP="008C12B4">
            <w:pPr>
              <w:jc w:val="both"/>
              <w:rPr>
                <w:bCs/>
                <w:sz w:val="20"/>
                <w:szCs w:val="20"/>
              </w:rPr>
            </w:pPr>
            <w:r w:rsidRPr="00154588">
              <w:rPr>
                <w:bCs/>
                <w:sz w:val="20"/>
                <w:szCs w:val="20"/>
              </w:rPr>
              <w:t>În cazul în care se aplică al șaselea paragraf de la prezentul alineat, cuantumul menționat la respectivul paragraf este egal cu cerința amortizorului combinat care urmează să se aplice după exercitarea competenței menționate la articolul 59 din prezenta directivă sau după rezoluția grupului de rezoluție, din care se scade cuantumul menționat la articolul 128 punctul 6 litera (a) din Directiva 2013/36/UE.</w:t>
            </w:r>
          </w:p>
          <w:p w14:paraId="6A4A33AA" w14:textId="77777777" w:rsidR="00F4284C" w:rsidRPr="00154588" w:rsidRDefault="00F4284C" w:rsidP="008C12B4">
            <w:pPr>
              <w:jc w:val="both"/>
              <w:rPr>
                <w:bCs/>
                <w:sz w:val="20"/>
                <w:szCs w:val="20"/>
              </w:rPr>
            </w:pPr>
          </w:p>
          <w:p w14:paraId="2A35257F" w14:textId="77777777" w:rsidR="00F4284C" w:rsidRPr="00154588" w:rsidRDefault="00F4284C" w:rsidP="008C12B4">
            <w:pPr>
              <w:jc w:val="both"/>
              <w:rPr>
                <w:bCs/>
                <w:sz w:val="20"/>
                <w:szCs w:val="20"/>
              </w:rPr>
            </w:pPr>
          </w:p>
          <w:p w14:paraId="2BC7F78A" w14:textId="77777777" w:rsidR="00F4284C" w:rsidRPr="00154588" w:rsidRDefault="00F4284C" w:rsidP="008C12B4">
            <w:pPr>
              <w:jc w:val="both"/>
              <w:rPr>
                <w:bCs/>
                <w:sz w:val="20"/>
                <w:szCs w:val="20"/>
              </w:rPr>
            </w:pPr>
          </w:p>
          <w:p w14:paraId="360BF293" w14:textId="77777777" w:rsidR="00F4284C" w:rsidRPr="00154588" w:rsidRDefault="00F4284C" w:rsidP="008C12B4">
            <w:pPr>
              <w:jc w:val="both"/>
              <w:rPr>
                <w:bCs/>
                <w:sz w:val="20"/>
                <w:szCs w:val="20"/>
              </w:rPr>
            </w:pPr>
          </w:p>
          <w:p w14:paraId="746C2D19" w14:textId="77777777" w:rsidR="00F4284C" w:rsidRPr="00154588" w:rsidRDefault="00F4284C" w:rsidP="008C12B4">
            <w:pPr>
              <w:jc w:val="both"/>
              <w:rPr>
                <w:bCs/>
                <w:sz w:val="20"/>
                <w:szCs w:val="20"/>
              </w:rPr>
            </w:pPr>
          </w:p>
          <w:p w14:paraId="42CF34FC" w14:textId="77777777" w:rsidR="00F4284C" w:rsidRPr="00154588" w:rsidRDefault="00F4284C" w:rsidP="008C12B4">
            <w:pPr>
              <w:jc w:val="both"/>
              <w:rPr>
                <w:bCs/>
                <w:sz w:val="20"/>
                <w:szCs w:val="20"/>
              </w:rPr>
            </w:pPr>
          </w:p>
          <w:p w14:paraId="36DE6DA6" w14:textId="1963AF42" w:rsidR="00F4284C" w:rsidRPr="00154588" w:rsidRDefault="00F4284C" w:rsidP="008C12B4">
            <w:pPr>
              <w:jc w:val="both"/>
              <w:rPr>
                <w:bCs/>
                <w:sz w:val="20"/>
                <w:szCs w:val="20"/>
              </w:rPr>
            </w:pPr>
            <w:r w:rsidRPr="00154588">
              <w:rPr>
                <w:bCs/>
                <w:sz w:val="20"/>
                <w:szCs w:val="20"/>
              </w:rPr>
              <w:t xml:space="preserve">Cuantumul menționat la al șaselea paragraf de la prezentul alineat este ajustat în sensul scăderii în cazul în care, după consultarea autorității competente, autoritatea de rezoluție stabilește că ar fi fezabil și credibil pentru un cuantum mai scăzut care să fie suficient pentru a asigura încrederea pieței și a garanta atât continuarea prestării funcțiilor economice critice de către instituție sau de către entitatea menționată la articolul 1 alineatul (1) literele (b), (c) și (d), cât și accesul la finanțare fără a recurge la un </w:t>
            </w:r>
            <w:r w:rsidRPr="00154588">
              <w:rPr>
                <w:bCs/>
                <w:sz w:val="20"/>
                <w:szCs w:val="20"/>
              </w:rPr>
              <w:lastRenderedPageBreak/>
              <w:t>sprijin financiar public extraordinar, în afara contribuțiilor din partea mecanismelor de finanțare a rezoluției, în conformitate cu articolul 44 alineatele (5) și (8) și cu articolul 101 alineatul (2), după exercitarea competenței menționate la articolul 59 sau după rezoluția grupului de rezoluție. Respectivul cuantum este ajustat în sensul creșterii în cazul în care, după consultarea autorității competente, autoritatea de rezoluție stabilește că este necesar un cuantum mai ridicat pentru a menține un grad suficient de încredere a pieței și pentru a asigura atât continuarea prestării funcțiilor critice de către instituție sau de către entitatea menționată la articolul 1 alineatul (1) literele (b), (c) și (d), cât și accesul acesteia la finanțare fără a recurge la un sprijin financiar public extraordinar, în afara contribuțiilor din partea mecanismelor de finanțare a rezoluției, în conformitate cu articolul 44 alineatele (5) și (8) și cu articolul 101 alineatul (2), pentru o perioadă adecvată care nu depășește un an.</w:t>
            </w:r>
          </w:p>
        </w:tc>
        <w:tc>
          <w:tcPr>
            <w:tcW w:w="4819" w:type="dxa"/>
          </w:tcPr>
          <w:p w14:paraId="6A975670" w14:textId="77777777" w:rsidR="00F4284C" w:rsidRPr="00154588" w:rsidRDefault="00F4284C" w:rsidP="008C12B4">
            <w:pPr>
              <w:jc w:val="both"/>
              <w:rPr>
                <w:bCs/>
                <w:sz w:val="20"/>
                <w:szCs w:val="20"/>
              </w:rPr>
            </w:pPr>
            <w:r w:rsidRPr="00154588">
              <w:rPr>
                <w:b/>
                <w:bCs/>
                <w:sz w:val="20"/>
                <w:szCs w:val="20"/>
              </w:rPr>
              <w:lastRenderedPageBreak/>
              <w:t>Articolul 167</w:t>
            </w:r>
            <w:r w:rsidRPr="00154588">
              <w:rPr>
                <w:b/>
                <w:bCs/>
                <w:sz w:val="20"/>
                <w:szCs w:val="20"/>
                <w:vertAlign w:val="superscript"/>
              </w:rPr>
              <w:t>9</w:t>
            </w:r>
            <w:r w:rsidRPr="00154588">
              <w:rPr>
                <w:b/>
                <w:bCs/>
                <w:sz w:val="20"/>
                <w:szCs w:val="20"/>
              </w:rPr>
              <w:t xml:space="preserve">. </w:t>
            </w:r>
            <w:r w:rsidRPr="00154588">
              <w:rPr>
                <w:bCs/>
                <w:sz w:val="20"/>
                <w:szCs w:val="20"/>
              </w:rPr>
              <w:t>– (1) În cazul entităților, care nu sunt ele însele entități de rezoluție, valoarea prevăzută la art.167</w:t>
            </w:r>
            <w:r w:rsidRPr="00154588">
              <w:rPr>
                <w:bCs/>
                <w:sz w:val="20"/>
                <w:szCs w:val="20"/>
                <w:vertAlign w:val="superscript"/>
              </w:rPr>
              <w:t>5</w:t>
            </w:r>
            <w:r w:rsidRPr="00154588">
              <w:rPr>
                <w:bCs/>
                <w:sz w:val="20"/>
                <w:szCs w:val="20"/>
              </w:rPr>
              <w:t xml:space="preserve"> alin.(1) reprezintă:</w:t>
            </w:r>
          </w:p>
          <w:p w14:paraId="37626377" w14:textId="3440188D" w:rsidR="00F4284C" w:rsidRPr="00154588" w:rsidRDefault="00F4284C" w:rsidP="008C12B4">
            <w:pPr>
              <w:jc w:val="both"/>
              <w:rPr>
                <w:bCs/>
                <w:sz w:val="20"/>
                <w:szCs w:val="20"/>
              </w:rPr>
            </w:pPr>
            <w:r w:rsidRPr="00154588">
              <w:rPr>
                <w:bCs/>
                <w:sz w:val="20"/>
                <w:szCs w:val="20"/>
              </w:rPr>
              <w:t xml:space="preserve">a) în scopul calculării cerinței prevăzute la art.164 alin.(1) lit. a), , suma dintre: </w:t>
            </w:r>
          </w:p>
          <w:p w14:paraId="4ADC040B" w14:textId="239DEC5A" w:rsidR="00F4284C" w:rsidRPr="00154588" w:rsidRDefault="00F4284C" w:rsidP="008C12B4">
            <w:pPr>
              <w:jc w:val="both"/>
              <w:rPr>
                <w:bCs/>
                <w:sz w:val="20"/>
                <w:szCs w:val="20"/>
              </w:rPr>
            </w:pPr>
            <w:r w:rsidRPr="00154588">
              <w:rPr>
                <w:bCs/>
                <w:sz w:val="20"/>
                <w:szCs w:val="20"/>
              </w:rPr>
              <w:t xml:space="preserve">(i) valoarea pierderilor care urmează să fie absorbite, care corespunde cerinței privind </w:t>
            </w:r>
            <w:r w:rsidRPr="00154588">
              <w:rPr>
                <w:sz w:val="20"/>
                <w:szCs w:val="20"/>
                <w:lang w:eastAsia="ro-MD"/>
              </w:rPr>
              <w:t xml:space="preserve">rată a fondurilor proprii totale </w:t>
            </w:r>
            <w:r w:rsidRPr="00154588">
              <w:rPr>
                <w:bCs/>
                <w:sz w:val="20"/>
                <w:szCs w:val="20"/>
              </w:rPr>
              <w:t>prevăzute în reglementările Băncii Naționale a Moldovei emise în aplicarea art.60, 61 și 62 din Legea nr.202/2017, și cerinței prevăzute la art.139</w:t>
            </w:r>
            <w:r w:rsidRPr="00154588">
              <w:rPr>
                <w:bCs/>
                <w:sz w:val="20"/>
                <w:szCs w:val="20"/>
                <w:vertAlign w:val="superscript"/>
              </w:rPr>
              <w:t>1</w:t>
            </w:r>
            <w:r w:rsidRPr="00154588">
              <w:rPr>
                <w:bCs/>
                <w:sz w:val="20"/>
                <w:szCs w:val="20"/>
              </w:rPr>
              <w:t xml:space="preserve"> din Legea nr.202/2017; și</w:t>
            </w:r>
          </w:p>
          <w:p w14:paraId="7593EF69" w14:textId="7B248C4E" w:rsidR="00F4284C" w:rsidRPr="00154588" w:rsidRDefault="00F4284C" w:rsidP="008C12B4">
            <w:pPr>
              <w:jc w:val="both"/>
              <w:rPr>
                <w:bCs/>
                <w:sz w:val="20"/>
                <w:szCs w:val="20"/>
              </w:rPr>
            </w:pPr>
            <w:r w:rsidRPr="00154588">
              <w:rPr>
                <w:bCs/>
                <w:sz w:val="20"/>
                <w:szCs w:val="20"/>
              </w:rPr>
              <w:t>(ii) valoarea necesară recapitalizării, care îi permite entității să se conformeze cu cerința privind rata fondurilor proprii totale prevăzută în reglementările  Băncii Naționale a Moldovei emise în aplicarea art.60, 61 și 62 din Legea nr.202/2017, și cu cerința prevăzută la art.139</w:t>
            </w:r>
            <w:r w:rsidRPr="00154588">
              <w:rPr>
                <w:bCs/>
                <w:sz w:val="20"/>
                <w:szCs w:val="20"/>
                <w:vertAlign w:val="superscript"/>
              </w:rPr>
              <w:t>1</w:t>
            </w:r>
            <w:r w:rsidRPr="00154588">
              <w:rPr>
                <w:bCs/>
                <w:sz w:val="20"/>
                <w:szCs w:val="20"/>
              </w:rPr>
              <w:t xml:space="preserve"> din Legea nr.202/2017, după exercitarea competenței de reducere a valorii sau de conversie a instrumentelor de capital relevante și a datoriilor eligibile, în conformitate cu </w:t>
            </w:r>
            <w:bookmarkStart w:id="97" w:name="_Hlk234597836"/>
            <w:r w:rsidRPr="00154588">
              <w:rPr>
                <w:bCs/>
                <w:sz w:val="20"/>
                <w:szCs w:val="20"/>
              </w:rPr>
              <w:t xml:space="preserve">art.219-225 din prezenta lege </w:t>
            </w:r>
            <w:bookmarkEnd w:id="97"/>
            <w:r w:rsidRPr="00154588">
              <w:rPr>
                <w:bCs/>
                <w:sz w:val="20"/>
                <w:szCs w:val="20"/>
              </w:rPr>
              <w:t>sau după rezoluția grupului de rezoluție; și</w:t>
            </w:r>
          </w:p>
          <w:p w14:paraId="4754920B" w14:textId="63392DB2" w:rsidR="00F4284C" w:rsidRPr="00154588" w:rsidRDefault="00F4284C" w:rsidP="008C12B4">
            <w:pPr>
              <w:jc w:val="both"/>
              <w:rPr>
                <w:bCs/>
                <w:sz w:val="20"/>
                <w:szCs w:val="20"/>
              </w:rPr>
            </w:pPr>
            <w:r w:rsidRPr="00154588">
              <w:rPr>
                <w:bCs/>
                <w:sz w:val="20"/>
                <w:szCs w:val="20"/>
              </w:rPr>
              <w:t>b) în scopul calculării cerinței prevăzute la art.164 alin.(1) , suma dintre:</w:t>
            </w:r>
          </w:p>
          <w:p w14:paraId="1273966D" w14:textId="239AF5C2" w:rsidR="00F4284C" w:rsidRPr="00154588" w:rsidRDefault="00F4284C" w:rsidP="008C12B4">
            <w:pPr>
              <w:jc w:val="both"/>
              <w:rPr>
                <w:bCs/>
                <w:sz w:val="20"/>
                <w:szCs w:val="20"/>
              </w:rPr>
            </w:pPr>
            <w:r w:rsidRPr="00154588">
              <w:rPr>
                <w:bCs/>
                <w:sz w:val="20"/>
                <w:szCs w:val="20"/>
              </w:rPr>
              <w:t>(i) valoarea pierderilor care urmează să fie absorbite, care corespunde cerinței privind indicatorul efectului de levier prevăzut în reglementările  Băncii Naționale a Moldovei emise în aplicarea art.60, 61 și 62 din Legea nr.202/2017, aplicabilă entității; și</w:t>
            </w:r>
          </w:p>
          <w:p w14:paraId="775E92AF" w14:textId="1DAC6D58" w:rsidR="00F4284C" w:rsidRPr="00154588" w:rsidRDefault="00F4284C" w:rsidP="008C12B4">
            <w:pPr>
              <w:jc w:val="both"/>
              <w:rPr>
                <w:bCs/>
                <w:sz w:val="20"/>
                <w:szCs w:val="20"/>
              </w:rPr>
            </w:pPr>
            <w:r w:rsidRPr="00154588">
              <w:rPr>
                <w:bCs/>
                <w:sz w:val="20"/>
                <w:szCs w:val="20"/>
              </w:rPr>
              <w:t xml:space="preserve">(ii) valoarea necesară recapitalizării, care permite entității să se conformeze cu cerința privind indicatorul efectului de levier prevăzută în reglementările  Băncii Naționale a Moldovei emise în aplicarea art.60, 61 și 62 din Legea nr.202/2017, după exercitarea competenței de reducere a valorii </w:t>
            </w:r>
            <w:r w:rsidRPr="00154588">
              <w:rPr>
                <w:bCs/>
                <w:sz w:val="20"/>
                <w:szCs w:val="20"/>
              </w:rPr>
              <w:lastRenderedPageBreak/>
              <w:t>sau de conversie a instrumentelor de capital relevante și a datoriilor eligibile relevante, în conformitate cuart.219-225 din prezenta lege, sau după rezoluția grupului de rezoluție.</w:t>
            </w:r>
          </w:p>
          <w:p w14:paraId="022E4188" w14:textId="0F4FD006" w:rsidR="00F4284C" w:rsidRPr="00154588" w:rsidRDefault="00F4284C" w:rsidP="008C12B4">
            <w:pPr>
              <w:jc w:val="both"/>
              <w:rPr>
                <w:bCs/>
                <w:sz w:val="20"/>
                <w:szCs w:val="20"/>
              </w:rPr>
            </w:pPr>
            <w:r w:rsidRPr="00154588">
              <w:rPr>
                <w:bCs/>
                <w:sz w:val="20"/>
                <w:szCs w:val="20"/>
              </w:rPr>
              <w:t xml:space="preserve">(2) În aplicarea prevederilor art.164 alin.(1) lit.a), cerința </w:t>
            </w:r>
            <w:bookmarkStart w:id="98" w:name="_Hlk234597987"/>
            <w:r w:rsidRPr="00154588">
              <w:rPr>
                <w:bCs/>
                <w:sz w:val="20"/>
                <w:szCs w:val="20"/>
              </w:rPr>
              <w:t>minimă de fonduri proprii și datorii eligibile</w:t>
            </w:r>
            <w:bookmarkEnd w:id="98"/>
            <w:r w:rsidRPr="00154588">
              <w:rPr>
                <w:bCs/>
                <w:sz w:val="20"/>
                <w:szCs w:val="20"/>
              </w:rPr>
              <w:t xml:space="preserve"> se exprimă în termeni procentuali ca raport între valoarea calculată în conformitate cu prevederile alin.(1) lit.a) și valoarea totală a expunerii la risc.</w:t>
            </w:r>
          </w:p>
          <w:p w14:paraId="4394BEEB" w14:textId="03EC3067" w:rsidR="00F4284C" w:rsidRPr="00154588" w:rsidRDefault="00F4284C" w:rsidP="008C12B4">
            <w:pPr>
              <w:jc w:val="both"/>
              <w:rPr>
                <w:bCs/>
                <w:sz w:val="20"/>
                <w:szCs w:val="20"/>
              </w:rPr>
            </w:pPr>
            <w:r w:rsidRPr="00154588">
              <w:rPr>
                <w:bCs/>
                <w:sz w:val="20"/>
                <w:szCs w:val="20"/>
              </w:rPr>
              <w:t>(3) În aplicarea prevederilor art.164 alin.(1) lit.b), cerința minimă de fonduri proprii și datorii eligibilese exprimă în termeni procentuali ca raport între valoarea calculată în conformitate cu prevederile alin.(1) lit.b) și indicatorul de măsurare a expunerii totale.</w:t>
            </w:r>
          </w:p>
          <w:p w14:paraId="6E830C91" w14:textId="77777777" w:rsidR="00F4284C" w:rsidRPr="00154588" w:rsidRDefault="00F4284C" w:rsidP="008C12B4">
            <w:pPr>
              <w:jc w:val="both"/>
              <w:rPr>
                <w:bCs/>
                <w:sz w:val="20"/>
                <w:szCs w:val="20"/>
              </w:rPr>
            </w:pPr>
          </w:p>
          <w:p w14:paraId="3C6D2646" w14:textId="17099811" w:rsidR="00F4284C" w:rsidRPr="00154588" w:rsidRDefault="00F4284C" w:rsidP="008C12B4">
            <w:pPr>
              <w:jc w:val="both"/>
              <w:rPr>
                <w:bCs/>
                <w:sz w:val="20"/>
                <w:szCs w:val="20"/>
              </w:rPr>
            </w:pPr>
            <w:r w:rsidRPr="00154588">
              <w:rPr>
                <w:bCs/>
                <w:sz w:val="20"/>
                <w:szCs w:val="20"/>
              </w:rPr>
              <w:t>(4) La determinarea cerinței individuale prevăzute la alin.(1) lit.b), Banca Națională a Moldovei, în calitate de autoritate de rezoluție, ia în considerare cerințele prevăzute la art.92, art.158 și art.161 din prezenta lege.</w:t>
            </w:r>
          </w:p>
          <w:p w14:paraId="4262214C" w14:textId="77777777" w:rsidR="00F4284C" w:rsidRPr="00154588" w:rsidRDefault="00F4284C" w:rsidP="008C12B4">
            <w:pPr>
              <w:jc w:val="both"/>
              <w:rPr>
                <w:bCs/>
                <w:sz w:val="20"/>
                <w:szCs w:val="20"/>
              </w:rPr>
            </w:pPr>
            <w:r w:rsidRPr="00154588">
              <w:rPr>
                <w:bCs/>
                <w:sz w:val="20"/>
                <w:szCs w:val="20"/>
              </w:rPr>
              <w:t>(5) La determinarea sumelor necesare recapitalizării, Banca Națională a Moldovei, în calitate de autoritate de rezoluție:</w:t>
            </w:r>
          </w:p>
          <w:p w14:paraId="49A44098" w14:textId="77777777" w:rsidR="00F4284C" w:rsidRPr="00154588" w:rsidRDefault="00F4284C" w:rsidP="008C12B4">
            <w:pPr>
              <w:jc w:val="both"/>
              <w:rPr>
                <w:bCs/>
                <w:sz w:val="20"/>
                <w:szCs w:val="20"/>
              </w:rPr>
            </w:pPr>
            <w:r w:rsidRPr="00154588">
              <w:rPr>
                <w:bCs/>
                <w:sz w:val="20"/>
                <w:szCs w:val="20"/>
              </w:rPr>
              <w:t>a) utilizează cele mai recente valori raportate pentru valoarea totală a expunerii la risc sau indicatorul de măsurare a expunerii totale, ajustate pentru a lua în considerare eventuale modificări rezultate în urma acțiunilor de rezoluție stabilite în planul de rezoluție; și</w:t>
            </w:r>
          </w:p>
          <w:p w14:paraId="3D4ED4D8" w14:textId="59B96B1D" w:rsidR="00F4284C" w:rsidRPr="00154588" w:rsidRDefault="00F4284C" w:rsidP="008C12B4">
            <w:pPr>
              <w:jc w:val="both"/>
              <w:rPr>
                <w:bCs/>
                <w:sz w:val="20"/>
                <w:szCs w:val="20"/>
              </w:rPr>
            </w:pPr>
            <w:r w:rsidRPr="00154588">
              <w:rPr>
                <w:bCs/>
                <w:sz w:val="20"/>
                <w:szCs w:val="20"/>
              </w:rPr>
              <w:t xml:space="preserve">b) </w:t>
            </w:r>
            <w:bookmarkStart w:id="99" w:name="_Hlk234598160"/>
            <w:r w:rsidRPr="00154588">
              <w:rPr>
                <w:bCs/>
                <w:sz w:val="20"/>
                <w:szCs w:val="20"/>
              </w:rPr>
              <w:t>după consultarea autorității competente,</w:t>
            </w:r>
            <w:r w:rsidRPr="00154588">
              <w:rPr>
                <w:sz w:val="20"/>
                <w:szCs w:val="20"/>
              </w:rPr>
              <w:t xml:space="preserve"> </w:t>
            </w:r>
            <w:r w:rsidRPr="00154588">
              <w:rPr>
                <w:bCs/>
                <w:sz w:val="20"/>
                <w:szCs w:val="20"/>
              </w:rPr>
              <w:t>ajustează valoarea care corespunde cerinței aplicabile prevăzute la art.139</w:t>
            </w:r>
            <w:r w:rsidRPr="00154588">
              <w:rPr>
                <w:bCs/>
                <w:sz w:val="20"/>
                <w:szCs w:val="20"/>
                <w:vertAlign w:val="superscript"/>
              </w:rPr>
              <w:t>1</w:t>
            </w:r>
            <w:r w:rsidRPr="00154588">
              <w:rPr>
                <w:bCs/>
                <w:sz w:val="20"/>
                <w:szCs w:val="20"/>
              </w:rPr>
              <w:t xml:space="preserve"> din Legea nr.202/2017, în sensul scăderii sau creșterii, pentru a stabili cerința care ar urma să fie aplicată entității respective, după exercitarea competenței de reducere a valorii sau de conversie a instrumentelor de capital relevante și a datoriilor eligibile, în conformitate cu art.219-225 din prezenta legesau după rezoluția grupului de rezoluție..</w:t>
            </w:r>
          </w:p>
          <w:bookmarkEnd w:id="99"/>
          <w:p w14:paraId="14484334" w14:textId="394F278E" w:rsidR="00F4284C" w:rsidRPr="00154588" w:rsidRDefault="00F4284C" w:rsidP="008C12B4">
            <w:pPr>
              <w:jc w:val="both"/>
              <w:rPr>
                <w:bCs/>
                <w:sz w:val="20"/>
                <w:szCs w:val="20"/>
              </w:rPr>
            </w:pPr>
            <w:r w:rsidRPr="00154588">
              <w:rPr>
                <w:bCs/>
                <w:sz w:val="20"/>
                <w:szCs w:val="20"/>
              </w:rPr>
              <w:t xml:space="preserve">(6) Banca Națională a Moldovei, în calitate de autoritate de rezoluție, poate majora cerința prevăzută la alin.(1) lit.a) subpct.(ii) cu o valoare care să asigure că, în urma exercitării competenței de reducere a valorii sau de conversie a instrumentelor </w:t>
            </w:r>
            <w:r w:rsidRPr="00154588">
              <w:rPr>
                <w:bCs/>
                <w:sz w:val="20"/>
                <w:szCs w:val="20"/>
              </w:rPr>
              <w:lastRenderedPageBreak/>
              <w:t xml:space="preserve">de capital relevante și a datoriilor eligibile în conformitate cu </w:t>
            </w:r>
            <w:bookmarkStart w:id="100" w:name="_Hlk234598226"/>
            <w:r w:rsidRPr="00154588">
              <w:rPr>
                <w:bCs/>
                <w:sz w:val="20"/>
                <w:szCs w:val="20"/>
              </w:rPr>
              <w:t>art.219-225 din prezenta lege</w:t>
            </w:r>
            <w:bookmarkEnd w:id="100"/>
            <w:r w:rsidRPr="00154588">
              <w:rPr>
                <w:bCs/>
                <w:sz w:val="20"/>
                <w:szCs w:val="20"/>
              </w:rPr>
              <w:t>, entitatea este în măsură să mențină un nivel suficient de încredere a pieței pentru o perioadă considerată adecvată de către autoritatea de rezoluție care nu poate depăși un an.</w:t>
            </w:r>
          </w:p>
          <w:p w14:paraId="3346E879" w14:textId="2CAD3B45" w:rsidR="00F4284C" w:rsidRPr="00154588" w:rsidRDefault="00F4284C" w:rsidP="008C12B4">
            <w:pPr>
              <w:jc w:val="both"/>
              <w:rPr>
                <w:bCs/>
                <w:sz w:val="20"/>
                <w:szCs w:val="20"/>
              </w:rPr>
            </w:pPr>
            <w:r w:rsidRPr="00154588">
              <w:rPr>
                <w:bCs/>
                <w:sz w:val="20"/>
                <w:szCs w:val="20"/>
              </w:rPr>
              <w:t>(7) În cazul în care se aplică prevederile alin.(6), valoarea prevăzută la respectivul alineat este egală cu cerința amortizorului combinat care urmează să se aplice după exercitarea competenței menționate la art.219-225 din prezenta legesau după rezoluția grupului de rezoluție, din care se scade valoarea aferentă amortizorului anticiclic de capital specific instituției de credit.</w:t>
            </w:r>
          </w:p>
          <w:p w14:paraId="425147D8" w14:textId="3FD8234C" w:rsidR="00F4284C" w:rsidRPr="00154588" w:rsidRDefault="00F4284C" w:rsidP="008C12B4">
            <w:pPr>
              <w:jc w:val="both"/>
              <w:rPr>
                <w:bCs/>
                <w:sz w:val="20"/>
                <w:szCs w:val="20"/>
              </w:rPr>
            </w:pPr>
            <w:r w:rsidRPr="00154588">
              <w:rPr>
                <w:bCs/>
                <w:sz w:val="20"/>
                <w:szCs w:val="20"/>
              </w:rPr>
              <w:t>(8) Valoarea prevăzută la alin.(6) se ajustează în sensul scăderii în cazul în care, după consultarea autorității competente, Banca Națională a Moldovei, în calitate de autoritate de rezoluție, determină că ar fi fezabil și credibil ca o valoare mai mică să fie suficientă pentru a menține încrederea pieței și a asigura atât continuarea furnizării funcțiilor critice de către instituția de credit sau de către entitatea prevăzută la art.1 alin.(1) lit.b)-d), cât și accesul la finanțare, fără a recurge la sprijin financiar public extraordinar, altul decât utilizarea resurselor fondului de rezoluție bancară, în conformitate cu prevederile art.158 și art.161 și art.302 alin. (1), după exercitarea competenței menționate la art.219-225 din prezenta lege, sau după rezoluția grupului de rezoluție.</w:t>
            </w:r>
          </w:p>
          <w:p w14:paraId="433DF3CC" w14:textId="558B9969" w:rsidR="00F4284C" w:rsidRPr="00154588" w:rsidRDefault="00F4284C" w:rsidP="008C12B4">
            <w:pPr>
              <w:jc w:val="both"/>
              <w:rPr>
                <w:bCs/>
                <w:sz w:val="20"/>
                <w:szCs w:val="20"/>
              </w:rPr>
            </w:pPr>
            <w:r w:rsidRPr="00154588">
              <w:rPr>
                <w:bCs/>
                <w:sz w:val="20"/>
                <w:szCs w:val="20"/>
              </w:rPr>
              <w:t xml:space="preserve">(9) </w:t>
            </w:r>
            <w:bookmarkStart w:id="101" w:name="_Hlk234598326"/>
            <w:r w:rsidRPr="00154588">
              <w:rPr>
                <w:bCs/>
                <w:sz w:val="20"/>
                <w:szCs w:val="20"/>
              </w:rPr>
              <w:t>Valoarea prevăzută la alin.(6) se ajustează în sensul creșterii, după consultarea autorității competente, în cazul în care Banca Națională a Moldovei, în calitate de autoritate de rezoluție, determină că este necesară o valoare mai mare pentru a menține un grad suficient de încredere a pieței pentru o perioadă considerată adecvată de către autoritatea de rezoluție, dar care nu poate depăși un an și pentru a asigura atât continuarea furnizării funcțiilor critice de către instituția de credit sau de către entitatea prevăzută la art.1 alin.(1) lit. b)-d), cât și accesul acesteia la finanțare, fără a recurge la sprijin financiar public extraordinar, altul decât utilizarea resurselor fondului de rezoluție bancară, efectuată în conformitate cu prevederile art.158 și 161 și 302 alin.(1).</w:t>
            </w:r>
          </w:p>
          <w:bookmarkEnd w:id="101"/>
          <w:p w14:paraId="2D409DFB" w14:textId="61CEE72F" w:rsidR="00F4284C" w:rsidRPr="00154588" w:rsidRDefault="00F4284C" w:rsidP="008C12B4">
            <w:pPr>
              <w:jc w:val="both"/>
              <w:rPr>
                <w:bCs/>
                <w:sz w:val="20"/>
                <w:szCs w:val="20"/>
              </w:rPr>
            </w:pPr>
          </w:p>
        </w:tc>
        <w:tc>
          <w:tcPr>
            <w:tcW w:w="2552" w:type="dxa"/>
          </w:tcPr>
          <w:p w14:paraId="55A91AC5" w14:textId="089ABE1B"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5374D11B" w14:textId="77777777" w:rsidR="00F4284C" w:rsidRPr="00154588" w:rsidRDefault="00F4284C" w:rsidP="008C12B4">
            <w:pPr>
              <w:jc w:val="both"/>
              <w:rPr>
                <w:bCs/>
                <w:sz w:val="20"/>
                <w:szCs w:val="20"/>
              </w:rPr>
            </w:pPr>
          </w:p>
        </w:tc>
      </w:tr>
      <w:tr w:rsidR="00F4284C" w:rsidRPr="00154588" w14:paraId="5EBE70BB" w14:textId="77777777" w:rsidTr="00D15C1B">
        <w:trPr>
          <w:jc w:val="center"/>
        </w:trPr>
        <w:tc>
          <w:tcPr>
            <w:tcW w:w="4957" w:type="dxa"/>
            <w:gridSpan w:val="2"/>
          </w:tcPr>
          <w:p w14:paraId="4EA8A4C7" w14:textId="77777777" w:rsidR="00F4284C" w:rsidRPr="00154588" w:rsidRDefault="00F4284C" w:rsidP="008C12B4">
            <w:pPr>
              <w:jc w:val="both"/>
              <w:rPr>
                <w:bCs/>
                <w:sz w:val="20"/>
                <w:szCs w:val="20"/>
              </w:rPr>
            </w:pPr>
            <w:r w:rsidRPr="00154588">
              <w:rPr>
                <w:bCs/>
                <w:sz w:val="20"/>
                <w:szCs w:val="20"/>
              </w:rPr>
              <w:lastRenderedPageBreak/>
              <w:t>(8)   În cazul în care autoritatea de rezoluție anticipează că anumite categorii de datorii eligibile prezintă o probabilitate rezonabilă de a fi excluse în totalitate sau parțial de la recapitalizare internă în temeiul articolului 44 alineatul (3) sau că ar putea fi transferate integral unui destinatar în cadrul unui transfer parțial, cerința menționată la articolul 45 alineatul (1) este îndeplinită folosind fonduri proprii sau alte datorii eligibile care sunt suficiente pentru:</w:t>
            </w:r>
          </w:p>
          <w:p w14:paraId="37BC792E" w14:textId="77777777" w:rsidR="00F4284C" w:rsidRPr="00154588" w:rsidRDefault="00F4284C" w:rsidP="008C12B4">
            <w:pPr>
              <w:jc w:val="both"/>
              <w:rPr>
                <w:bCs/>
                <w:sz w:val="20"/>
                <w:szCs w:val="20"/>
              </w:rPr>
            </w:pPr>
          </w:p>
          <w:p w14:paraId="6C91C14D" w14:textId="48992F68" w:rsidR="00F4284C" w:rsidRPr="00154588" w:rsidRDefault="00F4284C" w:rsidP="008C12B4">
            <w:pPr>
              <w:jc w:val="both"/>
              <w:rPr>
                <w:bCs/>
                <w:sz w:val="20"/>
                <w:szCs w:val="20"/>
              </w:rPr>
            </w:pPr>
            <w:r w:rsidRPr="00154588">
              <w:rPr>
                <w:bCs/>
                <w:sz w:val="20"/>
                <w:szCs w:val="20"/>
              </w:rPr>
              <w:t>(a) a acoperi cuantumul datoriilor excluse identificate în conformitate cu articolul 44 alineatul (3);</w:t>
            </w:r>
          </w:p>
          <w:p w14:paraId="2EB18D40" w14:textId="77777777" w:rsidR="00F4284C" w:rsidRPr="00154588" w:rsidRDefault="00F4284C" w:rsidP="008C12B4">
            <w:pPr>
              <w:jc w:val="both"/>
              <w:rPr>
                <w:bCs/>
                <w:sz w:val="20"/>
                <w:szCs w:val="20"/>
              </w:rPr>
            </w:pPr>
          </w:p>
          <w:p w14:paraId="0B48626B" w14:textId="6979AB36" w:rsidR="00F4284C" w:rsidRPr="00154588" w:rsidRDefault="00F4284C" w:rsidP="008C12B4">
            <w:pPr>
              <w:jc w:val="both"/>
              <w:rPr>
                <w:bCs/>
                <w:sz w:val="20"/>
                <w:szCs w:val="20"/>
              </w:rPr>
            </w:pPr>
            <w:r w:rsidRPr="00154588">
              <w:rPr>
                <w:bCs/>
                <w:sz w:val="20"/>
                <w:szCs w:val="20"/>
              </w:rPr>
              <w:t>(b) a garanta îndeplinirea condițiilor menționate la alineatul (2).</w:t>
            </w:r>
          </w:p>
        </w:tc>
        <w:tc>
          <w:tcPr>
            <w:tcW w:w="4819" w:type="dxa"/>
          </w:tcPr>
          <w:p w14:paraId="3565E9DF" w14:textId="7CCF534C" w:rsidR="00F4284C" w:rsidRPr="00154588" w:rsidRDefault="00F4284C" w:rsidP="008C12B4">
            <w:pPr>
              <w:jc w:val="both"/>
              <w:rPr>
                <w:bCs/>
                <w:sz w:val="20"/>
                <w:szCs w:val="20"/>
              </w:rPr>
            </w:pPr>
            <w:r w:rsidRPr="00154588">
              <w:rPr>
                <w:b/>
                <w:bCs/>
                <w:sz w:val="20"/>
                <w:szCs w:val="20"/>
              </w:rPr>
              <w:t>Articolul 167</w:t>
            </w:r>
            <w:r w:rsidRPr="00154588">
              <w:rPr>
                <w:b/>
                <w:bCs/>
                <w:sz w:val="20"/>
                <w:szCs w:val="20"/>
                <w:vertAlign w:val="superscript"/>
              </w:rPr>
              <w:t>10</w:t>
            </w:r>
            <w:r w:rsidRPr="00154588">
              <w:rPr>
                <w:bCs/>
                <w:sz w:val="20"/>
                <w:szCs w:val="20"/>
              </w:rPr>
              <w:t>. – Atunci când Banca Națională a Moldovei, în calitate de autoritate de rezoluție, anticipează că anumite categorii de datorii eligibile prezintă o probabilitate rezonabilă de a fi excluse, în totalitate sau parțial, de la recapitalizare internă, în temeiul art.155</w:t>
            </w:r>
            <w:r w:rsidRPr="00154588">
              <w:rPr>
                <w:bCs/>
                <w:sz w:val="20"/>
                <w:szCs w:val="20"/>
                <w:vertAlign w:val="superscript"/>
              </w:rPr>
              <w:t>1</w:t>
            </w:r>
            <w:r w:rsidRPr="00154588">
              <w:rPr>
                <w:bCs/>
                <w:sz w:val="20"/>
                <w:szCs w:val="20"/>
              </w:rPr>
              <w:t xml:space="preserve"> sau că acestea ar putea fi transferate integral unui destinatar, în cadrul unui transfer parțial, cerința prevăzută la art.164 alin.(1) este îndeplinită folosind fonduri proprii sau alte datorii eligibile care sunt suficiente pentru:</w:t>
            </w:r>
          </w:p>
          <w:p w14:paraId="21C9E92E" w14:textId="77777777" w:rsidR="00F4284C" w:rsidRPr="00154588" w:rsidRDefault="00F4284C" w:rsidP="008C12B4">
            <w:pPr>
              <w:jc w:val="both"/>
              <w:rPr>
                <w:bCs/>
                <w:sz w:val="20"/>
                <w:szCs w:val="20"/>
              </w:rPr>
            </w:pPr>
            <w:r w:rsidRPr="00154588">
              <w:rPr>
                <w:bCs/>
                <w:sz w:val="20"/>
                <w:szCs w:val="20"/>
              </w:rPr>
              <w:t>a) a acoperi valoarea datoriilor excluse, identificate în conformitate cu prevederile art.155</w:t>
            </w:r>
            <w:r w:rsidRPr="00154588">
              <w:rPr>
                <w:bCs/>
                <w:sz w:val="20"/>
                <w:szCs w:val="20"/>
                <w:vertAlign w:val="superscript"/>
              </w:rPr>
              <w:t>1</w:t>
            </w:r>
            <w:r w:rsidRPr="00154588">
              <w:rPr>
                <w:bCs/>
                <w:sz w:val="20"/>
                <w:szCs w:val="20"/>
              </w:rPr>
              <w:t xml:space="preserve"> din prezenta lege;</w:t>
            </w:r>
          </w:p>
          <w:p w14:paraId="5A034308" w14:textId="77777777" w:rsidR="00F4284C" w:rsidRPr="00154588" w:rsidRDefault="00F4284C" w:rsidP="008C12B4">
            <w:pPr>
              <w:jc w:val="both"/>
              <w:rPr>
                <w:bCs/>
                <w:sz w:val="20"/>
                <w:szCs w:val="20"/>
              </w:rPr>
            </w:pPr>
            <w:r w:rsidRPr="00154588">
              <w:rPr>
                <w:bCs/>
                <w:sz w:val="20"/>
                <w:szCs w:val="20"/>
              </w:rPr>
              <w:t>b) a asigura îndeplinirea condițiilor prevăzute la art.167</w:t>
            </w:r>
            <w:r w:rsidRPr="00154588">
              <w:rPr>
                <w:bCs/>
                <w:sz w:val="20"/>
                <w:szCs w:val="20"/>
                <w:vertAlign w:val="superscript"/>
              </w:rPr>
              <w:t>5</w:t>
            </w:r>
            <w:r w:rsidRPr="00154588">
              <w:rPr>
                <w:bCs/>
                <w:sz w:val="20"/>
                <w:szCs w:val="20"/>
              </w:rPr>
              <w:t xml:space="preserve"> din prezenta lege.</w:t>
            </w:r>
          </w:p>
          <w:p w14:paraId="22456A25" w14:textId="77777777" w:rsidR="00F4284C" w:rsidRPr="00154588" w:rsidRDefault="00F4284C" w:rsidP="008C12B4">
            <w:pPr>
              <w:jc w:val="both"/>
              <w:rPr>
                <w:bCs/>
                <w:sz w:val="20"/>
                <w:szCs w:val="20"/>
              </w:rPr>
            </w:pPr>
          </w:p>
        </w:tc>
        <w:tc>
          <w:tcPr>
            <w:tcW w:w="2552" w:type="dxa"/>
          </w:tcPr>
          <w:p w14:paraId="663F2C97" w14:textId="337BCC2E" w:rsidR="00F4284C" w:rsidRPr="00154588" w:rsidRDefault="00F4284C" w:rsidP="008C12B4">
            <w:pPr>
              <w:jc w:val="both"/>
              <w:rPr>
                <w:bCs/>
                <w:sz w:val="20"/>
                <w:szCs w:val="20"/>
              </w:rPr>
            </w:pPr>
            <w:r w:rsidRPr="00154588">
              <w:rPr>
                <w:bCs/>
                <w:sz w:val="20"/>
                <w:szCs w:val="20"/>
              </w:rPr>
              <w:t>Compatibil</w:t>
            </w:r>
          </w:p>
        </w:tc>
        <w:tc>
          <w:tcPr>
            <w:tcW w:w="3118" w:type="dxa"/>
          </w:tcPr>
          <w:p w14:paraId="209E8455" w14:textId="77777777" w:rsidR="00F4284C" w:rsidRPr="00154588" w:rsidRDefault="00F4284C" w:rsidP="008C12B4">
            <w:pPr>
              <w:jc w:val="both"/>
              <w:rPr>
                <w:bCs/>
                <w:sz w:val="20"/>
                <w:szCs w:val="20"/>
              </w:rPr>
            </w:pPr>
          </w:p>
        </w:tc>
      </w:tr>
      <w:tr w:rsidR="00F4284C" w:rsidRPr="00154588" w14:paraId="64599E96" w14:textId="77777777" w:rsidTr="00D15C1B">
        <w:trPr>
          <w:jc w:val="center"/>
        </w:trPr>
        <w:tc>
          <w:tcPr>
            <w:tcW w:w="4957" w:type="dxa"/>
            <w:gridSpan w:val="2"/>
          </w:tcPr>
          <w:p w14:paraId="098DE3E4" w14:textId="06D2FB6C" w:rsidR="00F4284C" w:rsidRPr="00154588" w:rsidRDefault="00F4284C" w:rsidP="008C12B4">
            <w:pPr>
              <w:jc w:val="both"/>
              <w:rPr>
                <w:bCs/>
                <w:sz w:val="20"/>
                <w:szCs w:val="20"/>
              </w:rPr>
            </w:pPr>
            <w:r w:rsidRPr="00154588">
              <w:rPr>
                <w:bCs/>
                <w:sz w:val="20"/>
                <w:szCs w:val="20"/>
              </w:rPr>
              <w:t>(9)   Orice decizie a autorității de rezoluție de a impune o cerință minimă de fonduri proprii și datorii eligibile în temeiul prezentului articol conține motivele deciziei respective, inclusiv o evaluare completă a elementelor menționate la alineatele (2)-(8) de la prezentul articol, și este revizuită de autoritatea de rezoluție fără întârzieri nejustificate pentru a reflecta eventualele modificări ale nivelului cerinței menționate la articolul 104a din Directiva 2013/36/UE.</w:t>
            </w:r>
          </w:p>
        </w:tc>
        <w:tc>
          <w:tcPr>
            <w:tcW w:w="4819" w:type="dxa"/>
          </w:tcPr>
          <w:p w14:paraId="0BDDFC5C" w14:textId="053765F6" w:rsidR="00F4284C" w:rsidRPr="00154588" w:rsidRDefault="00F4284C" w:rsidP="008C12B4">
            <w:pPr>
              <w:jc w:val="both"/>
              <w:rPr>
                <w:bCs/>
                <w:sz w:val="20"/>
                <w:szCs w:val="20"/>
              </w:rPr>
            </w:pPr>
            <w:r w:rsidRPr="00154588">
              <w:rPr>
                <w:b/>
                <w:bCs/>
                <w:sz w:val="20"/>
                <w:szCs w:val="20"/>
              </w:rPr>
              <w:t>Articolul 167</w:t>
            </w:r>
            <w:r w:rsidRPr="00154588">
              <w:rPr>
                <w:b/>
                <w:bCs/>
                <w:sz w:val="20"/>
                <w:szCs w:val="20"/>
                <w:vertAlign w:val="superscript"/>
              </w:rPr>
              <w:t>11</w:t>
            </w:r>
            <w:r w:rsidRPr="00154588">
              <w:rPr>
                <w:b/>
                <w:bCs/>
                <w:sz w:val="20"/>
                <w:szCs w:val="20"/>
              </w:rPr>
              <w:t xml:space="preserve">. </w:t>
            </w:r>
            <w:r w:rsidRPr="00154588">
              <w:rPr>
                <w:bCs/>
                <w:sz w:val="20"/>
                <w:szCs w:val="20"/>
              </w:rPr>
              <w:t xml:space="preserve">– </w:t>
            </w:r>
            <w:bookmarkStart w:id="102" w:name="_Hlk234598406"/>
            <w:r w:rsidRPr="00154588">
              <w:rPr>
                <w:bCs/>
                <w:sz w:val="20"/>
                <w:szCs w:val="20"/>
              </w:rPr>
              <w:t xml:space="preserve">Orice decizie a </w:t>
            </w:r>
            <w:bookmarkStart w:id="103" w:name="_Hlk225443040"/>
            <w:r w:rsidRPr="00154588">
              <w:rPr>
                <w:bCs/>
                <w:sz w:val="20"/>
                <w:szCs w:val="20"/>
              </w:rPr>
              <w:t xml:space="preserve">Băncii Naționale a Moldovei, în calitate de autoritate de rezoluție </w:t>
            </w:r>
            <w:bookmarkEnd w:id="103"/>
            <w:r w:rsidRPr="00154588">
              <w:rPr>
                <w:bCs/>
                <w:sz w:val="20"/>
                <w:szCs w:val="20"/>
              </w:rPr>
              <w:t>de a impune o cerință minimă de fonduri proprii și datorii eligibile în temeiul art. 167 și art. 167</w:t>
            </w:r>
            <w:r w:rsidRPr="00154588">
              <w:rPr>
                <w:bCs/>
                <w:sz w:val="20"/>
                <w:szCs w:val="20"/>
                <w:vertAlign w:val="superscript"/>
              </w:rPr>
              <w:t>5</w:t>
            </w:r>
            <w:r w:rsidRPr="00154588">
              <w:rPr>
                <w:bCs/>
                <w:sz w:val="20"/>
                <w:szCs w:val="20"/>
              </w:rPr>
              <w:t>-167</w:t>
            </w:r>
            <w:r w:rsidRPr="00154588">
              <w:rPr>
                <w:bCs/>
                <w:sz w:val="20"/>
                <w:szCs w:val="20"/>
                <w:vertAlign w:val="superscript"/>
              </w:rPr>
              <w:t xml:space="preserve">10 </w:t>
            </w:r>
            <w:r w:rsidRPr="00154588">
              <w:rPr>
                <w:bCs/>
                <w:sz w:val="20"/>
                <w:szCs w:val="20"/>
              </w:rPr>
              <w:t>conține motivele deciziei respective, inclusiv o evaluare completă a elementelor menționate la art.167</w:t>
            </w:r>
            <w:r w:rsidRPr="00154588">
              <w:rPr>
                <w:bCs/>
                <w:sz w:val="20"/>
                <w:szCs w:val="20"/>
                <w:vertAlign w:val="superscript"/>
              </w:rPr>
              <w:t>5</w:t>
            </w:r>
            <w:r w:rsidRPr="00154588">
              <w:rPr>
                <w:bCs/>
                <w:sz w:val="20"/>
                <w:szCs w:val="20"/>
              </w:rPr>
              <w:t>-167</w:t>
            </w:r>
            <w:r w:rsidRPr="00154588">
              <w:rPr>
                <w:bCs/>
                <w:sz w:val="20"/>
                <w:szCs w:val="20"/>
                <w:vertAlign w:val="superscript"/>
              </w:rPr>
              <w:t>10</w:t>
            </w:r>
            <w:r w:rsidRPr="00154588">
              <w:rPr>
                <w:bCs/>
                <w:sz w:val="20"/>
                <w:szCs w:val="20"/>
              </w:rPr>
              <w:t>, și este revizuită de autoritatea de rezoluție fără întârzieri nejustificate pentru a reflecta eventualele modificări ale nivelului cerinței menționate la art.139</w:t>
            </w:r>
            <w:r w:rsidRPr="00154588">
              <w:rPr>
                <w:bCs/>
                <w:sz w:val="20"/>
                <w:szCs w:val="20"/>
                <w:vertAlign w:val="superscript"/>
              </w:rPr>
              <w:t>1</w:t>
            </w:r>
            <w:r w:rsidRPr="00154588">
              <w:rPr>
                <w:bCs/>
                <w:sz w:val="20"/>
                <w:szCs w:val="20"/>
              </w:rPr>
              <w:t xml:space="preserve"> din Legea nr.202/2017.</w:t>
            </w:r>
            <w:bookmarkEnd w:id="102"/>
          </w:p>
        </w:tc>
        <w:tc>
          <w:tcPr>
            <w:tcW w:w="2552" w:type="dxa"/>
          </w:tcPr>
          <w:p w14:paraId="1ACC6E62" w14:textId="2F54C74B" w:rsidR="00F4284C" w:rsidRPr="00154588" w:rsidRDefault="00F4284C" w:rsidP="008C12B4">
            <w:pPr>
              <w:jc w:val="both"/>
              <w:rPr>
                <w:bCs/>
                <w:sz w:val="20"/>
                <w:szCs w:val="20"/>
              </w:rPr>
            </w:pPr>
            <w:r w:rsidRPr="00154588">
              <w:rPr>
                <w:bCs/>
                <w:sz w:val="20"/>
                <w:szCs w:val="20"/>
              </w:rPr>
              <w:t>Compatibil</w:t>
            </w:r>
          </w:p>
        </w:tc>
        <w:tc>
          <w:tcPr>
            <w:tcW w:w="3118" w:type="dxa"/>
          </w:tcPr>
          <w:p w14:paraId="2FB3710E" w14:textId="77777777" w:rsidR="00F4284C" w:rsidRPr="00154588" w:rsidRDefault="00F4284C" w:rsidP="008C12B4">
            <w:pPr>
              <w:jc w:val="both"/>
              <w:rPr>
                <w:bCs/>
                <w:sz w:val="20"/>
                <w:szCs w:val="20"/>
              </w:rPr>
            </w:pPr>
          </w:p>
        </w:tc>
      </w:tr>
      <w:tr w:rsidR="00F4284C" w:rsidRPr="00154588" w14:paraId="64F47478" w14:textId="77777777" w:rsidTr="00D15C1B">
        <w:trPr>
          <w:jc w:val="center"/>
        </w:trPr>
        <w:tc>
          <w:tcPr>
            <w:tcW w:w="4957" w:type="dxa"/>
            <w:gridSpan w:val="2"/>
          </w:tcPr>
          <w:p w14:paraId="5AD01201" w14:textId="4A963D48" w:rsidR="00F4284C" w:rsidRPr="00154588" w:rsidRDefault="00F4284C" w:rsidP="008C12B4">
            <w:pPr>
              <w:jc w:val="both"/>
              <w:rPr>
                <w:bCs/>
                <w:sz w:val="20"/>
                <w:szCs w:val="20"/>
              </w:rPr>
            </w:pPr>
            <w:r w:rsidRPr="00154588">
              <w:rPr>
                <w:bCs/>
                <w:sz w:val="20"/>
                <w:szCs w:val="20"/>
              </w:rPr>
              <w:lastRenderedPageBreak/>
              <w:t>(10)   În sensul alineatelor (3) și (7) de la prezentul articol, cerințele de capital se interpretează în conformitate cu modul în care autoritatea competentă aplică dispozițiile tranzitorii prevăzute în partea a zecea titlul I capitolele 1, 2 și 4 din Regulamentul (UE) nr. 575/2013 și în dispozițiile din legislația națională care permit autorităților competente să exercite opțiunile care le-au fost acordate prin regulamentul respectiv.</w:t>
            </w:r>
          </w:p>
        </w:tc>
        <w:tc>
          <w:tcPr>
            <w:tcW w:w="4819" w:type="dxa"/>
          </w:tcPr>
          <w:p w14:paraId="07B194A9" w14:textId="2FEE7508" w:rsidR="00F4284C" w:rsidRPr="00154588" w:rsidRDefault="00F4284C" w:rsidP="008C12B4">
            <w:pPr>
              <w:jc w:val="both"/>
              <w:rPr>
                <w:bCs/>
                <w:sz w:val="20"/>
                <w:szCs w:val="20"/>
              </w:rPr>
            </w:pPr>
            <w:r w:rsidRPr="00154588">
              <w:rPr>
                <w:b/>
                <w:bCs/>
                <w:sz w:val="20"/>
                <w:szCs w:val="20"/>
              </w:rPr>
              <w:t>Articolul 167</w:t>
            </w:r>
            <w:r w:rsidRPr="00154588">
              <w:rPr>
                <w:b/>
                <w:bCs/>
                <w:sz w:val="20"/>
                <w:szCs w:val="20"/>
                <w:vertAlign w:val="superscript"/>
              </w:rPr>
              <w:t>12</w:t>
            </w:r>
            <w:r w:rsidRPr="00154588">
              <w:rPr>
                <w:b/>
                <w:bCs/>
                <w:sz w:val="20"/>
                <w:szCs w:val="20"/>
              </w:rPr>
              <w:t>.</w:t>
            </w:r>
            <w:r w:rsidRPr="00154588">
              <w:rPr>
                <w:bCs/>
                <w:sz w:val="20"/>
                <w:szCs w:val="20"/>
              </w:rPr>
              <w:t xml:space="preserve"> – </w:t>
            </w:r>
            <w:bookmarkStart w:id="104" w:name="_Hlk234598639"/>
            <w:r w:rsidRPr="00154588">
              <w:rPr>
                <w:bCs/>
                <w:sz w:val="20"/>
                <w:szCs w:val="20"/>
              </w:rPr>
              <w:t>În aplicarea prevederilor art.167</w:t>
            </w:r>
            <w:r w:rsidRPr="00154588">
              <w:rPr>
                <w:bCs/>
                <w:sz w:val="20"/>
                <w:szCs w:val="20"/>
                <w:vertAlign w:val="superscript"/>
              </w:rPr>
              <w:t>6</w:t>
            </w:r>
            <w:r w:rsidRPr="00154588">
              <w:rPr>
                <w:bCs/>
                <w:sz w:val="20"/>
                <w:szCs w:val="20"/>
              </w:rPr>
              <w:t xml:space="preserve"> și 167</w:t>
            </w:r>
            <w:r w:rsidRPr="00154588">
              <w:rPr>
                <w:bCs/>
                <w:sz w:val="20"/>
                <w:szCs w:val="20"/>
                <w:vertAlign w:val="superscript"/>
              </w:rPr>
              <w:t>9</w:t>
            </w:r>
            <w:r w:rsidRPr="00154588">
              <w:rPr>
                <w:bCs/>
                <w:sz w:val="20"/>
                <w:szCs w:val="20"/>
              </w:rPr>
              <w:t>, cerințele de capital se interpretează în conformitate cu modul în care Banca Națională a Moldovei, în calitate de autoritate competentă, aplică dispozițiile tranzitorii prevăzute în reglementările  Băncii Naționale a Moldovei emise în aplicarea art.60, 61 și 62 din Legea nr.202/2017.</w:t>
            </w:r>
            <w:bookmarkEnd w:id="104"/>
          </w:p>
          <w:p w14:paraId="370B0C54" w14:textId="77777777" w:rsidR="00F4284C" w:rsidRPr="00154588" w:rsidRDefault="00F4284C" w:rsidP="008C12B4">
            <w:pPr>
              <w:jc w:val="both"/>
              <w:rPr>
                <w:bCs/>
                <w:sz w:val="20"/>
                <w:szCs w:val="20"/>
              </w:rPr>
            </w:pPr>
          </w:p>
        </w:tc>
        <w:tc>
          <w:tcPr>
            <w:tcW w:w="2552" w:type="dxa"/>
          </w:tcPr>
          <w:p w14:paraId="0C9A9B14" w14:textId="626E6621" w:rsidR="00F4284C" w:rsidRPr="00154588" w:rsidRDefault="00F4284C" w:rsidP="008C12B4">
            <w:pPr>
              <w:jc w:val="both"/>
              <w:rPr>
                <w:bCs/>
                <w:sz w:val="20"/>
                <w:szCs w:val="20"/>
              </w:rPr>
            </w:pPr>
            <w:r w:rsidRPr="00154588">
              <w:rPr>
                <w:bCs/>
                <w:sz w:val="20"/>
                <w:szCs w:val="20"/>
              </w:rPr>
              <w:t>Compatibil</w:t>
            </w:r>
          </w:p>
        </w:tc>
        <w:tc>
          <w:tcPr>
            <w:tcW w:w="3118" w:type="dxa"/>
          </w:tcPr>
          <w:p w14:paraId="223C1812" w14:textId="77777777" w:rsidR="00F4284C" w:rsidRPr="00154588" w:rsidRDefault="00F4284C" w:rsidP="008C12B4">
            <w:pPr>
              <w:jc w:val="both"/>
              <w:rPr>
                <w:bCs/>
                <w:sz w:val="20"/>
                <w:szCs w:val="20"/>
              </w:rPr>
            </w:pPr>
          </w:p>
        </w:tc>
      </w:tr>
      <w:tr w:rsidR="00F4284C" w:rsidRPr="00154588" w14:paraId="37948827" w14:textId="77777777" w:rsidTr="00D15C1B">
        <w:trPr>
          <w:jc w:val="center"/>
        </w:trPr>
        <w:tc>
          <w:tcPr>
            <w:tcW w:w="4957" w:type="dxa"/>
            <w:gridSpan w:val="2"/>
          </w:tcPr>
          <w:p w14:paraId="67CF004C" w14:textId="77777777" w:rsidR="00F4284C" w:rsidRPr="00154588" w:rsidRDefault="00F4284C" w:rsidP="008C12B4">
            <w:pPr>
              <w:jc w:val="both"/>
              <w:rPr>
                <w:b/>
                <w:sz w:val="20"/>
                <w:szCs w:val="20"/>
              </w:rPr>
            </w:pPr>
            <w:r w:rsidRPr="00154588">
              <w:rPr>
                <w:b/>
                <w:sz w:val="20"/>
                <w:szCs w:val="20"/>
              </w:rPr>
              <w:t>Articolul 45d</w:t>
            </w:r>
          </w:p>
          <w:p w14:paraId="0B4B48EA" w14:textId="77777777" w:rsidR="00F4284C" w:rsidRPr="00154588" w:rsidRDefault="00F4284C" w:rsidP="008C12B4">
            <w:pPr>
              <w:jc w:val="both"/>
              <w:rPr>
                <w:b/>
                <w:sz w:val="20"/>
                <w:szCs w:val="20"/>
              </w:rPr>
            </w:pPr>
          </w:p>
          <w:p w14:paraId="08A0305C" w14:textId="77777777" w:rsidR="00F4284C" w:rsidRPr="00154588" w:rsidRDefault="00F4284C" w:rsidP="008C12B4">
            <w:pPr>
              <w:jc w:val="both"/>
              <w:rPr>
                <w:b/>
                <w:sz w:val="20"/>
                <w:szCs w:val="20"/>
              </w:rPr>
            </w:pPr>
          </w:p>
          <w:p w14:paraId="248CA486" w14:textId="623902A9" w:rsidR="00F4284C" w:rsidRPr="00154588" w:rsidRDefault="00F4284C" w:rsidP="008C12B4">
            <w:pPr>
              <w:jc w:val="both"/>
              <w:rPr>
                <w:bCs/>
                <w:sz w:val="20"/>
                <w:szCs w:val="20"/>
              </w:rPr>
            </w:pPr>
            <w:r w:rsidRPr="00154588">
              <w:rPr>
                <w:b/>
                <w:sz w:val="20"/>
                <w:szCs w:val="20"/>
              </w:rPr>
              <w:t>Stabilirea cerinței minime de fonduri proprii și datorii eligibile pentru entitățile de rezoluție ale instituțiilor din categoria G-SII și filialele semnificative din Uniune ale instituțiilor din categoria G-SII din afara UE</w:t>
            </w:r>
          </w:p>
        </w:tc>
        <w:tc>
          <w:tcPr>
            <w:tcW w:w="4819" w:type="dxa"/>
          </w:tcPr>
          <w:p w14:paraId="372C3C34" w14:textId="77777777" w:rsidR="00F4284C" w:rsidRPr="00154588" w:rsidRDefault="00F4284C" w:rsidP="008C12B4">
            <w:pPr>
              <w:jc w:val="both"/>
              <w:rPr>
                <w:bCs/>
                <w:sz w:val="20"/>
                <w:szCs w:val="20"/>
              </w:rPr>
            </w:pPr>
          </w:p>
        </w:tc>
        <w:tc>
          <w:tcPr>
            <w:tcW w:w="2552" w:type="dxa"/>
          </w:tcPr>
          <w:p w14:paraId="3FF64862" w14:textId="77777777" w:rsidR="00F4284C" w:rsidRPr="00154588" w:rsidRDefault="00F4284C" w:rsidP="008C12B4">
            <w:pPr>
              <w:jc w:val="both"/>
              <w:rPr>
                <w:bCs/>
                <w:sz w:val="20"/>
                <w:szCs w:val="20"/>
              </w:rPr>
            </w:pPr>
          </w:p>
        </w:tc>
        <w:tc>
          <w:tcPr>
            <w:tcW w:w="3118" w:type="dxa"/>
          </w:tcPr>
          <w:p w14:paraId="6643A35A" w14:textId="77777777" w:rsidR="00F4284C" w:rsidRPr="00154588" w:rsidRDefault="00F4284C" w:rsidP="008C12B4">
            <w:pPr>
              <w:jc w:val="both"/>
              <w:rPr>
                <w:bCs/>
                <w:sz w:val="20"/>
                <w:szCs w:val="20"/>
              </w:rPr>
            </w:pPr>
          </w:p>
        </w:tc>
      </w:tr>
      <w:tr w:rsidR="00F4284C" w:rsidRPr="00154588" w14:paraId="3A7B2923" w14:textId="77777777" w:rsidTr="00D15C1B">
        <w:trPr>
          <w:jc w:val="center"/>
        </w:trPr>
        <w:tc>
          <w:tcPr>
            <w:tcW w:w="4957" w:type="dxa"/>
            <w:gridSpan w:val="2"/>
          </w:tcPr>
          <w:p w14:paraId="096A6A34" w14:textId="7C032872" w:rsidR="00F4284C" w:rsidRPr="00154588" w:rsidRDefault="00F4284C" w:rsidP="008C12B4">
            <w:pPr>
              <w:jc w:val="both"/>
              <w:rPr>
                <w:bCs/>
                <w:sz w:val="20"/>
                <w:szCs w:val="20"/>
              </w:rPr>
            </w:pPr>
            <w:r w:rsidRPr="00154588">
              <w:rPr>
                <w:bCs/>
                <w:sz w:val="20"/>
                <w:szCs w:val="20"/>
              </w:rPr>
              <w:t>(1)   Cerința menționată la articolul 45 alineatul (1) pentru o entitate de rezoluție care este o  entitate G-SII constă în următoarele:</w:t>
            </w:r>
          </w:p>
          <w:p w14:paraId="59BC65FB" w14:textId="77777777" w:rsidR="00F4284C" w:rsidRPr="00154588" w:rsidRDefault="00F4284C" w:rsidP="008C12B4">
            <w:pPr>
              <w:jc w:val="both"/>
              <w:rPr>
                <w:bCs/>
                <w:sz w:val="20"/>
                <w:szCs w:val="20"/>
              </w:rPr>
            </w:pPr>
          </w:p>
          <w:p w14:paraId="064C709E" w14:textId="7B340ED2" w:rsidR="00F4284C" w:rsidRPr="00154588" w:rsidRDefault="00F4284C" w:rsidP="008C12B4">
            <w:pPr>
              <w:jc w:val="both"/>
              <w:rPr>
                <w:bCs/>
                <w:sz w:val="20"/>
                <w:szCs w:val="20"/>
              </w:rPr>
            </w:pPr>
            <w:r w:rsidRPr="00154588">
              <w:rPr>
                <w:bCs/>
                <w:sz w:val="20"/>
                <w:szCs w:val="20"/>
              </w:rPr>
              <w:t>(a) cerințele menționate la articolele 92a și 494 din Regulamentul (UE) nr. 575/2013; și</w:t>
            </w:r>
          </w:p>
          <w:p w14:paraId="3D891C1D" w14:textId="77777777" w:rsidR="00F4284C" w:rsidRPr="00154588" w:rsidRDefault="00F4284C" w:rsidP="008C12B4">
            <w:pPr>
              <w:jc w:val="both"/>
              <w:rPr>
                <w:bCs/>
                <w:sz w:val="20"/>
                <w:szCs w:val="20"/>
              </w:rPr>
            </w:pPr>
          </w:p>
          <w:p w14:paraId="773172FA" w14:textId="7274EC69" w:rsidR="00F4284C" w:rsidRPr="00154588" w:rsidRDefault="00F4284C" w:rsidP="008C12B4">
            <w:pPr>
              <w:jc w:val="both"/>
              <w:rPr>
                <w:bCs/>
                <w:sz w:val="20"/>
                <w:szCs w:val="20"/>
              </w:rPr>
            </w:pPr>
            <w:r w:rsidRPr="00154588">
              <w:rPr>
                <w:bCs/>
                <w:sz w:val="20"/>
                <w:szCs w:val="20"/>
              </w:rPr>
              <w:t>(b) orice cerință suplimentară de fonduri proprii și datorii eligibile care a fost stabilită de autoritatea de rezoluție în special în ceea ce privește respectiva entitate în conformitate cu alineatul (3) din prezentul articol.</w:t>
            </w:r>
          </w:p>
        </w:tc>
        <w:tc>
          <w:tcPr>
            <w:tcW w:w="4819" w:type="dxa"/>
          </w:tcPr>
          <w:p w14:paraId="611BECEA" w14:textId="788898D4" w:rsidR="00F4284C" w:rsidRPr="00154588" w:rsidRDefault="00F4284C" w:rsidP="008C12B4">
            <w:pPr>
              <w:jc w:val="both"/>
              <w:rPr>
                <w:bCs/>
                <w:sz w:val="20"/>
                <w:szCs w:val="20"/>
              </w:rPr>
            </w:pPr>
            <w:r w:rsidRPr="00154588">
              <w:rPr>
                <w:b/>
                <w:bCs/>
                <w:sz w:val="20"/>
                <w:szCs w:val="20"/>
              </w:rPr>
              <w:t>Articolul 167</w:t>
            </w:r>
            <w:r w:rsidRPr="00154588">
              <w:rPr>
                <w:b/>
                <w:bCs/>
                <w:sz w:val="20"/>
                <w:szCs w:val="20"/>
                <w:vertAlign w:val="superscript"/>
              </w:rPr>
              <w:t>13</w:t>
            </w:r>
            <w:r w:rsidRPr="00154588">
              <w:rPr>
                <w:b/>
                <w:bCs/>
                <w:sz w:val="20"/>
                <w:szCs w:val="20"/>
              </w:rPr>
              <w:t>.</w:t>
            </w:r>
            <w:r w:rsidRPr="00154588">
              <w:rPr>
                <w:bCs/>
                <w:sz w:val="20"/>
                <w:szCs w:val="20"/>
              </w:rPr>
              <w:t xml:space="preserve"> – (1) </w:t>
            </w:r>
            <w:bookmarkStart w:id="105" w:name="_Hlk234598770"/>
            <w:r w:rsidRPr="00154588">
              <w:rPr>
                <w:bCs/>
                <w:sz w:val="20"/>
                <w:szCs w:val="20"/>
              </w:rPr>
              <w:t xml:space="preserve">Pentru </w:t>
            </w:r>
            <w:bookmarkStart w:id="106" w:name="_Hlk220603661"/>
            <w:r w:rsidRPr="00154588">
              <w:rPr>
                <w:bCs/>
                <w:sz w:val="20"/>
                <w:szCs w:val="20"/>
              </w:rPr>
              <w:t>entitate de rezoluție, care este o entitate G-SII</w:t>
            </w:r>
            <w:bookmarkEnd w:id="106"/>
            <w:r w:rsidRPr="00154588">
              <w:rPr>
                <w:bCs/>
                <w:sz w:val="20"/>
                <w:szCs w:val="20"/>
              </w:rPr>
              <w:t>, cerința prevăzută la art.164  alin.(1) cuprinde:</w:t>
            </w:r>
          </w:p>
          <w:p w14:paraId="075CC75F" w14:textId="2B5BECA9" w:rsidR="00F4284C" w:rsidRPr="00154588" w:rsidRDefault="00F4284C" w:rsidP="008C12B4">
            <w:pPr>
              <w:jc w:val="both"/>
              <w:rPr>
                <w:bCs/>
                <w:sz w:val="20"/>
                <w:szCs w:val="20"/>
              </w:rPr>
            </w:pPr>
            <w:r w:rsidRPr="00154588">
              <w:rPr>
                <w:bCs/>
                <w:sz w:val="20"/>
                <w:szCs w:val="20"/>
              </w:rPr>
              <w:t>a) cerințele</w:t>
            </w:r>
            <w:r w:rsidRPr="00154588">
              <w:rPr>
                <w:sz w:val="20"/>
                <w:szCs w:val="20"/>
              </w:rPr>
              <w:t xml:space="preserve"> privind fondurile proprii și pasivele eligibile pentru G-SII</w:t>
            </w:r>
            <w:r w:rsidRPr="00154588">
              <w:rPr>
                <w:bCs/>
                <w:sz w:val="20"/>
                <w:szCs w:val="20"/>
              </w:rPr>
              <w:t xml:space="preserve"> </w:t>
            </w:r>
            <w:r w:rsidRPr="00154588">
              <w:rPr>
                <w:sz w:val="20"/>
                <w:szCs w:val="20"/>
              </w:rPr>
              <w:t>prevăzute în reglementările Băncii Naționale a Moldovei emise in aplicarea art. 60, 61 și 62 din  Legea nr.202/2017;</w:t>
            </w:r>
            <w:r w:rsidRPr="00154588">
              <w:rPr>
                <w:bCs/>
                <w:sz w:val="20"/>
                <w:szCs w:val="20"/>
              </w:rPr>
              <w:t xml:space="preserve"> și</w:t>
            </w:r>
          </w:p>
          <w:bookmarkEnd w:id="105"/>
          <w:p w14:paraId="0D592C61" w14:textId="77777777" w:rsidR="00F4284C" w:rsidRPr="00154588" w:rsidRDefault="00F4284C" w:rsidP="008C12B4">
            <w:pPr>
              <w:jc w:val="both"/>
              <w:rPr>
                <w:bCs/>
                <w:sz w:val="20"/>
                <w:szCs w:val="20"/>
              </w:rPr>
            </w:pPr>
            <w:r w:rsidRPr="00154588">
              <w:rPr>
                <w:bCs/>
                <w:sz w:val="20"/>
                <w:szCs w:val="20"/>
              </w:rPr>
              <w:t>b) orice cerință suplimentară de fonduri proprii și datorii eligibile care a fost determinată de Banca Națională a Moldovei, în calitate de autoritate de rezoluție, cu privire la respectiva entitate, în conformitate cu prevederile alin.(3).</w:t>
            </w:r>
          </w:p>
          <w:p w14:paraId="1F59F14F" w14:textId="77777777" w:rsidR="00F4284C" w:rsidRPr="00154588" w:rsidRDefault="00F4284C" w:rsidP="008C12B4">
            <w:pPr>
              <w:jc w:val="both"/>
              <w:rPr>
                <w:bCs/>
                <w:sz w:val="20"/>
                <w:szCs w:val="20"/>
              </w:rPr>
            </w:pPr>
          </w:p>
        </w:tc>
        <w:tc>
          <w:tcPr>
            <w:tcW w:w="2552" w:type="dxa"/>
          </w:tcPr>
          <w:p w14:paraId="6BF38048" w14:textId="4050F0AE" w:rsidR="00F4284C" w:rsidRPr="00154588" w:rsidRDefault="00F4284C" w:rsidP="008C12B4">
            <w:pPr>
              <w:jc w:val="both"/>
              <w:rPr>
                <w:bCs/>
                <w:sz w:val="20"/>
                <w:szCs w:val="20"/>
              </w:rPr>
            </w:pPr>
            <w:r w:rsidRPr="00154588">
              <w:rPr>
                <w:bCs/>
                <w:sz w:val="20"/>
                <w:szCs w:val="20"/>
              </w:rPr>
              <w:t>Compatibil</w:t>
            </w:r>
          </w:p>
        </w:tc>
        <w:tc>
          <w:tcPr>
            <w:tcW w:w="3118" w:type="dxa"/>
          </w:tcPr>
          <w:p w14:paraId="778D4D21" w14:textId="77777777" w:rsidR="00F4284C" w:rsidRPr="00154588" w:rsidRDefault="00F4284C" w:rsidP="008C12B4">
            <w:pPr>
              <w:jc w:val="both"/>
              <w:rPr>
                <w:bCs/>
                <w:sz w:val="20"/>
                <w:szCs w:val="20"/>
              </w:rPr>
            </w:pPr>
          </w:p>
        </w:tc>
      </w:tr>
      <w:tr w:rsidR="00F4284C" w:rsidRPr="00154588" w14:paraId="0A02187B" w14:textId="77777777" w:rsidTr="00D15C1B">
        <w:trPr>
          <w:jc w:val="center"/>
        </w:trPr>
        <w:tc>
          <w:tcPr>
            <w:tcW w:w="4957" w:type="dxa"/>
            <w:gridSpan w:val="2"/>
          </w:tcPr>
          <w:p w14:paraId="29324352" w14:textId="77777777" w:rsidR="00F4284C" w:rsidRPr="00154588" w:rsidRDefault="00F4284C" w:rsidP="008C12B4">
            <w:pPr>
              <w:jc w:val="both"/>
              <w:rPr>
                <w:bCs/>
                <w:sz w:val="20"/>
                <w:szCs w:val="20"/>
              </w:rPr>
            </w:pPr>
            <w:r w:rsidRPr="00154588">
              <w:rPr>
                <w:bCs/>
                <w:sz w:val="20"/>
                <w:szCs w:val="20"/>
              </w:rPr>
              <w:t>(2)   Cerința menționată la articolul 45 alineatul (1) pentru o filială semnificativă din Uniune a unei instituții din categoria G-SII din afara UE cuprinde următoarele:</w:t>
            </w:r>
          </w:p>
          <w:p w14:paraId="3A5240F0" w14:textId="77777777" w:rsidR="00F4284C" w:rsidRPr="00154588" w:rsidRDefault="00F4284C" w:rsidP="008C12B4">
            <w:pPr>
              <w:jc w:val="both"/>
              <w:rPr>
                <w:bCs/>
                <w:sz w:val="20"/>
                <w:szCs w:val="20"/>
              </w:rPr>
            </w:pPr>
          </w:p>
          <w:p w14:paraId="1DF094FA" w14:textId="2006A770" w:rsidR="00F4284C" w:rsidRPr="00154588" w:rsidRDefault="00F4284C" w:rsidP="008C12B4">
            <w:pPr>
              <w:jc w:val="both"/>
              <w:rPr>
                <w:bCs/>
                <w:sz w:val="20"/>
                <w:szCs w:val="20"/>
              </w:rPr>
            </w:pPr>
            <w:r w:rsidRPr="00154588">
              <w:rPr>
                <w:bCs/>
                <w:sz w:val="20"/>
                <w:szCs w:val="20"/>
              </w:rPr>
              <w:t>(a) cerințele menționate la articolele 92b și 494 din Regulamentul (UE) nr. 575/2013; și</w:t>
            </w:r>
          </w:p>
          <w:p w14:paraId="318FEC80" w14:textId="77777777" w:rsidR="00F4284C" w:rsidRPr="00154588" w:rsidRDefault="00F4284C" w:rsidP="008C12B4">
            <w:pPr>
              <w:jc w:val="both"/>
              <w:rPr>
                <w:bCs/>
                <w:sz w:val="20"/>
                <w:szCs w:val="20"/>
              </w:rPr>
            </w:pPr>
          </w:p>
          <w:p w14:paraId="4A775104" w14:textId="27BD1F0F" w:rsidR="00F4284C" w:rsidRPr="00154588" w:rsidRDefault="00F4284C" w:rsidP="008C12B4">
            <w:pPr>
              <w:jc w:val="both"/>
              <w:rPr>
                <w:bCs/>
                <w:sz w:val="20"/>
                <w:szCs w:val="20"/>
              </w:rPr>
            </w:pPr>
            <w:r w:rsidRPr="00154588">
              <w:rPr>
                <w:bCs/>
                <w:sz w:val="20"/>
                <w:szCs w:val="20"/>
              </w:rPr>
              <w:t>(b) orice cerință suplimentară de fonduri proprii și datorii eligibile care a fost stabilită de autoritatea de rezoluție în special în ceea ce privește respectiva entitate în conformitate cu alineatul (3) din prezentul articol, care urmează să fie îndeplinită folosind fonduri proprii și datorii care întrunesc condițiile de la articolul 45f și articolul 89 alineatul (2).</w:t>
            </w:r>
          </w:p>
        </w:tc>
        <w:tc>
          <w:tcPr>
            <w:tcW w:w="4819" w:type="dxa"/>
          </w:tcPr>
          <w:p w14:paraId="2EAD703A" w14:textId="77777777" w:rsidR="00F4284C" w:rsidRPr="00154588" w:rsidRDefault="00F4284C" w:rsidP="008C12B4">
            <w:pPr>
              <w:jc w:val="both"/>
              <w:rPr>
                <w:bCs/>
                <w:sz w:val="20"/>
                <w:szCs w:val="20"/>
              </w:rPr>
            </w:pPr>
            <w:r w:rsidRPr="00154588">
              <w:rPr>
                <w:sz w:val="20"/>
                <w:szCs w:val="20"/>
              </w:rPr>
              <w:t>(2)</w:t>
            </w:r>
            <w:r w:rsidRPr="00154588">
              <w:rPr>
                <w:bCs/>
                <w:sz w:val="20"/>
                <w:szCs w:val="20"/>
              </w:rPr>
              <w:t xml:space="preserve"> Pentru o entitate, care este filială semnificativă din Uniunea Europeană, a unei instituții de tip G-SII din afara UE, cerința prevăzută la art.164 alin.(1) cuprinde:</w:t>
            </w:r>
          </w:p>
          <w:p w14:paraId="4EB71F56" w14:textId="0C60558F" w:rsidR="00F4284C" w:rsidRPr="00154588" w:rsidRDefault="00F4284C" w:rsidP="008C12B4">
            <w:pPr>
              <w:jc w:val="both"/>
              <w:rPr>
                <w:bCs/>
                <w:sz w:val="20"/>
                <w:szCs w:val="20"/>
              </w:rPr>
            </w:pPr>
            <w:r w:rsidRPr="00154588">
              <w:rPr>
                <w:bCs/>
                <w:sz w:val="20"/>
                <w:szCs w:val="20"/>
              </w:rPr>
              <w:t xml:space="preserve">a) </w:t>
            </w:r>
            <w:r w:rsidRPr="00154588">
              <w:rPr>
                <w:sz w:val="20"/>
                <w:szCs w:val="20"/>
              </w:rPr>
              <w:t xml:space="preserve">cerințele </w:t>
            </w:r>
            <w:bookmarkStart w:id="107" w:name="_Hlk234599214"/>
            <w:r w:rsidRPr="00154588">
              <w:rPr>
                <w:sz w:val="20"/>
                <w:szCs w:val="20"/>
              </w:rPr>
              <w:t>privind fondurile proprii și pasivele eligibile pentru G-SII din afara prevăzute în reglementările Băncii Naționale a Moldovei emise in aplicarea art. 60, 61 și 62 din  Legea nr.202/2017</w:t>
            </w:r>
            <w:r w:rsidRPr="00154588">
              <w:rPr>
                <w:bCs/>
                <w:sz w:val="20"/>
                <w:szCs w:val="20"/>
              </w:rPr>
              <w:t xml:space="preserve"> </w:t>
            </w:r>
            <w:bookmarkEnd w:id="107"/>
            <w:r w:rsidRPr="00154588">
              <w:rPr>
                <w:bCs/>
                <w:sz w:val="20"/>
                <w:szCs w:val="20"/>
              </w:rPr>
              <w:t>; și</w:t>
            </w:r>
          </w:p>
          <w:p w14:paraId="6239FDE8" w14:textId="13F24667" w:rsidR="00F4284C" w:rsidRPr="00154588" w:rsidRDefault="00F4284C" w:rsidP="008C12B4">
            <w:pPr>
              <w:jc w:val="both"/>
              <w:rPr>
                <w:bCs/>
                <w:sz w:val="20"/>
                <w:szCs w:val="20"/>
              </w:rPr>
            </w:pPr>
            <w:r w:rsidRPr="00154588">
              <w:rPr>
                <w:bCs/>
                <w:sz w:val="20"/>
                <w:szCs w:val="20"/>
              </w:rPr>
              <w:t xml:space="preserve">b) orice cerință suplimentară de fonduri proprii și datorii eligibile care a fost stabilită de Banca Națională a Moldovei, în calitate de autoritate de rezoluție, cu privire la respectiva entitate, în conformitate cu prevederile alin.(3), și care trebuie să fie îndeplinită folosind fonduri proprii și datorii care </w:t>
            </w:r>
            <w:r w:rsidRPr="00154588">
              <w:rPr>
                <w:bCs/>
                <w:sz w:val="20"/>
                <w:szCs w:val="20"/>
              </w:rPr>
              <w:lastRenderedPageBreak/>
              <w:t xml:space="preserve">respectă condițiile prevăzute la </w:t>
            </w:r>
            <w:bookmarkStart w:id="108" w:name="_Hlk234599236"/>
            <w:r w:rsidRPr="00154588">
              <w:rPr>
                <w:bCs/>
                <w:sz w:val="20"/>
                <w:szCs w:val="20"/>
              </w:rPr>
              <w:t>art.167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Pr="00154588">
              <w:rPr>
                <w:bCs/>
                <w:sz w:val="20"/>
                <w:szCs w:val="20"/>
              </w:rPr>
              <w:t xml:space="preserve"> și art.295</w:t>
            </w:r>
            <w:r w:rsidRPr="00154588">
              <w:rPr>
                <w:bCs/>
                <w:sz w:val="20"/>
                <w:szCs w:val="20"/>
                <w:vertAlign w:val="superscript"/>
              </w:rPr>
              <w:t>9</w:t>
            </w:r>
            <w:r w:rsidRPr="00154588">
              <w:rPr>
                <w:bCs/>
                <w:sz w:val="20"/>
                <w:szCs w:val="20"/>
              </w:rPr>
              <w:t>.</w:t>
            </w:r>
          </w:p>
          <w:bookmarkEnd w:id="108"/>
          <w:p w14:paraId="6994456B" w14:textId="77777777" w:rsidR="00F4284C" w:rsidRPr="00154588" w:rsidRDefault="00F4284C" w:rsidP="008C12B4">
            <w:pPr>
              <w:jc w:val="both"/>
              <w:rPr>
                <w:bCs/>
                <w:sz w:val="20"/>
                <w:szCs w:val="20"/>
              </w:rPr>
            </w:pPr>
          </w:p>
        </w:tc>
        <w:tc>
          <w:tcPr>
            <w:tcW w:w="2552" w:type="dxa"/>
          </w:tcPr>
          <w:p w14:paraId="1975B1C9" w14:textId="7C2E243D"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533236DF" w14:textId="77777777" w:rsidR="00F4284C" w:rsidRPr="00154588" w:rsidRDefault="00F4284C" w:rsidP="008C12B4">
            <w:pPr>
              <w:jc w:val="both"/>
              <w:rPr>
                <w:bCs/>
                <w:sz w:val="20"/>
                <w:szCs w:val="20"/>
              </w:rPr>
            </w:pPr>
          </w:p>
        </w:tc>
      </w:tr>
      <w:tr w:rsidR="00F4284C" w:rsidRPr="00154588" w14:paraId="4FA54C05" w14:textId="77777777" w:rsidTr="00D15C1B">
        <w:trPr>
          <w:jc w:val="center"/>
        </w:trPr>
        <w:tc>
          <w:tcPr>
            <w:tcW w:w="4957" w:type="dxa"/>
            <w:gridSpan w:val="2"/>
          </w:tcPr>
          <w:p w14:paraId="11ABE9C1" w14:textId="77777777" w:rsidR="00F4284C" w:rsidRPr="00154588" w:rsidRDefault="00F4284C" w:rsidP="008C12B4">
            <w:pPr>
              <w:jc w:val="both"/>
              <w:rPr>
                <w:bCs/>
                <w:sz w:val="20"/>
                <w:szCs w:val="20"/>
              </w:rPr>
            </w:pPr>
            <w:r w:rsidRPr="00154588">
              <w:rPr>
                <w:bCs/>
                <w:sz w:val="20"/>
                <w:szCs w:val="20"/>
              </w:rPr>
              <w:t>(3)   Autoritatea de rezoluție impune o cerință suplimentară de fonduri proprii și datorii eligibile, menționată la alineatul (1) litera (b) și la alineatul (2) litera (b), numai:</w:t>
            </w:r>
          </w:p>
          <w:p w14:paraId="72AB1432" w14:textId="77777777" w:rsidR="00F4284C" w:rsidRPr="00154588" w:rsidRDefault="00F4284C" w:rsidP="008C12B4">
            <w:pPr>
              <w:jc w:val="both"/>
              <w:rPr>
                <w:bCs/>
                <w:sz w:val="20"/>
                <w:szCs w:val="20"/>
              </w:rPr>
            </w:pPr>
          </w:p>
          <w:p w14:paraId="48067019" w14:textId="30C43828" w:rsidR="00F4284C" w:rsidRPr="00154588" w:rsidRDefault="00F4284C" w:rsidP="008C12B4">
            <w:pPr>
              <w:jc w:val="both"/>
              <w:rPr>
                <w:bCs/>
                <w:sz w:val="20"/>
                <w:szCs w:val="20"/>
              </w:rPr>
            </w:pPr>
            <w:r w:rsidRPr="00154588">
              <w:rPr>
                <w:bCs/>
                <w:sz w:val="20"/>
                <w:szCs w:val="20"/>
              </w:rPr>
              <w:t>(a) în cazul în care cerința menționată la alineatul (1) litera (a) sau la alineatul (2) litera (a) din prezentul articol nu este suficientă pentru a îndeplini condițiile prevăzute la articolul 45c; și</w:t>
            </w:r>
          </w:p>
          <w:p w14:paraId="3A074686" w14:textId="77777777" w:rsidR="00F4284C" w:rsidRPr="00154588" w:rsidRDefault="00F4284C" w:rsidP="008C12B4">
            <w:pPr>
              <w:jc w:val="both"/>
              <w:rPr>
                <w:bCs/>
                <w:sz w:val="20"/>
                <w:szCs w:val="20"/>
              </w:rPr>
            </w:pPr>
          </w:p>
          <w:p w14:paraId="53143CD7" w14:textId="2429A880" w:rsidR="00F4284C" w:rsidRPr="00154588" w:rsidRDefault="00F4284C" w:rsidP="008C12B4">
            <w:pPr>
              <w:jc w:val="both"/>
              <w:rPr>
                <w:bCs/>
                <w:sz w:val="20"/>
                <w:szCs w:val="20"/>
              </w:rPr>
            </w:pPr>
            <w:r w:rsidRPr="00154588">
              <w:rPr>
                <w:bCs/>
                <w:sz w:val="20"/>
                <w:szCs w:val="20"/>
              </w:rPr>
              <w:t>(b) în măsura în care se asigură îndeplinirea condițiilor prevăzute la articolul 45c.</w:t>
            </w:r>
          </w:p>
        </w:tc>
        <w:tc>
          <w:tcPr>
            <w:tcW w:w="4819" w:type="dxa"/>
          </w:tcPr>
          <w:p w14:paraId="51720D2F" w14:textId="77777777" w:rsidR="00F4284C" w:rsidRPr="00154588" w:rsidRDefault="00F4284C" w:rsidP="008C12B4">
            <w:pPr>
              <w:jc w:val="both"/>
              <w:rPr>
                <w:bCs/>
                <w:sz w:val="20"/>
                <w:szCs w:val="20"/>
              </w:rPr>
            </w:pPr>
            <w:r w:rsidRPr="00154588">
              <w:rPr>
                <w:bCs/>
                <w:sz w:val="20"/>
                <w:szCs w:val="20"/>
              </w:rPr>
              <w:t>(3) Banca Națională a Moldovei, în calitate de autoritate de rezoluție, impune o cerință suplimentară de fonduri proprii și datorii eligibile, în baza prevederilor alin.(1) lit.b) și alin.(2) lit.b), doar:</w:t>
            </w:r>
          </w:p>
          <w:p w14:paraId="1F70B059" w14:textId="7E240D31" w:rsidR="00F4284C" w:rsidRPr="00154588" w:rsidRDefault="00F4284C" w:rsidP="008C12B4">
            <w:pPr>
              <w:jc w:val="both"/>
              <w:rPr>
                <w:bCs/>
                <w:sz w:val="20"/>
                <w:szCs w:val="20"/>
              </w:rPr>
            </w:pPr>
            <w:r w:rsidRPr="00154588">
              <w:rPr>
                <w:bCs/>
                <w:sz w:val="20"/>
                <w:szCs w:val="20"/>
              </w:rPr>
              <w:t>a) în măsura în care cerința prevăzută la alin.(1) lit.a) sau la alin.(2) lit.a)</w:t>
            </w:r>
            <w:r w:rsidRPr="00154588">
              <w:rPr>
                <w:sz w:val="20"/>
                <w:szCs w:val="20"/>
              </w:rPr>
              <w:t xml:space="preserve"> </w:t>
            </w:r>
            <w:r w:rsidRPr="00154588">
              <w:rPr>
                <w:bCs/>
                <w:sz w:val="20"/>
                <w:szCs w:val="20"/>
              </w:rPr>
              <w:t>din prezentul articol nu este suficientă pentru a îndeplini condițiile prevăzute la art.167 și 167</w:t>
            </w:r>
            <w:r w:rsidRPr="00154588">
              <w:rPr>
                <w:bCs/>
                <w:sz w:val="20"/>
                <w:szCs w:val="20"/>
                <w:vertAlign w:val="superscript"/>
              </w:rPr>
              <w:t>5</w:t>
            </w:r>
            <w:r w:rsidRPr="00154588">
              <w:rPr>
                <w:bCs/>
                <w:sz w:val="20"/>
                <w:szCs w:val="20"/>
              </w:rPr>
              <w:t>-167</w:t>
            </w:r>
            <w:r w:rsidRPr="00154588">
              <w:rPr>
                <w:bCs/>
                <w:sz w:val="20"/>
                <w:szCs w:val="20"/>
                <w:vertAlign w:val="superscript"/>
              </w:rPr>
              <w:t>12</w:t>
            </w:r>
            <w:r w:rsidRPr="00154588">
              <w:rPr>
                <w:bCs/>
                <w:sz w:val="20"/>
                <w:szCs w:val="20"/>
              </w:rPr>
              <w:t>; și</w:t>
            </w:r>
          </w:p>
          <w:p w14:paraId="412A0BDE" w14:textId="77777777" w:rsidR="00F4284C" w:rsidRPr="00154588" w:rsidRDefault="00F4284C" w:rsidP="008C12B4">
            <w:pPr>
              <w:jc w:val="both"/>
              <w:rPr>
                <w:bCs/>
                <w:sz w:val="20"/>
                <w:szCs w:val="20"/>
              </w:rPr>
            </w:pPr>
            <w:r w:rsidRPr="00154588">
              <w:rPr>
                <w:bCs/>
                <w:sz w:val="20"/>
                <w:szCs w:val="20"/>
              </w:rPr>
              <w:t>b) în limita necesară asigurării îndeplinirii condițiilor prevăzute la art.167 și 167</w:t>
            </w:r>
            <w:r w:rsidRPr="00154588">
              <w:rPr>
                <w:bCs/>
                <w:sz w:val="20"/>
                <w:szCs w:val="20"/>
                <w:vertAlign w:val="superscript"/>
              </w:rPr>
              <w:t>5</w:t>
            </w:r>
            <w:r w:rsidRPr="00154588">
              <w:rPr>
                <w:bCs/>
                <w:sz w:val="20"/>
                <w:szCs w:val="20"/>
              </w:rPr>
              <w:t>–167</w:t>
            </w:r>
            <w:r w:rsidRPr="00154588">
              <w:rPr>
                <w:bCs/>
                <w:sz w:val="20"/>
                <w:szCs w:val="20"/>
                <w:vertAlign w:val="superscript"/>
              </w:rPr>
              <w:t>12</w:t>
            </w:r>
            <w:r w:rsidRPr="00154588">
              <w:rPr>
                <w:bCs/>
                <w:sz w:val="20"/>
                <w:szCs w:val="20"/>
              </w:rPr>
              <w:t>.</w:t>
            </w:r>
          </w:p>
          <w:p w14:paraId="1E47906B" w14:textId="77777777" w:rsidR="00F4284C" w:rsidRPr="00154588" w:rsidRDefault="00F4284C" w:rsidP="008C12B4">
            <w:pPr>
              <w:jc w:val="both"/>
              <w:rPr>
                <w:bCs/>
                <w:sz w:val="20"/>
                <w:szCs w:val="20"/>
              </w:rPr>
            </w:pPr>
          </w:p>
        </w:tc>
        <w:tc>
          <w:tcPr>
            <w:tcW w:w="2552" w:type="dxa"/>
          </w:tcPr>
          <w:p w14:paraId="479E79B7" w14:textId="113140FB" w:rsidR="00F4284C" w:rsidRPr="00154588" w:rsidRDefault="00F4284C" w:rsidP="008C12B4">
            <w:pPr>
              <w:jc w:val="both"/>
              <w:rPr>
                <w:bCs/>
                <w:sz w:val="20"/>
                <w:szCs w:val="20"/>
              </w:rPr>
            </w:pPr>
            <w:r w:rsidRPr="00154588">
              <w:rPr>
                <w:bCs/>
                <w:sz w:val="20"/>
                <w:szCs w:val="20"/>
              </w:rPr>
              <w:t>Compatibil</w:t>
            </w:r>
          </w:p>
        </w:tc>
        <w:tc>
          <w:tcPr>
            <w:tcW w:w="3118" w:type="dxa"/>
          </w:tcPr>
          <w:p w14:paraId="25B03600" w14:textId="77777777" w:rsidR="00F4284C" w:rsidRPr="00154588" w:rsidRDefault="00F4284C" w:rsidP="008C12B4">
            <w:pPr>
              <w:jc w:val="both"/>
              <w:rPr>
                <w:bCs/>
                <w:sz w:val="20"/>
                <w:szCs w:val="20"/>
              </w:rPr>
            </w:pPr>
          </w:p>
        </w:tc>
      </w:tr>
      <w:tr w:rsidR="00F4284C" w:rsidRPr="00154588" w14:paraId="0A5066A5" w14:textId="77777777" w:rsidTr="00D15C1B">
        <w:trPr>
          <w:jc w:val="center"/>
        </w:trPr>
        <w:tc>
          <w:tcPr>
            <w:tcW w:w="4957" w:type="dxa"/>
            <w:gridSpan w:val="2"/>
          </w:tcPr>
          <w:p w14:paraId="568E475A" w14:textId="77777777" w:rsidR="00F4284C" w:rsidRPr="00154588" w:rsidRDefault="00F4284C" w:rsidP="008C12B4">
            <w:pPr>
              <w:jc w:val="both"/>
              <w:rPr>
                <w:bCs/>
                <w:sz w:val="20"/>
                <w:szCs w:val="20"/>
              </w:rPr>
            </w:pPr>
            <w:r w:rsidRPr="00154588">
              <w:rPr>
                <w:bCs/>
                <w:sz w:val="20"/>
                <w:szCs w:val="20"/>
              </w:rPr>
              <w:t>(4)   În sensul articolului 45h alineatul (2), în cazul în care mai multe entități din categoria G-SII care fac parte din aceeași G-SII sunt entități de rezoluție sau entități dintr-o țară terță care ar fi entități de rezoluție dacă ar fi stabilite în Uniune, autoritățile de rezoluție relevante calculează cuantumul menționat la alineatul (3) de la prezentul articol:</w:t>
            </w:r>
          </w:p>
          <w:p w14:paraId="579D5966" w14:textId="77777777" w:rsidR="00F4284C" w:rsidRPr="00154588" w:rsidRDefault="00F4284C" w:rsidP="008C12B4">
            <w:pPr>
              <w:jc w:val="both"/>
              <w:rPr>
                <w:bCs/>
                <w:sz w:val="20"/>
                <w:szCs w:val="20"/>
              </w:rPr>
            </w:pPr>
          </w:p>
          <w:p w14:paraId="3F01F58C" w14:textId="77777777" w:rsidR="00F4284C" w:rsidRPr="00154588" w:rsidRDefault="00F4284C" w:rsidP="008C12B4">
            <w:pPr>
              <w:jc w:val="both"/>
              <w:rPr>
                <w:bCs/>
                <w:sz w:val="20"/>
                <w:szCs w:val="20"/>
              </w:rPr>
            </w:pPr>
          </w:p>
          <w:p w14:paraId="5754E265" w14:textId="2695B068" w:rsidR="00F4284C" w:rsidRPr="00154588" w:rsidRDefault="00F4284C" w:rsidP="008C12B4">
            <w:pPr>
              <w:jc w:val="both"/>
              <w:rPr>
                <w:bCs/>
                <w:sz w:val="20"/>
                <w:szCs w:val="20"/>
              </w:rPr>
            </w:pPr>
            <w:r w:rsidRPr="00154588">
              <w:rPr>
                <w:bCs/>
                <w:sz w:val="20"/>
                <w:szCs w:val="20"/>
              </w:rPr>
              <w:t>(a) pentru fiecare entitate de rezoluție sau entitate dintr-o țară terță care ar fi o entitate de rezoluție dacă ar fi stabilită în Uniune;</w:t>
            </w:r>
          </w:p>
          <w:p w14:paraId="6E7E237E" w14:textId="77777777" w:rsidR="00F4284C" w:rsidRPr="00154588" w:rsidRDefault="00F4284C" w:rsidP="008C12B4">
            <w:pPr>
              <w:jc w:val="both"/>
              <w:rPr>
                <w:bCs/>
                <w:sz w:val="20"/>
                <w:szCs w:val="20"/>
              </w:rPr>
            </w:pPr>
          </w:p>
          <w:p w14:paraId="27CC1FE2" w14:textId="67DAF488" w:rsidR="00F4284C" w:rsidRPr="00154588" w:rsidRDefault="00F4284C" w:rsidP="008C12B4">
            <w:pPr>
              <w:jc w:val="both"/>
              <w:rPr>
                <w:bCs/>
                <w:sz w:val="20"/>
                <w:szCs w:val="20"/>
              </w:rPr>
            </w:pPr>
            <w:r w:rsidRPr="00154588">
              <w:rPr>
                <w:bCs/>
                <w:sz w:val="20"/>
                <w:szCs w:val="20"/>
              </w:rPr>
              <w:t>(b) pentru întreprinderea-mamă din Uniune, ca și cum ar fi singura entitate de rezoluție din cadrul instituției din categoria G-SII.</w:t>
            </w:r>
          </w:p>
        </w:tc>
        <w:tc>
          <w:tcPr>
            <w:tcW w:w="4819" w:type="dxa"/>
          </w:tcPr>
          <w:p w14:paraId="56303F35" w14:textId="5083A7BF" w:rsidR="00F4284C" w:rsidRPr="00154588" w:rsidRDefault="00F4284C" w:rsidP="008C12B4">
            <w:pPr>
              <w:jc w:val="both"/>
              <w:rPr>
                <w:bCs/>
                <w:sz w:val="20"/>
                <w:szCs w:val="20"/>
              </w:rPr>
            </w:pPr>
            <w:r w:rsidRPr="00154588">
              <w:rPr>
                <w:bCs/>
                <w:sz w:val="20"/>
                <w:szCs w:val="20"/>
              </w:rPr>
              <w:t>(4) În sensul prevederilor art.165</w:t>
            </w:r>
            <w:r w:rsidRPr="00154588">
              <w:rPr>
                <w:bCs/>
                <w:sz w:val="20"/>
                <w:szCs w:val="20"/>
                <w:vertAlign w:val="superscript"/>
              </w:rPr>
              <w:t>22</w:t>
            </w:r>
            <w:r w:rsidRPr="00154588">
              <w:rPr>
                <w:bCs/>
                <w:sz w:val="20"/>
                <w:szCs w:val="20"/>
              </w:rPr>
              <w:t>, în cazul în care mai multe entități G-SII, aparținând aceleiași instituții de tip G-SII, sunt entități de rezoluție, sau entități din state terțe care ar fi entități de rezoluție dacă ar fi stabilite în Uniunea Europeană, Banca Națională a Moldovei, în calitate de autoritate de rezoluție, calculează cuantumul prevăzut la alin.(3):</w:t>
            </w:r>
          </w:p>
          <w:p w14:paraId="13F5CB18" w14:textId="24D98A54" w:rsidR="00F4284C" w:rsidRPr="00154588" w:rsidRDefault="00F4284C" w:rsidP="008C12B4">
            <w:pPr>
              <w:jc w:val="both"/>
              <w:rPr>
                <w:bCs/>
                <w:sz w:val="20"/>
                <w:szCs w:val="20"/>
              </w:rPr>
            </w:pPr>
            <w:r w:rsidRPr="00154588">
              <w:rPr>
                <w:bCs/>
                <w:sz w:val="20"/>
                <w:szCs w:val="20"/>
              </w:rPr>
              <w:t>a) pentru fiecare entitate de rezoluție sau entitate din state terțe care ar fi entități de rezoluție dacă ar fi stabilite în Uniunea Europeană;</w:t>
            </w:r>
          </w:p>
          <w:p w14:paraId="577D0E57" w14:textId="77777777" w:rsidR="00F4284C" w:rsidRPr="00154588" w:rsidRDefault="00F4284C" w:rsidP="008C12B4">
            <w:pPr>
              <w:jc w:val="both"/>
              <w:rPr>
                <w:bCs/>
                <w:sz w:val="20"/>
                <w:szCs w:val="20"/>
              </w:rPr>
            </w:pPr>
            <w:r w:rsidRPr="00154588">
              <w:rPr>
                <w:bCs/>
                <w:sz w:val="20"/>
                <w:szCs w:val="20"/>
              </w:rPr>
              <w:t>b) pentru întreprinderea-mamă din Uniunea Europeană, atunci când aceasta este persoană juridică înregistrată în Republica Moldova, ca și cum ar fi singura entitate de rezoluție din cadrul instituției de tip G-SII.</w:t>
            </w:r>
          </w:p>
          <w:p w14:paraId="7895799B" w14:textId="77777777" w:rsidR="00F4284C" w:rsidRPr="00154588" w:rsidRDefault="00F4284C" w:rsidP="008C12B4">
            <w:pPr>
              <w:jc w:val="both"/>
              <w:rPr>
                <w:bCs/>
                <w:sz w:val="20"/>
                <w:szCs w:val="20"/>
              </w:rPr>
            </w:pPr>
          </w:p>
        </w:tc>
        <w:tc>
          <w:tcPr>
            <w:tcW w:w="2552" w:type="dxa"/>
          </w:tcPr>
          <w:p w14:paraId="2593D1FA" w14:textId="2996AABC" w:rsidR="00F4284C" w:rsidRPr="00154588" w:rsidRDefault="00F4284C" w:rsidP="008C12B4">
            <w:pPr>
              <w:jc w:val="both"/>
              <w:rPr>
                <w:bCs/>
                <w:sz w:val="20"/>
                <w:szCs w:val="20"/>
              </w:rPr>
            </w:pPr>
            <w:r w:rsidRPr="00154588">
              <w:rPr>
                <w:bCs/>
                <w:sz w:val="20"/>
                <w:szCs w:val="20"/>
              </w:rPr>
              <w:t>Compatibil</w:t>
            </w:r>
          </w:p>
        </w:tc>
        <w:tc>
          <w:tcPr>
            <w:tcW w:w="3118" w:type="dxa"/>
          </w:tcPr>
          <w:p w14:paraId="32EB3771" w14:textId="77777777" w:rsidR="00F4284C" w:rsidRPr="00154588" w:rsidRDefault="00F4284C" w:rsidP="008C12B4">
            <w:pPr>
              <w:jc w:val="both"/>
              <w:rPr>
                <w:bCs/>
                <w:sz w:val="20"/>
                <w:szCs w:val="20"/>
              </w:rPr>
            </w:pPr>
          </w:p>
        </w:tc>
      </w:tr>
      <w:tr w:rsidR="00F4284C" w:rsidRPr="00154588" w14:paraId="6FCD6618" w14:textId="77777777" w:rsidTr="00D15C1B">
        <w:trPr>
          <w:jc w:val="center"/>
        </w:trPr>
        <w:tc>
          <w:tcPr>
            <w:tcW w:w="4957" w:type="dxa"/>
            <w:gridSpan w:val="2"/>
          </w:tcPr>
          <w:p w14:paraId="405924B8" w14:textId="2665F6B2" w:rsidR="00F4284C" w:rsidRPr="00154588" w:rsidRDefault="00F4284C" w:rsidP="008C12B4">
            <w:pPr>
              <w:jc w:val="both"/>
              <w:rPr>
                <w:bCs/>
                <w:sz w:val="20"/>
                <w:szCs w:val="20"/>
              </w:rPr>
            </w:pPr>
            <w:r w:rsidRPr="00154588">
              <w:rPr>
                <w:bCs/>
                <w:sz w:val="20"/>
                <w:szCs w:val="20"/>
              </w:rPr>
              <w:t>(5)   Orice decizie a autorității de rezoluție de a impune o cerință suplimentară de fonduri proprii și datorii eligibile în temeiul alineatului (1) litera (b) din prezentul articol sau al alineatului (2) litera (b) din prezentul articol conține motivele deciziei respective, inclusiv o evaluare completă a elementelor menționate la alineatul (3) din prezentul articol, și este revizuită de autoritatea de rezoluție fără întârzieri nejustificate pentru a reflecta eventualele modificări ale nivelului cerinței menționate la articolul 104a din Directiva 2013/36/UE și care se aplică grupului de rezoluție sau filialei semnificative din Uniune a unei instituții din categoria G-SII din afara UE.</w:t>
            </w:r>
          </w:p>
        </w:tc>
        <w:tc>
          <w:tcPr>
            <w:tcW w:w="4819" w:type="dxa"/>
          </w:tcPr>
          <w:p w14:paraId="4E6BEBE1" w14:textId="792A1CC2" w:rsidR="00F4284C" w:rsidRPr="00154588" w:rsidRDefault="00F4284C" w:rsidP="008C12B4">
            <w:pPr>
              <w:jc w:val="both"/>
              <w:rPr>
                <w:bCs/>
                <w:sz w:val="20"/>
                <w:szCs w:val="20"/>
              </w:rPr>
            </w:pPr>
            <w:r w:rsidRPr="00154588">
              <w:rPr>
                <w:bCs/>
                <w:sz w:val="20"/>
                <w:szCs w:val="20"/>
              </w:rPr>
              <w:t xml:space="preserve">(5) Orice decizie a Băncii Naționale a Moldovei, în calitate de autoritate de rezoluție, de a impune o cerință suplimentară de fonduri proprii și datorii eligibile în temeiul alin.(1) lit.b) sau alin.(2) lit.b) </w:t>
            </w:r>
            <w:bookmarkStart w:id="109" w:name="_Hlk234599403"/>
            <w:r w:rsidRPr="00154588">
              <w:rPr>
                <w:bCs/>
                <w:sz w:val="20"/>
                <w:szCs w:val="20"/>
              </w:rPr>
              <w:t xml:space="preserve">conține motivele deciziei respective, inclusiv o evaluare completă a </w:t>
            </w:r>
            <w:bookmarkEnd w:id="109"/>
            <w:r w:rsidRPr="00154588">
              <w:rPr>
                <w:bCs/>
                <w:sz w:val="20"/>
                <w:szCs w:val="20"/>
              </w:rPr>
              <w:t>elementelor prevăzute la alin.(3).</w:t>
            </w:r>
          </w:p>
          <w:p w14:paraId="297B363E" w14:textId="37CA5433" w:rsidR="00F4284C" w:rsidRPr="00154588" w:rsidRDefault="00F4284C" w:rsidP="008C12B4">
            <w:pPr>
              <w:jc w:val="both"/>
              <w:rPr>
                <w:bCs/>
                <w:sz w:val="20"/>
                <w:szCs w:val="20"/>
              </w:rPr>
            </w:pPr>
            <w:r w:rsidRPr="00154588">
              <w:rPr>
                <w:bCs/>
                <w:sz w:val="20"/>
                <w:szCs w:val="20"/>
              </w:rPr>
              <w:t>(6) Decizia prevăzută la alin.(5) se revizuiește fără întârzieri nejustificate, de către Banca Națională a Moldovei, în calitate de autoritate de rezoluție, astfel încât să reflecte orice modificări ale nivelului cerinței prevăzute de art.139</w:t>
            </w:r>
            <w:r w:rsidRPr="00154588">
              <w:rPr>
                <w:bCs/>
                <w:sz w:val="20"/>
                <w:szCs w:val="20"/>
                <w:vertAlign w:val="superscript"/>
              </w:rPr>
              <w:t>1</w:t>
            </w:r>
            <w:r w:rsidRPr="00154588">
              <w:rPr>
                <w:bCs/>
                <w:sz w:val="20"/>
                <w:szCs w:val="20"/>
              </w:rPr>
              <w:t xml:space="preserve"> din Legea nr.202/2017, aplicabilă entității de rezoluție, la nivelul consolidat al </w:t>
            </w:r>
            <w:r w:rsidRPr="00154588">
              <w:rPr>
                <w:bCs/>
                <w:sz w:val="20"/>
                <w:szCs w:val="20"/>
              </w:rPr>
              <w:lastRenderedPageBreak/>
              <w:t>grupului de rezoluție sau entității filială semnificativă din Uniune a unei instituții de tip GSII din afara UE.</w:t>
            </w:r>
          </w:p>
        </w:tc>
        <w:tc>
          <w:tcPr>
            <w:tcW w:w="2552" w:type="dxa"/>
          </w:tcPr>
          <w:p w14:paraId="0908D5C9" w14:textId="1420C810"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32FE4448" w14:textId="77777777" w:rsidR="00F4284C" w:rsidRPr="00154588" w:rsidRDefault="00F4284C" w:rsidP="008C12B4">
            <w:pPr>
              <w:jc w:val="both"/>
              <w:rPr>
                <w:bCs/>
                <w:sz w:val="20"/>
                <w:szCs w:val="20"/>
              </w:rPr>
            </w:pPr>
          </w:p>
        </w:tc>
      </w:tr>
      <w:tr w:rsidR="00F4284C" w:rsidRPr="00154588" w14:paraId="33397CEA" w14:textId="77777777" w:rsidTr="00D15C1B">
        <w:trPr>
          <w:jc w:val="center"/>
        </w:trPr>
        <w:tc>
          <w:tcPr>
            <w:tcW w:w="4957" w:type="dxa"/>
            <w:gridSpan w:val="2"/>
          </w:tcPr>
          <w:p w14:paraId="0DC07B3E" w14:textId="77777777" w:rsidR="00F4284C" w:rsidRPr="00154588" w:rsidRDefault="00F4284C" w:rsidP="008C12B4">
            <w:pPr>
              <w:jc w:val="both"/>
              <w:rPr>
                <w:b/>
                <w:sz w:val="20"/>
                <w:szCs w:val="20"/>
              </w:rPr>
            </w:pPr>
            <w:r w:rsidRPr="00154588">
              <w:rPr>
                <w:b/>
                <w:sz w:val="20"/>
                <w:szCs w:val="20"/>
              </w:rPr>
              <w:t>Articolul 45e</w:t>
            </w:r>
          </w:p>
          <w:p w14:paraId="2C44A01D" w14:textId="77777777" w:rsidR="00F4284C" w:rsidRPr="00154588" w:rsidRDefault="00F4284C" w:rsidP="008C12B4">
            <w:pPr>
              <w:jc w:val="both"/>
              <w:rPr>
                <w:b/>
                <w:sz w:val="20"/>
                <w:szCs w:val="20"/>
              </w:rPr>
            </w:pPr>
          </w:p>
          <w:p w14:paraId="485F870A" w14:textId="5FBF40EA" w:rsidR="00F4284C" w:rsidRPr="00154588" w:rsidRDefault="00F4284C" w:rsidP="008C12B4">
            <w:pPr>
              <w:jc w:val="both"/>
              <w:rPr>
                <w:bCs/>
                <w:sz w:val="20"/>
                <w:szCs w:val="20"/>
              </w:rPr>
            </w:pPr>
            <w:r w:rsidRPr="00154588">
              <w:rPr>
                <w:b/>
                <w:sz w:val="20"/>
                <w:szCs w:val="20"/>
              </w:rPr>
              <w:t>Aplicarea cerinței minime de fonduri proprii și datorii eligibile în cazul entităților de rezoluție</w:t>
            </w:r>
          </w:p>
        </w:tc>
        <w:tc>
          <w:tcPr>
            <w:tcW w:w="4819" w:type="dxa"/>
          </w:tcPr>
          <w:p w14:paraId="24BB562C" w14:textId="77777777" w:rsidR="00F4284C" w:rsidRPr="00154588" w:rsidRDefault="00F4284C" w:rsidP="008C12B4">
            <w:pPr>
              <w:jc w:val="both"/>
              <w:rPr>
                <w:bCs/>
                <w:sz w:val="20"/>
                <w:szCs w:val="20"/>
              </w:rPr>
            </w:pPr>
          </w:p>
        </w:tc>
        <w:tc>
          <w:tcPr>
            <w:tcW w:w="2552" w:type="dxa"/>
          </w:tcPr>
          <w:p w14:paraId="20A30557" w14:textId="77777777" w:rsidR="00F4284C" w:rsidRPr="00154588" w:rsidRDefault="00F4284C" w:rsidP="008C12B4">
            <w:pPr>
              <w:jc w:val="both"/>
              <w:rPr>
                <w:bCs/>
                <w:sz w:val="20"/>
                <w:szCs w:val="20"/>
              </w:rPr>
            </w:pPr>
          </w:p>
        </w:tc>
        <w:tc>
          <w:tcPr>
            <w:tcW w:w="3118" w:type="dxa"/>
          </w:tcPr>
          <w:p w14:paraId="2910974D" w14:textId="77777777" w:rsidR="00F4284C" w:rsidRPr="00154588" w:rsidRDefault="00F4284C" w:rsidP="008C12B4">
            <w:pPr>
              <w:jc w:val="both"/>
              <w:rPr>
                <w:bCs/>
                <w:sz w:val="20"/>
                <w:szCs w:val="20"/>
              </w:rPr>
            </w:pPr>
          </w:p>
        </w:tc>
      </w:tr>
      <w:tr w:rsidR="00F4284C" w:rsidRPr="00154588" w14:paraId="6151CD23" w14:textId="77777777" w:rsidTr="00D15C1B">
        <w:trPr>
          <w:jc w:val="center"/>
        </w:trPr>
        <w:tc>
          <w:tcPr>
            <w:tcW w:w="4957" w:type="dxa"/>
            <w:gridSpan w:val="2"/>
          </w:tcPr>
          <w:p w14:paraId="206F4435" w14:textId="4E6E48C7" w:rsidR="00F4284C" w:rsidRPr="00154588" w:rsidRDefault="00F4284C" w:rsidP="008C12B4">
            <w:pPr>
              <w:jc w:val="both"/>
              <w:rPr>
                <w:bCs/>
                <w:sz w:val="20"/>
                <w:szCs w:val="20"/>
              </w:rPr>
            </w:pPr>
            <w:r w:rsidRPr="00154588">
              <w:rPr>
                <w:bCs/>
                <w:sz w:val="20"/>
                <w:szCs w:val="20"/>
              </w:rPr>
              <w:t>(1)   Entitățile de rezoluție respectă cerințele prevăzute la articolele 45b-45d pe bază consolidată la nivelul grupului de rezoluție.</w:t>
            </w:r>
          </w:p>
        </w:tc>
        <w:tc>
          <w:tcPr>
            <w:tcW w:w="4819" w:type="dxa"/>
          </w:tcPr>
          <w:p w14:paraId="5DAA2BE9" w14:textId="5D333803" w:rsidR="00F4284C" w:rsidRPr="00154588" w:rsidRDefault="00F4284C" w:rsidP="008C12B4">
            <w:pPr>
              <w:jc w:val="both"/>
              <w:rPr>
                <w:bCs/>
                <w:sz w:val="20"/>
                <w:szCs w:val="20"/>
              </w:rPr>
            </w:pPr>
            <w:r w:rsidRPr="00154588">
              <w:rPr>
                <w:b/>
                <w:bCs/>
                <w:sz w:val="20"/>
                <w:szCs w:val="20"/>
              </w:rPr>
              <w:t>Articolul 167</w:t>
            </w:r>
            <w:r w:rsidRPr="00154588">
              <w:rPr>
                <w:b/>
                <w:bCs/>
                <w:sz w:val="20"/>
                <w:szCs w:val="20"/>
                <w:vertAlign w:val="superscript"/>
              </w:rPr>
              <w:t>14</w:t>
            </w:r>
            <w:r w:rsidRPr="00154588">
              <w:rPr>
                <w:b/>
                <w:bCs/>
                <w:sz w:val="20"/>
                <w:szCs w:val="20"/>
              </w:rPr>
              <w:t>.</w:t>
            </w:r>
            <w:r w:rsidRPr="00154588">
              <w:rPr>
                <w:bCs/>
                <w:sz w:val="20"/>
                <w:szCs w:val="20"/>
              </w:rPr>
              <w:t xml:space="preserve"> – (1) Entitățile de rezoluție, respectă cerințele prevăzute la art.165–167</w:t>
            </w:r>
            <w:r w:rsidRPr="00154588">
              <w:rPr>
                <w:bCs/>
                <w:sz w:val="20"/>
                <w:szCs w:val="20"/>
                <w:vertAlign w:val="superscript"/>
              </w:rPr>
              <w:t>13</w:t>
            </w:r>
            <w:r w:rsidRPr="00154588">
              <w:rPr>
                <w:bCs/>
                <w:sz w:val="20"/>
                <w:szCs w:val="20"/>
              </w:rPr>
              <w:t xml:space="preserve"> pe bază consolidată la nivelul grupului de rezoluție.</w:t>
            </w:r>
          </w:p>
        </w:tc>
        <w:tc>
          <w:tcPr>
            <w:tcW w:w="2552" w:type="dxa"/>
          </w:tcPr>
          <w:p w14:paraId="55E08737" w14:textId="48A7D884" w:rsidR="00F4284C" w:rsidRPr="00154588" w:rsidRDefault="00F4284C" w:rsidP="008C12B4">
            <w:pPr>
              <w:jc w:val="both"/>
              <w:rPr>
                <w:bCs/>
                <w:sz w:val="20"/>
                <w:szCs w:val="20"/>
              </w:rPr>
            </w:pPr>
            <w:r w:rsidRPr="00154588">
              <w:rPr>
                <w:bCs/>
                <w:sz w:val="20"/>
                <w:szCs w:val="20"/>
              </w:rPr>
              <w:t>Compatibil</w:t>
            </w:r>
          </w:p>
        </w:tc>
        <w:tc>
          <w:tcPr>
            <w:tcW w:w="3118" w:type="dxa"/>
          </w:tcPr>
          <w:p w14:paraId="21B02E36" w14:textId="77777777" w:rsidR="00F4284C" w:rsidRPr="00154588" w:rsidRDefault="00F4284C" w:rsidP="008C12B4">
            <w:pPr>
              <w:jc w:val="both"/>
              <w:rPr>
                <w:bCs/>
                <w:sz w:val="20"/>
                <w:szCs w:val="20"/>
              </w:rPr>
            </w:pPr>
          </w:p>
        </w:tc>
      </w:tr>
      <w:tr w:rsidR="00F4284C" w:rsidRPr="00154588" w14:paraId="2966F576" w14:textId="77777777" w:rsidTr="00D15C1B">
        <w:trPr>
          <w:jc w:val="center"/>
        </w:trPr>
        <w:tc>
          <w:tcPr>
            <w:tcW w:w="4957" w:type="dxa"/>
            <w:gridSpan w:val="2"/>
          </w:tcPr>
          <w:p w14:paraId="2C1AE49C" w14:textId="2C3E4271" w:rsidR="00F4284C" w:rsidRPr="00154588" w:rsidRDefault="00F4284C" w:rsidP="008C12B4">
            <w:pPr>
              <w:jc w:val="both"/>
              <w:rPr>
                <w:bCs/>
                <w:sz w:val="20"/>
                <w:szCs w:val="20"/>
              </w:rPr>
            </w:pPr>
            <w:r w:rsidRPr="00154588">
              <w:rPr>
                <w:bCs/>
                <w:sz w:val="20"/>
                <w:szCs w:val="20"/>
              </w:rPr>
              <w:t>(2)   Autoritatea de rezoluție stabilește cerința menționată la articolul 45 alineatul (1) pentru o entitate de rezoluție la nivelul consolidat al grupului de rezoluție, în conformitate cu articolul 45h, pe baza cerințelor prevăzute la articolele 45b-45d și a deciziei dacă filialele din țări terțe ale grupului urmează să facă obiectul unei rezoluții separate, în temeiul planului de rezoluție.</w:t>
            </w:r>
          </w:p>
        </w:tc>
        <w:tc>
          <w:tcPr>
            <w:tcW w:w="4819" w:type="dxa"/>
          </w:tcPr>
          <w:p w14:paraId="6AD8BCFD" w14:textId="646E6776" w:rsidR="00F4284C" w:rsidRPr="00154588" w:rsidRDefault="00F4284C" w:rsidP="008C12B4">
            <w:pPr>
              <w:jc w:val="both"/>
              <w:rPr>
                <w:bCs/>
                <w:sz w:val="20"/>
                <w:szCs w:val="20"/>
              </w:rPr>
            </w:pPr>
            <w:r w:rsidRPr="00154588">
              <w:rPr>
                <w:bCs/>
                <w:sz w:val="20"/>
                <w:szCs w:val="20"/>
              </w:rPr>
              <w:t>2) Banca Națională a Moldovei, în calitate de autoritate de rezoluție, determină pentru o entitate de rezoluție, la nivel individual sau la nivelul consolidat al grupului de rezoluție, în conformitate cu prevederile art.167</w:t>
            </w:r>
            <w:r w:rsidRPr="00154588">
              <w:rPr>
                <w:bCs/>
                <w:sz w:val="20"/>
                <w:szCs w:val="20"/>
                <w:vertAlign w:val="superscript"/>
              </w:rPr>
              <w:t>21</w:t>
            </w:r>
            <w:r w:rsidRPr="00154588">
              <w:rPr>
                <w:bCs/>
                <w:sz w:val="20"/>
                <w:szCs w:val="20"/>
              </w:rPr>
              <w:t>-170, cerința prevăzută la art.164 alin.(1), pe baza cerințelor prevăzute la art.165 – 167</w:t>
            </w:r>
            <w:r w:rsidRPr="00154588">
              <w:rPr>
                <w:bCs/>
                <w:sz w:val="20"/>
                <w:szCs w:val="20"/>
                <w:vertAlign w:val="superscript"/>
              </w:rPr>
              <w:t>13</w:t>
            </w:r>
            <w:r w:rsidRPr="00154588">
              <w:rPr>
                <w:bCs/>
                <w:sz w:val="20"/>
                <w:szCs w:val="20"/>
              </w:rPr>
              <w:t xml:space="preserve"> și a tratamentului filialelor grupului din state terțe, respectiv dacă acestea urmează să facă obiectul unei soluționări separate în conformitate cu planul de rezoluție.</w:t>
            </w:r>
          </w:p>
        </w:tc>
        <w:tc>
          <w:tcPr>
            <w:tcW w:w="2552" w:type="dxa"/>
          </w:tcPr>
          <w:p w14:paraId="36048B21" w14:textId="6A2A1D76" w:rsidR="00F4284C" w:rsidRPr="00154588" w:rsidRDefault="00F4284C" w:rsidP="008C12B4">
            <w:pPr>
              <w:jc w:val="both"/>
              <w:rPr>
                <w:bCs/>
                <w:sz w:val="20"/>
                <w:szCs w:val="20"/>
              </w:rPr>
            </w:pPr>
            <w:r w:rsidRPr="00154588">
              <w:rPr>
                <w:bCs/>
                <w:sz w:val="20"/>
                <w:szCs w:val="20"/>
              </w:rPr>
              <w:t>Compatibil</w:t>
            </w:r>
          </w:p>
        </w:tc>
        <w:tc>
          <w:tcPr>
            <w:tcW w:w="3118" w:type="dxa"/>
          </w:tcPr>
          <w:p w14:paraId="675A38EB" w14:textId="77777777" w:rsidR="00F4284C" w:rsidRPr="00154588" w:rsidRDefault="00F4284C" w:rsidP="008C12B4">
            <w:pPr>
              <w:jc w:val="both"/>
              <w:rPr>
                <w:bCs/>
                <w:sz w:val="20"/>
                <w:szCs w:val="20"/>
              </w:rPr>
            </w:pPr>
          </w:p>
        </w:tc>
      </w:tr>
      <w:tr w:rsidR="00F4284C" w:rsidRPr="00154588" w14:paraId="43ABF98A" w14:textId="77777777" w:rsidTr="00D15C1B">
        <w:trPr>
          <w:jc w:val="center"/>
        </w:trPr>
        <w:tc>
          <w:tcPr>
            <w:tcW w:w="4957" w:type="dxa"/>
            <w:gridSpan w:val="2"/>
          </w:tcPr>
          <w:p w14:paraId="5D417F78" w14:textId="2A98CCAA" w:rsidR="00F4284C" w:rsidRPr="00154588" w:rsidRDefault="00F4284C" w:rsidP="008C12B4">
            <w:pPr>
              <w:tabs>
                <w:tab w:val="left" w:pos="2190"/>
              </w:tabs>
              <w:jc w:val="both"/>
              <w:rPr>
                <w:bCs/>
                <w:sz w:val="20"/>
                <w:szCs w:val="20"/>
              </w:rPr>
            </w:pPr>
            <w:r w:rsidRPr="00154588">
              <w:rPr>
                <w:bCs/>
                <w:sz w:val="20"/>
                <w:szCs w:val="20"/>
              </w:rPr>
              <w:t>(3)   Pentru grupurile de rezoluție identificate în conformitate cu articolul 2 alineatul (1) punctul 83b litera (b), autoritatea de rezoluție relevantă decide, în funcție de caracteristicile mecanismului de solidaritate și ale strategiei de rezoluție preferate, care entități din grupul de rezoluție urmează să fie obligate să respecte articolul 45c alineatele (3) și (5) și articolul 45d alineatul (1), pentru a se asigura că grupul de rezoluție, în ansamblul său, respectă dispozițiile alineatelor (1) și (2) din prezentul articol, precum și modul în care entitățile respective urmează să facă acest lucru în conformitate cu planul de rezoluție.</w:t>
            </w:r>
          </w:p>
        </w:tc>
        <w:tc>
          <w:tcPr>
            <w:tcW w:w="4819" w:type="dxa"/>
          </w:tcPr>
          <w:p w14:paraId="5D01CD4A" w14:textId="01B3E1DB" w:rsidR="00F4284C" w:rsidRPr="00154588" w:rsidRDefault="00F4284C" w:rsidP="008C12B4">
            <w:pPr>
              <w:jc w:val="both"/>
              <w:rPr>
                <w:bCs/>
                <w:sz w:val="20"/>
                <w:szCs w:val="20"/>
              </w:rPr>
            </w:pPr>
            <w:r w:rsidRPr="00154588">
              <w:rPr>
                <w:bCs/>
                <w:sz w:val="20"/>
                <w:szCs w:val="20"/>
              </w:rPr>
              <w:t>(3) Pentru grupurile de rezoluție identificate în conformitate cu prevederile art.2 pct.79 lit.b) din prezenta lege, Banca Națională a Moldovei, în calitate de autoritate de rezoluție, decide, în funcție de caracteristicile mecanismului de solidaritate și ale strategiei de rezoluție preferate, care dintre entitățile din grupul de rezoluție urmează să se conformeze cu cerințele prevăzute la art.167</w:t>
            </w:r>
            <w:r w:rsidRPr="00154588">
              <w:rPr>
                <w:bCs/>
                <w:sz w:val="20"/>
                <w:szCs w:val="20"/>
                <w:vertAlign w:val="superscript"/>
              </w:rPr>
              <w:t>6</w:t>
            </w:r>
            <w:r w:rsidRPr="00154588">
              <w:rPr>
                <w:bCs/>
                <w:sz w:val="20"/>
                <w:szCs w:val="20"/>
              </w:rPr>
              <w:t>, 167</w:t>
            </w:r>
            <w:r w:rsidRPr="00154588">
              <w:rPr>
                <w:bCs/>
                <w:sz w:val="20"/>
                <w:szCs w:val="20"/>
                <w:vertAlign w:val="superscript"/>
              </w:rPr>
              <w:t>7</w:t>
            </w:r>
            <w:r w:rsidRPr="00154588">
              <w:rPr>
                <w:bCs/>
                <w:sz w:val="20"/>
                <w:szCs w:val="20"/>
              </w:rPr>
              <w:t xml:space="preserve"> și art.167</w:t>
            </w:r>
            <w:r w:rsidRPr="00154588">
              <w:rPr>
                <w:bCs/>
                <w:sz w:val="20"/>
                <w:szCs w:val="20"/>
                <w:vertAlign w:val="superscript"/>
              </w:rPr>
              <w:t>13</w:t>
            </w:r>
            <w:r w:rsidRPr="00154588">
              <w:rPr>
                <w:bCs/>
                <w:sz w:val="20"/>
                <w:szCs w:val="20"/>
              </w:rPr>
              <w:t xml:space="preserve"> alin.(1), pentru a se asigura că grupul de rezoluție, în ansamblul său, respectă dispozițiile alin.(1) și (2), precum și modalitatea în care entitățile respective urmează să facă acest lucru în conformitate cu planul de rezoluție.</w:t>
            </w:r>
          </w:p>
        </w:tc>
        <w:tc>
          <w:tcPr>
            <w:tcW w:w="2552" w:type="dxa"/>
          </w:tcPr>
          <w:p w14:paraId="4E99ABBD" w14:textId="6CB92C14" w:rsidR="00F4284C" w:rsidRPr="00154588" w:rsidRDefault="00F4284C" w:rsidP="008C12B4">
            <w:pPr>
              <w:jc w:val="both"/>
              <w:rPr>
                <w:bCs/>
                <w:sz w:val="20"/>
                <w:szCs w:val="20"/>
              </w:rPr>
            </w:pPr>
            <w:r w:rsidRPr="00154588">
              <w:rPr>
                <w:bCs/>
                <w:sz w:val="20"/>
                <w:szCs w:val="20"/>
              </w:rPr>
              <w:t>Compatibil</w:t>
            </w:r>
          </w:p>
        </w:tc>
        <w:tc>
          <w:tcPr>
            <w:tcW w:w="3118" w:type="dxa"/>
          </w:tcPr>
          <w:p w14:paraId="785E60A0" w14:textId="77777777" w:rsidR="00F4284C" w:rsidRPr="00154588" w:rsidRDefault="00F4284C" w:rsidP="008C12B4">
            <w:pPr>
              <w:jc w:val="both"/>
              <w:rPr>
                <w:bCs/>
                <w:sz w:val="20"/>
                <w:szCs w:val="20"/>
              </w:rPr>
            </w:pPr>
          </w:p>
        </w:tc>
      </w:tr>
      <w:tr w:rsidR="00F4284C" w:rsidRPr="00154588" w14:paraId="5A378E7E" w14:textId="77777777" w:rsidTr="00D15C1B">
        <w:trPr>
          <w:jc w:val="center"/>
        </w:trPr>
        <w:tc>
          <w:tcPr>
            <w:tcW w:w="4957" w:type="dxa"/>
            <w:gridSpan w:val="2"/>
          </w:tcPr>
          <w:p w14:paraId="5FC40381" w14:textId="77777777" w:rsidR="00F4284C" w:rsidRPr="00154588" w:rsidRDefault="00F4284C" w:rsidP="008C12B4">
            <w:pPr>
              <w:jc w:val="both"/>
              <w:rPr>
                <w:b/>
                <w:sz w:val="20"/>
                <w:szCs w:val="20"/>
              </w:rPr>
            </w:pPr>
            <w:r w:rsidRPr="00154588">
              <w:rPr>
                <w:b/>
                <w:sz w:val="20"/>
                <w:szCs w:val="20"/>
              </w:rPr>
              <w:t>Articolul 45f</w:t>
            </w:r>
          </w:p>
          <w:p w14:paraId="7DC75CC7" w14:textId="77777777" w:rsidR="00F4284C" w:rsidRPr="00154588" w:rsidRDefault="00F4284C" w:rsidP="008C12B4">
            <w:pPr>
              <w:jc w:val="both"/>
              <w:rPr>
                <w:b/>
                <w:sz w:val="20"/>
                <w:szCs w:val="20"/>
              </w:rPr>
            </w:pPr>
          </w:p>
          <w:p w14:paraId="0D747029" w14:textId="77777777" w:rsidR="00F4284C" w:rsidRPr="00154588" w:rsidRDefault="00F4284C" w:rsidP="008C12B4">
            <w:pPr>
              <w:jc w:val="both"/>
              <w:rPr>
                <w:b/>
                <w:sz w:val="20"/>
                <w:szCs w:val="20"/>
              </w:rPr>
            </w:pPr>
          </w:p>
          <w:p w14:paraId="3F8ACE12" w14:textId="643F343A" w:rsidR="00F4284C" w:rsidRPr="00154588" w:rsidRDefault="00F4284C" w:rsidP="008C12B4">
            <w:pPr>
              <w:jc w:val="both"/>
              <w:rPr>
                <w:bCs/>
                <w:sz w:val="20"/>
                <w:szCs w:val="20"/>
              </w:rPr>
            </w:pPr>
            <w:r w:rsidRPr="00154588">
              <w:rPr>
                <w:b/>
                <w:sz w:val="20"/>
                <w:szCs w:val="20"/>
              </w:rPr>
              <w:t>Aplicarea cerinței minime de fonduri proprii și datorii eligibile în cazul entităților care nu sunt ele însele entități de rezoluție</w:t>
            </w:r>
          </w:p>
        </w:tc>
        <w:tc>
          <w:tcPr>
            <w:tcW w:w="4819" w:type="dxa"/>
          </w:tcPr>
          <w:p w14:paraId="4BE63414" w14:textId="77777777" w:rsidR="00F4284C" w:rsidRPr="00154588" w:rsidRDefault="00F4284C" w:rsidP="008C12B4">
            <w:pPr>
              <w:jc w:val="both"/>
              <w:rPr>
                <w:bCs/>
                <w:sz w:val="20"/>
                <w:szCs w:val="20"/>
              </w:rPr>
            </w:pPr>
          </w:p>
        </w:tc>
        <w:tc>
          <w:tcPr>
            <w:tcW w:w="2552" w:type="dxa"/>
          </w:tcPr>
          <w:p w14:paraId="21766EA1" w14:textId="77777777" w:rsidR="00F4284C" w:rsidRPr="00154588" w:rsidRDefault="00F4284C" w:rsidP="008C12B4">
            <w:pPr>
              <w:jc w:val="both"/>
              <w:rPr>
                <w:bCs/>
                <w:sz w:val="20"/>
                <w:szCs w:val="20"/>
              </w:rPr>
            </w:pPr>
          </w:p>
        </w:tc>
        <w:tc>
          <w:tcPr>
            <w:tcW w:w="3118" w:type="dxa"/>
          </w:tcPr>
          <w:p w14:paraId="577EE6F6" w14:textId="77777777" w:rsidR="00F4284C" w:rsidRPr="00154588" w:rsidRDefault="00F4284C" w:rsidP="008C12B4">
            <w:pPr>
              <w:jc w:val="both"/>
              <w:rPr>
                <w:bCs/>
                <w:sz w:val="20"/>
                <w:szCs w:val="20"/>
              </w:rPr>
            </w:pPr>
          </w:p>
        </w:tc>
      </w:tr>
      <w:tr w:rsidR="00F4284C" w:rsidRPr="00154588" w14:paraId="05EEB548" w14:textId="77777777" w:rsidTr="00D15C1B">
        <w:trPr>
          <w:jc w:val="center"/>
        </w:trPr>
        <w:tc>
          <w:tcPr>
            <w:tcW w:w="4957" w:type="dxa"/>
            <w:gridSpan w:val="2"/>
          </w:tcPr>
          <w:p w14:paraId="31C43890" w14:textId="77777777" w:rsidR="00F4284C" w:rsidRPr="00154588" w:rsidRDefault="00F4284C" w:rsidP="008C12B4">
            <w:pPr>
              <w:jc w:val="both"/>
              <w:rPr>
                <w:bCs/>
                <w:sz w:val="20"/>
                <w:szCs w:val="20"/>
              </w:rPr>
            </w:pPr>
            <w:r w:rsidRPr="00154588">
              <w:rPr>
                <w:bCs/>
                <w:sz w:val="20"/>
                <w:szCs w:val="20"/>
              </w:rPr>
              <w:t>(1)   Instituțiile care sunt filiale ale unei entități de rezoluție sau ale unei entități dintr-o țară terță, dar care nu sunt ele însele entități de rezoluție respectă cerințele prevăzute la articolul 45c, pe bază individuală.</w:t>
            </w:r>
          </w:p>
          <w:p w14:paraId="5AEA71CD" w14:textId="77777777" w:rsidR="00F4284C" w:rsidRPr="00154588" w:rsidRDefault="00F4284C" w:rsidP="008C12B4">
            <w:pPr>
              <w:jc w:val="both"/>
              <w:rPr>
                <w:bCs/>
                <w:sz w:val="20"/>
                <w:szCs w:val="20"/>
              </w:rPr>
            </w:pPr>
          </w:p>
          <w:p w14:paraId="390E3FFC" w14:textId="77777777" w:rsidR="00F4284C" w:rsidRPr="00154588" w:rsidRDefault="00F4284C" w:rsidP="008C12B4">
            <w:pPr>
              <w:jc w:val="both"/>
              <w:rPr>
                <w:bCs/>
                <w:sz w:val="20"/>
                <w:szCs w:val="20"/>
              </w:rPr>
            </w:pPr>
          </w:p>
          <w:p w14:paraId="4FBAB0DF" w14:textId="0D8C501F" w:rsidR="00F4284C" w:rsidRPr="00154588" w:rsidRDefault="00F4284C" w:rsidP="008C12B4">
            <w:pPr>
              <w:jc w:val="both"/>
              <w:rPr>
                <w:bCs/>
                <w:sz w:val="20"/>
                <w:szCs w:val="20"/>
              </w:rPr>
            </w:pPr>
            <w:r w:rsidRPr="00154588">
              <w:rPr>
                <w:bCs/>
                <w:sz w:val="20"/>
                <w:szCs w:val="20"/>
              </w:rPr>
              <w:lastRenderedPageBreak/>
              <w:t>O autoritate de rezoluție poate, în urma consultării autorității competente, să decidă să aplice cerința stabilită în prezentul articol în cazul unei entități menționate la articolul 1 alineatul (1) litera (b), (c) sau (d) care este o filială a unei entități de rezoluție, dar nu este ea însăși o entitate de rezoluție.</w:t>
            </w:r>
          </w:p>
          <w:p w14:paraId="48203C91" w14:textId="77777777" w:rsidR="00F4284C" w:rsidRPr="00154588" w:rsidRDefault="00F4284C" w:rsidP="008C12B4">
            <w:pPr>
              <w:jc w:val="both"/>
              <w:rPr>
                <w:bCs/>
                <w:sz w:val="20"/>
                <w:szCs w:val="20"/>
              </w:rPr>
            </w:pPr>
          </w:p>
          <w:p w14:paraId="011CB5E3" w14:textId="3A28C159" w:rsidR="00F4284C" w:rsidRPr="00154588" w:rsidRDefault="00F4284C" w:rsidP="008C12B4">
            <w:pPr>
              <w:jc w:val="both"/>
              <w:rPr>
                <w:bCs/>
                <w:sz w:val="20"/>
                <w:szCs w:val="20"/>
              </w:rPr>
            </w:pPr>
            <w:r w:rsidRPr="00154588">
              <w:rPr>
                <w:bCs/>
                <w:sz w:val="20"/>
                <w:szCs w:val="20"/>
              </w:rPr>
              <w:t>Prin derogare de la primul și al doilea paragraf de la prezentul alineat, întreprinderile-mamă din Uniune care nu sunt ele însele entități de rezoluție, dar sunt filiale ale unor entități din țări terțe respectă cerințele prevăzute la articolele 45c și 45d, pe bază consolidată.</w:t>
            </w:r>
          </w:p>
          <w:p w14:paraId="2E2CF3A8" w14:textId="77777777" w:rsidR="00F4284C" w:rsidRPr="00154588" w:rsidRDefault="00F4284C" w:rsidP="008C12B4">
            <w:pPr>
              <w:jc w:val="both"/>
              <w:rPr>
                <w:bCs/>
                <w:sz w:val="20"/>
                <w:szCs w:val="20"/>
              </w:rPr>
            </w:pPr>
          </w:p>
          <w:p w14:paraId="4E490CA0" w14:textId="77777777" w:rsidR="00F4284C" w:rsidRPr="00154588" w:rsidRDefault="00F4284C" w:rsidP="008C12B4">
            <w:pPr>
              <w:jc w:val="both"/>
              <w:rPr>
                <w:bCs/>
                <w:sz w:val="20"/>
                <w:szCs w:val="20"/>
              </w:rPr>
            </w:pPr>
          </w:p>
          <w:p w14:paraId="5CA57E7C" w14:textId="0F78F3C8" w:rsidR="00F4284C" w:rsidRPr="00154588" w:rsidRDefault="00F4284C" w:rsidP="008C12B4">
            <w:pPr>
              <w:jc w:val="both"/>
              <w:rPr>
                <w:bCs/>
                <w:sz w:val="20"/>
                <w:szCs w:val="20"/>
              </w:rPr>
            </w:pPr>
            <w:r w:rsidRPr="00154588">
              <w:rPr>
                <w:bCs/>
                <w:sz w:val="20"/>
                <w:szCs w:val="20"/>
              </w:rPr>
              <w:t>Prin derogare de la primul și al doilea paragraf, o autoritate de rezoluție poate decide să stabilească cerința prevăzută la articolul 45c pe bază consolidată pentru o filială, astfel cum se menționează la prezentul alineat, în cazul în care autoritatea de rezoluție concluzionează că sunt îndeplinite toate condițiile următoare:</w:t>
            </w:r>
          </w:p>
          <w:p w14:paraId="53F2309D" w14:textId="77777777" w:rsidR="00F4284C" w:rsidRPr="00154588" w:rsidRDefault="00F4284C" w:rsidP="008C12B4">
            <w:pPr>
              <w:jc w:val="both"/>
              <w:rPr>
                <w:bCs/>
                <w:sz w:val="20"/>
                <w:szCs w:val="20"/>
              </w:rPr>
            </w:pPr>
          </w:p>
          <w:p w14:paraId="66BB1656" w14:textId="48CA2EF9" w:rsidR="00F4284C" w:rsidRPr="00154588" w:rsidRDefault="00F4284C" w:rsidP="008C12B4">
            <w:pPr>
              <w:jc w:val="both"/>
              <w:rPr>
                <w:bCs/>
                <w:sz w:val="20"/>
                <w:szCs w:val="20"/>
              </w:rPr>
            </w:pPr>
            <w:r w:rsidRPr="00154588">
              <w:rPr>
                <w:bCs/>
                <w:sz w:val="20"/>
                <w:szCs w:val="20"/>
              </w:rPr>
              <w:t>(a) filiala îndeplinește una dintre următoarele condiții:</w:t>
            </w:r>
          </w:p>
          <w:p w14:paraId="3254C07A" w14:textId="77777777" w:rsidR="00F4284C" w:rsidRPr="00154588" w:rsidRDefault="00F4284C" w:rsidP="008C12B4">
            <w:pPr>
              <w:jc w:val="both"/>
              <w:rPr>
                <w:bCs/>
                <w:sz w:val="20"/>
                <w:szCs w:val="20"/>
              </w:rPr>
            </w:pPr>
          </w:p>
          <w:p w14:paraId="69F2B97D" w14:textId="41071C01" w:rsidR="00F4284C" w:rsidRPr="00154588" w:rsidRDefault="00F4284C" w:rsidP="008C12B4">
            <w:pPr>
              <w:jc w:val="both"/>
              <w:rPr>
                <w:bCs/>
                <w:sz w:val="20"/>
                <w:szCs w:val="20"/>
              </w:rPr>
            </w:pPr>
            <w:r w:rsidRPr="00154588">
              <w:rPr>
                <w:bCs/>
                <w:sz w:val="20"/>
                <w:szCs w:val="20"/>
              </w:rPr>
              <w:t>(i) filiala este deținută direct de entitatea de rezoluție și:</w:t>
            </w:r>
          </w:p>
          <w:p w14:paraId="1FC2D9B0" w14:textId="77777777" w:rsidR="00F4284C" w:rsidRPr="00154588" w:rsidRDefault="00F4284C" w:rsidP="008C12B4">
            <w:pPr>
              <w:jc w:val="both"/>
              <w:rPr>
                <w:bCs/>
                <w:sz w:val="20"/>
                <w:szCs w:val="20"/>
              </w:rPr>
            </w:pPr>
          </w:p>
          <w:p w14:paraId="777FCE99" w14:textId="38067451" w:rsidR="00F4284C" w:rsidRPr="00154588" w:rsidRDefault="00F4284C" w:rsidP="008C12B4">
            <w:pPr>
              <w:jc w:val="both"/>
              <w:rPr>
                <w:bCs/>
                <w:sz w:val="20"/>
                <w:szCs w:val="20"/>
              </w:rPr>
            </w:pPr>
            <w:r w:rsidRPr="00154588">
              <w:rPr>
                <w:bCs/>
                <w:sz w:val="20"/>
                <w:szCs w:val="20"/>
              </w:rPr>
              <w:t>— entitatea de rezoluție este o societate financiară holding-mamă din Uniune sau o societate financiară holding mixtă-mamă din Uniune;</w:t>
            </w:r>
          </w:p>
          <w:p w14:paraId="4686F531" w14:textId="77777777" w:rsidR="00F4284C" w:rsidRPr="00154588" w:rsidRDefault="00F4284C" w:rsidP="008C12B4">
            <w:pPr>
              <w:jc w:val="both"/>
              <w:rPr>
                <w:bCs/>
                <w:sz w:val="20"/>
                <w:szCs w:val="20"/>
              </w:rPr>
            </w:pPr>
          </w:p>
          <w:p w14:paraId="2B287B1D" w14:textId="6BDBACEA" w:rsidR="00F4284C" w:rsidRPr="00154588" w:rsidRDefault="00F4284C" w:rsidP="008C12B4">
            <w:pPr>
              <w:jc w:val="both"/>
              <w:rPr>
                <w:bCs/>
                <w:sz w:val="20"/>
                <w:szCs w:val="20"/>
              </w:rPr>
            </w:pPr>
            <w:r w:rsidRPr="00154588">
              <w:rPr>
                <w:bCs/>
                <w:sz w:val="20"/>
                <w:szCs w:val="20"/>
              </w:rPr>
              <w:t>— atât filiala, cât și entitatea de rezoluție sunt stabilite în același stat membru și fac parte din același grup de rezoluție;</w:t>
            </w:r>
          </w:p>
          <w:p w14:paraId="04AF1BF8" w14:textId="2B339DA6" w:rsidR="00F4284C" w:rsidRPr="00154588" w:rsidRDefault="00F4284C" w:rsidP="008C12B4">
            <w:pPr>
              <w:jc w:val="both"/>
              <w:rPr>
                <w:bCs/>
                <w:sz w:val="20"/>
                <w:szCs w:val="20"/>
              </w:rPr>
            </w:pPr>
            <w:r w:rsidRPr="00154588">
              <w:rPr>
                <w:bCs/>
                <w:sz w:val="20"/>
                <w:szCs w:val="20"/>
              </w:rPr>
              <w:t>— entitatea de rezoluție nu deține în mod direct nicio instituție-filială și nicio entitate-filială menționată la articolul 1 alineatul (1) litera (b), (c) sau (d), în cazul în care entitatea respectivă face obiectul cerințelor prevăzute la prezentul articol sau al cerinței menționate la articolul 45c, alta decât filiala în cauză;</w:t>
            </w:r>
          </w:p>
          <w:p w14:paraId="7DC0DFF7" w14:textId="67225569" w:rsidR="00F4284C" w:rsidRPr="00154588" w:rsidRDefault="00F4284C" w:rsidP="008C12B4">
            <w:pPr>
              <w:jc w:val="both"/>
              <w:rPr>
                <w:bCs/>
                <w:sz w:val="20"/>
                <w:szCs w:val="20"/>
              </w:rPr>
            </w:pPr>
            <w:r w:rsidRPr="00154588">
              <w:rPr>
                <w:bCs/>
                <w:sz w:val="20"/>
                <w:szCs w:val="20"/>
              </w:rPr>
              <w:t>— filiala ar fi afectată în mod disproporționat de deducerile obligatorii în temeiul articolului 72e alineatul (5) din Regulamentul (UE) nr. 575/2013;</w:t>
            </w:r>
          </w:p>
          <w:p w14:paraId="40609237" w14:textId="77777777" w:rsidR="00F4284C" w:rsidRPr="00154588" w:rsidRDefault="00F4284C" w:rsidP="008C12B4">
            <w:pPr>
              <w:jc w:val="both"/>
              <w:rPr>
                <w:bCs/>
                <w:sz w:val="20"/>
                <w:szCs w:val="20"/>
              </w:rPr>
            </w:pPr>
          </w:p>
          <w:p w14:paraId="696461A4" w14:textId="7FB89468" w:rsidR="00F4284C" w:rsidRPr="00154588" w:rsidRDefault="00F4284C" w:rsidP="008C12B4">
            <w:pPr>
              <w:jc w:val="both"/>
              <w:rPr>
                <w:bCs/>
                <w:sz w:val="20"/>
                <w:szCs w:val="20"/>
              </w:rPr>
            </w:pPr>
            <w:r w:rsidRPr="00154588">
              <w:rPr>
                <w:bCs/>
                <w:sz w:val="20"/>
                <w:szCs w:val="20"/>
              </w:rPr>
              <w:lastRenderedPageBreak/>
              <w:t>(ii) filiala face obiectul cerinței menționate la articolul 104a din Directiva 2013/36/UE numai pe bază consolidată, iar stabilirea cerinței prevăzute la articolul 45c din prezenta directivă pe bază consolidată nu ar conduce la supraestimarea nevoilor de recapitalizare, în sensul articolului 45c alineatul (1) litera (b) din prezenta directivă, ale subgrupului format din entități din perimetrul de consolidare în cauză, în special în cazul în care există o prevalență a entităților destinate lichidării în cadrul aceluiași perimetru de consolidare;</w:t>
            </w:r>
          </w:p>
          <w:p w14:paraId="4B02B7E7" w14:textId="77777777" w:rsidR="00F4284C" w:rsidRPr="00154588" w:rsidRDefault="00F4284C" w:rsidP="008C12B4">
            <w:pPr>
              <w:jc w:val="both"/>
              <w:rPr>
                <w:bCs/>
                <w:sz w:val="20"/>
                <w:szCs w:val="20"/>
              </w:rPr>
            </w:pPr>
          </w:p>
          <w:p w14:paraId="7914CE34" w14:textId="0098C48A" w:rsidR="00F4284C" w:rsidRPr="00154588" w:rsidRDefault="00F4284C" w:rsidP="008C12B4">
            <w:pPr>
              <w:jc w:val="both"/>
              <w:rPr>
                <w:bCs/>
                <w:sz w:val="20"/>
                <w:szCs w:val="20"/>
              </w:rPr>
            </w:pPr>
            <w:r w:rsidRPr="00154588">
              <w:rPr>
                <w:bCs/>
                <w:sz w:val="20"/>
                <w:szCs w:val="20"/>
              </w:rPr>
              <w:t>(b) respectarea cerinței prevăzute la articolul 45c pe bază consolidată ca substitut pentru respectarea acestei cerințe pe bază individuală nu afectează în mod semnificativ niciuna dintre următoarele:</w:t>
            </w:r>
          </w:p>
          <w:p w14:paraId="2B9B5939" w14:textId="3B31CD2B" w:rsidR="00F4284C" w:rsidRPr="00154588" w:rsidRDefault="00F4284C" w:rsidP="008C12B4">
            <w:pPr>
              <w:jc w:val="both"/>
              <w:rPr>
                <w:bCs/>
                <w:sz w:val="20"/>
                <w:szCs w:val="20"/>
              </w:rPr>
            </w:pPr>
            <w:r w:rsidRPr="00154588">
              <w:rPr>
                <w:bCs/>
                <w:sz w:val="20"/>
                <w:szCs w:val="20"/>
              </w:rPr>
              <w:t>(i) credibilitatea și fezabilitatea strategiei de rezoluție a grupului;</w:t>
            </w:r>
          </w:p>
          <w:p w14:paraId="0B3D17D7" w14:textId="77777777" w:rsidR="00F4284C" w:rsidRPr="00154588" w:rsidRDefault="00F4284C" w:rsidP="008C12B4">
            <w:pPr>
              <w:jc w:val="both"/>
              <w:rPr>
                <w:bCs/>
                <w:sz w:val="20"/>
                <w:szCs w:val="20"/>
              </w:rPr>
            </w:pPr>
          </w:p>
          <w:p w14:paraId="3006CD54" w14:textId="6E2B392B" w:rsidR="00F4284C" w:rsidRPr="00154588" w:rsidRDefault="00F4284C" w:rsidP="008C12B4">
            <w:pPr>
              <w:jc w:val="both"/>
              <w:rPr>
                <w:bCs/>
                <w:sz w:val="20"/>
                <w:szCs w:val="20"/>
              </w:rPr>
            </w:pPr>
            <w:r w:rsidRPr="00154588">
              <w:rPr>
                <w:bCs/>
                <w:sz w:val="20"/>
                <w:szCs w:val="20"/>
              </w:rPr>
              <w:t>(ii) capacitatea filialei de a-și respecta cerința de fonduri proprii după exercitarea competențelor de reducere a valorii contabile și de conversie; și</w:t>
            </w:r>
          </w:p>
          <w:p w14:paraId="0FFFEF81" w14:textId="77777777" w:rsidR="00F4284C" w:rsidRPr="00154588" w:rsidRDefault="00F4284C" w:rsidP="008C12B4">
            <w:pPr>
              <w:jc w:val="both"/>
              <w:rPr>
                <w:bCs/>
                <w:sz w:val="20"/>
                <w:szCs w:val="20"/>
              </w:rPr>
            </w:pPr>
          </w:p>
          <w:p w14:paraId="072D705E" w14:textId="77777777" w:rsidR="00F4284C" w:rsidRPr="00154588" w:rsidRDefault="00F4284C" w:rsidP="008C12B4">
            <w:pPr>
              <w:jc w:val="both"/>
              <w:rPr>
                <w:bCs/>
                <w:sz w:val="20"/>
                <w:szCs w:val="20"/>
              </w:rPr>
            </w:pPr>
            <w:r w:rsidRPr="00154588">
              <w:rPr>
                <w:bCs/>
                <w:sz w:val="20"/>
                <w:szCs w:val="20"/>
              </w:rPr>
              <w:t>(iii) caracterul adecvat al mecanismului de transfer intern al pierderilor și de recapitalizare, inclusiv reducerea valorii contabile sau conversia, în conformitate cu articolul 59, a instrumentelor de capital și a datoriilor eligibile relevante ale filialei în cauză sau ale altor entități din grupul de rezoluție.</w:t>
            </w:r>
          </w:p>
          <w:p w14:paraId="29697F73" w14:textId="77777777" w:rsidR="00F4284C" w:rsidRPr="00154588" w:rsidRDefault="00F4284C" w:rsidP="008C12B4">
            <w:pPr>
              <w:jc w:val="both"/>
              <w:rPr>
                <w:bCs/>
                <w:sz w:val="20"/>
                <w:szCs w:val="20"/>
              </w:rPr>
            </w:pPr>
          </w:p>
          <w:p w14:paraId="4963F45D" w14:textId="77777777" w:rsidR="00F4284C" w:rsidRPr="00154588" w:rsidRDefault="00F4284C" w:rsidP="008C12B4">
            <w:pPr>
              <w:jc w:val="both"/>
              <w:rPr>
                <w:bCs/>
                <w:sz w:val="20"/>
                <w:szCs w:val="20"/>
              </w:rPr>
            </w:pPr>
          </w:p>
          <w:p w14:paraId="4D3B47B3" w14:textId="75B2E20F" w:rsidR="00F4284C" w:rsidRPr="00154588" w:rsidRDefault="00F4284C" w:rsidP="008C12B4">
            <w:pPr>
              <w:jc w:val="both"/>
              <w:rPr>
                <w:bCs/>
                <w:sz w:val="20"/>
                <w:szCs w:val="20"/>
              </w:rPr>
            </w:pPr>
            <w:r w:rsidRPr="00154588">
              <w:rPr>
                <w:bCs/>
                <w:sz w:val="20"/>
                <w:szCs w:val="20"/>
              </w:rPr>
              <w:t>În cazul grupurilor de rezoluție identificate în conformitate cu articolul 2 alineatul (1) punctul 83b litera (b), respectivele instituții de credit sau instituții financiare care sunt afiliate în mod permanent unui organism central, dar care nu sunt ele însele entități de rezoluție, un organism central, care nu este el însuși o entitate de rezoluție, precum și toate entitățile de rezoluție care nu fac obiectul unei cerințe prevăzute la articolul 45e alineatul (3) respectă dispozițiile articolului 45c alineatul (7) pe bază individuală.</w:t>
            </w:r>
          </w:p>
          <w:p w14:paraId="763A8919" w14:textId="77777777" w:rsidR="00F4284C" w:rsidRPr="00154588" w:rsidRDefault="00F4284C" w:rsidP="008C12B4">
            <w:pPr>
              <w:jc w:val="both"/>
              <w:rPr>
                <w:bCs/>
                <w:sz w:val="20"/>
                <w:szCs w:val="20"/>
              </w:rPr>
            </w:pPr>
          </w:p>
          <w:p w14:paraId="5E41FAE4" w14:textId="3EAA7393" w:rsidR="00F4284C" w:rsidRPr="00154588" w:rsidRDefault="00F4284C" w:rsidP="008C12B4">
            <w:pPr>
              <w:jc w:val="both"/>
              <w:rPr>
                <w:bCs/>
                <w:sz w:val="20"/>
                <w:szCs w:val="20"/>
              </w:rPr>
            </w:pPr>
            <w:r w:rsidRPr="00154588">
              <w:rPr>
                <w:bCs/>
                <w:sz w:val="20"/>
                <w:szCs w:val="20"/>
              </w:rPr>
              <w:t>În cazul unei entități menționate la prezentul alineat, cerința menționată la articolul 45 alineatul (1) se stabilește în conformitate cu articolele 45h și 89, după caz, și pe baza cerințelor prevăzute la articolul 45c.</w:t>
            </w:r>
          </w:p>
        </w:tc>
        <w:tc>
          <w:tcPr>
            <w:tcW w:w="4819" w:type="dxa"/>
          </w:tcPr>
          <w:p w14:paraId="05B48DC1" w14:textId="680CFB79" w:rsidR="00F4284C" w:rsidRPr="00154588" w:rsidRDefault="00F4284C" w:rsidP="008C12B4">
            <w:pPr>
              <w:jc w:val="both"/>
              <w:rPr>
                <w:bCs/>
                <w:sz w:val="20"/>
                <w:szCs w:val="20"/>
              </w:rPr>
            </w:pPr>
            <w:r w:rsidRPr="00154588">
              <w:rPr>
                <w:b/>
                <w:bCs/>
                <w:sz w:val="20"/>
                <w:szCs w:val="20"/>
              </w:rPr>
              <w:lastRenderedPageBreak/>
              <w:t>Articolul 167</w:t>
            </w:r>
            <w:r w:rsidRPr="00154588">
              <w:rPr>
                <w:b/>
                <w:bCs/>
                <w:sz w:val="20"/>
                <w:szCs w:val="20"/>
                <w:vertAlign w:val="superscript"/>
              </w:rPr>
              <w:t>15</w:t>
            </w:r>
            <w:r w:rsidRPr="00154588">
              <w:rPr>
                <w:b/>
                <w:bCs/>
                <w:sz w:val="20"/>
                <w:szCs w:val="20"/>
              </w:rPr>
              <w:t>.</w:t>
            </w:r>
            <w:r w:rsidRPr="00154588">
              <w:rPr>
                <w:bCs/>
                <w:sz w:val="20"/>
                <w:szCs w:val="20"/>
              </w:rPr>
              <w:t xml:space="preserve"> – </w:t>
            </w:r>
            <w:bookmarkStart w:id="110" w:name="_Hlk234599731"/>
            <w:r w:rsidRPr="00154588">
              <w:rPr>
                <w:bCs/>
                <w:sz w:val="20"/>
                <w:szCs w:val="20"/>
              </w:rPr>
              <w:t>(1) Instituțiile de credit, care sunt filiale ale unei entități de rezoluție sau ale unei entități dintr-un stat terț, dar care nu sunt ele însele entități de rezoluție, respectă cerințele prevăzute la art.167 și 167</w:t>
            </w:r>
            <w:r w:rsidRPr="00154588">
              <w:rPr>
                <w:bCs/>
                <w:sz w:val="20"/>
                <w:szCs w:val="20"/>
                <w:vertAlign w:val="superscript"/>
              </w:rPr>
              <w:t>5</w:t>
            </w:r>
            <w:r w:rsidRPr="00154588">
              <w:rPr>
                <w:bCs/>
                <w:sz w:val="20"/>
                <w:szCs w:val="20"/>
              </w:rPr>
              <w:t>-167</w:t>
            </w:r>
            <w:r w:rsidRPr="00154588">
              <w:rPr>
                <w:bCs/>
                <w:sz w:val="20"/>
                <w:szCs w:val="20"/>
                <w:vertAlign w:val="superscript"/>
              </w:rPr>
              <w:t>12</w:t>
            </w:r>
            <w:r w:rsidRPr="00154588">
              <w:rPr>
                <w:bCs/>
                <w:sz w:val="20"/>
                <w:szCs w:val="20"/>
              </w:rPr>
              <w:t xml:space="preserve"> pe bază individuală.</w:t>
            </w:r>
          </w:p>
          <w:p w14:paraId="7AAEEA6B" w14:textId="55182DB8" w:rsidR="00F4284C" w:rsidRPr="00154588" w:rsidRDefault="00F4284C" w:rsidP="008C12B4">
            <w:pPr>
              <w:jc w:val="both"/>
              <w:rPr>
                <w:bCs/>
                <w:sz w:val="20"/>
                <w:szCs w:val="20"/>
              </w:rPr>
            </w:pPr>
            <w:r w:rsidRPr="00154588">
              <w:rPr>
                <w:bCs/>
                <w:sz w:val="20"/>
                <w:szCs w:val="20"/>
              </w:rPr>
              <w:t xml:space="preserve">(2) Banca Națională a Moldovei, în calitate autoritate de rezoluție, în urma consultării autorității </w:t>
            </w:r>
            <w:r w:rsidRPr="00154588">
              <w:rPr>
                <w:bCs/>
                <w:sz w:val="20"/>
                <w:szCs w:val="20"/>
              </w:rPr>
              <w:lastRenderedPageBreak/>
              <w:t xml:space="preserve">competente, poate decide să aplice cerința stabilită </w:t>
            </w:r>
            <w:r w:rsidRPr="00154588">
              <w:rPr>
                <w:sz w:val="20"/>
                <w:szCs w:val="20"/>
              </w:rPr>
              <w:t>în art.167</w:t>
            </w:r>
            <w:r w:rsidRPr="00154588">
              <w:rPr>
                <w:sz w:val="20"/>
                <w:szCs w:val="20"/>
                <w:vertAlign w:val="superscript"/>
              </w:rPr>
              <w:t>15</w:t>
            </w:r>
            <w:r w:rsidRPr="00154588">
              <w:rPr>
                <w:sz w:val="20"/>
                <w:szCs w:val="20"/>
              </w:rPr>
              <w:t>-167</w:t>
            </w:r>
            <w:r w:rsidRPr="00154588">
              <w:rPr>
                <w:sz w:val="20"/>
                <w:szCs w:val="20"/>
                <w:vertAlign w:val="superscript"/>
              </w:rPr>
              <w:t>19</w:t>
            </w:r>
            <w:r w:rsidRPr="00154588">
              <w:rPr>
                <w:bCs/>
                <w:sz w:val="20"/>
                <w:szCs w:val="20"/>
              </w:rPr>
              <w:t xml:space="preserve"> în cazul unei entități prevăzute la art.1 alin.(1) lit.b), c) sau d), care este o filială a unei entități de rezoluție, dar nu este ea însăși o entitate de rezoluție.</w:t>
            </w:r>
          </w:p>
          <w:p w14:paraId="23640BC0" w14:textId="1B9EC0BD" w:rsidR="00F4284C" w:rsidRPr="00154588" w:rsidRDefault="00F4284C" w:rsidP="008C12B4">
            <w:pPr>
              <w:jc w:val="both"/>
              <w:rPr>
                <w:bCs/>
                <w:sz w:val="20"/>
                <w:szCs w:val="20"/>
              </w:rPr>
            </w:pPr>
            <w:r w:rsidRPr="00154588">
              <w:rPr>
                <w:bCs/>
                <w:sz w:val="20"/>
                <w:szCs w:val="20"/>
              </w:rPr>
              <w:t>.</w:t>
            </w:r>
          </w:p>
          <w:p w14:paraId="50238869" w14:textId="2A1A3C31" w:rsidR="00F4284C" w:rsidRPr="00154588" w:rsidRDefault="00F4284C" w:rsidP="008C12B4">
            <w:pPr>
              <w:jc w:val="both"/>
              <w:rPr>
                <w:bCs/>
                <w:sz w:val="20"/>
                <w:szCs w:val="20"/>
              </w:rPr>
            </w:pPr>
            <w:r w:rsidRPr="00154588">
              <w:rPr>
                <w:bCs/>
                <w:sz w:val="20"/>
                <w:szCs w:val="20"/>
              </w:rPr>
              <w:t>(3) Prin derogare de la prevederile alin.(1) și (2), întreprinderile-mamă din Uniunea Europeană, persoane juridice din Republica Moldova, care nu sunt ele însele entități de rezoluție, dar sunt filiale ale unor entități din state terțe, respectă cerințele prevăzute la art.167, art.167</w:t>
            </w:r>
            <w:r w:rsidRPr="00154588">
              <w:rPr>
                <w:bCs/>
                <w:sz w:val="20"/>
                <w:szCs w:val="20"/>
                <w:vertAlign w:val="superscript"/>
              </w:rPr>
              <w:t>5</w:t>
            </w:r>
            <w:r w:rsidRPr="00154588">
              <w:rPr>
                <w:bCs/>
                <w:sz w:val="20"/>
                <w:szCs w:val="20"/>
              </w:rPr>
              <w:t>– 167</w:t>
            </w:r>
            <w:r w:rsidRPr="00154588">
              <w:rPr>
                <w:bCs/>
                <w:sz w:val="20"/>
                <w:szCs w:val="20"/>
                <w:vertAlign w:val="superscript"/>
              </w:rPr>
              <w:t>12</w:t>
            </w:r>
            <w:r w:rsidRPr="00154588">
              <w:rPr>
                <w:bCs/>
                <w:sz w:val="20"/>
                <w:szCs w:val="20"/>
              </w:rPr>
              <w:t xml:space="preserve"> și 167</w:t>
            </w:r>
            <w:r w:rsidRPr="00154588">
              <w:rPr>
                <w:bCs/>
                <w:sz w:val="20"/>
                <w:szCs w:val="20"/>
                <w:vertAlign w:val="superscript"/>
              </w:rPr>
              <w:t>13</w:t>
            </w:r>
            <w:r w:rsidRPr="00154588">
              <w:rPr>
                <w:bCs/>
                <w:sz w:val="20"/>
                <w:szCs w:val="20"/>
              </w:rPr>
              <w:t>, pe bază consolidată.</w:t>
            </w:r>
          </w:p>
          <w:p w14:paraId="13F6B813" w14:textId="22610A2D" w:rsidR="00F4284C" w:rsidRPr="00154588" w:rsidRDefault="00F4284C" w:rsidP="008C12B4">
            <w:pPr>
              <w:jc w:val="both"/>
              <w:rPr>
                <w:bCs/>
                <w:sz w:val="20"/>
                <w:szCs w:val="20"/>
              </w:rPr>
            </w:pPr>
            <w:r w:rsidRPr="00154588">
              <w:rPr>
                <w:bCs/>
                <w:sz w:val="20"/>
                <w:szCs w:val="20"/>
              </w:rPr>
              <w:t>(4) Prin derogare de la prevederile alin.(1)-(2), Banca Națională a Moldovei, în calitate de autoritate de rezoluție, poate decide să stabilească cerința prevăzută la art.167  și art.167</w:t>
            </w:r>
            <w:r w:rsidRPr="00154588">
              <w:rPr>
                <w:bCs/>
                <w:sz w:val="20"/>
                <w:szCs w:val="20"/>
                <w:vertAlign w:val="superscript"/>
              </w:rPr>
              <w:t>5</w:t>
            </w:r>
            <w:r w:rsidRPr="00154588">
              <w:rPr>
                <w:bCs/>
                <w:sz w:val="20"/>
                <w:szCs w:val="20"/>
              </w:rPr>
              <w:t>–167</w:t>
            </w:r>
            <w:r w:rsidRPr="00154588">
              <w:rPr>
                <w:bCs/>
                <w:sz w:val="20"/>
                <w:szCs w:val="20"/>
                <w:vertAlign w:val="superscript"/>
              </w:rPr>
              <w:t>12</w:t>
            </w:r>
            <w:r w:rsidRPr="00154588">
              <w:rPr>
                <w:bCs/>
                <w:sz w:val="20"/>
                <w:szCs w:val="20"/>
              </w:rPr>
              <w:t xml:space="preserve"> pe bază consolidată pentru o filială, conform prezentului articol, atunci când autoritatea de rezoluțieconcluzionează că sunt îndeplinite cumulativ următoarele condiții:</w:t>
            </w:r>
          </w:p>
          <w:bookmarkEnd w:id="110"/>
          <w:p w14:paraId="7B005CE2" w14:textId="77777777" w:rsidR="00F4284C" w:rsidRPr="00154588" w:rsidRDefault="00F4284C" w:rsidP="008C12B4">
            <w:pPr>
              <w:jc w:val="both"/>
              <w:rPr>
                <w:bCs/>
                <w:sz w:val="20"/>
                <w:szCs w:val="20"/>
              </w:rPr>
            </w:pPr>
            <w:r w:rsidRPr="00154588">
              <w:rPr>
                <w:bCs/>
                <w:sz w:val="20"/>
                <w:szCs w:val="20"/>
              </w:rPr>
              <w:t>a) filiala îndeplinește una dintre următoarele condiţii:</w:t>
            </w:r>
          </w:p>
          <w:p w14:paraId="57F83BD7" w14:textId="77777777" w:rsidR="00F4284C" w:rsidRPr="00154588" w:rsidRDefault="00F4284C" w:rsidP="008C12B4">
            <w:pPr>
              <w:jc w:val="both"/>
              <w:rPr>
                <w:bCs/>
                <w:sz w:val="20"/>
                <w:szCs w:val="20"/>
              </w:rPr>
            </w:pPr>
            <w:r w:rsidRPr="00154588">
              <w:rPr>
                <w:bCs/>
                <w:sz w:val="20"/>
                <w:szCs w:val="20"/>
              </w:rPr>
              <w:t>(i) filiala este deţinută direct de entitatea de rezoluţie și:</w:t>
            </w:r>
          </w:p>
          <w:p w14:paraId="691C9D1E" w14:textId="77777777" w:rsidR="00F4284C" w:rsidRPr="00154588" w:rsidRDefault="00F4284C" w:rsidP="008C12B4">
            <w:pPr>
              <w:jc w:val="both"/>
              <w:rPr>
                <w:bCs/>
                <w:sz w:val="20"/>
                <w:szCs w:val="20"/>
              </w:rPr>
            </w:pPr>
            <w:r w:rsidRPr="00154588">
              <w:rPr>
                <w:bCs/>
                <w:sz w:val="20"/>
                <w:szCs w:val="20"/>
              </w:rPr>
              <w:t>— entitatea de rezoluţie este o societate financiară holding-mamă din Uniune sau o societate financiară holding mixtă-mamă din Uniune;</w:t>
            </w:r>
          </w:p>
          <w:p w14:paraId="09C464F7" w14:textId="77777777" w:rsidR="00F4284C" w:rsidRPr="00154588" w:rsidRDefault="00F4284C" w:rsidP="008C12B4">
            <w:pPr>
              <w:jc w:val="both"/>
              <w:rPr>
                <w:bCs/>
                <w:sz w:val="20"/>
                <w:szCs w:val="20"/>
              </w:rPr>
            </w:pPr>
            <w:r w:rsidRPr="00154588">
              <w:rPr>
                <w:bCs/>
                <w:sz w:val="20"/>
                <w:szCs w:val="20"/>
              </w:rPr>
              <w:t>— atât filiala, cât și entitatea de rezoluţie sunt stabilite în același stat membru al Uniunii Europene și fac parte din același grup de rezoluţie;</w:t>
            </w:r>
          </w:p>
          <w:p w14:paraId="20049C92" w14:textId="151620F1" w:rsidR="00F4284C" w:rsidRPr="00154588" w:rsidRDefault="00F4284C" w:rsidP="008C12B4">
            <w:pPr>
              <w:jc w:val="both"/>
              <w:rPr>
                <w:bCs/>
                <w:sz w:val="20"/>
                <w:szCs w:val="20"/>
              </w:rPr>
            </w:pPr>
            <w:r w:rsidRPr="00154588">
              <w:rPr>
                <w:bCs/>
                <w:sz w:val="20"/>
                <w:szCs w:val="20"/>
              </w:rPr>
              <w:t>— entitatea de rezoluţie nu deţine în mod direct nicio instituţie-filială și nicio entitate-filială menţionată la art.1 alin. (1) lit.b), c) sau d), în cazul în care entitatea respectivă face obiectul cerinţelor prevăzute la.167 și art. 167</w:t>
            </w:r>
            <w:r w:rsidRPr="00154588">
              <w:rPr>
                <w:bCs/>
                <w:sz w:val="20"/>
                <w:szCs w:val="20"/>
                <w:vertAlign w:val="superscript"/>
              </w:rPr>
              <w:t>5</w:t>
            </w:r>
            <w:r w:rsidRPr="00154588">
              <w:rPr>
                <w:bCs/>
                <w:sz w:val="20"/>
                <w:szCs w:val="20"/>
              </w:rPr>
              <w:t>-167</w:t>
            </w:r>
            <w:r w:rsidRPr="00154588">
              <w:rPr>
                <w:bCs/>
                <w:sz w:val="20"/>
                <w:szCs w:val="20"/>
                <w:vertAlign w:val="superscript"/>
              </w:rPr>
              <w:t>12</w:t>
            </w:r>
            <w:r w:rsidRPr="00154588">
              <w:rPr>
                <w:bCs/>
                <w:sz w:val="20"/>
                <w:szCs w:val="20"/>
              </w:rPr>
              <w:t>,alta decât filiala în cauză;</w:t>
            </w:r>
          </w:p>
          <w:p w14:paraId="6BF74502" w14:textId="6CD12B35" w:rsidR="00F4284C" w:rsidRPr="00154588" w:rsidRDefault="00F4284C" w:rsidP="008C12B4">
            <w:pPr>
              <w:jc w:val="both"/>
              <w:rPr>
                <w:bCs/>
                <w:sz w:val="20"/>
                <w:szCs w:val="20"/>
              </w:rPr>
            </w:pPr>
            <w:r w:rsidRPr="00154588">
              <w:rPr>
                <w:bCs/>
                <w:sz w:val="20"/>
                <w:szCs w:val="20"/>
              </w:rPr>
              <w:t xml:space="preserve">— filiala ar fi afectată în mod disproporţionat de deducerile obligatorii </w:t>
            </w:r>
            <w:r w:rsidRPr="00154588">
              <w:rPr>
                <w:sz w:val="20"/>
                <w:szCs w:val="20"/>
                <w:lang w:eastAsia="ro-MD"/>
              </w:rPr>
              <w:t xml:space="preserve">din elementele de pasive eligibile a instrumentelor de fonduri proprii și de instrumente de pasive eligibile </w:t>
            </w:r>
            <w:r w:rsidRPr="00154588">
              <w:rPr>
                <w:bCs/>
                <w:sz w:val="20"/>
                <w:szCs w:val="20"/>
              </w:rPr>
              <w:t>în temeiul reglementărilor Băncii Naționale a Moldovei emise în aplicarea art.60, 61 și 62 din Legea nr.202/2017;</w:t>
            </w:r>
          </w:p>
          <w:p w14:paraId="081F51DF" w14:textId="2F7376A5" w:rsidR="00F4284C" w:rsidRPr="00154588" w:rsidRDefault="00F4284C" w:rsidP="008C12B4">
            <w:pPr>
              <w:jc w:val="both"/>
              <w:rPr>
                <w:bCs/>
                <w:sz w:val="20"/>
                <w:szCs w:val="20"/>
              </w:rPr>
            </w:pPr>
            <w:r w:rsidRPr="00154588">
              <w:rPr>
                <w:bCs/>
                <w:sz w:val="20"/>
                <w:szCs w:val="20"/>
              </w:rPr>
              <w:t>(ii) filiala face obiectul cerinţei menţionate la art.139</w:t>
            </w:r>
            <w:r w:rsidRPr="00154588">
              <w:rPr>
                <w:bCs/>
                <w:sz w:val="20"/>
                <w:szCs w:val="20"/>
                <w:vertAlign w:val="superscript"/>
              </w:rPr>
              <w:t>1</w:t>
            </w:r>
            <w:r w:rsidRPr="00154588">
              <w:rPr>
                <w:bCs/>
                <w:sz w:val="20"/>
                <w:szCs w:val="20"/>
              </w:rPr>
              <w:t xml:space="preserve"> din Legea nr.202/2017, numai pe bază consolidată, iar stabilirea cerinţei prevăzute la art.167 și art. 167</w:t>
            </w:r>
            <w:r w:rsidRPr="00154588">
              <w:rPr>
                <w:bCs/>
                <w:sz w:val="20"/>
                <w:szCs w:val="20"/>
                <w:vertAlign w:val="superscript"/>
              </w:rPr>
              <w:t>5</w:t>
            </w:r>
            <w:r w:rsidRPr="00154588">
              <w:rPr>
                <w:bCs/>
                <w:sz w:val="20"/>
                <w:szCs w:val="20"/>
              </w:rPr>
              <w:t>-167</w:t>
            </w:r>
            <w:r w:rsidRPr="00154588">
              <w:rPr>
                <w:bCs/>
                <w:sz w:val="20"/>
                <w:szCs w:val="20"/>
                <w:vertAlign w:val="superscript"/>
              </w:rPr>
              <w:t>12</w:t>
            </w:r>
            <w:r w:rsidRPr="00154588">
              <w:rPr>
                <w:bCs/>
                <w:sz w:val="20"/>
                <w:szCs w:val="20"/>
              </w:rPr>
              <w:t xml:space="preserve"> din prezenta lege pe bază consolidată nu ar </w:t>
            </w:r>
            <w:r w:rsidRPr="00154588">
              <w:rPr>
                <w:bCs/>
                <w:sz w:val="20"/>
                <w:szCs w:val="20"/>
              </w:rPr>
              <w:lastRenderedPageBreak/>
              <w:t>conduce la supraestimarea nevoilor de recapitalizare, în sensul art.167 lit.b) din prezenta lege, ale subgrupului format din entităţi din perimetrul de consolidare în cauză, în special în cazul în care există o prevalenţă a entităţilor destinate lichidării în cadrul aceluiași perimetru de consolidare;</w:t>
            </w:r>
          </w:p>
          <w:p w14:paraId="34947A1B" w14:textId="2AAA0804" w:rsidR="00F4284C" w:rsidRPr="00154588" w:rsidRDefault="00F4284C" w:rsidP="008C12B4">
            <w:pPr>
              <w:jc w:val="both"/>
              <w:rPr>
                <w:bCs/>
                <w:sz w:val="20"/>
                <w:szCs w:val="20"/>
              </w:rPr>
            </w:pPr>
            <w:r w:rsidRPr="00154588">
              <w:rPr>
                <w:bCs/>
                <w:sz w:val="20"/>
                <w:szCs w:val="20"/>
              </w:rPr>
              <w:t>b) respectarea cerinţei prevăzute la art.167 și art. 167</w:t>
            </w:r>
            <w:r w:rsidRPr="00154588">
              <w:rPr>
                <w:bCs/>
                <w:sz w:val="20"/>
                <w:szCs w:val="20"/>
                <w:vertAlign w:val="superscript"/>
              </w:rPr>
              <w:t>5</w:t>
            </w:r>
            <w:r w:rsidRPr="00154588">
              <w:rPr>
                <w:bCs/>
                <w:sz w:val="20"/>
                <w:szCs w:val="20"/>
              </w:rPr>
              <w:t>-167</w:t>
            </w:r>
            <w:r w:rsidRPr="00154588">
              <w:rPr>
                <w:bCs/>
                <w:sz w:val="20"/>
                <w:szCs w:val="20"/>
                <w:vertAlign w:val="superscript"/>
              </w:rPr>
              <w:t>12</w:t>
            </w:r>
            <w:r w:rsidRPr="00154588">
              <w:rPr>
                <w:bCs/>
                <w:sz w:val="20"/>
                <w:szCs w:val="20"/>
              </w:rPr>
              <w:t xml:space="preserve"> pe bază consolidată ca substitut pentru respectarea acestei cerinţe pe bază individuală nu afectează în mod semnificativ niciuna dintre următoarele:</w:t>
            </w:r>
          </w:p>
          <w:p w14:paraId="3F1D2A16" w14:textId="77777777" w:rsidR="00F4284C" w:rsidRPr="00154588" w:rsidRDefault="00F4284C" w:rsidP="008C12B4">
            <w:pPr>
              <w:jc w:val="both"/>
              <w:rPr>
                <w:bCs/>
                <w:sz w:val="20"/>
                <w:szCs w:val="20"/>
              </w:rPr>
            </w:pPr>
            <w:r w:rsidRPr="00154588">
              <w:rPr>
                <w:bCs/>
                <w:sz w:val="20"/>
                <w:szCs w:val="20"/>
              </w:rPr>
              <w:t>(i) credibilitatea și fezabilitatea strategiei de rezoluţie a grupului;</w:t>
            </w:r>
          </w:p>
          <w:p w14:paraId="5CE46462" w14:textId="77777777" w:rsidR="00F4284C" w:rsidRPr="00154588" w:rsidRDefault="00F4284C" w:rsidP="008C12B4">
            <w:pPr>
              <w:jc w:val="both"/>
              <w:rPr>
                <w:bCs/>
                <w:sz w:val="20"/>
                <w:szCs w:val="20"/>
              </w:rPr>
            </w:pPr>
            <w:r w:rsidRPr="00154588">
              <w:rPr>
                <w:bCs/>
                <w:sz w:val="20"/>
                <w:szCs w:val="20"/>
              </w:rPr>
              <w:t>(ii) capacitatea filialei de a-și respecta cerinţa de fonduri proprii după exercitarea competenţelor de reducere a valorii contabile și de conversie; și</w:t>
            </w:r>
          </w:p>
          <w:p w14:paraId="3272DE14" w14:textId="13C52A36" w:rsidR="00F4284C" w:rsidRPr="00154588" w:rsidRDefault="00F4284C" w:rsidP="008C12B4">
            <w:pPr>
              <w:jc w:val="both"/>
              <w:rPr>
                <w:bCs/>
                <w:sz w:val="20"/>
                <w:szCs w:val="20"/>
              </w:rPr>
            </w:pPr>
            <w:r w:rsidRPr="00154588">
              <w:rPr>
                <w:bCs/>
                <w:sz w:val="20"/>
                <w:szCs w:val="20"/>
              </w:rPr>
              <w:t>(iii) caracterul adecvat al mecanismului de transfer intern al pierderilor și de recapitalizare, inclusiv reducerea valorii contabile sau conversia, în conformitate cuart.219-225 din prezenta lege, a instrumentelor de capital și a datoriilor eligibile relevante ale filialei în cauză sau ale altor entități din grupul de rezoluție. .</w:t>
            </w:r>
          </w:p>
          <w:p w14:paraId="189AC65A" w14:textId="77777777" w:rsidR="00F4284C" w:rsidRPr="00154588" w:rsidRDefault="00F4284C" w:rsidP="008C12B4">
            <w:pPr>
              <w:rPr>
                <w:bCs/>
                <w:sz w:val="20"/>
                <w:szCs w:val="20"/>
              </w:rPr>
            </w:pPr>
          </w:p>
          <w:p w14:paraId="04B8321B" w14:textId="0DF126DF" w:rsidR="00F4284C" w:rsidRPr="00154588" w:rsidRDefault="00F4284C" w:rsidP="008C12B4">
            <w:pPr>
              <w:jc w:val="both"/>
              <w:rPr>
                <w:sz w:val="20"/>
                <w:szCs w:val="20"/>
                <w:lang w:val="ro-MD"/>
              </w:rPr>
            </w:pPr>
            <w:r w:rsidRPr="00154588">
              <w:rPr>
                <w:sz w:val="20"/>
                <w:szCs w:val="20"/>
              </w:rPr>
              <w:t xml:space="preserve">(5) În </w:t>
            </w:r>
            <w:r w:rsidRPr="00154588">
              <w:rPr>
                <w:sz w:val="20"/>
                <w:szCs w:val="20"/>
                <w:lang w:val="ro-MD"/>
              </w:rPr>
              <w:t xml:space="preserve">cazul grupurilor de rezoluţie identificate în conformitate cu art.2 pct.79 litera (b), respectivele instituţii de credit </w:t>
            </w:r>
            <w:bookmarkStart w:id="111" w:name="_Hlk234600180"/>
            <w:r w:rsidRPr="00154588">
              <w:rPr>
                <w:sz w:val="20"/>
                <w:szCs w:val="20"/>
                <w:lang w:val="ro-MD"/>
              </w:rPr>
              <w:t xml:space="preserve">sau instituții financiare </w:t>
            </w:r>
            <w:bookmarkEnd w:id="111"/>
            <w:r w:rsidRPr="00154588">
              <w:rPr>
                <w:sz w:val="20"/>
                <w:szCs w:val="20"/>
                <w:lang w:val="ro-MD"/>
              </w:rPr>
              <w:t>care sunt afiliate în mod permanent unui organism central, dar care nu sunt ele însele entităţi de rezoluţie, un organism central, care nu este el însuși o entitate de rezoluţie, precum și toate entităţile de rezoluţie care nu fac obiectul unei cerinţe prevăzute la art.167</w:t>
            </w:r>
            <w:r w:rsidRPr="00154588">
              <w:rPr>
                <w:sz w:val="20"/>
                <w:szCs w:val="20"/>
                <w:vertAlign w:val="superscript"/>
                <w:lang w:val="ro-MD"/>
              </w:rPr>
              <w:t>14</w:t>
            </w:r>
            <w:r w:rsidRPr="00154588">
              <w:rPr>
                <w:sz w:val="20"/>
                <w:szCs w:val="20"/>
                <w:lang w:val="ro-MD"/>
              </w:rPr>
              <w:t xml:space="preserve"> alin.(3) respectă dispoziţiile art.167</w:t>
            </w:r>
            <w:r w:rsidRPr="00154588">
              <w:rPr>
                <w:sz w:val="20"/>
                <w:szCs w:val="20"/>
                <w:vertAlign w:val="superscript"/>
                <w:lang w:val="ro-MD"/>
              </w:rPr>
              <w:t>9</w:t>
            </w:r>
            <w:r w:rsidRPr="00154588">
              <w:rPr>
                <w:sz w:val="20"/>
                <w:szCs w:val="20"/>
                <w:lang w:val="ro-MD"/>
              </w:rPr>
              <w:t xml:space="preserve"> pe bază individuală.</w:t>
            </w:r>
          </w:p>
          <w:p w14:paraId="667213E1" w14:textId="77777777" w:rsidR="00F4284C" w:rsidRPr="00154588" w:rsidRDefault="00F4284C" w:rsidP="008C12B4">
            <w:pPr>
              <w:jc w:val="both"/>
              <w:rPr>
                <w:sz w:val="20"/>
                <w:szCs w:val="20"/>
                <w:lang w:val="ro-MD"/>
              </w:rPr>
            </w:pPr>
          </w:p>
          <w:p w14:paraId="33A80A7E" w14:textId="5588EE19" w:rsidR="00F4284C" w:rsidRPr="00154588" w:rsidRDefault="00F4284C" w:rsidP="008C12B4">
            <w:pPr>
              <w:jc w:val="both"/>
              <w:rPr>
                <w:sz w:val="20"/>
                <w:szCs w:val="20"/>
                <w:lang w:val="ro-MD"/>
              </w:rPr>
            </w:pPr>
            <w:r w:rsidRPr="00154588">
              <w:rPr>
                <w:sz w:val="20"/>
                <w:szCs w:val="20"/>
                <w:lang w:val="ro-MD"/>
              </w:rPr>
              <w:t>(</w:t>
            </w:r>
            <w:bookmarkStart w:id="112" w:name="_Hlk234600147"/>
            <w:r w:rsidRPr="00154588">
              <w:rPr>
                <w:sz w:val="20"/>
                <w:szCs w:val="20"/>
                <w:lang w:val="ro-MD"/>
              </w:rPr>
              <w:t>6) În cazul unei entităţi menţionate în prezentul articolcerinţa menţionată la art.164 alin.(1) se stabilește în conformitate cu art.167</w:t>
            </w:r>
            <w:r w:rsidRPr="00154588">
              <w:rPr>
                <w:sz w:val="20"/>
                <w:szCs w:val="20"/>
                <w:vertAlign w:val="superscript"/>
                <w:lang w:val="ro-MD"/>
              </w:rPr>
              <w:t>21</w:t>
            </w:r>
            <w:r w:rsidRPr="00154588">
              <w:rPr>
                <w:sz w:val="20"/>
                <w:szCs w:val="20"/>
                <w:lang w:val="ro-MD"/>
              </w:rPr>
              <w:t>-170 și 295</w:t>
            </w:r>
            <w:r w:rsidRPr="00154588">
              <w:rPr>
                <w:sz w:val="20"/>
                <w:szCs w:val="20"/>
                <w:vertAlign w:val="superscript"/>
                <w:lang w:val="ro-MD"/>
              </w:rPr>
              <w:t>8</w:t>
            </w:r>
            <w:r w:rsidRPr="00154588">
              <w:rPr>
                <w:sz w:val="20"/>
                <w:szCs w:val="20"/>
                <w:lang w:val="ro-MD"/>
              </w:rPr>
              <w:t>–295</w:t>
            </w:r>
            <w:r w:rsidRPr="00154588">
              <w:rPr>
                <w:sz w:val="20"/>
                <w:szCs w:val="20"/>
                <w:vertAlign w:val="superscript"/>
                <w:lang w:val="ro-MD"/>
              </w:rPr>
              <w:t>12</w:t>
            </w:r>
            <w:r w:rsidRPr="00154588">
              <w:rPr>
                <w:sz w:val="20"/>
                <w:szCs w:val="20"/>
                <w:lang w:val="ro-MD"/>
              </w:rPr>
              <w:t>, după caz, și pe baza cerinţelor prevăzute la art.167</w:t>
            </w:r>
            <w:r w:rsidRPr="00154588">
              <w:rPr>
                <w:bCs/>
                <w:sz w:val="20"/>
                <w:szCs w:val="20"/>
              </w:rPr>
              <w:t xml:space="preserve"> și art. 167</w:t>
            </w:r>
            <w:r w:rsidRPr="00154588">
              <w:rPr>
                <w:bCs/>
                <w:sz w:val="20"/>
                <w:szCs w:val="20"/>
                <w:vertAlign w:val="superscript"/>
              </w:rPr>
              <w:t>5</w:t>
            </w:r>
            <w:r w:rsidRPr="00154588">
              <w:rPr>
                <w:sz w:val="20"/>
                <w:szCs w:val="20"/>
                <w:lang w:val="ro-MD"/>
              </w:rPr>
              <w:t>-167</w:t>
            </w:r>
            <w:r w:rsidRPr="00154588">
              <w:rPr>
                <w:sz w:val="20"/>
                <w:szCs w:val="20"/>
                <w:vertAlign w:val="superscript"/>
                <w:lang w:val="ro-MD"/>
              </w:rPr>
              <w:t>12</w:t>
            </w:r>
            <w:r w:rsidRPr="00154588">
              <w:rPr>
                <w:sz w:val="20"/>
                <w:szCs w:val="20"/>
                <w:lang w:val="ro-MD"/>
              </w:rPr>
              <w:t>.</w:t>
            </w:r>
            <w:bookmarkEnd w:id="112"/>
          </w:p>
        </w:tc>
        <w:tc>
          <w:tcPr>
            <w:tcW w:w="2552" w:type="dxa"/>
          </w:tcPr>
          <w:p w14:paraId="3D5ADD41" w14:textId="16DCF0E8"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61E6DB6E" w14:textId="77777777" w:rsidR="00F4284C" w:rsidRPr="00154588" w:rsidRDefault="00F4284C" w:rsidP="008C12B4">
            <w:pPr>
              <w:jc w:val="both"/>
              <w:rPr>
                <w:bCs/>
                <w:sz w:val="20"/>
                <w:szCs w:val="20"/>
              </w:rPr>
            </w:pPr>
          </w:p>
        </w:tc>
      </w:tr>
      <w:tr w:rsidR="00F4284C" w:rsidRPr="00154588" w14:paraId="675214A4" w14:textId="77777777" w:rsidTr="00D15C1B">
        <w:trPr>
          <w:jc w:val="center"/>
        </w:trPr>
        <w:tc>
          <w:tcPr>
            <w:tcW w:w="4957" w:type="dxa"/>
            <w:gridSpan w:val="2"/>
          </w:tcPr>
          <w:p w14:paraId="22E38008" w14:textId="77777777" w:rsidR="00F4284C" w:rsidRPr="00154588" w:rsidRDefault="00F4284C" w:rsidP="008C12B4">
            <w:pPr>
              <w:jc w:val="both"/>
              <w:rPr>
                <w:bCs/>
                <w:sz w:val="20"/>
                <w:szCs w:val="20"/>
              </w:rPr>
            </w:pPr>
            <w:r w:rsidRPr="00154588">
              <w:rPr>
                <w:bCs/>
                <w:sz w:val="20"/>
                <w:szCs w:val="20"/>
              </w:rPr>
              <w:lastRenderedPageBreak/>
              <w:t>(2)   În cazul entităților menționate la alineatul (1) din prezentul articol, cerința menționată la articolul 45 alineatul (1) este îndeplinită folosind unul sau mai multe dintre următoarele elemente:</w:t>
            </w:r>
          </w:p>
          <w:p w14:paraId="159F2DAF" w14:textId="77777777" w:rsidR="00F4284C" w:rsidRPr="00154588" w:rsidRDefault="00F4284C" w:rsidP="008C12B4">
            <w:pPr>
              <w:jc w:val="both"/>
              <w:rPr>
                <w:bCs/>
                <w:sz w:val="20"/>
                <w:szCs w:val="20"/>
              </w:rPr>
            </w:pPr>
          </w:p>
          <w:p w14:paraId="5E6AB5B9" w14:textId="4FDE1381" w:rsidR="00F4284C" w:rsidRPr="00154588" w:rsidRDefault="00F4284C" w:rsidP="008C12B4">
            <w:pPr>
              <w:jc w:val="both"/>
              <w:rPr>
                <w:bCs/>
                <w:sz w:val="20"/>
                <w:szCs w:val="20"/>
              </w:rPr>
            </w:pPr>
            <w:r w:rsidRPr="00154588">
              <w:rPr>
                <w:bCs/>
                <w:sz w:val="20"/>
                <w:szCs w:val="20"/>
              </w:rPr>
              <w:t>(a) datorii:</w:t>
            </w:r>
          </w:p>
          <w:p w14:paraId="3ECA5B2A" w14:textId="77777777" w:rsidR="00F4284C" w:rsidRPr="00154588" w:rsidRDefault="00F4284C" w:rsidP="008C12B4">
            <w:pPr>
              <w:jc w:val="both"/>
              <w:rPr>
                <w:bCs/>
                <w:sz w:val="20"/>
                <w:szCs w:val="20"/>
              </w:rPr>
            </w:pPr>
          </w:p>
          <w:p w14:paraId="5FD2B1E8" w14:textId="0AAE887C" w:rsidR="00F4284C" w:rsidRPr="00154588" w:rsidRDefault="00F4284C" w:rsidP="008C12B4">
            <w:pPr>
              <w:jc w:val="both"/>
              <w:rPr>
                <w:bCs/>
                <w:sz w:val="20"/>
                <w:szCs w:val="20"/>
              </w:rPr>
            </w:pPr>
            <w:r w:rsidRPr="00154588">
              <w:rPr>
                <w:bCs/>
                <w:sz w:val="20"/>
                <w:szCs w:val="20"/>
              </w:rPr>
              <w:t>(i) care sunt emise pentru entitatea de rezoluție și sunt achiziționate de către aceasta, direct sau indirect, prin intermediul altor entități din același grup de rezoluție care au achiziționat instrumentele de datorie de la entitatea care face obiectul prezentului articol sau sunt emise pentru un acționar existent care nu face parte din același grup de rezoluție și sunt achiziționate de către acesta, în măsura în care exercitarea competențelor de reducere a valorii sau de conversie în conformitate cu articolele 59-62 nu afectează controlul exercitat de entitatea de rezoluție asupra filialei;</w:t>
            </w:r>
          </w:p>
          <w:p w14:paraId="31000319" w14:textId="77777777" w:rsidR="00F4284C" w:rsidRPr="00154588" w:rsidRDefault="00F4284C" w:rsidP="008C12B4">
            <w:pPr>
              <w:jc w:val="both"/>
              <w:rPr>
                <w:bCs/>
                <w:sz w:val="20"/>
                <w:szCs w:val="20"/>
              </w:rPr>
            </w:pPr>
          </w:p>
          <w:p w14:paraId="1E7F683A" w14:textId="37A754ED" w:rsidR="00F4284C" w:rsidRPr="00154588" w:rsidRDefault="00F4284C" w:rsidP="008C12B4">
            <w:pPr>
              <w:jc w:val="both"/>
              <w:rPr>
                <w:bCs/>
                <w:sz w:val="20"/>
                <w:szCs w:val="20"/>
              </w:rPr>
            </w:pPr>
            <w:bookmarkStart w:id="113" w:name="_Hlk234248203"/>
            <w:r w:rsidRPr="00154588">
              <w:rPr>
                <w:bCs/>
                <w:sz w:val="20"/>
                <w:szCs w:val="20"/>
              </w:rPr>
              <w:t>(ii) care îndeplinesc criteriile de eligibilitate menționate la articolul 72a din Regulamentul (UE) nr. 575/2013, cu excepția articolului 72b alineatul (2) literele (b), (c), (k), (l) și (m) și alineatele (3), (4) și (5) din regulamentul respectiv, precum și, după caz, la articolul 45b alineatul (1a) din prezenta directivă;</w:t>
            </w:r>
          </w:p>
          <w:bookmarkEnd w:id="113"/>
          <w:p w14:paraId="18CE4C18" w14:textId="77777777" w:rsidR="00F4284C" w:rsidRPr="00154588" w:rsidRDefault="00F4284C" w:rsidP="008C12B4">
            <w:pPr>
              <w:jc w:val="both"/>
              <w:rPr>
                <w:bCs/>
                <w:sz w:val="20"/>
                <w:szCs w:val="20"/>
              </w:rPr>
            </w:pPr>
          </w:p>
          <w:p w14:paraId="71AB695F" w14:textId="77777777" w:rsidR="00F4284C" w:rsidRPr="00154588" w:rsidRDefault="00F4284C" w:rsidP="008C12B4">
            <w:pPr>
              <w:jc w:val="both"/>
              <w:rPr>
                <w:bCs/>
                <w:sz w:val="20"/>
                <w:szCs w:val="20"/>
              </w:rPr>
            </w:pPr>
          </w:p>
          <w:p w14:paraId="495F359D" w14:textId="77777777" w:rsidR="00F4284C" w:rsidRPr="00154588" w:rsidRDefault="00F4284C" w:rsidP="008C12B4">
            <w:pPr>
              <w:jc w:val="both"/>
              <w:rPr>
                <w:bCs/>
                <w:sz w:val="20"/>
                <w:szCs w:val="20"/>
              </w:rPr>
            </w:pPr>
          </w:p>
          <w:p w14:paraId="5AB65A43" w14:textId="77777777" w:rsidR="00F4284C" w:rsidRPr="00154588" w:rsidRDefault="00F4284C" w:rsidP="008C12B4">
            <w:pPr>
              <w:jc w:val="both"/>
              <w:rPr>
                <w:bCs/>
                <w:sz w:val="20"/>
                <w:szCs w:val="20"/>
              </w:rPr>
            </w:pPr>
          </w:p>
          <w:p w14:paraId="047C4FFF" w14:textId="77777777" w:rsidR="00F4284C" w:rsidRPr="00154588" w:rsidRDefault="00F4284C" w:rsidP="008C12B4">
            <w:pPr>
              <w:jc w:val="both"/>
              <w:rPr>
                <w:bCs/>
                <w:sz w:val="20"/>
                <w:szCs w:val="20"/>
              </w:rPr>
            </w:pPr>
          </w:p>
          <w:p w14:paraId="437CA388" w14:textId="77777777" w:rsidR="00F4284C" w:rsidRPr="00154588" w:rsidRDefault="00F4284C" w:rsidP="008C12B4">
            <w:pPr>
              <w:jc w:val="both"/>
              <w:rPr>
                <w:bCs/>
                <w:sz w:val="20"/>
                <w:szCs w:val="20"/>
              </w:rPr>
            </w:pPr>
          </w:p>
          <w:p w14:paraId="4A3C9D70" w14:textId="77777777" w:rsidR="00F4284C" w:rsidRPr="00154588" w:rsidRDefault="00F4284C" w:rsidP="008C12B4">
            <w:pPr>
              <w:jc w:val="both"/>
              <w:rPr>
                <w:bCs/>
                <w:sz w:val="20"/>
                <w:szCs w:val="20"/>
              </w:rPr>
            </w:pPr>
          </w:p>
          <w:p w14:paraId="3BFCE048" w14:textId="77777777" w:rsidR="00F4284C" w:rsidRPr="00154588" w:rsidRDefault="00F4284C" w:rsidP="008C12B4">
            <w:pPr>
              <w:jc w:val="both"/>
              <w:rPr>
                <w:bCs/>
                <w:sz w:val="20"/>
                <w:szCs w:val="20"/>
              </w:rPr>
            </w:pPr>
          </w:p>
          <w:p w14:paraId="32DE3875" w14:textId="77777777" w:rsidR="00F4284C" w:rsidRPr="00154588" w:rsidRDefault="00F4284C" w:rsidP="008C12B4">
            <w:pPr>
              <w:jc w:val="both"/>
              <w:rPr>
                <w:bCs/>
                <w:sz w:val="20"/>
                <w:szCs w:val="20"/>
              </w:rPr>
            </w:pPr>
          </w:p>
          <w:p w14:paraId="0B98CADD" w14:textId="77777777" w:rsidR="00F4284C" w:rsidRPr="00154588" w:rsidRDefault="00F4284C" w:rsidP="008C12B4">
            <w:pPr>
              <w:jc w:val="both"/>
              <w:rPr>
                <w:bCs/>
                <w:sz w:val="20"/>
                <w:szCs w:val="20"/>
              </w:rPr>
            </w:pPr>
          </w:p>
          <w:p w14:paraId="6D8A667B" w14:textId="77777777" w:rsidR="00F4284C" w:rsidRPr="00154588" w:rsidRDefault="00F4284C" w:rsidP="008C12B4">
            <w:pPr>
              <w:jc w:val="both"/>
              <w:rPr>
                <w:bCs/>
                <w:sz w:val="20"/>
                <w:szCs w:val="20"/>
              </w:rPr>
            </w:pPr>
          </w:p>
          <w:p w14:paraId="6F631717" w14:textId="77777777" w:rsidR="00F4284C" w:rsidRPr="00154588" w:rsidRDefault="00F4284C" w:rsidP="008C12B4">
            <w:pPr>
              <w:jc w:val="both"/>
              <w:rPr>
                <w:bCs/>
                <w:sz w:val="20"/>
                <w:szCs w:val="20"/>
              </w:rPr>
            </w:pPr>
          </w:p>
          <w:p w14:paraId="59E659CB" w14:textId="77777777" w:rsidR="00F4284C" w:rsidRPr="00154588" w:rsidRDefault="00F4284C" w:rsidP="008C12B4">
            <w:pPr>
              <w:jc w:val="both"/>
              <w:rPr>
                <w:bCs/>
                <w:sz w:val="20"/>
                <w:szCs w:val="20"/>
              </w:rPr>
            </w:pPr>
          </w:p>
          <w:p w14:paraId="58D906C4" w14:textId="20F108AB" w:rsidR="00F4284C" w:rsidRPr="00154588" w:rsidRDefault="00F4284C" w:rsidP="008C12B4">
            <w:pPr>
              <w:jc w:val="both"/>
              <w:rPr>
                <w:bCs/>
                <w:sz w:val="20"/>
                <w:szCs w:val="20"/>
              </w:rPr>
            </w:pPr>
            <w:bookmarkStart w:id="114" w:name="_Hlk234248222"/>
            <w:r w:rsidRPr="00154588">
              <w:rPr>
                <w:bCs/>
                <w:sz w:val="20"/>
                <w:szCs w:val="20"/>
              </w:rPr>
              <w:t>(iii) care se situează, în procedura obișnuită de insolvență, sub instrumentele de datorie care nu îndeplinesc condiția menționată la punctul (i) și care nu sunt eligibile pentru cerințele de fonduri proprii;</w:t>
            </w:r>
          </w:p>
          <w:p w14:paraId="18E55FB4" w14:textId="77777777" w:rsidR="00F4284C" w:rsidRPr="00154588" w:rsidRDefault="00F4284C" w:rsidP="008C12B4">
            <w:pPr>
              <w:jc w:val="both"/>
              <w:rPr>
                <w:bCs/>
                <w:sz w:val="20"/>
                <w:szCs w:val="20"/>
              </w:rPr>
            </w:pPr>
          </w:p>
          <w:p w14:paraId="20460A3A" w14:textId="728AEC06" w:rsidR="00F4284C" w:rsidRPr="00154588" w:rsidRDefault="00F4284C" w:rsidP="008C12B4">
            <w:pPr>
              <w:jc w:val="both"/>
              <w:rPr>
                <w:bCs/>
                <w:sz w:val="20"/>
                <w:szCs w:val="20"/>
              </w:rPr>
            </w:pPr>
            <w:r w:rsidRPr="00154588">
              <w:rPr>
                <w:bCs/>
                <w:sz w:val="20"/>
                <w:szCs w:val="20"/>
              </w:rPr>
              <w:lastRenderedPageBreak/>
              <w:t>(iv) care fac obiectul competențelor de reducere a valorii sau de conversie în conformitate cu articolele 59-62 într-o manieră care este în concordanță cu strategia de rezoluție a grupului de rezoluție, în special prin faptul că nu afectează controlul exercitat de entitatea de rezoluție asupra filialei;</w:t>
            </w:r>
          </w:p>
          <w:p w14:paraId="3A0322F2" w14:textId="77777777" w:rsidR="00F4284C" w:rsidRPr="00154588" w:rsidRDefault="00F4284C" w:rsidP="008C12B4">
            <w:pPr>
              <w:jc w:val="both"/>
              <w:rPr>
                <w:bCs/>
                <w:sz w:val="20"/>
                <w:szCs w:val="20"/>
              </w:rPr>
            </w:pPr>
          </w:p>
          <w:p w14:paraId="2CB8792F" w14:textId="680713AE" w:rsidR="00F4284C" w:rsidRPr="00154588" w:rsidRDefault="00F4284C" w:rsidP="008C12B4">
            <w:pPr>
              <w:jc w:val="both"/>
              <w:rPr>
                <w:bCs/>
                <w:sz w:val="20"/>
                <w:szCs w:val="20"/>
              </w:rPr>
            </w:pPr>
            <w:r w:rsidRPr="00154588">
              <w:rPr>
                <w:bCs/>
                <w:sz w:val="20"/>
                <w:szCs w:val="20"/>
              </w:rPr>
              <w:t>(v) a căror dobândire în proprietate nu este finanțată în mod direct sau indirect de entitatea care face obiectul prezentului articol;</w:t>
            </w:r>
          </w:p>
          <w:p w14:paraId="27A7B63D" w14:textId="77777777" w:rsidR="00F4284C" w:rsidRPr="00154588" w:rsidRDefault="00F4284C" w:rsidP="008C12B4">
            <w:pPr>
              <w:jc w:val="both"/>
              <w:rPr>
                <w:bCs/>
                <w:sz w:val="20"/>
                <w:szCs w:val="20"/>
              </w:rPr>
            </w:pPr>
          </w:p>
          <w:p w14:paraId="7987C206" w14:textId="1CFBE4A0" w:rsidR="00F4284C" w:rsidRPr="00154588" w:rsidRDefault="00F4284C" w:rsidP="008C12B4">
            <w:pPr>
              <w:jc w:val="both"/>
              <w:rPr>
                <w:bCs/>
                <w:sz w:val="20"/>
                <w:szCs w:val="20"/>
              </w:rPr>
            </w:pPr>
            <w:r w:rsidRPr="00154588">
              <w:rPr>
                <w:bCs/>
                <w:sz w:val="20"/>
                <w:szCs w:val="20"/>
              </w:rPr>
              <w:t>(vi) ale căror dispoziții de reglementare nu indică în mod explicit sau implicit că datoriile urmează să fie exercitate, rambursate, restituite sau răscumpărate, anticipat, după caz, de către entitatea care face obiectul prezentului articol, în alte cazuri decât insolvența sau lichidarea respectivei entității, iar entitatea respectivă nu oferă în alt mod astfel de indicații;</w:t>
            </w:r>
          </w:p>
          <w:p w14:paraId="682B5058" w14:textId="77777777" w:rsidR="00F4284C" w:rsidRPr="00154588" w:rsidRDefault="00F4284C" w:rsidP="008C12B4">
            <w:pPr>
              <w:jc w:val="both"/>
              <w:rPr>
                <w:bCs/>
                <w:sz w:val="20"/>
                <w:szCs w:val="20"/>
              </w:rPr>
            </w:pPr>
          </w:p>
          <w:p w14:paraId="4A4FEF16" w14:textId="687CF625" w:rsidR="00F4284C" w:rsidRPr="00154588" w:rsidRDefault="00F4284C" w:rsidP="008C12B4">
            <w:pPr>
              <w:jc w:val="both"/>
              <w:rPr>
                <w:bCs/>
                <w:sz w:val="20"/>
                <w:szCs w:val="20"/>
              </w:rPr>
            </w:pPr>
            <w:r w:rsidRPr="00154588">
              <w:rPr>
                <w:bCs/>
                <w:sz w:val="20"/>
                <w:szCs w:val="20"/>
              </w:rPr>
              <w:t>(vii) ale căror dispoziții de reglementare nu dau deținătorului dreptul de a accelera viitoarele plăți programate ale dobânzii sau ale principalului, decât în caz de insolvență sau de lichidare a entității care face obiectul prezentului articol;</w:t>
            </w:r>
          </w:p>
          <w:p w14:paraId="77940C03" w14:textId="77777777" w:rsidR="00F4284C" w:rsidRPr="00154588" w:rsidRDefault="00F4284C" w:rsidP="008C12B4">
            <w:pPr>
              <w:jc w:val="both"/>
              <w:rPr>
                <w:bCs/>
                <w:sz w:val="20"/>
                <w:szCs w:val="20"/>
              </w:rPr>
            </w:pPr>
          </w:p>
          <w:p w14:paraId="0E0D1146" w14:textId="280BD1D1" w:rsidR="00F4284C" w:rsidRPr="00154588" w:rsidRDefault="00F4284C" w:rsidP="008C12B4">
            <w:pPr>
              <w:jc w:val="both"/>
              <w:rPr>
                <w:bCs/>
                <w:sz w:val="20"/>
                <w:szCs w:val="20"/>
              </w:rPr>
            </w:pPr>
            <w:r w:rsidRPr="00154588">
              <w:rPr>
                <w:bCs/>
                <w:sz w:val="20"/>
                <w:szCs w:val="20"/>
              </w:rPr>
              <w:t>(viii) al căror nivel al plăților de dobânzi sau dividende, după caz, nu este modificat pe baza calității creditului entității care face obiectul prezentului articol sau al întreprinderii-mamă a acesteia;</w:t>
            </w:r>
          </w:p>
          <w:p w14:paraId="265C7369" w14:textId="77777777" w:rsidR="00F4284C" w:rsidRPr="00154588" w:rsidRDefault="00F4284C" w:rsidP="008C12B4">
            <w:pPr>
              <w:jc w:val="both"/>
              <w:rPr>
                <w:bCs/>
                <w:sz w:val="20"/>
                <w:szCs w:val="20"/>
              </w:rPr>
            </w:pPr>
          </w:p>
          <w:p w14:paraId="5EB746A6" w14:textId="0FFAEABB" w:rsidR="00F4284C" w:rsidRPr="00154588" w:rsidRDefault="00F4284C" w:rsidP="008C12B4">
            <w:pPr>
              <w:jc w:val="both"/>
              <w:rPr>
                <w:bCs/>
                <w:sz w:val="20"/>
                <w:szCs w:val="20"/>
              </w:rPr>
            </w:pPr>
            <w:r w:rsidRPr="00154588">
              <w:rPr>
                <w:bCs/>
                <w:sz w:val="20"/>
                <w:szCs w:val="20"/>
              </w:rPr>
              <w:t>(b) fonduri proprii, după cum urmează:</w:t>
            </w:r>
          </w:p>
          <w:p w14:paraId="762E42C9" w14:textId="77777777" w:rsidR="00F4284C" w:rsidRPr="00154588" w:rsidRDefault="00F4284C" w:rsidP="008C12B4">
            <w:pPr>
              <w:jc w:val="both"/>
              <w:rPr>
                <w:bCs/>
                <w:sz w:val="20"/>
                <w:szCs w:val="20"/>
              </w:rPr>
            </w:pPr>
          </w:p>
          <w:p w14:paraId="1C2A46F0" w14:textId="67C51D1E" w:rsidR="00F4284C" w:rsidRPr="00154588" w:rsidRDefault="00F4284C" w:rsidP="008C12B4">
            <w:pPr>
              <w:jc w:val="both"/>
              <w:rPr>
                <w:bCs/>
                <w:sz w:val="20"/>
                <w:szCs w:val="20"/>
              </w:rPr>
            </w:pPr>
            <w:r w:rsidRPr="00154588">
              <w:rPr>
                <w:bCs/>
                <w:sz w:val="20"/>
                <w:szCs w:val="20"/>
              </w:rPr>
              <w:t>(i) fonduri proprii de nivel 1 de bază; și</w:t>
            </w:r>
          </w:p>
          <w:p w14:paraId="1CF0204F" w14:textId="77777777" w:rsidR="00F4284C" w:rsidRPr="00154588" w:rsidRDefault="00F4284C" w:rsidP="008C12B4">
            <w:pPr>
              <w:jc w:val="both"/>
              <w:rPr>
                <w:bCs/>
                <w:sz w:val="20"/>
                <w:szCs w:val="20"/>
              </w:rPr>
            </w:pPr>
          </w:p>
          <w:p w14:paraId="79719D32" w14:textId="165E1635" w:rsidR="00F4284C" w:rsidRPr="00154588" w:rsidRDefault="00F4284C" w:rsidP="008C12B4">
            <w:pPr>
              <w:jc w:val="both"/>
              <w:rPr>
                <w:bCs/>
                <w:sz w:val="20"/>
                <w:szCs w:val="20"/>
              </w:rPr>
            </w:pPr>
            <w:r w:rsidRPr="00154588">
              <w:rPr>
                <w:bCs/>
                <w:sz w:val="20"/>
                <w:szCs w:val="20"/>
              </w:rPr>
              <w:t>(ii) alte fonduri proprii, care:</w:t>
            </w:r>
          </w:p>
          <w:p w14:paraId="16A87B9B" w14:textId="77777777" w:rsidR="00F4284C" w:rsidRPr="00154588" w:rsidRDefault="00F4284C" w:rsidP="008C12B4">
            <w:pPr>
              <w:jc w:val="both"/>
              <w:rPr>
                <w:bCs/>
                <w:sz w:val="20"/>
                <w:szCs w:val="20"/>
              </w:rPr>
            </w:pPr>
          </w:p>
          <w:p w14:paraId="40100A96" w14:textId="6EDDB9DB" w:rsidR="00F4284C" w:rsidRPr="00154588" w:rsidRDefault="00F4284C" w:rsidP="008C12B4">
            <w:pPr>
              <w:jc w:val="both"/>
              <w:rPr>
                <w:bCs/>
                <w:sz w:val="20"/>
                <w:szCs w:val="20"/>
              </w:rPr>
            </w:pPr>
            <w:r w:rsidRPr="00154588">
              <w:rPr>
                <w:bCs/>
                <w:sz w:val="20"/>
                <w:szCs w:val="20"/>
              </w:rPr>
              <w:t>— sunt emise pentru entități incluse în același grup de rezoluție și sunt achiziționate de către acestea sau</w:t>
            </w:r>
          </w:p>
          <w:p w14:paraId="0CC255B1" w14:textId="77777777" w:rsidR="00F4284C" w:rsidRPr="00154588" w:rsidRDefault="00F4284C" w:rsidP="008C12B4">
            <w:pPr>
              <w:jc w:val="both"/>
              <w:rPr>
                <w:bCs/>
                <w:sz w:val="20"/>
                <w:szCs w:val="20"/>
              </w:rPr>
            </w:pPr>
          </w:p>
          <w:p w14:paraId="2FF284DA" w14:textId="4B30087C" w:rsidR="00F4284C" w:rsidRPr="00154588" w:rsidRDefault="00F4284C" w:rsidP="008C12B4">
            <w:pPr>
              <w:jc w:val="both"/>
              <w:rPr>
                <w:bCs/>
                <w:sz w:val="20"/>
                <w:szCs w:val="20"/>
              </w:rPr>
            </w:pPr>
            <w:r w:rsidRPr="00154588">
              <w:rPr>
                <w:bCs/>
                <w:sz w:val="20"/>
                <w:szCs w:val="20"/>
              </w:rPr>
              <w:t xml:space="preserve">— sunt emise pentru entități neincluse în același grup de rezoluție și sunt achiziționate de către acestea, în măsura în care exercitarea competențelor de reducere a valorii sau de conversie în conformitate cu </w:t>
            </w:r>
            <w:r w:rsidRPr="00154588">
              <w:rPr>
                <w:bCs/>
                <w:sz w:val="20"/>
                <w:szCs w:val="20"/>
              </w:rPr>
              <w:lastRenderedPageBreak/>
              <w:t>articolele 59-62 nu afectează controlul exercitat de entitatea de rezoluție asupra filialei.</w:t>
            </w:r>
            <w:bookmarkEnd w:id="114"/>
          </w:p>
        </w:tc>
        <w:tc>
          <w:tcPr>
            <w:tcW w:w="4819" w:type="dxa"/>
          </w:tcPr>
          <w:p w14:paraId="7E89EF19" w14:textId="02C7494F" w:rsidR="00F4284C" w:rsidRPr="00154588" w:rsidRDefault="00F4284C" w:rsidP="008C12B4">
            <w:pPr>
              <w:jc w:val="both"/>
              <w:rPr>
                <w:bCs/>
                <w:sz w:val="20"/>
                <w:szCs w:val="20"/>
              </w:rPr>
            </w:pPr>
            <w:bookmarkStart w:id="115" w:name="_Hlk225445789"/>
            <w:r w:rsidRPr="00154588">
              <w:rPr>
                <w:b/>
                <w:sz w:val="20"/>
                <w:szCs w:val="20"/>
              </w:rPr>
              <w:lastRenderedPageBreak/>
              <w:t xml:space="preserve">Articolul </w:t>
            </w:r>
            <w:bookmarkStart w:id="116" w:name="_Hlk225445272"/>
            <w:r w:rsidRPr="00154588">
              <w:rPr>
                <w:b/>
                <w:sz w:val="20"/>
                <w:szCs w:val="20"/>
              </w:rPr>
              <w:t>167</w:t>
            </w:r>
            <w:r w:rsidRPr="00154588">
              <w:rPr>
                <w:b/>
                <w:sz w:val="20"/>
                <w:szCs w:val="20"/>
                <w:vertAlign w:val="superscript"/>
              </w:rPr>
              <w:t>16</w:t>
            </w:r>
            <w:bookmarkEnd w:id="116"/>
            <w:r w:rsidRPr="00154588">
              <w:rPr>
                <w:b/>
                <w:sz w:val="20"/>
                <w:szCs w:val="20"/>
              </w:rPr>
              <w:t>.</w:t>
            </w:r>
            <w:r w:rsidRPr="00154588">
              <w:rPr>
                <w:b/>
                <w:bCs/>
                <w:sz w:val="20"/>
                <w:szCs w:val="20"/>
              </w:rPr>
              <w:t xml:space="preserve"> </w:t>
            </w:r>
            <w:bookmarkStart w:id="117" w:name="_Hlk234248194"/>
            <w:r w:rsidRPr="00154588">
              <w:rPr>
                <w:bCs/>
                <w:sz w:val="20"/>
                <w:szCs w:val="20"/>
              </w:rPr>
              <w:t>– (1) În cazul entităților menționate laart.167</w:t>
            </w:r>
            <w:r w:rsidRPr="00154588">
              <w:rPr>
                <w:bCs/>
                <w:sz w:val="20"/>
                <w:szCs w:val="20"/>
                <w:vertAlign w:val="superscript"/>
              </w:rPr>
              <w:t xml:space="preserve">15 </w:t>
            </w:r>
            <w:r w:rsidRPr="00154588">
              <w:rPr>
                <w:bCs/>
                <w:sz w:val="20"/>
                <w:szCs w:val="20"/>
              </w:rPr>
              <w:t>, cerința menționată la art.164 alin.(1) este îndeplinită folosind unul sau mai multe dintre următoarele elemente:</w:t>
            </w:r>
          </w:p>
          <w:p w14:paraId="4B5B0B83" w14:textId="77777777" w:rsidR="00F4284C" w:rsidRPr="00154588" w:rsidRDefault="00F4284C" w:rsidP="008C12B4">
            <w:pPr>
              <w:jc w:val="both"/>
              <w:rPr>
                <w:b/>
                <w:bCs/>
                <w:sz w:val="20"/>
                <w:szCs w:val="20"/>
              </w:rPr>
            </w:pPr>
          </w:p>
          <w:p w14:paraId="0CA6991B" w14:textId="77777777" w:rsidR="00F4284C" w:rsidRPr="00154588" w:rsidRDefault="00F4284C" w:rsidP="008C12B4">
            <w:pPr>
              <w:jc w:val="both"/>
              <w:rPr>
                <w:bCs/>
                <w:sz w:val="20"/>
                <w:szCs w:val="20"/>
              </w:rPr>
            </w:pPr>
            <w:r w:rsidRPr="00154588">
              <w:rPr>
                <w:bCs/>
                <w:sz w:val="20"/>
                <w:szCs w:val="20"/>
              </w:rPr>
              <w:t>a) datorii:</w:t>
            </w:r>
          </w:p>
          <w:p w14:paraId="6E4C6092" w14:textId="77777777" w:rsidR="00F4284C" w:rsidRPr="00154588" w:rsidRDefault="00F4284C" w:rsidP="008C12B4">
            <w:pPr>
              <w:jc w:val="both"/>
              <w:rPr>
                <w:bCs/>
                <w:sz w:val="20"/>
                <w:szCs w:val="20"/>
              </w:rPr>
            </w:pPr>
            <w:r w:rsidRPr="00154588">
              <w:rPr>
                <w:bCs/>
                <w:sz w:val="20"/>
                <w:szCs w:val="20"/>
              </w:rPr>
              <w:t>(i) care sunt emise pentru entitatea de rezoluție și sunt achiziționate de către aceasta, direct sau indirect, prin intermediul altor entități din același grup de rezoluție care au achiziționat instrumentele de datorie de la entitatea care face obiectul art.167</w:t>
            </w:r>
            <w:r w:rsidRPr="00154588">
              <w:rPr>
                <w:bCs/>
                <w:sz w:val="20"/>
                <w:szCs w:val="20"/>
                <w:vertAlign w:val="superscript"/>
              </w:rPr>
              <w:t xml:space="preserve">16 </w:t>
            </w:r>
            <w:r w:rsidRPr="00154588">
              <w:rPr>
                <w:bCs/>
                <w:sz w:val="20"/>
                <w:szCs w:val="20"/>
              </w:rPr>
              <w:t>sau sunt emise pentru un acționar existent care nu face parte din același grup de rezoluție și sunt achiziționate de către acesta, în măsura în care exercitarea competențelor de reducere a valorii sau de conversie în conformitate cu art.219–230</w:t>
            </w:r>
            <w:r w:rsidRPr="00154588">
              <w:rPr>
                <w:bCs/>
                <w:sz w:val="20"/>
                <w:szCs w:val="20"/>
                <w:vertAlign w:val="superscript"/>
              </w:rPr>
              <w:t>2</w:t>
            </w:r>
            <w:r w:rsidRPr="00154588">
              <w:rPr>
                <w:bCs/>
                <w:sz w:val="20"/>
                <w:szCs w:val="20"/>
              </w:rPr>
              <w:t xml:space="preserve"> nu afectează controlul exercitat de entitatea de rezoluție asupra filialei;</w:t>
            </w:r>
          </w:p>
          <w:bookmarkEnd w:id="117"/>
          <w:p w14:paraId="7ADD0848" w14:textId="0AAE87F9" w:rsidR="00F4284C" w:rsidRPr="00154588" w:rsidRDefault="00F4284C" w:rsidP="008C12B4">
            <w:pPr>
              <w:jc w:val="both"/>
              <w:rPr>
                <w:bCs/>
                <w:sz w:val="20"/>
                <w:szCs w:val="20"/>
              </w:rPr>
            </w:pPr>
            <w:r w:rsidRPr="00154588">
              <w:rPr>
                <w:bCs/>
                <w:sz w:val="20"/>
                <w:szCs w:val="20"/>
              </w:rPr>
              <w:t>(ii) care îndeplinesc criteriile de eligibilitate prevăzute în reglementările Băncii Naționale a Moldovei emise în aplicarea art.164-170</w:t>
            </w:r>
            <w:r w:rsidRPr="00154588">
              <w:rPr>
                <w:bCs/>
                <w:sz w:val="20"/>
                <w:szCs w:val="20"/>
                <w:vertAlign w:val="superscript"/>
              </w:rPr>
              <w:t>14</w:t>
            </w:r>
            <w:r w:rsidRPr="00154588">
              <w:rPr>
                <w:bCs/>
                <w:sz w:val="20"/>
                <w:szCs w:val="20"/>
              </w:rPr>
              <w:t xml:space="preserve"> dinprezenta lege., </w:t>
            </w:r>
          </w:p>
          <w:p w14:paraId="0C3AE605" w14:textId="0DCA90B6" w:rsidR="00F4284C" w:rsidRPr="00154588" w:rsidRDefault="00F4284C" w:rsidP="008C12B4">
            <w:pPr>
              <w:jc w:val="both"/>
              <w:rPr>
                <w:bCs/>
                <w:sz w:val="20"/>
                <w:szCs w:val="20"/>
              </w:rPr>
            </w:pPr>
          </w:p>
          <w:p w14:paraId="3E8F7569" w14:textId="77777777" w:rsidR="00F4284C" w:rsidRPr="00154588" w:rsidRDefault="00F4284C" w:rsidP="008C12B4">
            <w:pPr>
              <w:jc w:val="both"/>
              <w:rPr>
                <w:bCs/>
                <w:sz w:val="20"/>
                <w:szCs w:val="20"/>
              </w:rPr>
            </w:pPr>
            <w:r w:rsidRPr="00154588">
              <w:rPr>
                <w:bCs/>
                <w:sz w:val="20"/>
                <w:szCs w:val="20"/>
              </w:rPr>
              <w:t>(iii) care se situează, în procedura obișnuită de insolvabilitate, sub instrumentele de datorie care nu îndeplinesc condiția menționată la punctul (i) și care nu sunt eligibile pentru cerințele de fonduri proprii;</w:t>
            </w:r>
          </w:p>
          <w:p w14:paraId="1F35749E" w14:textId="77777777" w:rsidR="00F4284C" w:rsidRPr="00154588" w:rsidRDefault="00F4284C" w:rsidP="008C12B4">
            <w:pPr>
              <w:jc w:val="both"/>
              <w:rPr>
                <w:bCs/>
                <w:sz w:val="20"/>
                <w:szCs w:val="20"/>
              </w:rPr>
            </w:pPr>
          </w:p>
          <w:p w14:paraId="20980A07" w14:textId="59FECE19" w:rsidR="00F4284C" w:rsidRPr="00154588" w:rsidRDefault="00F4284C" w:rsidP="008C12B4">
            <w:pPr>
              <w:jc w:val="both"/>
              <w:rPr>
                <w:bCs/>
                <w:sz w:val="20"/>
                <w:szCs w:val="20"/>
              </w:rPr>
            </w:pPr>
            <w:r w:rsidRPr="00154588">
              <w:rPr>
                <w:bCs/>
                <w:sz w:val="20"/>
                <w:szCs w:val="20"/>
              </w:rPr>
              <w:t xml:space="preserve">(iv) care fac obiectul competențelor de reducere a valorii sau de conversie în conformitate cu </w:t>
            </w:r>
            <w:bookmarkStart w:id="118" w:name="_Hlk234248471"/>
            <w:r w:rsidRPr="00154588">
              <w:rPr>
                <w:bCs/>
                <w:sz w:val="20"/>
                <w:szCs w:val="20"/>
              </w:rPr>
              <w:t>art.219–230</w:t>
            </w:r>
            <w:r w:rsidRPr="00154588">
              <w:rPr>
                <w:bCs/>
                <w:sz w:val="20"/>
                <w:szCs w:val="20"/>
                <w:vertAlign w:val="superscript"/>
              </w:rPr>
              <w:t>2</w:t>
            </w:r>
            <w:bookmarkEnd w:id="118"/>
            <w:r w:rsidRPr="00154588">
              <w:rPr>
                <w:bCs/>
                <w:sz w:val="20"/>
                <w:szCs w:val="20"/>
              </w:rPr>
              <w:t xml:space="preserve"> într-o manieră care este în concordanță cu strategia de rezoluție a grupului de rezoluție, în special prin faptul că nu afectează controlul exercitat de entitatea de rezoluție asupra filialei;</w:t>
            </w:r>
          </w:p>
          <w:p w14:paraId="2BEEE345" w14:textId="77777777" w:rsidR="00F4284C" w:rsidRPr="00154588" w:rsidRDefault="00F4284C" w:rsidP="008C12B4">
            <w:pPr>
              <w:jc w:val="both"/>
              <w:rPr>
                <w:bCs/>
                <w:sz w:val="20"/>
                <w:szCs w:val="20"/>
              </w:rPr>
            </w:pPr>
          </w:p>
          <w:p w14:paraId="03C56099" w14:textId="5FC2C101" w:rsidR="00F4284C" w:rsidRPr="00154588" w:rsidRDefault="00F4284C" w:rsidP="008C12B4">
            <w:pPr>
              <w:jc w:val="both"/>
              <w:rPr>
                <w:bCs/>
                <w:sz w:val="20"/>
                <w:szCs w:val="20"/>
              </w:rPr>
            </w:pPr>
            <w:r w:rsidRPr="00154588">
              <w:rPr>
                <w:bCs/>
                <w:sz w:val="20"/>
                <w:szCs w:val="20"/>
              </w:rPr>
              <w:t xml:space="preserve">(v) a căror dobândire în proprietate nu este finanțată în mod direct sau indirect de entitatea </w:t>
            </w:r>
            <w:bookmarkStart w:id="119" w:name="_Hlk234248503"/>
            <w:r w:rsidRPr="00154588">
              <w:rPr>
                <w:bCs/>
                <w:sz w:val="20"/>
                <w:szCs w:val="20"/>
              </w:rPr>
              <w:t>menționată la art.167</w:t>
            </w:r>
            <w:r w:rsidRPr="00154588">
              <w:rPr>
                <w:bCs/>
                <w:sz w:val="20"/>
                <w:szCs w:val="20"/>
                <w:vertAlign w:val="superscript"/>
              </w:rPr>
              <w:t xml:space="preserve">15 </w:t>
            </w:r>
            <w:r w:rsidRPr="00154588">
              <w:rPr>
                <w:bCs/>
                <w:sz w:val="20"/>
                <w:szCs w:val="20"/>
              </w:rPr>
              <w:t>alin.(1);</w:t>
            </w:r>
            <w:bookmarkEnd w:id="119"/>
          </w:p>
          <w:p w14:paraId="0F527CD6" w14:textId="77777777" w:rsidR="00F4284C" w:rsidRPr="00154588" w:rsidRDefault="00F4284C" w:rsidP="008C12B4">
            <w:pPr>
              <w:jc w:val="both"/>
              <w:rPr>
                <w:bCs/>
                <w:sz w:val="20"/>
                <w:szCs w:val="20"/>
              </w:rPr>
            </w:pPr>
          </w:p>
          <w:p w14:paraId="46178DF2" w14:textId="4D732991" w:rsidR="00F4284C" w:rsidRPr="00154588" w:rsidRDefault="00F4284C" w:rsidP="008C12B4">
            <w:pPr>
              <w:jc w:val="both"/>
              <w:rPr>
                <w:bCs/>
                <w:sz w:val="20"/>
                <w:szCs w:val="20"/>
              </w:rPr>
            </w:pPr>
            <w:r w:rsidRPr="00154588">
              <w:rPr>
                <w:bCs/>
                <w:sz w:val="20"/>
                <w:szCs w:val="20"/>
              </w:rPr>
              <w:t>(vi) ale căror dispoziții de reglementare nu indică în mod explicit sau implicit că datoriile urmează să fie exercitate, rambursate, restituite sau răscumpărate, anticipat, după caz, de către entitatea care face obiectul art.167</w:t>
            </w:r>
            <w:r w:rsidRPr="00154588">
              <w:rPr>
                <w:bCs/>
                <w:sz w:val="20"/>
                <w:szCs w:val="20"/>
                <w:vertAlign w:val="superscript"/>
              </w:rPr>
              <w:t>15</w:t>
            </w:r>
            <w:r w:rsidRPr="00154588">
              <w:rPr>
                <w:bCs/>
                <w:sz w:val="20"/>
                <w:szCs w:val="20"/>
              </w:rPr>
              <w:t xml:space="preserve"> alin.(1), în alte cazuri decât insolvabilitatea sau lichidarea respectivei entității, iar </w:t>
            </w:r>
            <w:r w:rsidRPr="00154588">
              <w:rPr>
                <w:bCs/>
                <w:sz w:val="20"/>
                <w:szCs w:val="20"/>
              </w:rPr>
              <w:lastRenderedPageBreak/>
              <w:t>entitatea respectivă nu oferă în alt mod astfel de indicații;</w:t>
            </w:r>
          </w:p>
          <w:p w14:paraId="0F310910" w14:textId="77777777" w:rsidR="00F4284C" w:rsidRPr="00154588" w:rsidRDefault="00F4284C" w:rsidP="008C12B4">
            <w:pPr>
              <w:jc w:val="both"/>
              <w:rPr>
                <w:bCs/>
                <w:sz w:val="20"/>
                <w:szCs w:val="20"/>
              </w:rPr>
            </w:pPr>
          </w:p>
          <w:p w14:paraId="10AD57E1" w14:textId="02F41EAA" w:rsidR="00F4284C" w:rsidRPr="00154588" w:rsidRDefault="00F4284C" w:rsidP="008C12B4">
            <w:pPr>
              <w:jc w:val="both"/>
              <w:rPr>
                <w:bCs/>
                <w:sz w:val="20"/>
                <w:szCs w:val="20"/>
              </w:rPr>
            </w:pPr>
            <w:r w:rsidRPr="00154588">
              <w:rPr>
                <w:bCs/>
                <w:sz w:val="20"/>
                <w:szCs w:val="20"/>
              </w:rPr>
              <w:t xml:space="preserve">(vii) ale căror dispoziții de reglementare nu dau deținătorului dreptul de a accelera viitoarele plăți programate ale dobânzii sau ale principalului, decât în caz de insolvabilitate sau de lichidare a entității care face obiectul </w:t>
            </w:r>
            <w:bookmarkStart w:id="120" w:name="_Hlk234248612"/>
            <w:r w:rsidRPr="00154588">
              <w:rPr>
                <w:bCs/>
                <w:sz w:val="20"/>
                <w:szCs w:val="20"/>
              </w:rPr>
              <w:t>art. 167</w:t>
            </w:r>
            <w:r w:rsidRPr="00154588">
              <w:rPr>
                <w:bCs/>
                <w:sz w:val="20"/>
                <w:szCs w:val="20"/>
                <w:vertAlign w:val="superscript"/>
              </w:rPr>
              <w:t>15</w:t>
            </w:r>
            <w:r w:rsidRPr="00154588">
              <w:rPr>
                <w:bCs/>
                <w:sz w:val="20"/>
                <w:szCs w:val="20"/>
              </w:rPr>
              <w:t xml:space="preserve"> alin.(1)</w:t>
            </w:r>
            <w:bookmarkEnd w:id="120"/>
            <w:r w:rsidRPr="00154588">
              <w:rPr>
                <w:bCs/>
                <w:sz w:val="20"/>
                <w:szCs w:val="20"/>
              </w:rPr>
              <w:t>;</w:t>
            </w:r>
          </w:p>
          <w:p w14:paraId="651119D8" w14:textId="1239E20A" w:rsidR="00F4284C" w:rsidRPr="00154588" w:rsidRDefault="00F4284C" w:rsidP="008C12B4">
            <w:pPr>
              <w:jc w:val="both"/>
              <w:rPr>
                <w:bCs/>
                <w:sz w:val="20"/>
                <w:szCs w:val="20"/>
              </w:rPr>
            </w:pPr>
            <w:r w:rsidRPr="00154588">
              <w:rPr>
                <w:bCs/>
                <w:sz w:val="20"/>
                <w:szCs w:val="20"/>
              </w:rPr>
              <w:t>(viii) al căror nivel al plăților de dobânzi sau dividende, după caz, nu este modificat pe baza calității creditului entității care face obiectul art. 167</w:t>
            </w:r>
            <w:r w:rsidRPr="00154588">
              <w:rPr>
                <w:bCs/>
                <w:sz w:val="20"/>
                <w:szCs w:val="20"/>
                <w:vertAlign w:val="superscript"/>
              </w:rPr>
              <w:t>15</w:t>
            </w:r>
            <w:r w:rsidRPr="00154588">
              <w:rPr>
                <w:bCs/>
                <w:sz w:val="20"/>
                <w:szCs w:val="20"/>
              </w:rPr>
              <w:t xml:space="preserve"> alin.(1)sau al întreprinderii-mamă a acesteia;</w:t>
            </w:r>
          </w:p>
          <w:p w14:paraId="5C195BC4" w14:textId="77777777" w:rsidR="00F4284C" w:rsidRPr="00154588" w:rsidRDefault="00F4284C" w:rsidP="008C12B4">
            <w:pPr>
              <w:jc w:val="both"/>
              <w:rPr>
                <w:bCs/>
                <w:sz w:val="20"/>
                <w:szCs w:val="20"/>
              </w:rPr>
            </w:pPr>
            <w:r w:rsidRPr="00154588">
              <w:rPr>
                <w:bCs/>
                <w:sz w:val="20"/>
                <w:szCs w:val="20"/>
              </w:rPr>
              <w:t>b) fonduri proprii, după cum urmează:</w:t>
            </w:r>
          </w:p>
          <w:p w14:paraId="53E26869" w14:textId="77777777" w:rsidR="00F4284C" w:rsidRPr="00154588" w:rsidRDefault="00F4284C" w:rsidP="008C12B4">
            <w:pPr>
              <w:jc w:val="both"/>
              <w:rPr>
                <w:bCs/>
                <w:sz w:val="20"/>
                <w:szCs w:val="20"/>
              </w:rPr>
            </w:pPr>
            <w:r w:rsidRPr="00154588">
              <w:rPr>
                <w:bCs/>
                <w:sz w:val="20"/>
                <w:szCs w:val="20"/>
              </w:rPr>
              <w:t>(i) fonduri proprii de nivel 1 de bază; și</w:t>
            </w:r>
          </w:p>
          <w:p w14:paraId="2FCC67CD" w14:textId="77777777" w:rsidR="00F4284C" w:rsidRPr="00154588" w:rsidRDefault="00F4284C" w:rsidP="008C12B4">
            <w:pPr>
              <w:jc w:val="both"/>
              <w:rPr>
                <w:bCs/>
                <w:sz w:val="20"/>
                <w:szCs w:val="20"/>
              </w:rPr>
            </w:pPr>
            <w:r w:rsidRPr="00154588">
              <w:rPr>
                <w:bCs/>
                <w:sz w:val="20"/>
                <w:szCs w:val="20"/>
              </w:rPr>
              <w:t>(ii) alte fonduri proprii, care:</w:t>
            </w:r>
          </w:p>
          <w:p w14:paraId="4FB6ED47" w14:textId="77777777" w:rsidR="00F4284C" w:rsidRPr="00154588" w:rsidRDefault="00F4284C" w:rsidP="008C12B4">
            <w:pPr>
              <w:jc w:val="both"/>
              <w:rPr>
                <w:bCs/>
                <w:sz w:val="20"/>
                <w:szCs w:val="20"/>
              </w:rPr>
            </w:pPr>
            <w:r w:rsidRPr="00154588">
              <w:rPr>
                <w:bCs/>
                <w:sz w:val="20"/>
                <w:szCs w:val="20"/>
              </w:rPr>
              <w:t>1) sunt emise pentru entități incluse în același grup de rezoluție și sunt achiziționate de către acestea sau</w:t>
            </w:r>
          </w:p>
          <w:p w14:paraId="37B99369" w14:textId="77777777" w:rsidR="00F4284C" w:rsidRPr="00154588" w:rsidRDefault="00F4284C" w:rsidP="008C12B4">
            <w:pPr>
              <w:jc w:val="both"/>
              <w:rPr>
                <w:bCs/>
                <w:sz w:val="20"/>
                <w:szCs w:val="20"/>
              </w:rPr>
            </w:pPr>
            <w:r w:rsidRPr="00154588">
              <w:rPr>
                <w:bCs/>
                <w:sz w:val="20"/>
                <w:szCs w:val="20"/>
              </w:rPr>
              <w:t xml:space="preserve">2) sunt emise pentru entități neincluse în același grup de rezoluție și sunt achiziționate de către acestea, în măsura în care exercitarea competențelor de reducere a valorii sau de conversie în conformitate cu </w:t>
            </w:r>
            <w:bookmarkStart w:id="121" w:name="_Hlk234248640"/>
            <w:r w:rsidRPr="00154588">
              <w:rPr>
                <w:bCs/>
                <w:sz w:val="20"/>
                <w:szCs w:val="20"/>
              </w:rPr>
              <w:t>art.219–230</w:t>
            </w:r>
            <w:r w:rsidRPr="00154588">
              <w:rPr>
                <w:bCs/>
                <w:sz w:val="20"/>
                <w:szCs w:val="20"/>
                <w:vertAlign w:val="superscript"/>
              </w:rPr>
              <w:t>2</w:t>
            </w:r>
            <w:r w:rsidRPr="00154588">
              <w:rPr>
                <w:bCs/>
                <w:sz w:val="20"/>
                <w:szCs w:val="20"/>
              </w:rPr>
              <w:t xml:space="preserve"> </w:t>
            </w:r>
            <w:bookmarkEnd w:id="121"/>
            <w:r w:rsidRPr="00154588">
              <w:rPr>
                <w:bCs/>
                <w:sz w:val="20"/>
                <w:szCs w:val="20"/>
              </w:rPr>
              <w:t>nu afectează controlul exercitat de entitatea de rezoluție asupra filialei.</w:t>
            </w:r>
          </w:p>
          <w:bookmarkEnd w:id="115"/>
          <w:p w14:paraId="65F7452F" w14:textId="77777777" w:rsidR="00F4284C" w:rsidRPr="00154588" w:rsidRDefault="00F4284C" w:rsidP="008C12B4">
            <w:pPr>
              <w:jc w:val="both"/>
              <w:rPr>
                <w:bCs/>
                <w:sz w:val="20"/>
                <w:szCs w:val="20"/>
              </w:rPr>
            </w:pPr>
          </w:p>
        </w:tc>
        <w:tc>
          <w:tcPr>
            <w:tcW w:w="2552" w:type="dxa"/>
          </w:tcPr>
          <w:p w14:paraId="02AA6662" w14:textId="3512AEA7"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5E2673C6" w14:textId="77777777" w:rsidR="00F4284C" w:rsidRPr="00154588" w:rsidRDefault="00F4284C" w:rsidP="008C12B4">
            <w:pPr>
              <w:jc w:val="both"/>
              <w:rPr>
                <w:bCs/>
                <w:sz w:val="20"/>
                <w:szCs w:val="20"/>
              </w:rPr>
            </w:pPr>
          </w:p>
        </w:tc>
      </w:tr>
      <w:tr w:rsidR="00F4284C" w:rsidRPr="00154588" w14:paraId="25D418DE" w14:textId="77777777" w:rsidTr="00D15C1B">
        <w:trPr>
          <w:jc w:val="center"/>
        </w:trPr>
        <w:tc>
          <w:tcPr>
            <w:tcW w:w="4957" w:type="dxa"/>
            <w:gridSpan w:val="2"/>
          </w:tcPr>
          <w:p w14:paraId="59CC63FE" w14:textId="17C84EA5" w:rsidR="00F4284C" w:rsidRPr="00154588" w:rsidRDefault="00F4284C" w:rsidP="008C12B4">
            <w:pPr>
              <w:jc w:val="both"/>
              <w:rPr>
                <w:bCs/>
                <w:sz w:val="20"/>
                <w:szCs w:val="20"/>
              </w:rPr>
            </w:pPr>
            <w:r w:rsidRPr="00154588">
              <w:rPr>
                <w:bCs/>
                <w:sz w:val="20"/>
                <w:szCs w:val="20"/>
              </w:rPr>
              <w:lastRenderedPageBreak/>
              <w:t>(2a)   În cazul în care o entitate menționată la alineatul (1) respectă cerința menționată la articolul 45 alineatul (1) pe bază consolidată, cuantumul fondurilor proprii și al datoriilor eligibile ale entității respective cuprinde următoarele datorii emise în conformitate cu alineatul (2) litera (a) de la prezentul articol de către o filială stabilită în Uniune și incluse în consolidarea entității respective:</w:t>
            </w:r>
          </w:p>
          <w:p w14:paraId="72C310B4" w14:textId="77777777" w:rsidR="00F4284C" w:rsidRPr="00154588" w:rsidRDefault="00F4284C" w:rsidP="008C12B4">
            <w:pPr>
              <w:jc w:val="both"/>
              <w:rPr>
                <w:bCs/>
                <w:sz w:val="20"/>
                <w:szCs w:val="20"/>
              </w:rPr>
            </w:pPr>
          </w:p>
          <w:p w14:paraId="57726175" w14:textId="77777777" w:rsidR="00F4284C" w:rsidRPr="00154588" w:rsidRDefault="00F4284C" w:rsidP="008C12B4">
            <w:pPr>
              <w:jc w:val="both"/>
              <w:rPr>
                <w:bCs/>
                <w:sz w:val="20"/>
                <w:szCs w:val="20"/>
              </w:rPr>
            </w:pPr>
          </w:p>
          <w:p w14:paraId="50A5F2A5" w14:textId="09D2B053" w:rsidR="00F4284C" w:rsidRPr="00154588" w:rsidRDefault="00F4284C" w:rsidP="008C12B4">
            <w:pPr>
              <w:jc w:val="both"/>
              <w:rPr>
                <w:bCs/>
                <w:sz w:val="20"/>
                <w:szCs w:val="20"/>
              </w:rPr>
            </w:pPr>
            <w:r w:rsidRPr="00154588">
              <w:rPr>
                <w:bCs/>
                <w:sz w:val="20"/>
                <w:szCs w:val="20"/>
              </w:rPr>
              <w:t>(a) datoriile emise către entitatea de rezoluție și achiziționate de aceasta, fie direct, fie indirect prin intermediul altor entități din cadrul aceluiași grup de rezoluție, neincluse în consolidarea entității care respectă cerința menționată la articolul 45 alineatul (1) pe bază consolidată;</w:t>
            </w:r>
          </w:p>
          <w:p w14:paraId="095A7A43" w14:textId="77777777" w:rsidR="00F4284C" w:rsidRPr="00154588" w:rsidRDefault="00F4284C" w:rsidP="008C12B4">
            <w:pPr>
              <w:jc w:val="both"/>
              <w:rPr>
                <w:bCs/>
                <w:sz w:val="20"/>
                <w:szCs w:val="20"/>
              </w:rPr>
            </w:pPr>
          </w:p>
          <w:p w14:paraId="16E2B6CB" w14:textId="77777777" w:rsidR="00F4284C" w:rsidRPr="00154588" w:rsidRDefault="00F4284C" w:rsidP="008C12B4">
            <w:pPr>
              <w:jc w:val="both"/>
              <w:rPr>
                <w:bCs/>
                <w:sz w:val="20"/>
                <w:szCs w:val="20"/>
              </w:rPr>
            </w:pPr>
          </w:p>
          <w:p w14:paraId="223DC032" w14:textId="0FF35E9A" w:rsidR="00F4284C" w:rsidRPr="00154588" w:rsidRDefault="00F4284C" w:rsidP="008C12B4">
            <w:pPr>
              <w:jc w:val="both"/>
              <w:rPr>
                <w:bCs/>
                <w:sz w:val="20"/>
                <w:szCs w:val="20"/>
              </w:rPr>
            </w:pPr>
            <w:r w:rsidRPr="00154588">
              <w:rPr>
                <w:bCs/>
                <w:sz w:val="20"/>
                <w:szCs w:val="20"/>
              </w:rPr>
              <w:t>(b) datoriile emise către un acționar existent care nu face parte din același grup de rezoluție.</w:t>
            </w:r>
          </w:p>
        </w:tc>
        <w:tc>
          <w:tcPr>
            <w:tcW w:w="4819" w:type="dxa"/>
          </w:tcPr>
          <w:p w14:paraId="2951C735" w14:textId="247387CB" w:rsidR="00F4284C" w:rsidRPr="00154588" w:rsidRDefault="00F4284C" w:rsidP="008C12B4">
            <w:pPr>
              <w:jc w:val="both"/>
              <w:rPr>
                <w:b/>
                <w:bCs/>
                <w:sz w:val="20"/>
                <w:szCs w:val="20"/>
              </w:rPr>
            </w:pPr>
            <w:r w:rsidRPr="00154588">
              <w:rPr>
                <w:bCs/>
                <w:sz w:val="20"/>
                <w:szCs w:val="20"/>
              </w:rPr>
              <w:t>(2)</w:t>
            </w:r>
            <w:r w:rsidRPr="00154588">
              <w:rPr>
                <w:b/>
                <w:bCs/>
                <w:sz w:val="20"/>
                <w:szCs w:val="20"/>
              </w:rPr>
              <w:t xml:space="preserve"> </w:t>
            </w:r>
            <w:r w:rsidRPr="00154588">
              <w:rPr>
                <w:bCs/>
                <w:sz w:val="20"/>
                <w:szCs w:val="20"/>
              </w:rPr>
              <w:t>Atunci când o entitate prevăzută la art.167</w:t>
            </w:r>
            <w:r w:rsidRPr="00154588">
              <w:rPr>
                <w:bCs/>
                <w:sz w:val="20"/>
                <w:szCs w:val="20"/>
                <w:vertAlign w:val="superscript"/>
              </w:rPr>
              <w:t xml:space="preserve">15 </w:t>
            </w:r>
            <w:r w:rsidRPr="00154588">
              <w:rPr>
                <w:bCs/>
                <w:sz w:val="20"/>
                <w:szCs w:val="20"/>
              </w:rPr>
              <w:t>alin. (1) îndeplinește cerința prevăzută la art.164 alin.(1) pe bază consolidată, valoarea fondurilor proprii și datoriilor eligibile ale acesteia includ următoarele datorii emise în conformitate cu prevederile art.167</w:t>
            </w:r>
            <w:r w:rsidRPr="00154588">
              <w:rPr>
                <w:bCs/>
                <w:sz w:val="20"/>
                <w:szCs w:val="20"/>
                <w:vertAlign w:val="superscript"/>
              </w:rPr>
              <w:t>16</w:t>
            </w:r>
            <w:r w:rsidRPr="00154588">
              <w:rPr>
                <w:bCs/>
                <w:sz w:val="20"/>
                <w:szCs w:val="20"/>
              </w:rPr>
              <w:t xml:space="preserve"> lit.a)de către o filială stabilită în Uniunea Europeană, inclusă în perimetrul de consolidare prudențială al entității respective:</w:t>
            </w:r>
          </w:p>
          <w:p w14:paraId="4153F44D" w14:textId="77777777" w:rsidR="00F4284C" w:rsidRPr="00154588" w:rsidRDefault="00F4284C" w:rsidP="008C12B4">
            <w:pPr>
              <w:jc w:val="both"/>
              <w:rPr>
                <w:bCs/>
                <w:sz w:val="20"/>
                <w:szCs w:val="20"/>
              </w:rPr>
            </w:pPr>
            <w:r w:rsidRPr="00154588">
              <w:rPr>
                <w:bCs/>
                <w:sz w:val="20"/>
                <w:szCs w:val="20"/>
              </w:rPr>
              <w:t>a) datorii față de entitatea de rezoluție și care sunt achiziționate de către aceasta fie direct, fie indirect prin intermediul altor entități din același grup de rezoluție care nu sunt incluse în perimetrul de consolidare prudențială al entității care respectă cerința prevăzută la art.164 alin.(1) pe bază consolidată;</w:t>
            </w:r>
          </w:p>
          <w:p w14:paraId="4CD002B7" w14:textId="77777777" w:rsidR="00F4284C" w:rsidRPr="00154588" w:rsidRDefault="00F4284C" w:rsidP="008C12B4">
            <w:pPr>
              <w:jc w:val="both"/>
              <w:rPr>
                <w:bCs/>
                <w:sz w:val="20"/>
                <w:szCs w:val="20"/>
              </w:rPr>
            </w:pPr>
            <w:r w:rsidRPr="00154588">
              <w:rPr>
                <w:bCs/>
                <w:sz w:val="20"/>
                <w:szCs w:val="20"/>
              </w:rPr>
              <w:t>b) datorii către un acționar existent care nu face parte din același grup de rezoluție.</w:t>
            </w:r>
          </w:p>
          <w:p w14:paraId="2E07C3B2" w14:textId="77777777" w:rsidR="00F4284C" w:rsidRPr="00154588" w:rsidRDefault="00F4284C" w:rsidP="008C12B4">
            <w:pPr>
              <w:jc w:val="both"/>
              <w:rPr>
                <w:bCs/>
                <w:sz w:val="20"/>
                <w:szCs w:val="20"/>
              </w:rPr>
            </w:pPr>
          </w:p>
        </w:tc>
        <w:tc>
          <w:tcPr>
            <w:tcW w:w="2552" w:type="dxa"/>
          </w:tcPr>
          <w:p w14:paraId="2E80DCCD" w14:textId="28C30341" w:rsidR="00F4284C" w:rsidRPr="00154588" w:rsidRDefault="00F4284C" w:rsidP="008C12B4">
            <w:pPr>
              <w:jc w:val="both"/>
              <w:rPr>
                <w:bCs/>
                <w:sz w:val="20"/>
                <w:szCs w:val="20"/>
              </w:rPr>
            </w:pPr>
            <w:r w:rsidRPr="00154588">
              <w:rPr>
                <w:bCs/>
                <w:sz w:val="20"/>
                <w:szCs w:val="20"/>
              </w:rPr>
              <w:t>Compatibil</w:t>
            </w:r>
          </w:p>
        </w:tc>
        <w:tc>
          <w:tcPr>
            <w:tcW w:w="3118" w:type="dxa"/>
          </w:tcPr>
          <w:p w14:paraId="20A36E6E" w14:textId="77777777" w:rsidR="00F4284C" w:rsidRPr="00154588" w:rsidRDefault="00F4284C" w:rsidP="008C12B4">
            <w:pPr>
              <w:jc w:val="both"/>
              <w:rPr>
                <w:bCs/>
                <w:sz w:val="20"/>
                <w:szCs w:val="20"/>
              </w:rPr>
            </w:pPr>
          </w:p>
        </w:tc>
      </w:tr>
      <w:tr w:rsidR="00F4284C" w:rsidRPr="00154588" w14:paraId="2047A169" w14:textId="77777777" w:rsidTr="00D15C1B">
        <w:trPr>
          <w:jc w:val="center"/>
        </w:trPr>
        <w:tc>
          <w:tcPr>
            <w:tcW w:w="4957" w:type="dxa"/>
            <w:gridSpan w:val="2"/>
          </w:tcPr>
          <w:p w14:paraId="77080B43" w14:textId="77777777" w:rsidR="00F4284C" w:rsidRPr="00154588" w:rsidRDefault="00F4284C" w:rsidP="008C12B4">
            <w:pPr>
              <w:jc w:val="both"/>
              <w:rPr>
                <w:bCs/>
                <w:sz w:val="20"/>
                <w:szCs w:val="20"/>
              </w:rPr>
            </w:pPr>
            <w:r w:rsidRPr="00154588">
              <w:rPr>
                <w:bCs/>
                <w:sz w:val="20"/>
                <w:szCs w:val="20"/>
              </w:rPr>
              <w:t>(2b)   Datoriile menționate la alineatul (2a) literele (a) și (b) de la prezentul articol nu depășesc cuantumul stabilit prin scăderea din cuantumul cerinței menționate la articolul 45 alineatul (1) aplicabile filialei incluse în consolidare a sumei tuturor elementelor următoare:</w:t>
            </w:r>
          </w:p>
          <w:p w14:paraId="0AA50C8B" w14:textId="77777777" w:rsidR="00F4284C" w:rsidRPr="00154588" w:rsidRDefault="00F4284C" w:rsidP="008C12B4">
            <w:pPr>
              <w:jc w:val="both"/>
              <w:rPr>
                <w:bCs/>
                <w:sz w:val="20"/>
                <w:szCs w:val="20"/>
              </w:rPr>
            </w:pPr>
          </w:p>
          <w:p w14:paraId="619E21BF" w14:textId="77777777" w:rsidR="00F4284C" w:rsidRPr="00154588" w:rsidRDefault="00F4284C" w:rsidP="008C12B4">
            <w:pPr>
              <w:jc w:val="both"/>
              <w:rPr>
                <w:bCs/>
                <w:sz w:val="20"/>
                <w:szCs w:val="20"/>
              </w:rPr>
            </w:pPr>
          </w:p>
          <w:p w14:paraId="78DEE611" w14:textId="77777777" w:rsidR="00F4284C" w:rsidRPr="00154588" w:rsidRDefault="00F4284C" w:rsidP="008C12B4">
            <w:pPr>
              <w:jc w:val="both"/>
              <w:rPr>
                <w:bCs/>
                <w:sz w:val="20"/>
                <w:szCs w:val="20"/>
              </w:rPr>
            </w:pPr>
            <w:r w:rsidRPr="00154588">
              <w:rPr>
                <w:bCs/>
                <w:sz w:val="20"/>
                <w:szCs w:val="20"/>
              </w:rPr>
              <w:t>(a) datoriile emise către entitatea care respectă cerința menționată la articolul 45 alineatul (1) pe bază consolidată și achiziționate de către aceasta, fie direct, fie indirect prin intermediul altor entități din cadrul aceluiași grup de rezoluție, incluse în consolidarea entității respective;</w:t>
            </w:r>
          </w:p>
          <w:p w14:paraId="1A2D1583" w14:textId="77777777" w:rsidR="00F4284C" w:rsidRPr="00154588" w:rsidRDefault="00F4284C" w:rsidP="008C12B4">
            <w:pPr>
              <w:jc w:val="both"/>
              <w:rPr>
                <w:bCs/>
                <w:sz w:val="20"/>
                <w:szCs w:val="20"/>
              </w:rPr>
            </w:pPr>
          </w:p>
          <w:p w14:paraId="29BCCEA9" w14:textId="77777777" w:rsidR="00F4284C" w:rsidRPr="00154588" w:rsidRDefault="00F4284C" w:rsidP="008C12B4">
            <w:pPr>
              <w:jc w:val="both"/>
              <w:rPr>
                <w:bCs/>
                <w:sz w:val="20"/>
                <w:szCs w:val="20"/>
              </w:rPr>
            </w:pPr>
          </w:p>
          <w:p w14:paraId="7D468E5B" w14:textId="77777777" w:rsidR="00F4284C" w:rsidRPr="00154588" w:rsidRDefault="00F4284C" w:rsidP="008C12B4">
            <w:pPr>
              <w:jc w:val="both"/>
              <w:rPr>
                <w:bCs/>
                <w:sz w:val="20"/>
                <w:szCs w:val="20"/>
              </w:rPr>
            </w:pPr>
          </w:p>
          <w:p w14:paraId="547490BB" w14:textId="4E9EF577" w:rsidR="00F4284C" w:rsidRPr="00154588" w:rsidRDefault="00F4284C" w:rsidP="008C12B4">
            <w:pPr>
              <w:jc w:val="both"/>
              <w:rPr>
                <w:bCs/>
                <w:sz w:val="20"/>
                <w:szCs w:val="20"/>
              </w:rPr>
            </w:pPr>
            <w:r w:rsidRPr="00154588">
              <w:rPr>
                <w:bCs/>
                <w:sz w:val="20"/>
                <w:szCs w:val="20"/>
              </w:rPr>
              <w:t>(b) cuantumul fondurilor proprii emise în conformitate cu alineatul (2) litera (b) de la prezentul articol.</w:t>
            </w:r>
          </w:p>
        </w:tc>
        <w:tc>
          <w:tcPr>
            <w:tcW w:w="4819" w:type="dxa"/>
          </w:tcPr>
          <w:p w14:paraId="2FE354E9" w14:textId="77777777" w:rsidR="00F4284C" w:rsidRPr="00154588" w:rsidRDefault="00F4284C" w:rsidP="008C12B4">
            <w:pPr>
              <w:jc w:val="both"/>
              <w:rPr>
                <w:bCs/>
                <w:sz w:val="20"/>
                <w:szCs w:val="20"/>
              </w:rPr>
            </w:pPr>
            <w:r w:rsidRPr="00154588">
              <w:rPr>
                <w:bCs/>
                <w:sz w:val="20"/>
                <w:szCs w:val="20"/>
              </w:rPr>
              <w:t>(3) Datoriile prevăzute la alin.(2) nu vor depăși valoarea determinată prin scăderea din nivelul cerinței prevăzute de art.164 alin.(1), aplicabilă filialei incluse în consolidare, a sumei următoarelor elemente:</w:t>
            </w:r>
          </w:p>
          <w:p w14:paraId="3F3D4ABB" w14:textId="592BA745" w:rsidR="00F4284C" w:rsidRPr="00154588" w:rsidRDefault="00F4284C" w:rsidP="008C12B4">
            <w:pPr>
              <w:jc w:val="both"/>
              <w:rPr>
                <w:bCs/>
                <w:sz w:val="20"/>
                <w:szCs w:val="20"/>
              </w:rPr>
            </w:pPr>
            <w:r w:rsidRPr="00154588">
              <w:rPr>
                <w:bCs/>
                <w:sz w:val="20"/>
                <w:szCs w:val="20"/>
              </w:rPr>
              <w:t>a) datoriile față de entitatea care se conformează cu cerința prevăzută de art.164 alin.(1) pe bază consolidată și care sunt achiziționate de către aceasta, fie direct, fie indirect prin intermediul altor entități din același grup de rezoluție care sunt incluse în perimetrul de consolidare prudențială al entității respective;</w:t>
            </w:r>
          </w:p>
          <w:p w14:paraId="37EF74AB" w14:textId="77777777" w:rsidR="00F4284C" w:rsidRPr="00154588" w:rsidRDefault="00F4284C" w:rsidP="008C12B4">
            <w:pPr>
              <w:jc w:val="both"/>
              <w:rPr>
                <w:bCs/>
                <w:sz w:val="20"/>
                <w:szCs w:val="20"/>
              </w:rPr>
            </w:pPr>
          </w:p>
          <w:p w14:paraId="5906842F" w14:textId="054EC0A3" w:rsidR="00F4284C" w:rsidRPr="00154588" w:rsidRDefault="00F4284C" w:rsidP="008C12B4">
            <w:pPr>
              <w:jc w:val="both"/>
              <w:rPr>
                <w:bCs/>
                <w:sz w:val="20"/>
                <w:szCs w:val="20"/>
              </w:rPr>
            </w:pPr>
            <w:r w:rsidRPr="00154588">
              <w:rPr>
                <w:bCs/>
                <w:sz w:val="20"/>
                <w:szCs w:val="20"/>
              </w:rPr>
              <w:t>b) cuantumul instrumentelor de fonduri proprii care sunt emise în conformitate cu alin.(2) lit.b).</w:t>
            </w:r>
          </w:p>
        </w:tc>
        <w:tc>
          <w:tcPr>
            <w:tcW w:w="2552" w:type="dxa"/>
          </w:tcPr>
          <w:p w14:paraId="1AB5EDEF" w14:textId="5C608C22" w:rsidR="00F4284C" w:rsidRPr="00154588" w:rsidRDefault="00F4284C" w:rsidP="008C12B4">
            <w:pPr>
              <w:jc w:val="both"/>
              <w:rPr>
                <w:bCs/>
                <w:sz w:val="20"/>
                <w:szCs w:val="20"/>
              </w:rPr>
            </w:pPr>
            <w:r w:rsidRPr="00154588">
              <w:rPr>
                <w:bCs/>
                <w:sz w:val="20"/>
                <w:szCs w:val="20"/>
              </w:rPr>
              <w:t>Compatibil</w:t>
            </w:r>
          </w:p>
        </w:tc>
        <w:tc>
          <w:tcPr>
            <w:tcW w:w="3118" w:type="dxa"/>
          </w:tcPr>
          <w:p w14:paraId="5075BCC5" w14:textId="77777777" w:rsidR="00F4284C" w:rsidRPr="00154588" w:rsidRDefault="00F4284C" w:rsidP="008C12B4">
            <w:pPr>
              <w:jc w:val="both"/>
              <w:rPr>
                <w:bCs/>
                <w:sz w:val="20"/>
                <w:szCs w:val="20"/>
              </w:rPr>
            </w:pPr>
          </w:p>
        </w:tc>
      </w:tr>
      <w:tr w:rsidR="00F4284C" w:rsidRPr="00154588" w14:paraId="23A43B00" w14:textId="77777777" w:rsidTr="00D15C1B">
        <w:trPr>
          <w:jc w:val="center"/>
        </w:trPr>
        <w:tc>
          <w:tcPr>
            <w:tcW w:w="4957" w:type="dxa"/>
            <w:gridSpan w:val="2"/>
          </w:tcPr>
          <w:p w14:paraId="3BF1E4C5" w14:textId="77777777" w:rsidR="00F4284C" w:rsidRPr="00154588" w:rsidRDefault="00F4284C" w:rsidP="008C12B4">
            <w:pPr>
              <w:jc w:val="both"/>
              <w:rPr>
                <w:bCs/>
                <w:sz w:val="20"/>
                <w:szCs w:val="20"/>
              </w:rPr>
            </w:pPr>
            <w:r w:rsidRPr="00154588">
              <w:rPr>
                <w:bCs/>
                <w:sz w:val="20"/>
                <w:szCs w:val="20"/>
              </w:rPr>
              <w:t>(3)   Autoritatea de rezoluție a unei filiale care nu este o entitate de rezoluție poate acorda respectivei filiale o derogare de la aplicarea prezentului articol, în cazul în care:</w:t>
            </w:r>
          </w:p>
          <w:p w14:paraId="56477482" w14:textId="77777777" w:rsidR="00F4284C" w:rsidRPr="00154588" w:rsidRDefault="00F4284C" w:rsidP="008C12B4">
            <w:pPr>
              <w:jc w:val="both"/>
              <w:rPr>
                <w:bCs/>
                <w:sz w:val="20"/>
                <w:szCs w:val="20"/>
              </w:rPr>
            </w:pPr>
          </w:p>
          <w:p w14:paraId="56B33063" w14:textId="7BF738B5" w:rsidR="00F4284C" w:rsidRPr="00154588" w:rsidRDefault="00F4284C" w:rsidP="008C12B4">
            <w:pPr>
              <w:jc w:val="both"/>
              <w:rPr>
                <w:bCs/>
                <w:sz w:val="20"/>
                <w:szCs w:val="20"/>
              </w:rPr>
            </w:pPr>
            <w:r w:rsidRPr="00154588">
              <w:rPr>
                <w:bCs/>
                <w:sz w:val="20"/>
                <w:szCs w:val="20"/>
              </w:rPr>
              <w:t>(a) atât filiala, cât și entitatea de rezoluție sunt stabilite în același stat membru și fac parte din același grup de rezoluție;</w:t>
            </w:r>
          </w:p>
          <w:p w14:paraId="2CEBBB7E" w14:textId="77777777" w:rsidR="00F4284C" w:rsidRPr="00154588" w:rsidRDefault="00F4284C" w:rsidP="008C12B4">
            <w:pPr>
              <w:jc w:val="both"/>
              <w:rPr>
                <w:bCs/>
                <w:sz w:val="20"/>
                <w:szCs w:val="20"/>
              </w:rPr>
            </w:pPr>
          </w:p>
          <w:p w14:paraId="005D9A4D" w14:textId="77777777" w:rsidR="00F4284C" w:rsidRPr="00154588" w:rsidRDefault="00F4284C" w:rsidP="008C12B4">
            <w:pPr>
              <w:jc w:val="both"/>
              <w:rPr>
                <w:bCs/>
                <w:sz w:val="20"/>
                <w:szCs w:val="20"/>
              </w:rPr>
            </w:pPr>
          </w:p>
          <w:p w14:paraId="3CCAF9B7" w14:textId="714361BB" w:rsidR="00F4284C" w:rsidRPr="00154588" w:rsidRDefault="00F4284C" w:rsidP="008C12B4">
            <w:pPr>
              <w:jc w:val="both"/>
              <w:rPr>
                <w:bCs/>
                <w:sz w:val="20"/>
                <w:szCs w:val="20"/>
              </w:rPr>
            </w:pPr>
            <w:r w:rsidRPr="00154588">
              <w:rPr>
                <w:bCs/>
                <w:sz w:val="20"/>
                <w:szCs w:val="20"/>
              </w:rPr>
              <w:t>(b) entitatea de rezoluție respectă cerința menționată la articolul 45e;</w:t>
            </w:r>
          </w:p>
          <w:p w14:paraId="51DAC0DD" w14:textId="77777777" w:rsidR="00F4284C" w:rsidRPr="00154588" w:rsidRDefault="00F4284C" w:rsidP="008C12B4">
            <w:pPr>
              <w:jc w:val="both"/>
              <w:rPr>
                <w:bCs/>
                <w:sz w:val="20"/>
                <w:szCs w:val="20"/>
              </w:rPr>
            </w:pPr>
          </w:p>
          <w:p w14:paraId="5365C62A" w14:textId="5FCDB270" w:rsidR="00F4284C" w:rsidRPr="00154588" w:rsidRDefault="00F4284C" w:rsidP="008C12B4">
            <w:pPr>
              <w:jc w:val="both"/>
              <w:rPr>
                <w:bCs/>
                <w:sz w:val="20"/>
                <w:szCs w:val="20"/>
              </w:rPr>
            </w:pPr>
            <w:r w:rsidRPr="00154588">
              <w:rPr>
                <w:bCs/>
                <w:sz w:val="20"/>
                <w:szCs w:val="20"/>
              </w:rPr>
              <w:t>(c) nu există niciun obstacol major actual sau preconizat, de natură practică sau juridică, în calea transferului prompt de fonduri proprii sau a rambursării rapide a datoriilor de către entitatea de rezoluție către filiala cu privire la care s-a efectuat o constatare în conformitate cu articolul 59 alineatul (3), în special atunci când entitatea de rezoluție face obiectul unei măsuri de rezoluție;</w:t>
            </w:r>
          </w:p>
          <w:p w14:paraId="02702336" w14:textId="77777777" w:rsidR="00F4284C" w:rsidRPr="00154588" w:rsidRDefault="00F4284C" w:rsidP="008C12B4">
            <w:pPr>
              <w:jc w:val="both"/>
              <w:rPr>
                <w:bCs/>
                <w:sz w:val="20"/>
                <w:szCs w:val="20"/>
              </w:rPr>
            </w:pPr>
          </w:p>
          <w:p w14:paraId="57B6EEFF" w14:textId="193D4D5D" w:rsidR="00F4284C" w:rsidRPr="00154588" w:rsidRDefault="00F4284C" w:rsidP="008C12B4">
            <w:pPr>
              <w:jc w:val="both"/>
              <w:rPr>
                <w:bCs/>
                <w:sz w:val="20"/>
                <w:szCs w:val="20"/>
              </w:rPr>
            </w:pPr>
            <w:r w:rsidRPr="00154588">
              <w:rPr>
                <w:bCs/>
                <w:sz w:val="20"/>
                <w:szCs w:val="20"/>
              </w:rPr>
              <w:t>(d) fie entitatea de rezoluție îndeplinește cerințele autorității competente privind gestionarea prudentă a filialei și a declarat, cu consimțământul autorității competente, că garantează angajamentele asumate de filială, fie riscurile filialei sunt nesemnificative;</w:t>
            </w:r>
          </w:p>
          <w:p w14:paraId="1FFB95B0" w14:textId="77777777" w:rsidR="00F4284C" w:rsidRPr="00154588" w:rsidRDefault="00F4284C" w:rsidP="008C12B4">
            <w:pPr>
              <w:jc w:val="both"/>
              <w:rPr>
                <w:bCs/>
                <w:sz w:val="20"/>
                <w:szCs w:val="20"/>
              </w:rPr>
            </w:pPr>
          </w:p>
          <w:p w14:paraId="5597870C" w14:textId="77777777" w:rsidR="00F4284C" w:rsidRPr="00154588" w:rsidRDefault="00F4284C" w:rsidP="008C12B4">
            <w:pPr>
              <w:jc w:val="both"/>
              <w:rPr>
                <w:bCs/>
                <w:sz w:val="20"/>
                <w:szCs w:val="20"/>
              </w:rPr>
            </w:pPr>
          </w:p>
          <w:p w14:paraId="66C5EDAC" w14:textId="77777777" w:rsidR="00F4284C" w:rsidRPr="00154588" w:rsidRDefault="00F4284C" w:rsidP="008C12B4">
            <w:pPr>
              <w:jc w:val="both"/>
              <w:rPr>
                <w:bCs/>
                <w:sz w:val="20"/>
                <w:szCs w:val="20"/>
              </w:rPr>
            </w:pPr>
          </w:p>
          <w:p w14:paraId="4D752C78" w14:textId="6057895B" w:rsidR="00F4284C" w:rsidRPr="00154588" w:rsidRDefault="00F4284C" w:rsidP="008C12B4">
            <w:pPr>
              <w:jc w:val="both"/>
              <w:rPr>
                <w:bCs/>
                <w:sz w:val="20"/>
                <w:szCs w:val="20"/>
              </w:rPr>
            </w:pPr>
            <w:r w:rsidRPr="00154588">
              <w:rPr>
                <w:bCs/>
                <w:sz w:val="20"/>
                <w:szCs w:val="20"/>
              </w:rPr>
              <w:t>(e) procedurile de evaluare, măsurare și control ale riscurilor aplicate de entitatea de rezoluție includ filiala;</w:t>
            </w:r>
          </w:p>
          <w:p w14:paraId="2337C526" w14:textId="77777777" w:rsidR="00F4284C" w:rsidRPr="00154588" w:rsidRDefault="00F4284C" w:rsidP="008C12B4">
            <w:pPr>
              <w:jc w:val="both"/>
              <w:rPr>
                <w:bCs/>
                <w:sz w:val="20"/>
                <w:szCs w:val="20"/>
              </w:rPr>
            </w:pPr>
          </w:p>
          <w:p w14:paraId="1E168299" w14:textId="55EF81E8" w:rsidR="00F4284C" w:rsidRPr="00154588" w:rsidRDefault="00F4284C" w:rsidP="008C12B4">
            <w:pPr>
              <w:jc w:val="both"/>
              <w:rPr>
                <w:bCs/>
                <w:sz w:val="20"/>
                <w:szCs w:val="20"/>
              </w:rPr>
            </w:pPr>
            <w:r w:rsidRPr="00154588">
              <w:rPr>
                <w:bCs/>
                <w:sz w:val="20"/>
                <w:szCs w:val="20"/>
              </w:rPr>
              <w:t>(f) entitatea de rezoluție deține mai mult de 50 % din drepturile de vot atașate acțiunilor în capitalul filialei sau are dreptul de a numi sau de a revoca majoritatea membrilor organului de conducere al filialei.</w:t>
            </w:r>
          </w:p>
        </w:tc>
        <w:tc>
          <w:tcPr>
            <w:tcW w:w="4819" w:type="dxa"/>
          </w:tcPr>
          <w:p w14:paraId="6060BE3D" w14:textId="386932E0" w:rsidR="00F4284C" w:rsidRPr="00154588" w:rsidRDefault="00F4284C" w:rsidP="008C12B4">
            <w:pPr>
              <w:jc w:val="both"/>
              <w:rPr>
                <w:b/>
                <w:bCs/>
                <w:sz w:val="20"/>
                <w:szCs w:val="20"/>
              </w:rPr>
            </w:pPr>
            <w:r w:rsidRPr="00154588">
              <w:rPr>
                <w:b/>
                <w:bCs/>
                <w:sz w:val="20"/>
                <w:szCs w:val="20"/>
              </w:rPr>
              <w:lastRenderedPageBreak/>
              <w:t>Articolul 167</w:t>
            </w:r>
            <w:r w:rsidRPr="00154588">
              <w:rPr>
                <w:b/>
                <w:bCs/>
                <w:sz w:val="20"/>
                <w:szCs w:val="20"/>
                <w:vertAlign w:val="superscript"/>
              </w:rPr>
              <w:t>17</w:t>
            </w:r>
            <w:r w:rsidRPr="00154588">
              <w:rPr>
                <w:b/>
                <w:bCs/>
                <w:sz w:val="20"/>
                <w:szCs w:val="20"/>
              </w:rPr>
              <w:t>.</w:t>
            </w:r>
            <w:r w:rsidRPr="00154588">
              <w:rPr>
                <w:b/>
                <w:bCs/>
                <w:sz w:val="20"/>
                <w:szCs w:val="20"/>
                <w:vertAlign w:val="superscript"/>
              </w:rPr>
              <w:t xml:space="preserve"> </w:t>
            </w:r>
            <w:r w:rsidRPr="00154588">
              <w:rPr>
                <w:bCs/>
                <w:sz w:val="20"/>
                <w:szCs w:val="20"/>
              </w:rPr>
              <w:t xml:space="preserve">– (1) Banca Națională a Moldovei, în calitate de autoritate de rezoluție a unei filiale, care nu este o entitate de rezoluție, poate acorda </w:t>
            </w:r>
            <w:r w:rsidRPr="00154588">
              <w:rPr>
                <w:bCs/>
                <w:sz w:val="20"/>
                <w:szCs w:val="20"/>
              </w:rPr>
              <w:lastRenderedPageBreak/>
              <w:t>respectivei filiale o derogare de la aplicarea prevederilor art.167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Pr="00154588">
              <w:rPr>
                <w:bCs/>
                <w:sz w:val="20"/>
                <w:szCs w:val="20"/>
              </w:rPr>
              <w:t>, în cazul în care:</w:t>
            </w:r>
          </w:p>
          <w:p w14:paraId="69187F85" w14:textId="77777777" w:rsidR="00F4284C" w:rsidRPr="00154588" w:rsidRDefault="00F4284C" w:rsidP="008C12B4">
            <w:pPr>
              <w:jc w:val="both"/>
              <w:rPr>
                <w:bCs/>
                <w:sz w:val="20"/>
                <w:szCs w:val="20"/>
              </w:rPr>
            </w:pPr>
          </w:p>
          <w:p w14:paraId="7A6F1874" w14:textId="234D573D" w:rsidR="00F4284C" w:rsidRPr="00154588" w:rsidRDefault="00F4284C" w:rsidP="008C12B4">
            <w:pPr>
              <w:jc w:val="both"/>
              <w:rPr>
                <w:bCs/>
                <w:sz w:val="20"/>
                <w:szCs w:val="20"/>
              </w:rPr>
            </w:pPr>
            <w:r w:rsidRPr="00154588">
              <w:rPr>
                <w:bCs/>
                <w:sz w:val="20"/>
                <w:szCs w:val="20"/>
              </w:rPr>
              <w:t>a) atât filiala, cât și entitatea de rezoluție sunt stabilite în Republica Moldova și fac parte din același grup de rezoluție;</w:t>
            </w:r>
          </w:p>
          <w:p w14:paraId="62654E8F" w14:textId="77777777" w:rsidR="00F4284C" w:rsidRPr="00154588" w:rsidRDefault="00F4284C" w:rsidP="008C12B4">
            <w:pPr>
              <w:jc w:val="both"/>
              <w:rPr>
                <w:bCs/>
                <w:sz w:val="20"/>
                <w:szCs w:val="20"/>
              </w:rPr>
            </w:pPr>
          </w:p>
          <w:p w14:paraId="130A025E" w14:textId="14642ED5" w:rsidR="00F4284C" w:rsidRPr="00154588" w:rsidRDefault="00F4284C" w:rsidP="008C12B4">
            <w:pPr>
              <w:jc w:val="both"/>
              <w:rPr>
                <w:bCs/>
                <w:sz w:val="20"/>
                <w:szCs w:val="20"/>
              </w:rPr>
            </w:pPr>
            <w:r w:rsidRPr="00154588">
              <w:rPr>
                <w:bCs/>
                <w:sz w:val="20"/>
                <w:szCs w:val="20"/>
              </w:rPr>
              <w:t>b) entitatea de rezoluție, respectă cerința prevăzută la art.167</w:t>
            </w:r>
            <w:r w:rsidRPr="00154588">
              <w:rPr>
                <w:bCs/>
                <w:sz w:val="20"/>
                <w:szCs w:val="20"/>
                <w:vertAlign w:val="superscript"/>
              </w:rPr>
              <w:t>14</w:t>
            </w:r>
            <w:r w:rsidRPr="00154588">
              <w:rPr>
                <w:bCs/>
                <w:sz w:val="20"/>
                <w:szCs w:val="20"/>
              </w:rPr>
              <w:t>;</w:t>
            </w:r>
          </w:p>
          <w:p w14:paraId="255D0E1D" w14:textId="77777777" w:rsidR="00F4284C" w:rsidRPr="00154588" w:rsidRDefault="00F4284C" w:rsidP="008C12B4">
            <w:pPr>
              <w:jc w:val="both"/>
              <w:rPr>
                <w:bCs/>
                <w:sz w:val="20"/>
                <w:szCs w:val="20"/>
              </w:rPr>
            </w:pPr>
          </w:p>
          <w:p w14:paraId="02099D1B" w14:textId="54D5B3BC" w:rsidR="00F4284C" w:rsidRPr="00154588" w:rsidRDefault="00F4284C" w:rsidP="008C12B4">
            <w:pPr>
              <w:jc w:val="both"/>
              <w:rPr>
                <w:bCs/>
                <w:sz w:val="20"/>
                <w:szCs w:val="20"/>
              </w:rPr>
            </w:pPr>
            <w:r w:rsidRPr="00154588">
              <w:rPr>
                <w:bCs/>
                <w:sz w:val="20"/>
                <w:szCs w:val="20"/>
              </w:rPr>
              <w:t>c) nu există niciun obstacol major actual sau preconizat, de natură practică sau juridică, în calea transferului prompt de fonduri proprii sau a rambursării rapide a datoriilor de către entitatea de rezoluție către filiala cu privire la care s-a efectuat determinarea prevăzută la art.221, în special în situația în care entitatea de rezoluție ar face obiectul unei acțiuni de rezoluție;</w:t>
            </w:r>
          </w:p>
          <w:p w14:paraId="0F098010" w14:textId="77777777" w:rsidR="00F4284C" w:rsidRPr="00154588" w:rsidRDefault="00F4284C" w:rsidP="008C12B4">
            <w:pPr>
              <w:jc w:val="both"/>
              <w:rPr>
                <w:bCs/>
                <w:sz w:val="20"/>
                <w:szCs w:val="20"/>
              </w:rPr>
            </w:pPr>
          </w:p>
          <w:p w14:paraId="45DCB6D3" w14:textId="5052351A" w:rsidR="00F4284C" w:rsidRPr="00154588" w:rsidRDefault="00F4284C" w:rsidP="008C12B4">
            <w:pPr>
              <w:jc w:val="both"/>
              <w:rPr>
                <w:bCs/>
                <w:sz w:val="20"/>
                <w:szCs w:val="20"/>
              </w:rPr>
            </w:pPr>
            <w:r w:rsidRPr="00154588">
              <w:rPr>
                <w:bCs/>
                <w:sz w:val="20"/>
                <w:szCs w:val="20"/>
              </w:rPr>
              <w:t>d) fie entitatea de rezoluție îndeplinește cerințele Băncii Naționale a Moldovei, în calitate de autoritate competentă, cu privire la gestionarea prudentă a filialei și declară, cu consimțământul prealabil al autorității competente, că garantează angajamentele asumate de filială, fie riscurile filialei sunt nesemnificative;</w:t>
            </w:r>
          </w:p>
          <w:p w14:paraId="03BA0644" w14:textId="77777777" w:rsidR="00F4284C" w:rsidRPr="00154588" w:rsidRDefault="00F4284C" w:rsidP="008C12B4">
            <w:pPr>
              <w:jc w:val="both"/>
              <w:rPr>
                <w:bCs/>
                <w:sz w:val="20"/>
                <w:szCs w:val="20"/>
              </w:rPr>
            </w:pPr>
          </w:p>
          <w:p w14:paraId="3F5EA854" w14:textId="4CD0DCF8" w:rsidR="00F4284C" w:rsidRPr="00154588" w:rsidRDefault="00F4284C" w:rsidP="008C12B4">
            <w:pPr>
              <w:jc w:val="both"/>
              <w:rPr>
                <w:bCs/>
                <w:sz w:val="20"/>
                <w:szCs w:val="20"/>
              </w:rPr>
            </w:pPr>
            <w:r w:rsidRPr="00154588">
              <w:rPr>
                <w:bCs/>
                <w:sz w:val="20"/>
                <w:szCs w:val="20"/>
              </w:rPr>
              <w:t>e) procedurile de evaluare, măsurare și control al riscurilor aplicate de entitatea de rezoluție includ filiala; și</w:t>
            </w:r>
          </w:p>
          <w:p w14:paraId="2D6C69AC" w14:textId="77777777" w:rsidR="00F4284C" w:rsidRPr="00154588" w:rsidRDefault="00F4284C" w:rsidP="008C12B4">
            <w:pPr>
              <w:jc w:val="both"/>
              <w:rPr>
                <w:bCs/>
                <w:sz w:val="20"/>
                <w:szCs w:val="20"/>
              </w:rPr>
            </w:pPr>
            <w:r w:rsidRPr="00154588">
              <w:rPr>
                <w:bCs/>
                <w:sz w:val="20"/>
                <w:szCs w:val="20"/>
              </w:rPr>
              <w:t>f) entitatea de rezoluție deține mai mult de 50% din drepturile de vot atașate acțiunilor în capitalul filialei sau are dreptul de a numi sau de a revoca majoritatea membrilor organului de conducere al filialei.</w:t>
            </w:r>
          </w:p>
          <w:p w14:paraId="0046F530" w14:textId="77777777" w:rsidR="00F4284C" w:rsidRPr="00154588" w:rsidRDefault="00F4284C" w:rsidP="008C12B4">
            <w:pPr>
              <w:jc w:val="both"/>
              <w:rPr>
                <w:bCs/>
                <w:sz w:val="20"/>
                <w:szCs w:val="20"/>
              </w:rPr>
            </w:pPr>
          </w:p>
        </w:tc>
        <w:tc>
          <w:tcPr>
            <w:tcW w:w="2552" w:type="dxa"/>
          </w:tcPr>
          <w:p w14:paraId="4CB63E36" w14:textId="7EECE50A"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067D8BD7" w14:textId="77777777" w:rsidR="00F4284C" w:rsidRPr="00154588" w:rsidRDefault="00F4284C" w:rsidP="008C12B4">
            <w:pPr>
              <w:jc w:val="both"/>
              <w:rPr>
                <w:bCs/>
                <w:sz w:val="20"/>
                <w:szCs w:val="20"/>
              </w:rPr>
            </w:pPr>
          </w:p>
        </w:tc>
      </w:tr>
      <w:tr w:rsidR="00F4284C" w:rsidRPr="00154588" w14:paraId="638EA22F" w14:textId="77777777" w:rsidTr="00D15C1B">
        <w:trPr>
          <w:jc w:val="center"/>
        </w:trPr>
        <w:tc>
          <w:tcPr>
            <w:tcW w:w="4957" w:type="dxa"/>
            <w:gridSpan w:val="2"/>
          </w:tcPr>
          <w:p w14:paraId="5FE50774" w14:textId="77777777" w:rsidR="00F4284C" w:rsidRPr="00154588" w:rsidRDefault="00F4284C" w:rsidP="008C12B4">
            <w:pPr>
              <w:jc w:val="both"/>
              <w:rPr>
                <w:bCs/>
                <w:sz w:val="20"/>
                <w:szCs w:val="20"/>
              </w:rPr>
            </w:pPr>
            <w:r w:rsidRPr="00154588">
              <w:rPr>
                <w:bCs/>
                <w:sz w:val="20"/>
                <w:szCs w:val="20"/>
              </w:rPr>
              <w:t>(4)   De asemenea, autoritatea de rezoluție a unei filiale care nu este o entitate de rezoluție poate acorda respectivei filiale o derogare de la aplicarea prezentului articol în cazul în care:</w:t>
            </w:r>
          </w:p>
          <w:p w14:paraId="2B88967D" w14:textId="77777777" w:rsidR="00F4284C" w:rsidRPr="00154588" w:rsidRDefault="00F4284C" w:rsidP="008C12B4">
            <w:pPr>
              <w:jc w:val="both"/>
              <w:rPr>
                <w:bCs/>
                <w:sz w:val="20"/>
                <w:szCs w:val="20"/>
              </w:rPr>
            </w:pPr>
          </w:p>
          <w:p w14:paraId="0FC190C2" w14:textId="424D537C" w:rsidR="00F4284C" w:rsidRPr="00154588" w:rsidRDefault="00F4284C" w:rsidP="008C12B4">
            <w:pPr>
              <w:jc w:val="both"/>
              <w:rPr>
                <w:bCs/>
                <w:sz w:val="20"/>
                <w:szCs w:val="20"/>
              </w:rPr>
            </w:pPr>
            <w:r w:rsidRPr="00154588">
              <w:rPr>
                <w:bCs/>
                <w:sz w:val="20"/>
                <w:szCs w:val="20"/>
              </w:rPr>
              <w:t>(a) atât filiala cât și întreprinderea sa mamă sunt stabilite în același stat membru și fac parte din același grup de rezoluție;</w:t>
            </w:r>
          </w:p>
          <w:p w14:paraId="0FDB23BE" w14:textId="77777777" w:rsidR="00F4284C" w:rsidRPr="00154588" w:rsidRDefault="00F4284C" w:rsidP="008C12B4">
            <w:pPr>
              <w:jc w:val="both"/>
              <w:rPr>
                <w:bCs/>
                <w:sz w:val="20"/>
                <w:szCs w:val="20"/>
              </w:rPr>
            </w:pPr>
          </w:p>
          <w:p w14:paraId="6FB60955" w14:textId="62A1A717" w:rsidR="00F4284C" w:rsidRPr="00154588" w:rsidRDefault="00F4284C" w:rsidP="008C12B4">
            <w:pPr>
              <w:jc w:val="both"/>
              <w:rPr>
                <w:bCs/>
                <w:sz w:val="20"/>
                <w:szCs w:val="20"/>
              </w:rPr>
            </w:pPr>
            <w:r w:rsidRPr="00154588">
              <w:rPr>
                <w:bCs/>
                <w:sz w:val="20"/>
                <w:szCs w:val="20"/>
              </w:rPr>
              <w:lastRenderedPageBreak/>
              <w:t>(b) întreprinderea-mamă respectă, pe bază consolidată, cerința menționată la articolul 45 alineatul (1) în respectivul stat membru;</w:t>
            </w:r>
          </w:p>
          <w:p w14:paraId="3590EEAD" w14:textId="77777777" w:rsidR="00F4284C" w:rsidRPr="00154588" w:rsidRDefault="00F4284C" w:rsidP="008C12B4">
            <w:pPr>
              <w:jc w:val="both"/>
              <w:rPr>
                <w:bCs/>
                <w:sz w:val="20"/>
                <w:szCs w:val="20"/>
              </w:rPr>
            </w:pPr>
          </w:p>
          <w:p w14:paraId="58A68EAE" w14:textId="5ED3138B" w:rsidR="00F4284C" w:rsidRPr="00154588" w:rsidRDefault="00F4284C" w:rsidP="008C12B4">
            <w:pPr>
              <w:jc w:val="both"/>
              <w:rPr>
                <w:bCs/>
                <w:sz w:val="20"/>
                <w:szCs w:val="20"/>
              </w:rPr>
            </w:pPr>
            <w:r w:rsidRPr="00154588">
              <w:rPr>
                <w:bCs/>
                <w:sz w:val="20"/>
                <w:szCs w:val="20"/>
              </w:rPr>
              <w:t>(c) nu există niciun obstacol major actual sau preconizat, de natură practică sau juridică, în calea transferului prompt de fonduri proprii sau a rambursării rapide a datoriilor de către întreprinderea-mamă către filiala cu privire la care s-a efectuat o constatare în conformitate cu articolul 59 alineatul (3), în special atunci când se adoptă măsurile de rezoluție sau se exercită competențele menționate la articolul 59 alineatul (1) în ceea ce privește întreprinderea-mamă;</w:t>
            </w:r>
          </w:p>
          <w:p w14:paraId="08BC897F" w14:textId="77777777" w:rsidR="00F4284C" w:rsidRPr="00154588" w:rsidRDefault="00F4284C" w:rsidP="008C12B4">
            <w:pPr>
              <w:jc w:val="both"/>
              <w:rPr>
                <w:bCs/>
                <w:sz w:val="20"/>
                <w:szCs w:val="20"/>
              </w:rPr>
            </w:pPr>
          </w:p>
          <w:p w14:paraId="71F29DAD" w14:textId="16694043" w:rsidR="00F4284C" w:rsidRPr="00154588" w:rsidRDefault="00F4284C" w:rsidP="008C12B4">
            <w:pPr>
              <w:jc w:val="both"/>
              <w:rPr>
                <w:bCs/>
                <w:sz w:val="20"/>
                <w:szCs w:val="20"/>
              </w:rPr>
            </w:pPr>
            <w:r w:rsidRPr="00154588">
              <w:rPr>
                <w:bCs/>
                <w:sz w:val="20"/>
                <w:szCs w:val="20"/>
              </w:rPr>
              <w:t>(d) fie întreprinderea-mamă îndeplinește cerințele autorității competente privind gestionarea prudentă a filialei și a declarat, cu consimțământul autorității competente, că garantează angajamentele asumate de filială, fie riscurile filialei sunt nesemnificative;</w:t>
            </w:r>
          </w:p>
          <w:p w14:paraId="0397E44C" w14:textId="77777777" w:rsidR="00F4284C" w:rsidRPr="00154588" w:rsidRDefault="00F4284C" w:rsidP="008C12B4">
            <w:pPr>
              <w:jc w:val="both"/>
              <w:rPr>
                <w:bCs/>
                <w:sz w:val="20"/>
                <w:szCs w:val="20"/>
              </w:rPr>
            </w:pPr>
          </w:p>
          <w:p w14:paraId="40366F62" w14:textId="77777777" w:rsidR="00F4284C" w:rsidRPr="00154588" w:rsidRDefault="00F4284C" w:rsidP="008C12B4">
            <w:pPr>
              <w:jc w:val="both"/>
              <w:rPr>
                <w:bCs/>
                <w:sz w:val="20"/>
                <w:szCs w:val="20"/>
              </w:rPr>
            </w:pPr>
          </w:p>
          <w:p w14:paraId="74DFDB55" w14:textId="77777777" w:rsidR="00F4284C" w:rsidRPr="00154588" w:rsidRDefault="00F4284C" w:rsidP="008C12B4">
            <w:pPr>
              <w:jc w:val="both"/>
              <w:rPr>
                <w:bCs/>
                <w:sz w:val="20"/>
                <w:szCs w:val="20"/>
              </w:rPr>
            </w:pPr>
          </w:p>
          <w:p w14:paraId="57FCC5BA" w14:textId="5741E7DF" w:rsidR="00F4284C" w:rsidRPr="00154588" w:rsidRDefault="00F4284C" w:rsidP="008C12B4">
            <w:pPr>
              <w:jc w:val="both"/>
              <w:rPr>
                <w:bCs/>
                <w:sz w:val="20"/>
                <w:szCs w:val="20"/>
              </w:rPr>
            </w:pPr>
            <w:r w:rsidRPr="00154588">
              <w:rPr>
                <w:bCs/>
                <w:sz w:val="20"/>
                <w:szCs w:val="20"/>
              </w:rPr>
              <w:t>(e) procedurile de evaluare, măsurare și control ale riscurilor aplicate de întreprinderea-mamă includ filiala;</w:t>
            </w:r>
          </w:p>
          <w:p w14:paraId="66A807D8" w14:textId="77777777" w:rsidR="00F4284C" w:rsidRPr="00154588" w:rsidRDefault="00F4284C" w:rsidP="008C12B4">
            <w:pPr>
              <w:jc w:val="both"/>
              <w:rPr>
                <w:bCs/>
                <w:sz w:val="20"/>
                <w:szCs w:val="20"/>
              </w:rPr>
            </w:pPr>
          </w:p>
          <w:p w14:paraId="33A46AE5" w14:textId="77777777" w:rsidR="00F4284C" w:rsidRPr="00154588" w:rsidRDefault="00F4284C" w:rsidP="008C12B4">
            <w:pPr>
              <w:jc w:val="both"/>
              <w:rPr>
                <w:bCs/>
                <w:sz w:val="20"/>
                <w:szCs w:val="20"/>
              </w:rPr>
            </w:pPr>
          </w:p>
          <w:p w14:paraId="1DEA2D7B" w14:textId="6553BA9A" w:rsidR="00F4284C" w:rsidRPr="00154588" w:rsidRDefault="00F4284C" w:rsidP="008C12B4">
            <w:pPr>
              <w:jc w:val="both"/>
              <w:rPr>
                <w:bCs/>
                <w:sz w:val="20"/>
                <w:szCs w:val="20"/>
              </w:rPr>
            </w:pPr>
            <w:r w:rsidRPr="00154588">
              <w:rPr>
                <w:bCs/>
                <w:sz w:val="20"/>
                <w:szCs w:val="20"/>
              </w:rPr>
              <w:t>(f) întreprinderea-mamă deține mai mult de 50 % din drepturile de vot atașate acțiunilor în capitalul filialei sau are dreptul de a numi sau de a revoca majoritatea membrilor organului de conducere al filialei.</w:t>
            </w:r>
          </w:p>
        </w:tc>
        <w:tc>
          <w:tcPr>
            <w:tcW w:w="4819" w:type="dxa"/>
          </w:tcPr>
          <w:p w14:paraId="5BE682E3" w14:textId="262D41D3" w:rsidR="00F4284C" w:rsidRPr="00154588" w:rsidRDefault="00F4284C" w:rsidP="008C12B4">
            <w:pPr>
              <w:jc w:val="both"/>
              <w:rPr>
                <w:bCs/>
                <w:sz w:val="20"/>
                <w:szCs w:val="20"/>
              </w:rPr>
            </w:pPr>
            <w:r w:rsidRPr="00154588">
              <w:rPr>
                <w:b/>
                <w:bCs/>
                <w:sz w:val="20"/>
                <w:szCs w:val="20"/>
              </w:rPr>
              <w:lastRenderedPageBreak/>
              <w:t>Articolul 167</w:t>
            </w:r>
            <w:r w:rsidRPr="00154588">
              <w:rPr>
                <w:b/>
                <w:bCs/>
                <w:sz w:val="20"/>
                <w:szCs w:val="20"/>
                <w:vertAlign w:val="superscript"/>
              </w:rPr>
              <w:t>18</w:t>
            </w:r>
            <w:r w:rsidRPr="00154588">
              <w:rPr>
                <w:b/>
                <w:bCs/>
                <w:sz w:val="20"/>
                <w:szCs w:val="20"/>
              </w:rPr>
              <w:t>.</w:t>
            </w:r>
            <w:r w:rsidRPr="00154588">
              <w:rPr>
                <w:bCs/>
                <w:sz w:val="20"/>
                <w:szCs w:val="20"/>
              </w:rPr>
              <w:t xml:space="preserve"> – (1) Banca Națională a Moldovei, în calitate de autoritate de rezoluție a unei filiale, care nu este o entitate de rezoluție, poate de asemenea acorda respectivei filiale o derogare de la aplicarea art.167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Pr="00154588">
              <w:rPr>
                <w:bCs/>
                <w:sz w:val="20"/>
                <w:szCs w:val="20"/>
              </w:rPr>
              <w:t>, în cazul în care:</w:t>
            </w:r>
          </w:p>
          <w:p w14:paraId="353813BC" w14:textId="77777777" w:rsidR="00F4284C" w:rsidRPr="00154588" w:rsidRDefault="00F4284C" w:rsidP="008C12B4">
            <w:pPr>
              <w:jc w:val="both"/>
              <w:rPr>
                <w:bCs/>
                <w:sz w:val="20"/>
                <w:szCs w:val="20"/>
              </w:rPr>
            </w:pPr>
            <w:r w:rsidRPr="00154588">
              <w:rPr>
                <w:bCs/>
                <w:sz w:val="20"/>
                <w:szCs w:val="20"/>
              </w:rPr>
              <w:t>a) atât filiala, cât și întreprinderea-mamă sunt stabilite în Republica Moldova și fac parte din același grup de rezoluție;</w:t>
            </w:r>
          </w:p>
          <w:p w14:paraId="4E9B1097" w14:textId="77777777" w:rsidR="00F4284C" w:rsidRPr="00154588" w:rsidRDefault="00F4284C" w:rsidP="008C12B4">
            <w:pPr>
              <w:jc w:val="both"/>
              <w:rPr>
                <w:bCs/>
                <w:sz w:val="20"/>
                <w:szCs w:val="20"/>
              </w:rPr>
            </w:pPr>
          </w:p>
          <w:p w14:paraId="4359E1E6" w14:textId="7CCC0441" w:rsidR="00F4284C" w:rsidRPr="00154588" w:rsidRDefault="00F4284C" w:rsidP="008C12B4">
            <w:pPr>
              <w:jc w:val="both"/>
              <w:rPr>
                <w:bCs/>
                <w:sz w:val="20"/>
                <w:szCs w:val="20"/>
              </w:rPr>
            </w:pPr>
            <w:r w:rsidRPr="00154588">
              <w:rPr>
                <w:bCs/>
                <w:sz w:val="20"/>
                <w:szCs w:val="20"/>
              </w:rPr>
              <w:lastRenderedPageBreak/>
              <w:t>b) întreprinderea-mamă, respectă, pe bază consolidată, la nivelul Republicii Moldova, cerința prevăzută la art.164 alin.(1);</w:t>
            </w:r>
          </w:p>
          <w:p w14:paraId="3656CA7E" w14:textId="77777777" w:rsidR="00F4284C" w:rsidRPr="00154588" w:rsidRDefault="00F4284C" w:rsidP="008C12B4">
            <w:pPr>
              <w:jc w:val="both"/>
              <w:rPr>
                <w:bCs/>
                <w:sz w:val="20"/>
                <w:szCs w:val="20"/>
              </w:rPr>
            </w:pPr>
          </w:p>
          <w:p w14:paraId="6A3BFCC9" w14:textId="6667C754" w:rsidR="00F4284C" w:rsidRPr="00154588" w:rsidRDefault="00F4284C" w:rsidP="008C12B4">
            <w:pPr>
              <w:jc w:val="both"/>
              <w:rPr>
                <w:bCs/>
                <w:sz w:val="20"/>
                <w:szCs w:val="20"/>
              </w:rPr>
            </w:pPr>
            <w:r w:rsidRPr="00154588">
              <w:rPr>
                <w:bCs/>
                <w:sz w:val="20"/>
                <w:szCs w:val="20"/>
              </w:rPr>
              <w:t>c) nu există niciun obstacol major, actual sau preconizat, de natură practică sau juridică, în calea transferului prompt de fonduri proprii sau a rambursării rapide a datoriilor de către întreprinderea-mamă către filiala cu privire la care s-a efectuat determinarea prevăzută la art.221, în special în situația în care s-ar adopta o acțiune de rezoluție sau s-ar exercita competențele prevăzute la art.219 în ceea ce privește întreprinderea-mamă;</w:t>
            </w:r>
          </w:p>
          <w:p w14:paraId="6ABEFE50" w14:textId="77777777" w:rsidR="00F4284C" w:rsidRPr="00154588" w:rsidRDefault="00F4284C" w:rsidP="008C12B4">
            <w:pPr>
              <w:jc w:val="both"/>
              <w:rPr>
                <w:bCs/>
                <w:sz w:val="20"/>
                <w:szCs w:val="20"/>
              </w:rPr>
            </w:pPr>
          </w:p>
          <w:p w14:paraId="1A5D88C2" w14:textId="7D5CBFA4" w:rsidR="00F4284C" w:rsidRPr="00154588" w:rsidRDefault="00F4284C" w:rsidP="008C12B4">
            <w:pPr>
              <w:jc w:val="both"/>
              <w:rPr>
                <w:bCs/>
                <w:sz w:val="20"/>
                <w:szCs w:val="20"/>
              </w:rPr>
            </w:pPr>
            <w:r w:rsidRPr="00154588">
              <w:rPr>
                <w:bCs/>
                <w:sz w:val="20"/>
                <w:szCs w:val="20"/>
              </w:rPr>
              <w:t>d) fie întreprinderea-mamă îndeplinește cerințele Băncii Naționale a Moldovei, în calitate de autoritate competentă, cu privire la gestionarea prudentă a filialei și declară, cu consimțământul prealabil al autorității competente, că garantează angajamentele asumate de filială, fie riscurile filialei sunt nesemnificative;</w:t>
            </w:r>
          </w:p>
          <w:p w14:paraId="115436DF" w14:textId="77777777" w:rsidR="00F4284C" w:rsidRPr="00154588" w:rsidRDefault="00F4284C" w:rsidP="008C12B4">
            <w:pPr>
              <w:jc w:val="both"/>
              <w:rPr>
                <w:bCs/>
                <w:sz w:val="20"/>
                <w:szCs w:val="20"/>
              </w:rPr>
            </w:pPr>
            <w:r w:rsidRPr="00154588">
              <w:rPr>
                <w:bCs/>
                <w:sz w:val="20"/>
                <w:szCs w:val="20"/>
              </w:rPr>
              <w:t>e) procedurile de evaluare, măsurare și control al riscurilor, aplicate de întreprinderea-mamă, includ filiala; și</w:t>
            </w:r>
          </w:p>
          <w:p w14:paraId="636DF00E" w14:textId="77777777" w:rsidR="00F4284C" w:rsidRPr="00154588" w:rsidRDefault="00F4284C" w:rsidP="008C12B4">
            <w:pPr>
              <w:jc w:val="both"/>
              <w:rPr>
                <w:bCs/>
                <w:sz w:val="20"/>
                <w:szCs w:val="20"/>
              </w:rPr>
            </w:pPr>
          </w:p>
          <w:p w14:paraId="66C9CBEC" w14:textId="22B0605F" w:rsidR="00F4284C" w:rsidRPr="00154588" w:rsidRDefault="00F4284C" w:rsidP="008C12B4">
            <w:pPr>
              <w:jc w:val="both"/>
              <w:rPr>
                <w:bCs/>
                <w:sz w:val="20"/>
                <w:szCs w:val="20"/>
              </w:rPr>
            </w:pPr>
            <w:r w:rsidRPr="00154588">
              <w:rPr>
                <w:bCs/>
                <w:sz w:val="20"/>
                <w:szCs w:val="20"/>
              </w:rPr>
              <w:t>f) întreprinderea-mamă deține mai mult de 50% din drepturile de vot atașate acțiunilor în capitalul filialei sau are dreptul de a numi sau de a revoca majoritatea membrilor organului de conducere al filialei.</w:t>
            </w:r>
          </w:p>
          <w:p w14:paraId="07BB431D" w14:textId="77777777" w:rsidR="00F4284C" w:rsidRPr="00154588" w:rsidRDefault="00F4284C" w:rsidP="008C12B4">
            <w:pPr>
              <w:jc w:val="both"/>
              <w:rPr>
                <w:bCs/>
                <w:sz w:val="20"/>
                <w:szCs w:val="20"/>
              </w:rPr>
            </w:pPr>
          </w:p>
        </w:tc>
        <w:tc>
          <w:tcPr>
            <w:tcW w:w="2552" w:type="dxa"/>
          </w:tcPr>
          <w:p w14:paraId="47379F41" w14:textId="611BB807"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3BE5562F" w14:textId="77777777" w:rsidR="00F4284C" w:rsidRPr="00154588" w:rsidRDefault="00F4284C" w:rsidP="008C12B4">
            <w:pPr>
              <w:jc w:val="both"/>
              <w:rPr>
                <w:bCs/>
                <w:sz w:val="20"/>
                <w:szCs w:val="20"/>
              </w:rPr>
            </w:pPr>
          </w:p>
        </w:tc>
      </w:tr>
      <w:tr w:rsidR="00F4284C" w:rsidRPr="00154588" w14:paraId="62C2E072" w14:textId="77777777" w:rsidTr="00D15C1B">
        <w:trPr>
          <w:jc w:val="center"/>
        </w:trPr>
        <w:tc>
          <w:tcPr>
            <w:tcW w:w="4957" w:type="dxa"/>
            <w:gridSpan w:val="2"/>
          </w:tcPr>
          <w:p w14:paraId="7CEF003C" w14:textId="77777777" w:rsidR="00F4284C" w:rsidRPr="00154588" w:rsidRDefault="00F4284C" w:rsidP="008C12B4">
            <w:pPr>
              <w:jc w:val="both"/>
              <w:rPr>
                <w:bCs/>
                <w:sz w:val="20"/>
                <w:szCs w:val="20"/>
              </w:rPr>
            </w:pPr>
            <w:r w:rsidRPr="00154588">
              <w:rPr>
                <w:bCs/>
                <w:sz w:val="20"/>
                <w:szCs w:val="20"/>
              </w:rPr>
              <w:t>(5)   În cazul în care sunt îndeplinite condițiile menționate la alineatul (3) literele (a) și (b), autoritatea de rezoluție a unei filiale poate permite ca cerința menționată la articolul 45 alineatul (1) să fie îndeplinită integral sau parțial cu o garanție furnizată de entitatea de rezoluție, care îndeplinește următoarele condiții:</w:t>
            </w:r>
          </w:p>
          <w:p w14:paraId="2EAACC9F" w14:textId="77777777" w:rsidR="00F4284C" w:rsidRPr="00154588" w:rsidRDefault="00F4284C" w:rsidP="008C12B4">
            <w:pPr>
              <w:jc w:val="both"/>
              <w:rPr>
                <w:bCs/>
                <w:sz w:val="20"/>
                <w:szCs w:val="20"/>
              </w:rPr>
            </w:pPr>
          </w:p>
          <w:p w14:paraId="3E76ADFE" w14:textId="48743F3C" w:rsidR="00F4284C" w:rsidRPr="00154588" w:rsidRDefault="00F4284C" w:rsidP="008C12B4">
            <w:pPr>
              <w:jc w:val="both"/>
              <w:rPr>
                <w:bCs/>
                <w:sz w:val="20"/>
                <w:szCs w:val="20"/>
              </w:rPr>
            </w:pPr>
            <w:r w:rsidRPr="00154588">
              <w:rPr>
                <w:bCs/>
                <w:sz w:val="20"/>
                <w:szCs w:val="20"/>
              </w:rPr>
              <w:t>(a) garanția se acordă cel puțin pentru un cuantum care este echivalent cuantumului cerinței pe care o înlocuiește;</w:t>
            </w:r>
          </w:p>
          <w:p w14:paraId="69FDB5A0" w14:textId="77777777" w:rsidR="00F4284C" w:rsidRPr="00154588" w:rsidRDefault="00F4284C" w:rsidP="008C12B4">
            <w:pPr>
              <w:jc w:val="both"/>
              <w:rPr>
                <w:bCs/>
                <w:sz w:val="20"/>
                <w:szCs w:val="20"/>
              </w:rPr>
            </w:pPr>
          </w:p>
          <w:p w14:paraId="4721C1C0" w14:textId="77777777" w:rsidR="00F4284C" w:rsidRPr="00154588" w:rsidRDefault="00F4284C" w:rsidP="008C12B4">
            <w:pPr>
              <w:jc w:val="both"/>
              <w:rPr>
                <w:bCs/>
                <w:sz w:val="20"/>
                <w:szCs w:val="20"/>
              </w:rPr>
            </w:pPr>
          </w:p>
          <w:p w14:paraId="03CF4EAC" w14:textId="28DB62EC" w:rsidR="00F4284C" w:rsidRPr="00154588" w:rsidRDefault="00F4284C" w:rsidP="008C12B4">
            <w:pPr>
              <w:jc w:val="both"/>
              <w:rPr>
                <w:bCs/>
                <w:sz w:val="20"/>
                <w:szCs w:val="20"/>
              </w:rPr>
            </w:pPr>
            <w:r w:rsidRPr="00154588">
              <w:rPr>
                <w:bCs/>
                <w:sz w:val="20"/>
                <w:szCs w:val="20"/>
              </w:rPr>
              <w:t xml:space="preserve">(b) garanția este activată atunci când filiala este în imposibilitatea de a-și achita datoriile sau alte obligații </w:t>
            </w:r>
            <w:r w:rsidRPr="00154588">
              <w:rPr>
                <w:bCs/>
                <w:sz w:val="20"/>
                <w:szCs w:val="20"/>
              </w:rPr>
              <w:lastRenderedPageBreak/>
              <w:t>la scadență sau atunci când s-a efectuat o constatare în conformitate cu articolul 59 alineatul (3) în ceea ce privește filiala, oricare dintre aceste evenimente are loc mai devreme;</w:t>
            </w:r>
          </w:p>
          <w:p w14:paraId="6CBCFA4E" w14:textId="77777777" w:rsidR="00F4284C" w:rsidRPr="00154588" w:rsidRDefault="00F4284C" w:rsidP="008C12B4">
            <w:pPr>
              <w:jc w:val="both"/>
              <w:rPr>
                <w:bCs/>
                <w:sz w:val="20"/>
                <w:szCs w:val="20"/>
              </w:rPr>
            </w:pPr>
          </w:p>
          <w:p w14:paraId="6B61E330" w14:textId="7B693BFE" w:rsidR="00F4284C" w:rsidRPr="00154588" w:rsidRDefault="00F4284C" w:rsidP="008C12B4">
            <w:pPr>
              <w:jc w:val="both"/>
              <w:rPr>
                <w:bCs/>
                <w:sz w:val="20"/>
                <w:szCs w:val="20"/>
              </w:rPr>
            </w:pPr>
            <w:r w:rsidRPr="00154588">
              <w:rPr>
                <w:bCs/>
                <w:sz w:val="20"/>
                <w:szCs w:val="20"/>
              </w:rPr>
              <w:t>(c) garanția este colaterizată printr-un contract de garanție financiară, astfel cum este definit la articolul 2 alineatul (1) litera (a) din Directiva 2002/47/CE pentru cel puțin 50 % din valoarea sa;</w:t>
            </w:r>
          </w:p>
          <w:p w14:paraId="25559875" w14:textId="77777777" w:rsidR="00F4284C" w:rsidRPr="00154588" w:rsidRDefault="00F4284C" w:rsidP="008C12B4">
            <w:pPr>
              <w:jc w:val="both"/>
              <w:rPr>
                <w:bCs/>
                <w:sz w:val="20"/>
                <w:szCs w:val="20"/>
              </w:rPr>
            </w:pPr>
          </w:p>
          <w:p w14:paraId="5E8C9120" w14:textId="6A312BC6" w:rsidR="00F4284C" w:rsidRPr="00154588" w:rsidRDefault="00F4284C" w:rsidP="008C12B4">
            <w:pPr>
              <w:jc w:val="both"/>
              <w:rPr>
                <w:bCs/>
                <w:sz w:val="20"/>
                <w:szCs w:val="20"/>
              </w:rPr>
            </w:pPr>
            <w:r w:rsidRPr="00154588">
              <w:rPr>
                <w:bCs/>
                <w:sz w:val="20"/>
                <w:szCs w:val="20"/>
              </w:rPr>
              <w:t>(d) colateralul care acoperă garanția îndeplinește cerințele de la articolul 197 din Regulamentul (UE) nr. 575/2013, care, în urma unor marje de ajustare prudente, sunt suficiente pentru a acoperi cuantumul colaterizat menționat la litera (c);</w:t>
            </w:r>
          </w:p>
          <w:p w14:paraId="51A864E5" w14:textId="77777777" w:rsidR="00F4284C" w:rsidRPr="00154588" w:rsidRDefault="00F4284C" w:rsidP="008C12B4">
            <w:pPr>
              <w:jc w:val="both"/>
              <w:rPr>
                <w:bCs/>
                <w:sz w:val="20"/>
                <w:szCs w:val="20"/>
              </w:rPr>
            </w:pPr>
          </w:p>
          <w:p w14:paraId="0951E86A" w14:textId="263213DF" w:rsidR="00F4284C" w:rsidRPr="00154588" w:rsidRDefault="00F4284C" w:rsidP="008C12B4">
            <w:pPr>
              <w:jc w:val="both"/>
              <w:rPr>
                <w:bCs/>
                <w:sz w:val="20"/>
                <w:szCs w:val="20"/>
              </w:rPr>
            </w:pPr>
            <w:r w:rsidRPr="00154588">
              <w:rPr>
                <w:bCs/>
                <w:sz w:val="20"/>
                <w:szCs w:val="20"/>
              </w:rPr>
              <w:t>(e) colateralul care acoperă garanția este negrevat de sarcini și, în special, nu este utilizat ca și colateral pentru a acoperi o altă garanție;</w:t>
            </w:r>
          </w:p>
          <w:p w14:paraId="264DE1CF" w14:textId="77777777" w:rsidR="00F4284C" w:rsidRPr="00154588" w:rsidRDefault="00F4284C" w:rsidP="008C12B4">
            <w:pPr>
              <w:jc w:val="both"/>
              <w:rPr>
                <w:bCs/>
                <w:sz w:val="20"/>
                <w:szCs w:val="20"/>
              </w:rPr>
            </w:pPr>
          </w:p>
          <w:p w14:paraId="68E5FC28" w14:textId="3C73167A" w:rsidR="00F4284C" w:rsidRPr="00154588" w:rsidRDefault="00F4284C" w:rsidP="008C12B4">
            <w:pPr>
              <w:jc w:val="both"/>
              <w:rPr>
                <w:bCs/>
                <w:sz w:val="20"/>
                <w:szCs w:val="20"/>
              </w:rPr>
            </w:pPr>
            <w:r w:rsidRPr="00154588">
              <w:rPr>
                <w:bCs/>
                <w:sz w:val="20"/>
                <w:szCs w:val="20"/>
              </w:rPr>
              <w:t>(f) colateralul are o scadență efectivă care îndeplinește aceeași condiție referitoare la scadență ca cea menționată la articolul 72c alineatul (1) din Regulamentul (UE) nr. 575/2013; și</w:t>
            </w:r>
          </w:p>
          <w:p w14:paraId="5A076BDD" w14:textId="77777777" w:rsidR="00F4284C" w:rsidRPr="00154588" w:rsidRDefault="00F4284C" w:rsidP="008C12B4">
            <w:pPr>
              <w:jc w:val="both"/>
              <w:rPr>
                <w:bCs/>
                <w:sz w:val="20"/>
                <w:szCs w:val="20"/>
              </w:rPr>
            </w:pPr>
          </w:p>
          <w:p w14:paraId="4C1EDB88" w14:textId="4F70FBA7" w:rsidR="00F4284C" w:rsidRPr="00154588" w:rsidRDefault="00F4284C" w:rsidP="008C12B4">
            <w:pPr>
              <w:jc w:val="both"/>
              <w:rPr>
                <w:bCs/>
                <w:sz w:val="20"/>
                <w:szCs w:val="20"/>
              </w:rPr>
            </w:pPr>
            <w:r w:rsidRPr="00154588">
              <w:rPr>
                <w:bCs/>
                <w:sz w:val="20"/>
                <w:szCs w:val="20"/>
              </w:rPr>
              <w:t>(g) nu există obstacole juridice, de reglementare sau operaționale în calea transferului colateralului de la entitatea de rezoluție către filiala relevantă, inclusiv în cazul în care entitatea de rezoluție face obiectul unei măsuri de rezoluție.</w:t>
            </w:r>
          </w:p>
          <w:p w14:paraId="50A11A0B" w14:textId="77777777" w:rsidR="00F4284C" w:rsidRPr="00154588" w:rsidRDefault="00F4284C" w:rsidP="008C12B4">
            <w:pPr>
              <w:jc w:val="both"/>
              <w:rPr>
                <w:bCs/>
                <w:sz w:val="20"/>
                <w:szCs w:val="20"/>
              </w:rPr>
            </w:pPr>
          </w:p>
          <w:p w14:paraId="19CF34E1" w14:textId="035435D0" w:rsidR="00F4284C" w:rsidRPr="00154588" w:rsidRDefault="00F4284C" w:rsidP="008C12B4">
            <w:pPr>
              <w:jc w:val="both"/>
              <w:rPr>
                <w:bCs/>
                <w:sz w:val="20"/>
                <w:szCs w:val="20"/>
              </w:rPr>
            </w:pPr>
            <w:r w:rsidRPr="00154588">
              <w:rPr>
                <w:bCs/>
                <w:sz w:val="20"/>
                <w:szCs w:val="20"/>
              </w:rPr>
              <w:t>În sensul primului paragraf litera (g), la cererea autorității de rezoluție, entitatea de rezoluție furnizează în scris un aviz juridic independent în scris și fundamentat sau demonstrează în mod satisfăcător într-un alt fel că nu există obstacole juridice, de reglementare sau operaționale în calea transferului de colateral de la entitatea de rezoluție către filiala relevantă.</w:t>
            </w:r>
          </w:p>
        </w:tc>
        <w:tc>
          <w:tcPr>
            <w:tcW w:w="4819" w:type="dxa"/>
          </w:tcPr>
          <w:p w14:paraId="168320E6" w14:textId="66FEB46E" w:rsidR="00F4284C" w:rsidRPr="00154588" w:rsidRDefault="00F4284C" w:rsidP="008C12B4">
            <w:pPr>
              <w:jc w:val="both"/>
              <w:rPr>
                <w:b/>
                <w:bCs/>
                <w:sz w:val="20"/>
                <w:szCs w:val="20"/>
              </w:rPr>
            </w:pPr>
            <w:r w:rsidRPr="00154588">
              <w:rPr>
                <w:b/>
                <w:bCs/>
                <w:sz w:val="20"/>
                <w:szCs w:val="20"/>
              </w:rPr>
              <w:lastRenderedPageBreak/>
              <w:t>Articolul 167</w:t>
            </w:r>
            <w:r w:rsidRPr="00154588">
              <w:rPr>
                <w:b/>
                <w:bCs/>
                <w:sz w:val="20"/>
                <w:szCs w:val="20"/>
                <w:vertAlign w:val="superscript"/>
              </w:rPr>
              <w:t>19</w:t>
            </w:r>
            <w:r w:rsidRPr="00154588">
              <w:rPr>
                <w:b/>
                <w:bCs/>
                <w:sz w:val="20"/>
                <w:szCs w:val="20"/>
              </w:rPr>
              <w:t xml:space="preserve">. – </w:t>
            </w:r>
            <w:r w:rsidRPr="00154588">
              <w:rPr>
                <w:bCs/>
                <w:sz w:val="20"/>
                <w:szCs w:val="20"/>
              </w:rPr>
              <w:t>(1) Atunci când sunt îndeplinite condițiile prevăzute la art.167</w:t>
            </w:r>
            <w:r w:rsidRPr="00154588">
              <w:rPr>
                <w:bCs/>
                <w:sz w:val="20"/>
                <w:szCs w:val="20"/>
                <w:vertAlign w:val="superscript"/>
              </w:rPr>
              <w:t>17</w:t>
            </w:r>
            <w:r w:rsidRPr="00154588">
              <w:rPr>
                <w:bCs/>
                <w:sz w:val="20"/>
                <w:szCs w:val="20"/>
              </w:rPr>
              <w:t xml:space="preserve"> lit.a) și b), Banca Națională a Moldovei, în calitate de autoritate de rezoluție a unei filiale, poate permite ca cerința prevăzută la art.164 alin.(1) să fie îndeplinită integral sau parțial cu o garanție constituită de entitatea de rezoluție, care îndeplinește următoarele condiții:</w:t>
            </w:r>
          </w:p>
          <w:p w14:paraId="3F91D1D9" w14:textId="77777777" w:rsidR="00F4284C" w:rsidRPr="00154588" w:rsidRDefault="00F4284C" w:rsidP="008C12B4">
            <w:pPr>
              <w:jc w:val="both"/>
              <w:rPr>
                <w:bCs/>
                <w:sz w:val="20"/>
                <w:szCs w:val="20"/>
              </w:rPr>
            </w:pPr>
            <w:r w:rsidRPr="00154588">
              <w:rPr>
                <w:bCs/>
                <w:sz w:val="20"/>
                <w:szCs w:val="20"/>
              </w:rPr>
              <w:t>a) valoarea garanției se constituie cel puțin la o valoare egală cu cea a cerinței pe care o substituie;</w:t>
            </w:r>
          </w:p>
          <w:p w14:paraId="582C57CF" w14:textId="77777777" w:rsidR="00F4284C" w:rsidRPr="00154588" w:rsidRDefault="00F4284C" w:rsidP="008C12B4">
            <w:pPr>
              <w:jc w:val="both"/>
              <w:rPr>
                <w:bCs/>
                <w:sz w:val="20"/>
                <w:szCs w:val="20"/>
              </w:rPr>
            </w:pPr>
            <w:r w:rsidRPr="00154588">
              <w:rPr>
                <w:bCs/>
                <w:sz w:val="20"/>
                <w:szCs w:val="20"/>
              </w:rPr>
              <w:t xml:space="preserve">b) garanția se execută atunci când filiala este în imposibilitatea de a-și achita datoriile exigibile sau alte obligații care au ajuns la scadență sau atunci când s-a efectuat o determinare, în conformitate cu </w:t>
            </w:r>
            <w:r w:rsidRPr="00154588">
              <w:rPr>
                <w:bCs/>
                <w:sz w:val="20"/>
                <w:szCs w:val="20"/>
              </w:rPr>
              <w:lastRenderedPageBreak/>
              <w:t>prevederile art.221, în ceea ce privește filiala, oricare dintre aceste evenimente intervine mai întâi;</w:t>
            </w:r>
          </w:p>
          <w:p w14:paraId="38318235" w14:textId="77777777" w:rsidR="00F4284C" w:rsidRPr="00154588" w:rsidRDefault="00F4284C" w:rsidP="008C12B4">
            <w:pPr>
              <w:jc w:val="both"/>
              <w:rPr>
                <w:bCs/>
                <w:sz w:val="20"/>
                <w:szCs w:val="20"/>
              </w:rPr>
            </w:pPr>
            <w:r w:rsidRPr="00154588">
              <w:rPr>
                <w:bCs/>
                <w:sz w:val="20"/>
                <w:szCs w:val="20"/>
              </w:rPr>
              <w:t>c) garanția este colateralizată printr-un contract de garanție financiară, astfel cum este definit la art.4 pct.4) din Legea nr.184/2016 cu privire la contractele de garanţie financiară, pentru un cuantum de cel puțin 50% din valoarea sa;</w:t>
            </w:r>
          </w:p>
          <w:p w14:paraId="5E5CF535" w14:textId="212E341E" w:rsidR="00F4284C" w:rsidRPr="00154588" w:rsidRDefault="00F4284C" w:rsidP="008C12B4">
            <w:pPr>
              <w:jc w:val="both"/>
              <w:rPr>
                <w:bCs/>
                <w:sz w:val="20"/>
                <w:szCs w:val="20"/>
              </w:rPr>
            </w:pPr>
            <w:r w:rsidRPr="00154588">
              <w:rPr>
                <w:bCs/>
                <w:sz w:val="20"/>
                <w:szCs w:val="20"/>
              </w:rPr>
              <w:t>d</w:t>
            </w:r>
            <w:r w:rsidRPr="00154588">
              <w:rPr>
                <w:sz w:val="20"/>
                <w:szCs w:val="20"/>
              </w:rPr>
              <w:t xml:space="preserve">) colateralul care acoperă garanția îndeplinește cerințele cu privire la eligibilitatea garanțiilor reale în cadrul tuturor abordărilor și metodelor prevăzute în reglementările Băncii Naţionale a Moldovei emise în aplicarea </w:t>
            </w:r>
            <w:r w:rsidR="002E2215" w:rsidRPr="00154588">
              <w:rPr>
                <w:sz w:val="20"/>
                <w:szCs w:val="20"/>
              </w:rPr>
              <w:t>art.</w:t>
            </w:r>
            <w:r w:rsidR="00694F3B" w:rsidRPr="00154588">
              <w:rPr>
                <w:sz w:val="20"/>
                <w:szCs w:val="20"/>
              </w:rPr>
              <w:t>67</w:t>
            </w:r>
            <w:r w:rsidRPr="00154588">
              <w:rPr>
                <w:sz w:val="20"/>
                <w:szCs w:val="20"/>
              </w:rPr>
              <w:t xml:space="preserve"> din Legea nr.202/2017,</w:t>
            </w:r>
            <w:r w:rsidRPr="00154588">
              <w:rPr>
                <w:bCs/>
                <w:sz w:val="20"/>
                <w:szCs w:val="20"/>
              </w:rPr>
              <w:t xml:space="preserve"> care, în urma unor marje de ajustare prudente, sunt suficiente pentru a acoperi cuantumul colaterizat prevăzut la lit.c);</w:t>
            </w:r>
          </w:p>
          <w:p w14:paraId="6D770324" w14:textId="77777777" w:rsidR="00F4284C" w:rsidRPr="00154588" w:rsidRDefault="00F4284C" w:rsidP="008C12B4">
            <w:pPr>
              <w:jc w:val="both"/>
              <w:rPr>
                <w:bCs/>
                <w:sz w:val="20"/>
                <w:szCs w:val="20"/>
              </w:rPr>
            </w:pPr>
          </w:p>
          <w:p w14:paraId="2F37D6CF" w14:textId="61E01AF5" w:rsidR="00F4284C" w:rsidRPr="00154588" w:rsidRDefault="00F4284C" w:rsidP="008C12B4">
            <w:pPr>
              <w:jc w:val="both"/>
              <w:rPr>
                <w:bCs/>
                <w:sz w:val="20"/>
                <w:szCs w:val="20"/>
              </w:rPr>
            </w:pPr>
            <w:r w:rsidRPr="00154588">
              <w:rPr>
                <w:bCs/>
                <w:sz w:val="20"/>
                <w:szCs w:val="20"/>
              </w:rPr>
              <w:t>e) colateralul care acoperă garanția este negrevat de sarcini și nu este utilizat drept colateral pentru a acoperi orice altă garanție;</w:t>
            </w:r>
          </w:p>
          <w:p w14:paraId="0C3893E7" w14:textId="11D5ABA1" w:rsidR="00F4284C" w:rsidRPr="00154588" w:rsidRDefault="00F4284C" w:rsidP="008C12B4">
            <w:pPr>
              <w:jc w:val="both"/>
              <w:rPr>
                <w:bCs/>
                <w:sz w:val="20"/>
                <w:szCs w:val="20"/>
              </w:rPr>
            </w:pPr>
            <w:r w:rsidRPr="00154588">
              <w:rPr>
                <w:bCs/>
                <w:sz w:val="20"/>
                <w:szCs w:val="20"/>
              </w:rPr>
              <w:t xml:space="preserve">f) </w:t>
            </w:r>
            <w:bookmarkStart w:id="122" w:name="_Hlk234827779"/>
            <w:r w:rsidRPr="00154588">
              <w:rPr>
                <w:bCs/>
                <w:sz w:val="20"/>
                <w:szCs w:val="20"/>
              </w:rPr>
              <w:t xml:space="preserve">colateralul are o scadență efectivă care îndeplinește aceeași condiție referitoare la scadență și </w:t>
            </w:r>
            <w:r w:rsidRPr="00154588">
              <w:rPr>
                <w:sz w:val="20"/>
                <w:szCs w:val="20"/>
              </w:rPr>
              <w:t>anume: instrumentele de pasive eligibile sunt considerate în întregime drept elemente de pasive eligibile doar dacă au o scadență reziduală de cel puțin un an, în timp ce instrumentele cu o scadență reziduală mai mică de un an nu sunt considerate elemente de pasive eligibile.</w:t>
            </w:r>
            <w:bookmarkEnd w:id="122"/>
            <w:r w:rsidRPr="00154588">
              <w:rPr>
                <w:bCs/>
                <w:sz w:val="20"/>
                <w:szCs w:val="20"/>
              </w:rPr>
              <w:t>; și</w:t>
            </w:r>
          </w:p>
          <w:p w14:paraId="718EAA14" w14:textId="77777777" w:rsidR="00F4284C" w:rsidRPr="00154588" w:rsidRDefault="00F4284C" w:rsidP="008C12B4">
            <w:pPr>
              <w:jc w:val="both"/>
              <w:rPr>
                <w:bCs/>
                <w:sz w:val="20"/>
                <w:szCs w:val="20"/>
              </w:rPr>
            </w:pPr>
            <w:r w:rsidRPr="00154588">
              <w:rPr>
                <w:bCs/>
                <w:sz w:val="20"/>
                <w:szCs w:val="20"/>
              </w:rPr>
              <w:t>g) nu există obstacole juridice, de reglementare sau operaționale în calea transferului colateralului de la entitatea de rezoluție către filiala respectivă, inclusiv în cazul în care entitatea de rezoluție ar face obiectul unei acțiuni de rezoluție.</w:t>
            </w:r>
          </w:p>
          <w:p w14:paraId="091FC511" w14:textId="77777777" w:rsidR="00F4284C" w:rsidRPr="00154588" w:rsidRDefault="00F4284C" w:rsidP="008C12B4">
            <w:pPr>
              <w:jc w:val="both"/>
              <w:rPr>
                <w:bCs/>
                <w:sz w:val="20"/>
                <w:szCs w:val="20"/>
              </w:rPr>
            </w:pPr>
            <w:r w:rsidRPr="00154588">
              <w:rPr>
                <w:bCs/>
                <w:sz w:val="20"/>
                <w:szCs w:val="20"/>
              </w:rPr>
              <w:t>(2) În aplicarea prevederilor alin.(1) lit.g), la cererea Băncii Naționale a Moldovei, în calitate de autoritate de rezoluție, entitatea de rezoluție furnizează în scris o opinie juridică independentă și fundamentată sau demonstrează în mod satisfăcător într-un alt fel că nu există obstacole juridice, de reglementare sau operaționale în calea transferului de colateral de la entitatea de rezoluție către filiala respectivă.</w:t>
            </w:r>
          </w:p>
          <w:p w14:paraId="6B855902" w14:textId="77777777" w:rsidR="00F4284C" w:rsidRPr="00154588" w:rsidRDefault="00F4284C" w:rsidP="008C12B4">
            <w:pPr>
              <w:jc w:val="both"/>
              <w:rPr>
                <w:bCs/>
                <w:sz w:val="20"/>
                <w:szCs w:val="20"/>
              </w:rPr>
            </w:pPr>
          </w:p>
        </w:tc>
        <w:tc>
          <w:tcPr>
            <w:tcW w:w="2552" w:type="dxa"/>
          </w:tcPr>
          <w:p w14:paraId="2A3FA10B" w14:textId="7F6FC712"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6611E05C" w14:textId="77777777" w:rsidR="00F4284C" w:rsidRPr="00154588" w:rsidRDefault="00F4284C" w:rsidP="008C12B4">
            <w:pPr>
              <w:jc w:val="both"/>
              <w:rPr>
                <w:bCs/>
                <w:sz w:val="20"/>
                <w:szCs w:val="20"/>
              </w:rPr>
            </w:pPr>
          </w:p>
        </w:tc>
      </w:tr>
      <w:tr w:rsidR="00F4284C" w:rsidRPr="00154588" w14:paraId="54807A17" w14:textId="77777777" w:rsidTr="00D15C1B">
        <w:trPr>
          <w:jc w:val="center"/>
        </w:trPr>
        <w:tc>
          <w:tcPr>
            <w:tcW w:w="4957" w:type="dxa"/>
            <w:gridSpan w:val="2"/>
          </w:tcPr>
          <w:p w14:paraId="1E8ADB65" w14:textId="77777777" w:rsidR="00F4284C" w:rsidRPr="00154588" w:rsidRDefault="00F4284C" w:rsidP="008C12B4">
            <w:pPr>
              <w:jc w:val="both"/>
              <w:rPr>
                <w:b/>
                <w:sz w:val="20"/>
                <w:szCs w:val="20"/>
              </w:rPr>
            </w:pPr>
            <w:r w:rsidRPr="00154588">
              <w:rPr>
                <w:b/>
                <w:sz w:val="20"/>
                <w:szCs w:val="20"/>
              </w:rPr>
              <w:t>Articolul 45g</w:t>
            </w:r>
          </w:p>
          <w:p w14:paraId="500F7547" w14:textId="77777777" w:rsidR="00F4284C" w:rsidRPr="00154588" w:rsidRDefault="00F4284C" w:rsidP="008C12B4">
            <w:pPr>
              <w:jc w:val="both"/>
              <w:rPr>
                <w:b/>
                <w:sz w:val="20"/>
                <w:szCs w:val="20"/>
              </w:rPr>
            </w:pPr>
          </w:p>
          <w:p w14:paraId="58A7C41B" w14:textId="77777777" w:rsidR="00F4284C" w:rsidRPr="00154588" w:rsidRDefault="00F4284C" w:rsidP="008C12B4">
            <w:pPr>
              <w:jc w:val="both"/>
              <w:rPr>
                <w:b/>
                <w:sz w:val="20"/>
                <w:szCs w:val="20"/>
              </w:rPr>
            </w:pPr>
          </w:p>
          <w:p w14:paraId="1FA984CC" w14:textId="4D25EB9F" w:rsidR="00F4284C" w:rsidRPr="00154588" w:rsidRDefault="00F4284C" w:rsidP="008C12B4">
            <w:pPr>
              <w:jc w:val="both"/>
              <w:rPr>
                <w:bCs/>
                <w:sz w:val="20"/>
                <w:szCs w:val="20"/>
              </w:rPr>
            </w:pPr>
            <w:r w:rsidRPr="00154588">
              <w:rPr>
                <w:b/>
                <w:sz w:val="20"/>
                <w:szCs w:val="20"/>
              </w:rPr>
              <w:lastRenderedPageBreak/>
              <w:t>Derogări pentru organismele centrale sau pentru instituțiile de credit sau instituțiile financiare afiliate în mod permanent unui organism central</w:t>
            </w:r>
          </w:p>
        </w:tc>
        <w:tc>
          <w:tcPr>
            <w:tcW w:w="4819" w:type="dxa"/>
          </w:tcPr>
          <w:p w14:paraId="684C3722" w14:textId="77777777" w:rsidR="00F4284C" w:rsidRPr="00154588" w:rsidRDefault="00F4284C" w:rsidP="008C12B4">
            <w:pPr>
              <w:jc w:val="both"/>
              <w:rPr>
                <w:bCs/>
                <w:sz w:val="20"/>
                <w:szCs w:val="20"/>
              </w:rPr>
            </w:pPr>
          </w:p>
        </w:tc>
        <w:tc>
          <w:tcPr>
            <w:tcW w:w="2552" w:type="dxa"/>
          </w:tcPr>
          <w:p w14:paraId="4C675D6E" w14:textId="77777777" w:rsidR="00F4284C" w:rsidRPr="00154588" w:rsidRDefault="00F4284C" w:rsidP="008C12B4">
            <w:pPr>
              <w:jc w:val="both"/>
              <w:rPr>
                <w:bCs/>
                <w:sz w:val="20"/>
                <w:szCs w:val="20"/>
              </w:rPr>
            </w:pPr>
          </w:p>
        </w:tc>
        <w:tc>
          <w:tcPr>
            <w:tcW w:w="3118" w:type="dxa"/>
          </w:tcPr>
          <w:p w14:paraId="34781715" w14:textId="77777777" w:rsidR="00F4284C" w:rsidRPr="00154588" w:rsidRDefault="00F4284C" w:rsidP="008C12B4">
            <w:pPr>
              <w:jc w:val="both"/>
              <w:rPr>
                <w:bCs/>
                <w:sz w:val="20"/>
                <w:szCs w:val="20"/>
              </w:rPr>
            </w:pPr>
          </w:p>
        </w:tc>
      </w:tr>
      <w:tr w:rsidR="00F4284C" w:rsidRPr="00154588" w14:paraId="062677EE" w14:textId="77777777" w:rsidTr="00D15C1B">
        <w:trPr>
          <w:jc w:val="center"/>
        </w:trPr>
        <w:tc>
          <w:tcPr>
            <w:tcW w:w="4957" w:type="dxa"/>
            <w:gridSpan w:val="2"/>
          </w:tcPr>
          <w:p w14:paraId="7F05814A" w14:textId="5A04A500" w:rsidR="00F4284C" w:rsidRPr="00154588" w:rsidRDefault="00F4284C" w:rsidP="008C12B4">
            <w:pPr>
              <w:jc w:val="both"/>
              <w:rPr>
                <w:bCs/>
                <w:sz w:val="20"/>
                <w:szCs w:val="20"/>
              </w:rPr>
            </w:pPr>
            <w:r w:rsidRPr="00154588">
              <w:rPr>
                <w:bCs/>
                <w:sz w:val="20"/>
                <w:szCs w:val="20"/>
              </w:rPr>
              <w:t>Autoritatea de rezoluție poate acorda parțial sau total o derogare de la aplicarea articolului 45f în ceea ce privește un organism central sau o instituție de credit sau o instituție financiară care este afiliată în mod permanent unui organism central, în cazul în care sunt îndeplinite cumulativ următoarele condiții:</w:t>
            </w:r>
          </w:p>
          <w:p w14:paraId="113DFC41" w14:textId="77777777" w:rsidR="00F4284C" w:rsidRPr="00154588" w:rsidRDefault="00F4284C" w:rsidP="008C12B4">
            <w:pPr>
              <w:jc w:val="both"/>
              <w:rPr>
                <w:bCs/>
                <w:sz w:val="20"/>
                <w:szCs w:val="20"/>
              </w:rPr>
            </w:pPr>
          </w:p>
          <w:p w14:paraId="1B12863B" w14:textId="42CD0C14" w:rsidR="00F4284C" w:rsidRPr="00154588" w:rsidRDefault="00F4284C" w:rsidP="008C12B4">
            <w:pPr>
              <w:jc w:val="both"/>
              <w:rPr>
                <w:bCs/>
                <w:sz w:val="20"/>
                <w:szCs w:val="20"/>
              </w:rPr>
            </w:pPr>
            <w:r w:rsidRPr="00154588">
              <w:rPr>
                <w:bCs/>
                <w:sz w:val="20"/>
                <w:szCs w:val="20"/>
              </w:rPr>
              <w:t>(a) instituția de credit sau instituția financiară și organismul central fac obiectul supravegherii de către aceeași autoritate competentă, sunt stabilite în același stat membru și fac parte din același grup de rezoluție;</w:t>
            </w:r>
          </w:p>
          <w:p w14:paraId="30B45622" w14:textId="77777777" w:rsidR="00F4284C" w:rsidRPr="00154588" w:rsidRDefault="00F4284C" w:rsidP="008C12B4">
            <w:pPr>
              <w:jc w:val="both"/>
              <w:rPr>
                <w:bCs/>
                <w:sz w:val="20"/>
                <w:szCs w:val="20"/>
              </w:rPr>
            </w:pPr>
          </w:p>
          <w:p w14:paraId="2375922D" w14:textId="4F552286" w:rsidR="00F4284C" w:rsidRPr="00154588" w:rsidRDefault="00F4284C" w:rsidP="008C12B4">
            <w:pPr>
              <w:jc w:val="both"/>
              <w:rPr>
                <w:bCs/>
                <w:sz w:val="20"/>
                <w:szCs w:val="20"/>
              </w:rPr>
            </w:pPr>
            <w:r w:rsidRPr="00154588">
              <w:rPr>
                <w:bCs/>
                <w:sz w:val="20"/>
                <w:szCs w:val="20"/>
              </w:rPr>
              <w:t>(b) angajamentele organismului central și ale instituțiilor sale de credit sau instituțior sale financiareafiliate în mod permanent constituie angajamente solidare sau angajamentele instituțiilor sale de credit sau instituțiilor financiare afiliate în mod permanent sunt garantate în întregime de organismul central;</w:t>
            </w:r>
          </w:p>
          <w:p w14:paraId="70758F3A" w14:textId="77777777" w:rsidR="00F4284C" w:rsidRPr="00154588" w:rsidRDefault="00F4284C" w:rsidP="008C12B4">
            <w:pPr>
              <w:jc w:val="both"/>
              <w:rPr>
                <w:bCs/>
                <w:sz w:val="20"/>
                <w:szCs w:val="20"/>
              </w:rPr>
            </w:pPr>
          </w:p>
          <w:p w14:paraId="7127AE4C" w14:textId="101A3E8E" w:rsidR="00F4284C" w:rsidRPr="00154588" w:rsidRDefault="00F4284C" w:rsidP="008C12B4">
            <w:pPr>
              <w:jc w:val="both"/>
              <w:rPr>
                <w:bCs/>
                <w:sz w:val="20"/>
                <w:szCs w:val="20"/>
              </w:rPr>
            </w:pPr>
            <w:r w:rsidRPr="00154588">
              <w:rPr>
                <w:bCs/>
                <w:sz w:val="20"/>
                <w:szCs w:val="20"/>
              </w:rPr>
              <w:t>(c) cerința minimă de fonduri proprii și datorii eligibile și solvabilitatea și lichiditatea organismului central și ale tuturor instituțiilor de credit sau instituțiilor financiare afiliate în mod permanent sunt supravegheate în ansamblul lor, pe baza situațiilor financiare consolidate ale respectivelor instituții;</w:t>
            </w:r>
          </w:p>
          <w:p w14:paraId="42667988" w14:textId="77777777" w:rsidR="00F4284C" w:rsidRPr="00154588" w:rsidRDefault="00F4284C" w:rsidP="008C12B4">
            <w:pPr>
              <w:jc w:val="both"/>
              <w:rPr>
                <w:bCs/>
                <w:sz w:val="20"/>
                <w:szCs w:val="20"/>
              </w:rPr>
            </w:pPr>
          </w:p>
          <w:p w14:paraId="403A8C51" w14:textId="1202CF0F" w:rsidR="00F4284C" w:rsidRPr="00154588" w:rsidRDefault="00F4284C" w:rsidP="008C12B4">
            <w:pPr>
              <w:jc w:val="both"/>
              <w:rPr>
                <w:bCs/>
                <w:sz w:val="20"/>
                <w:szCs w:val="20"/>
              </w:rPr>
            </w:pPr>
            <w:r w:rsidRPr="00154588">
              <w:rPr>
                <w:bCs/>
                <w:sz w:val="20"/>
                <w:szCs w:val="20"/>
              </w:rPr>
              <w:t>(d) în cazul unei derogări pentru o instituție de credit sau o instituție financiară care este afiliată în mod permanent unui organism central, conducerea organismului central este abilitată să emită instrucțiuni către conducerea instituțiilor afiliate în mod permanent;</w:t>
            </w:r>
          </w:p>
          <w:p w14:paraId="2125CF3A" w14:textId="77777777" w:rsidR="00F4284C" w:rsidRPr="00154588" w:rsidRDefault="00F4284C" w:rsidP="008C12B4">
            <w:pPr>
              <w:jc w:val="both"/>
              <w:rPr>
                <w:bCs/>
                <w:sz w:val="20"/>
                <w:szCs w:val="20"/>
              </w:rPr>
            </w:pPr>
          </w:p>
          <w:p w14:paraId="02D3E9EB" w14:textId="0248DDC8" w:rsidR="00F4284C" w:rsidRPr="00154588" w:rsidRDefault="00F4284C" w:rsidP="008C12B4">
            <w:pPr>
              <w:jc w:val="both"/>
              <w:rPr>
                <w:bCs/>
                <w:sz w:val="20"/>
                <w:szCs w:val="20"/>
              </w:rPr>
            </w:pPr>
            <w:r w:rsidRPr="00154588">
              <w:rPr>
                <w:bCs/>
                <w:sz w:val="20"/>
                <w:szCs w:val="20"/>
              </w:rPr>
              <w:t>(e) grupul relevant de rezoluție respectă cerința menționată la articolul 45e alineatul (3); și</w:t>
            </w:r>
          </w:p>
          <w:p w14:paraId="16C19EC3" w14:textId="77777777" w:rsidR="00F4284C" w:rsidRPr="00154588" w:rsidRDefault="00F4284C" w:rsidP="008C12B4">
            <w:pPr>
              <w:jc w:val="both"/>
              <w:rPr>
                <w:bCs/>
                <w:sz w:val="20"/>
                <w:szCs w:val="20"/>
              </w:rPr>
            </w:pPr>
          </w:p>
          <w:p w14:paraId="0C530E23" w14:textId="4BA7AAD7" w:rsidR="00F4284C" w:rsidRPr="00154588" w:rsidRDefault="00F4284C" w:rsidP="008C12B4">
            <w:pPr>
              <w:jc w:val="both"/>
              <w:rPr>
                <w:bCs/>
                <w:sz w:val="20"/>
                <w:szCs w:val="20"/>
              </w:rPr>
            </w:pPr>
            <w:r w:rsidRPr="00154588">
              <w:rPr>
                <w:bCs/>
                <w:sz w:val="20"/>
                <w:szCs w:val="20"/>
              </w:rPr>
              <w:t xml:space="preserve">(f) nu există niciun obstacol major actual sau preconizat, de natură practică sau juridică, în calea transferului prompt de fonduri proprii sau a rambursării rapide a datoriilor între organismul central și instituțiile </w:t>
            </w:r>
            <w:r w:rsidRPr="00154588">
              <w:rPr>
                <w:bCs/>
                <w:sz w:val="20"/>
                <w:szCs w:val="20"/>
              </w:rPr>
              <w:lastRenderedPageBreak/>
              <w:t>de credit sau instituțiile financiare afiliate în mod permanent, în caz de rezoluție.</w:t>
            </w:r>
          </w:p>
        </w:tc>
        <w:tc>
          <w:tcPr>
            <w:tcW w:w="4819" w:type="dxa"/>
          </w:tcPr>
          <w:p w14:paraId="4FD8F0E6" w14:textId="6F6F25C3" w:rsidR="00F4284C" w:rsidRPr="00154588" w:rsidRDefault="00F4284C" w:rsidP="008C12B4">
            <w:pPr>
              <w:jc w:val="both"/>
              <w:rPr>
                <w:bCs/>
                <w:sz w:val="20"/>
                <w:szCs w:val="20"/>
              </w:rPr>
            </w:pPr>
            <w:r w:rsidRPr="00154588">
              <w:rPr>
                <w:b/>
                <w:bCs/>
                <w:sz w:val="20"/>
                <w:szCs w:val="20"/>
              </w:rPr>
              <w:lastRenderedPageBreak/>
              <w:t>Articolul 167</w:t>
            </w:r>
            <w:r w:rsidRPr="00154588">
              <w:rPr>
                <w:b/>
                <w:bCs/>
                <w:sz w:val="20"/>
                <w:szCs w:val="20"/>
                <w:vertAlign w:val="superscript"/>
              </w:rPr>
              <w:t>20</w:t>
            </w:r>
            <w:r w:rsidRPr="00154588">
              <w:rPr>
                <w:b/>
                <w:bCs/>
                <w:sz w:val="20"/>
                <w:szCs w:val="20"/>
              </w:rPr>
              <w:t>.</w:t>
            </w:r>
            <w:r w:rsidRPr="00154588">
              <w:rPr>
                <w:bCs/>
                <w:sz w:val="20"/>
                <w:szCs w:val="20"/>
              </w:rPr>
              <w:t xml:space="preserve"> – (1) Banca Naţională a Moldovei, în calitate de autoritate de rezoluţie poate acorda parțial sau total o derogare de la aplicarea art.167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Pr="00154588">
              <w:rPr>
                <w:bCs/>
                <w:sz w:val="20"/>
                <w:szCs w:val="20"/>
              </w:rPr>
              <w:t xml:space="preserve"> în ceea ce privește un organism central sau o instituție de credit sau instituție financiară care este afiliată în mod permanent unui organism central, în cazul în care sunt îndeplinite cumulativ următoarele condiții:</w:t>
            </w:r>
          </w:p>
          <w:p w14:paraId="509E898F" w14:textId="7A51E33A" w:rsidR="00F4284C" w:rsidRPr="00154588" w:rsidRDefault="00F4284C" w:rsidP="008C12B4">
            <w:pPr>
              <w:jc w:val="both"/>
              <w:rPr>
                <w:bCs/>
                <w:sz w:val="20"/>
                <w:szCs w:val="20"/>
              </w:rPr>
            </w:pPr>
            <w:r w:rsidRPr="00154588">
              <w:rPr>
                <w:bCs/>
                <w:sz w:val="20"/>
                <w:szCs w:val="20"/>
              </w:rPr>
              <w:t>a) instituția de credit sau institu</w:t>
            </w:r>
            <w:r w:rsidRPr="00154588">
              <w:rPr>
                <w:bCs/>
                <w:sz w:val="20"/>
                <w:szCs w:val="20"/>
                <w:lang w:val="ro-MD"/>
              </w:rPr>
              <w:t xml:space="preserve">ția financiară </w:t>
            </w:r>
            <w:r w:rsidRPr="00154588">
              <w:rPr>
                <w:bCs/>
                <w:sz w:val="20"/>
                <w:szCs w:val="20"/>
              </w:rPr>
              <w:t>și organismul central fac obiectul supravegherii de către aceeași autoritate competentă, sunt stabilite în același stat membru al Uniunii Europene și fac parte din același grup de rezoluție;</w:t>
            </w:r>
          </w:p>
          <w:p w14:paraId="6D102344" w14:textId="4F91255B" w:rsidR="00F4284C" w:rsidRPr="00154588" w:rsidRDefault="00F4284C" w:rsidP="008C12B4">
            <w:pPr>
              <w:jc w:val="both"/>
              <w:rPr>
                <w:bCs/>
                <w:sz w:val="20"/>
                <w:szCs w:val="20"/>
              </w:rPr>
            </w:pPr>
            <w:r w:rsidRPr="00154588">
              <w:rPr>
                <w:bCs/>
                <w:sz w:val="20"/>
                <w:szCs w:val="20"/>
              </w:rPr>
              <w:t>b) angajamentele organismului central și ale instituțiilor sale de credit sau instituțiilor sale financiare afiliate în mod permanent constituie angajamente solidare sau angajamentele instituțiilor sale de credit</w:t>
            </w:r>
            <w:r w:rsidRPr="00154588">
              <w:rPr>
                <w:sz w:val="20"/>
                <w:szCs w:val="20"/>
              </w:rPr>
              <w:t xml:space="preserve"> </w:t>
            </w:r>
            <w:r w:rsidRPr="00154588">
              <w:rPr>
                <w:bCs/>
                <w:sz w:val="20"/>
                <w:szCs w:val="20"/>
              </w:rPr>
              <w:t>sau instituțiilor financiare afiliate în mod permanent sunt garantate în întregime de organismul central;</w:t>
            </w:r>
          </w:p>
          <w:p w14:paraId="1D53DE40" w14:textId="77777777" w:rsidR="00F4284C" w:rsidRPr="00154588" w:rsidRDefault="00F4284C" w:rsidP="008C12B4">
            <w:pPr>
              <w:jc w:val="both"/>
              <w:rPr>
                <w:bCs/>
                <w:sz w:val="20"/>
                <w:szCs w:val="20"/>
              </w:rPr>
            </w:pPr>
          </w:p>
          <w:p w14:paraId="1F25CC42" w14:textId="32872234" w:rsidR="00F4284C" w:rsidRPr="00154588" w:rsidRDefault="00F4284C" w:rsidP="008C12B4">
            <w:pPr>
              <w:jc w:val="both"/>
              <w:rPr>
                <w:bCs/>
                <w:sz w:val="20"/>
                <w:szCs w:val="20"/>
              </w:rPr>
            </w:pPr>
            <w:r w:rsidRPr="00154588">
              <w:rPr>
                <w:bCs/>
                <w:sz w:val="20"/>
                <w:szCs w:val="20"/>
              </w:rPr>
              <w:t>c) cerința minimă de fonduri proprii și datorii eligibile și solvabilitatea și lichiditatea organismului central și ale tuturor instituțiilor de credit sau instituțiilor financiare afiliate în mod permanent sunt supravegheate în ansamblul lor, pe baza situațiilor financiare consolidate ale respectivelor instituții;</w:t>
            </w:r>
          </w:p>
          <w:p w14:paraId="7950A0BD" w14:textId="77777777" w:rsidR="00F4284C" w:rsidRPr="00154588" w:rsidRDefault="00F4284C" w:rsidP="008C12B4">
            <w:pPr>
              <w:jc w:val="both"/>
              <w:rPr>
                <w:bCs/>
                <w:sz w:val="20"/>
                <w:szCs w:val="20"/>
              </w:rPr>
            </w:pPr>
          </w:p>
          <w:p w14:paraId="0819D0D4" w14:textId="6D4F2DE2" w:rsidR="00F4284C" w:rsidRPr="00154588" w:rsidRDefault="00F4284C" w:rsidP="008C12B4">
            <w:pPr>
              <w:jc w:val="both"/>
              <w:rPr>
                <w:bCs/>
                <w:sz w:val="20"/>
                <w:szCs w:val="20"/>
              </w:rPr>
            </w:pPr>
            <w:r w:rsidRPr="00154588">
              <w:rPr>
                <w:bCs/>
                <w:sz w:val="20"/>
                <w:szCs w:val="20"/>
              </w:rPr>
              <w:t>d) în cazul unei derogări pentru o instituție de credit</w:t>
            </w:r>
            <w:r w:rsidRPr="00154588">
              <w:rPr>
                <w:sz w:val="20"/>
                <w:szCs w:val="20"/>
              </w:rPr>
              <w:t xml:space="preserve"> </w:t>
            </w:r>
            <w:r w:rsidRPr="00154588">
              <w:rPr>
                <w:bCs/>
                <w:sz w:val="20"/>
                <w:szCs w:val="20"/>
              </w:rPr>
              <w:t>sau o instituția financiară care este afiliată în mod permanent unui organism central, conducerea organismului central este abilitată să emită instrucțiuni către conducerea instituțiilor afiliate în mod permanent;</w:t>
            </w:r>
          </w:p>
          <w:p w14:paraId="616D081D" w14:textId="50A7186F" w:rsidR="00F4284C" w:rsidRPr="00154588" w:rsidRDefault="00F4284C" w:rsidP="008C12B4">
            <w:pPr>
              <w:jc w:val="both"/>
              <w:rPr>
                <w:bCs/>
                <w:sz w:val="20"/>
                <w:szCs w:val="20"/>
              </w:rPr>
            </w:pPr>
            <w:r w:rsidRPr="00154588">
              <w:rPr>
                <w:bCs/>
                <w:sz w:val="20"/>
                <w:szCs w:val="20"/>
              </w:rPr>
              <w:t>e) grupul relevant de rezoluție respectă cerința menționată la art.167</w:t>
            </w:r>
            <w:r w:rsidRPr="00154588">
              <w:rPr>
                <w:bCs/>
                <w:sz w:val="20"/>
                <w:szCs w:val="20"/>
                <w:vertAlign w:val="superscript"/>
              </w:rPr>
              <w:t xml:space="preserve">14 </w:t>
            </w:r>
            <w:r w:rsidRPr="00154588">
              <w:rPr>
                <w:bCs/>
                <w:sz w:val="20"/>
                <w:szCs w:val="20"/>
              </w:rPr>
              <w:t>alin.(3); și</w:t>
            </w:r>
          </w:p>
          <w:p w14:paraId="2EDD3C18" w14:textId="6B54D55C" w:rsidR="00F4284C" w:rsidRPr="00154588" w:rsidRDefault="00F4284C" w:rsidP="008C12B4">
            <w:pPr>
              <w:jc w:val="both"/>
              <w:rPr>
                <w:bCs/>
                <w:sz w:val="20"/>
                <w:szCs w:val="20"/>
              </w:rPr>
            </w:pPr>
            <w:r w:rsidRPr="00154588">
              <w:rPr>
                <w:bCs/>
                <w:sz w:val="20"/>
                <w:szCs w:val="20"/>
              </w:rPr>
              <w:t>f) nu există niciun obstacol major actual sau preconizat, de natură practică sau juridică, în calea transferului prompt de fonduri proprii sau a rambursării rapide a datoriilor între organismul central și instituțiile de credit sau instituțiile financiare afiliate în mod permanent, în caz de rezoluție.</w:t>
            </w:r>
          </w:p>
          <w:p w14:paraId="0A1F9C57" w14:textId="77777777" w:rsidR="00F4284C" w:rsidRPr="00154588" w:rsidRDefault="00F4284C" w:rsidP="008C12B4">
            <w:pPr>
              <w:jc w:val="both"/>
              <w:rPr>
                <w:bCs/>
                <w:sz w:val="20"/>
                <w:szCs w:val="20"/>
              </w:rPr>
            </w:pPr>
          </w:p>
        </w:tc>
        <w:tc>
          <w:tcPr>
            <w:tcW w:w="2552" w:type="dxa"/>
          </w:tcPr>
          <w:p w14:paraId="72865B86" w14:textId="7E34F845"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27720AB5" w14:textId="77777777" w:rsidR="00F4284C" w:rsidRPr="00154588" w:rsidRDefault="00F4284C" w:rsidP="008C12B4">
            <w:pPr>
              <w:jc w:val="both"/>
              <w:rPr>
                <w:bCs/>
                <w:sz w:val="20"/>
                <w:szCs w:val="20"/>
              </w:rPr>
            </w:pPr>
          </w:p>
        </w:tc>
      </w:tr>
      <w:tr w:rsidR="00F4284C" w:rsidRPr="00154588" w14:paraId="75ABC7A2" w14:textId="77777777" w:rsidTr="00D15C1B">
        <w:trPr>
          <w:jc w:val="center"/>
        </w:trPr>
        <w:tc>
          <w:tcPr>
            <w:tcW w:w="4957" w:type="dxa"/>
            <w:gridSpan w:val="2"/>
          </w:tcPr>
          <w:p w14:paraId="790B91C5" w14:textId="77777777" w:rsidR="00F4284C" w:rsidRPr="00154588" w:rsidRDefault="00F4284C" w:rsidP="008C12B4">
            <w:pPr>
              <w:rPr>
                <w:b/>
                <w:sz w:val="20"/>
                <w:szCs w:val="20"/>
              </w:rPr>
            </w:pPr>
            <w:r w:rsidRPr="00154588">
              <w:rPr>
                <w:b/>
                <w:sz w:val="20"/>
                <w:szCs w:val="20"/>
              </w:rPr>
              <w:t>Articolul 45h</w:t>
            </w:r>
          </w:p>
          <w:p w14:paraId="4BE41F96" w14:textId="77777777" w:rsidR="00F4284C" w:rsidRPr="00154588" w:rsidRDefault="00F4284C" w:rsidP="008C12B4">
            <w:pPr>
              <w:rPr>
                <w:b/>
                <w:sz w:val="20"/>
                <w:szCs w:val="20"/>
              </w:rPr>
            </w:pPr>
          </w:p>
          <w:p w14:paraId="1AD641CD" w14:textId="77777777" w:rsidR="00F4284C" w:rsidRPr="00154588" w:rsidRDefault="00F4284C" w:rsidP="008C12B4">
            <w:pPr>
              <w:rPr>
                <w:b/>
                <w:sz w:val="20"/>
                <w:szCs w:val="20"/>
              </w:rPr>
            </w:pPr>
          </w:p>
          <w:p w14:paraId="75C32359" w14:textId="099CA26D" w:rsidR="00F4284C" w:rsidRPr="00154588" w:rsidRDefault="00F4284C" w:rsidP="008C12B4">
            <w:pPr>
              <w:rPr>
                <w:bCs/>
                <w:sz w:val="20"/>
                <w:szCs w:val="20"/>
              </w:rPr>
            </w:pPr>
            <w:r w:rsidRPr="00154588">
              <w:rPr>
                <w:b/>
                <w:sz w:val="20"/>
                <w:szCs w:val="20"/>
              </w:rPr>
              <w:t>Procedura de stabilire a cerinței minime de fonduri proprii și datorii eligibile</w:t>
            </w:r>
          </w:p>
        </w:tc>
        <w:tc>
          <w:tcPr>
            <w:tcW w:w="4819" w:type="dxa"/>
          </w:tcPr>
          <w:p w14:paraId="7D033ADD" w14:textId="77777777" w:rsidR="00F4284C" w:rsidRPr="00154588" w:rsidRDefault="00F4284C" w:rsidP="008C12B4">
            <w:pPr>
              <w:jc w:val="both"/>
              <w:rPr>
                <w:bCs/>
                <w:sz w:val="20"/>
                <w:szCs w:val="20"/>
              </w:rPr>
            </w:pPr>
          </w:p>
        </w:tc>
        <w:tc>
          <w:tcPr>
            <w:tcW w:w="2552" w:type="dxa"/>
          </w:tcPr>
          <w:p w14:paraId="20E0320E" w14:textId="77777777" w:rsidR="00F4284C" w:rsidRPr="00154588" w:rsidRDefault="00F4284C" w:rsidP="008C12B4">
            <w:pPr>
              <w:jc w:val="both"/>
              <w:rPr>
                <w:bCs/>
                <w:sz w:val="20"/>
                <w:szCs w:val="20"/>
              </w:rPr>
            </w:pPr>
          </w:p>
        </w:tc>
        <w:tc>
          <w:tcPr>
            <w:tcW w:w="3118" w:type="dxa"/>
          </w:tcPr>
          <w:p w14:paraId="53ED0F70" w14:textId="77777777" w:rsidR="00F4284C" w:rsidRPr="00154588" w:rsidRDefault="00F4284C" w:rsidP="008C12B4">
            <w:pPr>
              <w:jc w:val="both"/>
              <w:rPr>
                <w:bCs/>
                <w:sz w:val="20"/>
                <w:szCs w:val="20"/>
              </w:rPr>
            </w:pPr>
          </w:p>
        </w:tc>
      </w:tr>
      <w:tr w:rsidR="00F4284C" w:rsidRPr="00154588" w14:paraId="708FEA5B" w14:textId="77777777" w:rsidTr="00D15C1B">
        <w:trPr>
          <w:jc w:val="center"/>
        </w:trPr>
        <w:tc>
          <w:tcPr>
            <w:tcW w:w="4957" w:type="dxa"/>
            <w:gridSpan w:val="2"/>
          </w:tcPr>
          <w:p w14:paraId="24190EA6" w14:textId="77777777" w:rsidR="00F4284C" w:rsidRPr="00154588" w:rsidRDefault="00F4284C" w:rsidP="008C12B4">
            <w:pPr>
              <w:jc w:val="both"/>
              <w:rPr>
                <w:bCs/>
                <w:sz w:val="20"/>
                <w:szCs w:val="20"/>
              </w:rPr>
            </w:pPr>
            <w:r w:rsidRPr="00154588">
              <w:rPr>
                <w:bCs/>
                <w:sz w:val="20"/>
                <w:szCs w:val="20"/>
              </w:rPr>
              <w:t>(1)   Autoritatea de rezoluție a entității de rezoluție, autoritatea de rezoluție a grupului, în cazul în care este diferită de cea dintâi, și autoritățile de rezoluție responsabile pentru filialele unui grup de rezoluție care face obiectul cerinței menționate la articolul 45f la nivel individual fac tot posibilul pentru a ajunge la o decizie comună cu privire la:</w:t>
            </w:r>
          </w:p>
          <w:p w14:paraId="1A2416D0" w14:textId="77777777" w:rsidR="00F4284C" w:rsidRPr="00154588" w:rsidRDefault="00F4284C" w:rsidP="008C12B4">
            <w:pPr>
              <w:jc w:val="both"/>
              <w:rPr>
                <w:bCs/>
                <w:sz w:val="20"/>
                <w:szCs w:val="20"/>
              </w:rPr>
            </w:pPr>
          </w:p>
          <w:p w14:paraId="60AC770A" w14:textId="77777777" w:rsidR="00F4284C" w:rsidRPr="00154588" w:rsidRDefault="00F4284C" w:rsidP="008C12B4">
            <w:pPr>
              <w:jc w:val="both"/>
              <w:rPr>
                <w:bCs/>
                <w:sz w:val="20"/>
                <w:szCs w:val="20"/>
              </w:rPr>
            </w:pPr>
          </w:p>
          <w:p w14:paraId="1905A722" w14:textId="77777777" w:rsidR="00F4284C" w:rsidRPr="00154588" w:rsidRDefault="00F4284C" w:rsidP="008C12B4">
            <w:pPr>
              <w:jc w:val="both"/>
              <w:rPr>
                <w:bCs/>
                <w:sz w:val="20"/>
                <w:szCs w:val="20"/>
              </w:rPr>
            </w:pPr>
          </w:p>
          <w:p w14:paraId="57E10A15" w14:textId="55B4F4E7" w:rsidR="00F4284C" w:rsidRPr="00154588" w:rsidRDefault="00F4284C" w:rsidP="008C12B4">
            <w:pPr>
              <w:jc w:val="both"/>
              <w:rPr>
                <w:bCs/>
                <w:sz w:val="20"/>
                <w:szCs w:val="20"/>
              </w:rPr>
            </w:pPr>
            <w:r w:rsidRPr="00154588">
              <w:rPr>
                <w:bCs/>
                <w:sz w:val="20"/>
                <w:szCs w:val="20"/>
              </w:rPr>
              <w:t>(a) cuantumul cerinței aplicate la nivelul consolidat al grupului de rezoluție pentru fiecare entitate de rezoluție; și</w:t>
            </w:r>
          </w:p>
          <w:p w14:paraId="6F4CA390" w14:textId="77777777" w:rsidR="00F4284C" w:rsidRPr="00154588" w:rsidRDefault="00F4284C" w:rsidP="008C12B4">
            <w:pPr>
              <w:jc w:val="both"/>
              <w:rPr>
                <w:bCs/>
                <w:sz w:val="20"/>
                <w:szCs w:val="20"/>
              </w:rPr>
            </w:pPr>
          </w:p>
          <w:p w14:paraId="6EEB46F0" w14:textId="77777777" w:rsidR="00F4284C" w:rsidRPr="00154588" w:rsidRDefault="00F4284C" w:rsidP="008C12B4">
            <w:pPr>
              <w:jc w:val="both"/>
              <w:rPr>
                <w:bCs/>
                <w:sz w:val="20"/>
                <w:szCs w:val="20"/>
              </w:rPr>
            </w:pPr>
          </w:p>
          <w:p w14:paraId="2C70812F" w14:textId="4D49CD6A" w:rsidR="00F4284C" w:rsidRPr="00154588" w:rsidRDefault="00F4284C" w:rsidP="008C12B4">
            <w:pPr>
              <w:jc w:val="both"/>
              <w:rPr>
                <w:bCs/>
                <w:sz w:val="20"/>
                <w:szCs w:val="20"/>
              </w:rPr>
            </w:pPr>
            <w:r w:rsidRPr="00154588">
              <w:rPr>
                <w:bCs/>
                <w:sz w:val="20"/>
                <w:szCs w:val="20"/>
              </w:rPr>
              <w:t>(b) cuantumul cerinței aplicate la nivel individual fiecărei entități a unui grup de rezoluție care nu este o entitate de rezoluție.</w:t>
            </w:r>
          </w:p>
          <w:p w14:paraId="7318A85C" w14:textId="77777777" w:rsidR="00F4284C" w:rsidRPr="00154588" w:rsidRDefault="00F4284C" w:rsidP="008C12B4">
            <w:pPr>
              <w:jc w:val="both"/>
              <w:rPr>
                <w:bCs/>
                <w:sz w:val="20"/>
                <w:szCs w:val="20"/>
              </w:rPr>
            </w:pPr>
          </w:p>
          <w:p w14:paraId="4111E071" w14:textId="77777777" w:rsidR="00F4284C" w:rsidRPr="00154588" w:rsidRDefault="00F4284C" w:rsidP="008C12B4">
            <w:pPr>
              <w:jc w:val="both"/>
              <w:rPr>
                <w:bCs/>
                <w:sz w:val="20"/>
                <w:szCs w:val="20"/>
              </w:rPr>
            </w:pPr>
          </w:p>
          <w:p w14:paraId="13FFCBC8" w14:textId="77777777" w:rsidR="00F4284C" w:rsidRPr="00154588" w:rsidRDefault="00F4284C" w:rsidP="008C12B4">
            <w:pPr>
              <w:jc w:val="both"/>
              <w:rPr>
                <w:bCs/>
                <w:sz w:val="20"/>
                <w:szCs w:val="20"/>
              </w:rPr>
            </w:pPr>
            <w:r w:rsidRPr="00154588">
              <w:rPr>
                <w:bCs/>
                <w:sz w:val="20"/>
                <w:szCs w:val="20"/>
              </w:rPr>
              <w:t>Decizia comună asigură respectarea articolelor 45e și 45f și este motivată temeinic și se transmite:</w:t>
            </w:r>
          </w:p>
          <w:p w14:paraId="573982F5" w14:textId="77777777" w:rsidR="00F4284C" w:rsidRPr="00154588" w:rsidRDefault="00F4284C" w:rsidP="008C12B4">
            <w:pPr>
              <w:jc w:val="both"/>
              <w:rPr>
                <w:bCs/>
                <w:sz w:val="20"/>
                <w:szCs w:val="20"/>
              </w:rPr>
            </w:pPr>
          </w:p>
          <w:p w14:paraId="49D74DCD" w14:textId="7F4320AF" w:rsidR="00F4284C" w:rsidRPr="00154588" w:rsidRDefault="00F4284C" w:rsidP="008C12B4">
            <w:pPr>
              <w:jc w:val="both"/>
              <w:rPr>
                <w:bCs/>
                <w:sz w:val="20"/>
                <w:szCs w:val="20"/>
              </w:rPr>
            </w:pPr>
            <w:r w:rsidRPr="00154588">
              <w:rPr>
                <w:bCs/>
                <w:sz w:val="20"/>
                <w:szCs w:val="20"/>
              </w:rPr>
              <w:t>(a) entității de rezoluție de către autoritatea sa de rezoluție;</w:t>
            </w:r>
          </w:p>
          <w:p w14:paraId="63D083BE" w14:textId="77777777" w:rsidR="00F4284C" w:rsidRPr="00154588" w:rsidRDefault="00F4284C" w:rsidP="008C12B4">
            <w:pPr>
              <w:jc w:val="both"/>
              <w:rPr>
                <w:bCs/>
                <w:sz w:val="20"/>
                <w:szCs w:val="20"/>
              </w:rPr>
            </w:pPr>
          </w:p>
          <w:p w14:paraId="2A5437BB" w14:textId="31A76E67" w:rsidR="00F4284C" w:rsidRPr="00154588" w:rsidRDefault="00F4284C" w:rsidP="008C12B4">
            <w:pPr>
              <w:jc w:val="both"/>
              <w:rPr>
                <w:bCs/>
                <w:sz w:val="20"/>
                <w:szCs w:val="20"/>
              </w:rPr>
            </w:pPr>
            <w:r w:rsidRPr="00154588">
              <w:rPr>
                <w:bCs/>
                <w:sz w:val="20"/>
                <w:szCs w:val="20"/>
              </w:rPr>
              <w:t>(b) entităților unui grup de rezoluție care nu sunt entități de rezoluție de către autoritățile de rezoluție ale entităților respective;</w:t>
            </w:r>
          </w:p>
          <w:p w14:paraId="7BEACFAE" w14:textId="77777777" w:rsidR="00F4284C" w:rsidRPr="00154588" w:rsidRDefault="00F4284C" w:rsidP="008C12B4">
            <w:pPr>
              <w:jc w:val="both"/>
              <w:rPr>
                <w:bCs/>
                <w:sz w:val="20"/>
                <w:szCs w:val="20"/>
              </w:rPr>
            </w:pPr>
          </w:p>
          <w:p w14:paraId="6DC79346" w14:textId="7E7034D3" w:rsidR="00F4284C" w:rsidRPr="00154588" w:rsidRDefault="00F4284C" w:rsidP="008C12B4">
            <w:pPr>
              <w:jc w:val="both"/>
              <w:rPr>
                <w:bCs/>
                <w:sz w:val="20"/>
                <w:szCs w:val="20"/>
              </w:rPr>
            </w:pPr>
            <w:r w:rsidRPr="00154588">
              <w:rPr>
                <w:bCs/>
                <w:sz w:val="20"/>
                <w:szCs w:val="20"/>
              </w:rPr>
              <w:t>(c) întreprinderii-mamă din Uniune aparținând grupului de către autoritatea de rezoluție a entității de rezoluție, în cazul în care întreprinderea-mamă din Uniune nu este ea însăși o entitate de rezoluție din același grup de rezoluție.</w:t>
            </w:r>
          </w:p>
          <w:p w14:paraId="5C212408" w14:textId="77777777" w:rsidR="00F4284C" w:rsidRPr="00154588" w:rsidRDefault="00F4284C" w:rsidP="008C12B4">
            <w:pPr>
              <w:jc w:val="both"/>
              <w:rPr>
                <w:bCs/>
                <w:sz w:val="20"/>
                <w:szCs w:val="20"/>
              </w:rPr>
            </w:pPr>
          </w:p>
          <w:p w14:paraId="22995433" w14:textId="77777777" w:rsidR="00F4284C" w:rsidRPr="00154588" w:rsidRDefault="00F4284C" w:rsidP="008C12B4">
            <w:pPr>
              <w:jc w:val="both"/>
              <w:rPr>
                <w:bCs/>
                <w:sz w:val="20"/>
                <w:szCs w:val="20"/>
              </w:rPr>
            </w:pPr>
          </w:p>
          <w:p w14:paraId="62F689F0" w14:textId="39523A74" w:rsidR="00F4284C" w:rsidRPr="00154588" w:rsidRDefault="00F4284C" w:rsidP="008C12B4">
            <w:pPr>
              <w:jc w:val="both"/>
              <w:rPr>
                <w:bCs/>
                <w:sz w:val="20"/>
                <w:szCs w:val="20"/>
              </w:rPr>
            </w:pPr>
            <w:r w:rsidRPr="00154588">
              <w:rPr>
                <w:bCs/>
                <w:sz w:val="20"/>
                <w:szCs w:val="20"/>
              </w:rPr>
              <w:lastRenderedPageBreak/>
              <w:t>Decizia comună luată în conformitate cu prezentul articol poate prevedea ca, în cazul în care sunt în concordanță cu strategia de rezoluție, iar entitatea de rezoluție nu a achiziționat direct sau indirect suficiente instrumente care respectă articolul 45f alineatul (2), cerințele menționate la articolul 45c alineatul (7) să fie îndeplinite parțial de către filială în conformitate cu articolul 45f alineatul (2), cu instrumente emise pentru și achiziționate de către entități care nu aparțin grupului de rezoluție.</w:t>
            </w:r>
          </w:p>
        </w:tc>
        <w:tc>
          <w:tcPr>
            <w:tcW w:w="4819" w:type="dxa"/>
          </w:tcPr>
          <w:p w14:paraId="20A655AC" w14:textId="77777777" w:rsidR="00F4284C" w:rsidRPr="00154588" w:rsidRDefault="00F4284C" w:rsidP="008C12B4">
            <w:pPr>
              <w:jc w:val="both"/>
              <w:rPr>
                <w:bCs/>
                <w:sz w:val="20"/>
                <w:szCs w:val="20"/>
              </w:rPr>
            </w:pPr>
            <w:r w:rsidRPr="00154588">
              <w:rPr>
                <w:b/>
                <w:bCs/>
                <w:sz w:val="20"/>
                <w:szCs w:val="20"/>
              </w:rPr>
              <w:lastRenderedPageBreak/>
              <w:t>Articolul 167</w:t>
            </w:r>
            <w:r w:rsidRPr="00154588">
              <w:rPr>
                <w:b/>
                <w:bCs/>
                <w:sz w:val="20"/>
                <w:szCs w:val="20"/>
                <w:vertAlign w:val="superscript"/>
              </w:rPr>
              <w:t>21</w:t>
            </w:r>
            <w:r w:rsidRPr="00154588">
              <w:rPr>
                <w:b/>
                <w:bCs/>
                <w:sz w:val="20"/>
                <w:szCs w:val="20"/>
              </w:rPr>
              <w:t>.</w:t>
            </w:r>
            <w:r w:rsidRPr="00154588">
              <w:rPr>
                <w:bCs/>
                <w:sz w:val="20"/>
                <w:szCs w:val="20"/>
              </w:rPr>
              <w:t xml:space="preserve"> – (1) Autoritatea de rezoluție a entității de rezoluție, autoritatea de rezoluție a grupului, în cazul în care este diferită de cea dintâi, și autoritățile de rezoluție responsabile pentru filialele unui grup de rezoluție care face obiectul cerinței menționate la art.167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Pr="00154588">
              <w:rPr>
                <w:bCs/>
                <w:sz w:val="20"/>
                <w:szCs w:val="20"/>
              </w:rPr>
              <w:t xml:space="preserve"> la nivel individual fac tot posibilul pentru a ajunge la o decizie comună cu privire la:</w:t>
            </w:r>
          </w:p>
          <w:p w14:paraId="28317928" w14:textId="77777777" w:rsidR="00F4284C" w:rsidRPr="00154588" w:rsidRDefault="00F4284C" w:rsidP="008C12B4">
            <w:pPr>
              <w:jc w:val="both"/>
              <w:rPr>
                <w:bCs/>
                <w:sz w:val="20"/>
                <w:szCs w:val="20"/>
              </w:rPr>
            </w:pPr>
            <w:r w:rsidRPr="00154588">
              <w:rPr>
                <w:bCs/>
                <w:sz w:val="20"/>
                <w:szCs w:val="20"/>
              </w:rPr>
              <w:t>a) cuantumul cerinței aplicate la nivelul consolidat al grupului de rezoluție pentru fiecare entitate de rezoluție; și</w:t>
            </w:r>
          </w:p>
          <w:p w14:paraId="51051E44" w14:textId="77777777" w:rsidR="00F4284C" w:rsidRPr="00154588" w:rsidRDefault="00F4284C" w:rsidP="008C12B4">
            <w:pPr>
              <w:jc w:val="both"/>
              <w:rPr>
                <w:bCs/>
                <w:sz w:val="20"/>
                <w:szCs w:val="20"/>
              </w:rPr>
            </w:pPr>
          </w:p>
          <w:p w14:paraId="0D01CCED" w14:textId="299EED5F" w:rsidR="00F4284C" w:rsidRPr="00154588" w:rsidRDefault="00F4284C" w:rsidP="008C12B4">
            <w:pPr>
              <w:jc w:val="both"/>
              <w:rPr>
                <w:bCs/>
                <w:sz w:val="20"/>
                <w:szCs w:val="20"/>
              </w:rPr>
            </w:pPr>
            <w:r w:rsidRPr="00154588">
              <w:rPr>
                <w:bCs/>
                <w:sz w:val="20"/>
                <w:szCs w:val="20"/>
              </w:rPr>
              <w:t>b) cuantumul cerinței aplicate la nivel individual fiecărei entități a unui grup de rezoluție care nu este o entitate de rezoluție.</w:t>
            </w:r>
          </w:p>
          <w:p w14:paraId="3B0B416C" w14:textId="77777777" w:rsidR="00F4284C" w:rsidRPr="00154588" w:rsidRDefault="00F4284C" w:rsidP="008C12B4">
            <w:pPr>
              <w:jc w:val="both"/>
              <w:rPr>
                <w:bCs/>
                <w:sz w:val="20"/>
                <w:szCs w:val="20"/>
              </w:rPr>
            </w:pPr>
          </w:p>
          <w:p w14:paraId="7C6CC92E" w14:textId="77777777" w:rsidR="00F4284C" w:rsidRPr="00154588" w:rsidRDefault="00F4284C" w:rsidP="008C12B4">
            <w:pPr>
              <w:jc w:val="both"/>
              <w:rPr>
                <w:bCs/>
                <w:sz w:val="20"/>
                <w:szCs w:val="20"/>
              </w:rPr>
            </w:pPr>
          </w:p>
          <w:p w14:paraId="31134248" w14:textId="77777777" w:rsidR="00F4284C" w:rsidRPr="00154588" w:rsidRDefault="00F4284C" w:rsidP="008C12B4">
            <w:pPr>
              <w:jc w:val="both"/>
              <w:rPr>
                <w:bCs/>
                <w:sz w:val="20"/>
                <w:szCs w:val="20"/>
              </w:rPr>
            </w:pPr>
          </w:p>
          <w:p w14:paraId="191F47F6" w14:textId="308A2920" w:rsidR="00F4284C" w:rsidRPr="00154588" w:rsidRDefault="00F4284C" w:rsidP="008C12B4">
            <w:pPr>
              <w:jc w:val="both"/>
              <w:rPr>
                <w:bCs/>
                <w:sz w:val="20"/>
                <w:szCs w:val="20"/>
              </w:rPr>
            </w:pPr>
            <w:r w:rsidRPr="00154588">
              <w:rPr>
                <w:bCs/>
                <w:sz w:val="20"/>
                <w:szCs w:val="20"/>
              </w:rPr>
              <w:t>(2) Decizia comună asigură respectarea art.167</w:t>
            </w:r>
            <w:r w:rsidRPr="00154588">
              <w:rPr>
                <w:bCs/>
                <w:sz w:val="20"/>
                <w:szCs w:val="20"/>
                <w:vertAlign w:val="superscript"/>
              </w:rPr>
              <w:t>14</w:t>
            </w:r>
            <w:r w:rsidRPr="00154588">
              <w:rPr>
                <w:bCs/>
                <w:sz w:val="20"/>
                <w:szCs w:val="20"/>
              </w:rPr>
              <w:t xml:space="preserve"> și art.167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Pr="00154588">
              <w:rPr>
                <w:bCs/>
                <w:sz w:val="20"/>
                <w:szCs w:val="20"/>
              </w:rPr>
              <w:t xml:space="preserve"> și este motivată temeinic și se transmite:</w:t>
            </w:r>
          </w:p>
          <w:p w14:paraId="6018741E" w14:textId="77777777" w:rsidR="00F4284C" w:rsidRPr="00154588" w:rsidRDefault="00F4284C" w:rsidP="008C12B4">
            <w:pPr>
              <w:jc w:val="both"/>
              <w:rPr>
                <w:bCs/>
                <w:sz w:val="20"/>
                <w:szCs w:val="20"/>
              </w:rPr>
            </w:pPr>
            <w:r w:rsidRPr="00154588">
              <w:rPr>
                <w:bCs/>
                <w:sz w:val="20"/>
                <w:szCs w:val="20"/>
              </w:rPr>
              <w:t>a) entității de rezoluție de către autoritatea sa de rezoluție;</w:t>
            </w:r>
          </w:p>
          <w:p w14:paraId="4D1435EC" w14:textId="77777777" w:rsidR="00F4284C" w:rsidRPr="00154588" w:rsidRDefault="00F4284C" w:rsidP="008C12B4">
            <w:pPr>
              <w:jc w:val="both"/>
              <w:rPr>
                <w:bCs/>
                <w:sz w:val="20"/>
                <w:szCs w:val="20"/>
              </w:rPr>
            </w:pPr>
          </w:p>
          <w:p w14:paraId="252B953E" w14:textId="73638C8F" w:rsidR="00F4284C" w:rsidRPr="00154588" w:rsidRDefault="00F4284C" w:rsidP="008C12B4">
            <w:pPr>
              <w:jc w:val="both"/>
              <w:rPr>
                <w:bCs/>
                <w:sz w:val="20"/>
                <w:szCs w:val="20"/>
              </w:rPr>
            </w:pPr>
            <w:r w:rsidRPr="00154588">
              <w:rPr>
                <w:bCs/>
                <w:sz w:val="20"/>
                <w:szCs w:val="20"/>
              </w:rPr>
              <w:t>b) entităților unui grup de rezoluție care nu sunt entități de rezoluție de către autoritățile de rezoluție ale entităților respective;</w:t>
            </w:r>
          </w:p>
          <w:p w14:paraId="79334351" w14:textId="77777777" w:rsidR="00F4284C" w:rsidRPr="00154588" w:rsidRDefault="00F4284C" w:rsidP="008C12B4">
            <w:pPr>
              <w:jc w:val="both"/>
              <w:rPr>
                <w:bCs/>
                <w:sz w:val="20"/>
                <w:szCs w:val="20"/>
              </w:rPr>
            </w:pPr>
          </w:p>
          <w:p w14:paraId="1409260C" w14:textId="1D40F3A5" w:rsidR="00F4284C" w:rsidRPr="00154588" w:rsidRDefault="00F4284C" w:rsidP="008C12B4">
            <w:pPr>
              <w:jc w:val="both"/>
              <w:rPr>
                <w:bCs/>
                <w:sz w:val="20"/>
                <w:szCs w:val="20"/>
              </w:rPr>
            </w:pPr>
            <w:r w:rsidRPr="00154588">
              <w:rPr>
                <w:bCs/>
                <w:sz w:val="20"/>
                <w:szCs w:val="20"/>
              </w:rPr>
              <w:t>c) întreprinderii-mamă din Uniunea Europeană aparținând grupului de către autoritatea de rezoluție a entității de rezoluție, în cazul în care întreprinderea-mamă din Uniunea Europeană nu este ea însăși o entitate de rezoluție din același grup de rezoluție.</w:t>
            </w:r>
          </w:p>
          <w:p w14:paraId="22C24FE3" w14:textId="77777777" w:rsidR="00F4284C" w:rsidRPr="00154588" w:rsidRDefault="00F4284C" w:rsidP="008C12B4">
            <w:pPr>
              <w:jc w:val="both"/>
              <w:rPr>
                <w:bCs/>
                <w:sz w:val="20"/>
                <w:szCs w:val="20"/>
              </w:rPr>
            </w:pPr>
          </w:p>
          <w:p w14:paraId="3E054884" w14:textId="1869828E" w:rsidR="00F4284C" w:rsidRPr="00154588" w:rsidRDefault="00F4284C" w:rsidP="008C12B4">
            <w:pPr>
              <w:jc w:val="both"/>
              <w:rPr>
                <w:bCs/>
                <w:sz w:val="20"/>
                <w:szCs w:val="20"/>
              </w:rPr>
            </w:pPr>
            <w:r w:rsidRPr="00154588">
              <w:rPr>
                <w:bCs/>
                <w:sz w:val="20"/>
                <w:szCs w:val="20"/>
              </w:rPr>
              <w:t xml:space="preserve">(2) Decizia comună luată în conformitate cu prezentul articol poate prevedea ca, în cazul în care sunt în concordanță cu strategia de rezoluție, iar </w:t>
            </w:r>
            <w:r w:rsidRPr="00154588">
              <w:rPr>
                <w:bCs/>
                <w:sz w:val="20"/>
                <w:szCs w:val="20"/>
              </w:rPr>
              <w:lastRenderedPageBreak/>
              <w:t>entitatea de rezoluție nu a achiziționat direct sau indirect suficiente instrumente care respectă art.167</w:t>
            </w:r>
            <w:r w:rsidRPr="00154588">
              <w:rPr>
                <w:bCs/>
                <w:sz w:val="20"/>
                <w:szCs w:val="20"/>
                <w:vertAlign w:val="superscript"/>
              </w:rPr>
              <w:t>16</w:t>
            </w:r>
            <w:r w:rsidRPr="00154588">
              <w:rPr>
                <w:bCs/>
                <w:sz w:val="20"/>
                <w:szCs w:val="20"/>
              </w:rPr>
              <w:t>, cerințele menționate la art.167</w:t>
            </w:r>
            <w:r w:rsidRPr="00154588">
              <w:rPr>
                <w:bCs/>
                <w:sz w:val="20"/>
                <w:szCs w:val="20"/>
                <w:vertAlign w:val="superscript"/>
              </w:rPr>
              <w:t>9</w:t>
            </w:r>
            <w:r w:rsidRPr="00154588">
              <w:rPr>
                <w:bCs/>
                <w:sz w:val="20"/>
                <w:szCs w:val="20"/>
              </w:rPr>
              <w:t xml:space="preserve"> să fie îndeplinite parțial de către filială în conformitate cu art.167</w:t>
            </w:r>
            <w:r w:rsidRPr="00154588">
              <w:rPr>
                <w:bCs/>
                <w:sz w:val="20"/>
                <w:szCs w:val="20"/>
                <w:vertAlign w:val="superscript"/>
              </w:rPr>
              <w:t>16</w:t>
            </w:r>
            <w:r w:rsidRPr="00154588">
              <w:rPr>
                <w:bCs/>
                <w:sz w:val="20"/>
                <w:szCs w:val="20"/>
              </w:rPr>
              <w:t>, cu instrumente emise pentru și achiziționate de către entități care nu aparțin grupului de rezoluție.</w:t>
            </w:r>
          </w:p>
          <w:p w14:paraId="295B12A5" w14:textId="77777777" w:rsidR="00F4284C" w:rsidRPr="00154588" w:rsidRDefault="00F4284C" w:rsidP="008C12B4">
            <w:pPr>
              <w:jc w:val="both"/>
              <w:rPr>
                <w:bCs/>
                <w:sz w:val="20"/>
                <w:szCs w:val="20"/>
              </w:rPr>
            </w:pPr>
          </w:p>
        </w:tc>
        <w:tc>
          <w:tcPr>
            <w:tcW w:w="2552" w:type="dxa"/>
          </w:tcPr>
          <w:p w14:paraId="2EA7D0BE" w14:textId="51255D49"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76FFDCB7" w14:textId="77777777" w:rsidR="00F4284C" w:rsidRPr="00154588" w:rsidRDefault="00F4284C" w:rsidP="008C12B4">
            <w:pPr>
              <w:jc w:val="both"/>
              <w:rPr>
                <w:bCs/>
                <w:sz w:val="20"/>
                <w:szCs w:val="20"/>
              </w:rPr>
            </w:pPr>
          </w:p>
        </w:tc>
      </w:tr>
      <w:tr w:rsidR="00F4284C" w:rsidRPr="00154588" w14:paraId="2739195F" w14:textId="77777777" w:rsidTr="00D15C1B">
        <w:trPr>
          <w:jc w:val="center"/>
        </w:trPr>
        <w:tc>
          <w:tcPr>
            <w:tcW w:w="4957" w:type="dxa"/>
            <w:gridSpan w:val="2"/>
          </w:tcPr>
          <w:p w14:paraId="082D172E" w14:textId="77777777" w:rsidR="00F4284C" w:rsidRPr="00154588" w:rsidRDefault="00F4284C" w:rsidP="008C12B4">
            <w:pPr>
              <w:jc w:val="both"/>
              <w:rPr>
                <w:bCs/>
                <w:sz w:val="20"/>
                <w:szCs w:val="20"/>
              </w:rPr>
            </w:pPr>
            <w:r w:rsidRPr="00154588">
              <w:rPr>
                <w:bCs/>
                <w:sz w:val="20"/>
                <w:szCs w:val="20"/>
              </w:rPr>
              <w:t>(2)   În cazul în care mai multe entități din categoria G-SII care fac parte din aceeași G-SII sunt entități de rezoluție sau entități dintr-o țară terță care ar fi entități de rezoluție dacă ar fi stabilite în Uniune, autoritățile de rezoluție menționate la alineatul (1) discută și, după caz și în concordanță cu strategia de rezoluție a G-SII, convin asupra aplicării articolului 72e din Regulamentul (UE) nr. 575/2013 și asupra oricărei ajustări menite să reducă la minimum sau să elimine diferența dintre suma cuantumurilor menționate la articolul 45d alineatul (4) litera (a) din prezenta directivă și la articolul 12a litera (a) din Regulamentul (UE) nr. 575/2013 pentru entitățile individuale de rezoluție sau entitățile dintr-o țară terță și suma cuantumurilor menționate la articolul 45d alineatul (4) litera (b) din prezenta directivă și la articolul 12a litera (b) din Regulamentul (UE) nr. 575/2013.</w:t>
            </w:r>
          </w:p>
          <w:p w14:paraId="06F065B8" w14:textId="77777777" w:rsidR="00F4284C" w:rsidRPr="00154588" w:rsidRDefault="00F4284C" w:rsidP="008C12B4">
            <w:pPr>
              <w:jc w:val="both"/>
              <w:rPr>
                <w:bCs/>
                <w:sz w:val="20"/>
                <w:szCs w:val="20"/>
              </w:rPr>
            </w:pPr>
          </w:p>
          <w:p w14:paraId="27D073A7" w14:textId="77777777" w:rsidR="00F4284C" w:rsidRPr="00154588" w:rsidRDefault="00F4284C" w:rsidP="008C12B4">
            <w:pPr>
              <w:jc w:val="both"/>
              <w:rPr>
                <w:bCs/>
                <w:sz w:val="20"/>
                <w:szCs w:val="20"/>
              </w:rPr>
            </w:pPr>
          </w:p>
          <w:p w14:paraId="09BCEE89" w14:textId="77777777" w:rsidR="00F4284C" w:rsidRPr="00154588" w:rsidRDefault="00F4284C" w:rsidP="008C12B4">
            <w:pPr>
              <w:jc w:val="both"/>
              <w:rPr>
                <w:bCs/>
                <w:sz w:val="20"/>
                <w:szCs w:val="20"/>
              </w:rPr>
            </w:pPr>
          </w:p>
          <w:p w14:paraId="16BE54A7" w14:textId="77777777" w:rsidR="00F4284C" w:rsidRPr="00154588" w:rsidRDefault="00F4284C" w:rsidP="008C12B4">
            <w:pPr>
              <w:jc w:val="both"/>
              <w:rPr>
                <w:bCs/>
                <w:sz w:val="20"/>
                <w:szCs w:val="20"/>
              </w:rPr>
            </w:pPr>
          </w:p>
          <w:p w14:paraId="1D344EEA" w14:textId="77777777" w:rsidR="00F4284C" w:rsidRPr="00154588" w:rsidRDefault="00F4284C" w:rsidP="008C12B4">
            <w:pPr>
              <w:jc w:val="both"/>
              <w:rPr>
                <w:bCs/>
                <w:sz w:val="20"/>
                <w:szCs w:val="20"/>
              </w:rPr>
            </w:pPr>
          </w:p>
          <w:p w14:paraId="503488E9" w14:textId="77777777" w:rsidR="00F4284C" w:rsidRPr="00154588" w:rsidRDefault="00F4284C" w:rsidP="008C12B4">
            <w:pPr>
              <w:jc w:val="both"/>
              <w:rPr>
                <w:bCs/>
                <w:sz w:val="20"/>
                <w:szCs w:val="20"/>
              </w:rPr>
            </w:pPr>
          </w:p>
          <w:p w14:paraId="4FF87786" w14:textId="77777777" w:rsidR="00F4284C" w:rsidRPr="00154588" w:rsidRDefault="00F4284C" w:rsidP="008C12B4">
            <w:pPr>
              <w:jc w:val="both"/>
              <w:rPr>
                <w:bCs/>
                <w:sz w:val="20"/>
                <w:szCs w:val="20"/>
              </w:rPr>
            </w:pPr>
          </w:p>
          <w:p w14:paraId="5CFC9DBF" w14:textId="77777777" w:rsidR="00F4284C" w:rsidRPr="00154588" w:rsidRDefault="00F4284C" w:rsidP="008C12B4">
            <w:pPr>
              <w:jc w:val="both"/>
              <w:rPr>
                <w:bCs/>
                <w:sz w:val="20"/>
                <w:szCs w:val="20"/>
              </w:rPr>
            </w:pPr>
          </w:p>
          <w:p w14:paraId="46347E8D" w14:textId="77777777" w:rsidR="00F4284C" w:rsidRPr="00154588" w:rsidRDefault="00F4284C" w:rsidP="008C12B4">
            <w:pPr>
              <w:jc w:val="both"/>
              <w:rPr>
                <w:bCs/>
                <w:sz w:val="20"/>
                <w:szCs w:val="20"/>
              </w:rPr>
            </w:pPr>
          </w:p>
          <w:p w14:paraId="66BAB3E4" w14:textId="77777777" w:rsidR="00F4284C" w:rsidRPr="00154588" w:rsidRDefault="00F4284C" w:rsidP="008C12B4">
            <w:pPr>
              <w:jc w:val="both"/>
              <w:rPr>
                <w:bCs/>
                <w:sz w:val="20"/>
                <w:szCs w:val="20"/>
              </w:rPr>
            </w:pPr>
          </w:p>
          <w:p w14:paraId="44DEF6DC" w14:textId="66E7D3F1" w:rsidR="00F4284C" w:rsidRPr="00154588" w:rsidRDefault="00F4284C" w:rsidP="008C12B4">
            <w:pPr>
              <w:jc w:val="both"/>
              <w:rPr>
                <w:bCs/>
                <w:sz w:val="20"/>
                <w:szCs w:val="20"/>
              </w:rPr>
            </w:pPr>
            <w:r w:rsidRPr="00154588">
              <w:rPr>
                <w:bCs/>
                <w:sz w:val="20"/>
                <w:szCs w:val="20"/>
              </w:rPr>
              <w:t>O astfel de ajustare se poate aplica în următoarele condiții:</w:t>
            </w:r>
          </w:p>
          <w:p w14:paraId="38B123C6" w14:textId="77777777" w:rsidR="00F4284C" w:rsidRPr="00154588" w:rsidRDefault="00F4284C" w:rsidP="008C12B4">
            <w:pPr>
              <w:jc w:val="both"/>
              <w:rPr>
                <w:bCs/>
                <w:sz w:val="20"/>
                <w:szCs w:val="20"/>
              </w:rPr>
            </w:pPr>
          </w:p>
          <w:p w14:paraId="2EB0D579" w14:textId="128A5DC0" w:rsidR="00F4284C" w:rsidRPr="00154588" w:rsidRDefault="00F4284C" w:rsidP="008C12B4">
            <w:pPr>
              <w:jc w:val="both"/>
              <w:rPr>
                <w:bCs/>
                <w:sz w:val="20"/>
                <w:szCs w:val="20"/>
              </w:rPr>
            </w:pPr>
            <w:r w:rsidRPr="00154588">
              <w:rPr>
                <w:bCs/>
                <w:sz w:val="20"/>
                <w:szCs w:val="20"/>
              </w:rPr>
              <w:t>a) ajustarea se poate aplica în ceea ce privește diferențele de calcul al cuantumurilor totale ale expunerii la risc între statele membre sau țările terțe relevante, ajustând nivelul cerinței;</w:t>
            </w:r>
          </w:p>
          <w:p w14:paraId="34AFFABA" w14:textId="77777777" w:rsidR="00F4284C" w:rsidRPr="00154588" w:rsidRDefault="00F4284C" w:rsidP="008C12B4">
            <w:pPr>
              <w:jc w:val="both"/>
              <w:rPr>
                <w:bCs/>
                <w:sz w:val="20"/>
                <w:szCs w:val="20"/>
              </w:rPr>
            </w:pPr>
          </w:p>
          <w:p w14:paraId="769259C6" w14:textId="1B1D6F11" w:rsidR="00F4284C" w:rsidRPr="00154588" w:rsidRDefault="00F4284C" w:rsidP="008C12B4">
            <w:pPr>
              <w:jc w:val="both"/>
              <w:rPr>
                <w:bCs/>
                <w:sz w:val="20"/>
                <w:szCs w:val="20"/>
              </w:rPr>
            </w:pPr>
            <w:r w:rsidRPr="00154588">
              <w:rPr>
                <w:bCs/>
                <w:sz w:val="20"/>
                <w:szCs w:val="20"/>
              </w:rPr>
              <w:lastRenderedPageBreak/>
              <w:t>(b) ajustarea nu se aplică pentru a elimina diferențele care rezultă din expunerile între grupuri de rezoluție.</w:t>
            </w:r>
          </w:p>
          <w:p w14:paraId="5215A418" w14:textId="77777777" w:rsidR="00F4284C" w:rsidRPr="00154588" w:rsidRDefault="00F4284C" w:rsidP="008C12B4">
            <w:pPr>
              <w:jc w:val="both"/>
              <w:rPr>
                <w:bCs/>
                <w:sz w:val="20"/>
                <w:szCs w:val="20"/>
              </w:rPr>
            </w:pPr>
          </w:p>
          <w:p w14:paraId="25DE1C4A" w14:textId="678B0913" w:rsidR="00F4284C" w:rsidRPr="00154588" w:rsidRDefault="00F4284C" w:rsidP="008C12B4">
            <w:pPr>
              <w:jc w:val="both"/>
              <w:rPr>
                <w:bCs/>
                <w:sz w:val="20"/>
                <w:szCs w:val="20"/>
              </w:rPr>
            </w:pPr>
            <w:r w:rsidRPr="00154588">
              <w:rPr>
                <w:bCs/>
                <w:sz w:val="20"/>
                <w:szCs w:val="20"/>
              </w:rPr>
              <w:t>Suma cuantumurilor menționate la articolul 45d alineatul (4) litera (a) din prezenta directivă și la articolul 12a litera (a) din Regulamentul (UE) nr. 575/2013 pentru entitățile individuale de rezoluție sau entitățile dintr-o țară terță care ar fi entități de rezoluție dacă ar fi stabilite în Uniune nu este mai mică decât suma cuantumurilor menționate la articolul 45d alineatul (4) litera (b) din prezenta directivă și la articolul 12a litera (b) din Regulamentul (UE) nr. 575/2013.</w:t>
            </w:r>
          </w:p>
        </w:tc>
        <w:tc>
          <w:tcPr>
            <w:tcW w:w="4819" w:type="dxa"/>
          </w:tcPr>
          <w:p w14:paraId="20CB525A" w14:textId="064B2A19" w:rsidR="00F4284C" w:rsidRPr="00154588" w:rsidRDefault="00F4284C" w:rsidP="008C12B4">
            <w:pPr>
              <w:jc w:val="both"/>
              <w:rPr>
                <w:bCs/>
                <w:sz w:val="20"/>
                <w:szCs w:val="20"/>
              </w:rPr>
            </w:pPr>
            <w:r w:rsidRPr="00154588">
              <w:rPr>
                <w:b/>
                <w:bCs/>
                <w:sz w:val="20"/>
                <w:szCs w:val="20"/>
              </w:rPr>
              <w:lastRenderedPageBreak/>
              <w:t>Articolul 167</w:t>
            </w:r>
            <w:r w:rsidRPr="00154588">
              <w:rPr>
                <w:b/>
                <w:bCs/>
                <w:sz w:val="20"/>
                <w:szCs w:val="20"/>
                <w:vertAlign w:val="superscript"/>
              </w:rPr>
              <w:t>22</w:t>
            </w:r>
            <w:r w:rsidRPr="00154588">
              <w:rPr>
                <w:b/>
                <w:bCs/>
                <w:sz w:val="20"/>
                <w:szCs w:val="20"/>
              </w:rPr>
              <w:t>.</w:t>
            </w:r>
            <w:r w:rsidRPr="00154588">
              <w:rPr>
                <w:bCs/>
                <w:sz w:val="20"/>
                <w:szCs w:val="20"/>
              </w:rPr>
              <w:t xml:space="preserve"> - (1) În cazul în care mai multe entități G-SII aparținând aceleiași instituții de tip G-SII sunt entități de rezoluție sau entități din state terțe care ar fi entități de rezoluție dacă ar fi stabilite în Uniunea Europeană, autoritățile de rezoluție prevăzute la art.167</w:t>
            </w:r>
            <w:r w:rsidRPr="00154588">
              <w:rPr>
                <w:bCs/>
                <w:sz w:val="20"/>
                <w:szCs w:val="20"/>
                <w:vertAlign w:val="superscript"/>
              </w:rPr>
              <w:t>21</w:t>
            </w:r>
            <w:r w:rsidRPr="00154588">
              <w:rPr>
                <w:bCs/>
                <w:sz w:val="20"/>
                <w:szCs w:val="20"/>
              </w:rPr>
              <w:t xml:space="preserve"> alin. (1) discută și, atunci când este cazul și în concordanță cu strategia de rezoluție a instituției de tip G-SII, convin asupra aplicării reglementărilor Băncii Naţionale a Moldovei emise în aplicarea art.60, 61 şi 62 din Legea nr.202/2017</w:t>
            </w:r>
            <w:r w:rsidRPr="00154588">
              <w:t xml:space="preserve"> </w:t>
            </w:r>
            <w:r w:rsidRPr="00154588">
              <w:rPr>
                <w:bCs/>
                <w:sz w:val="20"/>
                <w:szCs w:val="20"/>
              </w:rPr>
              <w:t>privind deducerea deținerilor de instrumente de fonduri proprii și de instrumente de pasive eligibile, precum și asupra oricărei ajustări menite să reducă la minimum sau să elimine diferența dintre suma cuantumurilor prevăzute la art.167</w:t>
            </w:r>
            <w:r w:rsidRPr="00154588">
              <w:rPr>
                <w:bCs/>
                <w:sz w:val="20"/>
                <w:szCs w:val="20"/>
                <w:vertAlign w:val="superscript"/>
              </w:rPr>
              <w:t>13</w:t>
            </w:r>
            <w:r w:rsidRPr="00154588">
              <w:rPr>
                <w:bCs/>
                <w:sz w:val="20"/>
                <w:szCs w:val="20"/>
              </w:rPr>
              <w:t xml:space="preserve"> alin. (4) lit. a) din prezenta lege, împreună cu sumele determinate pentru fiecare entitate individuală de rezoluție sau entitate dintr-un stat terț care ar fi o entitate de rezoluție dacă ar fi stabilită în Uniunea Europeană, și suma cuantumurilor prevăzute la art. 167¹³ alin. (4) lit.b), împreună cu suma determinată pentru instituția-mamă din Uniunea Europeană, considerată drept singura entitate de rezoluție a G-SII.</w:t>
            </w:r>
            <w:r w:rsidRPr="00154588" w:rsidDel="0081610F">
              <w:rPr>
                <w:bCs/>
                <w:sz w:val="20"/>
                <w:szCs w:val="20"/>
              </w:rPr>
              <w:t xml:space="preserve"> </w:t>
            </w:r>
          </w:p>
          <w:p w14:paraId="323E7AD2" w14:textId="77777777" w:rsidR="00F4284C" w:rsidRPr="00154588" w:rsidRDefault="00F4284C" w:rsidP="008C12B4">
            <w:pPr>
              <w:jc w:val="both"/>
              <w:rPr>
                <w:bCs/>
                <w:sz w:val="20"/>
                <w:szCs w:val="20"/>
              </w:rPr>
            </w:pPr>
          </w:p>
          <w:p w14:paraId="5D19E795" w14:textId="230281E9" w:rsidR="00F4284C" w:rsidRPr="00154588" w:rsidRDefault="00F4284C" w:rsidP="008C12B4">
            <w:pPr>
              <w:jc w:val="both"/>
              <w:rPr>
                <w:bCs/>
                <w:sz w:val="20"/>
                <w:szCs w:val="20"/>
              </w:rPr>
            </w:pPr>
            <w:r w:rsidRPr="00154588">
              <w:rPr>
                <w:bCs/>
                <w:sz w:val="20"/>
                <w:szCs w:val="20"/>
              </w:rPr>
              <w:t>(2) Ajustarea prevăzută la alin. (1) se poate aplica în următoarele condiții:</w:t>
            </w:r>
          </w:p>
          <w:p w14:paraId="45D62F4C" w14:textId="77777777" w:rsidR="00F4284C" w:rsidRPr="00154588" w:rsidRDefault="00F4284C" w:rsidP="008C12B4">
            <w:pPr>
              <w:jc w:val="both"/>
              <w:rPr>
                <w:bCs/>
                <w:sz w:val="20"/>
                <w:szCs w:val="20"/>
              </w:rPr>
            </w:pPr>
            <w:r w:rsidRPr="00154588">
              <w:rPr>
                <w:bCs/>
                <w:sz w:val="20"/>
                <w:szCs w:val="20"/>
              </w:rPr>
              <w:t>a) ajustarea se poate aplica în ceea ce privește diferențele de calcul al valorii totale a expunerii la risc, între statele membre sau statele terțe relevante, ajustând nivelul cerinței;</w:t>
            </w:r>
          </w:p>
          <w:p w14:paraId="3B0F09BB" w14:textId="77777777" w:rsidR="00F4284C" w:rsidRPr="00154588" w:rsidRDefault="00F4284C" w:rsidP="008C12B4">
            <w:pPr>
              <w:jc w:val="both"/>
              <w:rPr>
                <w:bCs/>
                <w:sz w:val="20"/>
                <w:szCs w:val="20"/>
              </w:rPr>
            </w:pPr>
          </w:p>
          <w:p w14:paraId="44E14D3A" w14:textId="77777777" w:rsidR="00F4284C" w:rsidRPr="00154588" w:rsidRDefault="00F4284C" w:rsidP="008C12B4">
            <w:pPr>
              <w:jc w:val="both"/>
              <w:rPr>
                <w:bCs/>
                <w:sz w:val="20"/>
                <w:szCs w:val="20"/>
              </w:rPr>
            </w:pPr>
            <w:r w:rsidRPr="00154588">
              <w:rPr>
                <w:bCs/>
                <w:sz w:val="20"/>
                <w:szCs w:val="20"/>
              </w:rPr>
              <w:t>b) ajustarea nu se aplică pentru a elimina diferențele care rezultă din expunerile între grupuri de rezoluție.</w:t>
            </w:r>
          </w:p>
          <w:p w14:paraId="35FF47F3" w14:textId="77777777" w:rsidR="00F4284C" w:rsidRPr="00154588" w:rsidRDefault="00F4284C" w:rsidP="008C12B4">
            <w:pPr>
              <w:jc w:val="both"/>
              <w:rPr>
                <w:bCs/>
                <w:sz w:val="20"/>
                <w:szCs w:val="20"/>
              </w:rPr>
            </w:pPr>
          </w:p>
          <w:p w14:paraId="1E3FADBC" w14:textId="77777777" w:rsidR="00F4284C" w:rsidRPr="00154588" w:rsidRDefault="00F4284C" w:rsidP="008C12B4">
            <w:pPr>
              <w:jc w:val="both"/>
              <w:rPr>
                <w:bCs/>
                <w:sz w:val="20"/>
                <w:szCs w:val="20"/>
              </w:rPr>
            </w:pPr>
          </w:p>
          <w:p w14:paraId="125C8303" w14:textId="11CB29F8" w:rsidR="00F4284C" w:rsidRPr="00154588" w:rsidRDefault="00F4284C" w:rsidP="008C12B4">
            <w:pPr>
              <w:jc w:val="both"/>
              <w:rPr>
                <w:bCs/>
                <w:sz w:val="20"/>
                <w:szCs w:val="20"/>
              </w:rPr>
            </w:pPr>
            <w:r w:rsidRPr="00154588">
              <w:rPr>
                <w:bCs/>
                <w:sz w:val="20"/>
                <w:szCs w:val="20"/>
              </w:rPr>
              <w:lastRenderedPageBreak/>
              <w:t>(3) Suma cuantumurilor prevăzute la art.167</w:t>
            </w:r>
            <w:r w:rsidRPr="00154588">
              <w:rPr>
                <w:bCs/>
                <w:sz w:val="20"/>
                <w:szCs w:val="20"/>
                <w:vertAlign w:val="superscript"/>
              </w:rPr>
              <w:t>13</w:t>
            </w:r>
            <w:r w:rsidRPr="00154588">
              <w:rPr>
                <w:bCs/>
                <w:sz w:val="20"/>
                <w:szCs w:val="20"/>
              </w:rPr>
              <w:t xml:space="preserve"> alin.(4) lit.a) din prezenta lege, și sumele determinate pentru entitățile de rezoluție individuale sau entitățile din state terțe care ar fi entități de rezoluție dacă ar fi stabilite în Uniunea Europeană, trebuie să nu fie mai mică decât suma cuantumurilor prevăzute la art.167</w:t>
            </w:r>
            <w:r w:rsidRPr="00154588">
              <w:rPr>
                <w:bCs/>
                <w:sz w:val="20"/>
                <w:szCs w:val="20"/>
                <w:vertAlign w:val="superscript"/>
              </w:rPr>
              <w:t>13</w:t>
            </w:r>
            <w:r w:rsidRPr="00154588">
              <w:rPr>
                <w:bCs/>
                <w:sz w:val="20"/>
                <w:szCs w:val="20"/>
              </w:rPr>
              <w:t xml:space="preserve"> alin.(4) lit.b) din prezenta lege, și suma determinată pentru instituția-mamă din Uniunea Europeană, considerată drept singura entitate de rezoluție a G-SII.</w:t>
            </w:r>
          </w:p>
          <w:p w14:paraId="168E44CB" w14:textId="77777777" w:rsidR="00F4284C" w:rsidRPr="00154588" w:rsidRDefault="00F4284C" w:rsidP="008C12B4">
            <w:pPr>
              <w:jc w:val="both"/>
              <w:rPr>
                <w:bCs/>
                <w:sz w:val="20"/>
                <w:szCs w:val="20"/>
              </w:rPr>
            </w:pPr>
          </w:p>
        </w:tc>
        <w:tc>
          <w:tcPr>
            <w:tcW w:w="2552" w:type="dxa"/>
          </w:tcPr>
          <w:p w14:paraId="5AF61B3B" w14:textId="21789ADB"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2E7F88D1" w14:textId="47F1B482" w:rsidR="00F4284C" w:rsidRPr="00154588" w:rsidRDefault="00F4284C" w:rsidP="008C12B4">
            <w:pPr>
              <w:jc w:val="both"/>
              <w:rPr>
                <w:bCs/>
                <w:sz w:val="20"/>
                <w:szCs w:val="20"/>
              </w:rPr>
            </w:pPr>
          </w:p>
        </w:tc>
      </w:tr>
      <w:tr w:rsidR="00F4284C" w:rsidRPr="00154588" w14:paraId="218C084D" w14:textId="77777777" w:rsidTr="00D15C1B">
        <w:trPr>
          <w:jc w:val="center"/>
        </w:trPr>
        <w:tc>
          <w:tcPr>
            <w:tcW w:w="4957" w:type="dxa"/>
            <w:gridSpan w:val="2"/>
          </w:tcPr>
          <w:p w14:paraId="692EA93E" w14:textId="5CF653A4" w:rsidR="00F4284C" w:rsidRPr="00154588" w:rsidRDefault="00F4284C" w:rsidP="008C12B4">
            <w:pPr>
              <w:jc w:val="both"/>
              <w:rPr>
                <w:bCs/>
                <w:sz w:val="20"/>
                <w:szCs w:val="20"/>
              </w:rPr>
            </w:pPr>
            <w:r w:rsidRPr="00154588">
              <w:rPr>
                <w:bCs/>
                <w:sz w:val="20"/>
                <w:szCs w:val="20"/>
              </w:rPr>
              <w:t>(3)  Dacă decizia comună sus-menționată nu este luată în termen de patru luni, se adoptă o decizie în conformitate cu alineatele (4)-(6).</w:t>
            </w:r>
          </w:p>
        </w:tc>
        <w:tc>
          <w:tcPr>
            <w:tcW w:w="4819" w:type="dxa"/>
          </w:tcPr>
          <w:p w14:paraId="243C1D59" w14:textId="77777777" w:rsidR="00F4284C" w:rsidRPr="00154588" w:rsidRDefault="00F4284C" w:rsidP="008C12B4">
            <w:pPr>
              <w:jc w:val="both"/>
              <w:rPr>
                <w:bCs/>
                <w:sz w:val="20"/>
                <w:szCs w:val="20"/>
              </w:rPr>
            </w:pPr>
            <w:r w:rsidRPr="00154588">
              <w:rPr>
                <w:b/>
                <w:bCs/>
                <w:sz w:val="20"/>
                <w:szCs w:val="20"/>
              </w:rPr>
              <w:t>Articolul 167</w:t>
            </w:r>
            <w:r w:rsidRPr="00154588">
              <w:rPr>
                <w:b/>
                <w:bCs/>
                <w:sz w:val="20"/>
                <w:szCs w:val="20"/>
                <w:vertAlign w:val="superscript"/>
              </w:rPr>
              <w:t>23</w:t>
            </w:r>
            <w:r w:rsidRPr="00154588">
              <w:rPr>
                <w:b/>
                <w:bCs/>
                <w:sz w:val="20"/>
                <w:szCs w:val="20"/>
              </w:rPr>
              <w:t>. –</w:t>
            </w:r>
            <w:r w:rsidRPr="00154588">
              <w:rPr>
                <w:bCs/>
                <w:sz w:val="20"/>
                <w:szCs w:val="20"/>
              </w:rPr>
              <w:t xml:space="preserve"> Dacă decizia comună sus-menționată nu este luată în termen de patru luni, se adoptă o decizie în conformitate cu art.167</w:t>
            </w:r>
            <w:r w:rsidRPr="00154588">
              <w:rPr>
                <w:bCs/>
                <w:sz w:val="20"/>
                <w:szCs w:val="20"/>
                <w:vertAlign w:val="superscript"/>
              </w:rPr>
              <w:t>24</w:t>
            </w:r>
            <w:r w:rsidRPr="00154588">
              <w:rPr>
                <w:bCs/>
                <w:sz w:val="20"/>
                <w:szCs w:val="20"/>
              </w:rPr>
              <w:t>-167</w:t>
            </w:r>
            <w:r w:rsidRPr="00154588">
              <w:rPr>
                <w:bCs/>
                <w:sz w:val="20"/>
                <w:szCs w:val="20"/>
                <w:vertAlign w:val="superscript"/>
              </w:rPr>
              <w:t>26</w:t>
            </w:r>
            <w:r w:rsidRPr="00154588">
              <w:rPr>
                <w:bCs/>
                <w:sz w:val="20"/>
                <w:szCs w:val="20"/>
              </w:rPr>
              <w:t>.</w:t>
            </w:r>
          </w:p>
          <w:p w14:paraId="5FFBABDF" w14:textId="77777777" w:rsidR="00F4284C" w:rsidRPr="00154588" w:rsidRDefault="00F4284C" w:rsidP="008C12B4">
            <w:pPr>
              <w:jc w:val="both"/>
              <w:rPr>
                <w:bCs/>
                <w:sz w:val="20"/>
                <w:szCs w:val="20"/>
              </w:rPr>
            </w:pPr>
          </w:p>
        </w:tc>
        <w:tc>
          <w:tcPr>
            <w:tcW w:w="2552" w:type="dxa"/>
          </w:tcPr>
          <w:p w14:paraId="19CC7E46" w14:textId="2AD9752A" w:rsidR="00F4284C" w:rsidRPr="00154588" w:rsidRDefault="00F4284C" w:rsidP="008C12B4">
            <w:pPr>
              <w:jc w:val="both"/>
              <w:rPr>
                <w:bCs/>
                <w:sz w:val="20"/>
                <w:szCs w:val="20"/>
              </w:rPr>
            </w:pPr>
            <w:r w:rsidRPr="00154588">
              <w:rPr>
                <w:bCs/>
                <w:sz w:val="20"/>
                <w:szCs w:val="20"/>
              </w:rPr>
              <w:t>Compatibil</w:t>
            </w:r>
          </w:p>
        </w:tc>
        <w:tc>
          <w:tcPr>
            <w:tcW w:w="3118" w:type="dxa"/>
          </w:tcPr>
          <w:p w14:paraId="5514F8C7" w14:textId="77777777" w:rsidR="00F4284C" w:rsidRPr="00154588" w:rsidRDefault="00F4284C" w:rsidP="008C12B4">
            <w:pPr>
              <w:jc w:val="both"/>
              <w:rPr>
                <w:bCs/>
                <w:sz w:val="20"/>
                <w:szCs w:val="20"/>
              </w:rPr>
            </w:pPr>
          </w:p>
        </w:tc>
      </w:tr>
      <w:tr w:rsidR="00F4284C" w:rsidRPr="00154588" w14:paraId="533C3028" w14:textId="77777777" w:rsidTr="00D15C1B">
        <w:trPr>
          <w:jc w:val="center"/>
        </w:trPr>
        <w:tc>
          <w:tcPr>
            <w:tcW w:w="4957" w:type="dxa"/>
            <w:gridSpan w:val="2"/>
          </w:tcPr>
          <w:p w14:paraId="291E1374" w14:textId="77777777" w:rsidR="00F4284C" w:rsidRPr="00154588" w:rsidRDefault="00F4284C" w:rsidP="008C12B4">
            <w:pPr>
              <w:jc w:val="both"/>
              <w:rPr>
                <w:bCs/>
                <w:sz w:val="20"/>
                <w:szCs w:val="20"/>
              </w:rPr>
            </w:pPr>
            <w:r w:rsidRPr="00154588">
              <w:rPr>
                <w:bCs/>
                <w:sz w:val="20"/>
                <w:szCs w:val="20"/>
              </w:rPr>
              <w:t>(4)   În cazul în care nu se ia o decizie comună în termen de patru luni ca urmare a unui dezacord privind o cerință consolidată care se aplică grupului de rezoluție menționată la articolul 45e, autoritatea de rezoluție a entității de rezoluție ia o decizie privind respectiva cerință după ce a ținut cont în mod corespunzător de:</w:t>
            </w:r>
          </w:p>
          <w:p w14:paraId="5B3F3796" w14:textId="77777777" w:rsidR="00F4284C" w:rsidRPr="00154588" w:rsidRDefault="00F4284C" w:rsidP="008C12B4">
            <w:pPr>
              <w:jc w:val="both"/>
              <w:rPr>
                <w:bCs/>
                <w:sz w:val="20"/>
                <w:szCs w:val="20"/>
              </w:rPr>
            </w:pPr>
          </w:p>
          <w:p w14:paraId="1BC1C6CA" w14:textId="01E22201" w:rsidR="00F4284C" w:rsidRPr="00154588" w:rsidRDefault="00F4284C" w:rsidP="008C12B4">
            <w:pPr>
              <w:jc w:val="both"/>
              <w:rPr>
                <w:bCs/>
                <w:sz w:val="20"/>
                <w:szCs w:val="20"/>
              </w:rPr>
            </w:pPr>
            <w:r w:rsidRPr="00154588">
              <w:rPr>
                <w:bCs/>
                <w:sz w:val="20"/>
                <w:szCs w:val="20"/>
              </w:rPr>
              <w:t>(a) evaluarea entităților din grupul de rezoluție care nu sunt entități de rezoluție, efectuată de către autoritățile de rezoluție relevante;</w:t>
            </w:r>
          </w:p>
          <w:p w14:paraId="73F3F133" w14:textId="77777777" w:rsidR="00F4284C" w:rsidRPr="00154588" w:rsidRDefault="00F4284C" w:rsidP="008C12B4">
            <w:pPr>
              <w:jc w:val="both"/>
              <w:rPr>
                <w:bCs/>
                <w:sz w:val="20"/>
                <w:szCs w:val="20"/>
              </w:rPr>
            </w:pPr>
          </w:p>
          <w:p w14:paraId="7150C8E4" w14:textId="64DD43CE" w:rsidR="00F4284C" w:rsidRPr="00154588" w:rsidRDefault="00F4284C" w:rsidP="008C12B4">
            <w:pPr>
              <w:jc w:val="both"/>
              <w:rPr>
                <w:bCs/>
                <w:sz w:val="20"/>
                <w:szCs w:val="20"/>
              </w:rPr>
            </w:pPr>
            <w:r w:rsidRPr="00154588">
              <w:rPr>
                <w:bCs/>
                <w:sz w:val="20"/>
                <w:szCs w:val="20"/>
              </w:rPr>
              <w:t>(b) avizul autorității de rezoluție a grupului, în cazul în care această autoritate este diferită de autoritatea de rezoluție a entității de rezoluție.</w:t>
            </w:r>
          </w:p>
          <w:p w14:paraId="4337B642" w14:textId="77777777" w:rsidR="00F4284C" w:rsidRPr="00154588" w:rsidRDefault="00F4284C" w:rsidP="008C12B4">
            <w:pPr>
              <w:jc w:val="both"/>
              <w:rPr>
                <w:bCs/>
                <w:sz w:val="20"/>
                <w:szCs w:val="20"/>
              </w:rPr>
            </w:pPr>
          </w:p>
          <w:p w14:paraId="4B57DD50" w14:textId="77777777" w:rsidR="00F4284C" w:rsidRPr="00154588" w:rsidRDefault="00F4284C" w:rsidP="008C12B4">
            <w:pPr>
              <w:jc w:val="both"/>
              <w:rPr>
                <w:bCs/>
                <w:sz w:val="20"/>
                <w:szCs w:val="20"/>
              </w:rPr>
            </w:pPr>
            <w:r w:rsidRPr="00154588">
              <w:rPr>
                <w:bCs/>
                <w:sz w:val="20"/>
                <w:szCs w:val="20"/>
              </w:rPr>
              <w:t>În cazul în care, până la finalul perioadei de patru luni, oricare dintre autoritățile de rezoluție vizate aduce problema în atenția ABE în conformitate cu articolul 19 din Regulamentul (UE) nr. 1093/2010, autoritatea de rezoluție a entității de rezoluție își amână decizia și așteaptă orice decizie pe care o poate lua ABE în conformitate cu articolul 19 alineatul (3) din regulamentul menționat, adoptând propria sa decizie în conformitate cu decizia ABE.</w:t>
            </w:r>
          </w:p>
          <w:p w14:paraId="04D23004" w14:textId="77777777" w:rsidR="00F4284C" w:rsidRPr="00154588" w:rsidRDefault="00F4284C" w:rsidP="008C12B4">
            <w:pPr>
              <w:jc w:val="both"/>
              <w:rPr>
                <w:bCs/>
                <w:sz w:val="20"/>
                <w:szCs w:val="20"/>
              </w:rPr>
            </w:pPr>
          </w:p>
          <w:p w14:paraId="0E88B6CA" w14:textId="77777777" w:rsidR="00F4284C" w:rsidRPr="00154588" w:rsidRDefault="00F4284C" w:rsidP="008C12B4">
            <w:pPr>
              <w:jc w:val="both"/>
              <w:rPr>
                <w:bCs/>
                <w:sz w:val="20"/>
                <w:szCs w:val="20"/>
              </w:rPr>
            </w:pPr>
            <w:r w:rsidRPr="00154588">
              <w:rPr>
                <w:bCs/>
                <w:sz w:val="20"/>
                <w:szCs w:val="20"/>
              </w:rPr>
              <w:t>Decizia ABE ține cont de primul paragraf literele (a) și (b).</w:t>
            </w:r>
          </w:p>
          <w:p w14:paraId="2DD912BD" w14:textId="77777777" w:rsidR="00F4284C" w:rsidRPr="00154588" w:rsidRDefault="00F4284C" w:rsidP="008C12B4">
            <w:pPr>
              <w:jc w:val="both"/>
              <w:rPr>
                <w:bCs/>
                <w:sz w:val="20"/>
                <w:szCs w:val="20"/>
              </w:rPr>
            </w:pPr>
          </w:p>
          <w:p w14:paraId="7BB0AEB4" w14:textId="77777777" w:rsidR="00F4284C" w:rsidRPr="00154588" w:rsidRDefault="00F4284C" w:rsidP="008C12B4">
            <w:pPr>
              <w:jc w:val="both"/>
              <w:rPr>
                <w:bCs/>
                <w:sz w:val="20"/>
                <w:szCs w:val="20"/>
              </w:rPr>
            </w:pPr>
            <w:r w:rsidRPr="00154588">
              <w:rPr>
                <w:bCs/>
                <w:sz w:val="20"/>
                <w:szCs w:val="20"/>
              </w:rPr>
              <w:t>Perioada de patru luni se consideră perioadă de conciliere în sensul Regulamentului (UE) nr. 1093/2010. ABE adoptă propria decizie în termen de o lună.</w:t>
            </w:r>
          </w:p>
          <w:p w14:paraId="442B2B9F" w14:textId="77777777" w:rsidR="00F4284C" w:rsidRPr="00154588" w:rsidRDefault="00F4284C" w:rsidP="008C12B4">
            <w:pPr>
              <w:jc w:val="both"/>
              <w:rPr>
                <w:bCs/>
                <w:sz w:val="20"/>
                <w:szCs w:val="20"/>
              </w:rPr>
            </w:pPr>
          </w:p>
          <w:p w14:paraId="473552E5" w14:textId="77777777" w:rsidR="00F4284C" w:rsidRPr="00154588" w:rsidRDefault="00F4284C" w:rsidP="008C12B4">
            <w:pPr>
              <w:jc w:val="both"/>
              <w:rPr>
                <w:bCs/>
                <w:sz w:val="20"/>
                <w:szCs w:val="20"/>
              </w:rPr>
            </w:pPr>
            <w:r w:rsidRPr="00154588">
              <w:rPr>
                <w:bCs/>
                <w:sz w:val="20"/>
                <w:szCs w:val="20"/>
              </w:rPr>
              <w:t>Problema nu poate fi adusă în atenția ABE după expirarea perioadei de patru luni sau după ce s-a ajuns la o decizie comună.</w:t>
            </w:r>
          </w:p>
          <w:p w14:paraId="425C9EFE" w14:textId="77777777" w:rsidR="00F4284C" w:rsidRPr="00154588" w:rsidRDefault="00F4284C" w:rsidP="008C12B4">
            <w:pPr>
              <w:jc w:val="both"/>
              <w:rPr>
                <w:bCs/>
                <w:sz w:val="20"/>
                <w:szCs w:val="20"/>
              </w:rPr>
            </w:pPr>
          </w:p>
          <w:p w14:paraId="6E5E7938" w14:textId="703C229A" w:rsidR="00F4284C" w:rsidRPr="00154588" w:rsidRDefault="00F4284C" w:rsidP="008C12B4">
            <w:pPr>
              <w:jc w:val="both"/>
              <w:rPr>
                <w:bCs/>
                <w:sz w:val="20"/>
                <w:szCs w:val="20"/>
              </w:rPr>
            </w:pPr>
            <w:r w:rsidRPr="00154588">
              <w:rPr>
                <w:bCs/>
                <w:sz w:val="20"/>
                <w:szCs w:val="20"/>
              </w:rPr>
              <w:t>Dacă ABE nu ia o decizie în termen de o lună de la sesizarea problemei, se aplică decizia autorității de rezoluție a entității de rezoluție.</w:t>
            </w:r>
          </w:p>
        </w:tc>
        <w:tc>
          <w:tcPr>
            <w:tcW w:w="4819" w:type="dxa"/>
          </w:tcPr>
          <w:p w14:paraId="0307AA4D" w14:textId="77777777" w:rsidR="00F4284C" w:rsidRPr="00154588" w:rsidRDefault="00F4284C" w:rsidP="008C12B4">
            <w:pPr>
              <w:jc w:val="both"/>
              <w:rPr>
                <w:bCs/>
                <w:sz w:val="20"/>
                <w:szCs w:val="20"/>
              </w:rPr>
            </w:pPr>
            <w:r w:rsidRPr="00154588">
              <w:rPr>
                <w:b/>
                <w:bCs/>
                <w:sz w:val="20"/>
                <w:szCs w:val="20"/>
              </w:rPr>
              <w:lastRenderedPageBreak/>
              <w:t>Articolul 167</w:t>
            </w:r>
            <w:r w:rsidRPr="00154588">
              <w:rPr>
                <w:b/>
                <w:bCs/>
                <w:sz w:val="20"/>
                <w:szCs w:val="20"/>
                <w:vertAlign w:val="superscript"/>
              </w:rPr>
              <w:t>24</w:t>
            </w:r>
            <w:r w:rsidRPr="00154588">
              <w:rPr>
                <w:b/>
                <w:bCs/>
                <w:sz w:val="20"/>
                <w:szCs w:val="20"/>
              </w:rPr>
              <w:t>.</w:t>
            </w:r>
            <w:r w:rsidRPr="00154588">
              <w:rPr>
                <w:bCs/>
                <w:sz w:val="20"/>
                <w:szCs w:val="20"/>
              </w:rPr>
              <w:t xml:space="preserve"> – (1) În cazul în care nu se ia o decizie comună în termen de patru luni ca urmare a unui dezacord privind o cerință consolidată care se aplică grupului de rezoluție menționată la art.167</w:t>
            </w:r>
            <w:r w:rsidRPr="00154588">
              <w:rPr>
                <w:bCs/>
                <w:sz w:val="20"/>
                <w:szCs w:val="20"/>
                <w:vertAlign w:val="superscript"/>
              </w:rPr>
              <w:t>14</w:t>
            </w:r>
            <w:r w:rsidRPr="00154588">
              <w:rPr>
                <w:bCs/>
                <w:sz w:val="20"/>
                <w:szCs w:val="20"/>
              </w:rPr>
              <w:t>, Banca Naţională a Moldovei, în calitate de autoritate de rezoluţie ia o decizie privind respectiva cerință după ce a ținut cont în mod corespunzător de:</w:t>
            </w:r>
          </w:p>
          <w:p w14:paraId="581CF4F5" w14:textId="3A15BE73" w:rsidR="00F4284C" w:rsidRPr="00154588" w:rsidRDefault="00F4284C" w:rsidP="008C12B4">
            <w:pPr>
              <w:jc w:val="both"/>
              <w:rPr>
                <w:bCs/>
                <w:sz w:val="20"/>
                <w:szCs w:val="20"/>
              </w:rPr>
            </w:pPr>
            <w:r w:rsidRPr="00154588">
              <w:rPr>
                <w:bCs/>
                <w:sz w:val="20"/>
                <w:szCs w:val="20"/>
              </w:rPr>
              <w:t>a) evaluarea entităților din grupul de rezoluție care nu sunt entități de rezoluție, efectuată de către autoritățile de rezoluție relevante;</w:t>
            </w:r>
          </w:p>
          <w:p w14:paraId="1F44E370" w14:textId="77777777" w:rsidR="00F4284C" w:rsidRPr="00154588" w:rsidRDefault="00F4284C" w:rsidP="008C12B4">
            <w:pPr>
              <w:jc w:val="both"/>
              <w:rPr>
                <w:bCs/>
                <w:sz w:val="20"/>
                <w:szCs w:val="20"/>
              </w:rPr>
            </w:pPr>
          </w:p>
          <w:p w14:paraId="69EE428E" w14:textId="6F3813D2" w:rsidR="00F4284C" w:rsidRPr="00154588" w:rsidRDefault="00F4284C" w:rsidP="008C12B4">
            <w:pPr>
              <w:jc w:val="both"/>
              <w:rPr>
                <w:bCs/>
                <w:sz w:val="20"/>
                <w:szCs w:val="20"/>
              </w:rPr>
            </w:pPr>
            <w:r w:rsidRPr="00154588">
              <w:rPr>
                <w:bCs/>
                <w:sz w:val="20"/>
                <w:szCs w:val="20"/>
              </w:rPr>
              <w:t>b) avizul autorității de rezoluție a grupului, în cazul în care această autoritate este diferită de Banca Națională a Moldovei.</w:t>
            </w:r>
          </w:p>
          <w:p w14:paraId="1F0BB3D3" w14:textId="77777777" w:rsidR="00F4284C" w:rsidRPr="00154588" w:rsidRDefault="00F4284C" w:rsidP="008C12B4">
            <w:pPr>
              <w:jc w:val="both"/>
              <w:rPr>
                <w:bCs/>
                <w:sz w:val="20"/>
                <w:szCs w:val="20"/>
              </w:rPr>
            </w:pPr>
          </w:p>
          <w:p w14:paraId="747C3379" w14:textId="00171996" w:rsidR="00F4284C" w:rsidRPr="00154588" w:rsidRDefault="00F4284C" w:rsidP="008C12B4">
            <w:pPr>
              <w:jc w:val="both"/>
              <w:rPr>
                <w:bCs/>
                <w:sz w:val="20"/>
                <w:szCs w:val="20"/>
              </w:rPr>
            </w:pPr>
            <w:bookmarkStart w:id="123" w:name="_Hlk234828293"/>
            <w:r w:rsidRPr="00154588">
              <w:rPr>
                <w:bCs/>
                <w:sz w:val="20"/>
                <w:szCs w:val="20"/>
              </w:rPr>
              <w:t>(2) În cazul în care, până la finalul perioadei de patru luni, oricare dintre autoritățile de rezoluție vizate aduce problema în atenția Autorității Bancare Europene în conformitate cu art. 19 din Regulamentul (UE) nr. 1093/2010, Banca Naţională a Moldovei, în calitate de autoritate de rezoluție a entității de rezoluție își amână decizia și așteaptă orice decizie pe care o poate lua Autorității Bancare Europene în conformitate cu art. 19 alin. (3) din Regulamentul (UE) nr. 1093/2010</w:t>
            </w:r>
          </w:p>
          <w:p w14:paraId="5BCFACC1" w14:textId="77777777" w:rsidR="00F4284C" w:rsidRPr="00154588" w:rsidRDefault="00F4284C" w:rsidP="008C12B4">
            <w:pPr>
              <w:jc w:val="both"/>
              <w:rPr>
                <w:bCs/>
                <w:sz w:val="20"/>
                <w:szCs w:val="20"/>
              </w:rPr>
            </w:pPr>
            <w:r w:rsidRPr="00154588">
              <w:rPr>
                <w:bCs/>
                <w:sz w:val="20"/>
                <w:szCs w:val="20"/>
              </w:rPr>
              <w:t>(3) Banca Națională a Moldovei, în calitate de autoritate de rezoluție a entit</w:t>
            </w:r>
            <w:r w:rsidRPr="00154588">
              <w:rPr>
                <w:bCs/>
                <w:sz w:val="20"/>
                <w:szCs w:val="20"/>
                <w:lang w:val="ro-MD"/>
              </w:rPr>
              <w:t>ății de rezoluție</w:t>
            </w:r>
            <w:r w:rsidRPr="00154588">
              <w:rPr>
                <w:bCs/>
                <w:sz w:val="20"/>
                <w:szCs w:val="20"/>
              </w:rPr>
              <w:t xml:space="preserve">, adoptă </w:t>
            </w:r>
            <w:r w:rsidRPr="00154588">
              <w:rPr>
                <w:bCs/>
                <w:sz w:val="20"/>
                <w:szCs w:val="20"/>
              </w:rPr>
              <w:lastRenderedPageBreak/>
              <w:t>propria decizie în conformitate cu decizia Autorității Bancare Europene.</w:t>
            </w:r>
          </w:p>
          <w:p w14:paraId="4923556F" w14:textId="113D46DE" w:rsidR="00F4284C" w:rsidRPr="00154588" w:rsidRDefault="00F4284C" w:rsidP="008C12B4">
            <w:pPr>
              <w:jc w:val="both"/>
              <w:rPr>
                <w:bCs/>
                <w:sz w:val="20"/>
                <w:szCs w:val="20"/>
              </w:rPr>
            </w:pPr>
            <w:r w:rsidRPr="00154588">
              <w:rPr>
                <w:bCs/>
                <w:sz w:val="20"/>
                <w:szCs w:val="20"/>
              </w:rPr>
              <w:t xml:space="preserve">(4) Perioada de patru luni se consideră perioadă de conciliere în sensul Regulamentului (UE) nr. 1093/2010. </w:t>
            </w:r>
          </w:p>
          <w:p w14:paraId="6B915DAF" w14:textId="4EB4C990" w:rsidR="00F4284C" w:rsidRPr="00154588" w:rsidRDefault="00F4284C" w:rsidP="008C12B4">
            <w:pPr>
              <w:jc w:val="both"/>
              <w:rPr>
                <w:bCs/>
                <w:sz w:val="20"/>
                <w:szCs w:val="20"/>
              </w:rPr>
            </w:pPr>
            <w:r w:rsidRPr="00154588">
              <w:rPr>
                <w:bCs/>
                <w:sz w:val="20"/>
                <w:szCs w:val="20"/>
              </w:rPr>
              <w:t>(5) Problema nu poate fi adusă în atenția Autorității Bancare Europene după expirarea termenului de 4 luni sau după ce s-a ajuns la o decizie comună.</w:t>
            </w:r>
          </w:p>
          <w:bookmarkEnd w:id="123"/>
          <w:p w14:paraId="42C40506" w14:textId="77777777" w:rsidR="00F4284C" w:rsidRPr="00154588" w:rsidRDefault="00F4284C" w:rsidP="008C12B4">
            <w:pPr>
              <w:jc w:val="both"/>
              <w:rPr>
                <w:bCs/>
                <w:sz w:val="20"/>
                <w:szCs w:val="20"/>
              </w:rPr>
            </w:pPr>
            <w:r w:rsidRPr="00154588">
              <w:rPr>
                <w:bCs/>
                <w:sz w:val="20"/>
                <w:szCs w:val="20"/>
              </w:rPr>
              <w:t>(6) În absența unei decizii a Autorității Bancare Europene în termen de o lună de la sesizarea problemei, se aplică decizia Băncii Naționale a Moldovei, în calitate de autoritate de rezoluție a entității de rezoluție.</w:t>
            </w:r>
          </w:p>
          <w:p w14:paraId="4B2D599B" w14:textId="77777777" w:rsidR="00F4284C" w:rsidRPr="00154588" w:rsidRDefault="00F4284C" w:rsidP="008C12B4">
            <w:pPr>
              <w:jc w:val="both"/>
              <w:rPr>
                <w:bCs/>
                <w:sz w:val="20"/>
                <w:szCs w:val="20"/>
              </w:rPr>
            </w:pPr>
          </w:p>
        </w:tc>
        <w:tc>
          <w:tcPr>
            <w:tcW w:w="2552" w:type="dxa"/>
          </w:tcPr>
          <w:p w14:paraId="3BC0399B" w14:textId="7370892C"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586EBB23" w14:textId="77777777" w:rsidR="00F4284C" w:rsidRPr="00154588" w:rsidRDefault="00F4284C" w:rsidP="008C12B4">
            <w:pPr>
              <w:jc w:val="both"/>
              <w:rPr>
                <w:bCs/>
                <w:sz w:val="20"/>
                <w:szCs w:val="20"/>
              </w:rPr>
            </w:pPr>
          </w:p>
        </w:tc>
      </w:tr>
      <w:tr w:rsidR="00F4284C" w:rsidRPr="00154588" w14:paraId="4BE0F5CC" w14:textId="77777777" w:rsidTr="00D15C1B">
        <w:trPr>
          <w:jc w:val="center"/>
        </w:trPr>
        <w:tc>
          <w:tcPr>
            <w:tcW w:w="4957" w:type="dxa"/>
            <w:gridSpan w:val="2"/>
          </w:tcPr>
          <w:p w14:paraId="42F2CC46" w14:textId="77777777" w:rsidR="00F4284C" w:rsidRPr="00154588" w:rsidRDefault="00F4284C" w:rsidP="008C12B4">
            <w:pPr>
              <w:jc w:val="both"/>
              <w:rPr>
                <w:bCs/>
                <w:sz w:val="20"/>
                <w:szCs w:val="20"/>
              </w:rPr>
            </w:pPr>
            <w:r w:rsidRPr="00154588">
              <w:rPr>
                <w:bCs/>
                <w:sz w:val="20"/>
                <w:szCs w:val="20"/>
              </w:rPr>
              <w:t>(5)   În cazul în care nu se ia o decizie comună în termen de patru luni ca urmare a unui dezacord privind nivelul cerinței menționate la articolul 45f care urmează să se aplice în mod individual oricărei entități a unui grup de rezoluție, autoritatea de rezoluție a respectivei entități ia decizia dacă sunt îndeplinite toate condițiile de mai jos:</w:t>
            </w:r>
          </w:p>
          <w:p w14:paraId="06818023" w14:textId="77777777" w:rsidR="00F4284C" w:rsidRPr="00154588" w:rsidRDefault="00F4284C" w:rsidP="008C12B4">
            <w:pPr>
              <w:jc w:val="both"/>
              <w:rPr>
                <w:bCs/>
                <w:sz w:val="20"/>
                <w:szCs w:val="20"/>
              </w:rPr>
            </w:pPr>
          </w:p>
          <w:p w14:paraId="6BF9AF6C" w14:textId="04608957" w:rsidR="00F4284C" w:rsidRPr="00154588" w:rsidRDefault="00F4284C" w:rsidP="008C12B4">
            <w:pPr>
              <w:jc w:val="both"/>
              <w:rPr>
                <w:bCs/>
                <w:sz w:val="20"/>
                <w:szCs w:val="20"/>
              </w:rPr>
            </w:pPr>
            <w:r w:rsidRPr="00154588">
              <w:rPr>
                <w:bCs/>
                <w:sz w:val="20"/>
                <w:szCs w:val="20"/>
              </w:rPr>
              <w:t>(a) opiniile și rezervele exprimate în scris de autoritatea de rezoluție a entității de rezoluție au fost luate în considerare în mod corespunzător; și</w:t>
            </w:r>
          </w:p>
          <w:p w14:paraId="64CBA7E9" w14:textId="77777777" w:rsidR="00F4284C" w:rsidRPr="00154588" w:rsidRDefault="00F4284C" w:rsidP="008C12B4">
            <w:pPr>
              <w:jc w:val="both"/>
              <w:rPr>
                <w:bCs/>
                <w:sz w:val="20"/>
                <w:szCs w:val="20"/>
              </w:rPr>
            </w:pPr>
          </w:p>
          <w:p w14:paraId="2C915964" w14:textId="350D645B" w:rsidR="00F4284C" w:rsidRPr="00154588" w:rsidRDefault="00F4284C" w:rsidP="008C12B4">
            <w:pPr>
              <w:jc w:val="both"/>
              <w:rPr>
                <w:bCs/>
                <w:sz w:val="20"/>
                <w:szCs w:val="20"/>
              </w:rPr>
            </w:pPr>
            <w:r w:rsidRPr="00154588">
              <w:rPr>
                <w:bCs/>
                <w:sz w:val="20"/>
                <w:szCs w:val="20"/>
              </w:rPr>
              <w:t>(b) în cazul în care autoritatea de rezoluție a grupului este diferită de autoritatea de rezoluție a entității de rezoluție, opiniile și rezervele exprimate în scris de autoritatea de rezoluție a grupului au fost luate în considerare în mod corespunzător.</w:t>
            </w:r>
          </w:p>
          <w:p w14:paraId="5F1F09E6" w14:textId="77777777" w:rsidR="00F4284C" w:rsidRPr="00154588" w:rsidRDefault="00F4284C" w:rsidP="008C12B4">
            <w:pPr>
              <w:jc w:val="both"/>
              <w:rPr>
                <w:bCs/>
                <w:sz w:val="20"/>
                <w:szCs w:val="20"/>
              </w:rPr>
            </w:pPr>
          </w:p>
          <w:p w14:paraId="44CB9BB7" w14:textId="77777777" w:rsidR="00F4284C" w:rsidRPr="00154588" w:rsidRDefault="00F4284C" w:rsidP="008C12B4">
            <w:pPr>
              <w:jc w:val="both"/>
              <w:rPr>
                <w:bCs/>
                <w:sz w:val="20"/>
                <w:szCs w:val="20"/>
              </w:rPr>
            </w:pPr>
            <w:r w:rsidRPr="00154588">
              <w:rPr>
                <w:bCs/>
                <w:sz w:val="20"/>
                <w:szCs w:val="20"/>
              </w:rPr>
              <w:t>În cazul în care, până la finalul perioadei de patru luni, autoritatea de rezoluție a entității de rezoluție sau autoritatea de rezoluție a grupului aduce problema în atenția ABE în conformitate cu articolul 19 din Regulamentul (UE) nr. 1093/2010, autoritățile de rezoluție responsabile pentru filiale la nivel individual își amână deciziile și așteaptă orice decizie pe care o poate lua ABE în conformitate cu articolul 19 alineatul (3) din regulamentul menționat, adoptând propriile lor decizii în conformitate cu decizia ABE. Decizia ABE ține cont de primul paragraf literele (a) și (b).</w:t>
            </w:r>
          </w:p>
          <w:p w14:paraId="5221892E" w14:textId="77777777" w:rsidR="00F4284C" w:rsidRPr="00154588" w:rsidRDefault="00F4284C" w:rsidP="008C12B4">
            <w:pPr>
              <w:jc w:val="both"/>
              <w:rPr>
                <w:bCs/>
                <w:sz w:val="20"/>
                <w:szCs w:val="20"/>
              </w:rPr>
            </w:pPr>
          </w:p>
          <w:p w14:paraId="6B989169" w14:textId="46C18AA0" w:rsidR="00F4284C" w:rsidRPr="00154588" w:rsidRDefault="00F4284C" w:rsidP="008C12B4">
            <w:pPr>
              <w:jc w:val="both"/>
              <w:rPr>
                <w:bCs/>
                <w:sz w:val="20"/>
                <w:szCs w:val="20"/>
              </w:rPr>
            </w:pPr>
            <w:r w:rsidRPr="00154588">
              <w:rPr>
                <w:bCs/>
                <w:sz w:val="20"/>
                <w:szCs w:val="20"/>
              </w:rPr>
              <w:lastRenderedPageBreak/>
              <w:t>Perioada de patru luni se consideră perioadă de conciliere în sensul Regulamentului (UE) nr. 1093/2010. ABE adoptă propria decizie în termen de o lună.</w:t>
            </w:r>
          </w:p>
          <w:p w14:paraId="570F51F8" w14:textId="77777777" w:rsidR="00F4284C" w:rsidRPr="00154588" w:rsidRDefault="00F4284C" w:rsidP="008C12B4">
            <w:pPr>
              <w:jc w:val="both"/>
              <w:rPr>
                <w:bCs/>
                <w:sz w:val="20"/>
                <w:szCs w:val="20"/>
              </w:rPr>
            </w:pPr>
          </w:p>
          <w:p w14:paraId="01C8756F" w14:textId="77777777" w:rsidR="00F4284C" w:rsidRPr="00154588" w:rsidRDefault="00F4284C" w:rsidP="008C12B4">
            <w:pPr>
              <w:jc w:val="both"/>
              <w:rPr>
                <w:bCs/>
                <w:sz w:val="20"/>
                <w:szCs w:val="20"/>
              </w:rPr>
            </w:pPr>
            <w:r w:rsidRPr="00154588">
              <w:rPr>
                <w:bCs/>
                <w:sz w:val="20"/>
                <w:szCs w:val="20"/>
              </w:rPr>
              <w:t>Problema nu poate fi adusă în atenția ABE după expirarea perioadei de patru luni sau după ce s-a ajuns la o decizie comună.</w:t>
            </w:r>
          </w:p>
          <w:p w14:paraId="024DCABE" w14:textId="77777777" w:rsidR="00F4284C" w:rsidRPr="00154588" w:rsidRDefault="00F4284C" w:rsidP="008C12B4">
            <w:pPr>
              <w:jc w:val="both"/>
              <w:rPr>
                <w:bCs/>
                <w:sz w:val="20"/>
                <w:szCs w:val="20"/>
              </w:rPr>
            </w:pPr>
          </w:p>
          <w:p w14:paraId="187B7562" w14:textId="77777777" w:rsidR="00F4284C" w:rsidRPr="00154588" w:rsidRDefault="00F4284C" w:rsidP="008C12B4">
            <w:pPr>
              <w:jc w:val="both"/>
              <w:rPr>
                <w:bCs/>
                <w:sz w:val="20"/>
                <w:szCs w:val="20"/>
              </w:rPr>
            </w:pPr>
          </w:p>
          <w:p w14:paraId="7D677CF7" w14:textId="77777777" w:rsidR="00F4284C" w:rsidRPr="00154588" w:rsidRDefault="00F4284C" w:rsidP="008C12B4">
            <w:pPr>
              <w:jc w:val="both"/>
              <w:rPr>
                <w:bCs/>
                <w:sz w:val="20"/>
                <w:szCs w:val="20"/>
              </w:rPr>
            </w:pPr>
            <w:r w:rsidRPr="00154588">
              <w:rPr>
                <w:bCs/>
                <w:sz w:val="20"/>
                <w:szCs w:val="20"/>
              </w:rPr>
              <w:t>Autoritatea de rezoluție a entității de rezoluție sau autoritatea de rezoluție a grupului nu aduce problema în atenția ABE în vederea medierii cu caracter obligatoriu în cazul în care nivelul stabilit de autoritatea de rezoluție a filialei:</w:t>
            </w:r>
          </w:p>
          <w:p w14:paraId="06320B70" w14:textId="77777777" w:rsidR="00F4284C" w:rsidRPr="00154588" w:rsidRDefault="00F4284C" w:rsidP="008C12B4">
            <w:pPr>
              <w:jc w:val="both"/>
              <w:rPr>
                <w:bCs/>
                <w:sz w:val="20"/>
                <w:szCs w:val="20"/>
              </w:rPr>
            </w:pPr>
          </w:p>
          <w:p w14:paraId="57D4A05D" w14:textId="7DB21CF2" w:rsidR="00F4284C" w:rsidRPr="00154588" w:rsidRDefault="00F4284C" w:rsidP="008C12B4">
            <w:pPr>
              <w:jc w:val="both"/>
              <w:rPr>
                <w:bCs/>
                <w:sz w:val="20"/>
                <w:szCs w:val="20"/>
              </w:rPr>
            </w:pPr>
            <w:r w:rsidRPr="00154588">
              <w:rPr>
                <w:bCs/>
                <w:sz w:val="20"/>
                <w:szCs w:val="20"/>
              </w:rPr>
              <w:t>(a) se încadrează în limita a 2 % din cuantumul total al expunerii la risc calculat în conformitate cu articolul 92 alineatul (3) din Regulamentul (UE) nr. 575/2013 al cerinței menționate la articolul 45e; și</w:t>
            </w:r>
          </w:p>
          <w:p w14:paraId="1318E821" w14:textId="77777777" w:rsidR="00F4284C" w:rsidRPr="00154588" w:rsidRDefault="00F4284C" w:rsidP="008C12B4">
            <w:pPr>
              <w:jc w:val="both"/>
              <w:rPr>
                <w:bCs/>
                <w:sz w:val="20"/>
                <w:szCs w:val="20"/>
              </w:rPr>
            </w:pPr>
          </w:p>
          <w:p w14:paraId="791887AB" w14:textId="0AD738FE" w:rsidR="00F4284C" w:rsidRPr="00154588" w:rsidRDefault="00F4284C" w:rsidP="008C12B4">
            <w:pPr>
              <w:jc w:val="both"/>
              <w:rPr>
                <w:bCs/>
                <w:sz w:val="20"/>
                <w:szCs w:val="20"/>
              </w:rPr>
            </w:pPr>
            <w:r w:rsidRPr="00154588">
              <w:rPr>
                <w:bCs/>
                <w:sz w:val="20"/>
                <w:szCs w:val="20"/>
              </w:rPr>
              <w:t>(b) respectă articolul 45c alineatul (7).</w:t>
            </w:r>
          </w:p>
          <w:p w14:paraId="4EB1820E" w14:textId="77777777" w:rsidR="00F4284C" w:rsidRPr="00154588" w:rsidRDefault="00F4284C" w:rsidP="008C12B4">
            <w:pPr>
              <w:jc w:val="both"/>
              <w:rPr>
                <w:bCs/>
                <w:sz w:val="20"/>
                <w:szCs w:val="20"/>
              </w:rPr>
            </w:pPr>
          </w:p>
          <w:p w14:paraId="3D1996F2" w14:textId="77777777" w:rsidR="00F4284C" w:rsidRPr="00154588" w:rsidRDefault="00F4284C" w:rsidP="008C12B4">
            <w:pPr>
              <w:jc w:val="both"/>
              <w:rPr>
                <w:bCs/>
                <w:sz w:val="20"/>
                <w:szCs w:val="20"/>
              </w:rPr>
            </w:pPr>
            <w:r w:rsidRPr="00154588">
              <w:rPr>
                <w:bCs/>
                <w:sz w:val="20"/>
                <w:szCs w:val="20"/>
              </w:rPr>
              <w:t>Dacă ABE nu își adoptă decizia în termen de o lună, se aplică deciziile autorităților de rezoluție ale filialelor.</w:t>
            </w:r>
          </w:p>
          <w:p w14:paraId="19C08414" w14:textId="77777777" w:rsidR="00F4284C" w:rsidRPr="00154588" w:rsidRDefault="00F4284C" w:rsidP="008C12B4">
            <w:pPr>
              <w:jc w:val="both"/>
              <w:rPr>
                <w:bCs/>
                <w:sz w:val="20"/>
                <w:szCs w:val="20"/>
              </w:rPr>
            </w:pPr>
          </w:p>
          <w:p w14:paraId="6F1B6B9A" w14:textId="77777777" w:rsidR="00F4284C" w:rsidRPr="00154588" w:rsidRDefault="00F4284C" w:rsidP="008C12B4">
            <w:pPr>
              <w:jc w:val="both"/>
              <w:rPr>
                <w:bCs/>
                <w:sz w:val="20"/>
                <w:szCs w:val="20"/>
              </w:rPr>
            </w:pPr>
          </w:p>
          <w:p w14:paraId="4110D946" w14:textId="0997B5A8" w:rsidR="00F4284C" w:rsidRPr="00154588" w:rsidRDefault="00F4284C" w:rsidP="008C12B4">
            <w:pPr>
              <w:jc w:val="both"/>
              <w:rPr>
                <w:bCs/>
                <w:sz w:val="20"/>
                <w:szCs w:val="20"/>
              </w:rPr>
            </w:pPr>
            <w:r w:rsidRPr="00154588">
              <w:rPr>
                <w:bCs/>
                <w:sz w:val="20"/>
                <w:szCs w:val="20"/>
              </w:rPr>
              <w:t>Decizia comună și orice decizie luată în lipsa unei decizii comune sunt revizuite și, după caz, actualizate periodic.</w:t>
            </w:r>
          </w:p>
        </w:tc>
        <w:tc>
          <w:tcPr>
            <w:tcW w:w="4819" w:type="dxa"/>
          </w:tcPr>
          <w:p w14:paraId="66D83EED" w14:textId="77777777" w:rsidR="00F4284C" w:rsidRPr="00154588" w:rsidRDefault="00F4284C" w:rsidP="008C12B4">
            <w:pPr>
              <w:jc w:val="both"/>
              <w:rPr>
                <w:bCs/>
                <w:sz w:val="20"/>
                <w:szCs w:val="20"/>
              </w:rPr>
            </w:pPr>
            <w:r w:rsidRPr="00154588">
              <w:rPr>
                <w:b/>
                <w:bCs/>
                <w:sz w:val="20"/>
                <w:szCs w:val="20"/>
              </w:rPr>
              <w:lastRenderedPageBreak/>
              <w:t>Articolul 167</w:t>
            </w:r>
            <w:r w:rsidRPr="00154588">
              <w:rPr>
                <w:b/>
                <w:bCs/>
                <w:sz w:val="20"/>
                <w:szCs w:val="20"/>
                <w:vertAlign w:val="superscript"/>
              </w:rPr>
              <w:t>25</w:t>
            </w:r>
            <w:r w:rsidRPr="00154588">
              <w:rPr>
                <w:b/>
                <w:bCs/>
                <w:sz w:val="20"/>
                <w:szCs w:val="20"/>
              </w:rPr>
              <w:t>.</w:t>
            </w:r>
            <w:r w:rsidRPr="00154588">
              <w:rPr>
                <w:bCs/>
                <w:sz w:val="20"/>
                <w:szCs w:val="20"/>
                <w:vertAlign w:val="superscript"/>
              </w:rPr>
              <w:t xml:space="preserve"> </w:t>
            </w:r>
            <w:r w:rsidRPr="00154588">
              <w:rPr>
                <w:bCs/>
                <w:sz w:val="20"/>
                <w:szCs w:val="20"/>
              </w:rPr>
              <w:t>- (1)  În cazul în care nu se ia o decizie comună în termen de patru luni ca urmare a unui dezacord privind nivelul cerinței menționate la art.167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Pr="00154588">
              <w:rPr>
                <w:bCs/>
                <w:sz w:val="20"/>
                <w:szCs w:val="20"/>
              </w:rPr>
              <w:t xml:space="preserve"> care urmează să se aplice în mod individual oricărei entități a unui grup de rezoluție, Banca Naţională a Moldovei, în calitate de autoritate de rezoluţie ia decizia dacă sunt îndeplinite toate condițiile de mai jos:</w:t>
            </w:r>
          </w:p>
          <w:p w14:paraId="10F2F433" w14:textId="77777777" w:rsidR="00F4284C" w:rsidRPr="00154588" w:rsidRDefault="00F4284C" w:rsidP="008C12B4">
            <w:pPr>
              <w:jc w:val="both"/>
              <w:rPr>
                <w:bCs/>
                <w:sz w:val="20"/>
                <w:szCs w:val="20"/>
              </w:rPr>
            </w:pPr>
            <w:r w:rsidRPr="00154588">
              <w:rPr>
                <w:bCs/>
                <w:sz w:val="20"/>
                <w:szCs w:val="20"/>
              </w:rPr>
              <w:t>(a) opiniile și rezervele exprimate în scris de autoritatea de rezoluție a entității de rezoluție au fost luate în considerare în mod corespunzător; și</w:t>
            </w:r>
          </w:p>
          <w:p w14:paraId="538F03CB" w14:textId="14AD99E8" w:rsidR="00F4284C" w:rsidRPr="00154588" w:rsidRDefault="00F4284C" w:rsidP="008C12B4">
            <w:pPr>
              <w:jc w:val="both"/>
              <w:rPr>
                <w:bCs/>
                <w:sz w:val="20"/>
                <w:szCs w:val="20"/>
              </w:rPr>
            </w:pPr>
            <w:r w:rsidRPr="00154588">
              <w:rPr>
                <w:bCs/>
                <w:sz w:val="20"/>
                <w:szCs w:val="20"/>
              </w:rPr>
              <w:t>(b) în cazul în care autoritatea de rezoluție a grupului este diferită de autoritatea de rezoluție a entității de rezoluție, opiniile și rezervele exprimate în scris de autoritatea de rezoluție a grupului au fost luate în considerare în mod corespunzător.</w:t>
            </w:r>
          </w:p>
          <w:p w14:paraId="14D2BA76" w14:textId="77777777" w:rsidR="00F4284C" w:rsidRPr="00154588" w:rsidRDefault="00F4284C" w:rsidP="008C12B4">
            <w:pPr>
              <w:jc w:val="both"/>
              <w:rPr>
                <w:bCs/>
                <w:sz w:val="20"/>
                <w:szCs w:val="20"/>
              </w:rPr>
            </w:pPr>
          </w:p>
          <w:p w14:paraId="30917696" w14:textId="1762911E" w:rsidR="00F4284C" w:rsidRPr="00154588" w:rsidRDefault="00F4284C" w:rsidP="008C12B4">
            <w:pPr>
              <w:jc w:val="both"/>
              <w:rPr>
                <w:bCs/>
                <w:sz w:val="20"/>
                <w:szCs w:val="20"/>
              </w:rPr>
            </w:pPr>
            <w:r w:rsidRPr="00154588">
              <w:rPr>
                <w:bCs/>
                <w:sz w:val="20"/>
                <w:szCs w:val="20"/>
              </w:rPr>
              <w:t xml:space="preserve">(2) În cazul în care, până la finalul perioadei de patru luni, autoritatea de rezoluție a entității de rezoluție sau autoritatea de rezoluție a grupului aduce problema în atenția Autorității Bancare Europene în conformitate cu art.19 din Regulamentul (UE) nr. 1093/2010, autoritățile de rezoluție responsabile pentru filiale la nivel individual își amână deciziile și așteaptă orice decizie pe care o poate lua Autoritatea Bancară Europenă în conformitate cuart. 19 alin.(3) din Regulamentul (UE) nr. 1093/2010, adoptând propriile lor decizii în conformitate cu decizia Autorității Bancare Europene. Decizia </w:t>
            </w:r>
            <w:bookmarkStart w:id="124" w:name="_Hlk225494870"/>
            <w:r w:rsidRPr="00154588">
              <w:rPr>
                <w:bCs/>
                <w:sz w:val="20"/>
                <w:szCs w:val="20"/>
              </w:rPr>
              <w:t xml:space="preserve">Autorității Bancare Europene </w:t>
            </w:r>
            <w:bookmarkEnd w:id="124"/>
            <w:r w:rsidRPr="00154588">
              <w:rPr>
                <w:bCs/>
                <w:sz w:val="20"/>
                <w:szCs w:val="20"/>
              </w:rPr>
              <w:t>ține cont de alin.(1) lit. a) și b).</w:t>
            </w:r>
          </w:p>
          <w:p w14:paraId="577F2B49" w14:textId="52814625" w:rsidR="00F4284C" w:rsidRPr="00154588" w:rsidRDefault="00F4284C" w:rsidP="008C12B4">
            <w:pPr>
              <w:jc w:val="both"/>
              <w:rPr>
                <w:bCs/>
                <w:sz w:val="20"/>
                <w:szCs w:val="20"/>
              </w:rPr>
            </w:pPr>
            <w:r w:rsidRPr="00154588">
              <w:rPr>
                <w:bCs/>
                <w:sz w:val="20"/>
                <w:szCs w:val="20"/>
              </w:rPr>
              <w:lastRenderedPageBreak/>
              <w:t>(3) Perioada de 4 luni se consideră perioadă de conciliere în sensul Regulamentului (UE) nr. 1093/2010.</w:t>
            </w:r>
          </w:p>
          <w:p w14:paraId="44AC84B5" w14:textId="446CD17B" w:rsidR="00F4284C" w:rsidRPr="00154588" w:rsidRDefault="00F4284C" w:rsidP="008C12B4">
            <w:pPr>
              <w:jc w:val="both"/>
              <w:rPr>
                <w:bCs/>
                <w:sz w:val="20"/>
                <w:szCs w:val="20"/>
              </w:rPr>
            </w:pPr>
            <w:r w:rsidRPr="00154588">
              <w:rPr>
                <w:bCs/>
                <w:sz w:val="20"/>
                <w:szCs w:val="20"/>
              </w:rPr>
              <w:t>(4) Problema nu poate fi adusă în atenția Autorității Bancare Europene după expirarea termenului de 4 luni sau după ce s-a ajuns la o decizie comună.</w:t>
            </w:r>
          </w:p>
          <w:p w14:paraId="296BF0E4" w14:textId="77777777" w:rsidR="00F4284C" w:rsidRPr="00154588" w:rsidRDefault="00F4284C" w:rsidP="008C12B4">
            <w:pPr>
              <w:jc w:val="both"/>
              <w:rPr>
                <w:bCs/>
                <w:sz w:val="20"/>
                <w:szCs w:val="20"/>
              </w:rPr>
            </w:pPr>
            <w:r w:rsidRPr="00154588">
              <w:rPr>
                <w:bCs/>
                <w:sz w:val="20"/>
                <w:szCs w:val="20"/>
              </w:rPr>
              <w:t>(5) Nivelul stabilit de Banca Națională a Moldovei, în calitate de autoritate de rezoluție, pentru cerința aplicabilă unei filiale, persoană juridică din Republica Moldova, care nu este entitate de rezoluție, nu poate fi adus în atenția Autorității Bancare Europene, în vederea medierii cu caracter obligatoriu, de către autoritatea de rezoluție a entității de rezoluție sau autoritatea de rezoluție a grupului, atunci când acesta:</w:t>
            </w:r>
          </w:p>
          <w:p w14:paraId="2D052C34" w14:textId="3A9E28E8" w:rsidR="00F4284C" w:rsidRPr="00154588" w:rsidRDefault="00F4284C" w:rsidP="008C12B4">
            <w:pPr>
              <w:jc w:val="both"/>
              <w:rPr>
                <w:bCs/>
                <w:sz w:val="20"/>
                <w:szCs w:val="20"/>
              </w:rPr>
            </w:pPr>
            <w:r w:rsidRPr="00154588">
              <w:rPr>
                <w:bCs/>
                <w:sz w:val="20"/>
                <w:szCs w:val="20"/>
              </w:rPr>
              <w:t xml:space="preserve">a) se încadrează în limita a 2% din cuantumul total al expunerii la risc calculată în conformitate </w:t>
            </w:r>
            <w:r w:rsidRPr="00154588">
              <w:rPr>
                <w:sz w:val="20"/>
                <w:szCs w:val="20"/>
              </w:rPr>
              <w:t>cu reglementările Băncii Naționale a Moldovei  emise în aplicarea prevederilor art.60, 61 și 62 din Legea nr.202/2017</w:t>
            </w:r>
            <w:r w:rsidRPr="00154588">
              <w:rPr>
                <w:bCs/>
                <w:sz w:val="20"/>
                <w:szCs w:val="20"/>
              </w:rPr>
              <w:t>, aferentă cerinței prevăzute la art.167</w:t>
            </w:r>
            <w:r w:rsidRPr="00154588">
              <w:rPr>
                <w:bCs/>
                <w:sz w:val="20"/>
                <w:szCs w:val="20"/>
                <w:vertAlign w:val="superscript"/>
              </w:rPr>
              <w:t>14</w:t>
            </w:r>
            <w:r w:rsidRPr="00154588">
              <w:rPr>
                <w:bCs/>
                <w:sz w:val="20"/>
                <w:szCs w:val="20"/>
              </w:rPr>
              <w:t>; și</w:t>
            </w:r>
          </w:p>
          <w:p w14:paraId="3A7D8468" w14:textId="77777777" w:rsidR="00F4284C" w:rsidRPr="00154588" w:rsidRDefault="00F4284C" w:rsidP="008C12B4">
            <w:pPr>
              <w:jc w:val="both"/>
              <w:rPr>
                <w:bCs/>
                <w:sz w:val="20"/>
                <w:szCs w:val="20"/>
              </w:rPr>
            </w:pPr>
            <w:r w:rsidRPr="00154588">
              <w:rPr>
                <w:bCs/>
                <w:sz w:val="20"/>
                <w:szCs w:val="20"/>
              </w:rPr>
              <w:t>b) respectă prevederile art.167</w:t>
            </w:r>
            <w:r w:rsidRPr="00154588">
              <w:rPr>
                <w:bCs/>
                <w:sz w:val="20"/>
                <w:szCs w:val="20"/>
                <w:vertAlign w:val="superscript"/>
              </w:rPr>
              <w:t>9</w:t>
            </w:r>
            <w:r w:rsidRPr="00154588">
              <w:rPr>
                <w:bCs/>
                <w:sz w:val="20"/>
                <w:szCs w:val="20"/>
              </w:rPr>
              <w:t>.</w:t>
            </w:r>
          </w:p>
          <w:p w14:paraId="7C4D687D" w14:textId="77777777" w:rsidR="00F4284C" w:rsidRPr="00154588" w:rsidRDefault="00F4284C" w:rsidP="008C12B4">
            <w:pPr>
              <w:jc w:val="both"/>
              <w:rPr>
                <w:bCs/>
                <w:sz w:val="20"/>
                <w:szCs w:val="20"/>
              </w:rPr>
            </w:pPr>
            <w:r w:rsidRPr="00154588">
              <w:rPr>
                <w:bCs/>
                <w:sz w:val="20"/>
                <w:szCs w:val="20"/>
              </w:rPr>
              <w:t>(6) Dacă Autoritatea Bancară Europeană nu își adoptă decizia în termen de o lună, se aplică decizia Băncii Naționale a Moldovei, în calitate de autoritate de rezoluție a filialei.</w:t>
            </w:r>
          </w:p>
          <w:p w14:paraId="40AE7407" w14:textId="77777777" w:rsidR="00F4284C" w:rsidRPr="00154588" w:rsidRDefault="00F4284C" w:rsidP="008C12B4">
            <w:pPr>
              <w:jc w:val="both"/>
              <w:rPr>
                <w:bCs/>
                <w:sz w:val="20"/>
                <w:szCs w:val="20"/>
              </w:rPr>
            </w:pPr>
            <w:r w:rsidRPr="00154588">
              <w:rPr>
                <w:bCs/>
                <w:sz w:val="20"/>
                <w:szCs w:val="20"/>
              </w:rPr>
              <w:t>(7) Decizia comună și orice decizie luată în lipsa unei decizii comune sunt revizuite și, în cazurile în care este relevant, actualizate periodic.</w:t>
            </w:r>
          </w:p>
          <w:p w14:paraId="57B45BAF" w14:textId="77777777" w:rsidR="00F4284C" w:rsidRPr="00154588" w:rsidRDefault="00F4284C" w:rsidP="008C12B4">
            <w:pPr>
              <w:jc w:val="both"/>
              <w:rPr>
                <w:bCs/>
                <w:sz w:val="20"/>
                <w:szCs w:val="20"/>
              </w:rPr>
            </w:pPr>
          </w:p>
        </w:tc>
        <w:tc>
          <w:tcPr>
            <w:tcW w:w="2552" w:type="dxa"/>
          </w:tcPr>
          <w:p w14:paraId="309CEF25" w14:textId="3F4B50AD"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0F8F19DD" w14:textId="77777777" w:rsidR="00F4284C" w:rsidRPr="00154588" w:rsidRDefault="00F4284C" w:rsidP="008C12B4">
            <w:pPr>
              <w:jc w:val="both"/>
              <w:rPr>
                <w:bCs/>
                <w:sz w:val="20"/>
                <w:szCs w:val="20"/>
              </w:rPr>
            </w:pPr>
          </w:p>
        </w:tc>
      </w:tr>
      <w:tr w:rsidR="00F4284C" w:rsidRPr="00154588" w14:paraId="01FB012E" w14:textId="77777777" w:rsidTr="00D15C1B">
        <w:trPr>
          <w:jc w:val="center"/>
        </w:trPr>
        <w:tc>
          <w:tcPr>
            <w:tcW w:w="4957" w:type="dxa"/>
            <w:gridSpan w:val="2"/>
          </w:tcPr>
          <w:p w14:paraId="7C688350" w14:textId="77777777" w:rsidR="00F4284C" w:rsidRPr="00154588" w:rsidRDefault="00F4284C" w:rsidP="008C12B4">
            <w:pPr>
              <w:jc w:val="both"/>
              <w:rPr>
                <w:bCs/>
                <w:sz w:val="20"/>
                <w:szCs w:val="20"/>
              </w:rPr>
            </w:pPr>
            <w:r w:rsidRPr="00154588">
              <w:rPr>
                <w:bCs/>
                <w:sz w:val="20"/>
                <w:szCs w:val="20"/>
              </w:rPr>
              <w:t>(6)   În cazul în care nu se ia o decizie comună în termen de patru luni ca urmare a unui dezacord privind nivelul cerinței consolidate care se aplică grupului de rezoluție și nivelul cerinței care urmează să se aplice în mod individual entităților grupului de rezoluție, se aplică următoarele dispoziții:</w:t>
            </w:r>
          </w:p>
          <w:p w14:paraId="16D214E2" w14:textId="77777777" w:rsidR="00F4284C" w:rsidRPr="00154588" w:rsidRDefault="00F4284C" w:rsidP="008C12B4">
            <w:pPr>
              <w:jc w:val="both"/>
              <w:rPr>
                <w:bCs/>
                <w:sz w:val="20"/>
                <w:szCs w:val="20"/>
              </w:rPr>
            </w:pPr>
          </w:p>
          <w:p w14:paraId="3E6A5069" w14:textId="215C88CA" w:rsidR="00F4284C" w:rsidRPr="00154588" w:rsidRDefault="00F4284C" w:rsidP="008C12B4">
            <w:pPr>
              <w:jc w:val="both"/>
              <w:rPr>
                <w:bCs/>
                <w:sz w:val="20"/>
                <w:szCs w:val="20"/>
              </w:rPr>
            </w:pPr>
            <w:r w:rsidRPr="00154588">
              <w:rPr>
                <w:bCs/>
                <w:sz w:val="20"/>
                <w:szCs w:val="20"/>
              </w:rPr>
              <w:t>(a) se ia o decizie cu privire la nivelul cerinței care urmează să se aplice în mod individual filialelor grupului de rezoluție, în conformitate cu alineatul (5);</w:t>
            </w:r>
          </w:p>
          <w:p w14:paraId="0F9BA550" w14:textId="77777777" w:rsidR="00F4284C" w:rsidRPr="00154588" w:rsidRDefault="00F4284C" w:rsidP="008C12B4">
            <w:pPr>
              <w:jc w:val="both"/>
              <w:rPr>
                <w:bCs/>
                <w:sz w:val="20"/>
                <w:szCs w:val="20"/>
              </w:rPr>
            </w:pPr>
          </w:p>
          <w:p w14:paraId="585431E1" w14:textId="77777777" w:rsidR="00F4284C" w:rsidRPr="00154588" w:rsidRDefault="00F4284C" w:rsidP="008C12B4">
            <w:pPr>
              <w:jc w:val="both"/>
              <w:rPr>
                <w:bCs/>
                <w:sz w:val="20"/>
                <w:szCs w:val="20"/>
              </w:rPr>
            </w:pPr>
          </w:p>
          <w:p w14:paraId="217786A3" w14:textId="2FC5D072" w:rsidR="00F4284C" w:rsidRPr="00154588" w:rsidRDefault="00F4284C" w:rsidP="008C12B4">
            <w:pPr>
              <w:jc w:val="both"/>
              <w:rPr>
                <w:bCs/>
                <w:sz w:val="20"/>
                <w:szCs w:val="20"/>
              </w:rPr>
            </w:pPr>
            <w:r w:rsidRPr="00154588">
              <w:rPr>
                <w:bCs/>
                <w:sz w:val="20"/>
                <w:szCs w:val="20"/>
              </w:rPr>
              <w:t>(b) se ia o decizie privind nivelul cerinței consolidate care se aplică grupului de rezoluție în conformitate cu alineatul (4).</w:t>
            </w:r>
          </w:p>
        </w:tc>
        <w:tc>
          <w:tcPr>
            <w:tcW w:w="4819" w:type="dxa"/>
          </w:tcPr>
          <w:p w14:paraId="4CA3CD8F" w14:textId="77777777" w:rsidR="00F4284C" w:rsidRPr="00154588" w:rsidRDefault="00F4284C" w:rsidP="008C12B4">
            <w:pPr>
              <w:jc w:val="both"/>
              <w:rPr>
                <w:bCs/>
                <w:sz w:val="20"/>
                <w:szCs w:val="20"/>
              </w:rPr>
            </w:pPr>
            <w:r w:rsidRPr="00154588">
              <w:rPr>
                <w:b/>
                <w:bCs/>
                <w:sz w:val="20"/>
                <w:szCs w:val="20"/>
              </w:rPr>
              <w:t>Articolul 167</w:t>
            </w:r>
            <w:r w:rsidRPr="00154588">
              <w:rPr>
                <w:b/>
                <w:bCs/>
                <w:sz w:val="20"/>
                <w:szCs w:val="20"/>
                <w:vertAlign w:val="superscript"/>
              </w:rPr>
              <w:t>26</w:t>
            </w:r>
            <w:r w:rsidRPr="00154588">
              <w:rPr>
                <w:b/>
                <w:bCs/>
                <w:sz w:val="20"/>
                <w:szCs w:val="20"/>
              </w:rPr>
              <w:t>.</w:t>
            </w:r>
            <w:r w:rsidRPr="00154588">
              <w:rPr>
                <w:bCs/>
                <w:sz w:val="20"/>
                <w:szCs w:val="20"/>
                <w:vertAlign w:val="superscript"/>
              </w:rPr>
              <w:t xml:space="preserve"> </w:t>
            </w:r>
            <w:r w:rsidRPr="00154588">
              <w:rPr>
                <w:bCs/>
                <w:sz w:val="20"/>
                <w:szCs w:val="20"/>
              </w:rPr>
              <w:t>– (1) În cazul în care nu se ajunge la o decizie comună în termen de 4 luni ca urmare a unui dezacord privind nivelul cerinței consolidate care se aplică grupului de rezoluție și nivelul cerinței care urmează să se aplice la nivel individual entităților grupului de rezoluție, se aplică următoarele dispoziții:</w:t>
            </w:r>
          </w:p>
          <w:p w14:paraId="4311CDC0" w14:textId="77777777" w:rsidR="00F4284C" w:rsidRPr="00154588" w:rsidRDefault="00F4284C" w:rsidP="008C12B4">
            <w:pPr>
              <w:jc w:val="both"/>
              <w:rPr>
                <w:bCs/>
                <w:sz w:val="20"/>
                <w:szCs w:val="20"/>
              </w:rPr>
            </w:pPr>
            <w:r w:rsidRPr="00154588">
              <w:rPr>
                <w:bCs/>
                <w:sz w:val="20"/>
                <w:szCs w:val="20"/>
              </w:rPr>
              <w:t>a) Banca Națională a Moldovei, în calitate de autoritate de rezoluție, ia o decizie cu privire la nivelul cerinței care urmează să se aplice la nivel individual unei filiale a grupului de rezoluție, în conformitate cu prevederile art.167</w:t>
            </w:r>
            <w:r w:rsidRPr="00154588">
              <w:rPr>
                <w:bCs/>
                <w:sz w:val="20"/>
                <w:szCs w:val="20"/>
                <w:vertAlign w:val="superscript"/>
              </w:rPr>
              <w:t>25</w:t>
            </w:r>
            <w:r w:rsidRPr="00154588">
              <w:rPr>
                <w:bCs/>
                <w:sz w:val="20"/>
                <w:szCs w:val="20"/>
              </w:rPr>
              <w:t>;</w:t>
            </w:r>
          </w:p>
          <w:p w14:paraId="1D0F20AF" w14:textId="77777777" w:rsidR="00F4284C" w:rsidRPr="00154588" w:rsidRDefault="00F4284C" w:rsidP="008C12B4">
            <w:pPr>
              <w:jc w:val="both"/>
              <w:rPr>
                <w:bCs/>
                <w:sz w:val="20"/>
                <w:szCs w:val="20"/>
              </w:rPr>
            </w:pPr>
            <w:r w:rsidRPr="00154588">
              <w:rPr>
                <w:bCs/>
                <w:sz w:val="20"/>
                <w:szCs w:val="20"/>
              </w:rPr>
              <w:t xml:space="preserve">b) Banca Națională a Moldovei, în calitate de autoritate de rezoluție, ia o decizie privind nivelul </w:t>
            </w:r>
            <w:r w:rsidRPr="00154588">
              <w:rPr>
                <w:bCs/>
                <w:sz w:val="20"/>
                <w:szCs w:val="20"/>
              </w:rPr>
              <w:lastRenderedPageBreak/>
              <w:t>cerinței consolidate care se aplică grupului de rezoluție, în conformitate cu prevederile art.167</w:t>
            </w:r>
            <w:r w:rsidRPr="00154588">
              <w:rPr>
                <w:bCs/>
                <w:sz w:val="20"/>
                <w:szCs w:val="20"/>
                <w:vertAlign w:val="superscript"/>
              </w:rPr>
              <w:t>24</w:t>
            </w:r>
            <w:r w:rsidRPr="00154588">
              <w:rPr>
                <w:bCs/>
                <w:sz w:val="20"/>
                <w:szCs w:val="20"/>
              </w:rPr>
              <w:t>.</w:t>
            </w:r>
          </w:p>
          <w:p w14:paraId="7A5DC022" w14:textId="77777777" w:rsidR="00F4284C" w:rsidRPr="00154588" w:rsidRDefault="00F4284C" w:rsidP="008C12B4">
            <w:pPr>
              <w:jc w:val="both"/>
              <w:rPr>
                <w:bCs/>
                <w:sz w:val="20"/>
                <w:szCs w:val="20"/>
              </w:rPr>
            </w:pPr>
          </w:p>
        </w:tc>
        <w:tc>
          <w:tcPr>
            <w:tcW w:w="2552" w:type="dxa"/>
          </w:tcPr>
          <w:p w14:paraId="27B81E4B" w14:textId="4762C1B5"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5D6EF4D7" w14:textId="77777777" w:rsidR="00F4284C" w:rsidRPr="00154588" w:rsidRDefault="00F4284C" w:rsidP="008C12B4">
            <w:pPr>
              <w:jc w:val="both"/>
              <w:rPr>
                <w:bCs/>
                <w:sz w:val="20"/>
                <w:szCs w:val="20"/>
              </w:rPr>
            </w:pPr>
          </w:p>
        </w:tc>
      </w:tr>
      <w:tr w:rsidR="00F4284C" w:rsidRPr="00154588" w14:paraId="43D3EA60" w14:textId="77777777" w:rsidTr="00D15C1B">
        <w:trPr>
          <w:jc w:val="center"/>
        </w:trPr>
        <w:tc>
          <w:tcPr>
            <w:tcW w:w="4957" w:type="dxa"/>
            <w:gridSpan w:val="2"/>
          </w:tcPr>
          <w:p w14:paraId="57D017AB" w14:textId="77777777" w:rsidR="00F4284C" w:rsidRPr="00154588" w:rsidRDefault="00F4284C" w:rsidP="008C12B4">
            <w:pPr>
              <w:jc w:val="both"/>
              <w:rPr>
                <w:bCs/>
                <w:sz w:val="20"/>
                <w:szCs w:val="20"/>
              </w:rPr>
            </w:pPr>
            <w:r w:rsidRPr="00154588">
              <w:rPr>
                <w:bCs/>
                <w:sz w:val="20"/>
                <w:szCs w:val="20"/>
              </w:rPr>
              <w:t>(7)   Decizia comună menționată la alineatul (1) și orice decizie luată de autoritățile de rezoluție menționate la alineatele (4), (5) și (6) în lipsa unei decizii comune au caracter obligatoriu pentru autoritățile de rezoluție vizate.</w:t>
            </w:r>
          </w:p>
          <w:p w14:paraId="0547287B" w14:textId="77777777" w:rsidR="00F4284C" w:rsidRPr="00154588" w:rsidRDefault="00F4284C" w:rsidP="008C12B4">
            <w:pPr>
              <w:jc w:val="both"/>
              <w:rPr>
                <w:bCs/>
                <w:sz w:val="20"/>
                <w:szCs w:val="20"/>
              </w:rPr>
            </w:pPr>
          </w:p>
          <w:p w14:paraId="0EEBB45C" w14:textId="77777777" w:rsidR="00F4284C" w:rsidRPr="00154588" w:rsidRDefault="00F4284C" w:rsidP="008C12B4">
            <w:pPr>
              <w:jc w:val="both"/>
              <w:rPr>
                <w:bCs/>
                <w:sz w:val="20"/>
                <w:szCs w:val="20"/>
              </w:rPr>
            </w:pPr>
          </w:p>
          <w:p w14:paraId="09A7CFD6" w14:textId="6528EF2F" w:rsidR="00F4284C" w:rsidRPr="00154588" w:rsidRDefault="00F4284C" w:rsidP="008C12B4">
            <w:pPr>
              <w:jc w:val="both"/>
              <w:rPr>
                <w:bCs/>
                <w:sz w:val="20"/>
                <w:szCs w:val="20"/>
              </w:rPr>
            </w:pPr>
            <w:r w:rsidRPr="00154588">
              <w:rPr>
                <w:bCs/>
                <w:sz w:val="20"/>
                <w:szCs w:val="20"/>
              </w:rPr>
              <w:t>Decizia comună și orice decizie luată în lipsa unei decizii comune sunt revizuite și, după caz, actualizate periodic.</w:t>
            </w:r>
          </w:p>
        </w:tc>
        <w:tc>
          <w:tcPr>
            <w:tcW w:w="4819" w:type="dxa"/>
          </w:tcPr>
          <w:p w14:paraId="7CE01A58" w14:textId="77777777" w:rsidR="00F4284C" w:rsidRPr="00154588" w:rsidRDefault="00F4284C" w:rsidP="008C12B4">
            <w:pPr>
              <w:jc w:val="both"/>
              <w:rPr>
                <w:bCs/>
                <w:sz w:val="20"/>
                <w:szCs w:val="20"/>
              </w:rPr>
            </w:pPr>
            <w:r w:rsidRPr="00154588">
              <w:rPr>
                <w:b/>
                <w:bCs/>
                <w:sz w:val="20"/>
                <w:szCs w:val="20"/>
              </w:rPr>
              <w:t>Articolul 167</w:t>
            </w:r>
            <w:r w:rsidRPr="00154588">
              <w:rPr>
                <w:b/>
                <w:bCs/>
                <w:sz w:val="20"/>
                <w:szCs w:val="20"/>
                <w:vertAlign w:val="superscript"/>
              </w:rPr>
              <w:t>27</w:t>
            </w:r>
            <w:r w:rsidRPr="00154588">
              <w:rPr>
                <w:b/>
                <w:bCs/>
                <w:sz w:val="20"/>
                <w:szCs w:val="20"/>
              </w:rPr>
              <w:t>.</w:t>
            </w:r>
            <w:r w:rsidRPr="00154588">
              <w:rPr>
                <w:bCs/>
                <w:sz w:val="20"/>
                <w:szCs w:val="20"/>
              </w:rPr>
              <w:t xml:space="preserve"> – (1) Decizia comună prevăzută la art.167</w:t>
            </w:r>
            <w:r w:rsidRPr="00154588">
              <w:rPr>
                <w:bCs/>
                <w:sz w:val="20"/>
                <w:szCs w:val="20"/>
                <w:vertAlign w:val="superscript"/>
              </w:rPr>
              <w:t>21</w:t>
            </w:r>
            <w:r w:rsidRPr="00154588">
              <w:rPr>
                <w:bCs/>
                <w:sz w:val="20"/>
                <w:szCs w:val="20"/>
              </w:rPr>
              <w:t xml:space="preserve"> și orice decizie luată în lipsa unei decizii comune, potrivit prevederilor </w:t>
            </w:r>
            <w:bookmarkStart w:id="125" w:name="_Hlk234829872"/>
            <w:r w:rsidRPr="00154588">
              <w:rPr>
                <w:bCs/>
                <w:sz w:val="20"/>
                <w:szCs w:val="20"/>
              </w:rPr>
              <w:t>art.167</w:t>
            </w:r>
            <w:r w:rsidRPr="00154588">
              <w:rPr>
                <w:bCs/>
                <w:sz w:val="20"/>
                <w:szCs w:val="20"/>
                <w:vertAlign w:val="superscript"/>
              </w:rPr>
              <w:t>24</w:t>
            </w:r>
            <w:r w:rsidRPr="00154588">
              <w:rPr>
                <w:bCs/>
                <w:sz w:val="20"/>
                <w:szCs w:val="20"/>
              </w:rPr>
              <w:t>-167</w:t>
            </w:r>
            <w:r w:rsidRPr="00154588">
              <w:rPr>
                <w:bCs/>
                <w:sz w:val="20"/>
                <w:szCs w:val="20"/>
                <w:vertAlign w:val="superscript"/>
              </w:rPr>
              <w:t>26</w:t>
            </w:r>
            <w:bookmarkEnd w:id="125"/>
            <w:r w:rsidRPr="00154588">
              <w:rPr>
                <w:bCs/>
                <w:sz w:val="20"/>
                <w:szCs w:val="20"/>
              </w:rPr>
              <w:t>, este obligatorie pentru Banca Națională a Moldovei, în calitate de autoritate de rezoluție, și este aplicată în mod corespunzător de către aceasta.</w:t>
            </w:r>
          </w:p>
          <w:p w14:paraId="3C5FA458" w14:textId="77777777" w:rsidR="00F4284C" w:rsidRPr="00154588" w:rsidRDefault="00F4284C" w:rsidP="008C12B4">
            <w:pPr>
              <w:jc w:val="both"/>
              <w:rPr>
                <w:bCs/>
                <w:sz w:val="20"/>
                <w:szCs w:val="20"/>
              </w:rPr>
            </w:pPr>
            <w:r w:rsidRPr="00154588">
              <w:rPr>
                <w:bCs/>
                <w:sz w:val="20"/>
                <w:szCs w:val="20"/>
              </w:rPr>
              <w:t>(2) Decizia comună și orice decizie luată în lipsa unei decizii comune sunt revizuite și, după caz, actualizate periodic.</w:t>
            </w:r>
          </w:p>
          <w:p w14:paraId="072E84E9" w14:textId="77777777" w:rsidR="00F4284C" w:rsidRPr="00154588" w:rsidRDefault="00F4284C" w:rsidP="008C12B4">
            <w:pPr>
              <w:jc w:val="both"/>
              <w:rPr>
                <w:bCs/>
                <w:sz w:val="20"/>
                <w:szCs w:val="20"/>
              </w:rPr>
            </w:pPr>
          </w:p>
        </w:tc>
        <w:tc>
          <w:tcPr>
            <w:tcW w:w="2552" w:type="dxa"/>
          </w:tcPr>
          <w:p w14:paraId="03CE60CF" w14:textId="32AE13D2" w:rsidR="00F4284C" w:rsidRPr="00154588" w:rsidRDefault="00F4284C" w:rsidP="008C12B4">
            <w:pPr>
              <w:jc w:val="both"/>
              <w:rPr>
                <w:bCs/>
                <w:sz w:val="20"/>
                <w:szCs w:val="20"/>
              </w:rPr>
            </w:pPr>
            <w:r w:rsidRPr="00154588">
              <w:rPr>
                <w:bCs/>
                <w:sz w:val="20"/>
                <w:szCs w:val="20"/>
              </w:rPr>
              <w:t>Compatibil</w:t>
            </w:r>
          </w:p>
        </w:tc>
        <w:tc>
          <w:tcPr>
            <w:tcW w:w="3118" w:type="dxa"/>
          </w:tcPr>
          <w:p w14:paraId="1F64941B" w14:textId="77777777" w:rsidR="00F4284C" w:rsidRPr="00154588" w:rsidRDefault="00F4284C" w:rsidP="008C12B4">
            <w:pPr>
              <w:jc w:val="both"/>
              <w:rPr>
                <w:bCs/>
                <w:sz w:val="20"/>
                <w:szCs w:val="20"/>
              </w:rPr>
            </w:pPr>
          </w:p>
        </w:tc>
      </w:tr>
      <w:tr w:rsidR="00F4284C" w:rsidRPr="00154588" w14:paraId="0E5D662D" w14:textId="77777777" w:rsidTr="00D15C1B">
        <w:trPr>
          <w:jc w:val="center"/>
        </w:trPr>
        <w:tc>
          <w:tcPr>
            <w:tcW w:w="4957" w:type="dxa"/>
            <w:gridSpan w:val="2"/>
          </w:tcPr>
          <w:p w14:paraId="344DEB6C" w14:textId="16BDFA6F" w:rsidR="00F4284C" w:rsidRPr="00154588" w:rsidRDefault="00F4284C" w:rsidP="008C12B4">
            <w:pPr>
              <w:jc w:val="both"/>
              <w:rPr>
                <w:bCs/>
                <w:sz w:val="20"/>
                <w:szCs w:val="20"/>
              </w:rPr>
            </w:pPr>
            <w:r w:rsidRPr="00154588">
              <w:rPr>
                <w:bCs/>
                <w:sz w:val="20"/>
                <w:szCs w:val="20"/>
              </w:rPr>
              <w:t>(8)   Autoritățile de rezoluție, în coordonare cu autoritățile competente, solicită și verifică respectarea de către entități a cerinței menționate la articolul 45 alineatul (1) și iau toate deciziile în conformitate cu prezentul articol, în paralel cu elaborarea și actualizarea planurilor de rezoluție.</w:t>
            </w:r>
          </w:p>
        </w:tc>
        <w:tc>
          <w:tcPr>
            <w:tcW w:w="4819" w:type="dxa"/>
          </w:tcPr>
          <w:p w14:paraId="4D04F5B2" w14:textId="609426B8" w:rsidR="00F4284C" w:rsidRPr="00154588" w:rsidRDefault="00F4284C" w:rsidP="008C12B4">
            <w:pPr>
              <w:jc w:val="both"/>
              <w:rPr>
                <w:bCs/>
                <w:sz w:val="20"/>
                <w:szCs w:val="20"/>
              </w:rPr>
            </w:pPr>
            <w:r w:rsidRPr="00154588">
              <w:rPr>
                <w:b/>
                <w:bCs/>
                <w:sz w:val="20"/>
                <w:szCs w:val="20"/>
              </w:rPr>
              <w:t>Articolul 170.</w:t>
            </w:r>
            <w:r w:rsidRPr="00154588">
              <w:rPr>
                <w:bCs/>
                <w:sz w:val="20"/>
                <w:szCs w:val="20"/>
              </w:rPr>
              <w:t xml:space="preserve"> – </w:t>
            </w:r>
            <w:bookmarkStart w:id="126" w:name="_Hlk234829962"/>
            <w:r w:rsidRPr="00154588">
              <w:rPr>
                <w:bCs/>
                <w:sz w:val="20"/>
                <w:szCs w:val="20"/>
              </w:rPr>
              <w:t>Autoritatea de rezoluție, în coordonare cu autoritatea competentă</w:t>
            </w:r>
            <w:bookmarkEnd w:id="126"/>
            <w:r w:rsidRPr="00154588">
              <w:rPr>
                <w:bCs/>
                <w:sz w:val="20"/>
                <w:szCs w:val="20"/>
              </w:rPr>
              <w:t>, solicită şi verifică respectarea de către entități a cerinţei prevăzute la art.164 alin.(1) şi ia toate deciziile prevăzute la art.</w:t>
            </w:r>
            <w:bookmarkStart w:id="127" w:name="_Hlk223297842"/>
            <w:r w:rsidRPr="00154588">
              <w:rPr>
                <w:bCs/>
                <w:sz w:val="20"/>
                <w:szCs w:val="20"/>
              </w:rPr>
              <w:t>167</w:t>
            </w:r>
            <w:r w:rsidRPr="00154588">
              <w:rPr>
                <w:bCs/>
                <w:sz w:val="20"/>
                <w:szCs w:val="20"/>
                <w:vertAlign w:val="superscript"/>
              </w:rPr>
              <w:t>21</w:t>
            </w:r>
            <w:r w:rsidRPr="00154588">
              <w:rPr>
                <w:bCs/>
                <w:sz w:val="20"/>
                <w:szCs w:val="20"/>
              </w:rPr>
              <w:t>-167</w:t>
            </w:r>
            <w:r w:rsidRPr="00154588">
              <w:rPr>
                <w:bCs/>
                <w:sz w:val="20"/>
                <w:szCs w:val="20"/>
                <w:vertAlign w:val="superscript"/>
              </w:rPr>
              <w:t>27</w:t>
            </w:r>
            <w:bookmarkEnd w:id="127"/>
            <w:r w:rsidRPr="00154588">
              <w:rPr>
                <w:bCs/>
                <w:sz w:val="20"/>
                <w:szCs w:val="20"/>
              </w:rPr>
              <w:t>, concomitent cu elaborarea şi actualizarea planurilor de rezoluţie.</w:t>
            </w:r>
          </w:p>
          <w:p w14:paraId="2C4324C1" w14:textId="77777777" w:rsidR="00F4284C" w:rsidRPr="00154588" w:rsidRDefault="00F4284C" w:rsidP="008C12B4">
            <w:pPr>
              <w:jc w:val="both"/>
              <w:rPr>
                <w:bCs/>
                <w:sz w:val="20"/>
                <w:szCs w:val="20"/>
              </w:rPr>
            </w:pPr>
          </w:p>
        </w:tc>
        <w:tc>
          <w:tcPr>
            <w:tcW w:w="2552" w:type="dxa"/>
          </w:tcPr>
          <w:p w14:paraId="58FE8D4C" w14:textId="5B3B3BAD" w:rsidR="00F4284C" w:rsidRPr="00154588" w:rsidRDefault="00F4284C" w:rsidP="008C12B4">
            <w:pPr>
              <w:jc w:val="both"/>
              <w:rPr>
                <w:bCs/>
                <w:sz w:val="20"/>
                <w:szCs w:val="20"/>
              </w:rPr>
            </w:pPr>
            <w:r w:rsidRPr="00154588">
              <w:rPr>
                <w:bCs/>
                <w:sz w:val="20"/>
                <w:szCs w:val="20"/>
              </w:rPr>
              <w:t>Compatibil</w:t>
            </w:r>
          </w:p>
        </w:tc>
        <w:tc>
          <w:tcPr>
            <w:tcW w:w="3118" w:type="dxa"/>
          </w:tcPr>
          <w:p w14:paraId="387F800A" w14:textId="77777777" w:rsidR="00F4284C" w:rsidRPr="00154588" w:rsidRDefault="00F4284C" w:rsidP="008C12B4">
            <w:pPr>
              <w:jc w:val="both"/>
              <w:rPr>
                <w:bCs/>
                <w:sz w:val="20"/>
                <w:szCs w:val="20"/>
              </w:rPr>
            </w:pPr>
          </w:p>
        </w:tc>
      </w:tr>
      <w:tr w:rsidR="00F4284C" w:rsidRPr="00154588" w14:paraId="59A9F1AB" w14:textId="77777777" w:rsidTr="00D15C1B">
        <w:trPr>
          <w:jc w:val="center"/>
        </w:trPr>
        <w:tc>
          <w:tcPr>
            <w:tcW w:w="4957" w:type="dxa"/>
            <w:gridSpan w:val="2"/>
          </w:tcPr>
          <w:p w14:paraId="24F981B4" w14:textId="77777777" w:rsidR="00F4284C" w:rsidRPr="00154588" w:rsidRDefault="00F4284C" w:rsidP="008C12B4">
            <w:pPr>
              <w:jc w:val="both"/>
              <w:rPr>
                <w:b/>
                <w:sz w:val="20"/>
                <w:szCs w:val="20"/>
              </w:rPr>
            </w:pPr>
            <w:r w:rsidRPr="00154588">
              <w:rPr>
                <w:b/>
                <w:sz w:val="20"/>
                <w:szCs w:val="20"/>
              </w:rPr>
              <w:t>Articolul 45i</w:t>
            </w:r>
          </w:p>
          <w:p w14:paraId="12F1A046" w14:textId="77777777" w:rsidR="00F4284C" w:rsidRPr="00154588" w:rsidRDefault="00F4284C" w:rsidP="008C12B4">
            <w:pPr>
              <w:jc w:val="both"/>
              <w:rPr>
                <w:b/>
                <w:sz w:val="20"/>
                <w:szCs w:val="20"/>
              </w:rPr>
            </w:pPr>
          </w:p>
          <w:p w14:paraId="1743BAB3" w14:textId="5A9E54A7" w:rsidR="00F4284C" w:rsidRPr="00154588" w:rsidRDefault="00F4284C" w:rsidP="008C12B4">
            <w:pPr>
              <w:jc w:val="both"/>
              <w:rPr>
                <w:bCs/>
                <w:sz w:val="20"/>
                <w:szCs w:val="20"/>
              </w:rPr>
            </w:pPr>
            <w:r w:rsidRPr="00154588">
              <w:rPr>
                <w:b/>
                <w:sz w:val="20"/>
                <w:szCs w:val="20"/>
              </w:rPr>
              <w:t>Raportarea în scopuri de supraveghere și publicarea cerinței</w:t>
            </w:r>
          </w:p>
        </w:tc>
        <w:tc>
          <w:tcPr>
            <w:tcW w:w="4819" w:type="dxa"/>
          </w:tcPr>
          <w:p w14:paraId="64B5F24E" w14:textId="77777777" w:rsidR="00F4284C" w:rsidRPr="00154588" w:rsidRDefault="00F4284C" w:rsidP="008C12B4">
            <w:pPr>
              <w:jc w:val="both"/>
              <w:rPr>
                <w:bCs/>
                <w:sz w:val="20"/>
                <w:szCs w:val="20"/>
              </w:rPr>
            </w:pPr>
          </w:p>
        </w:tc>
        <w:tc>
          <w:tcPr>
            <w:tcW w:w="2552" w:type="dxa"/>
          </w:tcPr>
          <w:p w14:paraId="0D6EA378" w14:textId="77777777" w:rsidR="00F4284C" w:rsidRPr="00154588" w:rsidRDefault="00F4284C" w:rsidP="008C12B4">
            <w:pPr>
              <w:jc w:val="both"/>
              <w:rPr>
                <w:bCs/>
                <w:sz w:val="20"/>
                <w:szCs w:val="20"/>
              </w:rPr>
            </w:pPr>
          </w:p>
        </w:tc>
        <w:tc>
          <w:tcPr>
            <w:tcW w:w="3118" w:type="dxa"/>
          </w:tcPr>
          <w:p w14:paraId="6881EF35" w14:textId="77777777" w:rsidR="00F4284C" w:rsidRPr="00154588" w:rsidRDefault="00F4284C" w:rsidP="008C12B4">
            <w:pPr>
              <w:jc w:val="both"/>
              <w:rPr>
                <w:bCs/>
                <w:sz w:val="20"/>
                <w:szCs w:val="20"/>
              </w:rPr>
            </w:pPr>
          </w:p>
        </w:tc>
      </w:tr>
      <w:tr w:rsidR="00F4284C" w:rsidRPr="00154588" w14:paraId="5ACA4571" w14:textId="77777777" w:rsidTr="00D15C1B">
        <w:trPr>
          <w:jc w:val="center"/>
        </w:trPr>
        <w:tc>
          <w:tcPr>
            <w:tcW w:w="4957" w:type="dxa"/>
            <w:gridSpan w:val="2"/>
          </w:tcPr>
          <w:p w14:paraId="604191F4" w14:textId="77777777" w:rsidR="00F4284C" w:rsidRPr="00154588" w:rsidRDefault="00F4284C" w:rsidP="008C12B4">
            <w:pPr>
              <w:jc w:val="both"/>
              <w:rPr>
                <w:bCs/>
                <w:sz w:val="20"/>
                <w:szCs w:val="20"/>
              </w:rPr>
            </w:pPr>
            <w:r w:rsidRPr="00154588">
              <w:rPr>
                <w:bCs/>
                <w:sz w:val="20"/>
                <w:szCs w:val="20"/>
              </w:rPr>
              <w:t>(1)   Entitățile menționate la articolul 1 alineatul (1) care fac obiectul cerinței menționate la articolul 45 alineatul (1) prezintă autorităților lor competente și autorităților de rezoluție rapoarte privind:</w:t>
            </w:r>
          </w:p>
          <w:p w14:paraId="7910737C" w14:textId="77777777" w:rsidR="00F4284C" w:rsidRPr="00154588" w:rsidRDefault="00F4284C" w:rsidP="008C12B4">
            <w:pPr>
              <w:jc w:val="both"/>
              <w:rPr>
                <w:bCs/>
                <w:sz w:val="20"/>
                <w:szCs w:val="20"/>
              </w:rPr>
            </w:pPr>
          </w:p>
          <w:p w14:paraId="0197DED6" w14:textId="08672C05" w:rsidR="00F4284C" w:rsidRPr="00154588" w:rsidRDefault="00F4284C" w:rsidP="008C12B4">
            <w:pPr>
              <w:jc w:val="both"/>
              <w:rPr>
                <w:bCs/>
                <w:sz w:val="20"/>
                <w:szCs w:val="20"/>
              </w:rPr>
            </w:pPr>
            <w:r w:rsidRPr="00154588">
              <w:rPr>
                <w:bCs/>
                <w:sz w:val="20"/>
                <w:szCs w:val="20"/>
              </w:rPr>
              <w:t>(a) cuantumurile fondurilor proprii care, după caz, îndeplinesc condițiile de la articolul 45f alineatul (2) litera (b) din prezenta directivă și cuantumurile datoriilor eligibile, precum și exprimarea cuantumurilor respective în conformitate cu articolul 45 alineatul (2) din prezenta directivă în urma oricăror deduceri aplicabile în conformitate cu articolele 72e-72j din Regulamentul (UE) nr. 575/2013;</w:t>
            </w:r>
          </w:p>
          <w:p w14:paraId="3A4C6047" w14:textId="77777777" w:rsidR="00F4284C" w:rsidRPr="00154588" w:rsidRDefault="00F4284C" w:rsidP="008C12B4">
            <w:pPr>
              <w:jc w:val="both"/>
              <w:rPr>
                <w:bCs/>
                <w:sz w:val="20"/>
                <w:szCs w:val="20"/>
              </w:rPr>
            </w:pPr>
          </w:p>
          <w:p w14:paraId="399CBB45" w14:textId="39547302" w:rsidR="00F4284C" w:rsidRPr="00154588" w:rsidRDefault="00F4284C" w:rsidP="008C12B4">
            <w:pPr>
              <w:jc w:val="both"/>
              <w:rPr>
                <w:bCs/>
                <w:sz w:val="20"/>
                <w:szCs w:val="20"/>
              </w:rPr>
            </w:pPr>
            <w:r w:rsidRPr="00154588">
              <w:rPr>
                <w:bCs/>
                <w:sz w:val="20"/>
                <w:szCs w:val="20"/>
              </w:rPr>
              <w:t>(b) cuantumurile altor datorii care pot face obiectul recapitalizării interne;</w:t>
            </w:r>
          </w:p>
          <w:p w14:paraId="4CC9224D" w14:textId="77777777" w:rsidR="00F4284C" w:rsidRPr="00154588" w:rsidRDefault="00F4284C" w:rsidP="008C12B4">
            <w:pPr>
              <w:jc w:val="both"/>
              <w:rPr>
                <w:bCs/>
                <w:sz w:val="20"/>
                <w:szCs w:val="20"/>
              </w:rPr>
            </w:pPr>
          </w:p>
          <w:p w14:paraId="3B321E88" w14:textId="4069E3C9" w:rsidR="00F4284C" w:rsidRPr="00154588" w:rsidRDefault="00F4284C" w:rsidP="008C12B4">
            <w:pPr>
              <w:jc w:val="both"/>
              <w:rPr>
                <w:bCs/>
                <w:sz w:val="20"/>
                <w:szCs w:val="20"/>
              </w:rPr>
            </w:pPr>
            <w:r w:rsidRPr="00154588">
              <w:rPr>
                <w:bCs/>
                <w:sz w:val="20"/>
                <w:szCs w:val="20"/>
              </w:rPr>
              <w:t>(c) pentru elementele menționate la literele (a) și (b):</w:t>
            </w:r>
          </w:p>
          <w:p w14:paraId="0CCA21A0" w14:textId="77777777" w:rsidR="00F4284C" w:rsidRPr="00154588" w:rsidRDefault="00F4284C" w:rsidP="008C12B4">
            <w:pPr>
              <w:jc w:val="both"/>
              <w:rPr>
                <w:bCs/>
                <w:sz w:val="20"/>
                <w:szCs w:val="20"/>
              </w:rPr>
            </w:pPr>
          </w:p>
          <w:p w14:paraId="4B753BCB" w14:textId="050F8B91" w:rsidR="00F4284C" w:rsidRPr="00154588" w:rsidRDefault="00F4284C" w:rsidP="008C12B4">
            <w:pPr>
              <w:jc w:val="both"/>
              <w:rPr>
                <w:bCs/>
                <w:sz w:val="20"/>
                <w:szCs w:val="20"/>
              </w:rPr>
            </w:pPr>
            <w:r w:rsidRPr="00154588">
              <w:rPr>
                <w:bCs/>
                <w:sz w:val="20"/>
                <w:szCs w:val="20"/>
              </w:rPr>
              <w:t>(i) componența lor, inclusiv profilul de scadență;</w:t>
            </w:r>
          </w:p>
          <w:p w14:paraId="6B83AAD8" w14:textId="77777777" w:rsidR="00F4284C" w:rsidRPr="00154588" w:rsidRDefault="00F4284C" w:rsidP="008C12B4">
            <w:pPr>
              <w:jc w:val="both"/>
              <w:rPr>
                <w:bCs/>
                <w:sz w:val="20"/>
                <w:szCs w:val="20"/>
              </w:rPr>
            </w:pPr>
          </w:p>
          <w:p w14:paraId="26B84EDD" w14:textId="43FABC1D" w:rsidR="00F4284C" w:rsidRPr="00154588" w:rsidRDefault="00F4284C" w:rsidP="008C12B4">
            <w:pPr>
              <w:jc w:val="both"/>
              <w:rPr>
                <w:bCs/>
                <w:sz w:val="20"/>
                <w:szCs w:val="20"/>
              </w:rPr>
            </w:pPr>
            <w:r w:rsidRPr="00154588">
              <w:rPr>
                <w:bCs/>
                <w:sz w:val="20"/>
                <w:szCs w:val="20"/>
              </w:rPr>
              <w:lastRenderedPageBreak/>
              <w:t>(ii) rangul pe care îl ocupă în cadrul procedurilor obișnuite de insolvență; și</w:t>
            </w:r>
          </w:p>
          <w:p w14:paraId="07B6382D" w14:textId="77777777" w:rsidR="00F4284C" w:rsidRPr="00154588" w:rsidRDefault="00F4284C" w:rsidP="008C12B4">
            <w:pPr>
              <w:jc w:val="both"/>
              <w:rPr>
                <w:bCs/>
                <w:sz w:val="20"/>
                <w:szCs w:val="20"/>
              </w:rPr>
            </w:pPr>
          </w:p>
          <w:p w14:paraId="2EEE5209" w14:textId="2CBEDBF6" w:rsidR="00F4284C" w:rsidRPr="00154588" w:rsidRDefault="00F4284C" w:rsidP="008C12B4">
            <w:pPr>
              <w:jc w:val="both"/>
              <w:rPr>
                <w:bCs/>
                <w:sz w:val="20"/>
                <w:szCs w:val="20"/>
              </w:rPr>
            </w:pPr>
            <w:r w:rsidRPr="00154588">
              <w:rPr>
                <w:bCs/>
                <w:sz w:val="20"/>
                <w:szCs w:val="20"/>
              </w:rPr>
              <w:t>(iii) dacă sunt reglementate de legislația unei țări terțe și, în caz afirmativ, a cărei țări terțe, precum și dacă conțin clauzele contractuale menționate la articolul 55 alineatul (1) din prezenta directivă, la articolul 52 alineatul (1) literele (p) și (q) și la articolul 63 literele (n) și (o) din Regulamentul (UE) nr. 575/2013.</w:t>
            </w:r>
          </w:p>
          <w:p w14:paraId="07CDF6D1" w14:textId="77777777" w:rsidR="00F4284C" w:rsidRPr="00154588" w:rsidRDefault="00F4284C" w:rsidP="008C12B4">
            <w:pPr>
              <w:jc w:val="both"/>
              <w:rPr>
                <w:bCs/>
                <w:sz w:val="20"/>
                <w:szCs w:val="20"/>
              </w:rPr>
            </w:pPr>
          </w:p>
          <w:p w14:paraId="2008E310" w14:textId="038277B6" w:rsidR="00F4284C" w:rsidRPr="00154588" w:rsidRDefault="00F4284C" w:rsidP="008C12B4">
            <w:pPr>
              <w:jc w:val="both"/>
              <w:rPr>
                <w:bCs/>
                <w:sz w:val="20"/>
                <w:szCs w:val="20"/>
              </w:rPr>
            </w:pPr>
            <w:r w:rsidRPr="00154588">
              <w:rPr>
                <w:bCs/>
                <w:sz w:val="20"/>
                <w:szCs w:val="20"/>
              </w:rPr>
              <w:t>Obligația de a raporta cu privire la cuantumurile altor datorii care pot face obiectul recapitalizării interne menționate la primul paragraf litera (b) de la prezentul alineat nu se aplică în cazul entităților care, la data raportării informațiilor respective, dețin fonduri proprii și datorii eligibile în cuantum de cel puțin 150 % din cerința menționată la articolul 45 alineatul (1), calculate în conformitate cu primul paragraf litera (a) de la prezentul alineat.</w:t>
            </w:r>
          </w:p>
        </w:tc>
        <w:tc>
          <w:tcPr>
            <w:tcW w:w="4819" w:type="dxa"/>
          </w:tcPr>
          <w:p w14:paraId="5DCFD5E5" w14:textId="77777777" w:rsidR="00F4284C" w:rsidRPr="00154588" w:rsidRDefault="00F4284C" w:rsidP="008C12B4">
            <w:pPr>
              <w:jc w:val="both"/>
              <w:rPr>
                <w:bCs/>
                <w:sz w:val="20"/>
                <w:szCs w:val="20"/>
              </w:rPr>
            </w:pPr>
            <w:r w:rsidRPr="00154588">
              <w:rPr>
                <w:bCs/>
                <w:sz w:val="20"/>
                <w:szCs w:val="20"/>
              </w:rPr>
              <w:lastRenderedPageBreak/>
              <w:t> </w:t>
            </w:r>
            <w:r w:rsidRPr="00154588">
              <w:rPr>
                <w:b/>
                <w:bCs/>
                <w:sz w:val="20"/>
                <w:szCs w:val="20"/>
              </w:rPr>
              <w:t>Articolul 170</w:t>
            </w:r>
            <w:r w:rsidRPr="00154588">
              <w:rPr>
                <w:b/>
                <w:bCs/>
                <w:sz w:val="20"/>
                <w:szCs w:val="20"/>
                <w:vertAlign w:val="superscript"/>
              </w:rPr>
              <w:t>1</w:t>
            </w:r>
            <w:r w:rsidRPr="00154588">
              <w:rPr>
                <w:b/>
                <w:bCs/>
                <w:sz w:val="20"/>
                <w:szCs w:val="20"/>
              </w:rPr>
              <w:t>.</w:t>
            </w:r>
            <w:r w:rsidRPr="00154588">
              <w:rPr>
                <w:bCs/>
                <w:sz w:val="20"/>
                <w:szCs w:val="20"/>
              </w:rPr>
              <w:t xml:space="preserve"> – (1) Entităţile menţionate la art.1 alin.(1) care fac obiectul cerinţei menţionate la art.164 alin.(1) prezintă Băncii Naționale a Moldovei, în calitate de autoritate competentă și de autoritate de rezoluție rapoarte privind:</w:t>
            </w:r>
          </w:p>
          <w:p w14:paraId="094D9134" w14:textId="66F3C5A0" w:rsidR="00F4284C" w:rsidRPr="00154588" w:rsidRDefault="00F4284C" w:rsidP="008C12B4">
            <w:pPr>
              <w:jc w:val="both"/>
              <w:rPr>
                <w:bCs/>
                <w:sz w:val="20"/>
                <w:szCs w:val="20"/>
              </w:rPr>
            </w:pPr>
            <w:r w:rsidRPr="00154588">
              <w:rPr>
                <w:bCs/>
                <w:sz w:val="20"/>
                <w:szCs w:val="20"/>
              </w:rPr>
              <w:t>a) cuantumurile fondurilor proprii care, după caz, îndeplinesc condițiile de la art. 167</w:t>
            </w:r>
            <w:r w:rsidRPr="00154588">
              <w:rPr>
                <w:bCs/>
                <w:sz w:val="20"/>
                <w:szCs w:val="20"/>
                <w:vertAlign w:val="superscript"/>
              </w:rPr>
              <w:t>16</w:t>
            </w:r>
            <w:r w:rsidRPr="00154588">
              <w:rPr>
                <w:bCs/>
                <w:sz w:val="20"/>
                <w:szCs w:val="20"/>
              </w:rPr>
              <w:t xml:space="preserve"> lit. b) din prezenta lege și cuantumurile datoriilor eligibile, precum și exprimarea cuantumurilor respective în conformitate cu art.164 alin.(1) din prezenta lege în urma oricăror deduceri </w:t>
            </w:r>
            <w:bookmarkStart w:id="128" w:name="_Hlk234830017"/>
            <w:r w:rsidRPr="00154588">
              <w:rPr>
                <w:bCs/>
                <w:sz w:val="20"/>
                <w:szCs w:val="20"/>
              </w:rPr>
              <w:t xml:space="preserve">din elementele de pasive eligibile </w:t>
            </w:r>
            <w:bookmarkEnd w:id="128"/>
            <w:r w:rsidRPr="00154588">
              <w:rPr>
                <w:bCs/>
                <w:sz w:val="20"/>
                <w:szCs w:val="20"/>
              </w:rPr>
              <w:t>aplicabile în conformitate cu reglementările Băncii Naționale a Moldovei  emise în aplicarea prevederilor art.60, 61 și 62 din Legea nr.202/2017;</w:t>
            </w:r>
          </w:p>
          <w:p w14:paraId="5FB52372" w14:textId="77777777" w:rsidR="00F4284C" w:rsidRPr="00154588" w:rsidRDefault="00F4284C" w:rsidP="008C12B4">
            <w:pPr>
              <w:jc w:val="both"/>
              <w:rPr>
                <w:bCs/>
                <w:sz w:val="20"/>
                <w:szCs w:val="20"/>
              </w:rPr>
            </w:pPr>
          </w:p>
          <w:p w14:paraId="7FC837A7" w14:textId="473BE460" w:rsidR="00F4284C" w:rsidRPr="00154588" w:rsidRDefault="00F4284C" w:rsidP="008C12B4">
            <w:pPr>
              <w:jc w:val="both"/>
              <w:rPr>
                <w:bCs/>
                <w:sz w:val="20"/>
                <w:szCs w:val="20"/>
              </w:rPr>
            </w:pPr>
            <w:r w:rsidRPr="00154588">
              <w:rPr>
                <w:bCs/>
                <w:sz w:val="20"/>
                <w:szCs w:val="20"/>
              </w:rPr>
              <w:t>b) cuantumurile altor datorii care pot face obiectul recapitalizării interne;</w:t>
            </w:r>
          </w:p>
          <w:p w14:paraId="1439E3E1" w14:textId="77777777" w:rsidR="00F4284C" w:rsidRPr="00154588" w:rsidRDefault="00F4284C" w:rsidP="008C12B4">
            <w:pPr>
              <w:jc w:val="both"/>
              <w:rPr>
                <w:bCs/>
                <w:sz w:val="20"/>
                <w:szCs w:val="20"/>
              </w:rPr>
            </w:pPr>
          </w:p>
          <w:p w14:paraId="3F0BF19C" w14:textId="7354B893" w:rsidR="00F4284C" w:rsidRPr="00154588" w:rsidRDefault="00F4284C" w:rsidP="008C12B4">
            <w:pPr>
              <w:jc w:val="both"/>
              <w:rPr>
                <w:bCs/>
                <w:sz w:val="20"/>
                <w:szCs w:val="20"/>
              </w:rPr>
            </w:pPr>
            <w:r w:rsidRPr="00154588">
              <w:rPr>
                <w:bCs/>
                <w:sz w:val="20"/>
                <w:szCs w:val="20"/>
              </w:rPr>
              <w:t>c) pentru elementele menţionate la lit.a) și b):</w:t>
            </w:r>
          </w:p>
          <w:p w14:paraId="4840D5E6" w14:textId="77777777" w:rsidR="00F4284C" w:rsidRPr="00154588" w:rsidRDefault="00F4284C" w:rsidP="008C12B4">
            <w:pPr>
              <w:jc w:val="both"/>
              <w:rPr>
                <w:bCs/>
                <w:sz w:val="20"/>
                <w:szCs w:val="20"/>
              </w:rPr>
            </w:pPr>
            <w:r w:rsidRPr="00154588">
              <w:rPr>
                <w:bCs/>
                <w:sz w:val="20"/>
                <w:szCs w:val="20"/>
              </w:rPr>
              <w:t>(i) componenţa lor, inclusiv profilul de scadenţă;</w:t>
            </w:r>
          </w:p>
          <w:p w14:paraId="7A5AA56E" w14:textId="77777777" w:rsidR="00F4284C" w:rsidRPr="00154588" w:rsidRDefault="00F4284C" w:rsidP="008C12B4">
            <w:pPr>
              <w:jc w:val="both"/>
              <w:rPr>
                <w:bCs/>
                <w:sz w:val="20"/>
                <w:szCs w:val="20"/>
              </w:rPr>
            </w:pPr>
            <w:r w:rsidRPr="00154588">
              <w:rPr>
                <w:bCs/>
                <w:sz w:val="20"/>
                <w:szCs w:val="20"/>
              </w:rPr>
              <w:lastRenderedPageBreak/>
              <w:t>(ii) rangul pe care îl ocupă în cadrul procedurilor obișnuite de insolvabilitate; și</w:t>
            </w:r>
          </w:p>
          <w:p w14:paraId="028954BE" w14:textId="0504A1F6" w:rsidR="00F4284C" w:rsidRPr="00154588" w:rsidRDefault="00F4284C" w:rsidP="008C12B4">
            <w:pPr>
              <w:jc w:val="both"/>
              <w:rPr>
                <w:bCs/>
                <w:sz w:val="20"/>
                <w:szCs w:val="20"/>
              </w:rPr>
            </w:pPr>
            <w:r w:rsidRPr="00154588">
              <w:rPr>
                <w:bCs/>
                <w:sz w:val="20"/>
                <w:szCs w:val="20"/>
              </w:rPr>
              <w:t>(iii) dacă sunt reglementate de legislaţia unei ţări terţe și, în caz afirmativ, a cărei ţări terţe, precum și dacă conţin clauzele contractuale menţionate la art.210 din prezenta lege precum și                                                                                                                                                                                                                                                                                                                                                                                                                                                                                                                                                                                                                                                                                                                                                                                                                                                                                                                                                                                                                        tratamentul de reglementare a fondurilor proprii si datoriilor eligibile în cazul exercitării competenței de reducere a valorii și de conversie.</w:t>
            </w:r>
          </w:p>
          <w:p w14:paraId="6984A02A" w14:textId="4B1EB039" w:rsidR="00F4284C" w:rsidRPr="00154588" w:rsidRDefault="00F4284C" w:rsidP="008C12B4">
            <w:pPr>
              <w:jc w:val="both"/>
              <w:rPr>
                <w:bCs/>
                <w:sz w:val="20"/>
                <w:szCs w:val="20"/>
              </w:rPr>
            </w:pPr>
            <w:r w:rsidRPr="00154588">
              <w:rPr>
                <w:bCs/>
                <w:sz w:val="20"/>
                <w:szCs w:val="20"/>
              </w:rPr>
              <w:t>(2) Obligația de a raporta cu privire la cuantumurile altor datorii care pot face obiectul recapitalizării interne menționate la primul paragraf lit.b) de la prezentul alineat nu se aplică în cazul entităților care, la data raportării informațiilor respective, dețin fonduri proprii și datorii eligibile în cuantum de cel puțin 150 % din cerința menționată la art.164 alin.(1), calculate în conformitate cu lit.a).</w:t>
            </w:r>
          </w:p>
          <w:p w14:paraId="45F15DF8" w14:textId="77777777" w:rsidR="00F4284C" w:rsidRPr="00154588" w:rsidRDefault="00F4284C" w:rsidP="008C12B4">
            <w:pPr>
              <w:jc w:val="both"/>
              <w:rPr>
                <w:bCs/>
                <w:sz w:val="20"/>
                <w:szCs w:val="20"/>
              </w:rPr>
            </w:pPr>
          </w:p>
        </w:tc>
        <w:tc>
          <w:tcPr>
            <w:tcW w:w="2552" w:type="dxa"/>
          </w:tcPr>
          <w:p w14:paraId="69D8C8E5" w14:textId="0A6D3444"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3C9FFB44" w14:textId="77777777" w:rsidR="00F4284C" w:rsidRPr="00154588" w:rsidRDefault="00F4284C" w:rsidP="008C12B4">
            <w:pPr>
              <w:rPr>
                <w:bCs/>
                <w:sz w:val="20"/>
                <w:szCs w:val="20"/>
                <w:lang w:val="ro-MD"/>
              </w:rPr>
            </w:pPr>
          </w:p>
        </w:tc>
      </w:tr>
      <w:tr w:rsidR="00F4284C" w:rsidRPr="00154588" w14:paraId="6D6CFB65" w14:textId="77777777" w:rsidTr="00D15C1B">
        <w:trPr>
          <w:jc w:val="center"/>
        </w:trPr>
        <w:tc>
          <w:tcPr>
            <w:tcW w:w="4957" w:type="dxa"/>
            <w:gridSpan w:val="2"/>
          </w:tcPr>
          <w:p w14:paraId="7B5C8CC8" w14:textId="77777777" w:rsidR="00F4284C" w:rsidRPr="00154588" w:rsidRDefault="00F4284C" w:rsidP="008C12B4">
            <w:pPr>
              <w:jc w:val="both"/>
              <w:rPr>
                <w:bCs/>
                <w:sz w:val="20"/>
                <w:szCs w:val="20"/>
              </w:rPr>
            </w:pPr>
            <w:r w:rsidRPr="00154588">
              <w:rPr>
                <w:bCs/>
                <w:sz w:val="20"/>
                <w:szCs w:val="20"/>
              </w:rPr>
              <w:t>(2)   Entitățile menționate la alineatul (1) prezintă rapoarte:</w:t>
            </w:r>
          </w:p>
          <w:p w14:paraId="5CE31631" w14:textId="77777777" w:rsidR="00F4284C" w:rsidRPr="00154588" w:rsidRDefault="00F4284C" w:rsidP="008C12B4">
            <w:pPr>
              <w:jc w:val="both"/>
              <w:rPr>
                <w:bCs/>
                <w:sz w:val="20"/>
                <w:szCs w:val="20"/>
              </w:rPr>
            </w:pPr>
          </w:p>
          <w:p w14:paraId="7E6EC45B" w14:textId="4D80AFBF" w:rsidR="00F4284C" w:rsidRPr="00154588" w:rsidRDefault="00F4284C" w:rsidP="008C12B4">
            <w:pPr>
              <w:jc w:val="both"/>
              <w:rPr>
                <w:bCs/>
                <w:sz w:val="20"/>
                <w:szCs w:val="20"/>
              </w:rPr>
            </w:pPr>
            <w:r w:rsidRPr="00154588">
              <w:rPr>
                <w:bCs/>
                <w:sz w:val="20"/>
                <w:szCs w:val="20"/>
              </w:rPr>
              <w:t>(a) de cel puțin două ori pe an cu privire la informațiile menționate la alineatul (1) litera (a); și</w:t>
            </w:r>
          </w:p>
          <w:p w14:paraId="7A6FC19A" w14:textId="77777777" w:rsidR="00F4284C" w:rsidRPr="00154588" w:rsidRDefault="00F4284C" w:rsidP="008C12B4">
            <w:pPr>
              <w:jc w:val="both"/>
              <w:rPr>
                <w:bCs/>
                <w:sz w:val="20"/>
                <w:szCs w:val="20"/>
              </w:rPr>
            </w:pPr>
          </w:p>
          <w:p w14:paraId="76163CE4" w14:textId="00A7A8C2" w:rsidR="00F4284C" w:rsidRPr="00154588" w:rsidRDefault="00F4284C" w:rsidP="008C12B4">
            <w:pPr>
              <w:jc w:val="both"/>
              <w:rPr>
                <w:bCs/>
                <w:sz w:val="20"/>
                <w:szCs w:val="20"/>
              </w:rPr>
            </w:pPr>
            <w:r w:rsidRPr="00154588">
              <w:rPr>
                <w:bCs/>
                <w:sz w:val="20"/>
                <w:szCs w:val="20"/>
              </w:rPr>
              <w:t>(b) cel puțin o dată pe an cu privire la informațiile menționate la alineatul (1) literele (b) și (c).</w:t>
            </w:r>
          </w:p>
          <w:p w14:paraId="4E2AF0F6" w14:textId="77777777" w:rsidR="00F4284C" w:rsidRPr="00154588" w:rsidRDefault="00F4284C" w:rsidP="008C12B4">
            <w:pPr>
              <w:jc w:val="both"/>
              <w:rPr>
                <w:bCs/>
                <w:sz w:val="20"/>
                <w:szCs w:val="20"/>
              </w:rPr>
            </w:pPr>
          </w:p>
          <w:p w14:paraId="3597FCC9" w14:textId="606AEA34" w:rsidR="00F4284C" w:rsidRPr="00154588" w:rsidRDefault="00F4284C" w:rsidP="008C12B4">
            <w:pPr>
              <w:jc w:val="both"/>
              <w:rPr>
                <w:bCs/>
                <w:sz w:val="20"/>
                <w:szCs w:val="20"/>
              </w:rPr>
            </w:pPr>
            <w:r w:rsidRPr="00154588">
              <w:rPr>
                <w:bCs/>
                <w:sz w:val="20"/>
                <w:szCs w:val="20"/>
              </w:rPr>
              <w:t>Cu toate acestea, la cererea autorității competente sau a autorității de rezoluție, entitățile menționate la alineatul (1) prezintă mai frecvent rapoarte privind informațiile menționate la alineatul (1).</w:t>
            </w:r>
          </w:p>
        </w:tc>
        <w:tc>
          <w:tcPr>
            <w:tcW w:w="4819" w:type="dxa"/>
          </w:tcPr>
          <w:p w14:paraId="31C1049A" w14:textId="77777777" w:rsidR="00F4284C" w:rsidRPr="00154588" w:rsidRDefault="00F4284C" w:rsidP="008C12B4">
            <w:pPr>
              <w:jc w:val="both"/>
              <w:rPr>
                <w:bCs/>
                <w:sz w:val="20"/>
                <w:szCs w:val="20"/>
              </w:rPr>
            </w:pPr>
            <w:r w:rsidRPr="00154588">
              <w:rPr>
                <w:b/>
                <w:bCs/>
                <w:sz w:val="20"/>
                <w:szCs w:val="20"/>
              </w:rPr>
              <w:t>Articolul 170</w:t>
            </w:r>
            <w:r w:rsidRPr="00154588">
              <w:rPr>
                <w:b/>
                <w:bCs/>
                <w:sz w:val="20"/>
                <w:szCs w:val="20"/>
                <w:vertAlign w:val="superscript"/>
              </w:rPr>
              <w:t>2</w:t>
            </w:r>
            <w:r w:rsidRPr="00154588">
              <w:rPr>
                <w:b/>
                <w:bCs/>
                <w:sz w:val="20"/>
                <w:szCs w:val="20"/>
              </w:rPr>
              <w:t xml:space="preserve">. </w:t>
            </w:r>
            <w:r w:rsidRPr="00154588">
              <w:rPr>
                <w:bCs/>
                <w:sz w:val="20"/>
                <w:szCs w:val="20"/>
              </w:rPr>
              <w:t>– (1) Entitățile prevăzute la art.170</w:t>
            </w:r>
            <w:r w:rsidRPr="00154588">
              <w:rPr>
                <w:bCs/>
                <w:sz w:val="20"/>
                <w:szCs w:val="20"/>
                <w:vertAlign w:val="superscript"/>
              </w:rPr>
              <w:t>1</w:t>
            </w:r>
            <w:r w:rsidRPr="00154588">
              <w:rPr>
                <w:bCs/>
                <w:sz w:val="20"/>
                <w:szCs w:val="20"/>
              </w:rPr>
              <w:t xml:space="preserve"> prezintă raportări:</w:t>
            </w:r>
          </w:p>
          <w:p w14:paraId="54DA4B9B" w14:textId="77777777" w:rsidR="00F4284C" w:rsidRPr="00154588" w:rsidRDefault="00F4284C" w:rsidP="008C12B4">
            <w:pPr>
              <w:jc w:val="both"/>
              <w:rPr>
                <w:bCs/>
                <w:sz w:val="20"/>
                <w:szCs w:val="20"/>
              </w:rPr>
            </w:pPr>
            <w:r w:rsidRPr="00154588">
              <w:rPr>
                <w:bCs/>
                <w:sz w:val="20"/>
                <w:szCs w:val="20"/>
              </w:rPr>
              <w:t>a) cel puțin de două ori pe an, cu privire la informațiile prevăzute la art.170</w:t>
            </w:r>
            <w:r w:rsidRPr="00154588">
              <w:rPr>
                <w:bCs/>
                <w:sz w:val="20"/>
                <w:szCs w:val="20"/>
                <w:vertAlign w:val="superscript"/>
              </w:rPr>
              <w:t>1</w:t>
            </w:r>
            <w:r w:rsidRPr="00154588">
              <w:rPr>
                <w:bCs/>
                <w:sz w:val="20"/>
                <w:szCs w:val="20"/>
              </w:rPr>
              <w:t xml:space="preserve"> alin.(1) lit.a); și</w:t>
            </w:r>
          </w:p>
          <w:p w14:paraId="559353F9" w14:textId="570AA72F" w:rsidR="00F4284C" w:rsidRPr="00154588" w:rsidRDefault="00F4284C" w:rsidP="008C12B4">
            <w:pPr>
              <w:jc w:val="both"/>
              <w:rPr>
                <w:bCs/>
                <w:sz w:val="20"/>
                <w:szCs w:val="20"/>
              </w:rPr>
            </w:pPr>
            <w:r w:rsidRPr="00154588">
              <w:rPr>
                <w:bCs/>
                <w:sz w:val="20"/>
                <w:szCs w:val="20"/>
              </w:rPr>
              <w:t>b) cel puțin o dată pe an, cu privire la informațiile prevăzute la art.170</w:t>
            </w:r>
            <w:r w:rsidRPr="00154588">
              <w:rPr>
                <w:bCs/>
                <w:sz w:val="20"/>
                <w:szCs w:val="20"/>
                <w:vertAlign w:val="superscript"/>
              </w:rPr>
              <w:t>1</w:t>
            </w:r>
            <w:r w:rsidRPr="00154588">
              <w:rPr>
                <w:bCs/>
                <w:sz w:val="20"/>
                <w:szCs w:val="20"/>
              </w:rPr>
              <w:t xml:space="preserve"> alin.(1) lit.b) și c).</w:t>
            </w:r>
          </w:p>
          <w:p w14:paraId="1009490F" w14:textId="77777777" w:rsidR="00F4284C" w:rsidRPr="00154588" w:rsidRDefault="00F4284C" w:rsidP="008C12B4">
            <w:pPr>
              <w:jc w:val="both"/>
              <w:rPr>
                <w:bCs/>
                <w:sz w:val="20"/>
                <w:szCs w:val="20"/>
              </w:rPr>
            </w:pPr>
            <w:r w:rsidRPr="00154588">
              <w:rPr>
                <w:bCs/>
                <w:sz w:val="20"/>
                <w:szCs w:val="20"/>
              </w:rPr>
              <w:t>(2) La solicitarea Băncii Naționale a Moldovei, în calitate de autoritate competentă sau de autoritate de rezoluție, entitățile prevăzute la art.170</w:t>
            </w:r>
            <w:r w:rsidRPr="00154588">
              <w:rPr>
                <w:bCs/>
                <w:sz w:val="20"/>
                <w:szCs w:val="20"/>
                <w:vertAlign w:val="superscript"/>
              </w:rPr>
              <w:t>1</w:t>
            </w:r>
            <w:r w:rsidRPr="00154588">
              <w:rPr>
                <w:bCs/>
                <w:sz w:val="20"/>
                <w:szCs w:val="20"/>
              </w:rPr>
              <w:t xml:space="preserve"> prezintă raportările prevăzute la alin.(1) cu o frecvență mai mare.</w:t>
            </w:r>
          </w:p>
          <w:p w14:paraId="2784E2E6" w14:textId="77777777" w:rsidR="00F4284C" w:rsidRPr="00154588" w:rsidRDefault="00F4284C" w:rsidP="008C12B4">
            <w:pPr>
              <w:jc w:val="both"/>
              <w:rPr>
                <w:bCs/>
                <w:sz w:val="20"/>
                <w:szCs w:val="20"/>
              </w:rPr>
            </w:pPr>
          </w:p>
        </w:tc>
        <w:tc>
          <w:tcPr>
            <w:tcW w:w="2552" w:type="dxa"/>
          </w:tcPr>
          <w:p w14:paraId="3E03DB96" w14:textId="1A7AD512" w:rsidR="00F4284C" w:rsidRPr="00154588" w:rsidRDefault="00F4284C" w:rsidP="008C12B4">
            <w:pPr>
              <w:jc w:val="both"/>
              <w:rPr>
                <w:bCs/>
                <w:sz w:val="20"/>
                <w:szCs w:val="20"/>
              </w:rPr>
            </w:pPr>
            <w:r w:rsidRPr="00154588">
              <w:rPr>
                <w:bCs/>
                <w:sz w:val="20"/>
                <w:szCs w:val="20"/>
              </w:rPr>
              <w:t>Compatibil</w:t>
            </w:r>
          </w:p>
        </w:tc>
        <w:tc>
          <w:tcPr>
            <w:tcW w:w="3118" w:type="dxa"/>
          </w:tcPr>
          <w:p w14:paraId="350BCC2E" w14:textId="77777777" w:rsidR="00F4284C" w:rsidRPr="00154588" w:rsidRDefault="00F4284C" w:rsidP="008C12B4">
            <w:pPr>
              <w:jc w:val="both"/>
              <w:rPr>
                <w:bCs/>
                <w:sz w:val="20"/>
                <w:szCs w:val="20"/>
              </w:rPr>
            </w:pPr>
          </w:p>
        </w:tc>
      </w:tr>
      <w:tr w:rsidR="00F4284C" w:rsidRPr="00154588" w14:paraId="50BF61BE" w14:textId="77777777" w:rsidTr="00D15C1B">
        <w:trPr>
          <w:jc w:val="center"/>
        </w:trPr>
        <w:tc>
          <w:tcPr>
            <w:tcW w:w="4957" w:type="dxa"/>
            <w:gridSpan w:val="2"/>
          </w:tcPr>
          <w:p w14:paraId="2FA7B9A1" w14:textId="77777777" w:rsidR="00F4284C" w:rsidRPr="00154588" w:rsidRDefault="00F4284C" w:rsidP="008C12B4">
            <w:pPr>
              <w:jc w:val="both"/>
              <w:rPr>
                <w:bCs/>
                <w:sz w:val="20"/>
                <w:szCs w:val="20"/>
              </w:rPr>
            </w:pPr>
            <w:r w:rsidRPr="00154588">
              <w:rPr>
                <w:bCs/>
                <w:sz w:val="20"/>
                <w:szCs w:val="20"/>
              </w:rPr>
              <w:t>(3)   Cel puțin o dată pe an, entitățile menționate la alineatul (1) publică următoarele informații:</w:t>
            </w:r>
          </w:p>
          <w:p w14:paraId="7D09EDC2" w14:textId="77777777" w:rsidR="00F4284C" w:rsidRPr="00154588" w:rsidRDefault="00F4284C" w:rsidP="008C12B4">
            <w:pPr>
              <w:jc w:val="both"/>
              <w:rPr>
                <w:bCs/>
                <w:sz w:val="20"/>
                <w:szCs w:val="20"/>
              </w:rPr>
            </w:pPr>
          </w:p>
          <w:p w14:paraId="3762B849" w14:textId="5D14C1E3" w:rsidR="00F4284C" w:rsidRPr="00154588" w:rsidRDefault="00F4284C" w:rsidP="008C12B4">
            <w:pPr>
              <w:jc w:val="both"/>
              <w:rPr>
                <w:bCs/>
                <w:sz w:val="20"/>
                <w:szCs w:val="20"/>
              </w:rPr>
            </w:pPr>
            <w:r w:rsidRPr="00154588">
              <w:rPr>
                <w:bCs/>
                <w:sz w:val="20"/>
                <w:szCs w:val="20"/>
              </w:rPr>
              <w:t>(a) cuantumul fondurilor proprii care, dacă este cazul, îndeplinesc condițiile de la articolul 45f alineatul (2) litera (b), precum și al datoriilor eligibile;</w:t>
            </w:r>
          </w:p>
          <w:p w14:paraId="6144A86D" w14:textId="77777777" w:rsidR="00F4284C" w:rsidRPr="00154588" w:rsidRDefault="00F4284C" w:rsidP="008C12B4">
            <w:pPr>
              <w:jc w:val="both"/>
              <w:rPr>
                <w:bCs/>
                <w:sz w:val="20"/>
                <w:szCs w:val="20"/>
              </w:rPr>
            </w:pPr>
          </w:p>
          <w:p w14:paraId="33817441" w14:textId="2CA199E0" w:rsidR="00F4284C" w:rsidRPr="00154588" w:rsidRDefault="00F4284C" w:rsidP="008C12B4">
            <w:pPr>
              <w:jc w:val="both"/>
              <w:rPr>
                <w:bCs/>
                <w:sz w:val="20"/>
                <w:szCs w:val="20"/>
              </w:rPr>
            </w:pPr>
            <w:r w:rsidRPr="00154588">
              <w:rPr>
                <w:bCs/>
                <w:sz w:val="20"/>
                <w:szCs w:val="20"/>
              </w:rPr>
              <w:t>(b) componența elementelor menționate la litera (a), inclusiv profilul de scadență și rangul acordat în cadrul procedurilor obișnuite de insolvență;</w:t>
            </w:r>
          </w:p>
          <w:p w14:paraId="1CCE3B26" w14:textId="77777777" w:rsidR="00F4284C" w:rsidRPr="00154588" w:rsidRDefault="00F4284C" w:rsidP="008C12B4">
            <w:pPr>
              <w:jc w:val="both"/>
              <w:rPr>
                <w:bCs/>
                <w:sz w:val="20"/>
                <w:szCs w:val="20"/>
              </w:rPr>
            </w:pPr>
            <w:r w:rsidRPr="00154588">
              <w:rPr>
                <w:bCs/>
                <w:sz w:val="20"/>
                <w:szCs w:val="20"/>
              </w:rPr>
              <w:t>(c) cerința aplicabilă menționată la articolul 45e sau la articolul 45f exprimată în conformitate cu articolul 45 alineatul (2).</w:t>
            </w:r>
          </w:p>
          <w:p w14:paraId="6152BFCA" w14:textId="77777777" w:rsidR="00F4284C" w:rsidRPr="00154588" w:rsidRDefault="00F4284C" w:rsidP="008C12B4">
            <w:pPr>
              <w:jc w:val="both"/>
              <w:rPr>
                <w:bCs/>
                <w:sz w:val="20"/>
                <w:szCs w:val="20"/>
              </w:rPr>
            </w:pPr>
          </w:p>
          <w:p w14:paraId="4EDF88F5" w14:textId="60009A90" w:rsidR="00F4284C" w:rsidRPr="00154588" w:rsidRDefault="00F4284C" w:rsidP="008C12B4">
            <w:pPr>
              <w:jc w:val="both"/>
              <w:rPr>
                <w:bCs/>
                <w:sz w:val="20"/>
                <w:szCs w:val="20"/>
              </w:rPr>
            </w:pPr>
            <w:r w:rsidRPr="00154588">
              <w:rPr>
                <w:bCs/>
                <w:sz w:val="20"/>
                <w:szCs w:val="20"/>
              </w:rPr>
              <w:t>Entitățile publică informațiile solicitate în temeiul prezentului alineat în conformitate cu dispozițiile prevăzute la articolul 128b.</w:t>
            </w:r>
          </w:p>
        </w:tc>
        <w:tc>
          <w:tcPr>
            <w:tcW w:w="4819" w:type="dxa"/>
          </w:tcPr>
          <w:p w14:paraId="50FE2CB7" w14:textId="6D060676" w:rsidR="00F4284C" w:rsidRPr="00154588" w:rsidRDefault="00F4284C" w:rsidP="008C12B4">
            <w:pPr>
              <w:jc w:val="both"/>
              <w:rPr>
                <w:bCs/>
                <w:sz w:val="20"/>
                <w:szCs w:val="20"/>
              </w:rPr>
            </w:pPr>
            <w:r w:rsidRPr="00154588">
              <w:rPr>
                <w:b/>
                <w:bCs/>
                <w:sz w:val="20"/>
                <w:szCs w:val="20"/>
              </w:rPr>
              <w:lastRenderedPageBreak/>
              <w:t>Articolul 170</w:t>
            </w:r>
            <w:r w:rsidRPr="00154588">
              <w:rPr>
                <w:b/>
                <w:bCs/>
                <w:sz w:val="20"/>
                <w:szCs w:val="20"/>
                <w:vertAlign w:val="superscript"/>
              </w:rPr>
              <w:t>3</w:t>
            </w:r>
            <w:r w:rsidRPr="00154588">
              <w:rPr>
                <w:b/>
                <w:bCs/>
                <w:sz w:val="20"/>
                <w:szCs w:val="20"/>
              </w:rPr>
              <w:t>.</w:t>
            </w:r>
            <w:r w:rsidRPr="00154588">
              <w:rPr>
                <w:bCs/>
                <w:sz w:val="20"/>
                <w:szCs w:val="20"/>
              </w:rPr>
              <w:t xml:space="preserve"> – (1)</w:t>
            </w:r>
            <w:r w:rsidRPr="00154588">
              <w:rPr>
                <w:sz w:val="20"/>
                <w:szCs w:val="20"/>
              </w:rPr>
              <w:t xml:space="preserve"> </w:t>
            </w:r>
            <w:r w:rsidRPr="00154588">
              <w:rPr>
                <w:bCs/>
                <w:sz w:val="20"/>
                <w:szCs w:val="20"/>
              </w:rPr>
              <w:t>Cel puțin o dată pe an, entitățile prevăzute la art.170</w:t>
            </w:r>
            <w:r w:rsidRPr="00154588">
              <w:rPr>
                <w:bCs/>
                <w:sz w:val="20"/>
                <w:szCs w:val="20"/>
                <w:vertAlign w:val="superscript"/>
              </w:rPr>
              <w:t>1</w:t>
            </w:r>
            <w:r w:rsidRPr="00154588">
              <w:rPr>
                <w:bCs/>
                <w:sz w:val="20"/>
                <w:szCs w:val="20"/>
              </w:rPr>
              <w:t xml:space="preserve"> publică următoarele informații:</w:t>
            </w:r>
          </w:p>
          <w:p w14:paraId="3E3F8798" w14:textId="77777777" w:rsidR="00F4284C" w:rsidRPr="00154588" w:rsidRDefault="00F4284C" w:rsidP="008C12B4">
            <w:pPr>
              <w:jc w:val="both"/>
              <w:rPr>
                <w:bCs/>
                <w:sz w:val="20"/>
                <w:szCs w:val="20"/>
              </w:rPr>
            </w:pPr>
          </w:p>
          <w:p w14:paraId="42065367" w14:textId="735B6481" w:rsidR="00F4284C" w:rsidRPr="00154588" w:rsidRDefault="00F4284C" w:rsidP="008C12B4">
            <w:pPr>
              <w:jc w:val="both"/>
              <w:rPr>
                <w:bCs/>
                <w:sz w:val="20"/>
                <w:szCs w:val="20"/>
              </w:rPr>
            </w:pPr>
            <w:r w:rsidRPr="00154588">
              <w:rPr>
                <w:bCs/>
                <w:sz w:val="20"/>
                <w:szCs w:val="20"/>
              </w:rPr>
              <w:t>a) valoarea fondurilor proprii care, dacă este cazul, îndeplinesc condițiile de la art.167</w:t>
            </w:r>
            <w:r w:rsidRPr="00154588">
              <w:rPr>
                <w:bCs/>
                <w:sz w:val="20"/>
                <w:szCs w:val="20"/>
                <w:vertAlign w:val="superscript"/>
              </w:rPr>
              <w:t>16</w:t>
            </w:r>
            <w:r w:rsidRPr="00154588">
              <w:rPr>
                <w:bCs/>
                <w:sz w:val="20"/>
                <w:szCs w:val="20"/>
              </w:rPr>
              <w:t xml:space="preserve"> alin.(1) lit.b), precum și a datoriilor eligibile;</w:t>
            </w:r>
          </w:p>
          <w:p w14:paraId="56612A9C" w14:textId="77777777" w:rsidR="00F4284C" w:rsidRPr="00154588" w:rsidRDefault="00F4284C" w:rsidP="008C12B4">
            <w:pPr>
              <w:jc w:val="both"/>
              <w:rPr>
                <w:bCs/>
                <w:sz w:val="20"/>
                <w:szCs w:val="20"/>
              </w:rPr>
            </w:pPr>
          </w:p>
          <w:p w14:paraId="07BA77FA" w14:textId="09672E20" w:rsidR="00F4284C" w:rsidRPr="00154588" w:rsidRDefault="00F4284C" w:rsidP="008C12B4">
            <w:pPr>
              <w:jc w:val="both"/>
              <w:rPr>
                <w:bCs/>
                <w:sz w:val="20"/>
                <w:szCs w:val="20"/>
              </w:rPr>
            </w:pPr>
            <w:r w:rsidRPr="00154588">
              <w:rPr>
                <w:bCs/>
                <w:sz w:val="20"/>
                <w:szCs w:val="20"/>
              </w:rPr>
              <w:t>b) componența elementelor prevăzute la lit.a), inclusiv profilul de scadență și rangul acordat în cadrul procedurilor obișnuite de insolvabilitate;</w:t>
            </w:r>
          </w:p>
          <w:p w14:paraId="17997855" w14:textId="77777777" w:rsidR="00F4284C" w:rsidRPr="00154588" w:rsidRDefault="00F4284C" w:rsidP="008C12B4">
            <w:pPr>
              <w:jc w:val="both"/>
              <w:rPr>
                <w:bCs/>
                <w:sz w:val="20"/>
                <w:szCs w:val="20"/>
              </w:rPr>
            </w:pPr>
            <w:r w:rsidRPr="00154588">
              <w:rPr>
                <w:bCs/>
                <w:sz w:val="20"/>
                <w:szCs w:val="20"/>
              </w:rPr>
              <w:t>c) cerința aplicabilă potrivit prevederilor art.167</w:t>
            </w:r>
            <w:r w:rsidRPr="00154588">
              <w:rPr>
                <w:bCs/>
                <w:sz w:val="20"/>
                <w:szCs w:val="20"/>
                <w:vertAlign w:val="superscript"/>
              </w:rPr>
              <w:t>14</w:t>
            </w:r>
            <w:r w:rsidRPr="00154588">
              <w:rPr>
                <w:bCs/>
                <w:sz w:val="20"/>
                <w:szCs w:val="20"/>
              </w:rPr>
              <w:t xml:space="preserve"> sau art.167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Pr="00154588">
              <w:rPr>
                <w:bCs/>
                <w:sz w:val="20"/>
                <w:szCs w:val="20"/>
              </w:rPr>
              <w:t>, exprimată în conformitate cu prevederile art.164 alin.(1).</w:t>
            </w:r>
          </w:p>
          <w:p w14:paraId="73368C2C" w14:textId="77777777" w:rsidR="00F4284C" w:rsidRPr="00154588" w:rsidRDefault="00F4284C" w:rsidP="008C12B4">
            <w:pPr>
              <w:jc w:val="both"/>
              <w:rPr>
                <w:bCs/>
                <w:sz w:val="20"/>
                <w:szCs w:val="20"/>
              </w:rPr>
            </w:pPr>
          </w:p>
          <w:p w14:paraId="43AC3153" w14:textId="66099E23" w:rsidR="00F4284C" w:rsidRPr="00154588" w:rsidRDefault="00F4284C" w:rsidP="008C12B4">
            <w:pPr>
              <w:jc w:val="both"/>
              <w:rPr>
                <w:bCs/>
                <w:sz w:val="20"/>
                <w:szCs w:val="20"/>
              </w:rPr>
            </w:pPr>
            <w:bookmarkStart w:id="129" w:name="_Hlk234831053"/>
            <w:r w:rsidRPr="00154588">
              <w:rPr>
                <w:bCs/>
                <w:sz w:val="20"/>
                <w:szCs w:val="20"/>
              </w:rPr>
              <w:t xml:space="preserve">(2) Entitățile publică informațiile solicitate în temeiul prezentului </w:t>
            </w:r>
            <w:r w:rsidR="00BE7828" w:rsidRPr="00154588">
              <w:rPr>
                <w:bCs/>
                <w:sz w:val="20"/>
                <w:szCs w:val="20"/>
              </w:rPr>
              <w:t>articol</w:t>
            </w:r>
            <w:r w:rsidRPr="00154588">
              <w:rPr>
                <w:bCs/>
                <w:sz w:val="20"/>
                <w:szCs w:val="20"/>
              </w:rPr>
              <w:t xml:space="preserve"> în conformitate cu prevederile </w:t>
            </w:r>
            <w:r w:rsidRPr="00154588">
              <w:rPr>
                <w:sz w:val="20"/>
                <w:szCs w:val="20"/>
              </w:rPr>
              <w:t>art.</w:t>
            </w:r>
            <w:r w:rsidR="00BE7828" w:rsidRPr="00154588">
              <w:rPr>
                <w:bCs/>
                <w:sz w:val="20"/>
                <w:szCs w:val="20"/>
              </w:rPr>
              <w:t>354 din prezenta lege.</w:t>
            </w:r>
            <w:bookmarkEnd w:id="129"/>
          </w:p>
        </w:tc>
        <w:tc>
          <w:tcPr>
            <w:tcW w:w="2552" w:type="dxa"/>
          </w:tcPr>
          <w:p w14:paraId="0364794C" w14:textId="754CC823"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408E0DBC" w14:textId="77777777" w:rsidR="00F4284C" w:rsidRPr="00154588" w:rsidRDefault="00F4284C" w:rsidP="008C12B4">
            <w:pPr>
              <w:jc w:val="both"/>
              <w:rPr>
                <w:bCs/>
                <w:sz w:val="20"/>
                <w:szCs w:val="20"/>
              </w:rPr>
            </w:pPr>
          </w:p>
        </w:tc>
      </w:tr>
      <w:tr w:rsidR="00F4284C" w:rsidRPr="00154588" w14:paraId="0351AA21" w14:textId="77777777" w:rsidTr="00D15C1B">
        <w:trPr>
          <w:jc w:val="center"/>
        </w:trPr>
        <w:tc>
          <w:tcPr>
            <w:tcW w:w="4957" w:type="dxa"/>
            <w:gridSpan w:val="2"/>
          </w:tcPr>
          <w:p w14:paraId="752AD7F0" w14:textId="7D106A0F" w:rsidR="00F4284C" w:rsidRPr="00154588" w:rsidRDefault="00F4284C" w:rsidP="008C12B4">
            <w:pPr>
              <w:jc w:val="both"/>
              <w:rPr>
                <w:bCs/>
                <w:sz w:val="20"/>
                <w:szCs w:val="20"/>
              </w:rPr>
            </w:pPr>
            <w:r w:rsidRPr="00154588">
              <w:rPr>
                <w:bCs/>
                <w:sz w:val="20"/>
                <w:szCs w:val="20"/>
              </w:rPr>
              <w:t>(4)   Alineatele (1) și (3) nu se aplică unei entități destinate lichidării, cu excepția cazului în care autoritatea de rezoluție a stabilit cerința menționată la articolul 45 alineatul (1) pentru entitatea respectivă în conformitate cu articolul 45c alineatul (2a) al doilea paragraf. În acest caz, autoritatea de rezoluție stabilește conținutul și frecvența obligațiilor de raportare și de publicare menționate la alineatele (5) și (6) de la prezentul articol pentru entitatea respectivă. Autoritatea de rezoluție comunică aceste obligații de raportare și de publicare entității destinate lichidării în cauză. Obligațiile de raportare și de publicare nu depășesc ceea ce este necesar pentru a monitoriza respectarea cerinței stabilite în temeiul articolului 45c alineatul (2a) al doilea paragraf.</w:t>
            </w:r>
          </w:p>
        </w:tc>
        <w:tc>
          <w:tcPr>
            <w:tcW w:w="4819" w:type="dxa"/>
          </w:tcPr>
          <w:p w14:paraId="46D9139C" w14:textId="6EE8DD64" w:rsidR="00F4284C" w:rsidRPr="00154588" w:rsidRDefault="00F4284C" w:rsidP="008C12B4">
            <w:pPr>
              <w:jc w:val="both"/>
              <w:rPr>
                <w:bCs/>
                <w:sz w:val="20"/>
                <w:szCs w:val="20"/>
              </w:rPr>
            </w:pPr>
            <w:r w:rsidRPr="00154588">
              <w:rPr>
                <w:b/>
                <w:bCs/>
                <w:sz w:val="20"/>
                <w:szCs w:val="20"/>
              </w:rPr>
              <w:t>Articolul 170</w:t>
            </w:r>
            <w:r w:rsidRPr="00154588">
              <w:rPr>
                <w:b/>
                <w:bCs/>
                <w:sz w:val="20"/>
                <w:szCs w:val="20"/>
                <w:vertAlign w:val="superscript"/>
              </w:rPr>
              <w:t>4</w:t>
            </w:r>
            <w:r w:rsidRPr="00154588">
              <w:rPr>
                <w:b/>
                <w:bCs/>
                <w:sz w:val="20"/>
                <w:szCs w:val="20"/>
              </w:rPr>
              <w:t>.</w:t>
            </w:r>
            <w:r w:rsidRPr="00154588">
              <w:rPr>
                <w:bCs/>
                <w:sz w:val="20"/>
                <w:szCs w:val="20"/>
                <w:vertAlign w:val="superscript"/>
              </w:rPr>
              <w:t xml:space="preserve"> </w:t>
            </w:r>
            <w:r w:rsidRPr="00154588">
              <w:rPr>
                <w:bCs/>
                <w:sz w:val="20"/>
                <w:szCs w:val="20"/>
              </w:rPr>
              <w:t>- (1) Prevederile art.170</w:t>
            </w:r>
            <w:r w:rsidRPr="00154588">
              <w:rPr>
                <w:bCs/>
                <w:sz w:val="20"/>
                <w:szCs w:val="20"/>
                <w:vertAlign w:val="superscript"/>
              </w:rPr>
              <w:t>1</w:t>
            </w:r>
            <w:r w:rsidRPr="00154588">
              <w:rPr>
                <w:bCs/>
                <w:sz w:val="20"/>
                <w:szCs w:val="20"/>
              </w:rPr>
              <w:t xml:space="preserve"> și 170</w:t>
            </w:r>
            <w:r w:rsidRPr="00154588">
              <w:rPr>
                <w:bCs/>
                <w:sz w:val="20"/>
                <w:szCs w:val="20"/>
                <w:vertAlign w:val="superscript"/>
              </w:rPr>
              <w:t>3</w:t>
            </w:r>
            <w:r w:rsidRPr="00154588">
              <w:rPr>
                <w:bCs/>
                <w:sz w:val="20"/>
                <w:szCs w:val="20"/>
              </w:rPr>
              <w:t xml:space="preserve"> nu se aplică unei entități destinate lichidării, cu excepția situației în care Banca Națională a Moldovei, în calitate de autoritate de rezoluție, a determinat cerința prevăzută de art.164 alin.(1) pentru o astfel de entitate, în conformitate cu prevederile art.167</w:t>
            </w:r>
            <w:r w:rsidRPr="00154588">
              <w:rPr>
                <w:bCs/>
                <w:sz w:val="20"/>
                <w:szCs w:val="20"/>
                <w:vertAlign w:val="superscript"/>
              </w:rPr>
              <w:t>5</w:t>
            </w:r>
            <w:r w:rsidRPr="00154588">
              <w:rPr>
                <w:bCs/>
                <w:sz w:val="20"/>
                <w:szCs w:val="20"/>
              </w:rPr>
              <w:t xml:space="preserve"> alin. (3)-(5).</w:t>
            </w:r>
          </w:p>
          <w:p w14:paraId="10D21946" w14:textId="77777777" w:rsidR="00F4284C" w:rsidRPr="00154588" w:rsidRDefault="00F4284C" w:rsidP="008C12B4">
            <w:pPr>
              <w:jc w:val="both"/>
              <w:rPr>
                <w:bCs/>
                <w:sz w:val="20"/>
                <w:szCs w:val="20"/>
              </w:rPr>
            </w:pPr>
            <w:r w:rsidRPr="00154588">
              <w:rPr>
                <w:bCs/>
                <w:sz w:val="20"/>
                <w:szCs w:val="20"/>
              </w:rPr>
              <w:t>(2) În situația prevăzută la alin.(1), Banca Națională a Moldovei, în calitate de autoritate de rezoluție, stabilește obligațiile de raportare și publicare pentru entitatea respectivă, inclusiv în ceea ce privește frecvența, conform reglementărilor emise la nivel european.</w:t>
            </w:r>
          </w:p>
          <w:p w14:paraId="45ABBD94" w14:textId="466896F1" w:rsidR="00F4284C" w:rsidRPr="00154588" w:rsidRDefault="00F4284C" w:rsidP="008C12B4">
            <w:pPr>
              <w:jc w:val="both"/>
              <w:rPr>
                <w:bCs/>
                <w:sz w:val="20"/>
                <w:szCs w:val="20"/>
              </w:rPr>
            </w:pPr>
            <w:r w:rsidRPr="00154588">
              <w:rPr>
                <w:bCs/>
                <w:sz w:val="20"/>
                <w:szCs w:val="20"/>
              </w:rPr>
              <w:t>(3) Banca Națională a Moldovei, în calitate de autoritate de rezoluție, comunică aceste obligații de raportare și publicare entității destinate lichidării. Obligațiile respective trebuie să se limiteze strict la ceea ce este necesar pentru ca Banca Națională a Moldovei, în calitate de autoritate de rezoluție, să monitorizeze respectarea cerinței stabilite în temeiul prevederilor art.167</w:t>
            </w:r>
            <w:r w:rsidRPr="00154588">
              <w:rPr>
                <w:bCs/>
                <w:sz w:val="20"/>
                <w:szCs w:val="20"/>
                <w:vertAlign w:val="superscript"/>
              </w:rPr>
              <w:t>5</w:t>
            </w:r>
            <w:r w:rsidRPr="00154588">
              <w:rPr>
                <w:bCs/>
                <w:sz w:val="20"/>
                <w:szCs w:val="20"/>
              </w:rPr>
              <w:t xml:space="preserve"> alin.(3)-(5).</w:t>
            </w:r>
          </w:p>
        </w:tc>
        <w:tc>
          <w:tcPr>
            <w:tcW w:w="2552" w:type="dxa"/>
          </w:tcPr>
          <w:p w14:paraId="2D2246A5" w14:textId="1DA6D430" w:rsidR="00F4284C" w:rsidRPr="00154588" w:rsidRDefault="00F4284C" w:rsidP="008C12B4">
            <w:pPr>
              <w:jc w:val="both"/>
              <w:rPr>
                <w:bCs/>
                <w:sz w:val="20"/>
                <w:szCs w:val="20"/>
              </w:rPr>
            </w:pPr>
            <w:r w:rsidRPr="00154588">
              <w:rPr>
                <w:bCs/>
                <w:sz w:val="20"/>
                <w:szCs w:val="20"/>
              </w:rPr>
              <w:t>Compatibil</w:t>
            </w:r>
          </w:p>
        </w:tc>
        <w:tc>
          <w:tcPr>
            <w:tcW w:w="3118" w:type="dxa"/>
          </w:tcPr>
          <w:p w14:paraId="16FCE589" w14:textId="77777777" w:rsidR="00F4284C" w:rsidRPr="00154588" w:rsidRDefault="00F4284C" w:rsidP="008C12B4">
            <w:pPr>
              <w:jc w:val="both"/>
              <w:rPr>
                <w:bCs/>
                <w:sz w:val="20"/>
                <w:szCs w:val="20"/>
              </w:rPr>
            </w:pPr>
          </w:p>
        </w:tc>
      </w:tr>
      <w:tr w:rsidR="00F4284C" w:rsidRPr="00154588" w14:paraId="549C31E1" w14:textId="77777777" w:rsidTr="00D15C1B">
        <w:trPr>
          <w:jc w:val="center"/>
        </w:trPr>
        <w:tc>
          <w:tcPr>
            <w:tcW w:w="4957" w:type="dxa"/>
            <w:gridSpan w:val="2"/>
          </w:tcPr>
          <w:p w14:paraId="6258B125" w14:textId="77777777" w:rsidR="00F4284C" w:rsidRPr="00154588" w:rsidRDefault="00F4284C" w:rsidP="008C12B4">
            <w:pPr>
              <w:jc w:val="both"/>
              <w:rPr>
                <w:bCs/>
                <w:sz w:val="20"/>
                <w:szCs w:val="20"/>
              </w:rPr>
            </w:pPr>
            <w:r w:rsidRPr="00154588">
              <w:rPr>
                <w:bCs/>
                <w:sz w:val="20"/>
                <w:szCs w:val="20"/>
              </w:rPr>
              <w:t xml:space="preserve">(5)   5) ABE elaborează proiecte de standarde tehnice de punere în aplicare care să precizeze: </w:t>
            </w:r>
          </w:p>
          <w:p w14:paraId="4E3A1166" w14:textId="77777777" w:rsidR="00F4284C" w:rsidRPr="00154588" w:rsidRDefault="00F4284C" w:rsidP="008C12B4">
            <w:pPr>
              <w:jc w:val="both"/>
              <w:rPr>
                <w:bCs/>
                <w:sz w:val="20"/>
                <w:szCs w:val="20"/>
              </w:rPr>
            </w:pPr>
            <w:r w:rsidRPr="00154588">
              <w:rPr>
                <w:bCs/>
                <w:sz w:val="20"/>
                <w:szCs w:val="20"/>
              </w:rPr>
              <w:t xml:space="preserve">(a) metodele și modalitățile de raportare a informațiilor menționate la alineatele (1) și (2); </w:t>
            </w:r>
          </w:p>
          <w:p w14:paraId="0E4EDBF6" w14:textId="77777777" w:rsidR="00F4284C" w:rsidRPr="00154588" w:rsidRDefault="00F4284C" w:rsidP="008C12B4">
            <w:pPr>
              <w:jc w:val="both"/>
              <w:rPr>
                <w:bCs/>
                <w:sz w:val="20"/>
                <w:szCs w:val="20"/>
              </w:rPr>
            </w:pPr>
          </w:p>
          <w:p w14:paraId="7EA6F3FE" w14:textId="77777777" w:rsidR="00F4284C" w:rsidRPr="00154588" w:rsidRDefault="00F4284C" w:rsidP="008C12B4">
            <w:pPr>
              <w:jc w:val="both"/>
              <w:rPr>
                <w:bCs/>
                <w:sz w:val="20"/>
                <w:szCs w:val="20"/>
              </w:rPr>
            </w:pPr>
            <w:r w:rsidRPr="00154588">
              <w:rPr>
                <w:bCs/>
                <w:sz w:val="20"/>
                <w:szCs w:val="20"/>
              </w:rPr>
              <w:t xml:space="preserve">(b) frecvența și termenele de transmitere pentru raportarea menționată la litera (a). </w:t>
            </w:r>
          </w:p>
          <w:p w14:paraId="1822082E" w14:textId="77777777" w:rsidR="00F4284C" w:rsidRPr="00154588" w:rsidRDefault="00F4284C" w:rsidP="008C12B4">
            <w:pPr>
              <w:jc w:val="both"/>
              <w:rPr>
                <w:bCs/>
                <w:sz w:val="20"/>
                <w:szCs w:val="20"/>
              </w:rPr>
            </w:pPr>
          </w:p>
          <w:p w14:paraId="631AECC6" w14:textId="77777777" w:rsidR="00F4284C" w:rsidRPr="00154588" w:rsidRDefault="00F4284C" w:rsidP="008C12B4">
            <w:pPr>
              <w:jc w:val="both"/>
              <w:rPr>
                <w:bCs/>
                <w:sz w:val="20"/>
                <w:szCs w:val="20"/>
              </w:rPr>
            </w:pPr>
            <w:r w:rsidRPr="00154588">
              <w:rPr>
                <w:bCs/>
                <w:sz w:val="20"/>
                <w:szCs w:val="20"/>
              </w:rPr>
              <w:t xml:space="preserve">Proiectele de standarde tehnice de punere în aplicare precizează o modalitate standardizată de comunicare a informațiilor cu privire la ordinea de prioritate a elementelor menționate la alineatul (1) litera (c), aplicabilă în procedurile de insolvență naționale în fiecare stat membru. </w:t>
            </w:r>
          </w:p>
          <w:p w14:paraId="4681B30B" w14:textId="77777777" w:rsidR="00F4284C" w:rsidRPr="00154588" w:rsidRDefault="00F4284C" w:rsidP="008C12B4">
            <w:pPr>
              <w:jc w:val="both"/>
              <w:rPr>
                <w:bCs/>
                <w:sz w:val="20"/>
                <w:szCs w:val="20"/>
              </w:rPr>
            </w:pPr>
          </w:p>
          <w:p w14:paraId="1FCDA507" w14:textId="77777777" w:rsidR="00F4284C" w:rsidRPr="00154588" w:rsidRDefault="00F4284C" w:rsidP="008C12B4">
            <w:pPr>
              <w:jc w:val="both"/>
              <w:rPr>
                <w:bCs/>
                <w:sz w:val="20"/>
                <w:szCs w:val="20"/>
              </w:rPr>
            </w:pPr>
            <w:r w:rsidRPr="00154588">
              <w:rPr>
                <w:bCs/>
                <w:sz w:val="20"/>
                <w:szCs w:val="20"/>
              </w:rPr>
              <w:t xml:space="preserve">În cazul instituțiilor și entităților menționate la articolul 1 alineatul (1) literele (b), (c) și (d) din prezenta directivă care intră sub incidența articolelor 92a și 92b din Regulamentul (UE) nr. 575/2013, pentru aceste proiecte de standarde tehnice de punere în aplicare se </w:t>
            </w:r>
            <w:r w:rsidRPr="00154588">
              <w:rPr>
                <w:bCs/>
                <w:sz w:val="20"/>
                <w:szCs w:val="20"/>
              </w:rPr>
              <w:lastRenderedPageBreak/>
              <w:t xml:space="preserve">asigură consecvența, după caz, cu actul de punere în aplicare adoptat în temeiul articolului 430 din regulamentul menționat. </w:t>
            </w:r>
          </w:p>
          <w:p w14:paraId="19CB99E6" w14:textId="77777777" w:rsidR="00F4284C" w:rsidRPr="00154588" w:rsidRDefault="00F4284C" w:rsidP="008C12B4">
            <w:pPr>
              <w:jc w:val="both"/>
              <w:rPr>
                <w:bCs/>
                <w:sz w:val="20"/>
                <w:szCs w:val="20"/>
              </w:rPr>
            </w:pPr>
          </w:p>
          <w:p w14:paraId="7545B218" w14:textId="77777777" w:rsidR="00F4284C" w:rsidRPr="00154588" w:rsidRDefault="00F4284C" w:rsidP="008C12B4">
            <w:pPr>
              <w:jc w:val="both"/>
              <w:rPr>
                <w:bCs/>
                <w:sz w:val="20"/>
                <w:szCs w:val="20"/>
              </w:rPr>
            </w:pPr>
            <w:r w:rsidRPr="00154588">
              <w:rPr>
                <w:bCs/>
                <w:sz w:val="20"/>
                <w:szCs w:val="20"/>
              </w:rPr>
              <w:t xml:space="preserve">ABE transmite Comisiei respectivele proiecte de standarde tehnice de punere în aplicare până la 11 mai 2027. </w:t>
            </w:r>
          </w:p>
          <w:p w14:paraId="03059795" w14:textId="77777777" w:rsidR="00F4284C" w:rsidRPr="00154588" w:rsidRDefault="00F4284C" w:rsidP="008C12B4">
            <w:pPr>
              <w:jc w:val="both"/>
              <w:rPr>
                <w:bCs/>
                <w:sz w:val="20"/>
                <w:szCs w:val="20"/>
              </w:rPr>
            </w:pPr>
          </w:p>
          <w:p w14:paraId="486359C3" w14:textId="00B55D10" w:rsidR="00F4284C" w:rsidRPr="00154588" w:rsidRDefault="00F4284C" w:rsidP="008C12B4">
            <w:pPr>
              <w:jc w:val="both"/>
              <w:rPr>
                <w:bCs/>
                <w:sz w:val="20"/>
                <w:szCs w:val="20"/>
              </w:rPr>
            </w:pPr>
            <w:r w:rsidRPr="00154588">
              <w:rPr>
                <w:bCs/>
                <w:sz w:val="20"/>
                <w:szCs w:val="20"/>
              </w:rPr>
              <w:t>Se conferă Comisiei competența de a adopta standardele tehnice de punere în aplicare menționate la primul paragraf de la prezentul alineat în conformitate cu articolul 15 din Regulamentul (UE) nr. 1093/2010.</w:t>
            </w:r>
          </w:p>
          <w:p w14:paraId="5A4449BC" w14:textId="48BFD973" w:rsidR="00F4284C" w:rsidRPr="00154588" w:rsidRDefault="00F4284C" w:rsidP="008C12B4">
            <w:pPr>
              <w:jc w:val="both"/>
              <w:rPr>
                <w:bCs/>
                <w:sz w:val="20"/>
                <w:szCs w:val="20"/>
              </w:rPr>
            </w:pPr>
          </w:p>
        </w:tc>
        <w:tc>
          <w:tcPr>
            <w:tcW w:w="4819" w:type="dxa"/>
          </w:tcPr>
          <w:p w14:paraId="52EEF1E6" w14:textId="77777777" w:rsidR="00F4284C" w:rsidRPr="00154588" w:rsidRDefault="00F4284C" w:rsidP="008C12B4">
            <w:pPr>
              <w:jc w:val="both"/>
              <w:rPr>
                <w:bCs/>
                <w:sz w:val="20"/>
                <w:szCs w:val="20"/>
              </w:rPr>
            </w:pPr>
          </w:p>
        </w:tc>
        <w:tc>
          <w:tcPr>
            <w:tcW w:w="2552" w:type="dxa"/>
          </w:tcPr>
          <w:p w14:paraId="58B4B983" w14:textId="6119BF9D"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283DCB68" w14:textId="33D8D5DC" w:rsidR="00F4284C" w:rsidRPr="00154588" w:rsidRDefault="00F4284C" w:rsidP="008C12B4">
            <w:pPr>
              <w:jc w:val="both"/>
              <w:rPr>
                <w:bCs/>
                <w:sz w:val="20"/>
                <w:szCs w:val="20"/>
              </w:rPr>
            </w:pPr>
            <w:r w:rsidRPr="00154588">
              <w:rPr>
                <w:bCs/>
                <w:sz w:val="20"/>
                <w:szCs w:val="20"/>
                <w:lang w:val="ro-MD"/>
              </w:rPr>
              <w:t>Prevederi care se referă la atribuțiile de reglementare ale autorităților europene.</w:t>
            </w:r>
          </w:p>
        </w:tc>
      </w:tr>
      <w:tr w:rsidR="00F4284C" w:rsidRPr="00154588" w14:paraId="50C19B4F" w14:textId="77777777" w:rsidTr="00D15C1B">
        <w:trPr>
          <w:jc w:val="center"/>
        </w:trPr>
        <w:tc>
          <w:tcPr>
            <w:tcW w:w="4957" w:type="dxa"/>
            <w:gridSpan w:val="2"/>
          </w:tcPr>
          <w:p w14:paraId="5AAD470B" w14:textId="0D3C7C3B" w:rsidR="00F4284C" w:rsidRPr="00154588" w:rsidRDefault="00F4284C" w:rsidP="008C12B4">
            <w:pPr>
              <w:jc w:val="both"/>
              <w:rPr>
                <w:bCs/>
                <w:sz w:val="20"/>
                <w:szCs w:val="20"/>
              </w:rPr>
            </w:pPr>
            <w:r w:rsidRPr="00154588">
              <w:rPr>
                <w:bCs/>
                <w:sz w:val="20"/>
                <w:szCs w:val="20"/>
              </w:rPr>
              <w:t>(5a) ABE elaborează soluții informatice, inclusiv modele de raportare, standarde în materie de date, formate și instrucțiuni, pentru raportarea informațiilor menționate la alineatele (1) și (2).</w:t>
            </w:r>
          </w:p>
        </w:tc>
        <w:tc>
          <w:tcPr>
            <w:tcW w:w="4819" w:type="dxa"/>
          </w:tcPr>
          <w:p w14:paraId="448B4E5B" w14:textId="77777777" w:rsidR="00F4284C" w:rsidRPr="00154588" w:rsidRDefault="00F4284C" w:rsidP="008C12B4">
            <w:pPr>
              <w:jc w:val="both"/>
              <w:rPr>
                <w:bCs/>
                <w:sz w:val="20"/>
                <w:szCs w:val="20"/>
              </w:rPr>
            </w:pPr>
          </w:p>
        </w:tc>
        <w:tc>
          <w:tcPr>
            <w:tcW w:w="2552" w:type="dxa"/>
          </w:tcPr>
          <w:p w14:paraId="2F49DF56" w14:textId="4392672C"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4009BDC2" w14:textId="628CD1F5" w:rsidR="00F4284C" w:rsidRPr="00154588" w:rsidRDefault="00F4284C" w:rsidP="008C12B4">
            <w:pPr>
              <w:jc w:val="both"/>
              <w:rPr>
                <w:bCs/>
                <w:sz w:val="20"/>
                <w:szCs w:val="20"/>
                <w:lang w:val="ro-MD"/>
              </w:rPr>
            </w:pPr>
            <w:r w:rsidRPr="00154588">
              <w:rPr>
                <w:bCs/>
                <w:sz w:val="20"/>
                <w:szCs w:val="20"/>
                <w:lang w:val="ro-MD"/>
              </w:rPr>
              <w:t>Prevederi care se referă la atribuțiile de reglementare ale autorităților europene.</w:t>
            </w:r>
          </w:p>
        </w:tc>
      </w:tr>
      <w:tr w:rsidR="00F4284C" w:rsidRPr="00154588" w14:paraId="21C5B0D1" w14:textId="77777777" w:rsidTr="00D15C1B">
        <w:trPr>
          <w:jc w:val="center"/>
        </w:trPr>
        <w:tc>
          <w:tcPr>
            <w:tcW w:w="4957" w:type="dxa"/>
            <w:gridSpan w:val="2"/>
          </w:tcPr>
          <w:p w14:paraId="559FA025" w14:textId="77777777" w:rsidR="00F4284C" w:rsidRPr="00154588" w:rsidRDefault="00F4284C" w:rsidP="008C12B4">
            <w:pPr>
              <w:jc w:val="both"/>
              <w:rPr>
                <w:bCs/>
                <w:sz w:val="20"/>
                <w:szCs w:val="20"/>
              </w:rPr>
            </w:pPr>
            <w:r w:rsidRPr="00154588">
              <w:rPr>
                <w:bCs/>
                <w:sz w:val="20"/>
                <w:szCs w:val="20"/>
              </w:rPr>
              <w:t xml:space="preserve">(6)   ABE elaborează proiecte de standarde tehnice de punere în aplicare care să precizeze: </w:t>
            </w:r>
          </w:p>
          <w:p w14:paraId="41971606" w14:textId="77777777" w:rsidR="00F4284C" w:rsidRPr="00154588" w:rsidRDefault="00F4284C" w:rsidP="008C12B4">
            <w:pPr>
              <w:jc w:val="both"/>
              <w:rPr>
                <w:bCs/>
                <w:sz w:val="20"/>
                <w:szCs w:val="20"/>
              </w:rPr>
            </w:pPr>
          </w:p>
          <w:p w14:paraId="42CDDB31" w14:textId="77777777" w:rsidR="00F4284C" w:rsidRPr="00154588" w:rsidRDefault="00F4284C" w:rsidP="008C12B4">
            <w:pPr>
              <w:jc w:val="both"/>
              <w:rPr>
                <w:bCs/>
                <w:sz w:val="20"/>
                <w:szCs w:val="20"/>
              </w:rPr>
            </w:pPr>
            <w:r w:rsidRPr="00154588">
              <w:rPr>
                <w:bCs/>
                <w:sz w:val="20"/>
                <w:szCs w:val="20"/>
              </w:rPr>
              <w:t xml:space="preserve">(a) metodele și modalitățile pentru publicarea menționată la alineatul (3); </w:t>
            </w:r>
          </w:p>
          <w:p w14:paraId="14AB8352" w14:textId="77777777" w:rsidR="00F4284C" w:rsidRPr="00154588" w:rsidRDefault="00F4284C" w:rsidP="008C12B4">
            <w:pPr>
              <w:jc w:val="both"/>
              <w:rPr>
                <w:bCs/>
                <w:sz w:val="20"/>
                <w:szCs w:val="20"/>
              </w:rPr>
            </w:pPr>
          </w:p>
          <w:p w14:paraId="4AE18D1B" w14:textId="77777777" w:rsidR="00F4284C" w:rsidRPr="00154588" w:rsidRDefault="00F4284C" w:rsidP="008C12B4">
            <w:pPr>
              <w:jc w:val="both"/>
              <w:rPr>
                <w:bCs/>
                <w:sz w:val="20"/>
                <w:szCs w:val="20"/>
              </w:rPr>
            </w:pPr>
            <w:r w:rsidRPr="00154588">
              <w:rPr>
                <w:bCs/>
                <w:sz w:val="20"/>
                <w:szCs w:val="20"/>
              </w:rPr>
              <w:t>(b) frecvența publicării.</w:t>
            </w:r>
          </w:p>
          <w:p w14:paraId="1202594C" w14:textId="77777777" w:rsidR="00F4284C" w:rsidRPr="00154588" w:rsidRDefault="00F4284C" w:rsidP="008C12B4">
            <w:pPr>
              <w:jc w:val="both"/>
              <w:rPr>
                <w:bCs/>
                <w:sz w:val="20"/>
                <w:szCs w:val="20"/>
              </w:rPr>
            </w:pPr>
          </w:p>
          <w:p w14:paraId="39C7FDCD" w14:textId="77777777" w:rsidR="00F4284C" w:rsidRPr="00154588" w:rsidRDefault="00F4284C" w:rsidP="008C12B4">
            <w:pPr>
              <w:jc w:val="both"/>
              <w:rPr>
                <w:bCs/>
                <w:sz w:val="20"/>
                <w:szCs w:val="20"/>
              </w:rPr>
            </w:pPr>
            <w:r w:rsidRPr="00154588">
              <w:rPr>
                <w:bCs/>
                <w:sz w:val="20"/>
                <w:szCs w:val="20"/>
              </w:rPr>
              <w:t xml:space="preserve"> Proiectele de standarde tehnice de punere în aplicare prevăd informații comparabile și suficient de cuprinzătoare pentru a evalua profilurile de risc ale instituțiilor și entităților menționate la articolul 1 alineatul (1) literele (b), (c) și (d) și gradul lor de conformitate cu cerința aplicabilă menționată la articolul 45e sau 45f. </w:t>
            </w:r>
          </w:p>
          <w:p w14:paraId="476E8AA4" w14:textId="77777777" w:rsidR="00F4284C" w:rsidRPr="00154588" w:rsidRDefault="00F4284C" w:rsidP="008C12B4">
            <w:pPr>
              <w:jc w:val="both"/>
              <w:rPr>
                <w:bCs/>
                <w:sz w:val="20"/>
                <w:szCs w:val="20"/>
              </w:rPr>
            </w:pPr>
          </w:p>
          <w:p w14:paraId="3C40E50B" w14:textId="77777777" w:rsidR="00F4284C" w:rsidRPr="00154588" w:rsidRDefault="00F4284C" w:rsidP="008C12B4">
            <w:pPr>
              <w:jc w:val="both"/>
              <w:rPr>
                <w:bCs/>
                <w:sz w:val="20"/>
                <w:szCs w:val="20"/>
              </w:rPr>
            </w:pPr>
            <w:r w:rsidRPr="00154588">
              <w:rPr>
                <w:bCs/>
                <w:sz w:val="20"/>
                <w:szCs w:val="20"/>
              </w:rPr>
              <w:t xml:space="preserve">În cazul instituțiilor și entităților menționate la articolul 1 alineatul (1) literele (b), (c) și (d) din prezenta directivă care fac obiectul articolelor 92a și 92b din Regulamentul (UE) nr. 575/2013, pentru proiectele de standarde tehnice de punere în aplicare se asigură consecvența, după caz, cu actul de punere în aplicare adoptat în temeiul articolului 434a din regulamentul menționat. </w:t>
            </w:r>
          </w:p>
          <w:p w14:paraId="2EDD7EDA" w14:textId="77777777" w:rsidR="00F4284C" w:rsidRPr="00154588" w:rsidRDefault="00F4284C" w:rsidP="008C12B4">
            <w:pPr>
              <w:jc w:val="both"/>
              <w:rPr>
                <w:bCs/>
                <w:sz w:val="20"/>
                <w:szCs w:val="20"/>
              </w:rPr>
            </w:pPr>
          </w:p>
          <w:p w14:paraId="78A1229A" w14:textId="77777777" w:rsidR="00F4284C" w:rsidRPr="00154588" w:rsidRDefault="00F4284C" w:rsidP="008C12B4">
            <w:pPr>
              <w:jc w:val="both"/>
              <w:rPr>
                <w:bCs/>
                <w:sz w:val="20"/>
                <w:szCs w:val="20"/>
              </w:rPr>
            </w:pPr>
            <w:r w:rsidRPr="00154588">
              <w:rPr>
                <w:bCs/>
                <w:sz w:val="20"/>
                <w:szCs w:val="20"/>
              </w:rPr>
              <w:lastRenderedPageBreak/>
              <w:t xml:space="preserve">ABE transmite Comisiei respectivele proiecte de standarde tehnice de punere în aplicare până la 11 mai 2027. </w:t>
            </w:r>
          </w:p>
          <w:p w14:paraId="060D5DE3" w14:textId="77777777" w:rsidR="00F4284C" w:rsidRPr="00154588" w:rsidRDefault="00F4284C" w:rsidP="008C12B4">
            <w:pPr>
              <w:jc w:val="both"/>
              <w:rPr>
                <w:bCs/>
                <w:sz w:val="20"/>
                <w:szCs w:val="20"/>
              </w:rPr>
            </w:pPr>
          </w:p>
          <w:p w14:paraId="6FEE3C2A" w14:textId="4AE3C709" w:rsidR="00F4284C" w:rsidRPr="00154588" w:rsidRDefault="00F4284C" w:rsidP="008C12B4">
            <w:pPr>
              <w:jc w:val="both"/>
              <w:rPr>
                <w:bCs/>
                <w:sz w:val="20"/>
                <w:szCs w:val="20"/>
              </w:rPr>
            </w:pPr>
            <w:r w:rsidRPr="00154588">
              <w:rPr>
                <w:bCs/>
                <w:sz w:val="20"/>
                <w:szCs w:val="20"/>
              </w:rPr>
              <w:t>Se conferă Comisiei competența de a adopta standardele tehnice de punere în aplicare menționate la primul paragraf de la prezentul alineat în conformitate cu articolul 15 din Regulamentul (UE) nr. 1093/2010.</w:t>
            </w:r>
          </w:p>
        </w:tc>
        <w:tc>
          <w:tcPr>
            <w:tcW w:w="4819" w:type="dxa"/>
          </w:tcPr>
          <w:p w14:paraId="51D072C3" w14:textId="77777777" w:rsidR="00F4284C" w:rsidRPr="00154588" w:rsidRDefault="00F4284C" w:rsidP="008C12B4">
            <w:pPr>
              <w:jc w:val="both"/>
              <w:rPr>
                <w:bCs/>
                <w:sz w:val="20"/>
                <w:szCs w:val="20"/>
              </w:rPr>
            </w:pPr>
          </w:p>
        </w:tc>
        <w:tc>
          <w:tcPr>
            <w:tcW w:w="2552" w:type="dxa"/>
          </w:tcPr>
          <w:p w14:paraId="661D1A52" w14:textId="5ABFFDA4"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0587B57A" w14:textId="12726FD2" w:rsidR="00F4284C" w:rsidRPr="00154588" w:rsidRDefault="00F4284C" w:rsidP="008C12B4">
            <w:pPr>
              <w:jc w:val="both"/>
              <w:rPr>
                <w:bCs/>
                <w:sz w:val="20"/>
                <w:szCs w:val="20"/>
              </w:rPr>
            </w:pPr>
            <w:r w:rsidRPr="00154588">
              <w:rPr>
                <w:bCs/>
                <w:sz w:val="20"/>
                <w:szCs w:val="20"/>
                <w:lang w:val="ro-MD"/>
              </w:rPr>
              <w:t>Prevederi care se referă la atribuțiile de reglementare ale autorităților europene.</w:t>
            </w:r>
          </w:p>
        </w:tc>
      </w:tr>
      <w:tr w:rsidR="00F4284C" w:rsidRPr="00154588" w14:paraId="5E890DD6" w14:textId="77777777" w:rsidTr="00D15C1B">
        <w:trPr>
          <w:jc w:val="center"/>
        </w:trPr>
        <w:tc>
          <w:tcPr>
            <w:tcW w:w="4957" w:type="dxa"/>
            <w:gridSpan w:val="2"/>
          </w:tcPr>
          <w:p w14:paraId="04A97741" w14:textId="6110212B" w:rsidR="00F4284C" w:rsidRPr="00154588" w:rsidRDefault="00F4284C" w:rsidP="008C12B4">
            <w:pPr>
              <w:jc w:val="both"/>
              <w:rPr>
                <w:bCs/>
                <w:sz w:val="20"/>
                <w:szCs w:val="20"/>
              </w:rPr>
            </w:pPr>
            <w:r w:rsidRPr="00154588">
              <w:rPr>
                <w:bCs/>
                <w:sz w:val="20"/>
                <w:szCs w:val="20"/>
              </w:rPr>
              <w:t>(6a) ABE elaborează soluții informatice, inclusiv formate și instrucțiuni de publicare, pentru publicarea menționată la alineatul (3).</w:t>
            </w:r>
          </w:p>
        </w:tc>
        <w:tc>
          <w:tcPr>
            <w:tcW w:w="4819" w:type="dxa"/>
          </w:tcPr>
          <w:p w14:paraId="74509994" w14:textId="77777777" w:rsidR="00F4284C" w:rsidRPr="00154588" w:rsidRDefault="00F4284C" w:rsidP="008C12B4">
            <w:pPr>
              <w:jc w:val="both"/>
              <w:rPr>
                <w:bCs/>
                <w:sz w:val="20"/>
                <w:szCs w:val="20"/>
              </w:rPr>
            </w:pPr>
          </w:p>
        </w:tc>
        <w:tc>
          <w:tcPr>
            <w:tcW w:w="2552" w:type="dxa"/>
          </w:tcPr>
          <w:p w14:paraId="5320BFF8" w14:textId="01DF4161"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2A717B04" w14:textId="6CDBE361" w:rsidR="00F4284C" w:rsidRPr="00154588" w:rsidRDefault="00F4284C" w:rsidP="008C12B4">
            <w:pPr>
              <w:jc w:val="both"/>
              <w:rPr>
                <w:bCs/>
                <w:sz w:val="20"/>
                <w:szCs w:val="20"/>
                <w:lang w:val="ro-MD"/>
              </w:rPr>
            </w:pPr>
            <w:r w:rsidRPr="00154588">
              <w:rPr>
                <w:bCs/>
                <w:sz w:val="20"/>
                <w:szCs w:val="20"/>
                <w:lang w:val="ro-MD"/>
              </w:rPr>
              <w:t>Prevederi care se referă la atribuțiile de reglementare ale autorităților europene.</w:t>
            </w:r>
          </w:p>
        </w:tc>
      </w:tr>
      <w:tr w:rsidR="00F4284C" w:rsidRPr="00154588" w14:paraId="1ABADA10" w14:textId="77777777" w:rsidTr="00D15C1B">
        <w:trPr>
          <w:jc w:val="center"/>
        </w:trPr>
        <w:tc>
          <w:tcPr>
            <w:tcW w:w="4957" w:type="dxa"/>
            <w:gridSpan w:val="2"/>
          </w:tcPr>
          <w:p w14:paraId="571E407B" w14:textId="6C553A2F" w:rsidR="00F4284C" w:rsidRPr="00154588" w:rsidRDefault="00F4284C" w:rsidP="008C12B4">
            <w:pPr>
              <w:jc w:val="both"/>
              <w:rPr>
                <w:bCs/>
                <w:sz w:val="20"/>
                <w:szCs w:val="20"/>
              </w:rPr>
            </w:pPr>
            <w:r w:rsidRPr="00154588">
              <w:rPr>
                <w:bCs/>
                <w:sz w:val="20"/>
                <w:szCs w:val="20"/>
              </w:rPr>
              <w:t>(7)   În cazul în care au fost puse în aplicare măsuri de rezoluție sau au fost exercitate competența de reducere a valorii sau de conversie a datoriilor nesubordonate menționată la articolul 59, cerințele de publicare a informațiilor menționate la alineatul (3) se aplică de la data termenului de conformare cu cerințele de la articolul 45e sau articolul 45f, menționată la articolul 45m.</w:t>
            </w:r>
          </w:p>
        </w:tc>
        <w:tc>
          <w:tcPr>
            <w:tcW w:w="4819" w:type="dxa"/>
          </w:tcPr>
          <w:p w14:paraId="09AC2F6D" w14:textId="77777777" w:rsidR="00F4284C" w:rsidRPr="00154588" w:rsidRDefault="00F4284C" w:rsidP="008C12B4">
            <w:pPr>
              <w:jc w:val="both"/>
              <w:rPr>
                <w:bCs/>
                <w:sz w:val="20"/>
                <w:szCs w:val="20"/>
              </w:rPr>
            </w:pPr>
            <w:r w:rsidRPr="00154588">
              <w:rPr>
                <w:bCs/>
                <w:sz w:val="20"/>
                <w:szCs w:val="20"/>
              </w:rPr>
              <w:t>(4) Atunci când au fost implementate acțiuni de rezoluție sau a fost exercitată competența de reducere a valorii sau de conversie prevăzută de art.219–225 din prezenta lege, cerințele de publicare a informațiilor prevăzute la art.170</w:t>
            </w:r>
            <w:r w:rsidRPr="00154588">
              <w:rPr>
                <w:bCs/>
                <w:sz w:val="20"/>
                <w:szCs w:val="20"/>
                <w:vertAlign w:val="superscript"/>
              </w:rPr>
              <w:t>3</w:t>
            </w:r>
            <w:r w:rsidRPr="00154588">
              <w:rPr>
                <w:bCs/>
                <w:sz w:val="20"/>
                <w:szCs w:val="20"/>
              </w:rPr>
              <w:t xml:space="preserve"> se aplică de la data termenului de conformare cu cerințele prevăzute la art.167</w:t>
            </w:r>
            <w:r w:rsidRPr="00154588">
              <w:rPr>
                <w:bCs/>
                <w:sz w:val="20"/>
                <w:szCs w:val="20"/>
                <w:vertAlign w:val="superscript"/>
              </w:rPr>
              <w:t>14</w:t>
            </w:r>
            <w:r w:rsidRPr="00154588">
              <w:rPr>
                <w:bCs/>
                <w:sz w:val="20"/>
                <w:szCs w:val="20"/>
              </w:rPr>
              <w:t xml:space="preserve"> sau art.167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Pr="00154588">
              <w:rPr>
                <w:bCs/>
                <w:sz w:val="20"/>
                <w:szCs w:val="20"/>
              </w:rPr>
              <w:t>, așa cum este prevăzut în cadrul art.170</w:t>
            </w:r>
            <w:r w:rsidRPr="00154588">
              <w:rPr>
                <w:bCs/>
                <w:sz w:val="20"/>
                <w:szCs w:val="20"/>
                <w:vertAlign w:val="superscript"/>
              </w:rPr>
              <w:t>7</w:t>
            </w:r>
            <w:r w:rsidRPr="00154588">
              <w:rPr>
                <w:bCs/>
                <w:sz w:val="20"/>
                <w:szCs w:val="20"/>
              </w:rPr>
              <w:t>-170</w:t>
            </w:r>
            <w:r w:rsidRPr="00154588">
              <w:rPr>
                <w:bCs/>
                <w:sz w:val="20"/>
                <w:szCs w:val="20"/>
                <w:vertAlign w:val="superscript"/>
              </w:rPr>
              <w:t>14</w:t>
            </w:r>
            <w:r w:rsidRPr="00154588">
              <w:rPr>
                <w:bCs/>
                <w:sz w:val="20"/>
                <w:szCs w:val="20"/>
              </w:rPr>
              <w:t>.</w:t>
            </w:r>
          </w:p>
          <w:p w14:paraId="1844F64D" w14:textId="77777777" w:rsidR="00F4284C" w:rsidRPr="00154588" w:rsidRDefault="00F4284C" w:rsidP="008C12B4">
            <w:pPr>
              <w:jc w:val="both"/>
              <w:rPr>
                <w:bCs/>
                <w:sz w:val="20"/>
                <w:szCs w:val="20"/>
              </w:rPr>
            </w:pPr>
          </w:p>
        </w:tc>
        <w:tc>
          <w:tcPr>
            <w:tcW w:w="2552" w:type="dxa"/>
          </w:tcPr>
          <w:p w14:paraId="0DC8DBEF" w14:textId="2426F774" w:rsidR="00F4284C" w:rsidRPr="00154588" w:rsidRDefault="00F4284C" w:rsidP="008C12B4">
            <w:pPr>
              <w:jc w:val="both"/>
              <w:rPr>
                <w:bCs/>
                <w:sz w:val="20"/>
                <w:szCs w:val="20"/>
              </w:rPr>
            </w:pPr>
            <w:r w:rsidRPr="00154588">
              <w:rPr>
                <w:bCs/>
                <w:sz w:val="20"/>
                <w:szCs w:val="20"/>
              </w:rPr>
              <w:t>Compatibil</w:t>
            </w:r>
          </w:p>
        </w:tc>
        <w:tc>
          <w:tcPr>
            <w:tcW w:w="3118" w:type="dxa"/>
          </w:tcPr>
          <w:p w14:paraId="6DAA28BA" w14:textId="77777777" w:rsidR="00F4284C" w:rsidRPr="00154588" w:rsidRDefault="00F4284C" w:rsidP="008C12B4">
            <w:pPr>
              <w:jc w:val="both"/>
              <w:rPr>
                <w:bCs/>
                <w:sz w:val="20"/>
                <w:szCs w:val="20"/>
              </w:rPr>
            </w:pPr>
          </w:p>
        </w:tc>
      </w:tr>
      <w:tr w:rsidR="00F4284C" w:rsidRPr="00154588" w14:paraId="6C511B84" w14:textId="77777777" w:rsidTr="00D15C1B">
        <w:trPr>
          <w:jc w:val="center"/>
        </w:trPr>
        <w:tc>
          <w:tcPr>
            <w:tcW w:w="4957" w:type="dxa"/>
            <w:gridSpan w:val="2"/>
          </w:tcPr>
          <w:p w14:paraId="04FE2ACA" w14:textId="77777777" w:rsidR="00F4284C" w:rsidRPr="00154588" w:rsidRDefault="00F4284C" w:rsidP="008C12B4">
            <w:pPr>
              <w:jc w:val="both"/>
              <w:rPr>
                <w:b/>
                <w:sz w:val="20"/>
                <w:szCs w:val="20"/>
              </w:rPr>
            </w:pPr>
            <w:r w:rsidRPr="00154588">
              <w:rPr>
                <w:b/>
                <w:sz w:val="20"/>
                <w:szCs w:val="20"/>
              </w:rPr>
              <w:t>Articolul 45j</w:t>
            </w:r>
          </w:p>
          <w:p w14:paraId="25BC43A1" w14:textId="77777777" w:rsidR="00F4284C" w:rsidRPr="00154588" w:rsidRDefault="00F4284C" w:rsidP="008C12B4">
            <w:pPr>
              <w:jc w:val="both"/>
              <w:rPr>
                <w:b/>
                <w:sz w:val="20"/>
                <w:szCs w:val="20"/>
              </w:rPr>
            </w:pPr>
          </w:p>
          <w:p w14:paraId="70598FF4" w14:textId="427B2C76" w:rsidR="00F4284C" w:rsidRPr="00154588" w:rsidRDefault="00F4284C" w:rsidP="008C12B4">
            <w:pPr>
              <w:jc w:val="both"/>
              <w:rPr>
                <w:bCs/>
                <w:sz w:val="20"/>
                <w:szCs w:val="20"/>
              </w:rPr>
            </w:pPr>
            <w:r w:rsidRPr="00154588">
              <w:rPr>
                <w:b/>
                <w:sz w:val="20"/>
                <w:szCs w:val="20"/>
              </w:rPr>
              <w:t>Raportarea către ABE</w:t>
            </w:r>
          </w:p>
        </w:tc>
        <w:tc>
          <w:tcPr>
            <w:tcW w:w="4819" w:type="dxa"/>
          </w:tcPr>
          <w:p w14:paraId="5C8431E0" w14:textId="77777777" w:rsidR="00F4284C" w:rsidRPr="00154588" w:rsidRDefault="00F4284C" w:rsidP="008C12B4">
            <w:pPr>
              <w:jc w:val="both"/>
              <w:rPr>
                <w:bCs/>
                <w:sz w:val="20"/>
                <w:szCs w:val="20"/>
              </w:rPr>
            </w:pPr>
          </w:p>
        </w:tc>
        <w:tc>
          <w:tcPr>
            <w:tcW w:w="2552" w:type="dxa"/>
          </w:tcPr>
          <w:p w14:paraId="293E8DFE" w14:textId="77777777" w:rsidR="00F4284C" w:rsidRPr="00154588" w:rsidRDefault="00F4284C" w:rsidP="008C12B4">
            <w:pPr>
              <w:jc w:val="both"/>
              <w:rPr>
                <w:bCs/>
                <w:sz w:val="20"/>
                <w:szCs w:val="20"/>
              </w:rPr>
            </w:pPr>
          </w:p>
        </w:tc>
        <w:tc>
          <w:tcPr>
            <w:tcW w:w="3118" w:type="dxa"/>
          </w:tcPr>
          <w:p w14:paraId="5FDA066A" w14:textId="77777777" w:rsidR="00F4284C" w:rsidRPr="00154588" w:rsidRDefault="00F4284C" w:rsidP="008C12B4">
            <w:pPr>
              <w:jc w:val="both"/>
              <w:rPr>
                <w:bCs/>
                <w:sz w:val="20"/>
                <w:szCs w:val="20"/>
              </w:rPr>
            </w:pPr>
          </w:p>
        </w:tc>
      </w:tr>
      <w:tr w:rsidR="00F4284C" w:rsidRPr="00154588" w14:paraId="3ADB80D2" w14:textId="77777777" w:rsidTr="00D15C1B">
        <w:trPr>
          <w:jc w:val="center"/>
        </w:trPr>
        <w:tc>
          <w:tcPr>
            <w:tcW w:w="4957" w:type="dxa"/>
            <w:gridSpan w:val="2"/>
          </w:tcPr>
          <w:p w14:paraId="6E511270" w14:textId="167E824E" w:rsidR="00F4284C" w:rsidRPr="00154588" w:rsidRDefault="00F4284C" w:rsidP="008C12B4">
            <w:pPr>
              <w:jc w:val="both"/>
              <w:rPr>
                <w:bCs/>
                <w:sz w:val="20"/>
                <w:szCs w:val="20"/>
              </w:rPr>
            </w:pPr>
            <w:r w:rsidRPr="00154588">
              <w:rPr>
                <w:bCs/>
                <w:sz w:val="20"/>
                <w:szCs w:val="20"/>
              </w:rPr>
              <w:t>(1)   Autoritățile de rezoluție informează ABE cu privire la cerința minimă de fonduri proprii și datorii eligibile stabilită în conformitate cu articolul 45e sau cu articolul 45f, inclusiv cu privire la deciziile luate în temeiul articolului 45f alineatul (1) al patrulea paragraf, pentru fiecare entitate aflată sub jurisdicția lor.</w:t>
            </w:r>
          </w:p>
        </w:tc>
        <w:tc>
          <w:tcPr>
            <w:tcW w:w="4819" w:type="dxa"/>
          </w:tcPr>
          <w:p w14:paraId="190486AA" w14:textId="1F5772CC" w:rsidR="00F4284C" w:rsidRPr="00154588" w:rsidRDefault="00F4284C" w:rsidP="008C12B4">
            <w:pPr>
              <w:jc w:val="both"/>
              <w:rPr>
                <w:bCs/>
                <w:sz w:val="20"/>
                <w:szCs w:val="20"/>
              </w:rPr>
            </w:pPr>
            <w:r w:rsidRPr="00154588">
              <w:rPr>
                <w:b/>
                <w:bCs/>
                <w:sz w:val="20"/>
                <w:szCs w:val="20"/>
              </w:rPr>
              <w:t>Articolul 170</w:t>
            </w:r>
            <w:r w:rsidRPr="00154588">
              <w:rPr>
                <w:b/>
                <w:bCs/>
                <w:sz w:val="20"/>
                <w:szCs w:val="20"/>
                <w:vertAlign w:val="superscript"/>
              </w:rPr>
              <w:t>5</w:t>
            </w:r>
            <w:r w:rsidRPr="00154588">
              <w:rPr>
                <w:b/>
                <w:bCs/>
                <w:sz w:val="20"/>
                <w:szCs w:val="20"/>
              </w:rPr>
              <w:t>.</w:t>
            </w:r>
            <w:r w:rsidRPr="00154588">
              <w:rPr>
                <w:bCs/>
                <w:sz w:val="20"/>
                <w:szCs w:val="20"/>
              </w:rPr>
              <w:t xml:space="preserve"> – Banca Națională a Moldovei, în calitate de autoritate de rezoluție,  informează Autoritatea Bancară Europeană cu privire la cerința minimă de fonduri proprii și datorii eligibile care a fost stabilită în conformitate cu prevederile art.167</w:t>
            </w:r>
            <w:r w:rsidRPr="00154588">
              <w:rPr>
                <w:bCs/>
                <w:sz w:val="20"/>
                <w:szCs w:val="20"/>
                <w:vertAlign w:val="superscript"/>
              </w:rPr>
              <w:t>14</w:t>
            </w:r>
            <w:r w:rsidRPr="00154588">
              <w:rPr>
                <w:bCs/>
                <w:sz w:val="20"/>
                <w:szCs w:val="20"/>
              </w:rPr>
              <w:t xml:space="preserve"> sau ale art.167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Pr="00154588">
              <w:rPr>
                <w:bCs/>
                <w:sz w:val="20"/>
                <w:szCs w:val="20"/>
              </w:rPr>
              <w:t>, inclusiv cu privire la deciziile luate în baza prevederilor art.167</w:t>
            </w:r>
            <w:r w:rsidRPr="00154588">
              <w:rPr>
                <w:bCs/>
                <w:sz w:val="20"/>
                <w:szCs w:val="20"/>
                <w:vertAlign w:val="superscript"/>
              </w:rPr>
              <w:t>15</w:t>
            </w:r>
            <w:r w:rsidRPr="00154588">
              <w:rPr>
                <w:bCs/>
                <w:sz w:val="20"/>
                <w:szCs w:val="20"/>
              </w:rPr>
              <w:t xml:space="preserve"> alin.(5) pentru entitățile prevăzute la art. 3 alin.(1)..</w:t>
            </w:r>
          </w:p>
          <w:p w14:paraId="441DE38B" w14:textId="77777777" w:rsidR="00F4284C" w:rsidRPr="00154588" w:rsidRDefault="00F4284C" w:rsidP="008C12B4">
            <w:pPr>
              <w:jc w:val="both"/>
              <w:rPr>
                <w:bCs/>
                <w:sz w:val="20"/>
                <w:szCs w:val="20"/>
              </w:rPr>
            </w:pPr>
          </w:p>
        </w:tc>
        <w:tc>
          <w:tcPr>
            <w:tcW w:w="2552" w:type="dxa"/>
          </w:tcPr>
          <w:p w14:paraId="608E3686" w14:textId="05EFD198" w:rsidR="00F4284C" w:rsidRPr="00154588" w:rsidRDefault="00F4284C" w:rsidP="008C12B4">
            <w:pPr>
              <w:jc w:val="both"/>
              <w:rPr>
                <w:bCs/>
                <w:sz w:val="20"/>
                <w:szCs w:val="20"/>
              </w:rPr>
            </w:pPr>
            <w:r w:rsidRPr="00154588">
              <w:rPr>
                <w:bCs/>
                <w:sz w:val="20"/>
                <w:szCs w:val="20"/>
              </w:rPr>
              <w:t>Compatibil</w:t>
            </w:r>
          </w:p>
        </w:tc>
        <w:tc>
          <w:tcPr>
            <w:tcW w:w="3118" w:type="dxa"/>
          </w:tcPr>
          <w:p w14:paraId="4ACE9463" w14:textId="77777777" w:rsidR="00F4284C" w:rsidRPr="00154588" w:rsidRDefault="00F4284C" w:rsidP="008C12B4">
            <w:pPr>
              <w:jc w:val="both"/>
              <w:rPr>
                <w:bCs/>
                <w:sz w:val="20"/>
                <w:szCs w:val="20"/>
              </w:rPr>
            </w:pPr>
          </w:p>
        </w:tc>
      </w:tr>
      <w:tr w:rsidR="00F4284C" w:rsidRPr="00154588" w14:paraId="38E60859" w14:textId="77777777" w:rsidTr="00D15C1B">
        <w:trPr>
          <w:jc w:val="center"/>
        </w:trPr>
        <w:tc>
          <w:tcPr>
            <w:tcW w:w="4957" w:type="dxa"/>
            <w:gridSpan w:val="2"/>
          </w:tcPr>
          <w:p w14:paraId="3B6FF335" w14:textId="508CE632" w:rsidR="00F4284C" w:rsidRPr="00154588" w:rsidRDefault="00F4284C" w:rsidP="008C12B4">
            <w:pPr>
              <w:jc w:val="both"/>
              <w:rPr>
                <w:bCs/>
                <w:sz w:val="20"/>
                <w:szCs w:val="20"/>
              </w:rPr>
            </w:pPr>
            <w:r w:rsidRPr="00154588">
              <w:rPr>
                <w:bCs/>
                <w:sz w:val="20"/>
                <w:szCs w:val="20"/>
              </w:rPr>
              <w:t xml:space="preserve">(2) ABE elaborează proiecte de standarde tehnice de punere în aplicare care să precizeze: </w:t>
            </w:r>
          </w:p>
          <w:p w14:paraId="2361A496" w14:textId="77777777" w:rsidR="00F4284C" w:rsidRPr="00154588" w:rsidRDefault="00F4284C" w:rsidP="008C12B4">
            <w:pPr>
              <w:jc w:val="both"/>
              <w:rPr>
                <w:bCs/>
                <w:sz w:val="20"/>
                <w:szCs w:val="20"/>
              </w:rPr>
            </w:pPr>
          </w:p>
          <w:p w14:paraId="0F5259F0" w14:textId="77777777" w:rsidR="00F4284C" w:rsidRPr="00154588" w:rsidRDefault="00F4284C" w:rsidP="008C12B4">
            <w:pPr>
              <w:jc w:val="both"/>
              <w:rPr>
                <w:bCs/>
                <w:sz w:val="20"/>
                <w:szCs w:val="20"/>
              </w:rPr>
            </w:pPr>
            <w:r w:rsidRPr="00154588">
              <w:rPr>
                <w:bCs/>
                <w:sz w:val="20"/>
                <w:szCs w:val="20"/>
              </w:rPr>
              <w:t xml:space="preserve">(a) metodele și modalitățile de identificare și raportare a informațiilor de către autoritățile de rezoluție, în cooperare cu autoritățile competente, către ABE în sensul alineatului (1); </w:t>
            </w:r>
          </w:p>
          <w:p w14:paraId="067E1D28" w14:textId="77777777" w:rsidR="00F4284C" w:rsidRPr="00154588" w:rsidRDefault="00F4284C" w:rsidP="008C12B4">
            <w:pPr>
              <w:jc w:val="both"/>
              <w:rPr>
                <w:bCs/>
                <w:sz w:val="20"/>
                <w:szCs w:val="20"/>
              </w:rPr>
            </w:pPr>
          </w:p>
          <w:p w14:paraId="5D5C4EF2" w14:textId="77777777" w:rsidR="00F4284C" w:rsidRPr="00154588" w:rsidRDefault="00F4284C" w:rsidP="008C12B4">
            <w:pPr>
              <w:jc w:val="both"/>
              <w:rPr>
                <w:bCs/>
                <w:sz w:val="20"/>
                <w:szCs w:val="20"/>
              </w:rPr>
            </w:pPr>
            <w:r w:rsidRPr="00154588">
              <w:rPr>
                <w:bCs/>
                <w:sz w:val="20"/>
                <w:szCs w:val="20"/>
              </w:rPr>
              <w:t xml:space="preserve">(b) frecvența și termenele de transmitere pentru raportarea menționată la litera (a). </w:t>
            </w:r>
          </w:p>
          <w:p w14:paraId="4C272C58" w14:textId="77777777" w:rsidR="00F4284C" w:rsidRPr="00154588" w:rsidRDefault="00F4284C" w:rsidP="008C12B4">
            <w:pPr>
              <w:jc w:val="both"/>
              <w:rPr>
                <w:bCs/>
                <w:sz w:val="20"/>
                <w:szCs w:val="20"/>
              </w:rPr>
            </w:pPr>
          </w:p>
          <w:p w14:paraId="306189A8" w14:textId="77777777" w:rsidR="00F4284C" w:rsidRPr="00154588" w:rsidRDefault="00F4284C" w:rsidP="008C12B4">
            <w:pPr>
              <w:jc w:val="both"/>
              <w:rPr>
                <w:bCs/>
                <w:sz w:val="20"/>
                <w:szCs w:val="20"/>
              </w:rPr>
            </w:pPr>
            <w:r w:rsidRPr="00154588">
              <w:rPr>
                <w:bCs/>
                <w:sz w:val="20"/>
                <w:szCs w:val="20"/>
              </w:rPr>
              <w:lastRenderedPageBreak/>
              <w:t xml:space="preserve">ABE înaintează Comisiei respectivele proiecte de standarde tehnice de punere în aplicare până la 11 mai 2027. </w:t>
            </w:r>
          </w:p>
          <w:p w14:paraId="58B22A64" w14:textId="77777777" w:rsidR="00F4284C" w:rsidRPr="00154588" w:rsidRDefault="00F4284C" w:rsidP="008C12B4">
            <w:pPr>
              <w:jc w:val="both"/>
              <w:rPr>
                <w:bCs/>
                <w:sz w:val="20"/>
                <w:szCs w:val="20"/>
              </w:rPr>
            </w:pPr>
          </w:p>
          <w:p w14:paraId="6088FF4F" w14:textId="77777777" w:rsidR="00F4284C" w:rsidRPr="00154588" w:rsidRDefault="00F4284C" w:rsidP="008C12B4">
            <w:pPr>
              <w:jc w:val="both"/>
              <w:rPr>
                <w:bCs/>
                <w:sz w:val="20"/>
                <w:szCs w:val="20"/>
              </w:rPr>
            </w:pPr>
            <w:r w:rsidRPr="00154588">
              <w:rPr>
                <w:bCs/>
                <w:sz w:val="20"/>
                <w:szCs w:val="20"/>
              </w:rPr>
              <w:t xml:space="preserve">Se conferă Comisiei competența de a adopta standardele tehnice de punere în aplicare menționate la primul paragraf de la prezentul alineat în conformitate cu articolul 15 din Regulamentul (UE) nr. 1093/2010. </w:t>
            </w:r>
          </w:p>
          <w:p w14:paraId="46E407E1" w14:textId="1C7943AE" w:rsidR="00F4284C" w:rsidRPr="00154588" w:rsidRDefault="00F4284C" w:rsidP="008C12B4">
            <w:pPr>
              <w:jc w:val="both"/>
              <w:rPr>
                <w:bCs/>
                <w:sz w:val="20"/>
                <w:szCs w:val="20"/>
              </w:rPr>
            </w:pPr>
          </w:p>
        </w:tc>
        <w:tc>
          <w:tcPr>
            <w:tcW w:w="4819" w:type="dxa"/>
          </w:tcPr>
          <w:p w14:paraId="1F04B43C" w14:textId="77777777" w:rsidR="00F4284C" w:rsidRPr="00154588" w:rsidRDefault="00F4284C" w:rsidP="008C12B4">
            <w:pPr>
              <w:jc w:val="both"/>
              <w:rPr>
                <w:bCs/>
                <w:sz w:val="20"/>
                <w:szCs w:val="20"/>
              </w:rPr>
            </w:pPr>
          </w:p>
        </w:tc>
        <w:tc>
          <w:tcPr>
            <w:tcW w:w="2552" w:type="dxa"/>
          </w:tcPr>
          <w:p w14:paraId="4B831CB4" w14:textId="43123217"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7FF0FA6E" w14:textId="669F5E36" w:rsidR="00F4284C" w:rsidRPr="00154588" w:rsidRDefault="00F4284C" w:rsidP="008C12B4">
            <w:pPr>
              <w:jc w:val="both"/>
              <w:rPr>
                <w:bCs/>
                <w:sz w:val="20"/>
                <w:szCs w:val="20"/>
              </w:rPr>
            </w:pPr>
            <w:r w:rsidRPr="00154588">
              <w:rPr>
                <w:bCs/>
                <w:sz w:val="20"/>
                <w:szCs w:val="20"/>
              </w:rPr>
              <w:t>Prevederi care se referă la atribuțiile de reglementare ale autorităților europene.</w:t>
            </w:r>
          </w:p>
        </w:tc>
      </w:tr>
      <w:tr w:rsidR="00F4284C" w:rsidRPr="00154588" w14:paraId="0795D04A" w14:textId="77777777" w:rsidTr="00D15C1B">
        <w:trPr>
          <w:jc w:val="center"/>
        </w:trPr>
        <w:tc>
          <w:tcPr>
            <w:tcW w:w="4957" w:type="dxa"/>
            <w:gridSpan w:val="2"/>
          </w:tcPr>
          <w:p w14:paraId="1F53F240" w14:textId="36784F3F" w:rsidR="00F4284C" w:rsidRPr="00154588" w:rsidRDefault="00F4284C" w:rsidP="008C12B4">
            <w:pPr>
              <w:jc w:val="both"/>
              <w:rPr>
                <w:bCs/>
                <w:sz w:val="20"/>
                <w:szCs w:val="20"/>
              </w:rPr>
            </w:pPr>
            <w:r w:rsidRPr="00154588">
              <w:rPr>
                <w:bCs/>
                <w:sz w:val="20"/>
                <w:szCs w:val="20"/>
              </w:rPr>
              <w:t>(3) ABE elaborează soluții informatice, inclusiv modele de raportare, standarde în materie de date, formate și instrucțiuni, pentru raportarea informațiilor menționate la alineatul (1)</w:t>
            </w:r>
          </w:p>
        </w:tc>
        <w:tc>
          <w:tcPr>
            <w:tcW w:w="4819" w:type="dxa"/>
          </w:tcPr>
          <w:p w14:paraId="72813998" w14:textId="77777777" w:rsidR="00F4284C" w:rsidRPr="00154588" w:rsidRDefault="00F4284C" w:rsidP="008C12B4">
            <w:pPr>
              <w:jc w:val="both"/>
              <w:rPr>
                <w:bCs/>
                <w:sz w:val="20"/>
                <w:szCs w:val="20"/>
              </w:rPr>
            </w:pPr>
          </w:p>
        </w:tc>
        <w:tc>
          <w:tcPr>
            <w:tcW w:w="2552" w:type="dxa"/>
          </w:tcPr>
          <w:p w14:paraId="628B6CD6" w14:textId="33B4801B"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19DB27E2" w14:textId="2EA35CBC" w:rsidR="00F4284C" w:rsidRPr="00154588" w:rsidRDefault="00F4284C" w:rsidP="008C12B4">
            <w:pPr>
              <w:jc w:val="both"/>
              <w:rPr>
                <w:bCs/>
                <w:sz w:val="20"/>
                <w:szCs w:val="20"/>
              </w:rPr>
            </w:pPr>
            <w:r w:rsidRPr="00154588">
              <w:rPr>
                <w:bCs/>
                <w:sz w:val="20"/>
                <w:szCs w:val="20"/>
              </w:rPr>
              <w:t>Prevederi care se referă la atribuțiile de reglementare ale autorităților europene.</w:t>
            </w:r>
          </w:p>
        </w:tc>
      </w:tr>
      <w:tr w:rsidR="00F4284C" w:rsidRPr="00154588" w14:paraId="005AF115" w14:textId="77777777" w:rsidTr="00D15C1B">
        <w:trPr>
          <w:jc w:val="center"/>
        </w:trPr>
        <w:tc>
          <w:tcPr>
            <w:tcW w:w="4957" w:type="dxa"/>
            <w:gridSpan w:val="2"/>
          </w:tcPr>
          <w:p w14:paraId="1188D223" w14:textId="77777777" w:rsidR="00F4284C" w:rsidRPr="00154588" w:rsidRDefault="00F4284C" w:rsidP="008C12B4">
            <w:pPr>
              <w:jc w:val="both"/>
              <w:rPr>
                <w:b/>
                <w:sz w:val="20"/>
                <w:szCs w:val="20"/>
              </w:rPr>
            </w:pPr>
          </w:p>
          <w:p w14:paraId="703CF82E" w14:textId="77777777" w:rsidR="00F4284C" w:rsidRPr="00154588" w:rsidRDefault="00F4284C" w:rsidP="008C12B4">
            <w:pPr>
              <w:jc w:val="both"/>
              <w:rPr>
                <w:b/>
                <w:sz w:val="20"/>
                <w:szCs w:val="20"/>
              </w:rPr>
            </w:pPr>
            <w:r w:rsidRPr="00154588">
              <w:rPr>
                <w:b/>
                <w:sz w:val="20"/>
                <w:szCs w:val="20"/>
              </w:rPr>
              <w:t>Articolul 45k</w:t>
            </w:r>
          </w:p>
          <w:p w14:paraId="7D12E025" w14:textId="0C027F2E" w:rsidR="00F4284C" w:rsidRPr="00154588" w:rsidRDefault="00F4284C" w:rsidP="008C12B4">
            <w:pPr>
              <w:jc w:val="both"/>
              <w:rPr>
                <w:bCs/>
                <w:sz w:val="20"/>
                <w:szCs w:val="20"/>
              </w:rPr>
            </w:pPr>
            <w:r w:rsidRPr="00154588">
              <w:rPr>
                <w:b/>
                <w:sz w:val="20"/>
                <w:szCs w:val="20"/>
              </w:rPr>
              <w:t>Nerespectarea cerinței minime de fonduri proprii și datorii eligibile</w:t>
            </w:r>
          </w:p>
        </w:tc>
        <w:tc>
          <w:tcPr>
            <w:tcW w:w="4819" w:type="dxa"/>
          </w:tcPr>
          <w:p w14:paraId="73B8F611" w14:textId="77777777" w:rsidR="00F4284C" w:rsidRPr="00154588" w:rsidRDefault="00F4284C" w:rsidP="008C12B4">
            <w:pPr>
              <w:jc w:val="both"/>
              <w:rPr>
                <w:bCs/>
                <w:sz w:val="20"/>
                <w:szCs w:val="20"/>
              </w:rPr>
            </w:pPr>
          </w:p>
        </w:tc>
        <w:tc>
          <w:tcPr>
            <w:tcW w:w="2552" w:type="dxa"/>
          </w:tcPr>
          <w:p w14:paraId="30359605" w14:textId="77777777" w:rsidR="00F4284C" w:rsidRPr="00154588" w:rsidRDefault="00F4284C" w:rsidP="008C12B4">
            <w:pPr>
              <w:jc w:val="both"/>
              <w:rPr>
                <w:bCs/>
                <w:sz w:val="20"/>
                <w:szCs w:val="20"/>
              </w:rPr>
            </w:pPr>
          </w:p>
        </w:tc>
        <w:tc>
          <w:tcPr>
            <w:tcW w:w="3118" w:type="dxa"/>
          </w:tcPr>
          <w:p w14:paraId="12C91AE1" w14:textId="77777777" w:rsidR="00F4284C" w:rsidRPr="00154588" w:rsidRDefault="00F4284C" w:rsidP="008C12B4">
            <w:pPr>
              <w:jc w:val="both"/>
              <w:rPr>
                <w:bCs/>
                <w:sz w:val="20"/>
                <w:szCs w:val="20"/>
              </w:rPr>
            </w:pPr>
          </w:p>
        </w:tc>
      </w:tr>
      <w:tr w:rsidR="00F4284C" w:rsidRPr="00154588" w14:paraId="6554F526" w14:textId="77777777" w:rsidTr="00887369">
        <w:trPr>
          <w:trHeight w:val="6630"/>
          <w:jc w:val="center"/>
        </w:trPr>
        <w:tc>
          <w:tcPr>
            <w:tcW w:w="4957" w:type="dxa"/>
            <w:gridSpan w:val="2"/>
          </w:tcPr>
          <w:p w14:paraId="28D87F0C" w14:textId="77777777" w:rsidR="00F4284C" w:rsidRPr="00154588" w:rsidRDefault="00F4284C" w:rsidP="008C12B4">
            <w:pPr>
              <w:jc w:val="both"/>
              <w:rPr>
                <w:bCs/>
                <w:sz w:val="20"/>
                <w:szCs w:val="20"/>
              </w:rPr>
            </w:pPr>
            <w:r w:rsidRPr="00154588">
              <w:rPr>
                <w:bCs/>
                <w:sz w:val="20"/>
                <w:szCs w:val="20"/>
              </w:rPr>
              <w:lastRenderedPageBreak/>
              <w:t>(1)   Orice nerespectare a cerinței minime de fonduri proprii și datorii eligibile, menționată la articolul 45e sau la articolul 45f, este tratată de către autoritățile relevante pe baza a cel puțin unuia dintre următoarele elemente:</w:t>
            </w:r>
          </w:p>
          <w:p w14:paraId="4D4B0926" w14:textId="77777777" w:rsidR="00F4284C" w:rsidRPr="00154588" w:rsidRDefault="00F4284C" w:rsidP="008C12B4">
            <w:pPr>
              <w:jc w:val="both"/>
              <w:rPr>
                <w:bCs/>
                <w:sz w:val="20"/>
                <w:szCs w:val="20"/>
              </w:rPr>
            </w:pPr>
          </w:p>
          <w:p w14:paraId="3FA2168F" w14:textId="2F5E3CB0" w:rsidR="00F4284C" w:rsidRPr="00154588" w:rsidRDefault="00F4284C" w:rsidP="008C12B4">
            <w:pPr>
              <w:jc w:val="both"/>
              <w:rPr>
                <w:bCs/>
                <w:sz w:val="20"/>
                <w:szCs w:val="20"/>
              </w:rPr>
            </w:pPr>
            <w:r w:rsidRPr="00154588">
              <w:rPr>
                <w:bCs/>
                <w:sz w:val="20"/>
                <w:szCs w:val="20"/>
              </w:rPr>
              <w:t>(a) competența de a soluționa sau de a înlătura obstacolele din calea posibilității de soluționare în conformitate cu articolele 17 și 18;</w:t>
            </w:r>
          </w:p>
          <w:p w14:paraId="4848511A" w14:textId="77777777" w:rsidR="00F4284C" w:rsidRPr="00154588" w:rsidRDefault="00F4284C" w:rsidP="008C12B4">
            <w:pPr>
              <w:jc w:val="both"/>
              <w:rPr>
                <w:bCs/>
                <w:sz w:val="20"/>
                <w:szCs w:val="20"/>
              </w:rPr>
            </w:pPr>
          </w:p>
          <w:p w14:paraId="0157EFF8" w14:textId="590E5DAF" w:rsidR="00F4284C" w:rsidRPr="00154588" w:rsidRDefault="00F4284C" w:rsidP="008C12B4">
            <w:pPr>
              <w:jc w:val="both"/>
              <w:rPr>
                <w:bCs/>
                <w:sz w:val="20"/>
                <w:szCs w:val="20"/>
              </w:rPr>
            </w:pPr>
            <w:r w:rsidRPr="00154588">
              <w:rPr>
                <w:bCs/>
                <w:sz w:val="20"/>
                <w:szCs w:val="20"/>
              </w:rPr>
              <w:t>(b) competențele menționate la articolul 16a;</w:t>
            </w:r>
          </w:p>
          <w:p w14:paraId="259DB72A" w14:textId="77777777" w:rsidR="00F4284C" w:rsidRPr="00154588" w:rsidRDefault="00F4284C" w:rsidP="008C12B4">
            <w:pPr>
              <w:jc w:val="both"/>
              <w:rPr>
                <w:bCs/>
                <w:sz w:val="20"/>
                <w:szCs w:val="20"/>
              </w:rPr>
            </w:pPr>
          </w:p>
          <w:p w14:paraId="49226B63" w14:textId="4EF99D24" w:rsidR="00F4284C" w:rsidRPr="00154588" w:rsidRDefault="00F4284C" w:rsidP="008C12B4">
            <w:pPr>
              <w:jc w:val="both"/>
              <w:rPr>
                <w:bCs/>
                <w:sz w:val="20"/>
                <w:szCs w:val="20"/>
              </w:rPr>
            </w:pPr>
            <w:r w:rsidRPr="00154588">
              <w:rPr>
                <w:bCs/>
                <w:sz w:val="20"/>
                <w:szCs w:val="20"/>
              </w:rPr>
              <w:t>(c) măsurile menționate la articolul 104 din Directiva 2013/36/UE;</w:t>
            </w:r>
          </w:p>
          <w:p w14:paraId="487E8C72" w14:textId="77777777" w:rsidR="00F4284C" w:rsidRPr="00154588" w:rsidRDefault="00F4284C" w:rsidP="008C12B4">
            <w:pPr>
              <w:jc w:val="both"/>
              <w:rPr>
                <w:bCs/>
                <w:sz w:val="20"/>
                <w:szCs w:val="20"/>
              </w:rPr>
            </w:pPr>
          </w:p>
          <w:p w14:paraId="30A74B20" w14:textId="13D0DEA2" w:rsidR="00F4284C" w:rsidRPr="00154588" w:rsidRDefault="00F4284C" w:rsidP="008C12B4">
            <w:pPr>
              <w:jc w:val="both"/>
              <w:rPr>
                <w:bCs/>
                <w:sz w:val="20"/>
                <w:szCs w:val="20"/>
              </w:rPr>
            </w:pPr>
            <w:r w:rsidRPr="00154588">
              <w:rPr>
                <w:bCs/>
                <w:sz w:val="20"/>
                <w:szCs w:val="20"/>
              </w:rPr>
              <w:t>(d) măsuri de intervenție timpurie, conform articolului 27;</w:t>
            </w:r>
          </w:p>
          <w:p w14:paraId="1CF9E24B" w14:textId="77777777" w:rsidR="00F4284C" w:rsidRPr="00154588" w:rsidRDefault="00F4284C" w:rsidP="008C12B4">
            <w:pPr>
              <w:jc w:val="both"/>
              <w:rPr>
                <w:bCs/>
                <w:sz w:val="20"/>
                <w:szCs w:val="20"/>
              </w:rPr>
            </w:pPr>
          </w:p>
          <w:p w14:paraId="5D83CA7A" w14:textId="21AA0D67" w:rsidR="00F4284C" w:rsidRPr="00154588" w:rsidRDefault="00F4284C" w:rsidP="008C12B4">
            <w:pPr>
              <w:jc w:val="both"/>
              <w:rPr>
                <w:bCs/>
                <w:sz w:val="20"/>
                <w:szCs w:val="20"/>
              </w:rPr>
            </w:pPr>
            <w:r w:rsidRPr="00154588">
              <w:rPr>
                <w:bCs/>
                <w:sz w:val="20"/>
                <w:szCs w:val="20"/>
              </w:rPr>
              <w:t>(e) sancțiuni administrative și alte măsuri administrative în conformitate cu articolele 110 și 111.</w:t>
            </w:r>
          </w:p>
          <w:p w14:paraId="23FB940C" w14:textId="77777777" w:rsidR="00F4284C" w:rsidRPr="00154588" w:rsidRDefault="00F4284C" w:rsidP="008C12B4">
            <w:pPr>
              <w:jc w:val="both"/>
              <w:rPr>
                <w:bCs/>
                <w:sz w:val="20"/>
                <w:szCs w:val="20"/>
              </w:rPr>
            </w:pPr>
          </w:p>
          <w:p w14:paraId="78AA57C8" w14:textId="59EB471C" w:rsidR="00F4284C" w:rsidRPr="00154588" w:rsidRDefault="00F4284C" w:rsidP="008C12B4">
            <w:pPr>
              <w:jc w:val="both"/>
              <w:rPr>
                <w:bCs/>
                <w:sz w:val="20"/>
                <w:szCs w:val="20"/>
              </w:rPr>
            </w:pPr>
            <w:r w:rsidRPr="00154588">
              <w:rPr>
                <w:bCs/>
                <w:sz w:val="20"/>
                <w:szCs w:val="20"/>
              </w:rPr>
              <w:t>Autoritățile relevante pot, de asemenea, să efectueze o evaluare prin care să stabilească dacă instituția sau entitatea menționată la articolul 1 alineatul (1) literele (b), (c) și (d) este în curs de a intra în dificultate sau este susceptibilă de a intra în dificultate, în conformitate cu articolul 32, 32a sau 33, după caz.</w:t>
            </w:r>
          </w:p>
        </w:tc>
        <w:tc>
          <w:tcPr>
            <w:tcW w:w="4819" w:type="dxa"/>
          </w:tcPr>
          <w:p w14:paraId="785A5953" w14:textId="73263E94" w:rsidR="00F4284C" w:rsidRPr="00154588" w:rsidRDefault="00F4284C" w:rsidP="008C12B4">
            <w:pPr>
              <w:jc w:val="both"/>
              <w:rPr>
                <w:bCs/>
                <w:sz w:val="20"/>
                <w:szCs w:val="20"/>
              </w:rPr>
            </w:pPr>
            <w:r w:rsidRPr="00154588">
              <w:rPr>
                <w:b/>
                <w:bCs/>
                <w:sz w:val="20"/>
                <w:szCs w:val="20"/>
              </w:rPr>
              <w:t>Articolul 167</w:t>
            </w:r>
            <w:r w:rsidRPr="00154588">
              <w:rPr>
                <w:b/>
                <w:bCs/>
                <w:sz w:val="20"/>
                <w:szCs w:val="20"/>
                <w:vertAlign w:val="superscript"/>
              </w:rPr>
              <w:t>4</w:t>
            </w:r>
            <w:r w:rsidRPr="00154588">
              <w:rPr>
                <w:bCs/>
                <w:sz w:val="20"/>
                <w:szCs w:val="20"/>
              </w:rPr>
              <w:t>. – (1) În cazul nerespectării cerinței minime de fonduri proprii și datorii eligibile,</w:t>
            </w:r>
            <w:r w:rsidRPr="00154588">
              <w:rPr>
                <w:sz w:val="20"/>
                <w:szCs w:val="20"/>
              </w:rPr>
              <w:t xml:space="preserve"> </w:t>
            </w:r>
            <w:bookmarkStart w:id="130" w:name="_Hlk234832027"/>
            <w:r w:rsidRPr="00154588">
              <w:rPr>
                <w:bCs/>
                <w:sz w:val="20"/>
                <w:szCs w:val="20"/>
              </w:rPr>
              <w:t>menționate la art.167</w:t>
            </w:r>
            <w:r w:rsidRPr="00154588">
              <w:rPr>
                <w:bCs/>
                <w:sz w:val="20"/>
                <w:szCs w:val="20"/>
                <w:vertAlign w:val="superscript"/>
              </w:rPr>
              <w:t xml:space="preserve">14 </w:t>
            </w:r>
            <w:r w:rsidRPr="00154588">
              <w:rPr>
                <w:bCs/>
                <w:sz w:val="20"/>
                <w:szCs w:val="20"/>
              </w:rPr>
              <w:t>sau la art.167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Pr="00154588">
              <w:rPr>
                <w:bCs/>
                <w:sz w:val="20"/>
                <w:szCs w:val="20"/>
              </w:rPr>
              <w:t>,</w:t>
            </w:r>
            <w:bookmarkEnd w:id="130"/>
            <w:r w:rsidRPr="00154588">
              <w:rPr>
                <w:bCs/>
                <w:sz w:val="20"/>
                <w:szCs w:val="20"/>
              </w:rPr>
              <w:t xml:space="preserve"> autoritate de rezoluție sau, după caz, autoritatea competentă, după consultare reciprocă, poate aplica cel puțin una dintre următoarele:</w:t>
            </w:r>
          </w:p>
          <w:p w14:paraId="3D21C774" w14:textId="54859925" w:rsidR="00F4284C" w:rsidRPr="00154588" w:rsidRDefault="00F4284C" w:rsidP="008C12B4">
            <w:pPr>
              <w:jc w:val="both"/>
              <w:rPr>
                <w:bCs/>
                <w:sz w:val="20"/>
                <w:szCs w:val="20"/>
              </w:rPr>
            </w:pPr>
            <w:r w:rsidRPr="00154588">
              <w:rPr>
                <w:bCs/>
                <w:sz w:val="20"/>
                <w:szCs w:val="20"/>
              </w:rPr>
              <w:t>a) competența de a aborda sau de a înlătura obstacolele din calea posibilităților de soluționare, în conformitate cu prevederile art. 35–41</w:t>
            </w:r>
            <w:r w:rsidRPr="00154588">
              <w:rPr>
                <w:bCs/>
                <w:sz w:val="20"/>
                <w:szCs w:val="20"/>
                <w:vertAlign w:val="superscript"/>
              </w:rPr>
              <w:t>8</w:t>
            </w:r>
            <w:r w:rsidRPr="00154588">
              <w:rPr>
                <w:bCs/>
                <w:sz w:val="20"/>
                <w:szCs w:val="20"/>
              </w:rPr>
              <w:t>;</w:t>
            </w:r>
          </w:p>
          <w:p w14:paraId="53ED822F" w14:textId="77777777" w:rsidR="00F4284C" w:rsidRPr="00154588" w:rsidRDefault="00F4284C" w:rsidP="008C12B4">
            <w:pPr>
              <w:jc w:val="both"/>
              <w:rPr>
                <w:bCs/>
                <w:sz w:val="20"/>
                <w:szCs w:val="20"/>
              </w:rPr>
            </w:pPr>
            <w:r w:rsidRPr="00154588">
              <w:rPr>
                <w:bCs/>
                <w:sz w:val="20"/>
                <w:szCs w:val="20"/>
              </w:rPr>
              <w:t>b) competența de a interzice anumite distribuiri, prevăzută la art. 34</w:t>
            </w:r>
            <w:r w:rsidRPr="00154588">
              <w:rPr>
                <w:bCs/>
                <w:sz w:val="20"/>
                <w:szCs w:val="20"/>
                <w:vertAlign w:val="superscript"/>
              </w:rPr>
              <w:t>1</w:t>
            </w:r>
            <w:r w:rsidRPr="00154588">
              <w:rPr>
                <w:bCs/>
                <w:sz w:val="20"/>
                <w:szCs w:val="20"/>
              </w:rPr>
              <w:t>;</w:t>
            </w:r>
          </w:p>
          <w:p w14:paraId="59A82522" w14:textId="65D80E06" w:rsidR="00F4284C" w:rsidRPr="00154588" w:rsidRDefault="00F4284C" w:rsidP="008C12B4">
            <w:pPr>
              <w:jc w:val="both"/>
              <w:rPr>
                <w:bCs/>
                <w:sz w:val="20"/>
                <w:szCs w:val="20"/>
              </w:rPr>
            </w:pPr>
            <w:r w:rsidRPr="00154588">
              <w:rPr>
                <w:bCs/>
                <w:sz w:val="20"/>
                <w:szCs w:val="20"/>
              </w:rPr>
              <w:t xml:space="preserve">c) măsurile de supraveghere menționate la art. 139 alin. (3) </w:t>
            </w:r>
            <w:bookmarkStart w:id="131" w:name="_Hlk234832150"/>
            <w:r w:rsidRPr="00154588">
              <w:rPr>
                <w:bCs/>
                <w:sz w:val="20"/>
                <w:szCs w:val="20"/>
              </w:rPr>
              <w:t>și alin. (4</w:t>
            </w:r>
            <w:r w:rsidRPr="00154588">
              <w:rPr>
                <w:sz w:val="20"/>
                <w:szCs w:val="20"/>
              </w:rPr>
              <w:t>)</w:t>
            </w:r>
            <w:r w:rsidRPr="00154588">
              <w:rPr>
                <w:bCs/>
                <w:sz w:val="20"/>
                <w:szCs w:val="20"/>
              </w:rPr>
              <w:t xml:space="preserve"> </w:t>
            </w:r>
            <w:bookmarkEnd w:id="131"/>
            <w:r w:rsidRPr="00154588">
              <w:rPr>
                <w:bCs/>
                <w:sz w:val="20"/>
                <w:szCs w:val="20"/>
              </w:rPr>
              <w:t>din Legea nr. 202/2017 ;</w:t>
            </w:r>
          </w:p>
          <w:p w14:paraId="22A55DF3" w14:textId="77777777" w:rsidR="00F4284C" w:rsidRPr="00154588" w:rsidRDefault="00F4284C" w:rsidP="008C12B4">
            <w:pPr>
              <w:jc w:val="both"/>
              <w:rPr>
                <w:bCs/>
                <w:sz w:val="20"/>
                <w:szCs w:val="20"/>
              </w:rPr>
            </w:pPr>
            <w:r w:rsidRPr="00154588">
              <w:rPr>
                <w:bCs/>
                <w:sz w:val="20"/>
                <w:szCs w:val="20"/>
              </w:rPr>
              <w:t>d) măsurile de intervenție timpurie în conformitate cu prevederile art. 42–44;</w:t>
            </w:r>
          </w:p>
          <w:p w14:paraId="3D11E987" w14:textId="77777777" w:rsidR="00F4284C" w:rsidRPr="00154588" w:rsidRDefault="00F4284C" w:rsidP="008C12B4">
            <w:pPr>
              <w:jc w:val="both"/>
              <w:rPr>
                <w:bCs/>
                <w:sz w:val="20"/>
                <w:szCs w:val="20"/>
              </w:rPr>
            </w:pPr>
            <w:r w:rsidRPr="00154588">
              <w:rPr>
                <w:bCs/>
                <w:sz w:val="20"/>
                <w:szCs w:val="20"/>
              </w:rPr>
              <w:t>e) sancțiunile și măsurile prevăzute la art. 314–316.</w:t>
            </w:r>
          </w:p>
          <w:p w14:paraId="1381CA86" w14:textId="77777777" w:rsidR="00F4284C" w:rsidRPr="00154588" w:rsidRDefault="00F4284C" w:rsidP="008C12B4">
            <w:pPr>
              <w:jc w:val="both"/>
              <w:rPr>
                <w:bCs/>
                <w:sz w:val="20"/>
                <w:szCs w:val="20"/>
              </w:rPr>
            </w:pPr>
          </w:p>
          <w:p w14:paraId="1A470A6D" w14:textId="77777777" w:rsidR="00F4284C" w:rsidRPr="00154588" w:rsidRDefault="00F4284C" w:rsidP="008C12B4">
            <w:pPr>
              <w:jc w:val="both"/>
              <w:rPr>
                <w:bCs/>
                <w:sz w:val="20"/>
                <w:szCs w:val="20"/>
              </w:rPr>
            </w:pPr>
          </w:p>
          <w:p w14:paraId="0863102F" w14:textId="77777777" w:rsidR="00F4284C" w:rsidRPr="00154588" w:rsidRDefault="00F4284C" w:rsidP="008C12B4">
            <w:pPr>
              <w:jc w:val="both"/>
              <w:rPr>
                <w:bCs/>
                <w:sz w:val="20"/>
                <w:szCs w:val="20"/>
              </w:rPr>
            </w:pPr>
          </w:p>
          <w:p w14:paraId="7338A6FF" w14:textId="7DBBBD12" w:rsidR="00F4284C" w:rsidRPr="00154588" w:rsidRDefault="00F4284C" w:rsidP="008C12B4">
            <w:pPr>
              <w:jc w:val="both"/>
              <w:rPr>
                <w:bCs/>
                <w:sz w:val="20"/>
                <w:szCs w:val="20"/>
              </w:rPr>
            </w:pPr>
            <w:r w:rsidRPr="00154588">
              <w:rPr>
                <w:bCs/>
                <w:sz w:val="20"/>
                <w:szCs w:val="20"/>
              </w:rPr>
              <w:t>2) Banca Națională a Moldovei poate efectua, de asemenea, o evaluare pentru a stabili dacă instituția de credit intră sau este susceptibilă de a intra într-o stare de dificultate , în conformitate cu prevederile art. 58 – 60</w:t>
            </w:r>
            <w:r w:rsidRPr="00154588">
              <w:rPr>
                <w:sz w:val="20"/>
                <w:szCs w:val="20"/>
              </w:rPr>
              <w:t xml:space="preserve"> </w:t>
            </w:r>
            <w:r w:rsidRPr="00154588">
              <w:rPr>
                <w:bCs/>
                <w:sz w:val="20"/>
                <w:szCs w:val="20"/>
              </w:rPr>
              <w:t>alin</w:t>
            </w:r>
            <w:r w:rsidRPr="00154588">
              <w:rPr>
                <w:sz w:val="20"/>
                <w:szCs w:val="20"/>
              </w:rPr>
              <w:t>. (5)</w:t>
            </w:r>
            <w:r w:rsidRPr="00154588">
              <w:rPr>
                <w:bCs/>
                <w:sz w:val="20"/>
                <w:szCs w:val="20"/>
              </w:rPr>
              <w:t xml:space="preserve"> </w:t>
            </w:r>
            <w:r w:rsidRPr="00154588">
              <w:rPr>
                <w:sz w:val="20"/>
                <w:szCs w:val="20"/>
              </w:rPr>
              <w:t xml:space="preserve"> </w:t>
            </w:r>
            <w:r w:rsidRPr="00154588">
              <w:rPr>
                <w:bCs/>
                <w:sz w:val="20"/>
                <w:szCs w:val="20"/>
              </w:rPr>
              <w:t xml:space="preserve">sau ale </w:t>
            </w:r>
            <w:r w:rsidRPr="00154588">
              <w:rPr>
                <w:sz w:val="20"/>
                <w:szCs w:val="20"/>
              </w:rPr>
              <w:t>art.</w:t>
            </w:r>
            <w:r w:rsidRPr="00154588">
              <w:rPr>
                <w:bCs/>
                <w:sz w:val="20"/>
                <w:szCs w:val="20"/>
              </w:rPr>
              <w:t>60 alin.(10)-(14), după caz.</w:t>
            </w:r>
          </w:p>
          <w:p w14:paraId="431A761A" w14:textId="77777777" w:rsidR="00F4284C" w:rsidRPr="00154588" w:rsidRDefault="00F4284C" w:rsidP="008C12B4">
            <w:pPr>
              <w:jc w:val="both"/>
              <w:rPr>
                <w:bCs/>
                <w:sz w:val="20"/>
                <w:szCs w:val="20"/>
              </w:rPr>
            </w:pPr>
          </w:p>
        </w:tc>
        <w:tc>
          <w:tcPr>
            <w:tcW w:w="2552" w:type="dxa"/>
          </w:tcPr>
          <w:p w14:paraId="2D974046" w14:textId="5C486D63" w:rsidR="00F4284C" w:rsidRPr="00154588" w:rsidRDefault="00F4284C" w:rsidP="008C12B4">
            <w:pPr>
              <w:jc w:val="both"/>
              <w:rPr>
                <w:bCs/>
                <w:sz w:val="20"/>
                <w:szCs w:val="20"/>
              </w:rPr>
            </w:pPr>
            <w:r w:rsidRPr="00154588">
              <w:rPr>
                <w:bCs/>
                <w:sz w:val="20"/>
                <w:szCs w:val="20"/>
              </w:rPr>
              <w:t>Compatibil</w:t>
            </w:r>
          </w:p>
        </w:tc>
        <w:tc>
          <w:tcPr>
            <w:tcW w:w="3118" w:type="dxa"/>
          </w:tcPr>
          <w:p w14:paraId="1E898404" w14:textId="77777777" w:rsidR="00F4284C" w:rsidRPr="00154588" w:rsidRDefault="00F4284C" w:rsidP="008C12B4">
            <w:pPr>
              <w:jc w:val="both"/>
              <w:rPr>
                <w:bCs/>
                <w:sz w:val="20"/>
                <w:szCs w:val="20"/>
              </w:rPr>
            </w:pPr>
          </w:p>
        </w:tc>
      </w:tr>
      <w:tr w:rsidR="00F4284C" w:rsidRPr="00154588" w14:paraId="648F1E7B" w14:textId="77777777" w:rsidTr="00D15C1B">
        <w:trPr>
          <w:jc w:val="center"/>
        </w:trPr>
        <w:tc>
          <w:tcPr>
            <w:tcW w:w="4957" w:type="dxa"/>
            <w:gridSpan w:val="2"/>
          </w:tcPr>
          <w:p w14:paraId="62D845CC" w14:textId="2651499C" w:rsidR="00F4284C" w:rsidRPr="00154588" w:rsidRDefault="00F4284C" w:rsidP="008C12B4">
            <w:pPr>
              <w:jc w:val="both"/>
              <w:rPr>
                <w:bCs/>
                <w:sz w:val="20"/>
                <w:szCs w:val="20"/>
              </w:rPr>
            </w:pPr>
            <w:r w:rsidRPr="00154588">
              <w:rPr>
                <w:bCs/>
                <w:sz w:val="20"/>
                <w:szCs w:val="20"/>
              </w:rPr>
              <w:t>(2)   Autoritățile de rezoluție și autoritățile competente atunci când își exercită competențele menționate la alineatul (1).</w:t>
            </w:r>
          </w:p>
        </w:tc>
        <w:tc>
          <w:tcPr>
            <w:tcW w:w="4819" w:type="dxa"/>
          </w:tcPr>
          <w:p w14:paraId="31443DA9" w14:textId="1781B912" w:rsidR="00F4284C" w:rsidRPr="00154588" w:rsidRDefault="00F4284C" w:rsidP="008C12B4">
            <w:pPr>
              <w:jc w:val="both"/>
              <w:rPr>
                <w:bCs/>
                <w:sz w:val="20"/>
                <w:szCs w:val="20"/>
              </w:rPr>
            </w:pPr>
          </w:p>
        </w:tc>
        <w:tc>
          <w:tcPr>
            <w:tcW w:w="2552" w:type="dxa"/>
          </w:tcPr>
          <w:p w14:paraId="3472F6A7" w14:textId="6D53FAA9" w:rsidR="00F4284C" w:rsidRPr="00154588" w:rsidRDefault="00F4284C" w:rsidP="008C12B4">
            <w:pPr>
              <w:jc w:val="both"/>
              <w:rPr>
                <w:bCs/>
                <w:sz w:val="20"/>
                <w:szCs w:val="20"/>
              </w:rPr>
            </w:pPr>
            <w:r w:rsidRPr="00154588">
              <w:rPr>
                <w:bCs/>
                <w:sz w:val="20"/>
                <w:szCs w:val="20"/>
              </w:rPr>
              <w:t>Compatibil</w:t>
            </w:r>
          </w:p>
        </w:tc>
        <w:tc>
          <w:tcPr>
            <w:tcW w:w="3118" w:type="dxa"/>
          </w:tcPr>
          <w:p w14:paraId="396D2FBF" w14:textId="66A5A162" w:rsidR="00F4284C" w:rsidRPr="00154588" w:rsidRDefault="00F4284C" w:rsidP="008C12B4">
            <w:pPr>
              <w:jc w:val="both"/>
              <w:rPr>
                <w:bCs/>
                <w:sz w:val="20"/>
                <w:szCs w:val="20"/>
              </w:rPr>
            </w:pPr>
            <w:r w:rsidRPr="00154588">
              <w:rPr>
                <w:bCs/>
                <w:sz w:val="20"/>
                <w:szCs w:val="20"/>
              </w:rPr>
              <w:t>Inclus la alin.(1)</w:t>
            </w:r>
          </w:p>
        </w:tc>
      </w:tr>
      <w:tr w:rsidR="00F4284C" w:rsidRPr="00154588" w14:paraId="7C80D6FE" w14:textId="77777777" w:rsidTr="00D15C1B">
        <w:trPr>
          <w:jc w:val="center"/>
        </w:trPr>
        <w:tc>
          <w:tcPr>
            <w:tcW w:w="4957" w:type="dxa"/>
            <w:gridSpan w:val="2"/>
          </w:tcPr>
          <w:p w14:paraId="130A0425" w14:textId="77777777" w:rsidR="00F4284C" w:rsidRPr="00154588" w:rsidRDefault="00F4284C" w:rsidP="008C12B4">
            <w:pPr>
              <w:jc w:val="both"/>
              <w:rPr>
                <w:b/>
                <w:sz w:val="20"/>
                <w:szCs w:val="20"/>
              </w:rPr>
            </w:pPr>
            <w:r w:rsidRPr="00154588">
              <w:rPr>
                <w:b/>
                <w:sz w:val="20"/>
                <w:szCs w:val="20"/>
              </w:rPr>
              <w:t>Articolul 45l</w:t>
            </w:r>
          </w:p>
          <w:p w14:paraId="024DB984" w14:textId="77777777" w:rsidR="00F4284C" w:rsidRPr="00154588" w:rsidRDefault="00F4284C" w:rsidP="008C12B4">
            <w:pPr>
              <w:jc w:val="both"/>
              <w:rPr>
                <w:b/>
                <w:sz w:val="20"/>
                <w:szCs w:val="20"/>
              </w:rPr>
            </w:pPr>
          </w:p>
          <w:p w14:paraId="355AE473" w14:textId="7AD2A7A9" w:rsidR="00F4284C" w:rsidRPr="00154588" w:rsidRDefault="00F4284C" w:rsidP="008C12B4">
            <w:pPr>
              <w:jc w:val="both"/>
              <w:rPr>
                <w:bCs/>
                <w:sz w:val="20"/>
                <w:szCs w:val="20"/>
              </w:rPr>
            </w:pPr>
            <w:r w:rsidRPr="00154588">
              <w:rPr>
                <w:b/>
                <w:sz w:val="20"/>
                <w:szCs w:val="20"/>
              </w:rPr>
              <w:t>Rapoarte</w:t>
            </w:r>
          </w:p>
        </w:tc>
        <w:tc>
          <w:tcPr>
            <w:tcW w:w="4819" w:type="dxa"/>
          </w:tcPr>
          <w:p w14:paraId="07627E41" w14:textId="77777777" w:rsidR="00F4284C" w:rsidRPr="00154588" w:rsidRDefault="00F4284C" w:rsidP="008C12B4">
            <w:pPr>
              <w:jc w:val="both"/>
              <w:rPr>
                <w:bCs/>
                <w:sz w:val="20"/>
                <w:szCs w:val="20"/>
              </w:rPr>
            </w:pPr>
          </w:p>
        </w:tc>
        <w:tc>
          <w:tcPr>
            <w:tcW w:w="2552" w:type="dxa"/>
          </w:tcPr>
          <w:p w14:paraId="4D3E34AE" w14:textId="77777777" w:rsidR="00F4284C" w:rsidRPr="00154588" w:rsidRDefault="00F4284C" w:rsidP="008C12B4">
            <w:pPr>
              <w:jc w:val="both"/>
              <w:rPr>
                <w:bCs/>
                <w:sz w:val="20"/>
                <w:szCs w:val="20"/>
              </w:rPr>
            </w:pPr>
          </w:p>
        </w:tc>
        <w:tc>
          <w:tcPr>
            <w:tcW w:w="3118" w:type="dxa"/>
          </w:tcPr>
          <w:p w14:paraId="6677E02F" w14:textId="77777777" w:rsidR="00F4284C" w:rsidRPr="00154588" w:rsidRDefault="00F4284C" w:rsidP="008C12B4">
            <w:pPr>
              <w:jc w:val="both"/>
              <w:rPr>
                <w:bCs/>
                <w:sz w:val="20"/>
                <w:szCs w:val="20"/>
              </w:rPr>
            </w:pPr>
          </w:p>
        </w:tc>
      </w:tr>
      <w:tr w:rsidR="00F4284C" w:rsidRPr="00154588" w14:paraId="2DF7D3AF" w14:textId="77777777" w:rsidTr="00D15C1B">
        <w:trPr>
          <w:jc w:val="center"/>
        </w:trPr>
        <w:tc>
          <w:tcPr>
            <w:tcW w:w="4957" w:type="dxa"/>
            <w:gridSpan w:val="2"/>
          </w:tcPr>
          <w:p w14:paraId="1746A97F" w14:textId="77777777" w:rsidR="00F4284C" w:rsidRPr="00154588" w:rsidRDefault="00F4284C" w:rsidP="008C12B4">
            <w:pPr>
              <w:jc w:val="both"/>
              <w:rPr>
                <w:bCs/>
                <w:sz w:val="20"/>
                <w:szCs w:val="20"/>
              </w:rPr>
            </w:pPr>
            <w:r w:rsidRPr="00154588">
              <w:rPr>
                <w:bCs/>
                <w:sz w:val="20"/>
                <w:szCs w:val="20"/>
              </w:rPr>
              <w:t>(1)   ABE, în cooperare cu autoritățile competente și cu autoritățile de rezoluție, prezintă anual Comisiei un raport care conține evaluări referitoare cel puțin la următoarele aspecte:</w:t>
            </w:r>
          </w:p>
          <w:p w14:paraId="1975A3BE" w14:textId="77777777" w:rsidR="00F4284C" w:rsidRPr="00154588" w:rsidRDefault="00F4284C" w:rsidP="008C12B4">
            <w:pPr>
              <w:jc w:val="both"/>
              <w:rPr>
                <w:bCs/>
                <w:sz w:val="20"/>
                <w:szCs w:val="20"/>
              </w:rPr>
            </w:pPr>
          </w:p>
          <w:p w14:paraId="6A534B62" w14:textId="77777777" w:rsidR="00F4284C" w:rsidRPr="00154588" w:rsidRDefault="00F4284C" w:rsidP="008C12B4">
            <w:pPr>
              <w:jc w:val="both"/>
              <w:rPr>
                <w:bCs/>
                <w:sz w:val="20"/>
                <w:szCs w:val="20"/>
              </w:rPr>
            </w:pPr>
          </w:p>
          <w:p w14:paraId="796182F2" w14:textId="34A42D96" w:rsidR="00F4284C" w:rsidRPr="00154588" w:rsidRDefault="00F4284C" w:rsidP="008C12B4">
            <w:pPr>
              <w:jc w:val="both"/>
              <w:rPr>
                <w:bCs/>
                <w:sz w:val="20"/>
                <w:szCs w:val="20"/>
              </w:rPr>
            </w:pPr>
            <w:r w:rsidRPr="00154588">
              <w:rPr>
                <w:bCs/>
                <w:sz w:val="20"/>
                <w:szCs w:val="20"/>
              </w:rPr>
              <w:t xml:space="preserve">(a) modul în care a fost implementată la nivel național cerința de fonduri proprii și datorii eligibile stabilită în conformitate cu articolul 45e sau cu articolul 45f și, în special, dacă au existat divergențe între statele </w:t>
            </w:r>
            <w:r w:rsidRPr="00154588">
              <w:rPr>
                <w:bCs/>
                <w:sz w:val="20"/>
                <w:szCs w:val="20"/>
              </w:rPr>
              <w:lastRenderedPageBreak/>
              <w:t>membre referitoare la nivelurile stabilite pentru entități comparabile;</w:t>
            </w:r>
          </w:p>
          <w:p w14:paraId="2CE97102" w14:textId="77777777" w:rsidR="00F4284C" w:rsidRPr="00154588" w:rsidRDefault="00F4284C" w:rsidP="008C12B4">
            <w:pPr>
              <w:jc w:val="both"/>
              <w:rPr>
                <w:bCs/>
                <w:sz w:val="20"/>
                <w:szCs w:val="20"/>
              </w:rPr>
            </w:pPr>
          </w:p>
          <w:p w14:paraId="4AF9ADBB" w14:textId="3942C1E6" w:rsidR="00F4284C" w:rsidRPr="00154588" w:rsidRDefault="00F4284C" w:rsidP="008C12B4">
            <w:pPr>
              <w:jc w:val="both"/>
              <w:rPr>
                <w:bCs/>
                <w:sz w:val="20"/>
                <w:szCs w:val="20"/>
              </w:rPr>
            </w:pPr>
            <w:r w:rsidRPr="00154588">
              <w:rPr>
                <w:bCs/>
                <w:sz w:val="20"/>
                <w:szCs w:val="20"/>
              </w:rPr>
              <w:t>(b) modul în care competența menționată la articolul 45b alineatele (4), (5) și (7) a fost exercitată de către autoritățile de rezoluție și dacă au existat divergențe între statele membre referitoare la exercitarea acestei competențe;</w:t>
            </w:r>
          </w:p>
          <w:p w14:paraId="678AB506" w14:textId="77777777" w:rsidR="00F4284C" w:rsidRPr="00154588" w:rsidRDefault="00F4284C" w:rsidP="008C12B4">
            <w:pPr>
              <w:jc w:val="both"/>
              <w:rPr>
                <w:bCs/>
                <w:sz w:val="20"/>
                <w:szCs w:val="20"/>
              </w:rPr>
            </w:pPr>
          </w:p>
          <w:p w14:paraId="2549C885" w14:textId="2A87DD55" w:rsidR="00F4284C" w:rsidRPr="00154588" w:rsidRDefault="00F4284C" w:rsidP="008C12B4">
            <w:pPr>
              <w:jc w:val="both"/>
              <w:rPr>
                <w:bCs/>
                <w:sz w:val="20"/>
                <w:szCs w:val="20"/>
              </w:rPr>
            </w:pPr>
            <w:r w:rsidRPr="00154588">
              <w:rPr>
                <w:bCs/>
                <w:sz w:val="20"/>
                <w:szCs w:val="20"/>
              </w:rPr>
              <w:t>(c) nivelul agregat și componența fondurilor proprii și datoriilor eligibile ale instituțiilor și entităților, cuantumurile instrumentelor emise în perioada respectivă și cuantumurile suplimentare necesare pentru a îndeplini cerințele aplicabile.</w:t>
            </w:r>
          </w:p>
        </w:tc>
        <w:tc>
          <w:tcPr>
            <w:tcW w:w="4819" w:type="dxa"/>
          </w:tcPr>
          <w:p w14:paraId="1A4A6E8F" w14:textId="77D5D811" w:rsidR="00F4284C" w:rsidRPr="00154588" w:rsidRDefault="00F4284C" w:rsidP="008C12B4">
            <w:pPr>
              <w:jc w:val="both"/>
              <w:rPr>
                <w:bCs/>
                <w:sz w:val="20"/>
                <w:szCs w:val="20"/>
              </w:rPr>
            </w:pPr>
            <w:r w:rsidRPr="00154588">
              <w:rPr>
                <w:b/>
                <w:bCs/>
                <w:sz w:val="20"/>
                <w:szCs w:val="20"/>
              </w:rPr>
              <w:lastRenderedPageBreak/>
              <w:t>Articolul 170</w:t>
            </w:r>
            <w:r w:rsidRPr="00154588">
              <w:rPr>
                <w:b/>
                <w:bCs/>
                <w:sz w:val="20"/>
                <w:szCs w:val="20"/>
                <w:vertAlign w:val="superscript"/>
              </w:rPr>
              <w:t>6</w:t>
            </w:r>
            <w:r w:rsidRPr="00154588">
              <w:rPr>
                <w:b/>
                <w:bCs/>
                <w:sz w:val="20"/>
                <w:szCs w:val="20"/>
              </w:rPr>
              <w:t>.</w:t>
            </w:r>
            <w:r w:rsidRPr="00154588">
              <w:rPr>
                <w:bCs/>
                <w:sz w:val="20"/>
                <w:szCs w:val="20"/>
              </w:rPr>
              <w:t xml:space="preserve"> – Banca Națională a Moldovei, cooperează cu Autoritatea Bancară Europeană prin transmiterea informațiilor și evaluărilor necesare pentru elaborarea unui raport anual către Comisie, cel puțin cu privire la următoarele aspecte:</w:t>
            </w:r>
          </w:p>
          <w:p w14:paraId="34801614" w14:textId="7B2D0F21" w:rsidR="00F4284C" w:rsidRPr="00154588" w:rsidRDefault="00F4284C" w:rsidP="008C12B4">
            <w:pPr>
              <w:jc w:val="both"/>
              <w:rPr>
                <w:bCs/>
                <w:sz w:val="20"/>
                <w:szCs w:val="20"/>
              </w:rPr>
            </w:pPr>
            <w:r w:rsidRPr="00154588">
              <w:rPr>
                <w:bCs/>
                <w:sz w:val="20"/>
                <w:szCs w:val="20"/>
              </w:rPr>
              <w:t>a) modul în care a fost implementată la nivel național cerința de fonduri proprii și datorii eligibile stabilită în conformitate cu prevederile art.167</w:t>
            </w:r>
            <w:r w:rsidRPr="00154588">
              <w:rPr>
                <w:bCs/>
                <w:sz w:val="20"/>
                <w:szCs w:val="20"/>
                <w:vertAlign w:val="superscript"/>
              </w:rPr>
              <w:t>14</w:t>
            </w:r>
            <w:r w:rsidRPr="00154588">
              <w:rPr>
                <w:bCs/>
                <w:sz w:val="20"/>
                <w:szCs w:val="20"/>
              </w:rPr>
              <w:t xml:space="preserve"> sau art.167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Pr="00154588">
              <w:rPr>
                <w:bCs/>
                <w:sz w:val="20"/>
                <w:szCs w:val="20"/>
              </w:rPr>
              <w:t>;</w:t>
            </w:r>
          </w:p>
          <w:p w14:paraId="1BB3800C" w14:textId="77777777" w:rsidR="00F4284C" w:rsidRPr="00154588" w:rsidRDefault="00F4284C" w:rsidP="008C12B4">
            <w:pPr>
              <w:jc w:val="both"/>
              <w:rPr>
                <w:bCs/>
                <w:sz w:val="20"/>
                <w:szCs w:val="20"/>
              </w:rPr>
            </w:pPr>
          </w:p>
          <w:p w14:paraId="30DBC499" w14:textId="6194477B" w:rsidR="00F4284C" w:rsidRPr="00154588" w:rsidRDefault="00F4284C" w:rsidP="008C12B4">
            <w:pPr>
              <w:jc w:val="both"/>
              <w:rPr>
                <w:bCs/>
                <w:sz w:val="20"/>
                <w:szCs w:val="20"/>
              </w:rPr>
            </w:pPr>
            <w:r w:rsidRPr="00154588">
              <w:rPr>
                <w:bCs/>
                <w:sz w:val="20"/>
                <w:szCs w:val="20"/>
              </w:rPr>
              <w:lastRenderedPageBreak/>
              <w:t>b) modul în care a fost exercitată competența prevăzută la art.165</w:t>
            </w:r>
            <w:r w:rsidRPr="00154588">
              <w:rPr>
                <w:bCs/>
                <w:sz w:val="20"/>
                <w:szCs w:val="20"/>
                <w:vertAlign w:val="superscript"/>
              </w:rPr>
              <w:t>3</w:t>
            </w:r>
            <w:r w:rsidRPr="00154588">
              <w:rPr>
                <w:bCs/>
                <w:sz w:val="20"/>
                <w:szCs w:val="20"/>
              </w:rPr>
              <w:t xml:space="preserve">, </w:t>
            </w:r>
            <w:r w:rsidR="00A03681" w:rsidRPr="00154588">
              <w:rPr>
                <w:bCs/>
                <w:sz w:val="20"/>
                <w:szCs w:val="20"/>
              </w:rPr>
              <w:t>art.</w:t>
            </w:r>
            <w:r w:rsidRPr="00154588">
              <w:rPr>
                <w:bCs/>
                <w:sz w:val="20"/>
                <w:szCs w:val="20"/>
              </w:rPr>
              <w:t>165</w:t>
            </w:r>
            <w:r w:rsidRPr="00154588">
              <w:rPr>
                <w:bCs/>
                <w:sz w:val="20"/>
                <w:szCs w:val="20"/>
                <w:vertAlign w:val="superscript"/>
              </w:rPr>
              <w:t>4</w:t>
            </w:r>
            <w:r w:rsidRPr="00154588">
              <w:rPr>
                <w:bCs/>
                <w:sz w:val="20"/>
                <w:szCs w:val="20"/>
              </w:rPr>
              <w:t xml:space="preserve"> și </w:t>
            </w:r>
            <w:r w:rsidR="00A03681" w:rsidRPr="00154588">
              <w:rPr>
                <w:bCs/>
                <w:sz w:val="20"/>
                <w:szCs w:val="20"/>
              </w:rPr>
              <w:t>art.</w:t>
            </w:r>
            <w:r w:rsidRPr="00154588">
              <w:rPr>
                <w:bCs/>
                <w:sz w:val="20"/>
                <w:szCs w:val="20"/>
              </w:rPr>
              <w:t>165</w:t>
            </w:r>
            <w:r w:rsidRPr="00154588">
              <w:rPr>
                <w:bCs/>
                <w:sz w:val="20"/>
                <w:szCs w:val="20"/>
                <w:vertAlign w:val="superscript"/>
              </w:rPr>
              <w:t>6</w:t>
            </w:r>
            <w:r w:rsidRPr="00154588">
              <w:rPr>
                <w:bCs/>
                <w:sz w:val="20"/>
                <w:szCs w:val="20"/>
              </w:rPr>
              <w:t>;</w:t>
            </w:r>
          </w:p>
          <w:p w14:paraId="76136A39" w14:textId="77777777" w:rsidR="00F4284C" w:rsidRPr="00154588" w:rsidRDefault="00F4284C" w:rsidP="008C12B4">
            <w:pPr>
              <w:jc w:val="both"/>
              <w:rPr>
                <w:bCs/>
                <w:sz w:val="20"/>
                <w:szCs w:val="20"/>
              </w:rPr>
            </w:pPr>
          </w:p>
          <w:p w14:paraId="7A11F86C" w14:textId="0B5FD24C" w:rsidR="00F4284C" w:rsidRPr="00154588" w:rsidRDefault="00F4284C" w:rsidP="008C12B4">
            <w:pPr>
              <w:jc w:val="both"/>
              <w:rPr>
                <w:bCs/>
                <w:sz w:val="20"/>
                <w:szCs w:val="20"/>
              </w:rPr>
            </w:pPr>
            <w:r w:rsidRPr="00154588">
              <w:rPr>
                <w:bCs/>
                <w:sz w:val="20"/>
                <w:szCs w:val="20"/>
              </w:rPr>
              <w:t>c) nivelul agregat și componența fondurilor proprii și datoriilor eligibile ale instituțiilor de credit și entităților, cuantumurile instrumentelor emise în perioada respectivă și cuantumurile suplimentare necesare pentru a îndeplini cerințele aplicabile.</w:t>
            </w:r>
          </w:p>
          <w:p w14:paraId="48506216" w14:textId="77777777" w:rsidR="00F4284C" w:rsidRPr="00154588" w:rsidRDefault="00F4284C" w:rsidP="008C12B4">
            <w:pPr>
              <w:jc w:val="both"/>
              <w:rPr>
                <w:bCs/>
                <w:sz w:val="20"/>
                <w:szCs w:val="20"/>
              </w:rPr>
            </w:pPr>
          </w:p>
        </w:tc>
        <w:tc>
          <w:tcPr>
            <w:tcW w:w="2552" w:type="dxa"/>
          </w:tcPr>
          <w:p w14:paraId="13C29742" w14:textId="49C42453"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2B318CAE" w14:textId="77777777" w:rsidR="00F4284C" w:rsidRPr="00154588" w:rsidRDefault="00F4284C" w:rsidP="008C12B4">
            <w:pPr>
              <w:jc w:val="both"/>
              <w:rPr>
                <w:bCs/>
                <w:sz w:val="20"/>
                <w:szCs w:val="20"/>
              </w:rPr>
            </w:pPr>
          </w:p>
        </w:tc>
      </w:tr>
      <w:tr w:rsidR="00F4284C" w:rsidRPr="00154588" w14:paraId="56FD0AED" w14:textId="77777777" w:rsidTr="00D15C1B">
        <w:trPr>
          <w:jc w:val="center"/>
        </w:trPr>
        <w:tc>
          <w:tcPr>
            <w:tcW w:w="4957" w:type="dxa"/>
            <w:gridSpan w:val="2"/>
          </w:tcPr>
          <w:p w14:paraId="626238C1" w14:textId="77777777" w:rsidR="00F4284C" w:rsidRPr="00154588" w:rsidRDefault="00F4284C" w:rsidP="008C12B4">
            <w:pPr>
              <w:rPr>
                <w:bCs/>
                <w:sz w:val="20"/>
                <w:szCs w:val="20"/>
              </w:rPr>
            </w:pPr>
            <w:r w:rsidRPr="00154588">
              <w:rPr>
                <w:bCs/>
                <w:sz w:val="20"/>
                <w:szCs w:val="20"/>
              </w:rPr>
              <w:t>(2)   Pe lângă raportul anual prevăzut la alineatul (1), ABE prezintă Comisiei, la fiecare trei ani, un raport în care evaluează următoarele:</w:t>
            </w:r>
          </w:p>
          <w:p w14:paraId="086A3BFB" w14:textId="6953538D" w:rsidR="00F4284C" w:rsidRPr="00154588" w:rsidRDefault="00F4284C" w:rsidP="008C12B4">
            <w:pPr>
              <w:rPr>
                <w:bCs/>
                <w:sz w:val="20"/>
                <w:szCs w:val="20"/>
              </w:rPr>
            </w:pPr>
          </w:p>
          <w:p w14:paraId="2708DE37" w14:textId="77777777" w:rsidR="00F4284C" w:rsidRPr="00154588" w:rsidRDefault="00F4284C" w:rsidP="008C12B4">
            <w:pPr>
              <w:rPr>
                <w:bCs/>
                <w:sz w:val="20"/>
                <w:szCs w:val="20"/>
              </w:rPr>
            </w:pPr>
          </w:p>
          <w:p w14:paraId="3AE33F58" w14:textId="04ECB862" w:rsidR="00F4284C" w:rsidRPr="00154588" w:rsidRDefault="00F4284C" w:rsidP="008C12B4">
            <w:pPr>
              <w:rPr>
                <w:bCs/>
                <w:sz w:val="20"/>
                <w:szCs w:val="20"/>
              </w:rPr>
            </w:pPr>
            <w:r w:rsidRPr="00154588">
              <w:rPr>
                <w:bCs/>
                <w:sz w:val="20"/>
                <w:szCs w:val="20"/>
              </w:rPr>
              <w:t>(a) impactul cerinței minime de fonduri proprii și datorii eligibile și al oricărui nivel armonizat propus al respectivei cerințe minime asupra:</w:t>
            </w:r>
          </w:p>
          <w:p w14:paraId="3B01D86E" w14:textId="77777777" w:rsidR="00F4284C" w:rsidRPr="00154588" w:rsidRDefault="00F4284C" w:rsidP="008C12B4">
            <w:pPr>
              <w:rPr>
                <w:bCs/>
                <w:sz w:val="20"/>
                <w:szCs w:val="20"/>
              </w:rPr>
            </w:pPr>
          </w:p>
          <w:p w14:paraId="6702141F" w14:textId="77777777" w:rsidR="00F4284C" w:rsidRPr="00154588" w:rsidRDefault="00F4284C" w:rsidP="008C12B4">
            <w:pPr>
              <w:rPr>
                <w:bCs/>
                <w:sz w:val="20"/>
                <w:szCs w:val="20"/>
              </w:rPr>
            </w:pPr>
          </w:p>
          <w:p w14:paraId="24CCCC25" w14:textId="2592C41B" w:rsidR="00F4284C" w:rsidRPr="00154588" w:rsidRDefault="00F4284C" w:rsidP="008C12B4">
            <w:pPr>
              <w:rPr>
                <w:bCs/>
                <w:sz w:val="20"/>
                <w:szCs w:val="20"/>
              </w:rPr>
            </w:pPr>
            <w:r w:rsidRPr="00154588">
              <w:rPr>
                <w:bCs/>
                <w:sz w:val="20"/>
                <w:szCs w:val="20"/>
              </w:rPr>
              <w:t>(i) piețelor financiare în general și piețelor de datorii negarantate și instrumente financiare derivate în special;</w:t>
            </w:r>
          </w:p>
          <w:p w14:paraId="5FC05C7D" w14:textId="77777777" w:rsidR="00F4284C" w:rsidRPr="00154588" w:rsidRDefault="00F4284C" w:rsidP="008C12B4">
            <w:pPr>
              <w:rPr>
                <w:bCs/>
                <w:sz w:val="20"/>
                <w:szCs w:val="20"/>
              </w:rPr>
            </w:pPr>
          </w:p>
          <w:p w14:paraId="7F171E16" w14:textId="7C46074B" w:rsidR="00F4284C" w:rsidRPr="00154588" w:rsidRDefault="00F4284C" w:rsidP="008C12B4">
            <w:pPr>
              <w:rPr>
                <w:bCs/>
                <w:sz w:val="20"/>
                <w:szCs w:val="20"/>
              </w:rPr>
            </w:pPr>
            <w:r w:rsidRPr="00154588">
              <w:rPr>
                <w:bCs/>
                <w:sz w:val="20"/>
                <w:szCs w:val="20"/>
              </w:rPr>
              <w:t>(ii) modelelor de afaceri și structurilor bilanțurilor instituțiilor, în special asupra profilului de finanțare și a strategiei de finanțare a instituțiilor, precum și asupra structurii juridice și operaționale a grupurilor;</w:t>
            </w:r>
          </w:p>
          <w:p w14:paraId="34EA2E99" w14:textId="77777777" w:rsidR="00F4284C" w:rsidRPr="00154588" w:rsidRDefault="00F4284C" w:rsidP="008C12B4">
            <w:pPr>
              <w:rPr>
                <w:bCs/>
                <w:sz w:val="20"/>
                <w:szCs w:val="20"/>
              </w:rPr>
            </w:pPr>
          </w:p>
          <w:p w14:paraId="08E1E541" w14:textId="4C268195" w:rsidR="00F4284C" w:rsidRPr="00154588" w:rsidRDefault="00F4284C" w:rsidP="008C12B4">
            <w:pPr>
              <w:rPr>
                <w:bCs/>
                <w:sz w:val="20"/>
                <w:szCs w:val="20"/>
              </w:rPr>
            </w:pPr>
            <w:r w:rsidRPr="00154588">
              <w:rPr>
                <w:bCs/>
                <w:sz w:val="20"/>
                <w:szCs w:val="20"/>
              </w:rPr>
              <w:t>(iii) rentabilității instituțiilor, în special asupra costului de finanțare al acestora;</w:t>
            </w:r>
          </w:p>
          <w:p w14:paraId="5D24A6BC" w14:textId="77777777" w:rsidR="00F4284C" w:rsidRPr="00154588" w:rsidRDefault="00F4284C" w:rsidP="008C12B4">
            <w:pPr>
              <w:rPr>
                <w:bCs/>
                <w:sz w:val="20"/>
                <w:szCs w:val="20"/>
              </w:rPr>
            </w:pPr>
          </w:p>
          <w:p w14:paraId="1A797128" w14:textId="692F06D8" w:rsidR="00F4284C" w:rsidRPr="00154588" w:rsidRDefault="00F4284C" w:rsidP="008C12B4">
            <w:pPr>
              <w:rPr>
                <w:bCs/>
                <w:sz w:val="20"/>
                <w:szCs w:val="20"/>
              </w:rPr>
            </w:pPr>
            <w:r w:rsidRPr="00154588">
              <w:rPr>
                <w:bCs/>
                <w:sz w:val="20"/>
                <w:szCs w:val="20"/>
              </w:rPr>
              <w:t>(iv) migrării expunerilor către entități care nu fac obiectul supravegherii prudențiale;</w:t>
            </w:r>
          </w:p>
          <w:p w14:paraId="3FF6CA9F" w14:textId="77777777" w:rsidR="00F4284C" w:rsidRPr="00154588" w:rsidRDefault="00F4284C" w:rsidP="008C12B4">
            <w:pPr>
              <w:rPr>
                <w:bCs/>
                <w:sz w:val="20"/>
                <w:szCs w:val="20"/>
              </w:rPr>
            </w:pPr>
          </w:p>
          <w:p w14:paraId="3EC28E43" w14:textId="77777777" w:rsidR="00F4284C" w:rsidRPr="00154588" w:rsidRDefault="00F4284C" w:rsidP="008C12B4">
            <w:pPr>
              <w:rPr>
                <w:bCs/>
                <w:sz w:val="20"/>
                <w:szCs w:val="20"/>
              </w:rPr>
            </w:pPr>
          </w:p>
          <w:p w14:paraId="0AB51C80" w14:textId="7DC42792" w:rsidR="00F4284C" w:rsidRPr="00154588" w:rsidRDefault="00F4284C" w:rsidP="008C12B4">
            <w:pPr>
              <w:rPr>
                <w:bCs/>
                <w:sz w:val="20"/>
                <w:szCs w:val="20"/>
              </w:rPr>
            </w:pPr>
            <w:r w:rsidRPr="00154588">
              <w:rPr>
                <w:bCs/>
                <w:sz w:val="20"/>
                <w:szCs w:val="20"/>
              </w:rPr>
              <w:t>(v) inovării financiare;</w:t>
            </w:r>
          </w:p>
          <w:p w14:paraId="61131611" w14:textId="77777777" w:rsidR="00F4284C" w:rsidRPr="00154588" w:rsidRDefault="00F4284C" w:rsidP="008C12B4">
            <w:pPr>
              <w:rPr>
                <w:bCs/>
                <w:sz w:val="20"/>
                <w:szCs w:val="20"/>
              </w:rPr>
            </w:pPr>
          </w:p>
          <w:p w14:paraId="7456C45A" w14:textId="6FAA9287" w:rsidR="00F4284C" w:rsidRPr="00154588" w:rsidRDefault="00F4284C" w:rsidP="008C12B4">
            <w:pPr>
              <w:rPr>
                <w:bCs/>
                <w:sz w:val="20"/>
                <w:szCs w:val="20"/>
              </w:rPr>
            </w:pPr>
            <w:r w:rsidRPr="00154588">
              <w:rPr>
                <w:bCs/>
                <w:sz w:val="20"/>
                <w:szCs w:val="20"/>
              </w:rPr>
              <w:t>(vi) prevalenței instrumentelor de fonduri proprii și a instrumentelor eligibile subordonate și asupra naturii și capacității de comercializare a acestora;</w:t>
            </w:r>
          </w:p>
          <w:p w14:paraId="3FB7A762" w14:textId="77777777" w:rsidR="00F4284C" w:rsidRPr="00154588" w:rsidRDefault="00F4284C" w:rsidP="008C12B4">
            <w:pPr>
              <w:rPr>
                <w:bCs/>
                <w:sz w:val="20"/>
                <w:szCs w:val="20"/>
              </w:rPr>
            </w:pPr>
          </w:p>
          <w:p w14:paraId="3F53B759" w14:textId="6DEE727A" w:rsidR="00F4284C" w:rsidRPr="00154588" w:rsidRDefault="00F4284C" w:rsidP="008C12B4">
            <w:pPr>
              <w:rPr>
                <w:bCs/>
                <w:sz w:val="20"/>
                <w:szCs w:val="20"/>
              </w:rPr>
            </w:pPr>
            <w:r w:rsidRPr="00154588">
              <w:rPr>
                <w:bCs/>
                <w:sz w:val="20"/>
                <w:szCs w:val="20"/>
              </w:rPr>
              <w:t>(vii) comportamentului instituțiilor sau entităților menționate la articolul 1 alineatul (1) literele (b), (c) și (d) în ceea ce privește asumarea de riscuri;</w:t>
            </w:r>
          </w:p>
          <w:p w14:paraId="09AD9658" w14:textId="77777777" w:rsidR="00F4284C" w:rsidRPr="00154588" w:rsidRDefault="00F4284C" w:rsidP="008C12B4">
            <w:pPr>
              <w:rPr>
                <w:bCs/>
                <w:sz w:val="20"/>
                <w:szCs w:val="20"/>
              </w:rPr>
            </w:pPr>
          </w:p>
          <w:p w14:paraId="77EC70D0" w14:textId="38B76019" w:rsidR="00F4284C" w:rsidRPr="00154588" w:rsidRDefault="00F4284C" w:rsidP="008C12B4">
            <w:pPr>
              <w:rPr>
                <w:bCs/>
                <w:sz w:val="20"/>
                <w:szCs w:val="20"/>
              </w:rPr>
            </w:pPr>
            <w:r w:rsidRPr="00154588">
              <w:rPr>
                <w:bCs/>
                <w:sz w:val="20"/>
                <w:szCs w:val="20"/>
              </w:rPr>
              <w:t>(viii) nivelului grevării cu sarcini a activelor instituțiilor sau entităților menționate la articolul 1 alineatul (1) literele (b), (c) și (d);</w:t>
            </w:r>
          </w:p>
          <w:p w14:paraId="44B0DB17" w14:textId="77777777" w:rsidR="00F4284C" w:rsidRPr="00154588" w:rsidRDefault="00F4284C" w:rsidP="008C12B4">
            <w:pPr>
              <w:rPr>
                <w:bCs/>
                <w:sz w:val="20"/>
                <w:szCs w:val="20"/>
              </w:rPr>
            </w:pPr>
          </w:p>
          <w:p w14:paraId="41B8D47D" w14:textId="28E01CA3" w:rsidR="00F4284C" w:rsidRPr="00154588" w:rsidRDefault="00F4284C" w:rsidP="008C12B4">
            <w:pPr>
              <w:rPr>
                <w:bCs/>
                <w:sz w:val="20"/>
                <w:szCs w:val="20"/>
              </w:rPr>
            </w:pPr>
            <w:r w:rsidRPr="00154588">
              <w:rPr>
                <w:bCs/>
                <w:sz w:val="20"/>
                <w:szCs w:val="20"/>
              </w:rPr>
              <w:t>(ix) măsurilor întreprinse de instituții sau entităților menționate la articolul 1 alineatul (1) literele (b), (c) și (d) pentru a respecta cerința minimă, în special măsura în care cerința minimă a fost respectată prin reducerea efectului de levier aferent activelor, emisiunea de titluri de creanță pe termen lung și atragerea de capital; și</w:t>
            </w:r>
          </w:p>
          <w:p w14:paraId="6ABCA862" w14:textId="77777777" w:rsidR="00F4284C" w:rsidRPr="00154588" w:rsidRDefault="00F4284C" w:rsidP="008C12B4">
            <w:pPr>
              <w:rPr>
                <w:bCs/>
                <w:sz w:val="20"/>
                <w:szCs w:val="20"/>
              </w:rPr>
            </w:pPr>
          </w:p>
          <w:p w14:paraId="0213AA45" w14:textId="77777777" w:rsidR="00F4284C" w:rsidRPr="00154588" w:rsidRDefault="00F4284C" w:rsidP="008C12B4">
            <w:pPr>
              <w:rPr>
                <w:bCs/>
                <w:sz w:val="20"/>
                <w:szCs w:val="20"/>
              </w:rPr>
            </w:pPr>
            <w:r w:rsidRPr="00154588">
              <w:rPr>
                <w:bCs/>
                <w:sz w:val="20"/>
                <w:szCs w:val="20"/>
              </w:rPr>
              <w:t>(x) nivelului de creditare al instituțiilor de credit, cu un accent special pe acordarea de credite microîntreprinderilor, întreprinderilor mici și mijlocii, autorităților locale, administrațiilor regionale și entităților din sectorul public și pe finanțarea comerțului, inclusiv acordarea de credite în temeiul sistemelor oficiale de asigurare a creditelor de export;</w:t>
            </w:r>
          </w:p>
          <w:p w14:paraId="58E08E53" w14:textId="77777777" w:rsidR="00F4284C" w:rsidRPr="00154588" w:rsidRDefault="00F4284C" w:rsidP="008C12B4">
            <w:pPr>
              <w:rPr>
                <w:bCs/>
                <w:sz w:val="20"/>
                <w:szCs w:val="20"/>
              </w:rPr>
            </w:pPr>
          </w:p>
          <w:p w14:paraId="13E49402" w14:textId="3463FCB5" w:rsidR="00F4284C" w:rsidRPr="00154588" w:rsidRDefault="00F4284C" w:rsidP="008C12B4">
            <w:pPr>
              <w:rPr>
                <w:bCs/>
                <w:sz w:val="20"/>
                <w:szCs w:val="20"/>
              </w:rPr>
            </w:pPr>
            <w:r w:rsidRPr="00154588">
              <w:rPr>
                <w:bCs/>
                <w:sz w:val="20"/>
                <w:szCs w:val="20"/>
              </w:rPr>
              <w:t>(b) interacțiunea dintre cerințele minime și cerințele de fonduri proprii, cerința privind indicatorul efectului de levier și cerințele de lichiditate stabilite în Regulamentul (UE) nr. 575/2013 și în Directiva 2013/36/UE;</w:t>
            </w:r>
          </w:p>
          <w:p w14:paraId="430EDC7B" w14:textId="77777777" w:rsidR="00F4284C" w:rsidRPr="00154588" w:rsidRDefault="00F4284C" w:rsidP="008C12B4">
            <w:pPr>
              <w:rPr>
                <w:bCs/>
                <w:sz w:val="20"/>
                <w:szCs w:val="20"/>
              </w:rPr>
            </w:pPr>
          </w:p>
          <w:p w14:paraId="7CA30890" w14:textId="02313251" w:rsidR="00F4284C" w:rsidRPr="00154588" w:rsidRDefault="00F4284C" w:rsidP="008C12B4">
            <w:pPr>
              <w:rPr>
                <w:bCs/>
                <w:sz w:val="20"/>
                <w:szCs w:val="20"/>
              </w:rPr>
            </w:pPr>
            <w:r w:rsidRPr="00154588">
              <w:rPr>
                <w:bCs/>
                <w:sz w:val="20"/>
                <w:szCs w:val="20"/>
              </w:rPr>
              <w:t>(c) capacitatea instituțiilor sau entităților menționate la articolul 1 alineatul (1) literele (b), (c) și (d) de a atrage în mod independent capital sau finanțare de pe piețe pentru a respecta eventualele cerințe minime armonizate propuse.</w:t>
            </w:r>
          </w:p>
        </w:tc>
        <w:tc>
          <w:tcPr>
            <w:tcW w:w="4819" w:type="dxa"/>
          </w:tcPr>
          <w:p w14:paraId="465E6AA2" w14:textId="77777777" w:rsidR="00F4284C" w:rsidRPr="00154588" w:rsidRDefault="00F4284C" w:rsidP="008C12B4">
            <w:pPr>
              <w:jc w:val="both"/>
              <w:rPr>
                <w:bCs/>
                <w:sz w:val="20"/>
                <w:szCs w:val="20"/>
              </w:rPr>
            </w:pPr>
          </w:p>
        </w:tc>
        <w:tc>
          <w:tcPr>
            <w:tcW w:w="2552" w:type="dxa"/>
          </w:tcPr>
          <w:p w14:paraId="0496542D" w14:textId="2CEDA170"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1627EEB5" w14:textId="33571915" w:rsidR="00F4284C" w:rsidRPr="00154588" w:rsidRDefault="00F4284C" w:rsidP="008C12B4">
            <w:pPr>
              <w:jc w:val="both"/>
              <w:rPr>
                <w:bCs/>
                <w:sz w:val="20"/>
                <w:szCs w:val="20"/>
              </w:rPr>
            </w:pPr>
            <w:r w:rsidRPr="00154588">
              <w:rPr>
                <w:bCs/>
                <w:sz w:val="20"/>
                <w:szCs w:val="20"/>
              </w:rPr>
              <w:t>Prevederi care se referă la atribuțiile de reglementare ale autorităților europene.</w:t>
            </w:r>
          </w:p>
        </w:tc>
      </w:tr>
      <w:tr w:rsidR="00F4284C" w:rsidRPr="00154588" w14:paraId="31C70976" w14:textId="77777777" w:rsidTr="00D15C1B">
        <w:trPr>
          <w:jc w:val="center"/>
        </w:trPr>
        <w:tc>
          <w:tcPr>
            <w:tcW w:w="4957" w:type="dxa"/>
            <w:gridSpan w:val="2"/>
          </w:tcPr>
          <w:p w14:paraId="709C1D81" w14:textId="77777777" w:rsidR="00F4284C" w:rsidRPr="00154588" w:rsidRDefault="00F4284C" w:rsidP="008C12B4">
            <w:pPr>
              <w:tabs>
                <w:tab w:val="left" w:pos="2180"/>
              </w:tabs>
              <w:jc w:val="both"/>
              <w:rPr>
                <w:bCs/>
                <w:sz w:val="20"/>
                <w:szCs w:val="20"/>
              </w:rPr>
            </w:pPr>
            <w:r w:rsidRPr="00154588">
              <w:rPr>
                <w:bCs/>
                <w:sz w:val="20"/>
                <w:szCs w:val="20"/>
              </w:rPr>
              <w:t>(3)   Raportul menționat la alineatul (1) este transmis Comisiei până la data de 30 septembrie a anului calendaristic care urmează după ultimul an care face obiectul raportului. Primul raport se transmite Comisiei până la 30 septembrie a anului care urmează datei aplicării prezentei directive.</w:t>
            </w:r>
          </w:p>
          <w:p w14:paraId="120E8AAE" w14:textId="77777777" w:rsidR="00F4284C" w:rsidRPr="00154588" w:rsidRDefault="00F4284C" w:rsidP="008C12B4">
            <w:pPr>
              <w:tabs>
                <w:tab w:val="left" w:pos="2180"/>
              </w:tabs>
              <w:jc w:val="both"/>
              <w:rPr>
                <w:bCs/>
                <w:sz w:val="20"/>
                <w:szCs w:val="20"/>
              </w:rPr>
            </w:pPr>
          </w:p>
          <w:p w14:paraId="38E26715" w14:textId="77777777" w:rsidR="00F4284C" w:rsidRPr="00154588" w:rsidRDefault="00F4284C" w:rsidP="008C12B4">
            <w:pPr>
              <w:tabs>
                <w:tab w:val="left" w:pos="2180"/>
              </w:tabs>
              <w:jc w:val="both"/>
              <w:rPr>
                <w:bCs/>
                <w:sz w:val="20"/>
                <w:szCs w:val="20"/>
              </w:rPr>
            </w:pPr>
          </w:p>
          <w:p w14:paraId="0DDEC9B1" w14:textId="0AAA5FB9" w:rsidR="00F4284C" w:rsidRPr="00154588" w:rsidRDefault="00F4284C" w:rsidP="008C12B4">
            <w:pPr>
              <w:tabs>
                <w:tab w:val="left" w:pos="2180"/>
              </w:tabs>
              <w:jc w:val="both"/>
              <w:rPr>
                <w:bCs/>
                <w:sz w:val="20"/>
                <w:szCs w:val="20"/>
              </w:rPr>
            </w:pPr>
            <w:r w:rsidRPr="00154588">
              <w:rPr>
                <w:bCs/>
                <w:sz w:val="20"/>
                <w:szCs w:val="20"/>
              </w:rPr>
              <w:lastRenderedPageBreak/>
              <w:t>Raportul menționat la alineatul (2) acoperă trei ani calendaristici și este transmis Comisiei până la data de 31 decembrie a anului calendaristic care urmează după ultimul an care face obiectul raportului. Obligația menționată la alineatul (2) încetează să se aplice după prezentarea celui de al doilea raport</w:t>
            </w:r>
          </w:p>
        </w:tc>
        <w:tc>
          <w:tcPr>
            <w:tcW w:w="4819" w:type="dxa"/>
          </w:tcPr>
          <w:p w14:paraId="1F03578C" w14:textId="785BA5AD" w:rsidR="00F4284C" w:rsidRPr="00154588" w:rsidRDefault="00F4284C" w:rsidP="008C12B4">
            <w:pPr>
              <w:jc w:val="both"/>
              <w:rPr>
                <w:bCs/>
                <w:sz w:val="20"/>
                <w:szCs w:val="20"/>
              </w:rPr>
            </w:pPr>
          </w:p>
        </w:tc>
        <w:tc>
          <w:tcPr>
            <w:tcW w:w="2552" w:type="dxa"/>
          </w:tcPr>
          <w:p w14:paraId="318E0833" w14:textId="5197C788"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30DD4A6B" w14:textId="46CE8040" w:rsidR="00F4284C" w:rsidRPr="00154588" w:rsidRDefault="00F4284C" w:rsidP="008C12B4">
            <w:pPr>
              <w:jc w:val="both"/>
              <w:rPr>
                <w:bCs/>
                <w:sz w:val="20"/>
                <w:szCs w:val="20"/>
              </w:rPr>
            </w:pPr>
            <w:r w:rsidRPr="00154588">
              <w:rPr>
                <w:bCs/>
                <w:sz w:val="20"/>
                <w:szCs w:val="20"/>
              </w:rPr>
              <w:t>Prevederi care se referă la atribuțiile de reglementare ale autorităților europene.</w:t>
            </w:r>
          </w:p>
        </w:tc>
      </w:tr>
      <w:tr w:rsidR="00F4284C" w:rsidRPr="00154588" w14:paraId="0284AC93" w14:textId="77777777" w:rsidTr="00D15C1B">
        <w:trPr>
          <w:jc w:val="center"/>
        </w:trPr>
        <w:tc>
          <w:tcPr>
            <w:tcW w:w="4957" w:type="dxa"/>
            <w:gridSpan w:val="2"/>
          </w:tcPr>
          <w:p w14:paraId="318989E8" w14:textId="77777777" w:rsidR="00F4284C" w:rsidRPr="00154588" w:rsidRDefault="00F4284C" w:rsidP="008C12B4">
            <w:pPr>
              <w:tabs>
                <w:tab w:val="left" w:pos="1230"/>
              </w:tabs>
              <w:jc w:val="both"/>
              <w:rPr>
                <w:b/>
                <w:sz w:val="20"/>
                <w:szCs w:val="20"/>
              </w:rPr>
            </w:pPr>
            <w:r w:rsidRPr="00154588">
              <w:rPr>
                <w:b/>
                <w:sz w:val="20"/>
                <w:szCs w:val="20"/>
              </w:rPr>
              <w:t>Articolul 45m</w:t>
            </w:r>
          </w:p>
          <w:p w14:paraId="047C66A5" w14:textId="77777777" w:rsidR="00F4284C" w:rsidRPr="00154588" w:rsidRDefault="00F4284C" w:rsidP="008C12B4">
            <w:pPr>
              <w:tabs>
                <w:tab w:val="left" w:pos="1230"/>
              </w:tabs>
              <w:jc w:val="both"/>
              <w:rPr>
                <w:b/>
                <w:sz w:val="20"/>
                <w:szCs w:val="20"/>
              </w:rPr>
            </w:pPr>
          </w:p>
          <w:p w14:paraId="6B9CD22C" w14:textId="337A87DB" w:rsidR="00F4284C" w:rsidRPr="00154588" w:rsidRDefault="00F4284C" w:rsidP="008C12B4">
            <w:pPr>
              <w:tabs>
                <w:tab w:val="left" w:pos="1230"/>
              </w:tabs>
              <w:jc w:val="both"/>
              <w:rPr>
                <w:bCs/>
                <w:sz w:val="20"/>
                <w:szCs w:val="20"/>
              </w:rPr>
            </w:pPr>
            <w:r w:rsidRPr="00154588">
              <w:rPr>
                <w:b/>
                <w:sz w:val="20"/>
                <w:szCs w:val="20"/>
              </w:rPr>
              <w:t>Dispoziții tranzitorii și dispoziții ulterioare rezoluției</w:t>
            </w:r>
          </w:p>
        </w:tc>
        <w:tc>
          <w:tcPr>
            <w:tcW w:w="4819" w:type="dxa"/>
          </w:tcPr>
          <w:p w14:paraId="4C380542" w14:textId="77777777" w:rsidR="00F4284C" w:rsidRPr="00154588" w:rsidRDefault="00F4284C" w:rsidP="008C12B4">
            <w:pPr>
              <w:jc w:val="both"/>
              <w:rPr>
                <w:bCs/>
                <w:sz w:val="20"/>
                <w:szCs w:val="20"/>
              </w:rPr>
            </w:pPr>
          </w:p>
        </w:tc>
        <w:tc>
          <w:tcPr>
            <w:tcW w:w="2552" w:type="dxa"/>
          </w:tcPr>
          <w:p w14:paraId="171736FD" w14:textId="77777777" w:rsidR="00F4284C" w:rsidRPr="00154588" w:rsidRDefault="00F4284C" w:rsidP="008C12B4">
            <w:pPr>
              <w:jc w:val="both"/>
              <w:rPr>
                <w:bCs/>
                <w:sz w:val="20"/>
                <w:szCs w:val="20"/>
              </w:rPr>
            </w:pPr>
          </w:p>
          <w:p w14:paraId="11BE0A48" w14:textId="77777777" w:rsidR="00F4284C" w:rsidRPr="00154588" w:rsidRDefault="00F4284C" w:rsidP="008C12B4">
            <w:pPr>
              <w:jc w:val="both"/>
              <w:rPr>
                <w:bCs/>
                <w:sz w:val="20"/>
                <w:szCs w:val="20"/>
              </w:rPr>
            </w:pPr>
          </w:p>
          <w:p w14:paraId="21A811F5" w14:textId="77777777" w:rsidR="00F4284C" w:rsidRPr="00154588" w:rsidRDefault="00F4284C" w:rsidP="008C12B4">
            <w:pPr>
              <w:jc w:val="both"/>
              <w:rPr>
                <w:bCs/>
                <w:sz w:val="20"/>
                <w:szCs w:val="20"/>
              </w:rPr>
            </w:pPr>
          </w:p>
          <w:p w14:paraId="3FC549A2" w14:textId="77777777" w:rsidR="00F4284C" w:rsidRPr="00154588" w:rsidRDefault="00F4284C" w:rsidP="008C12B4">
            <w:pPr>
              <w:jc w:val="both"/>
              <w:rPr>
                <w:bCs/>
                <w:sz w:val="20"/>
                <w:szCs w:val="20"/>
              </w:rPr>
            </w:pPr>
          </w:p>
        </w:tc>
        <w:tc>
          <w:tcPr>
            <w:tcW w:w="3118" w:type="dxa"/>
          </w:tcPr>
          <w:p w14:paraId="0EA6B188" w14:textId="77777777" w:rsidR="00F4284C" w:rsidRPr="00154588" w:rsidRDefault="00F4284C" w:rsidP="008C12B4">
            <w:pPr>
              <w:jc w:val="both"/>
              <w:rPr>
                <w:bCs/>
                <w:sz w:val="20"/>
                <w:szCs w:val="20"/>
              </w:rPr>
            </w:pPr>
          </w:p>
        </w:tc>
      </w:tr>
      <w:tr w:rsidR="00F4284C" w:rsidRPr="00154588" w14:paraId="73E6B3AB" w14:textId="77777777" w:rsidTr="00D15C1B">
        <w:trPr>
          <w:jc w:val="center"/>
        </w:trPr>
        <w:tc>
          <w:tcPr>
            <w:tcW w:w="4957" w:type="dxa"/>
            <w:gridSpan w:val="2"/>
          </w:tcPr>
          <w:p w14:paraId="242F0BF3" w14:textId="3BEA38C7" w:rsidR="00F4284C" w:rsidRPr="00154588" w:rsidRDefault="00F4284C" w:rsidP="008C12B4">
            <w:pPr>
              <w:pStyle w:val="a7"/>
              <w:numPr>
                <w:ilvl w:val="0"/>
                <w:numId w:val="3"/>
              </w:numPr>
              <w:ind w:left="34" w:firstLine="284"/>
              <w:jc w:val="both"/>
              <w:rPr>
                <w:rFonts w:cs="Times New Roman"/>
                <w:sz w:val="20"/>
                <w:szCs w:val="20"/>
                <w:lang w:val="ro-RO"/>
              </w:rPr>
            </w:pPr>
            <w:r w:rsidRPr="00154588">
              <w:rPr>
                <w:rFonts w:cs="Times New Roman"/>
                <w:sz w:val="20"/>
                <w:szCs w:val="20"/>
                <w:lang w:val="ro-RO"/>
              </w:rPr>
              <w:t xml:space="preserve">Statele membre se asigură că autoritățile de rezoluție pot stabili perioade de tranziție adecvate, de maximum trei ani, pentru ca instituțiile sau entitățile menționate la articolul 1 alineatul (1) litera (b), (c) sau (d) să respecte cerințele prevăzute la articolul 45e sau 45f sau cerințele care rezultă din aplicarea articolului 45b alineatul (4), (5) sau (7), după caz, în cazul în care respectarea cerințelor respective fără o perioadă de tranziție nu ar fi proporțională. </w:t>
            </w:r>
          </w:p>
          <w:p w14:paraId="60F605FB" w14:textId="77777777" w:rsidR="00F4284C" w:rsidRPr="00154588" w:rsidRDefault="00F4284C" w:rsidP="008C12B4">
            <w:pPr>
              <w:jc w:val="both"/>
              <w:rPr>
                <w:bCs/>
                <w:sz w:val="20"/>
                <w:szCs w:val="20"/>
              </w:rPr>
            </w:pPr>
          </w:p>
          <w:p w14:paraId="70E75A7B" w14:textId="77777777" w:rsidR="00F4284C" w:rsidRPr="00154588" w:rsidRDefault="00F4284C" w:rsidP="008C12B4">
            <w:pPr>
              <w:jc w:val="both"/>
              <w:rPr>
                <w:bCs/>
                <w:sz w:val="20"/>
                <w:szCs w:val="20"/>
              </w:rPr>
            </w:pPr>
            <w:r w:rsidRPr="00154588">
              <w:rPr>
                <w:bCs/>
                <w:sz w:val="20"/>
                <w:szCs w:val="20"/>
              </w:rPr>
              <w:t>Autoritatea de rezoluție poate stabili niveluri-țintă intermediare pentru cerințele prevăzute la articolul 45e sau 45f sau pentru cerințele care rezultă din aplicarea articolului 45b alineatul (4), (5) sau (7), după caz, pe care instituțiile sau entitățile să le îndeplinească până la o dată stabilită de autoritatea de rezoluție. Nivelurile-țintă intermediare asigură, de regulă, o acumulare liniară de fonduri proprii și de datorii eligibile în vederea îndeplinirii cerinței.</w:t>
            </w:r>
          </w:p>
          <w:p w14:paraId="40943B07" w14:textId="77777777" w:rsidR="00F4284C" w:rsidRPr="00154588" w:rsidRDefault="00F4284C" w:rsidP="008C12B4">
            <w:pPr>
              <w:jc w:val="both"/>
              <w:rPr>
                <w:bCs/>
                <w:sz w:val="20"/>
                <w:szCs w:val="20"/>
              </w:rPr>
            </w:pPr>
          </w:p>
          <w:p w14:paraId="7AAF6EAE" w14:textId="375826D8" w:rsidR="00F4284C" w:rsidRPr="00154588" w:rsidRDefault="00F4284C" w:rsidP="008C12B4">
            <w:pPr>
              <w:rPr>
                <w:bCs/>
                <w:sz w:val="20"/>
                <w:szCs w:val="20"/>
              </w:rPr>
            </w:pPr>
          </w:p>
        </w:tc>
        <w:tc>
          <w:tcPr>
            <w:tcW w:w="4819" w:type="dxa"/>
          </w:tcPr>
          <w:p w14:paraId="3748979D" w14:textId="4BD6F706" w:rsidR="00F4284C" w:rsidRPr="00154588" w:rsidRDefault="00F4284C" w:rsidP="008C12B4">
            <w:pPr>
              <w:jc w:val="both"/>
              <w:rPr>
                <w:bCs/>
                <w:sz w:val="20"/>
                <w:szCs w:val="20"/>
              </w:rPr>
            </w:pPr>
            <w:r w:rsidRPr="00154588">
              <w:rPr>
                <w:b/>
                <w:bCs/>
                <w:sz w:val="20"/>
                <w:szCs w:val="20"/>
              </w:rPr>
              <w:t>Articolul 170</w:t>
            </w:r>
            <w:r w:rsidRPr="00154588">
              <w:rPr>
                <w:b/>
                <w:bCs/>
                <w:sz w:val="20"/>
                <w:szCs w:val="20"/>
                <w:vertAlign w:val="superscript"/>
              </w:rPr>
              <w:t>7</w:t>
            </w:r>
            <w:r w:rsidRPr="00154588">
              <w:rPr>
                <w:b/>
                <w:bCs/>
                <w:sz w:val="20"/>
                <w:szCs w:val="20"/>
              </w:rPr>
              <w:t>.</w:t>
            </w:r>
            <w:r w:rsidRPr="00154588">
              <w:rPr>
                <w:bCs/>
                <w:sz w:val="20"/>
                <w:szCs w:val="20"/>
                <w:vertAlign w:val="superscript"/>
              </w:rPr>
              <w:t xml:space="preserve"> </w:t>
            </w:r>
            <w:r w:rsidRPr="00154588">
              <w:rPr>
                <w:bCs/>
                <w:sz w:val="20"/>
                <w:szCs w:val="20"/>
              </w:rPr>
              <w:t>– (1) Prin excepție de la prevederile art.164 alin.(1), Banca Națională a Moldovei, în calitate de autoritate de rezoluție, stabilește perioade de tranziție adecvate pentru îndeplinirea de către instituțiile de credit sau entitățile prevăzute la art.1 alin.(1) lit.b), c) sau d) a cerințelor prevăzute la art.167</w:t>
            </w:r>
            <w:r w:rsidRPr="00154588">
              <w:rPr>
                <w:bCs/>
                <w:sz w:val="20"/>
                <w:szCs w:val="20"/>
                <w:vertAlign w:val="superscript"/>
              </w:rPr>
              <w:t>14</w:t>
            </w:r>
            <w:r w:rsidRPr="00154588">
              <w:rPr>
                <w:bCs/>
                <w:sz w:val="20"/>
                <w:szCs w:val="20"/>
              </w:rPr>
              <w:t xml:space="preserve"> sau la art.167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Pr="00154588">
              <w:rPr>
                <w:bCs/>
                <w:sz w:val="20"/>
                <w:szCs w:val="20"/>
              </w:rPr>
              <w:t xml:space="preserve"> sau a cerințelor care rezultă din aplicarea art.165</w:t>
            </w:r>
            <w:r w:rsidRPr="00154588">
              <w:rPr>
                <w:bCs/>
                <w:sz w:val="20"/>
                <w:szCs w:val="20"/>
                <w:vertAlign w:val="superscript"/>
              </w:rPr>
              <w:t>3</w:t>
            </w:r>
            <w:r w:rsidRPr="00154588">
              <w:rPr>
                <w:bCs/>
                <w:sz w:val="20"/>
                <w:szCs w:val="20"/>
              </w:rPr>
              <w:t>, 165</w:t>
            </w:r>
            <w:r w:rsidRPr="00154588">
              <w:rPr>
                <w:bCs/>
                <w:sz w:val="20"/>
                <w:szCs w:val="20"/>
                <w:vertAlign w:val="superscript"/>
              </w:rPr>
              <w:t>4</w:t>
            </w:r>
            <w:r w:rsidRPr="00154588">
              <w:rPr>
                <w:bCs/>
                <w:sz w:val="20"/>
                <w:szCs w:val="20"/>
              </w:rPr>
              <w:t xml:space="preserve"> sau 165</w:t>
            </w:r>
            <w:r w:rsidRPr="00154588">
              <w:rPr>
                <w:bCs/>
                <w:sz w:val="20"/>
                <w:szCs w:val="20"/>
                <w:vertAlign w:val="superscript"/>
              </w:rPr>
              <w:t>6</w:t>
            </w:r>
            <w:r w:rsidRPr="00154588">
              <w:rPr>
                <w:bCs/>
                <w:sz w:val="20"/>
                <w:szCs w:val="20"/>
              </w:rPr>
              <w:t>, după caz</w:t>
            </w:r>
            <w:bookmarkStart w:id="132" w:name="_Hlk234832522"/>
            <w:r w:rsidRPr="00154588">
              <w:rPr>
                <w:bCs/>
                <w:sz w:val="20"/>
                <w:szCs w:val="20"/>
              </w:rPr>
              <w:t>, în cazul în care respectarea cerințelor respective fără o perioadă de tranziție nu ar fi proporțională.</w:t>
            </w:r>
            <w:bookmarkEnd w:id="132"/>
          </w:p>
          <w:p w14:paraId="76ED36C7" w14:textId="646A5B5B" w:rsidR="00F4284C" w:rsidRPr="00154588" w:rsidRDefault="00F4284C" w:rsidP="008C12B4">
            <w:pPr>
              <w:jc w:val="both"/>
              <w:rPr>
                <w:bCs/>
                <w:sz w:val="20"/>
                <w:szCs w:val="20"/>
              </w:rPr>
            </w:pPr>
            <w:r w:rsidRPr="00154588">
              <w:rPr>
                <w:bCs/>
                <w:sz w:val="20"/>
                <w:szCs w:val="20"/>
              </w:rPr>
              <w:t>(2) Termenul-limită pentru instituțiile de credit și entitățile prevăzute la alin. (1) de a îndeplini cerințele prevăzute de respectivul alineat, este 31 decembrie 2035.</w:t>
            </w:r>
          </w:p>
          <w:p w14:paraId="17E14A02" w14:textId="77777777" w:rsidR="00F4284C" w:rsidRPr="00154588" w:rsidRDefault="00F4284C" w:rsidP="008C12B4">
            <w:pPr>
              <w:jc w:val="both"/>
              <w:rPr>
                <w:bCs/>
                <w:sz w:val="20"/>
                <w:szCs w:val="20"/>
              </w:rPr>
            </w:pPr>
          </w:p>
          <w:p w14:paraId="29329575" w14:textId="77777777" w:rsidR="00F4284C" w:rsidRPr="00154588" w:rsidRDefault="00F4284C" w:rsidP="008C12B4">
            <w:pPr>
              <w:rPr>
                <w:bCs/>
                <w:sz w:val="20"/>
                <w:szCs w:val="20"/>
              </w:rPr>
            </w:pPr>
          </w:p>
          <w:p w14:paraId="149C6FB7" w14:textId="149B29C8" w:rsidR="00F4284C" w:rsidRPr="00154588" w:rsidRDefault="00F4284C" w:rsidP="008C12B4">
            <w:pPr>
              <w:jc w:val="both"/>
              <w:rPr>
                <w:sz w:val="20"/>
                <w:szCs w:val="20"/>
              </w:rPr>
            </w:pPr>
            <w:r w:rsidRPr="00154588">
              <w:rPr>
                <w:b/>
                <w:sz w:val="20"/>
                <w:szCs w:val="20"/>
              </w:rPr>
              <w:t>Articolul 170</w:t>
            </w:r>
            <w:r w:rsidRPr="00154588">
              <w:rPr>
                <w:b/>
                <w:sz w:val="20"/>
                <w:szCs w:val="20"/>
                <w:vertAlign w:val="superscript"/>
              </w:rPr>
              <w:t>8</w:t>
            </w:r>
            <w:r w:rsidRPr="00154588">
              <w:rPr>
                <w:b/>
                <w:sz w:val="20"/>
                <w:szCs w:val="20"/>
              </w:rPr>
              <w:t>.</w:t>
            </w:r>
            <w:r w:rsidRPr="00154588">
              <w:rPr>
                <w:sz w:val="20"/>
                <w:szCs w:val="20"/>
                <w:vertAlign w:val="superscript"/>
              </w:rPr>
              <w:t xml:space="preserve"> </w:t>
            </w:r>
            <w:r w:rsidRPr="00154588">
              <w:rPr>
                <w:sz w:val="20"/>
                <w:szCs w:val="20"/>
              </w:rPr>
              <w:t xml:space="preserve">– </w:t>
            </w:r>
            <w:bookmarkStart w:id="133" w:name="_Hlk234832557"/>
            <w:r w:rsidRPr="00154588">
              <w:rPr>
                <w:sz w:val="20"/>
                <w:szCs w:val="20"/>
              </w:rPr>
              <w:t>(1) Banca Națională a Moldovei, în calitate de autoritate de rezoluție, stabilește nivelurițintă intermediare pentru cerințele prevăzute la art.167</w:t>
            </w:r>
            <w:r w:rsidRPr="00154588">
              <w:rPr>
                <w:sz w:val="20"/>
                <w:szCs w:val="20"/>
                <w:vertAlign w:val="superscript"/>
              </w:rPr>
              <w:t>14</w:t>
            </w:r>
            <w:r w:rsidRPr="00154588">
              <w:rPr>
                <w:sz w:val="20"/>
                <w:szCs w:val="20"/>
              </w:rPr>
              <w:t xml:space="preserve"> sau la art. 167</w:t>
            </w:r>
            <w:r w:rsidRPr="00154588">
              <w:rPr>
                <w:sz w:val="20"/>
                <w:szCs w:val="20"/>
                <w:vertAlign w:val="superscript"/>
              </w:rPr>
              <w:t>15</w:t>
            </w:r>
            <w:r w:rsidRPr="00154588">
              <w:rPr>
                <w:sz w:val="20"/>
                <w:szCs w:val="20"/>
              </w:rPr>
              <w:t>-167</w:t>
            </w:r>
            <w:r w:rsidRPr="00154588">
              <w:rPr>
                <w:sz w:val="20"/>
                <w:szCs w:val="20"/>
                <w:vertAlign w:val="superscript"/>
              </w:rPr>
              <w:t>19</w:t>
            </w:r>
            <w:r w:rsidRPr="00154588">
              <w:rPr>
                <w:sz w:val="20"/>
                <w:szCs w:val="20"/>
              </w:rPr>
              <w:t xml:space="preserve"> sau pentru cerințele care rezultă din aplicarea art.165</w:t>
            </w:r>
            <w:r w:rsidRPr="00154588">
              <w:rPr>
                <w:sz w:val="20"/>
                <w:szCs w:val="20"/>
                <w:vertAlign w:val="superscript"/>
              </w:rPr>
              <w:t>3</w:t>
            </w:r>
            <w:r w:rsidRPr="00154588">
              <w:rPr>
                <w:sz w:val="20"/>
                <w:szCs w:val="20"/>
              </w:rPr>
              <w:t>, 165</w:t>
            </w:r>
            <w:r w:rsidRPr="00154588">
              <w:rPr>
                <w:sz w:val="20"/>
                <w:szCs w:val="20"/>
                <w:vertAlign w:val="superscript"/>
              </w:rPr>
              <w:t>4</w:t>
            </w:r>
            <w:r w:rsidRPr="00154588">
              <w:rPr>
                <w:sz w:val="20"/>
                <w:szCs w:val="20"/>
              </w:rPr>
              <w:t xml:space="preserve"> sau 165</w:t>
            </w:r>
            <w:r w:rsidRPr="00154588">
              <w:rPr>
                <w:sz w:val="20"/>
                <w:szCs w:val="20"/>
                <w:vertAlign w:val="superscript"/>
              </w:rPr>
              <w:t>7</w:t>
            </w:r>
            <w:r w:rsidRPr="00154588">
              <w:rPr>
                <w:sz w:val="20"/>
                <w:szCs w:val="20"/>
              </w:rPr>
              <w:t xml:space="preserve">, după caz, pe care instituțiile de credit sau entitățile prevăzute la art.1 alin.(1) lit.b), c) saud) trebuie să îl îndeplinească până la o dată stabilită de autoritatea de rezoluție. </w:t>
            </w:r>
          </w:p>
          <w:p w14:paraId="50767A86" w14:textId="712DF299" w:rsidR="00F4284C" w:rsidRPr="00154588" w:rsidRDefault="00F4284C" w:rsidP="008C12B4">
            <w:pPr>
              <w:jc w:val="both"/>
              <w:rPr>
                <w:sz w:val="20"/>
                <w:szCs w:val="20"/>
              </w:rPr>
            </w:pPr>
            <w:r w:rsidRPr="00154588">
              <w:rPr>
                <w:sz w:val="20"/>
                <w:szCs w:val="20"/>
              </w:rPr>
              <w:t>(2) Nivelurile țintă intermediare asigură, de regulă o acumulare liniară de fonduri proprii și de datorii eligibile în vederea asigurării îndeplinirii cerinței.</w:t>
            </w:r>
          </w:p>
          <w:bookmarkEnd w:id="133"/>
          <w:p w14:paraId="1E37616E" w14:textId="77777777" w:rsidR="00F4284C" w:rsidRPr="00154588" w:rsidRDefault="00F4284C" w:rsidP="008C12B4">
            <w:pPr>
              <w:rPr>
                <w:sz w:val="20"/>
                <w:szCs w:val="20"/>
              </w:rPr>
            </w:pPr>
          </w:p>
          <w:p w14:paraId="445C9B46" w14:textId="77777777" w:rsidR="00F4284C" w:rsidRPr="00154588" w:rsidRDefault="00F4284C" w:rsidP="008C12B4">
            <w:pPr>
              <w:rPr>
                <w:sz w:val="20"/>
                <w:szCs w:val="20"/>
              </w:rPr>
            </w:pPr>
          </w:p>
          <w:p w14:paraId="503263FA" w14:textId="77777777" w:rsidR="00F4284C" w:rsidRPr="00154588" w:rsidRDefault="00F4284C" w:rsidP="008C12B4">
            <w:pPr>
              <w:jc w:val="both"/>
              <w:rPr>
                <w:b/>
                <w:sz w:val="20"/>
                <w:szCs w:val="20"/>
              </w:rPr>
            </w:pPr>
          </w:p>
          <w:p w14:paraId="28BF48CC" w14:textId="77777777" w:rsidR="00F4284C" w:rsidRPr="00154588" w:rsidRDefault="00F4284C" w:rsidP="008C12B4">
            <w:pPr>
              <w:jc w:val="both"/>
              <w:rPr>
                <w:b/>
                <w:sz w:val="20"/>
                <w:szCs w:val="20"/>
              </w:rPr>
            </w:pPr>
          </w:p>
          <w:p w14:paraId="779CB8F2" w14:textId="77777777" w:rsidR="00F4284C" w:rsidRPr="00154588" w:rsidRDefault="00F4284C" w:rsidP="008C12B4">
            <w:pPr>
              <w:jc w:val="both"/>
              <w:rPr>
                <w:b/>
                <w:sz w:val="20"/>
                <w:szCs w:val="20"/>
              </w:rPr>
            </w:pPr>
          </w:p>
          <w:p w14:paraId="01B3B38E" w14:textId="77777777" w:rsidR="00F4284C" w:rsidRPr="00154588" w:rsidRDefault="00F4284C" w:rsidP="008C12B4">
            <w:pPr>
              <w:jc w:val="both"/>
              <w:rPr>
                <w:b/>
                <w:sz w:val="20"/>
                <w:szCs w:val="20"/>
              </w:rPr>
            </w:pPr>
          </w:p>
          <w:p w14:paraId="29152CB2" w14:textId="77777777" w:rsidR="00F4284C" w:rsidRPr="00154588" w:rsidRDefault="00F4284C" w:rsidP="008C12B4">
            <w:pPr>
              <w:jc w:val="both"/>
              <w:rPr>
                <w:b/>
                <w:sz w:val="20"/>
                <w:szCs w:val="20"/>
              </w:rPr>
            </w:pPr>
          </w:p>
          <w:p w14:paraId="2AD4A276" w14:textId="77777777" w:rsidR="00F4284C" w:rsidRPr="00154588" w:rsidRDefault="00F4284C" w:rsidP="008C12B4">
            <w:pPr>
              <w:jc w:val="both"/>
              <w:rPr>
                <w:b/>
                <w:sz w:val="20"/>
                <w:szCs w:val="20"/>
              </w:rPr>
            </w:pPr>
          </w:p>
          <w:p w14:paraId="75F442D5" w14:textId="77777777" w:rsidR="00F4284C" w:rsidRPr="00154588" w:rsidRDefault="00F4284C" w:rsidP="008C12B4">
            <w:pPr>
              <w:jc w:val="both"/>
              <w:rPr>
                <w:b/>
                <w:sz w:val="20"/>
                <w:szCs w:val="20"/>
              </w:rPr>
            </w:pPr>
          </w:p>
          <w:p w14:paraId="6F75DE2B" w14:textId="77777777" w:rsidR="00F4284C" w:rsidRPr="00154588" w:rsidRDefault="00F4284C" w:rsidP="008C12B4">
            <w:pPr>
              <w:jc w:val="both"/>
              <w:rPr>
                <w:b/>
                <w:sz w:val="20"/>
                <w:szCs w:val="20"/>
              </w:rPr>
            </w:pPr>
          </w:p>
          <w:p w14:paraId="7E514CF3" w14:textId="77777777" w:rsidR="00F4284C" w:rsidRPr="00154588" w:rsidRDefault="00F4284C" w:rsidP="008C12B4">
            <w:pPr>
              <w:jc w:val="both"/>
              <w:rPr>
                <w:b/>
                <w:sz w:val="20"/>
                <w:szCs w:val="20"/>
              </w:rPr>
            </w:pPr>
          </w:p>
          <w:p w14:paraId="05339289" w14:textId="77777777" w:rsidR="00F4284C" w:rsidRPr="00154588" w:rsidRDefault="00F4284C" w:rsidP="008C12B4">
            <w:pPr>
              <w:jc w:val="both"/>
              <w:rPr>
                <w:b/>
                <w:sz w:val="20"/>
                <w:szCs w:val="20"/>
              </w:rPr>
            </w:pPr>
          </w:p>
          <w:p w14:paraId="78D0EEF9" w14:textId="77777777" w:rsidR="00F4284C" w:rsidRPr="00154588" w:rsidRDefault="00F4284C" w:rsidP="008C12B4">
            <w:pPr>
              <w:jc w:val="both"/>
              <w:rPr>
                <w:b/>
                <w:sz w:val="20"/>
                <w:szCs w:val="20"/>
              </w:rPr>
            </w:pPr>
          </w:p>
          <w:p w14:paraId="2FBDA8F8" w14:textId="7F571626" w:rsidR="00F4284C" w:rsidRPr="00154588" w:rsidRDefault="00F4284C" w:rsidP="008C12B4">
            <w:pPr>
              <w:jc w:val="both"/>
              <w:rPr>
                <w:sz w:val="20"/>
                <w:szCs w:val="20"/>
              </w:rPr>
            </w:pPr>
            <w:r w:rsidRPr="00154588">
              <w:rPr>
                <w:b/>
                <w:sz w:val="20"/>
                <w:szCs w:val="20"/>
              </w:rPr>
              <w:t>Articolul 170</w:t>
            </w:r>
            <w:r w:rsidRPr="00154588">
              <w:rPr>
                <w:b/>
                <w:sz w:val="20"/>
                <w:szCs w:val="20"/>
                <w:vertAlign w:val="superscript"/>
              </w:rPr>
              <w:t>9</w:t>
            </w:r>
            <w:r w:rsidRPr="00154588">
              <w:rPr>
                <w:b/>
                <w:sz w:val="20"/>
                <w:szCs w:val="20"/>
              </w:rPr>
              <w:t>.</w:t>
            </w:r>
            <w:r w:rsidRPr="00154588">
              <w:rPr>
                <w:sz w:val="20"/>
                <w:szCs w:val="20"/>
              </w:rPr>
              <w:t xml:space="preserve"> – Banca Națională a Moldovei, în calitate de autoritate de rezoluție, poate stabili o perioadă de tranziție care depășește termenul de 31 decembrie 2035, în cazuri adecvate, justificate în mod corespunzător, pe baza criteriilor prevăzute la art.170</w:t>
            </w:r>
            <w:r w:rsidRPr="00154588">
              <w:rPr>
                <w:sz w:val="20"/>
                <w:szCs w:val="20"/>
                <w:vertAlign w:val="superscript"/>
              </w:rPr>
              <w:t>13</w:t>
            </w:r>
            <w:r w:rsidRPr="00154588">
              <w:rPr>
                <w:sz w:val="20"/>
                <w:szCs w:val="20"/>
              </w:rPr>
              <w:t>, luând în considerare:</w:t>
            </w:r>
          </w:p>
          <w:p w14:paraId="1A07F216" w14:textId="204A5C84" w:rsidR="00F4284C" w:rsidRPr="00154588" w:rsidRDefault="00F4284C" w:rsidP="008C12B4">
            <w:pPr>
              <w:jc w:val="both"/>
              <w:rPr>
                <w:sz w:val="20"/>
                <w:szCs w:val="20"/>
              </w:rPr>
            </w:pPr>
            <w:r w:rsidRPr="00154588">
              <w:rPr>
                <w:sz w:val="20"/>
                <w:szCs w:val="20"/>
              </w:rPr>
              <w:t>a) evoluția situației financiare a instituției de credit sau entității;</w:t>
            </w:r>
          </w:p>
          <w:p w14:paraId="3DDEEE1D" w14:textId="5FCBF357" w:rsidR="00F4284C" w:rsidRPr="00154588" w:rsidRDefault="00F4284C" w:rsidP="008C12B4">
            <w:pPr>
              <w:jc w:val="both"/>
              <w:rPr>
                <w:sz w:val="20"/>
                <w:szCs w:val="20"/>
              </w:rPr>
            </w:pPr>
            <w:r w:rsidRPr="00154588">
              <w:rPr>
                <w:sz w:val="20"/>
                <w:szCs w:val="20"/>
              </w:rPr>
              <w:t>b) probabilitatea ca instituția de credit sau entitatea să fie în măsură să se conformeze într-un interval de timp rezonabil cu cerințele prevăzute la art.167</w:t>
            </w:r>
            <w:r w:rsidRPr="00154588">
              <w:rPr>
                <w:sz w:val="20"/>
                <w:szCs w:val="20"/>
                <w:vertAlign w:val="superscript"/>
              </w:rPr>
              <w:t>14</w:t>
            </w:r>
            <w:r w:rsidRPr="00154588">
              <w:rPr>
                <w:sz w:val="20"/>
                <w:szCs w:val="20"/>
              </w:rPr>
              <w:t xml:space="preserve"> sau art.167</w:t>
            </w:r>
            <w:r w:rsidRPr="00154588">
              <w:rPr>
                <w:sz w:val="20"/>
                <w:szCs w:val="20"/>
                <w:vertAlign w:val="superscript"/>
              </w:rPr>
              <w:t>15</w:t>
            </w:r>
            <w:r w:rsidRPr="00154588">
              <w:rPr>
                <w:sz w:val="20"/>
                <w:szCs w:val="20"/>
              </w:rPr>
              <w:t>-167</w:t>
            </w:r>
            <w:r w:rsidRPr="00154588">
              <w:rPr>
                <w:sz w:val="20"/>
                <w:szCs w:val="20"/>
                <w:vertAlign w:val="superscript"/>
              </w:rPr>
              <w:t>19</w:t>
            </w:r>
            <w:r w:rsidRPr="00154588">
              <w:rPr>
                <w:sz w:val="20"/>
                <w:szCs w:val="20"/>
              </w:rPr>
              <w:t xml:space="preserve"> sau cu cele care rezultă din aplicarea art.165</w:t>
            </w:r>
            <w:r w:rsidRPr="00154588">
              <w:rPr>
                <w:sz w:val="20"/>
                <w:szCs w:val="20"/>
                <w:vertAlign w:val="superscript"/>
              </w:rPr>
              <w:t>3</w:t>
            </w:r>
            <w:r w:rsidRPr="00154588">
              <w:rPr>
                <w:sz w:val="20"/>
                <w:szCs w:val="20"/>
              </w:rPr>
              <w:t>, 165</w:t>
            </w:r>
            <w:r w:rsidRPr="00154588">
              <w:rPr>
                <w:sz w:val="20"/>
                <w:szCs w:val="20"/>
                <w:vertAlign w:val="superscript"/>
              </w:rPr>
              <w:t>4</w:t>
            </w:r>
            <w:r w:rsidRPr="00154588">
              <w:rPr>
                <w:sz w:val="20"/>
                <w:szCs w:val="20"/>
              </w:rPr>
              <w:t xml:space="preserve"> sau 165</w:t>
            </w:r>
            <w:r w:rsidRPr="00154588">
              <w:rPr>
                <w:sz w:val="20"/>
                <w:szCs w:val="20"/>
                <w:vertAlign w:val="superscript"/>
              </w:rPr>
              <w:t>6</w:t>
            </w:r>
            <w:r w:rsidRPr="00154588">
              <w:rPr>
                <w:sz w:val="20"/>
                <w:szCs w:val="20"/>
              </w:rPr>
              <w:t>; și</w:t>
            </w:r>
          </w:p>
          <w:p w14:paraId="2C61AA40" w14:textId="7D5D8C1C" w:rsidR="00F4284C" w:rsidRPr="00154588" w:rsidRDefault="00F4284C" w:rsidP="008C12B4">
            <w:pPr>
              <w:jc w:val="both"/>
              <w:rPr>
                <w:sz w:val="20"/>
                <w:szCs w:val="20"/>
              </w:rPr>
            </w:pPr>
            <w:r w:rsidRPr="00154588">
              <w:rPr>
                <w:sz w:val="20"/>
                <w:szCs w:val="20"/>
              </w:rPr>
              <w:t>c) dacă entitatea este capabilă să înlocuiască instrumentele de datorie care nu mai îndeplinesc criteriile de eligibilitate sau de scadență prevăzute în reglementările  Băncii Naționale a Moldovei emise în aplicarea art.60, 61 și 62 din Legea nr.202/2017, la art.165-165</w:t>
            </w:r>
            <w:r w:rsidRPr="00154588">
              <w:rPr>
                <w:sz w:val="20"/>
                <w:szCs w:val="20"/>
                <w:vertAlign w:val="superscript"/>
              </w:rPr>
              <w:t>8</w:t>
            </w:r>
            <w:r w:rsidRPr="00154588">
              <w:rPr>
                <w:sz w:val="20"/>
                <w:szCs w:val="20"/>
              </w:rPr>
              <w:t xml:space="preserve"> sau art.167</w:t>
            </w:r>
            <w:r w:rsidRPr="00154588">
              <w:rPr>
                <w:sz w:val="20"/>
                <w:szCs w:val="20"/>
                <w:vertAlign w:val="superscript"/>
              </w:rPr>
              <w:t>16</w:t>
            </w:r>
            <w:r w:rsidRPr="00154588">
              <w:rPr>
                <w:sz w:val="20"/>
                <w:szCs w:val="20"/>
              </w:rPr>
              <w:t xml:space="preserve"> din prezenta lege și, în caz contrar, dacă această incapacitate este de natură idiosincratică sau este cauzată de perturbări la nivelul întregii piețe.</w:t>
            </w:r>
          </w:p>
          <w:p w14:paraId="2C8A567C" w14:textId="77777777" w:rsidR="00F4284C" w:rsidRPr="00154588" w:rsidRDefault="00F4284C" w:rsidP="008C12B4">
            <w:pPr>
              <w:jc w:val="both"/>
              <w:rPr>
                <w:bCs/>
                <w:sz w:val="20"/>
                <w:szCs w:val="20"/>
              </w:rPr>
            </w:pPr>
          </w:p>
        </w:tc>
        <w:tc>
          <w:tcPr>
            <w:tcW w:w="2552" w:type="dxa"/>
          </w:tcPr>
          <w:p w14:paraId="3C035E5B" w14:textId="77777777" w:rsidR="00F4284C" w:rsidRPr="00154588" w:rsidRDefault="00F4284C" w:rsidP="008C12B4">
            <w:pPr>
              <w:jc w:val="both"/>
              <w:rPr>
                <w:bCs/>
                <w:sz w:val="20"/>
                <w:szCs w:val="20"/>
              </w:rPr>
            </w:pPr>
            <w:r w:rsidRPr="00154588">
              <w:rPr>
                <w:bCs/>
                <w:sz w:val="20"/>
                <w:szCs w:val="20"/>
              </w:rPr>
              <w:lastRenderedPageBreak/>
              <w:t>Compatibil</w:t>
            </w:r>
          </w:p>
          <w:p w14:paraId="1FBF9D8A" w14:textId="77777777" w:rsidR="00F4284C" w:rsidRPr="00154588" w:rsidRDefault="00F4284C" w:rsidP="008C12B4">
            <w:pPr>
              <w:rPr>
                <w:sz w:val="20"/>
                <w:szCs w:val="20"/>
              </w:rPr>
            </w:pPr>
          </w:p>
          <w:p w14:paraId="7386E303" w14:textId="77777777" w:rsidR="00F4284C" w:rsidRPr="00154588" w:rsidRDefault="00F4284C" w:rsidP="008C12B4">
            <w:pPr>
              <w:rPr>
                <w:sz w:val="20"/>
                <w:szCs w:val="20"/>
              </w:rPr>
            </w:pPr>
          </w:p>
          <w:p w14:paraId="13362BE5" w14:textId="77777777" w:rsidR="00F4284C" w:rsidRPr="00154588" w:rsidRDefault="00F4284C" w:rsidP="008C12B4">
            <w:pPr>
              <w:rPr>
                <w:sz w:val="20"/>
                <w:szCs w:val="20"/>
              </w:rPr>
            </w:pPr>
          </w:p>
          <w:p w14:paraId="210DA6C8" w14:textId="77777777" w:rsidR="00F4284C" w:rsidRPr="00154588" w:rsidRDefault="00F4284C" w:rsidP="008C12B4">
            <w:pPr>
              <w:rPr>
                <w:sz w:val="20"/>
                <w:szCs w:val="20"/>
              </w:rPr>
            </w:pPr>
          </w:p>
          <w:p w14:paraId="349B6B45" w14:textId="77777777" w:rsidR="00F4284C" w:rsidRPr="00154588" w:rsidRDefault="00F4284C" w:rsidP="008C12B4">
            <w:pPr>
              <w:rPr>
                <w:sz w:val="20"/>
                <w:szCs w:val="20"/>
              </w:rPr>
            </w:pPr>
          </w:p>
          <w:p w14:paraId="41D3CAB5" w14:textId="77777777" w:rsidR="00F4284C" w:rsidRPr="00154588" w:rsidRDefault="00F4284C" w:rsidP="008C12B4">
            <w:pPr>
              <w:rPr>
                <w:sz w:val="20"/>
                <w:szCs w:val="20"/>
              </w:rPr>
            </w:pPr>
          </w:p>
          <w:p w14:paraId="29300636" w14:textId="77777777" w:rsidR="00F4284C" w:rsidRPr="00154588" w:rsidRDefault="00F4284C" w:rsidP="008C12B4">
            <w:pPr>
              <w:rPr>
                <w:bCs/>
                <w:sz w:val="20"/>
                <w:szCs w:val="20"/>
              </w:rPr>
            </w:pPr>
          </w:p>
          <w:p w14:paraId="504CB813" w14:textId="77777777" w:rsidR="00F4284C" w:rsidRPr="00154588" w:rsidRDefault="00F4284C" w:rsidP="008C12B4">
            <w:pPr>
              <w:rPr>
                <w:sz w:val="20"/>
                <w:szCs w:val="20"/>
              </w:rPr>
            </w:pPr>
          </w:p>
          <w:p w14:paraId="3E4616B6" w14:textId="77777777" w:rsidR="00F4284C" w:rsidRPr="00154588" w:rsidRDefault="00F4284C" w:rsidP="008C12B4">
            <w:pPr>
              <w:rPr>
                <w:sz w:val="20"/>
                <w:szCs w:val="20"/>
              </w:rPr>
            </w:pPr>
          </w:p>
          <w:p w14:paraId="7911A3C7" w14:textId="77777777" w:rsidR="00F4284C" w:rsidRPr="00154588" w:rsidRDefault="00F4284C" w:rsidP="008C12B4">
            <w:pPr>
              <w:rPr>
                <w:bCs/>
                <w:sz w:val="20"/>
                <w:szCs w:val="20"/>
              </w:rPr>
            </w:pPr>
          </w:p>
          <w:p w14:paraId="06325D14" w14:textId="77777777" w:rsidR="00F4284C" w:rsidRPr="00154588" w:rsidRDefault="00F4284C" w:rsidP="008C12B4">
            <w:pPr>
              <w:rPr>
                <w:bCs/>
                <w:sz w:val="20"/>
                <w:szCs w:val="20"/>
              </w:rPr>
            </w:pPr>
          </w:p>
          <w:p w14:paraId="31916FD0" w14:textId="77777777" w:rsidR="00F4284C" w:rsidRPr="00154588" w:rsidRDefault="00F4284C" w:rsidP="008C12B4">
            <w:pPr>
              <w:rPr>
                <w:bCs/>
                <w:sz w:val="20"/>
                <w:szCs w:val="20"/>
              </w:rPr>
            </w:pPr>
          </w:p>
          <w:p w14:paraId="114BEAB8" w14:textId="77777777" w:rsidR="00F4284C" w:rsidRPr="00154588" w:rsidRDefault="00F4284C" w:rsidP="008C12B4">
            <w:pPr>
              <w:rPr>
                <w:bCs/>
                <w:sz w:val="20"/>
                <w:szCs w:val="20"/>
              </w:rPr>
            </w:pPr>
            <w:r w:rsidRPr="00154588">
              <w:rPr>
                <w:bCs/>
                <w:sz w:val="20"/>
                <w:szCs w:val="20"/>
              </w:rPr>
              <w:t>Compatibil</w:t>
            </w:r>
          </w:p>
          <w:p w14:paraId="2C442364" w14:textId="77777777" w:rsidR="00F4284C" w:rsidRPr="00154588" w:rsidRDefault="00F4284C" w:rsidP="008C12B4">
            <w:pPr>
              <w:rPr>
                <w:sz w:val="20"/>
                <w:szCs w:val="20"/>
              </w:rPr>
            </w:pPr>
          </w:p>
          <w:p w14:paraId="3E8A677D" w14:textId="77777777" w:rsidR="00F4284C" w:rsidRPr="00154588" w:rsidRDefault="00F4284C" w:rsidP="008C12B4">
            <w:pPr>
              <w:rPr>
                <w:sz w:val="20"/>
                <w:szCs w:val="20"/>
              </w:rPr>
            </w:pPr>
          </w:p>
          <w:p w14:paraId="469FF1B7" w14:textId="77777777" w:rsidR="00F4284C" w:rsidRPr="00154588" w:rsidRDefault="00F4284C" w:rsidP="008C12B4">
            <w:pPr>
              <w:rPr>
                <w:sz w:val="20"/>
                <w:szCs w:val="20"/>
              </w:rPr>
            </w:pPr>
          </w:p>
          <w:p w14:paraId="4C4EEF10" w14:textId="77777777" w:rsidR="00F4284C" w:rsidRPr="00154588" w:rsidRDefault="00F4284C" w:rsidP="008C12B4">
            <w:pPr>
              <w:rPr>
                <w:sz w:val="20"/>
                <w:szCs w:val="20"/>
              </w:rPr>
            </w:pPr>
          </w:p>
          <w:p w14:paraId="33BE7615" w14:textId="77777777" w:rsidR="00F4284C" w:rsidRPr="00154588" w:rsidRDefault="00F4284C" w:rsidP="008C12B4">
            <w:pPr>
              <w:rPr>
                <w:sz w:val="20"/>
                <w:szCs w:val="20"/>
              </w:rPr>
            </w:pPr>
          </w:p>
          <w:p w14:paraId="15744D29" w14:textId="77777777" w:rsidR="00F4284C" w:rsidRPr="00154588" w:rsidRDefault="00F4284C" w:rsidP="008C12B4">
            <w:pPr>
              <w:rPr>
                <w:sz w:val="20"/>
                <w:szCs w:val="20"/>
              </w:rPr>
            </w:pPr>
          </w:p>
          <w:p w14:paraId="652FDB0D" w14:textId="77777777" w:rsidR="00F4284C" w:rsidRPr="00154588" w:rsidRDefault="00F4284C" w:rsidP="008C12B4">
            <w:pPr>
              <w:rPr>
                <w:sz w:val="20"/>
                <w:szCs w:val="20"/>
              </w:rPr>
            </w:pPr>
          </w:p>
          <w:p w14:paraId="531CDAA8" w14:textId="77777777" w:rsidR="00F4284C" w:rsidRPr="00154588" w:rsidRDefault="00F4284C" w:rsidP="008C12B4">
            <w:pPr>
              <w:rPr>
                <w:bCs/>
                <w:sz w:val="20"/>
                <w:szCs w:val="20"/>
              </w:rPr>
            </w:pPr>
          </w:p>
          <w:p w14:paraId="549AB0BB" w14:textId="77777777" w:rsidR="00F4284C" w:rsidRPr="00154588" w:rsidRDefault="00F4284C" w:rsidP="008C12B4">
            <w:pPr>
              <w:rPr>
                <w:sz w:val="20"/>
                <w:szCs w:val="20"/>
              </w:rPr>
            </w:pPr>
          </w:p>
          <w:p w14:paraId="7C39A852" w14:textId="77777777" w:rsidR="00F4284C" w:rsidRPr="00154588" w:rsidRDefault="00F4284C" w:rsidP="008C12B4">
            <w:pPr>
              <w:rPr>
                <w:sz w:val="20"/>
                <w:szCs w:val="20"/>
              </w:rPr>
            </w:pPr>
          </w:p>
          <w:p w14:paraId="272C0785" w14:textId="77777777" w:rsidR="00F4284C" w:rsidRPr="00154588" w:rsidRDefault="00F4284C" w:rsidP="008C12B4">
            <w:pPr>
              <w:rPr>
                <w:bCs/>
                <w:sz w:val="20"/>
                <w:szCs w:val="20"/>
              </w:rPr>
            </w:pPr>
          </w:p>
          <w:p w14:paraId="4F0EDB36" w14:textId="77777777" w:rsidR="00F4284C" w:rsidRPr="00154588" w:rsidRDefault="00F4284C" w:rsidP="008C12B4">
            <w:pPr>
              <w:rPr>
                <w:bCs/>
                <w:sz w:val="20"/>
                <w:szCs w:val="20"/>
              </w:rPr>
            </w:pPr>
          </w:p>
          <w:p w14:paraId="7EAD6518" w14:textId="77777777" w:rsidR="00F4284C" w:rsidRPr="00154588" w:rsidRDefault="00F4284C" w:rsidP="008C12B4">
            <w:pPr>
              <w:rPr>
                <w:bCs/>
                <w:sz w:val="20"/>
                <w:szCs w:val="20"/>
              </w:rPr>
            </w:pPr>
          </w:p>
          <w:p w14:paraId="60DBD6BC" w14:textId="5D0C35EA" w:rsidR="00F4284C" w:rsidRPr="00154588" w:rsidRDefault="00F4284C" w:rsidP="008C12B4">
            <w:pPr>
              <w:rPr>
                <w:bCs/>
                <w:sz w:val="20"/>
                <w:szCs w:val="20"/>
              </w:rPr>
            </w:pPr>
            <w:r w:rsidRPr="00154588">
              <w:rPr>
                <w:bCs/>
                <w:sz w:val="20"/>
                <w:szCs w:val="20"/>
              </w:rPr>
              <w:t>Compatibil</w:t>
            </w:r>
          </w:p>
        </w:tc>
        <w:tc>
          <w:tcPr>
            <w:tcW w:w="3118" w:type="dxa"/>
          </w:tcPr>
          <w:p w14:paraId="6CC9D30B" w14:textId="721CAD5A" w:rsidR="00F4284C" w:rsidRPr="00154588" w:rsidRDefault="00F4284C" w:rsidP="008C12B4">
            <w:pPr>
              <w:jc w:val="both"/>
              <w:rPr>
                <w:bCs/>
                <w:sz w:val="20"/>
                <w:szCs w:val="20"/>
              </w:rPr>
            </w:pPr>
            <w:r w:rsidRPr="00154588">
              <w:rPr>
                <w:bCs/>
                <w:sz w:val="20"/>
                <w:szCs w:val="20"/>
              </w:rPr>
              <w:t>Termenele tranzitorii au fost incluse în lege conform poziției de negociere a RM cu UE</w:t>
            </w:r>
          </w:p>
        </w:tc>
      </w:tr>
      <w:tr w:rsidR="00F4284C" w:rsidRPr="00154588" w14:paraId="5F53C401" w14:textId="77777777" w:rsidTr="00D15C1B">
        <w:trPr>
          <w:jc w:val="center"/>
        </w:trPr>
        <w:tc>
          <w:tcPr>
            <w:tcW w:w="4957" w:type="dxa"/>
            <w:gridSpan w:val="2"/>
          </w:tcPr>
          <w:p w14:paraId="19D27E10" w14:textId="3B3AF3BF" w:rsidR="00F4284C" w:rsidRPr="00154588" w:rsidRDefault="00F4284C" w:rsidP="008C12B4">
            <w:pPr>
              <w:pStyle w:val="a7"/>
              <w:numPr>
                <w:ilvl w:val="0"/>
                <w:numId w:val="3"/>
              </w:numPr>
              <w:ind w:left="34" w:firstLine="284"/>
              <w:jc w:val="both"/>
              <w:rPr>
                <w:rFonts w:cs="Times New Roman"/>
                <w:sz w:val="20"/>
                <w:szCs w:val="20"/>
                <w:lang w:val="ro-RO"/>
              </w:rPr>
            </w:pPr>
            <w:r w:rsidRPr="00154588">
              <w:rPr>
                <w:rFonts w:cs="Times New Roman"/>
                <w:sz w:val="20"/>
                <w:szCs w:val="20"/>
                <w:lang w:val="ro-RO"/>
              </w:rPr>
              <w:t>Prin derogare de la alineatul (1) de la prezentul articol, perioada de tranziție stabilită de autoritățile de rezoluție pentru o instituție sau o entitate menționată la articolul 1 alineatul (1) litera (b), (c) sau (d) în cazul căreia strategia de rezoluție preferată se modifică de la lichidare prin procedura obișnuită de insolvență la aplicarea măsurii de rezoluție nu depășește patru ani.</w:t>
            </w:r>
          </w:p>
          <w:p w14:paraId="1FC121B4" w14:textId="77777777" w:rsidR="00F4284C" w:rsidRPr="00154588" w:rsidRDefault="00F4284C" w:rsidP="008C12B4">
            <w:pPr>
              <w:jc w:val="both"/>
              <w:rPr>
                <w:bCs/>
                <w:sz w:val="20"/>
                <w:szCs w:val="20"/>
              </w:rPr>
            </w:pPr>
            <w:r w:rsidRPr="00154588">
              <w:rPr>
                <w:bCs/>
                <w:sz w:val="20"/>
                <w:szCs w:val="20"/>
              </w:rPr>
              <w:t xml:space="preserve"> În cazul în care acest lucru este justificat în mod corespunzător și este adecvat pe baza criteriilor menționate la alineatul (7), autoritatea de rezoluție poate stabili o perioadă de tranziție mai lungă, </w:t>
            </w:r>
            <w:r w:rsidRPr="00154588">
              <w:rPr>
                <w:sz w:val="20"/>
                <w:szCs w:val="20"/>
              </w:rPr>
              <w:t>de până la șase ani.</w:t>
            </w:r>
            <w:r w:rsidRPr="00154588">
              <w:rPr>
                <w:bCs/>
                <w:sz w:val="20"/>
                <w:szCs w:val="20"/>
              </w:rPr>
              <w:t xml:space="preserve"> </w:t>
            </w:r>
          </w:p>
          <w:p w14:paraId="451D9272" w14:textId="77777777" w:rsidR="00F4284C" w:rsidRPr="00154588" w:rsidRDefault="00F4284C" w:rsidP="008C12B4">
            <w:pPr>
              <w:jc w:val="both"/>
              <w:rPr>
                <w:bCs/>
                <w:sz w:val="20"/>
                <w:szCs w:val="20"/>
              </w:rPr>
            </w:pPr>
          </w:p>
          <w:p w14:paraId="54074F31" w14:textId="08D51A5E" w:rsidR="00F4284C" w:rsidRPr="00154588" w:rsidRDefault="00F4284C" w:rsidP="008C12B4">
            <w:pPr>
              <w:jc w:val="both"/>
              <w:rPr>
                <w:bCs/>
                <w:sz w:val="20"/>
                <w:szCs w:val="20"/>
              </w:rPr>
            </w:pPr>
            <w:r w:rsidRPr="00154588">
              <w:rPr>
                <w:bCs/>
                <w:sz w:val="20"/>
                <w:szCs w:val="20"/>
              </w:rPr>
              <w:lastRenderedPageBreak/>
              <w:t>Autoritatea de rezoluție poate stabili niveluri-țintă intermediare pentru cerința prevăzută la articolul 45e sau pentru cerințele care rezultă din aplicarea articolului 45b alineatul (4), (5) sau (7), după caz, pe care instituția sau entitatea să le îndeplinească până la o dată stabilită de autoritatea de rezoluție. Nivelurile-țintă intermediare asigură, de regulă, o acumulare liniară de fonduri proprii și de datorii eligibile în vederea îndeplinirii cerinței.</w:t>
            </w:r>
          </w:p>
        </w:tc>
        <w:tc>
          <w:tcPr>
            <w:tcW w:w="4819" w:type="dxa"/>
          </w:tcPr>
          <w:p w14:paraId="0E1F03A0" w14:textId="163D468C" w:rsidR="00F4284C" w:rsidRPr="00154588" w:rsidRDefault="00F4284C" w:rsidP="008C12B4">
            <w:pPr>
              <w:jc w:val="both"/>
              <w:rPr>
                <w:bCs/>
                <w:sz w:val="20"/>
                <w:szCs w:val="20"/>
              </w:rPr>
            </w:pPr>
          </w:p>
          <w:p w14:paraId="43B9B7C1" w14:textId="77777777" w:rsidR="00F4284C" w:rsidRPr="00154588" w:rsidRDefault="00F4284C" w:rsidP="008C12B4">
            <w:pPr>
              <w:jc w:val="both"/>
              <w:rPr>
                <w:bCs/>
                <w:sz w:val="20"/>
                <w:szCs w:val="20"/>
              </w:rPr>
            </w:pPr>
          </w:p>
        </w:tc>
        <w:tc>
          <w:tcPr>
            <w:tcW w:w="2552" w:type="dxa"/>
          </w:tcPr>
          <w:p w14:paraId="7F7BF751" w14:textId="56C89D4C"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51CBD928" w14:textId="2FF75998" w:rsidR="00F4284C" w:rsidRPr="00154588" w:rsidRDefault="00F4284C" w:rsidP="008C12B4">
            <w:pPr>
              <w:rPr>
                <w:bCs/>
                <w:sz w:val="20"/>
                <w:szCs w:val="20"/>
              </w:rPr>
            </w:pPr>
            <w:r w:rsidRPr="00154588">
              <w:rPr>
                <w:bCs/>
                <w:sz w:val="20"/>
                <w:szCs w:val="20"/>
              </w:rPr>
              <w:t>prevederi neaplicabile având în vedere termenele tranzitorii care au fost incluse în lege conform poziției de negociere a RM cu UE</w:t>
            </w:r>
          </w:p>
        </w:tc>
      </w:tr>
      <w:tr w:rsidR="00F4284C" w:rsidRPr="00154588" w14:paraId="4162BC63" w14:textId="77777777" w:rsidTr="00D15C1B">
        <w:trPr>
          <w:jc w:val="center"/>
        </w:trPr>
        <w:tc>
          <w:tcPr>
            <w:tcW w:w="4957" w:type="dxa"/>
            <w:gridSpan w:val="2"/>
          </w:tcPr>
          <w:p w14:paraId="10C848F9" w14:textId="77777777" w:rsidR="00F4284C" w:rsidRPr="00154588" w:rsidRDefault="00F4284C" w:rsidP="008C12B4">
            <w:pPr>
              <w:jc w:val="both"/>
              <w:rPr>
                <w:bCs/>
                <w:sz w:val="20"/>
                <w:szCs w:val="20"/>
              </w:rPr>
            </w:pPr>
            <w:r w:rsidRPr="00154588">
              <w:rPr>
                <w:bCs/>
                <w:sz w:val="20"/>
                <w:szCs w:val="20"/>
              </w:rPr>
              <w:t>(3)   Nivelurile minime ale cerințelor menționate la articolul 45c alineatele (5) și (6) nu se aplică în cursul celor doi ani de la data:</w:t>
            </w:r>
          </w:p>
          <w:p w14:paraId="6F2FC49A" w14:textId="77777777" w:rsidR="00F4284C" w:rsidRPr="00154588" w:rsidRDefault="00F4284C" w:rsidP="008C12B4">
            <w:pPr>
              <w:jc w:val="both"/>
              <w:rPr>
                <w:bCs/>
                <w:sz w:val="20"/>
                <w:szCs w:val="20"/>
              </w:rPr>
            </w:pPr>
          </w:p>
          <w:p w14:paraId="2C1C3727" w14:textId="74940FD1" w:rsidR="00F4284C" w:rsidRPr="00154588" w:rsidRDefault="00F4284C" w:rsidP="008C12B4">
            <w:pPr>
              <w:jc w:val="both"/>
              <w:rPr>
                <w:bCs/>
                <w:sz w:val="20"/>
                <w:szCs w:val="20"/>
              </w:rPr>
            </w:pPr>
            <w:r w:rsidRPr="00154588">
              <w:rPr>
                <w:bCs/>
                <w:sz w:val="20"/>
                <w:szCs w:val="20"/>
              </w:rPr>
              <w:t>(a) la care autoritatea de rezoluție a aplicat instrumentul de recapitalizare internă; sau</w:t>
            </w:r>
          </w:p>
          <w:p w14:paraId="195DC4BD" w14:textId="77777777" w:rsidR="00F4284C" w:rsidRPr="00154588" w:rsidRDefault="00F4284C" w:rsidP="008C12B4">
            <w:pPr>
              <w:jc w:val="both"/>
              <w:rPr>
                <w:bCs/>
                <w:sz w:val="20"/>
                <w:szCs w:val="20"/>
              </w:rPr>
            </w:pPr>
          </w:p>
          <w:p w14:paraId="4E3FA573" w14:textId="1E6810EB" w:rsidR="00F4284C" w:rsidRPr="00154588" w:rsidRDefault="00F4284C" w:rsidP="008C12B4">
            <w:pPr>
              <w:jc w:val="both"/>
              <w:rPr>
                <w:bCs/>
                <w:sz w:val="20"/>
                <w:szCs w:val="20"/>
              </w:rPr>
            </w:pPr>
            <w:r w:rsidRPr="00154588">
              <w:rPr>
                <w:bCs/>
                <w:sz w:val="20"/>
                <w:szCs w:val="20"/>
              </w:rPr>
              <w:t>(b) la care entitatea de rezoluție a instituit o măsură alternativă a sectorului privat astfel cum este menționată la articolul 32 alineatul (1) litera (b), prin care s-a redus valoarea instrumentelor de capital și a altor instrumente de datorie sau acestea au fost convertite în instrumente de fonduri proprii de nivel 1 de bază, sau la care au fost exercitate competențele de reducere a valorii sau de conversie cu privire la respectiva entitate de rezoluție, în conformitate cu articolul 59, în scopul recapitalizării entității de rezoluție fără aplicarea instrumentelor de rezoluție.</w:t>
            </w:r>
          </w:p>
        </w:tc>
        <w:tc>
          <w:tcPr>
            <w:tcW w:w="4819" w:type="dxa"/>
          </w:tcPr>
          <w:p w14:paraId="08BD0793" w14:textId="13AAE566" w:rsidR="00F4284C" w:rsidRPr="00154588" w:rsidRDefault="00F4284C" w:rsidP="008C12B4">
            <w:pPr>
              <w:jc w:val="both"/>
              <w:rPr>
                <w:bCs/>
                <w:sz w:val="20"/>
                <w:szCs w:val="20"/>
              </w:rPr>
            </w:pPr>
            <w:r w:rsidRPr="00154588">
              <w:rPr>
                <w:b/>
                <w:bCs/>
                <w:sz w:val="20"/>
                <w:szCs w:val="20"/>
              </w:rPr>
              <w:t>Articolul 170</w:t>
            </w:r>
            <w:r w:rsidRPr="00154588">
              <w:rPr>
                <w:b/>
                <w:bCs/>
                <w:sz w:val="20"/>
                <w:szCs w:val="20"/>
                <w:vertAlign w:val="superscript"/>
              </w:rPr>
              <w:t>10</w:t>
            </w:r>
            <w:r w:rsidRPr="00154588">
              <w:rPr>
                <w:b/>
                <w:bCs/>
                <w:sz w:val="20"/>
                <w:szCs w:val="20"/>
              </w:rPr>
              <w:t>.</w:t>
            </w:r>
          </w:p>
          <w:p w14:paraId="16288917" w14:textId="67521A1B" w:rsidR="00F4284C" w:rsidRPr="00154588" w:rsidRDefault="00F4284C" w:rsidP="008C12B4">
            <w:pPr>
              <w:jc w:val="both"/>
              <w:rPr>
                <w:bCs/>
                <w:sz w:val="20"/>
                <w:szCs w:val="20"/>
              </w:rPr>
            </w:pPr>
            <w:r w:rsidRPr="00154588">
              <w:rPr>
                <w:bCs/>
                <w:sz w:val="20"/>
                <w:szCs w:val="20"/>
              </w:rPr>
              <w:t xml:space="preserve">(1) Nivelul minim al cerințelor prevăzute  </w:t>
            </w:r>
            <w:r w:rsidR="008566B2" w:rsidRPr="00154588">
              <w:rPr>
                <w:bCs/>
                <w:sz w:val="20"/>
                <w:szCs w:val="20"/>
              </w:rPr>
              <w:t xml:space="preserve">la </w:t>
            </w:r>
            <w:r w:rsidRPr="00154588">
              <w:rPr>
                <w:bCs/>
                <w:sz w:val="20"/>
                <w:szCs w:val="20"/>
              </w:rPr>
              <w:t>art. 167</w:t>
            </w:r>
            <w:r w:rsidRPr="00154588">
              <w:rPr>
                <w:bCs/>
                <w:sz w:val="20"/>
                <w:szCs w:val="20"/>
                <w:vertAlign w:val="superscript"/>
              </w:rPr>
              <w:t>7</w:t>
            </w:r>
            <w:r w:rsidRPr="00154588">
              <w:rPr>
                <w:bCs/>
                <w:sz w:val="20"/>
                <w:szCs w:val="20"/>
              </w:rPr>
              <w:t xml:space="preserve"> și 167</w:t>
            </w:r>
            <w:r w:rsidRPr="00154588">
              <w:rPr>
                <w:bCs/>
                <w:sz w:val="20"/>
                <w:szCs w:val="20"/>
                <w:vertAlign w:val="superscript"/>
              </w:rPr>
              <w:t>8</w:t>
            </w:r>
            <w:r w:rsidRPr="00154588">
              <w:rPr>
                <w:bCs/>
                <w:sz w:val="20"/>
                <w:szCs w:val="20"/>
              </w:rPr>
              <w:t xml:space="preserve">  alin.(1) nu se aplică în cursul primilor 2 ani:</w:t>
            </w:r>
          </w:p>
          <w:p w14:paraId="2C1FEDD4" w14:textId="77777777" w:rsidR="00F4284C" w:rsidRPr="00154588" w:rsidRDefault="00F4284C" w:rsidP="008C12B4">
            <w:pPr>
              <w:jc w:val="both"/>
              <w:rPr>
                <w:bCs/>
                <w:sz w:val="20"/>
                <w:szCs w:val="20"/>
              </w:rPr>
            </w:pPr>
            <w:r w:rsidRPr="00154588">
              <w:rPr>
                <w:bCs/>
                <w:sz w:val="20"/>
                <w:szCs w:val="20"/>
              </w:rPr>
              <w:t>a) de la data la care Banca Națională a Moldovei, în calitate de autoritate de rezoluție, a aplicat instrumentul de recapitalizare internă; sau</w:t>
            </w:r>
          </w:p>
          <w:p w14:paraId="5FF3B9E0" w14:textId="53C06E0D" w:rsidR="00F4284C" w:rsidRPr="00154588" w:rsidRDefault="00F4284C" w:rsidP="008C12B4">
            <w:pPr>
              <w:jc w:val="both"/>
              <w:rPr>
                <w:bCs/>
                <w:sz w:val="20"/>
                <w:szCs w:val="20"/>
              </w:rPr>
            </w:pPr>
            <w:r w:rsidRPr="00154588">
              <w:rPr>
                <w:bCs/>
                <w:sz w:val="20"/>
                <w:szCs w:val="20"/>
              </w:rPr>
              <w:t>b) de la data la care entitatea de rezoluție a pus în aplicare o măsură alternativă a sectorului privat astfel cum este prevăzută la art.58 alin.(1) lit.b), prin care s-a redus valoarea instrumentelor de capital și a altor instrumente de datorie sau prin care acestea au fost convertite în instrumente de fonduri proprii de nivel 1 de bază sau de la data la care a fost exercitată competența de reducere a valorii sau de conversie cu privire la respectiva entitate de rezoluție, în conformitate cu art. 219-225, în scopul recapitalizării entității de rezoluție fără aplicarea instrumentelor de rezoluție.</w:t>
            </w:r>
          </w:p>
          <w:p w14:paraId="73C8CF44" w14:textId="77777777" w:rsidR="00F4284C" w:rsidRPr="00154588" w:rsidRDefault="00F4284C" w:rsidP="008C12B4">
            <w:pPr>
              <w:jc w:val="both"/>
              <w:rPr>
                <w:bCs/>
                <w:sz w:val="20"/>
                <w:szCs w:val="20"/>
              </w:rPr>
            </w:pPr>
          </w:p>
        </w:tc>
        <w:tc>
          <w:tcPr>
            <w:tcW w:w="2552" w:type="dxa"/>
          </w:tcPr>
          <w:p w14:paraId="7D2B592E" w14:textId="36B1625D" w:rsidR="00F4284C" w:rsidRPr="00154588" w:rsidRDefault="00F4284C" w:rsidP="008C12B4">
            <w:pPr>
              <w:jc w:val="both"/>
              <w:rPr>
                <w:bCs/>
                <w:sz w:val="20"/>
                <w:szCs w:val="20"/>
              </w:rPr>
            </w:pPr>
            <w:r w:rsidRPr="00154588">
              <w:rPr>
                <w:bCs/>
                <w:sz w:val="20"/>
                <w:szCs w:val="20"/>
              </w:rPr>
              <w:t>Compatibil</w:t>
            </w:r>
          </w:p>
        </w:tc>
        <w:tc>
          <w:tcPr>
            <w:tcW w:w="3118" w:type="dxa"/>
          </w:tcPr>
          <w:p w14:paraId="03094442" w14:textId="77777777" w:rsidR="00F4284C" w:rsidRPr="00154588" w:rsidRDefault="00F4284C" w:rsidP="008C12B4">
            <w:pPr>
              <w:jc w:val="both"/>
              <w:rPr>
                <w:bCs/>
                <w:sz w:val="20"/>
                <w:szCs w:val="20"/>
              </w:rPr>
            </w:pPr>
          </w:p>
        </w:tc>
      </w:tr>
      <w:tr w:rsidR="00F4284C" w:rsidRPr="00154588" w14:paraId="79F67691" w14:textId="77777777" w:rsidTr="00D15C1B">
        <w:trPr>
          <w:jc w:val="center"/>
        </w:trPr>
        <w:tc>
          <w:tcPr>
            <w:tcW w:w="4957" w:type="dxa"/>
            <w:gridSpan w:val="2"/>
          </w:tcPr>
          <w:p w14:paraId="4FAB5087" w14:textId="66D0320E" w:rsidR="00F4284C" w:rsidRPr="00154588" w:rsidRDefault="00F4284C" w:rsidP="008C12B4">
            <w:pPr>
              <w:jc w:val="both"/>
              <w:rPr>
                <w:bCs/>
                <w:sz w:val="20"/>
                <w:szCs w:val="20"/>
              </w:rPr>
            </w:pPr>
            <w:r w:rsidRPr="00154588">
              <w:rPr>
                <w:bCs/>
                <w:sz w:val="20"/>
                <w:szCs w:val="20"/>
              </w:rPr>
              <w:t>(4)   Cerințele menționate la articolul 45b alineatele (4) și (7) și la articolul 45c alineatele (5) și (6), după caz, nu se aplică în cursul perioadei de trei ani de la data la care entitatea de rezoluție sau grupul din care face parte entitatea de rezoluție a fost identificat ca fiind din categoria G-SII sau de la data la care entitatea de rezoluție începe să se găsească în situația menționată la articolul 45c alineatul (5) sau (6).</w:t>
            </w:r>
          </w:p>
        </w:tc>
        <w:tc>
          <w:tcPr>
            <w:tcW w:w="4819" w:type="dxa"/>
          </w:tcPr>
          <w:p w14:paraId="322C81C2" w14:textId="1A25A82E" w:rsidR="00F4284C" w:rsidRPr="00154588" w:rsidRDefault="00F4284C" w:rsidP="008C12B4">
            <w:pPr>
              <w:jc w:val="both"/>
              <w:rPr>
                <w:bCs/>
                <w:sz w:val="20"/>
                <w:szCs w:val="20"/>
              </w:rPr>
            </w:pPr>
            <w:r w:rsidRPr="00154588">
              <w:rPr>
                <w:b/>
                <w:bCs/>
                <w:sz w:val="20"/>
                <w:szCs w:val="20"/>
              </w:rPr>
              <w:t>Articolul 170</w:t>
            </w:r>
            <w:r w:rsidRPr="00154588">
              <w:rPr>
                <w:b/>
                <w:bCs/>
                <w:sz w:val="20"/>
                <w:szCs w:val="20"/>
                <w:vertAlign w:val="superscript"/>
              </w:rPr>
              <w:t>10</w:t>
            </w:r>
            <w:r w:rsidRPr="00154588">
              <w:rPr>
                <w:bCs/>
                <w:sz w:val="20"/>
                <w:szCs w:val="20"/>
              </w:rPr>
              <w:t xml:space="preserve"> </w:t>
            </w:r>
          </w:p>
          <w:p w14:paraId="1552BDD9" w14:textId="28156FFA" w:rsidR="00F4284C" w:rsidRPr="00154588" w:rsidRDefault="00F4284C" w:rsidP="008C12B4">
            <w:pPr>
              <w:jc w:val="both"/>
              <w:rPr>
                <w:bCs/>
                <w:sz w:val="20"/>
                <w:szCs w:val="20"/>
              </w:rPr>
            </w:pPr>
            <w:r w:rsidRPr="00154588">
              <w:rPr>
                <w:bCs/>
                <w:sz w:val="20"/>
                <w:szCs w:val="20"/>
              </w:rPr>
              <w:t xml:space="preserve">(2) </w:t>
            </w:r>
            <w:bookmarkStart w:id="134" w:name="_Hlk234832907"/>
            <w:r w:rsidRPr="00154588">
              <w:rPr>
                <w:bCs/>
                <w:sz w:val="20"/>
                <w:szCs w:val="20"/>
              </w:rPr>
              <w:t>Cerințele prevăzute la art.165</w:t>
            </w:r>
            <w:r w:rsidRPr="00154588">
              <w:rPr>
                <w:bCs/>
                <w:sz w:val="20"/>
                <w:szCs w:val="20"/>
                <w:vertAlign w:val="superscript"/>
              </w:rPr>
              <w:t>3</w:t>
            </w:r>
            <w:r w:rsidRPr="00154588">
              <w:rPr>
                <w:bCs/>
                <w:sz w:val="20"/>
                <w:szCs w:val="20"/>
              </w:rPr>
              <w:t>, art.165</w:t>
            </w:r>
            <w:r w:rsidRPr="00154588">
              <w:rPr>
                <w:bCs/>
                <w:sz w:val="20"/>
                <w:szCs w:val="20"/>
                <w:vertAlign w:val="superscript"/>
              </w:rPr>
              <w:t>6</w:t>
            </w:r>
            <w:r w:rsidRPr="00154588">
              <w:rPr>
                <w:bCs/>
                <w:sz w:val="20"/>
                <w:szCs w:val="20"/>
              </w:rPr>
              <w:t>, și art. 167</w:t>
            </w:r>
            <w:r w:rsidRPr="00154588">
              <w:rPr>
                <w:bCs/>
                <w:sz w:val="20"/>
                <w:szCs w:val="20"/>
                <w:vertAlign w:val="superscript"/>
              </w:rPr>
              <w:t>7</w:t>
            </w:r>
            <w:r w:rsidRPr="00154588">
              <w:rPr>
                <w:bCs/>
                <w:sz w:val="20"/>
                <w:szCs w:val="20"/>
              </w:rPr>
              <w:t xml:space="preserve"> și art.167</w:t>
            </w:r>
            <w:r w:rsidRPr="00154588">
              <w:rPr>
                <w:bCs/>
                <w:sz w:val="20"/>
                <w:szCs w:val="20"/>
                <w:vertAlign w:val="superscript"/>
              </w:rPr>
              <w:t>8</w:t>
            </w:r>
            <w:r w:rsidRPr="00154588">
              <w:rPr>
                <w:bCs/>
                <w:sz w:val="20"/>
                <w:szCs w:val="20"/>
              </w:rPr>
              <w:t>, după caz, nu se aplică în primii 3 ani de la data la care entitatea de rezoluție a fost identificată ca fiind o instituție de tip G-SII sau grupul din care face parte entitatea de rezoluție a fost identificat ca fiind o instituție de tip G-SII sau de la data la care respectiva entitate de rezoluție începe să se regăsească în situația prevăzută la art.167</w:t>
            </w:r>
            <w:r w:rsidRPr="00154588">
              <w:rPr>
                <w:bCs/>
                <w:sz w:val="20"/>
                <w:szCs w:val="20"/>
                <w:vertAlign w:val="superscript"/>
              </w:rPr>
              <w:t>7</w:t>
            </w:r>
            <w:r w:rsidRPr="00154588">
              <w:rPr>
                <w:bCs/>
                <w:sz w:val="20"/>
                <w:szCs w:val="20"/>
              </w:rPr>
              <w:t xml:space="preserve"> sau 167</w:t>
            </w:r>
            <w:r w:rsidRPr="00154588">
              <w:rPr>
                <w:bCs/>
                <w:sz w:val="20"/>
                <w:szCs w:val="20"/>
                <w:vertAlign w:val="superscript"/>
              </w:rPr>
              <w:t>8</w:t>
            </w:r>
            <w:r w:rsidRPr="00154588">
              <w:rPr>
                <w:bCs/>
                <w:sz w:val="20"/>
                <w:szCs w:val="20"/>
              </w:rPr>
              <w:t>.</w:t>
            </w:r>
            <w:bookmarkEnd w:id="134"/>
          </w:p>
          <w:p w14:paraId="18D64B98" w14:textId="77777777" w:rsidR="00F4284C" w:rsidRPr="00154588" w:rsidRDefault="00F4284C" w:rsidP="008C12B4">
            <w:pPr>
              <w:jc w:val="both"/>
              <w:rPr>
                <w:bCs/>
                <w:sz w:val="20"/>
                <w:szCs w:val="20"/>
              </w:rPr>
            </w:pPr>
          </w:p>
        </w:tc>
        <w:tc>
          <w:tcPr>
            <w:tcW w:w="2552" w:type="dxa"/>
          </w:tcPr>
          <w:p w14:paraId="6536F9CD" w14:textId="4E176712" w:rsidR="00F4284C" w:rsidRPr="00154588" w:rsidRDefault="00F4284C" w:rsidP="008C12B4">
            <w:pPr>
              <w:jc w:val="both"/>
              <w:rPr>
                <w:bCs/>
                <w:sz w:val="20"/>
                <w:szCs w:val="20"/>
              </w:rPr>
            </w:pPr>
            <w:r w:rsidRPr="00154588">
              <w:rPr>
                <w:bCs/>
                <w:sz w:val="20"/>
                <w:szCs w:val="20"/>
              </w:rPr>
              <w:t>Compatibil</w:t>
            </w:r>
          </w:p>
        </w:tc>
        <w:tc>
          <w:tcPr>
            <w:tcW w:w="3118" w:type="dxa"/>
          </w:tcPr>
          <w:p w14:paraId="091A151A" w14:textId="77777777" w:rsidR="00F4284C" w:rsidRPr="00154588" w:rsidRDefault="00F4284C" w:rsidP="008C12B4">
            <w:pPr>
              <w:jc w:val="both"/>
              <w:rPr>
                <w:bCs/>
                <w:sz w:val="20"/>
                <w:szCs w:val="20"/>
              </w:rPr>
            </w:pPr>
          </w:p>
        </w:tc>
      </w:tr>
      <w:tr w:rsidR="00F4284C" w:rsidRPr="00154588" w14:paraId="0DEAE324" w14:textId="77777777" w:rsidTr="00D15C1B">
        <w:trPr>
          <w:jc w:val="center"/>
        </w:trPr>
        <w:tc>
          <w:tcPr>
            <w:tcW w:w="4957" w:type="dxa"/>
            <w:gridSpan w:val="2"/>
          </w:tcPr>
          <w:p w14:paraId="4A0F76AF" w14:textId="01D78B89" w:rsidR="00F4284C" w:rsidRPr="00154588" w:rsidRDefault="00F4284C" w:rsidP="008C12B4">
            <w:pPr>
              <w:jc w:val="both"/>
              <w:rPr>
                <w:bCs/>
                <w:sz w:val="20"/>
                <w:szCs w:val="20"/>
              </w:rPr>
            </w:pPr>
            <w:r w:rsidRPr="00154588">
              <w:rPr>
                <w:bCs/>
                <w:sz w:val="20"/>
                <w:szCs w:val="20"/>
              </w:rPr>
              <w:t xml:space="preserve">(5)   Prin derogare de la articolul 45 alineatul (1), autoritățile de rezoluție stabilesc o perioadă de tranziție adecvată pentru îndeplinirea cerințelor de la articolul 45e sau articolul 45f sau a unei cerințe care rezultă din aplicarea articolului 45b alineatul (4), (5) sau (7), după caz, de instituțiile sau entitățile </w:t>
            </w:r>
            <w:r w:rsidRPr="00154588">
              <w:rPr>
                <w:bCs/>
                <w:sz w:val="20"/>
                <w:szCs w:val="20"/>
              </w:rPr>
              <w:lastRenderedPageBreak/>
              <w:t>menționate la articolul 1 alineatul (1) literele (b), (c) și (d) în cazul cărora s-au aplicat instrumente de rezoluție sau a fost exercitată competența de reducere a valorii sau de conversie menționată la articolul 59.</w:t>
            </w:r>
          </w:p>
        </w:tc>
        <w:tc>
          <w:tcPr>
            <w:tcW w:w="4819" w:type="dxa"/>
          </w:tcPr>
          <w:p w14:paraId="1F00AFC7" w14:textId="512FEC54" w:rsidR="00F4284C" w:rsidRPr="00154588" w:rsidRDefault="00F4284C" w:rsidP="008C12B4">
            <w:pPr>
              <w:jc w:val="both"/>
              <w:rPr>
                <w:bCs/>
                <w:sz w:val="20"/>
                <w:szCs w:val="20"/>
              </w:rPr>
            </w:pPr>
            <w:r w:rsidRPr="00154588">
              <w:rPr>
                <w:b/>
                <w:bCs/>
                <w:sz w:val="20"/>
                <w:szCs w:val="20"/>
              </w:rPr>
              <w:lastRenderedPageBreak/>
              <w:t>Articolul 170</w:t>
            </w:r>
            <w:r w:rsidRPr="00154588">
              <w:rPr>
                <w:b/>
                <w:bCs/>
                <w:sz w:val="20"/>
                <w:szCs w:val="20"/>
                <w:vertAlign w:val="superscript"/>
              </w:rPr>
              <w:t>11</w:t>
            </w:r>
            <w:r w:rsidRPr="00154588">
              <w:rPr>
                <w:b/>
                <w:bCs/>
                <w:sz w:val="20"/>
                <w:szCs w:val="20"/>
              </w:rPr>
              <w:t>.</w:t>
            </w:r>
            <w:r w:rsidRPr="00154588">
              <w:rPr>
                <w:bCs/>
                <w:sz w:val="20"/>
                <w:szCs w:val="20"/>
              </w:rPr>
              <w:t xml:space="preserve"> – </w:t>
            </w:r>
            <w:bookmarkStart w:id="135" w:name="_Hlk234833126"/>
            <w:r w:rsidRPr="00154588">
              <w:rPr>
                <w:bCs/>
                <w:sz w:val="20"/>
                <w:szCs w:val="20"/>
              </w:rPr>
              <w:t>Prin excepție de la prevederile art.164 alin.(1), Banca Națională a Moldovei, în calitate de autoritate de rezoluție, determină o perioadă de tranziție adecvată pentru îndeplinirea cerințelor prevăzute de art.167</w:t>
            </w:r>
            <w:r w:rsidRPr="00154588">
              <w:rPr>
                <w:bCs/>
                <w:sz w:val="20"/>
                <w:szCs w:val="20"/>
                <w:vertAlign w:val="superscript"/>
              </w:rPr>
              <w:t>14</w:t>
            </w:r>
            <w:r w:rsidRPr="00154588">
              <w:rPr>
                <w:bCs/>
                <w:sz w:val="20"/>
                <w:szCs w:val="20"/>
              </w:rPr>
              <w:t xml:space="preserve"> sau art.167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Pr="00154588">
              <w:rPr>
                <w:bCs/>
                <w:sz w:val="20"/>
                <w:szCs w:val="20"/>
              </w:rPr>
              <w:t xml:space="preserve"> sau a cerinței care rezultă din aplicarea art.165</w:t>
            </w:r>
            <w:r w:rsidRPr="00154588">
              <w:rPr>
                <w:bCs/>
                <w:sz w:val="20"/>
                <w:szCs w:val="20"/>
                <w:vertAlign w:val="superscript"/>
              </w:rPr>
              <w:t>3</w:t>
            </w:r>
            <w:r w:rsidRPr="00154588">
              <w:rPr>
                <w:bCs/>
                <w:sz w:val="20"/>
                <w:szCs w:val="20"/>
              </w:rPr>
              <w:t xml:space="preserve">, </w:t>
            </w:r>
            <w:r w:rsidRPr="00154588">
              <w:rPr>
                <w:bCs/>
                <w:sz w:val="20"/>
                <w:szCs w:val="20"/>
              </w:rPr>
              <w:lastRenderedPageBreak/>
              <w:t>art.165</w:t>
            </w:r>
            <w:r w:rsidRPr="00154588">
              <w:rPr>
                <w:bCs/>
                <w:sz w:val="20"/>
                <w:szCs w:val="20"/>
                <w:vertAlign w:val="superscript"/>
              </w:rPr>
              <w:t>4</w:t>
            </w:r>
            <w:r w:rsidRPr="00154588">
              <w:rPr>
                <w:bCs/>
                <w:sz w:val="20"/>
                <w:szCs w:val="20"/>
              </w:rPr>
              <w:t xml:space="preserve"> sau 165</w:t>
            </w:r>
            <w:r w:rsidRPr="00154588">
              <w:rPr>
                <w:bCs/>
                <w:sz w:val="20"/>
                <w:szCs w:val="20"/>
                <w:vertAlign w:val="superscript"/>
              </w:rPr>
              <w:t>6</w:t>
            </w:r>
            <w:r w:rsidRPr="00154588">
              <w:rPr>
                <w:bCs/>
                <w:sz w:val="20"/>
                <w:szCs w:val="20"/>
              </w:rPr>
              <w:t>, după caz, de către instituțiile de credit sau entitățile prevăzute la art.1 alin.(1) lit.b), c) sau d) în cazul cărora s-au aplicat instrumente de rezoluție sau a fost exercitată competența de reducere a valorii sau de conversie prevăzută la art.219 -art.225.</w:t>
            </w:r>
            <w:bookmarkEnd w:id="135"/>
          </w:p>
          <w:p w14:paraId="62422012" w14:textId="77777777" w:rsidR="00F4284C" w:rsidRPr="00154588" w:rsidRDefault="00F4284C" w:rsidP="008C12B4">
            <w:pPr>
              <w:jc w:val="both"/>
              <w:rPr>
                <w:bCs/>
                <w:sz w:val="20"/>
                <w:szCs w:val="20"/>
              </w:rPr>
            </w:pPr>
          </w:p>
        </w:tc>
        <w:tc>
          <w:tcPr>
            <w:tcW w:w="2552" w:type="dxa"/>
          </w:tcPr>
          <w:p w14:paraId="18E2F695" w14:textId="72D9FCD8"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561A6AB3" w14:textId="77777777" w:rsidR="00F4284C" w:rsidRPr="00154588" w:rsidRDefault="00F4284C" w:rsidP="008C12B4">
            <w:pPr>
              <w:jc w:val="both"/>
              <w:rPr>
                <w:bCs/>
                <w:sz w:val="20"/>
                <w:szCs w:val="20"/>
              </w:rPr>
            </w:pPr>
          </w:p>
        </w:tc>
      </w:tr>
      <w:tr w:rsidR="00F4284C" w:rsidRPr="00154588" w14:paraId="0C755378" w14:textId="77777777" w:rsidTr="00D15C1B">
        <w:trPr>
          <w:jc w:val="center"/>
        </w:trPr>
        <w:tc>
          <w:tcPr>
            <w:tcW w:w="4957" w:type="dxa"/>
            <w:gridSpan w:val="2"/>
          </w:tcPr>
          <w:p w14:paraId="4694BCFA" w14:textId="0FB84809" w:rsidR="00F4284C" w:rsidRPr="00154588" w:rsidRDefault="00F4284C" w:rsidP="008C12B4">
            <w:pPr>
              <w:jc w:val="both"/>
              <w:rPr>
                <w:bCs/>
                <w:sz w:val="20"/>
                <w:szCs w:val="20"/>
              </w:rPr>
            </w:pPr>
            <w:r w:rsidRPr="00154588">
              <w:rPr>
                <w:bCs/>
                <w:sz w:val="20"/>
                <w:szCs w:val="20"/>
              </w:rPr>
              <w:t>(6)   În sensul alineatelor (1)-(5), autoritățile de rezoluție comunică instituției sau entității menționate la articolul 1 alineatul (1) literele (b), (c) și (d) o cerință minimă de fonduri proprii și datorii eligibile planificată pentru fiecare perioadă de 12 luni din cadrul perioadei de tranziție, cu scopul de a facilita o acumulare treptată a capacității sale de absorbție a pierderilor și de recapitalizare. La sfârșitul perioadei de tranziție, cerința minimă de fonduri proprii și datorii eligibile este egală cu cuantumul stabilit în temeiul articolului 45b alineatul (4), (5) sau (7), al articolului 45c alineatul (5) sau (6), al articolului 45e sau al articolului 45f, după caz.</w:t>
            </w:r>
          </w:p>
        </w:tc>
        <w:tc>
          <w:tcPr>
            <w:tcW w:w="4819" w:type="dxa"/>
          </w:tcPr>
          <w:p w14:paraId="0BD49A93" w14:textId="71720716" w:rsidR="00F4284C" w:rsidRPr="00154588" w:rsidRDefault="00F4284C" w:rsidP="008C12B4">
            <w:pPr>
              <w:jc w:val="both"/>
              <w:rPr>
                <w:bCs/>
                <w:sz w:val="20"/>
                <w:szCs w:val="20"/>
              </w:rPr>
            </w:pPr>
            <w:r w:rsidRPr="00154588">
              <w:rPr>
                <w:b/>
                <w:bCs/>
                <w:sz w:val="20"/>
                <w:szCs w:val="20"/>
              </w:rPr>
              <w:t>Articolul 170</w:t>
            </w:r>
            <w:r w:rsidRPr="00154588">
              <w:rPr>
                <w:b/>
                <w:bCs/>
                <w:sz w:val="20"/>
                <w:szCs w:val="20"/>
                <w:vertAlign w:val="superscript"/>
              </w:rPr>
              <w:t>12</w:t>
            </w:r>
            <w:r w:rsidRPr="00154588">
              <w:rPr>
                <w:b/>
                <w:bCs/>
                <w:sz w:val="20"/>
                <w:szCs w:val="20"/>
              </w:rPr>
              <w:t>.</w:t>
            </w:r>
            <w:r w:rsidRPr="00154588">
              <w:rPr>
                <w:bCs/>
                <w:sz w:val="20"/>
                <w:szCs w:val="20"/>
              </w:rPr>
              <w:t xml:space="preserve"> – </w:t>
            </w:r>
            <w:bookmarkStart w:id="136" w:name="_Hlk234833146"/>
            <w:r w:rsidRPr="00154588">
              <w:rPr>
                <w:bCs/>
                <w:sz w:val="20"/>
                <w:szCs w:val="20"/>
              </w:rPr>
              <w:t>(1) În aplicarea prevederilor art.170</w:t>
            </w:r>
            <w:r w:rsidRPr="00154588">
              <w:rPr>
                <w:bCs/>
                <w:sz w:val="20"/>
                <w:szCs w:val="20"/>
                <w:vertAlign w:val="superscript"/>
              </w:rPr>
              <w:t>7</w:t>
            </w:r>
            <w:r w:rsidRPr="00154588">
              <w:rPr>
                <w:bCs/>
                <w:sz w:val="20"/>
                <w:szCs w:val="20"/>
              </w:rPr>
              <w:t xml:space="preserve"> – art.170</w:t>
            </w:r>
            <w:r w:rsidRPr="00154588">
              <w:rPr>
                <w:bCs/>
                <w:sz w:val="20"/>
                <w:szCs w:val="20"/>
                <w:vertAlign w:val="superscript"/>
              </w:rPr>
              <w:t>11</w:t>
            </w:r>
            <w:r w:rsidRPr="00154588">
              <w:rPr>
                <w:bCs/>
                <w:sz w:val="20"/>
                <w:szCs w:val="20"/>
              </w:rPr>
              <w:t>, Banca Națională a Moldovei, în calitate de autoritate de rezoluție, comunică instituției de credit sau entității prevăzute la art. 1 alin.(1) lit.b), c) sau d) o cerință minimă de fonduri proprii și datorii eligibile planificată pentru fiecare perioadă de 12 luni din cadrul perioadei de tranziție, cu scopul de a facilita o acumulare treptată a capacității de acoperire a pierderilor și de recapitalizare.</w:t>
            </w:r>
          </w:p>
          <w:p w14:paraId="763AC1B5" w14:textId="528512BE" w:rsidR="00F4284C" w:rsidRPr="00154588" w:rsidRDefault="00F4284C" w:rsidP="008C12B4">
            <w:pPr>
              <w:jc w:val="both"/>
              <w:rPr>
                <w:bCs/>
                <w:sz w:val="20"/>
                <w:szCs w:val="20"/>
              </w:rPr>
            </w:pPr>
            <w:r w:rsidRPr="00154588">
              <w:rPr>
                <w:bCs/>
                <w:sz w:val="20"/>
                <w:szCs w:val="20"/>
              </w:rPr>
              <w:t>(2) La sfârșitul perioadei de tranziție, cerința minimă de fonduri proprii și datorii eligibile este egală cu valoarea determinată potrivit prevederilor art.165</w:t>
            </w:r>
            <w:r w:rsidRPr="00154588">
              <w:rPr>
                <w:bCs/>
                <w:sz w:val="20"/>
                <w:szCs w:val="20"/>
                <w:vertAlign w:val="superscript"/>
              </w:rPr>
              <w:t>3</w:t>
            </w:r>
            <w:r w:rsidRPr="00154588">
              <w:rPr>
                <w:bCs/>
                <w:sz w:val="20"/>
                <w:szCs w:val="20"/>
              </w:rPr>
              <w:t>, 165</w:t>
            </w:r>
            <w:r w:rsidRPr="00154588">
              <w:rPr>
                <w:bCs/>
                <w:sz w:val="20"/>
                <w:szCs w:val="20"/>
                <w:vertAlign w:val="superscript"/>
              </w:rPr>
              <w:t>4</w:t>
            </w:r>
            <w:r w:rsidRPr="00154588">
              <w:rPr>
                <w:bCs/>
                <w:sz w:val="20"/>
                <w:szCs w:val="20"/>
              </w:rPr>
              <w:t xml:space="preserve"> sau 165</w:t>
            </w:r>
            <w:r w:rsidRPr="00154588">
              <w:rPr>
                <w:bCs/>
                <w:sz w:val="20"/>
                <w:szCs w:val="20"/>
                <w:vertAlign w:val="superscript"/>
              </w:rPr>
              <w:t>6</w:t>
            </w:r>
            <w:r w:rsidRPr="00154588">
              <w:rPr>
                <w:bCs/>
                <w:sz w:val="20"/>
                <w:szCs w:val="20"/>
              </w:rPr>
              <w:t>, art.167</w:t>
            </w:r>
            <w:r w:rsidRPr="00154588">
              <w:rPr>
                <w:bCs/>
                <w:sz w:val="20"/>
                <w:szCs w:val="20"/>
                <w:vertAlign w:val="superscript"/>
              </w:rPr>
              <w:t>7</w:t>
            </w:r>
            <w:r w:rsidRPr="00154588">
              <w:rPr>
                <w:bCs/>
                <w:sz w:val="20"/>
                <w:szCs w:val="20"/>
              </w:rPr>
              <w:t xml:space="preserve"> sau art.167</w:t>
            </w:r>
            <w:r w:rsidRPr="00154588">
              <w:rPr>
                <w:bCs/>
                <w:sz w:val="20"/>
                <w:szCs w:val="20"/>
                <w:vertAlign w:val="superscript"/>
              </w:rPr>
              <w:t>8</w:t>
            </w:r>
            <w:r w:rsidRPr="00154588">
              <w:rPr>
                <w:bCs/>
                <w:sz w:val="20"/>
                <w:szCs w:val="20"/>
              </w:rPr>
              <w:t>, al art.167</w:t>
            </w:r>
            <w:r w:rsidRPr="00154588">
              <w:rPr>
                <w:bCs/>
                <w:sz w:val="20"/>
                <w:szCs w:val="20"/>
                <w:vertAlign w:val="superscript"/>
              </w:rPr>
              <w:t>14</w:t>
            </w:r>
            <w:r w:rsidRPr="00154588">
              <w:rPr>
                <w:bCs/>
                <w:sz w:val="20"/>
                <w:szCs w:val="20"/>
              </w:rPr>
              <w:t xml:space="preserve"> sau art. 167</w:t>
            </w:r>
            <w:r w:rsidRPr="00154588">
              <w:rPr>
                <w:bCs/>
                <w:sz w:val="20"/>
                <w:szCs w:val="20"/>
                <w:vertAlign w:val="superscript"/>
              </w:rPr>
              <w:t>15</w:t>
            </w:r>
            <w:r w:rsidRPr="00154588">
              <w:rPr>
                <w:bCs/>
                <w:sz w:val="20"/>
                <w:szCs w:val="20"/>
              </w:rPr>
              <w:t>- art.167</w:t>
            </w:r>
            <w:r w:rsidRPr="00154588">
              <w:rPr>
                <w:bCs/>
                <w:sz w:val="20"/>
                <w:szCs w:val="20"/>
                <w:vertAlign w:val="superscript"/>
              </w:rPr>
              <w:t>19</w:t>
            </w:r>
            <w:r w:rsidRPr="00154588">
              <w:rPr>
                <w:bCs/>
                <w:sz w:val="20"/>
                <w:szCs w:val="20"/>
              </w:rPr>
              <w:t>, după caz.</w:t>
            </w:r>
          </w:p>
          <w:bookmarkEnd w:id="136"/>
          <w:p w14:paraId="74566035" w14:textId="77777777" w:rsidR="00F4284C" w:rsidRPr="00154588" w:rsidRDefault="00F4284C" w:rsidP="008C12B4">
            <w:pPr>
              <w:jc w:val="both"/>
              <w:rPr>
                <w:bCs/>
                <w:sz w:val="20"/>
                <w:szCs w:val="20"/>
              </w:rPr>
            </w:pPr>
          </w:p>
        </w:tc>
        <w:tc>
          <w:tcPr>
            <w:tcW w:w="2552" w:type="dxa"/>
          </w:tcPr>
          <w:p w14:paraId="45E738A7" w14:textId="2FC5EC78" w:rsidR="00F4284C" w:rsidRPr="00154588" w:rsidRDefault="00F4284C" w:rsidP="008C12B4">
            <w:pPr>
              <w:jc w:val="both"/>
              <w:rPr>
                <w:bCs/>
                <w:sz w:val="20"/>
                <w:szCs w:val="20"/>
              </w:rPr>
            </w:pPr>
            <w:r w:rsidRPr="00154588">
              <w:rPr>
                <w:bCs/>
                <w:sz w:val="20"/>
                <w:szCs w:val="20"/>
              </w:rPr>
              <w:t>Compatibil</w:t>
            </w:r>
          </w:p>
        </w:tc>
        <w:tc>
          <w:tcPr>
            <w:tcW w:w="3118" w:type="dxa"/>
          </w:tcPr>
          <w:p w14:paraId="52754060" w14:textId="77777777" w:rsidR="00F4284C" w:rsidRPr="00154588" w:rsidRDefault="00F4284C" w:rsidP="008C12B4">
            <w:pPr>
              <w:jc w:val="both"/>
              <w:rPr>
                <w:bCs/>
                <w:sz w:val="20"/>
                <w:szCs w:val="20"/>
              </w:rPr>
            </w:pPr>
          </w:p>
        </w:tc>
      </w:tr>
      <w:tr w:rsidR="00F4284C" w:rsidRPr="00154588" w14:paraId="6FB9F4FC" w14:textId="77777777" w:rsidTr="00D15C1B">
        <w:trPr>
          <w:jc w:val="center"/>
        </w:trPr>
        <w:tc>
          <w:tcPr>
            <w:tcW w:w="4957" w:type="dxa"/>
            <w:gridSpan w:val="2"/>
          </w:tcPr>
          <w:p w14:paraId="4CE37E09" w14:textId="77777777" w:rsidR="00F4284C" w:rsidRPr="00154588" w:rsidRDefault="00F4284C" w:rsidP="008C12B4">
            <w:pPr>
              <w:jc w:val="both"/>
              <w:rPr>
                <w:bCs/>
                <w:sz w:val="20"/>
                <w:szCs w:val="20"/>
              </w:rPr>
            </w:pPr>
            <w:r w:rsidRPr="00154588">
              <w:rPr>
                <w:bCs/>
                <w:sz w:val="20"/>
                <w:szCs w:val="20"/>
              </w:rPr>
              <w:t>(7)   Atunci când stabilesc perioadele de tranziție, autoritățile de rezoluție iau în considerare:</w:t>
            </w:r>
          </w:p>
          <w:p w14:paraId="5027EDA9" w14:textId="77777777" w:rsidR="00F4284C" w:rsidRPr="00154588" w:rsidRDefault="00F4284C" w:rsidP="008C12B4">
            <w:pPr>
              <w:jc w:val="both"/>
              <w:rPr>
                <w:bCs/>
                <w:sz w:val="20"/>
                <w:szCs w:val="20"/>
              </w:rPr>
            </w:pPr>
          </w:p>
          <w:p w14:paraId="610D6638" w14:textId="0A1B30B3" w:rsidR="00F4284C" w:rsidRPr="00154588" w:rsidRDefault="00F4284C" w:rsidP="008C12B4">
            <w:pPr>
              <w:jc w:val="both"/>
              <w:rPr>
                <w:bCs/>
                <w:sz w:val="20"/>
                <w:szCs w:val="20"/>
              </w:rPr>
            </w:pPr>
            <w:r w:rsidRPr="00154588">
              <w:rPr>
                <w:bCs/>
                <w:sz w:val="20"/>
                <w:szCs w:val="20"/>
              </w:rPr>
              <w:t>(a) prevalența depozitelor și absența instrumentelor de datorie în modelul de finanțare;</w:t>
            </w:r>
          </w:p>
          <w:p w14:paraId="5A17601D" w14:textId="77777777" w:rsidR="00F4284C" w:rsidRPr="00154588" w:rsidRDefault="00F4284C" w:rsidP="008C12B4">
            <w:pPr>
              <w:jc w:val="both"/>
              <w:rPr>
                <w:bCs/>
                <w:sz w:val="20"/>
                <w:szCs w:val="20"/>
              </w:rPr>
            </w:pPr>
          </w:p>
          <w:p w14:paraId="2370B5F5" w14:textId="77777777" w:rsidR="00F4284C" w:rsidRPr="00154588" w:rsidRDefault="00F4284C" w:rsidP="008C12B4">
            <w:pPr>
              <w:jc w:val="both"/>
              <w:rPr>
                <w:bCs/>
                <w:sz w:val="20"/>
                <w:szCs w:val="20"/>
              </w:rPr>
            </w:pPr>
          </w:p>
          <w:p w14:paraId="1C9917B2" w14:textId="3C207859" w:rsidR="00F4284C" w:rsidRPr="00154588" w:rsidRDefault="00F4284C" w:rsidP="008C12B4">
            <w:pPr>
              <w:jc w:val="both"/>
              <w:rPr>
                <w:bCs/>
                <w:sz w:val="20"/>
                <w:szCs w:val="20"/>
              </w:rPr>
            </w:pPr>
            <w:r w:rsidRPr="00154588">
              <w:rPr>
                <w:bCs/>
                <w:sz w:val="20"/>
                <w:szCs w:val="20"/>
              </w:rPr>
              <w:t>(b) accesul la piețele de capital pentru instrumentele de datorie eligibile;</w:t>
            </w:r>
          </w:p>
          <w:p w14:paraId="382EC674" w14:textId="77777777" w:rsidR="00F4284C" w:rsidRPr="00154588" w:rsidRDefault="00F4284C" w:rsidP="008C12B4">
            <w:pPr>
              <w:jc w:val="both"/>
              <w:rPr>
                <w:bCs/>
                <w:sz w:val="20"/>
                <w:szCs w:val="20"/>
              </w:rPr>
            </w:pPr>
          </w:p>
          <w:p w14:paraId="0700238B" w14:textId="6C3EB130" w:rsidR="00F4284C" w:rsidRPr="00154588" w:rsidRDefault="00F4284C" w:rsidP="008C12B4">
            <w:pPr>
              <w:jc w:val="both"/>
              <w:rPr>
                <w:bCs/>
                <w:sz w:val="20"/>
                <w:szCs w:val="20"/>
              </w:rPr>
            </w:pPr>
            <w:r w:rsidRPr="00154588">
              <w:rPr>
                <w:bCs/>
                <w:sz w:val="20"/>
                <w:szCs w:val="20"/>
              </w:rPr>
              <w:t>(c) măsura în care entitatea de rezoluție recurge la fonduri proprii de nivel 1 de bază pentru a îndeplini cerința menționată la articolul 45e.</w:t>
            </w:r>
          </w:p>
        </w:tc>
        <w:tc>
          <w:tcPr>
            <w:tcW w:w="4819" w:type="dxa"/>
          </w:tcPr>
          <w:p w14:paraId="4112C570" w14:textId="77777777" w:rsidR="00F4284C" w:rsidRPr="00154588" w:rsidRDefault="00F4284C" w:rsidP="008C12B4">
            <w:pPr>
              <w:jc w:val="both"/>
              <w:rPr>
                <w:bCs/>
                <w:sz w:val="20"/>
                <w:szCs w:val="20"/>
              </w:rPr>
            </w:pPr>
            <w:r w:rsidRPr="00154588">
              <w:rPr>
                <w:b/>
                <w:bCs/>
                <w:sz w:val="20"/>
                <w:szCs w:val="20"/>
              </w:rPr>
              <w:t>Articolul 170</w:t>
            </w:r>
            <w:r w:rsidRPr="00154588">
              <w:rPr>
                <w:b/>
                <w:bCs/>
                <w:sz w:val="20"/>
                <w:szCs w:val="20"/>
                <w:vertAlign w:val="superscript"/>
              </w:rPr>
              <w:t>13</w:t>
            </w:r>
            <w:r w:rsidRPr="00154588">
              <w:rPr>
                <w:b/>
                <w:bCs/>
                <w:sz w:val="20"/>
                <w:szCs w:val="20"/>
              </w:rPr>
              <w:t>.</w:t>
            </w:r>
            <w:r w:rsidRPr="00154588">
              <w:rPr>
                <w:bCs/>
                <w:sz w:val="20"/>
                <w:szCs w:val="20"/>
              </w:rPr>
              <w:t xml:space="preserve"> – La stabilirea perioadelor de tranziție, Banca Națională a Moldovei, în calitate de autoritate de rezoluție, ia în considerare:</w:t>
            </w:r>
          </w:p>
          <w:p w14:paraId="082D37F3" w14:textId="77777777" w:rsidR="00F4284C" w:rsidRPr="00154588" w:rsidRDefault="00F4284C" w:rsidP="008C12B4">
            <w:pPr>
              <w:jc w:val="both"/>
              <w:rPr>
                <w:bCs/>
                <w:sz w:val="20"/>
                <w:szCs w:val="20"/>
              </w:rPr>
            </w:pPr>
            <w:r w:rsidRPr="00154588">
              <w:rPr>
                <w:bCs/>
                <w:sz w:val="20"/>
                <w:szCs w:val="20"/>
              </w:rPr>
              <w:t>a) prevalența depozitelor și absența instrumentelor de datorie în modelul de finanțare;</w:t>
            </w:r>
          </w:p>
          <w:p w14:paraId="49C82C16" w14:textId="77777777" w:rsidR="00F4284C" w:rsidRPr="00154588" w:rsidRDefault="00F4284C" w:rsidP="008C12B4">
            <w:pPr>
              <w:jc w:val="both"/>
              <w:rPr>
                <w:bCs/>
                <w:sz w:val="20"/>
                <w:szCs w:val="20"/>
              </w:rPr>
            </w:pPr>
            <w:r w:rsidRPr="00154588">
              <w:rPr>
                <w:bCs/>
                <w:sz w:val="20"/>
                <w:szCs w:val="20"/>
              </w:rPr>
              <w:t>b) accesul la piețele de capital pentru instrumentele de datorie eligibile;</w:t>
            </w:r>
          </w:p>
          <w:p w14:paraId="1F50146C" w14:textId="77777777" w:rsidR="00F4284C" w:rsidRPr="00154588" w:rsidRDefault="00F4284C" w:rsidP="008C12B4">
            <w:pPr>
              <w:jc w:val="both"/>
              <w:rPr>
                <w:bCs/>
                <w:sz w:val="20"/>
                <w:szCs w:val="20"/>
              </w:rPr>
            </w:pPr>
            <w:r w:rsidRPr="00154588">
              <w:rPr>
                <w:bCs/>
                <w:sz w:val="20"/>
                <w:szCs w:val="20"/>
              </w:rPr>
              <w:t>c) măsura în care entitatea de rezoluție se bazează pe fondurile proprii de nivel 1 de bază pentru a îndeplini cerința prevăzută la art.167</w:t>
            </w:r>
            <w:r w:rsidRPr="00154588">
              <w:rPr>
                <w:bCs/>
                <w:sz w:val="20"/>
                <w:szCs w:val="20"/>
                <w:vertAlign w:val="superscript"/>
              </w:rPr>
              <w:t>14</w:t>
            </w:r>
            <w:r w:rsidRPr="00154588">
              <w:rPr>
                <w:bCs/>
                <w:sz w:val="20"/>
                <w:szCs w:val="20"/>
              </w:rPr>
              <w:t>.</w:t>
            </w:r>
          </w:p>
          <w:p w14:paraId="25AA7026" w14:textId="77777777" w:rsidR="00F4284C" w:rsidRPr="00154588" w:rsidRDefault="00F4284C" w:rsidP="008C12B4">
            <w:pPr>
              <w:jc w:val="both"/>
              <w:rPr>
                <w:bCs/>
                <w:sz w:val="20"/>
                <w:szCs w:val="20"/>
              </w:rPr>
            </w:pPr>
          </w:p>
        </w:tc>
        <w:tc>
          <w:tcPr>
            <w:tcW w:w="2552" w:type="dxa"/>
          </w:tcPr>
          <w:p w14:paraId="270091E5" w14:textId="570D9720" w:rsidR="00F4284C" w:rsidRPr="00154588" w:rsidRDefault="00F4284C" w:rsidP="008C12B4">
            <w:pPr>
              <w:jc w:val="both"/>
              <w:rPr>
                <w:bCs/>
                <w:sz w:val="20"/>
                <w:szCs w:val="20"/>
              </w:rPr>
            </w:pPr>
            <w:r w:rsidRPr="00154588">
              <w:rPr>
                <w:bCs/>
                <w:sz w:val="20"/>
                <w:szCs w:val="20"/>
              </w:rPr>
              <w:t>Compatibil</w:t>
            </w:r>
          </w:p>
        </w:tc>
        <w:tc>
          <w:tcPr>
            <w:tcW w:w="3118" w:type="dxa"/>
          </w:tcPr>
          <w:p w14:paraId="5BE9BE1B" w14:textId="77777777" w:rsidR="00F4284C" w:rsidRPr="00154588" w:rsidRDefault="00F4284C" w:rsidP="008C12B4">
            <w:pPr>
              <w:jc w:val="both"/>
              <w:rPr>
                <w:bCs/>
                <w:sz w:val="20"/>
                <w:szCs w:val="20"/>
              </w:rPr>
            </w:pPr>
          </w:p>
        </w:tc>
      </w:tr>
      <w:tr w:rsidR="00F4284C" w:rsidRPr="00154588" w14:paraId="1AC81393" w14:textId="77777777" w:rsidTr="00D15C1B">
        <w:trPr>
          <w:jc w:val="center"/>
        </w:trPr>
        <w:tc>
          <w:tcPr>
            <w:tcW w:w="4957" w:type="dxa"/>
            <w:gridSpan w:val="2"/>
          </w:tcPr>
          <w:p w14:paraId="7F22922B" w14:textId="66F07824" w:rsidR="00F4284C" w:rsidRPr="00154588" w:rsidRDefault="00F4284C" w:rsidP="008C12B4">
            <w:pPr>
              <w:jc w:val="both"/>
              <w:rPr>
                <w:bCs/>
                <w:sz w:val="20"/>
                <w:szCs w:val="20"/>
              </w:rPr>
            </w:pPr>
            <w:r w:rsidRPr="00154588">
              <w:rPr>
                <w:bCs/>
                <w:sz w:val="20"/>
                <w:szCs w:val="20"/>
              </w:rPr>
              <w:t>(8)   Sub rezerva alineatului (1), autoritățile de rezoluție nu sunt împiedicate să revizuiască ulterior fie perioada de tranziție, fie o eventuală cerință minimă de fonduri proprii și datorii eligibile planificată, comunicată în conformitate cu alineatul (6).</w:t>
            </w:r>
          </w:p>
        </w:tc>
        <w:tc>
          <w:tcPr>
            <w:tcW w:w="4819" w:type="dxa"/>
          </w:tcPr>
          <w:p w14:paraId="77D00DDE" w14:textId="01CE096B" w:rsidR="00F4284C" w:rsidRPr="00154588" w:rsidRDefault="00F4284C" w:rsidP="008C12B4">
            <w:pPr>
              <w:jc w:val="both"/>
              <w:rPr>
                <w:bCs/>
                <w:sz w:val="20"/>
                <w:szCs w:val="20"/>
              </w:rPr>
            </w:pPr>
            <w:r w:rsidRPr="00154588">
              <w:rPr>
                <w:b/>
                <w:bCs/>
                <w:sz w:val="20"/>
                <w:szCs w:val="20"/>
              </w:rPr>
              <w:t>Articolul 170</w:t>
            </w:r>
            <w:r w:rsidRPr="00154588">
              <w:rPr>
                <w:b/>
                <w:bCs/>
                <w:sz w:val="20"/>
                <w:szCs w:val="20"/>
                <w:vertAlign w:val="superscript"/>
              </w:rPr>
              <w:t>14</w:t>
            </w:r>
            <w:r w:rsidRPr="00154588">
              <w:rPr>
                <w:b/>
                <w:bCs/>
                <w:sz w:val="20"/>
                <w:szCs w:val="20"/>
              </w:rPr>
              <w:t>.</w:t>
            </w:r>
            <w:r w:rsidRPr="00154588">
              <w:rPr>
                <w:bCs/>
                <w:sz w:val="20"/>
                <w:szCs w:val="20"/>
              </w:rPr>
              <w:t xml:space="preserve"> – Sub rezerva respectării art.170</w:t>
            </w:r>
            <w:r w:rsidRPr="00154588">
              <w:rPr>
                <w:bCs/>
                <w:sz w:val="20"/>
                <w:szCs w:val="20"/>
                <w:vertAlign w:val="superscript"/>
              </w:rPr>
              <w:t>7</w:t>
            </w:r>
            <w:r w:rsidRPr="00154588">
              <w:rPr>
                <w:bCs/>
                <w:sz w:val="20"/>
                <w:szCs w:val="20"/>
              </w:rPr>
              <w:t>–art.170</w:t>
            </w:r>
            <w:r w:rsidRPr="00154588">
              <w:rPr>
                <w:bCs/>
                <w:sz w:val="20"/>
                <w:szCs w:val="20"/>
                <w:vertAlign w:val="superscript"/>
              </w:rPr>
              <w:t>9</w:t>
            </w:r>
            <w:r w:rsidRPr="00154588">
              <w:rPr>
                <w:bCs/>
                <w:sz w:val="20"/>
                <w:szCs w:val="20"/>
              </w:rPr>
              <w:t>, Banca Națională a Moldovei, în calitate de autoritate de rezoluție, poate să revizuiască ulterior fie perioada de tranziție, fie orice cerință minimă de fonduri proprii și datorii eligibile planificată, comunicată în conformitate cu prevederile art.170</w:t>
            </w:r>
            <w:r w:rsidRPr="00154588">
              <w:rPr>
                <w:bCs/>
                <w:sz w:val="20"/>
                <w:szCs w:val="20"/>
                <w:vertAlign w:val="superscript"/>
              </w:rPr>
              <w:t>12</w:t>
            </w:r>
            <w:r w:rsidRPr="00154588">
              <w:rPr>
                <w:bCs/>
                <w:sz w:val="20"/>
                <w:szCs w:val="20"/>
              </w:rPr>
              <w:t>.</w:t>
            </w:r>
          </w:p>
          <w:p w14:paraId="1AA35762" w14:textId="77777777" w:rsidR="00F4284C" w:rsidRPr="00154588" w:rsidRDefault="00F4284C" w:rsidP="008C12B4">
            <w:pPr>
              <w:jc w:val="both"/>
              <w:rPr>
                <w:bCs/>
                <w:sz w:val="20"/>
                <w:szCs w:val="20"/>
              </w:rPr>
            </w:pPr>
          </w:p>
        </w:tc>
        <w:tc>
          <w:tcPr>
            <w:tcW w:w="2552" w:type="dxa"/>
          </w:tcPr>
          <w:p w14:paraId="7220350D" w14:textId="3F6B972B" w:rsidR="00F4284C" w:rsidRPr="00154588" w:rsidRDefault="00F4284C" w:rsidP="008C12B4">
            <w:pPr>
              <w:jc w:val="both"/>
              <w:rPr>
                <w:bCs/>
                <w:sz w:val="20"/>
                <w:szCs w:val="20"/>
              </w:rPr>
            </w:pPr>
            <w:r w:rsidRPr="00154588">
              <w:rPr>
                <w:bCs/>
                <w:sz w:val="20"/>
                <w:szCs w:val="20"/>
              </w:rPr>
              <w:t>Compatibil</w:t>
            </w:r>
          </w:p>
        </w:tc>
        <w:tc>
          <w:tcPr>
            <w:tcW w:w="3118" w:type="dxa"/>
          </w:tcPr>
          <w:p w14:paraId="58A02DEE" w14:textId="77777777" w:rsidR="00F4284C" w:rsidRPr="00154588" w:rsidRDefault="00F4284C" w:rsidP="008C12B4">
            <w:pPr>
              <w:jc w:val="both"/>
              <w:rPr>
                <w:bCs/>
                <w:sz w:val="20"/>
                <w:szCs w:val="20"/>
              </w:rPr>
            </w:pPr>
          </w:p>
        </w:tc>
      </w:tr>
      <w:tr w:rsidR="00F4284C" w:rsidRPr="00154588" w14:paraId="494023A2" w14:textId="77777777" w:rsidTr="00D15C1B">
        <w:trPr>
          <w:jc w:val="center"/>
        </w:trPr>
        <w:tc>
          <w:tcPr>
            <w:tcW w:w="4957" w:type="dxa"/>
            <w:gridSpan w:val="2"/>
          </w:tcPr>
          <w:p w14:paraId="44A81C26" w14:textId="77777777" w:rsidR="00F4284C" w:rsidRPr="00154588" w:rsidRDefault="00F4284C" w:rsidP="008C12B4">
            <w:pPr>
              <w:jc w:val="both"/>
              <w:rPr>
                <w:b/>
                <w:sz w:val="20"/>
                <w:szCs w:val="20"/>
              </w:rPr>
            </w:pPr>
            <w:r w:rsidRPr="00154588">
              <w:rPr>
                <w:b/>
                <w:sz w:val="20"/>
                <w:szCs w:val="20"/>
              </w:rPr>
              <w:t>Subsecțiunea 3</w:t>
            </w:r>
          </w:p>
          <w:p w14:paraId="004CA7EA" w14:textId="77777777" w:rsidR="00F4284C" w:rsidRPr="00154588" w:rsidRDefault="00F4284C" w:rsidP="008C12B4">
            <w:pPr>
              <w:jc w:val="both"/>
              <w:rPr>
                <w:b/>
                <w:sz w:val="20"/>
                <w:szCs w:val="20"/>
              </w:rPr>
            </w:pPr>
          </w:p>
          <w:p w14:paraId="71C335E5" w14:textId="17D261C6" w:rsidR="00F4284C" w:rsidRPr="00154588" w:rsidRDefault="00F4284C" w:rsidP="008C12B4">
            <w:pPr>
              <w:jc w:val="both"/>
              <w:rPr>
                <w:bCs/>
                <w:sz w:val="20"/>
                <w:szCs w:val="20"/>
              </w:rPr>
            </w:pPr>
            <w:r w:rsidRPr="00154588">
              <w:rPr>
                <w:b/>
                <w:sz w:val="20"/>
                <w:szCs w:val="20"/>
              </w:rPr>
              <w:lastRenderedPageBreak/>
              <w:t>Punerea în aplicare a instrumentului de recapitalizare internă</w:t>
            </w:r>
          </w:p>
        </w:tc>
        <w:tc>
          <w:tcPr>
            <w:tcW w:w="4819" w:type="dxa"/>
          </w:tcPr>
          <w:p w14:paraId="7AE37371" w14:textId="77777777" w:rsidR="00F4284C" w:rsidRPr="00154588" w:rsidRDefault="00F4284C" w:rsidP="008C12B4">
            <w:pPr>
              <w:jc w:val="both"/>
              <w:rPr>
                <w:bCs/>
                <w:sz w:val="20"/>
                <w:szCs w:val="20"/>
              </w:rPr>
            </w:pPr>
          </w:p>
        </w:tc>
        <w:tc>
          <w:tcPr>
            <w:tcW w:w="2552" w:type="dxa"/>
          </w:tcPr>
          <w:p w14:paraId="1909EEAD" w14:textId="77777777" w:rsidR="00F4284C" w:rsidRPr="00154588" w:rsidRDefault="00F4284C" w:rsidP="008C12B4">
            <w:pPr>
              <w:jc w:val="both"/>
              <w:rPr>
                <w:bCs/>
                <w:sz w:val="20"/>
                <w:szCs w:val="20"/>
              </w:rPr>
            </w:pPr>
          </w:p>
        </w:tc>
        <w:tc>
          <w:tcPr>
            <w:tcW w:w="3118" w:type="dxa"/>
          </w:tcPr>
          <w:p w14:paraId="2D1614C1" w14:textId="77777777" w:rsidR="00F4284C" w:rsidRPr="00154588" w:rsidRDefault="00F4284C" w:rsidP="008C12B4">
            <w:pPr>
              <w:jc w:val="both"/>
              <w:rPr>
                <w:bCs/>
                <w:sz w:val="20"/>
                <w:szCs w:val="20"/>
              </w:rPr>
            </w:pPr>
          </w:p>
        </w:tc>
      </w:tr>
      <w:tr w:rsidR="00F4284C" w:rsidRPr="00154588" w14:paraId="3C4A45AD" w14:textId="77777777" w:rsidTr="00D15C1B">
        <w:trPr>
          <w:jc w:val="center"/>
        </w:trPr>
        <w:tc>
          <w:tcPr>
            <w:tcW w:w="4957" w:type="dxa"/>
            <w:gridSpan w:val="2"/>
          </w:tcPr>
          <w:p w14:paraId="57528245" w14:textId="77777777" w:rsidR="00F4284C" w:rsidRPr="00154588" w:rsidRDefault="00F4284C" w:rsidP="008C12B4">
            <w:pPr>
              <w:jc w:val="both"/>
              <w:rPr>
                <w:b/>
                <w:sz w:val="20"/>
                <w:szCs w:val="20"/>
              </w:rPr>
            </w:pPr>
            <w:r w:rsidRPr="00154588">
              <w:rPr>
                <w:b/>
                <w:sz w:val="20"/>
                <w:szCs w:val="20"/>
              </w:rPr>
              <w:t>Articolul 46</w:t>
            </w:r>
          </w:p>
          <w:p w14:paraId="135C838F" w14:textId="77777777" w:rsidR="00F4284C" w:rsidRPr="00154588" w:rsidRDefault="00F4284C" w:rsidP="008C12B4">
            <w:pPr>
              <w:jc w:val="both"/>
              <w:rPr>
                <w:b/>
                <w:sz w:val="20"/>
                <w:szCs w:val="20"/>
              </w:rPr>
            </w:pPr>
          </w:p>
          <w:p w14:paraId="0E17F87C" w14:textId="5F2FCD67" w:rsidR="00F4284C" w:rsidRPr="00154588" w:rsidRDefault="00F4284C" w:rsidP="008C12B4">
            <w:pPr>
              <w:jc w:val="both"/>
              <w:rPr>
                <w:bCs/>
                <w:sz w:val="20"/>
                <w:szCs w:val="20"/>
              </w:rPr>
            </w:pPr>
            <w:r w:rsidRPr="00154588">
              <w:rPr>
                <w:b/>
                <w:sz w:val="20"/>
                <w:szCs w:val="20"/>
              </w:rPr>
              <w:t>Stabilirea valorii recapitalizării interne</w:t>
            </w:r>
          </w:p>
        </w:tc>
        <w:tc>
          <w:tcPr>
            <w:tcW w:w="4819" w:type="dxa"/>
          </w:tcPr>
          <w:p w14:paraId="689B7DDF" w14:textId="77777777" w:rsidR="00F4284C" w:rsidRPr="00154588" w:rsidRDefault="00F4284C" w:rsidP="008C12B4">
            <w:pPr>
              <w:jc w:val="both"/>
              <w:rPr>
                <w:bCs/>
                <w:sz w:val="20"/>
                <w:szCs w:val="20"/>
              </w:rPr>
            </w:pPr>
          </w:p>
        </w:tc>
        <w:tc>
          <w:tcPr>
            <w:tcW w:w="2552" w:type="dxa"/>
          </w:tcPr>
          <w:p w14:paraId="0B8BDDB0" w14:textId="77777777" w:rsidR="00F4284C" w:rsidRPr="00154588" w:rsidRDefault="00F4284C" w:rsidP="008C12B4">
            <w:pPr>
              <w:jc w:val="both"/>
              <w:rPr>
                <w:bCs/>
                <w:sz w:val="20"/>
                <w:szCs w:val="20"/>
              </w:rPr>
            </w:pPr>
          </w:p>
        </w:tc>
        <w:tc>
          <w:tcPr>
            <w:tcW w:w="3118" w:type="dxa"/>
          </w:tcPr>
          <w:p w14:paraId="0FC45898" w14:textId="77777777" w:rsidR="00F4284C" w:rsidRPr="00154588" w:rsidRDefault="00F4284C" w:rsidP="008C12B4">
            <w:pPr>
              <w:jc w:val="both"/>
              <w:rPr>
                <w:bCs/>
                <w:sz w:val="20"/>
                <w:szCs w:val="20"/>
              </w:rPr>
            </w:pPr>
          </w:p>
        </w:tc>
      </w:tr>
      <w:tr w:rsidR="00F4284C" w:rsidRPr="00154588" w14:paraId="68363D1E" w14:textId="77777777" w:rsidTr="00D15C1B">
        <w:trPr>
          <w:jc w:val="center"/>
        </w:trPr>
        <w:tc>
          <w:tcPr>
            <w:tcW w:w="4957" w:type="dxa"/>
            <w:gridSpan w:val="2"/>
          </w:tcPr>
          <w:p w14:paraId="271AAF49" w14:textId="77777777" w:rsidR="00F4284C" w:rsidRPr="00154588" w:rsidRDefault="00F4284C" w:rsidP="008C12B4">
            <w:pPr>
              <w:tabs>
                <w:tab w:val="left" w:pos="920"/>
              </w:tabs>
              <w:jc w:val="both"/>
              <w:rPr>
                <w:bCs/>
                <w:sz w:val="20"/>
                <w:szCs w:val="20"/>
              </w:rPr>
            </w:pPr>
            <w:r w:rsidRPr="00154588">
              <w:rPr>
                <w:bCs/>
                <w:sz w:val="20"/>
                <w:szCs w:val="20"/>
              </w:rPr>
              <w:t>(1)   Statele membre se asigură că, la aplicarea instrumentului de recapitalizare internă, autoritățile de rezoluție stabilesc, pe baza unei evaluări care respectă articolul 36:</w:t>
            </w:r>
          </w:p>
          <w:p w14:paraId="3076569C" w14:textId="77777777" w:rsidR="00F4284C" w:rsidRPr="00154588" w:rsidRDefault="00F4284C" w:rsidP="008C12B4">
            <w:pPr>
              <w:tabs>
                <w:tab w:val="left" w:pos="920"/>
              </w:tabs>
              <w:jc w:val="both"/>
              <w:rPr>
                <w:bCs/>
                <w:sz w:val="20"/>
                <w:szCs w:val="20"/>
              </w:rPr>
            </w:pPr>
          </w:p>
          <w:p w14:paraId="700744F1" w14:textId="26D516E0" w:rsidR="00F4284C" w:rsidRPr="00154588" w:rsidRDefault="00F4284C" w:rsidP="008C12B4">
            <w:pPr>
              <w:tabs>
                <w:tab w:val="left" w:pos="920"/>
              </w:tabs>
              <w:jc w:val="both"/>
              <w:rPr>
                <w:bCs/>
                <w:sz w:val="20"/>
                <w:szCs w:val="20"/>
              </w:rPr>
            </w:pPr>
            <w:r w:rsidRPr="00154588">
              <w:rPr>
                <w:bCs/>
                <w:sz w:val="20"/>
                <w:szCs w:val="20"/>
              </w:rPr>
              <w:t>(a) după caz, cuantumul cu care trebuie reduse datoriile care pot face obiectul recapitalizării interne pentru a garanta faptul că valoarea activului net al instituției aflate în rezoluție este egală cu zero; și</w:t>
            </w:r>
          </w:p>
          <w:p w14:paraId="61ECB5E1" w14:textId="77777777" w:rsidR="00F4284C" w:rsidRPr="00154588" w:rsidRDefault="00F4284C" w:rsidP="008C12B4">
            <w:pPr>
              <w:tabs>
                <w:tab w:val="left" w:pos="920"/>
              </w:tabs>
              <w:jc w:val="both"/>
              <w:rPr>
                <w:bCs/>
                <w:sz w:val="20"/>
                <w:szCs w:val="20"/>
              </w:rPr>
            </w:pPr>
          </w:p>
          <w:p w14:paraId="1550BAF5" w14:textId="28F7AD21" w:rsidR="00F4284C" w:rsidRPr="00154588" w:rsidRDefault="00F4284C" w:rsidP="008C12B4">
            <w:pPr>
              <w:tabs>
                <w:tab w:val="left" w:pos="920"/>
              </w:tabs>
              <w:jc w:val="both"/>
              <w:rPr>
                <w:bCs/>
                <w:sz w:val="20"/>
                <w:szCs w:val="20"/>
              </w:rPr>
            </w:pPr>
            <w:r w:rsidRPr="00154588">
              <w:rPr>
                <w:bCs/>
                <w:sz w:val="20"/>
                <w:szCs w:val="20"/>
              </w:rPr>
              <w:t>(b) după caz, cuantumul cu care datoriile care pot face obiectul recapitalizării interne trebuie convertite în acțiuni sau în alte tipuri de instrumente de capital pentru a restabili ponderea fondurilor proprii de nivel 1 de bază, fie a:</w:t>
            </w:r>
          </w:p>
          <w:p w14:paraId="5520FAD5" w14:textId="77777777" w:rsidR="00F4284C" w:rsidRPr="00154588" w:rsidRDefault="00F4284C" w:rsidP="008C12B4">
            <w:pPr>
              <w:tabs>
                <w:tab w:val="left" w:pos="920"/>
              </w:tabs>
              <w:jc w:val="both"/>
              <w:rPr>
                <w:bCs/>
                <w:sz w:val="20"/>
                <w:szCs w:val="20"/>
              </w:rPr>
            </w:pPr>
          </w:p>
          <w:p w14:paraId="53D97EDA" w14:textId="6495D60D" w:rsidR="00F4284C" w:rsidRPr="00154588" w:rsidRDefault="00F4284C" w:rsidP="008C12B4">
            <w:pPr>
              <w:tabs>
                <w:tab w:val="left" w:pos="920"/>
              </w:tabs>
              <w:jc w:val="both"/>
              <w:rPr>
                <w:bCs/>
                <w:sz w:val="20"/>
                <w:szCs w:val="20"/>
              </w:rPr>
            </w:pPr>
            <w:r w:rsidRPr="00154588">
              <w:rPr>
                <w:bCs/>
                <w:sz w:val="20"/>
                <w:szCs w:val="20"/>
              </w:rPr>
              <w:t>(i) instituției aflate în rezoluție; sau</w:t>
            </w:r>
          </w:p>
          <w:p w14:paraId="59E45D9E" w14:textId="77777777" w:rsidR="00F4284C" w:rsidRPr="00154588" w:rsidRDefault="00F4284C" w:rsidP="008C12B4">
            <w:pPr>
              <w:tabs>
                <w:tab w:val="left" w:pos="920"/>
              </w:tabs>
              <w:jc w:val="both"/>
              <w:rPr>
                <w:bCs/>
                <w:sz w:val="20"/>
                <w:szCs w:val="20"/>
              </w:rPr>
            </w:pPr>
          </w:p>
          <w:p w14:paraId="23BA6ED9" w14:textId="5D3565F8" w:rsidR="00F4284C" w:rsidRPr="00154588" w:rsidRDefault="00F4284C" w:rsidP="008C12B4">
            <w:pPr>
              <w:tabs>
                <w:tab w:val="left" w:pos="920"/>
              </w:tabs>
              <w:jc w:val="both"/>
              <w:rPr>
                <w:bCs/>
                <w:sz w:val="20"/>
                <w:szCs w:val="20"/>
              </w:rPr>
            </w:pPr>
            <w:r w:rsidRPr="00154588">
              <w:rPr>
                <w:bCs/>
                <w:sz w:val="20"/>
                <w:szCs w:val="20"/>
              </w:rPr>
              <w:t>(ii) instituției-punte.</w:t>
            </w:r>
          </w:p>
        </w:tc>
        <w:tc>
          <w:tcPr>
            <w:tcW w:w="4819" w:type="dxa"/>
          </w:tcPr>
          <w:p w14:paraId="7B14707B" w14:textId="77777777" w:rsidR="00F4284C" w:rsidRPr="00154588" w:rsidRDefault="00F4284C" w:rsidP="008C12B4">
            <w:pPr>
              <w:jc w:val="both"/>
              <w:rPr>
                <w:bCs/>
                <w:sz w:val="20"/>
                <w:szCs w:val="20"/>
              </w:rPr>
            </w:pPr>
            <w:r w:rsidRPr="00154588">
              <w:rPr>
                <w:b/>
                <w:bCs/>
                <w:sz w:val="20"/>
                <w:szCs w:val="20"/>
              </w:rPr>
              <w:t>Articolul 171.</w:t>
            </w:r>
            <w:r w:rsidRPr="00154588">
              <w:rPr>
                <w:bCs/>
                <w:sz w:val="20"/>
                <w:szCs w:val="20"/>
              </w:rPr>
              <w:t xml:space="preserve"> – Banca Naţională a Moldovei, în calitate de autoritate de rezoluţie, atunci cînd aplică instrumentul de recapitalizare internă, stabileşte, în baza unei evaluări care respectă art.72-84, suma agregată a următoarelor:</w:t>
            </w:r>
          </w:p>
          <w:p w14:paraId="5A2C29AD" w14:textId="2C4BC353" w:rsidR="00F4284C" w:rsidRPr="00154588" w:rsidRDefault="00F4284C" w:rsidP="008C12B4">
            <w:pPr>
              <w:jc w:val="both"/>
              <w:rPr>
                <w:bCs/>
                <w:sz w:val="20"/>
                <w:szCs w:val="20"/>
              </w:rPr>
            </w:pPr>
            <w:r w:rsidRPr="00154588">
              <w:rPr>
                <w:bCs/>
                <w:sz w:val="20"/>
                <w:szCs w:val="20"/>
              </w:rPr>
              <w:t>a) după caz, valoarea cu care trebuie reduse datoriile care pot face obiectul recapitalizării interne pentru a se asigura faptul că valoarea activului net al institu</w:t>
            </w:r>
            <w:r w:rsidRPr="00154588">
              <w:rPr>
                <w:bCs/>
                <w:sz w:val="20"/>
                <w:szCs w:val="20"/>
                <w:lang w:val="ro-MD"/>
              </w:rPr>
              <w:t xml:space="preserve">ției </w:t>
            </w:r>
            <w:r w:rsidRPr="00154588">
              <w:rPr>
                <w:bCs/>
                <w:sz w:val="20"/>
                <w:szCs w:val="20"/>
              </w:rPr>
              <w:t>supuse rezoluţiei este egală cu zero; şi</w:t>
            </w:r>
          </w:p>
          <w:p w14:paraId="6B47A996" w14:textId="417F92B7" w:rsidR="00F4284C" w:rsidRPr="00154588" w:rsidRDefault="00F4284C" w:rsidP="008C12B4">
            <w:pPr>
              <w:jc w:val="both"/>
              <w:rPr>
                <w:bCs/>
                <w:sz w:val="20"/>
                <w:szCs w:val="20"/>
              </w:rPr>
            </w:pPr>
            <w:r w:rsidRPr="00154588">
              <w:rPr>
                <w:bCs/>
                <w:sz w:val="20"/>
                <w:szCs w:val="20"/>
              </w:rPr>
              <w:t>b) după caz, valoarea în care datoriile care pot face obiectul recapitalizării interne trebuie convertite în acţiuni sau în alte tipuri de instrumente de capital pentru a restabili rata fondurilor proprii de nivelul 1 de bază al institu</w:t>
            </w:r>
            <w:r w:rsidRPr="00154588">
              <w:rPr>
                <w:bCs/>
                <w:sz w:val="20"/>
                <w:szCs w:val="20"/>
                <w:lang w:val="ro-MD"/>
              </w:rPr>
              <w:t>ției</w:t>
            </w:r>
            <w:r w:rsidRPr="00154588" w:rsidDel="00105696">
              <w:rPr>
                <w:bCs/>
                <w:sz w:val="20"/>
                <w:szCs w:val="20"/>
              </w:rPr>
              <w:t xml:space="preserve"> </w:t>
            </w:r>
            <w:r w:rsidRPr="00154588">
              <w:rPr>
                <w:bCs/>
                <w:sz w:val="20"/>
                <w:szCs w:val="20"/>
              </w:rPr>
              <w:t>supuse rezoluţiei sau al institu</w:t>
            </w:r>
            <w:r w:rsidRPr="00154588">
              <w:rPr>
                <w:bCs/>
                <w:sz w:val="20"/>
                <w:szCs w:val="20"/>
                <w:lang w:val="ro-MD"/>
              </w:rPr>
              <w:t>ției</w:t>
            </w:r>
            <w:r w:rsidRPr="00154588">
              <w:rPr>
                <w:bCs/>
                <w:sz w:val="20"/>
                <w:szCs w:val="20"/>
              </w:rPr>
              <w:t>-punte.</w:t>
            </w:r>
          </w:p>
          <w:p w14:paraId="76D6370E" w14:textId="77777777" w:rsidR="00F4284C" w:rsidRPr="00154588" w:rsidRDefault="00F4284C" w:rsidP="008C12B4">
            <w:pPr>
              <w:jc w:val="both"/>
              <w:rPr>
                <w:bCs/>
                <w:sz w:val="20"/>
                <w:szCs w:val="20"/>
              </w:rPr>
            </w:pPr>
          </w:p>
        </w:tc>
        <w:tc>
          <w:tcPr>
            <w:tcW w:w="2552" w:type="dxa"/>
          </w:tcPr>
          <w:p w14:paraId="273F18DC" w14:textId="442E7AC7" w:rsidR="00F4284C" w:rsidRPr="00154588" w:rsidRDefault="00F4284C" w:rsidP="008C12B4">
            <w:pPr>
              <w:jc w:val="both"/>
              <w:rPr>
                <w:bCs/>
                <w:sz w:val="20"/>
                <w:szCs w:val="20"/>
              </w:rPr>
            </w:pPr>
            <w:r w:rsidRPr="00154588">
              <w:rPr>
                <w:bCs/>
                <w:sz w:val="20"/>
                <w:szCs w:val="20"/>
              </w:rPr>
              <w:t>Compatibil</w:t>
            </w:r>
          </w:p>
        </w:tc>
        <w:tc>
          <w:tcPr>
            <w:tcW w:w="3118" w:type="dxa"/>
          </w:tcPr>
          <w:p w14:paraId="3AA9863D" w14:textId="77777777" w:rsidR="00F4284C" w:rsidRPr="00154588" w:rsidRDefault="00F4284C" w:rsidP="008C12B4">
            <w:pPr>
              <w:jc w:val="both"/>
              <w:rPr>
                <w:bCs/>
                <w:sz w:val="20"/>
                <w:szCs w:val="20"/>
              </w:rPr>
            </w:pPr>
          </w:p>
        </w:tc>
      </w:tr>
      <w:tr w:rsidR="00F4284C" w:rsidRPr="00154588" w14:paraId="33AED765" w14:textId="77777777" w:rsidTr="00D15C1B">
        <w:trPr>
          <w:jc w:val="center"/>
        </w:trPr>
        <w:tc>
          <w:tcPr>
            <w:tcW w:w="4957" w:type="dxa"/>
            <w:gridSpan w:val="2"/>
          </w:tcPr>
          <w:p w14:paraId="56E04858" w14:textId="562CE6AD" w:rsidR="00F4284C" w:rsidRPr="00154588" w:rsidRDefault="00F4284C" w:rsidP="008C12B4">
            <w:pPr>
              <w:jc w:val="both"/>
              <w:rPr>
                <w:bCs/>
                <w:sz w:val="20"/>
                <w:szCs w:val="20"/>
              </w:rPr>
            </w:pPr>
            <w:r w:rsidRPr="00154588">
              <w:rPr>
                <w:bCs/>
                <w:sz w:val="20"/>
                <w:szCs w:val="20"/>
              </w:rPr>
              <w:t xml:space="preserve">(2)   Evaluarea menționată la alineatul (1) al prezentului articol stabilește cuantumul cu care trebuie reduse sau convertite datoriile care pot face obiectul recapitalizării interne în următoarele scopuri: </w:t>
            </w:r>
          </w:p>
          <w:p w14:paraId="05A0FD39" w14:textId="77777777" w:rsidR="00F4284C" w:rsidRPr="00154588" w:rsidRDefault="00F4284C" w:rsidP="008C12B4">
            <w:pPr>
              <w:jc w:val="both"/>
              <w:rPr>
                <w:bCs/>
                <w:sz w:val="20"/>
                <w:szCs w:val="20"/>
              </w:rPr>
            </w:pPr>
          </w:p>
          <w:p w14:paraId="6116635E" w14:textId="515D5C0B" w:rsidR="00F4284C" w:rsidRPr="00154588" w:rsidRDefault="00F4284C" w:rsidP="008C12B4">
            <w:pPr>
              <w:jc w:val="both"/>
              <w:rPr>
                <w:bCs/>
                <w:sz w:val="20"/>
                <w:szCs w:val="20"/>
              </w:rPr>
            </w:pPr>
            <w:r w:rsidRPr="00154588">
              <w:rPr>
                <w:bCs/>
                <w:sz w:val="20"/>
                <w:szCs w:val="20"/>
              </w:rPr>
              <w:t xml:space="preserve">(a) pentru a restabili rata fondurilor proprii de nivel 1 de bază ale instituției aflate în rezoluție sau, după caz, pentru a fi îndeplinită rata aferentă instituției-punte, ținând seama de orice contribuție la capital din partea mecanismului de finanțare a rezoluției efectuată în temeiul articolului 101 alineatul (1) litera (d) din prezenta directivă; </w:t>
            </w:r>
          </w:p>
          <w:p w14:paraId="76246710" w14:textId="77777777" w:rsidR="00F4284C" w:rsidRPr="00154588" w:rsidRDefault="00F4284C" w:rsidP="008C12B4">
            <w:pPr>
              <w:jc w:val="both"/>
              <w:rPr>
                <w:bCs/>
                <w:sz w:val="20"/>
                <w:szCs w:val="20"/>
              </w:rPr>
            </w:pPr>
          </w:p>
          <w:p w14:paraId="35D4D4EC" w14:textId="5EA0F658" w:rsidR="00F4284C" w:rsidRPr="00154588" w:rsidRDefault="00F4284C" w:rsidP="008C12B4">
            <w:pPr>
              <w:jc w:val="both"/>
              <w:rPr>
                <w:bCs/>
                <w:sz w:val="20"/>
                <w:szCs w:val="20"/>
              </w:rPr>
            </w:pPr>
            <w:r w:rsidRPr="00154588">
              <w:rPr>
                <w:bCs/>
                <w:sz w:val="20"/>
                <w:szCs w:val="20"/>
              </w:rPr>
              <w:t xml:space="preserve">(b) pentru a menține o încredere suficientă a pieței în instituția aflată în rezoluție sau în instituția-punte, ținând cont de eventualele datorii care ar putea fi generate în viitor de evenimente incerte sau datorii cu exigibilitate sau valoare incertă care nu au fost reduse sau convertite, și pentru a permite instituției respective să îndeplinească în continuare, timp de cel puțin un an, condițiile de autorizare și să continue să </w:t>
            </w:r>
            <w:r w:rsidRPr="00154588">
              <w:rPr>
                <w:bCs/>
                <w:sz w:val="20"/>
                <w:szCs w:val="20"/>
              </w:rPr>
              <w:lastRenderedPageBreak/>
              <w:t>desfășoare activitățile pentru care a fost autorizată în temeiul Directivei 2013/36/UE sau al Directivei 2014/65/UE</w:t>
            </w:r>
          </w:p>
          <w:p w14:paraId="325C5BED" w14:textId="77777777" w:rsidR="00E46FC4" w:rsidRPr="00154588" w:rsidRDefault="00E46FC4" w:rsidP="008C12B4">
            <w:pPr>
              <w:jc w:val="both"/>
              <w:rPr>
                <w:bCs/>
                <w:sz w:val="20"/>
                <w:szCs w:val="20"/>
              </w:rPr>
            </w:pPr>
          </w:p>
          <w:p w14:paraId="584B8D87" w14:textId="648CADA4" w:rsidR="00F4284C" w:rsidRPr="00154588" w:rsidRDefault="00E46FC4" w:rsidP="008C12B4">
            <w:pPr>
              <w:jc w:val="both"/>
              <w:rPr>
                <w:bCs/>
                <w:sz w:val="20"/>
                <w:szCs w:val="20"/>
              </w:rPr>
            </w:pPr>
            <w:r w:rsidRPr="00154588">
              <w:rPr>
                <w:bCs/>
                <w:sz w:val="20"/>
                <w:szCs w:val="20"/>
              </w:rPr>
              <w:t>Atunci când autorităţile de rezoluţie intenţionează să folosească instrumentul de separare a activelor menţionat la articolul 42, valoarea cu care trebuie reduse  datoriile care pot face obiectul recapitalizării interne  va ţine seama de o estimare prudentă a necesităţilor de fonduri proprii ale vehiculului de gestionare a activelor, după caz.</w:t>
            </w:r>
          </w:p>
        </w:tc>
        <w:tc>
          <w:tcPr>
            <w:tcW w:w="4819" w:type="dxa"/>
          </w:tcPr>
          <w:p w14:paraId="0BD832FA" w14:textId="60177E0F" w:rsidR="00F4284C" w:rsidRPr="00154588" w:rsidRDefault="00F4284C" w:rsidP="008C12B4">
            <w:pPr>
              <w:jc w:val="both"/>
              <w:rPr>
                <w:bCs/>
                <w:sz w:val="20"/>
                <w:szCs w:val="20"/>
              </w:rPr>
            </w:pPr>
            <w:r w:rsidRPr="00154588">
              <w:rPr>
                <w:b/>
                <w:bCs/>
                <w:sz w:val="20"/>
                <w:szCs w:val="20"/>
              </w:rPr>
              <w:lastRenderedPageBreak/>
              <w:t>Articolul 172.</w:t>
            </w:r>
            <w:r w:rsidRPr="00154588">
              <w:rPr>
                <w:bCs/>
                <w:sz w:val="20"/>
                <w:szCs w:val="20"/>
              </w:rPr>
              <w:t xml:space="preserve"> – (1) Evaluarea prevăzută la art.171 stabileşte cuantumul cu care trebuie reduse sau convertite datoriile care pot face obiectul recapitalizării interne în următoarele scopuri:</w:t>
            </w:r>
          </w:p>
          <w:p w14:paraId="4A0C947E" w14:textId="77777777" w:rsidR="00F4284C" w:rsidRPr="00154588" w:rsidRDefault="00F4284C" w:rsidP="008C12B4">
            <w:pPr>
              <w:jc w:val="both"/>
              <w:rPr>
                <w:bCs/>
                <w:sz w:val="20"/>
                <w:szCs w:val="20"/>
              </w:rPr>
            </w:pPr>
          </w:p>
          <w:p w14:paraId="6ABDB6A3" w14:textId="21C379E6" w:rsidR="00F4284C" w:rsidRPr="00154588" w:rsidRDefault="00F4284C" w:rsidP="008C12B4">
            <w:pPr>
              <w:jc w:val="both"/>
              <w:rPr>
                <w:bCs/>
                <w:sz w:val="20"/>
                <w:szCs w:val="20"/>
              </w:rPr>
            </w:pPr>
            <w:r w:rsidRPr="00154588">
              <w:rPr>
                <w:bCs/>
                <w:sz w:val="20"/>
                <w:szCs w:val="20"/>
              </w:rPr>
              <w:t>a)pentru a restabili rata fondurilor proprii de nivelul 1 de bază ale institu</w:t>
            </w:r>
            <w:r w:rsidRPr="00154588">
              <w:rPr>
                <w:bCs/>
                <w:sz w:val="20"/>
                <w:szCs w:val="20"/>
                <w:lang w:val="ro-MD"/>
              </w:rPr>
              <w:t>ției</w:t>
            </w:r>
            <w:r w:rsidRPr="00154588" w:rsidDel="00105696">
              <w:rPr>
                <w:bCs/>
                <w:sz w:val="20"/>
                <w:szCs w:val="20"/>
              </w:rPr>
              <w:t xml:space="preserve"> </w:t>
            </w:r>
            <w:r w:rsidRPr="00154588">
              <w:rPr>
                <w:bCs/>
                <w:sz w:val="20"/>
                <w:szCs w:val="20"/>
              </w:rPr>
              <w:t>de credit aflate în rezoluţie sau, după caz, pentru a asigura rata fondurilor proprii de nivelul 1 de bază pentru institu</w:t>
            </w:r>
            <w:r w:rsidRPr="00154588">
              <w:rPr>
                <w:bCs/>
                <w:sz w:val="20"/>
                <w:szCs w:val="20"/>
                <w:lang w:val="ro-MD"/>
              </w:rPr>
              <w:t>ția</w:t>
            </w:r>
            <w:r w:rsidRPr="00154588" w:rsidDel="00105696">
              <w:rPr>
                <w:bCs/>
                <w:sz w:val="20"/>
                <w:szCs w:val="20"/>
              </w:rPr>
              <w:t xml:space="preserve"> </w:t>
            </w:r>
            <w:r w:rsidRPr="00154588">
              <w:rPr>
                <w:bCs/>
                <w:sz w:val="20"/>
                <w:szCs w:val="20"/>
              </w:rPr>
              <w:t>-punte, ţinînd seama de  finanțarea rezoluţiei efectuate  în temeiul art.301 alin.(1) lit.d);</w:t>
            </w:r>
          </w:p>
          <w:p w14:paraId="6F36AA4E" w14:textId="77777777" w:rsidR="00F4284C" w:rsidRPr="00154588" w:rsidRDefault="00F4284C" w:rsidP="008C12B4">
            <w:pPr>
              <w:jc w:val="both"/>
              <w:rPr>
                <w:bCs/>
                <w:sz w:val="20"/>
                <w:szCs w:val="20"/>
              </w:rPr>
            </w:pPr>
          </w:p>
          <w:p w14:paraId="4F547848" w14:textId="166C96E5" w:rsidR="00F4284C" w:rsidRPr="00154588" w:rsidRDefault="00F4284C" w:rsidP="008C12B4">
            <w:pPr>
              <w:jc w:val="both"/>
              <w:rPr>
                <w:bCs/>
                <w:sz w:val="20"/>
                <w:szCs w:val="20"/>
              </w:rPr>
            </w:pPr>
            <w:r w:rsidRPr="00154588">
              <w:rPr>
                <w:bCs/>
                <w:sz w:val="20"/>
                <w:szCs w:val="20"/>
              </w:rPr>
              <w:t>b) pentru a menţine o încredere suficientă a pieţei în institu</w:t>
            </w:r>
            <w:r w:rsidRPr="00154588">
              <w:rPr>
                <w:bCs/>
                <w:sz w:val="20"/>
                <w:szCs w:val="20"/>
                <w:lang w:val="ro-MD"/>
              </w:rPr>
              <w:t xml:space="preserve">ția de credit </w:t>
            </w:r>
            <w:r w:rsidRPr="00154588">
              <w:rPr>
                <w:bCs/>
                <w:sz w:val="20"/>
                <w:szCs w:val="20"/>
              </w:rPr>
              <w:t>aflată în rezoluţiei sau în institu</w:t>
            </w:r>
            <w:r w:rsidRPr="00154588">
              <w:rPr>
                <w:bCs/>
                <w:sz w:val="20"/>
                <w:szCs w:val="20"/>
                <w:lang w:val="ro-MD"/>
              </w:rPr>
              <w:t>ția</w:t>
            </w:r>
            <w:r w:rsidRPr="00154588">
              <w:rPr>
                <w:bCs/>
                <w:sz w:val="20"/>
                <w:szCs w:val="20"/>
              </w:rPr>
              <w:t xml:space="preserve">-punte, ținând cont de eventualele datorii care ar putea fi generate în viitor de evenimente incerte sau datorii cu exigibilitate sau valoare incertă care nu au fost reduse sau convertite şi pentru a permite acesteia să îndeplinească în continuare, pe o perioadă de cel puţin un an, condiţiile de autorizare şi să îşi desfăşoare în continuare activităţile pentru </w:t>
            </w:r>
            <w:r w:rsidRPr="00154588">
              <w:rPr>
                <w:bCs/>
                <w:sz w:val="20"/>
                <w:szCs w:val="20"/>
              </w:rPr>
              <w:lastRenderedPageBreak/>
              <w:t>care a fost autorizată în conformitate cu Legea nr.202/2017 și a Legii nr.171/2012 privind piața de capital .</w:t>
            </w:r>
          </w:p>
          <w:p w14:paraId="59E7E44A" w14:textId="77777777" w:rsidR="00E46FC4" w:rsidRPr="00154588" w:rsidRDefault="00E46FC4" w:rsidP="008C12B4">
            <w:pPr>
              <w:ind w:firstLine="568"/>
              <w:jc w:val="both"/>
              <w:rPr>
                <w:bCs/>
                <w:sz w:val="24"/>
                <w:szCs w:val="24"/>
              </w:rPr>
            </w:pPr>
            <w:r w:rsidRPr="00154588">
              <w:rPr>
                <w:bCs/>
                <w:sz w:val="24"/>
                <w:szCs w:val="24"/>
              </w:rPr>
              <w:t>(2) Atunci când Banca Naţională a Moldovei, în calitate de autoritate de rezoluţie, intenţionează să folosească instrumentul de separare a activelor prevăzut la art. 138-150, valoarea cu care trebuie reduse datoriile care pot face obiectul recapitalizării interne va ţine seama de o estimare prudentă a necesarului de capital al vehiculului de administrare a activelor, după caz.</w:t>
            </w:r>
          </w:p>
          <w:p w14:paraId="2DB280E5" w14:textId="77777777" w:rsidR="00F4284C" w:rsidRPr="00154588" w:rsidRDefault="00F4284C" w:rsidP="008C12B4">
            <w:pPr>
              <w:jc w:val="both"/>
              <w:rPr>
                <w:bCs/>
                <w:sz w:val="20"/>
                <w:szCs w:val="20"/>
              </w:rPr>
            </w:pPr>
          </w:p>
          <w:p w14:paraId="2E0B57F6" w14:textId="77777777" w:rsidR="00E46FC4" w:rsidRPr="00154588" w:rsidRDefault="00E46FC4" w:rsidP="008C12B4">
            <w:pPr>
              <w:jc w:val="center"/>
              <w:rPr>
                <w:sz w:val="20"/>
                <w:szCs w:val="20"/>
              </w:rPr>
            </w:pPr>
          </w:p>
        </w:tc>
        <w:tc>
          <w:tcPr>
            <w:tcW w:w="2552" w:type="dxa"/>
          </w:tcPr>
          <w:p w14:paraId="4C930B60" w14:textId="53A0356D"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4028302D" w14:textId="77777777" w:rsidR="00F4284C" w:rsidRPr="00154588" w:rsidRDefault="00F4284C" w:rsidP="008C12B4">
            <w:pPr>
              <w:jc w:val="both"/>
              <w:rPr>
                <w:bCs/>
                <w:sz w:val="20"/>
                <w:szCs w:val="20"/>
              </w:rPr>
            </w:pPr>
          </w:p>
        </w:tc>
      </w:tr>
      <w:tr w:rsidR="00F4284C" w:rsidRPr="00154588" w14:paraId="58D720BB" w14:textId="77777777" w:rsidTr="00D15C1B">
        <w:trPr>
          <w:jc w:val="center"/>
        </w:trPr>
        <w:tc>
          <w:tcPr>
            <w:tcW w:w="4957" w:type="dxa"/>
            <w:gridSpan w:val="2"/>
          </w:tcPr>
          <w:p w14:paraId="6B23C6E1" w14:textId="220A9B44" w:rsidR="00F4284C" w:rsidRPr="00154588" w:rsidRDefault="00F4284C" w:rsidP="008C12B4">
            <w:pPr>
              <w:jc w:val="both"/>
              <w:rPr>
                <w:bCs/>
                <w:sz w:val="20"/>
                <w:szCs w:val="20"/>
              </w:rPr>
            </w:pPr>
            <w:r w:rsidRPr="00154588">
              <w:rPr>
                <w:bCs/>
                <w:sz w:val="20"/>
                <w:szCs w:val="20"/>
              </w:rPr>
              <w:t>(3)   Atunci când capitalul a fost redus în conformitate cu articolele 59-62 și recapitalizarea internă a fost aplicată în temeiul articolului 43 alineatul (2) și se constată că nivelul reducerii valorii contabile pe baza evaluării preliminare menționate la articolul 36 depășește cerințele atunci când este evaluat definitiv în conformitate cu articolul 36 alineatul (10), ar trebui să se aplice un mecanism de majorare a valorii contabile pentru a rambursa creditorii și apoi acționarii, atât cât este necesar.</w:t>
            </w:r>
          </w:p>
        </w:tc>
        <w:tc>
          <w:tcPr>
            <w:tcW w:w="4819" w:type="dxa"/>
          </w:tcPr>
          <w:p w14:paraId="236ECEE2" w14:textId="3A0183E3" w:rsidR="00F4284C" w:rsidRPr="00154588" w:rsidRDefault="00F4284C" w:rsidP="008C12B4">
            <w:pPr>
              <w:jc w:val="both"/>
              <w:rPr>
                <w:bCs/>
                <w:sz w:val="20"/>
                <w:szCs w:val="20"/>
              </w:rPr>
            </w:pPr>
            <w:r w:rsidRPr="00154588">
              <w:rPr>
                <w:b/>
                <w:bCs/>
                <w:sz w:val="20"/>
                <w:szCs w:val="20"/>
              </w:rPr>
              <w:t>Articolul 173.</w:t>
            </w:r>
            <w:r w:rsidRPr="00154588">
              <w:rPr>
                <w:bCs/>
                <w:sz w:val="20"/>
                <w:szCs w:val="20"/>
              </w:rPr>
              <w:t xml:space="preserve"> – În cazul în care capitalul a fost redus în conformitate cu prevederile art.219-230</w:t>
            </w:r>
            <w:r w:rsidRPr="00154588">
              <w:rPr>
                <w:bCs/>
                <w:sz w:val="20"/>
                <w:szCs w:val="20"/>
                <w:vertAlign w:val="superscript"/>
              </w:rPr>
              <w:t>2</w:t>
            </w:r>
            <w:r w:rsidRPr="00154588">
              <w:rPr>
                <w:bCs/>
                <w:sz w:val="20"/>
                <w:szCs w:val="20"/>
              </w:rPr>
              <w:t>, iar recapitalizarea internă a fost aplicată în temeiul art.152 şi se constată că nivelul reducerii valorii contabile aplicate în baza evaluării preliminare prevăzute la art.72-84 este superior celui necesar, luînd în considerare evaluarea definitivă realizată în conformitate cu prevederile art.81, Banca Naţională a Moldovei, în calitate de autoritate de rezoluţie, poate aplica un mecanism de majorare a valorii contabile</w:t>
            </w:r>
            <w:r w:rsidR="002C6E66" w:rsidRPr="00154588">
              <w:rPr>
                <w:bCs/>
                <w:sz w:val="20"/>
                <w:szCs w:val="20"/>
              </w:rPr>
              <w:t xml:space="preserve"> a</w:t>
            </w:r>
            <w:r w:rsidRPr="00154588">
              <w:rPr>
                <w:bCs/>
                <w:sz w:val="20"/>
                <w:szCs w:val="20"/>
              </w:rPr>
              <w:t xml:space="preserve"> creanţelor creditorilor şi, ulterior, ale acţionarilor, pînă la nivelul necesar.</w:t>
            </w:r>
          </w:p>
          <w:p w14:paraId="292E079D" w14:textId="77777777" w:rsidR="00F4284C" w:rsidRPr="00154588" w:rsidRDefault="00F4284C" w:rsidP="008C12B4">
            <w:pPr>
              <w:jc w:val="both"/>
              <w:rPr>
                <w:bCs/>
                <w:sz w:val="20"/>
                <w:szCs w:val="20"/>
              </w:rPr>
            </w:pPr>
          </w:p>
        </w:tc>
        <w:tc>
          <w:tcPr>
            <w:tcW w:w="2552" w:type="dxa"/>
          </w:tcPr>
          <w:p w14:paraId="65F3ED8E" w14:textId="723996C4" w:rsidR="00F4284C" w:rsidRPr="00154588" w:rsidRDefault="00F4284C" w:rsidP="008C12B4">
            <w:pPr>
              <w:jc w:val="both"/>
              <w:rPr>
                <w:bCs/>
                <w:sz w:val="20"/>
                <w:szCs w:val="20"/>
              </w:rPr>
            </w:pPr>
            <w:r w:rsidRPr="00154588">
              <w:rPr>
                <w:bCs/>
                <w:sz w:val="20"/>
                <w:szCs w:val="20"/>
              </w:rPr>
              <w:t>Compatibil</w:t>
            </w:r>
          </w:p>
        </w:tc>
        <w:tc>
          <w:tcPr>
            <w:tcW w:w="3118" w:type="dxa"/>
          </w:tcPr>
          <w:p w14:paraId="59ED4F7B" w14:textId="77777777" w:rsidR="00F4284C" w:rsidRPr="00154588" w:rsidRDefault="00F4284C" w:rsidP="008C12B4">
            <w:pPr>
              <w:jc w:val="both"/>
              <w:rPr>
                <w:bCs/>
                <w:sz w:val="20"/>
                <w:szCs w:val="20"/>
              </w:rPr>
            </w:pPr>
          </w:p>
        </w:tc>
      </w:tr>
      <w:tr w:rsidR="00F4284C" w:rsidRPr="00154588" w14:paraId="5C696AE4" w14:textId="77777777" w:rsidTr="00D15C1B">
        <w:trPr>
          <w:jc w:val="center"/>
        </w:trPr>
        <w:tc>
          <w:tcPr>
            <w:tcW w:w="4957" w:type="dxa"/>
            <w:gridSpan w:val="2"/>
          </w:tcPr>
          <w:p w14:paraId="0A772E51" w14:textId="20A50FE9" w:rsidR="00F4284C" w:rsidRPr="00154588" w:rsidRDefault="00F4284C" w:rsidP="008C12B4">
            <w:pPr>
              <w:jc w:val="both"/>
              <w:rPr>
                <w:bCs/>
                <w:sz w:val="20"/>
                <w:szCs w:val="20"/>
              </w:rPr>
            </w:pPr>
            <w:r w:rsidRPr="00154588">
              <w:rPr>
                <w:bCs/>
                <w:sz w:val="20"/>
                <w:szCs w:val="20"/>
              </w:rPr>
              <w:t>(4) Cerințele menționate la articolul 45b alineatele (4) și (7) și la articolul 45c alineatele (5) și (6), după caz, nu se aplică pentru o perioadă de trei ani de la data la care entitatea de rezoluție sau grupul din care face parte entitatea de rezoluție a fost identificat ca fiind o G-SII ori o G-SII din afara UE sau de la data la care entitatea de rezoluție începe să se găsească în situația menționată la articolul 45c alineatul (5) sau (6)</w:t>
            </w:r>
          </w:p>
        </w:tc>
        <w:tc>
          <w:tcPr>
            <w:tcW w:w="4819" w:type="dxa"/>
          </w:tcPr>
          <w:p w14:paraId="2857590B" w14:textId="0D77ACA3" w:rsidR="00F4284C" w:rsidRPr="00154588" w:rsidRDefault="00F4284C" w:rsidP="008C12B4">
            <w:pPr>
              <w:jc w:val="both"/>
              <w:rPr>
                <w:bCs/>
                <w:sz w:val="20"/>
                <w:szCs w:val="20"/>
              </w:rPr>
            </w:pPr>
            <w:r w:rsidRPr="00154588">
              <w:rPr>
                <w:b/>
                <w:bCs/>
                <w:sz w:val="20"/>
                <w:szCs w:val="20"/>
              </w:rPr>
              <w:t>Articolul 174.</w:t>
            </w:r>
            <w:r w:rsidRPr="00154588">
              <w:rPr>
                <w:bCs/>
                <w:sz w:val="20"/>
                <w:szCs w:val="20"/>
              </w:rPr>
              <w:t xml:space="preserve"> – Cerințele menționate la art.165</w:t>
            </w:r>
            <w:r w:rsidRPr="00154588">
              <w:rPr>
                <w:bCs/>
                <w:sz w:val="20"/>
                <w:szCs w:val="20"/>
                <w:vertAlign w:val="superscript"/>
              </w:rPr>
              <w:t>3</w:t>
            </w:r>
            <w:r w:rsidRPr="00154588">
              <w:rPr>
                <w:bCs/>
                <w:sz w:val="20"/>
                <w:szCs w:val="20"/>
              </w:rPr>
              <w:t xml:space="preserve"> și 165</w:t>
            </w:r>
            <w:r w:rsidRPr="00154588">
              <w:rPr>
                <w:bCs/>
                <w:sz w:val="20"/>
                <w:szCs w:val="20"/>
                <w:vertAlign w:val="superscript"/>
              </w:rPr>
              <w:t>6</w:t>
            </w:r>
            <w:r w:rsidRPr="00154588">
              <w:rPr>
                <w:bCs/>
                <w:sz w:val="20"/>
                <w:szCs w:val="20"/>
              </w:rPr>
              <w:t xml:space="preserve">  și la art.167</w:t>
            </w:r>
            <w:r w:rsidRPr="00154588">
              <w:rPr>
                <w:bCs/>
                <w:sz w:val="20"/>
                <w:szCs w:val="20"/>
                <w:vertAlign w:val="superscript"/>
              </w:rPr>
              <w:t>7</w:t>
            </w:r>
            <w:r w:rsidRPr="00154588">
              <w:rPr>
                <w:bCs/>
                <w:sz w:val="20"/>
                <w:szCs w:val="20"/>
              </w:rPr>
              <w:t xml:space="preserve"> și 167</w:t>
            </w:r>
            <w:r w:rsidRPr="00154588">
              <w:rPr>
                <w:bCs/>
                <w:sz w:val="20"/>
                <w:szCs w:val="20"/>
                <w:vertAlign w:val="superscript"/>
              </w:rPr>
              <w:t>8</w:t>
            </w:r>
            <w:r w:rsidRPr="00154588">
              <w:rPr>
                <w:bCs/>
                <w:sz w:val="20"/>
                <w:szCs w:val="20"/>
              </w:rPr>
              <w:t>, după caz, nu se aplică pentru o perioadă de trei ani de la data la care entitatea de rezoluție sau grupul din care face parte entitatea de rezoluție a fost identificat ca fiind o G-SII ori o G-SII din afara UE sau de la data la care entitatea de rezoluție începe să se găsească în situația menționată la art.167</w:t>
            </w:r>
            <w:r w:rsidRPr="00154588">
              <w:rPr>
                <w:bCs/>
                <w:sz w:val="20"/>
                <w:szCs w:val="20"/>
                <w:vertAlign w:val="superscript"/>
              </w:rPr>
              <w:t>7</w:t>
            </w:r>
            <w:r w:rsidRPr="00154588">
              <w:rPr>
                <w:bCs/>
                <w:sz w:val="20"/>
                <w:szCs w:val="20"/>
              </w:rPr>
              <w:t xml:space="preserve"> sau 167</w:t>
            </w:r>
            <w:r w:rsidRPr="00154588">
              <w:rPr>
                <w:bCs/>
                <w:sz w:val="20"/>
                <w:szCs w:val="20"/>
                <w:vertAlign w:val="superscript"/>
              </w:rPr>
              <w:t>8.</w:t>
            </w:r>
            <w:r w:rsidRPr="00154588">
              <w:rPr>
                <w:bCs/>
                <w:sz w:val="20"/>
                <w:szCs w:val="20"/>
              </w:rPr>
              <w:t>.</w:t>
            </w:r>
            <w:r w:rsidRPr="00154588">
              <w:rPr>
                <w:bCs/>
                <w:sz w:val="20"/>
                <w:szCs w:val="20"/>
                <w:vertAlign w:val="superscript"/>
              </w:rPr>
              <w:t xml:space="preserve"> </w:t>
            </w:r>
          </w:p>
        </w:tc>
        <w:tc>
          <w:tcPr>
            <w:tcW w:w="2552" w:type="dxa"/>
          </w:tcPr>
          <w:p w14:paraId="21C0DF07" w14:textId="2659CE6C" w:rsidR="00F4284C" w:rsidRPr="00154588" w:rsidRDefault="00F4284C" w:rsidP="008C12B4">
            <w:pPr>
              <w:jc w:val="both"/>
              <w:rPr>
                <w:bCs/>
                <w:sz w:val="20"/>
                <w:szCs w:val="20"/>
              </w:rPr>
            </w:pPr>
            <w:r w:rsidRPr="00154588">
              <w:rPr>
                <w:bCs/>
                <w:sz w:val="20"/>
                <w:szCs w:val="20"/>
              </w:rPr>
              <w:t>Compatibil</w:t>
            </w:r>
          </w:p>
        </w:tc>
        <w:tc>
          <w:tcPr>
            <w:tcW w:w="3118" w:type="dxa"/>
          </w:tcPr>
          <w:p w14:paraId="7F38C9E9" w14:textId="77777777" w:rsidR="00F4284C" w:rsidRPr="00154588" w:rsidRDefault="00F4284C" w:rsidP="008C12B4">
            <w:pPr>
              <w:jc w:val="both"/>
              <w:rPr>
                <w:bCs/>
                <w:sz w:val="20"/>
                <w:szCs w:val="20"/>
              </w:rPr>
            </w:pPr>
          </w:p>
        </w:tc>
      </w:tr>
      <w:tr w:rsidR="00F4284C" w:rsidRPr="00154588" w14:paraId="3B6C04EF" w14:textId="77777777" w:rsidTr="00D15C1B">
        <w:trPr>
          <w:jc w:val="center"/>
        </w:trPr>
        <w:tc>
          <w:tcPr>
            <w:tcW w:w="4957" w:type="dxa"/>
            <w:gridSpan w:val="2"/>
          </w:tcPr>
          <w:p w14:paraId="49773666" w14:textId="77777777" w:rsidR="00F4284C" w:rsidRPr="00154588" w:rsidRDefault="00F4284C" w:rsidP="008C12B4">
            <w:pPr>
              <w:jc w:val="both"/>
              <w:rPr>
                <w:b/>
                <w:sz w:val="20"/>
                <w:szCs w:val="20"/>
              </w:rPr>
            </w:pPr>
            <w:r w:rsidRPr="00154588">
              <w:rPr>
                <w:b/>
                <w:sz w:val="20"/>
                <w:szCs w:val="20"/>
              </w:rPr>
              <w:t>Articolul 47</w:t>
            </w:r>
          </w:p>
          <w:p w14:paraId="7D6EB580" w14:textId="77777777" w:rsidR="00F4284C" w:rsidRPr="00154588" w:rsidRDefault="00F4284C" w:rsidP="008C12B4">
            <w:pPr>
              <w:jc w:val="both"/>
              <w:rPr>
                <w:b/>
                <w:sz w:val="20"/>
                <w:szCs w:val="20"/>
              </w:rPr>
            </w:pPr>
          </w:p>
          <w:p w14:paraId="112ECF0D" w14:textId="1B35F686" w:rsidR="00F4284C" w:rsidRPr="00154588" w:rsidRDefault="00F4284C" w:rsidP="008C12B4">
            <w:pPr>
              <w:jc w:val="both"/>
              <w:rPr>
                <w:bCs/>
                <w:sz w:val="20"/>
                <w:szCs w:val="20"/>
              </w:rPr>
            </w:pPr>
            <w:r w:rsidRPr="00154588">
              <w:rPr>
                <w:b/>
                <w:sz w:val="20"/>
                <w:szCs w:val="20"/>
              </w:rPr>
              <w:t>Tratamentul acționarilor în cadrul recapitalizării interne sau al reducerii valorii contabile sau al conversiei instrumentelor de capital</w:t>
            </w:r>
          </w:p>
        </w:tc>
        <w:tc>
          <w:tcPr>
            <w:tcW w:w="4819" w:type="dxa"/>
          </w:tcPr>
          <w:p w14:paraId="1B44D831" w14:textId="77777777" w:rsidR="00F4284C" w:rsidRPr="00154588" w:rsidRDefault="00F4284C" w:rsidP="008C12B4">
            <w:pPr>
              <w:jc w:val="both"/>
              <w:rPr>
                <w:bCs/>
                <w:sz w:val="20"/>
                <w:szCs w:val="20"/>
              </w:rPr>
            </w:pPr>
          </w:p>
        </w:tc>
        <w:tc>
          <w:tcPr>
            <w:tcW w:w="2552" w:type="dxa"/>
          </w:tcPr>
          <w:p w14:paraId="50A95F67" w14:textId="77777777" w:rsidR="00F4284C" w:rsidRPr="00154588" w:rsidRDefault="00F4284C" w:rsidP="008C12B4">
            <w:pPr>
              <w:jc w:val="both"/>
              <w:rPr>
                <w:bCs/>
                <w:sz w:val="20"/>
                <w:szCs w:val="20"/>
              </w:rPr>
            </w:pPr>
          </w:p>
        </w:tc>
        <w:tc>
          <w:tcPr>
            <w:tcW w:w="3118" w:type="dxa"/>
          </w:tcPr>
          <w:p w14:paraId="0CBDD195" w14:textId="77777777" w:rsidR="00F4284C" w:rsidRPr="00154588" w:rsidRDefault="00F4284C" w:rsidP="008C12B4">
            <w:pPr>
              <w:jc w:val="both"/>
              <w:rPr>
                <w:bCs/>
                <w:sz w:val="20"/>
                <w:szCs w:val="20"/>
              </w:rPr>
            </w:pPr>
          </w:p>
        </w:tc>
      </w:tr>
      <w:tr w:rsidR="00F4284C" w:rsidRPr="00154588" w14:paraId="0F7587B8" w14:textId="77777777" w:rsidTr="00D15C1B">
        <w:trPr>
          <w:jc w:val="center"/>
        </w:trPr>
        <w:tc>
          <w:tcPr>
            <w:tcW w:w="4957" w:type="dxa"/>
            <w:gridSpan w:val="2"/>
          </w:tcPr>
          <w:p w14:paraId="562153CC" w14:textId="77777777" w:rsidR="00F4284C" w:rsidRPr="00154588" w:rsidRDefault="00F4284C" w:rsidP="008C12B4">
            <w:pPr>
              <w:jc w:val="both"/>
              <w:rPr>
                <w:bCs/>
                <w:sz w:val="20"/>
                <w:szCs w:val="20"/>
              </w:rPr>
            </w:pPr>
            <w:r w:rsidRPr="00154588">
              <w:rPr>
                <w:bCs/>
                <w:sz w:val="20"/>
                <w:szCs w:val="20"/>
              </w:rPr>
              <w:t xml:space="preserve">(1)   Statele membre se asigură că, la aplicarea instrumentului de recapitalizare internă de la articolul 43 alineatul (2) sau la reducerea valorii contabile sau </w:t>
            </w:r>
            <w:r w:rsidRPr="00154588">
              <w:rPr>
                <w:bCs/>
                <w:sz w:val="20"/>
                <w:szCs w:val="20"/>
              </w:rPr>
              <w:lastRenderedPageBreak/>
              <w:t>la conversia instrumentelor de capital de la articolul 59, autoritățile de rezoluție iau, în ceea ce-i privește pe acționari și pe deținătorii altor instrumente de proprietate, cel puțin una dintre următoarele măsuri:</w:t>
            </w:r>
          </w:p>
          <w:p w14:paraId="4BBC7652" w14:textId="77777777" w:rsidR="00F4284C" w:rsidRPr="00154588" w:rsidRDefault="00F4284C" w:rsidP="008C12B4">
            <w:pPr>
              <w:jc w:val="both"/>
              <w:rPr>
                <w:bCs/>
                <w:sz w:val="20"/>
                <w:szCs w:val="20"/>
              </w:rPr>
            </w:pPr>
          </w:p>
          <w:p w14:paraId="4A417223" w14:textId="77777777" w:rsidR="00F4284C" w:rsidRPr="00154588" w:rsidRDefault="00F4284C" w:rsidP="008C12B4">
            <w:pPr>
              <w:pStyle w:val="a7"/>
              <w:numPr>
                <w:ilvl w:val="0"/>
                <w:numId w:val="4"/>
              </w:numPr>
              <w:ind w:left="34" w:firstLine="0"/>
              <w:jc w:val="both"/>
              <w:rPr>
                <w:rFonts w:cs="Times New Roman"/>
                <w:bCs/>
                <w:sz w:val="20"/>
                <w:szCs w:val="20"/>
                <w:lang w:val="pt-BR"/>
              </w:rPr>
            </w:pPr>
            <w:r w:rsidRPr="00154588">
              <w:rPr>
                <w:rFonts w:cs="Times New Roman"/>
                <w:bCs/>
                <w:sz w:val="20"/>
                <w:szCs w:val="20"/>
                <w:lang w:val="pt-BR"/>
              </w:rPr>
              <w:t>anulează acțiunile sau alte instrumente de proprietate existente sau le transferă:</w:t>
            </w:r>
            <w:r w:rsidRPr="00154588">
              <w:rPr>
                <w:rFonts w:eastAsia="Times New Roman" w:cs="Times New Roman"/>
                <w:kern w:val="0"/>
                <w:lang w:val="ro-RO"/>
                <w14:ligatures w14:val="none"/>
              </w:rPr>
              <w:t xml:space="preserve"> </w:t>
            </w:r>
          </w:p>
          <w:p w14:paraId="2A698997" w14:textId="2DD021BA" w:rsidR="00F4284C" w:rsidRPr="00154588" w:rsidRDefault="00F4284C" w:rsidP="008C12B4">
            <w:pPr>
              <w:pStyle w:val="a7"/>
              <w:numPr>
                <w:ilvl w:val="0"/>
                <w:numId w:val="5"/>
              </w:numPr>
              <w:ind w:left="34" w:firstLine="0"/>
              <w:jc w:val="both"/>
              <w:rPr>
                <w:rFonts w:cs="Times New Roman"/>
                <w:bCs/>
                <w:sz w:val="20"/>
                <w:szCs w:val="20"/>
                <w:lang w:val="ro-RO"/>
              </w:rPr>
            </w:pPr>
            <w:r w:rsidRPr="00154588">
              <w:rPr>
                <w:rFonts w:cs="Times New Roman"/>
                <w:bCs/>
                <w:sz w:val="20"/>
                <w:szCs w:val="20"/>
                <w:lang w:val="ro-RO"/>
              </w:rPr>
              <w:t xml:space="preserve">creditorilor ale căror creanțe sunt convertite în acțiuni sau în alte tipuri de instrumente de capital; </w:t>
            </w:r>
          </w:p>
          <w:p w14:paraId="78BE8AE4" w14:textId="40E33893" w:rsidR="00F4284C" w:rsidRPr="00154588" w:rsidRDefault="00F4284C" w:rsidP="008C12B4">
            <w:pPr>
              <w:pStyle w:val="a7"/>
              <w:numPr>
                <w:ilvl w:val="0"/>
                <w:numId w:val="5"/>
              </w:numPr>
              <w:ind w:left="34" w:firstLine="0"/>
              <w:jc w:val="both"/>
              <w:rPr>
                <w:rFonts w:cs="Times New Roman"/>
                <w:sz w:val="20"/>
                <w:szCs w:val="20"/>
                <w:lang w:val="ro-RO"/>
              </w:rPr>
            </w:pPr>
            <w:r w:rsidRPr="00154588">
              <w:rPr>
                <w:rFonts w:cs="Times New Roman"/>
                <w:sz w:val="20"/>
                <w:szCs w:val="20"/>
                <w:lang w:val="ro-RO"/>
              </w:rPr>
              <w:t xml:space="preserve">cumpărătorului, atunci când aplică prezentul alineat în combinație cu instrumentul de vânzare a activității, sau </w:t>
            </w:r>
          </w:p>
          <w:p w14:paraId="12E6DA18" w14:textId="31572F4E" w:rsidR="00F4284C" w:rsidRPr="00154588" w:rsidRDefault="00F4284C" w:rsidP="008C12B4">
            <w:pPr>
              <w:ind w:left="34"/>
              <w:jc w:val="both"/>
              <w:rPr>
                <w:sz w:val="20"/>
                <w:szCs w:val="20"/>
              </w:rPr>
            </w:pPr>
            <w:r w:rsidRPr="00154588">
              <w:rPr>
                <w:bCs/>
                <w:sz w:val="20"/>
                <w:szCs w:val="20"/>
              </w:rPr>
              <w:t>(iii) unei instituții-punte, atunci când aplică prezentul alineat în combinație cu instrumentul instituției-punte</w:t>
            </w:r>
          </w:p>
          <w:p w14:paraId="16891794" w14:textId="3CD732A5" w:rsidR="00F4284C" w:rsidRPr="00154588" w:rsidRDefault="00F4284C" w:rsidP="008C12B4">
            <w:pPr>
              <w:ind w:left="34"/>
              <w:jc w:val="both"/>
              <w:rPr>
                <w:bCs/>
                <w:sz w:val="20"/>
                <w:szCs w:val="20"/>
              </w:rPr>
            </w:pPr>
          </w:p>
          <w:p w14:paraId="245A575E" w14:textId="77777777" w:rsidR="00F4284C" w:rsidRPr="00154588" w:rsidRDefault="00F4284C" w:rsidP="008C12B4">
            <w:pPr>
              <w:jc w:val="both"/>
              <w:rPr>
                <w:bCs/>
                <w:sz w:val="20"/>
                <w:szCs w:val="20"/>
              </w:rPr>
            </w:pPr>
          </w:p>
          <w:p w14:paraId="16FB5BFA" w14:textId="20C2DEB5" w:rsidR="00F4284C" w:rsidRPr="00154588" w:rsidRDefault="00F4284C" w:rsidP="008C12B4">
            <w:pPr>
              <w:jc w:val="both"/>
              <w:rPr>
                <w:bCs/>
                <w:sz w:val="20"/>
                <w:szCs w:val="20"/>
              </w:rPr>
            </w:pPr>
            <w:r w:rsidRPr="00154588">
              <w:rPr>
                <w:bCs/>
                <w:sz w:val="20"/>
                <w:szCs w:val="20"/>
              </w:rPr>
              <w:t>(b) cu condiția ca, în conformitate cu evaluarea efectuată în temeiul articolului 36, instituția aflată în rezoluție să aibă o valoare netă pozitivă, diluează acționarii existenți și deținătorii altor instrumente de proprietate ca urmare a conversiei în acțiuni și alte instrumente de proprietate a:</w:t>
            </w:r>
          </w:p>
          <w:p w14:paraId="44044236" w14:textId="77777777" w:rsidR="00F4284C" w:rsidRPr="00154588" w:rsidRDefault="00F4284C" w:rsidP="008C12B4">
            <w:pPr>
              <w:jc w:val="both"/>
              <w:rPr>
                <w:bCs/>
                <w:sz w:val="20"/>
                <w:szCs w:val="20"/>
              </w:rPr>
            </w:pPr>
          </w:p>
          <w:p w14:paraId="59E1DE89" w14:textId="26BEAE32" w:rsidR="00F4284C" w:rsidRPr="00154588" w:rsidRDefault="00F4284C" w:rsidP="008C12B4">
            <w:pPr>
              <w:jc w:val="both"/>
              <w:rPr>
                <w:bCs/>
                <w:sz w:val="20"/>
                <w:szCs w:val="20"/>
              </w:rPr>
            </w:pPr>
            <w:r w:rsidRPr="00154588">
              <w:rPr>
                <w:bCs/>
                <w:sz w:val="20"/>
                <w:szCs w:val="20"/>
              </w:rPr>
              <w:t>(i) instrumentelor de capital relevante și datoriilor eligibile in conformitate cu articolul 59, emise de instituția aflată în rezoluție în temeiul competenței menționate la articolul 59 alineatul (2); sau</w:t>
            </w:r>
          </w:p>
          <w:p w14:paraId="49230237" w14:textId="77777777" w:rsidR="00F4284C" w:rsidRPr="00154588" w:rsidRDefault="00F4284C" w:rsidP="008C12B4">
            <w:pPr>
              <w:jc w:val="both"/>
              <w:rPr>
                <w:bCs/>
                <w:sz w:val="20"/>
                <w:szCs w:val="20"/>
              </w:rPr>
            </w:pPr>
          </w:p>
          <w:p w14:paraId="5489EA3B" w14:textId="6D38BE53" w:rsidR="00F4284C" w:rsidRPr="00154588" w:rsidRDefault="00F4284C" w:rsidP="008C12B4">
            <w:pPr>
              <w:jc w:val="both"/>
              <w:rPr>
                <w:bCs/>
                <w:sz w:val="20"/>
                <w:szCs w:val="20"/>
              </w:rPr>
            </w:pPr>
            <w:r w:rsidRPr="00154588">
              <w:rPr>
                <w:bCs/>
                <w:sz w:val="20"/>
                <w:szCs w:val="20"/>
              </w:rPr>
              <w:t>(ii) datoriilor care pot face obiectul recapitalizării interne emise de instituția aflată în rezoluție în temeiul competenței menționate la articolul 63 alineatul (1) litera (f).</w:t>
            </w:r>
          </w:p>
          <w:p w14:paraId="49EBB30C" w14:textId="77777777" w:rsidR="00F4284C" w:rsidRPr="00154588" w:rsidRDefault="00F4284C" w:rsidP="008C12B4">
            <w:pPr>
              <w:jc w:val="both"/>
              <w:rPr>
                <w:bCs/>
                <w:sz w:val="20"/>
                <w:szCs w:val="20"/>
              </w:rPr>
            </w:pPr>
          </w:p>
          <w:p w14:paraId="0215B11C" w14:textId="7240B67D" w:rsidR="00F4284C" w:rsidRPr="00154588" w:rsidRDefault="00F4284C" w:rsidP="008C12B4">
            <w:pPr>
              <w:jc w:val="both"/>
              <w:rPr>
                <w:bCs/>
                <w:sz w:val="20"/>
                <w:szCs w:val="20"/>
              </w:rPr>
            </w:pPr>
            <w:r w:rsidRPr="00154588">
              <w:rPr>
                <w:bCs/>
                <w:sz w:val="20"/>
                <w:szCs w:val="20"/>
              </w:rPr>
              <w:t>În ceea ce privește litera (b) al primului paragraf, conversia este efectuată la o rată de conversie care diluează semnificativ deținerile existente de acțiuni și alte instrumente de proprietate.</w:t>
            </w:r>
          </w:p>
        </w:tc>
        <w:tc>
          <w:tcPr>
            <w:tcW w:w="4819" w:type="dxa"/>
          </w:tcPr>
          <w:p w14:paraId="5DF2A72A" w14:textId="77777777" w:rsidR="00F4284C" w:rsidRPr="00154588" w:rsidRDefault="00F4284C" w:rsidP="008C12B4">
            <w:pPr>
              <w:jc w:val="both"/>
              <w:rPr>
                <w:bCs/>
                <w:sz w:val="20"/>
                <w:szCs w:val="20"/>
              </w:rPr>
            </w:pPr>
            <w:r w:rsidRPr="00154588">
              <w:rPr>
                <w:b/>
                <w:bCs/>
                <w:sz w:val="20"/>
                <w:szCs w:val="20"/>
              </w:rPr>
              <w:lastRenderedPageBreak/>
              <w:t>Articolul 175.</w:t>
            </w:r>
            <w:r w:rsidRPr="00154588">
              <w:rPr>
                <w:bCs/>
                <w:sz w:val="20"/>
                <w:szCs w:val="20"/>
              </w:rPr>
              <w:t xml:space="preserve"> – (1) Atunci cînd aplică instrumentul de recapitalizare internă, potrivit art.152, ori reducerea valorii sau conversia instrumentelor de </w:t>
            </w:r>
            <w:r w:rsidRPr="00154588">
              <w:rPr>
                <w:bCs/>
                <w:sz w:val="20"/>
                <w:szCs w:val="20"/>
              </w:rPr>
              <w:lastRenderedPageBreak/>
              <w:t>capital, potrivit art.219-225, Banca Naţională a Moldovei, în calitate de autoritate de rezoluţie, ia, în ceea ce îi priveşte pe acţionari şi pe deţinătorii altor instrumente de proprietate, cel puţin una dintre următoarele măsuri:</w:t>
            </w:r>
          </w:p>
          <w:p w14:paraId="0B105AF8" w14:textId="7C2D8E39" w:rsidR="00F4284C" w:rsidRPr="00154588" w:rsidRDefault="00F4284C" w:rsidP="008C12B4">
            <w:pPr>
              <w:jc w:val="both"/>
              <w:rPr>
                <w:bCs/>
                <w:sz w:val="20"/>
                <w:szCs w:val="20"/>
              </w:rPr>
            </w:pPr>
            <w:r w:rsidRPr="00154588">
              <w:rPr>
                <w:bCs/>
                <w:sz w:val="20"/>
                <w:szCs w:val="20"/>
              </w:rPr>
              <w:t>a) anularea acţiunilor sau a altor instrumente de proprietate existente sau transferarea acestora</w:t>
            </w:r>
            <w:r w:rsidR="002C6E66" w:rsidRPr="00154588">
              <w:rPr>
                <w:bCs/>
                <w:sz w:val="20"/>
                <w:szCs w:val="20"/>
              </w:rPr>
              <w:t>:</w:t>
            </w:r>
          </w:p>
          <w:p w14:paraId="4103E77A" w14:textId="5D571E60" w:rsidR="00F4284C" w:rsidRPr="00154588" w:rsidRDefault="00F4284C" w:rsidP="008C12B4">
            <w:pPr>
              <w:pStyle w:val="a7"/>
              <w:numPr>
                <w:ilvl w:val="0"/>
                <w:numId w:val="29"/>
              </w:numPr>
              <w:ind w:left="324" w:hanging="324"/>
              <w:jc w:val="both"/>
              <w:rPr>
                <w:rFonts w:cs="Times New Roman"/>
                <w:bCs/>
                <w:sz w:val="20"/>
                <w:szCs w:val="20"/>
                <w:lang w:val="en-US"/>
              </w:rPr>
            </w:pPr>
            <w:r w:rsidRPr="00154588">
              <w:rPr>
                <w:rFonts w:cs="Times New Roman"/>
                <w:bCs/>
                <w:sz w:val="20"/>
                <w:szCs w:val="20"/>
                <w:lang w:val="en-US"/>
              </w:rPr>
              <w:t>creditorilor ale căror creanțe sunt convertite în acțiuni sau în alte tipuri de instrumente de capital;</w:t>
            </w:r>
          </w:p>
          <w:p w14:paraId="1C14BE7B" w14:textId="7CC85634" w:rsidR="00F4284C" w:rsidRPr="00154588" w:rsidRDefault="00F4284C" w:rsidP="008C12B4">
            <w:pPr>
              <w:pStyle w:val="a7"/>
              <w:numPr>
                <w:ilvl w:val="0"/>
                <w:numId w:val="29"/>
              </w:numPr>
              <w:ind w:left="324" w:hanging="324"/>
              <w:jc w:val="both"/>
              <w:rPr>
                <w:rFonts w:cs="Times New Roman"/>
                <w:bCs/>
                <w:sz w:val="20"/>
                <w:szCs w:val="20"/>
                <w:lang w:val="pt-BR"/>
              </w:rPr>
            </w:pPr>
            <w:r w:rsidRPr="00154588">
              <w:rPr>
                <w:rFonts w:cs="Times New Roman"/>
                <w:bCs/>
                <w:sz w:val="20"/>
                <w:szCs w:val="20"/>
                <w:lang w:val="pt-BR"/>
              </w:rPr>
              <w:t xml:space="preserve">cumpărătorului, atunci când aplică prezentul alineat în combinație cu instrumentul de vânzare a afacerii, sau </w:t>
            </w:r>
          </w:p>
          <w:p w14:paraId="2D10E513" w14:textId="0DC0FB4A" w:rsidR="00F4284C" w:rsidRPr="00154588" w:rsidRDefault="00F4284C" w:rsidP="008C12B4">
            <w:pPr>
              <w:ind w:left="324" w:hanging="324"/>
              <w:jc w:val="both"/>
              <w:rPr>
                <w:sz w:val="20"/>
                <w:szCs w:val="20"/>
                <w:lang w:val="pt-BR"/>
              </w:rPr>
            </w:pPr>
            <w:r w:rsidRPr="00154588">
              <w:rPr>
                <w:bCs/>
                <w:sz w:val="20"/>
                <w:szCs w:val="20"/>
              </w:rPr>
              <w:t>(iii) unei instituții-punte, atunci când aplică prezentul alineat în combinație cu instrumentul instituției-punte.</w:t>
            </w:r>
          </w:p>
          <w:p w14:paraId="668747F6" w14:textId="77777777" w:rsidR="00F4284C" w:rsidRPr="00154588" w:rsidRDefault="00F4284C" w:rsidP="008C12B4">
            <w:pPr>
              <w:jc w:val="both"/>
              <w:rPr>
                <w:bCs/>
                <w:sz w:val="20"/>
                <w:szCs w:val="20"/>
              </w:rPr>
            </w:pPr>
            <w:r w:rsidRPr="00154588">
              <w:rPr>
                <w:bCs/>
                <w:sz w:val="20"/>
                <w:szCs w:val="20"/>
              </w:rPr>
              <w:t>b) dacă instituția supusă rezoluţiei înregistrează o valoare netă pozitivă conform evaluării efectuate în temeiul art.72-84, diluarea deținerii de capital deţinute de acţionarii existenţi şi deţinătorii altor instrumente de proprietate, ca urmare a conversiei în acţiuni şi alte instrumente de proprietate a:</w:t>
            </w:r>
          </w:p>
          <w:p w14:paraId="62B45707" w14:textId="14E77B63" w:rsidR="00F4284C" w:rsidRPr="00154588" w:rsidRDefault="00F4284C" w:rsidP="008C12B4">
            <w:pPr>
              <w:jc w:val="both"/>
              <w:rPr>
                <w:bCs/>
                <w:sz w:val="20"/>
                <w:szCs w:val="20"/>
              </w:rPr>
            </w:pPr>
            <w:r w:rsidRPr="00154588">
              <w:rPr>
                <w:bCs/>
                <w:sz w:val="20"/>
                <w:szCs w:val="20"/>
              </w:rPr>
              <w:t xml:space="preserve">(i) instrumentelor de capital relevante și datoriilor eligibile in conformitate cu art.219-225, emise de instituția de credit supusă rezoluției, în temeiul competenţei prevăzute la art.220, sau </w:t>
            </w:r>
          </w:p>
          <w:p w14:paraId="4DD3F867" w14:textId="0D8B8E91" w:rsidR="00F4284C" w:rsidRPr="00154588" w:rsidRDefault="00F4284C" w:rsidP="008C12B4">
            <w:pPr>
              <w:jc w:val="both"/>
              <w:rPr>
                <w:bCs/>
                <w:sz w:val="20"/>
                <w:szCs w:val="20"/>
              </w:rPr>
            </w:pPr>
            <w:r w:rsidRPr="00154588">
              <w:rPr>
                <w:bCs/>
                <w:sz w:val="20"/>
                <w:szCs w:val="20"/>
              </w:rPr>
              <w:t>(ii) a datoriilor care pot face obiectul recapitalizării interne, emise de instituția supusă rezoluţiei, în temeiul competenţei prevăzute la art.231 alin.(1) lit.f).</w:t>
            </w:r>
          </w:p>
          <w:p w14:paraId="57ED7363" w14:textId="77777777" w:rsidR="00F4284C" w:rsidRPr="00154588" w:rsidRDefault="00F4284C" w:rsidP="008C12B4">
            <w:pPr>
              <w:jc w:val="both"/>
              <w:rPr>
                <w:bCs/>
                <w:sz w:val="20"/>
                <w:szCs w:val="20"/>
              </w:rPr>
            </w:pPr>
            <w:r w:rsidRPr="00154588">
              <w:rPr>
                <w:bCs/>
                <w:sz w:val="20"/>
                <w:szCs w:val="20"/>
              </w:rPr>
              <w:t>(2) Conversia efectuată potrivit prevederilor alin.(1) lit.b) se realizează la o rată de conversie care diluează semnificativ deţinerile existente de acţiuni sau alte instrumente de proprietate.</w:t>
            </w:r>
          </w:p>
          <w:p w14:paraId="262A30EE" w14:textId="77777777" w:rsidR="00F4284C" w:rsidRPr="00154588" w:rsidRDefault="00F4284C" w:rsidP="008C12B4">
            <w:pPr>
              <w:jc w:val="both"/>
              <w:rPr>
                <w:bCs/>
                <w:sz w:val="20"/>
                <w:szCs w:val="20"/>
              </w:rPr>
            </w:pPr>
          </w:p>
        </w:tc>
        <w:tc>
          <w:tcPr>
            <w:tcW w:w="2552" w:type="dxa"/>
          </w:tcPr>
          <w:p w14:paraId="1BD1A04B" w14:textId="63059969"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53FF24E0" w14:textId="77777777" w:rsidR="00F4284C" w:rsidRPr="00154588" w:rsidRDefault="00F4284C" w:rsidP="008C12B4">
            <w:pPr>
              <w:jc w:val="both"/>
              <w:rPr>
                <w:bCs/>
                <w:sz w:val="20"/>
                <w:szCs w:val="20"/>
              </w:rPr>
            </w:pPr>
          </w:p>
        </w:tc>
      </w:tr>
      <w:tr w:rsidR="00F4284C" w:rsidRPr="00154588" w14:paraId="4FFE7FB7" w14:textId="77777777" w:rsidTr="00D15C1B">
        <w:trPr>
          <w:jc w:val="center"/>
        </w:trPr>
        <w:tc>
          <w:tcPr>
            <w:tcW w:w="4957" w:type="dxa"/>
            <w:gridSpan w:val="2"/>
          </w:tcPr>
          <w:p w14:paraId="1816448E" w14:textId="77777777" w:rsidR="00F4284C" w:rsidRPr="00154588" w:rsidRDefault="00F4284C" w:rsidP="008C12B4">
            <w:pPr>
              <w:jc w:val="both"/>
              <w:rPr>
                <w:bCs/>
                <w:sz w:val="20"/>
                <w:szCs w:val="20"/>
              </w:rPr>
            </w:pPr>
            <w:r w:rsidRPr="00154588">
              <w:rPr>
                <w:bCs/>
                <w:sz w:val="20"/>
                <w:szCs w:val="20"/>
              </w:rPr>
              <w:t>(2)   Măsurile menționate la alineatul (1) se aplică referitor la acționarii și deținătorii altor instrumente de proprietate ale căror acțiuni sau alte instrumente de proprietate au fost emise sau acordate în următoarele circumstanțe:</w:t>
            </w:r>
          </w:p>
          <w:p w14:paraId="6058735F" w14:textId="77777777" w:rsidR="00F4284C" w:rsidRPr="00154588" w:rsidRDefault="00F4284C" w:rsidP="008C12B4">
            <w:pPr>
              <w:jc w:val="both"/>
              <w:rPr>
                <w:bCs/>
                <w:sz w:val="20"/>
                <w:szCs w:val="20"/>
              </w:rPr>
            </w:pPr>
          </w:p>
          <w:p w14:paraId="114FB66E" w14:textId="77777777" w:rsidR="00F4284C" w:rsidRPr="00154588" w:rsidRDefault="00F4284C" w:rsidP="008C12B4">
            <w:pPr>
              <w:jc w:val="both"/>
              <w:rPr>
                <w:bCs/>
                <w:sz w:val="20"/>
                <w:szCs w:val="20"/>
              </w:rPr>
            </w:pPr>
          </w:p>
          <w:p w14:paraId="1AFC2096" w14:textId="6A6FDC04" w:rsidR="00F4284C" w:rsidRPr="00154588" w:rsidRDefault="00F4284C" w:rsidP="008C12B4">
            <w:pPr>
              <w:jc w:val="both"/>
              <w:rPr>
                <w:bCs/>
                <w:sz w:val="20"/>
                <w:szCs w:val="20"/>
              </w:rPr>
            </w:pPr>
            <w:r w:rsidRPr="00154588">
              <w:rPr>
                <w:bCs/>
                <w:sz w:val="20"/>
                <w:szCs w:val="20"/>
              </w:rPr>
              <w:lastRenderedPageBreak/>
              <w:t>(a) ca urmare a conversiei unor instrumente de datorie în acțiuni sau în alte instrumente de proprietate în conformitate cu clauzele contractuale ale instrumentelor inițiale de datorie, efectuată cu ocazia producerii unui eveniment care a precedat sau care a avut loc în același timp cu evaluarea autorității de rezoluție potrivit căreia instituția sau entitatea menționată la articolul 1 alineatul (1) litera (b), (c) sau (d) îndeplinea condițiile de declanșare a unei proceduri de rezoluție;</w:t>
            </w:r>
          </w:p>
          <w:p w14:paraId="557AD503" w14:textId="77777777" w:rsidR="00F4284C" w:rsidRPr="00154588" w:rsidRDefault="00F4284C" w:rsidP="008C12B4">
            <w:pPr>
              <w:jc w:val="both"/>
              <w:rPr>
                <w:bCs/>
                <w:sz w:val="20"/>
                <w:szCs w:val="20"/>
              </w:rPr>
            </w:pPr>
          </w:p>
          <w:p w14:paraId="610CA236" w14:textId="0BBD3B76" w:rsidR="00F4284C" w:rsidRPr="00154588" w:rsidRDefault="00F4284C" w:rsidP="008C12B4">
            <w:pPr>
              <w:jc w:val="both"/>
              <w:rPr>
                <w:bCs/>
                <w:sz w:val="20"/>
                <w:szCs w:val="20"/>
              </w:rPr>
            </w:pPr>
            <w:r w:rsidRPr="00154588">
              <w:rPr>
                <w:bCs/>
                <w:sz w:val="20"/>
                <w:szCs w:val="20"/>
              </w:rPr>
              <w:t>(b) ca urmare a conversiei instrumentelor de capital relevante în instrumentele de fonduri proprii de nivel 1 de bază, în conformitate cu articolul 60.</w:t>
            </w:r>
          </w:p>
        </w:tc>
        <w:tc>
          <w:tcPr>
            <w:tcW w:w="4819" w:type="dxa"/>
          </w:tcPr>
          <w:p w14:paraId="7C722593" w14:textId="77777777" w:rsidR="00F4284C" w:rsidRPr="00154588" w:rsidRDefault="00F4284C" w:rsidP="008C12B4">
            <w:pPr>
              <w:jc w:val="both"/>
              <w:rPr>
                <w:bCs/>
                <w:sz w:val="20"/>
                <w:szCs w:val="20"/>
              </w:rPr>
            </w:pPr>
            <w:r w:rsidRPr="00154588">
              <w:rPr>
                <w:b/>
                <w:bCs/>
                <w:sz w:val="20"/>
                <w:szCs w:val="20"/>
              </w:rPr>
              <w:lastRenderedPageBreak/>
              <w:t>Articolul 176.</w:t>
            </w:r>
            <w:r w:rsidRPr="00154588">
              <w:rPr>
                <w:bCs/>
                <w:sz w:val="20"/>
                <w:szCs w:val="20"/>
              </w:rPr>
              <w:t xml:space="preserve"> – Măsurile prevăzute la art.175 se aplică, de asemenea, cu privire la acţionarii şi deţinătorii altor instrumente de proprietate ale căror acţiuni sau alte instrumente de proprietate au fost emise sau acordate în următoarele circumstanţe:</w:t>
            </w:r>
          </w:p>
          <w:p w14:paraId="42187B14" w14:textId="77777777" w:rsidR="00F4284C" w:rsidRPr="00154588" w:rsidRDefault="00F4284C" w:rsidP="008C12B4">
            <w:pPr>
              <w:jc w:val="both"/>
              <w:rPr>
                <w:bCs/>
                <w:sz w:val="20"/>
                <w:szCs w:val="20"/>
              </w:rPr>
            </w:pPr>
            <w:r w:rsidRPr="00154588">
              <w:rPr>
                <w:bCs/>
                <w:sz w:val="20"/>
                <w:szCs w:val="20"/>
              </w:rPr>
              <w:t xml:space="preserve">a) ca urmare a conversiei unor instrumente de datorie în acţiuni sau în alte instrumente de proprietate, în conformitate cu clauzele contractuale </w:t>
            </w:r>
            <w:r w:rsidRPr="00154588">
              <w:rPr>
                <w:bCs/>
                <w:sz w:val="20"/>
                <w:szCs w:val="20"/>
              </w:rPr>
              <w:lastRenderedPageBreak/>
              <w:t>ale instrumentelor de datorie iniţiale, efectuată cu ocazia producerii unui eveniment care a precedat sau care a avut loc în acelaşi timp cu evaluarea realizată de Banca Naţională a Moldovei, în calitate de autoritate de rezoluţie, potrivit căreia instituția de credit sau entitatea menționată la art.1 alin.(1) lit.b), c) sau d) îndeplinea condiţiile de declanşare a procedurii de rezoluţie; sau</w:t>
            </w:r>
          </w:p>
          <w:p w14:paraId="403696CA" w14:textId="77777777" w:rsidR="00F4284C" w:rsidRPr="00154588" w:rsidRDefault="00F4284C" w:rsidP="008C12B4">
            <w:pPr>
              <w:jc w:val="both"/>
              <w:rPr>
                <w:bCs/>
                <w:sz w:val="20"/>
                <w:szCs w:val="20"/>
              </w:rPr>
            </w:pPr>
            <w:r w:rsidRPr="00154588">
              <w:rPr>
                <w:bCs/>
                <w:sz w:val="20"/>
                <w:szCs w:val="20"/>
              </w:rPr>
              <w:t>b) ca urmare a conversiei instrumentelor de capital relevante în instrumente de fonduri proprii de nivelul 1 de bază, în conformitate cu prevederile art.226-230.</w:t>
            </w:r>
          </w:p>
          <w:p w14:paraId="7626E995" w14:textId="77777777" w:rsidR="00F4284C" w:rsidRPr="00154588" w:rsidRDefault="00F4284C" w:rsidP="008C12B4">
            <w:pPr>
              <w:jc w:val="both"/>
              <w:rPr>
                <w:bCs/>
                <w:sz w:val="20"/>
                <w:szCs w:val="20"/>
              </w:rPr>
            </w:pPr>
          </w:p>
        </w:tc>
        <w:tc>
          <w:tcPr>
            <w:tcW w:w="2552" w:type="dxa"/>
          </w:tcPr>
          <w:p w14:paraId="07D9E795" w14:textId="45337B14"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4D95F3E1" w14:textId="77777777" w:rsidR="00F4284C" w:rsidRPr="00154588" w:rsidRDefault="00F4284C" w:rsidP="008C12B4">
            <w:pPr>
              <w:jc w:val="both"/>
              <w:rPr>
                <w:bCs/>
                <w:sz w:val="20"/>
                <w:szCs w:val="20"/>
              </w:rPr>
            </w:pPr>
          </w:p>
        </w:tc>
      </w:tr>
      <w:tr w:rsidR="00F4284C" w:rsidRPr="00154588" w14:paraId="7F00FC3A" w14:textId="77777777" w:rsidTr="00D15C1B">
        <w:trPr>
          <w:jc w:val="center"/>
        </w:trPr>
        <w:tc>
          <w:tcPr>
            <w:tcW w:w="4957" w:type="dxa"/>
            <w:gridSpan w:val="2"/>
          </w:tcPr>
          <w:p w14:paraId="32B8357F" w14:textId="77777777" w:rsidR="00F4284C" w:rsidRPr="00154588" w:rsidRDefault="00F4284C" w:rsidP="008C12B4">
            <w:pPr>
              <w:tabs>
                <w:tab w:val="left" w:pos="1080"/>
              </w:tabs>
              <w:jc w:val="both"/>
              <w:rPr>
                <w:bCs/>
                <w:sz w:val="20"/>
                <w:szCs w:val="20"/>
              </w:rPr>
            </w:pPr>
            <w:r w:rsidRPr="00154588">
              <w:rPr>
                <w:bCs/>
                <w:sz w:val="20"/>
                <w:szCs w:val="20"/>
              </w:rPr>
              <w:t>(3)   Atunci când examinează măsurile de luat în conformitate cu alineatul (1), autoritățile de rezoluție au în vedere:</w:t>
            </w:r>
          </w:p>
          <w:p w14:paraId="04BE571D" w14:textId="77777777" w:rsidR="00F4284C" w:rsidRPr="00154588" w:rsidRDefault="00F4284C" w:rsidP="008C12B4">
            <w:pPr>
              <w:tabs>
                <w:tab w:val="left" w:pos="1080"/>
              </w:tabs>
              <w:jc w:val="both"/>
              <w:rPr>
                <w:bCs/>
                <w:sz w:val="20"/>
                <w:szCs w:val="20"/>
              </w:rPr>
            </w:pPr>
          </w:p>
          <w:p w14:paraId="64898BE5" w14:textId="77777777" w:rsidR="00F4284C" w:rsidRPr="00154588" w:rsidRDefault="00F4284C" w:rsidP="008C12B4">
            <w:pPr>
              <w:tabs>
                <w:tab w:val="left" w:pos="1080"/>
              </w:tabs>
              <w:jc w:val="both"/>
              <w:rPr>
                <w:bCs/>
                <w:sz w:val="20"/>
                <w:szCs w:val="20"/>
              </w:rPr>
            </w:pPr>
          </w:p>
          <w:p w14:paraId="0EB5F992" w14:textId="28EC1A6C" w:rsidR="00F4284C" w:rsidRPr="00154588" w:rsidRDefault="00F4284C" w:rsidP="008C12B4">
            <w:pPr>
              <w:tabs>
                <w:tab w:val="left" w:pos="1080"/>
              </w:tabs>
              <w:jc w:val="both"/>
              <w:rPr>
                <w:bCs/>
                <w:sz w:val="20"/>
                <w:szCs w:val="20"/>
              </w:rPr>
            </w:pPr>
            <w:r w:rsidRPr="00154588">
              <w:rPr>
                <w:bCs/>
                <w:sz w:val="20"/>
                <w:szCs w:val="20"/>
              </w:rPr>
              <w:t>(a) evaluarea efectuată în conformitate cu articolul 36;</w:t>
            </w:r>
          </w:p>
          <w:p w14:paraId="76341F9E" w14:textId="77777777" w:rsidR="00F4284C" w:rsidRPr="00154588" w:rsidRDefault="00F4284C" w:rsidP="008C12B4">
            <w:pPr>
              <w:tabs>
                <w:tab w:val="left" w:pos="1080"/>
              </w:tabs>
              <w:jc w:val="both"/>
              <w:rPr>
                <w:bCs/>
                <w:sz w:val="20"/>
                <w:szCs w:val="20"/>
              </w:rPr>
            </w:pPr>
          </w:p>
          <w:p w14:paraId="50567F56" w14:textId="2210D29B" w:rsidR="00F4284C" w:rsidRPr="00154588" w:rsidRDefault="00F4284C" w:rsidP="008C12B4">
            <w:pPr>
              <w:tabs>
                <w:tab w:val="left" w:pos="1080"/>
              </w:tabs>
              <w:jc w:val="both"/>
              <w:rPr>
                <w:bCs/>
                <w:sz w:val="20"/>
                <w:szCs w:val="20"/>
              </w:rPr>
            </w:pPr>
            <w:r w:rsidRPr="00154588">
              <w:rPr>
                <w:bCs/>
                <w:sz w:val="20"/>
                <w:szCs w:val="20"/>
              </w:rPr>
              <w:t>(b) cuantumul cu care autoritatea de rezoluție a evaluat că instrumentele de fonduri proprii de nivel 1 de bază trebuie să fie reduse și instrumentele de capital relevante trebuie reduse sau convertite în temeiul artioclului 60 alineatul (1); și</w:t>
            </w:r>
          </w:p>
          <w:p w14:paraId="215FD6DE" w14:textId="77777777" w:rsidR="00F4284C" w:rsidRPr="00154588" w:rsidRDefault="00F4284C" w:rsidP="008C12B4">
            <w:pPr>
              <w:tabs>
                <w:tab w:val="left" w:pos="1080"/>
              </w:tabs>
              <w:jc w:val="both"/>
              <w:rPr>
                <w:bCs/>
                <w:sz w:val="20"/>
                <w:szCs w:val="20"/>
              </w:rPr>
            </w:pPr>
          </w:p>
          <w:p w14:paraId="77DDD696" w14:textId="4F37930A" w:rsidR="00F4284C" w:rsidRPr="00154588" w:rsidRDefault="00F4284C" w:rsidP="008C12B4">
            <w:pPr>
              <w:tabs>
                <w:tab w:val="left" w:pos="1080"/>
              </w:tabs>
              <w:jc w:val="both"/>
              <w:rPr>
                <w:bCs/>
                <w:sz w:val="20"/>
                <w:szCs w:val="20"/>
              </w:rPr>
            </w:pPr>
            <w:r w:rsidRPr="00154588">
              <w:rPr>
                <w:bCs/>
                <w:sz w:val="20"/>
                <w:szCs w:val="20"/>
              </w:rPr>
              <w:t>(c) cuantumul agregat evaluat de autoritatea de rezoluție în temeiul articolului 46.</w:t>
            </w:r>
          </w:p>
        </w:tc>
        <w:tc>
          <w:tcPr>
            <w:tcW w:w="4819" w:type="dxa"/>
          </w:tcPr>
          <w:p w14:paraId="4EC6BA26" w14:textId="77777777" w:rsidR="00F4284C" w:rsidRPr="00154588" w:rsidRDefault="00F4284C" w:rsidP="008C12B4">
            <w:pPr>
              <w:jc w:val="both"/>
              <w:rPr>
                <w:bCs/>
                <w:sz w:val="20"/>
                <w:szCs w:val="20"/>
              </w:rPr>
            </w:pPr>
            <w:r w:rsidRPr="00154588">
              <w:rPr>
                <w:b/>
                <w:bCs/>
                <w:sz w:val="20"/>
                <w:szCs w:val="20"/>
              </w:rPr>
              <w:t>Articolul 177.</w:t>
            </w:r>
            <w:r w:rsidRPr="00154588">
              <w:rPr>
                <w:bCs/>
                <w:sz w:val="20"/>
                <w:szCs w:val="20"/>
              </w:rPr>
              <w:t xml:space="preserve"> – La stabilirea măsurilor de întreprins în conformitate cu prevederile art.175, Banca Naţională a Moldovei, în calitate de autoritate de rezoluţie, are în vedere:</w:t>
            </w:r>
          </w:p>
          <w:p w14:paraId="38E01879" w14:textId="77777777" w:rsidR="00F4284C" w:rsidRPr="00154588" w:rsidRDefault="00F4284C" w:rsidP="008C12B4">
            <w:pPr>
              <w:jc w:val="both"/>
              <w:rPr>
                <w:bCs/>
                <w:sz w:val="20"/>
                <w:szCs w:val="20"/>
              </w:rPr>
            </w:pPr>
            <w:r w:rsidRPr="00154588">
              <w:rPr>
                <w:bCs/>
                <w:sz w:val="20"/>
                <w:szCs w:val="20"/>
              </w:rPr>
              <w:t>a) evaluarea efectuată în conformitate cu prevederile art.72-84;</w:t>
            </w:r>
          </w:p>
          <w:p w14:paraId="0817BD8A" w14:textId="77777777" w:rsidR="00F4284C" w:rsidRPr="00154588" w:rsidRDefault="00F4284C" w:rsidP="008C12B4">
            <w:pPr>
              <w:jc w:val="both"/>
              <w:rPr>
                <w:bCs/>
                <w:sz w:val="20"/>
                <w:szCs w:val="20"/>
              </w:rPr>
            </w:pPr>
            <w:r w:rsidRPr="00154588">
              <w:rPr>
                <w:bCs/>
                <w:sz w:val="20"/>
                <w:szCs w:val="20"/>
              </w:rPr>
              <w:t>b) cuantumul cu care aceasta a evaluat că elementele de fonduri proprii de nivelul 1 de bază trebuie să fie reduse şi cu care instrumentele de capital relevante trebuie să fie reduse sau convertite în temeiul art.226; şi</w:t>
            </w:r>
          </w:p>
          <w:p w14:paraId="11CF19F9" w14:textId="77777777" w:rsidR="00F4284C" w:rsidRPr="00154588" w:rsidRDefault="00F4284C" w:rsidP="008C12B4">
            <w:pPr>
              <w:jc w:val="both"/>
              <w:rPr>
                <w:bCs/>
                <w:sz w:val="20"/>
                <w:szCs w:val="20"/>
              </w:rPr>
            </w:pPr>
            <w:r w:rsidRPr="00154588">
              <w:rPr>
                <w:bCs/>
                <w:sz w:val="20"/>
                <w:szCs w:val="20"/>
              </w:rPr>
              <w:t>c) suma agregată determinată de aceasta în temeiul art.171-174.</w:t>
            </w:r>
          </w:p>
          <w:p w14:paraId="49AAF27A" w14:textId="77777777" w:rsidR="00F4284C" w:rsidRPr="00154588" w:rsidRDefault="00F4284C" w:rsidP="008C12B4">
            <w:pPr>
              <w:jc w:val="both"/>
              <w:rPr>
                <w:bCs/>
                <w:sz w:val="20"/>
                <w:szCs w:val="20"/>
              </w:rPr>
            </w:pPr>
          </w:p>
        </w:tc>
        <w:tc>
          <w:tcPr>
            <w:tcW w:w="2552" w:type="dxa"/>
          </w:tcPr>
          <w:p w14:paraId="2E6FF125" w14:textId="15DBA134" w:rsidR="00F4284C" w:rsidRPr="00154588" w:rsidRDefault="00F4284C" w:rsidP="008C12B4">
            <w:pPr>
              <w:jc w:val="both"/>
              <w:rPr>
                <w:bCs/>
                <w:sz w:val="20"/>
                <w:szCs w:val="20"/>
              </w:rPr>
            </w:pPr>
            <w:r w:rsidRPr="00154588">
              <w:rPr>
                <w:bCs/>
                <w:sz w:val="20"/>
                <w:szCs w:val="20"/>
              </w:rPr>
              <w:t>Compatibil</w:t>
            </w:r>
          </w:p>
        </w:tc>
        <w:tc>
          <w:tcPr>
            <w:tcW w:w="3118" w:type="dxa"/>
          </w:tcPr>
          <w:p w14:paraId="1782EADE" w14:textId="77777777" w:rsidR="00F4284C" w:rsidRPr="00154588" w:rsidRDefault="00F4284C" w:rsidP="008C12B4">
            <w:pPr>
              <w:jc w:val="both"/>
              <w:rPr>
                <w:bCs/>
                <w:sz w:val="20"/>
                <w:szCs w:val="20"/>
              </w:rPr>
            </w:pPr>
          </w:p>
        </w:tc>
      </w:tr>
      <w:tr w:rsidR="00F4284C" w:rsidRPr="00154588" w14:paraId="61BEC542" w14:textId="77777777" w:rsidTr="00D15C1B">
        <w:trPr>
          <w:jc w:val="center"/>
        </w:trPr>
        <w:tc>
          <w:tcPr>
            <w:tcW w:w="4957" w:type="dxa"/>
            <w:gridSpan w:val="2"/>
          </w:tcPr>
          <w:p w14:paraId="4ED92AB2" w14:textId="4E2D04BA" w:rsidR="00F4284C" w:rsidRPr="00154588" w:rsidRDefault="00F4284C" w:rsidP="008C12B4">
            <w:pPr>
              <w:jc w:val="both"/>
              <w:rPr>
                <w:bCs/>
                <w:sz w:val="20"/>
                <w:szCs w:val="20"/>
              </w:rPr>
            </w:pPr>
            <w:r w:rsidRPr="00154588">
              <w:rPr>
                <w:bCs/>
                <w:sz w:val="20"/>
                <w:szCs w:val="20"/>
              </w:rPr>
              <w:t xml:space="preserve">(4)   Prin derogare de la articolele 22-25 din Directiva 2013/36/UE, de la obligația de comunicare menționată la articolul 26 din Directiva 2013/36/UE, articolul 10 alineatul (3), articolul 11 alineatele (1) și (2) și articolele 12 și 13 din Directiva 2014/65/UE și de la obligația de notificare menționată la articolul 11 alineatul (3) din Directiva 2014/65/UE, în cazul în care aplicarea instrumentului de recapitalizare internă sau a conversiei instrumentelor de capital ar duce la achiziționarea sau sporirea unei participații calificate într-o instituție de tipul celor menționate la articolul 22 alineatul (1) din Directiva 2013/36/UE sau la articolul 11 alineatul (1) din Directiva 2014/65/UE, autoritățile competente efectuează evaluarea necesară în temeiul articolelor respective în timp util, astfel încât să nu întârzie aplicarea instrumentului de </w:t>
            </w:r>
            <w:r w:rsidRPr="00154588">
              <w:rPr>
                <w:bCs/>
                <w:sz w:val="20"/>
                <w:szCs w:val="20"/>
              </w:rPr>
              <w:lastRenderedPageBreak/>
              <w:t>recapitalizare internă sau a conversiei instrumentelor de capital sau să nu împiedice acțiunea de rezoluție să își atingă obiectivele relevante ale rezoluției.</w:t>
            </w:r>
          </w:p>
        </w:tc>
        <w:tc>
          <w:tcPr>
            <w:tcW w:w="4819" w:type="dxa"/>
          </w:tcPr>
          <w:p w14:paraId="0DA92C39" w14:textId="77777777" w:rsidR="00F4284C" w:rsidRPr="00154588" w:rsidRDefault="00F4284C" w:rsidP="008C12B4">
            <w:pPr>
              <w:jc w:val="both"/>
              <w:rPr>
                <w:bCs/>
                <w:sz w:val="20"/>
                <w:szCs w:val="20"/>
              </w:rPr>
            </w:pPr>
            <w:r w:rsidRPr="00154588">
              <w:rPr>
                <w:b/>
                <w:bCs/>
                <w:sz w:val="20"/>
                <w:szCs w:val="20"/>
              </w:rPr>
              <w:lastRenderedPageBreak/>
              <w:t>Articolul 178.</w:t>
            </w:r>
            <w:r w:rsidRPr="00154588">
              <w:rPr>
                <w:bCs/>
                <w:sz w:val="20"/>
                <w:szCs w:val="20"/>
              </w:rPr>
              <w:t xml:space="preserve"> – Prin derogare de la prevederile referitoare la solicitarea aprobării, notificarea înstrăinării şi reducerii deținerii în capitalul social a instituției de credit, şi evaluarea achiziţiilor de dețineri în capitalul social ale instituției de credit, cuprinse la art.45, 47, 48 şi 50 din Legea nr.202/2017 şi de la obligaţia de informare/comunicare prevăzută la art.51 alin.(1) din aceeaşi lege în cazul în care aplicarea instrumentului de recapitalizare internă sau conversia instrumentelor de capital ar conduce la achiziţionarea sau majorarea unei dețineri în capitalul social al instituției</w:t>
            </w:r>
            <w:r w:rsidRPr="00154588" w:rsidDel="00924C45">
              <w:rPr>
                <w:bCs/>
                <w:sz w:val="20"/>
                <w:szCs w:val="20"/>
              </w:rPr>
              <w:t xml:space="preserve"> </w:t>
            </w:r>
            <w:r w:rsidRPr="00154588">
              <w:rPr>
                <w:bCs/>
                <w:sz w:val="20"/>
                <w:szCs w:val="20"/>
              </w:rPr>
              <w:t xml:space="preserve">de credit, de tipul celor prevăzute la art.45 alin.(1) din aceeaşi lege, Banca Naţională a Moldovei, în calitate de autoritate competentă, efectuează evaluarea necesară în </w:t>
            </w:r>
            <w:r w:rsidRPr="00154588">
              <w:rPr>
                <w:bCs/>
                <w:sz w:val="20"/>
                <w:szCs w:val="20"/>
              </w:rPr>
              <w:lastRenderedPageBreak/>
              <w:t>temeiul prevederilor respective în timp util, astfel încît să nu se întîrzie aplicarea instrumentului de recapitalizare internă ori a conversiei instrumentelor de capital sau să nu împiedice acţiunea de rezoluţie să îşi atingă obiectivele relevante privind rezoluţia.</w:t>
            </w:r>
          </w:p>
          <w:p w14:paraId="693A0AA7" w14:textId="77777777" w:rsidR="00F4284C" w:rsidRPr="00154588" w:rsidRDefault="00F4284C" w:rsidP="008C12B4">
            <w:pPr>
              <w:jc w:val="both"/>
              <w:rPr>
                <w:bCs/>
                <w:sz w:val="20"/>
                <w:szCs w:val="20"/>
              </w:rPr>
            </w:pPr>
          </w:p>
        </w:tc>
        <w:tc>
          <w:tcPr>
            <w:tcW w:w="2552" w:type="dxa"/>
          </w:tcPr>
          <w:p w14:paraId="097D5435" w14:textId="25C3FA52"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2814243C" w14:textId="77777777" w:rsidR="00F4284C" w:rsidRPr="00154588" w:rsidRDefault="00F4284C" w:rsidP="008C12B4">
            <w:pPr>
              <w:jc w:val="both"/>
              <w:rPr>
                <w:bCs/>
                <w:sz w:val="20"/>
                <w:szCs w:val="20"/>
              </w:rPr>
            </w:pPr>
          </w:p>
        </w:tc>
      </w:tr>
      <w:tr w:rsidR="00F4284C" w:rsidRPr="00154588" w14:paraId="655C5664" w14:textId="77777777" w:rsidTr="00D15C1B">
        <w:trPr>
          <w:jc w:val="center"/>
        </w:trPr>
        <w:tc>
          <w:tcPr>
            <w:tcW w:w="4957" w:type="dxa"/>
            <w:gridSpan w:val="2"/>
          </w:tcPr>
          <w:p w14:paraId="6A8F9E7B" w14:textId="13B305D5" w:rsidR="00F4284C" w:rsidRPr="00154588" w:rsidRDefault="00F4284C" w:rsidP="008C12B4">
            <w:pPr>
              <w:jc w:val="both"/>
              <w:rPr>
                <w:bCs/>
                <w:sz w:val="20"/>
                <w:szCs w:val="20"/>
              </w:rPr>
            </w:pPr>
            <w:r w:rsidRPr="00154588">
              <w:rPr>
                <w:bCs/>
                <w:sz w:val="20"/>
                <w:szCs w:val="20"/>
              </w:rPr>
              <w:t>(5)   În cazul în care autoritatea competentă a instituției respective nu a finalizat evaluarea necesară în temeiul alineatului (4) la data aplicării instrumentului de recapitalizare internă sau a conversiei instrumentelor de capital, dispozițiile stabilite la articolul 38 alineatul (9) se aplică oricărei achiziții sau sporiri a participației calificate de către un achizitor, rezultată în urma aplicării instrumentului de recapitalizare internă sau a conversiei instrumentelor de capital.</w:t>
            </w:r>
          </w:p>
        </w:tc>
        <w:tc>
          <w:tcPr>
            <w:tcW w:w="4819" w:type="dxa"/>
          </w:tcPr>
          <w:p w14:paraId="30C5C63F" w14:textId="77777777" w:rsidR="00F4284C" w:rsidRPr="00154588" w:rsidRDefault="00F4284C" w:rsidP="008C12B4">
            <w:pPr>
              <w:jc w:val="both"/>
              <w:rPr>
                <w:bCs/>
                <w:sz w:val="20"/>
                <w:szCs w:val="20"/>
              </w:rPr>
            </w:pPr>
            <w:r w:rsidRPr="00154588">
              <w:rPr>
                <w:b/>
                <w:bCs/>
                <w:sz w:val="20"/>
                <w:szCs w:val="20"/>
              </w:rPr>
              <w:t>Articolul 179.</w:t>
            </w:r>
            <w:r w:rsidRPr="00154588">
              <w:rPr>
                <w:bCs/>
                <w:sz w:val="20"/>
                <w:szCs w:val="20"/>
              </w:rPr>
              <w:t xml:space="preserve"> – În cazul în care Banca Naţională a Moldovei, în calitate de autoritate competentă a unei instituții de credit, nu a finalizat evaluarea necesară în temeiul art.178 la data aplicării instrumentului de recapitalizare internă sau a conversiei instrumentelor de capital, dispoziţiile art.102 se aplică oricărei achiziţii sau majorări a unei dețineri în capitalul social al instituției de credit, rezultată în urma aplicării instrumentului de recapitalizare internă sau a conversiei instrumentelor de capital.</w:t>
            </w:r>
          </w:p>
          <w:p w14:paraId="31239EFF" w14:textId="77777777" w:rsidR="00F4284C" w:rsidRPr="00154588" w:rsidRDefault="00F4284C" w:rsidP="008C12B4">
            <w:pPr>
              <w:jc w:val="both"/>
              <w:rPr>
                <w:bCs/>
                <w:sz w:val="20"/>
                <w:szCs w:val="20"/>
              </w:rPr>
            </w:pPr>
          </w:p>
        </w:tc>
        <w:tc>
          <w:tcPr>
            <w:tcW w:w="2552" w:type="dxa"/>
          </w:tcPr>
          <w:p w14:paraId="5161723F" w14:textId="560441DC" w:rsidR="00F4284C" w:rsidRPr="00154588" w:rsidRDefault="00F4284C" w:rsidP="008C12B4">
            <w:pPr>
              <w:jc w:val="both"/>
              <w:rPr>
                <w:bCs/>
                <w:sz w:val="20"/>
                <w:szCs w:val="20"/>
              </w:rPr>
            </w:pPr>
            <w:r w:rsidRPr="00154588">
              <w:rPr>
                <w:bCs/>
                <w:sz w:val="20"/>
                <w:szCs w:val="20"/>
              </w:rPr>
              <w:t>Compatibil</w:t>
            </w:r>
          </w:p>
        </w:tc>
        <w:tc>
          <w:tcPr>
            <w:tcW w:w="3118" w:type="dxa"/>
          </w:tcPr>
          <w:p w14:paraId="2268ACDC" w14:textId="77777777" w:rsidR="00F4284C" w:rsidRPr="00154588" w:rsidRDefault="00F4284C" w:rsidP="008C12B4">
            <w:pPr>
              <w:jc w:val="both"/>
              <w:rPr>
                <w:bCs/>
                <w:sz w:val="20"/>
                <w:szCs w:val="20"/>
              </w:rPr>
            </w:pPr>
          </w:p>
        </w:tc>
      </w:tr>
      <w:tr w:rsidR="00F4284C" w:rsidRPr="00154588" w14:paraId="76E33D91" w14:textId="77777777" w:rsidTr="00D15C1B">
        <w:trPr>
          <w:jc w:val="center"/>
        </w:trPr>
        <w:tc>
          <w:tcPr>
            <w:tcW w:w="4957" w:type="dxa"/>
            <w:gridSpan w:val="2"/>
          </w:tcPr>
          <w:p w14:paraId="0D82777C" w14:textId="590AE212" w:rsidR="00F4284C" w:rsidRPr="00154588" w:rsidRDefault="00F4284C" w:rsidP="008C12B4">
            <w:pPr>
              <w:jc w:val="both"/>
              <w:rPr>
                <w:bCs/>
                <w:sz w:val="20"/>
                <w:szCs w:val="20"/>
              </w:rPr>
            </w:pPr>
            <w:r w:rsidRPr="00154588">
              <w:rPr>
                <w:bCs/>
                <w:sz w:val="20"/>
                <w:szCs w:val="20"/>
              </w:rPr>
              <w:t>(6)   Până la 3 iulie 2016, ABE emite orientări, în conformitate cu articolul 16 din Regulamentul (UE) nr. 1093/2010, privind circumstanțele adecvate aplicării fiecăreia dintre măsurile menționate la alineatul (1) din prezentul articol, ținând cont de factorii enumerați la alineatul (3) din prezentul articol.</w:t>
            </w:r>
          </w:p>
        </w:tc>
        <w:tc>
          <w:tcPr>
            <w:tcW w:w="4819" w:type="dxa"/>
          </w:tcPr>
          <w:p w14:paraId="50D47936" w14:textId="77777777" w:rsidR="00F4284C" w:rsidRPr="00154588" w:rsidRDefault="00F4284C" w:rsidP="008C12B4">
            <w:pPr>
              <w:jc w:val="both"/>
              <w:rPr>
                <w:bCs/>
                <w:sz w:val="20"/>
                <w:szCs w:val="20"/>
              </w:rPr>
            </w:pPr>
          </w:p>
        </w:tc>
        <w:tc>
          <w:tcPr>
            <w:tcW w:w="2552" w:type="dxa"/>
          </w:tcPr>
          <w:p w14:paraId="2BD283B5" w14:textId="4432C3C7"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461384E8" w14:textId="65D86F30" w:rsidR="00F4284C" w:rsidRPr="00154588" w:rsidRDefault="00F4284C" w:rsidP="008C12B4">
            <w:pPr>
              <w:jc w:val="both"/>
              <w:rPr>
                <w:bCs/>
                <w:sz w:val="20"/>
                <w:szCs w:val="20"/>
              </w:rPr>
            </w:pPr>
            <w:r w:rsidRPr="00154588">
              <w:rPr>
                <w:bCs/>
                <w:sz w:val="20"/>
                <w:szCs w:val="20"/>
                <w:lang w:val="ro-MD"/>
              </w:rPr>
              <w:t>Prevederi care se referă la atribuțiile de reglementare ale autorităților europene.</w:t>
            </w:r>
          </w:p>
        </w:tc>
      </w:tr>
      <w:tr w:rsidR="00F4284C" w:rsidRPr="00154588" w14:paraId="27EFB34B" w14:textId="77777777" w:rsidTr="00D15C1B">
        <w:trPr>
          <w:jc w:val="center"/>
        </w:trPr>
        <w:tc>
          <w:tcPr>
            <w:tcW w:w="4957" w:type="dxa"/>
            <w:gridSpan w:val="2"/>
          </w:tcPr>
          <w:p w14:paraId="180FFE3B" w14:textId="77777777" w:rsidR="00F4284C" w:rsidRPr="00154588" w:rsidRDefault="00F4284C" w:rsidP="008C12B4">
            <w:pPr>
              <w:jc w:val="both"/>
              <w:rPr>
                <w:b/>
                <w:sz w:val="20"/>
                <w:szCs w:val="20"/>
              </w:rPr>
            </w:pPr>
            <w:r w:rsidRPr="00154588">
              <w:rPr>
                <w:b/>
                <w:sz w:val="20"/>
                <w:szCs w:val="20"/>
              </w:rPr>
              <w:t>Articolul 48</w:t>
            </w:r>
          </w:p>
          <w:p w14:paraId="3898DEEC" w14:textId="77777777" w:rsidR="00F4284C" w:rsidRPr="00154588" w:rsidRDefault="00F4284C" w:rsidP="008C12B4">
            <w:pPr>
              <w:jc w:val="both"/>
              <w:rPr>
                <w:b/>
                <w:sz w:val="20"/>
                <w:szCs w:val="20"/>
              </w:rPr>
            </w:pPr>
          </w:p>
          <w:p w14:paraId="478A9A54" w14:textId="5BACD422" w:rsidR="00F4284C" w:rsidRPr="00154588" w:rsidRDefault="00F4284C" w:rsidP="008C12B4">
            <w:pPr>
              <w:jc w:val="both"/>
              <w:rPr>
                <w:b/>
                <w:sz w:val="20"/>
                <w:szCs w:val="20"/>
              </w:rPr>
            </w:pPr>
            <w:r w:rsidRPr="00154588">
              <w:rPr>
                <w:b/>
                <w:sz w:val="20"/>
                <w:szCs w:val="20"/>
              </w:rPr>
              <w:t>Ordinea reducerii valorii contabile și a conversiei</w:t>
            </w:r>
          </w:p>
        </w:tc>
        <w:tc>
          <w:tcPr>
            <w:tcW w:w="4819" w:type="dxa"/>
          </w:tcPr>
          <w:p w14:paraId="1EC7F6E1" w14:textId="77777777" w:rsidR="00F4284C" w:rsidRPr="00154588" w:rsidRDefault="00F4284C" w:rsidP="008C12B4">
            <w:pPr>
              <w:jc w:val="both"/>
              <w:rPr>
                <w:bCs/>
                <w:sz w:val="20"/>
                <w:szCs w:val="20"/>
              </w:rPr>
            </w:pPr>
          </w:p>
        </w:tc>
        <w:tc>
          <w:tcPr>
            <w:tcW w:w="2552" w:type="dxa"/>
          </w:tcPr>
          <w:p w14:paraId="38CA829B" w14:textId="77777777" w:rsidR="00F4284C" w:rsidRPr="00154588" w:rsidRDefault="00F4284C" w:rsidP="008C12B4">
            <w:pPr>
              <w:jc w:val="both"/>
              <w:rPr>
                <w:bCs/>
                <w:sz w:val="20"/>
                <w:szCs w:val="20"/>
              </w:rPr>
            </w:pPr>
          </w:p>
        </w:tc>
        <w:tc>
          <w:tcPr>
            <w:tcW w:w="3118" w:type="dxa"/>
          </w:tcPr>
          <w:p w14:paraId="4C0137D2" w14:textId="77777777" w:rsidR="00F4284C" w:rsidRPr="00154588" w:rsidRDefault="00F4284C" w:rsidP="008C12B4">
            <w:pPr>
              <w:jc w:val="both"/>
              <w:rPr>
                <w:bCs/>
                <w:sz w:val="20"/>
                <w:szCs w:val="20"/>
              </w:rPr>
            </w:pPr>
          </w:p>
        </w:tc>
      </w:tr>
      <w:tr w:rsidR="00F4284C" w:rsidRPr="00154588" w14:paraId="6693FA48" w14:textId="77777777" w:rsidTr="00D15C1B">
        <w:trPr>
          <w:jc w:val="center"/>
        </w:trPr>
        <w:tc>
          <w:tcPr>
            <w:tcW w:w="4957" w:type="dxa"/>
            <w:gridSpan w:val="2"/>
          </w:tcPr>
          <w:p w14:paraId="1024F4D6" w14:textId="77777777" w:rsidR="00F4284C" w:rsidRPr="00154588" w:rsidRDefault="00F4284C" w:rsidP="008C12B4">
            <w:pPr>
              <w:jc w:val="both"/>
              <w:rPr>
                <w:bCs/>
                <w:sz w:val="20"/>
                <w:szCs w:val="20"/>
              </w:rPr>
            </w:pPr>
            <w:r w:rsidRPr="00154588">
              <w:rPr>
                <w:bCs/>
                <w:sz w:val="20"/>
                <w:szCs w:val="20"/>
              </w:rPr>
              <w:t>(1)   Statele membre se asigură că, la aplicarea instrumentului de recapitalizare internă, autoritățile de rezoluție exercită competențele de reducere a valorii contabile și de conversie, sub rezerva oricăror excluderi menționate la articolul 44 alineatele (2) și (3), cu respectarea următoarele cerințe:</w:t>
            </w:r>
          </w:p>
          <w:p w14:paraId="31B3F1C3" w14:textId="77777777" w:rsidR="00F4284C" w:rsidRPr="00154588" w:rsidRDefault="00F4284C" w:rsidP="008C12B4">
            <w:pPr>
              <w:jc w:val="both"/>
              <w:rPr>
                <w:bCs/>
                <w:sz w:val="20"/>
                <w:szCs w:val="20"/>
              </w:rPr>
            </w:pPr>
          </w:p>
          <w:p w14:paraId="202BC19D" w14:textId="69CB276A" w:rsidR="00F4284C" w:rsidRPr="00154588" w:rsidRDefault="00F4284C" w:rsidP="008C12B4">
            <w:pPr>
              <w:jc w:val="both"/>
              <w:rPr>
                <w:bCs/>
                <w:sz w:val="20"/>
                <w:szCs w:val="20"/>
              </w:rPr>
            </w:pPr>
            <w:r w:rsidRPr="00154588">
              <w:rPr>
                <w:bCs/>
                <w:sz w:val="20"/>
                <w:szCs w:val="20"/>
              </w:rPr>
              <w:t>(a) instrumentele de fonduri proprii de nivel 1 de bază sunt reduse în conformitate cu articolul 60 alineatul (1) litera (a);</w:t>
            </w:r>
          </w:p>
          <w:p w14:paraId="49AF697E" w14:textId="77777777" w:rsidR="00F4284C" w:rsidRPr="00154588" w:rsidRDefault="00F4284C" w:rsidP="008C12B4">
            <w:pPr>
              <w:jc w:val="both"/>
              <w:rPr>
                <w:bCs/>
                <w:sz w:val="20"/>
                <w:szCs w:val="20"/>
              </w:rPr>
            </w:pPr>
          </w:p>
          <w:p w14:paraId="5FDC3F7D" w14:textId="7A0AD724" w:rsidR="00F4284C" w:rsidRPr="00154588" w:rsidRDefault="00F4284C" w:rsidP="008C12B4">
            <w:pPr>
              <w:jc w:val="both"/>
              <w:rPr>
                <w:bCs/>
                <w:sz w:val="20"/>
                <w:szCs w:val="20"/>
              </w:rPr>
            </w:pPr>
            <w:r w:rsidRPr="00154588">
              <w:rPr>
                <w:bCs/>
                <w:sz w:val="20"/>
                <w:szCs w:val="20"/>
              </w:rPr>
              <w:t>(b) dacă și numai dacă reducerea totală în temeiul literei (a) este inferioară sumei cuantumulrilor menționate la articolul 47 alineatul (3) literele (b) și (c), autoritățile reduc valoarea contabilă a principalului acelor instrumente de fonduri proprii de nivel 1 suplimentar, în măsura în care este necesar și în limitele capacității acestora;</w:t>
            </w:r>
          </w:p>
          <w:p w14:paraId="1F7C79D3" w14:textId="77777777" w:rsidR="00F4284C" w:rsidRPr="00154588" w:rsidRDefault="00F4284C" w:rsidP="008C12B4">
            <w:pPr>
              <w:jc w:val="both"/>
              <w:rPr>
                <w:bCs/>
                <w:sz w:val="20"/>
                <w:szCs w:val="20"/>
              </w:rPr>
            </w:pPr>
          </w:p>
          <w:p w14:paraId="76DCE6D3" w14:textId="6835FBD4" w:rsidR="00F4284C" w:rsidRPr="00154588" w:rsidRDefault="00F4284C" w:rsidP="008C12B4">
            <w:pPr>
              <w:jc w:val="both"/>
              <w:rPr>
                <w:bCs/>
                <w:sz w:val="20"/>
                <w:szCs w:val="20"/>
              </w:rPr>
            </w:pPr>
            <w:r w:rsidRPr="00154588">
              <w:rPr>
                <w:bCs/>
                <w:sz w:val="20"/>
                <w:szCs w:val="20"/>
              </w:rPr>
              <w:lastRenderedPageBreak/>
              <w:t>(c) dacă și numai dacă reducerea totală în temeiul literelor (a) și (b) este inferioară sumei cuantumulrilor mențioante la articolul 47 alineatul (3) literele (b) și (c), autoritățile reduc valoarea contabilă a principalului acelor instrumente de fonduri proprii de nivel 2, în măsura în care este necesar și în limitele capacității acestora;</w:t>
            </w:r>
          </w:p>
          <w:p w14:paraId="1390291C" w14:textId="77777777" w:rsidR="00F4284C" w:rsidRPr="00154588" w:rsidRDefault="00F4284C" w:rsidP="008C12B4">
            <w:pPr>
              <w:jc w:val="both"/>
              <w:rPr>
                <w:bCs/>
                <w:sz w:val="20"/>
                <w:szCs w:val="20"/>
              </w:rPr>
            </w:pPr>
          </w:p>
          <w:p w14:paraId="6684658E" w14:textId="77777777" w:rsidR="00F4284C" w:rsidRPr="00154588" w:rsidRDefault="00F4284C" w:rsidP="008C12B4">
            <w:pPr>
              <w:jc w:val="both"/>
              <w:rPr>
                <w:bCs/>
                <w:sz w:val="20"/>
                <w:szCs w:val="20"/>
              </w:rPr>
            </w:pPr>
            <w:r w:rsidRPr="00154588">
              <w:rPr>
                <w:bCs/>
                <w:sz w:val="20"/>
                <w:szCs w:val="20"/>
              </w:rPr>
              <w:t>(d) dacă și numai dacă deprecierea totală a acțiunilor sau a altor instrumente de proprietate și a instrumentelor de capital relevante în temeiul literelor (a), (b) și (c) este inferioară sumei cuantumulrilor mențioante la articolul 47 alineatul (3) literele (b) și (c), autoritățile reduc, în măsura în care este necesar, principalul datoriilor subordonate care nu reprezintă instrumente de fonduri proprii de nivel 1 suplimentar sau de nivel 2, în conformitate cu ierarhia creanțelor din procedura obișnuită de insolvență, coroborat cu reducerea valorii contabile prevăzută la literele (a), (b) și (c), pentru a obține cuantumul agregat menționat la la articolul 47 alineatul (3) literele (b) și (c);</w:t>
            </w:r>
          </w:p>
          <w:p w14:paraId="1F3DEDA7" w14:textId="77777777" w:rsidR="00F4284C" w:rsidRPr="00154588" w:rsidRDefault="00F4284C" w:rsidP="008C12B4">
            <w:pPr>
              <w:jc w:val="both"/>
              <w:rPr>
                <w:bCs/>
                <w:sz w:val="20"/>
                <w:szCs w:val="20"/>
              </w:rPr>
            </w:pPr>
          </w:p>
          <w:p w14:paraId="3524CE98" w14:textId="60D601A8" w:rsidR="00F4284C" w:rsidRPr="00154588" w:rsidRDefault="00F4284C" w:rsidP="008C12B4">
            <w:pPr>
              <w:jc w:val="both"/>
              <w:rPr>
                <w:bCs/>
                <w:sz w:val="20"/>
                <w:szCs w:val="20"/>
              </w:rPr>
            </w:pPr>
            <w:r w:rsidRPr="00154588">
              <w:rPr>
                <w:bCs/>
                <w:sz w:val="20"/>
                <w:szCs w:val="20"/>
              </w:rPr>
              <w:t>(e) dacă și numai dacă reducerea totală a valorii acțiunilor sau a altor instrumente de proprietate, a instrumentelor de capital relevante și a datoriilor care pot face obiectul recapitalizării interne în temeiul literelor (a)-(d) de la prezentul alineat este inferioară sumei cuantumurilor menționate la articolul 47 alineatul (3) literele (b) și (c), autoritățile reduc în măsura în care este necesar, conform articolului 44, valoarea principalului sau a sumei de plată restante aferente datoriilor care pot face obiectul recapitalizării interne rămase, inclusiv instrumentelor de datorie menționate la articolul 108 alineatul (3), în conformitate cu ierarhia creanțelor în procedurile obișnuite de insolvență, inclusiv cu ordinea de prioritate a depozitelor prevăzute la articolul 108, în combinație cu reducerea valorii prevăzută la literele (a)-(d) de la prezentul alineat, pentru a obține suma cuantumurilor menționate la articolul 47 alineatul (3) literele (b) și (c).</w:t>
            </w:r>
          </w:p>
        </w:tc>
        <w:tc>
          <w:tcPr>
            <w:tcW w:w="4819" w:type="dxa"/>
          </w:tcPr>
          <w:p w14:paraId="4B35BCEB" w14:textId="77777777" w:rsidR="00F4284C" w:rsidRPr="00154588" w:rsidRDefault="00F4284C" w:rsidP="008C12B4">
            <w:pPr>
              <w:jc w:val="both"/>
              <w:rPr>
                <w:bCs/>
                <w:sz w:val="20"/>
                <w:szCs w:val="20"/>
              </w:rPr>
            </w:pPr>
            <w:r w:rsidRPr="00154588">
              <w:rPr>
                <w:b/>
                <w:bCs/>
                <w:sz w:val="20"/>
                <w:szCs w:val="20"/>
              </w:rPr>
              <w:lastRenderedPageBreak/>
              <w:t>Articolul 180.</w:t>
            </w:r>
            <w:r w:rsidRPr="00154588">
              <w:rPr>
                <w:bCs/>
                <w:sz w:val="20"/>
                <w:szCs w:val="20"/>
              </w:rPr>
              <w:t xml:space="preserve"> – La aplicarea instrumentului de recapitalizare internă, Banca Naţională a Moldovei, în calitate de autoritate de rezoluţie, exercită competenţele de reducere a valorii sau de conversie, cu respectarea oricăror excluderi prevăzute la art.155 – 156 şi cu respectarea următoarelor cerinţe:</w:t>
            </w:r>
          </w:p>
          <w:p w14:paraId="679D5FC1" w14:textId="77777777" w:rsidR="00F4284C" w:rsidRPr="00154588" w:rsidRDefault="00F4284C" w:rsidP="008C12B4">
            <w:pPr>
              <w:jc w:val="both"/>
              <w:rPr>
                <w:bCs/>
                <w:sz w:val="20"/>
                <w:szCs w:val="20"/>
              </w:rPr>
            </w:pPr>
            <w:r w:rsidRPr="00154588">
              <w:rPr>
                <w:bCs/>
                <w:sz w:val="20"/>
                <w:szCs w:val="20"/>
              </w:rPr>
              <w:t>a) valoarea elementelor de fonduri proprii de nivelul 1 de bază este redusă în conformitate cu prevederile art.226 lit.a);</w:t>
            </w:r>
          </w:p>
          <w:p w14:paraId="1B6F6DE5" w14:textId="77777777" w:rsidR="00F4284C" w:rsidRPr="00154588" w:rsidRDefault="00F4284C" w:rsidP="008C12B4">
            <w:pPr>
              <w:jc w:val="both"/>
              <w:rPr>
                <w:bCs/>
                <w:sz w:val="20"/>
                <w:szCs w:val="20"/>
              </w:rPr>
            </w:pPr>
            <w:r w:rsidRPr="00154588">
              <w:rPr>
                <w:bCs/>
                <w:sz w:val="20"/>
                <w:szCs w:val="20"/>
              </w:rPr>
              <w:t>b) numai dacă reducerea totală a valorii, efectuată în temeiul lit.a) este inferioară valorii totale a sumelor prevăzute la art.177 lit.b) şi c), Banca Naţională a Moldovei reduce valoarea principalului instrumentelor de fonduri proprii de nivelul 1 suplimentar, în măsura în care este necesar şi în limitele capacităţii acestora;</w:t>
            </w:r>
          </w:p>
          <w:p w14:paraId="1CD7AA8F" w14:textId="77777777" w:rsidR="00F4284C" w:rsidRPr="00154588" w:rsidRDefault="00F4284C" w:rsidP="008C12B4">
            <w:pPr>
              <w:jc w:val="both"/>
              <w:rPr>
                <w:bCs/>
                <w:sz w:val="20"/>
                <w:szCs w:val="20"/>
              </w:rPr>
            </w:pPr>
            <w:r w:rsidRPr="00154588">
              <w:rPr>
                <w:bCs/>
                <w:sz w:val="20"/>
                <w:szCs w:val="20"/>
              </w:rPr>
              <w:t>b</w:t>
            </w:r>
            <w:r w:rsidRPr="00154588">
              <w:rPr>
                <w:bCs/>
                <w:sz w:val="20"/>
                <w:szCs w:val="20"/>
                <w:vertAlign w:val="superscript"/>
              </w:rPr>
              <w:t>1</w:t>
            </w:r>
            <w:r w:rsidRPr="00154588">
              <w:rPr>
                <w:bCs/>
                <w:sz w:val="20"/>
                <w:szCs w:val="20"/>
              </w:rPr>
              <w:t xml:space="preserve">) numai dacă reducerea totală a valorii, efectuată în temeiul lit.b), este mai mică decât valoarea totală a sumelor prevăzute la art.177 lit.b) şi c), Banca </w:t>
            </w:r>
            <w:r w:rsidRPr="00154588">
              <w:rPr>
                <w:bCs/>
                <w:sz w:val="20"/>
                <w:szCs w:val="20"/>
              </w:rPr>
              <w:lastRenderedPageBreak/>
              <w:t>Naţională a Moldovei reduce valoarea principalului instrumentelor de fonduri proprii de nivelul 2 în măsura în care este necesar şi în limita capacităţii acestora;</w:t>
            </w:r>
          </w:p>
          <w:p w14:paraId="18B6E48D" w14:textId="77777777" w:rsidR="00F4284C" w:rsidRPr="00154588" w:rsidRDefault="00F4284C" w:rsidP="008C12B4">
            <w:pPr>
              <w:jc w:val="both"/>
              <w:rPr>
                <w:bCs/>
                <w:sz w:val="20"/>
                <w:szCs w:val="20"/>
              </w:rPr>
            </w:pPr>
            <w:r w:rsidRPr="00154588">
              <w:rPr>
                <w:bCs/>
                <w:sz w:val="20"/>
                <w:szCs w:val="20"/>
              </w:rPr>
              <w:t>c) numai dacă reducerea totală a valorii acţiunilor sau a altor instrumente de proprietate şi a instrumentelor de capital relevante, efectuată în temeiul lit. a), b) şi b</w:t>
            </w:r>
            <w:r w:rsidRPr="00154588">
              <w:rPr>
                <w:bCs/>
                <w:sz w:val="20"/>
                <w:szCs w:val="20"/>
                <w:vertAlign w:val="superscript"/>
              </w:rPr>
              <w:t>1</w:t>
            </w:r>
            <w:r w:rsidRPr="00154588">
              <w:rPr>
                <w:bCs/>
                <w:sz w:val="20"/>
                <w:szCs w:val="20"/>
              </w:rPr>
              <w:t>) din prezentul articol este inferioară valorii totale a sumelor prevăzute la art.177 lit.b) şi c), Banca Naţională a Moldovei reduce, în măsura în care este necesar, valoarea principalului datoriilor subordonate care nu reprezintă instrumente de fonduri proprii de nivelul 1 suplimentar sau de nivelul 2, în conformitate cu ierarhia creanţelor din procedura obișnuită de insolvabilitate, împreună cu reducerea valorii prevăzută la lit. a), b) şi b</w:t>
            </w:r>
            <w:r w:rsidRPr="00154588">
              <w:rPr>
                <w:bCs/>
                <w:sz w:val="20"/>
                <w:szCs w:val="20"/>
                <w:vertAlign w:val="superscript"/>
              </w:rPr>
              <w:t>1</w:t>
            </w:r>
            <w:r w:rsidRPr="00154588">
              <w:rPr>
                <w:bCs/>
                <w:sz w:val="20"/>
                <w:szCs w:val="20"/>
              </w:rPr>
              <w:t>) din prezentul articol, pentru a obţine valoarea totală a sumelor prevăzute la art.177 lit.b) şi c);</w:t>
            </w:r>
          </w:p>
          <w:p w14:paraId="3B6ABC55" w14:textId="7ED1C068" w:rsidR="00F4284C" w:rsidRPr="00154588" w:rsidRDefault="00F4284C" w:rsidP="008C12B4">
            <w:pPr>
              <w:jc w:val="both"/>
              <w:rPr>
                <w:bCs/>
                <w:sz w:val="20"/>
                <w:szCs w:val="20"/>
              </w:rPr>
            </w:pPr>
            <w:r w:rsidRPr="00154588">
              <w:rPr>
                <w:bCs/>
                <w:sz w:val="20"/>
                <w:szCs w:val="20"/>
              </w:rPr>
              <w:t>d) numai dacă reducerea totală a valorii acţiunilor sau a altor instrumente de proprietate şi a instrumentelor de capital relevante, precum şi a datoriilor care pot face obiectul recapitalizării interne, efectuată în temeiul lit.a)-c) este inferioară valorii totale a sumelor prevăzute la art.177 lit.b) şi c), Banca Naţională a Moldovei reduce, în măsura în care este necesar, conform art.154-156, valoarea principalului sau suma de plată datorată, aferentă datoriilor care pot face obiectul recapitalizării interne rămase în conformitate cu ierarhia creanţelor, inclusiv depozite, în procedura obișnuită de insolvabilitate, cu respectarea prevederilor art.154-163, împreună cu reducerea valorii prevăzută la lit.a)-c), pentru a obţine valoarea totală a sumelor prevăzute la art.177 lit.b) şi c).</w:t>
            </w:r>
          </w:p>
          <w:p w14:paraId="56AC0599" w14:textId="77777777" w:rsidR="00F4284C" w:rsidRPr="00154588" w:rsidRDefault="00F4284C" w:rsidP="008C12B4">
            <w:pPr>
              <w:jc w:val="both"/>
              <w:rPr>
                <w:bCs/>
                <w:sz w:val="20"/>
                <w:szCs w:val="20"/>
              </w:rPr>
            </w:pPr>
          </w:p>
        </w:tc>
        <w:tc>
          <w:tcPr>
            <w:tcW w:w="2552" w:type="dxa"/>
          </w:tcPr>
          <w:p w14:paraId="0F448EF4" w14:textId="0FC6F523"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542CCF40" w14:textId="77777777" w:rsidR="00F4284C" w:rsidRPr="00154588" w:rsidRDefault="00F4284C" w:rsidP="008C12B4">
            <w:pPr>
              <w:jc w:val="both"/>
              <w:rPr>
                <w:bCs/>
                <w:sz w:val="20"/>
                <w:szCs w:val="20"/>
              </w:rPr>
            </w:pPr>
          </w:p>
        </w:tc>
      </w:tr>
      <w:tr w:rsidR="00F4284C" w:rsidRPr="00154588" w14:paraId="126311E3" w14:textId="77777777" w:rsidTr="00D15C1B">
        <w:trPr>
          <w:jc w:val="center"/>
        </w:trPr>
        <w:tc>
          <w:tcPr>
            <w:tcW w:w="4957" w:type="dxa"/>
            <w:gridSpan w:val="2"/>
          </w:tcPr>
          <w:p w14:paraId="7E124CFC" w14:textId="533536D9" w:rsidR="00F4284C" w:rsidRPr="00154588" w:rsidRDefault="00F4284C" w:rsidP="008C12B4">
            <w:pPr>
              <w:jc w:val="both"/>
              <w:rPr>
                <w:bCs/>
                <w:sz w:val="20"/>
                <w:szCs w:val="20"/>
              </w:rPr>
            </w:pPr>
            <w:r w:rsidRPr="00154588">
              <w:rPr>
                <w:bCs/>
                <w:sz w:val="20"/>
                <w:szCs w:val="20"/>
              </w:rPr>
              <w:t xml:space="preserve">(2)   La aplicarea competențelor de reducere a valorii contabile sau de conversie, autoritățile de rezoluție alocă pierderile reprezentate de suma cuantumulrilor mențioante la articolul 47 alineatul (3) literele (b) și (c) </w:t>
            </w:r>
            <w:r w:rsidRPr="00154588">
              <w:rPr>
                <w:bCs/>
                <w:sz w:val="20"/>
                <w:szCs w:val="20"/>
              </w:rPr>
              <w:lastRenderedPageBreak/>
              <w:t>în mod egal între acțiuni sau alte instrumente de proprietate și datorii care pot face obiectul recapitalizării interne de același rang, prin reducerea în mod egal a principalului sau a sumei de plată restante aferente acțiunilor sau altor instrumente de proprietate și datorii care pot face obiectul recapitalizării interne respective, proporțional cu valoarea acestora, cu excepția cazului în care se permite o repartiție diferită a pierderilor între pasivele de același rang în situațiile menționate la articolul 44 alineatul (3).</w:t>
            </w:r>
          </w:p>
          <w:p w14:paraId="300E5870" w14:textId="77777777" w:rsidR="00F4284C" w:rsidRPr="00154588" w:rsidRDefault="00F4284C" w:rsidP="008C12B4">
            <w:pPr>
              <w:jc w:val="both"/>
              <w:rPr>
                <w:bCs/>
                <w:sz w:val="20"/>
                <w:szCs w:val="20"/>
              </w:rPr>
            </w:pPr>
          </w:p>
          <w:p w14:paraId="35D390FE" w14:textId="61EF2FEC" w:rsidR="00F4284C" w:rsidRPr="00154588" w:rsidRDefault="00F4284C" w:rsidP="008C12B4">
            <w:pPr>
              <w:jc w:val="both"/>
              <w:rPr>
                <w:bCs/>
                <w:sz w:val="20"/>
                <w:szCs w:val="20"/>
              </w:rPr>
            </w:pPr>
            <w:r w:rsidRPr="00154588">
              <w:rPr>
                <w:bCs/>
                <w:sz w:val="20"/>
                <w:szCs w:val="20"/>
              </w:rPr>
              <w:t>Prezentul alineat nu împiedică acordarea unui tratament mai favorabil pasivelor care au fost excluse de la recapitalizarea internă în conformitate cu articolul 44 alineatele (2) și (3), în comparație cu datorii care pot face obiectul recapitalizării interne de același nivel ierarhic, în cadrul unei proceduri de insolvență obișnuite.</w:t>
            </w:r>
          </w:p>
        </w:tc>
        <w:tc>
          <w:tcPr>
            <w:tcW w:w="4819" w:type="dxa"/>
          </w:tcPr>
          <w:p w14:paraId="43F7C63A" w14:textId="77777777" w:rsidR="00F4284C" w:rsidRPr="00154588" w:rsidRDefault="00F4284C" w:rsidP="008C12B4">
            <w:pPr>
              <w:jc w:val="both"/>
              <w:rPr>
                <w:bCs/>
                <w:sz w:val="20"/>
                <w:szCs w:val="20"/>
              </w:rPr>
            </w:pPr>
            <w:r w:rsidRPr="00154588">
              <w:rPr>
                <w:b/>
                <w:bCs/>
                <w:sz w:val="20"/>
                <w:szCs w:val="20"/>
              </w:rPr>
              <w:lastRenderedPageBreak/>
              <w:t>Articolul 181.</w:t>
            </w:r>
            <w:r w:rsidRPr="00154588">
              <w:rPr>
                <w:bCs/>
                <w:sz w:val="20"/>
                <w:szCs w:val="20"/>
              </w:rPr>
              <w:t xml:space="preserve"> – (1) La aplicarea competenţelor de reducere a valorii sau de conversie, Banca Naţională a Moldovei, în calitate de autoritate de rezoluţie, alocă pierderile reprezentate de valoarea totală a </w:t>
            </w:r>
            <w:r w:rsidRPr="00154588">
              <w:rPr>
                <w:bCs/>
                <w:sz w:val="20"/>
                <w:szCs w:val="20"/>
              </w:rPr>
              <w:lastRenderedPageBreak/>
              <w:t>sumelor prevăzute la art.177 lit.b) şi c) în mod egal între acţiuni sau alte instrumente de proprietate şi datoriile care pot face obiectul recapitalizării interne de acelaşi rang, prin reducerea în mod egal a valorii principalului sau a sumei de plată datorate, aferentă acţiunilor sau altor instrumente de proprietate şi datoriilor care pot face obiectul recapitalizării interne respective, proporţional cu valoarea acestora, cu excepţia cazului în care o repartiţie diferită a pierderilor între datoriile de acelaşi rang este permisă potrivit prevederilor art.</w:t>
            </w:r>
            <w:r w:rsidRPr="00154588">
              <w:rPr>
                <w:sz w:val="20"/>
                <w:szCs w:val="20"/>
              </w:rPr>
              <w:t xml:space="preserve"> 155</w:t>
            </w:r>
            <w:r w:rsidRPr="00154588">
              <w:rPr>
                <w:sz w:val="20"/>
                <w:szCs w:val="20"/>
                <w:vertAlign w:val="superscript"/>
              </w:rPr>
              <w:t>1</w:t>
            </w:r>
            <w:r w:rsidRPr="00154588">
              <w:rPr>
                <w:bCs/>
                <w:sz w:val="20"/>
                <w:szCs w:val="20"/>
              </w:rPr>
              <w:t>.</w:t>
            </w:r>
          </w:p>
          <w:p w14:paraId="137C8640" w14:textId="77777777" w:rsidR="00F4284C" w:rsidRPr="00154588" w:rsidRDefault="00F4284C" w:rsidP="008C12B4">
            <w:pPr>
              <w:jc w:val="both"/>
              <w:rPr>
                <w:bCs/>
                <w:sz w:val="20"/>
                <w:szCs w:val="20"/>
              </w:rPr>
            </w:pPr>
            <w:r w:rsidRPr="00154588">
              <w:rPr>
                <w:bCs/>
                <w:sz w:val="20"/>
                <w:szCs w:val="20"/>
              </w:rPr>
              <w:t xml:space="preserve">(2) Prevederile alin.(1) nu împiedică acordarea unui tratament mai favorabil datoriilor care au fost excluse de la recapitalizarea internă în conformitate cu prevederile art.155 şi </w:t>
            </w:r>
            <w:r w:rsidRPr="00154588">
              <w:rPr>
                <w:sz w:val="20"/>
                <w:szCs w:val="20"/>
              </w:rPr>
              <w:t>155</w:t>
            </w:r>
            <w:r w:rsidRPr="00154588">
              <w:rPr>
                <w:sz w:val="20"/>
                <w:szCs w:val="20"/>
                <w:vertAlign w:val="superscript"/>
              </w:rPr>
              <w:t>1</w:t>
            </w:r>
            <w:r w:rsidRPr="00154588">
              <w:rPr>
                <w:bCs/>
                <w:sz w:val="20"/>
                <w:szCs w:val="20"/>
              </w:rPr>
              <w:t>, în comparaţie cu datoriile care pot face obiectul recapitalizării interne care au acelaşi rang de prioritate în cadrul unei proceduri obișnuite de insolvabilitate.</w:t>
            </w:r>
          </w:p>
          <w:p w14:paraId="6F78FF0D" w14:textId="77777777" w:rsidR="00F4284C" w:rsidRPr="00154588" w:rsidRDefault="00F4284C" w:rsidP="008C12B4">
            <w:pPr>
              <w:jc w:val="both"/>
              <w:rPr>
                <w:bCs/>
                <w:sz w:val="20"/>
                <w:szCs w:val="20"/>
              </w:rPr>
            </w:pPr>
          </w:p>
        </w:tc>
        <w:tc>
          <w:tcPr>
            <w:tcW w:w="2552" w:type="dxa"/>
          </w:tcPr>
          <w:p w14:paraId="3F1321C8" w14:textId="3257613D"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5C03C920" w14:textId="77777777" w:rsidR="00F4284C" w:rsidRPr="00154588" w:rsidRDefault="00F4284C" w:rsidP="008C12B4">
            <w:pPr>
              <w:jc w:val="both"/>
              <w:rPr>
                <w:bCs/>
                <w:sz w:val="20"/>
                <w:szCs w:val="20"/>
              </w:rPr>
            </w:pPr>
          </w:p>
        </w:tc>
      </w:tr>
      <w:tr w:rsidR="00F4284C" w:rsidRPr="00154588" w14:paraId="56AF9F8F" w14:textId="77777777" w:rsidTr="00D15C1B">
        <w:trPr>
          <w:jc w:val="center"/>
        </w:trPr>
        <w:tc>
          <w:tcPr>
            <w:tcW w:w="4957" w:type="dxa"/>
            <w:gridSpan w:val="2"/>
          </w:tcPr>
          <w:p w14:paraId="7B73E01F" w14:textId="77777777" w:rsidR="00F4284C" w:rsidRPr="00154588" w:rsidRDefault="00F4284C" w:rsidP="008C12B4">
            <w:pPr>
              <w:jc w:val="both"/>
              <w:rPr>
                <w:bCs/>
                <w:sz w:val="20"/>
                <w:szCs w:val="20"/>
              </w:rPr>
            </w:pPr>
            <w:r w:rsidRPr="00154588">
              <w:rPr>
                <w:bCs/>
                <w:sz w:val="20"/>
                <w:szCs w:val="20"/>
              </w:rPr>
              <w:t>(3)   Înainte de a aplica reducerea valorii contabile sau conversia menționată la alineatul (1) litera (e), autoritățile de rezoluție convertesc sau reduc valoarea contabilă a principalului instrumentelor menționate la alineatul (1) literele (b), (c) și (d), atunci când aceste instrumente conțin următoarele clauze și nu au fost deja convertite:</w:t>
            </w:r>
          </w:p>
          <w:p w14:paraId="08EDA490" w14:textId="77777777" w:rsidR="00F4284C" w:rsidRPr="00154588" w:rsidRDefault="00F4284C" w:rsidP="008C12B4">
            <w:pPr>
              <w:jc w:val="both"/>
              <w:rPr>
                <w:bCs/>
                <w:sz w:val="20"/>
                <w:szCs w:val="20"/>
              </w:rPr>
            </w:pPr>
          </w:p>
          <w:p w14:paraId="28B3FFBD" w14:textId="744151D7" w:rsidR="00F4284C" w:rsidRPr="00154588" w:rsidRDefault="00F4284C" w:rsidP="008C12B4">
            <w:pPr>
              <w:jc w:val="both"/>
              <w:rPr>
                <w:bCs/>
                <w:sz w:val="20"/>
                <w:szCs w:val="20"/>
              </w:rPr>
            </w:pPr>
            <w:r w:rsidRPr="00154588">
              <w:rPr>
                <w:bCs/>
                <w:sz w:val="20"/>
                <w:szCs w:val="20"/>
              </w:rPr>
              <w:t>(a) reducerea valorii principalului instrumentului, în caz de producere a unui eveniment care afectează situația financiară, solvabilitatea sau fondurile proprii ale instituției sau entității menționate la articolul 1 alineatul (1) litera (b), (c) sau (d);</w:t>
            </w:r>
          </w:p>
          <w:p w14:paraId="1C66C0BE" w14:textId="77777777" w:rsidR="00F4284C" w:rsidRPr="00154588" w:rsidRDefault="00F4284C" w:rsidP="008C12B4">
            <w:pPr>
              <w:jc w:val="both"/>
              <w:rPr>
                <w:bCs/>
                <w:sz w:val="20"/>
                <w:szCs w:val="20"/>
              </w:rPr>
            </w:pPr>
          </w:p>
          <w:p w14:paraId="4150EB4B" w14:textId="4090D930" w:rsidR="00F4284C" w:rsidRPr="00154588" w:rsidRDefault="00F4284C" w:rsidP="008C12B4">
            <w:pPr>
              <w:jc w:val="both"/>
              <w:rPr>
                <w:bCs/>
                <w:sz w:val="20"/>
                <w:szCs w:val="20"/>
              </w:rPr>
            </w:pPr>
            <w:r w:rsidRPr="00154588">
              <w:rPr>
                <w:bCs/>
                <w:sz w:val="20"/>
                <w:szCs w:val="20"/>
              </w:rPr>
              <w:t>(b) conversia instrumentelor în acțiuni sau în alte instrumente de proprietate, în caz de producere a unui astfel de eveniment.</w:t>
            </w:r>
          </w:p>
        </w:tc>
        <w:tc>
          <w:tcPr>
            <w:tcW w:w="4819" w:type="dxa"/>
          </w:tcPr>
          <w:p w14:paraId="43C8B2C5" w14:textId="77777777" w:rsidR="00F4284C" w:rsidRPr="00154588" w:rsidRDefault="00F4284C" w:rsidP="008C12B4">
            <w:pPr>
              <w:jc w:val="both"/>
              <w:rPr>
                <w:bCs/>
                <w:sz w:val="20"/>
                <w:szCs w:val="20"/>
              </w:rPr>
            </w:pPr>
            <w:r w:rsidRPr="00154588">
              <w:rPr>
                <w:b/>
                <w:bCs/>
                <w:sz w:val="20"/>
                <w:szCs w:val="20"/>
              </w:rPr>
              <w:t>Articolul 182.</w:t>
            </w:r>
            <w:r w:rsidRPr="00154588">
              <w:rPr>
                <w:bCs/>
                <w:sz w:val="20"/>
                <w:szCs w:val="20"/>
              </w:rPr>
              <w:t xml:space="preserve"> – Înainte de a aplica reducerea valorii sau conversia menţionată la art.180 lit.d), Banca Naţională a Moldovei, în calitate de autoritate de rezoluţie, converteşte sau reduce valoarea principalului instrumentelor prevăzute la art.180 lit.b)-c), atunci cînd aceste instrumente conţin următoarele clauze şi nu au fost deja convertite:</w:t>
            </w:r>
          </w:p>
          <w:p w14:paraId="057F0FEE" w14:textId="77777777" w:rsidR="00F4284C" w:rsidRPr="00154588" w:rsidRDefault="00F4284C" w:rsidP="008C12B4">
            <w:pPr>
              <w:jc w:val="both"/>
              <w:rPr>
                <w:bCs/>
                <w:sz w:val="20"/>
                <w:szCs w:val="20"/>
              </w:rPr>
            </w:pPr>
            <w:r w:rsidRPr="00154588">
              <w:rPr>
                <w:bCs/>
                <w:sz w:val="20"/>
                <w:szCs w:val="20"/>
              </w:rPr>
              <w:t>a) clauze care prevăd reducerea valorii principalului instrumentului, în caz de producere a oricărui eveniment care afectează situaţia financiară, solvabilitatea sau fondurile proprii ale instituției de credit sau entității menționate la art.1 alin.(1) lit. b), c) sau d);</w:t>
            </w:r>
          </w:p>
          <w:p w14:paraId="7692C133" w14:textId="77777777" w:rsidR="00F4284C" w:rsidRPr="00154588" w:rsidRDefault="00F4284C" w:rsidP="008C12B4">
            <w:pPr>
              <w:jc w:val="both"/>
              <w:rPr>
                <w:bCs/>
                <w:sz w:val="20"/>
                <w:szCs w:val="20"/>
              </w:rPr>
            </w:pPr>
            <w:r w:rsidRPr="00154588">
              <w:rPr>
                <w:bCs/>
                <w:sz w:val="20"/>
                <w:szCs w:val="20"/>
              </w:rPr>
              <w:t>b) clauze care prevăd conversia instrumentelor în acţiuni sau în alte instrumente de proprietate, în caz de producere a unui astfel de eveniment.</w:t>
            </w:r>
          </w:p>
          <w:p w14:paraId="6008A9C2" w14:textId="77777777" w:rsidR="00F4284C" w:rsidRPr="00154588" w:rsidRDefault="00F4284C" w:rsidP="008C12B4">
            <w:pPr>
              <w:jc w:val="both"/>
              <w:rPr>
                <w:bCs/>
                <w:sz w:val="20"/>
                <w:szCs w:val="20"/>
              </w:rPr>
            </w:pPr>
          </w:p>
        </w:tc>
        <w:tc>
          <w:tcPr>
            <w:tcW w:w="2552" w:type="dxa"/>
          </w:tcPr>
          <w:p w14:paraId="18EF93EE" w14:textId="01CEBDF0" w:rsidR="00F4284C" w:rsidRPr="00154588" w:rsidRDefault="00F4284C" w:rsidP="008C12B4">
            <w:pPr>
              <w:jc w:val="both"/>
              <w:rPr>
                <w:bCs/>
                <w:sz w:val="20"/>
                <w:szCs w:val="20"/>
              </w:rPr>
            </w:pPr>
            <w:r w:rsidRPr="00154588">
              <w:rPr>
                <w:bCs/>
                <w:sz w:val="20"/>
                <w:szCs w:val="20"/>
              </w:rPr>
              <w:t>Compatibil</w:t>
            </w:r>
          </w:p>
        </w:tc>
        <w:tc>
          <w:tcPr>
            <w:tcW w:w="3118" w:type="dxa"/>
          </w:tcPr>
          <w:p w14:paraId="3A0ADD70" w14:textId="77777777" w:rsidR="00F4284C" w:rsidRPr="00154588" w:rsidRDefault="00F4284C" w:rsidP="008C12B4">
            <w:pPr>
              <w:jc w:val="both"/>
              <w:rPr>
                <w:bCs/>
                <w:sz w:val="20"/>
                <w:szCs w:val="20"/>
              </w:rPr>
            </w:pPr>
          </w:p>
        </w:tc>
      </w:tr>
      <w:tr w:rsidR="00F4284C" w:rsidRPr="00154588" w14:paraId="04E39D95" w14:textId="77777777" w:rsidTr="00D15C1B">
        <w:trPr>
          <w:jc w:val="center"/>
        </w:trPr>
        <w:tc>
          <w:tcPr>
            <w:tcW w:w="4957" w:type="dxa"/>
            <w:gridSpan w:val="2"/>
          </w:tcPr>
          <w:p w14:paraId="75149248" w14:textId="718F316C" w:rsidR="00F4284C" w:rsidRPr="00154588" w:rsidRDefault="00F4284C" w:rsidP="008C12B4">
            <w:pPr>
              <w:jc w:val="both"/>
              <w:rPr>
                <w:bCs/>
                <w:sz w:val="20"/>
                <w:szCs w:val="20"/>
              </w:rPr>
            </w:pPr>
            <w:r w:rsidRPr="00154588">
              <w:rPr>
                <w:bCs/>
                <w:sz w:val="20"/>
                <w:szCs w:val="20"/>
              </w:rPr>
              <w:t>(4)   În cazul în care valoarea contabilă a principalului unui instrument a fost redusă, dar nu la zero, în conformitate cu clauzele menționate la alineatul (3) litera (a) înainte de aplicarea recapitalizării interne în conformitate cu alineatul (1), autoritățile de rezoluție exercită competențele de reducere a valorii contabile și de conversie în ceea ce privește valoarea reziduală a principalului în cauză, în conformitate cu alineatul (1).</w:t>
            </w:r>
          </w:p>
        </w:tc>
        <w:tc>
          <w:tcPr>
            <w:tcW w:w="4819" w:type="dxa"/>
          </w:tcPr>
          <w:p w14:paraId="42229281" w14:textId="77777777" w:rsidR="00F4284C" w:rsidRPr="00154588" w:rsidRDefault="00F4284C" w:rsidP="008C12B4">
            <w:pPr>
              <w:jc w:val="both"/>
              <w:rPr>
                <w:bCs/>
                <w:sz w:val="20"/>
                <w:szCs w:val="20"/>
              </w:rPr>
            </w:pPr>
            <w:r w:rsidRPr="00154588">
              <w:rPr>
                <w:b/>
                <w:bCs/>
                <w:sz w:val="20"/>
                <w:szCs w:val="20"/>
              </w:rPr>
              <w:t>Articolul 183.</w:t>
            </w:r>
            <w:r w:rsidRPr="00154588">
              <w:rPr>
                <w:bCs/>
                <w:sz w:val="20"/>
                <w:szCs w:val="20"/>
              </w:rPr>
              <w:t xml:space="preserve"> – În cazul în care valoarea principalului unui instrument a fost redusă, dar nu în totalitate, în conformitate cu tipul de clauze prevăzute la art.182 lit.a), înainte de aplicarea recapitalizării interne în conformitate cu prevederile art.180, Banca Naţională a Moldovei, în calitate de autoritate de rezoluţie, exercită competenţele de reducere a valorii sau de conversie în ceea ce </w:t>
            </w:r>
            <w:r w:rsidRPr="00154588">
              <w:rPr>
                <w:bCs/>
                <w:sz w:val="20"/>
                <w:szCs w:val="20"/>
              </w:rPr>
              <w:lastRenderedPageBreak/>
              <w:t>priveşte valoarea reziduală a principalului în cauză, în conformitate cu prevederile art.180.</w:t>
            </w:r>
          </w:p>
          <w:p w14:paraId="0189CEC4" w14:textId="77777777" w:rsidR="00F4284C" w:rsidRPr="00154588" w:rsidRDefault="00F4284C" w:rsidP="008C12B4">
            <w:pPr>
              <w:jc w:val="both"/>
              <w:rPr>
                <w:bCs/>
                <w:sz w:val="20"/>
                <w:szCs w:val="20"/>
              </w:rPr>
            </w:pPr>
          </w:p>
        </w:tc>
        <w:tc>
          <w:tcPr>
            <w:tcW w:w="2552" w:type="dxa"/>
          </w:tcPr>
          <w:p w14:paraId="5AAC60AB" w14:textId="775A7912"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220575B9" w14:textId="77777777" w:rsidR="00F4284C" w:rsidRPr="00154588" w:rsidRDefault="00F4284C" w:rsidP="008C12B4">
            <w:pPr>
              <w:jc w:val="both"/>
              <w:rPr>
                <w:bCs/>
                <w:sz w:val="20"/>
                <w:szCs w:val="20"/>
              </w:rPr>
            </w:pPr>
          </w:p>
        </w:tc>
      </w:tr>
      <w:tr w:rsidR="00F4284C" w:rsidRPr="00154588" w14:paraId="0A0CB0EF" w14:textId="77777777" w:rsidTr="00D15C1B">
        <w:trPr>
          <w:jc w:val="center"/>
        </w:trPr>
        <w:tc>
          <w:tcPr>
            <w:tcW w:w="4957" w:type="dxa"/>
            <w:gridSpan w:val="2"/>
          </w:tcPr>
          <w:p w14:paraId="132C1D47" w14:textId="57C4534A" w:rsidR="00F4284C" w:rsidRPr="00154588" w:rsidRDefault="00F4284C" w:rsidP="008C12B4">
            <w:pPr>
              <w:jc w:val="both"/>
              <w:rPr>
                <w:bCs/>
                <w:sz w:val="20"/>
                <w:szCs w:val="20"/>
              </w:rPr>
            </w:pPr>
            <w:r w:rsidRPr="00154588">
              <w:rPr>
                <w:bCs/>
                <w:sz w:val="20"/>
                <w:szCs w:val="20"/>
              </w:rPr>
              <w:t>(5)   Atunci când decide dacă pasivele trebuie reduse sau convertite în titluri de capital, autoritățile de rezoluție nu convertesc o categorie de pasive în timp ce o altă categorie de pasive, care este subordonată primei, rămâne în esență neconvertită în titluri de capital sau fără reducerea valorii, cu excepția unor dispoziții contrare în temeiul articolului 44 alineatele (2) și (3).</w:t>
            </w:r>
          </w:p>
        </w:tc>
        <w:tc>
          <w:tcPr>
            <w:tcW w:w="4819" w:type="dxa"/>
          </w:tcPr>
          <w:p w14:paraId="7F163F06" w14:textId="77777777" w:rsidR="00F4284C" w:rsidRPr="00154588" w:rsidRDefault="00F4284C" w:rsidP="008C12B4">
            <w:pPr>
              <w:jc w:val="both"/>
              <w:rPr>
                <w:bCs/>
                <w:sz w:val="20"/>
                <w:szCs w:val="20"/>
              </w:rPr>
            </w:pPr>
            <w:r w:rsidRPr="00154588">
              <w:rPr>
                <w:b/>
                <w:bCs/>
                <w:sz w:val="20"/>
                <w:szCs w:val="20"/>
              </w:rPr>
              <w:t>Articolul 184.</w:t>
            </w:r>
            <w:r w:rsidRPr="00154588">
              <w:rPr>
                <w:bCs/>
                <w:sz w:val="20"/>
                <w:szCs w:val="20"/>
              </w:rPr>
              <w:t xml:space="preserve"> – Atunci cînd decide dacă valoarea datoriilor trebuie redusă sau convertită în titluri de capital, Banca Naţională a Moldovei, în calitate de autoritate de rezoluţie, nu converteşte o categorie de datorii dacă pentru o altă categorie de datorii, care este subordonată primei, pentru cea mai mare parte nu s-a realizat conversia în titluri de capital sau nu s-a redus valoarea, cu excepţia cazului în care acest lucru este permis potrivit art.155 şi </w:t>
            </w:r>
            <w:r w:rsidRPr="00154588">
              <w:rPr>
                <w:sz w:val="20"/>
                <w:szCs w:val="20"/>
              </w:rPr>
              <w:t>155</w:t>
            </w:r>
            <w:r w:rsidRPr="00154588">
              <w:rPr>
                <w:sz w:val="20"/>
                <w:szCs w:val="20"/>
                <w:vertAlign w:val="superscript"/>
              </w:rPr>
              <w:t>1</w:t>
            </w:r>
            <w:r w:rsidRPr="00154588">
              <w:rPr>
                <w:bCs/>
                <w:sz w:val="20"/>
                <w:szCs w:val="20"/>
              </w:rPr>
              <w:t>.</w:t>
            </w:r>
          </w:p>
          <w:p w14:paraId="2A81F482" w14:textId="77777777" w:rsidR="00F4284C" w:rsidRPr="00154588" w:rsidRDefault="00F4284C" w:rsidP="008C12B4">
            <w:pPr>
              <w:jc w:val="both"/>
              <w:rPr>
                <w:bCs/>
                <w:sz w:val="20"/>
                <w:szCs w:val="20"/>
              </w:rPr>
            </w:pPr>
          </w:p>
        </w:tc>
        <w:tc>
          <w:tcPr>
            <w:tcW w:w="2552" w:type="dxa"/>
          </w:tcPr>
          <w:p w14:paraId="1E3D0280" w14:textId="5D3A3EE5" w:rsidR="00F4284C" w:rsidRPr="00154588" w:rsidRDefault="00F4284C" w:rsidP="008C12B4">
            <w:pPr>
              <w:jc w:val="both"/>
              <w:rPr>
                <w:bCs/>
                <w:sz w:val="20"/>
                <w:szCs w:val="20"/>
              </w:rPr>
            </w:pPr>
            <w:r w:rsidRPr="00154588">
              <w:rPr>
                <w:bCs/>
                <w:sz w:val="20"/>
                <w:szCs w:val="20"/>
              </w:rPr>
              <w:t>Compatibil</w:t>
            </w:r>
          </w:p>
        </w:tc>
        <w:tc>
          <w:tcPr>
            <w:tcW w:w="3118" w:type="dxa"/>
          </w:tcPr>
          <w:p w14:paraId="25959B74" w14:textId="77777777" w:rsidR="00F4284C" w:rsidRPr="00154588" w:rsidRDefault="00F4284C" w:rsidP="008C12B4">
            <w:pPr>
              <w:jc w:val="both"/>
              <w:rPr>
                <w:bCs/>
                <w:sz w:val="20"/>
                <w:szCs w:val="20"/>
              </w:rPr>
            </w:pPr>
          </w:p>
        </w:tc>
      </w:tr>
      <w:tr w:rsidR="00F4284C" w:rsidRPr="00154588" w14:paraId="66786319" w14:textId="77777777" w:rsidTr="00D15C1B">
        <w:trPr>
          <w:jc w:val="center"/>
        </w:trPr>
        <w:tc>
          <w:tcPr>
            <w:tcW w:w="4957" w:type="dxa"/>
            <w:gridSpan w:val="2"/>
          </w:tcPr>
          <w:p w14:paraId="20367D2E" w14:textId="363FA5AF" w:rsidR="00F4284C" w:rsidRPr="00154588" w:rsidRDefault="00F4284C" w:rsidP="008C12B4">
            <w:pPr>
              <w:jc w:val="both"/>
              <w:rPr>
                <w:bCs/>
                <w:sz w:val="20"/>
                <w:szCs w:val="20"/>
              </w:rPr>
            </w:pPr>
            <w:r w:rsidRPr="00154588">
              <w:rPr>
                <w:bCs/>
                <w:sz w:val="20"/>
                <w:szCs w:val="20"/>
              </w:rPr>
              <w:t>(6)   În sensul prezentului articol, până la 3 ianuarie 2016, ABE emite orientări în conformitate cu articolul 16 din Regulamentul (UE) nr. 1093/2010 pentru orice interpretare referitoare la interacțiunile dintre dispozițiile prezentei directive și cele ale Regulamentului (UE) nr. 575/2013 și Directivei 2013/36/UE.</w:t>
            </w:r>
          </w:p>
        </w:tc>
        <w:tc>
          <w:tcPr>
            <w:tcW w:w="4819" w:type="dxa"/>
          </w:tcPr>
          <w:p w14:paraId="2645ACE6" w14:textId="77777777" w:rsidR="00F4284C" w:rsidRPr="00154588" w:rsidRDefault="00F4284C" w:rsidP="008C12B4">
            <w:pPr>
              <w:jc w:val="both"/>
              <w:rPr>
                <w:bCs/>
                <w:sz w:val="20"/>
                <w:szCs w:val="20"/>
              </w:rPr>
            </w:pPr>
          </w:p>
        </w:tc>
        <w:tc>
          <w:tcPr>
            <w:tcW w:w="2552" w:type="dxa"/>
          </w:tcPr>
          <w:p w14:paraId="4ED7D1D5" w14:textId="72E8AD24"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4899BD02" w14:textId="185659B8" w:rsidR="00F4284C" w:rsidRPr="00154588" w:rsidRDefault="00F4284C" w:rsidP="008C12B4">
            <w:pPr>
              <w:jc w:val="both"/>
              <w:rPr>
                <w:bCs/>
                <w:sz w:val="20"/>
                <w:szCs w:val="20"/>
              </w:rPr>
            </w:pPr>
            <w:r w:rsidRPr="00154588">
              <w:rPr>
                <w:bCs/>
                <w:sz w:val="20"/>
                <w:szCs w:val="20"/>
                <w:lang w:val="ro-MD"/>
              </w:rPr>
              <w:t>Prevederi care se referă la atribuțiile de reglementare ale autorităților europene.</w:t>
            </w:r>
          </w:p>
        </w:tc>
      </w:tr>
      <w:tr w:rsidR="00F4284C" w:rsidRPr="00154588" w14:paraId="2BC914B3" w14:textId="77777777" w:rsidTr="00D15C1B">
        <w:trPr>
          <w:jc w:val="center"/>
        </w:trPr>
        <w:tc>
          <w:tcPr>
            <w:tcW w:w="4957" w:type="dxa"/>
            <w:gridSpan w:val="2"/>
          </w:tcPr>
          <w:p w14:paraId="4ECA47AF" w14:textId="77777777" w:rsidR="00F4284C" w:rsidRPr="00154588" w:rsidRDefault="00F4284C" w:rsidP="008C12B4">
            <w:pPr>
              <w:jc w:val="both"/>
              <w:rPr>
                <w:bCs/>
                <w:sz w:val="20"/>
                <w:szCs w:val="20"/>
              </w:rPr>
            </w:pPr>
            <w:r w:rsidRPr="00154588">
              <w:rPr>
                <w:bCs/>
                <w:sz w:val="20"/>
                <w:szCs w:val="20"/>
              </w:rPr>
              <w:t>(7)   Statele membre se asigură că, în cazul entităților menționate la articolul 1 alineatul (1) primul paragraf literele (a)-(d), toate creanțele care provin din elementele de fonduri proprii au, în legislația națională care reglementează procedurile obișnuite de insolvență, un rang de prioritate inferior oricărei creanțe care nu provine dintr-un element de fonduri proprii.</w:t>
            </w:r>
          </w:p>
          <w:p w14:paraId="2B0B057C" w14:textId="77777777" w:rsidR="00F4284C" w:rsidRPr="00154588" w:rsidRDefault="00F4284C" w:rsidP="008C12B4">
            <w:pPr>
              <w:jc w:val="both"/>
              <w:rPr>
                <w:bCs/>
                <w:sz w:val="20"/>
                <w:szCs w:val="20"/>
              </w:rPr>
            </w:pPr>
          </w:p>
          <w:p w14:paraId="6DFA9CB0" w14:textId="412CE24F" w:rsidR="00F4284C" w:rsidRPr="00154588" w:rsidRDefault="00F4284C" w:rsidP="008C12B4">
            <w:pPr>
              <w:jc w:val="both"/>
              <w:rPr>
                <w:bCs/>
                <w:sz w:val="20"/>
                <w:szCs w:val="20"/>
              </w:rPr>
            </w:pPr>
            <w:r w:rsidRPr="00154588">
              <w:rPr>
                <w:bCs/>
                <w:sz w:val="20"/>
                <w:szCs w:val="20"/>
              </w:rPr>
              <w:t>În sensul primului paragraf, în măsura în care un instrument este numai parțial recunoscut drept element de fonduri proprii, întregul instrument este tratat ca o creanță care rezultă dintr-un element de fonduri proprii și îi este atribuit un rang de prioritate inferior oricărei creanțe care nu rezultă dintr-un element de fonduri proprii.</w:t>
            </w:r>
          </w:p>
        </w:tc>
        <w:tc>
          <w:tcPr>
            <w:tcW w:w="4819" w:type="dxa"/>
          </w:tcPr>
          <w:p w14:paraId="3D60B1C4" w14:textId="77777777" w:rsidR="00F4284C" w:rsidRPr="00154588" w:rsidRDefault="00F4284C" w:rsidP="008C12B4">
            <w:pPr>
              <w:jc w:val="both"/>
              <w:rPr>
                <w:bCs/>
                <w:sz w:val="20"/>
                <w:szCs w:val="20"/>
              </w:rPr>
            </w:pPr>
            <w:r w:rsidRPr="00154588">
              <w:rPr>
                <w:b/>
                <w:bCs/>
                <w:sz w:val="20"/>
                <w:szCs w:val="20"/>
              </w:rPr>
              <w:t>Articolul 184</w:t>
            </w:r>
            <w:r w:rsidRPr="00154588">
              <w:rPr>
                <w:b/>
                <w:bCs/>
                <w:sz w:val="20"/>
                <w:szCs w:val="20"/>
                <w:vertAlign w:val="superscript"/>
              </w:rPr>
              <w:t>1</w:t>
            </w:r>
            <w:r w:rsidRPr="00154588">
              <w:rPr>
                <w:b/>
                <w:bCs/>
                <w:sz w:val="20"/>
                <w:szCs w:val="20"/>
              </w:rPr>
              <w:t>.</w:t>
            </w:r>
            <w:r w:rsidRPr="00154588">
              <w:rPr>
                <w:bCs/>
                <w:sz w:val="20"/>
                <w:szCs w:val="20"/>
              </w:rPr>
              <w:t xml:space="preserve"> – Creanțele care rezultă din elemente de fonduri proprii au un rang de prioritate mai scăzut decât orice creanță care nu rezultă dintr-un element de fonduri proprii. În măsura în care un instrument este recunoscut doar parțial ca element de fonduri proprii, întregul instrument va fi tratat ca o creanță care rezultă dintr-un element de fonduri proprii și va avea un rang inferior oricărei creanțe care nu rezultă dintr-un element de fonduri proprii, în cadrul unei proceduri obișnuite de insolvabilitate.</w:t>
            </w:r>
          </w:p>
          <w:p w14:paraId="1104101C" w14:textId="77777777" w:rsidR="00F4284C" w:rsidRPr="00154588" w:rsidRDefault="00F4284C" w:rsidP="008C12B4">
            <w:pPr>
              <w:jc w:val="both"/>
              <w:rPr>
                <w:bCs/>
                <w:sz w:val="20"/>
                <w:szCs w:val="20"/>
              </w:rPr>
            </w:pPr>
          </w:p>
        </w:tc>
        <w:tc>
          <w:tcPr>
            <w:tcW w:w="2552" w:type="dxa"/>
          </w:tcPr>
          <w:p w14:paraId="406C7A47" w14:textId="7F1E3E63" w:rsidR="00F4284C" w:rsidRPr="00154588" w:rsidRDefault="00F4284C" w:rsidP="008C12B4">
            <w:pPr>
              <w:jc w:val="both"/>
              <w:rPr>
                <w:bCs/>
                <w:sz w:val="20"/>
                <w:szCs w:val="20"/>
              </w:rPr>
            </w:pPr>
            <w:r w:rsidRPr="00154588">
              <w:rPr>
                <w:bCs/>
                <w:sz w:val="20"/>
                <w:szCs w:val="20"/>
              </w:rPr>
              <w:t>Compatibil</w:t>
            </w:r>
          </w:p>
        </w:tc>
        <w:tc>
          <w:tcPr>
            <w:tcW w:w="3118" w:type="dxa"/>
          </w:tcPr>
          <w:p w14:paraId="1C9BBB54" w14:textId="77777777" w:rsidR="00F4284C" w:rsidRPr="00154588" w:rsidRDefault="00F4284C" w:rsidP="008C12B4">
            <w:pPr>
              <w:jc w:val="both"/>
              <w:rPr>
                <w:bCs/>
                <w:sz w:val="20"/>
                <w:szCs w:val="20"/>
              </w:rPr>
            </w:pPr>
          </w:p>
        </w:tc>
      </w:tr>
      <w:tr w:rsidR="00F4284C" w:rsidRPr="00154588" w14:paraId="32F3588D" w14:textId="77777777" w:rsidTr="00D15C1B">
        <w:trPr>
          <w:jc w:val="center"/>
        </w:trPr>
        <w:tc>
          <w:tcPr>
            <w:tcW w:w="4957" w:type="dxa"/>
            <w:gridSpan w:val="2"/>
          </w:tcPr>
          <w:p w14:paraId="66557CE5" w14:textId="77777777" w:rsidR="00F4284C" w:rsidRPr="00154588" w:rsidRDefault="00F4284C" w:rsidP="008C12B4">
            <w:pPr>
              <w:jc w:val="both"/>
              <w:rPr>
                <w:b/>
                <w:sz w:val="20"/>
                <w:szCs w:val="20"/>
              </w:rPr>
            </w:pPr>
            <w:r w:rsidRPr="00154588">
              <w:rPr>
                <w:b/>
                <w:sz w:val="20"/>
                <w:szCs w:val="20"/>
              </w:rPr>
              <w:t>Articolul 49</w:t>
            </w:r>
          </w:p>
          <w:p w14:paraId="78A5444A" w14:textId="77777777" w:rsidR="00F4284C" w:rsidRPr="00154588" w:rsidRDefault="00F4284C" w:rsidP="008C12B4">
            <w:pPr>
              <w:jc w:val="both"/>
              <w:rPr>
                <w:b/>
                <w:sz w:val="20"/>
                <w:szCs w:val="20"/>
              </w:rPr>
            </w:pPr>
          </w:p>
          <w:p w14:paraId="714B38FD" w14:textId="7739C8AF" w:rsidR="00F4284C" w:rsidRPr="00154588" w:rsidRDefault="00F4284C" w:rsidP="008C12B4">
            <w:pPr>
              <w:jc w:val="both"/>
              <w:rPr>
                <w:bCs/>
                <w:sz w:val="20"/>
                <w:szCs w:val="20"/>
              </w:rPr>
            </w:pPr>
            <w:r w:rsidRPr="00154588">
              <w:rPr>
                <w:b/>
                <w:sz w:val="20"/>
                <w:szCs w:val="20"/>
              </w:rPr>
              <w:t>Instrumente financiare derivate</w:t>
            </w:r>
          </w:p>
        </w:tc>
        <w:tc>
          <w:tcPr>
            <w:tcW w:w="4819" w:type="dxa"/>
          </w:tcPr>
          <w:p w14:paraId="4C186DDF" w14:textId="77777777" w:rsidR="00F4284C" w:rsidRPr="00154588" w:rsidRDefault="00F4284C" w:rsidP="008C12B4">
            <w:pPr>
              <w:jc w:val="both"/>
              <w:rPr>
                <w:bCs/>
                <w:sz w:val="20"/>
                <w:szCs w:val="20"/>
              </w:rPr>
            </w:pPr>
          </w:p>
        </w:tc>
        <w:tc>
          <w:tcPr>
            <w:tcW w:w="2552" w:type="dxa"/>
          </w:tcPr>
          <w:p w14:paraId="72C950BA" w14:textId="77777777" w:rsidR="00F4284C" w:rsidRPr="00154588" w:rsidRDefault="00F4284C" w:rsidP="008C12B4">
            <w:pPr>
              <w:jc w:val="both"/>
              <w:rPr>
                <w:bCs/>
                <w:sz w:val="20"/>
                <w:szCs w:val="20"/>
              </w:rPr>
            </w:pPr>
          </w:p>
        </w:tc>
        <w:tc>
          <w:tcPr>
            <w:tcW w:w="3118" w:type="dxa"/>
          </w:tcPr>
          <w:p w14:paraId="302AF039" w14:textId="77777777" w:rsidR="00F4284C" w:rsidRPr="00154588" w:rsidRDefault="00F4284C" w:rsidP="008C12B4">
            <w:pPr>
              <w:jc w:val="both"/>
              <w:rPr>
                <w:bCs/>
                <w:sz w:val="20"/>
                <w:szCs w:val="20"/>
              </w:rPr>
            </w:pPr>
          </w:p>
        </w:tc>
      </w:tr>
      <w:tr w:rsidR="00F4284C" w:rsidRPr="00154588" w14:paraId="5D0C04D5" w14:textId="77777777" w:rsidTr="00D15C1B">
        <w:trPr>
          <w:jc w:val="center"/>
        </w:trPr>
        <w:tc>
          <w:tcPr>
            <w:tcW w:w="4957" w:type="dxa"/>
            <w:gridSpan w:val="2"/>
          </w:tcPr>
          <w:p w14:paraId="5678778F" w14:textId="2C176FC8" w:rsidR="00F4284C" w:rsidRPr="00154588" w:rsidRDefault="00F4284C" w:rsidP="008C12B4">
            <w:pPr>
              <w:jc w:val="both"/>
              <w:rPr>
                <w:bCs/>
                <w:sz w:val="20"/>
                <w:szCs w:val="20"/>
              </w:rPr>
            </w:pPr>
            <w:r w:rsidRPr="00154588">
              <w:rPr>
                <w:bCs/>
                <w:sz w:val="20"/>
                <w:szCs w:val="20"/>
              </w:rPr>
              <w:t>(1)   Statele membre garantează că prezentul articol este respectat în momentul aplicării de către autoritățile de rezoluție a competențelor de reducere a valorii contabile și de conversie datoriilor care provin din instrumente financiare derivate.</w:t>
            </w:r>
          </w:p>
        </w:tc>
        <w:tc>
          <w:tcPr>
            <w:tcW w:w="4819" w:type="dxa"/>
          </w:tcPr>
          <w:p w14:paraId="48F75E5F" w14:textId="77777777" w:rsidR="00F4284C" w:rsidRPr="00154588" w:rsidRDefault="00F4284C" w:rsidP="008C12B4">
            <w:pPr>
              <w:jc w:val="both"/>
              <w:rPr>
                <w:bCs/>
                <w:sz w:val="20"/>
                <w:szCs w:val="20"/>
              </w:rPr>
            </w:pPr>
            <w:r w:rsidRPr="00154588">
              <w:rPr>
                <w:b/>
                <w:bCs/>
                <w:sz w:val="20"/>
                <w:szCs w:val="20"/>
              </w:rPr>
              <w:t>Articolul 185.</w:t>
            </w:r>
            <w:r w:rsidRPr="00154588">
              <w:rPr>
                <w:bCs/>
                <w:sz w:val="20"/>
                <w:szCs w:val="20"/>
              </w:rPr>
              <w:t xml:space="preserve"> – Banca Naţională a Moldovei, în calitate de autoritate de rezoluţie, aplică competenţele de reducere a valorii şi de conversie a datoriilor care provin din instrumente financiare derivate, cu respectarea prevederilor art.186-189.</w:t>
            </w:r>
          </w:p>
          <w:p w14:paraId="2C42BDEA" w14:textId="77777777" w:rsidR="00F4284C" w:rsidRPr="00154588" w:rsidRDefault="00F4284C" w:rsidP="008C12B4">
            <w:pPr>
              <w:jc w:val="both"/>
              <w:rPr>
                <w:bCs/>
                <w:sz w:val="20"/>
                <w:szCs w:val="20"/>
              </w:rPr>
            </w:pPr>
          </w:p>
        </w:tc>
        <w:tc>
          <w:tcPr>
            <w:tcW w:w="2552" w:type="dxa"/>
          </w:tcPr>
          <w:p w14:paraId="21C4F78F" w14:textId="60D56A0D" w:rsidR="00F4284C" w:rsidRPr="00154588" w:rsidRDefault="00F4284C" w:rsidP="008C12B4">
            <w:pPr>
              <w:jc w:val="both"/>
              <w:rPr>
                <w:bCs/>
                <w:sz w:val="20"/>
                <w:szCs w:val="20"/>
              </w:rPr>
            </w:pPr>
            <w:r w:rsidRPr="00154588">
              <w:rPr>
                <w:bCs/>
                <w:sz w:val="20"/>
                <w:szCs w:val="20"/>
              </w:rPr>
              <w:t>Compatibil</w:t>
            </w:r>
          </w:p>
        </w:tc>
        <w:tc>
          <w:tcPr>
            <w:tcW w:w="3118" w:type="dxa"/>
          </w:tcPr>
          <w:p w14:paraId="1C59DE3A" w14:textId="77777777" w:rsidR="00F4284C" w:rsidRPr="00154588" w:rsidRDefault="00F4284C" w:rsidP="008C12B4">
            <w:pPr>
              <w:jc w:val="both"/>
              <w:rPr>
                <w:bCs/>
                <w:sz w:val="20"/>
                <w:szCs w:val="20"/>
              </w:rPr>
            </w:pPr>
          </w:p>
        </w:tc>
      </w:tr>
      <w:tr w:rsidR="00F4284C" w:rsidRPr="00154588" w14:paraId="11DFAD0F" w14:textId="77777777" w:rsidTr="00D15C1B">
        <w:trPr>
          <w:jc w:val="center"/>
        </w:trPr>
        <w:tc>
          <w:tcPr>
            <w:tcW w:w="4957" w:type="dxa"/>
            <w:gridSpan w:val="2"/>
          </w:tcPr>
          <w:p w14:paraId="58F4D4EA" w14:textId="77777777" w:rsidR="00F4284C" w:rsidRPr="00154588" w:rsidRDefault="00F4284C" w:rsidP="008C12B4">
            <w:pPr>
              <w:jc w:val="both"/>
              <w:rPr>
                <w:bCs/>
                <w:sz w:val="20"/>
                <w:szCs w:val="20"/>
              </w:rPr>
            </w:pPr>
            <w:r w:rsidRPr="00154588">
              <w:rPr>
                <w:bCs/>
                <w:sz w:val="20"/>
                <w:szCs w:val="20"/>
              </w:rPr>
              <w:lastRenderedPageBreak/>
              <w:t>(2)   Autoritățile de rezoluție își exercită competențele de reducere a valorii contabile și de conversie în raport cu o datorie care provine dintr-un instrument financiar derivat numai în momentul închiderii sau după închiderea instrumentelor financiare derivate. La intrarea în procedura de rezoluție, autoritățile de rezoluție sunt împuternicite să pună capăt și să închidă orice contract derivat în acest scop.</w:t>
            </w:r>
          </w:p>
          <w:p w14:paraId="424282B1" w14:textId="4398F6DE" w:rsidR="00F4284C" w:rsidRPr="00154588" w:rsidRDefault="00F4284C" w:rsidP="008C12B4">
            <w:pPr>
              <w:jc w:val="both"/>
              <w:rPr>
                <w:bCs/>
                <w:sz w:val="20"/>
                <w:szCs w:val="20"/>
              </w:rPr>
            </w:pPr>
            <w:r w:rsidRPr="00154588">
              <w:rPr>
                <w:bCs/>
                <w:sz w:val="20"/>
                <w:szCs w:val="20"/>
              </w:rPr>
              <w:t>În cazul în care o datorie derivată a fost exclusă de la aplicarea instrumentului de recapitalizare internă în temeiul articolului 44 alineatul (3), autoritățile de rezoluție nu sunt obligate să pună capăt contractului derivat sau să îl închidă.</w:t>
            </w:r>
          </w:p>
        </w:tc>
        <w:tc>
          <w:tcPr>
            <w:tcW w:w="4819" w:type="dxa"/>
          </w:tcPr>
          <w:p w14:paraId="1D76D46A" w14:textId="77777777" w:rsidR="00F4284C" w:rsidRPr="00154588" w:rsidRDefault="00F4284C" w:rsidP="008C12B4">
            <w:pPr>
              <w:jc w:val="both"/>
              <w:rPr>
                <w:bCs/>
                <w:sz w:val="20"/>
                <w:szCs w:val="20"/>
              </w:rPr>
            </w:pPr>
            <w:r w:rsidRPr="00154588">
              <w:rPr>
                <w:b/>
                <w:bCs/>
                <w:sz w:val="20"/>
                <w:szCs w:val="20"/>
              </w:rPr>
              <w:t>Articolul 186.</w:t>
            </w:r>
            <w:r w:rsidRPr="00154588">
              <w:rPr>
                <w:bCs/>
                <w:sz w:val="20"/>
                <w:szCs w:val="20"/>
              </w:rPr>
              <w:t xml:space="preserve"> – (1) Banca Naţională a Moldovei, în calitate de autoritate de rezoluţie, îşi exercită competenţele de reducere a valorii sau de conversie în raport cu o datorie care decurge dintr-un instrument financiar derivat numai în momentul lichidării sau după lichidarea instrumentelor financiare derivate.</w:t>
            </w:r>
          </w:p>
          <w:p w14:paraId="72BF9C61" w14:textId="77777777" w:rsidR="00F4284C" w:rsidRPr="00154588" w:rsidRDefault="00F4284C" w:rsidP="008C12B4">
            <w:pPr>
              <w:jc w:val="both"/>
              <w:rPr>
                <w:bCs/>
                <w:sz w:val="20"/>
                <w:szCs w:val="20"/>
              </w:rPr>
            </w:pPr>
            <w:r w:rsidRPr="00154588" w:rsidDel="00DE173F">
              <w:rPr>
                <w:bCs/>
                <w:sz w:val="20"/>
                <w:szCs w:val="20"/>
              </w:rPr>
              <w:t xml:space="preserve">(2) La intrarea în procedura de rezoluţie, Banca Naţională a Moldovei, în calitate de autoritate de rezoluţie, </w:t>
            </w:r>
            <w:r w:rsidRPr="00154588">
              <w:rPr>
                <w:bCs/>
                <w:sz w:val="20"/>
                <w:szCs w:val="20"/>
              </w:rPr>
              <w:t>nu este obligată să rezoluționeze contractul derivat sau să îl lichideze în cazul în care o datorie care decurge dintr-un instrument financiar derivat a fost exclusă de la aplicarea instrumentului de recapitalizare internă în temeiul art.155</w:t>
            </w:r>
            <w:r w:rsidRPr="00154588">
              <w:rPr>
                <w:bCs/>
                <w:sz w:val="20"/>
                <w:szCs w:val="20"/>
                <w:vertAlign w:val="superscript"/>
              </w:rPr>
              <w:t>1</w:t>
            </w:r>
            <w:r w:rsidRPr="00154588">
              <w:rPr>
                <w:bCs/>
                <w:sz w:val="20"/>
                <w:szCs w:val="20"/>
              </w:rPr>
              <w:t>.</w:t>
            </w:r>
          </w:p>
          <w:p w14:paraId="6E289061" w14:textId="77777777" w:rsidR="00F4284C" w:rsidRPr="00154588" w:rsidRDefault="00F4284C" w:rsidP="008C12B4">
            <w:pPr>
              <w:jc w:val="both"/>
              <w:rPr>
                <w:bCs/>
                <w:sz w:val="20"/>
                <w:szCs w:val="20"/>
              </w:rPr>
            </w:pPr>
          </w:p>
        </w:tc>
        <w:tc>
          <w:tcPr>
            <w:tcW w:w="2552" w:type="dxa"/>
          </w:tcPr>
          <w:p w14:paraId="66BDE27D" w14:textId="79A5DC36" w:rsidR="00F4284C" w:rsidRPr="00154588" w:rsidRDefault="00F4284C" w:rsidP="008C12B4">
            <w:pPr>
              <w:jc w:val="both"/>
              <w:rPr>
                <w:bCs/>
                <w:sz w:val="20"/>
                <w:szCs w:val="20"/>
              </w:rPr>
            </w:pPr>
            <w:r w:rsidRPr="00154588">
              <w:rPr>
                <w:bCs/>
                <w:sz w:val="20"/>
                <w:szCs w:val="20"/>
              </w:rPr>
              <w:t>Compatibil</w:t>
            </w:r>
          </w:p>
        </w:tc>
        <w:tc>
          <w:tcPr>
            <w:tcW w:w="3118" w:type="dxa"/>
          </w:tcPr>
          <w:p w14:paraId="1DA6BF10" w14:textId="77777777" w:rsidR="00F4284C" w:rsidRPr="00154588" w:rsidRDefault="00F4284C" w:rsidP="008C12B4">
            <w:pPr>
              <w:jc w:val="both"/>
              <w:rPr>
                <w:bCs/>
                <w:sz w:val="20"/>
                <w:szCs w:val="20"/>
              </w:rPr>
            </w:pPr>
          </w:p>
        </w:tc>
      </w:tr>
      <w:tr w:rsidR="00F4284C" w:rsidRPr="00154588" w14:paraId="2A648372" w14:textId="77777777" w:rsidTr="00D15C1B">
        <w:trPr>
          <w:jc w:val="center"/>
        </w:trPr>
        <w:tc>
          <w:tcPr>
            <w:tcW w:w="4957" w:type="dxa"/>
            <w:gridSpan w:val="2"/>
          </w:tcPr>
          <w:p w14:paraId="49F69238" w14:textId="4611915E" w:rsidR="00F4284C" w:rsidRPr="00154588" w:rsidRDefault="00F4284C" w:rsidP="008C12B4">
            <w:pPr>
              <w:jc w:val="both"/>
              <w:rPr>
                <w:bCs/>
                <w:sz w:val="20"/>
                <w:szCs w:val="20"/>
              </w:rPr>
            </w:pPr>
            <w:r w:rsidRPr="00154588">
              <w:rPr>
                <w:bCs/>
                <w:sz w:val="20"/>
                <w:szCs w:val="20"/>
              </w:rPr>
              <w:t>(3)   În cazul în care tranzacțiile derivate fac obiectul unui acord de compensare, autoritatea de rezoluție sau un evaluator independent stabilește, ca parte a evaluării desfășurate în conformitate cu articolul 36, pasivul ce rezultă din respectivele tranzacții pe o bază netă, în conformitate cu dispozițiile acordului în cauză.</w:t>
            </w:r>
          </w:p>
        </w:tc>
        <w:tc>
          <w:tcPr>
            <w:tcW w:w="4819" w:type="dxa"/>
          </w:tcPr>
          <w:p w14:paraId="35B3382F" w14:textId="77777777" w:rsidR="00F4284C" w:rsidRPr="00154588" w:rsidRDefault="00F4284C" w:rsidP="008C12B4">
            <w:pPr>
              <w:jc w:val="both"/>
              <w:rPr>
                <w:bCs/>
                <w:sz w:val="20"/>
                <w:szCs w:val="20"/>
              </w:rPr>
            </w:pPr>
            <w:r w:rsidRPr="00154588">
              <w:rPr>
                <w:b/>
                <w:bCs/>
                <w:sz w:val="20"/>
                <w:szCs w:val="20"/>
              </w:rPr>
              <w:t>Articolul 188.</w:t>
            </w:r>
            <w:r w:rsidRPr="00154588">
              <w:rPr>
                <w:bCs/>
                <w:sz w:val="20"/>
                <w:szCs w:val="20"/>
              </w:rPr>
              <w:t xml:space="preserve"> – În cazul în care tranzacţiile cu instrumente financiare derivate fac obiectul unui acord de compensare, Banca Naţională a Moldovei, în calitate de autoritate de rezoluţie, sau o persoană independentă stabileşte, ca parte a evaluării desfăşurate în conformitate cu prevederile art.72-84, datoria ce rezultă din respectivele tranzacţii pe o bază netă, în conformitate cu dispoziţiile acordului în cauză.</w:t>
            </w:r>
          </w:p>
          <w:p w14:paraId="234825E9" w14:textId="77777777" w:rsidR="00F4284C" w:rsidRPr="00154588" w:rsidRDefault="00F4284C" w:rsidP="008C12B4">
            <w:pPr>
              <w:jc w:val="both"/>
              <w:rPr>
                <w:bCs/>
                <w:sz w:val="20"/>
                <w:szCs w:val="20"/>
              </w:rPr>
            </w:pPr>
          </w:p>
        </w:tc>
        <w:tc>
          <w:tcPr>
            <w:tcW w:w="2552" w:type="dxa"/>
          </w:tcPr>
          <w:p w14:paraId="662B07DC" w14:textId="2277908E" w:rsidR="00F4284C" w:rsidRPr="00154588" w:rsidRDefault="00F4284C" w:rsidP="008C12B4">
            <w:pPr>
              <w:jc w:val="both"/>
              <w:rPr>
                <w:bCs/>
                <w:sz w:val="20"/>
                <w:szCs w:val="20"/>
              </w:rPr>
            </w:pPr>
            <w:r w:rsidRPr="00154588">
              <w:rPr>
                <w:bCs/>
                <w:sz w:val="20"/>
                <w:szCs w:val="20"/>
              </w:rPr>
              <w:t>Compatibil</w:t>
            </w:r>
          </w:p>
          <w:p w14:paraId="24458AB2" w14:textId="77777777" w:rsidR="00F4284C" w:rsidRPr="00154588" w:rsidRDefault="00F4284C" w:rsidP="008C12B4">
            <w:pPr>
              <w:ind w:firstLine="708"/>
              <w:rPr>
                <w:sz w:val="20"/>
                <w:szCs w:val="20"/>
              </w:rPr>
            </w:pPr>
          </w:p>
        </w:tc>
        <w:tc>
          <w:tcPr>
            <w:tcW w:w="3118" w:type="dxa"/>
          </w:tcPr>
          <w:p w14:paraId="1AE693C0" w14:textId="77777777" w:rsidR="00F4284C" w:rsidRPr="00154588" w:rsidRDefault="00F4284C" w:rsidP="008C12B4">
            <w:pPr>
              <w:jc w:val="both"/>
              <w:rPr>
                <w:bCs/>
                <w:sz w:val="20"/>
                <w:szCs w:val="20"/>
              </w:rPr>
            </w:pPr>
          </w:p>
        </w:tc>
      </w:tr>
      <w:tr w:rsidR="00F4284C" w:rsidRPr="00154588" w14:paraId="4AE5142D" w14:textId="77777777" w:rsidTr="00D15C1B">
        <w:trPr>
          <w:jc w:val="center"/>
        </w:trPr>
        <w:tc>
          <w:tcPr>
            <w:tcW w:w="4957" w:type="dxa"/>
            <w:gridSpan w:val="2"/>
          </w:tcPr>
          <w:p w14:paraId="04105BC3" w14:textId="77777777" w:rsidR="00F4284C" w:rsidRPr="00154588" w:rsidRDefault="00F4284C" w:rsidP="008C12B4">
            <w:pPr>
              <w:jc w:val="both"/>
              <w:rPr>
                <w:bCs/>
                <w:sz w:val="20"/>
                <w:szCs w:val="20"/>
              </w:rPr>
            </w:pPr>
            <w:r w:rsidRPr="00154588">
              <w:rPr>
                <w:bCs/>
                <w:sz w:val="20"/>
                <w:szCs w:val="20"/>
              </w:rPr>
              <w:t>(4)   Autoritățile de rezoluție stabilesc cuantumul datoriei ce provin din instrumente financiare derivate pe baza:</w:t>
            </w:r>
          </w:p>
          <w:p w14:paraId="14E34D34" w14:textId="77777777" w:rsidR="00F4284C" w:rsidRPr="00154588" w:rsidRDefault="00F4284C" w:rsidP="008C12B4">
            <w:pPr>
              <w:jc w:val="both"/>
              <w:rPr>
                <w:bCs/>
                <w:sz w:val="20"/>
                <w:szCs w:val="20"/>
              </w:rPr>
            </w:pPr>
          </w:p>
          <w:p w14:paraId="11FD6141" w14:textId="77777777" w:rsidR="00F4284C" w:rsidRPr="00154588" w:rsidRDefault="00F4284C" w:rsidP="008C12B4">
            <w:pPr>
              <w:jc w:val="both"/>
              <w:rPr>
                <w:bCs/>
                <w:sz w:val="20"/>
                <w:szCs w:val="20"/>
              </w:rPr>
            </w:pPr>
          </w:p>
          <w:p w14:paraId="5ACCAAD2" w14:textId="6AD1FCFC" w:rsidR="00F4284C" w:rsidRPr="00154588" w:rsidRDefault="00F4284C" w:rsidP="008C12B4">
            <w:pPr>
              <w:jc w:val="both"/>
              <w:rPr>
                <w:bCs/>
                <w:sz w:val="20"/>
                <w:szCs w:val="20"/>
              </w:rPr>
            </w:pPr>
            <w:r w:rsidRPr="00154588">
              <w:rPr>
                <w:bCs/>
                <w:sz w:val="20"/>
                <w:szCs w:val="20"/>
              </w:rPr>
              <w:t>(a) unor metode adecvate pentru determinarea valorii categoriilor de instrumente financiare derivate, inclusiv a tranzacțiilor care fac obiectul unor acorduri de compensare;</w:t>
            </w:r>
          </w:p>
          <w:p w14:paraId="78C22A28" w14:textId="77777777" w:rsidR="00F4284C" w:rsidRPr="00154588" w:rsidRDefault="00F4284C" w:rsidP="008C12B4">
            <w:pPr>
              <w:jc w:val="both"/>
              <w:rPr>
                <w:bCs/>
                <w:sz w:val="20"/>
                <w:szCs w:val="20"/>
              </w:rPr>
            </w:pPr>
          </w:p>
          <w:p w14:paraId="4101CC03" w14:textId="04249698" w:rsidR="00F4284C" w:rsidRPr="00154588" w:rsidRDefault="00F4284C" w:rsidP="008C12B4">
            <w:pPr>
              <w:jc w:val="both"/>
              <w:rPr>
                <w:bCs/>
                <w:sz w:val="20"/>
                <w:szCs w:val="20"/>
              </w:rPr>
            </w:pPr>
            <w:r w:rsidRPr="00154588">
              <w:rPr>
                <w:bCs/>
                <w:sz w:val="20"/>
                <w:szCs w:val="20"/>
              </w:rPr>
              <w:t>(b) unor principii de stabilire a momentului exact la care trebuie determinată valoarea unei poziții pe instrumente financiare derivate; și</w:t>
            </w:r>
          </w:p>
          <w:p w14:paraId="7CFC6029" w14:textId="77777777" w:rsidR="00F4284C" w:rsidRPr="00154588" w:rsidRDefault="00F4284C" w:rsidP="008C12B4">
            <w:pPr>
              <w:jc w:val="both"/>
              <w:rPr>
                <w:bCs/>
                <w:sz w:val="20"/>
                <w:szCs w:val="20"/>
              </w:rPr>
            </w:pPr>
          </w:p>
          <w:p w14:paraId="410611DC" w14:textId="1B617079" w:rsidR="00F4284C" w:rsidRPr="00154588" w:rsidRDefault="00F4284C" w:rsidP="008C12B4">
            <w:pPr>
              <w:jc w:val="both"/>
              <w:rPr>
                <w:bCs/>
                <w:sz w:val="20"/>
                <w:szCs w:val="20"/>
              </w:rPr>
            </w:pPr>
            <w:r w:rsidRPr="00154588">
              <w:rPr>
                <w:bCs/>
                <w:sz w:val="20"/>
                <w:szCs w:val="20"/>
              </w:rPr>
              <w:t>(c) unor metodologii adecvate pentru compararea distrugerii valorii care ar rezulta din închiderea și recapitalizarea internă a instrumentelor financiare derivate cu valoarea pierderilor care ar fi suportate de instrumentele financiare derivate într-o recapitalizare internă.</w:t>
            </w:r>
          </w:p>
        </w:tc>
        <w:tc>
          <w:tcPr>
            <w:tcW w:w="4819" w:type="dxa"/>
          </w:tcPr>
          <w:p w14:paraId="469C33F9" w14:textId="77777777" w:rsidR="00F4284C" w:rsidRPr="00154588" w:rsidRDefault="00F4284C" w:rsidP="008C12B4">
            <w:pPr>
              <w:jc w:val="both"/>
              <w:rPr>
                <w:bCs/>
                <w:sz w:val="20"/>
                <w:szCs w:val="20"/>
              </w:rPr>
            </w:pPr>
            <w:r w:rsidRPr="00154588">
              <w:rPr>
                <w:b/>
                <w:bCs/>
                <w:sz w:val="20"/>
                <w:szCs w:val="20"/>
              </w:rPr>
              <w:t>Articolul 189.</w:t>
            </w:r>
            <w:r w:rsidRPr="00154588">
              <w:rPr>
                <w:bCs/>
                <w:sz w:val="20"/>
                <w:szCs w:val="20"/>
              </w:rPr>
              <w:t xml:space="preserve"> – Banca Naţională a Moldovei, în calitate de autoritate de rezoluţie, stabileşte cuantumul datoriilor care provin din instrumente financiare derivate pe baza:</w:t>
            </w:r>
          </w:p>
          <w:p w14:paraId="7182B185" w14:textId="77777777" w:rsidR="00F4284C" w:rsidRPr="00154588" w:rsidRDefault="00F4284C" w:rsidP="008C12B4">
            <w:pPr>
              <w:jc w:val="both"/>
              <w:rPr>
                <w:bCs/>
                <w:sz w:val="20"/>
                <w:szCs w:val="20"/>
              </w:rPr>
            </w:pPr>
            <w:r w:rsidRPr="00154588">
              <w:rPr>
                <w:bCs/>
                <w:sz w:val="20"/>
                <w:szCs w:val="20"/>
              </w:rPr>
              <w:t>a) unor metodologii adecvate pentru determinarea valorii categoriilor de instrumente financiare derivate, inclusiv a tranzacţiilor care fac obiectul unor acorduri de compensare;</w:t>
            </w:r>
          </w:p>
          <w:p w14:paraId="3DE121E5" w14:textId="77777777" w:rsidR="00F4284C" w:rsidRPr="00154588" w:rsidRDefault="00F4284C" w:rsidP="008C12B4">
            <w:pPr>
              <w:jc w:val="both"/>
              <w:rPr>
                <w:bCs/>
                <w:sz w:val="20"/>
                <w:szCs w:val="20"/>
              </w:rPr>
            </w:pPr>
            <w:r w:rsidRPr="00154588">
              <w:rPr>
                <w:bCs/>
                <w:sz w:val="20"/>
                <w:szCs w:val="20"/>
              </w:rPr>
              <w:t>b) unor principii de stabilire a momentului exact la care trebuie determinată valoarea unei poziţii pe instrumente financiare derivate; şi</w:t>
            </w:r>
          </w:p>
          <w:p w14:paraId="00DE1B4C" w14:textId="77777777" w:rsidR="00F4284C" w:rsidRPr="00154588" w:rsidRDefault="00F4284C" w:rsidP="008C12B4">
            <w:pPr>
              <w:jc w:val="both"/>
              <w:rPr>
                <w:bCs/>
                <w:sz w:val="20"/>
                <w:szCs w:val="20"/>
              </w:rPr>
            </w:pPr>
            <w:r w:rsidRPr="00154588">
              <w:rPr>
                <w:bCs/>
                <w:sz w:val="20"/>
                <w:szCs w:val="20"/>
              </w:rPr>
              <w:t>c) unor metodologii adecvate pentru compararea pierderii de valoare care ar rezulta din lichidarea şi utilizarea instrumentelor financiare derivate pentru recapitalizarea internă, cu valoarea pierderilor care ar fi suportate de instrumentele financiare derivate într-o recapitalizare internă.</w:t>
            </w:r>
          </w:p>
          <w:p w14:paraId="7D98A25B" w14:textId="77777777" w:rsidR="00F4284C" w:rsidRPr="00154588" w:rsidRDefault="00F4284C" w:rsidP="008C12B4">
            <w:pPr>
              <w:jc w:val="both"/>
              <w:rPr>
                <w:bCs/>
                <w:sz w:val="20"/>
                <w:szCs w:val="20"/>
              </w:rPr>
            </w:pPr>
          </w:p>
        </w:tc>
        <w:tc>
          <w:tcPr>
            <w:tcW w:w="2552" w:type="dxa"/>
          </w:tcPr>
          <w:p w14:paraId="11535181" w14:textId="6285E166" w:rsidR="00F4284C" w:rsidRPr="00154588" w:rsidRDefault="00F4284C" w:rsidP="008C12B4">
            <w:pPr>
              <w:jc w:val="both"/>
              <w:rPr>
                <w:bCs/>
                <w:sz w:val="20"/>
                <w:szCs w:val="20"/>
              </w:rPr>
            </w:pPr>
            <w:r w:rsidRPr="00154588">
              <w:rPr>
                <w:bCs/>
                <w:sz w:val="20"/>
                <w:szCs w:val="20"/>
              </w:rPr>
              <w:t>Compatibil</w:t>
            </w:r>
          </w:p>
        </w:tc>
        <w:tc>
          <w:tcPr>
            <w:tcW w:w="3118" w:type="dxa"/>
          </w:tcPr>
          <w:p w14:paraId="446A87D9" w14:textId="77777777" w:rsidR="00F4284C" w:rsidRPr="00154588" w:rsidRDefault="00F4284C" w:rsidP="008C12B4">
            <w:pPr>
              <w:jc w:val="both"/>
              <w:rPr>
                <w:bCs/>
                <w:sz w:val="20"/>
                <w:szCs w:val="20"/>
              </w:rPr>
            </w:pPr>
          </w:p>
        </w:tc>
      </w:tr>
      <w:tr w:rsidR="00F4284C" w:rsidRPr="00154588" w14:paraId="68411142" w14:textId="77777777" w:rsidTr="00D15C1B">
        <w:trPr>
          <w:jc w:val="center"/>
        </w:trPr>
        <w:tc>
          <w:tcPr>
            <w:tcW w:w="4957" w:type="dxa"/>
            <w:gridSpan w:val="2"/>
          </w:tcPr>
          <w:p w14:paraId="2118A05E" w14:textId="77777777" w:rsidR="00F4284C" w:rsidRPr="00154588" w:rsidRDefault="00F4284C" w:rsidP="008C12B4">
            <w:pPr>
              <w:jc w:val="both"/>
              <w:rPr>
                <w:bCs/>
                <w:sz w:val="20"/>
                <w:szCs w:val="20"/>
              </w:rPr>
            </w:pPr>
            <w:r w:rsidRPr="00154588">
              <w:rPr>
                <w:bCs/>
                <w:sz w:val="20"/>
                <w:szCs w:val="20"/>
              </w:rPr>
              <w:lastRenderedPageBreak/>
              <w:t>(5)   ABE, după consultarea Autorității europene de supraveghere (Autoritatea Europeană pentru Valori Mobiliare și Piețe) (AEVMP), instituită prin Regulamentul (UE) nr. 1095/2010, elaborează proiecte de standarde tehnice de reglementare pentru precizarea metodologiilor și a principiilor menționate la alineatul (4) literele (a), (b) și (c) privind evaluarea pasivelor ce rezultă din instrumente financiare derivate:</w:t>
            </w:r>
          </w:p>
          <w:p w14:paraId="7FDF29C1" w14:textId="77777777" w:rsidR="00F4284C" w:rsidRPr="00154588" w:rsidRDefault="00F4284C" w:rsidP="008C12B4">
            <w:pPr>
              <w:jc w:val="both"/>
              <w:rPr>
                <w:bCs/>
                <w:sz w:val="20"/>
                <w:szCs w:val="20"/>
              </w:rPr>
            </w:pPr>
          </w:p>
          <w:p w14:paraId="25FC7181" w14:textId="77777777" w:rsidR="00F4284C" w:rsidRPr="00154588" w:rsidRDefault="00F4284C" w:rsidP="008C12B4">
            <w:pPr>
              <w:jc w:val="both"/>
              <w:rPr>
                <w:bCs/>
                <w:sz w:val="20"/>
                <w:szCs w:val="20"/>
              </w:rPr>
            </w:pPr>
            <w:r w:rsidRPr="00154588">
              <w:rPr>
                <w:bCs/>
                <w:sz w:val="20"/>
                <w:szCs w:val="20"/>
              </w:rPr>
              <w:t xml:space="preserve">În ceea ce privește tranzacțiile cu instrumente financiare derivate care fac obiectul unui acord de compensare, ABE ia în considerare metodologia pentru închidere stabilită în acordul de compensare. </w:t>
            </w:r>
          </w:p>
          <w:p w14:paraId="3DE6BEB8" w14:textId="77777777" w:rsidR="00F4284C" w:rsidRPr="00154588" w:rsidRDefault="00F4284C" w:rsidP="008C12B4">
            <w:pPr>
              <w:jc w:val="both"/>
              <w:rPr>
                <w:bCs/>
                <w:sz w:val="20"/>
                <w:szCs w:val="20"/>
              </w:rPr>
            </w:pPr>
          </w:p>
          <w:p w14:paraId="48CCF23E" w14:textId="609B3901" w:rsidR="00F4284C" w:rsidRPr="00154588" w:rsidRDefault="00F4284C" w:rsidP="008C12B4">
            <w:pPr>
              <w:jc w:val="both"/>
              <w:rPr>
                <w:bCs/>
                <w:sz w:val="20"/>
                <w:szCs w:val="20"/>
              </w:rPr>
            </w:pPr>
            <w:r w:rsidRPr="00154588">
              <w:rPr>
                <w:bCs/>
                <w:sz w:val="20"/>
                <w:szCs w:val="20"/>
              </w:rPr>
              <w:t>ABE înaintează Comisiei aceste proiecte de standarde tehnice de reglementare până la 3 ianuarie 2016.</w:t>
            </w:r>
          </w:p>
          <w:p w14:paraId="797601EC" w14:textId="77777777" w:rsidR="00F4284C" w:rsidRPr="00154588" w:rsidRDefault="00F4284C" w:rsidP="008C12B4">
            <w:pPr>
              <w:jc w:val="both"/>
              <w:rPr>
                <w:bCs/>
                <w:sz w:val="20"/>
                <w:szCs w:val="20"/>
              </w:rPr>
            </w:pPr>
          </w:p>
          <w:p w14:paraId="28E1E10A" w14:textId="3F34ACED" w:rsidR="00F4284C" w:rsidRPr="00154588" w:rsidRDefault="00F4284C" w:rsidP="008C12B4">
            <w:pPr>
              <w:jc w:val="both"/>
              <w:rPr>
                <w:bCs/>
                <w:sz w:val="20"/>
                <w:szCs w:val="20"/>
              </w:rPr>
            </w:pPr>
            <w:r w:rsidRPr="00154588">
              <w:rPr>
                <w:bCs/>
                <w:sz w:val="20"/>
                <w:szCs w:val="20"/>
              </w:rPr>
              <w:t>Se deleagă Comisiei competența de a adopta standardele tehnice de reglementare menționate la primul paragraf, în conformitate cu articolele 10-14 din Regulamentul (UE) nr. 1093/2010.</w:t>
            </w:r>
          </w:p>
        </w:tc>
        <w:tc>
          <w:tcPr>
            <w:tcW w:w="4819" w:type="dxa"/>
          </w:tcPr>
          <w:p w14:paraId="492212BC" w14:textId="77777777" w:rsidR="00F4284C" w:rsidRPr="00154588" w:rsidRDefault="00F4284C" w:rsidP="008C12B4">
            <w:pPr>
              <w:jc w:val="both"/>
              <w:rPr>
                <w:bCs/>
                <w:sz w:val="20"/>
                <w:szCs w:val="20"/>
              </w:rPr>
            </w:pPr>
          </w:p>
        </w:tc>
        <w:tc>
          <w:tcPr>
            <w:tcW w:w="2552" w:type="dxa"/>
          </w:tcPr>
          <w:p w14:paraId="13BBBFCD" w14:textId="4524F267"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24B9CBCE" w14:textId="49FE5246" w:rsidR="00F4284C" w:rsidRPr="00154588" w:rsidRDefault="00F4284C" w:rsidP="008C12B4">
            <w:pPr>
              <w:jc w:val="both"/>
              <w:rPr>
                <w:bCs/>
                <w:sz w:val="20"/>
                <w:szCs w:val="20"/>
              </w:rPr>
            </w:pPr>
            <w:r w:rsidRPr="00154588">
              <w:rPr>
                <w:bCs/>
                <w:sz w:val="20"/>
                <w:szCs w:val="20"/>
                <w:lang w:val="ro-MD"/>
              </w:rPr>
              <w:t>Prevederi care se referă la atribuțiile de reglementare ale autorităților europene.</w:t>
            </w:r>
          </w:p>
        </w:tc>
      </w:tr>
      <w:tr w:rsidR="00F4284C" w:rsidRPr="00154588" w14:paraId="5CD1F1B4" w14:textId="77777777" w:rsidTr="00D15C1B">
        <w:trPr>
          <w:jc w:val="center"/>
        </w:trPr>
        <w:tc>
          <w:tcPr>
            <w:tcW w:w="4957" w:type="dxa"/>
            <w:gridSpan w:val="2"/>
          </w:tcPr>
          <w:p w14:paraId="06FA0BB2" w14:textId="77777777" w:rsidR="00F4284C" w:rsidRPr="00154588" w:rsidRDefault="00F4284C" w:rsidP="008C12B4">
            <w:pPr>
              <w:jc w:val="both"/>
              <w:rPr>
                <w:b/>
                <w:sz w:val="20"/>
                <w:szCs w:val="20"/>
              </w:rPr>
            </w:pPr>
            <w:r w:rsidRPr="00154588">
              <w:rPr>
                <w:b/>
                <w:sz w:val="20"/>
                <w:szCs w:val="20"/>
              </w:rPr>
              <w:t>Articolul 50</w:t>
            </w:r>
          </w:p>
          <w:p w14:paraId="419F6B0E" w14:textId="77777777" w:rsidR="00F4284C" w:rsidRPr="00154588" w:rsidRDefault="00F4284C" w:rsidP="008C12B4">
            <w:pPr>
              <w:jc w:val="both"/>
              <w:rPr>
                <w:b/>
                <w:sz w:val="20"/>
                <w:szCs w:val="20"/>
              </w:rPr>
            </w:pPr>
          </w:p>
          <w:p w14:paraId="73253B3E" w14:textId="1BDAC531" w:rsidR="00F4284C" w:rsidRPr="00154588" w:rsidRDefault="00F4284C" w:rsidP="008C12B4">
            <w:pPr>
              <w:jc w:val="both"/>
              <w:rPr>
                <w:b/>
                <w:sz w:val="20"/>
                <w:szCs w:val="20"/>
              </w:rPr>
            </w:pPr>
            <w:r w:rsidRPr="00154588">
              <w:rPr>
                <w:b/>
                <w:sz w:val="20"/>
                <w:szCs w:val="20"/>
              </w:rPr>
              <w:t>Rata de conversie a datoriilor în titluri de capital</w:t>
            </w:r>
          </w:p>
        </w:tc>
        <w:tc>
          <w:tcPr>
            <w:tcW w:w="4819" w:type="dxa"/>
          </w:tcPr>
          <w:p w14:paraId="2BB17EC3" w14:textId="77777777" w:rsidR="00F4284C" w:rsidRPr="00154588" w:rsidRDefault="00F4284C" w:rsidP="008C12B4">
            <w:pPr>
              <w:jc w:val="both"/>
              <w:rPr>
                <w:bCs/>
                <w:sz w:val="20"/>
                <w:szCs w:val="20"/>
              </w:rPr>
            </w:pPr>
          </w:p>
        </w:tc>
        <w:tc>
          <w:tcPr>
            <w:tcW w:w="2552" w:type="dxa"/>
          </w:tcPr>
          <w:p w14:paraId="12945BDA" w14:textId="77777777" w:rsidR="00F4284C" w:rsidRPr="00154588" w:rsidRDefault="00F4284C" w:rsidP="008C12B4">
            <w:pPr>
              <w:jc w:val="both"/>
              <w:rPr>
                <w:bCs/>
                <w:sz w:val="20"/>
                <w:szCs w:val="20"/>
              </w:rPr>
            </w:pPr>
          </w:p>
        </w:tc>
        <w:tc>
          <w:tcPr>
            <w:tcW w:w="3118" w:type="dxa"/>
          </w:tcPr>
          <w:p w14:paraId="6094729D" w14:textId="77777777" w:rsidR="00F4284C" w:rsidRPr="00154588" w:rsidRDefault="00F4284C" w:rsidP="008C12B4">
            <w:pPr>
              <w:jc w:val="both"/>
              <w:rPr>
                <w:bCs/>
                <w:sz w:val="20"/>
                <w:szCs w:val="20"/>
              </w:rPr>
            </w:pPr>
          </w:p>
        </w:tc>
      </w:tr>
      <w:tr w:rsidR="00F4284C" w:rsidRPr="00154588" w14:paraId="6721C587" w14:textId="77777777" w:rsidTr="00D15C1B">
        <w:trPr>
          <w:jc w:val="center"/>
        </w:trPr>
        <w:tc>
          <w:tcPr>
            <w:tcW w:w="4957" w:type="dxa"/>
            <w:gridSpan w:val="2"/>
          </w:tcPr>
          <w:p w14:paraId="41A82996" w14:textId="452BB996" w:rsidR="00F4284C" w:rsidRPr="00154588" w:rsidRDefault="00F4284C" w:rsidP="008C12B4">
            <w:pPr>
              <w:jc w:val="both"/>
              <w:rPr>
                <w:bCs/>
                <w:sz w:val="20"/>
                <w:szCs w:val="20"/>
              </w:rPr>
            </w:pPr>
            <w:r w:rsidRPr="00154588">
              <w:rPr>
                <w:bCs/>
                <w:sz w:val="20"/>
                <w:szCs w:val="20"/>
              </w:rPr>
              <w:t>(1)   Statele membre se asigură că, atunci când își exercită competențele prevăzute la articolul 59 alineatul (3) și la articolul 63 alineatul (1) litera (f), autoritățile de rezoluție pot aplica rate de conversie diferite pentru categorii de instrumente de capital și pasive diferite, în conformitate cu cel puțin unul dintre principiile menționate la alineatele (2) și (3) din prezentul articol.</w:t>
            </w:r>
          </w:p>
        </w:tc>
        <w:tc>
          <w:tcPr>
            <w:tcW w:w="4819" w:type="dxa"/>
          </w:tcPr>
          <w:p w14:paraId="5008277A" w14:textId="77777777" w:rsidR="00F4284C" w:rsidRPr="00154588" w:rsidRDefault="00F4284C" w:rsidP="008C12B4">
            <w:pPr>
              <w:jc w:val="both"/>
              <w:rPr>
                <w:bCs/>
                <w:sz w:val="20"/>
                <w:szCs w:val="20"/>
              </w:rPr>
            </w:pPr>
            <w:r w:rsidRPr="00154588">
              <w:rPr>
                <w:b/>
                <w:bCs/>
                <w:sz w:val="20"/>
                <w:szCs w:val="20"/>
              </w:rPr>
              <w:t>Articolul 190.</w:t>
            </w:r>
            <w:r w:rsidRPr="00154588">
              <w:rPr>
                <w:bCs/>
                <w:sz w:val="20"/>
                <w:szCs w:val="20"/>
              </w:rPr>
              <w:t xml:space="preserve"> – (1) Atunci cînd îşi exercită competenţele prevăzute la art.221 şi la art.231 alin.(1) lit.f), Banca Naţională a Moldovei, în calitate de autoritate de rezoluţie, poate aplica rate de conversie diferite pentru diferite categorii de instrumente de capital şi datorii, în conformitate cu cel puţin unul dintre principiile prevăzute la alin.(2) şi (3).</w:t>
            </w:r>
          </w:p>
          <w:p w14:paraId="7F94B35B" w14:textId="77777777" w:rsidR="00F4284C" w:rsidRPr="00154588" w:rsidRDefault="00F4284C" w:rsidP="008C12B4">
            <w:pPr>
              <w:jc w:val="both"/>
              <w:rPr>
                <w:bCs/>
                <w:sz w:val="20"/>
                <w:szCs w:val="20"/>
              </w:rPr>
            </w:pPr>
          </w:p>
        </w:tc>
        <w:tc>
          <w:tcPr>
            <w:tcW w:w="2552" w:type="dxa"/>
          </w:tcPr>
          <w:p w14:paraId="69229AFB" w14:textId="18EAECD5" w:rsidR="00F4284C" w:rsidRPr="00154588" w:rsidRDefault="00F4284C" w:rsidP="008C12B4">
            <w:pPr>
              <w:jc w:val="both"/>
              <w:rPr>
                <w:bCs/>
                <w:sz w:val="20"/>
                <w:szCs w:val="20"/>
              </w:rPr>
            </w:pPr>
            <w:r w:rsidRPr="00154588">
              <w:rPr>
                <w:bCs/>
                <w:sz w:val="20"/>
                <w:szCs w:val="20"/>
              </w:rPr>
              <w:t>Compatibil</w:t>
            </w:r>
          </w:p>
        </w:tc>
        <w:tc>
          <w:tcPr>
            <w:tcW w:w="3118" w:type="dxa"/>
          </w:tcPr>
          <w:p w14:paraId="6FA07FB9" w14:textId="77777777" w:rsidR="00F4284C" w:rsidRPr="00154588" w:rsidRDefault="00F4284C" w:rsidP="008C12B4">
            <w:pPr>
              <w:jc w:val="both"/>
              <w:rPr>
                <w:bCs/>
                <w:sz w:val="20"/>
                <w:szCs w:val="20"/>
              </w:rPr>
            </w:pPr>
          </w:p>
        </w:tc>
      </w:tr>
      <w:tr w:rsidR="00F4284C" w:rsidRPr="00154588" w14:paraId="47C66B84" w14:textId="77777777" w:rsidTr="00D15C1B">
        <w:trPr>
          <w:jc w:val="center"/>
        </w:trPr>
        <w:tc>
          <w:tcPr>
            <w:tcW w:w="4957" w:type="dxa"/>
            <w:gridSpan w:val="2"/>
          </w:tcPr>
          <w:p w14:paraId="462865C5" w14:textId="34067775" w:rsidR="00F4284C" w:rsidRPr="00154588" w:rsidRDefault="00F4284C" w:rsidP="008C12B4">
            <w:pPr>
              <w:jc w:val="both"/>
              <w:rPr>
                <w:bCs/>
                <w:sz w:val="20"/>
                <w:szCs w:val="20"/>
              </w:rPr>
            </w:pPr>
            <w:r w:rsidRPr="00154588">
              <w:rPr>
                <w:bCs/>
                <w:sz w:val="20"/>
                <w:szCs w:val="20"/>
              </w:rPr>
              <w:t>(2)   Rata de conversie trebuie să reprezinte, pentru creditorul afectat, o despăgubire adecvată pentru pierderile suportate ca urmare a exercitării competențelor de reducere a valorii contabile și de conversie.</w:t>
            </w:r>
          </w:p>
        </w:tc>
        <w:tc>
          <w:tcPr>
            <w:tcW w:w="4819" w:type="dxa"/>
          </w:tcPr>
          <w:p w14:paraId="589EB6E4" w14:textId="013DE6C1" w:rsidR="00F4284C" w:rsidRPr="00154588" w:rsidRDefault="00F4284C" w:rsidP="008C12B4">
            <w:pPr>
              <w:jc w:val="both"/>
              <w:rPr>
                <w:bCs/>
                <w:sz w:val="20"/>
                <w:szCs w:val="20"/>
              </w:rPr>
            </w:pPr>
            <w:r w:rsidRPr="00154588">
              <w:rPr>
                <w:b/>
                <w:bCs/>
                <w:sz w:val="20"/>
                <w:szCs w:val="20"/>
              </w:rPr>
              <w:t>Articolul 190.</w:t>
            </w:r>
            <w:r w:rsidRPr="00154588">
              <w:rPr>
                <w:bCs/>
                <w:sz w:val="20"/>
                <w:szCs w:val="20"/>
              </w:rPr>
              <w:t xml:space="preserve"> – (2) Rata de conversie trebuie să reprezinte, pentru creditorul afectat, o despăgubire adecvată pentru orice pierdere suportată ca urmare a exercitării competenţelor de reducere a valorii sau de conversie.</w:t>
            </w:r>
          </w:p>
          <w:p w14:paraId="078CCFD4" w14:textId="77777777" w:rsidR="00F4284C" w:rsidRPr="00154588" w:rsidRDefault="00F4284C" w:rsidP="008C12B4">
            <w:pPr>
              <w:jc w:val="both"/>
              <w:rPr>
                <w:bCs/>
                <w:sz w:val="20"/>
                <w:szCs w:val="20"/>
              </w:rPr>
            </w:pPr>
          </w:p>
        </w:tc>
        <w:tc>
          <w:tcPr>
            <w:tcW w:w="2552" w:type="dxa"/>
          </w:tcPr>
          <w:p w14:paraId="65764998" w14:textId="4D693DC7" w:rsidR="00F4284C" w:rsidRPr="00154588" w:rsidRDefault="00F4284C" w:rsidP="008C12B4">
            <w:pPr>
              <w:jc w:val="both"/>
              <w:rPr>
                <w:bCs/>
                <w:sz w:val="20"/>
                <w:szCs w:val="20"/>
              </w:rPr>
            </w:pPr>
            <w:r w:rsidRPr="00154588">
              <w:rPr>
                <w:bCs/>
                <w:sz w:val="20"/>
                <w:szCs w:val="20"/>
              </w:rPr>
              <w:t>Compatibil</w:t>
            </w:r>
          </w:p>
        </w:tc>
        <w:tc>
          <w:tcPr>
            <w:tcW w:w="3118" w:type="dxa"/>
          </w:tcPr>
          <w:p w14:paraId="05F22E61" w14:textId="77777777" w:rsidR="00F4284C" w:rsidRPr="00154588" w:rsidRDefault="00F4284C" w:rsidP="008C12B4">
            <w:pPr>
              <w:jc w:val="both"/>
              <w:rPr>
                <w:bCs/>
                <w:sz w:val="20"/>
                <w:szCs w:val="20"/>
              </w:rPr>
            </w:pPr>
          </w:p>
        </w:tc>
      </w:tr>
      <w:tr w:rsidR="00F4284C" w:rsidRPr="00154588" w14:paraId="55B9F1C8" w14:textId="77777777" w:rsidTr="00D15C1B">
        <w:trPr>
          <w:jc w:val="center"/>
        </w:trPr>
        <w:tc>
          <w:tcPr>
            <w:tcW w:w="4957" w:type="dxa"/>
            <w:gridSpan w:val="2"/>
          </w:tcPr>
          <w:p w14:paraId="7EE19309" w14:textId="72D0C5B2" w:rsidR="00F4284C" w:rsidRPr="00154588" w:rsidRDefault="00F4284C" w:rsidP="008C12B4">
            <w:pPr>
              <w:jc w:val="both"/>
              <w:rPr>
                <w:bCs/>
                <w:sz w:val="20"/>
                <w:szCs w:val="20"/>
              </w:rPr>
            </w:pPr>
            <w:r w:rsidRPr="00154588">
              <w:rPr>
                <w:bCs/>
                <w:sz w:val="20"/>
                <w:szCs w:val="20"/>
              </w:rPr>
              <w:t xml:space="preserve">(3)   Atunci când sunt aplicate rate de conversie diferite în conformitate cu alineatul (1), rata de conversie aplicabilă pasivelor considerate cu rang prioritar în temeiul legii aplicabile privind insolvența </w:t>
            </w:r>
            <w:r w:rsidRPr="00154588">
              <w:rPr>
                <w:bCs/>
                <w:sz w:val="20"/>
                <w:szCs w:val="20"/>
              </w:rPr>
              <w:lastRenderedPageBreak/>
              <w:t>este mai mare decât cea aplicată pasivelor subordonate.</w:t>
            </w:r>
          </w:p>
        </w:tc>
        <w:tc>
          <w:tcPr>
            <w:tcW w:w="4819" w:type="dxa"/>
          </w:tcPr>
          <w:p w14:paraId="2C3391B6" w14:textId="3ECA25DF" w:rsidR="00F4284C" w:rsidRPr="00154588" w:rsidRDefault="00F4284C" w:rsidP="008C12B4">
            <w:pPr>
              <w:jc w:val="both"/>
              <w:rPr>
                <w:bCs/>
                <w:sz w:val="20"/>
                <w:szCs w:val="20"/>
              </w:rPr>
            </w:pPr>
            <w:r w:rsidRPr="00154588">
              <w:rPr>
                <w:b/>
                <w:bCs/>
                <w:sz w:val="20"/>
                <w:szCs w:val="20"/>
              </w:rPr>
              <w:lastRenderedPageBreak/>
              <w:t>Articolul 190.</w:t>
            </w:r>
            <w:r w:rsidRPr="00154588">
              <w:rPr>
                <w:bCs/>
                <w:sz w:val="20"/>
                <w:szCs w:val="20"/>
              </w:rPr>
              <w:t xml:space="preserve"> – (3) Atunci cînd sînt aplicate rate de conversie diferite în conformitate cu prevederile alin.(1), rata de conversie aplicabilă datoriilor considerate cu rang prioritar în temeiul prevederilor </w:t>
            </w:r>
            <w:r w:rsidRPr="00154588">
              <w:rPr>
                <w:bCs/>
                <w:sz w:val="20"/>
                <w:szCs w:val="20"/>
              </w:rPr>
              <w:lastRenderedPageBreak/>
              <w:t>legale privind insolvabilitatea trebuie să fie mai mare decît cea aplicabilă datoriilor subordonate.</w:t>
            </w:r>
          </w:p>
          <w:p w14:paraId="66F7EAA6" w14:textId="77777777" w:rsidR="00F4284C" w:rsidRPr="00154588" w:rsidRDefault="00F4284C" w:rsidP="008C12B4">
            <w:pPr>
              <w:jc w:val="both"/>
              <w:rPr>
                <w:bCs/>
                <w:sz w:val="20"/>
                <w:szCs w:val="20"/>
              </w:rPr>
            </w:pPr>
          </w:p>
        </w:tc>
        <w:tc>
          <w:tcPr>
            <w:tcW w:w="2552" w:type="dxa"/>
          </w:tcPr>
          <w:p w14:paraId="0B88DE0D" w14:textId="5973C805"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1CBB5485" w14:textId="77777777" w:rsidR="00F4284C" w:rsidRPr="00154588" w:rsidRDefault="00F4284C" w:rsidP="008C12B4">
            <w:pPr>
              <w:jc w:val="both"/>
              <w:rPr>
                <w:bCs/>
                <w:sz w:val="20"/>
                <w:szCs w:val="20"/>
              </w:rPr>
            </w:pPr>
          </w:p>
        </w:tc>
      </w:tr>
      <w:tr w:rsidR="00F4284C" w:rsidRPr="00154588" w14:paraId="4682F97B" w14:textId="77777777" w:rsidTr="00D15C1B">
        <w:trPr>
          <w:jc w:val="center"/>
        </w:trPr>
        <w:tc>
          <w:tcPr>
            <w:tcW w:w="4957" w:type="dxa"/>
            <w:gridSpan w:val="2"/>
          </w:tcPr>
          <w:p w14:paraId="78ECCCCE" w14:textId="77777777" w:rsidR="00F4284C" w:rsidRPr="00154588" w:rsidRDefault="00F4284C" w:rsidP="008C12B4">
            <w:pPr>
              <w:jc w:val="both"/>
              <w:rPr>
                <w:bCs/>
                <w:sz w:val="20"/>
                <w:szCs w:val="20"/>
              </w:rPr>
            </w:pPr>
            <w:r w:rsidRPr="00154588">
              <w:rPr>
                <w:bCs/>
                <w:sz w:val="20"/>
                <w:szCs w:val="20"/>
              </w:rPr>
              <w:t>(4)   Până la 3 ianuarie 2016, ABE elaborează orientări, în conformitate cu articolul 16 din Regulamentul (UE) nr. 1093/2010, referitoare la stabilirea ratelor de conversie.</w:t>
            </w:r>
          </w:p>
          <w:p w14:paraId="1DDE943D" w14:textId="77777777" w:rsidR="00F4284C" w:rsidRPr="00154588" w:rsidRDefault="00F4284C" w:rsidP="008C12B4">
            <w:pPr>
              <w:jc w:val="both"/>
              <w:rPr>
                <w:bCs/>
                <w:sz w:val="20"/>
                <w:szCs w:val="20"/>
              </w:rPr>
            </w:pPr>
          </w:p>
          <w:p w14:paraId="21558C70" w14:textId="2F79EFBA" w:rsidR="00F4284C" w:rsidRPr="00154588" w:rsidRDefault="00F4284C" w:rsidP="008C12B4">
            <w:pPr>
              <w:jc w:val="both"/>
              <w:rPr>
                <w:bCs/>
                <w:sz w:val="20"/>
                <w:szCs w:val="20"/>
              </w:rPr>
            </w:pPr>
            <w:r w:rsidRPr="00154588">
              <w:rPr>
                <w:bCs/>
                <w:sz w:val="20"/>
                <w:szCs w:val="20"/>
              </w:rPr>
              <w:t>Orientările indică în special modul în care creditorii afectați pot fi compensați în mod corespunzător prin intermediul ratei de conversie și ratele de conversie relative care ar putea reflecta în mod adecvat prioritatea datoriilor cu rang prioritar în temeiul legii aplicabile privind insolvența.</w:t>
            </w:r>
          </w:p>
        </w:tc>
        <w:tc>
          <w:tcPr>
            <w:tcW w:w="4819" w:type="dxa"/>
          </w:tcPr>
          <w:p w14:paraId="2194E872" w14:textId="77777777" w:rsidR="00F4284C" w:rsidRPr="00154588" w:rsidRDefault="00F4284C" w:rsidP="008C12B4">
            <w:pPr>
              <w:jc w:val="both"/>
              <w:rPr>
                <w:bCs/>
                <w:sz w:val="20"/>
                <w:szCs w:val="20"/>
              </w:rPr>
            </w:pPr>
          </w:p>
        </w:tc>
        <w:tc>
          <w:tcPr>
            <w:tcW w:w="2552" w:type="dxa"/>
          </w:tcPr>
          <w:p w14:paraId="46168A2C" w14:textId="357425EC"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17782D85" w14:textId="77777777" w:rsidR="00F4284C" w:rsidRPr="00154588" w:rsidRDefault="00F4284C" w:rsidP="008C12B4">
            <w:pPr>
              <w:jc w:val="both"/>
              <w:rPr>
                <w:bCs/>
                <w:sz w:val="20"/>
                <w:szCs w:val="20"/>
                <w:lang w:val="ro-MD"/>
              </w:rPr>
            </w:pPr>
            <w:r w:rsidRPr="00154588">
              <w:rPr>
                <w:bCs/>
                <w:sz w:val="20"/>
                <w:szCs w:val="20"/>
                <w:lang w:val="ro-MD"/>
              </w:rPr>
              <w:t>Prevederi care se referă la atribuțiile de reglementare ale autorităților europene.</w:t>
            </w:r>
          </w:p>
          <w:p w14:paraId="69BF95EB" w14:textId="1E4EABB3" w:rsidR="00F4284C" w:rsidRPr="00154588" w:rsidRDefault="00F4284C" w:rsidP="008C12B4">
            <w:pPr>
              <w:jc w:val="both"/>
              <w:rPr>
                <w:bCs/>
                <w:sz w:val="20"/>
                <w:szCs w:val="20"/>
              </w:rPr>
            </w:pPr>
            <w:r w:rsidRPr="00154588">
              <w:rPr>
                <w:bCs/>
                <w:sz w:val="20"/>
                <w:szCs w:val="20"/>
                <w:lang w:val="ro-MD"/>
              </w:rPr>
              <w:t>Presupune Ghidul elaborat de EBA (</w:t>
            </w:r>
            <w:hyperlink r:id="rId10" w:history="1">
              <w:r w:rsidRPr="00154588">
                <w:rPr>
                  <w:rStyle w:val="af5"/>
                  <w:bCs/>
                  <w:sz w:val="20"/>
                  <w:szCs w:val="20"/>
                </w:rPr>
                <w:t>Guidelines on the rate of conversion (EBA-GL-2017-03)_RO.pdf</w:t>
              </w:r>
            </w:hyperlink>
            <w:r w:rsidRPr="00154588">
              <w:rPr>
                <w:bCs/>
                <w:sz w:val="20"/>
                <w:szCs w:val="20"/>
                <w:lang w:val="ro-MD"/>
              </w:rPr>
              <w:t>). nu il transpunem prin PNA (dar partial este transpus in Reg bail-in)</w:t>
            </w:r>
          </w:p>
        </w:tc>
      </w:tr>
      <w:tr w:rsidR="00F4284C" w:rsidRPr="00154588" w14:paraId="509C8D19" w14:textId="77777777" w:rsidTr="00D15C1B">
        <w:trPr>
          <w:jc w:val="center"/>
        </w:trPr>
        <w:tc>
          <w:tcPr>
            <w:tcW w:w="4957" w:type="dxa"/>
            <w:gridSpan w:val="2"/>
          </w:tcPr>
          <w:p w14:paraId="161A74F7" w14:textId="77777777" w:rsidR="00F4284C" w:rsidRPr="00154588" w:rsidRDefault="00F4284C" w:rsidP="008C12B4">
            <w:pPr>
              <w:jc w:val="both"/>
              <w:rPr>
                <w:b/>
                <w:sz w:val="20"/>
                <w:szCs w:val="20"/>
              </w:rPr>
            </w:pPr>
            <w:r w:rsidRPr="00154588">
              <w:rPr>
                <w:b/>
                <w:sz w:val="20"/>
                <w:szCs w:val="20"/>
              </w:rPr>
              <w:t>Articolul 51</w:t>
            </w:r>
          </w:p>
          <w:p w14:paraId="1005EC98" w14:textId="77777777" w:rsidR="00F4284C" w:rsidRPr="00154588" w:rsidRDefault="00F4284C" w:rsidP="008C12B4">
            <w:pPr>
              <w:jc w:val="both"/>
              <w:rPr>
                <w:b/>
                <w:sz w:val="20"/>
                <w:szCs w:val="20"/>
              </w:rPr>
            </w:pPr>
          </w:p>
          <w:p w14:paraId="4B1E75D8" w14:textId="4E5233EC" w:rsidR="00F4284C" w:rsidRPr="00154588" w:rsidRDefault="00F4284C" w:rsidP="008C12B4">
            <w:pPr>
              <w:jc w:val="both"/>
              <w:rPr>
                <w:bCs/>
                <w:sz w:val="20"/>
                <w:szCs w:val="20"/>
              </w:rPr>
            </w:pPr>
            <w:r w:rsidRPr="00154588">
              <w:rPr>
                <w:b/>
                <w:sz w:val="20"/>
                <w:szCs w:val="20"/>
              </w:rPr>
              <w:t>Măsurile de redresare și de reorganizare care trebuie să însoțească recapitalizarea internă</w:t>
            </w:r>
          </w:p>
        </w:tc>
        <w:tc>
          <w:tcPr>
            <w:tcW w:w="4819" w:type="dxa"/>
          </w:tcPr>
          <w:p w14:paraId="72D9009A" w14:textId="77777777" w:rsidR="00F4284C" w:rsidRPr="00154588" w:rsidRDefault="00F4284C" w:rsidP="008C12B4">
            <w:pPr>
              <w:jc w:val="both"/>
              <w:rPr>
                <w:bCs/>
                <w:sz w:val="20"/>
                <w:szCs w:val="20"/>
              </w:rPr>
            </w:pPr>
          </w:p>
        </w:tc>
        <w:tc>
          <w:tcPr>
            <w:tcW w:w="2552" w:type="dxa"/>
          </w:tcPr>
          <w:p w14:paraId="31A6BD13" w14:textId="77777777" w:rsidR="00F4284C" w:rsidRPr="00154588" w:rsidRDefault="00F4284C" w:rsidP="008C12B4">
            <w:pPr>
              <w:jc w:val="both"/>
              <w:rPr>
                <w:bCs/>
                <w:sz w:val="20"/>
                <w:szCs w:val="20"/>
              </w:rPr>
            </w:pPr>
          </w:p>
        </w:tc>
        <w:tc>
          <w:tcPr>
            <w:tcW w:w="3118" w:type="dxa"/>
          </w:tcPr>
          <w:p w14:paraId="64B058F8" w14:textId="77777777" w:rsidR="00F4284C" w:rsidRPr="00154588" w:rsidRDefault="00F4284C" w:rsidP="008C12B4">
            <w:pPr>
              <w:jc w:val="both"/>
              <w:rPr>
                <w:bCs/>
                <w:sz w:val="20"/>
                <w:szCs w:val="20"/>
              </w:rPr>
            </w:pPr>
          </w:p>
        </w:tc>
      </w:tr>
      <w:tr w:rsidR="00F4284C" w:rsidRPr="00154588" w14:paraId="0ED61D23" w14:textId="77777777" w:rsidTr="00D15C1B">
        <w:trPr>
          <w:jc w:val="center"/>
        </w:trPr>
        <w:tc>
          <w:tcPr>
            <w:tcW w:w="4957" w:type="dxa"/>
            <w:gridSpan w:val="2"/>
          </w:tcPr>
          <w:p w14:paraId="37161FC8" w14:textId="52FA80D3" w:rsidR="00F4284C" w:rsidRPr="00154588" w:rsidRDefault="00F4284C" w:rsidP="008C12B4">
            <w:pPr>
              <w:jc w:val="both"/>
              <w:rPr>
                <w:bCs/>
                <w:sz w:val="20"/>
                <w:szCs w:val="20"/>
              </w:rPr>
            </w:pPr>
            <w:r w:rsidRPr="00154588">
              <w:rPr>
                <w:bCs/>
                <w:sz w:val="20"/>
                <w:szCs w:val="20"/>
              </w:rPr>
              <w:t>(1)   Statele membre se asigură că, în cazul în care autoritățile de rezoluție aplică instrumentul de recapitalizare internă pentru a recapitaliza o instituție sau o entitate menționată la articolul 1 alineatul (1) litera (b), (c) sau (d) în conformitate cu articolul 43 alineatul (2) litera (a), se adoptă dispoziții pentru a garanta elaborarea și punerea în aplicare a unui plan de reorganizare a activității pentru instituția sau entitatea, în conformitate cu articolul 52.</w:t>
            </w:r>
          </w:p>
        </w:tc>
        <w:tc>
          <w:tcPr>
            <w:tcW w:w="4819" w:type="dxa"/>
          </w:tcPr>
          <w:p w14:paraId="003E208C" w14:textId="77777777" w:rsidR="00F4284C" w:rsidRPr="00154588" w:rsidRDefault="00F4284C" w:rsidP="008C12B4">
            <w:pPr>
              <w:jc w:val="both"/>
              <w:rPr>
                <w:bCs/>
                <w:sz w:val="20"/>
                <w:szCs w:val="20"/>
              </w:rPr>
            </w:pPr>
            <w:r w:rsidRPr="00154588">
              <w:rPr>
                <w:b/>
                <w:bCs/>
                <w:sz w:val="20"/>
                <w:szCs w:val="20"/>
              </w:rPr>
              <w:t>Articolul 191.</w:t>
            </w:r>
            <w:r w:rsidRPr="00154588">
              <w:rPr>
                <w:bCs/>
                <w:sz w:val="20"/>
                <w:szCs w:val="20"/>
              </w:rPr>
              <w:t xml:space="preserve"> – Aplicarea de către Banca Naţională a Moldovei, în calitate de autoritate de rezoluţie, a instrumentului de recapitalizare internă pentru a recapitaliza o instituție de credit sau o entitate menționată la art.1 alin.(1) lit. b), c) sau d), în conformitate cu prevederile art.152 lit.a), este însoţită de măsuri pentru asigurarea, elaborarea şi punerea în aplicare a unui plan de reorganizare a activităţii pentru instituția de credit sau entitatea respectivă, în conformitate cu prevederile art.193-201.</w:t>
            </w:r>
          </w:p>
          <w:p w14:paraId="074A26C8" w14:textId="77777777" w:rsidR="00F4284C" w:rsidRPr="00154588" w:rsidRDefault="00F4284C" w:rsidP="008C12B4">
            <w:pPr>
              <w:jc w:val="both"/>
              <w:rPr>
                <w:bCs/>
                <w:sz w:val="20"/>
                <w:szCs w:val="20"/>
              </w:rPr>
            </w:pPr>
          </w:p>
        </w:tc>
        <w:tc>
          <w:tcPr>
            <w:tcW w:w="2552" w:type="dxa"/>
          </w:tcPr>
          <w:p w14:paraId="23515A24" w14:textId="0EE4E9AA" w:rsidR="00F4284C" w:rsidRPr="00154588" w:rsidRDefault="00F4284C" w:rsidP="008C12B4">
            <w:pPr>
              <w:jc w:val="both"/>
              <w:rPr>
                <w:bCs/>
                <w:sz w:val="20"/>
                <w:szCs w:val="20"/>
              </w:rPr>
            </w:pPr>
            <w:r w:rsidRPr="00154588">
              <w:rPr>
                <w:bCs/>
                <w:sz w:val="20"/>
                <w:szCs w:val="20"/>
              </w:rPr>
              <w:t>Compatibil</w:t>
            </w:r>
          </w:p>
        </w:tc>
        <w:tc>
          <w:tcPr>
            <w:tcW w:w="3118" w:type="dxa"/>
          </w:tcPr>
          <w:p w14:paraId="02FBEAED" w14:textId="77777777" w:rsidR="00F4284C" w:rsidRPr="00154588" w:rsidRDefault="00F4284C" w:rsidP="008C12B4">
            <w:pPr>
              <w:jc w:val="both"/>
              <w:rPr>
                <w:bCs/>
                <w:sz w:val="20"/>
                <w:szCs w:val="20"/>
              </w:rPr>
            </w:pPr>
          </w:p>
        </w:tc>
      </w:tr>
      <w:tr w:rsidR="00F4284C" w:rsidRPr="00154588" w14:paraId="53606ACB" w14:textId="77777777" w:rsidTr="00D15C1B">
        <w:trPr>
          <w:jc w:val="center"/>
        </w:trPr>
        <w:tc>
          <w:tcPr>
            <w:tcW w:w="4957" w:type="dxa"/>
            <w:gridSpan w:val="2"/>
          </w:tcPr>
          <w:p w14:paraId="0E94725E" w14:textId="7E962AAC" w:rsidR="00F4284C" w:rsidRPr="00154588" w:rsidRDefault="00F4284C" w:rsidP="008C12B4">
            <w:pPr>
              <w:jc w:val="both"/>
              <w:rPr>
                <w:bCs/>
                <w:sz w:val="20"/>
                <w:szCs w:val="20"/>
              </w:rPr>
            </w:pPr>
            <w:r w:rsidRPr="00154588">
              <w:rPr>
                <w:bCs/>
                <w:sz w:val="20"/>
                <w:szCs w:val="20"/>
              </w:rPr>
              <w:t>(2)   Dispozițiile menționate la alineatul (1) din prezentul articol pot include numirea de către autoritatea de rezoluție a uneia sau mai multor persoane numite în conformitate cu articolul 72 alineatul (1) cu obiectivul de a elabora și pune în aplicare planul de reorganizare a activității prevăzut la articolul 52.</w:t>
            </w:r>
          </w:p>
        </w:tc>
        <w:tc>
          <w:tcPr>
            <w:tcW w:w="4819" w:type="dxa"/>
          </w:tcPr>
          <w:p w14:paraId="0606E446" w14:textId="77777777" w:rsidR="00F4284C" w:rsidRPr="00154588" w:rsidRDefault="00F4284C" w:rsidP="008C12B4">
            <w:pPr>
              <w:jc w:val="both"/>
              <w:rPr>
                <w:bCs/>
                <w:sz w:val="20"/>
                <w:szCs w:val="20"/>
              </w:rPr>
            </w:pPr>
            <w:r w:rsidRPr="00154588">
              <w:rPr>
                <w:b/>
                <w:bCs/>
                <w:sz w:val="20"/>
                <w:szCs w:val="20"/>
              </w:rPr>
              <w:t>Articolul 192.</w:t>
            </w:r>
            <w:r w:rsidRPr="00154588">
              <w:rPr>
                <w:bCs/>
                <w:sz w:val="20"/>
                <w:szCs w:val="20"/>
              </w:rPr>
              <w:t xml:space="preserve"> – Măsurile prevăzute la art.191 pot include numirea de către Banca Naţională a Moldovei, în calitate de autoritate de rezoluţie, a uneia sau mai multor persoane, în conformitate cu prevederile art.259 cu obiectivul de a elabora şi pune în aplicare planul de reorganizare a activităţii prevăzut la art.193-201.</w:t>
            </w:r>
          </w:p>
          <w:p w14:paraId="07EE8F20" w14:textId="77777777" w:rsidR="00F4284C" w:rsidRPr="00154588" w:rsidRDefault="00F4284C" w:rsidP="008C12B4">
            <w:pPr>
              <w:jc w:val="both"/>
              <w:rPr>
                <w:bCs/>
                <w:sz w:val="20"/>
                <w:szCs w:val="20"/>
              </w:rPr>
            </w:pPr>
          </w:p>
        </w:tc>
        <w:tc>
          <w:tcPr>
            <w:tcW w:w="2552" w:type="dxa"/>
          </w:tcPr>
          <w:p w14:paraId="16BC4360" w14:textId="7EE4E3FD" w:rsidR="00F4284C" w:rsidRPr="00154588" w:rsidRDefault="00F4284C" w:rsidP="008C12B4">
            <w:pPr>
              <w:jc w:val="both"/>
              <w:rPr>
                <w:bCs/>
                <w:sz w:val="20"/>
                <w:szCs w:val="20"/>
              </w:rPr>
            </w:pPr>
            <w:r w:rsidRPr="00154588">
              <w:rPr>
                <w:bCs/>
                <w:sz w:val="20"/>
                <w:szCs w:val="20"/>
              </w:rPr>
              <w:t>Compatibil</w:t>
            </w:r>
          </w:p>
        </w:tc>
        <w:tc>
          <w:tcPr>
            <w:tcW w:w="3118" w:type="dxa"/>
          </w:tcPr>
          <w:p w14:paraId="4F717824" w14:textId="77777777" w:rsidR="00F4284C" w:rsidRPr="00154588" w:rsidRDefault="00F4284C" w:rsidP="008C12B4">
            <w:pPr>
              <w:jc w:val="both"/>
              <w:rPr>
                <w:bCs/>
                <w:sz w:val="20"/>
                <w:szCs w:val="20"/>
              </w:rPr>
            </w:pPr>
          </w:p>
        </w:tc>
      </w:tr>
      <w:tr w:rsidR="00F4284C" w:rsidRPr="00154588" w14:paraId="23E02BEC" w14:textId="77777777" w:rsidTr="00D15C1B">
        <w:trPr>
          <w:jc w:val="center"/>
        </w:trPr>
        <w:tc>
          <w:tcPr>
            <w:tcW w:w="4957" w:type="dxa"/>
            <w:gridSpan w:val="2"/>
          </w:tcPr>
          <w:p w14:paraId="248ADD2B" w14:textId="77777777" w:rsidR="00F4284C" w:rsidRPr="00154588" w:rsidRDefault="00F4284C" w:rsidP="008C12B4">
            <w:pPr>
              <w:jc w:val="both"/>
              <w:rPr>
                <w:b/>
                <w:sz w:val="20"/>
                <w:szCs w:val="20"/>
              </w:rPr>
            </w:pPr>
            <w:r w:rsidRPr="00154588">
              <w:rPr>
                <w:b/>
                <w:sz w:val="20"/>
                <w:szCs w:val="20"/>
              </w:rPr>
              <w:t>Articolul 52</w:t>
            </w:r>
          </w:p>
          <w:p w14:paraId="7E537AD5" w14:textId="77777777" w:rsidR="00F4284C" w:rsidRPr="00154588" w:rsidRDefault="00F4284C" w:rsidP="008C12B4">
            <w:pPr>
              <w:jc w:val="both"/>
              <w:rPr>
                <w:b/>
                <w:sz w:val="20"/>
                <w:szCs w:val="20"/>
              </w:rPr>
            </w:pPr>
          </w:p>
          <w:p w14:paraId="6D47A3A2" w14:textId="639C30C4" w:rsidR="00F4284C" w:rsidRPr="00154588" w:rsidRDefault="00F4284C" w:rsidP="008C12B4">
            <w:pPr>
              <w:jc w:val="both"/>
              <w:rPr>
                <w:bCs/>
                <w:sz w:val="20"/>
                <w:szCs w:val="20"/>
              </w:rPr>
            </w:pPr>
            <w:r w:rsidRPr="00154588">
              <w:rPr>
                <w:b/>
                <w:sz w:val="20"/>
                <w:szCs w:val="20"/>
              </w:rPr>
              <w:t>Planul de reorganizare a activității</w:t>
            </w:r>
          </w:p>
        </w:tc>
        <w:tc>
          <w:tcPr>
            <w:tcW w:w="4819" w:type="dxa"/>
          </w:tcPr>
          <w:p w14:paraId="4B2D2E1D" w14:textId="77777777" w:rsidR="00F4284C" w:rsidRPr="00154588" w:rsidRDefault="00F4284C" w:rsidP="008C12B4">
            <w:pPr>
              <w:jc w:val="both"/>
              <w:rPr>
                <w:bCs/>
                <w:sz w:val="20"/>
                <w:szCs w:val="20"/>
              </w:rPr>
            </w:pPr>
          </w:p>
        </w:tc>
        <w:tc>
          <w:tcPr>
            <w:tcW w:w="2552" w:type="dxa"/>
          </w:tcPr>
          <w:p w14:paraId="335D63B8" w14:textId="77777777" w:rsidR="00F4284C" w:rsidRPr="00154588" w:rsidRDefault="00F4284C" w:rsidP="008C12B4">
            <w:pPr>
              <w:jc w:val="both"/>
              <w:rPr>
                <w:bCs/>
                <w:sz w:val="20"/>
                <w:szCs w:val="20"/>
              </w:rPr>
            </w:pPr>
          </w:p>
        </w:tc>
        <w:tc>
          <w:tcPr>
            <w:tcW w:w="3118" w:type="dxa"/>
          </w:tcPr>
          <w:p w14:paraId="20C74B42" w14:textId="77777777" w:rsidR="00F4284C" w:rsidRPr="00154588" w:rsidRDefault="00F4284C" w:rsidP="008C12B4">
            <w:pPr>
              <w:jc w:val="both"/>
              <w:rPr>
                <w:bCs/>
                <w:sz w:val="20"/>
                <w:szCs w:val="20"/>
              </w:rPr>
            </w:pPr>
          </w:p>
        </w:tc>
      </w:tr>
      <w:tr w:rsidR="00F4284C" w:rsidRPr="00154588" w14:paraId="40687AE6" w14:textId="77777777" w:rsidTr="00D15C1B">
        <w:trPr>
          <w:jc w:val="center"/>
        </w:trPr>
        <w:tc>
          <w:tcPr>
            <w:tcW w:w="4957" w:type="dxa"/>
            <w:gridSpan w:val="2"/>
          </w:tcPr>
          <w:p w14:paraId="6627408B" w14:textId="77777777" w:rsidR="00F4284C" w:rsidRPr="00154588" w:rsidRDefault="00F4284C" w:rsidP="008C12B4">
            <w:pPr>
              <w:jc w:val="both"/>
              <w:rPr>
                <w:bCs/>
                <w:sz w:val="20"/>
                <w:szCs w:val="20"/>
              </w:rPr>
            </w:pPr>
            <w:r w:rsidRPr="00154588">
              <w:rPr>
                <w:bCs/>
                <w:sz w:val="20"/>
                <w:szCs w:val="20"/>
              </w:rPr>
              <w:t xml:space="preserve">(1)   Statele membre solicită organului de conducere sau persoanei sau persoanelor desemnate în temeiul articolului 72 alineatul (1), în termen de o lună de la aplicarea în conformitate cu articolul 43 alineatul (2) </w:t>
            </w:r>
            <w:r w:rsidRPr="00154588">
              <w:rPr>
                <w:bCs/>
                <w:sz w:val="20"/>
                <w:szCs w:val="20"/>
              </w:rPr>
              <w:lastRenderedPageBreak/>
              <w:t>litera (a) a instrumentului de recapitalizare internă în legătură cu o instituție sau o entitate menționată la articolul 1 alineatul (1) litera (b), (c) sau (d), să elaboreze și să prezinte autorităților de rezoluție un plan de reorganizare a activității care satisface cerințele stipulate la alineatele (4) și (5) din prezentul articol. În cazul în care este aplicabil cadrul Uniunii privind ajutoarele de stat, statele membre se asigură că acest plan este compatibil cu planul de restructurare pe care instituția sau entitatea menționată la articolul 1 alineatul (1) litera (b), (c) sau (d) este obligată să-l prezinte Comisiei în temeiul respectivului cadru.</w:t>
            </w:r>
          </w:p>
          <w:p w14:paraId="6F8EF29C" w14:textId="1EEB5944" w:rsidR="00F4284C" w:rsidRPr="00154588" w:rsidRDefault="00F4284C" w:rsidP="008C12B4">
            <w:pPr>
              <w:jc w:val="both"/>
              <w:rPr>
                <w:bCs/>
                <w:sz w:val="20"/>
                <w:szCs w:val="20"/>
              </w:rPr>
            </w:pPr>
            <w:r w:rsidRPr="00154588">
              <w:rPr>
                <w:bCs/>
                <w:sz w:val="20"/>
                <w:szCs w:val="20"/>
              </w:rPr>
              <w:t>În circumstanțe excepționale, autoritatea de rezoluție poate prelungi cu încă o lună termenul de o lună pentru prezentarea planului de reorganizare a activității.</w:t>
            </w:r>
          </w:p>
        </w:tc>
        <w:tc>
          <w:tcPr>
            <w:tcW w:w="4819" w:type="dxa"/>
          </w:tcPr>
          <w:p w14:paraId="15CC3F50" w14:textId="7DFD482E" w:rsidR="00F4284C" w:rsidRPr="00154588" w:rsidRDefault="00F4284C" w:rsidP="008C12B4">
            <w:pPr>
              <w:jc w:val="both"/>
              <w:rPr>
                <w:bCs/>
                <w:sz w:val="20"/>
                <w:szCs w:val="20"/>
              </w:rPr>
            </w:pPr>
            <w:r w:rsidRPr="00154588">
              <w:rPr>
                <w:b/>
                <w:bCs/>
                <w:sz w:val="20"/>
                <w:szCs w:val="20"/>
              </w:rPr>
              <w:lastRenderedPageBreak/>
              <w:t>Articolul 193.</w:t>
            </w:r>
            <w:r w:rsidRPr="00154588">
              <w:rPr>
                <w:bCs/>
                <w:sz w:val="20"/>
                <w:szCs w:val="20"/>
              </w:rPr>
              <w:t xml:space="preserve"> – (1)În termen de o lună de la aplicarea, în conformitate cu prevederile art.152 lit.a), a instrumentului de recapitalizare internă în legătură cu o instituție de credit sau o entitate </w:t>
            </w:r>
            <w:r w:rsidRPr="00154588">
              <w:rPr>
                <w:bCs/>
                <w:sz w:val="20"/>
                <w:szCs w:val="20"/>
              </w:rPr>
              <w:lastRenderedPageBreak/>
              <w:t>menționată la art.1 alin.(1) lit. b), c) sau d), organul de conducere, respectiv persoana sau persoanele desemnate în temeiul art.259 elaborează şi prezintă Băncii Naţionale a Moldovei, în calitate de autoritate de rezoluţie, un plan de reorganizare a activităţii care satisface cerinţele prevăzute la art.195. În cazul în care este aplicabil cadrul legal privind ajutorul de stat, Banca Naţională a Moldovei, în calitate de autoritate de rezoluţie, se asigură că acest plan este compatibil cu planul de restructurare pe care  instituția de credit sau entitatea menționată la art. 1 alin. (1) lit. b), c) sau d) este obligată să-l prezinte autorităţii care deţine atribuţii de autorizare, de monitorizare şi de raportare a ajutorului de stat.</w:t>
            </w:r>
          </w:p>
          <w:p w14:paraId="09356006" w14:textId="0144D9FE" w:rsidR="00F4284C" w:rsidRPr="00154588" w:rsidRDefault="00F4284C" w:rsidP="008C12B4">
            <w:pPr>
              <w:jc w:val="both"/>
              <w:rPr>
                <w:bCs/>
                <w:sz w:val="20"/>
                <w:szCs w:val="20"/>
              </w:rPr>
            </w:pPr>
            <w:r w:rsidRPr="00154588">
              <w:rPr>
                <w:bCs/>
                <w:sz w:val="20"/>
                <w:szCs w:val="20"/>
              </w:rPr>
              <w:t>(2) În circumstanțe excepționale, Banca Națională a Moldovei în calitate de autoritate de rezoluție poate prelungi cu încă o lună termenul de o lună pentru prezentarea planului de reorganizare a activității.</w:t>
            </w:r>
          </w:p>
        </w:tc>
        <w:tc>
          <w:tcPr>
            <w:tcW w:w="2552" w:type="dxa"/>
          </w:tcPr>
          <w:p w14:paraId="3988F1B1" w14:textId="5FBE97DF"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55ACE306" w14:textId="77777777" w:rsidR="00F4284C" w:rsidRPr="00154588" w:rsidRDefault="00F4284C" w:rsidP="008C12B4">
            <w:pPr>
              <w:jc w:val="both"/>
              <w:rPr>
                <w:bCs/>
                <w:sz w:val="20"/>
                <w:szCs w:val="20"/>
              </w:rPr>
            </w:pPr>
          </w:p>
        </w:tc>
      </w:tr>
      <w:tr w:rsidR="00F4284C" w:rsidRPr="00154588" w14:paraId="64AED622" w14:textId="77777777" w:rsidTr="00D15C1B">
        <w:trPr>
          <w:jc w:val="center"/>
        </w:trPr>
        <w:tc>
          <w:tcPr>
            <w:tcW w:w="4957" w:type="dxa"/>
            <w:gridSpan w:val="2"/>
          </w:tcPr>
          <w:p w14:paraId="75D82821" w14:textId="05E017EA" w:rsidR="00F4284C" w:rsidRPr="00154588" w:rsidRDefault="00F4284C" w:rsidP="008C12B4">
            <w:pPr>
              <w:tabs>
                <w:tab w:val="left" w:pos="890"/>
              </w:tabs>
              <w:jc w:val="both"/>
              <w:rPr>
                <w:bCs/>
                <w:sz w:val="20"/>
                <w:szCs w:val="20"/>
              </w:rPr>
            </w:pPr>
            <w:r w:rsidRPr="00154588">
              <w:rPr>
                <w:bCs/>
                <w:sz w:val="20"/>
                <w:szCs w:val="20"/>
              </w:rPr>
              <w:t>(2)   Atunci când instrumentul de recapitalizare internă menționat la articolul 43 alineatul (2) litera (a) este aplicat pentru două sau mai multe entități din grup, planul de reorganizare a activității este elaborat de instituția-mamă din Uniune și acoperă toate instituțiile din cadrul grupului, în conformitate cu procedura specificată la articolele 7 și 8 și este prezentat autorității de rezoluție a grupului. Autoritatea de rezoluție a grupului comunică planul celorlalte autorități de rezoluție implicate și ABE.</w:t>
            </w:r>
          </w:p>
        </w:tc>
        <w:tc>
          <w:tcPr>
            <w:tcW w:w="4819" w:type="dxa"/>
          </w:tcPr>
          <w:p w14:paraId="5A7CA080" w14:textId="77777777" w:rsidR="00F4284C" w:rsidRPr="00154588" w:rsidRDefault="00F4284C" w:rsidP="008C12B4">
            <w:pPr>
              <w:jc w:val="both"/>
              <w:rPr>
                <w:bCs/>
                <w:sz w:val="20"/>
                <w:szCs w:val="20"/>
              </w:rPr>
            </w:pPr>
            <w:r w:rsidRPr="00154588">
              <w:rPr>
                <w:b/>
                <w:bCs/>
                <w:sz w:val="20"/>
                <w:szCs w:val="20"/>
              </w:rPr>
              <w:t>Articolul 193</w:t>
            </w:r>
            <w:r w:rsidRPr="00154588">
              <w:rPr>
                <w:b/>
                <w:bCs/>
                <w:sz w:val="20"/>
                <w:szCs w:val="20"/>
                <w:vertAlign w:val="superscript"/>
              </w:rPr>
              <w:t>1</w:t>
            </w:r>
            <w:r w:rsidRPr="00154588">
              <w:rPr>
                <w:b/>
                <w:bCs/>
                <w:sz w:val="20"/>
                <w:szCs w:val="20"/>
              </w:rPr>
              <w:t>.</w:t>
            </w:r>
            <w:r w:rsidRPr="00154588">
              <w:rPr>
                <w:bCs/>
                <w:sz w:val="20"/>
                <w:szCs w:val="20"/>
              </w:rPr>
              <w:t xml:space="preserve"> - Atunci când instrumentul de recapitalizare internă menţionat la articolul art.152 lit. a) este aplicat pentru două sau mai multe entităţi din grup, planul de reorganizare a activităţii este elaborat de instituţia-mamă din Uniunea Europeană și acoperă toate instituţiile din cadrul grupului, în conformitate cu procedura specificată la art. 22</w:t>
            </w:r>
            <w:r w:rsidRPr="00154588">
              <w:rPr>
                <w:bCs/>
                <w:sz w:val="20"/>
                <w:szCs w:val="20"/>
                <w:vertAlign w:val="superscript"/>
              </w:rPr>
              <w:t>1</w:t>
            </w:r>
            <w:r w:rsidRPr="00154588">
              <w:rPr>
                <w:bCs/>
                <w:sz w:val="20"/>
                <w:szCs w:val="20"/>
              </w:rPr>
              <w:t xml:space="preserve"> – 22</w:t>
            </w:r>
            <w:r w:rsidRPr="00154588">
              <w:rPr>
                <w:bCs/>
                <w:sz w:val="20"/>
                <w:szCs w:val="20"/>
                <w:vertAlign w:val="superscript"/>
              </w:rPr>
              <w:t>20</w:t>
            </w:r>
            <w:r w:rsidRPr="00154588">
              <w:rPr>
                <w:bCs/>
                <w:sz w:val="20"/>
                <w:szCs w:val="20"/>
              </w:rPr>
              <w:t xml:space="preserve"> și este prezentat Băncii Naționale a Moldovei, în calitate de autoritate de rezoluţie a grupului. Banca Națională a Moldovei, în calitate de autoritate de rezoluţie a grupului comunică planul celorlalte autorităţi de rezoluţie implicate și Autorității Bancare Europene.</w:t>
            </w:r>
          </w:p>
          <w:p w14:paraId="0E76DEF8" w14:textId="77777777" w:rsidR="00F4284C" w:rsidRPr="00154588" w:rsidRDefault="00F4284C" w:rsidP="008C12B4">
            <w:pPr>
              <w:jc w:val="both"/>
              <w:rPr>
                <w:bCs/>
                <w:sz w:val="20"/>
                <w:szCs w:val="20"/>
              </w:rPr>
            </w:pPr>
          </w:p>
        </w:tc>
        <w:tc>
          <w:tcPr>
            <w:tcW w:w="2552" w:type="dxa"/>
          </w:tcPr>
          <w:p w14:paraId="21A47C96" w14:textId="5803E53F" w:rsidR="00F4284C" w:rsidRPr="00154588" w:rsidRDefault="00F4284C" w:rsidP="008C12B4">
            <w:pPr>
              <w:jc w:val="both"/>
              <w:rPr>
                <w:bCs/>
                <w:sz w:val="20"/>
                <w:szCs w:val="20"/>
              </w:rPr>
            </w:pPr>
            <w:r w:rsidRPr="00154588">
              <w:rPr>
                <w:bCs/>
                <w:sz w:val="20"/>
                <w:szCs w:val="20"/>
              </w:rPr>
              <w:t>Compatibil</w:t>
            </w:r>
          </w:p>
        </w:tc>
        <w:tc>
          <w:tcPr>
            <w:tcW w:w="3118" w:type="dxa"/>
          </w:tcPr>
          <w:p w14:paraId="3E4C4CE4" w14:textId="77777777" w:rsidR="00F4284C" w:rsidRPr="00154588" w:rsidRDefault="00F4284C" w:rsidP="008C12B4">
            <w:pPr>
              <w:jc w:val="both"/>
              <w:rPr>
                <w:bCs/>
                <w:sz w:val="20"/>
                <w:szCs w:val="20"/>
              </w:rPr>
            </w:pPr>
          </w:p>
        </w:tc>
      </w:tr>
      <w:tr w:rsidR="00F4284C" w:rsidRPr="00154588" w14:paraId="6DCDF1BB" w14:textId="77777777" w:rsidTr="00D15C1B">
        <w:trPr>
          <w:jc w:val="center"/>
        </w:trPr>
        <w:tc>
          <w:tcPr>
            <w:tcW w:w="4957" w:type="dxa"/>
            <w:gridSpan w:val="2"/>
          </w:tcPr>
          <w:p w14:paraId="516055B1" w14:textId="77777777" w:rsidR="00F4284C" w:rsidRPr="00154588" w:rsidRDefault="00F4284C" w:rsidP="008C12B4">
            <w:pPr>
              <w:jc w:val="both"/>
              <w:rPr>
                <w:bCs/>
                <w:sz w:val="20"/>
                <w:szCs w:val="20"/>
              </w:rPr>
            </w:pPr>
            <w:r w:rsidRPr="00154588">
              <w:rPr>
                <w:bCs/>
                <w:sz w:val="20"/>
                <w:szCs w:val="20"/>
              </w:rPr>
              <w:t>(3)   În situații excepționale și dacă acest lucru este necesar pentru realizarea obiectivelor rezoluției, autoritatea de rezoluție poate prelungi perioada menționată la alineatul (1) cu o perioadă de maximum două luni începând cu data aplicării instrumentului de recapitalizare internă.</w:t>
            </w:r>
          </w:p>
          <w:p w14:paraId="42D247E9" w14:textId="77777777" w:rsidR="00F4284C" w:rsidRPr="00154588" w:rsidRDefault="00F4284C" w:rsidP="008C12B4">
            <w:pPr>
              <w:jc w:val="both"/>
              <w:rPr>
                <w:bCs/>
                <w:sz w:val="20"/>
                <w:szCs w:val="20"/>
              </w:rPr>
            </w:pPr>
          </w:p>
          <w:p w14:paraId="629DDE94" w14:textId="77C45A8A" w:rsidR="00F4284C" w:rsidRPr="00154588" w:rsidRDefault="00F4284C" w:rsidP="008C12B4">
            <w:pPr>
              <w:jc w:val="both"/>
              <w:rPr>
                <w:bCs/>
                <w:sz w:val="20"/>
                <w:szCs w:val="20"/>
              </w:rPr>
            </w:pPr>
            <w:r w:rsidRPr="00154588">
              <w:rPr>
                <w:bCs/>
                <w:sz w:val="20"/>
                <w:szCs w:val="20"/>
              </w:rPr>
              <w:t xml:space="preserve">Atunci când planul de reorganizare a activității trebuie notificat conform cadrului Uniunii privind ajutoarele de stat, autoritatea de rezoluție poate prelungi perioada menționată la alineatul (1) fie cu maximum două luni începând cu data aplicării instrumentului de recapitalizare internă, fie până la data limită stabilită </w:t>
            </w:r>
            <w:r w:rsidRPr="00154588">
              <w:rPr>
                <w:bCs/>
                <w:sz w:val="20"/>
                <w:szCs w:val="20"/>
              </w:rPr>
              <w:lastRenderedPageBreak/>
              <w:t>de cadrul Uniunii privind ajutoarele de stat, indiferent care dintre situații intervine mai întâi.</w:t>
            </w:r>
          </w:p>
        </w:tc>
        <w:tc>
          <w:tcPr>
            <w:tcW w:w="4819" w:type="dxa"/>
          </w:tcPr>
          <w:p w14:paraId="34F852E2" w14:textId="77777777" w:rsidR="00F4284C" w:rsidRPr="00154588" w:rsidRDefault="00F4284C" w:rsidP="008C12B4">
            <w:pPr>
              <w:jc w:val="both"/>
              <w:rPr>
                <w:bCs/>
                <w:sz w:val="20"/>
                <w:szCs w:val="20"/>
              </w:rPr>
            </w:pPr>
            <w:r w:rsidRPr="00154588">
              <w:rPr>
                <w:b/>
                <w:bCs/>
                <w:sz w:val="20"/>
                <w:szCs w:val="20"/>
              </w:rPr>
              <w:lastRenderedPageBreak/>
              <w:t>Articolul 194.</w:t>
            </w:r>
            <w:r w:rsidRPr="00154588">
              <w:rPr>
                <w:bCs/>
                <w:sz w:val="20"/>
                <w:szCs w:val="20"/>
              </w:rPr>
              <w:t xml:space="preserve"> – În situaţii considerate de Banca Naţională a Moldovei, în calitate de autoritate de rezoluţie, ca fiind excepţionale şi dacă acest lucru este necesar pentru realizarea obiectivelor rezoluţiei, aceasta poate prelungi perioada menţionată la art.193 pînă la maximum două luni, începînd cu data aplicării instrumentului de recapitalizare internă. În cazul în care planul de reorganizare a activităţii trebuie notificat conform cadrului legal privind ajutorul de stat, Banca Naţională a Moldovei, în calitate de autoritate de rezoluţie, poate prelungi perioada menţionată la art.193 fie cu maximum două luni, începând cu data </w:t>
            </w:r>
            <w:r w:rsidRPr="00154588">
              <w:rPr>
                <w:bCs/>
                <w:sz w:val="20"/>
                <w:szCs w:val="20"/>
              </w:rPr>
              <w:lastRenderedPageBreak/>
              <w:t>aplicării instrumentului de recapitalizare internă, fie până la data-limită stabilită de cadrul legal privind ajutorul de stat, indiferent care dintre situaţii intervine mai întâi.</w:t>
            </w:r>
          </w:p>
          <w:p w14:paraId="4BCB8AEA" w14:textId="77777777" w:rsidR="00F4284C" w:rsidRPr="00154588" w:rsidRDefault="00F4284C" w:rsidP="008C12B4">
            <w:pPr>
              <w:jc w:val="both"/>
              <w:rPr>
                <w:bCs/>
                <w:sz w:val="20"/>
                <w:szCs w:val="20"/>
              </w:rPr>
            </w:pPr>
          </w:p>
        </w:tc>
        <w:tc>
          <w:tcPr>
            <w:tcW w:w="2552" w:type="dxa"/>
          </w:tcPr>
          <w:p w14:paraId="549B62AB" w14:textId="287E895D"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682523EB" w14:textId="77777777" w:rsidR="00F4284C" w:rsidRPr="00154588" w:rsidRDefault="00F4284C" w:rsidP="008C12B4">
            <w:pPr>
              <w:jc w:val="both"/>
              <w:rPr>
                <w:bCs/>
                <w:sz w:val="20"/>
                <w:szCs w:val="20"/>
              </w:rPr>
            </w:pPr>
          </w:p>
        </w:tc>
      </w:tr>
      <w:tr w:rsidR="00F4284C" w:rsidRPr="00154588" w14:paraId="02D72827" w14:textId="77777777" w:rsidTr="00D15C1B">
        <w:trPr>
          <w:jc w:val="center"/>
        </w:trPr>
        <w:tc>
          <w:tcPr>
            <w:tcW w:w="4957" w:type="dxa"/>
            <w:gridSpan w:val="2"/>
          </w:tcPr>
          <w:p w14:paraId="216FD681" w14:textId="77777777" w:rsidR="00F4284C" w:rsidRPr="00154588" w:rsidRDefault="00F4284C" w:rsidP="008C12B4">
            <w:pPr>
              <w:jc w:val="both"/>
              <w:rPr>
                <w:bCs/>
                <w:sz w:val="20"/>
                <w:szCs w:val="20"/>
              </w:rPr>
            </w:pPr>
            <w:r w:rsidRPr="00154588">
              <w:rPr>
                <w:bCs/>
                <w:sz w:val="20"/>
                <w:szCs w:val="20"/>
              </w:rPr>
              <w:t>(4)   Planul de reorganizare a activității definește măsuri care vizează restabilirea viabilității pe termen lung a instituției sau a entității menționate la articolul 1 alineatul (1) litera (b), (c) sau (d) sau a unor părți ale activității acestora, într-un termen rezonabil. Aceste măsuri se bazează pe ipoteze realiste cu privire la condițiile economice și financiare de pe piață, în care va funcționa instituția sau entitatea menționată la articolul 1 alineatul (1) litera (b), (c) sau (d).</w:t>
            </w:r>
          </w:p>
          <w:p w14:paraId="185F7FD8" w14:textId="77777777" w:rsidR="00F4284C" w:rsidRPr="00154588" w:rsidRDefault="00F4284C" w:rsidP="008C12B4">
            <w:pPr>
              <w:jc w:val="both"/>
              <w:rPr>
                <w:bCs/>
                <w:sz w:val="20"/>
                <w:szCs w:val="20"/>
              </w:rPr>
            </w:pPr>
          </w:p>
          <w:p w14:paraId="28C8250C" w14:textId="5A84CAAF" w:rsidR="00F4284C" w:rsidRPr="00154588" w:rsidRDefault="00F4284C" w:rsidP="008C12B4">
            <w:pPr>
              <w:jc w:val="both"/>
              <w:rPr>
                <w:bCs/>
                <w:sz w:val="20"/>
                <w:szCs w:val="20"/>
              </w:rPr>
            </w:pPr>
            <w:r w:rsidRPr="00154588">
              <w:rPr>
                <w:bCs/>
                <w:sz w:val="20"/>
                <w:szCs w:val="20"/>
              </w:rPr>
              <w:t>Planul de reorganizare a activității ia în considerare, printre altele, situația actuală și perspectivele de viitor ale piețelor financiare, reflectând atât ipotezele cele mai optimiste, cât și pe cele mai pesimiste, inclusiv o combinație de evenimente care să permită identificarea principalelor puncte vulnerabile ale instituției. Ipotezele trebuie să fie comparate cu indicatori de sector adecvați.</w:t>
            </w:r>
          </w:p>
        </w:tc>
        <w:tc>
          <w:tcPr>
            <w:tcW w:w="4819" w:type="dxa"/>
          </w:tcPr>
          <w:p w14:paraId="2B6E2F39" w14:textId="77777777" w:rsidR="00F4284C" w:rsidRPr="00154588" w:rsidRDefault="00F4284C" w:rsidP="008C12B4">
            <w:pPr>
              <w:jc w:val="both"/>
              <w:rPr>
                <w:bCs/>
                <w:sz w:val="20"/>
                <w:szCs w:val="20"/>
              </w:rPr>
            </w:pPr>
            <w:r w:rsidRPr="00154588">
              <w:rPr>
                <w:b/>
                <w:bCs/>
                <w:sz w:val="20"/>
                <w:szCs w:val="20"/>
              </w:rPr>
              <w:t>Articolul 195.</w:t>
            </w:r>
            <w:r w:rsidRPr="00154588">
              <w:rPr>
                <w:bCs/>
                <w:sz w:val="20"/>
                <w:szCs w:val="20"/>
              </w:rPr>
              <w:t xml:space="preserve"> – (1) Planul de reorganizare a activităţii stabileşte măsuri care vizează restabilirea viabilităţii pe termen lung a  instituției de credit sau entității sau a unor părţi ale activităţii acestora, într-un termen rezonabil. Aceste măsuri se bazează pe ipoteze realiste cu privire la condiţiile economice şi financiare de pe piaţă, în care va funcţiona instituția de credit sau entitatea.</w:t>
            </w:r>
          </w:p>
          <w:p w14:paraId="7AFA6550" w14:textId="4CF66CAB" w:rsidR="00F4284C" w:rsidRPr="00154588" w:rsidRDefault="00F4284C" w:rsidP="008C12B4">
            <w:pPr>
              <w:jc w:val="both"/>
              <w:rPr>
                <w:bCs/>
                <w:sz w:val="20"/>
                <w:szCs w:val="20"/>
              </w:rPr>
            </w:pPr>
            <w:r w:rsidRPr="00154588">
              <w:rPr>
                <w:bCs/>
                <w:sz w:val="20"/>
                <w:szCs w:val="20"/>
              </w:rPr>
              <w:t>(2) Planul de reorganizare a activităţii ia în considerare cel puţin situaţia actuală şi perspectivele de viitor ale pieţelor financiare, reflectînd ipotezele cele mai optimiste, precum şi pe cele mai pesimiste, inclusiv o combinaţie de evenimente care să permită identificarea principalelor puncte vulnerabile ale instituțiilor de credit. Ipotezele trebuie să fie comparate cu valori de referinţă adecvate la nivel de sector.</w:t>
            </w:r>
          </w:p>
        </w:tc>
        <w:tc>
          <w:tcPr>
            <w:tcW w:w="2552" w:type="dxa"/>
          </w:tcPr>
          <w:p w14:paraId="707E4607" w14:textId="0B790FDC" w:rsidR="00F4284C" w:rsidRPr="00154588" w:rsidRDefault="00F4284C" w:rsidP="008C12B4">
            <w:pPr>
              <w:jc w:val="both"/>
              <w:rPr>
                <w:bCs/>
                <w:sz w:val="20"/>
                <w:szCs w:val="20"/>
              </w:rPr>
            </w:pPr>
            <w:r w:rsidRPr="00154588">
              <w:rPr>
                <w:bCs/>
                <w:sz w:val="20"/>
                <w:szCs w:val="20"/>
              </w:rPr>
              <w:t>Compatibil</w:t>
            </w:r>
          </w:p>
        </w:tc>
        <w:tc>
          <w:tcPr>
            <w:tcW w:w="3118" w:type="dxa"/>
          </w:tcPr>
          <w:p w14:paraId="37517A72" w14:textId="77777777" w:rsidR="00F4284C" w:rsidRPr="00154588" w:rsidRDefault="00F4284C" w:rsidP="008C12B4">
            <w:pPr>
              <w:jc w:val="both"/>
              <w:rPr>
                <w:bCs/>
                <w:sz w:val="20"/>
                <w:szCs w:val="20"/>
              </w:rPr>
            </w:pPr>
          </w:p>
        </w:tc>
      </w:tr>
      <w:tr w:rsidR="00F4284C" w:rsidRPr="00154588" w14:paraId="34516A36" w14:textId="77777777" w:rsidTr="00D15C1B">
        <w:trPr>
          <w:jc w:val="center"/>
        </w:trPr>
        <w:tc>
          <w:tcPr>
            <w:tcW w:w="4957" w:type="dxa"/>
            <w:gridSpan w:val="2"/>
          </w:tcPr>
          <w:p w14:paraId="63B5757A" w14:textId="77777777" w:rsidR="00F4284C" w:rsidRPr="00154588" w:rsidRDefault="00F4284C" w:rsidP="008C12B4">
            <w:pPr>
              <w:jc w:val="both"/>
              <w:rPr>
                <w:bCs/>
                <w:sz w:val="20"/>
                <w:szCs w:val="20"/>
              </w:rPr>
            </w:pPr>
            <w:r w:rsidRPr="00154588">
              <w:rPr>
                <w:bCs/>
                <w:sz w:val="20"/>
                <w:szCs w:val="20"/>
              </w:rPr>
              <w:t>(5)   Planul de reorganizare a activității include cel puțin următoarele elemente:</w:t>
            </w:r>
          </w:p>
          <w:p w14:paraId="3187CF46" w14:textId="77777777" w:rsidR="00F4284C" w:rsidRPr="00154588" w:rsidRDefault="00F4284C" w:rsidP="008C12B4">
            <w:pPr>
              <w:jc w:val="both"/>
              <w:rPr>
                <w:bCs/>
                <w:sz w:val="20"/>
                <w:szCs w:val="20"/>
              </w:rPr>
            </w:pPr>
          </w:p>
          <w:p w14:paraId="2202D9A7" w14:textId="6C631E21" w:rsidR="00F4284C" w:rsidRPr="00154588" w:rsidRDefault="00F4284C" w:rsidP="008C12B4">
            <w:pPr>
              <w:jc w:val="both"/>
              <w:rPr>
                <w:bCs/>
                <w:sz w:val="20"/>
                <w:szCs w:val="20"/>
              </w:rPr>
            </w:pPr>
            <w:r w:rsidRPr="00154588">
              <w:rPr>
                <w:bCs/>
                <w:sz w:val="20"/>
                <w:szCs w:val="20"/>
              </w:rPr>
              <w:t>(a) un diagnostic detaliat al factorilor și problemelor care au făcut ca instituția sau entitatea menționată la articolul 1 alineatul (1) litera (b), (c) sau (d) să fie în curs de a intra în dificultate sau să fie susceptibilă de a intra în dificultate, și circumstanțele care au condus la dificultățile acesteia;</w:t>
            </w:r>
          </w:p>
          <w:p w14:paraId="6264A03A" w14:textId="77777777" w:rsidR="00F4284C" w:rsidRPr="00154588" w:rsidRDefault="00F4284C" w:rsidP="008C12B4">
            <w:pPr>
              <w:jc w:val="both"/>
              <w:rPr>
                <w:bCs/>
                <w:sz w:val="20"/>
                <w:szCs w:val="20"/>
              </w:rPr>
            </w:pPr>
          </w:p>
          <w:p w14:paraId="10C89100" w14:textId="3C18C2F3" w:rsidR="00F4284C" w:rsidRPr="00154588" w:rsidRDefault="00F4284C" w:rsidP="008C12B4">
            <w:pPr>
              <w:jc w:val="both"/>
              <w:rPr>
                <w:bCs/>
                <w:sz w:val="20"/>
                <w:szCs w:val="20"/>
              </w:rPr>
            </w:pPr>
            <w:r w:rsidRPr="00154588">
              <w:rPr>
                <w:bCs/>
                <w:sz w:val="20"/>
                <w:szCs w:val="20"/>
              </w:rPr>
              <w:t>(b) o descriere a măsurilor care urmează să fie adoptate, vizând restabilirea viabilității pe termen lung a instituției sau a entității menționate la articolul 1 alineatul (1) litera (b), (c) sau (d);</w:t>
            </w:r>
          </w:p>
          <w:p w14:paraId="796F5D8D" w14:textId="77777777" w:rsidR="00F4284C" w:rsidRPr="00154588" w:rsidRDefault="00F4284C" w:rsidP="008C12B4">
            <w:pPr>
              <w:jc w:val="both"/>
              <w:rPr>
                <w:bCs/>
                <w:sz w:val="20"/>
                <w:szCs w:val="20"/>
              </w:rPr>
            </w:pPr>
          </w:p>
          <w:p w14:paraId="26D3A67C" w14:textId="77777777" w:rsidR="00F4284C" w:rsidRPr="00154588" w:rsidRDefault="00F4284C" w:rsidP="008C12B4">
            <w:pPr>
              <w:jc w:val="both"/>
              <w:rPr>
                <w:bCs/>
                <w:sz w:val="20"/>
                <w:szCs w:val="20"/>
              </w:rPr>
            </w:pPr>
            <w:r w:rsidRPr="00154588">
              <w:rPr>
                <w:bCs/>
                <w:sz w:val="20"/>
                <w:szCs w:val="20"/>
              </w:rPr>
              <w:t>(c) un calendar de punere în aplicare a măsurilor respective;</w:t>
            </w:r>
          </w:p>
          <w:p w14:paraId="28AA94E8" w14:textId="6CD4C2B0" w:rsidR="00F4284C" w:rsidRPr="00154588" w:rsidRDefault="00F4284C" w:rsidP="008C12B4">
            <w:pPr>
              <w:jc w:val="both"/>
              <w:rPr>
                <w:bCs/>
                <w:sz w:val="20"/>
                <w:szCs w:val="20"/>
              </w:rPr>
            </w:pPr>
            <w:r w:rsidRPr="00154588">
              <w:rPr>
                <w:bCs/>
                <w:sz w:val="20"/>
                <w:szCs w:val="20"/>
              </w:rPr>
              <w:t>Autoritatea de rezoluție poate solicita instituției sau entității menționate la articolul 1 alineatul (1) litera (b), (c) sau (d) să includă elemente suplimentare în planul de reorganizare a activității.</w:t>
            </w:r>
          </w:p>
        </w:tc>
        <w:tc>
          <w:tcPr>
            <w:tcW w:w="4819" w:type="dxa"/>
          </w:tcPr>
          <w:p w14:paraId="41573657" w14:textId="507D388E" w:rsidR="00F4284C" w:rsidRPr="00154588" w:rsidRDefault="00F4284C" w:rsidP="008C12B4">
            <w:pPr>
              <w:jc w:val="both"/>
              <w:rPr>
                <w:bCs/>
                <w:sz w:val="20"/>
                <w:szCs w:val="20"/>
              </w:rPr>
            </w:pPr>
            <w:r w:rsidRPr="00154588">
              <w:rPr>
                <w:b/>
                <w:bCs/>
                <w:sz w:val="20"/>
                <w:szCs w:val="20"/>
              </w:rPr>
              <w:t>Articolul 195.</w:t>
            </w:r>
            <w:r w:rsidRPr="00154588">
              <w:rPr>
                <w:bCs/>
                <w:sz w:val="20"/>
                <w:szCs w:val="20"/>
              </w:rPr>
              <w:t xml:space="preserve"> – (3) Planul de reorganizare a activităţii include cel puţin următoarele elemente:</w:t>
            </w:r>
          </w:p>
          <w:p w14:paraId="49CC8018" w14:textId="77777777" w:rsidR="00F4284C" w:rsidRPr="00154588" w:rsidRDefault="00F4284C" w:rsidP="008C12B4">
            <w:pPr>
              <w:jc w:val="both"/>
              <w:rPr>
                <w:bCs/>
                <w:sz w:val="20"/>
                <w:szCs w:val="20"/>
              </w:rPr>
            </w:pPr>
            <w:r w:rsidRPr="00154588">
              <w:rPr>
                <w:bCs/>
                <w:sz w:val="20"/>
                <w:szCs w:val="20"/>
              </w:rPr>
              <w:t>a) descrierea detaliată a factorilor şi problemelor care au condus la situaţia în care  instituția de credit sau entitatea menționată la art.1 alin.(1) lit. b),c) sau d) intră sau este susceptibilă de a intra într-o situaţie de dificultate şi circumstanţele care au condus la dificultăţile cu care se confruntă aceasta;</w:t>
            </w:r>
          </w:p>
          <w:p w14:paraId="455B066A" w14:textId="77777777" w:rsidR="00F4284C" w:rsidRPr="00154588" w:rsidRDefault="00F4284C" w:rsidP="008C12B4">
            <w:pPr>
              <w:jc w:val="both"/>
              <w:rPr>
                <w:bCs/>
                <w:sz w:val="20"/>
                <w:szCs w:val="20"/>
              </w:rPr>
            </w:pPr>
            <w:r w:rsidRPr="00154588">
              <w:rPr>
                <w:bCs/>
                <w:sz w:val="20"/>
                <w:szCs w:val="20"/>
              </w:rPr>
              <w:t>b) descrierea măsurilor care urmează să fie adoptate, vizînd restabilirea viabilităţii pe termen lung a instituției de credit sau entității menționată la art.1 alin.(1) lit. b),c) sau d);</w:t>
            </w:r>
          </w:p>
          <w:p w14:paraId="5011E759" w14:textId="77777777" w:rsidR="00F4284C" w:rsidRPr="00154588" w:rsidRDefault="00F4284C" w:rsidP="008C12B4">
            <w:pPr>
              <w:jc w:val="both"/>
              <w:rPr>
                <w:bCs/>
                <w:sz w:val="20"/>
                <w:szCs w:val="20"/>
              </w:rPr>
            </w:pPr>
            <w:r w:rsidRPr="00154588">
              <w:rPr>
                <w:bCs/>
                <w:sz w:val="20"/>
                <w:szCs w:val="20"/>
              </w:rPr>
              <w:t>c) calendarul de punere în aplicare a măsurilor respective.</w:t>
            </w:r>
          </w:p>
          <w:p w14:paraId="53778E4A" w14:textId="246273EC" w:rsidR="00F4284C" w:rsidRPr="00154588" w:rsidRDefault="00F4284C" w:rsidP="008C12B4">
            <w:pPr>
              <w:jc w:val="both"/>
              <w:rPr>
                <w:bCs/>
                <w:sz w:val="20"/>
                <w:szCs w:val="20"/>
              </w:rPr>
            </w:pPr>
            <w:r w:rsidRPr="00154588">
              <w:rPr>
                <w:bCs/>
                <w:sz w:val="20"/>
                <w:szCs w:val="20"/>
              </w:rPr>
              <w:t>(4) Banca Națională a Moldovei, în calitate de autoritate de rezoluție, poate solicita instituției sau entității menționate la art.1 alin.(1) lit.b), c) sau d) să includă elemente suplimentare în planul de reorganizare a activității.</w:t>
            </w:r>
          </w:p>
        </w:tc>
        <w:tc>
          <w:tcPr>
            <w:tcW w:w="2552" w:type="dxa"/>
          </w:tcPr>
          <w:p w14:paraId="4154402E" w14:textId="4358B9E6" w:rsidR="00F4284C" w:rsidRPr="00154588" w:rsidRDefault="00F4284C" w:rsidP="008C12B4">
            <w:pPr>
              <w:jc w:val="both"/>
              <w:rPr>
                <w:bCs/>
                <w:sz w:val="20"/>
                <w:szCs w:val="20"/>
              </w:rPr>
            </w:pPr>
            <w:r w:rsidRPr="00154588">
              <w:rPr>
                <w:bCs/>
                <w:sz w:val="20"/>
                <w:szCs w:val="20"/>
              </w:rPr>
              <w:t>Compatibil</w:t>
            </w:r>
          </w:p>
        </w:tc>
        <w:tc>
          <w:tcPr>
            <w:tcW w:w="3118" w:type="dxa"/>
          </w:tcPr>
          <w:p w14:paraId="582EEA3E" w14:textId="77777777" w:rsidR="00F4284C" w:rsidRPr="00154588" w:rsidRDefault="00F4284C" w:rsidP="008C12B4">
            <w:pPr>
              <w:jc w:val="both"/>
              <w:rPr>
                <w:bCs/>
                <w:sz w:val="20"/>
                <w:szCs w:val="20"/>
              </w:rPr>
            </w:pPr>
          </w:p>
        </w:tc>
      </w:tr>
      <w:tr w:rsidR="00F4284C" w:rsidRPr="00154588" w14:paraId="5A14F7E2" w14:textId="77777777" w:rsidTr="00D15C1B">
        <w:trPr>
          <w:jc w:val="center"/>
        </w:trPr>
        <w:tc>
          <w:tcPr>
            <w:tcW w:w="4957" w:type="dxa"/>
            <w:gridSpan w:val="2"/>
          </w:tcPr>
          <w:p w14:paraId="1AF6A16F" w14:textId="77777777" w:rsidR="00F4284C" w:rsidRPr="00154588" w:rsidRDefault="00F4284C" w:rsidP="008C12B4">
            <w:pPr>
              <w:jc w:val="both"/>
              <w:rPr>
                <w:bCs/>
                <w:sz w:val="20"/>
                <w:szCs w:val="20"/>
              </w:rPr>
            </w:pPr>
            <w:r w:rsidRPr="00154588">
              <w:rPr>
                <w:bCs/>
                <w:sz w:val="20"/>
                <w:szCs w:val="20"/>
              </w:rPr>
              <w:lastRenderedPageBreak/>
              <w:t>(6)   Măsurile menite să restabilească viabilitatea pe termen lung a unei instituții sau a unei entități menționate la articolul 1 alineatul (1) litera (b), (c) sau (d) pot include:</w:t>
            </w:r>
          </w:p>
          <w:p w14:paraId="067EF63F" w14:textId="77777777" w:rsidR="00F4284C" w:rsidRPr="00154588" w:rsidRDefault="00F4284C" w:rsidP="008C12B4">
            <w:pPr>
              <w:jc w:val="both"/>
              <w:rPr>
                <w:bCs/>
                <w:sz w:val="20"/>
                <w:szCs w:val="20"/>
              </w:rPr>
            </w:pPr>
          </w:p>
          <w:p w14:paraId="332303E8" w14:textId="6E7480D2" w:rsidR="00F4284C" w:rsidRPr="00154588" w:rsidRDefault="00F4284C" w:rsidP="008C12B4">
            <w:pPr>
              <w:jc w:val="both"/>
              <w:rPr>
                <w:bCs/>
                <w:sz w:val="20"/>
                <w:szCs w:val="20"/>
              </w:rPr>
            </w:pPr>
            <w:r w:rsidRPr="00154588">
              <w:rPr>
                <w:bCs/>
                <w:sz w:val="20"/>
                <w:szCs w:val="20"/>
              </w:rPr>
              <w:t>(a) reorganizarea activităților instituției sau entității menționate la articolul 1 alineatul (1) litera (b), (c) sau (d);</w:t>
            </w:r>
          </w:p>
          <w:p w14:paraId="6159B20D" w14:textId="77777777" w:rsidR="00F4284C" w:rsidRPr="00154588" w:rsidRDefault="00F4284C" w:rsidP="008C12B4">
            <w:pPr>
              <w:jc w:val="both"/>
              <w:rPr>
                <w:bCs/>
                <w:sz w:val="20"/>
                <w:szCs w:val="20"/>
              </w:rPr>
            </w:pPr>
          </w:p>
          <w:p w14:paraId="46332153" w14:textId="00E54B77" w:rsidR="00F4284C" w:rsidRPr="00154588" w:rsidRDefault="00F4284C" w:rsidP="008C12B4">
            <w:pPr>
              <w:jc w:val="both"/>
              <w:rPr>
                <w:bCs/>
                <w:sz w:val="20"/>
                <w:szCs w:val="20"/>
              </w:rPr>
            </w:pPr>
            <w:r w:rsidRPr="00154588">
              <w:rPr>
                <w:bCs/>
                <w:sz w:val="20"/>
                <w:szCs w:val="20"/>
              </w:rPr>
              <w:t>(b) schimbări ale sistemelor operaționale și ale infrastructurii din cadrul instituției;</w:t>
            </w:r>
          </w:p>
          <w:p w14:paraId="0943962F" w14:textId="77777777" w:rsidR="00F4284C" w:rsidRPr="00154588" w:rsidRDefault="00F4284C" w:rsidP="008C12B4">
            <w:pPr>
              <w:jc w:val="both"/>
              <w:rPr>
                <w:bCs/>
                <w:sz w:val="20"/>
                <w:szCs w:val="20"/>
              </w:rPr>
            </w:pPr>
          </w:p>
          <w:p w14:paraId="32FEF5D3" w14:textId="14CF8EC5" w:rsidR="00F4284C" w:rsidRPr="00154588" w:rsidRDefault="00F4284C" w:rsidP="008C12B4">
            <w:pPr>
              <w:jc w:val="both"/>
              <w:rPr>
                <w:bCs/>
                <w:sz w:val="20"/>
                <w:szCs w:val="20"/>
              </w:rPr>
            </w:pPr>
            <w:r w:rsidRPr="00154588">
              <w:rPr>
                <w:bCs/>
                <w:sz w:val="20"/>
                <w:szCs w:val="20"/>
              </w:rPr>
              <w:t>(c) încetarea activităților producătoare de pierderi;</w:t>
            </w:r>
          </w:p>
          <w:p w14:paraId="7A295E37" w14:textId="77777777" w:rsidR="00F4284C" w:rsidRPr="00154588" w:rsidRDefault="00F4284C" w:rsidP="008C12B4">
            <w:pPr>
              <w:jc w:val="both"/>
              <w:rPr>
                <w:bCs/>
                <w:sz w:val="20"/>
                <w:szCs w:val="20"/>
              </w:rPr>
            </w:pPr>
          </w:p>
          <w:p w14:paraId="2DFA66C1" w14:textId="5D9E166F" w:rsidR="00F4284C" w:rsidRPr="00154588" w:rsidRDefault="00F4284C" w:rsidP="008C12B4">
            <w:pPr>
              <w:jc w:val="both"/>
              <w:rPr>
                <w:bCs/>
                <w:sz w:val="20"/>
                <w:szCs w:val="20"/>
              </w:rPr>
            </w:pPr>
            <w:r w:rsidRPr="00154588">
              <w:rPr>
                <w:bCs/>
                <w:sz w:val="20"/>
                <w:szCs w:val="20"/>
              </w:rPr>
              <w:t>(d) restructurarea activităților existente care pot fi făcute competitive;</w:t>
            </w:r>
          </w:p>
          <w:p w14:paraId="7A44C0FE" w14:textId="77777777" w:rsidR="00F4284C" w:rsidRPr="00154588" w:rsidRDefault="00F4284C" w:rsidP="008C12B4">
            <w:pPr>
              <w:jc w:val="both"/>
              <w:rPr>
                <w:bCs/>
                <w:sz w:val="20"/>
                <w:szCs w:val="20"/>
              </w:rPr>
            </w:pPr>
          </w:p>
          <w:p w14:paraId="12E65102" w14:textId="5ECF9BEF" w:rsidR="00F4284C" w:rsidRPr="00154588" w:rsidRDefault="00F4284C" w:rsidP="008C12B4">
            <w:pPr>
              <w:jc w:val="both"/>
              <w:rPr>
                <w:bCs/>
                <w:sz w:val="20"/>
                <w:szCs w:val="20"/>
              </w:rPr>
            </w:pPr>
            <w:r w:rsidRPr="00154588">
              <w:rPr>
                <w:bCs/>
                <w:sz w:val="20"/>
                <w:szCs w:val="20"/>
              </w:rPr>
              <w:t>(e) vânzarea de active sau de linii de activitate.</w:t>
            </w:r>
          </w:p>
        </w:tc>
        <w:tc>
          <w:tcPr>
            <w:tcW w:w="4819" w:type="dxa"/>
          </w:tcPr>
          <w:p w14:paraId="3A3E6A14" w14:textId="77777777" w:rsidR="00F4284C" w:rsidRPr="00154588" w:rsidRDefault="00F4284C" w:rsidP="008C12B4">
            <w:pPr>
              <w:jc w:val="both"/>
              <w:rPr>
                <w:bCs/>
                <w:sz w:val="20"/>
                <w:szCs w:val="20"/>
              </w:rPr>
            </w:pPr>
            <w:r w:rsidRPr="00154588">
              <w:rPr>
                <w:b/>
                <w:bCs/>
                <w:sz w:val="20"/>
                <w:szCs w:val="20"/>
              </w:rPr>
              <w:t>Articolul 196.</w:t>
            </w:r>
            <w:r w:rsidRPr="00154588">
              <w:rPr>
                <w:bCs/>
                <w:sz w:val="20"/>
                <w:szCs w:val="20"/>
              </w:rPr>
              <w:t xml:space="preserve"> – Măsurile menite să restabilească viabilitatea pe termen lung a unei  instituții de credit sau a unei entităţi menţionate la art.1 alin.(1) lit.b), c) sau d) pot include:</w:t>
            </w:r>
          </w:p>
          <w:p w14:paraId="0778605A" w14:textId="77777777" w:rsidR="00F4284C" w:rsidRPr="00154588" w:rsidRDefault="00F4284C" w:rsidP="008C12B4">
            <w:pPr>
              <w:jc w:val="both"/>
              <w:rPr>
                <w:bCs/>
                <w:sz w:val="20"/>
                <w:szCs w:val="20"/>
              </w:rPr>
            </w:pPr>
            <w:r w:rsidRPr="00154588">
              <w:rPr>
                <w:bCs/>
                <w:sz w:val="20"/>
                <w:szCs w:val="20"/>
              </w:rPr>
              <w:t>a) reorganizarea activităţilor instituţiei de credit sau entităţii menţionate la art.1 alin.(1) lit. b), c) sau d);</w:t>
            </w:r>
          </w:p>
          <w:p w14:paraId="3015236E" w14:textId="77777777" w:rsidR="00F4284C" w:rsidRPr="00154588" w:rsidRDefault="00F4284C" w:rsidP="008C12B4">
            <w:pPr>
              <w:jc w:val="both"/>
              <w:rPr>
                <w:bCs/>
                <w:sz w:val="20"/>
                <w:szCs w:val="20"/>
              </w:rPr>
            </w:pPr>
            <w:r w:rsidRPr="00154588">
              <w:rPr>
                <w:bCs/>
                <w:sz w:val="20"/>
                <w:szCs w:val="20"/>
              </w:rPr>
              <w:t>b) schimbări ale sistemelor operaţionale şi ale infrastructurii din cadrul instituției de credit;</w:t>
            </w:r>
          </w:p>
          <w:p w14:paraId="35FCF86C" w14:textId="77777777" w:rsidR="00F4284C" w:rsidRPr="00154588" w:rsidRDefault="00F4284C" w:rsidP="008C12B4">
            <w:pPr>
              <w:jc w:val="both"/>
              <w:rPr>
                <w:bCs/>
                <w:sz w:val="20"/>
                <w:szCs w:val="20"/>
              </w:rPr>
            </w:pPr>
            <w:r w:rsidRPr="00154588">
              <w:rPr>
                <w:bCs/>
                <w:sz w:val="20"/>
                <w:szCs w:val="20"/>
              </w:rPr>
              <w:t>c) retragerea din activităţile producătoare de pierderi;</w:t>
            </w:r>
          </w:p>
          <w:p w14:paraId="44D30952" w14:textId="77777777" w:rsidR="00F4284C" w:rsidRPr="00154588" w:rsidRDefault="00F4284C" w:rsidP="008C12B4">
            <w:pPr>
              <w:jc w:val="both"/>
              <w:rPr>
                <w:bCs/>
                <w:sz w:val="20"/>
                <w:szCs w:val="20"/>
              </w:rPr>
            </w:pPr>
            <w:r w:rsidRPr="00154588">
              <w:rPr>
                <w:bCs/>
                <w:sz w:val="20"/>
                <w:szCs w:val="20"/>
              </w:rPr>
              <w:t>d) restructurarea activităţilor existente care pot fi făcute competitive;</w:t>
            </w:r>
          </w:p>
          <w:p w14:paraId="6F197091" w14:textId="77777777" w:rsidR="00F4284C" w:rsidRPr="00154588" w:rsidRDefault="00F4284C" w:rsidP="008C12B4">
            <w:pPr>
              <w:jc w:val="both"/>
              <w:rPr>
                <w:bCs/>
                <w:sz w:val="20"/>
                <w:szCs w:val="20"/>
              </w:rPr>
            </w:pPr>
            <w:r w:rsidRPr="00154588">
              <w:rPr>
                <w:bCs/>
                <w:sz w:val="20"/>
                <w:szCs w:val="20"/>
              </w:rPr>
              <w:t>e) vînzarea de active sau de linii de activitate.</w:t>
            </w:r>
          </w:p>
          <w:p w14:paraId="2CD7B0E9" w14:textId="77777777" w:rsidR="00F4284C" w:rsidRPr="00154588" w:rsidRDefault="00F4284C" w:rsidP="008C12B4">
            <w:pPr>
              <w:jc w:val="both"/>
              <w:rPr>
                <w:bCs/>
                <w:sz w:val="20"/>
                <w:szCs w:val="20"/>
              </w:rPr>
            </w:pPr>
          </w:p>
        </w:tc>
        <w:tc>
          <w:tcPr>
            <w:tcW w:w="2552" w:type="dxa"/>
          </w:tcPr>
          <w:p w14:paraId="4FCD44EA" w14:textId="3DE09768" w:rsidR="00F4284C" w:rsidRPr="00154588" w:rsidRDefault="00F4284C" w:rsidP="008C12B4">
            <w:pPr>
              <w:jc w:val="both"/>
              <w:rPr>
                <w:bCs/>
                <w:sz w:val="20"/>
                <w:szCs w:val="20"/>
              </w:rPr>
            </w:pPr>
            <w:r w:rsidRPr="00154588">
              <w:rPr>
                <w:bCs/>
                <w:sz w:val="20"/>
                <w:szCs w:val="20"/>
              </w:rPr>
              <w:t>Compatibil</w:t>
            </w:r>
          </w:p>
        </w:tc>
        <w:tc>
          <w:tcPr>
            <w:tcW w:w="3118" w:type="dxa"/>
          </w:tcPr>
          <w:p w14:paraId="10D9AB70" w14:textId="77777777" w:rsidR="00F4284C" w:rsidRPr="00154588" w:rsidRDefault="00F4284C" w:rsidP="008C12B4">
            <w:pPr>
              <w:jc w:val="both"/>
              <w:rPr>
                <w:bCs/>
                <w:sz w:val="20"/>
                <w:szCs w:val="20"/>
              </w:rPr>
            </w:pPr>
          </w:p>
        </w:tc>
      </w:tr>
      <w:tr w:rsidR="00F4284C" w:rsidRPr="00154588" w14:paraId="76278ABF" w14:textId="77777777" w:rsidTr="00D15C1B">
        <w:trPr>
          <w:jc w:val="center"/>
        </w:trPr>
        <w:tc>
          <w:tcPr>
            <w:tcW w:w="4957" w:type="dxa"/>
            <w:gridSpan w:val="2"/>
          </w:tcPr>
          <w:p w14:paraId="20EC3B23" w14:textId="77777777" w:rsidR="00F4284C" w:rsidRPr="00154588" w:rsidRDefault="00F4284C" w:rsidP="008C12B4">
            <w:pPr>
              <w:jc w:val="both"/>
              <w:rPr>
                <w:bCs/>
                <w:sz w:val="20"/>
                <w:szCs w:val="20"/>
              </w:rPr>
            </w:pPr>
            <w:r w:rsidRPr="00154588">
              <w:rPr>
                <w:bCs/>
                <w:sz w:val="20"/>
                <w:szCs w:val="20"/>
              </w:rPr>
              <w:t>(7)   În termen de o lună de la data depunerii planului de reorganizare a activității, autoritatea de rezoluție relevantă evaluează probabilitatea ca planul, în cazul în care este pus în aplicare, să restabilească viabilitatea pe termen lung a instituției sau a entității menționate la articolul 1 alineatul (1) litera (b), (c) sau (d). Evaluarea este realizată de comun acord cu autoritatea competentă relevantă.</w:t>
            </w:r>
          </w:p>
          <w:p w14:paraId="283A9F67" w14:textId="77777777" w:rsidR="00F4284C" w:rsidRPr="00154588" w:rsidRDefault="00F4284C" w:rsidP="008C12B4">
            <w:pPr>
              <w:jc w:val="both"/>
              <w:rPr>
                <w:bCs/>
                <w:sz w:val="20"/>
                <w:szCs w:val="20"/>
              </w:rPr>
            </w:pPr>
          </w:p>
          <w:p w14:paraId="499E18C7" w14:textId="6303EA26" w:rsidR="00F4284C" w:rsidRPr="00154588" w:rsidRDefault="00F4284C" w:rsidP="008C12B4">
            <w:pPr>
              <w:jc w:val="both"/>
              <w:rPr>
                <w:bCs/>
                <w:sz w:val="20"/>
                <w:szCs w:val="20"/>
              </w:rPr>
            </w:pPr>
            <w:r w:rsidRPr="00154588">
              <w:rPr>
                <w:bCs/>
                <w:sz w:val="20"/>
                <w:szCs w:val="20"/>
              </w:rPr>
              <w:t>În cazul în care autoritatea de rezoluție și autoritatea competentă estimează că planul va atinge acest obiectiv, autoritatea de rezoluție îl aprobă.</w:t>
            </w:r>
          </w:p>
        </w:tc>
        <w:tc>
          <w:tcPr>
            <w:tcW w:w="4819" w:type="dxa"/>
          </w:tcPr>
          <w:p w14:paraId="2F381DDD" w14:textId="77777777" w:rsidR="00F4284C" w:rsidRPr="00154588" w:rsidRDefault="00F4284C" w:rsidP="008C12B4">
            <w:pPr>
              <w:jc w:val="both"/>
              <w:rPr>
                <w:bCs/>
                <w:sz w:val="20"/>
                <w:szCs w:val="20"/>
              </w:rPr>
            </w:pPr>
            <w:r w:rsidRPr="00154588">
              <w:rPr>
                <w:b/>
                <w:bCs/>
                <w:sz w:val="20"/>
                <w:szCs w:val="20"/>
              </w:rPr>
              <w:t>Articolul 197.</w:t>
            </w:r>
            <w:r w:rsidRPr="00154588">
              <w:rPr>
                <w:bCs/>
                <w:sz w:val="20"/>
                <w:szCs w:val="20"/>
              </w:rPr>
              <w:t xml:space="preserve"> – (1) În termen de o lună de la data depunerii planului de reorganizare a activităţii, Banca Naţională a Moldovei, în calitate de autoritate de rezoluţie, evaluează probabilitatea ca planul, în cazul în care este pus în aplicare, să restabilească viabilitatea pe termen lung a instituției de credit sau entității menţionate la art. 1 alin. (1) lit. (b), (c) sau (d).</w:t>
            </w:r>
          </w:p>
          <w:p w14:paraId="16DE81A7" w14:textId="77777777" w:rsidR="00F4284C" w:rsidRPr="00154588" w:rsidRDefault="00F4284C" w:rsidP="008C12B4">
            <w:pPr>
              <w:jc w:val="both"/>
              <w:rPr>
                <w:bCs/>
                <w:sz w:val="20"/>
                <w:szCs w:val="20"/>
              </w:rPr>
            </w:pPr>
            <w:r w:rsidRPr="00154588">
              <w:rPr>
                <w:bCs/>
                <w:sz w:val="20"/>
                <w:szCs w:val="20"/>
              </w:rPr>
              <w:t>(2) Banca Naţională a Moldovei se asigură că structura care exercită funcţia de rezoluţie realizează evaluarea prevăzută la alin.(1) de comun acord cu structura care exercită funcţia de supraveghere.</w:t>
            </w:r>
          </w:p>
          <w:p w14:paraId="71209964" w14:textId="77777777" w:rsidR="00F4284C" w:rsidRPr="00154588" w:rsidRDefault="00F4284C" w:rsidP="008C12B4">
            <w:pPr>
              <w:jc w:val="both"/>
              <w:rPr>
                <w:bCs/>
                <w:sz w:val="20"/>
                <w:szCs w:val="20"/>
              </w:rPr>
            </w:pPr>
            <w:r w:rsidRPr="00154588">
              <w:rPr>
                <w:bCs/>
                <w:sz w:val="20"/>
                <w:szCs w:val="20"/>
              </w:rPr>
              <w:t>(3) Banca Naţională a Moldovei, în calitate de autoritate de rezoluţie, aprobă planul de reorganizare a activităţii, în cazul în care structura care exercită funcţia de rezoluţie împreună cu structura care exercită funcţia de supraveghere ajung la concluzia că planul va atinge obiectivul prevăzut la alin.(1).</w:t>
            </w:r>
          </w:p>
          <w:p w14:paraId="3DED2743" w14:textId="77777777" w:rsidR="00F4284C" w:rsidRPr="00154588" w:rsidRDefault="00F4284C" w:rsidP="008C12B4">
            <w:pPr>
              <w:jc w:val="both"/>
              <w:rPr>
                <w:bCs/>
                <w:sz w:val="20"/>
                <w:szCs w:val="20"/>
              </w:rPr>
            </w:pPr>
          </w:p>
        </w:tc>
        <w:tc>
          <w:tcPr>
            <w:tcW w:w="2552" w:type="dxa"/>
          </w:tcPr>
          <w:p w14:paraId="26B3E3F4" w14:textId="66C52468" w:rsidR="00F4284C" w:rsidRPr="00154588" w:rsidRDefault="00F4284C" w:rsidP="008C12B4">
            <w:pPr>
              <w:jc w:val="both"/>
              <w:rPr>
                <w:bCs/>
                <w:sz w:val="20"/>
                <w:szCs w:val="20"/>
              </w:rPr>
            </w:pPr>
            <w:r w:rsidRPr="00154588">
              <w:rPr>
                <w:bCs/>
                <w:sz w:val="20"/>
                <w:szCs w:val="20"/>
              </w:rPr>
              <w:t>Compatibil</w:t>
            </w:r>
          </w:p>
        </w:tc>
        <w:tc>
          <w:tcPr>
            <w:tcW w:w="3118" w:type="dxa"/>
          </w:tcPr>
          <w:p w14:paraId="5E3CCD66" w14:textId="77777777" w:rsidR="00F4284C" w:rsidRPr="00154588" w:rsidRDefault="00F4284C" w:rsidP="008C12B4">
            <w:pPr>
              <w:jc w:val="both"/>
              <w:rPr>
                <w:bCs/>
                <w:sz w:val="20"/>
                <w:szCs w:val="20"/>
              </w:rPr>
            </w:pPr>
          </w:p>
        </w:tc>
      </w:tr>
      <w:tr w:rsidR="00F4284C" w:rsidRPr="00154588" w14:paraId="0FFC3656" w14:textId="77777777" w:rsidTr="00D15C1B">
        <w:trPr>
          <w:jc w:val="center"/>
        </w:trPr>
        <w:tc>
          <w:tcPr>
            <w:tcW w:w="4957" w:type="dxa"/>
            <w:gridSpan w:val="2"/>
          </w:tcPr>
          <w:p w14:paraId="505B5613" w14:textId="19CD2460" w:rsidR="00F4284C" w:rsidRPr="00154588" w:rsidRDefault="00F4284C" w:rsidP="008C12B4">
            <w:pPr>
              <w:jc w:val="both"/>
              <w:rPr>
                <w:bCs/>
                <w:sz w:val="20"/>
                <w:szCs w:val="20"/>
              </w:rPr>
            </w:pPr>
            <w:r w:rsidRPr="00154588">
              <w:rPr>
                <w:bCs/>
                <w:sz w:val="20"/>
                <w:szCs w:val="20"/>
              </w:rPr>
              <w:t xml:space="preserve">(8)   În cazul în care estimează că planul nu va atinge obiectivul stabilit la alineatul (7), autoritatea de rezoluție, de comun acord cu autoritatea competentă, notifică preocupările sale organului de conducere sau persoanei sau persoanelor desemnate în temeiul articolului 72 alineatul (1) și solicită modificarea </w:t>
            </w:r>
            <w:r w:rsidRPr="00154588">
              <w:rPr>
                <w:bCs/>
                <w:sz w:val="20"/>
                <w:szCs w:val="20"/>
              </w:rPr>
              <w:lastRenderedPageBreak/>
              <w:t>planului într-un mod care să răspundă acestor preocupări.</w:t>
            </w:r>
          </w:p>
        </w:tc>
        <w:tc>
          <w:tcPr>
            <w:tcW w:w="4819" w:type="dxa"/>
          </w:tcPr>
          <w:p w14:paraId="75C1AEDF" w14:textId="77777777" w:rsidR="00F4284C" w:rsidRPr="00154588" w:rsidRDefault="00F4284C" w:rsidP="008C12B4">
            <w:pPr>
              <w:jc w:val="both"/>
              <w:rPr>
                <w:bCs/>
                <w:sz w:val="20"/>
                <w:szCs w:val="20"/>
              </w:rPr>
            </w:pPr>
            <w:r w:rsidRPr="00154588">
              <w:rPr>
                <w:b/>
                <w:bCs/>
                <w:sz w:val="20"/>
                <w:szCs w:val="20"/>
              </w:rPr>
              <w:lastRenderedPageBreak/>
              <w:t>Articolul 198.</w:t>
            </w:r>
            <w:r w:rsidRPr="00154588">
              <w:rPr>
                <w:bCs/>
                <w:sz w:val="20"/>
                <w:szCs w:val="20"/>
              </w:rPr>
              <w:t xml:space="preserve"> – (1) În cazul în care Banca Naţională a Moldovei, în calitate de autoritate de rezoluţie, nu este convinsă că planul va atinge obiectivul prevăzut la art.197, aceasta notifică preocupările sale organului de conducere sau persoanei/persoanelor desemnate în temeiul art.259 şi solicită modificarea </w:t>
            </w:r>
            <w:r w:rsidRPr="00154588">
              <w:rPr>
                <w:bCs/>
                <w:sz w:val="20"/>
                <w:szCs w:val="20"/>
              </w:rPr>
              <w:lastRenderedPageBreak/>
              <w:t>planului într-un mod care să răspundă acestor preocupări.</w:t>
            </w:r>
          </w:p>
          <w:p w14:paraId="225E8F9C" w14:textId="77777777" w:rsidR="00F4284C" w:rsidRPr="00154588" w:rsidRDefault="00F4284C" w:rsidP="008C12B4">
            <w:pPr>
              <w:jc w:val="both"/>
              <w:rPr>
                <w:bCs/>
                <w:sz w:val="20"/>
                <w:szCs w:val="20"/>
              </w:rPr>
            </w:pPr>
            <w:r w:rsidRPr="00154588">
              <w:rPr>
                <w:bCs/>
                <w:sz w:val="20"/>
                <w:szCs w:val="20"/>
              </w:rPr>
              <w:t>(2) Banca Naţională a Moldovei se asigură că notificarea preocupărilor prevăzute la alin.(1) se realizează de structura care exercită funcţia de rezoluţie, de comun acord cu structura care exercită funcţia de supraveghere.</w:t>
            </w:r>
          </w:p>
          <w:p w14:paraId="733B94A4" w14:textId="77777777" w:rsidR="00F4284C" w:rsidRPr="00154588" w:rsidRDefault="00F4284C" w:rsidP="008C12B4">
            <w:pPr>
              <w:jc w:val="both"/>
              <w:rPr>
                <w:bCs/>
                <w:sz w:val="20"/>
                <w:szCs w:val="20"/>
              </w:rPr>
            </w:pPr>
          </w:p>
        </w:tc>
        <w:tc>
          <w:tcPr>
            <w:tcW w:w="2552" w:type="dxa"/>
          </w:tcPr>
          <w:p w14:paraId="6C979205" w14:textId="5B96D257"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0DC9C141" w14:textId="77777777" w:rsidR="00F4284C" w:rsidRPr="00154588" w:rsidRDefault="00F4284C" w:rsidP="008C12B4">
            <w:pPr>
              <w:jc w:val="both"/>
              <w:rPr>
                <w:bCs/>
                <w:sz w:val="20"/>
                <w:szCs w:val="20"/>
              </w:rPr>
            </w:pPr>
          </w:p>
        </w:tc>
      </w:tr>
      <w:tr w:rsidR="00F4284C" w:rsidRPr="00154588" w14:paraId="03DB5A7F" w14:textId="77777777" w:rsidTr="00D15C1B">
        <w:trPr>
          <w:jc w:val="center"/>
        </w:trPr>
        <w:tc>
          <w:tcPr>
            <w:tcW w:w="4957" w:type="dxa"/>
            <w:gridSpan w:val="2"/>
          </w:tcPr>
          <w:p w14:paraId="7261D11E" w14:textId="3A19581D" w:rsidR="00F4284C" w:rsidRPr="00154588" w:rsidRDefault="00F4284C" w:rsidP="008C12B4">
            <w:pPr>
              <w:jc w:val="both"/>
              <w:rPr>
                <w:bCs/>
                <w:sz w:val="20"/>
                <w:szCs w:val="20"/>
              </w:rPr>
            </w:pPr>
            <w:r w:rsidRPr="00154588">
              <w:rPr>
                <w:bCs/>
                <w:sz w:val="20"/>
                <w:szCs w:val="20"/>
              </w:rPr>
              <w:t>(9)   În termen de două săptămâni de la data primirii notificării menționate la alineatul (8), organul de conducere sau persoana sau persoanele desemnate în temeiul articolului 72 alineatul (1) prezintă autorității de rezoluție un plan modificat pentru aprobare. Autoritatea de rezoluție evaluează planul modificat și comunică organului de conducere sau persoanei sau persoanelor desemnate în temeiul articolului 72 alineatul (1) în termen de o săptămână în ce măsură estimează că planul, astfel modificat, răspunde preocupărilor notificate sau sunt necesare modificări suplimentare.</w:t>
            </w:r>
          </w:p>
        </w:tc>
        <w:tc>
          <w:tcPr>
            <w:tcW w:w="4819" w:type="dxa"/>
          </w:tcPr>
          <w:p w14:paraId="22EF2AD8" w14:textId="5C86B241" w:rsidR="00F4284C" w:rsidRPr="00154588" w:rsidRDefault="00F4284C" w:rsidP="008C12B4">
            <w:pPr>
              <w:jc w:val="both"/>
              <w:rPr>
                <w:bCs/>
                <w:sz w:val="20"/>
                <w:szCs w:val="20"/>
              </w:rPr>
            </w:pPr>
            <w:r w:rsidRPr="00154588">
              <w:rPr>
                <w:b/>
                <w:bCs/>
                <w:sz w:val="20"/>
                <w:szCs w:val="20"/>
              </w:rPr>
              <w:t>199.</w:t>
            </w:r>
            <w:r w:rsidRPr="00154588">
              <w:rPr>
                <w:bCs/>
                <w:sz w:val="20"/>
                <w:szCs w:val="20"/>
              </w:rPr>
              <w:t xml:space="preserve"> – (1) În termen de două săptămâni de la data primirii notificării prevăzute la art.198, organul de conducere, respectiv persoana sau persoanele desemnate în temeiul art.259 prezintă Băncii Naţionale a Moldovei, în calitate de autoritate de rezoluţie, pentru aprobare, un plan modificat.</w:t>
            </w:r>
          </w:p>
          <w:p w14:paraId="4C4B5751" w14:textId="77777777" w:rsidR="00F4284C" w:rsidRPr="00154588" w:rsidRDefault="00F4284C" w:rsidP="008C12B4">
            <w:pPr>
              <w:jc w:val="both"/>
              <w:rPr>
                <w:bCs/>
                <w:sz w:val="20"/>
                <w:szCs w:val="20"/>
              </w:rPr>
            </w:pPr>
            <w:r w:rsidRPr="00154588">
              <w:rPr>
                <w:bCs/>
                <w:sz w:val="20"/>
                <w:szCs w:val="20"/>
              </w:rPr>
              <w:t>(2) Banca Naţională a Moldovei, în calitate de autoritate de rezoluţie, evaluează, cu respectarea prevederilor art.197 alin.(2), planul modificat şi comunică organului de conducere, respectiv persoanei sau persoanelor desemnate în temeiul art.259, în termen de o săptămînă de la data primirii acestuia, în ce măsură planul, astfel modificat, răspunde preocupărilor notificate sau sînt necesare modificări suplimentare.</w:t>
            </w:r>
          </w:p>
          <w:p w14:paraId="7C1B4D50" w14:textId="77777777" w:rsidR="00F4284C" w:rsidRPr="00154588" w:rsidRDefault="00F4284C" w:rsidP="008C12B4">
            <w:pPr>
              <w:jc w:val="both"/>
              <w:rPr>
                <w:bCs/>
                <w:sz w:val="20"/>
                <w:szCs w:val="20"/>
              </w:rPr>
            </w:pPr>
          </w:p>
        </w:tc>
        <w:tc>
          <w:tcPr>
            <w:tcW w:w="2552" w:type="dxa"/>
          </w:tcPr>
          <w:p w14:paraId="3440C90A" w14:textId="7B8E0FB8" w:rsidR="00F4284C" w:rsidRPr="00154588" w:rsidRDefault="00F4284C" w:rsidP="008C12B4">
            <w:pPr>
              <w:jc w:val="both"/>
              <w:rPr>
                <w:bCs/>
                <w:sz w:val="20"/>
                <w:szCs w:val="20"/>
              </w:rPr>
            </w:pPr>
            <w:r w:rsidRPr="00154588">
              <w:rPr>
                <w:bCs/>
                <w:sz w:val="20"/>
                <w:szCs w:val="20"/>
              </w:rPr>
              <w:t>Compatibil</w:t>
            </w:r>
          </w:p>
        </w:tc>
        <w:tc>
          <w:tcPr>
            <w:tcW w:w="3118" w:type="dxa"/>
          </w:tcPr>
          <w:p w14:paraId="346D6597" w14:textId="77777777" w:rsidR="00F4284C" w:rsidRPr="00154588" w:rsidRDefault="00F4284C" w:rsidP="008C12B4">
            <w:pPr>
              <w:jc w:val="both"/>
              <w:rPr>
                <w:bCs/>
                <w:sz w:val="20"/>
                <w:szCs w:val="20"/>
              </w:rPr>
            </w:pPr>
          </w:p>
        </w:tc>
      </w:tr>
      <w:tr w:rsidR="00F4284C" w:rsidRPr="00154588" w14:paraId="6E9C6E3F" w14:textId="77777777" w:rsidTr="00D15C1B">
        <w:trPr>
          <w:jc w:val="center"/>
        </w:trPr>
        <w:tc>
          <w:tcPr>
            <w:tcW w:w="4957" w:type="dxa"/>
            <w:gridSpan w:val="2"/>
          </w:tcPr>
          <w:p w14:paraId="7F952E61" w14:textId="76EA2C53" w:rsidR="00F4284C" w:rsidRPr="00154588" w:rsidRDefault="00F4284C" w:rsidP="008C12B4">
            <w:pPr>
              <w:jc w:val="both"/>
              <w:rPr>
                <w:bCs/>
                <w:sz w:val="20"/>
                <w:szCs w:val="20"/>
              </w:rPr>
            </w:pPr>
            <w:r w:rsidRPr="00154588">
              <w:rPr>
                <w:bCs/>
                <w:sz w:val="20"/>
                <w:szCs w:val="20"/>
              </w:rPr>
              <w:t>(10)   Organul de conducere sau persoana sau persoanele desemnate în temeiul articolului 72 alineatul (1) pun în aplicare planul de reorganizare aprobat de autoritatea de rezoluție și de autoritatea competentă și îi transmit autorității de rezoluție un raport cel puțin la fiecare șase luni în legătură cu progresele înregistrate în ceea ce privește punerea în aplicare a planului.</w:t>
            </w:r>
          </w:p>
        </w:tc>
        <w:tc>
          <w:tcPr>
            <w:tcW w:w="4819" w:type="dxa"/>
          </w:tcPr>
          <w:p w14:paraId="20100E1F" w14:textId="77777777" w:rsidR="00F4284C" w:rsidRPr="00154588" w:rsidRDefault="00F4284C" w:rsidP="008C12B4">
            <w:pPr>
              <w:jc w:val="both"/>
              <w:rPr>
                <w:bCs/>
                <w:sz w:val="20"/>
                <w:szCs w:val="20"/>
              </w:rPr>
            </w:pPr>
            <w:r w:rsidRPr="00154588">
              <w:rPr>
                <w:b/>
                <w:bCs/>
                <w:sz w:val="20"/>
                <w:szCs w:val="20"/>
              </w:rPr>
              <w:t>Articolul 200.</w:t>
            </w:r>
            <w:r w:rsidRPr="00154588">
              <w:rPr>
                <w:bCs/>
                <w:sz w:val="20"/>
                <w:szCs w:val="20"/>
              </w:rPr>
              <w:t xml:space="preserve"> – Organul de conducere, respectiv persoana sau persoanele desemnate în temeiul art.259 pun în aplicare planul de reorganizare agreat potrivit art.197 şi transmit un raport Băncii Naţionale a Moldovei, în calitate de autoritate de rezoluţie, cel puţin la fiecare şase luni în legătură cu progresele înregistrate în ceea ce priveşte punerea în aplicare a planului.</w:t>
            </w:r>
          </w:p>
          <w:p w14:paraId="2894C5F1" w14:textId="77777777" w:rsidR="00F4284C" w:rsidRPr="00154588" w:rsidRDefault="00F4284C" w:rsidP="008C12B4">
            <w:pPr>
              <w:jc w:val="both"/>
              <w:rPr>
                <w:bCs/>
                <w:sz w:val="20"/>
                <w:szCs w:val="20"/>
              </w:rPr>
            </w:pPr>
          </w:p>
        </w:tc>
        <w:tc>
          <w:tcPr>
            <w:tcW w:w="2552" w:type="dxa"/>
          </w:tcPr>
          <w:p w14:paraId="6B1A752A" w14:textId="13FE0154" w:rsidR="00F4284C" w:rsidRPr="00154588" w:rsidRDefault="00F4284C" w:rsidP="008C12B4">
            <w:pPr>
              <w:jc w:val="both"/>
              <w:rPr>
                <w:bCs/>
                <w:sz w:val="20"/>
                <w:szCs w:val="20"/>
              </w:rPr>
            </w:pPr>
            <w:r w:rsidRPr="00154588">
              <w:rPr>
                <w:bCs/>
                <w:sz w:val="20"/>
                <w:szCs w:val="20"/>
              </w:rPr>
              <w:t>Compatibil</w:t>
            </w:r>
          </w:p>
        </w:tc>
        <w:tc>
          <w:tcPr>
            <w:tcW w:w="3118" w:type="dxa"/>
          </w:tcPr>
          <w:p w14:paraId="710DC7D0" w14:textId="77777777" w:rsidR="00F4284C" w:rsidRPr="00154588" w:rsidRDefault="00F4284C" w:rsidP="008C12B4">
            <w:pPr>
              <w:jc w:val="both"/>
              <w:rPr>
                <w:bCs/>
                <w:sz w:val="20"/>
                <w:szCs w:val="20"/>
              </w:rPr>
            </w:pPr>
          </w:p>
        </w:tc>
      </w:tr>
      <w:tr w:rsidR="00F4284C" w:rsidRPr="00154588" w14:paraId="28F9B76F" w14:textId="77777777" w:rsidTr="00D15C1B">
        <w:trPr>
          <w:jc w:val="center"/>
        </w:trPr>
        <w:tc>
          <w:tcPr>
            <w:tcW w:w="4957" w:type="dxa"/>
            <w:gridSpan w:val="2"/>
          </w:tcPr>
          <w:p w14:paraId="451B9369" w14:textId="75A488E6" w:rsidR="00F4284C" w:rsidRPr="00154588" w:rsidRDefault="00F4284C" w:rsidP="008C12B4">
            <w:pPr>
              <w:rPr>
                <w:bCs/>
                <w:sz w:val="20"/>
                <w:szCs w:val="20"/>
              </w:rPr>
            </w:pPr>
            <w:r w:rsidRPr="00154588">
              <w:rPr>
                <w:bCs/>
                <w:sz w:val="20"/>
                <w:szCs w:val="20"/>
              </w:rPr>
              <w:t>(11)   Organul de conducere sau persoana sau persoanele desemnate în temeiul articolului 72 alineatul (1) revizuiesc planul dacă, în opinia autorității de rezoluție, de comun acord cu autoritatea competentă, acest lucru este necesar în vederea îndeplinirii obiectivului prevăzut la alineatul (4) și prezintă orice astfel de revizuire autorității de rezoluție pentru aprobare.</w:t>
            </w:r>
          </w:p>
        </w:tc>
        <w:tc>
          <w:tcPr>
            <w:tcW w:w="4819" w:type="dxa"/>
          </w:tcPr>
          <w:p w14:paraId="27BD0B2B" w14:textId="77777777" w:rsidR="00F4284C" w:rsidRPr="00154588" w:rsidRDefault="00F4284C" w:rsidP="008C12B4">
            <w:pPr>
              <w:jc w:val="both"/>
              <w:rPr>
                <w:bCs/>
                <w:sz w:val="20"/>
                <w:szCs w:val="20"/>
              </w:rPr>
            </w:pPr>
            <w:r w:rsidRPr="00154588">
              <w:rPr>
                <w:b/>
                <w:bCs/>
                <w:sz w:val="20"/>
                <w:szCs w:val="20"/>
              </w:rPr>
              <w:t>Articolul 201.</w:t>
            </w:r>
            <w:r w:rsidRPr="00154588">
              <w:rPr>
                <w:bCs/>
                <w:sz w:val="20"/>
                <w:szCs w:val="20"/>
              </w:rPr>
              <w:t xml:space="preserve"> – (1) Organul de conducere, respectiv persoana sau persoanele desemnate în temeiul art.259 revizuiesc planul dacă, în opinia Băncii Naţionale a Moldovei, în calitate de autoritate de rezoluţie, acest lucru este necesar în vederea îndeplinirii obiectivului prevăzut la art.195 alin.(1) şi (2) şi prezintă orice astfel de revizuire Băncii Naţionale a Moldovei, în calitate de autoritate de rezoluţie, în vederea aprobării.</w:t>
            </w:r>
          </w:p>
          <w:p w14:paraId="1A623E07" w14:textId="77777777" w:rsidR="00F4284C" w:rsidRPr="00154588" w:rsidRDefault="00F4284C" w:rsidP="008C12B4">
            <w:pPr>
              <w:jc w:val="both"/>
              <w:rPr>
                <w:bCs/>
                <w:sz w:val="20"/>
                <w:szCs w:val="20"/>
              </w:rPr>
            </w:pPr>
            <w:r w:rsidRPr="00154588">
              <w:rPr>
                <w:bCs/>
                <w:sz w:val="20"/>
                <w:szCs w:val="20"/>
              </w:rPr>
              <w:t xml:space="preserve">(2) La exprimarea opiniei potrivit alin.(1), Banca Naţională a Moldovei se asigură că structura care exercită funcţia de rezoluţie a obţinut acordul </w:t>
            </w:r>
            <w:r w:rsidRPr="00154588">
              <w:rPr>
                <w:bCs/>
                <w:sz w:val="20"/>
                <w:szCs w:val="20"/>
              </w:rPr>
              <w:lastRenderedPageBreak/>
              <w:t>prealabil al structurii care exercită funcţia de supraveghere.</w:t>
            </w:r>
          </w:p>
          <w:p w14:paraId="7C4DB352" w14:textId="77777777" w:rsidR="00F4284C" w:rsidRPr="00154588" w:rsidRDefault="00F4284C" w:rsidP="008C12B4">
            <w:pPr>
              <w:jc w:val="both"/>
              <w:rPr>
                <w:bCs/>
                <w:sz w:val="20"/>
                <w:szCs w:val="20"/>
              </w:rPr>
            </w:pPr>
          </w:p>
        </w:tc>
        <w:tc>
          <w:tcPr>
            <w:tcW w:w="2552" w:type="dxa"/>
          </w:tcPr>
          <w:p w14:paraId="37893036" w14:textId="11B23B0C"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250B54A5" w14:textId="77777777" w:rsidR="00F4284C" w:rsidRPr="00154588" w:rsidRDefault="00F4284C" w:rsidP="008C12B4">
            <w:pPr>
              <w:jc w:val="both"/>
              <w:rPr>
                <w:bCs/>
                <w:sz w:val="20"/>
                <w:szCs w:val="20"/>
              </w:rPr>
            </w:pPr>
          </w:p>
        </w:tc>
      </w:tr>
      <w:tr w:rsidR="00F4284C" w:rsidRPr="00154588" w14:paraId="3FE3C96F" w14:textId="77777777" w:rsidTr="00D15C1B">
        <w:trPr>
          <w:jc w:val="center"/>
        </w:trPr>
        <w:tc>
          <w:tcPr>
            <w:tcW w:w="4957" w:type="dxa"/>
            <w:gridSpan w:val="2"/>
          </w:tcPr>
          <w:p w14:paraId="06C75976" w14:textId="4F472447" w:rsidR="00F4284C" w:rsidRPr="00154588" w:rsidRDefault="00F4284C" w:rsidP="008C12B4">
            <w:pPr>
              <w:jc w:val="both"/>
              <w:rPr>
                <w:bCs/>
                <w:sz w:val="20"/>
                <w:szCs w:val="20"/>
              </w:rPr>
            </w:pPr>
            <w:r w:rsidRPr="00154588">
              <w:rPr>
                <w:bCs/>
                <w:sz w:val="20"/>
                <w:szCs w:val="20"/>
              </w:rPr>
              <w:t>(12)   ABE elaborează proiecte de standarde tehnice de reglementare pentru a preciza:</w:t>
            </w:r>
          </w:p>
          <w:p w14:paraId="5FE8C9A3" w14:textId="77777777" w:rsidR="00F4284C" w:rsidRPr="00154588" w:rsidRDefault="00F4284C" w:rsidP="008C12B4">
            <w:pPr>
              <w:jc w:val="both"/>
              <w:rPr>
                <w:bCs/>
                <w:sz w:val="20"/>
                <w:szCs w:val="20"/>
              </w:rPr>
            </w:pPr>
          </w:p>
          <w:p w14:paraId="2BA37C3E" w14:textId="008C4C48" w:rsidR="00F4284C" w:rsidRPr="00154588" w:rsidRDefault="00F4284C" w:rsidP="008C12B4">
            <w:pPr>
              <w:jc w:val="both"/>
              <w:rPr>
                <w:bCs/>
                <w:sz w:val="20"/>
                <w:szCs w:val="20"/>
              </w:rPr>
            </w:pPr>
            <w:r w:rsidRPr="00154588">
              <w:rPr>
                <w:bCs/>
                <w:sz w:val="20"/>
                <w:szCs w:val="20"/>
              </w:rPr>
              <w:t>(a) elementele minime care trebuie incluse în planul de reorganizare a activității în conformitate cu alineatul (5); și</w:t>
            </w:r>
          </w:p>
          <w:p w14:paraId="39E20F18" w14:textId="77777777" w:rsidR="00F4284C" w:rsidRPr="00154588" w:rsidRDefault="00F4284C" w:rsidP="008C12B4">
            <w:pPr>
              <w:jc w:val="both"/>
              <w:rPr>
                <w:bCs/>
                <w:sz w:val="20"/>
                <w:szCs w:val="20"/>
              </w:rPr>
            </w:pPr>
          </w:p>
          <w:p w14:paraId="6A648770" w14:textId="4ABAEE40" w:rsidR="00F4284C" w:rsidRPr="00154588" w:rsidRDefault="00F4284C" w:rsidP="008C12B4">
            <w:pPr>
              <w:jc w:val="both"/>
              <w:rPr>
                <w:bCs/>
                <w:sz w:val="20"/>
                <w:szCs w:val="20"/>
              </w:rPr>
            </w:pPr>
            <w:r w:rsidRPr="00154588">
              <w:rPr>
                <w:bCs/>
                <w:sz w:val="20"/>
                <w:szCs w:val="20"/>
              </w:rPr>
              <w:t>(b) conținutul minim al rapoartelor menționate la alineatul (10).</w:t>
            </w:r>
          </w:p>
          <w:p w14:paraId="2DACBB64" w14:textId="77777777" w:rsidR="00F4284C" w:rsidRPr="00154588" w:rsidRDefault="00F4284C" w:rsidP="008C12B4">
            <w:pPr>
              <w:jc w:val="both"/>
              <w:rPr>
                <w:bCs/>
                <w:sz w:val="20"/>
                <w:szCs w:val="20"/>
              </w:rPr>
            </w:pPr>
          </w:p>
          <w:p w14:paraId="569DADCA" w14:textId="77777777" w:rsidR="00F4284C" w:rsidRPr="00154588" w:rsidRDefault="00F4284C" w:rsidP="008C12B4">
            <w:pPr>
              <w:jc w:val="both"/>
              <w:rPr>
                <w:bCs/>
                <w:sz w:val="20"/>
                <w:szCs w:val="20"/>
              </w:rPr>
            </w:pPr>
            <w:r w:rsidRPr="00154588">
              <w:rPr>
                <w:bCs/>
                <w:sz w:val="20"/>
                <w:szCs w:val="20"/>
              </w:rPr>
              <w:t>ABE înaintează Comisiei aceste proiecte de standarde tehnice de reglementare până la 3 ianuarie 2016.</w:t>
            </w:r>
          </w:p>
          <w:p w14:paraId="7A20FCA4" w14:textId="77777777" w:rsidR="00F4284C" w:rsidRPr="00154588" w:rsidRDefault="00F4284C" w:rsidP="008C12B4">
            <w:pPr>
              <w:jc w:val="both"/>
              <w:rPr>
                <w:bCs/>
                <w:sz w:val="20"/>
                <w:szCs w:val="20"/>
              </w:rPr>
            </w:pPr>
          </w:p>
          <w:p w14:paraId="2CFBDEC7" w14:textId="5E890CBF" w:rsidR="00F4284C" w:rsidRPr="00154588" w:rsidRDefault="00F4284C" w:rsidP="008C12B4">
            <w:pPr>
              <w:jc w:val="both"/>
              <w:rPr>
                <w:bCs/>
                <w:sz w:val="20"/>
                <w:szCs w:val="20"/>
              </w:rPr>
            </w:pPr>
            <w:r w:rsidRPr="00154588">
              <w:rPr>
                <w:bCs/>
                <w:sz w:val="20"/>
                <w:szCs w:val="20"/>
              </w:rPr>
              <w:t>Se deleagă Comisiei competența de a adopta standardele tehnice de reglementare menționate la primul paragraf în conformitate cu articolele 10-14 din Regulamentul (UE) nr. 1093/2010.</w:t>
            </w:r>
          </w:p>
        </w:tc>
        <w:tc>
          <w:tcPr>
            <w:tcW w:w="4819" w:type="dxa"/>
          </w:tcPr>
          <w:p w14:paraId="31B122D7" w14:textId="77777777" w:rsidR="00F4284C" w:rsidRPr="00154588" w:rsidRDefault="00F4284C" w:rsidP="008C12B4">
            <w:pPr>
              <w:jc w:val="both"/>
              <w:rPr>
                <w:bCs/>
                <w:sz w:val="20"/>
                <w:szCs w:val="20"/>
              </w:rPr>
            </w:pPr>
          </w:p>
        </w:tc>
        <w:tc>
          <w:tcPr>
            <w:tcW w:w="2552" w:type="dxa"/>
          </w:tcPr>
          <w:p w14:paraId="528BFCDD" w14:textId="43DF93AB"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5F707F07" w14:textId="2DBFC680" w:rsidR="00F4284C" w:rsidRPr="00154588" w:rsidRDefault="00F4284C" w:rsidP="008C12B4">
            <w:pPr>
              <w:jc w:val="both"/>
              <w:rPr>
                <w:bCs/>
                <w:sz w:val="20"/>
                <w:szCs w:val="20"/>
              </w:rPr>
            </w:pPr>
            <w:r w:rsidRPr="00154588">
              <w:rPr>
                <w:bCs/>
                <w:sz w:val="20"/>
                <w:szCs w:val="20"/>
                <w:lang w:val="ro-MD"/>
              </w:rPr>
              <w:t>Prevederi care se referă la atribuțiile de reglementare ale autorităților europene.</w:t>
            </w:r>
          </w:p>
        </w:tc>
      </w:tr>
      <w:tr w:rsidR="00F4284C" w:rsidRPr="00154588" w14:paraId="2D0F01BC" w14:textId="77777777" w:rsidTr="00D15C1B">
        <w:trPr>
          <w:jc w:val="center"/>
        </w:trPr>
        <w:tc>
          <w:tcPr>
            <w:tcW w:w="4957" w:type="dxa"/>
            <w:gridSpan w:val="2"/>
          </w:tcPr>
          <w:p w14:paraId="0A3884E1" w14:textId="2DF991A6" w:rsidR="00F4284C" w:rsidRPr="00154588" w:rsidRDefault="00F4284C" w:rsidP="008C12B4">
            <w:pPr>
              <w:rPr>
                <w:bCs/>
                <w:sz w:val="20"/>
                <w:szCs w:val="20"/>
              </w:rPr>
            </w:pPr>
            <w:r w:rsidRPr="00154588">
              <w:rPr>
                <w:bCs/>
                <w:sz w:val="20"/>
                <w:szCs w:val="20"/>
              </w:rPr>
              <w:t>(13)   Până la 3 ianuarie 2016, ABE elaborează orientări în conformitate cu articolul 16 din Regulamentul (UE) nr. 1093/2010 prin care specifică criteriile minime pe care trebuie să le îndeplinească un plan de reorganizare a activității în vederea aprobării de către autoritatea de rezoluție în conformitate cu alineatul (7).</w:t>
            </w:r>
          </w:p>
        </w:tc>
        <w:tc>
          <w:tcPr>
            <w:tcW w:w="4819" w:type="dxa"/>
          </w:tcPr>
          <w:p w14:paraId="1A76B4DA" w14:textId="77777777" w:rsidR="00F4284C" w:rsidRPr="00154588" w:rsidRDefault="00F4284C" w:rsidP="008C12B4">
            <w:pPr>
              <w:jc w:val="both"/>
              <w:rPr>
                <w:bCs/>
                <w:sz w:val="20"/>
                <w:szCs w:val="20"/>
              </w:rPr>
            </w:pPr>
          </w:p>
        </w:tc>
        <w:tc>
          <w:tcPr>
            <w:tcW w:w="2552" w:type="dxa"/>
          </w:tcPr>
          <w:p w14:paraId="715BBC3A" w14:textId="7330E527"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6750DE53" w14:textId="2FB6377E" w:rsidR="00F4284C" w:rsidRPr="00154588" w:rsidRDefault="00F4284C" w:rsidP="008C12B4">
            <w:pPr>
              <w:jc w:val="both"/>
              <w:rPr>
                <w:bCs/>
                <w:sz w:val="20"/>
                <w:szCs w:val="20"/>
              </w:rPr>
            </w:pPr>
            <w:r w:rsidRPr="00154588">
              <w:rPr>
                <w:bCs/>
                <w:sz w:val="20"/>
                <w:szCs w:val="20"/>
                <w:lang w:val="ro-MD"/>
              </w:rPr>
              <w:t>Prevederi care se referă la atribuțiile de reglementare ale autorităților europene.</w:t>
            </w:r>
          </w:p>
        </w:tc>
      </w:tr>
      <w:tr w:rsidR="00F4284C" w:rsidRPr="00154588" w14:paraId="3004DC80" w14:textId="77777777" w:rsidTr="00D15C1B">
        <w:trPr>
          <w:jc w:val="center"/>
        </w:trPr>
        <w:tc>
          <w:tcPr>
            <w:tcW w:w="4957" w:type="dxa"/>
            <w:gridSpan w:val="2"/>
          </w:tcPr>
          <w:p w14:paraId="38CA5763" w14:textId="77777777" w:rsidR="00F4284C" w:rsidRPr="00154588" w:rsidRDefault="00F4284C" w:rsidP="008C12B4">
            <w:pPr>
              <w:jc w:val="both"/>
              <w:rPr>
                <w:bCs/>
                <w:sz w:val="20"/>
                <w:szCs w:val="20"/>
              </w:rPr>
            </w:pPr>
            <w:r w:rsidRPr="00154588">
              <w:rPr>
                <w:bCs/>
                <w:sz w:val="20"/>
                <w:szCs w:val="20"/>
              </w:rPr>
              <w:t>(14)   Luând în considerare, după caz, experiența dobândită în aplicarea orientărilor menționate la alineatul (13), ABE poate elabora proiecte de standarde tehnice de reglementare pentru a specifica în detaliu criteriile minime pe care trebuie să le îndeplinească un plan de reorganizare a activității în vederea aprobării de către autoritatea de rezoluție în conformitate cu alineatul (7).</w:t>
            </w:r>
          </w:p>
          <w:p w14:paraId="6AEC0718" w14:textId="77777777" w:rsidR="00F4284C" w:rsidRPr="00154588" w:rsidRDefault="00F4284C" w:rsidP="008C12B4">
            <w:pPr>
              <w:jc w:val="both"/>
              <w:rPr>
                <w:bCs/>
                <w:sz w:val="20"/>
                <w:szCs w:val="20"/>
              </w:rPr>
            </w:pPr>
          </w:p>
          <w:p w14:paraId="00FC09DB" w14:textId="2D993EC2" w:rsidR="00F4284C" w:rsidRPr="00154588" w:rsidRDefault="00F4284C" w:rsidP="008C12B4">
            <w:pPr>
              <w:jc w:val="both"/>
              <w:rPr>
                <w:bCs/>
                <w:sz w:val="20"/>
                <w:szCs w:val="20"/>
              </w:rPr>
            </w:pPr>
            <w:r w:rsidRPr="00154588">
              <w:rPr>
                <w:bCs/>
                <w:sz w:val="20"/>
                <w:szCs w:val="20"/>
              </w:rPr>
              <w:t>Se deleagă Comisiei competența de a adopta standardele tehnice de reglementare menționate la primul paragraf, în conformitate cu articolele 10-14 din Regulamentul (UE) nr. 1093/2010.</w:t>
            </w:r>
          </w:p>
        </w:tc>
        <w:tc>
          <w:tcPr>
            <w:tcW w:w="4819" w:type="dxa"/>
          </w:tcPr>
          <w:p w14:paraId="4D2AFDF1" w14:textId="77777777" w:rsidR="00F4284C" w:rsidRPr="00154588" w:rsidRDefault="00F4284C" w:rsidP="008C12B4">
            <w:pPr>
              <w:jc w:val="both"/>
              <w:rPr>
                <w:bCs/>
                <w:sz w:val="20"/>
                <w:szCs w:val="20"/>
              </w:rPr>
            </w:pPr>
          </w:p>
        </w:tc>
        <w:tc>
          <w:tcPr>
            <w:tcW w:w="2552" w:type="dxa"/>
          </w:tcPr>
          <w:p w14:paraId="56195982" w14:textId="35D407CC"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258BBF1F" w14:textId="2CB58946" w:rsidR="00F4284C" w:rsidRPr="00154588" w:rsidRDefault="00F4284C" w:rsidP="008C12B4">
            <w:pPr>
              <w:jc w:val="both"/>
              <w:rPr>
                <w:bCs/>
                <w:sz w:val="20"/>
                <w:szCs w:val="20"/>
              </w:rPr>
            </w:pPr>
            <w:r w:rsidRPr="00154588">
              <w:rPr>
                <w:bCs/>
                <w:sz w:val="20"/>
                <w:szCs w:val="20"/>
                <w:lang w:val="ro-MD"/>
              </w:rPr>
              <w:t>Prevederi care se referă la atribuțiile de reglementare ale autorităților europene.</w:t>
            </w:r>
          </w:p>
        </w:tc>
      </w:tr>
      <w:tr w:rsidR="00F4284C" w:rsidRPr="00154588" w14:paraId="5E74FA89" w14:textId="77777777" w:rsidTr="00D15C1B">
        <w:trPr>
          <w:jc w:val="center"/>
        </w:trPr>
        <w:tc>
          <w:tcPr>
            <w:tcW w:w="4957" w:type="dxa"/>
            <w:gridSpan w:val="2"/>
          </w:tcPr>
          <w:p w14:paraId="1923727C" w14:textId="77777777" w:rsidR="00F4284C" w:rsidRPr="00154588" w:rsidRDefault="00F4284C" w:rsidP="008C12B4">
            <w:pPr>
              <w:jc w:val="both"/>
              <w:rPr>
                <w:b/>
                <w:sz w:val="20"/>
                <w:szCs w:val="20"/>
              </w:rPr>
            </w:pPr>
            <w:r w:rsidRPr="00154588">
              <w:rPr>
                <w:b/>
                <w:sz w:val="20"/>
                <w:szCs w:val="20"/>
              </w:rPr>
              <w:t>Subsecțiunea 4</w:t>
            </w:r>
          </w:p>
          <w:p w14:paraId="7FEBCC12" w14:textId="77777777" w:rsidR="00F4284C" w:rsidRPr="00154588" w:rsidRDefault="00F4284C" w:rsidP="008C12B4">
            <w:pPr>
              <w:jc w:val="both"/>
              <w:rPr>
                <w:b/>
                <w:sz w:val="20"/>
                <w:szCs w:val="20"/>
              </w:rPr>
            </w:pPr>
          </w:p>
          <w:p w14:paraId="13EE3B62" w14:textId="1400C441" w:rsidR="00F4284C" w:rsidRPr="00154588" w:rsidRDefault="00F4284C" w:rsidP="008C12B4">
            <w:pPr>
              <w:jc w:val="both"/>
              <w:rPr>
                <w:bCs/>
                <w:sz w:val="20"/>
                <w:szCs w:val="20"/>
              </w:rPr>
            </w:pPr>
            <w:r w:rsidRPr="00154588">
              <w:rPr>
                <w:b/>
                <w:sz w:val="20"/>
                <w:szCs w:val="20"/>
              </w:rPr>
              <w:t>Instrumentul de recapitalizare internă: dispoziții auxiliare</w:t>
            </w:r>
          </w:p>
        </w:tc>
        <w:tc>
          <w:tcPr>
            <w:tcW w:w="4819" w:type="dxa"/>
          </w:tcPr>
          <w:p w14:paraId="14AE7425" w14:textId="77777777" w:rsidR="00F4284C" w:rsidRPr="00154588" w:rsidRDefault="00F4284C" w:rsidP="008C12B4">
            <w:pPr>
              <w:jc w:val="both"/>
              <w:rPr>
                <w:bCs/>
                <w:sz w:val="20"/>
                <w:szCs w:val="20"/>
              </w:rPr>
            </w:pPr>
          </w:p>
        </w:tc>
        <w:tc>
          <w:tcPr>
            <w:tcW w:w="2552" w:type="dxa"/>
          </w:tcPr>
          <w:p w14:paraId="3942F2D2" w14:textId="77777777" w:rsidR="00F4284C" w:rsidRPr="00154588" w:rsidRDefault="00F4284C" w:rsidP="008C12B4">
            <w:pPr>
              <w:jc w:val="both"/>
              <w:rPr>
                <w:bCs/>
                <w:sz w:val="20"/>
                <w:szCs w:val="20"/>
              </w:rPr>
            </w:pPr>
          </w:p>
        </w:tc>
        <w:tc>
          <w:tcPr>
            <w:tcW w:w="3118" w:type="dxa"/>
          </w:tcPr>
          <w:p w14:paraId="586A3FB9" w14:textId="77777777" w:rsidR="00F4284C" w:rsidRPr="00154588" w:rsidRDefault="00F4284C" w:rsidP="008C12B4">
            <w:pPr>
              <w:jc w:val="both"/>
              <w:rPr>
                <w:bCs/>
                <w:sz w:val="20"/>
                <w:szCs w:val="20"/>
              </w:rPr>
            </w:pPr>
          </w:p>
        </w:tc>
      </w:tr>
      <w:tr w:rsidR="00F4284C" w:rsidRPr="00154588" w14:paraId="79FF297E" w14:textId="77777777" w:rsidTr="00D15C1B">
        <w:trPr>
          <w:jc w:val="center"/>
        </w:trPr>
        <w:tc>
          <w:tcPr>
            <w:tcW w:w="4957" w:type="dxa"/>
            <w:gridSpan w:val="2"/>
          </w:tcPr>
          <w:p w14:paraId="3140C8E7" w14:textId="77777777" w:rsidR="00F4284C" w:rsidRPr="00154588" w:rsidRDefault="00F4284C" w:rsidP="008C12B4">
            <w:pPr>
              <w:jc w:val="both"/>
              <w:rPr>
                <w:b/>
                <w:sz w:val="20"/>
                <w:szCs w:val="20"/>
              </w:rPr>
            </w:pPr>
            <w:r w:rsidRPr="00154588">
              <w:rPr>
                <w:b/>
                <w:sz w:val="20"/>
                <w:szCs w:val="20"/>
              </w:rPr>
              <w:lastRenderedPageBreak/>
              <w:t>Articolul 53</w:t>
            </w:r>
          </w:p>
          <w:p w14:paraId="1D680F80" w14:textId="77777777" w:rsidR="00F4284C" w:rsidRPr="00154588" w:rsidRDefault="00F4284C" w:rsidP="008C12B4">
            <w:pPr>
              <w:jc w:val="both"/>
              <w:rPr>
                <w:b/>
                <w:sz w:val="20"/>
                <w:szCs w:val="20"/>
              </w:rPr>
            </w:pPr>
          </w:p>
          <w:p w14:paraId="707ECC29" w14:textId="3C276336" w:rsidR="00F4284C" w:rsidRPr="00154588" w:rsidRDefault="00F4284C" w:rsidP="008C12B4">
            <w:pPr>
              <w:jc w:val="both"/>
              <w:rPr>
                <w:bCs/>
                <w:sz w:val="20"/>
                <w:szCs w:val="20"/>
              </w:rPr>
            </w:pPr>
            <w:r w:rsidRPr="00154588">
              <w:rPr>
                <w:b/>
                <w:sz w:val="20"/>
                <w:szCs w:val="20"/>
              </w:rPr>
              <w:t>Efectul recapitalizării interne</w:t>
            </w:r>
          </w:p>
        </w:tc>
        <w:tc>
          <w:tcPr>
            <w:tcW w:w="4819" w:type="dxa"/>
          </w:tcPr>
          <w:p w14:paraId="68ADDBDE" w14:textId="77777777" w:rsidR="00F4284C" w:rsidRPr="00154588" w:rsidRDefault="00F4284C" w:rsidP="008C12B4">
            <w:pPr>
              <w:jc w:val="both"/>
              <w:rPr>
                <w:bCs/>
                <w:sz w:val="20"/>
                <w:szCs w:val="20"/>
              </w:rPr>
            </w:pPr>
          </w:p>
        </w:tc>
        <w:tc>
          <w:tcPr>
            <w:tcW w:w="2552" w:type="dxa"/>
          </w:tcPr>
          <w:p w14:paraId="45E2EACB" w14:textId="77777777" w:rsidR="00F4284C" w:rsidRPr="00154588" w:rsidRDefault="00F4284C" w:rsidP="008C12B4">
            <w:pPr>
              <w:jc w:val="both"/>
              <w:rPr>
                <w:bCs/>
                <w:sz w:val="20"/>
                <w:szCs w:val="20"/>
              </w:rPr>
            </w:pPr>
          </w:p>
        </w:tc>
        <w:tc>
          <w:tcPr>
            <w:tcW w:w="3118" w:type="dxa"/>
          </w:tcPr>
          <w:p w14:paraId="2D565406" w14:textId="77777777" w:rsidR="00F4284C" w:rsidRPr="00154588" w:rsidRDefault="00F4284C" w:rsidP="008C12B4">
            <w:pPr>
              <w:jc w:val="both"/>
              <w:rPr>
                <w:bCs/>
                <w:sz w:val="20"/>
                <w:szCs w:val="20"/>
              </w:rPr>
            </w:pPr>
          </w:p>
        </w:tc>
      </w:tr>
      <w:tr w:rsidR="00F4284C" w:rsidRPr="00154588" w14:paraId="2D460C26" w14:textId="77777777" w:rsidTr="00D15C1B">
        <w:trPr>
          <w:jc w:val="center"/>
        </w:trPr>
        <w:tc>
          <w:tcPr>
            <w:tcW w:w="4957" w:type="dxa"/>
            <w:gridSpan w:val="2"/>
          </w:tcPr>
          <w:p w14:paraId="04C0EF6E" w14:textId="601CCB75" w:rsidR="00F4284C" w:rsidRPr="00154588" w:rsidRDefault="00F4284C" w:rsidP="008C12B4">
            <w:pPr>
              <w:rPr>
                <w:bCs/>
                <w:sz w:val="20"/>
                <w:szCs w:val="20"/>
              </w:rPr>
            </w:pPr>
            <w:r w:rsidRPr="00154588">
              <w:rPr>
                <w:bCs/>
                <w:sz w:val="20"/>
                <w:szCs w:val="20"/>
              </w:rPr>
              <w:t>(1)   Statele membre se asigură că în cazul în care autoritățile de rezoluție exercită una dintre competențele menționate la articolul 59 alineatul (2) și la articolul 63 alineatul (1) literele (e)-(i), reducerea valorii principalului sau a datoriei restante, conversia sau anularea produc imediat efecte și devin obligatorii atât pentru instituția aflată în rezoluție, cât și pentru creditorii și acționarii afectați.</w:t>
            </w:r>
          </w:p>
        </w:tc>
        <w:tc>
          <w:tcPr>
            <w:tcW w:w="4819" w:type="dxa"/>
          </w:tcPr>
          <w:p w14:paraId="555E4C8F" w14:textId="77777777" w:rsidR="00F4284C" w:rsidRPr="00154588" w:rsidRDefault="00F4284C" w:rsidP="008C12B4">
            <w:pPr>
              <w:jc w:val="both"/>
              <w:rPr>
                <w:bCs/>
                <w:sz w:val="20"/>
                <w:szCs w:val="20"/>
              </w:rPr>
            </w:pPr>
            <w:r w:rsidRPr="00154588">
              <w:rPr>
                <w:b/>
                <w:bCs/>
                <w:sz w:val="20"/>
                <w:szCs w:val="20"/>
              </w:rPr>
              <w:t>Articolul 202.</w:t>
            </w:r>
            <w:r w:rsidRPr="00154588">
              <w:rPr>
                <w:bCs/>
                <w:sz w:val="20"/>
                <w:szCs w:val="20"/>
              </w:rPr>
              <w:t xml:space="preserve"> – În cazul în care Banca Naţională a Moldovei, în calitate de autoritate de rezoluţie, exercită una dintre competenţele prevăzute la art.231 alin.(1) lit.e)-i) şi art.220, reducerea valorii principalului sau a sumei de plată datorate, conversia sau anularea produce imediat efecte şi devine obligatorie pentru  instituția supusă rezoluţiei şi pentru creditorii afectaţi şi acţionarii acesteia.</w:t>
            </w:r>
          </w:p>
          <w:p w14:paraId="493CA64A" w14:textId="77777777" w:rsidR="00F4284C" w:rsidRPr="00154588" w:rsidRDefault="00F4284C" w:rsidP="008C12B4">
            <w:pPr>
              <w:jc w:val="both"/>
              <w:rPr>
                <w:bCs/>
                <w:sz w:val="20"/>
                <w:szCs w:val="20"/>
              </w:rPr>
            </w:pPr>
          </w:p>
        </w:tc>
        <w:tc>
          <w:tcPr>
            <w:tcW w:w="2552" w:type="dxa"/>
          </w:tcPr>
          <w:p w14:paraId="249DEEBD" w14:textId="3AFBEF22" w:rsidR="00F4284C" w:rsidRPr="00154588" w:rsidRDefault="00F4284C" w:rsidP="008C12B4">
            <w:pPr>
              <w:jc w:val="both"/>
              <w:rPr>
                <w:bCs/>
                <w:sz w:val="20"/>
                <w:szCs w:val="20"/>
              </w:rPr>
            </w:pPr>
            <w:r w:rsidRPr="00154588">
              <w:rPr>
                <w:bCs/>
                <w:sz w:val="20"/>
                <w:szCs w:val="20"/>
              </w:rPr>
              <w:t>Compatibil</w:t>
            </w:r>
          </w:p>
        </w:tc>
        <w:tc>
          <w:tcPr>
            <w:tcW w:w="3118" w:type="dxa"/>
          </w:tcPr>
          <w:p w14:paraId="59DC9443" w14:textId="77777777" w:rsidR="00F4284C" w:rsidRPr="00154588" w:rsidRDefault="00F4284C" w:rsidP="008C12B4">
            <w:pPr>
              <w:jc w:val="both"/>
              <w:rPr>
                <w:bCs/>
                <w:sz w:val="20"/>
                <w:szCs w:val="20"/>
              </w:rPr>
            </w:pPr>
          </w:p>
        </w:tc>
      </w:tr>
      <w:tr w:rsidR="00F4284C" w:rsidRPr="00154588" w14:paraId="45CE9031" w14:textId="77777777" w:rsidTr="00D15C1B">
        <w:trPr>
          <w:jc w:val="center"/>
        </w:trPr>
        <w:tc>
          <w:tcPr>
            <w:tcW w:w="4957" w:type="dxa"/>
            <w:gridSpan w:val="2"/>
          </w:tcPr>
          <w:p w14:paraId="5A44990E" w14:textId="77777777" w:rsidR="00F4284C" w:rsidRPr="00154588" w:rsidRDefault="00F4284C" w:rsidP="008C12B4">
            <w:pPr>
              <w:jc w:val="both"/>
              <w:rPr>
                <w:bCs/>
                <w:sz w:val="20"/>
                <w:szCs w:val="20"/>
              </w:rPr>
            </w:pPr>
            <w:r w:rsidRPr="00154588">
              <w:rPr>
                <w:bCs/>
                <w:sz w:val="20"/>
                <w:szCs w:val="20"/>
              </w:rPr>
              <w:t>(2)   Statele membre se asigură că autoritatea de rezoluție deține competența de a îndeplini sau de a solicita îndeplinirea tuturor sarcinilor administrative și procedurale necesare pentru a da efect exercitării uneia dintre competențele menționate la articolul 59 alineatul (2) și la articolul 63 alineatul (1) literele (e)-(i), inclusiv:</w:t>
            </w:r>
          </w:p>
          <w:p w14:paraId="7C5576D7" w14:textId="77777777" w:rsidR="00F4284C" w:rsidRPr="00154588" w:rsidRDefault="00F4284C" w:rsidP="008C12B4">
            <w:pPr>
              <w:jc w:val="both"/>
              <w:rPr>
                <w:bCs/>
                <w:sz w:val="20"/>
                <w:szCs w:val="20"/>
              </w:rPr>
            </w:pPr>
          </w:p>
          <w:p w14:paraId="577D312D" w14:textId="5BA24C49" w:rsidR="00F4284C" w:rsidRPr="00154588" w:rsidRDefault="00F4284C" w:rsidP="008C12B4">
            <w:pPr>
              <w:jc w:val="both"/>
              <w:rPr>
                <w:bCs/>
                <w:sz w:val="20"/>
                <w:szCs w:val="20"/>
              </w:rPr>
            </w:pPr>
            <w:r w:rsidRPr="00154588">
              <w:rPr>
                <w:bCs/>
                <w:sz w:val="20"/>
                <w:szCs w:val="20"/>
              </w:rPr>
              <w:t>(a) modificarea tuturor registrelor relevante;</w:t>
            </w:r>
          </w:p>
          <w:p w14:paraId="78D476B7" w14:textId="77777777" w:rsidR="00F4284C" w:rsidRPr="00154588" w:rsidRDefault="00F4284C" w:rsidP="008C12B4">
            <w:pPr>
              <w:jc w:val="both"/>
              <w:rPr>
                <w:bCs/>
                <w:sz w:val="20"/>
                <w:szCs w:val="20"/>
              </w:rPr>
            </w:pPr>
          </w:p>
          <w:p w14:paraId="3E7939FA" w14:textId="1BCEEF5E" w:rsidR="00F4284C" w:rsidRPr="00154588" w:rsidRDefault="00F4284C" w:rsidP="008C12B4">
            <w:pPr>
              <w:jc w:val="both"/>
              <w:rPr>
                <w:bCs/>
                <w:sz w:val="20"/>
                <w:szCs w:val="20"/>
              </w:rPr>
            </w:pPr>
            <w:r w:rsidRPr="00154588">
              <w:rPr>
                <w:bCs/>
                <w:sz w:val="20"/>
                <w:szCs w:val="20"/>
              </w:rPr>
              <w:t>(b) radierea sau retragerea de la tranzacționare a acțiunilor sau a altor instrumente de proprietate, sau a instrumentelor de datorie;</w:t>
            </w:r>
          </w:p>
          <w:p w14:paraId="4BB204FC" w14:textId="77777777" w:rsidR="00F4284C" w:rsidRPr="00154588" w:rsidRDefault="00F4284C" w:rsidP="008C12B4">
            <w:pPr>
              <w:jc w:val="both"/>
              <w:rPr>
                <w:bCs/>
                <w:sz w:val="20"/>
                <w:szCs w:val="20"/>
              </w:rPr>
            </w:pPr>
          </w:p>
          <w:p w14:paraId="58660A8C" w14:textId="5589A013" w:rsidR="00F4284C" w:rsidRPr="00154588" w:rsidRDefault="00F4284C" w:rsidP="008C12B4">
            <w:pPr>
              <w:jc w:val="both"/>
              <w:rPr>
                <w:bCs/>
                <w:sz w:val="20"/>
                <w:szCs w:val="20"/>
              </w:rPr>
            </w:pPr>
            <w:r w:rsidRPr="00154588">
              <w:rPr>
                <w:bCs/>
                <w:sz w:val="20"/>
                <w:szCs w:val="20"/>
              </w:rPr>
              <w:t>(c) cotarea sau admiterea la tranzacționare a noilor acțiuni sau a altor instrumente de proprietate.</w:t>
            </w:r>
          </w:p>
          <w:p w14:paraId="5DAF8E13" w14:textId="77777777" w:rsidR="00F4284C" w:rsidRPr="00154588" w:rsidRDefault="00F4284C" w:rsidP="008C12B4">
            <w:pPr>
              <w:jc w:val="both"/>
              <w:rPr>
                <w:bCs/>
                <w:sz w:val="20"/>
                <w:szCs w:val="20"/>
              </w:rPr>
            </w:pPr>
          </w:p>
          <w:p w14:paraId="662194E7" w14:textId="50B89DC6" w:rsidR="00F4284C" w:rsidRPr="00154588" w:rsidRDefault="00F4284C" w:rsidP="008C12B4">
            <w:pPr>
              <w:jc w:val="both"/>
              <w:rPr>
                <w:bCs/>
                <w:sz w:val="20"/>
                <w:szCs w:val="20"/>
              </w:rPr>
            </w:pPr>
            <w:r w:rsidRPr="00154588">
              <w:rPr>
                <w:bCs/>
                <w:sz w:val="20"/>
                <w:szCs w:val="20"/>
              </w:rPr>
              <w:t>(d) cotarea din nou sau readmiterea oricăror instrumente de datorie care au fost reduse, fără a fi necesară emiterea unui prospect în conformitate cu Directiva 2003/71/CE a Parlamentului European și a Consiliului ( 12 ).</w:t>
            </w:r>
          </w:p>
        </w:tc>
        <w:tc>
          <w:tcPr>
            <w:tcW w:w="4819" w:type="dxa"/>
          </w:tcPr>
          <w:p w14:paraId="623A8109" w14:textId="77777777" w:rsidR="00F4284C" w:rsidRPr="00154588" w:rsidRDefault="00F4284C" w:rsidP="008C12B4">
            <w:pPr>
              <w:jc w:val="both"/>
              <w:rPr>
                <w:bCs/>
                <w:sz w:val="20"/>
                <w:szCs w:val="20"/>
              </w:rPr>
            </w:pPr>
            <w:r w:rsidRPr="00154588">
              <w:rPr>
                <w:b/>
                <w:bCs/>
                <w:sz w:val="20"/>
                <w:szCs w:val="20"/>
              </w:rPr>
              <w:t>Articolul 203.</w:t>
            </w:r>
            <w:r w:rsidRPr="00154588">
              <w:rPr>
                <w:bCs/>
                <w:sz w:val="20"/>
                <w:szCs w:val="20"/>
              </w:rPr>
              <w:t xml:space="preserve"> – Banca Naţională a Moldovei, în calitate de autoritate de rezoluţie, deţine competenţa de a îndeplini sau de a solicita îndeplinirea tuturor sarcinilor administrative şi procedurale necesare pentru a da efect exercitării uneia dintre competenţele prevăzute la art.231 alin.(1) lit.e)-i) şi art.220, inclusiv:</w:t>
            </w:r>
          </w:p>
          <w:p w14:paraId="797530A0" w14:textId="77777777" w:rsidR="00F4284C" w:rsidRPr="00154588" w:rsidRDefault="00F4284C" w:rsidP="008C12B4">
            <w:pPr>
              <w:jc w:val="both"/>
              <w:rPr>
                <w:bCs/>
                <w:sz w:val="20"/>
                <w:szCs w:val="20"/>
              </w:rPr>
            </w:pPr>
            <w:r w:rsidRPr="00154588">
              <w:rPr>
                <w:bCs/>
                <w:sz w:val="20"/>
                <w:szCs w:val="20"/>
              </w:rPr>
              <w:t>a) modificarea tuturor registrelor relevante;</w:t>
            </w:r>
          </w:p>
          <w:p w14:paraId="1FD75BB8" w14:textId="77777777" w:rsidR="00F4284C" w:rsidRPr="00154588" w:rsidRDefault="00F4284C" w:rsidP="008C12B4">
            <w:pPr>
              <w:jc w:val="both"/>
              <w:rPr>
                <w:bCs/>
                <w:sz w:val="20"/>
                <w:szCs w:val="20"/>
              </w:rPr>
            </w:pPr>
            <w:r w:rsidRPr="00154588">
              <w:rPr>
                <w:bCs/>
                <w:sz w:val="20"/>
                <w:szCs w:val="20"/>
              </w:rPr>
              <w:t>b) delistarea sau retragerea de la tranzacţionare a acţiunilor, a altor instrumente de proprietate sau a instrumentelor de datorie;</w:t>
            </w:r>
          </w:p>
          <w:p w14:paraId="23E66368" w14:textId="77777777" w:rsidR="00F4284C" w:rsidRPr="00154588" w:rsidRDefault="00F4284C" w:rsidP="008C12B4">
            <w:pPr>
              <w:jc w:val="both"/>
              <w:rPr>
                <w:bCs/>
                <w:sz w:val="20"/>
                <w:szCs w:val="20"/>
              </w:rPr>
            </w:pPr>
            <w:r w:rsidRPr="00154588">
              <w:rPr>
                <w:bCs/>
                <w:sz w:val="20"/>
                <w:szCs w:val="20"/>
              </w:rPr>
              <w:t>c) listarea sau admiterea la tranzacţionare a noilor acţiuni sau a altor instrumente de proprietate;</w:t>
            </w:r>
          </w:p>
          <w:p w14:paraId="58806425" w14:textId="77777777" w:rsidR="00F4284C" w:rsidRPr="00154588" w:rsidRDefault="00F4284C" w:rsidP="008C12B4">
            <w:pPr>
              <w:jc w:val="both"/>
              <w:rPr>
                <w:bCs/>
                <w:sz w:val="20"/>
                <w:szCs w:val="20"/>
              </w:rPr>
            </w:pPr>
            <w:r w:rsidRPr="00154588">
              <w:rPr>
                <w:bCs/>
                <w:sz w:val="20"/>
                <w:szCs w:val="20"/>
              </w:rPr>
              <w:t>d) listarea din nou sau readmiterea la tranzacţionare a oricăror instrumente de datorie care au fost reduse, fără a fi necesară emiterea unui prospect în conformitate cu prevederile Legii nr.171/2012 privind piaţa de capital.</w:t>
            </w:r>
          </w:p>
          <w:p w14:paraId="727BDC0E" w14:textId="77777777" w:rsidR="00F4284C" w:rsidRPr="00154588" w:rsidRDefault="00F4284C" w:rsidP="008C12B4">
            <w:pPr>
              <w:jc w:val="both"/>
              <w:rPr>
                <w:bCs/>
                <w:sz w:val="20"/>
                <w:szCs w:val="20"/>
              </w:rPr>
            </w:pPr>
          </w:p>
        </w:tc>
        <w:tc>
          <w:tcPr>
            <w:tcW w:w="2552" w:type="dxa"/>
          </w:tcPr>
          <w:p w14:paraId="21836CD8" w14:textId="39A3D29D" w:rsidR="00F4284C" w:rsidRPr="00154588" w:rsidRDefault="00F4284C" w:rsidP="008C12B4">
            <w:pPr>
              <w:jc w:val="both"/>
              <w:rPr>
                <w:bCs/>
                <w:sz w:val="20"/>
                <w:szCs w:val="20"/>
              </w:rPr>
            </w:pPr>
            <w:r w:rsidRPr="00154588">
              <w:rPr>
                <w:bCs/>
                <w:sz w:val="20"/>
                <w:szCs w:val="20"/>
              </w:rPr>
              <w:t>Compatibil</w:t>
            </w:r>
          </w:p>
        </w:tc>
        <w:tc>
          <w:tcPr>
            <w:tcW w:w="3118" w:type="dxa"/>
          </w:tcPr>
          <w:p w14:paraId="49F36925" w14:textId="77777777" w:rsidR="00F4284C" w:rsidRPr="00154588" w:rsidRDefault="00F4284C" w:rsidP="008C12B4">
            <w:pPr>
              <w:jc w:val="both"/>
              <w:rPr>
                <w:bCs/>
                <w:sz w:val="20"/>
                <w:szCs w:val="20"/>
              </w:rPr>
            </w:pPr>
          </w:p>
        </w:tc>
      </w:tr>
      <w:tr w:rsidR="00F4284C" w:rsidRPr="00154588" w14:paraId="43C62B42" w14:textId="77777777" w:rsidTr="00D15C1B">
        <w:trPr>
          <w:jc w:val="center"/>
        </w:trPr>
        <w:tc>
          <w:tcPr>
            <w:tcW w:w="4957" w:type="dxa"/>
            <w:gridSpan w:val="2"/>
          </w:tcPr>
          <w:p w14:paraId="6E309836" w14:textId="006C9F83" w:rsidR="00F4284C" w:rsidRPr="00154588" w:rsidRDefault="00F4284C" w:rsidP="008C12B4">
            <w:pPr>
              <w:jc w:val="both"/>
              <w:rPr>
                <w:bCs/>
                <w:sz w:val="20"/>
                <w:szCs w:val="20"/>
              </w:rPr>
            </w:pPr>
            <w:r w:rsidRPr="00154588">
              <w:rPr>
                <w:bCs/>
                <w:sz w:val="20"/>
                <w:szCs w:val="20"/>
              </w:rPr>
              <w:t>(3)   În cazul în care în temeiul  competenței menționate la articolul 63 alineatul (1) litera (e),</w:t>
            </w:r>
            <w:r w:rsidRPr="00154588">
              <w:t xml:space="preserve"> </w:t>
            </w:r>
            <w:r w:rsidRPr="00154588">
              <w:rPr>
                <w:bCs/>
                <w:sz w:val="20"/>
                <w:szCs w:val="20"/>
              </w:rPr>
              <w:t xml:space="preserve">o autoritate de rezoluție reduce la zero principalul unei datorii sau suma restantă de plată aferentă unei datorii, inclusiv o datorie cu exigibilitate sau valoare incertă, datoria respectivă și orice alte obligații sau creanțe conexe care nu au ajuns la scadență la momentul exercitării competenței sunt considerate ca fiind achitate în totalitate și nu sunt opozabile nici instituției aflate în rezoluție în cadrul vreunei proceduri ulterioare, nici oricărei entități care îi succede </w:t>
            </w:r>
            <w:r w:rsidRPr="00154588">
              <w:rPr>
                <w:bCs/>
                <w:sz w:val="20"/>
                <w:szCs w:val="20"/>
              </w:rPr>
              <w:lastRenderedPageBreak/>
              <w:t xml:space="preserve">acesteia, în cadrul vreunei proceduri ulterioare de lichidare. </w:t>
            </w:r>
          </w:p>
        </w:tc>
        <w:tc>
          <w:tcPr>
            <w:tcW w:w="4819" w:type="dxa"/>
          </w:tcPr>
          <w:p w14:paraId="17BFAC07" w14:textId="623015AB" w:rsidR="00F4284C" w:rsidRPr="00154588" w:rsidRDefault="00F4284C" w:rsidP="008C12B4">
            <w:pPr>
              <w:jc w:val="both"/>
              <w:rPr>
                <w:bCs/>
                <w:sz w:val="20"/>
                <w:szCs w:val="20"/>
              </w:rPr>
            </w:pPr>
            <w:r w:rsidRPr="00154588">
              <w:rPr>
                <w:b/>
                <w:bCs/>
                <w:sz w:val="20"/>
                <w:szCs w:val="20"/>
              </w:rPr>
              <w:lastRenderedPageBreak/>
              <w:t>Articolul 204.</w:t>
            </w:r>
            <w:r w:rsidRPr="00154588">
              <w:rPr>
                <w:bCs/>
                <w:sz w:val="20"/>
                <w:szCs w:val="20"/>
              </w:rPr>
              <w:t xml:space="preserve"> – În cazul în care Banca Naţională a Moldovei, în calitate de autoritate de rezoluţie, reduce integral valoarea principalului unei datorii sau suma de plată datorată în legătură cu această datorie, inclusiv o datorie cu exigibilitate sau valoare incertă,  în temeiul competenţei prevăzute la art.231 alin.(1) lit.e), datoria respectivă şi orice alte obligaţii sau creanţe conexe care nu sînt exigibile, după caz, la momentul exercitării competenţei sînt considerate ca fiind achitate în totalitate sau stinse, după caz, şi nu sînt opozabile nici  instituției supuse rezoluţiei în </w:t>
            </w:r>
            <w:r w:rsidRPr="00154588">
              <w:rPr>
                <w:bCs/>
                <w:sz w:val="20"/>
                <w:szCs w:val="20"/>
              </w:rPr>
              <w:lastRenderedPageBreak/>
              <w:t>cadrul vreunei proceduri ulterioare, nici oricărei entităţi care îi succedă acesteia, în cadrul vreunei proceduri ulterioare de lichidare.</w:t>
            </w:r>
          </w:p>
          <w:p w14:paraId="5F00E412" w14:textId="77777777" w:rsidR="00F4284C" w:rsidRPr="00154588" w:rsidRDefault="00F4284C" w:rsidP="008C12B4">
            <w:pPr>
              <w:jc w:val="both"/>
              <w:rPr>
                <w:bCs/>
                <w:sz w:val="20"/>
                <w:szCs w:val="20"/>
              </w:rPr>
            </w:pPr>
          </w:p>
        </w:tc>
        <w:tc>
          <w:tcPr>
            <w:tcW w:w="2552" w:type="dxa"/>
          </w:tcPr>
          <w:p w14:paraId="1FB79F8D" w14:textId="5CD398F7"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6270B1D9" w14:textId="77777777" w:rsidR="00F4284C" w:rsidRPr="00154588" w:rsidRDefault="00F4284C" w:rsidP="008C12B4">
            <w:pPr>
              <w:jc w:val="both"/>
              <w:rPr>
                <w:bCs/>
                <w:sz w:val="20"/>
                <w:szCs w:val="20"/>
              </w:rPr>
            </w:pPr>
          </w:p>
        </w:tc>
      </w:tr>
      <w:tr w:rsidR="00F4284C" w:rsidRPr="00154588" w14:paraId="72D4BF9B" w14:textId="77777777" w:rsidTr="00D15C1B">
        <w:trPr>
          <w:jc w:val="center"/>
        </w:trPr>
        <w:tc>
          <w:tcPr>
            <w:tcW w:w="4957" w:type="dxa"/>
            <w:gridSpan w:val="2"/>
          </w:tcPr>
          <w:p w14:paraId="59474B11" w14:textId="60433850" w:rsidR="00F4284C" w:rsidRPr="00154588" w:rsidRDefault="00F4284C" w:rsidP="008C12B4">
            <w:pPr>
              <w:tabs>
                <w:tab w:val="left" w:pos="1230"/>
              </w:tabs>
              <w:jc w:val="both"/>
              <w:rPr>
                <w:bCs/>
                <w:sz w:val="20"/>
                <w:szCs w:val="20"/>
              </w:rPr>
            </w:pPr>
            <w:r w:rsidRPr="00154588">
              <w:rPr>
                <w:bCs/>
                <w:sz w:val="20"/>
                <w:szCs w:val="20"/>
              </w:rPr>
              <w:t>(4)   În cazul în care o autoritate de rezoluție reduce în parte, dar nu în totalitate, principalul sau suma restantă de plată  aferentă unei datorii, inclusiv o datorie cu exigibilitate sau valoare incertă, în temeiul competenței menționate la articolul 63 alineatul (1) litera (e):</w:t>
            </w:r>
          </w:p>
          <w:p w14:paraId="14977E50" w14:textId="77777777" w:rsidR="00F4284C" w:rsidRPr="00154588" w:rsidRDefault="00F4284C" w:rsidP="008C12B4">
            <w:pPr>
              <w:tabs>
                <w:tab w:val="left" w:pos="1230"/>
              </w:tabs>
              <w:jc w:val="both"/>
              <w:rPr>
                <w:bCs/>
                <w:sz w:val="20"/>
                <w:szCs w:val="20"/>
              </w:rPr>
            </w:pPr>
          </w:p>
          <w:p w14:paraId="687BA3A0" w14:textId="5C7A04BB" w:rsidR="00F4284C" w:rsidRPr="00154588" w:rsidRDefault="00F4284C" w:rsidP="008C12B4">
            <w:pPr>
              <w:tabs>
                <w:tab w:val="left" w:pos="1230"/>
              </w:tabs>
              <w:jc w:val="both"/>
              <w:rPr>
                <w:bCs/>
                <w:sz w:val="20"/>
                <w:szCs w:val="20"/>
              </w:rPr>
            </w:pPr>
            <w:r w:rsidRPr="00154588">
              <w:rPr>
                <w:bCs/>
                <w:sz w:val="20"/>
                <w:szCs w:val="20"/>
              </w:rPr>
              <w:t>(a) datoria este achitat proporțional cu cuantumul redus;</w:t>
            </w:r>
          </w:p>
          <w:p w14:paraId="6A41135B" w14:textId="77777777" w:rsidR="00F4284C" w:rsidRPr="00154588" w:rsidRDefault="00F4284C" w:rsidP="008C12B4">
            <w:pPr>
              <w:tabs>
                <w:tab w:val="left" w:pos="1230"/>
              </w:tabs>
              <w:jc w:val="both"/>
              <w:rPr>
                <w:bCs/>
                <w:sz w:val="20"/>
                <w:szCs w:val="20"/>
              </w:rPr>
            </w:pPr>
          </w:p>
          <w:p w14:paraId="60C45F7A" w14:textId="77777777" w:rsidR="00F4284C" w:rsidRPr="00154588" w:rsidRDefault="00F4284C" w:rsidP="008C12B4">
            <w:pPr>
              <w:tabs>
                <w:tab w:val="left" w:pos="1230"/>
              </w:tabs>
              <w:jc w:val="both"/>
              <w:rPr>
                <w:bCs/>
                <w:sz w:val="20"/>
                <w:szCs w:val="20"/>
              </w:rPr>
            </w:pPr>
          </w:p>
          <w:p w14:paraId="1F05EAF9" w14:textId="417026DA" w:rsidR="00F4284C" w:rsidRPr="00154588" w:rsidRDefault="00F4284C" w:rsidP="008C12B4">
            <w:pPr>
              <w:tabs>
                <w:tab w:val="left" w:pos="1230"/>
              </w:tabs>
              <w:jc w:val="both"/>
              <w:rPr>
                <w:bCs/>
                <w:sz w:val="20"/>
                <w:szCs w:val="20"/>
              </w:rPr>
            </w:pPr>
            <w:r w:rsidRPr="00154588">
              <w:rPr>
                <w:bCs/>
                <w:sz w:val="20"/>
                <w:szCs w:val="20"/>
              </w:rPr>
              <w:t>(b) instrumentul sau acordul relevant care a dat naștere datoriei inițiale continuă să se aplice în raport cu principalul rezidual al datoriei sau cu suma restantă aferentă datoriei, sub rezerva unei eventuale modificări a cuantumului dobânzii de plată pentru a ține cont de reducerea principalului, precum și sub rezerva oricărei alte modificări ulterioare a clauzelor pe care autoritatea de rezoluție ar putea să o facă în virtutea competenței menționate la articolul 63 alineatul (1) litera (j).</w:t>
            </w:r>
          </w:p>
        </w:tc>
        <w:tc>
          <w:tcPr>
            <w:tcW w:w="4819" w:type="dxa"/>
          </w:tcPr>
          <w:p w14:paraId="7C1300D7" w14:textId="67EAF1F6" w:rsidR="00F4284C" w:rsidRPr="00154588" w:rsidRDefault="00F4284C" w:rsidP="008C12B4">
            <w:pPr>
              <w:jc w:val="both"/>
              <w:rPr>
                <w:bCs/>
                <w:sz w:val="20"/>
                <w:szCs w:val="20"/>
              </w:rPr>
            </w:pPr>
            <w:r w:rsidRPr="00154588">
              <w:rPr>
                <w:b/>
                <w:bCs/>
                <w:sz w:val="20"/>
                <w:szCs w:val="20"/>
              </w:rPr>
              <w:t>Articolul 205.</w:t>
            </w:r>
            <w:r w:rsidRPr="00154588">
              <w:rPr>
                <w:bCs/>
                <w:sz w:val="20"/>
                <w:szCs w:val="20"/>
              </w:rPr>
              <w:t xml:space="preserve"> –(1) În cazul în care Banca Naţională a Moldovei, în calitate de autoritate de rezoluţie, reduce parţial, dar nu în totalitate, principalul unei datorii sau suma de plată datorată în legătură cu această datorie, inclusiv o datorie cu exigibilitate sau valoare incertă,  în temeiul competenţei prevăzute la art.231 alin.(1) lit.e):</w:t>
            </w:r>
          </w:p>
          <w:p w14:paraId="001423C8" w14:textId="45574843" w:rsidR="00F4284C" w:rsidRPr="00154588" w:rsidRDefault="00F4284C" w:rsidP="008C12B4">
            <w:pPr>
              <w:jc w:val="both"/>
              <w:rPr>
                <w:bCs/>
                <w:sz w:val="20"/>
                <w:szCs w:val="20"/>
              </w:rPr>
            </w:pPr>
            <w:r w:rsidRPr="00154588">
              <w:rPr>
                <w:bCs/>
                <w:sz w:val="20"/>
                <w:szCs w:val="20"/>
              </w:rPr>
              <w:t>a) datoria este diminuată proporțional cu valoarea redusă;</w:t>
            </w:r>
          </w:p>
          <w:p w14:paraId="1FAD63E2" w14:textId="25ABCF5E" w:rsidR="00F4284C" w:rsidRPr="00154588" w:rsidRDefault="00F4284C" w:rsidP="008C12B4">
            <w:pPr>
              <w:jc w:val="both"/>
              <w:rPr>
                <w:bCs/>
                <w:sz w:val="20"/>
                <w:szCs w:val="20"/>
              </w:rPr>
            </w:pPr>
            <w:r w:rsidRPr="00154588">
              <w:rPr>
                <w:bCs/>
                <w:sz w:val="20"/>
                <w:szCs w:val="20"/>
              </w:rPr>
              <w:t>b) instrumentul sau acordul relevant care a dat naştere datoriei iniţiale continuă să se aplice în raport cu princilapul rezidual al datoriei sau cu suma datorată aferentă acesteia, cu respectarea oricărei modificări a cuantumului dobînzii de plată pentru a ţine cont de reducerea principalului, precum şi cu respectarea oricărei altei modificări ulterioare a clauzelor pe care Banca Naţională a Moldovei, în calitate de autoritate de rezoluţie, ar putea să o facă în virtutea competenţei prevăzute la art.231 alin.(1) lit.j).</w:t>
            </w:r>
          </w:p>
          <w:p w14:paraId="3998E376" w14:textId="77777777" w:rsidR="00F4284C" w:rsidRPr="00154588" w:rsidRDefault="00F4284C" w:rsidP="008C12B4">
            <w:pPr>
              <w:jc w:val="both"/>
              <w:rPr>
                <w:bCs/>
                <w:sz w:val="20"/>
                <w:szCs w:val="20"/>
              </w:rPr>
            </w:pPr>
          </w:p>
        </w:tc>
        <w:tc>
          <w:tcPr>
            <w:tcW w:w="2552" w:type="dxa"/>
          </w:tcPr>
          <w:p w14:paraId="7127EA69" w14:textId="3CA023F5" w:rsidR="00F4284C" w:rsidRPr="00154588" w:rsidRDefault="00F4284C" w:rsidP="008C12B4">
            <w:pPr>
              <w:jc w:val="both"/>
              <w:rPr>
                <w:bCs/>
                <w:sz w:val="20"/>
                <w:szCs w:val="20"/>
              </w:rPr>
            </w:pPr>
            <w:r w:rsidRPr="00154588">
              <w:rPr>
                <w:bCs/>
                <w:sz w:val="20"/>
                <w:szCs w:val="20"/>
              </w:rPr>
              <w:t>Compatibil</w:t>
            </w:r>
          </w:p>
        </w:tc>
        <w:tc>
          <w:tcPr>
            <w:tcW w:w="3118" w:type="dxa"/>
          </w:tcPr>
          <w:p w14:paraId="2358A194" w14:textId="77777777" w:rsidR="00F4284C" w:rsidRPr="00154588" w:rsidRDefault="00F4284C" w:rsidP="008C12B4">
            <w:pPr>
              <w:jc w:val="both"/>
              <w:rPr>
                <w:bCs/>
                <w:sz w:val="20"/>
                <w:szCs w:val="20"/>
              </w:rPr>
            </w:pPr>
          </w:p>
        </w:tc>
      </w:tr>
      <w:tr w:rsidR="00F4284C" w:rsidRPr="00154588" w14:paraId="04C5280F" w14:textId="77777777" w:rsidTr="00D15C1B">
        <w:trPr>
          <w:jc w:val="center"/>
        </w:trPr>
        <w:tc>
          <w:tcPr>
            <w:tcW w:w="4957" w:type="dxa"/>
            <w:gridSpan w:val="2"/>
          </w:tcPr>
          <w:p w14:paraId="7E73066F" w14:textId="509E3AE4" w:rsidR="00F4284C" w:rsidRPr="00154588" w:rsidRDefault="00F4284C" w:rsidP="008C12B4">
            <w:pPr>
              <w:tabs>
                <w:tab w:val="left" w:pos="1230"/>
              </w:tabs>
              <w:jc w:val="both"/>
              <w:rPr>
                <w:bCs/>
                <w:sz w:val="20"/>
                <w:szCs w:val="20"/>
              </w:rPr>
            </w:pPr>
            <w:r w:rsidRPr="00154588">
              <w:rPr>
                <w:bCs/>
                <w:sz w:val="20"/>
                <w:szCs w:val="20"/>
              </w:rPr>
              <w:t>(5) În sensul alineatelor (3) și (4), achitarea datoriei cu exigibilitate sau valoare incertă și a oricăror creanțe conexe este efectivă dacă și odată ce datoria respectivă este determinată în mod concludent în ceea ce privește exigibilitatea și cuantumul sau dacă și odată ce a apărut creanța conexă.</w:t>
            </w:r>
          </w:p>
        </w:tc>
        <w:tc>
          <w:tcPr>
            <w:tcW w:w="4819" w:type="dxa"/>
          </w:tcPr>
          <w:p w14:paraId="1DCAD95F" w14:textId="51E138A5" w:rsidR="00F4284C" w:rsidRPr="00154588" w:rsidRDefault="00F4284C" w:rsidP="008C12B4">
            <w:pPr>
              <w:jc w:val="both"/>
              <w:rPr>
                <w:b/>
                <w:bCs/>
                <w:sz w:val="20"/>
                <w:szCs w:val="20"/>
              </w:rPr>
            </w:pPr>
            <w:r w:rsidRPr="00154588">
              <w:rPr>
                <w:bCs/>
                <w:sz w:val="20"/>
                <w:szCs w:val="20"/>
              </w:rPr>
              <w:t>(2) În sensul art.204 și 205 alin.(1), achitarea datoriei cu exigibilitate sau valoare incertă și a oricăror creanțe conexe este efectivă dacă și odată ce datoria respectivă este determinată în mod concludent în ceea ce privește exigibilitatea și cuantumul sau dacă și odată ce a apărut creanța conexă.</w:t>
            </w:r>
          </w:p>
        </w:tc>
        <w:tc>
          <w:tcPr>
            <w:tcW w:w="2552" w:type="dxa"/>
          </w:tcPr>
          <w:p w14:paraId="0A01CD88" w14:textId="2F29D4FB" w:rsidR="00F4284C" w:rsidRPr="00154588" w:rsidRDefault="00F4284C" w:rsidP="008C12B4">
            <w:pPr>
              <w:jc w:val="both"/>
              <w:rPr>
                <w:bCs/>
                <w:sz w:val="20"/>
                <w:szCs w:val="20"/>
              </w:rPr>
            </w:pPr>
            <w:r w:rsidRPr="00154588">
              <w:rPr>
                <w:bCs/>
                <w:sz w:val="20"/>
                <w:szCs w:val="20"/>
              </w:rPr>
              <w:t>Compatibil</w:t>
            </w:r>
          </w:p>
        </w:tc>
        <w:tc>
          <w:tcPr>
            <w:tcW w:w="3118" w:type="dxa"/>
          </w:tcPr>
          <w:p w14:paraId="0236A0D8" w14:textId="77777777" w:rsidR="00F4284C" w:rsidRPr="00154588" w:rsidRDefault="00F4284C" w:rsidP="008C12B4">
            <w:pPr>
              <w:jc w:val="both"/>
              <w:rPr>
                <w:bCs/>
                <w:sz w:val="20"/>
                <w:szCs w:val="20"/>
              </w:rPr>
            </w:pPr>
          </w:p>
        </w:tc>
      </w:tr>
      <w:tr w:rsidR="00F4284C" w:rsidRPr="00154588" w14:paraId="63FA11F6" w14:textId="77777777" w:rsidTr="00D15C1B">
        <w:trPr>
          <w:jc w:val="center"/>
        </w:trPr>
        <w:tc>
          <w:tcPr>
            <w:tcW w:w="4957" w:type="dxa"/>
            <w:gridSpan w:val="2"/>
          </w:tcPr>
          <w:p w14:paraId="2CD0F232" w14:textId="77777777" w:rsidR="00F4284C" w:rsidRPr="00154588" w:rsidRDefault="00F4284C" w:rsidP="008C12B4">
            <w:pPr>
              <w:jc w:val="both"/>
              <w:rPr>
                <w:b/>
                <w:sz w:val="20"/>
                <w:szCs w:val="20"/>
              </w:rPr>
            </w:pPr>
            <w:r w:rsidRPr="00154588">
              <w:rPr>
                <w:b/>
                <w:sz w:val="20"/>
                <w:szCs w:val="20"/>
              </w:rPr>
              <w:t>Articolul 54</w:t>
            </w:r>
          </w:p>
          <w:p w14:paraId="66E82707" w14:textId="77777777" w:rsidR="00F4284C" w:rsidRPr="00154588" w:rsidRDefault="00F4284C" w:rsidP="008C12B4">
            <w:pPr>
              <w:jc w:val="both"/>
              <w:rPr>
                <w:b/>
                <w:sz w:val="20"/>
                <w:szCs w:val="20"/>
              </w:rPr>
            </w:pPr>
          </w:p>
          <w:p w14:paraId="0E7DC27C" w14:textId="732E2097" w:rsidR="00F4284C" w:rsidRPr="00154588" w:rsidRDefault="00F4284C" w:rsidP="008C12B4">
            <w:pPr>
              <w:jc w:val="both"/>
              <w:rPr>
                <w:bCs/>
                <w:sz w:val="20"/>
                <w:szCs w:val="20"/>
              </w:rPr>
            </w:pPr>
            <w:r w:rsidRPr="00154588">
              <w:rPr>
                <w:b/>
                <w:sz w:val="20"/>
                <w:szCs w:val="20"/>
              </w:rPr>
              <w:t>Eliminarea impedimentelor procedurale din calea recapitalizării interne</w:t>
            </w:r>
          </w:p>
        </w:tc>
        <w:tc>
          <w:tcPr>
            <w:tcW w:w="4819" w:type="dxa"/>
          </w:tcPr>
          <w:p w14:paraId="143EBCA9" w14:textId="77777777" w:rsidR="00F4284C" w:rsidRPr="00154588" w:rsidRDefault="00F4284C" w:rsidP="008C12B4">
            <w:pPr>
              <w:jc w:val="both"/>
              <w:rPr>
                <w:bCs/>
                <w:sz w:val="20"/>
                <w:szCs w:val="20"/>
              </w:rPr>
            </w:pPr>
          </w:p>
        </w:tc>
        <w:tc>
          <w:tcPr>
            <w:tcW w:w="2552" w:type="dxa"/>
          </w:tcPr>
          <w:p w14:paraId="18E4302F" w14:textId="77777777" w:rsidR="00F4284C" w:rsidRPr="00154588" w:rsidRDefault="00F4284C" w:rsidP="008C12B4">
            <w:pPr>
              <w:jc w:val="both"/>
              <w:rPr>
                <w:bCs/>
                <w:sz w:val="20"/>
                <w:szCs w:val="20"/>
              </w:rPr>
            </w:pPr>
          </w:p>
        </w:tc>
        <w:tc>
          <w:tcPr>
            <w:tcW w:w="3118" w:type="dxa"/>
          </w:tcPr>
          <w:p w14:paraId="051939F1" w14:textId="77777777" w:rsidR="00F4284C" w:rsidRPr="00154588" w:rsidRDefault="00F4284C" w:rsidP="008C12B4">
            <w:pPr>
              <w:jc w:val="both"/>
              <w:rPr>
                <w:bCs/>
                <w:sz w:val="20"/>
                <w:szCs w:val="20"/>
              </w:rPr>
            </w:pPr>
          </w:p>
        </w:tc>
      </w:tr>
      <w:tr w:rsidR="00F4284C" w:rsidRPr="00154588" w14:paraId="1BDD499D" w14:textId="77777777" w:rsidTr="00D15C1B">
        <w:trPr>
          <w:jc w:val="center"/>
        </w:trPr>
        <w:tc>
          <w:tcPr>
            <w:tcW w:w="4957" w:type="dxa"/>
            <w:gridSpan w:val="2"/>
          </w:tcPr>
          <w:p w14:paraId="78715BDF" w14:textId="735D423B" w:rsidR="00F4284C" w:rsidRPr="00154588" w:rsidRDefault="00F4284C" w:rsidP="008C12B4">
            <w:pPr>
              <w:jc w:val="both"/>
              <w:rPr>
                <w:bCs/>
                <w:sz w:val="20"/>
                <w:szCs w:val="20"/>
              </w:rPr>
            </w:pPr>
            <w:r w:rsidRPr="00154588">
              <w:rPr>
                <w:bCs/>
                <w:sz w:val="20"/>
                <w:szCs w:val="20"/>
              </w:rPr>
              <w:t xml:space="preserve">(1)   Fără a aduce atingere articolului 63 alineatul (1) litera (i), statele membre solicită, după caz, instituțiilor și entităților menționate la articolul 1 alineatul (1) litera (b), (c) sau (d) să dețină în permanență o cantitate suficientă de capital social autorizat sau alte instrumente de fonduri proprii de nivel 1 de bază, astfel încât, în cazul în care autoritatea de rezoluție și-ar exercita competențele prevăzute la articolul 63 alineatul (1) literele (e) și (f) în legătură cu o instituție </w:t>
            </w:r>
            <w:r w:rsidRPr="00154588">
              <w:rPr>
                <w:bCs/>
                <w:sz w:val="20"/>
                <w:szCs w:val="20"/>
              </w:rPr>
              <w:lastRenderedPageBreak/>
              <w:t>sau o entitate menționată la articolul 1 alineatul (1) litera (b), (c) sau (d) sau oricare dintre filialele sale, instituția sau entitatea menționată la articolul 1 alineatul (1) litera (b), (c) sau (d) să nu fie împiedicată să emită suficiente acțiuni sau alte instrumente de proprietate noi pentru a garanta o conversie eficace a pasivelor în acțiuni sau în alte instrumente de proprietate.</w:t>
            </w:r>
          </w:p>
        </w:tc>
        <w:tc>
          <w:tcPr>
            <w:tcW w:w="4819" w:type="dxa"/>
          </w:tcPr>
          <w:p w14:paraId="2BCA9CE7" w14:textId="77777777" w:rsidR="00F4284C" w:rsidRPr="00154588" w:rsidRDefault="00F4284C" w:rsidP="008C12B4">
            <w:pPr>
              <w:jc w:val="both"/>
              <w:rPr>
                <w:bCs/>
                <w:sz w:val="20"/>
                <w:szCs w:val="20"/>
              </w:rPr>
            </w:pPr>
            <w:r w:rsidRPr="00154588">
              <w:rPr>
                <w:b/>
                <w:bCs/>
                <w:sz w:val="20"/>
                <w:szCs w:val="20"/>
              </w:rPr>
              <w:lastRenderedPageBreak/>
              <w:t>Articolul 206.</w:t>
            </w:r>
            <w:r w:rsidRPr="00154588">
              <w:rPr>
                <w:bCs/>
                <w:sz w:val="20"/>
                <w:szCs w:val="20"/>
              </w:rPr>
              <w:t xml:space="preserve"> – Fără a aduce atingere art.231 alin.(1) lit.i),  instituțiile de credit și entitățile menţionate la art.1 alin.(1) lit.b), c) sau d)  trebuie să deţină, după caz, în permanenţă o cantitate suficientă de capital social autorizat sau alte instrumente de fonduri proprii de nivelul 1 de bază, astfel încît, în cazul în care Banca Naţională a Moldovei, în calitate de autoritate de rezoluţie, şi-ar exercita competenţele prevăzute la art.231 alin.(1) </w:t>
            </w:r>
            <w:r w:rsidRPr="00154588">
              <w:rPr>
                <w:bCs/>
                <w:sz w:val="20"/>
                <w:szCs w:val="20"/>
              </w:rPr>
              <w:lastRenderedPageBreak/>
              <w:t>lit.e) şi f) în legătură cu respectiva instituția de credit sau entitatea menţionată la art.1 alin.(1) lit. b), c) sau d) sau oricare dintre filialele sale, instituţia de credit sau entitatea menţionată la art. 1 alin.(1) lit.b), c) sau d) nu este împiedicată să emită suficiente acţiuni sau alte instrumente de proprietate noi pentru a garanta o posibilă conversie eficace a datoriilor în acţiuni sau în alte instrumente de proprietate.</w:t>
            </w:r>
          </w:p>
          <w:p w14:paraId="02E13A4E" w14:textId="77777777" w:rsidR="00F4284C" w:rsidRPr="00154588" w:rsidRDefault="00F4284C" w:rsidP="008C12B4">
            <w:pPr>
              <w:jc w:val="both"/>
              <w:rPr>
                <w:bCs/>
                <w:sz w:val="20"/>
                <w:szCs w:val="20"/>
              </w:rPr>
            </w:pPr>
          </w:p>
        </w:tc>
        <w:tc>
          <w:tcPr>
            <w:tcW w:w="2552" w:type="dxa"/>
          </w:tcPr>
          <w:p w14:paraId="5FF87A0A" w14:textId="214A75A8"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5A6EC5B2" w14:textId="77777777" w:rsidR="00F4284C" w:rsidRPr="00154588" w:rsidRDefault="00F4284C" w:rsidP="008C12B4">
            <w:pPr>
              <w:jc w:val="both"/>
              <w:rPr>
                <w:bCs/>
                <w:sz w:val="20"/>
                <w:szCs w:val="20"/>
              </w:rPr>
            </w:pPr>
          </w:p>
        </w:tc>
      </w:tr>
      <w:tr w:rsidR="00F4284C" w:rsidRPr="00154588" w14:paraId="3E8E1356" w14:textId="77777777" w:rsidTr="00D15C1B">
        <w:trPr>
          <w:jc w:val="center"/>
        </w:trPr>
        <w:tc>
          <w:tcPr>
            <w:tcW w:w="4957" w:type="dxa"/>
            <w:gridSpan w:val="2"/>
          </w:tcPr>
          <w:p w14:paraId="67D72A9D" w14:textId="40DF37DF" w:rsidR="00F4284C" w:rsidRPr="00154588" w:rsidRDefault="00F4284C" w:rsidP="008C12B4">
            <w:pPr>
              <w:jc w:val="both"/>
              <w:rPr>
                <w:bCs/>
                <w:sz w:val="20"/>
                <w:szCs w:val="20"/>
              </w:rPr>
            </w:pPr>
            <w:r w:rsidRPr="00154588">
              <w:rPr>
                <w:bCs/>
                <w:sz w:val="20"/>
                <w:szCs w:val="20"/>
              </w:rPr>
              <w:t>(2)   În contextul elaborării și actualizării planului de rezoluție al unei instituții date sau al unui grup dat, autoritățile de rezoluție evaluează oportunitatea impunerii asupra instituției sau entității menționate la articolul 1 alineatul (1) litera (b), (c) sau (d) a obligației prevăzute la alineatul (1), ținând cont în special de măsurile de rezoluție prevăzute în acel plan. Dacă planul de rezoluție prevede posibilitatea aplicării instrumentului de recapitalizare internă, autoritățile verifică în ce măsură capitalul social autorizat sau alte instrumente de fonduri proprii de nivel 1 de bază sunt suficiente pentru a acoperi suma cuantumulrilor mențioante la articolul 47 alineatul (3) literele (b) și (c).</w:t>
            </w:r>
          </w:p>
        </w:tc>
        <w:tc>
          <w:tcPr>
            <w:tcW w:w="4819" w:type="dxa"/>
          </w:tcPr>
          <w:p w14:paraId="784663E8" w14:textId="77777777" w:rsidR="00F4284C" w:rsidRPr="00154588" w:rsidRDefault="00F4284C" w:rsidP="008C12B4">
            <w:pPr>
              <w:jc w:val="both"/>
              <w:rPr>
                <w:bCs/>
                <w:sz w:val="20"/>
                <w:szCs w:val="20"/>
              </w:rPr>
            </w:pPr>
            <w:r w:rsidRPr="00154588">
              <w:rPr>
                <w:b/>
                <w:bCs/>
                <w:sz w:val="20"/>
                <w:szCs w:val="20"/>
              </w:rPr>
              <w:t>Articolul 207.</w:t>
            </w:r>
            <w:r w:rsidRPr="00154588">
              <w:rPr>
                <w:bCs/>
                <w:sz w:val="20"/>
                <w:szCs w:val="20"/>
              </w:rPr>
              <w:t xml:space="preserve"> – În contextul elaborării şi actualizării planului de rezoluţie al unei instituții de credit sau al unei entități, Banca Naţională a Moldovei, în calitate de autoritate de rezoluţie, evaluează oportunitatea impunerii asupra  instituţiei de credit sau entităţii menţionate la art.1 alin.(1) lit.b), c) sau d) a obligaţiei prevăzute la art.206, ţinînd cont în special de acţiunile de rezoluţie prevăzute în acel plan. Dacă planul de rezoluţie prevede posibilitatea aplicării instrumentului de recapitalizare internă, Banca Naţională a Moldovei, în calitate de autoritate de rezoluţie, verifică în ce măsură capitalul social autorizat sau alte instrumente de fonduri proprii de nivelul 1 de bază sînt suficiente pentru a acoperi valoarea totală a sumelor prevăzute la art.177 lit.b) şi c).</w:t>
            </w:r>
          </w:p>
          <w:p w14:paraId="18269F90" w14:textId="77777777" w:rsidR="00F4284C" w:rsidRPr="00154588" w:rsidRDefault="00F4284C" w:rsidP="008C12B4">
            <w:pPr>
              <w:jc w:val="both"/>
              <w:rPr>
                <w:bCs/>
                <w:sz w:val="20"/>
                <w:szCs w:val="20"/>
              </w:rPr>
            </w:pPr>
          </w:p>
        </w:tc>
        <w:tc>
          <w:tcPr>
            <w:tcW w:w="2552" w:type="dxa"/>
          </w:tcPr>
          <w:p w14:paraId="2AB8D835" w14:textId="4090670D" w:rsidR="00F4284C" w:rsidRPr="00154588" w:rsidRDefault="00F4284C" w:rsidP="008C12B4">
            <w:pPr>
              <w:jc w:val="both"/>
              <w:rPr>
                <w:bCs/>
                <w:sz w:val="20"/>
                <w:szCs w:val="20"/>
              </w:rPr>
            </w:pPr>
            <w:r w:rsidRPr="00154588">
              <w:rPr>
                <w:bCs/>
                <w:sz w:val="20"/>
                <w:szCs w:val="20"/>
              </w:rPr>
              <w:t>Compatibil</w:t>
            </w:r>
          </w:p>
        </w:tc>
        <w:tc>
          <w:tcPr>
            <w:tcW w:w="3118" w:type="dxa"/>
          </w:tcPr>
          <w:p w14:paraId="104B37B5" w14:textId="77777777" w:rsidR="00F4284C" w:rsidRPr="00154588" w:rsidRDefault="00F4284C" w:rsidP="008C12B4">
            <w:pPr>
              <w:jc w:val="both"/>
              <w:rPr>
                <w:bCs/>
                <w:sz w:val="20"/>
                <w:szCs w:val="20"/>
              </w:rPr>
            </w:pPr>
          </w:p>
        </w:tc>
      </w:tr>
      <w:tr w:rsidR="00F4284C" w:rsidRPr="00154588" w14:paraId="07877576" w14:textId="77777777" w:rsidTr="00D15C1B">
        <w:trPr>
          <w:jc w:val="center"/>
        </w:trPr>
        <w:tc>
          <w:tcPr>
            <w:tcW w:w="4957" w:type="dxa"/>
            <w:gridSpan w:val="2"/>
          </w:tcPr>
          <w:p w14:paraId="0648293B" w14:textId="3A263729" w:rsidR="00F4284C" w:rsidRPr="00154588" w:rsidRDefault="00F4284C" w:rsidP="008C12B4">
            <w:pPr>
              <w:jc w:val="both"/>
              <w:rPr>
                <w:bCs/>
                <w:sz w:val="20"/>
                <w:szCs w:val="20"/>
              </w:rPr>
            </w:pPr>
            <w:r w:rsidRPr="00154588">
              <w:rPr>
                <w:bCs/>
                <w:sz w:val="20"/>
                <w:szCs w:val="20"/>
              </w:rPr>
              <w:t>(3)   Statele membre se asigură că propriile documentele constitutive sau propriul statut, inclusiv drepturile de preempțiune ale acționarilor sau obligația de a obține aprobarea acționarilor pentru o mărire de capital, nu dau naștere unor obstacole de natură procedurală pentru conversia pasivelor în acțiuni sau în alte instrumente de proprietate.</w:t>
            </w:r>
          </w:p>
        </w:tc>
        <w:tc>
          <w:tcPr>
            <w:tcW w:w="4819" w:type="dxa"/>
          </w:tcPr>
          <w:p w14:paraId="400BD9C8" w14:textId="77777777" w:rsidR="00F4284C" w:rsidRPr="00154588" w:rsidRDefault="00F4284C" w:rsidP="008C12B4">
            <w:pPr>
              <w:jc w:val="both"/>
              <w:rPr>
                <w:bCs/>
                <w:sz w:val="20"/>
                <w:szCs w:val="20"/>
              </w:rPr>
            </w:pPr>
            <w:r w:rsidRPr="00154588">
              <w:rPr>
                <w:b/>
                <w:bCs/>
                <w:sz w:val="20"/>
                <w:szCs w:val="20"/>
              </w:rPr>
              <w:t>Articolul 208.</w:t>
            </w:r>
            <w:r w:rsidRPr="00154588">
              <w:rPr>
                <w:bCs/>
                <w:sz w:val="20"/>
                <w:szCs w:val="20"/>
              </w:rPr>
              <w:t xml:space="preserve">  Documentele constitutive sau statutul instituțiilor de credit sau entității, inclusiv drepturile de preempţiune ale acţionarilor sau obligaţia de a obţine aprobarea acţionarilor pentru o majorare de capital, nu împiedică din punct de vedere procedural reducerea valorii şi conversia datoriilor în acţiuni sau în alte instrumente de proprietate în cadrul instrumentului de recapitalizare internă sau al competenţei de reducere a valorii şi de conversie aplicată independent.</w:t>
            </w:r>
          </w:p>
          <w:p w14:paraId="6E0AAABB" w14:textId="77777777" w:rsidR="00F4284C" w:rsidRPr="00154588" w:rsidRDefault="00F4284C" w:rsidP="008C12B4">
            <w:pPr>
              <w:jc w:val="both"/>
              <w:rPr>
                <w:bCs/>
                <w:sz w:val="20"/>
                <w:szCs w:val="20"/>
              </w:rPr>
            </w:pPr>
          </w:p>
        </w:tc>
        <w:tc>
          <w:tcPr>
            <w:tcW w:w="2552" w:type="dxa"/>
          </w:tcPr>
          <w:p w14:paraId="2A60083E" w14:textId="71627B62" w:rsidR="00F4284C" w:rsidRPr="00154588" w:rsidRDefault="00F4284C" w:rsidP="008C12B4">
            <w:pPr>
              <w:jc w:val="both"/>
              <w:rPr>
                <w:bCs/>
                <w:sz w:val="20"/>
                <w:szCs w:val="20"/>
              </w:rPr>
            </w:pPr>
            <w:r w:rsidRPr="00154588">
              <w:rPr>
                <w:bCs/>
                <w:sz w:val="20"/>
                <w:szCs w:val="20"/>
              </w:rPr>
              <w:t>Compatibil</w:t>
            </w:r>
          </w:p>
        </w:tc>
        <w:tc>
          <w:tcPr>
            <w:tcW w:w="3118" w:type="dxa"/>
          </w:tcPr>
          <w:p w14:paraId="4128F090" w14:textId="77777777" w:rsidR="00F4284C" w:rsidRPr="00154588" w:rsidRDefault="00F4284C" w:rsidP="008C12B4">
            <w:pPr>
              <w:jc w:val="both"/>
              <w:rPr>
                <w:bCs/>
                <w:sz w:val="20"/>
                <w:szCs w:val="20"/>
              </w:rPr>
            </w:pPr>
          </w:p>
        </w:tc>
      </w:tr>
      <w:tr w:rsidR="00F4284C" w:rsidRPr="00154588" w14:paraId="42455C5B" w14:textId="77777777" w:rsidTr="00D15C1B">
        <w:trPr>
          <w:jc w:val="center"/>
        </w:trPr>
        <w:tc>
          <w:tcPr>
            <w:tcW w:w="4957" w:type="dxa"/>
            <w:gridSpan w:val="2"/>
          </w:tcPr>
          <w:p w14:paraId="169C471C" w14:textId="17FA8D28" w:rsidR="00F4284C" w:rsidRPr="00154588" w:rsidRDefault="00F4284C" w:rsidP="008C12B4">
            <w:pPr>
              <w:jc w:val="both"/>
              <w:rPr>
                <w:bCs/>
                <w:sz w:val="20"/>
                <w:szCs w:val="20"/>
              </w:rPr>
            </w:pPr>
            <w:r w:rsidRPr="00154588">
              <w:rPr>
                <w:bCs/>
                <w:sz w:val="20"/>
                <w:szCs w:val="20"/>
              </w:rPr>
              <w:t>(4)   Prezentul articol nu aduce atingere modificărilor directivelor 82/891/CEE, 2004/25/CE, 2005/56/CE, 2007/36/CE, 2011/35/UE și Directiva 2012/30/UE enunțate în titlul X din prezenta directivă.</w:t>
            </w:r>
          </w:p>
        </w:tc>
        <w:tc>
          <w:tcPr>
            <w:tcW w:w="4819" w:type="dxa"/>
          </w:tcPr>
          <w:p w14:paraId="4305F1C3" w14:textId="77777777" w:rsidR="00F4284C" w:rsidRPr="00154588" w:rsidRDefault="00F4284C" w:rsidP="008C12B4">
            <w:pPr>
              <w:jc w:val="both"/>
              <w:rPr>
                <w:bCs/>
                <w:sz w:val="20"/>
                <w:szCs w:val="20"/>
              </w:rPr>
            </w:pPr>
            <w:r w:rsidRPr="00154588">
              <w:rPr>
                <w:b/>
                <w:bCs/>
                <w:sz w:val="20"/>
                <w:szCs w:val="20"/>
              </w:rPr>
              <w:t>Articolul 209.</w:t>
            </w:r>
            <w:r w:rsidRPr="00154588">
              <w:rPr>
                <w:bCs/>
                <w:sz w:val="20"/>
                <w:szCs w:val="20"/>
              </w:rPr>
              <w:t xml:space="preserve"> – Prevederile art.206-208 nu aduc atingere dispoziţiilor art.93 alin.(2).</w:t>
            </w:r>
          </w:p>
          <w:p w14:paraId="102B7687" w14:textId="77777777" w:rsidR="00F4284C" w:rsidRPr="00154588" w:rsidRDefault="00F4284C" w:rsidP="008C12B4">
            <w:pPr>
              <w:jc w:val="both"/>
              <w:rPr>
                <w:bCs/>
                <w:sz w:val="20"/>
                <w:szCs w:val="20"/>
              </w:rPr>
            </w:pPr>
          </w:p>
        </w:tc>
        <w:tc>
          <w:tcPr>
            <w:tcW w:w="2552" w:type="dxa"/>
          </w:tcPr>
          <w:p w14:paraId="2B0DA2F9" w14:textId="6A2459B5" w:rsidR="00F4284C" w:rsidRPr="00154588" w:rsidRDefault="00F4284C" w:rsidP="008C12B4">
            <w:pPr>
              <w:jc w:val="both"/>
              <w:rPr>
                <w:bCs/>
                <w:sz w:val="20"/>
                <w:szCs w:val="20"/>
              </w:rPr>
            </w:pPr>
            <w:r w:rsidRPr="00154588">
              <w:rPr>
                <w:bCs/>
                <w:sz w:val="20"/>
                <w:szCs w:val="20"/>
              </w:rPr>
              <w:t>Compatibil</w:t>
            </w:r>
          </w:p>
        </w:tc>
        <w:tc>
          <w:tcPr>
            <w:tcW w:w="3118" w:type="dxa"/>
          </w:tcPr>
          <w:p w14:paraId="4531FC34" w14:textId="77777777" w:rsidR="00F4284C" w:rsidRPr="00154588" w:rsidRDefault="00F4284C" w:rsidP="008C12B4">
            <w:pPr>
              <w:jc w:val="both"/>
              <w:rPr>
                <w:bCs/>
                <w:sz w:val="20"/>
                <w:szCs w:val="20"/>
              </w:rPr>
            </w:pPr>
          </w:p>
        </w:tc>
      </w:tr>
      <w:tr w:rsidR="00F4284C" w:rsidRPr="00154588" w14:paraId="7EA3373D" w14:textId="77777777" w:rsidTr="00D15C1B">
        <w:trPr>
          <w:jc w:val="center"/>
        </w:trPr>
        <w:tc>
          <w:tcPr>
            <w:tcW w:w="4957" w:type="dxa"/>
            <w:gridSpan w:val="2"/>
          </w:tcPr>
          <w:p w14:paraId="074B3210" w14:textId="77777777" w:rsidR="00F4284C" w:rsidRPr="00154588" w:rsidRDefault="00F4284C" w:rsidP="008C12B4">
            <w:pPr>
              <w:jc w:val="both"/>
              <w:rPr>
                <w:b/>
                <w:sz w:val="20"/>
                <w:szCs w:val="20"/>
              </w:rPr>
            </w:pPr>
            <w:r w:rsidRPr="00154588">
              <w:rPr>
                <w:b/>
                <w:sz w:val="20"/>
                <w:szCs w:val="20"/>
              </w:rPr>
              <w:t>Articolul 55</w:t>
            </w:r>
          </w:p>
          <w:p w14:paraId="6ACC375F" w14:textId="77777777" w:rsidR="00F4284C" w:rsidRPr="00154588" w:rsidRDefault="00F4284C" w:rsidP="008C12B4">
            <w:pPr>
              <w:jc w:val="both"/>
              <w:rPr>
                <w:b/>
                <w:sz w:val="20"/>
                <w:szCs w:val="20"/>
              </w:rPr>
            </w:pPr>
          </w:p>
          <w:p w14:paraId="465E5224" w14:textId="3775341E" w:rsidR="00F4284C" w:rsidRPr="00154588" w:rsidRDefault="00F4284C" w:rsidP="008C12B4">
            <w:pPr>
              <w:jc w:val="both"/>
              <w:rPr>
                <w:bCs/>
                <w:sz w:val="20"/>
                <w:szCs w:val="20"/>
              </w:rPr>
            </w:pPr>
            <w:r w:rsidRPr="00154588">
              <w:rPr>
                <w:b/>
                <w:sz w:val="20"/>
                <w:szCs w:val="20"/>
              </w:rPr>
              <w:t>Recunoașterea contractuală a recapitalizării interne</w:t>
            </w:r>
          </w:p>
        </w:tc>
        <w:tc>
          <w:tcPr>
            <w:tcW w:w="4819" w:type="dxa"/>
          </w:tcPr>
          <w:p w14:paraId="38EFF646" w14:textId="77777777" w:rsidR="00F4284C" w:rsidRPr="00154588" w:rsidRDefault="00F4284C" w:rsidP="008C12B4">
            <w:pPr>
              <w:jc w:val="both"/>
              <w:rPr>
                <w:bCs/>
                <w:sz w:val="20"/>
                <w:szCs w:val="20"/>
              </w:rPr>
            </w:pPr>
          </w:p>
        </w:tc>
        <w:tc>
          <w:tcPr>
            <w:tcW w:w="2552" w:type="dxa"/>
          </w:tcPr>
          <w:p w14:paraId="4F14DA29" w14:textId="77777777" w:rsidR="00F4284C" w:rsidRPr="00154588" w:rsidRDefault="00F4284C" w:rsidP="008C12B4">
            <w:pPr>
              <w:jc w:val="both"/>
              <w:rPr>
                <w:bCs/>
                <w:sz w:val="20"/>
                <w:szCs w:val="20"/>
              </w:rPr>
            </w:pPr>
          </w:p>
        </w:tc>
        <w:tc>
          <w:tcPr>
            <w:tcW w:w="3118" w:type="dxa"/>
          </w:tcPr>
          <w:p w14:paraId="6E0248EF" w14:textId="77777777" w:rsidR="00F4284C" w:rsidRPr="00154588" w:rsidRDefault="00F4284C" w:rsidP="008C12B4">
            <w:pPr>
              <w:jc w:val="both"/>
              <w:rPr>
                <w:bCs/>
                <w:sz w:val="20"/>
                <w:szCs w:val="20"/>
              </w:rPr>
            </w:pPr>
          </w:p>
        </w:tc>
      </w:tr>
      <w:tr w:rsidR="00F4284C" w:rsidRPr="00154588" w14:paraId="68F81D04" w14:textId="77777777" w:rsidTr="00D15C1B">
        <w:trPr>
          <w:jc w:val="center"/>
        </w:trPr>
        <w:tc>
          <w:tcPr>
            <w:tcW w:w="4957" w:type="dxa"/>
            <w:gridSpan w:val="2"/>
          </w:tcPr>
          <w:p w14:paraId="7A8AAC12" w14:textId="1C6FD538" w:rsidR="00F4284C" w:rsidRPr="00154588" w:rsidRDefault="00F4284C" w:rsidP="008C12B4">
            <w:pPr>
              <w:rPr>
                <w:bCs/>
                <w:sz w:val="20"/>
                <w:szCs w:val="20"/>
              </w:rPr>
            </w:pPr>
            <w:r w:rsidRPr="00154588">
              <w:rPr>
                <w:bCs/>
                <w:sz w:val="20"/>
                <w:szCs w:val="20"/>
              </w:rPr>
              <w:lastRenderedPageBreak/>
              <w:t>(1)   Statele membre solicită instituțiilor și entităților menționate la articolul 1 alineatul (1) literele (b), (c) și (d) să includă o clauză contractuală care să precizeze că creditorul sau partea la acordul ori la instrumentul care creează un instrument de capital relevant sau o datorie care poate face obiectul recapitalizării interne  recunoaște că instrumentul respectiv sau datoria respectivă poate face obiectul competențelor de reducere a valorii contabile și de conversie și este de acord să se supună oricărei măsuri de reducere a principalului sau a sumei de plată restante, de conversie sau de anulare luată de o autoritate de rezoluție care exercită competențele respective, dacă instrumentul sau datoria respectivă îndeplinește toate condițiile următoare:</w:t>
            </w:r>
          </w:p>
          <w:p w14:paraId="70C3F79A" w14:textId="77777777" w:rsidR="00F4284C" w:rsidRPr="00154588" w:rsidRDefault="00F4284C" w:rsidP="008C12B4">
            <w:pPr>
              <w:rPr>
                <w:bCs/>
                <w:sz w:val="20"/>
                <w:szCs w:val="20"/>
              </w:rPr>
            </w:pPr>
          </w:p>
          <w:p w14:paraId="2751EA95" w14:textId="77777777" w:rsidR="00F4284C" w:rsidRPr="00154588" w:rsidRDefault="00F4284C" w:rsidP="008C12B4">
            <w:pPr>
              <w:rPr>
                <w:bCs/>
                <w:sz w:val="20"/>
                <w:szCs w:val="20"/>
              </w:rPr>
            </w:pPr>
          </w:p>
          <w:p w14:paraId="1C082DCE" w14:textId="64C465A3" w:rsidR="00F4284C" w:rsidRPr="00154588" w:rsidRDefault="00F4284C" w:rsidP="008C12B4">
            <w:pPr>
              <w:rPr>
                <w:bCs/>
                <w:sz w:val="20"/>
                <w:szCs w:val="20"/>
              </w:rPr>
            </w:pPr>
            <w:r w:rsidRPr="00154588">
              <w:rPr>
                <w:bCs/>
                <w:sz w:val="20"/>
                <w:szCs w:val="20"/>
              </w:rPr>
              <w:t xml:space="preserve">(b) instrumentul sau datoria să nu constituie un depozit menționat </w:t>
            </w:r>
            <w:r w:rsidRPr="00154588">
              <w:rPr>
                <w:sz w:val="20"/>
                <w:szCs w:val="20"/>
              </w:rPr>
              <w:t>la articolul 108 alineatul (1) litera (b);</w:t>
            </w:r>
          </w:p>
          <w:p w14:paraId="00D208D6" w14:textId="77777777" w:rsidR="00F4284C" w:rsidRPr="00154588" w:rsidRDefault="00F4284C" w:rsidP="008C12B4">
            <w:pPr>
              <w:rPr>
                <w:bCs/>
                <w:sz w:val="20"/>
                <w:szCs w:val="20"/>
              </w:rPr>
            </w:pPr>
          </w:p>
          <w:p w14:paraId="2080CF8E" w14:textId="327EFAEE" w:rsidR="00F4284C" w:rsidRPr="00154588" w:rsidRDefault="00F4284C" w:rsidP="008C12B4">
            <w:pPr>
              <w:rPr>
                <w:bCs/>
                <w:sz w:val="20"/>
                <w:szCs w:val="20"/>
              </w:rPr>
            </w:pPr>
            <w:r w:rsidRPr="00154588">
              <w:rPr>
                <w:bCs/>
                <w:sz w:val="20"/>
                <w:szCs w:val="20"/>
              </w:rPr>
              <w:t>(c) instrumentul sau datoria să fie reglementată de dreptul unei țări terțe;</w:t>
            </w:r>
          </w:p>
          <w:p w14:paraId="0529921A" w14:textId="77777777" w:rsidR="00F4284C" w:rsidRPr="00154588" w:rsidRDefault="00F4284C" w:rsidP="008C12B4">
            <w:pPr>
              <w:rPr>
                <w:bCs/>
                <w:sz w:val="20"/>
                <w:szCs w:val="20"/>
              </w:rPr>
            </w:pPr>
          </w:p>
          <w:p w14:paraId="157B957D" w14:textId="5D7C09CF" w:rsidR="00F4284C" w:rsidRPr="00154588" w:rsidRDefault="00F4284C" w:rsidP="008C12B4">
            <w:pPr>
              <w:rPr>
                <w:bCs/>
                <w:sz w:val="20"/>
                <w:szCs w:val="20"/>
              </w:rPr>
            </w:pPr>
            <w:r w:rsidRPr="00154588">
              <w:rPr>
                <w:bCs/>
                <w:sz w:val="20"/>
                <w:szCs w:val="20"/>
              </w:rPr>
              <w:t>(d) instrumentul sau datoria să fie emise sau contractată după data la care un stat membru aplică prevederile adoptate în vederea transpunerii prezentei secțiuni.</w:t>
            </w:r>
          </w:p>
          <w:p w14:paraId="4122A218" w14:textId="77777777" w:rsidR="00F4284C" w:rsidRPr="00154588" w:rsidRDefault="00F4284C" w:rsidP="008C12B4">
            <w:pPr>
              <w:rPr>
                <w:bCs/>
                <w:sz w:val="20"/>
                <w:szCs w:val="20"/>
              </w:rPr>
            </w:pPr>
          </w:p>
          <w:p w14:paraId="7465A088" w14:textId="77777777" w:rsidR="00F4284C" w:rsidRPr="00154588" w:rsidRDefault="00F4284C" w:rsidP="008C12B4">
            <w:pPr>
              <w:rPr>
                <w:bCs/>
                <w:sz w:val="20"/>
                <w:szCs w:val="20"/>
              </w:rPr>
            </w:pPr>
          </w:p>
          <w:p w14:paraId="7191EEBA" w14:textId="068E26A1" w:rsidR="00F4284C" w:rsidRPr="00154588" w:rsidRDefault="00F4284C" w:rsidP="008C12B4">
            <w:pPr>
              <w:rPr>
                <w:bCs/>
                <w:sz w:val="20"/>
                <w:szCs w:val="20"/>
              </w:rPr>
            </w:pPr>
            <w:r w:rsidRPr="00154588">
              <w:rPr>
                <w:bCs/>
                <w:sz w:val="20"/>
                <w:szCs w:val="20"/>
              </w:rPr>
              <w:t xml:space="preserve">Primul paragraf nu se aplică în cazul în care autoritatea de rezoluție a unui stat membru </w:t>
            </w:r>
            <w:r w:rsidRPr="00154588">
              <w:rPr>
                <w:sz w:val="20"/>
                <w:szCs w:val="20"/>
              </w:rPr>
              <w:t>stabilește</w:t>
            </w:r>
            <w:r w:rsidRPr="00154588">
              <w:rPr>
                <w:bCs/>
                <w:sz w:val="20"/>
                <w:szCs w:val="20"/>
              </w:rPr>
              <w:t xml:space="preserve"> că instrumentele sau datoriile menționate la paragraful respectiv pot face obiectul competențelor de reducere a valorii contabile și de conversie exercitate de către autoritatea de rezoluție dintr-un stat membru în temeiul dreptului unei țării terțe sau al unui acord cu caracter obligatoriu încheiat cu țara terță respectivă.</w:t>
            </w:r>
          </w:p>
        </w:tc>
        <w:tc>
          <w:tcPr>
            <w:tcW w:w="4819" w:type="dxa"/>
          </w:tcPr>
          <w:p w14:paraId="2997463A" w14:textId="2DE32B2A" w:rsidR="00F4284C" w:rsidRPr="00154588" w:rsidRDefault="00F4284C" w:rsidP="008C12B4">
            <w:pPr>
              <w:jc w:val="both"/>
              <w:rPr>
                <w:bCs/>
                <w:sz w:val="20"/>
                <w:szCs w:val="20"/>
              </w:rPr>
            </w:pPr>
            <w:r w:rsidRPr="00154588">
              <w:rPr>
                <w:b/>
                <w:bCs/>
                <w:sz w:val="20"/>
                <w:szCs w:val="20"/>
              </w:rPr>
              <w:t>Articolul 210.</w:t>
            </w:r>
            <w:r w:rsidRPr="00154588">
              <w:rPr>
                <w:bCs/>
                <w:sz w:val="20"/>
                <w:szCs w:val="20"/>
              </w:rPr>
              <w:t xml:space="preserve"> –(1) Instituțiile de credit sau entitățile menționate la art.1 alin.(1) lit. b), c) sau d) includ în prevederile contractuale o clauză care să precizeze că creditorul sau partea la acordul sau la instrumentul care creează un instrument de capital relevant sau o datorie care poate face obiectul exercitării competenţelor de reducere a valorii şi de conversie şi este de acord să se supună oricărei măsuri de reducere a valorii principalului sau a sumei de plată datorate, de conversie sau de anulare, ce poate fi impusă de către Banca Naţională a Moldovei, în calitate de autoritate de rezoluţie, în exercitarea competenţelor sale, cu condiţia ca un astfel de instrument sau o astfel de datorie îndeplinește toate condițiile următoare:</w:t>
            </w:r>
          </w:p>
          <w:p w14:paraId="37783787" w14:textId="77777777" w:rsidR="00F4284C" w:rsidRPr="00154588" w:rsidRDefault="00F4284C" w:rsidP="008C12B4">
            <w:pPr>
              <w:jc w:val="both"/>
              <w:rPr>
                <w:bCs/>
                <w:sz w:val="20"/>
                <w:szCs w:val="20"/>
              </w:rPr>
            </w:pPr>
          </w:p>
          <w:p w14:paraId="2FF68DBD" w14:textId="7CF0A85F" w:rsidR="00F4284C" w:rsidRPr="00154588" w:rsidRDefault="00F4284C" w:rsidP="008C12B4">
            <w:pPr>
              <w:jc w:val="both"/>
              <w:rPr>
                <w:bCs/>
                <w:sz w:val="20"/>
                <w:szCs w:val="20"/>
              </w:rPr>
            </w:pPr>
            <w:r w:rsidRPr="00154588">
              <w:rPr>
                <w:bCs/>
                <w:sz w:val="20"/>
                <w:szCs w:val="20"/>
              </w:rPr>
              <w:t xml:space="preserve">b) instrumentul sau datoria să nu fie un depozit </w:t>
            </w:r>
            <w:r w:rsidRPr="00154588">
              <w:rPr>
                <w:sz w:val="20"/>
                <w:szCs w:val="20"/>
              </w:rPr>
              <w:t>acoperit</w:t>
            </w:r>
            <w:r w:rsidRPr="00154588">
              <w:rPr>
                <w:bCs/>
                <w:sz w:val="20"/>
                <w:szCs w:val="20"/>
              </w:rPr>
              <w:t>;</w:t>
            </w:r>
          </w:p>
          <w:p w14:paraId="3520AEAC" w14:textId="77777777" w:rsidR="00F4284C" w:rsidRPr="00154588" w:rsidRDefault="00F4284C" w:rsidP="008C12B4">
            <w:pPr>
              <w:jc w:val="both"/>
              <w:rPr>
                <w:bCs/>
                <w:sz w:val="20"/>
                <w:szCs w:val="20"/>
              </w:rPr>
            </w:pPr>
          </w:p>
          <w:p w14:paraId="20A8595D" w14:textId="19238156" w:rsidR="00F4284C" w:rsidRPr="00154588" w:rsidRDefault="00F4284C" w:rsidP="008C12B4">
            <w:pPr>
              <w:jc w:val="both"/>
              <w:rPr>
                <w:bCs/>
                <w:sz w:val="20"/>
                <w:szCs w:val="20"/>
              </w:rPr>
            </w:pPr>
            <w:r w:rsidRPr="00154588">
              <w:rPr>
                <w:bCs/>
                <w:sz w:val="20"/>
                <w:szCs w:val="20"/>
              </w:rPr>
              <w:t>c) instrumentul sau datoria să fie reglementate de legislaţia unui alt stat-terț; şi</w:t>
            </w:r>
          </w:p>
          <w:p w14:paraId="7579061F" w14:textId="76083B25" w:rsidR="00F4284C" w:rsidRPr="00154588" w:rsidRDefault="00F4284C" w:rsidP="008C12B4">
            <w:pPr>
              <w:jc w:val="both"/>
              <w:rPr>
                <w:bCs/>
                <w:sz w:val="20"/>
                <w:szCs w:val="20"/>
              </w:rPr>
            </w:pPr>
            <w:r w:rsidRPr="00154588">
              <w:rPr>
                <w:bCs/>
                <w:sz w:val="20"/>
                <w:szCs w:val="20"/>
              </w:rPr>
              <w:t>d) instrumentul sau datoria să fie emise sau contractat</w:t>
            </w:r>
            <w:r w:rsidR="002B64D4" w:rsidRPr="00154588">
              <w:rPr>
                <w:bCs/>
                <w:sz w:val="20"/>
                <w:szCs w:val="20"/>
              </w:rPr>
              <w:t>e</w:t>
            </w:r>
            <w:r w:rsidRPr="00154588">
              <w:rPr>
                <w:bCs/>
                <w:sz w:val="20"/>
                <w:szCs w:val="20"/>
              </w:rPr>
              <w:t xml:space="preserve"> după data de la care se aplică prevederile referitoare la recapitalizarea internă.</w:t>
            </w:r>
          </w:p>
          <w:p w14:paraId="0003712C" w14:textId="05815B07" w:rsidR="00F4284C" w:rsidRPr="00154588" w:rsidRDefault="00F4284C" w:rsidP="008C12B4">
            <w:pPr>
              <w:jc w:val="both"/>
              <w:rPr>
                <w:bCs/>
                <w:sz w:val="20"/>
                <w:szCs w:val="20"/>
              </w:rPr>
            </w:pPr>
            <w:r w:rsidRPr="00154588">
              <w:rPr>
                <w:sz w:val="20"/>
                <w:szCs w:val="20"/>
              </w:rPr>
              <w:t>(2) Primul</w:t>
            </w:r>
            <w:r w:rsidRPr="00154588">
              <w:rPr>
                <w:bCs/>
                <w:sz w:val="20"/>
                <w:szCs w:val="20"/>
              </w:rPr>
              <w:t xml:space="preserve"> alineat din prezentul articol nu se aplică în cazul în care </w:t>
            </w:r>
            <w:r w:rsidRPr="00154588">
              <w:rPr>
                <w:sz w:val="20"/>
                <w:szCs w:val="20"/>
              </w:rPr>
              <w:t xml:space="preserve">Banca Națională a Moldovei, în calitate de </w:t>
            </w:r>
            <w:r w:rsidRPr="00154588">
              <w:rPr>
                <w:bCs/>
                <w:sz w:val="20"/>
                <w:szCs w:val="20"/>
              </w:rPr>
              <w:t>autoritate de rezoluție</w:t>
            </w:r>
            <w:r w:rsidRPr="00154588">
              <w:rPr>
                <w:sz w:val="20"/>
                <w:szCs w:val="20"/>
              </w:rPr>
              <w:t>,</w:t>
            </w:r>
            <w:r w:rsidRPr="00154588">
              <w:rPr>
                <w:bCs/>
                <w:sz w:val="20"/>
                <w:szCs w:val="20"/>
              </w:rPr>
              <w:t xml:space="preserve"> stabilește că instrumentele sau datoriile menționate la alin. (1) pot face obiectul competențelor de reducere a valorii contabile și de conversie exercitate de către Banca Națională a Moldovei în calitate de autoritate de rezoluție în temeiul dreptului unei țării terțe sau al unui acord cu caracter obligatoriu încheiat cu țara terță respectivă.</w:t>
            </w:r>
          </w:p>
        </w:tc>
        <w:tc>
          <w:tcPr>
            <w:tcW w:w="2552" w:type="dxa"/>
          </w:tcPr>
          <w:p w14:paraId="2A551930" w14:textId="0F925F61" w:rsidR="00F4284C" w:rsidRPr="00154588" w:rsidRDefault="00F4284C" w:rsidP="008C12B4">
            <w:pPr>
              <w:jc w:val="both"/>
              <w:rPr>
                <w:bCs/>
                <w:sz w:val="20"/>
                <w:szCs w:val="20"/>
              </w:rPr>
            </w:pPr>
            <w:r w:rsidRPr="00154588">
              <w:rPr>
                <w:bCs/>
                <w:sz w:val="20"/>
                <w:szCs w:val="20"/>
              </w:rPr>
              <w:t>Compatibil</w:t>
            </w:r>
          </w:p>
        </w:tc>
        <w:tc>
          <w:tcPr>
            <w:tcW w:w="3118" w:type="dxa"/>
          </w:tcPr>
          <w:p w14:paraId="1DB41BE5" w14:textId="77777777" w:rsidR="00F4284C" w:rsidRPr="00154588" w:rsidRDefault="00F4284C" w:rsidP="008C12B4">
            <w:pPr>
              <w:jc w:val="both"/>
              <w:rPr>
                <w:bCs/>
                <w:sz w:val="20"/>
                <w:szCs w:val="20"/>
              </w:rPr>
            </w:pPr>
          </w:p>
        </w:tc>
      </w:tr>
      <w:tr w:rsidR="00F4284C" w:rsidRPr="00154588" w14:paraId="1F3E019B" w14:textId="77777777" w:rsidTr="00D15C1B">
        <w:trPr>
          <w:jc w:val="center"/>
        </w:trPr>
        <w:tc>
          <w:tcPr>
            <w:tcW w:w="4957" w:type="dxa"/>
            <w:gridSpan w:val="2"/>
          </w:tcPr>
          <w:p w14:paraId="7B67A3D8" w14:textId="77777777" w:rsidR="00F4284C" w:rsidRPr="00154588" w:rsidRDefault="00F4284C" w:rsidP="008C12B4">
            <w:pPr>
              <w:jc w:val="both"/>
              <w:rPr>
                <w:bCs/>
                <w:sz w:val="20"/>
                <w:szCs w:val="20"/>
              </w:rPr>
            </w:pPr>
            <w:r w:rsidRPr="00154588">
              <w:rPr>
                <w:bCs/>
                <w:sz w:val="20"/>
                <w:szCs w:val="20"/>
              </w:rPr>
              <w:t xml:space="preserve">(1a) Cerința prevăzută la alineatul (1) nu se aplică entităților destinate lichidării sau filialelor unei entități de rezoluție sau ale unei entități dintr-o țară terță care nu sunt ele însele entități de rezoluție. </w:t>
            </w:r>
          </w:p>
          <w:p w14:paraId="6691A4DA" w14:textId="77777777" w:rsidR="00F4284C" w:rsidRPr="00154588" w:rsidRDefault="00F4284C" w:rsidP="008C12B4">
            <w:pPr>
              <w:jc w:val="both"/>
              <w:rPr>
                <w:bCs/>
                <w:sz w:val="20"/>
                <w:szCs w:val="20"/>
              </w:rPr>
            </w:pPr>
          </w:p>
          <w:p w14:paraId="53A79A00" w14:textId="77777777" w:rsidR="00F4284C" w:rsidRPr="00154588" w:rsidRDefault="00F4284C" w:rsidP="008C12B4">
            <w:pPr>
              <w:jc w:val="both"/>
              <w:rPr>
                <w:bCs/>
                <w:sz w:val="20"/>
                <w:szCs w:val="20"/>
              </w:rPr>
            </w:pPr>
            <w:r w:rsidRPr="00154588">
              <w:rPr>
                <w:bCs/>
                <w:sz w:val="20"/>
                <w:szCs w:val="20"/>
              </w:rPr>
              <w:lastRenderedPageBreak/>
              <w:t xml:space="preserve">Instrumentele sau datoriile entităților menționate la primul paragraf de la prezentul alineat care îndeplinesc condițiile menționate la prezentul articol alineatul (1) primul paragraf și care nu includ clauza contractuală menționată la alineatul respectiv nu sunt luate în calcul vederea îndeplinirii cerinței menționate la articolul 45 alineatul (1). </w:t>
            </w:r>
          </w:p>
          <w:p w14:paraId="75EBDFA7" w14:textId="77777777" w:rsidR="00F4284C" w:rsidRPr="00154588" w:rsidRDefault="00F4284C" w:rsidP="008C12B4">
            <w:pPr>
              <w:jc w:val="both"/>
              <w:rPr>
                <w:bCs/>
                <w:sz w:val="20"/>
                <w:szCs w:val="20"/>
              </w:rPr>
            </w:pPr>
            <w:r w:rsidRPr="00154588">
              <w:rPr>
                <w:bCs/>
                <w:sz w:val="20"/>
                <w:szCs w:val="20"/>
              </w:rPr>
              <w:t xml:space="preserve">Prin derogare de la prezentul alineat primul paragraf, autoritățile de rezoluție pot decide că cerința prevăzută la alineatul (1) se aplică următoarelor entități: </w:t>
            </w:r>
          </w:p>
          <w:p w14:paraId="253395CA" w14:textId="77777777" w:rsidR="00F4284C" w:rsidRPr="00154588" w:rsidRDefault="00F4284C" w:rsidP="008C12B4">
            <w:pPr>
              <w:jc w:val="both"/>
              <w:rPr>
                <w:bCs/>
                <w:sz w:val="20"/>
                <w:szCs w:val="20"/>
              </w:rPr>
            </w:pPr>
            <w:r w:rsidRPr="00154588">
              <w:rPr>
                <w:bCs/>
                <w:sz w:val="20"/>
                <w:szCs w:val="20"/>
              </w:rPr>
              <w:t xml:space="preserve">(a) o entitate destinată lichidării pentru care autoritatea de rezoluție a stabilit cerința menționată la articolul 45 alineatul (1); </w:t>
            </w:r>
          </w:p>
          <w:p w14:paraId="5A5A57F3" w14:textId="07F38B4C" w:rsidR="00F4284C" w:rsidRPr="00154588" w:rsidRDefault="00F4284C" w:rsidP="008C12B4">
            <w:pPr>
              <w:jc w:val="both"/>
              <w:rPr>
                <w:bCs/>
                <w:sz w:val="20"/>
                <w:szCs w:val="20"/>
              </w:rPr>
            </w:pPr>
            <w:r w:rsidRPr="00154588">
              <w:rPr>
                <w:bCs/>
                <w:sz w:val="20"/>
                <w:szCs w:val="20"/>
              </w:rPr>
              <w:t>(b) o filială a unei entități de rezoluție sau a unei entități dintr-o țară terță care nu este ea însăși entitate de rezoluție.</w:t>
            </w:r>
          </w:p>
        </w:tc>
        <w:tc>
          <w:tcPr>
            <w:tcW w:w="4819" w:type="dxa"/>
          </w:tcPr>
          <w:p w14:paraId="4835EBE0" w14:textId="68EE4468" w:rsidR="00F4284C" w:rsidRPr="00154588" w:rsidRDefault="00F4284C" w:rsidP="008C12B4">
            <w:pPr>
              <w:jc w:val="both"/>
              <w:rPr>
                <w:bCs/>
                <w:sz w:val="20"/>
                <w:szCs w:val="20"/>
              </w:rPr>
            </w:pPr>
            <w:r w:rsidRPr="00154588">
              <w:rPr>
                <w:bCs/>
                <w:sz w:val="20"/>
                <w:szCs w:val="20"/>
              </w:rPr>
              <w:lastRenderedPageBreak/>
              <w:t xml:space="preserve">(3) Cerința prevăzută la alineatul (1) nu se aplică entităților destinate lichidării sau filialelor unei entități de rezoluție sau ale unei entități dintr-o țară terță care nu sunt ele însele entități de rezoluție. </w:t>
            </w:r>
          </w:p>
          <w:p w14:paraId="57A6D933" w14:textId="77777777" w:rsidR="00F4284C" w:rsidRPr="00154588" w:rsidRDefault="00F4284C" w:rsidP="008C12B4">
            <w:pPr>
              <w:jc w:val="both"/>
              <w:rPr>
                <w:bCs/>
                <w:sz w:val="20"/>
                <w:szCs w:val="20"/>
              </w:rPr>
            </w:pPr>
          </w:p>
          <w:p w14:paraId="36E757CA" w14:textId="3B0370E7" w:rsidR="00F4284C" w:rsidRPr="00154588" w:rsidRDefault="00F4284C" w:rsidP="008C12B4">
            <w:pPr>
              <w:jc w:val="both"/>
              <w:rPr>
                <w:bCs/>
                <w:sz w:val="20"/>
                <w:szCs w:val="20"/>
              </w:rPr>
            </w:pPr>
            <w:r w:rsidRPr="00154588">
              <w:rPr>
                <w:bCs/>
                <w:sz w:val="20"/>
                <w:szCs w:val="20"/>
              </w:rPr>
              <w:lastRenderedPageBreak/>
              <w:t xml:space="preserve">(4) Instrumentele sau datoriile entităților menționate la alin.(3) care îndeplinesc condițiile menționate la prezentul alin.(1) și care nu includ clauza contractuală menționată la alineatul respectiv nu sunt luate în calcul în vederea îndeplinirii cerinței menționate la art.164 alin.(1). </w:t>
            </w:r>
          </w:p>
          <w:p w14:paraId="641FA730" w14:textId="455BD7CF" w:rsidR="00F4284C" w:rsidRPr="00154588" w:rsidRDefault="00F4284C" w:rsidP="008C12B4">
            <w:pPr>
              <w:jc w:val="both"/>
              <w:rPr>
                <w:bCs/>
                <w:sz w:val="20"/>
                <w:szCs w:val="20"/>
              </w:rPr>
            </w:pPr>
            <w:r w:rsidRPr="00154588">
              <w:rPr>
                <w:bCs/>
                <w:sz w:val="20"/>
                <w:szCs w:val="20"/>
              </w:rPr>
              <w:t xml:space="preserve">(5) Prin derogare de la alin.(3), autoritatea de rezoluție poate decide că cerința prevăzută la alin.(1) se aplică următoarelor entități: </w:t>
            </w:r>
          </w:p>
          <w:p w14:paraId="2D5DCF3B" w14:textId="562FC9F9" w:rsidR="00F4284C" w:rsidRPr="00154588" w:rsidRDefault="00F4284C" w:rsidP="008C12B4">
            <w:pPr>
              <w:jc w:val="both"/>
              <w:rPr>
                <w:bCs/>
                <w:sz w:val="20"/>
                <w:szCs w:val="20"/>
              </w:rPr>
            </w:pPr>
            <w:r w:rsidRPr="00154588">
              <w:rPr>
                <w:bCs/>
                <w:sz w:val="20"/>
                <w:szCs w:val="20"/>
              </w:rPr>
              <w:t xml:space="preserve">a) o entitate destinată lichidării pentru care autoritatea de rezoluție a stabilit cerința menționată la articolul 164 alineatul (1); </w:t>
            </w:r>
          </w:p>
          <w:p w14:paraId="56ECFA9D" w14:textId="507F84E7" w:rsidR="00F4284C" w:rsidRPr="00154588" w:rsidRDefault="00F4284C" w:rsidP="008C12B4">
            <w:pPr>
              <w:jc w:val="both"/>
              <w:rPr>
                <w:b/>
                <w:bCs/>
                <w:sz w:val="20"/>
                <w:szCs w:val="20"/>
              </w:rPr>
            </w:pPr>
            <w:r w:rsidRPr="00154588">
              <w:rPr>
                <w:bCs/>
                <w:sz w:val="20"/>
                <w:szCs w:val="20"/>
              </w:rPr>
              <w:t>b) o filială a unei entități de rezoluție sau a unei entități dintr-o țară terță care nu este ea însăși entitate de rezoluție.</w:t>
            </w:r>
          </w:p>
        </w:tc>
        <w:tc>
          <w:tcPr>
            <w:tcW w:w="2552" w:type="dxa"/>
          </w:tcPr>
          <w:p w14:paraId="5C57441B" w14:textId="72361578" w:rsidR="00F4284C" w:rsidRPr="00154588" w:rsidRDefault="00F4284C" w:rsidP="008C12B4">
            <w:pPr>
              <w:jc w:val="both"/>
              <w:rPr>
                <w:bCs/>
                <w:sz w:val="20"/>
                <w:szCs w:val="20"/>
              </w:rPr>
            </w:pPr>
            <w:r w:rsidRPr="00154588">
              <w:rPr>
                <w:bCs/>
                <w:sz w:val="20"/>
                <w:szCs w:val="20"/>
              </w:rPr>
              <w:lastRenderedPageBreak/>
              <w:t xml:space="preserve">Compatibil </w:t>
            </w:r>
          </w:p>
        </w:tc>
        <w:tc>
          <w:tcPr>
            <w:tcW w:w="3118" w:type="dxa"/>
          </w:tcPr>
          <w:p w14:paraId="1ADCAF4E" w14:textId="77777777" w:rsidR="00F4284C" w:rsidRPr="00154588" w:rsidRDefault="00F4284C" w:rsidP="008C12B4">
            <w:pPr>
              <w:jc w:val="both"/>
              <w:rPr>
                <w:bCs/>
                <w:sz w:val="20"/>
                <w:szCs w:val="20"/>
              </w:rPr>
            </w:pPr>
          </w:p>
        </w:tc>
      </w:tr>
      <w:tr w:rsidR="00F4284C" w:rsidRPr="00154588" w14:paraId="5B60A419" w14:textId="77777777" w:rsidTr="00D15C1B">
        <w:trPr>
          <w:jc w:val="center"/>
        </w:trPr>
        <w:tc>
          <w:tcPr>
            <w:tcW w:w="4957" w:type="dxa"/>
            <w:gridSpan w:val="2"/>
          </w:tcPr>
          <w:p w14:paraId="4386BC16" w14:textId="2F043EBE" w:rsidR="00F4284C" w:rsidRPr="00154588" w:rsidRDefault="00F4284C" w:rsidP="008C12B4">
            <w:pPr>
              <w:jc w:val="both"/>
              <w:rPr>
                <w:bCs/>
                <w:sz w:val="20"/>
                <w:szCs w:val="20"/>
              </w:rPr>
            </w:pPr>
            <w:r w:rsidRPr="00154588">
              <w:rPr>
                <w:bCs/>
                <w:sz w:val="20"/>
                <w:szCs w:val="20"/>
              </w:rPr>
              <w:t>(2)   Statele membre se asigură că, în cazul în care o instituție sau o entitate menționată la articolul 1 alineatul (1) litera (b), (c) sau (d) constată că este imposibil, din punct de vedere juridic sau din motive de altă natură, să se includă în dispozițiile contractuale aplicabile unei datorii relevante o clauză prevăzută în temeiul alineatului (1) de la prezentul articol, cerința de a include clauza respectivă nu se aplică.</w:t>
            </w:r>
            <w:r w:rsidRPr="00154588" w:rsidDel="007D0325">
              <w:rPr>
                <w:bCs/>
                <w:sz w:val="20"/>
                <w:szCs w:val="20"/>
              </w:rPr>
              <w:t xml:space="preserve"> </w:t>
            </w:r>
          </w:p>
          <w:p w14:paraId="26E46173" w14:textId="77777777" w:rsidR="00F4284C" w:rsidRPr="00154588" w:rsidRDefault="00F4284C" w:rsidP="008C12B4">
            <w:pPr>
              <w:jc w:val="both"/>
              <w:rPr>
                <w:bCs/>
                <w:sz w:val="20"/>
                <w:szCs w:val="20"/>
              </w:rPr>
            </w:pPr>
          </w:p>
          <w:p w14:paraId="598918FA" w14:textId="77777777" w:rsidR="00F4284C" w:rsidRPr="00154588" w:rsidRDefault="00F4284C" w:rsidP="008C12B4">
            <w:pPr>
              <w:jc w:val="both"/>
              <w:rPr>
                <w:bCs/>
                <w:sz w:val="20"/>
                <w:szCs w:val="20"/>
              </w:rPr>
            </w:pPr>
            <w:r w:rsidRPr="00154588">
              <w:rPr>
                <w:bCs/>
                <w:sz w:val="20"/>
                <w:szCs w:val="20"/>
              </w:rPr>
              <w:t xml:space="preserve">În cazul în care, într-o categorie de datorii care include datorii eligibile, cuantumul datoriilor care nu includ clauza contractuală prevăzută în temeiul alineatului (1) de la prezentul articol se ridică la peste 10 % din categoria respectivă, instituția sau entitatea menționată la articolul 1 alineatul (1) litera (b), (c) sau (d) notifică acest lucru autorității de rezoluție. Instituția sau entitatea respectivă include în notificarea menționată desemnarea categoriei de datorii care, în temeiul primului paragraf de la prezentul alineat, nu includ clauza contractuală respectivă, precum și justificarea aferentă. Instituția sau entitatea respectivă transmite, de asemenea, autorității de rezoluție toate informațiile pe care autoritatea de rezoluție le solicită, într-un interval de timp rezonabil de la primirea notificării. </w:t>
            </w:r>
          </w:p>
          <w:p w14:paraId="7FE3A527" w14:textId="4BFB3AA0" w:rsidR="00F4284C" w:rsidRPr="00154588" w:rsidRDefault="00F4284C" w:rsidP="008C12B4">
            <w:pPr>
              <w:jc w:val="both"/>
              <w:rPr>
                <w:bCs/>
                <w:sz w:val="20"/>
                <w:szCs w:val="20"/>
              </w:rPr>
            </w:pPr>
            <w:r w:rsidRPr="00154588">
              <w:rPr>
                <w:bCs/>
                <w:sz w:val="20"/>
                <w:szCs w:val="20"/>
              </w:rPr>
              <w:t xml:space="preserve">Autoritatea de rezoluție evaluează impactul informațiilor respective asupra posibilității de soluționare a instituției sau a entității respective, </w:t>
            </w:r>
            <w:r w:rsidRPr="00154588">
              <w:rPr>
                <w:bCs/>
                <w:sz w:val="20"/>
                <w:szCs w:val="20"/>
              </w:rPr>
              <w:lastRenderedPageBreak/>
              <w:t>inclusiv impactul asupra posibilității de soluționare care rezultă din riscul de încălcare a mecanismelor de siguranță pentru creditori prevăzute la articolul 73 atunci când se aplică competențele de reducere a valorii contabile și de conversie a datoriilor eligibile.</w:t>
            </w:r>
          </w:p>
          <w:p w14:paraId="537CC8A7" w14:textId="77777777" w:rsidR="00F4284C" w:rsidRPr="00154588" w:rsidRDefault="00F4284C" w:rsidP="008C12B4">
            <w:pPr>
              <w:jc w:val="both"/>
              <w:rPr>
                <w:bCs/>
                <w:sz w:val="20"/>
                <w:szCs w:val="20"/>
              </w:rPr>
            </w:pPr>
          </w:p>
          <w:p w14:paraId="7DD77CF8" w14:textId="77777777" w:rsidR="00F4284C" w:rsidRPr="00154588" w:rsidRDefault="00F4284C" w:rsidP="008C12B4">
            <w:pPr>
              <w:jc w:val="both"/>
              <w:rPr>
                <w:bCs/>
                <w:sz w:val="20"/>
                <w:szCs w:val="20"/>
              </w:rPr>
            </w:pPr>
          </w:p>
          <w:p w14:paraId="206A58EF" w14:textId="77777777" w:rsidR="00F4284C" w:rsidRPr="00154588" w:rsidRDefault="00F4284C" w:rsidP="008C12B4">
            <w:pPr>
              <w:jc w:val="both"/>
              <w:rPr>
                <w:bCs/>
                <w:sz w:val="20"/>
                <w:szCs w:val="20"/>
              </w:rPr>
            </w:pPr>
          </w:p>
          <w:p w14:paraId="42372223" w14:textId="77777777" w:rsidR="00F4284C" w:rsidRPr="00154588" w:rsidRDefault="00F4284C" w:rsidP="008C12B4">
            <w:pPr>
              <w:jc w:val="both"/>
              <w:rPr>
                <w:bCs/>
                <w:sz w:val="20"/>
                <w:szCs w:val="20"/>
              </w:rPr>
            </w:pPr>
          </w:p>
          <w:p w14:paraId="6DE96021" w14:textId="77777777" w:rsidR="00F4284C" w:rsidRPr="00154588" w:rsidRDefault="00F4284C" w:rsidP="008C12B4">
            <w:pPr>
              <w:jc w:val="both"/>
              <w:rPr>
                <w:bCs/>
                <w:sz w:val="20"/>
                <w:szCs w:val="20"/>
              </w:rPr>
            </w:pPr>
          </w:p>
          <w:p w14:paraId="5C8E5831" w14:textId="5886946D" w:rsidR="00F4284C" w:rsidRPr="00154588" w:rsidRDefault="00F4284C" w:rsidP="008C12B4">
            <w:pPr>
              <w:jc w:val="both"/>
              <w:rPr>
                <w:bCs/>
                <w:sz w:val="20"/>
                <w:szCs w:val="20"/>
              </w:rPr>
            </w:pPr>
            <w:r w:rsidRPr="00154588">
              <w:rPr>
                <w:bCs/>
                <w:sz w:val="20"/>
                <w:szCs w:val="20"/>
              </w:rPr>
              <w:t xml:space="preserve">În cazul în care concluzionează că nu este imposibil, din punct de vedere juridic sau din motive de altă natură, să se includă în dispozițiile contractuale o clauză prevăzută la alineatul (1), ținând seama de necesitatea de a asigura posibilitatea de soluționare a instituției sau a entității, autoritatea de rezoluție poate solicita, într-un interval de timp rezonabil includerea unei astfel de clauze contractuale. </w:t>
            </w:r>
          </w:p>
          <w:p w14:paraId="3938FCCD" w14:textId="77777777" w:rsidR="00F4284C" w:rsidRPr="00154588" w:rsidRDefault="00F4284C" w:rsidP="008C12B4">
            <w:pPr>
              <w:jc w:val="both"/>
              <w:rPr>
                <w:bCs/>
                <w:sz w:val="20"/>
                <w:szCs w:val="20"/>
              </w:rPr>
            </w:pPr>
          </w:p>
          <w:p w14:paraId="6B16DF17" w14:textId="77777777" w:rsidR="00F4284C" w:rsidRPr="00154588" w:rsidRDefault="00F4284C" w:rsidP="008C12B4">
            <w:pPr>
              <w:jc w:val="both"/>
              <w:rPr>
                <w:bCs/>
                <w:sz w:val="20"/>
                <w:szCs w:val="20"/>
              </w:rPr>
            </w:pPr>
          </w:p>
          <w:p w14:paraId="6DF37D2F" w14:textId="77777777" w:rsidR="00F4284C" w:rsidRPr="00154588" w:rsidRDefault="00F4284C" w:rsidP="008C12B4">
            <w:pPr>
              <w:jc w:val="both"/>
              <w:rPr>
                <w:bCs/>
                <w:sz w:val="20"/>
                <w:szCs w:val="20"/>
              </w:rPr>
            </w:pPr>
          </w:p>
          <w:p w14:paraId="5CD5B858" w14:textId="77777777" w:rsidR="00F4284C" w:rsidRPr="00154588" w:rsidRDefault="00F4284C" w:rsidP="008C12B4">
            <w:pPr>
              <w:jc w:val="both"/>
              <w:rPr>
                <w:bCs/>
                <w:sz w:val="20"/>
                <w:szCs w:val="20"/>
              </w:rPr>
            </w:pPr>
          </w:p>
          <w:p w14:paraId="7469F4B5" w14:textId="77777777" w:rsidR="00F4284C" w:rsidRPr="00154588" w:rsidRDefault="00F4284C" w:rsidP="008C12B4">
            <w:pPr>
              <w:jc w:val="both"/>
              <w:rPr>
                <w:bCs/>
                <w:sz w:val="20"/>
                <w:szCs w:val="20"/>
              </w:rPr>
            </w:pPr>
          </w:p>
          <w:p w14:paraId="49891F00" w14:textId="621C5807" w:rsidR="00F4284C" w:rsidRPr="00154588" w:rsidRDefault="00F4284C" w:rsidP="008C12B4">
            <w:pPr>
              <w:jc w:val="both"/>
              <w:rPr>
                <w:bCs/>
                <w:sz w:val="20"/>
                <w:szCs w:val="20"/>
              </w:rPr>
            </w:pPr>
            <w:r w:rsidRPr="00154588">
              <w:rPr>
                <w:bCs/>
                <w:sz w:val="20"/>
                <w:szCs w:val="20"/>
              </w:rPr>
              <w:t>Autoritatea de rezoluție poate, de asemenea, să solicite instituției sau entității să își modifice practicile privind aplicarea derogării de la recunoașterea contractuală a recapitalizării interne.</w:t>
            </w:r>
          </w:p>
          <w:p w14:paraId="2C771FFD" w14:textId="77777777" w:rsidR="00F4284C" w:rsidRPr="00154588" w:rsidRDefault="00F4284C" w:rsidP="008C12B4">
            <w:pPr>
              <w:jc w:val="both"/>
              <w:rPr>
                <w:bCs/>
                <w:sz w:val="20"/>
                <w:szCs w:val="20"/>
              </w:rPr>
            </w:pPr>
          </w:p>
          <w:p w14:paraId="75256803" w14:textId="77777777" w:rsidR="00F4284C" w:rsidRPr="00154588" w:rsidRDefault="00F4284C" w:rsidP="008C12B4">
            <w:pPr>
              <w:jc w:val="both"/>
              <w:rPr>
                <w:bCs/>
                <w:sz w:val="20"/>
                <w:szCs w:val="20"/>
              </w:rPr>
            </w:pPr>
            <w:r w:rsidRPr="00154588">
              <w:rPr>
                <w:bCs/>
                <w:sz w:val="20"/>
                <w:szCs w:val="20"/>
              </w:rPr>
              <w:t xml:space="preserve">Datoriile menționate la primul paragraf de la prezentul alineat nu includ instrumentele de fonduri proprii de nivel 1 suplimentar, instrumentele de fonduri proprii de nivel 2 și instrumentele de datorie menționate la articolul 2 alineatul (1) punctul 48 subpunctul (ii), în cazul în care respectivele instrumente sunt negarantate. </w:t>
            </w:r>
          </w:p>
          <w:p w14:paraId="292CFE5D" w14:textId="77777777" w:rsidR="00F4284C" w:rsidRPr="00154588" w:rsidRDefault="00F4284C" w:rsidP="008C12B4">
            <w:pPr>
              <w:jc w:val="both"/>
              <w:rPr>
                <w:bCs/>
                <w:sz w:val="20"/>
                <w:szCs w:val="20"/>
              </w:rPr>
            </w:pPr>
          </w:p>
          <w:p w14:paraId="7112F058" w14:textId="12F34B79" w:rsidR="00F4284C" w:rsidRPr="00154588" w:rsidRDefault="00F4284C" w:rsidP="008C12B4">
            <w:pPr>
              <w:jc w:val="both"/>
              <w:rPr>
                <w:bCs/>
                <w:sz w:val="20"/>
                <w:szCs w:val="20"/>
              </w:rPr>
            </w:pPr>
            <w:r w:rsidRPr="00154588">
              <w:rPr>
                <w:bCs/>
                <w:sz w:val="20"/>
                <w:szCs w:val="20"/>
              </w:rPr>
              <w:t>În plus, datoriile menționate la primul paragraf de la prezentul alineat sunt de rang superior în raport cu datoriile care respectă condițiile de la artcolul 108 alineatul (2).</w:t>
            </w:r>
          </w:p>
          <w:p w14:paraId="7E9B4C16" w14:textId="77777777" w:rsidR="00F4284C" w:rsidRPr="00154588" w:rsidRDefault="00F4284C" w:rsidP="008C12B4">
            <w:pPr>
              <w:jc w:val="both"/>
              <w:rPr>
                <w:bCs/>
                <w:sz w:val="20"/>
                <w:szCs w:val="20"/>
              </w:rPr>
            </w:pPr>
          </w:p>
          <w:p w14:paraId="67922B90" w14:textId="18D13574" w:rsidR="00F4284C" w:rsidRPr="00154588" w:rsidRDefault="00F4284C" w:rsidP="008C12B4">
            <w:pPr>
              <w:jc w:val="both"/>
              <w:rPr>
                <w:bCs/>
                <w:sz w:val="20"/>
                <w:szCs w:val="20"/>
              </w:rPr>
            </w:pPr>
            <w:r w:rsidRPr="00154588">
              <w:rPr>
                <w:bCs/>
                <w:sz w:val="20"/>
                <w:szCs w:val="20"/>
              </w:rPr>
              <w:t xml:space="preserve">În cazul în care concluzionează că datoriile care nu includ clauza contractuală prevăzută în temeiul alineatului (1) de la prezentul articol creează un obstacol semnificativ în calea posibilității de </w:t>
            </w:r>
            <w:r w:rsidRPr="00154588">
              <w:rPr>
                <w:bCs/>
                <w:sz w:val="20"/>
                <w:szCs w:val="20"/>
              </w:rPr>
              <w:lastRenderedPageBreak/>
              <w:t>soluționare, autoritatea de rezoluție aplică competențele prevăzute la articolul 17 într-un mod adecvat pentru a elimina obstacolul respectiv din calea posibilității de soluționare.</w:t>
            </w:r>
          </w:p>
          <w:p w14:paraId="7A97F2F9" w14:textId="77777777" w:rsidR="00F4284C" w:rsidRPr="00154588" w:rsidRDefault="00F4284C" w:rsidP="008C12B4">
            <w:pPr>
              <w:jc w:val="both"/>
              <w:rPr>
                <w:bCs/>
                <w:sz w:val="20"/>
                <w:szCs w:val="20"/>
              </w:rPr>
            </w:pPr>
          </w:p>
          <w:p w14:paraId="2CD01FEA" w14:textId="7B5DF9FD" w:rsidR="00F4284C" w:rsidRPr="00154588" w:rsidRDefault="00F4284C" w:rsidP="008C12B4">
            <w:pPr>
              <w:jc w:val="both"/>
              <w:rPr>
                <w:bCs/>
                <w:sz w:val="20"/>
                <w:szCs w:val="20"/>
              </w:rPr>
            </w:pPr>
            <w:r w:rsidRPr="00154588">
              <w:rPr>
                <w:bCs/>
                <w:sz w:val="20"/>
                <w:szCs w:val="20"/>
              </w:rPr>
              <w:t>Datoriile pentru care instituția sau entitatea menționată la articolul 1 alineatul (1) litera (b), (c) sau (d) nu include în dispozițiile contractuale clauza prevăzută în temeiul  alineatului (1) de la prezentul articol sau pentru care, în conformitate cu prezentul alineat, respectiva prevedere nu se aplică, nu sunt luate în calcul pentru cerința minimă de fonduri proprii și datorii eligibile.</w:t>
            </w:r>
          </w:p>
        </w:tc>
        <w:tc>
          <w:tcPr>
            <w:tcW w:w="4819" w:type="dxa"/>
          </w:tcPr>
          <w:p w14:paraId="71767D82" w14:textId="33E62428" w:rsidR="00F4284C" w:rsidRPr="00154588" w:rsidRDefault="00F4284C" w:rsidP="008C12B4">
            <w:pPr>
              <w:jc w:val="both"/>
              <w:rPr>
                <w:bCs/>
                <w:sz w:val="20"/>
                <w:szCs w:val="20"/>
              </w:rPr>
            </w:pPr>
            <w:r w:rsidRPr="00154588">
              <w:rPr>
                <w:b/>
                <w:bCs/>
                <w:sz w:val="20"/>
                <w:szCs w:val="20"/>
              </w:rPr>
              <w:lastRenderedPageBreak/>
              <w:t>Articolul 211</w:t>
            </w:r>
            <w:r w:rsidRPr="00154588">
              <w:rPr>
                <w:b/>
                <w:bCs/>
                <w:sz w:val="20"/>
                <w:szCs w:val="20"/>
                <w:vertAlign w:val="superscript"/>
              </w:rPr>
              <w:t>1</w:t>
            </w:r>
            <w:r w:rsidRPr="00154588">
              <w:rPr>
                <w:b/>
                <w:bCs/>
                <w:sz w:val="20"/>
                <w:szCs w:val="20"/>
              </w:rPr>
              <w:t>.</w:t>
            </w:r>
            <w:r w:rsidRPr="00154588">
              <w:rPr>
                <w:bCs/>
                <w:sz w:val="20"/>
                <w:szCs w:val="20"/>
              </w:rPr>
              <w:t xml:space="preserve"> – (1) În cazul în care o  instituție de credit sau o entitate prevăzută la art. 1 alin. (1) lit. b), c) sau d) constată că, din punct de vedere juridic sau din motive de altă natură,, este imposibil să se includă în dispoziţiile contractuale aplicabile unei datorii relevante, o clauză prevăzută în temeiul alineatului (1) de la prezentul articol, cerința de a include clauza respectivă nu se aplică.</w:t>
            </w:r>
            <w:r w:rsidRPr="00154588" w:rsidDel="007D0325">
              <w:rPr>
                <w:bCs/>
                <w:sz w:val="20"/>
                <w:szCs w:val="20"/>
              </w:rPr>
              <w:t xml:space="preserve"> </w:t>
            </w:r>
            <w:r w:rsidRPr="00154588">
              <w:rPr>
                <w:bCs/>
                <w:sz w:val="20"/>
                <w:szCs w:val="20"/>
              </w:rPr>
              <w:t xml:space="preserve">În cazul în care, într-o categorie de datorii care include datorii eligibile, cuantumul datoriilor care nu includ clauza contractuală prevăzută în temeiul art. 210 alin.(1) se ridică la peste 10 % din categoria respectivă, instituția de credit sau entitatea menționată la art.1 alin.(1) lit.b), c) sau d) notifică acest lucru Băncii Naționale a Moldovei în calitate de autoritate de rezoluție.  (2) Instituția de credit sau entitatea respectivă include în notificarea menționată desemnarea categoriei de datorii care, în temeiul alin.(1), nu includ clauza contractuală respectivă, precum și justificarea aferentă. Instituția de credit sau entitatea respectivă transmite, de asemenea, autorității de rezoluție toate informațiile pe care autoritatea de rezoluție le solicită, într-un interval de timp rezonabil de la primirea notificării. </w:t>
            </w:r>
          </w:p>
          <w:p w14:paraId="7D1E6854" w14:textId="49CA0CB2" w:rsidR="00F4284C" w:rsidRPr="00154588" w:rsidRDefault="00F4284C" w:rsidP="008C12B4">
            <w:pPr>
              <w:jc w:val="both"/>
              <w:rPr>
                <w:bCs/>
                <w:sz w:val="20"/>
                <w:szCs w:val="20"/>
              </w:rPr>
            </w:pPr>
            <w:r w:rsidRPr="00154588">
              <w:rPr>
                <w:bCs/>
                <w:sz w:val="20"/>
                <w:szCs w:val="20"/>
              </w:rPr>
              <w:t>(3) În cazul unei notificări conform alin.(</w:t>
            </w:r>
            <w:r w:rsidR="00A06475" w:rsidRPr="00154588">
              <w:rPr>
                <w:bCs/>
                <w:sz w:val="20"/>
                <w:szCs w:val="20"/>
              </w:rPr>
              <w:t>2</w:t>
            </w:r>
            <w:r w:rsidRPr="00154588">
              <w:rPr>
                <w:bCs/>
                <w:sz w:val="20"/>
                <w:szCs w:val="20"/>
              </w:rPr>
              <w:t>)</w:t>
            </w:r>
            <w:r w:rsidR="00A06475" w:rsidRPr="00154588">
              <w:rPr>
                <w:bCs/>
                <w:sz w:val="20"/>
                <w:szCs w:val="20"/>
              </w:rPr>
              <w:t>, Banca Naţională a Moldovei, în calitate de autoritate de rezoluţie,</w:t>
            </w:r>
            <w:r w:rsidRPr="00154588">
              <w:rPr>
                <w:bCs/>
                <w:sz w:val="20"/>
                <w:szCs w:val="20"/>
              </w:rPr>
              <w:t xml:space="preserve"> </w:t>
            </w:r>
            <w:r w:rsidR="00A06475" w:rsidRPr="00154588">
              <w:rPr>
                <w:bCs/>
                <w:sz w:val="20"/>
                <w:szCs w:val="20"/>
              </w:rPr>
              <w:t xml:space="preserve">evaluează impactul informațiilor respective asupra posibilității de soluționare a instituției de </w:t>
            </w:r>
            <w:r w:rsidR="00A06475" w:rsidRPr="00154588">
              <w:rPr>
                <w:bCs/>
                <w:sz w:val="20"/>
                <w:szCs w:val="20"/>
              </w:rPr>
              <w:lastRenderedPageBreak/>
              <w:t>credit sau a entității respective, inclusiv impactul asupra posibilității de soluționare care rezultă din riscul de încălcare a mecanismelor de siguranță pentru creditori prevăzute la art.262 atunci când se aplică competențele de reducere a valorii contabile și de conversie a datoriilor eligibile.</w:t>
            </w:r>
            <w:r w:rsidR="00A06475" w:rsidRPr="00154588" w:rsidDel="00850DDB">
              <w:rPr>
                <w:bCs/>
                <w:sz w:val="20"/>
                <w:szCs w:val="20"/>
              </w:rPr>
              <w:t xml:space="preserve"> </w:t>
            </w:r>
            <w:r w:rsidRPr="00154588">
              <w:rPr>
                <w:bCs/>
                <w:sz w:val="20"/>
                <w:szCs w:val="20"/>
              </w:rPr>
              <w:t>(4) Atunci când constată că nu este imposibilă, din punct de vedere juridic sau din motive de altă natură, includerea în prevederile contractuale a clauzei prevăzute la art.210, Banca Naţională a Moldovei, în calitate de autoritate de rezoluţie, poate solicita instituției de credit sau entității în cauză, într-un termen rezonabil de la efectuarea notificării prevăzute la alin.(1) din prezentul articol, să includă o astfel de clauză contractuală, ţinând cont de necesitatea asigurării că instituția de credit și entitatea în cauză poate fi soluţionată.</w:t>
            </w:r>
          </w:p>
          <w:p w14:paraId="129556A1" w14:textId="1A1AF794" w:rsidR="00F4284C" w:rsidRPr="00154588" w:rsidRDefault="00F4284C" w:rsidP="008C12B4">
            <w:pPr>
              <w:jc w:val="both"/>
              <w:rPr>
                <w:bCs/>
                <w:sz w:val="20"/>
                <w:szCs w:val="20"/>
              </w:rPr>
            </w:pPr>
            <w:r w:rsidRPr="00154588">
              <w:rPr>
                <w:bCs/>
                <w:sz w:val="20"/>
                <w:szCs w:val="20"/>
              </w:rPr>
              <w:t>(5) Banca Naţională a Moldovei, în calitate de autoritate de rezoluţie, poate solicita  instituției de credit sau entității în cauză să îşi modifice practicile privind aplicarea exceptării de la recunoaşterea contractuală a competenţei de reducere a valorii sau de conversie.</w:t>
            </w:r>
          </w:p>
          <w:p w14:paraId="06291890" w14:textId="77777777" w:rsidR="00F4284C" w:rsidRPr="00154588" w:rsidRDefault="00F4284C" w:rsidP="008C12B4">
            <w:pPr>
              <w:jc w:val="both"/>
              <w:rPr>
                <w:bCs/>
                <w:sz w:val="20"/>
                <w:szCs w:val="20"/>
              </w:rPr>
            </w:pPr>
            <w:r w:rsidRPr="00154588">
              <w:rPr>
                <w:bCs/>
                <w:sz w:val="20"/>
                <w:szCs w:val="20"/>
              </w:rPr>
              <w:t>(5</w:t>
            </w:r>
            <w:r w:rsidRPr="00154588">
              <w:rPr>
                <w:bCs/>
                <w:sz w:val="20"/>
                <w:szCs w:val="20"/>
                <w:vertAlign w:val="superscript"/>
              </w:rPr>
              <w:t>1</w:t>
            </w:r>
            <w:r w:rsidRPr="00154588">
              <w:rPr>
                <w:bCs/>
                <w:sz w:val="20"/>
                <w:szCs w:val="20"/>
              </w:rPr>
              <w:t>) Datoriile prevăzute la art. 210 nu includ instrumentele de fonduri proprii de nivel 1 suplimentar, instrumentele de fonduri proprii de nivel 2 și instrumentele de datorie definite la art. 1 alin.(2) pct. 31 din prezenta lege, în cazul în care respectivele instrumente sunt negarantate.</w:t>
            </w:r>
          </w:p>
          <w:p w14:paraId="0D1A318E" w14:textId="77777777" w:rsidR="00F4284C" w:rsidRPr="00154588" w:rsidRDefault="00F4284C" w:rsidP="008C12B4">
            <w:pPr>
              <w:jc w:val="both"/>
              <w:rPr>
                <w:bCs/>
                <w:sz w:val="20"/>
                <w:szCs w:val="20"/>
              </w:rPr>
            </w:pPr>
          </w:p>
          <w:p w14:paraId="58E24895" w14:textId="77777777" w:rsidR="00F4284C" w:rsidRPr="00154588" w:rsidRDefault="00F4284C" w:rsidP="008C12B4">
            <w:pPr>
              <w:jc w:val="both"/>
              <w:rPr>
                <w:bCs/>
                <w:sz w:val="20"/>
                <w:szCs w:val="20"/>
              </w:rPr>
            </w:pPr>
          </w:p>
          <w:p w14:paraId="6BF5AFF1" w14:textId="77777777" w:rsidR="00F4284C" w:rsidRPr="00154588" w:rsidRDefault="00F4284C" w:rsidP="008C12B4">
            <w:pPr>
              <w:jc w:val="both"/>
              <w:rPr>
                <w:bCs/>
                <w:sz w:val="20"/>
                <w:szCs w:val="20"/>
              </w:rPr>
            </w:pPr>
          </w:p>
          <w:p w14:paraId="30E4F3AA" w14:textId="77777777" w:rsidR="00F4284C" w:rsidRPr="00154588" w:rsidRDefault="00F4284C" w:rsidP="008C12B4">
            <w:pPr>
              <w:jc w:val="both"/>
              <w:rPr>
                <w:bCs/>
                <w:sz w:val="20"/>
                <w:szCs w:val="20"/>
              </w:rPr>
            </w:pPr>
          </w:p>
          <w:p w14:paraId="38E5FA9A" w14:textId="77777777" w:rsidR="00F4284C" w:rsidRPr="00154588" w:rsidRDefault="00F4284C" w:rsidP="008C12B4">
            <w:pPr>
              <w:jc w:val="both"/>
              <w:rPr>
                <w:bCs/>
                <w:sz w:val="20"/>
                <w:szCs w:val="20"/>
              </w:rPr>
            </w:pPr>
          </w:p>
          <w:p w14:paraId="325FA529" w14:textId="77777777" w:rsidR="00F4284C" w:rsidRPr="00154588" w:rsidRDefault="00F4284C" w:rsidP="008C12B4">
            <w:pPr>
              <w:jc w:val="both"/>
              <w:rPr>
                <w:bCs/>
                <w:sz w:val="20"/>
                <w:szCs w:val="20"/>
              </w:rPr>
            </w:pPr>
          </w:p>
          <w:p w14:paraId="719FF705" w14:textId="738D3E6F" w:rsidR="00F4284C" w:rsidRPr="00154588" w:rsidRDefault="00F4284C" w:rsidP="008C12B4">
            <w:pPr>
              <w:jc w:val="both"/>
              <w:rPr>
                <w:bCs/>
                <w:sz w:val="20"/>
                <w:szCs w:val="20"/>
              </w:rPr>
            </w:pPr>
          </w:p>
          <w:p w14:paraId="7FD0653D" w14:textId="49E3A71F" w:rsidR="00F4284C" w:rsidRPr="00154588" w:rsidRDefault="00F4284C" w:rsidP="008C12B4">
            <w:pPr>
              <w:jc w:val="both"/>
              <w:rPr>
                <w:bCs/>
                <w:sz w:val="20"/>
                <w:szCs w:val="20"/>
              </w:rPr>
            </w:pPr>
            <w:r w:rsidRPr="00154588">
              <w:rPr>
                <w:bCs/>
                <w:sz w:val="20"/>
                <w:szCs w:val="20"/>
              </w:rPr>
              <w:t xml:space="preserve">(6) În cazul în care Banca Naţională a Moldovei, în calitate de autoritate de rezoluţie, constată, în contextul evaluării posibilităţii de soluţionare a unei instituții de credit sau entități menționate la art.1 alin.(1) lit. b), c) sau d)  că datoriile care nu includ clauza contractuală prevăzută în temeiul art.210 creează un obstacol semnificativ în calea posibilității de soluționare, aceasta aplică, în mod corespunzător, competențele prevăzute la art. 35-41 </w:t>
            </w:r>
            <w:r w:rsidRPr="00154588">
              <w:rPr>
                <w:bCs/>
                <w:sz w:val="20"/>
                <w:szCs w:val="20"/>
              </w:rPr>
              <w:lastRenderedPageBreak/>
              <w:t>pentru eliminarea acestui obstacol din calea posibilității de soluționare.</w:t>
            </w:r>
          </w:p>
          <w:p w14:paraId="17B2BED6" w14:textId="77777777" w:rsidR="00F4284C" w:rsidRPr="00154588" w:rsidRDefault="00F4284C" w:rsidP="008C12B4">
            <w:pPr>
              <w:jc w:val="both"/>
              <w:rPr>
                <w:bCs/>
                <w:sz w:val="20"/>
                <w:szCs w:val="20"/>
              </w:rPr>
            </w:pPr>
          </w:p>
          <w:p w14:paraId="0FD41F59" w14:textId="2C430DB4" w:rsidR="00F4284C" w:rsidRPr="00154588" w:rsidRDefault="00F4284C" w:rsidP="008C12B4">
            <w:pPr>
              <w:jc w:val="both"/>
              <w:rPr>
                <w:bCs/>
                <w:sz w:val="20"/>
                <w:szCs w:val="20"/>
              </w:rPr>
            </w:pPr>
          </w:p>
          <w:p w14:paraId="57C342B1" w14:textId="2371899C" w:rsidR="00F4284C" w:rsidRPr="00154588" w:rsidRDefault="00F4284C" w:rsidP="008C12B4">
            <w:pPr>
              <w:jc w:val="both"/>
              <w:rPr>
                <w:bCs/>
                <w:sz w:val="20"/>
                <w:szCs w:val="20"/>
              </w:rPr>
            </w:pPr>
            <w:r w:rsidRPr="00154588">
              <w:rPr>
                <w:bCs/>
                <w:sz w:val="20"/>
                <w:szCs w:val="20"/>
              </w:rPr>
              <w:t>(7) Datoriile pentru care  instituția de credit sau entitatea menționate la art.1 alin.(1) lit. b), c) sau d)  nu include în dispoziţiile contractuale clauza prevăzută la art.210 sau pentru care, în conformitate cu prezentul alineat, respectiva prevedere nu se aplică nu sunt luate în calcul pentru cerinţa minimă de fonduri proprii şi datorii eligibile.</w:t>
            </w:r>
          </w:p>
          <w:p w14:paraId="0C3E564E" w14:textId="77777777" w:rsidR="00F4284C" w:rsidRPr="00154588" w:rsidRDefault="00F4284C" w:rsidP="008C12B4">
            <w:pPr>
              <w:jc w:val="both"/>
              <w:rPr>
                <w:bCs/>
                <w:sz w:val="20"/>
                <w:szCs w:val="20"/>
              </w:rPr>
            </w:pPr>
          </w:p>
        </w:tc>
        <w:tc>
          <w:tcPr>
            <w:tcW w:w="2552" w:type="dxa"/>
          </w:tcPr>
          <w:p w14:paraId="5F65AC02" w14:textId="4F78E736"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24CBBD39" w14:textId="77777777" w:rsidR="00F4284C" w:rsidRPr="00154588" w:rsidRDefault="00F4284C" w:rsidP="008C12B4">
            <w:pPr>
              <w:jc w:val="both"/>
              <w:rPr>
                <w:bCs/>
                <w:sz w:val="20"/>
                <w:szCs w:val="20"/>
              </w:rPr>
            </w:pPr>
          </w:p>
          <w:p w14:paraId="6CC74D7E" w14:textId="77777777" w:rsidR="00F4284C" w:rsidRPr="00154588" w:rsidRDefault="00F4284C" w:rsidP="008C12B4">
            <w:pPr>
              <w:jc w:val="both"/>
              <w:rPr>
                <w:bCs/>
                <w:sz w:val="20"/>
                <w:szCs w:val="20"/>
              </w:rPr>
            </w:pPr>
          </w:p>
          <w:p w14:paraId="2BCD10AE" w14:textId="77777777" w:rsidR="00F4284C" w:rsidRPr="00154588" w:rsidRDefault="00F4284C" w:rsidP="008C12B4">
            <w:pPr>
              <w:jc w:val="both"/>
              <w:rPr>
                <w:bCs/>
                <w:sz w:val="20"/>
                <w:szCs w:val="20"/>
              </w:rPr>
            </w:pPr>
          </w:p>
          <w:p w14:paraId="782F8D85" w14:textId="77777777" w:rsidR="00F4284C" w:rsidRPr="00154588" w:rsidRDefault="00F4284C" w:rsidP="008C12B4">
            <w:pPr>
              <w:jc w:val="both"/>
              <w:rPr>
                <w:bCs/>
                <w:sz w:val="20"/>
                <w:szCs w:val="20"/>
              </w:rPr>
            </w:pPr>
          </w:p>
          <w:p w14:paraId="0569A49A" w14:textId="77777777" w:rsidR="00F4284C" w:rsidRPr="00154588" w:rsidRDefault="00F4284C" w:rsidP="008C12B4">
            <w:pPr>
              <w:jc w:val="both"/>
              <w:rPr>
                <w:bCs/>
                <w:sz w:val="20"/>
                <w:szCs w:val="20"/>
              </w:rPr>
            </w:pPr>
          </w:p>
          <w:p w14:paraId="5F83FD3A" w14:textId="77777777" w:rsidR="00F4284C" w:rsidRPr="00154588" w:rsidRDefault="00F4284C" w:rsidP="008C12B4">
            <w:pPr>
              <w:jc w:val="both"/>
              <w:rPr>
                <w:bCs/>
                <w:sz w:val="20"/>
                <w:szCs w:val="20"/>
              </w:rPr>
            </w:pPr>
          </w:p>
          <w:p w14:paraId="58371FD3" w14:textId="77777777" w:rsidR="00F4284C" w:rsidRPr="00154588" w:rsidRDefault="00F4284C" w:rsidP="008C12B4">
            <w:pPr>
              <w:jc w:val="both"/>
              <w:rPr>
                <w:bCs/>
                <w:sz w:val="20"/>
                <w:szCs w:val="20"/>
              </w:rPr>
            </w:pPr>
          </w:p>
          <w:p w14:paraId="2AC2FCA1" w14:textId="77777777" w:rsidR="00F4284C" w:rsidRPr="00154588" w:rsidRDefault="00F4284C" w:rsidP="008C12B4">
            <w:pPr>
              <w:jc w:val="both"/>
              <w:rPr>
                <w:bCs/>
                <w:sz w:val="20"/>
                <w:szCs w:val="20"/>
              </w:rPr>
            </w:pPr>
          </w:p>
          <w:p w14:paraId="7AEB6E2F" w14:textId="77777777" w:rsidR="00F4284C" w:rsidRPr="00154588" w:rsidRDefault="00F4284C" w:rsidP="008C12B4">
            <w:pPr>
              <w:jc w:val="both"/>
              <w:rPr>
                <w:bCs/>
                <w:sz w:val="20"/>
                <w:szCs w:val="20"/>
              </w:rPr>
            </w:pPr>
          </w:p>
          <w:p w14:paraId="4D33D371" w14:textId="77777777" w:rsidR="00F4284C" w:rsidRPr="00154588" w:rsidRDefault="00F4284C" w:rsidP="008C12B4">
            <w:pPr>
              <w:jc w:val="both"/>
              <w:rPr>
                <w:bCs/>
                <w:sz w:val="20"/>
                <w:szCs w:val="20"/>
              </w:rPr>
            </w:pPr>
          </w:p>
          <w:p w14:paraId="3058D648" w14:textId="77777777" w:rsidR="00F4284C" w:rsidRPr="00154588" w:rsidRDefault="00F4284C" w:rsidP="008C12B4">
            <w:pPr>
              <w:jc w:val="both"/>
              <w:rPr>
                <w:bCs/>
                <w:sz w:val="20"/>
                <w:szCs w:val="20"/>
              </w:rPr>
            </w:pPr>
          </w:p>
          <w:p w14:paraId="2AF5A298" w14:textId="77777777" w:rsidR="00F4284C" w:rsidRPr="00154588" w:rsidRDefault="00F4284C" w:rsidP="008C12B4">
            <w:pPr>
              <w:jc w:val="both"/>
              <w:rPr>
                <w:bCs/>
                <w:sz w:val="20"/>
                <w:szCs w:val="20"/>
              </w:rPr>
            </w:pPr>
          </w:p>
          <w:p w14:paraId="30D2F1D7" w14:textId="77777777" w:rsidR="00F4284C" w:rsidRPr="00154588" w:rsidRDefault="00F4284C" w:rsidP="008C12B4">
            <w:pPr>
              <w:jc w:val="both"/>
              <w:rPr>
                <w:bCs/>
                <w:sz w:val="20"/>
                <w:szCs w:val="20"/>
              </w:rPr>
            </w:pPr>
          </w:p>
          <w:p w14:paraId="09F06F1E" w14:textId="77777777" w:rsidR="00F4284C" w:rsidRPr="00154588" w:rsidRDefault="00F4284C" w:rsidP="008C12B4">
            <w:pPr>
              <w:jc w:val="both"/>
              <w:rPr>
                <w:bCs/>
                <w:sz w:val="20"/>
                <w:szCs w:val="20"/>
              </w:rPr>
            </w:pPr>
          </w:p>
          <w:p w14:paraId="1FB417B6" w14:textId="77777777" w:rsidR="00F4284C" w:rsidRPr="00154588" w:rsidRDefault="00F4284C" w:rsidP="008C12B4">
            <w:pPr>
              <w:jc w:val="both"/>
              <w:rPr>
                <w:bCs/>
                <w:sz w:val="20"/>
                <w:szCs w:val="20"/>
              </w:rPr>
            </w:pPr>
          </w:p>
          <w:p w14:paraId="6CD75C2B" w14:textId="77777777" w:rsidR="00F4284C" w:rsidRPr="00154588" w:rsidRDefault="00F4284C" w:rsidP="008C12B4">
            <w:pPr>
              <w:jc w:val="both"/>
              <w:rPr>
                <w:bCs/>
                <w:sz w:val="20"/>
                <w:szCs w:val="20"/>
              </w:rPr>
            </w:pPr>
          </w:p>
          <w:p w14:paraId="6AEEE604" w14:textId="77777777" w:rsidR="00F4284C" w:rsidRPr="00154588" w:rsidRDefault="00F4284C" w:rsidP="008C12B4">
            <w:pPr>
              <w:jc w:val="both"/>
              <w:rPr>
                <w:bCs/>
                <w:sz w:val="20"/>
                <w:szCs w:val="20"/>
              </w:rPr>
            </w:pPr>
          </w:p>
          <w:p w14:paraId="61DCD8FB" w14:textId="77777777" w:rsidR="00F4284C" w:rsidRPr="00154588" w:rsidRDefault="00F4284C" w:rsidP="008C12B4">
            <w:pPr>
              <w:jc w:val="both"/>
              <w:rPr>
                <w:bCs/>
                <w:sz w:val="20"/>
                <w:szCs w:val="20"/>
              </w:rPr>
            </w:pPr>
          </w:p>
          <w:p w14:paraId="09346DF1" w14:textId="77777777" w:rsidR="00F4284C" w:rsidRPr="00154588" w:rsidRDefault="00F4284C" w:rsidP="008C12B4">
            <w:pPr>
              <w:jc w:val="both"/>
              <w:rPr>
                <w:bCs/>
                <w:sz w:val="20"/>
                <w:szCs w:val="20"/>
              </w:rPr>
            </w:pPr>
          </w:p>
          <w:p w14:paraId="7EB70616" w14:textId="77777777" w:rsidR="00F4284C" w:rsidRPr="00154588" w:rsidRDefault="00F4284C" w:rsidP="008C12B4">
            <w:pPr>
              <w:jc w:val="both"/>
              <w:rPr>
                <w:bCs/>
                <w:sz w:val="20"/>
                <w:szCs w:val="20"/>
              </w:rPr>
            </w:pPr>
          </w:p>
          <w:p w14:paraId="74130EC5" w14:textId="77777777" w:rsidR="00F4284C" w:rsidRPr="00154588" w:rsidRDefault="00F4284C" w:rsidP="008C12B4">
            <w:pPr>
              <w:jc w:val="both"/>
              <w:rPr>
                <w:bCs/>
                <w:sz w:val="20"/>
                <w:szCs w:val="20"/>
              </w:rPr>
            </w:pPr>
          </w:p>
          <w:p w14:paraId="6B7676A0" w14:textId="77777777" w:rsidR="00F4284C" w:rsidRPr="00154588" w:rsidRDefault="00F4284C" w:rsidP="008C12B4">
            <w:pPr>
              <w:jc w:val="both"/>
              <w:rPr>
                <w:bCs/>
                <w:sz w:val="20"/>
                <w:szCs w:val="20"/>
              </w:rPr>
            </w:pPr>
          </w:p>
          <w:p w14:paraId="506F26BF" w14:textId="77777777" w:rsidR="00F4284C" w:rsidRPr="00154588" w:rsidRDefault="00F4284C" w:rsidP="008C12B4">
            <w:pPr>
              <w:jc w:val="both"/>
              <w:rPr>
                <w:bCs/>
                <w:sz w:val="20"/>
                <w:szCs w:val="20"/>
              </w:rPr>
            </w:pPr>
          </w:p>
          <w:p w14:paraId="32E7DCCD" w14:textId="77777777" w:rsidR="00F4284C" w:rsidRPr="00154588" w:rsidRDefault="00F4284C" w:rsidP="008C12B4">
            <w:pPr>
              <w:jc w:val="both"/>
              <w:rPr>
                <w:bCs/>
                <w:sz w:val="20"/>
                <w:szCs w:val="20"/>
              </w:rPr>
            </w:pPr>
          </w:p>
          <w:p w14:paraId="3A94FA4C" w14:textId="77777777" w:rsidR="00F4284C" w:rsidRPr="00154588" w:rsidRDefault="00F4284C" w:rsidP="008C12B4">
            <w:pPr>
              <w:jc w:val="both"/>
              <w:rPr>
                <w:bCs/>
                <w:sz w:val="20"/>
                <w:szCs w:val="20"/>
              </w:rPr>
            </w:pPr>
          </w:p>
          <w:p w14:paraId="0B42BA72" w14:textId="77777777" w:rsidR="00F4284C" w:rsidRPr="00154588" w:rsidRDefault="00F4284C" w:rsidP="008C12B4">
            <w:pPr>
              <w:jc w:val="both"/>
              <w:rPr>
                <w:bCs/>
                <w:sz w:val="20"/>
                <w:szCs w:val="20"/>
              </w:rPr>
            </w:pPr>
          </w:p>
          <w:p w14:paraId="44BC7678" w14:textId="77777777" w:rsidR="00F4284C" w:rsidRPr="00154588" w:rsidRDefault="00F4284C" w:rsidP="008C12B4">
            <w:pPr>
              <w:jc w:val="both"/>
              <w:rPr>
                <w:bCs/>
                <w:sz w:val="20"/>
                <w:szCs w:val="20"/>
              </w:rPr>
            </w:pPr>
          </w:p>
          <w:p w14:paraId="2B802812" w14:textId="77777777" w:rsidR="00F4284C" w:rsidRPr="00154588" w:rsidRDefault="00F4284C" w:rsidP="008C12B4">
            <w:pPr>
              <w:jc w:val="both"/>
              <w:rPr>
                <w:bCs/>
                <w:sz w:val="20"/>
                <w:szCs w:val="20"/>
              </w:rPr>
            </w:pPr>
          </w:p>
          <w:p w14:paraId="57105431" w14:textId="77777777" w:rsidR="00F4284C" w:rsidRPr="00154588" w:rsidRDefault="00F4284C" w:rsidP="008C12B4">
            <w:pPr>
              <w:jc w:val="both"/>
              <w:rPr>
                <w:bCs/>
                <w:sz w:val="20"/>
                <w:szCs w:val="20"/>
              </w:rPr>
            </w:pPr>
          </w:p>
          <w:p w14:paraId="080715B3" w14:textId="77777777" w:rsidR="00F4284C" w:rsidRPr="00154588" w:rsidRDefault="00F4284C" w:rsidP="008C12B4">
            <w:pPr>
              <w:jc w:val="both"/>
              <w:rPr>
                <w:bCs/>
                <w:sz w:val="20"/>
                <w:szCs w:val="20"/>
              </w:rPr>
            </w:pPr>
          </w:p>
          <w:p w14:paraId="0ACF01C3" w14:textId="77777777" w:rsidR="00F4284C" w:rsidRPr="00154588" w:rsidRDefault="00F4284C" w:rsidP="008C12B4">
            <w:pPr>
              <w:jc w:val="both"/>
              <w:rPr>
                <w:bCs/>
                <w:sz w:val="20"/>
                <w:szCs w:val="20"/>
              </w:rPr>
            </w:pPr>
          </w:p>
          <w:p w14:paraId="40F401DC" w14:textId="77777777" w:rsidR="00F4284C" w:rsidRPr="00154588" w:rsidRDefault="00F4284C" w:rsidP="008C12B4">
            <w:pPr>
              <w:jc w:val="both"/>
              <w:rPr>
                <w:bCs/>
                <w:sz w:val="20"/>
                <w:szCs w:val="20"/>
              </w:rPr>
            </w:pPr>
          </w:p>
          <w:p w14:paraId="27E52605" w14:textId="77777777" w:rsidR="00F4284C" w:rsidRPr="00154588" w:rsidRDefault="00F4284C" w:rsidP="008C12B4">
            <w:pPr>
              <w:jc w:val="both"/>
              <w:rPr>
                <w:bCs/>
                <w:sz w:val="20"/>
                <w:szCs w:val="20"/>
              </w:rPr>
            </w:pPr>
          </w:p>
          <w:p w14:paraId="48D4A29B" w14:textId="77777777" w:rsidR="00F4284C" w:rsidRPr="00154588" w:rsidRDefault="00F4284C" w:rsidP="008C12B4">
            <w:pPr>
              <w:jc w:val="both"/>
              <w:rPr>
                <w:bCs/>
                <w:sz w:val="20"/>
                <w:szCs w:val="20"/>
              </w:rPr>
            </w:pPr>
          </w:p>
          <w:p w14:paraId="5C28A8AA" w14:textId="77777777" w:rsidR="00F4284C" w:rsidRPr="00154588" w:rsidRDefault="00F4284C" w:rsidP="008C12B4">
            <w:pPr>
              <w:jc w:val="both"/>
              <w:rPr>
                <w:bCs/>
                <w:sz w:val="20"/>
                <w:szCs w:val="20"/>
              </w:rPr>
            </w:pPr>
          </w:p>
          <w:p w14:paraId="60784CB3" w14:textId="77777777" w:rsidR="00F4284C" w:rsidRPr="00154588" w:rsidRDefault="00F4284C" w:rsidP="008C12B4">
            <w:pPr>
              <w:jc w:val="both"/>
              <w:rPr>
                <w:bCs/>
                <w:sz w:val="20"/>
                <w:szCs w:val="20"/>
              </w:rPr>
            </w:pPr>
          </w:p>
          <w:p w14:paraId="22B45006" w14:textId="77777777" w:rsidR="00F4284C" w:rsidRPr="00154588" w:rsidRDefault="00F4284C" w:rsidP="008C12B4">
            <w:pPr>
              <w:jc w:val="both"/>
              <w:rPr>
                <w:bCs/>
                <w:sz w:val="20"/>
                <w:szCs w:val="20"/>
              </w:rPr>
            </w:pPr>
          </w:p>
          <w:p w14:paraId="057D5789" w14:textId="77777777" w:rsidR="00F4284C" w:rsidRPr="00154588" w:rsidRDefault="00F4284C" w:rsidP="008C12B4">
            <w:pPr>
              <w:jc w:val="both"/>
              <w:rPr>
                <w:bCs/>
                <w:sz w:val="20"/>
                <w:szCs w:val="20"/>
              </w:rPr>
            </w:pPr>
          </w:p>
          <w:p w14:paraId="23E2DF57" w14:textId="77777777" w:rsidR="00F4284C" w:rsidRPr="00154588" w:rsidRDefault="00F4284C" w:rsidP="008C12B4">
            <w:pPr>
              <w:jc w:val="both"/>
              <w:rPr>
                <w:bCs/>
                <w:sz w:val="20"/>
                <w:szCs w:val="20"/>
              </w:rPr>
            </w:pPr>
          </w:p>
          <w:p w14:paraId="556C1292" w14:textId="77777777" w:rsidR="00F4284C" w:rsidRPr="00154588" w:rsidRDefault="00F4284C" w:rsidP="008C12B4">
            <w:pPr>
              <w:jc w:val="both"/>
              <w:rPr>
                <w:bCs/>
                <w:sz w:val="20"/>
                <w:szCs w:val="20"/>
              </w:rPr>
            </w:pPr>
          </w:p>
          <w:p w14:paraId="6A4F5D98" w14:textId="77777777" w:rsidR="00F4284C" w:rsidRPr="00154588" w:rsidRDefault="00F4284C" w:rsidP="008C12B4">
            <w:pPr>
              <w:jc w:val="both"/>
              <w:rPr>
                <w:bCs/>
                <w:sz w:val="20"/>
                <w:szCs w:val="20"/>
              </w:rPr>
            </w:pPr>
          </w:p>
          <w:p w14:paraId="371B6DE0" w14:textId="77777777" w:rsidR="00F4284C" w:rsidRPr="00154588" w:rsidRDefault="00F4284C" w:rsidP="008C12B4">
            <w:pPr>
              <w:jc w:val="both"/>
              <w:rPr>
                <w:bCs/>
                <w:sz w:val="20"/>
                <w:szCs w:val="20"/>
              </w:rPr>
            </w:pPr>
          </w:p>
          <w:p w14:paraId="3620574B" w14:textId="77777777" w:rsidR="00F4284C" w:rsidRPr="00154588" w:rsidRDefault="00F4284C" w:rsidP="008C12B4">
            <w:pPr>
              <w:jc w:val="both"/>
              <w:rPr>
                <w:bCs/>
                <w:sz w:val="20"/>
                <w:szCs w:val="20"/>
              </w:rPr>
            </w:pPr>
          </w:p>
          <w:p w14:paraId="4E9D6A61" w14:textId="77777777" w:rsidR="00F4284C" w:rsidRPr="00154588" w:rsidRDefault="00F4284C" w:rsidP="008C12B4">
            <w:pPr>
              <w:jc w:val="both"/>
              <w:rPr>
                <w:bCs/>
                <w:sz w:val="20"/>
                <w:szCs w:val="20"/>
              </w:rPr>
            </w:pPr>
          </w:p>
          <w:p w14:paraId="0CF651C6" w14:textId="77777777" w:rsidR="00F4284C" w:rsidRPr="00154588" w:rsidRDefault="00F4284C" w:rsidP="008C12B4">
            <w:pPr>
              <w:jc w:val="both"/>
              <w:rPr>
                <w:bCs/>
                <w:sz w:val="20"/>
                <w:szCs w:val="20"/>
              </w:rPr>
            </w:pPr>
          </w:p>
          <w:p w14:paraId="3D067E56" w14:textId="77777777" w:rsidR="00F4284C" w:rsidRPr="00154588" w:rsidRDefault="00F4284C" w:rsidP="008C12B4">
            <w:pPr>
              <w:jc w:val="both"/>
              <w:rPr>
                <w:bCs/>
                <w:sz w:val="20"/>
                <w:szCs w:val="20"/>
              </w:rPr>
            </w:pPr>
          </w:p>
          <w:p w14:paraId="7D7F63D2" w14:textId="77777777" w:rsidR="00F4284C" w:rsidRPr="00154588" w:rsidRDefault="00F4284C" w:rsidP="008C12B4">
            <w:pPr>
              <w:jc w:val="both"/>
              <w:rPr>
                <w:bCs/>
                <w:sz w:val="20"/>
                <w:szCs w:val="20"/>
              </w:rPr>
            </w:pPr>
          </w:p>
          <w:p w14:paraId="07D99397" w14:textId="77777777" w:rsidR="00F4284C" w:rsidRPr="00154588" w:rsidRDefault="00F4284C" w:rsidP="008C12B4">
            <w:pPr>
              <w:jc w:val="both"/>
              <w:rPr>
                <w:bCs/>
                <w:sz w:val="20"/>
                <w:szCs w:val="20"/>
              </w:rPr>
            </w:pPr>
          </w:p>
          <w:p w14:paraId="2B3BBAA7" w14:textId="77777777" w:rsidR="00F4284C" w:rsidRPr="00154588" w:rsidRDefault="00F4284C" w:rsidP="008C12B4">
            <w:pPr>
              <w:jc w:val="both"/>
              <w:rPr>
                <w:bCs/>
                <w:sz w:val="20"/>
                <w:szCs w:val="20"/>
              </w:rPr>
            </w:pPr>
          </w:p>
          <w:p w14:paraId="6282CEA3" w14:textId="77777777" w:rsidR="00F4284C" w:rsidRPr="00154588" w:rsidRDefault="00F4284C" w:rsidP="008C12B4">
            <w:pPr>
              <w:jc w:val="both"/>
              <w:rPr>
                <w:bCs/>
                <w:sz w:val="20"/>
                <w:szCs w:val="20"/>
              </w:rPr>
            </w:pPr>
          </w:p>
          <w:p w14:paraId="1E9400C0" w14:textId="77777777" w:rsidR="00F4284C" w:rsidRPr="00154588" w:rsidRDefault="00F4284C" w:rsidP="008C12B4">
            <w:pPr>
              <w:jc w:val="both"/>
              <w:rPr>
                <w:bCs/>
                <w:sz w:val="20"/>
                <w:szCs w:val="20"/>
              </w:rPr>
            </w:pPr>
          </w:p>
          <w:p w14:paraId="6872CAAE" w14:textId="77777777" w:rsidR="00F4284C" w:rsidRPr="00154588" w:rsidRDefault="00F4284C" w:rsidP="008C12B4">
            <w:pPr>
              <w:jc w:val="both"/>
              <w:rPr>
                <w:bCs/>
                <w:sz w:val="20"/>
                <w:szCs w:val="20"/>
              </w:rPr>
            </w:pPr>
          </w:p>
          <w:p w14:paraId="376F8E37" w14:textId="77777777" w:rsidR="00F4284C" w:rsidRPr="00154588" w:rsidRDefault="00F4284C" w:rsidP="008C12B4">
            <w:pPr>
              <w:jc w:val="both"/>
              <w:rPr>
                <w:bCs/>
                <w:sz w:val="20"/>
                <w:szCs w:val="20"/>
              </w:rPr>
            </w:pPr>
          </w:p>
          <w:p w14:paraId="64002D40" w14:textId="77777777" w:rsidR="00F4284C" w:rsidRPr="00154588" w:rsidRDefault="00F4284C" w:rsidP="008C12B4">
            <w:pPr>
              <w:jc w:val="both"/>
              <w:rPr>
                <w:bCs/>
                <w:sz w:val="20"/>
                <w:szCs w:val="20"/>
              </w:rPr>
            </w:pPr>
          </w:p>
          <w:p w14:paraId="00033E67" w14:textId="77777777" w:rsidR="00F4284C" w:rsidRPr="00154588" w:rsidRDefault="00F4284C" w:rsidP="008C12B4">
            <w:pPr>
              <w:jc w:val="both"/>
              <w:rPr>
                <w:bCs/>
                <w:sz w:val="20"/>
                <w:szCs w:val="20"/>
              </w:rPr>
            </w:pPr>
          </w:p>
          <w:p w14:paraId="48C581E2" w14:textId="77777777" w:rsidR="00F4284C" w:rsidRPr="00154588" w:rsidRDefault="00F4284C" w:rsidP="008C12B4">
            <w:pPr>
              <w:jc w:val="both"/>
              <w:rPr>
                <w:bCs/>
                <w:sz w:val="20"/>
                <w:szCs w:val="20"/>
              </w:rPr>
            </w:pPr>
          </w:p>
          <w:p w14:paraId="1F560416" w14:textId="77777777" w:rsidR="00F4284C" w:rsidRPr="00154588" w:rsidRDefault="00F4284C" w:rsidP="008C12B4">
            <w:pPr>
              <w:jc w:val="both"/>
              <w:rPr>
                <w:bCs/>
                <w:sz w:val="20"/>
                <w:szCs w:val="20"/>
              </w:rPr>
            </w:pPr>
          </w:p>
          <w:p w14:paraId="67A19020" w14:textId="77777777" w:rsidR="00F4284C" w:rsidRPr="00154588" w:rsidRDefault="00F4284C" w:rsidP="008C12B4">
            <w:pPr>
              <w:jc w:val="both"/>
              <w:rPr>
                <w:bCs/>
                <w:sz w:val="20"/>
                <w:szCs w:val="20"/>
              </w:rPr>
            </w:pPr>
          </w:p>
          <w:p w14:paraId="275A436F" w14:textId="77777777" w:rsidR="00F4284C" w:rsidRPr="00154588" w:rsidRDefault="00F4284C" w:rsidP="008C12B4">
            <w:pPr>
              <w:jc w:val="both"/>
              <w:rPr>
                <w:bCs/>
                <w:sz w:val="20"/>
                <w:szCs w:val="20"/>
              </w:rPr>
            </w:pPr>
          </w:p>
          <w:p w14:paraId="59C6581A" w14:textId="77777777" w:rsidR="00F4284C" w:rsidRPr="00154588" w:rsidRDefault="00F4284C" w:rsidP="008C12B4">
            <w:pPr>
              <w:jc w:val="both"/>
              <w:rPr>
                <w:bCs/>
                <w:sz w:val="20"/>
                <w:szCs w:val="20"/>
              </w:rPr>
            </w:pPr>
          </w:p>
          <w:p w14:paraId="04844BCB" w14:textId="77777777" w:rsidR="00F4284C" w:rsidRPr="00154588" w:rsidRDefault="00F4284C" w:rsidP="008C12B4">
            <w:pPr>
              <w:jc w:val="both"/>
              <w:rPr>
                <w:bCs/>
                <w:sz w:val="20"/>
                <w:szCs w:val="20"/>
              </w:rPr>
            </w:pPr>
          </w:p>
          <w:p w14:paraId="0C52857C" w14:textId="77777777" w:rsidR="00F4284C" w:rsidRPr="00154588" w:rsidRDefault="00F4284C" w:rsidP="008C12B4">
            <w:pPr>
              <w:jc w:val="both"/>
              <w:rPr>
                <w:bCs/>
                <w:sz w:val="20"/>
                <w:szCs w:val="20"/>
              </w:rPr>
            </w:pPr>
          </w:p>
          <w:p w14:paraId="716B15D8" w14:textId="77777777" w:rsidR="00F4284C" w:rsidRPr="00154588" w:rsidRDefault="00F4284C" w:rsidP="008C12B4">
            <w:pPr>
              <w:jc w:val="both"/>
              <w:rPr>
                <w:bCs/>
                <w:sz w:val="20"/>
                <w:szCs w:val="20"/>
              </w:rPr>
            </w:pPr>
          </w:p>
          <w:p w14:paraId="7C38C617" w14:textId="77777777" w:rsidR="00F4284C" w:rsidRPr="00154588" w:rsidRDefault="00F4284C" w:rsidP="008C12B4">
            <w:pPr>
              <w:jc w:val="both"/>
              <w:rPr>
                <w:bCs/>
                <w:sz w:val="20"/>
                <w:szCs w:val="20"/>
              </w:rPr>
            </w:pPr>
          </w:p>
          <w:p w14:paraId="0EE5B2F9" w14:textId="77777777" w:rsidR="00F4284C" w:rsidRPr="00154588" w:rsidRDefault="00F4284C" w:rsidP="008C12B4">
            <w:pPr>
              <w:jc w:val="both"/>
              <w:rPr>
                <w:bCs/>
                <w:sz w:val="20"/>
                <w:szCs w:val="20"/>
              </w:rPr>
            </w:pPr>
          </w:p>
          <w:p w14:paraId="7BEFAE3F" w14:textId="77777777" w:rsidR="00F4284C" w:rsidRPr="00154588" w:rsidRDefault="00F4284C" w:rsidP="008C12B4">
            <w:pPr>
              <w:jc w:val="both"/>
              <w:rPr>
                <w:bCs/>
                <w:sz w:val="20"/>
                <w:szCs w:val="20"/>
              </w:rPr>
            </w:pPr>
          </w:p>
          <w:p w14:paraId="5921EBDE" w14:textId="77777777" w:rsidR="00F4284C" w:rsidRPr="00154588" w:rsidRDefault="00F4284C" w:rsidP="008C12B4">
            <w:pPr>
              <w:jc w:val="both"/>
              <w:rPr>
                <w:bCs/>
                <w:sz w:val="20"/>
                <w:szCs w:val="20"/>
              </w:rPr>
            </w:pPr>
          </w:p>
          <w:p w14:paraId="2E2199D5" w14:textId="77777777" w:rsidR="00F4284C" w:rsidRPr="00154588" w:rsidRDefault="00F4284C" w:rsidP="008C12B4">
            <w:pPr>
              <w:jc w:val="both"/>
              <w:rPr>
                <w:bCs/>
                <w:sz w:val="20"/>
                <w:szCs w:val="20"/>
              </w:rPr>
            </w:pPr>
          </w:p>
          <w:p w14:paraId="4D854129" w14:textId="77777777" w:rsidR="00F4284C" w:rsidRPr="00154588" w:rsidRDefault="00F4284C" w:rsidP="008C12B4">
            <w:pPr>
              <w:jc w:val="both"/>
              <w:rPr>
                <w:bCs/>
                <w:sz w:val="20"/>
                <w:szCs w:val="20"/>
              </w:rPr>
            </w:pPr>
          </w:p>
          <w:p w14:paraId="02125972" w14:textId="77777777" w:rsidR="00F4284C" w:rsidRPr="00154588" w:rsidRDefault="00F4284C" w:rsidP="008C12B4">
            <w:pPr>
              <w:jc w:val="both"/>
              <w:rPr>
                <w:bCs/>
                <w:sz w:val="20"/>
                <w:szCs w:val="20"/>
              </w:rPr>
            </w:pPr>
          </w:p>
          <w:p w14:paraId="727774E4" w14:textId="77777777" w:rsidR="00F4284C" w:rsidRPr="00154588" w:rsidRDefault="00F4284C" w:rsidP="008C12B4">
            <w:pPr>
              <w:jc w:val="both"/>
              <w:rPr>
                <w:bCs/>
                <w:sz w:val="20"/>
                <w:szCs w:val="20"/>
              </w:rPr>
            </w:pPr>
          </w:p>
          <w:p w14:paraId="1463214D" w14:textId="77777777" w:rsidR="00F4284C" w:rsidRPr="00154588" w:rsidRDefault="00F4284C" w:rsidP="008C12B4">
            <w:pPr>
              <w:jc w:val="both"/>
              <w:rPr>
                <w:bCs/>
                <w:sz w:val="20"/>
                <w:szCs w:val="20"/>
              </w:rPr>
            </w:pPr>
          </w:p>
          <w:p w14:paraId="5ACD6F3A" w14:textId="77777777" w:rsidR="00F4284C" w:rsidRPr="00154588" w:rsidRDefault="00F4284C" w:rsidP="008C12B4">
            <w:pPr>
              <w:jc w:val="both"/>
              <w:rPr>
                <w:bCs/>
                <w:sz w:val="20"/>
                <w:szCs w:val="20"/>
              </w:rPr>
            </w:pPr>
          </w:p>
          <w:p w14:paraId="6C47FF1B" w14:textId="77777777" w:rsidR="00F4284C" w:rsidRPr="00154588" w:rsidRDefault="00F4284C" w:rsidP="008C12B4">
            <w:pPr>
              <w:jc w:val="both"/>
              <w:rPr>
                <w:bCs/>
                <w:sz w:val="20"/>
                <w:szCs w:val="20"/>
              </w:rPr>
            </w:pPr>
          </w:p>
          <w:p w14:paraId="63D9A2F5" w14:textId="77777777" w:rsidR="00F4284C" w:rsidRPr="00154588" w:rsidRDefault="00F4284C" w:rsidP="008C12B4">
            <w:pPr>
              <w:jc w:val="both"/>
              <w:rPr>
                <w:bCs/>
                <w:sz w:val="20"/>
                <w:szCs w:val="20"/>
              </w:rPr>
            </w:pPr>
          </w:p>
          <w:p w14:paraId="4A61771C" w14:textId="77777777" w:rsidR="00F4284C" w:rsidRPr="00154588" w:rsidRDefault="00F4284C" w:rsidP="008C12B4">
            <w:pPr>
              <w:jc w:val="both"/>
              <w:rPr>
                <w:bCs/>
                <w:sz w:val="20"/>
                <w:szCs w:val="20"/>
              </w:rPr>
            </w:pPr>
          </w:p>
          <w:p w14:paraId="1F7E8C33" w14:textId="77777777" w:rsidR="00F4284C" w:rsidRPr="00154588" w:rsidRDefault="00F4284C" w:rsidP="008C12B4">
            <w:pPr>
              <w:jc w:val="both"/>
              <w:rPr>
                <w:bCs/>
                <w:sz w:val="20"/>
                <w:szCs w:val="20"/>
              </w:rPr>
            </w:pPr>
          </w:p>
          <w:p w14:paraId="14CB1E6C" w14:textId="77777777" w:rsidR="00F4284C" w:rsidRPr="00154588" w:rsidRDefault="00F4284C" w:rsidP="008C12B4">
            <w:pPr>
              <w:jc w:val="both"/>
              <w:rPr>
                <w:bCs/>
                <w:sz w:val="20"/>
                <w:szCs w:val="20"/>
              </w:rPr>
            </w:pPr>
          </w:p>
          <w:p w14:paraId="6B0EC60D" w14:textId="77777777" w:rsidR="00F4284C" w:rsidRPr="00154588" w:rsidRDefault="00F4284C" w:rsidP="008C12B4">
            <w:pPr>
              <w:jc w:val="both"/>
              <w:rPr>
                <w:bCs/>
                <w:sz w:val="20"/>
                <w:szCs w:val="20"/>
              </w:rPr>
            </w:pPr>
          </w:p>
          <w:p w14:paraId="5615AF81" w14:textId="77777777" w:rsidR="00F4284C" w:rsidRPr="00154588" w:rsidRDefault="00F4284C" w:rsidP="008C12B4">
            <w:pPr>
              <w:jc w:val="both"/>
              <w:rPr>
                <w:bCs/>
                <w:sz w:val="20"/>
                <w:szCs w:val="20"/>
              </w:rPr>
            </w:pPr>
          </w:p>
          <w:p w14:paraId="68FF6FE0" w14:textId="77777777" w:rsidR="00F4284C" w:rsidRPr="00154588" w:rsidRDefault="00F4284C" w:rsidP="008C12B4">
            <w:pPr>
              <w:jc w:val="both"/>
              <w:rPr>
                <w:bCs/>
                <w:sz w:val="20"/>
                <w:szCs w:val="20"/>
              </w:rPr>
            </w:pPr>
          </w:p>
          <w:p w14:paraId="3A823A09" w14:textId="77777777" w:rsidR="00F4284C" w:rsidRPr="00154588" w:rsidRDefault="00F4284C" w:rsidP="008C12B4">
            <w:pPr>
              <w:jc w:val="both"/>
              <w:rPr>
                <w:bCs/>
                <w:sz w:val="20"/>
                <w:szCs w:val="20"/>
              </w:rPr>
            </w:pPr>
          </w:p>
          <w:p w14:paraId="6D399B88" w14:textId="516AB410" w:rsidR="00F4284C" w:rsidRPr="00154588" w:rsidRDefault="00F4284C" w:rsidP="008C12B4">
            <w:pPr>
              <w:tabs>
                <w:tab w:val="left" w:pos="142"/>
                <w:tab w:val="left" w:pos="426"/>
                <w:tab w:val="left" w:pos="3570"/>
              </w:tabs>
              <w:jc w:val="both"/>
              <w:rPr>
                <w:sz w:val="24"/>
                <w:szCs w:val="24"/>
                <w:lang w:eastAsia="ro-MD"/>
              </w:rPr>
            </w:pPr>
            <w:r w:rsidRPr="00154588">
              <w:rPr>
                <w:bCs/>
                <w:sz w:val="20"/>
                <w:szCs w:val="20"/>
              </w:rPr>
              <w:t xml:space="preserve">Acest articol este transpus </w:t>
            </w:r>
            <w:r w:rsidR="008375B5" w:rsidRPr="00154588">
              <w:rPr>
                <w:bCs/>
                <w:sz w:val="20"/>
                <w:szCs w:val="20"/>
              </w:rPr>
              <w:t>în norma cu privire la</w:t>
            </w:r>
            <w:r w:rsidRPr="00154588">
              <w:rPr>
                <w:bCs/>
                <w:sz w:val="20"/>
                <w:szCs w:val="20"/>
              </w:rPr>
              <w:t xml:space="preserve"> ierarhi</w:t>
            </w:r>
            <w:r w:rsidR="008375B5" w:rsidRPr="00154588">
              <w:rPr>
                <w:bCs/>
                <w:sz w:val="20"/>
                <w:szCs w:val="20"/>
              </w:rPr>
              <w:t>a</w:t>
            </w:r>
            <w:r w:rsidRPr="00154588">
              <w:rPr>
                <w:bCs/>
                <w:sz w:val="20"/>
                <w:szCs w:val="20"/>
              </w:rPr>
              <w:t xml:space="preserve"> creanțelor </w:t>
            </w:r>
            <w:r w:rsidR="008375B5" w:rsidRPr="00154588">
              <w:rPr>
                <w:bCs/>
                <w:sz w:val="20"/>
                <w:szCs w:val="20"/>
              </w:rPr>
              <w:t>din PL de modificare a cadrului de lichidare bancară</w:t>
            </w:r>
          </w:p>
          <w:p w14:paraId="5A84A928" w14:textId="51717F64" w:rsidR="00F4284C" w:rsidRPr="00154588" w:rsidRDefault="00F4284C" w:rsidP="008C12B4">
            <w:pPr>
              <w:jc w:val="both"/>
              <w:rPr>
                <w:bCs/>
                <w:sz w:val="20"/>
                <w:szCs w:val="20"/>
              </w:rPr>
            </w:pPr>
          </w:p>
        </w:tc>
      </w:tr>
      <w:tr w:rsidR="00F4284C" w:rsidRPr="00154588" w14:paraId="376A1E5B" w14:textId="77777777" w:rsidTr="00D15C1B">
        <w:trPr>
          <w:jc w:val="center"/>
        </w:trPr>
        <w:tc>
          <w:tcPr>
            <w:tcW w:w="4957" w:type="dxa"/>
            <w:gridSpan w:val="2"/>
          </w:tcPr>
          <w:p w14:paraId="0A1833DA" w14:textId="0CEF3558" w:rsidR="00F4284C" w:rsidRPr="00154588" w:rsidRDefault="00F4284C" w:rsidP="008C12B4">
            <w:pPr>
              <w:jc w:val="both"/>
              <w:rPr>
                <w:bCs/>
                <w:sz w:val="20"/>
                <w:szCs w:val="20"/>
              </w:rPr>
            </w:pPr>
            <w:r w:rsidRPr="00154588">
              <w:rPr>
                <w:bCs/>
                <w:sz w:val="20"/>
                <w:szCs w:val="20"/>
              </w:rPr>
              <w:lastRenderedPageBreak/>
              <w:t>(3)   Statele membre se asigură că autoritățile de rezoluție pot solicita instituțiilor și entităților menționate la articolul 1 alineatul (1) literele (b), (c) și (d) să furnizeze autorităților un aviz juridic privind caracterul executoriu și eficacitatea clauzei contractuale menționate la alineatul (1) de la prezentul articol.</w:t>
            </w:r>
          </w:p>
        </w:tc>
        <w:tc>
          <w:tcPr>
            <w:tcW w:w="4819" w:type="dxa"/>
          </w:tcPr>
          <w:p w14:paraId="0FDC63E2" w14:textId="4E68EBA5" w:rsidR="00F4284C" w:rsidRPr="00154588" w:rsidRDefault="00F4284C" w:rsidP="008C12B4">
            <w:pPr>
              <w:jc w:val="both"/>
              <w:rPr>
                <w:bCs/>
                <w:sz w:val="20"/>
                <w:szCs w:val="20"/>
              </w:rPr>
            </w:pPr>
            <w:r w:rsidRPr="00154588">
              <w:rPr>
                <w:b/>
                <w:bCs/>
                <w:sz w:val="20"/>
                <w:szCs w:val="20"/>
              </w:rPr>
              <w:t>Articolul 211.</w:t>
            </w:r>
            <w:r w:rsidRPr="00154588">
              <w:rPr>
                <w:bCs/>
                <w:sz w:val="20"/>
                <w:szCs w:val="20"/>
              </w:rPr>
              <w:t xml:space="preserve"> – (2) În urma primirii notificării prevăzute la alin.(1), Banca Naţională a Moldovei, în calitate de autoritate de rezoluţie, va solicita, într-un termen rezonabil, furnizarea tuturor informaţiilor pe care le consideră necesare pentru a evalua efectul notificării asupra posibilităţii de soluţionare a instituției de credit sau entității în cauză. Instituția de credit sau entitatea</w:t>
            </w:r>
            <w:r w:rsidRPr="00154588" w:rsidDel="00FF6ECB">
              <w:rPr>
                <w:bCs/>
                <w:sz w:val="20"/>
                <w:szCs w:val="20"/>
              </w:rPr>
              <w:t xml:space="preserve"> </w:t>
            </w:r>
            <w:r w:rsidRPr="00154588">
              <w:rPr>
                <w:bCs/>
                <w:sz w:val="20"/>
                <w:szCs w:val="20"/>
              </w:rPr>
              <w:t>menționată la art.1 alin.(1) lit.b), c) sau d)  va furniza, în termenul specificat în solicitare, toate informaţiile solicitate de Banca Naţională a Moldovei.</w:t>
            </w:r>
          </w:p>
          <w:p w14:paraId="112B0768" w14:textId="77777777" w:rsidR="00F4284C" w:rsidRPr="00154588" w:rsidRDefault="00F4284C" w:rsidP="008C12B4">
            <w:pPr>
              <w:jc w:val="both"/>
              <w:rPr>
                <w:bCs/>
                <w:sz w:val="20"/>
                <w:szCs w:val="20"/>
              </w:rPr>
            </w:pPr>
          </w:p>
        </w:tc>
        <w:tc>
          <w:tcPr>
            <w:tcW w:w="2552" w:type="dxa"/>
          </w:tcPr>
          <w:p w14:paraId="1EDEDCE2" w14:textId="64AA8DE6" w:rsidR="00F4284C" w:rsidRPr="00154588" w:rsidRDefault="00F4284C" w:rsidP="008C12B4">
            <w:pPr>
              <w:jc w:val="both"/>
              <w:rPr>
                <w:bCs/>
                <w:sz w:val="20"/>
                <w:szCs w:val="20"/>
              </w:rPr>
            </w:pPr>
            <w:r w:rsidRPr="00154588">
              <w:rPr>
                <w:bCs/>
                <w:sz w:val="20"/>
                <w:szCs w:val="20"/>
              </w:rPr>
              <w:t>Compatibil</w:t>
            </w:r>
          </w:p>
        </w:tc>
        <w:tc>
          <w:tcPr>
            <w:tcW w:w="3118" w:type="dxa"/>
          </w:tcPr>
          <w:p w14:paraId="66CC976D" w14:textId="77777777" w:rsidR="00F4284C" w:rsidRPr="00154588" w:rsidRDefault="00F4284C" w:rsidP="008C12B4">
            <w:pPr>
              <w:jc w:val="both"/>
              <w:rPr>
                <w:bCs/>
                <w:sz w:val="20"/>
                <w:szCs w:val="20"/>
              </w:rPr>
            </w:pPr>
          </w:p>
        </w:tc>
      </w:tr>
      <w:tr w:rsidR="00F4284C" w:rsidRPr="00154588" w14:paraId="1997318E" w14:textId="77777777" w:rsidTr="00D15C1B">
        <w:trPr>
          <w:jc w:val="center"/>
        </w:trPr>
        <w:tc>
          <w:tcPr>
            <w:tcW w:w="4957" w:type="dxa"/>
            <w:gridSpan w:val="2"/>
          </w:tcPr>
          <w:p w14:paraId="51C93BA8" w14:textId="33F4AD29" w:rsidR="00F4284C" w:rsidRPr="00154588" w:rsidRDefault="00F4284C" w:rsidP="008C12B4">
            <w:pPr>
              <w:rPr>
                <w:bCs/>
                <w:sz w:val="20"/>
                <w:szCs w:val="20"/>
              </w:rPr>
            </w:pPr>
            <w:r w:rsidRPr="00154588">
              <w:rPr>
                <w:bCs/>
                <w:sz w:val="20"/>
                <w:szCs w:val="20"/>
              </w:rPr>
              <w:t>(4)   În cazul în care o instituție sau o entitate menționată la articolul 1 alineatul (1) litera (b), (c) sau (d) nu include în dispozițiile contractuale aplicabile unei datorii relevante o clauză contractuală prevăzută la alineatul (1) de la prezentul articol, acest lucru nu împiedică autoritatea de rezoluție să își exercite competențele de reducere a valorii și de conversie în legătură cu datoria respectivă.</w:t>
            </w:r>
          </w:p>
        </w:tc>
        <w:tc>
          <w:tcPr>
            <w:tcW w:w="4819" w:type="dxa"/>
          </w:tcPr>
          <w:p w14:paraId="2A337C36" w14:textId="40A5F48F" w:rsidR="00F4284C" w:rsidRPr="00154588" w:rsidRDefault="00F4284C" w:rsidP="008C12B4">
            <w:pPr>
              <w:jc w:val="both"/>
              <w:rPr>
                <w:bCs/>
                <w:sz w:val="20"/>
                <w:szCs w:val="20"/>
              </w:rPr>
            </w:pPr>
            <w:r w:rsidRPr="00154588">
              <w:rPr>
                <w:b/>
                <w:bCs/>
                <w:sz w:val="20"/>
                <w:szCs w:val="20"/>
              </w:rPr>
              <w:t>Articolul 212.</w:t>
            </w:r>
            <w:r w:rsidRPr="00154588">
              <w:rPr>
                <w:bCs/>
                <w:sz w:val="20"/>
                <w:szCs w:val="20"/>
              </w:rPr>
              <w:t xml:space="preserve"> –(1) Dacă o  instituţie de credit sau o entitate menţionată la art.1 alin.(1) lit. (b), (c) sau (d) nu include în prevederile contractuale aplicabile unei datorii relevante o clauză de tipul celei prevăzute la art.210, această neîndeplinire a obligaţiilor nu împiedică Banca Naţională a Moldovei, în calitate de autoritate de rezoluţie, să-şi exercite competenţele de reducere a valorii sau de conversie în legătură cu datoria respectivă.</w:t>
            </w:r>
          </w:p>
          <w:p w14:paraId="6CC95724" w14:textId="77777777" w:rsidR="00F4284C" w:rsidRPr="00154588" w:rsidRDefault="00F4284C" w:rsidP="008C12B4">
            <w:pPr>
              <w:jc w:val="both"/>
              <w:rPr>
                <w:bCs/>
                <w:sz w:val="20"/>
                <w:szCs w:val="20"/>
              </w:rPr>
            </w:pPr>
          </w:p>
        </w:tc>
        <w:tc>
          <w:tcPr>
            <w:tcW w:w="2552" w:type="dxa"/>
          </w:tcPr>
          <w:p w14:paraId="23F21D75" w14:textId="7E128F8F" w:rsidR="00F4284C" w:rsidRPr="00154588" w:rsidRDefault="00F4284C" w:rsidP="008C12B4">
            <w:pPr>
              <w:jc w:val="both"/>
              <w:rPr>
                <w:bCs/>
                <w:sz w:val="20"/>
                <w:szCs w:val="20"/>
              </w:rPr>
            </w:pPr>
            <w:r w:rsidRPr="00154588">
              <w:rPr>
                <w:bCs/>
                <w:sz w:val="20"/>
                <w:szCs w:val="20"/>
              </w:rPr>
              <w:t>Compatibil</w:t>
            </w:r>
          </w:p>
        </w:tc>
        <w:tc>
          <w:tcPr>
            <w:tcW w:w="3118" w:type="dxa"/>
          </w:tcPr>
          <w:p w14:paraId="1A60D698" w14:textId="77777777" w:rsidR="00F4284C" w:rsidRPr="00154588" w:rsidRDefault="00F4284C" w:rsidP="008C12B4">
            <w:pPr>
              <w:jc w:val="both"/>
              <w:rPr>
                <w:bCs/>
                <w:sz w:val="20"/>
                <w:szCs w:val="20"/>
              </w:rPr>
            </w:pPr>
          </w:p>
        </w:tc>
      </w:tr>
      <w:tr w:rsidR="00F4284C" w:rsidRPr="00154588" w14:paraId="0DF2D05A" w14:textId="77777777" w:rsidTr="00D15C1B">
        <w:trPr>
          <w:jc w:val="center"/>
        </w:trPr>
        <w:tc>
          <w:tcPr>
            <w:tcW w:w="4957" w:type="dxa"/>
            <w:gridSpan w:val="2"/>
          </w:tcPr>
          <w:p w14:paraId="732E93C4" w14:textId="77777777" w:rsidR="00F4284C" w:rsidRPr="00154588" w:rsidRDefault="00F4284C" w:rsidP="008C12B4">
            <w:pPr>
              <w:jc w:val="both"/>
              <w:rPr>
                <w:bCs/>
                <w:sz w:val="20"/>
                <w:szCs w:val="20"/>
              </w:rPr>
            </w:pPr>
            <w:r w:rsidRPr="00154588">
              <w:rPr>
                <w:bCs/>
                <w:sz w:val="20"/>
                <w:szCs w:val="20"/>
              </w:rPr>
              <w:t>(5)   ABE elaborează proiecte de standarde tehnice de reglementare pentru a stabili în detaliu lista datoriilor care fac obiectul excluderii prevăzute la alineatul (1) și conținutul clauzei contractuale cerute la alineatul respectiv, luând în considerare diferitele modele de afaceri ale instituțiilor.</w:t>
            </w:r>
          </w:p>
          <w:p w14:paraId="70AF8766" w14:textId="77777777" w:rsidR="00F4284C" w:rsidRPr="00154588" w:rsidRDefault="00F4284C" w:rsidP="008C12B4">
            <w:pPr>
              <w:jc w:val="both"/>
              <w:rPr>
                <w:bCs/>
                <w:sz w:val="20"/>
                <w:szCs w:val="20"/>
              </w:rPr>
            </w:pPr>
          </w:p>
          <w:p w14:paraId="5CE7A86F" w14:textId="77777777" w:rsidR="00F4284C" w:rsidRPr="00154588" w:rsidRDefault="00F4284C" w:rsidP="008C12B4">
            <w:pPr>
              <w:jc w:val="both"/>
              <w:rPr>
                <w:bCs/>
                <w:sz w:val="20"/>
                <w:szCs w:val="20"/>
              </w:rPr>
            </w:pPr>
            <w:r w:rsidRPr="00154588">
              <w:rPr>
                <w:bCs/>
                <w:sz w:val="20"/>
                <w:szCs w:val="20"/>
              </w:rPr>
              <w:lastRenderedPageBreak/>
              <w:t>ABE înaintează Comisiei aceste proiecte de standarde tehnice de reglementare până la 3 iulie 2015.</w:t>
            </w:r>
          </w:p>
          <w:p w14:paraId="3E358942" w14:textId="77777777" w:rsidR="00F4284C" w:rsidRPr="00154588" w:rsidRDefault="00F4284C" w:rsidP="008C12B4">
            <w:pPr>
              <w:jc w:val="both"/>
              <w:rPr>
                <w:bCs/>
                <w:sz w:val="20"/>
                <w:szCs w:val="20"/>
              </w:rPr>
            </w:pPr>
          </w:p>
          <w:p w14:paraId="680F412E" w14:textId="26DF8823" w:rsidR="00F4284C" w:rsidRPr="00154588" w:rsidRDefault="00F4284C" w:rsidP="008C12B4">
            <w:pPr>
              <w:jc w:val="both"/>
              <w:rPr>
                <w:bCs/>
                <w:sz w:val="20"/>
                <w:szCs w:val="20"/>
              </w:rPr>
            </w:pPr>
            <w:r w:rsidRPr="00154588">
              <w:rPr>
                <w:bCs/>
                <w:sz w:val="20"/>
                <w:szCs w:val="20"/>
              </w:rPr>
              <w:t>Se deleagă Comisiei competența de a adopta standardele tehnice de reglementare menționate la primul paragraf în conformitate cu articolele 10-14 din Regulamentul (UE) nr. 1093/2010.</w:t>
            </w:r>
          </w:p>
        </w:tc>
        <w:tc>
          <w:tcPr>
            <w:tcW w:w="4819" w:type="dxa"/>
          </w:tcPr>
          <w:p w14:paraId="56001BD1" w14:textId="77777777" w:rsidR="00F4284C" w:rsidRPr="00154588" w:rsidRDefault="00F4284C" w:rsidP="008C12B4">
            <w:pPr>
              <w:jc w:val="both"/>
              <w:rPr>
                <w:bCs/>
                <w:sz w:val="20"/>
                <w:szCs w:val="20"/>
              </w:rPr>
            </w:pPr>
          </w:p>
        </w:tc>
        <w:tc>
          <w:tcPr>
            <w:tcW w:w="2552" w:type="dxa"/>
          </w:tcPr>
          <w:p w14:paraId="4742E6E2" w14:textId="7EF065A9"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6CA05227" w14:textId="7B0CF2BC" w:rsidR="00F4284C" w:rsidRPr="00154588" w:rsidRDefault="00F4284C" w:rsidP="008C12B4">
            <w:pPr>
              <w:jc w:val="both"/>
              <w:rPr>
                <w:bCs/>
                <w:sz w:val="20"/>
                <w:szCs w:val="20"/>
              </w:rPr>
            </w:pPr>
            <w:r w:rsidRPr="00154588">
              <w:rPr>
                <w:bCs/>
                <w:sz w:val="20"/>
                <w:szCs w:val="20"/>
                <w:lang w:val="ro-MD"/>
              </w:rPr>
              <w:t>Prevederi care se referă la atribuțiile de reglementare ale autorităților europene.</w:t>
            </w:r>
          </w:p>
        </w:tc>
      </w:tr>
      <w:tr w:rsidR="00F4284C" w:rsidRPr="00154588" w14:paraId="7E0BF96F" w14:textId="77777777" w:rsidTr="00D15C1B">
        <w:trPr>
          <w:jc w:val="center"/>
        </w:trPr>
        <w:tc>
          <w:tcPr>
            <w:tcW w:w="4957" w:type="dxa"/>
            <w:gridSpan w:val="2"/>
          </w:tcPr>
          <w:p w14:paraId="0AA58D0A" w14:textId="77777777" w:rsidR="00F4284C" w:rsidRPr="00154588" w:rsidRDefault="00F4284C" w:rsidP="008C12B4">
            <w:pPr>
              <w:jc w:val="both"/>
              <w:rPr>
                <w:bCs/>
                <w:sz w:val="20"/>
                <w:szCs w:val="20"/>
              </w:rPr>
            </w:pPr>
            <w:r w:rsidRPr="00154588">
              <w:rPr>
                <w:bCs/>
                <w:sz w:val="20"/>
                <w:szCs w:val="20"/>
              </w:rPr>
              <w:t>(6)   ABE elaborează proiecte de standarde tehnice de reglementare pentru a preciza în detaliu:</w:t>
            </w:r>
          </w:p>
          <w:p w14:paraId="1178D29D" w14:textId="77777777" w:rsidR="00F4284C" w:rsidRPr="00154588" w:rsidRDefault="00F4284C" w:rsidP="008C12B4">
            <w:pPr>
              <w:jc w:val="both"/>
              <w:rPr>
                <w:bCs/>
                <w:sz w:val="20"/>
                <w:szCs w:val="20"/>
              </w:rPr>
            </w:pPr>
          </w:p>
          <w:p w14:paraId="55B77F20" w14:textId="77018C85" w:rsidR="00F4284C" w:rsidRPr="00154588" w:rsidRDefault="00F4284C" w:rsidP="008C12B4">
            <w:pPr>
              <w:jc w:val="both"/>
              <w:rPr>
                <w:bCs/>
                <w:sz w:val="20"/>
                <w:szCs w:val="20"/>
              </w:rPr>
            </w:pPr>
            <w:r w:rsidRPr="00154588">
              <w:rPr>
                <w:bCs/>
                <w:sz w:val="20"/>
                <w:szCs w:val="20"/>
              </w:rPr>
              <w:t>(a) condițiile în care ar fi imposibil, din punct de vedere juridic sau din motive de altă natură, ca o instituție sau o entitate menționată la articolul 1 alineatul (1) litera (b), (c) sau (d) să includă clauza contractuală menționată la alineatul (1) de la prezentul articol în anumite categorii de datorii;</w:t>
            </w:r>
          </w:p>
          <w:p w14:paraId="7B94C131" w14:textId="77777777" w:rsidR="00F4284C" w:rsidRPr="00154588" w:rsidRDefault="00F4284C" w:rsidP="008C12B4">
            <w:pPr>
              <w:jc w:val="both"/>
              <w:rPr>
                <w:bCs/>
                <w:sz w:val="20"/>
                <w:szCs w:val="20"/>
              </w:rPr>
            </w:pPr>
          </w:p>
          <w:p w14:paraId="0ADF9A21" w14:textId="77777777" w:rsidR="00F4284C" w:rsidRPr="00154588" w:rsidRDefault="00F4284C" w:rsidP="008C12B4">
            <w:pPr>
              <w:jc w:val="both"/>
              <w:rPr>
                <w:bCs/>
                <w:sz w:val="20"/>
                <w:szCs w:val="20"/>
              </w:rPr>
            </w:pPr>
          </w:p>
          <w:p w14:paraId="7DD25440" w14:textId="77777777" w:rsidR="00F4284C" w:rsidRPr="00154588" w:rsidRDefault="00F4284C" w:rsidP="008C12B4">
            <w:pPr>
              <w:jc w:val="both"/>
              <w:rPr>
                <w:bCs/>
                <w:sz w:val="20"/>
                <w:szCs w:val="20"/>
              </w:rPr>
            </w:pPr>
          </w:p>
          <w:p w14:paraId="08F71589" w14:textId="77777777" w:rsidR="00F4284C" w:rsidRPr="00154588" w:rsidRDefault="00F4284C" w:rsidP="008C12B4">
            <w:pPr>
              <w:jc w:val="both"/>
              <w:rPr>
                <w:bCs/>
                <w:sz w:val="20"/>
                <w:szCs w:val="20"/>
              </w:rPr>
            </w:pPr>
            <w:r w:rsidRPr="00154588">
              <w:rPr>
                <w:bCs/>
                <w:sz w:val="20"/>
                <w:szCs w:val="20"/>
              </w:rPr>
              <w:t>ABE înaintează Comisiei aceste proiecte de standarde tehnice de reglementare până la 28 iunie 2020.</w:t>
            </w:r>
          </w:p>
          <w:p w14:paraId="0A01ED08" w14:textId="77777777" w:rsidR="00F4284C" w:rsidRPr="00154588" w:rsidRDefault="00F4284C" w:rsidP="008C12B4">
            <w:pPr>
              <w:jc w:val="both"/>
              <w:rPr>
                <w:bCs/>
                <w:sz w:val="20"/>
                <w:szCs w:val="20"/>
              </w:rPr>
            </w:pPr>
          </w:p>
          <w:p w14:paraId="6C369FC2" w14:textId="06EF1198" w:rsidR="00F4284C" w:rsidRPr="00154588" w:rsidRDefault="00F4284C" w:rsidP="008C12B4">
            <w:pPr>
              <w:jc w:val="both"/>
              <w:rPr>
                <w:bCs/>
                <w:sz w:val="20"/>
                <w:szCs w:val="20"/>
              </w:rPr>
            </w:pPr>
            <w:r w:rsidRPr="00154588">
              <w:rPr>
                <w:bCs/>
                <w:sz w:val="20"/>
                <w:szCs w:val="20"/>
              </w:rPr>
              <w:t>Se deleagă Comisiei competența de a adopta standardele tehnice de reglementare menționate la primul paragraf în conformitate cu articolele 10-14 din Regulamentul (UE) nr. 1093/2010.</w:t>
            </w:r>
          </w:p>
        </w:tc>
        <w:tc>
          <w:tcPr>
            <w:tcW w:w="4819" w:type="dxa"/>
          </w:tcPr>
          <w:p w14:paraId="220575AF" w14:textId="77777777" w:rsidR="00F4284C" w:rsidRPr="00154588" w:rsidRDefault="00F4284C" w:rsidP="008C12B4">
            <w:pPr>
              <w:jc w:val="both"/>
              <w:rPr>
                <w:bCs/>
                <w:sz w:val="20"/>
                <w:szCs w:val="20"/>
              </w:rPr>
            </w:pPr>
          </w:p>
        </w:tc>
        <w:tc>
          <w:tcPr>
            <w:tcW w:w="2552" w:type="dxa"/>
          </w:tcPr>
          <w:p w14:paraId="4A0D433F" w14:textId="6779032C"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79D99882" w14:textId="3AC8FFF2" w:rsidR="00F4284C" w:rsidRPr="00154588" w:rsidRDefault="00F4284C" w:rsidP="008C12B4">
            <w:pPr>
              <w:jc w:val="both"/>
              <w:rPr>
                <w:bCs/>
                <w:sz w:val="20"/>
                <w:szCs w:val="20"/>
              </w:rPr>
            </w:pPr>
            <w:r w:rsidRPr="00154588">
              <w:rPr>
                <w:bCs/>
                <w:sz w:val="20"/>
                <w:szCs w:val="20"/>
                <w:lang w:val="ro-MD"/>
              </w:rPr>
              <w:t>Prevederi care se referă la atribuțiile de reglementare ale autorităților europene.</w:t>
            </w:r>
          </w:p>
        </w:tc>
      </w:tr>
      <w:tr w:rsidR="00F4284C" w:rsidRPr="00154588" w14:paraId="60576793" w14:textId="77777777" w:rsidTr="00D15C1B">
        <w:trPr>
          <w:jc w:val="center"/>
        </w:trPr>
        <w:tc>
          <w:tcPr>
            <w:tcW w:w="4957" w:type="dxa"/>
            <w:gridSpan w:val="2"/>
          </w:tcPr>
          <w:p w14:paraId="2DF67F37" w14:textId="15B1B2A4" w:rsidR="00F4284C" w:rsidRPr="00154588" w:rsidRDefault="00F4284C" w:rsidP="008C12B4">
            <w:pPr>
              <w:jc w:val="both"/>
              <w:rPr>
                <w:bCs/>
                <w:sz w:val="20"/>
                <w:szCs w:val="20"/>
              </w:rPr>
            </w:pPr>
            <w:r w:rsidRPr="00154588">
              <w:rPr>
                <w:bCs/>
                <w:sz w:val="20"/>
                <w:szCs w:val="20"/>
              </w:rPr>
              <w:t>(7)   Autoritatea de rezoluție precizează, acolo unde consideră necesar, categoriile de datorii în cazul cărora o instituție sau o entitate menționată la articolul 1 alineatul (1) litera (b), (c) sau (d) poate constata că este imposibil din punct de vedere juridic sau din motive de altă natură să se includă clauza contractuală menționată la alineatul (1) de la prezentul articol, pe baza condițiilor precizate în detaliu ca urmare a aplicării alineatului (6).</w:t>
            </w:r>
          </w:p>
        </w:tc>
        <w:tc>
          <w:tcPr>
            <w:tcW w:w="4819" w:type="dxa"/>
          </w:tcPr>
          <w:p w14:paraId="66A07B0E" w14:textId="222519A8" w:rsidR="00F4284C" w:rsidRPr="00154588" w:rsidRDefault="00F4284C" w:rsidP="008C12B4">
            <w:pPr>
              <w:jc w:val="both"/>
              <w:rPr>
                <w:bCs/>
                <w:sz w:val="20"/>
                <w:szCs w:val="20"/>
              </w:rPr>
            </w:pPr>
            <w:r w:rsidRPr="00154588">
              <w:rPr>
                <w:bCs/>
                <w:sz w:val="20"/>
                <w:szCs w:val="20"/>
              </w:rPr>
              <w:t>(2) Banca Naţională a Moldovei, în calitate de autoritate de rezoluție stabilește pe baza condițiilor precizate în detaliu prin actele normative categoriile de datorii în cazul cărora o instituție de credit sau o entitate menționată la art.1 alin.(1) lit.b), c) sau d) poate constata că este imposibil din punct de vedere juridic sau din motive de altă natură să includă clauza contractuală menționată la art.210.</w:t>
            </w:r>
          </w:p>
        </w:tc>
        <w:tc>
          <w:tcPr>
            <w:tcW w:w="2552" w:type="dxa"/>
          </w:tcPr>
          <w:p w14:paraId="7CB5A31E" w14:textId="77777777" w:rsidR="00F4284C" w:rsidRPr="00154588" w:rsidRDefault="00F4284C" w:rsidP="008C12B4">
            <w:pPr>
              <w:jc w:val="both"/>
              <w:rPr>
                <w:bCs/>
                <w:sz w:val="20"/>
                <w:szCs w:val="20"/>
              </w:rPr>
            </w:pPr>
          </w:p>
        </w:tc>
        <w:tc>
          <w:tcPr>
            <w:tcW w:w="3118" w:type="dxa"/>
          </w:tcPr>
          <w:p w14:paraId="5F3FB5B9" w14:textId="77777777" w:rsidR="00F4284C" w:rsidRPr="00154588" w:rsidRDefault="00F4284C" w:rsidP="008C12B4">
            <w:pPr>
              <w:jc w:val="both"/>
              <w:rPr>
                <w:bCs/>
                <w:sz w:val="20"/>
                <w:szCs w:val="20"/>
              </w:rPr>
            </w:pPr>
          </w:p>
        </w:tc>
      </w:tr>
      <w:tr w:rsidR="00F4284C" w:rsidRPr="00154588" w14:paraId="2CBFAC51" w14:textId="77777777" w:rsidTr="00D15C1B">
        <w:trPr>
          <w:jc w:val="center"/>
        </w:trPr>
        <w:tc>
          <w:tcPr>
            <w:tcW w:w="4957" w:type="dxa"/>
            <w:gridSpan w:val="2"/>
          </w:tcPr>
          <w:p w14:paraId="20C6856C" w14:textId="6EAA6499" w:rsidR="00F4284C" w:rsidRPr="00154588" w:rsidRDefault="00F4284C" w:rsidP="008C12B4">
            <w:pPr>
              <w:jc w:val="both"/>
              <w:rPr>
                <w:bCs/>
                <w:sz w:val="20"/>
                <w:szCs w:val="20"/>
              </w:rPr>
            </w:pPr>
          </w:p>
        </w:tc>
        <w:tc>
          <w:tcPr>
            <w:tcW w:w="4819" w:type="dxa"/>
          </w:tcPr>
          <w:p w14:paraId="4946B07D" w14:textId="77777777" w:rsidR="00F4284C" w:rsidRPr="00154588" w:rsidRDefault="00F4284C" w:rsidP="008C12B4">
            <w:pPr>
              <w:jc w:val="both"/>
              <w:rPr>
                <w:bCs/>
                <w:sz w:val="20"/>
                <w:szCs w:val="20"/>
              </w:rPr>
            </w:pPr>
          </w:p>
        </w:tc>
        <w:tc>
          <w:tcPr>
            <w:tcW w:w="2552" w:type="dxa"/>
          </w:tcPr>
          <w:p w14:paraId="312B96BF" w14:textId="66E1D5F8" w:rsidR="00F4284C" w:rsidRPr="00154588" w:rsidRDefault="00F4284C" w:rsidP="008C12B4">
            <w:pPr>
              <w:jc w:val="both"/>
              <w:rPr>
                <w:bCs/>
                <w:sz w:val="20"/>
                <w:szCs w:val="20"/>
              </w:rPr>
            </w:pPr>
            <w:r w:rsidRPr="00154588">
              <w:rPr>
                <w:bCs/>
                <w:sz w:val="20"/>
                <w:szCs w:val="20"/>
              </w:rPr>
              <w:t>Prevederi UE neaplicabile</w:t>
            </w:r>
          </w:p>
        </w:tc>
        <w:tc>
          <w:tcPr>
            <w:tcW w:w="3118" w:type="dxa"/>
          </w:tcPr>
          <w:p w14:paraId="7042EE62" w14:textId="4C0FC540" w:rsidR="00F4284C" w:rsidRPr="00154588" w:rsidRDefault="00F4284C" w:rsidP="008C12B4">
            <w:pPr>
              <w:jc w:val="both"/>
              <w:rPr>
                <w:bCs/>
                <w:sz w:val="20"/>
                <w:szCs w:val="20"/>
              </w:rPr>
            </w:pPr>
            <w:r w:rsidRPr="00154588">
              <w:rPr>
                <w:bCs/>
                <w:sz w:val="20"/>
                <w:szCs w:val="20"/>
                <w:lang w:val="ro-MD"/>
              </w:rPr>
              <w:t>Prevederi care se referă la atribuțiile de reglementare ale autorităților europene.</w:t>
            </w:r>
          </w:p>
        </w:tc>
      </w:tr>
      <w:tr w:rsidR="00F4284C" w:rsidRPr="00154588" w14:paraId="0DDE2D56" w14:textId="77777777" w:rsidTr="00D15C1B">
        <w:trPr>
          <w:jc w:val="center"/>
        </w:trPr>
        <w:tc>
          <w:tcPr>
            <w:tcW w:w="4957" w:type="dxa"/>
            <w:gridSpan w:val="2"/>
          </w:tcPr>
          <w:p w14:paraId="2DA6A5B4" w14:textId="77777777" w:rsidR="00F4284C" w:rsidRPr="00154588" w:rsidRDefault="00F4284C" w:rsidP="008C12B4">
            <w:pPr>
              <w:jc w:val="both"/>
              <w:rPr>
                <w:b/>
                <w:sz w:val="20"/>
                <w:szCs w:val="20"/>
              </w:rPr>
            </w:pPr>
            <w:r w:rsidRPr="00154588">
              <w:rPr>
                <w:b/>
                <w:sz w:val="20"/>
                <w:szCs w:val="20"/>
              </w:rPr>
              <w:t>Articolul 56</w:t>
            </w:r>
          </w:p>
          <w:p w14:paraId="6D2FC08E" w14:textId="77777777" w:rsidR="00F4284C" w:rsidRPr="00154588" w:rsidRDefault="00F4284C" w:rsidP="008C12B4">
            <w:pPr>
              <w:jc w:val="both"/>
              <w:rPr>
                <w:b/>
                <w:sz w:val="20"/>
                <w:szCs w:val="20"/>
              </w:rPr>
            </w:pPr>
          </w:p>
          <w:p w14:paraId="04188CB0" w14:textId="5BFB0371" w:rsidR="00F4284C" w:rsidRPr="00154588" w:rsidRDefault="00F4284C" w:rsidP="008C12B4">
            <w:pPr>
              <w:jc w:val="both"/>
              <w:rPr>
                <w:bCs/>
                <w:sz w:val="20"/>
                <w:szCs w:val="20"/>
              </w:rPr>
            </w:pPr>
            <w:r w:rsidRPr="00154588">
              <w:rPr>
                <w:b/>
                <w:sz w:val="20"/>
                <w:szCs w:val="20"/>
              </w:rPr>
              <w:t>Instrumente publice de stabilizare financiară</w:t>
            </w:r>
          </w:p>
        </w:tc>
        <w:tc>
          <w:tcPr>
            <w:tcW w:w="4819" w:type="dxa"/>
          </w:tcPr>
          <w:p w14:paraId="0DB47EDA" w14:textId="77777777" w:rsidR="00F4284C" w:rsidRPr="00154588" w:rsidRDefault="00F4284C" w:rsidP="008C12B4">
            <w:pPr>
              <w:jc w:val="both"/>
              <w:rPr>
                <w:bCs/>
                <w:sz w:val="20"/>
                <w:szCs w:val="20"/>
              </w:rPr>
            </w:pPr>
          </w:p>
        </w:tc>
        <w:tc>
          <w:tcPr>
            <w:tcW w:w="2552" w:type="dxa"/>
          </w:tcPr>
          <w:p w14:paraId="3A4A6391" w14:textId="77777777" w:rsidR="00F4284C" w:rsidRPr="00154588" w:rsidRDefault="00F4284C" w:rsidP="008C12B4">
            <w:pPr>
              <w:jc w:val="both"/>
              <w:rPr>
                <w:bCs/>
                <w:sz w:val="20"/>
                <w:szCs w:val="20"/>
              </w:rPr>
            </w:pPr>
          </w:p>
        </w:tc>
        <w:tc>
          <w:tcPr>
            <w:tcW w:w="3118" w:type="dxa"/>
          </w:tcPr>
          <w:p w14:paraId="52DA75B6" w14:textId="77777777" w:rsidR="00F4284C" w:rsidRPr="00154588" w:rsidRDefault="00F4284C" w:rsidP="008C12B4">
            <w:pPr>
              <w:jc w:val="both"/>
              <w:rPr>
                <w:bCs/>
                <w:sz w:val="20"/>
                <w:szCs w:val="20"/>
              </w:rPr>
            </w:pPr>
          </w:p>
        </w:tc>
      </w:tr>
      <w:tr w:rsidR="00F4284C" w:rsidRPr="00154588" w14:paraId="124A2535" w14:textId="77777777" w:rsidTr="00D15C1B">
        <w:trPr>
          <w:jc w:val="center"/>
        </w:trPr>
        <w:tc>
          <w:tcPr>
            <w:tcW w:w="4957" w:type="dxa"/>
            <w:gridSpan w:val="2"/>
          </w:tcPr>
          <w:p w14:paraId="6DB6A330" w14:textId="138A893C" w:rsidR="00F4284C" w:rsidRPr="00154588" w:rsidRDefault="00F4284C" w:rsidP="008C12B4">
            <w:pPr>
              <w:jc w:val="both"/>
              <w:rPr>
                <w:bCs/>
                <w:sz w:val="20"/>
                <w:szCs w:val="20"/>
              </w:rPr>
            </w:pPr>
            <w:r w:rsidRPr="00154588">
              <w:rPr>
                <w:bCs/>
                <w:sz w:val="20"/>
                <w:szCs w:val="20"/>
              </w:rPr>
              <w:t xml:space="preserve">(1)   Statele membre pot acorda sprijin financiar public extraordinar prin intermediul unor instrumente </w:t>
            </w:r>
            <w:r w:rsidRPr="00154588">
              <w:rPr>
                <w:bCs/>
                <w:sz w:val="20"/>
                <w:szCs w:val="20"/>
              </w:rPr>
              <w:lastRenderedPageBreak/>
              <w:t>suplimentare de stabilizare financiară în conformitate cu alineatul (3) din prezentul articol, articolul 37 alineatul (10) și cu cadrul Uniunii privind ajutoarele de stat, pentru a participa la rezoluția unei instituții sau a unei entități menționate la articolul 1 alineatul (1) litera (b), (c) sau (d), inclusiv intervenind direct în vederea evitării lichidării acesteia, cu scopul de a îndeplini obiectivele rezoluției mențioante la articolul 31 alineatul (2) în legătură cu statul membru sau cu Uniunea în ansamblul său. O astfel de măsură se ia sub conducerea ministerului competent sau a guvernului în strânsă cooperare cu autoritatea de rezoluție.</w:t>
            </w:r>
          </w:p>
        </w:tc>
        <w:tc>
          <w:tcPr>
            <w:tcW w:w="4819" w:type="dxa"/>
          </w:tcPr>
          <w:p w14:paraId="5B3BA80C" w14:textId="77777777" w:rsidR="00F4284C" w:rsidRPr="00154588" w:rsidRDefault="00F4284C" w:rsidP="008C12B4">
            <w:pPr>
              <w:jc w:val="both"/>
              <w:rPr>
                <w:sz w:val="20"/>
                <w:szCs w:val="20"/>
              </w:rPr>
            </w:pPr>
            <w:r w:rsidRPr="00154588">
              <w:rPr>
                <w:b/>
                <w:sz w:val="20"/>
                <w:szCs w:val="20"/>
              </w:rPr>
              <w:lastRenderedPageBreak/>
              <w:t>Articolul 213.</w:t>
            </w:r>
            <w:r w:rsidRPr="00154588">
              <w:rPr>
                <w:sz w:val="20"/>
                <w:szCs w:val="20"/>
              </w:rPr>
              <w:t xml:space="preserve"> – (1) În vederea participării la rezoluţia unei instituţii de credit sau a unei entităţi menţionate </w:t>
            </w:r>
            <w:r w:rsidRPr="00154588">
              <w:rPr>
                <w:sz w:val="20"/>
                <w:szCs w:val="20"/>
              </w:rPr>
              <w:lastRenderedPageBreak/>
              <w:t>la art.1 alin.(1) lit.b), c) sau d), inclusiv intervenind direct în vederea evitării lichidării acesteia, cu scopul de a îndeplini obiectivele rezoluţiei stabilite la art.56, se poate acorda sprijin financiar public extraordinar prin intermediul unor instrumente suplimentare de stabilizare financiară, în conformitate cu prevederile art.92 şi 214</w:t>
            </w:r>
            <w:r w:rsidRPr="00154588">
              <w:rPr>
                <w:sz w:val="20"/>
                <w:szCs w:val="20"/>
                <w:lang w:eastAsia="ro-MD"/>
              </w:rPr>
              <w:t>, precum şi cu cadrul legal privind ajutorul de stat.</w:t>
            </w:r>
            <w:r w:rsidRPr="00154588">
              <w:rPr>
                <w:sz w:val="20"/>
                <w:szCs w:val="20"/>
              </w:rPr>
              <w:t xml:space="preserve"> După consultarea cu Banca Naţională a Moldovei, în calitate de autoritate de rezoluţie, Ministerul Finanțelor, în calitate de minister competent, este în drept să decidă asupra aplicării instrumentelor de stabilizare financiară.</w:t>
            </w:r>
          </w:p>
          <w:p w14:paraId="0650866B" w14:textId="77777777" w:rsidR="00F4284C" w:rsidRPr="00154588" w:rsidRDefault="00F4284C" w:rsidP="008C12B4">
            <w:pPr>
              <w:jc w:val="both"/>
              <w:rPr>
                <w:bCs/>
                <w:sz w:val="20"/>
                <w:szCs w:val="20"/>
              </w:rPr>
            </w:pPr>
          </w:p>
        </w:tc>
        <w:tc>
          <w:tcPr>
            <w:tcW w:w="2552" w:type="dxa"/>
          </w:tcPr>
          <w:p w14:paraId="1AA8095C" w14:textId="2E62C692"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3B7BD335" w14:textId="77777777" w:rsidR="00F4284C" w:rsidRPr="00154588" w:rsidRDefault="00F4284C" w:rsidP="008C12B4">
            <w:pPr>
              <w:jc w:val="both"/>
              <w:rPr>
                <w:bCs/>
                <w:sz w:val="20"/>
                <w:szCs w:val="20"/>
              </w:rPr>
            </w:pPr>
          </w:p>
        </w:tc>
      </w:tr>
      <w:tr w:rsidR="00F4284C" w:rsidRPr="00154588" w14:paraId="7963BE6B" w14:textId="77777777" w:rsidTr="00D15C1B">
        <w:trPr>
          <w:jc w:val="center"/>
        </w:trPr>
        <w:tc>
          <w:tcPr>
            <w:tcW w:w="4957" w:type="dxa"/>
            <w:gridSpan w:val="2"/>
          </w:tcPr>
          <w:p w14:paraId="255E3456" w14:textId="7086B99C" w:rsidR="00F4284C" w:rsidRPr="00154588" w:rsidRDefault="00F4284C" w:rsidP="008C12B4">
            <w:pPr>
              <w:jc w:val="both"/>
              <w:rPr>
                <w:bCs/>
                <w:sz w:val="20"/>
                <w:szCs w:val="20"/>
              </w:rPr>
            </w:pPr>
            <w:r w:rsidRPr="00154588">
              <w:rPr>
                <w:bCs/>
                <w:sz w:val="20"/>
                <w:szCs w:val="20"/>
              </w:rPr>
              <w:t>(2)   Pentru a asigura eficacitatea instrumentelor publice de stabilizare financiară, statele membre se asigură că ministerele sau guvernele lor competente dispun de competențele de rezoluție prevăzute la articolele 63-72 și se asigură că articolele 66, 68, 83 și 117 sunt aplicate.</w:t>
            </w:r>
          </w:p>
        </w:tc>
        <w:tc>
          <w:tcPr>
            <w:tcW w:w="4819" w:type="dxa"/>
          </w:tcPr>
          <w:p w14:paraId="5616DB09" w14:textId="14056075" w:rsidR="00F4284C" w:rsidRPr="00154588" w:rsidRDefault="00F4284C" w:rsidP="008C12B4">
            <w:pPr>
              <w:ind w:firstLine="567"/>
              <w:jc w:val="both"/>
              <w:rPr>
                <w:sz w:val="20"/>
                <w:szCs w:val="20"/>
              </w:rPr>
            </w:pPr>
            <w:r w:rsidRPr="00154588">
              <w:rPr>
                <w:sz w:val="20"/>
                <w:szCs w:val="20"/>
                <w:lang w:eastAsia="ro-MD"/>
              </w:rPr>
              <w:t>(2)</w:t>
            </w:r>
            <w:r w:rsidRPr="00154588">
              <w:rPr>
                <w:sz w:val="20"/>
                <w:szCs w:val="20"/>
              </w:rPr>
              <w:t xml:space="preserve"> Prevederile art.238</w:t>
            </w:r>
            <w:r w:rsidRPr="00154588">
              <w:rPr>
                <w:sz w:val="20"/>
                <w:szCs w:val="20"/>
                <w:vertAlign w:val="superscript"/>
              </w:rPr>
              <w:t>1</w:t>
            </w:r>
            <w:r w:rsidRPr="00154588">
              <w:rPr>
                <w:sz w:val="20"/>
                <w:szCs w:val="20"/>
              </w:rPr>
              <w:t>-238</w:t>
            </w:r>
            <w:r w:rsidRPr="00154588">
              <w:rPr>
                <w:sz w:val="20"/>
                <w:szCs w:val="20"/>
                <w:vertAlign w:val="superscript"/>
              </w:rPr>
              <w:t>6</w:t>
            </w:r>
            <w:r w:rsidRPr="00154588">
              <w:rPr>
                <w:sz w:val="20"/>
                <w:szCs w:val="20"/>
              </w:rPr>
              <w:t>,241-245</w:t>
            </w:r>
            <w:r w:rsidRPr="00154588">
              <w:rPr>
                <w:sz w:val="20"/>
                <w:szCs w:val="20"/>
                <w:vertAlign w:val="superscript"/>
              </w:rPr>
              <w:t>1</w:t>
            </w:r>
            <w:r w:rsidRPr="00154588">
              <w:rPr>
                <w:sz w:val="20"/>
                <w:szCs w:val="20"/>
              </w:rPr>
              <w:t>, art.283-287 sînt aplicabile în scopul asigurării eficacităţii instrumentelor publice de stabilizare financiară.</w:t>
            </w:r>
          </w:p>
          <w:p w14:paraId="7189AA20" w14:textId="77777777" w:rsidR="00F4284C" w:rsidRPr="00154588" w:rsidRDefault="00F4284C" w:rsidP="008C12B4">
            <w:pPr>
              <w:jc w:val="both"/>
              <w:rPr>
                <w:bCs/>
                <w:sz w:val="20"/>
                <w:szCs w:val="20"/>
              </w:rPr>
            </w:pPr>
          </w:p>
        </w:tc>
        <w:tc>
          <w:tcPr>
            <w:tcW w:w="2552" w:type="dxa"/>
          </w:tcPr>
          <w:p w14:paraId="31D825D1" w14:textId="323D522B" w:rsidR="00F4284C" w:rsidRPr="00154588" w:rsidRDefault="00F4284C" w:rsidP="008C12B4">
            <w:pPr>
              <w:jc w:val="both"/>
              <w:rPr>
                <w:bCs/>
                <w:sz w:val="20"/>
                <w:szCs w:val="20"/>
              </w:rPr>
            </w:pPr>
            <w:r w:rsidRPr="00154588">
              <w:rPr>
                <w:bCs/>
                <w:sz w:val="20"/>
                <w:szCs w:val="20"/>
              </w:rPr>
              <w:t>Compatibil</w:t>
            </w:r>
          </w:p>
        </w:tc>
        <w:tc>
          <w:tcPr>
            <w:tcW w:w="3118" w:type="dxa"/>
          </w:tcPr>
          <w:p w14:paraId="4C2F8037" w14:textId="127988BE" w:rsidR="00F4284C" w:rsidRPr="00154588" w:rsidRDefault="00F4284C" w:rsidP="008C12B4">
            <w:pPr>
              <w:jc w:val="both"/>
              <w:rPr>
                <w:sz w:val="20"/>
                <w:szCs w:val="20"/>
              </w:rPr>
            </w:pPr>
          </w:p>
        </w:tc>
      </w:tr>
      <w:tr w:rsidR="00F4284C" w:rsidRPr="00154588" w14:paraId="076C477F" w14:textId="77777777" w:rsidTr="00D15C1B">
        <w:trPr>
          <w:jc w:val="center"/>
        </w:trPr>
        <w:tc>
          <w:tcPr>
            <w:tcW w:w="4957" w:type="dxa"/>
            <w:gridSpan w:val="2"/>
          </w:tcPr>
          <w:p w14:paraId="1ED159E6" w14:textId="220F0EF9" w:rsidR="00F4284C" w:rsidRPr="00154588" w:rsidRDefault="00F4284C" w:rsidP="008C12B4">
            <w:pPr>
              <w:jc w:val="both"/>
              <w:rPr>
                <w:bCs/>
                <w:sz w:val="20"/>
                <w:szCs w:val="20"/>
              </w:rPr>
            </w:pPr>
            <w:r w:rsidRPr="00154588">
              <w:rPr>
                <w:bCs/>
                <w:sz w:val="20"/>
                <w:szCs w:val="20"/>
              </w:rPr>
              <w:t>(3)   Instrumentele publice de stabilizare financiară se utilizează în ultimă instanță, în urma evaluării și valorificării la maximum a celorlalte instrumente de rezoluție, menținând, în același timp, stabilitatea financiară, așa cum a fost stabilit de ministerul sau guvernul său competent după consultarea cu autoritatea de rezoluție.</w:t>
            </w:r>
          </w:p>
        </w:tc>
        <w:tc>
          <w:tcPr>
            <w:tcW w:w="4819" w:type="dxa"/>
          </w:tcPr>
          <w:p w14:paraId="19FC91BE" w14:textId="77777777" w:rsidR="00F4284C" w:rsidRPr="00154588" w:rsidRDefault="00F4284C" w:rsidP="008C12B4">
            <w:pPr>
              <w:ind w:firstLine="567"/>
              <w:jc w:val="both"/>
              <w:rPr>
                <w:sz w:val="20"/>
                <w:szCs w:val="20"/>
              </w:rPr>
            </w:pPr>
            <w:r w:rsidRPr="00154588">
              <w:rPr>
                <w:b/>
                <w:sz w:val="20"/>
                <w:szCs w:val="20"/>
              </w:rPr>
              <w:t>Articolul 214.</w:t>
            </w:r>
            <w:r w:rsidRPr="00154588">
              <w:rPr>
                <w:sz w:val="20"/>
                <w:szCs w:val="20"/>
              </w:rPr>
              <w:t xml:space="preserve"> – Instrumentele publice de stabilizare financiară se utilizează în ultimă instanţă, în urma evaluării şi examinării posibilităţii de valorificare a altor instrumente de rezoluţie în măsură maxim posibilă, avînd în vedere şi necesitatea de menţinere, în acelaşi timp, a stabilităţii financiare, astfel cum a fost stabilit de ministerul competent după consultarea cu Banca Națională a Moldovei, în calitate de autoritate de rezoluție.</w:t>
            </w:r>
          </w:p>
          <w:p w14:paraId="246FBB87" w14:textId="77777777" w:rsidR="00F4284C" w:rsidRPr="00154588" w:rsidRDefault="00F4284C" w:rsidP="008C12B4">
            <w:pPr>
              <w:jc w:val="both"/>
              <w:rPr>
                <w:bCs/>
                <w:sz w:val="20"/>
                <w:szCs w:val="20"/>
              </w:rPr>
            </w:pPr>
          </w:p>
        </w:tc>
        <w:tc>
          <w:tcPr>
            <w:tcW w:w="2552" w:type="dxa"/>
          </w:tcPr>
          <w:p w14:paraId="79E5E9F2" w14:textId="7585F9BC" w:rsidR="00F4284C" w:rsidRPr="00154588" w:rsidRDefault="00F4284C" w:rsidP="008C12B4">
            <w:pPr>
              <w:jc w:val="both"/>
              <w:rPr>
                <w:bCs/>
                <w:sz w:val="20"/>
                <w:szCs w:val="20"/>
              </w:rPr>
            </w:pPr>
            <w:r w:rsidRPr="00154588">
              <w:rPr>
                <w:bCs/>
                <w:sz w:val="20"/>
                <w:szCs w:val="20"/>
              </w:rPr>
              <w:t>Compatibil</w:t>
            </w:r>
          </w:p>
        </w:tc>
        <w:tc>
          <w:tcPr>
            <w:tcW w:w="3118" w:type="dxa"/>
          </w:tcPr>
          <w:p w14:paraId="044CF136" w14:textId="77777777" w:rsidR="00F4284C" w:rsidRPr="00154588" w:rsidRDefault="00F4284C" w:rsidP="008C12B4">
            <w:pPr>
              <w:jc w:val="both"/>
              <w:rPr>
                <w:bCs/>
                <w:sz w:val="20"/>
                <w:szCs w:val="20"/>
              </w:rPr>
            </w:pPr>
          </w:p>
        </w:tc>
      </w:tr>
      <w:tr w:rsidR="00F4284C" w:rsidRPr="00154588" w14:paraId="264D75E2" w14:textId="77777777" w:rsidTr="00D15C1B">
        <w:trPr>
          <w:jc w:val="center"/>
        </w:trPr>
        <w:tc>
          <w:tcPr>
            <w:tcW w:w="4957" w:type="dxa"/>
            <w:gridSpan w:val="2"/>
          </w:tcPr>
          <w:p w14:paraId="06EC486E" w14:textId="77777777" w:rsidR="00F4284C" w:rsidRPr="00154588" w:rsidRDefault="00F4284C" w:rsidP="008C12B4">
            <w:pPr>
              <w:jc w:val="both"/>
              <w:rPr>
                <w:bCs/>
                <w:sz w:val="20"/>
                <w:szCs w:val="20"/>
              </w:rPr>
            </w:pPr>
            <w:r w:rsidRPr="00154588">
              <w:rPr>
                <w:bCs/>
                <w:sz w:val="20"/>
                <w:szCs w:val="20"/>
              </w:rPr>
              <w:t>(4)   Atunci când se recurge la instrumentele publice de stabilizare financiară, statele membre se asigură că ministerele sau guvernele lor competente și autoritatea de rezoluție aplică doar dacă sunt îndeplinite toate condițiile de la articolul 32 alineatul (1) precum și una dintre următoarele condiții:</w:t>
            </w:r>
          </w:p>
          <w:p w14:paraId="6CDFF54C" w14:textId="77777777" w:rsidR="00F4284C" w:rsidRPr="00154588" w:rsidRDefault="00F4284C" w:rsidP="008C12B4">
            <w:pPr>
              <w:jc w:val="both"/>
              <w:rPr>
                <w:bCs/>
                <w:sz w:val="20"/>
                <w:szCs w:val="20"/>
              </w:rPr>
            </w:pPr>
          </w:p>
          <w:p w14:paraId="6543D3FE" w14:textId="7F048E9C" w:rsidR="00F4284C" w:rsidRPr="00154588" w:rsidRDefault="00F4284C" w:rsidP="008C12B4">
            <w:pPr>
              <w:jc w:val="both"/>
              <w:rPr>
                <w:bCs/>
                <w:sz w:val="20"/>
                <w:szCs w:val="20"/>
              </w:rPr>
            </w:pPr>
            <w:r w:rsidRPr="00154588">
              <w:rPr>
                <w:bCs/>
                <w:sz w:val="20"/>
                <w:szCs w:val="20"/>
              </w:rPr>
              <w:t>(a) ministerul competent sau guvernul și autoritatea de rezoluție, după consultarea băncii centrale și a autorității competente, stabilesc că aplicarea instrumentelor de rezoluție nu ar fi suficientă pentru evitarea efectelor negative semnificative asupra stabilității financiare;</w:t>
            </w:r>
          </w:p>
          <w:p w14:paraId="76289B99" w14:textId="77777777" w:rsidR="00F4284C" w:rsidRPr="00154588" w:rsidRDefault="00F4284C" w:rsidP="008C12B4">
            <w:pPr>
              <w:jc w:val="both"/>
              <w:rPr>
                <w:bCs/>
                <w:sz w:val="20"/>
                <w:szCs w:val="20"/>
              </w:rPr>
            </w:pPr>
          </w:p>
          <w:p w14:paraId="32F5CE7D" w14:textId="726F2949" w:rsidR="00F4284C" w:rsidRPr="00154588" w:rsidRDefault="00F4284C" w:rsidP="008C12B4">
            <w:pPr>
              <w:jc w:val="both"/>
              <w:rPr>
                <w:bCs/>
                <w:sz w:val="20"/>
                <w:szCs w:val="20"/>
              </w:rPr>
            </w:pPr>
            <w:r w:rsidRPr="00154588">
              <w:rPr>
                <w:bCs/>
                <w:sz w:val="20"/>
                <w:szCs w:val="20"/>
              </w:rPr>
              <w:lastRenderedPageBreak/>
              <w:t>(b) ministerul competent sau guvernul și autoritatea de rezoluție stabilesc că aplicarea instrumentelor de rezoluție nu ar fi suficientă pentru protejarea interesului public, în cazul în care instituției i-a fost deja acordat anterior un aport extraordinar de lichiditate din partea băncii centrale;</w:t>
            </w:r>
          </w:p>
          <w:p w14:paraId="1AFF554C" w14:textId="77777777" w:rsidR="00F4284C" w:rsidRPr="00154588" w:rsidRDefault="00F4284C" w:rsidP="008C12B4">
            <w:pPr>
              <w:jc w:val="both"/>
              <w:rPr>
                <w:bCs/>
                <w:sz w:val="20"/>
                <w:szCs w:val="20"/>
              </w:rPr>
            </w:pPr>
          </w:p>
          <w:p w14:paraId="316A1B6E" w14:textId="45B2ABA1" w:rsidR="00F4284C" w:rsidRPr="00154588" w:rsidRDefault="00F4284C" w:rsidP="008C12B4">
            <w:pPr>
              <w:jc w:val="both"/>
              <w:rPr>
                <w:bCs/>
                <w:sz w:val="20"/>
                <w:szCs w:val="20"/>
              </w:rPr>
            </w:pPr>
            <w:r w:rsidRPr="00154588">
              <w:rPr>
                <w:bCs/>
                <w:sz w:val="20"/>
                <w:szCs w:val="20"/>
              </w:rPr>
              <w:t>(c) în ceea ce privește instrumentul de trecere temporară în proprietate publică, ministerul competent sau guvernul, după consultarea autorității competente și a autorității de rezoluție, stabilește că aplicarea instrumentelor de rezoluție nu ar fi suficientă pentru protejarea interesului public, în cazul în care instituției i-a fost deja acordat anterior sprijin financiar publicprin intermediul instrumentului de sprijin financiar prin aport de capital.</w:t>
            </w:r>
          </w:p>
        </w:tc>
        <w:tc>
          <w:tcPr>
            <w:tcW w:w="4819" w:type="dxa"/>
          </w:tcPr>
          <w:p w14:paraId="6E95761B" w14:textId="77777777" w:rsidR="00F4284C" w:rsidRPr="00154588" w:rsidRDefault="00F4284C" w:rsidP="008C12B4">
            <w:pPr>
              <w:ind w:firstLine="567"/>
              <w:jc w:val="both"/>
              <w:rPr>
                <w:sz w:val="20"/>
                <w:szCs w:val="20"/>
              </w:rPr>
            </w:pPr>
            <w:r w:rsidRPr="00154588">
              <w:rPr>
                <w:b/>
                <w:sz w:val="20"/>
                <w:szCs w:val="20"/>
              </w:rPr>
              <w:lastRenderedPageBreak/>
              <w:t>Articolul 215.</w:t>
            </w:r>
            <w:r w:rsidRPr="00154588">
              <w:rPr>
                <w:sz w:val="20"/>
                <w:szCs w:val="20"/>
              </w:rPr>
              <w:t xml:space="preserve"> – Ministerul Finanțelor, aprobă decizia de aplicare a instrumentelor publice de stabilizare financiară, doar dacă sînt îndeplinite toate condiţiile de la art.58 alin.(1), precum şi una dintre următoarele condiţii:</w:t>
            </w:r>
          </w:p>
          <w:p w14:paraId="76E0D8ED" w14:textId="77777777" w:rsidR="00F4284C" w:rsidRPr="00154588" w:rsidRDefault="00F4284C" w:rsidP="008C12B4">
            <w:pPr>
              <w:ind w:firstLine="567"/>
              <w:jc w:val="both"/>
              <w:rPr>
                <w:sz w:val="20"/>
                <w:szCs w:val="20"/>
              </w:rPr>
            </w:pPr>
            <w:r w:rsidRPr="00154588">
              <w:rPr>
                <w:sz w:val="20"/>
                <w:szCs w:val="20"/>
              </w:rPr>
              <w:t>a) Ministerul Finanţelor şi Banca Naţională a Moldovei, în calitate de autoritate de rezoluţie, determină că aplicarea instrumentelor de rezoluţie nu ar fi suficientă pentru evitarea efectelor negative semnificative asupra sistemului financiar. Banca Naţională a Moldovei se asigură că analiza în cauză are în vedere şi competenţele sale de bancă centrală şi de autoritate competentă;</w:t>
            </w:r>
          </w:p>
          <w:p w14:paraId="2AEEE453" w14:textId="77777777" w:rsidR="00F4284C" w:rsidRPr="00154588" w:rsidRDefault="00F4284C" w:rsidP="008C12B4">
            <w:pPr>
              <w:ind w:firstLine="567"/>
              <w:jc w:val="both"/>
              <w:rPr>
                <w:sz w:val="20"/>
                <w:szCs w:val="20"/>
              </w:rPr>
            </w:pPr>
            <w:r w:rsidRPr="00154588">
              <w:rPr>
                <w:sz w:val="20"/>
                <w:szCs w:val="20"/>
              </w:rPr>
              <w:t xml:space="preserve">b) Ministerul Finanţelor şi Banca Naţională a Moldovei, în calitate de autoritate de rezoluţie, </w:t>
            </w:r>
            <w:r w:rsidRPr="00154588">
              <w:rPr>
                <w:sz w:val="20"/>
                <w:szCs w:val="20"/>
              </w:rPr>
              <w:lastRenderedPageBreak/>
              <w:t>determină că aplicarea instrumentelor de rezoluţie nu ar fi suficientă pentru protejarea interesului public, în cazul în care instituției de credit i-a fost deja acordat anterior un aport extraordinar de lichiditate din partea Băncii Naţionale a Moldovei, în calitate de bancă centrală;</w:t>
            </w:r>
          </w:p>
          <w:p w14:paraId="29BA111B" w14:textId="77777777" w:rsidR="00F4284C" w:rsidRPr="00154588" w:rsidRDefault="00F4284C" w:rsidP="008C12B4">
            <w:pPr>
              <w:ind w:firstLine="567"/>
              <w:jc w:val="both"/>
              <w:rPr>
                <w:sz w:val="20"/>
                <w:szCs w:val="20"/>
              </w:rPr>
            </w:pPr>
            <w:r w:rsidRPr="00154588">
              <w:rPr>
                <w:sz w:val="20"/>
                <w:szCs w:val="20"/>
              </w:rPr>
              <w:t>c) în ceea ce priveşte instrumentul de trecere temporară în proprietatea privată a statului, Ministerul Finanţelor, în calitate de minister competent, determină că aplicarea instrumentelor de rezoluţie nu ar fi suficientă pentru protejarea interesului public, în cazul în care instituției de credit i-a fost deja acordat anterior un aport public de capital prin intermediul instrumentului de sprijin financiar prin aport de capital. Această decizie se ia după consultarea Băncii Naţionale a Moldovei, în calitate de autoritate competentă şi de rezoluţie.</w:t>
            </w:r>
          </w:p>
          <w:p w14:paraId="12710F08" w14:textId="77777777" w:rsidR="00F4284C" w:rsidRPr="00154588" w:rsidRDefault="00F4284C" w:rsidP="008C12B4">
            <w:pPr>
              <w:jc w:val="both"/>
              <w:rPr>
                <w:bCs/>
                <w:sz w:val="20"/>
                <w:szCs w:val="20"/>
              </w:rPr>
            </w:pPr>
          </w:p>
        </w:tc>
        <w:tc>
          <w:tcPr>
            <w:tcW w:w="2552" w:type="dxa"/>
          </w:tcPr>
          <w:p w14:paraId="268DAEF6" w14:textId="2FCA9164"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247DD395" w14:textId="77777777" w:rsidR="00F4284C" w:rsidRPr="00154588" w:rsidRDefault="00F4284C" w:rsidP="008C12B4">
            <w:pPr>
              <w:jc w:val="both"/>
              <w:rPr>
                <w:bCs/>
                <w:sz w:val="20"/>
                <w:szCs w:val="20"/>
              </w:rPr>
            </w:pPr>
          </w:p>
        </w:tc>
      </w:tr>
      <w:tr w:rsidR="00F4284C" w:rsidRPr="00154588" w14:paraId="01FC849E" w14:textId="77777777" w:rsidTr="00D15C1B">
        <w:trPr>
          <w:jc w:val="center"/>
        </w:trPr>
        <w:tc>
          <w:tcPr>
            <w:tcW w:w="4957" w:type="dxa"/>
            <w:gridSpan w:val="2"/>
          </w:tcPr>
          <w:p w14:paraId="238A5E18" w14:textId="77777777" w:rsidR="00F4284C" w:rsidRPr="00154588" w:rsidRDefault="00F4284C" w:rsidP="008C12B4">
            <w:pPr>
              <w:jc w:val="both"/>
              <w:rPr>
                <w:bCs/>
                <w:sz w:val="20"/>
                <w:szCs w:val="20"/>
              </w:rPr>
            </w:pPr>
            <w:r w:rsidRPr="00154588">
              <w:rPr>
                <w:bCs/>
                <w:sz w:val="20"/>
                <w:szCs w:val="20"/>
              </w:rPr>
              <w:t>(5)   Instrumentele de stabilizare financiară constau în:</w:t>
            </w:r>
          </w:p>
          <w:p w14:paraId="59C4B49F" w14:textId="77777777" w:rsidR="00F4284C" w:rsidRPr="00154588" w:rsidRDefault="00F4284C" w:rsidP="008C12B4">
            <w:pPr>
              <w:jc w:val="both"/>
              <w:rPr>
                <w:bCs/>
                <w:sz w:val="20"/>
                <w:szCs w:val="20"/>
              </w:rPr>
            </w:pPr>
          </w:p>
          <w:p w14:paraId="6BC1985D" w14:textId="77777777" w:rsidR="00F4284C" w:rsidRPr="00154588" w:rsidRDefault="00F4284C" w:rsidP="008C12B4">
            <w:pPr>
              <w:jc w:val="both"/>
              <w:rPr>
                <w:bCs/>
                <w:sz w:val="20"/>
                <w:szCs w:val="20"/>
              </w:rPr>
            </w:pPr>
          </w:p>
          <w:p w14:paraId="0F5CB6CB" w14:textId="5F4B5D62" w:rsidR="00F4284C" w:rsidRPr="00154588" w:rsidRDefault="00F4284C" w:rsidP="008C12B4">
            <w:pPr>
              <w:jc w:val="both"/>
              <w:rPr>
                <w:bCs/>
                <w:sz w:val="20"/>
                <w:szCs w:val="20"/>
              </w:rPr>
            </w:pPr>
            <w:r w:rsidRPr="00154588">
              <w:rPr>
                <w:bCs/>
                <w:sz w:val="20"/>
                <w:szCs w:val="20"/>
              </w:rPr>
              <w:t>(a) instrumentul de sprijin financiar prin aport public de capital prevăzut la articolul 57;</w:t>
            </w:r>
          </w:p>
          <w:p w14:paraId="72DD3880" w14:textId="77777777" w:rsidR="00F4284C" w:rsidRPr="00154588" w:rsidRDefault="00F4284C" w:rsidP="008C12B4">
            <w:pPr>
              <w:jc w:val="both"/>
              <w:rPr>
                <w:bCs/>
                <w:sz w:val="20"/>
                <w:szCs w:val="20"/>
              </w:rPr>
            </w:pPr>
          </w:p>
          <w:p w14:paraId="3851FC7A" w14:textId="2519868C" w:rsidR="00F4284C" w:rsidRPr="00154588" w:rsidRDefault="00F4284C" w:rsidP="008C12B4">
            <w:pPr>
              <w:jc w:val="both"/>
              <w:rPr>
                <w:bCs/>
                <w:sz w:val="20"/>
                <w:szCs w:val="20"/>
              </w:rPr>
            </w:pPr>
            <w:r w:rsidRPr="00154588">
              <w:rPr>
                <w:bCs/>
                <w:sz w:val="20"/>
                <w:szCs w:val="20"/>
              </w:rPr>
              <w:t>(b) instrumentul de trecerea temporară în proprietate publică prevăzut la articolul 58.</w:t>
            </w:r>
          </w:p>
        </w:tc>
        <w:tc>
          <w:tcPr>
            <w:tcW w:w="4819" w:type="dxa"/>
          </w:tcPr>
          <w:p w14:paraId="1E52E16B" w14:textId="77777777" w:rsidR="00F4284C" w:rsidRPr="00154588" w:rsidRDefault="00F4284C" w:rsidP="008C12B4">
            <w:pPr>
              <w:ind w:firstLine="567"/>
              <w:jc w:val="both"/>
              <w:rPr>
                <w:sz w:val="20"/>
                <w:szCs w:val="20"/>
              </w:rPr>
            </w:pPr>
            <w:r w:rsidRPr="00154588">
              <w:rPr>
                <w:b/>
                <w:sz w:val="20"/>
                <w:szCs w:val="20"/>
              </w:rPr>
              <w:t>Articolul 216. –</w:t>
            </w:r>
            <w:r w:rsidRPr="00154588">
              <w:rPr>
                <w:sz w:val="20"/>
                <w:szCs w:val="20"/>
              </w:rPr>
              <w:t xml:space="preserve"> Instrumentele de stabilizare financiară sînt următoarele:</w:t>
            </w:r>
          </w:p>
          <w:p w14:paraId="6C9E99CA" w14:textId="77777777" w:rsidR="00F4284C" w:rsidRPr="00154588" w:rsidRDefault="00F4284C" w:rsidP="008C12B4">
            <w:pPr>
              <w:ind w:firstLine="567"/>
              <w:jc w:val="both"/>
              <w:rPr>
                <w:sz w:val="20"/>
                <w:szCs w:val="20"/>
              </w:rPr>
            </w:pPr>
            <w:r w:rsidRPr="00154588">
              <w:rPr>
                <w:sz w:val="20"/>
                <w:szCs w:val="20"/>
              </w:rPr>
              <w:t>a) instrumentul de sprijin financiar prin aport public de capital prevăzut la art.217;</w:t>
            </w:r>
          </w:p>
          <w:p w14:paraId="1B7EC502" w14:textId="77777777" w:rsidR="00F4284C" w:rsidRPr="00154588" w:rsidRDefault="00F4284C" w:rsidP="008C12B4">
            <w:pPr>
              <w:ind w:firstLine="567"/>
              <w:jc w:val="both"/>
              <w:rPr>
                <w:sz w:val="20"/>
                <w:szCs w:val="20"/>
              </w:rPr>
            </w:pPr>
            <w:r w:rsidRPr="00154588">
              <w:rPr>
                <w:sz w:val="20"/>
                <w:szCs w:val="20"/>
              </w:rPr>
              <w:t>b) instrumentul de trecere temporară în proprietatea privată a statului prevăzut la art.218.</w:t>
            </w:r>
          </w:p>
          <w:p w14:paraId="549A71F1" w14:textId="77777777" w:rsidR="00F4284C" w:rsidRPr="00154588" w:rsidRDefault="00F4284C" w:rsidP="008C12B4">
            <w:pPr>
              <w:jc w:val="both"/>
              <w:rPr>
                <w:bCs/>
                <w:sz w:val="20"/>
                <w:szCs w:val="20"/>
              </w:rPr>
            </w:pPr>
          </w:p>
        </w:tc>
        <w:tc>
          <w:tcPr>
            <w:tcW w:w="2552" w:type="dxa"/>
          </w:tcPr>
          <w:p w14:paraId="02701FCE" w14:textId="093878FB" w:rsidR="00F4284C" w:rsidRPr="00154588" w:rsidRDefault="00F4284C" w:rsidP="008C12B4">
            <w:pPr>
              <w:jc w:val="both"/>
              <w:rPr>
                <w:bCs/>
                <w:sz w:val="20"/>
                <w:szCs w:val="20"/>
              </w:rPr>
            </w:pPr>
            <w:r w:rsidRPr="00154588">
              <w:rPr>
                <w:bCs/>
                <w:sz w:val="20"/>
                <w:szCs w:val="20"/>
              </w:rPr>
              <w:t>Compatibil</w:t>
            </w:r>
          </w:p>
        </w:tc>
        <w:tc>
          <w:tcPr>
            <w:tcW w:w="3118" w:type="dxa"/>
          </w:tcPr>
          <w:p w14:paraId="2280DB88" w14:textId="77777777" w:rsidR="00F4284C" w:rsidRPr="00154588" w:rsidRDefault="00F4284C" w:rsidP="008C12B4">
            <w:pPr>
              <w:jc w:val="both"/>
              <w:rPr>
                <w:bCs/>
                <w:sz w:val="20"/>
                <w:szCs w:val="20"/>
              </w:rPr>
            </w:pPr>
          </w:p>
        </w:tc>
      </w:tr>
      <w:tr w:rsidR="00F4284C" w:rsidRPr="00154588" w14:paraId="074AEA9A" w14:textId="77777777" w:rsidTr="00D15C1B">
        <w:trPr>
          <w:jc w:val="center"/>
        </w:trPr>
        <w:tc>
          <w:tcPr>
            <w:tcW w:w="4957" w:type="dxa"/>
            <w:gridSpan w:val="2"/>
          </w:tcPr>
          <w:p w14:paraId="00FC668B" w14:textId="77777777" w:rsidR="00F4284C" w:rsidRPr="00154588" w:rsidRDefault="00F4284C" w:rsidP="008C12B4">
            <w:pPr>
              <w:jc w:val="both"/>
              <w:rPr>
                <w:b/>
                <w:sz w:val="20"/>
                <w:szCs w:val="20"/>
              </w:rPr>
            </w:pPr>
            <w:r w:rsidRPr="00154588">
              <w:rPr>
                <w:b/>
                <w:sz w:val="20"/>
                <w:szCs w:val="20"/>
              </w:rPr>
              <w:t>Articolul 57</w:t>
            </w:r>
          </w:p>
          <w:p w14:paraId="6DF68376" w14:textId="77777777" w:rsidR="00F4284C" w:rsidRPr="00154588" w:rsidRDefault="00F4284C" w:rsidP="008C12B4">
            <w:pPr>
              <w:jc w:val="both"/>
              <w:rPr>
                <w:b/>
                <w:sz w:val="20"/>
                <w:szCs w:val="20"/>
              </w:rPr>
            </w:pPr>
          </w:p>
          <w:p w14:paraId="6525645E" w14:textId="251E4313" w:rsidR="00F4284C" w:rsidRPr="00154588" w:rsidRDefault="00F4284C" w:rsidP="008C12B4">
            <w:pPr>
              <w:jc w:val="both"/>
              <w:rPr>
                <w:bCs/>
                <w:sz w:val="20"/>
                <w:szCs w:val="20"/>
              </w:rPr>
            </w:pPr>
            <w:r w:rsidRPr="00154588">
              <w:rPr>
                <w:b/>
                <w:sz w:val="20"/>
                <w:szCs w:val="20"/>
              </w:rPr>
              <w:t>Instrumentul de sprijin financiar prin aport public de capital</w:t>
            </w:r>
          </w:p>
        </w:tc>
        <w:tc>
          <w:tcPr>
            <w:tcW w:w="4819" w:type="dxa"/>
          </w:tcPr>
          <w:p w14:paraId="18092B87" w14:textId="77777777" w:rsidR="00F4284C" w:rsidRPr="00154588" w:rsidRDefault="00F4284C" w:rsidP="008C12B4">
            <w:pPr>
              <w:jc w:val="both"/>
              <w:rPr>
                <w:bCs/>
                <w:sz w:val="20"/>
                <w:szCs w:val="20"/>
              </w:rPr>
            </w:pPr>
          </w:p>
        </w:tc>
        <w:tc>
          <w:tcPr>
            <w:tcW w:w="2552" w:type="dxa"/>
          </w:tcPr>
          <w:p w14:paraId="1581D4C8" w14:textId="77777777" w:rsidR="00F4284C" w:rsidRPr="00154588" w:rsidRDefault="00F4284C" w:rsidP="008C12B4">
            <w:pPr>
              <w:jc w:val="both"/>
              <w:rPr>
                <w:bCs/>
                <w:sz w:val="20"/>
                <w:szCs w:val="20"/>
              </w:rPr>
            </w:pPr>
          </w:p>
        </w:tc>
        <w:tc>
          <w:tcPr>
            <w:tcW w:w="3118" w:type="dxa"/>
          </w:tcPr>
          <w:p w14:paraId="30CCACB0" w14:textId="77777777" w:rsidR="00F4284C" w:rsidRPr="00154588" w:rsidRDefault="00F4284C" w:rsidP="008C12B4">
            <w:pPr>
              <w:jc w:val="both"/>
              <w:rPr>
                <w:bCs/>
                <w:sz w:val="20"/>
                <w:szCs w:val="20"/>
              </w:rPr>
            </w:pPr>
          </w:p>
        </w:tc>
      </w:tr>
      <w:tr w:rsidR="00F4284C" w:rsidRPr="00154588" w14:paraId="775B1146" w14:textId="77777777" w:rsidTr="00D15C1B">
        <w:trPr>
          <w:jc w:val="center"/>
        </w:trPr>
        <w:tc>
          <w:tcPr>
            <w:tcW w:w="4957" w:type="dxa"/>
            <w:gridSpan w:val="2"/>
          </w:tcPr>
          <w:p w14:paraId="00BEA25A" w14:textId="77777777" w:rsidR="00F4284C" w:rsidRPr="00154588" w:rsidRDefault="00F4284C" w:rsidP="008C12B4">
            <w:pPr>
              <w:jc w:val="both"/>
              <w:rPr>
                <w:bCs/>
                <w:sz w:val="20"/>
                <w:szCs w:val="20"/>
              </w:rPr>
            </w:pPr>
            <w:r w:rsidRPr="00154588">
              <w:rPr>
                <w:bCs/>
                <w:sz w:val="20"/>
                <w:szCs w:val="20"/>
              </w:rPr>
              <w:t>(1)   Respectând legislația națională privind societățile comerciale, statele membre pot să participe la recapitalizarea unei instituții sau a unei entități menționate la articolul 1 alineatul (1) litera (b), (c) sau (d) din prezenta directivă prin aport de capital în schimbul următoarelor instrumente, sub rezerva condițiilor prevăzute în Regulamentul (UE) nr. 575/2013:</w:t>
            </w:r>
          </w:p>
          <w:p w14:paraId="5993C96A" w14:textId="77777777" w:rsidR="00F4284C" w:rsidRPr="00154588" w:rsidRDefault="00F4284C" w:rsidP="008C12B4">
            <w:pPr>
              <w:jc w:val="both"/>
              <w:rPr>
                <w:bCs/>
                <w:sz w:val="20"/>
                <w:szCs w:val="20"/>
              </w:rPr>
            </w:pPr>
          </w:p>
          <w:p w14:paraId="0540AB38" w14:textId="45333C0E" w:rsidR="00F4284C" w:rsidRPr="00154588" w:rsidRDefault="00F4284C" w:rsidP="008C12B4">
            <w:pPr>
              <w:jc w:val="both"/>
              <w:rPr>
                <w:bCs/>
                <w:sz w:val="20"/>
                <w:szCs w:val="20"/>
              </w:rPr>
            </w:pPr>
            <w:r w:rsidRPr="00154588">
              <w:rPr>
                <w:bCs/>
                <w:sz w:val="20"/>
                <w:szCs w:val="20"/>
              </w:rPr>
              <w:t>(a) instrumente de fonduri proprii de nivel 1 de bază;</w:t>
            </w:r>
          </w:p>
          <w:p w14:paraId="1CF5239A" w14:textId="77777777" w:rsidR="00F4284C" w:rsidRPr="00154588" w:rsidRDefault="00F4284C" w:rsidP="008C12B4">
            <w:pPr>
              <w:jc w:val="both"/>
              <w:rPr>
                <w:bCs/>
                <w:sz w:val="20"/>
                <w:szCs w:val="20"/>
              </w:rPr>
            </w:pPr>
          </w:p>
          <w:p w14:paraId="02BDD081" w14:textId="0123AC54" w:rsidR="00F4284C" w:rsidRPr="00154588" w:rsidRDefault="00F4284C" w:rsidP="008C12B4">
            <w:pPr>
              <w:jc w:val="both"/>
              <w:rPr>
                <w:bCs/>
                <w:sz w:val="20"/>
                <w:szCs w:val="20"/>
              </w:rPr>
            </w:pPr>
            <w:r w:rsidRPr="00154588">
              <w:rPr>
                <w:bCs/>
                <w:sz w:val="20"/>
                <w:szCs w:val="20"/>
              </w:rPr>
              <w:t>(b) instrumente de fonduri proprii de nivel 1 suplimentar sau de nivel 2.</w:t>
            </w:r>
          </w:p>
        </w:tc>
        <w:tc>
          <w:tcPr>
            <w:tcW w:w="4819" w:type="dxa"/>
          </w:tcPr>
          <w:p w14:paraId="161F6D38" w14:textId="77777777" w:rsidR="00F4284C" w:rsidRPr="00154588" w:rsidRDefault="00F4284C" w:rsidP="008C12B4">
            <w:pPr>
              <w:ind w:firstLine="567"/>
              <w:jc w:val="both"/>
              <w:rPr>
                <w:sz w:val="20"/>
                <w:szCs w:val="20"/>
              </w:rPr>
            </w:pPr>
            <w:r w:rsidRPr="00154588">
              <w:rPr>
                <w:b/>
                <w:sz w:val="20"/>
                <w:szCs w:val="20"/>
              </w:rPr>
              <w:t>Articolul 217.</w:t>
            </w:r>
            <w:r w:rsidRPr="00154588">
              <w:rPr>
                <w:sz w:val="20"/>
                <w:szCs w:val="20"/>
              </w:rPr>
              <w:t xml:space="preserve"> – (1) Cu respectarea prevederilor cadrului legislativ privind societăţile comerciale, Ministerul Finanţelor poate să participe</w:t>
            </w:r>
            <w:r w:rsidRPr="00154588" w:rsidDel="00764FC2">
              <w:rPr>
                <w:sz w:val="20"/>
                <w:szCs w:val="20"/>
              </w:rPr>
              <w:t xml:space="preserve"> </w:t>
            </w:r>
            <w:r w:rsidRPr="00154588">
              <w:rPr>
                <w:sz w:val="20"/>
                <w:szCs w:val="20"/>
              </w:rPr>
              <w:t>la recapitalizarea unei instituţii de credit sau a unei entităţi menţionate la art.1 alin.(1) lit.b), c) sau d), prin aport de capital în schimbul următoarelor instrumente, cu respectarea cerinţelor prevăzute în Legea nr.202/2017 , cu modificările ulterioare:</w:t>
            </w:r>
          </w:p>
          <w:p w14:paraId="4EADA8F4" w14:textId="77777777" w:rsidR="00F4284C" w:rsidRPr="00154588" w:rsidRDefault="00F4284C" w:rsidP="008C12B4">
            <w:pPr>
              <w:ind w:firstLine="567"/>
              <w:jc w:val="both"/>
              <w:rPr>
                <w:sz w:val="20"/>
                <w:szCs w:val="20"/>
              </w:rPr>
            </w:pPr>
            <w:r w:rsidRPr="00154588">
              <w:rPr>
                <w:sz w:val="20"/>
                <w:szCs w:val="20"/>
              </w:rPr>
              <w:t>a) instrumente de fonduri proprii de nivelul 1 de bază;</w:t>
            </w:r>
          </w:p>
          <w:p w14:paraId="77376789" w14:textId="77777777" w:rsidR="00F4284C" w:rsidRPr="00154588" w:rsidRDefault="00F4284C" w:rsidP="008C12B4">
            <w:pPr>
              <w:ind w:firstLine="567"/>
              <w:jc w:val="both"/>
              <w:rPr>
                <w:sz w:val="20"/>
                <w:szCs w:val="20"/>
              </w:rPr>
            </w:pPr>
            <w:r w:rsidRPr="00154588">
              <w:rPr>
                <w:sz w:val="20"/>
                <w:szCs w:val="20"/>
              </w:rPr>
              <w:t>b) instrumente de fonduri proprii de nivelul 1 suplimentar sau de nivelul 2.</w:t>
            </w:r>
          </w:p>
          <w:p w14:paraId="2F853ECA" w14:textId="77777777" w:rsidR="00F4284C" w:rsidRPr="00154588" w:rsidRDefault="00F4284C" w:rsidP="008C12B4">
            <w:pPr>
              <w:ind w:firstLine="567"/>
              <w:jc w:val="both"/>
              <w:rPr>
                <w:bCs/>
                <w:sz w:val="20"/>
                <w:szCs w:val="20"/>
              </w:rPr>
            </w:pPr>
          </w:p>
        </w:tc>
        <w:tc>
          <w:tcPr>
            <w:tcW w:w="2552" w:type="dxa"/>
          </w:tcPr>
          <w:p w14:paraId="5197C38D" w14:textId="5685EBE1" w:rsidR="00F4284C" w:rsidRPr="00154588" w:rsidRDefault="00F4284C" w:rsidP="008C12B4">
            <w:pPr>
              <w:jc w:val="both"/>
              <w:rPr>
                <w:bCs/>
                <w:sz w:val="20"/>
                <w:szCs w:val="20"/>
              </w:rPr>
            </w:pPr>
            <w:r w:rsidRPr="00154588">
              <w:rPr>
                <w:bCs/>
                <w:sz w:val="20"/>
                <w:szCs w:val="20"/>
              </w:rPr>
              <w:t>Compatibil</w:t>
            </w:r>
          </w:p>
        </w:tc>
        <w:tc>
          <w:tcPr>
            <w:tcW w:w="3118" w:type="dxa"/>
          </w:tcPr>
          <w:p w14:paraId="4635CB51" w14:textId="77777777" w:rsidR="00F4284C" w:rsidRPr="00154588" w:rsidRDefault="00F4284C" w:rsidP="008C12B4">
            <w:pPr>
              <w:jc w:val="both"/>
              <w:rPr>
                <w:bCs/>
                <w:sz w:val="20"/>
                <w:szCs w:val="20"/>
              </w:rPr>
            </w:pPr>
          </w:p>
        </w:tc>
      </w:tr>
      <w:tr w:rsidR="00F4284C" w:rsidRPr="00154588" w14:paraId="5BFFC0C2" w14:textId="77777777" w:rsidTr="00D15C1B">
        <w:trPr>
          <w:jc w:val="center"/>
        </w:trPr>
        <w:tc>
          <w:tcPr>
            <w:tcW w:w="4957" w:type="dxa"/>
            <w:gridSpan w:val="2"/>
          </w:tcPr>
          <w:p w14:paraId="5F1E1C23" w14:textId="247D8FF3" w:rsidR="00F4284C" w:rsidRPr="00154588" w:rsidRDefault="00F4284C" w:rsidP="008C12B4">
            <w:pPr>
              <w:jc w:val="both"/>
              <w:rPr>
                <w:bCs/>
                <w:sz w:val="20"/>
                <w:szCs w:val="20"/>
              </w:rPr>
            </w:pPr>
            <w:r w:rsidRPr="00154588">
              <w:rPr>
                <w:bCs/>
                <w:sz w:val="20"/>
                <w:szCs w:val="20"/>
              </w:rPr>
              <w:t xml:space="preserve">(2)   Statele membre se asigură, in măsura în care participarea lor într-o instituție sau o entitate </w:t>
            </w:r>
            <w:r w:rsidRPr="00154588">
              <w:rPr>
                <w:bCs/>
                <w:sz w:val="20"/>
                <w:szCs w:val="20"/>
              </w:rPr>
              <w:lastRenderedPageBreak/>
              <w:t>menționată la articolul 1alineatul (1) litera (b), (c) sau (d) o permite, că instituțiile sau entitățile care fac obiectul instrumentului de sprijin financiar prin aport de capital public în conformitate cu prezentul articol sunt administrate în mod profesionist și comercial.</w:t>
            </w:r>
          </w:p>
        </w:tc>
        <w:tc>
          <w:tcPr>
            <w:tcW w:w="4819" w:type="dxa"/>
          </w:tcPr>
          <w:p w14:paraId="6D586FF9" w14:textId="6F57A37D" w:rsidR="00F4284C" w:rsidRPr="00154588" w:rsidRDefault="00F4284C" w:rsidP="008C12B4">
            <w:pPr>
              <w:ind w:firstLine="567"/>
              <w:jc w:val="both"/>
              <w:rPr>
                <w:bCs/>
                <w:sz w:val="20"/>
                <w:szCs w:val="20"/>
              </w:rPr>
            </w:pPr>
            <w:r w:rsidRPr="00154588">
              <w:rPr>
                <w:b/>
                <w:sz w:val="20"/>
                <w:szCs w:val="20"/>
              </w:rPr>
              <w:lastRenderedPageBreak/>
              <w:t>Articolul 217.</w:t>
            </w:r>
            <w:r w:rsidRPr="00154588">
              <w:rPr>
                <w:sz w:val="20"/>
                <w:szCs w:val="20"/>
              </w:rPr>
              <w:t xml:space="preserve"> – (2) Ministerul Finanţelor trebuie să asigure, în măsura în care cota-parte de </w:t>
            </w:r>
            <w:r w:rsidRPr="00154588">
              <w:rPr>
                <w:sz w:val="20"/>
                <w:szCs w:val="20"/>
              </w:rPr>
              <w:lastRenderedPageBreak/>
              <w:t>capital pe care o deţine într-o instituţie de credit sau o entitate menţionată la art.1 alin.(1) lit.b), c) sau d)  o permite, administrarea în mod profesionist şi pe baze comerciale a respectivelor instituţii de credit sau a entităţi menţionate la art.1 alin.(1) lit.b), c) sau d)  care fac obiectul instrumentului de sprijin financiar prin aport public de capital în conformitate cu prevederile legislaţiei în vigoare.</w:t>
            </w:r>
          </w:p>
        </w:tc>
        <w:tc>
          <w:tcPr>
            <w:tcW w:w="2552" w:type="dxa"/>
          </w:tcPr>
          <w:p w14:paraId="6556EE1D" w14:textId="6AB70781"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52F9BDF4" w14:textId="77777777" w:rsidR="00F4284C" w:rsidRPr="00154588" w:rsidRDefault="00F4284C" w:rsidP="008C12B4">
            <w:pPr>
              <w:jc w:val="both"/>
              <w:rPr>
                <w:bCs/>
                <w:sz w:val="20"/>
                <w:szCs w:val="20"/>
              </w:rPr>
            </w:pPr>
          </w:p>
        </w:tc>
      </w:tr>
      <w:tr w:rsidR="00F4284C" w:rsidRPr="00154588" w14:paraId="1DE0BE94" w14:textId="77777777" w:rsidTr="00D15C1B">
        <w:trPr>
          <w:jc w:val="center"/>
        </w:trPr>
        <w:tc>
          <w:tcPr>
            <w:tcW w:w="4957" w:type="dxa"/>
            <w:gridSpan w:val="2"/>
          </w:tcPr>
          <w:p w14:paraId="36111083" w14:textId="65481383" w:rsidR="00F4284C" w:rsidRPr="00154588" w:rsidRDefault="00F4284C" w:rsidP="008C12B4">
            <w:pPr>
              <w:jc w:val="both"/>
              <w:rPr>
                <w:bCs/>
                <w:sz w:val="20"/>
                <w:szCs w:val="20"/>
              </w:rPr>
            </w:pPr>
            <w:r w:rsidRPr="00154588">
              <w:rPr>
                <w:bCs/>
                <w:sz w:val="20"/>
                <w:szCs w:val="20"/>
              </w:rPr>
              <w:t>(3)   În cazul în care un stat membru furnizează instrumentul de sprijin financiar prin aport public de capital în conformitate cu prezentul articol, acesta asigură transferul participării într-o instituție sau o entitate menționată la articolul 1 alineatul (1) litera (b), (c) sau (d) în sectorul privat imediat ce circumstanțele economice și financiare o permit.</w:t>
            </w:r>
          </w:p>
        </w:tc>
        <w:tc>
          <w:tcPr>
            <w:tcW w:w="4819" w:type="dxa"/>
          </w:tcPr>
          <w:p w14:paraId="6716E462" w14:textId="77777777" w:rsidR="00F4284C" w:rsidRPr="00154588" w:rsidRDefault="00F4284C" w:rsidP="008C12B4">
            <w:pPr>
              <w:ind w:firstLine="567"/>
              <w:jc w:val="both"/>
              <w:rPr>
                <w:sz w:val="20"/>
                <w:szCs w:val="20"/>
              </w:rPr>
            </w:pPr>
            <w:r w:rsidRPr="00154588">
              <w:rPr>
                <w:b/>
                <w:sz w:val="20"/>
                <w:szCs w:val="20"/>
              </w:rPr>
              <w:t>Articolul 217.</w:t>
            </w:r>
            <w:r w:rsidRPr="00154588">
              <w:rPr>
                <w:sz w:val="20"/>
                <w:szCs w:val="20"/>
              </w:rPr>
              <w:t xml:space="preserve"> – (3) În cazul în care instrumentul de sprijin financiar prin aport public de capital este implementat în conformitate cu prevederile prezentului articol, Ministerul Finanţelor trebuie să asigure transferarea capitalului deţinut la instituţia de credit sau entitatea menţionată la art.1 alin.(1) lit.b), c) sau d)  în sectorul privat, în temeiul unei hotărîri a Guvernului, imediat ce circumstanţele comerciale şi financiare o permit.</w:t>
            </w:r>
          </w:p>
          <w:p w14:paraId="43D792D7" w14:textId="77777777" w:rsidR="00F4284C" w:rsidRPr="00154588" w:rsidRDefault="00F4284C" w:rsidP="008C12B4">
            <w:pPr>
              <w:jc w:val="both"/>
              <w:rPr>
                <w:bCs/>
                <w:sz w:val="20"/>
                <w:szCs w:val="20"/>
              </w:rPr>
            </w:pPr>
          </w:p>
        </w:tc>
        <w:tc>
          <w:tcPr>
            <w:tcW w:w="2552" w:type="dxa"/>
          </w:tcPr>
          <w:p w14:paraId="04F69B05" w14:textId="0AA7C7DE" w:rsidR="00F4284C" w:rsidRPr="00154588" w:rsidRDefault="00F4284C" w:rsidP="008C12B4">
            <w:pPr>
              <w:jc w:val="both"/>
              <w:rPr>
                <w:bCs/>
                <w:sz w:val="20"/>
                <w:szCs w:val="20"/>
              </w:rPr>
            </w:pPr>
            <w:r w:rsidRPr="00154588">
              <w:rPr>
                <w:bCs/>
                <w:sz w:val="20"/>
                <w:szCs w:val="20"/>
              </w:rPr>
              <w:t>Compatibil</w:t>
            </w:r>
          </w:p>
        </w:tc>
        <w:tc>
          <w:tcPr>
            <w:tcW w:w="3118" w:type="dxa"/>
          </w:tcPr>
          <w:p w14:paraId="03A5C3CB" w14:textId="77777777" w:rsidR="00F4284C" w:rsidRPr="00154588" w:rsidRDefault="00F4284C" w:rsidP="008C12B4">
            <w:pPr>
              <w:jc w:val="both"/>
              <w:rPr>
                <w:bCs/>
                <w:sz w:val="20"/>
                <w:szCs w:val="20"/>
              </w:rPr>
            </w:pPr>
          </w:p>
        </w:tc>
      </w:tr>
      <w:tr w:rsidR="00F4284C" w:rsidRPr="00154588" w14:paraId="1F27249A" w14:textId="77777777" w:rsidTr="00D15C1B">
        <w:trPr>
          <w:jc w:val="center"/>
        </w:trPr>
        <w:tc>
          <w:tcPr>
            <w:tcW w:w="4957" w:type="dxa"/>
            <w:gridSpan w:val="2"/>
          </w:tcPr>
          <w:p w14:paraId="4E00ECE9" w14:textId="77777777" w:rsidR="00F4284C" w:rsidRPr="00154588" w:rsidRDefault="00F4284C" w:rsidP="008C12B4">
            <w:pPr>
              <w:jc w:val="both"/>
              <w:rPr>
                <w:b/>
                <w:sz w:val="20"/>
                <w:szCs w:val="20"/>
              </w:rPr>
            </w:pPr>
            <w:r w:rsidRPr="00154588">
              <w:rPr>
                <w:b/>
                <w:sz w:val="20"/>
                <w:szCs w:val="20"/>
              </w:rPr>
              <w:t>Articolul 58</w:t>
            </w:r>
          </w:p>
          <w:p w14:paraId="148D7E04" w14:textId="77777777" w:rsidR="00F4284C" w:rsidRPr="00154588" w:rsidRDefault="00F4284C" w:rsidP="008C12B4">
            <w:pPr>
              <w:jc w:val="both"/>
              <w:rPr>
                <w:b/>
                <w:sz w:val="20"/>
                <w:szCs w:val="20"/>
              </w:rPr>
            </w:pPr>
          </w:p>
          <w:p w14:paraId="3C9820B9" w14:textId="13281674" w:rsidR="00F4284C" w:rsidRPr="00154588" w:rsidRDefault="00F4284C" w:rsidP="008C12B4">
            <w:pPr>
              <w:jc w:val="both"/>
              <w:rPr>
                <w:bCs/>
                <w:sz w:val="20"/>
                <w:szCs w:val="20"/>
              </w:rPr>
            </w:pPr>
            <w:r w:rsidRPr="00154588">
              <w:rPr>
                <w:b/>
                <w:sz w:val="20"/>
                <w:szCs w:val="20"/>
              </w:rPr>
              <w:t>Instrumentul de trecerea temporară în proprietate publică</w:t>
            </w:r>
          </w:p>
        </w:tc>
        <w:tc>
          <w:tcPr>
            <w:tcW w:w="4819" w:type="dxa"/>
          </w:tcPr>
          <w:p w14:paraId="3F5EFFAC" w14:textId="77777777" w:rsidR="00F4284C" w:rsidRPr="00154588" w:rsidRDefault="00F4284C" w:rsidP="008C12B4">
            <w:pPr>
              <w:jc w:val="both"/>
              <w:rPr>
                <w:bCs/>
                <w:sz w:val="20"/>
                <w:szCs w:val="20"/>
              </w:rPr>
            </w:pPr>
          </w:p>
        </w:tc>
        <w:tc>
          <w:tcPr>
            <w:tcW w:w="2552" w:type="dxa"/>
          </w:tcPr>
          <w:p w14:paraId="59671110" w14:textId="77777777" w:rsidR="00F4284C" w:rsidRPr="00154588" w:rsidRDefault="00F4284C" w:rsidP="008C12B4">
            <w:pPr>
              <w:jc w:val="both"/>
              <w:rPr>
                <w:bCs/>
                <w:sz w:val="20"/>
                <w:szCs w:val="20"/>
              </w:rPr>
            </w:pPr>
          </w:p>
        </w:tc>
        <w:tc>
          <w:tcPr>
            <w:tcW w:w="3118" w:type="dxa"/>
          </w:tcPr>
          <w:p w14:paraId="6206817B" w14:textId="77777777" w:rsidR="00F4284C" w:rsidRPr="00154588" w:rsidRDefault="00F4284C" w:rsidP="008C12B4">
            <w:pPr>
              <w:jc w:val="both"/>
              <w:rPr>
                <w:bCs/>
                <w:sz w:val="20"/>
                <w:szCs w:val="20"/>
              </w:rPr>
            </w:pPr>
          </w:p>
        </w:tc>
      </w:tr>
      <w:tr w:rsidR="00F4284C" w:rsidRPr="00154588" w14:paraId="1A96C41C" w14:textId="77777777" w:rsidTr="00D15C1B">
        <w:trPr>
          <w:jc w:val="center"/>
        </w:trPr>
        <w:tc>
          <w:tcPr>
            <w:tcW w:w="4957" w:type="dxa"/>
            <w:gridSpan w:val="2"/>
          </w:tcPr>
          <w:p w14:paraId="19920EEB" w14:textId="53771AB4" w:rsidR="00F4284C" w:rsidRPr="00154588" w:rsidRDefault="00F4284C" w:rsidP="008C12B4">
            <w:pPr>
              <w:jc w:val="both"/>
              <w:rPr>
                <w:bCs/>
                <w:sz w:val="20"/>
                <w:szCs w:val="20"/>
              </w:rPr>
            </w:pPr>
            <w:r w:rsidRPr="00154588">
              <w:rPr>
                <w:bCs/>
                <w:sz w:val="20"/>
                <w:szCs w:val="20"/>
              </w:rPr>
              <w:t>(1)   Statele membre pot trece temporar în proprietate publică o instituție sau o entitate menționată la articolul 1 alineatul (1) litera (b), (c) sau (d).</w:t>
            </w:r>
          </w:p>
        </w:tc>
        <w:tc>
          <w:tcPr>
            <w:tcW w:w="4819" w:type="dxa"/>
          </w:tcPr>
          <w:p w14:paraId="15707D4C" w14:textId="77777777" w:rsidR="00F4284C" w:rsidRPr="00154588" w:rsidRDefault="00F4284C" w:rsidP="008C12B4">
            <w:pPr>
              <w:ind w:firstLine="567"/>
              <w:jc w:val="both"/>
              <w:rPr>
                <w:sz w:val="20"/>
                <w:szCs w:val="20"/>
              </w:rPr>
            </w:pPr>
            <w:r w:rsidRPr="00154588">
              <w:rPr>
                <w:b/>
                <w:sz w:val="20"/>
                <w:szCs w:val="20"/>
              </w:rPr>
              <w:t>Articolul 218.</w:t>
            </w:r>
            <w:r w:rsidRPr="00154588">
              <w:rPr>
                <w:sz w:val="20"/>
                <w:szCs w:val="20"/>
              </w:rPr>
              <w:t xml:space="preserve"> – (1) O instituţie de credit sau o entitate menţionată la art.1 alin.(1) lit.b), c) sau d)  poate fi trecută temporar în proprietatea privată a statului.</w:t>
            </w:r>
          </w:p>
          <w:p w14:paraId="764B08D9" w14:textId="77777777" w:rsidR="00F4284C" w:rsidRPr="00154588" w:rsidRDefault="00F4284C" w:rsidP="008C12B4">
            <w:pPr>
              <w:ind w:firstLine="567"/>
              <w:jc w:val="both"/>
              <w:rPr>
                <w:bCs/>
                <w:sz w:val="20"/>
                <w:szCs w:val="20"/>
              </w:rPr>
            </w:pPr>
          </w:p>
        </w:tc>
        <w:tc>
          <w:tcPr>
            <w:tcW w:w="2552" w:type="dxa"/>
          </w:tcPr>
          <w:p w14:paraId="7A8B5F90" w14:textId="61AB479E" w:rsidR="00F4284C" w:rsidRPr="00154588" w:rsidRDefault="00F4284C" w:rsidP="008C12B4">
            <w:pPr>
              <w:jc w:val="both"/>
              <w:rPr>
                <w:bCs/>
                <w:sz w:val="20"/>
                <w:szCs w:val="20"/>
              </w:rPr>
            </w:pPr>
            <w:r w:rsidRPr="00154588">
              <w:rPr>
                <w:bCs/>
                <w:sz w:val="20"/>
                <w:szCs w:val="20"/>
              </w:rPr>
              <w:t>Compatibil</w:t>
            </w:r>
          </w:p>
        </w:tc>
        <w:tc>
          <w:tcPr>
            <w:tcW w:w="3118" w:type="dxa"/>
          </w:tcPr>
          <w:p w14:paraId="4FDE07DB" w14:textId="77777777" w:rsidR="00F4284C" w:rsidRPr="00154588" w:rsidRDefault="00F4284C" w:rsidP="008C12B4">
            <w:pPr>
              <w:jc w:val="both"/>
              <w:rPr>
                <w:bCs/>
                <w:sz w:val="20"/>
                <w:szCs w:val="20"/>
              </w:rPr>
            </w:pPr>
          </w:p>
        </w:tc>
      </w:tr>
      <w:tr w:rsidR="00F4284C" w:rsidRPr="00154588" w14:paraId="348065B0" w14:textId="77777777" w:rsidTr="00D15C1B">
        <w:trPr>
          <w:jc w:val="center"/>
        </w:trPr>
        <w:tc>
          <w:tcPr>
            <w:tcW w:w="4957" w:type="dxa"/>
            <w:gridSpan w:val="2"/>
          </w:tcPr>
          <w:p w14:paraId="5B31B1AF" w14:textId="77777777" w:rsidR="00F4284C" w:rsidRPr="00154588" w:rsidRDefault="00F4284C" w:rsidP="008C12B4">
            <w:pPr>
              <w:jc w:val="both"/>
              <w:rPr>
                <w:bCs/>
                <w:sz w:val="20"/>
                <w:szCs w:val="20"/>
              </w:rPr>
            </w:pPr>
            <w:r w:rsidRPr="00154588">
              <w:rPr>
                <w:bCs/>
                <w:sz w:val="20"/>
                <w:szCs w:val="20"/>
              </w:rPr>
              <w:t>(2)   În acest scop, un stat membru poate face unul sau mai multe ordine de transfer în care beneficiarul transferului este:</w:t>
            </w:r>
          </w:p>
          <w:p w14:paraId="6D667A52" w14:textId="77777777" w:rsidR="00F4284C" w:rsidRPr="00154588" w:rsidRDefault="00F4284C" w:rsidP="008C12B4">
            <w:pPr>
              <w:jc w:val="both"/>
              <w:rPr>
                <w:bCs/>
                <w:sz w:val="20"/>
                <w:szCs w:val="20"/>
              </w:rPr>
            </w:pPr>
          </w:p>
          <w:p w14:paraId="1DA39640" w14:textId="71BFFD54" w:rsidR="00F4284C" w:rsidRPr="00154588" w:rsidRDefault="00F4284C" w:rsidP="008C12B4">
            <w:pPr>
              <w:jc w:val="both"/>
              <w:rPr>
                <w:bCs/>
                <w:sz w:val="20"/>
                <w:szCs w:val="20"/>
              </w:rPr>
            </w:pPr>
            <w:r w:rsidRPr="00154588">
              <w:rPr>
                <w:bCs/>
                <w:sz w:val="20"/>
                <w:szCs w:val="20"/>
              </w:rPr>
              <w:t>(a) o persoană desemnată de statul membru; sau</w:t>
            </w:r>
          </w:p>
          <w:p w14:paraId="27C7E3DA" w14:textId="77777777" w:rsidR="00F4284C" w:rsidRPr="00154588" w:rsidRDefault="00F4284C" w:rsidP="008C12B4">
            <w:pPr>
              <w:jc w:val="both"/>
              <w:rPr>
                <w:bCs/>
                <w:sz w:val="20"/>
                <w:szCs w:val="20"/>
              </w:rPr>
            </w:pPr>
          </w:p>
          <w:p w14:paraId="08392AA6" w14:textId="051CE0A3" w:rsidR="00F4284C" w:rsidRPr="00154588" w:rsidRDefault="00F4284C" w:rsidP="008C12B4">
            <w:pPr>
              <w:jc w:val="both"/>
              <w:rPr>
                <w:bCs/>
                <w:sz w:val="20"/>
                <w:szCs w:val="20"/>
              </w:rPr>
            </w:pPr>
            <w:r w:rsidRPr="00154588">
              <w:rPr>
                <w:bCs/>
                <w:sz w:val="20"/>
                <w:szCs w:val="20"/>
              </w:rPr>
              <w:t>(b) o întreprindere deținută în întregime de statul membru.</w:t>
            </w:r>
          </w:p>
        </w:tc>
        <w:tc>
          <w:tcPr>
            <w:tcW w:w="4819" w:type="dxa"/>
          </w:tcPr>
          <w:p w14:paraId="2ECEF999" w14:textId="32FC6731" w:rsidR="00F4284C" w:rsidRPr="00154588" w:rsidRDefault="00F4284C" w:rsidP="008C12B4">
            <w:pPr>
              <w:ind w:firstLine="567"/>
              <w:jc w:val="both"/>
              <w:rPr>
                <w:sz w:val="20"/>
                <w:szCs w:val="20"/>
              </w:rPr>
            </w:pPr>
            <w:r w:rsidRPr="00154588">
              <w:rPr>
                <w:b/>
                <w:sz w:val="20"/>
                <w:szCs w:val="20"/>
              </w:rPr>
              <w:t>Articolul 218.</w:t>
            </w:r>
            <w:r w:rsidRPr="00154588">
              <w:rPr>
                <w:sz w:val="20"/>
                <w:szCs w:val="20"/>
              </w:rPr>
              <w:t xml:space="preserve"> – (2) În aplicarea alin.(1),, Ministerul Finanţelor, în calitate de minister competent, face unul sau mai multe ordine de transfer în care beneficiarul transferului este o entitate desemnată de Guvern.</w:t>
            </w:r>
          </w:p>
          <w:p w14:paraId="0A4DADEB" w14:textId="77777777" w:rsidR="00F4284C" w:rsidRPr="00154588" w:rsidRDefault="00F4284C" w:rsidP="008C12B4">
            <w:pPr>
              <w:jc w:val="both"/>
              <w:rPr>
                <w:bCs/>
                <w:sz w:val="20"/>
                <w:szCs w:val="20"/>
              </w:rPr>
            </w:pPr>
          </w:p>
        </w:tc>
        <w:tc>
          <w:tcPr>
            <w:tcW w:w="2552" w:type="dxa"/>
          </w:tcPr>
          <w:p w14:paraId="1BD06474" w14:textId="02E76C8B" w:rsidR="00F4284C" w:rsidRPr="00154588" w:rsidRDefault="00F4284C" w:rsidP="008C12B4">
            <w:pPr>
              <w:jc w:val="both"/>
              <w:rPr>
                <w:bCs/>
                <w:sz w:val="20"/>
                <w:szCs w:val="20"/>
              </w:rPr>
            </w:pPr>
            <w:r w:rsidRPr="00154588">
              <w:rPr>
                <w:bCs/>
                <w:sz w:val="20"/>
                <w:szCs w:val="20"/>
              </w:rPr>
              <w:t>Compatibil</w:t>
            </w:r>
          </w:p>
        </w:tc>
        <w:tc>
          <w:tcPr>
            <w:tcW w:w="3118" w:type="dxa"/>
          </w:tcPr>
          <w:p w14:paraId="24AA7B9A" w14:textId="77777777" w:rsidR="00F4284C" w:rsidRPr="00154588" w:rsidRDefault="00F4284C" w:rsidP="008C12B4">
            <w:pPr>
              <w:jc w:val="both"/>
              <w:rPr>
                <w:bCs/>
                <w:sz w:val="20"/>
                <w:szCs w:val="20"/>
              </w:rPr>
            </w:pPr>
          </w:p>
        </w:tc>
      </w:tr>
      <w:tr w:rsidR="00F4284C" w:rsidRPr="00154588" w14:paraId="3137156C" w14:textId="77777777" w:rsidTr="00D15C1B">
        <w:trPr>
          <w:jc w:val="center"/>
        </w:trPr>
        <w:tc>
          <w:tcPr>
            <w:tcW w:w="4957" w:type="dxa"/>
            <w:gridSpan w:val="2"/>
          </w:tcPr>
          <w:p w14:paraId="10BFE810" w14:textId="5FE5EB5B" w:rsidR="00F4284C" w:rsidRPr="00154588" w:rsidRDefault="00F4284C" w:rsidP="008C12B4">
            <w:pPr>
              <w:jc w:val="both"/>
              <w:rPr>
                <w:bCs/>
                <w:sz w:val="20"/>
                <w:szCs w:val="20"/>
              </w:rPr>
            </w:pPr>
            <w:r w:rsidRPr="00154588">
              <w:rPr>
                <w:bCs/>
                <w:sz w:val="20"/>
                <w:szCs w:val="20"/>
              </w:rPr>
              <w:t xml:space="preserve">(3)   Statele membre se asigură că instituțiile sau entitățile menționate la articolul 1 alineatul (1) litera (b), (c) sau (d) care fac obiectul </w:t>
            </w:r>
            <w:r w:rsidRPr="00154588">
              <w:rPr>
                <w:sz w:val="20"/>
                <w:szCs w:val="20"/>
              </w:rPr>
              <w:t>instrumentului de trecere temporară în proprietate publică</w:t>
            </w:r>
            <w:r w:rsidRPr="00154588">
              <w:rPr>
                <w:bCs/>
                <w:sz w:val="20"/>
                <w:szCs w:val="20"/>
              </w:rPr>
              <w:t xml:space="preserve"> în conformitate cu prezentul articol sunt administrate în mod profesionist și comercial și redevin private imediat ce circumstanțele economice și financiare o permit.</w:t>
            </w:r>
          </w:p>
        </w:tc>
        <w:tc>
          <w:tcPr>
            <w:tcW w:w="4819" w:type="dxa"/>
          </w:tcPr>
          <w:p w14:paraId="76C64C16" w14:textId="180F8BC9" w:rsidR="00F4284C" w:rsidRPr="00154588" w:rsidRDefault="00F4284C" w:rsidP="008C12B4">
            <w:pPr>
              <w:ind w:firstLine="567"/>
              <w:jc w:val="both"/>
              <w:rPr>
                <w:sz w:val="20"/>
                <w:szCs w:val="20"/>
              </w:rPr>
            </w:pPr>
            <w:r w:rsidRPr="00154588">
              <w:rPr>
                <w:b/>
                <w:sz w:val="20"/>
                <w:szCs w:val="20"/>
              </w:rPr>
              <w:t>Articolul 218.</w:t>
            </w:r>
            <w:r w:rsidRPr="00154588">
              <w:rPr>
                <w:sz w:val="20"/>
                <w:szCs w:val="20"/>
              </w:rPr>
              <w:t xml:space="preserve"> – (3) Ministerul Finanţelor, în calitate de minister competent, trebuie să asigure că instituţiile de credit sau entităţile menţionate la art.1 alin.(1) lit.b), c) sau d), care fac obiectul instrumentului de trecere temporară în proprietate privată a statului în conformitate cu prevederile prezentului articol, sînt administrate în mod profesionist şi pe baze comerciale şi redevin private, în temeiul unei hotărîri a Guvernului, imediat ce circumstanţele comerciale şi financiare o permit.</w:t>
            </w:r>
          </w:p>
          <w:p w14:paraId="1D839FEC" w14:textId="77777777" w:rsidR="00F4284C" w:rsidRPr="00154588" w:rsidRDefault="00F4284C" w:rsidP="008C12B4">
            <w:pPr>
              <w:jc w:val="both"/>
              <w:rPr>
                <w:bCs/>
                <w:sz w:val="20"/>
                <w:szCs w:val="20"/>
              </w:rPr>
            </w:pPr>
          </w:p>
        </w:tc>
        <w:tc>
          <w:tcPr>
            <w:tcW w:w="2552" w:type="dxa"/>
          </w:tcPr>
          <w:p w14:paraId="1BFC1D0E" w14:textId="033BB271"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31F3527E" w14:textId="0AEB6180" w:rsidR="00F4284C" w:rsidRPr="00154588" w:rsidRDefault="00F4284C" w:rsidP="008C12B4">
            <w:pPr>
              <w:jc w:val="both"/>
              <w:rPr>
                <w:bCs/>
                <w:sz w:val="20"/>
                <w:szCs w:val="20"/>
              </w:rPr>
            </w:pPr>
          </w:p>
        </w:tc>
      </w:tr>
      <w:tr w:rsidR="00F4284C" w:rsidRPr="00154588" w14:paraId="1B3BFF12" w14:textId="77777777" w:rsidTr="00D15C1B">
        <w:trPr>
          <w:jc w:val="center"/>
        </w:trPr>
        <w:tc>
          <w:tcPr>
            <w:tcW w:w="4957" w:type="dxa"/>
            <w:gridSpan w:val="2"/>
          </w:tcPr>
          <w:p w14:paraId="17A5E022" w14:textId="77777777" w:rsidR="00F4284C" w:rsidRPr="00154588" w:rsidRDefault="00F4284C" w:rsidP="008C12B4">
            <w:pPr>
              <w:jc w:val="both"/>
              <w:rPr>
                <w:b/>
                <w:sz w:val="20"/>
                <w:szCs w:val="20"/>
              </w:rPr>
            </w:pPr>
            <w:r w:rsidRPr="00154588">
              <w:rPr>
                <w:b/>
                <w:sz w:val="20"/>
                <w:szCs w:val="20"/>
              </w:rPr>
              <w:t>CAPITOLUL V</w:t>
            </w:r>
          </w:p>
          <w:p w14:paraId="3EEBD876" w14:textId="77777777" w:rsidR="00F4284C" w:rsidRPr="00154588" w:rsidRDefault="00F4284C" w:rsidP="008C12B4">
            <w:pPr>
              <w:jc w:val="both"/>
              <w:rPr>
                <w:b/>
                <w:sz w:val="20"/>
                <w:szCs w:val="20"/>
              </w:rPr>
            </w:pPr>
          </w:p>
          <w:p w14:paraId="49EFD1B9" w14:textId="53CB234D" w:rsidR="00F4284C" w:rsidRPr="00154588" w:rsidRDefault="00F4284C" w:rsidP="008C12B4">
            <w:pPr>
              <w:jc w:val="both"/>
              <w:rPr>
                <w:bCs/>
                <w:sz w:val="20"/>
                <w:szCs w:val="20"/>
              </w:rPr>
            </w:pPr>
            <w:r w:rsidRPr="00154588">
              <w:rPr>
                <w:b/>
                <w:sz w:val="20"/>
                <w:szCs w:val="20"/>
              </w:rPr>
              <w:t>Reducerea valorii sau conversia instrumentelor de capital și a datoriilor eligibile</w:t>
            </w:r>
          </w:p>
        </w:tc>
        <w:tc>
          <w:tcPr>
            <w:tcW w:w="4819" w:type="dxa"/>
          </w:tcPr>
          <w:p w14:paraId="077586B3" w14:textId="77777777" w:rsidR="00F4284C" w:rsidRPr="00154588" w:rsidRDefault="00F4284C" w:rsidP="008C12B4">
            <w:pPr>
              <w:jc w:val="both"/>
              <w:rPr>
                <w:bCs/>
                <w:sz w:val="20"/>
                <w:szCs w:val="20"/>
              </w:rPr>
            </w:pPr>
          </w:p>
        </w:tc>
        <w:tc>
          <w:tcPr>
            <w:tcW w:w="2552" w:type="dxa"/>
          </w:tcPr>
          <w:p w14:paraId="70A51E3F" w14:textId="77777777" w:rsidR="00F4284C" w:rsidRPr="00154588" w:rsidRDefault="00F4284C" w:rsidP="008C12B4">
            <w:pPr>
              <w:jc w:val="both"/>
              <w:rPr>
                <w:bCs/>
                <w:sz w:val="20"/>
                <w:szCs w:val="20"/>
              </w:rPr>
            </w:pPr>
          </w:p>
        </w:tc>
        <w:tc>
          <w:tcPr>
            <w:tcW w:w="3118" w:type="dxa"/>
          </w:tcPr>
          <w:p w14:paraId="09864EC7" w14:textId="77777777" w:rsidR="00F4284C" w:rsidRPr="00154588" w:rsidRDefault="00F4284C" w:rsidP="008C12B4">
            <w:pPr>
              <w:jc w:val="both"/>
              <w:rPr>
                <w:bCs/>
                <w:sz w:val="20"/>
                <w:szCs w:val="20"/>
              </w:rPr>
            </w:pPr>
          </w:p>
        </w:tc>
      </w:tr>
      <w:tr w:rsidR="00F4284C" w:rsidRPr="00154588" w14:paraId="0D0D6F28" w14:textId="77777777" w:rsidTr="00D15C1B">
        <w:trPr>
          <w:jc w:val="center"/>
        </w:trPr>
        <w:tc>
          <w:tcPr>
            <w:tcW w:w="4957" w:type="dxa"/>
            <w:gridSpan w:val="2"/>
          </w:tcPr>
          <w:p w14:paraId="3B433FFD" w14:textId="77777777" w:rsidR="00F4284C" w:rsidRPr="00154588" w:rsidRDefault="00F4284C" w:rsidP="008C12B4">
            <w:pPr>
              <w:jc w:val="both"/>
              <w:rPr>
                <w:b/>
                <w:sz w:val="20"/>
                <w:szCs w:val="20"/>
              </w:rPr>
            </w:pPr>
            <w:r w:rsidRPr="00154588">
              <w:rPr>
                <w:b/>
                <w:sz w:val="20"/>
                <w:szCs w:val="20"/>
              </w:rPr>
              <w:t>Articolul 59</w:t>
            </w:r>
          </w:p>
          <w:p w14:paraId="3404239D" w14:textId="77777777" w:rsidR="00F4284C" w:rsidRPr="00154588" w:rsidRDefault="00F4284C" w:rsidP="008C12B4">
            <w:pPr>
              <w:jc w:val="both"/>
              <w:rPr>
                <w:b/>
                <w:sz w:val="20"/>
                <w:szCs w:val="20"/>
              </w:rPr>
            </w:pPr>
          </w:p>
          <w:p w14:paraId="1CD6A720" w14:textId="475366D9" w:rsidR="00F4284C" w:rsidRPr="00154588" w:rsidRDefault="00F4284C" w:rsidP="008C12B4">
            <w:pPr>
              <w:jc w:val="both"/>
              <w:rPr>
                <w:bCs/>
                <w:sz w:val="20"/>
                <w:szCs w:val="20"/>
              </w:rPr>
            </w:pPr>
            <w:r w:rsidRPr="00154588">
              <w:rPr>
                <w:b/>
                <w:sz w:val="20"/>
                <w:szCs w:val="20"/>
              </w:rPr>
              <w:t>Obligația de reducere a valorii sau de conversie a instrumentelor de capital și a datoriilor eligibile relevante</w:t>
            </w:r>
          </w:p>
        </w:tc>
        <w:tc>
          <w:tcPr>
            <w:tcW w:w="4819" w:type="dxa"/>
          </w:tcPr>
          <w:p w14:paraId="417B8936" w14:textId="77777777" w:rsidR="00F4284C" w:rsidRPr="00154588" w:rsidRDefault="00F4284C" w:rsidP="008C12B4">
            <w:pPr>
              <w:jc w:val="both"/>
              <w:rPr>
                <w:bCs/>
                <w:sz w:val="20"/>
                <w:szCs w:val="20"/>
              </w:rPr>
            </w:pPr>
          </w:p>
        </w:tc>
        <w:tc>
          <w:tcPr>
            <w:tcW w:w="2552" w:type="dxa"/>
          </w:tcPr>
          <w:p w14:paraId="615BC6EB" w14:textId="77777777" w:rsidR="00F4284C" w:rsidRPr="00154588" w:rsidRDefault="00F4284C" w:rsidP="008C12B4">
            <w:pPr>
              <w:jc w:val="both"/>
              <w:rPr>
                <w:bCs/>
                <w:sz w:val="20"/>
                <w:szCs w:val="20"/>
              </w:rPr>
            </w:pPr>
          </w:p>
        </w:tc>
        <w:tc>
          <w:tcPr>
            <w:tcW w:w="3118" w:type="dxa"/>
          </w:tcPr>
          <w:p w14:paraId="18EB0834" w14:textId="77777777" w:rsidR="00F4284C" w:rsidRPr="00154588" w:rsidRDefault="00F4284C" w:rsidP="008C12B4">
            <w:pPr>
              <w:jc w:val="both"/>
              <w:rPr>
                <w:bCs/>
                <w:sz w:val="20"/>
                <w:szCs w:val="20"/>
              </w:rPr>
            </w:pPr>
          </w:p>
        </w:tc>
      </w:tr>
      <w:tr w:rsidR="00F4284C" w:rsidRPr="00154588" w14:paraId="4E53B05C" w14:textId="77777777" w:rsidTr="00D15C1B">
        <w:trPr>
          <w:jc w:val="center"/>
        </w:trPr>
        <w:tc>
          <w:tcPr>
            <w:tcW w:w="4957" w:type="dxa"/>
            <w:gridSpan w:val="2"/>
          </w:tcPr>
          <w:p w14:paraId="2D31F8E2" w14:textId="77777777" w:rsidR="00F4284C" w:rsidRPr="00154588" w:rsidRDefault="00F4284C" w:rsidP="008C12B4">
            <w:pPr>
              <w:jc w:val="both"/>
              <w:rPr>
                <w:bCs/>
                <w:sz w:val="20"/>
                <w:szCs w:val="20"/>
              </w:rPr>
            </w:pPr>
            <w:r w:rsidRPr="00154588">
              <w:rPr>
                <w:bCs/>
                <w:sz w:val="20"/>
                <w:szCs w:val="20"/>
              </w:rPr>
              <w:t>(1)   Competența de reducere a valorii sau de conversie a instrumentelor de capital și a datoriilor eligibile relevante poate fi exercitată:</w:t>
            </w:r>
          </w:p>
          <w:p w14:paraId="6E0AB4B2" w14:textId="77777777" w:rsidR="00F4284C" w:rsidRPr="00154588" w:rsidRDefault="00F4284C" w:rsidP="008C12B4">
            <w:pPr>
              <w:jc w:val="both"/>
              <w:rPr>
                <w:bCs/>
                <w:sz w:val="20"/>
                <w:szCs w:val="20"/>
              </w:rPr>
            </w:pPr>
          </w:p>
          <w:p w14:paraId="51E96AC2" w14:textId="0FB6ACAA" w:rsidR="00F4284C" w:rsidRPr="00154588" w:rsidRDefault="00F4284C" w:rsidP="008C12B4">
            <w:pPr>
              <w:jc w:val="both"/>
              <w:rPr>
                <w:bCs/>
                <w:sz w:val="20"/>
                <w:szCs w:val="20"/>
              </w:rPr>
            </w:pPr>
            <w:r w:rsidRPr="00154588">
              <w:rPr>
                <w:bCs/>
                <w:sz w:val="20"/>
                <w:szCs w:val="20"/>
              </w:rPr>
              <w:t>(a) independent de măsura de rezoluție; sau</w:t>
            </w:r>
          </w:p>
          <w:p w14:paraId="02B17151" w14:textId="77777777" w:rsidR="00F4284C" w:rsidRPr="00154588" w:rsidRDefault="00F4284C" w:rsidP="008C12B4">
            <w:pPr>
              <w:jc w:val="both"/>
              <w:rPr>
                <w:bCs/>
                <w:sz w:val="20"/>
                <w:szCs w:val="20"/>
              </w:rPr>
            </w:pPr>
          </w:p>
          <w:p w14:paraId="1005831B" w14:textId="225E8442" w:rsidR="00F4284C" w:rsidRPr="00154588" w:rsidRDefault="00F4284C" w:rsidP="008C12B4">
            <w:pPr>
              <w:jc w:val="both"/>
              <w:rPr>
                <w:bCs/>
                <w:sz w:val="20"/>
                <w:szCs w:val="20"/>
              </w:rPr>
            </w:pPr>
            <w:r w:rsidRPr="00154588">
              <w:rPr>
                <w:bCs/>
                <w:sz w:val="20"/>
                <w:szCs w:val="20"/>
              </w:rPr>
              <w:t>(b) în combinație cu o măsură de rezoluție, atunci când sunt îndeplinite condițiile pentru declanșarea rezoluției specificate la articolul 32, 32a sau 33.</w:t>
            </w:r>
          </w:p>
          <w:p w14:paraId="3E834A4C" w14:textId="77777777" w:rsidR="00F4284C" w:rsidRPr="00154588" w:rsidRDefault="00F4284C" w:rsidP="008C12B4">
            <w:pPr>
              <w:jc w:val="both"/>
              <w:rPr>
                <w:bCs/>
                <w:sz w:val="20"/>
                <w:szCs w:val="20"/>
              </w:rPr>
            </w:pPr>
          </w:p>
          <w:p w14:paraId="4DC614E2" w14:textId="77777777" w:rsidR="00F4284C" w:rsidRPr="00154588" w:rsidRDefault="00F4284C" w:rsidP="008C12B4">
            <w:pPr>
              <w:jc w:val="both"/>
              <w:rPr>
                <w:bCs/>
                <w:sz w:val="20"/>
                <w:szCs w:val="20"/>
              </w:rPr>
            </w:pPr>
            <w:r w:rsidRPr="00154588">
              <w:rPr>
                <w:bCs/>
                <w:sz w:val="20"/>
                <w:szCs w:val="20"/>
              </w:rPr>
              <w:t>În cazul în care entitatea de rezoluție a achiziționat instrumente de capital și datorii eligibile relevante, în mod indirect prin intermediul altor entități din același grup de rezoluție, exercitarea competenței de reducere a valorii sau de conversie a respectivelor instrumente de capital și datorii eligibile relevante are loc în paralel cu exercitarea aceleiași competențe la nivelul întreprinderii-mamă a entității în cauză sau la nivelul altor întreprinderi-mamă care nu sunt entități de rezoluție, astfel încât entitatea în cauză să fie recapitalizată de entitatea de rezoluție, iar pierderile să fie transferate efectiv acesteia din urmă.</w:t>
            </w:r>
          </w:p>
          <w:p w14:paraId="431C02AF" w14:textId="77777777" w:rsidR="00F4284C" w:rsidRPr="00154588" w:rsidRDefault="00F4284C" w:rsidP="008C12B4">
            <w:pPr>
              <w:jc w:val="both"/>
              <w:rPr>
                <w:bCs/>
                <w:sz w:val="20"/>
                <w:szCs w:val="20"/>
              </w:rPr>
            </w:pPr>
          </w:p>
          <w:p w14:paraId="2767F2B9" w14:textId="249FD296" w:rsidR="00F4284C" w:rsidRPr="00154588" w:rsidRDefault="00F4284C" w:rsidP="008C12B4">
            <w:pPr>
              <w:jc w:val="both"/>
              <w:rPr>
                <w:bCs/>
                <w:sz w:val="20"/>
                <w:szCs w:val="20"/>
              </w:rPr>
            </w:pPr>
            <w:r w:rsidRPr="00154588">
              <w:rPr>
                <w:bCs/>
                <w:sz w:val="20"/>
                <w:szCs w:val="20"/>
              </w:rPr>
              <w:t>După exercitarea competenței de reducere a valorii sau de conversie a instrumentelor de capital și a datoriilor eligibile relevante independent de măsura de rezoluție, este efectuată evaluarea prevăzută la articolul 74 și se aplică articolul 75.</w:t>
            </w:r>
          </w:p>
        </w:tc>
        <w:tc>
          <w:tcPr>
            <w:tcW w:w="4819" w:type="dxa"/>
          </w:tcPr>
          <w:p w14:paraId="3448689F" w14:textId="19E23F17" w:rsidR="00F4284C" w:rsidRPr="00154588" w:rsidRDefault="00F4284C" w:rsidP="008C12B4">
            <w:pPr>
              <w:jc w:val="both"/>
              <w:rPr>
                <w:bCs/>
                <w:sz w:val="20"/>
                <w:szCs w:val="20"/>
              </w:rPr>
            </w:pPr>
            <w:r w:rsidRPr="00154588">
              <w:rPr>
                <w:b/>
                <w:bCs/>
                <w:sz w:val="20"/>
                <w:szCs w:val="20"/>
              </w:rPr>
              <w:t>Articolul 219.</w:t>
            </w:r>
            <w:r w:rsidRPr="00154588">
              <w:rPr>
                <w:bCs/>
                <w:sz w:val="20"/>
                <w:szCs w:val="20"/>
              </w:rPr>
              <w:t xml:space="preserve"> – (1) Competenţa de reducere a valorii sau de conversie a instrumentelor de capital şi a datoriilor eligibile</w:t>
            </w:r>
            <w:r w:rsidRPr="00154588">
              <w:rPr>
                <w:sz w:val="20"/>
                <w:szCs w:val="20"/>
              </w:rPr>
              <w:t xml:space="preserve"> </w:t>
            </w:r>
            <w:r w:rsidRPr="00154588">
              <w:rPr>
                <w:bCs/>
                <w:sz w:val="20"/>
                <w:szCs w:val="20"/>
              </w:rPr>
              <w:t>relevante poate fi exercitată, fie:</w:t>
            </w:r>
          </w:p>
          <w:p w14:paraId="58E2743D" w14:textId="77777777" w:rsidR="00F4284C" w:rsidRPr="00154588" w:rsidRDefault="00F4284C" w:rsidP="008C12B4">
            <w:pPr>
              <w:jc w:val="both"/>
              <w:rPr>
                <w:bCs/>
                <w:sz w:val="20"/>
                <w:szCs w:val="20"/>
              </w:rPr>
            </w:pPr>
            <w:r w:rsidRPr="00154588">
              <w:rPr>
                <w:bCs/>
                <w:sz w:val="20"/>
                <w:szCs w:val="20"/>
              </w:rPr>
              <w:t>a) independent de acţiunea de rezoluţie; sau</w:t>
            </w:r>
          </w:p>
          <w:p w14:paraId="02921EF8" w14:textId="54D1E9B7" w:rsidR="00F4284C" w:rsidRPr="00154588" w:rsidRDefault="00F4284C" w:rsidP="008C12B4">
            <w:pPr>
              <w:jc w:val="both"/>
              <w:rPr>
                <w:sz w:val="20"/>
                <w:szCs w:val="20"/>
              </w:rPr>
            </w:pPr>
            <w:r w:rsidRPr="00154588">
              <w:rPr>
                <w:bCs/>
                <w:sz w:val="20"/>
                <w:szCs w:val="20"/>
              </w:rPr>
              <w:t>b) împreună cu o acţiune de rezoluţie, atunci cînd sînt îndeplinite condiţiile de declanşare a procedurii de rezoluţie prevăzute la art.58-60 alin.(5) sau alin.(10)-</w:t>
            </w:r>
            <w:r w:rsidR="004A01F3" w:rsidRPr="00154588" w:rsidDel="004A01F3">
              <w:rPr>
                <w:bCs/>
                <w:sz w:val="20"/>
                <w:szCs w:val="20"/>
              </w:rPr>
              <w:t xml:space="preserve"> </w:t>
            </w:r>
            <w:r w:rsidRPr="00154588">
              <w:rPr>
                <w:bCs/>
                <w:sz w:val="20"/>
                <w:szCs w:val="20"/>
              </w:rPr>
              <w:t>(14)</w:t>
            </w:r>
            <w:r w:rsidRPr="00154588">
              <w:rPr>
                <w:sz w:val="20"/>
                <w:szCs w:val="20"/>
              </w:rPr>
              <w:t>.</w:t>
            </w:r>
          </w:p>
          <w:p w14:paraId="3ABAC0F3" w14:textId="77777777" w:rsidR="00F4284C" w:rsidRPr="00154588" w:rsidRDefault="00F4284C" w:rsidP="008C12B4">
            <w:pPr>
              <w:jc w:val="both"/>
              <w:rPr>
                <w:sz w:val="20"/>
                <w:szCs w:val="20"/>
              </w:rPr>
            </w:pPr>
            <w:r w:rsidRPr="00154588">
              <w:rPr>
                <w:sz w:val="20"/>
                <w:szCs w:val="20"/>
              </w:rPr>
              <w:t>(2) Datoriile eligibile care pot fi supuse competenţei de reducere a valorii sau de conversie conform alin.(1) lit.a) vor fi definite în actele normative ale Băncii Naţionale a Moldovei.</w:t>
            </w:r>
          </w:p>
          <w:p w14:paraId="2988EE3E" w14:textId="5B470238" w:rsidR="00F4284C" w:rsidRPr="00154588" w:rsidRDefault="00F4284C" w:rsidP="008C12B4">
            <w:pPr>
              <w:jc w:val="both"/>
              <w:rPr>
                <w:sz w:val="20"/>
                <w:szCs w:val="20"/>
              </w:rPr>
            </w:pPr>
            <w:r w:rsidRPr="00154588">
              <w:rPr>
                <w:sz w:val="20"/>
                <w:szCs w:val="20"/>
              </w:rPr>
              <w:t>(3) În cazul în care instrumentele de capital și datoriile eligibile față de entitatea de rezoluție au fost achiziționate de către entitatea de rezoluție, în mod indirect, prin intermediul altor entități din același grup de rezoluție, exercitarea competenței de reducere a valorii sau de conversie a respectivelor instrumente de capital și datorii eligibile</w:t>
            </w:r>
            <w:r w:rsidRPr="00154588">
              <w:rPr>
                <w:bCs/>
                <w:sz w:val="20"/>
                <w:szCs w:val="20"/>
              </w:rPr>
              <w:t xml:space="preserve"> relevante</w:t>
            </w:r>
            <w:r w:rsidRPr="00154588">
              <w:rPr>
                <w:sz w:val="20"/>
                <w:szCs w:val="20"/>
              </w:rPr>
              <w:t xml:space="preserve"> are loc concomitent cu exercitarea aceleiași competențe la nivelul întreprinderii-mamă a entității în cauză sau la nivelul altor întreprinderi-mamă care nu sunt entități de rezoluție, astfel încât entitatea în cauză să fie recapitalizată de către entitatea de rezoluție, iar pierderile să fie transferate efectiv acesteia din urmă.</w:t>
            </w:r>
          </w:p>
          <w:p w14:paraId="05288157" w14:textId="4E2D08D1" w:rsidR="00F4284C" w:rsidRPr="00154588" w:rsidRDefault="00F4284C" w:rsidP="008C12B4">
            <w:pPr>
              <w:jc w:val="both"/>
              <w:rPr>
                <w:bCs/>
                <w:sz w:val="20"/>
                <w:szCs w:val="20"/>
              </w:rPr>
            </w:pPr>
            <w:r w:rsidRPr="00154588">
              <w:rPr>
                <w:sz w:val="20"/>
                <w:szCs w:val="20"/>
              </w:rPr>
              <w:t>(4) După exercitarea competenței de reducere a valorii sau de conversie a instrumentelor de capital și a datoriilor eligibile</w:t>
            </w:r>
            <w:r w:rsidRPr="00154588">
              <w:rPr>
                <w:bCs/>
                <w:sz w:val="20"/>
                <w:szCs w:val="20"/>
              </w:rPr>
              <w:t xml:space="preserve"> relevante, independent de acțiunea de rezoluție, se efectuează evaluarea prevăzută la art.263-265 și se aplică prevederile art. 266.</w:t>
            </w:r>
          </w:p>
          <w:p w14:paraId="39DF72CD" w14:textId="77777777" w:rsidR="00F4284C" w:rsidRPr="00154588" w:rsidRDefault="00F4284C" w:rsidP="008C12B4">
            <w:pPr>
              <w:jc w:val="both"/>
              <w:rPr>
                <w:bCs/>
                <w:sz w:val="20"/>
                <w:szCs w:val="20"/>
              </w:rPr>
            </w:pPr>
          </w:p>
        </w:tc>
        <w:tc>
          <w:tcPr>
            <w:tcW w:w="2552" w:type="dxa"/>
          </w:tcPr>
          <w:p w14:paraId="65D78A61" w14:textId="4C1932CE" w:rsidR="00F4284C" w:rsidRPr="00154588" w:rsidRDefault="00F4284C" w:rsidP="008C12B4">
            <w:pPr>
              <w:jc w:val="both"/>
              <w:rPr>
                <w:bCs/>
                <w:sz w:val="20"/>
                <w:szCs w:val="20"/>
              </w:rPr>
            </w:pPr>
            <w:r w:rsidRPr="00154588">
              <w:rPr>
                <w:bCs/>
                <w:sz w:val="20"/>
                <w:szCs w:val="20"/>
              </w:rPr>
              <w:t>Compatibil</w:t>
            </w:r>
          </w:p>
        </w:tc>
        <w:tc>
          <w:tcPr>
            <w:tcW w:w="3118" w:type="dxa"/>
          </w:tcPr>
          <w:p w14:paraId="18E4AAEB" w14:textId="77777777" w:rsidR="00F4284C" w:rsidRPr="00154588" w:rsidRDefault="00F4284C" w:rsidP="008C12B4">
            <w:pPr>
              <w:jc w:val="both"/>
              <w:rPr>
                <w:bCs/>
                <w:sz w:val="20"/>
                <w:szCs w:val="20"/>
              </w:rPr>
            </w:pPr>
          </w:p>
        </w:tc>
      </w:tr>
      <w:tr w:rsidR="00F4284C" w:rsidRPr="00154588" w14:paraId="464BD8A0" w14:textId="77777777" w:rsidTr="00D15C1B">
        <w:trPr>
          <w:jc w:val="center"/>
        </w:trPr>
        <w:tc>
          <w:tcPr>
            <w:tcW w:w="4957" w:type="dxa"/>
            <w:gridSpan w:val="2"/>
          </w:tcPr>
          <w:p w14:paraId="44A5585C" w14:textId="77777777" w:rsidR="00F4284C" w:rsidRPr="00154588" w:rsidRDefault="00F4284C" w:rsidP="008C12B4">
            <w:pPr>
              <w:jc w:val="both"/>
              <w:rPr>
                <w:bCs/>
                <w:sz w:val="20"/>
                <w:szCs w:val="20"/>
              </w:rPr>
            </w:pPr>
            <w:r w:rsidRPr="00154588">
              <w:rPr>
                <w:bCs/>
                <w:sz w:val="20"/>
                <w:szCs w:val="20"/>
              </w:rPr>
              <w:t xml:space="preserve">(1a)   Competența de reducere a valorii sau de conversie a datoriilor eligibile independent de măsura </w:t>
            </w:r>
            <w:r w:rsidRPr="00154588">
              <w:rPr>
                <w:bCs/>
                <w:sz w:val="20"/>
                <w:szCs w:val="20"/>
              </w:rPr>
              <w:lastRenderedPageBreak/>
              <w:t>de rezoluție poate fi exercitată numai în ceea ce privește datoriile eligibile care îndeplinesc condițiile menționate la articolul 45f alineatul (2) litera (a) din prezenta directivă, cu excepția condiției referitoare la scadența reziduală a instrumentelor de datorie, astfel cum este prevăzut la articolul 72c alineatul (1) din Regulamentul (UE) nr. 575/2013.</w:t>
            </w:r>
          </w:p>
          <w:p w14:paraId="08E27DF4" w14:textId="77777777" w:rsidR="00F4284C" w:rsidRPr="00154588" w:rsidRDefault="00F4284C" w:rsidP="008C12B4">
            <w:pPr>
              <w:jc w:val="both"/>
              <w:rPr>
                <w:bCs/>
                <w:sz w:val="20"/>
                <w:szCs w:val="20"/>
              </w:rPr>
            </w:pPr>
          </w:p>
          <w:p w14:paraId="20DA7025" w14:textId="40423BB5" w:rsidR="00F4284C" w:rsidRPr="00154588" w:rsidRDefault="00F4284C" w:rsidP="008C12B4">
            <w:pPr>
              <w:jc w:val="both"/>
              <w:rPr>
                <w:bCs/>
                <w:sz w:val="20"/>
                <w:szCs w:val="20"/>
              </w:rPr>
            </w:pPr>
            <w:r w:rsidRPr="00154588">
              <w:rPr>
                <w:bCs/>
                <w:sz w:val="20"/>
                <w:szCs w:val="20"/>
              </w:rPr>
              <w:t>Atunci când este exercitată competența respectivă, statele membre se asigură că reducerea valorii sau conversia este efectuată în conformitate cu principiul menționat la articolul 34 alineatul (1) litera (g).</w:t>
            </w:r>
          </w:p>
        </w:tc>
        <w:tc>
          <w:tcPr>
            <w:tcW w:w="4819" w:type="dxa"/>
          </w:tcPr>
          <w:p w14:paraId="78EB636D" w14:textId="44B8EF75" w:rsidR="00F4284C" w:rsidRPr="00154588" w:rsidRDefault="00F4284C" w:rsidP="008C12B4">
            <w:pPr>
              <w:jc w:val="both"/>
              <w:rPr>
                <w:bCs/>
                <w:sz w:val="20"/>
                <w:szCs w:val="20"/>
              </w:rPr>
            </w:pPr>
            <w:r w:rsidRPr="00154588">
              <w:rPr>
                <w:b/>
                <w:bCs/>
                <w:sz w:val="20"/>
                <w:szCs w:val="20"/>
              </w:rPr>
              <w:lastRenderedPageBreak/>
              <w:t>Articolul 219</w:t>
            </w:r>
            <w:r w:rsidRPr="00154588">
              <w:rPr>
                <w:b/>
                <w:bCs/>
                <w:sz w:val="20"/>
                <w:szCs w:val="20"/>
                <w:vertAlign w:val="superscript"/>
              </w:rPr>
              <w:t>1</w:t>
            </w:r>
            <w:r w:rsidRPr="00154588">
              <w:rPr>
                <w:bCs/>
                <w:sz w:val="20"/>
                <w:szCs w:val="20"/>
              </w:rPr>
              <w:t xml:space="preserve"> – (1) Competența de reducere a valorii sau de conversie a datoriilor eligibile poate fi </w:t>
            </w:r>
            <w:r w:rsidRPr="00154588">
              <w:rPr>
                <w:bCs/>
                <w:sz w:val="20"/>
                <w:szCs w:val="20"/>
              </w:rPr>
              <w:lastRenderedPageBreak/>
              <w:t>exercitată independent de acțiunea de rezoluție numai în ceea ce privește datoriile eligibile care îndeplinesc condițiile prevăzute la art.167</w:t>
            </w:r>
            <w:r w:rsidRPr="00154588">
              <w:rPr>
                <w:bCs/>
                <w:sz w:val="20"/>
                <w:szCs w:val="20"/>
                <w:vertAlign w:val="superscript"/>
              </w:rPr>
              <w:t>16</w:t>
            </w:r>
            <w:r w:rsidRPr="00154588">
              <w:rPr>
                <w:bCs/>
                <w:sz w:val="20"/>
                <w:szCs w:val="20"/>
              </w:rPr>
              <w:t xml:space="preserve"> alin.(1) lit.a) din prezenta lege, cu excepția condiției referitoare la scadența reziduală a instrumentelor de datorie, astfel cum este prevăzută în actele normative ale Băncii Naționale a Moldovei emise în aplicarea art.60, 61 și 62 din Legea nr.202/2017. </w:t>
            </w:r>
          </w:p>
          <w:p w14:paraId="79523FE9" w14:textId="77777777" w:rsidR="00F4284C" w:rsidRPr="00154588" w:rsidRDefault="00F4284C" w:rsidP="008C12B4">
            <w:pPr>
              <w:jc w:val="both"/>
              <w:rPr>
                <w:bCs/>
                <w:sz w:val="20"/>
                <w:szCs w:val="20"/>
              </w:rPr>
            </w:pPr>
            <w:r w:rsidRPr="00154588">
              <w:rPr>
                <w:bCs/>
                <w:sz w:val="20"/>
                <w:szCs w:val="20"/>
              </w:rPr>
              <w:t>(2)</w:t>
            </w:r>
            <w:r w:rsidRPr="00154588" w:rsidDel="00764FC2">
              <w:rPr>
                <w:bCs/>
                <w:sz w:val="20"/>
                <w:szCs w:val="20"/>
              </w:rPr>
              <w:t xml:space="preserve"> </w:t>
            </w:r>
            <w:r w:rsidRPr="00154588">
              <w:rPr>
                <w:bCs/>
                <w:sz w:val="20"/>
                <w:szCs w:val="20"/>
              </w:rPr>
              <w:t>Atunci când este exercitată competența prevăzută la alin.(1), reducerea valorii sau conversia este efectuată în conformitate cu principiul prevăzut la art.61 alin.(1) lit.g).</w:t>
            </w:r>
          </w:p>
          <w:p w14:paraId="470B3579" w14:textId="77777777" w:rsidR="00F4284C" w:rsidRPr="00154588" w:rsidRDefault="00F4284C" w:rsidP="008C12B4">
            <w:pPr>
              <w:jc w:val="both"/>
              <w:rPr>
                <w:bCs/>
                <w:sz w:val="20"/>
                <w:szCs w:val="20"/>
              </w:rPr>
            </w:pPr>
          </w:p>
        </w:tc>
        <w:tc>
          <w:tcPr>
            <w:tcW w:w="2552" w:type="dxa"/>
          </w:tcPr>
          <w:p w14:paraId="27D5AD32" w14:textId="67D75D0A"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4B622ADC" w14:textId="77777777" w:rsidR="00F4284C" w:rsidRPr="00154588" w:rsidRDefault="00F4284C" w:rsidP="008C12B4">
            <w:pPr>
              <w:jc w:val="both"/>
              <w:rPr>
                <w:bCs/>
                <w:sz w:val="20"/>
                <w:szCs w:val="20"/>
              </w:rPr>
            </w:pPr>
          </w:p>
        </w:tc>
      </w:tr>
      <w:tr w:rsidR="00F4284C" w:rsidRPr="00154588" w14:paraId="4E274B63" w14:textId="77777777" w:rsidTr="00D15C1B">
        <w:trPr>
          <w:jc w:val="center"/>
        </w:trPr>
        <w:tc>
          <w:tcPr>
            <w:tcW w:w="4957" w:type="dxa"/>
            <w:gridSpan w:val="2"/>
          </w:tcPr>
          <w:p w14:paraId="3D95B49D" w14:textId="7246C6D9" w:rsidR="00F4284C" w:rsidRPr="00154588" w:rsidRDefault="00F4284C" w:rsidP="008C12B4">
            <w:pPr>
              <w:jc w:val="both"/>
              <w:rPr>
                <w:bCs/>
                <w:sz w:val="20"/>
                <w:szCs w:val="20"/>
              </w:rPr>
            </w:pPr>
            <w:r w:rsidRPr="00154588">
              <w:rPr>
                <w:bCs/>
                <w:sz w:val="20"/>
                <w:szCs w:val="20"/>
              </w:rPr>
              <w:t>(1b)   În cazul în care o măsură de rezoluție este luată în legătură cu o entitate de rezoluție sau, în circumstanțe excepționale care se abat de la planul de rezoluție, în legătură cu o entitate care nu este entitate de rezoluție, cuantumul care este redus, redus ca valoare sau convertit, în conformitate cu articolul 60 alineatul (1), la nivelul entității respective se ia în considerare la calcularea pragurilor prevăzute la articolul 37 alineatul (10) și la articolul 44 alineatul (5) litera (a) sau la articolul 44 alineatul (8) litera (a) care se aplică entității în cauză.</w:t>
            </w:r>
          </w:p>
        </w:tc>
        <w:tc>
          <w:tcPr>
            <w:tcW w:w="4819" w:type="dxa"/>
          </w:tcPr>
          <w:p w14:paraId="339DC61D" w14:textId="77777777" w:rsidR="00F4284C" w:rsidRPr="00154588" w:rsidRDefault="00F4284C" w:rsidP="008C12B4">
            <w:pPr>
              <w:jc w:val="both"/>
              <w:rPr>
                <w:bCs/>
                <w:sz w:val="20"/>
                <w:szCs w:val="20"/>
              </w:rPr>
            </w:pPr>
            <w:r w:rsidRPr="00154588">
              <w:rPr>
                <w:b/>
                <w:bCs/>
                <w:sz w:val="20"/>
                <w:szCs w:val="20"/>
              </w:rPr>
              <w:t>Articolul 219</w:t>
            </w:r>
            <w:r w:rsidRPr="00154588">
              <w:rPr>
                <w:b/>
                <w:bCs/>
                <w:sz w:val="20"/>
                <w:szCs w:val="20"/>
                <w:vertAlign w:val="superscript"/>
              </w:rPr>
              <w:t>2</w:t>
            </w:r>
            <w:r w:rsidRPr="00154588">
              <w:rPr>
                <w:bCs/>
                <w:sz w:val="20"/>
                <w:szCs w:val="20"/>
                <w:vertAlign w:val="superscript"/>
              </w:rPr>
              <w:t xml:space="preserve"> </w:t>
            </w:r>
            <w:r w:rsidRPr="00154588">
              <w:rPr>
                <w:bCs/>
                <w:sz w:val="20"/>
                <w:szCs w:val="20"/>
              </w:rPr>
              <w:t>– Atunci când este întreprinsă o acțiune de rezoluție în legătură cu o entitate de rezoluție sau, în circumstanțe excepționale, atunci când nu este prevăzut în planul de rezoluție, în legătură cu o entitate care nu este entitate de rezoluție, cuantumul care este diminuat, redus ca valoare sau convertit, în conformitate cu prevederile art. 226 alin. (1) la nivelul entității respective, se ia în considerare la calcularea pragurilor prevăzute de prevederile art.92 alin.(1) și art.158 alin.(2) lit.a) sau ale art.161 lit.a), care se aplică entității în cauză.</w:t>
            </w:r>
          </w:p>
          <w:p w14:paraId="0AC00F4A" w14:textId="77777777" w:rsidR="00F4284C" w:rsidRPr="00154588" w:rsidRDefault="00F4284C" w:rsidP="008C12B4">
            <w:pPr>
              <w:jc w:val="both"/>
              <w:rPr>
                <w:bCs/>
                <w:sz w:val="20"/>
                <w:szCs w:val="20"/>
              </w:rPr>
            </w:pPr>
          </w:p>
        </w:tc>
        <w:tc>
          <w:tcPr>
            <w:tcW w:w="2552" w:type="dxa"/>
          </w:tcPr>
          <w:p w14:paraId="6AB8E024" w14:textId="4A3F9A5E" w:rsidR="00F4284C" w:rsidRPr="00154588" w:rsidRDefault="00F4284C" w:rsidP="008C12B4">
            <w:pPr>
              <w:jc w:val="both"/>
              <w:rPr>
                <w:bCs/>
                <w:sz w:val="20"/>
                <w:szCs w:val="20"/>
              </w:rPr>
            </w:pPr>
            <w:r w:rsidRPr="00154588">
              <w:rPr>
                <w:bCs/>
                <w:sz w:val="20"/>
                <w:szCs w:val="20"/>
              </w:rPr>
              <w:t>Compatibil</w:t>
            </w:r>
          </w:p>
        </w:tc>
        <w:tc>
          <w:tcPr>
            <w:tcW w:w="3118" w:type="dxa"/>
          </w:tcPr>
          <w:p w14:paraId="517BA3B6" w14:textId="77777777" w:rsidR="00F4284C" w:rsidRPr="00154588" w:rsidRDefault="00F4284C" w:rsidP="008C12B4">
            <w:pPr>
              <w:jc w:val="both"/>
              <w:rPr>
                <w:bCs/>
                <w:sz w:val="20"/>
                <w:szCs w:val="20"/>
              </w:rPr>
            </w:pPr>
          </w:p>
        </w:tc>
      </w:tr>
      <w:tr w:rsidR="00F4284C" w:rsidRPr="00154588" w14:paraId="59B10D70" w14:textId="77777777" w:rsidTr="00D15C1B">
        <w:trPr>
          <w:jc w:val="center"/>
        </w:trPr>
        <w:tc>
          <w:tcPr>
            <w:tcW w:w="4957" w:type="dxa"/>
            <w:gridSpan w:val="2"/>
          </w:tcPr>
          <w:p w14:paraId="458ECA9E" w14:textId="30B81809" w:rsidR="00F4284C" w:rsidRPr="00154588" w:rsidRDefault="00F4284C" w:rsidP="008C12B4">
            <w:pPr>
              <w:jc w:val="both"/>
              <w:rPr>
                <w:bCs/>
                <w:sz w:val="20"/>
                <w:szCs w:val="20"/>
              </w:rPr>
            </w:pPr>
            <w:r w:rsidRPr="00154588">
              <w:rPr>
                <w:bCs/>
                <w:sz w:val="20"/>
                <w:szCs w:val="20"/>
              </w:rPr>
              <w:t>(2)   Statele membre se asigură că autoritățile de rezoluție au competența de a reduce valoarea contabilă a  instrumentelor de capital și a datoriilor eligibile astfel cum se menționează la alineatul (1a) relevante sau de a le converti în acțiuni sau alte instrumente de proprietate ale instituțiilor și entităților menționate la articolul 1 alineatul (1) literele (b), (c) și (d).</w:t>
            </w:r>
          </w:p>
        </w:tc>
        <w:tc>
          <w:tcPr>
            <w:tcW w:w="4819" w:type="dxa"/>
          </w:tcPr>
          <w:p w14:paraId="02926005" w14:textId="217EF081" w:rsidR="00F4284C" w:rsidRPr="00154588" w:rsidRDefault="00F4284C" w:rsidP="008C12B4">
            <w:pPr>
              <w:jc w:val="both"/>
              <w:rPr>
                <w:bCs/>
                <w:sz w:val="20"/>
                <w:szCs w:val="20"/>
              </w:rPr>
            </w:pPr>
            <w:r w:rsidRPr="00154588">
              <w:rPr>
                <w:b/>
                <w:bCs/>
                <w:sz w:val="20"/>
                <w:szCs w:val="20"/>
              </w:rPr>
              <w:t>Articolul 220.</w:t>
            </w:r>
            <w:r w:rsidRPr="00154588">
              <w:rPr>
                <w:bCs/>
                <w:sz w:val="20"/>
                <w:szCs w:val="20"/>
              </w:rPr>
              <w:t xml:space="preserve"> – Banca Naţională a Moldovei, în calitate de autoritate de rezoluţie, are competenţa de a reduce sau de a converti instrumente de capital şi datorii eligibile relevante, astfel cum se menționează la art.219</w:t>
            </w:r>
            <w:r w:rsidRPr="00154588">
              <w:rPr>
                <w:bCs/>
                <w:sz w:val="20"/>
                <w:szCs w:val="20"/>
                <w:vertAlign w:val="superscript"/>
              </w:rPr>
              <w:t>1</w:t>
            </w:r>
            <w:r w:rsidRPr="00154588">
              <w:rPr>
                <w:bCs/>
                <w:sz w:val="20"/>
                <w:szCs w:val="20"/>
              </w:rPr>
              <w:t>, în acţiuni sau în alte instrumente de proprietate ale instituțiilor de credit și entităților menționate la art.1 alin.(1) lit.b), c) și d).</w:t>
            </w:r>
          </w:p>
          <w:p w14:paraId="205909B5" w14:textId="77777777" w:rsidR="00F4284C" w:rsidRPr="00154588" w:rsidRDefault="00F4284C" w:rsidP="008C12B4">
            <w:pPr>
              <w:jc w:val="both"/>
              <w:rPr>
                <w:bCs/>
                <w:sz w:val="20"/>
                <w:szCs w:val="20"/>
              </w:rPr>
            </w:pPr>
          </w:p>
        </w:tc>
        <w:tc>
          <w:tcPr>
            <w:tcW w:w="2552" w:type="dxa"/>
          </w:tcPr>
          <w:p w14:paraId="3C636A79" w14:textId="0511F313" w:rsidR="00F4284C" w:rsidRPr="00154588" w:rsidRDefault="00F4284C" w:rsidP="008C12B4">
            <w:pPr>
              <w:jc w:val="both"/>
              <w:rPr>
                <w:bCs/>
                <w:sz w:val="20"/>
                <w:szCs w:val="20"/>
              </w:rPr>
            </w:pPr>
            <w:r w:rsidRPr="00154588">
              <w:rPr>
                <w:bCs/>
                <w:sz w:val="20"/>
                <w:szCs w:val="20"/>
              </w:rPr>
              <w:t>Compatibil</w:t>
            </w:r>
          </w:p>
        </w:tc>
        <w:tc>
          <w:tcPr>
            <w:tcW w:w="3118" w:type="dxa"/>
          </w:tcPr>
          <w:p w14:paraId="4CF88510" w14:textId="77777777" w:rsidR="00F4284C" w:rsidRPr="00154588" w:rsidRDefault="00F4284C" w:rsidP="008C12B4">
            <w:pPr>
              <w:jc w:val="both"/>
              <w:rPr>
                <w:bCs/>
                <w:sz w:val="20"/>
                <w:szCs w:val="20"/>
              </w:rPr>
            </w:pPr>
          </w:p>
        </w:tc>
      </w:tr>
      <w:tr w:rsidR="00F4284C" w:rsidRPr="00154588" w14:paraId="104979D3" w14:textId="77777777" w:rsidTr="00D15C1B">
        <w:trPr>
          <w:jc w:val="center"/>
        </w:trPr>
        <w:tc>
          <w:tcPr>
            <w:tcW w:w="4957" w:type="dxa"/>
            <w:gridSpan w:val="2"/>
          </w:tcPr>
          <w:p w14:paraId="3DF270F4" w14:textId="4FC099FC" w:rsidR="00F4284C" w:rsidRPr="00154588" w:rsidRDefault="00F4284C" w:rsidP="008C12B4">
            <w:pPr>
              <w:jc w:val="both"/>
              <w:rPr>
                <w:bCs/>
                <w:sz w:val="20"/>
                <w:szCs w:val="20"/>
              </w:rPr>
            </w:pPr>
            <w:r w:rsidRPr="00154588">
              <w:rPr>
                <w:bCs/>
                <w:sz w:val="20"/>
                <w:szCs w:val="20"/>
              </w:rPr>
              <w:t>(3)   Statele membre solicită ca autoritățile de rezoluție să-și exercite competența de reducere a valorii contabile sau de conversie în conformitate cu articolul 60 și fără întârziere în ceea ce privește instrumentele de capital relevante și datoriile eligibile astfel cum se menționează la alineatul (1a)</w:t>
            </w:r>
            <w:r w:rsidRPr="00154588">
              <w:t xml:space="preserve"> </w:t>
            </w:r>
            <w:r w:rsidRPr="00154588">
              <w:rPr>
                <w:bCs/>
                <w:sz w:val="20"/>
                <w:szCs w:val="20"/>
              </w:rPr>
              <w:t xml:space="preserve">de la prezentul articol, emise de către o instituție sau entitate menționată la articolul 1 alineatul (1) litera (b), (c) sau (d), și ținând seama de necesitatea de a pune în aplicare efectiv competența de reducere a valorii contabile sau de conversie sau, după caz, strategia de rezoluție pentru </w:t>
            </w:r>
            <w:r w:rsidRPr="00154588">
              <w:rPr>
                <w:bCs/>
                <w:sz w:val="20"/>
                <w:szCs w:val="20"/>
              </w:rPr>
              <w:lastRenderedPageBreak/>
              <w:t>grupul de rezoluție, dacă sunt întrunite una sau mai multe dintre următoarele circumstanțe::</w:t>
            </w:r>
          </w:p>
          <w:p w14:paraId="3F96C01F" w14:textId="77777777" w:rsidR="00F4284C" w:rsidRPr="00154588" w:rsidRDefault="00F4284C" w:rsidP="008C12B4">
            <w:pPr>
              <w:jc w:val="both"/>
              <w:rPr>
                <w:bCs/>
                <w:sz w:val="20"/>
                <w:szCs w:val="20"/>
              </w:rPr>
            </w:pPr>
          </w:p>
          <w:p w14:paraId="03587122" w14:textId="5B895BE1" w:rsidR="00F4284C" w:rsidRPr="00154588" w:rsidRDefault="00F4284C" w:rsidP="008C12B4">
            <w:pPr>
              <w:jc w:val="both"/>
              <w:rPr>
                <w:bCs/>
                <w:sz w:val="20"/>
                <w:szCs w:val="20"/>
              </w:rPr>
            </w:pPr>
            <w:r w:rsidRPr="00154588">
              <w:rPr>
                <w:bCs/>
                <w:sz w:val="20"/>
                <w:szCs w:val="20"/>
              </w:rPr>
              <w:t>(a) dacă s-a constatat, înainte de luarea unei eventuale măsuri de rezoluție, faptul că condițiile pentru declanșarea rezoluției specificate la articolul 32, 32a sau 33 au fost îndeplinite;</w:t>
            </w:r>
          </w:p>
          <w:p w14:paraId="3B6A4C28" w14:textId="77777777" w:rsidR="00F4284C" w:rsidRPr="00154588" w:rsidRDefault="00F4284C" w:rsidP="008C12B4">
            <w:pPr>
              <w:jc w:val="both"/>
              <w:rPr>
                <w:bCs/>
                <w:sz w:val="20"/>
                <w:szCs w:val="20"/>
              </w:rPr>
            </w:pPr>
          </w:p>
          <w:p w14:paraId="03DE090D" w14:textId="1560BE1E" w:rsidR="00F4284C" w:rsidRPr="00154588" w:rsidRDefault="00F4284C" w:rsidP="008C12B4">
            <w:pPr>
              <w:jc w:val="both"/>
              <w:rPr>
                <w:bCs/>
                <w:sz w:val="20"/>
                <w:szCs w:val="20"/>
              </w:rPr>
            </w:pPr>
            <w:r w:rsidRPr="00154588">
              <w:rPr>
                <w:bCs/>
                <w:sz w:val="20"/>
                <w:szCs w:val="20"/>
              </w:rPr>
              <w:t>(b) autoritatea corespunzătoare stabilește că, dacă respectiva competență nu este exercitată în ceea ce privește instrumentele de capital și datoriile eligibile relevante astfel cum se menționează la alineatul (1a), instituția sau entitatea menționată la articolul 1 alineatul (1) litera (b), (c) sau (d) va înceta să mai fie viabilă;</w:t>
            </w:r>
          </w:p>
          <w:p w14:paraId="47EB21DF" w14:textId="77777777" w:rsidR="00F4284C" w:rsidRPr="00154588" w:rsidRDefault="00F4284C" w:rsidP="008C12B4">
            <w:pPr>
              <w:jc w:val="both"/>
              <w:rPr>
                <w:bCs/>
                <w:sz w:val="20"/>
                <w:szCs w:val="20"/>
              </w:rPr>
            </w:pPr>
          </w:p>
          <w:p w14:paraId="4C410E13" w14:textId="0DFBF132" w:rsidR="00F4284C" w:rsidRPr="00154588" w:rsidRDefault="00F4284C" w:rsidP="008C12B4">
            <w:pPr>
              <w:jc w:val="both"/>
              <w:rPr>
                <w:bCs/>
                <w:sz w:val="20"/>
                <w:szCs w:val="20"/>
              </w:rPr>
            </w:pPr>
            <w:r w:rsidRPr="00154588">
              <w:rPr>
                <w:bCs/>
                <w:sz w:val="20"/>
                <w:szCs w:val="20"/>
              </w:rPr>
              <w:t>(c) în cazul instrumentelor de capital relevante emise de o filială și în cazul în care aceste instrumente de capital sunt contabilizate în scopul respectării cerințelor de fonduri proprii pe bază individuală și consolidată, autoritatea corespunzătoare a statului membru al supraveghetorului consolidant și autoritatea corespunzătoare a statului membru al filialei stabilesc împreună, sub forma unei decizii comune în conformitate cu articolul 92 alineatele (3) și (4), faptul că, în caz de neexercitare a competenței de reducere a valorii contabile sau de conversie în privința acestor instrumente, grupul nu va mai fi viabil;</w:t>
            </w:r>
          </w:p>
          <w:p w14:paraId="76C5DE9E" w14:textId="77777777" w:rsidR="00F4284C" w:rsidRPr="00154588" w:rsidRDefault="00F4284C" w:rsidP="008C12B4">
            <w:pPr>
              <w:jc w:val="both"/>
              <w:rPr>
                <w:bCs/>
                <w:sz w:val="20"/>
                <w:szCs w:val="20"/>
              </w:rPr>
            </w:pPr>
          </w:p>
          <w:p w14:paraId="60663846" w14:textId="1CCA0A5A" w:rsidR="00F4284C" w:rsidRPr="00154588" w:rsidRDefault="00F4284C" w:rsidP="008C12B4">
            <w:pPr>
              <w:jc w:val="both"/>
              <w:rPr>
                <w:bCs/>
                <w:sz w:val="20"/>
                <w:szCs w:val="20"/>
              </w:rPr>
            </w:pPr>
            <w:r w:rsidRPr="00154588">
              <w:rPr>
                <w:bCs/>
                <w:sz w:val="20"/>
                <w:szCs w:val="20"/>
              </w:rPr>
              <w:t>(d) în cazul instrumentelor de capital relevante emise la nivelul întreprinderii-mamă și în cazul în care aceste instrumente de capital sunt contabilizate în scopul respectării cerințelor de fonduri proprii pe bază individuală la nivelul întreprinderii-mamă sau pe bază consolidată, iar autoritatea corespunzătoare a statului membru al supraveghetorului consolidant stabilește că, în caz de neexercitare a competenței de reducere a valorii contabile sau de conversie în privința acestor instrumente, grupul nu va mai fi viabil;</w:t>
            </w:r>
          </w:p>
          <w:p w14:paraId="4C89D243" w14:textId="77777777" w:rsidR="00F4284C" w:rsidRPr="00154588" w:rsidRDefault="00F4284C" w:rsidP="008C12B4">
            <w:pPr>
              <w:jc w:val="both"/>
              <w:rPr>
                <w:bCs/>
                <w:sz w:val="20"/>
                <w:szCs w:val="20"/>
              </w:rPr>
            </w:pPr>
          </w:p>
          <w:p w14:paraId="5ED3EDE7" w14:textId="77777777" w:rsidR="00F4284C" w:rsidRPr="00154588" w:rsidRDefault="00F4284C" w:rsidP="008C12B4">
            <w:pPr>
              <w:jc w:val="both"/>
              <w:rPr>
                <w:bCs/>
                <w:sz w:val="20"/>
                <w:szCs w:val="20"/>
              </w:rPr>
            </w:pPr>
          </w:p>
          <w:p w14:paraId="4419F807" w14:textId="77777777" w:rsidR="00F4284C" w:rsidRPr="00154588" w:rsidRDefault="00F4284C" w:rsidP="008C12B4">
            <w:pPr>
              <w:jc w:val="both"/>
              <w:rPr>
                <w:bCs/>
                <w:sz w:val="20"/>
                <w:szCs w:val="20"/>
              </w:rPr>
            </w:pPr>
          </w:p>
          <w:p w14:paraId="547820C3" w14:textId="2AE041BF" w:rsidR="00F4284C" w:rsidRPr="00154588" w:rsidRDefault="00F4284C" w:rsidP="008C12B4">
            <w:pPr>
              <w:jc w:val="both"/>
              <w:rPr>
                <w:bCs/>
                <w:sz w:val="20"/>
                <w:szCs w:val="20"/>
              </w:rPr>
            </w:pPr>
            <w:r w:rsidRPr="00154588">
              <w:rPr>
                <w:bCs/>
                <w:sz w:val="20"/>
                <w:szCs w:val="20"/>
              </w:rPr>
              <w:t xml:space="preserve">(e) instituția sau entitatea menționată la articolul 1 alineatul (1) litera (b), (c) sau (d) solicită sprijin financiar public extraordinar, cu excepția cazului în </w:t>
            </w:r>
            <w:r w:rsidRPr="00154588">
              <w:rPr>
                <w:bCs/>
                <w:sz w:val="20"/>
                <w:szCs w:val="20"/>
              </w:rPr>
              <w:lastRenderedPageBreak/>
              <w:t xml:space="preserve">care acest sprijin este acordat în una dintre formele menționate la articolul 32c. </w:t>
            </w:r>
          </w:p>
        </w:tc>
        <w:tc>
          <w:tcPr>
            <w:tcW w:w="4819" w:type="dxa"/>
          </w:tcPr>
          <w:p w14:paraId="731FCF03" w14:textId="6A557CE8" w:rsidR="00F4284C" w:rsidRPr="00154588" w:rsidRDefault="00F4284C" w:rsidP="008C12B4">
            <w:pPr>
              <w:jc w:val="both"/>
              <w:rPr>
                <w:bCs/>
                <w:sz w:val="20"/>
                <w:szCs w:val="20"/>
              </w:rPr>
            </w:pPr>
            <w:r w:rsidRPr="00154588">
              <w:rPr>
                <w:b/>
                <w:bCs/>
                <w:sz w:val="20"/>
                <w:szCs w:val="20"/>
              </w:rPr>
              <w:lastRenderedPageBreak/>
              <w:t>Articolul 221.</w:t>
            </w:r>
            <w:r w:rsidRPr="00154588">
              <w:rPr>
                <w:bCs/>
                <w:sz w:val="20"/>
                <w:szCs w:val="20"/>
              </w:rPr>
              <w:t xml:space="preserve"> – Banca Naţională a Moldovei, în calitate de autoritate de rezoluţie, îşi exercită competenţa de reducere a valorii sau de conversie în conformitate cu dispoziţiile art.226-230 fără întîrziere, în ceea ce priveşte instrumentele de capital relevante şi datoriile eligibile emise de către o instituție de credit sau entitate prevăzută la art.1 alin.(1) lit.b), c) sau d), și ținând seama de necesitatea de a pune în aplicare efectiv competența de reducere a valorii contabile sau de conversie sau, după caz, strategia de rezoluție pentru grupul de </w:t>
            </w:r>
            <w:r w:rsidRPr="00154588">
              <w:rPr>
                <w:bCs/>
                <w:sz w:val="20"/>
                <w:szCs w:val="20"/>
              </w:rPr>
              <w:lastRenderedPageBreak/>
              <w:t>rezoluție, dacă sunt întrunite una sau mai multe dintre următoarele circumstanțe:</w:t>
            </w:r>
          </w:p>
          <w:p w14:paraId="2655AD7D" w14:textId="6C718E8B" w:rsidR="00F4284C" w:rsidRPr="00154588" w:rsidRDefault="00F4284C" w:rsidP="008C12B4">
            <w:pPr>
              <w:jc w:val="both"/>
              <w:rPr>
                <w:bCs/>
                <w:sz w:val="20"/>
                <w:szCs w:val="20"/>
              </w:rPr>
            </w:pPr>
            <w:r w:rsidRPr="00154588">
              <w:rPr>
                <w:bCs/>
                <w:sz w:val="20"/>
                <w:szCs w:val="20"/>
              </w:rPr>
              <w:t xml:space="preserve">a) dacă s-a determinat faptul că toate condiţiile de declanşare a procedurii de rezoluţie prevăzute la art.58-60 alin.(5) sau </w:t>
            </w:r>
            <w:r w:rsidR="004A01F3" w:rsidRPr="00154588">
              <w:rPr>
                <w:sz w:val="20"/>
                <w:szCs w:val="20"/>
              </w:rPr>
              <w:t>alin. (5) sau alin. (10) –(14)”</w:t>
            </w:r>
            <w:r w:rsidRPr="00154588">
              <w:rPr>
                <w:bCs/>
                <w:sz w:val="20"/>
                <w:szCs w:val="20"/>
              </w:rPr>
              <w:t xml:space="preserve"> au fost îndeplinite înainte de efectuarea unei acţiuni de rezoluţie;</w:t>
            </w:r>
          </w:p>
          <w:p w14:paraId="3FED5094" w14:textId="5B766E4B" w:rsidR="00F4284C" w:rsidRPr="00154588" w:rsidRDefault="00F4284C" w:rsidP="008C12B4">
            <w:pPr>
              <w:jc w:val="both"/>
              <w:rPr>
                <w:bCs/>
                <w:sz w:val="20"/>
                <w:szCs w:val="20"/>
              </w:rPr>
            </w:pPr>
            <w:r w:rsidRPr="00154588">
              <w:rPr>
                <w:bCs/>
                <w:sz w:val="20"/>
                <w:szCs w:val="20"/>
              </w:rPr>
              <w:t>b) Banca Naţională a Moldovei, în calitate de autoritate competentă, determină că, dacă respectiva competenţă nu este exercitată în ceea ce priveşte instrumentele de capital şi datoriile eligibile relevante menționate la art.219</w:t>
            </w:r>
            <w:r w:rsidRPr="00154588">
              <w:rPr>
                <w:bCs/>
                <w:sz w:val="20"/>
                <w:szCs w:val="20"/>
                <w:vertAlign w:val="superscript"/>
              </w:rPr>
              <w:t>1</w:t>
            </w:r>
            <w:r w:rsidRPr="00154588">
              <w:rPr>
                <w:bCs/>
                <w:sz w:val="20"/>
                <w:szCs w:val="20"/>
              </w:rPr>
              <w:t>, instituția de credit sau entitatea prevăzută la art.1 alin.(1) lit.b), c) sau d) va înceta să mai fie viabilă;</w:t>
            </w:r>
          </w:p>
          <w:p w14:paraId="0E391223" w14:textId="77777777" w:rsidR="00F4284C" w:rsidRPr="00154588" w:rsidRDefault="00F4284C" w:rsidP="008C12B4">
            <w:pPr>
              <w:jc w:val="both"/>
              <w:rPr>
                <w:bCs/>
                <w:sz w:val="20"/>
                <w:szCs w:val="20"/>
              </w:rPr>
            </w:pPr>
            <w:r w:rsidRPr="00154588">
              <w:rPr>
                <w:bCs/>
                <w:sz w:val="20"/>
                <w:szCs w:val="20"/>
              </w:rPr>
              <w:t>c) în cazul instrumentelor de capital relevante emise de o filială atunci când aceste instrumente de capital sunt luate în calcul în scopul respectării cerințelor de fonduri proprii la nivel individual și consolidat, Banca Națională a Moldovei, acționând în calitate de supraveghetor consolidant, și autoritatea competentă a statului membru al Uniunii Europene al filialei, iau o decizie comună, sub forma unei decizii comune, în conformitate cu prevederile art. 295</w:t>
            </w:r>
            <w:r w:rsidRPr="00154588">
              <w:rPr>
                <w:bCs/>
                <w:sz w:val="20"/>
                <w:szCs w:val="20"/>
                <w:vertAlign w:val="superscript"/>
              </w:rPr>
              <w:t>44</w:t>
            </w:r>
            <w:r w:rsidRPr="00154588">
              <w:rPr>
                <w:bCs/>
                <w:sz w:val="20"/>
                <w:szCs w:val="20"/>
              </w:rPr>
              <w:t xml:space="preserve"> și 295</w:t>
            </w:r>
            <w:r w:rsidRPr="00154588">
              <w:rPr>
                <w:bCs/>
                <w:sz w:val="20"/>
                <w:szCs w:val="20"/>
                <w:vertAlign w:val="superscript"/>
              </w:rPr>
              <w:t>45</w:t>
            </w:r>
            <w:r w:rsidRPr="00154588">
              <w:rPr>
                <w:bCs/>
                <w:sz w:val="20"/>
                <w:szCs w:val="20"/>
              </w:rPr>
              <w:t xml:space="preserve"> conform căreia, dacă nu se exercită competența de reducere a valorii sau de conversie în legătură cu aceste instrumente, grupul nu va mai fi viabil; </w:t>
            </w:r>
          </w:p>
          <w:p w14:paraId="3E79906C" w14:textId="77777777" w:rsidR="00F4284C" w:rsidRPr="00154588" w:rsidRDefault="00F4284C" w:rsidP="008C12B4">
            <w:pPr>
              <w:jc w:val="both"/>
              <w:rPr>
                <w:bCs/>
                <w:sz w:val="20"/>
                <w:szCs w:val="20"/>
              </w:rPr>
            </w:pPr>
            <w:r w:rsidRPr="00154588">
              <w:rPr>
                <w:bCs/>
                <w:sz w:val="20"/>
                <w:szCs w:val="20"/>
              </w:rPr>
              <w:t>(d) în cazul instrumentelor de capital relevante emise de o filială și în cazul în care aceste instrumente de capital sunt recunoscute în scopul îndeplinirii cerințelor de fonduri proprii la nivel individual și consolidat, Banca Națională a Moldovei, acționând în calitate de autoritate competentă a filialei, împreună cu autoritatea competentă a supraveghetorului consolidant, iau o decizie comună, sub forma unei decizii comune, în conformitate cu articolul 295</w:t>
            </w:r>
            <w:r w:rsidRPr="00154588">
              <w:rPr>
                <w:bCs/>
                <w:sz w:val="20"/>
                <w:szCs w:val="20"/>
                <w:vertAlign w:val="superscript"/>
              </w:rPr>
              <w:t>30</w:t>
            </w:r>
            <w:r w:rsidRPr="00154588">
              <w:rPr>
                <w:bCs/>
                <w:sz w:val="20"/>
                <w:szCs w:val="20"/>
              </w:rPr>
              <w:t xml:space="preserve"> - 295</w:t>
            </w:r>
            <w:r w:rsidRPr="00154588">
              <w:rPr>
                <w:bCs/>
                <w:sz w:val="20"/>
                <w:szCs w:val="20"/>
                <w:vertAlign w:val="superscript"/>
              </w:rPr>
              <w:t>41</w:t>
            </w:r>
            <w:r w:rsidRPr="00154588">
              <w:rPr>
                <w:bCs/>
                <w:sz w:val="20"/>
                <w:szCs w:val="20"/>
              </w:rPr>
              <w:t>, conform căreia, dacă nu se exercită competența de reducere a valorii sau de conversie în legătură cu aceste instrumente, grupul nu va mai fi viabil;</w:t>
            </w:r>
          </w:p>
          <w:p w14:paraId="58A6528E" w14:textId="77777777" w:rsidR="00F4284C" w:rsidRPr="00154588" w:rsidRDefault="00F4284C" w:rsidP="008C12B4">
            <w:pPr>
              <w:jc w:val="both"/>
              <w:rPr>
                <w:bCs/>
                <w:sz w:val="20"/>
                <w:szCs w:val="20"/>
              </w:rPr>
            </w:pPr>
            <w:r w:rsidRPr="00154588">
              <w:rPr>
                <w:bCs/>
                <w:sz w:val="20"/>
                <w:szCs w:val="20"/>
              </w:rPr>
              <w:t xml:space="preserve">e) în cazul instrumentelor de capital relevante emise la nivelul întreprinderii-mamă, în cazul în care Banca Națională a Moldovei este autoritatea competentă și în cazul în care aceste instrumente de capital sunt recunoscute în scopul îndeplinirii cerințelor de </w:t>
            </w:r>
            <w:r w:rsidRPr="00154588">
              <w:rPr>
                <w:bCs/>
                <w:sz w:val="20"/>
                <w:szCs w:val="20"/>
              </w:rPr>
              <w:lastRenderedPageBreak/>
              <w:t>fonduri proprii la nivel individual, la nivelul întreprinderii-mamă, sau pe bază consolidată, Banca Națională a Moldovei, acționând în calitate de supraveghetor consolidant, constată că, dacă nu se exercită competența de reducere a valorii sau de conversie în legătură cu aceste instrumente, grupul nu va mai fi viabil;</w:t>
            </w:r>
          </w:p>
          <w:p w14:paraId="7FB9EAD2" w14:textId="04F79CB9" w:rsidR="00F4284C" w:rsidRPr="00154588" w:rsidRDefault="00F4284C" w:rsidP="008C12B4">
            <w:pPr>
              <w:jc w:val="both"/>
              <w:rPr>
                <w:bCs/>
                <w:sz w:val="20"/>
                <w:szCs w:val="20"/>
              </w:rPr>
            </w:pPr>
            <w:r w:rsidRPr="00154588">
              <w:rPr>
                <w:bCs/>
                <w:sz w:val="20"/>
                <w:szCs w:val="20"/>
              </w:rPr>
              <w:t>f) instituția de credit sau entitatea prevăzută la art. 1 alin. (1) lit. b), c) sau d) solicită sprijin financiar public extraordinar, cu excepţia cazului în care acest sprijin este acordat în una dintre formele menționate la art.60</w:t>
            </w:r>
            <w:r w:rsidRPr="00154588">
              <w:rPr>
                <w:bCs/>
                <w:sz w:val="20"/>
                <w:szCs w:val="20"/>
                <w:vertAlign w:val="superscript"/>
              </w:rPr>
              <w:t>11</w:t>
            </w:r>
            <w:r w:rsidRPr="00154588">
              <w:rPr>
                <w:bCs/>
                <w:sz w:val="20"/>
                <w:szCs w:val="20"/>
              </w:rPr>
              <w:t>-</w:t>
            </w:r>
            <w:r w:rsidRPr="00154588">
              <w:rPr>
                <w:sz w:val="20"/>
                <w:szCs w:val="20"/>
              </w:rPr>
              <w:t>60</w:t>
            </w:r>
            <w:r w:rsidRPr="00154588">
              <w:rPr>
                <w:sz w:val="20"/>
                <w:szCs w:val="20"/>
                <w:vertAlign w:val="superscript"/>
              </w:rPr>
              <w:t>15</w:t>
            </w:r>
            <w:r w:rsidRPr="00154588">
              <w:rPr>
                <w:bCs/>
                <w:sz w:val="20"/>
                <w:szCs w:val="20"/>
              </w:rPr>
              <w:t>.</w:t>
            </w:r>
          </w:p>
          <w:p w14:paraId="1C45B547" w14:textId="77777777" w:rsidR="00F4284C" w:rsidRPr="00154588" w:rsidRDefault="00F4284C" w:rsidP="008C12B4">
            <w:pPr>
              <w:jc w:val="both"/>
              <w:rPr>
                <w:bCs/>
                <w:sz w:val="20"/>
                <w:szCs w:val="20"/>
              </w:rPr>
            </w:pPr>
          </w:p>
        </w:tc>
        <w:tc>
          <w:tcPr>
            <w:tcW w:w="2552" w:type="dxa"/>
          </w:tcPr>
          <w:p w14:paraId="21F9B126" w14:textId="1CA6DB19" w:rsidR="00F4284C" w:rsidRPr="00154588" w:rsidRDefault="00F4284C" w:rsidP="008C12B4">
            <w:pPr>
              <w:jc w:val="both"/>
              <w:rPr>
                <w:bCs/>
                <w:sz w:val="20"/>
                <w:szCs w:val="20"/>
              </w:rPr>
            </w:pPr>
            <w:r w:rsidRPr="00154588">
              <w:rPr>
                <w:bCs/>
                <w:sz w:val="20"/>
                <w:szCs w:val="20"/>
              </w:rPr>
              <w:lastRenderedPageBreak/>
              <w:t>Compatibil</w:t>
            </w:r>
          </w:p>
        </w:tc>
        <w:tc>
          <w:tcPr>
            <w:tcW w:w="3118" w:type="dxa"/>
          </w:tcPr>
          <w:p w14:paraId="030DC3D1" w14:textId="77777777" w:rsidR="00F4284C" w:rsidRPr="00154588" w:rsidRDefault="00F4284C" w:rsidP="008C12B4">
            <w:pPr>
              <w:jc w:val="both"/>
              <w:rPr>
                <w:bCs/>
                <w:sz w:val="20"/>
                <w:szCs w:val="20"/>
              </w:rPr>
            </w:pPr>
          </w:p>
        </w:tc>
      </w:tr>
      <w:tr w:rsidR="00F4284C" w:rsidRPr="00154588" w14:paraId="5783609B" w14:textId="77777777" w:rsidTr="00D15C1B">
        <w:trPr>
          <w:jc w:val="center"/>
        </w:trPr>
        <w:tc>
          <w:tcPr>
            <w:tcW w:w="4957" w:type="dxa"/>
            <w:gridSpan w:val="2"/>
          </w:tcPr>
          <w:p w14:paraId="100E9F19" w14:textId="77777777" w:rsidR="00F4284C" w:rsidRPr="00154588" w:rsidRDefault="00F4284C" w:rsidP="008C12B4">
            <w:pPr>
              <w:jc w:val="both"/>
              <w:rPr>
                <w:bCs/>
                <w:sz w:val="20"/>
                <w:szCs w:val="20"/>
              </w:rPr>
            </w:pPr>
            <w:r w:rsidRPr="00154588">
              <w:rPr>
                <w:bCs/>
                <w:sz w:val="20"/>
                <w:szCs w:val="20"/>
              </w:rPr>
              <w:lastRenderedPageBreak/>
              <w:t>(4)   În sensul alineatului (3), se consideră că o instituție sau o entitate menționată la articolul 1 alineatul (1) litera (b), (c) sau (d) sau un grup nu mai sunt viabile numai dacă sunt îndeplinite ambele condiții de mai jos:</w:t>
            </w:r>
          </w:p>
          <w:p w14:paraId="5AC72F51" w14:textId="77777777" w:rsidR="00F4284C" w:rsidRPr="00154588" w:rsidRDefault="00F4284C" w:rsidP="008C12B4">
            <w:pPr>
              <w:jc w:val="both"/>
              <w:rPr>
                <w:bCs/>
                <w:sz w:val="20"/>
                <w:szCs w:val="20"/>
              </w:rPr>
            </w:pPr>
          </w:p>
          <w:p w14:paraId="33FAB212" w14:textId="77777777" w:rsidR="00F4284C" w:rsidRPr="00154588" w:rsidRDefault="00F4284C" w:rsidP="008C12B4">
            <w:pPr>
              <w:jc w:val="both"/>
              <w:rPr>
                <w:bCs/>
                <w:sz w:val="20"/>
                <w:szCs w:val="20"/>
              </w:rPr>
            </w:pPr>
          </w:p>
          <w:p w14:paraId="69DCB57F" w14:textId="2317954B" w:rsidR="00F4284C" w:rsidRPr="00154588" w:rsidRDefault="00F4284C" w:rsidP="008C12B4">
            <w:pPr>
              <w:jc w:val="both"/>
              <w:rPr>
                <w:bCs/>
                <w:sz w:val="20"/>
                <w:szCs w:val="20"/>
              </w:rPr>
            </w:pPr>
            <w:r w:rsidRPr="00154588">
              <w:rPr>
                <w:bCs/>
                <w:sz w:val="20"/>
                <w:szCs w:val="20"/>
              </w:rPr>
              <w:t>(a) instituția sau entitatea menționată la articolul 1 alineatul (1) litera (b), (c) sau (d) sau grupul este în curs de a intra în dificultate sau este susceptibil de a intra în dificultate;</w:t>
            </w:r>
          </w:p>
          <w:p w14:paraId="532BBFBF" w14:textId="77777777" w:rsidR="00F4284C" w:rsidRPr="00154588" w:rsidRDefault="00F4284C" w:rsidP="008C12B4">
            <w:pPr>
              <w:jc w:val="both"/>
              <w:rPr>
                <w:bCs/>
                <w:sz w:val="20"/>
                <w:szCs w:val="20"/>
              </w:rPr>
            </w:pPr>
          </w:p>
          <w:p w14:paraId="48F77D33" w14:textId="405E2E0C" w:rsidR="00F4284C" w:rsidRPr="00154588" w:rsidRDefault="00F4284C" w:rsidP="008C12B4">
            <w:pPr>
              <w:jc w:val="both"/>
              <w:rPr>
                <w:bCs/>
                <w:sz w:val="20"/>
                <w:szCs w:val="20"/>
              </w:rPr>
            </w:pPr>
            <w:r w:rsidRPr="00154588">
              <w:rPr>
                <w:bCs/>
                <w:sz w:val="20"/>
                <w:szCs w:val="20"/>
              </w:rPr>
              <w:t xml:space="preserve">(b) având în vedere calendarul și alte circumstanțe relevante, nu există nicio perspectivă rezonabilă potrivit căreia intrarea în dificultate a instituției sau a entității menționate la articolul 1 alineatul (1) litera (b), (c) sau (d) ori a grupului să poată fi împiedicată într-un interval de timp rezonabil prin eventuale măsuri, inclusiv prin măsuri alternative din sectorul privat, prin măsuri de supraveghere sau măsuri de intervenție timpurie, altele decât reducerea valorii contabile sau conversia instrumentelor de capital relevante, și a datoriilor eligibile astfel cum sunt menționate la alineatul (1a) de la prezentul articol. </w:t>
            </w:r>
          </w:p>
        </w:tc>
        <w:tc>
          <w:tcPr>
            <w:tcW w:w="4819" w:type="dxa"/>
          </w:tcPr>
          <w:p w14:paraId="2463A1AE" w14:textId="6ECEF2B1" w:rsidR="00F4284C" w:rsidRPr="00154588" w:rsidRDefault="00F4284C" w:rsidP="008C12B4">
            <w:pPr>
              <w:jc w:val="both"/>
              <w:rPr>
                <w:bCs/>
                <w:sz w:val="20"/>
                <w:szCs w:val="20"/>
              </w:rPr>
            </w:pPr>
            <w:r w:rsidRPr="00154588">
              <w:rPr>
                <w:b/>
                <w:bCs/>
                <w:sz w:val="20"/>
                <w:szCs w:val="20"/>
              </w:rPr>
              <w:t>Articolul 222.</w:t>
            </w:r>
            <w:r w:rsidRPr="00154588">
              <w:rPr>
                <w:bCs/>
                <w:sz w:val="20"/>
                <w:szCs w:val="20"/>
              </w:rPr>
              <w:t xml:space="preserve"> – În sensul art.221, se consideră că o instituție de credit sau o entitate prevăzută la art.1 alin.(1) lit.b), c) sau d) nu mai este viabilă numai dacă sînt îndeplinite cumulativ următoarele condiţii:</w:t>
            </w:r>
          </w:p>
          <w:p w14:paraId="5D9D4B07" w14:textId="77777777" w:rsidR="00F4284C" w:rsidRPr="00154588" w:rsidRDefault="00F4284C" w:rsidP="008C12B4">
            <w:pPr>
              <w:jc w:val="both"/>
              <w:rPr>
                <w:bCs/>
                <w:sz w:val="20"/>
                <w:szCs w:val="20"/>
              </w:rPr>
            </w:pPr>
          </w:p>
          <w:p w14:paraId="1D3E5D51" w14:textId="2FBAD9C8" w:rsidR="00F4284C" w:rsidRPr="00154588" w:rsidRDefault="00F4284C" w:rsidP="008C12B4">
            <w:pPr>
              <w:jc w:val="both"/>
              <w:rPr>
                <w:bCs/>
                <w:sz w:val="20"/>
                <w:szCs w:val="20"/>
              </w:rPr>
            </w:pPr>
            <w:r w:rsidRPr="00154588">
              <w:rPr>
                <w:bCs/>
                <w:sz w:val="20"/>
                <w:szCs w:val="20"/>
              </w:rPr>
              <w:t>a) instituția de credit sau entitatea prevăzută la art.1 alin.(1) lit.b), c) sau d) sau grupul intră sau este susceptibilă de a intra într-o situaţie de dificultate;</w:t>
            </w:r>
          </w:p>
          <w:p w14:paraId="5028178E" w14:textId="77777777" w:rsidR="00F4284C" w:rsidRPr="00154588" w:rsidRDefault="00F4284C" w:rsidP="008C12B4">
            <w:pPr>
              <w:jc w:val="both"/>
              <w:rPr>
                <w:bCs/>
                <w:sz w:val="20"/>
                <w:szCs w:val="20"/>
              </w:rPr>
            </w:pPr>
          </w:p>
          <w:p w14:paraId="7C8E9C60" w14:textId="7245EFE9" w:rsidR="00F4284C" w:rsidRPr="00154588" w:rsidRDefault="00F4284C" w:rsidP="008C12B4">
            <w:pPr>
              <w:jc w:val="both"/>
              <w:rPr>
                <w:bCs/>
                <w:sz w:val="20"/>
                <w:szCs w:val="20"/>
              </w:rPr>
            </w:pPr>
            <w:r w:rsidRPr="00154588">
              <w:rPr>
                <w:bCs/>
                <w:sz w:val="20"/>
                <w:szCs w:val="20"/>
              </w:rPr>
              <w:t>b) avînd în vedere orizontul de timp şi alte circumstanţe relevante, nu există nicio perspectivă rezonabilă potrivit căreia intrarea într-o situaţie de dificultate a instituţiei de credit sau a entităţii menţionate la art.1 alin.(1) lit.b), c) sau d) sau</w:t>
            </w:r>
            <w:r w:rsidRPr="00154588">
              <w:rPr>
                <w:sz w:val="20"/>
                <w:szCs w:val="20"/>
              </w:rPr>
              <w:t xml:space="preserve"> </w:t>
            </w:r>
            <w:r w:rsidRPr="00154588">
              <w:rPr>
                <w:bCs/>
                <w:sz w:val="20"/>
                <w:szCs w:val="20"/>
              </w:rPr>
              <w:t>a</w:t>
            </w:r>
            <w:r w:rsidRPr="00154588">
              <w:rPr>
                <w:sz w:val="20"/>
                <w:szCs w:val="20"/>
              </w:rPr>
              <w:t xml:space="preserve"> grupului ar putea fi împiedicată în timp util prin vreo măsură, fie ea o măsură alternativă a sectorului privat sau o măsură de supraveghere, inclusiv o măsură de intervenţie timpurie, în afara unei măsuri de reducere a valorii </w:t>
            </w:r>
            <w:r w:rsidRPr="00154588">
              <w:rPr>
                <w:bCs/>
                <w:sz w:val="20"/>
                <w:szCs w:val="20"/>
              </w:rPr>
              <w:t xml:space="preserve">contabile </w:t>
            </w:r>
            <w:r w:rsidRPr="00154588">
              <w:rPr>
                <w:sz w:val="20"/>
                <w:szCs w:val="20"/>
              </w:rPr>
              <w:t xml:space="preserve">sau de conversie a instrumentelor de capital </w:t>
            </w:r>
            <w:r w:rsidRPr="00154588">
              <w:rPr>
                <w:bCs/>
                <w:sz w:val="20"/>
                <w:szCs w:val="20"/>
              </w:rPr>
              <w:t xml:space="preserve">relevante </w:t>
            </w:r>
            <w:r w:rsidRPr="00154588">
              <w:rPr>
                <w:sz w:val="20"/>
                <w:szCs w:val="20"/>
              </w:rPr>
              <w:t xml:space="preserve">sau a datoriilor eligibile, </w:t>
            </w:r>
            <w:r w:rsidRPr="00154588">
              <w:rPr>
                <w:bCs/>
                <w:sz w:val="20"/>
                <w:szCs w:val="20"/>
              </w:rPr>
              <w:t>astfel cum sunt menționate la art.</w:t>
            </w:r>
            <w:r w:rsidRPr="00154588">
              <w:rPr>
                <w:sz w:val="20"/>
                <w:szCs w:val="20"/>
              </w:rPr>
              <w:t xml:space="preserve"> 219</w:t>
            </w:r>
            <w:r w:rsidRPr="00154588">
              <w:rPr>
                <w:sz w:val="20"/>
                <w:szCs w:val="20"/>
                <w:vertAlign w:val="superscript"/>
              </w:rPr>
              <w:t>1</w:t>
            </w:r>
            <w:r w:rsidRPr="00154588">
              <w:rPr>
                <w:bCs/>
                <w:sz w:val="20"/>
                <w:szCs w:val="20"/>
              </w:rPr>
              <w:t>.</w:t>
            </w:r>
          </w:p>
          <w:p w14:paraId="3E8AAD76" w14:textId="77777777" w:rsidR="00F4284C" w:rsidRPr="00154588" w:rsidRDefault="00F4284C" w:rsidP="008C12B4">
            <w:pPr>
              <w:jc w:val="both"/>
              <w:rPr>
                <w:bCs/>
                <w:sz w:val="20"/>
                <w:szCs w:val="20"/>
              </w:rPr>
            </w:pPr>
          </w:p>
        </w:tc>
        <w:tc>
          <w:tcPr>
            <w:tcW w:w="2552" w:type="dxa"/>
          </w:tcPr>
          <w:p w14:paraId="0DB6A6AB" w14:textId="6FB8317F" w:rsidR="00F4284C" w:rsidRPr="00154588" w:rsidRDefault="00F4284C" w:rsidP="008C12B4">
            <w:pPr>
              <w:jc w:val="both"/>
              <w:rPr>
                <w:bCs/>
                <w:sz w:val="20"/>
                <w:szCs w:val="20"/>
              </w:rPr>
            </w:pPr>
            <w:r w:rsidRPr="00154588">
              <w:rPr>
                <w:bCs/>
                <w:sz w:val="20"/>
                <w:szCs w:val="20"/>
              </w:rPr>
              <w:t>Compatibil</w:t>
            </w:r>
          </w:p>
        </w:tc>
        <w:tc>
          <w:tcPr>
            <w:tcW w:w="3118" w:type="dxa"/>
          </w:tcPr>
          <w:p w14:paraId="3324B66E" w14:textId="77777777" w:rsidR="00F4284C" w:rsidRPr="00154588" w:rsidRDefault="00F4284C" w:rsidP="008C12B4">
            <w:pPr>
              <w:jc w:val="both"/>
              <w:rPr>
                <w:bCs/>
                <w:sz w:val="20"/>
                <w:szCs w:val="20"/>
              </w:rPr>
            </w:pPr>
          </w:p>
        </w:tc>
      </w:tr>
      <w:tr w:rsidR="00F4284C" w:rsidRPr="00154588" w14:paraId="3A4C8D04" w14:textId="77777777" w:rsidTr="00D15C1B">
        <w:trPr>
          <w:jc w:val="center"/>
        </w:trPr>
        <w:tc>
          <w:tcPr>
            <w:tcW w:w="4957" w:type="dxa"/>
            <w:gridSpan w:val="2"/>
          </w:tcPr>
          <w:p w14:paraId="713B2F63" w14:textId="3FF04414" w:rsidR="00F4284C" w:rsidRPr="00154588" w:rsidRDefault="00F4284C" w:rsidP="008C12B4">
            <w:pPr>
              <w:jc w:val="both"/>
              <w:rPr>
                <w:sz w:val="20"/>
                <w:szCs w:val="20"/>
              </w:rPr>
            </w:pPr>
            <w:r w:rsidRPr="00154588">
              <w:rPr>
                <w:sz w:val="20"/>
                <w:szCs w:val="20"/>
              </w:rPr>
              <w:t>(5)   În sensul alineatului (4) litera (a) din prezentul articol, se consideră că o instituție sau o entitate menționată la articolul 1 alineatul (1) litera (b), (c) sau (d) este în curs de a intra în dificultate sau este susceptibilă de a intra în dificultate dacă este îndeplinită una sau sunt îndeplinite mai multe dintre condițiile prevăzute la articolul 32 alineatul (4).</w:t>
            </w:r>
          </w:p>
        </w:tc>
        <w:tc>
          <w:tcPr>
            <w:tcW w:w="4819" w:type="dxa"/>
          </w:tcPr>
          <w:p w14:paraId="4194832E" w14:textId="77777777" w:rsidR="00F4284C" w:rsidRPr="00154588" w:rsidRDefault="00F4284C" w:rsidP="008C12B4">
            <w:pPr>
              <w:jc w:val="both"/>
              <w:rPr>
                <w:sz w:val="20"/>
                <w:szCs w:val="20"/>
              </w:rPr>
            </w:pPr>
            <w:r w:rsidRPr="00154588">
              <w:rPr>
                <w:b/>
                <w:sz w:val="20"/>
                <w:szCs w:val="20"/>
              </w:rPr>
              <w:t>Articolul 223.</w:t>
            </w:r>
            <w:r w:rsidRPr="00154588">
              <w:rPr>
                <w:sz w:val="20"/>
                <w:szCs w:val="20"/>
              </w:rPr>
              <w:t xml:space="preserve"> – În sensul art.222 lit.a), se consideră că o instituție de credit sau o entitate prevăzută la art. 1 alin. (1) lit. b), c) sau d) intră sau este susceptibilă de a intra într-o situaţie de dificultate în cazul în care cel puţin una dintre condiţiile prevăzute la art.59 este îndeplinită.</w:t>
            </w:r>
          </w:p>
          <w:p w14:paraId="410A9DC3" w14:textId="77777777" w:rsidR="00F4284C" w:rsidRPr="00154588" w:rsidRDefault="00F4284C" w:rsidP="008C12B4">
            <w:pPr>
              <w:jc w:val="both"/>
              <w:rPr>
                <w:sz w:val="20"/>
                <w:szCs w:val="20"/>
              </w:rPr>
            </w:pPr>
          </w:p>
        </w:tc>
        <w:tc>
          <w:tcPr>
            <w:tcW w:w="2552" w:type="dxa"/>
          </w:tcPr>
          <w:p w14:paraId="446D7BF5" w14:textId="3404114B" w:rsidR="00F4284C" w:rsidRPr="00154588" w:rsidRDefault="00F4284C" w:rsidP="008C12B4">
            <w:pPr>
              <w:jc w:val="both"/>
              <w:rPr>
                <w:sz w:val="20"/>
                <w:szCs w:val="20"/>
              </w:rPr>
            </w:pPr>
            <w:r w:rsidRPr="00154588">
              <w:rPr>
                <w:sz w:val="20"/>
                <w:szCs w:val="20"/>
              </w:rPr>
              <w:t>Compatibil</w:t>
            </w:r>
          </w:p>
        </w:tc>
        <w:tc>
          <w:tcPr>
            <w:tcW w:w="3118" w:type="dxa"/>
          </w:tcPr>
          <w:p w14:paraId="37394444" w14:textId="77777777" w:rsidR="00F4284C" w:rsidRPr="00154588" w:rsidRDefault="00F4284C" w:rsidP="008C12B4">
            <w:pPr>
              <w:jc w:val="both"/>
              <w:rPr>
                <w:sz w:val="20"/>
                <w:szCs w:val="20"/>
              </w:rPr>
            </w:pPr>
          </w:p>
        </w:tc>
      </w:tr>
      <w:tr w:rsidR="00F4284C" w:rsidRPr="00154588" w14:paraId="5A76006C" w14:textId="77777777" w:rsidTr="00D15C1B">
        <w:trPr>
          <w:jc w:val="center"/>
        </w:trPr>
        <w:tc>
          <w:tcPr>
            <w:tcW w:w="4957" w:type="dxa"/>
            <w:gridSpan w:val="2"/>
          </w:tcPr>
          <w:p w14:paraId="3DBB2D5D" w14:textId="5770DC38" w:rsidR="00F4284C" w:rsidRPr="00154588" w:rsidRDefault="00F4284C" w:rsidP="008C12B4">
            <w:pPr>
              <w:jc w:val="both"/>
              <w:rPr>
                <w:sz w:val="20"/>
                <w:szCs w:val="20"/>
              </w:rPr>
            </w:pPr>
            <w:r w:rsidRPr="00154588">
              <w:rPr>
                <w:sz w:val="20"/>
                <w:szCs w:val="20"/>
              </w:rPr>
              <w:lastRenderedPageBreak/>
              <w:t>(6)   În sensul alineatului (4) litera (a), se consideră că un grup este în curs de a intra în dificultate sau este susceptibil de a intra în dificultate dacă grupul încalcă, sau există elemente obiective care sprijină concluzia că grupul respectiv va încălca în viitorul apropiat cerințele prudențiale consolidate, într-o măsură suficientă pentru a justifica acțiunea din partea autorității competente, inclusiv, dar fără a se limita la considerentul că grupul a suportat sau este susceptibil de a suporta pierderi care îi vor epuiza toate sau o parte semnificativă a fondurilor proprii.</w:t>
            </w:r>
          </w:p>
        </w:tc>
        <w:tc>
          <w:tcPr>
            <w:tcW w:w="4819" w:type="dxa"/>
          </w:tcPr>
          <w:p w14:paraId="66B649AE" w14:textId="77777777" w:rsidR="00F4284C" w:rsidRPr="00154588" w:rsidRDefault="00F4284C" w:rsidP="008C12B4">
            <w:pPr>
              <w:jc w:val="both"/>
              <w:rPr>
                <w:sz w:val="20"/>
                <w:szCs w:val="20"/>
              </w:rPr>
            </w:pPr>
            <w:r w:rsidRPr="00154588">
              <w:rPr>
                <w:b/>
                <w:sz w:val="20"/>
                <w:szCs w:val="20"/>
              </w:rPr>
              <w:t>Articolul 223</w:t>
            </w:r>
            <w:r w:rsidRPr="00154588">
              <w:rPr>
                <w:b/>
                <w:sz w:val="20"/>
                <w:szCs w:val="20"/>
                <w:vertAlign w:val="superscript"/>
              </w:rPr>
              <w:t>1</w:t>
            </w:r>
            <w:r w:rsidRPr="00154588">
              <w:rPr>
                <w:sz w:val="20"/>
                <w:szCs w:val="20"/>
              </w:rPr>
              <w:t xml:space="preserve"> – În sensul art. 222 lit. a), se consideră că un grup intră sau este susceptibil de a intra într-o situație de dificultate dacă grupul respectiv încalcă cerințele prudențiale la nivel consolidat sau există elemente obiective care susțin concluzia că grupul respectiv va încălca în viitorul apropiat cerințele prudențiale la nivel consolidat, într-o măsură care ar justifica acțiunea din partea Băncii Naționale a Moldovei, în calitate de autoritate competentă, inclusiv, dar fără a se limita la considerentul că grupul a suportat sau este susceptibil de a suporta pierderi care îi vor epuiza toate fondurile proprii sau o parte semnificativă a acestora.</w:t>
            </w:r>
          </w:p>
          <w:p w14:paraId="2A88D2EB" w14:textId="77777777" w:rsidR="00F4284C" w:rsidRPr="00154588" w:rsidRDefault="00F4284C" w:rsidP="008C12B4">
            <w:pPr>
              <w:jc w:val="both"/>
              <w:rPr>
                <w:sz w:val="20"/>
                <w:szCs w:val="20"/>
              </w:rPr>
            </w:pPr>
          </w:p>
        </w:tc>
        <w:tc>
          <w:tcPr>
            <w:tcW w:w="2552" w:type="dxa"/>
          </w:tcPr>
          <w:p w14:paraId="3088A655" w14:textId="1B1847AF" w:rsidR="00F4284C" w:rsidRPr="00154588" w:rsidRDefault="00F4284C" w:rsidP="008C12B4">
            <w:pPr>
              <w:jc w:val="both"/>
              <w:rPr>
                <w:sz w:val="20"/>
                <w:szCs w:val="20"/>
              </w:rPr>
            </w:pPr>
            <w:r w:rsidRPr="00154588">
              <w:rPr>
                <w:sz w:val="20"/>
                <w:szCs w:val="20"/>
              </w:rPr>
              <w:t>Compatibil</w:t>
            </w:r>
          </w:p>
        </w:tc>
        <w:tc>
          <w:tcPr>
            <w:tcW w:w="3118" w:type="dxa"/>
          </w:tcPr>
          <w:p w14:paraId="0561C733" w14:textId="77777777" w:rsidR="00F4284C" w:rsidRPr="00154588" w:rsidRDefault="00F4284C" w:rsidP="008C12B4">
            <w:pPr>
              <w:jc w:val="both"/>
              <w:rPr>
                <w:sz w:val="20"/>
                <w:szCs w:val="20"/>
              </w:rPr>
            </w:pPr>
          </w:p>
        </w:tc>
      </w:tr>
      <w:tr w:rsidR="00F4284C" w:rsidRPr="00154588" w14:paraId="627B2624" w14:textId="77777777" w:rsidTr="00D15C1B">
        <w:trPr>
          <w:jc w:val="center"/>
        </w:trPr>
        <w:tc>
          <w:tcPr>
            <w:tcW w:w="4957" w:type="dxa"/>
            <w:gridSpan w:val="2"/>
          </w:tcPr>
          <w:p w14:paraId="468408CB" w14:textId="4401B4B6" w:rsidR="00F4284C" w:rsidRPr="00154588" w:rsidRDefault="00F4284C" w:rsidP="008C12B4">
            <w:pPr>
              <w:rPr>
                <w:sz w:val="20"/>
                <w:szCs w:val="20"/>
              </w:rPr>
            </w:pPr>
            <w:r w:rsidRPr="00154588">
              <w:rPr>
                <w:sz w:val="20"/>
                <w:szCs w:val="20"/>
              </w:rPr>
              <w:t>(7)   Un instrument de capital relevant emis de o filială nu este redus într-o măsură mai mare sau convertit în condiții mai negative în temeiul alineatului (3) litera (c) decât cele cu care au fost reduse sau convertite instrumentele de capital de nivel egal la nivelul întreprinderii-mamă.</w:t>
            </w:r>
          </w:p>
        </w:tc>
        <w:tc>
          <w:tcPr>
            <w:tcW w:w="4819" w:type="dxa"/>
          </w:tcPr>
          <w:p w14:paraId="626A8174" w14:textId="77777777" w:rsidR="00F4284C" w:rsidRPr="00154588" w:rsidRDefault="00F4284C" w:rsidP="008C12B4">
            <w:pPr>
              <w:jc w:val="both"/>
              <w:rPr>
                <w:sz w:val="20"/>
                <w:szCs w:val="20"/>
              </w:rPr>
            </w:pPr>
            <w:r w:rsidRPr="00154588">
              <w:rPr>
                <w:b/>
                <w:sz w:val="20"/>
                <w:szCs w:val="20"/>
              </w:rPr>
              <w:t>Articolul 223</w:t>
            </w:r>
            <w:r w:rsidRPr="00154588">
              <w:rPr>
                <w:b/>
                <w:sz w:val="20"/>
                <w:szCs w:val="20"/>
                <w:vertAlign w:val="superscript"/>
              </w:rPr>
              <w:t>2</w:t>
            </w:r>
            <w:r w:rsidRPr="00154588">
              <w:rPr>
                <w:sz w:val="20"/>
                <w:szCs w:val="20"/>
              </w:rPr>
              <w:t xml:space="preserve"> – Un instrument de capital relevant emis de o filială, persoană juridică din Republica Moldova, nu este redus într-o măsură mai mare sau convertit în condiții mai dezavantajoase, în temeiul art. 221 lit. c), decât cele în care au fost reduse sau convertite instrumentele de capital de rang egal la nivelul întreprinderii-mamă.</w:t>
            </w:r>
          </w:p>
          <w:p w14:paraId="34193745" w14:textId="77777777" w:rsidR="00F4284C" w:rsidRPr="00154588" w:rsidRDefault="00F4284C" w:rsidP="008C12B4">
            <w:pPr>
              <w:jc w:val="both"/>
              <w:rPr>
                <w:sz w:val="20"/>
                <w:szCs w:val="20"/>
              </w:rPr>
            </w:pPr>
          </w:p>
        </w:tc>
        <w:tc>
          <w:tcPr>
            <w:tcW w:w="2552" w:type="dxa"/>
          </w:tcPr>
          <w:p w14:paraId="724B7324" w14:textId="25CF7B4B" w:rsidR="00F4284C" w:rsidRPr="00154588" w:rsidRDefault="00F4284C" w:rsidP="008C12B4">
            <w:pPr>
              <w:jc w:val="both"/>
              <w:rPr>
                <w:sz w:val="20"/>
                <w:szCs w:val="20"/>
              </w:rPr>
            </w:pPr>
            <w:r w:rsidRPr="00154588">
              <w:rPr>
                <w:sz w:val="20"/>
                <w:szCs w:val="20"/>
              </w:rPr>
              <w:t>Compatibil</w:t>
            </w:r>
          </w:p>
        </w:tc>
        <w:tc>
          <w:tcPr>
            <w:tcW w:w="3118" w:type="dxa"/>
          </w:tcPr>
          <w:p w14:paraId="538D1880" w14:textId="77777777" w:rsidR="00F4284C" w:rsidRPr="00154588" w:rsidRDefault="00F4284C" w:rsidP="008C12B4">
            <w:pPr>
              <w:jc w:val="both"/>
              <w:rPr>
                <w:sz w:val="20"/>
                <w:szCs w:val="20"/>
              </w:rPr>
            </w:pPr>
          </w:p>
        </w:tc>
      </w:tr>
      <w:tr w:rsidR="00F4284C" w:rsidRPr="00154588" w14:paraId="26CE0350" w14:textId="77777777" w:rsidTr="00D15C1B">
        <w:trPr>
          <w:jc w:val="center"/>
        </w:trPr>
        <w:tc>
          <w:tcPr>
            <w:tcW w:w="4957" w:type="dxa"/>
            <w:gridSpan w:val="2"/>
          </w:tcPr>
          <w:p w14:paraId="1C3ACF39" w14:textId="691933D0" w:rsidR="00F4284C" w:rsidRPr="00154588" w:rsidRDefault="00F4284C" w:rsidP="008C12B4">
            <w:pPr>
              <w:jc w:val="both"/>
              <w:rPr>
                <w:sz w:val="20"/>
                <w:szCs w:val="20"/>
              </w:rPr>
            </w:pPr>
            <w:r w:rsidRPr="00154588">
              <w:rPr>
                <w:sz w:val="20"/>
                <w:szCs w:val="20"/>
              </w:rPr>
              <w:t>(8)   Dacă o autoritate corespunzătoare ajunge la concluzia menționată la alineatul (3) din prezentul articol, ea informează imediat autoritatea de rezoluție responsabilă cu instituția sau entitatea menționată la articolul 1 alineatul (1) litera (b), (c) sau (d) în cauză, în cazul în care cele două autorități sunt distincte.</w:t>
            </w:r>
          </w:p>
        </w:tc>
        <w:tc>
          <w:tcPr>
            <w:tcW w:w="4819" w:type="dxa"/>
          </w:tcPr>
          <w:p w14:paraId="3AD31961" w14:textId="77777777" w:rsidR="00F4284C" w:rsidRPr="00154588" w:rsidRDefault="00F4284C" w:rsidP="008C12B4">
            <w:pPr>
              <w:jc w:val="both"/>
              <w:rPr>
                <w:sz w:val="20"/>
                <w:szCs w:val="20"/>
              </w:rPr>
            </w:pPr>
            <w:r w:rsidRPr="00154588">
              <w:rPr>
                <w:b/>
                <w:sz w:val="20"/>
                <w:szCs w:val="20"/>
              </w:rPr>
              <w:t>Articolul 224.</w:t>
            </w:r>
            <w:r w:rsidRPr="00154588">
              <w:rPr>
                <w:sz w:val="20"/>
                <w:szCs w:val="20"/>
              </w:rPr>
              <w:t xml:space="preserve"> – Banca Naţională a Moldovei în calitate de autoritate competentă informează imediat autoritatea de rezoluție</w:t>
            </w:r>
            <w:r w:rsidRPr="00154588" w:rsidDel="005170B3">
              <w:rPr>
                <w:sz w:val="20"/>
                <w:szCs w:val="20"/>
              </w:rPr>
              <w:t xml:space="preserve"> </w:t>
            </w:r>
            <w:r w:rsidRPr="00154588">
              <w:rPr>
                <w:sz w:val="20"/>
                <w:szCs w:val="20"/>
              </w:rPr>
              <w:t>responsabilă de instituţia de credit sau entitatea menţionată la art.1 alin.(1) lit.b), c) sau d) în situaţia în care o determinare prevăzută la art.221 este realizată.</w:t>
            </w:r>
          </w:p>
          <w:p w14:paraId="2376F647" w14:textId="77777777" w:rsidR="00F4284C" w:rsidRPr="00154588" w:rsidRDefault="00F4284C" w:rsidP="008C12B4">
            <w:pPr>
              <w:jc w:val="both"/>
              <w:rPr>
                <w:sz w:val="20"/>
                <w:szCs w:val="20"/>
              </w:rPr>
            </w:pPr>
          </w:p>
        </w:tc>
        <w:tc>
          <w:tcPr>
            <w:tcW w:w="2552" w:type="dxa"/>
          </w:tcPr>
          <w:p w14:paraId="20D9DA39" w14:textId="23B9AA70" w:rsidR="00F4284C" w:rsidRPr="00154588" w:rsidRDefault="00F4284C" w:rsidP="008C12B4">
            <w:pPr>
              <w:jc w:val="both"/>
              <w:rPr>
                <w:sz w:val="20"/>
                <w:szCs w:val="20"/>
              </w:rPr>
            </w:pPr>
            <w:r w:rsidRPr="00154588">
              <w:rPr>
                <w:sz w:val="20"/>
                <w:szCs w:val="20"/>
              </w:rPr>
              <w:t>Compatibil</w:t>
            </w:r>
          </w:p>
        </w:tc>
        <w:tc>
          <w:tcPr>
            <w:tcW w:w="3118" w:type="dxa"/>
          </w:tcPr>
          <w:p w14:paraId="609573ED" w14:textId="77777777" w:rsidR="00F4284C" w:rsidRPr="00154588" w:rsidRDefault="00F4284C" w:rsidP="008C12B4">
            <w:pPr>
              <w:jc w:val="both"/>
              <w:rPr>
                <w:sz w:val="20"/>
                <w:szCs w:val="20"/>
              </w:rPr>
            </w:pPr>
          </w:p>
        </w:tc>
      </w:tr>
      <w:tr w:rsidR="00F4284C" w:rsidRPr="00154588" w14:paraId="67589990" w14:textId="77777777" w:rsidTr="00D15C1B">
        <w:trPr>
          <w:jc w:val="center"/>
        </w:trPr>
        <w:tc>
          <w:tcPr>
            <w:tcW w:w="4957" w:type="dxa"/>
            <w:gridSpan w:val="2"/>
          </w:tcPr>
          <w:p w14:paraId="305A4D6C" w14:textId="1A5F99F7" w:rsidR="00F4284C" w:rsidRPr="00154588" w:rsidRDefault="00F4284C" w:rsidP="008C12B4">
            <w:pPr>
              <w:jc w:val="both"/>
              <w:rPr>
                <w:sz w:val="20"/>
                <w:szCs w:val="20"/>
              </w:rPr>
            </w:pPr>
            <w:r w:rsidRPr="00154588">
              <w:rPr>
                <w:sz w:val="20"/>
                <w:szCs w:val="20"/>
              </w:rPr>
              <w:t>(9)   Înainte de a ajunge la concluzia menționată la alineatul (3) litera (c) din prezentul articol în legătură cu o filială care emite instrumente de capital relevante, contabilizate în scopul îndeplinirii cerințelor de fonduri proprii, pe bază individuală și consolidată, autoritatea corespunzătoare respectă cerințele de notificare și de consultare prevăzute la articolul 62.</w:t>
            </w:r>
          </w:p>
        </w:tc>
        <w:tc>
          <w:tcPr>
            <w:tcW w:w="4819" w:type="dxa"/>
          </w:tcPr>
          <w:p w14:paraId="1AF67F50" w14:textId="77777777" w:rsidR="00F4284C" w:rsidRPr="00154588" w:rsidRDefault="00F4284C" w:rsidP="008C12B4">
            <w:pPr>
              <w:jc w:val="both"/>
              <w:rPr>
                <w:sz w:val="20"/>
                <w:szCs w:val="20"/>
              </w:rPr>
            </w:pPr>
            <w:r w:rsidRPr="00154588">
              <w:rPr>
                <w:b/>
                <w:sz w:val="20"/>
                <w:szCs w:val="20"/>
              </w:rPr>
              <w:t>Articolul 224</w:t>
            </w:r>
            <w:r w:rsidRPr="00154588">
              <w:rPr>
                <w:b/>
                <w:sz w:val="20"/>
                <w:szCs w:val="20"/>
                <w:vertAlign w:val="superscript"/>
              </w:rPr>
              <w:t>1</w:t>
            </w:r>
            <w:r w:rsidRPr="00154588">
              <w:rPr>
                <w:sz w:val="20"/>
                <w:szCs w:val="20"/>
              </w:rPr>
              <w:t>.– În vederea realizării determinărilor prevăzute la art. 221 lit. c) în legătură cu o filială, persoană juridică din Republica Moldova, care emite instrumente de capital relevante, luate în calcul în scopul îndeplinirii cerințelor de fonduri proprii la nivel individual și consolidat, Banca Națională a Moldovei, în calitate de autoritate competentă, respectă cerințele de notificare și de consultare prevăzute la art.230</w:t>
            </w:r>
            <w:r w:rsidRPr="00154588">
              <w:rPr>
                <w:sz w:val="20"/>
                <w:szCs w:val="20"/>
                <w:vertAlign w:val="superscript"/>
              </w:rPr>
              <w:t>2</w:t>
            </w:r>
            <w:r w:rsidRPr="00154588">
              <w:rPr>
                <w:sz w:val="20"/>
                <w:szCs w:val="20"/>
              </w:rPr>
              <w:t>.</w:t>
            </w:r>
          </w:p>
          <w:p w14:paraId="57587418" w14:textId="77777777" w:rsidR="00F4284C" w:rsidRPr="00154588" w:rsidRDefault="00F4284C" w:rsidP="008C12B4">
            <w:pPr>
              <w:jc w:val="both"/>
              <w:rPr>
                <w:sz w:val="20"/>
                <w:szCs w:val="20"/>
              </w:rPr>
            </w:pPr>
          </w:p>
        </w:tc>
        <w:tc>
          <w:tcPr>
            <w:tcW w:w="2552" w:type="dxa"/>
          </w:tcPr>
          <w:p w14:paraId="4E6C85A4" w14:textId="24CC5B63" w:rsidR="00F4284C" w:rsidRPr="00154588" w:rsidRDefault="00F4284C" w:rsidP="008C12B4">
            <w:pPr>
              <w:jc w:val="both"/>
              <w:rPr>
                <w:sz w:val="20"/>
                <w:szCs w:val="20"/>
              </w:rPr>
            </w:pPr>
            <w:r w:rsidRPr="00154588">
              <w:rPr>
                <w:sz w:val="20"/>
                <w:szCs w:val="20"/>
              </w:rPr>
              <w:t>Compatibil</w:t>
            </w:r>
          </w:p>
        </w:tc>
        <w:tc>
          <w:tcPr>
            <w:tcW w:w="3118" w:type="dxa"/>
          </w:tcPr>
          <w:p w14:paraId="344FB0EE" w14:textId="77777777" w:rsidR="00F4284C" w:rsidRPr="00154588" w:rsidRDefault="00F4284C" w:rsidP="008C12B4">
            <w:pPr>
              <w:jc w:val="both"/>
              <w:rPr>
                <w:sz w:val="20"/>
                <w:szCs w:val="20"/>
              </w:rPr>
            </w:pPr>
          </w:p>
        </w:tc>
      </w:tr>
      <w:tr w:rsidR="00F4284C" w:rsidRPr="00154588" w14:paraId="589BB3B7" w14:textId="77777777" w:rsidTr="00D15C1B">
        <w:trPr>
          <w:jc w:val="center"/>
        </w:trPr>
        <w:tc>
          <w:tcPr>
            <w:tcW w:w="4957" w:type="dxa"/>
            <w:gridSpan w:val="2"/>
          </w:tcPr>
          <w:p w14:paraId="512DAE05" w14:textId="66E48F7B" w:rsidR="00F4284C" w:rsidRPr="00154588" w:rsidRDefault="00F4284C" w:rsidP="008C12B4">
            <w:pPr>
              <w:jc w:val="both"/>
              <w:rPr>
                <w:sz w:val="20"/>
                <w:szCs w:val="20"/>
              </w:rPr>
            </w:pPr>
            <w:r w:rsidRPr="00154588">
              <w:rPr>
                <w:sz w:val="20"/>
                <w:szCs w:val="20"/>
              </w:rPr>
              <w:t xml:space="preserve">(10)   Înainte de a-și exercita competența de a reduce valoarea contabilă a instrumentelor de capital sau a datoriilor eligibile astfel cum se menționează la alineatul (1a) sau de a le converti, autoritățile de rezoluție se asigură că se efectuează o evaluare a </w:t>
            </w:r>
            <w:r w:rsidRPr="00154588">
              <w:rPr>
                <w:sz w:val="20"/>
                <w:szCs w:val="20"/>
              </w:rPr>
              <w:lastRenderedPageBreak/>
              <w:t>activelor și a pasivelor instituției sau ale entității menționate la articolul 1 alineatul (1) litera (b), (c) sau (d), în conformitate cu articolul 36. Această evaluare stă la baza calculării reducerii valorii contabile care urmează să fie aplicată instrumentelor de capital sau a datoriilor eligibile astfel cum se menționează la alineatul (1a) relevante în scopul de a absorbi pierderile și a nivelului de conversie care urmează să fie aplicat instrumentelor de capital sau a datoriilor eligibile astfel cum se menționează la alineatul (1a) relevante în scopul recapitalizării instituției sau entității menționate la articolul 1 alineatul (1) litera (b), (c) sau (d).</w:t>
            </w:r>
          </w:p>
        </w:tc>
        <w:tc>
          <w:tcPr>
            <w:tcW w:w="4819" w:type="dxa"/>
          </w:tcPr>
          <w:p w14:paraId="38E43FBA" w14:textId="726C2140" w:rsidR="00F4284C" w:rsidRPr="00154588" w:rsidRDefault="00F4284C" w:rsidP="008C12B4">
            <w:pPr>
              <w:jc w:val="both"/>
              <w:rPr>
                <w:sz w:val="20"/>
                <w:szCs w:val="20"/>
              </w:rPr>
            </w:pPr>
            <w:r w:rsidRPr="00154588">
              <w:rPr>
                <w:b/>
                <w:sz w:val="20"/>
                <w:szCs w:val="20"/>
              </w:rPr>
              <w:lastRenderedPageBreak/>
              <w:t>Articolul 225.</w:t>
            </w:r>
            <w:r w:rsidRPr="00154588">
              <w:rPr>
                <w:sz w:val="20"/>
                <w:szCs w:val="20"/>
              </w:rPr>
              <w:t xml:space="preserve"> – (1) Înainte de a-şi exercita competenţa de a reduce sau converti instrumentele de capital şi datoriile eligibile astfel cum se menționează la art.219</w:t>
            </w:r>
            <w:r w:rsidRPr="00154588">
              <w:rPr>
                <w:sz w:val="20"/>
                <w:szCs w:val="20"/>
                <w:vertAlign w:val="superscript"/>
              </w:rPr>
              <w:t>1</w:t>
            </w:r>
            <w:r w:rsidRPr="00154588">
              <w:rPr>
                <w:sz w:val="20"/>
                <w:szCs w:val="20"/>
              </w:rPr>
              <w:t>-219</w:t>
            </w:r>
            <w:r w:rsidRPr="00154588">
              <w:rPr>
                <w:sz w:val="20"/>
                <w:szCs w:val="20"/>
                <w:vertAlign w:val="superscript"/>
              </w:rPr>
              <w:t>2</w:t>
            </w:r>
            <w:r w:rsidRPr="00154588">
              <w:rPr>
                <w:sz w:val="20"/>
                <w:szCs w:val="20"/>
              </w:rPr>
              <w:t xml:space="preserve"> sau de a le converti, Banca Naţională a Moldovei, în calitate de autoritate </w:t>
            </w:r>
            <w:r w:rsidRPr="00154588">
              <w:rPr>
                <w:sz w:val="20"/>
                <w:szCs w:val="20"/>
              </w:rPr>
              <w:lastRenderedPageBreak/>
              <w:t>de rezoluţie, se asigură de efectuarea unei evaluări a activelor, a datoriilor şi a capitalurilor proprii ale instituției de credit sau entității menționate la art.1 alin.(1) lit.b), c) sau d), în conformitate cu prevederile art.72-84.</w:t>
            </w:r>
          </w:p>
          <w:p w14:paraId="276D9871" w14:textId="41235CCF" w:rsidR="00F4284C" w:rsidRPr="00154588" w:rsidRDefault="00F4284C" w:rsidP="008C12B4">
            <w:pPr>
              <w:jc w:val="both"/>
              <w:rPr>
                <w:sz w:val="20"/>
                <w:szCs w:val="20"/>
              </w:rPr>
            </w:pPr>
            <w:r w:rsidRPr="00154588">
              <w:rPr>
                <w:sz w:val="20"/>
                <w:szCs w:val="20"/>
              </w:rPr>
              <w:t>(2) În sensul alin.(1), evaluarea stă la baza calculării reducerii valorii care urmează să fie aplicată instrumentelor de capital şi datoriilor eligibile relevante  în scopul de a absorbi pierderile şi a nivelului conversiei care urmează să fie aplicată instrumentelor de capital şi datoriilor eligibile relevante astfel cum se menționează la art.219</w:t>
            </w:r>
            <w:r w:rsidRPr="00154588">
              <w:rPr>
                <w:sz w:val="20"/>
                <w:szCs w:val="20"/>
                <w:vertAlign w:val="superscript"/>
              </w:rPr>
              <w:t>1</w:t>
            </w:r>
            <w:r w:rsidRPr="00154588">
              <w:rPr>
                <w:sz w:val="20"/>
                <w:szCs w:val="20"/>
              </w:rPr>
              <w:t>-219</w:t>
            </w:r>
            <w:r w:rsidRPr="00154588">
              <w:rPr>
                <w:sz w:val="20"/>
                <w:szCs w:val="20"/>
                <w:vertAlign w:val="superscript"/>
              </w:rPr>
              <w:t>2</w:t>
            </w:r>
            <w:r w:rsidRPr="00154588">
              <w:rPr>
                <w:sz w:val="20"/>
                <w:szCs w:val="20"/>
              </w:rPr>
              <w:t xml:space="preserve"> în scopul recapitalizării instituției de credit sau entității prevăzută la art.1 alin.(1) lit.b), c) sau d).</w:t>
            </w:r>
          </w:p>
          <w:p w14:paraId="3EBDF392" w14:textId="77777777" w:rsidR="00F4284C" w:rsidRPr="00154588" w:rsidRDefault="00F4284C" w:rsidP="008C12B4">
            <w:pPr>
              <w:jc w:val="both"/>
              <w:rPr>
                <w:sz w:val="20"/>
                <w:szCs w:val="20"/>
              </w:rPr>
            </w:pPr>
          </w:p>
        </w:tc>
        <w:tc>
          <w:tcPr>
            <w:tcW w:w="2552" w:type="dxa"/>
          </w:tcPr>
          <w:p w14:paraId="6AB68920" w14:textId="7EF92078" w:rsidR="00F4284C" w:rsidRPr="00154588" w:rsidRDefault="00F4284C" w:rsidP="008C12B4">
            <w:pPr>
              <w:jc w:val="both"/>
              <w:rPr>
                <w:sz w:val="20"/>
                <w:szCs w:val="20"/>
              </w:rPr>
            </w:pPr>
            <w:r w:rsidRPr="00154588">
              <w:rPr>
                <w:sz w:val="20"/>
                <w:szCs w:val="20"/>
              </w:rPr>
              <w:lastRenderedPageBreak/>
              <w:t>Compatibil</w:t>
            </w:r>
          </w:p>
        </w:tc>
        <w:tc>
          <w:tcPr>
            <w:tcW w:w="3118" w:type="dxa"/>
          </w:tcPr>
          <w:p w14:paraId="77B773D4" w14:textId="77777777" w:rsidR="00F4284C" w:rsidRPr="00154588" w:rsidRDefault="00F4284C" w:rsidP="008C12B4">
            <w:pPr>
              <w:jc w:val="both"/>
              <w:rPr>
                <w:sz w:val="20"/>
                <w:szCs w:val="20"/>
              </w:rPr>
            </w:pPr>
          </w:p>
        </w:tc>
      </w:tr>
      <w:tr w:rsidR="00F4284C" w:rsidRPr="00154588" w14:paraId="5F73DAF5" w14:textId="77777777" w:rsidTr="00D15C1B">
        <w:trPr>
          <w:jc w:val="center"/>
        </w:trPr>
        <w:tc>
          <w:tcPr>
            <w:tcW w:w="4957" w:type="dxa"/>
            <w:gridSpan w:val="2"/>
          </w:tcPr>
          <w:p w14:paraId="67E3AA58" w14:textId="77777777" w:rsidR="00F4284C" w:rsidRPr="00154588" w:rsidRDefault="00F4284C" w:rsidP="008C12B4">
            <w:pPr>
              <w:jc w:val="both"/>
              <w:rPr>
                <w:b/>
                <w:sz w:val="20"/>
                <w:szCs w:val="20"/>
              </w:rPr>
            </w:pPr>
            <w:r w:rsidRPr="00154588">
              <w:rPr>
                <w:b/>
                <w:sz w:val="20"/>
                <w:szCs w:val="20"/>
              </w:rPr>
              <w:t>Articolul 60</w:t>
            </w:r>
          </w:p>
          <w:p w14:paraId="506FB0E2" w14:textId="77777777" w:rsidR="00F4284C" w:rsidRPr="00154588" w:rsidRDefault="00F4284C" w:rsidP="008C12B4">
            <w:pPr>
              <w:jc w:val="both"/>
              <w:rPr>
                <w:b/>
                <w:sz w:val="20"/>
                <w:szCs w:val="20"/>
              </w:rPr>
            </w:pPr>
          </w:p>
          <w:p w14:paraId="15072616" w14:textId="6CFD2B1C" w:rsidR="00F4284C" w:rsidRPr="00154588" w:rsidRDefault="00F4284C" w:rsidP="008C12B4">
            <w:pPr>
              <w:jc w:val="both"/>
              <w:rPr>
                <w:sz w:val="20"/>
                <w:szCs w:val="20"/>
              </w:rPr>
            </w:pPr>
            <w:r w:rsidRPr="00154588">
              <w:rPr>
                <w:b/>
                <w:sz w:val="20"/>
                <w:szCs w:val="20"/>
              </w:rPr>
              <w:t>Dispoziții privind reducerea valorii sau conversia instrumentelor de capital și a datoriilor eligibile relevante</w:t>
            </w:r>
          </w:p>
        </w:tc>
        <w:tc>
          <w:tcPr>
            <w:tcW w:w="4819" w:type="dxa"/>
          </w:tcPr>
          <w:p w14:paraId="726AD229" w14:textId="77777777" w:rsidR="00F4284C" w:rsidRPr="00154588" w:rsidRDefault="00F4284C" w:rsidP="008C12B4">
            <w:pPr>
              <w:jc w:val="both"/>
              <w:rPr>
                <w:sz w:val="20"/>
                <w:szCs w:val="20"/>
              </w:rPr>
            </w:pPr>
          </w:p>
        </w:tc>
        <w:tc>
          <w:tcPr>
            <w:tcW w:w="2552" w:type="dxa"/>
          </w:tcPr>
          <w:p w14:paraId="28AE2C5E" w14:textId="77777777" w:rsidR="00F4284C" w:rsidRPr="00154588" w:rsidRDefault="00F4284C" w:rsidP="008C12B4">
            <w:pPr>
              <w:jc w:val="both"/>
              <w:rPr>
                <w:sz w:val="20"/>
                <w:szCs w:val="20"/>
              </w:rPr>
            </w:pPr>
          </w:p>
        </w:tc>
        <w:tc>
          <w:tcPr>
            <w:tcW w:w="3118" w:type="dxa"/>
          </w:tcPr>
          <w:p w14:paraId="3CE8CF97" w14:textId="77777777" w:rsidR="00F4284C" w:rsidRPr="00154588" w:rsidRDefault="00F4284C" w:rsidP="008C12B4">
            <w:pPr>
              <w:jc w:val="both"/>
              <w:rPr>
                <w:sz w:val="20"/>
                <w:szCs w:val="20"/>
              </w:rPr>
            </w:pPr>
          </w:p>
        </w:tc>
      </w:tr>
      <w:tr w:rsidR="00F4284C" w:rsidRPr="00154588" w14:paraId="3AB8D628" w14:textId="77777777" w:rsidTr="00D15C1B">
        <w:trPr>
          <w:jc w:val="center"/>
        </w:trPr>
        <w:tc>
          <w:tcPr>
            <w:tcW w:w="4957" w:type="dxa"/>
            <w:gridSpan w:val="2"/>
          </w:tcPr>
          <w:p w14:paraId="150F8487" w14:textId="77777777" w:rsidR="00F4284C" w:rsidRPr="00154588" w:rsidRDefault="00F4284C" w:rsidP="008C12B4">
            <w:pPr>
              <w:jc w:val="both"/>
              <w:rPr>
                <w:sz w:val="20"/>
                <w:szCs w:val="20"/>
              </w:rPr>
            </w:pPr>
            <w:r w:rsidRPr="00154588">
              <w:rPr>
                <w:sz w:val="20"/>
                <w:szCs w:val="20"/>
              </w:rPr>
              <w:t>(1)   Atunci când se conformează cerinței prevăzute la articolul 59, autoritățile de rezoluție exercită competența de reducere a valorii contabile sau de conversie în conformitate cu ordinea de prioritate a creanțelor în temeiul procedurii obișnuite de insolvență, în așa fel încât ea să producă următoarele rezultate:</w:t>
            </w:r>
          </w:p>
          <w:p w14:paraId="4CD37ACA" w14:textId="77777777" w:rsidR="00F4284C" w:rsidRPr="00154588" w:rsidRDefault="00F4284C" w:rsidP="008C12B4">
            <w:pPr>
              <w:jc w:val="both"/>
              <w:rPr>
                <w:sz w:val="20"/>
                <w:szCs w:val="20"/>
              </w:rPr>
            </w:pPr>
          </w:p>
          <w:p w14:paraId="51EE66EC" w14:textId="3772DEA0" w:rsidR="00F4284C" w:rsidRPr="00154588" w:rsidRDefault="00F4284C" w:rsidP="008C12B4">
            <w:pPr>
              <w:jc w:val="both"/>
              <w:rPr>
                <w:sz w:val="20"/>
                <w:szCs w:val="20"/>
              </w:rPr>
            </w:pPr>
            <w:r w:rsidRPr="00154588">
              <w:rPr>
                <w:sz w:val="20"/>
                <w:szCs w:val="20"/>
              </w:rPr>
              <w:t>(a) instrumentele de fonduri proprii de nivel 1 de bază se reduc în primul rând în funcție de pierderi și în limitele capacității lor, iar autoritatea de rezoluție ia una sau ambele măsuri specificate la articolul 47 alineatul (1) cu privire la deținătorii instrumentelor de fonduri proprii de nivel 1 de bază;</w:t>
            </w:r>
          </w:p>
          <w:p w14:paraId="41EF3B3C" w14:textId="77777777" w:rsidR="00F4284C" w:rsidRPr="00154588" w:rsidRDefault="00F4284C" w:rsidP="008C12B4">
            <w:pPr>
              <w:jc w:val="both"/>
              <w:rPr>
                <w:sz w:val="20"/>
                <w:szCs w:val="20"/>
              </w:rPr>
            </w:pPr>
          </w:p>
          <w:p w14:paraId="16C79F62" w14:textId="753F5E6A" w:rsidR="00F4284C" w:rsidRPr="00154588" w:rsidRDefault="00F4284C" w:rsidP="008C12B4">
            <w:pPr>
              <w:jc w:val="both"/>
              <w:rPr>
                <w:sz w:val="20"/>
                <w:szCs w:val="20"/>
              </w:rPr>
            </w:pPr>
            <w:r w:rsidRPr="00154588">
              <w:rPr>
                <w:sz w:val="20"/>
                <w:szCs w:val="20"/>
              </w:rPr>
              <w:t>(b) valoarea principalului instrumentelor de fonduri proprii de nivel 1 suplimentar relevanteste redusă sau convertită în instrumente de fonduri proprii de nivel 1 de bază, în proporția impusă pentru a atinge obiectivele rezoluției stabilite la articolul 31 și în limitele capacității instrumentelor de capital relevante, reținându-se valoarea cea mai mică:</w:t>
            </w:r>
          </w:p>
          <w:p w14:paraId="033A337E" w14:textId="77777777" w:rsidR="00F4284C" w:rsidRPr="00154588" w:rsidRDefault="00F4284C" w:rsidP="008C12B4">
            <w:pPr>
              <w:jc w:val="both"/>
              <w:rPr>
                <w:sz w:val="20"/>
                <w:szCs w:val="20"/>
              </w:rPr>
            </w:pPr>
          </w:p>
          <w:p w14:paraId="583A379B" w14:textId="77777777" w:rsidR="00F4284C" w:rsidRPr="00154588" w:rsidRDefault="00F4284C" w:rsidP="008C12B4">
            <w:pPr>
              <w:jc w:val="both"/>
              <w:rPr>
                <w:sz w:val="20"/>
                <w:szCs w:val="20"/>
              </w:rPr>
            </w:pPr>
            <w:r w:rsidRPr="00154588">
              <w:rPr>
                <w:sz w:val="20"/>
                <w:szCs w:val="20"/>
              </w:rPr>
              <w:t xml:space="preserve">(c) valoarea principalului instrumentelor de fonduri proprii de nivel 2 este redusă sau convertită în </w:t>
            </w:r>
            <w:r w:rsidRPr="00154588">
              <w:rPr>
                <w:sz w:val="20"/>
                <w:szCs w:val="20"/>
              </w:rPr>
              <w:lastRenderedPageBreak/>
              <w:t>instrumente de fonduri proprii de nivel 1 de bază, în proporția impusă pentru a atinge obiectivele rezoluției stabilite la articolul 31 și în limitele capacității instrumentelor de capital relevante, reținându-se valoarea cea mai mică;</w:t>
            </w:r>
          </w:p>
          <w:p w14:paraId="1A568369" w14:textId="77777777" w:rsidR="00F4284C" w:rsidRPr="00154588" w:rsidRDefault="00F4284C" w:rsidP="008C12B4">
            <w:pPr>
              <w:jc w:val="both"/>
              <w:rPr>
                <w:sz w:val="20"/>
                <w:szCs w:val="20"/>
              </w:rPr>
            </w:pPr>
          </w:p>
          <w:p w14:paraId="67014EA5" w14:textId="1FC305AE" w:rsidR="00F4284C" w:rsidRPr="00154588" w:rsidRDefault="00F4284C" w:rsidP="008C12B4">
            <w:pPr>
              <w:jc w:val="both"/>
              <w:rPr>
                <w:sz w:val="20"/>
                <w:szCs w:val="20"/>
              </w:rPr>
            </w:pPr>
            <w:r w:rsidRPr="00154588">
              <w:rPr>
                <w:sz w:val="20"/>
                <w:szCs w:val="20"/>
              </w:rPr>
              <w:t>(d) valoarea principalului datoriilor eligibile menționate la articolul 59 alineatul (1a) este redusă sau convertită în instrumente de fonduri proprii de nivel 1 de bază, sau ambele, în măsura necesară pentru a atinge obiectivele de rezoluție stabilite la articolul 31 sau în limita capacității datoriilor eligibile relevante, reținându-se valoarea cea mai mică.</w:t>
            </w:r>
          </w:p>
        </w:tc>
        <w:tc>
          <w:tcPr>
            <w:tcW w:w="4819" w:type="dxa"/>
          </w:tcPr>
          <w:p w14:paraId="4F90DF1C" w14:textId="77777777" w:rsidR="00F4284C" w:rsidRPr="00154588" w:rsidRDefault="00F4284C" w:rsidP="008C12B4">
            <w:pPr>
              <w:jc w:val="both"/>
              <w:rPr>
                <w:sz w:val="20"/>
                <w:szCs w:val="20"/>
              </w:rPr>
            </w:pPr>
            <w:r w:rsidRPr="00154588">
              <w:rPr>
                <w:b/>
                <w:sz w:val="20"/>
                <w:szCs w:val="20"/>
              </w:rPr>
              <w:lastRenderedPageBreak/>
              <w:t>Articolul 226.</w:t>
            </w:r>
            <w:r w:rsidRPr="00154588">
              <w:rPr>
                <w:sz w:val="20"/>
                <w:szCs w:val="20"/>
              </w:rPr>
              <w:t xml:space="preserve"> – Atunci cînd acţionează potrivit dispoziţiilor art.219-225, Banca Naţională a Moldovei, în calitate de autoritate de rezoluţie, exercită competenţa de reducere a valorii sau de conversie în conformitate cu ordinea de prioritate a creanţelor din procedura de lichidare silită a băncii, în aşa fel încît ea să producă următoarele rezultate:</w:t>
            </w:r>
          </w:p>
          <w:p w14:paraId="03CC032D" w14:textId="77777777" w:rsidR="00F4284C" w:rsidRPr="00154588" w:rsidRDefault="00F4284C" w:rsidP="008C12B4">
            <w:pPr>
              <w:jc w:val="both"/>
              <w:rPr>
                <w:sz w:val="20"/>
                <w:szCs w:val="20"/>
              </w:rPr>
            </w:pPr>
            <w:r w:rsidRPr="00154588">
              <w:rPr>
                <w:sz w:val="20"/>
                <w:szCs w:val="20"/>
              </w:rPr>
              <w:t>a) elementele de fonduri proprii de nivelul 1 de bază se reduc în primul rînd, corespunzător valorii pierderilor şi în limitele capacităţii lor de absorbţie, iar Banca Naţională a Moldovei, în calitate de autoritate de rezoluţie, ia una sau ambele măsuri specificate la art.175 cu privire la deţinătorii instrumentelor de fonduri proprii de nivelul 1 de bază;</w:t>
            </w:r>
          </w:p>
          <w:p w14:paraId="44A297A9" w14:textId="77777777" w:rsidR="00F4284C" w:rsidRPr="00154588" w:rsidRDefault="00F4284C" w:rsidP="008C12B4">
            <w:pPr>
              <w:jc w:val="both"/>
              <w:rPr>
                <w:sz w:val="20"/>
                <w:szCs w:val="20"/>
              </w:rPr>
            </w:pPr>
            <w:r w:rsidRPr="00154588">
              <w:rPr>
                <w:sz w:val="20"/>
                <w:szCs w:val="20"/>
              </w:rPr>
              <w:t>b) valoarea principalului instrumentelor de fonduri proprii de nivelul 1 suplimentar este redusă şi/sau convertită în instrumente de fonduri proprii de nivelul 1 de bază, în limita necesară pentru a atinge obiectivele rezoluţiei stabilite la art.55-57 sau în limita valorii instrumentelor de capital relevante, oricare dintre aceste limite este mai mică;</w:t>
            </w:r>
          </w:p>
          <w:p w14:paraId="2CA0FEB8" w14:textId="77777777" w:rsidR="00F4284C" w:rsidRPr="00154588" w:rsidRDefault="00F4284C" w:rsidP="008C12B4">
            <w:pPr>
              <w:jc w:val="both"/>
              <w:rPr>
                <w:sz w:val="20"/>
                <w:szCs w:val="20"/>
              </w:rPr>
            </w:pPr>
            <w:r w:rsidRPr="00154588">
              <w:rPr>
                <w:sz w:val="20"/>
                <w:szCs w:val="20"/>
              </w:rPr>
              <w:t xml:space="preserve">c) valoarea principalului instrumentelor de fonduri proprii de nivelul 2 este redusă şi/sau convertită în instrumente de fonduri proprii de nivelul 1 de bază, în limita necesară pentru a atinge obiectivele de </w:t>
            </w:r>
            <w:r w:rsidRPr="00154588">
              <w:rPr>
                <w:sz w:val="20"/>
                <w:szCs w:val="20"/>
              </w:rPr>
              <w:lastRenderedPageBreak/>
              <w:t>rezoluţie stabilite la art.55-57 sau în limita valorii instrumentelor de capital relevante, oricare dintre aceste limite este mai mică;</w:t>
            </w:r>
          </w:p>
          <w:p w14:paraId="3758A7E5" w14:textId="5D9A228A" w:rsidR="00F4284C" w:rsidRPr="00154588" w:rsidRDefault="00F4284C" w:rsidP="008C12B4">
            <w:pPr>
              <w:jc w:val="both"/>
              <w:rPr>
                <w:sz w:val="20"/>
                <w:szCs w:val="20"/>
              </w:rPr>
            </w:pPr>
            <w:r w:rsidRPr="00154588">
              <w:rPr>
                <w:sz w:val="20"/>
                <w:szCs w:val="20"/>
              </w:rPr>
              <w:t xml:space="preserve">d) valoarea principalului datoriilor eligibile </w:t>
            </w:r>
            <w:r w:rsidRPr="00154588">
              <w:rPr>
                <w:bCs/>
                <w:sz w:val="20"/>
                <w:szCs w:val="20"/>
              </w:rPr>
              <w:t>menționate la</w:t>
            </w:r>
            <w:r w:rsidRPr="00154588">
              <w:rPr>
                <w:sz w:val="20"/>
                <w:szCs w:val="20"/>
              </w:rPr>
              <w:t xml:space="preserve"> art.219</w:t>
            </w:r>
            <w:r w:rsidRPr="00154588">
              <w:rPr>
                <w:sz w:val="20"/>
                <w:szCs w:val="20"/>
                <w:vertAlign w:val="superscript"/>
              </w:rPr>
              <w:t>1</w:t>
            </w:r>
            <w:r w:rsidRPr="00154588">
              <w:rPr>
                <w:sz w:val="20"/>
                <w:szCs w:val="20"/>
              </w:rPr>
              <w:t xml:space="preserve"> este redusă şi/sau convertită în instrumente de fonduri proprii de nivelul 1 de bază, în limita necesară pentru a atinge obiectivele de rezoluţie stabilite la art.55-57 sau în limita valorii datoriilor eligibile relevante, oricare dintre aceste limite este mai mică.</w:t>
            </w:r>
          </w:p>
          <w:p w14:paraId="1869DF5A" w14:textId="77777777" w:rsidR="00F4284C" w:rsidRPr="00154588" w:rsidRDefault="00F4284C" w:rsidP="008C12B4">
            <w:pPr>
              <w:jc w:val="both"/>
              <w:rPr>
                <w:sz w:val="20"/>
                <w:szCs w:val="20"/>
              </w:rPr>
            </w:pPr>
          </w:p>
        </w:tc>
        <w:tc>
          <w:tcPr>
            <w:tcW w:w="2552" w:type="dxa"/>
          </w:tcPr>
          <w:p w14:paraId="0D4047BC" w14:textId="24EEF9FD" w:rsidR="00F4284C" w:rsidRPr="00154588" w:rsidRDefault="00F4284C" w:rsidP="008C12B4">
            <w:pPr>
              <w:jc w:val="both"/>
              <w:rPr>
                <w:sz w:val="20"/>
                <w:szCs w:val="20"/>
              </w:rPr>
            </w:pPr>
            <w:r w:rsidRPr="00154588">
              <w:rPr>
                <w:sz w:val="20"/>
                <w:szCs w:val="20"/>
              </w:rPr>
              <w:lastRenderedPageBreak/>
              <w:t>Compatibil</w:t>
            </w:r>
          </w:p>
        </w:tc>
        <w:tc>
          <w:tcPr>
            <w:tcW w:w="3118" w:type="dxa"/>
          </w:tcPr>
          <w:p w14:paraId="760CC0E0" w14:textId="77777777" w:rsidR="00F4284C" w:rsidRPr="00154588" w:rsidRDefault="00F4284C" w:rsidP="008C12B4">
            <w:pPr>
              <w:jc w:val="both"/>
              <w:rPr>
                <w:sz w:val="20"/>
                <w:szCs w:val="20"/>
              </w:rPr>
            </w:pPr>
          </w:p>
        </w:tc>
      </w:tr>
      <w:tr w:rsidR="00F4284C" w:rsidRPr="00154588" w14:paraId="28E42DA6" w14:textId="77777777" w:rsidTr="00D15C1B">
        <w:trPr>
          <w:jc w:val="center"/>
        </w:trPr>
        <w:tc>
          <w:tcPr>
            <w:tcW w:w="4957" w:type="dxa"/>
            <w:gridSpan w:val="2"/>
          </w:tcPr>
          <w:p w14:paraId="375BD1E1" w14:textId="77777777" w:rsidR="00F4284C" w:rsidRPr="00154588" w:rsidRDefault="00F4284C" w:rsidP="008C12B4">
            <w:pPr>
              <w:jc w:val="both"/>
              <w:rPr>
                <w:sz w:val="20"/>
                <w:szCs w:val="20"/>
              </w:rPr>
            </w:pPr>
            <w:r w:rsidRPr="00154588">
              <w:rPr>
                <w:sz w:val="20"/>
                <w:szCs w:val="20"/>
              </w:rPr>
              <w:t>(2)   Atunci când valoarea principalului unui instrument de capital relevant sau a unei datorii eligibile relevante astfel cum se menționează la articolul 59 alineatul (1a) este redusă:</w:t>
            </w:r>
          </w:p>
          <w:p w14:paraId="053C448B" w14:textId="77777777" w:rsidR="00F4284C" w:rsidRPr="00154588" w:rsidRDefault="00F4284C" w:rsidP="008C12B4">
            <w:pPr>
              <w:jc w:val="both"/>
              <w:rPr>
                <w:sz w:val="20"/>
                <w:szCs w:val="20"/>
              </w:rPr>
            </w:pPr>
          </w:p>
          <w:p w14:paraId="15425691" w14:textId="5ED0A44F" w:rsidR="00F4284C" w:rsidRPr="00154588" w:rsidRDefault="00F4284C" w:rsidP="008C12B4">
            <w:pPr>
              <w:jc w:val="both"/>
              <w:rPr>
                <w:sz w:val="20"/>
                <w:szCs w:val="20"/>
              </w:rPr>
            </w:pPr>
            <w:r w:rsidRPr="00154588">
              <w:rPr>
                <w:sz w:val="20"/>
                <w:szCs w:val="20"/>
              </w:rPr>
              <w:t>(a) reducerea acelei valori a principalului este permanentă, sub rezerva unei eventuale majorări în conformitate cu mecanismul de rambursare prevăzut la articolul 46 alineatul (3);</w:t>
            </w:r>
          </w:p>
          <w:p w14:paraId="2CFFC481" w14:textId="77777777" w:rsidR="00F4284C" w:rsidRPr="00154588" w:rsidRDefault="00F4284C" w:rsidP="008C12B4">
            <w:pPr>
              <w:jc w:val="both"/>
              <w:rPr>
                <w:sz w:val="20"/>
                <w:szCs w:val="20"/>
              </w:rPr>
            </w:pPr>
          </w:p>
          <w:p w14:paraId="2028F0F6" w14:textId="134E0E0E" w:rsidR="00F4284C" w:rsidRPr="00154588" w:rsidRDefault="00F4284C" w:rsidP="008C12B4">
            <w:pPr>
              <w:jc w:val="both"/>
              <w:rPr>
                <w:sz w:val="20"/>
                <w:szCs w:val="20"/>
              </w:rPr>
            </w:pPr>
            <w:r w:rsidRPr="00154588">
              <w:rPr>
                <w:sz w:val="20"/>
                <w:szCs w:val="20"/>
              </w:rPr>
              <w:t>(b) nicio datorie față de deținătorul instrumentului de capital relevant sau al datoriei eligibile relevante menționate la articolul 59 alineatul (1a) nu subzistă în temeiul sau în legătură cu acel cuantum al instrumentului a cărui valoare a fost redusă, cu excepția datoriilor ajunse deja la scadență și a datoriilor legate de daunele care pot apărea ca rezultat al unei căi de atac formulate împotriva legalității exercitării competenței de reducere a valorii;</w:t>
            </w:r>
          </w:p>
          <w:p w14:paraId="5DB0E269" w14:textId="77777777" w:rsidR="00F4284C" w:rsidRPr="00154588" w:rsidRDefault="00F4284C" w:rsidP="008C12B4">
            <w:pPr>
              <w:jc w:val="both"/>
              <w:rPr>
                <w:sz w:val="20"/>
                <w:szCs w:val="20"/>
              </w:rPr>
            </w:pPr>
          </w:p>
          <w:p w14:paraId="0F496D66" w14:textId="23DA9335" w:rsidR="00F4284C" w:rsidRPr="00154588" w:rsidRDefault="00F4284C" w:rsidP="008C12B4">
            <w:pPr>
              <w:jc w:val="both"/>
              <w:rPr>
                <w:sz w:val="20"/>
                <w:szCs w:val="20"/>
              </w:rPr>
            </w:pPr>
            <w:r w:rsidRPr="00154588">
              <w:rPr>
                <w:sz w:val="20"/>
                <w:szCs w:val="20"/>
              </w:rPr>
              <w:t>(c) nu se plătește nicio despăgubire deținătorilor instrumentelor de capital relevante sau ai datoriilor menționate la articolul 59 alineatul (1a), în afara celor prevăzute la alineatul (3) de la prezentul articol.</w:t>
            </w:r>
          </w:p>
        </w:tc>
        <w:tc>
          <w:tcPr>
            <w:tcW w:w="4819" w:type="dxa"/>
          </w:tcPr>
          <w:p w14:paraId="2F18330D" w14:textId="7D2BF321" w:rsidR="00F4284C" w:rsidRPr="00154588" w:rsidRDefault="00F4284C" w:rsidP="008C12B4">
            <w:pPr>
              <w:jc w:val="both"/>
              <w:rPr>
                <w:bCs/>
                <w:sz w:val="20"/>
                <w:szCs w:val="20"/>
              </w:rPr>
            </w:pPr>
            <w:r w:rsidRPr="00154588">
              <w:rPr>
                <w:b/>
                <w:sz w:val="20"/>
                <w:szCs w:val="20"/>
              </w:rPr>
              <w:t>Articolul 227.</w:t>
            </w:r>
            <w:r w:rsidRPr="00154588">
              <w:rPr>
                <w:sz w:val="20"/>
                <w:szCs w:val="20"/>
              </w:rPr>
              <w:t xml:space="preserve"> – Atunci cînd valoarea principalului instrumentelor de capital relevante sau datoriilor eligibile menționate la art. 219</w:t>
            </w:r>
            <w:r w:rsidRPr="00154588">
              <w:rPr>
                <w:sz w:val="20"/>
                <w:szCs w:val="20"/>
                <w:vertAlign w:val="superscript"/>
              </w:rPr>
              <w:t>1</w:t>
            </w:r>
            <w:r w:rsidRPr="00154588">
              <w:rPr>
                <w:bCs/>
                <w:sz w:val="20"/>
                <w:szCs w:val="20"/>
              </w:rPr>
              <w:t xml:space="preserve"> este redusă:</w:t>
            </w:r>
          </w:p>
          <w:p w14:paraId="12190615" w14:textId="77777777" w:rsidR="00F4284C" w:rsidRPr="00154588" w:rsidRDefault="00F4284C" w:rsidP="008C12B4">
            <w:pPr>
              <w:jc w:val="both"/>
              <w:rPr>
                <w:bCs/>
                <w:sz w:val="20"/>
                <w:szCs w:val="20"/>
              </w:rPr>
            </w:pPr>
          </w:p>
          <w:p w14:paraId="4E6B4194" w14:textId="77777777" w:rsidR="00F4284C" w:rsidRPr="00154588" w:rsidRDefault="00F4284C" w:rsidP="008C12B4">
            <w:pPr>
              <w:jc w:val="both"/>
              <w:rPr>
                <w:sz w:val="20"/>
                <w:szCs w:val="20"/>
              </w:rPr>
            </w:pPr>
            <w:r w:rsidRPr="00154588">
              <w:rPr>
                <w:sz w:val="20"/>
                <w:szCs w:val="20"/>
              </w:rPr>
              <w:t>a) reducerea valorii respectivului instrument este permanentă, cu respectarea oricărei majorări în conformitate cu mecanismul de rambursare prevăzut la art.173;</w:t>
            </w:r>
          </w:p>
          <w:p w14:paraId="550B1276" w14:textId="77777777" w:rsidR="00F4284C" w:rsidRPr="00154588" w:rsidRDefault="00F4284C" w:rsidP="008C12B4">
            <w:pPr>
              <w:jc w:val="both"/>
              <w:rPr>
                <w:bCs/>
                <w:sz w:val="20"/>
                <w:szCs w:val="20"/>
              </w:rPr>
            </w:pPr>
          </w:p>
          <w:p w14:paraId="03BFAC07" w14:textId="0500F9DB" w:rsidR="00F4284C" w:rsidRPr="00154588" w:rsidRDefault="00F4284C" w:rsidP="008C12B4">
            <w:pPr>
              <w:jc w:val="both"/>
              <w:rPr>
                <w:sz w:val="20"/>
                <w:szCs w:val="20"/>
              </w:rPr>
            </w:pPr>
            <w:r w:rsidRPr="00154588">
              <w:rPr>
                <w:sz w:val="20"/>
                <w:szCs w:val="20"/>
              </w:rPr>
              <w:t xml:space="preserve">b) faţă de titularul instrumentului de capital relevant sau al datoriei eligibile </w:t>
            </w:r>
            <w:r w:rsidRPr="00154588">
              <w:rPr>
                <w:bCs/>
                <w:sz w:val="20"/>
                <w:szCs w:val="20"/>
              </w:rPr>
              <w:t>relevantă menționată la art. 219</w:t>
            </w:r>
            <w:r w:rsidRPr="00154588">
              <w:rPr>
                <w:bCs/>
                <w:sz w:val="20"/>
                <w:szCs w:val="20"/>
                <w:vertAlign w:val="superscript"/>
              </w:rPr>
              <w:t>1</w:t>
            </w:r>
            <w:r w:rsidRPr="00154588">
              <w:rPr>
                <w:bCs/>
                <w:sz w:val="20"/>
                <w:szCs w:val="20"/>
              </w:rPr>
              <w:t xml:space="preserve"> </w:t>
            </w:r>
            <w:r w:rsidRPr="00154588">
              <w:rPr>
                <w:sz w:val="20"/>
                <w:szCs w:val="20"/>
              </w:rPr>
              <w:t>nu subzistă nicio datorie în limita sau în legătură cu valoarea cu care instrumentul a fost redus, cu excepţia oricăror datorii ajunse deja la scadenţă şi a oricăror despăgubiri datorate, ce pot apărea ca urmare a contestării în instanţă a legalităţii exercitării competenţei de reducere a valorii;</w:t>
            </w:r>
          </w:p>
          <w:p w14:paraId="2E4EBC6D" w14:textId="77777777" w:rsidR="00F4284C" w:rsidRPr="00154588" w:rsidRDefault="00F4284C" w:rsidP="008C12B4">
            <w:pPr>
              <w:jc w:val="both"/>
              <w:rPr>
                <w:bCs/>
                <w:sz w:val="20"/>
                <w:szCs w:val="20"/>
              </w:rPr>
            </w:pPr>
          </w:p>
          <w:p w14:paraId="6B37332D" w14:textId="1A1B2184" w:rsidR="00F4284C" w:rsidRPr="00154588" w:rsidRDefault="00F4284C" w:rsidP="008C12B4">
            <w:pPr>
              <w:jc w:val="both"/>
              <w:rPr>
                <w:bCs/>
                <w:sz w:val="20"/>
                <w:szCs w:val="20"/>
              </w:rPr>
            </w:pPr>
            <w:r w:rsidRPr="00154588">
              <w:rPr>
                <w:sz w:val="20"/>
                <w:szCs w:val="20"/>
              </w:rPr>
              <w:t>c) nicio despăgubire nu este plătită deţinătorilor de instrumente de capital relevante  sau de datorii eligibile menționate la art. 219</w:t>
            </w:r>
            <w:r w:rsidRPr="00154588">
              <w:rPr>
                <w:sz w:val="20"/>
                <w:szCs w:val="20"/>
                <w:vertAlign w:val="superscript"/>
              </w:rPr>
              <w:t>1</w:t>
            </w:r>
            <w:r w:rsidRPr="00154588">
              <w:rPr>
                <w:bCs/>
                <w:sz w:val="20"/>
                <w:szCs w:val="20"/>
              </w:rPr>
              <w:t>, în afara celor prevăzute la art.228.</w:t>
            </w:r>
          </w:p>
          <w:p w14:paraId="25A24AC5" w14:textId="77777777" w:rsidR="00F4284C" w:rsidRPr="00154588" w:rsidRDefault="00F4284C" w:rsidP="008C12B4">
            <w:pPr>
              <w:jc w:val="both"/>
              <w:rPr>
                <w:bCs/>
                <w:sz w:val="20"/>
                <w:szCs w:val="20"/>
              </w:rPr>
            </w:pPr>
          </w:p>
        </w:tc>
        <w:tc>
          <w:tcPr>
            <w:tcW w:w="2552" w:type="dxa"/>
          </w:tcPr>
          <w:p w14:paraId="525EF5DB" w14:textId="700257CB" w:rsidR="00F4284C" w:rsidRPr="00154588" w:rsidRDefault="00F4284C" w:rsidP="008C12B4">
            <w:pPr>
              <w:jc w:val="both"/>
              <w:rPr>
                <w:bCs/>
                <w:sz w:val="20"/>
                <w:szCs w:val="20"/>
              </w:rPr>
            </w:pPr>
            <w:r w:rsidRPr="00154588">
              <w:rPr>
                <w:bCs/>
                <w:sz w:val="20"/>
                <w:szCs w:val="20"/>
              </w:rPr>
              <w:t>Compatibil</w:t>
            </w:r>
          </w:p>
        </w:tc>
        <w:tc>
          <w:tcPr>
            <w:tcW w:w="3118" w:type="dxa"/>
          </w:tcPr>
          <w:p w14:paraId="200AAD4D" w14:textId="77777777" w:rsidR="00F4284C" w:rsidRPr="00154588" w:rsidRDefault="00F4284C" w:rsidP="008C12B4">
            <w:pPr>
              <w:jc w:val="both"/>
              <w:rPr>
                <w:bCs/>
                <w:sz w:val="20"/>
                <w:szCs w:val="20"/>
              </w:rPr>
            </w:pPr>
          </w:p>
        </w:tc>
      </w:tr>
      <w:tr w:rsidR="00F4284C" w:rsidRPr="00154588" w14:paraId="7970F672" w14:textId="77777777" w:rsidTr="00D15C1B">
        <w:trPr>
          <w:jc w:val="center"/>
        </w:trPr>
        <w:tc>
          <w:tcPr>
            <w:tcW w:w="4957" w:type="dxa"/>
            <w:gridSpan w:val="2"/>
          </w:tcPr>
          <w:p w14:paraId="7559744E" w14:textId="5EB4159F" w:rsidR="00F4284C" w:rsidRPr="00154588" w:rsidRDefault="00F4284C" w:rsidP="008C12B4">
            <w:pPr>
              <w:jc w:val="both"/>
              <w:rPr>
                <w:sz w:val="20"/>
                <w:szCs w:val="20"/>
              </w:rPr>
            </w:pPr>
            <w:r w:rsidRPr="00154588">
              <w:rPr>
                <w:sz w:val="20"/>
                <w:szCs w:val="20"/>
              </w:rPr>
              <w:t xml:space="preserve">(3)   Pentru a efectua, în temeiul alineatului (1) literele (b), (c) și (d) din prezentul articol, o conversie a instrumentelor de capital și a datoriilor eligibile relevante astfel cum se menționează la articolul 59 alineatul (1a), autoritățile de rezoluție pot solicita instituțiilor și entităților menționate la articolul 1 alineatul (1) literele (b), (c) și (d) să emită instrumente de fonduri proprii de nivel 1 de bază pentru deținătorii </w:t>
            </w:r>
            <w:r w:rsidRPr="00154588">
              <w:rPr>
                <w:sz w:val="20"/>
                <w:szCs w:val="20"/>
              </w:rPr>
              <w:lastRenderedPageBreak/>
              <w:t>instrumentelor de capital și ai datoriilor eligibile relevante respective. Instrumentele de capital și datoriile relevante sus-menționate pot fi convertite numai în cazul în care sunt îndeplinite următoarele condiții:</w:t>
            </w:r>
          </w:p>
          <w:p w14:paraId="46ADBCFF" w14:textId="77777777" w:rsidR="00F4284C" w:rsidRPr="00154588" w:rsidRDefault="00F4284C" w:rsidP="008C12B4">
            <w:pPr>
              <w:jc w:val="both"/>
              <w:rPr>
                <w:sz w:val="20"/>
                <w:szCs w:val="20"/>
              </w:rPr>
            </w:pPr>
          </w:p>
          <w:p w14:paraId="56A968D9" w14:textId="6BB98199" w:rsidR="00F4284C" w:rsidRPr="00154588" w:rsidRDefault="00F4284C" w:rsidP="008C12B4">
            <w:pPr>
              <w:jc w:val="both"/>
              <w:rPr>
                <w:sz w:val="20"/>
                <w:szCs w:val="20"/>
              </w:rPr>
            </w:pPr>
            <w:r w:rsidRPr="00154588">
              <w:rPr>
                <w:sz w:val="20"/>
                <w:szCs w:val="20"/>
              </w:rPr>
              <w:t>(a) respectivele instrumente de fonduri proprii de nivel 1 de bază sunt emise de către instituția sau entitatea menționată la articolul 1 alineatul (1) litera (b), (c) sau (d) sau de către o întreprindere-mamă a respectivei instituții sau entități menționate la articolul 1 alineatul (1) litera (b), (c) sau (d), cu acordul autorității de rezoluție a instituției sau entității menționate la articolul 1 alineatul (1) litera (b), (c) sau (d) sau, după caz, al autorității de rezoluție a întreprinderii-mamă;</w:t>
            </w:r>
          </w:p>
          <w:p w14:paraId="3C282D7D" w14:textId="77777777" w:rsidR="00F4284C" w:rsidRPr="00154588" w:rsidRDefault="00F4284C" w:rsidP="008C12B4">
            <w:pPr>
              <w:jc w:val="both"/>
              <w:rPr>
                <w:sz w:val="20"/>
                <w:szCs w:val="20"/>
              </w:rPr>
            </w:pPr>
          </w:p>
          <w:p w14:paraId="136E1FEB" w14:textId="77777777" w:rsidR="00F4284C" w:rsidRPr="00154588" w:rsidRDefault="00F4284C" w:rsidP="008C12B4">
            <w:pPr>
              <w:jc w:val="both"/>
              <w:rPr>
                <w:sz w:val="20"/>
                <w:szCs w:val="20"/>
              </w:rPr>
            </w:pPr>
          </w:p>
          <w:p w14:paraId="1F4389F9" w14:textId="18701D86" w:rsidR="00F4284C" w:rsidRPr="00154588" w:rsidRDefault="00F4284C" w:rsidP="008C12B4">
            <w:pPr>
              <w:jc w:val="both"/>
              <w:rPr>
                <w:sz w:val="20"/>
                <w:szCs w:val="20"/>
              </w:rPr>
            </w:pPr>
            <w:r w:rsidRPr="00154588">
              <w:rPr>
                <w:sz w:val="20"/>
                <w:szCs w:val="20"/>
              </w:rPr>
              <w:t>(b) respectivele instrumente de fonduri proprii de nivel 1 de bază sunt emise anterior oricărei emisiuni de acțiuni sau de instrumente de proprietate efectuate de către instituția sau entitatea respectivă, menționată la articolul 1 alineatul (1) litera (b), (c) sau (d) în vederea unui aport de capital din partea statului sau a unei entități publice;</w:t>
            </w:r>
          </w:p>
          <w:p w14:paraId="7D10DF68" w14:textId="77777777" w:rsidR="00F4284C" w:rsidRPr="00154588" w:rsidRDefault="00F4284C" w:rsidP="008C12B4">
            <w:pPr>
              <w:jc w:val="both"/>
              <w:rPr>
                <w:sz w:val="20"/>
                <w:szCs w:val="20"/>
              </w:rPr>
            </w:pPr>
          </w:p>
          <w:p w14:paraId="3C2FDAE0" w14:textId="64A49189" w:rsidR="00F4284C" w:rsidRPr="00154588" w:rsidRDefault="00F4284C" w:rsidP="008C12B4">
            <w:pPr>
              <w:jc w:val="both"/>
              <w:rPr>
                <w:sz w:val="20"/>
                <w:szCs w:val="20"/>
              </w:rPr>
            </w:pPr>
            <w:r w:rsidRPr="00154588">
              <w:rPr>
                <w:sz w:val="20"/>
                <w:szCs w:val="20"/>
              </w:rPr>
              <w:t>(c) respectivele instrumente de fonduri proprii de nivel 1 de bază sunt atribuite și transferate fără întârziere, după exercitarea competenței de conversie;</w:t>
            </w:r>
          </w:p>
          <w:p w14:paraId="12EC9CD8" w14:textId="77777777" w:rsidR="00F4284C" w:rsidRPr="00154588" w:rsidRDefault="00F4284C" w:rsidP="008C12B4">
            <w:pPr>
              <w:jc w:val="both"/>
              <w:rPr>
                <w:sz w:val="20"/>
                <w:szCs w:val="20"/>
              </w:rPr>
            </w:pPr>
          </w:p>
          <w:p w14:paraId="3FA0FEBF" w14:textId="5FAF56DF" w:rsidR="00F4284C" w:rsidRPr="00154588" w:rsidRDefault="00F4284C" w:rsidP="008C12B4">
            <w:pPr>
              <w:jc w:val="both"/>
              <w:rPr>
                <w:sz w:val="20"/>
                <w:szCs w:val="20"/>
              </w:rPr>
            </w:pPr>
            <w:r w:rsidRPr="00154588">
              <w:rPr>
                <w:sz w:val="20"/>
                <w:szCs w:val="20"/>
              </w:rPr>
              <w:t>(d) rata de conversie care determină numărul de instrumente de fonduri proprii de nivel 1 de bază care sunt furnizate pentru fiecare instrument de capital relevant sau fiecare datorie eligibilă relevantă astfel cum este menționat la articolul 59 alineatul (1a) respectă principiile stabilite la articolul 50 și toate orientările elaborate de ABE în temeiul articolului 50 alineatul (4).</w:t>
            </w:r>
          </w:p>
        </w:tc>
        <w:tc>
          <w:tcPr>
            <w:tcW w:w="4819" w:type="dxa"/>
          </w:tcPr>
          <w:p w14:paraId="32471453" w14:textId="6277EA05" w:rsidR="00F4284C" w:rsidRPr="00154588" w:rsidRDefault="00F4284C" w:rsidP="008C12B4">
            <w:pPr>
              <w:jc w:val="both"/>
              <w:rPr>
                <w:sz w:val="20"/>
                <w:szCs w:val="20"/>
              </w:rPr>
            </w:pPr>
            <w:r w:rsidRPr="00154588">
              <w:rPr>
                <w:b/>
                <w:sz w:val="20"/>
                <w:szCs w:val="20"/>
              </w:rPr>
              <w:lastRenderedPageBreak/>
              <w:t>Articolul 228.</w:t>
            </w:r>
            <w:r w:rsidRPr="00154588">
              <w:rPr>
                <w:sz w:val="20"/>
                <w:szCs w:val="20"/>
              </w:rPr>
              <w:t xml:space="preserve">  Pentru a efectua, în temeiul art.226 lit.b)–d), o conversie a instrumentelor de capital şi a datoriilor eligibile</w:t>
            </w:r>
            <w:r w:rsidRPr="00154588">
              <w:rPr>
                <w:bCs/>
                <w:sz w:val="20"/>
                <w:szCs w:val="20"/>
              </w:rPr>
              <w:t xml:space="preserve"> relevante</w:t>
            </w:r>
            <w:r w:rsidRPr="00154588">
              <w:rPr>
                <w:sz w:val="20"/>
                <w:szCs w:val="20"/>
              </w:rPr>
              <w:t xml:space="preserve"> în conformitate cu art.219</w:t>
            </w:r>
            <w:r w:rsidRPr="00154588">
              <w:rPr>
                <w:sz w:val="20"/>
                <w:szCs w:val="20"/>
                <w:vertAlign w:val="superscript"/>
              </w:rPr>
              <w:t>1</w:t>
            </w:r>
            <w:r w:rsidRPr="00154588">
              <w:rPr>
                <w:bCs/>
                <w:sz w:val="20"/>
                <w:szCs w:val="20"/>
              </w:rPr>
              <w:t xml:space="preserve">, Banca Naţională a Moldovei, în calitate de autoritate de rezoluţie, poate solicita instituțiilor de credit sau entităților menționate la art.1 alin.(1) lit.b), c) sau d) să emită instrumente de fonduri proprii de nivelul 1 de bază pentru deţinătorii instrumentelor de </w:t>
            </w:r>
            <w:r w:rsidRPr="00154588">
              <w:rPr>
                <w:sz w:val="20"/>
                <w:szCs w:val="20"/>
              </w:rPr>
              <w:lastRenderedPageBreak/>
              <w:t xml:space="preserve">capital </w:t>
            </w:r>
            <w:r w:rsidRPr="00154588">
              <w:rPr>
                <w:bCs/>
                <w:sz w:val="20"/>
                <w:szCs w:val="20"/>
              </w:rPr>
              <w:t>şi ai datoriilor eligibile relevante</w:t>
            </w:r>
            <w:r w:rsidRPr="00154588">
              <w:rPr>
                <w:sz w:val="20"/>
                <w:szCs w:val="20"/>
              </w:rPr>
              <w:t xml:space="preserve">. Instrumentele de capital şi datoriile eligibile </w:t>
            </w:r>
            <w:r w:rsidRPr="00154588">
              <w:rPr>
                <w:bCs/>
                <w:sz w:val="20"/>
                <w:szCs w:val="20"/>
              </w:rPr>
              <w:t>relevante</w:t>
            </w:r>
            <w:r w:rsidRPr="00154588">
              <w:rPr>
                <w:sz w:val="20"/>
                <w:szCs w:val="20"/>
              </w:rPr>
              <w:t xml:space="preserve"> pot fi convertite numai în cazul în care sunt îndeplinite următoarele condiţii:</w:t>
            </w:r>
          </w:p>
          <w:p w14:paraId="6BE392C9" w14:textId="61B97F2E" w:rsidR="00F4284C" w:rsidRPr="00154588" w:rsidRDefault="00F4284C" w:rsidP="008C12B4">
            <w:pPr>
              <w:jc w:val="both"/>
              <w:rPr>
                <w:sz w:val="20"/>
                <w:szCs w:val="20"/>
              </w:rPr>
            </w:pPr>
            <w:r w:rsidRPr="00154588">
              <w:rPr>
                <w:sz w:val="20"/>
                <w:szCs w:val="20"/>
              </w:rPr>
              <w:t>a) respectivele instrumente de fonduri proprii de nivelul 1 de bază sînt emise de către instituţia de credit sau entitatea menţionată la ar</w:t>
            </w:r>
            <w:r w:rsidR="00EE3DD7" w:rsidRPr="00154588">
              <w:rPr>
                <w:sz w:val="20"/>
                <w:szCs w:val="20"/>
              </w:rPr>
              <w:t>t</w:t>
            </w:r>
            <w:r w:rsidRPr="00154588">
              <w:rPr>
                <w:bCs/>
                <w:sz w:val="20"/>
                <w:szCs w:val="20"/>
              </w:rPr>
              <w:t>.</w:t>
            </w:r>
            <w:r w:rsidRPr="00154588">
              <w:rPr>
                <w:sz w:val="20"/>
                <w:szCs w:val="20"/>
              </w:rPr>
              <w:t>1 alin</w:t>
            </w:r>
            <w:r w:rsidRPr="00154588">
              <w:rPr>
                <w:bCs/>
                <w:sz w:val="20"/>
                <w:szCs w:val="20"/>
              </w:rPr>
              <w:t>.</w:t>
            </w:r>
            <w:r w:rsidRPr="00154588">
              <w:rPr>
                <w:sz w:val="20"/>
                <w:szCs w:val="20"/>
              </w:rPr>
              <w:t>(1) lit</w:t>
            </w:r>
            <w:r w:rsidRPr="00154588">
              <w:rPr>
                <w:bCs/>
                <w:sz w:val="20"/>
                <w:szCs w:val="20"/>
              </w:rPr>
              <w:t>.</w:t>
            </w:r>
            <w:r w:rsidRPr="00154588">
              <w:rPr>
                <w:sz w:val="20"/>
                <w:szCs w:val="20"/>
              </w:rPr>
              <w:t>b), c) sau d) sau de către o întreprindere-mamă a respectivei instituţii de credit sau entităţi menţionate la art</w:t>
            </w:r>
            <w:r w:rsidRPr="00154588">
              <w:rPr>
                <w:bCs/>
                <w:sz w:val="20"/>
                <w:szCs w:val="20"/>
              </w:rPr>
              <w:t>.</w:t>
            </w:r>
            <w:r w:rsidRPr="00154588">
              <w:rPr>
                <w:sz w:val="20"/>
                <w:szCs w:val="20"/>
              </w:rPr>
              <w:t>1 alin</w:t>
            </w:r>
            <w:r w:rsidRPr="00154588">
              <w:rPr>
                <w:bCs/>
                <w:sz w:val="20"/>
                <w:szCs w:val="20"/>
              </w:rPr>
              <w:t>.</w:t>
            </w:r>
            <w:r w:rsidRPr="00154588">
              <w:rPr>
                <w:sz w:val="20"/>
                <w:szCs w:val="20"/>
              </w:rPr>
              <w:t>(1) lit</w:t>
            </w:r>
            <w:r w:rsidRPr="00154588">
              <w:rPr>
                <w:bCs/>
                <w:sz w:val="20"/>
                <w:szCs w:val="20"/>
              </w:rPr>
              <w:t>.</w:t>
            </w:r>
            <w:r w:rsidRPr="00154588">
              <w:rPr>
                <w:sz w:val="20"/>
                <w:szCs w:val="20"/>
              </w:rPr>
              <w:t>b), c) sau d), cu acordul Băncii Naţionale a Moldovei, în calitate de autoritate de rezoluţie a instituției de credit sau entității prevăzut</w:t>
            </w:r>
            <w:r w:rsidRPr="00154588">
              <w:rPr>
                <w:bCs/>
                <w:sz w:val="20"/>
                <w:szCs w:val="20"/>
              </w:rPr>
              <w:t>e</w:t>
            </w:r>
            <w:r w:rsidRPr="00154588">
              <w:rPr>
                <w:sz w:val="20"/>
                <w:szCs w:val="20"/>
              </w:rPr>
              <w:t xml:space="preserve"> la art.1 alin.(1) lit. b), c) sau d) sau, după caz, al autorităţii de rezoluţie a întreprinderii-mamă;</w:t>
            </w:r>
          </w:p>
          <w:p w14:paraId="148312AC" w14:textId="77777777" w:rsidR="00F4284C" w:rsidRPr="00154588" w:rsidRDefault="00F4284C" w:rsidP="008C12B4">
            <w:pPr>
              <w:jc w:val="both"/>
              <w:rPr>
                <w:sz w:val="20"/>
                <w:szCs w:val="20"/>
              </w:rPr>
            </w:pPr>
            <w:r w:rsidRPr="00154588">
              <w:rPr>
                <w:sz w:val="20"/>
                <w:szCs w:val="20"/>
              </w:rPr>
              <w:t>b) respectivele instrumente de fonduri proprii de nivelul 1 de bază sînt emise anterior oricărei emisiuni de acţiuni sau de alte instrumente de proprietate efectuate de către instituţia de credit sau entitatea respectivă menționată la articolul 1 alineatul (1) litera (b), (c) sau (d), în vederea unui aport de capital din partea statului sau a unei entităţi guvernamentale;</w:t>
            </w:r>
          </w:p>
          <w:p w14:paraId="03700876" w14:textId="77777777" w:rsidR="00F4284C" w:rsidRPr="00154588" w:rsidRDefault="00F4284C" w:rsidP="008C12B4">
            <w:pPr>
              <w:jc w:val="both"/>
              <w:rPr>
                <w:sz w:val="20"/>
                <w:szCs w:val="20"/>
              </w:rPr>
            </w:pPr>
            <w:r w:rsidRPr="00154588">
              <w:rPr>
                <w:sz w:val="20"/>
                <w:szCs w:val="20"/>
              </w:rPr>
              <w:t>c) respectivele instrumente de fonduri proprii de nivelul 1 de bază sînt atribuite şi transferate fără întîrziere, după exercitarea competenţei de conversie;</w:t>
            </w:r>
          </w:p>
          <w:p w14:paraId="7C013E47" w14:textId="04BB2633" w:rsidR="00F4284C" w:rsidRPr="00154588" w:rsidRDefault="00F4284C" w:rsidP="008C12B4">
            <w:pPr>
              <w:jc w:val="both"/>
              <w:rPr>
                <w:sz w:val="20"/>
                <w:szCs w:val="20"/>
              </w:rPr>
            </w:pPr>
            <w:r w:rsidRPr="00154588">
              <w:rPr>
                <w:sz w:val="20"/>
                <w:szCs w:val="20"/>
              </w:rPr>
              <w:t>d) rata de conversie care determină numărul de instrumente de fonduri proprii de nivelul 1 de bază care sînt emise pentru fiecare instrument de capital relevant sau datorie eligibilă relevantă astfel cum este menţionat la art</w:t>
            </w:r>
            <w:r w:rsidRPr="00154588">
              <w:rPr>
                <w:bCs/>
                <w:sz w:val="20"/>
                <w:szCs w:val="20"/>
              </w:rPr>
              <w:t>.</w:t>
            </w:r>
            <w:r w:rsidRPr="00154588">
              <w:rPr>
                <w:sz w:val="20"/>
                <w:szCs w:val="20"/>
              </w:rPr>
              <w:t>219</w:t>
            </w:r>
            <w:r w:rsidRPr="00154588">
              <w:rPr>
                <w:sz w:val="20"/>
                <w:szCs w:val="20"/>
                <w:vertAlign w:val="superscript"/>
              </w:rPr>
              <w:t>1</w:t>
            </w:r>
            <w:r w:rsidRPr="00154588">
              <w:rPr>
                <w:sz w:val="20"/>
                <w:szCs w:val="20"/>
              </w:rPr>
              <w:t xml:space="preserve"> respectă principiile prevăzute la art.190 și </w:t>
            </w:r>
            <w:r w:rsidRPr="00154588">
              <w:rPr>
                <w:bCs/>
                <w:sz w:val="20"/>
                <w:szCs w:val="20"/>
              </w:rPr>
              <w:t>prevederile actelor normative ale Băncii Naționale a Moldovei referitoare la competența de reducere a valorii sau de conversie a instrumentelor de capital şi a datoriilor eligibile</w:t>
            </w:r>
            <w:r w:rsidRPr="00154588">
              <w:rPr>
                <w:sz w:val="20"/>
                <w:szCs w:val="20"/>
              </w:rPr>
              <w:t xml:space="preserve"> </w:t>
            </w:r>
          </w:p>
          <w:p w14:paraId="7423C493" w14:textId="77777777" w:rsidR="00F4284C" w:rsidRPr="00154588" w:rsidRDefault="00F4284C" w:rsidP="008C12B4">
            <w:pPr>
              <w:jc w:val="both"/>
              <w:rPr>
                <w:sz w:val="20"/>
                <w:szCs w:val="20"/>
              </w:rPr>
            </w:pPr>
          </w:p>
        </w:tc>
        <w:tc>
          <w:tcPr>
            <w:tcW w:w="2552" w:type="dxa"/>
          </w:tcPr>
          <w:p w14:paraId="7DD019B4" w14:textId="1586D0BB" w:rsidR="00F4284C" w:rsidRPr="00154588" w:rsidRDefault="00F4284C" w:rsidP="008C12B4">
            <w:pPr>
              <w:jc w:val="both"/>
              <w:rPr>
                <w:sz w:val="20"/>
                <w:szCs w:val="20"/>
              </w:rPr>
            </w:pPr>
            <w:r w:rsidRPr="00154588">
              <w:rPr>
                <w:sz w:val="20"/>
                <w:szCs w:val="20"/>
              </w:rPr>
              <w:lastRenderedPageBreak/>
              <w:t>Compatibil</w:t>
            </w:r>
          </w:p>
        </w:tc>
        <w:tc>
          <w:tcPr>
            <w:tcW w:w="3118" w:type="dxa"/>
          </w:tcPr>
          <w:p w14:paraId="3377151D" w14:textId="229672A0" w:rsidR="00F4284C" w:rsidRPr="00154588" w:rsidRDefault="00F4284C" w:rsidP="008C12B4">
            <w:pPr>
              <w:jc w:val="both"/>
              <w:rPr>
                <w:sz w:val="20"/>
                <w:szCs w:val="20"/>
              </w:rPr>
            </w:pPr>
          </w:p>
        </w:tc>
      </w:tr>
      <w:tr w:rsidR="00F4284C" w:rsidRPr="00154588" w14:paraId="4CECBD9B" w14:textId="77777777" w:rsidTr="00D15C1B">
        <w:trPr>
          <w:jc w:val="center"/>
        </w:trPr>
        <w:tc>
          <w:tcPr>
            <w:tcW w:w="4957" w:type="dxa"/>
            <w:gridSpan w:val="2"/>
          </w:tcPr>
          <w:p w14:paraId="3639AEBE" w14:textId="7FF0865B" w:rsidR="00F4284C" w:rsidRPr="00154588" w:rsidRDefault="00F4284C" w:rsidP="008C12B4">
            <w:pPr>
              <w:jc w:val="both"/>
              <w:rPr>
                <w:sz w:val="20"/>
                <w:szCs w:val="20"/>
              </w:rPr>
            </w:pPr>
            <w:r w:rsidRPr="00154588">
              <w:rPr>
                <w:sz w:val="20"/>
                <w:szCs w:val="20"/>
              </w:rPr>
              <w:t>(4)   În sensul furnizării de instrumente de fonduri proprii de nivel 1 de bază în conformitate cu alineatul (3), autoritățile de rezoluție pot solicita instituțiilor și entităților menționate la articolul 1 alineatul (1) litera (b), (c) sau (d) să mențină în permanență autorizația prealabilă necesară emiterii numărului relevant de instrumente de fonduri proprii de nivel 1 de bază.</w:t>
            </w:r>
          </w:p>
        </w:tc>
        <w:tc>
          <w:tcPr>
            <w:tcW w:w="4819" w:type="dxa"/>
          </w:tcPr>
          <w:p w14:paraId="3CEEEBA0" w14:textId="77777777" w:rsidR="00F4284C" w:rsidRPr="00154588" w:rsidRDefault="00F4284C" w:rsidP="008C12B4">
            <w:pPr>
              <w:jc w:val="both"/>
              <w:rPr>
                <w:sz w:val="20"/>
                <w:szCs w:val="20"/>
              </w:rPr>
            </w:pPr>
            <w:r w:rsidRPr="00154588">
              <w:rPr>
                <w:b/>
                <w:sz w:val="20"/>
                <w:szCs w:val="20"/>
              </w:rPr>
              <w:t>Articolul 229.</w:t>
            </w:r>
            <w:r w:rsidRPr="00154588">
              <w:rPr>
                <w:sz w:val="20"/>
                <w:szCs w:val="20"/>
              </w:rPr>
              <w:t xml:space="preserve"> – În scopul furnizării de instrumente de fonduri proprii de nivelul 1 de bază în conformitate cu prevederile art.228, Banca Naţională a Moldovei, în calitate de autoritate de rezoluţie, poate solicita instituțiilor de credit și entităților prevăzute la art. 1 alin.(1) lit.b), c) și d) să aibă în permanenţă o autorizaţie prealabilă necesară emiterii numărului </w:t>
            </w:r>
            <w:r w:rsidRPr="00154588">
              <w:rPr>
                <w:sz w:val="20"/>
                <w:szCs w:val="20"/>
              </w:rPr>
              <w:lastRenderedPageBreak/>
              <w:t>relevant de instrumente de fonduri proprii de nivelul 1 de bază.</w:t>
            </w:r>
          </w:p>
          <w:p w14:paraId="12060709" w14:textId="77777777" w:rsidR="00F4284C" w:rsidRPr="00154588" w:rsidRDefault="00F4284C" w:rsidP="008C12B4">
            <w:pPr>
              <w:jc w:val="both"/>
              <w:rPr>
                <w:sz w:val="20"/>
                <w:szCs w:val="20"/>
              </w:rPr>
            </w:pPr>
          </w:p>
        </w:tc>
        <w:tc>
          <w:tcPr>
            <w:tcW w:w="2552" w:type="dxa"/>
          </w:tcPr>
          <w:p w14:paraId="5876861C" w14:textId="5E7F14D1" w:rsidR="00F4284C" w:rsidRPr="00154588" w:rsidRDefault="00F4284C" w:rsidP="008C12B4">
            <w:pPr>
              <w:jc w:val="both"/>
              <w:rPr>
                <w:sz w:val="20"/>
                <w:szCs w:val="20"/>
              </w:rPr>
            </w:pPr>
            <w:r w:rsidRPr="00154588">
              <w:rPr>
                <w:sz w:val="20"/>
                <w:szCs w:val="20"/>
              </w:rPr>
              <w:lastRenderedPageBreak/>
              <w:t>Compatibil</w:t>
            </w:r>
          </w:p>
        </w:tc>
        <w:tc>
          <w:tcPr>
            <w:tcW w:w="3118" w:type="dxa"/>
          </w:tcPr>
          <w:p w14:paraId="5603BBCF" w14:textId="77777777" w:rsidR="00F4284C" w:rsidRPr="00154588" w:rsidRDefault="00F4284C" w:rsidP="008C12B4">
            <w:pPr>
              <w:jc w:val="both"/>
              <w:rPr>
                <w:sz w:val="20"/>
                <w:szCs w:val="20"/>
              </w:rPr>
            </w:pPr>
          </w:p>
        </w:tc>
      </w:tr>
      <w:tr w:rsidR="00F4284C" w:rsidRPr="00154588" w14:paraId="30C0D957" w14:textId="77777777" w:rsidTr="00D15C1B">
        <w:trPr>
          <w:jc w:val="center"/>
        </w:trPr>
        <w:tc>
          <w:tcPr>
            <w:tcW w:w="4957" w:type="dxa"/>
            <w:gridSpan w:val="2"/>
          </w:tcPr>
          <w:p w14:paraId="65D7F589" w14:textId="2398B299" w:rsidR="00F4284C" w:rsidRPr="00154588" w:rsidRDefault="00F4284C" w:rsidP="008C12B4">
            <w:pPr>
              <w:jc w:val="both"/>
              <w:rPr>
                <w:sz w:val="20"/>
                <w:szCs w:val="20"/>
              </w:rPr>
            </w:pPr>
            <w:r w:rsidRPr="00154588">
              <w:rPr>
                <w:sz w:val="20"/>
                <w:szCs w:val="20"/>
              </w:rPr>
              <w:t>(5)   În cazul în care o instituție îndeplinește condițiile de declanșare a procedurii de rezoluție, iar autoritatea de rezoluție decide să aplice instituției un instrument de rezoluție, înainte de aplicarea respectivului instrument autoritatea de rezoluție trebuie să se conformeze cerințelor prevăzute la articolul 59 alineatul (3).</w:t>
            </w:r>
          </w:p>
        </w:tc>
        <w:tc>
          <w:tcPr>
            <w:tcW w:w="4819" w:type="dxa"/>
          </w:tcPr>
          <w:p w14:paraId="3567ADF1" w14:textId="77777777" w:rsidR="00F4284C" w:rsidRPr="00154588" w:rsidRDefault="00F4284C" w:rsidP="008C12B4">
            <w:pPr>
              <w:jc w:val="both"/>
              <w:rPr>
                <w:sz w:val="20"/>
                <w:szCs w:val="20"/>
              </w:rPr>
            </w:pPr>
            <w:r w:rsidRPr="00154588">
              <w:rPr>
                <w:b/>
                <w:sz w:val="20"/>
                <w:szCs w:val="20"/>
              </w:rPr>
              <w:t>Articolul 230.</w:t>
            </w:r>
            <w:r w:rsidRPr="00154588">
              <w:rPr>
                <w:sz w:val="20"/>
                <w:szCs w:val="20"/>
              </w:rPr>
              <w:t xml:space="preserve"> – În cazul în care o instituție de credit îndeplineşte condiţiile de declanşare a procedurii de rezoluţie, iar Banca Naţională a Moldovei, în calitate de autoritate de rezoluţie, decide să aplice instituției de creditun instrument de rezoluţie, înainte de aplicarea respectivului instrument, Banca Naţională a Moldovei, în calitate de autoritate de rezoluţie, trebuie să se conformeze cerinţelor prevăzute la art.221.</w:t>
            </w:r>
          </w:p>
          <w:p w14:paraId="2130F1C3" w14:textId="77777777" w:rsidR="00F4284C" w:rsidRPr="00154588" w:rsidRDefault="00F4284C" w:rsidP="008C12B4">
            <w:pPr>
              <w:jc w:val="both"/>
              <w:rPr>
                <w:sz w:val="20"/>
                <w:szCs w:val="20"/>
              </w:rPr>
            </w:pPr>
          </w:p>
        </w:tc>
        <w:tc>
          <w:tcPr>
            <w:tcW w:w="2552" w:type="dxa"/>
          </w:tcPr>
          <w:p w14:paraId="3495F480" w14:textId="4C4E8EDC" w:rsidR="00F4284C" w:rsidRPr="00154588" w:rsidRDefault="00F4284C" w:rsidP="008C12B4">
            <w:pPr>
              <w:jc w:val="both"/>
              <w:rPr>
                <w:sz w:val="20"/>
                <w:szCs w:val="20"/>
              </w:rPr>
            </w:pPr>
            <w:r w:rsidRPr="00154588">
              <w:rPr>
                <w:sz w:val="20"/>
                <w:szCs w:val="20"/>
              </w:rPr>
              <w:t>Compatibil</w:t>
            </w:r>
          </w:p>
        </w:tc>
        <w:tc>
          <w:tcPr>
            <w:tcW w:w="3118" w:type="dxa"/>
          </w:tcPr>
          <w:p w14:paraId="77D1AE49" w14:textId="77777777" w:rsidR="00F4284C" w:rsidRPr="00154588" w:rsidRDefault="00F4284C" w:rsidP="008C12B4">
            <w:pPr>
              <w:jc w:val="both"/>
              <w:rPr>
                <w:sz w:val="20"/>
                <w:szCs w:val="20"/>
              </w:rPr>
            </w:pPr>
          </w:p>
        </w:tc>
      </w:tr>
      <w:tr w:rsidR="00F4284C" w:rsidRPr="00154588" w14:paraId="0E7E66E1" w14:textId="77777777" w:rsidTr="00D15C1B">
        <w:trPr>
          <w:jc w:val="center"/>
        </w:trPr>
        <w:tc>
          <w:tcPr>
            <w:tcW w:w="4957" w:type="dxa"/>
            <w:gridSpan w:val="2"/>
          </w:tcPr>
          <w:p w14:paraId="48A47232" w14:textId="77777777" w:rsidR="00F4284C" w:rsidRPr="00154588" w:rsidRDefault="00F4284C" w:rsidP="008C12B4">
            <w:pPr>
              <w:jc w:val="both"/>
              <w:rPr>
                <w:b/>
                <w:sz w:val="20"/>
                <w:szCs w:val="20"/>
              </w:rPr>
            </w:pPr>
            <w:r w:rsidRPr="00154588">
              <w:rPr>
                <w:b/>
                <w:sz w:val="20"/>
                <w:szCs w:val="20"/>
              </w:rPr>
              <w:t>Articolul 61</w:t>
            </w:r>
          </w:p>
          <w:p w14:paraId="67BDCB5E" w14:textId="77777777" w:rsidR="00F4284C" w:rsidRPr="00154588" w:rsidRDefault="00F4284C" w:rsidP="008C12B4">
            <w:pPr>
              <w:jc w:val="both"/>
              <w:rPr>
                <w:b/>
                <w:sz w:val="20"/>
                <w:szCs w:val="20"/>
              </w:rPr>
            </w:pPr>
          </w:p>
          <w:p w14:paraId="507EDC96" w14:textId="772FC1DE" w:rsidR="00F4284C" w:rsidRPr="00154588" w:rsidRDefault="00F4284C" w:rsidP="008C12B4">
            <w:pPr>
              <w:jc w:val="both"/>
              <w:rPr>
                <w:sz w:val="20"/>
                <w:szCs w:val="20"/>
              </w:rPr>
            </w:pPr>
            <w:r w:rsidRPr="00154588">
              <w:rPr>
                <w:b/>
                <w:sz w:val="20"/>
                <w:szCs w:val="20"/>
              </w:rPr>
              <w:t>Autoritățile responsabile cu constatarea</w:t>
            </w:r>
          </w:p>
        </w:tc>
        <w:tc>
          <w:tcPr>
            <w:tcW w:w="4819" w:type="dxa"/>
          </w:tcPr>
          <w:p w14:paraId="35E0C961" w14:textId="77777777" w:rsidR="00F4284C" w:rsidRPr="00154588" w:rsidRDefault="00F4284C" w:rsidP="008C12B4">
            <w:pPr>
              <w:jc w:val="both"/>
              <w:rPr>
                <w:sz w:val="20"/>
                <w:szCs w:val="20"/>
              </w:rPr>
            </w:pPr>
          </w:p>
        </w:tc>
        <w:tc>
          <w:tcPr>
            <w:tcW w:w="2552" w:type="dxa"/>
          </w:tcPr>
          <w:p w14:paraId="3BD16D5F" w14:textId="77777777" w:rsidR="00F4284C" w:rsidRPr="00154588" w:rsidRDefault="00F4284C" w:rsidP="008C12B4">
            <w:pPr>
              <w:jc w:val="both"/>
              <w:rPr>
                <w:sz w:val="20"/>
                <w:szCs w:val="20"/>
              </w:rPr>
            </w:pPr>
          </w:p>
        </w:tc>
        <w:tc>
          <w:tcPr>
            <w:tcW w:w="3118" w:type="dxa"/>
          </w:tcPr>
          <w:p w14:paraId="6C5DADDA" w14:textId="77777777" w:rsidR="00F4284C" w:rsidRPr="00154588" w:rsidRDefault="00F4284C" w:rsidP="008C12B4">
            <w:pPr>
              <w:jc w:val="both"/>
              <w:rPr>
                <w:sz w:val="20"/>
                <w:szCs w:val="20"/>
              </w:rPr>
            </w:pPr>
          </w:p>
        </w:tc>
      </w:tr>
      <w:tr w:rsidR="00F4284C" w:rsidRPr="00154588" w14:paraId="2AE0E5E5" w14:textId="77777777" w:rsidTr="00D15C1B">
        <w:trPr>
          <w:jc w:val="center"/>
        </w:trPr>
        <w:tc>
          <w:tcPr>
            <w:tcW w:w="4957" w:type="dxa"/>
            <w:gridSpan w:val="2"/>
          </w:tcPr>
          <w:p w14:paraId="50AC5C18" w14:textId="307E255C" w:rsidR="00F4284C" w:rsidRPr="00154588" w:rsidRDefault="00F4284C" w:rsidP="008C12B4">
            <w:pPr>
              <w:tabs>
                <w:tab w:val="left" w:pos="1070"/>
              </w:tabs>
              <w:jc w:val="both"/>
              <w:rPr>
                <w:sz w:val="20"/>
                <w:szCs w:val="20"/>
              </w:rPr>
            </w:pPr>
            <w:r w:rsidRPr="00154588">
              <w:rPr>
                <w:sz w:val="20"/>
                <w:szCs w:val="20"/>
              </w:rPr>
              <w:t>(1)   Statele membre se asigură că autoritățile responsabile cu efectuarea constatărilor menționate la articolul 59 alineatul (3) sunt cele stabilite la prezentul articol.</w:t>
            </w:r>
          </w:p>
        </w:tc>
        <w:tc>
          <w:tcPr>
            <w:tcW w:w="4819" w:type="dxa"/>
          </w:tcPr>
          <w:p w14:paraId="1CC65FEF" w14:textId="77777777" w:rsidR="00F4284C" w:rsidRPr="00154588" w:rsidRDefault="00F4284C" w:rsidP="008C12B4">
            <w:pPr>
              <w:jc w:val="both"/>
              <w:rPr>
                <w:sz w:val="20"/>
                <w:szCs w:val="20"/>
              </w:rPr>
            </w:pPr>
          </w:p>
        </w:tc>
        <w:tc>
          <w:tcPr>
            <w:tcW w:w="2552" w:type="dxa"/>
          </w:tcPr>
          <w:p w14:paraId="1DBAD50F" w14:textId="3767E4B9" w:rsidR="00F4284C" w:rsidRPr="00154588" w:rsidRDefault="00F4284C" w:rsidP="008C12B4">
            <w:pPr>
              <w:jc w:val="both"/>
              <w:rPr>
                <w:sz w:val="20"/>
                <w:szCs w:val="20"/>
              </w:rPr>
            </w:pPr>
            <w:r w:rsidRPr="00154588">
              <w:rPr>
                <w:sz w:val="20"/>
                <w:szCs w:val="20"/>
              </w:rPr>
              <w:t>Prevederi UE netranspuse</w:t>
            </w:r>
          </w:p>
        </w:tc>
        <w:tc>
          <w:tcPr>
            <w:tcW w:w="3118" w:type="dxa"/>
          </w:tcPr>
          <w:p w14:paraId="238C6277" w14:textId="2A06C4EC" w:rsidR="00F4284C" w:rsidRPr="00154588" w:rsidRDefault="00F4284C" w:rsidP="008C12B4">
            <w:pPr>
              <w:jc w:val="both"/>
              <w:rPr>
                <w:sz w:val="20"/>
                <w:szCs w:val="20"/>
              </w:rPr>
            </w:pPr>
            <w:r w:rsidRPr="00154588">
              <w:rPr>
                <w:sz w:val="20"/>
                <w:szCs w:val="20"/>
              </w:rPr>
              <w:t>Prevedere generală regăsită pe parcursul textului</w:t>
            </w:r>
          </w:p>
        </w:tc>
      </w:tr>
      <w:tr w:rsidR="00F4284C" w:rsidRPr="00154588" w14:paraId="1934900C" w14:textId="77777777" w:rsidTr="00D15C1B">
        <w:trPr>
          <w:jc w:val="center"/>
        </w:trPr>
        <w:tc>
          <w:tcPr>
            <w:tcW w:w="4957" w:type="dxa"/>
            <w:gridSpan w:val="2"/>
          </w:tcPr>
          <w:p w14:paraId="3F5012D3" w14:textId="54D629E4" w:rsidR="00F4284C" w:rsidRPr="00154588" w:rsidRDefault="00F4284C" w:rsidP="008C12B4">
            <w:pPr>
              <w:jc w:val="both"/>
              <w:rPr>
                <w:sz w:val="20"/>
                <w:szCs w:val="20"/>
              </w:rPr>
            </w:pPr>
            <w:r w:rsidRPr="00154588">
              <w:rPr>
                <w:sz w:val="20"/>
                <w:szCs w:val="20"/>
              </w:rPr>
              <w:t>(2)   Fiecare stat membru desemnează, în conformitate cu dreptul intern, o autoritate corespunzătoare responsabilă de efectuarea constatărilor în temeiul articolului 59. Autoritatea corespunzătoare poate fi autoritatea competentă sau autoritatea de rezoluție, în conformitate cu articolul 32.</w:t>
            </w:r>
          </w:p>
        </w:tc>
        <w:tc>
          <w:tcPr>
            <w:tcW w:w="4819" w:type="dxa"/>
          </w:tcPr>
          <w:p w14:paraId="0281C40A" w14:textId="1AB51320" w:rsidR="00F4284C" w:rsidRPr="00154588" w:rsidRDefault="00F4284C" w:rsidP="008C12B4">
            <w:pPr>
              <w:jc w:val="both"/>
              <w:rPr>
                <w:sz w:val="20"/>
                <w:szCs w:val="20"/>
              </w:rPr>
            </w:pPr>
            <w:r w:rsidRPr="00154588">
              <w:rPr>
                <w:b/>
                <w:sz w:val="20"/>
                <w:szCs w:val="20"/>
              </w:rPr>
              <w:t>Articolul 230</w:t>
            </w:r>
            <w:r w:rsidRPr="00154588">
              <w:rPr>
                <w:b/>
                <w:sz w:val="20"/>
                <w:szCs w:val="20"/>
                <w:vertAlign w:val="superscript"/>
              </w:rPr>
              <w:t>1</w:t>
            </w:r>
            <w:r w:rsidRPr="00154588">
              <w:rPr>
                <w:b/>
                <w:sz w:val="20"/>
                <w:szCs w:val="20"/>
              </w:rPr>
              <w:t>.</w:t>
            </w:r>
            <w:r w:rsidRPr="00154588">
              <w:rPr>
                <w:sz w:val="20"/>
                <w:szCs w:val="20"/>
              </w:rPr>
              <w:t xml:space="preserve"> – (1) În cazul în care instrumentele de capital relevante sunt luate în calcul în scopul îndeplinirii cerințelor de fonduri proprii la nivel individual, în conformitate cu cerințele prevăzute în actele normative ale Băncii Naționale a Moldovei emise în aplicarea art.60</w:t>
            </w:r>
            <w:r w:rsidRPr="00154588">
              <w:rPr>
                <w:bCs/>
                <w:sz w:val="20"/>
                <w:szCs w:val="20"/>
              </w:rPr>
              <w:t>, 61,</w:t>
            </w:r>
            <w:r w:rsidRPr="00154588">
              <w:rPr>
                <w:sz w:val="20"/>
                <w:szCs w:val="20"/>
              </w:rPr>
              <w:t>62 din Legea nr. 202/2017, Banca Națională a Moldovei, în calitate de autoritate competentă, este autoritatea corespunzătoare pentru instituțiile de credit sau entitățile prevăzute la art. 1 alin. (1) lit. b), c) sau d), autorizate în Republica Moldova, în conformitate cu prevederile din Titlul II, art. 45 – 54, art.58 – 58</w:t>
            </w:r>
            <w:r w:rsidRPr="00154588">
              <w:rPr>
                <w:sz w:val="20"/>
                <w:szCs w:val="20"/>
                <w:vertAlign w:val="superscript"/>
              </w:rPr>
              <w:t>4</w:t>
            </w:r>
            <w:r w:rsidRPr="00154588">
              <w:rPr>
                <w:sz w:val="20"/>
                <w:szCs w:val="20"/>
              </w:rPr>
              <w:t>, art.108 alin.(4), art. 116</w:t>
            </w:r>
            <w:r w:rsidRPr="00154588">
              <w:rPr>
                <w:sz w:val="20"/>
                <w:szCs w:val="20"/>
                <w:vertAlign w:val="superscript"/>
              </w:rPr>
              <w:t>1</w:t>
            </w:r>
            <w:r w:rsidRPr="00154588">
              <w:rPr>
                <w:sz w:val="20"/>
                <w:szCs w:val="20"/>
              </w:rPr>
              <w:t xml:space="preserve"> – 116</w:t>
            </w:r>
            <w:r w:rsidRPr="00154588">
              <w:rPr>
                <w:sz w:val="20"/>
                <w:szCs w:val="20"/>
                <w:vertAlign w:val="superscript"/>
              </w:rPr>
              <w:t>5</w:t>
            </w:r>
            <w:r w:rsidRPr="00154588">
              <w:rPr>
                <w:sz w:val="20"/>
                <w:szCs w:val="20"/>
              </w:rPr>
              <w:t>, art.125</w:t>
            </w:r>
            <w:r w:rsidRPr="00154588">
              <w:rPr>
                <w:sz w:val="20"/>
                <w:szCs w:val="20"/>
                <w:vertAlign w:val="superscript"/>
              </w:rPr>
              <w:t>1</w:t>
            </w:r>
            <w:r w:rsidRPr="00154588">
              <w:rPr>
                <w:sz w:val="20"/>
                <w:szCs w:val="20"/>
              </w:rPr>
              <w:t xml:space="preserve"> din Legea nr. 202/2017.</w:t>
            </w:r>
          </w:p>
          <w:p w14:paraId="51E9B3DB" w14:textId="77777777" w:rsidR="00F4284C" w:rsidRPr="00154588" w:rsidRDefault="00F4284C" w:rsidP="008C12B4">
            <w:pPr>
              <w:jc w:val="both"/>
              <w:rPr>
                <w:sz w:val="20"/>
                <w:szCs w:val="20"/>
              </w:rPr>
            </w:pPr>
          </w:p>
        </w:tc>
        <w:tc>
          <w:tcPr>
            <w:tcW w:w="2552" w:type="dxa"/>
          </w:tcPr>
          <w:p w14:paraId="281E8BB6" w14:textId="0A3D678D" w:rsidR="00F4284C" w:rsidRPr="00154588" w:rsidRDefault="00F4284C" w:rsidP="008C12B4">
            <w:pPr>
              <w:jc w:val="both"/>
              <w:rPr>
                <w:sz w:val="20"/>
                <w:szCs w:val="20"/>
              </w:rPr>
            </w:pPr>
            <w:r w:rsidRPr="00154588">
              <w:rPr>
                <w:sz w:val="20"/>
                <w:szCs w:val="20"/>
              </w:rPr>
              <w:t>Compatibil</w:t>
            </w:r>
          </w:p>
        </w:tc>
        <w:tc>
          <w:tcPr>
            <w:tcW w:w="3118" w:type="dxa"/>
          </w:tcPr>
          <w:p w14:paraId="36E296DD" w14:textId="77777777" w:rsidR="00F4284C" w:rsidRPr="00154588" w:rsidRDefault="00F4284C" w:rsidP="008C12B4">
            <w:pPr>
              <w:jc w:val="both"/>
              <w:rPr>
                <w:sz w:val="20"/>
                <w:szCs w:val="20"/>
              </w:rPr>
            </w:pPr>
          </w:p>
        </w:tc>
      </w:tr>
      <w:tr w:rsidR="00F4284C" w:rsidRPr="00154588" w14:paraId="34E9F8A1" w14:textId="77777777" w:rsidTr="00D15C1B">
        <w:trPr>
          <w:jc w:val="center"/>
        </w:trPr>
        <w:tc>
          <w:tcPr>
            <w:tcW w:w="4957" w:type="dxa"/>
            <w:gridSpan w:val="2"/>
          </w:tcPr>
          <w:p w14:paraId="780ECD1A" w14:textId="77777777" w:rsidR="00F4284C" w:rsidRPr="00154588" w:rsidRDefault="00F4284C" w:rsidP="008C12B4">
            <w:pPr>
              <w:jc w:val="both"/>
              <w:rPr>
                <w:sz w:val="20"/>
                <w:szCs w:val="20"/>
              </w:rPr>
            </w:pPr>
            <w:r w:rsidRPr="00154588">
              <w:rPr>
                <w:sz w:val="20"/>
                <w:szCs w:val="20"/>
              </w:rPr>
              <w:t xml:space="preserve">(3)   În cazul în care instrumentele de capital relevante sunt contabilizate în scopul îndeplinirii cerințelor de fonduri proprii pe bază individuală în conformitate cu articolul 92 din Regulamentul (UE) nr. 575/2013, autoritatea responsabilă cu efectuarea constatărilor menționate la articolul 59 alineatul (3) din prezenta directivă este autoritatea corespunzătoare a statului membru în care a fost autorizată instituția sau entitatea menționată la articolul 1 alineatul (1) litera </w:t>
            </w:r>
            <w:r w:rsidRPr="00154588">
              <w:rPr>
                <w:sz w:val="20"/>
                <w:szCs w:val="20"/>
              </w:rPr>
              <w:lastRenderedPageBreak/>
              <w:t>(b), (c) sau (d), în conformitate cu titlul III din Directiva 2013/36/UE.</w:t>
            </w:r>
          </w:p>
          <w:p w14:paraId="1419D0AE" w14:textId="77777777" w:rsidR="00F4284C" w:rsidRPr="00154588" w:rsidRDefault="00F4284C" w:rsidP="008C12B4">
            <w:pPr>
              <w:jc w:val="both"/>
              <w:rPr>
                <w:sz w:val="20"/>
                <w:szCs w:val="20"/>
              </w:rPr>
            </w:pPr>
          </w:p>
          <w:p w14:paraId="77477FA9" w14:textId="07387F59" w:rsidR="00F4284C" w:rsidRPr="00154588" w:rsidRDefault="00F4284C" w:rsidP="008C12B4">
            <w:pPr>
              <w:jc w:val="both"/>
              <w:rPr>
                <w:sz w:val="20"/>
                <w:szCs w:val="20"/>
              </w:rPr>
            </w:pPr>
            <w:r w:rsidRPr="00154588">
              <w:rPr>
                <w:sz w:val="20"/>
                <w:szCs w:val="20"/>
              </w:rPr>
              <w:t>În cazul în care instrumentele de capital sau datoriile eligibile relevante astfel cum se menționează la articolul 59 alineatul (1a) din prezenta directivă sunt contabilizate în scopul îndeplinirii cerinței menționate la articolul 45f alineatul (1) din prezenta directivă, autoritatea responsabilă cu efectuarea constatărilor menționate la articolul 59 alineatul (3) din prezenta directivă este autoritatea corespunzătoare a statului membru în care a fost autorizată instituția sau entitatea menționată la articolul 1 alineatul (1) litera (b), (c) sau (d) din prezenta directivă, în conformitate cu titlul III din Directiva 2013/36/UE.</w:t>
            </w:r>
          </w:p>
        </w:tc>
        <w:tc>
          <w:tcPr>
            <w:tcW w:w="4819" w:type="dxa"/>
          </w:tcPr>
          <w:p w14:paraId="7F19F14C" w14:textId="2FAB66A0" w:rsidR="00F4284C" w:rsidRPr="00154588" w:rsidRDefault="00F4284C" w:rsidP="008C12B4">
            <w:pPr>
              <w:jc w:val="both"/>
              <w:rPr>
                <w:sz w:val="20"/>
                <w:szCs w:val="20"/>
              </w:rPr>
            </w:pPr>
            <w:r w:rsidRPr="00154588">
              <w:rPr>
                <w:b/>
                <w:sz w:val="20"/>
                <w:szCs w:val="20"/>
              </w:rPr>
              <w:lastRenderedPageBreak/>
              <w:t>Articolul 230</w:t>
            </w:r>
            <w:r w:rsidRPr="00154588">
              <w:rPr>
                <w:b/>
                <w:sz w:val="20"/>
                <w:szCs w:val="20"/>
                <w:vertAlign w:val="superscript"/>
              </w:rPr>
              <w:t>1</w:t>
            </w:r>
            <w:r w:rsidRPr="00154588">
              <w:rPr>
                <w:b/>
                <w:sz w:val="20"/>
                <w:szCs w:val="20"/>
              </w:rPr>
              <w:t>.</w:t>
            </w:r>
            <w:r w:rsidRPr="00154588">
              <w:rPr>
                <w:sz w:val="20"/>
                <w:szCs w:val="20"/>
              </w:rPr>
              <w:t xml:space="preserve"> – (1) În cazul în care instrumentele de capital relevante sunt luate în calcul în scopul îndeplinirii cerințelor de fonduri proprii la nivel individual, în conformitate cu cerințele prevăzute în actele normative ale Băncii Naționale a Moldovei emise în aplicarea art.60</w:t>
            </w:r>
            <w:r w:rsidRPr="00154588">
              <w:rPr>
                <w:bCs/>
                <w:sz w:val="20"/>
                <w:szCs w:val="20"/>
              </w:rPr>
              <w:t>, 61,</w:t>
            </w:r>
            <w:r w:rsidRPr="00154588">
              <w:rPr>
                <w:sz w:val="20"/>
                <w:szCs w:val="20"/>
              </w:rPr>
              <w:t xml:space="preserve">62 din Legea nr. 202/2017, Banca Națională a Moldovei, în calitate de autoritate competentă, este autoritatea corespunzătoare pentru instituțiile de credit sau entitățile prevăzute la art. 1 alin. (1) lit. b), c) sau d), </w:t>
            </w:r>
            <w:r w:rsidRPr="00154588">
              <w:rPr>
                <w:sz w:val="20"/>
                <w:szCs w:val="20"/>
              </w:rPr>
              <w:lastRenderedPageBreak/>
              <w:t>autorizate în Republica Moldova, în conformitate cu prevederile din Titlul II, art. 45 – 54, art.58 – 58</w:t>
            </w:r>
            <w:r w:rsidRPr="00154588">
              <w:rPr>
                <w:sz w:val="20"/>
                <w:szCs w:val="20"/>
                <w:vertAlign w:val="superscript"/>
              </w:rPr>
              <w:t>4</w:t>
            </w:r>
            <w:r w:rsidRPr="00154588">
              <w:rPr>
                <w:sz w:val="20"/>
                <w:szCs w:val="20"/>
              </w:rPr>
              <w:t>, art.108 alin.(4), art. 116</w:t>
            </w:r>
            <w:r w:rsidRPr="00154588">
              <w:rPr>
                <w:sz w:val="20"/>
                <w:szCs w:val="20"/>
                <w:vertAlign w:val="superscript"/>
              </w:rPr>
              <w:t>1</w:t>
            </w:r>
            <w:r w:rsidRPr="00154588">
              <w:rPr>
                <w:sz w:val="20"/>
                <w:szCs w:val="20"/>
              </w:rPr>
              <w:t xml:space="preserve"> – 116</w:t>
            </w:r>
            <w:r w:rsidRPr="00154588">
              <w:rPr>
                <w:sz w:val="20"/>
                <w:szCs w:val="20"/>
                <w:vertAlign w:val="superscript"/>
              </w:rPr>
              <w:t>5</w:t>
            </w:r>
            <w:r w:rsidRPr="00154588">
              <w:rPr>
                <w:sz w:val="20"/>
                <w:szCs w:val="20"/>
              </w:rPr>
              <w:t>, art.125</w:t>
            </w:r>
            <w:r w:rsidRPr="00154588">
              <w:rPr>
                <w:sz w:val="20"/>
                <w:szCs w:val="20"/>
                <w:vertAlign w:val="superscript"/>
              </w:rPr>
              <w:t>1</w:t>
            </w:r>
            <w:r w:rsidRPr="00154588">
              <w:rPr>
                <w:sz w:val="20"/>
                <w:szCs w:val="20"/>
              </w:rPr>
              <w:t xml:space="preserve"> din Legea nr. 202/2017.</w:t>
            </w:r>
          </w:p>
          <w:p w14:paraId="214AE008" w14:textId="5D8CE436" w:rsidR="00F4284C" w:rsidRPr="00154588" w:rsidRDefault="00F4284C" w:rsidP="008C12B4">
            <w:pPr>
              <w:jc w:val="both"/>
              <w:rPr>
                <w:sz w:val="20"/>
                <w:szCs w:val="20"/>
              </w:rPr>
            </w:pPr>
            <w:r w:rsidRPr="00154588">
              <w:rPr>
                <w:sz w:val="20"/>
                <w:szCs w:val="20"/>
              </w:rPr>
              <w:t>(2) În cazul în care instrumentele de capital sau datoriile eligibile</w:t>
            </w:r>
            <w:r w:rsidRPr="00154588">
              <w:rPr>
                <w:bCs/>
                <w:sz w:val="20"/>
                <w:szCs w:val="20"/>
              </w:rPr>
              <w:t xml:space="preserve"> relevante</w:t>
            </w:r>
            <w:r w:rsidRPr="00154588">
              <w:rPr>
                <w:sz w:val="20"/>
                <w:szCs w:val="20"/>
              </w:rPr>
              <w:t xml:space="preserve"> prevăzute la art. 219</w:t>
            </w:r>
            <w:r w:rsidRPr="00154588">
              <w:rPr>
                <w:sz w:val="20"/>
                <w:szCs w:val="20"/>
                <w:vertAlign w:val="superscript"/>
              </w:rPr>
              <w:t>1</w:t>
            </w:r>
            <w:r w:rsidRPr="00154588">
              <w:rPr>
                <w:sz w:val="20"/>
                <w:szCs w:val="20"/>
              </w:rPr>
              <w:t xml:space="preserve"> sunt luate în calcul în scopul îndeplinirii cerinței prevăzute la art. 167</w:t>
            </w:r>
            <w:r w:rsidRPr="00154588">
              <w:rPr>
                <w:sz w:val="20"/>
                <w:szCs w:val="20"/>
                <w:vertAlign w:val="superscript"/>
              </w:rPr>
              <w:t>15</w:t>
            </w:r>
            <w:r w:rsidRPr="00154588">
              <w:rPr>
                <w:sz w:val="20"/>
                <w:szCs w:val="20"/>
              </w:rPr>
              <w:t xml:space="preserve"> Banca Națională a Moldovei, în calitate de autoritate competentă, este autoritatea corespunzătoare pentru instituțiile de credit sau entitățile prevăzute la art.1 alin.(1) lit. b), c) sau d), autorizate în Republica Moldova, în conformitate cu prevederile din Titlul II, art. 45 – 54, art.58 – 58</w:t>
            </w:r>
            <w:r w:rsidRPr="00154588">
              <w:rPr>
                <w:sz w:val="20"/>
                <w:szCs w:val="20"/>
                <w:vertAlign w:val="superscript"/>
              </w:rPr>
              <w:t>4</w:t>
            </w:r>
            <w:r w:rsidRPr="00154588">
              <w:rPr>
                <w:sz w:val="20"/>
                <w:szCs w:val="20"/>
              </w:rPr>
              <w:t>, art.108 alin.(4), art.116</w:t>
            </w:r>
            <w:r w:rsidRPr="00154588">
              <w:rPr>
                <w:sz w:val="20"/>
                <w:szCs w:val="20"/>
                <w:vertAlign w:val="superscript"/>
              </w:rPr>
              <w:t>1</w:t>
            </w:r>
            <w:r w:rsidRPr="00154588">
              <w:rPr>
                <w:sz w:val="20"/>
                <w:szCs w:val="20"/>
              </w:rPr>
              <w:t xml:space="preserve"> – 116</w:t>
            </w:r>
            <w:r w:rsidRPr="00154588">
              <w:rPr>
                <w:sz w:val="20"/>
                <w:szCs w:val="20"/>
                <w:vertAlign w:val="superscript"/>
              </w:rPr>
              <w:t>5</w:t>
            </w:r>
            <w:r w:rsidRPr="00154588">
              <w:rPr>
                <w:sz w:val="20"/>
                <w:szCs w:val="20"/>
              </w:rPr>
              <w:t>, art.125</w:t>
            </w:r>
            <w:r w:rsidRPr="00154588">
              <w:rPr>
                <w:sz w:val="20"/>
                <w:szCs w:val="20"/>
                <w:vertAlign w:val="superscript"/>
              </w:rPr>
              <w:t>1</w:t>
            </w:r>
            <w:r w:rsidRPr="00154588">
              <w:rPr>
                <w:sz w:val="20"/>
                <w:szCs w:val="20"/>
              </w:rPr>
              <w:t xml:space="preserve"> din Legea nr. 202/2017. </w:t>
            </w:r>
          </w:p>
          <w:p w14:paraId="5584BFA8" w14:textId="77777777" w:rsidR="00F4284C" w:rsidRPr="00154588" w:rsidRDefault="00F4284C" w:rsidP="008C12B4">
            <w:pPr>
              <w:jc w:val="both"/>
              <w:rPr>
                <w:sz w:val="20"/>
                <w:szCs w:val="20"/>
              </w:rPr>
            </w:pPr>
          </w:p>
        </w:tc>
        <w:tc>
          <w:tcPr>
            <w:tcW w:w="2552" w:type="dxa"/>
          </w:tcPr>
          <w:p w14:paraId="43A986FC" w14:textId="16B8FBEA" w:rsidR="00F4284C" w:rsidRPr="00154588" w:rsidRDefault="00F4284C" w:rsidP="008C12B4">
            <w:pPr>
              <w:jc w:val="both"/>
              <w:rPr>
                <w:sz w:val="20"/>
                <w:szCs w:val="20"/>
              </w:rPr>
            </w:pPr>
            <w:r w:rsidRPr="00154588">
              <w:rPr>
                <w:sz w:val="20"/>
                <w:szCs w:val="20"/>
              </w:rPr>
              <w:lastRenderedPageBreak/>
              <w:t>Compatibil</w:t>
            </w:r>
          </w:p>
        </w:tc>
        <w:tc>
          <w:tcPr>
            <w:tcW w:w="3118" w:type="dxa"/>
          </w:tcPr>
          <w:p w14:paraId="59AC5A72" w14:textId="77777777" w:rsidR="00F4284C" w:rsidRPr="00154588" w:rsidRDefault="00F4284C" w:rsidP="008C12B4">
            <w:pPr>
              <w:jc w:val="both"/>
              <w:rPr>
                <w:sz w:val="20"/>
                <w:szCs w:val="20"/>
              </w:rPr>
            </w:pPr>
          </w:p>
        </w:tc>
      </w:tr>
      <w:tr w:rsidR="00F4284C" w:rsidRPr="00154588" w14:paraId="68FCD16D" w14:textId="77777777" w:rsidTr="00D15C1B">
        <w:trPr>
          <w:jc w:val="center"/>
        </w:trPr>
        <w:tc>
          <w:tcPr>
            <w:tcW w:w="4957" w:type="dxa"/>
            <w:gridSpan w:val="2"/>
          </w:tcPr>
          <w:p w14:paraId="478C5251" w14:textId="77777777" w:rsidR="00F4284C" w:rsidRPr="00154588" w:rsidRDefault="00F4284C" w:rsidP="008C12B4">
            <w:pPr>
              <w:jc w:val="both"/>
              <w:rPr>
                <w:sz w:val="20"/>
                <w:szCs w:val="20"/>
              </w:rPr>
            </w:pPr>
            <w:r w:rsidRPr="00154588">
              <w:rPr>
                <w:sz w:val="20"/>
                <w:szCs w:val="20"/>
              </w:rPr>
              <w:t>(4)   În cazul în care instrumentele de capital relevante sunt emise de o instituție sau o entitate menționată la articolul 1 alineatul (1) litera (b), (c) sau (d) reprezentând o filială și sunt contabilizate în vederea îndeplinirii cerințelor de fonduri proprii pe bază individuală și pe bază consolidată, autoritatea responsabilă cu efectuarea constatărilor menționate la articolul 59 alineatul (3) este următoarea:</w:t>
            </w:r>
          </w:p>
          <w:p w14:paraId="27E58D6A" w14:textId="77777777" w:rsidR="00F4284C" w:rsidRPr="00154588" w:rsidRDefault="00F4284C" w:rsidP="008C12B4">
            <w:pPr>
              <w:jc w:val="both"/>
              <w:rPr>
                <w:sz w:val="20"/>
                <w:szCs w:val="20"/>
              </w:rPr>
            </w:pPr>
          </w:p>
          <w:p w14:paraId="1E271997" w14:textId="5A591E20" w:rsidR="00F4284C" w:rsidRPr="00154588" w:rsidRDefault="00F4284C" w:rsidP="008C12B4">
            <w:pPr>
              <w:jc w:val="both"/>
              <w:rPr>
                <w:sz w:val="20"/>
                <w:szCs w:val="20"/>
              </w:rPr>
            </w:pPr>
            <w:r w:rsidRPr="00154588">
              <w:rPr>
                <w:sz w:val="20"/>
                <w:szCs w:val="20"/>
              </w:rPr>
              <w:t>(a) autoritatea corespunzătoare din statul membru în care a fost înființată instituția sau entitatea menționată la articolul 1 alineatul (1) litera (b), (c) sau (d) din prezenta directivă care a emis acele instrumente în conformitate cu titlul III din Directiva 2013/36/UE este responsabilă cu efectuarea constatărilor menționate la articolul 59 alineatul (3) litera (b) din prezenta directivă;</w:t>
            </w:r>
          </w:p>
          <w:p w14:paraId="5D0D7E9C" w14:textId="77777777" w:rsidR="00F4284C" w:rsidRPr="00154588" w:rsidRDefault="00F4284C" w:rsidP="008C12B4">
            <w:pPr>
              <w:jc w:val="both"/>
              <w:rPr>
                <w:sz w:val="20"/>
                <w:szCs w:val="20"/>
              </w:rPr>
            </w:pPr>
          </w:p>
          <w:p w14:paraId="5844F23B" w14:textId="77777777" w:rsidR="00F4284C" w:rsidRPr="00154588" w:rsidRDefault="00F4284C" w:rsidP="008C12B4">
            <w:pPr>
              <w:jc w:val="both"/>
              <w:rPr>
                <w:sz w:val="20"/>
                <w:szCs w:val="20"/>
              </w:rPr>
            </w:pPr>
          </w:p>
          <w:p w14:paraId="1EDE4A98" w14:textId="66514EB2" w:rsidR="00F4284C" w:rsidRPr="00154588" w:rsidRDefault="00F4284C" w:rsidP="008C12B4">
            <w:pPr>
              <w:jc w:val="both"/>
              <w:rPr>
                <w:sz w:val="20"/>
                <w:szCs w:val="20"/>
              </w:rPr>
            </w:pPr>
            <w:r w:rsidRPr="00154588">
              <w:rPr>
                <w:sz w:val="20"/>
                <w:szCs w:val="20"/>
              </w:rPr>
              <w:t>(b) autoritatea corespunzătoare din statul membru al supraveghetorului consolidant și autoritatea corespunzătoare din statul membru în care a fost înființată instituția sau entitatea menționată la articolul 1 alineatul (1) literele (b), (c) sau (d) din prezenta directivă care a emis acele instrumente în conformitate cu titlul III din Directiva 2013/36/UE sunt responsabile cu efectuarea constatării comune, sub forma unei decizii comune, menționate la articolul 59 alineatul (3) litera (c) din prezenta directivă.</w:t>
            </w:r>
          </w:p>
        </w:tc>
        <w:tc>
          <w:tcPr>
            <w:tcW w:w="4819" w:type="dxa"/>
          </w:tcPr>
          <w:p w14:paraId="3363A93A" w14:textId="09088EA4" w:rsidR="00F4284C" w:rsidRPr="00154588" w:rsidRDefault="00F4284C" w:rsidP="008C12B4">
            <w:pPr>
              <w:jc w:val="both"/>
              <w:rPr>
                <w:sz w:val="20"/>
                <w:szCs w:val="20"/>
              </w:rPr>
            </w:pPr>
            <w:r w:rsidRPr="00154588">
              <w:rPr>
                <w:b/>
                <w:sz w:val="20"/>
                <w:szCs w:val="20"/>
              </w:rPr>
              <w:t>Articolul 230</w:t>
            </w:r>
            <w:r w:rsidRPr="00154588">
              <w:rPr>
                <w:b/>
                <w:sz w:val="20"/>
                <w:szCs w:val="20"/>
                <w:vertAlign w:val="superscript"/>
              </w:rPr>
              <w:t>1</w:t>
            </w:r>
            <w:r w:rsidRPr="00154588">
              <w:rPr>
                <w:b/>
                <w:sz w:val="20"/>
                <w:szCs w:val="20"/>
              </w:rPr>
              <w:t>.</w:t>
            </w:r>
            <w:r w:rsidRPr="00154588">
              <w:rPr>
                <w:sz w:val="20"/>
                <w:szCs w:val="20"/>
              </w:rPr>
              <w:t xml:space="preserve"> – (3) În cazul în care instrumentele de capital relevante sunt emise de o instituție de credit sau o entitate prevăzută la art.1 alin.(1) lit. b), c) sau d), reprezentând o filială, persoană juridică din Republica Moldova, și sunt luate în calcul în vederea îndeplinirii cerințelor de fonduri proprii la nivel individual și la nivel consolidat:</w:t>
            </w:r>
          </w:p>
          <w:p w14:paraId="115FE7E5" w14:textId="77777777" w:rsidR="00F4284C" w:rsidRPr="00154588" w:rsidRDefault="00F4284C" w:rsidP="008C12B4">
            <w:pPr>
              <w:jc w:val="both"/>
              <w:rPr>
                <w:sz w:val="20"/>
                <w:szCs w:val="20"/>
              </w:rPr>
            </w:pPr>
            <w:r w:rsidRPr="00154588">
              <w:rPr>
                <w:sz w:val="20"/>
                <w:szCs w:val="20"/>
              </w:rPr>
              <w:t>a) Banca Națională a Moldovei, în calitate de autoritate competentă, este responsabilă cu determinarea prevăzută la art.221 lit.b);</w:t>
            </w:r>
          </w:p>
          <w:p w14:paraId="274FFD28" w14:textId="77777777" w:rsidR="00F4284C" w:rsidRPr="00154588" w:rsidRDefault="00F4284C" w:rsidP="008C12B4">
            <w:pPr>
              <w:jc w:val="both"/>
              <w:rPr>
                <w:sz w:val="20"/>
                <w:szCs w:val="20"/>
              </w:rPr>
            </w:pPr>
            <w:r w:rsidRPr="00154588">
              <w:rPr>
                <w:sz w:val="20"/>
                <w:szCs w:val="20"/>
              </w:rPr>
              <w:t>b) Banca Națională a Moldovei, în calitate de autoritate competentă, este responsabilă cu efectuarea, împreună cu autoritatea corespunzătoare din statul membru al Uniunii Europene în care se află supraveghetorul consolidant, a determinării comune, sub forma unei decizii comune, prevăzute la art.221 lit.c).</w:t>
            </w:r>
          </w:p>
          <w:p w14:paraId="4EAC3828" w14:textId="77777777" w:rsidR="00F4284C" w:rsidRPr="00154588" w:rsidRDefault="00F4284C" w:rsidP="008C12B4">
            <w:pPr>
              <w:jc w:val="both"/>
              <w:rPr>
                <w:sz w:val="20"/>
                <w:szCs w:val="20"/>
              </w:rPr>
            </w:pPr>
          </w:p>
        </w:tc>
        <w:tc>
          <w:tcPr>
            <w:tcW w:w="2552" w:type="dxa"/>
          </w:tcPr>
          <w:p w14:paraId="7159A9BF" w14:textId="51A4F941" w:rsidR="00F4284C" w:rsidRPr="00154588" w:rsidRDefault="00F4284C" w:rsidP="008C12B4">
            <w:pPr>
              <w:jc w:val="both"/>
              <w:rPr>
                <w:sz w:val="20"/>
                <w:szCs w:val="20"/>
              </w:rPr>
            </w:pPr>
            <w:r w:rsidRPr="00154588">
              <w:rPr>
                <w:sz w:val="20"/>
                <w:szCs w:val="20"/>
              </w:rPr>
              <w:t>Compatibil</w:t>
            </w:r>
          </w:p>
        </w:tc>
        <w:tc>
          <w:tcPr>
            <w:tcW w:w="3118" w:type="dxa"/>
          </w:tcPr>
          <w:p w14:paraId="17D20531" w14:textId="77777777" w:rsidR="00F4284C" w:rsidRPr="00154588" w:rsidRDefault="00F4284C" w:rsidP="008C12B4">
            <w:pPr>
              <w:jc w:val="both"/>
              <w:rPr>
                <w:sz w:val="20"/>
                <w:szCs w:val="20"/>
              </w:rPr>
            </w:pPr>
          </w:p>
        </w:tc>
      </w:tr>
      <w:tr w:rsidR="00F4284C" w:rsidRPr="00154588" w14:paraId="04EE0F51" w14:textId="77777777" w:rsidTr="00D15C1B">
        <w:trPr>
          <w:jc w:val="center"/>
        </w:trPr>
        <w:tc>
          <w:tcPr>
            <w:tcW w:w="4957" w:type="dxa"/>
            <w:gridSpan w:val="2"/>
          </w:tcPr>
          <w:p w14:paraId="64C2458B" w14:textId="77777777" w:rsidR="00F4284C" w:rsidRPr="00154588" w:rsidRDefault="00F4284C" w:rsidP="008C12B4">
            <w:pPr>
              <w:jc w:val="both"/>
              <w:rPr>
                <w:b/>
                <w:sz w:val="20"/>
                <w:szCs w:val="20"/>
              </w:rPr>
            </w:pPr>
            <w:r w:rsidRPr="00154588">
              <w:rPr>
                <w:b/>
                <w:sz w:val="20"/>
                <w:szCs w:val="20"/>
              </w:rPr>
              <w:lastRenderedPageBreak/>
              <w:t>Articolul 62</w:t>
            </w:r>
          </w:p>
          <w:p w14:paraId="0BF2C076" w14:textId="77777777" w:rsidR="00F4284C" w:rsidRPr="00154588" w:rsidRDefault="00F4284C" w:rsidP="008C12B4">
            <w:pPr>
              <w:jc w:val="both"/>
              <w:rPr>
                <w:b/>
                <w:sz w:val="20"/>
                <w:szCs w:val="20"/>
              </w:rPr>
            </w:pPr>
          </w:p>
          <w:p w14:paraId="1C1B1C3A" w14:textId="7ACE35F9" w:rsidR="00F4284C" w:rsidRPr="00154588" w:rsidRDefault="00F4284C" w:rsidP="008C12B4">
            <w:pPr>
              <w:jc w:val="both"/>
              <w:rPr>
                <w:bCs/>
                <w:sz w:val="20"/>
                <w:szCs w:val="20"/>
              </w:rPr>
            </w:pPr>
            <w:r w:rsidRPr="00154588">
              <w:rPr>
                <w:b/>
                <w:sz w:val="20"/>
                <w:szCs w:val="20"/>
              </w:rPr>
              <w:t>Aplicare consolidată: procedura de constatare</w:t>
            </w:r>
          </w:p>
        </w:tc>
        <w:tc>
          <w:tcPr>
            <w:tcW w:w="4819" w:type="dxa"/>
          </w:tcPr>
          <w:p w14:paraId="1AB679E0" w14:textId="77777777" w:rsidR="00F4284C" w:rsidRPr="00154588" w:rsidRDefault="00F4284C" w:rsidP="008C12B4">
            <w:pPr>
              <w:jc w:val="both"/>
              <w:rPr>
                <w:bCs/>
                <w:sz w:val="20"/>
                <w:szCs w:val="20"/>
              </w:rPr>
            </w:pPr>
          </w:p>
        </w:tc>
        <w:tc>
          <w:tcPr>
            <w:tcW w:w="2552" w:type="dxa"/>
          </w:tcPr>
          <w:p w14:paraId="51D364AD" w14:textId="2A294E9D" w:rsidR="00F4284C" w:rsidRPr="00154588" w:rsidRDefault="00F4284C" w:rsidP="008C12B4">
            <w:pPr>
              <w:jc w:val="both"/>
              <w:rPr>
                <w:bCs/>
                <w:sz w:val="20"/>
                <w:szCs w:val="20"/>
              </w:rPr>
            </w:pPr>
          </w:p>
        </w:tc>
        <w:tc>
          <w:tcPr>
            <w:tcW w:w="3118" w:type="dxa"/>
          </w:tcPr>
          <w:p w14:paraId="35CA1BE3" w14:textId="77777777" w:rsidR="00F4284C" w:rsidRPr="00154588" w:rsidRDefault="00F4284C" w:rsidP="008C12B4">
            <w:pPr>
              <w:jc w:val="both"/>
              <w:rPr>
                <w:bCs/>
                <w:sz w:val="20"/>
                <w:szCs w:val="20"/>
              </w:rPr>
            </w:pPr>
          </w:p>
        </w:tc>
      </w:tr>
      <w:tr w:rsidR="00F4284C" w:rsidRPr="00154588" w14:paraId="709A0BAD" w14:textId="77777777" w:rsidTr="00D15C1B">
        <w:trPr>
          <w:jc w:val="center"/>
        </w:trPr>
        <w:tc>
          <w:tcPr>
            <w:tcW w:w="4957" w:type="dxa"/>
            <w:gridSpan w:val="2"/>
          </w:tcPr>
          <w:p w14:paraId="10909818" w14:textId="77777777" w:rsidR="00F4284C" w:rsidRPr="00154588" w:rsidRDefault="00F4284C" w:rsidP="008C12B4">
            <w:pPr>
              <w:jc w:val="both"/>
              <w:rPr>
                <w:bCs/>
                <w:sz w:val="20"/>
                <w:szCs w:val="20"/>
              </w:rPr>
            </w:pPr>
            <w:r w:rsidRPr="00154588">
              <w:rPr>
                <w:bCs/>
                <w:sz w:val="20"/>
                <w:szCs w:val="20"/>
              </w:rPr>
              <w:t>(1)   Statele membre se asigură că, înainte de a face una dintre constatările menționate la articolul 59 alineatul (3) litera (b), (c), (d) sau (e) în legătură cu o filială care emite instrumente de capital sau datorii eligibile relevante astfel cum se menționează la articolul 59 alineatul (1a), în scopul îndeplinirii cerinței menționate la articolul 45f pe bază individuală, sau instrumente de capital relevante luate în considerare în vederea îndeplinirii cerințelor de fonduri proprii pe bază individuală sau pe bază consolidată, o autoritate corespunzătoare respectă următoarele cerințe:</w:t>
            </w:r>
          </w:p>
          <w:p w14:paraId="108EC6BE" w14:textId="77777777" w:rsidR="00F4284C" w:rsidRPr="00154588" w:rsidRDefault="00F4284C" w:rsidP="008C12B4">
            <w:pPr>
              <w:jc w:val="both"/>
              <w:rPr>
                <w:bCs/>
                <w:sz w:val="20"/>
                <w:szCs w:val="20"/>
              </w:rPr>
            </w:pPr>
          </w:p>
          <w:p w14:paraId="0543A120" w14:textId="6970342E" w:rsidR="00F4284C" w:rsidRPr="00154588" w:rsidRDefault="00F4284C" w:rsidP="008C12B4">
            <w:pPr>
              <w:jc w:val="both"/>
              <w:rPr>
                <w:bCs/>
                <w:sz w:val="20"/>
                <w:szCs w:val="20"/>
              </w:rPr>
            </w:pPr>
            <w:r w:rsidRPr="00154588">
              <w:rPr>
                <w:bCs/>
                <w:sz w:val="20"/>
                <w:szCs w:val="20"/>
              </w:rPr>
              <w:t>(a) atunci când intenționează să efectueze una dintre constatările menționate la articolul 59 alineatul (3) litera (b), (c), (d) sau (e), după consultarea autorității de rezoluție a entității relevante de rezoluție, aceasta notifică, în termen de 24 de ore de la consultarea autorității de rezoluție respective:</w:t>
            </w:r>
          </w:p>
          <w:p w14:paraId="0E88F1D7" w14:textId="77777777" w:rsidR="00F4284C" w:rsidRPr="00154588" w:rsidRDefault="00F4284C" w:rsidP="008C12B4">
            <w:pPr>
              <w:jc w:val="both"/>
              <w:rPr>
                <w:bCs/>
                <w:sz w:val="20"/>
                <w:szCs w:val="20"/>
              </w:rPr>
            </w:pPr>
          </w:p>
          <w:p w14:paraId="77390444" w14:textId="2AD48889" w:rsidR="00F4284C" w:rsidRPr="00154588" w:rsidRDefault="00F4284C" w:rsidP="008C12B4">
            <w:pPr>
              <w:jc w:val="both"/>
              <w:rPr>
                <w:bCs/>
                <w:sz w:val="20"/>
                <w:szCs w:val="20"/>
              </w:rPr>
            </w:pPr>
            <w:r w:rsidRPr="00154588">
              <w:rPr>
                <w:bCs/>
                <w:sz w:val="20"/>
                <w:szCs w:val="20"/>
              </w:rPr>
              <w:t>(i) supraveghetorul consolidant și, dacă este distinctă, autoritatea corespunzătoare din statul membru în care este situat supraveghetorul consolidant;</w:t>
            </w:r>
          </w:p>
          <w:p w14:paraId="61658C54" w14:textId="77777777" w:rsidR="00F4284C" w:rsidRPr="00154588" w:rsidRDefault="00F4284C" w:rsidP="008C12B4">
            <w:pPr>
              <w:jc w:val="both"/>
              <w:rPr>
                <w:bCs/>
                <w:sz w:val="20"/>
                <w:szCs w:val="20"/>
              </w:rPr>
            </w:pPr>
          </w:p>
          <w:p w14:paraId="0815993C" w14:textId="77777777" w:rsidR="00F4284C" w:rsidRPr="00154588" w:rsidRDefault="00F4284C" w:rsidP="008C12B4">
            <w:pPr>
              <w:jc w:val="both"/>
              <w:rPr>
                <w:bCs/>
                <w:sz w:val="20"/>
                <w:szCs w:val="20"/>
              </w:rPr>
            </w:pPr>
          </w:p>
          <w:p w14:paraId="25B65B84" w14:textId="13AE8FEF" w:rsidR="00F4284C" w:rsidRPr="00154588" w:rsidRDefault="00F4284C" w:rsidP="008C12B4">
            <w:pPr>
              <w:jc w:val="both"/>
              <w:rPr>
                <w:bCs/>
                <w:sz w:val="20"/>
                <w:szCs w:val="20"/>
              </w:rPr>
            </w:pPr>
            <w:r w:rsidRPr="00154588">
              <w:rPr>
                <w:bCs/>
                <w:sz w:val="20"/>
                <w:szCs w:val="20"/>
              </w:rPr>
              <w:t>(ii) autoritățile de rezoluție ale altor entități din același grup de rezoluție care au achiziționat direct sau indirect datorii menționate la articolul 45f alineatul (2) de la entitatea care face obiectul articolului 45f alineatul (1);</w:t>
            </w:r>
          </w:p>
          <w:p w14:paraId="1CB62B79" w14:textId="77777777" w:rsidR="00F4284C" w:rsidRPr="00154588" w:rsidRDefault="00F4284C" w:rsidP="008C12B4">
            <w:pPr>
              <w:jc w:val="both"/>
              <w:rPr>
                <w:bCs/>
                <w:sz w:val="20"/>
                <w:szCs w:val="20"/>
              </w:rPr>
            </w:pPr>
          </w:p>
          <w:p w14:paraId="5E6745F4" w14:textId="05ED579B" w:rsidR="00F4284C" w:rsidRPr="00154588" w:rsidRDefault="00F4284C" w:rsidP="008C12B4">
            <w:pPr>
              <w:jc w:val="both"/>
              <w:rPr>
                <w:bCs/>
                <w:sz w:val="20"/>
                <w:szCs w:val="20"/>
              </w:rPr>
            </w:pPr>
            <w:r w:rsidRPr="00154588">
              <w:rPr>
                <w:bCs/>
                <w:sz w:val="20"/>
                <w:szCs w:val="20"/>
              </w:rPr>
              <w:t xml:space="preserve">(b) atunci când intenționează să efectueze constatarea menționată la articolul 59 alineatul (3) litera (c), aceasta notifică fără întârziere autoritatea competentă responsabilă a fiecărei instituții sau entități menționate la articolul 1 alineatul (1) litera (b), (c) sau (d) care a emis instrumentele de capital relevante în legătură cu care urmează să fie exercitate competențele de reducere a valorii sau de conversie, în cazul în care respectiva constatare ar fi efectuată, precum și, dacă sunt diferite, autoritățile corespunzătoare din statele membre în care sunt </w:t>
            </w:r>
            <w:r w:rsidRPr="00154588">
              <w:rPr>
                <w:bCs/>
                <w:sz w:val="20"/>
                <w:szCs w:val="20"/>
              </w:rPr>
              <w:lastRenderedPageBreak/>
              <w:t>situate autoritățile competente respective și supraveghetorul consolidant.</w:t>
            </w:r>
          </w:p>
        </w:tc>
        <w:tc>
          <w:tcPr>
            <w:tcW w:w="4819" w:type="dxa"/>
          </w:tcPr>
          <w:p w14:paraId="0693298C" w14:textId="011BCE87" w:rsidR="00F4284C" w:rsidRPr="00154588" w:rsidRDefault="00F4284C" w:rsidP="008C12B4">
            <w:pPr>
              <w:jc w:val="both"/>
              <w:rPr>
                <w:bCs/>
                <w:sz w:val="20"/>
                <w:szCs w:val="20"/>
              </w:rPr>
            </w:pPr>
            <w:r w:rsidRPr="00154588">
              <w:rPr>
                <w:b/>
                <w:bCs/>
                <w:sz w:val="20"/>
                <w:szCs w:val="20"/>
              </w:rPr>
              <w:lastRenderedPageBreak/>
              <w:t>Articolul 230</w:t>
            </w:r>
            <w:r w:rsidRPr="00154588">
              <w:rPr>
                <w:b/>
                <w:bCs/>
                <w:sz w:val="20"/>
                <w:szCs w:val="20"/>
                <w:vertAlign w:val="superscript"/>
              </w:rPr>
              <w:t>2</w:t>
            </w:r>
            <w:r w:rsidRPr="00154588">
              <w:rPr>
                <w:bCs/>
                <w:sz w:val="20"/>
                <w:szCs w:val="20"/>
              </w:rPr>
              <w:t xml:space="preserve"> – (1) Înainte de a realiza una dintre determinările prevăzute la art. 221 lit. b)-e) sau de a constata situația de la art.219</w:t>
            </w:r>
            <w:r w:rsidRPr="00154588">
              <w:rPr>
                <w:bCs/>
                <w:sz w:val="20"/>
                <w:szCs w:val="20"/>
                <w:vertAlign w:val="superscript"/>
              </w:rPr>
              <w:t>1</w:t>
            </w:r>
            <w:r w:rsidRPr="00154588">
              <w:rPr>
                <w:bCs/>
                <w:sz w:val="20"/>
                <w:szCs w:val="20"/>
              </w:rPr>
              <w:t xml:space="preserve"> în legătură cu o filială, persoană juridică din Republica Moldova, care emite instrumente de capital sau datorii eligibile relevante prevăzute la art.219 alin.(1) lit.a), luate în calcul în vederea îndeplinirii, la nivel individual, a cerinței prevăzute la art.167</w:t>
            </w:r>
            <w:r w:rsidRPr="00154588">
              <w:rPr>
                <w:bCs/>
                <w:sz w:val="20"/>
                <w:szCs w:val="20"/>
                <w:vertAlign w:val="superscript"/>
              </w:rPr>
              <w:t xml:space="preserve">15 </w:t>
            </w:r>
            <w:r w:rsidRPr="00154588">
              <w:rPr>
                <w:bCs/>
                <w:sz w:val="20"/>
                <w:szCs w:val="20"/>
              </w:rPr>
              <w:t>– art.16719, sau instrumente de capital relevante luate în calcul în vederea îndeplinirii cerințelor de fonduri proprii la nivel individual sau la nivel consolidat, Banca Națională a Moldovei, în calitate de autoritate competentă, respectă următoarele cerințe:</w:t>
            </w:r>
          </w:p>
          <w:p w14:paraId="56AD89AB" w14:textId="77777777" w:rsidR="00F4284C" w:rsidRPr="00154588" w:rsidRDefault="00F4284C" w:rsidP="008C12B4">
            <w:pPr>
              <w:jc w:val="both"/>
              <w:rPr>
                <w:bCs/>
                <w:sz w:val="20"/>
                <w:szCs w:val="20"/>
              </w:rPr>
            </w:pPr>
            <w:r w:rsidRPr="00154588">
              <w:rPr>
                <w:bCs/>
                <w:sz w:val="20"/>
                <w:szCs w:val="20"/>
              </w:rPr>
              <w:t>a) în cazul în care intenționează să realizeze una dintre determinările prevăzute la art. 221 lit. b)-d) sau e), după consultarea autorității de rezoluție a filialei, precum și a entității de rezoluție în cauză, notifică, în interval de 24 de ore de la consultarea respectivă:</w:t>
            </w:r>
          </w:p>
          <w:p w14:paraId="5A874C99" w14:textId="77777777" w:rsidR="00F4284C" w:rsidRPr="00154588" w:rsidRDefault="00F4284C" w:rsidP="008C12B4">
            <w:pPr>
              <w:jc w:val="both"/>
              <w:rPr>
                <w:bCs/>
                <w:sz w:val="20"/>
                <w:szCs w:val="20"/>
              </w:rPr>
            </w:pPr>
            <w:r w:rsidRPr="00154588">
              <w:rPr>
                <w:bCs/>
                <w:sz w:val="20"/>
                <w:szCs w:val="20"/>
              </w:rPr>
              <w:t>(i) supraveghetorul consolidant, dacă acesta este diferit de Banca Națională a Moldovei, precum și autoritatea corespunzătoare din statul membru al Uniunii Europene în care se află supraveghetorul consolidant, dacă aceasta este diferită de respectivul supraveghetor consolidant;</w:t>
            </w:r>
          </w:p>
          <w:p w14:paraId="13925D81" w14:textId="77777777" w:rsidR="00F4284C" w:rsidRPr="00154588" w:rsidRDefault="00F4284C" w:rsidP="008C12B4">
            <w:pPr>
              <w:jc w:val="both"/>
              <w:rPr>
                <w:bCs/>
                <w:sz w:val="20"/>
                <w:szCs w:val="20"/>
              </w:rPr>
            </w:pPr>
            <w:r w:rsidRPr="00154588">
              <w:rPr>
                <w:bCs/>
                <w:sz w:val="20"/>
                <w:szCs w:val="20"/>
              </w:rPr>
              <w:t>(ii) autoritățile de rezoluție ale altor entități din același grup de rezoluție care au achiziționat direct sau indirect datorii prevăzute la art.167</w:t>
            </w:r>
            <w:r w:rsidRPr="00154588">
              <w:rPr>
                <w:bCs/>
                <w:sz w:val="20"/>
                <w:szCs w:val="20"/>
                <w:vertAlign w:val="superscript"/>
              </w:rPr>
              <w:t>16</w:t>
            </w:r>
            <w:r w:rsidRPr="00154588">
              <w:rPr>
                <w:bCs/>
                <w:sz w:val="20"/>
                <w:szCs w:val="20"/>
              </w:rPr>
              <w:t xml:space="preserve"> de la entitatea care face obiectul prevederilor art.167</w:t>
            </w:r>
            <w:r w:rsidRPr="00154588">
              <w:rPr>
                <w:bCs/>
                <w:sz w:val="20"/>
                <w:szCs w:val="20"/>
                <w:vertAlign w:val="superscript"/>
              </w:rPr>
              <w:t>15</w:t>
            </w:r>
            <w:r w:rsidRPr="00154588">
              <w:rPr>
                <w:bCs/>
                <w:sz w:val="20"/>
                <w:szCs w:val="20"/>
              </w:rPr>
              <w:t>;</w:t>
            </w:r>
          </w:p>
          <w:p w14:paraId="2AB52545" w14:textId="3A258153" w:rsidR="00F4284C" w:rsidRPr="00154588" w:rsidRDefault="00F4284C" w:rsidP="008C12B4">
            <w:pPr>
              <w:jc w:val="both"/>
              <w:rPr>
                <w:bCs/>
                <w:sz w:val="20"/>
                <w:szCs w:val="20"/>
              </w:rPr>
            </w:pPr>
            <w:r w:rsidRPr="00154588">
              <w:rPr>
                <w:bCs/>
                <w:sz w:val="20"/>
                <w:szCs w:val="20"/>
              </w:rPr>
              <w:t>b) în cazul în care intenționează să realizeze una dintre determinările prevăzute la art.221 lit.c), notifică fără întârziere autoritățile competente responsabile cu supravegherea fiecărei instituții de credit sau entități prevăzute la art.1 alin.(1) lit.b), c) sau d) din alte state membre, care a emis instrumentele de capital relevante în raport cu care ar trebui exercitată competența de reducere a valorii sau de conversie, în cazul în care respectiva determinare ar fi realizată, precum și, dacă aceste autorități sunt diferite, autoritățile corespunzătoare din respectivele state, inclusiv cea din statul membru al Uniunii Europene în care se află supraveghetorul consolidant.</w:t>
            </w:r>
          </w:p>
        </w:tc>
        <w:tc>
          <w:tcPr>
            <w:tcW w:w="2552" w:type="dxa"/>
          </w:tcPr>
          <w:p w14:paraId="41082CD2" w14:textId="6990C45E" w:rsidR="00F4284C" w:rsidRPr="00154588" w:rsidRDefault="00F4284C" w:rsidP="008C12B4">
            <w:pPr>
              <w:jc w:val="both"/>
              <w:rPr>
                <w:bCs/>
                <w:sz w:val="20"/>
                <w:szCs w:val="20"/>
              </w:rPr>
            </w:pPr>
            <w:r w:rsidRPr="00154588">
              <w:rPr>
                <w:bCs/>
                <w:sz w:val="20"/>
                <w:szCs w:val="20"/>
              </w:rPr>
              <w:t>Compatibil</w:t>
            </w:r>
          </w:p>
        </w:tc>
        <w:tc>
          <w:tcPr>
            <w:tcW w:w="3118" w:type="dxa"/>
          </w:tcPr>
          <w:p w14:paraId="71AC39E6" w14:textId="77777777" w:rsidR="00F4284C" w:rsidRPr="00154588" w:rsidRDefault="00F4284C" w:rsidP="008C12B4">
            <w:pPr>
              <w:jc w:val="both"/>
              <w:rPr>
                <w:bCs/>
                <w:sz w:val="20"/>
                <w:szCs w:val="20"/>
              </w:rPr>
            </w:pPr>
          </w:p>
        </w:tc>
      </w:tr>
      <w:tr w:rsidR="00F4284C" w:rsidRPr="00154588" w14:paraId="5DD20EF5" w14:textId="77777777" w:rsidTr="00D15C1B">
        <w:trPr>
          <w:jc w:val="center"/>
        </w:trPr>
        <w:tc>
          <w:tcPr>
            <w:tcW w:w="4957" w:type="dxa"/>
            <w:gridSpan w:val="2"/>
          </w:tcPr>
          <w:p w14:paraId="0C03326A" w14:textId="4B59F589" w:rsidR="00F4284C" w:rsidRPr="00154588" w:rsidRDefault="00F4284C" w:rsidP="008C12B4">
            <w:pPr>
              <w:jc w:val="both"/>
              <w:rPr>
                <w:sz w:val="20"/>
                <w:szCs w:val="20"/>
              </w:rPr>
            </w:pPr>
            <w:r w:rsidRPr="00154588">
              <w:rPr>
                <w:sz w:val="20"/>
                <w:szCs w:val="20"/>
              </w:rPr>
              <w:t>(2)   Atunci când se face o constatare menționată la literele (c), (d) sau (e) din articolul 59 alineatul (3) în cazul unei instituții sau unui grup cu activitate transfrontalieră, autoritățile corespunzătoare țin seama de impactul potențial al rezoluției în toate statele membre în care își desfășoară activitatea instituția sau grupul.</w:t>
            </w:r>
          </w:p>
        </w:tc>
        <w:tc>
          <w:tcPr>
            <w:tcW w:w="4819" w:type="dxa"/>
          </w:tcPr>
          <w:p w14:paraId="4A85F458" w14:textId="1E9D7A09" w:rsidR="00F4284C" w:rsidRPr="00154588" w:rsidRDefault="00F4284C" w:rsidP="008C12B4">
            <w:pPr>
              <w:jc w:val="both"/>
              <w:rPr>
                <w:sz w:val="20"/>
                <w:szCs w:val="20"/>
              </w:rPr>
            </w:pPr>
            <w:r w:rsidRPr="00154588">
              <w:rPr>
                <w:b/>
                <w:sz w:val="20"/>
                <w:szCs w:val="20"/>
              </w:rPr>
              <w:t>Articolul 230</w:t>
            </w:r>
            <w:r w:rsidRPr="00154588">
              <w:rPr>
                <w:b/>
                <w:sz w:val="20"/>
                <w:szCs w:val="20"/>
                <w:vertAlign w:val="superscript"/>
              </w:rPr>
              <w:t>2</w:t>
            </w:r>
            <w:r w:rsidRPr="00154588">
              <w:rPr>
                <w:sz w:val="20"/>
                <w:szCs w:val="20"/>
              </w:rPr>
              <w:t xml:space="preserve"> – (2) Atunci când se realizează o determinare prevăzută la art.221 lit.c), d) sau e) în cazul unei instituții de credit sau al unui grup cu activitate transfrontalieră, Banca Națională a Moldovei, în calitate de autoritate competentă, ține seama de impactul potențial al rezoluției în toate statele membre în care își desfășoară activitatea instituția de credit sau grupul.</w:t>
            </w:r>
          </w:p>
          <w:p w14:paraId="4BA33245" w14:textId="77777777" w:rsidR="00F4284C" w:rsidRPr="00154588" w:rsidRDefault="00F4284C" w:rsidP="008C12B4">
            <w:pPr>
              <w:jc w:val="both"/>
              <w:rPr>
                <w:sz w:val="20"/>
                <w:szCs w:val="20"/>
              </w:rPr>
            </w:pPr>
          </w:p>
        </w:tc>
        <w:tc>
          <w:tcPr>
            <w:tcW w:w="2552" w:type="dxa"/>
          </w:tcPr>
          <w:p w14:paraId="110D44DA" w14:textId="7FECA5C5" w:rsidR="00F4284C" w:rsidRPr="00154588" w:rsidRDefault="00F4284C" w:rsidP="008C12B4">
            <w:pPr>
              <w:jc w:val="both"/>
              <w:rPr>
                <w:sz w:val="20"/>
                <w:szCs w:val="20"/>
              </w:rPr>
            </w:pPr>
            <w:r w:rsidRPr="00154588">
              <w:rPr>
                <w:sz w:val="20"/>
                <w:szCs w:val="20"/>
              </w:rPr>
              <w:t>Compatibil</w:t>
            </w:r>
          </w:p>
        </w:tc>
        <w:tc>
          <w:tcPr>
            <w:tcW w:w="3118" w:type="dxa"/>
          </w:tcPr>
          <w:p w14:paraId="45172268" w14:textId="77777777" w:rsidR="00F4284C" w:rsidRPr="00154588" w:rsidRDefault="00F4284C" w:rsidP="008C12B4">
            <w:pPr>
              <w:jc w:val="both"/>
              <w:rPr>
                <w:sz w:val="20"/>
                <w:szCs w:val="20"/>
              </w:rPr>
            </w:pPr>
          </w:p>
        </w:tc>
      </w:tr>
      <w:tr w:rsidR="00F4284C" w:rsidRPr="00154588" w14:paraId="528A1383" w14:textId="77777777" w:rsidTr="00D15C1B">
        <w:trPr>
          <w:jc w:val="center"/>
        </w:trPr>
        <w:tc>
          <w:tcPr>
            <w:tcW w:w="4957" w:type="dxa"/>
            <w:gridSpan w:val="2"/>
          </w:tcPr>
          <w:p w14:paraId="4C123AAC" w14:textId="5C9B3F16" w:rsidR="00F4284C" w:rsidRPr="00154588" w:rsidRDefault="00F4284C" w:rsidP="008C12B4">
            <w:pPr>
              <w:jc w:val="both"/>
              <w:rPr>
                <w:sz w:val="20"/>
                <w:szCs w:val="20"/>
              </w:rPr>
            </w:pPr>
            <w:r w:rsidRPr="00154588">
              <w:rPr>
                <w:sz w:val="20"/>
                <w:szCs w:val="20"/>
              </w:rPr>
              <w:t>(3)   O notificare transmisă de o autoritate corespunzătoare în conformitate cu alineatul (1) trebuie însoțită de o explicație a motivelor pentru care acesta are în vedere efectuarea constatării în cauză.</w:t>
            </w:r>
          </w:p>
        </w:tc>
        <w:tc>
          <w:tcPr>
            <w:tcW w:w="4819" w:type="dxa"/>
          </w:tcPr>
          <w:p w14:paraId="534B90E8" w14:textId="7E72009B" w:rsidR="00F4284C" w:rsidRPr="00154588" w:rsidRDefault="00F4284C" w:rsidP="008C12B4">
            <w:pPr>
              <w:jc w:val="both"/>
              <w:rPr>
                <w:sz w:val="20"/>
                <w:szCs w:val="20"/>
              </w:rPr>
            </w:pPr>
            <w:r w:rsidRPr="00154588">
              <w:rPr>
                <w:b/>
                <w:sz w:val="20"/>
                <w:szCs w:val="20"/>
              </w:rPr>
              <w:t>Articolul 230</w:t>
            </w:r>
            <w:r w:rsidRPr="00154588">
              <w:rPr>
                <w:b/>
                <w:sz w:val="20"/>
                <w:szCs w:val="20"/>
                <w:vertAlign w:val="superscript"/>
              </w:rPr>
              <w:t>2</w:t>
            </w:r>
            <w:r w:rsidRPr="00154588">
              <w:rPr>
                <w:sz w:val="20"/>
                <w:szCs w:val="20"/>
              </w:rPr>
              <w:t xml:space="preserve"> – (3) Notificarea transmisă de Banca Națională a Moldovei, în calitate de autoritate competentă, în conformitate cu prevederile art.230</w:t>
            </w:r>
            <w:r w:rsidRPr="00154588">
              <w:rPr>
                <w:sz w:val="20"/>
                <w:szCs w:val="20"/>
                <w:vertAlign w:val="superscript"/>
              </w:rPr>
              <w:t>2</w:t>
            </w:r>
            <w:r w:rsidRPr="00154588">
              <w:rPr>
                <w:sz w:val="20"/>
                <w:szCs w:val="20"/>
              </w:rPr>
              <w:t xml:space="preserve"> trebuie însoțită de o explicație a motivelor pentru care aceasta are în vedere realizarea determinării în cauză.</w:t>
            </w:r>
          </w:p>
          <w:p w14:paraId="2AE2F63A" w14:textId="77777777" w:rsidR="00F4284C" w:rsidRPr="00154588" w:rsidRDefault="00F4284C" w:rsidP="008C12B4">
            <w:pPr>
              <w:jc w:val="both"/>
              <w:rPr>
                <w:sz w:val="20"/>
                <w:szCs w:val="20"/>
              </w:rPr>
            </w:pPr>
          </w:p>
        </w:tc>
        <w:tc>
          <w:tcPr>
            <w:tcW w:w="2552" w:type="dxa"/>
          </w:tcPr>
          <w:p w14:paraId="6A9AC0F4" w14:textId="34A06A8E" w:rsidR="00F4284C" w:rsidRPr="00154588" w:rsidRDefault="00F4284C" w:rsidP="008C12B4">
            <w:pPr>
              <w:jc w:val="both"/>
              <w:rPr>
                <w:sz w:val="20"/>
                <w:szCs w:val="20"/>
              </w:rPr>
            </w:pPr>
            <w:r w:rsidRPr="00154588">
              <w:rPr>
                <w:sz w:val="20"/>
                <w:szCs w:val="20"/>
              </w:rPr>
              <w:t>Compatibil</w:t>
            </w:r>
          </w:p>
        </w:tc>
        <w:tc>
          <w:tcPr>
            <w:tcW w:w="3118" w:type="dxa"/>
          </w:tcPr>
          <w:p w14:paraId="4DE931F9" w14:textId="77777777" w:rsidR="00F4284C" w:rsidRPr="00154588" w:rsidRDefault="00F4284C" w:rsidP="008C12B4">
            <w:pPr>
              <w:jc w:val="both"/>
              <w:rPr>
                <w:sz w:val="20"/>
                <w:szCs w:val="20"/>
              </w:rPr>
            </w:pPr>
          </w:p>
        </w:tc>
      </w:tr>
      <w:tr w:rsidR="00F4284C" w:rsidRPr="00154588" w14:paraId="31F2BAB8" w14:textId="77777777" w:rsidTr="00D15C1B">
        <w:trPr>
          <w:jc w:val="center"/>
        </w:trPr>
        <w:tc>
          <w:tcPr>
            <w:tcW w:w="4957" w:type="dxa"/>
            <w:gridSpan w:val="2"/>
          </w:tcPr>
          <w:p w14:paraId="58F2D825" w14:textId="7ABEF1C7" w:rsidR="00F4284C" w:rsidRPr="00154588" w:rsidRDefault="00F4284C" w:rsidP="008C12B4">
            <w:pPr>
              <w:jc w:val="both"/>
              <w:rPr>
                <w:sz w:val="20"/>
                <w:szCs w:val="20"/>
              </w:rPr>
            </w:pPr>
            <w:r w:rsidRPr="00154588">
              <w:rPr>
                <w:sz w:val="20"/>
                <w:szCs w:val="20"/>
              </w:rPr>
              <w:t>(4)   În cazul transmiterii unei notificări în conformitate cu alineatul (1), autoritatea corespunzătoare, după consultarea autorităților notificate în conformitate cu litera (a) punctul (i) sau litera (b) de la alineatul respectiv, evaluează următoarele aspecte:</w:t>
            </w:r>
          </w:p>
          <w:p w14:paraId="29EEFDC2" w14:textId="77777777" w:rsidR="00F4284C" w:rsidRPr="00154588" w:rsidRDefault="00F4284C" w:rsidP="008C12B4">
            <w:pPr>
              <w:jc w:val="both"/>
              <w:rPr>
                <w:sz w:val="20"/>
                <w:szCs w:val="20"/>
              </w:rPr>
            </w:pPr>
          </w:p>
          <w:p w14:paraId="752F9615" w14:textId="4F4F2298" w:rsidR="00F4284C" w:rsidRPr="00154588" w:rsidRDefault="00F4284C" w:rsidP="008C12B4">
            <w:pPr>
              <w:jc w:val="both"/>
              <w:rPr>
                <w:sz w:val="20"/>
                <w:szCs w:val="20"/>
              </w:rPr>
            </w:pPr>
            <w:r w:rsidRPr="00154588">
              <w:rPr>
                <w:sz w:val="20"/>
                <w:szCs w:val="20"/>
              </w:rPr>
              <w:t>(a) existența unei eventuale măsuri alternative, care ar putea înlocui exercitarea competenței de reducere a valorii contabile sau de conversie în conformitate cu articolul 59 alineatul (3);</w:t>
            </w:r>
          </w:p>
          <w:p w14:paraId="3D9D99F1" w14:textId="77777777" w:rsidR="00F4284C" w:rsidRPr="00154588" w:rsidRDefault="00F4284C" w:rsidP="008C12B4">
            <w:pPr>
              <w:jc w:val="both"/>
              <w:rPr>
                <w:sz w:val="20"/>
                <w:szCs w:val="20"/>
              </w:rPr>
            </w:pPr>
          </w:p>
          <w:p w14:paraId="212DB66B" w14:textId="5BECEF2F" w:rsidR="00F4284C" w:rsidRPr="00154588" w:rsidRDefault="00F4284C" w:rsidP="008C12B4">
            <w:pPr>
              <w:jc w:val="both"/>
              <w:rPr>
                <w:sz w:val="20"/>
                <w:szCs w:val="20"/>
              </w:rPr>
            </w:pPr>
            <w:r w:rsidRPr="00154588">
              <w:rPr>
                <w:sz w:val="20"/>
                <w:szCs w:val="20"/>
              </w:rPr>
              <w:t>(b) dacă o astfel de măsură alternativă există, cât de fezabilă ar fi aplicarea sa;</w:t>
            </w:r>
          </w:p>
          <w:p w14:paraId="71BBE5E2" w14:textId="77777777" w:rsidR="00F4284C" w:rsidRPr="00154588" w:rsidRDefault="00F4284C" w:rsidP="008C12B4">
            <w:pPr>
              <w:jc w:val="both"/>
              <w:rPr>
                <w:sz w:val="20"/>
                <w:szCs w:val="20"/>
              </w:rPr>
            </w:pPr>
          </w:p>
          <w:p w14:paraId="1AB21CC6" w14:textId="70B14690" w:rsidR="00F4284C" w:rsidRPr="00154588" w:rsidRDefault="00F4284C" w:rsidP="008C12B4">
            <w:pPr>
              <w:jc w:val="both"/>
              <w:rPr>
                <w:sz w:val="20"/>
                <w:szCs w:val="20"/>
              </w:rPr>
            </w:pPr>
            <w:r w:rsidRPr="00154588">
              <w:rPr>
                <w:sz w:val="20"/>
                <w:szCs w:val="20"/>
              </w:rPr>
              <w:t>(c) dacă aplicarea unei astfel de măsuri alternative este fezabilă, care sunt perspectivele reale ca această măsură să abordeze, într-un interval de timp corespunzător, acele circumstanțe care altminteri ar necesita efectuarea uneia dintre constatările menționate la articolul 59 alineatul (3).</w:t>
            </w:r>
          </w:p>
        </w:tc>
        <w:tc>
          <w:tcPr>
            <w:tcW w:w="4819" w:type="dxa"/>
          </w:tcPr>
          <w:p w14:paraId="47E73AA2" w14:textId="6E656F74" w:rsidR="00F4284C" w:rsidRPr="00154588" w:rsidRDefault="00F4284C" w:rsidP="008C12B4">
            <w:pPr>
              <w:jc w:val="both"/>
              <w:rPr>
                <w:sz w:val="20"/>
                <w:szCs w:val="20"/>
              </w:rPr>
            </w:pPr>
            <w:r w:rsidRPr="00154588">
              <w:rPr>
                <w:b/>
                <w:sz w:val="20"/>
                <w:szCs w:val="20"/>
              </w:rPr>
              <w:t>Articolul 230</w:t>
            </w:r>
            <w:r w:rsidRPr="00154588">
              <w:rPr>
                <w:b/>
                <w:sz w:val="20"/>
                <w:szCs w:val="20"/>
                <w:vertAlign w:val="superscript"/>
              </w:rPr>
              <w:t>2</w:t>
            </w:r>
            <w:r w:rsidRPr="00154588">
              <w:rPr>
                <w:sz w:val="20"/>
                <w:szCs w:val="20"/>
              </w:rPr>
              <w:t xml:space="preserve"> – (4) În cazul în care Banca Națională a Moldovei, în calitate de autoritate competentă, efectuează o notificare în conformitate cu prevederile art.230</w:t>
            </w:r>
            <w:r w:rsidRPr="00154588">
              <w:rPr>
                <w:sz w:val="20"/>
                <w:szCs w:val="20"/>
                <w:vertAlign w:val="superscript"/>
              </w:rPr>
              <w:t>2</w:t>
            </w:r>
            <w:r w:rsidRPr="00154588">
              <w:rPr>
                <w:sz w:val="20"/>
                <w:szCs w:val="20"/>
              </w:rPr>
              <w:t xml:space="preserve"> alin.(1), după consultarea cu autoritățile notificate potrivit prevederilor art. art.230</w:t>
            </w:r>
            <w:r w:rsidRPr="00154588">
              <w:rPr>
                <w:sz w:val="20"/>
                <w:szCs w:val="20"/>
                <w:vertAlign w:val="superscript"/>
              </w:rPr>
              <w:t>2</w:t>
            </w:r>
            <w:r w:rsidRPr="00154588">
              <w:rPr>
                <w:sz w:val="20"/>
                <w:szCs w:val="20"/>
              </w:rPr>
              <w:t xml:space="preserve"> alin.(1) lit.a) pct. (i) sau lit. b), trebuie să examineze următoarele aspecte: </w:t>
            </w:r>
          </w:p>
          <w:p w14:paraId="0CC122E2" w14:textId="77777777" w:rsidR="00F4284C" w:rsidRPr="00154588" w:rsidRDefault="00F4284C" w:rsidP="008C12B4">
            <w:pPr>
              <w:jc w:val="both"/>
              <w:rPr>
                <w:sz w:val="20"/>
                <w:szCs w:val="20"/>
              </w:rPr>
            </w:pPr>
            <w:r w:rsidRPr="00154588">
              <w:rPr>
                <w:sz w:val="20"/>
                <w:szCs w:val="20"/>
              </w:rPr>
              <w:t>a) existența unei eventuale măsuri alternative, care ar putea fi aplicată în locul exercitării competenței de reducere a valorii sau de conversie în conformitate cu prevederile art.221;</w:t>
            </w:r>
          </w:p>
          <w:p w14:paraId="6863FD42" w14:textId="77777777" w:rsidR="00F4284C" w:rsidRPr="00154588" w:rsidRDefault="00F4284C" w:rsidP="008C12B4">
            <w:pPr>
              <w:jc w:val="both"/>
              <w:rPr>
                <w:sz w:val="20"/>
                <w:szCs w:val="20"/>
              </w:rPr>
            </w:pPr>
            <w:r w:rsidRPr="00154588">
              <w:rPr>
                <w:sz w:val="20"/>
                <w:szCs w:val="20"/>
              </w:rPr>
              <w:t>b) în cazul în care o astfel de măsură alternativă există, cât de fezabilă ar fi aplicarea sa;</w:t>
            </w:r>
          </w:p>
          <w:p w14:paraId="5EF7BFEA" w14:textId="77777777" w:rsidR="00F4284C" w:rsidRPr="00154588" w:rsidRDefault="00F4284C" w:rsidP="008C12B4">
            <w:pPr>
              <w:jc w:val="both"/>
              <w:rPr>
                <w:sz w:val="20"/>
                <w:szCs w:val="20"/>
              </w:rPr>
            </w:pPr>
            <w:r w:rsidRPr="00154588">
              <w:rPr>
                <w:sz w:val="20"/>
                <w:szCs w:val="20"/>
              </w:rPr>
              <w:t>c) în cazul în care aplicarea unei astfel de măsuri alternative ar fi fezabilă, care sunt perspectivele reale ca această măsură să abordeze, în opinia sa, într-un interval de timp corespunzător, acele circumstanțe care altminteri ar necesita efectuarea uneia dintre determinările prevăzute la art. 221.</w:t>
            </w:r>
          </w:p>
          <w:p w14:paraId="1DAB949C" w14:textId="77777777" w:rsidR="00F4284C" w:rsidRPr="00154588" w:rsidRDefault="00F4284C" w:rsidP="008C12B4">
            <w:pPr>
              <w:jc w:val="both"/>
              <w:rPr>
                <w:sz w:val="20"/>
                <w:szCs w:val="20"/>
              </w:rPr>
            </w:pPr>
          </w:p>
        </w:tc>
        <w:tc>
          <w:tcPr>
            <w:tcW w:w="2552" w:type="dxa"/>
          </w:tcPr>
          <w:p w14:paraId="3712709D" w14:textId="014D0103" w:rsidR="00F4284C" w:rsidRPr="00154588" w:rsidRDefault="00F4284C" w:rsidP="008C12B4">
            <w:pPr>
              <w:jc w:val="both"/>
              <w:rPr>
                <w:sz w:val="20"/>
                <w:szCs w:val="20"/>
              </w:rPr>
            </w:pPr>
            <w:r w:rsidRPr="00154588">
              <w:rPr>
                <w:sz w:val="20"/>
                <w:szCs w:val="20"/>
              </w:rPr>
              <w:t>Compatibil</w:t>
            </w:r>
          </w:p>
        </w:tc>
        <w:tc>
          <w:tcPr>
            <w:tcW w:w="3118" w:type="dxa"/>
          </w:tcPr>
          <w:p w14:paraId="59770F86" w14:textId="77777777" w:rsidR="00F4284C" w:rsidRPr="00154588" w:rsidRDefault="00F4284C" w:rsidP="008C12B4">
            <w:pPr>
              <w:jc w:val="both"/>
              <w:rPr>
                <w:sz w:val="20"/>
                <w:szCs w:val="20"/>
              </w:rPr>
            </w:pPr>
          </w:p>
        </w:tc>
      </w:tr>
      <w:tr w:rsidR="00F4284C" w:rsidRPr="00154588" w14:paraId="74517BB3" w14:textId="77777777" w:rsidTr="00D15C1B">
        <w:trPr>
          <w:jc w:val="center"/>
        </w:trPr>
        <w:tc>
          <w:tcPr>
            <w:tcW w:w="4957" w:type="dxa"/>
            <w:gridSpan w:val="2"/>
          </w:tcPr>
          <w:p w14:paraId="76E4748B" w14:textId="4B83C8B9" w:rsidR="00F4284C" w:rsidRPr="00154588" w:rsidRDefault="00F4284C" w:rsidP="008C12B4">
            <w:pPr>
              <w:jc w:val="both"/>
              <w:rPr>
                <w:sz w:val="20"/>
                <w:szCs w:val="20"/>
              </w:rPr>
            </w:pPr>
            <w:r w:rsidRPr="00154588">
              <w:rPr>
                <w:sz w:val="20"/>
                <w:szCs w:val="20"/>
              </w:rPr>
              <w:t>(5)   În sensul alineatului (4) din prezentul articol, „măsuri alternative” înseamnă măsurile de intervenție timpurie menționate la articolul 27 din prezenta directivă, măsurile prevăzute la articolul 104 alineatul (1) din Directiva 2013/36/UE sau un transfer de fonduri ori de capital de la întreprinderea-mamă.</w:t>
            </w:r>
          </w:p>
        </w:tc>
        <w:tc>
          <w:tcPr>
            <w:tcW w:w="4819" w:type="dxa"/>
          </w:tcPr>
          <w:p w14:paraId="69A5E822" w14:textId="1B3347A8" w:rsidR="00F4284C" w:rsidRPr="00154588" w:rsidRDefault="00F4284C" w:rsidP="008C12B4">
            <w:pPr>
              <w:jc w:val="both"/>
              <w:rPr>
                <w:sz w:val="20"/>
                <w:szCs w:val="20"/>
              </w:rPr>
            </w:pPr>
            <w:r w:rsidRPr="00154588">
              <w:rPr>
                <w:b/>
                <w:sz w:val="20"/>
                <w:szCs w:val="20"/>
              </w:rPr>
              <w:t>Articolul 230</w:t>
            </w:r>
            <w:r w:rsidRPr="00154588">
              <w:rPr>
                <w:b/>
                <w:sz w:val="20"/>
                <w:szCs w:val="20"/>
                <w:vertAlign w:val="superscript"/>
              </w:rPr>
              <w:t>2</w:t>
            </w:r>
            <w:r w:rsidRPr="00154588">
              <w:rPr>
                <w:sz w:val="20"/>
                <w:szCs w:val="20"/>
              </w:rPr>
              <w:t xml:space="preserve"> – (5) În sensul art.230</w:t>
            </w:r>
            <w:r w:rsidRPr="00154588">
              <w:rPr>
                <w:sz w:val="20"/>
                <w:szCs w:val="20"/>
                <w:vertAlign w:val="superscript"/>
              </w:rPr>
              <w:t>2</w:t>
            </w:r>
            <w:r w:rsidRPr="00154588">
              <w:rPr>
                <w:sz w:val="20"/>
                <w:szCs w:val="20"/>
              </w:rPr>
              <w:t xml:space="preserve"> alin.(4), prin măsuri alternative se înțelege măsurile de intervenție timpurie prevăzute la art. 42-44, măsurile prevăzute la art.139 alin.(3) din Legea nr. 202/2017, sau un transfer de fonduri ori de capital de la întreprinderea-mamă.</w:t>
            </w:r>
          </w:p>
          <w:p w14:paraId="0A7CA1BF" w14:textId="77777777" w:rsidR="00F4284C" w:rsidRPr="00154588" w:rsidRDefault="00F4284C" w:rsidP="008C12B4">
            <w:pPr>
              <w:jc w:val="both"/>
              <w:rPr>
                <w:sz w:val="20"/>
                <w:szCs w:val="20"/>
              </w:rPr>
            </w:pPr>
          </w:p>
        </w:tc>
        <w:tc>
          <w:tcPr>
            <w:tcW w:w="2552" w:type="dxa"/>
          </w:tcPr>
          <w:p w14:paraId="7A19B72F" w14:textId="022C7EA0" w:rsidR="00F4284C" w:rsidRPr="00154588" w:rsidRDefault="00F4284C" w:rsidP="008C12B4">
            <w:pPr>
              <w:jc w:val="both"/>
              <w:rPr>
                <w:sz w:val="20"/>
                <w:szCs w:val="20"/>
              </w:rPr>
            </w:pPr>
            <w:r w:rsidRPr="00154588">
              <w:rPr>
                <w:sz w:val="20"/>
                <w:szCs w:val="20"/>
              </w:rPr>
              <w:t>Compatibil</w:t>
            </w:r>
          </w:p>
        </w:tc>
        <w:tc>
          <w:tcPr>
            <w:tcW w:w="3118" w:type="dxa"/>
          </w:tcPr>
          <w:p w14:paraId="47958E72" w14:textId="77777777" w:rsidR="00F4284C" w:rsidRPr="00154588" w:rsidRDefault="00F4284C" w:rsidP="008C12B4">
            <w:pPr>
              <w:jc w:val="both"/>
              <w:rPr>
                <w:sz w:val="20"/>
                <w:szCs w:val="20"/>
              </w:rPr>
            </w:pPr>
          </w:p>
        </w:tc>
      </w:tr>
      <w:tr w:rsidR="00F4284C" w:rsidRPr="00154588" w14:paraId="0D086CF3" w14:textId="77777777" w:rsidTr="00D15C1B">
        <w:trPr>
          <w:jc w:val="center"/>
        </w:trPr>
        <w:tc>
          <w:tcPr>
            <w:tcW w:w="4957" w:type="dxa"/>
            <w:gridSpan w:val="2"/>
          </w:tcPr>
          <w:p w14:paraId="16ECABB1" w14:textId="12DED7F4" w:rsidR="00F4284C" w:rsidRPr="00154588" w:rsidRDefault="00F4284C" w:rsidP="008C12B4">
            <w:pPr>
              <w:jc w:val="both"/>
              <w:rPr>
                <w:sz w:val="20"/>
                <w:szCs w:val="20"/>
              </w:rPr>
            </w:pPr>
            <w:r w:rsidRPr="00154588">
              <w:rPr>
                <w:sz w:val="20"/>
                <w:szCs w:val="20"/>
              </w:rPr>
              <w:lastRenderedPageBreak/>
              <w:t>(6)   În cazul în care, în conformitate cu alineatul (4), autoritatea corespunzătoare, după consultarea autorităților notificate, estimează că una sau mai multe măsuri alternative sunt disponibile, că aplicarea lor este fezabilă și că ele ar permite obținerea rezultatului menționat la litera (c) de la alineatul respectiv, autoritățile în cauză trebuie să garanteze aplicarea acestor măsuri.</w:t>
            </w:r>
          </w:p>
        </w:tc>
        <w:tc>
          <w:tcPr>
            <w:tcW w:w="4819" w:type="dxa"/>
          </w:tcPr>
          <w:p w14:paraId="6F849DE9" w14:textId="1F14C776" w:rsidR="00F4284C" w:rsidRPr="00154588" w:rsidRDefault="00F4284C" w:rsidP="008C12B4">
            <w:pPr>
              <w:jc w:val="both"/>
              <w:rPr>
                <w:sz w:val="20"/>
                <w:szCs w:val="20"/>
              </w:rPr>
            </w:pPr>
            <w:r w:rsidRPr="00154588">
              <w:rPr>
                <w:b/>
                <w:sz w:val="20"/>
                <w:szCs w:val="20"/>
              </w:rPr>
              <w:t>Articolul 230</w:t>
            </w:r>
            <w:r w:rsidRPr="00154588">
              <w:rPr>
                <w:b/>
                <w:sz w:val="20"/>
                <w:szCs w:val="20"/>
                <w:vertAlign w:val="superscript"/>
              </w:rPr>
              <w:t>2</w:t>
            </w:r>
            <w:r w:rsidRPr="00154588">
              <w:rPr>
                <w:sz w:val="20"/>
                <w:szCs w:val="20"/>
              </w:rPr>
              <w:t xml:space="preserve"> – (6) În cazul în care, în conformitate cu prevederile art.230</w:t>
            </w:r>
            <w:r w:rsidRPr="00154588">
              <w:rPr>
                <w:sz w:val="20"/>
                <w:szCs w:val="20"/>
                <w:vertAlign w:val="superscript"/>
              </w:rPr>
              <w:t>2</w:t>
            </w:r>
            <w:r w:rsidRPr="00154588">
              <w:rPr>
                <w:sz w:val="20"/>
                <w:szCs w:val="20"/>
              </w:rPr>
              <w:t xml:space="preserve"> alin.(4), Banca Națională a Moldovei, în calitate de autoritate competentă, după consultarea autorităților notificate, estimează că una sau mai multe măsuri alternative sunt disponibile, că aplicarea lor este fezabilă și că ele ar permite obținerea rezultatului prevăzut la art. art.230</w:t>
            </w:r>
            <w:r w:rsidRPr="00154588">
              <w:rPr>
                <w:sz w:val="20"/>
                <w:szCs w:val="20"/>
                <w:vertAlign w:val="superscript"/>
              </w:rPr>
              <w:t>2</w:t>
            </w:r>
            <w:r w:rsidRPr="00154588">
              <w:rPr>
                <w:sz w:val="20"/>
                <w:szCs w:val="20"/>
              </w:rPr>
              <w:t xml:space="preserve"> alin.(4) lit. c), aceasta trebuie să asigure aplicarea acestor măsuri.</w:t>
            </w:r>
          </w:p>
          <w:p w14:paraId="1A9E1435" w14:textId="77777777" w:rsidR="00F4284C" w:rsidRPr="00154588" w:rsidRDefault="00F4284C" w:rsidP="008C12B4">
            <w:pPr>
              <w:jc w:val="both"/>
              <w:rPr>
                <w:sz w:val="20"/>
                <w:szCs w:val="20"/>
              </w:rPr>
            </w:pPr>
          </w:p>
        </w:tc>
        <w:tc>
          <w:tcPr>
            <w:tcW w:w="2552" w:type="dxa"/>
          </w:tcPr>
          <w:p w14:paraId="0C013BA8" w14:textId="000282E2" w:rsidR="00F4284C" w:rsidRPr="00154588" w:rsidRDefault="00F4284C" w:rsidP="008C12B4">
            <w:pPr>
              <w:jc w:val="both"/>
              <w:rPr>
                <w:sz w:val="20"/>
                <w:szCs w:val="20"/>
              </w:rPr>
            </w:pPr>
            <w:r w:rsidRPr="00154588">
              <w:rPr>
                <w:sz w:val="20"/>
                <w:szCs w:val="20"/>
              </w:rPr>
              <w:t>Compatibil</w:t>
            </w:r>
          </w:p>
        </w:tc>
        <w:tc>
          <w:tcPr>
            <w:tcW w:w="3118" w:type="dxa"/>
          </w:tcPr>
          <w:p w14:paraId="265A544E" w14:textId="77777777" w:rsidR="00F4284C" w:rsidRPr="00154588" w:rsidRDefault="00F4284C" w:rsidP="008C12B4">
            <w:pPr>
              <w:jc w:val="both"/>
              <w:rPr>
                <w:sz w:val="20"/>
                <w:szCs w:val="20"/>
              </w:rPr>
            </w:pPr>
          </w:p>
        </w:tc>
      </w:tr>
      <w:tr w:rsidR="00F4284C" w:rsidRPr="00154588" w14:paraId="1609664D" w14:textId="77777777" w:rsidTr="00D15C1B">
        <w:trPr>
          <w:jc w:val="center"/>
        </w:trPr>
        <w:tc>
          <w:tcPr>
            <w:tcW w:w="4957" w:type="dxa"/>
            <w:gridSpan w:val="2"/>
          </w:tcPr>
          <w:p w14:paraId="7A82A45D" w14:textId="5D7ADA72" w:rsidR="00F4284C" w:rsidRPr="00154588" w:rsidRDefault="00F4284C" w:rsidP="008C12B4">
            <w:pPr>
              <w:jc w:val="both"/>
              <w:rPr>
                <w:sz w:val="20"/>
                <w:szCs w:val="20"/>
              </w:rPr>
            </w:pPr>
            <w:r w:rsidRPr="00154588">
              <w:rPr>
                <w:sz w:val="20"/>
                <w:szCs w:val="20"/>
              </w:rPr>
              <w:t>(7)   În cazul în care, în situația menționată la alineatul (1) litera (a) și în conformitate cu alineatul (4) din prezentul articol, autoritatea corespunzătoare, după consultarea autorităților notificate, estimează că nu există măsuri alternative care ar permite obținerea rezultatului menționat la alineatul (4) litera (c), autoritatea corespunzătoare decide în ce măsură este oportună efectuarea constatării avute în vedere, menționată la articolul 59 alineatul (3).</w:t>
            </w:r>
          </w:p>
        </w:tc>
        <w:tc>
          <w:tcPr>
            <w:tcW w:w="4819" w:type="dxa"/>
          </w:tcPr>
          <w:p w14:paraId="6EBA5164" w14:textId="1003BE63" w:rsidR="00F4284C" w:rsidRPr="00154588" w:rsidRDefault="00F4284C" w:rsidP="008C12B4">
            <w:pPr>
              <w:jc w:val="both"/>
              <w:rPr>
                <w:sz w:val="20"/>
                <w:szCs w:val="20"/>
              </w:rPr>
            </w:pPr>
            <w:r w:rsidRPr="00154588">
              <w:rPr>
                <w:b/>
                <w:sz w:val="20"/>
                <w:szCs w:val="20"/>
              </w:rPr>
              <w:t>Articolul 230</w:t>
            </w:r>
            <w:r w:rsidRPr="00154588">
              <w:rPr>
                <w:b/>
                <w:sz w:val="20"/>
                <w:szCs w:val="20"/>
                <w:vertAlign w:val="superscript"/>
              </w:rPr>
              <w:t>2</w:t>
            </w:r>
            <w:r w:rsidRPr="00154588">
              <w:rPr>
                <w:sz w:val="20"/>
                <w:szCs w:val="20"/>
              </w:rPr>
              <w:t xml:space="preserve"> – (7) În cazul în care, în situația prevăzută la art. 230</w:t>
            </w:r>
            <w:r w:rsidRPr="00154588">
              <w:rPr>
                <w:sz w:val="20"/>
                <w:szCs w:val="20"/>
                <w:vertAlign w:val="superscript"/>
              </w:rPr>
              <w:t>2</w:t>
            </w:r>
            <w:r w:rsidRPr="00154588">
              <w:rPr>
                <w:sz w:val="20"/>
                <w:szCs w:val="20"/>
              </w:rPr>
              <w:t xml:space="preserve"> alin. (1) și în conformitate cu prevederile art. 230</w:t>
            </w:r>
            <w:r w:rsidRPr="00154588">
              <w:rPr>
                <w:sz w:val="20"/>
                <w:szCs w:val="20"/>
                <w:vertAlign w:val="superscript"/>
              </w:rPr>
              <w:t>2</w:t>
            </w:r>
            <w:r w:rsidRPr="00154588">
              <w:rPr>
                <w:sz w:val="20"/>
                <w:szCs w:val="20"/>
              </w:rPr>
              <w:t xml:space="preserve"> alin. (4), Banca Națională a Moldovei, în calitate de autoritate competentă, după consultarea autorităților notificate, estimează că nu există măsuri alternative care ar permite obținerea rezultatului prevăzut la art. 230</w:t>
            </w:r>
            <w:r w:rsidRPr="00154588">
              <w:rPr>
                <w:sz w:val="20"/>
                <w:szCs w:val="20"/>
                <w:vertAlign w:val="superscript"/>
              </w:rPr>
              <w:t>2</w:t>
            </w:r>
            <w:r w:rsidRPr="00154588">
              <w:rPr>
                <w:sz w:val="20"/>
                <w:szCs w:val="20"/>
              </w:rPr>
              <w:t xml:space="preserve"> alin. (4) lit. c), aceasta decide în ce măsură este oportună realizarea unei determinări prevăzute la art. 221, pe care o va avea în vedere.</w:t>
            </w:r>
          </w:p>
          <w:p w14:paraId="7161A692" w14:textId="77777777" w:rsidR="00F4284C" w:rsidRPr="00154588" w:rsidRDefault="00F4284C" w:rsidP="008C12B4">
            <w:pPr>
              <w:jc w:val="both"/>
              <w:rPr>
                <w:sz w:val="20"/>
                <w:szCs w:val="20"/>
              </w:rPr>
            </w:pPr>
          </w:p>
        </w:tc>
        <w:tc>
          <w:tcPr>
            <w:tcW w:w="2552" w:type="dxa"/>
          </w:tcPr>
          <w:p w14:paraId="19BAADBF" w14:textId="2A3D9B1D" w:rsidR="00F4284C" w:rsidRPr="00154588" w:rsidRDefault="00F4284C" w:rsidP="008C12B4">
            <w:pPr>
              <w:jc w:val="both"/>
              <w:rPr>
                <w:sz w:val="20"/>
                <w:szCs w:val="20"/>
              </w:rPr>
            </w:pPr>
            <w:r w:rsidRPr="00154588">
              <w:rPr>
                <w:sz w:val="20"/>
                <w:szCs w:val="20"/>
              </w:rPr>
              <w:t>Compatibil</w:t>
            </w:r>
          </w:p>
        </w:tc>
        <w:tc>
          <w:tcPr>
            <w:tcW w:w="3118" w:type="dxa"/>
          </w:tcPr>
          <w:p w14:paraId="29A848B6" w14:textId="77777777" w:rsidR="00F4284C" w:rsidRPr="00154588" w:rsidRDefault="00F4284C" w:rsidP="008C12B4">
            <w:pPr>
              <w:jc w:val="both"/>
              <w:rPr>
                <w:sz w:val="20"/>
                <w:szCs w:val="20"/>
              </w:rPr>
            </w:pPr>
          </w:p>
        </w:tc>
      </w:tr>
      <w:tr w:rsidR="00F4284C" w:rsidRPr="00154588" w14:paraId="32ACB1D7" w14:textId="77777777" w:rsidTr="00D15C1B">
        <w:trPr>
          <w:jc w:val="center"/>
        </w:trPr>
        <w:tc>
          <w:tcPr>
            <w:tcW w:w="4957" w:type="dxa"/>
            <w:gridSpan w:val="2"/>
          </w:tcPr>
          <w:p w14:paraId="65A42C47" w14:textId="2B9CC526" w:rsidR="00F4284C" w:rsidRPr="00154588" w:rsidRDefault="00F4284C" w:rsidP="008C12B4">
            <w:pPr>
              <w:jc w:val="both"/>
              <w:rPr>
                <w:sz w:val="20"/>
                <w:szCs w:val="20"/>
              </w:rPr>
            </w:pPr>
            <w:r w:rsidRPr="00154588">
              <w:rPr>
                <w:sz w:val="20"/>
                <w:szCs w:val="20"/>
              </w:rPr>
              <w:t>(8)   Dacă o autoritate corespunzătoare decide să facă o constatare în temeiul articolului 59 alineatul (3) litera (c), ea trimite imediat o notificare autorităților corespunzătoare din statele membre în care sunt situate filialele în cauză, iar constatarea ia forma unei decizii comune în conformitate cu articolul 92 alineatele (3) și (4). În absența unei decizii comune, nu poate fi efectuată nicio constatare în temeiul articolului 59 alineatul (3) litera (c).</w:t>
            </w:r>
          </w:p>
        </w:tc>
        <w:tc>
          <w:tcPr>
            <w:tcW w:w="4819" w:type="dxa"/>
          </w:tcPr>
          <w:p w14:paraId="52156240" w14:textId="702A3917" w:rsidR="00F4284C" w:rsidRPr="00154588" w:rsidRDefault="00F4284C" w:rsidP="008C12B4">
            <w:pPr>
              <w:jc w:val="both"/>
              <w:rPr>
                <w:sz w:val="20"/>
                <w:szCs w:val="20"/>
              </w:rPr>
            </w:pPr>
            <w:r w:rsidRPr="00154588">
              <w:rPr>
                <w:b/>
                <w:sz w:val="20"/>
                <w:szCs w:val="20"/>
              </w:rPr>
              <w:t>Articolul 230</w:t>
            </w:r>
            <w:r w:rsidRPr="00154588">
              <w:rPr>
                <w:b/>
                <w:sz w:val="20"/>
                <w:szCs w:val="20"/>
                <w:vertAlign w:val="superscript"/>
              </w:rPr>
              <w:t>2</w:t>
            </w:r>
            <w:r w:rsidRPr="00154588">
              <w:rPr>
                <w:sz w:val="20"/>
                <w:szCs w:val="20"/>
              </w:rPr>
              <w:t xml:space="preserve"> – (8) În cazul în care Banca Națională a Moldovei, în calitate de autoritate competentă, decide să realizeze o determinare în temeiul art.221 lit.c), aceasta trimite imediat o notificare autorităților corespunzătoare din statele membre în care sunt situate filialele afectate, iar determinarea ia forma unei decizii comune în conformitate cu prevederile art.295</w:t>
            </w:r>
            <w:r w:rsidRPr="00154588">
              <w:rPr>
                <w:sz w:val="20"/>
                <w:szCs w:val="20"/>
                <w:vertAlign w:val="superscript"/>
              </w:rPr>
              <w:t>50</w:t>
            </w:r>
            <w:r w:rsidRPr="00154588">
              <w:rPr>
                <w:sz w:val="20"/>
                <w:szCs w:val="20"/>
              </w:rPr>
              <w:t xml:space="preserve"> și 295</w:t>
            </w:r>
            <w:r w:rsidRPr="00154588">
              <w:rPr>
                <w:sz w:val="20"/>
                <w:szCs w:val="20"/>
                <w:vertAlign w:val="superscript"/>
              </w:rPr>
              <w:t>51</w:t>
            </w:r>
            <w:r w:rsidRPr="00154588">
              <w:rPr>
                <w:sz w:val="20"/>
                <w:szCs w:val="20"/>
              </w:rPr>
              <w:t>. În absența unei decizii comune, nu poate fi realizată nicio determinare în temeiul art.221 lit.c).</w:t>
            </w:r>
          </w:p>
          <w:p w14:paraId="4AEAD07B" w14:textId="77777777" w:rsidR="00F4284C" w:rsidRPr="00154588" w:rsidRDefault="00F4284C" w:rsidP="008C12B4">
            <w:pPr>
              <w:jc w:val="both"/>
              <w:rPr>
                <w:sz w:val="20"/>
                <w:szCs w:val="20"/>
              </w:rPr>
            </w:pPr>
          </w:p>
        </w:tc>
        <w:tc>
          <w:tcPr>
            <w:tcW w:w="2552" w:type="dxa"/>
          </w:tcPr>
          <w:p w14:paraId="79BF0B77" w14:textId="18746BCC" w:rsidR="00F4284C" w:rsidRPr="00154588" w:rsidRDefault="00F4284C" w:rsidP="008C12B4">
            <w:pPr>
              <w:jc w:val="both"/>
              <w:rPr>
                <w:sz w:val="20"/>
                <w:szCs w:val="20"/>
              </w:rPr>
            </w:pPr>
            <w:r w:rsidRPr="00154588">
              <w:rPr>
                <w:sz w:val="20"/>
                <w:szCs w:val="20"/>
              </w:rPr>
              <w:t>Compatibil</w:t>
            </w:r>
          </w:p>
        </w:tc>
        <w:tc>
          <w:tcPr>
            <w:tcW w:w="3118" w:type="dxa"/>
          </w:tcPr>
          <w:p w14:paraId="3127E01F" w14:textId="77777777" w:rsidR="00F4284C" w:rsidRPr="00154588" w:rsidRDefault="00F4284C" w:rsidP="008C12B4">
            <w:pPr>
              <w:jc w:val="both"/>
              <w:rPr>
                <w:sz w:val="20"/>
                <w:szCs w:val="20"/>
              </w:rPr>
            </w:pPr>
          </w:p>
        </w:tc>
      </w:tr>
      <w:tr w:rsidR="00F4284C" w:rsidRPr="00154588" w14:paraId="02ED840F" w14:textId="77777777" w:rsidTr="00D15C1B">
        <w:trPr>
          <w:jc w:val="center"/>
        </w:trPr>
        <w:tc>
          <w:tcPr>
            <w:tcW w:w="4957" w:type="dxa"/>
            <w:gridSpan w:val="2"/>
          </w:tcPr>
          <w:p w14:paraId="4B31010C" w14:textId="7198454C" w:rsidR="00F4284C" w:rsidRPr="00154588" w:rsidRDefault="00F4284C" w:rsidP="008C12B4">
            <w:pPr>
              <w:jc w:val="both"/>
              <w:rPr>
                <w:sz w:val="20"/>
                <w:szCs w:val="20"/>
              </w:rPr>
            </w:pPr>
            <w:r w:rsidRPr="00154588">
              <w:rPr>
                <w:sz w:val="20"/>
                <w:szCs w:val="20"/>
              </w:rPr>
              <w:t>(9)   Autoritățile de rezoluție ale statelor membre în care este situată fiecare dintre filialele în cauză pune cu promptitudine în aplicare decizia de reducere a valorii contabile sau de conversie a instrumentelor de capital, adoptată în conformitate cu prezentul articol, ținând cont în mod corespunzător de caracterul urgent al situației.</w:t>
            </w:r>
          </w:p>
        </w:tc>
        <w:tc>
          <w:tcPr>
            <w:tcW w:w="4819" w:type="dxa"/>
          </w:tcPr>
          <w:p w14:paraId="2FAE9EAF" w14:textId="1EDD1E0B" w:rsidR="00F4284C" w:rsidRPr="00154588" w:rsidRDefault="00F4284C" w:rsidP="008C12B4">
            <w:pPr>
              <w:jc w:val="both"/>
              <w:rPr>
                <w:sz w:val="20"/>
                <w:szCs w:val="20"/>
              </w:rPr>
            </w:pPr>
            <w:r w:rsidRPr="00154588">
              <w:rPr>
                <w:b/>
                <w:sz w:val="20"/>
                <w:szCs w:val="20"/>
              </w:rPr>
              <w:t>Articolul 230</w:t>
            </w:r>
            <w:r w:rsidRPr="00154588">
              <w:rPr>
                <w:b/>
                <w:sz w:val="20"/>
                <w:szCs w:val="20"/>
                <w:vertAlign w:val="superscript"/>
              </w:rPr>
              <w:t>2</w:t>
            </w:r>
            <w:r w:rsidRPr="00154588">
              <w:rPr>
                <w:sz w:val="20"/>
                <w:szCs w:val="20"/>
              </w:rPr>
              <w:t xml:space="preserve"> – (9) Banca Națională a Moldovei, în calitate de autoritate de rezoluție pentru filialele afectate, persoane juridice din Republica Moldova, pune în aplicare cu promptitudine decizia de reducere a valorii sau de conversie a instrumentelor de capital, adoptată cu respectarea prevederilor art.230 sau în mod similar celor prevăzute de respectivele articole, ținând cont în mod corespunzător de caracterul urgent al situației.</w:t>
            </w:r>
          </w:p>
          <w:p w14:paraId="11F3F0B2" w14:textId="77777777" w:rsidR="00F4284C" w:rsidRPr="00154588" w:rsidRDefault="00F4284C" w:rsidP="008C12B4">
            <w:pPr>
              <w:jc w:val="both"/>
              <w:rPr>
                <w:sz w:val="20"/>
                <w:szCs w:val="20"/>
              </w:rPr>
            </w:pPr>
          </w:p>
        </w:tc>
        <w:tc>
          <w:tcPr>
            <w:tcW w:w="2552" w:type="dxa"/>
          </w:tcPr>
          <w:p w14:paraId="10B3AE20" w14:textId="455836CB" w:rsidR="00F4284C" w:rsidRPr="00154588" w:rsidRDefault="00F4284C" w:rsidP="008C12B4">
            <w:pPr>
              <w:jc w:val="both"/>
              <w:rPr>
                <w:sz w:val="20"/>
                <w:szCs w:val="20"/>
              </w:rPr>
            </w:pPr>
            <w:r w:rsidRPr="00154588">
              <w:rPr>
                <w:sz w:val="20"/>
                <w:szCs w:val="20"/>
              </w:rPr>
              <w:t>Compatibil</w:t>
            </w:r>
          </w:p>
        </w:tc>
        <w:tc>
          <w:tcPr>
            <w:tcW w:w="3118" w:type="dxa"/>
          </w:tcPr>
          <w:p w14:paraId="582BB95F" w14:textId="77777777" w:rsidR="00F4284C" w:rsidRPr="00154588" w:rsidRDefault="00F4284C" w:rsidP="008C12B4">
            <w:pPr>
              <w:jc w:val="both"/>
              <w:rPr>
                <w:sz w:val="20"/>
                <w:szCs w:val="20"/>
              </w:rPr>
            </w:pPr>
          </w:p>
        </w:tc>
      </w:tr>
      <w:tr w:rsidR="00F4284C" w:rsidRPr="00154588" w14:paraId="18C5D70D" w14:textId="77777777" w:rsidTr="00D15C1B">
        <w:trPr>
          <w:jc w:val="center"/>
        </w:trPr>
        <w:tc>
          <w:tcPr>
            <w:tcW w:w="4957" w:type="dxa"/>
            <w:gridSpan w:val="2"/>
          </w:tcPr>
          <w:p w14:paraId="11CCBA4C" w14:textId="77777777" w:rsidR="00F4284C" w:rsidRPr="00154588" w:rsidRDefault="00F4284C" w:rsidP="008C12B4">
            <w:pPr>
              <w:jc w:val="both"/>
              <w:rPr>
                <w:b/>
                <w:sz w:val="20"/>
                <w:szCs w:val="20"/>
              </w:rPr>
            </w:pPr>
            <w:r w:rsidRPr="00154588">
              <w:rPr>
                <w:b/>
                <w:sz w:val="20"/>
                <w:szCs w:val="20"/>
              </w:rPr>
              <w:t>CAPITOLUL VI</w:t>
            </w:r>
          </w:p>
          <w:p w14:paraId="7613A32A" w14:textId="77777777" w:rsidR="00F4284C" w:rsidRPr="00154588" w:rsidRDefault="00F4284C" w:rsidP="008C12B4">
            <w:pPr>
              <w:jc w:val="both"/>
              <w:rPr>
                <w:b/>
                <w:sz w:val="20"/>
                <w:szCs w:val="20"/>
              </w:rPr>
            </w:pPr>
          </w:p>
          <w:p w14:paraId="765F9108" w14:textId="6A676CE1" w:rsidR="00F4284C" w:rsidRPr="00154588" w:rsidRDefault="00F4284C" w:rsidP="008C12B4">
            <w:pPr>
              <w:jc w:val="both"/>
              <w:rPr>
                <w:sz w:val="20"/>
                <w:szCs w:val="20"/>
              </w:rPr>
            </w:pPr>
            <w:r w:rsidRPr="00154588">
              <w:rPr>
                <w:b/>
                <w:sz w:val="20"/>
                <w:szCs w:val="20"/>
              </w:rPr>
              <w:t>Competențe de rezoluție</w:t>
            </w:r>
          </w:p>
        </w:tc>
        <w:tc>
          <w:tcPr>
            <w:tcW w:w="4819" w:type="dxa"/>
          </w:tcPr>
          <w:p w14:paraId="37C7B098" w14:textId="77777777" w:rsidR="00F4284C" w:rsidRPr="00154588" w:rsidRDefault="00F4284C" w:rsidP="008C12B4">
            <w:pPr>
              <w:jc w:val="both"/>
              <w:rPr>
                <w:sz w:val="20"/>
                <w:szCs w:val="20"/>
              </w:rPr>
            </w:pPr>
          </w:p>
        </w:tc>
        <w:tc>
          <w:tcPr>
            <w:tcW w:w="2552" w:type="dxa"/>
          </w:tcPr>
          <w:p w14:paraId="47E2322B" w14:textId="77777777" w:rsidR="00F4284C" w:rsidRPr="00154588" w:rsidRDefault="00F4284C" w:rsidP="008C12B4">
            <w:pPr>
              <w:jc w:val="both"/>
              <w:rPr>
                <w:sz w:val="20"/>
                <w:szCs w:val="20"/>
              </w:rPr>
            </w:pPr>
          </w:p>
        </w:tc>
        <w:tc>
          <w:tcPr>
            <w:tcW w:w="3118" w:type="dxa"/>
          </w:tcPr>
          <w:p w14:paraId="4BAB679A" w14:textId="77777777" w:rsidR="00F4284C" w:rsidRPr="00154588" w:rsidRDefault="00F4284C" w:rsidP="008C12B4">
            <w:pPr>
              <w:jc w:val="both"/>
              <w:rPr>
                <w:sz w:val="20"/>
                <w:szCs w:val="20"/>
              </w:rPr>
            </w:pPr>
          </w:p>
        </w:tc>
      </w:tr>
      <w:tr w:rsidR="00F4284C" w:rsidRPr="00154588" w14:paraId="6425AAB9" w14:textId="77777777" w:rsidTr="00D15C1B">
        <w:trPr>
          <w:jc w:val="center"/>
        </w:trPr>
        <w:tc>
          <w:tcPr>
            <w:tcW w:w="4957" w:type="dxa"/>
            <w:gridSpan w:val="2"/>
          </w:tcPr>
          <w:p w14:paraId="598DCE07" w14:textId="77777777" w:rsidR="00F4284C" w:rsidRPr="00154588" w:rsidRDefault="00F4284C" w:rsidP="008C12B4">
            <w:pPr>
              <w:jc w:val="both"/>
              <w:rPr>
                <w:b/>
                <w:sz w:val="20"/>
                <w:szCs w:val="20"/>
              </w:rPr>
            </w:pPr>
            <w:r w:rsidRPr="00154588">
              <w:rPr>
                <w:b/>
                <w:sz w:val="20"/>
                <w:szCs w:val="20"/>
              </w:rPr>
              <w:lastRenderedPageBreak/>
              <w:t>Articolul 63</w:t>
            </w:r>
          </w:p>
          <w:p w14:paraId="3025DB7B" w14:textId="77777777" w:rsidR="00F4284C" w:rsidRPr="00154588" w:rsidRDefault="00F4284C" w:rsidP="008C12B4">
            <w:pPr>
              <w:jc w:val="both"/>
              <w:rPr>
                <w:b/>
                <w:sz w:val="20"/>
                <w:szCs w:val="20"/>
              </w:rPr>
            </w:pPr>
          </w:p>
          <w:p w14:paraId="3366A0F5" w14:textId="3761B79B" w:rsidR="00F4284C" w:rsidRPr="00154588" w:rsidRDefault="00F4284C" w:rsidP="008C12B4">
            <w:pPr>
              <w:jc w:val="both"/>
              <w:rPr>
                <w:sz w:val="20"/>
                <w:szCs w:val="20"/>
              </w:rPr>
            </w:pPr>
            <w:r w:rsidRPr="00154588">
              <w:rPr>
                <w:b/>
                <w:sz w:val="20"/>
                <w:szCs w:val="20"/>
              </w:rPr>
              <w:t>Competențe generale</w:t>
            </w:r>
          </w:p>
        </w:tc>
        <w:tc>
          <w:tcPr>
            <w:tcW w:w="4819" w:type="dxa"/>
          </w:tcPr>
          <w:p w14:paraId="560BAE1B" w14:textId="77777777" w:rsidR="00F4284C" w:rsidRPr="00154588" w:rsidRDefault="00F4284C" w:rsidP="008C12B4">
            <w:pPr>
              <w:jc w:val="both"/>
              <w:rPr>
                <w:sz w:val="20"/>
                <w:szCs w:val="20"/>
              </w:rPr>
            </w:pPr>
          </w:p>
        </w:tc>
        <w:tc>
          <w:tcPr>
            <w:tcW w:w="2552" w:type="dxa"/>
          </w:tcPr>
          <w:p w14:paraId="764CB0EC" w14:textId="77777777" w:rsidR="00F4284C" w:rsidRPr="00154588" w:rsidRDefault="00F4284C" w:rsidP="008C12B4">
            <w:pPr>
              <w:jc w:val="both"/>
              <w:rPr>
                <w:sz w:val="20"/>
                <w:szCs w:val="20"/>
              </w:rPr>
            </w:pPr>
          </w:p>
        </w:tc>
        <w:tc>
          <w:tcPr>
            <w:tcW w:w="3118" w:type="dxa"/>
          </w:tcPr>
          <w:p w14:paraId="772C337C" w14:textId="77777777" w:rsidR="00F4284C" w:rsidRPr="00154588" w:rsidRDefault="00F4284C" w:rsidP="008C12B4">
            <w:pPr>
              <w:jc w:val="both"/>
              <w:rPr>
                <w:sz w:val="20"/>
                <w:szCs w:val="20"/>
              </w:rPr>
            </w:pPr>
          </w:p>
        </w:tc>
      </w:tr>
      <w:tr w:rsidR="00F4284C" w:rsidRPr="00154588" w14:paraId="70FCEB67" w14:textId="77777777" w:rsidTr="00D15C1B">
        <w:trPr>
          <w:jc w:val="center"/>
        </w:trPr>
        <w:tc>
          <w:tcPr>
            <w:tcW w:w="4957" w:type="dxa"/>
            <w:gridSpan w:val="2"/>
          </w:tcPr>
          <w:p w14:paraId="00B5257A" w14:textId="77777777" w:rsidR="00F4284C" w:rsidRPr="00154588" w:rsidRDefault="00F4284C" w:rsidP="008C12B4">
            <w:pPr>
              <w:jc w:val="both"/>
              <w:rPr>
                <w:sz w:val="20"/>
                <w:szCs w:val="20"/>
              </w:rPr>
            </w:pPr>
            <w:r w:rsidRPr="00154588">
              <w:rPr>
                <w:sz w:val="20"/>
                <w:szCs w:val="20"/>
              </w:rPr>
              <w:t>(1)   Statele membre se asigură că autoritățile de rezoluție dețin toate competențele necesare pentru a aplica instrumentele de rezoluție instituțiilor, precum și entităților menționate la articolul 1 alineatul (1) literele (b), (c) și (d) care îndeplinesc condițiile de declanșare a procedurii de rezoluție. În special, autoritățile de rezoluție trebuie să dețină următoarele competențe de rezoluție, pe care le pot exercita separat sau în orice combinație:</w:t>
            </w:r>
          </w:p>
          <w:p w14:paraId="0DDDE90F" w14:textId="77777777" w:rsidR="00F4284C" w:rsidRPr="00154588" w:rsidRDefault="00F4284C" w:rsidP="008C12B4">
            <w:pPr>
              <w:jc w:val="both"/>
              <w:rPr>
                <w:sz w:val="20"/>
                <w:szCs w:val="20"/>
              </w:rPr>
            </w:pPr>
          </w:p>
          <w:p w14:paraId="754AB37E" w14:textId="418B08D0" w:rsidR="00F4284C" w:rsidRPr="00154588" w:rsidRDefault="00F4284C" w:rsidP="008C12B4">
            <w:pPr>
              <w:jc w:val="both"/>
              <w:rPr>
                <w:sz w:val="20"/>
                <w:szCs w:val="20"/>
              </w:rPr>
            </w:pPr>
            <w:r w:rsidRPr="00154588">
              <w:rPr>
                <w:sz w:val="20"/>
                <w:szCs w:val="20"/>
              </w:rPr>
              <w:t>(a) competența de a solicita oricărei persoane să prezinte orice fel de informație solicitată autorității de rezoluție pentru luarea unei decizii privind adoptarea unei măsuri de rezoluție și pentru pregătirea respectivei măsuri, inclusiv actualizări și completări ale informațiilor furnizate în cadrul planurilor de rezoluție, precum și informații care urmează să fie furnizate prin intermediul inspecțiilor la fața locului;</w:t>
            </w:r>
          </w:p>
          <w:p w14:paraId="4DD4EC1F" w14:textId="77777777" w:rsidR="00F4284C" w:rsidRPr="00154588" w:rsidRDefault="00F4284C" w:rsidP="008C12B4">
            <w:pPr>
              <w:jc w:val="both"/>
              <w:rPr>
                <w:sz w:val="20"/>
                <w:szCs w:val="20"/>
              </w:rPr>
            </w:pPr>
          </w:p>
          <w:p w14:paraId="6832AAE3" w14:textId="079A6E3E" w:rsidR="00F4284C" w:rsidRPr="00154588" w:rsidRDefault="00F4284C" w:rsidP="008C12B4">
            <w:pPr>
              <w:jc w:val="both"/>
              <w:rPr>
                <w:sz w:val="20"/>
                <w:szCs w:val="20"/>
              </w:rPr>
            </w:pPr>
            <w:r w:rsidRPr="00154588">
              <w:rPr>
                <w:sz w:val="20"/>
                <w:szCs w:val="20"/>
              </w:rPr>
              <w:t>(b) competența de a prelua controlul asupra unei instituții aflate în rezoluție și de a exercita toate drepturile și competențele conferite acționarilor, altor proprietari și organului de conducere al instituției aflate în rezoluție;</w:t>
            </w:r>
          </w:p>
          <w:p w14:paraId="7A897D57" w14:textId="77777777" w:rsidR="00F4284C" w:rsidRPr="00154588" w:rsidRDefault="00F4284C" w:rsidP="008C12B4">
            <w:pPr>
              <w:jc w:val="both"/>
              <w:rPr>
                <w:sz w:val="20"/>
                <w:szCs w:val="20"/>
              </w:rPr>
            </w:pPr>
          </w:p>
          <w:p w14:paraId="01E5EDC4" w14:textId="32966D77" w:rsidR="00F4284C" w:rsidRPr="00154588" w:rsidRDefault="00F4284C" w:rsidP="008C12B4">
            <w:pPr>
              <w:jc w:val="both"/>
              <w:rPr>
                <w:sz w:val="20"/>
                <w:szCs w:val="20"/>
              </w:rPr>
            </w:pPr>
            <w:r w:rsidRPr="00154588">
              <w:rPr>
                <w:sz w:val="20"/>
                <w:szCs w:val="20"/>
              </w:rPr>
              <w:t>(c) competența de a transfera acțiuni și alte instrumente de proprietate emise de o instituție aflată în rezoluție;</w:t>
            </w:r>
          </w:p>
          <w:p w14:paraId="6CDF1C17" w14:textId="77777777" w:rsidR="00F4284C" w:rsidRPr="00154588" w:rsidRDefault="00F4284C" w:rsidP="008C12B4">
            <w:pPr>
              <w:jc w:val="both"/>
              <w:rPr>
                <w:sz w:val="20"/>
                <w:szCs w:val="20"/>
              </w:rPr>
            </w:pPr>
          </w:p>
          <w:p w14:paraId="77E95C4F" w14:textId="571DF03E" w:rsidR="00F4284C" w:rsidRPr="00154588" w:rsidRDefault="00F4284C" w:rsidP="008C12B4">
            <w:pPr>
              <w:jc w:val="both"/>
              <w:rPr>
                <w:sz w:val="20"/>
                <w:szCs w:val="20"/>
              </w:rPr>
            </w:pPr>
            <w:r w:rsidRPr="00154588">
              <w:rPr>
                <w:sz w:val="20"/>
                <w:szCs w:val="20"/>
              </w:rPr>
              <w:t>(d) competența de a transfera unei alte entități, cu consimțământul acesteia, anumite drepturi, active sau pasive ale unei instituții aflate în rezoluție;</w:t>
            </w:r>
          </w:p>
          <w:p w14:paraId="4E8733FD" w14:textId="77777777" w:rsidR="00F4284C" w:rsidRPr="00154588" w:rsidRDefault="00F4284C" w:rsidP="008C12B4">
            <w:pPr>
              <w:jc w:val="both"/>
              <w:rPr>
                <w:sz w:val="20"/>
                <w:szCs w:val="20"/>
              </w:rPr>
            </w:pPr>
          </w:p>
          <w:p w14:paraId="0F094F02" w14:textId="63AEE9ED" w:rsidR="00F4284C" w:rsidRPr="00154588" w:rsidRDefault="00F4284C" w:rsidP="008C12B4">
            <w:pPr>
              <w:jc w:val="both"/>
              <w:rPr>
                <w:sz w:val="20"/>
                <w:szCs w:val="20"/>
              </w:rPr>
            </w:pPr>
            <w:r w:rsidRPr="00154588">
              <w:rPr>
                <w:sz w:val="20"/>
                <w:szCs w:val="20"/>
              </w:rPr>
              <w:t>(e) competența de a reduce, inclusiv la zero, valoarea contabilă a principalului sau suma restantă datorată în temeiul   datorii care pot face obiectul recapitalizării interne ale unei instituții aflate în rezoluție;</w:t>
            </w:r>
          </w:p>
          <w:p w14:paraId="7328A9C2" w14:textId="77777777" w:rsidR="00F4284C" w:rsidRPr="00154588" w:rsidRDefault="00F4284C" w:rsidP="008C12B4">
            <w:pPr>
              <w:jc w:val="both"/>
              <w:rPr>
                <w:sz w:val="20"/>
                <w:szCs w:val="20"/>
              </w:rPr>
            </w:pPr>
          </w:p>
          <w:p w14:paraId="3E3A867B" w14:textId="01C1DE2E" w:rsidR="00F4284C" w:rsidRPr="00154588" w:rsidRDefault="00F4284C" w:rsidP="008C12B4">
            <w:pPr>
              <w:jc w:val="both"/>
              <w:rPr>
                <w:sz w:val="20"/>
                <w:szCs w:val="20"/>
              </w:rPr>
            </w:pPr>
            <w:r w:rsidRPr="00154588">
              <w:rPr>
                <w:sz w:val="20"/>
                <w:szCs w:val="20"/>
              </w:rPr>
              <w:t xml:space="preserve">(f) competența de a converti datorii care pot face obiectul recapitalizării interne ale unei instituții aflate în rezoluție în acțiuni ordinare sau în alte instrumente de proprietate ale instituției respective sau ale entității </w:t>
            </w:r>
            <w:r w:rsidRPr="00154588">
              <w:rPr>
                <w:sz w:val="20"/>
                <w:szCs w:val="20"/>
              </w:rPr>
              <w:lastRenderedPageBreak/>
              <w:t>menționate la articolul 1 alineatul (1) litera (b), (c) sau (d), ale unei instituții-mamă relevante sau ale unei instituții-punte către care sunt transferate activele, drepturile sau pasivele instituției sau ale entității menționate la articolul 1 alineatul (1) litera (b), (c) sau (d);</w:t>
            </w:r>
          </w:p>
          <w:p w14:paraId="1D5D4511" w14:textId="77777777" w:rsidR="00F4284C" w:rsidRPr="00154588" w:rsidRDefault="00F4284C" w:rsidP="008C12B4">
            <w:pPr>
              <w:jc w:val="both"/>
              <w:rPr>
                <w:sz w:val="20"/>
                <w:szCs w:val="20"/>
              </w:rPr>
            </w:pPr>
          </w:p>
          <w:p w14:paraId="2AED87D3" w14:textId="1E2F65DC" w:rsidR="00F4284C" w:rsidRPr="00154588" w:rsidRDefault="00F4284C" w:rsidP="008C12B4">
            <w:pPr>
              <w:jc w:val="both"/>
              <w:rPr>
                <w:sz w:val="20"/>
                <w:szCs w:val="20"/>
              </w:rPr>
            </w:pPr>
            <w:r w:rsidRPr="00154588">
              <w:rPr>
                <w:sz w:val="20"/>
                <w:szCs w:val="20"/>
              </w:rPr>
              <w:t>(g) competența de a anula instrumente de datorie emise de o instituție aflată în rezoluție, cu excepția obligațiilor garantate prin garanții mobiliare care fac obiectul articolului 44 alineatul (2);</w:t>
            </w:r>
          </w:p>
          <w:p w14:paraId="75808510" w14:textId="77777777" w:rsidR="00F4284C" w:rsidRPr="00154588" w:rsidRDefault="00F4284C" w:rsidP="008C12B4">
            <w:pPr>
              <w:jc w:val="both"/>
              <w:rPr>
                <w:sz w:val="20"/>
                <w:szCs w:val="20"/>
              </w:rPr>
            </w:pPr>
          </w:p>
          <w:p w14:paraId="15988096" w14:textId="7575660C" w:rsidR="00F4284C" w:rsidRPr="00154588" w:rsidRDefault="00F4284C" w:rsidP="008C12B4">
            <w:pPr>
              <w:jc w:val="both"/>
              <w:rPr>
                <w:sz w:val="20"/>
                <w:szCs w:val="20"/>
              </w:rPr>
            </w:pPr>
            <w:r w:rsidRPr="00154588">
              <w:rPr>
                <w:sz w:val="20"/>
                <w:szCs w:val="20"/>
              </w:rPr>
              <w:t>(h) competența de a reduce, inclusiv la zero, valoarea nominală a acțiunilor sau a altor instrumente de proprietate ale unei instituții aflate în rezoluție, precum și de a anula astfel de acțiuni sau alte instrumente de proprietate;</w:t>
            </w:r>
          </w:p>
          <w:p w14:paraId="1689B131" w14:textId="77777777" w:rsidR="00F4284C" w:rsidRPr="00154588" w:rsidRDefault="00F4284C" w:rsidP="008C12B4">
            <w:pPr>
              <w:jc w:val="both"/>
              <w:rPr>
                <w:sz w:val="20"/>
                <w:szCs w:val="20"/>
              </w:rPr>
            </w:pPr>
          </w:p>
          <w:p w14:paraId="573A05E4" w14:textId="3066DE92" w:rsidR="00F4284C" w:rsidRPr="00154588" w:rsidRDefault="00F4284C" w:rsidP="008C12B4">
            <w:pPr>
              <w:jc w:val="both"/>
              <w:rPr>
                <w:sz w:val="20"/>
                <w:szCs w:val="20"/>
              </w:rPr>
            </w:pPr>
            <w:r w:rsidRPr="00154588">
              <w:rPr>
                <w:sz w:val="20"/>
                <w:szCs w:val="20"/>
              </w:rPr>
              <w:t>(i) competența de a solicita unei instituții aflate în rezoluție sau unei instituții-mamă relevante emiterea unor noi acțiuni, a altor instrumente de proprietate sau a altor instrumente de capital, inclusiv a unor acțiuni preferențiale și a unor instrumente convertibile contingente;</w:t>
            </w:r>
          </w:p>
          <w:p w14:paraId="6800DA29" w14:textId="77777777" w:rsidR="00F4284C" w:rsidRPr="00154588" w:rsidRDefault="00F4284C" w:rsidP="008C12B4">
            <w:pPr>
              <w:jc w:val="both"/>
              <w:rPr>
                <w:sz w:val="20"/>
                <w:szCs w:val="20"/>
              </w:rPr>
            </w:pPr>
          </w:p>
          <w:p w14:paraId="36516094" w14:textId="4953685C" w:rsidR="00F4284C" w:rsidRPr="00154588" w:rsidRDefault="00F4284C" w:rsidP="008C12B4">
            <w:pPr>
              <w:jc w:val="both"/>
              <w:rPr>
                <w:sz w:val="20"/>
                <w:szCs w:val="20"/>
              </w:rPr>
            </w:pPr>
            <w:r w:rsidRPr="00154588">
              <w:rPr>
                <w:sz w:val="20"/>
                <w:szCs w:val="20"/>
              </w:rPr>
              <w:t>(j) competența de a modifica sau de a ajusta scadența instrumentelor de datorie și a altor datorii care pot face obiectul recapitalizării interne emise de o instituție aflată în rezoluție sau competența de a modifica suma dobânzilor de plată în cadrul instrumentelor respective și al altor datorii care pot face obiectul recapitalizării interne sau data la care dobânda devine exigibilă, inclusiv prin suspendarea temporară a plăților cu excepția obligațiilor garantate prin garanții mobiliare care fac obiectul articolului 44 alineatul (2);</w:t>
            </w:r>
          </w:p>
          <w:p w14:paraId="6AF2CC1B" w14:textId="77777777" w:rsidR="00F4284C" w:rsidRPr="00154588" w:rsidRDefault="00F4284C" w:rsidP="008C12B4">
            <w:pPr>
              <w:jc w:val="both"/>
              <w:rPr>
                <w:sz w:val="20"/>
                <w:szCs w:val="20"/>
              </w:rPr>
            </w:pPr>
          </w:p>
          <w:p w14:paraId="603D06C6" w14:textId="33A87C97" w:rsidR="00F4284C" w:rsidRPr="00154588" w:rsidRDefault="00F4284C" w:rsidP="008C12B4">
            <w:pPr>
              <w:jc w:val="both"/>
              <w:rPr>
                <w:sz w:val="20"/>
                <w:szCs w:val="20"/>
              </w:rPr>
            </w:pPr>
            <w:r w:rsidRPr="00154588">
              <w:rPr>
                <w:sz w:val="20"/>
                <w:szCs w:val="20"/>
              </w:rPr>
              <w:t>(k) competența de a lichida și a rezilia contracte financiare sau contracte derivate în scopul aplicării articolului 49;</w:t>
            </w:r>
          </w:p>
          <w:p w14:paraId="2039BF29" w14:textId="77777777" w:rsidR="00F4284C" w:rsidRPr="00154588" w:rsidRDefault="00F4284C" w:rsidP="008C12B4">
            <w:pPr>
              <w:jc w:val="both"/>
              <w:rPr>
                <w:sz w:val="20"/>
                <w:szCs w:val="20"/>
              </w:rPr>
            </w:pPr>
          </w:p>
          <w:p w14:paraId="094D6D08" w14:textId="77777777" w:rsidR="00F4284C" w:rsidRPr="00154588" w:rsidRDefault="00F4284C" w:rsidP="008C12B4">
            <w:pPr>
              <w:jc w:val="both"/>
              <w:rPr>
                <w:sz w:val="20"/>
                <w:szCs w:val="20"/>
              </w:rPr>
            </w:pPr>
          </w:p>
          <w:p w14:paraId="2FA502EF" w14:textId="4DF463E1" w:rsidR="00F4284C" w:rsidRPr="00154588" w:rsidRDefault="00F4284C" w:rsidP="008C12B4">
            <w:pPr>
              <w:jc w:val="both"/>
              <w:rPr>
                <w:sz w:val="20"/>
                <w:szCs w:val="20"/>
              </w:rPr>
            </w:pPr>
            <w:r w:rsidRPr="00154588">
              <w:rPr>
                <w:sz w:val="20"/>
                <w:szCs w:val="20"/>
              </w:rPr>
              <w:t>(l) competența de a demite sau de a înlocui organul de conducere și conducerea superioară ale unei instituții aflate în rezoluție;</w:t>
            </w:r>
          </w:p>
          <w:p w14:paraId="686E4544" w14:textId="77777777" w:rsidR="00F4284C" w:rsidRPr="00154588" w:rsidRDefault="00F4284C" w:rsidP="008C12B4">
            <w:pPr>
              <w:jc w:val="both"/>
              <w:rPr>
                <w:sz w:val="20"/>
                <w:szCs w:val="20"/>
              </w:rPr>
            </w:pPr>
          </w:p>
          <w:p w14:paraId="3FCA7A32" w14:textId="6FFD0382" w:rsidR="00F4284C" w:rsidRPr="00154588" w:rsidRDefault="00F4284C" w:rsidP="008C12B4">
            <w:pPr>
              <w:jc w:val="both"/>
              <w:rPr>
                <w:sz w:val="20"/>
                <w:szCs w:val="20"/>
              </w:rPr>
            </w:pPr>
            <w:r w:rsidRPr="00154588">
              <w:rPr>
                <w:sz w:val="20"/>
                <w:szCs w:val="20"/>
              </w:rPr>
              <w:lastRenderedPageBreak/>
              <w:t>(m) competența de a impune autorității relevante să evalueze cumpărătorul unei participații calificate în timp util prin derogare de la termenele prevăzute la articolul 31 din Regulamentul (UE) nr. 648/2012, la articolul 27a din Regulamentul (UE) nr. 909/2014 al Parlamentului European și al Consiliului (*), la articolul 11 din Directiva 2009/65/CE, la articolul 58 din Directiva 2009/138/CE, la articolul 22 din Directiva 2013/36/UE și la articolul 12 din Directiva 2014/65/UE, precum și de la orice termene stabilite în legislația națională de transpunere a articolului 6 din Directiva (UE) 2015/2366 a Parlamentului European și a Consiliului</w:t>
            </w:r>
          </w:p>
          <w:p w14:paraId="2284DE5D" w14:textId="77777777" w:rsidR="00F4284C" w:rsidRPr="00154588" w:rsidRDefault="00F4284C" w:rsidP="008C12B4">
            <w:pPr>
              <w:jc w:val="both"/>
              <w:rPr>
                <w:sz w:val="20"/>
                <w:szCs w:val="20"/>
              </w:rPr>
            </w:pPr>
          </w:p>
          <w:p w14:paraId="2DE9CC8A" w14:textId="3A463C37" w:rsidR="00F4284C" w:rsidRPr="00154588" w:rsidRDefault="00F4284C" w:rsidP="008C12B4">
            <w:pPr>
              <w:jc w:val="both"/>
              <w:rPr>
                <w:sz w:val="20"/>
                <w:szCs w:val="20"/>
              </w:rPr>
            </w:pPr>
            <w:r w:rsidRPr="00154588">
              <w:rPr>
                <w:sz w:val="20"/>
                <w:szCs w:val="20"/>
              </w:rPr>
              <w:t>În cazul în care sunt exercitate competențele menționate la primul paragraf litera (e) sau (f) în ceea ce privește datoriile cu exigibilitate sau valoare incertă, reducerea sau conversia produce efecte dacă și odată ce datoria relevantă este determinată în mod concludent în ceea ce privește exigibilitatea și cuantumul sau a apărut creanța conexă.</w:t>
            </w:r>
          </w:p>
        </w:tc>
        <w:tc>
          <w:tcPr>
            <w:tcW w:w="4819" w:type="dxa"/>
          </w:tcPr>
          <w:p w14:paraId="3F6CCCA0" w14:textId="59869301" w:rsidR="00F4284C" w:rsidRPr="00154588" w:rsidRDefault="00F4284C" w:rsidP="008C12B4">
            <w:pPr>
              <w:ind w:firstLine="567"/>
              <w:jc w:val="both"/>
              <w:rPr>
                <w:sz w:val="20"/>
                <w:szCs w:val="20"/>
              </w:rPr>
            </w:pPr>
            <w:r w:rsidRPr="00154588">
              <w:rPr>
                <w:b/>
                <w:sz w:val="20"/>
                <w:szCs w:val="20"/>
              </w:rPr>
              <w:lastRenderedPageBreak/>
              <w:t>Articolul 231.</w:t>
            </w:r>
            <w:r w:rsidRPr="00154588">
              <w:rPr>
                <w:sz w:val="20"/>
                <w:szCs w:val="20"/>
              </w:rPr>
              <w:t xml:space="preserve"> – (1) Banca Naţională a Moldovei, în calitate de autoritate de rezoluţie, aplică instrumentele de rezoluţie </w:t>
            </w:r>
            <w:bookmarkStart w:id="137" w:name="_Hlk223362844"/>
            <w:r w:rsidRPr="00154588">
              <w:rPr>
                <w:sz w:val="20"/>
                <w:szCs w:val="20"/>
              </w:rPr>
              <w:t>instituţiilor de credit și entităţilor menţionate la art.1 alin.(1) lit.b), c) sau d)</w:t>
            </w:r>
            <w:bookmarkEnd w:id="137"/>
            <w:r w:rsidRPr="00154588">
              <w:rPr>
                <w:sz w:val="20"/>
                <w:szCs w:val="20"/>
              </w:rPr>
              <w:t>, care îndeplinesc condiţiile de declanşare a procedurii de rezoluţie. În acest sens, Banca Naţională a Moldovei, în calitate de autoritate de rezoluție, are următoarele competenţe de rezoluţie, pe care le poate exercita în mod individual sau în orice combinaţie:</w:t>
            </w:r>
          </w:p>
          <w:p w14:paraId="4BF2F522" w14:textId="77777777" w:rsidR="00F4284C" w:rsidRPr="00154588" w:rsidRDefault="00F4284C" w:rsidP="008C12B4">
            <w:pPr>
              <w:ind w:firstLine="567"/>
              <w:jc w:val="both"/>
              <w:rPr>
                <w:sz w:val="20"/>
                <w:szCs w:val="20"/>
              </w:rPr>
            </w:pPr>
            <w:r w:rsidRPr="00154588">
              <w:rPr>
                <w:sz w:val="20"/>
                <w:szCs w:val="20"/>
              </w:rPr>
              <w:t>a) de a solicita oricărei persoane de a prezenta orice fel de informaţie necesară pentru luarea unei decizii privind adoptarea unei acţiuni de rezoluţie şi pentru pregătirea respectivei măsuri, inclusiv actualizări şi completări ale informaţiilor furnizate în cadrul planurilor de rezoluţie, precum şi informaţii care urmează să fie furnizate prin intermediul inspecţiilor la faţa locului;</w:t>
            </w:r>
          </w:p>
          <w:p w14:paraId="7D142D5F" w14:textId="77777777" w:rsidR="00F4284C" w:rsidRPr="00154588" w:rsidRDefault="00F4284C" w:rsidP="008C12B4">
            <w:pPr>
              <w:ind w:firstLine="567"/>
              <w:jc w:val="both"/>
              <w:rPr>
                <w:sz w:val="20"/>
                <w:szCs w:val="20"/>
              </w:rPr>
            </w:pPr>
          </w:p>
          <w:p w14:paraId="42B2FF7B" w14:textId="77777777" w:rsidR="00F4284C" w:rsidRPr="00154588" w:rsidRDefault="00F4284C" w:rsidP="008C12B4">
            <w:pPr>
              <w:ind w:firstLine="567"/>
              <w:jc w:val="both"/>
              <w:rPr>
                <w:sz w:val="20"/>
                <w:szCs w:val="20"/>
              </w:rPr>
            </w:pPr>
            <w:r w:rsidRPr="00154588">
              <w:rPr>
                <w:sz w:val="20"/>
                <w:szCs w:val="20"/>
              </w:rPr>
              <w:t>b) de a prelua controlul asupra unei instituții supuse rezoluţiei şi, în consecinţă, de a exercita toate drepturile şi competenţele conferite acţionarilor, altor proprietari şi organului de conducere al instituției supuse rezoluţiei;</w:t>
            </w:r>
          </w:p>
          <w:p w14:paraId="26B49CD5" w14:textId="77777777" w:rsidR="00F4284C" w:rsidRPr="00154588" w:rsidRDefault="00F4284C" w:rsidP="008C12B4">
            <w:pPr>
              <w:ind w:firstLine="567"/>
              <w:jc w:val="both"/>
              <w:rPr>
                <w:sz w:val="20"/>
                <w:szCs w:val="20"/>
              </w:rPr>
            </w:pPr>
          </w:p>
          <w:p w14:paraId="67FFDB43" w14:textId="77777777" w:rsidR="00F4284C" w:rsidRPr="00154588" w:rsidRDefault="00F4284C" w:rsidP="008C12B4">
            <w:pPr>
              <w:ind w:firstLine="567"/>
              <w:jc w:val="both"/>
              <w:rPr>
                <w:sz w:val="20"/>
                <w:szCs w:val="20"/>
              </w:rPr>
            </w:pPr>
            <w:r w:rsidRPr="00154588">
              <w:rPr>
                <w:sz w:val="20"/>
                <w:szCs w:val="20"/>
              </w:rPr>
              <w:t>c) de a transfera acţiunile sau alte instrumente de proprietate emise de o instituție supusă rezoluţiei;</w:t>
            </w:r>
          </w:p>
          <w:p w14:paraId="7136441B" w14:textId="77777777" w:rsidR="00F4284C" w:rsidRPr="00154588" w:rsidRDefault="00F4284C" w:rsidP="008C12B4">
            <w:pPr>
              <w:ind w:firstLine="567"/>
              <w:jc w:val="both"/>
              <w:rPr>
                <w:sz w:val="20"/>
                <w:szCs w:val="20"/>
              </w:rPr>
            </w:pPr>
          </w:p>
          <w:p w14:paraId="5D8B816A" w14:textId="77777777" w:rsidR="00F4284C" w:rsidRPr="00154588" w:rsidRDefault="00F4284C" w:rsidP="008C12B4">
            <w:pPr>
              <w:ind w:firstLine="567"/>
              <w:jc w:val="both"/>
              <w:rPr>
                <w:sz w:val="20"/>
                <w:szCs w:val="20"/>
              </w:rPr>
            </w:pPr>
            <w:r w:rsidRPr="00154588">
              <w:rPr>
                <w:sz w:val="20"/>
                <w:szCs w:val="20"/>
              </w:rPr>
              <w:t>d) de a transfera către o altă entitate, cu acordul acesteia, drepturile, activele sau obligaţiile instituției supuse rezoluţiei;</w:t>
            </w:r>
          </w:p>
          <w:p w14:paraId="1FC9A4A6" w14:textId="77777777" w:rsidR="00F4284C" w:rsidRPr="00154588" w:rsidRDefault="00F4284C" w:rsidP="008C12B4">
            <w:pPr>
              <w:ind w:firstLine="567"/>
              <w:jc w:val="both"/>
              <w:rPr>
                <w:sz w:val="20"/>
                <w:szCs w:val="20"/>
              </w:rPr>
            </w:pPr>
          </w:p>
          <w:p w14:paraId="4BF0A4CF" w14:textId="08204BDB" w:rsidR="00F4284C" w:rsidRPr="00154588" w:rsidRDefault="00F4284C" w:rsidP="008C12B4">
            <w:pPr>
              <w:ind w:firstLine="567"/>
              <w:jc w:val="both"/>
              <w:rPr>
                <w:sz w:val="20"/>
                <w:szCs w:val="20"/>
              </w:rPr>
            </w:pPr>
            <w:r w:rsidRPr="00154588">
              <w:rPr>
                <w:sz w:val="20"/>
                <w:szCs w:val="20"/>
              </w:rPr>
              <w:t xml:space="preserve">e) de a reduce, chiar şi în totalitate, valoarea contabila a principalului sau suma rămasă de plată aferentă datoriilor </w:t>
            </w:r>
            <w:r w:rsidRPr="00154588">
              <w:rPr>
                <w:sz w:val="20"/>
                <w:szCs w:val="20"/>
                <w:lang w:eastAsia="ro-MD"/>
              </w:rPr>
              <w:t>care pot face obiectul recapitalizării interne</w:t>
            </w:r>
            <w:r w:rsidRPr="00154588">
              <w:rPr>
                <w:sz w:val="20"/>
                <w:szCs w:val="20"/>
              </w:rPr>
              <w:t xml:space="preserve"> ale unei instituții supuse rezoluţiei;</w:t>
            </w:r>
          </w:p>
          <w:p w14:paraId="7207671F" w14:textId="77777777" w:rsidR="00F4284C" w:rsidRPr="00154588" w:rsidRDefault="00F4284C" w:rsidP="008C12B4">
            <w:pPr>
              <w:ind w:firstLine="567"/>
              <w:jc w:val="both"/>
              <w:rPr>
                <w:sz w:val="20"/>
                <w:szCs w:val="20"/>
              </w:rPr>
            </w:pPr>
          </w:p>
          <w:p w14:paraId="69EF8937" w14:textId="0B2C1C07" w:rsidR="00F4284C" w:rsidRPr="00154588" w:rsidRDefault="00F4284C" w:rsidP="008C12B4">
            <w:pPr>
              <w:ind w:firstLine="567"/>
              <w:jc w:val="both"/>
              <w:rPr>
                <w:sz w:val="20"/>
                <w:szCs w:val="20"/>
              </w:rPr>
            </w:pPr>
            <w:r w:rsidRPr="00154588">
              <w:rPr>
                <w:sz w:val="20"/>
                <w:szCs w:val="20"/>
              </w:rPr>
              <w:t xml:space="preserve">f) de a converti datoriile care pot face obiectul recapitalizării interne ale instituției supuse rezoluţiei în acţiuni ordinare sau în alte instrumente de proprietate ale instituției respective sau ale  entității </w:t>
            </w:r>
            <w:r w:rsidRPr="00154588">
              <w:rPr>
                <w:sz w:val="20"/>
                <w:szCs w:val="20"/>
              </w:rPr>
              <w:lastRenderedPageBreak/>
              <w:t xml:space="preserve">prevăzute la art. 1 alin. (1) lit. b), c) sau d), ale unei instituții-mamă relevantă sau ale unei instituții-punte către care sînt transferate activele, drepturile sau obligaţiile instituţiei sau entităţii </w:t>
            </w:r>
            <w:r w:rsidRPr="00154588" w:rsidDel="00E73637">
              <w:rPr>
                <w:sz w:val="20"/>
                <w:szCs w:val="20"/>
              </w:rPr>
              <w:t>respective</w:t>
            </w:r>
            <w:r w:rsidRPr="00154588">
              <w:rPr>
                <w:sz w:val="20"/>
                <w:szCs w:val="20"/>
              </w:rPr>
              <w:t>;</w:t>
            </w:r>
          </w:p>
          <w:p w14:paraId="4FBFE989" w14:textId="77777777" w:rsidR="00F4284C" w:rsidRPr="00154588" w:rsidRDefault="00F4284C" w:rsidP="008C12B4">
            <w:pPr>
              <w:ind w:firstLine="567"/>
              <w:jc w:val="both"/>
              <w:rPr>
                <w:sz w:val="20"/>
                <w:szCs w:val="20"/>
              </w:rPr>
            </w:pPr>
          </w:p>
          <w:p w14:paraId="256FF207" w14:textId="77777777" w:rsidR="00F4284C" w:rsidRPr="00154588" w:rsidRDefault="00F4284C" w:rsidP="008C12B4">
            <w:pPr>
              <w:ind w:firstLine="567"/>
              <w:jc w:val="both"/>
              <w:rPr>
                <w:sz w:val="20"/>
                <w:szCs w:val="20"/>
              </w:rPr>
            </w:pPr>
            <w:r w:rsidRPr="00154588">
              <w:rPr>
                <w:sz w:val="20"/>
                <w:szCs w:val="20"/>
              </w:rPr>
              <w:t>g) de a anula instrumentele de datorie emise de o instituție supusă rezoluţiei, cu excepţia obligaţiilor garantate prevăzute la art.155;</w:t>
            </w:r>
          </w:p>
          <w:p w14:paraId="78EAE5E3" w14:textId="77777777" w:rsidR="00F4284C" w:rsidRPr="00154588" w:rsidRDefault="00F4284C" w:rsidP="008C12B4">
            <w:pPr>
              <w:ind w:firstLine="567"/>
              <w:jc w:val="both"/>
              <w:rPr>
                <w:sz w:val="20"/>
                <w:szCs w:val="20"/>
              </w:rPr>
            </w:pPr>
          </w:p>
          <w:p w14:paraId="18BE85F1" w14:textId="77777777" w:rsidR="00F4284C" w:rsidRPr="00154588" w:rsidRDefault="00F4284C" w:rsidP="008C12B4">
            <w:pPr>
              <w:ind w:firstLine="567"/>
              <w:jc w:val="both"/>
              <w:rPr>
                <w:sz w:val="20"/>
                <w:szCs w:val="20"/>
              </w:rPr>
            </w:pPr>
          </w:p>
          <w:p w14:paraId="045B3426" w14:textId="77777777" w:rsidR="00F4284C" w:rsidRPr="00154588" w:rsidRDefault="00F4284C" w:rsidP="008C12B4">
            <w:pPr>
              <w:ind w:firstLine="567"/>
              <w:jc w:val="both"/>
              <w:rPr>
                <w:sz w:val="20"/>
                <w:szCs w:val="20"/>
              </w:rPr>
            </w:pPr>
          </w:p>
          <w:p w14:paraId="52A4B15C" w14:textId="77777777" w:rsidR="00F4284C" w:rsidRPr="00154588" w:rsidRDefault="00F4284C" w:rsidP="008C12B4">
            <w:pPr>
              <w:ind w:firstLine="567"/>
              <w:jc w:val="both"/>
              <w:rPr>
                <w:sz w:val="20"/>
                <w:szCs w:val="20"/>
              </w:rPr>
            </w:pPr>
            <w:r w:rsidRPr="00154588">
              <w:rPr>
                <w:sz w:val="20"/>
                <w:szCs w:val="20"/>
              </w:rPr>
              <w:t>h) de a reduce, chiar şi în totalitate, valoarea nominală a acţiunilor sau a altor instrumente de proprietate ale unei instituții supuse rezoluţiei şi de a anula astfel de acţiuni sau alte instrumente de proprietate;</w:t>
            </w:r>
          </w:p>
          <w:p w14:paraId="3990EFF1" w14:textId="77777777" w:rsidR="00F4284C" w:rsidRPr="00154588" w:rsidRDefault="00F4284C" w:rsidP="008C12B4">
            <w:pPr>
              <w:ind w:firstLine="567"/>
              <w:jc w:val="both"/>
              <w:rPr>
                <w:sz w:val="20"/>
                <w:szCs w:val="20"/>
              </w:rPr>
            </w:pPr>
          </w:p>
          <w:p w14:paraId="133506D1" w14:textId="77777777" w:rsidR="00F4284C" w:rsidRPr="00154588" w:rsidRDefault="00F4284C" w:rsidP="008C12B4">
            <w:pPr>
              <w:ind w:firstLine="567"/>
              <w:jc w:val="both"/>
              <w:rPr>
                <w:sz w:val="20"/>
                <w:szCs w:val="20"/>
              </w:rPr>
            </w:pPr>
            <w:r w:rsidRPr="00154588">
              <w:rPr>
                <w:sz w:val="20"/>
                <w:szCs w:val="20"/>
              </w:rPr>
              <w:t>i) de a solicita unei instituții supuse rezoluţiei sau a unei instituții-mamă relevante de a emite noi acţiuni, alte instrumente de proprietate sau alte instrumente de capital, inclusiv a unor acţiuni preferenţiale şi a unor instrumente contingente de capital convertibile;</w:t>
            </w:r>
          </w:p>
          <w:p w14:paraId="28C915C6" w14:textId="77777777" w:rsidR="00F4284C" w:rsidRPr="00154588" w:rsidRDefault="00F4284C" w:rsidP="008C12B4">
            <w:pPr>
              <w:ind w:firstLine="567"/>
              <w:jc w:val="both"/>
              <w:rPr>
                <w:sz w:val="20"/>
                <w:szCs w:val="20"/>
              </w:rPr>
            </w:pPr>
          </w:p>
          <w:p w14:paraId="74534515" w14:textId="77777777" w:rsidR="00F4284C" w:rsidRPr="00154588" w:rsidRDefault="00F4284C" w:rsidP="008C12B4">
            <w:pPr>
              <w:ind w:firstLine="567"/>
              <w:jc w:val="both"/>
              <w:rPr>
                <w:sz w:val="20"/>
                <w:szCs w:val="20"/>
              </w:rPr>
            </w:pPr>
            <w:r w:rsidRPr="00154588">
              <w:rPr>
                <w:sz w:val="20"/>
                <w:szCs w:val="20"/>
              </w:rPr>
              <w:t xml:space="preserve">j) de a modifica sau ajusta scadenţa instrumentelor de datorie şi a altor datorii </w:t>
            </w:r>
            <w:r w:rsidRPr="00154588">
              <w:rPr>
                <w:sz w:val="20"/>
                <w:szCs w:val="20"/>
                <w:lang w:eastAsia="ro-MD"/>
              </w:rPr>
              <w:t>care pot face obiectul recapitalizării interne</w:t>
            </w:r>
            <w:r w:rsidRPr="00154588">
              <w:rPr>
                <w:sz w:val="20"/>
                <w:szCs w:val="20"/>
              </w:rPr>
              <w:t xml:space="preserve"> emise de o instituție supusă rezoluţiei sau de a modifica valoarea dobînzilor de plătit aferente instrumentelor respective şi altor datorii </w:t>
            </w:r>
            <w:r w:rsidRPr="00154588">
              <w:rPr>
                <w:sz w:val="20"/>
                <w:szCs w:val="20"/>
                <w:lang w:eastAsia="ro-MD"/>
              </w:rPr>
              <w:t>care pot face obiectul recapitalizării interne</w:t>
            </w:r>
            <w:r w:rsidRPr="00154588">
              <w:rPr>
                <w:sz w:val="20"/>
                <w:szCs w:val="20"/>
              </w:rPr>
              <w:t xml:space="preserve"> sau data la care dobînda devine exigibilă, inclusiv prin suspendarea temporară a plăţilor, cu excepţia obligaţiilor garantate care fac obiectul prevederilor art.155;</w:t>
            </w:r>
          </w:p>
          <w:p w14:paraId="217CD13B" w14:textId="77777777" w:rsidR="00F4284C" w:rsidRPr="00154588" w:rsidRDefault="00F4284C" w:rsidP="008C12B4">
            <w:pPr>
              <w:ind w:firstLine="567"/>
              <w:jc w:val="both"/>
              <w:rPr>
                <w:sz w:val="20"/>
                <w:szCs w:val="20"/>
              </w:rPr>
            </w:pPr>
          </w:p>
          <w:p w14:paraId="398E2992" w14:textId="77777777" w:rsidR="00F4284C" w:rsidRPr="00154588" w:rsidRDefault="00F4284C" w:rsidP="008C12B4">
            <w:pPr>
              <w:ind w:firstLine="567"/>
              <w:jc w:val="both"/>
              <w:rPr>
                <w:sz w:val="20"/>
                <w:szCs w:val="20"/>
              </w:rPr>
            </w:pPr>
            <w:r w:rsidRPr="00154588">
              <w:rPr>
                <w:sz w:val="20"/>
                <w:szCs w:val="20"/>
              </w:rPr>
              <w:t>k) de a lichida şi înceta contractele financiare sau contractele aferente instrumentelor financiare derivate în scopul aplicării prevederilor art.185-189;</w:t>
            </w:r>
          </w:p>
          <w:p w14:paraId="4901F756" w14:textId="77777777" w:rsidR="00F4284C" w:rsidRPr="00154588" w:rsidRDefault="00F4284C" w:rsidP="008C12B4">
            <w:pPr>
              <w:ind w:firstLine="567"/>
              <w:jc w:val="both"/>
              <w:rPr>
                <w:sz w:val="20"/>
                <w:szCs w:val="20"/>
              </w:rPr>
            </w:pPr>
          </w:p>
          <w:p w14:paraId="1DDD9218" w14:textId="77777777" w:rsidR="00F4284C" w:rsidRPr="00154588" w:rsidRDefault="00F4284C" w:rsidP="008C12B4">
            <w:pPr>
              <w:ind w:firstLine="567"/>
              <w:jc w:val="both"/>
              <w:rPr>
                <w:sz w:val="20"/>
                <w:szCs w:val="20"/>
              </w:rPr>
            </w:pPr>
            <w:r w:rsidRPr="00154588">
              <w:rPr>
                <w:sz w:val="20"/>
                <w:szCs w:val="20"/>
              </w:rPr>
              <w:t>l) de a înlocui organul de conducere al unei instituții supuse rezoluţiei.</w:t>
            </w:r>
          </w:p>
          <w:p w14:paraId="5427A3D8" w14:textId="77777777" w:rsidR="00F4284C" w:rsidRPr="00154588" w:rsidRDefault="00F4284C" w:rsidP="008C12B4">
            <w:pPr>
              <w:ind w:firstLine="567"/>
              <w:jc w:val="both"/>
              <w:rPr>
                <w:sz w:val="20"/>
                <w:szCs w:val="20"/>
              </w:rPr>
            </w:pPr>
          </w:p>
          <w:p w14:paraId="6A206E1A" w14:textId="731F362C" w:rsidR="00F4284C" w:rsidRPr="00154588" w:rsidRDefault="00F4284C" w:rsidP="008C12B4">
            <w:pPr>
              <w:ind w:firstLine="567"/>
              <w:jc w:val="both"/>
              <w:rPr>
                <w:bCs/>
                <w:sz w:val="20"/>
                <w:szCs w:val="20"/>
              </w:rPr>
            </w:pPr>
            <w:r w:rsidRPr="00154588">
              <w:rPr>
                <w:sz w:val="20"/>
                <w:szCs w:val="20"/>
              </w:rPr>
              <w:t xml:space="preserve">(m) competența de a impune autorității relevante </w:t>
            </w:r>
            <w:r w:rsidRPr="00154588">
              <w:rPr>
                <w:bCs/>
                <w:sz w:val="20"/>
                <w:szCs w:val="20"/>
              </w:rPr>
              <w:t xml:space="preserve">să evalueze cumpărătorul unei participații calificate în timp util prin derogare de la termenele </w:t>
            </w:r>
            <w:r w:rsidRPr="00154588">
              <w:rPr>
                <w:bCs/>
                <w:sz w:val="20"/>
                <w:szCs w:val="20"/>
              </w:rPr>
              <w:lastRenderedPageBreak/>
              <w:t>prevăzute de legislația aplicabilă privind evaluarea achizitorului unei participații calificate.</w:t>
            </w:r>
            <w:r w:rsidRPr="00154588">
              <w:rPr>
                <w:sz w:val="20"/>
                <w:szCs w:val="20"/>
              </w:rPr>
              <w:t xml:space="preserve"> </w:t>
            </w:r>
          </w:p>
          <w:p w14:paraId="4438D758" w14:textId="77777777" w:rsidR="00F4284C" w:rsidRPr="00154588" w:rsidRDefault="00F4284C" w:rsidP="008C12B4">
            <w:pPr>
              <w:ind w:firstLine="567"/>
              <w:jc w:val="both"/>
              <w:rPr>
                <w:bCs/>
                <w:sz w:val="20"/>
                <w:szCs w:val="20"/>
              </w:rPr>
            </w:pPr>
          </w:p>
          <w:p w14:paraId="6F6AEAB3" w14:textId="77777777" w:rsidR="00F4284C" w:rsidRPr="00154588" w:rsidRDefault="00F4284C" w:rsidP="008C12B4">
            <w:pPr>
              <w:ind w:firstLine="567"/>
              <w:jc w:val="both"/>
              <w:rPr>
                <w:bCs/>
                <w:sz w:val="20"/>
                <w:szCs w:val="20"/>
              </w:rPr>
            </w:pPr>
          </w:p>
          <w:p w14:paraId="68697513" w14:textId="77777777" w:rsidR="00F4284C" w:rsidRPr="00154588" w:rsidRDefault="00F4284C" w:rsidP="008C12B4">
            <w:pPr>
              <w:ind w:firstLine="567"/>
              <w:jc w:val="both"/>
              <w:rPr>
                <w:bCs/>
                <w:sz w:val="20"/>
                <w:szCs w:val="20"/>
              </w:rPr>
            </w:pPr>
          </w:p>
          <w:p w14:paraId="7EAEDB97" w14:textId="77777777" w:rsidR="00F4284C" w:rsidRPr="00154588" w:rsidRDefault="00F4284C" w:rsidP="008C12B4">
            <w:pPr>
              <w:ind w:firstLine="567"/>
              <w:jc w:val="both"/>
              <w:rPr>
                <w:bCs/>
                <w:sz w:val="20"/>
                <w:szCs w:val="20"/>
              </w:rPr>
            </w:pPr>
          </w:p>
          <w:p w14:paraId="4CAE5818" w14:textId="4AE00D23" w:rsidR="00F4284C" w:rsidRPr="00154588" w:rsidRDefault="00F4284C" w:rsidP="008C12B4">
            <w:pPr>
              <w:jc w:val="both"/>
              <w:rPr>
                <w:sz w:val="20"/>
                <w:szCs w:val="20"/>
              </w:rPr>
            </w:pPr>
            <w:r w:rsidRPr="00154588">
              <w:rPr>
                <w:bCs/>
                <w:sz w:val="20"/>
                <w:szCs w:val="20"/>
              </w:rPr>
              <w:t>(2) În cazul în care sunt exercitate competențele menționate la alin.(1) lit.e) sau f) în ceea ce privește datoriile cu exigibilitate sau valoare incertă, reducerea sau conversia produce efecte dacă și odată ce datoria relevantă este determinată în mod concludent în ceea ce privește exigibilitatea și cuantumul sau a apărut creanța conexă.</w:t>
            </w:r>
          </w:p>
        </w:tc>
        <w:tc>
          <w:tcPr>
            <w:tcW w:w="2552" w:type="dxa"/>
          </w:tcPr>
          <w:p w14:paraId="75A638D3" w14:textId="3C710788" w:rsidR="00F4284C" w:rsidRPr="00154588" w:rsidRDefault="00F4284C" w:rsidP="008C12B4">
            <w:pPr>
              <w:jc w:val="both"/>
              <w:rPr>
                <w:sz w:val="20"/>
                <w:szCs w:val="20"/>
              </w:rPr>
            </w:pPr>
            <w:r w:rsidRPr="00154588">
              <w:rPr>
                <w:sz w:val="20"/>
                <w:szCs w:val="20"/>
              </w:rPr>
              <w:lastRenderedPageBreak/>
              <w:t>Compatibil</w:t>
            </w:r>
          </w:p>
        </w:tc>
        <w:tc>
          <w:tcPr>
            <w:tcW w:w="3118" w:type="dxa"/>
          </w:tcPr>
          <w:p w14:paraId="04DEEAB8" w14:textId="3AE56293" w:rsidR="00F4284C" w:rsidRPr="00154588" w:rsidRDefault="00F4284C" w:rsidP="008C12B4">
            <w:pPr>
              <w:jc w:val="both"/>
              <w:rPr>
                <w:sz w:val="20"/>
                <w:szCs w:val="20"/>
              </w:rPr>
            </w:pPr>
          </w:p>
        </w:tc>
      </w:tr>
      <w:tr w:rsidR="00F4284C" w:rsidRPr="00154588" w14:paraId="6E32080D" w14:textId="77777777" w:rsidTr="00D15C1B">
        <w:trPr>
          <w:jc w:val="center"/>
        </w:trPr>
        <w:tc>
          <w:tcPr>
            <w:tcW w:w="4957" w:type="dxa"/>
            <w:gridSpan w:val="2"/>
          </w:tcPr>
          <w:p w14:paraId="4302DC73" w14:textId="77777777" w:rsidR="00F4284C" w:rsidRPr="00154588" w:rsidRDefault="00F4284C" w:rsidP="008C12B4">
            <w:pPr>
              <w:jc w:val="both"/>
              <w:rPr>
                <w:sz w:val="20"/>
                <w:szCs w:val="20"/>
              </w:rPr>
            </w:pPr>
            <w:r w:rsidRPr="00154588">
              <w:rPr>
                <w:sz w:val="20"/>
                <w:szCs w:val="20"/>
              </w:rPr>
              <w:lastRenderedPageBreak/>
              <w:t>(2)   Statele membre iau toate măsurile necesare pentru a se asigura că, atunci când aplică instrumente și exercită competențele de rezoluție, autoritățile de rezoluție nu fac obiectul nici uneia dintre următoarele cerințe care s-ar aplica în mod normal în virtutea dreptului intern, a contractelor sau a altor dispoziții:</w:t>
            </w:r>
          </w:p>
          <w:p w14:paraId="667BDB85" w14:textId="77777777" w:rsidR="00F4284C" w:rsidRPr="00154588" w:rsidRDefault="00F4284C" w:rsidP="008C12B4">
            <w:pPr>
              <w:jc w:val="both"/>
              <w:rPr>
                <w:sz w:val="20"/>
                <w:szCs w:val="20"/>
              </w:rPr>
            </w:pPr>
          </w:p>
          <w:p w14:paraId="46F25D91" w14:textId="60C21C43" w:rsidR="00F4284C" w:rsidRPr="00154588" w:rsidRDefault="00F4284C" w:rsidP="008C12B4">
            <w:pPr>
              <w:jc w:val="both"/>
              <w:rPr>
                <w:sz w:val="20"/>
                <w:szCs w:val="20"/>
              </w:rPr>
            </w:pPr>
            <w:r w:rsidRPr="00154588">
              <w:rPr>
                <w:sz w:val="20"/>
                <w:szCs w:val="20"/>
              </w:rPr>
              <w:t>(a) sub rezerva articolului 3 alineatul (6) și a articolului 85 alineatul (1) din prezenta directivă, obligația de a obține aprobarea sau acordul oricărei persoane, fie ea publică sau privată, inclusiv al acționarilor sau al creditorilor instituției aflate în rezoluție</w:t>
            </w:r>
            <w:r w:rsidRPr="00154588">
              <w:t xml:space="preserve"> </w:t>
            </w:r>
            <w:r w:rsidRPr="00154588">
              <w:rPr>
                <w:sz w:val="20"/>
                <w:szCs w:val="20"/>
              </w:rPr>
              <w:t>și al autorităților competente în sensul articolelor 22-27 din Directiva 2013/36/UE;</w:t>
            </w:r>
          </w:p>
          <w:p w14:paraId="5AFC563F" w14:textId="77777777" w:rsidR="00F4284C" w:rsidRPr="00154588" w:rsidRDefault="00F4284C" w:rsidP="008C12B4">
            <w:pPr>
              <w:jc w:val="both"/>
              <w:rPr>
                <w:sz w:val="20"/>
                <w:szCs w:val="20"/>
              </w:rPr>
            </w:pPr>
          </w:p>
          <w:p w14:paraId="27D24E1F" w14:textId="6841E403" w:rsidR="00F4284C" w:rsidRPr="00154588" w:rsidRDefault="00F4284C" w:rsidP="008C12B4">
            <w:pPr>
              <w:jc w:val="both"/>
              <w:rPr>
                <w:sz w:val="20"/>
                <w:szCs w:val="20"/>
              </w:rPr>
            </w:pPr>
            <w:r w:rsidRPr="00154588">
              <w:rPr>
                <w:sz w:val="20"/>
                <w:szCs w:val="20"/>
              </w:rPr>
              <w:t>(b) înaintea exercitării competenței, obligația procedurală de a notifica o persoană anume, inclusiv eventuala obligație de a publica orice notificare sau prospect ori de a depune sau de a înregistra orice document la oricare altă autoritate.</w:t>
            </w:r>
          </w:p>
          <w:p w14:paraId="4A0BCB82" w14:textId="77777777" w:rsidR="00F4284C" w:rsidRPr="00154588" w:rsidRDefault="00F4284C" w:rsidP="008C12B4">
            <w:pPr>
              <w:jc w:val="both"/>
              <w:rPr>
                <w:sz w:val="20"/>
                <w:szCs w:val="20"/>
              </w:rPr>
            </w:pPr>
          </w:p>
          <w:p w14:paraId="418B28AC" w14:textId="77777777" w:rsidR="00F4284C" w:rsidRPr="00154588" w:rsidRDefault="00F4284C" w:rsidP="008C12B4">
            <w:pPr>
              <w:jc w:val="both"/>
              <w:rPr>
                <w:sz w:val="20"/>
                <w:szCs w:val="20"/>
              </w:rPr>
            </w:pPr>
            <w:r w:rsidRPr="00154588">
              <w:rPr>
                <w:sz w:val="20"/>
                <w:szCs w:val="20"/>
              </w:rPr>
              <w:t xml:space="preserve">În special, statele membre se asigură că autoritățile de rezoluție pot exercita competențele prevăzute la prezentul articol, indiferent de restricțiile sau de </w:t>
            </w:r>
            <w:r w:rsidRPr="00154588">
              <w:rPr>
                <w:sz w:val="20"/>
                <w:szCs w:val="20"/>
              </w:rPr>
              <w:lastRenderedPageBreak/>
              <w:t>cerințele referitoare la obținerea acordului care s-ar aplica în mod normal transferului respectiv de instrumente financiare, drepturi, active sau pasive.</w:t>
            </w:r>
          </w:p>
          <w:p w14:paraId="5959E20D" w14:textId="77777777" w:rsidR="00F4284C" w:rsidRPr="00154588" w:rsidRDefault="00F4284C" w:rsidP="008C12B4">
            <w:pPr>
              <w:jc w:val="both"/>
              <w:rPr>
                <w:sz w:val="20"/>
                <w:szCs w:val="20"/>
              </w:rPr>
            </w:pPr>
          </w:p>
          <w:p w14:paraId="7D245408" w14:textId="268F0FB2" w:rsidR="00F4284C" w:rsidRPr="00154588" w:rsidRDefault="00F4284C" w:rsidP="008C12B4">
            <w:pPr>
              <w:jc w:val="both"/>
              <w:rPr>
                <w:sz w:val="20"/>
                <w:szCs w:val="20"/>
              </w:rPr>
            </w:pPr>
            <w:r w:rsidRPr="00154588">
              <w:rPr>
                <w:sz w:val="20"/>
                <w:szCs w:val="20"/>
              </w:rPr>
              <w:t>Litera (b) din prezentul paragraf nu aduce atingere cerințelor prevăzute la articolul 81 și la articolul 83 sau oricăror alte obligații de notificare în temeiul cadrului Uniunii privind ajutoarele de stat.</w:t>
            </w:r>
          </w:p>
        </w:tc>
        <w:tc>
          <w:tcPr>
            <w:tcW w:w="4819" w:type="dxa"/>
          </w:tcPr>
          <w:p w14:paraId="158E9E06" w14:textId="77777777" w:rsidR="00F4284C" w:rsidRPr="00154588" w:rsidRDefault="00F4284C" w:rsidP="008C12B4">
            <w:pPr>
              <w:ind w:firstLine="567"/>
              <w:jc w:val="both"/>
              <w:rPr>
                <w:sz w:val="20"/>
                <w:szCs w:val="20"/>
              </w:rPr>
            </w:pPr>
            <w:r w:rsidRPr="00154588">
              <w:rPr>
                <w:b/>
                <w:sz w:val="20"/>
                <w:szCs w:val="20"/>
              </w:rPr>
              <w:lastRenderedPageBreak/>
              <w:t>Articolul 232.</w:t>
            </w:r>
            <w:r w:rsidRPr="00154588">
              <w:rPr>
                <w:sz w:val="20"/>
                <w:szCs w:val="20"/>
              </w:rPr>
              <w:t xml:space="preserve"> – (1) În procesul de aplicare a instrumentelor de rezoluţie şi de exercitare a competenţelor de rezoluţie, Banca Naţională a Moldovei, în calitate de autoritate de rezoluţie, nu este supusă niciuneia dintre următoarele cerinţe, care în mod obişnuit s-ar aplica în virtutea legii, a unui contract ori în alt mod:</w:t>
            </w:r>
          </w:p>
          <w:p w14:paraId="1B50F7CA" w14:textId="12F1F4C8" w:rsidR="00F4284C" w:rsidRPr="00154588" w:rsidRDefault="00F4284C" w:rsidP="008C12B4">
            <w:pPr>
              <w:ind w:firstLine="567"/>
              <w:jc w:val="both"/>
              <w:rPr>
                <w:sz w:val="20"/>
                <w:szCs w:val="20"/>
              </w:rPr>
            </w:pPr>
            <w:r w:rsidRPr="00154588">
              <w:rPr>
                <w:sz w:val="20"/>
                <w:szCs w:val="20"/>
              </w:rPr>
              <w:t>a) cerinţelor referitoare la obţinerea aprobării, autorizării sau acordului oricărei persoane publice sau private, inclusiv al acţionarilor sau al creditorilor instituției supuse rezoluţiei,</w:t>
            </w:r>
            <w:r w:rsidR="0034690B" w:rsidRPr="00154588">
              <w:rPr>
                <w:sz w:val="20"/>
                <w:szCs w:val="20"/>
              </w:rPr>
              <w:t xml:space="preserve"> precum şi al oricăror autorităţilor competente,</w:t>
            </w:r>
            <w:r w:rsidRPr="00154588">
              <w:rPr>
                <w:sz w:val="20"/>
                <w:szCs w:val="20"/>
              </w:rPr>
              <w:t xml:space="preserve"> fără a aduce atingere prevederilor art.5;</w:t>
            </w:r>
          </w:p>
          <w:p w14:paraId="0C3ECF49" w14:textId="77777777" w:rsidR="00F4284C" w:rsidRPr="00154588" w:rsidRDefault="00F4284C" w:rsidP="008C12B4">
            <w:pPr>
              <w:ind w:firstLine="567"/>
              <w:jc w:val="both"/>
              <w:rPr>
                <w:sz w:val="20"/>
                <w:szCs w:val="20"/>
              </w:rPr>
            </w:pPr>
            <w:r w:rsidRPr="00154588">
              <w:rPr>
                <w:sz w:val="20"/>
                <w:szCs w:val="20"/>
              </w:rPr>
              <w:t>b) fără a aduce atingere cerinţelor procedurale prevăzute în prezenta lege, cerinţelor procedurale de a notifica o persoană anume, anterior exercitării competenţei relevante, inclusiv cerinţei de a publica orice notificare sau prospect sau de a depune ori de a înregistra orice document la oricare altă autoritate.</w:t>
            </w:r>
          </w:p>
          <w:p w14:paraId="60A2E142" w14:textId="77777777" w:rsidR="00F4284C" w:rsidRPr="00154588" w:rsidRDefault="00F4284C" w:rsidP="008C12B4">
            <w:pPr>
              <w:ind w:firstLine="567"/>
              <w:jc w:val="both"/>
              <w:rPr>
                <w:sz w:val="20"/>
                <w:szCs w:val="20"/>
              </w:rPr>
            </w:pPr>
            <w:r w:rsidRPr="00154588">
              <w:rPr>
                <w:sz w:val="20"/>
                <w:szCs w:val="20"/>
              </w:rPr>
              <w:t xml:space="preserve">(2) În sensul alin.(1), în special exercitarea competenţelor prevăzute la art.231 nu este supusă niciunei restricţii cu privire la transferul de instrumente financiare, drepturi, active sau obligaţii şi niciunei cerinţe privind obţinerea unui acord pentru </w:t>
            </w:r>
            <w:r w:rsidRPr="00154588">
              <w:rPr>
                <w:sz w:val="20"/>
                <w:szCs w:val="20"/>
              </w:rPr>
              <w:lastRenderedPageBreak/>
              <w:t>realizarea unui astfel de transfer, care, altfel, ar fi aplicabile.</w:t>
            </w:r>
          </w:p>
          <w:p w14:paraId="481F3878" w14:textId="7D9C0841" w:rsidR="00F4284C" w:rsidRPr="00154588" w:rsidRDefault="004D6F58" w:rsidP="008C12B4">
            <w:pPr>
              <w:jc w:val="both"/>
              <w:rPr>
                <w:sz w:val="20"/>
                <w:szCs w:val="20"/>
              </w:rPr>
            </w:pPr>
            <w:r w:rsidRPr="00154588">
              <w:rPr>
                <w:sz w:val="20"/>
                <w:szCs w:val="20"/>
              </w:rPr>
              <w:t xml:space="preserve">           </w:t>
            </w:r>
            <w:r w:rsidR="0034690B" w:rsidRPr="00154588">
              <w:rPr>
                <w:sz w:val="20"/>
                <w:szCs w:val="20"/>
              </w:rPr>
              <w:t>(</w:t>
            </w:r>
            <w:r w:rsidRPr="00154588">
              <w:rPr>
                <w:sz w:val="20"/>
                <w:szCs w:val="20"/>
              </w:rPr>
              <w:t>2</w:t>
            </w:r>
            <w:r w:rsidRPr="00154588">
              <w:rPr>
                <w:sz w:val="20"/>
                <w:szCs w:val="20"/>
                <w:vertAlign w:val="superscript"/>
              </w:rPr>
              <w:t>1</w:t>
            </w:r>
            <w:r w:rsidR="0034690B" w:rsidRPr="00154588">
              <w:rPr>
                <w:sz w:val="20"/>
                <w:szCs w:val="20"/>
              </w:rPr>
              <w:t>) Dispoziţiile alin. (1) lit. b) nu aduc atingere obligaţiilor de notificare prevăzute de prezenta lege şi nici obligaţiilor de notificare prevăzute de legislaţia privind ajutorul de stat.</w:t>
            </w:r>
          </w:p>
        </w:tc>
        <w:tc>
          <w:tcPr>
            <w:tcW w:w="2552" w:type="dxa"/>
          </w:tcPr>
          <w:p w14:paraId="00C0AADC" w14:textId="028CAAD1" w:rsidR="00F4284C" w:rsidRPr="00154588" w:rsidRDefault="00F4284C" w:rsidP="008C12B4">
            <w:pPr>
              <w:jc w:val="both"/>
              <w:rPr>
                <w:sz w:val="20"/>
                <w:szCs w:val="20"/>
              </w:rPr>
            </w:pPr>
            <w:r w:rsidRPr="00154588">
              <w:rPr>
                <w:sz w:val="20"/>
                <w:szCs w:val="20"/>
              </w:rPr>
              <w:lastRenderedPageBreak/>
              <w:t>Compatibil</w:t>
            </w:r>
          </w:p>
        </w:tc>
        <w:tc>
          <w:tcPr>
            <w:tcW w:w="3118" w:type="dxa"/>
          </w:tcPr>
          <w:p w14:paraId="7A675F4F" w14:textId="159F8557" w:rsidR="00F4284C" w:rsidRPr="00154588" w:rsidRDefault="004D6F58" w:rsidP="008C12B4">
            <w:pPr>
              <w:jc w:val="both"/>
              <w:rPr>
                <w:sz w:val="20"/>
                <w:szCs w:val="20"/>
              </w:rPr>
            </w:pPr>
            <w:r w:rsidRPr="00154588">
              <w:rPr>
                <w:sz w:val="20"/>
                <w:szCs w:val="20"/>
              </w:rPr>
              <w:t xml:space="preserve">  </w:t>
            </w:r>
          </w:p>
        </w:tc>
      </w:tr>
      <w:tr w:rsidR="00F4284C" w:rsidRPr="00154588" w14:paraId="2C8BF625" w14:textId="77777777" w:rsidTr="00D15C1B">
        <w:trPr>
          <w:jc w:val="center"/>
        </w:trPr>
        <w:tc>
          <w:tcPr>
            <w:tcW w:w="4957" w:type="dxa"/>
            <w:gridSpan w:val="2"/>
          </w:tcPr>
          <w:p w14:paraId="70CD5BB1" w14:textId="08D35AC5" w:rsidR="00F4284C" w:rsidRPr="00154588" w:rsidRDefault="00F4284C" w:rsidP="008C12B4">
            <w:pPr>
              <w:jc w:val="both"/>
              <w:rPr>
                <w:sz w:val="20"/>
                <w:szCs w:val="20"/>
              </w:rPr>
            </w:pPr>
            <w:r w:rsidRPr="00154588">
              <w:rPr>
                <w:sz w:val="20"/>
                <w:szCs w:val="20"/>
              </w:rPr>
              <w:t>(3)   Statele membre se asigură că, în măsura în care niciuna dintre competențele enumerate la alineatul (1) din prezentul articol nu se aplică unei entități care face obiectul articolului 1 alineatul (1) din prezenta directivă, ca urmare a formei sale juridice specifice, autoritățile de rezoluție dețin competențe pe cât posibil similare, inclusiv în privința efectelor acestora.</w:t>
            </w:r>
          </w:p>
        </w:tc>
        <w:tc>
          <w:tcPr>
            <w:tcW w:w="4819" w:type="dxa"/>
          </w:tcPr>
          <w:p w14:paraId="1A35A318" w14:textId="1E0F7193" w:rsidR="0034690B" w:rsidRPr="00154588" w:rsidRDefault="004D6F58" w:rsidP="008C12B4">
            <w:pPr>
              <w:ind w:firstLine="567"/>
              <w:jc w:val="both"/>
              <w:rPr>
                <w:bCs/>
                <w:sz w:val="20"/>
                <w:szCs w:val="20"/>
              </w:rPr>
            </w:pPr>
            <w:r w:rsidRPr="00154588">
              <w:rPr>
                <w:bCs/>
                <w:sz w:val="20"/>
                <w:szCs w:val="20"/>
              </w:rPr>
              <w:t>(2</w:t>
            </w:r>
            <w:r w:rsidRPr="00154588">
              <w:rPr>
                <w:bCs/>
                <w:sz w:val="20"/>
                <w:szCs w:val="20"/>
                <w:vertAlign w:val="superscript"/>
              </w:rPr>
              <w:t>2</w:t>
            </w:r>
            <w:r w:rsidRPr="00154588">
              <w:rPr>
                <w:bCs/>
                <w:sz w:val="20"/>
                <w:szCs w:val="20"/>
              </w:rPr>
              <w:t>)</w:t>
            </w:r>
            <w:r w:rsidR="0034690B" w:rsidRPr="00154588">
              <w:rPr>
                <w:bCs/>
                <w:sz w:val="20"/>
                <w:szCs w:val="20"/>
              </w:rPr>
              <w:t xml:space="preserve">În cazul în care, ca urmare a formei juridice specifice a unei entităţi prevăzute la </w:t>
            </w:r>
            <w:r w:rsidRPr="00154588">
              <w:rPr>
                <w:sz w:val="20"/>
                <w:szCs w:val="20"/>
              </w:rPr>
              <w:t>art.1 alin.(1) lit.b), c) sau d)</w:t>
            </w:r>
            <w:r w:rsidR="0034690B" w:rsidRPr="00154588">
              <w:rPr>
                <w:bCs/>
                <w:sz w:val="20"/>
                <w:szCs w:val="20"/>
              </w:rPr>
              <w:t>, una sau mai multe dintre competenţele prevăzute la art. 231 nu pot fi exercitate în forma prevăzută de prezenta lege, Banca Naţională a Moldovei exercită competenţe echivalente, care produc, în măsura posibilului, aceleaşi efecte juridice.</w:t>
            </w:r>
          </w:p>
          <w:p w14:paraId="6472D995" w14:textId="77777777" w:rsidR="00F4284C" w:rsidRPr="00154588" w:rsidRDefault="00F4284C" w:rsidP="008C12B4">
            <w:pPr>
              <w:ind w:firstLine="567"/>
              <w:jc w:val="both"/>
              <w:rPr>
                <w:sz w:val="20"/>
                <w:szCs w:val="20"/>
              </w:rPr>
            </w:pPr>
          </w:p>
        </w:tc>
        <w:tc>
          <w:tcPr>
            <w:tcW w:w="2552" w:type="dxa"/>
          </w:tcPr>
          <w:p w14:paraId="4241B0A6" w14:textId="6981BF88" w:rsidR="00F4284C" w:rsidRPr="00154588" w:rsidRDefault="00F4284C" w:rsidP="008C12B4">
            <w:pPr>
              <w:jc w:val="both"/>
              <w:rPr>
                <w:sz w:val="20"/>
                <w:szCs w:val="20"/>
              </w:rPr>
            </w:pPr>
            <w:r w:rsidRPr="00154588">
              <w:rPr>
                <w:sz w:val="20"/>
                <w:szCs w:val="20"/>
              </w:rPr>
              <w:t>Compatibil</w:t>
            </w:r>
          </w:p>
        </w:tc>
        <w:tc>
          <w:tcPr>
            <w:tcW w:w="3118" w:type="dxa"/>
          </w:tcPr>
          <w:p w14:paraId="6D22B036" w14:textId="77777777" w:rsidR="00F4284C" w:rsidRPr="00154588" w:rsidRDefault="00F4284C" w:rsidP="008C12B4">
            <w:pPr>
              <w:jc w:val="both"/>
              <w:rPr>
                <w:sz w:val="20"/>
                <w:szCs w:val="20"/>
              </w:rPr>
            </w:pPr>
          </w:p>
        </w:tc>
      </w:tr>
      <w:tr w:rsidR="00F4284C" w:rsidRPr="00154588" w14:paraId="610C44DC" w14:textId="77777777" w:rsidTr="00D15C1B">
        <w:trPr>
          <w:jc w:val="center"/>
        </w:trPr>
        <w:tc>
          <w:tcPr>
            <w:tcW w:w="4957" w:type="dxa"/>
            <w:gridSpan w:val="2"/>
          </w:tcPr>
          <w:p w14:paraId="7474708E" w14:textId="26A44280" w:rsidR="00F4284C" w:rsidRPr="00154588" w:rsidRDefault="00F4284C" w:rsidP="008C12B4">
            <w:pPr>
              <w:jc w:val="both"/>
              <w:rPr>
                <w:sz w:val="20"/>
                <w:szCs w:val="20"/>
              </w:rPr>
            </w:pPr>
            <w:r w:rsidRPr="00154588">
              <w:rPr>
                <w:sz w:val="20"/>
                <w:szCs w:val="20"/>
              </w:rPr>
              <w:t>(4)   Statele membre se asigură că, atunci când autoritățile de rezoluție exercită competențele în temeiul alineatului (3), mecanismele de siguranță din prezenta directivă sau mecanismele de siguranță care au același efect se aplică persoanelor afectate, inclusiv acționarilor, creditorilor sau contrapărților.</w:t>
            </w:r>
          </w:p>
        </w:tc>
        <w:tc>
          <w:tcPr>
            <w:tcW w:w="4819" w:type="dxa"/>
          </w:tcPr>
          <w:p w14:paraId="670BEEBD" w14:textId="77777777" w:rsidR="004D6F58" w:rsidRPr="00154588" w:rsidRDefault="004D6F58" w:rsidP="008C12B4">
            <w:pPr>
              <w:ind w:firstLine="567"/>
              <w:jc w:val="both"/>
              <w:rPr>
                <w:bCs/>
                <w:sz w:val="20"/>
                <w:szCs w:val="20"/>
              </w:rPr>
            </w:pPr>
            <w:r w:rsidRPr="00154588">
              <w:rPr>
                <w:sz w:val="20"/>
                <w:szCs w:val="20"/>
              </w:rPr>
              <w:t>(2</w:t>
            </w:r>
            <w:r w:rsidRPr="00154588">
              <w:rPr>
                <w:sz w:val="20"/>
                <w:szCs w:val="20"/>
                <w:vertAlign w:val="superscript"/>
              </w:rPr>
              <w:t>3</w:t>
            </w:r>
            <w:r w:rsidRPr="00154588">
              <w:rPr>
                <w:sz w:val="20"/>
                <w:szCs w:val="20"/>
              </w:rPr>
              <w:t>)</w:t>
            </w:r>
            <w:r w:rsidRPr="00154588">
              <w:rPr>
                <w:bCs/>
                <w:sz w:val="20"/>
                <w:szCs w:val="20"/>
              </w:rPr>
              <w:t xml:space="preserve"> La exercitarea competenţelor prevăzute la alin. (2</w:t>
            </w:r>
            <w:r w:rsidRPr="00154588">
              <w:rPr>
                <w:bCs/>
                <w:sz w:val="20"/>
                <w:szCs w:val="20"/>
                <w:vertAlign w:val="superscript"/>
              </w:rPr>
              <w:t>2</w:t>
            </w:r>
            <w:r w:rsidRPr="00154588">
              <w:rPr>
                <w:bCs/>
                <w:sz w:val="20"/>
                <w:szCs w:val="20"/>
              </w:rPr>
              <w:t>), persoanelor afectate, inclusiv acţionarilor, creditorilor şi contrapărţilor, li se aplică garanţiile prevăzute de prezenta lege sau alte garanţii care asigură un nivel echivalent de protecţie.</w:t>
            </w:r>
          </w:p>
          <w:p w14:paraId="00C6AED8" w14:textId="77777777" w:rsidR="00F4284C" w:rsidRPr="00154588" w:rsidRDefault="00F4284C" w:rsidP="008C12B4">
            <w:pPr>
              <w:jc w:val="both"/>
              <w:rPr>
                <w:sz w:val="20"/>
                <w:szCs w:val="20"/>
              </w:rPr>
            </w:pPr>
          </w:p>
        </w:tc>
        <w:tc>
          <w:tcPr>
            <w:tcW w:w="2552" w:type="dxa"/>
          </w:tcPr>
          <w:p w14:paraId="47A4BF6C" w14:textId="6FE86988" w:rsidR="00F4284C" w:rsidRPr="00154588" w:rsidRDefault="004D6F58" w:rsidP="008C12B4">
            <w:pPr>
              <w:jc w:val="both"/>
              <w:rPr>
                <w:sz w:val="20"/>
                <w:szCs w:val="20"/>
              </w:rPr>
            </w:pPr>
            <w:r w:rsidRPr="00154588">
              <w:rPr>
                <w:sz w:val="20"/>
                <w:szCs w:val="20"/>
              </w:rPr>
              <w:t>Compatibil</w:t>
            </w:r>
          </w:p>
        </w:tc>
        <w:tc>
          <w:tcPr>
            <w:tcW w:w="3118" w:type="dxa"/>
          </w:tcPr>
          <w:p w14:paraId="1650785D" w14:textId="77777777" w:rsidR="00F4284C" w:rsidRPr="00154588" w:rsidRDefault="00F4284C" w:rsidP="008C12B4">
            <w:pPr>
              <w:jc w:val="both"/>
              <w:rPr>
                <w:sz w:val="20"/>
                <w:szCs w:val="20"/>
              </w:rPr>
            </w:pPr>
          </w:p>
        </w:tc>
      </w:tr>
      <w:tr w:rsidR="00F4284C" w:rsidRPr="00154588" w14:paraId="27B934C5" w14:textId="77777777" w:rsidTr="00D15C1B">
        <w:trPr>
          <w:jc w:val="center"/>
        </w:trPr>
        <w:tc>
          <w:tcPr>
            <w:tcW w:w="4957" w:type="dxa"/>
            <w:gridSpan w:val="2"/>
          </w:tcPr>
          <w:p w14:paraId="74C07E77" w14:textId="77777777" w:rsidR="00F4284C" w:rsidRPr="00154588" w:rsidRDefault="00F4284C" w:rsidP="008C12B4">
            <w:pPr>
              <w:jc w:val="both"/>
              <w:rPr>
                <w:b/>
                <w:sz w:val="20"/>
                <w:szCs w:val="20"/>
              </w:rPr>
            </w:pPr>
            <w:r w:rsidRPr="00154588">
              <w:rPr>
                <w:b/>
                <w:sz w:val="20"/>
                <w:szCs w:val="20"/>
              </w:rPr>
              <w:t>Articolul 64</w:t>
            </w:r>
          </w:p>
          <w:p w14:paraId="17C092F8" w14:textId="77777777" w:rsidR="00F4284C" w:rsidRPr="00154588" w:rsidRDefault="00F4284C" w:rsidP="008C12B4">
            <w:pPr>
              <w:jc w:val="both"/>
              <w:rPr>
                <w:b/>
                <w:sz w:val="20"/>
                <w:szCs w:val="20"/>
              </w:rPr>
            </w:pPr>
          </w:p>
          <w:p w14:paraId="3762ACA3" w14:textId="51D2F1C2" w:rsidR="00F4284C" w:rsidRPr="00154588" w:rsidRDefault="00F4284C" w:rsidP="008C12B4">
            <w:pPr>
              <w:jc w:val="both"/>
              <w:rPr>
                <w:sz w:val="20"/>
                <w:szCs w:val="20"/>
              </w:rPr>
            </w:pPr>
            <w:r w:rsidRPr="00154588">
              <w:rPr>
                <w:b/>
                <w:sz w:val="20"/>
                <w:szCs w:val="20"/>
              </w:rPr>
              <w:t>Competențe auxiliare</w:t>
            </w:r>
          </w:p>
        </w:tc>
        <w:tc>
          <w:tcPr>
            <w:tcW w:w="4819" w:type="dxa"/>
          </w:tcPr>
          <w:p w14:paraId="299BA1A1" w14:textId="77777777" w:rsidR="00F4284C" w:rsidRPr="00154588" w:rsidRDefault="00F4284C" w:rsidP="008C12B4">
            <w:pPr>
              <w:jc w:val="both"/>
              <w:rPr>
                <w:sz w:val="20"/>
                <w:szCs w:val="20"/>
              </w:rPr>
            </w:pPr>
          </w:p>
        </w:tc>
        <w:tc>
          <w:tcPr>
            <w:tcW w:w="2552" w:type="dxa"/>
          </w:tcPr>
          <w:p w14:paraId="24034B14" w14:textId="77777777" w:rsidR="00F4284C" w:rsidRPr="00154588" w:rsidRDefault="00F4284C" w:rsidP="008C12B4">
            <w:pPr>
              <w:jc w:val="both"/>
              <w:rPr>
                <w:sz w:val="20"/>
                <w:szCs w:val="20"/>
              </w:rPr>
            </w:pPr>
          </w:p>
        </w:tc>
        <w:tc>
          <w:tcPr>
            <w:tcW w:w="3118" w:type="dxa"/>
          </w:tcPr>
          <w:p w14:paraId="2D64067F" w14:textId="77777777" w:rsidR="00F4284C" w:rsidRPr="00154588" w:rsidRDefault="00F4284C" w:rsidP="008C12B4">
            <w:pPr>
              <w:jc w:val="both"/>
              <w:rPr>
                <w:sz w:val="20"/>
                <w:szCs w:val="20"/>
              </w:rPr>
            </w:pPr>
          </w:p>
        </w:tc>
      </w:tr>
      <w:tr w:rsidR="00F4284C" w:rsidRPr="00154588" w14:paraId="6FB15567" w14:textId="77777777" w:rsidTr="00D15C1B">
        <w:trPr>
          <w:jc w:val="center"/>
        </w:trPr>
        <w:tc>
          <w:tcPr>
            <w:tcW w:w="4957" w:type="dxa"/>
            <w:gridSpan w:val="2"/>
          </w:tcPr>
          <w:p w14:paraId="4CBEF6ED" w14:textId="77777777" w:rsidR="00F4284C" w:rsidRPr="00154588" w:rsidRDefault="00F4284C" w:rsidP="008C12B4">
            <w:pPr>
              <w:jc w:val="both"/>
              <w:rPr>
                <w:sz w:val="20"/>
                <w:szCs w:val="20"/>
              </w:rPr>
            </w:pPr>
            <w:r w:rsidRPr="00154588">
              <w:rPr>
                <w:sz w:val="20"/>
                <w:szCs w:val="20"/>
              </w:rPr>
              <w:t>(1)   Statele membre se asigură că, atunci când exercită o competență de rezoluție, autoritățile de rezoluție au competența:</w:t>
            </w:r>
          </w:p>
          <w:p w14:paraId="42967C9F" w14:textId="77777777" w:rsidR="00F4284C" w:rsidRPr="00154588" w:rsidRDefault="00F4284C" w:rsidP="008C12B4">
            <w:pPr>
              <w:jc w:val="both"/>
              <w:rPr>
                <w:sz w:val="20"/>
                <w:szCs w:val="20"/>
              </w:rPr>
            </w:pPr>
          </w:p>
          <w:p w14:paraId="7134B6D2" w14:textId="2237C6CA" w:rsidR="00F4284C" w:rsidRPr="00154588" w:rsidRDefault="00F4284C" w:rsidP="008C12B4">
            <w:pPr>
              <w:jc w:val="both"/>
              <w:rPr>
                <w:sz w:val="20"/>
                <w:szCs w:val="20"/>
              </w:rPr>
            </w:pPr>
            <w:r w:rsidRPr="00154588">
              <w:rPr>
                <w:sz w:val="20"/>
                <w:szCs w:val="20"/>
              </w:rPr>
              <w:t>(a) sub rezerva articolului 78, de a lua măsuri, astfel încât un transfer să poată fi efectuat în condițiile în care instrumentele financiare, drepturile, activele sau datoriile transferate sunt libere de orice obligație sau grevare cu sarcini; în acest sens, orice drept de compensare în conformitate cu prezenta directivă nu se consideră obligație sau grevare cu sarcini;</w:t>
            </w:r>
          </w:p>
          <w:p w14:paraId="0E569B71" w14:textId="77777777" w:rsidR="00F4284C" w:rsidRPr="00154588" w:rsidRDefault="00F4284C" w:rsidP="008C12B4">
            <w:pPr>
              <w:jc w:val="both"/>
              <w:rPr>
                <w:sz w:val="20"/>
                <w:szCs w:val="20"/>
              </w:rPr>
            </w:pPr>
          </w:p>
          <w:p w14:paraId="3117E876" w14:textId="6CFC7C98" w:rsidR="00F4284C" w:rsidRPr="00154588" w:rsidRDefault="00F4284C" w:rsidP="008C12B4">
            <w:pPr>
              <w:jc w:val="both"/>
              <w:rPr>
                <w:sz w:val="20"/>
                <w:szCs w:val="20"/>
              </w:rPr>
            </w:pPr>
            <w:r w:rsidRPr="00154588">
              <w:rPr>
                <w:sz w:val="20"/>
                <w:szCs w:val="20"/>
              </w:rPr>
              <w:t>(b) de a revoca drepturile de a achiziționa alte acțiuni sau alte instrumente de proprietate;</w:t>
            </w:r>
          </w:p>
          <w:p w14:paraId="7D3DB355" w14:textId="77777777" w:rsidR="00F4284C" w:rsidRPr="00154588" w:rsidRDefault="00F4284C" w:rsidP="008C12B4">
            <w:pPr>
              <w:jc w:val="both"/>
              <w:rPr>
                <w:sz w:val="20"/>
                <w:szCs w:val="20"/>
              </w:rPr>
            </w:pPr>
          </w:p>
          <w:p w14:paraId="32ABE700" w14:textId="2E86306C" w:rsidR="00F4284C" w:rsidRPr="00154588" w:rsidRDefault="00F4284C" w:rsidP="008C12B4">
            <w:pPr>
              <w:jc w:val="both"/>
              <w:rPr>
                <w:sz w:val="20"/>
                <w:szCs w:val="20"/>
              </w:rPr>
            </w:pPr>
            <w:r w:rsidRPr="00154588">
              <w:rPr>
                <w:sz w:val="20"/>
                <w:szCs w:val="20"/>
              </w:rPr>
              <w:t xml:space="preserve">(c) de a solicita autorității relevante încetarea sau suspendarea admiterii la tranzacționare pe o piață reglementată sau a cotării oficiale a instrumentelor </w:t>
            </w:r>
            <w:r w:rsidRPr="00154588">
              <w:rPr>
                <w:sz w:val="20"/>
                <w:szCs w:val="20"/>
              </w:rPr>
              <w:lastRenderedPageBreak/>
              <w:t>financiare conform Directivei 2001/34/CE a Parlamentului European și a Consiliului ( 13 );</w:t>
            </w:r>
          </w:p>
          <w:p w14:paraId="07C9A765" w14:textId="77777777" w:rsidR="00F4284C" w:rsidRPr="00154588" w:rsidRDefault="00F4284C" w:rsidP="008C12B4">
            <w:pPr>
              <w:jc w:val="both"/>
              <w:rPr>
                <w:sz w:val="20"/>
                <w:szCs w:val="20"/>
              </w:rPr>
            </w:pPr>
          </w:p>
          <w:p w14:paraId="2EE345A7" w14:textId="38624F3A" w:rsidR="00F4284C" w:rsidRPr="00154588" w:rsidRDefault="00F4284C" w:rsidP="008C12B4">
            <w:pPr>
              <w:jc w:val="both"/>
              <w:rPr>
                <w:sz w:val="20"/>
                <w:szCs w:val="20"/>
              </w:rPr>
            </w:pPr>
            <w:r w:rsidRPr="00154588">
              <w:rPr>
                <w:sz w:val="20"/>
                <w:szCs w:val="20"/>
              </w:rPr>
              <w:t>(d) de a lua măsuri, astfel încât destinatarul să fie tratat în același mod în care ar fi tratată instituția aflată în rezoluție în legătură cu orice drepturi sau obligații ale instituției aflate în rezoluție, ori acțiuni întreprinse de aceasta, inclusiv, sub rezerva articolelor 38 și 40, eventuale drepturi sau obligații referitoare la participarea la infrastructura pieței;</w:t>
            </w:r>
          </w:p>
          <w:p w14:paraId="5FF3EC1C" w14:textId="77777777" w:rsidR="00F4284C" w:rsidRPr="00154588" w:rsidRDefault="00F4284C" w:rsidP="008C12B4">
            <w:pPr>
              <w:jc w:val="both"/>
              <w:rPr>
                <w:sz w:val="20"/>
                <w:szCs w:val="20"/>
              </w:rPr>
            </w:pPr>
          </w:p>
          <w:p w14:paraId="7BDA5DD0" w14:textId="5D80FC77" w:rsidR="00F4284C" w:rsidRPr="00154588" w:rsidRDefault="00F4284C" w:rsidP="008C12B4">
            <w:pPr>
              <w:jc w:val="both"/>
              <w:rPr>
                <w:sz w:val="20"/>
                <w:szCs w:val="20"/>
              </w:rPr>
            </w:pPr>
            <w:r w:rsidRPr="00154588">
              <w:rPr>
                <w:sz w:val="20"/>
                <w:szCs w:val="20"/>
              </w:rPr>
              <w:t>(e) solicita instituției aflate în rezoluție sau destinatarului să furnizeze celeilalte părți informații și asistență; și</w:t>
            </w:r>
          </w:p>
          <w:p w14:paraId="034DF48B" w14:textId="77777777" w:rsidR="00F4284C" w:rsidRPr="00154588" w:rsidRDefault="00F4284C" w:rsidP="008C12B4">
            <w:pPr>
              <w:jc w:val="both"/>
              <w:rPr>
                <w:sz w:val="20"/>
                <w:szCs w:val="20"/>
              </w:rPr>
            </w:pPr>
          </w:p>
          <w:p w14:paraId="0896DB83" w14:textId="77777777" w:rsidR="00F4284C" w:rsidRPr="00154588" w:rsidRDefault="00F4284C" w:rsidP="008C12B4">
            <w:pPr>
              <w:jc w:val="both"/>
              <w:rPr>
                <w:sz w:val="20"/>
                <w:szCs w:val="20"/>
              </w:rPr>
            </w:pPr>
          </w:p>
          <w:p w14:paraId="3EAAC3FB" w14:textId="42C6BE58" w:rsidR="00F4284C" w:rsidRPr="00154588" w:rsidRDefault="00F4284C" w:rsidP="008C12B4">
            <w:pPr>
              <w:jc w:val="both"/>
              <w:rPr>
                <w:sz w:val="20"/>
                <w:szCs w:val="20"/>
              </w:rPr>
            </w:pPr>
            <w:r w:rsidRPr="00154588">
              <w:rPr>
                <w:sz w:val="20"/>
                <w:szCs w:val="20"/>
              </w:rPr>
              <w:t>(f) de a anula sau modifica clauzele unui contract la care instituția aflată în rezoluție este parte sau de a se substitui unei entități destinatare în calitate de parte semnatară;v</w:t>
            </w:r>
          </w:p>
        </w:tc>
        <w:tc>
          <w:tcPr>
            <w:tcW w:w="4819" w:type="dxa"/>
          </w:tcPr>
          <w:p w14:paraId="1FFFCD7B" w14:textId="77777777" w:rsidR="00F4284C" w:rsidRPr="00154588" w:rsidRDefault="00F4284C" w:rsidP="008C12B4">
            <w:pPr>
              <w:ind w:firstLine="567"/>
              <w:jc w:val="both"/>
              <w:rPr>
                <w:sz w:val="20"/>
                <w:szCs w:val="20"/>
              </w:rPr>
            </w:pPr>
            <w:r w:rsidRPr="00154588">
              <w:rPr>
                <w:b/>
                <w:sz w:val="20"/>
                <w:szCs w:val="20"/>
              </w:rPr>
              <w:lastRenderedPageBreak/>
              <w:t>Articolul 233.</w:t>
            </w:r>
            <w:r w:rsidRPr="00154588">
              <w:rPr>
                <w:sz w:val="20"/>
                <w:szCs w:val="20"/>
              </w:rPr>
              <w:t xml:space="preserve"> – (1) În exercitarea competenţelor de rezoluţie, Banca Naţională a Moldovei, în calitate de autoritate de rezoluţie, are competenţa de:</w:t>
            </w:r>
          </w:p>
          <w:p w14:paraId="337A9E28" w14:textId="77777777" w:rsidR="00F4284C" w:rsidRPr="00154588" w:rsidRDefault="00F4284C" w:rsidP="008C12B4">
            <w:pPr>
              <w:ind w:firstLine="567"/>
              <w:jc w:val="both"/>
              <w:rPr>
                <w:sz w:val="20"/>
                <w:szCs w:val="20"/>
              </w:rPr>
            </w:pPr>
            <w:r w:rsidRPr="00154588">
              <w:rPr>
                <w:sz w:val="20"/>
                <w:szCs w:val="20"/>
              </w:rPr>
              <w:t>a) a dispune, fără a aduce atingere prevederilor art.271, că transferul se efectuează liber de orice obligaţie sau degrevat de orice sarcină asupra instrumentelor financiare, drepturilor, activelor sau obligaţiilor transferate; în acest sens, orice drept de despăgubire prevăzut de prezenta lege nu se consideră a fi obligaţie sau grevare cu sarcini, prezenta dispoziţie fiind opozabilă inclusiv registrelor publice;</w:t>
            </w:r>
          </w:p>
          <w:p w14:paraId="02124066" w14:textId="77777777" w:rsidR="00F4284C" w:rsidRPr="00154588" w:rsidRDefault="00F4284C" w:rsidP="008C12B4">
            <w:pPr>
              <w:ind w:firstLine="567"/>
              <w:jc w:val="both"/>
              <w:rPr>
                <w:sz w:val="20"/>
                <w:szCs w:val="20"/>
              </w:rPr>
            </w:pPr>
            <w:r w:rsidRPr="00154588">
              <w:rPr>
                <w:sz w:val="20"/>
                <w:szCs w:val="20"/>
              </w:rPr>
              <w:t>b) a revoca drepturile de a achiziţiona alte acţiuni sau alte instrumente de proprietate la instituția supusă rezoluţiei;</w:t>
            </w:r>
          </w:p>
          <w:p w14:paraId="113D30B2" w14:textId="77777777" w:rsidR="00F4284C" w:rsidRPr="00154588" w:rsidRDefault="00F4284C" w:rsidP="008C12B4">
            <w:pPr>
              <w:ind w:firstLine="567"/>
              <w:jc w:val="both"/>
              <w:rPr>
                <w:sz w:val="20"/>
                <w:szCs w:val="20"/>
              </w:rPr>
            </w:pPr>
            <w:r w:rsidRPr="00154588">
              <w:rPr>
                <w:sz w:val="20"/>
                <w:szCs w:val="20"/>
              </w:rPr>
              <w:t xml:space="preserve">c) a adresa o solicitare Comisiei Naţionale a Pieţei Financiare sau autorităţii relevante dintr-un alt stat membru al Uniunii Europene de a întrerupe sau </w:t>
            </w:r>
            <w:r w:rsidRPr="00154588">
              <w:rPr>
                <w:sz w:val="20"/>
                <w:szCs w:val="20"/>
              </w:rPr>
              <w:lastRenderedPageBreak/>
              <w:t>de a suspenda admiterea la tranzacţionare pe o piaţă reglementată sau cotarea oficială a instrumentelor financiare potrivit prevederilor legislaţiei privind piaţa de capital;</w:t>
            </w:r>
          </w:p>
          <w:p w14:paraId="7381D383" w14:textId="77777777" w:rsidR="00F4284C" w:rsidRPr="00154588" w:rsidRDefault="00F4284C" w:rsidP="008C12B4">
            <w:pPr>
              <w:ind w:firstLine="567"/>
              <w:jc w:val="both"/>
              <w:rPr>
                <w:sz w:val="20"/>
                <w:szCs w:val="20"/>
              </w:rPr>
            </w:pPr>
            <w:r w:rsidRPr="00154588">
              <w:rPr>
                <w:sz w:val="20"/>
                <w:szCs w:val="20"/>
              </w:rPr>
              <w:t>d) a lua măsuri astfel încît destinatarul să fie tratat în acelaşi mod în care este tratată institu</w:t>
            </w:r>
            <w:r w:rsidRPr="00154588">
              <w:rPr>
                <w:sz w:val="20"/>
                <w:szCs w:val="20"/>
                <w:lang w:val="ro-MD"/>
              </w:rPr>
              <w:t>ția</w:t>
            </w:r>
            <w:r w:rsidRPr="00154588">
              <w:rPr>
                <w:sz w:val="20"/>
                <w:szCs w:val="20"/>
              </w:rPr>
              <w:t xml:space="preserve"> supusă rezoluţiei în legătură cu orice drepturi sau obligaţii ale instituției supuse rezoluţiei ori acţiuni întreprinse de aceasta, inclusiv, fără a aduce atingere prevederilor art.94-106 şi art.110-121, în legătură cu eventuale drepturi sau obligaţii referitoare la participarea la infrastructura pieţei;</w:t>
            </w:r>
          </w:p>
          <w:p w14:paraId="569C37EF" w14:textId="77777777" w:rsidR="00F4284C" w:rsidRPr="00154588" w:rsidRDefault="00F4284C" w:rsidP="008C12B4">
            <w:pPr>
              <w:ind w:firstLine="567"/>
              <w:jc w:val="both"/>
              <w:rPr>
                <w:sz w:val="20"/>
                <w:szCs w:val="20"/>
              </w:rPr>
            </w:pPr>
            <w:r w:rsidRPr="00154588">
              <w:rPr>
                <w:sz w:val="20"/>
                <w:szCs w:val="20"/>
              </w:rPr>
              <w:t>e) a solicita instituției supuse rezoluţiei sau destinatarului să furnizeze celeilalte părţi informaţii şi asistenţă; şi</w:t>
            </w:r>
          </w:p>
          <w:p w14:paraId="421AA2AB" w14:textId="77777777" w:rsidR="00F4284C" w:rsidRPr="00154588" w:rsidRDefault="00F4284C" w:rsidP="008C12B4">
            <w:pPr>
              <w:ind w:firstLine="567"/>
              <w:jc w:val="both"/>
              <w:rPr>
                <w:sz w:val="20"/>
                <w:szCs w:val="20"/>
              </w:rPr>
            </w:pPr>
            <w:r w:rsidRPr="00154588">
              <w:rPr>
                <w:sz w:val="20"/>
                <w:szCs w:val="20"/>
              </w:rPr>
              <w:t>f) a anula sau modifica clauzele unui contract la care instituția supusă rezoluţiei este parte sau de a substitui instituția supusă rezoluţiei cu un destinatar, în calitate de parte contractantă.</w:t>
            </w:r>
          </w:p>
          <w:p w14:paraId="3BD51C56" w14:textId="77777777" w:rsidR="00F4284C" w:rsidRPr="00154588" w:rsidRDefault="00F4284C" w:rsidP="008C12B4">
            <w:pPr>
              <w:ind w:firstLine="567"/>
              <w:jc w:val="both"/>
              <w:rPr>
                <w:sz w:val="20"/>
                <w:szCs w:val="20"/>
              </w:rPr>
            </w:pPr>
          </w:p>
        </w:tc>
        <w:tc>
          <w:tcPr>
            <w:tcW w:w="2552" w:type="dxa"/>
          </w:tcPr>
          <w:p w14:paraId="79935B01" w14:textId="319DB9AC" w:rsidR="00F4284C" w:rsidRPr="00154588" w:rsidRDefault="00F4284C" w:rsidP="008C12B4">
            <w:pPr>
              <w:jc w:val="both"/>
              <w:rPr>
                <w:sz w:val="20"/>
                <w:szCs w:val="20"/>
              </w:rPr>
            </w:pPr>
            <w:r w:rsidRPr="00154588">
              <w:rPr>
                <w:sz w:val="20"/>
                <w:szCs w:val="20"/>
              </w:rPr>
              <w:lastRenderedPageBreak/>
              <w:t>Compatibil</w:t>
            </w:r>
          </w:p>
        </w:tc>
        <w:tc>
          <w:tcPr>
            <w:tcW w:w="3118" w:type="dxa"/>
          </w:tcPr>
          <w:p w14:paraId="25173245" w14:textId="77777777" w:rsidR="00F4284C" w:rsidRPr="00154588" w:rsidRDefault="00F4284C" w:rsidP="008C12B4">
            <w:pPr>
              <w:jc w:val="both"/>
              <w:rPr>
                <w:sz w:val="20"/>
                <w:szCs w:val="20"/>
              </w:rPr>
            </w:pPr>
          </w:p>
        </w:tc>
      </w:tr>
      <w:tr w:rsidR="00F4284C" w:rsidRPr="00154588" w14:paraId="3E5E4F0F" w14:textId="77777777" w:rsidTr="00D15C1B">
        <w:trPr>
          <w:jc w:val="center"/>
        </w:trPr>
        <w:tc>
          <w:tcPr>
            <w:tcW w:w="4957" w:type="dxa"/>
            <w:gridSpan w:val="2"/>
          </w:tcPr>
          <w:p w14:paraId="6BA749C5" w14:textId="18BEFA83" w:rsidR="00F4284C" w:rsidRPr="00154588" w:rsidRDefault="00F4284C" w:rsidP="008C12B4">
            <w:pPr>
              <w:jc w:val="both"/>
              <w:rPr>
                <w:sz w:val="20"/>
                <w:szCs w:val="20"/>
              </w:rPr>
            </w:pPr>
            <w:r w:rsidRPr="00154588">
              <w:rPr>
                <w:sz w:val="20"/>
                <w:szCs w:val="20"/>
              </w:rPr>
              <w:t>(2)   Autoritățile de rezoluție exercită competențele menționate la alineatul (1) în cazul în care autoritatea de rezoluție consideră oportun să contribuie la asigurarea faptului că măsurile de rezoluție sunt eficiente sau la atingerea unuia sau a mai multor obiective ale rezoluției.</w:t>
            </w:r>
          </w:p>
        </w:tc>
        <w:tc>
          <w:tcPr>
            <w:tcW w:w="4819" w:type="dxa"/>
          </w:tcPr>
          <w:p w14:paraId="6C2BD74D" w14:textId="1B71916B" w:rsidR="00F4284C" w:rsidRPr="00154588" w:rsidRDefault="00F4284C" w:rsidP="008C12B4">
            <w:pPr>
              <w:ind w:firstLine="567"/>
              <w:jc w:val="both"/>
              <w:rPr>
                <w:sz w:val="20"/>
                <w:szCs w:val="20"/>
              </w:rPr>
            </w:pPr>
            <w:r w:rsidRPr="00154588">
              <w:rPr>
                <w:b/>
                <w:sz w:val="20"/>
                <w:szCs w:val="20"/>
              </w:rPr>
              <w:t>Articolul 233.</w:t>
            </w:r>
            <w:r w:rsidRPr="00154588">
              <w:rPr>
                <w:sz w:val="20"/>
                <w:szCs w:val="20"/>
              </w:rPr>
              <w:t xml:space="preserve"> – (2) Banca Naţională a Moldovei, în calitate de autoritate de rezoluţie, întreprinde acţiunile prevăzute la alin.(1) în situaţia în care consideră că acestea sînt adecvate pentru asigurarea unei acţiuni de rezoluţie eficace sau pentru atingerea unuia sau mai multor obiective ale rezoluţiei.</w:t>
            </w:r>
          </w:p>
          <w:p w14:paraId="45C08E86" w14:textId="77777777" w:rsidR="00F4284C" w:rsidRPr="00154588" w:rsidRDefault="00F4284C" w:rsidP="008C12B4">
            <w:pPr>
              <w:jc w:val="both"/>
              <w:rPr>
                <w:sz w:val="20"/>
                <w:szCs w:val="20"/>
              </w:rPr>
            </w:pPr>
          </w:p>
        </w:tc>
        <w:tc>
          <w:tcPr>
            <w:tcW w:w="2552" w:type="dxa"/>
          </w:tcPr>
          <w:p w14:paraId="37376216" w14:textId="0AE8D03B" w:rsidR="00F4284C" w:rsidRPr="00154588" w:rsidRDefault="00F4284C" w:rsidP="008C12B4">
            <w:pPr>
              <w:jc w:val="both"/>
              <w:rPr>
                <w:sz w:val="20"/>
                <w:szCs w:val="20"/>
              </w:rPr>
            </w:pPr>
            <w:r w:rsidRPr="00154588">
              <w:rPr>
                <w:sz w:val="20"/>
                <w:szCs w:val="20"/>
              </w:rPr>
              <w:t>Compatibil</w:t>
            </w:r>
          </w:p>
        </w:tc>
        <w:tc>
          <w:tcPr>
            <w:tcW w:w="3118" w:type="dxa"/>
          </w:tcPr>
          <w:p w14:paraId="62BAB437" w14:textId="77777777" w:rsidR="00F4284C" w:rsidRPr="00154588" w:rsidRDefault="00F4284C" w:rsidP="008C12B4">
            <w:pPr>
              <w:jc w:val="both"/>
              <w:rPr>
                <w:sz w:val="20"/>
                <w:szCs w:val="20"/>
              </w:rPr>
            </w:pPr>
          </w:p>
        </w:tc>
      </w:tr>
      <w:tr w:rsidR="00F4284C" w:rsidRPr="00154588" w14:paraId="5099A986" w14:textId="77777777" w:rsidTr="00D15C1B">
        <w:trPr>
          <w:jc w:val="center"/>
        </w:trPr>
        <w:tc>
          <w:tcPr>
            <w:tcW w:w="4957" w:type="dxa"/>
            <w:gridSpan w:val="2"/>
          </w:tcPr>
          <w:p w14:paraId="6ACE9C20" w14:textId="77777777" w:rsidR="00F4284C" w:rsidRPr="00154588" w:rsidRDefault="00F4284C" w:rsidP="008C12B4">
            <w:pPr>
              <w:jc w:val="both"/>
              <w:rPr>
                <w:sz w:val="20"/>
                <w:szCs w:val="20"/>
              </w:rPr>
            </w:pPr>
            <w:r w:rsidRPr="00154588">
              <w:rPr>
                <w:sz w:val="20"/>
                <w:szCs w:val="20"/>
              </w:rPr>
              <w:t>(3)   Statele membre se asigură că, atunci când exercită o competență de rezoluție, autoritățile de rezoluție au competența de a institui acorduri de continuitate, necesare pentru a garanta atât eficiența măsurilor de rezoluție, cât și capacitatea destinatarului, după caz, de a desfășura activitatea care i-a fost transferată. Aceste acorduri de continuitate includ, în special:</w:t>
            </w:r>
          </w:p>
          <w:p w14:paraId="59DA036C" w14:textId="77777777" w:rsidR="00F4284C" w:rsidRPr="00154588" w:rsidRDefault="00F4284C" w:rsidP="008C12B4">
            <w:pPr>
              <w:jc w:val="both"/>
              <w:rPr>
                <w:sz w:val="20"/>
                <w:szCs w:val="20"/>
              </w:rPr>
            </w:pPr>
          </w:p>
          <w:p w14:paraId="543D5D75" w14:textId="77777777" w:rsidR="00F4284C" w:rsidRPr="00154588" w:rsidRDefault="00F4284C" w:rsidP="008C12B4">
            <w:pPr>
              <w:jc w:val="both"/>
              <w:rPr>
                <w:sz w:val="20"/>
                <w:szCs w:val="20"/>
              </w:rPr>
            </w:pPr>
          </w:p>
          <w:p w14:paraId="2DD0B44F" w14:textId="5A322505" w:rsidR="00F4284C" w:rsidRPr="00154588" w:rsidRDefault="00F4284C" w:rsidP="008C12B4">
            <w:pPr>
              <w:jc w:val="both"/>
              <w:rPr>
                <w:sz w:val="20"/>
                <w:szCs w:val="20"/>
              </w:rPr>
            </w:pPr>
            <w:r w:rsidRPr="00154588">
              <w:rPr>
                <w:sz w:val="20"/>
                <w:szCs w:val="20"/>
              </w:rPr>
              <w:t>(a) continuitatea contractelor încheiate de instituția aflată în rezoluție, astfel încât destinatarul să își asume drepturile și pasivele instituției aflate în rezoluție referitoare la orice instrument financiar, drept, activ sau pasiv transferat și să se substituie instituției aflate în rezoluție, în mod explicit sau implicit, în toate documentele contractuale relevante;</w:t>
            </w:r>
          </w:p>
          <w:p w14:paraId="3AA1F8E4" w14:textId="77777777" w:rsidR="00F4284C" w:rsidRPr="00154588" w:rsidRDefault="00F4284C" w:rsidP="008C12B4">
            <w:pPr>
              <w:jc w:val="both"/>
              <w:rPr>
                <w:sz w:val="20"/>
                <w:szCs w:val="20"/>
              </w:rPr>
            </w:pPr>
          </w:p>
          <w:p w14:paraId="6B69374A" w14:textId="77777777" w:rsidR="00F4284C" w:rsidRPr="00154588" w:rsidRDefault="00F4284C" w:rsidP="008C12B4">
            <w:pPr>
              <w:jc w:val="both"/>
              <w:rPr>
                <w:sz w:val="20"/>
                <w:szCs w:val="20"/>
              </w:rPr>
            </w:pPr>
          </w:p>
          <w:p w14:paraId="7AFAAE23" w14:textId="6996D339" w:rsidR="00F4284C" w:rsidRPr="00154588" w:rsidRDefault="00F4284C" w:rsidP="008C12B4">
            <w:pPr>
              <w:jc w:val="both"/>
              <w:rPr>
                <w:sz w:val="20"/>
                <w:szCs w:val="20"/>
              </w:rPr>
            </w:pPr>
            <w:r w:rsidRPr="00154588">
              <w:rPr>
                <w:sz w:val="20"/>
                <w:szCs w:val="20"/>
              </w:rPr>
              <w:t>(b) substituirea instituției aflate în rezoluție cu destinatarul, în cadrul oricărei proceduri judiciare referitoare la orice instrument financiar, drept, activ sau pasiv transferat.</w:t>
            </w:r>
          </w:p>
        </w:tc>
        <w:tc>
          <w:tcPr>
            <w:tcW w:w="4819" w:type="dxa"/>
          </w:tcPr>
          <w:p w14:paraId="339280A0" w14:textId="77777777" w:rsidR="00F4284C" w:rsidRPr="00154588" w:rsidRDefault="00F4284C" w:rsidP="008C12B4">
            <w:pPr>
              <w:ind w:firstLine="567"/>
              <w:jc w:val="both"/>
              <w:rPr>
                <w:sz w:val="20"/>
                <w:szCs w:val="20"/>
              </w:rPr>
            </w:pPr>
            <w:r w:rsidRPr="00154588">
              <w:rPr>
                <w:b/>
                <w:sz w:val="20"/>
                <w:szCs w:val="20"/>
              </w:rPr>
              <w:lastRenderedPageBreak/>
              <w:t>Articolul 234.</w:t>
            </w:r>
            <w:r w:rsidRPr="00154588">
              <w:rPr>
                <w:sz w:val="20"/>
                <w:szCs w:val="20"/>
              </w:rPr>
              <w:t xml:space="preserve"> – (1) În exercitarea unei competenţe de rezoluţie, Banca Naţională a Moldovei are competenţa de a pune în practică mecanisme necesare asigurării continuităţii activităţii, în vederea asigurării eficacităţii acţiunii de rezoluţie şi, atunci cînd este necesar, a capacităţii destinatarului de a putea desfăşura activitatea care i-a fost transferată.</w:t>
            </w:r>
          </w:p>
          <w:p w14:paraId="165D3F49" w14:textId="77777777" w:rsidR="00F4284C" w:rsidRPr="00154588" w:rsidRDefault="00F4284C" w:rsidP="008C12B4">
            <w:pPr>
              <w:ind w:firstLine="567"/>
              <w:jc w:val="both"/>
              <w:rPr>
                <w:sz w:val="20"/>
                <w:szCs w:val="20"/>
              </w:rPr>
            </w:pPr>
            <w:r w:rsidRPr="00154588">
              <w:rPr>
                <w:sz w:val="20"/>
                <w:szCs w:val="20"/>
              </w:rPr>
              <w:t>(2) Mecanismele de asigurare a continuităţii activităţii prevăzute la alin.(1) includ, în special:</w:t>
            </w:r>
          </w:p>
          <w:p w14:paraId="1251A019" w14:textId="77777777" w:rsidR="00F4284C" w:rsidRPr="00154588" w:rsidRDefault="00F4284C" w:rsidP="008C12B4">
            <w:pPr>
              <w:ind w:firstLine="567"/>
              <w:jc w:val="both"/>
              <w:rPr>
                <w:sz w:val="20"/>
                <w:szCs w:val="20"/>
              </w:rPr>
            </w:pPr>
            <w:r w:rsidRPr="00154588">
              <w:rPr>
                <w:sz w:val="20"/>
                <w:szCs w:val="20"/>
              </w:rPr>
              <w:t>a) asigurarea continuităţii contractelor încheiate de institu</w:t>
            </w:r>
            <w:r w:rsidRPr="00154588">
              <w:rPr>
                <w:sz w:val="20"/>
                <w:szCs w:val="20"/>
                <w:lang w:val="ro-MD"/>
              </w:rPr>
              <w:t>ția</w:t>
            </w:r>
            <w:r w:rsidRPr="00154588">
              <w:rPr>
                <w:sz w:val="20"/>
                <w:szCs w:val="20"/>
              </w:rPr>
              <w:t xml:space="preserve"> supusă rezoluţiei, astfel încît destinatarul să îşi asume drepturile şi obligaţiile instituției supuse rezoluţiei referitoare la orice instrument financiar, drept, activ sau obligaţie transferate şi să se substituie instituției supuse </w:t>
            </w:r>
            <w:r w:rsidRPr="00154588">
              <w:rPr>
                <w:sz w:val="20"/>
                <w:szCs w:val="20"/>
              </w:rPr>
              <w:lastRenderedPageBreak/>
              <w:t>rezoluţiei, în mod explicit sau implicit, în toate documentele contractuale relevante;</w:t>
            </w:r>
          </w:p>
          <w:p w14:paraId="6077AAFC" w14:textId="77777777" w:rsidR="00F4284C" w:rsidRPr="00154588" w:rsidRDefault="00F4284C" w:rsidP="008C12B4">
            <w:pPr>
              <w:ind w:firstLine="567"/>
              <w:jc w:val="both"/>
              <w:rPr>
                <w:sz w:val="20"/>
                <w:szCs w:val="20"/>
              </w:rPr>
            </w:pPr>
            <w:r w:rsidRPr="00154588">
              <w:rPr>
                <w:sz w:val="20"/>
                <w:szCs w:val="20"/>
              </w:rPr>
              <w:t>b) substituirea instituției supuse rezoluţiei cu destinatarul, în cadrul oricărei proceduri judiciare referitoare la orice instrument financiar, drept, activ sau obligaţie transferate.</w:t>
            </w:r>
          </w:p>
          <w:p w14:paraId="1630F105" w14:textId="77777777" w:rsidR="00F4284C" w:rsidRPr="00154588" w:rsidRDefault="00F4284C" w:rsidP="008C12B4">
            <w:pPr>
              <w:jc w:val="both"/>
              <w:rPr>
                <w:sz w:val="20"/>
                <w:szCs w:val="20"/>
              </w:rPr>
            </w:pPr>
          </w:p>
        </w:tc>
        <w:tc>
          <w:tcPr>
            <w:tcW w:w="2552" w:type="dxa"/>
          </w:tcPr>
          <w:p w14:paraId="4C0807AD" w14:textId="20892B9F" w:rsidR="00F4284C" w:rsidRPr="00154588" w:rsidRDefault="00F4284C" w:rsidP="008C12B4">
            <w:pPr>
              <w:jc w:val="both"/>
              <w:rPr>
                <w:sz w:val="20"/>
                <w:szCs w:val="20"/>
              </w:rPr>
            </w:pPr>
            <w:r w:rsidRPr="00154588">
              <w:rPr>
                <w:sz w:val="20"/>
                <w:szCs w:val="20"/>
              </w:rPr>
              <w:lastRenderedPageBreak/>
              <w:t>Compatibil</w:t>
            </w:r>
          </w:p>
        </w:tc>
        <w:tc>
          <w:tcPr>
            <w:tcW w:w="3118" w:type="dxa"/>
          </w:tcPr>
          <w:p w14:paraId="6B1B50C9" w14:textId="77777777" w:rsidR="00F4284C" w:rsidRPr="00154588" w:rsidRDefault="00F4284C" w:rsidP="008C12B4">
            <w:pPr>
              <w:jc w:val="both"/>
              <w:rPr>
                <w:sz w:val="20"/>
                <w:szCs w:val="20"/>
              </w:rPr>
            </w:pPr>
          </w:p>
        </w:tc>
      </w:tr>
      <w:tr w:rsidR="00F4284C" w:rsidRPr="00154588" w14:paraId="75D6DBA8" w14:textId="77777777" w:rsidTr="00D15C1B">
        <w:trPr>
          <w:jc w:val="center"/>
        </w:trPr>
        <w:tc>
          <w:tcPr>
            <w:tcW w:w="4957" w:type="dxa"/>
            <w:gridSpan w:val="2"/>
          </w:tcPr>
          <w:p w14:paraId="63F188D1" w14:textId="77777777" w:rsidR="00F4284C" w:rsidRPr="00154588" w:rsidRDefault="00F4284C" w:rsidP="008C12B4">
            <w:pPr>
              <w:jc w:val="both"/>
              <w:rPr>
                <w:sz w:val="20"/>
                <w:szCs w:val="20"/>
              </w:rPr>
            </w:pPr>
            <w:r w:rsidRPr="00154588">
              <w:rPr>
                <w:sz w:val="20"/>
                <w:szCs w:val="20"/>
              </w:rPr>
              <w:t>(4)   Competențele menționate la alineatul (1) litera (d) și la alineatul (3) litera (b) nu aduc atingere:</w:t>
            </w:r>
          </w:p>
          <w:p w14:paraId="55700D2F" w14:textId="77777777" w:rsidR="00F4284C" w:rsidRPr="00154588" w:rsidRDefault="00F4284C" w:rsidP="008C12B4">
            <w:pPr>
              <w:jc w:val="both"/>
              <w:rPr>
                <w:sz w:val="20"/>
                <w:szCs w:val="20"/>
              </w:rPr>
            </w:pPr>
          </w:p>
          <w:p w14:paraId="4E01F114" w14:textId="107E397C" w:rsidR="00F4284C" w:rsidRPr="00154588" w:rsidRDefault="00F4284C" w:rsidP="008C12B4">
            <w:pPr>
              <w:jc w:val="both"/>
              <w:rPr>
                <w:sz w:val="20"/>
                <w:szCs w:val="20"/>
              </w:rPr>
            </w:pPr>
            <w:r w:rsidRPr="00154588">
              <w:rPr>
                <w:sz w:val="20"/>
                <w:szCs w:val="20"/>
              </w:rPr>
              <w:t>(a) dreptului de reziliere a contractului de muncă deținut de angajații instituției aflate în rezoluție;</w:t>
            </w:r>
          </w:p>
          <w:p w14:paraId="3B8A5CF7" w14:textId="77777777" w:rsidR="00F4284C" w:rsidRPr="00154588" w:rsidRDefault="00F4284C" w:rsidP="008C12B4">
            <w:pPr>
              <w:jc w:val="both"/>
              <w:rPr>
                <w:sz w:val="20"/>
                <w:szCs w:val="20"/>
              </w:rPr>
            </w:pPr>
          </w:p>
          <w:p w14:paraId="677FCBBF" w14:textId="579C9D61" w:rsidR="00F4284C" w:rsidRPr="00154588" w:rsidRDefault="00F4284C" w:rsidP="008C12B4">
            <w:pPr>
              <w:jc w:val="both"/>
              <w:rPr>
                <w:sz w:val="20"/>
                <w:szCs w:val="20"/>
              </w:rPr>
            </w:pPr>
            <w:r w:rsidRPr="00154588">
              <w:rPr>
                <w:sz w:val="20"/>
                <w:szCs w:val="20"/>
              </w:rPr>
              <w:t>(b) sub rezerva articolelor 69, 70 și 71, niciunui drept al unei părți la un contract de a-și exercita drepturile contractuale, inclusiv dreptul de reziliere, atunci când clauzele contractuale o permit, în temeiul unui act sau al unei omisiuni comise fie de către instituția aflată în rezoluție, anterior transferului în cauză, fie de către destinatar, ulterior respectivului transfer.</w:t>
            </w:r>
          </w:p>
        </w:tc>
        <w:tc>
          <w:tcPr>
            <w:tcW w:w="4819" w:type="dxa"/>
          </w:tcPr>
          <w:p w14:paraId="6105BE48" w14:textId="77777777" w:rsidR="00F4284C" w:rsidRPr="00154588" w:rsidRDefault="00F4284C" w:rsidP="008C12B4">
            <w:pPr>
              <w:ind w:firstLine="567"/>
              <w:jc w:val="both"/>
              <w:rPr>
                <w:sz w:val="20"/>
                <w:szCs w:val="20"/>
              </w:rPr>
            </w:pPr>
            <w:r w:rsidRPr="00154588">
              <w:rPr>
                <w:b/>
                <w:sz w:val="20"/>
                <w:szCs w:val="20"/>
              </w:rPr>
              <w:t>Articolul 235.</w:t>
            </w:r>
            <w:r w:rsidRPr="00154588">
              <w:rPr>
                <w:sz w:val="20"/>
                <w:szCs w:val="20"/>
              </w:rPr>
              <w:t xml:space="preserve"> – Prevederile art.233 alin.(1) lit.d) şi art.234 alin.(2) lit.b) nu aduc atingere următoarelor drepturi:</w:t>
            </w:r>
          </w:p>
          <w:p w14:paraId="3461C62B" w14:textId="77777777" w:rsidR="00F4284C" w:rsidRPr="00154588" w:rsidRDefault="00F4284C" w:rsidP="008C12B4">
            <w:pPr>
              <w:ind w:firstLine="567"/>
              <w:jc w:val="both"/>
              <w:rPr>
                <w:sz w:val="20"/>
                <w:szCs w:val="20"/>
              </w:rPr>
            </w:pPr>
            <w:r w:rsidRPr="00154588">
              <w:rPr>
                <w:sz w:val="20"/>
                <w:szCs w:val="20"/>
              </w:rPr>
              <w:t>a) dreptului angajaţilor instituției supuse rezoluţiei de încetare a contractelor de muncă;</w:t>
            </w:r>
          </w:p>
          <w:p w14:paraId="25FC3CAF" w14:textId="77777777" w:rsidR="00F4284C" w:rsidRPr="00154588" w:rsidRDefault="00F4284C" w:rsidP="008C12B4">
            <w:pPr>
              <w:ind w:firstLine="567"/>
              <w:jc w:val="both"/>
              <w:rPr>
                <w:sz w:val="20"/>
                <w:szCs w:val="20"/>
              </w:rPr>
            </w:pPr>
            <w:r w:rsidRPr="00154588">
              <w:rPr>
                <w:sz w:val="20"/>
                <w:szCs w:val="20"/>
              </w:rPr>
              <w:t>b) cu respectarea prevederilor art.246-258, niciunui drept al unei părţi la un contract de a-şi exercita drepturile contractuale, inclusiv dreptul de încetare, atunci cînd clauzele contractuale o permit, în virtutea unui act sau a unei omisiuni, fie a instituției supuse rezoluţiei, anterior transferului în cauză, fie a destinatarului, ulterior respectivului transfer.</w:t>
            </w:r>
          </w:p>
          <w:p w14:paraId="58B0CFFA" w14:textId="77777777" w:rsidR="00F4284C" w:rsidRPr="00154588" w:rsidRDefault="00F4284C" w:rsidP="008C12B4">
            <w:pPr>
              <w:ind w:firstLine="567"/>
              <w:jc w:val="both"/>
              <w:rPr>
                <w:sz w:val="20"/>
                <w:szCs w:val="20"/>
              </w:rPr>
            </w:pPr>
            <w:r w:rsidRPr="00154588">
              <w:rPr>
                <w:sz w:val="20"/>
                <w:szCs w:val="20"/>
              </w:rPr>
              <w:t> </w:t>
            </w:r>
          </w:p>
          <w:p w14:paraId="363A2DBD" w14:textId="77777777" w:rsidR="00F4284C" w:rsidRPr="00154588" w:rsidRDefault="00F4284C" w:rsidP="008C12B4">
            <w:pPr>
              <w:jc w:val="both"/>
              <w:rPr>
                <w:sz w:val="20"/>
                <w:szCs w:val="20"/>
              </w:rPr>
            </w:pPr>
          </w:p>
        </w:tc>
        <w:tc>
          <w:tcPr>
            <w:tcW w:w="2552" w:type="dxa"/>
          </w:tcPr>
          <w:p w14:paraId="2D3EAB4C" w14:textId="495B317A" w:rsidR="00F4284C" w:rsidRPr="00154588" w:rsidRDefault="00F4284C" w:rsidP="008C12B4">
            <w:pPr>
              <w:jc w:val="both"/>
              <w:rPr>
                <w:sz w:val="20"/>
                <w:szCs w:val="20"/>
              </w:rPr>
            </w:pPr>
            <w:r w:rsidRPr="00154588">
              <w:rPr>
                <w:sz w:val="20"/>
                <w:szCs w:val="20"/>
              </w:rPr>
              <w:t>Compatibil</w:t>
            </w:r>
          </w:p>
        </w:tc>
        <w:tc>
          <w:tcPr>
            <w:tcW w:w="3118" w:type="dxa"/>
          </w:tcPr>
          <w:p w14:paraId="583E5075" w14:textId="77777777" w:rsidR="00F4284C" w:rsidRPr="00154588" w:rsidRDefault="00F4284C" w:rsidP="008C12B4">
            <w:pPr>
              <w:jc w:val="both"/>
              <w:rPr>
                <w:sz w:val="20"/>
                <w:szCs w:val="20"/>
              </w:rPr>
            </w:pPr>
          </w:p>
        </w:tc>
      </w:tr>
      <w:tr w:rsidR="00F4284C" w:rsidRPr="00154588" w14:paraId="2BA70E25" w14:textId="77777777" w:rsidTr="00D15C1B">
        <w:trPr>
          <w:jc w:val="center"/>
        </w:trPr>
        <w:tc>
          <w:tcPr>
            <w:tcW w:w="4957" w:type="dxa"/>
            <w:gridSpan w:val="2"/>
          </w:tcPr>
          <w:p w14:paraId="1AE5BBFA" w14:textId="77777777" w:rsidR="00F4284C" w:rsidRPr="00154588" w:rsidRDefault="00F4284C" w:rsidP="008C12B4">
            <w:pPr>
              <w:jc w:val="both"/>
              <w:rPr>
                <w:b/>
                <w:sz w:val="20"/>
                <w:szCs w:val="20"/>
              </w:rPr>
            </w:pPr>
            <w:r w:rsidRPr="00154588">
              <w:rPr>
                <w:b/>
                <w:sz w:val="20"/>
                <w:szCs w:val="20"/>
              </w:rPr>
              <w:t>Articolul 65</w:t>
            </w:r>
          </w:p>
          <w:p w14:paraId="7A69170C" w14:textId="77777777" w:rsidR="00F4284C" w:rsidRPr="00154588" w:rsidRDefault="00F4284C" w:rsidP="008C12B4">
            <w:pPr>
              <w:jc w:val="both"/>
              <w:rPr>
                <w:b/>
                <w:sz w:val="20"/>
                <w:szCs w:val="20"/>
              </w:rPr>
            </w:pPr>
          </w:p>
          <w:p w14:paraId="5928BE05" w14:textId="2CA60E2A" w:rsidR="00F4284C" w:rsidRPr="00154588" w:rsidRDefault="00F4284C" w:rsidP="008C12B4">
            <w:pPr>
              <w:jc w:val="both"/>
              <w:rPr>
                <w:sz w:val="20"/>
                <w:szCs w:val="20"/>
              </w:rPr>
            </w:pPr>
            <w:r w:rsidRPr="00154588">
              <w:rPr>
                <w:b/>
                <w:sz w:val="20"/>
                <w:szCs w:val="20"/>
              </w:rPr>
              <w:t>Competența de a solicita furnizarea de servicii și facilități</w:t>
            </w:r>
          </w:p>
        </w:tc>
        <w:tc>
          <w:tcPr>
            <w:tcW w:w="4819" w:type="dxa"/>
          </w:tcPr>
          <w:p w14:paraId="4E70FAC7" w14:textId="77777777" w:rsidR="00F4284C" w:rsidRPr="00154588" w:rsidRDefault="00F4284C" w:rsidP="008C12B4">
            <w:pPr>
              <w:jc w:val="both"/>
              <w:rPr>
                <w:sz w:val="20"/>
                <w:szCs w:val="20"/>
              </w:rPr>
            </w:pPr>
          </w:p>
        </w:tc>
        <w:tc>
          <w:tcPr>
            <w:tcW w:w="2552" w:type="dxa"/>
          </w:tcPr>
          <w:p w14:paraId="5263E6EA" w14:textId="77777777" w:rsidR="00F4284C" w:rsidRPr="00154588" w:rsidRDefault="00F4284C" w:rsidP="008C12B4">
            <w:pPr>
              <w:jc w:val="both"/>
              <w:rPr>
                <w:sz w:val="20"/>
                <w:szCs w:val="20"/>
              </w:rPr>
            </w:pPr>
          </w:p>
        </w:tc>
        <w:tc>
          <w:tcPr>
            <w:tcW w:w="3118" w:type="dxa"/>
          </w:tcPr>
          <w:p w14:paraId="5D9E78EC" w14:textId="77777777" w:rsidR="00F4284C" w:rsidRPr="00154588" w:rsidRDefault="00F4284C" w:rsidP="008C12B4">
            <w:pPr>
              <w:jc w:val="both"/>
              <w:rPr>
                <w:sz w:val="20"/>
                <w:szCs w:val="20"/>
              </w:rPr>
            </w:pPr>
          </w:p>
        </w:tc>
      </w:tr>
      <w:tr w:rsidR="00F4284C" w:rsidRPr="00154588" w14:paraId="09CD195F" w14:textId="77777777" w:rsidTr="00D15C1B">
        <w:trPr>
          <w:jc w:val="center"/>
        </w:trPr>
        <w:tc>
          <w:tcPr>
            <w:tcW w:w="4957" w:type="dxa"/>
            <w:gridSpan w:val="2"/>
          </w:tcPr>
          <w:p w14:paraId="73DA9486" w14:textId="77777777" w:rsidR="00F4284C" w:rsidRPr="00154588" w:rsidRDefault="00F4284C" w:rsidP="008C12B4">
            <w:pPr>
              <w:jc w:val="both"/>
              <w:rPr>
                <w:sz w:val="20"/>
                <w:szCs w:val="20"/>
              </w:rPr>
            </w:pPr>
            <w:r w:rsidRPr="00154588">
              <w:rPr>
                <w:sz w:val="20"/>
                <w:szCs w:val="20"/>
              </w:rPr>
              <w:t>(1)   Statele membre se asigură că autoritățile de rezoluție au competența de a solicita unei instituții aflate în rezoluție sau oricăreia dintre entitățile din grupul său, să furnizeze orice servicii sau facilități necesare pentru a permite unui destinatar să exercite eficient activitățile care i-au fost transferate.</w:t>
            </w:r>
          </w:p>
          <w:p w14:paraId="1D1DFB5A" w14:textId="77777777" w:rsidR="00F4284C" w:rsidRPr="00154588" w:rsidRDefault="00F4284C" w:rsidP="008C12B4">
            <w:pPr>
              <w:jc w:val="both"/>
              <w:rPr>
                <w:sz w:val="20"/>
                <w:szCs w:val="20"/>
              </w:rPr>
            </w:pPr>
          </w:p>
          <w:p w14:paraId="3CFCD041" w14:textId="4B3A7818" w:rsidR="00F4284C" w:rsidRPr="00154588" w:rsidRDefault="00F4284C" w:rsidP="008C12B4">
            <w:pPr>
              <w:jc w:val="both"/>
              <w:rPr>
                <w:sz w:val="20"/>
                <w:szCs w:val="20"/>
              </w:rPr>
            </w:pPr>
            <w:r w:rsidRPr="00154588">
              <w:rPr>
                <w:sz w:val="20"/>
                <w:szCs w:val="20"/>
              </w:rPr>
              <w:t>Primul paragraf se aplică inclusiv în cazul în care instituției aflate în rezoluție sau entității în cauză i-a fost aplicată procedura obișnuită de insolvență.</w:t>
            </w:r>
          </w:p>
        </w:tc>
        <w:tc>
          <w:tcPr>
            <w:tcW w:w="4819" w:type="dxa"/>
          </w:tcPr>
          <w:p w14:paraId="5CF0528C" w14:textId="77777777" w:rsidR="00F4284C" w:rsidRPr="00154588" w:rsidRDefault="00F4284C" w:rsidP="008C12B4">
            <w:pPr>
              <w:ind w:firstLine="567"/>
              <w:jc w:val="both"/>
              <w:rPr>
                <w:sz w:val="20"/>
                <w:szCs w:val="20"/>
              </w:rPr>
            </w:pPr>
            <w:r w:rsidRPr="00154588">
              <w:rPr>
                <w:b/>
                <w:sz w:val="20"/>
                <w:szCs w:val="20"/>
              </w:rPr>
              <w:t>Articolul 236.</w:t>
            </w:r>
            <w:r w:rsidRPr="00154588">
              <w:rPr>
                <w:sz w:val="20"/>
                <w:szCs w:val="20"/>
              </w:rPr>
              <w:t xml:space="preserve"> – (1) Banca Naţională a Moldovei, în calitate de autoritate de rezoluţie, are competenţa de a impune unei instituții supuse rezoluţiei sau oricăreia dintre entităţile din grupul instituției respective furnizarea oricăror servicii sau facilităţi necesare pentru a permite destinatarului administrarea eficace a activităţilor care i-au fost transferate.</w:t>
            </w:r>
          </w:p>
          <w:p w14:paraId="0A9BB6D4" w14:textId="77777777" w:rsidR="00F4284C" w:rsidRPr="00154588" w:rsidRDefault="00F4284C" w:rsidP="008C12B4">
            <w:pPr>
              <w:ind w:firstLine="567"/>
              <w:jc w:val="both"/>
              <w:rPr>
                <w:sz w:val="20"/>
                <w:szCs w:val="20"/>
              </w:rPr>
            </w:pPr>
            <w:r w:rsidRPr="00154588">
              <w:rPr>
                <w:sz w:val="20"/>
                <w:szCs w:val="20"/>
              </w:rPr>
              <w:t xml:space="preserve">(2) Prevederile alin.(1) sînt aplicabile inclusiv în situaţia în care respectiva instituție supusă rezoluţiei sau entitatea din grup în cauză a intrat într-o procedură </w:t>
            </w:r>
            <w:bookmarkStart w:id="138" w:name="_Hlk223367137"/>
            <w:r w:rsidRPr="00154588">
              <w:rPr>
                <w:sz w:val="20"/>
                <w:szCs w:val="20"/>
              </w:rPr>
              <w:t>obișnuită de insolvabilitate</w:t>
            </w:r>
            <w:bookmarkEnd w:id="138"/>
            <w:r w:rsidRPr="00154588">
              <w:rPr>
                <w:sz w:val="20"/>
                <w:szCs w:val="20"/>
              </w:rPr>
              <w:t>.</w:t>
            </w:r>
          </w:p>
          <w:p w14:paraId="0225FD56" w14:textId="77777777" w:rsidR="00F4284C" w:rsidRPr="00154588" w:rsidRDefault="00F4284C" w:rsidP="008C12B4">
            <w:pPr>
              <w:jc w:val="both"/>
              <w:rPr>
                <w:sz w:val="20"/>
                <w:szCs w:val="20"/>
              </w:rPr>
            </w:pPr>
          </w:p>
        </w:tc>
        <w:tc>
          <w:tcPr>
            <w:tcW w:w="2552" w:type="dxa"/>
          </w:tcPr>
          <w:p w14:paraId="4048B104" w14:textId="4A85F06F" w:rsidR="00F4284C" w:rsidRPr="00154588" w:rsidRDefault="00F4284C" w:rsidP="008C12B4">
            <w:pPr>
              <w:jc w:val="both"/>
              <w:rPr>
                <w:sz w:val="20"/>
                <w:szCs w:val="20"/>
              </w:rPr>
            </w:pPr>
            <w:r w:rsidRPr="00154588">
              <w:rPr>
                <w:sz w:val="20"/>
                <w:szCs w:val="20"/>
              </w:rPr>
              <w:t>Compatibil</w:t>
            </w:r>
          </w:p>
        </w:tc>
        <w:tc>
          <w:tcPr>
            <w:tcW w:w="3118" w:type="dxa"/>
          </w:tcPr>
          <w:p w14:paraId="3FBBBC50" w14:textId="77777777" w:rsidR="00F4284C" w:rsidRPr="00154588" w:rsidRDefault="00F4284C" w:rsidP="008C12B4">
            <w:pPr>
              <w:jc w:val="both"/>
              <w:rPr>
                <w:sz w:val="20"/>
                <w:szCs w:val="20"/>
              </w:rPr>
            </w:pPr>
          </w:p>
        </w:tc>
      </w:tr>
      <w:tr w:rsidR="00F4284C" w:rsidRPr="00154588" w14:paraId="4E03C7D9" w14:textId="77777777" w:rsidTr="00D15C1B">
        <w:trPr>
          <w:jc w:val="center"/>
        </w:trPr>
        <w:tc>
          <w:tcPr>
            <w:tcW w:w="4957" w:type="dxa"/>
            <w:gridSpan w:val="2"/>
          </w:tcPr>
          <w:p w14:paraId="61BA1578" w14:textId="0BC786DF" w:rsidR="00F4284C" w:rsidRPr="00154588" w:rsidRDefault="00F4284C" w:rsidP="008C12B4">
            <w:pPr>
              <w:jc w:val="both"/>
              <w:rPr>
                <w:sz w:val="20"/>
                <w:szCs w:val="20"/>
              </w:rPr>
            </w:pPr>
            <w:r w:rsidRPr="00154588">
              <w:rPr>
                <w:sz w:val="20"/>
                <w:szCs w:val="20"/>
              </w:rPr>
              <w:t>(2)   Statele membre se asigură că propriile autorități de rezoluție au competența de a asigura respectarea de către entitățile membre ale unui grup stabilite pe teritoriul lor a obligațiilor impuse în conformitate cu alineatul (1) de către autoritățile de rezoluție din alte state membre.</w:t>
            </w:r>
          </w:p>
        </w:tc>
        <w:tc>
          <w:tcPr>
            <w:tcW w:w="4819" w:type="dxa"/>
          </w:tcPr>
          <w:p w14:paraId="345F8224" w14:textId="77777777" w:rsidR="00F4284C" w:rsidRPr="00154588" w:rsidRDefault="00F4284C" w:rsidP="008C12B4">
            <w:pPr>
              <w:ind w:firstLine="567"/>
              <w:jc w:val="both"/>
              <w:rPr>
                <w:sz w:val="20"/>
                <w:szCs w:val="20"/>
              </w:rPr>
            </w:pPr>
            <w:bookmarkStart w:id="139" w:name="_Hlk223367187"/>
            <w:r w:rsidRPr="00154588">
              <w:rPr>
                <w:sz w:val="20"/>
                <w:szCs w:val="20"/>
              </w:rPr>
              <w:t>(3) Banca Națională a Moldovei, în calitate de autoritate de rezoluție, are competența de a asigura executarea de către entitățile din grup, stabilite în Republica Moldova, a obligațiilor impuse, similar celor prevăzute la alin.(1), de autoritățile de rezoluție din alte state membre.</w:t>
            </w:r>
          </w:p>
          <w:bookmarkEnd w:id="139"/>
          <w:p w14:paraId="50735308" w14:textId="77777777" w:rsidR="00F4284C" w:rsidRPr="00154588" w:rsidRDefault="00F4284C" w:rsidP="008C12B4">
            <w:pPr>
              <w:jc w:val="both"/>
              <w:rPr>
                <w:sz w:val="20"/>
                <w:szCs w:val="20"/>
              </w:rPr>
            </w:pPr>
          </w:p>
        </w:tc>
        <w:tc>
          <w:tcPr>
            <w:tcW w:w="2552" w:type="dxa"/>
          </w:tcPr>
          <w:p w14:paraId="3FFEC225" w14:textId="0F65A75F" w:rsidR="00F4284C" w:rsidRPr="00154588" w:rsidRDefault="00F4284C" w:rsidP="008C12B4">
            <w:pPr>
              <w:jc w:val="both"/>
              <w:rPr>
                <w:sz w:val="20"/>
                <w:szCs w:val="20"/>
              </w:rPr>
            </w:pPr>
            <w:r w:rsidRPr="00154588">
              <w:rPr>
                <w:sz w:val="20"/>
                <w:szCs w:val="20"/>
              </w:rPr>
              <w:t>Compatibil</w:t>
            </w:r>
          </w:p>
        </w:tc>
        <w:tc>
          <w:tcPr>
            <w:tcW w:w="3118" w:type="dxa"/>
          </w:tcPr>
          <w:p w14:paraId="2B6AED5E" w14:textId="77777777" w:rsidR="00F4284C" w:rsidRPr="00154588" w:rsidRDefault="00F4284C" w:rsidP="008C12B4">
            <w:pPr>
              <w:jc w:val="both"/>
              <w:rPr>
                <w:sz w:val="20"/>
                <w:szCs w:val="20"/>
              </w:rPr>
            </w:pPr>
          </w:p>
        </w:tc>
      </w:tr>
      <w:tr w:rsidR="00F4284C" w:rsidRPr="00154588" w14:paraId="7E1E0AB7" w14:textId="77777777" w:rsidTr="00D15C1B">
        <w:trPr>
          <w:jc w:val="center"/>
        </w:trPr>
        <w:tc>
          <w:tcPr>
            <w:tcW w:w="4957" w:type="dxa"/>
            <w:gridSpan w:val="2"/>
          </w:tcPr>
          <w:p w14:paraId="68345319" w14:textId="757AEB99" w:rsidR="00F4284C" w:rsidRPr="00154588" w:rsidRDefault="00F4284C" w:rsidP="008C12B4">
            <w:pPr>
              <w:jc w:val="both"/>
              <w:rPr>
                <w:sz w:val="20"/>
                <w:szCs w:val="20"/>
              </w:rPr>
            </w:pPr>
            <w:r w:rsidRPr="00154588">
              <w:rPr>
                <w:sz w:val="20"/>
                <w:szCs w:val="20"/>
              </w:rPr>
              <w:lastRenderedPageBreak/>
              <w:t>(3)   Serviciile și facilitățile menționate la alineatele (1) și (2) se limitează la servicii și facilități operaționale și nu includ niciun fel de sprijin financiar.</w:t>
            </w:r>
          </w:p>
        </w:tc>
        <w:tc>
          <w:tcPr>
            <w:tcW w:w="4819" w:type="dxa"/>
          </w:tcPr>
          <w:p w14:paraId="6B4444B0" w14:textId="4E12211B" w:rsidR="00F4284C" w:rsidRPr="00154588" w:rsidRDefault="00F4284C" w:rsidP="008C12B4">
            <w:pPr>
              <w:jc w:val="both"/>
              <w:rPr>
                <w:sz w:val="20"/>
                <w:szCs w:val="20"/>
              </w:rPr>
            </w:pPr>
            <w:r w:rsidRPr="00154588">
              <w:rPr>
                <w:sz w:val="20"/>
                <w:szCs w:val="20"/>
              </w:rPr>
              <w:t> </w:t>
            </w:r>
            <w:r w:rsidRPr="00154588">
              <w:rPr>
                <w:b/>
                <w:sz w:val="20"/>
                <w:szCs w:val="20"/>
              </w:rPr>
              <w:t>Articolul 237.</w:t>
            </w:r>
            <w:r w:rsidRPr="00154588">
              <w:rPr>
                <w:sz w:val="20"/>
                <w:szCs w:val="20"/>
              </w:rPr>
              <w:t xml:space="preserve"> – Serviciile şi facilităţile prevăzute la art.236 se limitează la servicii şi facilităţi operaţionale şi nu includ niciun fel de sprijin financiar.</w:t>
            </w:r>
          </w:p>
          <w:p w14:paraId="350BF293" w14:textId="77777777" w:rsidR="00F4284C" w:rsidRPr="00154588" w:rsidRDefault="00F4284C" w:rsidP="008C12B4">
            <w:pPr>
              <w:ind w:firstLine="567"/>
              <w:jc w:val="both"/>
              <w:rPr>
                <w:sz w:val="20"/>
                <w:szCs w:val="20"/>
              </w:rPr>
            </w:pPr>
            <w:r w:rsidRPr="00154588">
              <w:rPr>
                <w:sz w:val="20"/>
                <w:szCs w:val="20"/>
              </w:rPr>
              <w:t> </w:t>
            </w:r>
          </w:p>
          <w:p w14:paraId="4B1CF91D" w14:textId="77777777" w:rsidR="00F4284C" w:rsidRPr="00154588" w:rsidRDefault="00F4284C" w:rsidP="008C12B4">
            <w:pPr>
              <w:jc w:val="both"/>
              <w:rPr>
                <w:sz w:val="20"/>
                <w:szCs w:val="20"/>
              </w:rPr>
            </w:pPr>
          </w:p>
        </w:tc>
        <w:tc>
          <w:tcPr>
            <w:tcW w:w="2552" w:type="dxa"/>
          </w:tcPr>
          <w:p w14:paraId="24A82509" w14:textId="49D2A135" w:rsidR="00F4284C" w:rsidRPr="00154588" w:rsidRDefault="00F4284C" w:rsidP="008C12B4">
            <w:pPr>
              <w:jc w:val="both"/>
              <w:rPr>
                <w:sz w:val="20"/>
                <w:szCs w:val="20"/>
              </w:rPr>
            </w:pPr>
            <w:r w:rsidRPr="00154588">
              <w:rPr>
                <w:sz w:val="20"/>
                <w:szCs w:val="20"/>
              </w:rPr>
              <w:t>Compatibil</w:t>
            </w:r>
          </w:p>
        </w:tc>
        <w:tc>
          <w:tcPr>
            <w:tcW w:w="3118" w:type="dxa"/>
          </w:tcPr>
          <w:p w14:paraId="61A1A2D5" w14:textId="77777777" w:rsidR="00F4284C" w:rsidRPr="00154588" w:rsidRDefault="00F4284C" w:rsidP="008C12B4">
            <w:pPr>
              <w:jc w:val="both"/>
              <w:rPr>
                <w:sz w:val="20"/>
                <w:szCs w:val="20"/>
              </w:rPr>
            </w:pPr>
          </w:p>
        </w:tc>
      </w:tr>
      <w:tr w:rsidR="00F4284C" w:rsidRPr="00154588" w14:paraId="2FD4E6FE" w14:textId="77777777" w:rsidTr="00D15C1B">
        <w:trPr>
          <w:jc w:val="center"/>
        </w:trPr>
        <w:tc>
          <w:tcPr>
            <w:tcW w:w="4957" w:type="dxa"/>
            <w:gridSpan w:val="2"/>
          </w:tcPr>
          <w:p w14:paraId="4C43F52E" w14:textId="77777777" w:rsidR="00F4284C" w:rsidRPr="00154588" w:rsidRDefault="00F4284C" w:rsidP="008C12B4">
            <w:pPr>
              <w:jc w:val="both"/>
              <w:rPr>
                <w:sz w:val="20"/>
                <w:szCs w:val="20"/>
              </w:rPr>
            </w:pPr>
            <w:r w:rsidRPr="00154588">
              <w:rPr>
                <w:sz w:val="20"/>
                <w:szCs w:val="20"/>
              </w:rPr>
              <w:t>(4)   Serviciile și facilitățile menționate la alineatele (1) și (2) sunt furnizate în următoarele condiții:</w:t>
            </w:r>
          </w:p>
          <w:p w14:paraId="06039EEE" w14:textId="77777777" w:rsidR="00F4284C" w:rsidRPr="00154588" w:rsidRDefault="00F4284C" w:rsidP="008C12B4">
            <w:pPr>
              <w:jc w:val="both"/>
              <w:rPr>
                <w:sz w:val="20"/>
                <w:szCs w:val="20"/>
              </w:rPr>
            </w:pPr>
          </w:p>
          <w:p w14:paraId="3B0E4FBE" w14:textId="628AE86E" w:rsidR="00F4284C" w:rsidRPr="00154588" w:rsidRDefault="00F4284C" w:rsidP="008C12B4">
            <w:pPr>
              <w:jc w:val="both"/>
              <w:rPr>
                <w:sz w:val="20"/>
                <w:szCs w:val="20"/>
              </w:rPr>
            </w:pPr>
            <w:r w:rsidRPr="00154588">
              <w:rPr>
                <w:sz w:val="20"/>
                <w:szCs w:val="20"/>
              </w:rPr>
              <w:t>(a) în aceleași condiții, în cadrul unui acord, în cazul în care serviciile și facilitățile au fost furnizate instituției aflate în rezoluție în perioada imediat anterioară luării măsurii de rezoluție și pe durata acelui acord;</w:t>
            </w:r>
          </w:p>
          <w:p w14:paraId="2F161154" w14:textId="77777777" w:rsidR="00F4284C" w:rsidRPr="00154588" w:rsidRDefault="00F4284C" w:rsidP="008C12B4">
            <w:pPr>
              <w:jc w:val="both"/>
              <w:rPr>
                <w:sz w:val="20"/>
                <w:szCs w:val="20"/>
              </w:rPr>
            </w:pPr>
          </w:p>
          <w:p w14:paraId="2C02055F" w14:textId="7F201EA1" w:rsidR="00F4284C" w:rsidRPr="00154588" w:rsidRDefault="00F4284C" w:rsidP="008C12B4">
            <w:pPr>
              <w:jc w:val="both"/>
              <w:rPr>
                <w:sz w:val="20"/>
                <w:szCs w:val="20"/>
              </w:rPr>
            </w:pPr>
            <w:r w:rsidRPr="00154588">
              <w:rPr>
                <w:sz w:val="20"/>
                <w:szCs w:val="20"/>
              </w:rPr>
              <w:t>(b) în cazul în care nu există un acord sau acordul a expirat, în condiții rezonabile.</w:t>
            </w:r>
          </w:p>
        </w:tc>
        <w:tc>
          <w:tcPr>
            <w:tcW w:w="4819" w:type="dxa"/>
          </w:tcPr>
          <w:p w14:paraId="2FDA7FB3" w14:textId="77777777" w:rsidR="00F4284C" w:rsidRPr="00154588" w:rsidRDefault="00F4284C" w:rsidP="008C12B4">
            <w:pPr>
              <w:ind w:firstLine="567"/>
              <w:jc w:val="both"/>
              <w:rPr>
                <w:sz w:val="20"/>
                <w:szCs w:val="20"/>
              </w:rPr>
            </w:pPr>
            <w:r w:rsidRPr="00154588">
              <w:rPr>
                <w:b/>
                <w:sz w:val="20"/>
                <w:szCs w:val="20"/>
              </w:rPr>
              <w:t>Articolul 238.</w:t>
            </w:r>
            <w:r w:rsidRPr="00154588">
              <w:rPr>
                <w:sz w:val="20"/>
                <w:szCs w:val="20"/>
              </w:rPr>
              <w:t xml:space="preserve"> – Serviciile şi facilităţile prevăzute la art.236 trebuie să fie furnizate:</w:t>
            </w:r>
          </w:p>
          <w:p w14:paraId="6C61D077" w14:textId="722B7280" w:rsidR="00F4284C" w:rsidRPr="00154588" w:rsidRDefault="00F4284C" w:rsidP="008C12B4">
            <w:pPr>
              <w:ind w:firstLine="567"/>
              <w:jc w:val="both"/>
              <w:rPr>
                <w:sz w:val="20"/>
                <w:szCs w:val="20"/>
              </w:rPr>
            </w:pPr>
            <w:r w:rsidRPr="00154588">
              <w:rPr>
                <w:sz w:val="20"/>
                <w:szCs w:val="20"/>
              </w:rPr>
              <w:t>a) în conformitate cu termenii contractuali deja agreaţi, inclusiv din punctul de vedere al duratei contractului, în situaţia în care respectivele servicii şi facilităţi au fost furnizate instituției supuse rezoluţiei potrivit unui contract încheiat în perioada imediat anterioară aplicării acţiunii de rezoluţie;</w:t>
            </w:r>
          </w:p>
          <w:p w14:paraId="7F874848" w14:textId="77777777" w:rsidR="00F4284C" w:rsidRPr="00154588" w:rsidRDefault="00F4284C" w:rsidP="008C12B4">
            <w:pPr>
              <w:ind w:firstLine="567"/>
              <w:jc w:val="both"/>
              <w:rPr>
                <w:sz w:val="20"/>
                <w:szCs w:val="20"/>
              </w:rPr>
            </w:pPr>
            <w:r w:rsidRPr="00154588">
              <w:rPr>
                <w:sz w:val="20"/>
                <w:szCs w:val="20"/>
              </w:rPr>
              <w:t>b) în condiţii rezonabile, în situaţia în care nu există un contract sau contractul a expirat.</w:t>
            </w:r>
          </w:p>
          <w:p w14:paraId="3F459BD3" w14:textId="77777777" w:rsidR="00F4284C" w:rsidRPr="00154588" w:rsidRDefault="00F4284C" w:rsidP="008C12B4">
            <w:pPr>
              <w:jc w:val="both"/>
              <w:rPr>
                <w:sz w:val="20"/>
                <w:szCs w:val="20"/>
              </w:rPr>
            </w:pPr>
          </w:p>
        </w:tc>
        <w:tc>
          <w:tcPr>
            <w:tcW w:w="2552" w:type="dxa"/>
          </w:tcPr>
          <w:p w14:paraId="4A581C81" w14:textId="307F42D9" w:rsidR="00F4284C" w:rsidRPr="00154588" w:rsidRDefault="00F4284C" w:rsidP="008C12B4">
            <w:pPr>
              <w:jc w:val="both"/>
              <w:rPr>
                <w:sz w:val="20"/>
                <w:szCs w:val="20"/>
              </w:rPr>
            </w:pPr>
            <w:r w:rsidRPr="00154588">
              <w:rPr>
                <w:sz w:val="20"/>
                <w:szCs w:val="20"/>
              </w:rPr>
              <w:t>Compatibil</w:t>
            </w:r>
          </w:p>
        </w:tc>
        <w:tc>
          <w:tcPr>
            <w:tcW w:w="3118" w:type="dxa"/>
          </w:tcPr>
          <w:p w14:paraId="314A693D" w14:textId="77777777" w:rsidR="00F4284C" w:rsidRPr="00154588" w:rsidRDefault="00F4284C" w:rsidP="008C12B4">
            <w:pPr>
              <w:jc w:val="both"/>
              <w:rPr>
                <w:sz w:val="20"/>
                <w:szCs w:val="20"/>
              </w:rPr>
            </w:pPr>
          </w:p>
        </w:tc>
      </w:tr>
      <w:tr w:rsidR="00F4284C" w:rsidRPr="00154588" w14:paraId="46448363" w14:textId="77777777" w:rsidTr="00D15C1B">
        <w:trPr>
          <w:jc w:val="center"/>
        </w:trPr>
        <w:tc>
          <w:tcPr>
            <w:tcW w:w="4957" w:type="dxa"/>
            <w:gridSpan w:val="2"/>
          </w:tcPr>
          <w:p w14:paraId="6404CDDB" w14:textId="24C3960D" w:rsidR="00F4284C" w:rsidRPr="00154588" w:rsidRDefault="00F4284C" w:rsidP="008C12B4">
            <w:pPr>
              <w:jc w:val="both"/>
              <w:rPr>
                <w:sz w:val="20"/>
                <w:szCs w:val="20"/>
              </w:rPr>
            </w:pPr>
            <w:r w:rsidRPr="00154588">
              <w:rPr>
                <w:sz w:val="20"/>
                <w:szCs w:val="20"/>
              </w:rPr>
              <w:t>(5)   Până la 3 iulie 2015, ABE elaborează orientări, în conformitate cu articolul 16 din Regulamentul (UE) nr. 1093/2010, în vederea stabilirii listei minime de servicii sau facilități necesare pentru a permite unui destinatar să exercite în mod eficient o activitate care i-a fost transferată.</w:t>
            </w:r>
          </w:p>
        </w:tc>
        <w:tc>
          <w:tcPr>
            <w:tcW w:w="4819" w:type="dxa"/>
          </w:tcPr>
          <w:p w14:paraId="492D437A" w14:textId="77777777" w:rsidR="00F4284C" w:rsidRPr="00154588" w:rsidRDefault="00F4284C" w:rsidP="008C12B4">
            <w:pPr>
              <w:jc w:val="both"/>
              <w:rPr>
                <w:sz w:val="20"/>
                <w:szCs w:val="20"/>
              </w:rPr>
            </w:pPr>
          </w:p>
        </w:tc>
        <w:tc>
          <w:tcPr>
            <w:tcW w:w="2552" w:type="dxa"/>
          </w:tcPr>
          <w:p w14:paraId="6E60E33B" w14:textId="71E5D79B" w:rsidR="00F4284C" w:rsidRPr="00154588" w:rsidRDefault="00F4284C" w:rsidP="008C12B4">
            <w:pPr>
              <w:jc w:val="both"/>
              <w:rPr>
                <w:sz w:val="20"/>
                <w:szCs w:val="20"/>
              </w:rPr>
            </w:pPr>
            <w:r w:rsidRPr="00154588">
              <w:rPr>
                <w:sz w:val="20"/>
                <w:szCs w:val="20"/>
              </w:rPr>
              <w:t>Prevederi UE neaplicabile</w:t>
            </w:r>
          </w:p>
        </w:tc>
        <w:tc>
          <w:tcPr>
            <w:tcW w:w="3118" w:type="dxa"/>
          </w:tcPr>
          <w:p w14:paraId="15FA4114" w14:textId="198D5A02" w:rsidR="00F4284C" w:rsidRPr="00154588" w:rsidRDefault="00F4284C" w:rsidP="008C12B4">
            <w:pPr>
              <w:jc w:val="both"/>
              <w:rPr>
                <w:sz w:val="20"/>
                <w:szCs w:val="20"/>
              </w:rPr>
            </w:pPr>
            <w:r w:rsidRPr="00154588">
              <w:rPr>
                <w:sz w:val="20"/>
                <w:szCs w:val="20"/>
                <w:lang w:val="ro-MD"/>
              </w:rPr>
              <w:t>Prevederi care se referă la atribuțiile de reglementare ale autorităților europene.</w:t>
            </w:r>
          </w:p>
        </w:tc>
      </w:tr>
      <w:tr w:rsidR="00F4284C" w:rsidRPr="00154588" w14:paraId="67AFE754" w14:textId="77777777" w:rsidTr="00D15C1B">
        <w:trPr>
          <w:jc w:val="center"/>
        </w:trPr>
        <w:tc>
          <w:tcPr>
            <w:tcW w:w="4957" w:type="dxa"/>
            <w:gridSpan w:val="2"/>
          </w:tcPr>
          <w:p w14:paraId="3F7FAAC2" w14:textId="77777777" w:rsidR="00F4284C" w:rsidRPr="00154588" w:rsidRDefault="00F4284C" w:rsidP="008C12B4">
            <w:pPr>
              <w:jc w:val="both"/>
              <w:rPr>
                <w:b/>
                <w:sz w:val="20"/>
                <w:szCs w:val="20"/>
              </w:rPr>
            </w:pPr>
            <w:r w:rsidRPr="00154588">
              <w:rPr>
                <w:b/>
                <w:sz w:val="20"/>
                <w:szCs w:val="20"/>
              </w:rPr>
              <w:t>Articolul 66</w:t>
            </w:r>
          </w:p>
          <w:p w14:paraId="1FC6ABD8" w14:textId="77777777" w:rsidR="00F4284C" w:rsidRPr="00154588" w:rsidRDefault="00F4284C" w:rsidP="008C12B4">
            <w:pPr>
              <w:jc w:val="both"/>
              <w:rPr>
                <w:b/>
                <w:sz w:val="20"/>
                <w:szCs w:val="20"/>
              </w:rPr>
            </w:pPr>
          </w:p>
          <w:p w14:paraId="2D6A596C" w14:textId="23BB4F5E" w:rsidR="00F4284C" w:rsidRPr="00154588" w:rsidRDefault="00F4284C" w:rsidP="008C12B4">
            <w:pPr>
              <w:jc w:val="both"/>
              <w:rPr>
                <w:sz w:val="20"/>
                <w:szCs w:val="20"/>
              </w:rPr>
            </w:pPr>
            <w:r w:rsidRPr="00154588">
              <w:rPr>
                <w:b/>
                <w:sz w:val="20"/>
                <w:szCs w:val="20"/>
              </w:rPr>
              <w:t>Competența de a pune în aplicare măsuri de gestionare a crizelor sau măsuri de prevenire a crizelor luate de alte state membre</w:t>
            </w:r>
          </w:p>
        </w:tc>
        <w:tc>
          <w:tcPr>
            <w:tcW w:w="4819" w:type="dxa"/>
          </w:tcPr>
          <w:p w14:paraId="57187138" w14:textId="77777777" w:rsidR="00F4284C" w:rsidRPr="00154588" w:rsidRDefault="00F4284C" w:rsidP="008C12B4">
            <w:pPr>
              <w:jc w:val="both"/>
              <w:rPr>
                <w:sz w:val="20"/>
                <w:szCs w:val="20"/>
              </w:rPr>
            </w:pPr>
          </w:p>
        </w:tc>
        <w:tc>
          <w:tcPr>
            <w:tcW w:w="2552" w:type="dxa"/>
          </w:tcPr>
          <w:p w14:paraId="58A258F5" w14:textId="77777777" w:rsidR="00F4284C" w:rsidRPr="00154588" w:rsidRDefault="00F4284C" w:rsidP="008C12B4">
            <w:pPr>
              <w:jc w:val="both"/>
              <w:rPr>
                <w:sz w:val="20"/>
                <w:szCs w:val="20"/>
              </w:rPr>
            </w:pPr>
          </w:p>
        </w:tc>
        <w:tc>
          <w:tcPr>
            <w:tcW w:w="3118" w:type="dxa"/>
          </w:tcPr>
          <w:p w14:paraId="673B8C5D" w14:textId="77777777" w:rsidR="00F4284C" w:rsidRPr="00154588" w:rsidRDefault="00F4284C" w:rsidP="008C12B4">
            <w:pPr>
              <w:jc w:val="both"/>
              <w:rPr>
                <w:sz w:val="20"/>
                <w:szCs w:val="20"/>
              </w:rPr>
            </w:pPr>
          </w:p>
        </w:tc>
      </w:tr>
      <w:tr w:rsidR="00F4284C" w:rsidRPr="00154588" w14:paraId="35166039" w14:textId="77777777" w:rsidTr="00D15C1B">
        <w:trPr>
          <w:jc w:val="center"/>
        </w:trPr>
        <w:tc>
          <w:tcPr>
            <w:tcW w:w="4957" w:type="dxa"/>
            <w:gridSpan w:val="2"/>
          </w:tcPr>
          <w:p w14:paraId="7FEA147A" w14:textId="2D63BA13" w:rsidR="00F4284C" w:rsidRPr="00154588" w:rsidRDefault="00F4284C" w:rsidP="008C12B4">
            <w:pPr>
              <w:jc w:val="both"/>
              <w:rPr>
                <w:sz w:val="20"/>
                <w:szCs w:val="20"/>
              </w:rPr>
            </w:pPr>
            <w:r w:rsidRPr="00154588">
              <w:rPr>
                <w:sz w:val="20"/>
                <w:szCs w:val="20"/>
              </w:rPr>
              <w:t>(1)   Statele membre se asigură că, atunci când un transfer de acțiuni, de alte instrumente de proprietate sau de active, drepturi și pasive include fie active situate în alt stat membru decât statul autorității de rezoluție, fie drepturi sau obligații ce decurg în temeiul legislației unui alt stat membrul decât statul autorității de rezoluție, transferul produce efecte în acest alt stat membru sau în conformitate cu legislația acestui alt stat membru.</w:t>
            </w:r>
          </w:p>
        </w:tc>
        <w:tc>
          <w:tcPr>
            <w:tcW w:w="4819" w:type="dxa"/>
          </w:tcPr>
          <w:p w14:paraId="3F5D64B4" w14:textId="77777777" w:rsidR="00F4284C" w:rsidRPr="00154588" w:rsidRDefault="00F4284C" w:rsidP="008C12B4">
            <w:pPr>
              <w:ind w:firstLine="567"/>
              <w:jc w:val="both"/>
              <w:rPr>
                <w:sz w:val="20"/>
                <w:szCs w:val="20"/>
              </w:rPr>
            </w:pPr>
            <w:r w:rsidRPr="00154588">
              <w:rPr>
                <w:b/>
                <w:sz w:val="20"/>
                <w:szCs w:val="20"/>
              </w:rPr>
              <w:t>Articolul 238</w:t>
            </w:r>
            <w:r w:rsidRPr="00154588">
              <w:rPr>
                <w:b/>
                <w:sz w:val="20"/>
                <w:szCs w:val="20"/>
                <w:vertAlign w:val="superscript"/>
              </w:rPr>
              <w:t>1</w:t>
            </w:r>
            <w:r w:rsidRPr="00154588">
              <w:rPr>
                <w:sz w:val="20"/>
                <w:szCs w:val="20"/>
              </w:rPr>
              <w:t>. - (1) În situația în care un transfer al dreptului de proprietate asupra acțiunilor, de alte instrumente de proprietate sau de active, drepturi sau obligații, dispus de o autoritate de rezoluție dintr-un alt stat membru al Uniunii Europene, include fie active situate în Republica Moldova, fie drepturi sau obligații guvernate de legea națională, transferul produce efecte și în Republica Moldova sau în conformitate cu legea națională.</w:t>
            </w:r>
          </w:p>
          <w:p w14:paraId="457105CA" w14:textId="7CED31A4" w:rsidR="00F4284C" w:rsidRPr="00154588" w:rsidRDefault="00F4284C" w:rsidP="008C12B4">
            <w:pPr>
              <w:jc w:val="both"/>
              <w:rPr>
                <w:sz w:val="20"/>
                <w:szCs w:val="20"/>
              </w:rPr>
            </w:pPr>
            <w:r w:rsidRPr="00154588">
              <w:rPr>
                <w:sz w:val="20"/>
                <w:szCs w:val="20"/>
              </w:rPr>
              <w:t xml:space="preserve">(2) În situația în care un transfer al dreptului de proprietate asupra acțiunilor, de alte instrumente de proprietate sau de active, drepturi sau obligații, dispus de Banca Națională a Moldovei, în calitate de autoritate de rezoluție, include fie active situate în alt stat membru al Uniunii Europene, fie drepturi sau obligații guvernate de legea respectivului stat membru al Uniunii Europene, transferul produce efecte și în acel stat membru al Uniunii Europene </w:t>
            </w:r>
            <w:r w:rsidRPr="00154588">
              <w:rPr>
                <w:sz w:val="20"/>
                <w:szCs w:val="20"/>
              </w:rPr>
              <w:lastRenderedPageBreak/>
              <w:t>sau în conformitate cu legea acelui stat membru al Uniunii Europene.</w:t>
            </w:r>
          </w:p>
        </w:tc>
        <w:tc>
          <w:tcPr>
            <w:tcW w:w="2552" w:type="dxa"/>
          </w:tcPr>
          <w:p w14:paraId="1190EED7" w14:textId="1D345B72" w:rsidR="00F4284C" w:rsidRPr="00154588" w:rsidRDefault="00F4284C" w:rsidP="008C12B4">
            <w:pPr>
              <w:jc w:val="both"/>
              <w:rPr>
                <w:sz w:val="20"/>
                <w:szCs w:val="20"/>
              </w:rPr>
            </w:pPr>
            <w:r w:rsidRPr="00154588">
              <w:rPr>
                <w:sz w:val="20"/>
                <w:szCs w:val="20"/>
              </w:rPr>
              <w:lastRenderedPageBreak/>
              <w:t>Compatibil</w:t>
            </w:r>
          </w:p>
        </w:tc>
        <w:tc>
          <w:tcPr>
            <w:tcW w:w="3118" w:type="dxa"/>
          </w:tcPr>
          <w:p w14:paraId="002762B6" w14:textId="77777777" w:rsidR="00F4284C" w:rsidRPr="00154588" w:rsidRDefault="00F4284C" w:rsidP="008C12B4">
            <w:pPr>
              <w:jc w:val="both"/>
              <w:rPr>
                <w:sz w:val="20"/>
                <w:szCs w:val="20"/>
              </w:rPr>
            </w:pPr>
          </w:p>
        </w:tc>
      </w:tr>
      <w:tr w:rsidR="00F4284C" w:rsidRPr="00154588" w14:paraId="2BE122EA" w14:textId="77777777" w:rsidTr="00D15C1B">
        <w:trPr>
          <w:jc w:val="center"/>
        </w:trPr>
        <w:tc>
          <w:tcPr>
            <w:tcW w:w="4957" w:type="dxa"/>
            <w:gridSpan w:val="2"/>
          </w:tcPr>
          <w:p w14:paraId="74DE0A16" w14:textId="12636394" w:rsidR="00F4284C" w:rsidRPr="00154588" w:rsidRDefault="00F4284C" w:rsidP="008C12B4">
            <w:pPr>
              <w:jc w:val="both"/>
              <w:rPr>
                <w:sz w:val="20"/>
                <w:szCs w:val="20"/>
              </w:rPr>
            </w:pPr>
            <w:r w:rsidRPr="00154588">
              <w:rPr>
                <w:sz w:val="20"/>
                <w:szCs w:val="20"/>
              </w:rPr>
              <w:t>(2)   Statele membre acordă autorității de rezoluție care a efectuat sau intenționează să efectueze transferul toată asistența rezonabil necesară pentru a se asigura că acțiunile sau alte instrumente de proprietate ori activele, drepturile și pasivele sunt transferate către destinatar în conformitate cu toate dispozițiile dreptului intern aplicabile.</w:t>
            </w:r>
          </w:p>
        </w:tc>
        <w:tc>
          <w:tcPr>
            <w:tcW w:w="4819" w:type="dxa"/>
          </w:tcPr>
          <w:p w14:paraId="074065E7" w14:textId="77777777" w:rsidR="00F4284C" w:rsidRPr="00154588" w:rsidRDefault="00F4284C" w:rsidP="008C12B4">
            <w:pPr>
              <w:ind w:firstLine="567"/>
              <w:jc w:val="both"/>
              <w:rPr>
                <w:sz w:val="20"/>
                <w:szCs w:val="20"/>
              </w:rPr>
            </w:pPr>
            <w:r w:rsidRPr="00154588">
              <w:rPr>
                <w:b/>
                <w:sz w:val="20"/>
                <w:szCs w:val="20"/>
              </w:rPr>
              <w:t>Articolul 238</w:t>
            </w:r>
            <w:r w:rsidRPr="00154588">
              <w:rPr>
                <w:b/>
                <w:sz w:val="20"/>
                <w:szCs w:val="20"/>
                <w:vertAlign w:val="superscript"/>
              </w:rPr>
              <w:t>2</w:t>
            </w:r>
            <w:r w:rsidRPr="00154588">
              <w:rPr>
                <w:sz w:val="20"/>
                <w:szCs w:val="20"/>
              </w:rPr>
              <w:t>. - (1) Autoritățile naționale din Republica Moldova acordă asistența necesară autorităților de rezoluție din alte state membre care au efectuat sau intenționează să efectueze transferul pentru a se asigura că acțiunile sau alte instrumente de proprietate sau activele, drepturile sau obligațiile sunt transferate destinatarului în conformitate cu orice cerințe aplicabile ale legislației naționale.</w:t>
            </w:r>
          </w:p>
          <w:p w14:paraId="7E0BC7D8" w14:textId="77777777" w:rsidR="00F4284C" w:rsidRPr="00154588" w:rsidRDefault="00F4284C" w:rsidP="008C12B4">
            <w:pPr>
              <w:jc w:val="both"/>
              <w:rPr>
                <w:sz w:val="20"/>
                <w:szCs w:val="20"/>
              </w:rPr>
            </w:pPr>
          </w:p>
        </w:tc>
        <w:tc>
          <w:tcPr>
            <w:tcW w:w="2552" w:type="dxa"/>
          </w:tcPr>
          <w:p w14:paraId="5A218D66" w14:textId="7CA4EB5E" w:rsidR="00F4284C" w:rsidRPr="00154588" w:rsidRDefault="00F4284C" w:rsidP="008C12B4">
            <w:pPr>
              <w:jc w:val="both"/>
              <w:rPr>
                <w:sz w:val="20"/>
                <w:szCs w:val="20"/>
              </w:rPr>
            </w:pPr>
            <w:r w:rsidRPr="00154588">
              <w:rPr>
                <w:sz w:val="20"/>
                <w:szCs w:val="20"/>
              </w:rPr>
              <w:t>Compatibil</w:t>
            </w:r>
          </w:p>
        </w:tc>
        <w:tc>
          <w:tcPr>
            <w:tcW w:w="3118" w:type="dxa"/>
          </w:tcPr>
          <w:p w14:paraId="543A6136" w14:textId="77777777" w:rsidR="00F4284C" w:rsidRPr="00154588" w:rsidRDefault="00F4284C" w:rsidP="008C12B4">
            <w:pPr>
              <w:jc w:val="both"/>
              <w:rPr>
                <w:sz w:val="20"/>
                <w:szCs w:val="20"/>
              </w:rPr>
            </w:pPr>
          </w:p>
        </w:tc>
      </w:tr>
      <w:tr w:rsidR="00F4284C" w:rsidRPr="00154588" w14:paraId="03D7E95F" w14:textId="77777777" w:rsidTr="00D15C1B">
        <w:trPr>
          <w:jc w:val="center"/>
        </w:trPr>
        <w:tc>
          <w:tcPr>
            <w:tcW w:w="4957" w:type="dxa"/>
            <w:gridSpan w:val="2"/>
          </w:tcPr>
          <w:p w14:paraId="00CF9004" w14:textId="27315C95" w:rsidR="00F4284C" w:rsidRPr="00154588" w:rsidRDefault="00F4284C" w:rsidP="008C12B4">
            <w:pPr>
              <w:jc w:val="both"/>
              <w:rPr>
                <w:sz w:val="20"/>
                <w:szCs w:val="20"/>
              </w:rPr>
            </w:pPr>
            <w:r w:rsidRPr="00154588">
              <w:rPr>
                <w:sz w:val="20"/>
                <w:szCs w:val="20"/>
              </w:rPr>
              <w:t>(3)   Statele membre se asigură că acționarii, creditorii și părțile terțe afectate de transferul de acțiuni, alte instrumente de proprietate, active, drepturi sau pasive menționate la alineatul (1) nu au dreptul de a împiedica, contesta sau retrage transferul din circuit în temeiul niciunei dispoziții legislative a statului membru în care sunt situate activele sau în temeiul niciunei dispoziții legislative aplicabile acțiunilor, altor instrumente de proprietate, drepturilor sau pasivelor.</w:t>
            </w:r>
          </w:p>
        </w:tc>
        <w:tc>
          <w:tcPr>
            <w:tcW w:w="4819" w:type="dxa"/>
          </w:tcPr>
          <w:p w14:paraId="571AEF18" w14:textId="77777777" w:rsidR="00F4284C" w:rsidRPr="00154588" w:rsidRDefault="00F4284C" w:rsidP="008C12B4">
            <w:pPr>
              <w:ind w:firstLine="567"/>
              <w:jc w:val="both"/>
              <w:rPr>
                <w:sz w:val="20"/>
                <w:szCs w:val="20"/>
              </w:rPr>
            </w:pPr>
            <w:r w:rsidRPr="00154588">
              <w:rPr>
                <w:b/>
                <w:sz w:val="20"/>
                <w:szCs w:val="20"/>
              </w:rPr>
              <w:t>Articolul 238</w:t>
            </w:r>
            <w:r w:rsidRPr="00154588">
              <w:rPr>
                <w:b/>
                <w:sz w:val="20"/>
                <w:szCs w:val="20"/>
                <w:vertAlign w:val="superscript"/>
              </w:rPr>
              <w:t>3</w:t>
            </w:r>
            <w:r w:rsidRPr="00154588">
              <w:rPr>
                <w:b/>
                <w:sz w:val="20"/>
                <w:szCs w:val="20"/>
              </w:rPr>
              <w:t xml:space="preserve">. - </w:t>
            </w:r>
            <w:r w:rsidRPr="00154588">
              <w:rPr>
                <w:sz w:val="20"/>
                <w:szCs w:val="20"/>
              </w:rPr>
              <w:t>Acționarii, creditorii și părțile terțe afectate de transferul acțiunilor, altor instrumente de proprietate, activelor, drepturilor sau obligațiilor prevăzute la art. 238</w:t>
            </w:r>
            <w:r w:rsidRPr="00154588">
              <w:rPr>
                <w:sz w:val="20"/>
                <w:szCs w:val="20"/>
                <w:vertAlign w:val="superscript"/>
              </w:rPr>
              <w:t>1</w:t>
            </w:r>
            <w:r w:rsidRPr="00154588">
              <w:rPr>
                <w:sz w:val="20"/>
                <w:szCs w:val="20"/>
              </w:rPr>
              <w:t xml:space="preserve"> alin. (1) nu au dreptul de a împiedica, de a contesta sau de a anula transferul acestora în temeiul niciunei dispoziții ale legii Republicii Moldova, când aceasta este legea aplicabilă activelor situate în Republica Moldova, acțiunilor, altor instrumente de proprietate, drepturilor sau obligațiilor.</w:t>
            </w:r>
          </w:p>
          <w:p w14:paraId="37E2F027" w14:textId="77777777" w:rsidR="00F4284C" w:rsidRPr="00154588" w:rsidRDefault="00F4284C" w:rsidP="008C12B4">
            <w:pPr>
              <w:jc w:val="both"/>
              <w:rPr>
                <w:sz w:val="20"/>
                <w:szCs w:val="20"/>
              </w:rPr>
            </w:pPr>
          </w:p>
        </w:tc>
        <w:tc>
          <w:tcPr>
            <w:tcW w:w="2552" w:type="dxa"/>
          </w:tcPr>
          <w:p w14:paraId="33549BE4" w14:textId="5DE675E0" w:rsidR="00F4284C" w:rsidRPr="00154588" w:rsidRDefault="00F4284C" w:rsidP="008C12B4">
            <w:pPr>
              <w:jc w:val="both"/>
              <w:rPr>
                <w:sz w:val="20"/>
                <w:szCs w:val="20"/>
              </w:rPr>
            </w:pPr>
            <w:r w:rsidRPr="00154588">
              <w:rPr>
                <w:sz w:val="20"/>
                <w:szCs w:val="20"/>
              </w:rPr>
              <w:t>Compatibil</w:t>
            </w:r>
          </w:p>
        </w:tc>
        <w:tc>
          <w:tcPr>
            <w:tcW w:w="3118" w:type="dxa"/>
          </w:tcPr>
          <w:p w14:paraId="4FED4F65" w14:textId="77777777" w:rsidR="00F4284C" w:rsidRPr="00154588" w:rsidRDefault="00F4284C" w:rsidP="008C12B4">
            <w:pPr>
              <w:jc w:val="both"/>
              <w:rPr>
                <w:sz w:val="20"/>
                <w:szCs w:val="20"/>
              </w:rPr>
            </w:pPr>
          </w:p>
        </w:tc>
      </w:tr>
      <w:tr w:rsidR="00F4284C" w:rsidRPr="00154588" w14:paraId="59D37C3D" w14:textId="77777777" w:rsidTr="00D15C1B">
        <w:trPr>
          <w:jc w:val="center"/>
        </w:trPr>
        <w:tc>
          <w:tcPr>
            <w:tcW w:w="4957" w:type="dxa"/>
            <w:gridSpan w:val="2"/>
          </w:tcPr>
          <w:p w14:paraId="1FF4074A" w14:textId="0F6E3BE2" w:rsidR="00F4284C" w:rsidRPr="00154588" w:rsidRDefault="00F4284C" w:rsidP="008C12B4">
            <w:pPr>
              <w:jc w:val="both"/>
              <w:rPr>
                <w:sz w:val="20"/>
                <w:szCs w:val="20"/>
              </w:rPr>
            </w:pPr>
            <w:r w:rsidRPr="00154588">
              <w:rPr>
                <w:sz w:val="20"/>
                <w:szCs w:val="20"/>
              </w:rPr>
              <w:t>(4)   Atunci când o autoritate de rezoluție a unui stat membru (denumit în continuare „statul membru A”) exercită competențele de reducere a valorii contabile și de conversie, inclusiv în ceea ce privește instrumentele de fonduri proprii, în conformitate cu articolul 59, iar datoriile care pot face obiectul recapitalizării interne sau instrumentele de fonduri proprii relevante ale instituției aflate în rezoluție includ:</w:t>
            </w:r>
          </w:p>
          <w:p w14:paraId="7D7F95B3" w14:textId="77777777" w:rsidR="00F4284C" w:rsidRPr="00154588" w:rsidRDefault="00F4284C" w:rsidP="008C12B4">
            <w:pPr>
              <w:jc w:val="both"/>
              <w:rPr>
                <w:sz w:val="20"/>
                <w:szCs w:val="20"/>
              </w:rPr>
            </w:pPr>
          </w:p>
          <w:p w14:paraId="784AE4DE" w14:textId="543E84F5" w:rsidR="00F4284C" w:rsidRPr="00154588" w:rsidRDefault="00F4284C" w:rsidP="008C12B4">
            <w:pPr>
              <w:jc w:val="both"/>
              <w:rPr>
                <w:sz w:val="20"/>
                <w:szCs w:val="20"/>
              </w:rPr>
            </w:pPr>
            <w:r w:rsidRPr="00154588">
              <w:rPr>
                <w:sz w:val="20"/>
                <w:szCs w:val="20"/>
              </w:rPr>
              <w:t>(a) instrumente sau pasive reglementate de legislația unui alt stat membru decât statul autorității de rezoluție care a exercitat competențele de reducere a valorii contabile sau de conversie (denumit în continuare „statul membru B”);</w:t>
            </w:r>
          </w:p>
          <w:p w14:paraId="6C3B1D7E" w14:textId="77777777" w:rsidR="00F4284C" w:rsidRPr="00154588" w:rsidRDefault="00F4284C" w:rsidP="008C12B4">
            <w:pPr>
              <w:jc w:val="both"/>
              <w:rPr>
                <w:sz w:val="20"/>
                <w:szCs w:val="20"/>
              </w:rPr>
            </w:pPr>
          </w:p>
          <w:p w14:paraId="734A8734" w14:textId="29B1996F" w:rsidR="00F4284C" w:rsidRPr="00154588" w:rsidRDefault="00F4284C" w:rsidP="008C12B4">
            <w:pPr>
              <w:jc w:val="both"/>
              <w:rPr>
                <w:sz w:val="20"/>
                <w:szCs w:val="20"/>
              </w:rPr>
            </w:pPr>
            <w:r w:rsidRPr="00154588">
              <w:rPr>
                <w:sz w:val="20"/>
                <w:szCs w:val="20"/>
              </w:rPr>
              <w:t>(b) pasive datorate creditorilor situați în statul membru B,</w:t>
            </w:r>
          </w:p>
          <w:p w14:paraId="0D31BE32" w14:textId="77777777" w:rsidR="00F4284C" w:rsidRPr="00154588" w:rsidRDefault="00F4284C" w:rsidP="008C12B4">
            <w:pPr>
              <w:jc w:val="both"/>
              <w:rPr>
                <w:sz w:val="20"/>
                <w:szCs w:val="20"/>
              </w:rPr>
            </w:pPr>
          </w:p>
          <w:p w14:paraId="1B7F1BA0" w14:textId="485A31A5" w:rsidR="00F4284C" w:rsidRPr="00154588" w:rsidRDefault="00F4284C" w:rsidP="008C12B4">
            <w:pPr>
              <w:jc w:val="both"/>
              <w:rPr>
                <w:sz w:val="20"/>
                <w:szCs w:val="20"/>
              </w:rPr>
            </w:pPr>
            <w:r w:rsidRPr="00154588">
              <w:rPr>
                <w:sz w:val="20"/>
                <w:szCs w:val="20"/>
              </w:rPr>
              <w:t xml:space="preserve">Statul membru B se asigură că principalul acestor pasive sau al acestor instrumente este redus, sau că pasivele ori instrumentele sunt convertite ca urmare a exercitării competențelor de reducere a valorii </w:t>
            </w:r>
            <w:r w:rsidRPr="00154588">
              <w:rPr>
                <w:sz w:val="20"/>
                <w:szCs w:val="20"/>
              </w:rPr>
              <w:lastRenderedPageBreak/>
              <w:t>contabile sau de conversie de către autoritatea de rezoluție din statul membru A.</w:t>
            </w:r>
          </w:p>
        </w:tc>
        <w:tc>
          <w:tcPr>
            <w:tcW w:w="4819" w:type="dxa"/>
          </w:tcPr>
          <w:p w14:paraId="14409CAE" w14:textId="12FC175C" w:rsidR="00F4284C" w:rsidRPr="00154588" w:rsidRDefault="00F4284C" w:rsidP="008C12B4">
            <w:pPr>
              <w:ind w:firstLine="567"/>
              <w:jc w:val="both"/>
              <w:rPr>
                <w:sz w:val="20"/>
                <w:szCs w:val="20"/>
              </w:rPr>
            </w:pPr>
            <w:r w:rsidRPr="00154588">
              <w:rPr>
                <w:b/>
                <w:sz w:val="20"/>
                <w:szCs w:val="20"/>
              </w:rPr>
              <w:lastRenderedPageBreak/>
              <w:t>Articolul 238</w:t>
            </w:r>
            <w:r w:rsidRPr="00154588">
              <w:rPr>
                <w:b/>
                <w:sz w:val="20"/>
                <w:szCs w:val="20"/>
                <w:vertAlign w:val="superscript"/>
              </w:rPr>
              <w:t>4</w:t>
            </w:r>
            <w:r w:rsidRPr="00154588">
              <w:rPr>
                <w:b/>
                <w:sz w:val="20"/>
                <w:szCs w:val="20"/>
              </w:rPr>
              <w:t>.</w:t>
            </w:r>
            <w:r w:rsidRPr="00154588">
              <w:rPr>
                <w:sz w:val="20"/>
                <w:szCs w:val="20"/>
              </w:rPr>
              <w:t xml:space="preserve"> - În situația în care autoritatea de rezoluție din alt stat membru al Uniunii Europene exercită, în legătură cu o instituție supusă rezoluției din acel stat membru al Uniunii Europene, competența de reducere a valorii sau de conversie, inclusiv în privința unor instrumente de capital potrivit prevederilor din legislația națională a acelui stat membru al Uniunii Europene care asigură transpunerea art.59 din Directiva 2014/59/UE, cu modificările și completările ulterioare, iar datoriile care pot face obiectul recapitalizării interne sau instrumentele de capital relevante ale instituției respective includ instrumente sau datorii guvernate de legea națională ori datorii față de creditori situați în Republica Moldova, reducerea valorii principalului acelor datorii sau instrumente ori conversia datoriilor sau instrumentelor produce efecte pe teritoriul Republicii Moldova sau, după caz, față de creditorii situați în Republica Moldova, în conformitate cu decizia autorității de rezoluție din acel stat membru al Uniunii Europene.</w:t>
            </w:r>
          </w:p>
          <w:p w14:paraId="7EEDCE70" w14:textId="77777777" w:rsidR="00F4284C" w:rsidRPr="00154588" w:rsidRDefault="00F4284C" w:rsidP="008C12B4">
            <w:pPr>
              <w:jc w:val="both"/>
              <w:rPr>
                <w:sz w:val="20"/>
                <w:szCs w:val="20"/>
              </w:rPr>
            </w:pPr>
          </w:p>
        </w:tc>
        <w:tc>
          <w:tcPr>
            <w:tcW w:w="2552" w:type="dxa"/>
          </w:tcPr>
          <w:p w14:paraId="4B2FF194" w14:textId="6D44EE9C" w:rsidR="00F4284C" w:rsidRPr="00154588" w:rsidRDefault="00F4284C" w:rsidP="008C12B4">
            <w:pPr>
              <w:jc w:val="both"/>
              <w:rPr>
                <w:sz w:val="20"/>
                <w:szCs w:val="20"/>
              </w:rPr>
            </w:pPr>
            <w:r w:rsidRPr="00154588">
              <w:rPr>
                <w:sz w:val="20"/>
                <w:szCs w:val="20"/>
              </w:rPr>
              <w:t>Compatibil</w:t>
            </w:r>
          </w:p>
        </w:tc>
        <w:tc>
          <w:tcPr>
            <w:tcW w:w="3118" w:type="dxa"/>
          </w:tcPr>
          <w:p w14:paraId="09538672" w14:textId="77777777" w:rsidR="00F4284C" w:rsidRPr="00154588" w:rsidRDefault="00F4284C" w:rsidP="008C12B4">
            <w:pPr>
              <w:jc w:val="both"/>
              <w:rPr>
                <w:sz w:val="20"/>
                <w:szCs w:val="20"/>
              </w:rPr>
            </w:pPr>
          </w:p>
        </w:tc>
      </w:tr>
      <w:tr w:rsidR="00F4284C" w:rsidRPr="00154588" w14:paraId="76B89073" w14:textId="77777777" w:rsidTr="00D15C1B">
        <w:trPr>
          <w:jc w:val="center"/>
        </w:trPr>
        <w:tc>
          <w:tcPr>
            <w:tcW w:w="4957" w:type="dxa"/>
            <w:gridSpan w:val="2"/>
          </w:tcPr>
          <w:p w14:paraId="04D1A24E" w14:textId="6FF4A01A" w:rsidR="00F4284C" w:rsidRPr="00154588" w:rsidRDefault="00F4284C" w:rsidP="008C12B4">
            <w:pPr>
              <w:jc w:val="both"/>
              <w:rPr>
                <w:sz w:val="20"/>
                <w:szCs w:val="20"/>
              </w:rPr>
            </w:pPr>
            <w:r w:rsidRPr="00154588">
              <w:rPr>
                <w:sz w:val="20"/>
                <w:szCs w:val="20"/>
              </w:rPr>
              <w:t>(5)   Statele membre se asigură că creditorii afectați de exercitare a competențelor de reducere a valorii contabile sau de conversie menționate la alineatul (4) nu au dreptul de a contesta reducerea sau, după caz, convertirea principalului instrumentului sau al pasivului în temeiul niciunei dispoziții legislative din statul membru B.</w:t>
            </w:r>
          </w:p>
        </w:tc>
        <w:tc>
          <w:tcPr>
            <w:tcW w:w="4819" w:type="dxa"/>
          </w:tcPr>
          <w:p w14:paraId="6129B028" w14:textId="6C18D81F" w:rsidR="00F4284C" w:rsidRPr="00154588" w:rsidRDefault="00F4284C" w:rsidP="008C12B4">
            <w:pPr>
              <w:jc w:val="both"/>
              <w:rPr>
                <w:sz w:val="20"/>
                <w:szCs w:val="20"/>
              </w:rPr>
            </w:pPr>
            <w:r w:rsidRPr="00154588">
              <w:rPr>
                <w:b/>
                <w:sz w:val="20"/>
                <w:szCs w:val="20"/>
              </w:rPr>
              <w:t>Articolul 238</w:t>
            </w:r>
            <w:r w:rsidRPr="00154588">
              <w:rPr>
                <w:b/>
                <w:sz w:val="20"/>
                <w:szCs w:val="20"/>
                <w:vertAlign w:val="superscript"/>
              </w:rPr>
              <w:t>5</w:t>
            </w:r>
            <w:r w:rsidRPr="00154588">
              <w:rPr>
                <w:sz w:val="20"/>
                <w:szCs w:val="20"/>
              </w:rPr>
              <w:t>. - Creditorii afectați de exercitarea competenței de reducere a valorii sau de conversie prevăzute la art.238</w:t>
            </w:r>
            <w:r w:rsidRPr="00154588">
              <w:rPr>
                <w:sz w:val="20"/>
                <w:szCs w:val="20"/>
                <w:vertAlign w:val="superscript"/>
              </w:rPr>
              <w:t>4</w:t>
            </w:r>
            <w:r w:rsidRPr="00154588">
              <w:rPr>
                <w:sz w:val="20"/>
                <w:szCs w:val="20"/>
              </w:rPr>
              <w:t xml:space="preserve"> nu au dreptul de a contesta reducerea valorii sau, după caz, conversia principalului instrumentului sau a datoriei în temeiul niciunei dispoziții a legislației naționale aplicabile.</w:t>
            </w:r>
          </w:p>
          <w:p w14:paraId="7E9E32B4" w14:textId="77777777" w:rsidR="00F4284C" w:rsidRPr="00154588" w:rsidRDefault="00F4284C" w:rsidP="008C12B4">
            <w:pPr>
              <w:jc w:val="both"/>
              <w:rPr>
                <w:sz w:val="20"/>
                <w:szCs w:val="20"/>
              </w:rPr>
            </w:pPr>
          </w:p>
        </w:tc>
        <w:tc>
          <w:tcPr>
            <w:tcW w:w="2552" w:type="dxa"/>
          </w:tcPr>
          <w:p w14:paraId="696B1F39" w14:textId="0882C785" w:rsidR="00F4284C" w:rsidRPr="00154588" w:rsidRDefault="00F4284C" w:rsidP="008C12B4">
            <w:pPr>
              <w:jc w:val="both"/>
              <w:rPr>
                <w:sz w:val="20"/>
                <w:szCs w:val="20"/>
              </w:rPr>
            </w:pPr>
            <w:r w:rsidRPr="00154588">
              <w:rPr>
                <w:sz w:val="20"/>
                <w:szCs w:val="20"/>
              </w:rPr>
              <w:t>Compatibil</w:t>
            </w:r>
          </w:p>
        </w:tc>
        <w:tc>
          <w:tcPr>
            <w:tcW w:w="3118" w:type="dxa"/>
          </w:tcPr>
          <w:p w14:paraId="4D99C7FD" w14:textId="77777777" w:rsidR="00F4284C" w:rsidRPr="00154588" w:rsidRDefault="00F4284C" w:rsidP="008C12B4">
            <w:pPr>
              <w:jc w:val="both"/>
              <w:rPr>
                <w:sz w:val="20"/>
                <w:szCs w:val="20"/>
              </w:rPr>
            </w:pPr>
          </w:p>
        </w:tc>
      </w:tr>
      <w:tr w:rsidR="00F4284C" w:rsidRPr="00154588" w14:paraId="4D9D5BBF" w14:textId="77777777" w:rsidTr="00D15C1B">
        <w:trPr>
          <w:jc w:val="center"/>
        </w:trPr>
        <w:tc>
          <w:tcPr>
            <w:tcW w:w="4957" w:type="dxa"/>
            <w:gridSpan w:val="2"/>
          </w:tcPr>
          <w:p w14:paraId="3EA31E3C" w14:textId="77777777" w:rsidR="00F4284C" w:rsidRPr="00154588" w:rsidRDefault="00F4284C" w:rsidP="008C12B4">
            <w:pPr>
              <w:jc w:val="both"/>
              <w:rPr>
                <w:sz w:val="20"/>
                <w:szCs w:val="20"/>
              </w:rPr>
            </w:pPr>
            <w:r w:rsidRPr="00154588">
              <w:rPr>
                <w:sz w:val="20"/>
                <w:szCs w:val="20"/>
              </w:rPr>
              <w:t>(6)   Fiecare stat membru se asigură că următoarele elemente sunt determinate în conformitate cu legislația statului membru al autorității de rezoluție:</w:t>
            </w:r>
          </w:p>
          <w:p w14:paraId="7719AB51" w14:textId="77777777" w:rsidR="00F4284C" w:rsidRPr="00154588" w:rsidRDefault="00F4284C" w:rsidP="008C12B4">
            <w:pPr>
              <w:jc w:val="both"/>
              <w:rPr>
                <w:sz w:val="20"/>
                <w:szCs w:val="20"/>
              </w:rPr>
            </w:pPr>
          </w:p>
          <w:p w14:paraId="2E05ECF6" w14:textId="777C5018" w:rsidR="00F4284C" w:rsidRPr="00154588" w:rsidRDefault="00F4284C" w:rsidP="008C12B4">
            <w:pPr>
              <w:jc w:val="both"/>
              <w:rPr>
                <w:sz w:val="20"/>
                <w:szCs w:val="20"/>
              </w:rPr>
            </w:pPr>
            <w:r w:rsidRPr="00154588">
              <w:rPr>
                <w:sz w:val="20"/>
                <w:szCs w:val="20"/>
              </w:rPr>
              <w:t>(a) dreptul acționarilor, creditorilor și al părților terțe de a contesta printr-o cale de atac, în conformitate cu articolul 85, transferul menționat la alineatul (1) din prezentul articol al acțiunilor, altor instrumente de proprietate, activelor, drepturilor sau pasivelor;</w:t>
            </w:r>
          </w:p>
          <w:p w14:paraId="34607827" w14:textId="77777777" w:rsidR="00F4284C" w:rsidRPr="00154588" w:rsidRDefault="00F4284C" w:rsidP="008C12B4">
            <w:pPr>
              <w:jc w:val="both"/>
              <w:rPr>
                <w:sz w:val="20"/>
                <w:szCs w:val="20"/>
              </w:rPr>
            </w:pPr>
          </w:p>
          <w:p w14:paraId="164F6F46" w14:textId="03C62750" w:rsidR="00F4284C" w:rsidRPr="00154588" w:rsidRDefault="00F4284C" w:rsidP="008C12B4">
            <w:pPr>
              <w:jc w:val="both"/>
              <w:rPr>
                <w:sz w:val="20"/>
                <w:szCs w:val="20"/>
              </w:rPr>
            </w:pPr>
            <w:r w:rsidRPr="00154588">
              <w:rPr>
                <w:sz w:val="20"/>
                <w:szCs w:val="20"/>
              </w:rPr>
              <w:t>(b) dreptul creditorilor de a contesta printr-o cale de atac, în conformitate cu articolul 85, reducerea principalului sau conversia unui instrument ori a unui pasiv menționat la prezentul articol alineatul (4) literele (a) sau (b);</w:t>
            </w:r>
          </w:p>
          <w:p w14:paraId="006C9119" w14:textId="77777777" w:rsidR="00F4284C" w:rsidRPr="00154588" w:rsidRDefault="00F4284C" w:rsidP="008C12B4">
            <w:pPr>
              <w:jc w:val="both"/>
              <w:rPr>
                <w:sz w:val="20"/>
                <w:szCs w:val="20"/>
              </w:rPr>
            </w:pPr>
          </w:p>
          <w:p w14:paraId="660D8346" w14:textId="48E7E843" w:rsidR="00F4284C" w:rsidRPr="00154588" w:rsidRDefault="00F4284C" w:rsidP="008C12B4">
            <w:pPr>
              <w:jc w:val="both"/>
              <w:rPr>
                <w:sz w:val="20"/>
                <w:szCs w:val="20"/>
              </w:rPr>
            </w:pPr>
            <w:r w:rsidRPr="00154588">
              <w:rPr>
                <w:sz w:val="20"/>
                <w:szCs w:val="20"/>
              </w:rPr>
              <w:t>(c) mecanismele de siguranță menționate în capitolul VII referitoare la transferurile parțiale ale activelor, drepturilor și pasivelor prevăzute la alineatul (1).</w:t>
            </w:r>
          </w:p>
        </w:tc>
        <w:tc>
          <w:tcPr>
            <w:tcW w:w="4819" w:type="dxa"/>
          </w:tcPr>
          <w:p w14:paraId="37CA7AD6" w14:textId="77777777" w:rsidR="00F4284C" w:rsidRPr="00154588" w:rsidRDefault="00F4284C" w:rsidP="008C12B4">
            <w:pPr>
              <w:ind w:firstLine="567"/>
              <w:jc w:val="both"/>
              <w:rPr>
                <w:sz w:val="20"/>
                <w:szCs w:val="20"/>
              </w:rPr>
            </w:pPr>
            <w:r w:rsidRPr="00154588">
              <w:rPr>
                <w:b/>
                <w:sz w:val="20"/>
                <w:szCs w:val="20"/>
              </w:rPr>
              <w:t>Articolul 238</w:t>
            </w:r>
            <w:r w:rsidRPr="00154588">
              <w:rPr>
                <w:b/>
                <w:sz w:val="20"/>
                <w:szCs w:val="20"/>
                <w:vertAlign w:val="superscript"/>
              </w:rPr>
              <w:t>6</w:t>
            </w:r>
            <w:r w:rsidRPr="00154588">
              <w:rPr>
                <w:b/>
                <w:sz w:val="20"/>
                <w:szCs w:val="20"/>
              </w:rPr>
              <w:t>.</w:t>
            </w:r>
            <w:r w:rsidRPr="00154588">
              <w:rPr>
                <w:sz w:val="20"/>
                <w:szCs w:val="20"/>
              </w:rPr>
              <w:t xml:space="preserve"> - Dacă măsurile de gestionare a crizelor sau măsurile de prevenire a crizelor sunt luate de o autoritate de rezoluție dintr-un alt stat membru al Uniunii Europene, următoarele aspecte sunt guvernate de legea acelui stat membru al Uniunii Europene:</w:t>
            </w:r>
          </w:p>
          <w:p w14:paraId="6DD744B2" w14:textId="77777777" w:rsidR="00F4284C" w:rsidRPr="00154588" w:rsidRDefault="00F4284C" w:rsidP="008C12B4">
            <w:pPr>
              <w:ind w:firstLine="567"/>
              <w:jc w:val="both"/>
              <w:rPr>
                <w:sz w:val="20"/>
                <w:szCs w:val="20"/>
              </w:rPr>
            </w:pPr>
            <w:r w:rsidRPr="00154588">
              <w:rPr>
                <w:sz w:val="20"/>
                <w:szCs w:val="20"/>
              </w:rPr>
              <w:t>a) dreptul acționarilor, creditorilor și al părților terțe de a contesta în instanță, potrivit prevederilor din legislația națională a acelui stat membru al Uniunii Europene care asigură transpunerea art. 85 din Directiva 2014/59/UE, transferul acțiunilor, altor instrumente de proprietate sau activelor, drepturilor și obligațiilor prevăzute la art.238</w:t>
            </w:r>
            <w:r w:rsidRPr="00154588">
              <w:rPr>
                <w:sz w:val="20"/>
                <w:szCs w:val="20"/>
                <w:vertAlign w:val="superscript"/>
              </w:rPr>
              <w:t>1</w:t>
            </w:r>
            <w:r w:rsidRPr="00154588">
              <w:rPr>
                <w:sz w:val="20"/>
                <w:szCs w:val="20"/>
              </w:rPr>
              <w:t xml:space="preserve"> alin. (1);</w:t>
            </w:r>
          </w:p>
          <w:p w14:paraId="76736283" w14:textId="77777777" w:rsidR="00F4284C" w:rsidRPr="00154588" w:rsidRDefault="00F4284C" w:rsidP="008C12B4">
            <w:pPr>
              <w:ind w:firstLine="567"/>
              <w:jc w:val="both"/>
              <w:rPr>
                <w:sz w:val="20"/>
                <w:szCs w:val="20"/>
              </w:rPr>
            </w:pPr>
            <w:r w:rsidRPr="00154588">
              <w:rPr>
                <w:sz w:val="20"/>
                <w:szCs w:val="20"/>
              </w:rPr>
              <w:t>b) dreptul creditorilor de a contesta în instanță, potrivit prevederilor din legislația națională a acelui stat membru al Uniunii Europene care asigură transpunerea art. 85 din Directiva 2014/59/UE, reducerea valorii principalului sau conversia unui instrument ori a unei obligații prevăzute la art. 238</w:t>
            </w:r>
            <w:r w:rsidRPr="00154588">
              <w:rPr>
                <w:sz w:val="20"/>
                <w:szCs w:val="20"/>
                <w:vertAlign w:val="superscript"/>
              </w:rPr>
              <w:t>4</w:t>
            </w:r>
            <w:r w:rsidRPr="00154588">
              <w:rPr>
                <w:sz w:val="20"/>
                <w:szCs w:val="20"/>
              </w:rPr>
              <w:t>;</w:t>
            </w:r>
          </w:p>
          <w:p w14:paraId="4397338D" w14:textId="77777777" w:rsidR="00F4284C" w:rsidRPr="00154588" w:rsidRDefault="00F4284C" w:rsidP="008C12B4">
            <w:pPr>
              <w:jc w:val="both"/>
              <w:rPr>
                <w:sz w:val="20"/>
                <w:szCs w:val="20"/>
              </w:rPr>
            </w:pPr>
            <w:r w:rsidRPr="00154588">
              <w:rPr>
                <w:sz w:val="20"/>
                <w:szCs w:val="20"/>
              </w:rPr>
              <w:t>c) mecanismele de siguranță referitoare la transferurile parțiale ale activelor, drepturilor sau obligațiilor prevăzute la art.238</w:t>
            </w:r>
            <w:r w:rsidRPr="00154588">
              <w:rPr>
                <w:sz w:val="20"/>
                <w:szCs w:val="20"/>
                <w:vertAlign w:val="superscript"/>
              </w:rPr>
              <w:t>1</w:t>
            </w:r>
            <w:r w:rsidRPr="00154588">
              <w:rPr>
                <w:sz w:val="20"/>
                <w:szCs w:val="20"/>
              </w:rPr>
              <w:t xml:space="preserve"> alin. (1).</w:t>
            </w:r>
          </w:p>
          <w:p w14:paraId="430D84E0" w14:textId="77777777" w:rsidR="00F4284C" w:rsidRPr="00154588" w:rsidRDefault="00F4284C" w:rsidP="008C12B4">
            <w:pPr>
              <w:jc w:val="both"/>
              <w:rPr>
                <w:sz w:val="20"/>
                <w:szCs w:val="20"/>
              </w:rPr>
            </w:pPr>
          </w:p>
        </w:tc>
        <w:tc>
          <w:tcPr>
            <w:tcW w:w="2552" w:type="dxa"/>
          </w:tcPr>
          <w:p w14:paraId="780A737F" w14:textId="1C2CDBB6" w:rsidR="00F4284C" w:rsidRPr="00154588" w:rsidRDefault="00F4284C" w:rsidP="008C12B4">
            <w:pPr>
              <w:jc w:val="both"/>
              <w:rPr>
                <w:sz w:val="20"/>
                <w:szCs w:val="20"/>
              </w:rPr>
            </w:pPr>
            <w:r w:rsidRPr="00154588">
              <w:rPr>
                <w:sz w:val="20"/>
                <w:szCs w:val="20"/>
              </w:rPr>
              <w:t>Compatibil</w:t>
            </w:r>
          </w:p>
        </w:tc>
        <w:tc>
          <w:tcPr>
            <w:tcW w:w="3118" w:type="dxa"/>
          </w:tcPr>
          <w:p w14:paraId="43FDD9D4" w14:textId="77777777" w:rsidR="00F4284C" w:rsidRPr="00154588" w:rsidRDefault="00F4284C" w:rsidP="008C12B4">
            <w:pPr>
              <w:jc w:val="both"/>
              <w:rPr>
                <w:sz w:val="20"/>
                <w:szCs w:val="20"/>
              </w:rPr>
            </w:pPr>
          </w:p>
        </w:tc>
      </w:tr>
      <w:tr w:rsidR="00F4284C" w:rsidRPr="00154588" w14:paraId="1224C619" w14:textId="77777777" w:rsidTr="00D15C1B">
        <w:trPr>
          <w:jc w:val="center"/>
        </w:trPr>
        <w:tc>
          <w:tcPr>
            <w:tcW w:w="4957" w:type="dxa"/>
            <w:gridSpan w:val="2"/>
          </w:tcPr>
          <w:p w14:paraId="4BD1FC73" w14:textId="77777777" w:rsidR="00F4284C" w:rsidRPr="00154588" w:rsidRDefault="00F4284C" w:rsidP="008C12B4">
            <w:pPr>
              <w:jc w:val="both"/>
              <w:rPr>
                <w:b/>
                <w:sz w:val="20"/>
                <w:szCs w:val="20"/>
              </w:rPr>
            </w:pPr>
            <w:r w:rsidRPr="00154588">
              <w:rPr>
                <w:b/>
                <w:sz w:val="20"/>
                <w:szCs w:val="20"/>
              </w:rPr>
              <w:t>Articolul 67</w:t>
            </w:r>
          </w:p>
          <w:p w14:paraId="51CE9627" w14:textId="77777777" w:rsidR="00F4284C" w:rsidRPr="00154588" w:rsidRDefault="00F4284C" w:rsidP="008C12B4">
            <w:pPr>
              <w:jc w:val="both"/>
              <w:rPr>
                <w:b/>
                <w:sz w:val="20"/>
                <w:szCs w:val="20"/>
              </w:rPr>
            </w:pPr>
          </w:p>
          <w:p w14:paraId="224A7D72" w14:textId="7D632FDB" w:rsidR="00F4284C" w:rsidRPr="00154588" w:rsidRDefault="00F4284C" w:rsidP="008C12B4">
            <w:pPr>
              <w:jc w:val="both"/>
              <w:rPr>
                <w:b/>
                <w:sz w:val="20"/>
                <w:szCs w:val="20"/>
              </w:rPr>
            </w:pPr>
            <w:r w:rsidRPr="00154588">
              <w:rPr>
                <w:b/>
                <w:sz w:val="20"/>
                <w:szCs w:val="20"/>
              </w:rPr>
              <w:t>Competența în ceea ce privește activele, drepturile, acțiunile și alte instrumente de proprietate situate în țări terțe</w:t>
            </w:r>
          </w:p>
        </w:tc>
        <w:tc>
          <w:tcPr>
            <w:tcW w:w="4819" w:type="dxa"/>
          </w:tcPr>
          <w:p w14:paraId="10AEEFE6" w14:textId="77777777" w:rsidR="00F4284C" w:rsidRPr="00154588" w:rsidRDefault="00F4284C" w:rsidP="008C12B4">
            <w:pPr>
              <w:jc w:val="both"/>
              <w:rPr>
                <w:sz w:val="20"/>
                <w:szCs w:val="20"/>
              </w:rPr>
            </w:pPr>
          </w:p>
        </w:tc>
        <w:tc>
          <w:tcPr>
            <w:tcW w:w="2552" w:type="dxa"/>
          </w:tcPr>
          <w:p w14:paraId="0AC15D34" w14:textId="77777777" w:rsidR="00F4284C" w:rsidRPr="00154588" w:rsidRDefault="00F4284C" w:rsidP="008C12B4">
            <w:pPr>
              <w:jc w:val="both"/>
              <w:rPr>
                <w:sz w:val="20"/>
                <w:szCs w:val="20"/>
              </w:rPr>
            </w:pPr>
          </w:p>
        </w:tc>
        <w:tc>
          <w:tcPr>
            <w:tcW w:w="3118" w:type="dxa"/>
          </w:tcPr>
          <w:p w14:paraId="372158E7" w14:textId="77777777" w:rsidR="00F4284C" w:rsidRPr="00154588" w:rsidRDefault="00F4284C" w:rsidP="008C12B4">
            <w:pPr>
              <w:jc w:val="both"/>
              <w:rPr>
                <w:sz w:val="20"/>
                <w:szCs w:val="20"/>
              </w:rPr>
            </w:pPr>
          </w:p>
        </w:tc>
      </w:tr>
      <w:tr w:rsidR="00F4284C" w:rsidRPr="00154588" w14:paraId="3A460068" w14:textId="77777777" w:rsidTr="00D15C1B">
        <w:trPr>
          <w:jc w:val="center"/>
        </w:trPr>
        <w:tc>
          <w:tcPr>
            <w:tcW w:w="4957" w:type="dxa"/>
            <w:gridSpan w:val="2"/>
          </w:tcPr>
          <w:p w14:paraId="015422BE" w14:textId="77777777" w:rsidR="00F4284C" w:rsidRPr="00154588" w:rsidRDefault="00F4284C" w:rsidP="008C12B4">
            <w:pPr>
              <w:jc w:val="both"/>
              <w:rPr>
                <w:sz w:val="20"/>
                <w:szCs w:val="20"/>
              </w:rPr>
            </w:pPr>
            <w:r w:rsidRPr="00154588">
              <w:rPr>
                <w:sz w:val="20"/>
                <w:szCs w:val="20"/>
              </w:rPr>
              <w:t>(1)   Statele membre se asigură că, în cazurile în care o măsură de rezoluție implică luarea de măsuri cu privire la activele situate într-o țară terță sau cu privire la acțiuni, alte instrumente de proprietate, drepturi sau pasive reglementate de dreptul unei țări terțe, autoritățile de rezoluție pot solicita ca:</w:t>
            </w:r>
          </w:p>
          <w:p w14:paraId="127DB8F4" w14:textId="77777777" w:rsidR="00F4284C" w:rsidRPr="00154588" w:rsidRDefault="00F4284C" w:rsidP="008C12B4">
            <w:pPr>
              <w:jc w:val="both"/>
              <w:rPr>
                <w:sz w:val="20"/>
                <w:szCs w:val="20"/>
              </w:rPr>
            </w:pPr>
          </w:p>
          <w:p w14:paraId="1DED9558" w14:textId="77870953" w:rsidR="00F4284C" w:rsidRPr="00154588" w:rsidRDefault="00F4284C" w:rsidP="008C12B4">
            <w:pPr>
              <w:jc w:val="both"/>
              <w:rPr>
                <w:sz w:val="20"/>
                <w:szCs w:val="20"/>
              </w:rPr>
            </w:pPr>
            <w:r w:rsidRPr="00154588">
              <w:rPr>
                <w:sz w:val="20"/>
                <w:szCs w:val="20"/>
              </w:rPr>
              <w:lastRenderedPageBreak/>
              <w:t>(a) administratorul, lichidatorul sau orice altă persoană care exercită controlul asupra instituției aflate în rezoluție și destinatarul să fie obligați să ia toate măsurile necesare pentru a se asigura că transferul, reducerea valorii contabile, conversia sau măsura respectivă are loc;</w:t>
            </w:r>
          </w:p>
          <w:p w14:paraId="3E871DE2" w14:textId="77777777" w:rsidR="00F4284C" w:rsidRPr="00154588" w:rsidRDefault="00F4284C" w:rsidP="008C12B4">
            <w:pPr>
              <w:jc w:val="both"/>
              <w:rPr>
                <w:sz w:val="20"/>
                <w:szCs w:val="20"/>
              </w:rPr>
            </w:pPr>
          </w:p>
          <w:p w14:paraId="658EA239" w14:textId="1ED0EF96" w:rsidR="00F4284C" w:rsidRPr="00154588" w:rsidRDefault="00F4284C" w:rsidP="008C12B4">
            <w:pPr>
              <w:jc w:val="both"/>
              <w:rPr>
                <w:sz w:val="20"/>
                <w:szCs w:val="20"/>
              </w:rPr>
            </w:pPr>
            <w:r w:rsidRPr="00154588">
              <w:rPr>
                <w:sz w:val="20"/>
                <w:szCs w:val="20"/>
              </w:rPr>
              <w:t>(b) administratorul, lichidatorul sau orice altă persoană care exercită controlul asupra instituției aflate în rezoluție să aibă obligația de a deține acțiunile, alte instrumente de proprietate, activele sau drepturile sau de a achita datoriile în numele destinatarului până când transferul, reducerea valorii contabile, conversia sau măsura respectivă produce efecte;</w:t>
            </w:r>
          </w:p>
          <w:p w14:paraId="2BF24EBB" w14:textId="77777777" w:rsidR="00F4284C" w:rsidRPr="00154588" w:rsidRDefault="00F4284C" w:rsidP="008C12B4">
            <w:pPr>
              <w:jc w:val="both"/>
              <w:rPr>
                <w:sz w:val="20"/>
                <w:szCs w:val="20"/>
              </w:rPr>
            </w:pPr>
          </w:p>
          <w:p w14:paraId="76CA05B2" w14:textId="7F0285B8" w:rsidR="00F4284C" w:rsidRPr="00154588" w:rsidRDefault="00F4284C" w:rsidP="008C12B4">
            <w:pPr>
              <w:jc w:val="both"/>
              <w:rPr>
                <w:sz w:val="20"/>
                <w:szCs w:val="20"/>
              </w:rPr>
            </w:pPr>
            <w:r w:rsidRPr="00154588">
              <w:rPr>
                <w:sz w:val="20"/>
                <w:szCs w:val="20"/>
              </w:rPr>
              <w:t>(c) cheltuielile rezonabile ale destinatarului, efectuate corespunzător, asociate aplicării oricărei măsuri necesare în conformitate cu literele (a) și (b) din prezentul alineat, sunt acoperite prin oricare dintre metodele prevăzute la articolul 37 alineatul (7).</w:t>
            </w:r>
          </w:p>
        </w:tc>
        <w:tc>
          <w:tcPr>
            <w:tcW w:w="4819" w:type="dxa"/>
          </w:tcPr>
          <w:p w14:paraId="4BB2766C" w14:textId="77777777" w:rsidR="00F4284C" w:rsidRPr="00154588" w:rsidRDefault="00F4284C" w:rsidP="008C12B4">
            <w:pPr>
              <w:ind w:firstLine="567"/>
              <w:jc w:val="both"/>
              <w:rPr>
                <w:sz w:val="20"/>
                <w:szCs w:val="20"/>
              </w:rPr>
            </w:pPr>
            <w:r w:rsidRPr="00154588">
              <w:rPr>
                <w:b/>
                <w:sz w:val="20"/>
                <w:szCs w:val="20"/>
              </w:rPr>
              <w:lastRenderedPageBreak/>
              <w:t>Articolul 239.</w:t>
            </w:r>
            <w:r w:rsidRPr="00154588">
              <w:rPr>
                <w:sz w:val="20"/>
                <w:szCs w:val="20"/>
              </w:rPr>
              <w:t xml:space="preserve"> – În situaţia în care o acţiune de rezoluţie implică luarea de măsuri cu privire la activele situate într-un alt stat terț sau cu privire la acţiuni, alte instrumente de proprietate, drepturi sau obligaţii guvernate de legea unui alt stat terț, Banca Naţională a Moldovei, în calitate de autoritate de rezoluţie, poate solicita ca:</w:t>
            </w:r>
          </w:p>
          <w:p w14:paraId="1875EFEB" w14:textId="77777777" w:rsidR="00F4284C" w:rsidRPr="00154588" w:rsidRDefault="00F4284C" w:rsidP="008C12B4">
            <w:pPr>
              <w:ind w:firstLine="567"/>
              <w:jc w:val="both"/>
              <w:rPr>
                <w:sz w:val="20"/>
                <w:szCs w:val="20"/>
              </w:rPr>
            </w:pPr>
            <w:r w:rsidRPr="00154588">
              <w:rPr>
                <w:sz w:val="20"/>
                <w:szCs w:val="20"/>
              </w:rPr>
              <w:lastRenderedPageBreak/>
              <w:t>a) administratorul, lichidatorul sau orice altă persoană care exercită controlul asupra instituției supuse rezoluţiei şi destinatarul să fie obligaţi să ia toate măsurile necesare pentru a se asigura că transferul, reducerea valorii, conversia sau măsura respectivă produc efecte;</w:t>
            </w:r>
          </w:p>
          <w:p w14:paraId="7F81C64F" w14:textId="77777777" w:rsidR="00F4284C" w:rsidRPr="00154588" w:rsidRDefault="00F4284C" w:rsidP="008C12B4">
            <w:pPr>
              <w:ind w:firstLine="567"/>
              <w:jc w:val="both"/>
              <w:rPr>
                <w:sz w:val="20"/>
                <w:szCs w:val="20"/>
              </w:rPr>
            </w:pPr>
            <w:r w:rsidRPr="00154588">
              <w:rPr>
                <w:sz w:val="20"/>
                <w:szCs w:val="20"/>
              </w:rPr>
              <w:t>b) administratorul, lichidatorul sau orice altă persoană care exercită controlul asupra instituției supuse rezoluţiei să aibă obligaţia de a deţine acţiunile, alte instrumente de proprietate, activele sau drepturile sau de a achita datoriile în numele destinatarului, pînă la momentul la care transferul, reducerea valorii, conversia sau măsura respectivă produc efecte;</w:t>
            </w:r>
          </w:p>
          <w:p w14:paraId="30A1D0E4" w14:textId="77777777" w:rsidR="00F4284C" w:rsidRPr="00154588" w:rsidRDefault="00F4284C" w:rsidP="008C12B4">
            <w:pPr>
              <w:ind w:firstLine="567"/>
              <w:jc w:val="both"/>
              <w:rPr>
                <w:sz w:val="20"/>
                <w:szCs w:val="20"/>
              </w:rPr>
            </w:pPr>
            <w:r w:rsidRPr="00154588">
              <w:rPr>
                <w:sz w:val="20"/>
                <w:szCs w:val="20"/>
              </w:rPr>
              <w:t>c) cheltuielile rezonabile ale destinatarului, efectuate în mod justificat, asociate aplicării oricărei măsuri necesare în conformitate cu prevederile lit.a) şi b), să fie acoperite prin oricare dintre metodele prevăzute la art.91.</w:t>
            </w:r>
          </w:p>
          <w:p w14:paraId="01298281" w14:textId="77777777" w:rsidR="00F4284C" w:rsidRPr="00154588" w:rsidRDefault="00F4284C" w:rsidP="008C12B4">
            <w:pPr>
              <w:jc w:val="both"/>
              <w:rPr>
                <w:sz w:val="20"/>
                <w:szCs w:val="20"/>
              </w:rPr>
            </w:pPr>
          </w:p>
        </w:tc>
        <w:tc>
          <w:tcPr>
            <w:tcW w:w="2552" w:type="dxa"/>
          </w:tcPr>
          <w:p w14:paraId="420B05F6" w14:textId="7FF596E7" w:rsidR="00F4284C" w:rsidRPr="00154588" w:rsidRDefault="00F4284C" w:rsidP="008C12B4">
            <w:pPr>
              <w:jc w:val="both"/>
              <w:rPr>
                <w:sz w:val="20"/>
                <w:szCs w:val="20"/>
              </w:rPr>
            </w:pPr>
            <w:r w:rsidRPr="00154588">
              <w:rPr>
                <w:sz w:val="20"/>
                <w:szCs w:val="20"/>
              </w:rPr>
              <w:lastRenderedPageBreak/>
              <w:t>Compatibil</w:t>
            </w:r>
          </w:p>
        </w:tc>
        <w:tc>
          <w:tcPr>
            <w:tcW w:w="3118" w:type="dxa"/>
          </w:tcPr>
          <w:p w14:paraId="3BF08DCA" w14:textId="77777777" w:rsidR="00F4284C" w:rsidRPr="00154588" w:rsidRDefault="00F4284C" w:rsidP="008C12B4">
            <w:pPr>
              <w:jc w:val="both"/>
              <w:rPr>
                <w:sz w:val="20"/>
                <w:szCs w:val="20"/>
              </w:rPr>
            </w:pPr>
          </w:p>
        </w:tc>
      </w:tr>
      <w:tr w:rsidR="00F4284C" w:rsidRPr="00154588" w14:paraId="349D1D1C" w14:textId="77777777" w:rsidTr="00D15C1B">
        <w:trPr>
          <w:jc w:val="center"/>
        </w:trPr>
        <w:tc>
          <w:tcPr>
            <w:tcW w:w="4957" w:type="dxa"/>
            <w:gridSpan w:val="2"/>
          </w:tcPr>
          <w:p w14:paraId="1C93D82B" w14:textId="3891578E" w:rsidR="00F4284C" w:rsidRPr="00154588" w:rsidRDefault="00F4284C" w:rsidP="008C12B4">
            <w:pPr>
              <w:jc w:val="both"/>
              <w:rPr>
                <w:sz w:val="20"/>
                <w:szCs w:val="20"/>
              </w:rPr>
            </w:pPr>
            <w:r w:rsidRPr="00154588">
              <w:rPr>
                <w:sz w:val="20"/>
                <w:szCs w:val="20"/>
              </w:rPr>
              <w:t>(2)   În cazul în care autoritatea de rezoluție stabilește că, în ciuda tuturor măsurilor necesare luate de administrator, lichidator sau orice altă persoană în conformitate cu alineatul (1) litera (a), este foarte puțin probabil ca transferul, conversia sau măsura respectivă să fie pusă în practică în raport cu anumite active situate într-o țară terță sau anumite acțiuni, alte instrumente de proprietate, drepturi sau pasive reglementate de legislația unei țări terțe, autoritatea de rezoluție nu procedează la efectuarea transferului, reducerea valorii contabile, efectuarea conversiunii sau măsurii respective. În cazul în care autoritatea a ordonat transferul, reducerea valorii contabile, conversia sau măsura respectivă, ordinul este nul în cazul activelor, acțiunilor, instrumentelor de proprietate, drepturilor sau datoriilor respective.</w:t>
            </w:r>
          </w:p>
        </w:tc>
        <w:tc>
          <w:tcPr>
            <w:tcW w:w="4819" w:type="dxa"/>
          </w:tcPr>
          <w:p w14:paraId="58FDF06B" w14:textId="77777777" w:rsidR="00F4284C" w:rsidRPr="00154588" w:rsidRDefault="00F4284C" w:rsidP="008C12B4">
            <w:pPr>
              <w:ind w:firstLine="567"/>
              <w:jc w:val="both"/>
              <w:rPr>
                <w:sz w:val="20"/>
                <w:szCs w:val="20"/>
              </w:rPr>
            </w:pPr>
            <w:r w:rsidRPr="00154588">
              <w:rPr>
                <w:b/>
                <w:sz w:val="20"/>
                <w:szCs w:val="20"/>
              </w:rPr>
              <w:t>Articolul 240.</w:t>
            </w:r>
            <w:r w:rsidRPr="00154588">
              <w:rPr>
                <w:sz w:val="20"/>
                <w:szCs w:val="20"/>
              </w:rPr>
              <w:t xml:space="preserve"> – (1) În situaţia în care Banca Naţională a Moldovei, în calitate de autoritate de rezoluţie, consideră că, în ciuda tuturor măsurilor necesare luate de administrator, lichidator sau orice altă persoană </w:t>
            </w:r>
            <w:bookmarkStart w:id="140" w:name="_Hlk223426597"/>
            <w:r w:rsidRPr="00154588">
              <w:rPr>
                <w:sz w:val="20"/>
                <w:szCs w:val="20"/>
              </w:rPr>
              <w:t>în conformitate cu art.239, lit. a)</w:t>
            </w:r>
            <w:bookmarkEnd w:id="140"/>
            <w:r w:rsidRPr="00154588">
              <w:rPr>
                <w:sz w:val="20"/>
                <w:szCs w:val="20"/>
              </w:rPr>
              <w:t>, este foarte puţin probabil ca transferul, conversia sau măsura respectivă să îşi producă efectele în raport cu anumite active localizate într-un alt stat terț sau cu anumite acţiuni, alte instrumente de proprietate, drepturi ori obligaţii care sînt supuse legii unui alt stat terț, Banca Naţională a Moldovei nu continuă efectuarea transferului, reducerii valorii, conversiei sau măsurii respective.</w:t>
            </w:r>
          </w:p>
          <w:p w14:paraId="20FD3029" w14:textId="77777777" w:rsidR="00F4284C" w:rsidRPr="00154588" w:rsidRDefault="00F4284C" w:rsidP="008C12B4">
            <w:pPr>
              <w:ind w:firstLine="567"/>
              <w:jc w:val="both"/>
              <w:rPr>
                <w:sz w:val="20"/>
                <w:szCs w:val="20"/>
              </w:rPr>
            </w:pPr>
            <w:r w:rsidRPr="00154588">
              <w:rPr>
                <w:sz w:val="20"/>
                <w:szCs w:val="20"/>
              </w:rPr>
              <w:t>(2) În aplicarea prevederilor alin.(1), în cazul în care a fost ordonat transferul, reducerea valorii, conversia sau măsura respectivă, ordinul în cauză este nul în privinţa activelor, acţiunilor, instrumentelor de proprietate, drepturilor sau obligaţiilor din statele respective.</w:t>
            </w:r>
          </w:p>
          <w:p w14:paraId="3A7A5E11" w14:textId="77777777" w:rsidR="00F4284C" w:rsidRPr="00154588" w:rsidRDefault="00F4284C" w:rsidP="008C12B4">
            <w:pPr>
              <w:jc w:val="both"/>
              <w:rPr>
                <w:sz w:val="20"/>
                <w:szCs w:val="20"/>
              </w:rPr>
            </w:pPr>
          </w:p>
          <w:p w14:paraId="1BEFEAE1" w14:textId="77777777" w:rsidR="00F4284C" w:rsidRPr="00154588" w:rsidRDefault="00F4284C" w:rsidP="008C12B4">
            <w:pPr>
              <w:rPr>
                <w:sz w:val="20"/>
                <w:szCs w:val="20"/>
              </w:rPr>
            </w:pPr>
          </w:p>
          <w:p w14:paraId="048D01CD" w14:textId="77777777" w:rsidR="00F4284C" w:rsidRPr="00154588" w:rsidRDefault="00F4284C" w:rsidP="008C12B4">
            <w:pPr>
              <w:rPr>
                <w:sz w:val="20"/>
                <w:szCs w:val="20"/>
              </w:rPr>
            </w:pPr>
          </w:p>
          <w:p w14:paraId="08ECC44A" w14:textId="308AD444" w:rsidR="00F4284C" w:rsidRPr="00154588" w:rsidRDefault="00F4284C" w:rsidP="008C12B4">
            <w:pPr>
              <w:tabs>
                <w:tab w:val="left" w:pos="1515"/>
              </w:tabs>
              <w:rPr>
                <w:sz w:val="20"/>
                <w:szCs w:val="20"/>
              </w:rPr>
            </w:pPr>
            <w:r w:rsidRPr="00154588">
              <w:rPr>
                <w:sz w:val="20"/>
                <w:szCs w:val="20"/>
              </w:rPr>
              <w:tab/>
            </w:r>
          </w:p>
        </w:tc>
        <w:tc>
          <w:tcPr>
            <w:tcW w:w="2552" w:type="dxa"/>
          </w:tcPr>
          <w:p w14:paraId="063AD6C0" w14:textId="0BAB0831" w:rsidR="00F4284C" w:rsidRPr="00154588" w:rsidRDefault="00F4284C" w:rsidP="008C12B4">
            <w:pPr>
              <w:jc w:val="both"/>
              <w:rPr>
                <w:sz w:val="20"/>
                <w:szCs w:val="20"/>
              </w:rPr>
            </w:pPr>
            <w:r w:rsidRPr="00154588">
              <w:rPr>
                <w:sz w:val="20"/>
                <w:szCs w:val="20"/>
              </w:rPr>
              <w:t>Compatibil</w:t>
            </w:r>
          </w:p>
        </w:tc>
        <w:tc>
          <w:tcPr>
            <w:tcW w:w="3118" w:type="dxa"/>
          </w:tcPr>
          <w:p w14:paraId="1A4D4684" w14:textId="77777777" w:rsidR="00F4284C" w:rsidRPr="00154588" w:rsidRDefault="00F4284C" w:rsidP="008C12B4">
            <w:pPr>
              <w:jc w:val="both"/>
              <w:rPr>
                <w:sz w:val="20"/>
                <w:szCs w:val="20"/>
              </w:rPr>
            </w:pPr>
          </w:p>
        </w:tc>
      </w:tr>
      <w:tr w:rsidR="00F4284C" w:rsidRPr="00154588" w14:paraId="2AB69335" w14:textId="77777777" w:rsidTr="00D15C1B">
        <w:trPr>
          <w:jc w:val="center"/>
        </w:trPr>
        <w:tc>
          <w:tcPr>
            <w:tcW w:w="4957" w:type="dxa"/>
            <w:gridSpan w:val="2"/>
          </w:tcPr>
          <w:p w14:paraId="518EFA19" w14:textId="77777777" w:rsidR="00F4284C" w:rsidRPr="00154588" w:rsidRDefault="00F4284C" w:rsidP="008C12B4">
            <w:pPr>
              <w:jc w:val="both"/>
              <w:rPr>
                <w:b/>
                <w:sz w:val="20"/>
                <w:szCs w:val="20"/>
              </w:rPr>
            </w:pPr>
            <w:r w:rsidRPr="00154588">
              <w:rPr>
                <w:b/>
                <w:sz w:val="20"/>
                <w:szCs w:val="20"/>
              </w:rPr>
              <w:t>Articolul 68</w:t>
            </w:r>
          </w:p>
          <w:p w14:paraId="751D80F2" w14:textId="77777777" w:rsidR="00F4284C" w:rsidRPr="00154588" w:rsidRDefault="00F4284C" w:rsidP="008C12B4">
            <w:pPr>
              <w:jc w:val="both"/>
              <w:rPr>
                <w:b/>
                <w:sz w:val="20"/>
                <w:szCs w:val="20"/>
              </w:rPr>
            </w:pPr>
          </w:p>
          <w:p w14:paraId="6F15ECE0" w14:textId="07E8CB63" w:rsidR="00F4284C" w:rsidRPr="00154588" w:rsidRDefault="00F4284C" w:rsidP="008C12B4">
            <w:pPr>
              <w:jc w:val="both"/>
              <w:rPr>
                <w:sz w:val="20"/>
                <w:szCs w:val="20"/>
              </w:rPr>
            </w:pPr>
            <w:r w:rsidRPr="00154588">
              <w:rPr>
                <w:b/>
                <w:sz w:val="20"/>
                <w:szCs w:val="20"/>
              </w:rPr>
              <w:lastRenderedPageBreak/>
              <w:t>Excluderea anumitor termeni contractuali în cazul intervenției timpurii și al rezoluției</w:t>
            </w:r>
          </w:p>
        </w:tc>
        <w:tc>
          <w:tcPr>
            <w:tcW w:w="4819" w:type="dxa"/>
          </w:tcPr>
          <w:p w14:paraId="5F67DF8C" w14:textId="77777777" w:rsidR="00F4284C" w:rsidRPr="00154588" w:rsidRDefault="00F4284C" w:rsidP="008C12B4">
            <w:pPr>
              <w:jc w:val="both"/>
              <w:rPr>
                <w:sz w:val="20"/>
                <w:szCs w:val="20"/>
              </w:rPr>
            </w:pPr>
          </w:p>
        </w:tc>
        <w:tc>
          <w:tcPr>
            <w:tcW w:w="2552" w:type="dxa"/>
          </w:tcPr>
          <w:p w14:paraId="7A422456" w14:textId="77777777" w:rsidR="00F4284C" w:rsidRPr="00154588" w:rsidRDefault="00F4284C" w:rsidP="008C12B4">
            <w:pPr>
              <w:jc w:val="both"/>
              <w:rPr>
                <w:sz w:val="20"/>
                <w:szCs w:val="20"/>
              </w:rPr>
            </w:pPr>
          </w:p>
        </w:tc>
        <w:tc>
          <w:tcPr>
            <w:tcW w:w="3118" w:type="dxa"/>
          </w:tcPr>
          <w:p w14:paraId="5678EB3B" w14:textId="77777777" w:rsidR="00F4284C" w:rsidRPr="00154588" w:rsidRDefault="00F4284C" w:rsidP="008C12B4">
            <w:pPr>
              <w:jc w:val="both"/>
              <w:rPr>
                <w:sz w:val="20"/>
                <w:szCs w:val="20"/>
              </w:rPr>
            </w:pPr>
          </w:p>
        </w:tc>
      </w:tr>
      <w:tr w:rsidR="00F4284C" w:rsidRPr="00154588" w14:paraId="4DE94778" w14:textId="77777777" w:rsidTr="00D15C1B">
        <w:trPr>
          <w:jc w:val="center"/>
        </w:trPr>
        <w:tc>
          <w:tcPr>
            <w:tcW w:w="4957" w:type="dxa"/>
            <w:gridSpan w:val="2"/>
          </w:tcPr>
          <w:p w14:paraId="22AE94B4" w14:textId="77777777" w:rsidR="00F4284C" w:rsidRPr="00154588" w:rsidRDefault="00F4284C" w:rsidP="008C12B4">
            <w:pPr>
              <w:jc w:val="both"/>
              <w:rPr>
                <w:sz w:val="20"/>
                <w:szCs w:val="20"/>
              </w:rPr>
            </w:pPr>
            <w:r w:rsidRPr="00154588">
              <w:rPr>
                <w:sz w:val="20"/>
                <w:szCs w:val="20"/>
              </w:rPr>
              <w:t>(1)   O măsură de prevenire sau de gestionare a crizei, luată în cazul unei entități în conformitate cu prezenta directivă, care include producerea oricărui eveniment direct legat de aplicarea unei asemenea măsuri, nu este considerată în sine drept eveniment care determină executarea în sensul Directivei 2002/47/CE ori drept procedură de insolvență în sensul Directivei 98/26/CE, cu condiția ca obligațiile contractuale substanțiale, inclusiv plata și obligațiile de livrare, precum și furnizarea de garanții, să fie îndeplinite în continuare.</w:t>
            </w:r>
          </w:p>
          <w:p w14:paraId="12164E24" w14:textId="77777777" w:rsidR="00F4284C" w:rsidRPr="00154588" w:rsidRDefault="00F4284C" w:rsidP="008C12B4">
            <w:pPr>
              <w:jc w:val="both"/>
              <w:rPr>
                <w:sz w:val="20"/>
                <w:szCs w:val="20"/>
              </w:rPr>
            </w:pPr>
          </w:p>
          <w:p w14:paraId="7FED71C5" w14:textId="77777777" w:rsidR="00F4284C" w:rsidRPr="00154588" w:rsidRDefault="00F4284C" w:rsidP="008C12B4">
            <w:pPr>
              <w:jc w:val="both"/>
              <w:rPr>
                <w:sz w:val="20"/>
                <w:szCs w:val="20"/>
              </w:rPr>
            </w:pPr>
          </w:p>
          <w:p w14:paraId="5355826B" w14:textId="77777777" w:rsidR="00F4284C" w:rsidRPr="00154588" w:rsidRDefault="00F4284C" w:rsidP="008C12B4">
            <w:pPr>
              <w:jc w:val="both"/>
              <w:rPr>
                <w:sz w:val="20"/>
                <w:szCs w:val="20"/>
              </w:rPr>
            </w:pPr>
          </w:p>
          <w:p w14:paraId="4F29376E" w14:textId="77777777" w:rsidR="00F4284C" w:rsidRPr="00154588" w:rsidRDefault="00F4284C" w:rsidP="008C12B4">
            <w:pPr>
              <w:jc w:val="both"/>
              <w:rPr>
                <w:sz w:val="20"/>
                <w:szCs w:val="20"/>
              </w:rPr>
            </w:pPr>
          </w:p>
          <w:p w14:paraId="6E3A70B4" w14:textId="77777777" w:rsidR="00F4284C" w:rsidRPr="00154588" w:rsidRDefault="00F4284C" w:rsidP="008C12B4">
            <w:pPr>
              <w:jc w:val="both"/>
              <w:rPr>
                <w:sz w:val="20"/>
                <w:szCs w:val="20"/>
              </w:rPr>
            </w:pPr>
          </w:p>
          <w:p w14:paraId="234BB65B" w14:textId="77777777" w:rsidR="00F4284C" w:rsidRPr="00154588" w:rsidRDefault="00F4284C" w:rsidP="008C12B4">
            <w:pPr>
              <w:jc w:val="both"/>
              <w:rPr>
                <w:sz w:val="20"/>
                <w:szCs w:val="20"/>
              </w:rPr>
            </w:pPr>
          </w:p>
          <w:p w14:paraId="1E8B8506" w14:textId="77777777" w:rsidR="00F4284C" w:rsidRPr="00154588" w:rsidRDefault="00F4284C" w:rsidP="008C12B4">
            <w:pPr>
              <w:jc w:val="both"/>
              <w:rPr>
                <w:sz w:val="20"/>
                <w:szCs w:val="20"/>
              </w:rPr>
            </w:pPr>
            <w:r w:rsidRPr="00154588">
              <w:rPr>
                <w:sz w:val="20"/>
                <w:szCs w:val="20"/>
              </w:rPr>
              <w:t>Mai mult, măsura de prevenire sau de gestionare a crizei nu este considerată în sine a fi un eveniment care determină executarea ori o procedură de insolvență în cadrul unui contract încheiat de:</w:t>
            </w:r>
          </w:p>
          <w:p w14:paraId="697B0388" w14:textId="77777777" w:rsidR="00F4284C" w:rsidRPr="00154588" w:rsidRDefault="00F4284C" w:rsidP="008C12B4">
            <w:pPr>
              <w:jc w:val="both"/>
              <w:rPr>
                <w:sz w:val="20"/>
                <w:szCs w:val="20"/>
              </w:rPr>
            </w:pPr>
          </w:p>
          <w:p w14:paraId="453E267B" w14:textId="47E2D4D7" w:rsidR="00F4284C" w:rsidRPr="00154588" w:rsidRDefault="00F4284C" w:rsidP="008C12B4">
            <w:pPr>
              <w:jc w:val="both"/>
              <w:rPr>
                <w:sz w:val="20"/>
                <w:szCs w:val="20"/>
              </w:rPr>
            </w:pPr>
            <w:r w:rsidRPr="00154588">
              <w:rPr>
                <w:sz w:val="20"/>
                <w:szCs w:val="20"/>
              </w:rPr>
              <w:t>(a) o filială a instituției ale cărei obligații contractuale sunt garantate sau susținute în alt mod de întreprinderea-mamă sau de oricare altă entitate din grup; sau</w:t>
            </w:r>
          </w:p>
          <w:p w14:paraId="7C571432" w14:textId="77777777" w:rsidR="00F4284C" w:rsidRPr="00154588" w:rsidRDefault="00F4284C" w:rsidP="008C12B4">
            <w:pPr>
              <w:jc w:val="both"/>
              <w:rPr>
                <w:sz w:val="20"/>
                <w:szCs w:val="20"/>
              </w:rPr>
            </w:pPr>
          </w:p>
          <w:p w14:paraId="55E817BA" w14:textId="77777777" w:rsidR="00F4284C" w:rsidRPr="00154588" w:rsidRDefault="00F4284C" w:rsidP="008C12B4">
            <w:pPr>
              <w:jc w:val="both"/>
              <w:rPr>
                <w:sz w:val="20"/>
                <w:szCs w:val="20"/>
              </w:rPr>
            </w:pPr>
          </w:p>
          <w:p w14:paraId="1F861655" w14:textId="701A6F1C" w:rsidR="00F4284C" w:rsidRPr="00154588" w:rsidRDefault="00F4284C" w:rsidP="008C12B4">
            <w:pPr>
              <w:jc w:val="both"/>
              <w:rPr>
                <w:sz w:val="20"/>
                <w:szCs w:val="20"/>
              </w:rPr>
            </w:pPr>
            <w:r w:rsidRPr="00154588">
              <w:rPr>
                <w:sz w:val="20"/>
                <w:szCs w:val="20"/>
              </w:rPr>
              <w:t>(b) orice entitate care face parte din același grup ca și instituția care include clauze de tip „cross-default” (declararea simultană a exigibilității obligațiilor ca urmare a neîndeplinirii culpabile a uneia dintre ele).</w:t>
            </w:r>
          </w:p>
        </w:tc>
        <w:tc>
          <w:tcPr>
            <w:tcW w:w="4819" w:type="dxa"/>
          </w:tcPr>
          <w:p w14:paraId="28962E33" w14:textId="6260F720" w:rsidR="00F4284C" w:rsidRPr="00154588" w:rsidRDefault="00F4284C" w:rsidP="008C12B4">
            <w:pPr>
              <w:ind w:firstLine="567"/>
              <w:jc w:val="both"/>
              <w:rPr>
                <w:sz w:val="20"/>
                <w:szCs w:val="20"/>
              </w:rPr>
            </w:pPr>
            <w:r w:rsidRPr="00154588">
              <w:rPr>
                <w:b/>
                <w:sz w:val="20"/>
                <w:szCs w:val="20"/>
              </w:rPr>
              <w:t>Articolul 241.</w:t>
            </w:r>
            <w:r w:rsidRPr="00154588">
              <w:rPr>
                <w:sz w:val="20"/>
                <w:szCs w:val="20"/>
              </w:rPr>
              <w:t xml:space="preserve"> – (1) O măsură de prevenire a crizelor sau o măsură de gestionare a crizelor, luată în cazul unei entități în conformitate cu prezenta lege, inclusiv producerea oricărui eveniment direct legat de aplicarea unei asemenea măsuri, nu trebuie considerată în sine, în baza unui contract încheiat de entitatea în cauză, drept cauză care determină executarea garanţiei ori drept procedură de insolvabilitate, aşa cum sînt acestea definite în art.2 din prezenta lege.</w:t>
            </w:r>
          </w:p>
          <w:p w14:paraId="2477303F" w14:textId="77777777" w:rsidR="00F4284C" w:rsidRPr="00154588" w:rsidRDefault="00F4284C" w:rsidP="008C12B4">
            <w:pPr>
              <w:ind w:firstLine="567"/>
              <w:jc w:val="both"/>
              <w:rPr>
                <w:sz w:val="20"/>
                <w:szCs w:val="20"/>
              </w:rPr>
            </w:pPr>
            <w:bookmarkStart w:id="141" w:name="_Hlk223427147"/>
            <w:r w:rsidRPr="00154588">
              <w:rPr>
                <w:sz w:val="20"/>
                <w:szCs w:val="20"/>
              </w:rPr>
              <w:t>(2) O măsură de prevenire a crizelor sau o măsură de gestionare a crizelor nu trebuie considerată în sine a fi o cauză care determină executarea garanției sau procedură obișnuită de insolvabilitate în cadrul unui contract încheiat de:</w:t>
            </w:r>
          </w:p>
          <w:p w14:paraId="0B82B2F0" w14:textId="77777777" w:rsidR="00F4284C" w:rsidRPr="00154588" w:rsidRDefault="00F4284C" w:rsidP="008C12B4">
            <w:pPr>
              <w:ind w:firstLine="567"/>
              <w:jc w:val="both"/>
              <w:rPr>
                <w:sz w:val="20"/>
                <w:szCs w:val="20"/>
              </w:rPr>
            </w:pPr>
            <w:r w:rsidRPr="00154588">
              <w:rPr>
                <w:sz w:val="20"/>
                <w:szCs w:val="20"/>
              </w:rPr>
              <w:t>a) o filială, ale cărei obligații contractuale sunt garantate sau susținute în alt mod de întreprinderea-mamă sau de oricare altă entitate din grup; sau</w:t>
            </w:r>
          </w:p>
          <w:p w14:paraId="301750B1" w14:textId="77777777" w:rsidR="00F4284C" w:rsidRPr="00154588" w:rsidRDefault="00F4284C" w:rsidP="008C12B4">
            <w:pPr>
              <w:ind w:firstLine="567"/>
              <w:jc w:val="both"/>
              <w:rPr>
                <w:sz w:val="20"/>
                <w:szCs w:val="20"/>
              </w:rPr>
            </w:pPr>
            <w:r w:rsidRPr="00154588">
              <w:rPr>
                <w:sz w:val="20"/>
                <w:szCs w:val="20"/>
              </w:rPr>
              <w:t>b) orice entitate din grup care include clauze de tip "cross-default".</w:t>
            </w:r>
          </w:p>
          <w:bookmarkEnd w:id="141"/>
          <w:p w14:paraId="097F764A" w14:textId="77777777" w:rsidR="00F4284C" w:rsidRPr="00154588" w:rsidRDefault="00F4284C" w:rsidP="008C12B4">
            <w:pPr>
              <w:ind w:firstLine="567"/>
              <w:jc w:val="both"/>
              <w:rPr>
                <w:b/>
                <w:sz w:val="20"/>
                <w:szCs w:val="20"/>
              </w:rPr>
            </w:pPr>
          </w:p>
          <w:p w14:paraId="656E88D8" w14:textId="77777777" w:rsidR="00F4284C" w:rsidRPr="00154588" w:rsidRDefault="00F4284C" w:rsidP="008C12B4">
            <w:pPr>
              <w:jc w:val="both"/>
              <w:rPr>
                <w:sz w:val="20"/>
                <w:szCs w:val="20"/>
              </w:rPr>
            </w:pPr>
          </w:p>
        </w:tc>
        <w:tc>
          <w:tcPr>
            <w:tcW w:w="2552" w:type="dxa"/>
          </w:tcPr>
          <w:p w14:paraId="6BE09080" w14:textId="1765BAAA" w:rsidR="00F4284C" w:rsidRPr="00154588" w:rsidRDefault="00F4284C" w:rsidP="008C12B4">
            <w:pPr>
              <w:jc w:val="both"/>
              <w:rPr>
                <w:sz w:val="20"/>
                <w:szCs w:val="20"/>
              </w:rPr>
            </w:pPr>
            <w:r w:rsidRPr="00154588">
              <w:rPr>
                <w:sz w:val="20"/>
                <w:szCs w:val="20"/>
              </w:rPr>
              <w:t>Compatibil</w:t>
            </w:r>
          </w:p>
        </w:tc>
        <w:tc>
          <w:tcPr>
            <w:tcW w:w="3118" w:type="dxa"/>
          </w:tcPr>
          <w:p w14:paraId="21146EAB" w14:textId="77777777" w:rsidR="00F4284C" w:rsidRPr="00154588" w:rsidRDefault="00F4284C" w:rsidP="008C12B4">
            <w:pPr>
              <w:jc w:val="both"/>
              <w:rPr>
                <w:sz w:val="20"/>
                <w:szCs w:val="20"/>
              </w:rPr>
            </w:pPr>
          </w:p>
        </w:tc>
      </w:tr>
      <w:tr w:rsidR="00F4284C" w:rsidRPr="00154588" w14:paraId="22C00A72" w14:textId="77777777" w:rsidTr="00D15C1B">
        <w:trPr>
          <w:jc w:val="center"/>
        </w:trPr>
        <w:tc>
          <w:tcPr>
            <w:tcW w:w="4957" w:type="dxa"/>
            <w:gridSpan w:val="2"/>
          </w:tcPr>
          <w:p w14:paraId="281F83D4" w14:textId="512CAC09" w:rsidR="00F4284C" w:rsidRPr="00154588" w:rsidRDefault="00F4284C" w:rsidP="008C12B4">
            <w:pPr>
              <w:jc w:val="both"/>
              <w:rPr>
                <w:sz w:val="20"/>
                <w:szCs w:val="20"/>
              </w:rPr>
            </w:pPr>
            <w:r w:rsidRPr="00154588">
              <w:rPr>
                <w:sz w:val="20"/>
                <w:szCs w:val="20"/>
              </w:rPr>
              <w:t>(2)   În cazul în care procedurile de rezoluție din țări terțe sunt recunoscute în conformitate cu articolul 94 sau în alte cazuri în care autoritatea de rezoluție decide astfel, aceste proceduri constituie măsuri de gestionare a crizelor în sensul prezentului articol.</w:t>
            </w:r>
          </w:p>
        </w:tc>
        <w:tc>
          <w:tcPr>
            <w:tcW w:w="4819" w:type="dxa"/>
          </w:tcPr>
          <w:p w14:paraId="0593E65F" w14:textId="77777777" w:rsidR="00F4284C" w:rsidRPr="00154588" w:rsidRDefault="00F4284C" w:rsidP="008C12B4">
            <w:pPr>
              <w:ind w:firstLine="567"/>
              <w:jc w:val="both"/>
              <w:rPr>
                <w:sz w:val="20"/>
                <w:szCs w:val="20"/>
              </w:rPr>
            </w:pPr>
            <w:bookmarkStart w:id="142" w:name="_Hlk223427223"/>
            <w:r w:rsidRPr="00154588">
              <w:rPr>
                <w:b/>
                <w:sz w:val="20"/>
                <w:szCs w:val="20"/>
              </w:rPr>
              <w:t>Articolul 241</w:t>
            </w:r>
            <w:r w:rsidRPr="00154588">
              <w:rPr>
                <w:b/>
                <w:sz w:val="20"/>
                <w:szCs w:val="20"/>
                <w:vertAlign w:val="superscript"/>
              </w:rPr>
              <w:t>1</w:t>
            </w:r>
            <w:r w:rsidRPr="00154588">
              <w:rPr>
                <w:b/>
                <w:sz w:val="20"/>
                <w:szCs w:val="20"/>
              </w:rPr>
              <w:t xml:space="preserve">. </w:t>
            </w:r>
            <w:r w:rsidRPr="00154588">
              <w:rPr>
                <w:sz w:val="20"/>
                <w:szCs w:val="20"/>
              </w:rPr>
              <w:t>În cazul în care procedurile de rezoluție din țări terțe sunt recunoscute în conformitate cu prevederile art. 324 sau în cazul în care Banca Națională a Moldovei, în calitate de autoritate de rezoluție, decide astfel, aceste proceduri constituie o măsură de gestionare a crizelor în sensul art. 241-245.</w:t>
            </w:r>
          </w:p>
          <w:bookmarkEnd w:id="142"/>
          <w:p w14:paraId="17CB0C95" w14:textId="77777777" w:rsidR="00F4284C" w:rsidRPr="00154588" w:rsidRDefault="00F4284C" w:rsidP="008C12B4">
            <w:pPr>
              <w:jc w:val="both"/>
              <w:rPr>
                <w:sz w:val="20"/>
                <w:szCs w:val="20"/>
              </w:rPr>
            </w:pPr>
          </w:p>
        </w:tc>
        <w:tc>
          <w:tcPr>
            <w:tcW w:w="2552" w:type="dxa"/>
          </w:tcPr>
          <w:p w14:paraId="3715A19D" w14:textId="34B6DBB5" w:rsidR="00F4284C" w:rsidRPr="00154588" w:rsidRDefault="00F4284C" w:rsidP="008C12B4">
            <w:pPr>
              <w:jc w:val="both"/>
              <w:rPr>
                <w:sz w:val="20"/>
                <w:szCs w:val="20"/>
              </w:rPr>
            </w:pPr>
            <w:r w:rsidRPr="00154588">
              <w:rPr>
                <w:sz w:val="20"/>
                <w:szCs w:val="20"/>
              </w:rPr>
              <w:t>Compatibil</w:t>
            </w:r>
          </w:p>
        </w:tc>
        <w:tc>
          <w:tcPr>
            <w:tcW w:w="3118" w:type="dxa"/>
          </w:tcPr>
          <w:p w14:paraId="53E5E85D" w14:textId="77777777" w:rsidR="00F4284C" w:rsidRPr="00154588" w:rsidRDefault="00F4284C" w:rsidP="008C12B4">
            <w:pPr>
              <w:jc w:val="both"/>
              <w:rPr>
                <w:sz w:val="20"/>
                <w:szCs w:val="20"/>
              </w:rPr>
            </w:pPr>
          </w:p>
        </w:tc>
      </w:tr>
      <w:tr w:rsidR="00F4284C" w:rsidRPr="00154588" w14:paraId="6FB96560" w14:textId="77777777" w:rsidTr="00D15C1B">
        <w:trPr>
          <w:jc w:val="center"/>
        </w:trPr>
        <w:tc>
          <w:tcPr>
            <w:tcW w:w="4957" w:type="dxa"/>
            <w:gridSpan w:val="2"/>
          </w:tcPr>
          <w:p w14:paraId="5790BA2B" w14:textId="7E36986E" w:rsidR="00F4284C" w:rsidRPr="00154588" w:rsidRDefault="00F4284C" w:rsidP="008C12B4">
            <w:pPr>
              <w:jc w:val="both"/>
              <w:rPr>
                <w:sz w:val="20"/>
                <w:szCs w:val="20"/>
              </w:rPr>
            </w:pPr>
            <w:r w:rsidRPr="00154588">
              <w:rPr>
                <w:sz w:val="20"/>
                <w:szCs w:val="20"/>
              </w:rPr>
              <w:t xml:space="preserve">(3)   Cu condiția ca obligațiile contractuale substanțiale, inclusiv obligațiile de plată și de livrare, precum și furnizarea de colateral, să fie îndeplinite în </w:t>
            </w:r>
            <w:r w:rsidRPr="00154588">
              <w:rPr>
                <w:sz w:val="20"/>
                <w:szCs w:val="20"/>
              </w:rPr>
              <w:lastRenderedPageBreak/>
              <w:t>continuare, o măsură de prevenire a crizei, o suspendare a obligației în temeiul articolului 33a sau o măsură de gestionare a crizei, inclusiv producerea oricărui eveniment direct legat de aplicarea unei astfel de măsuri, nu dă în sine niciunei persoane posibilitatea:</w:t>
            </w:r>
          </w:p>
          <w:p w14:paraId="31FDEE3A" w14:textId="77777777" w:rsidR="00F4284C" w:rsidRPr="00154588" w:rsidRDefault="00F4284C" w:rsidP="008C12B4">
            <w:pPr>
              <w:jc w:val="both"/>
              <w:rPr>
                <w:sz w:val="20"/>
                <w:szCs w:val="20"/>
              </w:rPr>
            </w:pPr>
          </w:p>
          <w:p w14:paraId="282D18DC" w14:textId="77777777" w:rsidR="00F4284C" w:rsidRPr="00154588" w:rsidRDefault="00F4284C" w:rsidP="008C12B4">
            <w:pPr>
              <w:jc w:val="both"/>
              <w:rPr>
                <w:sz w:val="20"/>
                <w:szCs w:val="20"/>
              </w:rPr>
            </w:pPr>
          </w:p>
          <w:p w14:paraId="30954E41" w14:textId="676BEA07" w:rsidR="00F4284C" w:rsidRPr="00154588" w:rsidRDefault="00F4284C" w:rsidP="008C12B4">
            <w:pPr>
              <w:jc w:val="both"/>
              <w:rPr>
                <w:sz w:val="20"/>
                <w:szCs w:val="20"/>
              </w:rPr>
            </w:pPr>
            <w:r w:rsidRPr="00154588">
              <w:rPr>
                <w:sz w:val="20"/>
                <w:szCs w:val="20"/>
              </w:rPr>
              <w:t>(a) de a exercita vreun drept de reziliere, de suspendare, modificare, de grup de compensare sau de compensare reciprocă, inclusiv legat de un contract încheiat de:</w:t>
            </w:r>
          </w:p>
          <w:p w14:paraId="6AE7D373" w14:textId="77777777" w:rsidR="00F4284C" w:rsidRPr="00154588" w:rsidRDefault="00F4284C" w:rsidP="008C12B4">
            <w:pPr>
              <w:jc w:val="both"/>
              <w:rPr>
                <w:sz w:val="20"/>
                <w:szCs w:val="20"/>
              </w:rPr>
            </w:pPr>
          </w:p>
          <w:p w14:paraId="745718F7" w14:textId="53FCBC0C" w:rsidR="00F4284C" w:rsidRPr="00154588" w:rsidRDefault="00F4284C" w:rsidP="008C12B4">
            <w:pPr>
              <w:jc w:val="both"/>
              <w:rPr>
                <w:sz w:val="20"/>
                <w:szCs w:val="20"/>
              </w:rPr>
            </w:pPr>
            <w:r w:rsidRPr="00154588">
              <w:rPr>
                <w:sz w:val="20"/>
                <w:szCs w:val="20"/>
              </w:rPr>
              <w:t>(i) o filială, ale cărei obligații contractuale sunt garantate sau susținute în alt mod de o entitate de grup;</w:t>
            </w:r>
          </w:p>
          <w:p w14:paraId="4C65A860" w14:textId="77777777" w:rsidR="00F4284C" w:rsidRPr="00154588" w:rsidRDefault="00F4284C" w:rsidP="008C12B4">
            <w:pPr>
              <w:jc w:val="both"/>
              <w:rPr>
                <w:sz w:val="20"/>
                <w:szCs w:val="20"/>
              </w:rPr>
            </w:pPr>
          </w:p>
          <w:p w14:paraId="620158CD" w14:textId="78AE5B98" w:rsidR="00F4284C" w:rsidRPr="00154588" w:rsidRDefault="00F4284C" w:rsidP="008C12B4">
            <w:pPr>
              <w:jc w:val="both"/>
              <w:rPr>
                <w:sz w:val="20"/>
                <w:szCs w:val="20"/>
              </w:rPr>
            </w:pPr>
            <w:r w:rsidRPr="00154588">
              <w:rPr>
                <w:sz w:val="20"/>
                <w:szCs w:val="20"/>
              </w:rPr>
              <w:t>(ii) oricare entitate din grup care include clauze de tip „cross-default”;</w:t>
            </w:r>
          </w:p>
          <w:p w14:paraId="68B8AE46" w14:textId="77777777" w:rsidR="00F4284C" w:rsidRPr="00154588" w:rsidRDefault="00F4284C" w:rsidP="008C12B4">
            <w:pPr>
              <w:jc w:val="both"/>
              <w:rPr>
                <w:sz w:val="20"/>
                <w:szCs w:val="20"/>
              </w:rPr>
            </w:pPr>
          </w:p>
          <w:p w14:paraId="528CC134" w14:textId="1947F5D3" w:rsidR="00F4284C" w:rsidRPr="00154588" w:rsidRDefault="00F4284C" w:rsidP="008C12B4">
            <w:pPr>
              <w:jc w:val="both"/>
              <w:rPr>
                <w:sz w:val="20"/>
                <w:szCs w:val="20"/>
              </w:rPr>
            </w:pPr>
            <w:r w:rsidRPr="00154588">
              <w:rPr>
                <w:sz w:val="20"/>
                <w:szCs w:val="20"/>
              </w:rPr>
              <w:t>(b) de a intra în posesia oricăror elemente de patrimoniu ale instituției sau ale entității menționate la articolul 1 alineatul (1) litera (b), (c) sau (d) sau ale oricărei alte entități din grup în legătură cu un contract care include clauze de tip „cross-default”, de a-și exercita controlul asupra acestora sau de a executa vreo garanție în ceea ce le privește;</w:t>
            </w:r>
          </w:p>
          <w:p w14:paraId="7CDCD07D" w14:textId="77777777" w:rsidR="00F4284C" w:rsidRPr="00154588" w:rsidRDefault="00F4284C" w:rsidP="008C12B4">
            <w:pPr>
              <w:jc w:val="both"/>
              <w:rPr>
                <w:sz w:val="20"/>
                <w:szCs w:val="20"/>
              </w:rPr>
            </w:pPr>
          </w:p>
          <w:p w14:paraId="449B9892" w14:textId="4CB36574" w:rsidR="00F4284C" w:rsidRPr="00154588" w:rsidRDefault="00F4284C" w:rsidP="008C12B4">
            <w:pPr>
              <w:jc w:val="both"/>
              <w:rPr>
                <w:sz w:val="20"/>
                <w:szCs w:val="20"/>
              </w:rPr>
            </w:pPr>
            <w:r w:rsidRPr="00154588">
              <w:rPr>
                <w:sz w:val="20"/>
                <w:szCs w:val="20"/>
              </w:rPr>
              <w:t>(c) de a aduce atingere drepturilor contractuale ale instituției sau ale entității vizate menționate la articolul 1 alineatul (1) litera (b), (c) sau (d) sau ale oricărei alte entități din grup în legătură cu un contract care include clauze de tip „cross-default”.</w:t>
            </w:r>
          </w:p>
        </w:tc>
        <w:tc>
          <w:tcPr>
            <w:tcW w:w="4819" w:type="dxa"/>
          </w:tcPr>
          <w:p w14:paraId="41A74534" w14:textId="77777777" w:rsidR="00F4284C" w:rsidRPr="00154588" w:rsidRDefault="00F4284C" w:rsidP="008C12B4">
            <w:pPr>
              <w:ind w:firstLine="567"/>
              <w:jc w:val="both"/>
              <w:rPr>
                <w:sz w:val="20"/>
                <w:szCs w:val="20"/>
              </w:rPr>
            </w:pPr>
            <w:r w:rsidRPr="00154588">
              <w:rPr>
                <w:b/>
                <w:sz w:val="20"/>
                <w:szCs w:val="20"/>
              </w:rPr>
              <w:lastRenderedPageBreak/>
              <w:t>Articolul 243.</w:t>
            </w:r>
            <w:r w:rsidRPr="00154588">
              <w:rPr>
                <w:sz w:val="20"/>
                <w:szCs w:val="20"/>
              </w:rPr>
              <w:t xml:space="preserve"> – Cu condiţia ca obligaţiile contractuale esenţiale, inclusiv plata şi obligaţiile de livrare, precum şi furnizarea de garanţii reale, să fie </w:t>
            </w:r>
            <w:r w:rsidRPr="00154588">
              <w:rPr>
                <w:sz w:val="20"/>
                <w:szCs w:val="20"/>
              </w:rPr>
              <w:lastRenderedPageBreak/>
              <w:t>îndeplinite în continuare, o măsură de prevenire a crizelor</w:t>
            </w:r>
            <w:bookmarkStart w:id="143" w:name="_Hlk223427309"/>
            <w:r w:rsidRPr="00154588">
              <w:rPr>
                <w:sz w:val="20"/>
                <w:szCs w:val="20"/>
              </w:rPr>
              <w:t>, o suspendare a obligației în temeiul art.60</w:t>
            </w:r>
            <w:r w:rsidRPr="00154588">
              <w:rPr>
                <w:sz w:val="20"/>
                <w:szCs w:val="20"/>
                <w:vertAlign w:val="superscript"/>
              </w:rPr>
              <w:t>1</w:t>
            </w:r>
            <w:r w:rsidRPr="00154588">
              <w:rPr>
                <w:sz w:val="20"/>
                <w:szCs w:val="20"/>
              </w:rPr>
              <w:t>-60</w:t>
            </w:r>
            <w:r w:rsidRPr="00154588">
              <w:rPr>
                <w:sz w:val="20"/>
                <w:szCs w:val="20"/>
                <w:vertAlign w:val="superscript"/>
              </w:rPr>
              <w:t>10</w:t>
            </w:r>
            <w:r w:rsidRPr="00154588">
              <w:rPr>
                <w:sz w:val="20"/>
                <w:szCs w:val="20"/>
              </w:rPr>
              <w:t xml:space="preserve">  </w:t>
            </w:r>
            <w:bookmarkEnd w:id="143"/>
            <w:r w:rsidRPr="00154588">
              <w:rPr>
                <w:sz w:val="20"/>
                <w:szCs w:val="20"/>
              </w:rPr>
              <w:t>sau o măsură de gestionare a crizelor, inclusiv producerea oricărui eveniment direct legat de aplicarea unei astfel de măsuri, nu conferă în sine niciunei persoane posibilitatea:</w:t>
            </w:r>
          </w:p>
          <w:p w14:paraId="4916B5CE" w14:textId="77777777" w:rsidR="00F4284C" w:rsidRPr="00154588" w:rsidRDefault="00F4284C" w:rsidP="008C12B4">
            <w:pPr>
              <w:ind w:firstLine="567"/>
              <w:jc w:val="both"/>
              <w:rPr>
                <w:sz w:val="20"/>
                <w:szCs w:val="20"/>
              </w:rPr>
            </w:pPr>
            <w:r w:rsidRPr="00154588">
              <w:rPr>
                <w:sz w:val="20"/>
                <w:szCs w:val="20"/>
              </w:rPr>
              <w:t>a) de a exercita vreun drept de încetare, de suspendare, de modificare, de compensare sau de compensare reciprocă, inclusiv legat de un contract încheiat de:</w:t>
            </w:r>
          </w:p>
          <w:p w14:paraId="0749787B" w14:textId="77777777" w:rsidR="00F4284C" w:rsidRPr="00154588" w:rsidRDefault="00F4284C" w:rsidP="008C12B4">
            <w:pPr>
              <w:ind w:firstLine="567"/>
              <w:jc w:val="both"/>
              <w:rPr>
                <w:sz w:val="20"/>
                <w:szCs w:val="20"/>
              </w:rPr>
            </w:pPr>
            <w:r w:rsidRPr="00154588">
              <w:rPr>
                <w:sz w:val="20"/>
                <w:szCs w:val="20"/>
              </w:rPr>
              <w:t>(i) o filială, ale cărei obligații contractuale sunt garantate sau susținute în alt mod de o entitate de grup;</w:t>
            </w:r>
          </w:p>
          <w:p w14:paraId="289FB597" w14:textId="77777777" w:rsidR="00F4284C" w:rsidRPr="00154588" w:rsidRDefault="00F4284C" w:rsidP="008C12B4">
            <w:pPr>
              <w:ind w:firstLine="567"/>
              <w:jc w:val="both"/>
              <w:rPr>
                <w:sz w:val="20"/>
                <w:szCs w:val="20"/>
              </w:rPr>
            </w:pPr>
            <w:r w:rsidRPr="00154588">
              <w:rPr>
                <w:sz w:val="20"/>
                <w:szCs w:val="20"/>
              </w:rPr>
              <w:t>(ii) oricare entitate din grup care include clauze de tip „cross-default”;</w:t>
            </w:r>
          </w:p>
          <w:p w14:paraId="12063075" w14:textId="77777777" w:rsidR="00F4284C" w:rsidRPr="00154588" w:rsidRDefault="00F4284C" w:rsidP="008C12B4">
            <w:pPr>
              <w:ind w:firstLine="567"/>
              <w:jc w:val="both"/>
              <w:rPr>
                <w:sz w:val="20"/>
                <w:szCs w:val="20"/>
              </w:rPr>
            </w:pPr>
            <w:r w:rsidRPr="00154588">
              <w:rPr>
                <w:sz w:val="20"/>
                <w:szCs w:val="20"/>
              </w:rPr>
              <w:t>b) de a intra în posesia oricăror elemente de patrimoniu ale instituției de credit sau ale entității menționate la art.1 alin.(1) lit.b), c) sau d) sau ale oricărei alte entități din grup în legătură cu un contract care include clauze de tip „cross-default”, de a-şi exercita controlul asupra acestora sau de a executa vreo garanţie în ceea ce le priveşte;</w:t>
            </w:r>
          </w:p>
          <w:p w14:paraId="127DC0BD" w14:textId="77777777" w:rsidR="00F4284C" w:rsidRPr="00154588" w:rsidRDefault="00F4284C" w:rsidP="008C12B4">
            <w:pPr>
              <w:ind w:firstLine="567"/>
              <w:jc w:val="both"/>
              <w:rPr>
                <w:sz w:val="20"/>
                <w:szCs w:val="20"/>
              </w:rPr>
            </w:pPr>
            <w:r w:rsidRPr="00154588">
              <w:rPr>
                <w:sz w:val="20"/>
                <w:szCs w:val="20"/>
              </w:rPr>
              <w:t xml:space="preserve">c) de a aduce atingere drepturilor contractuale </w:t>
            </w:r>
            <w:bookmarkStart w:id="144" w:name="_Hlk223428283"/>
            <w:r w:rsidRPr="00154588">
              <w:rPr>
                <w:sz w:val="20"/>
                <w:szCs w:val="20"/>
              </w:rPr>
              <w:t>ale instituției de credit sau ale entității menționate la art.1 alin.(1) lit.b), c) sau d) sau ale oricărei alte entități din grup în legătură cu un contract care include clauze de tip „cross-default”</w:t>
            </w:r>
            <w:bookmarkEnd w:id="144"/>
            <w:r w:rsidRPr="00154588">
              <w:rPr>
                <w:sz w:val="20"/>
                <w:szCs w:val="20"/>
              </w:rPr>
              <w:t>.</w:t>
            </w:r>
          </w:p>
          <w:p w14:paraId="455441B1" w14:textId="77777777" w:rsidR="00F4284C" w:rsidRPr="00154588" w:rsidRDefault="00F4284C" w:rsidP="008C12B4">
            <w:pPr>
              <w:jc w:val="both"/>
              <w:rPr>
                <w:sz w:val="20"/>
                <w:szCs w:val="20"/>
              </w:rPr>
            </w:pPr>
          </w:p>
        </w:tc>
        <w:tc>
          <w:tcPr>
            <w:tcW w:w="2552" w:type="dxa"/>
          </w:tcPr>
          <w:p w14:paraId="7453ADC5" w14:textId="66178153" w:rsidR="00F4284C" w:rsidRPr="00154588" w:rsidRDefault="00F4284C" w:rsidP="008C12B4">
            <w:pPr>
              <w:jc w:val="both"/>
              <w:rPr>
                <w:sz w:val="20"/>
                <w:szCs w:val="20"/>
              </w:rPr>
            </w:pPr>
            <w:r w:rsidRPr="00154588">
              <w:rPr>
                <w:sz w:val="20"/>
                <w:szCs w:val="20"/>
              </w:rPr>
              <w:lastRenderedPageBreak/>
              <w:t>Compatibil</w:t>
            </w:r>
          </w:p>
        </w:tc>
        <w:tc>
          <w:tcPr>
            <w:tcW w:w="3118" w:type="dxa"/>
          </w:tcPr>
          <w:p w14:paraId="493E60F1" w14:textId="77777777" w:rsidR="00F4284C" w:rsidRPr="00154588" w:rsidRDefault="00F4284C" w:rsidP="008C12B4">
            <w:pPr>
              <w:jc w:val="both"/>
              <w:rPr>
                <w:sz w:val="20"/>
                <w:szCs w:val="20"/>
              </w:rPr>
            </w:pPr>
          </w:p>
        </w:tc>
      </w:tr>
      <w:tr w:rsidR="00F4284C" w:rsidRPr="00154588" w14:paraId="454AE663" w14:textId="77777777" w:rsidTr="00D15C1B">
        <w:trPr>
          <w:jc w:val="center"/>
        </w:trPr>
        <w:tc>
          <w:tcPr>
            <w:tcW w:w="4957" w:type="dxa"/>
            <w:gridSpan w:val="2"/>
          </w:tcPr>
          <w:p w14:paraId="45B856C2" w14:textId="22599F5A" w:rsidR="00F4284C" w:rsidRPr="00154588" w:rsidRDefault="00F4284C" w:rsidP="008C12B4">
            <w:pPr>
              <w:jc w:val="both"/>
              <w:rPr>
                <w:sz w:val="20"/>
                <w:szCs w:val="20"/>
              </w:rPr>
            </w:pPr>
            <w:r w:rsidRPr="00154588">
              <w:rPr>
                <w:sz w:val="20"/>
                <w:szCs w:val="20"/>
              </w:rPr>
              <w:t>(4)   Prezentul articol nu aduce atingere dreptului unei persoane de a întreprinde una dintre acțiunile menționate la alineatul (3), atunci când acest drept se naște în urma unei situații, alta decât măsura de prevenire sau gestionare a crizelor sau producerea vreunui eveniment legat direct de aplicarea unei astfel de măsuri.</w:t>
            </w:r>
          </w:p>
        </w:tc>
        <w:tc>
          <w:tcPr>
            <w:tcW w:w="4819" w:type="dxa"/>
          </w:tcPr>
          <w:p w14:paraId="5E94FB62" w14:textId="77777777" w:rsidR="00F4284C" w:rsidRPr="00154588" w:rsidRDefault="00F4284C" w:rsidP="008C12B4">
            <w:pPr>
              <w:ind w:firstLine="567"/>
              <w:jc w:val="both"/>
              <w:rPr>
                <w:sz w:val="20"/>
                <w:szCs w:val="20"/>
              </w:rPr>
            </w:pPr>
            <w:r w:rsidRPr="00154588">
              <w:rPr>
                <w:b/>
                <w:sz w:val="20"/>
                <w:szCs w:val="20"/>
              </w:rPr>
              <w:t>Articolul 244.</w:t>
            </w:r>
            <w:r w:rsidRPr="00154588">
              <w:rPr>
                <w:sz w:val="20"/>
                <w:szCs w:val="20"/>
              </w:rPr>
              <w:t xml:space="preserve"> – Prevederile art.241–243 şi ale art.245 nu aduc atingere dreptului unei persoane de a întreprinde una dintre acţiunile prevăzute la art.243, atunci cînd acest drept se naşte în urma unui eveniment, altul decît măsura de prevenire a crizelor, măsura de gestionare a crizelor sau producerea vreunui eveniment legat direct de aplicarea unei astfel de măsuri.</w:t>
            </w:r>
          </w:p>
          <w:p w14:paraId="302547A7" w14:textId="77777777" w:rsidR="00F4284C" w:rsidRPr="00154588" w:rsidRDefault="00F4284C" w:rsidP="008C12B4">
            <w:pPr>
              <w:jc w:val="both"/>
              <w:rPr>
                <w:sz w:val="20"/>
                <w:szCs w:val="20"/>
              </w:rPr>
            </w:pPr>
          </w:p>
        </w:tc>
        <w:tc>
          <w:tcPr>
            <w:tcW w:w="2552" w:type="dxa"/>
          </w:tcPr>
          <w:p w14:paraId="61513D3A" w14:textId="2EC92D70" w:rsidR="00F4284C" w:rsidRPr="00154588" w:rsidRDefault="00F4284C" w:rsidP="008C12B4">
            <w:pPr>
              <w:jc w:val="both"/>
              <w:rPr>
                <w:sz w:val="20"/>
                <w:szCs w:val="20"/>
              </w:rPr>
            </w:pPr>
            <w:r w:rsidRPr="00154588">
              <w:rPr>
                <w:sz w:val="20"/>
                <w:szCs w:val="20"/>
              </w:rPr>
              <w:t>Compatibil</w:t>
            </w:r>
          </w:p>
        </w:tc>
        <w:tc>
          <w:tcPr>
            <w:tcW w:w="3118" w:type="dxa"/>
          </w:tcPr>
          <w:p w14:paraId="04A6C299" w14:textId="77777777" w:rsidR="00F4284C" w:rsidRPr="00154588" w:rsidRDefault="00F4284C" w:rsidP="008C12B4">
            <w:pPr>
              <w:jc w:val="both"/>
              <w:rPr>
                <w:sz w:val="20"/>
                <w:szCs w:val="20"/>
              </w:rPr>
            </w:pPr>
          </w:p>
        </w:tc>
      </w:tr>
      <w:tr w:rsidR="00F4284C" w:rsidRPr="00154588" w14:paraId="7E7C9F99" w14:textId="77777777" w:rsidTr="00D15C1B">
        <w:trPr>
          <w:jc w:val="center"/>
        </w:trPr>
        <w:tc>
          <w:tcPr>
            <w:tcW w:w="4957" w:type="dxa"/>
            <w:gridSpan w:val="2"/>
          </w:tcPr>
          <w:p w14:paraId="58041FB3" w14:textId="6A115DD3" w:rsidR="00F4284C" w:rsidRPr="00154588" w:rsidRDefault="00F4284C" w:rsidP="008C12B4">
            <w:pPr>
              <w:jc w:val="both"/>
              <w:rPr>
                <w:sz w:val="20"/>
                <w:szCs w:val="20"/>
              </w:rPr>
            </w:pPr>
            <w:r w:rsidRPr="00154588">
              <w:rPr>
                <w:sz w:val="20"/>
                <w:szCs w:val="20"/>
              </w:rPr>
              <w:t xml:space="preserve">(5)   Suspendarea sau limitarea în temeiul articolului 33a, 69 sau 70 nu constituie nerespectarea unei </w:t>
            </w:r>
            <w:r w:rsidRPr="00154588">
              <w:rPr>
                <w:sz w:val="20"/>
                <w:szCs w:val="20"/>
              </w:rPr>
              <w:lastRenderedPageBreak/>
              <w:t>obligații contractuale în sensul prezentului articol alineatele (1) și (3) și al articolului 71 alineatul (1).</w:t>
            </w:r>
          </w:p>
        </w:tc>
        <w:tc>
          <w:tcPr>
            <w:tcW w:w="4819" w:type="dxa"/>
          </w:tcPr>
          <w:p w14:paraId="7778E9A5" w14:textId="77777777" w:rsidR="00F4284C" w:rsidRPr="00154588" w:rsidRDefault="00F4284C" w:rsidP="008C12B4">
            <w:pPr>
              <w:ind w:firstLine="567"/>
              <w:jc w:val="both"/>
              <w:rPr>
                <w:sz w:val="20"/>
                <w:szCs w:val="20"/>
              </w:rPr>
            </w:pPr>
            <w:r w:rsidRPr="00154588">
              <w:rPr>
                <w:b/>
                <w:sz w:val="20"/>
                <w:szCs w:val="20"/>
              </w:rPr>
              <w:lastRenderedPageBreak/>
              <w:t>Articolul 245.</w:t>
            </w:r>
            <w:r w:rsidRPr="00154588">
              <w:rPr>
                <w:sz w:val="20"/>
                <w:szCs w:val="20"/>
              </w:rPr>
              <w:t xml:space="preserve"> – Competenţele de suspendare sau limitare în condiţiile prezentei legi nu constituie </w:t>
            </w:r>
            <w:r w:rsidRPr="00154588">
              <w:rPr>
                <w:sz w:val="20"/>
                <w:szCs w:val="20"/>
              </w:rPr>
              <w:lastRenderedPageBreak/>
              <w:t>nerespectare a unei obligaţii contractuale în sensul art.241-242.</w:t>
            </w:r>
          </w:p>
          <w:p w14:paraId="2494F9EF" w14:textId="77777777" w:rsidR="00F4284C" w:rsidRPr="00154588" w:rsidRDefault="00F4284C" w:rsidP="008C12B4">
            <w:pPr>
              <w:jc w:val="both"/>
              <w:rPr>
                <w:sz w:val="20"/>
                <w:szCs w:val="20"/>
              </w:rPr>
            </w:pPr>
          </w:p>
        </w:tc>
        <w:tc>
          <w:tcPr>
            <w:tcW w:w="2552" w:type="dxa"/>
          </w:tcPr>
          <w:p w14:paraId="2C4AA311" w14:textId="76E0E4D2" w:rsidR="00F4284C" w:rsidRPr="00154588" w:rsidRDefault="00F4284C" w:rsidP="008C12B4">
            <w:pPr>
              <w:jc w:val="both"/>
              <w:rPr>
                <w:sz w:val="20"/>
                <w:szCs w:val="20"/>
              </w:rPr>
            </w:pPr>
            <w:r w:rsidRPr="00154588">
              <w:rPr>
                <w:sz w:val="20"/>
                <w:szCs w:val="20"/>
              </w:rPr>
              <w:lastRenderedPageBreak/>
              <w:t>Compatibil</w:t>
            </w:r>
          </w:p>
        </w:tc>
        <w:tc>
          <w:tcPr>
            <w:tcW w:w="3118" w:type="dxa"/>
          </w:tcPr>
          <w:p w14:paraId="465E91DA" w14:textId="77777777" w:rsidR="00F4284C" w:rsidRPr="00154588" w:rsidRDefault="00F4284C" w:rsidP="008C12B4">
            <w:pPr>
              <w:jc w:val="both"/>
              <w:rPr>
                <w:sz w:val="20"/>
                <w:szCs w:val="20"/>
              </w:rPr>
            </w:pPr>
          </w:p>
        </w:tc>
      </w:tr>
      <w:tr w:rsidR="00F4284C" w:rsidRPr="00154588" w14:paraId="111D61D6" w14:textId="77777777" w:rsidTr="00D15C1B">
        <w:trPr>
          <w:jc w:val="center"/>
        </w:trPr>
        <w:tc>
          <w:tcPr>
            <w:tcW w:w="4957" w:type="dxa"/>
            <w:gridSpan w:val="2"/>
          </w:tcPr>
          <w:p w14:paraId="44B965F9" w14:textId="6E696E0B" w:rsidR="00F4284C" w:rsidRPr="00154588" w:rsidRDefault="00F4284C" w:rsidP="008C12B4">
            <w:pPr>
              <w:jc w:val="both"/>
              <w:rPr>
                <w:sz w:val="20"/>
                <w:szCs w:val="20"/>
              </w:rPr>
            </w:pPr>
            <w:r w:rsidRPr="00154588">
              <w:rPr>
                <w:sz w:val="20"/>
                <w:szCs w:val="20"/>
              </w:rPr>
              <w:t>(6)   Dispozițiile prezentului articol sunt considerate norme de aplicare imediată în sensul articolului 9 din Regulamentul (CE) nr. 593/2008 al Parlamentului European și al Consiliului ( 14 ).</w:t>
            </w:r>
          </w:p>
        </w:tc>
        <w:tc>
          <w:tcPr>
            <w:tcW w:w="4819" w:type="dxa"/>
          </w:tcPr>
          <w:p w14:paraId="134DCE42" w14:textId="77777777" w:rsidR="00F4284C" w:rsidRPr="00154588" w:rsidRDefault="00F4284C" w:rsidP="008C12B4">
            <w:pPr>
              <w:ind w:firstLine="567"/>
              <w:jc w:val="both"/>
              <w:rPr>
                <w:sz w:val="20"/>
                <w:szCs w:val="20"/>
              </w:rPr>
            </w:pPr>
            <w:bookmarkStart w:id="145" w:name="_Hlk223428756"/>
            <w:r w:rsidRPr="00154588">
              <w:rPr>
                <w:b/>
                <w:sz w:val="20"/>
                <w:szCs w:val="20"/>
              </w:rPr>
              <w:t>Articolul 245</w:t>
            </w:r>
            <w:r w:rsidRPr="00154588">
              <w:rPr>
                <w:b/>
                <w:sz w:val="20"/>
                <w:szCs w:val="20"/>
                <w:vertAlign w:val="superscript"/>
              </w:rPr>
              <w:t>1</w:t>
            </w:r>
            <w:r w:rsidRPr="00154588">
              <w:rPr>
                <w:b/>
                <w:sz w:val="20"/>
                <w:szCs w:val="20"/>
              </w:rPr>
              <w:t xml:space="preserve">. </w:t>
            </w:r>
            <w:r w:rsidRPr="00154588">
              <w:rPr>
                <w:sz w:val="20"/>
                <w:szCs w:val="20"/>
              </w:rPr>
              <w:t>Dispozițiile art.241-245 sunt considerate norme de aplicare imediată în sensul art.9 din Regulamentul (CE) nr.593/2008 al Parlamentului European și al Consiliului.</w:t>
            </w:r>
          </w:p>
          <w:bookmarkEnd w:id="145"/>
          <w:p w14:paraId="1D757261" w14:textId="77777777" w:rsidR="00F4284C" w:rsidRPr="00154588" w:rsidRDefault="00F4284C" w:rsidP="008C12B4">
            <w:pPr>
              <w:jc w:val="both"/>
              <w:rPr>
                <w:sz w:val="20"/>
                <w:szCs w:val="20"/>
              </w:rPr>
            </w:pPr>
          </w:p>
        </w:tc>
        <w:tc>
          <w:tcPr>
            <w:tcW w:w="2552" w:type="dxa"/>
          </w:tcPr>
          <w:p w14:paraId="6757BDFB" w14:textId="2CB742E7" w:rsidR="00F4284C" w:rsidRPr="00154588" w:rsidRDefault="00F4284C" w:rsidP="008C12B4">
            <w:pPr>
              <w:jc w:val="both"/>
              <w:rPr>
                <w:sz w:val="20"/>
                <w:szCs w:val="20"/>
              </w:rPr>
            </w:pPr>
            <w:r w:rsidRPr="00154588">
              <w:rPr>
                <w:sz w:val="20"/>
                <w:szCs w:val="20"/>
              </w:rPr>
              <w:t>Compatibil</w:t>
            </w:r>
          </w:p>
        </w:tc>
        <w:tc>
          <w:tcPr>
            <w:tcW w:w="3118" w:type="dxa"/>
          </w:tcPr>
          <w:p w14:paraId="2C203887" w14:textId="77777777" w:rsidR="00F4284C" w:rsidRPr="00154588" w:rsidRDefault="00F4284C" w:rsidP="008C12B4">
            <w:pPr>
              <w:jc w:val="both"/>
              <w:rPr>
                <w:sz w:val="20"/>
                <w:szCs w:val="20"/>
              </w:rPr>
            </w:pPr>
          </w:p>
        </w:tc>
      </w:tr>
      <w:tr w:rsidR="00F4284C" w:rsidRPr="00154588" w14:paraId="32573CE2" w14:textId="77777777" w:rsidTr="00D15C1B">
        <w:trPr>
          <w:jc w:val="center"/>
        </w:trPr>
        <w:tc>
          <w:tcPr>
            <w:tcW w:w="4957" w:type="dxa"/>
            <w:gridSpan w:val="2"/>
          </w:tcPr>
          <w:p w14:paraId="78C1E6FB" w14:textId="77777777" w:rsidR="00F4284C" w:rsidRPr="00154588" w:rsidRDefault="00F4284C" w:rsidP="008C12B4">
            <w:pPr>
              <w:jc w:val="both"/>
              <w:rPr>
                <w:b/>
                <w:sz w:val="20"/>
                <w:szCs w:val="20"/>
              </w:rPr>
            </w:pPr>
            <w:r w:rsidRPr="00154588">
              <w:rPr>
                <w:b/>
                <w:sz w:val="20"/>
                <w:szCs w:val="20"/>
              </w:rPr>
              <w:t>Articolul 69</w:t>
            </w:r>
          </w:p>
          <w:p w14:paraId="41C72385" w14:textId="77777777" w:rsidR="00F4284C" w:rsidRPr="00154588" w:rsidRDefault="00F4284C" w:rsidP="008C12B4">
            <w:pPr>
              <w:jc w:val="both"/>
              <w:rPr>
                <w:b/>
                <w:sz w:val="20"/>
                <w:szCs w:val="20"/>
              </w:rPr>
            </w:pPr>
          </w:p>
          <w:p w14:paraId="545CD04E" w14:textId="0FAA745E" w:rsidR="00F4284C" w:rsidRPr="00154588" w:rsidRDefault="00F4284C" w:rsidP="008C12B4">
            <w:pPr>
              <w:jc w:val="both"/>
              <w:rPr>
                <w:sz w:val="20"/>
                <w:szCs w:val="20"/>
              </w:rPr>
            </w:pPr>
            <w:r w:rsidRPr="00154588">
              <w:rPr>
                <w:b/>
                <w:sz w:val="20"/>
                <w:szCs w:val="20"/>
              </w:rPr>
              <w:t>Competența de a suspenda anumite obligații</w:t>
            </w:r>
          </w:p>
        </w:tc>
        <w:tc>
          <w:tcPr>
            <w:tcW w:w="4819" w:type="dxa"/>
          </w:tcPr>
          <w:p w14:paraId="0B86EF66" w14:textId="77777777" w:rsidR="00F4284C" w:rsidRPr="00154588" w:rsidRDefault="00F4284C" w:rsidP="008C12B4">
            <w:pPr>
              <w:jc w:val="both"/>
              <w:rPr>
                <w:sz w:val="20"/>
                <w:szCs w:val="20"/>
              </w:rPr>
            </w:pPr>
          </w:p>
        </w:tc>
        <w:tc>
          <w:tcPr>
            <w:tcW w:w="2552" w:type="dxa"/>
          </w:tcPr>
          <w:p w14:paraId="1B1503AE" w14:textId="77777777" w:rsidR="00F4284C" w:rsidRPr="00154588" w:rsidRDefault="00F4284C" w:rsidP="008C12B4">
            <w:pPr>
              <w:jc w:val="both"/>
              <w:rPr>
                <w:sz w:val="20"/>
                <w:szCs w:val="20"/>
              </w:rPr>
            </w:pPr>
          </w:p>
        </w:tc>
        <w:tc>
          <w:tcPr>
            <w:tcW w:w="3118" w:type="dxa"/>
          </w:tcPr>
          <w:p w14:paraId="103AED93" w14:textId="77777777" w:rsidR="00F4284C" w:rsidRPr="00154588" w:rsidRDefault="00F4284C" w:rsidP="008C12B4">
            <w:pPr>
              <w:jc w:val="both"/>
              <w:rPr>
                <w:sz w:val="20"/>
                <w:szCs w:val="20"/>
              </w:rPr>
            </w:pPr>
          </w:p>
        </w:tc>
      </w:tr>
      <w:tr w:rsidR="00F4284C" w:rsidRPr="00154588" w14:paraId="23F66DC2" w14:textId="77777777" w:rsidTr="00D15C1B">
        <w:trPr>
          <w:jc w:val="center"/>
        </w:trPr>
        <w:tc>
          <w:tcPr>
            <w:tcW w:w="4957" w:type="dxa"/>
            <w:gridSpan w:val="2"/>
          </w:tcPr>
          <w:p w14:paraId="3DCEB76C" w14:textId="18614F15" w:rsidR="00F4284C" w:rsidRPr="00154588" w:rsidRDefault="00F4284C" w:rsidP="008C12B4">
            <w:pPr>
              <w:jc w:val="both"/>
              <w:rPr>
                <w:sz w:val="20"/>
                <w:szCs w:val="20"/>
              </w:rPr>
            </w:pPr>
            <w:r w:rsidRPr="00154588">
              <w:rPr>
                <w:sz w:val="20"/>
                <w:szCs w:val="20"/>
              </w:rPr>
              <w:t>(1)   Statele membre se asigură că autoritățile de rezoluție au competența de a suspenda orice obligație de plată sau de livrare decurgând dintr-un contract la care o instituție aflată în rezoluție este parte, începând de la data publicării avizului de suspendare în conformitate cu articolul 83 alineatul (4) până la ora 24.00 a zilei lucrătoare următoare celei de publicare în statul membru în care este stabilită autoritatea de rezoluție a instituției aflate în rezoluție.</w:t>
            </w:r>
          </w:p>
        </w:tc>
        <w:tc>
          <w:tcPr>
            <w:tcW w:w="4819" w:type="dxa"/>
          </w:tcPr>
          <w:p w14:paraId="790CC49B" w14:textId="77777777" w:rsidR="00F4284C" w:rsidRPr="00154588" w:rsidRDefault="00F4284C" w:rsidP="008C12B4">
            <w:pPr>
              <w:ind w:firstLine="567"/>
              <w:jc w:val="both"/>
              <w:rPr>
                <w:sz w:val="20"/>
                <w:szCs w:val="20"/>
              </w:rPr>
            </w:pPr>
            <w:r w:rsidRPr="00154588">
              <w:rPr>
                <w:b/>
                <w:sz w:val="20"/>
                <w:szCs w:val="20"/>
              </w:rPr>
              <w:t>Articolul 246.</w:t>
            </w:r>
            <w:r w:rsidRPr="00154588">
              <w:rPr>
                <w:sz w:val="20"/>
                <w:szCs w:val="20"/>
              </w:rPr>
              <w:t xml:space="preserve"> – (1) Banca Naţională a Moldovei, în calitate de autoritate de rezoluţie, are competenţa de a impune suspendarea oricărei obligaţii de plată sau de livrare care rezultă din orice contract la care instituția supusă rezoluţiei este parte, inclusiv a celor decurgînd din creanţe accesorii ori sancţiuni aferente acestor contracte, începînd de la data publicării notificării de suspendare, în conformitate cu prevederile art.286, pe un termen de pînă la 2 luni. Acest termen poate fi prelungit în total pînă la 6 luni, în cazuri justificate, prin decizie a Băncii Naţionale a Moldovei.</w:t>
            </w:r>
          </w:p>
          <w:p w14:paraId="6DD6E70D" w14:textId="77777777" w:rsidR="00F4284C" w:rsidRPr="00154588" w:rsidRDefault="00F4284C" w:rsidP="008C12B4">
            <w:pPr>
              <w:ind w:firstLine="567"/>
              <w:jc w:val="both"/>
              <w:rPr>
                <w:sz w:val="20"/>
                <w:szCs w:val="20"/>
              </w:rPr>
            </w:pPr>
          </w:p>
        </w:tc>
        <w:tc>
          <w:tcPr>
            <w:tcW w:w="2552" w:type="dxa"/>
          </w:tcPr>
          <w:p w14:paraId="64949881" w14:textId="0D8E6014" w:rsidR="00F4284C" w:rsidRPr="00154588" w:rsidRDefault="00F4284C" w:rsidP="008C12B4">
            <w:pPr>
              <w:jc w:val="both"/>
              <w:rPr>
                <w:sz w:val="20"/>
                <w:szCs w:val="20"/>
              </w:rPr>
            </w:pPr>
            <w:r w:rsidRPr="00154588">
              <w:rPr>
                <w:sz w:val="20"/>
                <w:szCs w:val="20"/>
              </w:rPr>
              <w:t>Compatibil</w:t>
            </w:r>
          </w:p>
        </w:tc>
        <w:tc>
          <w:tcPr>
            <w:tcW w:w="3118" w:type="dxa"/>
          </w:tcPr>
          <w:p w14:paraId="33AB74B7" w14:textId="77777777" w:rsidR="00F4284C" w:rsidRPr="00154588" w:rsidRDefault="00F4284C" w:rsidP="008C12B4">
            <w:pPr>
              <w:jc w:val="both"/>
              <w:rPr>
                <w:sz w:val="20"/>
                <w:szCs w:val="20"/>
              </w:rPr>
            </w:pPr>
          </w:p>
        </w:tc>
      </w:tr>
      <w:tr w:rsidR="00F4284C" w:rsidRPr="00154588" w14:paraId="56B27A13" w14:textId="77777777" w:rsidTr="00D15C1B">
        <w:trPr>
          <w:jc w:val="center"/>
        </w:trPr>
        <w:tc>
          <w:tcPr>
            <w:tcW w:w="4957" w:type="dxa"/>
            <w:gridSpan w:val="2"/>
          </w:tcPr>
          <w:p w14:paraId="09D50A8F" w14:textId="3E3ECA8F" w:rsidR="00F4284C" w:rsidRPr="00154588" w:rsidRDefault="00F4284C" w:rsidP="008C12B4">
            <w:pPr>
              <w:jc w:val="both"/>
              <w:rPr>
                <w:sz w:val="20"/>
                <w:szCs w:val="20"/>
              </w:rPr>
            </w:pPr>
            <w:r w:rsidRPr="00154588">
              <w:rPr>
                <w:sz w:val="20"/>
                <w:szCs w:val="20"/>
              </w:rPr>
              <w:t>(2)   Atunci când o obligație de plată sau de livrare ar fi devenit scadentă pe perioada suspendării, această obligație devine exigibilă imediat după expirarea perioadei de suspendare.</w:t>
            </w:r>
          </w:p>
        </w:tc>
        <w:tc>
          <w:tcPr>
            <w:tcW w:w="4819" w:type="dxa"/>
          </w:tcPr>
          <w:p w14:paraId="3A65C87D" w14:textId="5DB2613D" w:rsidR="00F4284C" w:rsidRPr="00154588" w:rsidRDefault="00F4284C" w:rsidP="008C12B4">
            <w:pPr>
              <w:ind w:firstLine="567"/>
              <w:jc w:val="both"/>
              <w:rPr>
                <w:sz w:val="20"/>
                <w:szCs w:val="20"/>
              </w:rPr>
            </w:pPr>
            <w:r w:rsidRPr="00154588">
              <w:rPr>
                <w:b/>
                <w:sz w:val="20"/>
                <w:szCs w:val="20"/>
              </w:rPr>
              <w:t>Articolul 246.</w:t>
            </w:r>
            <w:r w:rsidRPr="00154588">
              <w:rPr>
                <w:sz w:val="20"/>
                <w:szCs w:val="20"/>
              </w:rPr>
              <w:t xml:space="preserve"> – (2) În cazul în care o obligaţie de plată sau de livrare devine scadentă pe perioada suspendării, respectiva obligaţie devine exigibilă imediat după expirarea perioadei de suspendare.</w:t>
            </w:r>
          </w:p>
          <w:p w14:paraId="7DC541A1" w14:textId="77777777" w:rsidR="00F4284C" w:rsidRPr="00154588" w:rsidRDefault="00F4284C" w:rsidP="008C12B4">
            <w:pPr>
              <w:jc w:val="both"/>
              <w:rPr>
                <w:sz w:val="20"/>
                <w:szCs w:val="20"/>
              </w:rPr>
            </w:pPr>
          </w:p>
        </w:tc>
        <w:tc>
          <w:tcPr>
            <w:tcW w:w="2552" w:type="dxa"/>
          </w:tcPr>
          <w:p w14:paraId="58FF0F88" w14:textId="2A088FAC" w:rsidR="00F4284C" w:rsidRPr="00154588" w:rsidRDefault="00F4284C" w:rsidP="008C12B4">
            <w:pPr>
              <w:jc w:val="both"/>
              <w:rPr>
                <w:sz w:val="20"/>
                <w:szCs w:val="20"/>
              </w:rPr>
            </w:pPr>
            <w:r w:rsidRPr="00154588">
              <w:rPr>
                <w:sz w:val="20"/>
                <w:szCs w:val="20"/>
              </w:rPr>
              <w:t>Compatibil</w:t>
            </w:r>
          </w:p>
        </w:tc>
        <w:tc>
          <w:tcPr>
            <w:tcW w:w="3118" w:type="dxa"/>
          </w:tcPr>
          <w:p w14:paraId="4C03B5F6" w14:textId="77777777" w:rsidR="00F4284C" w:rsidRPr="00154588" w:rsidRDefault="00F4284C" w:rsidP="008C12B4">
            <w:pPr>
              <w:jc w:val="both"/>
              <w:rPr>
                <w:sz w:val="20"/>
                <w:szCs w:val="20"/>
              </w:rPr>
            </w:pPr>
          </w:p>
        </w:tc>
      </w:tr>
      <w:tr w:rsidR="00F4284C" w:rsidRPr="00154588" w14:paraId="2E673823" w14:textId="77777777" w:rsidTr="00D15C1B">
        <w:trPr>
          <w:jc w:val="center"/>
        </w:trPr>
        <w:tc>
          <w:tcPr>
            <w:tcW w:w="4957" w:type="dxa"/>
            <w:gridSpan w:val="2"/>
          </w:tcPr>
          <w:p w14:paraId="4C9C5F4F" w14:textId="5F2718DC" w:rsidR="00F4284C" w:rsidRPr="00154588" w:rsidRDefault="00F4284C" w:rsidP="008C12B4">
            <w:pPr>
              <w:jc w:val="both"/>
              <w:rPr>
                <w:sz w:val="20"/>
                <w:szCs w:val="20"/>
              </w:rPr>
            </w:pPr>
            <w:r w:rsidRPr="00154588">
              <w:rPr>
                <w:sz w:val="20"/>
                <w:szCs w:val="20"/>
              </w:rPr>
              <w:t>(3)   Dacă obligațiile contractuale de plată sau de livrare ale unei instituții aflate în rezoluție sunt suspendate în temeiul alineatului (1), obligațiile de plată sau de livrare ale contrapartidelor instituției respective în temeiul aceluiași contract se suspendă în același interval de timp.</w:t>
            </w:r>
          </w:p>
        </w:tc>
        <w:tc>
          <w:tcPr>
            <w:tcW w:w="4819" w:type="dxa"/>
          </w:tcPr>
          <w:p w14:paraId="46970070" w14:textId="77777777" w:rsidR="00F4284C" w:rsidRPr="00154588" w:rsidRDefault="00F4284C" w:rsidP="008C12B4">
            <w:pPr>
              <w:ind w:firstLine="567"/>
              <w:jc w:val="both"/>
              <w:rPr>
                <w:sz w:val="20"/>
                <w:szCs w:val="20"/>
              </w:rPr>
            </w:pPr>
            <w:r w:rsidRPr="00154588">
              <w:rPr>
                <w:b/>
                <w:sz w:val="20"/>
                <w:szCs w:val="20"/>
              </w:rPr>
              <w:t>Articolul 247.</w:t>
            </w:r>
            <w:r w:rsidRPr="00154588">
              <w:rPr>
                <w:sz w:val="20"/>
                <w:szCs w:val="20"/>
              </w:rPr>
              <w:t xml:space="preserve"> – În situaţia în care obligaţiile de plată sau de livrare ale instituției supuse rezoluţiei sînt suspendate potrivit prevederilor art.246 alin.(1), obligaţiile de plată sau de livrare ale contrapărţilor instituției respective, în conformitate cu acelaşi contract, se suspendă în acelaşi interval de timp.</w:t>
            </w:r>
          </w:p>
          <w:p w14:paraId="17AD009A" w14:textId="77777777" w:rsidR="00F4284C" w:rsidRPr="00154588" w:rsidRDefault="00F4284C" w:rsidP="008C12B4">
            <w:pPr>
              <w:jc w:val="both"/>
              <w:rPr>
                <w:sz w:val="20"/>
                <w:szCs w:val="20"/>
              </w:rPr>
            </w:pPr>
          </w:p>
        </w:tc>
        <w:tc>
          <w:tcPr>
            <w:tcW w:w="2552" w:type="dxa"/>
          </w:tcPr>
          <w:p w14:paraId="15841708" w14:textId="257C7A00" w:rsidR="00F4284C" w:rsidRPr="00154588" w:rsidRDefault="00F4284C" w:rsidP="008C12B4">
            <w:pPr>
              <w:jc w:val="both"/>
              <w:rPr>
                <w:sz w:val="20"/>
                <w:szCs w:val="20"/>
              </w:rPr>
            </w:pPr>
            <w:r w:rsidRPr="00154588">
              <w:rPr>
                <w:sz w:val="20"/>
                <w:szCs w:val="20"/>
              </w:rPr>
              <w:t>Compatibil</w:t>
            </w:r>
          </w:p>
        </w:tc>
        <w:tc>
          <w:tcPr>
            <w:tcW w:w="3118" w:type="dxa"/>
          </w:tcPr>
          <w:p w14:paraId="07744A14" w14:textId="77777777" w:rsidR="00F4284C" w:rsidRPr="00154588" w:rsidRDefault="00F4284C" w:rsidP="008C12B4">
            <w:pPr>
              <w:jc w:val="both"/>
              <w:rPr>
                <w:sz w:val="20"/>
                <w:szCs w:val="20"/>
              </w:rPr>
            </w:pPr>
          </w:p>
        </w:tc>
      </w:tr>
      <w:tr w:rsidR="00F4284C" w:rsidRPr="00154588" w14:paraId="182347FF" w14:textId="77777777" w:rsidTr="00D15C1B">
        <w:trPr>
          <w:jc w:val="center"/>
        </w:trPr>
        <w:tc>
          <w:tcPr>
            <w:tcW w:w="4957" w:type="dxa"/>
            <w:gridSpan w:val="2"/>
          </w:tcPr>
          <w:p w14:paraId="00D166A5" w14:textId="77777777" w:rsidR="00F4284C" w:rsidRPr="00154588" w:rsidRDefault="00F4284C" w:rsidP="008C12B4">
            <w:pPr>
              <w:jc w:val="both"/>
              <w:rPr>
                <w:sz w:val="20"/>
                <w:szCs w:val="20"/>
              </w:rPr>
            </w:pPr>
            <w:r w:rsidRPr="00154588">
              <w:rPr>
                <w:sz w:val="20"/>
                <w:szCs w:val="20"/>
              </w:rPr>
              <w:t>(4)   Nicio suspendare în temeiul alineatului (1) nu se aplică obligațiilor de plată și de livrare datorate:</w:t>
            </w:r>
          </w:p>
          <w:p w14:paraId="1B74B4A4" w14:textId="77777777" w:rsidR="00F4284C" w:rsidRPr="00154588" w:rsidRDefault="00F4284C" w:rsidP="008C12B4">
            <w:pPr>
              <w:jc w:val="both"/>
              <w:rPr>
                <w:sz w:val="20"/>
                <w:szCs w:val="20"/>
              </w:rPr>
            </w:pPr>
          </w:p>
          <w:p w14:paraId="0448C71E" w14:textId="77777777" w:rsidR="00F4284C" w:rsidRPr="00154588" w:rsidRDefault="00F4284C" w:rsidP="008C12B4">
            <w:pPr>
              <w:jc w:val="both"/>
              <w:rPr>
                <w:sz w:val="20"/>
                <w:szCs w:val="20"/>
              </w:rPr>
            </w:pPr>
          </w:p>
          <w:p w14:paraId="5CD6E6D4" w14:textId="4C63605D" w:rsidR="00F4284C" w:rsidRPr="00154588" w:rsidRDefault="00F4284C" w:rsidP="008C12B4">
            <w:pPr>
              <w:jc w:val="both"/>
              <w:rPr>
                <w:sz w:val="20"/>
                <w:szCs w:val="20"/>
              </w:rPr>
            </w:pPr>
            <w:r w:rsidRPr="00154588">
              <w:rPr>
                <w:sz w:val="20"/>
                <w:szCs w:val="20"/>
              </w:rPr>
              <w:t>(a) sistemelor și operatorilor de sisteme desemnați în conformitate cu Directiva 98/26/CE;</w:t>
            </w:r>
          </w:p>
          <w:p w14:paraId="3B622E34" w14:textId="77777777" w:rsidR="00F4284C" w:rsidRPr="00154588" w:rsidRDefault="00F4284C" w:rsidP="008C12B4">
            <w:pPr>
              <w:jc w:val="both"/>
              <w:rPr>
                <w:sz w:val="20"/>
                <w:szCs w:val="20"/>
              </w:rPr>
            </w:pPr>
          </w:p>
          <w:p w14:paraId="705FE5DA" w14:textId="7C7222A0" w:rsidR="00F4284C" w:rsidRPr="00154588" w:rsidRDefault="00F4284C" w:rsidP="008C12B4">
            <w:pPr>
              <w:jc w:val="both"/>
              <w:rPr>
                <w:sz w:val="20"/>
                <w:szCs w:val="20"/>
              </w:rPr>
            </w:pPr>
            <w:r w:rsidRPr="00154588">
              <w:rPr>
                <w:sz w:val="20"/>
                <w:szCs w:val="20"/>
              </w:rPr>
              <w:t xml:space="preserve">(b) CPC-urilor autorizate în Uniune în temeiul articolului 14 din Regulamentul (UE) nr. 648/2012 și </w:t>
            </w:r>
            <w:r w:rsidRPr="00154588">
              <w:rPr>
                <w:sz w:val="20"/>
                <w:szCs w:val="20"/>
              </w:rPr>
              <w:lastRenderedPageBreak/>
              <w:t>CPC-urilor din țări terțe recunoscute de ESMA în temeiul articolului 25 din regulamentul respectiv;</w:t>
            </w:r>
          </w:p>
          <w:p w14:paraId="2A01D787" w14:textId="77777777" w:rsidR="00F4284C" w:rsidRPr="00154588" w:rsidRDefault="00F4284C" w:rsidP="008C12B4">
            <w:pPr>
              <w:jc w:val="both"/>
              <w:rPr>
                <w:sz w:val="20"/>
                <w:szCs w:val="20"/>
              </w:rPr>
            </w:pPr>
          </w:p>
          <w:p w14:paraId="68D676BE" w14:textId="393D36F5" w:rsidR="00F4284C" w:rsidRPr="00154588" w:rsidRDefault="00F4284C" w:rsidP="008C12B4">
            <w:pPr>
              <w:jc w:val="both"/>
              <w:rPr>
                <w:sz w:val="20"/>
                <w:szCs w:val="20"/>
              </w:rPr>
            </w:pPr>
            <w:r w:rsidRPr="00154588">
              <w:rPr>
                <w:sz w:val="20"/>
                <w:szCs w:val="20"/>
              </w:rPr>
              <w:t>(c) băncilor centrale.</w:t>
            </w:r>
          </w:p>
        </w:tc>
        <w:tc>
          <w:tcPr>
            <w:tcW w:w="4819" w:type="dxa"/>
          </w:tcPr>
          <w:p w14:paraId="7A65A33E" w14:textId="77777777" w:rsidR="00F4284C" w:rsidRPr="00154588" w:rsidRDefault="00F4284C" w:rsidP="008C12B4">
            <w:pPr>
              <w:ind w:firstLine="567"/>
              <w:jc w:val="both"/>
              <w:rPr>
                <w:sz w:val="20"/>
                <w:szCs w:val="20"/>
              </w:rPr>
            </w:pPr>
            <w:r w:rsidRPr="00154588">
              <w:rPr>
                <w:b/>
                <w:sz w:val="20"/>
                <w:szCs w:val="20"/>
              </w:rPr>
              <w:lastRenderedPageBreak/>
              <w:t>Articolul 248.</w:t>
            </w:r>
            <w:r w:rsidRPr="00154588">
              <w:rPr>
                <w:sz w:val="20"/>
                <w:szCs w:val="20"/>
              </w:rPr>
              <w:t xml:space="preserve"> – Nicio decizie de suspendare luată potrivit prevederilor art.246 alin.(1) nu se aplică:</w:t>
            </w:r>
          </w:p>
          <w:p w14:paraId="283483AD" w14:textId="77777777" w:rsidR="00F4284C" w:rsidRPr="00154588" w:rsidRDefault="00F4284C" w:rsidP="008C12B4">
            <w:pPr>
              <w:ind w:firstLine="567"/>
              <w:jc w:val="both"/>
              <w:rPr>
                <w:sz w:val="20"/>
                <w:szCs w:val="20"/>
              </w:rPr>
            </w:pPr>
            <w:r w:rsidRPr="00154588" w:rsidDel="004429E9">
              <w:rPr>
                <w:sz w:val="20"/>
                <w:szCs w:val="20"/>
              </w:rPr>
              <w:t>b</w:t>
            </w:r>
            <w:r w:rsidRPr="00154588">
              <w:rPr>
                <w:sz w:val="20"/>
                <w:szCs w:val="20"/>
              </w:rPr>
              <w:t>) obligaţiilor de plată şi de livrare datorate sistemelor sau operatorilor de sisteme, conform definiţiei din Legea nr.183</w:t>
            </w:r>
            <w:r w:rsidRPr="00154588">
              <w:rPr>
                <w:sz w:val="20"/>
                <w:szCs w:val="20"/>
                <w:lang w:eastAsia="ro-MD"/>
              </w:rPr>
              <w:t>/</w:t>
            </w:r>
            <w:r w:rsidRPr="00154588">
              <w:rPr>
                <w:sz w:val="20"/>
                <w:szCs w:val="20"/>
              </w:rPr>
              <w:t>2016 cu privire la caracterul definitiv al decontării în sistemele de plăţi şi de decontare a instrumentelor financiare, contrapărţilor centrale şi băncilor centrale;</w:t>
            </w:r>
          </w:p>
          <w:p w14:paraId="01AC4AF5" w14:textId="77777777" w:rsidR="00F4284C" w:rsidRPr="00154588" w:rsidRDefault="00F4284C" w:rsidP="008C12B4">
            <w:pPr>
              <w:ind w:firstLine="567"/>
              <w:jc w:val="both"/>
              <w:rPr>
                <w:sz w:val="20"/>
                <w:szCs w:val="20"/>
              </w:rPr>
            </w:pPr>
            <w:bookmarkStart w:id="146" w:name="_Hlk223429671"/>
            <w:r w:rsidRPr="00154588">
              <w:rPr>
                <w:sz w:val="20"/>
                <w:szCs w:val="20"/>
              </w:rPr>
              <w:lastRenderedPageBreak/>
              <w:t>d) contrapărților centrale (CPC) autorizate în Uniune Europeană, în conformitate cu prevederile art.14 din Regulamentul (UE) nr.648/2012, și contrapărților centrale (CPC) stabilite în state terțe și recunoscute de Autoritatea Europeană pentru valori mobiliare și piețe (AEVMP), în conformitate cu prevederile art.25 din regulamentul respectiv;</w:t>
            </w:r>
          </w:p>
          <w:p w14:paraId="49C45AF1" w14:textId="77777777" w:rsidR="00F4284C" w:rsidRPr="00154588" w:rsidRDefault="00F4284C" w:rsidP="008C12B4">
            <w:pPr>
              <w:ind w:firstLine="567"/>
              <w:jc w:val="both"/>
              <w:rPr>
                <w:sz w:val="20"/>
                <w:szCs w:val="20"/>
              </w:rPr>
            </w:pPr>
            <w:r w:rsidRPr="00154588">
              <w:rPr>
                <w:sz w:val="20"/>
                <w:szCs w:val="20"/>
              </w:rPr>
              <w:t>e) băncilor centrale.</w:t>
            </w:r>
          </w:p>
          <w:bookmarkEnd w:id="146"/>
          <w:p w14:paraId="4DEE1CA7" w14:textId="77777777" w:rsidR="00F4284C" w:rsidRPr="00154588" w:rsidRDefault="00F4284C" w:rsidP="008C12B4">
            <w:pPr>
              <w:jc w:val="both"/>
              <w:rPr>
                <w:sz w:val="20"/>
                <w:szCs w:val="20"/>
              </w:rPr>
            </w:pPr>
          </w:p>
        </w:tc>
        <w:tc>
          <w:tcPr>
            <w:tcW w:w="2552" w:type="dxa"/>
          </w:tcPr>
          <w:p w14:paraId="73D15F45" w14:textId="3361148A" w:rsidR="00F4284C" w:rsidRPr="00154588" w:rsidRDefault="00F4284C" w:rsidP="008C12B4">
            <w:pPr>
              <w:jc w:val="both"/>
              <w:rPr>
                <w:sz w:val="20"/>
                <w:szCs w:val="20"/>
              </w:rPr>
            </w:pPr>
            <w:r w:rsidRPr="00154588">
              <w:rPr>
                <w:sz w:val="20"/>
                <w:szCs w:val="20"/>
              </w:rPr>
              <w:lastRenderedPageBreak/>
              <w:t>Compatibil</w:t>
            </w:r>
          </w:p>
        </w:tc>
        <w:tc>
          <w:tcPr>
            <w:tcW w:w="3118" w:type="dxa"/>
          </w:tcPr>
          <w:p w14:paraId="4240C9DC" w14:textId="77777777" w:rsidR="00F4284C" w:rsidRPr="00154588" w:rsidRDefault="00F4284C" w:rsidP="008C12B4">
            <w:pPr>
              <w:jc w:val="both"/>
              <w:rPr>
                <w:sz w:val="20"/>
                <w:szCs w:val="20"/>
              </w:rPr>
            </w:pPr>
          </w:p>
        </w:tc>
      </w:tr>
      <w:tr w:rsidR="00F4284C" w:rsidRPr="00154588" w14:paraId="5E69C33A" w14:textId="77777777" w:rsidTr="00D15C1B">
        <w:trPr>
          <w:jc w:val="center"/>
        </w:trPr>
        <w:tc>
          <w:tcPr>
            <w:tcW w:w="4957" w:type="dxa"/>
            <w:gridSpan w:val="2"/>
          </w:tcPr>
          <w:p w14:paraId="0F06F7F0" w14:textId="77777777" w:rsidR="00F4284C" w:rsidRPr="00154588" w:rsidRDefault="00F4284C" w:rsidP="008C12B4">
            <w:pPr>
              <w:jc w:val="both"/>
              <w:rPr>
                <w:sz w:val="20"/>
                <w:szCs w:val="20"/>
              </w:rPr>
            </w:pPr>
            <w:r w:rsidRPr="00154588">
              <w:rPr>
                <w:sz w:val="20"/>
                <w:szCs w:val="20"/>
              </w:rPr>
              <w:t>(5)   Atunci când își exercită o competență în temeiul prezentului articol, autoritățile de rezoluție țin seama de impactul pe care l-ar putea avea exercitarea respectivei competențe asupra bunei funcționări a piețelor financiare.</w:t>
            </w:r>
          </w:p>
          <w:p w14:paraId="72585498" w14:textId="77777777" w:rsidR="00F4284C" w:rsidRPr="00154588" w:rsidRDefault="00F4284C" w:rsidP="008C12B4">
            <w:pPr>
              <w:jc w:val="both"/>
              <w:rPr>
                <w:sz w:val="20"/>
                <w:szCs w:val="20"/>
              </w:rPr>
            </w:pPr>
          </w:p>
          <w:p w14:paraId="5D11AC36" w14:textId="77777777" w:rsidR="00F4284C" w:rsidRPr="00154588" w:rsidRDefault="00F4284C" w:rsidP="008C12B4">
            <w:pPr>
              <w:jc w:val="both"/>
              <w:rPr>
                <w:sz w:val="20"/>
                <w:szCs w:val="20"/>
              </w:rPr>
            </w:pPr>
            <w:r w:rsidRPr="00154588">
              <w:rPr>
                <w:sz w:val="20"/>
                <w:szCs w:val="20"/>
              </w:rPr>
              <w:t>Autoritățile de rezoluție stabilesc domeniul de aplicare al acestei competențe în funcție de circumstanțele fiecărui caz în parte. În special, autoritățile de rezoluție evaluează cu atenție dacă este adecvată aplicarea suspendării și în cazul depozitelor eligibile, astfel cum sunt definite la articolul 2 alineatul (1) punctul 4 din Directiva 2014/49/UE, în special în cazul depozitelor acoperite deținute de persoane fizice, de microîntreprinderi și de întreprinderi mici și mijlocii.</w:t>
            </w:r>
          </w:p>
          <w:p w14:paraId="0A086B23" w14:textId="77777777" w:rsidR="00F4284C" w:rsidRPr="00154588" w:rsidRDefault="00F4284C" w:rsidP="008C12B4">
            <w:pPr>
              <w:jc w:val="both"/>
              <w:rPr>
                <w:sz w:val="20"/>
                <w:szCs w:val="20"/>
              </w:rPr>
            </w:pPr>
          </w:p>
          <w:p w14:paraId="69BD95AE" w14:textId="0002D730" w:rsidR="00F4284C" w:rsidRPr="00154588" w:rsidRDefault="00F4284C" w:rsidP="008C12B4">
            <w:pPr>
              <w:jc w:val="both"/>
              <w:rPr>
                <w:sz w:val="20"/>
                <w:szCs w:val="20"/>
              </w:rPr>
            </w:pPr>
            <w:r w:rsidRPr="00154588">
              <w:rPr>
                <w:sz w:val="20"/>
                <w:szCs w:val="20"/>
              </w:rPr>
              <w:t>Statele membre pot să prevadă că, în cazul în care competența de a suspenda obligațiile de plată sau de livrare este exercitată în ceea ce privește depozitele eligibile, autoritățile de rezoluție se asigură că deponenții au acces la un cuantum zilnic adecvat din depozitele respective.</w:t>
            </w:r>
          </w:p>
        </w:tc>
        <w:tc>
          <w:tcPr>
            <w:tcW w:w="4819" w:type="dxa"/>
          </w:tcPr>
          <w:p w14:paraId="37ACA758" w14:textId="77777777" w:rsidR="00F4284C" w:rsidRPr="00154588" w:rsidRDefault="00F4284C" w:rsidP="008C12B4">
            <w:pPr>
              <w:ind w:firstLine="567"/>
              <w:jc w:val="both"/>
              <w:rPr>
                <w:sz w:val="20"/>
                <w:szCs w:val="20"/>
              </w:rPr>
            </w:pPr>
            <w:r w:rsidRPr="00154588">
              <w:rPr>
                <w:b/>
                <w:sz w:val="20"/>
                <w:szCs w:val="20"/>
              </w:rPr>
              <w:t>Articolul 249.</w:t>
            </w:r>
            <w:r w:rsidRPr="00154588">
              <w:rPr>
                <w:sz w:val="20"/>
                <w:szCs w:val="20"/>
              </w:rPr>
              <w:t xml:space="preserve"> – (1) În aplicarea prevederilor art.246-248, Banca Naţională a Moldovei, în calitate de autoritate de rezoluţie, trebuie să aibă în vedere impactul exercitării respectivei competenţe asupra bunei funcţionări a pieţelor financiare.</w:t>
            </w:r>
          </w:p>
          <w:p w14:paraId="759CA346" w14:textId="77777777" w:rsidR="00F4284C" w:rsidRPr="00154588" w:rsidRDefault="00F4284C" w:rsidP="008C12B4">
            <w:pPr>
              <w:ind w:firstLine="567"/>
              <w:jc w:val="both"/>
              <w:rPr>
                <w:sz w:val="20"/>
                <w:szCs w:val="20"/>
              </w:rPr>
            </w:pPr>
            <w:bookmarkStart w:id="147" w:name="_Hlk223429817"/>
            <w:r w:rsidRPr="00154588">
              <w:rPr>
                <w:sz w:val="20"/>
                <w:szCs w:val="20"/>
              </w:rPr>
              <w:t>(2) Banca Națională a Moldovei, în calitate de autoritate de rezoluție, stabilește domeniul de aplicare a competenței prevăzute la art. 246-249 în funcție de circumstanțele fiecărui caz în parte.</w:t>
            </w:r>
          </w:p>
          <w:p w14:paraId="15309923" w14:textId="77777777" w:rsidR="00F4284C" w:rsidRPr="00154588" w:rsidRDefault="00F4284C" w:rsidP="008C12B4">
            <w:pPr>
              <w:ind w:firstLine="567"/>
              <w:jc w:val="both"/>
              <w:rPr>
                <w:sz w:val="20"/>
                <w:szCs w:val="20"/>
              </w:rPr>
            </w:pPr>
            <w:r w:rsidRPr="00154588">
              <w:rPr>
                <w:sz w:val="20"/>
                <w:szCs w:val="20"/>
              </w:rPr>
              <w:t>(3) În sensul alin. (2), Banca Națională a Moldovei, în calitate de autoritate de rezoluție, evaluează cu atenție dacă este adecvată cuprinderea în sfera de aplicare a competenței de suspendare și a depozitelor eligibile, așa cum sunt definite la art.2 alin.(1) din Legea 160/2023 cu privire la garantarea depozitelor în bănci, în special a depozitelor acoperite deținute de persoane fizice, de microîntreprinderi și de întreprinderi mici și mijlocii.</w:t>
            </w:r>
          </w:p>
          <w:p w14:paraId="046F8BFD" w14:textId="77777777" w:rsidR="00F4284C" w:rsidRPr="00154588" w:rsidRDefault="00F4284C" w:rsidP="008C12B4">
            <w:pPr>
              <w:ind w:firstLine="567"/>
              <w:jc w:val="both"/>
              <w:rPr>
                <w:sz w:val="20"/>
                <w:szCs w:val="20"/>
              </w:rPr>
            </w:pPr>
            <w:r w:rsidRPr="00154588">
              <w:rPr>
                <w:sz w:val="20"/>
                <w:szCs w:val="20"/>
              </w:rPr>
              <w:t>(4) În cazul exercitării competenței de suspendare a obligațiilor de plată sau de livrare în ceea ce privește depozitele eligibile, Banca Națională a Moldovei, în calitate de autoritate de rezoluție, se asigură că deponenții au acces la un cuantum zilnic adecvat din depozitele respective.</w:t>
            </w:r>
          </w:p>
          <w:p w14:paraId="465A2C32" w14:textId="77777777" w:rsidR="00F4284C" w:rsidRPr="00154588" w:rsidRDefault="00F4284C" w:rsidP="008C12B4">
            <w:pPr>
              <w:ind w:firstLine="567"/>
              <w:jc w:val="both"/>
              <w:rPr>
                <w:sz w:val="20"/>
                <w:szCs w:val="20"/>
              </w:rPr>
            </w:pPr>
            <w:r w:rsidRPr="00154588">
              <w:rPr>
                <w:sz w:val="20"/>
                <w:szCs w:val="20"/>
              </w:rPr>
              <w:t>(5) Cuantumul zilnic adecvat prevăzut la alin. (4) se stabilește de către Banca Națională a Moldovei, în calitate de autoritate de rezoluție, de la caz la caz, în funcție de situația specifică a instituției supusă rezoluției și de condițiile economice și financiare existente la momentul stabilirii cuantumului respectiv.</w:t>
            </w:r>
          </w:p>
          <w:bookmarkEnd w:id="147"/>
          <w:p w14:paraId="6C07432C" w14:textId="77777777" w:rsidR="00F4284C" w:rsidRPr="00154588" w:rsidRDefault="00F4284C" w:rsidP="008C12B4">
            <w:pPr>
              <w:jc w:val="both"/>
              <w:rPr>
                <w:sz w:val="20"/>
                <w:szCs w:val="20"/>
              </w:rPr>
            </w:pPr>
          </w:p>
        </w:tc>
        <w:tc>
          <w:tcPr>
            <w:tcW w:w="2552" w:type="dxa"/>
          </w:tcPr>
          <w:p w14:paraId="7FDC706F" w14:textId="2E5DB100" w:rsidR="00F4284C" w:rsidRPr="00154588" w:rsidRDefault="00F4284C" w:rsidP="008C12B4">
            <w:pPr>
              <w:jc w:val="both"/>
              <w:rPr>
                <w:sz w:val="20"/>
                <w:szCs w:val="20"/>
              </w:rPr>
            </w:pPr>
            <w:r w:rsidRPr="00154588">
              <w:rPr>
                <w:sz w:val="20"/>
                <w:szCs w:val="20"/>
              </w:rPr>
              <w:t>Compatibil</w:t>
            </w:r>
          </w:p>
        </w:tc>
        <w:tc>
          <w:tcPr>
            <w:tcW w:w="3118" w:type="dxa"/>
          </w:tcPr>
          <w:p w14:paraId="46D23CF2" w14:textId="77777777" w:rsidR="00F4284C" w:rsidRPr="00154588" w:rsidRDefault="00F4284C" w:rsidP="008C12B4">
            <w:pPr>
              <w:jc w:val="both"/>
              <w:rPr>
                <w:sz w:val="20"/>
                <w:szCs w:val="20"/>
              </w:rPr>
            </w:pPr>
          </w:p>
        </w:tc>
      </w:tr>
      <w:tr w:rsidR="00F4284C" w:rsidRPr="00154588" w14:paraId="561699B4" w14:textId="77777777" w:rsidTr="00D15C1B">
        <w:trPr>
          <w:jc w:val="center"/>
        </w:trPr>
        <w:tc>
          <w:tcPr>
            <w:tcW w:w="4957" w:type="dxa"/>
            <w:gridSpan w:val="2"/>
          </w:tcPr>
          <w:p w14:paraId="5696160D" w14:textId="77777777" w:rsidR="00F4284C" w:rsidRPr="00154588" w:rsidRDefault="00F4284C" w:rsidP="008C12B4">
            <w:pPr>
              <w:jc w:val="both"/>
              <w:rPr>
                <w:b/>
                <w:sz w:val="20"/>
                <w:szCs w:val="20"/>
              </w:rPr>
            </w:pPr>
            <w:r w:rsidRPr="00154588">
              <w:rPr>
                <w:b/>
                <w:sz w:val="20"/>
                <w:szCs w:val="20"/>
              </w:rPr>
              <w:t>Articolul 70</w:t>
            </w:r>
          </w:p>
          <w:p w14:paraId="56D8E1DD" w14:textId="77777777" w:rsidR="00F4284C" w:rsidRPr="00154588" w:rsidRDefault="00F4284C" w:rsidP="008C12B4">
            <w:pPr>
              <w:jc w:val="both"/>
              <w:rPr>
                <w:b/>
                <w:sz w:val="20"/>
                <w:szCs w:val="20"/>
              </w:rPr>
            </w:pPr>
          </w:p>
          <w:p w14:paraId="41BFCB76" w14:textId="77777777" w:rsidR="00F4284C" w:rsidRPr="00154588" w:rsidRDefault="00F4284C" w:rsidP="008C12B4">
            <w:pPr>
              <w:jc w:val="both"/>
              <w:rPr>
                <w:b/>
                <w:sz w:val="20"/>
                <w:szCs w:val="20"/>
              </w:rPr>
            </w:pPr>
          </w:p>
          <w:p w14:paraId="2C1B2E76" w14:textId="77777777" w:rsidR="00F4284C" w:rsidRPr="00154588" w:rsidRDefault="00F4284C" w:rsidP="008C12B4">
            <w:pPr>
              <w:jc w:val="both"/>
              <w:rPr>
                <w:b/>
                <w:sz w:val="20"/>
                <w:szCs w:val="20"/>
              </w:rPr>
            </w:pPr>
          </w:p>
          <w:p w14:paraId="7E3B9FC6" w14:textId="77777777" w:rsidR="00F4284C" w:rsidRPr="00154588" w:rsidRDefault="00F4284C" w:rsidP="008C12B4">
            <w:pPr>
              <w:jc w:val="both"/>
              <w:rPr>
                <w:b/>
                <w:sz w:val="20"/>
                <w:szCs w:val="20"/>
              </w:rPr>
            </w:pPr>
          </w:p>
          <w:p w14:paraId="187CF3EB" w14:textId="595DBFC3" w:rsidR="00F4284C" w:rsidRPr="00154588" w:rsidRDefault="00F4284C" w:rsidP="008C12B4">
            <w:pPr>
              <w:jc w:val="both"/>
              <w:rPr>
                <w:sz w:val="20"/>
                <w:szCs w:val="20"/>
              </w:rPr>
            </w:pPr>
            <w:r w:rsidRPr="00154588">
              <w:rPr>
                <w:b/>
                <w:sz w:val="20"/>
                <w:szCs w:val="20"/>
              </w:rPr>
              <w:t>Competența de a limita executarea garanțiilor reale</w:t>
            </w:r>
          </w:p>
        </w:tc>
        <w:tc>
          <w:tcPr>
            <w:tcW w:w="4819" w:type="dxa"/>
          </w:tcPr>
          <w:p w14:paraId="5F1260A8" w14:textId="77777777" w:rsidR="00F4284C" w:rsidRPr="00154588" w:rsidRDefault="00F4284C" w:rsidP="008C12B4">
            <w:pPr>
              <w:jc w:val="both"/>
              <w:rPr>
                <w:sz w:val="20"/>
                <w:szCs w:val="20"/>
              </w:rPr>
            </w:pPr>
          </w:p>
        </w:tc>
        <w:tc>
          <w:tcPr>
            <w:tcW w:w="2552" w:type="dxa"/>
          </w:tcPr>
          <w:p w14:paraId="76C7A14C" w14:textId="77777777" w:rsidR="00F4284C" w:rsidRPr="00154588" w:rsidRDefault="00F4284C" w:rsidP="008C12B4">
            <w:pPr>
              <w:jc w:val="both"/>
              <w:rPr>
                <w:sz w:val="20"/>
                <w:szCs w:val="20"/>
              </w:rPr>
            </w:pPr>
          </w:p>
        </w:tc>
        <w:tc>
          <w:tcPr>
            <w:tcW w:w="3118" w:type="dxa"/>
          </w:tcPr>
          <w:p w14:paraId="6383D1F9" w14:textId="77777777" w:rsidR="00F4284C" w:rsidRPr="00154588" w:rsidRDefault="00F4284C" w:rsidP="008C12B4">
            <w:pPr>
              <w:jc w:val="both"/>
              <w:rPr>
                <w:sz w:val="20"/>
                <w:szCs w:val="20"/>
              </w:rPr>
            </w:pPr>
          </w:p>
        </w:tc>
      </w:tr>
      <w:tr w:rsidR="00F4284C" w:rsidRPr="00154588" w14:paraId="4638958A" w14:textId="77777777" w:rsidTr="00D15C1B">
        <w:trPr>
          <w:jc w:val="center"/>
        </w:trPr>
        <w:tc>
          <w:tcPr>
            <w:tcW w:w="4957" w:type="dxa"/>
            <w:gridSpan w:val="2"/>
          </w:tcPr>
          <w:p w14:paraId="59C4E568" w14:textId="0E528E4A" w:rsidR="00F4284C" w:rsidRPr="00154588" w:rsidRDefault="00F4284C" w:rsidP="008C12B4">
            <w:pPr>
              <w:jc w:val="both"/>
              <w:rPr>
                <w:sz w:val="20"/>
                <w:szCs w:val="20"/>
              </w:rPr>
            </w:pPr>
            <w:r w:rsidRPr="00154588">
              <w:rPr>
                <w:sz w:val="20"/>
                <w:szCs w:val="20"/>
              </w:rPr>
              <w:t>(1)   Statele membre se asigură că autoritățile de rezoluție dețin competența de a impune limitări creditorilor garantați ai unei instituții aflate în rezoluție în ceea ce privește executarea garanțiilor reale deținute în legătură cu activele respectivei instituții începând de la data publicării avizului de limitare în conformitate cu articolul 83 alineatul (4) până la ora 24.00 a zilei lucrătoare următoare celei de publicare în statul membru în care este stabilită instituția aflată în rezoluție.</w:t>
            </w:r>
          </w:p>
        </w:tc>
        <w:tc>
          <w:tcPr>
            <w:tcW w:w="4819" w:type="dxa"/>
          </w:tcPr>
          <w:p w14:paraId="6F0D134C" w14:textId="77777777" w:rsidR="00F4284C" w:rsidRPr="00154588" w:rsidRDefault="00F4284C" w:rsidP="008C12B4">
            <w:pPr>
              <w:ind w:firstLine="567"/>
              <w:jc w:val="both"/>
              <w:rPr>
                <w:sz w:val="20"/>
                <w:szCs w:val="20"/>
              </w:rPr>
            </w:pPr>
            <w:r w:rsidRPr="00154588">
              <w:rPr>
                <w:b/>
                <w:sz w:val="20"/>
                <w:szCs w:val="20"/>
              </w:rPr>
              <w:t>Articolul 250.</w:t>
            </w:r>
            <w:r w:rsidRPr="00154588">
              <w:rPr>
                <w:sz w:val="20"/>
                <w:szCs w:val="20"/>
              </w:rPr>
              <w:t xml:space="preserve"> – (1) Banca Naţională a Moldovei, în calitate de autoritate de rezoluţie, are competenţa de a impune creditorilor garantaţi restricţii în ceea ce priveşte executarea garanţiilor reale deţinute în legătură cu activele unei instituții supuse rezoluţiei, începînd de la data publicării avizului de restricţionare în conformitate cu prevederile art.286 pînă la ora 24.00, ora oficială a Moldovei, a zilei lucrătoare următoare celei de publicare.</w:t>
            </w:r>
          </w:p>
          <w:p w14:paraId="63C0A138" w14:textId="77777777" w:rsidR="00F4284C" w:rsidRPr="00154588" w:rsidRDefault="00F4284C" w:rsidP="008C12B4">
            <w:pPr>
              <w:ind w:firstLine="567"/>
              <w:jc w:val="both"/>
              <w:rPr>
                <w:sz w:val="20"/>
                <w:szCs w:val="20"/>
              </w:rPr>
            </w:pPr>
          </w:p>
        </w:tc>
        <w:tc>
          <w:tcPr>
            <w:tcW w:w="2552" w:type="dxa"/>
          </w:tcPr>
          <w:p w14:paraId="465C0F39" w14:textId="5B5C0FAF" w:rsidR="00F4284C" w:rsidRPr="00154588" w:rsidRDefault="00F4284C" w:rsidP="008C12B4">
            <w:pPr>
              <w:jc w:val="both"/>
              <w:rPr>
                <w:sz w:val="20"/>
                <w:szCs w:val="20"/>
              </w:rPr>
            </w:pPr>
            <w:r w:rsidRPr="00154588">
              <w:rPr>
                <w:sz w:val="20"/>
                <w:szCs w:val="20"/>
              </w:rPr>
              <w:t>Compatibil</w:t>
            </w:r>
          </w:p>
        </w:tc>
        <w:tc>
          <w:tcPr>
            <w:tcW w:w="3118" w:type="dxa"/>
          </w:tcPr>
          <w:p w14:paraId="54C0CCC1" w14:textId="77777777" w:rsidR="00F4284C" w:rsidRPr="00154588" w:rsidRDefault="00F4284C" w:rsidP="008C12B4">
            <w:pPr>
              <w:jc w:val="both"/>
              <w:rPr>
                <w:sz w:val="20"/>
                <w:szCs w:val="20"/>
              </w:rPr>
            </w:pPr>
          </w:p>
        </w:tc>
      </w:tr>
      <w:tr w:rsidR="00F4284C" w:rsidRPr="00154588" w14:paraId="2D1A6051" w14:textId="77777777" w:rsidTr="00D15C1B">
        <w:trPr>
          <w:jc w:val="center"/>
        </w:trPr>
        <w:tc>
          <w:tcPr>
            <w:tcW w:w="4957" w:type="dxa"/>
            <w:gridSpan w:val="2"/>
          </w:tcPr>
          <w:p w14:paraId="25A549F9" w14:textId="77777777" w:rsidR="00F4284C" w:rsidRPr="00154588" w:rsidRDefault="00F4284C" w:rsidP="008C12B4">
            <w:pPr>
              <w:jc w:val="both"/>
              <w:rPr>
                <w:sz w:val="20"/>
                <w:szCs w:val="20"/>
              </w:rPr>
            </w:pPr>
            <w:r w:rsidRPr="00154588">
              <w:rPr>
                <w:sz w:val="20"/>
                <w:szCs w:val="20"/>
              </w:rPr>
              <w:t>(2)   Autoritățile de rezoluție nu exercită competența menționată la alineatul (1) din prezentul articol în legătură cu oricare dintre următoarele:</w:t>
            </w:r>
          </w:p>
          <w:p w14:paraId="41FA0B6D" w14:textId="77777777" w:rsidR="00F4284C" w:rsidRPr="00154588" w:rsidRDefault="00F4284C" w:rsidP="008C12B4">
            <w:pPr>
              <w:jc w:val="both"/>
              <w:rPr>
                <w:sz w:val="20"/>
                <w:szCs w:val="20"/>
              </w:rPr>
            </w:pPr>
          </w:p>
          <w:p w14:paraId="793EDF0A" w14:textId="38A8E230" w:rsidR="00F4284C" w:rsidRPr="00154588" w:rsidRDefault="00F4284C" w:rsidP="008C12B4">
            <w:pPr>
              <w:jc w:val="both"/>
              <w:rPr>
                <w:sz w:val="20"/>
                <w:szCs w:val="20"/>
              </w:rPr>
            </w:pPr>
            <w:r w:rsidRPr="00154588">
              <w:rPr>
                <w:sz w:val="20"/>
                <w:szCs w:val="20"/>
              </w:rPr>
              <w:t>(a) garanțiile sistemelor sau operatorilor de sisteme desemnați în sensul Directivei 98/26/CE;</w:t>
            </w:r>
          </w:p>
          <w:p w14:paraId="7BFF7EC9" w14:textId="77777777" w:rsidR="00F4284C" w:rsidRPr="00154588" w:rsidRDefault="00F4284C" w:rsidP="008C12B4">
            <w:pPr>
              <w:jc w:val="both"/>
              <w:rPr>
                <w:sz w:val="20"/>
                <w:szCs w:val="20"/>
              </w:rPr>
            </w:pPr>
          </w:p>
          <w:p w14:paraId="5DDCCEBF" w14:textId="6EEB3330" w:rsidR="00F4284C" w:rsidRPr="00154588" w:rsidRDefault="00F4284C" w:rsidP="008C12B4">
            <w:pPr>
              <w:jc w:val="both"/>
              <w:rPr>
                <w:sz w:val="20"/>
                <w:szCs w:val="20"/>
              </w:rPr>
            </w:pPr>
            <w:r w:rsidRPr="00154588">
              <w:rPr>
                <w:sz w:val="20"/>
                <w:szCs w:val="20"/>
              </w:rPr>
              <w:t>(b) contrapărțile centrale autorizate în Uniune în temeiul articolului 14 din Regulamentul (UE) nr. 648/2012 și contrapărțile centrale din țări terțe recunoscute de ESMA în temeiul articolului 25 din Regulamentul (UE) nr. 648/2012; și</w:t>
            </w:r>
          </w:p>
          <w:p w14:paraId="7AF45897" w14:textId="77777777" w:rsidR="00F4284C" w:rsidRPr="00154588" w:rsidRDefault="00F4284C" w:rsidP="008C12B4">
            <w:pPr>
              <w:jc w:val="both"/>
              <w:rPr>
                <w:sz w:val="20"/>
                <w:szCs w:val="20"/>
              </w:rPr>
            </w:pPr>
          </w:p>
          <w:p w14:paraId="2E938660" w14:textId="50D3F858" w:rsidR="00F4284C" w:rsidRPr="00154588" w:rsidRDefault="00F4284C" w:rsidP="008C12B4">
            <w:pPr>
              <w:jc w:val="both"/>
              <w:rPr>
                <w:sz w:val="20"/>
                <w:szCs w:val="20"/>
              </w:rPr>
            </w:pPr>
            <w:r w:rsidRPr="00154588">
              <w:rPr>
                <w:sz w:val="20"/>
                <w:szCs w:val="20"/>
              </w:rPr>
              <w:t>(c) băncile centrale, în ceea ce privește activele gajate sau furnizate cu titlu de marjă sau de colateral de către instituția aflată în rezoluție.</w:t>
            </w:r>
          </w:p>
        </w:tc>
        <w:tc>
          <w:tcPr>
            <w:tcW w:w="4819" w:type="dxa"/>
          </w:tcPr>
          <w:p w14:paraId="4865775F" w14:textId="3FDA19A4" w:rsidR="00F4284C" w:rsidRPr="00154588" w:rsidRDefault="00F4284C" w:rsidP="008C12B4">
            <w:pPr>
              <w:ind w:firstLine="567"/>
              <w:jc w:val="both"/>
              <w:rPr>
                <w:sz w:val="20"/>
                <w:szCs w:val="20"/>
              </w:rPr>
            </w:pPr>
            <w:r w:rsidRPr="00154588">
              <w:rPr>
                <w:b/>
                <w:sz w:val="20"/>
                <w:szCs w:val="20"/>
              </w:rPr>
              <w:t>Articolul 250.</w:t>
            </w:r>
            <w:r w:rsidRPr="00154588">
              <w:rPr>
                <w:sz w:val="20"/>
                <w:szCs w:val="20"/>
              </w:rPr>
              <w:t xml:space="preserve"> – (2) Banca Naţională a Moldovei, în calitate de autoritate de rezoluţie, nu impune măsura indicată la alin.(1) în următoarele  cazuri:</w:t>
            </w:r>
          </w:p>
          <w:p w14:paraId="77A1412A" w14:textId="77777777" w:rsidR="00F4284C" w:rsidRPr="00154588" w:rsidRDefault="00F4284C" w:rsidP="008C12B4">
            <w:pPr>
              <w:ind w:firstLine="567"/>
              <w:jc w:val="both"/>
              <w:rPr>
                <w:sz w:val="20"/>
                <w:szCs w:val="20"/>
              </w:rPr>
            </w:pPr>
            <w:bookmarkStart w:id="148" w:name="_Hlk223429965"/>
            <w:r w:rsidRPr="00154588">
              <w:rPr>
                <w:sz w:val="20"/>
                <w:szCs w:val="20"/>
              </w:rPr>
              <w:t>a) garanţiilor reale deţinute de sisteme sau operatori de sisteme conform definiţiei din Legea nr.183</w:t>
            </w:r>
            <w:r w:rsidRPr="00154588">
              <w:rPr>
                <w:sz w:val="20"/>
                <w:szCs w:val="20"/>
                <w:lang w:eastAsia="ro-MD"/>
              </w:rPr>
              <w:t>/</w:t>
            </w:r>
            <w:r w:rsidRPr="00154588">
              <w:rPr>
                <w:sz w:val="20"/>
                <w:szCs w:val="20"/>
              </w:rPr>
              <w:t xml:space="preserve">2016 cu privire la caracterul definitiv al decontării în sistemele de plăţi şi de decontare a instrumentelor financiare; </w:t>
            </w:r>
          </w:p>
          <w:p w14:paraId="004DD74E" w14:textId="77AB702E" w:rsidR="00F4284C" w:rsidRPr="00154588" w:rsidRDefault="00F4284C" w:rsidP="008C12B4">
            <w:pPr>
              <w:ind w:firstLine="567"/>
              <w:jc w:val="both"/>
              <w:rPr>
                <w:sz w:val="20"/>
                <w:szCs w:val="20"/>
              </w:rPr>
            </w:pPr>
            <w:r w:rsidRPr="00154588">
              <w:rPr>
                <w:sz w:val="20"/>
                <w:szCs w:val="20"/>
              </w:rPr>
              <w:t>b) contrapărţi</w:t>
            </w:r>
            <w:r w:rsidR="003823E2" w:rsidRPr="00154588">
              <w:rPr>
                <w:sz w:val="20"/>
                <w:szCs w:val="20"/>
              </w:rPr>
              <w:t>lor</w:t>
            </w:r>
            <w:r w:rsidRPr="00154588">
              <w:rPr>
                <w:sz w:val="20"/>
                <w:szCs w:val="20"/>
              </w:rPr>
              <w:t xml:space="preserve"> centrale autorizate în Uniune în temeiul art.14 din Regulamentul (UE) nr.648/2012 și contrapărţile centrale din ţări terţe recunoscute de Autoritatea europeană pentru valori mobiliare și piețe (AEVMP) în temeiul art.25 din Regulamentul (UE) nr.648/2012 şi,</w:t>
            </w:r>
          </w:p>
          <w:p w14:paraId="4549864E" w14:textId="77777777" w:rsidR="00F4284C" w:rsidRPr="00154588" w:rsidRDefault="00F4284C" w:rsidP="008C12B4">
            <w:pPr>
              <w:ind w:firstLine="567"/>
              <w:jc w:val="both"/>
              <w:rPr>
                <w:sz w:val="20"/>
                <w:szCs w:val="20"/>
              </w:rPr>
            </w:pPr>
            <w:r w:rsidRPr="00154588">
              <w:rPr>
                <w:sz w:val="20"/>
                <w:szCs w:val="20"/>
              </w:rPr>
              <w:t>c) bănci centrale, în legătură cu activele gajate sau furnizate cu titlu de marjă sau de garanţie reală de către instituția supusă rezoluţiei.</w:t>
            </w:r>
          </w:p>
          <w:bookmarkEnd w:id="148"/>
          <w:p w14:paraId="734190F6" w14:textId="77777777" w:rsidR="00F4284C" w:rsidRPr="00154588" w:rsidRDefault="00F4284C" w:rsidP="008C12B4">
            <w:pPr>
              <w:jc w:val="both"/>
              <w:rPr>
                <w:sz w:val="20"/>
                <w:szCs w:val="20"/>
              </w:rPr>
            </w:pPr>
          </w:p>
        </w:tc>
        <w:tc>
          <w:tcPr>
            <w:tcW w:w="2552" w:type="dxa"/>
          </w:tcPr>
          <w:p w14:paraId="38930EE4" w14:textId="75D29FBC" w:rsidR="00F4284C" w:rsidRPr="00154588" w:rsidRDefault="00F4284C" w:rsidP="008C12B4">
            <w:pPr>
              <w:jc w:val="both"/>
              <w:rPr>
                <w:sz w:val="20"/>
                <w:szCs w:val="20"/>
              </w:rPr>
            </w:pPr>
            <w:r w:rsidRPr="00154588">
              <w:rPr>
                <w:sz w:val="20"/>
                <w:szCs w:val="20"/>
              </w:rPr>
              <w:t>Compatibil</w:t>
            </w:r>
          </w:p>
        </w:tc>
        <w:tc>
          <w:tcPr>
            <w:tcW w:w="3118" w:type="dxa"/>
          </w:tcPr>
          <w:p w14:paraId="7CAF10FF" w14:textId="77777777" w:rsidR="00F4284C" w:rsidRPr="00154588" w:rsidRDefault="00F4284C" w:rsidP="008C12B4">
            <w:pPr>
              <w:jc w:val="both"/>
              <w:rPr>
                <w:sz w:val="20"/>
                <w:szCs w:val="20"/>
              </w:rPr>
            </w:pPr>
          </w:p>
        </w:tc>
      </w:tr>
      <w:tr w:rsidR="00F4284C" w:rsidRPr="00154588" w14:paraId="043DE204" w14:textId="77777777" w:rsidTr="00D15C1B">
        <w:trPr>
          <w:jc w:val="center"/>
        </w:trPr>
        <w:tc>
          <w:tcPr>
            <w:tcW w:w="4957" w:type="dxa"/>
            <w:gridSpan w:val="2"/>
          </w:tcPr>
          <w:p w14:paraId="2416E82F" w14:textId="22FEA380" w:rsidR="00F4284C" w:rsidRPr="00154588" w:rsidRDefault="00F4284C" w:rsidP="008C12B4">
            <w:pPr>
              <w:jc w:val="both"/>
              <w:rPr>
                <w:sz w:val="20"/>
                <w:szCs w:val="20"/>
              </w:rPr>
            </w:pPr>
            <w:r w:rsidRPr="00154588">
              <w:rPr>
                <w:sz w:val="20"/>
                <w:szCs w:val="20"/>
              </w:rPr>
              <w:t>(3)   În cazurile în care se aplică articolul 80, autoritățile de rezoluție se asigură că toate limitările impuse în temeiul competenței menționate la alineatul (1) din prezentul articol sunt aplicate în mod coerent tuturor entităților din grup care fac obiectul unor măsuri de rezoluție.</w:t>
            </w:r>
          </w:p>
        </w:tc>
        <w:tc>
          <w:tcPr>
            <w:tcW w:w="4819" w:type="dxa"/>
          </w:tcPr>
          <w:p w14:paraId="3E156525" w14:textId="77777777" w:rsidR="00F4284C" w:rsidRPr="00154588" w:rsidRDefault="00F4284C" w:rsidP="008C12B4">
            <w:pPr>
              <w:ind w:firstLine="567"/>
              <w:jc w:val="both"/>
              <w:rPr>
                <w:i/>
                <w:color w:val="663300"/>
                <w:sz w:val="20"/>
                <w:szCs w:val="20"/>
              </w:rPr>
            </w:pPr>
            <w:r w:rsidRPr="00154588">
              <w:rPr>
                <w:b/>
                <w:sz w:val="20"/>
                <w:szCs w:val="20"/>
              </w:rPr>
              <w:t>Articolul 250</w:t>
            </w:r>
            <w:r w:rsidRPr="00154588">
              <w:rPr>
                <w:b/>
                <w:sz w:val="20"/>
                <w:szCs w:val="20"/>
                <w:vertAlign w:val="superscript"/>
              </w:rPr>
              <w:t>1</w:t>
            </w:r>
            <w:r w:rsidRPr="00154588">
              <w:rPr>
                <w:b/>
                <w:sz w:val="20"/>
                <w:szCs w:val="20"/>
              </w:rPr>
              <w:t>.</w:t>
            </w:r>
            <w:r w:rsidRPr="00154588">
              <w:rPr>
                <w:sz w:val="20"/>
                <w:szCs w:val="20"/>
              </w:rPr>
              <w:t xml:space="preserve"> În situațiile prevăzute la art.274-275, Banca Națională a Moldovei, în calitate de autoritate de rezoluție, se asigură că toate restricțiile impuse în conformitate cu prevederile art.250 alin.(1) sunt aplicate în mod consecvent tuturor entităților din grup care fac obiectul unei acțiuni de rezoluție.</w:t>
            </w:r>
          </w:p>
          <w:p w14:paraId="39894115" w14:textId="77777777" w:rsidR="00F4284C" w:rsidRPr="00154588" w:rsidRDefault="00F4284C" w:rsidP="008C12B4">
            <w:pPr>
              <w:jc w:val="both"/>
              <w:rPr>
                <w:sz w:val="20"/>
                <w:szCs w:val="20"/>
              </w:rPr>
            </w:pPr>
          </w:p>
        </w:tc>
        <w:tc>
          <w:tcPr>
            <w:tcW w:w="2552" w:type="dxa"/>
          </w:tcPr>
          <w:p w14:paraId="4E05963C" w14:textId="2C46F678" w:rsidR="00F4284C" w:rsidRPr="00154588" w:rsidRDefault="00F4284C" w:rsidP="008C12B4">
            <w:pPr>
              <w:jc w:val="both"/>
              <w:rPr>
                <w:sz w:val="20"/>
                <w:szCs w:val="20"/>
              </w:rPr>
            </w:pPr>
            <w:r w:rsidRPr="00154588">
              <w:rPr>
                <w:sz w:val="20"/>
                <w:szCs w:val="20"/>
              </w:rPr>
              <w:t>Compatibil</w:t>
            </w:r>
          </w:p>
        </w:tc>
        <w:tc>
          <w:tcPr>
            <w:tcW w:w="3118" w:type="dxa"/>
          </w:tcPr>
          <w:p w14:paraId="47615795" w14:textId="77777777" w:rsidR="00F4284C" w:rsidRPr="00154588" w:rsidRDefault="00F4284C" w:rsidP="008C12B4">
            <w:pPr>
              <w:jc w:val="both"/>
              <w:rPr>
                <w:sz w:val="20"/>
                <w:szCs w:val="20"/>
              </w:rPr>
            </w:pPr>
          </w:p>
        </w:tc>
      </w:tr>
      <w:tr w:rsidR="00F4284C" w:rsidRPr="00154588" w14:paraId="2CD3D468" w14:textId="77777777" w:rsidTr="00D15C1B">
        <w:trPr>
          <w:jc w:val="center"/>
        </w:trPr>
        <w:tc>
          <w:tcPr>
            <w:tcW w:w="4957" w:type="dxa"/>
            <w:gridSpan w:val="2"/>
          </w:tcPr>
          <w:p w14:paraId="2BE7DAC7" w14:textId="528F1255" w:rsidR="00F4284C" w:rsidRPr="00154588" w:rsidRDefault="00F4284C" w:rsidP="008C12B4">
            <w:pPr>
              <w:jc w:val="both"/>
              <w:rPr>
                <w:sz w:val="20"/>
                <w:szCs w:val="20"/>
              </w:rPr>
            </w:pPr>
            <w:r w:rsidRPr="00154588">
              <w:rPr>
                <w:sz w:val="20"/>
                <w:szCs w:val="20"/>
              </w:rPr>
              <w:t xml:space="preserve">(4)   Atunci când își exercită o competență în temeiul prezentului articol, autoritățile de rezoluție țin seama de impactul pe care l-ar putea avea exercitarea </w:t>
            </w:r>
            <w:r w:rsidRPr="00154588">
              <w:rPr>
                <w:sz w:val="20"/>
                <w:szCs w:val="20"/>
              </w:rPr>
              <w:lastRenderedPageBreak/>
              <w:t>respectivei competențe asupra bunei funcționări a piețelor financiare.</w:t>
            </w:r>
          </w:p>
        </w:tc>
        <w:tc>
          <w:tcPr>
            <w:tcW w:w="4819" w:type="dxa"/>
          </w:tcPr>
          <w:p w14:paraId="0C882A65" w14:textId="77777777" w:rsidR="00F4284C" w:rsidRPr="00154588" w:rsidRDefault="00F4284C" w:rsidP="008C12B4">
            <w:pPr>
              <w:ind w:firstLine="567"/>
              <w:jc w:val="both"/>
              <w:rPr>
                <w:sz w:val="20"/>
                <w:szCs w:val="20"/>
              </w:rPr>
            </w:pPr>
            <w:r w:rsidRPr="00154588">
              <w:rPr>
                <w:b/>
                <w:sz w:val="20"/>
                <w:szCs w:val="20"/>
              </w:rPr>
              <w:lastRenderedPageBreak/>
              <w:t>Articolul 251.</w:t>
            </w:r>
            <w:r w:rsidRPr="00154588">
              <w:rPr>
                <w:sz w:val="20"/>
                <w:szCs w:val="20"/>
              </w:rPr>
              <w:t xml:space="preserve"> – În aplicarea prevederilor art.250-250</w:t>
            </w:r>
            <w:r w:rsidRPr="00154588">
              <w:rPr>
                <w:sz w:val="20"/>
                <w:szCs w:val="20"/>
                <w:vertAlign w:val="superscript"/>
              </w:rPr>
              <w:t>1</w:t>
            </w:r>
            <w:r w:rsidRPr="00154588">
              <w:rPr>
                <w:sz w:val="20"/>
                <w:szCs w:val="20"/>
              </w:rPr>
              <w:t xml:space="preserve">, Banca Naţională a Moldovei, în calitate de autoritate de rezoluţie, are în vedere impactul </w:t>
            </w:r>
            <w:r w:rsidRPr="00154588">
              <w:rPr>
                <w:sz w:val="20"/>
                <w:szCs w:val="20"/>
              </w:rPr>
              <w:lastRenderedPageBreak/>
              <w:t>aplicării respectivei măsuri asupra bunei funcţionări a pieţelor financiare.</w:t>
            </w:r>
          </w:p>
          <w:p w14:paraId="5ECF2B6C" w14:textId="77777777" w:rsidR="00F4284C" w:rsidRPr="00154588" w:rsidRDefault="00F4284C" w:rsidP="008C12B4">
            <w:pPr>
              <w:ind w:firstLine="567"/>
              <w:jc w:val="both"/>
              <w:rPr>
                <w:sz w:val="20"/>
                <w:szCs w:val="20"/>
              </w:rPr>
            </w:pPr>
            <w:r w:rsidRPr="00154588">
              <w:rPr>
                <w:sz w:val="20"/>
                <w:szCs w:val="20"/>
              </w:rPr>
              <w:t> </w:t>
            </w:r>
          </w:p>
          <w:p w14:paraId="1650BB7B" w14:textId="77777777" w:rsidR="00F4284C" w:rsidRPr="00154588" w:rsidRDefault="00F4284C" w:rsidP="008C12B4">
            <w:pPr>
              <w:jc w:val="both"/>
              <w:rPr>
                <w:sz w:val="20"/>
                <w:szCs w:val="20"/>
              </w:rPr>
            </w:pPr>
          </w:p>
        </w:tc>
        <w:tc>
          <w:tcPr>
            <w:tcW w:w="2552" w:type="dxa"/>
          </w:tcPr>
          <w:p w14:paraId="395E9DE0" w14:textId="396A2725" w:rsidR="00F4284C" w:rsidRPr="00154588" w:rsidRDefault="00F4284C" w:rsidP="008C12B4">
            <w:pPr>
              <w:jc w:val="both"/>
              <w:rPr>
                <w:sz w:val="20"/>
                <w:szCs w:val="20"/>
              </w:rPr>
            </w:pPr>
            <w:r w:rsidRPr="00154588">
              <w:rPr>
                <w:sz w:val="20"/>
                <w:szCs w:val="20"/>
              </w:rPr>
              <w:lastRenderedPageBreak/>
              <w:t>Compatibil</w:t>
            </w:r>
          </w:p>
        </w:tc>
        <w:tc>
          <w:tcPr>
            <w:tcW w:w="3118" w:type="dxa"/>
          </w:tcPr>
          <w:p w14:paraId="7DDB7E40" w14:textId="77777777" w:rsidR="00F4284C" w:rsidRPr="00154588" w:rsidRDefault="00F4284C" w:rsidP="008C12B4">
            <w:pPr>
              <w:jc w:val="both"/>
              <w:rPr>
                <w:sz w:val="20"/>
                <w:szCs w:val="20"/>
              </w:rPr>
            </w:pPr>
          </w:p>
        </w:tc>
      </w:tr>
      <w:tr w:rsidR="00F4284C" w:rsidRPr="00154588" w14:paraId="54E852B5" w14:textId="77777777" w:rsidTr="00D15C1B">
        <w:trPr>
          <w:jc w:val="center"/>
        </w:trPr>
        <w:tc>
          <w:tcPr>
            <w:tcW w:w="4957" w:type="dxa"/>
            <w:gridSpan w:val="2"/>
          </w:tcPr>
          <w:p w14:paraId="10268250" w14:textId="77777777" w:rsidR="00F4284C" w:rsidRPr="00154588" w:rsidRDefault="00F4284C" w:rsidP="008C12B4">
            <w:pPr>
              <w:jc w:val="both"/>
              <w:rPr>
                <w:b/>
                <w:sz w:val="20"/>
                <w:szCs w:val="20"/>
              </w:rPr>
            </w:pPr>
            <w:r w:rsidRPr="00154588">
              <w:rPr>
                <w:b/>
                <w:sz w:val="20"/>
                <w:szCs w:val="20"/>
              </w:rPr>
              <w:t>Articolul 71</w:t>
            </w:r>
          </w:p>
          <w:p w14:paraId="3061F4E1" w14:textId="77777777" w:rsidR="00F4284C" w:rsidRPr="00154588" w:rsidRDefault="00F4284C" w:rsidP="008C12B4">
            <w:pPr>
              <w:jc w:val="both"/>
              <w:rPr>
                <w:b/>
                <w:sz w:val="20"/>
                <w:szCs w:val="20"/>
              </w:rPr>
            </w:pPr>
          </w:p>
          <w:p w14:paraId="217EC138" w14:textId="38FC2FF5" w:rsidR="00F4284C" w:rsidRPr="00154588" w:rsidRDefault="00F4284C" w:rsidP="008C12B4">
            <w:pPr>
              <w:jc w:val="both"/>
              <w:rPr>
                <w:sz w:val="20"/>
                <w:szCs w:val="20"/>
              </w:rPr>
            </w:pPr>
            <w:r w:rsidRPr="00154588">
              <w:rPr>
                <w:b/>
                <w:sz w:val="20"/>
                <w:szCs w:val="20"/>
              </w:rPr>
              <w:t>Competența de suspendare temporară a drepturilor de reziliere</w:t>
            </w:r>
          </w:p>
        </w:tc>
        <w:tc>
          <w:tcPr>
            <w:tcW w:w="4819" w:type="dxa"/>
          </w:tcPr>
          <w:p w14:paraId="780D96BC" w14:textId="77777777" w:rsidR="00F4284C" w:rsidRPr="00154588" w:rsidRDefault="00F4284C" w:rsidP="008C12B4">
            <w:pPr>
              <w:jc w:val="both"/>
              <w:rPr>
                <w:sz w:val="20"/>
                <w:szCs w:val="20"/>
              </w:rPr>
            </w:pPr>
          </w:p>
        </w:tc>
        <w:tc>
          <w:tcPr>
            <w:tcW w:w="2552" w:type="dxa"/>
          </w:tcPr>
          <w:p w14:paraId="4AB51A48" w14:textId="77777777" w:rsidR="00F4284C" w:rsidRPr="00154588" w:rsidRDefault="00F4284C" w:rsidP="008C12B4">
            <w:pPr>
              <w:jc w:val="both"/>
              <w:rPr>
                <w:sz w:val="20"/>
                <w:szCs w:val="20"/>
              </w:rPr>
            </w:pPr>
          </w:p>
        </w:tc>
        <w:tc>
          <w:tcPr>
            <w:tcW w:w="3118" w:type="dxa"/>
          </w:tcPr>
          <w:p w14:paraId="20BE26B5" w14:textId="77777777" w:rsidR="00F4284C" w:rsidRPr="00154588" w:rsidRDefault="00F4284C" w:rsidP="008C12B4">
            <w:pPr>
              <w:jc w:val="both"/>
              <w:rPr>
                <w:sz w:val="20"/>
                <w:szCs w:val="20"/>
              </w:rPr>
            </w:pPr>
          </w:p>
        </w:tc>
      </w:tr>
      <w:tr w:rsidR="00F4284C" w:rsidRPr="00154588" w14:paraId="2C0C4B19" w14:textId="77777777" w:rsidTr="00D15C1B">
        <w:trPr>
          <w:jc w:val="center"/>
        </w:trPr>
        <w:tc>
          <w:tcPr>
            <w:tcW w:w="4957" w:type="dxa"/>
            <w:gridSpan w:val="2"/>
          </w:tcPr>
          <w:p w14:paraId="486A6B9C" w14:textId="5EBDDCEB" w:rsidR="00F4284C" w:rsidRPr="00154588" w:rsidRDefault="00F4284C" w:rsidP="008C12B4">
            <w:pPr>
              <w:jc w:val="both"/>
              <w:rPr>
                <w:sz w:val="20"/>
                <w:szCs w:val="20"/>
              </w:rPr>
            </w:pPr>
            <w:r w:rsidRPr="00154588">
              <w:rPr>
                <w:sz w:val="20"/>
                <w:szCs w:val="20"/>
              </w:rPr>
              <w:t>(1)   Statele membre se asigură că autoritățile de rezoluție au competența de a suspenda drepturile de reziliere ale oricărei părți care are un contract cu o instituție aflată în rezoluție, începând de la data publicării avizului în conformitate cu articolul 83 alineatul (4) până la ora 24.00 a zilei lucrătoare următoare celei de publicare în statul membru în care este stabilită autoritatea de rezoluție a instituției aflate în rezoluție, cu condiția ca plata și obligațiile de livrare, precum și furnizarea de garanții, să fie îndeplinite în continuare</w:t>
            </w:r>
          </w:p>
        </w:tc>
        <w:tc>
          <w:tcPr>
            <w:tcW w:w="4819" w:type="dxa"/>
          </w:tcPr>
          <w:p w14:paraId="4499600D" w14:textId="102803D8" w:rsidR="00F4284C" w:rsidRPr="00154588" w:rsidRDefault="00F4284C" w:rsidP="008C12B4">
            <w:pPr>
              <w:ind w:firstLine="567"/>
              <w:jc w:val="both"/>
              <w:rPr>
                <w:sz w:val="20"/>
                <w:szCs w:val="20"/>
              </w:rPr>
            </w:pPr>
            <w:r w:rsidRPr="00154588">
              <w:rPr>
                <w:b/>
                <w:sz w:val="20"/>
                <w:szCs w:val="20"/>
              </w:rPr>
              <w:t>Articolul 252.</w:t>
            </w:r>
            <w:r w:rsidRPr="00154588">
              <w:rPr>
                <w:sz w:val="20"/>
                <w:szCs w:val="20"/>
              </w:rPr>
              <w:t xml:space="preserve"> – Banca Naţională a Moldovei, în calitate de autoritate de rezoluţie, poate dispune suspendarea drepturilor de încetare ale oricărei părţi la un contract cu o instituție supusă rezoluţiei, începînd de la data publicării notificării de suspendare, în conformitate cu prevederile art.286, pînă la ora 24.00, ora oficială a Moldovei, a zilei lucrătoare următoare celei de publicare, cu condiţia ca obligaţiile de plată şi de livrare, precum şi furnizarea de garanţii reale să fie îndeplinite în continuare.</w:t>
            </w:r>
          </w:p>
          <w:p w14:paraId="18A95151" w14:textId="77777777" w:rsidR="00F4284C" w:rsidRPr="00154588" w:rsidRDefault="00F4284C" w:rsidP="008C12B4">
            <w:pPr>
              <w:jc w:val="both"/>
              <w:rPr>
                <w:bCs/>
                <w:sz w:val="20"/>
                <w:szCs w:val="20"/>
              </w:rPr>
            </w:pPr>
          </w:p>
        </w:tc>
        <w:tc>
          <w:tcPr>
            <w:tcW w:w="2552" w:type="dxa"/>
          </w:tcPr>
          <w:p w14:paraId="72A224F6" w14:textId="386C9035" w:rsidR="00F4284C" w:rsidRPr="00154588" w:rsidRDefault="00F4284C" w:rsidP="008C12B4">
            <w:pPr>
              <w:jc w:val="both"/>
              <w:rPr>
                <w:bCs/>
                <w:sz w:val="20"/>
                <w:szCs w:val="20"/>
              </w:rPr>
            </w:pPr>
            <w:r w:rsidRPr="00154588">
              <w:rPr>
                <w:bCs/>
                <w:sz w:val="20"/>
                <w:szCs w:val="20"/>
              </w:rPr>
              <w:t>Compatibil</w:t>
            </w:r>
          </w:p>
        </w:tc>
        <w:tc>
          <w:tcPr>
            <w:tcW w:w="3118" w:type="dxa"/>
          </w:tcPr>
          <w:p w14:paraId="5170F3D1" w14:textId="77777777" w:rsidR="00F4284C" w:rsidRPr="00154588" w:rsidRDefault="00F4284C" w:rsidP="008C12B4">
            <w:pPr>
              <w:jc w:val="both"/>
              <w:rPr>
                <w:bCs/>
                <w:sz w:val="20"/>
                <w:szCs w:val="20"/>
              </w:rPr>
            </w:pPr>
          </w:p>
        </w:tc>
      </w:tr>
      <w:tr w:rsidR="00F4284C" w:rsidRPr="00154588" w14:paraId="13F71754" w14:textId="77777777" w:rsidTr="00D15C1B">
        <w:trPr>
          <w:jc w:val="center"/>
        </w:trPr>
        <w:tc>
          <w:tcPr>
            <w:tcW w:w="4957" w:type="dxa"/>
            <w:gridSpan w:val="2"/>
          </w:tcPr>
          <w:p w14:paraId="5CE1AC43" w14:textId="77777777" w:rsidR="00F4284C" w:rsidRPr="00154588" w:rsidRDefault="00F4284C" w:rsidP="008C12B4">
            <w:pPr>
              <w:jc w:val="both"/>
              <w:rPr>
                <w:sz w:val="20"/>
                <w:szCs w:val="20"/>
              </w:rPr>
            </w:pPr>
            <w:r w:rsidRPr="00154588">
              <w:rPr>
                <w:sz w:val="20"/>
                <w:szCs w:val="20"/>
              </w:rPr>
              <w:t>(2)   Statele membre se asigură că autoritățile de rezoluție au competența de a suspenda drepturile de reziliere ale oricărei părți care are un contract cu o filială a unei instituții aflate în rezoluție atunci când:</w:t>
            </w:r>
          </w:p>
          <w:p w14:paraId="1237164D" w14:textId="77777777" w:rsidR="00F4284C" w:rsidRPr="00154588" w:rsidRDefault="00F4284C" w:rsidP="008C12B4">
            <w:pPr>
              <w:jc w:val="both"/>
              <w:rPr>
                <w:sz w:val="20"/>
                <w:szCs w:val="20"/>
              </w:rPr>
            </w:pPr>
          </w:p>
          <w:p w14:paraId="357415DE" w14:textId="75F9FBA0" w:rsidR="00F4284C" w:rsidRPr="00154588" w:rsidRDefault="00F4284C" w:rsidP="008C12B4">
            <w:pPr>
              <w:jc w:val="both"/>
              <w:rPr>
                <w:sz w:val="20"/>
                <w:szCs w:val="20"/>
              </w:rPr>
            </w:pPr>
            <w:r w:rsidRPr="00154588">
              <w:rPr>
                <w:sz w:val="20"/>
                <w:szCs w:val="20"/>
              </w:rPr>
              <w:t>(a) obligațiile contractuale sunt garantate sau susținute în alt mod de instituția aflată în rezoluție;</w:t>
            </w:r>
          </w:p>
          <w:p w14:paraId="4177AE8E" w14:textId="77777777" w:rsidR="00F4284C" w:rsidRPr="00154588" w:rsidRDefault="00F4284C" w:rsidP="008C12B4">
            <w:pPr>
              <w:jc w:val="both"/>
              <w:rPr>
                <w:sz w:val="20"/>
                <w:szCs w:val="20"/>
              </w:rPr>
            </w:pPr>
          </w:p>
          <w:p w14:paraId="4F7676A0" w14:textId="77777777" w:rsidR="00F4284C" w:rsidRPr="00154588" w:rsidRDefault="00F4284C" w:rsidP="008C12B4">
            <w:pPr>
              <w:jc w:val="both"/>
              <w:rPr>
                <w:sz w:val="20"/>
                <w:szCs w:val="20"/>
              </w:rPr>
            </w:pPr>
          </w:p>
          <w:p w14:paraId="1A52B3BB" w14:textId="0BE59080" w:rsidR="00F4284C" w:rsidRPr="00154588" w:rsidRDefault="00F4284C" w:rsidP="008C12B4">
            <w:pPr>
              <w:jc w:val="both"/>
              <w:rPr>
                <w:sz w:val="20"/>
                <w:szCs w:val="20"/>
              </w:rPr>
            </w:pPr>
            <w:r w:rsidRPr="00154588">
              <w:rPr>
                <w:sz w:val="20"/>
                <w:szCs w:val="20"/>
              </w:rPr>
              <w:t>(b) drepturile contractuale de reziliere se întemeiază exclusiv pe insolvența sau pe starea financiară a instituției aflate în rezoluție; și</w:t>
            </w:r>
          </w:p>
          <w:p w14:paraId="71C5D337" w14:textId="77777777" w:rsidR="00F4284C" w:rsidRPr="00154588" w:rsidRDefault="00F4284C" w:rsidP="008C12B4">
            <w:pPr>
              <w:jc w:val="both"/>
              <w:rPr>
                <w:sz w:val="20"/>
                <w:szCs w:val="20"/>
              </w:rPr>
            </w:pPr>
          </w:p>
          <w:p w14:paraId="506FD4A3" w14:textId="77777777" w:rsidR="00F4284C" w:rsidRPr="00154588" w:rsidRDefault="00F4284C" w:rsidP="008C12B4">
            <w:pPr>
              <w:jc w:val="both"/>
              <w:rPr>
                <w:sz w:val="20"/>
                <w:szCs w:val="20"/>
              </w:rPr>
            </w:pPr>
          </w:p>
          <w:p w14:paraId="6386F6F2" w14:textId="085DA73D" w:rsidR="00F4284C" w:rsidRPr="00154588" w:rsidRDefault="00F4284C" w:rsidP="008C12B4">
            <w:pPr>
              <w:jc w:val="both"/>
              <w:rPr>
                <w:sz w:val="20"/>
                <w:szCs w:val="20"/>
              </w:rPr>
            </w:pPr>
            <w:r w:rsidRPr="00154588">
              <w:rPr>
                <w:sz w:val="20"/>
                <w:szCs w:val="20"/>
              </w:rPr>
              <w:t>(c) s-a exercitat sau se poate exercita competența de transfer în cazul instituției aflate în rezoluție, fie:</w:t>
            </w:r>
          </w:p>
          <w:p w14:paraId="4BBC886A" w14:textId="77777777" w:rsidR="00F4284C" w:rsidRPr="00154588" w:rsidRDefault="00F4284C" w:rsidP="008C12B4">
            <w:pPr>
              <w:jc w:val="both"/>
              <w:rPr>
                <w:sz w:val="20"/>
                <w:szCs w:val="20"/>
              </w:rPr>
            </w:pPr>
          </w:p>
          <w:p w14:paraId="643B80D5" w14:textId="77777777" w:rsidR="00F4284C" w:rsidRPr="00154588" w:rsidRDefault="00F4284C" w:rsidP="008C12B4">
            <w:pPr>
              <w:jc w:val="both"/>
              <w:rPr>
                <w:sz w:val="20"/>
                <w:szCs w:val="20"/>
              </w:rPr>
            </w:pPr>
          </w:p>
          <w:p w14:paraId="5AAA1BEE" w14:textId="0694751E" w:rsidR="00F4284C" w:rsidRPr="00154588" w:rsidRDefault="00F4284C" w:rsidP="008C12B4">
            <w:pPr>
              <w:jc w:val="both"/>
              <w:rPr>
                <w:sz w:val="20"/>
                <w:szCs w:val="20"/>
              </w:rPr>
            </w:pPr>
            <w:r w:rsidRPr="00154588">
              <w:rPr>
                <w:sz w:val="20"/>
                <w:szCs w:val="20"/>
              </w:rPr>
              <w:t>(i) toate activele și pasivele filialeiă care fac obiectul contractului au fost sau pot fi transferate destinatarului și însușite de acesta; sau</w:t>
            </w:r>
          </w:p>
          <w:p w14:paraId="4AFE60A3" w14:textId="77777777" w:rsidR="00F4284C" w:rsidRPr="00154588" w:rsidRDefault="00F4284C" w:rsidP="008C12B4">
            <w:pPr>
              <w:jc w:val="both"/>
              <w:rPr>
                <w:sz w:val="20"/>
                <w:szCs w:val="20"/>
              </w:rPr>
            </w:pPr>
          </w:p>
          <w:p w14:paraId="4F6C6DDE" w14:textId="5CAA2684" w:rsidR="00F4284C" w:rsidRPr="00154588" w:rsidRDefault="00F4284C" w:rsidP="008C12B4">
            <w:pPr>
              <w:jc w:val="both"/>
              <w:rPr>
                <w:sz w:val="20"/>
                <w:szCs w:val="20"/>
              </w:rPr>
            </w:pPr>
            <w:r w:rsidRPr="00154588">
              <w:rPr>
                <w:sz w:val="20"/>
                <w:szCs w:val="20"/>
              </w:rPr>
              <w:t>(ii) autoritatea de rezoluție furnizează, prin orice alt mijloc, o protecție adecvată pentru respectivele obligații.</w:t>
            </w:r>
          </w:p>
          <w:p w14:paraId="4B462299" w14:textId="77777777" w:rsidR="00F4284C" w:rsidRPr="00154588" w:rsidRDefault="00F4284C" w:rsidP="008C12B4">
            <w:pPr>
              <w:jc w:val="both"/>
              <w:rPr>
                <w:sz w:val="20"/>
                <w:szCs w:val="20"/>
              </w:rPr>
            </w:pPr>
          </w:p>
          <w:p w14:paraId="077FC07E" w14:textId="7CCFCF06" w:rsidR="00F4284C" w:rsidRPr="00154588" w:rsidRDefault="00F4284C" w:rsidP="008C12B4">
            <w:pPr>
              <w:jc w:val="both"/>
              <w:rPr>
                <w:sz w:val="20"/>
                <w:szCs w:val="20"/>
              </w:rPr>
            </w:pPr>
            <w:r w:rsidRPr="00154588">
              <w:rPr>
                <w:sz w:val="20"/>
                <w:szCs w:val="20"/>
              </w:rPr>
              <w:t>Suspendarea intră în vigoare de la data publicării avizului în temeiul articolului 83 alineatul (4) până la ora 24.00 a zilei lucrătoare următoare celei de publicare în statul membru în care este stabilită filiala instituției aflate în rezoluție.</w:t>
            </w:r>
          </w:p>
        </w:tc>
        <w:tc>
          <w:tcPr>
            <w:tcW w:w="4819" w:type="dxa"/>
          </w:tcPr>
          <w:p w14:paraId="0516498A" w14:textId="57E60B2C" w:rsidR="00F4284C" w:rsidRPr="00154588" w:rsidRDefault="00F4284C" w:rsidP="008C12B4">
            <w:pPr>
              <w:ind w:firstLine="567"/>
              <w:jc w:val="both"/>
              <w:rPr>
                <w:sz w:val="20"/>
                <w:szCs w:val="20"/>
              </w:rPr>
            </w:pPr>
            <w:r w:rsidRPr="00154588">
              <w:rPr>
                <w:b/>
                <w:sz w:val="20"/>
                <w:szCs w:val="20"/>
              </w:rPr>
              <w:lastRenderedPageBreak/>
              <w:t>Articolul 253.</w:t>
            </w:r>
            <w:r w:rsidRPr="00154588">
              <w:rPr>
                <w:sz w:val="20"/>
                <w:szCs w:val="20"/>
              </w:rPr>
              <w:t xml:space="preserve"> – rezoluţie, poate dispune suspendarea drepturilor de încetare ale oricărei părţi care are un contract cu o filială, persoană juridică din Moldova, a unei instituții supuse rezoluţiei, atunci cînd:</w:t>
            </w:r>
          </w:p>
          <w:p w14:paraId="430FE94E" w14:textId="77777777" w:rsidR="00F4284C" w:rsidRPr="00154588" w:rsidRDefault="00F4284C" w:rsidP="008C12B4">
            <w:pPr>
              <w:ind w:firstLine="567"/>
              <w:jc w:val="both"/>
              <w:rPr>
                <w:sz w:val="20"/>
                <w:szCs w:val="20"/>
              </w:rPr>
            </w:pPr>
            <w:r w:rsidRPr="00154588">
              <w:rPr>
                <w:sz w:val="20"/>
                <w:szCs w:val="20"/>
              </w:rPr>
              <w:t>a) obligaţiile contractuale sînt garantate sau susţinute în alt mod de instituția supusă rezoluţiei;</w:t>
            </w:r>
          </w:p>
          <w:p w14:paraId="54763BB0" w14:textId="77777777" w:rsidR="00F4284C" w:rsidRPr="00154588" w:rsidRDefault="00F4284C" w:rsidP="008C12B4">
            <w:pPr>
              <w:ind w:firstLine="567"/>
              <w:jc w:val="both"/>
              <w:rPr>
                <w:sz w:val="20"/>
                <w:szCs w:val="20"/>
              </w:rPr>
            </w:pPr>
            <w:r w:rsidRPr="00154588">
              <w:rPr>
                <w:sz w:val="20"/>
                <w:szCs w:val="20"/>
              </w:rPr>
              <w:t>b) drepturile contractuale de încetare se întemeiază exclusiv pe procedura obișnuită de insolvabilitate sau pe starea financiară a instituției supuse rezoluţiei; şi</w:t>
            </w:r>
          </w:p>
          <w:p w14:paraId="56DCAD6C" w14:textId="77777777" w:rsidR="00F4284C" w:rsidRPr="00154588" w:rsidRDefault="00F4284C" w:rsidP="008C12B4">
            <w:pPr>
              <w:ind w:firstLine="567"/>
              <w:jc w:val="both"/>
              <w:rPr>
                <w:sz w:val="20"/>
                <w:szCs w:val="20"/>
              </w:rPr>
            </w:pPr>
            <w:r w:rsidRPr="00154588">
              <w:rPr>
                <w:sz w:val="20"/>
                <w:szCs w:val="20"/>
              </w:rPr>
              <w:t>c) toate activele şi datoriile filialei, care fac obiectul contractului, au fost sau pot fi transferate destinatarului şi însuşite de acesta, în situaţia în care Banca Naţională a Moldovei, în calitate de autoritate de rezoluţie, a exercitat sau poate exercita competenţa de transfer în cazul instituției supuse rezoluţiei;</w:t>
            </w:r>
          </w:p>
          <w:p w14:paraId="6AF5E3F2" w14:textId="77777777" w:rsidR="00F4284C" w:rsidRPr="00154588" w:rsidRDefault="00F4284C" w:rsidP="008C12B4">
            <w:pPr>
              <w:ind w:firstLine="567"/>
              <w:jc w:val="both"/>
              <w:rPr>
                <w:sz w:val="20"/>
                <w:szCs w:val="20"/>
              </w:rPr>
            </w:pPr>
            <w:r w:rsidRPr="00154588">
              <w:rPr>
                <w:sz w:val="20"/>
                <w:szCs w:val="20"/>
              </w:rPr>
              <w:t>d) Banca Naţională a Moldovei, în calitate de autoritate de rezoluţie, furnizează, prin orice alt mijloc, o protecţie adecvată pentru respectivele obligaţii, în situaţia în care Banca Naţională a Moldovei, în această calitate, a exercitat sau poate exercita competenţa de transfer în cazul instituției supuse rezoluţiei.</w:t>
            </w:r>
          </w:p>
          <w:p w14:paraId="7636A157" w14:textId="77777777" w:rsidR="00F4284C" w:rsidRPr="00154588" w:rsidRDefault="00F4284C" w:rsidP="008C12B4">
            <w:pPr>
              <w:ind w:firstLine="567"/>
              <w:jc w:val="both"/>
              <w:rPr>
                <w:sz w:val="20"/>
                <w:szCs w:val="20"/>
              </w:rPr>
            </w:pPr>
            <w:r w:rsidRPr="00154588">
              <w:rPr>
                <w:sz w:val="20"/>
                <w:szCs w:val="20"/>
              </w:rPr>
              <w:lastRenderedPageBreak/>
              <w:t>(2) Suspendarea prevăzută la alin.(1) îşi produce efectele începînd cu data publicării notificării de suspendare, în temeiul art.286, pînă la ora 24.00 a zilei lucrătoare următoare celei de publicare în statul în care este stabilită filiala instituției supuse rezoluţiei.</w:t>
            </w:r>
          </w:p>
          <w:p w14:paraId="196DAD6B" w14:textId="77777777" w:rsidR="00F4284C" w:rsidRPr="00154588" w:rsidRDefault="00F4284C" w:rsidP="008C12B4">
            <w:pPr>
              <w:jc w:val="both"/>
              <w:rPr>
                <w:sz w:val="20"/>
                <w:szCs w:val="20"/>
              </w:rPr>
            </w:pPr>
          </w:p>
        </w:tc>
        <w:tc>
          <w:tcPr>
            <w:tcW w:w="2552" w:type="dxa"/>
          </w:tcPr>
          <w:p w14:paraId="3AA47060" w14:textId="37E50BF5" w:rsidR="00F4284C" w:rsidRPr="00154588" w:rsidRDefault="00F4284C" w:rsidP="008C12B4">
            <w:pPr>
              <w:jc w:val="both"/>
              <w:rPr>
                <w:sz w:val="20"/>
                <w:szCs w:val="20"/>
              </w:rPr>
            </w:pPr>
            <w:r w:rsidRPr="00154588">
              <w:rPr>
                <w:sz w:val="20"/>
                <w:szCs w:val="20"/>
              </w:rPr>
              <w:lastRenderedPageBreak/>
              <w:t>Compatibil</w:t>
            </w:r>
          </w:p>
        </w:tc>
        <w:tc>
          <w:tcPr>
            <w:tcW w:w="3118" w:type="dxa"/>
          </w:tcPr>
          <w:p w14:paraId="5177F0FC" w14:textId="77777777" w:rsidR="00F4284C" w:rsidRPr="00154588" w:rsidRDefault="00F4284C" w:rsidP="008C12B4">
            <w:pPr>
              <w:jc w:val="both"/>
              <w:rPr>
                <w:sz w:val="20"/>
                <w:szCs w:val="20"/>
              </w:rPr>
            </w:pPr>
          </w:p>
        </w:tc>
      </w:tr>
      <w:tr w:rsidR="00F4284C" w:rsidRPr="00154588" w14:paraId="6E197C2D" w14:textId="77777777" w:rsidTr="00D15C1B">
        <w:trPr>
          <w:jc w:val="center"/>
        </w:trPr>
        <w:tc>
          <w:tcPr>
            <w:tcW w:w="4957" w:type="dxa"/>
            <w:gridSpan w:val="2"/>
          </w:tcPr>
          <w:p w14:paraId="596B0AFE" w14:textId="77777777" w:rsidR="00F4284C" w:rsidRPr="00154588" w:rsidRDefault="00F4284C" w:rsidP="008C12B4">
            <w:pPr>
              <w:jc w:val="both"/>
              <w:rPr>
                <w:sz w:val="20"/>
                <w:szCs w:val="20"/>
              </w:rPr>
            </w:pPr>
            <w:r w:rsidRPr="00154588">
              <w:rPr>
                <w:sz w:val="20"/>
                <w:szCs w:val="20"/>
              </w:rPr>
              <w:t>(3)   Orice suspendare în temeiul alineatului (1) sau (2) nu se aplică:</w:t>
            </w:r>
          </w:p>
          <w:p w14:paraId="6FF526D5" w14:textId="77777777" w:rsidR="00F4284C" w:rsidRPr="00154588" w:rsidRDefault="00F4284C" w:rsidP="008C12B4">
            <w:pPr>
              <w:jc w:val="both"/>
              <w:rPr>
                <w:sz w:val="20"/>
                <w:szCs w:val="20"/>
              </w:rPr>
            </w:pPr>
          </w:p>
          <w:p w14:paraId="3DD87946" w14:textId="7D52E3AC" w:rsidR="00F4284C" w:rsidRPr="00154588" w:rsidRDefault="00F4284C" w:rsidP="008C12B4">
            <w:pPr>
              <w:jc w:val="both"/>
              <w:rPr>
                <w:sz w:val="20"/>
                <w:szCs w:val="20"/>
              </w:rPr>
            </w:pPr>
            <w:r w:rsidRPr="00154588">
              <w:rPr>
                <w:sz w:val="20"/>
                <w:szCs w:val="20"/>
              </w:rPr>
              <w:t>(a) sistemelor sau operatorilor de sisteme desemnați în sensul Directivei 98/26/CE;</w:t>
            </w:r>
          </w:p>
          <w:p w14:paraId="34B155DC" w14:textId="77777777" w:rsidR="00F4284C" w:rsidRPr="00154588" w:rsidRDefault="00F4284C" w:rsidP="008C12B4">
            <w:pPr>
              <w:jc w:val="both"/>
              <w:rPr>
                <w:sz w:val="20"/>
                <w:szCs w:val="20"/>
              </w:rPr>
            </w:pPr>
          </w:p>
          <w:p w14:paraId="08CA6405" w14:textId="77777777" w:rsidR="00F4284C" w:rsidRPr="00154588" w:rsidRDefault="00F4284C" w:rsidP="008C12B4">
            <w:pPr>
              <w:jc w:val="both"/>
              <w:rPr>
                <w:sz w:val="20"/>
                <w:szCs w:val="20"/>
              </w:rPr>
            </w:pPr>
          </w:p>
          <w:p w14:paraId="7E08520D" w14:textId="04391F9E" w:rsidR="00F4284C" w:rsidRPr="00154588" w:rsidRDefault="00F4284C" w:rsidP="008C12B4">
            <w:pPr>
              <w:jc w:val="both"/>
              <w:rPr>
                <w:sz w:val="20"/>
                <w:szCs w:val="20"/>
              </w:rPr>
            </w:pPr>
            <w:r w:rsidRPr="00154588">
              <w:rPr>
                <w:sz w:val="20"/>
                <w:szCs w:val="20"/>
              </w:rPr>
              <w:t>(b) contrapărților centrale autorizate în Uniune în temeiul articolului 14 din Regulamentul (UE) nr. 648/2012, contrapărților centrale din țări terțe recunoscute de ESMA în temeiul articolului 25 din Regulamentul (UE) nr. 648/2012; sau</w:t>
            </w:r>
          </w:p>
          <w:p w14:paraId="2040BAE7" w14:textId="77777777" w:rsidR="00F4284C" w:rsidRPr="00154588" w:rsidRDefault="00F4284C" w:rsidP="008C12B4">
            <w:pPr>
              <w:jc w:val="both"/>
              <w:rPr>
                <w:sz w:val="20"/>
                <w:szCs w:val="20"/>
              </w:rPr>
            </w:pPr>
          </w:p>
          <w:p w14:paraId="0B7E6303" w14:textId="20D41BBF" w:rsidR="00F4284C" w:rsidRPr="00154588" w:rsidRDefault="00F4284C" w:rsidP="008C12B4">
            <w:pPr>
              <w:jc w:val="both"/>
              <w:rPr>
                <w:sz w:val="20"/>
                <w:szCs w:val="20"/>
              </w:rPr>
            </w:pPr>
            <w:r w:rsidRPr="00154588">
              <w:rPr>
                <w:sz w:val="20"/>
                <w:szCs w:val="20"/>
              </w:rPr>
              <w:t>(c) băncilor centrale.</w:t>
            </w:r>
          </w:p>
        </w:tc>
        <w:tc>
          <w:tcPr>
            <w:tcW w:w="4819" w:type="dxa"/>
          </w:tcPr>
          <w:p w14:paraId="163F67BE" w14:textId="77777777" w:rsidR="00F4284C" w:rsidRPr="00154588" w:rsidRDefault="00F4284C" w:rsidP="008C12B4">
            <w:pPr>
              <w:ind w:firstLine="567"/>
              <w:jc w:val="both"/>
              <w:rPr>
                <w:sz w:val="20"/>
                <w:szCs w:val="20"/>
              </w:rPr>
            </w:pPr>
            <w:bookmarkStart w:id="149" w:name="_Hlk223430474"/>
            <w:r w:rsidRPr="00154588">
              <w:rPr>
                <w:b/>
                <w:sz w:val="20"/>
                <w:szCs w:val="20"/>
              </w:rPr>
              <w:t>Articolul 254.</w:t>
            </w:r>
            <w:r w:rsidRPr="00154588">
              <w:rPr>
                <w:sz w:val="20"/>
                <w:szCs w:val="20"/>
              </w:rPr>
              <w:t xml:space="preserve"> – Nicio suspendare impusă în conformitate cu prevederile art.252 sau 253 nu se aplică:</w:t>
            </w:r>
          </w:p>
          <w:p w14:paraId="197B939B" w14:textId="77777777" w:rsidR="00F4284C" w:rsidRPr="00154588" w:rsidRDefault="00F4284C" w:rsidP="008C12B4">
            <w:pPr>
              <w:ind w:firstLine="567"/>
              <w:jc w:val="both"/>
              <w:rPr>
                <w:sz w:val="20"/>
                <w:szCs w:val="20"/>
              </w:rPr>
            </w:pPr>
            <w:r w:rsidRPr="00154588">
              <w:rPr>
                <w:sz w:val="20"/>
                <w:szCs w:val="20"/>
              </w:rPr>
              <w:t>a) sistemelor sau operatorilor de sisteme conform definiţiei din Legea nr.183</w:t>
            </w:r>
            <w:r w:rsidRPr="00154588">
              <w:rPr>
                <w:sz w:val="20"/>
                <w:szCs w:val="20"/>
                <w:lang w:eastAsia="ro-MD"/>
              </w:rPr>
              <w:t>/</w:t>
            </w:r>
            <w:r w:rsidRPr="00154588">
              <w:rPr>
                <w:sz w:val="20"/>
                <w:szCs w:val="20"/>
              </w:rPr>
              <w:t xml:space="preserve">2016 cu privire la caracterul definitiv al decontării în sistemele de plăţi şi de decontare a instrumentelor financiare, </w:t>
            </w:r>
          </w:p>
          <w:p w14:paraId="34DA61E6" w14:textId="77777777" w:rsidR="00F4284C" w:rsidRPr="00154588" w:rsidRDefault="00F4284C" w:rsidP="008C12B4">
            <w:pPr>
              <w:ind w:firstLine="567"/>
              <w:jc w:val="both"/>
              <w:rPr>
                <w:sz w:val="20"/>
                <w:szCs w:val="20"/>
              </w:rPr>
            </w:pPr>
            <w:r w:rsidRPr="00154588">
              <w:rPr>
                <w:sz w:val="20"/>
                <w:szCs w:val="20"/>
              </w:rPr>
              <w:t xml:space="preserve">b) contrapărţilor centrale autorizate în Uniune în temeiul art.14 din Regulamentul (UE) nr.648/2012, contrapărţilor centrale din ţări terţe recunoscute de ESMA în temeiul articolului 25 din Regulamentul (UE) nr.648/2012; sau </w:t>
            </w:r>
          </w:p>
          <w:p w14:paraId="38EA7E0F" w14:textId="77777777" w:rsidR="00F4284C" w:rsidRPr="00154588" w:rsidRDefault="00F4284C" w:rsidP="008C12B4">
            <w:pPr>
              <w:ind w:firstLine="567"/>
              <w:jc w:val="both"/>
              <w:rPr>
                <w:sz w:val="20"/>
                <w:szCs w:val="20"/>
              </w:rPr>
            </w:pPr>
            <w:r w:rsidRPr="00154588">
              <w:rPr>
                <w:sz w:val="20"/>
                <w:szCs w:val="20"/>
              </w:rPr>
              <w:t>c) băncilor centrale.</w:t>
            </w:r>
          </w:p>
          <w:bookmarkEnd w:id="149"/>
          <w:p w14:paraId="14EE74B4" w14:textId="77777777" w:rsidR="00F4284C" w:rsidRPr="00154588" w:rsidRDefault="00F4284C" w:rsidP="008C12B4">
            <w:pPr>
              <w:jc w:val="both"/>
              <w:rPr>
                <w:sz w:val="20"/>
                <w:szCs w:val="20"/>
              </w:rPr>
            </w:pPr>
          </w:p>
        </w:tc>
        <w:tc>
          <w:tcPr>
            <w:tcW w:w="2552" w:type="dxa"/>
          </w:tcPr>
          <w:p w14:paraId="6594A872" w14:textId="69089383" w:rsidR="00F4284C" w:rsidRPr="00154588" w:rsidRDefault="00F4284C" w:rsidP="008C12B4">
            <w:pPr>
              <w:jc w:val="both"/>
              <w:rPr>
                <w:sz w:val="20"/>
                <w:szCs w:val="20"/>
              </w:rPr>
            </w:pPr>
            <w:r w:rsidRPr="00154588">
              <w:rPr>
                <w:sz w:val="20"/>
                <w:szCs w:val="20"/>
              </w:rPr>
              <w:t>Compatibil</w:t>
            </w:r>
          </w:p>
        </w:tc>
        <w:tc>
          <w:tcPr>
            <w:tcW w:w="3118" w:type="dxa"/>
          </w:tcPr>
          <w:p w14:paraId="130EFDED" w14:textId="77777777" w:rsidR="00F4284C" w:rsidRPr="00154588" w:rsidRDefault="00F4284C" w:rsidP="008C12B4">
            <w:pPr>
              <w:jc w:val="both"/>
              <w:rPr>
                <w:sz w:val="20"/>
                <w:szCs w:val="20"/>
              </w:rPr>
            </w:pPr>
          </w:p>
        </w:tc>
      </w:tr>
      <w:tr w:rsidR="00F4284C" w:rsidRPr="00154588" w14:paraId="5769EE9D" w14:textId="77777777" w:rsidTr="00D15C1B">
        <w:trPr>
          <w:jc w:val="center"/>
        </w:trPr>
        <w:tc>
          <w:tcPr>
            <w:tcW w:w="4957" w:type="dxa"/>
            <w:gridSpan w:val="2"/>
          </w:tcPr>
          <w:p w14:paraId="66B2DC43" w14:textId="77777777" w:rsidR="00F4284C" w:rsidRPr="00154588" w:rsidRDefault="00F4284C" w:rsidP="008C12B4">
            <w:pPr>
              <w:jc w:val="both"/>
              <w:rPr>
                <w:sz w:val="20"/>
                <w:szCs w:val="20"/>
              </w:rPr>
            </w:pPr>
            <w:r w:rsidRPr="00154588">
              <w:rPr>
                <w:sz w:val="20"/>
                <w:szCs w:val="20"/>
              </w:rPr>
              <w:t>(4)   O persoană poate exercita un drept de reziliere în temeiul unui contract înainte de expirarea perioadei menționate la alineatul (1) sau (2), în cazul în care persoana respectivă primește un aviz din partea autorității de rezoluție prin care i se aduce la cunoștință faptul că drepturile și pasivele care fac obiectul contractului nu vor fi:</w:t>
            </w:r>
          </w:p>
          <w:p w14:paraId="674207D5" w14:textId="77777777" w:rsidR="00F4284C" w:rsidRPr="00154588" w:rsidRDefault="00F4284C" w:rsidP="008C12B4">
            <w:pPr>
              <w:jc w:val="both"/>
              <w:rPr>
                <w:sz w:val="20"/>
                <w:szCs w:val="20"/>
              </w:rPr>
            </w:pPr>
          </w:p>
          <w:p w14:paraId="2D6D2B7C" w14:textId="7A2136D8" w:rsidR="00F4284C" w:rsidRPr="00154588" w:rsidRDefault="00F4284C" w:rsidP="008C12B4">
            <w:pPr>
              <w:jc w:val="both"/>
              <w:rPr>
                <w:sz w:val="20"/>
                <w:szCs w:val="20"/>
              </w:rPr>
            </w:pPr>
            <w:r w:rsidRPr="00154588">
              <w:rPr>
                <w:sz w:val="20"/>
                <w:szCs w:val="20"/>
              </w:rPr>
              <w:t>(a) transferate unei alte entități; sau</w:t>
            </w:r>
          </w:p>
          <w:p w14:paraId="502A0066" w14:textId="77777777" w:rsidR="00F4284C" w:rsidRPr="00154588" w:rsidRDefault="00F4284C" w:rsidP="008C12B4">
            <w:pPr>
              <w:jc w:val="both"/>
              <w:rPr>
                <w:sz w:val="20"/>
                <w:szCs w:val="20"/>
              </w:rPr>
            </w:pPr>
          </w:p>
          <w:p w14:paraId="44001933" w14:textId="1D6FDF19" w:rsidR="00F4284C" w:rsidRPr="00154588" w:rsidRDefault="00F4284C" w:rsidP="008C12B4">
            <w:pPr>
              <w:jc w:val="both"/>
              <w:rPr>
                <w:sz w:val="20"/>
                <w:szCs w:val="20"/>
              </w:rPr>
            </w:pPr>
            <w:r w:rsidRPr="00154588">
              <w:rPr>
                <w:sz w:val="20"/>
                <w:szCs w:val="20"/>
              </w:rPr>
              <w:t>(b) supuse reducerii valorii contabile sau conversiei aferente aplicării instrumentului de recapitalizare internă în conformitate cu articolul 43 alineatul (2) litera (a).</w:t>
            </w:r>
          </w:p>
        </w:tc>
        <w:tc>
          <w:tcPr>
            <w:tcW w:w="4819" w:type="dxa"/>
          </w:tcPr>
          <w:p w14:paraId="12647F6B" w14:textId="77777777" w:rsidR="00F4284C" w:rsidRPr="00154588" w:rsidRDefault="00F4284C" w:rsidP="008C12B4">
            <w:pPr>
              <w:ind w:firstLine="567"/>
              <w:jc w:val="both"/>
              <w:rPr>
                <w:sz w:val="20"/>
                <w:szCs w:val="20"/>
              </w:rPr>
            </w:pPr>
            <w:r w:rsidRPr="00154588">
              <w:rPr>
                <w:b/>
                <w:sz w:val="20"/>
                <w:szCs w:val="20"/>
              </w:rPr>
              <w:t>Articolul 255.</w:t>
            </w:r>
            <w:r w:rsidRPr="00154588">
              <w:rPr>
                <w:sz w:val="20"/>
                <w:szCs w:val="20"/>
              </w:rPr>
              <w:t xml:space="preserve"> – O parte contractuală poate exercita dreptul de încetare în baza unui contract înainte de terminarea perioadei prevăzute la art.252 sau art.253, dacă partea în cauză primeşte o notificare din partea Băncii Naţionale a Moldovei, în calitate de autoritate de rezoluţie, de aducere la cunoştinţă a faptului că drepturile şi obligaţiile care fac obiectul contractului nu sînt:</w:t>
            </w:r>
          </w:p>
          <w:p w14:paraId="3478E5B7" w14:textId="77777777" w:rsidR="00F4284C" w:rsidRPr="00154588" w:rsidRDefault="00F4284C" w:rsidP="008C12B4">
            <w:pPr>
              <w:ind w:firstLine="567"/>
              <w:jc w:val="both"/>
              <w:rPr>
                <w:sz w:val="20"/>
                <w:szCs w:val="20"/>
              </w:rPr>
            </w:pPr>
            <w:r w:rsidRPr="00154588">
              <w:rPr>
                <w:sz w:val="20"/>
                <w:szCs w:val="20"/>
              </w:rPr>
              <w:t>a) transferate unei alte entităţi; sau</w:t>
            </w:r>
          </w:p>
          <w:p w14:paraId="1D118003" w14:textId="77777777" w:rsidR="00F4284C" w:rsidRPr="00154588" w:rsidRDefault="00F4284C" w:rsidP="008C12B4">
            <w:pPr>
              <w:ind w:firstLine="567"/>
              <w:jc w:val="both"/>
              <w:rPr>
                <w:sz w:val="20"/>
                <w:szCs w:val="20"/>
              </w:rPr>
            </w:pPr>
            <w:r w:rsidRPr="00154588">
              <w:rPr>
                <w:sz w:val="20"/>
                <w:szCs w:val="20"/>
              </w:rPr>
              <w:t>b) supuse reducerii valorii sau conversiei ca urmare a aplicării instrumentului de recapitalizare internă în conformitate cu prevederile art.152 lit.a).</w:t>
            </w:r>
          </w:p>
          <w:p w14:paraId="179E87C8" w14:textId="77777777" w:rsidR="00F4284C" w:rsidRPr="00154588" w:rsidRDefault="00F4284C" w:rsidP="008C12B4">
            <w:pPr>
              <w:jc w:val="both"/>
              <w:rPr>
                <w:sz w:val="20"/>
                <w:szCs w:val="20"/>
              </w:rPr>
            </w:pPr>
          </w:p>
        </w:tc>
        <w:tc>
          <w:tcPr>
            <w:tcW w:w="2552" w:type="dxa"/>
          </w:tcPr>
          <w:p w14:paraId="2162154E" w14:textId="090FFCCF" w:rsidR="00F4284C" w:rsidRPr="00154588" w:rsidRDefault="00F4284C" w:rsidP="008C12B4">
            <w:pPr>
              <w:jc w:val="both"/>
              <w:rPr>
                <w:sz w:val="20"/>
                <w:szCs w:val="20"/>
              </w:rPr>
            </w:pPr>
            <w:r w:rsidRPr="00154588">
              <w:rPr>
                <w:sz w:val="20"/>
                <w:szCs w:val="20"/>
              </w:rPr>
              <w:t>Compatibil</w:t>
            </w:r>
          </w:p>
        </w:tc>
        <w:tc>
          <w:tcPr>
            <w:tcW w:w="3118" w:type="dxa"/>
          </w:tcPr>
          <w:p w14:paraId="4AD81239" w14:textId="77777777" w:rsidR="00F4284C" w:rsidRPr="00154588" w:rsidRDefault="00F4284C" w:rsidP="008C12B4">
            <w:pPr>
              <w:jc w:val="both"/>
              <w:rPr>
                <w:sz w:val="20"/>
                <w:szCs w:val="20"/>
              </w:rPr>
            </w:pPr>
          </w:p>
        </w:tc>
      </w:tr>
      <w:tr w:rsidR="00F4284C" w:rsidRPr="00154588" w14:paraId="276379AE" w14:textId="77777777" w:rsidTr="00D15C1B">
        <w:trPr>
          <w:jc w:val="center"/>
        </w:trPr>
        <w:tc>
          <w:tcPr>
            <w:tcW w:w="4957" w:type="dxa"/>
            <w:gridSpan w:val="2"/>
          </w:tcPr>
          <w:p w14:paraId="35EF8868" w14:textId="77777777" w:rsidR="00F4284C" w:rsidRPr="00154588" w:rsidRDefault="00F4284C" w:rsidP="008C12B4">
            <w:pPr>
              <w:rPr>
                <w:sz w:val="20"/>
                <w:szCs w:val="20"/>
              </w:rPr>
            </w:pPr>
            <w:r w:rsidRPr="00154588">
              <w:rPr>
                <w:sz w:val="20"/>
                <w:szCs w:val="20"/>
              </w:rPr>
              <w:t>(5)   În cazul în care autoritatea de rezoluție exercită competența de suspendare a drepturilor de reziliere prevăzută la alineatul (1) sau (2) din prezentul articol și în cazul în care nu s-a dat un aviz în temeiul alineatului (4) din prezentul articol, aceste drepturi pot fi exercitate la expirarea perioadei de suspendare, sub rezerva articolului 68, după cum urmează:</w:t>
            </w:r>
          </w:p>
          <w:p w14:paraId="4D3A27F8" w14:textId="77777777" w:rsidR="00F4284C" w:rsidRPr="00154588" w:rsidRDefault="00F4284C" w:rsidP="008C12B4">
            <w:pPr>
              <w:rPr>
                <w:sz w:val="20"/>
                <w:szCs w:val="20"/>
              </w:rPr>
            </w:pPr>
          </w:p>
          <w:p w14:paraId="518A2D2E" w14:textId="56AD30E8" w:rsidR="00F4284C" w:rsidRPr="00154588" w:rsidRDefault="00F4284C" w:rsidP="008C12B4">
            <w:pPr>
              <w:rPr>
                <w:sz w:val="20"/>
                <w:szCs w:val="20"/>
              </w:rPr>
            </w:pPr>
            <w:r w:rsidRPr="00154588">
              <w:rPr>
                <w:sz w:val="20"/>
                <w:szCs w:val="20"/>
              </w:rPr>
              <w:lastRenderedPageBreak/>
              <w:t>(a) dacă drepturile și obligațiile ce decurg în temeiul contractului au fost transferate către o altă entitate, o contraparte poate exercita drepturile de reziliere în conformitate cu clauzele contractului respectiv doar în cazul continuării sau producerii ulterioare a vreunui eveniment care determină executarea de către entitatea destinatară;</w:t>
            </w:r>
          </w:p>
          <w:p w14:paraId="3CF41D8B" w14:textId="77777777" w:rsidR="00F4284C" w:rsidRPr="00154588" w:rsidRDefault="00F4284C" w:rsidP="008C12B4">
            <w:pPr>
              <w:rPr>
                <w:sz w:val="20"/>
                <w:szCs w:val="20"/>
              </w:rPr>
            </w:pPr>
          </w:p>
          <w:p w14:paraId="1035F040" w14:textId="20DD32B7" w:rsidR="00F4284C" w:rsidRPr="00154588" w:rsidRDefault="00F4284C" w:rsidP="008C12B4">
            <w:pPr>
              <w:rPr>
                <w:sz w:val="20"/>
                <w:szCs w:val="20"/>
              </w:rPr>
            </w:pPr>
            <w:r w:rsidRPr="00154588">
              <w:rPr>
                <w:sz w:val="20"/>
                <w:szCs w:val="20"/>
              </w:rPr>
              <w:t>(b) dacă instituția aflată în rezoluție își păstrează drepturile și obligațiile care decurg în temeiul contractului, iar autoritatea de rezoluție nu a aplicat instituției respective instrumentul de recapitalizare internă în conformitate cu articolul 43 alineatul (2) litera (a), o contraparte poate exercita dreptul de reziliere, în conformitate cu clauzele respectivului contract la expirarea suspendării în temeiul alineatului (1).</w:t>
            </w:r>
          </w:p>
        </w:tc>
        <w:tc>
          <w:tcPr>
            <w:tcW w:w="4819" w:type="dxa"/>
          </w:tcPr>
          <w:p w14:paraId="51A11BCA" w14:textId="77777777" w:rsidR="00F4284C" w:rsidRPr="00154588" w:rsidRDefault="00F4284C" w:rsidP="008C12B4">
            <w:pPr>
              <w:ind w:firstLine="567"/>
              <w:jc w:val="both"/>
              <w:rPr>
                <w:sz w:val="20"/>
                <w:szCs w:val="20"/>
              </w:rPr>
            </w:pPr>
            <w:r w:rsidRPr="00154588">
              <w:rPr>
                <w:b/>
                <w:sz w:val="20"/>
                <w:szCs w:val="20"/>
              </w:rPr>
              <w:lastRenderedPageBreak/>
              <w:t>Articolul 256.</w:t>
            </w:r>
            <w:r w:rsidRPr="00154588">
              <w:rPr>
                <w:sz w:val="20"/>
                <w:szCs w:val="20"/>
              </w:rPr>
              <w:t xml:space="preserve"> – În situaţia în care Banca Naţională a Moldovei, în calitate de autoritate de rezoluţie, impune suspendarea drepturilor de încetare potrivit prevederilor art.252-253 şi nu a fost dată nicio notificare în conformitate cu prevederile art.255, respectivele drepturi pot fi exercitate la expirarea perioadei de suspendare, în conformitate cu prevederile art.241-245, după cum urmează:</w:t>
            </w:r>
          </w:p>
          <w:p w14:paraId="2CB4041A" w14:textId="77777777" w:rsidR="00F4284C" w:rsidRPr="00154588" w:rsidRDefault="00F4284C" w:rsidP="008C12B4">
            <w:pPr>
              <w:ind w:firstLine="567"/>
              <w:jc w:val="both"/>
              <w:rPr>
                <w:sz w:val="20"/>
                <w:szCs w:val="20"/>
              </w:rPr>
            </w:pPr>
            <w:r w:rsidRPr="00154588">
              <w:rPr>
                <w:sz w:val="20"/>
                <w:szCs w:val="20"/>
              </w:rPr>
              <w:t xml:space="preserve">a) dacă drepturile şi obligaţiile contractuale au fost transferate unei alte entităţi, o contraparte poate </w:t>
            </w:r>
            <w:r w:rsidRPr="00154588">
              <w:rPr>
                <w:sz w:val="20"/>
                <w:szCs w:val="20"/>
              </w:rPr>
              <w:lastRenderedPageBreak/>
              <w:t>exercita drepturile de încetare în conformitate cu clauzele contractului numai în cazul continuării sau producerii ulterioare de către entitatea destinatară a unui eveniment determinat care dă dreptul la încetare potrivit contractului;</w:t>
            </w:r>
          </w:p>
          <w:p w14:paraId="110E2C9E" w14:textId="77777777" w:rsidR="00F4284C" w:rsidRPr="00154588" w:rsidRDefault="00F4284C" w:rsidP="008C12B4">
            <w:pPr>
              <w:ind w:firstLine="567"/>
              <w:jc w:val="both"/>
              <w:rPr>
                <w:sz w:val="20"/>
                <w:szCs w:val="20"/>
              </w:rPr>
            </w:pPr>
            <w:r w:rsidRPr="00154588">
              <w:rPr>
                <w:sz w:val="20"/>
                <w:szCs w:val="20"/>
              </w:rPr>
              <w:t>b) dacă instituția supusă rezoluţiei îşi păstrează drepturile şi obligaţiile contractuale, iar Banca Naţională a Moldovei, în calitate de autoritate de rezoluţie, nu a aplicat instituției respective instrumentul de recapitalizare internă în conformitate cu prevederile art.152 lit.a), o contraparte poate exercita dreptul de încetare, în conformitate cu clauzele respectivului contract la expirarea suspendării prevăzute la art.252.</w:t>
            </w:r>
          </w:p>
          <w:p w14:paraId="61255C71" w14:textId="77777777" w:rsidR="00F4284C" w:rsidRPr="00154588" w:rsidRDefault="00F4284C" w:rsidP="008C12B4">
            <w:pPr>
              <w:jc w:val="both"/>
              <w:rPr>
                <w:sz w:val="20"/>
                <w:szCs w:val="20"/>
              </w:rPr>
            </w:pPr>
          </w:p>
        </w:tc>
        <w:tc>
          <w:tcPr>
            <w:tcW w:w="2552" w:type="dxa"/>
          </w:tcPr>
          <w:p w14:paraId="6452FC72" w14:textId="45623A1C" w:rsidR="00F4284C" w:rsidRPr="00154588" w:rsidRDefault="00F4284C" w:rsidP="008C12B4">
            <w:pPr>
              <w:jc w:val="both"/>
              <w:rPr>
                <w:sz w:val="20"/>
                <w:szCs w:val="20"/>
              </w:rPr>
            </w:pPr>
            <w:r w:rsidRPr="00154588">
              <w:rPr>
                <w:sz w:val="20"/>
                <w:szCs w:val="20"/>
              </w:rPr>
              <w:lastRenderedPageBreak/>
              <w:t>Compatibil</w:t>
            </w:r>
          </w:p>
        </w:tc>
        <w:tc>
          <w:tcPr>
            <w:tcW w:w="3118" w:type="dxa"/>
          </w:tcPr>
          <w:p w14:paraId="5EABA06A" w14:textId="77777777" w:rsidR="00F4284C" w:rsidRPr="00154588" w:rsidRDefault="00F4284C" w:rsidP="008C12B4">
            <w:pPr>
              <w:jc w:val="both"/>
              <w:rPr>
                <w:sz w:val="20"/>
                <w:szCs w:val="20"/>
              </w:rPr>
            </w:pPr>
          </w:p>
        </w:tc>
      </w:tr>
      <w:tr w:rsidR="00F4284C" w:rsidRPr="00154588" w14:paraId="54ACF24A" w14:textId="77777777" w:rsidTr="00D15C1B">
        <w:trPr>
          <w:jc w:val="center"/>
        </w:trPr>
        <w:tc>
          <w:tcPr>
            <w:tcW w:w="4957" w:type="dxa"/>
            <w:gridSpan w:val="2"/>
          </w:tcPr>
          <w:p w14:paraId="61B44BDF" w14:textId="62E896F7" w:rsidR="00F4284C" w:rsidRPr="00154588" w:rsidRDefault="00F4284C" w:rsidP="008C12B4">
            <w:pPr>
              <w:jc w:val="both"/>
              <w:rPr>
                <w:sz w:val="20"/>
                <w:szCs w:val="20"/>
              </w:rPr>
            </w:pPr>
            <w:r w:rsidRPr="00154588">
              <w:rPr>
                <w:sz w:val="20"/>
                <w:szCs w:val="20"/>
              </w:rPr>
              <w:t>(6)   Atunci când își exercită o competență în temeiul prezentului articol, autoritățile de rezoluție țin seama de impactul pe care l-ar putea avea exercitarea respectivei competențe asupra bunei funcționări a piețelor financiare.</w:t>
            </w:r>
          </w:p>
        </w:tc>
        <w:tc>
          <w:tcPr>
            <w:tcW w:w="4819" w:type="dxa"/>
          </w:tcPr>
          <w:p w14:paraId="57A2AD3B" w14:textId="77777777" w:rsidR="00F4284C" w:rsidRPr="00154588" w:rsidRDefault="00F4284C" w:rsidP="008C12B4">
            <w:pPr>
              <w:ind w:firstLine="567"/>
              <w:jc w:val="both"/>
              <w:rPr>
                <w:sz w:val="20"/>
                <w:szCs w:val="20"/>
              </w:rPr>
            </w:pPr>
            <w:r w:rsidRPr="00154588">
              <w:rPr>
                <w:b/>
                <w:sz w:val="20"/>
                <w:szCs w:val="20"/>
              </w:rPr>
              <w:t>Articolul 257.</w:t>
            </w:r>
            <w:r w:rsidRPr="00154588">
              <w:rPr>
                <w:sz w:val="20"/>
                <w:szCs w:val="20"/>
              </w:rPr>
              <w:t xml:space="preserve"> – În exercitarea competenţelor prevăzute la art.252-256, Banca Naţională a Moldovei, în calitate de autoritate de rezoluţie, are în vedere impactul aplicării respectivei măsuri asupra bunei funcţionări a pieţelor financiare.</w:t>
            </w:r>
          </w:p>
          <w:p w14:paraId="20BA0B98" w14:textId="77777777" w:rsidR="00F4284C" w:rsidRPr="00154588" w:rsidRDefault="00F4284C" w:rsidP="008C12B4">
            <w:pPr>
              <w:jc w:val="both"/>
              <w:rPr>
                <w:sz w:val="20"/>
                <w:szCs w:val="20"/>
              </w:rPr>
            </w:pPr>
          </w:p>
        </w:tc>
        <w:tc>
          <w:tcPr>
            <w:tcW w:w="2552" w:type="dxa"/>
          </w:tcPr>
          <w:p w14:paraId="7CFF2BD5" w14:textId="645C24C1" w:rsidR="00F4284C" w:rsidRPr="00154588" w:rsidRDefault="00F4284C" w:rsidP="008C12B4">
            <w:pPr>
              <w:jc w:val="both"/>
              <w:rPr>
                <w:sz w:val="20"/>
                <w:szCs w:val="20"/>
              </w:rPr>
            </w:pPr>
            <w:r w:rsidRPr="00154588">
              <w:rPr>
                <w:sz w:val="20"/>
                <w:szCs w:val="20"/>
              </w:rPr>
              <w:t>Compatibil</w:t>
            </w:r>
          </w:p>
        </w:tc>
        <w:tc>
          <w:tcPr>
            <w:tcW w:w="3118" w:type="dxa"/>
          </w:tcPr>
          <w:p w14:paraId="6441814A" w14:textId="77777777" w:rsidR="00F4284C" w:rsidRPr="00154588" w:rsidRDefault="00F4284C" w:rsidP="008C12B4">
            <w:pPr>
              <w:jc w:val="both"/>
              <w:rPr>
                <w:sz w:val="20"/>
                <w:szCs w:val="20"/>
              </w:rPr>
            </w:pPr>
          </w:p>
        </w:tc>
      </w:tr>
      <w:tr w:rsidR="00F4284C" w:rsidRPr="00154588" w14:paraId="4357E6C5" w14:textId="77777777" w:rsidTr="00D15C1B">
        <w:trPr>
          <w:jc w:val="center"/>
        </w:trPr>
        <w:tc>
          <w:tcPr>
            <w:tcW w:w="4957" w:type="dxa"/>
            <w:gridSpan w:val="2"/>
          </w:tcPr>
          <w:p w14:paraId="42153EEA" w14:textId="77777777" w:rsidR="00F4284C" w:rsidRPr="00154588" w:rsidRDefault="00F4284C" w:rsidP="008C12B4">
            <w:pPr>
              <w:jc w:val="both"/>
              <w:rPr>
                <w:sz w:val="20"/>
                <w:szCs w:val="20"/>
              </w:rPr>
            </w:pPr>
            <w:r w:rsidRPr="00154588">
              <w:rPr>
                <w:sz w:val="20"/>
                <w:szCs w:val="20"/>
              </w:rPr>
              <w:t>(7)   Autoritățile competente sau autoritățile de rezoluție pot solicita unei instituții sau unei entități menționate la articolul 1 alineatul (1) litera (b), (c) sau (d) să păstreze evidențe detaliate ale contractelor financiare.</w:t>
            </w:r>
          </w:p>
          <w:p w14:paraId="3E0A917C" w14:textId="77777777" w:rsidR="00F4284C" w:rsidRPr="00154588" w:rsidRDefault="00F4284C" w:rsidP="008C12B4">
            <w:pPr>
              <w:jc w:val="both"/>
              <w:rPr>
                <w:sz w:val="20"/>
                <w:szCs w:val="20"/>
              </w:rPr>
            </w:pPr>
          </w:p>
          <w:p w14:paraId="248540BE" w14:textId="34806E0C" w:rsidR="00F4284C" w:rsidRPr="00154588" w:rsidRDefault="00F4284C" w:rsidP="008C12B4">
            <w:pPr>
              <w:jc w:val="both"/>
              <w:rPr>
                <w:sz w:val="20"/>
                <w:szCs w:val="20"/>
              </w:rPr>
            </w:pPr>
            <w:r w:rsidRPr="00154588">
              <w:rPr>
                <w:sz w:val="20"/>
                <w:szCs w:val="20"/>
              </w:rPr>
              <w:t>La cererea unei autorități competente sau a unei autorități de rezoluție, registrele centrale de tranzacții pun informațiile necesare la dispoziția autorităților competente sau a autorităților de rezoluție pentru a le permite să-și îndeplinească responsabilitățile și mandatele în conformitate cu articolul 81 din Regulamentul (UE) nr. 648/2012.</w:t>
            </w:r>
          </w:p>
        </w:tc>
        <w:tc>
          <w:tcPr>
            <w:tcW w:w="4819" w:type="dxa"/>
          </w:tcPr>
          <w:p w14:paraId="61ABB470" w14:textId="77777777" w:rsidR="00F4284C" w:rsidRPr="00154588" w:rsidRDefault="00F4284C" w:rsidP="008C12B4">
            <w:pPr>
              <w:ind w:firstLine="567"/>
              <w:jc w:val="both"/>
              <w:rPr>
                <w:sz w:val="20"/>
                <w:szCs w:val="20"/>
              </w:rPr>
            </w:pPr>
            <w:r w:rsidRPr="00154588">
              <w:rPr>
                <w:b/>
                <w:sz w:val="20"/>
                <w:szCs w:val="20"/>
              </w:rPr>
              <w:t>Articolul 258.</w:t>
            </w:r>
            <w:r w:rsidRPr="00154588">
              <w:rPr>
                <w:sz w:val="20"/>
                <w:szCs w:val="20"/>
              </w:rPr>
              <w:t xml:space="preserve"> – (1) Banca Naţională a Moldovei</w:t>
            </w:r>
            <w:bookmarkStart w:id="150" w:name="_Hlk223430978"/>
            <w:r w:rsidRPr="00154588">
              <w:rPr>
                <w:sz w:val="20"/>
                <w:szCs w:val="20"/>
              </w:rPr>
              <w:t xml:space="preserve">, în calitate de autoritate de rezoluție sau de autoritate competentă, </w:t>
            </w:r>
            <w:bookmarkEnd w:id="150"/>
            <w:r w:rsidRPr="00154588">
              <w:rPr>
                <w:sz w:val="20"/>
                <w:szCs w:val="20"/>
              </w:rPr>
              <w:t xml:space="preserve">poate solicita unei </w:t>
            </w:r>
            <w:bookmarkStart w:id="151" w:name="_Hlk223431016"/>
            <w:r w:rsidRPr="00154588">
              <w:rPr>
                <w:sz w:val="20"/>
                <w:szCs w:val="20"/>
              </w:rPr>
              <w:t xml:space="preserve">instituţii de credit sau unei entităţii menţionate la art.1 alin.(1) lit.b), c) sau d) </w:t>
            </w:r>
            <w:bookmarkEnd w:id="151"/>
            <w:r w:rsidRPr="00154588">
              <w:rPr>
                <w:sz w:val="20"/>
                <w:szCs w:val="20"/>
              </w:rPr>
              <w:t xml:space="preserve"> să păstreze evidenţe detaliate ale contractelor financiare.</w:t>
            </w:r>
          </w:p>
          <w:p w14:paraId="13360C60" w14:textId="77777777" w:rsidR="00F4284C" w:rsidRPr="00154588" w:rsidRDefault="00F4284C" w:rsidP="008C12B4">
            <w:pPr>
              <w:ind w:firstLine="567"/>
              <w:jc w:val="both"/>
              <w:rPr>
                <w:sz w:val="20"/>
                <w:szCs w:val="20"/>
              </w:rPr>
            </w:pPr>
            <w:r w:rsidRPr="00154588">
              <w:rPr>
                <w:sz w:val="20"/>
                <w:szCs w:val="20"/>
              </w:rPr>
              <w:t>(2) La solicitarea Băncii Naţionale a Moldovei, în calitate de autoritate competentă sau în calitate de autoritate de rezoluţie, entităţile care deţin informaţiile privind contractele financiare pun la dispoziţia acesteia informaţiile necesare pentru a-i permite îndeplinirea atribuţiilor sale.</w:t>
            </w:r>
          </w:p>
          <w:p w14:paraId="62EC5720" w14:textId="77777777" w:rsidR="00F4284C" w:rsidRPr="00154588" w:rsidRDefault="00F4284C" w:rsidP="008C12B4">
            <w:pPr>
              <w:jc w:val="both"/>
              <w:rPr>
                <w:sz w:val="20"/>
                <w:szCs w:val="20"/>
              </w:rPr>
            </w:pPr>
          </w:p>
        </w:tc>
        <w:tc>
          <w:tcPr>
            <w:tcW w:w="2552" w:type="dxa"/>
          </w:tcPr>
          <w:p w14:paraId="24689203" w14:textId="3DFADF1F" w:rsidR="00F4284C" w:rsidRPr="00154588" w:rsidRDefault="00F4284C" w:rsidP="008C12B4">
            <w:pPr>
              <w:jc w:val="both"/>
              <w:rPr>
                <w:sz w:val="20"/>
                <w:szCs w:val="20"/>
              </w:rPr>
            </w:pPr>
            <w:r w:rsidRPr="00154588">
              <w:rPr>
                <w:sz w:val="20"/>
                <w:szCs w:val="20"/>
              </w:rPr>
              <w:t>Compatibil</w:t>
            </w:r>
          </w:p>
        </w:tc>
        <w:tc>
          <w:tcPr>
            <w:tcW w:w="3118" w:type="dxa"/>
          </w:tcPr>
          <w:p w14:paraId="5AB63296" w14:textId="77777777" w:rsidR="00F4284C" w:rsidRPr="00154588" w:rsidRDefault="00F4284C" w:rsidP="008C12B4">
            <w:pPr>
              <w:jc w:val="both"/>
              <w:rPr>
                <w:sz w:val="20"/>
                <w:szCs w:val="20"/>
              </w:rPr>
            </w:pPr>
          </w:p>
        </w:tc>
      </w:tr>
      <w:tr w:rsidR="00F4284C" w:rsidRPr="00154588" w14:paraId="43124657" w14:textId="77777777" w:rsidTr="00D15C1B">
        <w:trPr>
          <w:jc w:val="center"/>
        </w:trPr>
        <w:tc>
          <w:tcPr>
            <w:tcW w:w="4957" w:type="dxa"/>
            <w:gridSpan w:val="2"/>
          </w:tcPr>
          <w:p w14:paraId="65E73997" w14:textId="77777777" w:rsidR="00F4284C" w:rsidRPr="00154588" w:rsidRDefault="00F4284C" w:rsidP="008C12B4">
            <w:pPr>
              <w:jc w:val="both"/>
              <w:rPr>
                <w:sz w:val="20"/>
                <w:szCs w:val="20"/>
              </w:rPr>
            </w:pPr>
            <w:r w:rsidRPr="00154588">
              <w:rPr>
                <w:sz w:val="20"/>
                <w:szCs w:val="20"/>
              </w:rPr>
              <w:t>(8)   ABE elaborează proiecte de standarde tehnice de reglementare pentru a preciza următoarele elemente în sensul alineatului (7):</w:t>
            </w:r>
          </w:p>
          <w:p w14:paraId="33AAFC7C" w14:textId="77777777" w:rsidR="00F4284C" w:rsidRPr="00154588" w:rsidRDefault="00F4284C" w:rsidP="008C12B4">
            <w:pPr>
              <w:jc w:val="both"/>
              <w:rPr>
                <w:sz w:val="20"/>
                <w:szCs w:val="20"/>
              </w:rPr>
            </w:pPr>
          </w:p>
          <w:p w14:paraId="7F874F1E" w14:textId="338C97DE" w:rsidR="00F4284C" w:rsidRPr="00154588" w:rsidRDefault="00F4284C" w:rsidP="008C12B4">
            <w:pPr>
              <w:jc w:val="both"/>
              <w:rPr>
                <w:sz w:val="20"/>
                <w:szCs w:val="20"/>
              </w:rPr>
            </w:pPr>
            <w:r w:rsidRPr="00154588">
              <w:rPr>
                <w:sz w:val="20"/>
                <w:szCs w:val="20"/>
              </w:rPr>
              <w:t>(a) un set minim de informații privind contractele financiare care trebuie să figureze în registrele detaliate; și</w:t>
            </w:r>
          </w:p>
          <w:p w14:paraId="04F331CE" w14:textId="77777777" w:rsidR="00F4284C" w:rsidRPr="00154588" w:rsidRDefault="00F4284C" w:rsidP="008C12B4">
            <w:pPr>
              <w:jc w:val="both"/>
              <w:rPr>
                <w:sz w:val="20"/>
                <w:szCs w:val="20"/>
              </w:rPr>
            </w:pPr>
          </w:p>
          <w:p w14:paraId="6F134D98" w14:textId="19C01B1F" w:rsidR="00F4284C" w:rsidRPr="00154588" w:rsidRDefault="00F4284C" w:rsidP="008C12B4">
            <w:pPr>
              <w:jc w:val="both"/>
              <w:rPr>
                <w:sz w:val="20"/>
                <w:szCs w:val="20"/>
              </w:rPr>
            </w:pPr>
            <w:r w:rsidRPr="00154588">
              <w:rPr>
                <w:sz w:val="20"/>
                <w:szCs w:val="20"/>
              </w:rPr>
              <w:lastRenderedPageBreak/>
              <w:t>(b) circumstanțele în care trebuie impusă această cerință.</w:t>
            </w:r>
          </w:p>
          <w:p w14:paraId="5294AF30" w14:textId="77777777" w:rsidR="00F4284C" w:rsidRPr="00154588" w:rsidRDefault="00F4284C" w:rsidP="008C12B4">
            <w:pPr>
              <w:jc w:val="both"/>
              <w:rPr>
                <w:sz w:val="20"/>
                <w:szCs w:val="20"/>
              </w:rPr>
            </w:pPr>
          </w:p>
          <w:p w14:paraId="2D11AA44" w14:textId="77777777" w:rsidR="00F4284C" w:rsidRPr="00154588" w:rsidRDefault="00F4284C" w:rsidP="008C12B4">
            <w:pPr>
              <w:jc w:val="both"/>
              <w:rPr>
                <w:sz w:val="20"/>
                <w:szCs w:val="20"/>
              </w:rPr>
            </w:pPr>
            <w:r w:rsidRPr="00154588">
              <w:rPr>
                <w:sz w:val="20"/>
                <w:szCs w:val="20"/>
              </w:rPr>
              <w:t>ABE înaintează Comisiei aceste proiecte de standarde tehnice de reglementare până la 3 iulie 2015.</w:t>
            </w:r>
          </w:p>
          <w:p w14:paraId="19BDC6C6" w14:textId="77777777" w:rsidR="00F4284C" w:rsidRPr="00154588" w:rsidRDefault="00F4284C" w:rsidP="008C12B4">
            <w:pPr>
              <w:jc w:val="both"/>
              <w:rPr>
                <w:sz w:val="20"/>
                <w:szCs w:val="20"/>
              </w:rPr>
            </w:pPr>
          </w:p>
          <w:p w14:paraId="20FEFC38" w14:textId="207F6C21" w:rsidR="00F4284C" w:rsidRPr="00154588" w:rsidRDefault="00F4284C" w:rsidP="008C12B4">
            <w:pPr>
              <w:jc w:val="both"/>
              <w:rPr>
                <w:sz w:val="20"/>
                <w:szCs w:val="20"/>
              </w:rPr>
            </w:pPr>
            <w:r w:rsidRPr="00154588">
              <w:rPr>
                <w:sz w:val="20"/>
                <w:szCs w:val="20"/>
              </w:rPr>
              <w:t>Se deleagă Comisiei competența de a adopta standardele tehnice de reglementare menționate la primul paragraf în conformitate cu articolele 10-14 din Regulamentul (UE) nr. 1093/2010.</w:t>
            </w:r>
          </w:p>
        </w:tc>
        <w:tc>
          <w:tcPr>
            <w:tcW w:w="4819" w:type="dxa"/>
          </w:tcPr>
          <w:p w14:paraId="41B8A75B" w14:textId="77777777" w:rsidR="00F4284C" w:rsidRPr="00154588" w:rsidRDefault="00F4284C" w:rsidP="008C12B4">
            <w:pPr>
              <w:jc w:val="both"/>
              <w:rPr>
                <w:sz w:val="20"/>
                <w:szCs w:val="20"/>
              </w:rPr>
            </w:pPr>
          </w:p>
        </w:tc>
        <w:tc>
          <w:tcPr>
            <w:tcW w:w="2552" w:type="dxa"/>
          </w:tcPr>
          <w:p w14:paraId="66DE86D9" w14:textId="32F3ED3A" w:rsidR="00F4284C" w:rsidRPr="00154588" w:rsidRDefault="00F4284C" w:rsidP="008C12B4">
            <w:pPr>
              <w:jc w:val="both"/>
              <w:rPr>
                <w:sz w:val="20"/>
                <w:szCs w:val="20"/>
              </w:rPr>
            </w:pPr>
            <w:r w:rsidRPr="00154588">
              <w:rPr>
                <w:sz w:val="20"/>
                <w:szCs w:val="20"/>
              </w:rPr>
              <w:t>Prevederi UE neaplicabile</w:t>
            </w:r>
          </w:p>
        </w:tc>
        <w:tc>
          <w:tcPr>
            <w:tcW w:w="3118" w:type="dxa"/>
          </w:tcPr>
          <w:p w14:paraId="01E81E35" w14:textId="52E09825" w:rsidR="00F4284C" w:rsidRPr="00154588" w:rsidRDefault="00F4284C" w:rsidP="008C12B4">
            <w:pPr>
              <w:jc w:val="both"/>
              <w:rPr>
                <w:sz w:val="20"/>
                <w:szCs w:val="20"/>
              </w:rPr>
            </w:pPr>
            <w:r w:rsidRPr="00154588">
              <w:rPr>
                <w:sz w:val="20"/>
                <w:szCs w:val="20"/>
                <w:lang w:val="ro-MD"/>
              </w:rPr>
              <w:t>Prevederi care se referă la atribuțiile de reglementare ale autorităților europene.</w:t>
            </w:r>
          </w:p>
        </w:tc>
      </w:tr>
      <w:tr w:rsidR="00F4284C" w:rsidRPr="00154588" w14:paraId="6BDD285C" w14:textId="77777777" w:rsidTr="00D15C1B">
        <w:trPr>
          <w:jc w:val="center"/>
        </w:trPr>
        <w:tc>
          <w:tcPr>
            <w:tcW w:w="4957" w:type="dxa"/>
            <w:gridSpan w:val="2"/>
          </w:tcPr>
          <w:p w14:paraId="63D239F3" w14:textId="77777777" w:rsidR="00F4284C" w:rsidRPr="00154588" w:rsidRDefault="00F4284C" w:rsidP="008C12B4">
            <w:pPr>
              <w:jc w:val="both"/>
              <w:rPr>
                <w:b/>
                <w:sz w:val="20"/>
                <w:szCs w:val="20"/>
              </w:rPr>
            </w:pPr>
            <w:r w:rsidRPr="00154588">
              <w:rPr>
                <w:b/>
                <w:sz w:val="20"/>
                <w:szCs w:val="20"/>
              </w:rPr>
              <w:t>Articolul 71a</w:t>
            </w:r>
          </w:p>
          <w:p w14:paraId="13061E0F" w14:textId="77777777" w:rsidR="00F4284C" w:rsidRPr="00154588" w:rsidRDefault="00F4284C" w:rsidP="008C12B4">
            <w:pPr>
              <w:jc w:val="both"/>
              <w:rPr>
                <w:b/>
                <w:sz w:val="20"/>
                <w:szCs w:val="20"/>
              </w:rPr>
            </w:pPr>
          </w:p>
          <w:p w14:paraId="3D6CB866" w14:textId="6CBBE5CF" w:rsidR="00F4284C" w:rsidRPr="00154588" w:rsidRDefault="00F4284C" w:rsidP="008C12B4">
            <w:pPr>
              <w:jc w:val="both"/>
              <w:rPr>
                <w:sz w:val="20"/>
                <w:szCs w:val="20"/>
              </w:rPr>
            </w:pPr>
            <w:r w:rsidRPr="00154588">
              <w:rPr>
                <w:b/>
                <w:sz w:val="20"/>
                <w:szCs w:val="20"/>
              </w:rPr>
              <w:t>Recunoașterea contractuală a competențelor de suspendare în caz de rezoluție</w:t>
            </w:r>
          </w:p>
        </w:tc>
        <w:tc>
          <w:tcPr>
            <w:tcW w:w="4819" w:type="dxa"/>
          </w:tcPr>
          <w:p w14:paraId="68CD27AB" w14:textId="77777777" w:rsidR="00F4284C" w:rsidRPr="00154588" w:rsidRDefault="00F4284C" w:rsidP="008C12B4">
            <w:pPr>
              <w:jc w:val="both"/>
              <w:rPr>
                <w:sz w:val="20"/>
                <w:szCs w:val="20"/>
              </w:rPr>
            </w:pPr>
          </w:p>
        </w:tc>
        <w:tc>
          <w:tcPr>
            <w:tcW w:w="2552" w:type="dxa"/>
          </w:tcPr>
          <w:p w14:paraId="0BEDFEC2" w14:textId="77777777" w:rsidR="00F4284C" w:rsidRPr="00154588" w:rsidRDefault="00F4284C" w:rsidP="008C12B4">
            <w:pPr>
              <w:jc w:val="both"/>
              <w:rPr>
                <w:sz w:val="20"/>
                <w:szCs w:val="20"/>
              </w:rPr>
            </w:pPr>
          </w:p>
        </w:tc>
        <w:tc>
          <w:tcPr>
            <w:tcW w:w="3118" w:type="dxa"/>
          </w:tcPr>
          <w:p w14:paraId="4453164B" w14:textId="77777777" w:rsidR="00F4284C" w:rsidRPr="00154588" w:rsidRDefault="00F4284C" w:rsidP="008C12B4">
            <w:pPr>
              <w:jc w:val="both"/>
              <w:rPr>
                <w:sz w:val="20"/>
                <w:szCs w:val="20"/>
              </w:rPr>
            </w:pPr>
          </w:p>
        </w:tc>
      </w:tr>
      <w:tr w:rsidR="00F4284C" w:rsidRPr="00154588" w14:paraId="4ADA5AF0" w14:textId="77777777" w:rsidTr="00D15C1B">
        <w:trPr>
          <w:jc w:val="center"/>
        </w:trPr>
        <w:tc>
          <w:tcPr>
            <w:tcW w:w="4957" w:type="dxa"/>
            <w:gridSpan w:val="2"/>
          </w:tcPr>
          <w:p w14:paraId="53C34912" w14:textId="04034927" w:rsidR="00F4284C" w:rsidRPr="00154588" w:rsidRDefault="00F4284C" w:rsidP="008C12B4">
            <w:pPr>
              <w:jc w:val="both"/>
              <w:rPr>
                <w:sz w:val="20"/>
                <w:szCs w:val="20"/>
              </w:rPr>
            </w:pPr>
            <w:r w:rsidRPr="00154588">
              <w:rPr>
                <w:sz w:val="20"/>
                <w:szCs w:val="20"/>
              </w:rPr>
              <w:t>(1)   Statele membre solicită instituțiilor și entităților menționate la articolul 1 alineatul (1) literele (b), (c) și (d) să includă în orice contract financiar la care sunt parte și care este reglementat de legislația unei țări terțe clauze prin care părțile recunosc că contractul financiar poate face obiectul exercitării de către autoritatea de rezoluție a competențelor de suspendare sau de restrângere a unor drepturi și obligații în temeiul articolelor 33a, 69, 70 și 71 și recunosc că au obligația de a respecta cerințele de la articolul 68.</w:t>
            </w:r>
          </w:p>
        </w:tc>
        <w:tc>
          <w:tcPr>
            <w:tcW w:w="4819" w:type="dxa"/>
          </w:tcPr>
          <w:p w14:paraId="58CB3BAF" w14:textId="77777777" w:rsidR="00F4284C" w:rsidRPr="00154588" w:rsidRDefault="00F4284C" w:rsidP="008C12B4">
            <w:pPr>
              <w:ind w:firstLine="567"/>
              <w:jc w:val="both"/>
              <w:rPr>
                <w:color w:val="333333"/>
                <w:sz w:val="20"/>
                <w:szCs w:val="20"/>
                <w:shd w:val="clear" w:color="auto" w:fill="FFFFFF"/>
              </w:rPr>
            </w:pPr>
            <w:r w:rsidRPr="00154588">
              <w:rPr>
                <w:b/>
                <w:sz w:val="20"/>
                <w:szCs w:val="20"/>
                <w:lang w:eastAsia="ro-MD"/>
              </w:rPr>
              <w:t>Articolul 261</w:t>
            </w:r>
            <w:r w:rsidRPr="00154588">
              <w:rPr>
                <w:b/>
                <w:sz w:val="20"/>
                <w:szCs w:val="20"/>
                <w:vertAlign w:val="superscript"/>
                <w:lang w:eastAsia="ro-MD"/>
              </w:rPr>
              <w:t>1</w:t>
            </w:r>
            <w:r w:rsidRPr="00154588">
              <w:rPr>
                <w:b/>
                <w:sz w:val="20"/>
                <w:szCs w:val="20"/>
                <w:lang w:eastAsia="ro-MD"/>
              </w:rPr>
              <w:t>.</w:t>
            </w:r>
            <w:r w:rsidRPr="00154588">
              <w:rPr>
                <w:sz w:val="20"/>
                <w:szCs w:val="20"/>
                <w:lang w:eastAsia="ro-MD"/>
              </w:rPr>
              <w:t xml:space="preserve"> –  </w:t>
            </w:r>
            <w:bookmarkStart w:id="152" w:name="_Hlk223431537"/>
            <w:r w:rsidRPr="00154588">
              <w:rPr>
                <w:sz w:val="20"/>
                <w:szCs w:val="20"/>
                <w:lang w:eastAsia="ro-MD"/>
              </w:rPr>
              <w:t>Instituţiile de credit și entităţile menţionate la art.1 alin.(1) lit.b), c) și d)</w:t>
            </w:r>
            <w:bookmarkEnd w:id="152"/>
            <w:r w:rsidRPr="00154588">
              <w:rPr>
                <w:sz w:val="20"/>
                <w:szCs w:val="20"/>
                <w:lang w:eastAsia="ro-MD"/>
              </w:rPr>
              <w:t xml:space="preserve"> vor include, în orice contract financiar la care sunt parte şi care este reglementat de legislaţia unui alt stat, clauze prin care părţile prevăd că contractul financiar poate fi supus exercitării de către Banca Naţională a Moldovei, în calitate de autoritate de rezoluţie, a competenţelor de suspendare sau de limitare a unor drepturi şi obligaţii, în conformitate cu competenţele prevăzute la art.60</w:t>
            </w:r>
            <w:r w:rsidRPr="00154588">
              <w:rPr>
                <w:sz w:val="20"/>
                <w:szCs w:val="20"/>
                <w:vertAlign w:val="superscript"/>
                <w:lang w:eastAsia="ro-MD"/>
              </w:rPr>
              <w:t>1</w:t>
            </w:r>
            <w:r w:rsidRPr="00154588">
              <w:rPr>
                <w:sz w:val="20"/>
                <w:szCs w:val="20"/>
                <w:lang w:eastAsia="ro-MD"/>
              </w:rPr>
              <w:t>–60</w:t>
            </w:r>
            <w:r w:rsidRPr="00154588">
              <w:rPr>
                <w:sz w:val="20"/>
                <w:szCs w:val="20"/>
                <w:vertAlign w:val="superscript"/>
                <w:lang w:eastAsia="ro-MD"/>
              </w:rPr>
              <w:t>10</w:t>
            </w:r>
            <w:r w:rsidRPr="00154588">
              <w:rPr>
                <w:sz w:val="20"/>
                <w:szCs w:val="20"/>
                <w:lang w:eastAsia="ro-MD"/>
              </w:rPr>
              <w:t xml:space="preserve"> şi la art.246–258, şi prin care recunosc că au obligaţia de a respecta cerinţele art.241–245.</w:t>
            </w:r>
          </w:p>
          <w:p w14:paraId="27F05A55" w14:textId="77777777" w:rsidR="00F4284C" w:rsidRPr="00154588" w:rsidRDefault="00F4284C" w:rsidP="008C12B4">
            <w:pPr>
              <w:jc w:val="both"/>
              <w:rPr>
                <w:sz w:val="20"/>
                <w:szCs w:val="20"/>
              </w:rPr>
            </w:pPr>
          </w:p>
        </w:tc>
        <w:tc>
          <w:tcPr>
            <w:tcW w:w="2552" w:type="dxa"/>
          </w:tcPr>
          <w:p w14:paraId="32343FC9" w14:textId="5C4E8E63" w:rsidR="00F4284C" w:rsidRPr="00154588" w:rsidRDefault="00F4284C" w:rsidP="008C12B4">
            <w:pPr>
              <w:jc w:val="both"/>
              <w:rPr>
                <w:sz w:val="20"/>
                <w:szCs w:val="20"/>
              </w:rPr>
            </w:pPr>
            <w:r w:rsidRPr="00154588">
              <w:rPr>
                <w:sz w:val="20"/>
                <w:szCs w:val="20"/>
              </w:rPr>
              <w:t>Compatibil</w:t>
            </w:r>
          </w:p>
        </w:tc>
        <w:tc>
          <w:tcPr>
            <w:tcW w:w="3118" w:type="dxa"/>
          </w:tcPr>
          <w:p w14:paraId="197FDBA3" w14:textId="77777777" w:rsidR="00F4284C" w:rsidRPr="00154588" w:rsidRDefault="00F4284C" w:rsidP="008C12B4">
            <w:pPr>
              <w:jc w:val="both"/>
              <w:rPr>
                <w:sz w:val="20"/>
                <w:szCs w:val="20"/>
              </w:rPr>
            </w:pPr>
          </w:p>
        </w:tc>
      </w:tr>
      <w:tr w:rsidR="00F4284C" w:rsidRPr="00154588" w14:paraId="504279E8" w14:textId="77777777" w:rsidTr="00D15C1B">
        <w:trPr>
          <w:jc w:val="center"/>
        </w:trPr>
        <w:tc>
          <w:tcPr>
            <w:tcW w:w="4957" w:type="dxa"/>
            <w:gridSpan w:val="2"/>
          </w:tcPr>
          <w:p w14:paraId="25AA33A7" w14:textId="77777777" w:rsidR="00F4284C" w:rsidRPr="00154588" w:rsidRDefault="00F4284C" w:rsidP="008C12B4">
            <w:pPr>
              <w:jc w:val="both"/>
              <w:rPr>
                <w:sz w:val="20"/>
                <w:szCs w:val="20"/>
              </w:rPr>
            </w:pPr>
            <w:r w:rsidRPr="00154588">
              <w:rPr>
                <w:sz w:val="20"/>
                <w:szCs w:val="20"/>
              </w:rPr>
              <w:t>(2)   Statele membre pot solicita, de asemenea, ca întreprinderile-mamă ale Uniunii să se asigure că filialele lor din țări terțe includ, în contractele financiare menționate la alineatul (1), clauze care să excludă ca exercitarea competenței autorității de rezoluție de a suspenda sau a restrânge drepturile și obligațiile întreprinderii-mamă din Uniune, în conformitate cu alineatul (1), să constituie un motiv valabil pentru rezilierea anticipată, suspendarea, modificarea, compensarea, exercitarea drepturilor de compensare reciprocă sau executarea garanțiilor în cazul acestor contracte.</w:t>
            </w:r>
          </w:p>
          <w:p w14:paraId="10BA742E" w14:textId="77777777" w:rsidR="00F4284C" w:rsidRPr="00154588" w:rsidRDefault="00F4284C" w:rsidP="008C12B4">
            <w:pPr>
              <w:jc w:val="both"/>
              <w:rPr>
                <w:sz w:val="20"/>
                <w:szCs w:val="20"/>
              </w:rPr>
            </w:pPr>
          </w:p>
          <w:p w14:paraId="0D8C5860" w14:textId="36525CAF" w:rsidR="00F4284C" w:rsidRPr="00154588" w:rsidRDefault="00F4284C" w:rsidP="008C12B4">
            <w:pPr>
              <w:jc w:val="both"/>
              <w:rPr>
                <w:sz w:val="20"/>
                <w:szCs w:val="20"/>
              </w:rPr>
            </w:pPr>
            <w:r w:rsidRPr="00154588">
              <w:rPr>
                <w:sz w:val="20"/>
                <w:szCs w:val="20"/>
              </w:rPr>
              <w:t>Cerința prevăzută la primul paragraf se poate aplica în ceea ce privește filialele din țări terțe, care sunt:</w:t>
            </w:r>
          </w:p>
          <w:p w14:paraId="5C271205" w14:textId="77777777" w:rsidR="00F4284C" w:rsidRPr="00154588" w:rsidRDefault="00F4284C" w:rsidP="008C12B4">
            <w:pPr>
              <w:jc w:val="both"/>
              <w:rPr>
                <w:sz w:val="20"/>
                <w:szCs w:val="20"/>
              </w:rPr>
            </w:pPr>
          </w:p>
          <w:p w14:paraId="18B7882F" w14:textId="019B1A73" w:rsidR="00F4284C" w:rsidRPr="00154588" w:rsidRDefault="00F4284C" w:rsidP="008C12B4">
            <w:pPr>
              <w:jc w:val="both"/>
              <w:rPr>
                <w:sz w:val="20"/>
                <w:szCs w:val="20"/>
              </w:rPr>
            </w:pPr>
            <w:r w:rsidRPr="00154588">
              <w:rPr>
                <w:sz w:val="20"/>
                <w:szCs w:val="20"/>
              </w:rPr>
              <w:t>(a) instituții de credit;</w:t>
            </w:r>
          </w:p>
          <w:p w14:paraId="53F02D4B" w14:textId="77777777" w:rsidR="00F4284C" w:rsidRPr="00154588" w:rsidRDefault="00F4284C" w:rsidP="008C12B4">
            <w:pPr>
              <w:jc w:val="both"/>
              <w:rPr>
                <w:sz w:val="20"/>
                <w:szCs w:val="20"/>
              </w:rPr>
            </w:pPr>
          </w:p>
          <w:p w14:paraId="52CD24BD" w14:textId="1501D027" w:rsidR="00F4284C" w:rsidRPr="00154588" w:rsidRDefault="00F4284C" w:rsidP="008C12B4">
            <w:pPr>
              <w:jc w:val="both"/>
              <w:rPr>
                <w:sz w:val="20"/>
                <w:szCs w:val="20"/>
              </w:rPr>
            </w:pPr>
            <w:r w:rsidRPr="00154588">
              <w:rPr>
                <w:sz w:val="20"/>
                <w:szCs w:val="20"/>
              </w:rPr>
              <w:t>(b) firme de investiții (sau care ar fi firme de investiții dacă ar avea sediul central în statul membru în cauză); sau</w:t>
            </w:r>
          </w:p>
          <w:p w14:paraId="2307569B" w14:textId="77777777" w:rsidR="00F4284C" w:rsidRPr="00154588" w:rsidRDefault="00F4284C" w:rsidP="008C12B4">
            <w:pPr>
              <w:jc w:val="both"/>
              <w:rPr>
                <w:sz w:val="20"/>
                <w:szCs w:val="20"/>
              </w:rPr>
            </w:pPr>
          </w:p>
          <w:p w14:paraId="08CC410E" w14:textId="0EBD736D" w:rsidR="00F4284C" w:rsidRPr="00154588" w:rsidRDefault="00F4284C" w:rsidP="008C12B4">
            <w:pPr>
              <w:jc w:val="both"/>
              <w:rPr>
                <w:sz w:val="20"/>
                <w:szCs w:val="20"/>
              </w:rPr>
            </w:pPr>
            <w:r w:rsidRPr="00154588">
              <w:rPr>
                <w:sz w:val="20"/>
                <w:szCs w:val="20"/>
              </w:rPr>
              <w:t>(c) instituții financiare.</w:t>
            </w:r>
          </w:p>
        </w:tc>
        <w:tc>
          <w:tcPr>
            <w:tcW w:w="4819" w:type="dxa"/>
          </w:tcPr>
          <w:p w14:paraId="2B57B976" w14:textId="77777777" w:rsidR="00F4284C" w:rsidRPr="00154588" w:rsidRDefault="00F4284C" w:rsidP="008C12B4">
            <w:pPr>
              <w:ind w:firstLine="567"/>
              <w:jc w:val="both"/>
              <w:rPr>
                <w:sz w:val="20"/>
                <w:szCs w:val="20"/>
                <w:lang w:eastAsia="ro-MD"/>
              </w:rPr>
            </w:pPr>
            <w:bookmarkStart w:id="153" w:name="_Hlk223431869"/>
            <w:r w:rsidRPr="00154588">
              <w:rPr>
                <w:b/>
                <w:sz w:val="20"/>
                <w:szCs w:val="20"/>
                <w:lang w:eastAsia="ro-MD"/>
              </w:rPr>
              <w:lastRenderedPageBreak/>
              <w:t>Articolul 261</w:t>
            </w:r>
            <w:r w:rsidRPr="00154588">
              <w:rPr>
                <w:b/>
                <w:sz w:val="20"/>
                <w:szCs w:val="20"/>
                <w:vertAlign w:val="superscript"/>
                <w:lang w:eastAsia="ro-MD"/>
              </w:rPr>
              <w:t>4</w:t>
            </w:r>
            <w:r w:rsidRPr="00154588">
              <w:rPr>
                <w:b/>
                <w:sz w:val="20"/>
                <w:szCs w:val="20"/>
                <w:lang w:eastAsia="ro-MD"/>
              </w:rPr>
              <w:t>.</w:t>
            </w:r>
            <w:r w:rsidRPr="00154588">
              <w:rPr>
                <w:sz w:val="20"/>
                <w:szCs w:val="20"/>
                <w:lang w:eastAsia="ro-MD"/>
              </w:rPr>
              <w:t xml:space="preserve"> (1) Întreprinderile-mamă din Uniunea Europeană, persoane juridice din Republica Moldova, trebuie să se asigure că filialele lor din state terțe includ, în contractele financiare prevăzute la art.261</w:t>
            </w:r>
            <w:r w:rsidRPr="00154588">
              <w:rPr>
                <w:sz w:val="20"/>
                <w:szCs w:val="20"/>
                <w:vertAlign w:val="superscript"/>
                <w:lang w:eastAsia="ro-MD"/>
              </w:rPr>
              <w:t>1</w:t>
            </w:r>
            <w:r w:rsidRPr="00154588">
              <w:rPr>
                <w:sz w:val="20"/>
                <w:szCs w:val="20"/>
                <w:lang w:eastAsia="ro-MD"/>
              </w:rPr>
              <w:t>, clauze care să excludă posibilitatea ca exercitarea competenței Băncii Naționale a Moldovei, în calitate de autoritate de rezoluție, de a suspenda sau a limita drepturile și obligațiile întreprinderii-mamă din Uniunea Europeană, în conformitate cu prevederile art.261</w:t>
            </w:r>
            <w:r w:rsidRPr="00154588">
              <w:rPr>
                <w:sz w:val="20"/>
                <w:szCs w:val="20"/>
                <w:vertAlign w:val="superscript"/>
                <w:lang w:eastAsia="ro-MD"/>
              </w:rPr>
              <w:t>1</w:t>
            </w:r>
            <w:r w:rsidRPr="00154588">
              <w:rPr>
                <w:sz w:val="20"/>
                <w:szCs w:val="20"/>
                <w:lang w:eastAsia="ro-MD"/>
              </w:rPr>
              <w:t>, să constituie un motiv valabil pentru încetarea anticipată, suspendarea, modificarea, compensarea, exercitarea drepturilor de compensare reciprocă sau executarea garanțiilor reale, în cazul respectivelor contracte.</w:t>
            </w:r>
          </w:p>
          <w:p w14:paraId="5F72BAEF" w14:textId="77777777" w:rsidR="00F4284C" w:rsidRPr="00154588" w:rsidRDefault="00F4284C" w:rsidP="008C12B4">
            <w:pPr>
              <w:ind w:firstLine="567"/>
              <w:jc w:val="both"/>
              <w:rPr>
                <w:sz w:val="20"/>
                <w:szCs w:val="20"/>
                <w:lang w:eastAsia="ro-MD"/>
              </w:rPr>
            </w:pPr>
            <w:r w:rsidRPr="00154588">
              <w:rPr>
                <w:sz w:val="20"/>
                <w:szCs w:val="20"/>
                <w:lang w:eastAsia="ro-MD"/>
              </w:rPr>
              <w:t xml:space="preserve">(2) În sensul alin.(1), cerința se aplică în ceea ce privește filialele din țări terțe care sunt: </w:t>
            </w:r>
          </w:p>
          <w:p w14:paraId="4F7A3F36" w14:textId="77777777" w:rsidR="00F4284C" w:rsidRPr="00154588" w:rsidRDefault="00F4284C" w:rsidP="008C12B4">
            <w:pPr>
              <w:ind w:firstLine="567"/>
              <w:jc w:val="both"/>
              <w:rPr>
                <w:sz w:val="20"/>
                <w:szCs w:val="20"/>
                <w:lang w:eastAsia="ro-MD"/>
              </w:rPr>
            </w:pPr>
            <w:r w:rsidRPr="00154588">
              <w:rPr>
                <w:sz w:val="20"/>
                <w:szCs w:val="20"/>
                <w:lang w:eastAsia="ro-MD"/>
              </w:rPr>
              <w:lastRenderedPageBreak/>
              <w:t>a) instituții de credit;</w:t>
            </w:r>
          </w:p>
          <w:p w14:paraId="1FD7D309" w14:textId="77777777" w:rsidR="00F4284C" w:rsidRPr="00154588" w:rsidRDefault="00F4284C" w:rsidP="008C12B4">
            <w:pPr>
              <w:ind w:firstLine="567"/>
              <w:jc w:val="both"/>
              <w:rPr>
                <w:sz w:val="20"/>
                <w:szCs w:val="20"/>
                <w:lang w:eastAsia="ro-MD"/>
              </w:rPr>
            </w:pPr>
            <w:r w:rsidRPr="00154588">
              <w:rPr>
                <w:sz w:val="20"/>
                <w:szCs w:val="20"/>
                <w:lang w:eastAsia="ro-MD"/>
              </w:rPr>
              <w:t>b) firme de investiții (sau care ar fi firme de investiții dacă ar avea sediul central în Republica Moldova); sau</w:t>
            </w:r>
          </w:p>
          <w:p w14:paraId="35C7C0A2" w14:textId="77777777" w:rsidR="00F4284C" w:rsidRPr="00154588" w:rsidRDefault="00F4284C" w:rsidP="008C12B4">
            <w:pPr>
              <w:ind w:firstLine="567"/>
              <w:jc w:val="both"/>
              <w:rPr>
                <w:sz w:val="20"/>
                <w:szCs w:val="20"/>
                <w:lang w:eastAsia="ro-MD"/>
              </w:rPr>
            </w:pPr>
            <w:r w:rsidRPr="00154588">
              <w:rPr>
                <w:sz w:val="20"/>
                <w:szCs w:val="20"/>
                <w:lang w:eastAsia="ro-MD"/>
              </w:rPr>
              <w:t>c) instituții financiare.</w:t>
            </w:r>
          </w:p>
          <w:bookmarkEnd w:id="153"/>
          <w:p w14:paraId="57AA6E04" w14:textId="77777777" w:rsidR="00F4284C" w:rsidRPr="00154588" w:rsidRDefault="00F4284C" w:rsidP="008C12B4">
            <w:pPr>
              <w:jc w:val="both"/>
              <w:rPr>
                <w:sz w:val="20"/>
                <w:szCs w:val="20"/>
              </w:rPr>
            </w:pPr>
          </w:p>
        </w:tc>
        <w:tc>
          <w:tcPr>
            <w:tcW w:w="2552" w:type="dxa"/>
          </w:tcPr>
          <w:p w14:paraId="27A5F8D6" w14:textId="4CB95BE8" w:rsidR="00F4284C" w:rsidRPr="00154588" w:rsidRDefault="00F4284C" w:rsidP="008C12B4">
            <w:pPr>
              <w:jc w:val="both"/>
              <w:rPr>
                <w:sz w:val="20"/>
                <w:szCs w:val="20"/>
              </w:rPr>
            </w:pPr>
            <w:r w:rsidRPr="00154588">
              <w:rPr>
                <w:sz w:val="20"/>
                <w:szCs w:val="20"/>
              </w:rPr>
              <w:lastRenderedPageBreak/>
              <w:t>Compatibil</w:t>
            </w:r>
          </w:p>
        </w:tc>
        <w:tc>
          <w:tcPr>
            <w:tcW w:w="3118" w:type="dxa"/>
          </w:tcPr>
          <w:p w14:paraId="2547DFEB" w14:textId="77777777" w:rsidR="00F4284C" w:rsidRPr="00154588" w:rsidRDefault="00F4284C" w:rsidP="008C12B4">
            <w:pPr>
              <w:jc w:val="both"/>
              <w:rPr>
                <w:sz w:val="20"/>
                <w:szCs w:val="20"/>
              </w:rPr>
            </w:pPr>
          </w:p>
        </w:tc>
      </w:tr>
      <w:tr w:rsidR="00F4284C" w:rsidRPr="00154588" w14:paraId="4D8AE21C" w14:textId="77777777" w:rsidTr="00D15C1B">
        <w:trPr>
          <w:jc w:val="center"/>
        </w:trPr>
        <w:tc>
          <w:tcPr>
            <w:tcW w:w="4957" w:type="dxa"/>
            <w:gridSpan w:val="2"/>
          </w:tcPr>
          <w:p w14:paraId="77E67811" w14:textId="6167E3A5" w:rsidR="00F4284C" w:rsidRPr="00154588" w:rsidRDefault="00F4284C" w:rsidP="008C12B4">
            <w:pPr>
              <w:jc w:val="both"/>
              <w:rPr>
                <w:sz w:val="20"/>
                <w:szCs w:val="20"/>
              </w:rPr>
            </w:pPr>
            <w:r w:rsidRPr="00154588">
              <w:rPr>
                <w:sz w:val="20"/>
                <w:szCs w:val="20"/>
              </w:rPr>
              <w:t>(3)   Alineatul (1) se aplică oricărui contract  financiar care respectă toate condițiile următoare:</w:t>
            </w:r>
          </w:p>
          <w:p w14:paraId="5B06812B" w14:textId="77777777" w:rsidR="00F4284C" w:rsidRPr="00154588" w:rsidRDefault="00F4284C" w:rsidP="008C12B4">
            <w:pPr>
              <w:jc w:val="both"/>
              <w:rPr>
                <w:sz w:val="20"/>
                <w:szCs w:val="20"/>
              </w:rPr>
            </w:pPr>
          </w:p>
          <w:p w14:paraId="610D8E4E" w14:textId="705E8435" w:rsidR="00F4284C" w:rsidRPr="00154588" w:rsidRDefault="00F4284C" w:rsidP="008C12B4">
            <w:pPr>
              <w:jc w:val="both"/>
              <w:rPr>
                <w:sz w:val="20"/>
                <w:szCs w:val="20"/>
              </w:rPr>
            </w:pPr>
            <w:r w:rsidRPr="00154588">
              <w:rPr>
                <w:sz w:val="20"/>
                <w:szCs w:val="20"/>
              </w:rPr>
              <w:t>(a) contractul creează o nouă obligație sau modifică în mod semnificativ o obligație existentă după intrarea în vigoare a dispozițiilor adoptate la nivel național în vederea transpunerii prezentului articol;</w:t>
            </w:r>
          </w:p>
          <w:p w14:paraId="332B5529" w14:textId="77777777" w:rsidR="00F4284C" w:rsidRPr="00154588" w:rsidRDefault="00F4284C" w:rsidP="008C12B4">
            <w:pPr>
              <w:jc w:val="both"/>
              <w:rPr>
                <w:sz w:val="20"/>
                <w:szCs w:val="20"/>
              </w:rPr>
            </w:pPr>
          </w:p>
          <w:p w14:paraId="4FD361C4" w14:textId="640BEA4B" w:rsidR="00F4284C" w:rsidRPr="00154588" w:rsidRDefault="00F4284C" w:rsidP="008C12B4">
            <w:pPr>
              <w:jc w:val="both"/>
              <w:rPr>
                <w:sz w:val="20"/>
                <w:szCs w:val="20"/>
              </w:rPr>
            </w:pPr>
            <w:r w:rsidRPr="00154588">
              <w:rPr>
                <w:sz w:val="20"/>
                <w:szCs w:val="20"/>
              </w:rPr>
              <w:t>(b) contractul prevede exercitarea unuia sau mai multor drepturi de reziliere sau drepturi de executare a garanțiilor cărora li s-ar aplica articolul 33a, 68, 69, 70 sau 71 dacă contractul financiar ar fi reglementat de legislația unui stat membru.</w:t>
            </w:r>
          </w:p>
        </w:tc>
        <w:tc>
          <w:tcPr>
            <w:tcW w:w="4819" w:type="dxa"/>
          </w:tcPr>
          <w:p w14:paraId="31F3E3B1" w14:textId="77777777" w:rsidR="00F4284C" w:rsidRPr="00154588" w:rsidRDefault="00F4284C" w:rsidP="008C12B4">
            <w:pPr>
              <w:ind w:firstLine="567"/>
              <w:jc w:val="both"/>
              <w:rPr>
                <w:sz w:val="20"/>
                <w:szCs w:val="20"/>
                <w:lang w:eastAsia="ro-MD"/>
              </w:rPr>
            </w:pPr>
            <w:r w:rsidRPr="00154588">
              <w:rPr>
                <w:b/>
                <w:sz w:val="20"/>
                <w:szCs w:val="20"/>
                <w:lang w:eastAsia="ro-MD"/>
              </w:rPr>
              <w:t>Articolul 261</w:t>
            </w:r>
            <w:r w:rsidRPr="00154588">
              <w:rPr>
                <w:b/>
                <w:sz w:val="20"/>
                <w:szCs w:val="20"/>
                <w:vertAlign w:val="superscript"/>
                <w:lang w:eastAsia="ro-MD"/>
              </w:rPr>
              <w:t>2</w:t>
            </w:r>
            <w:r w:rsidRPr="00154588">
              <w:rPr>
                <w:b/>
                <w:sz w:val="20"/>
                <w:szCs w:val="20"/>
                <w:lang w:eastAsia="ro-MD"/>
              </w:rPr>
              <w:t>.</w:t>
            </w:r>
            <w:r w:rsidRPr="00154588">
              <w:rPr>
                <w:sz w:val="20"/>
                <w:szCs w:val="20"/>
                <w:lang w:eastAsia="ro-MD"/>
              </w:rPr>
              <w:t xml:space="preserve"> – Prevederile art.261</w:t>
            </w:r>
            <w:r w:rsidRPr="00154588">
              <w:rPr>
                <w:sz w:val="20"/>
                <w:szCs w:val="20"/>
                <w:vertAlign w:val="superscript"/>
                <w:lang w:eastAsia="ro-MD"/>
              </w:rPr>
              <w:t>1</w:t>
            </w:r>
            <w:r w:rsidRPr="00154588">
              <w:rPr>
                <w:sz w:val="20"/>
                <w:szCs w:val="20"/>
                <w:lang w:eastAsia="ro-MD"/>
              </w:rPr>
              <w:t xml:space="preserve"> se aplică oricărui contract financiar care îndeplineşte cumulativ următoarele două condiţii:</w:t>
            </w:r>
          </w:p>
          <w:p w14:paraId="7472DA5C" w14:textId="77777777" w:rsidR="00F4284C" w:rsidRPr="00154588" w:rsidRDefault="00F4284C" w:rsidP="008C12B4">
            <w:pPr>
              <w:ind w:firstLine="567"/>
              <w:jc w:val="both"/>
              <w:rPr>
                <w:sz w:val="20"/>
                <w:szCs w:val="20"/>
                <w:lang w:eastAsia="ro-MD"/>
              </w:rPr>
            </w:pPr>
            <w:r w:rsidRPr="00154588">
              <w:rPr>
                <w:sz w:val="20"/>
                <w:szCs w:val="20"/>
                <w:lang w:eastAsia="ro-MD"/>
              </w:rPr>
              <w:t>a) creează o nouă obligaţie sau modifică semnificativ o obligaţie existentă, după intrarea în vigoare a prevederilor prezentului articol;</w:t>
            </w:r>
          </w:p>
          <w:p w14:paraId="752FEC30" w14:textId="77777777" w:rsidR="00F4284C" w:rsidRPr="00154588" w:rsidRDefault="00F4284C" w:rsidP="008C12B4">
            <w:pPr>
              <w:ind w:firstLine="567"/>
              <w:jc w:val="both"/>
              <w:rPr>
                <w:sz w:val="20"/>
                <w:szCs w:val="20"/>
                <w:lang w:eastAsia="ro-MD"/>
              </w:rPr>
            </w:pPr>
            <w:r w:rsidRPr="00154588">
              <w:rPr>
                <w:sz w:val="20"/>
                <w:szCs w:val="20"/>
                <w:lang w:eastAsia="ro-MD"/>
              </w:rPr>
              <w:t>b) prevede exercitarea unui sau mai multor drepturi de reziliere ori drepturi de executare a garanţiilor cărora li se aplică prevederile referitoare la competenţele de suspendare ale autorităţii de rezoluţie menţionate la art.60</w:t>
            </w:r>
            <w:r w:rsidRPr="00154588">
              <w:rPr>
                <w:sz w:val="20"/>
                <w:szCs w:val="20"/>
                <w:vertAlign w:val="superscript"/>
                <w:lang w:eastAsia="ro-MD"/>
              </w:rPr>
              <w:t>1</w:t>
            </w:r>
            <w:r w:rsidRPr="00154588">
              <w:rPr>
                <w:sz w:val="20"/>
                <w:szCs w:val="20"/>
                <w:lang w:eastAsia="ro-MD"/>
              </w:rPr>
              <w:t>–60</w:t>
            </w:r>
            <w:r w:rsidRPr="00154588">
              <w:rPr>
                <w:sz w:val="20"/>
                <w:szCs w:val="20"/>
                <w:vertAlign w:val="superscript"/>
                <w:lang w:eastAsia="ro-MD"/>
              </w:rPr>
              <w:t>10</w:t>
            </w:r>
            <w:r w:rsidRPr="00154588">
              <w:rPr>
                <w:sz w:val="20"/>
                <w:szCs w:val="20"/>
                <w:lang w:eastAsia="ro-MD"/>
              </w:rPr>
              <w:t xml:space="preserve">, la art.241–251 sau la art.252–258, în cazul în care contractul financiar ar fi reglementat de legea unui Stat </w:t>
            </w:r>
            <w:r w:rsidRPr="00154588" w:rsidDel="007F5D5C">
              <w:rPr>
                <w:sz w:val="20"/>
                <w:szCs w:val="20"/>
                <w:lang w:eastAsia="ro-MD"/>
              </w:rPr>
              <w:t>Membru</w:t>
            </w:r>
            <w:r w:rsidRPr="00154588">
              <w:rPr>
                <w:sz w:val="20"/>
                <w:szCs w:val="20"/>
                <w:lang w:eastAsia="ro-MD"/>
              </w:rPr>
              <w:t xml:space="preserve"> al Uniunii Europene.</w:t>
            </w:r>
          </w:p>
          <w:p w14:paraId="56952202" w14:textId="77777777" w:rsidR="00F4284C" w:rsidRPr="00154588" w:rsidRDefault="00F4284C" w:rsidP="008C12B4">
            <w:pPr>
              <w:jc w:val="both"/>
              <w:rPr>
                <w:sz w:val="20"/>
                <w:szCs w:val="20"/>
              </w:rPr>
            </w:pPr>
          </w:p>
        </w:tc>
        <w:tc>
          <w:tcPr>
            <w:tcW w:w="2552" w:type="dxa"/>
          </w:tcPr>
          <w:p w14:paraId="587C6CCA" w14:textId="7E07BB5A" w:rsidR="00F4284C" w:rsidRPr="00154588" w:rsidRDefault="00F4284C" w:rsidP="008C12B4">
            <w:pPr>
              <w:jc w:val="both"/>
              <w:rPr>
                <w:sz w:val="20"/>
                <w:szCs w:val="20"/>
              </w:rPr>
            </w:pPr>
            <w:r w:rsidRPr="00154588">
              <w:rPr>
                <w:sz w:val="20"/>
                <w:szCs w:val="20"/>
              </w:rPr>
              <w:t>Compatibil</w:t>
            </w:r>
          </w:p>
        </w:tc>
        <w:tc>
          <w:tcPr>
            <w:tcW w:w="3118" w:type="dxa"/>
          </w:tcPr>
          <w:p w14:paraId="3866790B" w14:textId="77777777" w:rsidR="00F4284C" w:rsidRPr="00154588" w:rsidRDefault="00F4284C" w:rsidP="008C12B4">
            <w:pPr>
              <w:jc w:val="both"/>
              <w:rPr>
                <w:sz w:val="20"/>
                <w:szCs w:val="20"/>
              </w:rPr>
            </w:pPr>
          </w:p>
        </w:tc>
      </w:tr>
      <w:tr w:rsidR="00F4284C" w:rsidRPr="00154588" w14:paraId="70F68325" w14:textId="77777777" w:rsidTr="00D15C1B">
        <w:trPr>
          <w:jc w:val="center"/>
        </w:trPr>
        <w:tc>
          <w:tcPr>
            <w:tcW w:w="4957" w:type="dxa"/>
            <w:gridSpan w:val="2"/>
          </w:tcPr>
          <w:p w14:paraId="05547257" w14:textId="74D176A0" w:rsidR="00F4284C" w:rsidRPr="00154588" w:rsidRDefault="00F4284C" w:rsidP="008C12B4">
            <w:pPr>
              <w:jc w:val="both"/>
              <w:rPr>
                <w:sz w:val="20"/>
                <w:szCs w:val="20"/>
              </w:rPr>
            </w:pPr>
            <w:r w:rsidRPr="00154588">
              <w:rPr>
                <w:sz w:val="20"/>
                <w:szCs w:val="20"/>
              </w:rPr>
              <w:t>(4)   În cazul în care o instituție sau o entitate nu include clauza contractuală prevăzută la alineatul (1) de la prezentul articol, acest fapt nu împiedică autoritatea de rezoluție să aplice competențele menționate la articolul 33a, 68, 69, 70 sau 71 în legătură cu respectivul contract financiar.</w:t>
            </w:r>
          </w:p>
        </w:tc>
        <w:tc>
          <w:tcPr>
            <w:tcW w:w="4819" w:type="dxa"/>
          </w:tcPr>
          <w:p w14:paraId="7E532135" w14:textId="77777777" w:rsidR="00F4284C" w:rsidRPr="00154588" w:rsidRDefault="00F4284C" w:rsidP="008C12B4">
            <w:pPr>
              <w:ind w:firstLine="567"/>
              <w:jc w:val="both"/>
              <w:rPr>
                <w:sz w:val="20"/>
                <w:szCs w:val="20"/>
                <w:lang w:eastAsia="ro-MD"/>
              </w:rPr>
            </w:pPr>
            <w:r w:rsidRPr="00154588">
              <w:rPr>
                <w:b/>
                <w:sz w:val="20"/>
                <w:szCs w:val="20"/>
                <w:lang w:eastAsia="ro-MD"/>
              </w:rPr>
              <w:t>Articolul 261</w:t>
            </w:r>
            <w:r w:rsidRPr="00154588">
              <w:rPr>
                <w:b/>
                <w:sz w:val="20"/>
                <w:szCs w:val="20"/>
                <w:vertAlign w:val="superscript"/>
                <w:lang w:eastAsia="ro-MD"/>
              </w:rPr>
              <w:t>3</w:t>
            </w:r>
            <w:r w:rsidRPr="00154588">
              <w:rPr>
                <w:b/>
                <w:sz w:val="20"/>
                <w:szCs w:val="20"/>
                <w:lang w:eastAsia="ro-MD"/>
              </w:rPr>
              <w:t>.</w:t>
            </w:r>
            <w:r w:rsidRPr="00154588">
              <w:rPr>
                <w:sz w:val="20"/>
                <w:szCs w:val="20"/>
                <w:lang w:eastAsia="ro-MD"/>
              </w:rPr>
              <w:t xml:space="preserve"> – Dacă o instituție sau o entitate nu include clauza contractuală prevăzută la art.261</w:t>
            </w:r>
            <w:r w:rsidRPr="00154588">
              <w:rPr>
                <w:sz w:val="20"/>
                <w:szCs w:val="20"/>
                <w:vertAlign w:val="superscript"/>
                <w:lang w:eastAsia="ro-MD"/>
              </w:rPr>
              <w:t>1</w:t>
            </w:r>
            <w:r w:rsidRPr="00154588">
              <w:rPr>
                <w:sz w:val="20"/>
                <w:szCs w:val="20"/>
                <w:lang w:eastAsia="ro-MD"/>
              </w:rPr>
              <w:t>, aceasta nu aduce atingere exercitării de către Banca Naţională a Moldovei, în calitate de autoritate de rezoluţie, a competenţelor prevăzute la art.60</w:t>
            </w:r>
            <w:r w:rsidRPr="00154588">
              <w:rPr>
                <w:sz w:val="20"/>
                <w:szCs w:val="20"/>
                <w:vertAlign w:val="superscript"/>
                <w:lang w:eastAsia="ro-MD"/>
              </w:rPr>
              <w:t>1</w:t>
            </w:r>
            <w:r w:rsidRPr="00154588">
              <w:rPr>
                <w:sz w:val="20"/>
                <w:szCs w:val="20"/>
                <w:lang w:eastAsia="ro-MD"/>
              </w:rPr>
              <w:t>–60</w:t>
            </w:r>
            <w:r w:rsidRPr="00154588">
              <w:rPr>
                <w:sz w:val="20"/>
                <w:szCs w:val="20"/>
                <w:vertAlign w:val="superscript"/>
                <w:lang w:eastAsia="ro-MD"/>
              </w:rPr>
              <w:t>10</w:t>
            </w:r>
            <w:r w:rsidRPr="00154588">
              <w:rPr>
                <w:sz w:val="20"/>
                <w:szCs w:val="20"/>
                <w:lang w:eastAsia="ro-MD"/>
              </w:rPr>
              <w:t>, la art.241-251 sau la art.252-258 în raport cu acel contract financiar.</w:t>
            </w:r>
          </w:p>
          <w:p w14:paraId="5829223E" w14:textId="77777777" w:rsidR="00F4284C" w:rsidRPr="00154588" w:rsidRDefault="00F4284C" w:rsidP="008C12B4">
            <w:pPr>
              <w:jc w:val="both"/>
              <w:rPr>
                <w:sz w:val="20"/>
                <w:szCs w:val="20"/>
              </w:rPr>
            </w:pPr>
          </w:p>
        </w:tc>
        <w:tc>
          <w:tcPr>
            <w:tcW w:w="2552" w:type="dxa"/>
          </w:tcPr>
          <w:p w14:paraId="32E304EE" w14:textId="09AB775E" w:rsidR="00F4284C" w:rsidRPr="00154588" w:rsidRDefault="00F4284C" w:rsidP="008C12B4">
            <w:pPr>
              <w:jc w:val="both"/>
              <w:rPr>
                <w:sz w:val="20"/>
                <w:szCs w:val="20"/>
              </w:rPr>
            </w:pPr>
            <w:r w:rsidRPr="00154588">
              <w:rPr>
                <w:sz w:val="20"/>
                <w:szCs w:val="20"/>
              </w:rPr>
              <w:t>Compatibil</w:t>
            </w:r>
          </w:p>
        </w:tc>
        <w:tc>
          <w:tcPr>
            <w:tcW w:w="3118" w:type="dxa"/>
          </w:tcPr>
          <w:p w14:paraId="4A40DDB3" w14:textId="77777777" w:rsidR="00F4284C" w:rsidRPr="00154588" w:rsidRDefault="00F4284C" w:rsidP="008C12B4">
            <w:pPr>
              <w:jc w:val="both"/>
              <w:rPr>
                <w:sz w:val="20"/>
                <w:szCs w:val="20"/>
              </w:rPr>
            </w:pPr>
          </w:p>
        </w:tc>
      </w:tr>
      <w:tr w:rsidR="00F4284C" w:rsidRPr="00154588" w14:paraId="186E88AA" w14:textId="77777777" w:rsidTr="00D15C1B">
        <w:trPr>
          <w:jc w:val="center"/>
        </w:trPr>
        <w:tc>
          <w:tcPr>
            <w:tcW w:w="4957" w:type="dxa"/>
            <w:gridSpan w:val="2"/>
          </w:tcPr>
          <w:p w14:paraId="68EF6D9F" w14:textId="77777777" w:rsidR="00F4284C" w:rsidRPr="00154588" w:rsidRDefault="00F4284C" w:rsidP="008C12B4">
            <w:pPr>
              <w:jc w:val="both"/>
              <w:rPr>
                <w:sz w:val="20"/>
                <w:szCs w:val="20"/>
              </w:rPr>
            </w:pPr>
            <w:r w:rsidRPr="00154588">
              <w:rPr>
                <w:sz w:val="20"/>
                <w:szCs w:val="20"/>
              </w:rPr>
              <w:t>(5)   ABE elaborează proiecte de standarde tehnice de reglementare pentru a stabili în detaliu conținutul clauzei prevăzute la alineatul (1), luând în considerare diferitele modele de afaceri ale instituțiilor sau entităților.</w:t>
            </w:r>
          </w:p>
          <w:p w14:paraId="24359928" w14:textId="77777777" w:rsidR="00F4284C" w:rsidRPr="00154588" w:rsidRDefault="00F4284C" w:rsidP="008C12B4">
            <w:pPr>
              <w:jc w:val="both"/>
              <w:rPr>
                <w:sz w:val="20"/>
                <w:szCs w:val="20"/>
              </w:rPr>
            </w:pPr>
          </w:p>
          <w:p w14:paraId="444D4999" w14:textId="50DC0841" w:rsidR="00F4284C" w:rsidRPr="00154588" w:rsidRDefault="00F4284C" w:rsidP="008C12B4">
            <w:pPr>
              <w:jc w:val="both"/>
              <w:rPr>
                <w:sz w:val="20"/>
                <w:szCs w:val="20"/>
              </w:rPr>
            </w:pPr>
            <w:r w:rsidRPr="00154588">
              <w:rPr>
                <w:sz w:val="20"/>
                <w:szCs w:val="20"/>
              </w:rPr>
              <w:t>ABE înaintează Comisiei aceste proiecte de standarde tehnice de reglementare până la 28 iunie 2020.</w:t>
            </w:r>
          </w:p>
          <w:p w14:paraId="640D4E71" w14:textId="77777777" w:rsidR="00F4284C" w:rsidRPr="00154588" w:rsidRDefault="00F4284C" w:rsidP="008C12B4">
            <w:pPr>
              <w:jc w:val="both"/>
              <w:rPr>
                <w:sz w:val="20"/>
                <w:szCs w:val="20"/>
              </w:rPr>
            </w:pPr>
          </w:p>
          <w:p w14:paraId="14928C65" w14:textId="6D873969" w:rsidR="00F4284C" w:rsidRPr="00154588" w:rsidRDefault="00F4284C" w:rsidP="008C12B4">
            <w:pPr>
              <w:jc w:val="both"/>
              <w:rPr>
                <w:sz w:val="20"/>
                <w:szCs w:val="20"/>
              </w:rPr>
            </w:pPr>
            <w:r w:rsidRPr="00154588">
              <w:rPr>
                <w:sz w:val="20"/>
                <w:szCs w:val="20"/>
              </w:rPr>
              <w:t>Se deleagă Comisiei competența de a adopta standardele tehnice de reglementare menționate la primul paragraf în conformitate cu articolele 10-14 din Regulamentul (UE) nr. 1093/2010.</w:t>
            </w:r>
          </w:p>
        </w:tc>
        <w:tc>
          <w:tcPr>
            <w:tcW w:w="4819" w:type="dxa"/>
          </w:tcPr>
          <w:p w14:paraId="657669BA" w14:textId="77777777" w:rsidR="00F4284C" w:rsidRPr="00154588" w:rsidRDefault="00F4284C" w:rsidP="008C12B4">
            <w:pPr>
              <w:jc w:val="both"/>
              <w:rPr>
                <w:sz w:val="20"/>
                <w:szCs w:val="20"/>
              </w:rPr>
            </w:pPr>
          </w:p>
        </w:tc>
        <w:tc>
          <w:tcPr>
            <w:tcW w:w="2552" w:type="dxa"/>
          </w:tcPr>
          <w:p w14:paraId="736D7633" w14:textId="758063EE" w:rsidR="00F4284C" w:rsidRPr="00154588" w:rsidRDefault="00F4284C" w:rsidP="008C12B4">
            <w:pPr>
              <w:jc w:val="both"/>
              <w:rPr>
                <w:sz w:val="20"/>
                <w:szCs w:val="20"/>
              </w:rPr>
            </w:pPr>
            <w:r w:rsidRPr="00154588">
              <w:rPr>
                <w:bCs/>
                <w:sz w:val="20"/>
                <w:szCs w:val="20"/>
              </w:rPr>
              <w:t>Prevederi neaplicabile</w:t>
            </w:r>
          </w:p>
        </w:tc>
        <w:tc>
          <w:tcPr>
            <w:tcW w:w="3118" w:type="dxa"/>
          </w:tcPr>
          <w:p w14:paraId="140CA79D" w14:textId="1C87E033" w:rsidR="00F4284C" w:rsidRPr="00154588" w:rsidRDefault="00F4284C" w:rsidP="008C12B4">
            <w:pPr>
              <w:jc w:val="both"/>
              <w:rPr>
                <w:bCs/>
                <w:sz w:val="20"/>
                <w:szCs w:val="20"/>
              </w:rPr>
            </w:pPr>
            <w:r w:rsidRPr="00154588">
              <w:rPr>
                <w:sz w:val="20"/>
                <w:szCs w:val="16"/>
              </w:rPr>
              <w:t>Prevederi care se referă la atribuțiile de reglementare ale autorităților europene</w:t>
            </w:r>
          </w:p>
          <w:p w14:paraId="495C6B47" w14:textId="058AAE72" w:rsidR="00F4284C" w:rsidRPr="00154588" w:rsidRDefault="00F4284C" w:rsidP="008C12B4">
            <w:pPr>
              <w:jc w:val="both"/>
              <w:rPr>
                <w:sz w:val="20"/>
                <w:szCs w:val="20"/>
              </w:rPr>
            </w:pPr>
            <w:r w:rsidRPr="00154588">
              <w:rPr>
                <w:bCs/>
                <w:sz w:val="20"/>
                <w:szCs w:val="20"/>
              </w:rPr>
              <w:t xml:space="preserve">REGULAMENTUL DELEGAT (UE) 2021/1527 </w:t>
            </w:r>
          </w:p>
        </w:tc>
      </w:tr>
      <w:tr w:rsidR="00F4284C" w:rsidRPr="00154588" w14:paraId="6211D3EA" w14:textId="77777777" w:rsidTr="00D15C1B">
        <w:trPr>
          <w:jc w:val="center"/>
        </w:trPr>
        <w:tc>
          <w:tcPr>
            <w:tcW w:w="4957" w:type="dxa"/>
            <w:gridSpan w:val="2"/>
          </w:tcPr>
          <w:p w14:paraId="4504D10E" w14:textId="77777777" w:rsidR="00F4284C" w:rsidRPr="00154588" w:rsidRDefault="00F4284C" w:rsidP="008C12B4">
            <w:pPr>
              <w:jc w:val="both"/>
              <w:rPr>
                <w:b/>
                <w:sz w:val="20"/>
                <w:szCs w:val="20"/>
              </w:rPr>
            </w:pPr>
            <w:r w:rsidRPr="00154588">
              <w:rPr>
                <w:b/>
                <w:sz w:val="20"/>
                <w:szCs w:val="20"/>
              </w:rPr>
              <w:t>Articolul 72</w:t>
            </w:r>
          </w:p>
          <w:p w14:paraId="64D4F008" w14:textId="77777777" w:rsidR="00F4284C" w:rsidRPr="00154588" w:rsidRDefault="00F4284C" w:rsidP="008C12B4">
            <w:pPr>
              <w:jc w:val="both"/>
              <w:rPr>
                <w:b/>
                <w:sz w:val="20"/>
                <w:szCs w:val="20"/>
              </w:rPr>
            </w:pPr>
          </w:p>
          <w:p w14:paraId="7FC94A26" w14:textId="58095CF7" w:rsidR="00F4284C" w:rsidRPr="00154588" w:rsidRDefault="00F4284C" w:rsidP="008C12B4">
            <w:pPr>
              <w:jc w:val="both"/>
              <w:rPr>
                <w:sz w:val="20"/>
                <w:szCs w:val="20"/>
              </w:rPr>
            </w:pPr>
            <w:r w:rsidRPr="00154588">
              <w:rPr>
                <w:b/>
                <w:sz w:val="20"/>
                <w:szCs w:val="20"/>
              </w:rPr>
              <w:lastRenderedPageBreak/>
              <w:t>Exercitarea competențelor de rezoluție</w:t>
            </w:r>
          </w:p>
        </w:tc>
        <w:tc>
          <w:tcPr>
            <w:tcW w:w="4819" w:type="dxa"/>
          </w:tcPr>
          <w:p w14:paraId="5D1C2C0B" w14:textId="77777777" w:rsidR="00F4284C" w:rsidRPr="00154588" w:rsidRDefault="00F4284C" w:rsidP="008C12B4">
            <w:pPr>
              <w:jc w:val="both"/>
              <w:rPr>
                <w:sz w:val="20"/>
                <w:szCs w:val="20"/>
              </w:rPr>
            </w:pPr>
          </w:p>
        </w:tc>
        <w:tc>
          <w:tcPr>
            <w:tcW w:w="2552" w:type="dxa"/>
          </w:tcPr>
          <w:p w14:paraId="5294EA86" w14:textId="77777777" w:rsidR="00F4284C" w:rsidRPr="00154588" w:rsidRDefault="00F4284C" w:rsidP="008C12B4">
            <w:pPr>
              <w:jc w:val="both"/>
              <w:rPr>
                <w:sz w:val="20"/>
                <w:szCs w:val="20"/>
              </w:rPr>
            </w:pPr>
          </w:p>
        </w:tc>
        <w:tc>
          <w:tcPr>
            <w:tcW w:w="3118" w:type="dxa"/>
          </w:tcPr>
          <w:p w14:paraId="35F6013B" w14:textId="77777777" w:rsidR="00F4284C" w:rsidRPr="00154588" w:rsidRDefault="00F4284C" w:rsidP="008C12B4">
            <w:pPr>
              <w:jc w:val="both"/>
              <w:rPr>
                <w:sz w:val="20"/>
                <w:szCs w:val="20"/>
              </w:rPr>
            </w:pPr>
          </w:p>
        </w:tc>
      </w:tr>
      <w:tr w:rsidR="00F4284C" w:rsidRPr="00154588" w14:paraId="44B9BE2C" w14:textId="77777777" w:rsidTr="00D15C1B">
        <w:trPr>
          <w:jc w:val="center"/>
        </w:trPr>
        <w:tc>
          <w:tcPr>
            <w:tcW w:w="4957" w:type="dxa"/>
            <w:gridSpan w:val="2"/>
          </w:tcPr>
          <w:p w14:paraId="3F409F90" w14:textId="77777777" w:rsidR="00F4284C" w:rsidRPr="00154588" w:rsidRDefault="00F4284C" w:rsidP="008C12B4">
            <w:pPr>
              <w:jc w:val="both"/>
              <w:rPr>
                <w:sz w:val="20"/>
                <w:szCs w:val="20"/>
              </w:rPr>
            </w:pPr>
            <w:r w:rsidRPr="00154588">
              <w:rPr>
                <w:sz w:val="20"/>
                <w:szCs w:val="20"/>
              </w:rPr>
              <w:t>(1)   Statele membre se asigură că, în vederea aplicării unei măsuri de rezoluție, autoritățile de rezoluție sunt în măsură să exercite un control asupra instituției aflate în rezoluție care să le permită:</w:t>
            </w:r>
          </w:p>
          <w:p w14:paraId="36AE5A8A" w14:textId="77777777" w:rsidR="00F4284C" w:rsidRPr="00154588" w:rsidRDefault="00F4284C" w:rsidP="008C12B4">
            <w:pPr>
              <w:jc w:val="both"/>
              <w:rPr>
                <w:sz w:val="20"/>
                <w:szCs w:val="20"/>
              </w:rPr>
            </w:pPr>
          </w:p>
          <w:p w14:paraId="12E31886" w14:textId="22B93837" w:rsidR="00F4284C" w:rsidRPr="00154588" w:rsidRDefault="00F4284C" w:rsidP="008C12B4">
            <w:pPr>
              <w:jc w:val="both"/>
              <w:rPr>
                <w:sz w:val="20"/>
                <w:szCs w:val="20"/>
              </w:rPr>
            </w:pPr>
            <w:r w:rsidRPr="00154588">
              <w:rPr>
                <w:sz w:val="20"/>
                <w:szCs w:val="20"/>
              </w:rPr>
              <w:t>(a) să asigure funcționarea și să desfășoare activitățile și serviciile instituției aflate în rezoluție, dispunând de toate competențele acționarilor săi și ale organului său de conducere; și</w:t>
            </w:r>
          </w:p>
          <w:p w14:paraId="2D308EEB" w14:textId="77777777" w:rsidR="00F4284C" w:rsidRPr="00154588" w:rsidRDefault="00F4284C" w:rsidP="008C12B4">
            <w:pPr>
              <w:jc w:val="both"/>
              <w:rPr>
                <w:sz w:val="20"/>
                <w:szCs w:val="20"/>
              </w:rPr>
            </w:pPr>
          </w:p>
          <w:p w14:paraId="618E30BD" w14:textId="63B4E78A" w:rsidR="00F4284C" w:rsidRPr="00154588" w:rsidRDefault="00F4284C" w:rsidP="008C12B4">
            <w:pPr>
              <w:jc w:val="both"/>
              <w:rPr>
                <w:sz w:val="20"/>
                <w:szCs w:val="20"/>
              </w:rPr>
            </w:pPr>
            <w:r w:rsidRPr="00154588">
              <w:rPr>
                <w:sz w:val="20"/>
                <w:szCs w:val="20"/>
              </w:rPr>
              <w:t>(b) să gestioneze și să dispună de activele și de patrimoniul instituției aflate în rezoluție.</w:t>
            </w:r>
          </w:p>
          <w:p w14:paraId="26F0B454" w14:textId="77777777" w:rsidR="00F4284C" w:rsidRPr="00154588" w:rsidRDefault="00F4284C" w:rsidP="008C12B4">
            <w:pPr>
              <w:jc w:val="both"/>
              <w:rPr>
                <w:sz w:val="20"/>
                <w:szCs w:val="20"/>
              </w:rPr>
            </w:pPr>
          </w:p>
          <w:p w14:paraId="67CA22A5" w14:textId="7B42C30B" w:rsidR="00F4284C" w:rsidRPr="00154588" w:rsidRDefault="00F4284C" w:rsidP="008C12B4">
            <w:pPr>
              <w:jc w:val="both"/>
              <w:rPr>
                <w:sz w:val="20"/>
                <w:szCs w:val="20"/>
              </w:rPr>
            </w:pPr>
            <w:r w:rsidRPr="00154588">
              <w:rPr>
                <w:sz w:val="20"/>
                <w:szCs w:val="20"/>
              </w:rPr>
              <w:t>Controlul menționat la primul paragraf poate fi exercitat direct de către autoritatea de rezoluție sau indirect, de către una sau mai multe persoane desemnate de autoritatea de rezoluție. Statele membre se asigură că drepturile de vot conferite de acțiuni sau de alte instrumentele de proprietate ale instituției aflate în rezoluție nu pot fi exercitate în timpul perioadei de rezoluție.</w:t>
            </w:r>
          </w:p>
        </w:tc>
        <w:tc>
          <w:tcPr>
            <w:tcW w:w="4819" w:type="dxa"/>
          </w:tcPr>
          <w:p w14:paraId="4F58F4D0" w14:textId="77777777" w:rsidR="00F4284C" w:rsidRPr="00154588" w:rsidRDefault="00F4284C" w:rsidP="008C12B4">
            <w:pPr>
              <w:ind w:firstLine="567"/>
              <w:jc w:val="both"/>
              <w:rPr>
                <w:sz w:val="20"/>
                <w:szCs w:val="20"/>
              </w:rPr>
            </w:pPr>
            <w:r w:rsidRPr="00154588">
              <w:rPr>
                <w:b/>
                <w:sz w:val="20"/>
                <w:szCs w:val="20"/>
              </w:rPr>
              <w:t>Articolul 259.</w:t>
            </w:r>
            <w:r w:rsidRPr="00154588">
              <w:rPr>
                <w:sz w:val="20"/>
                <w:szCs w:val="20"/>
              </w:rPr>
              <w:t xml:space="preserve"> – (1) În procesul de aplicare a unei acţiuni de rezoluţie, Banca Naţională a Moldovei, în calitate de autoritate de rezoluţie, este competentă să exercite controlul asupra instituției supuse rezoluţiei, în vederea:</w:t>
            </w:r>
          </w:p>
          <w:p w14:paraId="22B4B7B7" w14:textId="77777777" w:rsidR="00F4284C" w:rsidRPr="00154588" w:rsidRDefault="00F4284C" w:rsidP="008C12B4">
            <w:pPr>
              <w:ind w:firstLine="567"/>
              <w:jc w:val="both"/>
              <w:rPr>
                <w:sz w:val="20"/>
                <w:szCs w:val="20"/>
              </w:rPr>
            </w:pPr>
            <w:r w:rsidRPr="00154588">
              <w:rPr>
                <w:sz w:val="20"/>
                <w:szCs w:val="20"/>
              </w:rPr>
              <w:t>a) asigurării funcţionării şi desfăşurării tuturor activităţilor şi serviciilor derulate de către instituția supusă rezoluţiei, dispunînd de toate competenţele acţionarilor săi şi ale organului său de conducere; şi</w:t>
            </w:r>
          </w:p>
          <w:p w14:paraId="09F8AD64" w14:textId="77777777" w:rsidR="00F4284C" w:rsidRPr="00154588" w:rsidRDefault="00F4284C" w:rsidP="008C12B4">
            <w:pPr>
              <w:ind w:firstLine="567"/>
              <w:jc w:val="both"/>
              <w:rPr>
                <w:sz w:val="20"/>
                <w:szCs w:val="20"/>
              </w:rPr>
            </w:pPr>
            <w:r w:rsidRPr="00154588">
              <w:rPr>
                <w:sz w:val="20"/>
                <w:szCs w:val="20"/>
              </w:rPr>
              <w:t>b) gestionării şi cedării activelor şi patrimoniului instituției supuse rezoluţiei.</w:t>
            </w:r>
          </w:p>
          <w:p w14:paraId="24209ADD" w14:textId="77777777" w:rsidR="00F4284C" w:rsidRPr="00154588" w:rsidRDefault="00F4284C" w:rsidP="008C12B4">
            <w:pPr>
              <w:ind w:firstLine="567"/>
              <w:jc w:val="both"/>
              <w:rPr>
                <w:sz w:val="20"/>
                <w:szCs w:val="20"/>
              </w:rPr>
            </w:pPr>
            <w:r w:rsidRPr="00154588">
              <w:rPr>
                <w:sz w:val="20"/>
                <w:szCs w:val="20"/>
              </w:rPr>
              <w:t>(2) Controlul prevăzut la alin.(1) poate fi exercitat în mod direct de către Banca Naţională a Moldovei, în calitate de autoritate de rezoluţie, sau indirect de către o persoană sau un grup de persoane numite de către Banca Naţională a Moldovei.</w:t>
            </w:r>
          </w:p>
          <w:p w14:paraId="11E1D958" w14:textId="77777777" w:rsidR="00F4284C" w:rsidRPr="00154588" w:rsidRDefault="00F4284C" w:rsidP="008C12B4">
            <w:pPr>
              <w:ind w:firstLine="567"/>
              <w:jc w:val="both"/>
              <w:rPr>
                <w:sz w:val="20"/>
                <w:szCs w:val="20"/>
              </w:rPr>
            </w:pPr>
            <w:r w:rsidRPr="00154588">
              <w:rPr>
                <w:sz w:val="20"/>
                <w:szCs w:val="20"/>
              </w:rPr>
              <w:t>(3) Pe parcursul perioadei de rezoluţie, drepturile de vot conferite de deţinerea acţiunilor sau altor instrumente de proprietate ale instituției supuse rezoluţiei nu pot fi exercitate.</w:t>
            </w:r>
          </w:p>
          <w:p w14:paraId="26E70FFD" w14:textId="77777777" w:rsidR="00F4284C" w:rsidRPr="00154588" w:rsidRDefault="00F4284C" w:rsidP="008C12B4">
            <w:pPr>
              <w:jc w:val="both"/>
              <w:rPr>
                <w:sz w:val="20"/>
                <w:szCs w:val="20"/>
              </w:rPr>
            </w:pPr>
          </w:p>
        </w:tc>
        <w:tc>
          <w:tcPr>
            <w:tcW w:w="2552" w:type="dxa"/>
          </w:tcPr>
          <w:p w14:paraId="54418101" w14:textId="120EF471" w:rsidR="00F4284C" w:rsidRPr="00154588" w:rsidRDefault="00F4284C" w:rsidP="008C12B4">
            <w:pPr>
              <w:jc w:val="both"/>
              <w:rPr>
                <w:sz w:val="20"/>
                <w:szCs w:val="20"/>
              </w:rPr>
            </w:pPr>
            <w:r w:rsidRPr="00154588">
              <w:rPr>
                <w:sz w:val="20"/>
                <w:szCs w:val="20"/>
              </w:rPr>
              <w:t>Compatibil</w:t>
            </w:r>
          </w:p>
        </w:tc>
        <w:tc>
          <w:tcPr>
            <w:tcW w:w="3118" w:type="dxa"/>
          </w:tcPr>
          <w:p w14:paraId="6FFEE478" w14:textId="77777777" w:rsidR="00F4284C" w:rsidRPr="00154588" w:rsidRDefault="00F4284C" w:rsidP="008C12B4">
            <w:pPr>
              <w:jc w:val="both"/>
              <w:rPr>
                <w:sz w:val="20"/>
                <w:szCs w:val="20"/>
              </w:rPr>
            </w:pPr>
          </w:p>
        </w:tc>
      </w:tr>
      <w:tr w:rsidR="00F4284C" w:rsidRPr="00154588" w14:paraId="1C4DCD4C" w14:textId="77777777" w:rsidTr="00D15C1B">
        <w:trPr>
          <w:jc w:val="center"/>
        </w:trPr>
        <w:tc>
          <w:tcPr>
            <w:tcW w:w="4957" w:type="dxa"/>
            <w:gridSpan w:val="2"/>
          </w:tcPr>
          <w:p w14:paraId="2DD6008F" w14:textId="3EE5DF30" w:rsidR="00F4284C" w:rsidRPr="00154588" w:rsidRDefault="00F4284C" w:rsidP="008C12B4">
            <w:pPr>
              <w:jc w:val="both"/>
              <w:rPr>
                <w:sz w:val="20"/>
                <w:szCs w:val="20"/>
              </w:rPr>
            </w:pPr>
            <w:r w:rsidRPr="00154588">
              <w:rPr>
                <w:sz w:val="20"/>
                <w:szCs w:val="20"/>
              </w:rPr>
              <w:t>(2)   Sub rezerva articolului 85 alineatul (1), statele membre se asigură că autoritățile de rezoluție au posibilitatea de a lua măsuri de rezoluție prin ordonanță, în conformitate cu competențele și procedurile administrative naționale, fără a exercita controlul asupra instituției aflate în rezoluție.</w:t>
            </w:r>
          </w:p>
        </w:tc>
        <w:tc>
          <w:tcPr>
            <w:tcW w:w="4819" w:type="dxa"/>
          </w:tcPr>
          <w:p w14:paraId="399AD096" w14:textId="77777777" w:rsidR="00F4284C" w:rsidRPr="00154588" w:rsidRDefault="00F4284C" w:rsidP="008C12B4">
            <w:pPr>
              <w:ind w:firstLine="567"/>
              <w:jc w:val="both"/>
              <w:rPr>
                <w:sz w:val="20"/>
                <w:szCs w:val="20"/>
              </w:rPr>
            </w:pPr>
            <w:r w:rsidRPr="00154588">
              <w:rPr>
                <w:b/>
                <w:sz w:val="20"/>
                <w:szCs w:val="20"/>
              </w:rPr>
              <w:t>Articolul 260.</w:t>
            </w:r>
            <w:r w:rsidRPr="00154588">
              <w:rPr>
                <w:sz w:val="20"/>
                <w:szCs w:val="20"/>
              </w:rPr>
              <w:t xml:space="preserve"> – Banca Naţională a Moldovei, în calitate de autoritate de rezoluţie, poate dispune aplicarea unei acţiuni de rezoluţie prin hotărîre, fără a fi necesară exercitarea controlului asupra instituției supuse rezoluţiei.</w:t>
            </w:r>
          </w:p>
          <w:p w14:paraId="07A20865" w14:textId="77777777" w:rsidR="00F4284C" w:rsidRPr="00154588" w:rsidRDefault="00F4284C" w:rsidP="008C12B4">
            <w:pPr>
              <w:jc w:val="both"/>
              <w:rPr>
                <w:sz w:val="20"/>
                <w:szCs w:val="20"/>
              </w:rPr>
            </w:pPr>
          </w:p>
        </w:tc>
        <w:tc>
          <w:tcPr>
            <w:tcW w:w="2552" w:type="dxa"/>
          </w:tcPr>
          <w:p w14:paraId="2D87189D" w14:textId="62C45BBB" w:rsidR="00F4284C" w:rsidRPr="00154588" w:rsidRDefault="00F4284C" w:rsidP="008C12B4">
            <w:pPr>
              <w:jc w:val="both"/>
              <w:rPr>
                <w:sz w:val="20"/>
                <w:szCs w:val="20"/>
              </w:rPr>
            </w:pPr>
            <w:r w:rsidRPr="00154588">
              <w:rPr>
                <w:sz w:val="20"/>
                <w:szCs w:val="20"/>
              </w:rPr>
              <w:t>Compatibil</w:t>
            </w:r>
          </w:p>
        </w:tc>
        <w:tc>
          <w:tcPr>
            <w:tcW w:w="3118" w:type="dxa"/>
          </w:tcPr>
          <w:p w14:paraId="32C7F79B" w14:textId="77777777" w:rsidR="00F4284C" w:rsidRPr="00154588" w:rsidRDefault="00F4284C" w:rsidP="008C12B4">
            <w:pPr>
              <w:jc w:val="both"/>
              <w:rPr>
                <w:sz w:val="20"/>
                <w:szCs w:val="20"/>
              </w:rPr>
            </w:pPr>
          </w:p>
        </w:tc>
      </w:tr>
      <w:tr w:rsidR="00F4284C" w:rsidRPr="00154588" w14:paraId="2F501FE8" w14:textId="77777777" w:rsidTr="00D15C1B">
        <w:trPr>
          <w:jc w:val="center"/>
        </w:trPr>
        <w:tc>
          <w:tcPr>
            <w:tcW w:w="4957" w:type="dxa"/>
            <w:gridSpan w:val="2"/>
          </w:tcPr>
          <w:p w14:paraId="50AA02E4" w14:textId="4D85965A" w:rsidR="00F4284C" w:rsidRPr="00154588" w:rsidRDefault="00F4284C" w:rsidP="008C12B4">
            <w:pPr>
              <w:jc w:val="both"/>
              <w:rPr>
                <w:sz w:val="20"/>
                <w:szCs w:val="20"/>
              </w:rPr>
            </w:pPr>
            <w:r w:rsidRPr="00154588">
              <w:rPr>
                <w:sz w:val="20"/>
                <w:szCs w:val="20"/>
              </w:rPr>
              <w:t>(3)   Autoritățile de rezoluție decid, de la caz la caz, oportunitatea aplicării unei măsuri de rezoluție prin intermediul mijloacelor specificate la alineatul (1) sau (2), ținând cont de obiectivele rezoluției și de principiile generale care o reglementează, de circumstanțele specifice instituției aflate în rezoluție și de necesitatea de a facilita rezoluția eficientă a grupurilor transfrontaliere.</w:t>
            </w:r>
          </w:p>
        </w:tc>
        <w:tc>
          <w:tcPr>
            <w:tcW w:w="4819" w:type="dxa"/>
          </w:tcPr>
          <w:p w14:paraId="0CC282AF" w14:textId="5B756848" w:rsidR="00F4284C" w:rsidRPr="00154588" w:rsidRDefault="00F4284C" w:rsidP="008C12B4">
            <w:pPr>
              <w:ind w:firstLine="567"/>
              <w:jc w:val="both"/>
              <w:rPr>
                <w:sz w:val="20"/>
                <w:szCs w:val="20"/>
              </w:rPr>
            </w:pPr>
            <w:r w:rsidRPr="00154588">
              <w:rPr>
                <w:b/>
                <w:sz w:val="20"/>
                <w:szCs w:val="20"/>
              </w:rPr>
              <w:t>Articolul 261.</w:t>
            </w:r>
            <w:r w:rsidRPr="00154588">
              <w:rPr>
                <w:sz w:val="20"/>
                <w:szCs w:val="20"/>
              </w:rPr>
              <w:t xml:space="preserve"> –(1) Banca Naţională a Moldovei, în calitate de autoritate de rezoluţie, decide de la caz la caz asupra oportunităţii aplicării unei acţiuni de rezoluţie prin intermediul mijloacelor specificate la art.259 sau 260, luînd în considerare obiectivele rezoluţiei şi principiile generale care o reglementează, circumstanţele specifice instituției supuse rezoluţiei </w:t>
            </w:r>
            <w:bookmarkStart w:id="154" w:name="_Hlk223431390"/>
            <w:r w:rsidRPr="00154588">
              <w:rPr>
                <w:sz w:val="20"/>
                <w:szCs w:val="20"/>
              </w:rPr>
              <w:t>și de necesitatea de a facilita rezoluţia eficientă a grupurilor transfrontaliere.</w:t>
            </w:r>
          </w:p>
          <w:bookmarkEnd w:id="154"/>
          <w:p w14:paraId="693E5E63" w14:textId="77777777" w:rsidR="00F4284C" w:rsidRPr="00154588" w:rsidRDefault="00F4284C" w:rsidP="008C12B4">
            <w:pPr>
              <w:jc w:val="both"/>
              <w:rPr>
                <w:sz w:val="20"/>
                <w:szCs w:val="20"/>
              </w:rPr>
            </w:pPr>
          </w:p>
          <w:p w14:paraId="642F7C5A" w14:textId="77777777" w:rsidR="00F4284C" w:rsidRPr="00154588" w:rsidRDefault="00F4284C" w:rsidP="008C12B4">
            <w:pPr>
              <w:rPr>
                <w:sz w:val="20"/>
                <w:szCs w:val="20"/>
              </w:rPr>
            </w:pPr>
          </w:p>
          <w:p w14:paraId="4D6F304B" w14:textId="77777777" w:rsidR="00F4284C" w:rsidRPr="00154588" w:rsidRDefault="00F4284C" w:rsidP="008C12B4">
            <w:pPr>
              <w:ind w:firstLine="708"/>
              <w:rPr>
                <w:sz w:val="20"/>
                <w:szCs w:val="20"/>
              </w:rPr>
            </w:pPr>
          </w:p>
        </w:tc>
        <w:tc>
          <w:tcPr>
            <w:tcW w:w="2552" w:type="dxa"/>
          </w:tcPr>
          <w:p w14:paraId="3792B8B4" w14:textId="21FFF61E" w:rsidR="00F4284C" w:rsidRPr="00154588" w:rsidRDefault="00F4284C" w:rsidP="008C12B4">
            <w:pPr>
              <w:jc w:val="both"/>
              <w:rPr>
                <w:sz w:val="20"/>
                <w:szCs w:val="20"/>
              </w:rPr>
            </w:pPr>
            <w:r w:rsidRPr="00154588">
              <w:rPr>
                <w:sz w:val="20"/>
                <w:szCs w:val="20"/>
              </w:rPr>
              <w:t>Compatibil</w:t>
            </w:r>
          </w:p>
        </w:tc>
        <w:tc>
          <w:tcPr>
            <w:tcW w:w="3118" w:type="dxa"/>
          </w:tcPr>
          <w:p w14:paraId="12C490B5" w14:textId="77777777" w:rsidR="00F4284C" w:rsidRPr="00154588" w:rsidRDefault="00F4284C" w:rsidP="008C12B4">
            <w:pPr>
              <w:jc w:val="both"/>
              <w:rPr>
                <w:sz w:val="20"/>
                <w:szCs w:val="20"/>
              </w:rPr>
            </w:pPr>
          </w:p>
        </w:tc>
      </w:tr>
      <w:tr w:rsidR="00F4284C" w:rsidRPr="00154588" w14:paraId="45E55064" w14:textId="77777777" w:rsidTr="00D15C1B">
        <w:trPr>
          <w:jc w:val="center"/>
        </w:trPr>
        <w:tc>
          <w:tcPr>
            <w:tcW w:w="4957" w:type="dxa"/>
            <w:gridSpan w:val="2"/>
          </w:tcPr>
          <w:p w14:paraId="6429C310" w14:textId="7BED4C1A" w:rsidR="00F4284C" w:rsidRPr="00154588" w:rsidRDefault="00F4284C" w:rsidP="008C12B4">
            <w:pPr>
              <w:jc w:val="both"/>
              <w:rPr>
                <w:sz w:val="20"/>
                <w:szCs w:val="20"/>
              </w:rPr>
            </w:pPr>
            <w:r w:rsidRPr="00154588">
              <w:rPr>
                <w:sz w:val="20"/>
                <w:szCs w:val="20"/>
              </w:rPr>
              <w:t>(4)   Autoritățile de rezoluție nu sunt considerate ca membri din umbră sau de facto ai organului de conducere îîn temeiul dreptului intern.</w:t>
            </w:r>
          </w:p>
        </w:tc>
        <w:tc>
          <w:tcPr>
            <w:tcW w:w="4819" w:type="dxa"/>
          </w:tcPr>
          <w:p w14:paraId="2C8836C9" w14:textId="0E30A168" w:rsidR="00F4284C" w:rsidRPr="00154588" w:rsidRDefault="00F4284C" w:rsidP="008C12B4">
            <w:pPr>
              <w:jc w:val="both"/>
              <w:rPr>
                <w:sz w:val="20"/>
                <w:szCs w:val="20"/>
              </w:rPr>
            </w:pPr>
            <w:r w:rsidRPr="00154588">
              <w:rPr>
                <w:sz w:val="20"/>
                <w:szCs w:val="20"/>
              </w:rPr>
              <w:t>(2) Banca Naţională a Moldovei, în calitate de autoritate de rezoluţie,</w:t>
            </w:r>
            <w:r w:rsidR="00EB243D" w:rsidRPr="00154588">
              <w:rPr>
                <w:sz w:val="20"/>
                <w:szCs w:val="20"/>
              </w:rPr>
              <w:t xml:space="preserve"> nu este considerată ca membru din umbră sau de facto al organului de </w:t>
            </w:r>
            <w:r w:rsidR="00EB243D" w:rsidRPr="00154588">
              <w:rPr>
                <w:sz w:val="20"/>
                <w:szCs w:val="20"/>
              </w:rPr>
              <w:lastRenderedPageBreak/>
              <w:t>conducere al unei i</w:t>
            </w:r>
            <w:r w:rsidR="00E72B1E" w:rsidRPr="00154588">
              <w:rPr>
                <w:sz w:val="20"/>
                <w:szCs w:val="20"/>
              </w:rPr>
              <w:t>n</w:t>
            </w:r>
            <w:r w:rsidR="00EB243D" w:rsidRPr="00154588">
              <w:rPr>
                <w:sz w:val="20"/>
                <w:szCs w:val="20"/>
              </w:rPr>
              <w:t>stituții de credit sau entități menţionate la art.1 alin.(1) lit.b), c) și d).</w:t>
            </w:r>
          </w:p>
        </w:tc>
        <w:tc>
          <w:tcPr>
            <w:tcW w:w="2552" w:type="dxa"/>
          </w:tcPr>
          <w:p w14:paraId="2A229657" w14:textId="503D0077" w:rsidR="00F4284C" w:rsidRPr="00154588" w:rsidRDefault="00EB243D" w:rsidP="008C12B4">
            <w:pPr>
              <w:jc w:val="both"/>
              <w:rPr>
                <w:sz w:val="20"/>
                <w:szCs w:val="20"/>
              </w:rPr>
            </w:pPr>
            <w:r w:rsidRPr="00154588">
              <w:rPr>
                <w:sz w:val="20"/>
                <w:szCs w:val="20"/>
              </w:rPr>
              <w:lastRenderedPageBreak/>
              <w:t>compatibil</w:t>
            </w:r>
          </w:p>
        </w:tc>
        <w:tc>
          <w:tcPr>
            <w:tcW w:w="3118" w:type="dxa"/>
          </w:tcPr>
          <w:p w14:paraId="0BEE4414" w14:textId="77777777" w:rsidR="00F4284C" w:rsidRPr="00154588" w:rsidRDefault="00F4284C" w:rsidP="008C12B4">
            <w:pPr>
              <w:jc w:val="both"/>
              <w:rPr>
                <w:sz w:val="20"/>
                <w:szCs w:val="20"/>
              </w:rPr>
            </w:pPr>
          </w:p>
        </w:tc>
      </w:tr>
      <w:tr w:rsidR="00F4284C" w:rsidRPr="00154588" w14:paraId="789DC8A2" w14:textId="77777777" w:rsidTr="00D15C1B">
        <w:trPr>
          <w:jc w:val="center"/>
        </w:trPr>
        <w:tc>
          <w:tcPr>
            <w:tcW w:w="4957" w:type="dxa"/>
            <w:gridSpan w:val="2"/>
          </w:tcPr>
          <w:p w14:paraId="58533278" w14:textId="77777777" w:rsidR="00F4284C" w:rsidRPr="00154588" w:rsidRDefault="00F4284C" w:rsidP="008C12B4">
            <w:pPr>
              <w:jc w:val="both"/>
              <w:rPr>
                <w:b/>
                <w:sz w:val="20"/>
                <w:szCs w:val="20"/>
              </w:rPr>
            </w:pPr>
            <w:r w:rsidRPr="00154588">
              <w:rPr>
                <w:b/>
                <w:sz w:val="20"/>
                <w:szCs w:val="20"/>
              </w:rPr>
              <w:t>CAPITOLUL VII</w:t>
            </w:r>
          </w:p>
          <w:p w14:paraId="0AC3F971" w14:textId="77777777" w:rsidR="00F4284C" w:rsidRPr="00154588" w:rsidRDefault="00F4284C" w:rsidP="008C12B4">
            <w:pPr>
              <w:jc w:val="both"/>
              <w:rPr>
                <w:b/>
                <w:sz w:val="20"/>
                <w:szCs w:val="20"/>
              </w:rPr>
            </w:pPr>
          </w:p>
          <w:p w14:paraId="04176FD5" w14:textId="1B452158" w:rsidR="00F4284C" w:rsidRPr="00154588" w:rsidRDefault="00F4284C" w:rsidP="008C12B4">
            <w:pPr>
              <w:jc w:val="both"/>
              <w:rPr>
                <w:sz w:val="20"/>
                <w:szCs w:val="20"/>
              </w:rPr>
            </w:pPr>
            <w:r w:rsidRPr="00154588">
              <w:rPr>
                <w:b/>
                <w:sz w:val="20"/>
                <w:szCs w:val="20"/>
              </w:rPr>
              <w:t>Mecanisme de siguranță</w:t>
            </w:r>
          </w:p>
        </w:tc>
        <w:tc>
          <w:tcPr>
            <w:tcW w:w="4819" w:type="dxa"/>
          </w:tcPr>
          <w:p w14:paraId="5A4EEB55" w14:textId="77777777" w:rsidR="00F4284C" w:rsidRPr="00154588" w:rsidRDefault="00F4284C" w:rsidP="008C12B4">
            <w:pPr>
              <w:jc w:val="both"/>
              <w:rPr>
                <w:b/>
                <w:sz w:val="20"/>
                <w:szCs w:val="20"/>
              </w:rPr>
            </w:pPr>
            <w:r w:rsidRPr="00154588">
              <w:rPr>
                <w:b/>
                <w:sz w:val="20"/>
                <w:szCs w:val="20"/>
              </w:rPr>
              <w:t>Capitolul VIII</w:t>
            </w:r>
          </w:p>
          <w:p w14:paraId="7AADC8F2" w14:textId="77777777" w:rsidR="00F4284C" w:rsidRPr="00154588" w:rsidRDefault="00F4284C" w:rsidP="008C12B4">
            <w:pPr>
              <w:jc w:val="both"/>
              <w:rPr>
                <w:b/>
                <w:sz w:val="20"/>
                <w:szCs w:val="20"/>
              </w:rPr>
            </w:pPr>
          </w:p>
          <w:p w14:paraId="6BFCC993" w14:textId="20A70F58" w:rsidR="00F4284C" w:rsidRPr="00154588" w:rsidRDefault="00F4284C" w:rsidP="008C12B4">
            <w:pPr>
              <w:jc w:val="both"/>
              <w:rPr>
                <w:sz w:val="20"/>
                <w:szCs w:val="20"/>
              </w:rPr>
            </w:pPr>
            <w:r w:rsidRPr="00154588">
              <w:rPr>
                <w:b/>
                <w:sz w:val="20"/>
                <w:szCs w:val="20"/>
              </w:rPr>
              <w:t>MECANISMELE DE SIGURANŢĂ</w:t>
            </w:r>
          </w:p>
        </w:tc>
        <w:tc>
          <w:tcPr>
            <w:tcW w:w="2552" w:type="dxa"/>
          </w:tcPr>
          <w:p w14:paraId="0B05A537" w14:textId="77777777" w:rsidR="00F4284C" w:rsidRPr="00154588" w:rsidRDefault="00F4284C" w:rsidP="008C12B4">
            <w:pPr>
              <w:jc w:val="both"/>
              <w:rPr>
                <w:sz w:val="20"/>
                <w:szCs w:val="20"/>
              </w:rPr>
            </w:pPr>
          </w:p>
        </w:tc>
        <w:tc>
          <w:tcPr>
            <w:tcW w:w="3118" w:type="dxa"/>
          </w:tcPr>
          <w:p w14:paraId="729FDB09" w14:textId="77777777" w:rsidR="00F4284C" w:rsidRPr="00154588" w:rsidRDefault="00F4284C" w:rsidP="008C12B4">
            <w:pPr>
              <w:jc w:val="both"/>
              <w:rPr>
                <w:sz w:val="20"/>
                <w:szCs w:val="20"/>
              </w:rPr>
            </w:pPr>
          </w:p>
        </w:tc>
      </w:tr>
      <w:tr w:rsidR="00F4284C" w:rsidRPr="00154588" w14:paraId="50818326" w14:textId="77777777" w:rsidTr="00D15C1B">
        <w:trPr>
          <w:jc w:val="center"/>
        </w:trPr>
        <w:tc>
          <w:tcPr>
            <w:tcW w:w="4957" w:type="dxa"/>
            <w:gridSpan w:val="2"/>
          </w:tcPr>
          <w:p w14:paraId="678902BE" w14:textId="77777777" w:rsidR="00F4284C" w:rsidRPr="00154588" w:rsidRDefault="00F4284C" w:rsidP="008C12B4">
            <w:pPr>
              <w:jc w:val="both"/>
              <w:rPr>
                <w:b/>
                <w:sz w:val="20"/>
                <w:szCs w:val="20"/>
              </w:rPr>
            </w:pPr>
            <w:r w:rsidRPr="00154588">
              <w:rPr>
                <w:b/>
                <w:sz w:val="20"/>
                <w:szCs w:val="20"/>
              </w:rPr>
              <w:t>Articolul 73</w:t>
            </w:r>
          </w:p>
          <w:p w14:paraId="0E3B14F5" w14:textId="77777777" w:rsidR="00F4284C" w:rsidRPr="00154588" w:rsidRDefault="00F4284C" w:rsidP="008C12B4">
            <w:pPr>
              <w:jc w:val="both"/>
              <w:rPr>
                <w:b/>
                <w:sz w:val="20"/>
                <w:szCs w:val="20"/>
              </w:rPr>
            </w:pPr>
          </w:p>
          <w:p w14:paraId="7596734B" w14:textId="0B9FBDFE" w:rsidR="00F4284C" w:rsidRPr="00154588" w:rsidRDefault="00F4284C" w:rsidP="008C12B4">
            <w:pPr>
              <w:jc w:val="both"/>
              <w:rPr>
                <w:sz w:val="20"/>
                <w:szCs w:val="20"/>
              </w:rPr>
            </w:pPr>
            <w:r w:rsidRPr="00154588">
              <w:rPr>
                <w:b/>
                <w:sz w:val="20"/>
                <w:szCs w:val="20"/>
              </w:rPr>
              <w:t>Tratamentul acționarilor și al creditorilor în caz de transfer parțial și aplicare a instrumentului de recapitalizare internă</w:t>
            </w:r>
          </w:p>
        </w:tc>
        <w:tc>
          <w:tcPr>
            <w:tcW w:w="4819" w:type="dxa"/>
          </w:tcPr>
          <w:p w14:paraId="3C276260" w14:textId="77777777" w:rsidR="00F4284C" w:rsidRPr="00154588" w:rsidRDefault="00F4284C" w:rsidP="008C12B4">
            <w:pPr>
              <w:jc w:val="both"/>
              <w:rPr>
                <w:sz w:val="20"/>
                <w:szCs w:val="20"/>
              </w:rPr>
            </w:pPr>
          </w:p>
        </w:tc>
        <w:tc>
          <w:tcPr>
            <w:tcW w:w="2552" w:type="dxa"/>
          </w:tcPr>
          <w:p w14:paraId="6819003B" w14:textId="77777777" w:rsidR="00F4284C" w:rsidRPr="00154588" w:rsidRDefault="00F4284C" w:rsidP="008C12B4">
            <w:pPr>
              <w:jc w:val="both"/>
              <w:rPr>
                <w:sz w:val="20"/>
                <w:szCs w:val="20"/>
              </w:rPr>
            </w:pPr>
          </w:p>
        </w:tc>
        <w:tc>
          <w:tcPr>
            <w:tcW w:w="3118" w:type="dxa"/>
          </w:tcPr>
          <w:p w14:paraId="222AD611" w14:textId="77777777" w:rsidR="00F4284C" w:rsidRPr="00154588" w:rsidRDefault="00F4284C" w:rsidP="008C12B4">
            <w:pPr>
              <w:jc w:val="both"/>
              <w:rPr>
                <w:sz w:val="20"/>
                <w:szCs w:val="20"/>
              </w:rPr>
            </w:pPr>
          </w:p>
        </w:tc>
      </w:tr>
      <w:tr w:rsidR="00F4284C" w:rsidRPr="00154588" w14:paraId="0F93CC8F" w14:textId="77777777" w:rsidTr="00D15C1B">
        <w:trPr>
          <w:jc w:val="center"/>
        </w:trPr>
        <w:tc>
          <w:tcPr>
            <w:tcW w:w="4957" w:type="dxa"/>
            <w:gridSpan w:val="2"/>
          </w:tcPr>
          <w:p w14:paraId="1D806917" w14:textId="77777777" w:rsidR="00F4284C" w:rsidRPr="00154588" w:rsidRDefault="00F4284C" w:rsidP="008C12B4">
            <w:pPr>
              <w:jc w:val="both"/>
              <w:rPr>
                <w:sz w:val="20"/>
                <w:szCs w:val="20"/>
              </w:rPr>
            </w:pPr>
            <w:r w:rsidRPr="00154588">
              <w:rPr>
                <w:sz w:val="20"/>
                <w:szCs w:val="20"/>
              </w:rPr>
              <w:t>Statele membre se asigură că, în cazurile în care au fost aplicate unul sau mai multe instrumente de rezoluție și în special în sensul articolului 75:</w:t>
            </w:r>
          </w:p>
          <w:p w14:paraId="37CB5FCA" w14:textId="77777777" w:rsidR="00F4284C" w:rsidRPr="00154588" w:rsidRDefault="00F4284C" w:rsidP="008C12B4">
            <w:pPr>
              <w:jc w:val="both"/>
              <w:rPr>
                <w:sz w:val="20"/>
                <w:szCs w:val="20"/>
              </w:rPr>
            </w:pPr>
          </w:p>
          <w:p w14:paraId="056ABD91" w14:textId="5CF332B2" w:rsidR="00F4284C" w:rsidRPr="00154588" w:rsidRDefault="00F4284C" w:rsidP="008C12B4">
            <w:pPr>
              <w:jc w:val="both"/>
              <w:rPr>
                <w:sz w:val="20"/>
                <w:szCs w:val="20"/>
              </w:rPr>
            </w:pPr>
            <w:r w:rsidRPr="00154588">
              <w:rPr>
                <w:sz w:val="20"/>
                <w:szCs w:val="20"/>
              </w:rPr>
              <w:t>(a) cu excepția cazurilor în care se aplică litera (b), în cazul în care autoritățile de rezoluție transferă doar anumite părți din drepturile, activele și pasivele instituției aflate în rezoluție, acționarii și acei creditori ale căror creanțe nu au fost transferate primesc ca soluționare a creanțelor lor o sumă cel puțin egală cu cea pe care ar fi primit-o dacă instituția aflată în rezoluție ar fi fost lichidată prin procedura obișnuită de insolvență la momentul luării deciziei menționate la articolul 82;</w:t>
            </w:r>
          </w:p>
          <w:p w14:paraId="6AF726CF" w14:textId="77777777" w:rsidR="00F4284C" w:rsidRPr="00154588" w:rsidRDefault="00F4284C" w:rsidP="008C12B4">
            <w:pPr>
              <w:jc w:val="both"/>
              <w:rPr>
                <w:sz w:val="20"/>
                <w:szCs w:val="20"/>
              </w:rPr>
            </w:pPr>
          </w:p>
          <w:p w14:paraId="61772890" w14:textId="3AF826BF" w:rsidR="00F4284C" w:rsidRPr="00154588" w:rsidRDefault="00F4284C" w:rsidP="008C12B4">
            <w:pPr>
              <w:jc w:val="both"/>
              <w:rPr>
                <w:sz w:val="20"/>
                <w:szCs w:val="20"/>
              </w:rPr>
            </w:pPr>
            <w:r w:rsidRPr="00154588">
              <w:rPr>
                <w:sz w:val="20"/>
                <w:szCs w:val="20"/>
              </w:rPr>
              <w:t>(b) în cazul în care autoritățile de rezoluție aplică instrumentul de recapitalizare internă, acționarii și creditorii ale căror creanțe au fost reduse sau convertite în titluri de capital nu acumulează pierderi mai mari decât cele pe care le-ar fi înregistrat dacă instituția aflată în rezoluție ar fi fost lichidată prin procedura obișnuită de insolvență imediat la momentul luării deciziei menționate la articolul 82.</w:t>
            </w:r>
          </w:p>
        </w:tc>
        <w:tc>
          <w:tcPr>
            <w:tcW w:w="4819" w:type="dxa"/>
          </w:tcPr>
          <w:p w14:paraId="0F7C5A65" w14:textId="77777777" w:rsidR="00F4284C" w:rsidRPr="00154588" w:rsidRDefault="00F4284C" w:rsidP="008C12B4">
            <w:pPr>
              <w:ind w:firstLine="567"/>
              <w:jc w:val="both"/>
              <w:rPr>
                <w:sz w:val="20"/>
                <w:szCs w:val="20"/>
              </w:rPr>
            </w:pPr>
            <w:r w:rsidRPr="00154588">
              <w:rPr>
                <w:b/>
                <w:sz w:val="20"/>
                <w:szCs w:val="20"/>
              </w:rPr>
              <w:t>Articolul 262.</w:t>
            </w:r>
            <w:r w:rsidRPr="00154588">
              <w:rPr>
                <w:sz w:val="20"/>
                <w:szCs w:val="20"/>
              </w:rPr>
              <w:t xml:space="preserve"> – În situaţia aplicării de către Banca Naţională a Moldovei, în calitate de autoritate de rezoluţie, a unuia sau mai multe instrumente de rezoluţie şi, în special, pentru aplicarea prevederilor art.266, aceasta are în vedere următoarele:</w:t>
            </w:r>
          </w:p>
          <w:p w14:paraId="145CF98E" w14:textId="77777777" w:rsidR="00F4284C" w:rsidRPr="00154588" w:rsidRDefault="00F4284C" w:rsidP="008C12B4">
            <w:pPr>
              <w:ind w:firstLine="567"/>
              <w:jc w:val="both"/>
              <w:rPr>
                <w:rFonts w:eastAsia="Calibri"/>
                <w:sz w:val="20"/>
                <w:szCs w:val="20"/>
              </w:rPr>
            </w:pPr>
            <w:r w:rsidRPr="00154588">
              <w:rPr>
                <w:rFonts w:eastAsia="Calibri"/>
                <w:sz w:val="20"/>
                <w:szCs w:val="20"/>
              </w:rPr>
              <w:t>a) în cazul în care au fost transferate numai anumite părţi din drepturile, activele şi obligaţiile instituției supuse rezoluţiei, acţionarii şi creditorii ale căror creanţe nu au fost transferate primesc ca despăgubire pentru creanţele lor cel puţin o sumă egală cu cea pe care ar fi primit-o dacă instituția supusă rezoluţiei ar fi fost lichidată prin procedura obișinuită de insolvabilitate la momentul luării deciziei prevăzute la art.282, cu excepţia cazului în care se aplică prevederile lit.b);</w:t>
            </w:r>
          </w:p>
          <w:p w14:paraId="6AC27F0B" w14:textId="76EFA2A9" w:rsidR="00F4284C" w:rsidRPr="00154588" w:rsidRDefault="00F4284C" w:rsidP="008C12B4">
            <w:pPr>
              <w:ind w:firstLine="567"/>
              <w:jc w:val="both"/>
              <w:rPr>
                <w:rFonts w:eastAsia="Calibri"/>
                <w:sz w:val="24"/>
                <w:szCs w:val="24"/>
              </w:rPr>
            </w:pPr>
            <w:r w:rsidRPr="00154588">
              <w:rPr>
                <w:sz w:val="20"/>
                <w:szCs w:val="20"/>
              </w:rPr>
              <w:t xml:space="preserve">b) în cazul în care aplică instrumentul de recapitalizare internă, acţionarii şi creditorii ale căror creanţe au fost reduse sau convertite în titluri de capital nu suportă pierderi mai mari decît cele pe care le-ar fi înregistrat dacă </w:t>
            </w:r>
            <w:r w:rsidRPr="00154588">
              <w:rPr>
                <w:rFonts w:eastAsia="Calibri"/>
                <w:sz w:val="20"/>
                <w:szCs w:val="20"/>
              </w:rPr>
              <w:t>instituția</w:t>
            </w:r>
            <w:r w:rsidRPr="00154588">
              <w:rPr>
                <w:sz w:val="20"/>
                <w:szCs w:val="20"/>
              </w:rPr>
              <w:t xml:space="preserve"> supusă rezoluţiei ar fi fost lichidată prin procedura obișnuită de insolvabilitate imediat la momentul luării deciziei prevăzute la art.282.</w:t>
            </w:r>
          </w:p>
        </w:tc>
        <w:tc>
          <w:tcPr>
            <w:tcW w:w="2552" w:type="dxa"/>
          </w:tcPr>
          <w:p w14:paraId="45B1D026" w14:textId="35F95423" w:rsidR="00F4284C" w:rsidRPr="00154588" w:rsidRDefault="00F4284C" w:rsidP="008C12B4">
            <w:pPr>
              <w:jc w:val="both"/>
              <w:rPr>
                <w:sz w:val="20"/>
                <w:szCs w:val="20"/>
              </w:rPr>
            </w:pPr>
            <w:r w:rsidRPr="00154588">
              <w:rPr>
                <w:sz w:val="20"/>
                <w:szCs w:val="20"/>
              </w:rPr>
              <w:t>Compatibil</w:t>
            </w:r>
          </w:p>
        </w:tc>
        <w:tc>
          <w:tcPr>
            <w:tcW w:w="3118" w:type="dxa"/>
          </w:tcPr>
          <w:p w14:paraId="518B2AA1" w14:textId="77777777" w:rsidR="00F4284C" w:rsidRPr="00154588" w:rsidRDefault="00F4284C" w:rsidP="008C12B4">
            <w:pPr>
              <w:jc w:val="both"/>
              <w:rPr>
                <w:sz w:val="20"/>
                <w:szCs w:val="20"/>
              </w:rPr>
            </w:pPr>
          </w:p>
        </w:tc>
      </w:tr>
      <w:tr w:rsidR="00F4284C" w:rsidRPr="00154588" w14:paraId="0B2B5EF0" w14:textId="77777777" w:rsidTr="00D15C1B">
        <w:trPr>
          <w:jc w:val="center"/>
        </w:trPr>
        <w:tc>
          <w:tcPr>
            <w:tcW w:w="4957" w:type="dxa"/>
            <w:gridSpan w:val="2"/>
          </w:tcPr>
          <w:p w14:paraId="0C8E78D3" w14:textId="77777777" w:rsidR="00F4284C" w:rsidRPr="00154588" w:rsidRDefault="00F4284C" w:rsidP="008C12B4">
            <w:pPr>
              <w:jc w:val="both"/>
              <w:rPr>
                <w:b/>
                <w:sz w:val="20"/>
                <w:szCs w:val="20"/>
              </w:rPr>
            </w:pPr>
            <w:r w:rsidRPr="00154588">
              <w:rPr>
                <w:b/>
                <w:sz w:val="20"/>
                <w:szCs w:val="20"/>
              </w:rPr>
              <w:t>Articolul 74</w:t>
            </w:r>
          </w:p>
          <w:p w14:paraId="50BDFECF" w14:textId="77777777" w:rsidR="00F4284C" w:rsidRPr="00154588" w:rsidRDefault="00F4284C" w:rsidP="008C12B4">
            <w:pPr>
              <w:jc w:val="both"/>
              <w:rPr>
                <w:b/>
                <w:sz w:val="20"/>
                <w:szCs w:val="20"/>
              </w:rPr>
            </w:pPr>
          </w:p>
          <w:p w14:paraId="5704C9BD" w14:textId="23E521F8" w:rsidR="00F4284C" w:rsidRPr="00154588" w:rsidRDefault="00F4284C" w:rsidP="008C12B4">
            <w:pPr>
              <w:jc w:val="both"/>
              <w:rPr>
                <w:sz w:val="20"/>
                <w:szCs w:val="20"/>
              </w:rPr>
            </w:pPr>
            <w:r w:rsidRPr="00154588">
              <w:rPr>
                <w:b/>
                <w:sz w:val="20"/>
                <w:szCs w:val="20"/>
              </w:rPr>
              <w:t>Evaluarea diferenței de tratament</w:t>
            </w:r>
          </w:p>
        </w:tc>
        <w:tc>
          <w:tcPr>
            <w:tcW w:w="4819" w:type="dxa"/>
          </w:tcPr>
          <w:p w14:paraId="6B3C0535" w14:textId="77777777" w:rsidR="00F4284C" w:rsidRPr="00154588" w:rsidRDefault="00F4284C" w:rsidP="008C12B4">
            <w:pPr>
              <w:jc w:val="both"/>
              <w:rPr>
                <w:sz w:val="20"/>
                <w:szCs w:val="20"/>
              </w:rPr>
            </w:pPr>
          </w:p>
        </w:tc>
        <w:tc>
          <w:tcPr>
            <w:tcW w:w="2552" w:type="dxa"/>
          </w:tcPr>
          <w:p w14:paraId="4925E1B3" w14:textId="77777777" w:rsidR="00F4284C" w:rsidRPr="00154588" w:rsidRDefault="00F4284C" w:rsidP="008C12B4">
            <w:pPr>
              <w:jc w:val="both"/>
              <w:rPr>
                <w:sz w:val="20"/>
                <w:szCs w:val="20"/>
              </w:rPr>
            </w:pPr>
          </w:p>
        </w:tc>
        <w:tc>
          <w:tcPr>
            <w:tcW w:w="3118" w:type="dxa"/>
          </w:tcPr>
          <w:p w14:paraId="4D50770E" w14:textId="77777777" w:rsidR="00F4284C" w:rsidRPr="00154588" w:rsidRDefault="00F4284C" w:rsidP="008C12B4">
            <w:pPr>
              <w:jc w:val="both"/>
              <w:rPr>
                <w:sz w:val="20"/>
                <w:szCs w:val="20"/>
              </w:rPr>
            </w:pPr>
          </w:p>
        </w:tc>
      </w:tr>
      <w:tr w:rsidR="00F4284C" w:rsidRPr="00154588" w14:paraId="02159089" w14:textId="77777777" w:rsidTr="00D15C1B">
        <w:trPr>
          <w:jc w:val="center"/>
        </w:trPr>
        <w:tc>
          <w:tcPr>
            <w:tcW w:w="4957" w:type="dxa"/>
            <w:gridSpan w:val="2"/>
          </w:tcPr>
          <w:p w14:paraId="2545CE34" w14:textId="135EFCEB" w:rsidR="00F4284C" w:rsidRPr="00154588" w:rsidRDefault="00F4284C" w:rsidP="008C12B4">
            <w:pPr>
              <w:jc w:val="both"/>
              <w:rPr>
                <w:sz w:val="20"/>
                <w:szCs w:val="20"/>
              </w:rPr>
            </w:pPr>
            <w:r w:rsidRPr="00154588">
              <w:rPr>
                <w:sz w:val="20"/>
                <w:szCs w:val="20"/>
              </w:rPr>
              <w:t xml:space="preserve">(1)   În scopul de a evalua dacă acționarii și creditorii ar fi beneficiat de un tratament mai bun în cazul în care instituția aflată în rezoluție ar fi urmat o procedură obișnuită de insolvență, inclusiv, dar fără a se limita la sensul articolului 73, statele membre se asigură de efectuarea unei evaluări de către o persoană independentă cât mai curând posibil, după ce măsura sau măsurile de rezoluție au fost luate. Această </w:t>
            </w:r>
            <w:r w:rsidRPr="00154588">
              <w:rPr>
                <w:sz w:val="20"/>
                <w:szCs w:val="20"/>
              </w:rPr>
              <w:lastRenderedPageBreak/>
              <w:t>evaluare este distinctă de evaluarea efectuată în conformitate cu articolul 36.</w:t>
            </w:r>
          </w:p>
        </w:tc>
        <w:tc>
          <w:tcPr>
            <w:tcW w:w="4819" w:type="dxa"/>
          </w:tcPr>
          <w:p w14:paraId="06A30993" w14:textId="77777777" w:rsidR="00F4284C" w:rsidRPr="00154588" w:rsidRDefault="00F4284C" w:rsidP="008C12B4">
            <w:pPr>
              <w:ind w:firstLine="567"/>
              <w:jc w:val="both"/>
              <w:rPr>
                <w:rFonts w:eastAsia="Calibri"/>
                <w:sz w:val="20"/>
                <w:szCs w:val="20"/>
              </w:rPr>
            </w:pPr>
            <w:r w:rsidRPr="00154588">
              <w:rPr>
                <w:rFonts w:eastAsia="Calibri"/>
                <w:b/>
                <w:sz w:val="20"/>
                <w:szCs w:val="20"/>
              </w:rPr>
              <w:lastRenderedPageBreak/>
              <w:t>Articolul 263.</w:t>
            </w:r>
            <w:r w:rsidRPr="00154588">
              <w:rPr>
                <w:rFonts w:eastAsia="Calibri"/>
                <w:sz w:val="20"/>
                <w:szCs w:val="20"/>
              </w:rPr>
              <w:t xml:space="preserve"> – (1) În vederea evaluării tratamentului de care ar fi beneficiat acţionarii şi creditorii în cazul în care instituția supusă rezoluţiei ar fi urmat o procedură obișnuită de insolvabilitate, pentru scopurile prevederilor art.262, dar fără a se limita la acestea, Banca Naţională a Moldovei, în calitate de autoritate de rezoluţie, asigură efectuarea unei evaluări de către o persoană independentă, cît </w:t>
            </w:r>
            <w:r w:rsidRPr="00154588">
              <w:rPr>
                <w:rFonts w:eastAsia="Calibri"/>
                <w:sz w:val="20"/>
                <w:szCs w:val="20"/>
              </w:rPr>
              <w:lastRenderedPageBreak/>
              <w:t>mai curînd posibil, după ce acţiunea sau acţiunile de rezoluţie au fost aplicate.</w:t>
            </w:r>
          </w:p>
          <w:p w14:paraId="7F91F8DD" w14:textId="6F14D64C" w:rsidR="00F4284C" w:rsidRPr="00154588" w:rsidRDefault="00F4284C" w:rsidP="008C12B4">
            <w:pPr>
              <w:ind w:firstLine="567"/>
              <w:jc w:val="both"/>
              <w:rPr>
                <w:rFonts w:eastAsia="Calibri"/>
                <w:sz w:val="24"/>
              </w:rPr>
            </w:pPr>
            <w:r w:rsidRPr="00154588">
              <w:rPr>
                <w:sz w:val="20"/>
                <w:szCs w:val="20"/>
              </w:rPr>
              <w:t>(2) Evaluarea prevăzută la alin.(1) trebuie să fie diferită faţă de evaluarea efectuată potrivit prevederilor art.72-84.</w:t>
            </w:r>
          </w:p>
        </w:tc>
        <w:tc>
          <w:tcPr>
            <w:tcW w:w="2552" w:type="dxa"/>
          </w:tcPr>
          <w:p w14:paraId="4719D854" w14:textId="391D85C7" w:rsidR="00F4284C" w:rsidRPr="00154588" w:rsidRDefault="00F4284C" w:rsidP="008C12B4">
            <w:pPr>
              <w:jc w:val="both"/>
              <w:rPr>
                <w:sz w:val="20"/>
                <w:szCs w:val="20"/>
              </w:rPr>
            </w:pPr>
            <w:r w:rsidRPr="00154588">
              <w:rPr>
                <w:sz w:val="20"/>
                <w:szCs w:val="20"/>
              </w:rPr>
              <w:lastRenderedPageBreak/>
              <w:t>Compatibil</w:t>
            </w:r>
          </w:p>
        </w:tc>
        <w:tc>
          <w:tcPr>
            <w:tcW w:w="3118" w:type="dxa"/>
          </w:tcPr>
          <w:p w14:paraId="458CF11F" w14:textId="77777777" w:rsidR="00F4284C" w:rsidRPr="00154588" w:rsidRDefault="00F4284C" w:rsidP="008C12B4">
            <w:pPr>
              <w:jc w:val="both"/>
              <w:rPr>
                <w:sz w:val="20"/>
                <w:szCs w:val="20"/>
              </w:rPr>
            </w:pPr>
          </w:p>
        </w:tc>
      </w:tr>
      <w:tr w:rsidR="00F4284C" w:rsidRPr="00154588" w14:paraId="21801A04" w14:textId="77777777" w:rsidTr="00D15C1B">
        <w:trPr>
          <w:jc w:val="center"/>
        </w:trPr>
        <w:tc>
          <w:tcPr>
            <w:tcW w:w="4957" w:type="dxa"/>
            <w:gridSpan w:val="2"/>
          </w:tcPr>
          <w:p w14:paraId="29098112" w14:textId="77777777" w:rsidR="00F4284C" w:rsidRPr="00154588" w:rsidRDefault="00F4284C" w:rsidP="008C12B4">
            <w:pPr>
              <w:jc w:val="both"/>
              <w:rPr>
                <w:sz w:val="20"/>
                <w:szCs w:val="20"/>
              </w:rPr>
            </w:pPr>
            <w:r w:rsidRPr="00154588">
              <w:rPr>
                <w:sz w:val="20"/>
                <w:szCs w:val="20"/>
              </w:rPr>
              <w:t>(2)   Evaluarea de la alineatul (1) identifică:</w:t>
            </w:r>
          </w:p>
          <w:p w14:paraId="05F289D6" w14:textId="77777777" w:rsidR="00F4284C" w:rsidRPr="00154588" w:rsidRDefault="00F4284C" w:rsidP="008C12B4">
            <w:pPr>
              <w:jc w:val="both"/>
              <w:rPr>
                <w:sz w:val="20"/>
                <w:szCs w:val="20"/>
              </w:rPr>
            </w:pPr>
          </w:p>
          <w:p w14:paraId="35C75341" w14:textId="5408158A" w:rsidR="00F4284C" w:rsidRPr="00154588" w:rsidRDefault="00F4284C" w:rsidP="008C12B4">
            <w:pPr>
              <w:jc w:val="both"/>
              <w:rPr>
                <w:sz w:val="20"/>
                <w:szCs w:val="20"/>
              </w:rPr>
            </w:pPr>
            <w:r w:rsidRPr="00154588">
              <w:rPr>
                <w:sz w:val="20"/>
                <w:szCs w:val="20"/>
              </w:rPr>
              <w:t>(a) tratamentul pe care ar fi beneficiat acționarii și creditorii  sau schemele relevante de garantare a depozitelorîn cazurile menționate la articolul 109 alineatul (1) litera (a) și alineatul (6), dacă instituția aflată în rezoluție în raport cu care au fost luate una sau mai multe măsuri de rezoluție ar fi făcut obiectul unei proceduri obișnuite de insolvență în momentul luării deciziei menționate la articolul 82;</w:t>
            </w:r>
          </w:p>
          <w:p w14:paraId="1B81CA4B" w14:textId="2B86F53A" w:rsidR="00F4284C" w:rsidRPr="00154588" w:rsidRDefault="00F4284C" w:rsidP="008C12B4">
            <w:pPr>
              <w:jc w:val="both"/>
              <w:rPr>
                <w:sz w:val="20"/>
                <w:szCs w:val="20"/>
              </w:rPr>
            </w:pPr>
            <w:r w:rsidRPr="00154588">
              <w:rPr>
                <w:sz w:val="20"/>
                <w:szCs w:val="20"/>
              </w:rPr>
              <w:t>(b) tratamentul efectiv de care acționarii și creditorii au beneficiat în cadrul rezoluției instituției aflate în rezoluție; și</w:t>
            </w:r>
          </w:p>
          <w:p w14:paraId="64BFE2C4" w14:textId="77777777" w:rsidR="00F4284C" w:rsidRPr="00154588" w:rsidRDefault="00F4284C" w:rsidP="008C12B4">
            <w:pPr>
              <w:jc w:val="both"/>
              <w:rPr>
                <w:sz w:val="20"/>
                <w:szCs w:val="20"/>
              </w:rPr>
            </w:pPr>
          </w:p>
          <w:p w14:paraId="641EE34E" w14:textId="4A3D44D8" w:rsidR="00F4284C" w:rsidRPr="00154588" w:rsidRDefault="00F4284C" w:rsidP="008C12B4">
            <w:pPr>
              <w:jc w:val="both"/>
              <w:rPr>
                <w:sz w:val="20"/>
                <w:szCs w:val="20"/>
              </w:rPr>
            </w:pPr>
            <w:r w:rsidRPr="00154588">
              <w:rPr>
                <w:sz w:val="20"/>
                <w:szCs w:val="20"/>
              </w:rPr>
              <w:t>(c) existența unei eventuale diferențe între tratamentul menționat la litera (a) și cel menționat la litera (b).</w:t>
            </w:r>
          </w:p>
        </w:tc>
        <w:tc>
          <w:tcPr>
            <w:tcW w:w="4819" w:type="dxa"/>
          </w:tcPr>
          <w:p w14:paraId="5AD3BD53" w14:textId="77777777" w:rsidR="00F4284C" w:rsidRPr="00154588" w:rsidRDefault="00F4284C" w:rsidP="008C12B4">
            <w:pPr>
              <w:ind w:firstLine="567"/>
              <w:jc w:val="both"/>
              <w:rPr>
                <w:sz w:val="20"/>
                <w:szCs w:val="20"/>
              </w:rPr>
            </w:pPr>
            <w:r w:rsidRPr="00154588">
              <w:rPr>
                <w:b/>
                <w:sz w:val="20"/>
                <w:szCs w:val="20"/>
              </w:rPr>
              <w:t>Articolul</w:t>
            </w:r>
            <w:r w:rsidRPr="00154588">
              <w:rPr>
                <w:rFonts w:eastAsia="Calibri"/>
                <w:sz w:val="20"/>
                <w:szCs w:val="18"/>
              </w:rPr>
              <w:t xml:space="preserve"> </w:t>
            </w:r>
            <w:r w:rsidRPr="00154588">
              <w:rPr>
                <w:b/>
                <w:sz w:val="20"/>
                <w:szCs w:val="20"/>
              </w:rPr>
              <w:t>264.</w:t>
            </w:r>
            <w:r w:rsidRPr="00154588">
              <w:rPr>
                <w:sz w:val="20"/>
                <w:szCs w:val="20"/>
              </w:rPr>
              <w:t xml:space="preserve"> – Evaluarea prevăzută la art.263 trebuie să stabilească:</w:t>
            </w:r>
          </w:p>
          <w:p w14:paraId="08130700" w14:textId="56756254" w:rsidR="00F4284C" w:rsidRPr="00154588" w:rsidRDefault="00F4284C" w:rsidP="008C12B4">
            <w:pPr>
              <w:ind w:firstLine="567"/>
              <w:jc w:val="both"/>
              <w:rPr>
                <w:sz w:val="20"/>
                <w:szCs w:val="20"/>
              </w:rPr>
            </w:pPr>
            <w:r w:rsidRPr="00154588">
              <w:rPr>
                <w:sz w:val="20"/>
                <w:szCs w:val="20"/>
              </w:rPr>
              <w:t xml:space="preserve">a) tratamentul pe care </w:t>
            </w:r>
            <w:r w:rsidRPr="00154588">
              <w:rPr>
                <w:bCs/>
                <w:sz w:val="20"/>
                <w:szCs w:val="20"/>
              </w:rPr>
              <w:t>ar fi beneficiat</w:t>
            </w:r>
            <w:r w:rsidRPr="00154588">
              <w:rPr>
                <w:sz w:val="20"/>
                <w:szCs w:val="20"/>
              </w:rPr>
              <w:t xml:space="preserve"> acţionarii şi creditorii sau schemele relevante de garantare a depozitelor în cazurile </w:t>
            </w:r>
            <w:r w:rsidRPr="00154588">
              <w:rPr>
                <w:bCs/>
                <w:sz w:val="20"/>
                <w:szCs w:val="20"/>
              </w:rPr>
              <w:t>menționate la art.313</w:t>
            </w:r>
            <w:r w:rsidRPr="00154588">
              <w:rPr>
                <w:bCs/>
                <w:sz w:val="20"/>
                <w:szCs w:val="20"/>
                <w:vertAlign w:val="superscript"/>
              </w:rPr>
              <w:t>8</w:t>
            </w:r>
            <w:r w:rsidRPr="00154588">
              <w:rPr>
                <w:bCs/>
                <w:sz w:val="20"/>
                <w:szCs w:val="20"/>
              </w:rPr>
              <w:t xml:space="preserve"> alin.(1) lit.a) și art. 313</w:t>
            </w:r>
            <w:r w:rsidRPr="00154588">
              <w:rPr>
                <w:bCs/>
                <w:sz w:val="20"/>
                <w:szCs w:val="20"/>
                <w:vertAlign w:val="superscript"/>
              </w:rPr>
              <w:t>13</w:t>
            </w:r>
            <w:r w:rsidRPr="00154588">
              <w:rPr>
                <w:bCs/>
                <w:sz w:val="20"/>
                <w:szCs w:val="20"/>
              </w:rPr>
              <w:t xml:space="preserve">, </w:t>
            </w:r>
            <w:r w:rsidRPr="00154588">
              <w:rPr>
                <w:sz w:val="20"/>
                <w:szCs w:val="20"/>
              </w:rPr>
              <w:t>instituția supusă rezoluţiei, în legătură cu care o acţiune sau mai multe acţiuni de rezoluţie au fost luate, ar fi intrat în procedură obișnuită de insolvabilitate la momentul luării deciziei privind aplicarea sau nu a instrumentelor de rezoluţie;</w:t>
            </w:r>
          </w:p>
          <w:p w14:paraId="1A54A3D4" w14:textId="77777777" w:rsidR="00F4284C" w:rsidRPr="00154588" w:rsidRDefault="00F4284C" w:rsidP="008C12B4">
            <w:pPr>
              <w:ind w:firstLine="567"/>
              <w:jc w:val="both"/>
              <w:rPr>
                <w:sz w:val="20"/>
                <w:szCs w:val="20"/>
              </w:rPr>
            </w:pPr>
          </w:p>
          <w:p w14:paraId="5D00496A" w14:textId="166B5096" w:rsidR="00F4284C" w:rsidRPr="00154588" w:rsidRDefault="00F4284C" w:rsidP="008C12B4">
            <w:pPr>
              <w:ind w:firstLine="567"/>
              <w:jc w:val="both"/>
              <w:rPr>
                <w:sz w:val="20"/>
                <w:szCs w:val="20"/>
              </w:rPr>
            </w:pPr>
            <w:r w:rsidRPr="00154588">
              <w:rPr>
                <w:sz w:val="20"/>
                <w:szCs w:val="20"/>
              </w:rPr>
              <w:t>b) tratamentul efectiv de care au beneficiat acţionarii şi creditorii, în cadrul rezoluţiei instituției supuse rezoluţiei; şi</w:t>
            </w:r>
          </w:p>
          <w:p w14:paraId="3FD263BE" w14:textId="77777777" w:rsidR="00F4284C" w:rsidRPr="00154588" w:rsidRDefault="00F4284C" w:rsidP="008C12B4">
            <w:pPr>
              <w:ind w:firstLine="567"/>
              <w:jc w:val="both"/>
              <w:rPr>
                <w:sz w:val="20"/>
                <w:szCs w:val="20"/>
              </w:rPr>
            </w:pPr>
          </w:p>
          <w:p w14:paraId="60F46EA0" w14:textId="6F0D4D1C" w:rsidR="00F4284C" w:rsidRPr="00154588" w:rsidRDefault="00F4284C" w:rsidP="008C12B4">
            <w:pPr>
              <w:ind w:firstLine="567"/>
              <w:jc w:val="both"/>
              <w:rPr>
                <w:sz w:val="20"/>
                <w:szCs w:val="20"/>
              </w:rPr>
            </w:pPr>
            <w:r w:rsidRPr="00154588">
              <w:rPr>
                <w:sz w:val="20"/>
                <w:szCs w:val="20"/>
              </w:rPr>
              <w:t>c) existenţa unei eventuale diferenţe între tratamentul prevăzut la lit.a) şi cel prevăzut la lit.b).</w:t>
            </w:r>
          </w:p>
        </w:tc>
        <w:tc>
          <w:tcPr>
            <w:tcW w:w="2552" w:type="dxa"/>
          </w:tcPr>
          <w:p w14:paraId="1A4C0922" w14:textId="3CA1EC93" w:rsidR="00F4284C" w:rsidRPr="00154588" w:rsidRDefault="00F4284C" w:rsidP="008C12B4">
            <w:pPr>
              <w:jc w:val="both"/>
              <w:rPr>
                <w:sz w:val="20"/>
                <w:szCs w:val="20"/>
              </w:rPr>
            </w:pPr>
            <w:r w:rsidRPr="00154588">
              <w:rPr>
                <w:sz w:val="20"/>
                <w:szCs w:val="20"/>
              </w:rPr>
              <w:t>Compatibil</w:t>
            </w:r>
          </w:p>
        </w:tc>
        <w:tc>
          <w:tcPr>
            <w:tcW w:w="3118" w:type="dxa"/>
          </w:tcPr>
          <w:p w14:paraId="72071326" w14:textId="77777777" w:rsidR="00F4284C" w:rsidRPr="00154588" w:rsidRDefault="00F4284C" w:rsidP="008C12B4">
            <w:pPr>
              <w:jc w:val="both"/>
              <w:rPr>
                <w:sz w:val="20"/>
                <w:szCs w:val="20"/>
              </w:rPr>
            </w:pPr>
          </w:p>
        </w:tc>
      </w:tr>
      <w:tr w:rsidR="00F4284C" w:rsidRPr="00154588" w14:paraId="0966644D" w14:textId="77777777" w:rsidTr="00D15C1B">
        <w:trPr>
          <w:jc w:val="center"/>
        </w:trPr>
        <w:tc>
          <w:tcPr>
            <w:tcW w:w="4957" w:type="dxa"/>
            <w:gridSpan w:val="2"/>
          </w:tcPr>
          <w:p w14:paraId="0498AA2D" w14:textId="77777777" w:rsidR="00F4284C" w:rsidRPr="00154588" w:rsidRDefault="00F4284C" w:rsidP="008C12B4">
            <w:pPr>
              <w:jc w:val="both"/>
              <w:rPr>
                <w:sz w:val="20"/>
                <w:szCs w:val="20"/>
              </w:rPr>
            </w:pPr>
            <w:r w:rsidRPr="00154588">
              <w:rPr>
                <w:sz w:val="20"/>
                <w:szCs w:val="20"/>
              </w:rPr>
              <w:t>(3)   Evaluarea:</w:t>
            </w:r>
          </w:p>
          <w:p w14:paraId="196A5A58" w14:textId="77777777" w:rsidR="00F4284C" w:rsidRPr="00154588" w:rsidRDefault="00F4284C" w:rsidP="008C12B4">
            <w:pPr>
              <w:jc w:val="both"/>
              <w:rPr>
                <w:sz w:val="20"/>
                <w:szCs w:val="20"/>
              </w:rPr>
            </w:pPr>
          </w:p>
          <w:p w14:paraId="7D08844F" w14:textId="144AAE47" w:rsidR="00F4284C" w:rsidRPr="00154588" w:rsidRDefault="00F4284C" w:rsidP="008C12B4">
            <w:pPr>
              <w:jc w:val="both"/>
              <w:rPr>
                <w:sz w:val="20"/>
                <w:szCs w:val="20"/>
              </w:rPr>
            </w:pPr>
            <w:r w:rsidRPr="00154588">
              <w:rPr>
                <w:sz w:val="20"/>
                <w:szCs w:val="20"/>
              </w:rPr>
              <w:t>(a) ia în calcul ipoteza că conform căreia instituția aflată în rezoluție, în raport cu care o măsură sau mai multe măsuri de rezoluție au fost luate, ar fi intrat în procedura obișnuită de insolvență în momentul luării deciziei menționate la articolul 82;</w:t>
            </w:r>
          </w:p>
          <w:p w14:paraId="4AC8D28B" w14:textId="77777777" w:rsidR="00F4284C" w:rsidRPr="00154588" w:rsidRDefault="00F4284C" w:rsidP="008C12B4">
            <w:pPr>
              <w:jc w:val="both"/>
              <w:rPr>
                <w:sz w:val="20"/>
                <w:szCs w:val="20"/>
              </w:rPr>
            </w:pPr>
          </w:p>
          <w:p w14:paraId="20B277F7" w14:textId="54A56EB5" w:rsidR="00F4284C" w:rsidRPr="00154588" w:rsidRDefault="00F4284C" w:rsidP="008C12B4">
            <w:pPr>
              <w:jc w:val="both"/>
              <w:rPr>
                <w:sz w:val="20"/>
                <w:szCs w:val="20"/>
              </w:rPr>
            </w:pPr>
            <w:r w:rsidRPr="00154588">
              <w:rPr>
                <w:sz w:val="20"/>
                <w:szCs w:val="20"/>
              </w:rPr>
              <w:t>(b) să ia în calcul ipoteza că măsura sau măsurile de rezoluție nu ar fi fost luate;</w:t>
            </w:r>
          </w:p>
          <w:p w14:paraId="79B108AE" w14:textId="77777777" w:rsidR="00F4284C" w:rsidRPr="00154588" w:rsidRDefault="00F4284C" w:rsidP="008C12B4">
            <w:pPr>
              <w:jc w:val="both"/>
              <w:rPr>
                <w:sz w:val="20"/>
                <w:szCs w:val="20"/>
              </w:rPr>
            </w:pPr>
          </w:p>
          <w:p w14:paraId="37F71AC7" w14:textId="160839FD" w:rsidR="00F4284C" w:rsidRPr="00154588" w:rsidRDefault="00F4284C" w:rsidP="008C12B4">
            <w:pPr>
              <w:jc w:val="both"/>
              <w:rPr>
                <w:sz w:val="20"/>
                <w:szCs w:val="20"/>
              </w:rPr>
            </w:pPr>
            <w:r w:rsidRPr="00154588">
              <w:rPr>
                <w:sz w:val="20"/>
                <w:szCs w:val="20"/>
              </w:rPr>
              <w:t>(c) nu ține cont de acordarea vreunui sprijin financiar public extraordinar instituției aflate în rezoluție.</w:t>
            </w:r>
          </w:p>
        </w:tc>
        <w:tc>
          <w:tcPr>
            <w:tcW w:w="4819" w:type="dxa"/>
          </w:tcPr>
          <w:p w14:paraId="1A45B355" w14:textId="77777777" w:rsidR="00F4284C" w:rsidRPr="00154588" w:rsidRDefault="00F4284C" w:rsidP="008C12B4">
            <w:pPr>
              <w:ind w:firstLine="567"/>
              <w:jc w:val="both"/>
              <w:rPr>
                <w:sz w:val="20"/>
                <w:szCs w:val="20"/>
              </w:rPr>
            </w:pPr>
            <w:r w:rsidRPr="00154588">
              <w:rPr>
                <w:b/>
                <w:sz w:val="20"/>
                <w:szCs w:val="20"/>
              </w:rPr>
              <w:t>Articolul 265.</w:t>
            </w:r>
            <w:r w:rsidRPr="00154588">
              <w:rPr>
                <w:sz w:val="20"/>
                <w:szCs w:val="20"/>
              </w:rPr>
              <w:t xml:space="preserve"> – Pe lîngă aspectele prevăzute la art.264, evaluarea prevăzută la art.263 trebuie:</w:t>
            </w:r>
          </w:p>
          <w:p w14:paraId="7EFD8AE8" w14:textId="33A9A739" w:rsidR="00F4284C" w:rsidRPr="00154588" w:rsidRDefault="00F4284C" w:rsidP="008C12B4">
            <w:pPr>
              <w:ind w:firstLine="567"/>
              <w:jc w:val="both"/>
              <w:rPr>
                <w:rFonts w:eastAsia="Calibri"/>
                <w:sz w:val="20"/>
                <w:szCs w:val="18"/>
              </w:rPr>
            </w:pPr>
            <w:r w:rsidRPr="00154588">
              <w:rPr>
                <w:rFonts w:eastAsia="Calibri"/>
                <w:sz w:val="20"/>
                <w:szCs w:val="18"/>
              </w:rPr>
              <w:t>a) să ia în considerare ipoteza conform căreia instituția supusă rezoluţiei, în raport cu care o acţiune sau mai multe acţiuni de rezoluţie au fost luate, ar fi intrat în procedura obișnuită de insolvabilitate la momentul luării deciziei privind aplicarea sau nu a instrumentelor de rezoluţie;</w:t>
            </w:r>
          </w:p>
          <w:p w14:paraId="5FC6EDFA" w14:textId="77777777" w:rsidR="00F4284C" w:rsidRPr="00154588" w:rsidRDefault="00F4284C" w:rsidP="008C12B4">
            <w:pPr>
              <w:ind w:firstLine="567"/>
              <w:jc w:val="both"/>
              <w:rPr>
                <w:sz w:val="20"/>
                <w:szCs w:val="20"/>
              </w:rPr>
            </w:pPr>
            <w:r w:rsidRPr="00154588">
              <w:rPr>
                <w:sz w:val="20"/>
                <w:szCs w:val="20"/>
              </w:rPr>
              <w:t>b) să ia în considerare ipoteza conform căreia acţiunea sau acţiunile de rezoluţie nu ar fi fost luate;</w:t>
            </w:r>
          </w:p>
          <w:p w14:paraId="1516271A" w14:textId="036ACF91" w:rsidR="00F4284C" w:rsidRPr="00154588" w:rsidRDefault="00F4284C" w:rsidP="008C12B4">
            <w:pPr>
              <w:ind w:firstLine="567"/>
              <w:jc w:val="both"/>
              <w:rPr>
                <w:sz w:val="20"/>
                <w:szCs w:val="20"/>
              </w:rPr>
            </w:pPr>
            <w:r w:rsidRPr="00154588">
              <w:rPr>
                <w:sz w:val="20"/>
                <w:szCs w:val="20"/>
              </w:rPr>
              <w:t xml:space="preserve">c) să nu ia în considerare acordarea de sprijin financiar public extraordinar </w:t>
            </w:r>
            <w:r w:rsidRPr="00154588">
              <w:rPr>
                <w:rFonts w:eastAsia="Calibri"/>
                <w:sz w:val="20"/>
                <w:szCs w:val="18"/>
              </w:rPr>
              <w:t>instituției</w:t>
            </w:r>
            <w:r w:rsidRPr="00154588">
              <w:rPr>
                <w:sz w:val="20"/>
                <w:szCs w:val="20"/>
              </w:rPr>
              <w:t xml:space="preserve"> supuse rezoluţiei.</w:t>
            </w:r>
          </w:p>
        </w:tc>
        <w:tc>
          <w:tcPr>
            <w:tcW w:w="2552" w:type="dxa"/>
          </w:tcPr>
          <w:p w14:paraId="6C470041" w14:textId="2AFD8F9B" w:rsidR="00F4284C" w:rsidRPr="00154588" w:rsidRDefault="00F4284C" w:rsidP="008C12B4">
            <w:pPr>
              <w:jc w:val="both"/>
              <w:rPr>
                <w:sz w:val="20"/>
                <w:szCs w:val="20"/>
              </w:rPr>
            </w:pPr>
            <w:r w:rsidRPr="00154588">
              <w:rPr>
                <w:sz w:val="20"/>
                <w:szCs w:val="20"/>
              </w:rPr>
              <w:t>Compatibil</w:t>
            </w:r>
          </w:p>
        </w:tc>
        <w:tc>
          <w:tcPr>
            <w:tcW w:w="3118" w:type="dxa"/>
          </w:tcPr>
          <w:p w14:paraId="7AE1A2EA" w14:textId="77777777" w:rsidR="00F4284C" w:rsidRPr="00154588" w:rsidRDefault="00F4284C" w:rsidP="008C12B4">
            <w:pPr>
              <w:jc w:val="both"/>
              <w:rPr>
                <w:sz w:val="20"/>
                <w:szCs w:val="20"/>
              </w:rPr>
            </w:pPr>
          </w:p>
        </w:tc>
      </w:tr>
      <w:tr w:rsidR="00F4284C" w:rsidRPr="00154588" w14:paraId="039A4C2F" w14:textId="77777777" w:rsidTr="00D15C1B">
        <w:trPr>
          <w:jc w:val="center"/>
        </w:trPr>
        <w:tc>
          <w:tcPr>
            <w:tcW w:w="4957" w:type="dxa"/>
            <w:gridSpan w:val="2"/>
          </w:tcPr>
          <w:p w14:paraId="5E7EA277" w14:textId="77777777" w:rsidR="00F4284C" w:rsidRPr="00154588" w:rsidRDefault="00F4284C" w:rsidP="008C12B4">
            <w:pPr>
              <w:jc w:val="both"/>
              <w:rPr>
                <w:sz w:val="20"/>
                <w:szCs w:val="20"/>
              </w:rPr>
            </w:pPr>
            <w:r w:rsidRPr="00154588">
              <w:rPr>
                <w:sz w:val="20"/>
                <w:szCs w:val="20"/>
              </w:rPr>
              <w:t>(4)   ABE elaborează proiecte de standarde tehnice de reglementare care să specifice metodologia de efectuare a evaluării conform prezentului articol, în special metodologia de evaluare a tratamentului de care ar fi beneficiat acționarii și creditorii dacă instituția aflată în rezoluție ar fi intrat în procedura obișnuită de insolvență în momentul luării deciziei menționate la articolul 82.</w:t>
            </w:r>
          </w:p>
          <w:p w14:paraId="0A8C98BE" w14:textId="77777777" w:rsidR="00F4284C" w:rsidRPr="00154588" w:rsidRDefault="00F4284C" w:rsidP="008C12B4">
            <w:pPr>
              <w:jc w:val="both"/>
              <w:rPr>
                <w:sz w:val="20"/>
                <w:szCs w:val="20"/>
              </w:rPr>
            </w:pPr>
          </w:p>
          <w:p w14:paraId="08FB4CCD" w14:textId="77777777" w:rsidR="00F4284C" w:rsidRPr="00154588" w:rsidRDefault="00F4284C" w:rsidP="008C12B4">
            <w:pPr>
              <w:jc w:val="both"/>
              <w:rPr>
                <w:sz w:val="20"/>
                <w:szCs w:val="20"/>
              </w:rPr>
            </w:pPr>
          </w:p>
          <w:p w14:paraId="482CAD19" w14:textId="36EF0481" w:rsidR="00F4284C" w:rsidRPr="00154588" w:rsidRDefault="00F4284C" w:rsidP="008C12B4">
            <w:pPr>
              <w:jc w:val="both"/>
              <w:rPr>
                <w:sz w:val="20"/>
                <w:szCs w:val="20"/>
              </w:rPr>
            </w:pPr>
            <w:r w:rsidRPr="00154588">
              <w:rPr>
                <w:sz w:val="20"/>
                <w:szCs w:val="20"/>
              </w:rPr>
              <w:t>Se deleagă Comisiei competența de a adopta standardele tehnice de reglementare menționate la primul paragraf, în conformitate cu articolele 10-14 din Regulamentul (UE) nr. 1093/2010.</w:t>
            </w:r>
          </w:p>
        </w:tc>
        <w:tc>
          <w:tcPr>
            <w:tcW w:w="4819" w:type="dxa"/>
          </w:tcPr>
          <w:p w14:paraId="1E8913F2" w14:textId="4606546E" w:rsidR="00F4284C" w:rsidRPr="00154588" w:rsidRDefault="00F4284C" w:rsidP="008C12B4">
            <w:pPr>
              <w:jc w:val="center"/>
              <w:rPr>
                <w:sz w:val="20"/>
                <w:szCs w:val="20"/>
              </w:rPr>
            </w:pPr>
            <w:r w:rsidRPr="00154588">
              <w:rPr>
                <w:sz w:val="20"/>
                <w:szCs w:val="16"/>
              </w:rPr>
              <w:lastRenderedPageBreak/>
              <w:t>-</w:t>
            </w:r>
          </w:p>
        </w:tc>
        <w:tc>
          <w:tcPr>
            <w:tcW w:w="2552" w:type="dxa"/>
          </w:tcPr>
          <w:p w14:paraId="1D4FD04F" w14:textId="7BE1E496" w:rsidR="00F4284C" w:rsidRPr="00154588" w:rsidRDefault="00F4284C" w:rsidP="008C12B4">
            <w:pPr>
              <w:jc w:val="both"/>
              <w:rPr>
                <w:sz w:val="20"/>
                <w:szCs w:val="20"/>
              </w:rPr>
            </w:pPr>
            <w:r w:rsidRPr="00154588">
              <w:rPr>
                <w:sz w:val="20"/>
                <w:szCs w:val="16"/>
              </w:rPr>
              <w:t>Norme UE neaplicabile</w:t>
            </w:r>
          </w:p>
        </w:tc>
        <w:tc>
          <w:tcPr>
            <w:tcW w:w="3118" w:type="dxa"/>
          </w:tcPr>
          <w:p w14:paraId="19F72737" w14:textId="240B4C86" w:rsidR="00F4284C" w:rsidRPr="00154588" w:rsidRDefault="00F4284C" w:rsidP="008C12B4">
            <w:pPr>
              <w:jc w:val="both"/>
              <w:rPr>
                <w:sz w:val="20"/>
                <w:szCs w:val="20"/>
              </w:rPr>
            </w:pPr>
            <w:r w:rsidRPr="00154588">
              <w:rPr>
                <w:sz w:val="20"/>
                <w:szCs w:val="16"/>
              </w:rPr>
              <w:t>Prevederi care se referă la atribuțiile de reglementare ale autorităților europene.</w:t>
            </w:r>
          </w:p>
        </w:tc>
      </w:tr>
      <w:tr w:rsidR="00F4284C" w:rsidRPr="00154588" w14:paraId="4B1D69E8" w14:textId="77777777" w:rsidTr="00D15C1B">
        <w:trPr>
          <w:jc w:val="center"/>
        </w:trPr>
        <w:tc>
          <w:tcPr>
            <w:tcW w:w="4957" w:type="dxa"/>
            <w:gridSpan w:val="2"/>
          </w:tcPr>
          <w:p w14:paraId="5919941F" w14:textId="77777777" w:rsidR="00F4284C" w:rsidRPr="00154588" w:rsidRDefault="00F4284C" w:rsidP="008C12B4">
            <w:pPr>
              <w:jc w:val="both"/>
              <w:rPr>
                <w:b/>
                <w:sz w:val="20"/>
                <w:szCs w:val="20"/>
              </w:rPr>
            </w:pPr>
            <w:r w:rsidRPr="00154588">
              <w:rPr>
                <w:b/>
                <w:sz w:val="20"/>
                <w:szCs w:val="20"/>
              </w:rPr>
              <w:t>Articolul 75</w:t>
            </w:r>
          </w:p>
          <w:p w14:paraId="45544054" w14:textId="77777777" w:rsidR="00F4284C" w:rsidRPr="00154588" w:rsidRDefault="00F4284C" w:rsidP="008C12B4">
            <w:pPr>
              <w:jc w:val="both"/>
              <w:rPr>
                <w:b/>
                <w:sz w:val="20"/>
                <w:szCs w:val="20"/>
              </w:rPr>
            </w:pPr>
          </w:p>
          <w:p w14:paraId="6B743D5C" w14:textId="4C34B2E7" w:rsidR="00F4284C" w:rsidRPr="00154588" w:rsidRDefault="00F4284C" w:rsidP="008C12B4">
            <w:pPr>
              <w:jc w:val="both"/>
              <w:rPr>
                <w:sz w:val="20"/>
                <w:szCs w:val="20"/>
              </w:rPr>
            </w:pPr>
            <w:r w:rsidRPr="00154588">
              <w:rPr>
                <w:b/>
                <w:sz w:val="20"/>
                <w:szCs w:val="20"/>
              </w:rPr>
              <w:t>Mecanisme de siguranță pentru acționari și creditori</w:t>
            </w:r>
          </w:p>
        </w:tc>
        <w:tc>
          <w:tcPr>
            <w:tcW w:w="4819" w:type="dxa"/>
          </w:tcPr>
          <w:p w14:paraId="1E6D682F" w14:textId="77777777" w:rsidR="00F4284C" w:rsidRPr="00154588" w:rsidRDefault="00F4284C" w:rsidP="008C12B4">
            <w:pPr>
              <w:jc w:val="both"/>
              <w:rPr>
                <w:sz w:val="20"/>
                <w:szCs w:val="20"/>
              </w:rPr>
            </w:pPr>
          </w:p>
        </w:tc>
        <w:tc>
          <w:tcPr>
            <w:tcW w:w="2552" w:type="dxa"/>
          </w:tcPr>
          <w:p w14:paraId="240D9FEB" w14:textId="77777777" w:rsidR="00F4284C" w:rsidRPr="00154588" w:rsidRDefault="00F4284C" w:rsidP="008C12B4">
            <w:pPr>
              <w:jc w:val="both"/>
              <w:rPr>
                <w:sz w:val="20"/>
                <w:szCs w:val="20"/>
              </w:rPr>
            </w:pPr>
          </w:p>
        </w:tc>
        <w:tc>
          <w:tcPr>
            <w:tcW w:w="3118" w:type="dxa"/>
          </w:tcPr>
          <w:p w14:paraId="39BCC4B3" w14:textId="77777777" w:rsidR="00F4284C" w:rsidRPr="00154588" w:rsidRDefault="00F4284C" w:rsidP="008C12B4">
            <w:pPr>
              <w:jc w:val="both"/>
              <w:rPr>
                <w:sz w:val="20"/>
                <w:szCs w:val="20"/>
              </w:rPr>
            </w:pPr>
          </w:p>
        </w:tc>
      </w:tr>
      <w:tr w:rsidR="00F4284C" w:rsidRPr="00154588" w14:paraId="514944DC" w14:textId="77777777" w:rsidTr="00D15C1B">
        <w:trPr>
          <w:jc w:val="center"/>
        </w:trPr>
        <w:tc>
          <w:tcPr>
            <w:tcW w:w="4957" w:type="dxa"/>
            <w:gridSpan w:val="2"/>
          </w:tcPr>
          <w:p w14:paraId="1E59E87A" w14:textId="65FA3A05" w:rsidR="00F4284C" w:rsidRPr="00154588" w:rsidRDefault="00F4284C" w:rsidP="008C12B4">
            <w:pPr>
              <w:jc w:val="both"/>
              <w:rPr>
                <w:sz w:val="20"/>
                <w:szCs w:val="20"/>
              </w:rPr>
            </w:pPr>
            <w:r w:rsidRPr="00154588">
              <w:rPr>
                <w:sz w:val="20"/>
                <w:szCs w:val="20"/>
              </w:rPr>
              <w:t>Statele membre se asigură că, în cazul în care evaluarea efectuată în conformitate cu articolul 74 stabilește că oricare dintre acționarii sau creditorii menționați la articolul 73 sau schema de garantare a depozitelor în cazurile menționate la articolul 109 alineatul (1) lit.(a) și alineatul (6) a acumulat pierderi mai mari decât cele pe care le-ar fi înregistrat dacă instituția ar fi fost lichidată prin procedura obișnuită de insolvență, respectivul acționar sau creditor sau respectiva schemă are dreptul la plata diferenței din partea mecanismelor de finanțare a rezoluției.</w:t>
            </w:r>
          </w:p>
        </w:tc>
        <w:tc>
          <w:tcPr>
            <w:tcW w:w="4819" w:type="dxa"/>
          </w:tcPr>
          <w:p w14:paraId="5EF79377" w14:textId="1F0A647C" w:rsidR="00F4284C" w:rsidRPr="00154588" w:rsidRDefault="00F4284C" w:rsidP="008C12B4">
            <w:pPr>
              <w:ind w:firstLine="567"/>
              <w:jc w:val="both"/>
              <w:rPr>
                <w:rFonts w:eastAsia="Calibri"/>
                <w:sz w:val="24"/>
                <w:szCs w:val="24"/>
              </w:rPr>
            </w:pPr>
            <w:r w:rsidRPr="00154588">
              <w:rPr>
                <w:b/>
                <w:sz w:val="20"/>
                <w:szCs w:val="20"/>
              </w:rPr>
              <w:t>Articolul</w:t>
            </w:r>
            <w:r w:rsidRPr="00154588">
              <w:rPr>
                <w:rFonts w:eastAsia="Calibri"/>
                <w:sz w:val="20"/>
                <w:szCs w:val="20"/>
              </w:rPr>
              <w:t xml:space="preserve"> </w:t>
            </w:r>
            <w:r w:rsidRPr="00154588">
              <w:rPr>
                <w:b/>
                <w:sz w:val="20"/>
                <w:szCs w:val="20"/>
              </w:rPr>
              <w:t>266.</w:t>
            </w:r>
            <w:r w:rsidRPr="00154588">
              <w:rPr>
                <w:sz w:val="20"/>
                <w:szCs w:val="20"/>
              </w:rPr>
              <w:t xml:space="preserve"> – În situaţia în care evaluarea efectuată potrivit prevederilor art.263-265 stabileşte că oricare dintre acţionarii sau creditorii prevăzuţi la art.262, sau schema de garantare a depozitelor în cazurile mentionate la </w:t>
            </w:r>
            <w:r w:rsidRPr="00154588">
              <w:rPr>
                <w:bCs/>
                <w:sz w:val="20"/>
                <w:szCs w:val="20"/>
              </w:rPr>
              <w:t>art.313</w:t>
            </w:r>
            <w:r w:rsidRPr="00154588">
              <w:rPr>
                <w:bCs/>
                <w:sz w:val="20"/>
                <w:szCs w:val="20"/>
                <w:vertAlign w:val="superscript"/>
              </w:rPr>
              <w:t>8</w:t>
            </w:r>
            <w:r w:rsidRPr="00154588">
              <w:rPr>
                <w:bCs/>
                <w:sz w:val="20"/>
                <w:szCs w:val="20"/>
              </w:rPr>
              <w:t xml:space="preserve"> alin.(1) lit.a) și art. 313</w:t>
            </w:r>
            <w:r w:rsidRPr="00154588">
              <w:rPr>
                <w:bCs/>
                <w:sz w:val="20"/>
                <w:szCs w:val="20"/>
                <w:vertAlign w:val="superscript"/>
              </w:rPr>
              <w:t>13</w:t>
            </w:r>
            <w:r w:rsidRPr="00154588">
              <w:rPr>
                <w:sz w:val="20"/>
                <w:szCs w:val="20"/>
              </w:rPr>
              <w:t xml:space="preserve"> au acumulat pierderi mai mari decît cele pe care le-ar fi înregistrat dacă </w:t>
            </w:r>
            <w:r w:rsidRPr="00154588">
              <w:rPr>
                <w:rFonts w:eastAsia="Calibri"/>
                <w:sz w:val="20"/>
                <w:szCs w:val="20"/>
              </w:rPr>
              <w:t>instituția</w:t>
            </w:r>
            <w:r w:rsidRPr="00154588">
              <w:rPr>
                <w:sz w:val="20"/>
                <w:szCs w:val="20"/>
              </w:rPr>
              <w:t xml:space="preserve"> ar fi fost lichidată prin procedura obișnuită de insolvabilitate, </w:t>
            </w:r>
            <w:r w:rsidRPr="00154588">
              <w:rPr>
                <w:bCs/>
                <w:sz w:val="20"/>
                <w:szCs w:val="20"/>
              </w:rPr>
              <w:t>respectivul acționar sau creditor sau respectiva schemă</w:t>
            </w:r>
            <w:r w:rsidRPr="00154588">
              <w:rPr>
                <w:sz w:val="20"/>
                <w:szCs w:val="20"/>
              </w:rPr>
              <w:t xml:space="preserve"> au dreptul la plata diferenţei din fondul de rezoluţie bancară.</w:t>
            </w:r>
          </w:p>
        </w:tc>
        <w:tc>
          <w:tcPr>
            <w:tcW w:w="2552" w:type="dxa"/>
          </w:tcPr>
          <w:p w14:paraId="0A06EBF8" w14:textId="5C7AFCBB" w:rsidR="00F4284C" w:rsidRPr="00154588" w:rsidRDefault="00F4284C" w:rsidP="008C12B4">
            <w:pPr>
              <w:jc w:val="both"/>
              <w:rPr>
                <w:sz w:val="20"/>
                <w:szCs w:val="20"/>
              </w:rPr>
            </w:pPr>
            <w:r w:rsidRPr="00154588">
              <w:rPr>
                <w:sz w:val="20"/>
                <w:szCs w:val="20"/>
              </w:rPr>
              <w:t>Compatibil</w:t>
            </w:r>
          </w:p>
        </w:tc>
        <w:tc>
          <w:tcPr>
            <w:tcW w:w="3118" w:type="dxa"/>
          </w:tcPr>
          <w:p w14:paraId="46975033" w14:textId="77777777" w:rsidR="00F4284C" w:rsidRPr="00154588" w:rsidRDefault="00F4284C" w:rsidP="008C12B4">
            <w:pPr>
              <w:jc w:val="both"/>
              <w:rPr>
                <w:sz w:val="20"/>
                <w:szCs w:val="20"/>
              </w:rPr>
            </w:pPr>
          </w:p>
        </w:tc>
      </w:tr>
      <w:tr w:rsidR="00F4284C" w:rsidRPr="00154588" w14:paraId="438E1D7E" w14:textId="77777777" w:rsidTr="00D15C1B">
        <w:trPr>
          <w:jc w:val="center"/>
        </w:trPr>
        <w:tc>
          <w:tcPr>
            <w:tcW w:w="4957" w:type="dxa"/>
            <w:gridSpan w:val="2"/>
          </w:tcPr>
          <w:p w14:paraId="0A00B554" w14:textId="77777777" w:rsidR="00F4284C" w:rsidRPr="00154588" w:rsidRDefault="00F4284C" w:rsidP="008C12B4">
            <w:pPr>
              <w:jc w:val="both"/>
              <w:rPr>
                <w:b/>
                <w:sz w:val="20"/>
                <w:szCs w:val="20"/>
              </w:rPr>
            </w:pPr>
            <w:r w:rsidRPr="00154588">
              <w:rPr>
                <w:b/>
                <w:sz w:val="20"/>
                <w:szCs w:val="20"/>
              </w:rPr>
              <w:t>Articolul 76</w:t>
            </w:r>
          </w:p>
          <w:p w14:paraId="583918C7" w14:textId="77777777" w:rsidR="00F4284C" w:rsidRPr="00154588" w:rsidRDefault="00F4284C" w:rsidP="008C12B4">
            <w:pPr>
              <w:jc w:val="both"/>
              <w:rPr>
                <w:b/>
                <w:sz w:val="20"/>
                <w:szCs w:val="20"/>
              </w:rPr>
            </w:pPr>
          </w:p>
          <w:p w14:paraId="4BE9EDFB" w14:textId="21786C27" w:rsidR="00F4284C" w:rsidRPr="00154588" w:rsidRDefault="00F4284C" w:rsidP="008C12B4">
            <w:pPr>
              <w:jc w:val="both"/>
              <w:rPr>
                <w:sz w:val="20"/>
                <w:szCs w:val="20"/>
              </w:rPr>
            </w:pPr>
            <w:r w:rsidRPr="00154588">
              <w:rPr>
                <w:b/>
                <w:sz w:val="20"/>
                <w:szCs w:val="20"/>
              </w:rPr>
              <w:t>Mecanisme de siguranță pentru contrapărți în caz de transfer parțial</w:t>
            </w:r>
          </w:p>
        </w:tc>
        <w:tc>
          <w:tcPr>
            <w:tcW w:w="4819" w:type="dxa"/>
          </w:tcPr>
          <w:p w14:paraId="19B43EBF" w14:textId="77777777" w:rsidR="00F4284C" w:rsidRPr="00154588" w:rsidRDefault="00F4284C" w:rsidP="008C12B4">
            <w:pPr>
              <w:jc w:val="both"/>
              <w:rPr>
                <w:sz w:val="20"/>
                <w:szCs w:val="20"/>
              </w:rPr>
            </w:pPr>
          </w:p>
        </w:tc>
        <w:tc>
          <w:tcPr>
            <w:tcW w:w="2552" w:type="dxa"/>
          </w:tcPr>
          <w:p w14:paraId="1DAA47D5" w14:textId="77777777" w:rsidR="00F4284C" w:rsidRPr="00154588" w:rsidRDefault="00F4284C" w:rsidP="008C12B4">
            <w:pPr>
              <w:jc w:val="both"/>
              <w:rPr>
                <w:sz w:val="20"/>
                <w:szCs w:val="20"/>
              </w:rPr>
            </w:pPr>
          </w:p>
        </w:tc>
        <w:tc>
          <w:tcPr>
            <w:tcW w:w="3118" w:type="dxa"/>
          </w:tcPr>
          <w:p w14:paraId="28926549" w14:textId="77777777" w:rsidR="00F4284C" w:rsidRPr="00154588" w:rsidRDefault="00F4284C" w:rsidP="008C12B4">
            <w:pPr>
              <w:jc w:val="both"/>
              <w:rPr>
                <w:sz w:val="20"/>
                <w:szCs w:val="20"/>
              </w:rPr>
            </w:pPr>
          </w:p>
        </w:tc>
      </w:tr>
      <w:tr w:rsidR="00F4284C" w:rsidRPr="00154588" w14:paraId="6E6D0BE6" w14:textId="77777777" w:rsidTr="00D15C1B">
        <w:trPr>
          <w:jc w:val="center"/>
        </w:trPr>
        <w:tc>
          <w:tcPr>
            <w:tcW w:w="4957" w:type="dxa"/>
            <w:gridSpan w:val="2"/>
          </w:tcPr>
          <w:p w14:paraId="7EB8B966" w14:textId="77777777" w:rsidR="00F4284C" w:rsidRPr="00154588" w:rsidRDefault="00F4284C" w:rsidP="008C12B4">
            <w:pPr>
              <w:jc w:val="both"/>
              <w:rPr>
                <w:sz w:val="20"/>
                <w:szCs w:val="20"/>
              </w:rPr>
            </w:pPr>
            <w:r w:rsidRPr="00154588">
              <w:rPr>
                <w:sz w:val="20"/>
                <w:szCs w:val="20"/>
              </w:rPr>
              <w:t>(1)   Statele membre se asigură că măsurile de protecție menționate la alineatul (2) se aplică în cazurile următoare:</w:t>
            </w:r>
          </w:p>
          <w:p w14:paraId="10C92293" w14:textId="77777777" w:rsidR="00F4284C" w:rsidRPr="00154588" w:rsidRDefault="00F4284C" w:rsidP="008C12B4">
            <w:pPr>
              <w:jc w:val="both"/>
              <w:rPr>
                <w:sz w:val="20"/>
                <w:szCs w:val="20"/>
              </w:rPr>
            </w:pPr>
          </w:p>
          <w:p w14:paraId="0FE543BA" w14:textId="521528C0" w:rsidR="00F4284C" w:rsidRPr="00154588" w:rsidRDefault="00F4284C" w:rsidP="008C12B4">
            <w:pPr>
              <w:jc w:val="both"/>
              <w:rPr>
                <w:sz w:val="20"/>
                <w:szCs w:val="20"/>
              </w:rPr>
            </w:pPr>
            <w:r w:rsidRPr="00154588">
              <w:rPr>
                <w:sz w:val="20"/>
                <w:szCs w:val="20"/>
              </w:rPr>
              <w:t>(a) atunci când o autoritate de rezoluție transferă o parte, dar nu totalitatea activelor, drepturilor sau pasivelor unei instituții aflate în rezoluție către o altă entitate sau, în exercitarea instrumentului de rezoluție, de la o instituție-punte sau vehicul de gestionare a activelor către o altă persoană;</w:t>
            </w:r>
          </w:p>
          <w:p w14:paraId="0DF225C9" w14:textId="77777777" w:rsidR="00F4284C" w:rsidRPr="00154588" w:rsidRDefault="00F4284C" w:rsidP="008C12B4">
            <w:pPr>
              <w:jc w:val="both"/>
              <w:rPr>
                <w:sz w:val="20"/>
                <w:szCs w:val="20"/>
              </w:rPr>
            </w:pPr>
          </w:p>
          <w:p w14:paraId="6963EE77" w14:textId="77777777" w:rsidR="00F4284C" w:rsidRPr="00154588" w:rsidRDefault="00F4284C" w:rsidP="008C12B4">
            <w:pPr>
              <w:jc w:val="both"/>
              <w:rPr>
                <w:sz w:val="20"/>
                <w:szCs w:val="20"/>
              </w:rPr>
            </w:pPr>
          </w:p>
          <w:p w14:paraId="0AFD211B" w14:textId="7E0ADC95" w:rsidR="00F4284C" w:rsidRPr="00154588" w:rsidRDefault="00F4284C" w:rsidP="008C12B4">
            <w:pPr>
              <w:jc w:val="both"/>
              <w:rPr>
                <w:sz w:val="20"/>
                <w:szCs w:val="20"/>
              </w:rPr>
            </w:pPr>
            <w:r w:rsidRPr="00154588">
              <w:rPr>
                <w:sz w:val="20"/>
                <w:szCs w:val="20"/>
              </w:rPr>
              <w:t>(b) atunci când o autoritate de rezoluție exercită competențele menționate la articolul 64 alineatul (1) litera (f).</w:t>
            </w:r>
          </w:p>
        </w:tc>
        <w:tc>
          <w:tcPr>
            <w:tcW w:w="4819" w:type="dxa"/>
          </w:tcPr>
          <w:p w14:paraId="5935FD57" w14:textId="77777777" w:rsidR="00F4284C" w:rsidRPr="00154588" w:rsidRDefault="00F4284C" w:rsidP="008C12B4">
            <w:pPr>
              <w:ind w:firstLine="567"/>
              <w:jc w:val="both"/>
              <w:rPr>
                <w:sz w:val="20"/>
                <w:szCs w:val="20"/>
              </w:rPr>
            </w:pPr>
            <w:r w:rsidRPr="00154588">
              <w:rPr>
                <w:b/>
                <w:sz w:val="20"/>
                <w:szCs w:val="20"/>
              </w:rPr>
              <w:t>Articolul</w:t>
            </w:r>
            <w:r w:rsidRPr="00154588">
              <w:rPr>
                <w:rFonts w:eastAsia="Calibri"/>
                <w:sz w:val="20"/>
                <w:szCs w:val="18"/>
              </w:rPr>
              <w:t xml:space="preserve"> </w:t>
            </w:r>
            <w:r w:rsidRPr="00154588">
              <w:rPr>
                <w:b/>
                <w:sz w:val="20"/>
                <w:szCs w:val="20"/>
              </w:rPr>
              <w:t>267.</w:t>
            </w:r>
            <w:r w:rsidRPr="00154588">
              <w:rPr>
                <w:rFonts w:eastAsia="Calibri"/>
                <w:sz w:val="20"/>
                <w:szCs w:val="18"/>
              </w:rPr>
              <w:t xml:space="preserve"> </w:t>
            </w:r>
            <w:r w:rsidRPr="00154588">
              <w:rPr>
                <w:sz w:val="20"/>
                <w:szCs w:val="20"/>
              </w:rPr>
              <w:t>– Protecţia prevăzută la art.268 alin.(1) se aplică în cazurile în care:</w:t>
            </w:r>
          </w:p>
          <w:p w14:paraId="0744C8DA" w14:textId="7FFC3D40" w:rsidR="00F4284C" w:rsidRPr="00154588" w:rsidRDefault="00F4284C" w:rsidP="008C12B4">
            <w:pPr>
              <w:ind w:firstLine="567"/>
              <w:jc w:val="both"/>
              <w:rPr>
                <w:rFonts w:eastAsia="Calibri"/>
                <w:sz w:val="20"/>
                <w:szCs w:val="20"/>
              </w:rPr>
            </w:pPr>
            <w:r w:rsidRPr="00154588">
              <w:rPr>
                <w:rFonts w:eastAsia="Calibri"/>
                <w:sz w:val="20"/>
                <w:szCs w:val="20"/>
              </w:rPr>
              <w:t>a) Banca Naţională a Moldovei, în calitate de autoritate de rezoluţie, transferă o parte, dar nu totalitatea activelor, drepturilor sau obligaţiilor unei instituții supuse rezoluţiei către o altă entitate sau, în exercitarea instrumentului de rezoluţie, de la o instituție – punte sau vehicul de administrare a activelor către o altă persoană;</w:t>
            </w:r>
          </w:p>
          <w:p w14:paraId="0ED6A05B" w14:textId="74DA094A" w:rsidR="00F4284C" w:rsidRPr="00154588" w:rsidRDefault="00F4284C" w:rsidP="008C12B4">
            <w:pPr>
              <w:ind w:firstLine="567"/>
              <w:jc w:val="both"/>
              <w:rPr>
                <w:rFonts w:eastAsia="Calibri"/>
                <w:sz w:val="24"/>
              </w:rPr>
            </w:pPr>
            <w:r w:rsidRPr="00154588">
              <w:rPr>
                <w:sz w:val="20"/>
                <w:szCs w:val="20"/>
              </w:rPr>
              <w:t>b) Banca Naţională a Moldovei, în calitate de autoritate de rezoluţie, exercită competenţele prevăzute la art.233 alin.(1).</w:t>
            </w:r>
          </w:p>
        </w:tc>
        <w:tc>
          <w:tcPr>
            <w:tcW w:w="2552" w:type="dxa"/>
          </w:tcPr>
          <w:p w14:paraId="59F176B8" w14:textId="753E8073" w:rsidR="00F4284C" w:rsidRPr="00154588" w:rsidRDefault="00F4284C" w:rsidP="008C12B4">
            <w:pPr>
              <w:jc w:val="both"/>
              <w:rPr>
                <w:sz w:val="20"/>
                <w:szCs w:val="20"/>
              </w:rPr>
            </w:pPr>
            <w:r w:rsidRPr="00154588">
              <w:rPr>
                <w:sz w:val="20"/>
                <w:szCs w:val="20"/>
              </w:rPr>
              <w:t>Compatibil</w:t>
            </w:r>
          </w:p>
        </w:tc>
        <w:tc>
          <w:tcPr>
            <w:tcW w:w="3118" w:type="dxa"/>
          </w:tcPr>
          <w:p w14:paraId="1F6469C8" w14:textId="77777777" w:rsidR="00F4284C" w:rsidRPr="00154588" w:rsidRDefault="00F4284C" w:rsidP="008C12B4">
            <w:pPr>
              <w:jc w:val="both"/>
              <w:rPr>
                <w:sz w:val="20"/>
                <w:szCs w:val="20"/>
              </w:rPr>
            </w:pPr>
          </w:p>
        </w:tc>
      </w:tr>
      <w:tr w:rsidR="00F4284C" w:rsidRPr="00154588" w14:paraId="77D7D66A" w14:textId="77777777" w:rsidTr="00D15C1B">
        <w:trPr>
          <w:jc w:val="center"/>
        </w:trPr>
        <w:tc>
          <w:tcPr>
            <w:tcW w:w="4957" w:type="dxa"/>
            <w:gridSpan w:val="2"/>
          </w:tcPr>
          <w:p w14:paraId="1D601F0D" w14:textId="77777777" w:rsidR="00F4284C" w:rsidRPr="00154588" w:rsidRDefault="00F4284C" w:rsidP="008C12B4">
            <w:pPr>
              <w:jc w:val="both"/>
              <w:rPr>
                <w:sz w:val="20"/>
                <w:szCs w:val="20"/>
              </w:rPr>
            </w:pPr>
            <w:r w:rsidRPr="00154588">
              <w:rPr>
                <w:sz w:val="20"/>
                <w:szCs w:val="20"/>
              </w:rPr>
              <w:t>(2)   Statele membre trebuie să garanteze protecția corespunzătoare a următoarelor acorduri și a contrapărților la aceste acorduri:</w:t>
            </w:r>
          </w:p>
          <w:p w14:paraId="141A2DF5" w14:textId="77777777" w:rsidR="00F4284C" w:rsidRPr="00154588" w:rsidRDefault="00F4284C" w:rsidP="008C12B4">
            <w:pPr>
              <w:jc w:val="both"/>
              <w:rPr>
                <w:sz w:val="20"/>
                <w:szCs w:val="20"/>
              </w:rPr>
            </w:pPr>
          </w:p>
          <w:p w14:paraId="48E84FAE" w14:textId="77777777" w:rsidR="00F4284C" w:rsidRPr="00154588" w:rsidRDefault="00F4284C" w:rsidP="008C12B4">
            <w:pPr>
              <w:jc w:val="both"/>
              <w:rPr>
                <w:sz w:val="20"/>
                <w:szCs w:val="20"/>
              </w:rPr>
            </w:pPr>
          </w:p>
          <w:p w14:paraId="4959C22B" w14:textId="3963E8D7" w:rsidR="00F4284C" w:rsidRPr="00154588" w:rsidRDefault="00F4284C" w:rsidP="008C12B4">
            <w:pPr>
              <w:jc w:val="both"/>
              <w:rPr>
                <w:sz w:val="20"/>
                <w:szCs w:val="20"/>
              </w:rPr>
            </w:pPr>
            <w:r w:rsidRPr="00154588">
              <w:rPr>
                <w:sz w:val="20"/>
                <w:szCs w:val="20"/>
              </w:rPr>
              <w:lastRenderedPageBreak/>
              <w:t>(a) contracte de garanție reală, în virtutea cărora o persoană dispune, cu titlu de garanție, de un drept real sau contingent în legătură cu activele sau drepturile care fac obiectul unui transfer, indiferent dacă această valoare mobiliară este garantată prin active sau drepturi specifice ori printr-o garanție mobiliară (floating charge) sau printr-un acord similar;</w:t>
            </w:r>
          </w:p>
          <w:p w14:paraId="137AB6B4" w14:textId="77777777" w:rsidR="00F4284C" w:rsidRPr="00154588" w:rsidRDefault="00F4284C" w:rsidP="008C12B4">
            <w:pPr>
              <w:jc w:val="both"/>
              <w:rPr>
                <w:sz w:val="20"/>
                <w:szCs w:val="20"/>
              </w:rPr>
            </w:pPr>
          </w:p>
          <w:p w14:paraId="09DC3811" w14:textId="46A01E0F" w:rsidR="00F4284C" w:rsidRPr="00154588" w:rsidRDefault="00F4284C" w:rsidP="008C12B4">
            <w:pPr>
              <w:jc w:val="both"/>
              <w:rPr>
                <w:sz w:val="20"/>
                <w:szCs w:val="20"/>
              </w:rPr>
            </w:pPr>
            <w:r w:rsidRPr="00154588">
              <w:rPr>
                <w:sz w:val="20"/>
                <w:szCs w:val="20"/>
              </w:rPr>
              <w:t>(b) contracte de garanție financiară cu transfer de proprietate, prin care garanțiile reale care garantează sau acoperă executarea anumitor obligații specifice sunt furnizate printr-un transfer deplin de drepturi de proprietate asupra activelor efectuat de furnizorul garanției reale către beneficiarul garanției, cu condiția ca beneficiarul să restituie aceste active în cazul în care respectivele obligații specifice sunt executate;</w:t>
            </w:r>
          </w:p>
          <w:p w14:paraId="605F8EF5" w14:textId="77777777" w:rsidR="00F4284C" w:rsidRPr="00154588" w:rsidRDefault="00F4284C" w:rsidP="008C12B4">
            <w:pPr>
              <w:jc w:val="both"/>
              <w:rPr>
                <w:sz w:val="20"/>
                <w:szCs w:val="20"/>
              </w:rPr>
            </w:pPr>
          </w:p>
          <w:p w14:paraId="3A10E34A" w14:textId="77777777" w:rsidR="00F4284C" w:rsidRPr="00154588" w:rsidRDefault="00F4284C" w:rsidP="008C12B4">
            <w:pPr>
              <w:jc w:val="both"/>
              <w:rPr>
                <w:sz w:val="20"/>
                <w:szCs w:val="20"/>
              </w:rPr>
            </w:pPr>
          </w:p>
          <w:p w14:paraId="0489EEAF" w14:textId="4E58FAF3" w:rsidR="00F4284C" w:rsidRPr="00154588" w:rsidRDefault="00F4284C" w:rsidP="008C12B4">
            <w:pPr>
              <w:jc w:val="both"/>
              <w:rPr>
                <w:sz w:val="20"/>
                <w:szCs w:val="20"/>
              </w:rPr>
            </w:pPr>
            <w:r w:rsidRPr="00154588">
              <w:rPr>
                <w:sz w:val="20"/>
                <w:szCs w:val="20"/>
              </w:rPr>
              <w:t>(c) acorduri de compensare reciprocă, prin care două sau mai multe creanțe sau obligații datorate între instituția aflată în rezoluție și o contraparte pot face obiectul unei compensări reciproce;</w:t>
            </w:r>
          </w:p>
          <w:p w14:paraId="3A965257" w14:textId="77777777" w:rsidR="00F4284C" w:rsidRPr="00154588" w:rsidRDefault="00F4284C" w:rsidP="008C12B4">
            <w:pPr>
              <w:jc w:val="both"/>
              <w:rPr>
                <w:sz w:val="20"/>
                <w:szCs w:val="20"/>
              </w:rPr>
            </w:pPr>
          </w:p>
          <w:p w14:paraId="7565AD76" w14:textId="06463481" w:rsidR="00F4284C" w:rsidRPr="00154588" w:rsidRDefault="00F4284C" w:rsidP="008C12B4">
            <w:pPr>
              <w:jc w:val="both"/>
              <w:rPr>
                <w:sz w:val="20"/>
                <w:szCs w:val="20"/>
              </w:rPr>
            </w:pPr>
            <w:r w:rsidRPr="00154588">
              <w:rPr>
                <w:sz w:val="20"/>
                <w:szCs w:val="20"/>
              </w:rPr>
              <w:t>(d) acorduri de compensare;</w:t>
            </w:r>
          </w:p>
          <w:p w14:paraId="58BC75A3" w14:textId="77777777" w:rsidR="00F4284C" w:rsidRPr="00154588" w:rsidRDefault="00F4284C" w:rsidP="008C12B4">
            <w:pPr>
              <w:jc w:val="both"/>
              <w:rPr>
                <w:sz w:val="20"/>
                <w:szCs w:val="20"/>
              </w:rPr>
            </w:pPr>
          </w:p>
          <w:p w14:paraId="1DF14BF7" w14:textId="5C7EC486" w:rsidR="00F4284C" w:rsidRPr="00154588" w:rsidRDefault="00F4284C" w:rsidP="008C12B4">
            <w:pPr>
              <w:jc w:val="both"/>
              <w:rPr>
                <w:sz w:val="20"/>
                <w:szCs w:val="20"/>
              </w:rPr>
            </w:pPr>
            <w:r w:rsidRPr="00154588">
              <w:rPr>
                <w:sz w:val="20"/>
                <w:szCs w:val="20"/>
              </w:rPr>
              <w:t>(e) obligațiuni garantate;</w:t>
            </w:r>
          </w:p>
          <w:p w14:paraId="6A9B2246" w14:textId="77777777" w:rsidR="00F4284C" w:rsidRPr="00154588" w:rsidRDefault="00F4284C" w:rsidP="008C12B4">
            <w:pPr>
              <w:jc w:val="both"/>
              <w:rPr>
                <w:sz w:val="20"/>
                <w:szCs w:val="20"/>
              </w:rPr>
            </w:pPr>
          </w:p>
          <w:p w14:paraId="7A6BB20D" w14:textId="49389148" w:rsidR="00F4284C" w:rsidRPr="00154588" w:rsidRDefault="00F4284C" w:rsidP="008C12B4">
            <w:pPr>
              <w:jc w:val="both"/>
              <w:rPr>
                <w:sz w:val="20"/>
                <w:szCs w:val="20"/>
              </w:rPr>
            </w:pPr>
            <w:r w:rsidRPr="00154588">
              <w:rPr>
                <w:sz w:val="20"/>
                <w:szCs w:val="20"/>
              </w:rPr>
              <w:t>(f) mecanisme de finanțare structurate, inclusiv securitizările și instrumentele utilizate în scopul acoperirii, care constituie o parte integrantă a portofoliului de acoperire și care, în temeiul dreptului intern, sunt garantate în mod asemănător cu obligațiunile garantate, care implică acordarea de garanții mobiliare și deținerea acestora de către una dintre părțile la acord ori un administrator fiduciar, un agent sau o persoană agreată.</w:t>
            </w:r>
          </w:p>
          <w:p w14:paraId="109A8EEB" w14:textId="77777777" w:rsidR="00F4284C" w:rsidRPr="00154588" w:rsidRDefault="00F4284C" w:rsidP="008C12B4">
            <w:pPr>
              <w:jc w:val="both"/>
              <w:rPr>
                <w:sz w:val="20"/>
                <w:szCs w:val="20"/>
              </w:rPr>
            </w:pPr>
          </w:p>
          <w:p w14:paraId="51B575B5" w14:textId="146979F5" w:rsidR="00F4284C" w:rsidRPr="00154588" w:rsidRDefault="00F4284C" w:rsidP="008C12B4">
            <w:pPr>
              <w:jc w:val="both"/>
              <w:rPr>
                <w:sz w:val="20"/>
                <w:szCs w:val="20"/>
              </w:rPr>
            </w:pPr>
            <w:r w:rsidRPr="00154588">
              <w:rPr>
                <w:sz w:val="20"/>
                <w:szCs w:val="20"/>
              </w:rPr>
              <w:t>Forma de protecție adecvată pentru categoriile de acorduri menționate la literele (a)-(f) din prezentul alineat este precizată în mod mai detaliat la articolele 77-80 și face obiectul limitărilor prevăzute la articolele 68-71.</w:t>
            </w:r>
          </w:p>
        </w:tc>
        <w:tc>
          <w:tcPr>
            <w:tcW w:w="4819" w:type="dxa"/>
          </w:tcPr>
          <w:p w14:paraId="293BDB80" w14:textId="77777777" w:rsidR="00F4284C" w:rsidRPr="00154588" w:rsidRDefault="00F4284C" w:rsidP="008C12B4">
            <w:pPr>
              <w:ind w:firstLine="567"/>
              <w:jc w:val="both"/>
              <w:rPr>
                <w:sz w:val="20"/>
                <w:szCs w:val="20"/>
              </w:rPr>
            </w:pPr>
            <w:r w:rsidRPr="00154588">
              <w:rPr>
                <w:b/>
                <w:sz w:val="20"/>
                <w:szCs w:val="20"/>
              </w:rPr>
              <w:lastRenderedPageBreak/>
              <w:t>Articolul 268.</w:t>
            </w:r>
            <w:r w:rsidRPr="00154588">
              <w:rPr>
                <w:sz w:val="20"/>
                <w:szCs w:val="20"/>
              </w:rPr>
              <w:t xml:space="preserve"> – (1) În cadrul rezoluţiei, următoarele contracte şi contrapărţile la aceste contracte beneficiază de protecţie adecvată, potrivit prevederilor art.269 -276, cu aplicarea limitărilor prevăzute în cadrul art.241-258:</w:t>
            </w:r>
          </w:p>
          <w:p w14:paraId="78608A39" w14:textId="77777777" w:rsidR="00F4284C" w:rsidRPr="00154588" w:rsidRDefault="00F4284C" w:rsidP="008C12B4">
            <w:pPr>
              <w:ind w:firstLine="567"/>
              <w:jc w:val="both"/>
              <w:rPr>
                <w:sz w:val="20"/>
                <w:szCs w:val="20"/>
              </w:rPr>
            </w:pPr>
            <w:r w:rsidRPr="00154588">
              <w:rPr>
                <w:sz w:val="20"/>
                <w:szCs w:val="20"/>
              </w:rPr>
              <w:lastRenderedPageBreak/>
              <w:t>a) contracte de garanţie reală, în virtutea cărora o persoană dispune, cu titlu de garanţie, de un drept real sau potenţial în legătură cu activele sau drepturile care fac obiectul unui transfer, indiferent dacă acest drept este garantat prin active sau prin drepturi specifice ori printr-o garanţie constituită asupra unei universalităţi de bunuri (floating charge) sau printr-un acord similar;</w:t>
            </w:r>
          </w:p>
          <w:p w14:paraId="2AA3ACE9" w14:textId="77777777" w:rsidR="00F4284C" w:rsidRPr="00154588" w:rsidRDefault="00F4284C" w:rsidP="008C12B4">
            <w:pPr>
              <w:ind w:firstLine="567"/>
              <w:jc w:val="both"/>
              <w:rPr>
                <w:sz w:val="20"/>
                <w:szCs w:val="20"/>
              </w:rPr>
            </w:pPr>
            <w:r w:rsidRPr="00154588">
              <w:rPr>
                <w:sz w:val="20"/>
                <w:szCs w:val="20"/>
              </w:rPr>
              <w:t>b) contracte de garanţie financiară cu transfer de proprietate, prin intermediul cărora garanţiile reale care colateralizează sau acoperă executarea anumitor obligaţii specifice sînt furnizate printr-un transfer deplin de drepturi de proprietate asupra activelor, efectuat de furnizorul garanţiei reale către beneficiarul garanţiei reale, cu condiţia ca beneficiarul să restituie aceste active în cazul în care respectivele obligaţii specifice sînt executate;</w:t>
            </w:r>
          </w:p>
          <w:p w14:paraId="642D3864" w14:textId="30D51218" w:rsidR="00F4284C" w:rsidRPr="00154588" w:rsidRDefault="00F4284C" w:rsidP="008C12B4">
            <w:pPr>
              <w:ind w:firstLine="567"/>
              <w:jc w:val="both"/>
              <w:rPr>
                <w:rFonts w:eastAsia="Calibri"/>
                <w:sz w:val="20"/>
                <w:szCs w:val="18"/>
              </w:rPr>
            </w:pPr>
            <w:r w:rsidRPr="00154588">
              <w:rPr>
                <w:rFonts w:eastAsia="Calibri"/>
                <w:sz w:val="20"/>
                <w:szCs w:val="18"/>
              </w:rPr>
              <w:t>c) acorduri de compensare reciprocă, prin care două sau mai multe creanţe sau obligaţii datorate între instituția supusă rezoluţiei şi o contraparte pot face obiectul unei compensări reciproce;</w:t>
            </w:r>
          </w:p>
          <w:p w14:paraId="35D934B0" w14:textId="77777777" w:rsidR="00F4284C" w:rsidRPr="00154588" w:rsidRDefault="00F4284C" w:rsidP="008C12B4">
            <w:pPr>
              <w:ind w:firstLine="567"/>
              <w:jc w:val="both"/>
              <w:rPr>
                <w:sz w:val="20"/>
                <w:szCs w:val="20"/>
              </w:rPr>
            </w:pPr>
            <w:r w:rsidRPr="00154588">
              <w:rPr>
                <w:sz w:val="20"/>
                <w:szCs w:val="20"/>
              </w:rPr>
              <w:t>d) acorduri de compensare;</w:t>
            </w:r>
          </w:p>
          <w:p w14:paraId="68C70E0A" w14:textId="77777777" w:rsidR="00F4284C" w:rsidRPr="00154588" w:rsidRDefault="00F4284C" w:rsidP="008C12B4">
            <w:pPr>
              <w:ind w:firstLine="567"/>
              <w:jc w:val="both"/>
              <w:rPr>
                <w:sz w:val="20"/>
                <w:szCs w:val="20"/>
              </w:rPr>
            </w:pPr>
            <w:r w:rsidRPr="00154588">
              <w:rPr>
                <w:sz w:val="20"/>
                <w:szCs w:val="20"/>
              </w:rPr>
              <w:t>e) obligaţiuni garantate;</w:t>
            </w:r>
          </w:p>
          <w:p w14:paraId="5195A999" w14:textId="37728820" w:rsidR="00F4284C" w:rsidRPr="00154588" w:rsidRDefault="00F4284C" w:rsidP="008C12B4">
            <w:pPr>
              <w:ind w:firstLine="567"/>
              <w:jc w:val="both"/>
              <w:rPr>
                <w:sz w:val="20"/>
                <w:szCs w:val="20"/>
              </w:rPr>
            </w:pPr>
            <w:r w:rsidRPr="00154588">
              <w:rPr>
                <w:sz w:val="20"/>
                <w:szCs w:val="20"/>
              </w:rPr>
              <w:t>f) mecanisme de finanţare structurate, inclusiv securitizările şi instrumentele utilizate în scopul acoperirii riscurilor, care constituie o parte integrantă a portofoliului-suport şi care, în temeiul legislaţiei interne în materie, sînt garantate într-un mod asemănător cu obligaţiunile garantate, care implică acordarea de garanţii mobiliare şi deţinerea acestora de către una dintre părţile la acord ori un administrator fiduciar, un agent sau o persoană agreată.</w:t>
            </w:r>
          </w:p>
        </w:tc>
        <w:tc>
          <w:tcPr>
            <w:tcW w:w="2552" w:type="dxa"/>
          </w:tcPr>
          <w:p w14:paraId="696E8298" w14:textId="79D2B8E8" w:rsidR="00F4284C" w:rsidRPr="00154588" w:rsidRDefault="00F4284C" w:rsidP="008C12B4">
            <w:pPr>
              <w:jc w:val="both"/>
              <w:rPr>
                <w:sz w:val="20"/>
                <w:szCs w:val="20"/>
              </w:rPr>
            </w:pPr>
            <w:r w:rsidRPr="00154588">
              <w:rPr>
                <w:sz w:val="20"/>
                <w:szCs w:val="20"/>
              </w:rPr>
              <w:lastRenderedPageBreak/>
              <w:t>Compatibil</w:t>
            </w:r>
          </w:p>
        </w:tc>
        <w:tc>
          <w:tcPr>
            <w:tcW w:w="3118" w:type="dxa"/>
          </w:tcPr>
          <w:p w14:paraId="4F94F6A1" w14:textId="77777777" w:rsidR="00F4284C" w:rsidRPr="00154588" w:rsidRDefault="00F4284C" w:rsidP="008C12B4">
            <w:pPr>
              <w:jc w:val="both"/>
              <w:rPr>
                <w:sz w:val="20"/>
                <w:szCs w:val="20"/>
              </w:rPr>
            </w:pPr>
          </w:p>
        </w:tc>
      </w:tr>
      <w:tr w:rsidR="00F4284C" w:rsidRPr="00154588" w14:paraId="1F173E56" w14:textId="77777777" w:rsidTr="00D15C1B">
        <w:trPr>
          <w:jc w:val="center"/>
        </w:trPr>
        <w:tc>
          <w:tcPr>
            <w:tcW w:w="4957" w:type="dxa"/>
            <w:gridSpan w:val="2"/>
          </w:tcPr>
          <w:p w14:paraId="5ADBD607" w14:textId="7AB3DEAA" w:rsidR="00F4284C" w:rsidRPr="00154588" w:rsidRDefault="00F4284C" w:rsidP="008C12B4">
            <w:pPr>
              <w:jc w:val="both"/>
              <w:rPr>
                <w:sz w:val="20"/>
                <w:szCs w:val="20"/>
              </w:rPr>
            </w:pPr>
            <w:r w:rsidRPr="00154588">
              <w:rPr>
                <w:sz w:val="20"/>
                <w:szCs w:val="20"/>
              </w:rPr>
              <w:t>(3)   Cerința prevăzută la alineatul (2) se aplică indiferent de numărul părților implicate în aceste acorduri și de posibilitatea ca ele:</w:t>
            </w:r>
          </w:p>
          <w:p w14:paraId="1311CDA5" w14:textId="77777777" w:rsidR="00F4284C" w:rsidRPr="00154588" w:rsidRDefault="00F4284C" w:rsidP="008C12B4">
            <w:pPr>
              <w:jc w:val="both"/>
              <w:rPr>
                <w:sz w:val="20"/>
                <w:szCs w:val="20"/>
              </w:rPr>
            </w:pPr>
          </w:p>
          <w:p w14:paraId="07248080" w14:textId="75731439" w:rsidR="00F4284C" w:rsidRPr="00154588" w:rsidRDefault="00F4284C" w:rsidP="008C12B4">
            <w:pPr>
              <w:jc w:val="both"/>
              <w:rPr>
                <w:sz w:val="20"/>
                <w:szCs w:val="20"/>
              </w:rPr>
            </w:pPr>
            <w:r w:rsidRPr="00154588">
              <w:rPr>
                <w:sz w:val="20"/>
                <w:szCs w:val="20"/>
              </w:rPr>
              <w:t>(a) să fie create prin contract, fiducie sau prin alte mijloace ori să decurgă în mod automat din aplicarea legii;</w:t>
            </w:r>
          </w:p>
          <w:p w14:paraId="1E625324" w14:textId="77777777" w:rsidR="00F4284C" w:rsidRPr="00154588" w:rsidRDefault="00F4284C" w:rsidP="008C12B4">
            <w:pPr>
              <w:jc w:val="both"/>
              <w:rPr>
                <w:sz w:val="20"/>
                <w:szCs w:val="20"/>
              </w:rPr>
            </w:pPr>
          </w:p>
          <w:p w14:paraId="136D5345" w14:textId="77777777" w:rsidR="00F4284C" w:rsidRPr="00154588" w:rsidRDefault="00F4284C" w:rsidP="008C12B4">
            <w:pPr>
              <w:jc w:val="both"/>
              <w:rPr>
                <w:sz w:val="20"/>
                <w:szCs w:val="20"/>
              </w:rPr>
            </w:pPr>
          </w:p>
          <w:p w14:paraId="7058533F" w14:textId="0D98355C" w:rsidR="00F4284C" w:rsidRPr="00154588" w:rsidRDefault="00F4284C" w:rsidP="008C12B4">
            <w:pPr>
              <w:jc w:val="both"/>
              <w:rPr>
                <w:sz w:val="20"/>
                <w:szCs w:val="20"/>
              </w:rPr>
            </w:pPr>
            <w:r w:rsidRPr="00154588">
              <w:rPr>
                <w:sz w:val="20"/>
                <w:szCs w:val="20"/>
              </w:rPr>
              <w:t>(b) să decurgă sau să fie reglementate în întregime sau parțial din dreptul altui stat membru sau al unei țări terțe.</w:t>
            </w:r>
          </w:p>
        </w:tc>
        <w:tc>
          <w:tcPr>
            <w:tcW w:w="4819" w:type="dxa"/>
          </w:tcPr>
          <w:p w14:paraId="5DF5FE1D" w14:textId="48299C54" w:rsidR="00F4284C" w:rsidRPr="00154588" w:rsidRDefault="00F4284C" w:rsidP="008C12B4">
            <w:pPr>
              <w:ind w:firstLine="567"/>
              <w:jc w:val="both"/>
              <w:rPr>
                <w:rFonts w:eastAsia="Calibri"/>
                <w:sz w:val="20"/>
                <w:szCs w:val="18"/>
              </w:rPr>
            </w:pPr>
            <w:r w:rsidRPr="00154588">
              <w:rPr>
                <w:rFonts w:eastAsia="Calibri"/>
                <w:b/>
                <w:sz w:val="20"/>
                <w:szCs w:val="18"/>
              </w:rPr>
              <w:lastRenderedPageBreak/>
              <w:t>Articolul 268.</w:t>
            </w:r>
            <w:r w:rsidRPr="00154588">
              <w:rPr>
                <w:rFonts w:eastAsia="Calibri"/>
                <w:sz w:val="20"/>
                <w:szCs w:val="18"/>
              </w:rPr>
              <w:t xml:space="preserve"> – (2) Cerinţa prevăzută la alin.(1) se aplică indiferent de numărul părţilor </w:t>
            </w:r>
            <w:r w:rsidRPr="00154588">
              <w:rPr>
                <w:rFonts w:eastAsia="Calibri"/>
                <w:sz w:val="20"/>
                <w:szCs w:val="18"/>
              </w:rPr>
              <w:lastRenderedPageBreak/>
              <w:t>implicate în respectivele acorduri şi de posibilitatea ca aceste acorduri:</w:t>
            </w:r>
          </w:p>
          <w:p w14:paraId="3392E1FF" w14:textId="77777777" w:rsidR="00F4284C" w:rsidRPr="00154588" w:rsidRDefault="00F4284C" w:rsidP="008C12B4">
            <w:pPr>
              <w:ind w:firstLine="567"/>
              <w:jc w:val="both"/>
              <w:rPr>
                <w:sz w:val="20"/>
                <w:szCs w:val="20"/>
              </w:rPr>
            </w:pPr>
            <w:r w:rsidRPr="00154588">
              <w:rPr>
                <w:sz w:val="20"/>
                <w:szCs w:val="20"/>
              </w:rPr>
              <w:t>a) să fie create prin contract sau prin alte mijloace ori să decurgă în mod automat din aplicarea legii;</w:t>
            </w:r>
          </w:p>
          <w:p w14:paraId="1D24ECF9" w14:textId="24F4C0E4" w:rsidR="00F4284C" w:rsidRPr="00154588" w:rsidRDefault="00F4284C" w:rsidP="008C12B4">
            <w:pPr>
              <w:ind w:firstLine="567"/>
              <w:jc w:val="both"/>
              <w:rPr>
                <w:rFonts w:eastAsia="Calibri"/>
                <w:kern w:val="2"/>
                <w:sz w:val="20"/>
                <w:szCs w:val="18"/>
                <w14:ligatures w14:val="standardContextual"/>
              </w:rPr>
            </w:pPr>
            <w:r w:rsidRPr="00154588">
              <w:rPr>
                <w:sz w:val="20"/>
                <w:szCs w:val="20"/>
              </w:rPr>
              <w:t xml:space="preserve">b) să decurgă sau să fie reglementate în întregime sau parţial de legea altui stat </w:t>
            </w:r>
            <w:r w:rsidRPr="00154588" w:rsidDel="007F5D5C">
              <w:rPr>
                <w:sz w:val="20"/>
                <w:szCs w:val="20"/>
              </w:rPr>
              <w:t>membru</w:t>
            </w:r>
            <w:r w:rsidRPr="00154588">
              <w:rPr>
                <w:sz w:val="20"/>
                <w:szCs w:val="20"/>
              </w:rPr>
              <w:t xml:space="preserve"> al Uniunii Europene sau a altui stat terț.</w:t>
            </w:r>
          </w:p>
        </w:tc>
        <w:tc>
          <w:tcPr>
            <w:tcW w:w="2552" w:type="dxa"/>
          </w:tcPr>
          <w:p w14:paraId="2160217D" w14:textId="240C834F" w:rsidR="00F4284C" w:rsidRPr="00154588" w:rsidRDefault="00F4284C" w:rsidP="008C12B4">
            <w:pPr>
              <w:jc w:val="both"/>
              <w:rPr>
                <w:sz w:val="20"/>
                <w:szCs w:val="20"/>
              </w:rPr>
            </w:pPr>
            <w:r w:rsidRPr="00154588">
              <w:rPr>
                <w:sz w:val="20"/>
                <w:szCs w:val="20"/>
              </w:rPr>
              <w:lastRenderedPageBreak/>
              <w:t>Compatibil</w:t>
            </w:r>
          </w:p>
        </w:tc>
        <w:tc>
          <w:tcPr>
            <w:tcW w:w="3118" w:type="dxa"/>
          </w:tcPr>
          <w:p w14:paraId="7FF18522" w14:textId="77777777" w:rsidR="00F4284C" w:rsidRPr="00154588" w:rsidRDefault="00F4284C" w:rsidP="008C12B4">
            <w:pPr>
              <w:jc w:val="both"/>
              <w:rPr>
                <w:sz w:val="20"/>
                <w:szCs w:val="20"/>
              </w:rPr>
            </w:pPr>
          </w:p>
        </w:tc>
      </w:tr>
      <w:tr w:rsidR="00EB243D" w:rsidRPr="00154588" w14:paraId="0145D124" w14:textId="77777777" w:rsidTr="00D15C1B">
        <w:trPr>
          <w:jc w:val="center"/>
        </w:trPr>
        <w:tc>
          <w:tcPr>
            <w:tcW w:w="4957" w:type="dxa"/>
            <w:gridSpan w:val="2"/>
          </w:tcPr>
          <w:p w14:paraId="51DDC1CF" w14:textId="67A3CA96" w:rsidR="00EB243D" w:rsidRPr="00154588" w:rsidRDefault="00EB243D" w:rsidP="008C12B4">
            <w:pPr>
              <w:jc w:val="both"/>
              <w:rPr>
                <w:bCs/>
                <w:sz w:val="20"/>
                <w:szCs w:val="20"/>
              </w:rPr>
            </w:pPr>
            <w:r w:rsidRPr="00154588">
              <w:rPr>
                <w:bCs/>
                <w:sz w:val="20"/>
                <w:szCs w:val="20"/>
              </w:rPr>
              <w:t>(4)   Comisia poate adopta acte delegate în conformitate cu articolul 115, pentru a preciza mai în detaliu categoriile de acorduri care se încadrează în domeniul de aplicare al dispozițiilor alineatului (2) literele (a)-(f) din prezentul articol.</w:t>
            </w:r>
          </w:p>
        </w:tc>
        <w:tc>
          <w:tcPr>
            <w:tcW w:w="4819" w:type="dxa"/>
          </w:tcPr>
          <w:p w14:paraId="79394E3E" w14:textId="77777777" w:rsidR="00EB243D" w:rsidRPr="00154588" w:rsidRDefault="00EB243D" w:rsidP="008C12B4">
            <w:pPr>
              <w:jc w:val="both"/>
              <w:rPr>
                <w:bCs/>
                <w:sz w:val="20"/>
                <w:szCs w:val="20"/>
              </w:rPr>
            </w:pPr>
          </w:p>
        </w:tc>
        <w:tc>
          <w:tcPr>
            <w:tcW w:w="2552" w:type="dxa"/>
          </w:tcPr>
          <w:p w14:paraId="702AED61" w14:textId="4238FAB9" w:rsidR="00EB243D" w:rsidRPr="00154588" w:rsidRDefault="00EB243D" w:rsidP="008C12B4">
            <w:pPr>
              <w:jc w:val="both"/>
              <w:rPr>
                <w:bCs/>
                <w:sz w:val="20"/>
                <w:szCs w:val="20"/>
              </w:rPr>
            </w:pPr>
            <w:r w:rsidRPr="00154588">
              <w:rPr>
                <w:sz w:val="20"/>
                <w:szCs w:val="20"/>
              </w:rPr>
              <w:t>Prevederi UE neaplicabile</w:t>
            </w:r>
          </w:p>
        </w:tc>
        <w:tc>
          <w:tcPr>
            <w:tcW w:w="3118" w:type="dxa"/>
          </w:tcPr>
          <w:p w14:paraId="39E1A344" w14:textId="1EF76041" w:rsidR="00EB243D" w:rsidRPr="00154588" w:rsidRDefault="00EB243D" w:rsidP="008C12B4">
            <w:pPr>
              <w:jc w:val="both"/>
              <w:rPr>
                <w:bCs/>
                <w:sz w:val="20"/>
                <w:szCs w:val="20"/>
              </w:rPr>
            </w:pPr>
            <w:r w:rsidRPr="00154588">
              <w:rPr>
                <w:sz w:val="20"/>
                <w:szCs w:val="20"/>
                <w:lang w:val="ro-MD"/>
              </w:rPr>
              <w:t>Prevederi care se referă la atribuțiile de reglementare ale autorităților europene.</w:t>
            </w:r>
          </w:p>
        </w:tc>
      </w:tr>
      <w:tr w:rsidR="00EB243D" w:rsidRPr="00154588" w14:paraId="1BED4AB0" w14:textId="77777777" w:rsidTr="00D15C1B">
        <w:trPr>
          <w:jc w:val="center"/>
        </w:trPr>
        <w:tc>
          <w:tcPr>
            <w:tcW w:w="4957" w:type="dxa"/>
            <w:gridSpan w:val="2"/>
          </w:tcPr>
          <w:p w14:paraId="182F11C0" w14:textId="77777777" w:rsidR="00EB243D" w:rsidRPr="00154588" w:rsidRDefault="00EB243D" w:rsidP="008C12B4">
            <w:pPr>
              <w:jc w:val="both"/>
              <w:rPr>
                <w:b/>
                <w:sz w:val="20"/>
                <w:szCs w:val="20"/>
              </w:rPr>
            </w:pPr>
            <w:r w:rsidRPr="00154588">
              <w:rPr>
                <w:b/>
                <w:sz w:val="20"/>
                <w:szCs w:val="20"/>
              </w:rPr>
              <w:t>Articolul 77</w:t>
            </w:r>
          </w:p>
          <w:p w14:paraId="60C8ABFC" w14:textId="77777777" w:rsidR="00EB243D" w:rsidRPr="00154588" w:rsidRDefault="00EB243D" w:rsidP="008C12B4">
            <w:pPr>
              <w:jc w:val="both"/>
              <w:rPr>
                <w:b/>
                <w:sz w:val="20"/>
                <w:szCs w:val="20"/>
              </w:rPr>
            </w:pPr>
          </w:p>
          <w:p w14:paraId="742F43D5" w14:textId="0D7ACAD0" w:rsidR="00EB243D" w:rsidRPr="00154588" w:rsidRDefault="00EB243D" w:rsidP="008C12B4">
            <w:pPr>
              <w:jc w:val="both"/>
              <w:rPr>
                <w:bCs/>
                <w:sz w:val="20"/>
                <w:szCs w:val="20"/>
              </w:rPr>
            </w:pPr>
            <w:r w:rsidRPr="00154588">
              <w:rPr>
                <w:b/>
                <w:sz w:val="20"/>
                <w:szCs w:val="20"/>
              </w:rPr>
              <w:t>Protecție pentru garanțiile financiare și acordurile de compensare și compensare reciprocă</w:t>
            </w:r>
          </w:p>
        </w:tc>
        <w:tc>
          <w:tcPr>
            <w:tcW w:w="4819" w:type="dxa"/>
          </w:tcPr>
          <w:p w14:paraId="3E7650A2" w14:textId="77777777" w:rsidR="00EB243D" w:rsidRPr="00154588" w:rsidRDefault="00EB243D" w:rsidP="008C12B4">
            <w:pPr>
              <w:jc w:val="both"/>
              <w:rPr>
                <w:bCs/>
                <w:sz w:val="20"/>
                <w:szCs w:val="20"/>
              </w:rPr>
            </w:pPr>
          </w:p>
        </w:tc>
        <w:tc>
          <w:tcPr>
            <w:tcW w:w="2552" w:type="dxa"/>
          </w:tcPr>
          <w:p w14:paraId="0F8C5A23" w14:textId="77777777" w:rsidR="00EB243D" w:rsidRPr="00154588" w:rsidRDefault="00EB243D" w:rsidP="008C12B4">
            <w:pPr>
              <w:jc w:val="both"/>
              <w:rPr>
                <w:bCs/>
                <w:sz w:val="20"/>
                <w:szCs w:val="20"/>
              </w:rPr>
            </w:pPr>
          </w:p>
        </w:tc>
        <w:tc>
          <w:tcPr>
            <w:tcW w:w="3118" w:type="dxa"/>
          </w:tcPr>
          <w:p w14:paraId="166AB726" w14:textId="77777777" w:rsidR="00EB243D" w:rsidRPr="00154588" w:rsidRDefault="00EB243D" w:rsidP="008C12B4">
            <w:pPr>
              <w:jc w:val="both"/>
              <w:rPr>
                <w:bCs/>
                <w:sz w:val="20"/>
                <w:szCs w:val="20"/>
              </w:rPr>
            </w:pPr>
          </w:p>
        </w:tc>
      </w:tr>
      <w:tr w:rsidR="00EB243D" w:rsidRPr="00154588" w14:paraId="04C30927" w14:textId="77777777" w:rsidTr="00D15C1B">
        <w:trPr>
          <w:jc w:val="center"/>
        </w:trPr>
        <w:tc>
          <w:tcPr>
            <w:tcW w:w="4957" w:type="dxa"/>
            <w:gridSpan w:val="2"/>
          </w:tcPr>
          <w:p w14:paraId="665253FC" w14:textId="77777777" w:rsidR="00EB243D" w:rsidRPr="00154588" w:rsidRDefault="00EB243D" w:rsidP="008C12B4">
            <w:pPr>
              <w:jc w:val="both"/>
              <w:rPr>
                <w:bCs/>
                <w:sz w:val="20"/>
                <w:szCs w:val="20"/>
              </w:rPr>
            </w:pPr>
            <w:r w:rsidRPr="00154588">
              <w:rPr>
                <w:bCs/>
                <w:sz w:val="20"/>
                <w:szCs w:val="20"/>
              </w:rPr>
              <w:t>(1)   Statele membre se asigură că există o protecție adecvată în cazul contractelor de garanție financiară cu transfer de proprietate și al acordurilor de compensare reciprocă și al acordurilor de compensare pentru a preveni transferul unei părți, dar nu a totalității drepturilor și pasivelor protejate în temeiul unui astfel de contract sau acord, între instituția aflată în rezoluție și o altă persoană, precum și modificarea sau rezilierea acestor drepturi și datorii protejate în temeiul unui contract de garanție financiară cu transfer de proprietate sau al unui acord de compensare reciprocă și al acordurilor de compensare prin exercitarea competențelor auxiliare.</w:t>
            </w:r>
          </w:p>
          <w:p w14:paraId="74B6CE40" w14:textId="77777777" w:rsidR="00EB243D" w:rsidRPr="00154588" w:rsidRDefault="00EB243D" w:rsidP="008C12B4">
            <w:pPr>
              <w:jc w:val="both"/>
              <w:rPr>
                <w:bCs/>
                <w:sz w:val="20"/>
                <w:szCs w:val="20"/>
              </w:rPr>
            </w:pPr>
          </w:p>
          <w:p w14:paraId="78588660" w14:textId="7F6CDBAF" w:rsidR="00EB243D" w:rsidRPr="00154588" w:rsidRDefault="00EB243D" w:rsidP="008C12B4">
            <w:pPr>
              <w:jc w:val="both"/>
              <w:rPr>
                <w:bCs/>
                <w:sz w:val="20"/>
                <w:szCs w:val="20"/>
              </w:rPr>
            </w:pPr>
            <w:r w:rsidRPr="00154588">
              <w:rPr>
                <w:bCs/>
                <w:sz w:val="20"/>
                <w:szCs w:val="20"/>
              </w:rPr>
              <w:t>În sensul primului paragraf, drepturile și pasivele trebuie să fie considerate ca fiind protejate în temeiul unui astfel de acord în cazul în care părțile la acord au dreptul la compensarea sau compensarea reciprocă a acestor drepturi și pasive.</w:t>
            </w:r>
          </w:p>
        </w:tc>
        <w:tc>
          <w:tcPr>
            <w:tcW w:w="4819" w:type="dxa"/>
          </w:tcPr>
          <w:p w14:paraId="3BC73B8F" w14:textId="77777777" w:rsidR="00EB243D" w:rsidRPr="00154588" w:rsidRDefault="00EB243D" w:rsidP="008C12B4">
            <w:pPr>
              <w:ind w:firstLine="567"/>
              <w:jc w:val="both"/>
              <w:rPr>
                <w:rFonts w:eastAsia="Calibri"/>
                <w:sz w:val="20"/>
                <w:szCs w:val="20"/>
              </w:rPr>
            </w:pPr>
            <w:r w:rsidRPr="00154588">
              <w:rPr>
                <w:rFonts w:eastAsia="Calibri"/>
                <w:b/>
                <w:sz w:val="20"/>
                <w:szCs w:val="20"/>
              </w:rPr>
              <w:t>Articolul 269.</w:t>
            </w:r>
            <w:r w:rsidRPr="00154588">
              <w:rPr>
                <w:rFonts w:eastAsia="Calibri"/>
                <w:sz w:val="20"/>
                <w:szCs w:val="20"/>
              </w:rPr>
              <w:t xml:space="preserve"> – (1) Contractele de garanţie financiară cu transfer de proprietate, acordurile de compensare reciprocă şi acordurile de compensare beneficiază de protecţie adecvată pentru a împiedica transferul unor părţi, dar nu a totalităţii drepturilor şi obligaţiilor care fac obiectul unui astfel de contract sau acord, între instituția supusă rezoluţiei şi o altă persoană, precum şi modificarea sau încetarea acestor drepturi şi obligaţii protejate prin intermediul unor astfel de contracte sau acorduri, în virtutea exercitării de către Banca Naţională a Moldovei a competenţelor auxiliare.</w:t>
            </w:r>
          </w:p>
          <w:p w14:paraId="56D381A2" w14:textId="357A383A" w:rsidR="00EB243D" w:rsidRPr="00154588" w:rsidRDefault="00EB243D" w:rsidP="008C12B4">
            <w:pPr>
              <w:ind w:firstLine="567"/>
              <w:jc w:val="both"/>
              <w:rPr>
                <w:rFonts w:eastAsia="Calibri"/>
                <w:sz w:val="24"/>
              </w:rPr>
            </w:pPr>
            <w:r w:rsidRPr="00154588">
              <w:rPr>
                <w:rFonts w:eastAsia="Calibri"/>
                <w:sz w:val="20"/>
                <w:szCs w:val="18"/>
              </w:rPr>
              <w:t>(2) În aplicarea prevederilor alin.(1), drepturile şi obligaţiile sînt considerate ca fiind protejate prin intermediul unui astfel de contract sau acord în cazul în care părţile au dreptul la compensarea sau compensarea reciprocă a acestor drepturi şi obligaţii.</w:t>
            </w:r>
          </w:p>
        </w:tc>
        <w:tc>
          <w:tcPr>
            <w:tcW w:w="2552" w:type="dxa"/>
          </w:tcPr>
          <w:p w14:paraId="0CB9B514" w14:textId="0F163E40" w:rsidR="00EB243D" w:rsidRPr="00154588" w:rsidRDefault="00EB243D" w:rsidP="008C12B4">
            <w:pPr>
              <w:jc w:val="both"/>
              <w:rPr>
                <w:bCs/>
                <w:sz w:val="20"/>
                <w:szCs w:val="20"/>
              </w:rPr>
            </w:pPr>
            <w:r w:rsidRPr="00154588">
              <w:rPr>
                <w:bCs/>
                <w:sz w:val="20"/>
                <w:szCs w:val="20"/>
              </w:rPr>
              <w:t>Compatibil</w:t>
            </w:r>
          </w:p>
        </w:tc>
        <w:tc>
          <w:tcPr>
            <w:tcW w:w="3118" w:type="dxa"/>
          </w:tcPr>
          <w:p w14:paraId="4B6477CA" w14:textId="77777777" w:rsidR="00EB243D" w:rsidRPr="00154588" w:rsidRDefault="00EB243D" w:rsidP="008C12B4">
            <w:pPr>
              <w:jc w:val="both"/>
              <w:rPr>
                <w:bCs/>
                <w:sz w:val="20"/>
                <w:szCs w:val="20"/>
              </w:rPr>
            </w:pPr>
          </w:p>
        </w:tc>
      </w:tr>
      <w:tr w:rsidR="00EB243D" w:rsidRPr="00154588" w14:paraId="3189D5C2" w14:textId="77777777" w:rsidTr="00D15C1B">
        <w:trPr>
          <w:jc w:val="center"/>
        </w:trPr>
        <w:tc>
          <w:tcPr>
            <w:tcW w:w="4957" w:type="dxa"/>
            <w:gridSpan w:val="2"/>
          </w:tcPr>
          <w:p w14:paraId="6AD328D8" w14:textId="77777777" w:rsidR="00EB243D" w:rsidRPr="00154588" w:rsidRDefault="00EB243D" w:rsidP="008C12B4">
            <w:pPr>
              <w:jc w:val="both"/>
              <w:rPr>
                <w:bCs/>
                <w:sz w:val="20"/>
                <w:szCs w:val="20"/>
              </w:rPr>
            </w:pPr>
            <w:r w:rsidRPr="00154588">
              <w:rPr>
                <w:bCs/>
                <w:sz w:val="20"/>
                <w:szCs w:val="20"/>
              </w:rPr>
              <w:t>(2)   Fără a aduce atingere alineatului (1), atunci când este necesar pentru asigurarea disponibilității depozitelor acoperite, autoritatea de rezoluție poate:</w:t>
            </w:r>
          </w:p>
          <w:p w14:paraId="4D358941" w14:textId="77777777" w:rsidR="00EB243D" w:rsidRPr="00154588" w:rsidRDefault="00EB243D" w:rsidP="008C12B4">
            <w:pPr>
              <w:jc w:val="both"/>
              <w:rPr>
                <w:bCs/>
                <w:sz w:val="20"/>
                <w:szCs w:val="20"/>
              </w:rPr>
            </w:pPr>
          </w:p>
          <w:p w14:paraId="52A32956" w14:textId="4AE4F91C" w:rsidR="00EB243D" w:rsidRPr="00154588" w:rsidRDefault="00EB243D" w:rsidP="008C12B4">
            <w:pPr>
              <w:jc w:val="both"/>
              <w:rPr>
                <w:bCs/>
                <w:sz w:val="20"/>
                <w:szCs w:val="20"/>
              </w:rPr>
            </w:pPr>
            <w:r w:rsidRPr="00154588">
              <w:rPr>
                <w:bCs/>
                <w:sz w:val="20"/>
                <w:szCs w:val="20"/>
              </w:rPr>
              <w:t>(a) să transfere depozite acoperite care fac parte din mecanismele menționate alineatul (1) fără a transfera alte active, drepturi și pasive care fac parte din același mecanism; și</w:t>
            </w:r>
          </w:p>
          <w:p w14:paraId="5875986A" w14:textId="77777777" w:rsidR="00EB243D" w:rsidRPr="00154588" w:rsidRDefault="00EB243D" w:rsidP="008C12B4">
            <w:pPr>
              <w:jc w:val="both"/>
              <w:rPr>
                <w:bCs/>
                <w:sz w:val="20"/>
                <w:szCs w:val="20"/>
              </w:rPr>
            </w:pPr>
          </w:p>
          <w:p w14:paraId="239FBDDD" w14:textId="77777777" w:rsidR="00EB243D" w:rsidRPr="00154588" w:rsidRDefault="00EB243D" w:rsidP="008C12B4">
            <w:pPr>
              <w:jc w:val="both"/>
              <w:rPr>
                <w:bCs/>
                <w:sz w:val="20"/>
                <w:szCs w:val="20"/>
              </w:rPr>
            </w:pPr>
          </w:p>
          <w:p w14:paraId="7258E418" w14:textId="59AFE7C0" w:rsidR="00EB243D" w:rsidRPr="00154588" w:rsidRDefault="00EB243D" w:rsidP="008C12B4">
            <w:pPr>
              <w:jc w:val="both"/>
              <w:rPr>
                <w:bCs/>
                <w:sz w:val="20"/>
                <w:szCs w:val="20"/>
              </w:rPr>
            </w:pPr>
            <w:r w:rsidRPr="00154588">
              <w:rPr>
                <w:bCs/>
                <w:sz w:val="20"/>
                <w:szCs w:val="20"/>
              </w:rPr>
              <w:t>(b) să transfere, să modifice sau să rezilieze acele active, drepturi sau pasive fără a transfera depozitele acoperite.</w:t>
            </w:r>
          </w:p>
        </w:tc>
        <w:tc>
          <w:tcPr>
            <w:tcW w:w="4819" w:type="dxa"/>
          </w:tcPr>
          <w:p w14:paraId="4E8D72D9" w14:textId="77777777" w:rsidR="00EB243D" w:rsidRPr="00154588" w:rsidRDefault="00EB243D" w:rsidP="008C12B4">
            <w:pPr>
              <w:ind w:firstLine="567"/>
              <w:jc w:val="both"/>
              <w:rPr>
                <w:rFonts w:eastAsia="Calibri"/>
                <w:sz w:val="20"/>
                <w:szCs w:val="20"/>
              </w:rPr>
            </w:pPr>
            <w:r w:rsidRPr="00154588">
              <w:rPr>
                <w:rFonts w:eastAsia="Calibri"/>
                <w:b/>
                <w:sz w:val="20"/>
                <w:szCs w:val="20"/>
              </w:rPr>
              <w:lastRenderedPageBreak/>
              <w:t>Articolul 270.</w:t>
            </w:r>
            <w:r w:rsidRPr="00154588">
              <w:rPr>
                <w:rFonts w:eastAsia="Calibri"/>
                <w:sz w:val="20"/>
                <w:szCs w:val="20"/>
              </w:rPr>
              <w:t xml:space="preserve"> – Prin excepţie de la prevederile art.269, atunci cînd este necesară asigurarea disponibilităţii depozitelor acoperite, Banca Naţională a Moldovei, în calitate de autoritate de rezoluţie, poate:</w:t>
            </w:r>
          </w:p>
          <w:p w14:paraId="237BD782" w14:textId="77777777" w:rsidR="00EB243D" w:rsidRPr="00154588" w:rsidRDefault="00EB243D" w:rsidP="008C12B4">
            <w:pPr>
              <w:ind w:firstLine="567"/>
              <w:jc w:val="both"/>
              <w:rPr>
                <w:rFonts w:eastAsia="Calibri"/>
                <w:sz w:val="20"/>
                <w:szCs w:val="20"/>
              </w:rPr>
            </w:pPr>
            <w:r w:rsidRPr="00154588">
              <w:rPr>
                <w:rFonts w:eastAsia="Calibri"/>
                <w:sz w:val="20"/>
                <w:szCs w:val="20"/>
              </w:rPr>
              <w:t xml:space="preserve">a) să transfere depozitele acoperite care fac parte din acordurile prevăzute la art.269 fără a </w:t>
            </w:r>
            <w:r w:rsidRPr="00154588">
              <w:rPr>
                <w:rFonts w:eastAsia="Calibri"/>
                <w:sz w:val="20"/>
                <w:szCs w:val="20"/>
              </w:rPr>
              <w:lastRenderedPageBreak/>
              <w:t>transfera alte active, drepturi sau obligaţii care fac parte din aceleaşi acorduri; şi</w:t>
            </w:r>
          </w:p>
          <w:p w14:paraId="6B340810" w14:textId="6FCB3D4F" w:rsidR="00EB243D" w:rsidRPr="00154588" w:rsidRDefault="00EB243D" w:rsidP="008C12B4">
            <w:pPr>
              <w:ind w:firstLine="567"/>
              <w:jc w:val="both"/>
              <w:rPr>
                <w:rFonts w:eastAsia="Calibri"/>
                <w:sz w:val="24"/>
                <w:szCs w:val="24"/>
              </w:rPr>
            </w:pPr>
            <w:r w:rsidRPr="00154588">
              <w:rPr>
                <w:rFonts w:eastAsia="Calibri"/>
                <w:sz w:val="20"/>
                <w:szCs w:val="20"/>
              </w:rPr>
              <w:t>b) să transfere, să modifice, să rezilieze sau să lichideze acele active, drepturi sau obligaţii, fără a transfera depozitele acoperite.</w:t>
            </w:r>
          </w:p>
        </w:tc>
        <w:tc>
          <w:tcPr>
            <w:tcW w:w="2552" w:type="dxa"/>
          </w:tcPr>
          <w:p w14:paraId="4364059E" w14:textId="1809A736" w:rsidR="00EB243D" w:rsidRPr="00154588" w:rsidRDefault="00EB243D" w:rsidP="008C12B4">
            <w:pPr>
              <w:jc w:val="both"/>
              <w:rPr>
                <w:sz w:val="20"/>
                <w:szCs w:val="20"/>
              </w:rPr>
            </w:pPr>
            <w:r w:rsidRPr="00154588">
              <w:rPr>
                <w:sz w:val="20"/>
                <w:szCs w:val="20"/>
              </w:rPr>
              <w:lastRenderedPageBreak/>
              <w:t>Compatibil</w:t>
            </w:r>
          </w:p>
        </w:tc>
        <w:tc>
          <w:tcPr>
            <w:tcW w:w="3118" w:type="dxa"/>
          </w:tcPr>
          <w:p w14:paraId="6F38467A" w14:textId="77777777" w:rsidR="00EB243D" w:rsidRPr="00154588" w:rsidRDefault="00EB243D" w:rsidP="008C12B4">
            <w:pPr>
              <w:jc w:val="both"/>
              <w:rPr>
                <w:sz w:val="20"/>
                <w:szCs w:val="20"/>
              </w:rPr>
            </w:pPr>
          </w:p>
        </w:tc>
      </w:tr>
      <w:tr w:rsidR="00EB243D" w:rsidRPr="00154588" w14:paraId="53FCF70B" w14:textId="77777777" w:rsidTr="00D15C1B">
        <w:trPr>
          <w:jc w:val="center"/>
        </w:trPr>
        <w:tc>
          <w:tcPr>
            <w:tcW w:w="4957" w:type="dxa"/>
            <w:gridSpan w:val="2"/>
          </w:tcPr>
          <w:p w14:paraId="3E65429E" w14:textId="77777777" w:rsidR="00EB243D" w:rsidRPr="00154588" w:rsidRDefault="00EB243D" w:rsidP="008C12B4">
            <w:pPr>
              <w:jc w:val="both"/>
              <w:rPr>
                <w:b/>
                <w:sz w:val="20"/>
                <w:szCs w:val="20"/>
              </w:rPr>
            </w:pPr>
            <w:r w:rsidRPr="00154588">
              <w:rPr>
                <w:b/>
                <w:sz w:val="20"/>
                <w:szCs w:val="20"/>
              </w:rPr>
              <w:t>Articolul 78</w:t>
            </w:r>
          </w:p>
          <w:p w14:paraId="4DB97ED7" w14:textId="77777777" w:rsidR="00EB243D" w:rsidRPr="00154588" w:rsidRDefault="00EB243D" w:rsidP="008C12B4">
            <w:pPr>
              <w:jc w:val="both"/>
              <w:rPr>
                <w:b/>
                <w:sz w:val="20"/>
                <w:szCs w:val="20"/>
              </w:rPr>
            </w:pPr>
          </w:p>
          <w:p w14:paraId="438CE233" w14:textId="6043D6F8" w:rsidR="00EB243D" w:rsidRPr="00154588" w:rsidRDefault="00EB243D" w:rsidP="008C12B4">
            <w:pPr>
              <w:jc w:val="both"/>
              <w:rPr>
                <w:sz w:val="20"/>
                <w:szCs w:val="20"/>
              </w:rPr>
            </w:pPr>
            <w:r w:rsidRPr="00154588">
              <w:rPr>
                <w:b/>
                <w:sz w:val="20"/>
                <w:szCs w:val="20"/>
              </w:rPr>
              <w:t>Protecție pentru contractele de garanție reală</w:t>
            </w:r>
          </w:p>
        </w:tc>
        <w:tc>
          <w:tcPr>
            <w:tcW w:w="4819" w:type="dxa"/>
          </w:tcPr>
          <w:p w14:paraId="25620F36" w14:textId="77777777" w:rsidR="00EB243D" w:rsidRPr="00154588" w:rsidRDefault="00EB243D" w:rsidP="008C12B4">
            <w:pPr>
              <w:jc w:val="both"/>
              <w:rPr>
                <w:sz w:val="20"/>
                <w:szCs w:val="20"/>
              </w:rPr>
            </w:pPr>
          </w:p>
        </w:tc>
        <w:tc>
          <w:tcPr>
            <w:tcW w:w="2552" w:type="dxa"/>
          </w:tcPr>
          <w:p w14:paraId="7C405D4E" w14:textId="77777777" w:rsidR="00EB243D" w:rsidRPr="00154588" w:rsidRDefault="00EB243D" w:rsidP="008C12B4">
            <w:pPr>
              <w:jc w:val="both"/>
              <w:rPr>
                <w:sz w:val="20"/>
                <w:szCs w:val="20"/>
              </w:rPr>
            </w:pPr>
          </w:p>
        </w:tc>
        <w:tc>
          <w:tcPr>
            <w:tcW w:w="3118" w:type="dxa"/>
          </w:tcPr>
          <w:p w14:paraId="4C486887" w14:textId="77777777" w:rsidR="00EB243D" w:rsidRPr="00154588" w:rsidRDefault="00EB243D" w:rsidP="008C12B4">
            <w:pPr>
              <w:jc w:val="both"/>
              <w:rPr>
                <w:sz w:val="20"/>
                <w:szCs w:val="20"/>
              </w:rPr>
            </w:pPr>
          </w:p>
        </w:tc>
      </w:tr>
      <w:tr w:rsidR="00EB243D" w:rsidRPr="00154588" w14:paraId="1EB5B7E5" w14:textId="77777777" w:rsidTr="00D15C1B">
        <w:trPr>
          <w:jc w:val="center"/>
        </w:trPr>
        <w:tc>
          <w:tcPr>
            <w:tcW w:w="4957" w:type="dxa"/>
            <w:gridSpan w:val="2"/>
          </w:tcPr>
          <w:p w14:paraId="65021DEB" w14:textId="77777777" w:rsidR="00EB243D" w:rsidRPr="00154588" w:rsidRDefault="00EB243D" w:rsidP="008C12B4">
            <w:pPr>
              <w:jc w:val="both"/>
              <w:rPr>
                <w:sz w:val="20"/>
                <w:szCs w:val="20"/>
              </w:rPr>
            </w:pPr>
            <w:r w:rsidRPr="00154588">
              <w:rPr>
                <w:sz w:val="20"/>
                <w:szCs w:val="20"/>
              </w:rPr>
              <w:t>(1)   Statele membre se asigură că pasivele acoperite printr-un contract de garanție beneficiază de o protecție adecvată, astfel încât să se împiedice:</w:t>
            </w:r>
          </w:p>
          <w:p w14:paraId="543D3D05" w14:textId="77777777" w:rsidR="00EB243D" w:rsidRPr="00154588" w:rsidRDefault="00EB243D" w:rsidP="008C12B4">
            <w:pPr>
              <w:jc w:val="both"/>
              <w:rPr>
                <w:sz w:val="20"/>
                <w:szCs w:val="20"/>
              </w:rPr>
            </w:pPr>
          </w:p>
          <w:p w14:paraId="3C918F04" w14:textId="77777777" w:rsidR="00EB243D" w:rsidRPr="00154588" w:rsidRDefault="00EB243D" w:rsidP="008C12B4">
            <w:pPr>
              <w:jc w:val="both"/>
              <w:rPr>
                <w:sz w:val="20"/>
                <w:szCs w:val="20"/>
              </w:rPr>
            </w:pPr>
          </w:p>
          <w:p w14:paraId="24CE79FB" w14:textId="10A99170" w:rsidR="00EB243D" w:rsidRPr="00154588" w:rsidRDefault="00EB243D" w:rsidP="008C12B4">
            <w:pPr>
              <w:jc w:val="both"/>
              <w:rPr>
                <w:sz w:val="20"/>
                <w:szCs w:val="20"/>
              </w:rPr>
            </w:pPr>
            <w:r w:rsidRPr="00154588">
              <w:rPr>
                <w:sz w:val="20"/>
                <w:szCs w:val="20"/>
              </w:rPr>
              <w:t>(a) transferul activelor cu care este garantat pasivul, cu excepția cazului în care sunt deopotrivă transferate atât pasivul respectiv, cât și dreptul de a beneficia de garanție reală;</w:t>
            </w:r>
          </w:p>
          <w:p w14:paraId="202A620F" w14:textId="77777777" w:rsidR="00EB243D" w:rsidRPr="00154588" w:rsidRDefault="00EB243D" w:rsidP="008C12B4">
            <w:pPr>
              <w:jc w:val="both"/>
              <w:rPr>
                <w:sz w:val="20"/>
                <w:szCs w:val="20"/>
              </w:rPr>
            </w:pPr>
          </w:p>
          <w:p w14:paraId="54C8C820" w14:textId="51BD1192" w:rsidR="00EB243D" w:rsidRPr="00154588" w:rsidRDefault="00EB243D" w:rsidP="008C12B4">
            <w:pPr>
              <w:jc w:val="both"/>
              <w:rPr>
                <w:sz w:val="20"/>
                <w:szCs w:val="20"/>
              </w:rPr>
            </w:pPr>
            <w:r w:rsidRPr="00154588">
              <w:rPr>
                <w:sz w:val="20"/>
                <w:szCs w:val="20"/>
              </w:rPr>
              <w:t>(b) transferul unei obligații garantate, cu excepția cazului în care este transferat și dreptul de a beneficia de garanție reală;</w:t>
            </w:r>
          </w:p>
          <w:p w14:paraId="35B25CC0" w14:textId="77777777" w:rsidR="00EB243D" w:rsidRPr="00154588" w:rsidRDefault="00EB243D" w:rsidP="008C12B4">
            <w:pPr>
              <w:jc w:val="both"/>
              <w:rPr>
                <w:sz w:val="20"/>
                <w:szCs w:val="20"/>
              </w:rPr>
            </w:pPr>
          </w:p>
          <w:p w14:paraId="20E99C01" w14:textId="34BD0030" w:rsidR="00EB243D" w:rsidRPr="00154588" w:rsidRDefault="00EB243D" w:rsidP="008C12B4">
            <w:pPr>
              <w:jc w:val="both"/>
              <w:rPr>
                <w:sz w:val="20"/>
                <w:szCs w:val="20"/>
              </w:rPr>
            </w:pPr>
            <w:r w:rsidRPr="00154588">
              <w:rPr>
                <w:sz w:val="20"/>
                <w:szCs w:val="20"/>
              </w:rPr>
              <w:t>(c) transferul dreptului de a beneficia de garanție reală, cu excepția cazului în care este transferată și obligația garantată;</w:t>
            </w:r>
          </w:p>
          <w:p w14:paraId="3D12A04A" w14:textId="77777777" w:rsidR="00EB243D" w:rsidRPr="00154588" w:rsidRDefault="00EB243D" w:rsidP="008C12B4">
            <w:pPr>
              <w:jc w:val="both"/>
              <w:rPr>
                <w:sz w:val="20"/>
                <w:szCs w:val="20"/>
              </w:rPr>
            </w:pPr>
          </w:p>
          <w:p w14:paraId="6D699FEF" w14:textId="72334A79" w:rsidR="00EB243D" w:rsidRPr="00154588" w:rsidRDefault="00EB243D" w:rsidP="008C12B4">
            <w:pPr>
              <w:jc w:val="both"/>
              <w:rPr>
                <w:sz w:val="20"/>
                <w:szCs w:val="20"/>
              </w:rPr>
            </w:pPr>
            <w:r w:rsidRPr="00154588">
              <w:rPr>
                <w:sz w:val="20"/>
                <w:szCs w:val="20"/>
              </w:rPr>
              <w:t>(d) modificarea sau rezilierea unui contract de garanție prin exercitarea competențelor auxiliare, dacă respectiva modificare sau reziliere are drept efect încetarea garantării pasivului.</w:t>
            </w:r>
          </w:p>
        </w:tc>
        <w:tc>
          <w:tcPr>
            <w:tcW w:w="4819" w:type="dxa"/>
          </w:tcPr>
          <w:p w14:paraId="6ECB77AE" w14:textId="77777777" w:rsidR="00EB243D" w:rsidRPr="00154588" w:rsidRDefault="00EB243D" w:rsidP="008C12B4">
            <w:pPr>
              <w:ind w:firstLine="567"/>
              <w:jc w:val="both"/>
              <w:rPr>
                <w:rFonts w:eastAsia="Calibri"/>
                <w:sz w:val="20"/>
                <w:szCs w:val="18"/>
              </w:rPr>
            </w:pPr>
            <w:r w:rsidRPr="00154588">
              <w:rPr>
                <w:rFonts w:eastAsia="Calibri"/>
                <w:b/>
                <w:sz w:val="20"/>
                <w:szCs w:val="18"/>
              </w:rPr>
              <w:t>Articolul 271.</w:t>
            </w:r>
            <w:r w:rsidRPr="00154588">
              <w:rPr>
                <w:rFonts w:eastAsia="Calibri"/>
                <w:sz w:val="20"/>
                <w:szCs w:val="18"/>
              </w:rPr>
              <w:t xml:space="preserve"> – (1) Obligaţiile garantate printr-un contract de garanţie reală beneficiază de o protecţie adecvată pentru a împiedica:</w:t>
            </w:r>
          </w:p>
          <w:p w14:paraId="0EBB522A" w14:textId="77777777" w:rsidR="00EB243D" w:rsidRPr="00154588" w:rsidRDefault="00EB243D" w:rsidP="008C12B4">
            <w:pPr>
              <w:ind w:firstLine="567"/>
              <w:jc w:val="both"/>
              <w:rPr>
                <w:rFonts w:eastAsia="Calibri"/>
                <w:sz w:val="20"/>
                <w:szCs w:val="18"/>
              </w:rPr>
            </w:pPr>
            <w:r w:rsidRPr="00154588">
              <w:rPr>
                <w:rFonts w:eastAsia="Calibri"/>
                <w:sz w:val="20"/>
                <w:szCs w:val="18"/>
              </w:rPr>
              <w:t>a) transferul activelor cu care este garantată obligaţia, cu excepţia cazului în care obligaţia respectivă, precum şi dreptul aferent acesteia sînt transferate;</w:t>
            </w:r>
          </w:p>
          <w:p w14:paraId="434BC3CA" w14:textId="77777777" w:rsidR="00EB243D" w:rsidRPr="00154588" w:rsidRDefault="00EB243D" w:rsidP="008C12B4">
            <w:pPr>
              <w:ind w:firstLine="567"/>
              <w:jc w:val="both"/>
              <w:rPr>
                <w:rFonts w:eastAsia="Calibri"/>
                <w:sz w:val="20"/>
                <w:szCs w:val="18"/>
              </w:rPr>
            </w:pPr>
            <w:r w:rsidRPr="00154588">
              <w:rPr>
                <w:rFonts w:eastAsia="Calibri"/>
                <w:sz w:val="20"/>
                <w:szCs w:val="18"/>
              </w:rPr>
              <w:t>b) transferul unei obligaţii garantate, cu excepţia cazului în care este transferat şi dreptul de a beneficia de garanţia reală aferentă obligaţiei;</w:t>
            </w:r>
          </w:p>
          <w:p w14:paraId="4CA2EE81" w14:textId="77777777" w:rsidR="00EB243D" w:rsidRPr="00154588" w:rsidRDefault="00EB243D" w:rsidP="008C12B4">
            <w:pPr>
              <w:ind w:firstLine="567"/>
              <w:jc w:val="both"/>
              <w:rPr>
                <w:rFonts w:eastAsia="Calibri"/>
                <w:sz w:val="20"/>
                <w:szCs w:val="18"/>
              </w:rPr>
            </w:pPr>
            <w:r w:rsidRPr="00154588">
              <w:rPr>
                <w:rFonts w:eastAsia="Calibri"/>
                <w:sz w:val="20"/>
                <w:szCs w:val="18"/>
              </w:rPr>
              <w:t>c) transferul dreptului de a beneficia de garanţia reală, cu excepţia cazului în care obligaţia garantată pentru care este constituită garanţia reală este de asemenea transferată; sau</w:t>
            </w:r>
          </w:p>
          <w:p w14:paraId="39D973A3" w14:textId="4CDF6591" w:rsidR="00EB243D" w:rsidRPr="00154588" w:rsidRDefault="00EB243D" w:rsidP="008C12B4">
            <w:pPr>
              <w:ind w:firstLine="567"/>
              <w:jc w:val="both"/>
              <w:rPr>
                <w:rFonts w:eastAsia="Calibri"/>
                <w:sz w:val="20"/>
                <w:szCs w:val="18"/>
              </w:rPr>
            </w:pPr>
            <w:r w:rsidRPr="00154588">
              <w:rPr>
                <w:rFonts w:eastAsia="Calibri"/>
                <w:sz w:val="20"/>
                <w:szCs w:val="18"/>
              </w:rPr>
              <w:t>d) modificarea sau încetarea unui contract de garanţie reală, în virtutea exercitării de către Banca Naţională a Moldovei a competenţelor auxiliare, dacă respectiva modificare sau încetare are ca rezultat încetarea garantării obligaţiei.</w:t>
            </w:r>
          </w:p>
        </w:tc>
        <w:tc>
          <w:tcPr>
            <w:tcW w:w="2552" w:type="dxa"/>
          </w:tcPr>
          <w:p w14:paraId="44610E44" w14:textId="45606EE6" w:rsidR="00EB243D" w:rsidRPr="00154588" w:rsidRDefault="00EB243D" w:rsidP="008C12B4">
            <w:pPr>
              <w:jc w:val="both"/>
              <w:rPr>
                <w:sz w:val="20"/>
                <w:szCs w:val="20"/>
              </w:rPr>
            </w:pPr>
            <w:r w:rsidRPr="00154588">
              <w:rPr>
                <w:sz w:val="20"/>
                <w:szCs w:val="20"/>
              </w:rPr>
              <w:t>Compatibil</w:t>
            </w:r>
          </w:p>
        </w:tc>
        <w:tc>
          <w:tcPr>
            <w:tcW w:w="3118" w:type="dxa"/>
          </w:tcPr>
          <w:p w14:paraId="5A6D123B" w14:textId="77777777" w:rsidR="00EB243D" w:rsidRPr="00154588" w:rsidRDefault="00EB243D" w:rsidP="008C12B4">
            <w:pPr>
              <w:jc w:val="both"/>
              <w:rPr>
                <w:sz w:val="20"/>
                <w:szCs w:val="20"/>
              </w:rPr>
            </w:pPr>
          </w:p>
        </w:tc>
      </w:tr>
      <w:tr w:rsidR="00EB243D" w:rsidRPr="00154588" w14:paraId="08953C07" w14:textId="77777777" w:rsidTr="00D15C1B">
        <w:trPr>
          <w:jc w:val="center"/>
        </w:trPr>
        <w:tc>
          <w:tcPr>
            <w:tcW w:w="4957" w:type="dxa"/>
            <w:gridSpan w:val="2"/>
          </w:tcPr>
          <w:p w14:paraId="3C477BED" w14:textId="77777777" w:rsidR="00EB243D" w:rsidRPr="00154588" w:rsidRDefault="00EB243D" w:rsidP="008C12B4">
            <w:pPr>
              <w:jc w:val="both"/>
              <w:rPr>
                <w:sz w:val="20"/>
                <w:szCs w:val="20"/>
              </w:rPr>
            </w:pPr>
            <w:r w:rsidRPr="00154588">
              <w:rPr>
                <w:sz w:val="20"/>
                <w:szCs w:val="20"/>
              </w:rPr>
              <w:t>(2)   Fără a aduce atingere alineatului (1), atunci când este necesar pentru asigurarea disponibilității depozitelor acoperite, autoritatea de rezoluție poate:</w:t>
            </w:r>
          </w:p>
          <w:p w14:paraId="391E2116" w14:textId="77777777" w:rsidR="00EB243D" w:rsidRPr="00154588" w:rsidRDefault="00EB243D" w:rsidP="008C12B4">
            <w:pPr>
              <w:jc w:val="both"/>
              <w:rPr>
                <w:sz w:val="20"/>
                <w:szCs w:val="20"/>
              </w:rPr>
            </w:pPr>
          </w:p>
          <w:p w14:paraId="098A78D6" w14:textId="20069F68" w:rsidR="00EB243D" w:rsidRPr="00154588" w:rsidRDefault="00EB243D" w:rsidP="008C12B4">
            <w:pPr>
              <w:jc w:val="both"/>
              <w:rPr>
                <w:sz w:val="20"/>
                <w:szCs w:val="20"/>
              </w:rPr>
            </w:pPr>
            <w:r w:rsidRPr="00154588">
              <w:rPr>
                <w:sz w:val="20"/>
                <w:szCs w:val="20"/>
              </w:rPr>
              <w:t>(a) să transfere depozite acoperite care fac parte din mecanismele menționate la alineatul (1) fără a transfera alte active, drepturi și pasive care fac parte din același mecanism; și</w:t>
            </w:r>
          </w:p>
          <w:p w14:paraId="204A5D25" w14:textId="77777777" w:rsidR="00EB243D" w:rsidRPr="00154588" w:rsidRDefault="00EB243D" w:rsidP="008C12B4">
            <w:pPr>
              <w:jc w:val="both"/>
              <w:rPr>
                <w:sz w:val="20"/>
                <w:szCs w:val="20"/>
              </w:rPr>
            </w:pPr>
          </w:p>
          <w:p w14:paraId="6ACEB2CB" w14:textId="77777777" w:rsidR="00EB243D" w:rsidRPr="00154588" w:rsidRDefault="00EB243D" w:rsidP="008C12B4">
            <w:pPr>
              <w:jc w:val="both"/>
              <w:rPr>
                <w:sz w:val="20"/>
                <w:szCs w:val="20"/>
              </w:rPr>
            </w:pPr>
          </w:p>
          <w:p w14:paraId="7CF784D7" w14:textId="4DD77ACB" w:rsidR="00EB243D" w:rsidRPr="00154588" w:rsidRDefault="00EB243D" w:rsidP="008C12B4">
            <w:pPr>
              <w:jc w:val="both"/>
              <w:rPr>
                <w:sz w:val="20"/>
                <w:szCs w:val="20"/>
              </w:rPr>
            </w:pPr>
            <w:r w:rsidRPr="00154588">
              <w:rPr>
                <w:sz w:val="20"/>
                <w:szCs w:val="20"/>
              </w:rPr>
              <w:t>(b) să transfere, să modifice sau să rezilieze acele active, drepturi sau pasive fără a transfera depozitele acoperite.</w:t>
            </w:r>
          </w:p>
        </w:tc>
        <w:tc>
          <w:tcPr>
            <w:tcW w:w="4819" w:type="dxa"/>
          </w:tcPr>
          <w:p w14:paraId="0B22A54A" w14:textId="79BBA5CB" w:rsidR="00EB243D" w:rsidRPr="00154588" w:rsidRDefault="00EB243D" w:rsidP="008C12B4">
            <w:pPr>
              <w:ind w:firstLine="567"/>
              <w:jc w:val="both"/>
              <w:rPr>
                <w:rFonts w:eastAsia="Calibri"/>
                <w:sz w:val="20"/>
                <w:szCs w:val="20"/>
              </w:rPr>
            </w:pPr>
            <w:r w:rsidRPr="00154588">
              <w:rPr>
                <w:rFonts w:eastAsia="Calibri"/>
                <w:b/>
                <w:sz w:val="20"/>
                <w:szCs w:val="18"/>
              </w:rPr>
              <w:t>Articolul 271.</w:t>
            </w:r>
            <w:r w:rsidRPr="00154588">
              <w:rPr>
                <w:rFonts w:eastAsia="Calibri"/>
                <w:sz w:val="20"/>
                <w:szCs w:val="18"/>
              </w:rPr>
              <w:t xml:space="preserve"> – </w:t>
            </w:r>
            <w:r w:rsidRPr="00154588">
              <w:rPr>
                <w:rFonts w:eastAsia="Calibri"/>
                <w:sz w:val="20"/>
                <w:szCs w:val="20"/>
              </w:rPr>
              <w:t>(2) Prin excepţie de la prevederile alin.(1), pentru a asigura disponibilitatea depozitelor acoperite, Banca Naţională a Moldovei, în calitate de autoritate de rezoluţie, poate impune:</w:t>
            </w:r>
          </w:p>
          <w:p w14:paraId="4B2BB67D" w14:textId="77777777" w:rsidR="00EB243D" w:rsidRPr="00154588" w:rsidRDefault="00EB243D" w:rsidP="008C12B4">
            <w:pPr>
              <w:ind w:firstLine="567"/>
              <w:jc w:val="both"/>
              <w:rPr>
                <w:rFonts w:eastAsia="Calibri"/>
                <w:sz w:val="20"/>
                <w:szCs w:val="20"/>
              </w:rPr>
            </w:pPr>
            <w:r w:rsidRPr="00154588">
              <w:rPr>
                <w:rFonts w:eastAsia="Calibri"/>
                <w:sz w:val="20"/>
                <w:szCs w:val="20"/>
              </w:rPr>
              <w:t>a) transferul depozitelor acoperite care fac parte din contractele prevăzute la alin.(1), fără a transfera alte active, drepturi sau obligaţii care fac parte din acelaşi contract; şi</w:t>
            </w:r>
          </w:p>
          <w:p w14:paraId="0641F43A" w14:textId="6704B27F" w:rsidR="00EB243D" w:rsidRPr="00154588" w:rsidRDefault="00EB243D" w:rsidP="008C12B4">
            <w:pPr>
              <w:jc w:val="both"/>
              <w:rPr>
                <w:sz w:val="20"/>
                <w:szCs w:val="20"/>
              </w:rPr>
            </w:pPr>
            <w:r w:rsidRPr="00154588">
              <w:rPr>
                <w:rFonts w:eastAsia="Calibri"/>
                <w:sz w:val="20"/>
                <w:szCs w:val="20"/>
              </w:rPr>
              <w:t>b) transferul, modificarea, rezilierea sau lichidarea acelor active, drepturi sau obligaţii, fără a transfera depozitele acoperite.</w:t>
            </w:r>
          </w:p>
        </w:tc>
        <w:tc>
          <w:tcPr>
            <w:tcW w:w="2552" w:type="dxa"/>
          </w:tcPr>
          <w:p w14:paraId="4741024C" w14:textId="51737EF1" w:rsidR="00EB243D" w:rsidRPr="00154588" w:rsidRDefault="00EB243D" w:rsidP="008C12B4">
            <w:pPr>
              <w:jc w:val="both"/>
              <w:rPr>
                <w:sz w:val="20"/>
                <w:szCs w:val="20"/>
              </w:rPr>
            </w:pPr>
            <w:r w:rsidRPr="00154588">
              <w:rPr>
                <w:sz w:val="20"/>
                <w:szCs w:val="20"/>
              </w:rPr>
              <w:t>Compatibil</w:t>
            </w:r>
          </w:p>
        </w:tc>
        <w:tc>
          <w:tcPr>
            <w:tcW w:w="3118" w:type="dxa"/>
          </w:tcPr>
          <w:p w14:paraId="2401F162" w14:textId="77777777" w:rsidR="00EB243D" w:rsidRPr="00154588" w:rsidRDefault="00EB243D" w:rsidP="008C12B4">
            <w:pPr>
              <w:jc w:val="both"/>
              <w:rPr>
                <w:sz w:val="20"/>
                <w:szCs w:val="20"/>
              </w:rPr>
            </w:pPr>
          </w:p>
        </w:tc>
      </w:tr>
      <w:tr w:rsidR="00EB243D" w:rsidRPr="00154588" w14:paraId="6AC3360F" w14:textId="77777777" w:rsidTr="00D15C1B">
        <w:trPr>
          <w:jc w:val="center"/>
        </w:trPr>
        <w:tc>
          <w:tcPr>
            <w:tcW w:w="4957" w:type="dxa"/>
            <w:gridSpan w:val="2"/>
          </w:tcPr>
          <w:p w14:paraId="602F58B6" w14:textId="77777777" w:rsidR="00EB243D" w:rsidRPr="00154588" w:rsidRDefault="00EB243D" w:rsidP="008C12B4">
            <w:pPr>
              <w:jc w:val="both"/>
              <w:rPr>
                <w:b/>
                <w:sz w:val="20"/>
                <w:szCs w:val="20"/>
              </w:rPr>
            </w:pPr>
            <w:r w:rsidRPr="00154588">
              <w:rPr>
                <w:b/>
                <w:sz w:val="20"/>
                <w:szCs w:val="20"/>
              </w:rPr>
              <w:t>Articolul 79</w:t>
            </w:r>
          </w:p>
          <w:p w14:paraId="136B3076" w14:textId="77777777" w:rsidR="00EB243D" w:rsidRPr="00154588" w:rsidRDefault="00EB243D" w:rsidP="008C12B4">
            <w:pPr>
              <w:jc w:val="both"/>
              <w:rPr>
                <w:b/>
                <w:sz w:val="20"/>
                <w:szCs w:val="20"/>
              </w:rPr>
            </w:pPr>
          </w:p>
          <w:p w14:paraId="395CC895" w14:textId="122ED964" w:rsidR="00EB243D" w:rsidRPr="00154588" w:rsidRDefault="00EB243D" w:rsidP="008C12B4">
            <w:pPr>
              <w:jc w:val="both"/>
              <w:rPr>
                <w:sz w:val="20"/>
                <w:szCs w:val="20"/>
              </w:rPr>
            </w:pPr>
            <w:r w:rsidRPr="00154588">
              <w:rPr>
                <w:b/>
                <w:sz w:val="20"/>
                <w:szCs w:val="20"/>
              </w:rPr>
              <w:lastRenderedPageBreak/>
              <w:t>Protecție pentru mecanismele de finanțare structurate și pentru obligațiunile garantate</w:t>
            </w:r>
          </w:p>
        </w:tc>
        <w:tc>
          <w:tcPr>
            <w:tcW w:w="4819" w:type="dxa"/>
          </w:tcPr>
          <w:p w14:paraId="7108BE2F" w14:textId="77777777" w:rsidR="00EB243D" w:rsidRPr="00154588" w:rsidRDefault="00EB243D" w:rsidP="008C12B4">
            <w:pPr>
              <w:jc w:val="both"/>
              <w:rPr>
                <w:sz w:val="20"/>
                <w:szCs w:val="20"/>
              </w:rPr>
            </w:pPr>
          </w:p>
        </w:tc>
        <w:tc>
          <w:tcPr>
            <w:tcW w:w="2552" w:type="dxa"/>
          </w:tcPr>
          <w:p w14:paraId="621EB75D" w14:textId="77777777" w:rsidR="00EB243D" w:rsidRPr="00154588" w:rsidRDefault="00EB243D" w:rsidP="008C12B4">
            <w:pPr>
              <w:jc w:val="both"/>
              <w:rPr>
                <w:sz w:val="20"/>
                <w:szCs w:val="20"/>
              </w:rPr>
            </w:pPr>
          </w:p>
        </w:tc>
        <w:tc>
          <w:tcPr>
            <w:tcW w:w="3118" w:type="dxa"/>
          </w:tcPr>
          <w:p w14:paraId="4F6D44EC" w14:textId="77777777" w:rsidR="00EB243D" w:rsidRPr="00154588" w:rsidRDefault="00EB243D" w:rsidP="008C12B4">
            <w:pPr>
              <w:jc w:val="both"/>
              <w:rPr>
                <w:sz w:val="20"/>
                <w:szCs w:val="20"/>
              </w:rPr>
            </w:pPr>
          </w:p>
        </w:tc>
      </w:tr>
      <w:tr w:rsidR="00EB243D" w:rsidRPr="00154588" w14:paraId="254318DD" w14:textId="77777777" w:rsidTr="00D15C1B">
        <w:trPr>
          <w:jc w:val="center"/>
        </w:trPr>
        <w:tc>
          <w:tcPr>
            <w:tcW w:w="4957" w:type="dxa"/>
            <w:gridSpan w:val="2"/>
          </w:tcPr>
          <w:p w14:paraId="4E8F124D" w14:textId="77777777" w:rsidR="00EB243D" w:rsidRPr="00154588" w:rsidRDefault="00EB243D" w:rsidP="008C12B4">
            <w:pPr>
              <w:jc w:val="both"/>
              <w:rPr>
                <w:sz w:val="20"/>
                <w:szCs w:val="20"/>
              </w:rPr>
            </w:pPr>
            <w:r w:rsidRPr="00154588">
              <w:rPr>
                <w:sz w:val="20"/>
                <w:szCs w:val="20"/>
              </w:rPr>
              <w:t>(1)   Statele membre se asigură că există o protecție adecvată pentru mecanismele de finanțare structurate, inclusiv mecanismele menționate la articolul 76 alineatul (2) literele (e) și (f) astfel încât să se prevină oricare dintre circumstanțele următoare:</w:t>
            </w:r>
          </w:p>
          <w:p w14:paraId="284C5B25" w14:textId="77777777" w:rsidR="00EB243D" w:rsidRPr="00154588" w:rsidRDefault="00EB243D" w:rsidP="008C12B4">
            <w:pPr>
              <w:jc w:val="both"/>
              <w:rPr>
                <w:sz w:val="20"/>
                <w:szCs w:val="20"/>
              </w:rPr>
            </w:pPr>
          </w:p>
          <w:p w14:paraId="50F1185C" w14:textId="78BA90A7" w:rsidR="00EB243D" w:rsidRPr="00154588" w:rsidRDefault="00EB243D" w:rsidP="008C12B4">
            <w:pPr>
              <w:jc w:val="both"/>
              <w:rPr>
                <w:sz w:val="20"/>
                <w:szCs w:val="20"/>
              </w:rPr>
            </w:pPr>
            <w:r w:rsidRPr="00154588">
              <w:rPr>
                <w:sz w:val="20"/>
                <w:szCs w:val="20"/>
              </w:rPr>
              <w:t>(a) transferul unei părți, dar nu a totalității activelor, drepturilor și pasivelor care reprezintă o parte sau totalitatea unui mecanism de finanțare structurată, inclusiv a mecanismelor menționate la articolul 76 alineatul (2) literele (e) și (f), la care instituția de credit aflată în rezoluție este parte;</w:t>
            </w:r>
          </w:p>
          <w:p w14:paraId="4C4061EE" w14:textId="77777777" w:rsidR="00EB243D" w:rsidRPr="00154588" w:rsidRDefault="00EB243D" w:rsidP="008C12B4">
            <w:pPr>
              <w:jc w:val="both"/>
              <w:rPr>
                <w:sz w:val="20"/>
                <w:szCs w:val="20"/>
              </w:rPr>
            </w:pPr>
          </w:p>
          <w:p w14:paraId="71A76339" w14:textId="16F54F73" w:rsidR="00EB243D" w:rsidRPr="00154588" w:rsidRDefault="00EB243D" w:rsidP="008C12B4">
            <w:pPr>
              <w:jc w:val="both"/>
              <w:rPr>
                <w:sz w:val="20"/>
                <w:szCs w:val="20"/>
              </w:rPr>
            </w:pPr>
            <w:r w:rsidRPr="00154588">
              <w:rPr>
                <w:sz w:val="20"/>
                <w:szCs w:val="20"/>
              </w:rPr>
              <w:t>(b) rezilierea sau modificarea, prin exercitarea competențelor auxiliare, a activelor, drepturilor și pasivelor care reprezintă o parte sau totalitatea unui mecanism de finanțare structurată, inclusiv a mecanismelor menționate la articolul 76 alineatul (2) literele (e) și (f), la care instituția de credit aflată în rezoluție este parte.</w:t>
            </w:r>
          </w:p>
        </w:tc>
        <w:tc>
          <w:tcPr>
            <w:tcW w:w="4819" w:type="dxa"/>
          </w:tcPr>
          <w:p w14:paraId="64A5ABA8" w14:textId="77777777" w:rsidR="00EB243D" w:rsidRPr="00154588" w:rsidRDefault="00EB243D" w:rsidP="008C12B4">
            <w:pPr>
              <w:ind w:firstLine="567"/>
              <w:jc w:val="both"/>
              <w:rPr>
                <w:rFonts w:eastAsia="Calibri"/>
                <w:sz w:val="20"/>
                <w:szCs w:val="18"/>
              </w:rPr>
            </w:pPr>
            <w:r w:rsidRPr="00154588">
              <w:rPr>
                <w:rFonts w:eastAsia="Calibri"/>
                <w:b/>
                <w:sz w:val="20"/>
                <w:szCs w:val="18"/>
              </w:rPr>
              <w:t>Articolul</w:t>
            </w:r>
            <w:r w:rsidRPr="00154588">
              <w:rPr>
                <w:rFonts w:eastAsia="Calibri"/>
                <w:sz w:val="20"/>
                <w:szCs w:val="18"/>
              </w:rPr>
              <w:t xml:space="preserve"> </w:t>
            </w:r>
            <w:r w:rsidRPr="00154588">
              <w:rPr>
                <w:rFonts w:eastAsia="Calibri"/>
                <w:b/>
                <w:sz w:val="20"/>
                <w:szCs w:val="18"/>
              </w:rPr>
              <w:t>272.</w:t>
            </w:r>
            <w:r w:rsidRPr="00154588">
              <w:rPr>
                <w:rFonts w:eastAsia="Calibri"/>
                <w:sz w:val="20"/>
                <w:szCs w:val="18"/>
              </w:rPr>
              <w:t xml:space="preserve"> – Mecanismele de finanţare structurată, inclusiv mecanismele prevăzute la art.268 alin.(1) lit.e) şi f), beneficiază de o protecţie adecvată pentru a împiedica:</w:t>
            </w:r>
          </w:p>
          <w:p w14:paraId="42B732C2" w14:textId="77777777" w:rsidR="00EB243D" w:rsidRPr="00154588" w:rsidRDefault="00EB243D" w:rsidP="008C12B4">
            <w:pPr>
              <w:ind w:firstLine="567"/>
              <w:jc w:val="both"/>
              <w:rPr>
                <w:rFonts w:eastAsia="Calibri"/>
                <w:sz w:val="20"/>
                <w:szCs w:val="20"/>
              </w:rPr>
            </w:pPr>
            <w:r w:rsidRPr="00154588">
              <w:rPr>
                <w:rFonts w:eastAsia="Calibri"/>
                <w:sz w:val="20"/>
                <w:szCs w:val="20"/>
              </w:rPr>
              <w:t>a) transferul unor părţi, dar nu a totalităţii activelor, drepturilor şi obligaţiilor care reprezintă o parte a mecanismului de finanţare structurată, inclusiv a mecanismelor prevăzute la art.268 alin.(1) lit.e) şi f), la care instituția supusă rezoluţiei este parte;</w:t>
            </w:r>
          </w:p>
          <w:p w14:paraId="4E5F434B" w14:textId="67B03DE8" w:rsidR="00EB243D" w:rsidRPr="00154588" w:rsidRDefault="00EB243D" w:rsidP="008C12B4">
            <w:pPr>
              <w:ind w:firstLine="567"/>
              <w:jc w:val="both"/>
              <w:rPr>
                <w:rFonts w:eastAsia="Calibri"/>
                <w:sz w:val="24"/>
                <w:szCs w:val="24"/>
              </w:rPr>
            </w:pPr>
            <w:r w:rsidRPr="00154588">
              <w:rPr>
                <w:rFonts w:eastAsia="Calibri"/>
                <w:sz w:val="20"/>
                <w:szCs w:val="20"/>
              </w:rPr>
              <w:t>b) modificarea sau rezilierea ori lichidarea, în virtutea exercitării de către Banca Naţională a Moldovei a competenţelor auxiliare, a activelor, drepturilor şi obligaţiilor care reprezintă o parte a mecanismului de finanţare structurată, inclusiv a mecanismelor prevăzute la art.268 alin.(1) lit.e) şi f), la care instituția supusă rezoluţiei este parte.</w:t>
            </w:r>
          </w:p>
        </w:tc>
        <w:tc>
          <w:tcPr>
            <w:tcW w:w="2552" w:type="dxa"/>
          </w:tcPr>
          <w:p w14:paraId="6057B558" w14:textId="77D8309C" w:rsidR="00EB243D" w:rsidRPr="00154588" w:rsidRDefault="00EB243D" w:rsidP="008C12B4">
            <w:pPr>
              <w:jc w:val="both"/>
              <w:rPr>
                <w:sz w:val="20"/>
                <w:szCs w:val="20"/>
              </w:rPr>
            </w:pPr>
            <w:r w:rsidRPr="00154588">
              <w:rPr>
                <w:sz w:val="20"/>
                <w:szCs w:val="20"/>
              </w:rPr>
              <w:t>Compatibil</w:t>
            </w:r>
          </w:p>
        </w:tc>
        <w:tc>
          <w:tcPr>
            <w:tcW w:w="3118" w:type="dxa"/>
          </w:tcPr>
          <w:p w14:paraId="1FD4D992" w14:textId="77777777" w:rsidR="00EB243D" w:rsidRPr="00154588" w:rsidRDefault="00EB243D" w:rsidP="008C12B4">
            <w:pPr>
              <w:jc w:val="both"/>
              <w:rPr>
                <w:sz w:val="20"/>
                <w:szCs w:val="20"/>
              </w:rPr>
            </w:pPr>
          </w:p>
        </w:tc>
      </w:tr>
      <w:tr w:rsidR="00EB243D" w:rsidRPr="00154588" w14:paraId="780BC43C" w14:textId="77777777" w:rsidTr="00D15C1B">
        <w:trPr>
          <w:jc w:val="center"/>
        </w:trPr>
        <w:tc>
          <w:tcPr>
            <w:tcW w:w="4957" w:type="dxa"/>
            <w:gridSpan w:val="2"/>
          </w:tcPr>
          <w:p w14:paraId="768ADD0F" w14:textId="77777777" w:rsidR="00EB243D" w:rsidRPr="00154588" w:rsidRDefault="00EB243D" w:rsidP="008C12B4">
            <w:pPr>
              <w:jc w:val="both"/>
              <w:rPr>
                <w:sz w:val="20"/>
                <w:szCs w:val="20"/>
              </w:rPr>
            </w:pPr>
            <w:r w:rsidRPr="00154588">
              <w:rPr>
                <w:sz w:val="20"/>
                <w:szCs w:val="20"/>
              </w:rPr>
              <w:t>(2)   În pofida alineatului (1), atunci când este necesar pentru asigurarea disponibilității depozitelor acoperite autoritatea de rezoluție poate:</w:t>
            </w:r>
          </w:p>
          <w:p w14:paraId="4B7C583E" w14:textId="77777777" w:rsidR="00EB243D" w:rsidRPr="00154588" w:rsidRDefault="00EB243D" w:rsidP="008C12B4">
            <w:pPr>
              <w:jc w:val="both"/>
              <w:rPr>
                <w:sz w:val="20"/>
                <w:szCs w:val="20"/>
              </w:rPr>
            </w:pPr>
          </w:p>
          <w:p w14:paraId="2F2BB58D" w14:textId="2E1735EC" w:rsidR="00EB243D" w:rsidRPr="00154588" w:rsidRDefault="00EB243D" w:rsidP="008C12B4">
            <w:pPr>
              <w:jc w:val="both"/>
              <w:rPr>
                <w:sz w:val="20"/>
                <w:szCs w:val="20"/>
              </w:rPr>
            </w:pPr>
            <w:r w:rsidRPr="00154588">
              <w:rPr>
                <w:sz w:val="20"/>
                <w:szCs w:val="20"/>
              </w:rPr>
              <w:t>(a) să transfere depozite acoperite care fac parte din mecanismele menționate la alineatul (1) fără a transfera alte active, drepturi și pasive care fac parte din același mecanism, și</w:t>
            </w:r>
          </w:p>
          <w:p w14:paraId="3AE0C1AF" w14:textId="77777777" w:rsidR="00EB243D" w:rsidRPr="00154588" w:rsidRDefault="00EB243D" w:rsidP="008C12B4">
            <w:pPr>
              <w:jc w:val="both"/>
              <w:rPr>
                <w:sz w:val="20"/>
                <w:szCs w:val="20"/>
              </w:rPr>
            </w:pPr>
          </w:p>
          <w:p w14:paraId="58BE8D03" w14:textId="77777777" w:rsidR="00EB243D" w:rsidRPr="00154588" w:rsidRDefault="00EB243D" w:rsidP="008C12B4">
            <w:pPr>
              <w:jc w:val="both"/>
              <w:rPr>
                <w:sz w:val="20"/>
                <w:szCs w:val="20"/>
              </w:rPr>
            </w:pPr>
          </w:p>
          <w:p w14:paraId="7C7C2C2F" w14:textId="130AAC78" w:rsidR="00EB243D" w:rsidRPr="00154588" w:rsidRDefault="00EB243D" w:rsidP="008C12B4">
            <w:pPr>
              <w:jc w:val="both"/>
              <w:rPr>
                <w:sz w:val="20"/>
                <w:szCs w:val="20"/>
              </w:rPr>
            </w:pPr>
            <w:r w:rsidRPr="00154588">
              <w:rPr>
                <w:sz w:val="20"/>
                <w:szCs w:val="20"/>
              </w:rPr>
              <w:t>(b) să transfere, să modifice sau să rezilieze acele active, drepturi sau pasive fără a transfera depozitele acoperite.</w:t>
            </w:r>
          </w:p>
        </w:tc>
        <w:tc>
          <w:tcPr>
            <w:tcW w:w="4819" w:type="dxa"/>
          </w:tcPr>
          <w:p w14:paraId="4B5249AC" w14:textId="77777777" w:rsidR="00EB243D" w:rsidRPr="00154588" w:rsidRDefault="00EB243D" w:rsidP="008C12B4">
            <w:pPr>
              <w:ind w:firstLine="567"/>
              <w:jc w:val="both"/>
              <w:rPr>
                <w:rFonts w:eastAsia="Calibri"/>
                <w:sz w:val="20"/>
                <w:szCs w:val="20"/>
              </w:rPr>
            </w:pPr>
            <w:r w:rsidRPr="00154588">
              <w:rPr>
                <w:rFonts w:eastAsia="Calibri"/>
                <w:b/>
                <w:sz w:val="20"/>
                <w:szCs w:val="20"/>
              </w:rPr>
              <w:t>Articolul 273.</w:t>
            </w:r>
            <w:r w:rsidRPr="00154588">
              <w:rPr>
                <w:rFonts w:eastAsia="Calibri"/>
                <w:sz w:val="20"/>
                <w:szCs w:val="20"/>
              </w:rPr>
              <w:t xml:space="preserve"> – Prin excepţie de la prevederile art.272, pentru a asigura disponibilitatea depozitelor acoperite, Banca Naţională a Moldovei, în calitate de autoritate de rezoluţie, poate impune:</w:t>
            </w:r>
          </w:p>
          <w:p w14:paraId="2EE130F0" w14:textId="77777777" w:rsidR="00EB243D" w:rsidRPr="00154588" w:rsidRDefault="00EB243D" w:rsidP="008C12B4">
            <w:pPr>
              <w:ind w:firstLine="567"/>
              <w:jc w:val="both"/>
              <w:rPr>
                <w:rFonts w:eastAsia="Calibri"/>
                <w:sz w:val="20"/>
                <w:szCs w:val="20"/>
              </w:rPr>
            </w:pPr>
            <w:r w:rsidRPr="00154588">
              <w:rPr>
                <w:rFonts w:eastAsia="Calibri"/>
                <w:sz w:val="20"/>
                <w:szCs w:val="20"/>
              </w:rPr>
              <w:t>a) transferul depozitelor acoperite care fac parte din mecanismele prevăzute la art.272, fără a transfera alte active, drepturi sau obligaţii care fac parte din cadrul aceluiaşi mecanism;</w:t>
            </w:r>
          </w:p>
          <w:p w14:paraId="2A607081" w14:textId="50A946D8" w:rsidR="00EB243D" w:rsidRPr="00154588" w:rsidRDefault="00EB243D" w:rsidP="008C12B4">
            <w:pPr>
              <w:ind w:firstLine="567"/>
              <w:jc w:val="both"/>
              <w:rPr>
                <w:rFonts w:eastAsia="Calibri"/>
                <w:sz w:val="24"/>
                <w:szCs w:val="24"/>
              </w:rPr>
            </w:pPr>
            <w:r w:rsidRPr="00154588">
              <w:rPr>
                <w:rFonts w:eastAsia="Calibri"/>
                <w:sz w:val="20"/>
                <w:szCs w:val="20"/>
              </w:rPr>
              <w:t>b) transferul, modificarea, rezilierea sau lichidarea acelor active, drepturi sau obligaţii, fără a transfera depozitele acoperite.</w:t>
            </w:r>
          </w:p>
        </w:tc>
        <w:tc>
          <w:tcPr>
            <w:tcW w:w="2552" w:type="dxa"/>
          </w:tcPr>
          <w:p w14:paraId="44371B05" w14:textId="66D552D7" w:rsidR="00EB243D" w:rsidRPr="00154588" w:rsidRDefault="00EB243D" w:rsidP="008C12B4">
            <w:pPr>
              <w:jc w:val="both"/>
              <w:rPr>
                <w:sz w:val="20"/>
                <w:szCs w:val="20"/>
              </w:rPr>
            </w:pPr>
            <w:r w:rsidRPr="00154588">
              <w:rPr>
                <w:sz w:val="20"/>
                <w:szCs w:val="20"/>
              </w:rPr>
              <w:t>Compatibil</w:t>
            </w:r>
          </w:p>
        </w:tc>
        <w:tc>
          <w:tcPr>
            <w:tcW w:w="3118" w:type="dxa"/>
          </w:tcPr>
          <w:p w14:paraId="111472A0" w14:textId="77777777" w:rsidR="00EB243D" w:rsidRPr="00154588" w:rsidRDefault="00EB243D" w:rsidP="008C12B4">
            <w:pPr>
              <w:jc w:val="both"/>
              <w:rPr>
                <w:sz w:val="20"/>
                <w:szCs w:val="20"/>
              </w:rPr>
            </w:pPr>
          </w:p>
        </w:tc>
      </w:tr>
      <w:tr w:rsidR="00EB243D" w:rsidRPr="00154588" w14:paraId="0C086F4A" w14:textId="77777777" w:rsidTr="00D15C1B">
        <w:trPr>
          <w:jc w:val="center"/>
        </w:trPr>
        <w:tc>
          <w:tcPr>
            <w:tcW w:w="4957" w:type="dxa"/>
            <w:gridSpan w:val="2"/>
          </w:tcPr>
          <w:p w14:paraId="534322F9" w14:textId="77777777" w:rsidR="00EB243D" w:rsidRPr="00154588" w:rsidRDefault="00EB243D" w:rsidP="008C12B4">
            <w:pPr>
              <w:jc w:val="both"/>
              <w:rPr>
                <w:b/>
                <w:sz w:val="20"/>
                <w:szCs w:val="20"/>
              </w:rPr>
            </w:pPr>
            <w:r w:rsidRPr="00154588">
              <w:rPr>
                <w:b/>
                <w:sz w:val="20"/>
                <w:szCs w:val="20"/>
              </w:rPr>
              <w:t>Articolul 80</w:t>
            </w:r>
          </w:p>
          <w:p w14:paraId="51A19B13" w14:textId="77777777" w:rsidR="00EB243D" w:rsidRPr="00154588" w:rsidRDefault="00EB243D" w:rsidP="008C12B4">
            <w:pPr>
              <w:jc w:val="both"/>
              <w:rPr>
                <w:b/>
                <w:sz w:val="20"/>
                <w:szCs w:val="20"/>
              </w:rPr>
            </w:pPr>
          </w:p>
          <w:p w14:paraId="1A41F0A0" w14:textId="3FC701F7" w:rsidR="00EB243D" w:rsidRPr="00154588" w:rsidRDefault="00EB243D" w:rsidP="008C12B4">
            <w:pPr>
              <w:jc w:val="both"/>
              <w:rPr>
                <w:sz w:val="20"/>
                <w:szCs w:val="20"/>
              </w:rPr>
            </w:pPr>
            <w:r w:rsidRPr="00154588">
              <w:rPr>
                <w:b/>
                <w:sz w:val="20"/>
                <w:szCs w:val="20"/>
              </w:rPr>
              <w:t>Transferuri parțiale: protecția sistemelor de tranzacționare, decontare și compensare</w:t>
            </w:r>
          </w:p>
        </w:tc>
        <w:tc>
          <w:tcPr>
            <w:tcW w:w="4819" w:type="dxa"/>
          </w:tcPr>
          <w:p w14:paraId="443FB872" w14:textId="77777777" w:rsidR="00EB243D" w:rsidRPr="00154588" w:rsidRDefault="00EB243D" w:rsidP="008C12B4">
            <w:pPr>
              <w:jc w:val="both"/>
              <w:rPr>
                <w:sz w:val="20"/>
                <w:szCs w:val="20"/>
              </w:rPr>
            </w:pPr>
          </w:p>
        </w:tc>
        <w:tc>
          <w:tcPr>
            <w:tcW w:w="2552" w:type="dxa"/>
          </w:tcPr>
          <w:p w14:paraId="5035CFF0" w14:textId="77777777" w:rsidR="00EB243D" w:rsidRPr="00154588" w:rsidRDefault="00EB243D" w:rsidP="008C12B4">
            <w:pPr>
              <w:jc w:val="both"/>
              <w:rPr>
                <w:sz w:val="20"/>
                <w:szCs w:val="20"/>
              </w:rPr>
            </w:pPr>
          </w:p>
        </w:tc>
        <w:tc>
          <w:tcPr>
            <w:tcW w:w="3118" w:type="dxa"/>
          </w:tcPr>
          <w:p w14:paraId="3B77132A" w14:textId="77777777" w:rsidR="00EB243D" w:rsidRPr="00154588" w:rsidRDefault="00EB243D" w:rsidP="008C12B4">
            <w:pPr>
              <w:jc w:val="both"/>
              <w:rPr>
                <w:sz w:val="20"/>
                <w:szCs w:val="20"/>
              </w:rPr>
            </w:pPr>
          </w:p>
        </w:tc>
      </w:tr>
      <w:tr w:rsidR="00EB243D" w:rsidRPr="00154588" w14:paraId="712E2636" w14:textId="77777777" w:rsidTr="00D15C1B">
        <w:trPr>
          <w:jc w:val="center"/>
        </w:trPr>
        <w:tc>
          <w:tcPr>
            <w:tcW w:w="4957" w:type="dxa"/>
            <w:gridSpan w:val="2"/>
          </w:tcPr>
          <w:p w14:paraId="7A29F3CC" w14:textId="77777777" w:rsidR="00EB243D" w:rsidRPr="00154588" w:rsidRDefault="00EB243D" w:rsidP="008C12B4">
            <w:pPr>
              <w:jc w:val="both"/>
              <w:rPr>
                <w:sz w:val="20"/>
                <w:szCs w:val="20"/>
              </w:rPr>
            </w:pPr>
            <w:r w:rsidRPr="00154588">
              <w:rPr>
                <w:sz w:val="20"/>
                <w:szCs w:val="20"/>
              </w:rPr>
              <w:t>(1)   Statele membre se asigură că aplicarea unui instrument de rezoluție nu afectează nici normele referitoare la sistemele reglementate de Directiva 98/26/CE, nici funcționarea acestora, atunci când autoritatea de rezoluție:</w:t>
            </w:r>
          </w:p>
          <w:p w14:paraId="7243E2B0" w14:textId="77777777" w:rsidR="00EB243D" w:rsidRPr="00154588" w:rsidRDefault="00EB243D" w:rsidP="008C12B4">
            <w:pPr>
              <w:jc w:val="both"/>
              <w:rPr>
                <w:sz w:val="20"/>
                <w:szCs w:val="20"/>
              </w:rPr>
            </w:pPr>
          </w:p>
          <w:p w14:paraId="1E18900B" w14:textId="00E87E5A" w:rsidR="00EB243D" w:rsidRPr="00154588" w:rsidRDefault="00EB243D" w:rsidP="008C12B4">
            <w:pPr>
              <w:jc w:val="both"/>
              <w:rPr>
                <w:sz w:val="20"/>
                <w:szCs w:val="20"/>
              </w:rPr>
            </w:pPr>
            <w:r w:rsidRPr="00154588">
              <w:rPr>
                <w:sz w:val="20"/>
                <w:szCs w:val="20"/>
              </w:rPr>
              <w:lastRenderedPageBreak/>
              <w:t>(a) transferă o parte, dar nu totalitatea activelor, drepturilor sau pasivelor unei instituții aflate în rezoluție către o altă entitate; sau</w:t>
            </w:r>
          </w:p>
          <w:p w14:paraId="2F5AA5F4" w14:textId="77777777" w:rsidR="00EB243D" w:rsidRPr="00154588" w:rsidRDefault="00EB243D" w:rsidP="008C12B4">
            <w:pPr>
              <w:jc w:val="both"/>
              <w:rPr>
                <w:sz w:val="20"/>
                <w:szCs w:val="20"/>
              </w:rPr>
            </w:pPr>
          </w:p>
          <w:p w14:paraId="7E858C0A" w14:textId="315C6949" w:rsidR="00EB243D" w:rsidRPr="00154588" w:rsidRDefault="00EB243D" w:rsidP="008C12B4">
            <w:pPr>
              <w:jc w:val="both"/>
              <w:rPr>
                <w:sz w:val="20"/>
                <w:szCs w:val="20"/>
              </w:rPr>
            </w:pPr>
            <w:r w:rsidRPr="00154588">
              <w:rPr>
                <w:sz w:val="20"/>
                <w:szCs w:val="20"/>
              </w:rPr>
              <w:t>(b) exercită competențele prevăzute la articolul 64 pentru a anula sau modifica clauzele unui contract la care instituția aflată în rezoluție este parte sau pentru a înlocui un destinatar ca parte semnatară;</w:t>
            </w:r>
          </w:p>
        </w:tc>
        <w:tc>
          <w:tcPr>
            <w:tcW w:w="4819" w:type="dxa"/>
          </w:tcPr>
          <w:p w14:paraId="320EB0C3" w14:textId="77777777" w:rsidR="00EB243D" w:rsidRPr="00154588" w:rsidRDefault="00EB243D" w:rsidP="008C12B4">
            <w:pPr>
              <w:ind w:firstLine="567"/>
              <w:jc w:val="both"/>
              <w:rPr>
                <w:rFonts w:eastAsia="Calibri"/>
                <w:sz w:val="20"/>
                <w:szCs w:val="18"/>
              </w:rPr>
            </w:pPr>
            <w:r w:rsidRPr="00154588">
              <w:rPr>
                <w:rFonts w:eastAsia="Calibri"/>
                <w:b/>
                <w:sz w:val="20"/>
                <w:szCs w:val="18"/>
              </w:rPr>
              <w:lastRenderedPageBreak/>
              <w:t>Articolul</w:t>
            </w:r>
            <w:r w:rsidRPr="00154588">
              <w:rPr>
                <w:rFonts w:eastAsia="Calibri"/>
                <w:sz w:val="20"/>
                <w:szCs w:val="18"/>
              </w:rPr>
              <w:t xml:space="preserve"> </w:t>
            </w:r>
            <w:r w:rsidRPr="00154588">
              <w:rPr>
                <w:rFonts w:eastAsia="Calibri"/>
                <w:b/>
                <w:sz w:val="20"/>
                <w:szCs w:val="18"/>
              </w:rPr>
              <w:t>274.</w:t>
            </w:r>
            <w:r w:rsidRPr="00154588">
              <w:rPr>
                <w:rFonts w:eastAsia="Calibri"/>
                <w:sz w:val="20"/>
                <w:szCs w:val="18"/>
              </w:rPr>
              <w:t xml:space="preserve"> – Aplicarea unui instrument de rezoluţie nu trebuie să afecteze sistemele, definite conform Legii nr.183</w:t>
            </w:r>
            <w:r w:rsidRPr="00154588">
              <w:rPr>
                <w:sz w:val="20"/>
                <w:szCs w:val="20"/>
                <w:lang w:eastAsia="ro-MD"/>
              </w:rPr>
              <w:t>/</w:t>
            </w:r>
            <w:r w:rsidRPr="00154588">
              <w:rPr>
                <w:rFonts w:eastAsia="Calibri"/>
                <w:sz w:val="20"/>
                <w:szCs w:val="18"/>
              </w:rPr>
              <w:t xml:space="preserve">2016 cu privire la caracterul definitiv al decontării în sistemele de plăţi şi de decontare a instrumentelor financiare, şi nici </w:t>
            </w:r>
            <w:r w:rsidRPr="00154588">
              <w:rPr>
                <w:rFonts w:eastAsia="Calibri"/>
                <w:sz w:val="20"/>
                <w:szCs w:val="18"/>
              </w:rPr>
              <w:lastRenderedPageBreak/>
              <w:t>funcţionarea acestora, atunci cînd Banca Naţională a Moldovei, în calitate de autoritate de rezoluţie:</w:t>
            </w:r>
          </w:p>
          <w:p w14:paraId="789FEA66" w14:textId="77777777" w:rsidR="00EB243D" w:rsidRPr="00154588" w:rsidRDefault="00EB243D" w:rsidP="008C12B4">
            <w:pPr>
              <w:ind w:firstLine="567"/>
              <w:jc w:val="both"/>
              <w:rPr>
                <w:rFonts w:eastAsia="Calibri"/>
                <w:sz w:val="20"/>
                <w:szCs w:val="20"/>
              </w:rPr>
            </w:pPr>
            <w:r w:rsidRPr="00154588">
              <w:rPr>
                <w:rFonts w:eastAsia="Calibri"/>
                <w:sz w:val="20"/>
                <w:szCs w:val="20"/>
              </w:rPr>
              <w:t>a) transferă doar o parte, dar nu totalitatea activelor, drepturilor sau obligaţiilor unei instituții supuse rezoluţiei către o altă entitate; sau</w:t>
            </w:r>
          </w:p>
          <w:p w14:paraId="77966887" w14:textId="1D19D2E3" w:rsidR="00EB243D" w:rsidRPr="00154588" w:rsidRDefault="00EB243D" w:rsidP="008C12B4">
            <w:pPr>
              <w:ind w:firstLine="567"/>
              <w:jc w:val="both"/>
              <w:rPr>
                <w:rFonts w:eastAsia="Calibri"/>
                <w:sz w:val="24"/>
                <w:szCs w:val="24"/>
              </w:rPr>
            </w:pPr>
            <w:r w:rsidRPr="00154588">
              <w:rPr>
                <w:rFonts w:eastAsia="Calibri"/>
                <w:sz w:val="20"/>
                <w:szCs w:val="20"/>
              </w:rPr>
              <w:t>b) exercită competenţele prevăzute de prezenta lege de eliminare sau modificare a clauzelor unui contract la care instituția supusă rezoluţiei este parte sau de înlocuire a instituției supuse rezoluţiei cu un destinatar, ca parte contractantă.</w:t>
            </w:r>
          </w:p>
        </w:tc>
        <w:tc>
          <w:tcPr>
            <w:tcW w:w="2552" w:type="dxa"/>
          </w:tcPr>
          <w:p w14:paraId="6918A441" w14:textId="7618A5BE" w:rsidR="00EB243D" w:rsidRPr="00154588" w:rsidRDefault="00EB243D" w:rsidP="008C12B4">
            <w:pPr>
              <w:jc w:val="both"/>
              <w:rPr>
                <w:sz w:val="20"/>
                <w:szCs w:val="20"/>
              </w:rPr>
            </w:pPr>
            <w:r w:rsidRPr="00154588">
              <w:rPr>
                <w:sz w:val="20"/>
                <w:szCs w:val="20"/>
              </w:rPr>
              <w:lastRenderedPageBreak/>
              <w:t>Compatibil</w:t>
            </w:r>
          </w:p>
        </w:tc>
        <w:tc>
          <w:tcPr>
            <w:tcW w:w="3118" w:type="dxa"/>
          </w:tcPr>
          <w:p w14:paraId="7162460D" w14:textId="77777777" w:rsidR="00EB243D" w:rsidRPr="00154588" w:rsidRDefault="00EB243D" w:rsidP="008C12B4">
            <w:pPr>
              <w:jc w:val="both"/>
              <w:rPr>
                <w:sz w:val="20"/>
                <w:szCs w:val="20"/>
              </w:rPr>
            </w:pPr>
          </w:p>
        </w:tc>
      </w:tr>
      <w:tr w:rsidR="00EB243D" w:rsidRPr="00154588" w14:paraId="3A6DA3B2" w14:textId="77777777" w:rsidTr="00D15C1B">
        <w:trPr>
          <w:jc w:val="center"/>
        </w:trPr>
        <w:tc>
          <w:tcPr>
            <w:tcW w:w="4957" w:type="dxa"/>
            <w:gridSpan w:val="2"/>
          </w:tcPr>
          <w:p w14:paraId="3A978C8B" w14:textId="338E7EAB" w:rsidR="00EB243D" w:rsidRPr="00154588" w:rsidRDefault="00EB243D" w:rsidP="008C12B4">
            <w:pPr>
              <w:jc w:val="both"/>
              <w:rPr>
                <w:sz w:val="20"/>
                <w:szCs w:val="20"/>
              </w:rPr>
            </w:pPr>
            <w:r w:rsidRPr="00154588">
              <w:rPr>
                <w:sz w:val="20"/>
                <w:szCs w:val="20"/>
              </w:rPr>
              <w:t>(2)   În special, transferul, anularea sau modificarea menționată la alineatul (1) din prezentul articol nu revocă un ordin de transfer contravenind articolului 5 din Directiva 98/26/CE și nici nu modifică sau anulează caracterul executoriu al ordinelor de transfer și al compensării în conformitate cu articolele 3 și 5 din respectiva directivă, utilizarea de fonduri, titluri de valoare sau facilități de credit în conformitate cu dispozițiile articolului 4 din respectiva directivă sau protecția garanțiilor suplimentare în conformitate cu articolul 9 din respectiva directivă.</w:t>
            </w:r>
          </w:p>
        </w:tc>
        <w:tc>
          <w:tcPr>
            <w:tcW w:w="4819" w:type="dxa"/>
          </w:tcPr>
          <w:p w14:paraId="36AA0C1C" w14:textId="77777777" w:rsidR="00EB243D" w:rsidRPr="00154588" w:rsidRDefault="00EB243D" w:rsidP="008C12B4">
            <w:pPr>
              <w:ind w:firstLine="567"/>
              <w:jc w:val="both"/>
              <w:rPr>
                <w:rFonts w:eastAsia="Calibri"/>
                <w:sz w:val="20"/>
                <w:szCs w:val="18"/>
              </w:rPr>
            </w:pPr>
            <w:r w:rsidRPr="00154588">
              <w:rPr>
                <w:rFonts w:eastAsia="Calibri"/>
                <w:b/>
                <w:sz w:val="20"/>
                <w:szCs w:val="18"/>
              </w:rPr>
              <w:t>Articolul 275.</w:t>
            </w:r>
            <w:r w:rsidRPr="00154588">
              <w:rPr>
                <w:rFonts w:eastAsia="Calibri"/>
                <w:sz w:val="20"/>
                <w:szCs w:val="18"/>
              </w:rPr>
              <w:t xml:space="preserve"> – Orice transfer, eliminare sau modificare a clauzelor prevăzute la art.274 va ţine cont de caracterul executoriu al ordinelor de transfer şi al compensării, nu va împiedica utilizarea de fonduri, titluri de valoare sau facilităţi de credit ori protecţia garanţiilor suplimentare şi se va realiza cu respectarea dispoziţiilor art.276.</w:t>
            </w:r>
          </w:p>
          <w:p w14:paraId="1AEB6A57" w14:textId="0F6C3612" w:rsidR="00EB243D" w:rsidRPr="00154588" w:rsidRDefault="00EB243D" w:rsidP="008C12B4">
            <w:pPr>
              <w:ind w:firstLine="567"/>
              <w:jc w:val="both"/>
              <w:rPr>
                <w:rFonts w:eastAsia="Calibri"/>
                <w:sz w:val="20"/>
                <w:szCs w:val="18"/>
              </w:rPr>
            </w:pPr>
            <w:r w:rsidRPr="00154588">
              <w:rPr>
                <w:rFonts w:eastAsia="Calibri"/>
                <w:b/>
                <w:sz w:val="20"/>
                <w:szCs w:val="18"/>
              </w:rPr>
              <w:t>Articolul 276. –</w:t>
            </w:r>
            <w:r w:rsidRPr="00154588">
              <w:rPr>
                <w:rFonts w:eastAsia="Calibri"/>
                <w:sz w:val="20"/>
                <w:szCs w:val="18"/>
              </w:rPr>
              <w:t xml:space="preserve"> În aplicarea dispoziţiilor art.274 şi 275 se vor folosi dispoziţiile Legii nr.183</w:t>
            </w:r>
            <w:r w:rsidRPr="00154588">
              <w:rPr>
                <w:sz w:val="20"/>
                <w:szCs w:val="20"/>
                <w:lang w:eastAsia="ro-MD"/>
              </w:rPr>
              <w:t>/</w:t>
            </w:r>
            <w:r w:rsidRPr="00154588">
              <w:rPr>
                <w:rFonts w:eastAsia="Calibri"/>
                <w:sz w:val="20"/>
                <w:szCs w:val="18"/>
              </w:rPr>
              <w:t>2016 cu privire la caracterul definitiv al decontării în sistemele de plăţi şi de decontare a instrumentelor financiare.</w:t>
            </w:r>
          </w:p>
          <w:p w14:paraId="4D017CBC" w14:textId="77777777" w:rsidR="00EB243D" w:rsidRPr="00154588" w:rsidRDefault="00EB243D" w:rsidP="008C12B4">
            <w:pPr>
              <w:jc w:val="both"/>
              <w:rPr>
                <w:sz w:val="20"/>
                <w:szCs w:val="20"/>
              </w:rPr>
            </w:pPr>
          </w:p>
        </w:tc>
        <w:tc>
          <w:tcPr>
            <w:tcW w:w="2552" w:type="dxa"/>
          </w:tcPr>
          <w:p w14:paraId="218E0628" w14:textId="471EFBDD" w:rsidR="00EB243D" w:rsidRPr="00154588" w:rsidRDefault="00EB243D" w:rsidP="008C12B4">
            <w:pPr>
              <w:jc w:val="both"/>
              <w:rPr>
                <w:sz w:val="20"/>
                <w:szCs w:val="20"/>
              </w:rPr>
            </w:pPr>
            <w:r w:rsidRPr="00154588">
              <w:rPr>
                <w:sz w:val="20"/>
                <w:szCs w:val="20"/>
              </w:rPr>
              <w:t>Compatibil</w:t>
            </w:r>
          </w:p>
        </w:tc>
        <w:tc>
          <w:tcPr>
            <w:tcW w:w="3118" w:type="dxa"/>
          </w:tcPr>
          <w:p w14:paraId="608EFD4D" w14:textId="77777777" w:rsidR="00EB243D" w:rsidRPr="00154588" w:rsidRDefault="00EB243D" w:rsidP="008C12B4">
            <w:pPr>
              <w:jc w:val="both"/>
              <w:rPr>
                <w:sz w:val="20"/>
                <w:szCs w:val="20"/>
              </w:rPr>
            </w:pPr>
          </w:p>
        </w:tc>
      </w:tr>
      <w:tr w:rsidR="00EB243D" w:rsidRPr="00154588" w14:paraId="649DD4BE" w14:textId="77777777" w:rsidTr="00D15C1B">
        <w:trPr>
          <w:jc w:val="center"/>
        </w:trPr>
        <w:tc>
          <w:tcPr>
            <w:tcW w:w="4957" w:type="dxa"/>
            <w:gridSpan w:val="2"/>
          </w:tcPr>
          <w:p w14:paraId="3DF32A69" w14:textId="77777777" w:rsidR="00EB243D" w:rsidRPr="00154588" w:rsidRDefault="00EB243D" w:rsidP="008C12B4">
            <w:pPr>
              <w:jc w:val="both"/>
              <w:rPr>
                <w:b/>
                <w:sz w:val="20"/>
                <w:szCs w:val="20"/>
              </w:rPr>
            </w:pPr>
            <w:r w:rsidRPr="00154588">
              <w:rPr>
                <w:b/>
                <w:sz w:val="20"/>
                <w:szCs w:val="20"/>
              </w:rPr>
              <w:t>CAPITOLUL VIII</w:t>
            </w:r>
          </w:p>
          <w:p w14:paraId="34AED6DC" w14:textId="77777777" w:rsidR="00EB243D" w:rsidRPr="00154588" w:rsidRDefault="00EB243D" w:rsidP="008C12B4">
            <w:pPr>
              <w:jc w:val="both"/>
              <w:rPr>
                <w:b/>
                <w:sz w:val="20"/>
                <w:szCs w:val="20"/>
              </w:rPr>
            </w:pPr>
          </w:p>
          <w:p w14:paraId="647C030E" w14:textId="32759229" w:rsidR="00EB243D" w:rsidRPr="00154588" w:rsidRDefault="00EB243D" w:rsidP="008C12B4">
            <w:pPr>
              <w:jc w:val="both"/>
              <w:rPr>
                <w:sz w:val="20"/>
                <w:szCs w:val="20"/>
              </w:rPr>
            </w:pPr>
            <w:r w:rsidRPr="00154588">
              <w:rPr>
                <w:b/>
                <w:sz w:val="20"/>
                <w:szCs w:val="20"/>
              </w:rPr>
              <w:t>Obligații procedurale</w:t>
            </w:r>
          </w:p>
        </w:tc>
        <w:tc>
          <w:tcPr>
            <w:tcW w:w="4819" w:type="dxa"/>
          </w:tcPr>
          <w:p w14:paraId="4D078F95" w14:textId="77777777" w:rsidR="00EB243D" w:rsidRPr="00154588" w:rsidRDefault="00EB243D" w:rsidP="008C12B4">
            <w:pPr>
              <w:jc w:val="center"/>
              <w:rPr>
                <w:rFonts w:eastAsia="Calibri"/>
                <w:b/>
                <w:sz w:val="20"/>
                <w:szCs w:val="18"/>
              </w:rPr>
            </w:pPr>
            <w:r w:rsidRPr="00154588">
              <w:rPr>
                <w:rFonts w:eastAsia="Calibri"/>
                <w:b/>
                <w:sz w:val="20"/>
                <w:szCs w:val="18"/>
              </w:rPr>
              <w:t>Capitolul IX</w:t>
            </w:r>
          </w:p>
          <w:p w14:paraId="361C2F48" w14:textId="77777777" w:rsidR="00EB243D" w:rsidRPr="00154588" w:rsidRDefault="00EB243D" w:rsidP="008C12B4">
            <w:pPr>
              <w:jc w:val="center"/>
              <w:rPr>
                <w:rFonts w:eastAsia="Calibri"/>
                <w:b/>
                <w:sz w:val="20"/>
                <w:szCs w:val="18"/>
              </w:rPr>
            </w:pPr>
            <w:r w:rsidRPr="00154588">
              <w:rPr>
                <w:rFonts w:eastAsia="Calibri"/>
                <w:b/>
                <w:sz w:val="20"/>
                <w:szCs w:val="18"/>
              </w:rPr>
              <w:t>OBLIGAŢIILE PROCEDURALE</w:t>
            </w:r>
          </w:p>
          <w:p w14:paraId="5D556A3A" w14:textId="24D73F3F" w:rsidR="00EB243D" w:rsidRPr="00154588" w:rsidRDefault="00EB243D" w:rsidP="008C12B4">
            <w:pPr>
              <w:tabs>
                <w:tab w:val="left" w:pos="1478"/>
              </w:tabs>
              <w:rPr>
                <w:sz w:val="20"/>
                <w:szCs w:val="20"/>
              </w:rPr>
            </w:pPr>
            <w:r w:rsidRPr="00154588">
              <w:rPr>
                <w:sz w:val="20"/>
                <w:szCs w:val="18"/>
              </w:rPr>
              <w:tab/>
            </w:r>
          </w:p>
        </w:tc>
        <w:tc>
          <w:tcPr>
            <w:tcW w:w="2552" w:type="dxa"/>
          </w:tcPr>
          <w:p w14:paraId="11723C96" w14:textId="77777777" w:rsidR="00EB243D" w:rsidRPr="00154588" w:rsidRDefault="00EB243D" w:rsidP="008C12B4">
            <w:pPr>
              <w:jc w:val="both"/>
              <w:rPr>
                <w:sz w:val="20"/>
                <w:szCs w:val="20"/>
              </w:rPr>
            </w:pPr>
          </w:p>
        </w:tc>
        <w:tc>
          <w:tcPr>
            <w:tcW w:w="3118" w:type="dxa"/>
          </w:tcPr>
          <w:p w14:paraId="668B0E6C" w14:textId="77777777" w:rsidR="00EB243D" w:rsidRPr="00154588" w:rsidRDefault="00EB243D" w:rsidP="008C12B4">
            <w:pPr>
              <w:jc w:val="both"/>
              <w:rPr>
                <w:sz w:val="20"/>
                <w:szCs w:val="20"/>
              </w:rPr>
            </w:pPr>
          </w:p>
        </w:tc>
      </w:tr>
      <w:tr w:rsidR="00EB243D" w:rsidRPr="00154588" w14:paraId="78129100" w14:textId="77777777" w:rsidTr="00D15C1B">
        <w:trPr>
          <w:jc w:val="center"/>
        </w:trPr>
        <w:tc>
          <w:tcPr>
            <w:tcW w:w="4957" w:type="dxa"/>
            <w:gridSpan w:val="2"/>
          </w:tcPr>
          <w:p w14:paraId="6CA2C0B8" w14:textId="77777777" w:rsidR="00EB243D" w:rsidRPr="00154588" w:rsidRDefault="00EB243D" w:rsidP="008C12B4">
            <w:pPr>
              <w:jc w:val="both"/>
              <w:rPr>
                <w:b/>
                <w:sz w:val="20"/>
                <w:szCs w:val="20"/>
              </w:rPr>
            </w:pPr>
            <w:r w:rsidRPr="00154588">
              <w:rPr>
                <w:b/>
                <w:sz w:val="20"/>
                <w:szCs w:val="20"/>
              </w:rPr>
              <w:t>Articolul 81</w:t>
            </w:r>
          </w:p>
          <w:p w14:paraId="3AC83E11" w14:textId="77777777" w:rsidR="00EB243D" w:rsidRPr="00154588" w:rsidRDefault="00EB243D" w:rsidP="008C12B4">
            <w:pPr>
              <w:jc w:val="both"/>
              <w:rPr>
                <w:b/>
                <w:sz w:val="20"/>
                <w:szCs w:val="20"/>
              </w:rPr>
            </w:pPr>
          </w:p>
          <w:p w14:paraId="6E113DD1" w14:textId="2F01E952" w:rsidR="00EB243D" w:rsidRPr="00154588" w:rsidRDefault="00EB243D" w:rsidP="008C12B4">
            <w:pPr>
              <w:jc w:val="both"/>
              <w:rPr>
                <w:sz w:val="20"/>
                <w:szCs w:val="20"/>
              </w:rPr>
            </w:pPr>
            <w:r w:rsidRPr="00154588">
              <w:rPr>
                <w:b/>
                <w:sz w:val="20"/>
                <w:szCs w:val="20"/>
              </w:rPr>
              <w:t>Cerințe de notificare</w:t>
            </w:r>
          </w:p>
        </w:tc>
        <w:tc>
          <w:tcPr>
            <w:tcW w:w="4819" w:type="dxa"/>
          </w:tcPr>
          <w:p w14:paraId="5B42633C" w14:textId="77777777" w:rsidR="00EB243D" w:rsidRPr="00154588" w:rsidRDefault="00EB243D" w:rsidP="008C12B4">
            <w:pPr>
              <w:jc w:val="center"/>
              <w:rPr>
                <w:rFonts w:eastAsia="Calibri"/>
                <w:sz w:val="20"/>
                <w:szCs w:val="18"/>
              </w:rPr>
            </w:pPr>
            <w:r w:rsidRPr="00154588">
              <w:rPr>
                <w:rFonts w:eastAsia="Calibri"/>
                <w:b/>
                <w:sz w:val="20"/>
                <w:szCs w:val="18"/>
              </w:rPr>
              <w:t>Secţiunea 1</w:t>
            </w:r>
          </w:p>
          <w:p w14:paraId="35B8C072" w14:textId="00647824" w:rsidR="00EB243D" w:rsidRPr="00154588" w:rsidRDefault="00EB243D" w:rsidP="008C12B4">
            <w:pPr>
              <w:jc w:val="center"/>
              <w:rPr>
                <w:rFonts w:eastAsia="Calibri"/>
                <w:b/>
                <w:sz w:val="20"/>
                <w:szCs w:val="18"/>
              </w:rPr>
            </w:pPr>
            <w:r w:rsidRPr="00154588">
              <w:rPr>
                <w:rFonts w:eastAsia="Calibri"/>
                <w:b/>
                <w:sz w:val="20"/>
                <w:szCs w:val="18"/>
              </w:rPr>
              <w:t>Cerinţele de notificare</w:t>
            </w:r>
          </w:p>
        </w:tc>
        <w:tc>
          <w:tcPr>
            <w:tcW w:w="2552" w:type="dxa"/>
          </w:tcPr>
          <w:p w14:paraId="37B29FA5" w14:textId="77777777" w:rsidR="00EB243D" w:rsidRPr="00154588" w:rsidRDefault="00EB243D" w:rsidP="008C12B4">
            <w:pPr>
              <w:jc w:val="both"/>
              <w:rPr>
                <w:sz w:val="20"/>
                <w:szCs w:val="20"/>
              </w:rPr>
            </w:pPr>
          </w:p>
        </w:tc>
        <w:tc>
          <w:tcPr>
            <w:tcW w:w="3118" w:type="dxa"/>
          </w:tcPr>
          <w:p w14:paraId="5AA33EBA" w14:textId="77777777" w:rsidR="00EB243D" w:rsidRPr="00154588" w:rsidRDefault="00EB243D" w:rsidP="008C12B4">
            <w:pPr>
              <w:jc w:val="both"/>
              <w:rPr>
                <w:sz w:val="20"/>
                <w:szCs w:val="20"/>
              </w:rPr>
            </w:pPr>
          </w:p>
        </w:tc>
      </w:tr>
      <w:tr w:rsidR="00EB243D" w:rsidRPr="00154588" w14:paraId="4ABFDA9C" w14:textId="77777777" w:rsidTr="00D15C1B">
        <w:trPr>
          <w:jc w:val="center"/>
        </w:trPr>
        <w:tc>
          <w:tcPr>
            <w:tcW w:w="4957" w:type="dxa"/>
            <w:gridSpan w:val="2"/>
          </w:tcPr>
          <w:p w14:paraId="2FDA22F5" w14:textId="2577EB64" w:rsidR="00EB243D" w:rsidRPr="00154588" w:rsidRDefault="00EB243D" w:rsidP="008C12B4">
            <w:pPr>
              <w:jc w:val="both"/>
              <w:rPr>
                <w:sz w:val="20"/>
                <w:szCs w:val="20"/>
              </w:rPr>
            </w:pPr>
            <w:r w:rsidRPr="00154588">
              <w:rPr>
                <w:sz w:val="20"/>
                <w:szCs w:val="20"/>
              </w:rPr>
              <w:t>(1)   Statele membre solicită conducerii unei instituții sau a oricăreia dintre entitățile menționate la articolul 1 alineatul (1) litera (b), (c) sau (d) să informeze autoritatea competentă în cazul în care consideră că instituția sau entitatea respectivă este în curs de a intra în dificultate sau este susceptibilă de a intra în dificultate, în sensul articolului 32 alineatul (4).</w:t>
            </w:r>
          </w:p>
        </w:tc>
        <w:tc>
          <w:tcPr>
            <w:tcW w:w="4819" w:type="dxa"/>
          </w:tcPr>
          <w:p w14:paraId="532C6F4B" w14:textId="0D0ADE95" w:rsidR="00EB243D" w:rsidRPr="00154588" w:rsidRDefault="00EB243D" w:rsidP="008C12B4">
            <w:pPr>
              <w:ind w:firstLine="567"/>
              <w:jc w:val="both"/>
              <w:rPr>
                <w:sz w:val="20"/>
                <w:szCs w:val="20"/>
              </w:rPr>
            </w:pPr>
            <w:r w:rsidRPr="00154588">
              <w:rPr>
                <w:rFonts w:eastAsia="Calibri"/>
                <w:b/>
                <w:sz w:val="20"/>
                <w:szCs w:val="18"/>
              </w:rPr>
              <w:t>Articolul 277.</w:t>
            </w:r>
            <w:r w:rsidRPr="00154588">
              <w:rPr>
                <w:rFonts w:eastAsia="Calibri"/>
                <w:sz w:val="20"/>
                <w:szCs w:val="18"/>
              </w:rPr>
              <w:t xml:space="preserve"> – Organul de conducere al instituției de credit sau al unei entități prevăzute la art.1 alin.(1) lit.b), c) sau d) informează autoritatea competentă, în cazul în care consideră că instituția de credit sau entitatea respectivă intră sau este susceptibilă de a intra în dificultate, în sensul art.59.</w:t>
            </w:r>
          </w:p>
        </w:tc>
        <w:tc>
          <w:tcPr>
            <w:tcW w:w="2552" w:type="dxa"/>
          </w:tcPr>
          <w:p w14:paraId="76A87647" w14:textId="558F54FC" w:rsidR="00EB243D" w:rsidRPr="00154588" w:rsidRDefault="00EB243D" w:rsidP="008C12B4">
            <w:pPr>
              <w:jc w:val="both"/>
              <w:rPr>
                <w:sz w:val="20"/>
                <w:szCs w:val="20"/>
              </w:rPr>
            </w:pPr>
            <w:r w:rsidRPr="00154588">
              <w:rPr>
                <w:sz w:val="20"/>
                <w:szCs w:val="20"/>
              </w:rPr>
              <w:t>Compatibil</w:t>
            </w:r>
          </w:p>
        </w:tc>
        <w:tc>
          <w:tcPr>
            <w:tcW w:w="3118" w:type="dxa"/>
          </w:tcPr>
          <w:p w14:paraId="37CE7329" w14:textId="77777777" w:rsidR="00EB243D" w:rsidRPr="00154588" w:rsidRDefault="00EB243D" w:rsidP="008C12B4">
            <w:pPr>
              <w:jc w:val="both"/>
              <w:rPr>
                <w:sz w:val="20"/>
                <w:szCs w:val="20"/>
              </w:rPr>
            </w:pPr>
          </w:p>
        </w:tc>
      </w:tr>
      <w:tr w:rsidR="00EB243D" w:rsidRPr="00154588" w14:paraId="30AA22E8" w14:textId="77777777" w:rsidTr="00D15C1B">
        <w:trPr>
          <w:jc w:val="center"/>
        </w:trPr>
        <w:tc>
          <w:tcPr>
            <w:tcW w:w="4957" w:type="dxa"/>
            <w:gridSpan w:val="2"/>
          </w:tcPr>
          <w:p w14:paraId="104E5E6E" w14:textId="67177B90" w:rsidR="00EB243D" w:rsidRPr="00154588" w:rsidRDefault="00EB243D" w:rsidP="008C12B4">
            <w:pPr>
              <w:jc w:val="both"/>
              <w:rPr>
                <w:sz w:val="20"/>
                <w:szCs w:val="20"/>
              </w:rPr>
            </w:pPr>
            <w:r w:rsidRPr="00154588">
              <w:rPr>
                <w:sz w:val="20"/>
                <w:szCs w:val="20"/>
              </w:rPr>
              <w:t>(2)   Autoritățile competente informează autoritățile de rezoluție relevante în legătură cu orice notificări primite în temeiul alineatului (1) din prezentul articol și cu orice măsuri de prevenire a crizelor sau orice măsuri menționate la articolul 104 din Directiva 2013/36/UE pe care le impun unei instituții sau unei entități menționate la articolul 1 alineatul (1) litera (b), (c) sau (d) din prezenta directivă.</w:t>
            </w:r>
          </w:p>
        </w:tc>
        <w:tc>
          <w:tcPr>
            <w:tcW w:w="4819" w:type="dxa"/>
          </w:tcPr>
          <w:p w14:paraId="16882560" w14:textId="6F2FDAB0" w:rsidR="00EB243D" w:rsidRPr="00154588" w:rsidRDefault="00EB243D" w:rsidP="008C12B4">
            <w:pPr>
              <w:ind w:firstLine="567"/>
              <w:jc w:val="both"/>
              <w:rPr>
                <w:sz w:val="20"/>
                <w:szCs w:val="20"/>
              </w:rPr>
            </w:pPr>
            <w:r w:rsidRPr="00154588">
              <w:rPr>
                <w:rFonts w:eastAsia="Calibri"/>
                <w:b/>
                <w:sz w:val="20"/>
                <w:szCs w:val="18"/>
              </w:rPr>
              <w:t>Articolul 278.</w:t>
            </w:r>
            <w:r w:rsidRPr="00154588">
              <w:rPr>
                <w:rFonts w:eastAsia="Calibri"/>
                <w:sz w:val="20"/>
                <w:szCs w:val="18"/>
              </w:rPr>
              <w:t xml:space="preserve"> – Banca Naţională a Moldovei se asigură că structura care exercită funcţia de supraveghere informează structura care exercită funcţia de rezoluţie în legătură cu orice notificare primită în temeiul art.277 şi cu orice măsură de prevenire a crizelor sau orice măsură prevăzută la art.139 şi 141 din Legea nr.202/2017, pe care o </w:t>
            </w:r>
            <w:r w:rsidRPr="00154588">
              <w:rPr>
                <w:rFonts w:eastAsia="Calibri"/>
                <w:sz w:val="20"/>
                <w:szCs w:val="18"/>
              </w:rPr>
              <w:lastRenderedPageBreak/>
              <w:t>impune unei instituții de credit sau entități prevăzute la art.1 alin.(1) lit.b), c) sau d).</w:t>
            </w:r>
          </w:p>
        </w:tc>
        <w:tc>
          <w:tcPr>
            <w:tcW w:w="2552" w:type="dxa"/>
          </w:tcPr>
          <w:p w14:paraId="4C98A942" w14:textId="58C417DD" w:rsidR="00EB243D" w:rsidRPr="00154588" w:rsidRDefault="00EB243D" w:rsidP="008C12B4">
            <w:pPr>
              <w:jc w:val="both"/>
              <w:rPr>
                <w:sz w:val="20"/>
                <w:szCs w:val="20"/>
              </w:rPr>
            </w:pPr>
            <w:r w:rsidRPr="00154588">
              <w:rPr>
                <w:sz w:val="20"/>
                <w:szCs w:val="20"/>
              </w:rPr>
              <w:lastRenderedPageBreak/>
              <w:t>Compatibil</w:t>
            </w:r>
          </w:p>
        </w:tc>
        <w:tc>
          <w:tcPr>
            <w:tcW w:w="3118" w:type="dxa"/>
          </w:tcPr>
          <w:p w14:paraId="17A223DE" w14:textId="77777777" w:rsidR="00EB243D" w:rsidRPr="00154588" w:rsidRDefault="00EB243D" w:rsidP="008C12B4">
            <w:pPr>
              <w:jc w:val="both"/>
              <w:rPr>
                <w:sz w:val="20"/>
                <w:szCs w:val="20"/>
              </w:rPr>
            </w:pPr>
          </w:p>
        </w:tc>
      </w:tr>
      <w:tr w:rsidR="00EB243D" w:rsidRPr="00154588" w14:paraId="5556473A" w14:textId="77777777" w:rsidTr="00D15C1B">
        <w:trPr>
          <w:jc w:val="center"/>
        </w:trPr>
        <w:tc>
          <w:tcPr>
            <w:tcW w:w="4957" w:type="dxa"/>
            <w:gridSpan w:val="2"/>
          </w:tcPr>
          <w:p w14:paraId="71045941" w14:textId="77777777" w:rsidR="00EB243D" w:rsidRPr="00154588" w:rsidRDefault="00EB243D" w:rsidP="008C12B4">
            <w:pPr>
              <w:jc w:val="both"/>
              <w:rPr>
                <w:sz w:val="20"/>
                <w:szCs w:val="20"/>
              </w:rPr>
            </w:pPr>
            <w:r w:rsidRPr="00154588">
              <w:rPr>
                <w:sz w:val="20"/>
                <w:szCs w:val="20"/>
              </w:rPr>
              <w:t>(3)   În cazul în care o autoritate competentă sau o autoritate de rezoluție stabilește că sunt îndeplinite condițiile prevăzute la literele (a) și (b) de la articolul 32 alineatul (1) în ceea ce privește o instituție sau o entitate menționată la articolul 1 alineatul (1) litera (b), (c) sau (d), aceasta comunică această constatare fără întârziere următoarelor autorități, dacă sunt diferite:</w:t>
            </w:r>
          </w:p>
          <w:p w14:paraId="34F9B924" w14:textId="77777777" w:rsidR="00EB243D" w:rsidRPr="00154588" w:rsidRDefault="00EB243D" w:rsidP="008C12B4">
            <w:pPr>
              <w:jc w:val="both"/>
              <w:rPr>
                <w:sz w:val="20"/>
                <w:szCs w:val="20"/>
              </w:rPr>
            </w:pPr>
          </w:p>
          <w:p w14:paraId="2B9E8D78" w14:textId="3FE7A6E0" w:rsidR="00EB243D" w:rsidRPr="00154588" w:rsidRDefault="00EB243D" w:rsidP="008C12B4">
            <w:pPr>
              <w:jc w:val="both"/>
              <w:rPr>
                <w:sz w:val="20"/>
                <w:szCs w:val="20"/>
              </w:rPr>
            </w:pPr>
            <w:r w:rsidRPr="00154588">
              <w:rPr>
                <w:sz w:val="20"/>
                <w:szCs w:val="20"/>
              </w:rPr>
              <w:t>(a) autorității de rezoluție a instituției respective sau a entității menționate la articolul 1 alineatul (1) litera (b), (c) sau (d);</w:t>
            </w:r>
          </w:p>
          <w:p w14:paraId="7CA609DC" w14:textId="77777777" w:rsidR="00EB243D" w:rsidRPr="00154588" w:rsidRDefault="00EB243D" w:rsidP="008C12B4">
            <w:pPr>
              <w:jc w:val="both"/>
              <w:rPr>
                <w:sz w:val="20"/>
                <w:szCs w:val="20"/>
              </w:rPr>
            </w:pPr>
          </w:p>
          <w:p w14:paraId="75E799C5" w14:textId="0EE26321" w:rsidR="00EB243D" w:rsidRPr="00154588" w:rsidRDefault="00EB243D" w:rsidP="008C12B4">
            <w:pPr>
              <w:jc w:val="both"/>
              <w:rPr>
                <w:sz w:val="20"/>
                <w:szCs w:val="20"/>
              </w:rPr>
            </w:pPr>
            <w:r w:rsidRPr="00154588">
              <w:rPr>
                <w:sz w:val="20"/>
                <w:szCs w:val="20"/>
              </w:rPr>
              <w:t>(b) autorității competente a instituției respective sau a entității menționate la articolul 1 alineatul (1) litera (b), (c) sau (d);</w:t>
            </w:r>
          </w:p>
          <w:p w14:paraId="5102FF45" w14:textId="77777777" w:rsidR="00EB243D" w:rsidRPr="00154588" w:rsidRDefault="00EB243D" w:rsidP="008C12B4">
            <w:pPr>
              <w:jc w:val="both"/>
              <w:rPr>
                <w:sz w:val="20"/>
                <w:szCs w:val="20"/>
              </w:rPr>
            </w:pPr>
          </w:p>
          <w:p w14:paraId="771134AC" w14:textId="4621846F" w:rsidR="00EB243D" w:rsidRPr="00154588" w:rsidRDefault="00EB243D" w:rsidP="008C12B4">
            <w:pPr>
              <w:jc w:val="both"/>
              <w:rPr>
                <w:sz w:val="20"/>
                <w:szCs w:val="20"/>
              </w:rPr>
            </w:pPr>
            <w:r w:rsidRPr="00154588">
              <w:rPr>
                <w:sz w:val="20"/>
                <w:szCs w:val="20"/>
              </w:rPr>
              <w:t>(c) autorității competente a unei eventuale sucursale a instituției respective sau a entității menționate la articolul 1 alineatul (1) litera (b), (c) sau (d);</w:t>
            </w:r>
          </w:p>
          <w:p w14:paraId="6A1EAF2E" w14:textId="77777777" w:rsidR="00EB243D" w:rsidRPr="00154588" w:rsidRDefault="00EB243D" w:rsidP="008C12B4">
            <w:pPr>
              <w:jc w:val="both"/>
              <w:rPr>
                <w:sz w:val="20"/>
                <w:szCs w:val="20"/>
              </w:rPr>
            </w:pPr>
          </w:p>
          <w:p w14:paraId="6DC0325F" w14:textId="5BFE4ECA" w:rsidR="00EB243D" w:rsidRPr="00154588" w:rsidRDefault="00EB243D" w:rsidP="008C12B4">
            <w:pPr>
              <w:jc w:val="both"/>
              <w:rPr>
                <w:sz w:val="20"/>
                <w:szCs w:val="20"/>
              </w:rPr>
            </w:pPr>
            <w:r w:rsidRPr="00154588">
              <w:rPr>
                <w:sz w:val="20"/>
                <w:szCs w:val="20"/>
              </w:rPr>
              <w:t>(d) autorității de rezoluție a unei eventuale sucursale a instituției respective sau a entității menționate la articolul 1 alineatul (1) litera (b), (c) sau (d);</w:t>
            </w:r>
          </w:p>
          <w:p w14:paraId="01594719" w14:textId="77777777" w:rsidR="00EB243D" w:rsidRPr="00154588" w:rsidRDefault="00EB243D" w:rsidP="008C12B4">
            <w:pPr>
              <w:jc w:val="both"/>
              <w:rPr>
                <w:sz w:val="20"/>
                <w:szCs w:val="20"/>
              </w:rPr>
            </w:pPr>
          </w:p>
          <w:p w14:paraId="707A74F6" w14:textId="06BB56D1" w:rsidR="00EB243D" w:rsidRPr="00154588" w:rsidRDefault="00EB243D" w:rsidP="008C12B4">
            <w:pPr>
              <w:jc w:val="both"/>
              <w:rPr>
                <w:sz w:val="20"/>
                <w:szCs w:val="20"/>
              </w:rPr>
            </w:pPr>
            <w:r w:rsidRPr="00154588">
              <w:rPr>
                <w:sz w:val="20"/>
                <w:szCs w:val="20"/>
              </w:rPr>
              <w:t>(e) băncii centrale;</w:t>
            </w:r>
          </w:p>
          <w:p w14:paraId="1B7C32F3" w14:textId="77777777" w:rsidR="00EB243D" w:rsidRPr="00154588" w:rsidRDefault="00EB243D" w:rsidP="008C12B4">
            <w:pPr>
              <w:jc w:val="both"/>
              <w:rPr>
                <w:sz w:val="20"/>
                <w:szCs w:val="20"/>
              </w:rPr>
            </w:pPr>
          </w:p>
          <w:p w14:paraId="2214469F" w14:textId="3DCB697E" w:rsidR="00EB243D" w:rsidRPr="00154588" w:rsidRDefault="00EB243D" w:rsidP="008C12B4">
            <w:pPr>
              <w:jc w:val="both"/>
              <w:rPr>
                <w:sz w:val="20"/>
                <w:szCs w:val="20"/>
              </w:rPr>
            </w:pPr>
            <w:r w:rsidRPr="00154588">
              <w:rPr>
                <w:sz w:val="20"/>
                <w:szCs w:val="20"/>
              </w:rPr>
              <w:t>(f) schemei de garantare a depozitelor la care este afiliată o instituție de credit, pentru a permite, acolo unde este cazul, exercitarea funcțiilor schemei în cauză;</w:t>
            </w:r>
          </w:p>
          <w:p w14:paraId="7EE610BC" w14:textId="77777777" w:rsidR="00EB243D" w:rsidRPr="00154588" w:rsidRDefault="00EB243D" w:rsidP="008C12B4">
            <w:pPr>
              <w:jc w:val="both"/>
              <w:rPr>
                <w:sz w:val="20"/>
                <w:szCs w:val="20"/>
              </w:rPr>
            </w:pPr>
          </w:p>
          <w:p w14:paraId="7EE4F0B7" w14:textId="375B1F45" w:rsidR="00EB243D" w:rsidRPr="00154588" w:rsidRDefault="00EB243D" w:rsidP="008C12B4">
            <w:pPr>
              <w:jc w:val="both"/>
              <w:rPr>
                <w:sz w:val="20"/>
                <w:szCs w:val="20"/>
              </w:rPr>
            </w:pPr>
            <w:r w:rsidRPr="00154588">
              <w:rPr>
                <w:sz w:val="20"/>
                <w:szCs w:val="20"/>
              </w:rPr>
              <w:t>(g) organului care răspunde de mecanismele de finanțare a rezoluției, pentru a permite, acolo unde este cazul, exercitarea funcțiilor mecanismelor în cauză;</w:t>
            </w:r>
          </w:p>
          <w:p w14:paraId="2FF38814" w14:textId="77777777" w:rsidR="00EB243D" w:rsidRPr="00154588" w:rsidRDefault="00EB243D" w:rsidP="008C12B4">
            <w:pPr>
              <w:jc w:val="both"/>
              <w:rPr>
                <w:sz w:val="20"/>
                <w:szCs w:val="20"/>
              </w:rPr>
            </w:pPr>
          </w:p>
          <w:p w14:paraId="32B50558" w14:textId="399C2C45" w:rsidR="00EB243D" w:rsidRPr="00154588" w:rsidRDefault="00EB243D" w:rsidP="008C12B4">
            <w:pPr>
              <w:jc w:val="both"/>
              <w:rPr>
                <w:sz w:val="20"/>
                <w:szCs w:val="20"/>
              </w:rPr>
            </w:pPr>
            <w:r w:rsidRPr="00154588">
              <w:rPr>
                <w:sz w:val="20"/>
                <w:szCs w:val="20"/>
              </w:rPr>
              <w:t>(h) autorității de rezoluție a grupului, după caz;</w:t>
            </w:r>
          </w:p>
          <w:p w14:paraId="659ADB41" w14:textId="77777777" w:rsidR="00EB243D" w:rsidRPr="00154588" w:rsidRDefault="00EB243D" w:rsidP="008C12B4">
            <w:pPr>
              <w:jc w:val="both"/>
              <w:rPr>
                <w:sz w:val="20"/>
                <w:szCs w:val="20"/>
              </w:rPr>
            </w:pPr>
          </w:p>
          <w:p w14:paraId="04C4B99D" w14:textId="77777777" w:rsidR="00EB243D" w:rsidRPr="00154588" w:rsidRDefault="00EB243D" w:rsidP="008C12B4">
            <w:pPr>
              <w:jc w:val="both"/>
              <w:rPr>
                <w:sz w:val="20"/>
                <w:szCs w:val="20"/>
              </w:rPr>
            </w:pPr>
          </w:p>
          <w:p w14:paraId="510CA7BF" w14:textId="6BE13431" w:rsidR="00EB243D" w:rsidRPr="00154588" w:rsidRDefault="00EB243D" w:rsidP="008C12B4">
            <w:pPr>
              <w:jc w:val="both"/>
              <w:rPr>
                <w:sz w:val="20"/>
                <w:szCs w:val="20"/>
              </w:rPr>
            </w:pPr>
            <w:r w:rsidRPr="00154588">
              <w:rPr>
                <w:sz w:val="20"/>
                <w:szCs w:val="20"/>
              </w:rPr>
              <w:t>(i) ministerului competent;</w:t>
            </w:r>
          </w:p>
          <w:p w14:paraId="6D8C1ADC" w14:textId="77777777" w:rsidR="00EB243D" w:rsidRPr="00154588" w:rsidRDefault="00EB243D" w:rsidP="008C12B4">
            <w:pPr>
              <w:jc w:val="both"/>
              <w:rPr>
                <w:sz w:val="20"/>
                <w:szCs w:val="20"/>
              </w:rPr>
            </w:pPr>
          </w:p>
          <w:p w14:paraId="2237E872" w14:textId="38A9F9CE" w:rsidR="00EB243D" w:rsidRPr="00154588" w:rsidRDefault="00EB243D" w:rsidP="008C12B4">
            <w:pPr>
              <w:jc w:val="both"/>
              <w:rPr>
                <w:sz w:val="20"/>
                <w:szCs w:val="20"/>
              </w:rPr>
            </w:pPr>
            <w:r w:rsidRPr="00154588">
              <w:rPr>
                <w:sz w:val="20"/>
                <w:szCs w:val="20"/>
              </w:rPr>
              <w:t xml:space="preserve">(j) în cazul în care instituția sau entitatea menționată la articolul 1 alineatul (1) litera (b), (c) sau (d) din </w:t>
            </w:r>
            <w:r w:rsidRPr="00154588">
              <w:rPr>
                <w:sz w:val="20"/>
                <w:szCs w:val="20"/>
              </w:rPr>
              <w:lastRenderedPageBreak/>
              <w:t>prezenta directivă face obiectul supravegherii pe bază consolidată în conformitate cu titlul VII capitolul 3 din Directiva 2013/36/UE, supraveghetorului consolidant; și</w:t>
            </w:r>
          </w:p>
          <w:p w14:paraId="55DD2066" w14:textId="77777777" w:rsidR="00EB243D" w:rsidRPr="00154588" w:rsidRDefault="00EB243D" w:rsidP="008C12B4">
            <w:pPr>
              <w:jc w:val="both"/>
              <w:rPr>
                <w:sz w:val="20"/>
                <w:szCs w:val="20"/>
              </w:rPr>
            </w:pPr>
          </w:p>
          <w:p w14:paraId="2B5A322C" w14:textId="152B495C" w:rsidR="00EB243D" w:rsidRPr="00154588" w:rsidRDefault="00EB243D" w:rsidP="008C12B4">
            <w:pPr>
              <w:jc w:val="both"/>
              <w:rPr>
                <w:sz w:val="20"/>
                <w:szCs w:val="20"/>
              </w:rPr>
            </w:pPr>
            <w:r w:rsidRPr="00154588">
              <w:rPr>
                <w:sz w:val="20"/>
                <w:szCs w:val="20"/>
              </w:rPr>
              <w:t>(k) CERS și autoritatea macroprudențială naționale desemnată.</w:t>
            </w:r>
          </w:p>
        </w:tc>
        <w:tc>
          <w:tcPr>
            <w:tcW w:w="4819" w:type="dxa"/>
          </w:tcPr>
          <w:p w14:paraId="17C018A1" w14:textId="3C8BB64D" w:rsidR="00EB243D" w:rsidRPr="00154588" w:rsidRDefault="00EB243D" w:rsidP="008C12B4">
            <w:pPr>
              <w:ind w:firstLine="567"/>
              <w:jc w:val="both"/>
              <w:rPr>
                <w:rFonts w:eastAsia="Calibri"/>
                <w:sz w:val="20"/>
                <w:szCs w:val="18"/>
              </w:rPr>
            </w:pPr>
            <w:r w:rsidRPr="00154588">
              <w:rPr>
                <w:rFonts w:eastAsia="Calibri"/>
                <w:b/>
                <w:sz w:val="20"/>
                <w:szCs w:val="18"/>
              </w:rPr>
              <w:lastRenderedPageBreak/>
              <w:t>Articolul 279.</w:t>
            </w:r>
            <w:r w:rsidRPr="00154588">
              <w:rPr>
                <w:rFonts w:eastAsia="Calibri"/>
                <w:sz w:val="20"/>
                <w:szCs w:val="18"/>
              </w:rPr>
              <w:t xml:space="preserve"> – (1) În situaţia în care Banca Naţională a Moldovei, în calitate de autoritate competentă</w:t>
            </w:r>
            <w:r w:rsidRPr="00154588" w:rsidDel="00A22F57">
              <w:rPr>
                <w:rFonts w:eastAsia="Calibri"/>
                <w:sz w:val="20"/>
                <w:szCs w:val="18"/>
              </w:rPr>
              <w:t xml:space="preserve"> </w:t>
            </w:r>
            <w:bookmarkStart w:id="155" w:name="_Hlk220682291"/>
            <w:r w:rsidRPr="00154588">
              <w:rPr>
                <w:sz w:val="20"/>
                <w:szCs w:val="20"/>
              </w:rPr>
              <w:t>sau autoritate de rezoluție</w:t>
            </w:r>
            <w:r w:rsidRPr="00154588">
              <w:rPr>
                <w:rFonts w:eastAsia="Calibri"/>
                <w:sz w:val="20"/>
                <w:szCs w:val="18"/>
              </w:rPr>
              <w:t xml:space="preserve"> constată că sînt îndeplinite condiţiile prevăzute la art.58 alin.(1) lit.a) şi b) </w:t>
            </w:r>
            <w:bookmarkEnd w:id="155"/>
            <w:r w:rsidRPr="00154588">
              <w:rPr>
                <w:rFonts w:eastAsia="Calibri"/>
                <w:sz w:val="20"/>
                <w:szCs w:val="18"/>
              </w:rPr>
              <w:t>în ceea ce priveşte o instituție de credit sau o entitate prevăzută la art.1 alin.(1) lit.b), c) sau d), comunică această constatare fără întîrziere:</w:t>
            </w:r>
          </w:p>
          <w:p w14:paraId="5CFFA482" w14:textId="77777777" w:rsidR="00EB243D" w:rsidRPr="00154588" w:rsidRDefault="00EB243D" w:rsidP="008C12B4">
            <w:pPr>
              <w:ind w:firstLine="567"/>
              <w:jc w:val="both"/>
              <w:rPr>
                <w:rFonts w:eastAsia="Calibri"/>
                <w:sz w:val="20"/>
                <w:szCs w:val="20"/>
              </w:rPr>
            </w:pPr>
          </w:p>
          <w:p w14:paraId="57D341BC" w14:textId="77777777" w:rsidR="006C3B2A" w:rsidRPr="00154588" w:rsidRDefault="006C3B2A" w:rsidP="008C12B4">
            <w:pPr>
              <w:ind w:firstLine="567"/>
              <w:jc w:val="both"/>
              <w:rPr>
                <w:sz w:val="20"/>
                <w:szCs w:val="20"/>
              </w:rPr>
            </w:pPr>
            <w:r w:rsidRPr="00154588">
              <w:rPr>
                <w:sz w:val="20"/>
                <w:szCs w:val="20"/>
              </w:rPr>
              <w:t>a) autorității de rezoluție a instituției sau entității prevăzute la art. 1 alin. (1) lit. b), c) sau d);</w:t>
            </w:r>
          </w:p>
          <w:p w14:paraId="5E8DB771" w14:textId="77777777" w:rsidR="006C3B2A" w:rsidRPr="00154588" w:rsidRDefault="006C3B2A" w:rsidP="008C12B4">
            <w:pPr>
              <w:ind w:firstLine="567"/>
              <w:jc w:val="both"/>
              <w:rPr>
                <w:sz w:val="20"/>
                <w:szCs w:val="20"/>
              </w:rPr>
            </w:pPr>
            <w:r w:rsidRPr="00154588">
              <w:rPr>
                <w:sz w:val="20"/>
                <w:szCs w:val="20"/>
              </w:rPr>
              <w:t>b) autorității competente a instituției sau entității prevăzute la art. 1 alin. (1) lit. b), c) sau d);</w:t>
            </w:r>
          </w:p>
          <w:p w14:paraId="7DC34456" w14:textId="77777777" w:rsidR="006C3B2A" w:rsidRPr="00154588" w:rsidRDefault="006C3B2A" w:rsidP="008C12B4">
            <w:pPr>
              <w:ind w:firstLine="567"/>
              <w:jc w:val="both"/>
              <w:rPr>
                <w:sz w:val="20"/>
                <w:szCs w:val="20"/>
              </w:rPr>
            </w:pPr>
            <w:r w:rsidRPr="00154588">
              <w:rPr>
                <w:sz w:val="20"/>
                <w:szCs w:val="20"/>
              </w:rPr>
              <w:t>c) autorității competente din statul membru al Uniunii Europene în care se află o sucursală a instituției sau entității prevăzute la art. 1 alin. (1) lit. b), c) sau d);</w:t>
            </w:r>
          </w:p>
          <w:p w14:paraId="472192B9" w14:textId="77777777" w:rsidR="006C3B2A" w:rsidRPr="00154588" w:rsidRDefault="006C3B2A" w:rsidP="008C12B4">
            <w:pPr>
              <w:ind w:firstLine="567"/>
              <w:jc w:val="both"/>
              <w:rPr>
                <w:sz w:val="20"/>
                <w:szCs w:val="20"/>
              </w:rPr>
            </w:pPr>
            <w:r w:rsidRPr="00154588">
              <w:rPr>
                <w:sz w:val="20"/>
                <w:szCs w:val="20"/>
              </w:rPr>
              <w:t>d) autorității de rezoluție din statul membru al Uniunii Europene în care se află o sucursală a instituției sau entității prevăzute la art. 1 alin. (1) lit. b), c) sau d);</w:t>
            </w:r>
          </w:p>
          <w:p w14:paraId="6E06AA3B" w14:textId="77777777" w:rsidR="006C3B2A" w:rsidRPr="00154588" w:rsidRDefault="006C3B2A" w:rsidP="008C12B4">
            <w:pPr>
              <w:ind w:firstLine="567"/>
              <w:jc w:val="both"/>
              <w:rPr>
                <w:sz w:val="24"/>
                <w:szCs w:val="24"/>
              </w:rPr>
            </w:pPr>
            <w:r w:rsidRPr="00154588">
              <w:rPr>
                <w:sz w:val="20"/>
                <w:szCs w:val="20"/>
              </w:rPr>
              <w:t>e) schemei de garantare a depozitelor la care este afiliată instituția de credit pentru a permite, acolo unde este cazul, exercitarea funcțiilor acesteia</w:t>
            </w:r>
            <w:r w:rsidRPr="00154588">
              <w:rPr>
                <w:sz w:val="24"/>
                <w:szCs w:val="24"/>
              </w:rPr>
              <w:t>;</w:t>
            </w:r>
          </w:p>
          <w:p w14:paraId="3F7D9927" w14:textId="6CBD9D6B" w:rsidR="00EB243D" w:rsidRPr="00154588" w:rsidRDefault="006C3B2A" w:rsidP="008C12B4">
            <w:pPr>
              <w:jc w:val="both"/>
              <w:rPr>
                <w:rFonts w:eastAsia="Calibri"/>
                <w:sz w:val="20"/>
                <w:szCs w:val="18"/>
              </w:rPr>
            </w:pPr>
            <w:r w:rsidRPr="00154588">
              <w:rPr>
                <w:rFonts w:eastAsia="Calibri"/>
                <w:sz w:val="20"/>
                <w:szCs w:val="18"/>
              </w:rPr>
              <w:t>f</w:t>
            </w:r>
            <w:r w:rsidR="00EB243D" w:rsidRPr="00154588">
              <w:rPr>
                <w:rFonts w:eastAsia="Calibri"/>
                <w:sz w:val="20"/>
                <w:szCs w:val="18"/>
              </w:rPr>
              <w:t>) Fondului de garantare a depozitelor din sistemul bancar, în calitate de administrator al fondului de rezoluție bancar, pentru a permite exercitarea funcţiilor acestuia;</w:t>
            </w:r>
          </w:p>
          <w:p w14:paraId="19A043C7" w14:textId="77777777" w:rsidR="00EB243D" w:rsidRPr="00154588" w:rsidRDefault="00EB243D" w:rsidP="008C12B4">
            <w:pPr>
              <w:ind w:firstLine="567"/>
              <w:jc w:val="both"/>
              <w:rPr>
                <w:rFonts w:eastAsia="Calibri"/>
                <w:sz w:val="20"/>
                <w:szCs w:val="18"/>
              </w:rPr>
            </w:pPr>
          </w:p>
          <w:p w14:paraId="1BD80F0E" w14:textId="0C758A96" w:rsidR="00EB243D" w:rsidRPr="00154588" w:rsidRDefault="006C3B2A" w:rsidP="008C12B4">
            <w:pPr>
              <w:jc w:val="both"/>
              <w:rPr>
                <w:rFonts w:eastAsia="Calibri"/>
                <w:kern w:val="2"/>
                <w:sz w:val="20"/>
                <w:szCs w:val="18"/>
                <w14:ligatures w14:val="standardContextual"/>
              </w:rPr>
            </w:pPr>
            <w:r w:rsidRPr="00154588">
              <w:rPr>
                <w:rFonts w:eastAsia="Calibri"/>
                <w:sz w:val="20"/>
                <w:szCs w:val="18"/>
              </w:rPr>
              <w:t>g)</w:t>
            </w:r>
            <w:r w:rsidR="00EB243D" w:rsidRPr="00154588">
              <w:rPr>
                <w:rFonts w:eastAsia="Calibri"/>
                <w:sz w:val="20"/>
                <w:szCs w:val="18"/>
              </w:rPr>
              <w:t>) autorității de rezoluție a grupului, după caz;</w:t>
            </w:r>
          </w:p>
          <w:p w14:paraId="034A38D8" w14:textId="77777777" w:rsidR="006C3B2A" w:rsidRPr="00154588" w:rsidRDefault="006C3B2A" w:rsidP="008C12B4">
            <w:pPr>
              <w:ind w:firstLine="567"/>
              <w:jc w:val="both"/>
              <w:rPr>
                <w:sz w:val="20"/>
                <w:szCs w:val="20"/>
              </w:rPr>
            </w:pPr>
            <w:r w:rsidRPr="00154588">
              <w:rPr>
                <w:sz w:val="20"/>
                <w:szCs w:val="20"/>
              </w:rPr>
              <w:t>h) Ministerului Finanţelor, în calitate de minister competent;</w:t>
            </w:r>
          </w:p>
          <w:p w14:paraId="5173654C" w14:textId="77777777" w:rsidR="006C3B2A" w:rsidRPr="00154588" w:rsidRDefault="006C3B2A" w:rsidP="008C12B4">
            <w:pPr>
              <w:ind w:firstLine="567"/>
              <w:jc w:val="both"/>
              <w:rPr>
                <w:sz w:val="20"/>
                <w:szCs w:val="20"/>
                <w:lang w:val="ro-MD"/>
              </w:rPr>
            </w:pPr>
            <w:r w:rsidRPr="00154588">
              <w:rPr>
                <w:sz w:val="20"/>
                <w:szCs w:val="20"/>
                <w:lang w:val="ro-MD"/>
              </w:rPr>
              <w:t>i) supraveghetorului consolidant, dacă instituția supusă rezoluției face obiectul supravegherii pe bază consolidată;</w:t>
            </w:r>
          </w:p>
          <w:p w14:paraId="5302029B" w14:textId="77777777" w:rsidR="006C3B2A" w:rsidRPr="00154588" w:rsidRDefault="006C3B2A" w:rsidP="008C12B4">
            <w:pPr>
              <w:ind w:firstLine="567"/>
              <w:jc w:val="both"/>
              <w:rPr>
                <w:sz w:val="20"/>
                <w:szCs w:val="20"/>
              </w:rPr>
            </w:pPr>
            <w:r w:rsidRPr="00154588">
              <w:rPr>
                <w:sz w:val="20"/>
                <w:szCs w:val="20"/>
              </w:rPr>
              <w:t>j) Comitetului European pentru Risc Sistemic și autorităţii naţionale macroprudenţiale desemnate din Republica Moldova.</w:t>
            </w:r>
          </w:p>
          <w:p w14:paraId="3FC9C156" w14:textId="4F6A977F" w:rsidR="00EB243D" w:rsidRPr="00154588" w:rsidRDefault="00EB243D" w:rsidP="008C12B4">
            <w:pPr>
              <w:ind w:firstLine="567"/>
              <w:jc w:val="both"/>
              <w:rPr>
                <w:sz w:val="20"/>
                <w:szCs w:val="20"/>
              </w:rPr>
            </w:pPr>
            <w:r w:rsidRPr="00154588">
              <w:rPr>
                <w:rFonts w:eastAsia="Calibri"/>
                <w:sz w:val="20"/>
                <w:szCs w:val="18"/>
              </w:rPr>
              <w:t>(2) Banca Naţională a Moldovei se asigură că structura care exercită funcţia de supraveghere sau de rezoluţie, după caz, transmite constatarea prevăzută la alin.(1) şi structurii care exercită funcţia de bancă centrală.</w:t>
            </w:r>
          </w:p>
        </w:tc>
        <w:tc>
          <w:tcPr>
            <w:tcW w:w="2552" w:type="dxa"/>
          </w:tcPr>
          <w:p w14:paraId="4EBEB965" w14:textId="13F468A1" w:rsidR="00EB243D" w:rsidRPr="00154588" w:rsidRDefault="00EB243D" w:rsidP="008C12B4">
            <w:pPr>
              <w:jc w:val="both"/>
              <w:rPr>
                <w:sz w:val="20"/>
                <w:szCs w:val="20"/>
              </w:rPr>
            </w:pPr>
            <w:r w:rsidRPr="00154588">
              <w:rPr>
                <w:sz w:val="20"/>
                <w:szCs w:val="20"/>
              </w:rPr>
              <w:t>Compatibil</w:t>
            </w:r>
          </w:p>
        </w:tc>
        <w:tc>
          <w:tcPr>
            <w:tcW w:w="3118" w:type="dxa"/>
          </w:tcPr>
          <w:p w14:paraId="05DB28EB" w14:textId="79B5D566" w:rsidR="00EB243D" w:rsidRPr="00154588" w:rsidRDefault="00EB243D" w:rsidP="008C12B4">
            <w:pPr>
              <w:jc w:val="both"/>
              <w:rPr>
                <w:sz w:val="20"/>
                <w:szCs w:val="20"/>
              </w:rPr>
            </w:pPr>
          </w:p>
        </w:tc>
      </w:tr>
      <w:tr w:rsidR="00EB243D" w:rsidRPr="00154588" w14:paraId="4698483E" w14:textId="77777777" w:rsidTr="00D15C1B">
        <w:trPr>
          <w:jc w:val="center"/>
        </w:trPr>
        <w:tc>
          <w:tcPr>
            <w:tcW w:w="4957" w:type="dxa"/>
            <w:gridSpan w:val="2"/>
          </w:tcPr>
          <w:p w14:paraId="5ED65851" w14:textId="41E3FBA0" w:rsidR="00EB243D" w:rsidRPr="00154588" w:rsidRDefault="00EB243D" w:rsidP="008C12B4">
            <w:pPr>
              <w:jc w:val="both"/>
              <w:rPr>
                <w:sz w:val="20"/>
                <w:szCs w:val="20"/>
              </w:rPr>
            </w:pPr>
            <w:r w:rsidRPr="00154588">
              <w:rPr>
                <w:sz w:val="20"/>
                <w:szCs w:val="20"/>
              </w:rPr>
              <w:t>(4)   În cazul în care transmiterea informațiilor menționată la alineatele (3) literele (f) și (g) nu garantează nivelul adecvat de confidențialitate, autoritatea competentă sau autoritatea de rezoluție stabilește proceduri de comunicare alternative care îndeplinesc aceleași obiective, asigurând totodată nivelul adecvat de confidențialitate.</w:t>
            </w:r>
          </w:p>
        </w:tc>
        <w:tc>
          <w:tcPr>
            <w:tcW w:w="4819" w:type="dxa"/>
          </w:tcPr>
          <w:p w14:paraId="06E1F908" w14:textId="4AFE6D7A" w:rsidR="00EB243D" w:rsidRPr="00154588" w:rsidRDefault="00EB243D" w:rsidP="008C12B4">
            <w:pPr>
              <w:ind w:firstLine="567"/>
              <w:jc w:val="both"/>
              <w:rPr>
                <w:rFonts w:eastAsia="Calibri"/>
                <w:sz w:val="24"/>
                <w:szCs w:val="24"/>
              </w:rPr>
            </w:pPr>
            <w:r w:rsidRPr="00154588">
              <w:rPr>
                <w:rFonts w:eastAsia="Calibri"/>
                <w:b/>
                <w:sz w:val="20"/>
                <w:szCs w:val="20"/>
              </w:rPr>
              <w:t>Articolul 280.</w:t>
            </w:r>
            <w:r w:rsidRPr="00154588">
              <w:rPr>
                <w:rFonts w:eastAsia="Calibri"/>
                <w:sz w:val="20"/>
                <w:szCs w:val="20"/>
              </w:rPr>
              <w:t xml:space="preserve"> – În cazul în care transmiterea informaţiilor potrivit art.279 alin.(1) lit.</w:t>
            </w:r>
            <w:r w:rsidR="006C3B2A" w:rsidRPr="00154588">
              <w:rPr>
                <w:rFonts w:eastAsia="Calibri"/>
                <w:sz w:val="20"/>
                <w:szCs w:val="20"/>
              </w:rPr>
              <w:t>e</w:t>
            </w:r>
            <w:r w:rsidRPr="00154588">
              <w:rPr>
                <w:rFonts w:eastAsia="Calibri"/>
                <w:sz w:val="20"/>
                <w:szCs w:val="20"/>
              </w:rPr>
              <w:t xml:space="preserve">) și </w:t>
            </w:r>
            <w:r w:rsidR="006C3B2A" w:rsidRPr="00154588">
              <w:rPr>
                <w:rFonts w:eastAsia="Calibri"/>
                <w:sz w:val="20"/>
                <w:szCs w:val="20"/>
              </w:rPr>
              <w:t>f</w:t>
            </w:r>
            <w:r w:rsidRPr="00154588">
              <w:rPr>
                <w:rFonts w:eastAsia="Calibri"/>
                <w:sz w:val="20"/>
                <w:szCs w:val="20"/>
              </w:rPr>
              <w:t>) nu garantează nivelul adecvat de confidenţialitate, Banca Naţională a Moldovei, în calitate de autoritate competentă sau de autoritate de rezoluţie, după caz, utilizează mijloace de comunicare alternative, care să permită îndeplinirea cerinţei de comunicare prevăzute la art.279 alin.(1) de prezenta lege, asigurând totodată nivelul adecvat de confidenţialitate.</w:t>
            </w:r>
          </w:p>
        </w:tc>
        <w:tc>
          <w:tcPr>
            <w:tcW w:w="2552" w:type="dxa"/>
          </w:tcPr>
          <w:p w14:paraId="04D23627" w14:textId="682FE37A" w:rsidR="00EB243D" w:rsidRPr="00154588" w:rsidRDefault="00EB243D" w:rsidP="008C12B4">
            <w:pPr>
              <w:jc w:val="both"/>
              <w:rPr>
                <w:sz w:val="20"/>
                <w:szCs w:val="20"/>
              </w:rPr>
            </w:pPr>
            <w:r w:rsidRPr="00154588">
              <w:rPr>
                <w:sz w:val="20"/>
                <w:szCs w:val="20"/>
              </w:rPr>
              <w:t>Compatibil</w:t>
            </w:r>
          </w:p>
        </w:tc>
        <w:tc>
          <w:tcPr>
            <w:tcW w:w="3118" w:type="dxa"/>
          </w:tcPr>
          <w:p w14:paraId="0F7434BD" w14:textId="77777777" w:rsidR="00EB243D" w:rsidRPr="00154588" w:rsidRDefault="00EB243D" w:rsidP="008C12B4">
            <w:pPr>
              <w:jc w:val="both"/>
              <w:rPr>
                <w:sz w:val="20"/>
                <w:szCs w:val="20"/>
              </w:rPr>
            </w:pPr>
          </w:p>
        </w:tc>
      </w:tr>
      <w:tr w:rsidR="00EB243D" w:rsidRPr="00154588" w14:paraId="41F2B910" w14:textId="77777777" w:rsidTr="00D15C1B">
        <w:trPr>
          <w:jc w:val="center"/>
        </w:trPr>
        <w:tc>
          <w:tcPr>
            <w:tcW w:w="4957" w:type="dxa"/>
            <w:gridSpan w:val="2"/>
          </w:tcPr>
          <w:p w14:paraId="607EFC7B" w14:textId="77777777" w:rsidR="00EB243D" w:rsidRPr="00154588" w:rsidRDefault="00EB243D" w:rsidP="008C12B4">
            <w:pPr>
              <w:jc w:val="both"/>
              <w:rPr>
                <w:b/>
                <w:sz w:val="20"/>
                <w:szCs w:val="20"/>
              </w:rPr>
            </w:pPr>
            <w:r w:rsidRPr="00154588">
              <w:rPr>
                <w:b/>
                <w:sz w:val="20"/>
                <w:szCs w:val="20"/>
              </w:rPr>
              <w:t>Articolul 82</w:t>
            </w:r>
          </w:p>
          <w:p w14:paraId="02A8DE6B" w14:textId="77777777" w:rsidR="00EB243D" w:rsidRPr="00154588" w:rsidRDefault="00EB243D" w:rsidP="008C12B4">
            <w:pPr>
              <w:jc w:val="both"/>
              <w:rPr>
                <w:b/>
                <w:sz w:val="20"/>
                <w:szCs w:val="20"/>
              </w:rPr>
            </w:pPr>
          </w:p>
          <w:p w14:paraId="09D3E491" w14:textId="77777777" w:rsidR="00EB243D" w:rsidRPr="00154588" w:rsidRDefault="00EB243D" w:rsidP="008C12B4">
            <w:pPr>
              <w:jc w:val="both"/>
              <w:rPr>
                <w:b/>
                <w:sz w:val="20"/>
                <w:szCs w:val="20"/>
              </w:rPr>
            </w:pPr>
          </w:p>
          <w:p w14:paraId="1F1FC0D4" w14:textId="23695948" w:rsidR="00EB243D" w:rsidRPr="00154588" w:rsidRDefault="00EB243D" w:rsidP="008C12B4">
            <w:pPr>
              <w:jc w:val="both"/>
              <w:rPr>
                <w:sz w:val="20"/>
                <w:szCs w:val="20"/>
              </w:rPr>
            </w:pPr>
            <w:r w:rsidRPr="00154588">
              <w:rPr>
                <w:b/>
                <w:sz w:val="20"/>
                <w:szCs w:val="20"/>
              </w:rPr>
              <w:t>Decizia autorității de rezoluție</w:t>
            </w:r>
          </w:p>
        </w:tc>
        <w:tc>
          <w:tcPr>
            <w:tcW w:w="4819" w:type="dxa"/>
          </w:tcPr>
          <w:p w14:paraId="564C567B" w14:textId="77777777" w:rsidR="00EB243D" w:rsidRPr="00154588" w:rsidRDefault="00EB243D" w:rsidP="008C12B4">
            <w:pPr>
              <w:jc w:val="center"/>
              <w:rPr>
                <w:rFonts w:eastAsia="Calibri"/>
                <w:sz w:val="20"/>
                <w:szCs w:val="18"/>
              </w:rPr>
            </w:pPr>
            <w:r w:rsidRPr="00154588">
              <w:rPr>
                <w:rFonts w:eastAsia="Calibri"/>
                <w:b/>
                <w:sz w:val="20"/>
                <w:szCs w:val="18"/>
              </w:rPr>
              <w:t>Secţiunea a 2-a</w:t>
            </w:r>
          </w:p>
          <w:p w14:paraId="499E88FF" w14:textId="77777777" w:rsidR="00EB243D" w:rsidRPr="00154588" w:rsidRDefault="00EB243D" w:rsidP="008C12B4">
            <w:pPr>
              <w:jc w:val="center"/>
              <w:rPr>
                <w:rFonts w:eastAsia="Calibri"/>
                <w:b/>
                <w:sz w:val="20"/>
                <w:szCs w:val="18"/>
              </w:rPr>
            </w:pPr>
            <w:r w:rsidRPr="00154588">
              <w:rPr>
                <w:rFonts w:eastAsia="Calibri"/>
                <w:b/>
                <w:sz w:val="20"/>
                <w:szCs w:val="18"/>
              </w:rPr>
              <w:t xml:space="preserve">Decizia şi obligaţiile procedurale ale </w:t>
            </w:r>
          </w:p>
          <w:p w14:paraId="35ADE0F9" w14:textId="1D1A1423" w:rsidR="00EB243D" w:rsidRPr="00154588" w:rsidRDefault="00EB243D" w:rsidP="008C12B4">
            <w:pPr>
              <w:jc w:val="center"/>
              <w:rPr>
                <w:rFonts w:eastAsia="Calibri"/>
                <w:b/>
                <w:sz w:val="20"/>
                <w:szCs w:val="18"/>
              </w:rPr>
            </w:pPr>
            <w:r w:rsidRPr="00154588">
              <w:rPr>
                <w:rFonts w:eastAsia="Calibri"/>
                <w:b/>
                <w:sz w:val="20"/>
                <w:szCs w:val="18"/>
              </w:rPr>
              <w:t>Băncii Naționale a Moldovei în calitate de  autoritatede rezoluţie</w:t>
            </w:r>
          </w:p>
        </w:tc>
        <w:tc>
          <w:tcPr>
            <w:tcW w:w="2552" w:type="dxa"/>
          </w:tcPr>
          <w:p w14:paraId="0E59267D" w14:textId="77777777" w:rsidR="00EB243D" w:rsidRPr="00154588" w:rsidRDefault="00EB243D" w:rsidP="008C12B4">
            <w:pPr>
              <w:jc w:val="both"/>
              <w:rPr>
                <w:sz w:val="20"/>
                <w:szCs w:val="20"/>
              </w:rPr>
            </w:pPr>
          </w:p>
        </w:tc>
        <w:tc>
          <w:tcPr>
            <w:tcW w:w="3118" w:type="dxa"/>
          </w:tcPr>
          <w:p w14:paraId="0D264475" w14:textId="77777777" w:rsidR="00EB243D" w:rsidRPr="00154588" w:rsidRDefault="00EB243D" w:rsidP="008C12B4">
            <w:pPr>
              <w:jc w:val="both"/>
              <w:rPr>
                <w:sz w:val="20"/>
                <w:szCs w:val="20"/>
              </w:rPr>
            </w:pPr>
          </w:p>
        </w:tc>
      </w:tr>
      <w:tr w:rsidR="00EB243D" w:rsidRPr="00154588" w14:paraId="61C81AF1" w14:textId="77777777" w:rsidTr="00D15C1B">
        <w:trPr>
          <w:jc w:val="center"/>
        </w:trPr>
        <w:tc>
          <w:tcPr>
            <w:tcW w:w="4957" w:type="dxa"/>
            <w:gridSpan w:val="2"/>
          </w:tcPr>
          <w:p w14:paraId="7027DA8F" w14:textId="5DC7181D" w:rsidR="00EB243D" w:rsidRPr="00154588" w:rsidRDefault="00EB243D" w:rsidP="008C12B4">
            <w:pPr>
              <w:jc w:val="both"/>
              <w:rPr>
                <w:sz w:val="20"/>
                <w:szCs w:val="20"/>
              </w:rPr>
            </w:pPr>
            <w:r w:rsidRPr="00154588">
              <w:rPr>
                <w:sz w:val="20"/>
                <w:szCs w:val="20"/>
              </w:rPr>
              <w:t>(1)   La primirea unei comunicări din partea autorității competente în conformitate cu alineatul (3) de la articolul 81 sau din proprie inițiativă, autoritatea de rezoluție stabilește, în conformitate cu articolul 32 alineatul (1) și articolul 33, în ce măsură sunt îndeplinite condițiile de la paragraful respectiv în legătură cu instituția sau cu entitatea menționată la articolul 1 alineatul (1) litera (b), (c) sau (d) în cauză.</w:t>
            </w:r>
          </w:p>
        </w:tc>
        <w:tc>
          <w:tcPr>
            <w:tcW w:w="4819" w:type="dxa"/>
          </w:tcPr>
          <w:p w14:paraId="33DA0D47" w14:textId="22EDB0F2" w:rsidR="00EB243D" w:rsidRPr="00154588" w:rsidRDefault="00EB243D" w:rsidP="008C12B4">
            <w:pPr>
              <w:ind w:firstLine="567"/>
              <w:jc w:val="both"/>
              <w:rPr>
                <w:rFonts w:eastAsia="Calibri"/>
                <w:sz w:val="20"/>
                <w:szCs w:val="18"/>
              </w:rPr>
            </w:pPr>
            <w:r w:rsidRPr="00154588">
              <w:rPr>
                <w:rFonts w:eastAsia="Calibri"/>
                <w:b/>
                <w:sz w:val="20"/>
                <w:szCs w:val="18"/>
              </w:rPr>
              <w:t>Articolul</w:t>
            </w:r>
            <w:r w:rsidRPr="00154588">
              <w:rPr>
                <w:rFonts w:eastAsia="Calibri"/>
                <w:sz w:val="20"/>
                <w:szCs w:val="18"/>
              </w:rPr>
              <w:t xml:space="preserve"> </w:t>
            </w:r>
            <w:r w:rsidRPr="00154588">
              <w:rPr>
                <w:rFonts w:eastAsia="Calibri"/>
                <w:b/>
                <w:sz w:val="20"/>
                <w:szCs w:val="18"/>
              </w:rPr>
              <w:t>281.</w:t>
            </w:r>
            <w:r w:rsidRPr="00154588">
              <w:rPr>
                <w:rFonts w:eastAsia="Calibri"/>
                <w:sz w:val="20"/>
                <w:szCs w:val="18"/>
              </w:rPr>
              <w:t xml:space="preserve"> – Banca Naţională a Moldovei se asigură că, la primirea unei comunicări din partea structurii care exercită funcţia de supraveghere, în conformitate cu prevederile art.279, structura care exercită funcţia de rezoluţie stabileşte, în conformitate cu prevederile art.58 alin.(1), măsura în care sînt îndeplinite condiţiile de la articolul respectiv în legătură cu instituția de credit sau cu entitatea prevăzută la art.1 alin.(1) lit.b), c) sau d) în cauză.</w:t>
            </w:r>
          </w:p>
        </w:tc>
        <w:tc>
          <w:tcPr>
            <w:tcW w:w="2552" w:type="dxa"/>
          </w:tcPr>
          <w:p w14:paraId="53D218FB" w14:textId="3FE38912" w:rsidR="00EB243D" w:rsidRPr="00154588" w:rsidRDefault="00EB243D" w:rsidP="008C12B4">
            <w:pPr>
              <w:jc w:val="both"/>
              <w:rPr>
                <w:sz w:val="20"/>
                <w:szCs w:val="20"/>
              </w:rPr>
            </w:pPr>
            <w:r w:rsidRPr="00154588">
              <w:rPr>
                <w:sz w:val="20"/>
                <w:szCs w:val="20"/>
              </w:rPr>
              <w:t>Compatibil</w:t>
            </w:r>
          </w:p>
        </w:tc>
        <w:tc>
          <w:tcPr>
            <w:tcW w:w="3118" w:type="dxa"/>
          </w:tcPr>
          <w:p w14:paraId="3E153026" w14:textId="77777777" w:rsidR="00EB243D" w:rsidRPr="00154588" w:rsidRDefault="00EB243D" w:rsidP="008C12B4">
            <w:pPr>
              <w:jc w:val="both"/>
              <w:rPr>
                <w:sz w:val="20"/>
                <w:szCs w:val="20"/>
              </w:rPr>
            </w:pPr>
          </w:p>
        </w:tc>
      </w:tr>
      <w:tr w:rsidR="00EB243D" w:rsidRPr="00154588" w14:paraId="3DA2F1C0" w14:textId="77777777" w:rsidTr="00D15C1B">
        <w:trPr>
          <w:jc w:val="center"/>
        </w:trPr>
        <w:tc>
          <w:tcPr>
            <w:tcW w:w="4957" w:type="dxa"/>
            <w:gridSpan w:val="2"/>
          </w:tcPr>
          <w:p w14:paraId="71469E3A" w14:textId="77777777" w:rsidR="00EB243D" w:rsidRPr="00154588" w:rsidRDefault="00EB243D" w:rsidP="008C12B4">
            <w:pPr>
              <w:jc w:val="both"/>
              <w:rPr>
                <w:sz w:val="20"/>
                <w:szCs w:val="20"/>
              </w:rPr>
            </w:pPr>
            <w:r w:rsidRPr="00154588">
              <w:rPr>
                <w:sz w:val="20"/>
                <w:szCs w:val="20"/>
              </w:rPr>
              <w:t>(2)   Decizia prin care se stabilește dacă se iau sau nu măsuri de rezoluție în raport cu o instituție sau o entitate menționată la articolul 1 alineatul (1) litera (b), (c) sau (d) conține următoarele informații:</w:t>
            </w:r>
          </w:p>
          <w:p w14:paraId="3CE15F60" w14:textId="77777777" w:rsidR="00EB243D" w:rsidRPr="00154588" w:rsidRDefault="00EB243D" w:rsidP="008C12B4">
            <w:pPr>
              <w:jc w:val="both"/>
              <w:rPr>
                <w:sz w:val="20"/>
                <w:szCs w:val="20"/>
              </w:rPr>
            </w:pPr>
          </w:p>
          <w:p w14:paraId="1CF54599" w14:textId="3AD5F33E" w:rsidR="00EB243D" w:rsidRPr="00154588" w:rsidRDefault="00EB243D" w:rsidP="008C12B4">
            <w:pPr>
              <w:jc w:val="both"/>
              <w:rPr>
                <w:sz w:val="20"/>
                <w:szCs w:val="20"/>
              </w:rPr>
            </w:pPr>
            <w:r w:rsidRPr="00154588">
              <w:rPr>
                <w:sz w:val="20"/>
                <w:szCs w:val="20"/>
              </w:rPr>
              <w:t>(a) motivele deciziei respective, inclusiv stabilirea faptului că instituția îndeplinește sau nu condițiile pentru rezoluție;</w:t>
            </w:r>
          </w:p>
          <w:p w14:paraId="3854CECF" w14:textId="77777777" w:rsidR="00EB243D" w:rsidRPr="00154588" w:rsidRDefault="00EB243D" w:rsidP="008C12B4">
            <w:pPr>
              <w:jc w:val="both"/>
              <w:rPr>
                <w:sz w:val="20"/>
                <w:szCs w:val="20"/>
              </w:rPr>
            </w:pPr>
          </w:p>
          <w:p w14:paraId="70887D63" w14:textId="05A24720" w:rsidR="00EB243D" w:rsidRPr="00154588" w:rsidRDefault="00EB243D" w:rsidP="008C12B4">
            <w:pPr>
              <w:jc w:val="both"/>
              <w:rPr>
                <w:sz w:val="20"/>
                <w:szCs w:val="20"/>
              </w:rPr>
            </w:pPr>
            <w:r w:rsidRPr="00154588">
              <w:rPr>
                <w:sz w:val="20"/>
                <w:szCs w:val="20"/>
              </w:rPr>
              <w:t>(b) măsura pe care autoritatea de rezoluție intenționează să o ia, inclusiv, dacă este cazul, decizia de a cere lichidarea, numirea unui administrator sau orice altă măsură prevăzută de procedura obișnuită de insolvență sau, sub rezerva articolului 37 alineatul (9) de dreptul intern.</w:t>
            </w:r>
          </w:p>
        </w:tc>
        <w:tc>
          <w:tcPr>
            <w:tcW w:w="4819" w:type="dxa"/>
          </w:tcPr>
          <w:p w14:paraId="186385E5" w14:textId="77777777" w:rsidR="00EB243D" w:rsidRPr="00154588" w:rsidRDefault="00EB243D" w:rsidP="008C12B4">
            <w:pPr>
              <w:ind w:firstLine="567"/>
              <w:jc w:val="both"/>
              <w:rPr>
                <w:rFonts w:eastAsia="Calibri"/>
                <w:sz w:val="20"/>
                <w:szCs w:val="18"/>
              </w:rPr>
            </w:pPr>
            <w:r w:rsidRPr="00154588">
              <w:rPr>
                <w:rFonts w:eastAsia="Calibri"/>
                <w:b/>
                <w:sz w:val="20"/>
                <w:szCs w:val="18"/>
              </w:rPr>
              <w:t>Articolul 282.</w:t>
            </w:r>
            <w:r w:rsidRPr="00154588">
              <w:rPr>
                <w:rFonts w:eastAsia="Calibri"/>
                <w:sz w:val="20"/>
                <w:szCs w:val="18"/>
              </w:rPr>
              <w:t xml:space="preserve"> – Decizia privind aplicarea sau nu a acţiunilor de rezoluţie în raport cu o instituție de credit sau cu o entitate prevăzută la art.1 alin.(1) lit.b), c) sau d) conţine următoarele informaţii:</w:t>
            </w:r>
          </w:p>
          <w:p w14:paraId="3D1458F7" w14:textId="77777777" w:rsidR="00EB243D" w:rsidRPr="00154588" w:rsidRDefault="00EB243D" w:rsidP="008C12B4">
            <w:pPr>
              <w:ind w:firstLine="567"/>
              <w:jc w:val="both"/>
              <w:rPr>
                <w:rFonts w:eastAsia="Calibri"/>
                <w:sz w:val="20"/>
                <w:szCs w:val="18"/>
              </w:rPr>
            </w:pPr>
            <w:r w:rsidRPr="00154588">
              <w:rPr>
                <w:rFonts w:eastAsia="Calibri"/>
                <w:sz w:val="20"/>
                <w:szCs w:val="18"/>
              </w:rPr>
              <w:t>a) motivele deciziei şi modul de evaluare a îndeplinirii sau nu a condiţiilor de declanşare a procedurii de rezoluţie;</w:t>
            </w:r>
          </w:p>
          <w:p w14:paraId="76E037F4" w14:textId="0F108583" w:rsidR="00EB243D" w:rsidRPr="00154588" w:rsidRDefault="00EB243D" w:rsidP="008C12B4">
            <w:pPr>
              <w:ind w:firstLine="567"/>
              <w:jc w:val="both"/>
              <w:rPr>
                <w:rFonts w:eastAsia="Calibri"/>
                <w:sz w:val="20"/>
                <w:szCs w:val="18"/>
              </w:rPr>
            </w:pPr>
            <w:r w:rsidRPr="00154588">
              <w:rPr>
                <w:rFonts w:eastAsia="Calibri"/>
                <w:sz w:val="20"/>
                <w:szCs w:val="18"/>
              </w:rPr>
              <w:t>b) acţiunea pe care autoritatea de rezoluţie a instituțiilor de credit intenţionează să o întreprindă, inclusiv, dacă este cazul, decizia de a impune lichidarea, numirea unui administrator sau orice altă măsură prevăzută de procedura obișnuită de insolvabilitate.</w:t>
            </w:r>
          </w:p>
        </w:tc>
        <w:tc>
          <w:tcPr>
            <w:tcW w:w="2552" w:type="dxa"/>
          </w:tcPr>
          <w:p w14:paraId="3DEFDDE8" w14:textId="170E58CC" w:rsidR="00EB243D" w:rsidRPr="00154588" w:rsidRDefault="00EB243D" w:rsidP="008C12B4">
            <w:pPr>
              <w:jc w:val="both"/>
              <w:rPr>
                <w:sz w:val="20"/>
                <w:szCs w:val="20"/>
              </w:rPr>
            </w:pPr>
            <w:r w:rsidRPr="00154588">
              <w:rPr>
                <w:sz w:val="20"/>
                <w:szCs w:val="20"/>
              </w:rPr>
              <w:t>Compatibil</w:t>
            </w:r>
          </w:p>
        </w:tc>
        <w:tc>
          <w:tcPr>
            <w:tcW w:w="3118" w:type="dxa"/>
          </w:tcPr>
          <w:p w14:paraId="3620D391" w14:textId="77777777" w:rsidR="00EB243D" w:rsidRPr="00154588" w:rsidRDefault="00EB243D" w:rsidP="008C12B4">
            <w:pPr>
              <w:jc w:val="both"/>
              <w:rPr>
                <w:sz w:val="20"/>
                <w:szCs w:val="20"/>
              </w:rPr>
            </w:pPr>
          </w:p>
        </w:tc>
      </w:tr>
      <w:tr w:rsidR="00EB243D" w:rsidRPr="00154588" w14:paraId="1A9E71B1" w14:textId="77777777" w:rsidTr="00D15C1B">
        <w:trPr>
          <w:jc w:val="center"/>
        </w:trPr>
        <w:tc>
          <w:tcPr>
            <w:tcW w:w="4957" w:type="dxa"/>
            <w:gridSpan w:val="2"/>
          </w:tcPr>
          <w:p w14:paraId="0337DF82" w14:textId="77777777" w:rsidR="00EB243D" w:rsidRPr="00154588" w:rsidRDefault="00EB243D" w:rsidP="008C12B4">
            <w:pPr>
              <w:jc w:val="both"/>
              <w:rPr>
                <w:sz w:val="20"/>
                <w:szCs w:val="20"/>
              </w:rPr>
            </w:pPr>
            <w:r w:rsidRPr="00154588">
              <w:rPr>
                <w:sz w:val="20"/>
                <w:szCs w:val="20"/>
              </w:rPr>
              <w:lastRenderedPageBreak/>
              <w:t>(3)   ABE elaborează proiecte de standarde tehnice de reglementare pentru a preciza procedurile și conținutul legate de următoarele cerințe:</w:t>
            </w:r>
          </w:p>
          <w:p w14:paraId="0D39D918" w14:textId="77777777" w:rsidR="00EB243D" w:rsidRPr="00154588" w:rsidRDefault="00EB243D" w:rsidP="008C12B4">
            <w:pPr>
              <w:jc w:val="both"/>
              <w:rPr>
                <w:sz w:val="20"/>
                <w:szCs w:val="20"/>
              </w:rPr>
            </w:pPr>
          </w:p>
          <w:p w14:paraId="174A6AD4" w14:textId="77777777" w:rsidR="00EB243D" w:rsidRPr="00154588" w:rsidRDefault="00EB243D" w:rsidP="008C12B4">
            <w:pPr>
              <w:jc w:val="both"/>
              <w:rPr>
                <w:sz w:val="20"/>
                <w:szCs w:val="20"/>
              </w:rPr>
            </w:pPr>
          </w:p>
          <w:p w14:paraId="65418BA6" w14:textId="1703F0CE" w:rsidR="00EB243D" w:rsidRPr="00154588" w:rsidRDefault="00EB243D" w:rsidP="008C12B4">
            <w:pPr>
              <w:jc w:val="both"/>
              <w:rPr>
                <w:sz w:val="20"/>
                <w:szCs w:val="20"/>
              </w:rPr>
            </w:pPr>
            <w:r w:rsidRPr="00154588">
              <w:rPr>
                <w:sz w:val="20"/>
                <w:szCs w:val="20"/>
              </w:rPr>
              <w:t>(a) notificările menționate la articolul 81 alineatele (1), (2) și (3),</w:t>
            </w:r>
          </w:p>
          <w:p w14:paraId="1E9743B6" w14:textId="77777777" w:rsidR="00EB243D" w:rsidRPr="00154588" w:rsidRDefault="00EB243D" w:rsidP="008C12B4">
            <w:pPr>
              <w:jc w:val="both"/>
              <w:rPr>
                <w:sz w:val="20"/>
                <w:szCs w:val="20"/>
              </w:rPr>
            </w:pPr>
          </w:p>
          <w:p w14:paraId="18240E83" w14:textId="1B155A04" w:rsidR="00EB243D" w:rsidRPr="00154588" w:rsidRDefault="00EB243D" w:rsidP="008C12B4">
            <w:pPr>
              <w:jc w:val="both"/>
              <w:rPr>
                <w:sz w:val="20"/>
                <w:szCs w:val="20"/>
              </w:rPr>
            </w:pPr>
            <w:r w:rsidRPr="00154588">
              <w:rPr>
                <w:sz w:val="20"/>
                <w:szCs w:val="20"/>
              </w:rPr>
              <w:t>(b) avizul de suspendare menționat la articolul 83.</w:t>
            </w:r>
          </w:p>
          <w:p w14:paraId="3A4D6DEA" w14:textId="77777777" w:rsidR="00EB243D" w:rsidRPr="00154588" w:rsidRDefault="00EB243D" w:rsidP="008C12B4">
            <w:pPr>
              <w:jc w:val="both"/>
              <w:rPr>
                <w:sz w:val="20"/>
                <w:szCs w:val="20"/>
              </w:rPr>
            </w:pPr>
          </w:p>
          <w:p w14:paraId="477E77EF" w14:textId="77777777" w:rsidR="00EB243D" w:rsidRPr="00154588" w:rsidRDefault="00EB243D" w:rsidP="008C12B4">
            <w:pPr>
              <w:jc w:val="both"/>
              <w:rPr>
                <w:sz w:val="20"/>
                <w:szCs w:val="20"/>
              </w:rPr>
            </w:pPr>
            <w:r w:rsidRPr="00154588">
              <w:rPr>
                <w:sz w:val="20"/>
                <w:szCs w:val="20"/>
              </w:rPr>
              <w:t>ABE înaintează Comisiei aceste proiecte de standarde tehnice de reglementare până la 3 iulie 2015.</w:t>
            </w:r>
          </w:p>
          <w:p w14:paraId="2A4458F4" w14:textId="77777777" w:rsidR="00EB243D" w:rsidRPr="00154588" w:rsidRDefault="00EB243D" w:rsidP="008C12B4">
            <w:pPr>
              <w:jc w:val="both"/>
              <w:rPr>
                <w:sz w:val="20"/>
                <w:szCs w:val="20"/>
              </w:rPr>
            </w:pPr>
          </w:p>
          <w:p w14:paraId="25DC0EC9" w14:textId="0BADEC06" w:rsidR="00EB243D" w:rsidRPr="00154588" w:rsidRDefault="00EB243D" w:rsidP="008C12B4">
            <w:pPr>
              <w:jc w:val="both"/>
              <w:rPr>
                <w:sz w:val="20"/>
                <w:szCs w:val="20"/>
              </w:rPr>
            </w:pPr>
            <w:r w:rsidRPr="00154588">
              <w:rPr>
                <w:sz w:val="20"/>
                <w:szCs w:val="20"/>
              </w:rPr>
              <w:t>Se deleagă Comisiei competența de a adopta standardele tehnice de reglementare menționate la primul paragraf, în conformitate cu articolele 10-14 din Regulamentul (UE) nr. 1093/2010.</w:t>
            </w:r>
          </w:p>
        </w:tc>
        <w:tc>
          <w:tcPr>
            <w:tcW w:w="4819" w:type="dxa"/>
          </w:tcPr>
          <w:p w14:paraId="7BFC07FF" w14:textId="13D297FF" w:rsidR="00EB243D" w:rsidRPr="00154588" w:rsidRDefault="00EB243D" w:rsidP="008C12B4">
            <w:pPr>
              <w:jc w:val="center"/>
              <w:rPr>
                <w:sz w:val="20"/>
                <w:szCs w:val="16"/>
              </w:rPr>
            </w:pPr>
            <w:r w:rsidRPr="00154588">
              <w:rPr>
                <w:sz w:val="20"/>
                <w:szCs w:val="16"/>
              </w:rPr>
              <w:t>-</w:t>
            </w:r>
          </w:p>
        </w:tc>
        <w:tc>
          <w:tcPr>
            <w:tcW w:w="2552" w:type="dxa"/>
          </w:tcPr>
          <w:p w14:paraId="39AD08B8" w14:textId="111DD54D" w:rsidR="00EB243D" w:rsidRPr="00154588" w:rsidRDefault="00EB243D" w:rsidP="008C12B4">
            <w:pPr>
              <w:jc w:val="both"/>
              <w:rPr>
                <w:sz w:val="20"/>
                <w:szCs w:val="16"/>
              </w:rPr>
            </w:pPr>
            <w:r w:rsidRPr="00154588">
              <w:rPr>
                <w:sz w:val="20"/>
                <w:szCs w:val="16"/>
              </w:rPr>
              <w:t>Norme UE neaplicabile</w:t>
            </w:r>
          </w:p>
        </w:tc>
        <w:tc>
          <w:tcPr>
            <w:tcW w:w="3118" w:type="dxa"/>
          </w:tcPr>
          <w:p w14:paraId="3E344553" w14:textId="408C9F46" w:rsidR="00EB243D" w:rsidRPr="00154588" w:rsidRDefault="00EB243D" w:rsidP="008C12B4">
            <w:pPr>
              <w:jc w:val="both"/>
              <w:rPr>
                <w:sz w:val="20"/>
                <w:szCs w:val="16"/>
              </w:rPr>
            </w:pPr>
            <w:r w:rsidRPr="00154588">
              <w:rPr>
                <w:sz w:val="20"/>
                <w:szCs w:val="16"/>
              </w:rPr>
              <w:t>Prevederi care se referă la atribuțiile de reglementare ale autorităților europene.</w:t>
            </w:r>
          </w:p>
        </w:tc>
      </w:tr>
      <w:tr w:rsidR="00EB243D" w:rsidRPr="00154588" w14:paraId="4E5EC00C" w14:textId="77777777" w:rsidTr="00D15C1B">
        <w:trPr>
          <w:jc w:val="center"/>
        </w:trPr>
        <w:tc>
          <w:tcPr>
            <w:tcW w:w="4957" w:type="dxa"/>
            <w:gridSpan w:val="2"/>
          </w:tcPr>
          <w:p w14:paraId="40681EF2" w14:textId="77777777" w:rsidR="00EB243D" w:rsidRPr="00154588" w:rsidRDefault="00EB243D" w:rsidP="008C12B4">
            <w:pPr>
              <w:jc w:val="both"/>
              <w:rPr>
                <w:b/>
                <w:sz w:val="20"/>
                <w:szCs w:val="20"/>
              </w:rPr>
            </w:pPr>
            <w:r w:rsidRPr="00154588">
              <w:rPr>
                <w:b/>
                <w:sz w:val="20"/>
                <w:szCs w:val="20"/>
              </w:rPr>
              <w:t>Articolul 83</w:t>
            </w:r>
          </w:p>
          <w:p w14:paraId="7577F510" w14:textId="77777777" w:rsidR="00EB243D" w:rsidRPr="00154588" w:rsidRDefault="00EB243D" w:rsidP="008C12B4">
            <w:pPr>
              <w:jc w:val="both"/>
              <w:rPr>
                <w:b/>
                <w:sz w:val="20"/>
                <w:szCs w:val="20"/>
              </w:rPr>
            </w:pPr>
          </w:p>
          <w:p w14:paraId="0FE6B4BA" w14:textId="16016E23" w:rsidR="00EB243D" w:rsidRPr="00154588" w:rsidRDefault="00EB243D" w:rsidP="008C12B4">
            <w:pPr>
              <w:jc w:val="both"/>
              <w:rPr>
                <w:sz w:val="20"/>
                <w:szCs w:val="20"/>
              </w:rPr>
            </w:pPr>
            <w:r w:rsidRPr="00154588">
              <w:rPr>
                <w:b/>
                <w:sz w:val="20"/>
                <w:szCs w:val="20"/>
              </w:rPr>
              <w:t>Obligații procedurale ale autorităților de rezoluție</w:t>
            </w:r>
          </w:p>
        </w:tc>
        <w:tc>
          <w:tcPr>
            <w:tcW w:w="4819" w:type="dxa"/>
          </w:tcPr>
          <w:p w14:paraId="1B5D253F" w14:textId="77777777" w:rsidR="00EB243D" w:rsidRPr="00154588" w:rsidRDefault="00EB243D" w:rsidP="008C12B4">
            <w:pPr>
              <w:jc w:val="both"/>
              <w:rPr>
                <w:sz w:val="20"/>
                <w:szCs w:val="20"/>
              </w:rPr>
            </w:pPr>
          </w:p>
        </w:tc>
        <w:tc>
          <w:tcPr>
            <w:tcW w:w="2552" w:type="dxa"/>
          </w:tcPr>
          <w:p w14:paraId="1A1E5DDC" w14:textId="77777777" w:rsidR="00EB243D" w:rsidRPr="00154588" w:rsidRDefault="00EB243D" w:rsidP="008C12B4">
            <w:pPr>
              <w:jc w:val="both"/>
              <w:rPr>
                <w:sz w:val="20"/>
                <w:szCs w:val="20"/>
              </w:rPr>
            </w:pPr>
          </w:p>
        </w:tc>
        <w:tc>
          <w:tcPr>
            <w:tcW w:w="3118" w:type="dxa"/>
          </w:tcPr>
          <w:p w14:paraId="1A038AF4" w14:textId="77777777" w:rsidR="00EB243D" w:rsidRPr="00154588" w:rsidRDefault="00EB243D" w:rsidP="008C12B4">
            <w:pPr>
              <w:jc w:val="both"/>
              <w:rPr>
                <w:sz w:val="20"/>
                <w:szCs w:val="20"/>
              </w:rPr>
            </w:pPr>
          </w:p>
        </w:tc>
      </w:tr>
      <w:tr w:rsidR="00EB243D" w:rsidRPr="00154588" w14:paraId="074A11E2" w14:textId="77777777" w:rsidTr="00D15C1B">
        <w:trPr>
          <w:jc w:val="center"/>
        </w:trPr>
        <w:tc>
          <w:tcPr>
            <w:tcW w:w="4957" w:type="dxa"/>
            <w:gridSpan w:val="2"/>
          </w:tcPr>
          <w:p w14:paraId="5BC0EB69" w14:textId="67195549" w:rsidR="00EB243D" w:rsidRPr="00154588" w:rsidRDefault="00EB243D" w:rsidP="008C12B4">
            <w:pPr>
              <w:jc w:val="both"/>
              <w:rPr>
                <w:sz w:val="20"/>
                <w:szCs w:val="20"/>
              </w:rPr>
            </w:pPr>
            <w:r w:rsidRPr="00154588">
              <w:rPr>
                <w:sz w:val="20"/>
                <w:szCs w:val="20"/>
              </w:rPr>
              <w:t>(1)   Statele membre se asigură că, după luarea unei măsuri de rezoluție, autoritățile de rezoluție se conformează cerințelor prevăzute la alineatele (2), (3) și (4), imediat ce acest lucru devine în mod rezonabil posibil.</w:t>
            </w:r>
          </w:p>
        </w:tc>
        <w:tc>
          <w:tcPr>
            <w:tcW w:w="4819" w:type="dxa"/>
          </w:tcPr>
          <w:p w14:paraId="0208BDEF" w14:textId="13B0FD77" w:rsidR="00EB243D" w:rsidRPr="00154588" w:rsidRDefault="00EB243D" w:rsidP="008C12B4">
            <w:pPr>
              <w:ind w:firstLine="567"/>
              <w:jc w:val="both"/>
              <w:rPr>
                <w:rFonts w:eastAsia="Calibri"/>
                <w:sz w:val="20"/>
                <w:szCs w:val="20"/>
              </w:rPr>
            </w:pPr>
            <w:r w:rsidRPr="00154588">
              <w:rPr>
                <w:rFonts w:eastAsia="Calibri"/>
                <w:b/>
                <w:sz w:val="20"/>
                <w:szCs w:val="20"/>
              </w:rPr>
              <w:t>Articolul 283.</w:t>
            </w:r>
            <w:r w:rsidRPr="00154588">
              <w:rPr>
                <w:rFonts w:eastAsia="Calibri"/>
                <w:sz w:val="20"/>
                <w:szCs w:val="20"/>
              </w:rPr>
              <w:t xml:space="preserve"> – Banca Naţională a Moldovei, în calitate de autoritate de rezoluţie a instituțiilor de credit, se conformează cerinţelor prevăzute la art.284-286, în legătură cu orice acţiune de rezoluţie, imediat ce acest lucru devine în mod rezonabil posibil.</w:t>
            </w:r>
          </w:p>
        </w:tc>
        <w:tc>
          <w:tcPr>
            <w:tcW w:w="2552" w:type="dxa"/>
          </w:tcPr>
          <w:p w14:paraId="408FFF4F" w14:textId="2DA3BCBE" w:rsidR="00EB243D" w:rsidRPr="00154588" w:rsidRDefault="00EB243D" w:rsidP="008C12B4">
            <w:pPr>
              <w:jc w:val="both"/>
              <w:rPr>
                <w:sz w:val="20"/>
                <w:szCs w:val="20"/>
              </w:rPr>
            </w:pPr>
            <w:r w:rsidRPr="00154588">
              <w:rPr>
                <w:sz w:val="20"/>
                <w:szCs w:val="20"/>
              </w:rPr>
              <w:t>Compatibil</w:t>
            </w:r>
          </w:p>
        </w:tc>
        <w:tc>
          <w:tcPr>
            <w:tcW w:w="3118" w:type="dxa"/>
          </w:tcPr>
          <w:p w14:paraId="6F424E4A" w14:textId="77777777" w:rsidR="00EB243D" w:rsidRPr="00154588" w:rsidRDefault="00EB243D" w:rsidP="008C12B4">
            <w:pPr>
              <w:jc w:val="both"/>
              <w:rPr>
                <w:sz w:val="20"/>
                <w:szCs w:val="20"/>
              </w:rPr>
            </w:pPr>
          </w:p>
        </w:tc>
      </w:tr>
      <w:tr w:rsidR="00EB243D" w:rsidRPr="00154588" w14:paraId="42CDD77A" w14:textId="77777777" w:rsidTr="00D15C1B">
        <w:trPr>
          <w:jc w:val="center"/>
        </w:trPr>
        <w:tc>
          <w:tcPr>
            <w:tcW w:w="4957" w:type="dxa"/>
            <w:gridSpan w:val="2"/>
          </w:tcPr>
          <w:p w14:paraId="3A7F89B4" w14:textId="77777777" w:rsidR="00EB243D" w:rsidRPr="00154588" w:rsidRDefault="00EB243D" w:rsidP="008C12B4">
            <w:pPr>
              <w:jc w:val="both"/>
              <w:rPr>
                <w:sz w:val="20"/>
                <w:szCs w:val="20"/>
              </w:rPr>
            </w:pPr>
            <w:r w:rsidRPr="00154588">
              <w:rPr>
                <w:sz w:val="20"/>
                <w:szCs w:val="20"/>
              </w:rPr>
              <w:t>(2)   Autoritatea de rezoluție notifică instituției aflate în rezoluție și următoarelor autorități, dacă sunt diferite:</w:t>
            </w:r>
          </w:p>
          <w:p w14:paraId="394393C0" w14:textId="77777777" w:rsidR="00EB243D" w:rsidRPr="00154588" w:rsidRDefault="00EB243D" w:rsidP="008C12B4">
            <w:pPr>
              <w:jc w:val="both"/>
              <w:rPr>
                <w:sz w:val="20"/>
                <w:szCs w:val="20"/>
              </w:rPr>
            </w:pPr>
          </w:p>
          <w:p w14:paraId="757274B1" w14:textId="77777777" w:rsidR="00EB243D" w:rsidRPr="00154588" w:rsidRDefault="00EB243D" w:rsidP="008C12B4">
            <w:pPr>
              <w:jc w:val="both"/>
              <w:rPr>
                <w:sz w:val="20"/>
                <w:szCs w:val="20"/>
              </w:rPr>
            </w:pPr>
          </w:p>
          <w:p w14:paraId="2C2A4382" w14:textId="6DE65B25" w:rsidR="00EB243D" w:rsidRPr="00154588" w:rsidRDefault="00EB243D" w:rsidP="008C12B4">
            <w:pPr>
              <w:jc w:val="both"/>
              <w:rPr>
                <w:sz w:val="20"/>
                <w:szCs w:val="20"/>
              </w:rPr>
            </w:pPr>
            <w:r w:rsidRPr="00154588">
              <w:rPr>
                <w:sz w:val="20"/>
                <w:szCs w:val="20"/>
              </w:rPr>
              <w:t>(a) autorității competente a instituției aflate în rezoluție;</w:t>
            </w:r>
          </w:p>
          <w:p w14:paraId="6C6C9B47" w14:textId="77777777" w:rsidR="00EB243D" w:rsidRPr="00154588" w:rsidRDefault="00EB243D" w:rsidP="008C12B4">
            <w:pPr>
              <w:jc w:val="both"/>
              <w:rPr>
                <w:sz w:val="20"/>
                <w:szCs w:val="20"/>
              </w:rPr>
            </w:pPr>
          </w:p>
          <w:p w14:paraId="19EF1C75" w14:textId="77777777" w:rsidR="00EB243D" w:rsidRPr="00154588" w:rsidRDefault="00EB243D" w:rsidP="008C12B4">
            <w:pPr>
              <w:jc w:val="both"/>
              <w:rPr>
                <w:sz w:val="20"/>
                <w:szCs w:val="20"/>
              </w:rPr>
            </w:pPr>
          </w:p>
          <w:p w14:paraId="6A428BDC" w14:textId="282ED72F" w:rsidR="00EB243D" w:rsidRPr="00154588" w:rsidRDefault="00EB243D" w:rsidP="008C12B4">
            <w:pPr>
              <w:jc w:val="both"/>
              <w:rPr>
                <w:sz w:val="20"/>
                <w:szCs w:val="20"/>
              </w:rPr>
            </w:pPr>
            <w:r w:rsidRPr="00154588">
              <w:rPr>
                <w:sz w:val="20"/>
                <w:szCs w:val="20"/>
              </w:rPr>
              <w:t>(b) autorității competente a unei eventuale sucursale a instituției aflate în rezoluție;</w:t>
            </w:r>
          </w:p>
          <w:p w14:paraId="15FC7242" w14:textId="77777777" w:rsidR="00EB243D" w:rsidRPr="00154588" w:rsidRDefault="00EB243D" w:rsidP="008C12B4">
            <w:pPr>
              <w:jc w:val="both"/>
              <w:rPr>
                <w:sz w:val="20"/>
                <w:szCs w:val="20"/>
              </w:rPr>
            </w:pPr>
          </w:p>
          <w:p w14:paraId="7DFFD21A" w14:textId="473DC802" w:rsidR="00EB243D" w:rsidRPr="00154588" w:rsidRDefault="00EB243D" w:rsidP="008C12B4">
            <w:pPr>
              <w:jc w:val="both"/>
              <w:rPr>
                <w:sz w:val="20"/>
                <w:szCs w:val="20"/>
              </w:rPr>
            </w:pPr>
            <w:r w:rsidRPr="00154588">
              <w:rPr>
                <w:sz w:val="20"/>
                <w:szCs w:val="20"/>
              </w:rPr>
              <w:t>(c) băncii centrale;</w:t>
            </w:r>
          </w:p>
          <w:p w14:paraId="5A2C320B" w14:textId="77777777" w:rsidR="00EB243D" w:rsidRPr="00154588" w:rsidRDefault="00EB243D" w:rsidP="008C12B4">
            <w:pPr>
              <w:jc w:val="both"/>
              <w:rPr>
                <w:sz w:val="20"/>
                <w:szCs w:val="20"/>
              </w:rPr>
            </w:pPr>
          </w:p>
          <w:p w14:paraId="555DA095" w14:textId="11ECDF43" w:rsidR="00EB243D" w:rsidRPr="00154588" w:rsidRDefault="00EB243D" w:rsidP="008C12B4">
            <w:pPr>
              <w:jc w:val="both"/>
              <w:rPr>
                <w:sz w:val="20"/>
                <w:szCs w:val="20"/>
              </w:rPr>
            </w:pPr>
            <w:r w:rsidRPr="00154588">
              <w:rPr>
                <w:sz w:val="20"/>
                <w:szCs w:val="20"/>
              </w:rPr>
              <w:t>(d) schemei de garantare a depozitelor la care este afiliată instituția aflată în rezoluție;</w:t>
            </w:r>
          </w:p>
          <w:p w14:paraId="03E64A60" w14:textId="77777777" w:rsidR="00EB243D" w:rsidRPr="00154588" w:rsidRDefault="00EB243D" w:rsidP="008C12B4">
            <w:pPr>
              <w:jc w:val="both"/>
              <w:rPr>
                <w:sz w:val="20"/>
                <w:szCs w:val="20"/>
              </w:rPr>
            </w:pPr>
          </w:p>
          <w:p w14:paraId="3AC33512" w14:textId="77777777" w:rsidR="00EB243D" w:rsidRPr="00154588" w:rsidRDefault="00EB243D" w:rsidP="008C12B4">
            <w:pPr>
              <w:jc w:val="both"/>
              <w:rPr>
                <w:sz w:val="20"/>
                <w:szCs w:val="20"/>
              </w:rPr>
            </w:pPr>
          </w:p>
          <w:p w14:paraId="440C01D7" w14:textId="45B37DC6" w:rsidR="00EB243D" w:rsidRPr="00154588" w:rsidRDefault="00EB243D" w:rsidP="008C12B4">
            <w:pPr>
              <w:jc w:val="both"/>
              <w:rPr>
                <w:sz w:val="20"/>
                <w:szCs w:val="20"/>
              </w:rPr>
            </w:pPr>
            <w:r w:rsidRPr="00154588">
              <w:rPr>
                <w:sz w:val="20"/>
                <w:szCs w:val="20"/>
              </w:rPr>
              <w:lastRenderedPageBreak/>
              <w:t>(e) organului care răspunde de mecanismele de finanțare a rezoluției;</w:t>
            </w:r>
          </w:p>
          <w:p w14:paraId="1BAF77B7" w14:textId="77777777" w:rsidR="00EB243D" w:rsidRPr="00154588" w:rsidRDefault="00EB243D" w:rsidP="008C12B4">
            <w:pPr>
              <w:jc w:val="both"/>
              <w:rPr>
                <w:sz w:val="20"/>
                <w:szCs w:val="20"/>
              </w:rPr>
            </w:pPr>
          </w:p>
          <w:p w14:paraId="7E37B816" w14:textId="4900FB3F" w:rsidR="00EB243D" w:rsidRPr="00154588" w:rsidRDefault="00EB243D" w:rsidP="008C12B4">
            <w:pPr>
              <w:jc w:val="both"/>
              <w:rPr>
                <w:sz w:val="20"/>
                <w:szCs w:val="20"/>
              </w:rPr>
            </w:pPr>
            <w:r w:rsidRPr="00154588">
              <w:rPr>
                <w:sz w:val="20"/>
                <w:szCs w:val="20"/>
              </w:rPr>
              <w:t>(f) autorității de rezoluție a grupului, după caz;</w:t>
            </w:r>
          </w:p>
          <w:p w14:paraId="3A9E1E0D" w14:textId="77777777" w:rsidR="00EB243D" w:rsidRPr="00154588" w:rsidRDefault="00EB243D" w:rsidP="008C12B4">
            <w:pPr>
              <w:jc w:val="both"/>
              <w:rPr>
                <w:sz w:val="20"/>
                <w:szCs w:val="20"/>
              </w:rPr>
            </w:pPr>
          </w:p>
          <w:p w14:paraId="0B02F302" w14:textId="77777777" w:rsidR="00EB243D" w:rsidRPr="00154588" w:rsidRDefault="00EB243D" w:rsidP="008C12B4">
            <w:pPr>
              <w:jc w:val="both"/>
              <w:rPr>
                <w:sz w:val="20"/>
                <w:szCs w:val="20"/>
              </w:rPr>
            </w:pPr>
          </w:p>
          <w:p w14:paraId="457AD6F8" w14:textId="339728B2" w:rsidR="00EB243D" w:rsidRPr="00154588" w:rsidRDefault="00EB243D" w:rsidP="008C12B4">
            <w:pPr>
              <w:jc w:val="both"/>
              <w:rPr>
                <w:sz w:val="20"/>
                <w:szCs w:val="20"/>
              </w:rPr>
            </w:pPr>
            <w:r w:rsidRPr="00154588">
              <w:rPr>
                <w:sz w:val="20"/>
                <w:szCs w:val="20"/>
              </w:rPr>
              <w:t>(g) ministerului competent;</w:t>
            </w:r>
          </w:p>
          <w:p w14:paraId="1495B9D8" w14:textId="77777777" w:rsidR="00EB243D" w:rsidRPr="00154588" w:rsidRDefault="00EB243D" w:rsidP="008C12B4">
            <w:pPr>
              <w:jc w:val="both"/>
              <w:rPr>
                <w:sz w:val="20"/>
                <w:szCs w:val="20"/>
              </w:rPr>
            </w:pPr>
          </w:p>
          <w:p w14:paraId="66339855" w14:textId="5DAC3C6E" w:rsidR="00EB243D" w:rsidRPr="00154588" w:rsidRDefault="00EB243D" w:rsidP="008C12B4">
            <w:pPr>
              <w:jc w:val="both"/>
              <w:rPr>
                <w:sz w:val="20"/>
                <w:szCs w:val="20"/>
              </w:rPr>
            </w:pPr>
            <w:r w:rsidRPr="00154588">
              <w:rPr>
                <w:sz w:val="20"/>
                <w:szCs w:val="20"/>
              </w:rPr>
              <w:t>(h) în cazul în care instituția aflată în rezoluție face obiectul supravegherii pe bază consolidată în conformitate cu titlul VII capitolul 3 din Directiva 2013/36/UE, supraveghetorului consolidant;</w:t>
            </w:r>
          </w:p>
          <w:p w14:paraId="6467E75E" w14:textId="77777777" w:rsidR="00EB243D" w:rsidRPr="00154588" w:rsidRDefault="00EB243D" w:rsidP="008C12B4">
            <w:pPr>
              <w:jc w:val="both"/>
              <w:rPr>
                <w:sz w:val="20"/>
                <w:szCs w:val="20"/>
              </w:rPr>
            </w:pPr>
          </w:p>
          <w:p w14:paraId="5AB9C95F" w14:textId="6F20F036" w:rsidR="00EB243D" w:rsidRPr="00154588" w:rsidRDefault="00EB243D" w:rsidP="008C12B4">
            <w:pPr>
              <w:jc w:val="both"/>
              <w:rPr>
                <w:sz w:val="20"/>
                <w:szCs w:val="20"/>
              </w:rPr>
            </w:pPr>
            <w:r w:rsidRPr="00154588">
              <w:rPr>
                <w:sz w:val="20"/>
                <w:szCs w:val="20"/>
              </w:rPr>
              <w:t>(i) autorității macroprudențiale naționale desemnate și CERS;</w:t>
            </w:r>
          </w:p>
          <w:p w14:paraId="246F17E8" w14:textId="77777777" w:rsidR="00EB243D" w:rsidRPr="00154588" w:rsidRDefault="00EB243D" w:rsidP="008C12B4">
            <w:pPr>
              <w:jc w:val="both"/>
              <w:rPr>
                <w:sz w:val="20"/>
                <w:szCs w:val="20"/>
              </w:rPr>
            </w:pPr>
          </w:p>
          <w:p w14:paraId="3FFE786E" w14:textId="77777777" w:rsidR="00EB243D" w:rsidRPr="00154588" w:rsidRDefault="00EB243D" w:rsidP="008C12B4">
            <w:pPr>
              <w:jc w:val="both"/>
              <w:rPr>
                <w:sz w:val="20"/>
                <w:szCs w:val="20"/>
              </w:rPr>
            </w:pPr>
          </w:p>
          <w:p w14:paraId="53793DC8" w14:textId="4291F014" w:rsidR="00EB243D" w:rsidRPr="00154588" w:rsidRDefault="00EB243D" w:rsidP="008C12B4">
            <w:pPr>
              <w:jc w:val="both"/>
              <w:rPr>
                <w:sz w:val="20"/>
                <w:szCs w:val="20"/>
              </w:rPr>
            </w:pPr>
            <w:r w:rsidRPr="00154588">
              <w:rPr>
                <w:sz w:val="20"/>
                <w:szCs w:val="20"/>
              </w:rPr>
              <w:t>(j) Comisiei, Băncii Centrale Europene, AEVMP, Autorității europene de supraveghere (Autoritatea Europeană pentru Asigurări și Pensii Ocupaționale) („EIOPA”) instituită prin Regulamentul (UE) nr. 1094/2010 și ABE;</w:t>
            </w:r>
          </w:p>
          <w:p w14:paraId="6D43F44D" w14:textId="77777777" w:rsidR="00EB243D" w:rsidRPr="00154588" w:rsidRDefault="00EB243D" w:rsidP="008C12B4">
            <w:pPr>
              <w:jc w:val="both"/>
              <w:rPr>
                <w:sz w:val="20"/>
                <w:szCs w:val="20"/>
              </w:rPr>
            </w:pPr>
          </w:p>
          <w:p w14:paraId="729F5C9E" w14:textId="77777777" w:rsidR="00EB243D" w:rsidRPr="00154588" w:rsidRDefault="00EB243D" w:rsidP="008C12B4">
            <w:pPr>
              <w:jc w:val="both"/>
              <w:rPr>
                <w:sz w:val="20"/>
                <w:szCs w:val="20"/>
              </w:rPr>
            </w:pPr>
          </w:p>
          <w:p w14:paraId="7C093601" w14:textId="337C4C90" w:rsidR="00EB243D" w:rsidRPr="00154588" w:rsidRDefault="00EB243D" w:rsidP="008C12B4">
            <w:pPr>
              <w:jc w:val="both"/>
              <w:rPr>
                <w:sz w:val="20"/>
                <w:szCs w:val="20"/>
              </w:rPr>
            </w:pPr>
            <w:r w:rsidRPr="00154588">
              <w:rPr>
                <w:sz w:val="20"/>
                <w:szCs w:val="20"/>
              </w:rPr>
              <w:t>(k) în cazul în care instituția aflată în rezoluție este o instituție definită în termenii articolului 2 litera (b) din Directiva 98/26/CE, operatorilor sistemelor din care face parte respectiva instituție.</w:t>
            </w:r>
          </w:p>
        </w:tc>
        <w:tc>
          <w:tcPr>
            <w:tcW w:w="4819" w:type="dxa"/>
          </w:tcPr>
          <w:p w14:paraId="338D53CA" w14:textId="77777777" w:rsidR="00EB243D" w:rsidRPr="00154588" w:rsidRDefault="00EB243D" w:rsidP="008C12B4">
            <w:pPr>
              <w:ind w:firstLine="567"/>
              <w:jc w:val="both"/>
              <w:rPr>
                <w:rFonts w:eastAsia="Calibri"/>
                <w:sz w:val="20"/>
                <w:szCs w:val="20"/>
              </w:rPr>
            </w:pPr>
            <w:r w:rsidRPr="00154588">
              <w:rPr>
                <w:rFonts w:eastAsia="Calibri"/>
                <w:b/>
                <w:sz w:val="20"/>
                <w:szCs w:val="20"/>
              </w:rPr>
              <w:lastRenderedPageBreak/>
              <w:t>Articolul 284.</w:t>
            </w:r>
            <w:r w:rsidRPr="00154588">
              <w:rPr>
                <w:rFonts w:eastAsia="Calibri"/>
                <w:sz w:val="20"/>
                <w:szCs w:val="20"/>
              </w:rPr>
              <w:t xml:space="preserve"> – (1) Banca Naţională a Moldovei, în calitate de autoritate de rezoluţie, notifică acţiunea de rezoluţie instituției supuse rezoluţiei şi, după caz:</w:t>
            </w:r>
          </w:p>
          <w:p w14:paraId="4FD43DD4" w14:textId="77777777" w:rsidR="00EB243D" w:rsidRPr="00154588" w:rsidRDefault="00EB243D" w:rsidP="008C12B4">
            <w:pPr>
              <w:ind w:firstLine="567"/>
              <w:jc w:val="both"/>
              <w:rPr>
                <w:rFonts w:eastAsia="Calibri"/>
                <w:sz w:val="20"/>
                <w:szCs w:val="20"/>
              </w:rPr>
            </w:pPr>
            <w:r w:rsidRPr="00154588">
              <w:rPr>
                <w:rFonts w:eastAsia="Calibri"/>
                <w:sz w:val="20"/>
                <w:szCs w:val="20"/>
              </w:rPr>
              <w:t>a) Fondului de garantare a depozitelor în sistemul bancar, în calitate de administrator al fondului de rezoluție bancară;</w:t>
            </w:r>
          </w:p>
          <w:p w14:paraId="1C54D8DE" w14:textId="77777777" w:rsidR="00EB243D" w:rsidRPr="00154588" w:rsidRDefault="00EB243D" w:rsidP="008C12B4">
            <w:pPr>
              <w:ind w:firstLine="567"/>
              <w:jc w:val="both"/>
              <w:rPr>
                <w:rFonts w:eastAsia="Calibri"/>
                <w:sz w:val="20"/>
                <w:szCs w:val="20"/>
              </w:rPr>
            </w:pPr>
            <w:r w:rsidRPr="00154588">
              <w:rPr>
                <w:rFonts w:eastAsia="Calibri"/>
                <w:sz w:val="20"/>
                <w:szCs w:val="20"/>
              </w:rPr>
              <w:t>b) Ministerului Finanţelor, în calitate de minister competent;</w:t>
            </w:r>
          </w:p>
          <w:p w14:paraId="7E1070DF" w14:textId="77777777" w:rsidR="00EB243D" w:rsidRPr="00154588" w:rsidRDefault="00EB243D" w:rsidP="008C12B4">
            <w:pPr>
              <w:ind w:firstLine="567"/>
              <w:jc w:val="both"/>
              <w:rPr>
                <w:rFonts w:eastAsia="Calibri"/>
                <w:sz w:val="20"/>
                <w:szCs w:val="20"/>
              </w:rPr>
            </w:pPr>
            <w:r w:rsidRPr="00154588">
              <w:rPr>
                <w:rFonts w:eastAsia="Calibri"/>
                <w:sz w:val="20"/>
                <w:szCs w:val="20"/>
              </w:rPr>
              <w:t>c) autorităţii naţionale macroprudenţiale desemnate</w:t>
            </w:r>
            <w:r w:rsidRPr="00154588">
              <w:rPr>
                <w:rFonts w:eastAsia="Calibri"/>
                <w:kern w:val="2"/>
                <w:sz w:val="20"/>
                <w:szCs w:val="20"/>
                <w14:ligatures w14:val="standardContextual"/>
              </w:rPr>
              <w:t xml:space="preserve"> </w:t>
            </w:r>
            <w:r w:rsidRPr="00154588">
              <w:rPr>
                <w:rFonts w:eastAsia="Calibri"/>
                <w:sz w:val="20"/>
                <w:szCs w:val="20"/>
              </w:rPr>
              <w:t>din Republica Moldova și Comitetului European pentru Risc Sistemic;</w:t>
            </w:r>
          </w:p>
          <w:p w14:paraId="57C70C01" w14:textId="77777777" w:rsidR="00EB243D" w:rsidRPr="00154588" w:rsidRDefault="00EB243D" w:rsidP="008C12B4">
            <w:pPr>
              <w:ind w:firstLine="567"/>
              <w:jc w:val="both"/>
              <w:rPr>
                <w:rFonts w:eastAsia="Calibri"/>
                <w:sz w:val="20"/>
                <w:szCs w:val="20"/>
              </w:rPr>
            </w:pPr>
            <w:r w:rsidRPr="00154588">
              <w:rPr>
                <w:rFonts w:eastAsia="Calibri"/>
                <w:sz w:val="20"/>
                <w:szCs w:val="20"/>
              </w:rPr>
              <w:t xml:space="preserve">d) </w:t>
            </w:r>
            <w:r w:rsidRPr="00154588">
              <w:rPr>
                <w:rFonts w:eastAsia="Calibri"/>
                <w:sz w:val="20"/>
                <w:szCs w:val="20"/>
                <w:lang w:val="ro-MD"/>
              </w:rPr>
              <w:t>în cazul în care instituția supusă rezoluției este o instituție definită în termenii art.3 pct.7 din Legea nr.183/2016 cu privire la caracterul definitiv al decontării în sistemele de plăți și de decontare a instrumentelor financiare,</w:t>
            </w:r>
            <w:r w:rsidRPr="00154588">
              <w:rPr>
                <w:rFonts w:eastAsia="Calibri"/>
                <w:kern w:val="2"/>
                <w:sz w:val="20"/>
                <w:szCs w:val="20"/>
                <w14:ligatures w14:val="standardContextual"/>
              </w:rPr>
              <w:t xml:space="preserve"> </w:t>
            </w:r>
            <w:r w:rsidRPr="00154588">
              <w:rPr>
                <w:rFonts w:eastAsia="Calibri"/>
                <w:sz w:val="20"/>
                <w:szCs w:val="20"/>
              </w:rPr>
              <w:t>operatorilor de sisteme din care face parte respectiva instituție, după caz;</w:t>
            </w:r>
          </w:p>
          <w:p w14:paraId="0A2458E9" w14:textId="77777777" w:rsidR="00EB243D" w:rsidRPr="00154588" w:rsidRDefault="00EB243D" w:rsidP="008C12B4">
            <w:pPr>
              <w:ind w:firstLine="567"/>
              <w:jc w:val="both"/>
              <w:rPr>
                <w:rFonts w:eastAsia="Calibri"/>
                <w:sz w:val="20"/>
                <w:szCs w:val="20"/>
              </w:rPr>
            </w:pPr>
            <w:r w:rsidRPr="00154588">
              <w:rPr>
                <w:rFonts w:eastAsia="Calibri"/>
                <w:sz w:val="20"/>
                <w:szCs w:val="20"/>
              </w:rPr>
              <w:lastRenderedPageBreak/>
              <w:t>e) autorității competente a instituției supuse rezoluției;</w:t>
            </w:r>
          </w:p>
          <w:p w14:paraId="2F738E41" w14:textId="77777777" w:rsidR="00EB243D" w:rsidRPr="00154588" w:rsidRDefault="00EB243D" w:rsidP="008C12B4">
            <w:pPr>
              <w:ind w:firstLine="567"/>
              <w:jc w:val="both"/>
              <w:rPr>
                <w:rFonts w:eastAsia="Calibri"/>
                <w:sz w:val="20"/>
                <w:szCs w:val="20"/>
              </w:rPr>
            </w:pPr>
            <w:r w:rsidRPr="00154588">
              <w:rPr>
                <w:rFonts w:eastAsia="Calibri"/>
                <w:sz w:val="20"/>
                <w:szCs w:val="20"/>
              </w:rPr>
              <w:t>f) autorității competente din statul membru al Uniunii Europene în care se află sucursala instituției supuse rezoluției;</w:t>
            </w:r>
          </w:p>
          <w:p w14:paraId="7F252282" w14:textId="77777777" w:rsidR="00EB243D" w:rsidRPr="00154588" w:rsidRDefault="00EB243D" w:rsidP="008C12B4">
            <w:pPr>
              <w:ind w:firstLine="567"/>
              <w:jc w:val="both"/>
              <w:rPr>
                <w:rFonts w:eastAsia="Calibri"/>
                <w:sz w:val="20"/>
                <w:szCs w:val="20"/>
              </w:rPr>
            </w:pPr>
            <w:r w:rsidRPr="00154588">
              <w:rPr>
                <w:rFonts w:eastAsia="Calibri"/>
                <w:sz w:val="20"/>
                <w:szCs w:val="20"/>
              </w:rPr>
              <w:t>g) schemei de garantare a depozitelor la care este afiliată instituția supusă rezoluției;</w:t>
            </w:r>
          </w:p>
          <w:p w14:paraId="4EA9DFB2" w14:textId="77777777" w:rsidR="00EB243D" w:rsidRPr="00154588" w:rsidRDefault="00EB243D" w:rsidP="008C12B4">
            <w:pPr>
              <w:ind w:firstLine="567"/>
              <w:jc w:val="both"/>
              <w:rPr>
                <w:rFonts w:eastAsia="Calibri"/>
                <w:sz w:val="20"/>
                <w:szCs w:val="20"/>
                <w:lang w:val="ro-MD"/>
              </w:rPr>
            </w:pPr>
            <w:r w:rsidRPr="00154588">
              <w:rPr>
                <w:rFonts w:eastAsia="Calibri"/>
                <w:sz w:val="20"/>
                <w:szCs w:val="20"/>
                <w:lang w:val="ro-MD"/>
              </w:rPr>
              <w:t>h) autorității de rezoluție la nivel de grup, dacă este cazul;</w:t>
            </w:r>
          </w:p>
          <w:p w14:paraId="65F77CEA" w14:textId="77777777" w:rsidR="00EB243D" w:rsidRPr="00154588" w:rsidRDefault="00EB243D" w:rsidP="008C12B4">
            <w:pPr>
              <w:ind w:firstLine="567"/>
              <w:jc w:val="both"/>
              <w:rPr>
                <w:rFonts w:eastAsia="Calibri"/>
                <w:sz w:val="20"/>
                <w:szCs w:val="20"/>
                <w:lang w:val="ro-MD"/>
              </w:rPr>
            </w:pPr>
            <w:r w:rsidRPr="00154588">
              <w:rPr>
                <w:rFonts w:eastAsia="Calibri"/>
                <w:sz w:val="20"/>
                <w:szCs w:val="20"/>
                <w:lang w:val="ro-MD"/>
              </w:rPr>
              <w:t>i) supraveghetorului consolidant, dacă este cazul;</w:t>
            </w:r>
          </w:p>
          <w:p w14:paraId="62800143" w14:textId="77777777" w:rsidR="00EB243D" w:rsidRPr="00154588" w:rsidRDefault="00EB243D" w:rsidP="008C12B4">
            <w:pPr>
              <w:ind w:firstLine="567"/>
              <w:jc w:val="both"/>
              <w:rPr>
                <w:rFonts w:eastAsia="Calibri"/>
                <w:sz w:val="20"/>
                <w:szCs w:val="20"/>
                <w:lang w:val="ro-MD"/>
              </w:rPr>
            </w:pPr>
            <w:r w:rsidRPr="00154588">
              <w:rPr>
                <w:rFonts w:eastAsia="Calibri"/>
                <w:sz w:val="20"/>
                <w:szCs w:val="20"/>
                <w:lang w:val="ro-MD"/>
              </w:rPr>
              <w:t>j) Comisiei Europene, Băncii Centrale Europene, Autorității Bancare Europene pentru Valori și Piețe (AEVMP), Autorității europene pentru de supraveghere (Autoritatea Europeană pentru Asigurări și Pensii Ocupaționale (EIOPA);</w:t>
            </w:r>
          </w:p>
          <w:p w14:paraId="5D2DDA6B" w14:textId="6785E681" w:rsidR="00EB243D" w:rsidRPr="00154588" w:rsidRDefault="00EB243D" w:rsidP="008C12B4">
            <w:pPr>
              <w:ind w:firstLine="567"/>
              <w:jc w:val="both"/>
              <w:rPr>
                <w:rFonts w:eastAsia="Calibri"/>
                <w:sz w:val="20"/>
                <w:szCs w:val="20"/>
              </w:rPr>
            </w:pPr>
            <w:r w:rsidRPr="00154588">
              <w:rPr>
                <w:rFonts w:eastAsia="Calibri"/>
                <w:sz w:val="20"/>
                <w:szCs w:val="20"/>
              </w:rPr>
              <w:t>(2) Banca Naţională a Moldovei se asigură că structura care exercită funcţia de rezoluţie notifică acţiunea prevăzută la alin.(1) şi structurii care exercită funcţia de bancă centrală.</w:t>
            </w:r>
          </w:p>
        </w:tc>
        <w:tc>
          <w:tcPr>
            <w:tcW w:w="2552" w:type="dxa"/>
          </w:tcPr>
          <w:p w14:paraId="68E1E7BE" w14:textId="7D8C9FFC" w:rsidR="00EB243D" w:rsidRPr="00154588" w:rsidRDefault="00EB243D" w:rsidP="008C12B4">
            <w:pPr>
              <w:jc w:val="both"/>
              <w:rPr>
                <w:sz w:val="20"/>
                <w:szCs w:val="20"/>
              </w:rPr>
            </w:pPr>
            <w:r w:rsidRPr="00154588">
              <w:rPr>
                <w:sz w:val="20"/>
                <w:szCs w:val="20"/>
              </w:rPr>
              <w:lastRenderedPageBreak/>
              <w:t>Compatibil</w:t>
            </w:r>
          </w:p>
        </w:tc>
        <w:tc>
          <w:tcPr>
            <w:tcW w:w="3118" w:type="dxa"/>
          </w:tcPr>
          <w:p w14:paraId="3D844AD3" w14:textId="77777777" w:rsidR="00EB243D" w:rsidRPr="00154588" w:rsidRDefault="00EB243D" w:rsidP="008C12B4">
            <w:pPr>
              <w:jc w:val="both"/>
              <w:rPr>
                <w:sz w:val="20"/>
                <w:szCs w:val="20"/>
              </w:rPr>
            </w:pPr>
          </w:p>
        </w:tc>
      </w:tr>
      <w:tr w:rsidR="00EB243D" w:rsidRPr="00154588" w14:paraId="571A6F02" w14:textId="77777777" w:rsidTr="00D15C1B">
        <w:trPr>
          <w:jc w:val="center"/>
        </w:trPr>
        <w:tc>
          <w:tcPr>
            <w:tcW w:w="4957" w:type="dxa"/>
            <w:gridSpan w:val="2"/>
          </w:tcPr>
          <w:p w14:paraId="59256EE9" w14:textId="2060352D" w:rsidR="00EB243D" w:rsidRPr="00154588" w:rsidRDefault="00EB243D" w:rsidP="008C12B4">
            <w:pPr>
              <w:jc w:val="both"/>
              <w:rPr>
                <w:sz w:val="20"/>
                <w:szCs w:val="20"/>
              </w:rPr>
            </w:pPr>
            <w:r w:rsidRPr="00154588">
              <w:rPr>
                <w:sz w:val="20"/>
                <w:szCs w:val="20"/>
              </w:rPr>
              <w:t>(3)   Notificarea menționată la alineatul (2) conține o copie a oricărui ordin sau instrument prin intermediul căruia sunt exercitate competențele relevante și precizează data de la care măsura sau măsurile de rezoluție produc efecte.</w:t>
            </w:r>
          </w:p>
        </w:tc>
        <w:tc>
          <w:tcPr>
            <w:tcW w:w="4819" w:type="dxa"/>
          </w:tcPr>
          <w:p w14:paraId="48B46FFB" w14:textId="4CB5346E" w:rsidR="00EB243D" w:rsidRPr="00154588" w:rsidRDefault="00EB243D" w:rsidP="008C12B4">
            <w:pPr>
              <w:ind w:firstLine="567"/>
              <w:jc w:val="both"/>
              <w:rPr>
                <w:rFonts w:eastAsia="Calibri"/>
                <w:sz w:val="20"/>
                <w:szCs w:val="20"/>
              </w:rPr>
            </w:pPr>
            <w:r w:rsidRPr="00154588">
              <w:rPr>
                <w:rFonts w:eastAsia="Calibri"/>
                <w:b/>
                <w:sz w:val="20"/>
                <w:szCs w:val="20"/>
              </w:rPr>
              <w:t>Articolul 285.</w:t>
            </w:r>
            <w:r w:rsidRPr="00154588">
              <w:rPr>
                <w:rFonts w:eastAsia="Calibri"/>
                <w:sz w:val="20"/>
                <w:szCs w:val="20"/>
              </w:rPr>
              <w:t xml:space="preserve"> – Banca Naţională a Moldovei, în calitate de autoritate de rezoluţie, transmite, împreună cu notificarea prevăzută la art.284, copii ale oricărei decizii prin intermediul căreia sînt exercitate competenţele relevante şi precizează data de la care acţiunile de rezoluţie produc efecte.</w:t>
            </w:r>
          </w:p>
        </w:tc>
        <w:tc>
          <w:tcPr>
            <w:tcW w:w="2552" w:type="dxa"/>
          </w:tcPr>
          <w:p w14:paraId="17886FE5" w14:textId="16E27405" w:rsidR="00EB243D" w:rsidRPr="00154588" w:rsidRDefault="00EB243D" w:rsidP="008C12B4">
            <w:pPr>
              <w:jc w:val="both"/>
              <w:rPr>
                <w:sz w:val="20"/>
                <w:szCs w:val="20"/>
              </w:rPr>
            </w:pPr>
            <w:r w:rsidRPr="00154588">
              <w:rPr>
                <w:sz w:val="20"/>
                <w:szCs w:val="20"/>
              </w:rPr>
              <w:t>Compatibil</w:t>
            </w:r>
          </w:p>
        </w:tc>
        <w:tc>
          <w:tcPr>
            <w:tcW w:w="3118" w:type="dxa"/>
          </w:tcPr>
          <w:p w14:paraId="6839732A" w14:textId="77777777" w:rsidR="00EB243D" w:rsidRPr="00154588" w:rsidRDefault="00EB243D" w:rsidP="008C12B4">
            <w:pPr>
              <w:jc w:val="both"/>
              <w:rPr>
                <w:sz w:val="20"/>
                <w:szCs w:val="20"/>
              </w:rPr>
            </w:pPr>
          </w:p>
        </w:tc>
      </w:tr>
      <w:tr w:rsidR="00EB243D" w:rsidRPr="00154588" w14:paraId="5A90E11C" w14:textId="77777777" w:rsidTr="00D15C1B">
        <w:trPr>
          <w:jc w:val="center"/>
        </w:trPr>
        <w:tc>
          <w:tcPr>
            <w:tcW w:w="4957" w:type="dxa"/>
            <w:gridSpan w:val="2"/>
          </w:tcPr>
          <w:p w14:paraId="3A57908B" w14:textId="77777777" w:rsidR="00EB243D" w:rsidRPr="00154588" w:rsidRDefault="00EB243D" w:rsidP="008C12B4">
            <w:pPr>
              <w:jc w:val="both"/>
              <w:rPr>
                <w:sz w:val="20"/>
                <w:szCs w:val="20"/>
              </w:rPr>
            </w:pPr>
            <w:r w:rsidRPr="00154588">
              <w:rPr>
                <w:sz w:val="20"/>
                <w:szCs w:val="20"/>
              </w:rPr>
              <w:t>(4)   Autoritatea de rezoluție publică sau asigură publicarea unei copii a ordinului sau a instrumentului prin intermediul căruia este luată măsura de rezoluție, fie a unei informări care sumarizează efectele măsurii de rezoluție și, mai exact, efectele asupra clienților de retail și, dacă este cazul, condițiile și perioada de suspendare sau limitare menționată la articolele 69, 70 și 71, prin următoarele mijloace:</w:t>
            </w:r>
          </w:p>
          <w:p w14:paraId="4D7E6D5A" w14:textId="77777777" w:rsidR="00EB243D" w:rsidRPr="00154588" w:rsidRDefault="00EB243D" w:rsidP="008C12B4">
            <w:pPr>
              <w:jc w:val="both"/>
              <w:rPr>
                <w:sz w:val="20"/>
                <w:szCs w:val="20"/>
              </w:rPr>
            </w:pPr>
          </w:p>
          <w:p w14:paraId="5B0611BB" w14:textId="32E670B4" w:rsidR="00EB243D" w:rsidRPr="00154588" w:rsidRDefault="00EB243D" w:rsidP="008C12B4">
            <w:pPr>
              <w:jc w:val="both"/>
              <w:rPr>
                <w:sz w:val="20"/>
                <w:szCs w:val="20"/>
              </w:rPr>
            </w:pPr>
            <w:r w:rsidRPr="00154588">
              <w:rPr>
                <w:sz w:val="20"/>
                <w:szCs w:val="20"/>
              </w:rPr>
              <w:t>(a) pe site-ul său internet oficial;</w:t>
            </w:r>
          </w:p>
          <w:p w14:paraId="12E31AA3" w14:textId="77777777" w:rsidR="00EB243D" w:rsidRPr="00154588" w:rsidRDefault="00EB243D" w:rsidP="008C12B4">
            <w:pPr>
              <w:jc w:val="both"/>
              <w:rPr>
                <w:sz w:val="20"/>
                <w:szCs w:val="20"/>
              </w:rPr>
            </w:pPr>
          </w:p>
          <w:p w14:paraId="6124481B" w14:textId="5DBD6AED" w:rsidR="00EB243D" w:rsidRPr="00154588" w:rsidRDefault="00EB243D" w:rsidP="008C12B4">
            <w:pPr>
              <w:jc w:val="both"/>
              <w:rPr>
                <w:sz w:val="20"/>
                <w:szCs w:val="20"/>
              </w:rPr>
            </w:pPr>
            <w:r w:rsidRPr="00154588">
              <w:rPr>
                <w:sz w:val="20"/>
                <w:szCs w:val="20"/>
              </w:rPr>
              <w:lastRenderedPageBreak/>
              <w:t>(b) pe site-ul internet al autorității competente, dacă aceasta este diferită de autoritatea de rezoluție și pe site-ul internet al ABE;</w:t>
            </w:r>
          </w:p>
          <w:p w14:paraId="47EF20FB" w14:textId="77777777" w:rsidR="00EB243D" w:rsidRPr="00154588" w:rsidRDefault="00EB243D" w:rsidP="008C12B4">
            <w:pPr>
              <w:jc w:val="both"/>
              <w:rPr>
                <w:sz w:val="20"/>
                <w:szCs w:val="20"/>
              </w:rPr>
            </w:pPr>
          </w:p>
          <w:p w14:paraId="5B3D0428" w14:textId="37D411D8" w:rsidR="00EB243D" w:rsidRPr="00154588" w:rsidRDefault="00EB243D" w:rsidP="008C12B4">
            <w:pPr>
              <w:jc w:val="both"/>
              <w:rPr>
                <w:sz w:val="20"/>
                <w:szCs w:val="20"/>
              </w:rPr>
            </w:pPr>
            <w:r w:rsidRPr="00154588">
              <w:rPr>
                <w:sz w:val="20"/>
                <w:szCs w:val="20"/>
              </w:rPr>
              <w:t>(c) pe site-ul internet al instituției aflate în rezoluție;</w:t>
            </w:r>
          </w:p>
          <w:p w14:paraId="5807A1B9" w14:textId="77777777" w:rsidR="00EB243D" w:rsidRPr="00154588" w:rsidRDefault="00EB243D" w:rsidP="008C12B4">
            <w:pPr>
              <w:jc w:val="both"/>
              <w:rPr>
                <w:sz w:val="20"/>
                <w:szCs w:val="20"/>
              </w:rPr>
            </w:pPr>
          </w:p>
          <w:p w14:paraId="0789EA0C" w14:textId="0F379D6E" w:rsidR="00EB243D" w:rsidRPr="00154588" w:rsidRDefault="00EB243D" w:rsidP="008C12B4">
            <w:pPr>
              <w:jc w:val="both"/>
              <w:rPr>
                <w:sz w:val="20"/>
                <w:szCs w:val="20"/>
              </w:rPr>
            </w:pPr>
            <w:r w:rsidRPr="00154588">
              <w:rPr>
                <w:sz w:val="20"/>
                <w:szCs w:val="20"/>
              </w:rPr>
              <w:t>(d) în cazurile în care acțiunile, alte instrumente de proprietate sau instrumentele de datorie ale instituției aflate în rezoluție sunt admise la tranzacționare pe o piață reglementată, mijloacele utilizate pentru divulgarea informațiilor reglementate referitoare la instituția aflată în rezoluție, în conformitate cu articolul 21 alineatul (1) din Directiva 2004/109/CE a Parlamentului European și a Consiliului ( 15 ).</w:t>
            </w:r>
          </w:p>
        </w:tc>
        <w:tc>
          <w:tcPr>
            <w:tcW w:w="4819" w:type="dxa"/>
          </w:tcPr>
          <w:p w14:paraId="7C1B17F3" w14:textId="77777777" w:rsidR="00EB243D" w:rsidRPr="00154588" w:rsidRDefault="00EB243D" w:rsidP="008C12B4">
            <w:pPr>
              <w:ind w:firstLine="567"/>
              <w:jc w:val="both"/>
              <w:rPr>
                <w:rFonts w:eastAsia="Calibri"/>
                <w:sz w:val="20"/>
                <w:szCs w:val="20"/>
              </w:rPr>
            </w:pPr>
            <w:r w:rsidRPr="00154588">
              <w:rPr>
                <w:rFonts w:eastAsia="Calibri"/>
                <w:b/>
                <w:sz w:val="20"/>
                <w:szCs w:val="20"/>
              </w:rPr>
              <w:lastRenderedPageBreak/>
              <w:t>Articolul 286.</w:t>
            </w:r>
            <w:r w:rsidRPr="00154588">
              <w:rPr>
                <w:rFonts w:eastAsia="Calibri"/>
                <w:sz w:val="20"/>
                <w:szCs w:val="20"/>
              </w:rPr>
              <w:t xml:space="preserve"> – Banca Naţională a Moldovei, în calitate de autoritate de rezoluţie, publică sau asigură publicarea deciziei privind aplicarea unei acţiuni de rezoluţie, fie a unei informări care sumarizează efectele acţiunii de rezoluţie, în special efectele asupra clienţilor de retail şi, dacă este cazul, condiţiile şi perioada de suspendare sau limitare prevăzută la art.246-258, prin următoarele mijloace:</w:t>
            </w:r>
          </w:p>
          <w:p w14:paraId="3672BF56" w14:textId="77777777" w:rsidR="00EB243D" w:rsidRPr="00154588" w:rsidRDefault="00EB243D" w:rsidP="008C12B4">
            <w:pPr>
              <w:ind w:firstLine="567"/>
              <w:jc w:val="both"/>
              <w:rPr>
                <w:rFonts w:eastAsia="Calibri"/>
                <w:sz w:val="20"/>
                <w:szCs w:val="20"/>
              </w:rPr>
            </w:pPr>
            <w:r w:rsidRPr="00154588">
              <w:rPr>
                <w:rFonts w:eastAsia="Calibri"/>
                <w:sz w:val="20"/>
                <w:szCs w:val="20"/>
              </w:rPr>
              <w:t>a) pe pagina web oficială;</w:t>
            </w:r>
          </w:p>
          <w:p w14:paraId="6B231C08" w14:textId="77777777" w:rsidR="00EB243D" w:rsidRPr="00154588" w:rsidRDefault="00EB243D" w:rsidP="008C12B4">
            <w:pPr>
              <w:ind w:firstLine="567"/>
              <w:jc w:val="both"/>
              <w:rPr>
                <w:rFonts w:eastAsia="Calibri"/>
                <w:sz w:val="20"/>
                <w:szCs w:val="20"/>
              </w:rPr>
            </w:pPr>
            <w:r w:rsidRPr="00154588">
              <w:rPr>
                <w:rFonts w:eastAsia="Calibri"/>
                <w:sz w:val="20"/>
                <w:szCs w:val="20"/>
              </w:rPr>
              <w:t>a</w:t>
            </w:r>
            <w:r w:rsidRPr="00154588">
              <w:rPr>
                <w:rFonts w:eastAsia="Calibri"/>
                <w:sz w:val="20"/>
                <w:szCs w:val="20"/>
                <w:vertAlign w:val="superscript"/>
              </w:rPr>
              <w:t>1</w:t>
            </w:r>
            <w:r w:rsidRPr="00154588">
              <w:rPr>
                <w:rFonts w:eastAsia="Calibri"/>
                <w:sz w:val="20"/>
                <w:szCs w:val="20"/>
              </w:rPr>
              <w:t>) pe pagina web oficială al Autorității Bancare Europene;</w:t>
            </w:r>
          </w:p>
          <w:p w14:paraId="3CF75E49" w14:textId="77777777" w:rsidR="00EB243D" w:rsidRPr="00154588" w:rsidRDefault="00EB243D" w:rsidP="008C12B4">
            <w:pPr>
              <w:ind w:firstLine="567"/>
              <w:jc w:val="both"/>
              <w:rPr>
                <w:rFonts w:eastAsia="Calibri"/>
                <w:sz w:val="20"/>
                <w:szCs w:val="20"/>
              </w:rPr>
            </w:pPr>
            <w:r w:rsidRPr="00154588" w:rsidDel="00904544">
              <w:rPr>
                <w:rFonts w:eastAsia="Calibri"/>
                <w:sz w:val="20"/>
                <w:szCs w:val="20"/>
              </w:rPr>
              <w:lastRenderedPageBreak/>
              <w:t>b</w:t>
            </w:r>
            <w:r w:rsidRPr="00154588">
              <w:rPr>
                <w:rFonts w:eastAsia="Calibri"/>
                <w:sz w:val="20"/>
                <w:szCs w:val="20"/>
              </w:rPr>
              <w:t>) pe pagina web oficială a instituției supuse rezoluţiei;</w:t>
            </w:r>
          </w:p>
          <w:p w14:paraId="6A21D73B" w14:textId="0473593A" w:rsidR="00EB243D" w:rsidRPr="00154588" w:rsidRDefault="00EB243D" w:rsidP="008C12B4">
            <w:pPr>
              <w:ind w:firstLine="567"/>
              <w:jc w:val="both"/>
              <w:rPr>
                <w:rFonts w:eastAsia="Calibri"/>
                <w:sz w:val="20"/>
                <w:szCs w:val="20"/>
              </w:rPr>
            </w:pPr>
            <w:r w:rsidRPr="00154588" w:rsidDel="00904544">
              <w:rPr>
                <w:rFonts w:eastAsia="Calibri"/>
                <w:sz w:val="20"/>
                <w:szCs w:val="20"/>
              </w:rPr>
              <w:t>c</w:t>
            </w:r>
            <w:r w:rsidRPr="00154588">
              <w:rPr>
                <w:rFonts w:eastAsia="Calibri"/>
                <w:sz w:val="20"/>
                <w:szCs w:val="20"/>
              </w:rPr>
              <w:t>) în cazurile în care acţiunile, alte instrumente de proprietate sau instrumentele de datorie ale instituției supuse rezoluţiei sînt admise la tranzacţionare pe o piaţă reglementată-mijloacele utilizate pentru publicarea informaţiilor reglementate referitoare la instituția supusă rezoluţiei, în conformitate cu prevederile naţionale și ale altor state membre privind transparenţa pe piaţa de capital.</w:t>
            </w:r>
          </w:p>
        </w:tc>
        <w:tc>
          <w:tcPr>
            <w:tcW w:w="2552" w:type="dxa"/>
          </w:tcPr>
          <w:p w14:paraId="659F332D" w14:textId="0889A5D5" w:rsidR="00EB243D" w:rsidRPr="00154588" w:rsidRDefault="00EB243D" w:rsidP="008C12B4">
            <w:pPr>
              <w:jc w:val="both"/>
              <w:rPr>
                <w:sz w:val="20"/>
                <w:szCs w:val="20"/>
              </w:rPr>
            </w:pPr>
            <w:r w:rsidRPr="00154588">
              <w:rPr>
                <w:sz w:val="20"/>
                <w:szCs w:val="20"/>
              </w:rPr>
              <w:lastRenderedPageBreak/>
              <w:t>Compatibil</w:t>
            </w:r>
          </w:p>
        </w:tc>
        <w:tc>
          <w:tcPr>
            <w:tcW w:w="3118" w:type="dxa"/>
          </w:tcPr>
          <w:p w14:paraId="277B239C" w14:textId="77777777" w:rsidR="00EB243D" w:rsidRPr="00154588" w:rsidRDefault="00EB243D" w:rsidP="008C12B4">
            <w:pPr>
              <w:jc w:val="both"/>
              <w:rPr>
                <w:sz w:val="20"/>
                <w:szCs w:val="20"/>
              </w:rPr>
            </w:pPr>
          </w:p>
        </w:tc>
      </w:tr>
      <w:tr w:rsidR="00EB243D" w:rsidRPr="00154588" w14:paraId="419AA378" w14:textId="77777777" w:rsidTr="00D15C1B">
        <w:trPr>
          <w:jc w:val="center"/>
        </w:trPr>
        <w:tc>
          <w:tcPr>
            <w:tcW w:w="4957" w:type="dxa"/>
            <w:gridSpan w:val="2"/>
          </w:tcPr>
          <w:p w14:paraId="3CF56F2B" w14:textId="309679A5" w:rsidR="00EB243D" w:rsidRPr="00154588" w:rsidRDefault="00EB243D" w:rsidP="008C12B4">
            <w:pPr>
              <w:jc w:val="both"/>
              <w:rPr>
                <w:sz w:val="20"/>
                <w:szCs w:val="20"/>
              </w:rPr>
            </w:pPr>
            <w:r w:rsidRPr="00154588">
              <w:rPr>
                <w:sz w:val="20"/>
                <w:szCs w:val="20"/>
              </w:rPr>
              <w:t>(5)   În cazul în care acțiunile sau instrumentele de proprietate ale acesteia nu sunt admise la tranzacționare pe o piață reglementată, autoritatea de rezoluție se asigură că documentele care atestă existența instrumentelor menționate la alineatul (4) sunt trimise acționarilor și creditorilor ai instituției aflate în rezoluție care sunt cunoscuți din registrele sau bazele de date ale instituției aflate în rezoluție care sunt disponibile autorității de rezoluție.</w:t>
            </w:r>
          </w:p>
        </w:tc>
        <w:tc>
          <w:tcPr>
            <w:tcW w:w="4819" w:type="dxa"/>
          </w:tcPr>
          <w:p w14:paraId="2F09851E" w14:textId="731A4EF2" w:rsidR="00EB243D" w:rsidRPr="00154588" w:rsidRDefault="00EB243D" w:rsidP="008C12B4">
            <w:pPr>
              <w:ind w:firstLine="567"/>
              <w:jc w:val="both"/>
              <w:rPr>
                <w:rFonts w:eastAsia="Calibri"/>
                <w:sz w:val="20"/>
                <w:szCs w:val="20"/>
              </w:rPr>
            </w:pPr>
            <w:r w:rsidRPr="00154588">
              <w:rPr>
                <w:rFonts w:eastAsia="Calibri"/>
                <w:b/>
                <w:sz w:val="20"/>
                <w:szCs w:val="20"/>
              </w:rPr>
              <w:t>Articolul 287.</w:t>
            </w:r>
            <w:r w:rsidRPr="00154588">
              <w:rPr>
                <w:rFonts w:eastAsia="Calibri"/>
                <w:sz w:val="20"/>
                <w:szCs w:val="20"/>
              </w:rPr>
              <w:t xml:space="preserve"> – În cazul în care acţiunile, instrumentele de proprietate sau instrumentele de datorie ale instituției de credit nu sînt admise la tranzacţionare pe o piaţă reglementată, Banca Naţională a Moldovei, în calitate de autoritate de rezoluţie, se asigură că documentele care atestă existenţa deciziei prevăzute la art.286 sînt trimise acţionarilor şi creditorilor instituției supuse rezoluţiei înregistraţi în registrele sau bazele de date ale instituției supuse rezoluţiei disponibile Băncii Naţionale a Moldovei, în calitate de autoritate de rezoluţie.</w:t>
            </w:r>
          </w:p>
        </w:tc>
        <w:tc>
          <w:tcPr>
            <w:tcW w:w="2552" w:type="dxa"/>
          </w:tcPr>
          <w:p w14:paraId="3313F623" w14:textId="23AB90D5" w:rsidR="00EB243D" w:rsidRPr="00154588" w:rsidRDefault="00EB243D" w:rsidP="008C12B4">
            <w:pPr>
              <w:jc w:val="both"/>
              <w:rPr>
                <w:sz w:val="20"/>
                <w:szCs w:val="20"/>
              </w:rPr>
            </w:pPr>
            <w:r w:rsidRPr="00154588">
              <w:rPr>
                <w:sz w:val="20"/>
                <w:szCs w:val="20"/>
              </w:rPr>
              <w:t>Compatibil</w:t>
            </w:r>
          </w:p>
        </w:tc>
        <w:tc>
          <w:tcPr>
            <w:tcW w:w="3118" w:type="dxa"/>
          </w:tcPr>
          <w:p w14:paraId="1FD66818" w14:textId="77777777" w:rsidR="00EB243D" w:rsidRPr="00154588" w:rsidRDefault="00EB243D" w:rsidP="008C12B4">
            <w:pPr>
              <w:jc w:val="both"/>
              <w:rPr>
                <w:sz w:val="20"/>
                <w:szCs w:val="20"/>
              </w:rPr>
            </w:pPr>
          </w:p>
        </w:tc>
      </w:tr>
      <w:tr w:rsidR="00EB243D" w:rsidRPr="00154588" w14:paraId="58346CDF" w14:textId="77777777" w:rsidTr="00D15C1B">
        <w:trPr>
          <w:jc w:val="center"/>
        </w:trPr>
        <w:tc>
          <w:tcPr>
            <w:tcW w:w="4957" w:type="dxa"/>
            <w:gridSpan w:val="2"/>
          </w:tcPr>
          <w:p w14:paraId="27C21C01" w14:textId="77777777" w:rsidR="00EB243D" w:rsidRPr="00154588" w:rsidRDefault="00EB243D" w:rsidP="008C12B4">
            <w:pPr>
              <w:jc w:val="both"/>
              <w:rPr>
                <w:b/>
                <w:sz w:val="20"/>
                <w:szCs w:val="20"/>
              </w:rPr>
            </w:pPr>
            <w:r w:rsidRPr="00154588">
              <w:rPr>
                <w:b/>
                <w:sz w:val="20"/>
                <w:szCs w:val="20"/>
              </w:rPr>
              <w:t>Articolul 84</w:t>
            </w:r>
          </w:p>
          <w:p w14:paraId="5CB929F4" w14:textId="77777777" w:rsidR="00EB243D" w:rsidRPr="00154588" w:rsidRDefault="00EB243D" w:rsidP="008C12B4">
            <w:pPr>
              <w:jc w:val="both"/>
              <w:rPr>
                <w:b/>
                <w:sz w:val="20"/>
                <w:szCs w:val="20"/>
              </w:rPr>
            </w:pPr>
          </w:p>
          <w:p w14:paraId="450304EF" w14:textId="468B5C71" w:rsidR="00EB243D" w:rsidRPr="00154588" w:rsidRDefault="00EB243D" w:rsidP="008C12B4">
            <w:pPr>
              <w:jc w:val="both"/>
              <w:rPr>
                <w:sz w:val="20"/>
                <w:szCs w:val="20"/>
              </w:rPr>
            </w:pPr>
            <w:r w:rsidRPr="00154588">
              <w:rPr>
                <w:b/>
                <w:sz w:val="20"/>
                <w:szCs w:val="20"/>
              </w:rPr>
              <w:t>Confidențialitate</w:t>
            </w:r>
          </w:p>
        </w:tc>
        <w:tc>
          <w:tcPr>
            <w:tcW w:w="4819" w:type="dxa"/>
          </w:tcPr>
          <w:p w14:paraId="30826F2C" w14:textId="77777777" w:rsidR="00EB243D" w:rsidRPr="00154588" w:rsidRDefault="00EB243D" w:rsidP="008C12B4">
            <w:pPr>
              <w:jc w:val="center"/>
              <w:rPr>
                <w:rFonts w:eastAsia="Calibri"/>
                <w:sz w:val="20"/>
                <w:szCs w:val="18"/>
              </w:rPr>
            </w:pPr>
            <w:r w:rsidRPr="00154588">
              <w:rPr>
                <w:rFonts w:eastAsia="Calibri"/>
                <w:b/>
                <w:sz w:val="20"/>
                <w:szCs w:val="18"/>
              </w:rPr>
              <w:t>Secţiunea a 3-a</w:t>
            </w:r>
          </w:p>
          <w:p w14:paraId="1AD24C63" w14:textId="1861D2F0" w:rsidR="00EB243D" w:rsidRPr="00154588" w:rsidRDefault="00EB243D" w:rsidP="008C12B4">
            <w:pPr>
              <w:jc w:val="center"/>
              <w:rPr>
                <w:rFonts w:eastAsia="Calibri"/>
                <w:b/>
                <w:sz w:val="24"/>
              </w:rPr>
            </w:pPr>
            <w:r w:rsidRPr="00154588">
              <w:rPr>
                <w:rFonts w:eastAsia="Calibri"/>
                <w:b/>
                <w:sz w:val="20"/>
                <w:szCs w:val="18"/>
              </w:rPr>
              <w:t>Confidenţialitatea</w:t>
            </w:r>
          </w:p>
        </w:tc>
        <w:tc>
          <w:tcPr>
            <w:tcW w:w="2552" w:type="dxa"/>
          </w:tcPr>
          <w:p w14:paraId="1445DCD5" w14:textId="77777777" w:rsidR="00EB243D" w:rsidRPr="00154588" w:rsidRDefault="00EB243D" w:rsidP="008C12B4">
            <w:pPr>
              <w:jc w:val="both"/>
              <w:rPr>
                <w:sz w:val="20"/>
                <w:szCs w:val="20"/>
              </w:rPr>
            </w:pPr>
          </w:p>
        </w:tc>
        <w:tc>
          <w:tcPr>
            <w:tcW w:w="3118" w:type="dxa"/>
          </w:tcPr>
          <w:p w14:paraId="57358CE0" w14:textId="77777777" w:rsidR="00EB243D" w:rsidRPr="00154588" w:rsidRDefault="00EB243D" w:rsidP="008C12B4">
            <w:pPr>
              <w:jc w:val="both"/>
              <w:rPr>
                <w:sz w:val="20"/>
                <w:szCs w:val="20"/>
              </w:rPr>
            </w:pPr>
          </w:p>
        </w:tc>
      </w:tr>
      <w:tr w:rsidR="00EB243D" w:rsidRPr="00154588" w14:paraId="3593B7E9" w14:textId="77777777" w:rsidTr="00D15C1B">
        <w:trPr>
          <w:jc w:val="center"/>
        </w:trPr>
        <w:tc>
          <w:tcPr>
            <w:tcW w:w="4957" w:type="dxa"/>
            <w:gridSpan w:val="2"/>
          </w:tcPr>
          <w:p w14:paraId="7B6F40F5" w14:textId="77777777" w:rsidR="00EB243D" w:rsidRPr="00154588" w:rsidRDefault="00EB243D" w:rsidP="008C12B4">
            <w:pPr>
              <w:jc w:val="both"/>
              <w:rPr>
                <w:sz w:val="20"/>
                <w:szCs w:val="20"/>
              </w:rPr>
            </w:pPr>
            <w:r w:rsidRPr="00154588">
              <w:rPr>
                <w:sz w:val="20"/>
                <w:szCs w:val="20"/>
              </w:rPr>
              <w:t>(1)   Cerințele privind secretul profesional sunt obligatorii pentru următoarele persoane:</w:t>
            </w:r>
          </w:p>
          <w:p w14:paraId="06F62274" w14:textId="77777777" w:rsidR="00EB243D" w:rsidRPr="00154588" w:rsidRDefault="00EB243D" w:rsidP="008C12B4">
            <w:pPr>
              <w:jc w:val="both"/>
              <w:rPr>
                <w:sz w:val="20"/>
                <w:szCs w:val="20"/>
              </w:rPr>
            </w:pPr>
          </w:p>
          <w:p w14:paraId="341C09EC" w14:textId="77777777" w:rsidR="00EB243D" w:rsidRPr="00154588" w:rsidRDefault="00EB243D" w:rsidP="008C12B4">
            <w:pPr>
              <w:jc w:val="both"/>
              <w:rPr>
                <w:sz w:val="20"/>
                <w:szCs w:val="20"/>
              </w:rPr>
            </w:pPr>
          </w:p>
          <w:p w14:paraId="29F5DD48" w14:textId="405138A0" w:rsidR="00EB243D" w:rsidRPr="00154588" w:rsidRDefault="00EB243D" w:rsidP="008C12B4">
            <w:pPr>
              <w:jc w:val="both"/>
              <w:rPr>
                <w:sz w:val="20"/>
                <w:szCs w:val="20"/>
              </w:rPr>
            </w:pPr>
            <w:r w:rsidRPr="00154588">
              <w:rPr>
                <w:sz w:val="20"/>
                <w:szCs w:val="20"/>
              </w:rPr>
              <w:t>(a) autoritățile de rezoluție;</w:t>
            </w:r>
          </w:p>
          <w:p w14:paraId="5836D804" w14:textId="77777777" w:rsidR="00EB243D" w:rsidRPr="00154588" w:rsidRDefault="00EB243D" w:rsidP="008C12B4">
            <w:pPr>
              <w:jc w:val="both"/>
              <w:rPr>
                <w:sz w:val="20"/>
                <w:szCs w:val="20"/>
              </w:rPr>
            </w:pPr>
          </w:p>
          <w:p w14:paraId="562A12B4" w14:textId="7C7BB5BF" w:rsidR="00EB243D" w:rsidRPr="00154588" w:rsidRDefault="00EB243D" w:rsidP="008C12B4">
            <w:pPr>
              <w:jc w:val="both"/>
              <w:rPr>
                <w:sz w:val="20"/>
                <w:szCs w:val="20"/>
              </w:rPr>
            </w:pPr>
            <w:r w:rsidRPr="00154588">
              <w:rPr>
                <w:sz w:val="20"/>
                <w:szCs w:val="20"/>
              </w:rPr>
              <w:t>(b) autoritățile competente și ABE;</w:t>
            </w:r>
          </w:p>
          <w:p w14:paraId="271C5BCF" w14:textId="77777777" w:rsidR="00EB243D" w:rsidRPr="00154588" w:rsidRDefault="00EB243D" w:rsidP="008C12B4">
            <w:pPr>
              <w:jc w:val="both"/>
              <w:rPr>
                <w:sz w:val="20"/>
                <w:szCs w:val="20"/>
              </w:rPr>
            </w:pPr>
          </w:p>
          <w:p w14:paraId="1F8831E7" w14:textId="3AFEEAA2" w:rsidR="00EB243D" w:rsidRPr="00154588" w:rsidRDefault="00EB243D" w:rsidP="008C12B4">
            <w:pPr>
              <w:jc w:val="both"/>
              <w:rPr>
                <w:sz w:val="20"/>
                <w:szCs w:val="20"/>
              </w:rPr>
            </w:pPr>
            <w:r w:rsidRPr="00154588">
              <w:rPr>
                <w:sz w:val="20"/>
                <w:szCs w:val="20"/>
              </w:rPr>
              <w:t>(c) ministerele competente;</w:t>
            </w:r>
          </w:p>
          <w:p w14:paraId="34D06D53" w14:textId="77777777" w:rsidR="00EB243D" w:rsidRPr="00154588" w:rsidRDefault="00EB243D" w:rsidP="008C12B4">
            <w:pPr>
              <w:jc w:val="both"/>
              <w:rPr>
                <w:sz w:val="20"/>
                <w:szCs w:val="20"/>
              </w:rPr>
            </w:pPr>
          </w:p>
          <w:p w14:paraId="6098B868" w14:textId="4E0BC6A4" w:rsidR="00EB243D" w:rsidRPr="00154588" w:rsidRDefault="00EB243D" w:rsidP="008C12B4">
            <w:pPr>
              <w:jc w:val="both"/>
              <w:rPr>
                <w:sz w:val="20"/>
                <w:szCs w:val="20"/>
              </w:rPr>
            </w:pPr>
            <w:r w:rsidRPr="00154588">
              <w:rPr>
                <w:sz w:val="20"/>
                <w:szCs w:val="20"/>
              </w:rPr>
              <w:t>(d) administratorii speciali sau administratorii temporari desemnați în conformitate cu prezenta directivă;</w:t>
            </w:r>
          </w:p>
          <w:p w14:paraId="5DE7485E" w14:textId="77777777" w:rsidR="00EB243D" w:rsidRPr="00154588" w:rsidRDefault="00EB243D" w:rsidP="008C12B4">
            <w:pPr>
              <w:jc w:val="both"/>
              <w:rPr>
                <w:sz w:val="20"/>
                <w:szCs w:val="20"/>
              </w:rPr>
            </w:pPr>
          </w:p>
          <w:p w14:paraId="29AD4E9F" w14:textId="5163D8A3" w:rsidR="00EB243D" w:rsidRPr="00154588" w:rsidRDefault="00EB243D" w:rsidP="008C12B4">
            <w:pPr>
              <w:jc w:val="both"/>
              <w:rPr>
                <w:sz w:val="20"/>
                <w:szCs w:val="20"/>
              </w:rPr>
            </w:pPr>
            <w:r w:rsidRPr="00154588">
              <w:rPr>
                <w:sz w:val="20"/>
                <w:szCs w:val="20"/>
              </w:rPr>
              <w:t xml:space="preserve">(e) cumpărătorii potențiali, atât cei contactați de autoritățile competente, cât și cei solicitați de </w:t>
            </w:r>
            <w:r w:rsidRPr="00154588">
              <w:rPr>
                <w:sz w:val="20"/>
                <w:szCs w:val="20"/>
              </w:rPr>
              <w:lastRenderedPageBreak/>
              <w:t>autoritățile de rezoluție, indiferent dacă acest contact sau această solicitare a avut loc sau nu în cadrul pregătirii în vederea utilizării instrumentului de vânzare a activității sau dacă solicitarea respectivă a condus sau nu la o achiziție;</w:t>
            </w:r>
          </w:p>
          <w:p w14:paraId="78ADFBBB" w14:textId="77777777" w:rsidR="00EB243D" w:rsidRPr="00154588" w:rsidRDefault="00EB243D" w:rsidP="008C12B4">
            <w:pPr>
              <w:jc w:val="both"/>
              <w:rPr>
                <w:sz w:val="20"/>
                <w:szCs w:val="20"/>
              </w:rPr>
            </w:pPr>
          </w:p>
          <w:p w14:paraId="0622A459" w14:textId="5ABAF55D" w:rsidR="00EB243D" w:rsidRPr="00154588" w:rsidRDefault="00EB243D" w:rsidP="008C12B4">
            <w:pPr>
              <w:jc w:val="both"/>
              <w:rPr>
                <w:sz w:val="20"/>
                <w:szCs w:val="20"/>
              </w:rPr>
            </w:pPr>
            <w:r w:rsidRPr="00154588">
              <w:rPr>
                <w:sz w:val="20"/>
                <w:szCs w:val="20"/>
              </w:rPr>
              <w:t>(f) auditorii, contabilii, consilierii juridici și profesionali, evaluatorii și alți experți angajați direct sau indirect de autoritățile de rezoluție, de autoritățile competente, de ministerele competente sau de cumpărătorii potențiali menționați la litera (e);</w:t>
            </w:r>
          </w:p>
          <w:p w14:paraId="72C1AA1A" w14:textId="77777777" w:rsidR="00EB243D" w:rsidRPr="00154588" w:rsidRDefault="00EB243D" w:rsidP="008C12B4">
            <w:pPr>
              <w:jc w:val="both"/>
              <w:rPr>
                <w:sz w:val="20"/>
                <w:szCs w:val="20"/>
              </w:rPr>
            </w:pPr>
          </w:p>
          <w:p w14:paraId="3F2141AD" w14:textId="0AA79991" w:rsidR="00EB243D" w:rsidRPr="00154588" w:rsidRDefault="00EB243D" w:rsidP="008C12B4">
            <w:pPr>
              <w:jc w:val="both"/>
              <w:rPr>
                <w:sz w:val="20"/>
                <w:szCs w:val="20"/>
              </w:rPr>
            </w:pPr>
            <w:r w:rsidRPr="00154588">
              <w:rPr>
                <w:sz w:val="20"/>
                <w:szCs w:val="20"/>
              </w:rPr>
              <w:t>(g) organismele care administrează schemede garantare a depozitelor;</w:t>
            </w:r>
          </w:p>
          <w:p w14:paraId="79E1694E" w14:textId="77777777" w:rsidR="00EB243D" w:rsidRPr="00154588" w:rsidRDefault="00EB243D" w:rsidP="008C12B4">
            <w:pPr>
              <w:jc w:val="both"/>
              <w:rPr>
                <w:sz w:val="20"/>
                <w:szCs w:val="20"/>
              </w:rPr>
            </w:pPr>
          </w:p>
          <w:p w14:paraId="0D55C7F0" w14:textId="4266DDB9" w:rsidR="00EB243D" w:rsidRPr="00154588" w:rsidRDefault="00EB243D" w:rsidP="008C12B4">
            <w:pPr>
              <w:jc w:val="both"/>
              <w:rPr>
                <w:sz w:val="20"/>
                <w:szCs w:val="20"/>
              </w:rPr>
            </w:pPr>
            <w:r w:rsidRPr="00154588">
              <w:rPr>
                <w:sz w:val="20"/>
                <w:szCs w:val="20"/>
              </w:rPr>
              <w:t>(h) organisme care administrează sisteme de compensare pentru investitori;</w:t>
            </w:r>
          </w:p>
          <w:p w14:paraId="2EE40D1E" w14:textId="77777777" w:rsidR="00EB243D" w:rsidRPr="00154588" w:rsidRDefault="00EB243D" w:rsidP="008C12B4">
            <w:pPr>
              <w:jc w:val="both"/>
              <w:rPr>
                <w:sz w:val="20"/>
                <w:szCs w:val="20"/>
              </w:rPr>
            </w:pPr>
          </w:p>
          <w:p w14:paraId="631C6920" w14:textId="765BFF87" w:rsidR="00EB243D" w:rsidRPr="00154588" w:rsidRDefault="00EB243D" w:rsidP="008C12B4">
            <w:pPr>
              <w:jc w:val="both"/>
              <w:rPr>
                <w:sz w:val="20"/>
                <w:szCs w:val="20"/>
              </w:rPr>
            </w:pPr>
            <w:r w:rsidRPr="00154588">
              <w:rPr>
                <w:sz w:val="20"/>
                <w:szCs w:val="20"/>
              </w:rPr>
              <w:t>(i) organismului care răspunde de mecanismele de finanțare a rezoluției;</w:t>
            </w:r>
          </w:p>
          <w:p w14:paraId="53F9E789" w14:textId="77777777" w:rsidR="00EB243D" w:rsidRPr="00154588" w:rsidRDefault="00EB243D" w:rsidP="008C12B4">
            <w:pPr>
              <w:jc w:val="both"/>
              <w:rPr>
                <w:sz w:val="20"/>
                <w:szCs w:val="20"/>
              </w:rPr>
            </w:pPr>
          </w:p>
          <w:p w14:paraId="33EFDCE3" w14:textId="387EDFC9" w:rsidR="00EB243D" w:rsidRPr="00154588" w:rsidRDefault="00EB243D" w:rsidP="008C12B4">
            <w:pPr>
              <w:jc w:val="both"/>
              <w:rPr>
                <w:sz w:val="20"/>
                <w:szCs w:val="20"/>
              </w:rPr>
            </w:pPr>
            <w:r w:rsidRPr="00154588">
              <w:rPr>
                <w:sz w:val="20"/>
                <w:szCs w:val="20"/>
              </w:rPr>
              <w:t>(j) băncile centrale și alte autorități implicate în procesul de rezoluție;</w:t>
            </w:r>
          </w:p>
          <w:p w14:paraId="13F9B69A" w14:textId="77777777" w:rsidR="00EB243D" w:rsidRPr="00154588" w:rsidRDefault="00EB243D" w:rsidP="008C12B4">
            <w:pPr>
              <w:jc w:val="both"/>
              <w:rPr>
                <w:sz w:val="20"/>
                <w:szCs w:val="20"/>
              </w:rPr>
            </w:pPr>
          </w:p>
          <w:p w14:paraId="1B2B30E0" w14:textId="00D64E1A" w:rsidR="00EB243D" w:rsidRPr="00154588" w:rsidRDefault="00EB243D" w:rsidP="008C12B4">
            <w:pPr>
              <w:jc w:val="both"/>
              <w:rPr>
                <w:sz w:val="20"/>
                <w:szCs w:val="20"/>
              </w:rPr>
            </w:pPr>
            <w:r w:rsidRPr="00154588">
              <w:rPr>
                <w:sz w:val="20"/>
                <w:szCs w:val="20"/>
              </w:rPr>
              <w:t>(k) o instituție-punte sau un vehicul de gestionare a activelor;</w:t>
            </w:r>
          </w:p>
          <w:p w14:paraId="62FEB9F2" w14:textId="77777777" w:rsidR="00EB243D" w:rsidRPr="00154588" w:rsidRDefault="00EB243D" w:rsidP="008C12B4">
            <w:pPr>
              <w:jc w:val="both"/>
              <w:rPr>
                <w:sz w:val="20"/>
                <w:szCs w:val="20"/>
              </w:rPr>
            </w:pPr>
          </w:p>
          <w:p w14:paraId="16AF9E9B" w14:textId="7DC4C569" w:rsidR="00EB243D" w:rsidRPr="00154588" w:rsidRDefault="00EB243D" w:rsidP="008C12B4">
            <w:pPr>
              <w:jc w:val="both"/>
              <w:rPr>
                <w:sz w:val="20"/>
                <w:szCs w:val="20"/>
              </w:rPr>
            </w:pPr>
            <w:r w:rsidRPr="00154588">
              <w:rPr>
                <w:sz w:val="20"/>
                <w:szCs w:val="20"/>
              </w:rPr>
              <w:t>(l) orice alte persoane care furnizează sau au furnizat servicii direct sau indirect, permanent sau ocazional persoanelor menționate la literele (a)-(k);</w:t>
            </w:r>
          </w:p>
          <w:p w14:paraId="6A6461A5" w14:textId="77777777" w:rsidR="00EB243D" w:rsidRPr="00154588" w:rsidRDefault="00EB243D" w:rsidP="008C12B4">
            <w:pPr>
              <w:jc w:val="both"/>
              <w:rPr>
                <w:sz w:val="20"/>
                <w:szCs w:val="20"/>
              </w:rPr>
            </w:pPr>
          </w:p>
          <w:p w14:paraId="26A608A4" w14:textId="4E1459C5" w:rsidR="00EB243D" w:rsidRPr="00154588" w:rsidRDefault="00EB243D" w:rsidP="008C12B4">
            <w:pPr>
              <w:jc w:val="both"/>
              <w:rPr>
                <w:sz w:val="20"/>
                <w:szCs w:val="20"/>
              </w:rPr>
            </w:pPr>
            <w:r w:rsidRPr="00154588">
              <w:rPr>
                <w:sz w:val="20"/>
                <w:szCs w:val="20"/>
              </w:rPr>
              <w:t>(m) conducerea superioară, membrii organului de conducere și angajații organismelor sau entităților menționate la literele (a)-(k) înaintea, în timpul și după numirea acestora.</w:t>
            </w:r>
          </w:p>
        </w:tc>
        <w:tc>
          <w:tcPr>
            <w:tcW w:w="4819" w:type="dxa"/>
          </w:tcPr>
          <w:p w14:paraId="497A65F0" w14:textId="77777777" w:rsidR="00EB243D" w:rsidRPr="00154588" w:rsidRDefault="00EB243D" w:rsidP="008C12B4">
            <w:pPr>
              <w:ind w:firstLine="567"/>
              <w:jc w:val="both"/>
              <w:rPr>
                <w:rFonts w:eastAsia="Calibri"/>
                <w:sz w:val="20"/>
                <w:szCs w:val="20"/>
              </w:rPr>
            </w:pPr>
            <w:r w:rsidRPr="00154588">
              <w:rPr>
                <w:rFonts w:eastAsia="Calibri"/>
                <w:b/>
                <w:sz w:val="20"/>
                <w:szCs w:val="20"/>
              </w:rPr>
              <w:lastRenderedPageBreak/>
              <w:t>Articolul 288.</w:t>
            </w:r>
            <w:r w:rsidRPr="00154588">
              <w:rPr>
                <w:rFonts w:eastAsia="Calibri"/>
                <w:sz w:val="20"/>
                <w:szCs w:val="20"/>
              </w:rPr>
              <w:t xml:space="preserve"> – Următoarele persoane şi autorităţi sînt supuse obligaţiei de păstrare a secretului profesional în ceea ce priveşte informaţiile gestionate potrivit prezentei legi:</w:t>
            </w:r>
          </w:p>
          <w:p w14:paraId="77A58A91" w14:textId="77777777" w:rsidR="00EB243D" w:rsidRPr="00154588" w:rsidRDefault="00EB243D" w:rsidP="008C12B4">
            <w:pPr>
              <w:ind w:firstLine="567"/>
              <w:jc w:val="both"/>
              <w:rPr>
                <w:rFonts w:eastAsia="Calibri"/>
                <w:sz w:val="20"/>
                <w:szCs w:val="20"/>
              </w:rPr>
            </w:pPr>
            <w:r w:rsidRPr="00154588">
              <w:rPr>
                <w:rFonts w:eastAsia="Calibri"/>
                <w:sz w:val="20"/>
                <w:szCs w:val="20"/>
              </w:rPr>
              <w:t>a) Banca Naţională a Moldovei, în calitate de autoritate de rezoluţie, autoritate competentă şi bancă centrală;</w:t>
            </w:r>
          </w:p>
          <w:p w14:paraId="24C1C979" w14:textId="77777777" w:rsidR="00EB243D" w:rsidRPr="00154588" w:rsidRDefault="00EB243D" w:rsidP="008C12B4">
            <w:pPr>
              <w:ind w:firstLine="567"/>
              <w:jc w:val="both"/>
              <w:rPr>
                <w:rFonts w:eastAsia="Calibri"/>
                <w:sz w:val="20"/>
                <w:szCs w:val="20"/>
              </w:rPr>
            </w:pPr>
            <w:r w:rsidRPr="00154588">
              <w:rPr>
                <w:rFonts w:eastAsia="Calibri"/>
                <w:sz w:val="20"/>
                <w:szCs w:val="20"/>
              </w:rPr>
              <w:t>a</w:t>
            </w:r>
            <w:r w:rsidRPr="00154588">
              <w:rPr>
                <w:rFonts w:eastAsia="Calibri"/>
                <w:sz w:val="20"/>
                <w:szCs w:val="20"/>
                <w:vertAlign w:val="superscript"/>
              </w:rPr>
              <w:t>1</w:t>
            </w:r>
            <w:r w:rsidRPr="00154588">
              <w:rPr>
                <w:rFonts w:eastAsia="Calibri"/>
                <w:sz w:val="20"/>
                <w:szCs w:val="20"/>
              </w:rPr>
              <w:t>) Comisia Națională a Pieței Financiare, în calitate de autoritate responsabilă de supraveghere a pieței de capital;</w:t>
            </w:r>
          </w:p>
          <w:p w14:paraId="395AF6E8" w14:textId="77777777" w:rsidR="00EB243D" w:rsidRPr="00154588" w:rsidRDefault="00EB243D" w:rsidP="008C12B4">
            <w:pPr>
              <w:ind w:firstLine="567"/>
              <w:jc w:val="both"/>
              <w:rPr>
                <w:rFonts w:eastAsia="Calibri"/>
                <w:sz w:val="20"/>
                <w:szCs w:val="20"/>
              </w:rPr>
            </w:pPr>
            <w:r w:rsidRPr="00154588">
              <w:rPr>
                <w:rFonts w:eastAsia="Calibri"/>
                <w:sz w:val="20"/>
                <w:szCs w:val="20"/>
              </w:rPr>
              <w:t>b) Ministerul Finanţelor, în calitate de minister competent;</w:t>
            </w:r>
          </w:p>
          <w:p w14:paraId="71BEF4D9" w14:textId="77777777" w:rsidR="00EB243D" w:rsidRPr="00154588" w:rsidRDefault="00EB243D" w:rsidP="008C12B4">
            <w:pPr>
              <w:ind w:firstLine="567"/>
              <w:jc w:val="both"/>
              <w:rPr>
                <w:rFonts w:eastAsia="Calibri"/>
                <w:sz w:val="20"/>
                <w:szCs w:val="20"/>
              </w:rPr>
            </w:pPr>
            <w:r w:rsidRPr="00154588">
              <w:rPr>
                <w:rFonts w:eastAsia="Calibri"/>
                <w:sz w:val="20"/>
                <w:szCs w:val="20"/>
              </w:rPr>
              <w:t>c) administratorii speciali sau administratorii temporari desemnaţi în conformitate cu dispoziţiile prezentei legi;</w:t>
            </w:r>
          </w:p>
          <w:p w14:paraId="45C42F7A" w14:textId="77777777" w:rsidR="00EB243D" w:rsidRPr="00154588" w:rsidRDefault="00EB243D" w:rsidP="008C12B4">
            <w:pPr>
              <w:ind w:firstLine="567"/>
              <w:jc w:val="both"/>
              <w:rPr>
                <w:rFonts w:eastAsia="Calibri"/>
                <w:sz w:val="20"/>
                <w:szCs w:val="20"/>
              </w:rPr>
            </w:pPr>
            <w:r w:rsidRPr="00154588">
              <w:rPr>
                <w:rFonts w:eastAsia="Calibri"/>
                <w:sz w:val="20"/>
                <w:szCs w:val="20"/>
              </w:rPr>
              <w:lastRenderedPageBreak/>
              <w:t>d) cumpărătorii potenţiali, cei contactaţi de Banca Naţională a Moldovei, în calitate de autoritate competentă, şi cei ofertaţi de Banca Naţională a Moldovei, în calitate de autoritate de rezoluţie, indiferent dacă acest contact sau această ofertare a avut loc sau nu în cadrul pregătirii în vederea utilizării instrumentului de vînzare a afacerii sau dacă ofertarea respectivă a condus sau nu la o achiziţie;</w:t>
            </w:r>
          </w:p>
          <w:p w14:paraId="125E44E6" w14:textId="77777777" w:rsidR="00EB243D" w:rsidRPr="00154588" w:rsidRDefault="00EB243D" w:rsidP="008C12B4">
            <w:pPr>
              <w:ind w:firstLine="567"/>
              <w:jc w:val="both"/>
              <w:rPr>
                <w:rFonts w:eastAsia="Calibri"/>
                <w:sz w:val="20"/>
                <w:szCs w:val="20"/>
              </w:rPr>
            </w:pPr>
            <w:r w:rsidRPr="00154588">
              <w:rPr>
                <w:rFonts w:eastAsia="Calibri"/>
                <w:sz w:val="20"/>
                <w:szCs w:val="20"/>
              </w:rPr>
              <w:t>e) auditorii, contabilii, consilierii juridici şi profesionali, evaluatorii şi alţi experţi angajaţi direct sau indirect de Banca Naţională a Moldovei, în calitate de autoritate de rezoluţie sau de autoritate competentă, de Ministerul Finanţelor, în calitate de minister competent, sau de cumpărătorii potenţiali prevăzuţi la lit.d);</w:t>
            </w:r>
          </w:p>
          <w:p w14:paraId="4585DC68" w14:textId="77777777" w:rsidR="00EB243D" w:rsidRPr="00154588" w:rsidRDefault="00EB243D" w:rsidP="008C12B4">
            <w:pPr>
              <w:ind w:firstLine="567"/>
              <w:jc w:val="both"/>
              <w:rPr>
                <w:rFonts w:eastAsia="Calibri"/>
                <w:sz w:val="20"/>
                <w:szCs w:val="20"/>
              </w:rPr>
            </w:pPr>
            <w:r w:rsidRPr="00154588">
              <w:rPr>
                <w:rFonts w:eastAsia="Calibri"/>
                <w:sz w:val="20"/>
                <w:szCs w:val="20"/>
              </w:rPr>
              <w:t>f) Fondul de garantare a depozitelor în sistemul bancar, în calitate de administrator al sistemului de garantare a depozitelor şi al mecanismului de finanţare a rezoluţiei;</w:t>
            </w:r>
          </w:p>
          <w:p w14:paraId="3B656C1B" w14:textId="77777777" w:rsidR="00EB243D" w:rsidRPr="00154588" w:rsidRDefault="00EB243D" w:rsidP="008C12B4">
            <w:pPr>
              <w:ind w:firstLine="567"/>
              <w:jc w:val="both"/>
              <w:rPr>
                <w:rFonts w:eastAsia="Calibri"/>
                <w:sz w:val="20"/>
                <w:szCs w:val="20"/>
              </w:rPr>
            </w:pPr>
            <w:r w:rsidRPr="00154588">
              <w:rPr>
                <w:rFonts w:eastAsia="Calibri"/>
                <w:sz w:val="20"/>
                <w:szCs w:val="20"/>
              </w:rPr>
              <w:t>g) alte autorităţi implicate în procesul de rezoluţie;</w:t>
            </w:r>
          </w:p>
          <w:p w14:paraId="3CF117FB" w14:textId="77777777" w:rsidR="00EB243D" w:rsidRPr="00154588" w:rsidRDefault="00EB243D" w:rsidP="008C12B4">
            <w:pPr>
              <w:ind w:firstLine="567"/>
              <w:jc w:val="both"/>
              <w:rPr>
                <w:rFonts w:eastAsia="Calibri"/>
                <w:sz w:val="20"/>
                <w:szCs w:val="20"/>
              </w:rPr>
            </w:pPr>
            <w:r w:rsidRPr="00154588">
              <w:rPr>
                <w:rFonts w:eastAsia="Calibri"/>
                <w:sz w:val="20"/>
                <w:szCs w:val="20"/>
              </w:rPr>
              <w:t>h) instituția-punte sau vehiculul de administrare a activelor implicate;</w:t>
            </w:r>
          </w:p>
          <w:p w14:paraId="0831DFAA" w14:textId="77777777" w:rsidR="00EB243D" w:rsidRPr="00154588" w:rsidRDefault="00EB243D" w:rsidP="008C12B4">
            <w:pPr>
              <w:ind w:firstLine="567"/>
              <w:jc w:val="both"/>
              <w:rPr>
                <w:rFonts w:eastAsia="Calibri"/>
                <w:sz w:val="20"/>
                <w:szCs w:val="20"/>
              </w:rPr>
            </w:pPr>
            <w:r w:rsidRPr="00154588">
              <w:rPr>
                <w:rFonts w:eastAsia="Calibri"/>
                <w:sz w:val="20"/>
                <w:szCs w:val="20"/>
              </w:rPr>
              <w:t>i) orice altă persoană care furnizează sau a furnizat servicii direct sau indirect, permanent sau ocazional entităţilor prevăzute la lit.a)-h);</w:t>
            </w:r>
          </w:p>
          <w:p w14:paraId="7C5E2A50" w14:textId="77777777" w:rsidR="00EB243D" w:rsidRPr="00154588" w:rsidRDefault="00EB243D" w:rsidP="008C12B4">
            <w:pPr>
              <w:ind w:firstLine="567"/>
              <w:jc w:val="both"/>
              <w:rPr>
                <w:rFonts w:eastAsia="Calibri"/>
                <w:sz w:val="20"/>
                <w:szCs w:val="20"/>
              </w:rPr>
            </w:pPr>
            <w:r w:rsidRPr="00154588">
              <w:rPr>
                <w:rFonts w:eastAsia="Calibri"/>
                <w:sz w:val="20"/>
                <w:szCs w:val="20"/>
              </w:rPr>
              <w:t>j) conducerea superioară, membrii organului de conducere şi angajaţii entităţilor prevăzute la lit.a)-h) înaintea, în timpul şi după numirea acestora;</w:t>
            </w:r>
          </w:p>
          <w:p w14:paraId="438A29B0" w14:textId="77777777" w:rsidR="00EB243D" w:rsidRPr="00154588" w:rsidRDefault="00EB243D" w:rsidP="008C12B4">
            <w:pPr>
              <w:ind w:firstLine="567"/>
              <w:jc w:val="both"/>
              <w:rPr>
                <w:rFonts w:eastAsia="Calibri"/>
                <w:sz w:val="20"/>
                <w:szCs w:val="20"/>
              </w:rPr>
            </w:pPr>
            <w:r w:rsidRPr="00154588">
              <w:rPr>
                <w:rFonts w:eastAsia="Calibri"/>
                <w:sz w:val="20"/>
                <w:szCs w:val="20"/>
              </w:rPr>
              <w:t>k) membrii Guvernului;</w:t>
            </w:r>
          </w:p>
          <w:p w14:paraId="686D0F75" w14:textId="56CC519A" w:rsidR="00EB243D" w:rsidRPr="00154588" w:rsidRDefault="00EB243D" w:rsidP="008C12B4">
            <w:pPr>
              <w:ind w:firstLine="567"/>
              <w:jc w:val="both"/>
              <w:rPr>
                <w:rFonts w:eastAsia="Calibri"/>
                <w:sz w:val="20"/>
                <w:szCs w:val="20"/>
              </w:rPr>
            </w:pPr>
            <w:r w:rsidRPr="00154588">
              <w:rPr>
                <w:rFonts w:eastAsia="Calibri"/>
                <w:sz w:val="20"/>
                <w:szCs w:val="20"/>
              </w:rPr>
              <w:t xml:space="preserve">l) organele care administrează schema de compensare a investitorilor. </w:t>
            </w:r>
          </w:p>
        </w:tc>
        <w:tc>
          <w:tcPr>
            <w:tcW w:w="2552" w:type="dxa"/>
          </w:tcPr>
          <w:p w14:paraId="2D713F77" w14:textId="70334CAD" w:rsidR="00EB243D" w:rsidRPr="00154588" w:rsidRDefault="00EB243D" w:rsidP="008C12B4">
            <w:pPr>
              <w:jc w:val="both"/>
              <w:rPr>
                <w:sz w:val="20"/>
                <w:szCs w:val="20"/>
              </w:rPr>
            </w:pPr>
            <w:r w:rsidRPr="00154588">
              <w:rPr>
                <w:sz w:val="20"/>
                <w:szCs w:val="20"/>
              </w:rPr>
              <w:lastRenderedPageBreak/>
              <w:t>Compatibil</w:t>
            </w:r>
          </w:p>
        </w:tc>
        <w:tc>
          <w:tcPr>
            <w:tcW w:w="3118" w:type="dxa"/>
          </w:tcPr>
          <w:p w14:paraId="6C9C893A" w14:textId="77777777" w:rsidR="00EB243D" w:rsidRPr="00154588" w:rsidRDefault="00EB243D" w:rsidP="008C12B4">
            <w:pPr>
              <w:jc w:val="both"/>
              <w:rPr>
                <w:sz w:val="20"/>
                <w:szCs w:val="20"/>
              </w:rPr>
            </w:pPr>
          </w:p>
        </w:tc>
      </w:tr>
      <w:tr w:rsidR="00EB243D" w:rsidRPr="00154588" w14:paraId="205D6B3C" w14:textId="77777777" w:rsidTr="00D15C1B">
        <w:trPr>
          <w:jc w:val="center"/>
        </w:trPr>
        <w:tc>
          <w:tcPr>
            <w:tcW w:w="4957" w:type="dxa"/>
            <w:gridSpan w:val="2"/>
          </w:tcPr>
          <w:p w14:paraId="4533F04B" w14:textId="34513003" w:rsidR="00EB243D" w:rsidRPr="00154588" w:rsidRDefault="00EB243D" w:rsidP="008C12B4">
            <w:pPr>
              <w:jc w:val="both"/>
              <w:rPr>
                <w:sz w:val="20"/>
                <w:szCs w:val="20"/>
              </w:rPr>
            </w:pPr>
            <w:r w:rsidRPr="00154588">
              <w:rPr>
                <w:sz w:val="20"/>
                <w:szCs w:val="20"/>
              </w:rPr>
              <w:t>(2)   Pentru a se asigura că cerințele privind confidențialitatea stabilite la alineatele (1) și (3) sunt respectate, persoanele menționate la alineatul (1) literele (a), (b), (c), (g), (h), (j) și (k) se asigură că sunt instituite norme interne, inclusiv norme pentru a garanta caracterul secret al informațiilor între persoanele implicate direct în procesul de rezoluție.</w:t>
            </w:r>
          </w:p>
        </w:tc>
        <w:tc>
          <w:tcPr>
            <w:tcW w:w="4819" w:type="dxa"/>
          </w:tcPr>
          <w:p w14:paraId="425D74BF" w14:textId="08DC5697" w:rsidR="00EB243D" w:rsidRPr="00154588" w:rsidRDefault="00EB243D" w:rsidP="008C12B4">
            <w:pPr>
              <w:ind w:firstLine="567"/>
              <w:jc w:val="both"/>
              <w:rPr>
                <w:rFonts w:eastAsia="Calibri"/>
                <w:sz w:val="20"/>
                <w:szCs w:val="20"/>
              </w:rPr>
            </w:pPr>
            <w:r w:rsidRPr="00154588">
              <w:rPr>
                <w:rFonts w:eastAsia="Calibri"/>
                <w:b/>
                <w:sz w:val="20"/>
                <w:szCs w:val="20"/>
              </w:rPr>
              <w:t>Articolul</w:t>
            </w:r>
            <w:r w:rsidRPr="00154588">
              <w:rPr>
                <w:rFonts w:eastAsia="Calibri"/>
                <w:sz w:val="20"/>
                <w:szCs w:val="20"/>
              </w:rPr>
              <w:t xml:space="preserve"> </w:t>
            </w:r>
            <w:r w:rsidRPr="00154588">
              <w:rPr>
                <w:rFonts w:eastAsia="Calibri"/>
                <w:b/>
                <w:sz w:val="20"/>
                <w:szCs w:val="20"/>
              </w:rPr>
              <w:t>289.</w:t>
            </w:r>
            <w:r w:rsidRPr="00154588">
              <w:rPr>
                <w:rFonts w:eastAsia="Calibri"/>
                <w:sz w:val="20"/>
                <w:szCs w:val="20"/>
              </w:rPr>
              <w:t xml:space="preserve"> – Pentru a asigura respectarea cerinţelor referitoare la păstrarea confidenţialităţii prevăzute în prezenta lege, entităţile specificate la art.288 lit.a), a</w:t>
            </w:r>
            <w:r w:rsidRPr="00154588">
              <w:rPr>
                <w:rFonts w:eastAsia="Calibri"/>
                <w:sz w:val="20"/>
                <w:szCs w:val="20"/>
                <w:vertAlign w:val="superscript"/>
              </w:rPr>
              <w:t>1</w:t>
            </w:r>
            <w:r w:rsidRPr="00154588">
              <w:rPr>
                <w:rFonts w:eastAsia="Calibri"/>
                <w:sz w:val="20"/>
                <w:szCs w:val="20"/>
              </w:rPr>
              <w:t>), b) şi f)-h) elaborează şi aplică norme interne în acest sens, inclusiv norme pentru a asigura caracterul secret al informaţiilor şi furnizarea de informaţii între persoanele implicate direct în procesul de rezoluţie.</w:t>
            </w:r>
          </w:p>
        </w:tc>
        <w:tc>
          <w:tcPr>
            <w:tcW w:w="2552" w:type="dxa"/>
          </w:tcPr>
          <w:p w14:paraId="48A77A27" w14:textId="127D9A3D" w:rsidR="00EB243D" w:rsidRPr="00154588" w:rsidRDefault="00EB243D" w:rsidP="008C12B4">
            <w:pPr>
              <w:jc w:val="both"/>
              <w:rPr>
                <w:sz w:val="20"/>
                <w:szCs w:val="20"/>
              </w:rPr>
            </w:pPr>
            <w:r w:rsidRPr="00154588">
              <w:rPr>
                <w:sz w:val="20"/>
                <w:szCs w:val="20"/>
              </w:rPr>
              <w:t>Compatibil</w:t>
            </w:r>
          </w:p>
        </w:tc>
        <w:tc>
          <w:tcPr>
            <w:tcW w:w="3118" w:type="dxa"/>
          </w:tcPr>
          <w:p w14:paraId="5C06128B" w14:textId="77777777" w:rsidR="00EB243D" w:rsidRPr="00154588" w:rsidRDefault="00EB243D" w:rsidP="008C12B4">
            <w:pPr>
              <w:jc w:val="both"/>
              <w:rPr>
                <w:sz w:val="20"/>
                <w:szCs w:val="20"/>
              </w:rPr>
            </w:pPr>
          </w:p>
        </w:tc>
      </w:tr>
      <w:tr w:rsidR="00EB243D" w:rsidRPr="00154588" w14:paraId="3D4978E8" w14:textId="77777777" w:rsidTr="00D15C1B">
        <w:trPr>
          <w:jc w:val="center"/>
        </w:trPr>
        <w:tc>
          <w:tcPr>
            <w:tcW w:w="4957" w:type="dxa"/>
            <w:gridSpan w:val="2"/>
          </w:tcPr>
          <w:p w14:paraId="72388748" w14:textId="77777777" w:rsidR="00EB243D" w:rsidRPr="00154588" w:rsidRDefault="00EB243D" w:rsidP="008C12B4">
            <w:pPr>
              <w:jc w:val="both"/>
              <w:rPr>
                <w:sz w:val="20"/>
                <w:szCs w:val="20"/>
              </w:rPr>
            </w:pPr>
            <w:r w:rsidRPr="00154588">
              <w:rPr>
                <w:sz w:val="20"/>
                <w:szCs w:val="20"/>
              </w:rPr>
              <w:t xml:space="preserve">(3)   Fără a aduce atingere caracterului general al cerințelor prevăzute la alineatul (1), persoanelor </w:t>
            </w:r>
            <w:r w:rsidRPr="00154588">
              <w:rPr>
                <w:sz w:val="20"/>
                <w:szCs w:val="20"/>
              </w:rPr>
              <w:lastRenderedPageBreak/>
              <w:t>menționate la alineatul respectiv li se interzice divulgarea informațiilor confidențiale primite în exercițiul activităților lor profesionale sau de la o autoritate competentă sau o autoritate de rezoluție în legătură cu atribuțiile acesteia în temeiul prezentei directive, către orice persoană sau autoritate, cu excepția cazului în care această divulgare se face în exercitarea atribuțiilor lor în temeiul acestei directive sau sub formă de rezumat sau în formă agregată, astfel încât instituțiile sau entitățile menționate la articolul 1 alineatul (1) litera (b), (c) sau (d) să nu poată fi identificate, fie cu consimțământul expres și prealabil al autorității, al instituției sau al entității menționate la articolul 1 alineatul (1) litera (b), (c) sau (d) care a furnizat informațiile respective.</w:t>
            </w:r>
          </w:p>
          <w:p w14:paraId="1EB15116" w14:textId="77777777" w:rsidR="00EB243D" w:rsidRPr="00154588" w:rsidRDefault="00EB243D" w:rsidP="008C12B4">
            <w:pPr>
              <w:jc w:val="both"/>
              <w:rPr>
                <w:sz w:val="20"/>
                <w:szCs w:val="20"/>
              </w:rPr>
            </w:pPr>
          </w:p>
          <w:p w14:paraId="611D1180" w14:textId="77777777" w:rsidR="00EB243D" w:rsidRPr="00154588" w:rsidRDefault="00EB243D" w:rsidP="008C12B4">
            <w:pPr>
              <w:jc w:val="both"/>
              <w:rPr>
                <w:sz w:val="20"/>
                <w:szCs w:val="20"/>
              </w:rPr>
            </w:pPr>
            <w:r w:rsidRPr="00154588">
              <w:rPr>
                <w:sz w:val="20"/>
                <w:szCs w:val="20"/>
              </w:rPr>
              <w:t>Statele membre se asigură că nicio informație confidențială nu este divulgată de către persoanele menționate la alineatul (1) și că sunt evaluate efectele posibile ale divulgării informației respective asupra interesului public în ceea ce privește politica financiară, monetară și economică, precum și asupra intereselor comerciale ale persoanelor fizice și juridice, asupra scopului inspecțiilor, asupra anchetelor și asupra auditurilor.</w:t>
            </w:r>
          </w:p>
          <w:p w14:paraId="1EC17473" w14:textId="77777777" w:rsidR="00EB243D" w:rsidRPr="00154588" w:rsidRDefault="00EB243D" w:rsidP="008C12B4">
            <w:pPr>
              <w:jc w:val="both"/>
              <w:rPr>
                <w:sz w:val="20"/>
                <w:szCs w:val="20"/>
              </w:rPr>
            </w:pPr>
          </w:p>
          <w:p w14:paraId="7AF9B142" w14:textId="77777777" w:rsidR="00EB243D" w:rsidRPr="00154588" w:rsidRDefault="00EB243D" w:rsidP="008C12B4">
            <w:pPr>
              <w:jc w:val="both"/>
              <w:rPr>
                <w:sz w:val="20"/>
                <w:szCs w:val="20"/>
              </w:rPr>
            </w:pPr>
            <w:r w:rsidRPr="00154588">
              <w:rPr>
                <w:sz w:val="20"/>
                <w:szCs w:val="20"/>
              </w:rPr>
              <w:t>Procedura de verificare a efectelor divulgării informațiilor include o evaluare specifică a efectelor oricărei divulgări a conținutului și detaliilor planului de redresare și de rezoluție astfel cum este menționat la articolele 5, 7, 10, 11 și 12 și rezultatul evaluărilor realizate în conformitate cu articolele 6, 8 și 15.</w:t>
            </w:r>
          </w:p>
          <w:p w14:paraId="4E06973F" w14:textId="77777777" w:rsidR="00EB243D" w:rsidRPr="00154588" w:rsidRDefault="00EB243D" w:rsidP="008C12B4">
            <w:pPr>
              <w:jc w:val="both"/>
              <w:rPr>
                <w:sz w:val="20"/>
                <w:szCs w:val="20"/>
              </w:rPr>
            </w:pPr>
          </w:p>
          <w:p w14:paraId="3BDC4B7F" w14:textId="77DB0711" w:rsidR="00EB243D" w:rsidRPr="00154588" w:rsidRDefault="00EB243D" w:rsidP="008C12B4">
            <w:pPr>
              <w:jc w:val="both"/>
              <w:rPr>
                <w:sz w:val="20"/>
                <w:szCs w:val="20"/>
              </w:rPr>
            </w:pPr>
            <w:r w:rsidRPr="00154588">
              <w:rPr>
                <w:sz w:val="20"/>
                <w:szCs w:val="20"/>
              </w:rPr>
              <w:t>Orice persoană sau entitate menționată la alineatul (1) face obiectul răspunderii civile în cazul încălcării prezentului articol, în conformitate cu dreptul intern.</w:t>
            </w:r>
          </w:p>
        </w:tc>
        <w:tc>
          <w:tcPr>
            <w:tcW w:w="4819" w:type="dxa"/>
          </w:tcPr>
          <w:p w14:paraId="612AE95B" w14:textId="77777777" w:rsidR="00EB243D" w:rsidRPr="00154588" w:rsidRDefault="00EB243D" w:rsidP="008C12B4">
            <w:pPr>
              <w:ind w:firstLine="567"/>
              <w:jc w:val="both"/>
              <w:rPr>
                <w:rFonts w:eastAsia="Calibri"/>
                <w:sz w:val="20"/>
                <w:szCs w:val="20"/>
              </w:rPr>
            </w:pPr>
            <w:r w:rsidRPr="00154588">
              <w:rPr>
                <w:rFonts w:eastAsia="Calibri"/>
                <w:b/>
                <w:sz w:val="20"/>
                <w:szCs w:val="20"/>
              </w:rPr>
              <w:lastRenderedPageBreak/>
              <w:t>Articolul 290.</w:t>
            </w:r>
            <w:r w:rsidRPr="00154588">
              <w:rPr>
                <w:rFonts w:eastAsia="Calibri"/>
                <w:sz w:val="20"/>
                <w:szCs w:val="20"/>
              </w:rPr>
              <w:t xml:space="preserve"> – (1) Fără a aduce atingere caracterului general al cerinţelor prevăzute la </w:t>
            </w:r>
            <w:r w:rsidRPr="00154588">
              <w:rPr>
                <w:rFonts w:eastAsia="Calibri"/>
                <w:sz w:val="20"/>
                <w:szCs w:val="20"/>
              </w:rPr>
              <w:lastRenderedPageBreak/>
              <w:t>art.288, persoanelor menţionate la articolul respectiv li se interzice dezvăluirea informaţiilor confidenţiale primite în exerciţiul activităţilor lor profesionale sau de la Banca Naţională a Moldovei, în calitate de autoritate competentă sau autoritate de rezoluţie, în legătură cu atribuţiile acestora potrivit prezentei legi, către orice persoană sau autoritate, cu următoarele excepţii:</w:t>
            </w:r>
          </w:p>
          <w:p w14:paraId="4647371A" w14:textId="77777777" w:rsidR="00EB243D" w:rsidRPr="00154588" w:rsidRDefault="00EB243D" w:rsidP="008C12B4">
            <w:pPr>
              <w:ind w:firstLine="567"/>
              <w:jc w:val="both"/>
              <w:rPr>
                <w:rFonts w:eastAsia="Calibri"/>
                <w:sz w:val="20"/>
                <w:szCs w:val="20"/>
              </w:rPr>
            </w:pPr>
            <w:r w:rsidRPr="00154588">
              <w:rPr>
                <w:rFonts w:eastAsia="Calibri"/>
                <w:sz w:val="20"/>
                <w:szCs w:val="20"/>
              </w:rPr>
              <w:t>a) dezvăluirea se face în exercitarea atribuţiilor ce le revin potrivit prezentei legi;</w:t>
            </w:r>
          </w:p>
          <w:p w14:paraId="3519C1A1" w14:textId="77777777" w:rsidR="00EB243D" w:rsidRPr="00154588" w:rsidRDefault="00EB243D" w:rsidP="008C12B4">
            <w:pPr>
              <w:ind w:firstLine="567"/>
              <w:jc w:val="both"/>
              <w:rPr>
                <w:rFonts w:eastAsia="Calibri"/>
                <w:sz w:val="20"/>
                <w:szCs w:val="20"/>
              </w:rPr>
            </w:pPr>
            <w:r w:rsidRPr="00154588">
              <w:rPr>
                <w:rFonts w:eastAsia="Calibri"/>
                <w:sz w:val="20"/>
                <w:szCs w:val="20"/>
              </w:rPr>
              <w:t>b) se furnizează informaţii sub formă generală sau în formă agregată, astfel încât instituțiile de credit sau entitățile prevăzute la art.1 alin.(1) lit.b), c) sau d) să nu poată fi identificate;</w:t>
            </w:r>
          </w:p>
          <w:p w14:paraId="38260785" w14:textId="77777777" w:rsidR="00EB243D" w:rsidRPr="00154588" w:rsidRDefault="00EB243D" w:rsidP="008C12B4">
            <w:pPr>
              <w:ind w:firstLine="567"/>
              <w:jc w:val="both"/>
              <w:rPr>
                <w:rFonts w:eastAsia="Calibri"/>
                <w:sz w:val="20"/>
                <w:szCs w:val="20"/>
              </w:rPr>
            </w:pPr>
            <w:r w:rsidRPr="00154588">
              <w:rPr>
                <w:rFonts w:eastAsia="Calibri"/>
                <w:sz w:val="20"/>
                <w:szCs w:val="20"/>
              </w:rPr>
              <w:t>c) există consimţămîntul expres şi prealabil al autorităţii, al instituției de credit sau al entităţii prevăzute la art.1 alin.(1) lit.b), c) sau d) care a furnizat informaţiile respective.</w:t>
            </w:r>
          </w:p>
          <w:p w14:paraId="25FB3E7A" w14:textId="77777777" w:rsidR="00EB243D" w:rsidRPr="00154588" w:rsidRDefault="00EB243D" w:rsidP="008C12B4">
            <w:pPr>
              <w:ind w:firstLine="567"/>
              <w:jc w:val="both"/>
              <w:rPr>
                <w:rFonts w:eastAsia="Calibri"/>
                <w:sz w:val="20"/>
                <w:szCs w:val="20"/>
              </w:rPr>
            </w:pPr>
            <w:r w:rsidRPr="00154588">
              <w:rPr>
                <w:rFonts w:eastAsia="Calibri"/>
                <w:sz w:val="20"/>
                <w:szCs w:val="20"/>
              </w:rPr>
              <w:t>(2) Persoanele prevăzute la art.288 evaluează efectele pe care dezvăluirea informaţiilor confidenţiale le-ar putea avea asupra interesului public în ceea ce priveşte politica financiară, monetară şi economică, precum şi asupra intereselor comerciale ale persoanelor fizice şi juridice şi asupra scopului inspecţiilor, asupra anchetelor şi misiunilor de audit.</w:t>
            </w:r>
          </w:p>
          <w:p w14:paraId="32989AE6" w14:textId="77777777" w:rsidR="00EB243D" w:rsidRPr="00154588" w:rsidRDefault="00EB243D" w:rsidP="008C12B4">
            <w:pPr>
              <w:ind w:firstLine="567"/>
              <w:jc w:val="both"/>
              <w:rPr>
                <w:rFonts w:eastAsia="Calibri"/>
                <w:sz w:val="20"/>
                <w:szCs w:val="20"/>
                <w:lang w:val="ro-MD"/>
              </w:rPr>
            </w:pPr>
            <w:r w:rsidRPr="00154588">
              <w:rPr>
                <w:rFonts w:eastAsia="Calibri"/>
                <w:sz w:val="20"/>
                <w:szCs w:val="20"/>
                <w:lang w:val="ro-MD"/>
              </w:rPr>
              <w:t>(2</w:t>
            </w:r>
            <w:r w:rsidRPr="00154588">
              <w:rPr>
                <w:rFonts w:eastAsia="Calibri"/>
                <w:sz w:val="20"/>
                <w:szCs w:val="20"/>
                <w:vertAlign w:val="superscript"/>
                <w:lang w:val="ro-MD"/>
              </w:rPr>
              <w:t>1</w:t>
            </w:r>
            <w:r w:rsidRPr="00154588">
              <w:rPr>
                <w:rFonts w:eastAsia="Calibri"/>
                <w:sz w:val="20"/>
                <w:szCs w:val="20"/>
                <w:lang w:val="ro-MD"/>
              </w:rPr>
              <w:t>) Procedura de verificare a efectelor dezvăluirii informațiilor confidențiale cuprinde o evaluare specifică a efectelor oricărei dezvăluiri a conținutului și detaliilor planului de redresare și rezoluție prevăzute la art.9-15, art.22</w:t>
            </w:r>
            <w:r w:rsidRPr="00154588">
              <w:rPr>
                <w:rFonts w:eastAsia="Calibri"/>
                <w:sz w:val="20"/>
                <w:szCs w:val="20"/>
                <w:vertAlign w:val="superscript"/>
                <w:lang w:val="ro-MD"/>
              </w:rPr>
              <w:t>1</w:t>
            </w:r>
            <w:r w:rsidRPr="00154588">
              <w:rPr>
                <w:rFonts w:eastAsia="Calibri"/>
                <w:sz w:val="20"/>
                <w:szCs w:val="20"/>
                <w:lang w:val="ro-MD"/>
              </w:rPr>
              <w:t>-22</w:t>
            </w:r>
            <w:r w:rsidRPr="00154588">
              <w:rPr>
                <w:rFonts w:eastAsia="Calibri"/>
                <w:sz w:val="20"/>
                <w:szCs w:val="20"/>
                <w:vertAlign w:val="superscript"/>
                <w:lang w:val="ro-MD"/>
              </w:rPr>
              <w:t>9</w:t>
            </w:r>
            <w:r w:rsidRPr="00154588">
              <w:rPr>
                <w:rFonts w:eastAsia="Calibri"/>
                <w:sz w:val="20"/>
                <w:szCs w:val="20"/>
                <w:lang w:val="ro-MD"/>
              </w:rPr>
              <w:t>, art.23-31</w:t>
            </w:r>
            <w:r w:rsidRPr="00154588">
              <w:rPr>
                <w:rFonts w:eastAsia="Calibri"/>
                <w:sz w:val="20"/>
                <w:szCs w:val="20"/>
                <w:vertAlign w:val="superscript"/>
                <w:lang w:val="ro-MD"/>
              </w:rPr>
              <w:t>5</w:t>
            </w:r>
            <w:r w:rsidRPr="00154588">
              <w:rPr>
                <w:rFonts w:eastAsia="Calibri"/>
                <w:sz w:val="20"/>
                <w:szCs w:val="20"/>
                <w:lang w:val="ro-MD"/>
              </w:rPr>
              <w:t xml:space="preserve"> și art.31</w:t>
            </w:r>
            <w:r w:rsidRPr="00154588">
              <w:rPr>
                <w:rFonts w:eastAsia="Calibri"/>
                <w:sz w:val="20"/>
                <w:szCs w:val="20"/>
                <w:vertAlign w:val="superscript"/>
                <w:lang w:val="ro-MD"/>
              </w:rPr>
              <w:t>16</w:t>
            </w:r>
            <w:r w:rsidRPr="00154588">
              <w:rPr>
                <w:rFonts w:eastAsia="Calibri"/>
                <w:sz w:val="20"/>
                <w:szCs w:val="20"/>
                <w:lang w:val="ro-MD"/>
              </w:rPr>
              <w:t xml:space="preserve"> a rezultatului evaluărilor realizate în conformitate cu art.16-22, art.22</w:t>
            </w:r>
            <w:r w:rsidRPr="00154588">
              <w:rPr>
                <w:rFonts w:eastAsia="Calibri"/>
                <w:sz w:val="20"/>
                <w:szCs w:val="20"/>
                <w:vertAlign w:val="superscript"/>
                <w:lang w:val="ro-MD"/>
              </w:rPr>
              <w:t>10</w:t>
            </w:r>
            <w:r w:rsidRPr="00154588">
              <w:rPr>
                <w:rFonts w:eastAsia="Calibri"/>
                <w:sz w:val="20"/>
                <w:szCs w:val="20"/>
                <w:lang w:val="ro-MD"/>
              </w:rPr>
              <w:t>-22</w:t>
            </w:r>
            <w:r w:rsidRPr="00154588">
              <w:rPr>
                <w:rFonts w:eastAsia="Calibri"/>
                <w:sz w:val="20"/>
                <w:szCs w:val="20"/>
                <w:vertAlign w:val="superscript"/>
                <w:lang w:val="ro-MD"/>
              </w:rPr>
              <w:t>21</w:t>
            </w:r>
            <w:r w:rsidRPr="00154588">
              <w:rPr>
                <w:rFonts w:eastAsia="Calibri"/>
                <w:sz w:val="20"/>
                <w:szCs w:val="20"/>
                <w:lang w:val="ro-MD"/>
              </w:rPr>
              <w:t>, art.32-34.</w:t>
            </w:r>
          </w:p>
          <w:p w14:paraId="4B435451" w14:textId="33542AF0" w:rsidR="00EB243D" w:rsidRPr="00154588" w:rsidRDefault="00EB243D" w:rsidP="008C12B4">
            <w:pPr>
              <w:ind w:firstLine="567"/>
              <w:jc w:val="both"/>
              <w:rPr>
                <w:rFonts w:eastAsia="Calibri"/>
                <w:sz w:val="20"/>
                <w:szCs w:val="20"/>
              </w:rPr>
            </w:pPr>
            <w:r w:rsidRPr="00154588">
              <w:rPr>
                <w:rFonts w:eastAsia="Calibri"/>
                <w:sz w:val="20"/>
                <w:szCs w:val="20"/>
              </w:rPr>
              <w:t>(3) Persoanele sau entităţile prevăzute la art.288 fac obiectul răspunderii civile în cazul încălcării art.288-291.</w:t>
            </w:r>
          </w:p>
        </w:tc>
        <w:tc>
          <w:tcPr>
            <w:tcW w:w="2552" w:type="dxa"/>
          </w:tcPr>
          <w:p w14:paraId="22ED101E" w14:textId="7792D52C" w:rsidR="00EB243D" w:rsidRPr="00154588" w:rsidRDefault="00EB243D" w:rsidP="008C12B4">
            <w:pPr>
              <w:jc w:val="both"/>
              <w:rPr>
                <w:sz w:val="20"/>
                <w:szCs w:val="20"/>
              </w:rPr>
            </w:pPr>
            <w:r w:rsidRPr="00154588">
              <w:rPr>
                <w:sz w:val="20"/>
                <w:szCs w:val="20"/>
              </w:rPr>
              <w:lastRenderedPageBreak/>
              <w:t>Compatibil</w:t>
            </w:r>
          </w:p>
        </w:tc>
        <w:tc>
          <w:tcPr>
            <w:tcW w:w="3118" w:type="dxa"/>
          </w:tcPr>
          <w:p w14:paraId="7B900E5C" w14:textId="77777777" w:rsidR="00EB243D" w:rsidRPr="00154588" w:rsidRDefault="00EB243D" w:rsidP="008C12B4">
            <w:pPr>
              <w:jc w:val="both"/>
              <w:rPr>
                <w:sz w:val="20"/>
                <w:szCs w:val="20"/>
              </w:rPr>
            </w:pPr>
          </w:p>
        </w:tc>
      </w:tr>
      <w:tr w:rsidR="00EB243D" w:rsidRPr="00154588" w14:paraId="5B80F71F" w14:textId="77777777" w:rsidTr="00D15C1B">
        <w:trPr>
          <w:jc w:val="center"/>
        </w:trPr>
        <w:tc>
          <w:tcPr>
            <w:tcW w:w="4957" w:type="dxa"/>
            <w:gridSpan w:val="2"/>
          </w:tcPr>
          <w:p w14:paraId="02C83AEF" w14:textId="77777777" w:rsidR="00EB243D" w:rsidRPr="00154588" w:rsidRDefault="00EB243D" w:rsidP="008C12B4">
            <w:pPr>
              <w:jc w:val="both"/>
              <w:rPr>
                <w:sz w:val="20"/>
                <w:szCs w:val="20"/>
              </w:rPr>
            </w:pPr>
            <w:r w:rsidRPr="00154588">
              <w:rPr>
                <w:sz w:val="20"/>
                <w:szCs w:val="20"/>
              </w:rPr>
              <w:t>(4)   Prezentul articol nu împiedică:</w:t>
            </w:r>
          </w:p>
          <w:p w14:paraId="583DE7B9" w14:textId="77777777" w:rsidR="00EB243D" w:rsidRPr="00154588" w:rsidRDefault="00EB243D" w:rsidP="008C12B4">
            <w:pPr>
              <w:jc w:val="both"/>
              <w:rPr>
                <w:sz w:val="20"/>
                <w:szCs w:val="20"/>
              </w:rPr>
            </w:pPr>
          </w:p>
          <w:p w14:paraId="76386694" w14:textId="5418D8B1" w:rsidR="00EB243D" w:rsidRPr="00154588" w:rsidRDefault="00EB243D" w:rsidP="008C12B4">
            <w:pPr>
              <w:jc w:val="both"/>
              <w:rPr>
                <w:sz w:val="20"/>
                <w:szCs w:val="20"/>
              </w:rPr>
            </w:pPr>
            <w:r w:rsidRPr="00154588">
              <w:rPr>
                <w:sz w:val="20"/>
                <w:szCs w:val="20"/>
              </w:rPr>
              <w:t>(a) angajații și experții organismelor sau ai entităților menționate la literele (a)-(j) de la alineatul (1) să facă schimb de informații între ei sau în cadrul fiecărui organism sau entități în parte; sau</w:t>
            </w:r>
          </w:p>
          <w:p w14:paraId="6CC42244" w14:textId="77777777" w:rsidR="00EB243D" w:rsidRPr="00154588" w:rsidRDefault="00EB243D" w:rsidP="008C12B4">
            <w:pPr>
              <w:jc w:val="both"/>
              <w:rPr>
                <w:sz w:val="20"/>
                <w:szCs w:val="20"/>
              </w:rPr>
            </w:pPr>
          </w:p>
          <w:p w14:paraId="53568471" w14:textId="63901870" w:rsidR="00EB243D" w:rsidRPr="00154588" w:rsidRDefault="00EB243D" w:rsidP="008C12B4">
            <w:pPr>
              <w:jc w:val="both"/>
              <w:rPr>
                <w:sz w:val="20"/>
                <w:szCs w:val="20"/>
              </w:rPr>
            </w:pPr>
            <w:r w:rsidRPr="00154588">
              <w:rPr>
                <w:sz w:val="20"/>
                <w:szCs w:val="20"/>
              </w:rPr>
              <w:t xml:space="preserve">(b) autoritățile de rezoluție și autoritățile competente, inclusiv angajații și experții acestora, să facă schimb </w:t>
            </w:r>
            <w:r w:rsidRPr="00154588">
              <w:rPr>
                <w:sz w:val="20"/>
                <w:szCs w:val="20"/>
              </w:rPr>
              <w:lastRenderedPageBreak/>
              <w:t>de informații între ele, precum și cu alte autorități de rezoluție din Uniune, cu alte autorități competente din Uniune, cu ministere competente, cu bănci centrale, cu scheme de garantare a depozitelor, cu sisteme de compensare pentru investitori, cu autorități responsabile de procedura obișnuită de insolvență, cu autorități responsabile de menținerea stabilității sistemului financiar în statele membre prin utilizarea normelor macroprudențiale” cu persoane însărcinate cu desfășurarea auditurilor statutare ale conturilor, cu ABE sau, sub rezerva articolului 98, cu autorități din țări terțe care îndeplinesc funcții echivalente cu cele ale autorităților de rezoluție sau, în condiții de strictă confidențialitate, cu un potențial cumpărător sau cu orice altă persoană, dacă este cazul, în scopul planificării sau al executării unei măsuri de rezoluție.</w:t>
            </w:r>
          </w:p>
        </w:tc>
        <w:tc>
          <w:tcPr>
            <w:tcW w:w="4819" w:type="dxa"/>
          </w:tcPr>
          <w:p w14:paraId="5916EFCC" w14:textId="77777777" w:rsidR="00EB243D" w:rsidRPr="00154588" w:rsidRDefault="00EB243D" w:rsidP="008C12B4">
            <w:pPr>
              <w:ind w:firstLine="567"/>
              <w:jc w:val="both"/>
              <w:rPr>
                <w:rFonts w:eastAsia="Calibri"/>
                <w:sz w:val="20"/>
                <w:szCs w:val="20"/>
              </w:rPr>
            </w:pPr>
            <w:r w:rsidRPr="00154588">
              <w:rPr>
                <w:rFonts w:eastAsia="Calibri"/>
                <w:b/>
                <w:sz w:val="20"/>
                <w:szCs w:val="20"/>
              </w:rPr>
              <w:lastRenderedPageBreak/>
              <w:t>Articolul 291.</w:t>
            </w:r>
            <w:r w:rsidRPr="00154588">
              <w:rPr>
                <w:rFonts w:eastAsia="Calibri"/>
                <w:sz w:val="20"/>
                <w:szCs w:val="20"/>
              </w:rPr>
              <w:t xml:space="preserve"> – (1) Prevederile art.288-292 nu împiedică:</w:t>
            </w:r>
          </w:p>
          <w:p w14:paraId="5FFA5892" w14:textId="77777777" w:rsidR="00EB243D" w:rsidRPr="00154588" w:rsidRDefault="00EB243D" w:rsidP="008C12B4">
            <w:pPr>
              <w:ind w:firstLine="567"/>
              <w:jc w:val="both"/>
              <w:rPr>
                <w:rFonts w:eastAsia="Calibri"/>
                <w:sz w:val="20"/>
                <w:szCs w:val="20"/>
              </w:rPr>
            </w:pPr>
            <w:r w:rsidRPr="00154588">
              <w:rPr>
                <w:rFonts w:eastAsia="Calibri"/>
                <w:sz w:val="20"/>
                <w:szCs w:val="20"/>
              </w:rPr>
              <w:t>a) angajaţii şi experţii entităţilor prevăzute la art.288 lit.a)-g) să facă schimb de informaţii între ei în cadrul fiecărei entităţi în parte;</w:t>
            </w:r>
          </w:p>
          <w:p w14:paraId="2BB90100" w14:textId="29A1F834" w:rsidR="00EB243D" w:rsidRPr="00154588" w:rsidRDefault="00EB243D" w:rsidP="008C12B4">
            <w:pPr>
              <w:ind w:firstLine="567"/>
              <w:jc w:val="both"/>
              <w:rPr>
                <w:rFonts w:eastAsia="Calibri"/>
                <w:sz w:val="20"/>
                <w:szCs w:val="20"/>
              </w:rPr>
            </w:pPr>
            <w:r w:rsidRPr="00154588">
              <w:rPr>
                <w:rFonts w:eastAsia="Calibri"/>
                <w:sz w:val="20"/>
                <w:szCs w:val="20"/>
              </w:rPr>
              <w:t xml:space="preserve">b) Banca Naţională a Moldovei, în calitate de autoritate de rezoluţie şi autoritate competentă, inclusiv angajaţii şi experţii acesteia, să facă schimb de informaţii între ei, precum şi cu alte autorităţi de </w:t>
            </w:r>
            <w:r w:rsidRPr="00154588">
              <w:rPr>
                <w:rFonts w:eastAsia="Calibri"/>
                <w:sz w:val="20"/>
                <w:szCs w:val="20"/>
              </w:rPr>
              <w:lastRenderedPageBreak/>
              <w:t>rezoluție sau autorități competente din Uniunea Europeană, cu ministere competente, cu bănci centrale, cu scheme de garantare a depozitelor, cu sisteme de compensare pentru investitori, cu autorități responsabile de procedura obișnuită de insolvabilitate, cu autorități responsabile de meniținerea stabilității sistemului financiar prin reguli macroprudențiale, cu persoane care efectuează auditul statutar ale conturilor, cu Autoritatea Bancară Europeană sau, cu respectarea prevederilor art.328, cu autorități din ţări terțe care îndeplinesc funcţii echivalente cu cele ale Băncii Naţionale a Moldovei, în calitate de autoritate de rezoluţie, sau, cu condiţia respectării stricte a cerinţelor de confidenţialitate, cu un potenţial cumpărător, în scopul planificării sau al aplicării unei acţiuni de rezoluţie.</w:t>
            </w:r>
          </w:p>
        </w:tc>
        <w:tc>
          <w:tcPr>
            <w:tcW w:w="2552" w:type="dxa"/>
          </w:tcPr>
          <w:p w14:paraId="7EA837CF" w14:textId="5708EFF8" w:rsidR="00EB243D" w:rsidRPr="00154588" w:rsidRDefault="00EB243D" w:rsidP="008C12B4">
            <w:pPr>
              <w:jc w:val="both"/>
              <w:rPr>
                <w:sz w:val="20"/>
                <w:szCs w:val="20"/>
              </w:rPr>
            </w:pPr>
            <w:r w:rsidRPr="00154588">
              <w:rPr>
                <w:sz w:val="20"/>
                <w:szCs w:val="20"/>
              </w:rPr>
              <w:lastRenderedPageBreak/>
              <w:t>Compatibil</w:t>
            </w:r>
          </w:p>
        </w:tc>
        <w:tc>
          <w:tcPr>
            <w:tcW w:w="3118" w:type="dxa"/>
          </w:tcPr>
          <w:p w14:paraId="16720C65" w14:textId="77777777" w:rsidR="00EB243D" w:rsidRPr="00154588" w:rsidRDefault="00EB243D" w:rsidP="008C12B4">
            <w:pPr>
              <w:jc w:val="both"/>
              <w:rPr>
                <w:sz w:val="20"/>
                <w:szCs w:val="20"/>
              </w:rPr>
            </w:pPr>
          </w:p>
        </w:tc>
      </w:tr>
      <w:tr w:rsidR="00EB243D" w:rsidRPr="00154588" w14:paraId="44EEF618" w14:textId="77777777" w:rsidTr="00D15C1B">
        <w:trPr>
          <w:jc w:val="center"/>
        </w:trPr>
        <w:tc>
          <w:tcPr>
            <w:tcW w:w="4957" w:type="dxa"/>
            <w:gridSpan w:val="2"/>
          </w:tcPr>
          <w:p w14:paraId="7FE506CB" w14:textId="77777777" w:rsidR="00EB243D" w:rsidRPr="00154588" w:rsidRDefault="00EB243D" w:rsidP="008C12B4">
            <w:pPr>
              <w:jc w:val="both"/>
              <w:rPr>
                <w:sz w:val="20"/>
                <w:szCs w:val="20"/>
              </w:rPr>
            </w:pPr>
            <w:r w:rsidRPr="00154588">
              <w:rPr>
                <w:sz w:val="20"/>
                <w:szCs w:val="20"/>
              </w:rPr>
              <w:t>(5)   Fără a aduce atingere oricăror altor prevederi ale prezentului articol, statele membre pot autoriza schimburile de informații cu oricare dintre următoarele:</w:t>
            </w:r>
          </w:p>
          <w:p w14:paraId="577CDB3E" w14:textId="77777777" w:rsidR="00EB243D" w:rsidRPr="00154588" w:rsidRDefault="00EB243D" w:rsidP="008C12B4">
            <w:pPr>
              <w:jc w:val="both"/>
              <w:rPr>
                <w:sz w:val="20"/>
                <w:szCs w:val="20"/>
              </w:rPr>
            </w:pPr>
          </w:p>
          <w:p w14:paraId="67F03BD0" w14:textId="24512172" w:rsidR="00EB243D" w:rsidRPr="00154588" w:rsidRDefault="00EB243D" w:rsidP="008C12B4">
            <w:pPr>
              <w:jc w:val="both"/>
              <w:rPr>
                <w:sz w:val="20"/>
                <w:szCs w:val="20"/>
              </w:rPr>
            </w:pPr>
            <w:r w:rsidRPr="00154588">
              <w:rPr>
                <w:sz w:val="20"/>
                <w:szCs w:val="20"/>
              </w:rPr>
              <w:t>(a) în condiții de strică confidențialitate, cu orice altă persoană, atunci când este necesar în vederea planificării sau a efectuării unei acțiuni de rezoluție;</w:t>
            </w:r>
          </w:p>
          <w:p w14:paraId="0633899C" w14:textId="77777777" w:rsidR="00EB243D" w:rsidRPr="00154588" w:rsidRDefault="00EB243D" w:rsidP="008C12B4">
            <w:pPr>
              <w:jc w:val="both"/>
              <w:rPr>
                <w:sz w:val="20"/>
                <w:szCs w:val="20"/>
              </w:rPr>
            </w:pPr>
          </w:p>
          <w:p w14:paraId="74DB0BCD" w14:textId="2AAD07C1" w:rsidR="00EB243D" w:rsidRPr="00154588" w:rsidRDefault="00EB243D" w:rsidP="008C12B4">
            <w:pPr>
              <w:jc w:val="both"/>
              <w:rPr>
                <w:sz w:val="20"/>
                <w:szCs w:val="20"/>
              </w:rPr>
            </w:pPr>
            <w:r w:rsidRPr="00154588">
              <w:rPr>
                <w:sz w:val="20"/>
                <w:szCs w:val="20"/>
              </w:rPr>
              <w:t>(b) cu comisiile parlamentare de anchetă din statul membru respectiv, curțile de conturi din statul membru respectiv și alte entități cu atribuții de anchetare în statul lor membru, în condiții corespunzătoare; și</w:t>
            </w:r>
          </w:p>
          <w:p w14:paraId="1260A300" w14:textId="77777777" w:rsidR="00EB243D" w:rsidRPr="00154588" w:rsidRDefault="00EB243D" w:rsidP="008C12B4">
            <w:pPr>
              <w:jc w:val="both"/>
              <w:rPr>
                <w:sz w:val="20"/>
                <w:szCs w:val="20"/>
              </w:rPr>
            </w:pPr>
          </w:p>
          <w:p w14:paraId="382BF14E" w14:textId="5B496B7A" w:rsidR="00EB243D" w:rsidRPr="00154588" w:rsidRDefault="00EB243D" w:rsidP="008C12B4">
            <w:pPr>
              <w:jc w:val="both"/>
              <w:rPr>
                <w:sz w:val="20"/>
                <w:szCs w:val="20"/>
              </w:rPr>
            </w:pPr>
            <w:r w:rsidRPr="00154588">
              <w:rPr>
                <w:sz w:val="20"/>
                <w:szCs w:val="20"/>
              </w:rPr>
              <w:t>(c) cu autoritățile naționale responsabile cu supravegherea sistemelor de plată, autoritățile responsabile de procedura obișnuită de insolvență, autoritățile care au sarcina publică de a supraveghea alte entități din sectorul financiar, autoritățile reponsabile de supravegherea piețelor financiare și a întreprinderilor de asigurare precum și inspectorii care acționează în numele acestora, autoritățile statelor membre care au responsabilitatea de a menține stabilitatea sistemului financiar în statele membre prin utilizarea reglementărilor macroprudențiale, autoritățile responsabile cu protejarea stabilității sistemului financiar, precum și persoanele responsabile cu auditarea legală;</w:t>
            </w:r>
          </w:p>
        </w:tc>
        <w:tc>
          <w:tcPr>
            <w:tcW w:w="4819" w:type="dxa"/>
          </w:tcPr>
          <w:p w14:paraId="0CFAD105" w14:textId="35B6B1B1" w:rsidR="00EB243D" w:rsidRPr="00154588" w:rsidRDefault="00EB243D" w:rsidP="008C12B4">
            <w:pPr>
              <w:ind w:firstLine="567"/>
              <w:jc w:val="both"/>
              <w:rPr>
                <w:rFonts w:eastAsia="Calibri"/>
                <w:sz w:val="20"/>
                <w:szCs w:val="20"/>
              </w:rPr>
            </w:pPr>
            <w:r w:rsidRPr="00154588">
              <w:rPr>
                <w:rFonts w:eastAsia="Calibri"/>
                <w:b/>
                <w:sz w:val="20"/>
                <w:szCs w:val="20"/>
              </w:rPr>
              <w:t>Articolul 291.</w:t>
            </w:r>
            <w:r w:rsidRPr="00154588">
              <w:rPr>
                <w:rFonts w:eastAsia="Calibri"/>
                <w:sz w:val="20"/>
                <w:szCs w:val="20"/>
              </w:rPr>
              <w:t xml:space="preserve"> – (2) Fără a aduce atingere oricăror altor prevederi ale prezentei legi, este permis schimbul de informaţii:</w:t>
            </w:r>
          </w:p>
          <w:p w14:paraId="0D3173A1" w14:textId="77777777" w:rsidR="00EB243D" w:rsidRPr="00154588" w:rsidRDefault="00EB243D" w:rsidP="008C12B4">
            <w:pPr>
              <w:ind w:firstLine="567"/>
              <w:jc w:val="both"/>
              <w:rPr>
                <w:rFonts w:eastAsia="Calibri"/>
                <w:sz w:val="20"/>
                <w:szCs w:val="20"/>
              </w:rPr>
            </w:pPr>
            <w:r w:rsidRPr="00154588">
              <w:rPr>
                <w:rFonts w:eastAsia="Calibri"/>
                <w:sz w:val="20"/>
                <w:szCs w:val="20"/>
              </w:rPr>
              <w:t>a) cu orice altă persoană, cu respectarea cerinţelor referitoare la păstrarea strictă a confidenţialităţii, atunci cînd este necesar, în vederea planificării sau aplicării unei acţiuni de rezoluţie;</w:t>
            </w:r>
          </w:p>
          <w:p w14:paraId="3D2D8D8D"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sz w:val="20"/>
                <w:szCs w:val="20"/>
              </w:rPr>
              <w:t>b) cu comisiile de anchetă ale Parlamentului Republicii Moldova, Curtea de Conturi a Republicii Moldova și cu alte entități cu atribuții de anchetare, în condiții corespunzătoare;</w:t>
            </w:r>
          </w:p>
          <w:p w14:paraId="6DFE9806" w14:textId="0BB73B20" w:rsidR="00EB243D" w:rsidRPr="00154588" w:rsidRDefault="00EB243D" w:rsidP="008C12B4">
            <w:pPr>
              <w:ind w:firstLine="567"/>
              <w:jc w:val="both"/>
              <w:rPr>
                <w:rFonts w:eastAsia="Calibri"/>
                <w:sz w:val="20"/>
                <w:szCs w:val="20"/>
              </w:rPr>
            </w:pPr>
            <w:r w:rsidRPr="00154588">
              <w:rPr>
                <w:rFonts w:eastAsia="Calibri"/>
                <w:sz w:val="20"/>
                <w:szCs w:val="20"/>
              </w:rPr>
              <w:t>c) cu autoritățile naționale responsabile cu supravegherea sistemelor de plăți, autorităţile responsabile implicate în procedura obișnuită de insolvabilitate, autorităţile de supraveghere a altor entităţi din sectorul financiar, autorităţile responsabile cu supravegherea pieţelor financiare şi a întreprinderilor de asigurare, precum şi cu personalul cu sarcini de verificare la faţa locului care acţionează în numele acestora, cu autorităţile care au responsabilitatea de a menţine stabilitatea sistemului financiar în statele membre prin utilizarea regulilor macroprudenţiale, autorităţile responsabile cu protejarea stabilităţii sistemului financiar, precum şi persoanele responsabile cu realizarea auditului statutar.</w:t>
            </w:r>
          </w:p>
        </w:tc>
        <w:tc>
          <w:tcPr>
            <w:tcW w:w="2552" w:type="dxa"/>
          </w:tcPr>
          <w:p w14:paraId="36CBD0FE" w14:textId="0CEAE805" w:rsidR="00EB243D" w:rsidRPr="00154588" w:rsidRDefault="00EB243D" w:rsidP="008C12B4">
            <w:pPr>
              <w:jc w:val="both"/>
              <w:rPr>
                <w:sz w:val="20"/>
                <w:szCs w:val="20"/>
              </w:rPr>
            </w:pPr>
            <w:r w:rsidRPr="00154588">
              <w:rPr>
                <w:sz w:val="20"/>
                <w:szCs w:val="20"/>
              </w:rPr>
              <w:t>Compatibil</w:t>
            </w:r>
          </w:p>
        </w:tc>
        <w:tc>
          <w:tcPr>
            <w:tcW w:w="3118" w:type="dxa"/>
          </w:tcPr>
          <w:p w14:paraId="441D70E5" w14:textId="77777777" w:rsidR="00EB243D" w:rsidRPr="00154588" w:rsidRDefault="00EB243D" w:rsidP="008C12B4">
            <w:pPr>
              <w:jc w:val="both"/>
              <w:rPr>
                <w:sz w:val="20"/>
                <w:szCs w:val="20"/>
              </w:rPr>
            </w:pPr>
          </w:p>
        </w:tc>
      </w:tr>
      <w:tr w:rsidR="00EB243D" w:rsidRPr="00154588" w14:paraId="22CD163A" w14:textId="77777777" w:rsidTr="00D15C1B">
        <w:trPr>
          <w:jc w:val="center"/>
        </w:trPr>
        <w:tc>
          <w:tcPr>
            <w:tcW w:w="4957" w:type="dxa"/>
            <w:gridSpan w:val="2"/>
          </w:tcPr>
          <w:p w14:paraId="34D0FB58" w14:textId="436B2C82" w:rsidR="00EB243D" w:rsidRPr="00154588" w:rsidRDefault="00EB243D" w:rsidP="008C12B4">
            <w:pPr>
              <w:jc w:val="both"/>
              <w:rPr>
                <w:sz w:val="20"/>
                <w:szCs w:val="20"/>
              </w:rPr>
            </w:pPr>
            <w:r w:rsidRPr="00154588">
              <w:rPr>
                <w:sz w:val="20"/>
                <w:szCs w:val="20"/>
              </w:rPr>
              <w:t xml:space="preserve">(6)   Dispozițiile prezentului articol nu aduc atingere dreptului intern privind divulgarea informațiilor în </w:t>
            </w:r>
            <w:r w:rsidRPr="00154588">
              <w:rPr>
                <w:sz w:val="20"/>
                <w:szCs w:val="20"/>
              </w:rPr>
              <w:lastRenderedPageBreak/>
              <w:t>vederea procedurii judiciare în dosare penale sau civile.</w:t>
            </w:r>
          </w:p>
        </w:tc>
        <w:tc>
          <w:tcPr>
            <w:tcW w:w="4819" w:type="dxa"/>
          </w:tcPr>
          <w:p w14:paraId="58A5BFFF" w14:textId="155D3497" w:rsidR="00EB243D" w:rsidRPr="00154588" w:rsidRDefault="00EB243D" w:rsidP="008C12B4">
            <w:pPr>
              <w:ind w:firstLine="567"/>
              <w:jc w:val="both"/>
              <w:rPr>
                <w:rFonts w:eastAsia="Calibri"/>
                <w:sz w:val="20"/>
                <w:szCs w:val="20"/>
              </w:rPr>
            </w:pPr>
            <w:r w:rsidRPr="00154588">
              <w:rPr>
                <w:rFonts w:eastAsia="Calibri"/>
                <w:b/>
                <w:sz w:val="20"/>
                <w:szCs w:val="20"/>
              </w:rPr>
              <w:lastRenderedPageBreak/>
              <w:t>Articolul 291.</w:t>
            </w:r>
            <w:r w:rsidRPr="00154588">
              <w:rPr>
                <w:rFonts w:eastAsia="Calibri"/>
                <w:sz w:val="20"/>
                <w:szCs w:val="20"/>
              </w:rPr>
              <w:t xml:space="preserve"> – (3) Dispoziţiile prezentei secţiuni nu aduc atingere prevederilor legislaţiei în </w:t>
            </w:r>
            <w:r w:rsidRPr="00154588">
              <w:rPr>
                <w:rFonts w:eastAsia="Calibri"/>
                <w:sz w:val="20"/>
                <w:szCs w:val="20"/>
              </w:rPr>
              <w:lastRenderedPageBreak/>
              <w:t>materie penală privind divulgarea informaţiilor în cadrul procedurii judiciare în dosare penale sau civile.</w:t>
            </w:r>
          </w:p>
        </w:tc>
        <w:tc>
          <w:tcPr>
            <w:tcW w:w="2552" w:type="dxa"/>
          </w:tcPr>
          <w:p w14:paraId="0DD816F7" w14:textId="2AD3C303" w:rsidR="00EB243D" w:rsidRPr="00154588" w:rsidRDefault="00EB243D" w:rsidP="008C12B4">
            <w:pPr>
              <w:jc w:val="both"/>
              <w:rPr>
                <w:sz w:val="20"/>
                <w:szCs w:val="20"/>
              </w:rPr>
            </w:pPr>
            <w:r w:rsidRPr="00154588">
              <w:rPr>
                <w:sz w:val="20"/>
                <w:szCs w:val="20"/>
              </w:rPr>
              <w:lastRenderedPageBreak/>
              <w:t>Compatibil</w:t>
            </w:r>
          </w:p>
        </w:tc>
        <w:tc>
          <w:tcPr>
            <w:tcW w:w="3118" w:type="dxa"/>
          </w:tcPr>
          <w:p w14:paraId="35F5B821" w14:textId="77777777" w:rsidR="00EB243D" w:rsidRPr="00154588" w:rsidRDefault="00EB243D" w:rsidP="008C12B4">
            <w:pPr>
              <w:jc w:val="both"/>
              <w:rPr>
                <w:sz w:val="20"/>
                <w:szCs w:val="20"/>
              </w:rPr>
            </w:pPr>
          </w:p>
        </w:tc>
      </w:tr>
      <w:tr w:rsidR="00EB243D" w:rsidRPr="00154588" w14:paraId="46DEA06B" w14:textId="77777777" w:rsidTr="00D15C1B">
        <w:trPr>
          <w:jc w:val="center"/>
        </w:trPr>
        <w:tc>
          <w:tcPr>
            <w:tcW w:w="4957" w:type="dxa"/>
            <w:gridSpan w:val="2"/>
          </w:tcPr>
          <w:p w14:paraId="228313BE" w14:textId="5F710FF6" w:rsidR="00EB243D" w:rsidRPr="00154588" w:rsidRDefault="00EB243D" w:rsidP="008C12B4">
            <w:pPr>
              <w:jc w:val="both"/>
              <w:rPr>
                <w:sz w:val="20"/>
                <w:szCs w:val="20"/>
              </w:rPr>
            </w:pPr>
            <w:r w:rsidRPr="00154588">
              <w:rPr>
                <w:sz w:val="20"/>
                <w:szCs w:val="20"/>
              </w:rPr>
              <w:t>(6a) Prezentul articol nu împiedică schimbul de informații între autoritățile de rezoluție și autoritățile fiscale din același stat membru, în conformitate cu legislația națională. În cazul în care provin dintr-un alt stat membru, informațiile fac obiectul schimburilor numai cu consimțământul expres al autorității relevante care le-a divulgat</w:t>
            </w:r>
          </w:p>
        </w:tc>
        <w:tc>
          <w:tcPr>
            <w:tcW w:w="4819" w:type="dxa"/>
          </w:tcPr>
          <w:p w14:paraId="19992C61" w14:textId="6ABC588D" w:rsidR="00EB243D" w:rsidRPr="00154588" w:rsidRDefault="00EB243D" w:rsidP="008C12B4">
            <w:pPr>
              <w:jc w:val="both"/>
              <w:rPr>
                <w:rFonts w:eastAsia="Calibri"/>
                <w:sz w:val="20"/>
                <w:szCs w:val="20"/>
              </w:rPr>
            </w:pPr>
            <w:r w:rsidRPr="00154588">
              <w:rPr>
                <w:rFonts w:eastAsia="Calibri"/>
                <w:bCs/>
                <w:sz w:val="20"/>
                <w:szCs w:val="20"/>
              </w:rPr>
              <w:t>(4)</w:t>
            </w:r>
            <w:r w:rsidRPr="00154588">
              <w:rPr>
                <w:rFonts w:eastAsia="Calibri"/>
                <w:sz w:val="20"/>
                <w:szCs w:val="20"/>
              </w:rPr>
              <w:t xml:space="preserve"> Dispoziţiile prezentei secţiuni </w:t>
            </w:r>
            <w:r w:rsidRPr="00154588">
              <w:rPr>
                <w:bCs/>
                <w:sz w:val="20"/>
                <w:szCs w:val="20"/>
              </w:rPr>
              <w:t>nu împiedică schimbul de informații între autoritatea de rezoluție și autoritățile fiscal, în conformitate cu legislația națională. În cazul în care provin dintr-un alt stat membru, informațiile fac obiectul schimburilor numai cu consimțământul expres al autorității relevante care le-a divulgat.</w:t>
            </w:r>
          </w:p>
        </w:tc>
        <w:tc>
          <w:tcPr>
            <w:tcW w:w="2552" w:type="dxa"/>
          </w:tcPr>
          <w:p w14:paraId="24483C3D" w14:textId="2A5C0A47" w:rsidR="00EB243D" w:rsidRPr="00154588" w:rsidRDefault="00EB243D" w:rsidP="008C12B4">
            <w:pPr>
              <w:jc w:val="both"/>
              <w:rPr>
                <w:sz w:val="20"/>
                <w:szCs w:val="20"/>
              </w:rPr>
            </w:pPr>
            <w:r w:rsidRPr="00154588">
              <w:rPr>
                <w:bCs/>
                <w:sz w:val="20"/>
                <w:szCs w:val="20"/>
              </w:rPr>
              <w:t>Compatibil</w:t>
            </w:r>
          </w:p>
        </w:tc>
        <w:tc>
          <w:tcPr>
            <w:tcW w:w="3118" w:type="dxa"/>
          </w:tcPr>
          <w:p w14:paraId="023BB014" w14:textId="77777777" w:rsidR="00EB243D" w:rsidRPr="00154588" w:rsidRDefault="00EB243D" w:rsidP="008C12B4">
            <w:pPr>
              <w:jc w:val="both"/>
              <w:rPr>
                <w:sz w:val="20"/>
                <w:szCs w:val="20"/>
              </w:rPr>
            </w:pPr>
          </w:p>
        </w:tc>
      </w:tr>
      <w:tr w:rsidR="00EB243D" w:rsidRPr="00154588" w14:paraId="65AC09FB" w14:textId="77777777" w:rsidTr="00D15C1B">
        <w:trPr>
          <w:jc w:val="center"/>
        </w:trPr>
        <w:tc>
          <w:tcPr>
            <w:tcW w:w="4957" w:type="dxa"/>
            <w:gridSpan w:val="2"/>
          </w:tcPr>
          <w:p w14:paraId="2CB67BD1" w14:textId="6C05A10B" w:rsidR="00EB243D" w:rsidRPr="00154588" w:rsidRDefault="00EB243D" w:rsidP="008C12B4">
            <w:pPr>
              <w:jc w:val="both"/>
              <w:rPr>
                <w:sz w:val="20"/>
                <w:szCs w:val="20"/>
              </w:rPr>
            </w:pPr>
            <w:r w:rsidRPr="00154588">
              <w:rPr>
                <w:sz w:val="20"/>
                <w:szCs w:val="20"/>
              </w:rPr>
              <w:t>(7)   Până la 3 iulie 2015, ABE elaborează orientări, în conformitate cu articolul 16 din Regulamentul (UE) nr. 1093/2010, pentru a specifica modul în care ar trebui furnizate informațiile sub formă de rezumat sau în formă agregată, în sensul alineatului (3).</w:t>
            </w:r>
          </w:p>
        </w:tc>
        <w:tc>
          <w:tcPr>
            <w:tcW w:w="4819" w:type="dxa"/>
          </w:tcPr>
          <w:p w14:paraId="1E9F860E" w14:textId="2BCCE724" w:rsidR="00EB243D" w:rsidRPr="00154588" w:rsidRDefault="00EB243D" w:rsidP="008C12B4">
            <w:pPr>
              <w:jc w:val="center"/>
              <w:rPr>
                <w:sz w:val="20"/>
                <w:szCs w:val="16"/>
              </w:rPr>
            </w:pPr>
            <w:r w:rsidRPr="00154588">
              <w:rPr>
                <w:sz w:val="20"/>
                <w:szCs w:val="16"/>
              </w:rPr>
              <w:t>-</w:t>
            </w:r>
          </w:p>
        </w:tc>
        <w:tc>
          <w:tcPr>
            <w:tcW w:w="2552" w:type="dxa"/>
          </w:tcPr>
          <w:p w14:paraId="6E2F2A04" w14:textId="6ECC1C6D" w:rsidR="00EB243D" w:rsidRPr="00154588" w:rsidRDefault="00EB243D" w:rsidP="008C12B4">
            <w:pPr>
              <w:jc w:val="both"/>
              <w:rPr>
                <w:sz w:val="20"/>
                <w:szCs w:val="16"/>
              </w:rPr>
            </w:pPr>
            <w:r w:rsidRPr="00154588">
              <w:rPr>
                <w:sz w:val="20"/>
                <w:szCs w:val="16"/>
              </w:rPr>
              <w:t>Norme UE neaplicabile</w:t>
            </w:r>
          </w:p>
        </w:tc>
        <w:tc>
          <w:tcPr>
            <w:tcW w:w="3118" w:type="dxa"/>
          </w:tcPr>
          <w:p w14:paraId="226BC421" w14:textId="276B8553" w:rsidR="00EB243D" w:rsidRPr="00154588" w:rsidRDefault="00EB243D" w:rsidP="008C12B4">
            <w:pPr>
              <w:jc w:val="both"/>
              <w:rPr>
                <w:sz w:val="20"/>
                <w:szCs w:val="16"/>
              </w:rPr>
            </w:pPr>
            <w:r w:rsidRPr="00154588">
              <w:rPr>
                <w:sz w:val="20"/>
                <w:szCs w:val="16"/>
              </w:rPr>
              <w:t>Prevederi care se referă la atribuțiile de reglementare ale autorităților europene.</w:t>
            </w:r>
          </w:p>
        </w:tc>
      </w:tr>
      <w:tr w:rsidR="00EB243D" w:rsidRPr="00154588" w14:paraId="6BB7AC2C" w14:textId="77777777" w:rsidTr="00D15C1B">
        <w:trPr>
          <w:jc w:val="center"/>
        </w:trPr>
        <w:tc>
          <w:tcPr>
            <w:tcW w:w="4957" w:type="dxa"/>
            <w:gridSpan w:val="2"/>
          </w:tcPr>
          <w:p w14:paraId="08A43CFA" w14:textId="77777777" w:rsidR="00EB243D" w:rsidRPr="00154588" w:rsidRDefault="00EB243D" w:rsidP="008C12B4">
            <w:pPr>
              <w:jc w:val="both"/>
              <w:rPr>
                <w:b/>
                <w:sz w:val="20"/>
                <w:szCs w:val="20"/>
              </w:rPr>
            </w:pPr>
            <w:r w:rsidRPr="00154588">
              <w:rPr>
                <w:b/>
                <w:sz w:val="20"/>
                <w:szCs w:val="20"/>
              </w:rPr>
              <w:t>Articolul 84a</w:t>
            </w:r>
          </w:p>
          <w:p w14:paraId="39421E72" w14:textId="1FC3E571" w:rsidR="00EB243D" w:rsidRPr="00154588" w:rsidRDefault="00EB243D" w:rsidP="008C12B4">
            <w:pPr>
              <w:jc w:val="both"/>
              <w:rPr>
                <w:sz w:val="20"/>
                <w:szCs w:val="20"/>
              </w:rPr>
            </w:pPr>
            <w:r w:rsidRPr="00154588">
              <w:rPr>
                <w:b/>
                <w:sz w:val="20"/>
                <w:szCs w:val="20"/>
              </w:rPr>
              <w:t>Informații deținute de mecanismele centralizate automatizate</w:t>
            </w:r>
          </w:p>
        </w:tc>
        <w:tc>
          <w:tcPr>
            <w:tcW w:w="4819" w:type="dxa"/>
          </w:tcPr>
          <w:p w14:paraId="3896BCFA" w14:textId="77777777" w:rsidR="00EB243D" w:rsidRPr="00154588" w:rsidRDefault="00EB243D" w:rsidP="008C12B4">
            <w:pPr>
              <w:jc w:val="both"/>
              <w:rPr>
                <w:sz w:val="20"/>
                <w:szCs w:val="16"/>
              </w:rPr>
            </w:pPr>
          </w:p>
        </w:tc>
        <w:tc>
          <w:tcPr>
            <w:tcW w:w="2552" w:type="dxa"/>
          </w:tcPr>
          <w:p w14:paraId="09DC9A31" w14:textId="77777777" w:rsidR="00EB243D" w:rsidRPr="00154588" w:rsidRDefault="00EB243D" w:rsidP="008C12B4">
            <w:pPr>
              <w:jc w:val="both"/>
              <w:rPr>
                <w:sz w:val="20"/>
                <w:szCs w:val="16"/>
              </w:rPr>
            </w:pPr>
          </w:p>
        </w:tc>
        <w:tc>
          <w:tcPr>
            <w:tcW w:w="3118" w:type="dxa"/>
          </w:tcPr>
          <w:p w14:paraId="6F13F555" w14:textId="77777777" w:rsidR="00EB243D" w:rsidRPr="00154588" w:rsidRDefault="00EB243D" w:rsidP="008C12B4">
            <w:pPr>
              <w:jc w:val="both"/>
              <w:rPr>
                <w:sz w:val="20"/>
                <w:szCs w:val="16"/>
              </w:rPr>
            </w:pPr>
          </w:p>
        </w:tc>
      </w:tr>
      <w:tr w:rsidR="00EB243D" w:rsidRPr="00154588" w14:paraId="4E9DA39E" w14:textId="77777777" w:rsidTr="00D15C1B">
        <w:trPr>
          <w:jc w:val="center"/>
        </w:trPr>
        <w:tc>
          <w:tcPr>
            <w:tcW w:w="4957" w:type="dxa"/>
            <w:gridSpan w:val="2"/>
          </w:tcPr>
          <w:p w14:paraId="28897C64" w14:textId="766501C5" w:rsidR="00EB243D" w:rsidRPr="00154588" w:rsidRDefault="00EB243D" w:rsidP="008C12B4">
            <w:pPr>
              <w:jc w:val="both"/>
              <w:rPr>
                <w:sz w:val="20"/>
                <w:szCs w:val="20"/>
              </w:rPr>
            </w:pPr>
            <w:r w:rsidRPr="00154588">
              <w:rPr>
                <w:sz w:val="20"/>
                <w:szCs w:val="20"/>
              </w:rPr>
              <w:t>(1) Statele membre se asigură că autoritățile care gestionează mecanismele centralizate automatizate instituite în temeiul articolului 32a din Directiva (UE) 2015/849 a Parlamentului European și a Consiliului (*) transmit autorităților de rezoluție, la cererea acestora, informații referitoare la numărul agregat de clienți pentru care o instituție sau o entitate menționată la articolul 1 alineatul (1) litera (b), (c) sau (d) din prezenta directivă este singurul sau principalul partener bancar.</w:t>
            </w:r>
          </w:p>
        </w:tc>
        <w:tc>
          <w:tcPr>
            <w:tcW w:w="4819" w:type="dxa"/>
          </w:tcPr>
          <w:p w14:paraId="3F21E43D" w14:textId="77777777" w:rsidR="00EB243D" w:rsidRPr="00154588" w:rsidRDefault="00EB243D" w:rsidP="008C12B4">
            <w:pPr>
              <w:jc w:val="both"/>
              <w:rPr>
                <w:rFonts w:eastAsia="Calibri"/>
                <w:b/>
                <w:sz w:val="20"/>
                <w:szCs w:val="20"/>
                <w:vertAlign w:val="superscript"/>
              </w:rPr>
            </w:pPr>
            <w:r w:rsidRPr="00154588">
              <w:rPr>
                <w:rFonts w:eastAsia="Calibri"/>
                <w:b/>
                <w:sz w:val="20"/>
                <w:szCs w:val="20"/>
              </w:rPr>
              <w:t>Articolul 291</w:t>
            </w:r>
            <w:r w:rsidRPr="00154588">
              <w:rPr>
                <w:rFonts w:eastAsia="Calibri"/>
                <w:b/>
                <w:sz w:val="20"/>
                <w:szCs w:val="20"/>
                <w:vertAlign w:val="superscript"/>
              </w:rPr>
              <w:t>1</w:t>
            </w:r>
          </w:p>
          <w:p w14:paraId="3D75C685" w14:textId="419AC54E" w:rsidR="00EB243D" w:rsidRPr="00154588" w:rsidRDefault="00EB243D" w:rsidP="008C12B4">
            <w:pPr>
              <w:jc w:val="both"/>
              <w:rPr>
                <w:sz w:val="20"/>
                <w:szCs w:val="16"/>
              </w:rPr>
            </w:pPr>
            <w:r w:rsidRPr="00154588">
              <w:rPr>
                <w:bCs/>
                <w:sz w:val="20"/>
                <w:szCs w:val="20"/>
              </w:rPr>
              <w:t>(1) Banca Națională a Moldovei în calitate de autoritatea de rezoluție  poate solicita de la Serviciul Prevenirea și Combaterea Spălării Banilor, informații referitoare la numărul agregat de clienți pentru care o instituție de credit sau o entitate menționată la art.1 alin.(1) lit.b), c) sau d) este singurul sau principalul partener bancar.</w:t>
            </w:r>
          </w:p>
        </w:tc>
        <w:tc>
          <w:tcPr>
            <w:tcW w:w="2552" w:type="dxa"/>
          </w:tcPr>
          <w:p w14:paraId="6A4DAD03" w14:textId="2646DB31" w:rsidR="00EB243D" w:rsidRPr="00154588" w:rsidRDefault="00EB243D" w:rsidP="008C12B4">
            <w:pPr>
              <w:jc w:val="both"/>
              <w:rPr>
                <w:sz w:val="20"/>
                <w:szCs w:val="16"/>
              </w:rPr>
            </w:pPr>
            <w:r w:rsidRPr="00154588">
              <w:rPr>
                <w:sz w:val="20"/>
                <w:szCs w:val="16"/>
              </w:rPr>
              <w:t>Compatibil</w:t>
            </w:r>
          </w:p>
        </w:tc>
        <w:tc>
          <w:tcPr>
            <w:tcW w:w="3118" w:type="dxa"/>
          </w:tcPr>
          <w:p w14:paraId="40F33DFB" w14:textId="77777777" w:rsidR="00EB243D" w:rsidRPr="00154588" w:rsidRDefault="00EB243D" w:rsidP="008C12B4">
            <w:pPr>
              <w:jc w:val="both"/>
              <w:rPr>
                <w:sz w:val="20"/>
                <w:szCs w:val="16"/>
              </w:rPr>
            </w:pPr>
          </w:p>
        </w:tc>
      </w:tr>
      <w:tr w:rsidR="00EB243D" w:rsidRPr="00154588" w14:paraId="72CAF563" w14:textId="77777777" w:rsidTr="00D15C1B">
        <w:trPr>
          <w:jc w:val="center"/>
        </w:trPr>
        <w:tc>
          <w:tcPr>
            <w:tcW w:w="4957" w:type="dxa"/>
            <w:gridSpan w:val="2"/>
          </w:tcPr>
          <w:p w14:paraId="307ECE58" w14:textId="2E357FD9" w:rsidR="00EB243D" w:rsidRPr="00154588" w:rsidRDefault="00EB243D" w:rsidP="008C12B4">
            <w:pPr>
              <w:jc w:val="both"/>
              <w:rPr>
                <w:sz w:val="20"/>
                <w:szCs w:val="20"/>
              </w:rPr>
            </w:pPr>
            <w:r w:rsidRPr="00154588">
              <w:rPr>
                <w:sz w:val="20"/>
                <w:szCs w:val="20"/>
              </w:rPr>
              <w:t>(2) Statele membre se asigură că autoritățile de rezoluție solicită informațiile menționate la alineatul (1) numai de la caz la caz și atunci când acest lucru este necesar și proporțional în scopul îndeplinirii sarcinilor care le revin în temeiul prezentei directive.</w:t>
            </w:r>
          </w:p>
        </w:tc>
        <w:tc>
          <w:tcPr>
            <w:tcW w:w="4819" w:type="dxa"/>
          </w:tcPr>
          <w:p w14:paraId="0BBEC343" w14:textId="2155A380" w:rsidR="00EB243D" w:rsidRPr="00154588" w:rsidRDefault="00EB243D" w:rsidP="008C12B4">
            <w:pPr>
              <w:jc w:val="both"/>
              <w:rPr>
                <w:sz w:val="20"/>
                <w:szCs w:val="16"/>
              </w:rPr>
            </w:pPr>
            <w:r w:rsidRPr="00154588">
              <w:rPr>
                <w:sz w:val="20"/>
                <w:szCs w:val="16"/>
              </w:rPr>
              <w:t>(2)</w:t>
            </w:r>
            <w:r w:rsidRPr="00154588">
              <w:rPr>
                <w:bCs/>
                <w:sz w:val="20"/>
                <w:szCs w:val="20"/>
              </w:rPr>
              <w:t xml:space="preserve"> Banca Națională a Moldovei în calitate de autoritatea de rezoluție  solicită informațiile menționate la alineatul (1) numai de la caz la caz și atunci când acest lucru este necesar și proporțional în scopul îndeplinirii sarcinilor care le revin în temeiul prezentei legi.</w:t>
            </w:r>
          </w:p>
        </w:tc>
        <w:tc>
          <w:tcPr>
            <w:tcW w:w="2552" w:type="dxa"/>
          </w:tcPr>
          <w:p w14:paraId="3055AB25" w14:textId="4DDD74E8" w:rsidR="00EB243D" w:rsidRPr="00154588" w:rsidRDefault="00AD78C5" w:rsidP="008C12B4">
            <w:pPr>
              <w:jc w:val="both"/>
              <w:rPr>
                <w:sz w:val="20"/>
                <w:szCs w:val="16"/>
              </w:rPr>
            </w:pPr>
            <w:r w:rsidRPr="00154588">
              <w:rPr>
                <w:sz w:val="20"/>
                <w:szCs w:val="16"/>
              </w:rPr>
              <w:t>Compatibil</w:t>
            </w:r>
          </w:p>
        </w:tc>
        <w:tc>
          <w:tcPr>
            <w:tcW w:w="3118" w:type="dxa"/>
          </w:tcPr>
          <w:p w14:paraId="6193810F" w14:textId="77777777" w:rsidR="00EB243D" w:rsidRPr="00154588" w:rsidRDefault="00EB243D" w:rsidP="008C12B4">
            <w:pPr>
              <w:jc w:val="both"/>
              <w:rPr>
                <w:sz w:val="20"/>
                <w:szCs w:val="16"/>
              </w:rPr>
            </w:pPr>
          </w:p>
        </w:tc>
      </w:tr>
      <w:tr w:rsidR="00EB243D" w:rsidRPr="00154588" w14:paraId="3E878DE5" w14:textId="77777777" w:rsidTr="00D15C1B">
        <w:trPr>
          <w:jc w:val="center"/>
        </w:trPr>
        <w:tc>
          <w:tcPr>
            <w:tcW w:w="4957" w:type="dxa"/>
            <w:gridSpan w:val="2"/>
          </w:tcPr>
          <w:p w14:paraId="7E88414F" w14:textId="77777777" w:rsidR="00EB243D" w:rsidRPr="00154588" w:rsidRDefault="00EB243D" w:rsidP="008C12B4">
            <w:pPr>
              <w:jc w:val="both"/>
              <w:rPr>
                <w:b/>
                <w:sz w:val="20"/>
                <w:szCs w:val="20"/>
              </w:rPr>
            </w:pPr>
            <w:r w:rsidRPr="00154588">
              <w:rPr>
                <w:b/>
                <w:sz w:val="20"/>
                <w:szCs w:val="20"/>
              </w:rPr>
              <w:t xml:space="preserve">Articolul 84b </w:t>
            </w:r>
          </w:p>
          <w:p w14:paraId="6751D27B" w14:textId="386B116C" w:rsidR="00EB243D" w:rsidRPr="00154588" w:rsidRDefault="00EB243D" w:rsidP="008C12B4">
            <w:pPr>
              <w:jc w:val="both"/>
              <w:rPr>
                <w:sz w:val="20"/>
                <w:szCs w:val="20"/>
              </w:rPr>
            </w:pPr>
            <w:r w:rsidRPr="00154588">
              <w:rPr>
                <w:b/>
                <w:sz w:val="20"/>
                <w:szCs w:val="20"/>
              </w:rPr>
              <w:t>Confidențialitatea informațiilor privilegiate</w:t>
            </w:r>
          </w:p>
        </w:tc>
        <w:tc>
          <w:tcPr>
            <w:tcW w:w="4819" w:type="dxa"/>
          </w:tcPr>
          <w:p w14:paraId="4904949F" w14:textId="77777777" w:rsidR="00EB243D" w:rsidRPr="00154588" w:rsidRDefault="00EB243D" w:rsidP="008C12B4">
            <w:pPr>
              <w:rPr>
                <w:sz w:val="20"/>
                <w:szCs w:val="16"/>
              </w:rPr>
            </w:pPr>
          </w:p>
        </w:tc>
        <w:tc>
          <w:tcPr>
            <w:tcW w:w="2552" w:type="dxa"/>
          </w:tcPr>
          <w:p w14:paraId="4FC66CBB" w14:textId="77777777" w:rsidR="00EB243D" w:rsidRPr="00154588" w:rsidRDefault="00EB243D" w:rsidP="008C12B4">
            <w:pPr>
              <w:jc w:val="both"/>
              <w:rPr>
                <w:sz w:val="20"/>
                <w:szCs w:val="16"/>
              </w:rPr>
            </w:pPr>
          </w:p>
        </w:tc>
        <w:tc>
          <w:tcPr>
            <w:tcW w:w="3118" w:type="dxa"/>
          </w:tcPr>
          <w:p w14:paraId="0A461B07" w14:textId="77777777" w:rsidR="00EB243D" w:rsidRPr="00154588" w:rsidRDefault="00EB243D" w:rsidP="008C12B4">
            <w:pPr>
              <w:jc w:val="both"/>
              <w:rPr>
                <w:sz w:val="20"/>
                <w:szCs w:val="16"/>
              </w:rPr>
            </w:pPr>
          </w:p>
        </w:tc>
      </w:tr>
      <w:tr w:rsidR="00EB243D" w:rsidRPr="00154588" w14:paraId="78E3BAB3" w14:textId="77777777" w:rsidTr="00D15C1B">
        <w:trPr>
          <w:jc w:val="center"/>
        </w:trPr>
        <w:tc>
          <w:tcPr>
            <w:tcW w:w="4957" w:type="dxa"/>
            <w:gridSpan w:val="2"/>
          </w:tcPr>
          <w:p w14:paraId="3C167759" w14:textId="2F354CAC" w:rsidR="00EB243D" w:rsidRPr="00154588" w:rsidRDefault="00EB243D" w:rsidP="008C12B4">
            <w:pPr>
              <w:jc w:val="both"/>
              <w:rPr>
                <w:sz w:val="20"/>
                <w:szCs w:val="20"/>
              </w:rPr>
            </w:pPr>
            <w:r w:rsidRPr="00154588">
              <w:rPr>
                <w:sz w:val="20"/>
                <w:szCs w:val="20"/>
              </w:rPr>
              <w:t xml:space="preserve">(1) Statele membre se asigură că, atunci când exercită competențele prevăzute la articolul 30a alineatele (3), (4) și (5) din prezenta directivă sau când efectuează o evaluare în conformitate cu articolul 36 din prezenta directivă, autoritățile de rezoluție au competența de a solicita instituției sau entității menționate la articolul 1 alineatul (1) litera (b), (c) sau (d) din prezenta directivă să ia toate măsurile necesare pentru a asigura confidențialitatea informațiilor privilegiate, astfel cum </w:t>
            </w:r>
            <w:r w:rsidRPr="00154588">
              <w:rPr>
                <w:sz w:val="20"/>
                <w:szCs w:val="20"/>
              </w:rPr>
              <w:lastRenderedPageBreak/>
              <w:t>sunt menționate la articolul 7 din Regulamentul (UE) nr. 596/2014, cu privire la pregătirea rezoluției, până când autoritatea de rezoluție consideră că confidențialitatea nu mai este necesară pentru realizarea obiectivelor rezoluției.</w:t>
            </w:r>
          </w:p>
        </w:tc>
        <w:tc>
          <w:tcPr>
            <w:tcW w:w="4819" w:type="dxa"/>
          </w:tcPr>
          <w:p w14:paraId="7B6CD207" w14:textId="0D39E504" w:rsidR="00EB243D" w:rsidRPr="00154588" w:rsidRDefault="00EB243D" w:rsidP="008C12B4">
            <w:pPr>
              <w:jc w:val="both"/>
              <w:rPr>
                <w:rFonts w:eastAsia="Calibri"/>
                <w:b/>
                <w:sz w:val="20"/>
                <w:szCs w:val="20"/>
                <w:vertAlign w:val="superscript"/>
              </w:rPr>
            </w:pPr>
            <w:r w:rsidRPr="00154588">
              <w:rPr>
                <w:rFonts w:eastAsia="Calibri"/>
                <w:b/>
                <w:sz w:val="20"/>
                <w:szCs w:val="20"/>
              </w:rPr>
              <w:lastRenderedPageBreak/>
              <w:t>Articolul 291</w:t>
            </w:r>
            <w:r w:rsidRPr="00154588">
              <w:rPr>
                <w:rFonts w:eastAsia="Calibri"/>
                <w:b/>
                <w:sz w:val="20"/>
                <w:szCs w:val="20"/>
                <w:vertAlign w:val="superscript"/>
              </w:rPr>
              <w:t>2</w:t>
            </w:r>
          </w:p>
          <w:p w14:paraId="44ED5C1C" w14:textId="158CF20D" w:rsidR="00EB243D" w:rsidRPr="00154588" w:rsidRDefault="00EB243D" w:rsidP="008C12B4">
            <w:pPr>
              <w:jc w:val="both"/>
              <w:rPr>
                <w:sz w:val="20"/>
                <w:szCs w:val="16"/>
              </w:rPr>
            </w:pPr>
            <w:r w:rsidRPr="00154588">
              <w:rPr>
                <w:bCs/>
                <w:sz w:val="20"/>
                <w:szCs w:val="20"/>
              </w:rPr>
              <w:t>(1) În exercitarea competențelor prevăzute la art. 54</w:t>
            </w:r>
            <w:r w:rsidRPr="00154588">
              <w:rPr>
                <w:bCs/>
                <w:sz w:val="20"/>
                <w:szCs w:val="20"/>
                <w:vertAlign w:val="superscript"/>
              </w:rPr>
              <w:t>17</w:t>
            </w:r>
            <w:r w:rsidRPr="00154588">
              <w:rPr>
                <w:bCs/>
                <w:sz w:val="20"/>
                <w:szCs w:val="20"/>
              </w:rPr>
              <w:t>-54</w:t>
            </w:r>
            <w:r w:rsidRPr="00154588">
              <w:rPr>
                <w:bCs/>
                <w:sz w:val="20"/>
                <w:szCs w:val="20"/>
                <w:vertAlign w:val="superscript"/>
              </w:rPr>
              <w:t>19</w:t>
            </w:r>
            <w:r w:rsidRPr="00154588">
              <w:rPr>
                <w:bCs/>
                <w:sz w:val="20"/>
                <w:szCs w:val="20"/>
              </w:rPr>
              <w:t xml:space="preserve">  sau la efectuarea evaluării prevăzute la art. 72–84 din prezenta lege, Banca Națională a Moldovei, în calitate de autoritate de rezoluție, are competența de a solicita instituției de credit sau entității prevăzute la art. 1 alin. (1) lit. b), c) ori d) să ia toate măsurile necesare pentru asigurarea confidențialității informațiilor privilegiate, astfel cum </w:t>
            </w:r>
            <w:r w:rsidRPr="00154588">
              <w:rPr>
                <w:bCs/>
                <w:sz w:val="20"/>
                <w:szCs w:val="20"/>
              </w:rPr>
              <w:lastRenderedPageBreak/>
              <w:t>sunt definite de actele normative ale Comisiei Naționale a Pieței Financiare privind abuzul pe piața de capital, referitoare la pregătirea rezoluției, până la momentul în care autoritatea de rezoluție apreciază că menținerea confidențialității nu mai este necesară pentru realizarea obiectivelor rezoluției.</w:t>
            </w:r>
          </w:p>
        </w:tc>
        <w:tc>
          <w:tcPr>
            <w:tcW w:w="2552" w:type="dxa"/>
          </w:tcPr>
          <w:p w14:paraId="60F382A6" w14:textId="0EE7325C" w:rsidR="00EB243D" w:rsidRPr="00154588" w:rsidRDefault="00EB243D" w:rsidP="008C12B4">
            <w:pPr>
              <w:jc w:val="both"/>
              <w:rPr>
                <w:sz w:val="20"/>
                <w:szCs w:val="16"/>
              </w:rPr>
            </w:pPr>
            <w:r w:rsidRPr="00154588">
              <w:rPr>
                <w:sz w:val="20"/>
                <w:szCs w:val="16"/>
              </w:rPr>
              <w:lastRenderedPageBreak/>
              <w:t>Compatibil</w:t>
            </w:r>
          </w:p>
        </w:tc>
        <w:tc>
          <w:tcPr>
            <w:tcW w:w="3118" w:type="dxa"/>
          </w:tcPr>
          <w:p w14:paraId="78E80A65" w14:textId="77777777" w:rsidR="00EB243D" w:rsidRPr="00154588" w:rsidRDefault="00EB243D" w:rsidP="008C12B4">
            <w:pPr>
              <w:jc w:val="both"/>
              <w:rPr>
                <w:sz w:val="20"/>
                <w:szCs w:val="16"/>
              </w:rPr>
            </w:pPr>
          </w:p>
        </w:tc>
      </w:tr>
      <w:tr w:rsidR="00EB243D" w:rsidRPr="00154588" w14:paraId="0EE35381" w14:textId="77777777" w:rsidTr="00D15C1B">
        <w:trPr>
          <w:jc w:val="center"/>
        </w:trPr>
        <w:tc>
          <w:tcPr>
            <w:tcW w:w="4957" w:type="dxa"/>
            <w:gridSpan w:val="2"/>
          </w:tcPr>
          <w:p w14:paraId="161E7A35" w14:textId="63899367" w:rsidR="00EB243D" w:rsidRPr="00154588" w:rsidRDefault="00EB243D" w:rsidP="008C12B4">
            <w:pPr>
              <w:jc w:val="both"/>
              <w:rPr>
                <w:sz w:val="20"/>
                <w:szCs w:val="20"/>
              </w:rPr>
            </w:pPr>
            <w:r w:rsidRPr="00154588">
              <w:rPr>
                <w:sz w:val="20"/>
                <w:szCs w:val="20"/>
              </w:rPr>
              <w:t>(2) Statele membre se asigură că, atunci când iau măsuri de rezoluție sau exercită competența de reducere a valorii contabile sau de conversie a instrumentelor de capital relevante și a datoriilor eligibile în conformitate cu articolul 59 din prezenta directivă, autoritățile de rezoluție au competența de a solicita instituției sau entității menționate la articolul 1 alineatul (1) litera (b), (c) sau (d) din prezenta directivă să ia toate măsurile necesare pentru a asigura confidențialitatea informațiilor privilegiate, astfel cum sunt menționate la articolul 7 din Regulamentul (UE) nr. 596/2014, cu privire la procesul de rezoluție sau la reducerea valorii contabile ori la conversie în conformitate cu articolul 59 din prezenta directivă, până când autoritatea de rezoluție consideră că confidențialitatea nu mai este necesară pentru realizarea obiectivelor rezoluției.</w:t>
            </w:r>
          </w:p>
        </w:tc>
        <w:tc>
          <w:tcPr>
            <w:tcW w:w="4819" w:type="dxa"/>
          </w:tcPr>
          <w:p w14:paraId="2A430DBC" w14:textId="29879F62" w:rsidR="00EB243D" w:rsidRPr="00154588" w:rsidRDefault="00EB243D" w:rsidP="008C12B4">
            <w:pPr>
              <w:jc w:val="both"/>
              <w:rPr>
                <w:sz w:val="20"/>
                <w:szCs w:val="16"/>
              </w:rPr>
            </w:pPr>
            <w:r w:rsidRPr="00154588">
              <w:rPr>
                <w:bCs/>
                <w:sz w:val="20"/>
                <w:szCs w:val="20"/>
              </w:rPr>
              <w:t>(2) Atunci când ia măsuri de rezoluție sau exercită competența de reducere a valorii contabile ori de conversie a instrumentelor de capital relevante și a datoriilor eligibile, în conformitate cu art. 219–225 din prezenta lege, Banca Națională a Moldovei, în calitate de autoritate de rezoluție, are competența de a solicita instituției de credit sau entității prevăzute la art. 1 alin. (1) lit. b), c) ori d) să ia toate măsurile necesare pentru asigurarea confidențialității informațiilor privilegiate, astfel cum sunt definite de actele normative ale Comisiei Naționale a Pieței Financiare privind abuzul pe piața de capital, referitoare la procesul de rezoluție ori la reducerea valorii contabile sau la conversia instrumentelor de capital relevante și a datoriilor eligibile, până la momentul în care autoritatea de rezoluție apreciază că menținerea confidențialității nu mai este necesară pentru realizarea obiectivelor rezoluției.</w:t>
            </w:r>
          </w:p>
        </w:tc>
        <w:tc>
          <w:tcPr>
            <w:tcW w:w="2552" w:type="dxa"/>
          </w:tcPr>
          <w:p w14:paraId="6972ADE6" w14:textId="7ADC424D" w:rsidR="00EB243D" w:rsidRPr="00154588" w:rsidRDefault="00EB243D" w:rsidP="008C12B4">
            <w:pPr>
              <w:jc w:val="both"/>
              <w:rPr>
                <w:sz w:val="20"/>
                <w:szCs w:val="16"/>
              </w:rPr>
            </w:pPr>
            <w:r w:rsidRPr="00154588">
              <w:rPr>
                <w:sz w:val="20"/>
                <w:szCs w:val="16"/>
              </w:rPr>
              <w:t>Compatibil</w:t>
            </w:r>
          </w:p>
        </w:tc>
        <w:tc>
          <w:tcPr>
            <w:tcW w:w="3118" w:type="dxa"/>
          </w:tcPr>
          <w:p w14:paraId="6F865121" w14:textId="77777777" w:rsidR="00EB243D" w:rsidRPr="00154588" w:rsidRDefault="00EB243D" w:rsidP="008C12B4">
            <w:pPr>
              <w:jc w:val="both"/>
              <w:rPr>
                <w:sz w:val="20"/>
                <w:szCs w:val="16"/>
              </w:rPr>
            </w:pPr>
          </w:p>
        </w:tc>
      </w:tr>
      <w:tr w:rsidR="00EB243D" w:rsidRPr="00154588" w14:paraId="66E5837E" w14:textId="77777777" w:rsidTr="00D15C1B">
        <w:trPr>
          <w:jc w:val="center"/>
        </w:trPr>
        <w:tc>
          <w:tcPr>
            <w:tcW w:w="4957" w:type="dxa"/>
            <w:gridSpan w:val="2"/>
          </w:tcPr>
          <w:p w14:paraId="4ACB33D0" w14:textId="68761BC6" w:rsidR="00EB243D" w:rsidRPr="00154588" w:rsidRDefault="00EB243D" w:rsidP="008C12B4">
            <w:pPr>
              <w:jc w:val="both"/>
              <w:rPr>
                <w:sz w:val="20"/>
                <w:szCs w:val="20"/>
              </w:rPr>
            </w:pPr>
            <w:r w:rsidRPr="00154588">
              <w:rPr>
                <w:sz w:val="20"/>
                <w:szCs w:val="20"/>
              </w:rPr>
              <w:t>(3) Autoritatea de rezoluție informează instituția sau entitatea menționată la articolul 1 alineatul (1) litera (b), (c) sau (d) de îndată ce consideră că respectarea cerinței de a lua toate măsurile necesare pentru a asigura confidențialitatea informațiilor privilegiate în conformitate cu alineatele (1) și (2) de la prezentul articol nu mai este necesară pentru realizarea obiectivelor rezoluției.</w:t>
            </w:r>
          </w:p>
        </w:tc>
        <w:tc>
          <w:tcPr>
            <w:tcW w:w="4819" w:type="dxa"/>
          </w:tcPr>
          <w:p w14:paraId="708F9ED5" w14:textId="0114C37B" w:rsidR="00EB243D" w:rsidRPr="00154588" w:rsidRDefault="00EB243D" w:rsidP="008C12B4">
            <w:pPr>
              <w:jc w:val="both"/>
              <w:rPr>
                <w:sz w:val="20"/>
                <w:szCs w:val="16"/>
              </w:rPr>
            </w:pPr>
            <w:r w:rsidRPr="00154588">
              <w:rPr>
                <w:bCs/>
                <w:sz w:val="20"/>
                <w:szCs w:val="20"/>
              </w:rPr>
              <w:t>(3) Banca Națională a Moldovei, în calitate de autoritate de rezoluție, informează de îndată instituția de credit sau entitatea prevăzută la art. 1 alin. (1) lit. b), c) ori d), atunci când apreciază că obligația de a lua toate măsurile necesare pentru asigurarea confidențialității informațiilor privilegiate, în conformitate cu alin. (1) și (2), nu mai este necesară pentru realizarea obiectivelor rezoluției.</w:t>
            </w:r>
          </w:p>
        </w:tc>
        <w:tc>
          <w:tcPr>
            <w:tcW w:w="2552" w:type="dxa"/>
          </w:tcPr>
          <w:p w14:paraId="50CD3D46" w14:textId="09AEA8DA" w:rsidR="00EB243D" w:rsidRPr="00154588" w:rsidRDefault="00EB243D" w:rsidP="008C12B4">
            <w:pPr>
              <w:jc w:val="both"/>
              <w:rPr>
                <w:sz w:val="20"/>
                <w:szCs w:val="16"/>
              </w:rPr>
            </w:pPr>
            <w:r w:rsidRPr="00154588">
              <w:rPr>
                <w:sz w:val="20"/>
                <w:szCs w:val="16"/>
              </w:rPr>
              <w:t>Compatibil</w:t>
            </w:r>
          </w:p>
        </w:tc>
        <w:tc>
          <w:tcPr>
            <w:tcW w:w="3118" w:type="dxa"/>
          </w:tcPr>
          <w:p w14:paraId="6CB495D8" w14:textId="77777777" w:rsidR="00EB243D" w:rsidRPr="00154588" w:rsidRDefault="00EB243D" w:rsidP="008C12B4">
            <w:pPr>
              <w:jc w:val="both"/>
              <w:rPr>
                <w:sz w:val="20"/>
                <w:szCs w:val="16"/>
              </w:rPr>
            </w:pPr>
          </w:p>
        </w:tc>
      </w:tr>
      <w:tr w:rsidR="00EB243D" w:rsidRPr="00154588" w14:paraId="46A1C3BF" w14:textId="77777777" w:rsidTr="00D15C1B">
        <w:trPr>
          <w:jc w:val="center"/>
        </w:trPr>
        <w:tc>
          <w:tcPr>
            <w:tcW w:w="4957" w:type="dxa"/>
            <w:gridSpan w:val="2"/>
          </w:tcPr>
          <w:p w14:paraId="60D0DEA1" w14:textId="25B304D1" w:rsidR="00EB243D" w:rsidRPr="00154588" w:rsidRDefault="00EB243D" w:rsidP="008C12B4">
            <w:pPr>
              <w:jc w:val="both"/>
              <w:rPr>
                <w:sz w:val="20"/>
                <w:szCs w:val="20"/>
              </w:rPr>
            </w:pPr>
            <w:r w:rsidRPr="00154588">
              <w:rPr>
                <w:sz w:val="20"/>
                <w:szCs w:val="20"/>
              </w:rPr>
              <w:t>(4) În perioada în care instituția sau entitatea menționată la articolul 1 alineatul (1) litera (b), (c) sau (d) din prezenta directivă are obligația de a lua toate măsurile necesare pentru a asigura confidențialitatea informațiilor privilegiate în conformitate cu alineatele (1) și (2) de la prezentul articol, articolul 17 alineatul (1) din Regulamentul (UE) nr. 596/2014 nu se aplică.</w:t>
            </w:r>
          </w:p>
        </w:tc>
        <w:tc>
          <w:tcPr>
            <w:tcW w:w="4819" w:type="dxa"/>
          </w:tcPr>
          <w:p w14:paraId="47F9A8A5" w14:textId="5C8701D7" w:rsidR="00EB243D" w:rsidRPr="00154588" w:rsidRDefault="00EB243D" w:rsidP="008C12B4">
            <w:pPr>
              <w:jc w:val="both"/>
              <w:rPr>
                <w:sz w:val="20"/>
                <w:szCs w:val="16"/>
              </w:rPr>
            </w:pPr>
            <w:r w:rsidRPr="00154588">
              <w:rPr>
                <w:sz w:val="20"/>
                <w:szCs w:val="16"/>
              </w:rPr>
              <w:t>(4) Pe perioada în care instituția de credit sau entitatea prevăzută la art. 1 alin. (1) lit. b), c) ori d) are obligația de a lua toate măsurile necesare pentru asigurarea confidențialității informațiilor privilegiate, în conformitate cu alin. (1) și (2), nu se aplică cerințele de publicare a informațiilor privilegiate prevăzută de actele normative ale Comisiei Naționale a Pieței Financiare privind abuzul pe piața de capital.</w:t>
            </w:r>
          </w:p>
        </w:tc>
        <w:tc>
          <w:tcPr>
            <w:tcW w:w="2552" w:type="dxa"/>
          </w:tcPr>
          <w:p w14:paraId="4FC799D5" w14:textId="01E57BAB" w:rsidR="00EB243D" w:rsidRPr="00154588" w:rsidRDefault="00EB243D" w:rsidP="008C12B4">
            <w:pPr>
              <w:jc w:val="both"/>
              <w:rPr>
                <w:sz w:val="20"/>
                <w:szCs w:val="16"/>
              </w:rPr>
            </w:pPr>
            <w:r w:rsidRPr="00154588">
              <w:rPr>
                <w:sz w:val="20"/>
                <w:szCs w:val="16"/>
              </w:rPr>
              <w:t>Compatibil</w:t>
            </w:r>
          </w:p>
        </w:tc>
        <w:tc>
          <w:tcPr>
            <w:tcW w:w="3118" w:type="dxa"/>
          </w:tcPr>
          <w:p w14:paraId="37655CB1" w14:textId="77777777" w:rsidR="00EB243D" w:rsidRPr="00154588" w:rsidRDefault="00EB243D" w:rsidP="008C12B4">
            <w:pPr>
              <w:jc w:val="both"/>
              <w:rPr>
                <w:sz w:val="20"/>
                <w:szCs w:val="16"/>
              </w:rPr>
            </w:pPr>
          </w:p>
        </w:tc>
      </w:tr>
      <w:tr w:rsidR="00EB243D" w:rsidRPr="00154588" w14:paraId="1CD33057" w14:textId="77777777" w:rsidTr="00D15C1B">
        <w:trPr>
          <w:jc w:val="center"/>
        </w:trPr>
        <w:tc>
          <w:tcPr>
            <w:tcW w:w="4957" w:type="dxa"/>
            <w:gridSpan w:val="2"/>
          </w:tcPr>
          <w:p w14:paraId="665C942C" w14:textId="6E957653" w:rsidR="00EB243D" w:rsidRPr="00154588" w:rsidRDefault="00EB243D" w:rsidP="008C12B4">
            <w:pPr>
              <w:jc w:val="both"/>
              <w:rPr>
                <w:sz w:val="20"/>
                <w:szCs w:val="20"/>
              </w:rPr>
            </w:pPr>
            <w:r w:rsidRPr="00154588">
              <w:rPr>
                <w:sz w:val="20"/>
                <w:szCs w:val="20"/>
              </w:rPr>
              <w:t xml:space="preserve">(5) În cazul în care o autoritate de rezoluție solicită unei instituții sau entități menționate la articolul 1 alineatul (1) litera (b), (c) sau (d) din prezenta directivă să ia toate măsurile necesare pentru a asigura </w:t>
            </w:r>
            <w:r w:rsidRPr="00154588">
              <w:rPr>
                <w:sz w:val="20"/>
                <w:szCs w:val="20"/>
              </w:rPr>
              <w:lastRenderedPageBreak/>
              <w:t>confidențialitatea informațiilor privilegiate în conformitate cu alineatul (1) sau (2) de la prezentul articol sau în cazul în care o autoritate de rezoluție informează instituția sau entitatea respectivă că confidențialitatea nu mai este necesară pentru realizarea obiectivelor rezoluției, autoritatea respectivă informează cât mai curând posibil autoritatea competentă specificată în actele delegate adoptate în temeiul articolului 17 alineatul (3) din Regulamentul (UE) nr. 596/2014.</w:t>
            </w:r>
          </w:p>
        </w:tc>
        <w:tc>
          <w:tcPr>
            <w:tcW w:w="4819" w:type="dxa"/>
          </w:tcPr>
          <w:p w14:paraId="08AD4D48" w14:textId="454AF768" w:rsidR="00EB243D" w:rsidRPr="00154588" w:rsidRDefault="00EB243D" w:rsidP="008C12B4">
            <w:pPr>
              <w:jc w:val="both"/>
              <w:rPr>
                <w:sz w:val="20"/>
                <w:szCs w:val="16"/>
              </w:rPr>
            </w:pPr>
            <w:r w:rsidRPr="00154588">
              <w:rPr>
                <w:sz w:val="20"/>
                <w:szCs w:val="16"/>
              </w:rPr>
              <w:lastRenderedPageBreak/>
              <w:t xml:space="preserve">(5) În cazul în care, în conformitate cu alin. (1) sau (2), Banca Națională a Moldovei, în calitate de autoritate de rezoluție, solicită instituției de credit sau entității prevăzute la art. 1 alin. (1) lit. b), c) ori d) să </w:t>
            </w:r>
            <w:r w:rsidRPr="00154588">
              <w:rPr>
                <w:sz w:val="20"/>
                <w:szCs w:val="16"/>
              </w:rPr>
              <w:lastRenderedPageBreak/>
              <w:t>ia toate măsurile necesare pentru asigurarea confidențialității informațiilor privilegiate sau informează instituția de credit ori entitatea respectivă, în condițiile alin. (3), că menținerea confidențialității nu mai este necesară pentru realizarea obiectivelor rezoluției, autoritatea de rezoluție informează, în cel mai scurt timp, Comisiei Naționale a Pieței Financiare despre acest fapt.</w:t>
            </w:r>
          </w:p>
        </w:tc>
        <w:tc>
          <w:tcPr>
            <w:tcW w:w="2552" w:type="dxa"/>
          </w:tcPr>
          <w:p w14:paraId="7B7A68D8" w14:textId="0BF8C9DB" w:rsidR="00EB243D" w:rsidRPr="00154588" w:rsidRDefault="00EB243D" w:rsidP="008C12B4">
            <w:pPr>
              <w:jc w:val="both"/>
              <w:rPr>
                <w:sz w:val="20"/>
                <w:szCs w:val="16"/>
              </w:rPr>
            </w:pPr>
            <w:r w:rsidRPr="00154588">
              <w:rPr>
                <w:sz w:val="20"/>
                <w:szCs w:val="16"/>
              </w:rPr>
              <w:lastRenderedPageBreak/>
              <w:t>Compatibil</w:t>
            </w:r>
          </w:p>
        </w:tc>
        <w:tc>
          <w:tcPr>
            <w:tcW w:w="3118" w:type="dxa"/>
          </w:tcPr>
          <w:p w14:paraId="22150E52" w14:textId="77777777" w:rsidR="00EB243D" w:rsidRPr="00154588" w:rsidRDefault="00EB243D" w:rsidP="008C12B4">
            <w:pPr>
              <w:jc w:val="both"/>
              <w:rPr>
                <w:sz w:val="20"/>
                <w:szCs w:val="16"/>
              </w:rPr>
            </w:pPr>
          </w:p>
        </w:tc>
      </w:tr>
      <w:tr w:rsidR="00EB243D" w:rsidRPr="00154588" w14:paraId="798E50CC" w14:textId="77777777" w:rsidTr="00D15C1B">
        <w:trPr>
          <w:jc w:val="center"/>
        </w:trPr>
        <w:tc>
          <w:tcPr>
            <w:tcW w:w="4957" w:type="dxa"/>
            <w:gridSpan w:val="2"/>
          </w:tcPr>
          <w:p w14:paraId="2BF7476A" w14:textId="14A73D3D" w:rsidR="00EB243D" w:rsidRPr="00154588" w:rsidRDefault="00EB243D" w:rsidP="008C12B4">
            <w:pPr>
              <w:jc w:val="both"/>
              <w:rPr>
                <w:sz w:val="20"/>
                <w:szCs w:val="20"/>
              </w:rPr>
            </w:pPr>
            <w:r w:rsidRPr="00154588">
              <w:rPr>
                <w:sz w:val="20"/>
                <w:szCs w:val="20"/>
              </w:rPr>
              <w:t>(6) Instituția sau entitatea menționată la articolul 1 alineatul (1) litera (b), (c) sau (d) din prezenta directivă poate divulga informațiile privilegiate menționate la alineatele (1) și (2) de la prezentul articol unei părți terțe în cadrul exercitării normale a sarcinilor de serviciu, a profesiei sau a funcției, astfel cum se prevede la articolul 10 alineatul (1) din Regulamentul (UE) nr. 596/2014, numai dacă persoana care primește informațiile privilegiate respective are o obligație de confidențialitate, indiferent dacă această obligație se întemeiază pe un act cu putere de lege, pe un act administrativ sau pe dispoziții statutare sau ale clauzelor contractuale, și se asigură că se menține confidențialitatea informațiilor respective în sensul alineatelor (1) și (2) de la prezentul articol.</w:t>
            </w:r>
          </w:p>
        </w:tc>
        <w:tc>
          <w:tcPr>
            <w:tcW w:w="4819" w:type="dxa"/>
          </w:tcPr>
          <w:p w14:paraId="487B78BC" w14:textId="0AE08FB5" w:rsidR="00EB243D" w:rsidRPr="00154588" w:rsidRDefault="00EB243D" w:rsidP="008C12B4">
            <w:pPr>
              <w:jc w:val="both"/>
              <w:rPr>
                <w:sz w:val="20"/>
                <w:szCs w:val="16"/>
              </w:rPr>
            </w:pPr>
            <w:r w:rsidRPr="00154588">
              <w:rPr>
                <w:sz w:val="20"/>
                <w:szCs w:val="16"/>
              </w:rPr>
              <w:t>(6) Instituția de credit sau entitatea prevăzută la art. 1 alin. (1) lit. b), c) ori d) poate divulga informațiile privilegiate prevăzute la alin. (1) și (2) unei terțe persoane numai în cadrul exercitării normale a atribuțiilor de serviciu, a profesiei sau a funcției, cu condiția ca persoana căreia îi sunt divulgate informațiile să fie ținută de o obligație de confidențialitate, instituită prin lege, act administrativ, statut sau contract, și să asigure menținerea confidențialității acestor informații în conformitate cu alin. (1) și (2).</w:t>
            </w:r>
          </w:p>
        </w:tc>
        <w:tc>
          <w:tcPr>
            <w:tcW w:w="2552" w:type="dxa"/>
          </w:tcPr>
          <w:p w14:paraId="43D3AC39" w14:textId="430B0975" w:rsidR="00EB243D" w:rsidRPr="00154588" w:rsidRDefault="00EB243D" w:rsidP="008C12B4">
            <w:pPr>
              <w:jc w:val="both"/>
              <w:rPr>
                <w:sz w:val="20"/>
                <w:szCs w:val="16"/>
              </w:rPr>
            </w:pPr>
            <w:r w:rsidRPr="00154588">
              <w:rPr>
                <w:sz w:val="20"/>
                <w:szCs w:val="16"/>
              </w:rPr>
              <w:t>Compatibil</w:t>
            </w:r>
          </w:p>
        </w:tc>
        <w:tc>
          <w:tcPr>
            <w:tcW w:w="3118" w:type="dxa"/>
          </w:tcPr>
          <w:p w14:paraId="2A82DE13" w14:textId="77777777" w:rsidR="00EB243D" w:rsidRPr="00154588" w:rsidRDefault="00EB243D" w:rsidP="008C12B4">
            <w:pPr>
              <w:jc w:val="both"/>
              <w:rPr>
                <w:sz w:val="20"/>
                <w:szCs w:val="16"/>
              </w:rPr>
            </w:pPr>
          </w:p>
        </w:tc>
      </w:tr>
      <w:tr w:rsidR="00EB243D" w:rsidRPr="00154588" w14:paraId="658D932E" w14:textId="77777777" w:rsidTr="00D15C1B">
        <w:trPr>
          <w:jc w:val="center"/>
        </w:trPr>
        <w:tc>
          <w:tcPr>
            <w:tcW w:w="4957" w:type="dxa"/>
            <w:gridSpan w:val="2"/>
          </w:tcPr>
          <w:p w14:paraId="478093BB" w14:textId="00CF5CCA" w:rsidR="00EB243D" w:rsidRPr="00154588" w:rsidRDefault="00EB243D" w:rsidP="008C12B4">
            <w:pPr>
              <w:jc w:val="both"/>
              <w:rPr>
                <w:sz w:val="20"/>
                <w:szCs w:val="20"/>
              </w:rPr>
            </w:pPr>
            <w:r w:rsidRPr="00154588">
              <w:rPr>
                <w:sz w:val="20"/>
                <w:szCs w:val="20"/>
              </w:rPr>
              <w:t>(7) În cazul în care, în pofida măsurilor necesare luate pentru a asigura confidențialitatea informațiilor privilegiate în conformitate cu alineatul (1) sau (2) de la prezentul articol, confidențialitatea informațiilor respective nu mai este asigurată, instituția sau entitatea menționată la articolul 1 alineatul (1) litera (b), (c) sau (d) face publice informațiile privilegiate cât mai curând posibil. Prezentul alineat include situațiile în care un zvon se referă în mod explicit la informațiile privilegiate respective, iar zvonul este suficient de precis pentru a indica faptul că nu mai este asigurată confidențialitatea informațiilor în cauză.</w:t>
            </w:r>
          </w:p>
        </w:tc>
        <w:tc>
          <w:tcPr>
            <w:tcW w:w="4819" w:type="dxa"/>
          </w:tcPr>
          <w:p w14:paraId="2AB054B6" w14:textId="2C295452" w:rsidR="00EB243D" w:rsidRPr="00154588" w:rsidRDefault="00EB243D" w:rsidP="008C12B4">
            <w:pPr>
              <w:jc w:val="both"/>
              <w:rPr>
                <w:sz w:val="20"/>
                <w:szCs w:val="16"/>
              </w:rPr>
            </w:pPr>
            <w:r w:rsidRPr="00154588">
              <w:rPr>
                <w:sz w:val="20"/>
                <w:szCs w:val="16"/>
              </w:rPr>
              <w:t>(7) În cazul în care, în pofida măsurilor luate în conformitate cu alin. (1) sau (2) pentru asigurarea confidențialității informațiilor privilegiate, confidențialitatea acestora nu mai poate fi menținută, instituția de credit sau entitatea prevăzută la art. 1 alin. (1) lit. b), c) ori d) face publice informațiile privilegiate în cel mai scurt timp. Prezentul alineat se aplică și în cazul în care un zvon se referă în mod explicit la informațiile privilegiate respective și este suficient de precis pentru a demonstra că confidențialitatea acestora nu mai este asigurată.</w:t>
            </w:r>
          </w:p>
        </w:tc>
        <w:tc>
          <w:tcPr>
            <w:tcW w:w="2552" w:type="dxa"/>
          </w:tcPr>
          <w:p w14:paraId="49AE938C" w14:textId="012904FB" w:rsidR="00EB243D" w:rsidRPr="00154588" w:rsidRDefault="00EB243D" w:rsidP="008C12B4">
            <w:pPr>
              <w:jc w:val="both"/>
              <w:rPr>
                <w:sz w:val="20"/>
                <w:szCs w:val="16"/>
              </w:rPr>
            </w:pPr>
            <w:r w:rsidRPr="00154588">
              <w:rPr>
                <w:sz w:val="20"/>
                <w:szCs w:val="16"/>
              </w:rPr>
              <w:t>Compatibil</w:t>
            </w:r>
          </w:p>
        </w:tc>
        <w:tc>
          <w:tcPr>
            <w:tcW w:w="3118" w:type="dxa"/>
          </w:tcPr>
          <w:p w14:paraId="495F3BFF" w14:textId="77777777" w:rsidR="00EB243D" w:rsidRPr="00154588" w:rsidRDefault="00EB243D" w:rsidP="008C12B4">
            <w:pPr>
              <w:jc w:val="both"/>
              <w:rPr>
                <w:sz w:val="20"/>
                <w:szCs w:val="16"/>
              </w:rPr>
            </w:pPr>
          </w:p>
        </w:tc>
      </w:tr>
      <w:tr w:rsidR="00EB243D" w:rsidRPr="00154588" w14:paraId="579BCAC3" w14:textId="77777777" w:rsidTr="00D15C1B">
        <w:trPr>
          <w:jc w:val="center"/>
        </w:trPr>
        <w:tc>
          <w:tcPr>
            <w:tcW w:w="4957" w:type="dxa"/>
            <w:gridSpan w:val="2"/>
          </w:tcPr>
          <w:p w14:paraId="6CFEFDA5" w14:textId="77777777" w:rsidR="00EB243D" w:rsidRPr="00154588" w:rsidRDefault="00EB243D" w:rsidP="008C12B4">
            <w:pPr>
              <w:tabs>
                <w:tab w:val="left" w:pos="963"/>
              </w:tabs>
              <w:jc w:val="both"/>
              <w:rPr>
                <w:b/>
                <w:sz w:val="20"/>
                <w:szCs w:val="20"/>
              </w:rPr>
            </w:pPr>
            <w:r w:rsidRPr="00154588">
              <w:rPr>
                <w:b/>
                <w:sz w:val="20"/>
                <w:szCs w:val="20"/>
              </w:rPr>
              <w:t>CAPITOLUL IX</w:t>
            </w:r>
          </w:p>
          <w:p w14:paraId="0D55A3F9" w14:textId="77777777" w:rsidR="00EB243D" w:rsidRPr="00154588" w:rsidRDefault="00EB243D" w:rsidP="008C12B4">
            <w:pPr>
              <w:tabs>
                <w:tab w:val="left" w:pos="963"/>
              </w:tabs>
              <w:jc w:val="both"/>
              <w:rPr>
                <w:b/>
                <w:sz w:val="20"/>
                <w:szCs w:val="20"/>
              </w:rPr>
            </w:pPr>
          </w:p>
          <w:p w14:paraId="5D47E52E" w14:textId="298032D8" w:rsidR="00EB243D" w:rsidRPr="00154588" w:rsidRDefault="00EB243D" w:rsidP="008C12B4">
            <w:pPr>
              <w:tabs>
                <w:tab w:val="left" w:pos="963"/>
              </w:tabs>
              <w:jc w:val="both"/>
              <w:rPr>
                <w:sz w:val="20"/>
                <w:szCs w:val="20"/>
              </w:rPr>
            </w:pPr>
            <w:r w:rsidRPr="00154588">
              <w:rPr>
                <w:b/>
                <w:sz w:val="20"/>
                <w:szCs w:val="20"/>
              </w:rPr>
              <w:t>Dreptul la recurs și excluderea altor măsuri</w:t>
            </w:r>
          </w:p>
        </w:tc>
        <w:tc>
          <w:tcPr>
            <w:tcW w:w="4819" w:type="dxa"/>
          </w:tcPr>
          <w:p w14:paraId="34996223" w14:textId="77777777" w:rsidR="00EB243D" w:rsidRPr="00154588" w:rsidRDefault="00EB243D" w:rsidP="008C12B4">
            <w:pPr>
              <w:jc w:val="center"/>
              <w:rPr>
                <w:rFonts w:eastAsia="Calibri"/>
                <w:b/>
                <w:sz w:val="20"/>
                <w:szCs w:val="18"/>
              </w:rPr>
            </w:pPr>
            <w:r w:rsidRPr="00154588">
              <w:rPr>
                <w:rFonts w:eastAsia="Calibri"/>
                <w:b/>
                <w:sz w:val="20"/>
                <w:szCs w:val="18"/>
              </w:rPr>
              <w:t>Capitolul X</w:t>
            </w:r>
          </w:p>
          <w:p w14:paraId="0D059A63" w14:textId="16AD799B" w:rsidR="00EB243D" w:rsidRPr="00154588" w:rsidRDefault="00EB243D" w:rsidP="008C12B4">
            <w:pPr>
              <w:jc w:val="center"/>
              <w:rPr>
                <w:rFonts w:eastAsia="Calibri"/>
                <w:b/>
                <w:sz w:val="24"/>
              </w:rPr>
            </w:pPr>
            <w:r w:rsidRPr="00154588">
              <w:rPr>
                <w:rFonts w:eastAsia="Calibri"/>
                <w:b/>
                <w:sz w:val="20"/>
                <w:szCs w:val="18"/>
              </w:rPr>
              <w:t>DREPTUL LA CONTESTARE ŞI EXCLUDEREA ALTOR MĂSURI</w:t>
            </w:r>
          </w:p>
        </w:tc>
        <w:tc>
          <w:tcPr>
            <w:tcW w:w="2552" w:type="dxa"/>
          </w:tcPr>
          <w:p w14:paraId="4F01F366" w14:textId="77777777" w:rsidR="00EB243D" w:rsidRPr="00154588" w:rsidRDefault="00EB243D" w:rsidP="008C12B4">
            <w:pPr>
              <w:jc w:val="both"/>
              <w:rPr>
                <w:sz w:val="20"/>
                <w:szCs w:val="20"/>
              </w:rPr>
            </w:pPr>
          </w:p>
        </w:tc>
        <w:tc>
          <w:tcPr>
            <w:tcW w:w="3118" w:type="dxa"/>
          </w:tcPr>
          <w:p w14:paraId="18E37BA8" w14:textId="77777777" w:rsidR="00EB243D" w:rsidRPr="00154588" w:rsidRDefault="00EB243D" w:rsidP="008C12B4">
            <w:pPr>
              <w:jc w:val="both"/>
              <w:rPr>
                <w:sz w:val="20"/>
                <w:szCs w:val="20"/>
              </w:rPr>
            </w:pPr>
          </w:p>
        </w:tc>
      </w:tr>
      <w:tr w:rsidR="00EB243D" w:rsidRPr="00154588" w14:paraId="3E730419" w14:textId="77777777" w:rsidTr="00D15C1B">
        <w:trPr>
          <w:jc w:val="center"/>
        </w:trPr>
        <w:tc>
          <w:tcPr>
            <w:tcW w:w="4957" w:type="dxa"/>
            <w:gridSpan w:val="2"/>
          </w:tcPr>
          <w:p w14:paraId="661E63F6" w14:textId="77777777" w:rsidR="00EB243D" w:rsidRPr="00154588" w:rsidRDefault="00EB243D" w:rsidP="008C12B4">
            <w:pPr>
              <w:jc w:val="both"/>
              <w:rPr>
                <w:b/>
                <w:sz w:val="20"/>
                <w:szCs w:val="20"/>
              </w:rPr>
            </w:pPr>
            <w:r w:rsidRPr="00154588">
              <w:rPr>
                <w:b/>
                <w:sz w:val="20"/>
                <w:szCs w:val="20"/>
              </w:rPr>
              <w:t>Articolul 85</w:t>
            </w:r>
          </w:p>
          <w:p w14:paraId="36EDC4E9" w14:textId="77777777" w:rsidR="00EB243D" w:rsidRPr="00154588" w:rsidRDefault="00EB243D" w:rsidP="008C12B4">
            <w:pPr>
              <w:jc w:val="both"/>
              <w:rPr>
                <w:b/>
                <w:sz w:val="20"/>
                <w:szCs w:val="20"/>
              </w:rPr>
            </w:pPr>
          </w:p>
          <w:p w14:paraId="4946D22F" w14:textId="77777777" w:rsidR="00EB243D" w:rsidRPr="00154588" w:rsidRDefault="00EB243D" w:rsidP="008C12B4">
            <w:pPr>
              <w:jc w:val="both"/>
              <w:rPr>
                <w:b/>
                <w:sz w:val="20"/>
                <w:szCs w:val="20"/>
              </w:rPr>
            </w:pPr>
          </w:p>
          <w:p w14:paraId="4CEF7F38" w14:textId="5AA7F1BD" w:rsidR="00EB243D" w:rsidRPr="00154588" w:rsidRDefault="00EB243D" w:rsidP="008C12B4">
            <w:pPr>
              <w:jc w:val="both"/>
              <w:rPr>
                <w:sz w:val="20"/>
                <w:szCs w:val="20"/>
              </w:rPr>
            </w:pPr>
            <w:r w:rsidRPr="00154588">
              <w:rPr>
                <w:b/>
                <w:sz w:val="20"/>
                <w:szCs w:val="20"/>
              </w:rPr>
              <w:t>Aprobarea judiciară ex ante și dreptul de a contesta deciziile</w:t>
            </w:r>
          </w:p>
        </w:tc>
        <w:tc>
          <w:tcPr>
            <w:tcW w:w="4819" w:type="dxa"/>
          </w:tcPr>
          <w:p w14:paraId="1185687E" w14:textId="77777777" w:rsidR="00EB243D" w:rsidRPr="00154588" w:rsidRDefault="00EB243D" w:rsidP="008C12B4">
            <w:pPr>
              <w:jc w:val="both"/>
              <w:rPr>
                <w:sz w:val="20"/>
                <w:szCs w:val="20"/>
              </w:rPr>
            </w:pPr>
          </w:p>
        </w:tc>
        <w:tc>
          <w:tcPr>
            <w:tcW w:w="2552" w:type="dxa"/>
          </w:tcPr>
          <w:p w14:paraId="7E8D2266" w14:textId="77777777" w:rsidR="00EB243D" w:rsidRPr="00154588" w:rsidRDefault="00EB243D" w:rsidP="008C12B4">
            <w:pPr>
              <w:jc w:val="both"/>
              <w:rPr>
                <w:sz w:val="20"/>
                <w:szCs w:val="20"/>
              </w:rPr>
            </w:pPr>
          </w:p>
        </w:tc>
        <w:tc>
          <w:tcPr>
            <w:tcW w:w="3118" w:type="dxa"/>
          </w:tcPr>
          <w:p w14:paraId="076DA702" w14:textId="77777777" w:rsidR="00EB243D" w:rsidRPr="00154588" w:rsidRDefault="00EB243D" w:rsidP="008C12B4">
            <w:pPr>
              <w:jc w:val="both"/>
              <w:rPr>
                <w:sz w:val="20"/>
                <w:szCs w:val="20"/>
              </w:rPr>
            </w:pPr>
          </w:p>
        </w:tc>
      </w:tr>
      <w:tr w:rsidR="00EB243D" w:rsidRPr="00154588" w14:paraId="0459BD46" w14:textId="77777777" w:rsidTr="00D15C1B">
        <w:trPr>
          <w:jc w:val="center"/>
        </w:trPr>
        <w:tc>
          <w:tcPr>
            <w:tcW w:w="4957" w:type="dxa"/>
            <w:gridSpan w:val="2"/>
          </w:tcPr>
          <w:p w14:paraId="63A615B0" w14:textId="608E44BF" w:rsidR="00EB243D" w:rsidRPr="00154588" w:rsidRDefault="00EB243D" w:rsidP="008C12B4">
            <w:pPr>
              <w:jc w:val="both"/>
              <w:rPr>
                <w:sz w:val="20"/>
                <w:szCs w:val="20"/>
              </w:rPr>
            </w:pPr>
            <w:r w:rsidRPr="00154588">
              <w:rPr>
                <w:sz w:val="20"/>
                <w:szCs w:val="20"/>
              </w:rPr>
              <w:lastRenderedPageBreak/>
              <w:t>(1)   Statele membre pot solicita ca decizia de adoptare a unei măsuri de prevenire sau de gestionare a crizelor să facă obiectul unei aprobări judiciare ex ante, cu condiția ca, în ceea ce privește decizia de adoptare a unei măsuri de gestionare a crizelor, în conformitate cu dreptul intern, procedura pentru solicitarea aprobării și examinarea de către instanță să fie rapide.</w:t>
            </w:r>
          </w:p>
        </w:tc>
        <w:tc>
          <w:tcPr>
            <w:tcW w:w="4819" w:type="dxa"/>
          </w:tcPr>
          <w:p w14:paraId="1FB9BE0F" w14:textId="77777777" w:rsidR="00EB243D" w:rsidRPr="00154588" w:rsidRDefault="00EB243D" w:rsidP="008C12B4">
            <w:pPr>
              <w:ind w:firstLine="567"/>
              <w:jc w:val="both"/>
              <w:rPr>
                <w:rFonts w:eastAsia="Calibri"/>
                <w:sz w:val="20"/>
                <w:szCs w:val="18"/>
              </w:rPr>
            </w:pPr>
            <w:r w:rsidRPr="00154588">
              <w:rPr>
                <w:rFonts w:eastAsia="Calibri"/>
                <w:b/>
                <w:sz w:val="20"/>
                <w:szCs w:val="18"/>
              </w:rPr>
              <w:t>Articolul</w:t>
            </w:r>
            <w:r w:rsidRPr="00154588">
              <w:rPr>
                <w:rFonts w:eastAsia="Calibri"/>
                <w:sz w:val="20"/>
                <w:szCs w:val="18"/>
              </w:rPr>
              <w:t xml:space="preserve"> </w:t>
            </w:r>
            <w:r w:rsidRPr="00154588">
              <w:rPr>
                <w:rFonts w:eastAsia="Calibri"/>
                <w:b/>
                <w:sz w:val="20"/>
                <w:szCs w:val="18"/>
              </w:rPr>
              <w:t>292.</w:t>
            </w:r>
            <w:r w:rsidRPr="00154588">
              <w:rPr>
                <w:rFonts w:eastAsia="Calibri"/>
                <w:sz w:val="20"/>
                <w:szCs w:val="18"/>
              </w:rPr>
              <w:t xml:space="preserve"> – Deciziile Băncii Naţionale a Moldovei de luare a unei măsuri de prevenire a crizelor sau de exercitare a unei competenţe din cele prevăzute de prezenta lege, alta decît cea referitoare la măsurile de gestionare a crizelor, pot fi contestate şi sunt supuse controlului de legalitate în instanţele de contencios administrativ potrivit prevederilor art.11 şi 11</w:t>
            </w:r>
            <w:r w:rsidRPr="00154588">
              <w:rPr>
                <w:rFonts w:eastAsia="Calibri"/>
                <w:sz w:val="20"/>
                <w:szCs w:val="18"/>
                <w:vertAlign w:val="superscript"/>
              </w:rPr>
              <w:t>1</w:t>
            </w:r>
            <w:r w:rsidRPr="00154588">
              <w:rPr>
                <w:rFonts w:eastAsia="Calibri"/>
                <w:sz w:val="20"/>
                <w:szCs w:val="18"/>
              </w:rPr>
              <w:t xml:space="preserve"> din Legea nr.548</w:t>
            </w:r>
            <w:r w:rsidRPr="00154588">
              <w:rPr>
                <w:sz w:val="20"/>
                <w:szCs w:val="18"/>
                <w:lang w:eastAsia="ro-MD"/>
              </w:rPr>
              <w:t>/</w:t>
            </w:r>
            <w:r w:rsidRPr="00154588">
              <w:rPr>
                <w:rFonts w:eastAsia="Calibri"/>
                <w:sz w:val="20"/>
                <w:szCs w:val="18"/>
              </w:rPr>
              <w:t>1995 cu privire la Banca Naţională a Moldovei.</w:t>
            </w:r>
          </w:p>
          <w:p w14:paraId="5379B6ED" w14:textId="77777777" w:rsidR="00EB243D" w:rsidRPr="00154588" w:rsidRDefault="00EB243D" w:rsidP="008C12B4">
            <w:pPr>
              <w:jc w:val="both"/>
              <w:rPr>
                <w:sz w:val="20"/>
                <w:szCs w:val="18"/>
              </w:rPr>
            </w:pPr>
          </w:p>
        </w:tc>
        <w:tc>
          <w:tcPr>
            <w:tcW w:w="2552" w:type="dxa"/>
          </w:tcPr>
          <w:p w14:paraId="5AB4E9E4" w14:textId="18ED109A" w:rsidR="00EB243D" w:rsidRPr="00154588" w:rsidRDefault="00EB243D" w:rsidP="008C12B4">
            <w:pPr>
              <w:jc w:val="both"/>
              <w:rPr>
                <w:sz w:val="20"/>
                <w:szCs w:val="20"/>
              </w:rPr>
            </w:pPr>
            <w:r w:rsidRPr="00154588">
              <w:rPr>
                <w:sz w:val="20"/>
                <w:szCs w:val="20"/>
              </w:rPr>
              <w:t>Compatibil</w:t>
            </w:r>
          </w:p>
        </w:tc>
        <w:tc>
          <w:tcPr>
            <w:tcW w:w="3118" w:type="dxa"/>
          </w:tcPr>
          <w:p w14:paraId="697DB8A7" w14:textId="77777777" w:rsidR="00EB243D" w:rsidRPr="00154588" w:rsidRDefault="00EB243D" w:rsidP="008C12B4">
            <w:pPr>
              <w:jc w:val="both"/>
              <w:rPr>
                <w:sz w:val="20"/>
                <w:szCs w:val="20"/>
              </w:rPr>
            </w:pPr>
          </w:p>
        </w:tc>
      </w:tr>
      <w:tr w:rsidR="00EB243D" w:rsidRPr="00154588" w14:paraId="67F0A275" w14:textId="77777777" w:rsidTr="00D15C1B">
        <w:trPr>
          <w:jc w:val="center"/>
        </w:trPr>
        <w:tc>
          <w:tcPr>
            <w:tcW w:w="4957" w:type="dxa"/>
            <w:gridSpan w:val="2"/>
          </w:tcPr>
          <w:p w14:paraId="76C3027B" w14:textId="56236AB6" w:rsidR="00EB243D" w:rsidRPr="00154588" w:rsidRDefault="00EB243D" w:rsidP="008C12B4">
            <w:pPr>
              <w:jc w:val="both"/>
              <w:rPr>
                <w:sz w:val="20"/>
                <w:szCs w:val="20"/>
              </w:rPr>
            </w:pPr>
            <w:r w:rsidRPr="00154588">
              <w:rPr>
                <w:sz w:val="20"/>
                <w:szCs w:val="20"/>
              </w:rPr>
              <w:t>(2)   Statele membre prevăd în dreptul intern dreptul de a formula o cale de atac împotriva deciziei de a lua o măsură de prevenire a crizelor sau a deciziei de a exercita o competență, alta decât cea referitoare la măsurile de gestionare a crizelor, în temeiul prezentei directive.</w:t>
            </w:r>
          </w:p>
        </w:tc>
        <w:tc>
          <w:tcPr>
            <w:tcW w:w="4819" w:type="dxa"/>
          </w:tcPr>
          <w:p w14:paraId="2612508E" w14:textId="77777777" w:rsidR="00EB243D" w:rsidRPr="00154588" w:rsidRDefault="00EB243D" w:rsidP="008C12B4">
            <w:pPr>
              <w:ind w:firstLine="567"/>
              <w:jc w:val="both"/>
              <w:rPr>
                <w:rFonts w:eastAsia="Calibri"/>
                <w:sz w:val="20"/>
                <w:szCs w:val="18"/>
              </w:rPr>
            </w:pPr>
            <w:r w:rsidRPr="00154588">
              <w:rPr>
                <w:rFonts w:eastAsia="Calibri"/>
                <w:b/>
                <w:sz w:val="20"/>
                <w:szCs w:val="18"/>
              </w:rPr>
              <w:t>Articolul</w:t>
            </w:r>
            <w:r w:rsidRPr="00154588">
              <w:rPr>
                <w:rFonts w:eastAsia="Calibri"/>
                <w:sz w:val="20"/>
                <w:szCs w:val="18"/>
              </w:rPr>
              <w:t xml:space="preserve"> </w:t>
            </w:r>
            <w:r w:rsidRPr="00154588">
              <w:rPr>
                <w:rFonts w:eastAsia="Calibri"/>
                <w:b/>
                <w:sz w:val="20"/>
                <w:szCs w:val="18"/>
              </w:rPr>
              <w:t>293.</w:t>
            </w:r>
            <w:r w:rsidRPr="00154588">
              <w:rPr>
                <w:rFonts w:eastAsia="Calibri"/>
                <w:sz w:val="20"/>
                <w:szCs w:val="18"/>
              </w:rPr>
              <w:t xml:space="preserve"> – (1) Decizia Băncii Naţionale a Moldovei de a lua o măsură sau de a exercita o competenţă prevăzută de prezenta lege poate fi contestată şi supusă controlului de legalitate în instanţele de contencios administrativ conform prevederilor art.11 şi 11</w:t>
            </w:r>
            <w:r w:rsidRPr="00154588">
              <w:rPr>
                <w:rFonts w:eastAsia="Calibri"/>
                <w:sz w:val="20"/>
                <w:szCs w:val="18"/>
                <w:vertAlign w:val="superscript"/>
              </w:rPr>
              <w:t>1</w:t>
            </w:r>
            <w:r w:rsidRPr="00154588">
              <w:rPr>
                <w:rFonts w:eastAsia="Calibri"/>
                <w:sz w:val="20"/>
                <w:szCs w:val="18"/>
              </w:rPr>
              <w:t xml:space="preserve"> din Legea nr.548/1995 cu privire la Banca Naţională a Moldovei.</w:t>
            </w:r>
          </w:p>
          <w:p w14:paraId="53DAF15A" w14:textId="77777777" w:rsidR="00EB243D" w:rsidRPr="00154588" w:rsidRDefault="00EB243D" w:rsidP="008C12B4">
            <w:pPr>
              <w:jc w:val="both"/>
              <w:rPr>
                <w:sz w:val="20"/>
                <w:szCs w:val="18"/>
              </w:rPr>
            </w:pPr>
          </w:p>
        </w:tc>
        <w:tc>
          <w:tcPr>
            <w:tcW w:w="2552" w:type="dxa"/>
          </w:tcPr>
          <w:p w14:paraId="26AF6BEB" w14:textId="59A2947F" w:rsidR="00EB243D" w:rsidRPr="00154588" w:rsidRDefault="00EB243D" w:rsidP="008C12B4">
            <w:pPr>
              <w:jc w:val="both"/>
              <w:rPr>
                <w:sz w:val="20"/>
                <w:szCs w:val="20"/>
              </w:rPr>
            </w:pPr>
            <w:r w:rsidRPr="00154588">
              <w:rPr>
                <w:sz w:val="20"/>
                <w:szCs w:val="20"/>
              </w:rPr>
              <w:t>Compatibil</w:t>
            </w:r>
          </w:p>
        </w:tc>
        <w:tc>
          <w:tcPr>
            <w:tcW w:w="3118" w:type="dxa"/>
          </w:tcPr>
          <w:p w14:paraId="32CBD29D" w14:textId="77777777" w:rsidR="00EB243D" w:rsidRPr="00154588" w:rsidRDefault="00EB243D" w:rsidP="008C12B4">
            <w:pPr>
              <w:jc w:val="both"/>
              <w:rPr>
                <w:sz w:val="20"/>
                <w:szCs w:val="20"/>
              </w:rPr>
            </w:pPr>
          </w:p>
        </w:tc>
      </w:tr>
      <w:tr w:rsidR="00EB243D" w:rsidRPr="00154588" w14:paraId="0A53C646" w14:textId="77777777" w:rsidTr="00D15C1B">
        <w:trPr>
          <w:jc w:val="center"/>
        </w:trPr>
        <w:tc>
          <w:tcPr>
            <w:tcW w:w="4957" w:type="dxa"/>
            <w:gridSpan w:val="2"/>
          </w:tcPr>
          <w:p w14:paraId="0BBA5DF8" w14:textId="57CD0F5D" w:rsidR="00EB243D" w:rsidRPr="00154588" w:rsidRDefault="00EB243D" w:rsidP="008C12B4">
            <w:pPr>
              <w:rPr>
                <w:sz w:val="20"/>
                <w:szCs w:val="20"/>
              </w:rPr>
            </w:pPr>
            <w:r w:rsidRPr="00154588">
              <w:rPr>
                <w:sz w:val="20"/>
                <w:szCs w:val="20"/>
              </w:rPr>
              <w:t>(3)   Statele membre se asigură că toate persoanele afectate de decizia de a lua măsuri de gestionare a crizelor au dreptul la o cale de atac împotriva deciziei respective. Statele membre se asigură că controlul este rapid și că instanțele naționale utilizează evaluări economice complexe ale faptelor realizate de autoritatea de rezoluție ca bază a propriei lor evaluări.</w:t>
            </w:r>
          </w:p>
        </w:tc>
        <w:tc>
          <w:tcPr>
            <w:tcW w:w="4819" w:type="dxa"/>
          </w:tcPr>
          <w:p w14:paraId="30E42205" w14:textId="32A1667C" w:rsidR="00EB243D" w:rsidRPr="00154588" w:rsidRDefault="00EB243D" w:rsidP="008C12B4">
            <w:pPr>
              <w:ind w:firstLine="567"/>
              <w:jc w:val="both"/>
              <w:rPr>
                <w:rFonts w:eastAsia="Calibri"/>
                <w:sz w:val="20"/>
                <w:szCs w:val="18"/>
              </w:rPr>
            </w:pPr>
            <w:r w:rsidRPr="00154588">
              <w:rPr>
                <w:rFonts w:eastAsia="Calibri"/>
                <w:b/>
                <w:sz w:val="20"/>
                <w:szCs w:val="18"/>
              </w:rPr>
              <w:t>Articolul</w:t>
            </w:r>
            <w:r w:rsidRPr="00154588">
              <w:rPr>
                <w:rFonts w:eastAsia="Calibri"/>
                <w:sz w:val="20"/>
                <w:szCs w:val="18"/>
              </w:rPr>
              <w:t xml:space="preserve"> </w:t>
            </w:r>
            <w:r w:rsidRPr="00154588">
              <w:rPr>
                <w:rFonts w:eastAsia="Calibri"/>
                <w:b/>
                <w:sz w:val="20"/>
                <w:szCs w:val="18"/>
              </w:rPr>
              <w:t>293.</w:t>
            </w:r>
            <w:r w:rsidRPr="00154588">
              <w:rPr>
                <w:rFonts w:eastAsia="Calibri"/>
                <w:sz w:val="20"/>
                <w:szCs w:val="18"/>
              </w:rPr>
              <w:t xml:space="preserve"> – (2) În cazul utilizării căilor de contestare în instanţă, procedura judiciară se va desfăşura cu celeritate.</w:t>
            </w:r>
          </w:p>
          <w:p w14:paraId="119705E3" w14:textId="77777777" w:rsidR="00EB243D" w:rsidRPr="00154588" w:rsidRDefault="00EB243D" w:rsidP="008C12B4">
            <w:pPr>
              <w:jc w:val="both"/>
              <w:rPr>
                <w:sz w:val="20"/>
                <w:szCs w:val="18"/>
              </w:rPr>
            </w:pPr>
          </w:p>
        </w:tc>
        <w:tc>
          <w:tcPr>
            <w:tcW w:w="2552" w:type="dxa"/>
          </w:tcPr>
          <w:p w14:paraId="753B0457" w14:textId="4D27C0F3" w:rsidR="00EB243D" w:rsidRPr="00154588" w:rsidRDefault="00EB243D" w:rsidP="008C12B4">
            <w:pPr>
              <w:jc w:val="both"/>
              <w:rPr>
                <w:sz w:val="20"/>
                <w:szCs w:val="20"/>
              </w:rPr>
            </w:pPr>
            <w:r w:rsidRPr="00154588">
              <w:rPr>
                <w:sz w:val="20"/>
                <w:szCs w:val="20"/>
              </w:rPr>
              <w:t>Compatibil</w:t>
            </w:r>
          </w:p>
        </w:tc>
        <w:tc>
          <w:tcPr>
            <w:tcW w:w="3118" w:type="dxa"/>
          </w:tcPr>
          <w:p w14:paraId="74226321" w14:textId="77777777" w:rsidR="00EB243D" w:rsidRPr="00154588" w:rsidRDefault="00EB243D" w:rsidP="008C12B4">
            <w:pPr>
              <w:jc w:val="both"/>
              <w:rPr>
                <w:sz w:val="20"/>
                <w:szCs w:val="20"/>
              </w:rPr>
            </w:pPr>
          </w:p>
        </w:tc>
      </w:tr>
      <w:tr w:rsidR="00EB243D" w:rsidRPr="00154588" w14:paraId="2487C8C6" w14:textId="77777777" w:rsidTr="00D15C1B">
        <w:trPr>
          <w:jc w:val="center"/>
        </w:trPr>
        <w:tc>
          <w:tcPr>
            <w:tcW w:w="4957" w:type="dxa"/>
            <w:gridSpan w:val="2"/>
          </w:tcPr>
          <w:p w14:paraId="49E64FCA" w14:textId="77777777" w:rsidR="00EB243D" w:rsidRPr="00154588" w:rsidRDefault="00EB243D" w:rsidP="008C12B4">
            <w:pPr>
              <w:jc w:val="both"/>
              <w:rPr>
                <w:sz w:val="20"/>
                <w:szCs w:val="20"/>
              </w:rPr>
            </w:pPr>
            <w:r w:rsidRPr="00154588">
              <w:rPr>
                <w:sz w:val="20"/>
                <w:szCs w:val="20"/>
              </w:rPr>
              <w:t>(4)   Dreptul la o cale de atac menționat la alineatul (3) se exercită sub rezerva următoarelor dispoziții:</w:t>
            </w:r>
          </w:p>
          <w:p w14:paraId="0BB80B51" w14:textId="77777777" w:rsidR="00EB243D" w:rsidRPr="00154588" w:rsidRDefault="00EB243D" w:rsidP="008C12B4">
            <w:pPr>
              <w:jc w:val="both"/>
              <w:rPr>
                <w:sz w:val="20"/>
                <w:szCs w:val="20"/>
              </w:rPr>
            </w:pPr>
          </w:p>
          <w:p w14:paraId="5E55B3D4" w14:textId="07B02640" w:rsidR="00EB243D" w:rsidRPr="00154588" w:rsidRDefault="00EB243D" w:rsidP="008C12B4">
            <w:pPr>
              <w:jc w:val="both"/>
              <w:rPr>
                <w:sz w:val="20"/>
                <w:szCs w:val="20"/>
              </w:rPr>
            </w:pPr>
            <w:r w:rsidRPr="00154588">
              <w:rPr>
                <w:sz w:val="20"/>
                <w:szCs w:val="20"/>
              </w:rPr>
              <w:t>(a) introducerea unei căi de atac nu implică suspendarea automată a efectelor deciziei contestate;</w:t>
            </w:r>
          </w:p>
          <w:p w14:paraId="18E0AC00" w14:textId="77777777" w:rsidR="00EB243D" w:rsidRPr="00154588" w:rsidRDefault="00EB243D" w:rsidP="008C12B4">
            <w:pPr>
              <w:jc w:val="both"/>
              <w:rPr>
                <w:sz w:val="20"/>
                <w:szCs w:val="20"/>
              </w:rPr>
            </w:pPr>
          </w:p>
          <w:p w14:paraId="109C5FDC" w14:textId="257FCED2" w:rsidR="00EB243D" w:rsidRPr="00154588" w:rsidRDefault="00EB243D" w:rsidP="008C12B4">
            <w:pPr>
              <w:jc w:val="both"/>
              <w:rPr>
                <w:sz w:val="20"/>
                <w:szCs w:val="20"/>
              </w:rPr>
            </w:pPr>
            <w:r w:rsidRPr="00154588">
              <w:rPr>
                <w:sz w:val="20"/>
                <w:szCs w:val="20"/>
              </w:rPr>
              <w:t>(b) decizia autorității de rezoluție este executorie imediat și dă naștere unei prezumții refutabile potrivit căreia suspendarea executării deciziei ar fi contrară interesului public.</w:t>
            </w:r>
          </w:p>
          <w:p w14:paraId="5A164194" w14:textId="77777777" w:rsidR="00EB243D" w:rsidRPr="00154588" w:rsidRDefault="00EB243D" w:rsidP="008C12B4">
            <w:pPr>
              <w:jc w:val="both"/>
              <w:rPr>
                <w:sz w:val="20"/>
                <w:szCs w:val="20"/>
              </w:rPr>
            </w:pPr>
          </w:p>
          <w:p w14:paraId="465B820B" w14:textId="77777777" w:rsidR="00EB243D" w:rsidRPr="00154588" w:rsidRDefault="00EB243D" w:rsidP="008C12B4">
            <w:pPr>
              <w:jc w:val="both"/>
              <w:rPr>
                <w:sz w:val="20"/>
                <w:szCs w:val="20"/>
              </w:rPr>
            </w:pPr>
          </w:p>
          <w:p w14:paraId="231814DE" w14:textId="22DEAF9F" w:rsidR="00EB243D" w:rsidRPr="00154588" w:rsidRDefault="00EB243D" w:rsidP="008C12B4">
            <w:pPr>
              <w:jc w:val="both"/>
              <w:rPr>
                <w:sz w:val="20"/>
                <w:szCs w:val="20"/>
              </w:rPr>
            </w:pPr>
            <w:r w:rsidRPr="00154588">
              <w:rPr>
                <w:sz w:val="20"/>
                <w:szCs w:val="20"/>
              </w:rPr>
              <w:t xml:space="preserve">Atunci când acest lucru este necesar pentru a proteja interesul unor părți terțe care, acționând cu bună-credință, au cumpărat acțiuni, alte instrumente de proprietate, active, drepturi sau pasive ale unei instituții aflate în rezoluție, în temeiul utilizării instrumentelor de rezoluție sau al exercitării competențelor de rezoluție de către autoritățile de </w:t>
            </w:r>
            <w:r w:rsidRPr="00154588">
              <w:rPr>
                <w:sz w:val="20"/>
                <w:szCs w:val="20"/>
              </w:rPr>
              <w:lastRenderedPageBreak/>
              <w:t>rezoluție, anularea unei decizii luate de o autoritate de rezoluție nu afectează niciun act administrativ adoptat ulterior și nicio tranzacție încheiată ulterior de către autoritatea de rezoluție în cauză pe baza deciziei sale anulate. În acest caz, căile de recurs împotriva unei decizii sau măsuri prejudiciabile a autorităților de rezoluție trebuie să se limiteze la acordarea de compensații pentru pierderile suferite de reclamant ca urmare a deciziei sau a măsurii respective.</w:t>
            </w:r>
          </w:p>
        </w:tc>
        <w:tc>
          <w:tcPr>
            <w:tcW w:w="4819" w:type="dxa"/>
          </w:tcPr>
          <w:p w14:paraId="5F13B86B" w14:textId="77777777" w:rsidR="00EB243D" w:rsidRPr="00154588" w:rsidRDefault="00EB243D" w:rsidP="008C12B4">
            <w:pPr>
              <w:ind w:firstLine="567"/>
              <w:jc w:val="both"/>
              <w:rPr>
                <w:rFonts w:eastAsia="Calibri"/>
                <w:sz w:val="20"/>
                <w:szCs w:val="18"/>
              </w:rPr>
            </w:pPr>
            <w:r w:rsidRPr="00154588">
              <w:rPr>
                <w:rFonts w:eastAsia="Calibri"/>
                <w:b/>
                <w:sz w:val="20"/>
                <w:szCs w:val="18"/>
              </w:rPr>
              <w:lastRenderedPageBreak/>
              <w:t>Articolul</w:t>
            </w:r>
            <w:r w:rsidRPr="00154588">
              <w:rPr>
                <w:rFonts w:eastAsia="Calibri"/>
                <w:sz w:val="20"/>
                <w:szCs w:val="18"/>
              </w:rPr>
              <w:t xml:space="preserve"> </w:t>
            </w:r>
            <w:r w:rsidRPr="00154588">
              <w:rPr>
                <w:rFonts w:eastAsia="Calibri"/>
                <w:b/>
                <w:sz w:val="20"/>
                <w:szCs w:val="18"/>
              </w:rPr>
              <w:t>294.</w:t>
            </w:r>
            <w:r w:rsidRPr="00154588">
              <w:rPr>
                <w:rFonts w:eastAsia="Calibri"/>
                <w:sz w:val="20"/>
                <w:szCs w:val="18"/>
              </w:rPr>
              <w:t xml:space="preserve"> – (1) Contestarea, potrivit art.293, a unei decizii a Băncii Naţionale a Moldovei nu implică suspendarea de drept a efectelor deciziei contestate, care este executorie imediat.</w:t>
            </w:r>
          </w:p>
          <w:p w14:paraId="1296CF8B" w14:textId="77777777" w:rsidR="00EB243D" w:rsidRPr="00154588" w:rsidRDefault="00EB243D" w:rsidP="008C12B4">
            <w:pPr>
              <w:ind w:firstLine="567"/>
              <w:jc w:val="both"/>
              <w:rPr>
                <w:rFonts w:eastAsia="Calibri"/>
                <w:sz w:val="20"/>
                <w:szCs w:val="18"/>
              </w:rPr>
            </w:pPr>
            <w:r w:rsidRPr="00154588">
              <w:rPr>
                <w:rFonts w:eastAsia="Calibri"/>
                <w:sz w:val="20"/>
                <w:szCs w:val="18"/>
              </w:rPr>
              <w:t>(2) În aplicarea prevederilor alin.(1), suspendarea efectelor deciziei Băncii Naţionale a Moldovei este prezumată, pînă la proba contrară, a fi împotriva interesului public.</w:t>
            </w:r>
          </w:p>
          <w:p w14:paraId="3EA4C5D6" w14:textId="77777777" w:rsidR="00EB243D" w:rsidRPr="00154588" w:rsidRDefault="00EB243D" w:rsidP="008C12B4">
            <w:pPr>
              <w:ind w:firstLine="567"/>
              <w:jc w:val="both"/>
              <w:rPr>
                <w:rFonts w:eastAsia="Calibri"/>
                <w:sz w:val="20"/>
                <w:szCs w:val="20"/>
              </w:rPr>
            </w:pPr>
            <w:r w:rsidRPr="00154588">
              <w:rPr>
                <w:rFonts w:eastAsia="Calibri"/>
                <w:sz w:val="20"/>
                <w:szCs w:val="20"/>
              </w:rPr>
              <w:t xml:space="preserve">(3) Atunci cînd acest lucru este necesar pentru a proteja interesul unor părţi terţe care, acţionînd cu bună-credinţă, au cumpărat acţiuni ori alte instrumente de proprietate, active, drepturi sau obligaţii ale unei instituții supuse rezoluţiei, în temeiul utilizării instrumentelor de rezoluţie sau al exercitării competenţelor de rezoluţie de către Banca Naţională a Moldovei, în calitate de autoritate de rezoluţie, în cazul anulării deciziei prevăzute la alin.(1) se menţin toate efectele produse în baza acesteia şi a oricărui act sau oricărei operaţiuni subsecvente de punere în </w:t>
            </w:r>
            <w:r w:rsidRPr="00154588">
              <w:rPr>
                <w:rFonts w:eastAsia="Calibri"/>
                <w:sz w:val="20"/>
                <w:szCs w:val="20"/>
              </w:rPr>
              <w:lastRenderedPageBreak/>
              <w:t>aplicare a deciziei anulate. În acest caz, măsurile reparatorii ce pot fi dispuse în legătură cu o decizie sau măsură prejudiciabilă a Băncii Naţionale a Moldovei, în calitate de autoritate de rezoluţie, se limitează la acordarea de compensaţii de către aceasta pentru pierderile suferite de reclamant ca urmare a deciziei sau a măsurii respective, dacă aceste pierderi nu sînt acoperite din fondul de rezoluţie bancară în conformitate cu prevederile prezentei legi.</w:t>
            </w:r>
          </w:p>
          <w:p w14:paraId="52468160" w14:textId="77777777" w:rsidR="00EB243D" w:rsidRPr="00154588" w:rsidRDefault="00EB243D" w:rsidP="008C12B4">
            <w:pPr>
              <w:ind w:firstLine="567"/>
              <w:jc w:val="both"/>
              <w:rPr>
                <w:rFonts w:eastAsia="Calibri"/>
                <w:sz w:val="20"/>
                <w:szCs w:val="18"/>
              </w:rPr>
            </w:pPr>
            <w:r w:rsidRPr="00154588">
              <w:rPr>
                <w:rFonts w:eastAsia="Calibri"/>
                <w:sz w:val="20"/>
                <w:szCs w:val="18"/>
              </w:rPr>
              <w:t>(4) Dispoziţiile art.144</w:t>
            </w:r>
            <w:r w:rsidRPr="00154588">
              <w:rPr>
                <w:rFonts w:eastAsia="Calibri"/>
                <w:sz w:val="20"/>
                <w:szCs w:val="18"/>
                <w:vertAlign w:val="superscript"/>
              </w:rPr>
              <w:t>1</w:t>
            </w:r>
            <w:r w:rsidRPr="00154588">
              <w:rPr>
                <w:rFonts w:eastAsia="Calibri"/>
                <w:sz w:val="20"/>
                <w:szCs w:val="18"/>
              </w:rPr>
              <w:t xml:space="preserve"> alin.(1)–(5) din Legea nr.202/2017 se aplică, </w:t>
            </w:r>
            <w:r w:rsidRPr="00154588">
              <w:rPr>
                <w:rFonts w:eastAsia="Calibri"/>
                <w:i/>
                <w:sz w:val="20"/>
                <w:szCs w:val="18"/>
              </w:rPr>
              <w:t>mutatis mutandis</w:t>
            </w:r>
            <w:r w:rsidRPr="00154588">
              <w:rPr>
                <w:rFonts w:eastAsia="Calibri"/>
                <w:sz w:val="20"/>
                <w:szCs w:val="18"/>
              </w:rPr>
              <w:t>, la acordarea de compensaţii potrivit alin.(3).</w:t>
            </w:r>
          </w:p>
          <w:p w14:paraId="75DE2985" w14:textId="77777777" w:rsidR="00EB243D" w:rsidRPr="00154588" w:rsidRDefault="00EB243D" w:rsidP="008C12B4">
            <w:pPr>
              <w:ind w:firstLine="567"/>
              <w:jc w:val="both"/>
              <w:rPr>
                <w:rFonts w:eastAsia="Calibri"/>
                <w:sz w:val="20"/>
                <w:szCs w:val="20"/>
              </w:rPr>
            </w:pPr>
            <w:r w:rsidRPr="00154588">
              <w:rPr>
                <w:rFonts w:eastAsia="Calibri"/>
                <w:sz w:val="20"/>
                <w:szCs w:val="20"/>
              </w:rPr>
              <w:t>(5) Dispoziţiile art.144</w:t>
            </w:r>
            <w:r w:rsidRPr="00154588">
              <w:rPr>
                <w:rFonts w:eastAsia="Calibri"/>
                <w:sz w:val="20"/>
                <w:szCs w:val="20"/>
                <w:vertAlign w:val="superscript"/>
              </w:rPr>
              <w:t>2</w:t>
            </w:r>
            <w:r w:rsidRPr="00154588">
              <w:rPr>
                <w:rFonts w:eastAsia="Calibri"/>
                <w:sz w:val="20"/>
                <w:szCs w:val="20"/>
              </w:rPr>
              <w:t xml:space="preserve"> din Legea nr.202/2017 se aplică, </w:t>
            </w:r>
            <w:r w:rsidRPr="00154588">
              <w:rPr>
                <w:rFonts w:eastAsia="Calibri"/>
                <w:i/>
                <w:sz w:val="20"/>
                <w:szCs w:val="20"/>
              </w:rPr>
              <w:t>mutatis mutandis</w:t>
            </w:r>
            <w:r w:rsidRPr="00154588">
              <w:rPr>
                <w:rFonts w:eastAsia="Calibri"/>
                <w:sz w:val="20"/>
                <w:szCs w:val="20"/>
              </w:rPr>
              <w:t>, la acordarea de compensaţii persoanelor care deţineau calitatea de acţionar al instituției de credit, la data emiterii deciziei prevăzute la lit.a) şi b) ale prezentului alineat, pentru prejudiciul cauzat printr-o:</w:t>
            </w:r>
          </w:p>
          <w:p w14:paraId="66EBD7DD" w14:textId="77777777" w:rsidR="00EB243D" w:rsidRPr="00154588" w:rsidRDefault="00EB243D" w:rsidP="008C12B4">
            <w:pPr>
              <w:ind w:firstLine="567"/>
              <w:jc w:val="both"/>
              <w:rPr>
                <w:rFonts w:eastAsia="Calibri"/>
                <w:sz w:val="20"/>
                <w:szCs w:val="20"/>
              </w:rPr>
            </w:pPr>
            <w:r w:rsidRPr="00154588">
              <w:rPr>
                <w:rFonts w:eastAsia="Calibri"/>
                <w:sz w:val="20"/>
                <w:szCs w:val="20"/>
              </w:rPr>
              <w:t>a) decizie ilegală de a supune instituția de credit rezoluţiei; sau</w:t>
            </w:r>
          </w:p>
          <w:p w14:paraId="11EF3EE2" w14:textId="7289D3E2" w:rsidR="00EB243D" w:rsidRPr="00154588" w:rsidRDefault="00EB243D" w:rsidP="008C12B4">
            <w:pPr>
              <w:ind w:firstLine="567"/>
              <w:jc w:val="both"/>
              <w:rPr>
                <w:rFonts w:eastAsia="Calibri"/>
                <w:sz w:val="24"/>
                <w:szCs w:val="24"/>
              </w:rPr>
            </w:pPr>
            <w:r w:rsidRPr="00154588">
              <w:rPr>
                <w:rFonts w:eastAsia="Calibri"/>
                <w:sz w:val="20"/>
                <w:szCs w:val="20"/>
              </w:rPr>
              <w:t>b) decizie ilegală care are drept efect încetarea dreptului de proprietate asupra acţiunilor instituției supuse rezoluţiei.</w:t>
            </w:r>
          </w:p>
        </w:tc>
        <w:tc>
          <w:tcPr>
            <w:tcW w:w="2552" w:type="dxa"/>
          </w:tcPr>
          <w:p w14:paraId="5ACCEA79" w14:textId="09220AF0" w:rsidR="00EB243D" w:rsidRPr="00154588" w:rsidRDefault="00EB243D" w:rsidP="008C12B4">
            <w:pPr>
              <w:jc w:val="both"/>
              <w:rPr>
                <w:sz w:val="20"/>
                <w:szCs w:val="20"/>
              </w:rPr>
            </w:pPr>
            <w:r w:rsidRPr="00154588">
              <w:rPr>
                <w:sz w:val="20"/>
                <w:szCs w:val="20"/>
              </w:rPr>
              <w:lastRenderedPageBreak/>
              <w:t>Compatibil</w:t>
            </w:r>
          </w:p>
        </w:tc>
        <w:tc>
          <w:tcPr>
            <w:tcW w:w="3118" w:type="dxa"/>
          </w:tcPr>
          <w:p w14:paraId="024C09A4" w14:textId="77777777" w:rsidR="00EB243D" w:rsidRPr="00154588" w:rsidRDefault="00EB243D" w:rsidP="008C12B4">
            <w:pPr>
              <w:jc w:val="both"/>
              <w:rPr>
                <w:sz w:val="20"/>
                <w:szCs w:val="20"/>
              </w:rPr>
            </w:pPr>
          </w:p>
        </w:tc>
      </w:tr>
      <w:tr w:rsidR="00EB243D" w:rsidRPr="00154588" w14:paraId="02A68D39" w14:textId="77777777" w:rsidTr="00D15C1B">
        <w:trPr>
          <w:jc w:val="center"/>
        </w:trPr>
        <w:tc>
          <w:tcPr>
            <w:tcW w:w="4957" w:type="dxa"/>
            <w:gridSpan w:val="2"/>
          </w:tcPr>
          <w:p w14:paraId="204D1936" w14:textId="77777777" w:rsidR="00EB243D" w:rsidRPr="00154588" w:rsidRDefault="00EB243D" w:rsidP="008C12B4">
            <w:pPr>
              <w:jc w:val="both"/>
              <w:rPr>
                <w:b/>
                <w:sz w:val="20"/>
                <w:szCs w:val="20"/>
              </w:rPr>
            </w:pPr>
            <w:r w:rsidRPr="00154588">
              <w:rPr>
                <w:b/>
                <w:sz w:val="20"/>
                <w:szCs w:val="20"/>
              </w:rPr>
              <w:t>Articolul 86</w:t>
            </w:r>
          </w:p>
          <w:p w14:paraId="48CCFE83" w14:textId="77777777" w:rsidR="00EB243D" w:rsidRPr="00154588" w:rsidRDefault="00EB243D" w:rsidP="008C12B4">
            <w:pPr>
              <w:jc w:val="both"/>
              <w:rPr>
                <w:b/>
                <w:sz w:val="20"/>
                <w:szCs w:val="20"/>
              </w:rPr>
            </w:pPr>
          </w:p>
          <w:p w14:paraId="0D820106" w14:textId="7B4CD5E2" w:rsidR="00EB243D" w:rsidRPr="00154588" w:rsidRDefault="00EB243D" w:rsidP="008C12B4">
            <w:pPr>
              <w:jc w:val="both"/>
              <w:rPr>
                <w:sz w:val="20"/>
                <w:szCs w:val="20"/>
              </w:rPr>
            </w:pPr>
            <w:r w:rsidRPr="00154588">
              <w:rPr>
                <w:b/>
                <w:sz w:val="20"/>
                <w:szCs w:val="20"/>
              </w:rPr>
              <w:t>Restricții referitoare la alte proceduri judiciare</w:t>
            </w:r>
          </w:p>
        </w:tc>
        <w:tc>
          <w:tcPr>
            <w:tcW w:w="4819" w:type="dxa"/>
          </w:tcPr>
          <w:p w14:paraId="4BFD95C7" w14:textId="77777777" w:rsidR="00EB243D" w:rsidRPr="00154588" w:rsidRDefault="00EB243D" w:rsidP="008C12B4">
            <w:pPr>
              <w:jc w:val="both"/>
              <w:rPr>
                <w:sz w:val="20"/>
                <w:szCs w:val="20"/>
              </w:rPr>
            </w:pPr>
          </w:p>
        </w:tc>
        <w:tc>
          <w:tcPr>
            <w:tcW w:w="2552" w:type="dxa"/>
          </w:tcPr>
          <w:p w14:paraId="593899EA" w14:textId="77777777" w:rsidR="00EB243D" w:rsidRPr="00154588" w:rsidRDefault="00EB243D" w:rsidP="008C12B4">
            <w:pPr>
              <w:jc w:val="both"/>
              <w:rPr>
                <w:sz w:val="20"/>
                <w:szCs w:val="20"/>
              </w:rPr>
            </w:pPr>
          </w:p>
        </w:tc>
        <w:tc>
          <w:tcPr>
            <w:tcW w:w="3118" w:type="dxa"/>
          </w:tcPr>
          <w:p w14:paraId="6B757FEB" w14:textId="77777777" w:rsidR="00EB243D" w:rsidRPr="00154588" w:rsidRDefault="00EB243D" w:rsidP="008C12B4">
            <w:pPr>
              <w:jc w:val="both"/>
              <w:rPr>
                <w:sz w:val="20"/>
                <w:szCs w:val="20"/>
              </w:rPr>
            </w:pPr>
          </w:p>
        </w:tc>
      </w:tr>
      <w:tr w:rsidR="00EB243D" w:rsidRPr="00154588" w14:paraId="6E7BB67C" w14:textId="77777777" w:rsidTr="00D15C1B">
        <w:trPr>
          <w:jc w:val="center"/>
        </w:trPr>
        <w:tc>
          <w:tcPr>
            <w:tcW w:w="4957" w:type="dxa"/>
            <w:gridSpan w:val="2"/>
          </w:tcPr>
          <w:p w14:paraId="071C1B18" w14:textId="1CFBAC21" w:rsidR="00EB243D" w:rsidRPr="00154588" w:rsidRDefault="00EB243D" w:rsidP="008C12B4">
            <w:pPr>
              <w:jc w:val="both"/>
              <w:rPr>
                <w:sz w:val="20"/>
                <w:szCs w:val="20"/>
              </w:rPr>
            </w:pPr>
            <w:r w:rsidRPr="00154588">
              <w:rPr>
                <w:sz w:val="20"/>
                <w:szCs w:val="20"/>
              </w:rPr>
              <w:t>(1)   Fără a aduce atingere articolului 82 alineatul (2) litera (b), statele membre se asigură că, în privința unei instituții aflate în rezoluție sau a unei instituții sau a unei entități menționate la articolul 1 alineatul (1) litera (b), (c) sau (d) pentru care se consideră că sunt îndeplinite condițiile pentru procedura de rezoluție, procedura obișnuită de insolvență nu este declanșată decât la inițiativa autorității de rezoluție, precum și că decizia de aplicare a procedurii obișnuite de insolvență în cazul unei instituții sau al unei entități menționate la articolul 1 alineatul (1) litera (b), (c) sau (d) nu poate fi luată decât cu consimțământul autorității de rezoluție.</w:t>
            </w:r>
          </w:p>
        </w:tc>
        <w:tc>
          <w:tcPr>
            <w:tcW w:w="4819" w:type="dxa"/>
          </w:tcPr>
          <w:p w14:paraId="47E1E8ED" w14:textId="77777777" w:rsidR="00EB243D" w:rsidRPr="00154588" w:rsidRDefault="00EB243D" w:rsidP="008C12B4">
            <w:pPr>
              <w:ind w:firstLine="567"/>
              <w:jc w:val="both"/>
              <w:rPr>
                <w:rFonts w:eastAsia="Calibri"/>
                <w:sz w:val="20"/>
                <w:szCs w:val="20"/>
              </w:rPr>
            </w:pPr>
            <w:r w:rsidRPr="00154588">
              <w:rPr>
                <w:rFonts w:eastAsia="Calibri"/>
                <w:b/>
                <w:sz w:val="20"/>
                <w:szCs w:val="20"/>
              </w:rPr>
              <w:t>Articolul 294</w:t>
            </w:r>
            <w:r w:rsidRPr="00154588">
              <w:rPr>
                <w:rFonts w:eastAsia="Calibri"/>
                <w:b/>
                <w:sz w:val="20"/>
                <w:szCs w:val="20"/>
                <w:vertAlign w:val="superscript"/>
              </w:rPr>
              <w:t>1</w:t>
            </w:r>
            <w:r w:rsidRPr="00154588">
              <w:rPr>
                <w:rFonts w:eastAsia="Calibri"/>
                <w:b/>
                <w:sz w:val="20"/>
                <w:szCs w:val="20"/>
              </w:rPr>
              <w:t xml:space="preserve">. </w:t>
            </w:r>
            <w:r w:rsidRPr="00154588">
              <w:rPr>
                <w:rFonts w:eastAsia="Calibri"/>
                <w:sz w:val="20"/>
                <w:szCs w:val="20"/>
              </w:rPr>
              <w:t>– (1) Fără a aduce atingere art.282 lit.b), Banca Națională a Moldovei se asigură că, unei instituții aflate în rezoluție sau a unei instituții sau a unei entități menționate la art.1 alin.(1) lit.b), c) sau d) pentru care se consideră că sunt îndeplinite condițiile de declanșare a procedurii de rezoluție, procedura obișnuită de insolvabilitate nu este declanșată decât la inițiativa autorității de rezoluție, precum și că decizia de aplicare a procedurii obișnuite de insolvabilitate în cazul unei instituții sau al unei entități menționate la art.1 alin.(1) lit.b), c) sau d) nu poate fi luată decât cu consimțământul autorității de rezoluție.</w:t>
            </w:r>
          </w:p>
          <w:p w14:paraId="40B1A5A3" w14:textId="77777777" w:rsidR="00EB243D" w:rsidRPr="00154588" w:rsidRDefault="00EB243D" w:rsidP="008C12B4">
            <w:pPr>
              <w:ind w:firstLine="567"/>
              <w:jc w:val="both"/>
              <w:rPr>
                <w:rFonts w:eastAsia="Calibri"/>
                <w:sz w:val="20"/>
                <w:szCs w:val="20"/>
              </w:rPr>
            </w:pPr>
            <w:r w:rsidRPr="00154588">
              <w:rPr>
                <w:rFonts w:eastAsia="Calibri"/>
                <w:sz w:val="20"/>
                <w:szCs w:val="20"/>
              </w:rPr>
              <w:t xml:space="preserve">(2) În sensul alin (1), Banca Națională a Moldovei se asigură că: </w:t>
            </w:r>
          </w:p>
          <w:p w14:paraId="7A2C3A60" w14:textId="77777777" w:rsidR="00EB243D" w:rsidRPr="00154588" w:rsidRDefault="00EB243D" w:rsidP="008C12B4">
            <w:pPr>
              <w:ind w:firstLine="567"/>
              <w:jc w:val="both"/>
              <w:rPr>
                <w:rFonts w:eastAsia="Calibri"/>
                <w:sz w:val="20"/>
                <w:szCs w:val="20"/>
              </w:rPr>
            </w:pPr>
            <w:r w:rsidRPr="00154588">
              <w:rPr>
                <w:rFonts w:eastAsia="Calibri"/>
                <w:sz w:val="20"/>
                <w:szCs w:val="20"/>
              </w:rPr>
              <w:t xml:space="preserve">a) autorităților competente și autorităților de rezoluție li se notifică fără întârziere orice cerere de deschidere a procedurii obișnuite de insolvabilitate </w:t>
            </w:r>
            <w:r w:rsidRPr="00154588">
              <w:rPr>
                <w:rFonts w:eastAsia="Calibri"/>
                <w:sz w:val="20"/>
                <w:szCs w:val="20"/>
              </w:rPr>
              <w:lastRenderedPageBreak/>
              <w:t>în raport cu o instituție sau cu o entitate menționată la art.1 alin.(1) lit.b), c) sau d), indiferent dacă instituția sau entitatea respectivă se află în rezoluție sau dacă a fost făcută publică o decizie în conformitate cu art.286-287;</w:t>
            </w:r>
          </w:p>
          <w:p w14:paraId="0DC85EC1" w14:textId="77777777" w:rsidR="00EB243D" w:rsidRPr="00154588" w:rsidRDefault="00EB243D" w:rsidP="008C12B4">
            <w:pPr>
              <w:ind w:firstLine="567"/>
              <w:jc w:val="both"/>
              <w:rPr>
                <w:rFonts w:eastAsia="Calibri"/>
                <w:sz w:val="20"/>
                <w:szCs w:val="20"/>
              </w:rPr>
            </w:pPr>
            <w:r w:rsidRPr="00154588">
              <w:rPr>
                <w:rFonts w:eastAsia="Calibri"/>
                <w:sz w:val="20"/>
                <w:szCs w:val="20"/>
              </w:rPr>
              <w:t>b) cererea nu este stabilită decât dacă s-au făcut notificările menționate la lit.a) și dacă survine una dintre următoarele situații:</w:t>
            </w:r>
          </w:p>
          <w:p w14:paraId="5AE7B88D" w14:textId="1DBAB4B8" w:rsidR="00EB243D" w:rsidRPr="00154588" w:rsidRDefault="00EB243D" w:rsidP="008C12B4">
            <w:pPr>
              <w:ind w:firstLine="567"/>
              <w:jc w:val="both"/>
              <w:rPr>
                <w:rFonts w:eastAsia="Calibri"/>
                <w:sz w:val="20"/>
                <w:szCs w:val="20"/>
              </w:rPr>
            </w:pPr>
            <w:r w:rsidRPr="00154588">
              <w:rPr>
                <w:rFonts w:eastAsia="Calibri"/>
                <w:sz w:val="20"/>
                <w:szCs w:val="20"/>
              </w:rPr>
              <w:t>i) autoritatea de rezoluție a informat autoritățile responsabile de procedura obișnuită de insolvabilitate cu privire la intenția sa de a nu lua nicio măsură de rezoluție în raport cu instituția sau cu entitatea menționată la art.1 alin.(1) lit.b), c) sau d);</w:t>
            </w:r>
          </w:p>
          <w:p w14:paraId="536AF44E" w14:textId="31AB4F2C" w:rsidR="00EB243D" w:rsidRPr="00154588" w:rsidRDefault="00EB243D" w:rsidP="008C12B4">
            <w:pPr>
              <w:ind w:firstLine="567"/>
              <w:jc w:val="both"/>
              <w:rPr>
                <w:rFonts w:eastAsia="Calibri"/>
                <w:sz w:val="24"/>
                <w:szCs w:val="24"/>
              </w:rPr>
            </w:pPr>
            <w:r w:rsidRPr="00154588">
              <w:rPr>
                <w:rFonts w:eastAsia="Calibri"/>
                <w:sz w:val="20"/>
                <w:szCs w:val="20"/>
              </w:rPr>
              <w:t>ii) a expirat un termen de șapte zile de la data efectuării notificărilor menționate la lit.a).</w:t>
            </w:r>
          </w:p>
        </w:tc>
        <w:tc>
          <w:tcPr>
            <w:tcW w:w="2552" w:type="dxa"/>
          </w:tcPr>
          <w:p w14:paraId="178ED1EC" w14:textId="33E02CEF" w:rsidR="00EB243D" w:rsidRPr="00154588" w:rsidRDefault="00EB243D" w:rsidP="008C12B4">
            <w:pPr>
              <w:jc w:val="both"/>
              <w:rPr>
                <w:sz w:val="20"/>
                <w:szCs w:val="20"/>
              </w:rPr>
            </w:pPr>
            <w:r w:rsidRPr="00154588">
              <w:rPr>
                <w:sz w:val="20"/>
                <w:szCs w:val="20"/>
              </w:rPr>
              <w:lastRenderedPageBreak/>
              <w:t>Compatibil</w:t>
            </w:r>
          </w:p>
        </w:tc>
        <w:tc>
          <w:tcPr>
            <w:tcW w:w="3118" w:type="dxa"/>
          </w:tcPr>
          <w:p w14:paraId="5D17F943" w14:textId="77777777" w:rsidR="00EB243D" w:rsidRPr="00154588" w:rsidRDefault="00EB243D" w:rsidP="008C12B4">
            <w:pPr>
              <w:jc w:val="both"/>
              <w:rPr>
                <w:sz w:val="20"/>
                <w:szCs w:val="20"/>
              </w:rPr>
            </w:pPr>
          </w:p>
        </w:tc>
      </w:tr>
      <w:tr w:rsidR="00EB243D" w:rsidRPr="00154588" w14:paraId="6B4045A2" w14:textId="77777777" w:rsidTr="00D15C1B">
        <w:trPr>
          <w:jc w:val="center"/>
        </w:trPr>
        <w:tc>
          <w:tcPr>
            <w:tcW w:w="4957" w:type="dxa"/>
            <w:gridSpan w:val="2"/>
          </w:tcPr>
          <w:p w14:paraId="656F47A9" w14:textId="77777777" w:rsidR="00EB243D" w:rsidRPr="00154588" w:rsidRDefault="00EB243D" w:rsidP="008C12B4">
            <w:pPr>
              <w:jc w:val="both"/>
              <w:rPr>
                <w:sz w:val="20"/>
                <w:szCs w:val="20"/>
              </w:rPr>
            </w:pPr>
            <w:r w:rsidRPr="00154588">
              <w:rPr>
                <w:sz w:val="20"/>
                <w:szCs w:val="20"/>
              </w:rPr>
              <w:t>(2)   În sensul alineatului (1), statele membre se asigură că:</w:t>
            </w:r>
          </w:p>
          <w:p w14:paraId="73BDFC2E" w14:textId="77777777" w:rsidR="00EB243D" w:rsidRPr="00154588" w:rsidRDefault="00EB243D" w:rsidP="008C12B4">
            <w:pPr>
              <w:jc w:val="both"/>
              <w:rPr>
                <w:sz w:val="20"/>
                <w:szCs w:val="20"/>
              </w:rPr>
            </w:pPr>
          </w:p>
          <w:p w14:paraId="1FB54F19" w14:textId="77777777" w:rsidR="00EB243D" w:rsidRPr="00154588" w:rsidRDefault="00EB243D" w:rsidP="008C12B4">
            <w:pPr>
              <w:jc w:val="both"/>
              <w:rPr>
                <w:sz w:val="20"/>
                <w:szCs w:val="20"/>
              </w:rPr>
            </w:pPr>
          </w:p>
          <w:p w14:paraId="6B515A97" w14:textId="6FA04D2F" w:rsidR="00EB243D" w:rsidRPr="00154588" w:rsidRDefault="00EB243D" w:rsidP="008C12B4">
            <w:pPr>
              <w:jc w:val="both"/>
              <w:rPr>
                <w:sz w:val="20"/>
                <w:szCs w:val="20"/>
              </w:rPr>
            </w:pPr>
            <w:r w:rsidRPr="00154588">
              <w:rPr>
                <w:sz w:val="20"/>
                <w:szCs w:val="20"/>
              </w:rPr>
              <w:t>(a) autorităților competente și autorităților de rezoluție li se notifică fără întârziere orice cerere de deschidere a procedurii obișnuite de insolvență în raport cu o instituție sau cu o entitate menționată la articolul 1 alineatul (1) litera (b), (c) sau (d), indiferent dacă instituția sau entitatea respectivă se află în rezoluție sau dacă a fost făcută publică o decizie în conformitate cu articolul 83 alineatele (4) și (5);</w:t>
            </w:r>
          </w:p>
          <w:p w14:paraId="2B0D481F" w14:textId="77777777" w:rsidR="00EB243D" w:rsidRPr="00154588" w:rsidRDefault="00EB243D" w:rsidP="008C12B4">
            <w:pPr>
              <w:jc w:val="both"/>
              <w:rPr>
                <w:sz w:val="20"/>
                <w:szCs w:val="20"/>
              </w:rPr>
            </w:pPr>
          </w:p>
          <w:p w14:paraId="15AF6E5A" w14:textId="77777777" w:rsidR="00EB243D" w:rsidRPr="00154588" w:rsidRDefault="00EB243D" w:rsidP="008C12B4">
            <w:pPr>
              <w:jc w:val="both"/>
              <w:rPr>
                <w:sz w:val="20"/>
                <w:szCs w:val="20"/>
              </w:rPr>
            </w:pPr>
          </w:p>
          <w:p w14:paraId="76A9B520" w14:textId="77777777" w:rsidR="00EB243D" w:rsidRPr="00154588" w:rsidRDefault="00EB243D" w:rsidP="008C12B4">
            <w:pPr>
              <w:jc w:val="both"/>
              <w:rPr>
                <w:sz w:val="20"/>
                <w:szCs w:val="20"/>
              </w:rPr>
            </w:pPr>
          </w:p>
          <w:p w14:paraId="58A8527C" w14:textId="7D71201F" w:rsidR="00EB243D" w:rsidRPr="00154588" w:rsidRDefault="00EB243D" w:rsidP="008C12B4">
            <w:pPr>
              <w:jc w:val="both"/>
              <w:rPr>
                <w:sz w:val="20"/>
                <w:szCs w:val="20"/>
              </w:rPr>
            </w:pPr>
            <w:r w:rsidRPr="00154588">
              <w:rPr>
                <w:sz w:val="20"/>
                <w:szCs w:val="20"/>
              </w:rPr>
              <w:t>(b) cererea nu este stabilită decât dacă s-au făcut notificările menționate la litera (a) și dacă survine una dintre următoarele situații:</w:t>
            </w:r>
          </w:p>
          <w:p w14:paraId="4C713F2E" w14:textId="77777777" w:rsidR="00EB243D" w:rsidRPr="00154588" w:rsidRDefault="00EB243D" w:rsidP="008C12B4">
            <w:pPr>
              <w:jc w:val="both"/>
              <w:rPr>
                <w:sz w:val="20"/>
                <w:szCs w:val="20"/>
              </w:rPr>
            </w:pPr>
          </w:p>
          <w:p w14:paraId="01318CED" w14:textId="7AA09495" w:rsidR="00EB243D" w:rsidRPr="00154588" w:rsidRDefault="00EB243D" w:rsidP="008C12B4">
            <w:pPr>
              <w:jc w:val="both"/>
              <w:rPr>
                <w:sz w:val="20"/>
                <w:szCs w:val="20"/>
              </w:rPr>
            </w:pPr>
            <w:r w:rsidRPr="00154588">
              <w:rPr>
                <w:sz w:val="20"/>
                <w:szCs w:val="20"/>
              </w:rPr>
              <w:t>(i) autoritatea de rezoluție a informat autoritățile responsabile de procedura obișnuită de insolvență cu privire la intenția sa de a nu lua nicio măsură de rezoluție în raport cu instituția sau cu entitatea menționată la articolul 1 alineatul (1) litera (b), (c) sau (d);</w:t>
            </w:r>
          </w:p>
          <w:p w14:paraId="64F80110" w14:textId="77777777" w:rsidR="00EB243D" w:rsidRPr="00154588" w:rsidRDefault="00EB243D" w:rsidP="008C12B4">
            <w:pPr>
              <w:jc w:val="both"/>
              <w:rPr>
                <w:sz w:val="20"/>
                <w:szCs w:val="20"/>
              </w:rPr>
            </w:pPr>
          </w:p>
          <w:p w14:paraId="0A0B9BDD" w14:textId="515D12A1" w:rsidR="00EB243D" w:rsidRPr="00154588" w:rsidRDefault="00EB243D" w:rsidP="008C12B4">
            <w:pPr>
              <w:jc w:val="both"/>
              <w:rPr>
                <w:sz w:val="20"/>
                <w:szCs w:val="20"/>
              </w:rPr>
            </w:pPr>
            <w:r w:rsidRPr="00154588">
              <w:rPr>
                <w:sz w:val="20"/>
                <w:szCs w:val="20"/>
              </w:rPr>
              <w:t>(ii) a expirat un termen de șapte zile de la data efectuării notificărilor menționate la litera (a).</w:t>
            </w:r>
          </w:p>
        </w:tc>
        <w:tc>
          <w:tcPr>
            <w:tcW w:w="4819" w:type="dxa"/>
          </w:tcPr>
          <w:p w14:paraId="604AAE24" w14:textId="0E802115" w:rsidR="00EB243D" w:rsidRPr="00154588" w:rsidRDefault="00EB243D" w:rsidP="008C12B4">
            <w:pPr>
              <w:ind w:firstLine="567"/>
              <w:jc w:val="both"/>
              <w:rPr>
                <w:rFonts w:eastAsia="Calibri"/>
                <w:sz w:val="20"/>
                <w:szCs w:val="20"/>
              </w:rPr>
            </w:pPr>
            <w:r w:rsidRPr="00154588">
              <w:rPr>
                <w:rFonts w:eastAsia="Calibri"/>
                <w:b/>
                <w:sz w:val="20"/>
                <w:szCs w:val="20"/>
              </w:rPr>
              <w:t>Articolul 294</w:t>
            </w:r>
            <w:r w:rsidRPr="00154588">
              <w:rPr>
                <w:rFonts w:eastAsia="Calibri"/>
                <w:b/>
                <w:sz w:val="20"/>
                <w:szCs w:val="20"/>
                <w:vertAlign w:val="superscript"/>
              </w:rPr>
              <w:t>1</w:t>
            </w:r>
            <w:r w:rsidRPr="00154588">
              <w:rPr>
                <w:rFonts w:eastAsia="Calibri"/>
                <w:b/>
                <w:sz w:val="20"/>
                <w:szCs w:val="20"/>
              </w:rPr>
              <w:t xml:space="preserve">. </w:t>
            </w:r>
            <w:r w:rsidRPr="00154588">
              <w:rPr>
                <w:rFonts w:eastAsia="Calibri"/>
                <w:sz w:val="20"/>
                <w:szCs w:val="20"/>
              </w:rPr>
              <w:t xml:space="preserve">– (2) În sensul alin (1), Banca Națională a Moldovei se asigură că: </w:t>
            </w:r>
          </w:p>
          <w:p w14:paraId="2C0792BD" w14:textId="77777777" w:rsidR="00EB243D" w:rsidRPr="00154588" w:rsidRDefault="00EB243D" w:rsidP="008C12B4">
            <w:pPr>
              <w:ind w:firstLine="567"/>
              <w:jc w:val="both"/>
              <w:rPr>
                <w:rFonts w:eastAsia="Calibri"/>
                <w:sz w:val="20"/>
                <w:szCs w:val="20"/>
              </w:rPr>
            </w:pPr>
            <w:r w:rsidRPr="00154588">
              <w:rPr>
                <w:rFonts w:eastAsia="Calibri"/>
                <w:sz w:val="20"/>
                <w:szCs w:val="20"/>
              </w:rPr>
              <w:t>a) autorităților competente și autorităților de rezoluție li se notifică fără întârziere orice cerere de deschidere a procedurii obișnuite de insolvabilitate în raport cu o instituție sau cu o entitate menționată la art.1 alin.(1) lit.b), c) sau d), indiferent dacă instituția sau entitatea respectivă se află în rezoluție sau dacă a fost făcută publică o decizie în conformitate cu art.286-287;</w:t>
            </w:r>
          </w:p>
          <w:p w14:paraId="39953992" w14:textId="77777777" w:rsidR="00EB243D" w:rsidRPr="00154588" w:rsidRDefault="00EB243D" w:rsidP="008C12B4">
            <w:pPr>
              <w:ind w:firstLine="567"/>
              <w:jc w:val="both"/>
              <w:rPr>
                <w:rFonts w:eastAsia="Calibri"/>
                <w:sz w:val="20"/>
                <w:szCs w:val="20"/>
              </w:rPr>
            </w:pPr>
            <w:r w:rsidRPr="00154588">
              <w:rPr>
                <w:rFonts w:eastAsia="Calibri"/>
                <w:sz w:val="20"/>
                <w:szCs w:val="20"/>
              </w:rPr>
              <w:t>b) cererea nu este stabilită decât dacă s-au făcut notificările menționate la lit.a) și dacă survine una dintre următoarele situații:</w:t>
            </w:r>
          </w:p>
          <w:p w14:paraId="2CCE78DF" w14:textId="1EB3B0B1" w:rsidR="00EB243D" w:rsidRPr="00154588" w:rsidRDefault="00EB243D" w:rsidP="008C12B4">
            <w:pPr>
              <w:ind w:firstLine="567"/>
              <w:jc w:val="both"/>
              <w:rPr>
                <w:rFonts w:eastAsia="Calibri"/>
                <w:sz w:val="20"/>
                <w:szCs w:val="20"/>
              </w:rPr>
            </w:pPr>
            <w:r w:rsidRPr="00154588">
              <w:rPr>
                <w:rFonts w:eastAsia="Calibri"/>
                <w:sz w:val="20"/>
                <w:szCs w:val="20"/>
              </w:rPr>
              <w:t>i) autoritatea de rezoluție a informat autoritățile responsabile de procedura obișnuită de insolvabilitate cu privire la intenția sa de a nu lua nicio acțiune de rezoluție în raport cu instituția sau cu entitatea menționată la art.1 alin.(1) lit.b), c) sau d);</w:t>
            </w:r>
          </w:p>
          <w:p w14:paraId="623B20AE" w14:textId="07FFCCE5" w:rsidR="00EB243D" w:rsidRPr="00154588" w:rsidRDefault="00EB243D" w:rsidP="008C12B4">
            <w:pPr>
              <w:jc w:val="both"/>
              <w:rPr>
                <w:sz w:val="20"/>
                <w:szCs w:val="20"/>
              </w:rPr>
            </w:pPr>
            <w:r w:rsidRPr="00154588">
              <w:rPr>
                <w:rFonts w:eastAsia="Calibri"/>
                <w:sz w:val="20"/>
                <w:szCs w:val="20"/>
              </w:rPr>
              <w:t>ii) a expirat un termen de șapte zile de la data efectuării notificărilor menționate la lit.a).</w:t>
            </w:r>
          </w:p>
        </w:tc>
        <w:tc>
          <w:tcPr>
            <w:tcW w:w="2552" w:type="dxa"/>
          </w:tcPr>
          <w:p w14:paraId="6B2FC68F" w14:textId="5A09B0AB" w:rsidR="00EB243D" w:rsidRPr="00154588" w:rsidRDefault="00EB243D" w:rsidP="008C12B4">
            <w:pPr>
              <w:jc w:val="both"/>
              <w:rPr>
                <w:sz w:val="20"/>
                <w:szCs w:val="20"/>
              </w:rPr>
            </w:pPr>
            <w:r w:rsidRPr="00154588">
              <w:rPr>
                <w:sz w:val="20"/>
                <w:szCs w:val="20"/>
              </w:rPr>
              <w:t>Compatibil</w:t>
            </w:r>
          </w:p>
        </w:tc>
        <w:tc>
          <w:tcPr>
            <w:tcW w:w="3118" w:type="dxa"/>
          </w:tcPr>
          <w:p w14:paraId="22E146B9" w14:textId="77777777" w:rsidR="00EB243D" w:rsidRPr="00154588" w:rsidRDefault="00EB243D" w:rsidP="008C12B4">
            <w:pPr>
              <w:jc w:val="both"/>
              <w:rPr>
                <w:sz w:val="20"/>
                <w:szCs w:val="20"/>
              </w:rPr>
            </w:pPr>
          </w:p>
        </w:tc>
      </w:tr>
      <w:tr w:rsidR="00EB243D" w:rsidRPr="00154588" w14:paraId="0EA970B0" w14:textId="77777777" w:rsidTr="00D15C1B">
        <w:trPr>
          <w:jc w:val="center"/>
        </w:trPr>
        <w:tc>
          <w:tcPr>
            <w:tcW w:w="4957" w:type="dxa"/>
            <w:gridSpan w:val="2"/>
          </w:tcPr>
          <w:p w14:paraId="014638B6" w14:textId="77A3442B" w:rsidR="00EB243D" w:rsidRPr="00154588" w:rsidRDefault="00EB243D" w:rsidP="008C12B4">
            <w:pPr>
              <w:jc w:val="both"/>
              <w:rPr>
                <w:sz w:val="20"/>
                <w:szCs w:val="20"/>
              </w:rPr>
            </w:pPr>
            <w:r w:rsidRPr="00154588">
              <w:rPr>
                <w:sz w:val="20"/>
                <w:szCs w:val="20"/>
              </w:rPr>
              <w:lastRenderedPageBreak/>
              <w:t>(3)   Fără a aduce atingere niciunei limitări privind executarea garanțiilor reale mobiliare impuse în temeiul articolului 70, statele membre se asigură că, atunci când este necesar în vederea aplicării eficace a instrumentelor și competențelor de rezoluție, autoritățile de rezoluție pot solicita instanței să suspende, pentru o perioadă adecvată conform obiectivului urmărit, orice acțiune sau procedură judiciară la care este sau devine parte o instituție aflată în rezoluție.</w:t>
            </w:r>
          </w:p>
        </w:tc>
        <w:tc>
          <w:tcPr>
            <w:tcW w:w="4819" w:type="dxa"/>
          </w:tcPr>
          <w:p w14:paraId="058977DF" w14:textId="3B009BFF" w:rsidR="00EB243D" w:rsidRPr="00154588" w:rsidRDefault="00EB243D" w:rsidP="008C12B4">
            <w:pPr>
              <w:ind w:firstLine="567"/>
              <w:jc w:val="both"/>
              <w:rPr>
                <w:rFonts w:eastAsia="Calibri"/>
                <w:sz w:val="24"/>
                <w:szCs w:val="24"/>
              </w:rPr>
            </w:pPr>
            <w:r w:rsidRPr="00154588">
              <w:rPr>
                <w:rFonts w:eastAsia="Calibri"/>
                <w:b/>
                <w:sz w:val="20"/>
                <w:szCs w:val="20"/>
              </w:rPr>
              <w:t>Articolul 295.</w:t>
            </w:r>
            <w:r w:rsidRPr="00154588">
              <w:rPr>
                <w:rFonts w:eastAsia="Calibri"/>
                <w:sz w:val="20"/>
                <w:szCs w:val="20"/>
              </w:rPr>
              <w:t xml:space="preserve"> – Fără a aduce atingere restricţiilor privind executarea garanţiilor reale impuse în temeiul prezentei legi, atunci cînd este necesar, în vederea aplicării eficiente a instrumentelor şi competenţelor de rezoluţie, Banca Naţională a Moldovei poate solicita instanţei să suspende, pentru o perioadă adecvată în raport cu obiectivul urmărit, orice acţiune sau procedură judiciară la care este sau devine parte o instituție supusă rezoluţiei.</w:t>
            </w:r>
          </w:p>
        </w:tc>
        <w:tc>
          <w:tcPr>
            <w:tcW w:w="2552" w:type="dxa"/>
          </w:tcPr>
          <w:p w14:paraId="73659356" w14:textId="5C4EAE05" w:rsidR="00EB243D" w:rsidRPr="00154588" w:rsidRDefault="00EB243D" w:rsidP="008C12B4">
            <w:pPr>
              <w:jc w:val="both"/>
              <w:rPr>
                <w:sz w:val="20"/>
                <w:szCs w:val="20"/>
              </w:rPr>
            </w:pPr>
            <w:r w:rsidRPr="00154588">
              <w:rPr>
                <w:sz w:val="20"/>
                <w:szCs w:val="20"/>
              </w:rPr>
              <w:t>Compatibil</w:t>
            </w:r>
          </w:p>
        </w:tc>
        <w:tc>
          <w:tcPr>
            <w:tcW w:w="3118" w:type="dxa"/>
          </w:tcPr>
          <w:p w14:paraId="1AD2408E" w14:textId="77777777" w:rsidR="00EB243D" w:rsidRPr="00154588" w:rsidRDefault="00EB243D" w:rsidP="008C12B4">
            <w:pPr>
              <w:jc w:val="both"/>
              <w:rPr>
                <w:sz w:val="20"/>
                <w:szCs w:val="20"/>
              </w:rPr>
            </w:pPr>
          </w:p>
        </w:tc>
      </w:tr>
      <w:tr w:rsidR="00EB243D" w:rsidRPr="00154588" w14:paraId="5D0EE9F2" w14:textId="77777777" w:rsidTr="00D15C1B">
        <w:trPr>
          <w:jc w:val="center"/>
        </w:trPr>
        <w:tc>
          <w:tcPr>
            <w:tcW w:w="4957" w:type="dxa"/>
            <w:gridSpan w:val="2"/>
          </w:tcPr>
          <w:p w14:paraId="5CA47B02" w14:textId="77777777" w:rsidR="00EB243D" w:rsidRPr="00154588" w:rsidRDefault="00EB243D" w:rsidP="008C12B4">
            <w:pPr>
              <w:jc w:val="both"/>
              <w:rPr>
                <w:b/>
                <w:sz w:val="20"/>
                <w:szCs w:val="20"/>
              </w:rPr>
            </w:pPr>
            <w:r w:rsidRPr="00154588">
              <w:rPr>
                <w:b/>
                <w:sz w:val="20"/>
                <w:szCs w:val="20"/>
              </w:rPr>
              <w:t>TITLUL V</w:t>
            </w:r>
          </w:p>
          <w:p w14:paraId="2D0FD771" w14:textId="77777777" w:rsidR="00EB243D" w:rsidRPr="00154588" w:rsidRDefault="00EB243D" w:rsidP="008C12B4">
            <w:pPr>
              <w:jc w:val="both"/>
              <w:rPr>
                <w:b/>
                <w:sz w:val="20"/>
                <w:szCs w:val="20"/>
              </w:rPr>
            </w:pPr>
          </w:p>
          <w:p w14:paraId="7BCD9C68" w14:textId="53C8CA1D" w:rsidR="00EB243D" w:rsidRPr="00154588" w:rsidRDefault="00EB243D" w:rsidP="008C12B4">
            <w:pPr>
              <w:jc w:val="both"/>
              <w:rPr>
                <w:sz w:val="20"/>
                <w:szCs w:val="20"/>
              </w:rPr>
            </w:pPr>
            <w:r w:rsidRPr="00154588">
              <w:rPr>
                <w:b/>
                <w:sz w:val="20"/>
                <w:szCs w:val="20"/>
              </w:rPr>
              <w:t>REZOLUȚIA GRUPURILOR TRANSFRONTALIERE</w:t>
            </w:r>
          </w:p>
        </w:tc>
        <w:tc>
          <w:tcPr>
            <w:tcW w:w="4819" w:type="dxa"/>
          </w:tcPr>
          <w:p w14:paraId="6435C964" w14:textId="77777777" w:rsidR="00EB243D" w:rsidRPr="00154588" w:rsidRDefault="00EB243D" w:rsidP="008C12B4">
            <w:pPr>
              <w:jc w:val="center"/>
              <w:rPr>
                <w:rFonts w:eastAsia="Calibri"/>
                <w:b/>
                <w:sz w:val="20"/>
                <w:szCs w:val="20"/>
              </w:rPr>
            </w:pPr>
            <w:r w:rsidRPr="00154588">
              <w:rPr>
                <w:rFonts w:eastAsia="Calibri"/>
                <w:b/>
                <w:sz w:val="20"/>
                <w:szCs w:val="20"/>
              </w:rPr>
              <w:t>TITLUL IV</w:t>
            </w:r>
            <w:r w:rsidRPr="00154588">
              <w:rPr>
                <w:rFonts w:eastAsia="Calibri"/>
                <w:b/>
                <w:sz w:val="20"/>
                <w:szCs w:val="20"/>
                <w:vertAlign w:val="superscript"/>
              </w:rPr>
              <w:t>1</w:t>
            </w:r>
          </w:p>
          <w:p w14:paraId="7E7BE02F" w14:textId="77777777" w:rsidR="00EB243D" w:rsidRPr="00154588" w:rsidRDefault="00EB243D" w:rsidP="008C12B4">
            <w:pPr>
              <w:jc w:val="center"/>
              <w:rPr>
                <w:rFonts w:eastAsia="Calibri"/>
                <w:b/>
                <w:sz w:val="20"/>
                <w:szCs w:val="20"/>
              </w:rPr>
            </w:pPr>
            <w:r w:rsidRPr="00154588">
              <w:rPr>
                <w:rFonts w:eastAsia="Calibri"/>
                <w:b/>
                <w:sz w:val="20"/>
                <w:szCs w:val="20"/>
              </w:rPr>
              <w:t>REZOLUȚIA GRUPURILOR TRANSFRONTALIERE</w:t>
            </w:r>
          </w:p>
          <w:p w14:paraId="16261F8B" w14:textId="77777777" w:rsidR="00EB243D" w:rsidRPr="00154588" w:rsidRDefault="00EB243D" w:rsidP="008C12B4">
            <w:pPr>
              <w:jc w:val="both"/>
              <w:rPr>
                <w:sz w:val="20"/>
                <w:szCs w:val="20"/>
              </w:rPr>
            </w:pPr>
          </w:p>
        </w:tc>
        <w:tc>
          <w:tcPr>
            <w:tcW w:w="2552" w:type="dxa"/>
          </w:tcPr>
          <w:p w14:paraId="1A8920A4" w14:textId="77777777" w:rsidR="00EB243D" w:rsidRPr="00154588" w:rsidRDefault="00EB243D" w:rsidP="008C12B4">
            <w:pPr>
              <w:jc w:val="both"/>
              <w:rPr>
                <w:sz w:val="20"/>
                <w:szCs w:val="20"/>
              </w:rPr>
            </w:pPr>
          </w:p>
        </w:tc>
        <w:tc>
          <w:tcPr>
            <w:tcW w:w="3118" w:type="dxa"/>
          </w:tcPr>
          <w:p w14:paraId="19B5EA6E" w14:textId="77777777" w:rsidR="00EB243D" w:rsidRPr="00154588" w:rsidRDefault="00EB243D" w:rsidP="008C12B4">
            <w:pPr>
              <w:jc w:val="both"/>
              <w:rPr>
                <w:sz w:val="20"/>
                <w:szCs w:val="20"/>
              </w:rPr>
            </w:pPr>
          </w:p>
        </w:tc>
      </w:tr>
      <w:tr w:rsidR="00EB243D" w:rsidRPr="00154588" w14:paraId="35A1C2C1" w14:textId="77777777" w:rsidTr="00D15C1B">
        <w:trPr>
          <w:jc w:val="center"/>
        </w:trPr>
        <w:tc>
          <w:tcPr>
            <w:tcW w:w="4957" w:type="dxa"/>
            <w:gridSpan w:val="2"/>
          </w:tcPr>
          <w:p w14:paraId="4B63379B" w14:textId="77777777" w:rsidR="00EB243D" w:rsidRPr="00154588" w:rsidRDefault="00EB243D" w:rsidP="008C12B4">
            <w:pPr>
              <w:jc w:val="both"/>
              <w:rPr>
                <w:b/>
                <w:sz w:val="20"/>
                <w:szCs w:val="20"/>
              </w:rPr>
            </w:pPr>
            <w:r w:rsidRPr="00154588">
              <w:rPr>
                <w:b/>
                <w:sz w:val="20"/>
                <w:szCs w:val="20"/>
              </w:rPr>
              <w:t>Articolul 87</w:t>
            </w:r>
          </w:p>
          <w:p w14:paraId="61E09881" w14:textId="77777777" w:rsidR="00EB243D" w:rsidRPr="00154588" w:rsidRDefault="00EB243D" w:rsidP="008C12B4">
            <w:pPr>
              <w:jc w:val="both"/>
              <w:rPr>
                <w:b/>
                <w:sz w:val="20"/>
                <w:szCs w:val="20"/>
              </w:rPr>
            </w:pPr>
          </w:p>
          <w:p w14:paraId="3F0758C7" w14:textId="4A9302E4" w:rsidR="00EB243D" w:rsidRPr="00154588" w:rsidRDefault="00EB243D" w:rsidP="008C12B4">
            <w:pPr>
              <w:jc w:val="both"/>
              <w:rPr>
                <w:sz w:val="20"/>
                <w:szCs w:val="20"/>
              </w:rPr>
            </w:pPr>
            <w:r w:rsidRPr="00154588">
              <w:rPr>
                <w:b/>
                <w:sz w:val="20"/>
                <w:szCs w:val="20"/>
              </w:rPr>
              <w:t>Principii generale referitoare la procesul decizional care implică mai multe state membre</w:t>
            </w:r>
          </w:p>
        </w:tc>
        <w:tc>
          <w:tcPr>
            <w:tcW w:w="4819" w:type="dxa"/>
          </w:tcPr>
          <w:p w14:paraId="48641036" w14:textId="77777777" w:rsidR="00EB243D" w:rsidRPr="00154588" w:rsidRDefault="00EB243D" w:rsidP="008C12B4">
            <w:pPr>
              <w:jc w:val="center"/>
              <w:rPr>
                <w:rFonts w:eastAsia="Calibri"/>
                <w:b/>
                <w:sz w:val="20"/>
                <w:szCs w:val="20"/>
              </w:rPr>
            </w:pPr>
            <w:r w:rsidRPr="00154588">
              <w:rPr>
                <w:rFonts w:eastAsia="Calibri"/>
                <w:b/>
                <w:sz w:val="20"/>
                <w:szCs w:val="20"/>
              </w:rPr>
              <w:t>Capitolul I</w:t>
            </w:r>
          </w:p>
          <w:p w14:paraId="41CEBDCA" w14:textId="77777777" w:rsidR="00EB243D" w:rsidRPr="00154588" w:rsidRDefault="00EB243D" w:rsidP="008C12B4">
            <w:pPr>
              <w:jc w:val="center"/>
              <w:rPr>
                <w:rFonts w:eastAsia="Calibri"/>
                <w:b/>
                <w:sz w:val="20"/>
                <w:szCs w:val="20"/>
              </w:rPr>
            </w:pPr>
            <w:r w:rsidRPr="00154588">
              <w:rPr>
                <w:rFonts w:eastAsia="Calibri"/>
                <w:b/>
                <w:sz w:val="20"/>
                <w:szCs w:val="20"/>
              </w:rPr>
              <w:t>PRINCIPII GENERALE</w:t>
            </w:r>
          </w:p>
          <w:p w14:paraId="3353B484" w14:textId="77777777" w:rsidR="00EB243D" w:rsidRPr="00154588" w:rsidRDefault="00EB243D" w:rsidP="008C12B4">
            <w:pPr>
              <w:jc w:val="center"/>
              <w:rPr>
                <w:rFonts w:eastAsia="Calibri"/>
                <w:b/>
                <w:sz w:val="20"/>
                <w:szCs w:val="20"/>
              </w:rPr>
            </w:pPr>
            <w:r w:rsidRPr="00154588">
              <w:rPr>
                <w:rFonts w:eastAsia="Calibri"/>
                <w:b/>
                <w:sz w:val="20"/>
                <w:szCs w:val="20"/>
              </w:rPr>
              <w:t>PRIVIND PROCESUL DECIZIONAL CARE IMPLICĂ</w:t>
            </w:r>
          </w:p>
          <w:p w14:paraId="5E2FF108" w14:textId="1AB1377F" w:rsidR="00EB243D" w:rsidRPr="00154588" w:rsidRDefault="00EB243D" w:rsidP="008C12B4">
            <w:pPr>
              <w:spacing w:after="160"/>
              <w:jc w:val="center"/>
              <w:rPr>
                <w:sz w:val="20"/>
                <w:szCs w:val="20"/>
              </w:rPr>
            </w:pPr>
            <w:r w:rsidRPr="00154588">
              <w:rPr>
                <w:rFonts w:eastAsia="Calibri"/>
                <w:b/>
                <w:sz w:val="20"/>
                <w:szCs w:val="20"/>
              </w:rPr>
              <w:t>MAI MULTE STATE MEMBRE ALE UNIUNII EUROPENE</w:t>
            </w:r>
          </w:p>
        </w:tc>
        <w:tc>
          <w:tcPr>
            <w:tcW w:w="2552" w:type="dxa"/>
          </w:tcPr>
          <w:p w14:paraId="3117F275" w14:textId="77777777" w:rsidR="00EB243D" w:rsidRPr="00154588" w:rsidRDefault="00EB243D" w:rsidP="008C12B4">
            <w:pPr>
              <w:jc w:val="both"/>
              <w:rPr>
                <w:sz w:val="20"/>
                <w:szCs w:val="20"/>
              </w:rPr>
            </w:pPr>
          </w:p>
        </w:tc>
        <w:tc>
          <w:tcPr>
            <w:tcW w:w="3118" w:type="dxa"/>
          </w:tcPr>
          <w:p w14:paraId="7EBD5149" w14:textId="77777777" w:rsidR="00EB243D" w:rsidRPr="00154588" w:rsidRDefault="00EB243D" w:rsidP="008C12B4">
            <w:pPr>
              <w:jc w:val="both"/>
              <w:rPr>
                <w:sz w:val="20"/>
                <w:szCs w:val="20"/>
              </w:rPr>
            </w:pPr>
          </w:p>
        </w:tc>
      </w:tr>
      <w:tr w:rsidR="00EB243D" w:rsidRPr="00154588" w14:paraId="56F681F6" w14:textId="77777777" w:rsidTr="00D15C1B">
        <w:trPr>
          <w:jc w:val="center"/>
        </w:trPr>
        <w:tc>
          <w:tcPr>
            <w:tcW w:w="4957" w:type="dxa"/>
            <w:gridSpan w:val="2"/>
          </w:tcPr>
          <w:p w14:paraId="4C2D0B3A" w14:textId="77777777" w:rsidR="00EB243D" w:rsidRPr="00154588" w:rsidRDefault="00EB243D" w:rsidP="008C12B4">
            <w:pPr>
              <w:jc w:val="both"/>
              <w:rPr>
                <w:sz w:val="20"/>
                <w:szCs w:val="20"/>
              </w:rPr>
            </w:pPr>
            <w:r w:rsidRPr="00154588">
              <w:rPr>
                <w:sz w:val="20"/>
                <w:szCs w:val="20"/>
              </w:rPr>
              <w:t>Statele membre se asigură că, atunci când iau, în temeiul prezentei directive, decizii sau măsuri care pot afecta unul sau mai multe state membre, autoritățile lor țin seama de următoarele principii generale:</w:t>
            </w:r>
          </w:p>
          <w:p w14:paraId="7714870F" w14:textId="77777777" w:rsidR="00EB243D" w:rsidRPr="00154588" w:rsidRDefault="00EB243D" w:rsidP="008C12B4">
            <w:pPr>
              <w:jc w:val="both"/>
              <w:rPr>
                <w:sz w:val="20"/>
                <w:szCs w:val="20"/>
              </w:rPr>
            </w:pPr>
          </w:p>
          <w:p w14:paraId="58349FCD" w14:textId="77777777" w:rsidR="00EB243D" w:rsidRPr="00154588" w:rsidRDefault="00EB243D" w:rsidP="008C12B4">
            <w:pPr>
              <w:jc w:val="both"/>
              <w:rPr>
                <w:sz w:val="20"/>
                <w:szCs w:val="20"/>
              </w:rPr>
            </w:pPr>
          </w:p>
          <w:p w14:paraId="122921F9" w14:textId="02628F21" w:rsidR="00EB243D" w:rsidRPr="00154588" w:rsidRDefault="00EB243D" w:rsidP="008C12B4">
            <w:pPr>
              <w:jc w:val="both"/>
              <w:rPr>
                <w:sz w:val="20"/>
                <w:szCs w:val="20"/>
              </w:rPr>
            </w:pPr>
            <w:r w:rsidRPr="00154588">
              <w:rPr>
                <w:sz w:val="20"/>
                <w:szCs w:val="20"/>
              </w:rPr>
              <w:t>(a) necesitatea imperativă a eficacității procesului decizional și a păstrării costurilor rezoluției la un nivel cât mai scăzut posibil, în momentul luării măsurilor de rezoluție;</w:t>
            </w:r>
          </w:p>
          <w:p w14:paraId="4F090D72" w14:textId="77777777" w:rsidR="00EB243D" w:rsidRPr="00154588" w:rsidRDefault="00EB243D" w:rsidP="008C12B4">
            <w:pPr>
              <w:jc w:val="both"/>
              <w:rPr>
                <w:sz w:val="20"/>
                <w:szCs w:val="20"/>
              </w:rPr>
            </w:pPr>
          </w:p>
          <w:p w14:paraId="56D6CF44" w14:textId="53230ACF" w:rsidR="00EB243D" w:rsidRPr="00154588" w:rsidRDefault="00EB243D" w:rsidP="008C12B4">
            <w:pPr>
              <w:jc w:val="both"/>
              <w:rPr>
                <w:sz w:val="20"/>
                <w:szCs w:val="20"/>
              </w:rPr>
            </w:pPr>
            <w:r w:rsidRPr="00154588">
              <w:rPr>
                <w:sz w:val="20"/>
                <w:szCs w:val="20"/>
              </w:rPr>
              <w:t>(b) deciziile și măsurile sunt luate în timp util și în regim de urgență, atunci când se impune acest lucru;</w:t>
            </w:r>
          </w:p>
          <w:p w14:paraId="09DA4A22" w14:textId="77777777" w:rsidR="00EB243D" w:rsidRPr="00154588" w:rsidRDefault="00EB243D" w:rsidP="008C12B4">
            <w:pPr>
              <w:jc w:val="both"/>
              <w:rPr>
                <w:sz w:val="20"/>
                <w:szCs w:val="20"/>
              </w:rPr>
            </w:pPr>
          </w:p>
          <w:p w14:paraId="3188FBA5" w14:textId="6FF989A9" w:rsidR="00EB243D" w:rsidRPr="00154588" w:rsidRDefault="00EB243D" w:rsidP="008C12B4">
            <w:pPr>
              <w:jc w:val="both"/>
              <w:rPr>
                <w:sz w:val="20"/>
                <w:szCs w:val="20"/>
              </w:rPr>
            </w:pPr>
            <w:r w:rsidRPr="00154588">
              <w:rPr>
                <w:sz w:val="20"/>
                <w:szCs w:val="20"/>
              </w:rPr>
              <w:t>(c) autoritățile de rezoluție, autoritățile competente și alte autorități cooperează pentru a se asigura că deciziile și măsurile sunt luate de o manieră coordonată și eficientă;</w:t>
            </w:r>
          </w:p>
          <w:p w14:paraId="6F2AA961" w14:textId="77777777" w:rsidR="00EB243D" w:rsidRPr="00154588" w:rsidRDefault="00EB243D" w:rsidP="008C12B4">
            <w:pPr>
              <w:jc w:val="both"/>
              <w:rPr>
                <w:sz w:val="20"/>
                <w:szCs w:val="20"/>
              </w:rPr>
            </w:pPr>
          </w:p>
          <w:p w14:paraId="2843BB83" w14:textId="77777777" w:rsidR="00EB243D" w:rsidRPr="00154588" w:rsidRDefault="00EB243D" w:rsidP="008C12B4">
            <w:pPr>
              <w:jc w:val="both"/>
              <w:rPr>
                <w:sz w:val="20"/>
                <w:szCs w:val="20"/>
              </w:rPr>
            </w:pPr>
          </w:p>
          <w:p w14:paraId="642EEB0B" w14:textId="7822F40D" w:rsidR="00EB243D" w:rsidRPr="00154588" w:rsidRDefault="00EB243D" w:rsidP="008C12B4">
            <w:pPr>
              <w:jc w:val="both"/>
              <w:rPr>
                <w:sz w:val="20"/>
                <w:szCs w:val="20"/>
              </w:rPr>
            </w:pPr>
            <w:r w:rsidRPr="00154588">
              <w:rPr>
                <w:sz w:val="20"/>
                <w:szCs w:val="20"/>
              </w:rPr>
              <w:t>(d) rolurile și responsabilitățile autorităților relevante din fiecare stat membru sunt clar definite;</w:t>
            </w:r>
          </w:p>
          <w:p w14:paraId="76FBF4A3" w14:textId="77777777" w:rsidR="00EB243D" w:rsidRPr="00154588" w:rsidRDefault="00EB243D" w:rsidP="008C12B4">
            <w:pPr>
              <w:jc w:val="both"/>
              <w:rPr>
                <w:sz w:val="20"/>
                <w:szCs w:val="20"/>
              </w:rPr>
            </w:pPr>
          </w:p>
          <w:p w14:paraId="65EE0EBE" w14:textId="77777777" w:rsidR="00EB243D" w:rsidRPr="00154588" w:rsidRDefault="00EB243D" w:rsidP="008C12B4">
            <w:pPr>
              <w:jc w:val="both"/>
              <w:rPr>
                <w:sz w:val="20"/>
                <w:szCs w:val="20"/>
              </w:rPr>
            </w:pPr>
          </w:p>
          <w:p w14:paraId="57F75CCC" w14:textId="77777777" w:rsidR="00EB243D" w:rsidRPr="00154588" w:rsidRDefault="00EB243D" w:rsidP="008C12B4">
            <w:pPr>
              <w:jc w:val="both"/>
              <w:rPr>
                <w:sz w:val="20"/>
                <w:szCs w:val="20"/>
              </w:rPr>
            </w:pPr>
          </w:p>
          <w:p w14:paraId="6153D0A7" w14:textId="32FB9229" w:rsidR="00EB243D" w:rsidRPr="00154588" w:rsidRDefault="00EB243D" w:rsidP="008C12B4">
            <w:pPr>
              <w:jc w:val="both"/>
              <w:rPr>
                <w:sz w:val="20"/>
                <w:szCs w:val="20"/>
              </w:rPr>
            </w:pPr>
            <w:r w:rsidRPr="00154588">
              <w:rPr>
                <w:sz w:val="20"/>
                <w:szCs w:val="20"/>
              </w:rPr>
              <w:t>(e) se acordă o atenție corespunzătoare intereselor statelor membre în care sunt stabilite întreprinderile-mamă din Uniune, în special impactului oricărei decizii, acțiuni sau inacțiuni asupra stabilității financiare, resurselor fiscale, fondului de rezoluție, schemei de garantare a depozitelor sau schemei de compensații pentru investitori din statele membre respective;</w:t>
            </w:r>
          </w:p>
          <w:p w14:paraId="7F2113A5" w14:textId="77777777" w:rsidR="00EB243D" w:rsidRPr="00154588" w:rsidRDefault="00EB243D" w:rsidP="008C12B4">
            <w:pPr>
              <w:jc w:val="both"/>
              <w:rPr>
                <w:sz w:val="20"/>
                <w:szCs w:val="20"/>
              </w:rPr>
            </w:pPr>
          </w:p>
          <w:p w14:paraId="416549FB" w14:textId="65D3FBF2" w:rsidR="00EB243D" w:rsidRPr="00154588" w:rsidRDefault="00EB243D" w:rsidP="008C12B4">
            <w:pPr>
              <w:jc w:val="both"/>
              <w:rPr>
                <w:sz w:val="20"/>
                <w:szCs w:val="20"/>
              </w:rPr>
            </w:pPr>
            <w:r w:rsidRPr="00154588">
              <w:rPr>
                <w:sz w:val="20"/>
                <w:szCs w:val="20"/>
              </w:rPr>
              <w:t>(f) se acordă o atenție corespunzătoare intereselor fiecărui stat membru în care este stabilită o filială, în special impactului oricărei decizii, acțiuni sau inacțiuni asupra stabilității financiare, resurselor fiscale, fondului de rezoluție, schemei de garantare a depozitelor sau schemei de compensații pentru investitori din statele membre respective;</w:t>
            </w:r>
          </w:p>
          <w:p w14:paraId="028971B3" w14:textId="77777777" w:rsidR="00EB243D" w:rsidRPr="00154588" w:rsidRDefault="00EB243D" w:rsidP="008C12B4">
            <w:pPr>
              <w:jc w:val="both"/>
              <w:rPr>
                <w:sz w:val="20"/>
                <w:szCs w:val="20"/>
              </w:rPr>
            </w:pPr>
          </w:p>
          <w:p w14:paraId="558A7055" w14:textId="55D3FCA2" w:rsidR="00EB243D" w:rsidRPr="00154588" w:rsidRDefault="00EB243D" w:rsidP="008C12B4">
            <w:pPr>
              <w:jc w:val="both"/>
              <w:rPr>
                <w:sz w:val="20"/>
                <w:szCs w:val="20"/>
              </w:rPr>
            </w:pPr>
            <w:r w:rsidRPr="00154588">
              <w:rPr>
                <w:sz w:val="20"/>
                <w:szCs w:val="20"/>
              </w:rPr>
              <w:t>(g) se acordă o atenție corespunzătoare intereselor fiecărui stat membru în care sunt stabilite sucursale semnificative, în special impactului oricărei decizii, acțiuni sau inacțiuni asupra stabilității financiare a statelor membre respective;</w:t>
            </w:r>
          </w:p>
          <w:p w14:paraId="3B044E70" w14:textId="77777777" w:rsidR="00EB243D" w:rsidRPr="00154588" w:rsidRDefault="00EB243D" w:rsidP="008C12B4">
            <w:pPr>
              <w:jc w:val="both"/>
              <w:rPr>
                <w:sz w:val="20"/>
                <w:szCs w:val="20"/>
              </w:rPr>
            </w:pPr>
          </w:p>
          <w:p w14:paraId="543037F4" w14:textId="77777777" w:rsidR="00EB243D" w:rsidRPr="00154588" w:rsidRDefault="00EB243D" w:rsidP="008C12B4">
            <w:pPr>
              <w:jc w:val="both"/>
              <w:rPr>
                <w:sz w:val="20"/>
                <w:szCs w:val="20"/>
              </w:rPr>
            </w:pPr>
          </w:p>
          <w:p w14:paraId="0E028616" w14:textId="7446A926" w:rsidR="00EB243D" w:rsidRPr="00154588" w:rsidRDefault="00EB243D" w:rsidP="008C12B4">
            <w:pPr>
              <w:jc w:val="both"/>
              <w:rPr>
                <w:sz w:val="20"/>
                <w:szCs w:val="20"/>
              </w:rPr>
            </w:pPr>
            <w:r w:rsidRPr="00154588">
              <w:rPr>
                <w:sz w:val="20"/>
                <w:szCs w:val="20"/>
              </w:rPr>
              <w:t>(h) se acordă o atenție corespunzătoare obiectivelor privind echilibrarea intereselor diferitelor state membre implicate și evitarea prejudicierii nedrepte ori a protejării necuvenite a intereselor anumitor state membre, inclusiv evitarea alocării inechitabile între statele membre a sarcinii suportate;</w:t>
            </w:r>
          </w:p>
          <w:p w14:paraId="0FC8D464" w14:textId="77777777" w:rsidR="00EB243D" w:rsidRPr="00154588" w:rsidRDefault="00EB243D" w:rsidP="008C12B4">
            <w:pPr>
              <w:jc w:val="both"/>
              <w:rPr>
                <w:sz w:val="20"/>
                <w:szCs w:val="20"/>
              </w:rPr>
            </w:pPr>
          </w:p>
          <w:p w14:paraId="0E7578B7" w14:textId="6DA1D3C9" w:rsidR="00EB243D" w:rsidRPr="00154588" w:rsidRDefault="00EB243D" w:rsidP="008C12B4">
            <w:pPr>
              <w:jc w:val="both"/>
              <w:rPr>
                <w:sz w:val="20"/>
                <w:szCs w:val="20"/>
              </w:rPr>
            </w:pPr>
            <w:r w:rsidRPr="00154588">
              <w:rPr>
                <w:sz w:val="20"/>
                <w:szCs w:val="20"/>
              </w:rPr>
              <w:t>(i) orice obligație în temeiul prezentei directive de a consulta o autoritate înainte de luarea oricărei decizii sau măsuri să implice cel puțin obligația de a consulta autoritatea respectivă cu privire la acele elemente ale deciziei sau măsurii propuse care au sau probabil vor avea:</w:t>
            </w:r>
          </w:p>
          <w:p w14:paraId="4BA4C01F" w14:textId="77777777" w:rsidR="00EB243D" w:rsidRPr="00154588" w:rsidRDefault="00EB243D" w:rsidP="008C12B4">
            <w:pPr>
              <w:jc w:val="both"/>
              <w:rPr>
                <w:sz w:val="20"/>
                <w:szCs w:val="20"/>
              </w:rPr>
            </w:pPr>
          </w:p>
          <w:p w14:paraId="52BEF352" w14:textId="4937681C" w:rsidR="00EB243D" w:rsidRPr="00154588" w:rsidRDefault="00EB243D" w:rsidP="008C12B4">
            <w:pPr>
              <w:jc w:val="both"/>
              <w:rPr>
                <w:sz w:val="20"/>
                <w:szCs w:val="20"/>
              </w:rPr>
            </w:pPr>
            <w:r w:rsidRPr="00154588">
              <w:rPr>
                <w:sz w:val="20"/>
                <w:szCs w:val="20"/>
              </w:rPr>
              <w:t>(i) efecte asupra întreprinderii-mamă din Uniune, a filialei sau a sucursalei, după caz;</w:t>
            </w:r>
          </w:p>
          <w:p w14:paraId="0289617E" w14:textId="77777777" w:rsidR="00EB243D" w:rsidRPr="00154588" w:rsidRDefault="00EB243D" w:rsidP="008C12B4">
            <w:pPr>
              <w:jc w:val="both"/>
              <w:rPr>
                <w:sz w:val="20"/>
                <w:szCs w:val="20"/>
              </w:rPr>
            </w:pPr>
          </w:p>
          <w:p w14:paraId="6D02AB9F" w14:textId="648E7BFC" w:rsidR="00EB243D" w:rsidRPr="00154588" w:rsidRDefault="00EB243D" w:rsidP="008C12B4">
            <w:pPr>
              <w:jc w:val="both"/>
              <w:rPr>
                <w:sz w:val="20"/>
                <w:szCs w:val="20"/>
              </w:rPr>
            </w:pPr>
            <w:r w:rsidRPr="00154588">
              <w:rPr>
                <w:sz w:val="20"/>
                <w:szCs w:val="20"/>
              </w:rPr>
              <w:t>(ii) impact asupra stabilității statului membru în care întreprinderea-mamă din Uniune, filiala sau sucursala (după caz) este stabilită sau situată;</w:t>
            </w:r>
          </w:p>
          <w:p w14:paraId="1A7EF703" w14:textId="77777777" w:rsidR="00EB243D" w:rsidRPr="00154588" w:rsidRDefault="00EB243D" w:rsidP="008C12B4">
            <w:pPr>
              <w:jc w:val="both"/>
              <w:rPr>
                <w:sz w:val="20"/>
                <w:szCs w:val="20"/>
              </w:rPr>
            </w:pPr>
          </w:p>
          <w:p w14:paraId="3907E1C6" w14:textId="6BDEFCA0" w:rsidR="00EB243D" w:rsidRPr="00154588" w:rsidRDefault="00EB243D" w:rsidP="008C12B4">
            <w:pPr>
              <w:jc w:val="both"/>
              <w:rPr>
                <w:sz w:val="20"/>
                <w:szCs w:val="20"/>
              </w:rPr>
            </w:pPr>
            <w:r w:rsidRPr="00154588">
              <w:rPr>
                <w:sz w:val="20"/>
                <w:szCs w:val="20"/>
              </w:rPr>
              <w:t>(j) atunci când adoptă măsuri de rezoluție, autoritățile de rezoluție să țină seama și să urmărească planurile de rezoluție menționate la articolul 13, cu excepția cazului în care autoritățile de rezoluție consideră, având în vedere circumstanțele cazului, că obiectivele rezoluției vor fi îndeplinite mai eficace prin adoptarea de măsuri care nu sunt prevăzute în planurile de rezoluție;</w:t>
            </w:r>
          </w:p>
          <w:p w14:paraId="7E6D4743" w14:textId="77777777" w:rsidR="00EB243D" w:rsidRPr="00154588" w:rsidRDefault="00EB243D" w:rsidP="008C12B4">
            <w:pPr>
              <w:jc w:val="both"/>
              <w:rPr>
                <w:sz w:val="20"/>
                <w:szCs w:val="20"/>
              </w:rPr>
            </w:pPr>
          </w:p>
          <w:p w14:paraId="34C0FD5B" w14:textId="56ED623F" w:rsidR="00EB243D" w:rsidRPr="00154588" w:rsidRDefault="00EB243D" w:rsidP="008C12B4">
            <w:pPr>
              <w:jc w:val="both"/>
              <w:rPr>
                <w:sz w:val="20"/>
                <w:szCs w:val="20"/>
              </w:rPr>
            </w:pPr>
            <w:r w:rsidRPr="00154588">
              <w:rPr>
                <w:sz w:val="20"/>
                <w:szCs w:val="20"/>
              </w:rPr>
              <w:t>(k) necesitatea transparenței, ori de câte ori există probabilitatea ca o decizie sau măsură propusă să aibă implicații asupra stabilității financiare, resurselor fiscale, fondului de rezoluție, schemei de garantare a depozitelor sau schemei de compensații pentru investitori din oricare stat membru relevant; și</w:t>
            </w:r>
          </w:p>
          <w:p w14:paraId="092B2314" w14:textId="77777777" w:rsidR="00EB243D" w:rsidRPr="00154588" w:rsidRDefault="00EB243D" w:rsidP="008C12B4">
            <w:pPr>
              <w:jc w:val="both"/>
              <w:rPr>
                <w:sz w:val="20"/>
                <w:szCs w:val="20"/>
              </w:rPr>
            </w:pPr>
          </w:p>
          <w:p w14:paraId="5F3C1556" w14:textId="2FCD9F60" w:rsidR="00EB243D" w:rsidRPr="00154588" w:rsidRDefault="00EB243D" w:rsidP="008C12B4">
            <w:pPr>
              <w:jc w:val="both"/>
              <w:rPr>
                <w:sz w:val="20"/>
                <w:szCs w:val="20"/>
              </w:rPr>
            </w:pPr>
            <w:r w:rsidRPr="00154588">
              <w:rPr>
                <w:sz w:val="20"/>
                <w:szCs w:val="20"/>
              </w:rPr>
              <w:t>(l) recunoașterea faptului că cea mai mare probabilitate de a obține un rezultat care să ducă la scăderea costului global al rezoluției revine coordonării și cooperării.</w:t>
            </w:r>
          </w:p>
        </w:tc>
        <w:tc>
          <w:tcPr>
            <w:tcW w:w="4819" w:type="dxa"/>
          </w:tcPr>
          <w:p w14:paraId="2CE5E802" w14:textId="77777777" w:rsidR="00EB243D" w:rsidRPr="00154588" w:rsidRDefault="00EB243D" w:rsidP="008C12B4">
            <w:pPr>
              <w:ind w:firstLine="567"/>
              <w:jc w:val="both"/>
              <w:rPr>
                <w:rFonts w:eastAsia="Calibri"/>
                <w:sz w:val="20"/>
                <w:szCs w:val="20"/>
              </w:rPr>
            </w:pPr>
            <w:r w:rsidRPr="00154588">
              <w:rPr>
                <w:rFonts w:eastAsia="Calibri"/>
                <w:b/>
                <w:sz w:val="20"/>
                <w:szCs w:val="20"/>
              </w:rPr>
              <w:lastRenderedPageBreak/>
              <w:t>Articolul 295</w:t>
            </w:r>
            <w:r w:rsidRPr="00154588">
              <w:rPr>
                <w:rFonts w:eastAsia="Calibri"/>
                <w:b/>
                <w:sz w:val="20"/>
                <w:szCs w:val="20"/>
                <w:vertAlign w:val="superscript"/>
              </w:rPr>
              <w:t>1</w:t>
            </w:r>
            <w:r w:rsidRPr="00154588">
              <w:rPr>
                <w:rFonts w:eastAsia="Calibri"/>
                <w:sz w:val="20"/>
                <w:szCs w:val="20"/>
              </w:rPr>
              <w:t>. – Atunci când iau decizii sau măsuri, în temeiul prezentei legi, care pot avea un impact în unul sau mai multe state membre, autoritățile din Republica Moldova implicate în rezoluția grupurilor transfrontaliere au în vedere următoarele principii generale:</w:t>
            </w:r>
          </w:p>
          <w:p w14:paraId="0B027251" w14:textId="77777777" w:rsidR="00EB243D" w:rsidRPr="00154588" w:rsidRDefault="00EB243D" w:rsidP="008C12B4">
            <w:pPr>
              <w:ind w:firstLine="567"/>
              <w:jc w:val="both"/>
              <w:rPr>
                <w:rFonts w:eastAsia="Calibri"/>
                <w:sz w:val="20"/>
                <w:szCs w:val="20"/>
              </w:rPr>
            </w:pPr>
            <w:r w:rsidRPr="00154588">
              <w:rPr>
                <w:rFonts w:eastAsia="Calibri"/>
                <w:sz w:val="20"/>
                <w:szCs w:val="20"/>
              </w:rPr>
              <w:t>a) necesitatea imperativă a eficacității procesului decizional și a păstrării costurilor rezoluției la un nivel cât mai scăzut posibil, la momentul întreprinderii acțiunilor de rezoluție;</w:t>
            </w:r>
          </w:p>
          <w:p w14:paraId="77E83BE1" w14:textId="77777777" w:rsidR="00EB243D" w:rsidRPr="00154588" w:rsidRDefault="00EB243D" w:rsidP="008C12B4">
            <w:pPr>
              <w:ind w:firstLine="567"/>
              <w:jc w:val="both"/>
              <w:rPr>
                <w:rFonts w:eastAsia="Calibri"/>
                <w:sz w:val="20"/>
                <w:szCs w:val="20"/>
              </w:rPr>
            </w:pPr>
            <w:r w:rsidRPr="00154588">
              <w:rPr>
                <w:rFonts w:eastAsia="Calibri"/>
                <w:sz w:val="20"/>
                <w:szCs w:val="20"/>
              </w:rPr>
              <w:t>b) deciziile sunt luate și acțiunile sunt întreprinse în timp util și în regim de urgență, atunci când este necesar;</w:t>
            </w:r>
          </w:p>
          <w:p w14:paraId="234E1842" w14:textId="77777777" w:rsidR="00EB243D" w:rsidRPr="00154588" w:rsidRDefault="00EB243D" w:rsidP="008C12B4">
            <w:pPr>
              <w:ind w:firstLine="567"/>
              <w:jc w:val="both"/>
              <w:rPr>
                <w:rFonts w:eastAsia="Calibri"/>
                <w:sz w:val="20"/>
                <w:szCs w:val="20"/>
              </w:rPr>
            </w:pPr>
            <w:r w:rsidRPr="00154588">
              <w:rPr>
                <w:rFonts w:eastAsia="Calibri"/>
                <w:sz w:val="20"/>
                <w:szCs w:val="20"/>
              </w:rPr>
              <w:t>c) autoritățile de rezoluție, autoritățile competente, banca centrală și alte autorități cooperează pentru a se asigura că deciziile sunt luate și acțiunile sunt întreprinse într-o manieră coordonată și eficientă;</w:t>
            </w:r>
          </w:p>
          <w:p w14:paraId="060556A6" w14:textId="77777777" w:rsidR="00EB243D" w:rsidRPr="00154588" w:rsidRDefault="00EB243D" w:rsidP="008C12B4">
            <w:pPr>
              <w:ind w:firstLine="567"/>
              <w:jc w:val="both"/>
              <w:rPr>
                <w:rFonts w:eastAsia="Calibri"/>
                <w:sz w:val="20"/>
                <w:szCs w:val="20"/>
              </w:rPr>
            </w:pPr>
            <w:r w:rsidRPr="00154588">
              <w:rPr>
                <w:rFonts w:eastAsia="Calibri"/>
                <w:sz w:val="20"/>
                <w:szCs w:val="20"/>
              </w:rPr>
              <w:t>d) rolul și responsabilitățile autorităților din Republica Moldova implicate în rezoluția grupurilor transfrontaliere trebuie clar definite;</w:t>
            </w:r>
          </w:p>
          <w:p w14:paraId="15D9DA66" w14:textId="77777777" w:rsidR="00EB243D" w:rsidRPr="00154588" w:rsidRDefault="00EB243D" w:rsidP="008C12B4">
            <w:pPr>
              <w:ind w:firstLine="567"/>
              <w:jc w:val="both"/>
              <w:rPr>
                <w:rFonts w:eastAsia="Calibri"/>
                <w:sz w:val="20"/>
                <w:szCs w:val="20"/>
              </w:rPr>
            </w:pPr>
            <w:r w:rsidRPr="00154588">
              <w:rPr>
                <w:rFonts w:eastAsia="Calibri"/>
                <w:sz w:val="20"/>
                <w:szCs w:val="20"/>
              </w:rPr>
              <w:t xml:space="preserve">e) se acordă o atenție corespunzătoare intereselor statelor membre în care sunt stabilite întreprinderile-mamă din Uniunea Europeană, în </w:t>
            </w:r>
            <w:r w:rsidRPr="00154588">
              <w:rPr>
                <w:rFonts w:eastAsia="Calibri"/>
                <w:sz w:val="20"/>
                <w:szCs w:val="20"/>
              </w:rPr>
              <w:lastRenderedPageBreak/>
              <w:t>special impactului oricărei decizii, acțiuni sau inacțiunii asupra stabilității financiare, resurselor fiscale, fondului de rezoluție, schemei de garantare a depozitelor sau schemei de compensații pentru investitori din statele membre respective;</w:t>
            </w:r>
          </w:p>
          <w:p w14:paraId="619C4874" w14:textId="77777777" w:rsidR="00EB243D" w:rsidRPr="00154588" w:rsidRDefault="00EB243D" w:rsidP="008C12B4">
            <w:pPr>
              <w:ind w:firstLine="567"/>
              <w:jc w:val="both"/>
              <w:rPr>
                <w:rFonts w:eastAsia="Calibri"/>
                <w:sz w:val="20"/>
                <w:szCs w:val="20"/>
              </w:rPr>
            </w:pPr>
            <w:r w:rsidRPr="00154588">
              <w:rPr>
                <w:rFonts w:eastAsia="Calibri"/>
                <w:sz w:val="20"/>
                <w:szCs w:val="20"/>
              </w:rPr>
              <w:t>f) se acordă o atenție corespunzătoare intereselor fiecărui stat membru al Uniunii Europene în care este stabilită o filială, în special impactului oricărei decizii, acțiuni sau inacțiuni asupra stabilității financiare, resurselor fiscale, fondului de rezoluție, schemei de garantare a depozitelor sau schemei de compensații pentru investitori din statele membre respective;</w:t>
            </w:r>
          </w:p>
          <w:p w14:paraId="43947C55" w14:textId="77777777" w:rsidR="00EB243D" w:rsidRPr="00154588" w:rsidRDefault="00EB243D" w:rsidP="008C12B4">
            <w:pPr>
              <w:ind w:firstLine="567"/>
              <w:jc w:val="both"/>
              <w:rPr>
                <w:rFonts w:eastAsia="Calibri"/>
                <w:sz w:val="20"/>
                <w:szCs w:val="20"/>
              </w:rPr>
            </w:pPr>
            <w:r w:rsidRPr="00154588">
              <w:rPr>
                <w:rFonts w:eastAsia="Calibri"/>
                <w:sz w:val="20"/>
                <w:szCs w:val="20"/>
              </w:rPr>
              <w:t>g) se acordă o atenție corespunzătoare intereselor fiecărui stat membru al Uniunii Europene în care sunt stabilite sucursale semnificative, în special impactului oricărei decizii, acțiuni sau inacțiuni asupra stabilității financiare a statelor membre respective;</w:t>
            </w:r>
          </w:p>
          <w:p w14:paraId="32729BD3" w14:textId="77777777" w:rsidR="00EB243D" w:rsidRPr="00154588" w:rsidRDefault="00EB243D" w:rsidP="008C12B4">
            <w:pPr>
              <w:ind w:firstLine="567"/>
              <w:jc w:val="both"/>
              <w:rPr>
                <w:rFonts w:eastAsia="Calibri"/>
                <w:sz w:val="20"/>
                <w:szCs w:val="20"/>
              </w:rPr>
            </w:pPr>
            <w:r w:rsidRPr="00154588">
              <w:rPr>
                <w:rFonts w:eastAsia="Calibri"/>
                <w:sz w:val="20"/>
                <w:szCs w:val="20"/>
              </w:rPr>
              <w:t xml:space="preserve">h) se acordă o atenție corespunzătoare obiectivelor privind echilibrarea intereselor diferitelor state membre implicate și evitarea prejudicierii nedrepte ori a protejării necuvenite a intereselor anumitor state membre, inclusiv evitarea alocării inechitabile între statele membre a sarcinii suportate; </w:t>
            </w:r>
          </w:p>
          <w:p w14:paraId="71D0CA69" w14:textId="77777777" w:rsidR="00EB243D" w:rsidRPr="00154588" w:rsidRDefault="00EB243D" w:rsidP="008C12B4">
            <w:pPr>
              <w:ind w:firstLine="567"/>
              <w:jc w:val="both"/>
              <w:rPr>
                <w:rFonts w:eastAsia="Calibri"/>
                <w:sz w:val="20"/>
                <w:szCs w:val="20"/>
              </w:rPr>
            </w:pPr>
            <w:r w:rsidRPr="00154588">
              <w:rPr>
                <w:rFonts w:eastAsia="Calibri"/>
                <w:sz w:val="20"/>
                <w:szCs w:val="20"/>
              </w:rPr>
              <w:t>i) orice obligație prevăzută de prezenta lege de a consulta o autoritate înainte de luarea oricărei decizii sau întreprinderea oricărei acțiuni implică cel puțin obligația de a consulta autoritatea respectivă cu privire la acele elemente ale deciziei sau acțiunii propuse care au sau este probabil că vor avea un efect asupra întreprinderii-mamă din Uniunea Europeană, a filialei sau a sucursalei relevante pentru autoritățile în cauză, precum și un impact asupra stabilității statului membru al Uniunii Europene respectiv în care întreprinderea-mamă din Uniunea Europeană, filiala sau sucursala este stabilită sau situată;</w:t>
            </w:r>
          </w:p>
          <w:p w14:paraId="71F21966" w14:textId="77777777" w:rsidR="00EB243D" w:rsidRPr="00154588" w:rsidRDefault="00EB243D" w:rsidP="008C12B4">
            <w:pPr>
              <w:ind w:firstLine="567"/>
              <w:jc w:val="both"/>
              <w:rPr>
                <w:rFonts w:eastAsia="Calibri"/>
                <w:sz w:val="20"/>
                <w:szCs w:val="20"/>
              </w:rPr>
            </w:pPr>
            <w:r w:rsidRPr="00154588">
              <w:rPr>
                <w:rFonts w:eastAsia="Calibri"/>
                <w:sz w:val="20"/>
                <w:szCs w:val="20"/>
              </w:rPr>
              <w:t>j) atunci când întreprinde acțiuni de rezoluție, Banca Națională a Moldovei, în calitate de autoritate de rezoluție, ține seama și urmează planurile de rezoluție prevăzute la art.31</w:t>
            </w:r>
            <w:r w:rsidRPr="00154588">
              <w:rPr>
                <w:rFonts w:eastAsia="Calibri"/>
                <w:sz w:val="20"/>
                <w:szCs w:val="20"/>
                <w:vertAlign w:val="superscript"/>
              </w:rPr>
              <w:t>6</w:t>
            </w:r>
            <w:r w:rsidRPr="00154588">
              <w:rPr>
                <w:rFonts w:eastAsia="Calibri"/>
                <w:sz w:val="20"/>
                <w:szCs w:val="20"/>
              </w:rPr>
              <w:t>-31</w:t>
            </w:r>
            <w:r w:rsidRPr="00154588">
              <w:rPr>
                <w:rFonts w:eastAsia="Calibri"/>
                <w:sz w:val="20"/>
                <w:szCs w:val="20"/>
                <w:vertAlign w:val="superscript"/>
              </w:rPr>
              <w:t>13</w:t>
            </w:r>
            <w:r w:rsidRPr="00154588">
              <w:rPr>
                <w:rFonts w:eastAsia="Calibri"/>
                <w:sz w:val="20"/>
                <w:szCs w:val="20"/>
              </w:rPr>
              <w:t> și la art.31</w:t>
            </w:r>
            <w:r w:rsidRPr="00154588">
              <w:rPr>
                <w:rFonts w:eastAsia="Calibri"/>
                <w:sz w:val="20"/>
                <w:szCs w:val="20"/>
                <w:vertAlign w:val="superscript"/>
              </w:rPr>
              <w:t>16</w:t>
            </w:r>
            <w:r w:rsidRPr="00154588">
              <w:rPr>
                <w:rFonts w:eastAsia="Calibri"/>
                <w:sz w:val="20"/>
                <w:szCs w:val="20"/>
              </w:rPr>
              <w:t>-31</w:t>
            </w:r>
            <w:r w:rsidRPr="00154588">
              <w:rPr>
                <w:rFonts w:eastAsia="Calibri"/>
                <w:sz w:val="20"/>
                <w:szCs w:val="20"/>
                <w:vertAlign w:val="superscript"/>
              </w:rPr>
              <w:t>23</w:t>
            </w:r>
            <w:r w:rsidRPr="00154588">
              <w:rPr>
                <w:rFonts w:eastAsia="Calibri"/>
                <w:sz w:val="20"/>
                <w:szCs w:val="20"/>
              </w:rPr>
              <w:t xml:space="preserve">, cu excepția cazului în care consideră, având în vedere circumstanțele specifice, că obiectivele rezoluției vor fi îndeplinite mai eficace prin </w:t>
            </w:r>
            <w:r w:rsidRPr="00154588">
              <w:rPr>
                <w:rFonts w:eastAsia="Calibri"/>
                <w:sz w:val="20"/>
                <w:szCs w:val="20"/>
              </w:rPr>
              <w:lastRenderedPageBreak/>
              <w:t>întreprinderea de acțiuni care nu sunt prevăzute în planurile de rezoluție;</w:t>
            </w:r>
          </w:p>
          <w:p w14:paraId="6FC5569D" w14:textId="77777777" w:rsidR="00EB243D" w:rsidRPr="00154588" w:rsidRDefault="00EB243D" w:rsidP="008C12B4">
            <w:pPr>
              <w:ind w:firstLine="567"/>
              <w:jc w:val="both"/>
              <w:rPr>
                <w:rFonts w:eastAsia="Calibri"/>
                <w:sz w:val="20"/>
                <w:szCs w:val="20"/>
              </w:rPr>
            </w:pPr>
            <w:r w:rsidRPr="00154588">
              <w:rPr>
                <w:rFonts w:eastAsia="Calibri"/>
                <w:sz w:val="20"/>
                <w:szCs w:val="20"/>
              </w:rPr>
              <w:t>k) necesitatea transparenței, ori de câte ori există probabilitatea ca o decizie sau acțiune propusă să aibă implicații asupra stabilității financiare, resurselor fiscale, fondului de rezoluție, schemei de garantare a depozitelor sau schemei de compensare pentru investitori din oricare stat membru al Uniunii Europene relevant; și</w:t>
            </w:r>
          </w:p>
          <w:p w14:paraId="11AF429B" w14:textId="7CFF9250" w:rsidR="00EB243D" w:rsidRPr="00154588" w:rsidRDefault="00EB243D" w:rsidP="008C12B4">
            <w:pPr>
              <w:ind w:firstLine="567"/>
              <w:jc w:val="both"/>
              <w:rPr>
                <w:rFonts w:eastAsia="Calibri"/>
                <w:sz w:val="20"/>
                <w:szCs w:val="20"/>
              </w:rPr>
            </w:pPr>
            <w:r w:rsidRPr="00154588">
              <w:rPr>
                <w:rFonts w:eastAsia="Calibri"/>
                <w:sz w:val="20"/>
                <w:szCs w:val="20"/>
              </w:rPr>
              <w:t>l) recunoașterea faptului că cea mai mare probabilitate de a obține un rezultat care să ducă la scăderea costului global al rezoluției revine coordonării și cooperării.</w:t>
            </w:r>
          </w:p>
        </w:tc>
        <w:tc>
          <w:tcPr>
            <w:tcW w:w="2552" w:type="dxa"/>
          </w:tcPr>
          <w:p w14:paraId="52FCA1B2" w14:textId="47730A5D" w:rsidR="00EB243D" w:rsidRPr="00154588" w:rsidRDefault="00EB243D" w:rsidP="008C12B4">
            <w:pPr>
              <w:jc w:val="both"/>
              <w:rPr>
                <w:sz w:val="20"/>
                <w:szCs w:val="20"/>
              </w:rPr>
            </w:pPr>
            <w:r w:rsidRPr="00154588">
              <w:rPr>
                <w:sz w:val="20"/>
                <w:szCs w:val="20"/>
              </w:rPr>
              <w:lastRenderedPageBreak/>
              <w:t>Compatibil</w:t>
            </w:r>
          </w:p>
        </w:tc>
        <w:tc>
          <w:tcPr>
            <w:tcW w:w="3118" w:type="dxa"/>
          </w:tcPr>
          <w:p w14:paraId="40D412B7" w14:textId="77777777" w:rsidR="00EB243D" w:rsidRPr="00154588" w:rsidRDefault="00EB243D" w:rsidP="008C12B4">
            <w:pPr>
              <w:jc w:val="both"/>
              <w:rPr>
                <w:sz w:val="20"/>
                <w:szCs w:val="20"/>
              </w:rPr>
            </w:pPr>
          </w:p>
        </w:tc>
      </w:tr>
      <w:tr w:rsidR="00EB243D" w:rsidRPr="00154588" w14:paraId="78937650" w14:textId="77777777" w:rsidTr="00D15C1B">
        <w:trPr>
          <w:jc w:val="center"/>
        </w:trPr>
        <w:tc>
          <w:tcPr>
            <w:tcW w:w="4957" w:type="dxa"/>
            <w:gridSpan w:val="2"/>
          </w:tcPr>
          <w:p w14:paraId="367B5017" w14:textId="77777777" w:rsidR="00EB243D" w:rsidRPr="00154588" w:rsidRDefault="00EB243D" w:rsidP="008C12B4">
            <w:pPr>
              <w:jc w:val="both"/>
              <w:rPr>
                <w:b/>
                <w:sz w:val="20"/>
                <w:szCs w:val="20"/>
              </w:rPr>
            </w:pPr>
            <w:r w:rsidRPr="00154588">
              <w:rPr>
                <w:b/>
                <w:sz w:val="20"/>
                <w:szCs w:val="20"/>
              </w:rPr>
              <w:lastRenderedPageBreak/>
              <w:t>Articolul 88</w:t>
            </w:r>
          </w:p>
          <w:p w14:paraId="33BC4BB6" w14:textId="77777777" w:rsidR="00EB243D" w:rsidRPr="00154588" w:rsidRDefault="00EB243D" w:rsidP="008C12B4">
            <w:pPr>
              <w:jc w:val="both"/>
              <w:rPr>
                <w:b/>
                <w:sz w:val="20"/>
                <w:szCs w:val="20"/>
              </w:rPr>
            </w:pPr>
          </w:p>
          <w:p w14:paraId="02822BE3" w14:textId="59B15849" w:rsidR="00EB243D" w:rsidRPr="00154588" w:rsidRDefault="00EB243D" w:rsidP="008C12B4">
            <w:pPr>
              <w:jc w:val="both"/>
              <w:rPr>
                <w:b/>
                <w:sz w:val="20"/>
                <w:szCs w:val="20"/>
              </w:rPr>
            </w:pPr>
            <w:r w:rsidRPr="00154588">
              <w:rPr>
                <w:b/>
                <w:sz w:val="20"/>
                <w:szCs w:val="20"/>
              </w:rPr>
              <w:t>Colegii de rezoluție</w:t>
            </w:r>
          </w:p>
        </w:tc>
        <w:tc>
          <w:tcPr>
            <w:tcW w:w="4819" w:type="dxa"/>
          </w:tcPr>
          <w:p w14:paraId="45A7E9D3" w14:textId="77777777" w:rsidR="00EB243D" w:rsidRPr="00154588" w:rsidRDefault="00EB243D" w:rsidP="008C12B4">
            <w:pPr>
              <w:jc w:val="center"/>
              <w:rPr>
                <w:rFonts w:eastAsia="Calibri"/>
                <w:b/>
                <w:kern w:val="2"/>
                <w:sz w:val="20"/>
                <w:szCs w:val="20"/>
                <w14:ligatures w14:val="standardContextual"/>
              </w:rPr>
            </w:pPr>
            <w:r w:rsidRPr="00154588">
              <w:rPr>
                <w:rFonts w:eastAsia="Calibri"/>
                <w:b/>
                <w:kern w:val="2"/>
                <w:sz w:val="20"/>
                <w:szCs w:val="20"/>
                <w14:ligatures w14:val="standardContextual"/>
              </w:rPr>
              <w:t>Capitolul II</w:t>
            </w:r>
          </w:p>
          <w:p w14:paraId="132BF75F" w14:textId="18F62E8A" w:rsidR="00EB243D" w:rsidRPr="00154588" w:rsidRDefault="00EB243D" w:rsidP="008C12B4">
            <w:pPr>
              <w:jc w:val="center"/>
              <w:rPr>
                <w:rFonts w:eastAsia="Calibri"/>
                <w:b/>
                <w:kern w:val="2"/>
                <w:sz w:val="20"/>
                <w:szCs w:val="20"/>
                <w14:ligatures w14:val="standardContextual"/>
              </w:rPr>
            </w:pPr>
            <w:r w:rsidRPr="00154588">
              <w:rPr>
                <w:rFonts w:eastAsia="Calibri"/>
                <w:b/>
                <w:kern w:val="2"/>
                <w:sz w:val="20"/>
                <w:szCs w:val="20"/>
                <w14:ligatures w14:val="standardContextual"/>
              </w:rPr>
              <w:t>COLEGII DE REZOLUȚIE</w:t>
            </w:r>
          </w:p>
        </w:tc>
        <w:tc>
          <w:tcPr>
            <w:tcW w:w="2552" w:type="dxa"/>
          </w:tcPr>
          <w:p w14:paraId="41D3A0DF" w14:textId="77777777" w:rsidR="00EB243D" w:rsidRPr="00154588" w:rsidRDefault="00EB243D" w:rsidP="008C12B4">
            <w:pPr>
              <w:jc w:val="both"/>
              <w:rPr>
                <w:sz w:val="20"/>
                <w:szCs w:val="20"/>
              </w:rPr>
            </w:pPr>
          </w:p>
        </w:tc>
        <w:tc>
          <w:tcPr>
            <w:tcW w:w="3118" w:type="dxa"/>
          </w:tcPr>
          <w:p w14:paraId="6ECF6A3E" w14:textId="77777777" w:rsidR="00EB243D" w:rsidRPr="00154588" w:rsidRDefault="00EB243D" w:rsidP="008C12B4">
            <w:pPr>
              <w:jc w:val="both"/>
              <w:rPr>
                <w:sz w:val="20"/>
                <w:szCs w:val="20"/>
              </w:rPr>
            </w:pPr>
          </w:p>
        </w:tc>
      </w:tr>
      <w:tr w:rsidR="00EB243D" w:rsidRPr="00154588" w14:paraId="521BC07D" w14:textId="77777777" w:rsidTr="00D15C1B">
        <w:trPr>
          <w:jc w:val="center"/>
        </w:trPr>
        <w:tc>
          <w:tcPr>
            <w:tcW w:w="4957" w:type="dxa"/>
            <w:gridSpan w:val="2"/>
          </w:tcPr>
          <w:p w14:paraId="3AA7A714" w14:textId="763D20B7" w:rsidR="00EB243D" w:rsidRPr="00154588" w:rsidRDefault="00EB243D" w:rsidP="008C12B4">
            <w:pPr>
              <w:jc w:val="both"/>
              <w:rPr>
                <w:sz w:val="20"/>
                <w:szCs w:val="20"/>
              </w:rPr>
            </w:pPr>
            <w:r w:rsidRPr="00154588">
              <w:rPr>
                <w:sz w:val="20"/>
                <w:szCs w:val="20"/>
              </w:rPr>
              <w:t xml:space="preserve">(1)   Sub rezerva articolului 89, autoritățile de rezoluție la nivelul grupului instituie colegii de rezoluție pentru a îndeplini sarcinile menționate la articolele 12, 13, 16, 18, 45-45h, 91 și 92 și, după caz, pentru a asigura cooperarea și coordonarea cu autoritățile de rezoluție din țări terțe. </w:t>
            </w:r>
          </w:p>
          <w:p w14:paraId="4CC17951" w14:textId="77777777" w:rsidR="00EB243D" w:rsidRPr="00154588" w:rsidRDefault="00EB243D" w:rsidP="008C12B4">
            <w:pPr>
              <w:jc w:val="both"/>
              <w:rPr>
                <w:sz w:val="20"/>
                <w:szCs w:val="20"/>
              </w:rPr>
            </w:pPr>
            <w:r w:rsidRPr="00154588">
              <w:rPr>
                <w:sz w:val="20"/>
                <w:szCs w:val="20"/>
              </w:rPr>
              <w:t>În special, colegiile de rezoluție furnizează autorităților de rezoluție ale grupurilor, celorlalte autorități de rezoluție relevantși, după caz, autorităților competente și supraveghetorilor consolidanți în cauză un cadru pentru îndeplinirea următoarelor sarcini:</w:t>
            </w:r>
          </w:p>
          <w:p w14:paraId="3557E41B" w14:textId="77777777" w:rsidR="00EB243D" w:rsidRPr="00154588" w:rsidRDefault="00EB243D" w:rsidP="008C12B4">
            <w:pPr>
              <w:jc w:val="both"/>
              <w:rPr>
                <w:sz w:val="20"/>
                <w:szCs w:val="20"/>
              </w:rPr>
            </w:pPr>
          </w:p>
          <w:p w14:paraId="507DCAEE" w14:textId="39A2BAD7" w:rsidR="00EB243D" w:rsidRPr="00154588" w:rsidRDefault="00EB243D" w:rsidP="008C12B4">
            <w:pPr>
              <w:jc w:val="both"/>
              <w:rPr>
                <w:sz w:val="20"/>
                <w:szCs w:val="20"/>
              </w:rPr>
            </w:pPr>
            <w:r w:rsidRPr="00154588">
              <w:rPr>
                <w:sz w:val="20"/>
                <w:szCs w:val="20"/>
              </w:rPr>
              <w:t>(a) schimbul de informații care prezintă interes din punctul de vedere al elaborării planurilor de rezoluție a grupurilor, al aplicării în cazul grupurilor a competențelor de pregătire și prevenire, precum și al rezoluției grupurilor;</w:t>
            </w:r>
          </w:p>
          <w:p w14:paraId="04DEE09C" w14:textId="77777777" w:rsidR="00EB243D" w:rsidRPr="00154588" w:rsidRDefault="00EB243D" w:rsidP="008C12B4">
            <w:pPr>
              <w:jc w:val="both"/>
              <w:rPr>
                <w:sz w:val="20"/>
                <w:szCs w:val="20"/>
              </w:rPr>
            </w:pPr>
          </w:p>
          <w:p w14:paraId="5069C8A4" w14:textId="33D263C9" w:rsidR="00EB243D" w:rsidRPr="00154588" w:rsidRDefault="00EB243D" w:rsidP="008C12B4">
            <w:pPr>
              <w:jc w:val="both"/>
              <w:rPr>
                <w:sz w:val="20"/>
                <w:szCs w:val="20"/>
              </w:rPr>
            </w:pPr>
            <w:r w:rsidRPr="00154588">
              <w:rPr>
                <w:sz w:val="20"/>
                <w:szCs w:val="20"/>
              </w:rPr>
              <w:t>(b) elaborarea planurilor de rezoluție a grupurilor în conformitate cu articolele 12 și 13;</w:t>
            </w:r>
          </w:p>
          <w:p w14:paraId="054313C6" w14:textId="77777777" w:rsidR="00EB243D" w:rsidRPr="00154588" w:rsidRDefault="00EB243D" w:rsidP="008C12B4">
            <w:pPr>
              <w:jc w:val="both"/>
              <w:rPr>
                <w:sz w:val="20"/>
                <w:szCs w:val="20"/>
              </w:rPr>
            </w:pPr>
          </w:p>
          <w:p w14:paraId="1618434B" w14:textId="70A6387F" w:rsidR="00EB243D" w:rsidRPr="00154588" w:rsidRDefault="00EB243D" w:rsidP="008C12B4">
            <w:pPr>
              <w:jc w:val="both"/>
              <w:rPr>
                <w:sz w:val="20"/>
                <w:szCs w:val="20"/>
              </w:rPr>
            </w:pPr>
            <w:r w:rsidRPr="00154588">
              <w:rPr>
                <w:sz w:val="20"/>
                <w:szCs w:val="20"/>
              </w:rPr>
              <w:lastRenderedPageBreak/>
              <w:t>(c) evaluarea posibilităților de soluționare a grupurilor în conformitate cu articolul 16;</w:t>
            </w:r>
          </w:p>
          <w:p w14:paraId="3BDA5A4E" w14:textId="77777777" w:rsidR="00EB243D" w:rsidRPr="00154588" w:rsidRDefault="00EB243D" w:rsidP="008C12B4">
            <w:pPr>
              <w:jc w:val="both"/>
              <w:rPr>
                <w:sz w:val="20"/>
                <w:szCs w:val="20"/>
              </w:rPr>
            </w:pPr>
          </w:p>
          <w:p w14:paraId="6F680702" w14:textId="77436C7F" w:rsidR="00EB243D" w:rsidRPr="00154588" w:rsidRDefault="00EB243D" w:rsidP="008C12B4">
            <w:pPr>
              <w:jc w:val="both"/>
              <w:rPr>
                <w:sz w:val="20"/>
                <w:szCs w:val="20"/>
              </w:rPr>
            </w:pPr>
            <w:r w:rsidRPr="00154588">
              <w:rPr>
                <w:sz w:val="20"/>
                <w:szCs w:val="20"/>
              </w:rPr>
              <w:t>(d) exercitarea competențelor de abordare sau înlăturare a obstacolelor din calea posibilităților de soluționare a grupurilor în conformitate cu articolul 18;</w:t>
            </w:r>
          </w:p>
          <w:p w14:paraId="04E1DC81" w14:textId="77777777" w:rsidR="00EB243D" w:rsidRPr="00154588" w:rsidRDefault="00EB243D" w:rsidP="008C12B4">
            <w:pPr>
              <w:jc w:val="both"/>
              <w:rPr>
                <w:sz w:val="20"/>
                <w:szCs w:val="20"/>
              </w:rPr>
            </w:pPr>
          </w:p>
          <w:p w14:paraId="6EEB0812" w14:textId="535822FF" w:rsidR="00EB243D" w:rsidRPr="00154588" w:rsidRDefault="00EB243D" w:rsidP="008C12B4">
            <w:pPr>
              <w:jc w:val="both"/>
              <w:rPr>
                <w:sz w:val="20"/>
                <w:szCs w:val="20"/>
              </w:rPr>
            </w:pPr>
            <w:r w:rsidRPr="00154588">
              <w:rPr>
                <w:sz w:val="20"/>
                <w:szCs w:val="20"/>
              </w:rPr>
              <w:t>(e) luarea deciziei cu privire la necesitatea de a institui o schemă de rezoluție a grupului menționată la articolului 91 sau 92;</w:t>
            </w:r>
          </w:p>
          <w:p w14:paraId="49A17F9E" w14:textId="77777777" w:rsidR="00EB243D" w:rsidRPr="00154588" w:rsidRDefault="00EB243D" w:rsidP="008C12B4">
            <w:pPr>
              <w:jc w:val="both"/>
              <w:rPr>
                <w:sz w:val="20"/>
                <w:szCs w:val="20"/>
              </w:rPr>
            </w:pPr>
          </w:p>
          <w:p w14:paraId="2F287581" w14:textId="50A48A3D" w:rsidR="00EB243D" w:rsidRPr="00154588" w:rsidRDefault="00EB243D" w:rsidP="008C12B4">
            <w:pPr>
              <w:jc w:val="both"/>
              <w:rPr>
                <w:sz w:val="20"/>
                <w:szCs w:val="20"/>
              </w:rPr>
            </w:pPr>
            <w:r w:rsidRPr="00154588">
              <w:rPr>
                <w:sz w:val="20"/>
                <w:szCs w:val="20"/>
              </w:rPr>
              <w:t>(f) obținerea acordului privind schema de rezoluție a grupului propusă în conformitate cu articolul 91 sau 92;</w:t>
            </w:r>
          </w:p>
          <w:p w14:paraId="3E30B1CD" w14:textId="77777777" w:rsidR="00EB243D" w:rsidRPr="00154588" w:rsidRDefault="00EB243D" w:rsidP="008C12B4">
            <w:pPr>
              <w:jc w:val="both"/>
              <w:rPr>
                <w:sz w:val="20"/>
                <w:szCs w:val="20"/>
              </w:rPr>
            </w:pPr>
          </w:p>
          <w:p w14:paraId="46C5FA24" w14:textId="50831AB6" w:rsidR="00EB243D" w:rsidRPr="00154588" w:rsidRDefault="00EB243D" w:rsidP="008C12B4">
            <w:pPr>
              <w:jc w:val="both"/>
              <w:rPr>
                <w:sz w:val="20"/>
                <w:szCs w:val="20"/>
              </w:rPr>
            </w:pPr>
            <w:r w:rsidRPr="00154588">
              <w:rPr>
                <w:sz w:val="20"/>
                <w:szCs w:val="20"/>
              </w:rPr>
              <w:t>(g) coordonarea comunicării publice a strategiilor și schemelor de rezoluție a grupului;</w:t>
            </w:r>
          </w:p>
          <w:p w14:paraId="341A0FDF" w14:textId="77777777" w:rsidR="00EB243D" w:rsidRPr="00154588" w:rsidRDefault="00EB243D" w:rsidP="008C12B4">
            <w:pPr>
              <w:jc w:val="both"/>
              <w:rPr>
                <w:sz w:val="20"/>
                <w:szCs w:val="20"/>
              </w:rPr>
            </w:pPr>
          </w:p>
          <w:p w14:paraId="2B4489EB" w14:textId="64273E04" w:rsidR="00EB243D" w:rsidRPr="00154588" w:rsidRDefault="00EB243D" w:rsidP="008C12B4">
            <w:pPr>
              <w:jc w:val="both"/>
              <w:rPr>
                <w:sz w:val="20"/>
                <w:szCs w:val="20"/>
              </w:rPr>
            </w:pPr>
            <w:r w:rsidRPr="00154588">
              <w:rPr>
                <w:sz w:val="20"/>
                <w:szCs w:val="20"/>
              </w:rPr>
              <w:t>(h) coordonarea utilizării mecanismelor de finanțare prevăzute în titlul VII;</w:t>
            </w:r>
          </w:p>
          <w:p w14:paraId="7F6BC559" w14:textId="77777777" w:rsidR="00EB243D" w:rsidRPr="00154588" w:rsidRDefault="00EB243D" w:rsidP="008C12B4">
            <w:pPr>
              <w:jc w:val="both"/>
              <w:rPr>
                <w:sz w:val="20"/>
                <w:szCs w:val="20"/>
              </w:rPr>
            </w:pPr>
          </w:p>
          <w:p w14:paraId="730C89F2" w14:textId="1D370E2B" w:rsidR="00EB243D" w:rsidRPr="00154588" w:rsidRDefault="00EB243D" w:rsidP="008C12B4">
            <w:pPr>
              <w:jc w:val="both"/>
              <w:rPr>
                <w:sz w:val="20"/>
                <w:szCs w:val="20"/>
              </w:rPr>
            </w:pPr>
            <w:r w:rsidRPr="00154588">
              <w:rPr>
                <w:sz w:val="20"/>
                <w:szCs w:val="20"/>
              </w:rPr>
              <w:t>(i) stabilirea cerințelor minime pentru grupuri la nivel consolidat și la nivel de filială în temeiul articolelor 45-45h.</w:t>
            </w:r>
          </w:p>
          <w:p w14:paraId="4314FCE7" w14:textId="77777777" w:rsidR="00EB243D" w:rsidRPr="00154588" w:rsidRDefault="00EB243D" w:rsidP="008C12B4">
            <w:pPr>
              <w:jc w:val="both"/>
              <w:rPr>
                <w:sz w:val="20"/>
                <w:szCs w:val="20"/>
              </w:rPr>
            </w:pPr>
          </w:p>
          <w:p w14:paraId="1135CA8C" w14:textId="17370AA7" w:rsidR="00EB243D" w:rsidRPr="00154588" w:rsidRDefault="00EB243D" w:rsidP="008C12B4">
            <w:pPr>
              <w:jc w:val="both"/>
              <w:rPr>
                <w:sz w:val="20"/>
                <w:szCs w:val="20"/>
              </w:rPr>
            </w:pPr>
            <w:r w:rsidRPr="00154588">
              <w:rPr>
                <w:sz w:val="20"/>
                <w:szCs w:val="20"/>
              </w:rPr>
              <w:t>În plus, colegiile de rezoluție pot fi utilizate drept forum de discuții pe orice temă legată de rezoluția grupurilor transfrontaliere.</w:t>
            </w:r>
          </w:p>
        </w:tc>
        <w:tc>
          <w:tcPr>
            <w:tcW w:w="4819" w:type="dxa"/>
          </w:tcPr>
          <w:p w14:paraId="7B48C4F1"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lastRenderedPageBreak/>
              <w:t>Articolul 295</w:t>
            </w:r>
            <w:r w:rsidRPr="00154588">
              <w:rPr>
                <w:rFonts w:eastAsia="Calibri"/>
                <w:b/>
                <w:kern w:val="2"/>
                <w:sz w:val="20"/>
                <w:szCs w:val="20"/>
                <w:vertAlign w:val="superscript"/>
                <w14:ligatures w14:val="standardContextual"/>
              </w:rPr>
              <w:t>2</w:t>
            </w:r>
            <w:r w:rsidRPr="00154588">
              <w:rPr>
                <w:rFonts w:eastAsia="Calibri"/>
                <w:kern w:val="2"/>
                <w:sz w:val="20"/>
                <w:szCs w:val="20"/>
                <w14:ligatures w14:val="standardContextual"/>
              </w:rPr>
              <w:t>. – (1) Sub rezerva dispozițiilor art.295</w:t>
            </w:r>
            <w:r w:rsidRPr="00154588">
              <w:rPr>
                <w:rFonts w:eastAsia="Calibri"/>
                <w:kern w:val="2"/>
                <w:sz w:val="20"/>
                <w:szCs w:val="20"/>
                <w:vertAlign w:val="superscript"/>
                <w14:ligatures w14:val="standardContextual"/>
              </w:rPr>
              <w:t>8</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12</w:t>
            </w:r>
            <w:r w:rsidRPr="00154588">
              <w:rPr>
                <w:rFonts w:eastAsia="Calibri"/>
                <w:kern w:val="2"/>
                <w:sz w:val="20"/>
                <w:szCs w:val="20"/>
                <w14:ligatures w14:val="standardContextual"/>
              </w:rPr>
              <w:t>, Banca Națională a Moldovei, în calitate de autoritate de rezoluție la nivel de grup, stabilește colegii de rezoluție pentru a îndeplini atribuțiile prevăzute la art.31</w:t>
            </w:r>
            <w:r w:rsidRPr="00154588">
              <w:rPr>
                <w:rFonts w:eastAsia="Calibri"/>
                <w:kern w:val="2"/>
                <w:sz w:val="20"/>
                <w:szCs w:val="20"/>
                <w:vertAlign w:val="superscript"/>
                <w14:ligatures w14:val="standardContextual"/>
              </w:rPr>
              <w:t>1</w:t>
            </w:r>
            <w:r w:rsidRPr="00154588">
              <w:rPr>
                <w:rFonts w:eastAsia="Calibri"/>
                <w:kern w:val="2"/>
                <w:sz w:val="20"/>
                <w:szCs w:val="20"/>
                <w14:ligatures w14:val="standardContextual"/>
              </w:rPr>
              <w:t>-31</w:t>
            </w:r>
            <w:r w:rsidRPr="00154588">
              <w:rPr>
                <w:rFonts w:eastAsia="Calibri"/>
                <w:kern w:val="2"/>
                <w:sz w:val="20"/>
                <w:szCs w:val="20"/>
                <w:vertAlign w:val="superscript"/>
                <w14:ligatures w14:val="standardContextual"/>
              </w:rPr>
              <w:t>13</w:t>
            </w:r>
            <w:r w:rsidRPr="00154588">
              <w:rPr>
                <w:rFonts w:eastAsia="Calibri"/>
                <w:kern w:val="2"/>
                <w:sz w:val="20"/>
                <w:szCs w:val="20"/>
                <w14:ligatures w14:val="standardContextual"/>
              </w:rPr>
              <w:t>, art.34</w:t>
            </w:r>
            <w:r w:rsidRPr="00154588">
              <w:rPr>
                <w:rFonts w:eastAsia="Calibri"/>
                <w:kern w:val="2"/>
                <w:sz w:val="20"/>
                <w:szCs w:val="20"/>
                <w:vertAlign w:val="superscript"/>
                <w14:ligatures w14:val="standardContextual"/>
              </w:rPr>
              <w:t>3</w:t>
            </w:r>
            <w:r w:rsidRPr="00154588">
              <w:rPr>
                <w:rFonts w:eastAsia="Calibri"/>
                <w:kern w:val="2"/>
                <w:sz w:val="20"/>
                <w:szCs w:val="20"/>
                <w14:ligatures w14:val="standardContextual"/>
              </w:rPr>
              <w:t xml:space="preserve"> alin.(1)-(7), art.41</w:t>
            </w:r>
            <w:r w:rsidRPr="00154588">
              <w:rPr>
                <w:rFonts w:eastAsia="Calibri"/>
                <w:kern w:val="2"/>
                <w:sz w:val="20"/>
                <w:szCs w:val="20"/>
                <w:vertAlign w:val="superscript"/>
                <w14:ligatures w14:val="standardContextual"/>
              </w:rPr>
              <w:t>1</w:t>
            </w:r>
            <w:r w:rsidRPr="00154588">
              <w:rPr>
                <w:rFonts w:eastAsia="Calibri"/>
                <w:kern w:val="2"/>
                <w:sz w:val="20"/>
                <w:szCs w:val="20"/>
                <w14:ligatures w14:val="standardContextual"/>
              </w:rPr>
              <w:t>-41</w:t>
            </w:r>
            <w:r w:rsidRPr="00154588">
              <w:rPr>
                <w:rFonts w:eastAsia="Calibri"/>
                <w:kern w:val="2"/>
                <w:sz w:val="20"/>
                <w:szCs w:val="20"/>
                <w:vertAlign w:val="superscript"/>
                <w14:ligatures w14:val="standardContextual"/>
              </w:rPr>
              <w:t>6</w:t>
            </w:r>
            <w:r w:rsidRPr="00154588">
              <w:rPr>
                <w:rFonts w:eastAsia="Calibri"/>
                <w:kern w:val="2"/>
                <w:sz w:val="20"/>
                <w:szCs w:val="20"/>
                <w14:ligatures w14:val="standardContextual"/>
              </w:rPr>
              <w:t>, art.164-170, art.295</w:t>
            </w:r>
            <w:r w:rsidRPr="00154588">
              <w:rPr>
                <w:rFonts w:eastAsia="Calibri"/>
                <w:kern w:val="2"/>
                <w:sz w:val="20"/>
                <w:szCs w:val="20"/>
                <w:vertAlign w:val="superscript"/>
                <w14:ligatures w14:val="standardContextual"/>
              </w:rPr>
              <w:t>17</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29</w:t>
            </w:r>
            <w:r w:rsidRPr="00154588">
              <w:rPr>
                <w:rFonts w:eastAsia="Calibri"/>
                <w:kern w:val="2"/>
                <w:sz w:val="20"/>
                <w:szCs w:val="20"/>
                <w14:ligatures w14:val="standardContextual"/>
              </w:rPr>
              <w:t>, art.295</w:t>
            </w:r>
            <w:r w:rsidRPr="00154588">
              <w:rPr>
                <w:rFonts w:eastAsia="Calibri"/>
                <w:kern w:val="2"/>
                <w:sz w:val="20"/>
                <w:szCs w:val="20"/>
                <w:vertAlign w:val="superscript"/>
                <w14:ligatures w14:val="standardContextual"/>
              </w:rPr>
              <w:t>42</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48</w:t>
            </w:r>
            <w:r w:rsidRPr="00154588">
              <w:rPr>
                <w:rFonts w:eastAsia="Calibri"/>
                <w:kern w:val="2"/>
                <w:sz w:val="20"/>
                <w:szCs w:val="20"/>
                <w14:ligatures w14:val="standardContextual"/>
              </w:rPr>
              <w:t> și, după caz, pentru a asigura cooperarea și coordonarea cu autoritățile de rezoluție din state terțe.</w:t>
            </w:r>
          </w:p>
          <w:p w14:paraId="31B8520E"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(2) Colegiile de rezoluție furnizează Băncii Naționale a Moldovei, în oricare din calitățile sale de autoritate de rezoluție la nivel de grup, autoritate de rezoluție la nivel individual și, acolo unde este cazul, autoritate competentă și supraveghetor consolidant, și celorlalte autorități din colegiu un cadru pentru îndeplinirea următoarelor sarcini:</w:t>
            </w:r>
          </w:p>
          <w:p w14:paraId="0730AA59"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a) schimbul de informații care prezintă interes din punctul de vedere al elaborării planurilor de rezoluție a grupurilor, al aplicării în cazul grupurilor a competențelor de pregătire și prevenire, precum și al rezoluției grupurilor;</w:t>
            </w:r>
          </w:p>
          <w:p w14:paraId="7103C1D7"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lastRenderedPageBreak/>
              <w:t>b) elaborarea planurilor de rezoluție a grupurilor în conformitate cu prevederile art.31</w:t>
            </w:r>
            <w:r w:rsidRPr="00154588">
              <w:rPr>
                <w:rFonts w:eastAsia="Calibri"/>
                <w:kern w:val="2"/>
                <w:sz w:val="20"/>
                <w:szCs w:val="20"/>
                <w:vertAlign w:val="superscript"/>
                <w14:ligatures w14:val="standardContextual"/>
              </w:rPr>
              <w:t>1</w:t>
            </w:r>
            <w:r w:rsidRPr="00154588">
              <w:rPr>
                <w:rFonts w:eastAsia="Calibri"/>
                <w:kern w:val="2"/>
                <w:sz w:val="20"/>
                <w:szCs w:val="20"/>
                <w14:ligatures w14:val="standardContextual"/>
              </w:rPr>
              <w:t>-31</w:t>
            </w:r>
            <w:r w:rsidRPr="00154588">
              <w:rPr>
                <w:rFonts w:eastAsia="Calibri"/>
                <w:kern w:val="2"/>
                <w:sz w:val="20"/>
                <w:szCs w:val="20"/>
                <w:vertAlign w:val="superscript"/>
                <w14:ligatures w14:val="standardContextual"/>
              </w:rPr>
              <w:t>13</w:t>
            </w:r>
            <w:r w:rsidRPr="00154588">
              <w:rPr>
                <w:rFonts w:eastAsia="Calibri"/>
                <w:kern w:val="2"/>
                <w:sz w:val="20"/>
                <w:szCs w:val="20"/>
                <w14:ligatures w14:val="standardContextual"/>
              </w:rPr>
              <w:t> și art.31</w:t>
            </w:r>
            <w:r w:rsidRPr="00154588">
              <w:rPr>
                <w:rFonts w:eastAsia="Calibri"/>
                <w:kern w:val="2"/>
                <w:sz w:val="20"/>
                <w:szCs w:val="20"/>
                <w:vertAlign w:val="superscript"/>
                <w14:ligatures w14:val="standardContextual"/>
              </w:rPr>
              <w:t>15</w:t>
            </w:r>
            <w:r w:rsidRPr="00154588">
              <w:rPr>
                <w:rFonts w:eastAsia="Calibri"/>
                <w:kern w:val="2"/>
                <w:sz w:val="20"/>
                <w:szCs w:val="20"/>
                <w14:ligatures w14:val="standardContextual"/>
              </w:rPr>
              <w:t>-31</w:t>
            </w:r>
            <w:r w:rsidRPr="00154588">
              <w:rPr>
                <w:rFonts w:eastAsia="Calibri"/>
                <w:kern w:val="2"/>
                <w:sz w:val="20"/>
                <w:szCs w:val="20"/>
                <w:vertAlign w:val="superscript"/>
                <w14:ligatures w14:val="standardContextual"/>
              </w:rPr>
              <w:t>23</w:t>
            </w:r>
            <w:r w:rsidRPr="00154588">
              <w:rPr>
                <w:rFonts w:eastAsia="Calibri"/>
                <w:kern w:val="2"/>
                <w:sz w:val="20"/>
                <w:szCs w:val="20"/>
                <w14:ligatures w14:val="standardContextual"/>
              </w:rPr>
              <w:t>;</w:t>
            </w:r>
          </w:p>
          <w:p w14:paraId="38304712"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c) evaluarea posibilităților de soluționare a grupurilor în conformitate cu prevederile art.34</w:t>
            </w:r>
            <w:r w:rsidRPr="00154588">
              <w:rPr>
                <w:rFonts w:eastAsia="Calibri"/>
                <w:kern w:val="2"/>
                <w:sz w:val="20"/>
                <w:szCs w:val="20"/>
                <w:vertAlign w:val="superscript"/>
                <w14:ligatures w14:val="standardContextual"/>
              </w:rPr>
              <w:t>3</w:t>
            </w:r>
            <w:r w:rsidRPr="00154588">
              <w:rPr>
                <w:rFonts w:eastAsia="Calibri"/>
                <w:kern w:val="2"/>
                <w:sz w:val="20"/>
                <w:szCs w:val="20"/>
                <w14:ligatures w14:val="standardContextual"/>
              </w:rPr>
              <w:t xml:space="preserve"> alin.(1)-(7) și art.34</w:t>
            </w:r>
            <w:r w:rsidRPr="00154588">
              <w:rPr>
                <w:rFonts w:eastAsia="Calibri"/>
                <w:kern w:val="2"/>
                <w:sz w:val="20"/>
                <w:szCs w:val="20"/>
                <w:vertAlign w:val="superscript"/>
                <w14:ligatures w14:val="standardContextual"/>
              </w:rPr>
              <w:t>4</w:t>
            </w:r>
            <w:r w:rsidRPr="00154588">
              <w:rPr>
                <w:rFonts w:eastAsia="Calibri"/>
                <w:kern w:val="2"/>
                <w:sz w:val="20"/>
                <w:szCs w:val="20"/>
                <w14:ligatures w14:val="standardContextual"/>
              </w:rPr>
              <w:t>;</w:t>
            </w:r>
          </w:p>
          <w:p w14:paraId="2F236205"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d) exercitarea competențelor de a aborda sau de a înlătura obstacolele din calea posibilităților de soluționare a grupurilor în conformitate cu prevederile art.41</w:t>
            </w:r>
            <w:r w:rsidRPr="00154588">
              <w:rPr>
                <w:rFonts w:eastAsia="Calibri"/>
                <w:kern w:val="2"/>
                <w:sz w:val="20"/>
                <w:szCs w:val="20"/>
                <w:vertAlign w:val="superscript"/>
                <w14:ligatures w14:val="standardContextual"/>
              </w:rPr>
              <w:t>1</w:t>
            </w:r>
            <w:r w:rsidRPr="00154588">
              <w:rPr>
                <w:rFonts w:eastAsia="Calibri"/>
                <w:kern w:val="2"/>
                <w:sz w:val="20"/>
                <w:szCs w:val="20"/>
                <w14:ligatures w14:val="standardContextual"/>
              </w:rPr>
              <w:t>-41</w:t>
            </w:r>
            <w:r w:rsidRPr="00154588">
              <w:rPr>
                <w:rFonts w:eastAsia="Calibri"/>
                <w:kern w:val="2"/>
                <w:sz w:val="20"/>
                <w:szCs w:val="20"/>
                <w:vertAlign w:val="superscript"/>
                <w14:ligatures w14:val="standardContextual"/>
              </w:rPr>
              <w:t>8</w:t>
            </w:r>
            <w:r w:rsidRPr="00154588">
              <w:rPr>
                <w:rFonts w:eastAsia="Calibri"/>
                <w:kern w:val="2"/>
                <w:sz w:val="20"/>
                <w:szCs w:val="20"/>
                <w14:ligatures w14:val="standardContextual"/>
              </w:rPr>
              <w:t>;</w:t>
            </w:r>
          </w:p>
          <w:p w14:paraId="7B74238B"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e) luarea deciziei cu privire la necesitatea de a institui o schemă de rezoluție a grupului prevăzută la art.295</w:t>
            </w:r>
            <w:r w:rsidRPr="00154588">
              <w:rPr>
                <w:rFonts w:eastAsia="Calibri"/>
                <w:kern w:val="2"/>
                <w:sz w:val="20"/>
                <w:szCs w:val="20"/>
                <w:vertAlign w:val="superscript"/>
                <w14:ligatures w14:val="standardContextual"/>
              </w:rPr>
              <w:t>17</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29</w:t>
            </w:r>
            <w:r w:rsidRPr="00154588">
              <w:rPr>
                <w:rFonts w:eastAsia="Calibri"/>
                <w:kern w:val="2"/>
                <w:sz w:val="20"/>
                <w:szCs w:val="20"/>
                <w14:ligatures w14:val="standardContextual"/>
              </w:rPr>
              <w:t> sau la art.295</w:t>
            </w:r>
            <w:r w:rsidRPr="00154588">
              <w:rPr>
                <w:rFonts w:eastAsia="Calibri"/>
                <w:kern w:val="2"/>
                <w:sz w:val="20"/>
                <w:szCs w:val="20"/>
                <w:vertAlign w:val="superscript"/>
                <w14:ligatures w14:val="standardContextual"/>
              </w:rPr>
              <w:t>42</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54</w:t>
            </w:r>
            <w:r w:rsidRPr="00154588">
              <w:rPr>
                <w:rFonts w:eastAsia="Calibri"/>
                <w:kern w:val="2"/>
                <w:sz w:val="20"/>
                <w:szCs w:val="20"/>
                <w14:ligatures w14:val="standardContextual"/>
              </w:rPr>
              <w:t>;</w:t>
            </w:r>
          </w:p>
          <w:p w14:paraId="31848182"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f) obținerea acordului privind schema de rezoluție a grupului propusă în conformitate cu prevederile art.295</w:t>
            </w:r>
            <w:r w:rsidRPr="00154588">
              <w:rPr>
                <w:rFonts w:eastAsia="Calibri"/>
                <w:kern w:val="2"/>
                <w:sz w:val="20"/>
                <w:szCs w:val="20"/>
                <w:vertAlign w:val="superscript"/>
                <w14:ligatures w14:val="standardContextual"/>
              </w:rPr>
              <w:t>17</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29</w:t>
            </w:r>
            <w:r w:rsidRPr="00154588">
              <w:rPr>
                <w:rFonts w:eastAsia="Calibri"/>
                <w:kern w:val="2"/>
                <w:sz w:val="20"/>
                <w:szCs w:val="20"/>
                <w14:ligatures w14:val="standardContextual"/>
              </w:rPr>
              <w:t> sau la art.295</w:t>
            </w:r>
            <w:r w:rsidRPr="00154588">
              <w:rPr>
                <w:rFonts w:eastAsia="Calibri"/>
                <w:kern w:val="2"/>
                <w:sz w:val="20"/>
                <w:szCs w:val="20"/>
                <w:vertAlign w:val="superscript"/>
                <w14:ligatures w14:val="standardContextual"/>
              </w:rPr>
              <w:t>42</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54</w:t>
            </w:r>
            <w:r w:rsidRPr="00154588">
              <w:rPr>
                <w:rFonts w:eastAsia="Calibri"/>
                <w:kern w:val="2"/>
                <w:sz w:val="20"/>
                <w:szCs w:val="20"/>
                <w14:ligatures w14:val="standardContextual"/>
              </w:rPr>
              <w:t>;</w:t>
            </w:r>
          </w:p>
          <w:p w14:paraId="4369355D"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g) coordonarea comunicării publice a strategiilor și schemelor de rezoluție a grupului;</w:t>
            </w:r>
          </w:p>
          <w:p w14:paraId="36310229"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h) coordonarea utilizării mecanismelor de finanțare prevăzute în titlul V;</w:t>
            </w:r>
          </w:p>
          <w:p w14:paraId="112C9C6A"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i) stabilirea cerințelor minime de fonduri proprii și datorii eligibile pentru grupuri, la nivel consolidat și la nivel de filială, prevăzute la art.164-170.</w:t>
            </w:r>
          </w:p>
          <w:p w14:paraId="777946DA"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(3) Colegiile de rezoluție pot fi utilizate drept forum de discuții pentru orice aspect legat de rezoluția grupurilor transfrontaliere.</w:t>
            </w:r>
          </w:p>
          <w:p w14:paraId="6584A50B" w14:textId="77777777" w:rsidR="00EB243D" w:rsidRPr="00154588" w:rsidRDefault="00EB243D" w:rsidP="008C12B4">
            <w:pPr>
              <w:jc w:val="both"/>
              <w:rPr>
                <w:sz w:val="20"/>
                <w:szCs w:val="20"/>
              </w:rPr>
            </w:pPr>
          </w:p>
        </w:tc>
        <w:tc>
          <w:tcPr>
            <w:tcW w:w="2552" w:type="dxa"/>
          </w:tcPr>
          <w:p w14:paraId="54CE6D13" w14:textId="6DCE92E9" w:rsidR="00EB243D" w:rsidRPr="00154588" w:rsidRDefault="00EB243D" w:rsidP="008C12B4">
            <w:pPr>
              <w:jc w:val="both"/>
              <w:rPr>
                <w:sz w:val="20"/>
                <w:szCs w:val="20"/>
              </w:rPr>
            </w:pPr>
            <w:r w:rsidRPr="00154588">
              <w:rPr>
                <w:sz w:val="20"/>
                <w:szCs w:val="20"/>
              </w:rPr>
              <w:lastRenderedPageBreak/>
              <w:t>Compatibil</w:t>
            </w:r>
          </w:p>
        </w:tc>
        <w:tc>
          <w:tcPr>
            <w:tcW w:w="3118" w:type="dxa"/>
          </w:tcPr>
          <w:p w14:paraId="0E3B678B" w14:textId="77777777" w:rsidR="00EB243D" w:rsidRPr="00154588" w:rsidRDefault="00EB243D" w:rsidP="008C12B4">
            <w:pPr>
              <w:jc w:val="both"/>
              <w:rPr>
                <w:sz w:val="20"/>
                <w:szCs w:val="20"/>
              </w:rPr>
            </w:pPr>
          </w:p>
        </w:tc>
      </w:tr>
      <w:tr w:rsidR="00EB243D" w:rsidRPr="00154588" w14:paraId="345A37BF" w14:textId="77777777" w:rsidTr="00D15C1B">
        <w:trPr>
          <w:jc w:val="center"/>
        </w:trPr>
        <w:tc>
          <w:tcPr>
            <w:tcW w:w="4957" w:type="dxa"/>
            <w:gridSpan w:val="2"/>
          </w:tcPr>
          <w:p w14:paraId="2FDC58C6" w14:textId="77777777" w:rsidR="00EB243D" w:rsidRPr="00154588" w:rsidRDefault="00EB243D" w:rsidP="008C12B4">
            <w:pPr>
              <w:jc w:val="both"/>
              <w:rPr>
                <w:sz w:val="20"/>
                <w:szCs w:val="20"/>
              </w:rPr>
            </w:pPr>
            <w:r w:rsidRPr="00154588">
              <w:rPr>
                <w:sz w:val="20"/>
                <w:szCs w:val="20"/>
              </w:rPr>
              <w:t>(2)   Membrii colegiului de rezoluție sunt următorii:</w:t>
            </w:r>
          </w:p>
          <w:p w14:paraId="759ABA48" w14:textId="77777777" w:rsidR="00EB243D" w:rsidRPr="00154588" w:rsidRDefault="00EB243D" w:rsidP="008C12B4">
            <w:pPr>
              <w:jc w:val="both"/>
              <w:rPr>
                <w:sz w:val="20"/>
                <w:szCs w:val="20"/>
              </w:rPr>
            </w:pPr>
          </w:p>
          <w:p w14:paraId="30F51004" w14:textId="4000B133" w:rsidR="00EB243D" w:rsidRPr="00154588" w:rsidRDefault="00EB243D" w:rsidP="008C12B4">
            <w:pPr>
              <w:jc w:val="both"/>
              <w:rPr>
                <w:sz w:val="20"/>
                <w:szCs w:val="20"/>
              </w:rPr>
            </w:pPr>
            <w:r w:rsidRPr="00154588">
              <w:rPr>
                <w:sz w:val="20"/>
                <w:szCs w:val="20"/>
              </w:rPr>
              <w:t>(a) autoritatea de rezoluție la nivel de grup;</w:t>
            </w:r>
          </w:p>
          <w:p w14:paraId="447446E4" w14:textId="77777777" w:rsidR="00EB243D" w:rsidRPr="00154588" w:rsidRDefault="00EB243D" w:rsidP="008C12B4">
            <w:pPr>
              <w:jc w:val="both"/>
              <w:rPr>
                <w:sz w:val="20"/>
                <w:szCs w:val="20"/>
              </w:rPr>
            </w:pPr>
          </w:p>
          <w:p w14:paraId="43F49C83" w14:textId="21645884" w:rsidR="00EB243D" w:rsidRPr="00154588" w:rsidRDefault="00EB243D" w:rsidP="008C12B4">
            <w:pPr>
              <w:jc w:val="both"/>
              <w:rPr>
                <w:sz w:val="20"/>
                <w:szCs w:val="20"/>
              </w:rPr>
            </w:pPr>
            <w:r w:rsidRPr="00154588">
              <w:rPr>
                <w:sz w:val="20"/>
                <w:szCs w:val="20"/>
              </w:rPr>
              <w:t>(b) autoritățile de rezoluție din fiecare stat membru în care este stabilită o filială inclusă în supravegherea pe bază consolidată;</w:t>
            </w:r>
          </w:p>
          <w:p w14:paraId="1A252DCD" w14:textId="77777777" w:rsidR="00EB243D" w:rsidRPr="00154588" w:rsidRDefault="00EB243D" w:rsidP="008C12B4">
            <w:pPr>
              <w:jc w:val="both"/>
              <w:rPr>
                <w:sz w:val="20"/>
                <w:szCs w:val="20"/>
              </w:rPr>
            </w:pPr>
          </w:p>
          <w:p w14:paraId="798FE0F2" w14:textId="4F022C25" w:rsidR="00EB243D" w:rsidRPr="00154588" w:rsidRDefault="00EB243D" w:rsidP="008C12B4">
            <w:pPr>
              <w:jc w:val="both"/>
              <w:rPr>
                <w:sz w:val="20"/>
                <w:szCs w:val="20"/>
              </w:rPr>
            </w:pPr>
            <w:r w:rsidRPr="00154588">
              <w:rPr>
                <w:sz w:val="20"/>
                <w:szCs w:val="20"/>
              </w:rPr>
              <w:t>(c) autoritățile de rezoluție din statele membre în care este stabilită întreprinderea-mamă a uneia sau mai multor instituții din grup, care este o entitate menționată la articolul 1 alineatul (1) litera (d);</w:t>
            </w:r>
          </w:p>
          <w:p w14:paraId="1FB591FC" w14:textId="77777777" w:rsidR="00EB243D" w:rsidRPr="00154588" w:rsidRDefault="00EB243D" w:rsidP="008C12B4">
            <w:pPr>
              <w:jc w:val="both"/>
              <w:rPr>
                <w:sz w:val="20"/>
                <w:szCs w:val="20"/>
              </w:rPr>
            </w:pPr>
          </w:p>
          <w:p w14:paraId="1F7154C3" w14:textId="0913932F" w:rsidR="00EB243D" w:rsidRPr="00154588" w:rsidRDefault="00EB243D" w:rsidP="008C12B4">
            <w:pPr>
              <w:jc w:val="both"/>
              <w:rPr>
                <w:sz w:val="20"/>
                <w:szCs w:val="20"/>
              </w:rPr>
            </w:pPr>
            <w:r w:rsidRPr="00154588">
              <w:rPr>
                <w:sz w:val="20"/>
                <w:szCs w:val="20"/>
              </w:rPr>
              <w:t>(d) autoritățile de rezoluție din statele membre în care sunt situate sucursale semnificative;</w:t>
            </w:r>
          </w:p>
          <w:p w14:paraId="59CD7902" w14:textId="77777777" w:rsidR="00EB243D" w:rsidRPr="00154588" w:rsidRDefault="00EB243D" w:rsidP="008C12B4">
            <w:pPr>
              <w:jc w:val="both"/>
              <w:rPr>
                <w:sz w:val="20"/>
                <w:szCs w:val="20"/>
              </w:rPr>
            </w:pPr>
          </w:p>
          <w:p w14:paraId="5D6484C9" w14:textId="442CE32A" w:rsidR="00EB243D" w:rsidRPr="00154588" w:rsidRDefault="00EB243D" w:rsidP="008C12B4">
            <w:pPr>
              <w:jc w:val="both"/>
              <w:rPr>
                <w:sz w:val="20"/>
                <w:szCs w:val="20"/>
              </w:rPr>
            </w:pPr>
            <w:r w:rsidRPr="00154588">
              <w:rPr>
                <w:sz w:val="20"/>
                <w:szCs w:val="20"/>
              </w:rPr>
              <w:lastRenderedPageBreak/>
              <w:t>(e) supraveghetorul consolidant și autoritățile competente din statele membre în care autoritatea de rezoluție este membră a colegiului de rezoluție. În cazul în care autoritatea competentă a unui stat membru nu este banca centrală a acestuia, autoritatea competentă poate decide să fie însoțită de un reprezentant al băncii centrale a respectivului stat membru;</w:t>
            </w:r>
          </w:p>
          <w:p w14:paraId="74470CB3" w14:textId="77777777" w:rsidR="00EB243D" w:rsidRPr="00154588" w:rsidRDefault="00EB243D" w:rsidP="008C12B4">
            <w:pPr>
              <w:jc w:val="both"/>
              <w:rPr>
                <w:sz w:val="20"/>
                <w:szCs w:val="20"/>
              </w:rPr>
            </w:pPr>
          </w:p>
          <w:p w14:paraId="156CBD38" w14:textId="3F052A19" w:rsidR="00EB243D" w:rsidRPr="00154588" w:rsidRDefault="00EB243D" w:rsidP="008C12B4">
            <w:pPr>
              <w:jc w:val="both"/>
              <w:rPr>
                <w:sz w:val="20"/>
                <w:szCs w:val="20"/>
              </w:rPr>
            </w:pPr>
            <w:r w:rsidRPr="00154588">
              <w:rPr>
                <w:sz w:val="20"/>
                <w:szCs w:val="20"/>
              </w:rPr>
              <w:t>(f) ministerele competente, în cazul în care autoritățile de rezoluție care sunt membre ale colegiului de rezoluție nu sunt ministerele competente;</w:t>
            </w:r>
          </w:p>
          <w:p w14:paraId="07A3C1F2" w14:textId="77777777" w:rsidR="00EB243D" w:rsidRPr="00154588" w:rsidRDefault="00EB243D" w:rsidP="008C12B4">
            <w:pPr>
              <w:jc w:val="both"/>
              <w:rPr>
                <w:sz w:val="20"/>
                <w:szCs w:val="20"/>
              </w:rPr>
            </w:pPr>
          </w:p>
          <w:p w14:paraId="2790301E" w14:textId="6E8E3277" w:rsidR="00EB243D" w:rsidRPr="00154588" w:rsidRDefault="00EB243D" w:rsidP="008C12B4">
            <w:pPr>
              <w:jc w:val="both"/>
              <w:rPr>
                <w:sz w:val="20"/>
                <w:szCs w:val="20"/>
              </w:rPr>
            </w:pPr>
            <w:r w:rsidRPr="00154588">
              <w:rPr>
                <w:sz w:val="20"/>
                <w:szCs w:val="20"/>
              </w:rPr>
              <w:t>(g) autoritățile desemnate ale schemei de garantare a depozitelor la care sunt afiliate instituțiile de credit care fac parte din grup.;</w:t>
            </w:r>
          </w:p>
          <w:p w14:paraId="6192C2BE" w14:textId="77777777" w:rsidR="00EB243D" w:rsidRPr="00154588" w:rsidRDefault="00EB243D" w:rsidP="008C12B4">
            <w:pPr>
              <w:jc w:val="both"/>
              <w:rPr>
                <w:sz w:val="20"/>
                <w:szCs w:val="20"/>
              </w:rPr>
            </w:pPr>
          </w:p>
          <w:p w14:paraId="41F36BDC" w14:textId="77777777" w:rsidR="00EB243D" w:rsidRPr="00154588" w:rsidRDefault="00EB243D" w:rsidP="008C12B4">
            <w:pPr>
              <w:jc w:val="both"/>
              <w:rPr>
                <w:sz w:val="20"/>
                <w:szCs w:val="20"/>
              </w:rPr>
            </w:pPr>
            <w:r w:rsidRPr="00154588">
              <w:rPr>
                <w:sz w:val="20"/>
                <w:szCs w:val="20"/>
              </w:rPr>
              <w:t>(h) ABE, sub rezerva alineatului (4).</w:t>
            </w:r>
          </w:p>
          <w:p w14:paraId="13CD5756" w14:textId="77777777" w:rsidR="00EB243D" w:rsidRPr="00154588" w:rsidRDefault="00EB243D" w:rsidP="008C12B4">
            <w:pPr>
              <w:jc w:val="both"/>
              <w:rPr>
                <w:sz w:val="20"/>
                <w:szCs w:val="20"/>
              </w:rPr>
            </w:pPr>
          </w:p>
          <w:p w14:paraId="1F402FBF" w14:textId="77777777" w:rsidR="00EB243D" w:rsidRPr="00154588" w:rsidRDefault="00EB243D" w:rsidP="008C12B4">
            <w:pPr>
              <w:jc w:val="both"/>
              <w:rPr>
                <w:bCs/>
                <w:sz w:val="20"/>
                <w:szCs w:val="20"/>
              </w:rPr>
            </w:pPr>
          </w:p>
          <w:p w14:paraId="1894C48E" w14:textId="77777777" w:rsidR="00EB243D" w:rsidRPr="00154588" w:rsidRDefault="00EB243D" w:rsidP="008C12B4">
            <w:pPr>
              <w:jc w:val="both"/>
              <w:rPr>
                <w:bCs/>
                <w:sz w:val="20"/>
                <w:szCs w:val="20"/>
              </w:rPr>
            </w:pPr>
          </w:p>
          <w:p w14:paraId="1614B30C" w14:textId="132166EE" w:rsidR="00EB243D" w:rsidRPr="00154588" w:rsidRDefault="00EB243D" w:rsidP="008C12B4">
            <w:pPr>
              <w:jc w:val="both"/>
              <w:rPr>
                <w:sz w:val="20"/>
                <w:szCs w:val="20"/>
              </w:rPr>
            </w:pPr>
            <w:r w:rsidRPr="00154588">
              <w:rPr>
                <w:sz w:val="20"/>
                <w:szCs w:val="20"/>
              </w:rPr>
              <w:t>În sensul prezentului alineat primul paragraf litera (b), în cazul în care filiala este o instituție financiară menționată la articolul 1 alineatul (1) litera (b) și este, de asemenea, o entitate destinată lichidării, autoritatea de rezoluție a filialei respective decide dacă intenționează să fie membră a colegiului de rezoluție. În cazul în care consideră că nu este necesar să fie membră, autoritatea de rezoluție a unei astfel de filiale solicită acordul autorității de rezoluție a grupului pentru încetarea calității de membru. Autoritatea de rezoluție a grupului aprobă încetarea calității de membru, cu excepția cazului în care menținerea calității de membru este necesară pentru funcționarea corespunzătoare și eficace a colegiului de rezoluție. În cazul unor modificări semnificative care au potențialul de a afecta credibilitatea procedurii de insolvență, autoritatea de rezoluție a unei astfel de filiale notifică autorității de rezoluție a grupului necesitatea de a-și restabili calitatea de membru al colegiului de rezoluție. La primirea unei astfel de notificări, autoritatea de rezoluție a grupului restabilește respectiva calitate de membru.</w:t>
            </w:r>
          </w:p>
        </w:tc>
        <w:tc>
          <w:tcPr>
            <w:tcW w:w="4819" w:type="dxa"/>
          </w:tcPr>
          <w:p w14:paraId="7E7C1AA1" w14:textId="6B8AA851"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lastRenderedPageBreak/>
              <w:t>Articolul 295</w:t>
            </w:r>
            <w:r w:rsidRPr="00154588">
              <w:rPr>
                <w:rFonts w:eastAsia="Calibri"/>
                <w:b/>
                <w:kern w:val="2"/>
                <w:sz w:val="20"/>
                <w:szCs w:val="20"/>
                <w:vertAlign w:val="superscript"/>
                <w14:ligatures w14:val="standardContextual"/>
              </w:rPr>
              <w:t>3</w:t>
            </w:r>
            <w:r w:rsidRPr="00154588">
              <w:rPr>
                <w:rFonts w:eastAsia="Calibri"/>
                <w:kern w:val="2"/>
                <w:sz w:val="20"/>
                <w:szCs w:val="20"/>
                <w14:ligatures w14:val="standardContextual"/>
              </w:rPr>
              <w:t>. – (1) Membrii unui colegiu de rezoluție, din care face parte și Banca Națională a Moldovei în oricare din calitățile sale de autoritate de rezoluție la nivel de grup, autoritate de rezoluție la nivel individual, autoritate competentă sau supraveghetor consolidant, după caz, sunt următorii:</w:t>
            </w:r>
          </w:p>
          <w:p w14:paraId="7A16801B"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a) autoritatea de rezoluție la nivel de grup;</w:t>
            </w:r>
          </w:p>
          <w:p w14:paraId="4C3D821F"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b) autoritățile de rezoluție din fiecare stat membru al Uniunii Europene în care este stabilită o filială inclusă în supravegherea pe bază consolidată;</w:t>
            </w:r>
          </w:p>
          <w:p w14:paraId="6EB5B1E8"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c) autoritățile de rezoluție din statele membre în care este stabilită întreprinderea-mamă a uneia sau mai multor instituții din grup, care este o entitate prevăzută la art.1 alin.(1) lit.d);</w:t>
            </w:r>
          </w:p>
          <w:p w14:paraId="4B76F888"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d) autoritățile de rezoluție din statele membre în care sunt situate sucursale semnificative;</w:t>
            </w:r>
          </w:p>
          <w:p w14:paraId="2E295EEF"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lastRenderedPageBreak/>
              <w:t>e) supraveghetorul consolidant și autoritățile competente din statele membre în care autoritatea de rezoluție este membră a colegiului de rezoluție. În cazul în care autoritatea competentă a unui stat membru al Uniunii Europene nu este banca centrală a acestuia, autoritatea competentă poate decide să fie însoțită de un reprezentant al băncii centrale a respectivului stat membru al Uniunii Europene;</w:t>
            </w:r>
          </w:p>
          <w:p w14:paraId="042BD563"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f) ministerele competente, în cazul în care autoritățile de rezoluție care sunt membre ale colegiului de rezoluție nu sunt ministerele competente;</w:t>
            </w:r>
          </w:p>
          <w:p w14:paraId="20A5F349" w14:textId="6032F9F6"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g) </w:t>
            </w:r>
            <w:r w:rsidRPr="00154588">
              <w:rPr>
                <w:bCs/>
                <w:sz w:val="20"/>
                <w:szCs w:val="20"/>
              </w:rPr>
              <w:t>autoritățile desemnate ale schemei de garantare a depozitelor la care sunt afiliate instituțiile de credit care fac parte din grup</w:t>
            </w:r>
            <w:r w:rsidRPr="00154588">
              <w:rPr>
                <w:rFonts w:eastAsia="Calibri"/>
                <w:kern w:val="2"/>
                <w:sz w:val="20"/>
                <w:szCs w:val="20"/>
                <w14:ligatures w14:val="standardContextual"/>
              </w:rPr>
              <w:t>;</w:t>
            </w:r>
          </w:p>
          <w:p w14:paraId="1972F377"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h) Autoritatea Bancară Europeană, în conformitate cu prevederile art. 295</w:t>
            </w:r>
            <w:r w:rsidRPr="00154588">
              <w:rPr>
                <w:rFonts w:eastAsia="Calibri"/>
                <w:kern w:val="2"/>
                <w:sz w:val="20"/>
                <w:szCs w:val="20"/>
                <w:vertAlign w:val="superscript"/>
                <w14:ligatures w14:val="standardContextual"/>
              </w:rPr>
              <w:t>5</w:t>
            </w:r>
            <w:r w:rsidRPr="00154588">
              <w:rPr>
                <w:rFonts w:eastAsia="Calibri"/>
                <w:kern w:val="2"/>
                <w:sz w:val="20"/>
                <w:szCs w:val="20"/>
                <w14:ligatures w14:val="standardContextual"/>
              </w:rPr>
              <w:t>.</w:t>
            </w:r>
          </w:p>
          <w:p w14:paraId="15A2875A" w14:textId="77777777" w:rsidR="00EB243D" w:rsidRPr="00154588" w:rsidRDefault="00EB243D" w:rsidP="008C12B4">
            <w:pPr>
              <w:ind w:firstLine="567"/>
              <w:jc w:val="both"/>
              <w:rPr>
                <w:rFonts w:eastAsia="Calibri"/>
                <w:kern w:val="2"/>
                <w:sz w:val="20"/>
                <w:szCs w:val="20"/>
                <w14:ligatures w14:val="standardContextual"/>
              </w:rPr>
            </w:pPr>
          </w:p>
          <w:p w14:paraId="6DAFF39A" w14:textId="0FE0F53A" w:rsidR="00EB243D" w:rsidRPr="00154588" w:rsidRDefault="00AD78C5" w:rsidP="008C12B4">
            <w:pPr>
              <w:jc w:val="both"/>
              <w:rPr>
                <w:bCs/>
                <w:sz w:val="20"/>
                <w:szCs w:val="20"/>
              </w:rPr>
            </w:pPr>
            <w:r w:rsidRPr="00154588">
              <w:rPr>
                <w:rFonts w:eastAsia="Calibri"/>
                <w:sz w:val="20"/>
                <w:szCs w:val="20"/>
              </w:rPr>
              <w:t xml:space="preserve">           </w:t>
            </w:r>
            <w:r w:rsidR="00EB243D" w:rsidRPr="00154588">
              <w:rPr>
                <w:rFonts w:eastAsia="Calibri"/>
                <w:sz w:val="20"/>
                <w:szCs w:val="20"/>
              </w:rPr>
              <w:t xml:space="preserve">(2)În sensul alin. (1) lit. b) </w:t>
            </w:r>
            <w:r w:rsidR="00EB243D" w:rsidRPr="00154588">
              <w:rPr>
                <w:bCs/>
                <w:sz w:val="20"/>
                <w:szCs w:val="20"/>
              </w:rPr>
              <w:t>în cazul în care filiala este o instituție financiară menționată la art.1 alin.(1) lit.b) și este, de asemenea, o entitate destinată lichidării, Banca Națională a Moldovei în calitate de autoritate de rezoluție a filialei respective decide dacă intenționează să fie membră a colegiului de rezoluție.</w:t>
            </w:r>
          </w:p>
          <w:p w14:paraId="6B99C522" w14:textId="2D1B4AB2" w:rsidR="00EB243D" w:rsidRPr="00154588" w:rsidRDefault="00AD78C5" w:rsidP="008C12B4">
            <w:pPr>
              <w:jc w:val="both"/>
              <w:rPr>
                <w:bCs/>
                <w:sz w:val="20"/>
                <w:szCs w:val="20"/>
              </w:rPr>
            </w:pPr>
            <w:r w:rsidRPr="00154588">
              <w:rPr>
                <w:bCs/>
                <w:sz w:val="20"/>
                <w:szCs w:val="20"/>
              </w:rPr>
              <w:t xml:space="preserve">           </w:t>
            </w:r>
            <w:r w:rsidR="00EB243D" w:rsidRPr="00154588">
              <w:rPr>
                <w:bCs/>
                <w:sz w:val="20"/>
                <w:szCs w:val="20"/>
              </w:rPr>
              <w:t>(3) În cazul în care consideră că nu este necesar să fie membră, Banca Națională a Moldovei în calitate de autoritate de rezoluție a filialei solicită acordul autorității de rezoluție a grupului pentru încetarea calității de membru. Autoritatea de rezoluție a grupului aprobă încetarea calității de membru, cu excepția cazului în care menținerea calității de membru este necesară pentru funcționarea corespunzătoare și eficace a colegiului de rezoluție.</w:t>
            </w:r>
          </w:p>
          <w:p w14:paraId="30DA95DB" w14:textId="32FCFB60" w:rsidR="00EB243D" w:rsidRPr="00154588" w:rsidRDefault="00AD78C5" w:rsidP="008C12B4">
            <w:pPr>
              <w:jc w:val="both"/>
              <w:rPr>
                <w:rFonts w:eastAsia="Calibri"/>
                <w:sz w:val="20"/>
                <w:szCs w:val="20"/>
              </w:rPr>
            </w:pPr>
            <w:r w:rsidRPr="00154588">
              <w:rPr>
                <w:bCs/>
                <w:sz w:val="20"/>
                <w:szCs w:val="20"/>
              </w:rPr>
              <w:t xml:space="preserve">             </w:t>
            </w:r>
            <w:r w:rsidR="00EB243D" w:rsidRPr="00154588">
              <w:rPr>
                <w:bCs/>
                <w:sz w:val="20"/>
                <w:szCs w:val="20"/>
              </w:rPr>
              <w:t>(4) În cazul unor modificări semnificative care au potențialul de a afecta credibilitatea procedurii de insolvență, Banca Națională a Moldovei în calitate de autoritate de rezoluție a unei astfel de filiale notifică autorității de rezoluție a grupului necesitatea de a-și restabili calitatea de membru al colegiului de rezoluție. La primirea unei astfel de notificări, autoritatea de rezoluție a grupului restabilește respectiva calitate de membru.</w:t>
            </w:r>
          </w:p>
          <w:p w14:paraId="4458F2E5" w14:textId="77777777" w:rsidR="00EB243D" w:rsidRPr="00154588" w:rsidRDefault="00EB243D" w:rsidP="008C12B4">
            <w:pPr>
              <w:jc w:val="both"/>
              <w:rPr>
                <w:sz w:val="20"/>
                <w:szCs w:val="20"/>
              </w:rPr>
            </w:pPr>
          </w:p>
        </w:tc>
        <w:tc>
          <w:tcPr>
            <w:tcW w:w="2552" w:type="dxa"/>
          </w:tcPr>
          <w:p w14:paraId="5BFBFDA2" w14:textId="3E43867A" w:rsidR="00EB243D" w:rsidRPr="00154588" w:rsidRDefault="00EB243D" w:rsidP="008C12B4">
            <w:pPr>
              <w:jc w:val="both"/>
              <w:rPr>
                <w:sz w:val="20"/>
                <w:szCs w:val="20"/>
              </w:rPr>
            </w:pPr>
            <w:r w:rsidRPr="00154588">
              <w:rPr>
                <w:sz w:val="20"/>
                <w:szCs w:val="20"/>
              </w:rPr>
              <w:lastRenderedPageBreak/>
              <w:t>Compatibil</w:t>
            </w:r>
          </w:p>
        </w:tc>
        <w:tc>
          <w:tcPr>
            <w:tcW w:w="3118" w:type="dxa"/>
          </w:tcPr>
          <w:p w14:paraId="6D3E087D" w14:textId="77777777" w:rsidR="00EB243D" w:rsidRPr="00154588" w:rsidRDefault="00EB243D" w:rsidP="008C12B4">
            <w:pPr>
              <w:jc w:val="both"/>
              <w:rPr>
                <w:sz w:val="20"/>
                <w:szCs w:val="20"/>
              </w:rPr>
            </w:pPr>
          </w:p>
        </w:tc>
      </w:tr>
      <w:tr w:rsidR="00EB243D" w:rsidRPr="00154588" w14:paraId="760B47C6" w14:textId="77777777" w:rsidTr="00D15C1B">
        <w:trPr>
          <w:jc w:val="center"/>
        </w:trPr>
        <w:tc>
          <w:tcPr>
            <w:tcW w:w="4957" w:type="dxa"/>
            <w:gridSpan w:val="2"/>
          </w:tcPr>
          <w:p w14:paraId="5EF42FDB" w14:textId="0FC506D6" w:rsidR="00EB243D" w:rsidRPr="00154588" w:rsidRDefault="00EB243D" w:rsidP="008C12B4">
            <w:pPr>
              <w:jc w:val="both"/>
              <w:rPr>
                <w:sz w:val="20"/>
                <w:szCs w:val="20"/>
              </w:rPr>
            </w:pPr>
            <w:r w:rsidRPr="00154588">
              <w:rPr>
                <w:sz w:val="20"/>
                <w:szCs w:val="20"/>
              </w:rPr>
              <w:lastRenderedPageBreak/>
              <w:t>(3)   Autoritățile de rezoluție din țări terțe, în cazul în care o întreprindere-mamă sau o instituție stabilită în Uniune are o instituție filială sau o sucursală care ar fi considerată semnificativă dacă ar fi situată în Uniune, pot, la cerere, să fie invitate să participe în calitate de observatori în cadrul colegiului de rezoluție ca observatori, cu condiția ca acestea să facă obiectul unor cerințe de confidențialitate echivalente, în opinia autorității de rezoluție la nivel de grup, cu cele prevăzute la articolul 98.</w:t>
            </w:r>
          </w:p>
        </w:tc>
        <w:tc>
          <w:tcPr>
            <w:tcW w:w="4819" w:type="dxa"/>
          </w:tcPr>
          <w:p w14:paraId="606EB3DE" w14:textId="1EAC4097"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4</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Autoritățile de rezoluție din state terțe, în cazul în care o întreprindere-mamă sau o instituție stabilită în Uniunea Europeană are în statul respectiv o instituție-filială sau o sucursală care ar fi fost considerată semnificativă dacă ar fi fost situată în Uniunea Europeană, pot, la cerere, să fie invitate să participe în calitate de observatori în cadrul colegiului de rezoluție, cu condiția ca acestea să facă obiectul unor cerințe de confidențialitate echivalente, în opinia Băncii Naționale a Moldovei , în calitate de autoritatede rezoluție la nivel de grup, cu cele prevăzute la art.328.</w:t>
            </w:r>
          </w:p>
          <w:p w14:paraId="280DFA64" w14:textId="77777777" w:rsidR="00EB243D" w:rsidRPr="00154588" w:rsidRDefault="00EB243D" w:rsidP="008C12B4">
            <w:pPr>
              <w:jc w:val="both"/>
              <w:rPr>
                <w:sz w:val="20"/>
                <w:szCs w:val="20"/>
              </w:rPr>
            </w:pPr>
          </w:p>
        </w:tc>
        <w:tc>
          <w:tcPr>
            <w:tcW w:w="2552" w:type="dxa"/>
          </w:tcPr>
          <w:p w14:paraId="5EE9FD87" w14:textId="3F8AD22F" w:rsidR="00EB243D" w:rsidRPr="00154588" w:rsidRDefault="00EB243D" w:rsidP="008C12B4">
            <w:pPr>
              <w:jc w:val="both"/>
              <w:rPr>
                <w:sz w:val="20"/>
                <w:szCs w:val="20"/>
              </w:rPr>
            </w:pPr>
            <w:r w:rsidRPr="00154588">
              <w:rPr>
                <w:sz w:val="20"/>
                <w:szCs w:val="20"/>
              </w:rPr>
              <w:t>Compatibil</w:t>
            </w:r>
          </w:p>
        </w:tc>
        <w:tc>
          <w:tcPr>
            <w:tcW w:w="3118" w:type="dxa"/>
          </w:tcPr>
          <w:p w14:paraId="51B0030D" w14:textId="77777777" w:rsidR="00EB243D" w:rsidRPr="00154588" w:rsidRDefault="00EB243D" w:rsidP="008C12B4">
            <w:pPr>
              <w:jc w:val="both"/>
              <w:rPr>
                <w:sz w:val="20"/>
                <w:szCs w:val="20"/>
              </w:rPr>
            </w:pPr>
          </w:p>
        </w:tc>
      </w:tr>
      <w:tr w:rsidR="00EB243D" w:rsidRPr="00154588" w14:paraId="59D46298" w14:textId="77777777" w:rsidTr="00D15C1B">
        <w:trPr>
          <w:jc w:val="center"/>
        </w:trPr>
        <w:tc>
          <w:tcPr>
            <w:tcW w:w="4957" w:type="dxa"/>
            <w:gridSpan w:val="2"/>
          </w:tcPr>
          <w:p w14:paraId="43EBB01C" w14:textId="38D89984" w:rsidR="00EB243D" w:rsidRPr="00154588" w:rsidRDefault="00EB243D" w:rsidP="008C12B4">
            <w:pPr>
              <w:jc w:val="both"/>
              <w:rPr>
                <w:sz w:val="20"/>
                <w:szCs w:val="20"/>
              </w:rPr>
            </w:pPr>
            <w:r w:rsidRPr="00154588">
              <w:rPr>
                <w:sz w:val="20"/>
                <w:szCs w:val="20"/>
              </w:rPr>
              <w:t>(4)   ABE contribuie la promovarea și monitorizarea funcționării efective, eficiente și consecvente a colegiilor de rezoluție în conformitate cu standarde internaționale. În acest scop, ABE este invitată să participe la reuniunile colegiului de rezoluție. ABE nu are niciun drept de vot, în măsura în care au loc votări în cadrul colegiilor de rezoluție.</w:t>
            </w:r>
          </w:p>
        </w:tc>
        <w:tc>
          <w:tcPr>
            <w:tcW w:w="4819" w:type="dxa"/>
          </w:tcPr>
          <w:p w14:paraId="63529E41"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5</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Pentru a contribui la promovarea și monitorizarea unei funcționări eficiente, eficace și coerente a colegiilor de rezoluție în acord cu standardele internaționale, Banca Națională Moldovei, în calitate de autoritate de rezoluție la nivel de grup, invită Autoritatea Bancară Europeană să participe la reuniunile colegiului de rezoluție. Autoritatea Bancară Europeană nu are niciun drept de vot, în măsura în care au loc votări în cadrul colegiilor de rezoluție.</w:t>
            </w:r>
          </w:p>
          <w:p w14:paraId="1E0964FF" w14:textId="77777777" w:rsidR="00EB243D" w:rsidRPr="00154588" w:rsidRDefault="00EB243D" w:rsidP="008C12B4">
            <w:pPr>
              <w:jc w:val="both"/>
              <w:rPr>
                <w:sz w:val="20"/>
                <w:szCs w:val="20"/>
              </w:rPr>
            </w:pPr>
          </w:p>
        </w:tc>
        <w:tc>
          <w:tcPr>
            <w:tcW w:w="2552" w:type="dxa"/>
          </w:tcPr>
          <w:p w14:paraId="2CB9021D" w14:textId="4BAE2313" w:rsidR="00EB243D" w:rsidRPr="00154588" w:rsidRDefault="00EB243D" w:rsidP="008C12B4">
            <w:pPr>
              <w:jc w:val="both"/>
              <w:rPr>
                <w:sz w:val="20"/>
                <w:szCs w:val="20"/>
              </w:rPr>
            </w:pPr>
            <w:r w:rsidRPr="00154588">
              <w:rPr>
                <w:sz w:val="20"/>
                <w:szCs w:val="20"/>
              </w:rPr>
              <w:t>Compatibil</w:t>
            </w:r>
          </w:p>
        </w:tc>
        <w:tc>
          <w:tcPr>
            <w:tcW w:w="3118" w:type="dxa"/>
          </w:tcPr>
          <w:p w14:paraId="5092D0BA" w14:textId="77777777" w:rsidR="00EB243D" w:rsidRPr="00154588" w:rsidRDefault="00EB243D" w:rsidP="008C12B4">
            <w:pPr>
              <w:jc w:val="both"/>
              <w:rPr>
                <w:sz w:val="20"/>
                <w:szCs w:val="20"/>
              </w:rPr>
            </w:pPr>
          </w:p>
        </w:tc>
      </w:tr>
      <w:tr w:rsidR="00EB243D" w:rsidRPr="00154588" w14:paraId="33B08910" w14:textId="77777777" w:rsidTr="00D15C1B">
        <w:trPr>
          <w:jc w:val="center"/>
        </w:trPr>
        <w:tc>
          <w:tcPr>
            <w:tcW w:w="4957" w:type="dxa"/>
            <w:gridSpan w:val="2"/>
          </w:tcPr>
          <w:p w14:paraId="48AD0119" w14:textId="77777777" w:rsidR="00EB243D" w:rsidRPr="00154588" w:rsidRDefault="00EB243D" w:rsidP="008C12B4">
            <w:pPr>
              <w:jc w:val="both"/>
              <w:rPr>
                <w:sz w:val="20"/>
                <w:szCs w:val="20"/>
              </w:rPr>
            </w:pPr>
            <w:r w:rsidRPr="00154588">
              <w:rPr>
                <w:sz w:val="20"/>
                <w:szCs w:val="20"/>
              </w:rPr>
              <w:t>(5)   Autoritatea de rezoluție la nivel de grup prezidează colegiul de rezoluție. În această calitate, autoritatea respectivă:</w:t>
            </w:r>
          </w:p>
          <w:p w14:paraId="26B8BB2A" w14:textId="77777777" w:rsidR="00EB243D" w:rsidRPr="00154588" w:rsidRDefault="00EB243D" w:rsidP="008C12B4">
            <w:pPr>
              <w:jc w:val="both"/>
              <w:rPr>
                <w:sz w:val="20"/>
                <w:szCs w:val="20"/>
              </w:rPr>
            </w:pPr>
          </w:p>
          <w:p w14:paraId="6FE14A53" w14:textId="4BCD86C9" w:rsidR="00EB243D" w:rsidRPr="00154588" w:rsidRDefault="00EB243D" w:rsidP="008C12B4">
            <w:pPr>
              <w:jc w:val="both"/>
              <w:rPr>
                <w:sz w:val="20"/>
                <w:szCs w:val="20"/>
              </w:rPr>
            </w:pPr>
            <w:r w:rsidRPr="00154588">
              <w:rPr>
                <w:sz w:val="20"/>
                <w:szCs w:val="20"/>
              </w:rPr>
              <w:t>(a) stabilește reguli și proceduri scrise pentru funcționarea colegiului de rezoluție, în urma consultării celorlalți membri ai colegiului de rezoluție;</w:t>
            </w:r>
          </w:p>
          <w:p w14:paraId="30ED5008" w14:textId="77777777" w:rsidR="00EB243D" w:rsidRPr="00154588" w:rsidRDefault="00EB243D" w:rsidP="008C12B4">
            <w:pPr>
              <w:jc w:val="both"/>
              <w:rPr>
                <w:sz w:val="20"/>
                <w:szCs w:val="20"/>
              </w:rPr>
            </w:pPr>
          </w:p>
          <w:p w14:paraId="13162B5E" w14:textId="77777777" w:rsidR="00EB243D" w:rsidRPr="00154588" w:rsidRDefault="00EB243D" w:rsidP="008C12B4">
            <w:pPr>
              <w:jc w:val="both"/>
              <w:rPr>
                <w:sz w:val="20"/>
                <w:szCs w:val="20"/>
              </w:rPr>
            </w:pPr>
          </w:p>
          <w:p w14:paraId="545592B6" w14:textId="5F6451E1" w:rsidR="00EB243D" w:rsidRPr="00154588" w:rsidRDefault="00EB243D" w:rsidP="008C12B4">
            <w:pPr>
              <w:jc w:val="both"/>
              <w:rPr>
                <w:sz w:val="20"/>
                <w:szCs w:val="20"/>
              </w:rPr>
            </w:pPr>
            <w:r w:rsidRPr="00154588">
              <w:rPr>
                <w:sz w:val="20"/>
                <w:szCs w:val="20"/>
              </w:rPr>
              <w:t>(b) coordonează toate activitățile colegiului de rezoluție;</w:t>
            </w:r>
          </w:p>
          <w:p w14:paraId="71EA3917" w14:textId="77777777" w:rsidR="00EB243D" w:rsidRPr="00154588" w:rsidRDefault="00EB243D" w:rsidP="008C12B4">
            <w:pPr>
              <w:jc w:val="both"/>
              <w:rPr>
                <w:sz w:val="20"/>
                <w:szCs w:val="20"/>
              </w:rPr>
            </w:pPr>
          </w:p>
          <w:p w14:paraId="30D3C8CF" w14:textId="77777777" w:rsidR="00EB243D" w:rsidRPr="00154588" w:rsidRDefault="00EB243D" w:rsidP="008C12B4">
            <w:pPr>
              <w:jc w:val="both"/>
              <w:rPr>
                <w:sz w:val="20"/>
                <w:szCs w:val="20"/>
              </w:rPr>
            </w:pPr>
          </w:p>
          <w:p w14:paraId="4203ED27" w14:textId="2FD02691" w:rsidR="00EB243D" w:rsidRPr="00154588" w:rsidRDefault="00EB243D" w:rsidP="008C12B4">
            <w:pPr>
              <w:jc w:val="both"/>
              <w:rPr>
                <w:sz w:val="20"/>
                <w:szCs w:val="20"/>
              </w:rPr>
            </w:pPr>
            <w:r w:rsidRPr="00154588">
              <w:rPr>
                <w:sz w:val="20"/>
                <w:szCs w:val="20"/>
              </w:rPr>
              <w:t>(c) își convoacă și își prezidează toate reuniunile și informează toți membrii colegiului de rezoluție pe deplin și anticipat în legătură cu organizarea reuniunilor colegiului de rezoluție, principalele aspecte care urmează a fi discutate și punctele ce vor fi examinate;</w:t>
            </w:r>
          </w:p>
          <w:p w14:paraId="2BADBE58" w14:textId="77777777" w:rsidR="00EB243D" w:rsidRPr="00154588" w:rsidRDefault="00EB243D" w:rsidP="008C12B4">
            <w:pPr>
              <w:jc w:val="both"/>
              <w:rPr>
                <w:sz w:val="20"/>
                <w:szCs w:val="20"/>
              </w:rPr>
            </w:pPr>
          </w:p>
          <w:p w14:paraId="242B83ED" w14:textId="301BA686" w:rsidR="00EB243D" w:rsidRPr="00154588" w:rsidRDefault="00EB243D" w:rsidP="008C12B4">
            <w:pPr>
              <w:jc w:val="both"/>
              <w:rPr>
                <w:sz w:val="20"/>
                <w:szCs w:val="20"/>
              </w:rPr>
            </w:pPr>
            <w:r w:rsidRPr="00154588">
              <w:rPr>
                <w:sz w:val="20"/>
                <w:szCs w:val="20"/>
              </w:rPr>
              <w:lastRenderedPageBreak/>
              <w:t>(d) notifică membrii colegiului de rezoluție cu privire la eventualele reuniuni planificate, astfel încât aceștia să poată solicita să participe la ele;</w:t>
            </w:r>
          </w:p>
          <w:p w14:paraId="3470D05F" w14:textId="77777777" w:rsidR="00EB243D" w:rsidRPr="00154588" w:rsidRDefault="00EB243D" w:rsidP="008C12B4">
            <w:pPr>
              <w:jc w:val="both"/>
              <w:rPr>
                <w:sz w:val="20"/>
                <w:szCs w:val="20"/>
              </w:rPr>
            </w:pPr>
          </w:p>
          <w:p w14:paraId="203032AC" w14:textId="4A86CAB7" w:rsidR="00EB243D" w:rsidRPr="00154588" w:rsidRDefault="00EB243D" w:rsidP="008C12B4">
            <w:pPr>
              <w:jc w:val="both"/>
              <w:rPr>
                <w:sz w:val="20"/>
                <w:szCs w:val="20"/>
              </w:rPr>
            </w:pPr>
            <w:r w:rsidRPr="00154588">
              <w:rPr>
                <w:sz w:val="20"/>
                <w:szCs w:val="20"/>
              </w:rPr>
              <w:t>(e) decide care membri și care observatori sunt invitați să participe la anumite reuniuni ale colegiului de rezoluție, pe baza unor nevoi specifice, ținând seama de relevanța subiectului care urmează să fie discutat pentru acei membri și observatori și în special de impactul potențial asupra stabilității financiare a statului membru în cauză;</w:t>
            </w:r>
          </w:p>
          <w:p w14:paraId="7414A156" w14:textId="77777777" w:rsidR="00EB243D" w:rsidRPr="00154588" w:rsidRDefault="00EB243D" w:rsidP="008C12B4">
            <w:pPr>
              <w:jc w:val="both"/>
              <w:rPr>
                <w:sz w:val="20"/>
                <w:szCs w:val="20"/>
              </w:rPr>
            </w:pPr>
          </w:p>
          <w:p w14:paraId="45FF6CED" w14:textId="701E03DB" w:rsidR="00EB243D" w:rsidRPr="00154588" w:rsidRDefault="00EB243D" w:rsidP="008C12B4">
            <w:pPr>
              <w:jc w:val="both"/>
              <w:rPr>
                <w:sz w:val="20"/>
                <w:szCs w:val="20"/>
              </w:rPr>
            </w:pPr>
            <w:r w:rsidRPr="00154588">
              <w:rPr>
                <w:sz w:val="20"/>
                <w:szCs w:val="20"/>
              </w:rPr>
              <w:t>(f) informează, în timp util, toți membrii colegiului în legătură cu deciziile adoptate în cadrul acestor reuniuni, precum și cu rezultatele lor.</w:t>
            </w:r>
          </w:p>
          <w:p w14:paraId="7302882D" w14:textId="77777777" w:rsidR="00EB243D" w:rsidRPr="00154588" w:rsidRDefault="00EB243D" w:rsidP="008C12B4">
            <w:pPr>
              <w:jc w:val="both"/>
              <w:rPr>
                <w:sz w:val="20"/>
                <w:szCs w:val="20"/>
              </w:rPr>
            </w:pPr>
          </w:p>
          <w:p w14:paraId="432F1C82" w14:textId="77777777" w:rsidR="00EB243D" w:rsidRPr="00154588" w:rsidRDefault="00EB243D" w:rsidP="008C12B4">
            <w:pPr>
              <w:jc w:val="both"/>
              <w:rPr>
                <w:sz w:val="20"/>
                <w:szCs w:val="20"/>
              </w:rPr>
            </w:pPr>
            <w:r w:rsidRPr="00154588">
              <w:rPr>
                <w:sz w:val="20"/>
                <w:szCs w:val="20"/>
              </w:rPr>
              <w:t>Membrii care participă la colegiul de rezoluție cooperează strâns.</w:t>
            </w:r>
          </w:p>
          <w:p w14:paraId="0165924E" w14:textId="77777777" w:rsidR="00EB243D" w:rsidRPr="00154588" w:rsidRDefault="00EB243D" w:rsidP="008C12B4">
            <w:pPr>
              <w:jc w:val="both"/>
              <w:rPr>
                <w:sz w:val="20"/>
                <w:szCs w:val="20"/>
              </w:rPr>
            </w:pPr>
          </w:p>
          <w:p w14:paraId="0399E799" w14:textId="77777777" w:rsidR="00EB243D" w:rsidRPr="00154588" w:rsidRDefault="00EB243D" w:rsidP="008C12B4">
            <w:pPr>
              <w:jc w:val="both"/>
              <w:rPr>
                <w:sz w:val="20"/>
                <w:szCs w:val="20"/>
              </w:rPr>
            </w:pPr>
          </w:p>
          <w:p w14:paraId="574212F2" w14:textId="30AA5D1B" w:rsidR="00EB243D" w:rsidRPr="00154588" w:rsidRDefault="00EB243D" w:rsidP="008C12B4">
            <w:pPr>
              <w:jc w:val="both"/>
              <w:rPr>
                <w:sz w:val="20"/>
                <w:szCs w:val="20"/>
              </w:rPr>
            </w:pPr>
            <w:r w:rsidRPr="00154588">
              <w:rPr>
                <w:sz w:val="20"/>
                <w:szCs w:val="20"/>
              </w:rPr>
              <w:t>Fără a aduce atingere literei (e), autoritățile de rezoluție au dreptul să participe la reuniunile colegiului de rezoluție ori de câte ori sunt înscrise pe ordinea de zi puncte care fac obiectul adoptării în comun a deciziilor sau care se referă la o entitate din grup situată în statul membru al acestor autorități.</w:t>
            </w:r>
          </w:p>
        </w:tc>
        <w:tc>
          <w:tcPr>
            <w:tcW w:w="4819" w:type="dxa"/>
          </w:tcPr>
          <w:p w14:paraId="54E21FC9"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lastRenderedPageBreak/>
              <w:t>Articolul 295</w:t>
            </w:r>
            <w:r w:rsidRPr="00154588">
              <w:rPr>
                <w:rFonts w:eastAsia="Calibri"/>
                <w:b/>
                <w:kern w:val="2"/>
                <w:sz w:val="20"/>
                <w:szCs w:val="20"/>
                <w:vertAlign w:val="superscript"/>
                <w14:ligatures w14:val="standardContextual"/>
              </w:rPr>
              <w:t>6</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(1) Banca Națională a Moldovei, în calitate de autoritate de rezoluție la nivel de grup, prezidează colegiul de rezoluție. În această calitate, Banca Națională a Moldovei:</w:t>
            </w:r>
          </w:p>
          <w:p w14:paraId="01EA345F"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a) stabilește aranjamente și proceduri scrise pentru funcționarea colegiului de rezoluție, în urma consultării cu ceilalți membri ai colegiului de rezoluție;</w:t>
            </w:r>
          </w:p>
          <w:p w14:paraId="10E7C588"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b) coordonează toate activitățile colegiului de rezoluție;</w:t>
            </w:r>
          </w:p>
          <w:p w14:paraId="26919B8C"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c) convoacă și prezidează toate reuniunile colegiului de rezoluție și informează pe deplin și anticipat pe toți membrii acestuia în legătură cu organizarea reuniunilor colegiului de rezoluție, principalele aspecte care urmează a fi discutate și elementele ce vor fi luate în considerare;</w:t>
            </w:r>
          </w:p>
          <w:p w14:paraId="3B0909A0"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d) notifică membrii colegiului de rezoluție cu privire la orice reuniuni planificate, astfel încât aceștia să poată solicita să participe la ele;</w:t>
            </w:r>
          </w:p>
          <w:p w14:paraId="64C308B4"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 xml:space="preserve">e) decide care dintre membri și dintre observatori sunt invitați să participe la anumite </w:t>
            </w:r>
            <w:r w:rsidRPr="00154588">
              <w:rPr>
                <w:rFonts w:eastAsia="Calibri"/>
                <w:kern w:val="2"/>
                <w:sz w:val="20"/>
                <w:szCs w:val="20"/>
                <w14:ligatures w14:val="standardContextual"/>
              </w:rPr>
              <w:lastRenderedPageBreak/>
              <w:t>reuniuni ale colegiului de rezoluție, în funcție de interesele specifice, ținând seama de relevanța subiectului care urmează să fie discutat pentru acei membri și observatori și în special de impactul potențial asupra stabilității financiare a statelor membre în cauză;</w:t>
            </w:r>
          </w:p>
          <w:p w14:paraId="2931C978"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 xml:space="preserve">f) informează, în timp util, toți membrii colegiului în legătură cu deciziile adoptate în cadrul acestor reuniuni, precum și cu rezultatele lor. </w:t>
            </w:r>
          </w:p>
          <w:p w14:paraId="760ABF88"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(2) Membrii care participă la colegiul de rezoluție cooperează strâns.</w:t>
            </w:r>
          </w:p>
          <w:p w14:paraId="1562B46D"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(3) Prin excepție de la prevederile alin.(1) lit.e), Banca Națională a Moldovei, în calitate de autoritate de rezoluție la nivel individual, are dreptul să participe la reuniunile colegiului de rezoluție ori de câte ori sunt înscrise pe ordinea de zi puncte care fac obiectul adoptării unor decizii comune sau care se referă la o entitate din grup situată în Republica Moldova.</w:t>
            </w:r>
          </w:p>
          <w:p w14:paraId="7E6269D1" w14:textId="77777777" w:rsidR="00EB243D" w:rsidRPr="00154588" w:rsidRDefault="00EB243D" w:rsidP="008C12B4">
            <w:pPr>
              <w:jc w:val="both"/>
              <w:rPr>
                <w:sz w:val="20"/>
                <w:szCs w:val="20"/>
              </w:rPr>
            </w:pPr>
          </w:p>
        </w:tc>
        <w:tc>
          <w:tcPr>
            <w:tcW w:w="2552" w:type="dxa"/>
          </w:tcPr>
          <w:p w14:paraId="4740C8D3" w14:textId="72846D1C" w:rsidR="00EB243D" w:rsidRPr="00154588" w:rsidRDefault="00EB243D" w:rsidP="008C12B4">
            <w:pPr>
              <w:jc w:val="both"/>
              <w:rPr>
                <w:sz w:val="20"/>
                <w:szCs w:val="20"/>
              </w:rPr>
            </w:pPr>
            <w:r w:rsidRPr="00154588">
              <w:rPr>
                <w:sz w:val="20"/>
                <w:szCs w:val="20"/>
              </w:rPr>
              <w:lastRenderedPageBreak/>
              <w:t>Compatibil</w:t>
            </w:r>
          </w:p>
        </w:tc>
        <w:tc>
          <w:tcPr>
            <w:tcW w:w="3118" w:type="dxa"/>
          </w:tcPr>
          <w:p w14:paraId="1B650F2F" w14:textId="77777777" w:rsidR="00EB243D" w:rsidRPr="00154588" w:rsidRDefault="00EB243D" w:rsidP="008C12B4">
            <w:pPr>
              <w:jc w:val="both"/>
              <w:rPr>
                <w:sz w:val="20"/>
                <w:szCs w:val="20"/>
              </w:rPr>
            </w:pPr>
          </w:p>
        </w:tc>
      </w:tr>
      <w:tr w:rsidR="00EB243D" w:rsidRPr="00154588" w14:paraId="7A37A1A1" w14:textId="77777777" w:rsidTr="00D15C1B">
        <w:trPr>
          <w:jc w:val="center"/>
        </w:trPr>
        <w:tc>
          <w:tcPr>
            <w:tcW w:w="4957" w:type="dxa"/>
            <w:gridSpan w:val="2"/>
          </w:tcPr>
          <w:p w14:paraId="146FF678" w14:textId="3631ACFB" w:rsidR="00EB243D" w:rsidRPr="00154588" w:rsidRDefault="00EB243D" w:rsidP="008C12B4">
            <w:pPr>
              <w:jc w:val="both"/>
              <w:rPr>
                <w:sz w:val="20"/>
                <w:szCs w:val="20"/>
              </w:rPr>
            </w:pPr>
            <w:r w:rsidRPr="00154588">
              <w:rPr>
                <w:sz w:val="20"/>
                <w:szCs w:val="20"/>
              </w:rPr>
              <w:t>(6)   Autoritățile de rezoluție la nivel de grup nu sunt obligate să instituie un colegiu de rezoluție în cazul în care alte grupuri sau colegii îndeplinesc aceleași funcții și sarcini cu cele menționate la prezentul articol și respectă toate condițiile și procedurile, inclusiv pe cele care vizează componența și participarea la colegiile de rezoluție, stabilite la prezentul articol și la articolul 90. În acest caz, toate trimiterile la colegii de rezoluție din prezenta directivă sunt de asemenea înțelese ca trimiteri la aceste alte grupuri sau colegii.</w:t>
            </w:r>
          </w:p>
        </w:tc>
        <w:tc>
          <w:tcPr>
            <w:tcW w:w="4819" w:type="dxa"/>
          </w:tcPr>
          <w:p w14:paraId="1AB450B1" w14:textId="41420002"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7</w:t>
            </w:r>
            <w:r w:rsidRPr="00154588">
              <w:rPr>
                <w:rFonts w:eastAsia="Calibri"/>
                <w:b/>
                <w:kern w:val="2"/>
                <w:sz w:val="20"/>
                <w:szCs w:val="20"/>
                <w14:ligatures w14:val="standardContextual"/>
              </w:rPr>
              <w:t xml:space="preserve">. </w:t>
            </w:r>
            <w:r w:rsidRPr="00154588">
              <w:rPr>
                <w:rFonts w:eastAsia="Calibri"/>
                <w:b/>
                <w:bCs/>
                <w:kern w:val="2"/>
                <w:sz w:val="20"/>
                <w:szCs w:val="20"/>
                <w14:ligatures w14:val="standardContextual"/>
              </w:rPr>
              <w:t xml:space="preserve">– </w:t>
            </w:r>
            <w:r w:rsidRPr="00154588">
              <w:rPr>
                <w:rFonts w:eastAsia="Calibri"/>
                <w:kern w:val="2"/>
                <w:sz w:val="20"/>
                <w:szCs w:val="20"/>
                <w14:ligatures w14:val="standardContextual"/>
              </w:rPr>
              <w:t>(1)</w:t>
            </w:r>
            <w:r w:rsidRPr="00154588">
              <w:rPr>
                <w:rFonts w:eastAsia="Calibri"/>
                <w:b/>
                <w:kern w:val="2"/>
                <w:sz w:val="20"/>
                <w:szCs w:val="20"/>
                <w14:ligatures w14:val="standardContextual"/>
              </w:rPr>
              <w:t xml:space="preserve"> </w:t>
            </w:r>
            <w:r w:rsidRPr="00154588">
              <w:rPr>
                <w:rFonts w:eastAsia="Calibri"/>
                <w:kern w:val="2"/>
                <w:sz w:val="20"/>
                <w:szCs w:val="20"/>
                <w14:ligatures w14:val="standardContextual"/>
              </w:rPr>
              <w:t>Banca Națională a Moldovei, în calitate de autoritate de rezoluție la nivel de grup, nu este obligată să instituie un colegiu de rezoluție în cazul în care alte grupuri sau colegii exercită aceleași funcții și aceleași sarcini cu cele prevăzute la art.295</w:t>
            </w:r>
            <w:r w:rsidRPr="00154588">
              <w:rPr>
                <w:rFonts w:eastAsia="Calibri"/>
                <w:kern w:val="2"/>
                <w:sz w:val="20"/>
                <w:szCs w:val="20"/>
                <w:vertAlign w:val="superscript"/>
                <w14:ligatures w14:val="standardContextual"/>
              </w:rPr>
              <w:t>2</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6</w:t>
            </w:r>
            <w:r w:rsidRPr="00154588">
              <w:rPr>
                <w:rFonts w:eastAsia="Calibri"/>
                <w:kern w:val="2"/>
                <w:sz w:val="20"/>
                <w:szCs w:val="20"/>
                <w14:ligatures w14:val="standardContextual"/>
              </w:rPr>
              <w:t> și respectă toate condițiile și procedurile, inclusiv pe cele care vizează componența și participarea la colegiile de rezoluție, stabilite la art.295</w:t>
            </w:r>
            <w:r w:rsidRPr="00154588">
              <w:rPr>
                <w:rFonts w:eastAsia="Calibri"/>
                <w:kern w:val="2"/>
                <w:sz w:val="20"/>
                <w:szCs w:val="20"/>
                <w:vertAlign w:val="superscript"/>
                <w14:ligatures w14:val="standardContextual"/>
              </w:rPr>
              <w:t>2</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6</w:t>
            </w:r>
            <w:r w:rsidRPr="00154588">
              <w:rPr>
                <w:rFonts w:eastAsia="Calibri"/>
                <w:kern w:val="2"/>
                <w:sz w:val="20"/>
                <w:szCs w:val="20"/>
                <w14:ligatures w14:val="standardContextual"/>
              </w:rPr>
              <w:t> și la art.295</w:t>
            </w:r>
            <w:r w:rsidRPr="00154588">
              <w:rPr>
                <w:rFonts w:eastAsia="Calibri"/>
                <w:kern w:val="2"/>
                <w:sz w:val="20"/>
                <w:szCs w:val="20"/>
                <w:vertAlign w:val="superscript"/>
                <w14:ligatures w14:val="standardContextual"/>
              </w:rPr>
              <w:t>13</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16</w:t>
            </w:r>
            <w:r w:rsidRPr="00154588">
              <w:rPr>
                <w:rFonts w:eastAsia="Calibri"/>
                <w:kern w:val="2"/>
                <w:sz w:val="20"/>
                <w:szCs w:val="20"/>
                <w14:ligatures w14:val="standardContextual"/>
              </w:rPr>
              <w:t>. În acest caz, toate trimiterile la colegii de rezoluție din prezenta lege sunt de asemenea înțelese ca trimiteri la acele alte grupuri sau colegii.</w:t>
            </w:r>
          </w:p>
          <w:p w14:paraId="41EB22C9" w14:textId="77777777" w:rsidR="00EB243D" w:rsidRPr="00154588" w:rsidRDefault="00EB243D" w:rsidP="008C12B4">
            <w:pPr>
              <w:jc w:val="both"/>
              <w:rPr>
                <w:sz w:val="20"/>
                <w:szCs w:val="20"/>
              </w:rPr>
            </w:pPr>
          </w:p>
        </w:tc>
        <w:tc>
          <w:tcPr>
            <w:tcW w:w="2552" w:type="dxa"/>
          </w:tcPr>
          <w:p w14:paraId="139C24B9" w14:textId="5D5AC9E0" w:rsidR="00EB243D" w:rsidRPr="00154588" w:rsidRDefault="00EB243D" w:rsidP="008C12B4">
            <w:pPr>
              <w:jc w:val="both"/>
              <w:rPr>
                <w:sz w:val="20"/>
                <w:szCs w:val="20"/>
              </w:rPr>
            </w:pPr>
            <w:r w:rsidRPr="00154588">
              <w:rPr>
                <w:sz w:val="20"/>
                <w:szCs w:val="20"/>
              </w:rPr>
              <w:t>Compatibil</w:t>
            </w:r>
          </w:p>
        </w:tc>
        <w:tc>
          <w:tcPr>
            <w:tcW w:w="3118" w:type="dxa"/>
          </w:tcPr>
          <w:p w14:paraId="6839991B" w14:textId="77777777" w:rsidR="00EB243D" w:rsidRPr="00154588" w:rsidRDefault="00EB243D" w:rsidP="008C12B4">
            <w:pPr>
              <w:jc w:val="both"/>
              <w:rPr>
                <w:sz w:val="20"/>
                <w:szCs w:val="20"/>
              </w:rPr>
            </w:pPr>
          </w:p>
        </w:tc>
      </w:tr>
      <w:tr w:rsidR="00EB243D" w:rsidRPr="00154588" w14:paraId="17456D89" w14:textId="77777777" w:rsidTr="00D15C1B">
        <w:trPr>
          <w:jc w:val="center"/>
        </w:trPr>
        <w:tc>
          <w:tcPr>
            <w:tcW w:w="4957" w:type="dxa"/>
            <w:gridSpan w:val="2"/>
          </w:tcPr>
          <w:p w14:paraId="682A0EA2" w14:textId="77777777" w:rsidR="00EB243D" w:rsidRPr="00154588" w:rsidRDefault="00EB243D" w:rsidP="008C12B4">
            <w:pPr>
              <w:jc w:val="both"/>
              <w:rPr>
                <w:sz w:val="20"/>
                <w:szCs w:val="20"/>
              </w:rPr>
            </w:pPr>
            <w:r w:rsidRPr="00154588">
              <w:rPr>
                <w:sz w:val="20"/>
                <w:szCs w:val="20"/>
              </w:rPr>
              <w:t xml:space="preserve">(6a) Pentru a facilita îndeplinirea sarcinilor menționate la articolul 10 alineatul (1), articolul 15 alineatul (1) și articolul 17 alineatul (1) și pentru a desfășura schimburi de orice informații relevante, se poate institui un colegiu de rezoluție: </w:t>
            </w:r>
          </w:p>
          <w:p w14:paraId="4FF4BC4B" w14:textId="77777777" w:rsidR="00EB243D" w:rsidRPr="00154588" w:rsidRDefault="00EB243D" w:rsidP="008C12B4">
            <w:pPr>
              <w:jc w:val="both"/>
              <w:rPr>
                <w:sz w:val="20"/>
                <w:szCs w:val="20"/>
              </w:rPr>
            </w:pPr>
          </w:p>
          <w:p w14:paraId="23696739" w14:textId="1DA9C642" w:rsidR="00EB243D" w:rsidRPr="00154588" w:rsidRDefault="00EB243D" w:rsidP="008C12B4">
            <w:pPr>
              <w:pStyle w:val="a7"/>
              <w:numPr>
                <w:ilvl w:val="0"/>
                <w:numId w:val="6"/>
              </w:numPr>
              <w:ind w:left="34" w:firstLine="0"/>
              <w:jc w:val="both"/>
              <w:rPr>
                <w:rFonts w:cs="Times New Roman"/>
                <w:sz w:val="20"/>
                <w:szCs w:val="20"/>
                <w:lang w:val="it-CH"/>
              </w:rPr>
            </w:pPr>
            <w:r w:rsidRPr="00154588">
              <w:rPr>
                <w:rFonts w:cs="Times New Roman"/>
                <w:sz w:val="20"/>
                <w:szCs w:val="20"/>
                <w:lang w:val="it-CH"/>
              </w:rPr>
              <w:lastRenderedPageBreak/>
              <w:t>în cazul unei instituții cu una sau mai multe sucursale semnificative situate în alte state membre, de către autoritatea de rezoluție a instituției respective;</w:t>
            </w:r>
          </w:p>
          <w:p w14:paraId="0888BC26" w14:textId="77777777" w:rsidR="00EB243D" w:rsidRPr="00154588" w:rsidRDefault="00EB243D" w:rsidP="008C12B4">
            <w:pPr>
              <w:pStyle w:val="a7"/>
              <w:ind w:left="34"/>
              <w:jc w:val="both"/>
              <w:rPr>
                <w:rFonts w:cs="Times New Roman"/>
                <w:sz w:val="20"/>
                <w:szCs w:val="20"/>
                <w:lang w:val="it-CH"/>
              </w:rPr>
            </w:pPr>
          </w:p>
          <w:p w14:paraId="18C02077" w14:textId="77777777" w:rsidR="00EB243D" w:rsidRPr="00154588" w:rsidRDefault="00EB243D" w:rsidP="008C12B4">
            <w:pPr>
              <w:jc w:val="both"/>
              <w:rPr>
                <w:sz w:val="20"/>
                <w:szCs w:val="20"/>
              </w:rPr>
            </w:pPr>
            <w:r w:rsidRPr="00154588">
              <w:rPr>
                <w:sz w:val="20"/>
                <w:szCs w:val="20"/>
              </w:rPr>
              <w:t xml:space="preserve">b) în cazul unui grup compus dintr-o întreprindere-mamă și filialele sale, care sunt stabilite în același stat membru, precum și din sucursale semnificative, dintre care una sau mai multe sunt situate în alte state membre, de către autoritatea de rezoluție a întreprinderii-mamă respective. </w:t>
            </w:r>
          </w:p>
          <w:p w14:paraId="47A9F875" w14:textId="77777777" w:rsidR="00EB243D" w:rsidRPr="00154588" w:rsidRDefault="00EB243D" w:rsidP="008C12B4">
            <w:pPr>
              <w:jc w:val="both"/>
              <w:rPr>
                <w:sz w:val="20"/>
                <w:szCs w:val="20"/>
              </w:rPr>
            </w:pPr>
          </w:p>
          <w:p w14:paraId="61770ECC" w14:textId="77777777" w:rsidR="00EB243D" w:rsidRPr="00154588" w:rsidRDefault="00EB243D" w:rsidP="008C12B4">
            <w:pPr>
              <w:jc w:val="both"/>
              <w:rPr>
                <w:bCs/>
                <w:sz w:val="20"/>
                <w:szCs w:val="20"/>
              </w:rPr>
            </w:pPr>
            <w:r w:rsidRPr="00154588">
              <w:rPr>
                <w:sz w:val="20"/>
                <w:szCs w:val="20"/>
              </w:rPr>
              <w:t xml:space="preserve">Autoritatea de rezoluție din statul membru în care este stabilită instituția sau întreprinderea-mamă menționată la primul paragraf de la prezentul alineat prezidează colegiul de rezoluție și instituie norme adecvate pentru funcționarea acestuia, după consultarea celorlalte autorități de rezoluție. </w:t>
            </w:r>
          </w:p>
          <w:p w14:paraId="3135E9DC" w14:textId="77777777" w:rsidR="00EB243D" w:rsidRPr="00154588" w:rsidRDefault="00EB243D" w:rsidP="008C12B4">
            <w:pPr>
              <w:jc w:val="both"/>
              <w:rPr>
                <w:bCs/>
                <w:sz w:val="20"/>
                <w:szCs w:val="20"/>
              </w:rPr>
            </w:pPr>
            <w:r w:rsidRPr="00154588">
              <w:rPr>
                <w:sz w:val="20"/>
                <w:szCs w:val="20"/>
              </w:rPr>
              <w:t xml:space="preserve">Actele delegate adoptate în temeiul alineatului (7) nu se aplică colegiilor de rezoluție instituite în temeiul prezentului alineat, dar sunt luate în considerare la instituirea normelor de funcționare a acestora. </w:t>
            </w:r>
          </w:p>
          <w:p w14:paraId="656C83CF" w14:textId="77777777" w:rsidR="00EB243D" w:rsidRPr="00154588" w:rsidRDefault="00EB243D" w:rsidP="008C12B4">
            <w:pPr>
              <w:jc w:val="both"/>
              <w:rPr>
                <w:bCs/>
                <w:sz w:val="20"/>
                <w:szCs w:val="20"/>
              </w:rPr>
            </w:pPr>
          </w:p>
          <w:p w14:paraId="44B05210" w14:textId="6C5A75F7" w:rsidR="00EB243D" w:rsidRPr="00154588" w:rsidRDefault="00EB243D" w:rsidP="008C12B4">
            <w:pPr>
              <w:jc w:val="both"/>
              <w:rPr>
                <w:sz w:val="20"/>
                <w:szCs w:val="20"/>
              </w:rPr>
            </w:pPr>
            <w:r w:rsidRPr="00154588">
              <w:rPr>
                <w:sz w:val="20"/>
                <w:szCs w:val="20"/>
              </w:rPr>
              <w:t xml:space="preserve">Președintele colegiului de rezoluție decide cu privire la autoritățile care participă la o reuniune sau la o activitate a colegiului de rezoluție, ținând seama de relevanța activității care urmează să fie planificată sau coordonată pentru autoritățile respective, în special de potențialul efect asupra stabilității sistemului financiar din statele membre în cauză și de sarcinile menționate la primul paragraf de la prezentul alineat. </w:t>
            </w:r>
          </w:p>
          <w:p w14:paraId="4E5F9656" w14:textId="77777777" w:rsidR="00EB243D" w:rsidRPr="00154588" w:rsidRDefault="00EB243D" w:rsidP="008C12B4">
            <w:pPr>
              <w:jc w:val="both"/>
              <w:rPr>
                <w:sz w:val="20"/>
                <w:szCs w:val="20"/>
              </w:rPr>
            </w:pPr>
          </w:p>
          <w:p w14:paraId="433B4B2F" w14:textId="4752CBC1" w:rsidR="00EB243D" w:rsidRPr="00154588" w:rsidRDefault="00EB243D" w:rsidP="008C12B4">
            <w:pPr>
              <w:jc w:val="both"/>
              <w:rPr>
                <w:sz w:val="20"/>
                <w:szCs w:val="20"/>
              </w:rPr>
            </w:pPr>
            <w:r w:rsidRPr="00154588">
              <w:rPr>
                <w:sz w:val="20"/>
                <w:szCs w:val="20"/>
              </w:rPr>
              <w:t>Președintele colegiului de rezoluție îi informează pe deplin și în prealabil pe toți membrii colegiului de rezoluție în legătură cu organizarea unor astfel de reuniuni, cu principalele aspecte care urmează să fie discutate, precum și cu activitățile care urmează să fie examinate. Președintele îi informează, de asemenea, pe deplin și în timp util pe toți membrii colegiului de rezoluție în legătură cu măsurile adoptate în cadrul respectivelor reuniuni și cu acțiunile întreprinse.</w:t>
            </w:r>
          </w:p>
        </w:tc>
        <w:tc>
          <w:tcPr>
            <w:tcW w:w="4819" w:type="dxa"/>
          </w:tcPr>
          <w:p w14:paraId="14B73ECE" w14:textId="63D4E69E" w:rsidR="00EB243D" w:rsidRPr="00154588" w:rsidRDefault="00AD78C5" w:rsidP="008C12B4">
            <w:pPr>
              <w:jc w:val="both"/>
              <w:rPr>
                <w:bCs/>
                <w:sz w:val="20"/>
                <w:szCs w:val="20"/>
              </w:rPr>
            </w:pPr>
            <w:r w:rsidRPr="00154588">
              <w:rPr>
                <w:rFonts w:eastAsia="Calibri"/>
                <w:kern w:val="2"/>
                <w:sz w:val="20"/>
                <w:szCs w:val="20"/>
                <w14:ligatures w14:val="standardContextual"/>
              </w:rPr>
              <w:lastRenderedPageBreak/>
              <w:t xml:space="preserve">         </w:t>
            </w:r>
            <w:r w:rsidR="00EB243D" w:rsidRPr="00154588">
              <w:rPr>
                <w:rFonts w:eastAsia="Calibri"/>
                <w:kern w:val="2"/>
                <w:sz w:val="20"/>
                <w:szCs w:val="20"/>
                <w14:ligatures w14:val="standardContextual"/>
              </w:rPr>
              <w:t>(2)</w:t>
            </w:r>
            <w:r w:rsidR="00EB243D" w:rsidRPr="00154588">
              <w:rPr>
                <w:bCs/>
                <w:sz w:val="20"/>
                <w:szCs w:val="20"/>
              </w:rPr>
              <w:t xml:space="preserve"> Pentru a facilita îndeplinirea sarcinilor menționate la art.23, art.32 și art.35 și pentru a desfășura schimburi de orice informații relevante, Banca Națională a Moldovei, în calitate de autoritate de rezoluție, poate institui un colegiu de rezoluție:</w:t>
            </w:r>
          </w:p>
          <w:p w14:paraId="3EE156E2" w14:textId="77777777" w:rsidR="00EB243D" w:rsidRPr="00154588" w:rsidRDefault="00EB243D" w:rsidP="008C12B4">
            <w:pPr>
              <w:jc w:val="both"/>
              <w:rPr>
                <w:bCs/>
                <w:sz w:val="20"/>
                <w:szCs w:val="20"/>
              </w:rPr>
            </w:pPr>
          </w:p>
          <w:p w14:paraId="05799DE4" w14:textId="77777777" w:rsidR="00EB243D" w:rsidRPr="00154588" w:rsidRDefault="00EB243D" w:rsidP="008C12B4">
            <w:pPr>
              <w:tabs>
                <w:tab w:val="left" w:pos="465"/>
              </w:tabs>
              <w:jc w:val="both"/>
              <w:rPr>
                <w:rFonts w:eastAsiaTheme="minorHAnsi"/>
                <w:sz w:val="20"/>
                <w:szCs w:val="20"/>
                <w:lang w:val="ro-MD"/>
              </w:rPr>
            </w:pPr>
            <w:r w:rsidRPr="00154588">
              <w:rPr>
                <w:rFonts w:eastAsiaTheme="minorHAnsi"/>
                <w:sz w:val="20"/>
                <w:szCs w:val="20"/>
                <w:lang w:val="ro-MD"/>
              </w:rPr>
              <w:lastRenderedPageBreak/>
              <w:t>a) pentru o instituție de credit care are una sau mai multe sucursale semnificative situate în alte state;</w:t>
            </w:r>
          </w:p>
          <w:p w14:paraId="19C25403" w14:textId="352EAA53" w:rsidR="00EB243D" w:rsidRPr="00154588" w:rsidRDefault="00EB243D" w:rsidP="008C12B4">
            <w:pPr>
              <w:tabs>
                <w:tab w:val="left" w:pos="465"/>
              </w:tabs>
              <w:jc w:val="both"/>
              <w:rPr>
                <w:sz w:val="20"/>
                <w:szCs w:val="20"/>
                <w:lang w:val="it-CH"/>
              </w:rPr>
            </w:pPr>
          </w:p>
          <w:p w14:paraId="4F1DB49B" w14:textId="77777777" w:rsidR="00EB243D" w:rsidRPr="00154588" w:rsidRDefault="00EB243D" w:rsidP="008C12B4">
            <w:pPr>
              <w:pStyle w:val="a7"/>
              <w:ind w:left="34"/>
              <w:jc w:val="both"/>
              <w:rPr>
                <w:rFonts w:cs="Times New Roman"/>
                <w:sz w:val="20"/>
                <w:szCs w:val="20"/>
                <w:lang w:val="it-CH"/>
              </w:rPr>
            </w:pPr>
          </w:p>
          <w:p w14:paraId="137AEA53" w14:textId="77777777" w:rsidR="00EB243D" w:rsidRPr="00154588" w:rsidRDefault="00EB243D" w:rsidP="008C12B4">
            <w:pPr>
              <w:jc w:val="both"/>
              <w:rPr>
                <w:bCs/>
                <w:sz w:val="20"/>
                <w:szCs w:val="20"/>
              </w:rPr>
            </w:pPr>
            <w:r w:rsidRPr="00154588">
              <w:rPr>
                <w:bCs/>
                <w:sz w:val="20"/>
                <w:szCs w:val="20"/>
              </w:rPr>
              <w:t>b) pentru un grup compus dintr-o întreprindere-mamă și filialele acesteia, stabilite în Republica Moldova, precum și din una sau mai multe sucursale semnificative ale acestora, situate în alte state, atunci când Banca Națională a Moldovei este autoritatea de rezoluție a întreprinderii-mamă.</w:t>
            </w:r>
          </w:p>
          <w:p w14:paraId="658BD78A" w14:textId="77777777" w:rsidR="00EB243D" w:rsidRPr="00154588" w:rsidRDefault="00EB243D" w:rsidP="008C12B4">
            <w:pPr>
              <w:jc w:val="both"/>
              <w:rPr>
                <w:bCs/>
                <w:sz w:val="20"/>
                <w:szCs w:val="20"/>
              </w:rPr>
            </w:pPr>
          </w:p>
          <w:p w14:paraId="32C8E270" w14:textId="357CC768" w:rsidR="00EB243D" w:rsidRPr="00154588" w:rsidRDefault="00AD78C5" w:rsidP="008C12B4">
            <w:pPr>
              <w:jc w:val="both"/>
              <w:rPr>
                <w:bCs/>
                <w:sz w:val="20"/>
                <w:szCs w:val="20"/>
              </w:rPr>
            </w:pPr>
            <w:r w:rsidRPr="00154588">
              <w:rPr>
                <w:bCs/>
                <w:sz w:val="20"/>
                <w:szCs w:val="20"/>
              </w:rPr>
              <w:t xml:space="preserve">          </w:t>
            </w:r>
            <w:r w:rsidR="00EB243D" w:rsidRPr="00154588">
              <w:rPr>
                <w:bCs/>
                <w:sz w:val="20"/>
                <w:szCs w:val="20"/>
              </w:rPr>
              <w:t>(3)</w:t>
            </w:r>
            <w:r w:rsidR="00EB243D" w:rsidRPr="00154588">
              <w:t xml:space="preserve"> </w:t>
            </w:r>
            <w:r w:rsidR="00EB243D" w:rsidRPr="00154588">
              <w:rPr>
                <w:bCs/>
                <w:sz w:val="20"/>
                <w:szCs w:val="20"/>
              </w:rPr>
              <w:t xml:space="preserve"> În cazurile prevăzute la alin. (2), Banca Națională a Moldovei, în calitate de autoritate de rezoluție a instituției de credit sau a întreprinderii-mamă, prezidează colegiul de rezoluție și stabilește, după consultarea celorlalte autorități de rezoluție participante, regulile privind organizarea și funcționarea acestuia.</w:t>
            </w:r>
          </w:p>
          <w:p w14:paraId="119612F7" w14:textId="77777777" w:rsidR="00EB243D" w:rsidRPr="00154588" w:rsidRDefault="00EB243D" w:rsidP="008C12B4">
            <w:pPr>
              <w:jc w:val="both"/>
              <w:rPr>
                <w:rFonts w:eastAsiaTheme="minorHAnsi"/>
                <w:bCs/>
                <w:sz w:val="20"/>
                <w:szCs w:val="20"/>
              </w:rPr>
            </w:pPr>
          </w:p>
          <w:p w14:paraId="1F1E7C04" w14:textId="16BB3B75" w:rsidR="00EB243D" w:rsidRPr="00154588" w:rsidRDefault="00AD78C5" w:rsidP="008C12B4">
            <w:pPr>
              <w:jc w:val="both"/>
              <w:rPr>
                <w:rFonts w:eastAsiaTheme="minorHAnsi"/>
                <w:bCs/>
                <w:sz w:val="20"/>
                <w:szCs w:val="20"/>
              </w:rPr>
            </w:pPr>
            <w:r w:rsidRPr="00154588">
              <w:rPr>
                <w:rFonts w:eastAsiaTheme="minorHAnsi"/>
                <w:bCs/>
                <w:sz w:val="20"/>
                <w:szCs w:val="20"/>
              </w:rPr>
              <w:t xml:space="preserve">            </w:t>
            </w:r>
            <w:r w:rsidR="00EB243D" w:rsidRPr="00154588">
              <w:rPr>
                <w:rFonts w:eastAsiaTheme="minorHAnsi"/>
                <w:bCs/>
                <w:sz w:val="20"/>
                <w:szCs w:val="20"/>
              </w:rPr>
              <w:t>(4) La stabilirea regulilor privind organizarea și funcționarea colegiului de rezoluție, Banca Națională a Moldovei ține seama de actele internaționale, standardele tehnice de reglementare relevante în domeniul funcționării colegiilor de rezoluție bancară, în măsura în care acestea sunt aplicabile.</w:t>
            </w:r>
          </w:p>
          <w:p w14:paraId="5376E1EC" w14:textId="2191A9A9" w:rsidR="00EB243D" w:rsidRPr="00154588" w:rsidRDefault="00AD78C5" w:rsidP="008C12B4">
            <w:pPr>
              <w:jc w:val="both"/>
              <w:rPr>
                <w:bCs/>
                <w:sz w:val="20"/>
                <w:szCs w:val="20"/>
              </w:rPr>
            </w:pPr>
            <w:r w:rsidRPr="00154588">
              <w:rPr>
                <w:rFonts w:eastAsiaTheme="minorHAnsi"/>
                <w:bCs/>
                <w:sz w:val="20"/>
                <w:szCs w:val="20"/>
              </w:rPr>
              <w:t xml:space="preserve">             </w:t>
            </w:r>
            <w:r w:rsidR="00EB243D" w:rsidRPr="00154588">
              <w:rPr>
                <w:rFonts w:eastAsiaTheme="minorHAnsi"/>
                <w:bCs/>
                <w:sz w:val="20"/>
                <w:szCs w:val="20"/>
              </w:rPr>
              <w:t>(5)</w:t>
            </w:r>
            <w:r w:rsidR="00EB243D" w:rsidRPr="00154588">
              <w:t xml:space="preserve"> </w:t>
            </w:r>
            <w:r w:rsidR="00EB243D" w:rsidRPr="00154588">
              <w:rPr>
                <w:rFonts w:eastAsiaTheme="minorHAnsi"/>
                <w:bCs/>
                <w:sz w:val="20"/>
                <w:szCs w:val="20"/>
              </w:rPr>
              <w:t xml:space="preserve">În calitate de președinte al colegiului de rezoluție, Banca Națională a Moldovei decide </w:t>
            </w:r>
            <w:r w:rsidR="00EB243D" w:rsidRPr="00154588">
              <w:rPr>
                <w:bCs/>
                <w:sz w:val="20"/>
                <w:szCs w:val="20"/>
              </w:rPr>
              <w:t>cu privire la autoritățile care participă la o reuniune sau la o activitate a colegiului de rezoluție, ținând seama de relevanța activității care urmează să fie planificată sau coordonată pentru autoritățile respective, în special de potențialul efect asupra stabilității sistemului financiar din statele membre în cauză și de sarcinile menționate la alin. (2)-(4).</w:t>
            </w:r>
          </w:p>
          <w:p w14:paraId="35F9961F" w14:textId="237DB8FA" w:rsidR="00EB243D" w:rsidRPr="00154588" w:rsidRDefault="00AD78C5" w:rsidP="008C12B4">
            <w:pPr>
              <w:jc w:val="both"/>
              <w:rPr>
                <w:rFonts w:eastAsiaTheme="minorHAnsi"/>
                <w:bCs/>
                <w:sz w:val="20"/>
                <w:szCs w:val="20"/>
                <w:lang w:val="ro-MD"/>
              </w:rPr>
            </w:pPr>
            <w:r w:rsidRPr="00154588">
              <w:rPr>
                <w:rFonts w:eastAsiaTheme="minorHAnsi"/>
                <w:bCs/>
                <w:sz w:val="20"/>
                <w:szCs w:val="20"/>
                <w:lang w:val="ro-MD"/>
              </w:rPr>
              <w:t xml:space="preserve">            </w:t>
            </w:r>
            <w:r w:rsidR="00EB243D" w:rsidRPr="00154588">
              <w:rPr>
                <w:rFonts w:eastAsiaTheme="minorHAnsi"/>
                <w:bCs/>
                <w:sz w:val="20"/>
                <w:szCs w:val="20"/>
                <w:lang w:val="ro-MD"/>
              </w:rPr>
              <w:t>(6) Banca Națională a Moldovei, în calitate de președinte al colegiului de rezoluție, informează, în prealabil și în mod corespunzător, toți membrii colegiului cu privire la organizarea reuniunilor, principalele aspecte care urmează să fie discutate și activitățile care urmează să fie examinate.</w:t>
            </w:r>
          </w:p>
          <w:p w14:paraId="4300FA2E" w14:textId="5A939EFF" w:rsidR="00EB243D" w:rsidRPr="00154588" w:rsidRDefault="00AD78C5" w:rsidP="008C12B4">
            <w:pPr>
              <w:jc w:val="both"/>
              <w:rPr>
                <w:rFonts w:eastAsiaTheme="minorHAnsi"/>
                <w:bCs/>
                <w:sz w:val="20"/>
                <w:szCs w:val="20"/>
                <w:lang w:val="ro-MD"/>
              </w:rPr>
            </w:pPr>
            <w:r w:rsidRPr="00154588">
              <w:rPr>
                <w:rFonts w:eastAsiaTheme="minorHAnsi"/>
                <w:bCs/>
                <w:sz w:val="20"/>
                <w:szCs w:val="20"/>
                <w:lang w:val="ro-MD"/>
              </w:rPr>
              <w:t xml:space="preserve">            </w:t>
            </w:r>
            <w:r w:rsidR="00EB243D" w:rsidRPr="00154588">
              <w:rPr>
                <w:rFonts w:eastAsiaTheme="minorHAnsi"/>
                <w:bCs/>
                <w:sz w:val="20"/>
                <w:szCs w:val="20"/>
                <w:lang w:val="ro-MD"/>
              </w:rPr>
              <w:t xml:space="preserve">(7) Banca Națională a Moldovei informează, în timp util și în mod corespunzător, toți membrii colegiului de rezoluție cu privire la măsurile adoptate </w:t>
            </w:r>
            <w:r w:rsidR="00EB243D" w:rsidRPr="00154588">
              <w:rPr>
                <w:rFonts w:eastAsiaTheme="minorHAnsi"/>
                <w:bCs/>
                <w:sz w:val="20"/>
                <w:szCs w:val="20"/>
                <w:lang w:val="ro-MD"/>
              </w:rPr>
              <w:lastRenderedPageBreak/>
              <w:t>în cadrul reuniunilor și la acțiunile întreprinse ca urmare a acestora.</w:t>
            </w:r>
          </w:p>
          <w:p w14:paraId="54C02F14" w14:textId="77777777" w:rsidR="00EB243D" w:rsidRPr="00154588" w:rsidRDefault="00EB243D" w:rsidP="008C12B4">
            <w:pPr>
              <w:jc w:val="both"/>
              <w:rPr>
                <w:rFonts w:eastAsiaTheme="minorHAnsi"/>
                <w:sz w:val="20"/>
                <w:szCs w:val="20"/>
                <w:lang w:val="ro-MD"/>
              </w:rPr>
            </w:pPr>
          </w:p>
        </w:tc>
        <w:tc>
          <w:tcPr>
            <w:tcW w:w="2552" w:type="dxa"/>
          </w:tcPr>
          <w:p w14:paraId="6BDAE668" w14:textId="7E04A8DF" w:rsidR="00EB243D" w:rsidRPr="00154588" w:rsidRDefault="00EB243D" w:rsidP="008C12B4">
            <w:pPr>
              <w:jc w:val="both"/>
              <w:rPr>
                <w:sz w:val="20"/>
                <w:szCs w:val="20"/>
              </w:rPr>
            </w:pPr>
            <w:r w:rsidRPr="00154588">
              <w:rPr>
                <w:sz w:val="20"/>
                <w:szCs w:val="16"/>
              </w:rPr>
              <w:lastRenderedPageBreak/>
              <w:t>Compatibil</w:t>
            </w:r>
          </w:p>
        </w:tc>
        <w:tc>
          <w:tcPr>
            <w:tcW w:w="3118" w:type="dxa"/>
          </w:tcPr>
          <w:p w14:paraId="47C6234F" w14:textId="77777777" w:rsidR="00EB243D" w:rsidRPr="00154588" w:rsidRDefault="00EB243D" w:rsidP="008C12B4">
            <w:pPr>
              <w:jc w:val="both"/>
              <w:rPr>
                <w:sz w:val="20"/>
                <w:szCs w:val="20"/>
              </w:rPr>
            </w:pPr>
          </w:p>
        </w:tc>
      </w:tr>
      <w:tr w:rsidR="00EB243D" w:rsidRPr="00154588" w14:paraId="1861A52C" w14:textId="77777777" w:rsidTr="00D15C1B">
        <w:trPr>
          <w:jc w:val="center"/>
        </w:trPr>
        <w:tc>
          <w:tcPr>
            <w:tcW w:w="4957" w:type="dxa"/>
            <w:gridSpan w:val="2"/>
          </w:tcPr>
          <w:p w14:paraId="5AA2F294" w14:textId="77777777" w:rsidR="00EB243D" w:rsidRPr="00154588" w:rsidRDefault="00EB243D" w:rsidP="008C12B4">
            <w:pPr>
              <w:jc w:val="both"/>
              <w:rPr>
                <w:sz w:val="20"/>
                <w:szCs w:val="20"/>
              </w:rPr>
            </w:pPr>
            <w:r w:rsidRPr="00154588">
              <w:rPr>
                <w:sz w:val="20"/>
                <w:szCs w:val="20"/>
              </w:rPr>
              <w:lastRenderedPageBreak/>
              <w:t>(7)   ABE elaborează, ținând seama de standardele internaționale, proiecte de standarde tehnice de reglementare pentru a preciza regulile de funcționare operațională a colegiilor de rezoluție pentru îndeplinirea sarcinilor menționate la alineatul (1).</w:t>
            </w:r>
          </w:p>
          <w:p w14:paraId="56B7C6A8" w14:textId="77777777" w:rsidR="00EB243D" w:rsidRPr="00154588" w:rsidRDefault="00EB243D" w:rsidP="008C12B4">
            <w:pPr>
              <w:jc w:val="both"/>
              <w:rPr>
                <w:sz w:val="20"/>
                <w:szCs w:val="20"/>
              </w:rPr>
            </w:pPr>
          </w:p>
          <w:p w14:paraId="3840FBDF" w14:textId="5B5E9645" w:rsidR="00EB243D" w:rsidRPr="00154588" w:rsidRDefault="00EB243D" w:rsidP="008C12B4">
            <w:pPr>
              <w:jc w:val="both"/>
              <w:rPr>
                <w:sz w:val="20"/>
                <w:szCs w:val="20"/>
              </w:rPr>
            </w:pPr>
            <w:r w:rsidRPr="00154588">
              <w:rPr>
                <w:sz w:val="20"/>
                <w:szCs w:val="20"/>
              </w:rPr>
              <w:t>ABE înaintează Comisiei aceste proiecte de standarde tehnice de reglementare până la 3 iulie 2015.</w:t>
            </w:r>
          </w:p>
          <w:p w14:paraId="300B6744" w14:textId="77777777" w:rsidR="00EB243D" w:rsidRPr="00154588" w:rsidRDefault="00EB243D" w:rsidP="008C12B4">
            <w:pPr>
              <w:jc w:val="both"/>
              <w:rPr>
                <w:sz w:val="20"/>
                <w:szCs w:val="20"/>
              </w:rPr>
            </w:pPr>
          </w:p>
          <w:p w14:paraId="13D407EE" w14:textId="40855998" w:rsidR="00EB243D" w:rsidRPr="00154588" w:rsidRDefault="00EB243D" w:rsidP="008C12B4">
            <w:pPr>
              <w:jc w:val="both"/>
              <w:rPr>
                <w:sz w:val="20"/>
                <w:szCs w:val="20"/>
              </w:rPr>
            </w:pPr>
            <w:r w:rsidRPr="00154588">
              <w:rPr>
                <w:sz w:val="20"/>
                <w:szCs w:val="20"/>
              </w:rPr>
              <w:t>Se conferă Comisiei competența de a adopta standardele tehnice de reglementare menționate la primul paragraf, în conformitate cu articolele 10-14 din Regulamentul (UE) nr. 1093/2010.</w:t>
            </w:r>
          </w:p>
        </w:tc>
        <w:tc>
          <w:tcPr>
            <w:tcW w:w="4819" w:type="dxa"/>
          </w:tcPr>
          <w:p w14:paraId="7E2C45BC" w14:textId="77777777" w:rsidR="00EB243D" w:rsidRPr="00154588" w:rsidRDefault="00EB243D" w:rsidP="008C12B4">
            <w:pPr>
              <w:jc w:val="both"/>
              <w:rPr>
                <w:sz w:val="20"/>
                <w:szCs w:val="20"/>
              </w:rPr>
            </w:pPr>
          </w:p>
        </w:tc>
        <w:tc>
          <w:tcPr>
            <w:tcW w:w="2552" w:type="dxa"/>
          </w:tcPr>
          <w:p w14:paraId="4EE039CD" w14:textId="27B0F928" w:rsidR="00EB243D" w:rsidRPr="00154588" w:rsidRDefault="00EB243D" w:rsidP="008C12B4">
            <w:pPr>
              <w:jc w:val="both"/>
              <w:rPr>
                <w:sz w:val="20"/>
                <w:szCs w:val="20"/>
              </w:rPr>
            </w:pPr>
            <w:r w:rsidRPr="00154588">
              <w:rPr>
                <w:bCs/>
                <w:sz w:val="20"/>
                <w:szCs w:val="20"/>
                <w:lang w:val="ro-MD"/>
              </w:rPr>
              <w:t>Prevederi UE neaplicabile</w:t>
            </w:r>
          </w:p>
        </w:tc>
        <w:tc>
          <w:tcPr>
            <w:tcW w:w="3118" w:type="dxa"/>
          </w:tcPr>
          <w:p w14:paraId="0B16443E" w14:textId="4B533099" w:rsidR="00EB243D" w:rsidRPr="00154588" w:rsidRDefault="00EB243D" w:rsidP="008C12B4">
            <w:pPr>
              <w:jc w:val="both"/>
              <w:rPr>
                <w:sz w:val="20"/>
                <w:szCs w:val="20"/>
              </w:rPr>
            </w:pPr>
            <w:r w:rsidRPr="00154588">
              <w:rPr>
                <w:bCs/>
                <w:sz w:val="20"/>
                <w:szCs w:val="20"/>
                <w:lang w:val="ro-MD"/>
              </w:rPr>
              <w:t>Prevederi care se referă la atribuțiile de reglementare ale autorităților europene.</w:t>
            </w:r>
          </w:p>
        </w:tc>
      </w:tr>
      <w:tr w:rsidR="00EB243D" w:rsidRPr="00154588" w14:paraId="037778F5" w14:textId="77777777" w:rsidTr="00D15C1B">
        <w:trPr>
          <w:jc w:val="center"/>
        </w:trPr>
        <w:tc>
          <w:tcPr>
            <w:tcW w:w="4957" w:type="dxa"/>
            <w:gridSpan w:val="2"/>
          </w:tcPr>
          <w:p w14:paraId="05A3F3D6" w14:textId="77777777" w:rsidR="00EB243D" w:rsidRPr="00154588" w:rsidRDefault="00EB243D" w:rsidP="008C12B4">
            <w:pPr>
              <w:jc w:val="both"/>
              <w:rPr>
                <w:b/>
                <w:sz w:val="20"/>
                <w:szCs w:val="20"/>
              </w:rPr>
            </w:pPr>
            <w:r w:rsidRPr="00154588">
              <w:rPr>
                <w:b/>
                <w:sz w:val="20"/>
                <w:szCs w:val="20"/>
              </w:rPr>
              <w:t>Articolul 89</w:t>
            </w:r>
          </w:p>
          <w:p w14:paraId="7DCE155B" w14:textId="77777777" w:rsidR="00EB243D" w:rsidRPr="00154588" w:rsidRDefault="00EB243D" w:rsidP="008C12B4">
            <w:pPr>
              <w:jc w:val="both"/>
              <w:rPr>
                <w:b/>
                <w:sz w:val="20"/>
                <w:szCs w:val="20"/>
              </w:rPr>
            </w:pPr>
          </w:p>
          <w:p w14:paraId="4DD408F9" w14:textId="6616423C" w:rsidR="00EB243D" w:rsidRPr="00154588" w:rsidRDefault="00EB243D" w:rsidP="008C12B4">
            <w:pPr>
              <w:jc w:val="both"/>
              <w:rPr>
                <w:sz w:val="20"/>
                <w:szCs w:val="20"/>
              </w:rPr>
            </w:pPr>
            <w:r w:rsidRPr="00154588">
              <w:rPr>
                <w:b/>
                <w:sz w:val="20"/>
                <w:szCs w:val="20"/>
              </w:rPr>
              <w:t>Colegiile de rezoluție europene</w:t>
            </w:r>
          </w:p>
        </w:tc>
        <w:tc>
          <w:tcPr>
            <w:tcW w:w="4819" w:type="dxa"/>
          </w:tcPr>
          <w:p w14:paraId="42B34619" w14:textId="77777777" w:rsidR="00EB243D" w:rsidRPr="00154588" w:rsidRDefault="00EB243D" w:rsidP="008C12B4">
            <w:pPr>
              <w:jc w:val="center"/>
              <w:rPr>
                <w:rFonts w:eastAsia="Calibri"/>
                <w:b/>
                <w:sz w:val="20"/>
                <w:szCs w:val="20"/>
              </w:rPr>
            </w:pPr>
            <w:r w:rsidRPr="00154588">
              <w:rPr>
                <w:rFonts w:eastAsia="Calibri"/>
                <w:b/>
                <w:sz w:val="20"/>
                <w:szCs w:val="20"/>
              </w:rPr>
              <w:t>Capitolul III</w:t>
            </w:r>
          </w:p>
          <w:p w14:paraId="729503C5" w14:textId="77777777" w:rsidR="00EB243D" w:rsidRPr="00154588" w:rsidRDefault="00EB243D" w:rsidP="008C12B4">
            <w:pPr>
              <w:jc w:val="center"/>
              <w:rPr>
                <w:rFonts w:eastAsia="Calibri"/>
                <w:b/>
                <w:sz w:val="20"/>
                <w:szCs w:val="20"/>
              </w:rPr>
            </w:pPr>
            <w:r w:rsidRPr="00154588">
              <w:rPr>
                <w:rFonts w:eastAsia="Calibri"/>
                <w:b/>
                <w:sz w:val="20"/>
                <w:szCs w:val="20"/>
              </w:rPr>
              <w:t>COLEGII DE REZOLUȚIE EUROPENE</w:t>
            </w:r>
          </w:p>
          <w:p w14:paraId="0A23D3FA" w14:textId="41A4DAAC" w:rsidR="00EB243D" w:rsidRPr="00154588" w:rsidRDefault="00EB243D" w:rsidP="008C12B4">
            <w:pPr>
              <w:tabs>
                <w:tab w:val="left" w:pos="1005"/>
              </w:tabs>
              <w:rPr>
                <w:sz w:val="20"/>
                <w:szCs w:val="20"/>
              </w:rPr>
            </w:pPr>
          </w:p>
        </w:tc>
        <w:tc>
          <w:tcPr>
            <w:tcW w:w="2552" w:type="dxa"/>
          </w:tcPr>
          <w:p w14:paraId="4577D6A4" w14:textId="77777777" w:rsidR="00EB243D" w:rsidRPr="00154588" w:rsidRDefault="00EB243D" w:rsidP="008C12B4">
            <w:pPr>
              <w:jc w:val="both"/>
              <w:rPr>
                <w:sz w:val="20"/>
                <w:szCs w:val="20"/>
              </w:rPr>
            </w:pPr>
          </w:p>
        </w:tc>
        <w:tc>
          <w:tcPr>
            <w:tcW w:w="3118" w:type="dxa"/>
          </w:tcPr>
          <w:p w14:paraId="217237B5" w14:textId="77777777" w:rsidR="00EB243D" w:rsidRPr="00154588" w:rsidRDefault="00EB243D" w:rsidP="008C12B4">
            <w:pPr>
              <w:jc w:val="both"/>
              <w:rPr>
                <w:sz w:val="20"/>
                <w:szCs w:val="20"/>
              </w:rPr>
            </w:pPr>
          </w:p>
        </w:tc>
      </w:tr>
      <w:tr w:rsidR="00EB243D" w:rsidRPr="00154588" w14:paraId="64D25F27" w14:textId="77777777" w:rsidTr="00D15C1B">
        <w:trPr>
          <w:jc w:val="center"/>
        </w:trPr>
        <w:tc>
          <w:tcPr>
            <w:tcW w:w="4957" w:type="dxa"/>
            <w:gridSpan w:val="2"/>
          </w:tcPr>
          <w:p w14:paraId="551AAFE1" w14:textId="55251C0C" w:rsidR="00EB243D" w:rsidRPr="00154588" w:rsidRDefault="00EB243D" w:rsidP="008C12B4">
            <w:pPr>
              <w:jc w:val="both"/>
              <w:rPr>
                <w:sz w:val="20"/>
                <w:szCs w:val="20"/>
              </w:rPr>
            </w:pPr>
            <w:r w:rsidRPr="00154588">
              <w:rPr>
                <w:sz w:val="20"/>
                <w:szCs w:val="20"/>
              </w:rPr>
              <w:t>(1)   În cazul în care o instituție dintr-o țară terță sau o întreprindere-mamă dintr-o țară terță deține filiale stabilite în Uniune sau întreprinderi-mamă în Uniune, stabilite în două sau mai multe state membre, sau două sau mai multe sucursale în Uniune care sunt considerate semnificative de către două sau mai multe state membre, autoritățile de rezoluție din statele membre în care sunt stabilite entitățile respective sau în care sunt situate respectivele sucursale semnificative instituie un colegiu de rezoluție european unic.</w:t>
            </w:r>
          </w:p>
        </w:tc>
        <w:tc>
          <w:tcPr>
            <w:tcW w:w="4819" w:type="dxa"/>
          </w:tcPr>
          <w:p w14:paraId="7CD39B40" w14:textId="1B25761A" w:rsidR="00EB243D" w:rsidRPr="00154588" w:rsidRDefault="00EB243D" w:rsidP="008C12B4">
            <w:pPr>
              <w:jc w:val="both"/>
              <w:rPr>
                <w:sz w:val="20"/>
                <w:szCs w:val="20"/>
              </w:rPr>
            </w:pPr>
            <w:r w:rsidRPr="00154588">
              <w:rPr>
                <w:b/>
                <w:sz w:val="20"/>
                <w:szCs w:val="20"/>
              </w:rPr>
              <w:t>Articolul 295</w:t>
            </w:r>
            <w:r w:rsidRPr="00154588">
              <w:rPr>
                <w:b/>
                <w:sz w:val="20"/>
                <w:szCs w:val="20"/>
                <w:vertAlign w:val="superscript"/>
              </w:rPr>
              <w:t>8</w:t>
            </w:r>
            <w:r w:rsidRPr="00154588">
              <w:rPr>
                <w:b/>
                <w:sz w:val="20"/>
                <w:szCs w:val="20"/>
              </w:rPr>
              <w:t xml:space="preserve">. – </w:t>
            </w:r>
            <w:r w:rsidRPr="00154588">
              <w:rPr>
                <w:sz w:val="20"/>
                <w:szCs w:val="20"/>
              </w:rPr>
              <w:t>În cazul în care o instituție dintr-un stat terț sau o întreprindere-mamă dintr-un stat terț deține filiale stabilite în Uniunea Europeană sau întreprinderi-mamă în Uniunea Europeană, stabilite în două sau mai multe state membre, printre care și Republica Moldova, sau două sau mai multe sucursale în Uniune, situate în Republica Moldova și în cel puțin încă un alt stat membru al Uniunii Europene, Banca Națională a Moldovei, în calitate de autoritate de rezoluție, împreună cu Comisia Națională a Pieței Financiare, după caz, și cu autorități de rezoluție din statele membre în care sunt stabilite respectivele filiale din Uniune sau în care sunt situate respectivele sucursale semnificative, instituie un colegiu de rezoluție european unic.</w:t>
            </w:r>
          </w:p>
        </w:tc>
        <w:tc>
          <w:tcPr>
            <w:tcW w:w="2552" w:type="dxa"/>
          </w:tcPr>
          <w:p w14:paraId="2CC1085B" w14:textId="6E086CA9" w:rsidR="00EB243D" w:rsidRPr="00154588" w:rsidRDefault="00EB243D" w:rsidP="008C12B4">
            <w:pPr>
              <w:jc w:val="both"/>
              <w:rPr>
                <w:sz w:val="20"/>
                <w:szCs w:val="20"/>
              </w:rPr>
            </w:pPr>
            <w:r w:rsidRPr="00154588">
              <w:rPr>
                <w:sz w:val="20"/>
                <w:szCs w:val="20"/>
              </w:rPr>
              <w:t>Compatibil</w:t>
            </w:r>
          </w:p>
        </w:tc>
        <w:tc>
          <w:tcPr>
            <w:tcW w:w="3118" w:type="dxa"/>
          </w:tcPr>
          <w:p w14:paraId="046A534B" w14:textId="77777777" w:rsidR="00EB243D" w:rsidRPr="00154588" w:rsidRDefault="00EB243D" w:rsidP="008C12B4">
            <w:pPr>
              <w:jc w:val="both"/>
              <w:rPr>
                <w:sz w:val="20"/>
                <w:szCs w:val="20"/>
              </w:rPr>
            </w:pPr>
          </w:p>
        </w:tc>
      </w:tr>
      <w:tr w:rsidR="00EB243D" w:rsidRPr="00154588" w14:paraId="452674B9" w14:textId="77777777" w:rsidTr="00D15C1B">
        <w:trPr>
          <w:jc w:val="center"/>
        </w:trPr>
        <w:tc>
          <w:tcPr>
            <w:tcW w:w="4957" w:type="dxa"/>
            <w:gridSpan w:val="2"/>
          </w:tcPr>
          <w:p w14:paraId="39069D1B" w14:textId="77777777" w:rsidR="00EB243D" w:rsidRPr="00154588" w:rsidRDefault="00EB243D" w:rsidP="008C12B4">
            <w:pPr>
              <w:jc w:val="both"/>
              <w:rPr>
                <w:sz w:val="20"/>
                <w:szCs w:val="20"/>
              </w:rPr>
            </w:pPr>
            <w:r w:rsidRPr="00154588">
              <w:rPr>
                <w:sz w:val="20"/>
                <w:szCs w:val="20"/>
              </w:rPr>
              <w:t>(2)   Colegiul de rezoluție european menționat la alineatul (1) de la prezentul articol îndeplinește funcțiile și sarcinile prevăzute la articolul 88 în ceea ce privește entitățile menționate la alineatul (1) de la prezentul articol și, în măsura în care aceste sarcini sunt relevante, în ceea ce privește sucursalele acestora.</w:t>
            </w:r>
          </w:p>
          <w:p w14:paraId="7E4C1AA6" w14:textId="77777777" w:rsidR="00EB243D" w:rsidRPr="00154588" w:rsidRDefault="00EB243D" w:rsidP="008C12B4">
            <w:pPr>
              <w:jc w:val="both"/>
              <w:rPr>
                <w:sz w:val="20"/>
                <w:szCs w:val="20"/>
              </w:rPr>
            </w:pPr>
          </w:p>
          <w:p w14:paraId="4DC5E462" w14:textId="425CD45F" w:rsidR="00EB243D" w:rsidRPr="00154588" w:rsidRDefault="00EB243D" w:rsidP="008C12B4">
            <w:pPr>
              <w:jc w:val="both"/>
              <w:rPr>
                <w:sz w:val="20"/>
                <w:szCs w:val="20"/>
              </w:rPr>
            </w:pPr>
            <w:r w:rsidRPr="00154588">
              <w:rPr>
                <w:sz w:val="20"/>
                <w:szCs w:val="20"/>
              </w:rPr>
              <w:lastRenderedPageBreak/>
              <w:t>Sarcinile menționate la primul paragraf de la prezentul alineat includ stabilirea cerinței menționate la articolele 45-45h.</w:t>
            </w:r>
          </w:p>
          <w:p w14:paraId="3BD759B2" w14:textId="77777777" w:rsidR="00EB243D" w:rsidRPr="00154588" w:rsidRDefault="00EB243D" w:rsidP="008C12B4">
            <w:pPr>
              <w:jc w:val="both"/>
              <w:rPr>
                <w:sz w:val="20"/>
                <w:szCs w:val="20"/>
              </w:rPr>
            </w:pPr>
          </w:p>
          <w:p w14:paraId="021405FA" w14:textId="77777777" w:rsidR="00EB243D" w:rsidRPr="00154588" w:rsidRDefault="00EB243D" w:rsidP="008C12B4">
            <w:pPr>
              <w:jc w:val="both"/>
              <w:rPr>
                <w:sz w:val="20"/>
                <w:szCs w:val="20"/>
              </w:rPr>
            </w:pPr>
          </w:p>
          <w:p w14:paraId="73D889F9" w14:textId="77777777" w:rsidR="00EB243D" w:rsidRPr="00154588" w:rsidRDefault="00EB243D" w:rsidP="008C12B4">
            <w:pPr>
              <w:jc w:val="both"/>
              <w:rPr>
                <w:sz w:val="20"/>
                <w:szCs w:val="20"/>
              </w:rPr>
            </w:pPr>
          </w:p>
          <w:p w14:paraId="4F98D030" w14:textId="3821C1C9" w:rsidR="00EB243D" w:rsidRPr="00154588" w:rsidRDefault="00EB243D" w:rsidP="008C12B4">
            <w:pPr>
              <w:jc w:val="both"/>
              <w:rPr>
                <w:sz w:val="20"/>
                <w:szCs w:val="20"/>
              </w:rPr>
            </w:pPr>
            <w:r w:rsidRPr="00154588">
              <w:rPr>
                <w:sz w:val="20"/>
                <w:szCs w:val="20"/>
              </w:rPr>
              <w:t>Atunci când stabilesc cerința menționată la articolele 45-45h, membrii colegiului de rezoluție european țin seama de strategia de rezoluție globală, în cazul în care autoritățile țărilor terțe au adoptat o astfel de strategie.</w:t>
            </w:r>
          </w:p>
          <w:p w14:paraId="3477A910" w14:textId="77777777" w:rsidR="00EB243D" w:rsidRPr="00154588" w:rsidRDefault="00EB243D" w:rsidP="008C12B4">
            <w:pPr>
              <w:jc w:val="both"/>
              <w:rPr>
                <w:sz w:val="20"/>
                <w:szCs w:val="20"/>
              </w:rPr>
            </w:pPr>
          </w:p>
          <w:p w14:paraId="794E35FD" w14:textId="77777777" w:rsidR="00EB243D" w:rsidRPr="00154588" w:rsidRDefault="00EB243D" w:rsidP="008C12B4">
            <w:pPr>
              <w:jc w:val="both"/>
              <w:rPr>
                <w:sz w:val="20"/>
                <w:szCs w:val="20"/>
              </w:rPr>
            </w:pPr>
          </w:p>
          <w:p w14:paraId="6839A1F8" w14:textId="6D9DACAB" w:rsidR="00EB243D" w:rsidRPr="00154588" w:rsidRDefault="00EB243D" w:rsidP="008C12B4">
            <w:pPr>
              <w:jc w:val="both"/>
              <w:rPr>
                <w:sz w:val="20"/>
                <w:szCs w:val="20"/>
              </w:rPr>
            </w:pPr>
            <w:r w:rsidRPr="00154588">
              <w:rPr>
                <w:sz w:val="20"/>
                <w:szCs w:val="20"/>
              </w:rPr>
              <w:t>În cazul în care, în conformitate cu strategia de rezoluție globală, filialele stabilite în Uniune sau o întreprindere-mamă din Uniune și filialele sale nu sunt entități de rezoluție, iar membrii colegiului de rezoluție european sunt de acord cu această strategie, filialele stabilite în Uniune sau, pe bază consolidată, întreprinderea-mamă din Uniune respectă cerința menționată la articolul 45f alineatul (1) prin emiterea instrumentelor menționate la articolul 45f alineatul (2) literele (a) și (b) către întreprinderea-mamă de cel mai înalt rang a acestora stabilită într-o țară terță sau către filialele respectivei întreprinderi-mamă de cel mai înalt rang care sunt stabilite în aceeași țară terță sau către alte entități, în condițiile prevăzute la articolul 45f alineatul (2) litera (a) punctul (i) și litera (b) punctul (ii).</w:t>
            </w:r>
          </w:p>
        </w:tc>
        <w:tc>
          <w:tcPr>
            <w:tcW w:w="4819" w:type="dxa"/>
          </w:tcPr>
          <w:p w14:paraId="52E510C9" w14:textId="77777777" w:rsidR="00EB243D" w:rsidRPr="00154588" w:rsidRDefault="00EB243D" w:rsidP="008C12B4">
            <w:pPr>
              <w:ind w:firstLine="567"/>
              <w:jc w:val="both"/>
              <w:rPr>
                <w:rFonts w:eastAsia="Calibri"/>
                <w:sz w:val="20"/>
                <w:szCs w:val="20"/>
              </w:rPr>
            </w:pPr>
            <w:r w:rsidRPr="00154588">
              <w:rPr>
                <w:rFonts w:eastAsia="Calibri"/>
                <w:b/>
                <w:sz w:val="20"/>
                <w:szCs w:val="20"/>
              </w:rPr>
              <w:lastRenderedPageBreak/>
              <w:t>Articolul 295</w:t>
            </w:r>
            <w:r w:rsidRPr="00154588">
              <w:rPr>
                <w:rFonts w:eastAsia="Calibri"/>
                <w:b/>
                <w:sz w:val="20"/>
                <w:szCs w:val="20"/>
                <w:vertAlign w:val="superscript"/>
              </w:rPr>
              <w:t>9</w:t>
            </w:r>
            <w:r w:rsidRPr="00154588">
              <w:rPr>
                <w:rFonts w:eastAsia="Calibri"/>
                <w:b/>
                <w:sz w:val="20"/>
                <w:szCs w:val="20"/>
              </w:rPr>
              <w:t xml:space="preserve">. – </w:t>
            </w:r>
            <w:r w:rsidRPr="00154588">
              <w:rPr>
                <w:rFonts w:eastAsia="Calibri"/>
                <w:sz w:val="20"/>
                <w:szCs w:val="20"/>
              </w:rPr>
              <w:t>(1) Colegiul de rezoluție european prevăzut la art.295</w:t>
            </w:r>
            <w:r w:rsidRPr="00154588">
              <w:rPr>
                <w:rFonts w:eastAsia="Calibri"/>
                <w:sz w:val="20"/>
                <w:szCs w:val="20"/>
                <w:vertAlign w:val="superscript"/>
              </w:rPr>
              <w:t>8</w:t>
            </w:r>
            <w:r w:rsidRPr="00154588">
              <w:rPr>
                <w:rFonts w:eastAsia="Calibri"/>
                <w:sz w:val="20"/>
                <w:szCs w:val="20"/>
              </w:rPr>
              <w:t xml:space="preserve"> îndeplinește funcțiile și sarcinile prevăzute la art.295</w:t>
            </w:r>
            <w:r w:rsidRPr="00154588">
              <w:rPr>
                <w:rFonts w:eastAsia="Calibri"/>
                <w:sz w:val="20"/>
                <w:szCs w:val="20"/>
                <w:vertAlign w:val="superscript"/>
              </w:rPr>
              <w:t>2</w:t>
            </w:r>
            <w:r w:rsidRPr="00154588">
              <w:rPr>
                <w:rFonts w:eastAsia="Calibri"/>
                <w:sz w:val="20"/>
                <w:szCs w:val="20"/>
              </w:rPr>
              <w:t>-295</w:t>
            </w:r>
            <w:r w:rsidRPr="00154588">
              <w:rPr>
                <w:rFonts w:eastAsia="Calibri"/>
                <w:sz w:val="20"/>
                <w:szCs w:val="20"/>
                <w:vertAlign w:val="superscript"/>
              </w:rPr>
              <w:t>7</w:t>
            </w:r>
            <w:r w:rsidRPr="00154588">
              <w:rPr>
                <w:rFonts w:eastAsia="Calibri"/>
                <w:sz w:val="20"/>
                <w:szCs w:val="20"/>
              </w:rPr>
              <w:t> în ceea ce privește entitățile prevăzute la art.295</w:t>
            </w:r>
            <w:r w:rsidRPr="00154588">
              <w:rPr>
                <w:rFonts w:eastAsia="Calibri"/>
                <w:sz w:val="20"/>
                <w:szCs w:val="20"/>
                <w:vertAlign w:val="superscript"/>
              </w:rPr>
              <w:t>8</w:t>
            </w:r>
            <w:r w:rsidRPr="00154588">
              <w:rPr>
                <w:rFonts w:eastAsia="Calibri"/>
                <w:sz w:val="20"/>
                <w:szCs w:val="20"/>
              </w:rPr>
              <w:t> și, în măsura în care aceste sarcini sunt relevante, în ceea ce privește sucursalele acestora.</w:t>
            </w:r>
          </w:p>
          <w:p w14:paraId="38C1E0E9" w14:textId="77777777" w:rsidR="00EB243D" w:rsidRPr="00154588" w:rsidRDefault="00EB243D" w:rsidP="008C12B4">
            <w:pPr>
              <w:ind w:firstLine="567"/>
              <w:jc w:val="both"/>
              <w:rPr>
                <w:rFonts w:eastAsia="Calibri"/>
                <w:sz w:val="20"/>
                <w:szCs w:val="20"/>
              </w:rPr>
            </w:pPr>
            <w:r w:rsidRPr="00154588">
              <w:rPr>
                <w:rFonts w:eastAsia="Calibri"/>
                <w:sz w:val="20"/>
                <w:szCs w:val="20"/>
              </w:rPr>
              <w:t>(2) Sarcinile prevăzute la alin.(1) includ stabilirea cerinței prevăzute la art.164-170.</w:t>
            </w:r>
          </w:p>
          <w:p w14:paraId="00DE2816" w14:textId="77777777" w:rsidR="00EB243D" w:rsidRPr="00154588" w:rsidRDefault="00EB243D" w:rsidP="008C12B4">
            <w:pPr>
              <w:ind w:firstLine="567"/>
              <w:jc w:val="both"/>
              <w:rPr>
                <w:rFonts w:eastAsia="Calibri"/>
                <w:sz w:val="20"/>
                <w:szCs w:val="20"/>
              </w:rPr>
            </w:pPr>
            <w:r w:rsidRPr="00154588">
              <w:rPr>
                <w:rFonts w:eastAsia="Calibri"/>
                <w:sz w:val="20"/>
                <w:szCs w:val="20"/>
              </w:rPr>
              <w:t xml:space="preserve">(3) La stabilirea cerinței prevăzute la art.164-170, Banca Națională a Moldovei, în calitate de </w:t>
            </w:r>
            <w:r w:rsidRPr="00154588">
              <w:rPr>
                <w:rFonts w:eastAsia="Calibri"/>
                <w:sz w:val="20"/>
                <w:szCs w:val="20"/>
              </w:rPr>
              <w:lastRenderedPageBreak/>
              <w:t>autoritate de rezoluție, împreună cu ceilalți membri ai colegiului de rezoluție european ia în considerare strategia de rezoluție globală, în cazul în care autoritățile statelor terțe au adoptat o astfel de strategie.</w:t>
            </w:r>
          </w:p>
          <w:p w14:paraId="65B47482" w14:textId="77777777" w:rsidR="00EB243D" w:rsidRPr="00154588" w:rsidRDefault="00EB243D" w:rsidP="008C12B4">
            <w:pPr>
              <w:ind w:firstLine="567"/>
              <w:jc w:val="both"/>
              <w:rPr>
                <w:rFonts w:eastAsia="Calibri"/>
                <w:sz w:val="20"/>
                <w:szCs w:val="20"/>
              </w:rPr>
            </w:pPr>
            <w:r w:rsidRPr="00154588">
              <w:rPr>
                <w:rFonts w:eastAsia="Calibri"/>
                <w:sz w:val="20"/>
                <w:szCs w:val="20"/>
              </w:rPr>
              <w:t>(4) În cazul în care, în conformitate cu strategia de rezoluție globală, filialele stabilite în Uniunea Europeană, inclusiv în Republica Moldova, sau o întreprindere-mamă din Uniunea Europeană, persoană juridică din Republica Moldova, și filialele sale, instituții, nu sunt entități de rezoluție, iar membrii colegiului de rezoluție european, printre care și Banca Națională a Moldovei, în calitate de autoritate de rezoluție, sunt de acord cu această strategie, filialele stabilite în Uniune, persoane juridice din Republica Moldova sau, pe bază consolidată, întreprinderea-mamă din Uniunea Europeană, persoană juridică din Republica Moldova, respectă cerința prevăzută la art.167</w:t>
            </w:r>
            <w:r w:rsidRPr="00154588">
              <w:rPr>
                <w:rFonts w:eastAsia="Calibri"/>
                <w:sz w:val="20"/>
                <w:szCs w:val="20"/>
                <w:vertAlign w:val="superscript"/>
              </w:rPr>
              <w:t>15</w:t>
            </w:r>
            <w:r w:rsidRPr="00154588">
              <w:rPr>
                <w:rFonts w:eastAsia="Calibri"/>
                <w:sz w:val="20"/>
                <w:szCs w:val="20"/>
              </w:rPr>
              <w:t> prin emiterea instrumentelor prevăzute la art.167</w:t>
            </w:r>
            <w:r w:rsidRPr="00154588">
              <w:rPr>
                <w:rFonts w:eastAsia="Calibri"/>
                <w:sz w:val="20"/>
                <w:szCs w:val="20"/>
                <w:vertAlign w:val="superscript"/>
              </w:rPr>
              <w:t>16</w:t>
            </w:r>
            <w:r w:rsidRPr="00154588">
              <w:rPr>
                <w:rFonts w:eastAsia="Calibri"/>
                <w:sz w:val="20"/>
                <w:szCs w:val="20"/>
              </w:rPr>
              <w:t xml:space="preserve"> lit.a) și b) către întreprinderea-mamă de cel mai înalt rang, stabilită într-un stat terț, sau către filialele respectivei întreprinderi-mamă de cel mai înalt rang, care sunt stabilite în același stat terț, sau către alte entități, în condițiile prevăzute la art.167</w:t>
            </w:r>
            <w:r w:rsidRPr="00154588">
              <w:rPr>
                <w:rFonts w:eastAsia="Calibri"/>
                <w:sz w:val="20"/>
                <w:szCs w:val="20"/>
                <w:vertAlign w:val="superscript"/>
              </w:rPr>
              <w:t>16</w:t>
            </w:r>
            <w:r w:rsidRPr="00154588">
              <w:rPr>
                <w:rFonts w:eastAsia="Calibri"/>
                <w:sz w:val="20"/>
                <w:szCs w:val="20"/>
              </w:rPr>
              <w:t xml:space="preserve"> lit.a) punctul (i) și lit.b) punctul (ii).</w:t>
            </w:r>
          </w:p>
          <w:p w14:paraId="6DE948F2" w14:textId="77777777" w:rsidR="00EB243D" w:rsidRPr="00154588" w:rsidRDefault="00EB243D" w:rsidP="008C12B4">
            <w:pPr>
              <w:jc w:val="both"/>
              <w:rPr>
                <w:sz w:val="20"/>
                <w:szCs w:val="20"/>
              </w:rPr>
            </w:pPr>
          </w:p>
        </w:tc>
        <w:tc>
          <w:tcPr>
            <w:tcW w:w="2552" w:type="dxa"/>
          </w:tcPr>
          <w:p w14:paraId="05B1E2A7" w14:textId="543D8E06" w:rsidR="00EB243D" w:rsidRPr="00154588" w:rsidRDefault="00EB243D" w:rsidP="008C12B4">
            <w:pPr>
              <w:jc w:val="both"/>
              <w:rPr>
                <w:sz w:val="20"/>
                <w:szCs w:val="20"/>
              </w:rPr>
            </w:pPr>
            <w:r w:rsidRPr="00154588">
              <w:rPr>
                <w:sz w:val="20"/>
                <w:szCs w:val="20"/>
              </w:rPr>
              <w:lastRenderedPageBreak/>
              <w:t>Compatibil</w:t>
            </w:r>
          </w:p>
        </w:tc>
        <w:tc>
          <w:tcPr>
            <w:tcW w:w="3118" w:type="dxa"/>
          </w:tcPr>
          <w:p w14:paraId="1450D9C4" w14:textId="77777777" w:rsidR="00EB243D" w:rsidRPr="00154588" w:rsidRDefault="00EB243D" w:rsidP="008C12B4">
            <w:pPr>
              <w:jc w:val="both"/>
              <w:rPr>
                <w:sz w:val="20"/>
                <w:szCs w:val="20"/>
              </w:rPr>
            </w:pPr>
          </w:p>
        </w:tc>
      </w:tr>
      <w:tr w:rsidR="00EB243D" w:rsidRPr="00154588" w14:paraId="40E8E6B7" w14:textId="77777777" w:rsidTr="00D15C1B">
        <w:trPr>
          <w:jc w:val="center"/>
        </w:trPr>
        <w:tc>
          <w:tcPr>
            <w:tcW w:w="4957" w:type="dxa"/>
            <w:gridSpan w:val="2"/>
          </w:tcPr>
          <w:p w14:paraId="454796C3" w14:textId="77777777" w:rsidR="00EB243D" w:rsidRPr="00154588" w:rsidRDefault="00EB243D" w:rsidP="008C12B4">
            <w:pPr>
              <w:jc w:val="both"/>
              <w:rPr>
                <w:sz w:val="20"/>
                <w:szCs w:val="20"/>
              </w:rPr>
            </w:pPr>
            <w:r w:rsidRPr="00154588">
              <w:rPr>
                <w:sz w:val="20"/>
                <w:szCs w:val="20"/>
              </w:rPr>
              <w:t>(3)   Atunci când o singură întreprindere-mamă din Uniune deține toate filialele din Uniune ale unei instituții dintr-o țară terță sau ale unei întreprinderi-mamă dintr-o țară terță, colegiul de rezoluție european este prezidat de autoritatea de rezoluție din statul membru în care este stabilită întreprinderea-mamă din Uniune.</w:t>
            </w:r>
          </w:p>
          <w:p w14:paraId="07B3DEFF" w14:textId="77777777" w:rsidR="00EB243D" w:rsidRPr="00154588" w:rsidRDefault="00EB243D" w:rsidP="008C12B4">
            <w:pPr>
              <w:jc w:val="both"/>
              <w:rPr>
                <w:sz w:val="20"/>
                <w:szCs w:val="20"/>
              </w:rPr>
            </w:pPr>
          </w:p>
          <w:p w14:paraId="60F90649" w14:textId="0CB7F161" w:rsidR="00EB243D" w:rsidRPr="00154588" w:rsidRDefault="00EB243D" w:rsidP="008C12B4">
            <w:pPr>
              <w:jc w:val="both"/>
              <w:rPr>
                <w:sz w:val="20"/>
                <w:szCs w:val="20"/>
              </w:rPr>
            </w:pPr>
            <w:r w:rsidRPr="00154588">
              <w:rPr>
                <w:sz w:val="20"/>
                <w:szCs w:val="20"/>
              </w:rPr>
              <w:t>În cazul în care nu se aplică primul paragraf, colegiul de rezoluție european este prezidat de autoritatea de rezoluție a unei întreprinderi-mamă din Uniune sau a unei filiale din Uniune ale cărei active totale înregistrate în bilanț au valoarea cea mai ridicată.</w:t>
            </w:r>
          </w:p>
        </w:tc>
        <w:tc>
          <w:tcPr>
            <w:tcW w:w="4819" w:type="dxa"/>
          </w:tcPr>
          <w:p w14:paraId="058B9671" w14:textId="77777777" w:rsidR="00EB243D" w:rsidRPr="00154588" w:rsidRDefault="00EB243D" w:rsidP="008C12B4">
            <w:pPr>
              <w:ind w:firstLine="567"/>
              <w:jc w:val="both"/>
              <w:rPr>
                <w:rFonts w:eastAsia="Calibri"/>
                <w:sz w:val="20"/>
                <w:szCs w:val="20"/>
              </w:rPr>
            </w:pPr>
            <w:r w:rsidRPr="00154588">
              <w:rPr>
                <w:rFonts w:eastAsia="Calibri"/>
                <w:b/>
                <w:sz w:val="20"/>
                <w:szCs w:val="20"/>
              </w:rPr>
              <w:t>Articolul 295</w:t>
            </w:r>
            <w:r w:rsidRPr="00154588">
              <w:rPr>
                <w:rFonts w:eastAsia="Calibri"/>
                <w:b/>
                <w:sz w:val="20"/>
                <w:szCs w:val="20"/>
                <w:vertAlign w:val="superscript"/>
              </w:rPr>
              <w:t>10</w:t>
            </w:r>
            <w:r w:rsidRPr="00154588">
              <w:rPr>
                <w:rFonts w:eastAsia="Calibri"/>
                <w:b/>
                <w:sz w:val="20"/>
                <w:szCs w:val="20"/>
              </w:rPr>
              <w:t xml:space="preserve">. – </w:t>
            </w:r>
            <w:r w:rsidRPr="00154588">
              <w:rPr>
                <w:rFonts w:eastAsia="Calibri"/>
                <w:sz w:val="20"/>
                <w:szCs w:val="20"/>
              </w:rPr>
              <w:t>(1) Atunci când o singură întreprindere-mamă din Uniunea Europeană deține toate filialele din Uniune ale unei instituții dintr-un stat terț sau ale unei întreprinderi-mamă dintr-un stat terț și această întreprindere-mamă din Uniunea Europeană este persoană juridică din Republica Moldova, colegiul de rezoluție european este prezidat de Banca Națională a Moldovei, în calitate de autoritate de rezoluție.</w:t>
            </w:r>
          </w:p>
          <w:p w14:paraId="72A5E7F8" w14:textId="3E640F44" w:rsidR="00EB243D" w:rsidRPr="00154588" w:rsidRDefault="00EB243D" w:rsidP="008C12B4">
            <w:pPr>
              <w:ind w:firstLine="567"/>
              <w:jc w:val="both"/>
              <w:rPr>
                <w:rFonts w:eastAsia="Calibri"/>
                <w:sz w:val="20"/>
                <w:szCs w:val="20"/>
              </w:rPr>
            </w:pPr>
            <w:r w:rsidRPr="00154588">
              <w:rPr>
                <w:rFonts w:eastAsia="Calibri"/>
                <w:sz w:val="20"/>
                <w:szCs w:val="20"/>
              </w:rPr>
              <w:t xml:space="preserve">(2) În cazul în care nu se aplică prevederile alin.(1), colegiul de rezoluție european este prezidat de Banca Națională a Moldovei, în calitate de autoritate de rezoluție a unei întreprinderi-mamă din Uniunea Europeană, persoană juridică din Republica Moldova, sau a unei filiale din Uniune, persoană juridică din Republica Moldova, dacă </w:t>
            </w:r>
            <w:r w:rsidRPr="00154588">
              <w:rPr>
                <w:rFonts w:eastAsia="Calibri"/>
                <w:sz w:val="20"/>
                <w:szCs w:val="20"/>
              </w:rPr>
              <w:lastRenderedPageBreak/>
              <w:t>activele totale înregistrate în bilanț au valoarea cea mai ridicată.</w:t>
            </w:r>
          </w:p>
        </w:tc>
        <w:tc>
          <w:tcPr>
            <w:tcW w:w="2552" w:type="dxa"/>
          </w:tcPr>
          <w:p w14:paraId="45EAE6E9" w14:textId="587E551E" w:rsidR="00EB243D" w:rsidRPr="00154588" w:rsidRDefault="00EB243D" w:rsidP="008C12B4">
            <w:pPr>
              <w:jc w:val="both"/>
              <w:rPr>
                <w:sz w:val="20"/>
                <w:szCs w:val="20"/>
              </w:rPr>
            </w:pPr>
            <w:r w:rsidRPr="00154588">
              <w:rPr>
                <w:sz w:val="20"/>
                <w:szCs w:val="20"/>
              </w:rPr>
              <w:lastRenderedPageBreak/>
              <w:t>Compatibil</w:t>
            </w:r>
          </w:p>
        </w:tc>
        <w:tc>
          <w:tcPr>
            <w:tcW w:w="3118" w:type="dxa"/>
          </w:tcPr>
          <w:p w14:paraId="5FA94F69" w14:textId="77777777" w:rsidR="00EB243D" w:rsidRPr="00154588" w:rsidRDefault="00EB243D" w:rsidP="008C12B4">
            <w:pPr>
              <w:jc w:val="both"/>
              <w:rPr>
                <w:sz w:val="20"/>
                <w:szCs w:val="20"/>
              </w:rPr>
            </w:pPr>
          </w:p>
        </w:tc>
      </w:tr>
      <w:tr w:rsidR="00EB243D" w:rsidRPr="00154588" w14:paraId="70F17F90" w14:textId="77777777" w:rsidTr="00D15C1B">
        <w:trPr>
          <w:jc w:val="center"/>
        </w:trPr>
        <w:tc>
          <w:tcPr>
            <w:tcW w:w="4957" w:type="dxa"/>
            <w:gridSpan w:val="2"/>
          </w:tcPr>
          <w:p w14:paraId="2F6969D0" w14:textId="55B859DA" w:rsidR="00EB243D" w:rsidRPr="00154588" w:rsidRDefault="00EB243D" w:rsidP="008C12B4">
            <w:pPr>
              <w:jc w:val="both"/>
              <w:rPr>
                <w:sz w:val="20"/>
                <w:szCs w:val="20"/>
              </w:rPr>
            </w:pPr>
            <w:r w:rsidRPr="00154588">
              <w:rPr>
                <w:sz w:val="20"/>
                <w:szCs w:val="20"/>
              </w:rPr>
              <w:t>(4)   Pe baza acordului reciproc al tuturor părților relevante, statele membre pot renunța la cerința de a înființa un colegiu de rezoluție european dacă un alt grup sau colegiu îndeplinește aceleași funcții și sarcini ca cele menționate în prezentul articol și respectă toate condițiile și procedurile, inclusiv pe cele care vizează componența și participarea la colegiile de rezoluție europene, stabilite la prezentul articol și la articolul 90. În acest caz, toate trimiterile din prezenta directivă la colegii de rezoluție europene sunt, de asemenea, înțelese ca trimiteri la aceste alte grupuri sau colegii.</w:t>
            </w:r>
          </w:p>
        </w:tc>
        <w:tc>
          <w:tcPr>
            <w:tcW w:w="4819" w:type="dxa"/>
          </w:tcPr>
          <w:p w14:paraId="66FDD921" w14:textId="7CE76B07"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11</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Banca Națională a Moldovei, în calitate de autoritate de rezoluție, și celelalte autorități implicate din Moldova, după caz, pot renunța, alături de autorități din alte state membre, pe baza unui acord reciproc al tuturor părților relevante, la cerința de a înființa un colegiu de rezoluție european dacă un alt grup sau colegiu îndeplinește aceleași funcții și sarcini ca cele prevăzute la art.295</w:t>
            </w:r>
            <w:r w:rsidRPr="00154588">
              <w:rPr>
                <w:rFonts w:eastAsia="Calibri"/>
                <w:kern w:val="2"/>
                <w:sz w:val="20"/>
                <w:szCs w:val="20"/>
                <w:vertAlign w:val="superscript"/>
                <w14:ligatures w14:val="standardContextual"/>
              </w:rPr>
              <w:t>8</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12</w:t>
            </w:r>
            <w:r w:rsidRPr="00154588">
              <w:rPr>
                <w:rFonts w:eastAsia="Calibri"/>
                <w:kern w:val="2"/>
                <w:sz w:val="20"/>
                <w:szCs w:val="20"/>
                <w14:ligatures w14:val="standardContextual"/>
              </w:rPr>
              <w:t> și respectă toate condițiile și procedurile, inclusiv pe cele care vizează componența și participarea la colegiile de rezoluție europene, stabilite la art.295</w:t>
            </w:r>
            <w:r w:rsidRPr="00154588">
              <w:rPr>
                <w:rFonts w:eastAsia="Calibri"/>
                <w:kern w:val="2"/>
                <w:sz w:val="20"/>
                <w:szCs w:val="20"/>
                <w:vertAlign w:val="superscript"/>
                <w14:ligatures w14:val="standardContextual"/>
              </w:rPr>
              <w:t>8</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12</w:t>
            </w:r>
            <w:r w:rsidRPr="00154588">
              <w:rPr>
                <w:rFonts w:eastAsia="Calibri"/>
                <w:kern w:val="2"/>
                <w:sz w:val="20"/>
                <w:szCs w:val="20"/>
                <w14:ligatures w14:val="standardContextual"/>
              </w:rPr>
              <w:t> și la art.295</w:t>
            </w:r>
            <w:r w:rsidRPr="00154588">
              <w:rPr>
                <w:rFonts w:eastAsia="Calibri"/>
                <w:kern w:val="2"/>
                <w:sz w:val="20"/>
                <w:szCs w:val="20"/>
                <w:vertAlign w:val="superscript"/>
                <w14:ligatures w14:val="standardContextual"/>
              </w:rPr>
              <w:t>13</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16</w:t>
            </w:r>
            <w:r w:rsidRPr="00154588">
              <w:rPr>
                <w:rFonts w:eastAsia="Calibri"/>
                <w:kern w:val="2"/>
                <w:sz w:val="20"/>
                <w:szCs w:val="20"/>
                <w14:ligatures w14:val="standardContextual"/>
              </w:rPr>
              <w:t>. În acest caz, toate trimiterile din prezenta lege la colegii de rezoluție europene trebuie de asemenea înțelese ca trimiteri la aceste alte grupuri sau colegii.</w:t>
            </w:r>
          </w:p>
        </w:tc>
        <w:tc>
          <w:tcPr>
            <w:tcW w:w="2552" w:type="dxa"/>
          </w:tcPr>
          <w:p w14:paraId="466B8718" w14:textId="5501F7E2" w:rsidR="00EB243D" w:rsidRPr="00154588" w:rsidRDefault="00EB243D" w:rsidP="008C12B4">
            <w:pPr>
              <w:jc w:val="both"/>
              <w:rPr>
                <w:sz w:val="20"/>
                <w:szCs w:val="20"/>
              </w:rPr>
            </w:pPr>
            <w:r w:rsidRPr="00154588">
              <w:rPr>
                <w:sz w:val="20"/>
                <w:szCs w:val="20"/>
              </w:rPr>
              <w:t>Compatibil</w:t>
            </w:r>
          </w:p>
        </w:tc>
        <w:tc>
          <w:tcPr>
            <w:tcW w:w="3118" w:type="dxa"/>
          </w:tcPr>
          <w:p w14:paraId="262A8F18" w14:textId="77777777" w:rsidR="00EB243D" w:rsidRPr="00154588" w:rsidRDefault="00EB243D" w:rsidP="008C12B4">
            <w:pPr>
              <w:jc w:val="both"/>
              <w:rPr>
                <w:sz w:val="20"/>
                <w:szCs w:val="20"/>
              </w:rPr>
            </w:pPr>
          </w:p>
        </w:tc>
      </w:tr>
      <w:tr w:rsidR="00EB243D" w:rsidRPr="00154588" w14:paraId="6E8416CE" w14:textId="77777777" w:rsidTr="00D15C1B">
        <w:trPr>
          <w:jc w:val="center"/>
        </w:trPr>
        <w:tc>
          <w:tcPr>
            <w:tcW w:w="4957" w:type="dxa"/>
            <w:gridSpan w:val="2"/>
          </w:tcPr>
          <w:p w14:paraId="20ED1009" w14:textId="7FBAACC0" w:rsidR="00EB243D" w:rsidRPr="00154588" w:rsidRDefault="00EB243D" w:rsidP="008C12B4">
            <w:pPr>
              <w:jc w:val="both"/>
              <w:rPr>
                <w:sz w:val="20"/>
                <w:szCs w:val="20"/>
              </w:rPr>
            </w:pPr>
            <w:r w:rsidRPr="00154588">
              <w:rPr>
                <w:sz w:val="20"/>
                <w:szCs w:val="20"/>
              </w:rPr>
              <w:t>(5)   Sub rezerva alineatelor (3) și (4) de la prezentul articol, colegiul de rezoluție european funcționează altminteri în conformitate cu articolul 88.</w:t>
            </w:r>
          </w:p>
        </w:tc>
        <w:tc>
          <w:tcPr>
            <w:tcW w:w="4819" w:type="dxa"/>
          </w:tcPr>
          <w:p w14:paraId="55256FBD" w14:textId="4134389D"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12</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Cu excepția situațiilor în care colegiile de rezoluție europene funcționează potrivit prevederilor art.295</w:t>
            </w:r>
            <w:r w:rsidRPr="00154588">
              <w:rPr>
                <w:rFonts w:eastAsia="Calibri"/>
                <w:kern w:val="2"/>
                <w:sz w:val="20"/>
                <w:szCs w:val="20"/>
                <w:vertAlign w:val="superscript"/>
                <w14:ligatures w14:val="standardContextual"/>
              </w:rPr>
              <w:t>10</w:t>
            </w:r>
            <w:r w:rsidRPr="00154588">
              <w:rPr>
                <w:rFonts w:eastAsia="Calibri"/>
                <w:kern w:val="2"/>
                <w:sz w:val="20"/>
                <w:szCs w:val="20"/>
                <w14:ligatures w14:val="standardContextual"/>
              </w:rPr>
              <w:t> și 295</w:t>
            </w:r>
            <w:r w:rsidRPr="00154588">
              <w:rPr>
                <w:rFonts w:eastAsia="Calibri"/>
                <w:kern w:val="2"/>
                <w:sz w:val="20"/>
                <w:szCs w:val="20"/>
                <w:vertAlign w:val="superscript"/>
                <w14:ligatures w14:val="standardContextual"/>
              </w:rPr>
              <w:t>11</w:t>
            </w:r>
            <w:r w:rsidRPr="00154588">
              <w:rPr>
                <w:rFonts w:eastAsia="Calibri"/>
                <w:kern w:val="2"/>
                <w:sz w:val="20"/>
                <w:szCs w:val="20"/>
                <w14:ligatures w14:val="standardContextual"/>
              </w:rPr>
              <w:t>, acestea funcționează de regulă în conformitate cu prevederile art.295</w:t>
            </w:r>
            <w:r w:rsidRPr="00154588">
              <w:rPr>
                <w:rFonts w:eastAsia="Calibri"/>
                <w:kern w:val="2"/>
                <w:sz w:val="20"/>
                <w:szCs w:val="20"/>
                <w:vertAlign w:val="superscript"/>
                <w14:ligatures w14:val="standardContextual"/>
              </w:rPr>
              <w:t>2</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7</w:t>
            </w:r>
            <w:r w:rsidRPr="00154588">
              <w:rPr>
                <w:rFonts w:eastAsia="Calibri"/>
                <w:kern w:val="2"/>
                <w:sz w:val="20"/>
                <w:szCs w:val="20"/>
                <w14:ligatures w14:val="standardContextual"/>
              </w:rPr>
              <w:t>.</w:t>
            </w:r>
          </w:p>
        </w:tc>
        <w:tc>
          <w:tcPr>
            <w:tcW w:w="2552" w:type="dxa"/>
          </w:tcPr>
          <w:p w14:paraId="63840837" w14:textId="478F7B2F" w:rsidR="00EB243D" w:rsidRPr="00154588" w:rsidRDefault="00EB243D" w:rsidP="008C12B4">
            <w:pPr>
              <w:jc w:val="both"/>
              <w:rPr>
                <w:sz w:val="20"/>
                <w:szCs w:val="20"/>
              </w:rPr>
            </w:pPr>
            <w:r w:rsidRPr="00154588">
              <w:rPr>
                <w:sz w:val="20"/>
                <w:szCs w:val="20"/>
              </w:rPr>
              <w:t>Compatibil</w:t>
            </w:r>
          </w:p>
        </w:tc>
        <w:tc>
          <w:tcPr>
            <w:tcW w:w="3118" w:type="dxa"/>
          </w:tcPr>
          <w:p w14:paraId="5B3C06A3" w14:textId="77777777" w:rsidR="00EB243D" w:rsidRPr="00154588" w:rsidRDefault="00EB243D" w:rsidP="008C12B4">
            <w:pPr>
              <w:jc w:val="both"/>
              <w:rPr>
                <w:sz w:val="20"/>
                <w:szCs w:val="20"/>
              </w:rPr>
            </w:pPr>
          </w:p>
        </w:tc>
      </w:tr>
      <w:tr w:rsidR="00EB243D" w:rsidRPr="00154588" w14:paraId="0C759A39" w14:textId="77777777" w:rsidTr="00D15C1B">
        <w:trPr>
          <w:jc w:val="center"/>
        </w:trPr>
        <w:tc>
          <w:tcPr>
            <w:tcW w:w="4957" w:type="dxa"/>
            <w:gridSpan w:val="2"/>
          </w:tcPr>
          <w:p w14:paraId="4B0A7CE3" w14:textId="77777777" w:rsidR="00EB243D" w:rsidRPr="00154588" w:rsidRDefault="00EB243D" w:rsidP="008C12B4">
            <w:pPr>
              <w:jc w:val="both"/>
              <w:rPr>
                <w:b/>
                <w:sz w:val="20"/>
                <w:szCs w:val="20"/>
              </w:rPr>
            </w:pPr>
            <w:r w:rsidRPr="00154588">
              <w:rPr>
                <w:b/>
                <w:sz w:val="20"/>
                <w:szCs w:val="20"/>
              </w:rPr>
              <w:t>Articolul 90</w:t>
            </w:r>
          </w:p>
          <w:p w14:paraId="6C65F89D" w14:textId="77777777" w:rsidR="00EB243D" w:rsidRPr="00154588" w:rsidRDefault="00EB243D" w:rsidP="008C12B4">
            <w:pPr>
              <w:jc w:val="both"/>
              <w:rPr>
                <w:b/>
                <w:sz w:val="20"/>
                <w:szCs w:val="20"/>
              </w:rPr>
            </w:pPr>
          </w:p>
          <w:p w14:paraId="2918F1D6" w14:textId="1EFF8B4F" w:rsidR="00EB243D" w:rsidRPr="00154588" w:rsidRDefault="00EB243D" w:rsidP="008C12B4">
            <w:pPr>
              <w:jc w:val="both"/>
              <w:rPr>
                <w:b/>
                <w:sz w:val="20"/>
                <w:szCs w:val="20"/>
              </w:rPr>
            </w:pPr>
            <w:r w:rsidRPr="00154588">
              <w:rPr>
                <w:b/>
                <w:sz w:val="20"/>
                <w:szCs w:val="20"/>
              </w:rPr>
              <w:t>Schimbul de informații</w:t>
            </w:r>
          </w:p>
        </w:tc>
        <w:tc>
          <w:tcPr>
            <w:tcW w:w="4819" w:type="dxa"/>
          </w:tcPr>
          <w:p w14:paraId="14AD8BF8" w14:textId="77777777" w:rsidR="00EB243D" w:rsidRPr="00154588" w:rsidRDefault="00EB243D" w:rsidP="008C12B4">
            <w:pPr>
              <w:jc w:val="center"/>
              <w:rPr>
                <w:rFonts w:eastAsia="Calibri"/>
                <w:b/>
                <w:sz w:val="20"/>
                <w:szCs w:val="20"/>
              </w:rPr>
            </w:pPr>
            <w:r w:rsidRPr="00154588">
              <w:rPr>
                <w:rFonts w:eastAsia="Calibri"/>
                <w:b/>
                <w:sz w:val="20"/>
                <w:szCs w:val="20"/>
              </w:rPr>
              <w:t>Capitolul IV</w:t>
            </w:r>
          </w:p>
          <w:p w14:paraId="1DDC7739" w14:textId="30F67A17" w:rsidR="00EB243D" w:rsidRPr="00154588" w:rsidRDefault="00EB243D" w:rsidP="008C12B4">
            <w:pPr>
              <w:jc w:val="center"/>
              <w:rPr>
                <w:rFonts w:eastAsia="Calibri"/>
                <w:b/>
                <w:sz w:val="20"/>
                <w:szCs w:val="20"/>
              </w:rPr>
            </w:pPr>
            <w:r w:rsidRPr="00154588">
              <w:rPr>
                <w:rFonts w:eastAsia="Calibri"/>
                <w:b/>
                <w:sz w:val="20"/>
                <w:szCs w:val="20"/>
              </w:rPr>
              <w:t>SCHIMBUL DE INFORMAȚII</w:t>
            </w:r>
          </w:p>
        </w:tc>
        <w:tc>
          <w:tcPr>
            <w:tcW w:w="2552" w:type="dxa"/>
          </w:tcPr>
          <w:p w14:paraId="1BE1E47C" w14:textId="77777777" w:rsidR="00EB243D" w:rsidRPr="00154588" w:rsidRDefault="00EB243D" w:rsidP="008C12B4">
            <w:pPr>
              <w:jc w:val="both"/>
              <w:rPr>
                <w:sz w:val="20"/>
                <w:szCs w:val="20"/>
              </w:rPr>
            </w:pPr>
          </w:p>
        </w:tc>
        <w:tc>
          <w:tcPr>
            <w:tcW w:w="3118" w:type="dxa"/>
          </w:tcPr>
          <w:p w14:paraId="44072B82" w14:textId="77777777" w:rsidR="00EB243D" w:rsidRPr="00154588" w:rsidRDefault="00EB243D" w:rsidP="008C12B4">
            <w:pPr>
              <w:jc w:val="both"/>
              <w:rPr>
                <w:sz w:val="20"/>
                <w:szCs w:val="20"/>
              </w:rPr>
            </w:pPr>
          </w:p>
        </w:tc>
      </w:tr>
      <w:tr w:rsidR="00EB243D" w:rsidRPr="00154588" w14:paraId="55BCDB42" w14:textId="77777777" w:rsidTr="00D15C1B">
        <w:trPr>
          <w:jc w:val="center"/>
        </w:trPr>
        <w:tc>
          <w:tcPr>
            <w:tcW w:w="4957" w:type="dxa"/>
            <w:gridSpan w:val="2"/>
          </w:tcPr>
          <w:p w14:paraId="5D5198E5" w14:textId="67E17D2C" w:rsidR="00EB243D" w:rsidRPr="00154588" w:rsidRDefault="00EB243D" w:rsidP="008C12B4">
            <w:pPr>
              <w:jc w:val="both"/>
              <w:rPr>
                <w:sz w:val="20"/>
                <w:szCs w:val="20"/>
              </w:rPr>
            </w:pPr>
            <w:r w:rsidRPr="00154588">
              <w:rPr>
                <w:sz w:val="20"/>
                <w:szCs w:val="20"/>
              </w:rPr>
              <w:t>(1)   Sub rezerva articolului 84, autoritățile de rezoluție și autoritățile competente își furnizează reciproc, la cerere, toate informațiile relevante pentru îndeplinirea sarcinilor lor în temeiul prezentei directive.</w:t>
            </w:r>
          </w:p>
        </w:tc>
        <w:tc>
          <w:tcPr>
            <w:tcW w:w="4819" w:type="dxa"/>
          </w:tcPr>
          <w:p w14:paraId="68B51ABA" w14:textId="5198C4A7" w:rsidR="00EB243D" w:rsidRPr="00154588" w:rsidRDefault="00EB243D" w:rsidP="008C12B4">
            <w:pPr>
              <w:ind w:firstLine="567"/>
              <w:jc w:val="both"/>
              <w:rPr>
                <w:rFonts w:eastAsia="Calibri"/>
                <w:sz w:val="20"/>
                <w:szCs w:val="20"/>
              </w:rPr>
            </w:pPr>
            <w:r w:rsidRPr="00154588">
              <w:rPr>
                <w:rFonts w:eastAsia="Calibri"/>
                <w:b/>
                <w:sz w:val="20"/>
                <w:szCs w:val="20"/>
              </w:rPr>
              <w:t>Articolul 295</w:t>
            </w:r>
            <w:r w:rsidRPr="00154588">
              <w:rPr>
                <w:rFonts w:eastAsia="Calibri"/>
                <w:b/>
                <w:sz w:val="20"/>
                <w:szCs w:val="20"/>
                <w:vertAlign w:val="superscript"/>
              </w:rPr>
              <w:t>13</w:t>
            </w:r>
            <w:r w:rsidRPr="00154588">
              <w:rPr>
                <w:rFonts w:eastAsia="Calibri"/>
                <w:b/>
                <w:sz w:val="20"/>
                <w:szCs w:val="20"/>
              </w:rPr>
              <w:t xml:space="preserve">. – </w:t>
            </w:r>
            <w:r w:rsidRPr="00154588">
              <w:rPr>
                <w:rFonts w:eastAsia="Calibri"/>
                <w:sz w:val="20"/>
                <w:szCs w:val="20"/>
              </w:rPr>
              <w:t> În conformitate cu prevederile art.288-291, Banca Națională Moldovei, în calitate de autoritate de rezoluție și de autoritate competentă, furnizează, la cerere, celorlalte autorități de rezoluție și autorități competente toate informațiile relevante pentru îndeplinirea sarcinilor lor similare celor stabilite în prezenta lege și poate solicita, la rândul său, de la acestea informații de aceeași natură.</w:t>
            </w:r>
          </w:p>
        </w:tc>
        <w:tc>
          <w:tcPr>
            <w:tcW w:w="2552" w:type="dxa"/>
          </w:tcPr>
          <w:p w14:paraId="58CBFE42" w14:textId="0B6CA70B" w:rsidR="00EB243D" w:rsidRPr="00154588" w:rsidRDefault="00EB243D" w:rsidP="008C12B4">
            <w:pPr>
              <w:jc w:val="both"/>
              <w:rPr>
                <w:sz w:val="20"/>
                <w:szCs w:val="20"/>
              </w:rPr>
            </w:pPr>
            <w:r w:rsidRPr="00154588">
              <w:rPr>
                <w:sz w:val="20"/>
                <w:szCs w:val="20"/>
              </w:rPr>
              <w:t>Compatibil</w:t>
            </w:r>
          </w:p>
        </w:tc>
        <w:tc>
          <w:tcPr>
            <w:tcW w:w="3118" w:type="dxa"/>
          </w:tcPr>
          <w:p w14:paraId="24E60FF5" w14:textId="77777777" w:rsidR="00EB243D" w:rsidRPr="00154588" w:rsidRDefault="00EB243D" w:rsidP="008C12B4">
            <w:pPr>
              <w:jc w:val="both"/>
              <w:rPr>
                <w:sz w:val="20"/>
                <w:szCs w:val="20"/>
              </w:rPr>
            </w:pPr>
          </w:p>
        </w:tc>
      </w:tr>
      <w:tr w:rsidR="00EB243D" w:rsidRPr="00154588" w14:paraId="1845D8C8" w14:textId="77777777" w:rsidTr="00D15C1B">
        <w:trPr>
          <w:jc w:val="center"/>
        </w:trPr>
        <w:tc>
          <w:tcPr>
            <w:tcW w:w="4957" w:type="dxa"/>
            <w:gridSpan w:val="2"/>
          </w:tcPr>
          <w:p w14:paraId="52CB9E66" w14:textId="5A111DC9" w:rsidR="00EB243D" w:rsidRPr="00154588" w:rsidRDefault="00EB243D" w:rsidP="008C12B4">
            <w:pPr>
              <w:jc w:val="both"/>
              <w:rPr>
                <w:sz w:val="20"/>
                <w:szCs w:val="20"/>
              </w:rPr>
            </w:pPr>
            <w:r w:rsidRPr="00154588">
              <w:rPr>
                <w:sz w:val="20"/>
                <w:szCs w:val="20"/>
              </w:rPr>
              <w:t>(2)   Autoritatea de rezoluție la nivel de grup coordonează fluxul tuturor informațiilor relevante între autoritățile de rezoluție. În special, autoritatea de rezoluție la nivel de grup furnizează autorităților de rezoluție din alte state membre toate informațiile relevante, în timp util, în vederea facilitării îndeplinirii sarcinilor menționate la articolul 88 alineatul (1) al doilea paragraf literele (b)-(i).</w:t>
            </w:r>
          </w:p>
        </w:tc>
        <w:tc>
          <w:tcPr>
            <w:tcW w:w="4819" w:type="dxa"/>
          </w:tcPr>
          <w:p w14:paraId="5A9F17DA" w14:textId="30445D0B"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14</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Banca Națională Moldovei, în calitate de autoritate de rezoluție la nivel de grup, coordonează fluxul tuturor informațiilor relevante între autoritățile de rezoluție și furnizează, în special, autorităților de rezoluție din alte state membre toate informațiile relevante, în timp util, în vederea facilitării îndeplinirii sarcinilor prevăzute la art.295</w:t>
            </w:r>
            <w:r w:rsidRPr="00154588">
              <w:rPr>
                <w:rFonts w:eastAsia="Calibri"/>
                <w:kern w:val="2"/>
                <w:sz w:val="20"/>
                <w:szCs w:val="20"/>
                <w:vertAlign w:val="superscript"/>
                <w14:ligatures w14:val="standardContextual"/>
              </w:rPr>
              <w:t>2</w:t>
            </w:r>
            <w:r w:rsidRPr="00154588">
              <w:rPr>
                <w:rFonts w:eastAsia="Calibri"/>
                <w:kern w:val="2"/>
                <w:sz w:val="20"/>
                <w:szCs w:val="20"/>
                <w14:ligatures w14:val="standardContextual"/>
              </w:rPr>
              <w:t xml:space="preserve"> alin. (2) lit.b)-i).</w:t>
            </w:r>
          </w:p>
        </w:tc>
        <w:tc>
          <w:tcPr>
            <w:tcW w:w="2552" w:type="dxa"/>
          </w:tcPr>
          <w:p w14:paraId="015BDDE2" w14:textId="625119D3" w:rsidR="00EB243D" w:rsidRPr="00154588" w:rsidRDefault="00EB243D" w:rsidP="008C12B4">
            <w:pPr>
              <w:jc w:val="both"/>
              <w:rPr>
                <w:sz w:val="20"/>
                <w:szCs w:val="20"/>
              </w:rPr>
            </w:pPr>
            <w:r w:rsidRPr="00154588">
              <w:rPr>
                <w:sz w:val="20"/>
                <w:szCs w:val="20"/>
              </w:rPr>
              <w:t>Compatibil</w:t>
            </w:r>
          </w:p>
        </w:tc>
        <w:tc>
          <w:tcPr>
            <w:tcW w:w="3118" w:type="dxa"/>
          </w:tcPr>
          <w:p w14:paraId="3C5BDFE6" w14:textId="77777777" w:rsidR="00EB243D" w:rsidRPr="00154588" w:rsidRDefault="00EB243D" w:rsidP="008C12B4">
            <w:pPr>
              <w:jc w:val="both"/>
              <w:rPr>
                <w:sz w:val="20"/>
                <w:szCs w:val="20"/>
              </w:rPr>
            </w:pPr>
          </w:p>
        </w:tc>
      </w:tr>
      <w:tr w:rsidR="00EB243D" w:rsidRPr="00154588" w14:paraId="324B6A0B" w14:textId="77777777" w:rsidTr="00D15C1B">
        <w:trPr>
          <w:jc w:val="center"/>
        </w:trPr>
        <w:tc>
          <w:tcPr>
            <w:tcW w:w="4957" w:type="dxa"/>
            <w:gridSpan w:val="2"/>
          </w:tcPr>
          <w:p w14:paraId="1D4E2768" w14:textId="77777777" w:rsidR="00EB243D" w:rsidRPr="00154588" w:rsidRDefault="00EB243D" w:rsidP="008C12B4">
            <w:pPr>
              <w:jc w:val="both"/>
              <w:rPr>
                <w:sz w:val="20"/>
                <w:szCs w:val="20"/>
              </w:rPr>
            </w:pPr>
            <w:r w:rsidRPr="00154588">
              <w:rPr>
                <w:sz w:val="20"/>
                <w:szCs w:val="20"/>
              </w:rPr>
              <w:t xml:space="preserve">(3)   În urma unei cereri de informații furnizate de o autoritate de rezoluție dintr-o țară terță, autoritatea de </w:t>
            </w:r>
            <w:r w:rsidRPr="00154588">
              <w:rPr>
                <w:sz w:val="20"/>
                <w:szCs w:val="20"/>
              </w:rPr>
              <w:lastRenderedPageBreak/>
              <w:t>rezoluție cere aprobarea autorității de rezoluție din țara terță cu privire la transmiterea mai departe a acestor informații, cu excepția cazului în care autoritatea de rezoluție din țara terță și-a dat deja acordul cu privire la transmiterea mai departe a acestor informații.</w:t>
            </w:r>
          </w:p>
          <w:p w14:paraId="75DC33D3" w14:textId="77777777" w:rsidR="00EB243D" w:rsidRPr="00154588" w:rsidRDefault="00EB243D" w:rsidP="008C12B4">
            <w:pPr>
              <w:jc w:val="both"/>
              <w:rPr>
                <w:sz w:val="20"/>
                <w:szCs w:val="20"/>
              </w:rPr>
            </w:pPr>
          </w:p>
          <w:p w14:paraId="73F40386" w14:textId="77777777" w:rsidR="00EB243D" w:rsidRPr="00154588" w:rsidRDefault="00EB243D" w:rsidP="008C12B4">
            <w:pPr>
              <w:jc w:val="both"/>
              <w:rPr>
                <w:sz w:val="20"/>
                <w:szCs w:val="20"/>
              </w:rPr>
            </w:pPr>
          </w:p>
          <w:p w14:paraId="516D740B" w14:textId="608E8D80" w:rsidR="00EB243D" w:rsidRPr="00154588" w:rsidRDefault="00EB243D" w:rsidP="008C12B4">
            <w:pPr>
              <w:jc w:val="both"/>
              <w:rPr>
                <w:sz w:val="20"/>
                <w:szCs w:val="20"/>
              </w:rPr>
            </w:pPr>
            <w:r w:rsidRPr="00154588">
              <w:rPr>
                <w:sz w:val="20"/>
                <w:szCs w:val="20"/>
              </w:rPr>
              <w:t>Autoritățile de rezoluție nu sunt obligate să transmită informații furnizate de o autoritate de rezoluție dintr-o țară terță dacă autoritatea de rezoluție din țara terță nu și-a dat consimțământul cu privire la transmiterea mai departe a acestora.</w:t>
            </w:r>
          </w:p>
        </w:tc>
        <w:tc>
          <w:tcPr>
            <w:tcW w:w="4819" w:type="dxa"/>
          </w:tcPr>
          <w:p w14:paraId="098D450F" w14:textId="77777777" w:rsidR="00EB243D" w:rsidRPr="00154588" w:rsidRDefault="00EB243D" w:rsidP="008C12B4">
            <w:pPr>
              <w:ind w:firstLine="567"/>
              <w:jc w:val="both"/>
              <w:rPr>
                <w:rFonts w:eastAsia="Calibri"/>
                <w:sz w:val="20"/>
                <w:szCs w:val="20"/>
              </w:rPr>
            </w:pPr>
            <w:r w:rsidRPr="00154588">
              <w:rPr>
                <w:rFonts w:eastAsia="Calibri"/>
                <w:b/>
                <w:sz w:val="20"/>
                <w:szCs w:val="20"/>
              </w:rPr>
              <w:lastRenderedPageBreak/>
              <w:t>Articolul 295</w:t>
            </w:r>
            <w:r w:rsidRPr="00154588">
              <w:rPr>
                <w:rFonts w:eastAsia="Calibri"/>
                <w:b/>
                <w:sz w:val="20"/>
                <w:szCs w:val="20"/>
                <w:vertAlign w:val="superscript"/>
              </w:rPr>
              <w:t>15</w:t>
            </w:r>
            <w:r w:rsidRPr="00154588">
              <w:rPr>
                <w:rFonts w:eastAsia="Calibri"/>
                <w:b/>
                <w:sz w:val="20"/>
                <w:szCs w:val="20"/>
              </w:rPr>
              <w:t xml:space="preserve">. – </w:t>
            </w:r>
            <w:r w:rsidRPr="00154588">
              <w:rPr>
                <w:rFonts w:eastAsia="Calibri"/>
                <w:sz w:val="20"/>
                <w:szCs w:val="20"/>
              </w:rPr>
              <w:t>(1) În urma unei cereri de informații furnizate de o autoritate de rezoluție dintr-</w:t>
            </w:r>
            <w:r w:rsidRPr="00154588">
              <w:rPr>
                <w:rFonts w:eastAsia="Calibri"/>
                <w:sz w:val="20"/>
                <w:szCs w:val="20"/>
              </w:rPr>
              <w:lastRenderedPageBreak/>
              <w:t>un stat terț, Banca Națională a Moldovei cere aprobarea autorități de rezoluție din statul terț cu privire la transmiterea acestor informații, cu excepția cazului în care respectiva autoritate de rezoluție din statul terț și-a dat deja acordul cu privire la transmiterea acestor informații.</w:t>
            </w:r>
          </w:p>
          <w:p w14:paraId="60A5717D" w14:textId="3E5FEFFC" w:rsidR="00EB243D" w:rsidRPr="00154588" w:rsidRDefault="00EB243D" w:rsidP="008C12B4">
            <w:pPr>
              <w:ind w:firstLine="567"/>
              <w:jc w:val="both"/>
              <w:rPr>
                <w:rFonts w:eastAsia="Calibri"/>
                <w:sz w:val="20"/>
                <w:szCs w:val="20"/>
              </w:rPr>
            </w:pPr>
            <w:r w:rsidRPr="00154588">
              <w:rPr>
                <w:rFonts w:eastAsia="Calibri"/>
                <w:sz w:val="20"/>
                <w:szCs w:val="20"/>
              </w:rPr>
              <w:t>(2) Banca Națională Moldovei, în calitate de autoritate de rezoluție, nu este obligată să transmită informații furnizate de o autoritate de rezoluție dintr-un stat terț dacă autoritatea de rezoluție din statul terț nu și-a dat consimțământul cu privire la transmiterea mai departe a acestora.</w:t>
            </w:r>
          </w:p>
        </w:tc>
        <w:tc>
          <w:tcPr>
            <w:tcW w:w="2552" w:type="dxa"/>
          </w:tcPr>
          <w:p w14:paraId="7E531CA3" w14:textId="5C58A2C5" w:rsidR="00EB243D" w:rsidRPr="00154588" w:rsidRDefault="00EB243D" w:rsidP="008C12B4">
            <w:pPr>
              <w:jc w:val="both"/>
              <w:rPr>
                <w:sz w:val="20"/>
                <w:szCs w:val="20"/>
              </w:rPr>
            </w:pPr>
            <w:r w:rsidRPr="00154588">
              <w:rPr>
                <w:sz w:val="20"/>
                <w:szCs w:val="20"/>
              </w:rPr>
              <w:lastRenderedPageBreak/>
              <w:t>Compatibil</w:t>
            </w:r>
          </w:p>
        </w:tc>
        <w:tc>
          <w:tcPr>
            <w:tcW w:w="3118" w:type="dxa"/>
          </w:tcPr>
          <w:p w14:paraId="557EA0C2" w14:textId="77777777" w:rsidR="00EB243D" w:rsidRPr="00154588" w:rsidRDefault="00EB243D" w:rsidP="008C12B4">
            <w:pPr>
              <w:jc w:val="both"/>
              <w:rPr>
                <w:sz w:val="20"/>
                <w:szCs w:val="20"/>
              </w:rPr>
            </w:pPr>
          </w:p>
        </w:tc>
      </w:tr>
      <w:tr w:rsidR="00EB243D" w:rsidRPr="00154588" w14:paraId="107FE287" w14:textId="77777777" w:rsidTr="00D15C1B">
        <w:trPr>
          <w:jc w:val="center"/>
        </w:trPr>
        <w:tc>
          <w:tcPr>
            <w:tcW w:w="4957" w:type="dxa"/>
            <w:gridSpan w:val="2"/>
          </w:tcPr>
          <w:p w14:paraId="5342679E" w14:textId="39617260" w:rsidR="00EB243D" w:rsidRPr="00154588" w:rsidRDefault="00EB243D" w:rsidP="008C12B4">
            <w:pPr>
              <w:jc w:val="both"/>
              <w:rPr>
                <w:sz w:val="20"/>
                <w:szCs w:val="20"/>
              </w:rPr>
            </w:pPr>
            <w:r w:rsidRPr="00154588">
              <w:rPr>
                <w:sz w:val="20"/>
                <w:szCs w:val="20"/>
              </w:rPr>
              <w:t>(4)   Autoritățile de rezoluție partajează informațiile cu ministerul competent atunci când acestea se referă la o decizie sau o chestiune care impune notificarea, consultarea sau acordul ministerului competent sau care ar putea avea implicații asupra fondurilor publice.</w:t>
            </w:r>
          </w:p>
        </w:tc>
        <w:tc>
          <w:tcPr>
            <w:tcW w:w="4819" w:type="dxa"/>
          </w:tcPr>
          <w:p w14:paraId="2106062C" w14:textId="4806A6FF"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16</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Banca Națională Moldovei, în calitate de autoritate de rezoluție, furnizează informațiile Ministerului Finanțelor, în calitate de minister competent, atunci când acestea se referă la o decizie sau o chestiune care impune notificarea, consultarea sau acordul ministerului competent, sau care ar putea avea implicații asupra fondurilor publice.</w:t>
            </w:r>
          </w:p>
        </w:tc>
        <w:tc>
          <w:tcPr>
            <w:tcW w:w="2552" w:type="dxa"/>
          </w:tcPr>
          <w:p w14:paraId="29DE44DC" w14:textId="4F6947B7" w:rsidR="00EB243D" w:rsidRPr="00154588" w:rsidRDefault="00EB243D" w:rsidP="008C12B4">
            <w:pPr>
              <w:jc w:val="both"/>
              <w:rPr>
                <w:sz w:val="20"/>
                <w:szCs w:val="20"/>
              </w:rPr>
            </w:pPr>
            <w:r w:rsidRPr="00154588">
              <w:rPr>
                <w:sz w:val="20"/>
                <w:szCs w:val="20"/>
              </w:rPr>
              <w:t>Compatibil</w:t>
            </w:r>
          </w:p>
        </w:tc>
        <w:tc>
          <w:tcPr>
            <w:tcW w:w="3118" w:type="dxa"/>
          </w:tcPr>
          <w:p w14:paraId="4F04647E" w14:textId="77777777" w:rsidR="00EB243D" w:rsidRPr="00154588" w:rsidRDefault="00EB243D" w:rsidP="008C12B4">
            <w:pPr>
              <w:jc w:val="both"/>
              <w:rPr>
                <w:sz w:val="20"/>
                <w:szCs w:val="20"/>
              </w:rPr>
            </w:pPr>
          </w:p>
        </w:tc>
      </w:tr>
      <w:tr w:rsidR="00EB243D" w:rsidRPr="00154588" w14:paraId="253410EE" w14:textId="77777777" w:rsidTr="00D15C1B">
        <w:trPr>
          <w:jc w:val="center"/>
        </w:trPr>
        <w:tc>
          <w:tcPr>
            <w:tcW w:w="4957" w:type="dxa"/>
            <w:gridSpan w:val="2"/>
          </w:tcPr>
          <w:p w14:paraId="12F7C272" w14:textId="77777777" w:rsidR="00EB243D" w:rsidRPr="00154588" w:rsidRDefault="00EB243D" w:rsidP="008C12B4">
            <w:pPr>
              <w:jc w:val="both"/>
              <w:rPr>
                <w:b/>
                <w:sz w:val="20"/>
                <w:szCs w:val="20"/>
              </w:rPr>
            </w:pPr>
            <w:r w:rsidRPr="00154588">
              <w:rPr>
                <w:b/>
                <w:sz w:val="20"/>
                <w:szCs w:val="20"/>
              </w:rPr>
              <w:t>Articolul 91</w:t>
            </w:r>
          </w:p>
          <w:p w14:paraId="45EB3A46" w14:textId="77777777" w:rsidR="00EB243D" w:rsidRPr="00154588" w:rsidRDefault="00EB243D" w:rsidP="008C12B4">
            <w:pPr>
              <w:jc w:val="both"/>
              <w:rPr>
                <w:b/>
                <w:sz w:val="20"/>
                <w:szCs w:val="20"/>
              </w:rPr>
            </w:pPr>
          </w:p>
          <w:p w14:paraId="1D85F8E8" w14:textId="6C27655F" w:rsidR="00EB243D" w:rsidRPr="00154588" w:rsidRDefault="00EB243D" w:rsidP="008C12B4">
            <w:pPr>
              <w:jc w:val="both"/>
              <w:rPr>
                <w:sz w:val="20"/>
                <w:szCs w:val="20"/>
              </w:rPr>
            </w:pPr>
            <w:r w:rsidRPr="00154588">
              <w:rPr>
                <w:b/>
                <w:sz w:val="20"/>
                <w:szCs w:val="20"/>
              </w:rPr>
              <w:t>Rezoluția grupului care implică o filială a acestuia</w:t>
            </w:r>
          </w:p>
        </w:tc>
        <w:tc>
          <w:tcPr>
            <w:tcW w:w="4819" w:type="dxa"/>
          </w:tcPr>
          <w:p w14:paraId="5B87B19A" w14:textId="77777777" w:rsidR="00EB243D" w:rsidRPr="00154588" w:rsidRDefault="00EB243D" w:rsidP="008C12B4">
            <w:pPr>
              <w:jc w:val="center"/>
              <w:rPr>
                <w:rFonts w:eastAsia="Calibri"/>
                <w:b/>
                <w:kern w:val="2"/>
                <w:sz w:val="20"/>
                <w:szCs w:val="20"/>
                <w14:ligatures w14:val="standardContextual"/>
              </w:rPr>
            </w:pPr>
            <w:r w:rsidRPr="00154588">
              <w:rPr>
                <w:rFonts w:eastAsia="Calibri"/>
                <w:b/>
                <w:kern w:val="2"/>
                <w:sz w:val="20"/>
                <w:szCs w:val="20"/>
                <w14:ligatures w14:val="standardContextual"/>
              </w:rPr>
              <w:t>Capitolul V</w:t>
            </w:r>
          </w:p>
          <w:p w14:paraId="7FB53E14" w14:textId="77777777" w:rsidR="00EB243D" w:rsidRPr="00154588" w:rsidRDefault="00EB243D" w:rsidP="008C12B4">
            <w:pPr>
              <w:jc w:val="center"/>
              <w:rPr>
                <w:rFonts w:eastAsia="Calibri"/>
                <w:b/>
                <w:kern w:val="2"/>
                <w:sz w:val="20"/>
                <w:szCs w:val="20"/>
                <w14:ligatures w14:val="standardContextual"/>
              </w:rPr>
            </w:pPr>
            <w:r w:rsidRPr="00154588">
              <w:rPr>
                <w:rFonts w:eastAsia="Calibri"/>
                <w:b/>
                <w:kern w:val="2"/>
                <w:sz w:val="20"/>
                <w:szCs w:val="20"/>
                <w14:ligatures w14:val="standardContextual"/>
              </w:rPr>
              <w:t>REZOLUȚIA GRUPULUI CARE IMPLICĂ O FILIALĂ A</w:t>
            </w:r>
          </w:p>
          <w:p w14:paraId="671B7D00" w14:textId="77777777" w:rsidR="00EB243D" w:rsidRPr="00154588" w:rsidRDefault="00EB243D" w:rsidP="008C12B4">
            <w:pPr>
              <w:jc w:val="center"/>
              <w:rPr>
                <w:rFonts w:eastAsia="Calibri"/>
                <w:b/>
                <w:kern w:val="2"/>
                <w:sz w:val="20"/>
                <w:szCs w:val="20"/>
                <w14:ligatures w14:val="standardContextual"/>
              </w:rPr>
            </w:pPr>
            <w:r w:rsidRPr="00154588">
              <w:rPr>
                <w:rFonts w:eastAsia="Calibri"/>
                <w:b/>
                <w:kern w:val="2"/>
                <w:sz w:val="20"/>
                <w:szCs w:val="20"/>
                <w14:ligatures w14:val="standardContextual"/>
              </w:rPr>
              <w:t>ACESTUIA ATUNCI CÂND BANCA NAȚIONALĂ A MOLDOVEI</w:t>
            </w:r>
          </w:p>
          <w:p w14:paraId="2795DD6A" w14:textId="08533494" w:rsidR="00EB243D" w:rsidRPr="00154588" w:rsidRDefault="00EB243D" w:rsidP="008C12B4">
            <w:pPr>
              <w:jc w:val="center"/>
              <w:rPr>
                <w:rFonts w:eastAsia="Calibri"/>
                <w:b/>
                <w:kern w:val="2"/>
                <w:sz w:val="20"/>
                <w:szCs w:val="20"/>
                <w14:ligatures w14:val="standardContextual"/>
              </w:rPr>
            </w:pPr>
            <w:r w:rsidRPr="00154588">
              <w:rPr>
                <w:rFonts w:eastAsia="Calibri"/>
                <w:b/>
                <w:kern w:val="2"/>
                <w:sz w:val="20"/>
                <w:szCs w:val="20"/>
                <w14:ligatures w14:val="standardContextual"/>
              </w:rPr>
              <w:t>ESTE AUTORITATE DE REZOLUȚIE LA NIVEL DE GRUP</w:t>
            </w:r>
          </w:p>
        </w:tc>
        <w:tc>
          <w:tcPr>
            <w:tcW w:w="2552" w:type="dxa"/>
          </w:tcPr>
          <w:p w14:paraId="5209F2BD" w14:textId="01F568A7" w:rsidR="00EB243D" w:rsidRPr="00154588" w:rsidRDefault="00EB243D" w:rsidP="008C12B4">
            <w:pPr>
              <w:jc w:val="both"/>
              <w:rPr>
                <w:sz w:val="20"/>
                <w:szCs w:val="20"/>
              </w:rPr>
            </w:pPr>
          </w:p>
        </w:tc>
        <w:tc>
          <w:tcPr>
            <w:tcW w:w="3118" w:type="dxa"/>
          </w:tcPr>
          <w:p w14:paraId="62B22482" w14:textId="77777777" w:rsidR="00EB243D" w:rsidRPr="00154588" w:rsidRDefault="00EB243D" w:rsidP="008C12B4">
            <w:pPr>
              <w:jc w:val="both"/>
              <w:rPr>
                <w:sz w:val="20"/>
                <w:szCs w:val="20"/>
              </w:rPr>
            </w:pPr>
          </w:p>
        </w:tc>
      </w:tr>
      <w:tr w:rsidR="00EB243D" w:rsidRPr="00154588" w14:paraId="0345B5C5" w14:textId="77777777" w:rsidTr="00D15C1B">
        <w:trPr>
          <w:jc w:val="center"/>
        </w:trPr>
        <w:tc>
          <w:tcPr>
            <w:tcW w:w="4957" w:type="dxa"/>
            <w:gridSpan w:val="2"/>
          </w:tcPr>
          <w:p w14:paraId="37981061" w14:textId="5ED7B7C9" w:rsidR="00EB243D" w:rsidRPr="00154588" w:rsidRDefault="00EB243D" w:rsidP="008C12B4">
            <w:pPr>
              <w:jc w:val="both"/>
              <w:rPr>
                <w:sz w:val="20"/>
                <w:szCs w:val="20"/>
              </w:rPr>
            </w:pPr>
            <w:r w:rsidRPr="00154588">
              <w:rPr>
                <w:sz w:val="20"/>
                <w:szCs w:val="20"/>
              </w:rPr>
              <w:t>(1)   Atunci când o autoritate de rezoluție decide că o instituție sau oricare dintre entitățile menționate la articolul 1 alineatul (1) litera (b), (c) sau (d) care este filială într-un grup întrunește condițiile menționate la articolul 32 alineatul (1) literele (a) și (b) sau la articolul 33 alineatul (4) literele (a) și (b), după caz, autoritatea respectivă notifică fără întârziere autorității de rezoluție   a grupului,</w:t>
            </w:r>
            <w:r w:rsidRPr="00154588">
              <w:t xml:space="preserve"> </w:t>
            </w:r>
            <w:r w:rsidRPr="00154588">
              <w:rPr>
                <w:sz w:val="20"/>
                <w:szCs w:val="20"/>
              </w:rPr>
              <w:t>dacă aceasta este o autoritate distinctă, supraveghetorului consolidant și membrilor colegiului de rezoluție constituit pentru grupul în cauză următoarele informații:</w:t>
            </w:r>
          </w:p>
          <w:p w14:paraId="14155CFD" w14:textId="77777777" w:rsidR="00EB243D" w:rsidRPr="00154588" w:rsidRDefault="00EB243D" w:rsidP="008C12B4">
            <w:pPr>
              <w:jc w:val="both"/>
              <w:rPr>
                <w:sz w:val="20"/>
                <w:szCs w:val="20"/>
              </w:rPr>
            </w:pPr>
          </w:p>
          <w:p w14:paraId="5DF7E2CD" w14:textId="404F6E9D" w:rsidR="00EB243D" w:rsidRPr="00154588" w:rsidRDefault="00EB243D" w:rsidP="008C12B4">
            <w:pPr>
              <w:pStyle w:val="a7"/>
              <w:numPr>
                <w:ilvl w:val="0"/>
                <w:numId w:val="7"/>
              </w:numPr>
              <w:ind w:left="34" w:firstLine="0"/>
              <w:jc w:val="both"/>
              <w:rPr>
                <w:rFonts w:cs="Times New Roman"/>
                <w:sz w:val="20"/>
                <w:szCs w:val="20"/>
                <w:lang w:val="ro-RO"/>
              </w:rPr>
            </w:pPr>
            <w:r w:rsidRPr="00154588">
              <w:rPr>
                <w:rFonts w:cs="Times New Roman"/>
                <w:sz w:val="20"/>
                <w:szCs w:val="20"/>
                <w:lang w:val="ro-RO"/>
              </w:rPr>
              <w:t>decizia potrivit căreia instituția sau entitatea menționată la articolul 1 alineatul (1) litera (b), (c) sau (d) întrunește condițiile menționate la articolul 32 alineatul (1) literele (a) și (b)  sau la articolul 33 alineatul (4) literele (a) și (b), după caz;</w:t>
            </w:r>
          </w:p>
          <w:p w14:paraId="53F08611" w14:textId="77777777" w:rsidR="00EB243D" w:rsidRPr="00154588" w:rsidRDefault="00EB243D" w:rsidP="008C12B4">
            <w:pPr>
              <w:jc w:val="both"/>
              <w:rPr>
                <w:sz w:val="20"/>
                <w:szCs w:val="20"/>
              </w:rPr>
            </w:pPr>
          </w:p>
          <w:p w14:paraId="242835C5" w14:textId="27787A17" w:rsidR="00EB243D" w:rsidRPr="00154588" w:rsidRDefault="00EB243D" w:rsidP="008C12B4">
            <w:pPr>
              <w:jc w:val="both"/>
              <w:rPr>
                <w:sz w:val="20"/>
                <w:szCs w:val="20"/>
              </w:rPr>
            </w:pPr>
            <w:r w:rsidRPr="00154588">
              <w:rPr>
                <w:sz w:val="20"/>
                <w:szCs w:val="20"/>
              </w:rPr>
              <w:t>aa) rezultatul evaluării condiției menționate la articolul 32 alineatul (1) litera (c) și la articolul 33 alineatul (4) litera (c);</w:t>
            </w:r>
          </w:p>
          <w:p w14:paraId="09C4ACC4" w14:textId="77777777" w:rsidR="00EB243D" w:rsidRPr="00154588" w:rsidRDefault="00EB243D" w:rsidP="008C12B4">
            <w:pPr>
              <w:jc w:val="both"/>
              <w:rPr>
                <w:sz w:val="20"/>
                <w:szCs w:val="20"/>
              </w:rPr>
            </w:pPr>
          </w:p>
          <w:p w14:paraId="6DF943FD" w14:textId="08239370" w:rsidR="00EB243D" w:rsidRPr="00154588" w:rsidRDefault="00EB243D" w:rsidP="008C12B4">
            <w:pPr>
              <w:pStyle w:val="a7"/>
              <w:numPr>
                <w:ilvl w:val="0"/>
                <w:numId w:val="7"/>
              </w:numPr>
              <w:ind w:left="0" w:firstLine="34"/>
              <w:jc w:val="both"/>
              <w:rPr>
                <w:rFonts w:cs="Times New Roman"/>
                <w:sz w:val="20"/>
                <w:szCs w:val="20"/>
                <w:lang w:val="ro-RO"/>
              </w:rPr>
            </w:pPr>
            <w:r w:rsidRPr="00154588">
              <w:rPr>
                <w:rFonts w:cs="Times New Roman"/>
                <w:sz w:val="20"/>
                <w:szCs w:val="20"/>
                <w:lang w:val="pt-BR"/>
              </w:rPr>
              <w:t>măsurile de rezoluție sau de insolvență pe care autoritatea de rezoluție le consideră adecvate pentru instituția sau entitatea respectivă.</w:t>
            </w:r>
          </w:p>
          <w:p w14:paraId="33084C5F" w14:textId="77777777" w:rsidR="00EB243D" w:rsidRPr="00154588" w:rsidRDefault="00EB243D" w:rsidP="008C12B4">
            <w:pPr>
              <w:jc w:val="both"/>
              <w:rPr>
                <w:bCs/>
                <w:sz w:val="20"/>
                <w:szCs w:val="20"/>
              </w:rPr>
            </w:pPr>
          </w:p>
          <w:p w14:paraId="244E70E4" w14:textId="77777777" w:rsidR="00EB243D" w:rsidRPr="00154588" w:rsidRDefault="00EB243D" w:rsidP="008C12B4">
            <w:pPr>
              <w:jc w:val="both"/>
              <w:rPr>
                <w:bCs/>
                <w:sz w:val="20"/>
                <w:szCs w:val="20"/>
              </w:rPr>
            </w:pPr>
          </w:p>
          <w:p w14:paraId="09DFF1BF" w14:textId="77777777" w:rsidR="00EB243D" w:rsidRPr="00154588" w:rsidRDefault="00EB243D" w:rsidP="008C12B4">
            <w:pPr>
              <w:jc w:val="both"/>
              <w:rPr>
                <w:bCs/>
                <w:sz w:val="20"/>
                <w:szCs w:val="20"/>
              </w:rPr>
            </w:pPr>
          </w:p>
          <w:p w14:paraId="6191C93A" w14:textId="7F763E8F" w:rsidR="00EB243D" w:rsidRPr="00154588" w:rsidRDefault="00EB243D" w:rsidP="008C12B4">
            <w:pPr>
              <w:jc w:val="both"/>
              <w:rPr>
                <w:sz w:val="20"/>
                <w:szCs w:val="20"/>
              </w:rPr>
            </w:pPr>
            <w:r w:rsidRPr="00154588">
              <w:rPr>
                <w:sz w:val="20"/>
                <w:szCs w:val="20"/>
              </w:rPr>
              <w:t>Informațiile menționate la primul paragraf de la prezentul alineat pot fi incluse în notificările comunicate în temeiul articolului 81 alineatul (3) autorității de rezoluție a grupului, dacă aceasta este o autoritate distinctă, supraveghetorului consolidant și membrilor colegiului de rezoluție constituit pentru grupul în cauză.</w:t>
            </w:r>
          </w:p>
        </w:tc>
        <w:tc>
          <w:tcPr>
            <w:tcW w:w="4819" w:type="dxa"/>
          </w:tcPr>
          <w:p w14:paraId="6B93CCA6" w14:textId="56FFA3DE" w:rsidR="00EB243D" w:rsidRPr="00154588" w:rsidRDefault="00EB243D" w:rsidP="008C12B4">
            <w:pPr>
              <w:ind w:firstLine="567"/>
              <w:jc w:val="both"/>
              <w:rPr>
                <w:rFonts w:eastAsia="Calibri"/>
                <w:sz w:val="20"/>
                <w:szCs w:val="20"/>
              </w:rPr>
            </w:pPr>
            <w:r w:rsidRPr="00154588">
              <w:rPr>
                <w:rFonts w:eastAsia="Calibri"/>
                <w:b/>
                <w:sz w:val="20"/>
                <w:szCs w:val="20"/>
              </w:rPr>
              <w:lastRenderedPageBreak/>
              <w:t>Articolul 295</w:t>
            </w:r>
            <w:r w:rsidRPr="00154588">
              <w:rPr>
                <w:rFonts w:eastAsia="Calibri"/>
                <w:b/>
                <w:sz w:val="20"/>
                <w:szCs w:val="20"/>
                <w:vertAlign w:val="superscript"/>
              </w:rPr>
              <w:t>17</w:t>
            </w:r>
            <w:r w:rsidRPr="00154588">
              <w:rPr>
                <w:rFonts w:eastAsia="Calibri"/>
                <w:b/>
                <w:sz w:val="20"/>
                <w:szCs w:val="20"/>
              </w:rPr>
              <w:t xml:space="preserve">. </w:t>
            </w:r>
            <w:r w:rsidRPr="00154588">
              <w:rPr>
                <w:rFonts w:eastAsia="Calibri"/>
                <w:b/>
                <w:bCs/>
                <w:sz w:val="20"/>
                <w:szCs w:val="20"/>
              </w:rPr>
              <w:t xml:space="preserve">– </w:t>
            </w:r>
            <w:r w:rsidRPr="00154588">
              <w:rPr>
                <w:rFonts w:eastAsia="Calibri"/>
                <w:sz w:val="20"/>
                <w:szCs w:val="20"/>
              </w:rPr>
              <w:t>(1)</w:t>
            </w:r>
            <w:r w:rsidRPr="00154588">
              <w:rPr>
                <w:rFonts w:eastAsia="Calibri"/>
                <w:b/>
                <w:sz w:val="20"/>
                <w:szCs w:val="20"/>
              </w:rPr>
              <w:t xml:space="preserve"> </w:t>
            </w:r>
            <w:r w:rsidRPr="00154588">
              <w:rPr>
                <w:rFonts w:eastAsia="Calibri"/>
                <w:sz w:val="20"/>
                <w:szCs w:val="20"/>
              </w:rPr>
              <w:t>Atunci când o autoritate de rezoluție decide că o instituție sau oricare dintre entitățile prevăzute la art.1 alin.(1) lit.b), c) sau d) care este filială într-un grup, pentru care Banca Națională a Moldovei este autoritate de rezoluție la nivel de grup, întrunește condițiile prevăzute la art.58 alin.(1) lit.a) și b) sau la art.60 alin.(14) lit</w:t>
            </w:r>
            <w:r w:rsidR="00015D8D" w:rsidRPr="00154588">
              <w:rPr>
                <w:rFonts w:eastAsia="Calibri"/>
                <w:sz w:val="20"/>
                <w:szCs w:val="20"/>
              </w:rPr>
              <w:t>.</w:t>
            </w:r>
            <w:r w:rsidRPr="00154588">
              <w:rPr>
                <w:rFonts w:eastAsia="Calibri"/>
                <w:sz w:val="20"/>
                <w:szCs w:val="20"/>
              </w:rPr>
              <w:t>a) și b), după caz,</w:t>
            </w:r>
            <w:r w:rsidRPr="00154588">
              <w:t xml:space="preserve"> </w:t>
            </w:r>
            <w:r w:rsidRPr="00154588">
              <w:rPr>
                <w:rFonts w:eastAsia="Calibri"/>
                <w:sz w:val="20"/>
                <w:szCs w:val="20"/>
              </w:rPr>
              <w:t>autoritatea de rezoluție respectivă notifică, fără întârziere,  Banca Națională a Moldovei, în calitate de autoritate de rezoluție la nivel de grup, și după caz, de supraveghetor consolidant, precum și membrii colegiului de rezoluție constituit pentru grupul în cauză cu privire la următoarele informații:</w:t>
            </w:r>
          </w:p>
          <w:p w14:paraId="201EDCAB" w14:textId="79263C4E" w:rsidR="00EB243D" w:rsidRPr="00154588" w:rsidRDefault="00EB243D" w:rsidP="008C12B4">
            <w:pPr>
              <w:ind w:firstLine="567"/>
              <w:jc w:val="both"/>
              <w:rPr>
                <w:rFonts w:eastAsia="Calibri"/>
                <w:sz w:val="20"/>
                <w:szCs w:val="20"/>
              </w:rPr>
            </w:pPr>
            <w:r w:rsidRPr="00154588">
              <w:rPr>
                <w:rFonts w:eastAsia="Calibri"/>
                <w:sz w:val="20"/>
                <w:szCs w:val="20"/>
              </w:rPr>
              <w:t>a) decizia potrivit căreia instituția sau entitatea prevăzută la art.1 alin.(1) lit.b), c) sau d) întrunește condițiile prevăzute la art.58 alin.(1) lit.a) și b) sau la art.60 alin.(14) lit a) și b), după caz;;</w:t>
            </w:r>
          </w:p>
          <w:p w14:paraId="23FD56EC" w14:textId="77777777" w:rsidR="00EB243D" w:rsidRPr="00154588" w:rsidRDefault="00EB243D" w:rsidP="008C12B4">
            <w:pPr>
              <w:ind w:firstLine="567"/>
              <w:jc w:val="both"/>
              <w:rPr>
                <w:rFonts w:eastAsia="Calibri"/>
                <w:sz w:val="20"/>
                <w:szCs w:val="20"/>
              </w:rPr>
            </w:pPr>
          </w:p>
          <w:p w14:paraId="0B04D5A2" w14:textId="69BEB634" w:rsidR="00EB243D" w:rsidRPr="00154588" w:rsidRDefault="00EB243D" w:rsidP="008C12B4">
            <w:pPr>
              <w:ind w:firstLine="567"/>
              <w:jc w:val="both"/>
              <w:rPr>
                <w:rFonts w:eastAsia="Calibri"/>
                <w:sz w:val="20"/>
                <w:szCs w:val="20"/>
              </w:rPr>
            </w:pPr>
            <w:r w:rsidRPr="00154588">
              <w:rPr>
                <w:rFonts w:eastAsia="Calibri"/>
                <w:sz w:val="20"/>
                <w:szCs w:val="20"/>
              </w:rPr>
              <w:t>b)</w:t>
            </w:r>
            <w:r w:rsidRPr="00154588">
              <w:rPr>
                <w:bCs/>
                <w:sz w:val="20"/>
                <w:szCs w:val="20"/>
              </w:rPr>
              <w:t xml:space="preserve"> rezultatul evaluării condiției menționate la </w:t>
            </w:r>
            <w:r w:rsidRPr="00154588">
              <w:rPr>
                <w:rFonts w:eastAsia="Calibri"/>
                <w:sz w:val="20"/>
                <w:szCs w:val="20"/>
              </w:rPr>
              <w:t>art.58 alin.(1) lit.</w:t>
            </w:r>
            <w:r w:rsidRPr="00154588">
              <w:rPr>
                <w:bCs/>
                <w:sz w:val="20"/>
                <w:szCs w:val="20"/>
              </w:rPr>
              <w:t>c) și la art. 60 alin.(14) lit.c)</w:t>
            </w:r>
          </w:p>
          <w:p w14:paraId="042E01ED" w14:textId="77777777" w:rsidR="00EB243D" w:rsidRPr="00154588" w:rsidRDefault="00EB243D" w:rsidP="008C12B4">
            <w:pPr>
              <w:ind w:firstLine="567"/>
              <w:jc w:val="both"/>
              <w:rPr>
                <w:rFonts w:eastAsia="Calibri"/>
                <w:sz w:val="20"/>
                <w:szCs w:val="20"/>
              </w:rPr>
            </w:pPr>
            <w:r w:rsidRPr="00154588">
              <w:rPr>
                <w:rFonts w:eastAsia="Calibri"/>
                <w:sz w:val="20"/>
                <w:szCs w:val="20"/>
              </w:rPr>
              <w:t>c) acțiunile de rezoluție sau măsurile de insolvabilitate pe care autoritatea de rezoluție le consideră adecvate pentru instituția în cauză sau pentru entitatea prevăzută la art.1 alin.(1) lit.b), c) sau d).</w:t>
            </w:r>
          </w:p>
          <w:p w14:paraId="5D4196D5" w14:textId="77777777" w:rsidR="00EB243D" w:rsidRPr="00154588" w:rsidRDefault="00EB243D" w:rsidP="008C12B4">
            <w:pPr>
              <w:ind w:firstLine="567"/>
              <w:jc w:val="both"/>
              <w:rPr>
                <w:rFonts w:eastAsia="Calibri"/>
                <w:sz w:val="20"/>
                <w:szCs w:val="20"/>
              </w:rPr>
            </w:pPr>
          </w:p>
          <w:p w14:paraId="580FF2AD" w14:textId="3613B9E6" w:rsidR="00EB243D" w:rsidRPr="00154588" w:rsidRDefault="00EB243D" w:rsidP="008C12B4">
            <w:pPr>
              <w:jc w:val="both"/>
              <w:rPr>
                <w:rFonts w:eastAsia="Calibri"/>
                <w:sz w:val="20"/>
                <w:szCs w:val="20"/>
              </w:rPr>
            </w:pPr>
            <w:r w:rsidRPr="00154588">
              <w:rPr>
                <w:rFonts w:eastAsia="Calibri"/>
                <w:sz w:val="20"/>
                <w:szCs w:val="20"/>
              </w:rPr>
              <w:t>(2)</w:t>
            </w:r>
            <w:r w:rsidRPr="00154588">
              <w:t xml:space="preserve"> </w:t>
            </w:r>
            <w:r w:rsidRPr="00154588">
              <w:rPr>
                <w:rFonts w:eastAsia="Calibri"/>
                <w:sz w:val="20"/>
                <w:szCs w:val="20"/>
              </w:rPr>
              <w:t>Informațiile prevăzute la alin. (1) pot fi incluse în notificarea transmisă în conformitate cu art.279 Băncii Naționale a Moldovei, în calitate de autoritate de rezoluție la nivel de grup, după caz, în calitate de supraveghetor consolidant, precum și membrilor colegiului de rezoluție constituit pentru grupul respectiv.</w:t>
            </w:r>
          </w:p>
        </w:tc>
        <w:tc>
          <w:tcPr>
            <w:tcW w:w="2552" w:type="dxa"/>
          </w:tcPr>
          <w:p w14:paraId="364DEDE1" w14:textId="3EBC715C" w:rsidR="00EB243D" w:rsidRPr="00154588" w:rsidRDefault="00EB243D" w:rsidP="008C12B4">
            <w:pPr>
              <w:jc w:val="both"/>
              <w:rPr>
                <w:sz w:val="20"/>
                <w:szCs w:val="20"/>
              </w:rPr>
            </w:pPr>
            <w:r w:rsidRPr="00154588">
              <w:rPr>
                <w:sz w:val="20"/>
                <w:szCs w:val="20"/>
              </w:rPr>
              <w:lastRenderedPageBreak/>
              <w:t>Compatibil</w:t>
            </w:r>
          </w:p>
        </w:tc>
        <w:tc>
          <w:tcPr>
            <w:tcW w:w="3118" w:type="dxa"/>
          </w:tcPr>
          <w:p w14:paraId="66ABAB79" w14:textId="77777777" w:rsidR="00EB243D" w:rsidRPr="00154588" w:rsidRDefault="00EB243D" w:rsidP="008C12B4">
            <w:pPr>
              <w:jc w:val="both"/>
              <w:rPr>
                <w:sz w:val="20"/>
                <w:szCs w:val="20"/>
              </w:rPr>
            </w:pPr>
          </w:p>
        </w:tc>
      </w:tr>
      <w:tr w:rsidR="00EB243D" w:rsidRPr="00154588" w14:paraId="1FED83D9" w14:textId="77777777" w:rsidTr="00D15C1B">
        <w:trPr>
          <w:jc w:val="center"/>
        </w:trPr>
        <w:tc>
          <w:tcPr>
            <w:tcW w:w="4957" w:type="dxa"/>
            <w:gridSpan w:val="2"/>
          </w:tcPr>
          <w:p w14:paraId="28E13165" w14:textId="1F1B1687" w:rsidR="00EB243D" w:rsidRPr="00154588" w:rsidRDefault="00EB243D" w:rsidP="008C12B4">
            <w:pPr>
              <w:jc w:val="both"/>
              <w:rPr>
                <w:sz w:val="20"/>
                <w:szCs w:val="20"/>
              </w:rPr>
            </w:pPr>
            <w:r w:rsidRPr="00154588">
              <w:rPr>
                <w:sz w:val="20"/>
                <w:szCs w:val="20"/>
              </w:rPr>
              <w:t>(2)   La primirea unei notificări în conformitate cu alineatul (1), autoritatea de rezoluție la nivel de grup, după consultarea cu ceilalți membri ai colegiului de rezoluție relevant, evaluează impactul potențial al măsurilor de rezoluție ori al altor măsuri notificate în conformitate cu alineatul (1) litera (b) asupra grupului și asupra entităților din grup din alte state membre, precum și, în special, probabilitatea ca măsurile de rezoluție sau alte măsuri să ducă la îndeplinirea condițiilor de rezoluție în raport cu o entitate din grup dintr-un alt stat membru.</w:t>
            </w:r>
          </w:p>
        </w:tc>
        <w:tc>
          <w:tcPr>
            <w:tcW w:w="4819" w:type="dxa"/>
          </w:tcPr>
          <w:p w14:paraId="012DF07F" w14:textId="0B6FA9EF"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18</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La primirea unei notificări în conformitate cu prevederile art. 295</w:t>
            </w:r>
            <w:r w:rsidRPr="00154588">
              <w:rPr>
                <w:rFonts w:eastAsia="Calibri"/>
                <w:kern w:val="2"/>
                <w:sz w:val="20"/>
                <w:szCs w:val="20"/>
                <w:vertAlign w:val="superscript"/>
                <w14:ligatures w14:val="standardContextual"/>
              </w:rPr>
              <w:t>17</w:t>
            </w:r>
            <w:r w:rsidRPr="00154588">
              <w:rPr>
                <w:rFonts w:eastAsia="Calibri"/>
                <w:kern w:val="2"/>
                <w:sz w:val="20"/>
                <w:szCs w:val="20"/>
                <w14:ligatures w14:val="standardContextual"/>
              </w:rPr>
              <w:t>, Banca Națională a Moldovei, în calitate de autoritate de rezoluție la nivel de grup, după consultarea cu ceilalți membri ai colegiului de rezoluție relevant, evaluează impactul potențial al acțiunilor de rezoluție ori al altor măsuri notificate în conformitate cu prevederile art. 295</w:t>
            </w:r>
            <w:r w:rsidRPr="00154588">
              <w:rPr>
                <w:rFonts w:eastAsia="Calibri"/>
                <w:kern w:val="2"/>
                <w:sz w:val="20"/>
                <w:szCs w:val="20"/>
                <w:vertAlign w:val="superscript"/>
                <w14:ligatures w14:val="standardContextual"/>
              </w:rPr>
              <w:t>17</w:t>
            </w:r>
            <w:r w:rsidRPr="00154588">
              <w:rPr>
                <w:rFonts w:eastAsia="Calibri"/>
                <w:kern w:val="2"/>
                <w:sz w:val="20"/>
                <w:szCs w:val="20"/>
                <w14:ligatures w14:val="standardContextual"/>
              </w:rPr>
              <w:t xml:space="preserve"> lit. b) asupra grupului și asupra entităților din grup din alte state membre, precum și, în special, probabilitatea ca acțiunile de rezoluție sau alte măsuri să conducă la îndeplinirea condițiilor de rezoluție în raport cu o entitate din grup dintr-un alt stat membru al Uniunii Europene.</w:t>
            </w:r>
          </w:p>
        </w:tc>
        <w:tc>
          <w:tcPr>
            <w:tcW w:w="2552" w:type="dxa"/>
          </w:tcPr>
          <w:p w14:paraId="130213F6" w14:textId="5E55B415" w:rsidR="00EB243D" w:rsidRPr="00154588" w:rsidRDefault="00EB243D" w:rsidP="008C12B4">
            <w:pPr>
              <w:jc w:val="both"/>
              <w:rPr>
                <w:sz w:val="20"/>
                <w:szCs w:val="20"/>
              </w:rPr>
            </w:pPr>
            <w:r w:rsidRPr="00154588">
              <w:rPr>
                <w:sz w:val="20"/>
                <w:szCs w:val="20"/>
              </w:rPr>
              <w:t>Compatibil</w:t>
            </w:r>
          </w:p>
        </w:tc>
        <w:tc>
          <w:tcPr>
            <w:tcW w:w="3118" w:type="dxa"/>
          </w:tcPr>
          <w:p w14:paraId="51C47E70" w14:textId="77777777" w:rsidR="00EB243D" w:rsidRPr="00154588" w:rsidRDefault="00EB243D" w:rsidP="008C12B4">
            <w:pPr>
              <w:jc w:val="both"/>
              <w:rPr>
                <w:sz w:val="20"/>
                <w:szCs w:val="20"/>
              </w:rPr>
            </w:pPr>
          </w:p>
        </w:tc>
      </w:tr>
      <w:tr w:rsidR="00EB243D" w:rsidRPr="00154588" w14:paraId="053457B1" w14:textId="77777777" w:rsidTr="00D15C1B">
        <w:trPr>
          <w:jc w:val="center"/>
        </w:trPr>
        <w:tc>
          <w:tcPr>
            <w:tcW w:w="4957" w:type="dxa"/>
            <w:gridSpan w:val="2"/>
          </w:tcPr>
          <w:p w14:paraId="2DCFCA31" w14:textId="795305E8" w:rsidR="00EB243D" w:rsidRPr="00154588" w:rsidRDefault="00EB243D" w:rsidP="008C12B4">
            <w:pPr>
              <w:jc w:val="both"/>
              <w:rPr>
                <w:sz w:val="20"/>
                <w:szCs w:val="20"/>
              </w:rPr>
            </w:pPr>
            <w:r w:rsidRPr="00154588">
              <w:rPr>
                <w:sz w:val="20"/>
                <w:szCs w:val="20"/>
              </w:rPr>
              <w:t>(3)   Dacă, după consultarea celorlalți membri ai colegiului de rezoluție, autoritatea de rezoluție la nivel de grup estimează că măsurile de rezoluție sau alte măsuri notificate în conformitate cu alineatul (1) litera (b) nu ar spori probabilitatea îndeplinirii condițiilor prevăzute la articolul 32 sau la articolul 33 în raport cu o entitate din grup dintr-un alt stat membru, autoritatea de rezoluție responsabilă pentru instituția respectivă sau pentru entitatea menționată la articolul 1 alineatul (1) litera (b), (c) sau (d) poate aplica măsurile de rezoluție sau alte măsuri pe care le-a notificat în conformitate cu alineatul (1) litera (b) din prezentul articol.</w:t>
            </w:r>
          </w:p>
        </w:tc>
        <w:tc>
          <w:tcPr>
            <w:tcW w:w="4819" w:type="dxa"/>
          </w:tcPr>
          <w:p w14:paraId="05064367" w14:textId="7210CFE7"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19</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Dacă, după consultarea celorlalți membri ai colegiului de rezoluție, Banca Națională a Moldovei, în calitate de autoritate de rezoluție la nivel de grup, estimează că acțiunile de rezoluție sau alte măsuri notificate în conformitate cu prevederile art.295</w:t>
            </w:r>
            <w:r w:rsidRPr="00154588">
              <w:rPr>
                <w:rFonts w:eastAsia="Calibri"/>
                <w:kern w:val="2"/>
                <w:sz w:val="20"/>
                <w:szCs w:val="20"/>
                <w:vertAlign w:val="superscript"/>
                <w14:ligatures w14:val="standardContextual"/>
              </w:rPr>
              <w:t>17</w:t>
            </w:r>
            <w:r w:rsidRPr="00154588">
              <w:rPr>
                <w:rFonts w:eastAsia="Calibri"/>
                <w:kern w:val="2"/>
                <w:sz w:val="20"/>
                <w:szCs w:val="20"/>
                <w14:ligatures w14:val="standardContextual"/>
              </w:rPr>
              <w:t xml:space="preserve"> lit. b) nu ar spori probabilitatea îndeplinirii condițiilor prevăzute la art.58-60 sau la art.60</w:t>
            </w:r>
            <w:r w:rsidRPr="00154588">
              <w:rPr>
                <w:rFonts w:eastAsia="Calibri"/>
                <w:sz w:val="20"/>
                <w:szCs w:val="20"/>
              </w:rPr>
              <w:t xml:space="preserve"> alin.(4)</w:t>
            </w:r>
            <w:r w:rsidRPr="00154588">
              <w:rPr>
                <w:rFonts w:eastAsia="Calibri"/>
                <w:kern w:val="2"/>
                <w:sz w:val="20"/>
                <w:szCs w:val="20"/>
                <w14:ligatures w14:val="standardContextual"/>
              </w:rPr>
              <w:t xml:space="preserve">, în legătură cu o entitate din grup dintr-un alt stat membru al Uniunii Europene, aceasta comunică autorității de rezoluție responsabile pentru instituția respectivă sau pentru entitatea prevăzută la art.1 alin.(1) lit.b), c) sau d) poate întreprinde acțiunile de rezoluție sau alte </w:t>
            </w:r>
            <w:r w:rsidRPr="00154588">
              <w:rPr>
                <w:rFonts w:eastAsia="Calibri"/>
                <w:kern w:val="2"/>
                <w:sz w:val="20"/>
                <w:szCs w:val="20"/>
                <w14:ligatures w14:val="standardContextual"/>
              </w:rPr>
              <w:lastRenderedPageBreak/>
              <w:t>măsuri pe care le-a notificat în conformitate cu prevederile art.295</w:t>
            </w:r>
            <w:r w:rsidRPr="00154588">
              <w:rPr>
                <w:rFonts w:eastAsia="Calibri"/>
                <w:kern w:val="2"/>
                <w:sz w:val="20"/>
                <w:szCs w:val="20"/>
                <w:vertAlign w:val="superscript"/>
                <w14:ligatures w14:val="standardContextual"/>
              </w:rPr>
              <w:t>17</w:t>
            </w:r>
            <w:r w:rsidRPr="00154588">
              <w:rPr>
                <w:rFonts w:eastAsia="Calibri"/>
                <w:kern w:val="2"/>
                <w:sz w:val="20"/>
                <w:szCs w:val="20"/>
                <w14:ligatures w14:val="standardContextual"/>
              </w:rPr>
              <w:t xml:space="preserve"> lit.b).</w:t>
            </w:r>
          </w:p>
        </w:tc>
        <w:tc>
          <w:tcPr>
            <w:tcW w:w="2552" w:type="dxa"/>
          </w:tcPr>
          <w:p w14:paraId="31142982" w14:textId="716BFBAE" w:rsidR="00EB243D" w:rsidRPr="00154588" w:rsidRDefault="00EB243D" w:rsidP="008C12B4">
            <w:pPr>
              <w:jc w:val="both"/>
              <w:rPr>
                <w:sz w:val="20"/>
                <w:szCs w:val="20"/>
              </w:rPr>
            </w:pPr>
            <w:r w:rsidRPr="00154588">
              <w:rPr>
                <w:sz w:val="20"/>
                <w:szCs w:val="20"/>
              </w:rPr>
              <w:lastRenderedPageBreak/>
              <w:t>Compatibil</w:t>
            </w:r>
          </w:p>
        </w:tc>
        <w:tc>
          <w:tcPr>
            <w:tcW w:w="3118" w:type="dxa"/>
          </w:tcPr>
          <w:p w14:paraId="6D893C89" w14:textId="77777777" w:rsidR="00EB243D" w:rsidRPr="00154588" w:rsidRDefault="00EB243D" w:rsidP="008C12B4">
            <w:pPr>
              <w:jc w:val="both"/>
              <w:rPr>
                <w:sz w:val="20"/>
                <w:szCs w:val="20"/>
              </w:rPr>
            </w:pPr>
          </w:p>
        </w:tc>
      </w:tr>
      <w:tr w:rsidR="00EB243D" w:rsidRPr="00154588" w14:paraId="63D51A1B" w14:textId="77777777" w:rsidTr="00D15C1B">
        <w:trPr>
          <w:jc w:val="center"/>
        </w:trPr>
        <w:tc>
          <w:tcPr>
            <w:tcW w:w="4957" w:type="dxa"/>
            <w:gridSpan w:val="2"/>
          </w:tcPr>
          <w:p w14:paraId="2FAA71BE" w14:textId="6C5BF2D9" w:rsidR="00EB243D" w:rsidRPr="00154588" w:rsidRDefault="00EB243D" w:rsidP="008C12B4">
            <w:pPr>
              <w:jc w:val="both"/>
              <w:rPr>
                <w:sz w:val="20"/>
                <w:szCs w:val="20"/>
              </w:rPr>
            </w:pPr>
            <w:r w:rsidRPr="00154588">
              <w:rPr>
                <w:sz w:val="20"/>
                <w:szCs w:val="20"/>
              </w:rPr>
              <w:t>(4)   Dacă, după consultarea celorlalți membri ai colegiului de rezoluție, autoritatea de rezoluție la nivel de grup estimează că măsurile de rezoluție sau alte măsuri notificate în conformitate cu alineatul (1) litera (b) din prezentul articol ar spori probabilitatea îndeplinirii condițiilor prevăzute la articolul 32 sau la articolul 33 în raport cu o entitate din grup dintr-un alt stat membru, autoritatea de rezoluție a grupului propune o schemă de rezoluție a grupului și o prezintă colegiului de rezoluție în termen de maxim 24 de ore de la primirea notificării în conformitate cu alineatul (1). Perioada de 24 de ore poate fi extinsă cu acordul autorității de rezoluție care a trimis notificarea menționată la alineatul (1) din prezentul articol.</w:t>
            </w:r>
          </w:p>
        </w:tc>
        <w:tc>
          <w:tcPr>
            <w:tcW w:w="4819" w:type="dxa"/>
          </w:tcPr>
          <w:p w14:paraId="2AAB2955" w14:textId="3F6BF6CA" w:rsidR="00EB243D" w:rsidRPr="00154588" w:rsidRDefault="00EB243D" w:rsidP="008C12B4">
            <w:pPr>
              <w:ind w:firstLine="567"/>
              <w:jc w:val="both"/>
              <w:rPr>
                <w:rFonts w:eastAsia="Calibri"/>
                <w:sz w:val="20"/>
                <w:szCs w:val="20"/>
              </w:rPr>
            </w:pPr>
            <w:r w:rsidRPr="00154588">
              <w:rPr>
                <w:rFonts w:eastAsia="Calibri"/>
                <w:b/>
                <w:sz w:val="20"/>
                <w:szCs w:val="20"/>
              </w:rPr>
              <w:t>Articolul 295</w:t>
            </w:r>
            <w:r w:rsidRPr="00154588">
              <w:rPr>
                <w:rFonts w:eastAsia="Calibri"/>
                <w:b/>
                <w:sz w:val="20"/>
                <w:szCs w:val="20"/>
                <w:vertAlign w:val="superscript"/>
              </w:rPr>
              <w:t>20</w:t>
            </w:r>
            <w:r w:rsidRPr="00154588">
              <w:rPr>
                <w:rFonts w:eastAsia="Calibri"/>
                <w:b/>
                <w:sz w:val="20"/>
                <w:szCs w:val="20"/>
              </w:rPr>
              <w:t xml:space="preserve">. – </w:t>
            </w:r>
            <w:r w:rsidRPr="00154588">
              <w:rPr>
                <w:rFonts w:eastAsia="Calibri"/>
                <w:sz w:val="20"/>
                <w:szCs w:val="20"/>
              </w:rPr>
              <w:t>Dacă, după consultarea celorlalți membri ai colegiului de rezoluție, Banca Națională a Moldovei, în calitate de autoritate de rezoluție la nivel de grup, estimează că acțiunile de rezoluție sau alte măsuri notificate în conformitate cu prevederile art.295</w:t>
            </w:r>
            <w:r w:rsidRPr="00154588">
              <w:rPr>
                <w:rFonts w:eastAsia="Calibri"/>
                <w:sz w:val="20"/>
                <w:szCs w:val="20"/>
                <w:vertAlign w:val="superscript"/>
              </w:rPr>
              <w:t>17</w:t>
            </w:r>
            <w:r w:rsidRPr="00154588">
              <w:rPr>
                <w:rFonts w:eastAsia="Calibri"/>
                <w:sz w:val="20"/>
                <w:szCs w:val="20"/>
              </w:rPr>
              <w:t xml:space="preserve"> lit.b) ar spori probabilitatea îndeplinirii condițiilor prevăzute la art.58-60 sau la art.60 alin.(4), în legătură cu o entitate din grup dintr-un alt stat membru al Uniunii Europene, aceasta propune o schemă de rezoluție a grupului și o prezintă colegiului de rezoluție în termen de maximum 24 de ore de la primirea notificării în conformitate cu prevederile art.295</w:t>
            </w:r>
            <w:r w:rsidRPr="00154588">
              <w:rPr>
                <w:rFonts w:eastAsia="Calibri"/>
                <w:sz w:val="20"/>
                <w:szCs w:val="20"/>
                <w:vertAlign w:val="superscript"/>
              </w:rPr>
              <w:t>17</w:t>
            </w:r>
            <w:r w:rsidRPr="00154588">
              <w:rPr>
                <w:rFonts w:eastAsia="Calibri"/>
                <w:sz w:val="20"/>
                <w:szCs w:val="20"/>
              </w:rPr>
              <w:t>. Perioada de 24 de ore poate fi extinsă cu acordul autorității de rezoluție care a trimis notificarea prevăzută la art.295</w:t>
            </w:r>
            <w:r w:rsidRPr="00154588">
              <w:rPr>
                <w:rFonts w:eastAsia="Calibri"/>
                <w:sz w:val="20"/>
                <w:szCs w:val="20"/>
                <w:vertAlign w:val="superscript"/>
              </w:rPr>
              <w:t>17</w:t>
            </w:r>
            <w:r w:rsidRPr="00154588">
              <w:rPr>
                <w:rFonts w:eastAsia="Calibri"/>
                <w:sz w:val="20"/>
                <w:szCs w:val="20"/>
              </w:rPr>
              <w:t>.</w:t>
            </w:r>
          </w:p>
        </w:tc>
        <w:tc>
          <w:tcPr>
            <w:tcW w:w="2552" w:type="dxa"/>
          </w:tcPr>
          <w:p w14:paraId="31EA8FD7" w14:textId="56A3409D" w:rsidR="00EB243D" w:rsidRPr="00154588" w:rsidRDefault="00EB243D" w:rsidP="008C12B4">
            <w:pPr>
              <w:jc w:val="both"/>
              <w:rPr>
                <w:sz w:val="20"/>
                <w:szCs w:val="20"/>
              </w:rPr>
            </w:pPr>
            <w:r w:rsidRPr="00154588">
              <w:rPr>
                <w:sz w:val="20"/>
                <w:szCs w:val="20"/>
              </w:rPr>
              <w:t>Compatibil</w:t>
            </w:r>
          </w:p>
        </w:tc>
        <w:tc>
          <w:tcPr>
            <w:tcW w:w="3118" w:type="dxa"/>
          </w:tcPr>
          <w:p w14:paraId="0E9CF24A" w14:textId="77777777" w:rsidR="00EB243D" w:rsidRPr="00154588" w:rsidRDefault="00EB243D" w:rsidP="008C12B4">
            <w:pPr>
              <w:jc w:val="both"/>
              <w:rPr>
                <w:sz w:val="20"/>
                <w:szCs w:val="20"/>
              </w:rPr>
            </w:pPr>
          </w:p>
        </w:tc>
      </w:tr>
      <w:tr w:rsidR="00EB243D" w:rsidRPr="00154588" w14:paraId="6920AF42" w14:textId="77777777" w:rsidTr="00D15C1B">
        <w:trPr>
          <w:jc w:val="center"/>
        </w:trPr>
        <w:tc>
          <w:tcPr>
            <w:tcW w:w="4957" w:type="dxa"/>
            <w:gridSpan w:val="2"/>
          </w:tcPr>
          <w:p w14:paraId="640ECDA6" w14:textId="7EB0848F" w:rsidR="00EB243D" w:rsidRPr="00154588" w:rsidRDefault="00EB243D" w:rsidP="008C12B4">
            <w:pPr>
              <w:jc w:val="both"/>
              <w:rPr>
                <w:sz w:val="20"/>
                <w:szCs w:val="20"/>
              </w:rPr>
            </w:pPr>
            <w:r w:rsidRPr="00154588">
              <w:rPr>
                <w:sz w:val="20"/>
                <w:szCs w:val="20"/>
              </w:rPr>
              <w:t>(5)   În absența unei evaluări din partea autorității de rezoluție la nivel de grup în termen de 24 de ore sau o perioadă mai lungă de timp care a fost convenită, după primirea notificării în conformitate cu alineatul (1), autoritatea de rezoluție care a trimis notificarea menționată la alineatul (1) poate lua măsuri de rezoluție sau alte măsuri pe care le-a notificat în conformitate cu litera (b) de la acest alineat.</w:t>
            </w:r>
          </w:p>
        </w:tc>
        <w:tc>
          <w:tcPr>
            <w:tcW w:w="4819" w:type="dxa"/>
          </w:tcPr>
          <w:p w14:paraId="0576F4C9" w14:textId="0F8E50C0"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21</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În absența unei evaluări din partea Băncii Naționale a Moldovei în calitate de autoritate de  rezoluție la nivel de grup în termen de 24 de ore sau o perioadă mai lungă de timp care a fost convenită, după primirea notificării în conformitate cu art. 295</w:t>
            </w:r>
            <w:r w:rsidRPr="00154588">
              <w:rPr>
                <w:rFonts w:eastAsia="Calibri"/>
                <w:kern w:val="2"/>
                <w:sz w:val="20"/>
                <w:szCs w:val="20"/>
                <w:vertAlign w:val="superscript"/>
                <w14:ligatures w14:val="standardContextual"/>
              </w:rPr>
              <w:t>17</w:t>
            </w:r>
            <w:r w:rsidRPr="00154588">
              <w:rPr>
                <w:rFonts w:eastAsia="Calibri"/>
                <w:kern w:val="2"/>
                <w:sz w:val="20"/>
                <w:szCs w:val="20"/>
                <w14:ligatures w14:val="standardContextual"/>
              </w:rPr>
              <w:t>, autoritatea de rezoluție care a trimis notificarea respectivă poate întreprinde acțiuni de rezoluție sau alte măsuri pe care le-a notificat în conformitate cu prevederile art. 295</w:t>
            </w:r>
            <w:r w:rsidRPr="00154588">
              <w:rPr>
                <w:rFonts w:eastAsia="Calibri"/>
                <w:kern w:val="2"/>
                <w:sz w:val="20"/>
                <w:szCs w:val="20"/>
                <w:vertAlign w:val="superscript"/>
                <w14:ligatures w14:val="standardContextual"/>
              </w:rPr>
              <w:t>17</w:t>
            </w:r>
            <w:r w:rsidRPr="00154588">
              <w:rPr>
                <w:rFonts w:eastAsia="Calibri"/>
                <w:kern w:val="2"/>
                <w:sz w:val="20"/>
                <w:szCs w:val="20"/>
                <w14:ligatures w14:val="standardContextual"/>
              </w:rPr>
              <w:t xml:space="preserve"> litera b).</w:t>
            </w:r>
          </w:p>
        </w:tc>
        <w:tc>
          <w:tcPr>
            <w:tcW w:w="2552" w:type="dxa"/>
          </w:tcPr>
          <w:p w14:paraId="7B80CD88" w14:textId="4FF2B15C" w:rsidR="00EB243D" w:rsidRPr="00154588" w:rsidRDefault="00EB243D" w:rsidP="008C12B4">
            <w:pPr>
              <w:jc w:val="both"/>
              <w:rPr>
                <w:sz w:val="20"/>
                <w:szCs w:val="20"/>
              </w:rPr>
            </w:pPr>
            <w:r w:rsidRPr="00154588">
              <w:rPr>
                <w:sz w:val="20"/>
                <w:szCs w:val="20"/>
              </w:rPr>
              <w:t>Compatibil</w:t>
            </w:r>
          </w:p>
        </w:tc>
        <w:tc>
          <w:tcPr>
            <w:tcW w:w="3118" w:type="dxa"/>
          </w:tcPr>
          <w:p w14:paraId="1759DBF6" w14:textId="77777777" w:rsidR="00EB243D" w:rsidRPr="00154588" w:rsidRDefault="00EB243D" w:rsidP="008C12B4">
            <w:pPr>
              <w:jc w:val="both"/>
              <w:rPr>
                <w:sz w:val="20"/>
                <w:szCs w:val="20"/>
              </w:rPr>
            </w:pPr>
          </w:p>
        </w:tc>
      </w:tr>
      <w:tr w:rsidR="00EB243D" w:rsidRPr="00154588" w14:paraId="07BA5B7C" w14:textId="77777777" w:rsidTr="00D15C1B">
        <w:trPr>
          <w:jc w:val="center"/>
        </w:trPr>
        <w:tc>
          <w:tcPr>
            <w:tcW w:w="4957" w:type="dxa"/>
            <w:gridSpan w:val="2"/>
          </w:tcPr>
          <w:p w14:paraId="48396390" w14:textId="77777777" w:rsidR="00EB243D" w:rsidRPr="00154588" w:rsidRDefault="00EB243D" w:rsidP="008C12B4">
            <w:pPr>
              <w:jc w:val="both"/>
              <w:rPr>
                <w:sz w:val="20"/>
                <w:szCs w:val="20"/>
              </w:rPr>
            </w:pPr>
            <w:r w:rsidRPr="00154588">
              <w:rPr>
                <w:sz w:val="20"/>
                <w:szCs w:val="20"/>
              </w:rPr>
              <w:t>(6)   Schema de rezoluție a grupului menționată la alineatul (4) trebuie:</w:t>
            </w:r>
          </w:p>
          <w:p w14:paraId="162DE260" w14:textId="77777777" w:rsidR="00EB243D" w:rsidRPr="00154588" w:rsidRDefault="00EB243D" w:rsidP="008C12B4">
            <w:pPr>
              <w:jc w:val="both"/>
              <w:rPr>
                <w:sz w:val="20"/>
                <w:szCs w:val="20"/>
              </w:rPr>
            </w:pPr>
          </w:p>
          <w:p w14:paraId="00CF74B6" w14:textId="7DB7FB3A" w:rsidR="00EB243D" w:rsidRPr="00154588" w:rsidRDefault="00EB243D" w:rsidP="008C12B4">
            <w:pPr>
              <w:jc w:val="both"/>
              <w:rPr>
                <w:sz w:val="20"/>
                <w:szCs w:val="20"/>
              </w:rPr>
            </w:pPr>
            <w:r w:rsidRPr="00154588">
              <w:rPr>
                <w:sz w:val="20"/>
                <w:szCs w:val="20"/>
              </w:rPr>
              <w:t>(a) să țină seama și să urmeze planurile de rezoluție menționate la articolul 13, cu excepția cazului în care autoritățile de rezoluție consideră, având în vedere circumstanțele cazului, că obiectivele rezoluției vor fi obținute mai eficace prin adoptarea de măsuri care nu sunt prevăzute în planurile de rezoluție;</w:t>
            </w:r>
          </w:p>
          <w:p w14:paraId="31BD095D" w14:textId="77777777" w:rsidR="00EB243D" w:rsidRPr="00154588" w:rsidRDefault="00EB243D" w:rsidP="008C12B4">
            <w:pPr>
              <w:jc w:val="both"/>
              <w:rPr>
                <w:sz w:val="20"/>
                <w:szCs w:val="20"/>
              </w:rPr>
            </w:pPr>
          </w:p>
          <w:p w14:paraId="404E5E3E" w14:textId="65A32C88" w:rsidR="00EB243D" w:rsidRPr="00154588" w:rsidRDefault="00EB243D" w:rsidP="008C12B4">
            <w:pPr>
              <w:jc w:val="both"/>
              <w:rPr>
                <w:sz w:val="20"/>
                <w:szCs w:val="20"/>
              </w:rPr>
            </w:pPr>
            <w:r w:rsidRPr="00154588">
              <w:rPr>
                <w:sz w:val="20"/>
                <w:szCs w:val="20"/>
              </w:rPr>
              <w:t>(b) să descrie măsurile de rezoluție care ar trebui întreprinse de autoritățile de rezoluție relevante în legătură cu întreprinderea-mamă din Uniune sau cu anumite entități din grup în scopul de a îndeplini obiectivele rezoluției și principiile prevăzute la articolele 31 și 34;</w:t>
            </w:r>
          </w:p>
          <w:p w14:paraId="19823503" w14:textId="77777777" w:rsidR="00EB243D" w:rsidRPr="00154588" w:rsidRDefault="00EB243D" w:rsidP="008C12B4">
            <w:pPr>
              <w:jc w:val="both"/>
              <w:rPr>
                <w:sz w:val="20"/>
                <w:szCs w:val="20"/>
              </w:rPr>
            </w:pPr>
          </w:p>
          <w:p w14:paraId="1606B60F" w14:textId="299F76F4" w:rsidR="00EB243D" w:rsidRPr="00154588" w:rsidRDefault="00EB243D" w:rsidP="008C12B4">
            <w:pPr>
              <w:jc w:val="both"/>
              <w:rPr>
                <w:sz w:val="20"/>
                <w:szCs w:val="20"/>
              </w:rPr>
            </w:pPr>
            <w:r w:rsidRPr="00154588">
              <w:rPr>
                <w:sz w:val="20"/>
                <w:szCs w:val="20"/>
              </w:rPr>
              <w:lastRenderedPageBreak/>
              <w:t>(c) să precizeze modul în care trebuie coordonate aceste măsuri de rezoluție;</w:t>
            </w:r>
          </w:p>
          <w:p w14:paraId="1A830DA1" w14:textId="77777777" w:rsidR="00EB243D" w:rsidRPr="00154588" w:rsidRDefault="00EB243D" w:rsidP="008C12B4">
            <w:pPr>
              <w:jc w:val="both"/>
              <w:rPr>
                <w:sz w:val="20"/>
                <w:szCs w:val="20"/>
              </w:rPr>
            </w:pPr>
          </w:p>
          <w:p w14:paraId="71181767" w14:textId="3E2EEF4F" w:rsidR="00EB243D" w:rsidRPr="00154588" w:rsidRDefault="00EB243D" w:rsidP="008C12B4">
            <w:pPr>
              <w:jc w:val="both"/>
              <w:rPr>
                <w:sz w:val="20"/>
                <w:szCs w:val="20"/>
              </w:rPr>
            </w:pPr>
            <w:r w:rsidRPr="00154588">
              <w:rPr>
                <w:sz w:val="20"/>
                <w:szCs w:val="20"/>
              </w:rPr>
              <w:t>(d) să stabilească un plan de finanțarecare să țină cont de planul de rezoluție a grupului, de principiile de partajare a responsabilității stabilite în conformitate cu articolul 12 alineatul (3) litera (f) și de mutualizare astfel cum este menționat la articolul 107.</w:t>
            </w:r>
          </w:p>
        </w:tc>
        <w:tc>
          <w:tcPr>
            <w:tcW w:w="4819" w:type="dxa"/>
          </w:tcPr>
          <w:p w14:paraId="2FC84221"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lastRenderedPageBreak/>
              <w:t>Articolul 295</w:t>
            </w:r>
            <w:r w:rsidRPr="00154588">
              <w:rPr>
                <w:rFonts w:eastAsia="Calibri"/>
                <w:b/>
                <w:kern w:val="2"/>
                <w:sz w:val="20"/>
                <w:szCs w:val="20"/>
                <w:vertAlign w:val="superscript"/>
                <w14:ligatures w14:val="standardContextual"/>
              </w:rPr>
              <w:t>22</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Schema de rezoluție a grupului prevăzută la art.295</w:t>
            </w:r>
            <w:r w:rsidRPr="00154588">
              <w:rPr>
                <w:rFonts w:eastAsia="Calibri"/>
                <w:kern w:val="2"/>
                <w:sz w:val="20"/>
                <w:szCs w:val="20"/>
                <w:vertAlign w:val="superscript"/>
                <w14:ligatures w14:val="standardContextual"/>
              </w:rPr>
              <w:t>20</w:t>
            </w:r>
            <w:r w:rsidRPr="00154588">
              <w:rPr>
                <w:rFonts w:eastAsia="Calibri"/>
                <w:kern w:val="2"/>
                <w:sz w:val="20"/>
                <w:szCs w:val="20"/>
                <w14:ligatures w14:val="standardContextual"/>
              </w:rPr>
              <w:t> trebuie:</w:t>
            </w:r>
          </w:p>
          <w:p w14:paraId="309DB3D9"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a) să țină seama și să urmeze planurile de rezoluție prevăzute la art.31</w:t>
            </w:r>
            <w:r w:rsidRPr="00154588">
              <w:rPr>
                <w:rFonts w:eastAsia="Calibri"/>
                <w:kern w:val="2"/>
                <w:sz w:val="20"/>
                <w:szCs w:val="20"/>
                <w:vertAlign w:val="superscript"/>
                <w14:ligatures w14:val="standardContextual"/>
              </w:rPr>
              <w:t>6</w:t>
            </w:r>
            <w:r w:rsidRPr="00154588">
              <w:rPr>
                <w:rFonts w:eastAsia="Calibri"/>
                <w:kern w:val="2"/>
                <w:sz w:val="20"/>
                <w:szCs w:val="20"/>
                <w14:ligatures w14:val="standardContextual"/>
              </w:rPr>
              <w:t>-31</w:t>
            </w:r>
            <w:r w:rsidRPr="00154588">
              <w:rPr>
                <w:rFonts w:eastAsia="Calibri"/>
                <w:kern w:val="2"/>
                <w:sz w:val="20"/>
                <w:szCs w:val="20"/>
                <w:vertAlign w:val="superscript"/>
                <w14:ligatures w14:val="standardContextual"/>
              </w:rPr>
              <w:t>13</w:t>
            </w:r>
            <w:r w:rsidRPr="00154588">
              <w:rPr>
                <w:rFonts w:eastAsia="Calibri"/>
                <w:kern w:val="2"/>
                <w:sz w:val="20"/>
                <w:szCs w:val="20"/>
                <w14:ligatures w14:val="standardContextual"/>
              </w:rPr>
              <w:t>, cu excepția cazului în care autoritățile de rezoluție, printre care și Banca Națională a Moldovei, în calitate de autoritate de rezoluție la nivel de grup, consideră, având în vedere circumstanțele cazului, că obiectivele rezoluției vor fi obținute mai eficace prin întreprinderea de acțiuni care nu sunt prevăzute în planurile de rezoluție;</w:t>
            </w:r>
          </w:p>
          <w:p w14:paraId="2D0946BA"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b) să descrie acțiunile de rezoluție care ar trebui întreprinse de autoritățile de rezoluție relevante în legătură cu întreprinderea-mamă din Uniunea Europeană sau cu anumite entități din grup în scopul de a îndeplini obiectivele rezoluției și principiile prevăzute la art.55-57 și art.61-65;</w:t>
            </w:r>
          </w:p>
          <w:p w14:paraId="57EB1E91"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lastRenderedPageBreak/>
              <w:t>c) să precizeze modul în care trebuie coordonate aceste acțiuni de rezoluție;</w:t>
            </w:r>
          </w:p>
          <w:p w14:paraId="72008813"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d) să stabilească un plan de finanțare care să țină cont de planul de rezoluție a grupului, de principiile de partajare a responsabilității stabilite în conformitate cu prevederile art.31</w:t>
            </w:r>
            <w:r w:rsidRPr="00154588">
              <w:rPr>
                <w:rFonts w:eastAsia="Calibri"/>
                <w:kern w:val="2"/>
                <w:sz w:val="20"/>
                <w:szCs w:val="20"/>
                <w:vertAlign w:val="superscript"/>
                <w14:ligatures w14:val="standardContextual"/>
              </w:rPr>
              <w:t>3</w:t>
            </w:r>
            <w:r w:rsidRPr="00154588">
              <w:rPr>
                <w:rFonts w:eastAsia="Calibri"/>
                <w:kern w:val="2"/>
                <w:sz w:val="20"/>
                <w:szCs w:val="20"/>
                <w14:ligatures w14:val="standardContextual"/>
              </w:rPr>
              <w:t xml:space="preserve"> alin.(1) lit.f) și de mutualizare astfel cum este prevăzut la art.313</w:t>
            </w:r>
            <w:r w:rsidRPr="00154588">
              <w:rPr>
                <w:rFonts w:eastAsia="Calibri"/>
                <w:kern w:val="2"/>
                <w:sz w:val="20"/>
                <w:szCs w:val="20"/>
                <w:vertAlign w:val="superscript"/>
                <w14:ligatures w14:val="standardContextual"/>
              </w:rPr>
              <w:t>3</w:t>
            </w:r>
            <w:r w:rsidRPr="00154588">
              <w:rPr>
                <w:rFonts w:eastAsia="Calibri"/>
                <w:kern w:val="2"/>
                <w:sz w:val="20"/>
                <w:szCs w:val="20"/>
                <w14:ligatures w14:val="standardContextual"/>
              </w:rPr>
              <w:t>.</w:t>
            </w:r>
          </w:p>
          <w:p w14:paraId="6BBDFD29" w14:textId="77777777" w:rsidR="00EB243D" w:rsidRPr="00154588" w:rsidRDefault="00EB243D" w:rsidP="008C12B4">
            <w:pPr>
              <w:jc w:val="both"/>
              <w:rPr>
                <w:sz w:val="20"/>
                <w:szCs w:val="20"/>
              </w:rPr>
            </w:pPr>
          </w:p>
        </w:tc>
        <w:tc>
          <w:tcPr>
            <w:tcW w:w="2552" w:type="dxa"/>
          </w:tcPr>
          <w:p w14:paraId="6507E2F7" w14:textId="2C8AE699" w:rsidR="00EB243D" w:rsidRPr="00154588" w:rsidRDefault="00EB243D" w:rsidP="008C12B4">
            <w:pPr>
              <w:jc w:val="both"/>
              <w:rPr>
                <w:sz w:val="20"/>
                <w:szCs w:val="20"/>
              </w:rPr>
            </w:pPr>
            <w:r w:rsidRPr="00154588">
              <w:rPr>
                <w:sz w:val="20"/>
                <w:szCs w:val="20"/>
              </w:rPr>
              <w:lastRenderedPageBreak/>
              <w:t>Compatibil</w:t>
            </w:r>
          </w:p>
        </w:tc>
        <w:tc>
          <w:tcPr>
            <w:tcW w:w="3118" w:type="dxa"/>
          </w:tcPr>
          <w:p w14:paraId="7A9B110B" w14:textId="77777777" w:rsidR="00EB243D" w:rsidRPr="00154588" w:rsidRDefault="00EB243D" w:rsidP="008C12B4">
            <w:pPr>
              <w:jc w:val="both"/>
              <w:rPr>
                <w:sz w:val="20"/>
                <w:szCs w:val="20"/>
              </w:rPr>
            </w:pPr>
          </w:p>
        </w:tc>
      </w:tr>
      <w:tr w:rsidR="00EB243D" w:rsidRPr="00154588" w14:paraId="3D44E896" w14:textId="77777777" w:rsidTr="00D15C1B">
        <w:trPr>
          <w:jc w:val="center"/>
        </w:trPr>
        <w:tc>
          <w:tcPr>
            <w:tcW w:w="4957" w:type="dxa"/>
            <w:gridSpan w:val="2"/>
          </w:tcPr>
          <w:p w14:paraId="7D7F9876" w14:textId="77777777" w:rsidR="00EB243D" w:rsidRPr="00154588" w:rsidRDefault="00EB243D" w:rsidP="008C12B4">
            <w:pPr>
              <w:jc w:val="both"/>
              <w:rPr>
                <w:sz w:val="20"/>
                <w:szCs w:val="20"/>
              </w:rPr>
            </w:pPr>
            <w:r w:rsidRPr="00154588">
              <w:rPr>
                <w:sz w:val="20"/>
                <w:szCs w:val="20"/>
              </w:rPr>
              <w:t>(7)   Sub rezerva alineatului (8), schema de rezoluție a grupului ia forma unei decizii comune a autorității de rezoluție la nivel de grup și a autorităților de rezoluție responsabile de filialele care fac obiectul acestei scheme.</w:t>
            </w:r>
          </w:p>
          <w:p w14:paraId="77B462B8" w14:textId="77777777" w:rsidR="00EB243D" w:rsidRPr="00154588" w:rsidRDefault="00EB243D" w:rsidP="008C12B4">
            <w:pPr>
              <w:jc w:val="both"/>
              <w:rPr>
                <w:sz w:val="20"/>
                <w:szCs w:val="20"/>
              </w:rPr>
            </w:pPr>
          </w:p>
          <w:p w14:paraId="5CCE6D67" w14:textId="10248FEA" w:rsidR="00EB243D" w:rsidRPr="00154588" w:rsidRDefault="00EB243D" w:rsidP="008C12B4">
            <w:pPr>
              <w:jc w:val="both"/>
              <w:rPr>
                <w:sz w:val="20"/>
                <w:szCs w:val="20"/>
              </w:rPr>
            </w:pPr>
            <w:r w:rsidRPr="00154588">
              <w:rPr>
                <w:sz w:val="20"/>
                <w:szCs w:val="20"/>
              </w:rPr>
              <w:t>ABE poate, la cererea unei autorități de rezoluție, să ajute autoritățile de rezoluție, să ajungă la o decizie comună în conformitate cu articolul 31 alineatul (2) litera (c) din Regulamentul (UE) nr. 1093/2010.</w:t>
            </w:r>
          </w:p>
        </w:tc>
        <w:tc>
          <w:tcPr>
            <w:tcW w:w="4819" w:type="dxa"/>
          </w:tcPr>
          <w:p w14:paraId="63049A3B" w14:textId="77777777" w:rsidR="00EB243D" w:rsidRPr="00154588" w:rsidRDefault="00EB243D" w:rsidP="008C12B4">
            <w:pPr>
              <w:ind w:firstLine="567"/>
              <w:jc w:val="both"/>
              <w:rPr>
                <w:rFonts w:eastAsia="Calibri"/>
                <w:sz w:val="20"/>
                <w:szCs w:val="20"/>
              </w:rPr>
            </w:pPr>
            <w:r w:rsidRPr="00154588">
              <w:rPr>
                <w:rFonts w:eastAsia="Calibri"/>
                <w:b/>
                <w:sz w:val="20"/>
                <w:szCs w:val="20"/>
              </w:rPr>
              <w:t>Articolul 295</w:t>
            </w:r>
            <w:r w:rsidRPr="00154588">
              <w:rPr>
                <w:rFonts w:eastAsia="Calibri"/>
                <w:b/>
                <w:sz w:val="20"/>
                <w:szCs w:val="20"/>
                <w:vertAlign w:val="superscript"/>
              </w:rPr>
              <w:t>23</w:t>
            </w:r>
            <w:r w:rsidRPr="00154588">
              <w:rPr>
                <w:rFonts w:eastAsia="Calibri"/>
                <w:b/>
                <w:sz w:val="20"/>
                <w:szCs w:val="20"/>
              </w:rPr>
              <w:t xml:space="preserve">. – </w:t>
            </w:r>
            <w:r w:rsidRPr="00154588">
              <w:rPr>
                <w:rFonts w:eastAsia="Calibri"/>
                <w:sz w:val="20"/>
                <w:szCs w:val="20"/>
              </w:rPr>
              <w:t>(1) În conformitate cu prevederile art.295</w:t>
            </w:r>
            <w:r w:rsidRPr="00154588">
              <w:rPr>
                <w:rFonts w:eastAsia="Calibri"/>
                <w:sz w:val="20"/>
                <w:szCs w:val="20"/>
                <w:vertAlign w:val="superscript"/>
              </w:rPr>
              <w:t>24</w:t>
            </w:r>
            <w:r w:rsidRPr="00154588">
              <w:rPr>
                <w:rFonts w:eastAsia="Calibri"/>
                <w:sz w:val="20"/>
                <w:szCs w:val="20"/>
              </w:rPr>
              <w:t>, schema de rezoluție a grupului ia forma unei decizii comune a Băncii Naționale a Moldovei, în calitate de autoritate de rezoluție la nivel de grup, și a autorităților de rezoluție responsabile de filialele care fac obiectul acestei scheme.</w:t>
            </w:r>
          </w:p>
          <w:p w14:paraId="3FF361D0" w14:textId="75CE67C4" w:rsidR="00EB243D" w:rsidRPr="00154588" w:rsidRDefault="00EB243D" w:rsidP="008C12B4">
            <w:pPr>
              <w:jc w:val="both"/>
              <w:rPr>
                <w:sz w:val="20"/>
                <w:szCs w:val="20"/>
              </w:rPr>
            </w:pPr>
            <w:r w:rsidRPr="00154588">
              <w:rPr>
                <w:rFonts w:eastAsia="Calibri"/>
                <w:sz w:val="20"/>
                <w:szCs w:val="20"/>
              </w:rPr>
              <w:t>(2) Banca Națională a Moldovei, în calitate de autoritate de rezoluție la nivel de grup, poate solicita Autorității Bancare Europene să acorde asistență autorităților de rezoluție implicate, pentru obținerea unei decizii comune în conformitate cu prevederile art.31 alin.(2) lit.c) din Regulamentul (UE) nr.1093/2010</w:t>
            </w:r>
          </w:p>
        </w:tc>
        <w:tc>
          <w:tcPr>
            <w:tcW w:w="2552" w:type="dxa"/>
          </w:tcPr>
          <w:p w14:paraId="43A69C75" w14:textId="67BD3CB1" w:rsidR="00EB243D" w:rsidRPr="00154588" w:rsidRDefault="00EB243D" w:rsidP="008C12B4">
            <w:pPr>
              <w:jc w:val="both"/>
              <w:rPr>
                <w:sz w:val="20"/>
                <w:szCs w:val="20"/>
              </w:rPr>
            </w:pPr>
            <w:r w:rsidRPr="00154588">
              <w:rPr>
                <w:sz w:val="20"/>
                <w:szCs w:val="20"/>
              </w:rPr>
              <w:t>Compatibil</w:t>
            </w:r>
          </w:p>
        </w:tc>
        <w:tc>
          <w:tcPr>
            <w:tcW w:w="3118" w:type="dxa"/>
          </w:tcPr>
          <w:p w14:paraId="69CD02F4" w14:textId="77777777" w:rsidR="00EB243D" w:rsidRPr="00154588" w:rsidRDefault="00EB243D" w:rsidP="008C12B4">
            <w:pPr>
              <w:jc w:val="both"/>
              <w:rPr>
                <w:sz w:val="20"/>
                <w:szCs w:val="20"/>
              </w:rPr>
            </w:pPr>
          </w:p>
        </w:tc>
      </w:tr>
      <w:tr w:rsidR="00EB243D" w:rsidRPr="00154588" w14:paraId="3CBEC374" w14:textId="77777777" w:rsidTr="00D15C1B">
        <w:trPr>
          <w:jc w:val="center"/>
        </w:trPr>
        <w:tc>
          <w:tcPr>
            <w:tcW w:w="4957" w:type="dxa"/>
            <w:gridSpan w:val="2"/>
          </w:tcPr>
          <w:p w14:paraId="5DC72966" w14:textId="3448E6BF" w:rsidR="00EB243D" w:rsidRPr="00154588" w:rsidRDefault="00EB243D" w:rsidP="008C12B4">
            <w:pPr>
              <w:jc w:val="both"/>
              <w:rPr>
                <w:sz w:val="20"/>
                <w:szCs w:val="20"/>
              </w:rPr>
            </w:pPr>
            <w:r w:rsidRPr="00154588">
              <w:rPr>
                <w:sz w:val="20"/>
                <w:szCs w:val="20"/>
              </w:rPr>
              <w:t>(8)   În cazul în care oricare dintre autoritățile de rezoluție nu este de acord cu schema de rezoluție a grupului propusă de autoritatea de rezoluție la nivel de grup sau se abate de la aceasta sau consideră că, din motive de stabilitate financiară, trebuie să ia măsuri de rezoluție independente sau alte măsuri decât cele propuse în schemă în raport cu o instituție sau cu o entitate menționată la articolul 1 alineatul (1) litera (b), (c) sau (d), ea prezintă în detaliu motivele dezacordului sau motivele abaterii de la schema de rezoluție, le notifică autorității de rezoluție a grupului și celorlalte autorități de rezoluție care fac obiectul schemei de rezoluție la nivel de grup și informează aceste autorități cu privire la acțiunile sau măsurile pe care le va lua. Atunci când prezintă motivele dezacordului său, autoritatea de rezoluție respectivă ține seama de planurile de rezoluție menționate la articolul 13, de impactul potențial asupra stabilității financiare din statele membre în cauză, precum și de efectul potențial al acțiunilor sau măsurilor asupra altor părți ale grupului.</w:t>
            </w:r>
          </w:p>
        </w:tc>
        <w:tc>
          <w:tcPr>
            <w:tcW w:w="4819" w:type="dxa"/>
          </w:tcPr>
          <w:p w14:paraId="6D85AB6A"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24</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(1) În cazul în care oricare dintre autorități de rezoluție nu este de acord cu schema de rezoluție a grupului propusă de Banca Națională a Moldovei, în calitate de autoritate de rezoluție la nivel de grup, sau se abate de la aceasta sau consideră că, din motive de stabilitate financiară, trebuie să întreprindă acțiuni de rezoluție independente sau alte măsuri decât cele propuse în schemă în legătură cu o instituție sau cu o entitate prevăzută la art.1 alin.(1) lit.b), c) sau d), autoritatea de rezoluție în cauză, prezintă în detaliu motivele dezacordului sau motivele abaterii de la schema de rezoluție, le notifică Băncii Naționale a Moldovei, în calitate de autoritate de rezoluție la nivel de grup, și celorlalte autorități de rezoluție care fac obiectul schemei de rezoluție la nivel de grup și informează aceste autorități cu privire la acțiunile sau măsurile pe care le va lua.</w:t>
            </w:r>
          </w:p>
          <w:p w14:paraId="3C0DEBD5"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(2) Atunci când prezintă motivele dezacordului său, autoritatea de rezoluție respectivă ține seama de planurile de rezoluție menționate la art.31</w:t>
            </w:r>
            <w:r w:rsidRPr="00154588">
              <w:rPr>
                <w:rFonts w:eastAsia="Calibri"/>
                <w:kern w:val="2"/>
                <w:sz w:val="20"/>
                <w:szCs w:val="20"/>
                <w:vertAlign w:val="superscript"/>
                <w14:ligatures w14:val="standardContextual"/>
              </w:rPr>
              <w:t>6</w:t>
            </w:r>
            <w:r w:rsidRPr="00154588">
              <w:rPr>
                <w:rFonts w:eastAsia="Calibri"/>
                <w:kern w:val="2"/>
                <w:sz w:val="20"/>
                <w:szCs w:val="20"/>
                <w14:ligatures w14:val="standardContextual"/>
              </w:rPr>
              <w:t>-31</w:t>
            </w:r>
            <w:r w:rsidRPr="00154588">
              <w:rPr>
                <w:rFonts w:eastAsia="Calibri"/>
                <w:kern w:val="2"/>
                <w:sz w:val="20"/>
                <w:szCs w:val="20"/>
                <w:vertAlign w:val="superscript"/>
                <w14:ligatures w14:val="standardContextual"/>
              </w:rPr>
              <w:t>13</w:t>
            </w:r>
            <w:r w:rsidRPr="00154588">
              <w:rPr>
                <w:rFonts w:eastAsia="Calibri"/>
                <w:kern w:val="2"/>
                <w:sz w:val="20"/>
                <w:szCs w:val="20"/>
                <w14:ligatures w14:val="standardContextual"/>
              </w:rPr>
              <w:t xml:space="preserve"> și art.31</w:t>
            </w:r>
            <w:r w:rsidRPr="00154588">
              <w:rPr>
                <w:rFonts w:eastAsia="Calibri"/>
                <w:kern w:val="2"/>
                <w:sz w:val="20"/>
                <w:szCs w:val="20"/>
                <w:vertAlign w:val="superscript"/>
                <w14:ligatures w14:val="standardContextual"/>
              </w:rPr>
              <w:t>16</w:t>
            </w:r>
            <w:r w:rsidRPr="00154588">
              <w:rPr>
                <w:rFonts w:eastAsia="Calibri"/>
                <w:kern w:val="2"/>
                <w:sz w:val="20"/>
                <w:szCs w:val="20"/>
                <w14:ligatures w14:val="standardContextual"/>
              </w:rPr>
              <w:t>-31</w:t>
            </w:r>
            <w:r w:rsidRPr="00154588">
              <w:rPr>
                <w:rFonts w:eastAsia="Calibri"/>
                <w:kern w:val="2"/>
                <w:sz w:val="20"/>
                <w:szCs w:val="20"/>
                <w:vertAlign w:val="superscript"/>
                <w14:ligatures w14:val="standardContextual"/>
              </w:rPr>
              <w:t>23</w:t>
            </w:r>
            <w:r w:rsidRPr="00154588">
              <w:rPr>
                <w:rFonts w:eastAsia="Calibri"/>
                <w:kern w:val="2"/>
                <w:sz w:val="20"/>
                <w:szCs w:val="20"/>
                <w14:ligatures w14:val="standardContextual"/>
              </w:rPr>
              <w:t xml:space="preserve">, de impactul potențial asupra stabilității financiare din statele membre în cauză, precum și de </w:t>
            </w:r>
            <w:r w:rsidRPr="00154588">
              <w:rPr>
                <w:rFonts w:eastAsia="Calibri"/>
                <w:kern w:val="2"/>
                <w:sz w:val="20"/>
                <w:szCs w:val="20"/>
                <w14:ligatures w14:val="standardContextual"/>
              </w:rPr>
              <w:lastRenderedPageBreak/>
              <w:t>efectul potențial al acțiunilor sau măsurilor asupra altor părți ale grupului.</w:t>
            </w:r>
          </w:p>
          <w:p w14:paraId="65D7EE2D" w14:textId="77777777" w:rsidR="00EB243D" w:rsidRPr="00154588" w:rsidRDefault="00EB243D" w:rsidP="008C12B4">
            <w:pPr>
              <w:jc w:val="both"/>
              <w:rPr>
                <w:sz w:val="20"/>
                <w:szCs w:val="20"/>
              </w:rPr>
            </w:pPr>
          </w:p>
        </w:tc>
        <w:tc>
          <w:tcPr>
            <w:tcW w:w="2552" w:type="dxa"/>
          </w:tcPr>
          <w:p w14:paraId="50DC0CC0" w14:textId="61CE4C95" w:rsidR="00EB243D" w:rsidRPr="00154588" w:rsidRDefault="00EB243D" w:rsidP="008C12B4">
            <w:pPr>
              <w:jc w:val="both"/>
              <w:rPr>
                <w:sz w:val="20"/>
                <w:szCs w:val="20"/>
              </w:rPr>
            </w:pPr>
            <w:r w:rsidRPr="00154588">
              <w:rPr>
                <w:sz w:val="20"/>
                <w:szCs w:val="20"/>
              </w:rPr>
              <w:lastRenderedPageBreak/>
              <w:t>Compatibil</w:t>
            </w:r>
          </w:p>
        </w:tc>
        <w:tc>
          <w:tcPr>
            <w:tcW w:w="3118" w:type="dxa"/>
          </w:tcPr>
          <w:p w14:paraId="24E20110" w14:textId="77777777" w:rsidR="00EB243D" w:rsidRPr="00154588" w:rsidRDefault="00EB243D" w:rsidP="008C12B4">
            <w:pPr>
              <w:jc w:val="both"/>
              <w:rPr>
                <w:sz w:val="20"/>
                <w:szCs w:val="20"/>
              </w:rPr>
            </w:pPr>
          </w:p>
        </w:tc>
      </w:tr>
      <w:tr w:rsidR="00EB243D" w:rsidRPr="00154588" w14:paraId="62B03E3D" w14:textId="77777777" w:rsidTr="00D15C1B">
        <w:trPr>
          <w:jc w:val="center"/>
        </w:trPr>
        <w:tc>
          <w:tcPr>
            <w:tcW w:w="4957" w:type="dxa"/>
            <w:gridSpan w:val="2"/>
          </w:tcPr>
          <w:p w14:paraId="0963199C" w14:textId="15DCDBB3" w:rsidR="00EB243D" w:rsidRPr="00154588" w:rsidRDefault="00EB243D" w:rsidP="008C12B4">
            <w:pPr>
              <w:jc w:val="both"/>
              <w:rPr>
                <w:sz w:val="20"/>
                <w:szCs w:val="20"/>
              </w:rPr>
            </w:pPr>
            <w:r w:rsidRPr="00154588">
              <w:rPr>
                <w:sz w:val="20"/>
                <w:szCs w:val="20"/>
              </w:rPr>
              <w:t>(9)   Autoritățile de rezoluție care nu și-au exprimat dezacordul în temeiul alineatului (8) pot ajunge la o decizie comună privind o schemă de rezoluție a grupului care acoperă entitățile din grup aflate statul membru.</w:t>
            </w:r>
          </w:p>
        </w:tc>
        <w:tc>
          <w:tcPr>
            <w:tcW w:w="4819" w:type="dxa"/>
          </w:tcPr>
          <w:p w14:paraId="02ED7706" w14:textId="37E22733"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25</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Banca Națională a Moldovei, în calitate de autoritate de rezoluție la nivel de grup, și autoritățile de rezoluție care nu și-au exprimat dezacordul în temeiul art.295</w:t>
            </w:r>
            <w:r w:rsidRPr="00154588">
              <w:rPr>
                <w:rFonts w:eastAsia="Calibri"/>
                <w:kern w:val="2"/>
                <w:sz w:val="20"/>
                <w:szCs w:val="20"/>
                <w:vertAlign w:val="superscript"/>
                <w14:ligatures w14:val="standardContextual"/>
              </w:rPr>
              <w:t>24</w:t>
            </w:r>
            <w:r w:rsidRPr="00154588">
              <w:rPr>
                <w:rFonts w:eastAsia="Calibri"/>
                <w:kern w:val="2"/>
                <w:sz w:val="20"/>
                <w:szCs w:val="20"/>
                <w14:ligatures w14:val="standardContextual"/>
              </w:rPr>
              <w:t>, pot ajunge la o decizie comună privind o schemă de rezoluție a grupului care acoperă entitățile din grup aflate în statul lor membru.</w:t>
            </w:r>
          </w:p>
        </w:tc>
        <w:tc>
          <w:tcPr>
            <w:tcW w:w="2552" w:type="dxa"/>
          </w:tcPr>
          <w:p w14:paraId="572604B8" w14:textId="425CDAC1" w:rsidR="00EB243D" w:rsidRPr="00154588" w:rsidRDefault="00EB243D" w:rsidP="008C12B4">
            <w:pPr>
              <w:jc w:val="both"/>
              <w:rPr>
                <w:sz w:val="20"/>
                <w:szCs w:val="20"/>
              </w:rPr>
            </w:pPr>
            <w:r w:rsidRPr="00154588">
              <w:rPr>
                <w:sz w:val="20"/>
                <w:szCs w:val="20"/>
              </w:rPr>
              <w:t>Compatibil</w:t>
            </w:r>
          </w:p>
        </w:tc>
        <w:tc>
          <w:tcPr>
            <w:tcW w:w="3118" w:type="dxa"/>
          </w:tcPr>
          <w:p w14:paraId="688FDA89" w14:textId="77777777" w:rsidR="00EB243D" w:rsidRPr="00154588" w:rsidRDefault="00EB243D" w:rsidP="008C12B4">
            <w:pPr>
              <w:jc w:val="both"/>
              <w:rPr>
                <w:sz w:val="20"/>
                <w:szCs w:val="20"/>
              </w:rPr>
            </w:pPr>
          </w:p>
        </w:tc>
      </w:tr>
      <w:tr w:rsidR="00EB243D" w:rsidRPr="00154588" w14:paraId="1CE4C367" w14:textId="77777777" w:rsidTr="00D15C1B">
        <w:trPr>
          <w:jc w:val="center"/>
        </w:trPr>
        <w:tc>
          <w:tcPr>
            <w:tcW w:w="4957" w:type="dxa"/>
            <w:gridSpan w:val="2"/>
          </w:tcPr>
          <w:p w14:paraId="0F71BA09" w14:textId="0C663479" w:rsidR="00EB243D" w:rsidRPr="00154588" w:rsidRDefault="00EB243D" w:rsidP="008C12B4">
            <w:pPr>
              <w:jc w:val="both"/>
              <w:rPr>
                <w:sz w:val="20"/>
                <w:szCs w:val="20"/>
              </w:rPr>
            </w:pPr>
            <w:r w:rsidRPr="00154588">
              <w:rPr>
                <w:sz w:val="20"/>
                <w:szCs w:val="20"/>
              </w:rPr>
              <w:t>(10)   Decizia comună menționată la alineatul (7) sau (9), precum și deciziile adoptate de autoritățile de rezoluție în absența deciziei comune, menționate la alineatul (8), sunt recunoscute ca fiind determinante și sunt aplicate de către autoritățile de rezoluție din statele membre în cauză.</w:t>
            </w:r>
          </w:p>
        </w:tc>
        <w:tc>
          <w:tcPr>
            <w:tcW w:w="4819" w:type="dxa"/>
          </w:tcPr>
          <w:p w14:paraId="64C2335D" w14:textId="6F874EC4" w:rsidR="00EB243D" w:rsidRPr="00154588" w:rsidRDefault="00EB243D" w:rsidP="008C12B4">
            <w:pPr>
              <w:ind w:firstLine="567"/>
              <w:jc w:val="both"/>
              <w:rPr>
                <w:rFonts w:eastAsia="Calibri"/>
                <w:sz w:val="20"/>
                <w:szCs w:val="20"/>
              </w:rPr>
            </w:pPr>
            <w:r w:rsidRPr="00154588">
              <w:rPr>
                <w:rFonts w:eastAsia="Calibri"/>
                <w:b/>
                <w:sz w:val="20"/>
                <w:szCs w:val="20"/>
              </w:rPr>
              <w:t>Articolul 295</w:t>
            </w:r>
            <w:r w:rsidRPr="00154588">
              <w:rPr>
                <w:rFonts w:eastAsia="Calibri"/>
                <w:b/>
                <w:sz w:val="20"/>
                <w:szCs w:val="20"/>
                <w:vertAlign w:val="superscript"/>
              </w:rPr>
              <w:t>26</w:t>
            </w:r>
            <w:r w:rsidRPr="00154588">
              <w:rPr>
                <w:rFonts w:eastAsia="Calibri"/>
                <w:b/>
                <w:sz w:val="20"/>
                <w:szCs w:val="20"/>
              </w:rPr>
              <w:t xml:space="preserve">. – </w:t>
            </w:r>
            <w:r w:rsidRPr="00154588">
              <w:rPr>
                <w:rFonts w:eastAsia="Calibri"/>
                <w:sz w:val="20"/>
                <w:szCs w:val="20"/>
              </w:rPr>
              <w:t>Decizia comună prevăzută la art.295</w:t>
            </w:r>
            <w:r w:rsidRPr="00154588">
              <w:rPr>
                <w:rFonts w:eastAsia="Calibri"/>
                <w:sz w:val="20"/>
                <w:szCs w:val="20"/>
                <w:vertAlign w:val="superscript"/>
              </w:rPr>
              <w:t>23</w:t>
            </w:r>
            <w:r w:rsidRPr="00154588">
              <w:rPr>
                <w:rFonts w:eastAsia="Calibri"/>
                <w:sz w:val="20"/>
                <w:szCs w:val="20"/>
              </w:rPr>
              <w:t> sau art.295</w:t>
            </w:r>
            <w:r w:rsidRPr="00154588">
              <w:rPr>
                <w:rFonts w:eastAsia="Calibri"/>
                <w:sz w:val="20"/>
                <w:szCs w:val="20"/>
                <w:vertAlign w:val="superscript"/>
              </w:rPr>
              <w:t>25</w:t>
            </w:r>
            <w:r w:rsidRPr="00154588">
              <w:rPr>
                <w:rFonts w:eastAsia="Calibri"/>
                <w:sz w:val="20"/>
                <w:szCs w:val="20"/>
              </w:rPr>
              <w:t> este recunoscută pe teritoriul Republicii Moldova ca fiind definitivă și este aplicată în mod corespunzător.</w:t>
            </w:r>
          </w:p>
        </w:tc>
        <w:tc>
          <w:tcPr>
            <w:tcW w:w="2552" w:type="dxa"/>
          </w:tcPr>
          <w:p w14:paraId="78CB054A" w14:textId="7F40E3CB" w:rsidR="00EB243D" w:rsidRPr="00154588" w:rsidRDefault="00EB243D" w:rsidP="008C12B4">
            <w:pPr>
              <w:jc w:val="both"/>
              <w:rPr>
                <w:sz w:val="20"/>
                <w:szCs w:val="20"/>
              </w:rPr>
            </w:pPr>
            <w:r w:rsidRPr="00154588">
              <w:rPr>
                <w:sz w:val="20"/>
                <w:szCs w:val="20"/>
              </w:rPr>
              <w:t>Compatibil</w:t>
            </w:r>
          </w:p>
        </w:tc>
        <w:tc>
          <w:tcPr>
            <w:tcW w:w="3118" w:type="dxa"/>
          </w:tcPr>
          <w:p w14:paraId="1F96F37A" w14:textId="77777777" w:rsidR="00EB243D" w:rsidRPr="00154588" w:rsidRDefault="00EB243D" w:rsidP="008C12B4">
            <w:pPr>
              <w:jc w:val="both"/>
              <w:rPr>
                <w:sz w:val="20"/>
                <w:szCs w:val="20"/>
              </w:rPr>
            </w:pPr>
          </w:p>
        </w:tc>
      </w:tr>
      <w:tr w:rsidR="00EB243D" w:rsidRPr="00154588" w14:paraId="2060686E" w14:textId="77777777" w:rsidTr="00D15C1B">
        <w:trPr>
          <w:jc w:val="center"/>
        </w:trPr>
        <w:tc>
          <w:tcPr>
            <w:tcW w:w="4957" w:type="dxa"/>
            <w:gridSpan w:val="2"/>
          </w:tcPr>
          <w:p w14:paraId="175D5D1E" w14:textId="42EB57B1" w:rsidR="00EB243D" w:rsidRPr="00154588" w:rsidRDefault="00EB243D" w:rsidP="008C12B4">
            <w:pPr>
              <w:jc w:val="both"/>
              <w:rPr>
                <w:sz w:val="20"/>
                <w:szCs w:val="20"/>
              </w:rPr>
            </w:pPr>
            <w:r w:rsidRPr="00154588">
              <w:rPr>
                <w:sz w:val="20"/>
                <w:szCs w:val="20"/>
              </w:rPr>
              <w:t>(11)   Autoritățile execută toate măsurile menționate la prezentul articol fără întârziere și ținând seama în mod corespunzător de caracterul urgent al situației.</w:t>
            </w:r>
          </w:p>
        </w:tc>
        <w:tc>
          <w:tcPr>
            <w:tcW w:w="4819" w:type="dxa"/>
          </w:tcPr>
          <w:p w14:paraId="296F4483" w14:textId="4FBE08BE"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27</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Autoritățile din Republica Moldova întreprind toate acțiunile prevăzute la art.295</w:t>
            </w:r>
            <w:r w:rsidRPr="00154588">
              <w:rPr>
                <w:rFonts w:eastAsia="Calibri"/>
                <w:kern w:val="2"/>
                <w:sz w:val="20"/>
                <w:szCs w:val="20"/>
                <w:vertAlign w:val="superscript"/>
                <w14:ligatures w14:val="standardContextual"/>
              </w:rPr>
              <w:t>17</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29</w:t>
            </w:r>
            <w:r w:rsidRPr="00154588">
              <w:rPr>
                <w:rFonts w:eastAsia="Calibri"/>
                <w:kern w:val="2"/>
                <w:sz w:val="20"/>
                <w:szCs w:val="20"/>
                <w14:ligatures w14:val="standardContextual"/>
              </w:rPr>
              <w:t> fără întârziere și ținând seama în mod corespunzător de caracterul urgent al situației.</w:t>
            </w:r>
          </w:p>
        </w:tc>
        <w:tc>
          <w:tcPr>
            <w:tcW w:w="2552" w:type="dxa"/>
          </w:tcPr>
          <w:p w14:paraId="2D3314E2" w14:textId="19F51AF1" w:rsidR="00EB243D" w:rsidRPr="00154588" w:rsidRDefault="00EB243D" w:rsidP="008C12B4">
            <w:pPr>
              <w:jc w:val="both"/>
              <w:rPr>
                <w:sz w:val="20"/>
                <w:szCs w:val="20"/>
              </w:rPr>
            </w:pPr>
            <w:r w:rsidRPr="00154588">
              <w:rPr>
                <w:sz w:val="20"/>
                <w:szCs w:val="20"/>
              </w:rPr>
              <w:t>Compatibil</w:t>
            </w:r>
          </w:p>
        </w:tc>
        <w:tc>
          <w:tcPr>
            <w:tcW w:w="3118" w:type="dxa"/>
          </w:tcPr>
          <w:p w14:paraId="1BB4E46A" w14:textId="77777777" w:rsidR="00EB243D" w:rsidRPr="00154588" w:rsidRDefault="00EB243D" w:rsidP="008C12B4">
            <w:pPr>
              <w:jc w:val="both"/>
              <w:rPr>
                <w:sz w:val="20"/>
                <w:szCs w:val="20"/>
              </w:rPr>
            </w:pPr>
          </w:p>
        </w:tc>
      </w:tr>
      <w:tr w:rsidR="00EB243D" w:rsidRPr="00154588" w14:paraId="13AD1718" w14:textId="77777777" w:rsidTr="00D15C1B">
        <w:trPr>
          <w:jc w:val="center"/>
        </w:trPr>
        <w:tc>
          <w:tcPr>
            <w:tcW w:w="4957" w:type="dxa"/>
            <w:gridSpan w:val="2"/>
          </w:tcPr>
          <w:p w14:paraId="4E2417B3" w14:textId="52FC8AC8" w:rsidR="00EB243D" w:rsidRPr="00154588" w:rsidRDefault="00EB243D" w:rsidP="008C12B4">
            <w:pPr>
              <w:jc w:val="both"/>
              <w:rPr>
                <w:sz w:val="20"/>
                <w:szCs w:val="20"/>
              </w:rPr>
            </w:pPr>
            <w:r w:rsidRPr="00154588">
              <w:rPr>
                <w:sz w:val="20"/>
                <w:szCs w:val="20"/>
              </w:rPr>
              <w:t>(12)   În toate situațiile în care nu este pusă în aplicare o schemă de rezoluție a grupului, iar autoritățile de rezoluție aplică măsuri de rezoluție în legătură cu oricare entitate din grup, autoritățile de rezoluție respective cooperează îndeaproape în cadrul colegiului de rezoluție în vederea realizării unei strategii de rezoluție coordonate pentru toate entitățile din grup care este în curs de a intra în dificultate sau sunt susceptibile de a intra în dificultate.</w:t>
            </w:r>
          </w:p>
        </w:tc>
        <w:tc>
          <w:tcPr>
            <w:tcW w:w="4819" w:type="dxa"/>
          </w:tcPr>
          <w:p w14:paraId="07815E05" w14:textId="65B1B0AA" w:rsidR="00EB243D" w:rsidRPr="00154588" w:rsidRDefault="00EB243D" w:rsidP="008C12B4">
            <w:pPr>
              <w:jc w:val="both"/>
              <w:rPr>
                <w:sz w:val="20"/>
                <w:szCs w:val="20"/>
              </w:rPr>
            </w:pPr>
            <w:r w:rsidRPr="00154588">
              <w:rPr>
                <w:b/>
                <w:sz w:val="20"/>
                <w:szCs w:val="20"/>
              </w:rPr>
              <w:t>Articolul 295</w:t>
            </w:r>
            <w:r w:rsidRPr="00154588">
              <w:rPr>
                <w:b/>
                <w:sz w:val="20"/>
                <w:szCs w:val="20"/>
                <w:vertAlign w:val="superscript"/>
              </w:rPr>
              <w:t>28</w:t>
            </w:r>
            <w:r w:rsidRPr="00154588">
              <w:rPr>
                <w:b/>
                <w:sz w:val="20"/>
                <w:szCs w:val="20"/>
              </w:rPr>
              <w:t xml:space="preserve">. – </w:t>
            </w:r>
            <w:r w:rsidRPr="00154588">
              <w:rPr>
                <w:sz w:val="20"/>
                <w:szCs w:val="20"/>
              </w:rPr>
              <w:t>În toate situațiile în care nu este pusă în aplicare o schemă de rezoluție a grupului, Banca Națională a Moldovei, în calitate de autoritate de rezoluție la nivel de grup, cooperează îndeaproape în cadrul colegiului de rezoluție cu celelalte autorități de rezoluție, care întreprind acțiuni de rezoluție în legătură cu orice entitate  din grup în vederea realizării unei strategii de rezoluție coordonate pentru toate entitățile din grup care intră sau sunt susceptibile de a intra în dificultate.</w:t>
            </w:r>
          </w:p>
        </w:tc>
        <w:tc>
          <w:tcPr>
            <w:tcW w:w="2552" w:type="dxa"/>
          </w:tcPr>
          <w:p w14:paraId="75145A4A" w14:textId="776FE019" w:rsidR="00EB243D" w:rsidRPr="00154588" w:rsidRDefault="00EB243D" w:rsidP="008C12B4">
            <w:pPr>
              <w:jc w:val="both"/>
              <w:rPr>
                <w:sz w:val="20"/>
                <w:szCs w:val="20"/>
              </w:rPr>
            </w:pPr>
            <w:r w:rsidRPr="00154588">
              <w:rPr>
                <w:sz w:val="20"/>
                <w:szCs w:val="20"/>
              </w:rPr>
              <w:t>Compatibil</w:t>
            </w:r>
          </w:p>
        </w:tc>
        <w:tc>
          <w:tcPr>
            <w:tcW w:w="3118" w:type="dxa"/>
          </w:tcPr>
          <w:p w14:paraId="28D8B8AD" w14:textId="77777777" w:rsidR="00EB243D" w:rsidRPr="00154588" w:rsidRDefault="00EB243D" w:rsidP="008C12B4">
            <w:pPr>
              <w:jc w:val="both"/>
              <w:rPr>
                <w:sz w:val="20"/>
                <w:szCs w:val="20"/>
              </w:rPr>
            </w:pPr>
          </w:p>
        </w:tc>
      </w:tr>
      <w:tr w:rsidR="00EB243D" w:rsidRPr="00154588" w14:paraId="20C69DCF" w14:textId="77777777" w:rsidTr="00D15C1B">
        <w:trPr>
          <w:jc w:val="center"/>
        </w:trPr>
        <w:tc>
          <w:tcPr>
            <w:tcW w:w="4957" w:type="dxa"/>
            <w:gridSpan w:val="2"/>
          </w:tcPr>
          <w:p w14:paraId="7E05DAAE" w14:textId="3B3C5C81" w:rsidR="00EB243D" w:rsidRPr="00154588" w:rsidRDefault="00EB243D" w:rsidP="008C12B4">
            <w:pPr>
              <w:jc w:val="both"/>
              <w:rPr>
                <w:sz w:val="20"/>
                <w:szCs w:val="20"/>
              </w:rPr>
            </w:pPr>
            <w:r w:rsidRPr="00154588">
              <w:rPr>
                <w:sz w:val="20"/>
                <w:szCs w:val="20"/>
              </w:rPr>
              <w:t>(13)   Autoritățile de rezoluție care iau orice măsură de rezoluție în raport cu oricare entitate din grup informează periodic și complet membrii colegiului de rezoluție cu privire la măsurile sau inițiativele respective și la aplicarea acestora.</w:t>
            </w:r>
          </w:p>
        </w:tc>
        <w:tc>
          <w:tcPr>
            <w:tcW w:w="4819" w:type="dxa"/>
          </w:tcPr>
          <w:p w14:paraId="2E299696" w14:textId="6E15722E" w:rsidR="00EB243D" w:rsidRPr="00154588" w:rsidRDefault="00EB243D" w:rsidP="008C12B4">
            <w:pPr>
              <w:jc w:val="both"/>
              <w:rPr>
                <w:sz w:val="20"/>
                <w:szCs w:val="20"/>
              </w:rPr>
            </w:pPr>
            <w:r w:rsidRPr="00154588">
              <w:rPr>
                <w:b/>
                <w:sz w:val="20"/>
                <w:szCs w:val="20"/>
              </w:rPr>
              <w:t>Articolul 295</w:t>
            </w:r>
            <w:r w:rsidRPr="00154588">
              <w:rPr>
                <w:b/>
                <w:sz w:val="20"/>
                <w:szCs w:val="20"/>
                <w:vertAlign w:val="superscript"/>
              </w:rPr>
              <w:t>29</w:t>
            </w:r>
            <w:r w:rsidRPr="00154588">
              <w:rPr>
                <w:b/>
                <w:sz w:val="20"/>
                <w:szCs w:val="20"/>
              </w:rPr>
              <w:t xml:space="preserve">. – </w:t>
            </w:r>
            <w:r w:rsidRPr="00154588">
              <w:rPr>
                <w:sz w:val="20"/>
                <w:szCs w:val="20"/>
              </w:rPr>
              <w:t>Membrii colegiului de rezoluție, printre care și Banca Națională a Moldovei, în calitate de autoritate de rezoluție la nivel de grup, sunt informați periodic și pe deplin de către autoritățile de rezoluție, care întreprind orice acțiune de rezoluție în legătură cu orice entitate din grup, cu privire la acțiunile sau măsurile respective și la progresele înregistrate în legătură cu aplicarea acestora.</w:t>
            </w:r>
          </w:p>
        </w:tc>
        <w:tc>
          <w:tcPr>
            <w:tcW w:w="2552" w:type="dxa"/>
          </w:tcPr>
          <w:p w14:paraId="0F4AD565" w14:textId="6B174CC4" w:rsidR="00EB243D" w:rsidRPr="00154588" w:rsidRDefault="00EB243D" w:rsidP="008C12B4">
            <w:pPr>
              <w:jc w:val="both"/>
              <w:rPr>
                <w:sz w:val="20"/>
                <w:szCs w:val="20"/>
              </w:rPr>
            </w:pPr>
            <w:r w:rsidRPr="00154588">
              <w:rPr>
                <w:sz w:val="20"/>
                <w:szCs w:val="20"/>
              </w:rPr>
              <w:t>Compatibil</w:t>
            </w:r>
          </w:p>
        </w:tc>
        <w:tc>
          <w:tcPr>
            <w:tcW w:w="3118" w:type="dxa"/>
          </w:tcPr>
          <w:p w14:paraId="44E934FF" w14:textId="77777777" w:rsidR="00EB243D" w:rsidRPr="00154588" w:rsidRDefault="00EB243D" w:rsidP="008C12B4">
            <w:pPr>
              <w:jc w:val="both"/>
              <w:rPr>
                <w:sz w:val="20"/>
                <w:szCs w:val="20"/>
              </w:rPr>
            </w:pPr>
          </w:p>
        </w:tc>
      </w:tr>
      <w:tr w:rsidR="00EB243D" w:rsidRPr="00154588" w14:paraId="7504EFE7" w14:textId="77777777" w:rsidTr="00D15C1B">
        <w:trPr>
          <w:jc w:val="center"/>
        </w:trPr>
        <w:tc>
          <w:tcPr>
            <w:tcW w:w="4957" w:type="dxa"/>
            <w:gridSpan w:val="2"/>
          </w:tcPr>
          <w:p w14:paraId="0CE2C77A" w14:textId="77777777" w:rsidR="00EB243D" w:rsidRPr="00154588" w:rsidRDefault="00EB243D" w:rsidP="008C12B4">
            <w:pPr>
              <w:jc w:val="both"/>
              <w:rPr>
                <w:b/>
                <w:sz w:val="20"/>
                <w:szCs w:val="20"/>
              </w:rPr>
            </w:pPr>
            <w:r w:rsidRPr="00154588">
              <w:rPr>
                <w:b/>
                <w:sz w:val="20"/>
                <w:szCs w:val="20"/>
              </w:rPr>
              <w:t>Articolul 91</w:t>
            </w:r>
          </w:p>
          <w:p w14:paraId="730B478B" w14:textId="77777777" w:rsidR="00EB243D" w:rsidRPr="00154588" w:rsidRDefault="00EB243D" w:rsidP="008C12B4">
            <w:pPr>
              <w:jc w:val="both"/>
              <w:rPr>
                <w:b/>
                <w:sz w:val="20"/>
                <w:szCs w:val="20"/>
              </w:rPr>
            </w:pPr>
          </w:p>
          <w:p w14:paraId="5E551122" w14:textId="12C4907E" w:rsidR="00EB243D" w:rsidRPr="00154588" w:rsidRDefault="00EB243D" w:rsidP="008C12B4">
            <w:pPr>
              <w:jc w:val="both"/>
              <w:rPr>
                <w:sz w:val="20"/>
                <w:szCs w:val="20"/>
              </w:rPr>
            </w:pPr>
            <w:r w:rsidRPr="00154588">
              <w:rPr>
                <w:b/>
                <w:sz w:val="20"/>
                <w:szCs w:val="20"/>
              </w:rPr>
              <w:t>Rezoluția grupului care implică o filială a acestuia</w:t>
            </w:r>
          </w:p>
        </w:tc>
        <w:tc>
          <w:tcPr>
            <w:tcW w:w="4819" w:type="dxa"/>
          </w:tcPr>
          <w:p w14:paraId="27995CD9" w14:textId="77777777" w:rsidR="00EB243D" w:rsidRPr="00154588" w:rsidRDefault="00EB243D" w:rsidP="008C12B4">
            <w:pPr>
              <w:jc w:val="center"/>
              <w:rPr>
                <w:rFonts w:eastAsia="Calibri"/>
                <w:b/>
                <w:sz w:val="20"/>
                <w:szCs w:val="20"/>
              </w:rPr>
            </w:pPr>
            <w:r w:rsidRPr="00154588">
              <w:rPr>
                <w:rFonts w:eastAsia="Calibri"/>
                <w:b/>
                <w:sz w:val="20"/>
                <w:szCs w:val="20"/>
              </w:rPr>
              <w:t>Capitolul VI</w:t>
            </w:r>
          </w:p>
          <w:p w14:paraId="418BCABF" w14:textId="77777777" w:rsidR="00EB243D" w:rsidRPr="00154588" w:rsidRDefault="00EB243D" w:rsidP="008C12B4">
            <w:pPr>
              <w:jc w:val="center"/>
              <w:rPr>
                <w:rFonts w:eastAsia="Calibri"/>
                <w:b/>
                <w:sz w:val="20"/>
                <w:szCs w:val="20"/>
              </w:rPr>
            </w:pPr>
            <w:r w:rsidRPr="00154588">
              <w:rPr>
                <w:rFonts w:eastAsia="Calibri"/>
                <w:b/>
                <w:sz w:val="20"/>
                <w:szCs w:val="20"/>
              </w:rPr>
              <w:t>REZOLUȚIA GRUPULUI CARE IMPLICĂ O FILIALĂ A</w:t>
            </w:r>
          </w:p>
          <w:p w14:paraId="2AEDDA07" w14:textId="77777777" w:rsidR="00EB243D" w:rsidRPr="00154588" w:rsidRDefault="00EB243D" w:rsidP="008C12B4">
            <w:pPr>
              <w:jc w:val="center"/>
              <w:rPr>
                <w:rFonts w:eastAsia="Calibri"/>
                <w:b/>
                <w:sz w:val="20"/>
                <w:szCs w:val="20"/>
              </w:rPr>
            </w:pPr>
            <w:r w:rsidRPr="00154588">
              <w:rPr>
                <w:rFonts w:eastAsia="Calibri"/>
                <w:b/>
                <w:sz w:val="20"/>
                <w:szCs w:val="20"/>
              </w:rPr>
              <w:t>ACESTUIA PENTRU CARE BANCA NAȚIONALĂ A MOLDOVEI</w:t>
            </w:r>
          </w:p>
          <w:p w14:paraId="007F1B13" w14:textId="01D213D1" w:rsidR="00EB243D" w:rsidRPr="00154588" w:rsidRDefault="00EB243D" w:rsidP="008C12B4">
            <w:pPr>
              <w:jc w:val="both"/>
              <w:rPr>
                <w:b/>
                <w:sz w:val="20"/>
                <w:szCs w:val="20"/>
              </w:rPr>
            </w:pPr>
            <w:r w:rsidRPr="00154588">
              <w:rPr>
                <w:rFonts w:eastAsia="Calibri"/>
                <w:b/>
                <w:sz w:val="20"/>
                <w:szCs w:val="20"/>
              </w:rPr>
              <w:lastRenderedPageBreak/>
              <w:t>ESTE AUTORITATEA DE REZOLUȚIE LA NIVEL INDIVIDUAL</w:t>
            </w:r>
          </w:p>
        </w:tc>
        <w:tc>
          <w:tcPr>
            <w:tcW w:w="2552" w:type="dxa"/>
          </w:tcPr>
          <w:p w14:paraId="273E5396" w14:textId="23647339" w:rsidR="00EB243D" w:rsidRPr="00154588" w:rsidRDefault="00EB243D" w:rsidP="008C12B4">
            <w:pPr>
              <w:jc w:val="both"/>
              <w:rPr>
                <w:sz w:val="20"/>
                <w:szCs w:val="20"/>
              </w:rPr>
            </w:pPr>
          </w:p>
        </w:tc>
        <w:tc>
          <w:tcPr>
            <w:tcW w:w="3118" w:type="dxa"/>
          </w:tcPr>
          <w:p w14:paraId="1D19775D" w14:textId="590816F8" w:rsidR="00EB243D" w:rsidRPr="00154588" w:rsidRDefault="00EB243D" w:rsidP="008C12B4">
            <w:pPr>
              <w:jc w:val="both"/>
              <w:rPr>
                <w:bCs/>
                <w:sz w:val="20"/>
                <w:szCs w:val="20"/>
              </w:rPr>
            </w:pPr>
            <w:r w:rsidRPr="00154588">
              <w:rPr>
                <w:bCs/>
                <w:sz w:val="20"/>
                <w:szCs w:val="20"/>
              </w:rPr>
              <w:t xml:space="preserve">Articolul 91 Rezoluția grupului care implică o filială a acestuia </w:t>
            </w:r>
            <w:r w:rsidRPr="00154588">
              <w:rPr>
                <w:bCs/>
                <w:sz w:val="20"/>
                <w:szCs w:val="20"/>
              </w:rPr>
              <w:br/>
              <w:t>a fost transpus și pentru cazul în care BNM este autoritatea de rezoluție la nivel individual</w:t>
            </w:r>
          </w:p>
        </w:tc>
      </w:tr>
      <w:tr w:rsidR="00EB243D" w:rsidRPr="00154588" w14:paraId="13AF74BA" w14:textId="77777777" w:rsidTr="00D15C1B">
        <w:trPr>
          <w:jc w:val="center"/>
        </w:trPr>
        <w:tc>
          <w:tcPr>
            <w:tcW w:w="4957" w:type="dxa"/>
            <w:gridSpan w:val="2"/>
          </w:tcPr>
          <w:p w14:paraId="19E7E1F4" w14:textId="77777777" w:rsidR="00EB243D" w:rsidRPr="00154588" w:rsidRDefault="00EB243D" w:rsidP="008C12B4">
            <w:pPr>
              <w:jc w:val="both"/>
              <w:rPr>
                <w:sz w:val="20"/>
                <w:szCs w:val="20"/>
              </w:rPr>
            </w:pPr>
            <w:r w:rsidRPr="00154588">
              <w:rPr>
                <w:sz w:val="20"/>
                <w:szCs w:val="20"/>
              </w:rPr>
              <w:t>(1)   Atunci când o autoritate de rezoluție decide că o instituție sau oricare dintre entitățile menționate la articolul 1 alineatul (1) litera (b), (c) sau (d) care este filială într-un grup întrunește condițiile menționate la articolul 32 sau la articolul 33, autoritatea respectivă notifică fără întârziere autorității de rezoluție la nivel de grup (dacă este vorba de o autoritate distinctă), supraveghetorului consolidant și membrilor colegiului de rezoluție constituit pentru grupul în cauză următoarele informații:</w:t>
            </w:r>
          </w:p>
          <w:p w14:paraId="6FD41F9C" w14:textId="77777777" w:rsidR="00EB243D" w:rsidRPr="00154588" w:rsidRDefault="00EB243D" w:rsidP="008C12B4">
            <w:pPr>
              <w:jc w:val="both"/>
              <w:rPr>
                <w:sz w:val="20"/>
                <w:szCs w:val="20"/>
              </w:rPr>
            </w:pPr>
          </w:p>
          <w:p w14:paraId="37CD98EF" w14:textId="77777777" w:rsidR="00EB243D" w:rsidRPr="00154588" w:rsidRDefault="00EB243D" w:rsidP="008C12B4">
            <w:pPr>
              <w:jc w:val="both"/>
              <w:rPr>
                <w:sz w:val="20"/>
                <w:szCs w:val="20"/>
              </w:rPr>
            </w:pPr>
            <w:r w:rsidRPr="00154588">
              <w:rPr>
                <w:sz w:val="20"/>
                <w:szCs w:val="20"/>
              </w:rPr>
              <w:t>(a) decizia potrivit căreia instituția sau entitatea menționată la articolul 1 alineatul (1) litera (b), (c) sau (d) întrunește condițiile menționate la articolul 32 sau la articolul 33;</w:t>
            </w:r>
          </w:p>
          <w:p w14:paraId="6570ED00" w14:textId="77777777" w:rsidR="00EB243D" w:rsidRPr="00154588" w:rsidRDefault="00EB243D" w:rsidP="008C12B4">
            <w:pPr>
              <w:jc w:val="both"/>
              <w:rPr>
                <w:sz w:val="20"/>
                <w:szCs w:val="20"/>
              </w:rPr>
            </w:pPr>
          </w:p>
          <w:p w14:paraId="45BED301" w14:textId="38411395" w:rsidR="00EB243D" w:rsidRPr="00154588" w:rsidRDefault="00EB243D" w:rsidP="008C12B4">
            <w:pPr>
              <w:jc w:val="both"/>
              <w:rPr>
                <w:sz w:val="20"/>
                <w:szCs w:val="20"/>
              </w:rPr>
            </w:pPr>
            <w:r w:rsidRPr="00154588">
              <w:rPr>
                <w:sz w:val="20"/>
                <w:szCs w:val="20"/>
              </w:rPr>
              <w:t>(b) măsurile de rezoluție sau de insolvență pe care autoritatea de rezoluție le consideră adecvate pentru instituția în cauză sau pentru entitatea menționată la articolul 1 alineatul (1) litera (b), (c) sau (d).</w:t>
            </w:r>
          </w:p>
        </w:tc>
        <w:tc>
          <w:tcPr>
            <w:tcW w:w="4819" w:type="dxa"/>
          </w:tcPr>
          <w:p w14:paraId="148C87D6" w14:textId="77777777" w:rsidR="00EB243D" w:rsidRPr="00154588" w:rsidRDefault="00EB243D" w:rsidP="008C12B4">
            <w:pPr>
              <w:ind w:firstLine="567"/>
              <w:jc w:val="both"/>
              <w:rPr>
                <w:rFonts w:eastAsia="Calibri"/>
                <w:sz w:val="20"/>
                <w:szCs w:val="20"/>
              </w:rPr>
            </w:pPr>
            <w:r w:rsidRPr="00154588">
              <w:rPr>
                <w:rFonts w:eastAsia="Calibri"/>
                <w:b/>
                <w:sz w:val="20"/>
                <w:szCs w:val="20"/>
              </w:rPr>
              <w:t>Articolul 295</w:t>
            </w:r>
            <w:r w:rsidRPr="00154588">
              <w:rPr>
                <w:rFonts w:eastAsia="Calibri"/>
                <w:b/>
                <w:sz w:val="20"/>
                <w:szCs w:val="20"/>
                <w:vertAlign w:val="superscript"/>
              </w:rPr>
              <w:t>30</w:t>
            </w:r>
            <w:r w:rsidRPr="00154588">
              <w:rPr>
                <w:rFonts w:eastAsia="Calibri"/>
                <w:b/>
                <w:sz w:val="20"/>
                <w:szCs w:val="20"/>
              </w:rPr>
              <w:t xml:space="preserve">. – </w:t>
            </w:r>
            <w:r w:rsidRPr="00154588">
              <w:rPr>
                <w:rFonts w:eastAsia="Calibri"/>
                <w:sz w:val="20"/>
                <w:szCs w:val="20"/>
              </w:rPr>
              <w:t>În cazul în care Banca Națională a Moldovei, în calitate de autoritate de rezoluție la nivel individual, decide că o instituție de credit sau oricare dintre entitățile prevăzute la art.1 alin.(1) lit.b), c) sau d) care este filială într-un grup întrunește condițiile prevăzute la art.58-60 sau la art.60 alin.(4), Banca Națională a Moldovei notifică fără întârziere autorității de rezoluție la nivel de grup, dacă este vorba de o autoritate distinctă, supraveghetorului consolidant și membrilor colegiului de rezoluție constituit pentru grupul în cauză, următoarele informații:</w:t>
            </w:r>
          </w:p>
          <w:p w14:paraId="6E43E9EA" w14:textId="77777777" w:rsidR="00EB243D" w:rsidRPr="00154588" w:rsidRDefault="00EB243D" w:rsidP="008C12B4">
            <w:pPr>
              <w:ind w:firstLine="567"/>
              <w:jc w:val="both"/>
              <w:rPr>
                <w:rFonts w:eastAsia="Calibri"/>
                <w:sz w:val="20"/>
                <w:szCs w:val="20"/>
              </w:rPr>
            </w:pPr>
            <w:r w:rsidRPr="00154588">
              <w:rPr>
                <w:rFonts w:eastAsia="Calibri"/>
                <w:sz w:val="20"/>
                <w:szCs w:val="20"/>
              </w:rPr>
              <w:t>a) decizia potrivit căreia instituția de credit sau entitatea prevăzută la art.1 alin.(1) lit. b), c) sau d) întrunește condițiile prevăzute la art.58-60 sau la art.60 alin.(4);</w:t>
            </w:r>
          </w:p>
          <w:p w14:paraId="44B1B4EA" w14:textId="64809B1A" w:rsidR="00EB243D" w:rsidRPr="00154588" w:rsidRDefault="00EB243D" w:rsidP="008C12B4">
            <w:pPr>
              <w:ind w:firstLine="567"/>
              <w:jc w:val="both"/>
              <w:rPr>
                <w:rFonts w:eastAsia="Calibri"/>
                <w:sz w:val="20"/>
                <w:szCs w:val="20"/>
              </w:rPr>
            </w:pPr>
            <w:r w:rsidRPr="00154588">
              <w:rPr>
                <w:rFonts w:eastAsia="Calibri"/>
                <w:sz w:val="20"/>
                <w:szCs w:val="20"/>
              </w:rPr>
              <w:t>b) acțiunile de rezoluție sau măsurile de insolvabilitate pe care aceasta le consideră adecvate pentru instituția de credit în cauză sau pentru entitatea prevăzută la art.1 alin.(1) lit.b), c) sau d).</w:t>
            </w:r>
          </w:p>
        </w:tc>
        <w:tc>
          <w:tcPr>
            <w:tcW w:w="2552" w:type="dxa"/>
          </w:tcPr>
          <w:p w14:paraId="70764FE5" w14:textId="11DBBE1F" w:rsidR="00EB243D" w:rsidRPr="00154588" w:rsidRDefault="00EB243D" w:rsidP="008C12B4">
            <w:pPr>
              <w:jc w:val="both"/>
              <w:rPr>
                <w:sz w:val="20"/>
                <w:szCs w:val="20"/>
              </w:rPr>
            </w:pPr>
            <w:r w:rsidRPr="00154588">
              <w:rPr>
                <w:sz w:val="20"/>
                <w:szCs w:val="20"/>
              </w:rPr>
              <w:t>Compatibil</w:t>
            </w:r>
          </w:p>
        </w:tc>
        <w:tc>
          <w:tcPr>
            <w:tcW w:w="3118" w:type="dxa"/>
          </w:tcPr>
          <w:p w14:paraId="05E3EAB2" w14:textId="77777777" w:rsidR="00EB243D" w:rsidRPr="00154588" w:rsidRDefault="00EB243D" w:rsidP="008C12B4">
            <w:pPr>
              <w:jc w:val="both"/>
              <w:rPr>
                <w:sz w:val="20"/>
                <w:szCs w:val="20"/>
              </w:rPr>
            </w:pPr>
          </w:p>
        </w:tc>
      </w:tr>
      <w:tr w:rsidR="00EB243D" w:rsidRPr="00154588" w14:paraId="0A0A88D4" w14:textId="77777777" w:rsidTr="00D15C1B">
        <w:trPr>
          <w:jc w:val="center"/>
        </w:trPr>
        <w:tc>
          <w:tcPr>
            <w:tcW w:w="4957" w:type="dxa"/>
            <w:gridSpan w:val="2"/>
          </w:tcPr>
          <w:p w14:paraId="22950B0D" w14:textId="33991B43" w:rsidR="00EB243D" w:rsidRPr="00154588" w:rsidRDefault="00EB243D" w:rsidP="008C12B4">
            <w:pPr>
              <w:jc w:val="both"/>
              <w:rPr>
                <w:sz w:val="20"/>
                <w:szCs w:val="20"/>
              </w:rPr>
            </w:pPr>
            <w:r w:rsidRPr="00154588">
              <w:rPr>
                <w:sz w:val="20"/>
                <w:szCs w:val="20"/>
              </w:rPr>
              <w:t>(2)   La primirea unei notificări în conformitate cu alineatul (1), autoritatea de rezoluție la nivel de grup, după consultarea cu ceilalți membri ai colegiului de rezoluție relevant, evaluează impactul potențial al măsurilor de rezoluție ori al altor măsuri notificate în conformitate cu alineatul (1) litera (b) asupra grupului și asupra entităților din grup din alte state membre, precum și, în special, probabilitatea ca măsurile de rezoluție sau alte măsuri să ducă la îndeplinirea condițiilor de rezoluție în raport cu o entitate din grup dintr-un alt stat membru.</w:t>
            </w:r>
          </w:p>
        </w:tc>
        <w:tc>
          <w:tcPr>
            <w:tcW w:w="4819" w:type="dxa"/>
          </w:tcPr>
          <w:p w14:paraId="4AD5C0FF" w14:textId="32544F83" w:rsidR="00EB243D" w:rsidRPr="00154588" w:rsidRDefault="00EB243D" w:rsidP="008C12B4">
            <w:pPr>
              <w:ind w:firstLine="567"/>
              <w:jc w:val="both"/>
              <w:rPr>
                <w:rFonts w:eastAsia="Calibri"/>
                <w:b/>
                <w:sz w:val="20"/>
                <w:szCs w:val="20"/>
              </w:rPr>
            </w:pPr>
            <w:r w:rsidRPr="00154588">
              <w:rPr>
                <w:b/>
                <w:sz w:val="20"/>
                <w:szCs w:val="20"/>
              </w:rPr>
              <w:t>Articolul 295</w:t>
            </w:r>
            <w:r w:rsidRPr="00154588">
              <w:rPr>
                <w:b/>
                <w:sz w:val="20"/>
                <w:szCs w:val="20"/>
                <w:vertAlign w:val="superscript"/>
              </w:rPr>
              <w:t>31</w:t>
            </w:r>
            <w:r w:rsidRPr="00154588">
              <w:rPr>
                <w:sz w:val="20"/>
                <w:szCs w:val="20"/>
              </w:rPr>
              <w:t>. –</w:t>
            </w:r>
            <w:r w:rsidRPr="00154588">
              <w:rPr>
                <w:b/>
                <w:sz w:val="20"/>
                <w:szCs w:val="20"/>
              </w:rPr>
              <w:t xml:space="preserve"> </w:t>
            </w:r>
            <w:r w:rsidRPr="00154588">
              <w:rPr>
                <w:sz w:val="20"/>
                <w:szCs w:val="20"/>
              </w:rPr>
              <w:t>După ce autoritatea de rezoluție la nivel de grup evaluează impactul potențial al acțiunilor de rezoluție ori al altor măsuri notificate în conformitate cu prevederile art.295</w:t>
            </w:r>
            <w:r w:rsidRPr="00154588">
              <w:rPr>
                <w:sz w:val="20"/>
                <w:szCs w:val="20"/>
                <w:vertAlign w:val="superscript"/>
              </w:rPr>
              <w:t>30</w:t>
            </w:r>
            <w:r w:rsidRPr="00154588">
              <w:rPr>
                <w:sz w:val="20"/>
                <w:szCs w:val="20"/>
              </w:rPr>
              <w:t xml:space="preserve"> lit.b) asupra grupului și asupra entităților din grup din alte state membre, în special, probabilitatea ca acțiunile de rezoluție sau alte măsuri să conducă la îndeplinirea condițiilor de rezoluție în legătură cu o entitate din grup dintr-un alt stat membru al Uniunii Europene, și dacă, după consultarea celorlalți membri ai colegiului de rezoluție, autoritatea de rezoluție la nivel de grup estimează că acțiunile de rezoluție sau alte măsuri notificate în conformitate cu prevederile art.295</w:t>
            </w:r>
            <w:r w:rsidRPr="00154588">
              <w:rPr>
                <w:sz w:val="20"/>
                <w:szCs w:val="20"/>
                <w:vertAlign w:val="superscript"/>
              </w:rPr>
              <w:t>30</w:t>
            </w:r>
            <w:r w:rsidRPr="00154588">
              <w:rPr>
                <w:sz w:val="20"/>
                <w:szCs w:val="20"/>
              </w:rPr>
              <w:t xml:space="preserve"> lit.b) nu ar spori probabilitatea îndeplinirii condițiilor prevăzute la art.58-60 sau la art.60 alin.(4), în legătură cu o entitate din grup dintr-un alt stat membru al Uniunii Europene, Banca Națională Moldovei, în calitate de autoritate de rezoluție responsabilă pentru instituția de credit respectivă sau pentru entitatea prevăzută la art.1 alin.(1) lit.b), c) sau d) poate întreprinde acțiunile de rezoluție sau alte măsuri pe care le-a notificat în conformitate cu prevederile art.295</w:t>
            </w:r>
            <w:r w:rsidRPr="00154588">
              <w:rPr>
                <w:sz w:val="20"/>
                <w:szCs w:val="20"/>
                <w:vertAlign w:val="superscript"/>
              </w:rPr>
              <w:t>30</w:t>
            </w:r>
            <w:r w:rsidRPr="00154588">
              <w:rPr>
                <w:sz w:val="20"/>
                <w:szCs w:val="20"/>
              </w:rPr>
              <w:t xml:space="preserve"> lit.b).</w:t>
            </w:r>
          </w:p>
        </w:tc>
        <w:tc>
          <w:tcPr>
            <w:tcW w:w="2552" w:type="dxa"/>
          </w:tcPr>
          <w:p w14:paraId="0559D739" w14:textId="361959DF" w:rsidR="00EB243D" w:rsidRPr="00154588" w:rsidRDefault="00EB243D" w:rsidP="008C12B4">
            <w:pPr>
              <w:jc w:val="both"/>
              <w:rPr>
                <w:sz w:val="20"/>
                <w:szCs w:val="20"/>
              </w:rPr>
            </w:pPr>
            <w:r w:rsidRPr="00154588">
              <w:rPr>
                <w:sz w:val="20"/>
                <w:szCs w:val="20"/>
              </w:rPr>
              <w:t>Compatibil</w:t>
            </w:r>
          </w:p>
        </w:tc>
        <w:tc>
          <w:tcPr>
            <w:tcW w:w="3118" w:type="dxa"/>
          </w:tcPr>
          <w:p w14:paraId="62A25E5A" w14:textId="77777777" w:rsidR="00EB243D" w:rsidRPr="00154588" w:rsidRDefault="00EB243D" w:rsidP="008C12B4">
            <w:pPr>
              <w:jc w:val="both"/>
              <w:rPr>
                <w:sz w:val="20"/>
                <w:szCs w:val="20"/>
              </w:rPr>
            </w:pPr>
          </w:p>
        </w:tc>
      </w:tr>
      <w:tr w:rsidR="00EB243D" w:rsidRPr="00154588" w14:paraId="7D70910C" w14:textId="77777777" w:rsidTr="00D15C1B">
        <w:trPr>
          <w:jc w:val="center"/>
        </w:trPr>
        <w:tc>
          <w:tcPr>
            <w:tcW w:w="4957" w:type="dxa"/>
            <w:gridSpan w:val="2"/>
          </w:tcPr>
          <w:p w14:paraId="6EC1C066" w14:textId="01F1B25A" w:rsidR="00EB243D" w:rsidRPr="00154588" w:rsidRDefault="00EB243D" w:rsidP="008C12B4">
            <w:pPr>
              <w:jc w:val="both"/>
              <w:rPr>
                <w:sz w:val="20"/>
                <w:szCs w:val="20"/>
              </w:rPr>
            </w:pPr>
            <w:r w:rsidRPr="00154588">
              <w:rPr>
                <w:sz w:val="20"/>
                <w:szCs w:val="20"/>
              </w:rPr>
              <w:lastRenderedPageBreak/>
              <w:t>(4)   Dacă, după consultarea celorlalți membri ai colegiului de rezoluție, autoritatea de rezoluție la nivel de grup estimează că măsurile de rezoluție sau alte măsuri notificate în conformitate cu alineatul (1) litera (b) din prezentul articol ar spori probabilitatea îndeplinirii condițiilor prevăzute la articolul 32 sau la articolul 33 în raport cu o entitate din grup dintr-un alt stat membru, autoritatea de rezoluție a grupului propune o schemă de rezoluție a grupului și o prezintă colegiului de rezoluție în termen de maxim 24 de ore de la primirea notificării în conformitate cu alineatul (1). Perioada de 24 de ore poate fi extinsă cu acordul autorității de rezoluție care a trimis notificarea menționată la alineatul (1) din prezentul articol.</w:t>
            </w:r>
          </w:p>
        </w:tc>
        <w:tc>
          <w:tcPr>
            <w:tcW w:w="4819" w:type="dxa"/>
          </w:tcPr>
          <w:p w14:paraId="19FEEAB0" w14:textId="30E4A295"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32</w:t>
            </w:r>
            <w:r w:rsidRPr="00154588">
              <w:rPr>
                <w:rFonts w:eastAsia="Calibri"/>
                <w:b/>
                <w:kern w:val="2"/>
                <w:sz w:val="20"/>
                <w:szCs w:val="20"/>
                <w14:ligatures w14:val="standardContextual"/>
              </w:rPr>
              <w:t>. –</w:t>
            </w:r>
            <w:r w:rsidRPr="00154588">
              <w:rPr>
                <w:rFonts w:eastAsia="Calibri"/>
                <w:kern w:val="2"/>
                <w:sz w:val="20"/>
                <w:szCs w:val="20"/>
                <w14:ligatures w14:val="standardContextual"/>
              </w:rPr>
              <w:t xml:space="preserve"> Dacă, după consultarea celorlalți membri ai colegiului de rezoluție, autoritatea de rezoluție la nivel de grup estimează că acțiunile de rezoluție sau alte măsuri notificate în conformitate cu prevederile art. 295</w:t>
            </w:r>
            <w:r w:rsidRPr="00154588">
              <w:rPr>
                <w:rFonts w:eastAsia="Calibri"/>
                <w:kern w:val="2"/>
                <w:sz w:val="20"/>
                <w:szCs w:val="20"/>
                <w:vertAlign w:val="superscript"/>
                <w14:ligatures w14:val="standardContextual"/>
              </w:rPr>
              <w:t>30</w:t>
            </w:r>
            <w:r w:rsidRPr="00154588">
              <w:rPr>
                <w:rFonts w:eastAsia="Calibri"/>
                <w:kern w:val="2"/>
                <w:sz w:val="20"/>
                <w:szCs w:val="20"/>
                <w14:ligatures w14:val="standardContextual"/>
              </w:rPr>
              <w:t xml:space="preserve"> lit. b) ar spori probabilitatea îndeplinirii condițiilor prevăzute la art. 58-60 sau la art. 60</w:t>
            </w:r>
            <w:r w:rsidRPr="00154588">
              <w:rPr>
                <w:rFonts w:eastAsia="Calibri"/>
                <w:sz w:val="20"/>
                <w:szCs w:val="20"/>
              </w:rPr>
              <w:t xml:space="preserve"> alin.(4)</w:t>
            </w:r>
            <w:r w:rsidRPr="00154588">
              <w:rPr>
                <w:rFonts w:eastAsia="Calibri"/>
                <w:kern w:val="2"/>
                <w:sz w:val="20"/>
                <w:szCs w:val="20"/>
                <w14:ligatures w14:val="standardContextual"/>
              </w:rPr>
              <w:t>, în raport cu o entitate din grup dintr-un alt stat membru al Uniunii Europene, autoritatea de rezoluție la nivel de grup propune o schemă de rezoluție a grupului și o prezintă colegiului de rezoluție în termen de maximum 24 de ore de la primirea notificării în conformitate cu prevederile art. 295</w:t>
            </w:r>
            <w:r w:rsidRPr="00154588">
              <w:rPr>
                <w:rFonts w:eastAsia="Calibri"/>
                <w:kern w:val="2"/>
                <w:sz w:val="20"/>
                <w:szCs w:val="20"/>
                <w:vertAlign w:val="superscript"/>
                <w14:ligatures w14:val="standardContextual"/>
              </w:rPr>
              <w:t>30</w:t>
            </w:r>
            <w:r w:rsidRPr="00154588">
              <w:rPr>
                <w:rFonts w:eastAsia="Calibri"/>
                <w:kern w:val="2"/>
                <w:sz w:val="20"/>
                <w:szCs w:val="20"/>
                <w14:ligatures w14:val="standardContextual"/>
              </w:rPr>
              <w:t>. Perioada de 24 de ore poate fi extinsă cu acordul Băncii Naționale a Moldovei, în calitate de autoritate de rezoluție la nivel individual, care a trimis notificarea prevăzută la art. 295</w:t>
            </w:r>
            <w:r w:rsidRPr="00154588">
              <w:rPr>
                <w:rFonts w:eastAsia="Calibri"/>
                <w:kern w:val="2"/>
                <w:sz w:val="20"/>
                <w:szCs w:val="20"/>
                <w:vertAlign w:val="superscript"/>
                <w14:ligatures w14:val="standardContextual"/>
              </w:rPr>
              <w:t>30</w:t>
            </w:r>
            <w:r w:rsidRPr="00154588">
              <w:rPr>
                <w:rFonts w:eastAsia="Calibri"/>
                <w:kern w:val="2"/>
                <w:sz w:val="20"/>
                <w:szCs w:val="20"/>
                <w14:ligatures w14:val="standardContextual"/>
              </w:rPr>
              <w:t>.</w:t>
            </w:r>
          </w:p>
        </w:tc>
        <w:tc>
          <w:tcPr>
            <w:tcW w:w="2552" w:type="dxa"/>
          </w:tcPr>
          <w:p w14:paraId="637E2F7D" w14:textId="059989BF" w:rsidR="00EB243D" w:rsidRPr="00154588" w:rsidRDefault="00EB243D" w:rsidP="008C12B4">
            <w:pPr>
              <w:jc w:val="both"/>
              <w:rPr>
                <w:sz w:val="20"/>
                <w:szCs w:val="20"/>
              </w:rPr>
            </w:pPr>
            <w:r w:rsidRPr="00154588">
              <w:rPr>
                <w:sz w:val="20"/>
                <w:szCs w:val="20"/>
              </w:rPr>
              <w:t>Compatibil</w:t>
            </w:r>
          </w:p>
        </w:tc>
        <w:tc>
          <w:tcPr>
            <w:tcW w:w="3118" w:type="dxa"/>
          </w:tcPr>
          <w:p w14:paraId="7AF0A82C" w14:textId="77777777" w:rsidR="00EB243D" w:rsidRPr="00154588" w:rsidRDefault="00EB243D" w:rsidP="008C12B4">
            <w:pPr>
              <w:jc w:val="both"/>
              <w:rPr>
                <w:sz w:val="20"/>
                <w:szCs w:val="20"/>
              </w:rPr>
            </w:pPr>
          </w:p>
        </w:tc>
      </w:tr>
      <w:tr w:rsidR="00EB243D" w:rsidRPr="00154588" w14:paraId="43D485F2" w14:textId="77777777" w:rsidTr="00D15C1B">
        <w:trPr>
          <w:jc w:val="center"/>
        </w:trPr>
        <w:tc>
          <w:tcPr>
            <w:tcW w:w="4957" w:type="dxa"/>
            <w:gridSpan w:val="2"/>
          </w:tcPr>
          <w:p w14:paraId="32677B23" w14:textId="3E96400C" w:rsidR="00EB243D" w:rsidRPr="00154588" w:rsidRDefault="00EB243D" w:rsidP="008C12B4">
            <w:pPr>
              <w:jc w:val="both"/>
              <w:rPr>
                <w:sz w:val="20"/>
                <w:szCs w:val="20"/>
              </w:rPr>
            </w:pPr>
            <w:r w:rsidRPr="00154588">
              <w:rPr>
                <w:sz w:val="20"/>
                <w:szCs w:val="20"/>
              </w:rPr>
              <w:t>(5)   În absența unei evaluări din partea autorității de rezoluție la nivel de grup în termen de 24 de ore sau o perioadă mai lungă de timp care a fost convenită, după primirea notificării în conformitate cu alineatul (1), autoritatea de rezoluție care a trimis notificarea menționată la alineatul (1) poate lua măsuri de rezoluție sau alte măsuri pe care le-a notificat în conformitate cu litera (b) de la acest alineat.</w:t>
            </w:r>
          </w:p>
        </w:tc>
        <w:tc>
          <w:tcPr>
            <w:tcW w:w="4819" w:type="dxa"/>
          </w:tcPr>
          <w:p w14:paraId="46EBABAE" w14:textId="44B568C7"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33</w:t>
            </w:r>
            <w:r w:rsidRPr="00154588">
              <w:rPr>
                <w:rFonts w:eastAsia="Calibri"/>
                <w:b/>
                <w:kern w:val="2"/>
                <w:sz w:val="20"/>
                <w:szCs w:val="20"/>
                <w14:ligatures w14:val="standardContextual"/>
              </w:rPr>
              <w:t>. –</w:t>
            </w:r>
            <w:r w:rsidRPr="00154588">
              <w:rPr>
                <w:rFonts w:eastAsia="Calibri"/>
                <w:kern w:val="2"/>
                <w:sz w:val="20"/>
                <w:szCs w:val="20"/>
                <w14:ligatures w14:val="standardContextual"/>
              </w:rPr>
              <w:t xml:space="preserve"> În absența unei evaluări din partea autorității de rezoluție la nivel de grup în termen de 24 de ore sau o perioadă mai lungă de timp care a fost convenită, după primirea notificării în conformitate cu prevederile art.295</w:t>
            </w:r>
            <w:r w:rsidRPr="00154588">
              <w:rPr>
                <w:rFonts w:eastAsia="Calibri"/>
                <w:kern w:val="2"/>
                <w:sz w:val="20"/>
                <w:szCs w:val="20"/>
                <w:vertAlign w:val="superscript"/>
                <w14:ligatures w14:val="standardContextual"/>
              </w:rPr>
              <w:t>30</w:t>
            </w:r>
            <w:r w:rsidRPr="00154588">
              <w:rPr>
                <w:rFonts w:eastAsia="Calibri"/>
                <w:kern w:val="2"/>
                <w:sz w:val="20"/>
                <w:szCs w:val="20"/>
                <w14:ligatures w14:val="standardContextual"/>
              </w:rPr>
              <w:t>, Banca Națională a Moldovei, în calitate de autoritate de rezoluție la nivel individual, care a trimis notificarea respectivă, poate întreprinde acțiuni de rezoluție sau alte măsuri pe care le-a notificat în conformitate cu prevederile art.295</w:t>
            </w:r>
            <w:r w:rsidRPr="00154588">
              <w:rPr>
                <w:rFonts w:eastAsia="Calibri"/>
                <w:kern w:val="2"/>
                <w:sz w:val="20"/>
                <w:szCs w:val="20"/>
                <w:vertAlign w:val="superscript"/>
                <w14:ligatures w14:val="standardContextual"/>
              </w:rPr>
              <w:t>30</w:t>
            </w:r>
            <w:r w:rsidRPr="00154588">
              <w:rPr>
                <w:rFonts w:eastAsia="Calibri"/>
                <w:kern w:val="2"/>
                <w:sz w:val="20"/>
                <w:szCs w:val="20"/>
                <w14:ligatures w14:val="standardContextual"/>
              </w:rPr>
              <w:t xml:space="preserve"> lit.b).</w:t>
            </w:r>
          </w:p>
        </w:tc>
        <w:tc>
          <w:tcPr>
            <w:tcW w:w="2552" w:type="dxa"/>
          </w:tcPr>
          <w:p w14:paraId="5A26145E" w14:textId="6E460DAB" w:rsidR="00EB243D" w:rsidRPr="00154588" w:rsidRDefault="00EB243D" w:rsidP="008C12B4">
            <w:pPr>
              <w:jc w:val="both"/>
              <w:rPr>
                <w:sz w:val="20"/>
                <w:szCs w:val="20"/>
              </w:rPr>
            </w:pPr>
            <w:r w:rsidRPr="00154588">
              <w:rPr>
                <w:sz w:val="20"/>
                <w:szCs w:val="20"/>
              </w:rPr>
              <w:t>Compatibil</w:t>
            </w:r>
          </w:p>
        </w:tc>
        <w:tc>
          <w:tcPr>
            <w:tcW w:w="3118" w:type="dxa"/>
          </w:tcPr>
          <w:p w14:paraId="01E8320B" w14:textId="77777777" w:rsidR="00EB243D" w:rsidRPr="00154588" w:rsidRDefault="00EB243D" w:rsidP="008C12B4">
            <w:pPr>
              <w:jc w:val="both"/>
              <w:rPr>
                <w:sz w:val="20"/>
                <w:szCs w:val="20"/>
              </w:rPr>
            </w:pPr>
          </w:p>
        </w:tc>
      </w:tr>
      <w:tr w:rsidR="00EB243D" w:rsidRPr="00154588" w14:paraId="044DE454" w14:textId="77777777" w:rsidTr="00D15C1B">
        <w:trPr>
          <w:jc w:val="center"/>
        </w:trPr>
        <w:tc>
          <w:tcPr>
            <w:tcW w:w="4957" w:type="dxa"/>
            <w:gridSpan w:val="2"/>
          </w:tcPr>
          <w:p w14:paraId="3243F641" w14:textId="77777777" w:rsidR="00EB243D" w:rsidRPr="00154588" w:rsidRDefault="00EB243D" w:rsidP="008C12B4">
            <w:pPr>
              <w:jc w:val="both"/>
              <w:rPr>
                <w:sz w:val="20"/>
                <w:szCs w:val="20"/>
              </w:rPr>
            </w:pPr>
            <w:r w:rsidRPr="00154588">
              <w:rPr>
                <w:sz w:val="20"/>
                <w:szCs w:val="20"/>
              </w:rPr>
              <w:t>(6)   Schema de rezoluție a grupului menționată la alineatul (4) trebuie:</w:t>
            </w:r>
          </w:p>
          <w:p w14:paraId="744AE1E5" w14:textId="77777777" w:rsidR="00EB243D" w:rsidRPr="00154588" w:rsidRDefault="00EB243D" w:rsidP="008C12B4">
            <w:pPr>
              <w:jc w:val="both"/>
              <w:rPr>
                <w:sz w:val="20"/>
                <w:szCs w:val="20"/>
              </w:rPr>
            </w:pPr>
          </w:p>
          <w:p w14:paraId="77C8F690" w14:textId="77777777" w:rsidR="00EB243D" w:rsidRPr="00154588" w:rsidRDefault="00EB243D" w:rsidP="008C12B4">
            <w:pPr>
              <w:jc w:val="both"/>
              <w:rPr>
                <w:sz w:val="20"/>
                <w:szCs w:val="20"/>
              </w:rPr>
            </w:pPr>
            <w:r w:rsidRPr="00154588">
              <w:rPr>
                <w:sz w:val="20"/>
                <w:szCs w:val="20"/>
              </w:rPr>
              <w:t>(a) să țină seama și să urmeze planurile de rezoluție menționate la articolul 13, cu excepția cazului în care autoritățile de rezoluție consideră, având în vedere circumstanțele cazului, că obiectivele rezoluției vor fi obținute mai eficace prin adoptarea de măsuri care nu sunt prevăzute în planurile de rezoluție;</w:t>
            </w:r>
          </w:p>
          <w:p w14:paraId="73A7F390" w14:textId="77777777" w:rsidR="00EB243D" w:rsidRPr="00154588" w:rsidRDefault="00EB243D" w:rsidP="008C12B4">
            <w:pPr>
              <w:jc w:val="both"/>
              <w:rPr>
                <w:sz w:val="20"/>
                <w:szCs w:val="20"/>
              </w:rPr>
            </w:pPr>
          </w:p>
          <w:p w14:paraId="0D37C1E5" w14:textId="77777777" w:rsidR="00EB243D" w:rsidRPr="00154588" w:rsidRDefault="00EB243D" w:rsidP="008C12B4">
            <w:pPr>
              <w:jc w:val="both"/>
              <w:rPr>
                <w:sz w:val="20"/>
                <w:szCs w:val="20"/>
              </w:rPr>
            </w:pPr>
            <w:r w:rsidRPr="00154588">
              <w:rPr>
                <w:sz w:val="20"/>
                <w:szCs w:val="20"/>
              </w:rPr>
              <w:t>(b) să descrie măsurile de rezoluție care ar trebui întreprinse de autoritățile de rezoluție relevante în legătură cu întreprinderea-mamă din Uniune sau cu anumite entități din grup în scopul de a îndeplini obiectivele rezoluției și principiile prevăzute la articolele 31 și 34;</w:t>
            </w:r>
          </w:p>
          <w:p w14:paraId="2F1614EE" w14:textId="77777777" w:rsidR="00EB243D" w:rsidRPr="00154588" w:rsidRDefault="00EB243D" w:rsidP="008C12B4">
            <w:pPr>
              <w:jc w:val="both"/>
              <w:rPr>
                <w:sz w:val="20"/>
                <w:szCs w:val="20"/>
              </w:rPr>
            </w:pPr>
          </w:p>
          <w:p w14:paraId="7D2DC4C6" w14:textId="77777777" w:rsidR="00EB243D" w:rsidRPr="00154588" w:rsidRDefault="00EB243D" w:rsidP="008C12B4">
            <w:pPr>
              <w:jc w:val="both"/>
              <w:rPr>
                <w:sz w:val="20"/>
                <w:szCs w:val="20"/>
              </w:rPr>
            </w:pPr>
            <w:r w:rsidRPr="00154588">
              <w:rPr>
                <w:sz w:val="20"/>
                <w:szCs w:val="20"/>
              </w:rPr>
              <w:t>(c) să precizeze modul în care trebuie coordonate aceste măsuri de rezoluție;</w:t>
            </w:r>
          </w:p>
          <w:p w14:paraId="5FE2E9B9" w14:textId="77777777" w:rsidR="00EB243D" w:rsidRPr="00154588" w:rsidRDefault="00EB243D" w:rsidP="008C12B4">
            <w:pPr>
              <w:jc w:val="both"/>
              <w:rPr>
                <w:sz w:val="20"/>
                <w:szCs w:val="20"/>
              </w:rPr>
            </w:pPr>
          </w:p>
          <w:p w14:paraId="16DCFD19" w14:textId="1F2D398C" w:rsidR="00EB243D" w:rsidRPr="00154588" w:rsidRDefault="00EB243D" w:rsidP="008C12B4">
            <w:pPr>
              <w:jc w:val="both"/>
              <w:rPr>
                <w:sz w:val="20"/>
                <w:szCs w:val="20"/>
              </w:rPr>
            </w:pPr>
            <w:r w:rsidRPr="00154588">
              <w:rPr>
                <w:sz w:val="20"/>
                <w:szCs w:val="20"/>
              </w:rPr>
              <w:t>(d) să stabilească un plan de finanțarecare să țină cont de planul de rezoluție a grupului, de principiile de partajare a responsabilității stabilite în conformitate cu articolul 12 alineatul (3) litera (f) și de mutualizare astfel cum este menționat la articolul 107.</w:t>
            </w:r>
          </w:p>
        </w:tc>
        <w:tc>
          <w:tcPr>
            <w:tcW w:w="4819" w:type="dxa"/>
          </w:tcPr>
          <w:p w14:paraId="317BA66C" w14:textId="77777777" w:rsidR="00EB243D" w:rsidRPr="00154588" w:rsidRDefault="00EB243D" w:rsidP="008C12B4">
            <w:pPr>
              <w:ind w:firstLine="567"/>
              <w:jc w:val="both"/>
              <w:rPr>
                <w:rFonts w:eastAsia="Calibri"/>
                <w:sz w:val="20"/>
                <w:szCs w:val="20"/>
              </w:rPr>
            </w:pPr>
            <w:r w:rsidRPr="00154588">
              <w:rPr>
                <w:rFonts w:eastAsia="Calibri"/>
                <w:b/>
                <w:sz w:val="20"/>
                <w:szCs w:val="20"/>
              </w:rPr>
              <w:lastRenderedPageBreak/>
              <w:t>Articolul 295</w:t>
            </w:r>
            <w:r w:rsidRPr="00154588">
              <w:rPr>
                <w:rFonts w:eastAsia="Calibri"/>
                <w:b/>
                <w:sz w:val="20"/>
                <w:szCs w:val="20"/>
                <w:vertAlign w:val="superscript"/>
              </w:rPr>
              <w:t>34</w:t>
            </w:r>
            <w:r w:rsidRPr="00154588">
              <w:rPr>
                <w:rFonts w:eastAsia="Calibri"/>
                <w:b/>
                <w:sz w:val="20"/>
                <w:szCs w:val="20"/>
              </w:rPr>
              <w:t xml:space="preserve">. – </w:t>
            </w:r>
            <w:r w:rsidRPr="00154588">
              <w:rPr>
                <w:rFonts w:eastAsia="Calibri"/>
                <w:sz w:val="20"/>
                <w:szCs w:val="20"/>
              </w:rPr>
              <w:t>Schema de rezoluție a grupului prevăzută la art.295</w:t>
            </w:r>
            <w:r w:rsidRPr="00154588">
              <w:rPr>
                <w:rFonts w:eastAsia="Calibri"/>
                <w:sz w:val="20"/>
                <w:szCs w:val="20"/>
                <w:vertAlign w:val="superscript"/>
              </w:rPr>
              <w:t>32</w:t>
            </w:r>
            <w:r w:rsidRPr="00154588">
              <w:rPr>
                <w:rFonts w:eastAsia="Calibri"/>
                <w:sz w:val="20"/>
                <w:szCs w:val="20"/>
              </w:rPr>
              <w:t> trebuie:</w:t>
            </w:r>
          </w:p>
          <w:p w14:paraId="6FAC5353" w14:textId="77777777" w:rsidR="00EB243D" w:rsidRPr="00154588" w:rsidRDefault="00EB243D" w:rsidP="008C12B4">
            <w:pPr>
              <w:ind w:firstLine="567"/>
              <w:jc w:val="both"/>
              <w:rPr>
                <w:rFonts w:eastAsia="Calibri"/>
                <w:sz w:val="20"/>
                <w:szCs w:val="20"/>
              </w:rPr>
            </w:pPr>
            <w:r w:rsidRPr="00154588">
              <w:rPr>
                <w:rFonts w:eastAsia="Calibri"/>
                <w:sz w:val="20"/>
                <w:szCs w:val="20"/>
              </w:rPr>
              <w:t>a) să țină seama și să urmeze planurile de rezoluție prevăzute la art.31</w:t>
            </w:r>
            <w:r w:rsidRPr="00154588">
              <w:rPr>
                <w:rFonts w:eastAsia="Calibri"/>
                <w:sz w:val="20"/>
                <w:szCs w:val="20"/>
                <w:vertAlign w:val="superscript"/>
              </w:rPr>
              <w:t>16</w:t>
            </w:r>
            <w:r w:rsidRPr="00154588">
              <w:rPr>
                <w:rFonts w:eastAsia="Calibri"/>
                <w:sz w:val="20"/>
                <w:szCs w:val="20"/>
              </w:rPr>
              <w:t>-31</w:t>
            </w:r>
            <w:r w:rsidRPr="00154588">
              <w:rPr>
                <w:rFonts w:eastAsia="Calibri"/>
                <w:sz w:val="20"/>
                <w:szCs w:val="20"/>
                <w:vertAlign w:val="superscript"/>
              </w:rPr>
              <w:t>23</w:t>
            </w:r>
            <w:r w:rsidRPr="00154588">
              <w:rPr>
                <w:rFonts w:eastAsia="Calibri"/>
                <w:sz w:val="20"/>
                <w:szCs w:val="20"/>
              </w:rPr>
              <w:t>, cu excepția cazului în care autoritățile de rezoluție, printre care și Banca Națională a Moldovei, în calitate de autoritate de rezoluție,  având în vedere circumstanțele cazului, că obiectivele rezoluției vor fi obținute mai eficace prin întreprinderea de acțiuni care nu sunt prevăzute în planurile de rezoluție;</w:t>
            </w:r>
          </w:p>
          <w:p w14:paraId="41058C0A" w14:textId="77777777" w:rsidR="00EB243D" w:rsidRPr="00154588" w:rsidRDefault="00EB243D" w:rsidP="008C12B4">
            <w:pPr>
              <w:ind w:firstLine="567"/>
              <w:jc w:val="both"/>
              <w:rPr>
                <w:rFonts w:eastAsia="Calibri"/>
                <w:sz w:val="20"/>
                <w:szCs w:val="20"/>
              </w:rPr>
            </w:pPr>
            <w:r w:rsidRPr="00154588">
              <w:rPr>
                <w:rFonts w:eastAsia="Calibri"/>
                <w:sz w:val="20"/>
                <w:szCs w:val="20"/>
              </w:rPr>
              <w:t>b) să descrie acțiunile de rezoluție care ar trebui întreprinse de autoritățile de rezoluție relevante în legătură cu întreprinderea-mamă din Uniunea Europeană sau cu anumite entități din grup în scopul de a îndeplini obiectivele rezoluției și principiile prevăzute la art.55-57 și art.61-65;</w:t>
            </w:r>
          </w:p>
          <w:p w14:paraId="0CDA4343" w14:textId="77777777" w:rsidR="00EB243D" w:rsidRPr="00154588" w:rsidRDefault="00EB243D" w:rsidP="008C12B4">
            <w:pPr>
              <w:ind w:firstLine="567"/>
              <w:jc w:val="both"/>
              <w:rPr>
                <w:rFonts w:eastAsia="Calibri"/>
                <w:sz w:val="20"/>
                <w:szCs w:val="20"/>
              </w:rPr>
            </w:pPr>
            <w:r w:rsidRPr="00154588">
              <w:rPr>
                <w:rFonts w:eastAsia="Calibri"/>
                <w:sz w:val="20"/>
                <w:szCs w:val="20"/>
              </w:rPr>
              <w:t>c) să precizeze modul în care trebuie coordonate aceste acțiuni de rezoluție;</w:t>
            </w:r>
          </w:p>
          <w:p w14:paraId="36E669F2" w14:textId="66D285D0" w:rsidR="00EB243D" w:rsidRPr="00154588" w:rsidRDefault="00EB243D" w:rsidP="008C12B4">
            <w:pPr>
              <w:ind w:firstLine="567"/>
              <w:jc w:val="both"/>
              <w:rPr>
                <w:rFonts w:eastAsia="Calibri"/>
                <w:sz w:val="20"/>
                <w:szCs w:val="20"/>
              </w:rPr>
            </w:pPr>
            <w:r w:rsidRPr="00154588">
              <w:rPr>
                <w:rFonts w:eastAsia="Calibri"/>
                <w:sz w:val="20"/>
                <w:szCs w:val="20"/>
              </w:rPr>
              <w:lastRenderedPageBreak/>
              <w:t>d) să stabilească un plan de finanțare care să țină cont de planul de rezoluție a grupului, de principiile de partajare a responsabilității stabilite în conformitate cu prevederile art.31</w:t>
            </w:r>
            <w:r w:rsidRPr="00154588">
              <w:rPr>
                <w:rFonts w:eastAsia="Calibri"/>
                <w:sz w:val="20"/>
                <w:szCs w:val="20"/>
                <w:vertAlign w:val="superscript"/>
              </w:rPr>
              <w:t>3</w:t>
            </w:r>
            <w:r w:rsidRPr="00154588">
              <w:rPr>
                <w:rFonts w:eastAsia="Calibri"/>
                <w:sz w:val="20"/>
                <w:szCs w:val="20"/>
              </w:rPr>
              <w:t xml:space="preserve"> alin.(1) lit.f) și de mutualizare astfel cum este prevăzut la art.313</w:t>
            </w:r>
            <w:r w:rsidRPr="00154588">
              <w:rPr>
                <w:rFonts w:eastAsia="Calibri"/>
                <w:sz w:val="20"/>
                <w:szCs w:val="20"/>
                <w:vertAlign w:val="superscript"/>
              </w:rPr>
              <w:t>4</w:t>
            </w:r>
            <w:r w:rsidRPr="00154588">
              <w:rPr>
                <w:rFonts w:eastAsia="Calibri"/>
                <w:sz w:val="20"/>
                <w:szCs w:val="20"/>
              </w:rPr>
              <w:t>-313</w:t>
            </w:r>
            <w:r w:rsidRPr="00154588">
              <w:rPr>
                <w:rFonts w:eastAsia="Calibri"/>
                <w:sz w:val="20"/>
                <w:szCs w:val="20"/>
                <w:vertAlign w:val="superscript"/>
              </w:rPr>
              <w:t>7</w:t>
            </w:r>
            <w:r w:rsidRPr="00154588">
              <w:rPr>
                <w:rFonts w:eastAsia="Calibri"/>
                <w:sz w:val="20"/>
                <w:szCs w:val="20"/>
              </w:rPr>
              <w:t>.</w:t>
            </w:r>
          </w:p>
        </w:tc>
        <w:tc>
          <w:tcPr>
            <w:tcW w:w="2552" w:type="dxa"/>
          </w:tcPr>
          <w:p w14:paraId="407B35CA" w14:textId="10875C8C" w:rsidR="00EB243D" w:rsidRPr="00154588" w:rsidRDefault="00EB243D" w:rsidP="008C12B4">
            <w:pPr>
              <w:jc w:val="both"/>
              <w:rPr>
                <w:sz w:val="20"/>
                <w:szCs w:val="20"/>
              </w:rPr>
            </w:pPr>
            <w:r w:rsidRPr="00154588">
              <w:rPr>
                <w:sz w:val="20"/>
                <w:szCs w:val="20"/>
              </w:rPr>
              <w:lastRenderedPageBreak/>
              <w:t>Compatibil</w:t>
            </w:r>
          </w:p>
        </w:tc>
        <w:tc>
          <w:tcPr>
            <w:tcW w:w="3118" w:type="dxa"/>
          </w:tcPr>
          <w:p w14:paraId="51CB6E28" w14:textId="77777777" w:rsidR="00EB243D" w:rsidRPr="00154588" w:rsidRDefault="00EB243D" w:rsidP="008C12B4">
            <w:pPr>
              <w:jc w:val="both"/>
              <w:rPr>
                <w:sz w:val="20"/>
                <w:szCs w:val="20"/>
              </w:rPr>
            </w:pPr>
          </w:p>
        </w:tc>
      </w:tr>
      <w:tr w:rsidR="00EB243D" w:rsidRPr="00154588" w14:paraId="3869573E" w14:textId="77777777" w:rsidTr="00D15C1B">
        <w:trPr>
          <w:jc w:val="center"/>
        </w:trPr>
        <w:tc>
          <w:tcPr>
            <w:tcW w:w="4957" w:type="dxa"/>
            <w:gridSpan w:val="2"/>
          </w:tcPr>
          <w:p w14:paraId="10E15869" w14:textId="77777777" w:rsidR="00EB243D" w:rsidRPr="00154588" w:rsidRDefault="00EB243D" w:rsidP="008C12B4">
            <w:pPr>
              <w:jc w:val="both"/>
              <w:rPr>
                <w:sz w:val="20"/>
                <w:szCs w:val="20"/>
              </w:rPr>
            </w:pPr>
            <w:r w:rsidRPr="00154588">
              <w:rPr>
                <w:sz w:val="20"/>
                <w:szCs w:val="20"/>
              </w:rPr>
              <w:t>(7)   Sub rezerva alineatului (8), schema de rezoluție a grupului ia forma unei decizii comune a autorității de rezoluție la nivel de grup și a autorităților de rezoluție responsabile de filialele care fac obiectul acestei scheme.</w:t>
            </w:r>
          </w:p>
          <w:p w14:paraId="300971D0" w14:textId="77777777" w:rsidR="00EB243D" w:rsidRPr="00154588" w:rsidRDefault="00EB243D" w:rsidP="008C12B4">
            <w:pPr>
              <w:jc w:val="both"/>
              <w:rPr>
                <w:sz w:val="20"/>
                <w:szCs w:val="20"/>
              </w:rPr>
            </w:pPr>
          </w:p>
          <w:p w14:paraId="755FFED8" w14:textId="77777777" w:rsidR="00EB243D" w:rsidRPr="00154588" w:rsidRDefault="00EB243D" w:rsidP="008C12B4">
            <w:pPr>
              <w:jc w:val="both"/>
              <w:rPr>
                <w:sz w:val="20"/>
                <w:szCs w:val="20"/>
              </w:rPr>
            </w:pPr>
          </w:p>
          <w:p w14:paraId="7EC08CD7" w14:textId="77777777" w:rsidR="00EB243D" w:rsidRPr="00154588" w:rsidRDefault="00EB243D" w:rsidP="008C12B4">
            <w:pPr>
              <w:jc w:val="both"/>
              <w:rPr>
                <w:sz w:val="20"/>
                <w:szCs w:val="20"/>
              </w:rPr>
            </w:pPr>
          </w:p>
          <w:p w14:paraId="3BE8155B" w14:textId="77777777" w:rsidR="00EB243D" w:rsidRPr="00154588" w:rsidRDefault="00EB243D" w:rsidP="008C12B4">
            <w:pPr>
              <w:jc w:val="both"/>
              <w:rPr>
                <w:sz w:val="20"/>
                <w:szCs w:val="20"/>
              </w:rPr>
            </w:pPr>
          </w:p>
          <w:p w14:paraId="30E560BD" w14:textId="51882AA2" w:rsidR="00EB243D" w:rsidRPr="00154588" w:rsidRDefault="00EB243D" w:rsidP="008C12B4">
            <w:pPr>
              <w:jc w:val="both"/>
              <w:rPr>
                <w:sz w:val="20"/>
                <w:szCs w:val="20"/>
              </w:rPr>
            </w:pPr>
            <w:r w:rsidRPr="00154588">
              <w:rPr>
                <w:sz w:val="20"/>
                <w:szCs w:val="20"/>
              </w:rPr>
              <w:t>ABE poate, la cererea unei autorități de rezoluție, să acorde asistență autorităților de rezoluție, pentru obținerea unei decizii comune în conformitate cu articolul 31 litera (c) din Regulamentul (UE) nr. 1093/2010.</w:t>
            </w:r>
          </w:p>
        </w:tc>
        <w:tc>
          <w:tcPr>
            <w:tcW w:w="4819" w:type="dxa"/>
          </w:tcPr>
          <w:p w14:paraId="4AC5F366" w14:textId="77777777" w:rsidR="00EB243D" w:rsidRPr="00154588" w:rsidRDefault="00EB243D" w:rsidP="008C12B4">
            <w:pPr>
              <w:ind w:firstLine="567"/>
              <w:jc w:val="both"/>
              <w:rPr>
                <w:rFonts w:eastAsia="Calibri"/>
                <w:sz w:val="20"/>
                <w:szCs w:val="20"/>
              </w:rPr>
            </w:pPr>
            <w:r w:rsidRPr="00154588">
              <w:rPr>
                <w:rFonts w:eastAsia="Calibri"/>
                <w:b/>
                <w:sz w:val="20"/>
                <w:szCs w:val="20"/>
              </w:rPr>
              <w:t>Articolul 295</w:t>
            </w:r>
            <w:r w:rsidRPr="00154588">
              <w:rPr>
                <w:rFonts w:eastAsia="Calibri"/>
                <w:b/>
                <w:sz w:val="20"/>
                <w:szCs w:val="20"/>
                <w:vertAlign w:val="superscript"/>
              </w:rPr>
              <w:t>35</w:t>
            </w:r>
            <w:r w:rsidRPr="00154588">
              <w:rPr>
                <w:rFonts w:eastAsia="Calibri"/>
                <w:b/>
                <w:sz w:val="20"/>
                <w:szCs w:val="20"/>
              </w:rPr>
              <w:t xml:space="preserve">. – </w:t>
            </w:r>
            <w:r w:rsidRPr="00154588">
              <w:rPr>
                <w:rFonts w:eastAsia="Calibri"/>
                <w:sz w:val="20"/>
                <w:szCs w:val="20"/>
              </w:rPr>
              <w:t>(1) În conformitate cu prevederile art.295</w:t>
            </w:r>
            <w:r w:rsidRPr="00154588">
              <w:rPr>
                <w:rFonts w:eastAsia="Calibri"/>
                <w:sz w:val="20"/>
                <w:szCs w:val="20"/>
                <w:vertAlign w:val="superscript"/>
              </w:rPr>
              <w:t>36</w:t>
            </w:r>
            <w:r w:rsidRPr="00154588">
              <w:rPr>
                <w:rFonts w:eastAsia="Calibri"/>
                <w:sz w:val="20"/>
                <w:szCs w:val="20"/>
              </w:rPr>
              <w:t>, schema de rezoluție a grupului ia forma unei decizii comune a autorității de rezoluție la nivel de grup și a Băncii Naționale a Moldovei, în calitate de autoritate de rezoluție la nivel individual, și a celorlalte autorități de rezoluție responsabile de filialele care fac obiectul acestei scheme.</w:t>
            </w:r>
          </w:p>
          <w:p w14:paraId="6ABD0587" w14:textId="59ED7325" w:rsidR="00EB243D" w:rsidRPr="00154588" w:rsidRDefault="00EB243D" w:rsidP="008C12B4">
            <w:pPr>
              <w:ind w:firstLine="567"/>
              <w:jc w:val="both"/>
              <w:rPr>
                <w:rFonts w:eastAsia="Calibri"/>
                <w:sz w:val="20"/>
                <w:szCs w:val="20"/>
              </w:rPr>
            </w:pPr>
            <w:r w:rsidRPr="00154588">
              <w:rPr>
                <w:rFonts w:eastAsia="Calibri"/>
                <w:sz w:val="20"/>
                <w:szCs w:val="20"/>
              </w:rPr>
              <w:t>(2) Banca Națională a Moldovei, în calitate de autoritate de rezoluție la nivel individual, poate solicita Autorității Bancare Europene să acorde asistență autorităților de rezoluție implicate, pentru obținerea unei decizii comune în conformitate cu prevederile art.31 lit.c) din Regulamentul (UE) nr. 1093/2010.</w:t>
            </w:r>
          </w:p>
        </w:tc>
        <w:tc>
          <w:tcPr>
            <w:tcW w:w="2552" w:type="dxa"/>
          </w:tcPr>
          <w:p w14:paraId="708A0832" w14:textId="33F6316A" w:rsidR="00EB243D" w:rsidRPr="00154588" w:rsidRDefault="00EB243D" w:rsidP="008C12B4">
            <w:pPr>
              <w:jc w:val="both"/>
              <w:rPr>
                <w:sz w:val="20"/>
                <w:szCs w:val="20"/>
              </w:rPr>
            </w:pPr>
            <w:r w:rsidRPr="00154588">
              <w:rPr>
                <w:sz w:val="20"/>
                <w:szCs w:val="20"/>
              </w:rPr>
              <w:t>Compatibil</w:t>
            </w:r>
          </w:p>
        </w:tc>
        <w:tc>
          <w:tcPr>
            <w:tcW w:w="3118" w:type="dxa"/>
          </w:tcPr>
          <w:p w14:paraId="7A69658A" w14:textId="77777777" w:rsidR="00EB243D" w:rsidRPr="00154588" w:rsidRDefault="00EB243D" w:rsidP="008C12B4">
            <w:pPr>
              <w:jc w:val="both"/>
              <w:rPr>
                <w:sz w:val="20"/>
                <w:szCs w:val="20"/>
              </w:rPr>
            </w:pPr>
          </w:p>
        </w:tc>
      </w:tr>
      <w:tr w:rsidR="00EB243D" w:rsidRPr="00154588" w14:paraId="426C5358" w14:textId="77777777" w:rsidTr="00D15C1B">
        <w:trPr>
          <w:jc w:val="center"/>
        </w:trPr>
        <w:tc>
          <w:tcPr>
            <w:tcW w:w="4957" w:type="dxa"/>
            <w:gridSpan w:val="2"/>
          </w:tcPr>
          <w:p w14:paraId="0795A6EE" w14:textId="2B6793E9" w:rsidR="00EB243D" w:rsidRPr="00154588" w:rsidRDefault="00EB243D" w:rsidP="008C12B4">
            <w:pPr>
              <w:jc w:val="both"/>
              <w:rPr>
                <w:sz w:val="20"/>
                <w:szCs w:val="20"/>
              </w:rPr>
            </w:pPr>
            <w:r w:rsidRPr="00154588">
              <w:rPr>
                <w:sz w:val="20"/>
                <w:szCs w:val="20"/>
              </w:rPr>
              <w:t>(8)   În cazul în care oricare dintre autoritățile de rezoluție nu este de acord cu schema de rezoluție a grupului propusă de autoritatea de rezoluție la nivel de grup sau se abate de la aceasta sau consideră că, din motive de stabilitate financiară, trebuie să ia măsuri de rezoluție independente sau alte măsuri decât cele propuse în schemă în raport cu o instituție sau cu o entitate menționată la articolul 1 alineatul (1) litera (b), (c) sau (d), ea prezintă în detaliu motivele dezacordului sau motivele abaterii de la schema de rezoluție, le notifică autorității de rezoluție a grupului și celorlalte autorități de rezoluție care fac obiectul schemei de rezoluție la nivel de grup și informează aceste autorități cu privire la acțiunile sau măsurile pe care le va lua. Atunci când prezintă motivele dezacordului său, autoritatea de rezoluție respectivă ține seama de planurile de rezoluție menționate la articolul 13, de impactul potențial asupra stabilității financiare din statele membre în cauză, precum și de efectul potențial al acțiunilor sau măsurilor asupra altor părți ale grupului.</w:t>
            </w:r>
          </w:p>
        </w:tc>
        <w:tc>
          <w:tcPr>
            <w:tcW w:w="4819" w:type="dxa"/>
          </w:tcPr>
          <w:p w14:paraId="1331B648" w14:textId="63EA7F3A"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36</w:t>
            </w:r>
            <w:r w:rsidRPr="00154588">
              <w:rPr>
                <w:rFonts w:eastAsia="Calibri"/>
                <w:b/>
                <w:kern w:val="2"/>
                <w:sz w:val="20"/>
                <w:szCs w:val="20"/>
                <w14:ligatures w14:val="standardContextual"/>
              </w:rPr>
              <w:t>.</w:t>
            </w:r>
            <w:r w:rsidRPr="00154588">
              <w:rPr>
                <w:rFonts w:eastAsia="Calibri"/>
                <w:kern w:val="2"/>
                <w:sz w:val="20"/>
                <w:szCs w:val="20"/>
                <w14:ligatures w14:val="standardContextual"/>
              </w:rPr>
              <w:t xml:space="preserve"> –În cazul în care oricare din celelalte autorități de rezoluție, inclusiv, după caz, Banca Națională a Moldovei, în calitate de autoritate de rezoluție la nivel individual, nu este de acord cu schema de rezoluție a grupului propusă de autoritatea de rezoluție la nivel de grup sau se îndepărtează de la aceasta sau consideră că, din motive de stabilitate financiară, trebuie să întreprindă acțiuni de rezoluție independente sau alte măsuri decât cele propuse în schemă în legătură cu o instituție sau cu o entitate prevăzută la art.1 alin.(1) lit.b), c) sau d), aceasta prezintă în detaliu motivele dezacordului sau motivele abaterii de la schema de rezoluție, le notifică autorității de rezoluție a grupului și celorlalte autorități de rezoluție care fac obiectul schemei de rezoluție la nivel de grup și informează aceste autorități cu privire la acțiunile sau măsurile pe care le va lua. Atunci când prezintă motivele dezacordului său, Banca Națională a Moldovei, în calitate de autoritate de rezoluție la nivel individual, ține seama de planurile de rezoluție prevăzute la art.31</w:t>
            </w:r>
            <w:r w:rsidRPr="00154588">
              <w:rPr>
                <w:rFonts w:eastAsia="Calibri"/>
                <w:kern w:val="2"/>
                <w:sz w:val="20"/>
                <w:szCs w:val="20"/>
                <w:vertAlign w:val="superscript"/>
                <w14:ligatures w14:val="standardContextual"/>
              </w:rPr>
              <w:t>16</w:t>
            </w:r>
            <w:r w:rsidRPr="00154588">
              <w:rPr>
                <w:rFonts w:eastAsia="Calibri"/>
                <w:kern w:val="2"/>
                <w:sz w:val="20"/>
                <w:szCs w:val="20"/>
                <w14:ligatures w14:val="standardContextual"/>
              </w:rPr>
              <w:t>-31</w:t>
            </w:r>
            <w:r w:rsidRPr="00154588">
              <w:rPr>
                <w:rFonts w:eastAsia="Calibri"/>
                <w:kern w:val="2"/>
                <w:sz w:val="20"/>
                <w:szCs w:val="20"/>
                <w:vertAlign w:val="superscript"/>
                <w14:ligatures w14:val="standardContextual"/>
              </w:rPr>
              <w:t>23</w:t>
            </w:r>
            <w:r w:rsidRPr="00154588">
              <w:rPr>
                <w:rFonts w:eastAsia="Calibri"/>
                <w:kern w:val="2"/>
                <w:sz w:val="20"/>
                <w:szCs w:val="20"/>
                <w14:ligatures w14:val="standardContextual"/>
              </w:rPr>
              <w:t>, de impactul potențial asupra stabilității financiare din statele membre în cauză, precum și de efectul potențial al acțiunilor sau măsurilor asupra altor părți ale grupului.</w:t>
            </w:r>
          </w:p>
        </w:tc>
        <w:tc>
          <w:tcPr>
            <w:tcW w:w="2552" w:type="dxa"/>
          </w:tcPr>
          <w:p w14:paraId="752A9602" w14:textId="06D27F16" w:rsidR="00EB243D" w:rsidRPr="00154588" w:rsidRDefault="00EB243D" w:rsidP="008C12B4">
            <w:pPr>
              <w:jc w:val="both"/>
              <w:rPr>
                <w:sz w:val="20"/>
                <w:szCs w:val="20"/>
              </w:rPr>
            </w:pPr>
            <w:r w:rsidRPr="00154588">
              <w:rPr>
                <w:sz w:val="20"/>
                <w:szCs w:val="20"/>
              </w:rPr>
              <w:t>Compatibil</w:t>
            </w:r>
          </w:p>
        </w:tc>
        <w:tc>
          <w:tcPr>
            <w:tcW w:w="3118" w:type="dxa"/>
          </w:tcPr>
          <w:p w14:paraId="7DC9D138" w14:textId="77777777" w:rsidR="00EB243D" w:rsidRPr="00154588" w:rsidRDefault="00EB243D" w:rsidP="008C12B4">
            <w:pPr>
              <w:jc w:val="both"/>
              <w:rPr>
                <w:sz w:val="20"/>
                <w:szCs w:val="20"/>
              </w:rPr>
            </w:pPr>
          </w:p>
        </w:tc>
      </w:tr>
      <w:tr w:rsidR="00EB243D" w:rsidRPr="00154588" w14:paraId="50072557" w14:textId="77777777" w:rsidTr="00D15C1B">
        <w:trPr>
          <w:jc w:val="center"/>
        </w:trPr>
        <w:tc>
          <w:tcPr>
            <w:tcW w:w="4957" w:type="dxa"/>
            <w:gridSpan w:val="2"/>
          </w:tcPr>
          <w:p w14:paraId="18975630" w14:textId="7268265D" w:rsidR="00EB243D" w:rsidRPr="00154588" w:rsidRDefault="00EB243D" w:rsidP="008C12B4">
            <w:pPr>
              <w:jc w:val="both"/>
              <w:rPr>
                <w:sz w:val="20"/>
                <w:szCs w:val="20"/>
              </w:rPr>
            </w:pPr>
            <w:r w:rsidRPr="00154588">
              <w:rPr>
                <w:sz w:val="20"/>
                <w:szCs w:val="20"/>
              </w:rPr>
              <w:lastRenderedPageBreak/>
              <w:t>(9)   Autoritățile de rezoluție care nu și-au exprimat dezacordul în temeiul alineatului (8) pot ajunge la o decizie comună privind o schemă de rezoluție a grupului care acoperă entitățile din grup aflate statul membru.</w:t>
            </w:r>
          </w:p>
        </w:tc>
        <w:tc>
          <w:tcPr>
            <w:tcW w:w="4819" w:type="dxa"/>
          </w:tcPr>
          <w:p w14:paraId="00D23A72" w14:textId="7BC96DFF" w:rsidR="00EB243D" w:rsidRPr="00154588" w:rsidRDefault="00EB243D" w:rsidP="008C12B4">
            <w:pPr>
              <w:jc w:val="both"/>
              <w:rPr>
                <w:b/>
                <w:sz w:val="20"/>
                <w:szCs w:val="20"/>
              </w:rPr>
            </w:pPr>
            <w:r w:rsidRPr="00154588">
              <w:rPr>
                <w:b/>
                <w:sz w:val="20"/>
                <w:szCs w:val="20"/>
              </w:rPr>
              <w:t>Articolul 295</w:t>
            </w:r>
            <w:r w:rsidRPr="00154588">
              <w:rPr>
                <w:b/>
                <w:sz w:val="20"/>
                <w:szCs w:val="20"/>
                <w:vertAlign w:val="superscript"/>
              </w:rPr>
              <w:t>37</w:t>
            </w:r>
            <w:r w:rsidRPr="00154588">
              <w:rPr>
                <w:b/>
                <w:sz w:val="20"/>
                <w:szCs w:val="20"/>
              </w:rPr>
              <w:t xml:space="preserve">. – </w:t>
            </w:r>
            <w:r w:rsidRPr="00154588">
              <w:rPr>
                <w:sz w:val="20"/>
                <w:szCs w:val="20"/>
              </w:rPr>
              <w:t>Autoritățile de rezoluție care nu și-au exprimat dezacordul în temeiul art.295</w:t>
            </w:r>
            <w:r w:rsidRPr="00154588">
              <w:rPr>
                <w:sz w:val="20"/>
                <w:szCs w:val="20"/>
                <w:vertAlign w:val="superscript"/>
              </w:rPr>
              <w:t>36</w:t>
            </w:r>
            <w:r w:rsidRPr="00154588">
              <w:rPr>
                <w:sz w:val="20"/>
                <w:szCs w:val="20"/>
              </w:rPr>
              <w:t>, inclusiv, după caz, Banca Națională a Moldovei, în calitate de autoritate de rezoluție la nivel individual, pot ajunge la o decizie comună privind o schemă de rezoluție a grupului care acoperă entitățile din grup aflate în statul lor membru.</w:t>
            </w:r>
          </w:p>
        </w:tc>
        <w:tc>
          <w:tcPr>
            <w:tcW w:w="2552" w:type="dxa"/>
          </w:tcPr>
          <w:p w14:paraId="1C18D413" w14:textId="54621EB8" w:rsidR="00EB243D" w:rsidRPr="00154588" w:rsidRDefault="00EB243D" w:rsidP="008C12B4">
            <w:pPr>
              <w:jc w:val="both"/>
              <w:rPr>
                <w:sz w:val="20"/>
                <w:szCs w:val="20"/>
              </w:rPr>
            </w:pPr>
            <w:r w:rsidRPr="00154588">
              <w:rPr>
                <w:sz w:val="20"/>
                <w:szCs w:val="20"/>
              </w:rPr>
              <w:t>Compatibil</w:t>
            </w:r>
          </w:p>
        </w:tc>
        <w:tc>
          <w:tcPr>
            <w:tcW w:w="3118" w:type="dxa"/>
          </w:tcPr>
          <w:p w14:paraId="7F8C9A44" w14:textId="77777777" w:rsidR="00EB243D" w:rsidRPr="00154588" w:rsidRDefault="00EB243D" w:rsidP="008C12B4">
            <w:pPr>
              <w:jc w:val="both"/>
              <w:rPr>
                <w:sz w:val="20"/>
                <w:szCs w:val="20"/>
              </w:rPr>
            </w:pPr>
          </w:p>
        </w:tc>
      </w:tr>
      <w:tr w:rsidR="00EB243D" w:rsidRPr="00154588" w14:paraId="19179E9A" w14:textId="77777777" w:rsidTr="00D15C1B">
        <w:trPr>
          <w:jc w:val="center"/>
        </w:trPr>
        <w:tc>
          <w:tcPr>
            <w:tcW w:w="4957" w:type="dxa"/>
            <w:gridSpan w:val="2"/>
          </w:tcPr>
          <w:p w14:paraId="6DED85C3" w14:textId="7A4A1D1E" w:rsidR="00EB243D" w:rsidRPr="00154588" w:rsidRDefault="00EB243D" w:rsidP="008C12B4">
            <w:pPr>
              <w:jc w:val="both"/>
              <w:rPr>
                <w:sz w:val="20"/>
                <w:szCs w:val="20"/>
              </w:rPr>
            </w:pPr>
            <w:r w:rsidRPr="00154588">
              <w:rPr>
                <w:sz w:val="20"/>
                <w:szCs w:val="20"/>
              </w:rPr>
              <w:t>(10)   Decizia comună menționată la alineatul (7) sau (9), precum și deciziile adoptate de autoritățile de rezoluție în absența deciziei comune, menționate la alineatul (8), sunt recunoscute ca fiind determinante și sunt aplicate de către autoritățile de rezoluție din statele membre în cauză.</w:t>
            </w:r>
          </w:p>
        </w:tc>
        <w:tc>
          <w:tcPr>
            <w:tcW w:w="4819" w:type="dxa"/>
          </w:tcPr>
          <w:p w14:paraId="4C316C12" w14:textId="4E3811D7"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38</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Decizia comună prevăzută la art. 295</w:t>
            </w:r>
            <w:r w:rsidRPr="00154588">
              <w:rPr>
                <w:rFonts w:eastAsia="Calibri"/>
                <w:kern w:val="2"/>
                <w:sz w:val="20"/>
                <w:szCs w:val="20"/>
                <w:vertAlign w:val="superscript"/>
                <w14:ligatures w14:val="standardContextual"/>
              </w:rPr>
              <w:t>35</w:t>
            </w:r>
            <w:r w:rsidRPr="00154588">
              <w:rPr>
                <w:rFonts w:eastAsia="Calibri"/>
                <w:kern w:val="2"/>
                <w:sz w:val="20"/>
                <w:szCs w:val="20"/>
                <w14:ligatures w14:val="standardContextual"/>
              </w:rPr>
              <w:t> sau 295</w:t>
            </w:r>
            <w:r w:rsidRPr="00154588">
              <w:rPr>
                <w:rFonts w:eastAsia="Calibri"/>
                <w:kern w:val="2"/>
                <w:sz w:val="20"/>
                <w:szCs w:val="20"/>
                <w:vertAlign w:val="superscript"/>
                <w14:ligatures w14:val="standardContextual"/>
              </w:rPr>
              <w:t>37</w:t>
            </w:r>
            <w:r w:rsidRPr="00154588">
              <w:rPr>
                <w:rFonts w:eastAsia="Calibri"/>
                <w:kern w:val="2"/>
                <w:sz w:val="20"/>
                <w:szCs w:val="20"/>
                <w14:ligatures w14:val="standardContextual"/>
              </w:rPr>
              <w:t>, precum și decizia adoptată în absența deciziei comune prevăzute la art. 295</w:t>
            </w:r>
            <w:r w:rsidRPr="00154588">
              <w:rPr>
                <w:rFonts w:eastAsia="Calibri"/>
                <w:kern w:val="2"/>
                <w:sz w:val="20"/>
                <w:szCs w:val="20"/>
                <w:vertAlign w:val="superscript"/>
                <w14:ligatures w14:val="standardContextual"/>
              </w:rPr>
              <w:t>36</w:t>
            </w:r>
            <w:r w:rsidRPr="00154588">
              <w:rPr>
                <w:rFonts w:eastAsia="Calibri"/>
                <w:kern w:val="2"/>
                <w:sz w:val="20"/>
                <w:szCs w:val="20"/>
                <w14:ligatures w14:val="standardContextual"/>
              </w:rPr>
              <w:t> este recunoscută ca fiind definitivă pe teritoriul Republicii Moldova și este aplicată în mod corespunzător.</w:t>
            </w:r>
          </w:p>
        </w:tc>
        <w:tc>
          <w:tcPr>
            <w:tcW w:w="2552" w:type="dxa"/>
          </w:tcPr>
          <w:p w14:paraId="1F0BCD7A" w14:textId="53416DBB" w:rsidR="00EB243D" w:rsidRPr="00154588" w:rsidRDefault="00EB243D" w:rsidP="008C12B4">
            <w:pPr>
              <w:jc w:val="both"/>
              <w:rPr>
                <w:sz w:val="20"/>
                <w:szCs w:val="20"/>
              </w:rPr>
            </w:pPr>
            <w:r w:rsidRPr="00154588">
              <w:rPr>
                <w:sz w:val="20"/>
                <w:szCs w:val="20"/>
              </w:rPr>
              <w:t>Compatibil</w:t>
            </w:r>
          </w:p>
        </w:tc>
        <w:tc>
          <w:tcPr>
            <w:tcW w:w="3118" w:type="dxa"/>
          </w:tcPr>
          <w:p w14:paraId="22D67A1E" w14:textId="77777777" w:rsidR="00EB243D" w:rsidRPr="00154588" w:rsidRDefault="00EB243D" w:rsidP="008C12B4">
            <w:pPr>
              <w:jc w:val="both"/>
              <w:rPr>
                <w:sz w:val="20"/>
                <w:szCs w:val="20"/>
              </w:rPr>
            </w:pPr>
          </w:p>
        </w:tc>
      </w:tr>
      <w:tr w:rsidR="00EB243D" w:rsidRPr="00154588" w14:paraId="13432592" w14:textId="77777777" w:rsidTr="00D15C1B">
        <w:trPr>
          <w:jc w:val="center"/>
        </w:trPr>
        <w:tc>
          <w:tcPr>
            <w:tcW w:w="4957" w:type="dxa"/>
            <w:gridSpan w:val="2"/>
          </w:tcPr>
          <w:p w14:paraId="6F72704B" w14:textId="0CF163A4" w:rsidR="00EB243D" w:rsidRPr="00154588" w:rsidRDefault="00EB243D" w:rsidP="008C12B4">
            <w:pPr>
              <w:jc w:val="both"/>
              <w:rPr>
                <w:sz w:val="20"/>
                <w:szCs w:val="20"/>
              </w:rPr>
            </w:pPr>
            <w:r w:rsidRPr="00154588">
              <w:rPr>
                <w:sz w:val="20"/>
                <w:szCs w:val="20"/>
              </w:rPr>
              <w:t>(11)   Autoritățile execută toate măsurile menționate la prezentul articol fără întârziere și ținând seama în mod corespunzător de caracterul urgent al situației.</w:t>
            </w:r>
          </w:p>
        </w:tc>
        <w:tc>
          <w:tcPr>
            <w:tcW w:w="4819" w:type="dxa"/>
          </w:tcPr>
          <w:p w14:paraId="144AE369" w14:textId="3AEF7FFA"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39</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Autoritățile din Republica Moldova implicate în rezoluție întreprind toate acțiunile prevăzute la art. 295</w:t>
            </w:r>
            <w:r w:rsidRPr="00154588">
              <w:rPr>
                <w:rFonts w:eastAsia="Calibri"/>
                <w:kern w:val="2"/>
                <w:sz w:val="20"/>
                <w:szCs w:val="20"/>
                <w:vertAlign w:val="superscript"/>
                <w14:ligatures w14:val="standardContextual"/>
              </w:rPr>
              <w:t>30</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41</w:t>
            </w:r>
            <w:r w:rsidRPr="00154588">
              <w:rPr>
                <w:rFonts w:eastAsia="Calibri"/>
                <w:kern w:val="2"/>
                <w:sz w:val="20"/>
                <w:szCs w:val="20"/>
                <w14:ligatures w14:val="standardContextual"/>
              </w:rPr>
              <w:t> fără întârziere și ținând seama în mod corespunzător de caracterul urgent al situației.</w:t>
            </w:r>
          </w:p>
        </w:tc>
        <w:tc>
          <w:tcPr>
            <w:tcW w:w="2552" w:type="dxa"/>
          </w:tcPr>
          <w:p w14:paraId="1802F7DB" w14:textId="101B8690" w:rsidR="00EB243D" w:rsidRPr="00154588" w:rsidRDefault="00EB243D" w:rsidP="008C12B4">
            <w:pPr>
              <w:jc w:val="both"/>
              <w:rPr>
                <w:sz w:val="20"/>
                <w:szCs w:val="20"/>
              </w:rPr>
            </w:pPr>
            <w:r w:rsidRPr="00154588">
              <w:rPr>
                <w:sz w:val="20"/>
                <w:szCs w:val="20"/>
              </w:rPr>
              <w:t>Compatibil</w:t>
            </w:r>
          </w:p>
        </w:tc>
        <w:tc>
          <w:tcPr>
            <w:tcW w:w="3118" w:type="dxa"/>
          </w:tcPr>
          <w:p w14:paraId="44EB55B0" w14:textId="77777777" w:rsidR="00EB243D" w:rsidRPr="00154588" w:rsidRDefault="00EB243D" w:rsidP="008C12B4">
            <w:pPr>
              <w:jc w:val="both"/>
              <w:rPr>
                <w:sz w:val="20"/>
                <w:szCs w:val="20"/>
              </w:rPr>
            </w:pPr>
          </w:p>
        </w:tc>
      </w:tr>
      <w:tr w:rsidR="00EB243D" w:rsidRPr="00154588" w14:paraId="21074ECF" w14:textId="77777777" w:rsidTr="00D15C1B">
        <w:trPr>
          <w:jc w:val="center"/>
        </w:trPr>
        <w:tc>
          <w:tcPr>
            <w:tcW w:w="4957" w:type="dxa"/>
            <w:gridSpan w:val="2"/>
          </w:tcPr>
          <w:p w14:paraId="003A86A2" w14:textId="12CBCDB1" w:rsidR="00EB243D" w:rsidRPr="00154588" w:rsidRDefault="00EB243D" w:rsidP="008C12B4">
            <w:pPr>
              <w:jc w:val="both"/>
              <w:rPr>
                <w:sz w:val="20"/>
                <w:szCs w:val="20"/>
              </w:rPr>
            </w:pPr>
            <w:r w:rsidRPr="00154588">
              <w:rPr>
                <w:sz w:val="20"/>
                <w:szCs w:val="20"/>
              </w:rPr>
              <w:t>(12)   În toate situațiile în care nu este pusă în aplicare o schemă de rezoluție a grupului, iar autoritățile de rezoluție aplică măsuri de rezoluție în legătură cu oricare entitate din grup, autoritățile de rezoluție respective cooperează îndeaproape în cadrul colegiului de rezoluție în vederea realizării unei strategii de rezoluție coordonate pentru toate entitățile din grup care este în curs de a intra în dificultate sau sunt susceptibile de a intra în dificultate.</w:t>
            </w:r>
          </w:p>
        </w:tc>
        <w:tc>
          <w:tcPr>
            <w:tcW w:w="4819" w:type="dxa"/>
          </w:tcPr>
          <w:p w14:paraId="604B9D63" w14:textId="4D8DBB62" w:rsidR="00EB243D" w:rsidRPr="00154588" w:rsidRDefault="00EB243D" w:rsidP="008C12B4">
            <w:pPr>
              <w:jc w:val="both"/>
              <w:rPr>
                <w:b/>
                <w:sz w:val="20"/>
                <w:szCs w:val="20"/>
              </w:rPr>
            </w:pPr>
            <w:r w:rsidRPr="00154588">
              <w:rPr>
                <w:b/>
                <w:sz w:val="20"/>
                <w:szCs w:val="20"/>
              </w:rPr>
              <w:t>Articolul 295</w:t>
            </w:r>
            <w:r w:rsidRPr="00154588">
              <w:rPr>
                <w:b/>
                <w:sz w:val="20"/>
                <w:szCs w:val="20"/>
                <w:vertAlign w:val="superscript"/>
              </w:rPr>
              <w:t>40</w:t>
            </w:r>
            <w:r w:rsidRPr="00154588">
              <w:rPr>
                <w:b/>
                <w:sz w:val="20"/>
                <w:szCs w:val="20"/>
              </w:rPr>
              <w:t xml:space="preserve">. – </w:t>
            </w:r>
            <w:r w:rsidRPr="00154588">
              <w:rPr>
                <w:sz w:val="20"/>
                <w:szCs w:val="20"/>
              </w:rPr>
              <w:t>În toate situațiile în care nu este pusă în aplicare o schemă de rezoluție a grupului, Banca Națională a Moldovei, în calitate de autoritate de rezoluție la nivel individual, în legătură cu oricare entitate din grup, cooperează îndeaproape, în cadrul colegiului de rezoluție, cu celelalte autorități de rezoluție care întreprind acțiuni de rezoluție, în vederea realizării unei strategii de rezoluție coordonate pentru toate entitățile din grup care sunt în curs de a  intra sau sunt susceptibile de a intra în dificultate.</w:t>
            </w:r>
          </w:p>
        </w:tc>
        <w:tc>
          <w:tcPr>
            <w:tcW w:w="2552" w:type="dxa"/>
          </w:tcPr>
          <w:p w14:paraId="4FE1C312" w14:textId="0B05FDCF" w:rsidR="00EB243D" w:rsidRPr="00154588" w:rsidRDefault="00EB243D" w:rsidP="008C12B4">
            <w:pPr>
              <w:jc w:val="both"/>
              <w:rPr>
                <w:sz w:val="20"/>
                <w:szCs w:val="20"/>
              </w:rPr>
            </w:pPr>
            <w:r w:rsidRPr="00154588">
              <w:rPr>
                <w:sz w:val="20"/>
                <w:szCs w:val="20"/>
              </w:rPr>
              <w:t>Compatibil</w:t>
            </w:r>
          </w:p>
        </w:tc>
        <w:tc>
          <w:tcPr>
            <w:tcW w:w="3118" w:type="dxa"/>
          </w:tcPr>
          <w:p w14:paraId="2305652E" w14:textId="77777777" w:rsidR="00EB243D" w:rsidRPr="00154588" w:rsidRDefault="00EB243D" w:rsidP="008C12B4">
            <w:pPr>
              <w:jc w:val="both"/>
              <w:rPr>
                <w:sz w:val="20"/>
                <w:szCs w:val="20"/>
              </w:rPr>
            </w:pPr>
          </w:p>
        </w:tc>
      </w:tr>
      <w:tr w:rsidR="00EB243D" w:rsidRPr="00154588" w14:paraId="5AFB2FE5" w14:textId="77777777" w:rsidTr="00D15C1B">
        <w:trPr>
          <w:jc w:val="center"/>
        </w:trPr>
        <w:tc>
          <w:tcPr>
            <w:tcW w:w="4957" w:type="dxa"/>
            <w:gridSpan w:val="2"/>
          </w:tcPr>
          <w:p w14:paraId="083983B7" w14:textId="4AD2458E" w:rsidR="00EB243D" w:rsidRPr="00154588" w:rsidRDefault="00EB243D" w:rsidP="008C12B4">
            <w:pPr>
              <w:jc w:val="both"/>
              <w:rPr>
                <w:sz w:val="20"/>
                <w:szCs w:val="20"/>
              </w:rPr>
            </w:pPr>
            <w:r w:rsidRPr="00154588">
              <w:rPr>
                <w:sz w:val="20"/>
                <w:szCs w:val="20"/>
              </w:rPr>
              <w:t>(13)   Autoritățile de rezoluție care iau orice măsură de rezoluție în raport cu oricare entitate din grup informează periodic și complet membrii colegiului de rezoluție cu privire la măsurile sau inițiativele respective și la aplicarea acestora.</w:t>
            </w:r>
          </w:p>
        </w:tc>
        <w:tc>
          <w:tcPr>
            <w:tcW w:w="4819" w:type="dxa"/>
          </w:tcPr>
          <w:p w14:paraId="217EB490" w14:textId="421B5B16"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41</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Banca Națională a Moldovei, în calitate de autoritate de rezoluție la nivel individual, informează periodic și pe deplin membrii colegiului de rezoluție cu privire la acțiunile sau măsurile luate în raport cu orice entitate din grup și la progresele înregistrate în legătură cu aplicarea acestora.</w:t>
            </w:r>
          </w:p>
        </w:tc>
        <w:tc>
          <w:tcPr>
            <w:tcW w:w="2552" w:type="dxa"/>
          </w:tcPr>
          <w:p w14:paraId="14E1AAD1" w14:textId="7FE6AA37" w:rsidR="00EB243D" w:rsidRPr="00154588" w:rsidRDefault="00EB243D" w:rsidP="008C12B4">
            <w:pPr>
              <w:jc w:val="both"/>
              <w:rPr>
                <w:sz w:val="20"/>
                <w:szCs w:val="20"/>
              </w:rPr>
            </w:pPr>
            <w:r w:rsidRPr="00154588">
              <w:rPr>
                <w:sz w:val="20"/>
                <w:szCs w:val="20"/>
              </w:rPr>
              <w:t>Compatibil</w:t>
            </w:r>
          </w:p>
        </w:tc>
        <w:tc>
          <w:tcPr>
            <w:tcW w:w="3118" w:type="dxa"/>
          </w:tcPr>
          <w:p w14:paraId="3062D7BD" w14:textId="77777777" w:rsidR="00EB243D" w:rsidRPr="00154588" w:rsidRDefault="00EB243D" w:rsidP="008C12B4">
            <w:pPr>
              <w:jc w:val="both"/>
              <w:rPr>
                <w:sz w:val="20"/>
                <w:szCs w:val="20"/>
              </w:rPr>
            </w:pPr>
          </w:p>
        </w:tc>
      </w:tr>
      <w:tr w:rsidR="00EB243D" w:rsidRPr="00154588" w14:paraId="317A878D" w14:textId="77777777" w:rsidTr="00D15C1B">
        <w:trPr>
          <w:jc w:val="center"/>
        </w:trPr>
        <w:tc>
          <w:tcPr>
            <w:tcW w:w="4957" w:type="dxa"/>
            <w:gridSpan w:val="2"/>
          </w:tcPr>
          <w:p w14:paraId="00033A92" w14:textId="77777777" w:rsidR="00EB243D" w:rsidRPr="00154588" w:rsidRDefault="00EB243D" w:rsidP="008C12B4">
            <w:pPr>
              <w:jc w:val="both"/>
              <w:rPr>
                <w:b/>
                <w:sz w:val="20"/>
                <w:szCs w:val="20"/>
              </w:rPr>
            </w:pPr>
            <w:r w:rsidRPr="00154588">
              <w:rPr>
                <w:b/>
                <w:sz w:val="20"/>
                <w:szCs w:val="20"/>
              </w:rPr>
              <w:t>Articolul 92</w:t>
            </w:r>
          </w:p>
          <w:p w14:paraId="16EA95F5" w14:textId="77777777" w:rsidR="00EB243D" w:rsidRPr="00154588" w:rsidRDefault="00EB243D" w:rsidP="008C12B4">
            <w:pPr>
              <w:jc w:val="both"/>
              <w:rPr>
                <w:b/>
                <w:sz w:val="20"/>
                <w:szCs w:val="20"/>
              </w:rPr>
            </w:pPr>
          </w:p>
          <w:p w14:paraId="24CD047B" w14:textId="4087A435" w:rsidR="00EB243D" w:rsidRPr="00154588" w:rsidRDefault="00EB243D" w:rsidP="008C12B4">
            <w:pPr>
              <w:jc w:val="both"/>
              <w:rPr>
                <w:sz w:val="20"/>
                <w:szCs w:val="20"/>
              </w:rPr>
            </w:pPr>
            <w:r w:rsidRPr="00154588">
              <w:rPr>
                <w:b/>
                <w:sz w:val="20"/>
                <w:szCs w:val="20"/>
              </w:rPr>
              <w:t>Rezoluția grupurilor</w:t>
            </w:r>
          </w:p>
        </w:tc>
        <w:tc>
          <w:tcPr>
            <w:tcW w:w="4819" w:type="dxa"/>
          </w:tcPr>
          <w:p w14:paraId="706D51D8" w14:textId="77777777" w:rsidR="00EB243D" w:rsidRPr="00154588" w:rsidRDefault="00EB243D" w:rsidP="008C12B4">
            <w:pPr>
              <w:jc w:val="center"/>
              <w:rPr>
                <w:rFonts w:eastAsia="Calibri"/>
                <w:b/>
                <w:sz w:val="20"/>
                <w:szCs w:val="20"/>
              </w:rPr>
            </w:pPr>
            <w:r w:rsidRPr="00154588">
              <w:rPr>
                <w:rFonts w:eastAsia="Calibri"/>
                <w:b/>
                <w:sz w:val="20"/>
                <w:szCs w:val="20"/>
              </w:rPr>
              <w:t>Capitolul VII</w:t>
            </w:r>
          </w:p>
          <w:p w14:paraId="2CE9CF32" w14:textId="77777777" w:rsidR="00EB243D" w:rsidRPr="00154588" w:rsidRDefault="00EB243D" w:rsidP="008C12B4">
            <w:pPr>
              <w:jc w:val="center"/>
              <w:rPr>
                <w:rFonts w:eastAsia="Calibri"/>
                <w:b/>
                <w:sz w:val="20"/>
                <w:szCs w:val="20"/>
              </w:rPr>
            </w:pPr>
            <w:r w:rsidRPr="00154588">
              <w:rPr>
                <w:rFonts w:eastAsia="Calibri"/>
                <w:b/>
                <w:sz w:val="20"/>
                <w:szCs w:val="20"/>
              </w:rPr>
              <w:t>REZOLUȚIA GRUPULUI ÎN CAZUL ÎN CARE</w:t>
            </w:r>
          </w:p>
          <w:p w14:paraId="20BE713B" w14:textId="77777777" w:rsidR="00EB243D" w:rsidRPr="00154588" w:rsidRDefault="00EB243D" w:rsidP="008C12B4">
            <w:pPr>
              <w:jc w:val="center"/>
              <w:rPr>
                <w:rFonts w:eastAsia="Calibri"/>
                <w:b/>
                <w:sz w:val="20"/>
                <w:szCs w:val="20"/>
              </w:rPr>
            </w:pPr>
            <w:r w:rsidRPr="00154588">
              <w:rPr>
                <w:rFonts w:eastAsia="Calibri"/>
                <w:b/>
                <w:sz w:val="20"/>
                <w:szCs w:val="20"/>
              </w:rPr>
              <w:t>BANCA NAȚIONALĂ A MOLDOVEI ESTE</w:t>
            </w:r>
          </w:p>
          <w:p w14:paraId="52040CEF" w14:textId="089D1AE3" w:rsidR="00EB243D" w:rsidRPr="00154588" w:rsidRDefault="00EB243D" w:rsidP="008C12B4">
            <w:pPr>
              <w:jc w:val="center"/>
              <w:rPr>
                <w:rFonts w:eastAsia="Calibri"/>
                <w:b/>
                <w:sz w:val="20"/>
                <w:szCs w:val="20"/>
              </w:rPr>
            </w:pPr>
            <w:r w:rsidRPr="00154588">
              <w:rPr>
                <w:rFonts w:eastAsia="Calibri"/>
                <w:b/>
                <w:sz w:val="20"/>
                <w:szCs w:val="20"/>
              </w:rPr>
              <w:t>AUTORITATEA DE REZOLUȚIE LA NIVEL DE GRUP</w:t>
            </w:r>
          </w:p>
        </w:tc>
        <w:tc>
          <w:tcPr>
            <w:tcW w:w="2552" w:type="dxa"/>
          </w:tcPr>
          <w:p w14:paraId="0ED6AE5E" w14:textId="77777777" w:rsidR="00EB243D" w:rsidRPr="00154588" w:rsidRDefault="00EB243D" w:rsidP="008C12B4">
            <w:pPr>
              <w:jc w:val="both"/>
              <w:rPr>
                <w:sz w:val="20"/>
                <w:szCs w:val="20"/>
              </w:rPr>
            </w:pPr>
          </w:p>
        </w:tc>
        <w:tc>
          <w:tcPr>
            <w:tcW w:w="3118" w:type="dxa"/>
          </w:tcPr>
          <w:p w14:paraId="5CEC07F1" w14:textId="77777777" w:rsidR="00EB243D" w:rsidRPr="00154588" w:rsidRDefault="00EB243D" w:rsidP="008C12B4">
            <w:pPr>
              <w:jc w:val="both"/>
              <w:rPr>
                <w:sz w:val="20"/>
                <w:szCs w:val="20"/>
              </w:rPr>
            </w:pPr>
          </w:p>
        </w:tc>
      </w:tr>
      <w:tr w:rsidR="00EB243D" w:rsidRPr="00154588" w14:paraId="41B603DF" w14:textId="77777777" w:rsidTr="00D15C1B">
        <w:trPr>
          <w:jc w:val="center"/>
        </w:trPr>
        <w:tc>
          <w:tcPr>
            <w:tcW w:w="4957" w:type="dxa"/>
            <w:gridSpan w:val="2"/>
          </w:tcPr>
          <w:p w14:paraId="6EEE8AF9" w14:textId="77777777" w:rsidR="00EB243D" w:rsidRPr="00154588" w:rsidRDefault="00EB243D" w:rsidP="008C12B4">
            <w:pPr>
              <w:jc w:val="both"/>
              <w:rPr>
                <w:sz w:val="20"/>
                <w:szCs w:val="20"/>
              </w:rPr>
            </w:pPr>
            <w:r w:rsidRPr="00154588">
              <w:rPr>
                <w:sz w:val="20"/>
                <w:szCs w:val="20"/>
              </w:rPr>
              <w:t xml:space="preserve">(1)   În cazul în care o autoritate de rezoluție la nivel de grup decide că o întreprindere-mamă din Uniune pentru care este competentă întrunește condițiile menționate la articolul 32 sau la articolul 33, aceasta </w:t>
            </w:r>
            <w:r w:rsidRPr="00154588">
              <w:rPr>
                <w:sz w:val="20"/>
                <w:szCs w:val="20"/>
              </w:rPr>
              <w:lastRenderedPageBreak/>
              <w:t>notifică fără întârziere informațiile prevăzute la articolul 91 alineatul (1) literele (a) și (b) supraveghetorului consolidant, dacă aceasta este o autoritate distinctă, precum și celorlalți membri ai colegiului de rezoluție al grupului în cauză.</w:t>
            </w:r>
          </w:p>
          <w:p w14:paraId="72275509" w14:textId="77777777" w:rsidR="00EB243D" w:rsidRPr="00154588" w:rsidRDefault="00EB243D" w:rsidP="008C12B4">
            <w:pPr>
              <w:jc w:val="both"/>
              <w:rPr>
                <w:sz w:val="20"/>
                <w:szCs w:val="20"/>
              </w:rPr>
            </w:pPr>
          </w:p>
          <w:p w14:paraId="50567116" w14:textId="719166F2" w:rsidR="00EB243D" w:rsidRPr="00154588" w:rsidRDefault="00EB243D" w:rsidP="008C12B4">
            <w:pPr>
              <w:jc w:val="both"/>
              <w:rPr>
                <w:sz w:val="20"/>
                <w:szCs w:val="20"/>
              </w:rPr>
            </w:pPr>
            <w:r w:rsidRPr="00154588">
              <w:rPr>
                <w:sz w:val="20"/>
                <w:szCs w:val="20"/>
              </w:rPr>
              <w:t>Măsurile de rezoluție sau de insolvență luate în sensul articolului 91 alineatul (1) litera (b) pot include punerea în aplicare a unei scheme de rezoluție a grupului întocmite în conformitate cu articolul 91 alineatul (6) dacă sunt îndeplinite oricare dintre următoarele situații:</w:t>
            </w:r>
          </w:p>
          <w:p w14:paraId="1F3D31EF" w14:textId="77777777" w:rsidR="00EB243D" w:rsidRPr="00154588" w:rsidRDefault="00EB243D" w:rsidP="008C12B4">
            <w:pPr>
              <w:jc w:val="both"/>
              <w:rPr>
                <w:sz w:val="20"/>
                <w:szCs w:val="20"/>
              </w:rPr>
            </w:pPr>
          </w:p>
          <w:p w14:paraId="7606C06C" w14:textId="288781F5" w:rsidR="00EB243D" w:rsidRPr="00154588" w:rsidRDefault="00EB243D" w:rsidP="008C12B4">
            <w:pPr>
              <w:jc w:val="both"/>
              <w:rPr>
                <w:sz w:val="20"/>
                <w:szCs w:val="20"/>
              </w:rPr>
            </w:pPr>
            <w:r w:rsidRPr="00154588">
              <w:rPr>
                <w:sz w:val="20"/>
                <w:szCs w:val="20"/>
              </w:rPr>
              <w:t>(a) măsurile de rezoluție sau alte măsuri la nivelul entității-mamă, notificate în conformitate cu articolul 91 alineatul (1) litera (b), fac probabilă îndeplinirea condițiilor prevăzute la articolul 32 sau la articolul 33 în raport cu o entitate din grup dintr-un alt stat membru;</w:t>
            </w:r>
          </w:p>
          <w:p w14:paraId="7C10DF53" w14:textId="77777777" w:rsidR="00EB243D" w:rsidRPr="00154588" w:rsidRDefault="00EB243D" w:rsidP="008C12B4">
            <w:pPr>
              <w:jc w:val="both"/>
              <w:rPr>
                <w:sz w:val="20"/>
                <w:szCs w:val="20"/>
              </w:rPr>
            </w:pPr>
          </w:p>
          <w:p w14:paraId="77534D64" w14:textId="7881D9A5" w:rsidR="00EB243D" w:rsidRPr="00154588" w:rsidRDefault="00EB243D" w:rsidP="008C12B4">
            <w:pPr>
              <w:jc w:val="both"/>
              <w:rPr>
                <w:sz w:val="20"/>
                <w:szCs w:val="20"/>
              </w:rPr>
            </w:pPr>
            <w:r w:rsidRPr="00154588">
              <w:rPr>
                <w:sz w:val="20"/>
                <w:szCs w:val="20"/>
              </w:rPr>
              <w:t>(b) măsurile de rezoluție sau alte măsuri luate numai la nivelul entității-mamă nu sunt suficiente pentru stabilizarea situației sau nu asigură, probabil, un rezultat optim;</w:t>
            </w:r>
          </w:p>
          <w:p w14:paraId="51CCED10" w14:textId="77777777" w:rsidR="00EB243D" w:rsidRPr="00154588" w:rsidRDefault="00EB243D" w:rsidP="008C12B4">
            <w:pPr>
              <w:jc w:val="both"/>
              <w:rPr>
                <w:sz w:val="20"/>
                <w:szCs w:val="20"/>
              </w:rPr>
            </w:pPr>
          </w:p>
          <w:p w14:paraId="0C6FBEC1" w14:textId="2FC37590" w:rsidR="00EB243D" w:rsidRPr="00154588" w:rsidRDefault="00EB243D" w:rsidP="008C12B4">
            <w:pPr>
              <w:jc w:val="both"/>
              <w:rPr>
                <w:sz w:val="20"/>
                <w:szCs w:val="20"/>
              </w:rPr>
            </w:pPr>
            <w:r w:rsidRPr="00154588">
              <w:rPr>
                <w:sz w:val="20"/>
                <w:szCs w:val="20"/>
              </w:rPr>
              <w:t>(c) una sau mai multe filiale îndeplinesc condițiile menționate la articolul 32 sau la articolul 33, conform hotărârii autorităților de rezoluție responsabile pentru filialele respective; sau</w:t>
            </w:r>
          </w:p>
          <w:p w14:paraId="35F5B420" w14:textId="77777777" w:rsidR="00EB243D" w:rsidRPr="00154588" w:rsidRDefault="00EB243D" w:rsidP="008C12B4">
            <w:pPr>
              <w:jc w:val="both"/>
              <w:rPr>
                <w:sz w:val="20"/>
                <w:szCs w:val="20"/>
              </w:rPr>
            </w:pPr>
          </w:p>
          <w:p w14:paraId="6FD12904" w14:textId="5CA136E2" w:rsidR="00EB243D" w:rsidRPr="00154588" w:rsidRDefault="00EB243D" w:rsidP="008C12B4">
            <w:pPr>
              <w:jc w:val="both"/>
              <w:rPr>
                <w:sz w:val="20"/>
                <w:szCs w:val="20"/>
              </w:rPr>
            </w:pPr>
            <w:r w:rsidRPr="00154588">
              <w:rPr>
                <w:sz w:val="20"/>
                <w:szCs w:val="20"/>
              </w:rPr>
              <w:t>(d) măsurile de rezoluție sau alte măsuri luate la nivelul grupului avantajează filialele din grup în așa fel încât o schemă de rezoluție a grupului devine adecvată.</w:t>
            </w:r>
          </w:p>
        </w:tc>
        <w:tc>
          <w:tcPr>
            <w:tcW w:w="4819" w:type="dxa"/>
          </w:tcPr>
          <w:p w14:paraId="5A193049" w14:textId="77777777" w:rsidR="00EB243D" w:rsidRPr="00154588" w:rsidRDefault="00EB243D" w:rsidP="008C12B4">
            <w:pPr>
              <w:ind w:firstLine="567"/>
              <w:jc w:val="both"/>
              <w:rPr>
                <w:rFonts w:eastAsia="Calibri"/>
                <w:sz w:val="20"/>
                <w:szCs w:val="20"/>
              </w:rPr>
            </w:pPr>
            <w:r w:rsidRPr="00154588">
              <w:rPr>
                <w:rFonts w:eastAsia="Calibri"/>
                <w:b/>
                <w:sz w:val="20"/>
                <w:szCs w:val="20"/>
              </w:rPr>
              <w:lastRenderedPageBreak/>
              <w:t>Articolul 295</w:t>
            </w:r>
            <w:r w:rsidRPr="00154588">
              <w:rPr>
                <w:rFonts w:eastAsia="Calibri"/>
                <w:b/>
                <w:sz w:val="20"/>
                <w:szCs w:val="20"/>
                <w:vertAlign w:val="superscript"/>
              </w:rPr>
              <w:t>42</w:t>
            </w:r>
            <w:r w:rsidRPr="00154588">
              <w:rPr>
                <w:rFonts w:eastAsia="Calibri"/>
                <w:b/>
                <w:sz w:val="20"/>
                <w:szCs w:val="20"/>
              </w:rPr>
              <w:t xml:space="preserve">. – </w:t>
            </w:r>
            <w:r w:rsidRPr="00154588">
              <w:rPr>
                <w:rFonts w:eastAsia="Calibri"/>
                <w:sz w:val="20"/>
                <w:szCs w:val="20"/>
              </w:rPr>
              <w:t xml:space="preserve">(1) În cazul în care Banca Națională a Moldovei, în calitate de autoritate de rezoluție la nivel de grup, decide că o întreprindere-mamă din Uniunea Europeană pentru care este </w:t>
            </w:r>
            <w:r w:rsidRPr="00154588">
              <w:rPr>
                <w:rFonts w:eastAsia="Calibri"/>
                <w:sz w:val="20"/>
                <w:szCs w:val="20"/>
              </w:rPr>
              <w:lastRenderedPageBreak/>
              <w:t>responsabilă întrunește condițiile prevăzute la art. 58-60 sau la art.60 alin.(4), aceasta notifică fără întârziere informațiile prevăzute la art. 295</w:t>
            </w:r>
            <w:r w:rsidRPr="00154588">
              <w:rPr>
                <w:rFonts w:eastAsia="Calibri"/>
                <w:sz w:val="20"/>
                <w:szCs w:val="20"/>
                <w:vertAlign w:val="superscript"/>
              </w:rPr>
              <w:t>17</w:t>
            </w:r>
            <w:r w:rsidRPr="00154588">
              <w:rPr>
                <w:rFonts w:eastAsia="Calibri"/>
                <w:sz w:val="20"/>
                <w:szCs w:val="20"/>
              </w:rPr>
              <w:t> supraveghetorului consolidant, membrilor colegiului de rezoluție al grupului în cauză.</w:t>
            </w:r>
          </w:p>
          <w:p w14:paraId="135E57E2" w14:textId="77777777" w:rsidR="00EB243D" w:rsidRPr="00154588" w:rsidRDefault="00EB243D" w:rsidP="008C12B4">
            <w:pPr>
              <w:ind w:firstLine="567"/>
              <w:jc w:val="both"/>
              <w:rPr>
                <w:rFonts w:eastAsia="Calibri"/>
                <w:sz w:val="20"/>
                <w:szCs w:val="20"/>
              </w:rPr>
            </w:pPr>
            <w:r w:rsidRPr="00154588">
              <w:rPr>
                <w:rFonts w:eastAsia="Calibri"/>
                <w:sz w:val="20"/>
                <w:szCs w:val="20"/>
              </w:rPr>
              <w:t>(2) Acțiunile de rezoluție sau măsurile de insolvabilitate luate pentru scopurile art. 295</w:t>
            </w:r>
            <w:r w:rsidRPr="00154588">
              <w:rPr>
                <w:rFonts w:eastAsia="Calibri"/>
                <w:sz w:val="20"/>
                <w:szCs w:val="20"/>
                <w:vertAlign w:val="superscript"/>
              </w:rPr>
              <w:t>17</w:t>
            </w:r>
            <w:r w:rsidRPr="00154588">
              <w:rPr>
                <w:rFonts w:eastAsia="Calibri"/>
                <w:sz w:val="20"/>
                <w:szCs w:val="20"/>
              </w:rPr>
              <w:t xml:space="preserve"> lit.b) pot include punerea în aplicare a unei scheme de rezoluție a grupului întocmite în conformitate cu prevederile art.295</w:t>
            </w:r>
            <w:r w:rsidRPr="00154588">
              <w:rPr>
                <w:rFonts w:eastAsia="Calibri"/>
                <w:sz w:val="20"/>
                <w:szCs w:val="20"/>
                <w:vertAlign w:val="superscript"/>
              </w:rPr>
              <w:t>22</w:t>
            </w:r>
            <w:r w:rsidRPr="00154588">
              <w:rPr>
                <w:rFonts w:eastAsia="Calibri"/>
                <w:sz w:val="20"/>
                <w:szCs w:val="20"/>
              </w:rPr>
              <w:t>  dacă sunt îndeplinite oricare dintre următoarele situații:</w:t>
            </w:r>
          </w:p>
          <w:p w14:paraId="255E3A24" w14:textId="77777777" w:rsidR="00EB243D" w:rsidRPr="00154588" w:rsidRDefault="00EB243D" w:rsidP="008C12B4">
            <w:pPr>
              <w:ind w:firstLine="567"/>
              <w:jc w:val="both"/>
              <w:rPr>
                <w:rFonts w:eastAsia="Calibri"/>
                <w:sz w:val="20"/>
                <w:szCs w:val="20"/>
              </w:rPr>
            </w:pPr>
            <w:r w:rsidRPr="00154588">
              <w:rPr>
                <w:rFonts w:eastAsia="Calibri"/>
                <w:sz w:val="20"/>
                <w:szCs w:val="20"/>
              </w:rPr>
              <w:t>a) acțiunile de rezoluție sau alte măsuri la nivelul întreprinderii-mamă, notificate în conformitate cu prevederile art. 295</w:t>
            </w:r>
            <w:r w:rsidRPr="00154588">
              <w:rPr>
                <w:rFonts w:eastAsia="Calibri"/>
                <w:sz w:val="20"/>
                <w:szCs w:val="20"/>
                <w:vertAlign w:val="superscript"/>
              </w:rPr>
              <w:t>17</w:t>
            </w:r>
            <w:r w:rsidRPr="00154588">
              <w:rPr>
                <w:rFonts w:eastAsia="Calibri"/>
                <w:sz w:val="20"/>
                <w:szCs w:val="20"/>
              </w:rPr>
              <w:t xml:space="preserve"> lit.b), fac probabilă îndeplinirea condițiilor prevăzute la art. 58-60 sau la art.60 alin.(4), în legătură cu o entitate din grup dintr-un alt stat membru al Uniunii Europene;</w:t>
            </w:r>
          </w:p>
          <w:p w14:paraId="2AE94408" w14:textId="77777777" w:rsidR="00EB243D" w:rsidRPr="00154588" w:rsidRDefault="00EB243D" w:rsidP="008C12B4">
            <w:pPr>
              <w:ind w:firstLine="567"/>
              <w:jc w:val="both"/>
              <w:rPr>
                <w:rFonts w:eastAsia="Calibri"/>
                <w:sz w:val="20"/>
                <w:szCs w:val="20"/>
              </w:rPr>
            </w:pPr>
            <w:r w:rsidRPr="00154588">
              <w:rPr>
                <w:rFonts w:eastAsia="Calibri"/>
                <w:sz w:val="20"/>
                <w:szCs w:val="20"/>
              </w:rPr>
              <w:t>b) acțiunile de rezoluție sau alte măsuri luate numai la nivelul întreprinderii-mamă nu sunt suficiente pentru stabilizarea situației sau nu asigură, probabil, un rezultat optim;</w:t>
            </w:r>
          </w:p>
          <w:p w14:paraId="51E3AF49" w14:textId="77777777" w:rsidR="00EB243D" w:rsidRPr="00154588" w:rsidRDefault="00EB243D" w:rsidP="008C12B4">
            <w:pPr>
              <w:ind w:firstLine="567"/>
              <w:jc w:val="both"/>
              <w:rPr>
                <w:rFonts w:eastAsia="Calibri"/>
                <w:sz w:val="20"/>
                <w:szCs w:val="20"/>
              </w:rPr>
            </w:pPr>
            <w:r w:rsidRPr="00154588">
              <w:rPr>
                <w:rFonts w:eastAsia="Calibri"/>
                <w:sz w:val="20"/>
                <w:szCs w:val="20"/>
              </w:rPr>
              <w:t>c) una sau mai multe filiale îndeplinesc condițiile prevăzute la art.58-60 sau la art. 60 alin.(4), conform hotărârii autorităților de rezoluție responsabile pentru filialele respective; sau</w:t>
            </w:r>
          </w:p>
          <w:p w14:paraId="3E8D6455" w14:textId="23FFDA33" w:rsidR="00EB243D" w:rsidRPr="00154588" w:rsidRDefault="00EB243D" w:rsidP="008C12B4">
            <w:pPr>
              <w:ind w:firstLine="567"/>
              <w:jc w:val="both"/>
              <w:rPr>
                <w:rFonts w:eastAsia="Calibri"/>
                <w:sz w:val="20"/>
                <w:szCs w:val="20"/>
              </w:rPr>
            </w:pPr>
            <w:r w:rsidRPr="00154588">
              <w:rPr>
                <w:rFonts w:eastAsia="Calibri"/>
                <w:sz w:val="20"/>
                <w:szCs w:val="20"/>
              </w:rPr>
              <w:t>d) acțiunile de rezoluție sau alte măsuri luate la nivelul grupului avantajează filialele din grup în așa fel încât o schemă de rezoluție a grupului devine adecvată.</w:t>
            </w:r>
          </w:p>
        </w:tc>
        <w:tc>
          <w:tcPr>
            <w:tcW w:w="2552" w:type="dxa"/>
          </w:tcPr>
          <w:p w14:paraId="5DBFED4C" w14:textId="4F1CECC7" w:rsidR="00EB243D" w:rsidRPr="00154588" w:rsidRDefault="00EB243D" w:rsidP="008C12B4">
            <w:pPr>
              <w:jc w:val="both"/>
              <w:rPr>
                <w:sz w:val="20"/>
                <w:szCs w:val="20"/>
              </w:rPr>
            </w:pPr>
            <w:r w:rsidRPr="00154588">
              <w:rPr>
                <w:sz w:val="20"/>
                <w:szCs w:val="20"/>
              </w:rPr>
              <w:lastRenderedPageBreak/>
              <w:t>Compatibil</w:t>
            </w:r>
          </w:p>
        </w:tc>
        <w:tc>
          <w:tcPr>
            <w:tcW w:w="3118" w:type="dxa"/>
          </w:tcPr>
          <w:p w14:paraId="26FF5806" w14:textId="77777777" w:rsidR="00EB243D" w:rsidRPr="00154588" w:rsidRDefault="00EB243D" w:rsidP="008C12B4">
            <w:pPr>
              <w:jc w:val="both"/>
              <w:rPr>
                <w:sz w:val="20"/>
                <w:szCs w:val="20"/>
              </w:rPr>
            </w:pPr>
          </w:p>
        </w:tc>
      </w:tr>
      <w:tr w:rsidR="00EB243D" w:rsidRPr="00154588" w14:paraId="074E3D9C" w14:textId="77777777" w:rsidTr="00D15C1B">
        <w:trPr>
          <w:jc w:val="center"/>
        </w:trPr>
        <w:tc>
          <w:tcPr>
            <w:tcW w:w="4957" w:type="dxa"/>
            <w:gridSpan w:val="2"/>
          </w:tcPr>
          <w:p w14:paraId="3ACBCCD4" w14:textId="77777777" w:rsidR="00EB243D" w:rsidRPr="00154588" w:rsidRDefault="00EB243D" w:rsidP="008C12B4">
            <w:pPr>
              <w:jc w:val="both"/>
              <w:rPr>
                <w:sz w:val="20"/>
                <w:szCs w:val="20"/>
              </w:rPr>
            </w:pPr>
            <w:r w:rsidRPr="00154588">
              <w:rPr>
                <w:sz w:val="20"/>
                <w:szCs w:val="20"/>
              </w:rPr>
              <w:t>(2)   În cazul în care măsurile propuse de autoritatea de rezoluție a grupului în temeiul alineatului (1) nu includ o schemă de rezoluție a grupului, autoritatea de rezoluție a grupului își ia decizia după consultarea membrilor colegiului de rezoluție.</w:t>
            </w:r>
          </w:p>
          <w:p w14:paraId="27ED8849" w14:textId="77777777" w:rsidR="00EB243D" w:rsidRPr="00154588" w:rsidRDefault="00EB243D" w:rsidP="008C12B4">
            <w:pPr>
              <w:jc w:val="both"/>
              <w:rPr>
                <w:sz w:val="20"/>
                <w:szCs w:val="20"/>
              </w:rPr>
            </w:pPr>
          </w:p>
          <w:p w14:paraId="2475A0B7" w14:textId="77777777" w:rsidR="00EB243D" w:rsidRPr="00154588" w:rsidRDefault="00EB243D" w:rsidP="008C12B4">
            <w:pPr>
              <w:jc w:val="both"/>
              <w:rPr>
                <w:sz w:val="20"/>
                <w:szCs w:val="20"/>
              </w:rPr>
            </w:pPr>
          </w:p>
          <w:p w14:paraId="377DAC2B" w14:textId="77777777" w:rsidR="00EB243D" w:rsidRPr="00154588" w:rsidRDefault="00EB243D" w:rsidP="008C12B4">
            <w:pPr>
              <w:jc w:val="both"/>
              <w:rPr>
                <w:sz w:val="20"/>
                <w:szCs w:val="20"/>
              </w:rPr>
            </w:pPr>
            <w:r w:rsidRPr="00154588">
              <w:rPr>
                <w:sz w:val="20"/>
                <w:szCs w:val="20"/>
              </w:rPr>
              <w:t>Decizia autorității de rezoluție la nivel de grup ia în considerare:</w:t>
            </w:r>
          </w:p>
          <w:p w14:paraId="2EF5A8D2" w14:textId="77777777" w:rsidR="00EB243D" w:rsidRPr="00154588" w:rsidRDefault="00EB243D" w:rsidP="008C12B4">
            <w:pPr>
              <w:jc w:val="both"/>
              <w:rPr>
                <w:sz w:val="20"/>
                <w:szCs w:val="20"/>
              </w:rPr>
            </w:pPr>
          </w:p>
          <w:p w14:paraId="47C7A9EC" w14:textId="77777777" w:rsidR="00EB243D" w:rsidRPr="00154588" w:rsidRDefault="00EB243D" w:rsidP="008C12B4">
            <w:pPr>
              <w:jc w:val="both"/>
              <w:rPr>
                <w:sz w:val="20"/>
                <w:szCs w:val="20"/>
              </w:rPr>
            </w:pPr>
          </w:p>
          <w:p w14:paraId="65B09235" w14:textId="75E6B689" w:rsidR="00EB243D" w:rsidRPr="00154588" w:rsidRDefault="00EB243D" w:rsidP="008C12B4">
            <w:pPr>
              <w:jc w:val="both"/>
              <w:rPr>
                <w:sz w:val="20"/>
                <w:szCs w:val="20"/>
              </w:rPr>
            </w:pPr>
            <w:r w:rsidRPr="00154588">
              <w:rPr>
                <w:sz w:val="20"/>
                <w:szCs w:val="20"/>
              </w:rPr>
              <w:lastRenderedPageBreak/>
              <w:t>(a) și dă curs planurilor de rezoluție menționate la articolul 13, cu excepția cazului în care autoritățile de rezoluție consideră, ținând seama de circumstanțele cazului, că obiectivele rezoluției vor fi realizate într-un mod mai eficient prin adoptarea unor măsuri care nu sunt prevăzute în planurile de rezoluție;</w:t>
            </w:r>
          </w:p>
          <w:p w14:paraId="41E5F41D" w14:textId="77777777" w:rsidR="00EB243D" w:rsidRPr="00154588" w:rsidRDefault="00EB243D" w:rsidP="008C12B4">
            <w:pPr>
              <w:jc w:val="both"/>
              <w:rPr>
                <w:sz w:val="20"/>
                <w:szCs w:val="20"/>
              </w:rPr>
            </w:pPr>
          </w:p>
          <w:p w14:paraId="7AEB3621" w14:textId="4656D904" w:rsidR="00EB243D" w:rsidRPr="00154588" w:rsidRDefault="00EB243D" w:rsidP="008C12B4">
            <w:pPr>
              <w:jc w:val="both"/>
              <w:rPr>
                <w:sz w:val="20"/>
                <w:szCs w:val="20"/>
              </w:rPr>
            </w:pPr>
            <w:r w:rsidRPr="00154588">
              <w:rPr>
                <w:sz w:val="20"/>
                <w:szCs w:val="20"/>
              </w:rPr>
              <w:t>(b) stabilitatea financiară din statele membre respective.</w:t>
            </w:r>
          </w:p>
        </w:tc>
        <w:tc>
          <w:tcPr>
            <w:tcW w:w="4819" w:type="dxa"/>
          </w:tcPr>
          <w:p w14:paraId="7674FFD9" w14:textId="77777777" w:rsidR="00EB243D" w:rsidRPr="00154588" w:rsidRDefault="00EB243D" w:rsidP="008C12B4">
            <w:pPr>
              <w:ind w:firstLine="567"/>
              <w:jc w:val="both"/>
              <w:rPr>
                <w:rFonts w:eastAsia="Calibri"/>
                <w:b/>
                <w:sz w:val="20"/>
                <w:szCs w:val="20"/>
              </w:rPr>
            </w:pPr>
            <w:r w:rsidRPr="00154588">
              <w:rPr>
                <w:rFonts w:eastAsia="Calibri"/>
                <w:b/>
                <w:sz w:val="20"/>
                <w:szCs w:val="20"/>
              </w:rPr>
              <w:lastRenderedPageBreak/>
              <w:t>Articolul 295</w:t>
            </w:r>
            <w:r w:rsidRPr="00154588">
              <w:rPr>
                <w:rFonts w:eastAsia="Calibri"/>
                <w:b/>
                <w:sz w:val="20"/>
                <w:szCs w:val="20"/>
                <w:vertAlign w:val="superscript"/>
              </w:rPr>
              <w:t>43</w:t>
            </w:r>
            <w:r w:rsidRPr="00154588">
              <w:rPr>
                <w:rFonts w:eastAsia="Calibri"/>
                <w:b/>
                <w:sz w:val="20"/>
                <w:szCs w:val="20"/>
              </w:rPr>
              <w:t xml:space="preserve">. </w:t>
            </w:r>
            <w:r w:rsidRPr="00154588">
              <w:rPr>
                <w:rFonts w:eastAsia="Calibri"/>
                <w:sz w:val="20"/>
                <w:szCs w:val="20"/>
              </w:rPr>
              <w:t>– (1)</w:t>
            </w:r>
            <w:r w:rsidRPr="00154588">
              <w:rPr>
                <w:rFonts w:eastAsia="Calibri"/>
                <w:b/>
                <w:sz w:val="20"/>
                <w:szCs w:val="20"/>
              </w:rPr>
              <w:t xml:space="preserve"> </w:t>
            </w:r>
            <w:r w:rsidRPr="00154588">
              <w:rPr>
                <w:rFonts w:eastAsia="Calibri"/>
                <w:sz w:val="20"/>
                <w:szCs w:val="20"/>
              </w:rPr>
              <w:t>În cazul în care acțiunile propuse de Banca Națională a Moldovei, în calitate de autoritate de rezoluție la nivel de grup, în temeiul art. 295</w:t>
            </w:r>
            <w:r w:rsidRPr="00154588">
              <w:rPr>
                <w:rFonts w:eastAsia="Calibri"/>
                <w:sz w:val="20"/>
                <w:szCs w:val="20"/>
                <w:vertAlign w:val="superscript"/>
              </w:rPr>
              <w:t>42</w:t>
            </w:r>
            <w:r w:rsidRPr="00154588">
              <w:rPr>
                <w:rFonts w:eastAsia="Calibri"/>
                <w:sz w:val="20"/>
                <w:szCs w:val="20"/>
              </w:rPr>
              <w:t> nu includ o schemă de rezoluție a grupului, Banca Națională a Moldovei, în calitate de autoritate de rezoluție la nivel de grup, ia propria decizie după consultarea membrilor colegiului de rezoluție.</w:t>
            </w:r>
          </w:p>
          <w:p w14:paraId="01881A40" w14:textId="77777777" w:rsidR="00EB243D" w:rsidRPr="00154588" w:rsidRDefault="00EB243D" w:rsidP="008C12B4">
            <w:pPr>
              <w:ind w:firstLine="567"/>
              <w:jc w:val="both"/>
              <w:rPr>
                <w:rFonts w:eastAsia="Calibri"/>
                <w:sz w:val="20"/>
                <w:szCs w:val="20"/>
              </w:rPr>
            </w:pPr>
            <w:r w:rsidRPr="00154588">
              <w:rPr>
                <w:rFonts w:eastAsia="Calibri"/>
                <w:sz w:val="20"/>
                <w:szCs w:val="20"/>
              </w:rPr>
              <w:t>(2) Decizia Băncii Naționale a Moldovei, în calitate de autoritate de rezoluție la nivel de grup, ia în considerare:</w:t>
            </w:r>
          </w:p>
          <w:p w14:paraId="5D63CAD0" w14:textId="77777777" w:rsidR="00EB243D" w:rsidRPr="00154588" w:rsidRDefault="00EB243D" w:rsidP="008C12B4">
            <w:pPr>
              <w:ind w:firstLine="567"/>
              <w:jc w:val="both"/>
              <w:rPr>
                <w:rFonts w:eastAsia="Calibri"/>
                <w:sz w:val="20"/>
                <w:szCs w:val="20"/>
              </w:rPr>
            </w:pPr>
            <w:r w:rsidRPr="00154588">
              <w:rPr>
                <w:rFonts w:eastAsia="Calibri"/>
                <w:sz w:val="20"/>
                <w:szCs w:val="20"/>
              </w:rPr>
              <w:lastRenderedPageBreak/>
              <w:t>a) și dă curs planurilor de rezoluție prevăzute la art.31</w:t>
            </w:r>
            <w:r w:rsidRPr="00154588">
              <w:rPr>
                <w:rFonts w:eastAsia="Calibri"/>
                <w:sz w:val="20"/>
                <w:szCs w:val="20"/>
                <w:vertAlign w:val="superscript"/>
              </w:rPr>
              <w:t>6</w:t>
            </w:r>
            <w:r w:rsidRPr="00154588">
              <w:rPr>
                <w:rFonts w:eastAsia="Calibri"/>
                <w:sz w:val="20"/>
                <w:szCs w:val="20"/>
              </w:rPr>
              <w:t>-31</w:t>
            </w:r>
            <w:r w:rsidRPr="00154588">
              <w:rPr>
                <w:rFonts w:eastAsia="Calibri"/>
                <w:sz w:val="20"/>
                <w:szCs w:val="20"/>
                <w:vertAlign w:val="superscript"/>
              </w:rPr>
              <w:t>13</w:t>
            </w:r>
            <w:r w:rsidRPr="00154588">
              <w:rPr>
                <w:rFonts w:eastAsia="Calibri"/>
                <w:sz w:val="20"/>
                <w:szCs w:val="20"/>
              </w:rPr>
              <w:t>, cu excepția cazului în care autoritățile de rezoluție consideră, ținând seama de circumstanțele cazului, că obiectivele rezoluției vor fi realizate într-un mod mai eficace prin întreprinderea unor acțiuni care nu sunt prevăzute în planurile de rezoluție;</w:t>
            </w:r>
          </w:p>
          <w:p w14:paraId="0F0D6E2C" w14:textId="6B274813" w:rsidR="00EB243D" w:rsidRPr="00154588" w:rsidRDefault="00EB243D" w:rsidP="008C12B4">
            <w:pPr>
              <w:ind w:firstLine="567"/>
              <w:jc w:val="both"/>
              <w:rPr>
                <w:rFonts w:eastAsia="Calibri"/>
                <w:sz w:val="20"/>
                <w:szCs w:val="20"/>
              </w:rPr>
            </w:pPr>
            <w:r w:rsidRPr="00154588">
              <w:rPr>
                <w:rFonts w:eastAsia="Calibri"/>
                <w:sz w:val="20"/>
                <w:szCs w:val="20"/>
              </w:rPr>
              <w:t>b) stabilitatea financiară din statele membre în cauză.</w:t>
            </w:r>
          </w:p>
        </w:tc>
        <w:tc>
          <w:tcPr>
            <w:tcW w:w="2552" w:type="dxa"/>
          </w:tcPr>
          <w:p w14:paraId="1A63504B" w14:textId="23B45E3E" w:rsidR="00EB243D" w:rsidRPr="00154588" w:rsidRDefault="00EB243D" w:rsidP="008C12B4">
            <w:pPr>
              <w:jc w:val="both"/>
              <w:rPr>
                <w:sz w:val="20"/>
                <w:szCs w:val="20"/>
              </w:rPr>
            </w:pPr>
            <w:r w:rsidRPr="00154588">
              <w:rPr>
                <w:sz w:val="20"/>
                <w:szCs w:val="20"/>
              </w:rPr>
              <w:lastRenderedPageBreak/>
              <w:t>Compatibil</w:t>
            </w:r>
          </w:p>
        </w:tc>
        <w:tc>
          <w:tcPr>
            <w:tcW w:w="3118" w:type="dxa"/>
          </w:tcPr>
          <w:p w14:paraId="6F0C1660" w14:textId="77777777" w:rsidR="00EB243D" w:rsidRPr="00154588" w:rsidRDefault="00EB243D" w:rsidP="008C12B4">
            <w:pPr>
              <w:jc w:val="both"/>
              <w:rPr>
                <w:sz w:val="20"/>
                <w:szCs w:val="20"/>
              </w:rPr>
            </w:pPr>
          </w:p>
        </w:tc>
      </w:tr>
      <w:tr w:rsidR="00EB243D" w:rsidRPr="00154588" w14:paraId="769502DB" w14:textId="77777777" w:rsidTr="00D15C1B">
        <w:trPr>
          <w:jc w:val="center"/>
        </w:trPr>
        <w:tc>
          <w:tcPr>
            <w:tcW w:w="4957" w:type="dxa"/>
            <w:gridSpan w:val="2"/>
          </w:tcPr>
          <w:p w14:paraId="085E6CBD" w14:textId="77777777" w:rsidR="00EB243D" w:rsidRPr="00154588" w:rsidRDefault="00EB243D" w:rsidP="008C12B4">
            <w:pPr>
              <w:jc w:val="both"/>
              <w:rPr>
                <w:sz w:val="20"/>
                <w:szCs w:val="20"/>
              </w:rPr>
            </w:pPr>
            <w:r w:rsidRPr="00154588">
              <w:rPr>
                <w:sz w:val="20"/>
                <w:szCs w:val="20"/>
              </w:rPr>
              <w:t>(3)   În cazul în care măsurile propuse de autoritatea de rezoluție la nivel de grup în temeiul alineatului (1) includ o schemă de rezoluție a grupului, aceasta ia forma unei decizii comune a autorității de rezoluție la nivel de grup și a autorităților de rezoluție responsabile de filialele care fac obiectul schemei respective.</w:t>
            </w:r>
          </w:p>
          <w:p w14:paraId="02EA9866" w14:textId="77777777" w:rsidR="00EB243D" w:rsidRPr="00154588" w:rsidRDefault="00EB243D" w:rsidP="008C12B4">
            <w:pPr>
              <w:jc w:val="both"/>
              <w:rPr>
                <w:sz w:val="20"/>
                <w:szCs w:val="20"/>
              </w:rPr>
            </w:pPr>
          </w:p>
          <w:p w14:paraId="536B924A" w14:textId="6929C800" w:rsidR="00EB243D" w:rsidRPr="00154588" w:rsidRDefault="00EB243D" w:rsidP="008C12B4">
            <w:pPr>
              <w:jc w:val="both"/>
              <w:rPr>
                <w:sz w:val="20"/>
                <w:szCs w:val="20"/>
              </w:rPr>
            </w:pPr>
            <w:r w:rsidRPr="00154588">
              <w:rPr>
                <w:sz w:val="20"/>
                <w:szCs w:val="20"/>
              </w:rPr>
              <w:t>ABE poate să acorde asistență autorităților de rezoluție, la cererea unei autorități de rezoluție, în ceea ce privește adoptarea unei decizii comune în conformitate cu articolul 31 litera (c) din Regulamentul (UE) nr. 1093/2010.</w:t>
            </w:r>
          </w:p>
        </w:tc>
        <w:tc>
          <w:tcPr>
            <w:tcW w:w="4819" w:type="dxa"/>
          </w:tcPr>
          <w:p w14:paraId="58842968" w14:textId="77777777" w:rsidR="00EB243D" w:rsidRPr="00154588" w:rsidRDefault="00EB243D" w:rsidP="008C12B4">
            <w:pPr>
              <w:ind w:firstLine="567"/>
              <w:jc w:val="both"/>
              <w:rPr>
                <w:rFonts w:eastAsia="Calibri"/>
                <w:sz w:val="20"/>
                <w:szCs w:val="20"/>
              </w:rPr>
            </w:pPr>
            <w:r w:rsidRPr="00154588">
              <w:rPr>
                <w:rFonts w:eastAsia="Calibri"/>
                <w:b/>
                <w:sz w:val="20"/>
                <w:szCs w:val="20"/>
              </w:rPr>
              <w:t>Articolul 295</w:t>
            </w:r>
            <w:r w:rsidRPr="00154588">
              <w:rPr>
                <w:rFonts w:eastAsia="Calibri"/>
                <w:b/>
                <w:sz w:val="20"/>
                <w:szCs w:val="20"/>
                <w:vertAlign w:val="superscript"/>
              </w:rPr>
              <w:t>44</w:t>
            </w:r>
            <w:r w:rsidRPr="00154588">
              <w:rPr>
                <w:rFonts w:eastAsia="Calibri"/>
                <w:b/>
                <w:sz w:val="20"/>
                <w:szCs w:val="20"/>
              </w:rPr>
              <w:t xml:space="preserve">. – </w:t>
            </w:r>
            <w:r w:rsidRPr="00154588">
              <w:rPr>
                <w:rFonts w:eastAsia="Calibri"/>
                <w:sz w:val="20"/>
                <w:szCs w:val="20"/>
              </w:rPr>
              <w:t>(1) În cazul în care acțiunile propuse de Banca Națională a Moldovei, în calitate de autoritate de rezoluție la nivel de grup, în temeiul art. 295</w:t>
            </w:r>
            <w:r w:rsidRPr="00154588">
              <w:rPr>
                <w:rFonts w:eastAsia="Calibri"/>
                <w:sz w:val="20"/>
                <w:szCs w:val="20"/>
                <w:vertAlign w:val="superscript"/>
              </w:rPr>
              <w:t>42</w:t>
            </w:r>
            <w:r w:rsidRPr="00154588">
              <w:rPr>
                <w:rFonts w:eastAsia="Calibri"/>
                <w:sz w:val="20"/>
                <w:szCs w:val="20"/>
              </w:rPr>
              <w:t> includ o schemă de rezoluție a grupului, aceasta ia forma unei decizii comune a Băncii Naționale a Moldovei, în calitate de autoritate de rezoluție la nivel de grup, și a autorităților de rezoluție responsabile pentru filialele care fac obiectul schemei de rezoluție a grupului.</w:t>
            </w:r>
          </w:p>
          <w:p w14:paraId="57758B7E" w14:textId="06323260" w:rsidR="00EB243D" w:rsidRPr="00154588" w:rsidRDefault="00EB243D" w:rsidP="008C12B4">
            <w:pPr>
              <w:ind w:firstLine="567"/>
              <w:jc w:val="both"/>
              <w:rPr>
                <w:rFonts w:eastAsia="Calibri"/>
                <w:sz w:val="20"/>
                <w:szCs w:val="20"/>
              </w:rPr>
            </w:pPr>
            <w:r w:rsidRPr="00154588">
              <w:rPr>
                <w:rFonts w:eastAsia="Calibri"/>
                <w:sz w:val="20"/>
                <w:szCs w:val="20"/>
              </w:rPr>
              <w:t>(2) Banca Națională a Moldovei, în calitate de autoritate de rezoluție la nivel de grup, poate solicita Autorității Bancare Europene să acorde asistență autorităților de rezoluție implicate în ceea ce privește adoptarea unei decizii comune în conformitate cu prevederile art.31 lit.c) din Regulamentul (UE) nr.1093/2010.</w:t>
            </w:r>
          </w:p>
        </w:tc>
        <w:tc>
          <w:tcPr>
            <w:tcW w:w="2552" w:type="dxa"/>
          </w:tcPr>
          <w:p w14:paraId="5411424D" w14:textId="59904318" w:rsidR="00EB243D" w:rsidRPr="00154588" w:rsidRDefault="00EB243D" w:rsidP="008C12B4">
            <w:pPr>
              <w:jc w:val="both"/>
              <w:rPr>
                <w:sz w:val="20"/>
                <w:szCs w:val="20"/>
              </w:rPr>
            </w:pPr>
            <w:r w:rsidRPr="00154588">
              <w:rPr>
                <w:sz w:val="20"/>
                <w:szCs w:val="20"/>
              </w:rPr>
              <w:t>Compatibil</w:t>
            </w:r>
          </w:p>
        </w:tc>
        <w:tc>
          <w:tcPr>
            <w:tcW w:w="3118" w:type="dxa"/>
          </w:tcPr>
          <w:p w14:paraId="35295E0A" w14:textId="77777777" w:rsidR="00EB243D" w:rsidRPr="00154588" w:rsidRDefault="00EB243D" w:rsidP="008C12B4">
            <w:pPr>
              <w:jc w:val="both"/>
              <w:rPr>
                <w:sz w:val="20"/>
                <w:szCs w:val="20"/>
              </w:rPr>
            </w:pPr>
          </w:p>
        </w:tc>
      </w:tr>
      <w:tr w:rsidR="00EB243D" w:rsidRPr="00154588" w14:paraId="7CA49D23" w14:textId="77777777" w:rsidTr="00D15C1B">
        <w:trPr>
          <w:jc w:val="center"/>
        </w:trPr>
        <w:tc>
          <w:tcPr>
            <w:tcW w:w="4957" w:type="dxa"/>
            <w:gridSpan w:val="2"/>
          </w:tcPr>
          <w:p w14:paraId="42D60052" w14:textId="6D358255" w:rsidR="00EB243D" w:rsidRPr="00154588" w:rsidRDefault="00EB243D" w:rsidP="008C12B4">
            <w:pPr>
              <w:jc w:val="both"/>
              <w:rPr>
                <w:sz w:val="20"/>
                <w:szCs w:val="20"/>
              </w:rPr>
            </w:pPr>
            <w:r w:rsidRPr="00154588">
              <w:rPr>
                <w:sz w:val="20"/>
                <w:szCs w:val="20"/>
              </w:rPr>
              <w:t xml:space="preserve">(4)   În cazul în care oricare dintre autoritățile de rezoluție nu este de acord cu schema de rezoluție la nivel de grup propusă de autoritatea de rezoluție a grupului sau consideră că, din motive de stabilitate financiară, trebuie să ia măsuri de rezoluție independente sau alte măsuri decât cele propuse în schemă în raport cu o instituție sau cu o entitate menționată la articolul 1 alineatul (1) litera (b), (c) sau (d), ea prezintă în detaliu motivele dezacordului sau motivele de abatere de la schema de rezoluție a grupului, le notifică autorității de rezoluție a grupului și celorlalte autorități de rezoluție care fac obiectul schemei de rezoluție la nivel de grup și informează aceste autorități cu privire la acțiunile sau măsurile pe care intenționează să le ia. Atunci când prezintă motivele dezacordului său, autoritatea de rezoluție respectivă ține seama de planurile de rezoluție la care se face referire la articolul 13, de impactul potențial asupra stabilității financiare din statele membre în </w:t>
            </w:r>
            <w:r w:rsidRPr="00154588">
              <w:rPr>
                <w:sz w:val="20"/>
                <w:szCs w:val="20"/>
              </w:rPr>
              <w:lastRenderedPageBreak/>
              <w:t>cauză, precum și de efectul potențial al acțiunilor sau măsurilor asupra altor părți ale grupului.</w:t>
            </w:r>
          </w:p>
        </w:tc>
        <w:tc>
          <w:tcPr>
            <w:tcW w:w="4819" w:type="dxa"/>
          </w:tcPr>
          <w:p w14:paraId="672280B8"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lastRenderedPageBreak/>
              <w:t>Articolul 295</w:t>
            </w:r>
            <w:r w:rsidRPr="00154588">
              <w:rPr>
                <w:rFonts w:eastAsia="Calibri"/>
                <w:b/>
                <w:kern w:val="2"/>
                <w:sz w:val="20"/>
                <w:szCs w:val="20"/>
                <w:vertAlign w:val="superscript"/>
                <w14:ligatures w14:val="standardContextual"/>
              </w:rPr>
              <w:t>45</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 xml:space="preserve">(1) În cazul în care oricare dintre autoritățile de rezoluție nu este de acord cu schema de rezoluție la nivel de grup propusă de Banca Națională a Moldovei, în calitate de autoritate de rezoluție la nivel de grup, sau se îndepărtează de la aceasta sau consideră că, din motive de stabilitate financiară, trebuie să întreprindă acțiuni de rezoluție independente sau alte măsuri decât cele propuse în schemă în legătură cu o instituție sau cu o entitate prevăzută la art.1 alin.(1) lit.b), c) sau d), autoritatea de rezoluție respectivă prezintă </w:t>
            </w:r>
          </w:p>
          <w:p w14:paraId="31B108EF"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în detaliu motivele dezacordului sau motivele de abatere de la schema de rezoluție a grupului, le notifică Băncii Naționale a Moldovei în calitate de autoritate de rezoluție la nivel de grup și celorlalte autorități care fac obiectul schemei de rezoluție la nivel de grup și notifică aceste autorități cu privire la acțiunile sau măsurile pe care intenționează să le ia.</w:t>
            </w:r>
          </w:p>
          <w:p w14:paraId="28D76E22" w14:textId="4C9CFDAD"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 xml:space="preserve">(2) Atunci când prezintă motivele dezacordului său, autoritatea de rezoluție respectivă ține seama </w:t>
            </w:r>
            <w:r w:rsidRPr="00154588">
              <w:rPr>
                <w:rFonts w:eastAsia="Calibri"/>
                <w:kern w:val="2"/>
                <w:sz w:val="20"/>
                <w:szCs w:val="20"/>
                <w14:ligatures w14:val="standardContextual"/>
              </w:rPr>
              <w:lastRenderedPageBreak/>
              <w:t>de planurile de rezoluție la care se face referire la art. 31</w:t>
            </w:r>
            <w:r w:rsidRPr="00154588">
              <w:rPr>
                <w:rFonts w:eastAsia="Calibri"/>
                <w:kern w:val="2"/>
                <w:sz w:val="20"/>
                <w:szCs w:val="20"/>
                <w:vertAlign w:val="superscript"/>
                <w14:ligatures w14:val="standardContextual"/>
              </w:rPr>
              <w:t>6</w:t>
            </w:r>
            <w:r w:rsidRPr="00154588">
              <w:rPr>
                <w:rFonts w:eastAsia="Calibri"/>
                <w:kern w:val="2"/>
                <w:sz w:val="20"/>
                <w:szCs w:val="20"/>
                <w14:ligatures w14:val="standardContextual"/>
              </w:rPr>
              <w:t>-31</w:t>
            </w:r>
            <w:r w:rsidRPr="00154588">
              <w:rPr>
                <w:rFonts w:eastAsia="Calibri"/>
                <w:kern w:val="2"/>
                <w:sz w:val="20"/>
                <w:szCs w:val="20"/>
                <w:vertAlign w:val="superscript"/>
                <w14:ligatures w14:val="standardContextual"/>
              </w:rPr>
              <w:t>13</w:t>
            </w:r>
            <w:r w:rsidRPr="00154588">
              <w:rPr>
                <w:rFonts w:eastAsia="Calibri"/>
                <w:kern w:val="2"/>
                <w:sz w:val="20"/>
                <w:szCs w:val="20"/>
                <w14:ligatures w14:val="standardContextual"/>
              </w:rPr>
              <w:t>, de impactul potențial asupra stabilității financiare din statele membre în cauză, precum și de efectul potențial al acțiunilor sau măsurilor asupra altor părți ale grupului.</w:t>
            </w:r>
          </w:p>
        </w:tc>
        <w:tc>
          <w:tcPr>
            <w:tcW w:w="2552" w:type="dxa"/>
          </w:tcPr>
          <w:p w14:paraId="4737301F" w14:textId="0E6AD001" w:rsidR="00EB243D" w:rsidRPr="00154588" w:rsidRDefault="00EB243D" w:rsidP="008C12B4">
            <w:pPr>
              <w:jc w:val="both"/>
              <w:rPr>
                <w:sz w:val="20"/>
                <w:szCs w:val="20"/>
              </w:rPr>
            </w:pPr>
            <w:r w:rsidRPr="00154588">
              <w:rPr>
                <w:sz w:val="20"/>
                <w:szCs w:val="20"/>
              </w:rPr>
              <w:lastRenderedPageBreak/>
              <w:t>Compatibil</w:t>
            </w:r>
          </w:p>
        </w:tc>
        <w:tc>
          <w:tcPr>
            <w:tcW w:w="3118" w:type="dxa"/>
          </w:tcPr>
          <w:p w14:paraId="2B3E0056" w14:textId="77777777" w:rsidR="00EB243D" w:rsidRPr="00154588" w:rsidRDefault="00EB243D" w:rsidP="008C12B4">
            <w:pPr>
              <w:jc w:val="both"/>
              <w:rPr>
                <w:sz w:val="20"/>
                <w:szCs w:val="20"/>
              </w:rPr>
            </w:pPr>
          </w:p>
        </w:tc>
      </w:tr>
      <w:tr w:rsidR="00EB243D" w:rsidRPr="00154588" w14:paraId="52C2F855" w14:textId="77777777" w:rsidTr="00D15C1B">
        <w:trPr>
          <w:jc w:val="center"/>
        </w:trPr>
        <w:tc>
          <w:tcPr>
            <w:tcW w:w="4957" w:type="dxa"/>
            <w:gridSpan w:val="2"/>
          </w:tcPr>
          <w:p w14:paraId="1EBB8239" w14:textId="29B615F0" w:rsidR="00EB243D" w:rsidRPr="00154588" w:rsidRDefault="00EB243D" w:rsidP="008C12B4">
            <w:pPr>
              <w:jc w:val="both"/>
              <w:rPr>
                <w:sz w:val="20"/>
                <w:szCs w:val="20"/>
              </w:rPr>
            </w:pPr>
            <w:r w:rsidRPr="00154588">
              <w:rPr>
                <w:sz w:val="20"/>
                <w:szCs w:val="20"/>
              </w:rPr>
              <w:t>(5)   Autoritățile de rezoluție care nu și-au exprimat dezacordul față de schema de rezoluție a grupului în temeiul alineatului (4) pot ajunge la o decizie comună privind o schemă de rezoluție a grupului care se referă la entitățile din grup aflate în statul membru.</w:t>
            </w:r>
          </w:p>
        </w:tc>
        <w:tc>
          <w:tcPr>
            <w:tcW w:w="4819" w:type="dxa"/>
          </w:tcPr>
          <w:p w14:paraId="2C1A9C3B" w14:textId="05984467"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46</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Banca Națională a Moldovei, în calitate de autoritate de rezoluție la nivel de grup, și celelalte autorități de rezoluție care nu și-au exprimat dezacordul față de schema de rezoluție a grupului în temeiul art.295</w:t>
            </w:r>
            <w:r w:rsidRPr="00154588">
              <w:rPr>
                <w:rFonts w:eastAsia="Calibri"/>
                <w:kern w:val="2"/>
                <w:sz w:val="20"/>
                <w:szCs w:val="20"/>
                <w:vertAlign w:val="superscript"/>
                <w14:ligatures w14:val="standardContextual"/>
              </w:rPr>
              <w:t>45</w:t>
            </w:r>
            <w:r w:rsidRPr="00154588">
              <w:rPr>
                <w:rFonts w:eastAsia="Calibri"/>
                <w:kern w:val="2"/>
                <w:sz w:val="20"/>
                <w:szCs w:val="20"/>
                <w14:ligatures w14:val="standardContextual"/>
              </w:rPr>
              <w:t> pot ajunge la o decizie comună privind o schemă de rezoluție a grupului care se referă la entitățile din grup aflate în statul lor membru.</w:t>
            </w:r>
          </w:p>
        </w:tc>
        <w:tc>
          <w:tcPr>
            <w:tcW w:w="2552" w:type="dxa"/>
          </w:tcPr>
          <w:p w14:paraId="54913520" w14:textId="32BA7980" w:rsidR="00EB243D" w:rsidRPr="00154588" w:rsidRDefault="00EB243D" w:rsidP="008C12B4">
            <w:pPr>
              <w:jc w:val="both"/>
              <w:rPr>
                <w:sz w:val="20"/>
                <w:szCs w:val="20"/>
              </w:rPr>
            </w:pPr>
            <w:r w:rsidRPr="00154588">
              <w:rPr>
                <w:sz w:val="20"/>
                <w:szCs w:val="20"/>
              </w:rPr>
              <w:t>Compatibil</w:t>
            </w:r>
          </w:p>
        </w:tc>
        <w:tc>
          <w:tcPr>
            <w:tcW w:w="3118" w:type="dxa"/>
          </w:tcPr>
          <w:p w14:paraId="61AFFA51" w14:textId="77777777" w:rsidR="00EB243D" w:rsidRPr="00154588" w:rsidRDefault="00EB243D" w:rsidP="008C12B4">
            <w:pPr>
              <w:jc w:val="both"/>
              <w:rPr>
                <w:sz w:val="20"/>
                <w:szCs w:val="20"/>
              </w:rPr>
            </w:pPr>
          </w:p>
        </w:tc>
      </w:tr>
      <w:tr w:rsidR="00EB243D" w:rsidRPr="00154588" w14:paraId="1AF32B3B" w14:textId="77777777" w:rsidTr="00D15C1B">
        <w:trPr>
          <w:jc w:val="center"/>
        </w:trPr>
        <w:tc>
          <w:tcPr>
            <w:tcW w:w="4957" w:type="dxa"/>
            <w:gridSpan w:val="2"/>
          </w:tcPr>
          <w:p w14:paraId="615AE945" w14:textId="667872D9" w:rsidR="00EB243D" w:rsidRPr="00154588" w:rsidRDefault="00EB243D" w:rsidP="008C12B4">
            <w:pPr>
              <w:jc w:val="both"/>
              <w:rPr>
                <w:sz w:val="20"/>
                <w:szCs w:val="20"/>
              </w:rPr>
            </w:pPr>
            <w:r w:rsidRPr="00154588">
              <w:rPr>
                <w:sz w:val="20"/>
                <w:szCs w:val="20"/>
              </w:rPr>
              <w:t>(6)   Decizia comună menționată la alineatul (3) sau (5), precum și deciziile adoptate de autoritățile de rezoluție în absența deciziei comune menționate la alineatul (4) sunt recunoscute ca fiind determinante și sunt aplicate de către autoritățile de rezoluție din statele membre în cauză.</w:t>
            </w:r>
          </w:p>
        </w:tc>
        <w:tc>
          <w:tcPr>
            <w:tcW w:w="4819" w:type="dxa"/>
          </w:tcPr>
          <w:p w14:paraId="4DBC81EE" w14:textId="24B657A1"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47</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Decizia comună prevăzută la art.295</w:t>
            </w:r>
            <w:r w:rsidRPr="00154588">
              <w:rPr>
                <w:rFonts w:eastAsia="Calibri"/>
                <w:kern w:val="2"/>
                <w:sz w:val="20"/>
                <w:szCs w:val="20"/>
                <w:vertAlign w:val="superscript"/>
                <w14:ligatures w14:val="standardContextual"/>
              </w:rPr>
              <w:t>44</w:t>
            </w:r>
            <w:r w:rsidRPr="00154588">
              <w:rPr>
                <w:rFonts w:eastAsia="Calibri"/>
                <w:kern w:val="2"/>
                <w:sz w:val="20"/>
                <w:szCs w:val="20"/>
                <w14:ligatures w14:val="standardContextual"/>
              </w:rPr>
              <w:t> sau art.295</w:t>
            </w:r>
            <w:r w:rsidRPr="00154588">
              <w:rPr>
                <w:rFonts w:eastAsia="Calibri"/>
                <w:kern w:val="2"/>
                <w:sz w:val="20"/>
                <w:szCs w:val="20"/>
                <w:vertAlign w:val="superscript"/>
                <w14:ligatures w14:val="standardContextual"/>
              </w:rPr>
              <w:t>46</w:t>
            </w:r>
            <w:r w:rsidRPr="00154588">
              <w:rPr>
                <w:rFonts w:eastAsia="Calibri"/>
                <w:kern w:val="2"/>
                <w:sz w:val="20"/>
                <w:szCs w:val="20"/>
                <w14:ligatures w14:val="standardContextual"/>
              </w:rPr>
              <w:t> este recunoscută pe teritoriul Republicii Moldova ca fiind definitivă și este aplicată în mod corespunzător.</w:t>
            </w:r>
          </w:p>
        </w:tc>
        <w:tc>
          <w:tcPr>
            <w:tcW w:w="2552" w:type="dxa"/>
          </w:tcPr>
          <w:p w14:paraId="223E1C45" w14:textId="36D3F3C0" w:rsidR="00EB243D" w:rsidRPr="00154588" w:rsidRDefault="00EB243D" w:rsidP="008C12B4">
            <w:pPr>
              <w:jc w:val="both"/>
              <w:rPr>
                <w:sz w:val="20"/>
                <w:szCs w:val="20"/>
              </w:rPr>
            </w:pPr>
            <w:r w:rsidRPr="00154588">
              <w:rPr>
                <w:sz w:val="20"/>
                <w:szCs w:val="20"/>
              </w:rPr>
              <w:t>Compatibil</w:t>
            </w:r>
          </w:p>
        </w:tc>
        <w:tc>
          <w:tcPr>
            <w:tcW w:w="3118" w:type="dxa"/>
          </w:tcPr>
          <w:p w14:paraId="43CF3664" w14:textId="77777777" w:rsidR="00EB243D" w:rsidRPr="00154588" w:rsidRDefault="00EB243D" w:rsidP="008C12B4">
            <w:pPr>
              <w:jc w:val="both"/>
              <w:rPr>
                <w:sz w:val="20"/>
                <w:szCs w:val="20"/>
              </w:rPr>
            </w:pPr>
          </w:p>
        </w:tc>
      </w:tr>
      <w:tr w:rsidR="00EB243D" w:rsidRPr="00154588" w14:paraId="0BB481AB" w14:textId="77777777" w:rsidTr="00D15C1B">
        <w:trPr>
          <w:jc w:val="center"/>
        </w:trPr>
        <w:tc>
          <w:tcPr>
            <w:tcW w:w="4957" w:type="dxa"/>
            <w:gridSpan w:val="2"/>
          </w:tcPr>
          <w:p w14:paraId="080F4050" w14:textId="77777777" w:rsidR="00EB243D" w:rsidRPr="00154588" w:rsidRDefault="00EB243D" w:rsidP="008C12B4">
            <w:pPr>
              <w:jc w:val="both"/>
              <w:rPr>
                <w:sz w:val="20"/>
                <w:szCs w:val="20"/>
              </w:rPr>
            </w:pPr>
            <w:r w:rsidRPr="00154588">
              <w:rPr>
                <w:sz w:val="20"/>
                <w:szCs w:val="20"/>
              </w:rPr>
              <w:t>(7)   Autoritățile execută toate măsurile menționate la prezentul articol fără întârziere și ținând seama în mod corespunzător de caracterul urgent al situației.</w:t>
            </w:r>
          </w:p>
          <w:p w14:paraId="08AD4D0E" w14:textId="77777777" w:rsidR="00EB243D" w:rsidRPr="00154588" w:rsidRDefault="00EB243D" w:rsidP="008C12B4">
            <w:pPr>
              <w:jc w:val="both"/>
              <w:rPr>
                <w:sz w:val="20"/>
                <w:szCs w:val="20"/>
              </w:rPr>
            </w:pPr>
          </w:p>
          <w:p w14:paraId="4C22E347" w14:textId="10C24A69" w:rsidR="00EB243D" w:rsidRPr="00154588" w:rsidRDefault="00EB243D" w:rsidP="008C12B4">
            <w:pPr>
              <w:jc w:val="both"/>
              <w:rPr>
                <w:sz w:val="20"/>
                <w:szCs w:val="20"/>
              </w:rPr>
            </w:pPr>
            <w:r w:rsidRPr="00154588">
              <w:rPr>
                <w:sz w:val="20"/>
                <w:szCs w:val="20"/>
              </w:rPr>
              <w:t>În toate situațiile în care nu este pusă în aplicare o schemă de rezoluție a grupului, iar autoritățile de rezoluție aplică măsuri de rezoluție în legătură cu oricare entitate din grup, autoritățile de rezoluție respective cooperează îndeaproape în cadrul colegiului de rezoluție în vederea realizării unei strategii de rezoluție coordonate pentru toate entitățile din grup afectate.</w:t>
            </w:r>
          </w:p>
          <w:p w14:paraId="7175E6B1" w14:textId="77777777" w:rsidR="00EB243D" w:rsidRPr="00154588" w:rsidRDefault="00EB243D" w:rsidP="008C12B4">
            <w:pPr>
              <w:jc w:val="both"/>
              <w:rPr>
                <w:sz w:val="20"/>
                <w:szCs w:val="20"/>
              </w:rPr>
            </w:pPr>
          </w:p>
          <w:p w14:paraId="3104F2F1" w14:textId="53201494" w:rsidR="00EB243D" w:rsidRPr="00154588" w:rsidRDefault="00EB243D" w:rsidP="008C12B4">
            <w:pPr>
              <w:jc w:val="both"/>
              <w:rPr>
                <w:sz w:val="20"/>
                <w:szCs w:val="20"/>
              </w:rPr>
            </w:pPr>
            <w:r w:rsidRPr="00154588">
              <w:rPr>
                <w:sz w:val="20"/>
                <w:szCs w:val="20"/>
              </w:rPr>
              <w:t>Autoritățile de rezoluție care iau măsuri de rezoluție în raport cu oricare entitate din grup informează periodic și complet membrii colegiului de rezoluție cu privire la acțiunile sau măsurile respective și la progresele înregistrate în legătură cu aplicarea acestora.</w:t>
            </w:r>
          </w:p>
        </w:tc>
        <w:tc>
          <w:tcPr>
            <w:tcW w:w="4819" w:type="dxa"/>
          </w:tcPr>
          <w:p w14:paraId="1737C825"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48</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(1) Autoritățile din Republica Moldova implicate în rezoluție întreprind toate acțiunile prevăzute la art.295</w:t>
            </w:r>
            <w:r w:rsidRPr="00154588">
              <w:rPr>
                <w:rFonts w:eastAsia="Calibri"/>
                <w:kern w:val="2"/>
                <w:sz w:val="20"/>
                <w:szCs w:val="20"/>
                <w:vertAlign w:val="superscript"/>
                <w14:ligatures w14:val="standardContextual"/>
              </w:rPr>
              <w:t>42</w:t>
            </w:r>
            <w:r w:rsidRPr="00154588">
              <w:rPr>
                <w:rFonts w:eastAsia="Calibri"/>
                <w:kern w:val="2"/>
                <w:sz w:val="20"/>
                <w:szCs w:val="20"/>
                <w14:ligatures w14:val="standardContextual"/>
              </w:rPr>
              <w:t>-295</w:t>
            </w:r>
            <w:r w:rsidRPr="00154588">
              <w:rPr>
                <w:rFonts w:eastAsia="Calibri"/>
                <w:kern w:val="2"/>
                <w:sz w:val="20"/>
                <w:szCs w:val="20"/>
                <w:vertAlign w:val="superscript"/>
                <w14:ligatures w14:val="standardContextual"/>
              </w:rPr>
              <w:t>48</w:t>
            </w:r>
            <w:r w:rsidRPr="00154588">
              <w:rPr>
                <w:rFonts w:eastAsia="Calibri"/>
                <w:kern w:val="2"/>
                <w:sz w:val="20"/>
                <w:szCs w:val="20"/>
                <w14:ligatures w14:val="standardContextual"/>
              </w:rPr>
              <w:t> fără întârziere și ținând seama în mod corespunzător de caracterul urgent al situației.</w:t>
            </w:r>
          </w:p>
          <w:p w14:paraId="5205FE5E" w14:textId="77777777"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(2) În toate situațiile în care nu este pusă în aplicare o schemă de rezoluție a grupului, iar autoritățile de rezoluție întreprind acțiuni de rezoluție în legătură cu orice entitate din grup, Banca Națională a Moldovei, în calitate de autoritate de rezoluție la nivel de grup, cooperează îndeaproape în cadrul colegiului de rezoluție în vederea realizării unei strategii de rezoluție coordonate pentru toate entitățile din grup afectate.</w:t>
            </w:r>
          </w:p>
          <w:p w14:paraId="716C32E3" w14:textId="19718823" w:rsidR="00EB243D" w:rsidRPr="00154588" w:rsidRDefault="00EB243D" w:rsidP="008C12B4">
            <w:pPr>
              <w:ind w:firstLine="567"/>
              <w:jc w:val="both"/>
              <w:rPr>
                <w:rFonts w:eastAsia="Calibri"/>
                <w:kern w:val="2"/>
                <w:sz w:val="20"/>
                <w:szCs w:val="20"/>
                <w14:ligatures w14:val="standardContextual"/>
              </w:rPr>
            </w:pPr>
            <w:r w:rsidRPr="00154588">
              <w:rPr>
                <w:rFonts w:eastAsia="Calibri"/>
                <w:kern w:val="2"/>
                <w:sz w:val="20"/>
                <w:szCs w:val="20"/>
                <w14:ligatures w14:val="standardContextual"/>
              </w:rPr>
              <w:t>(3) Banca Națională a Moldovei, în calitate de autoritate de rezoluție la nivel de grup, care întreprinde acțiuni de rezoluție în legătură cu oricare entitate din grup, informează periodic și complet membrii colegiului de rezoluție cu privire la acțiunile sau măsurile respective și la progresele înregistrate în legătură cu aplicarea lor.</w:t>
            </w:r>
          </w:p>
        </w:tc>
        <w:tc>
          <w:tcPr>
            <w:tcW w:w="2552" w:type="dxa"/>
          </w:tcPr>
          <w:p w14:paraId="300CA630" w14:textId="7C3AD4D4" w:rsidR="00EB243D" w:rsidRPr="00154588" w:rsidRDefault="00EB243D" w:rsidP="008C12B4">
            <w:pPr>
              <w:jc w:val="both"/>
              <w:rPr>
                <w:sz w:val="20"/>
                <w:szCs w:val="20"/>
              </w:rPr>
            </w:pPr>
            <w:r w:rsidRPr="00154588">
              <w:rPr>
                <w:sz w:val="20"/>
                <w:szCs w:val="20"/>
              </w:rPr>
              <w:t>Compatibil</w:t>
            </w:r>
          </w:p>
        </w:tc>
        <w:tc>
          <w:tcPr>
            <w:tcW w:w="3118" w:type="dxa"/>
          </w:tcPr>
          <w:p w14:paraId="70503BD4" w14:textId="77777777" w:rsidR="00EB243D" w:rsidRPr="00154588" w:rsidRDefault="00EB243D" w:rsidP="008C12B4">
            <w:pPr>
              <w:jc w:val="both"/>
              <w:rPr>
                <w:sz w:val="20"/>
                <w:szCs w:val="20"/>
              </w:rPr>
            </w:pPr>
          </w:p>
        </w:tc>
      </w:tr>
      <w:tr w:rsidR="00EB243D" w:rsidRPr="00154588" w14:paraId="28917B9E" w14:textId="77777777" w:rsidTr="00D15C1B">
        <w:trPr>
          <w:jc w:val="center"/>
        </w:trPr>
        <w:tc>
          <w:tcPr>
            <w:tcW w:w="4957" w:type="dxa"/>
            <w:gridSpan w:val="2"/>
          </w:tcPr>
          <w:p w14:paraId="1B409D27" w14:textId="77777777" w:rsidR="00EB243D" w:rsidRPr="00154588" w:rsidRDefault="00EB243D" w:rsidP="008C12B4">
            <w:pPr>
              <w:jc w:val="both"/>
              <w:rPr>
                <w:b/>
                <w:sz w:val="20"/>
                <w:szCs w:val="20"/>
              </w:rPr>
            </w:pPr>
            <w:r w:rsidRPr="00154588">
              <w:rPr>
                <w:b/>
                <w:sz w:val="20"/>
                <w:szCs w:val="20"/>
              </w:rPr>
              <w:t>Articolul 92</w:t>
            </w:r>
          </w:p>
          <w:p w14:paraId="18D9B3F7" w14:textId="77777777" w:rsidR="00EB243D" w:rsidRPr="00154588" w:rsidRDefault="00EB243D" w:rsidP="008C12B4">
            <w:pPr>
              <w:jc w:val="both"/>
              <w:rPr>
                <w:b/>
                <w:sz w:val="20"/>
                <w:szCs w:val="20"/>
              </w:rPr>
            </w:pPr>
          </w:p>
          <w:p w14:paraId="695CEDEC" w14:textId="72D9D98D" w:rsidR="00EB243D" w:rsidRPr="00154588" w:rsidRDefault="00EB243D" w:rsidP="008C12B4">
            <w:pPr>
              <w:jc w:val="both"/>
              <w:rPr>
                <w:sz w:val="20"/>
                <w:szCs w:val="20"/>
              </w:rPr>
            </w:pPr>
            <w:r w:rsidRPr="00154588">
              <w:rPr>
                <w:b/>
                <w:sz w:val="20"/>
                <w:szCs w:val="20"/>
              </w:rPr>
              <w:t>Rezoluția grupurilor</w:t>
            </w:r>
          </w:p>
        </w:tc>
        <w:tc>
          <w:tcPr>
            <w:tcW w:w="4819" w:type="dxa"/>
          </w:tcPr>
          <w:p w14:paraId="6429DA8B" w14:textId="77777777" w:rsidR="00EB243D" w:rsidRPr="00154588" w:rsidRDefault="00EB243D" w:rsidP="008C12B4">
            <w:pPr>
              <w:jc w:val="center"/>
              <w:rPr>
                <w:rFonts w:eastAsia="Calibri"/>
                <w:b/>
                <w:sz w:val="20"/>
                <w:szCs w:val="20"/>
              </w:rPr>
            </w:pPr>
            <w:r w:rsidRPr="00154588">
              <w:rPr>
                <w:rFonts w:eastAsia="Calibri"/>
                <w:b/>
                <w:sz w:val="20"/>
                <w:szCs w:val="20"/>
              </w:rPr>
              <w:t>Capitolul VIII</w:t>
            </w:r>
          </w:p>
          <w:p w14:paraId="2D206A20" w14:textId="34B1E68E" w:rsidR="00EB243D" w:rsidRPr="00154588" w:rsidRDefault="00EB243D" w:rsidP="008C12B4">
            <w:pPr>
              <w:ind w:firstLine="567"/>
              <w:jc w:val="center"/>
              <w:rPr>
                <w:rFonts w:eastAsia="Calibri"/>
                <w:b/>
                <w:kern w:val="2"/>
                <w:sz w:val="20"/>
                <w:szCs w:val="20"/>
                <w14:ligatures w14:val="standardContextual"/>
              </w:rPr>
            </w:pPr>
            <w:r w:rsidRPr="00154588">
              <w:rPr>
                <w:rFonts w:eastAsia="Calibri"/>
                <w:b/>
                <w:sz w:val="20"/>
                <w:szCs w:val="20"/>
              </w:rPr>
              <w:t>REZOLUȚIA GRUPULUI ÎN CAZUL ÎN CARE</w:t>
            </w:r>
            <w:r w:rsidRPr="00154588">
              <w:rPr>
                <w:rFonts w:eastAsia="Calibri"/>
                <w:b/>
                <w:sz w:val="20"/>
                <w:szCs w:val="20"/>
              </w:rPr>
              <w:br/>
              <w:t>BANCA NAȚIONALĂ A MOLDOVEI ESTE</w:t>
            </w:r>
            <w:r w:rsidRPr="00154588">
              <w:rPr>
                <w:rFonts w:eastAsia="Calibri"/>
                <w:b/>
                <w:sz w:val="20"/>
                <w:szCs w:val="20"/>
              </w:rPr>
              <w:br/>
            </w:r>
            <w:r w:rsidRPr="00154588">
              <w:rPr>
                <w:rFonts w:eastAsia="Calibri"/>
                <w:b/>
                <w:sz w:val="20"/>
                <w:szCs w:val="20"/>
              </w:rPr>
              <w:lastRenderedPageBreak/>
              <w:t>AUTORITATEA DE REZOLUȚIE LA NIVEL INDIVIDUAL</w:t>
            </w:r>
          </w:p>
        </w:tc>
        <w:tc>
          <w:tcPr>
            <w:tcW w:w="2552" w:type="dxa"/>
          </w:tcPr>
          <w:p w14:paraId="4F941CF9" w14:textId="77777777" w:rsidR="00EB243D" w:rsidRPr="00154588" w:rsidRDefault="00EB243D" w:rsidP="008C12B4">
            <w:pPr>
              <w:jc w:val="both"/>
              <w:rPr>
                <w:sz w:val="20"/>
                <w:szCs w:val="20"/>
              </w:rPr>
            </w:pPr>
          </w:p>
        </w:tc>
        <w:tc>
          <w:tcPr>
            <w:tcW w:w="3118" w:type="dxa"/>
          </w:tcPr>
          <w:p w14:paraId="00286403" w14:textId="77777777" w:rsidR="00EB243D" w:rsidRPr="00154588" w:rsidRDefault="00EB243D" w:rsidP="008C12B4">
            <w:pPr>
              <w:jc w:val="both"/>
              <w:rPr>
                <w:sz w:val="20"/>
                <w:szCs w:val="20"/>
              </w:rPr>
            </w:pPr>
          </w:p>
        </w:tc>
      </w:tr>
      <w:tr w:rsidR="00EB243D" w:rsidRPr="00154588" w14:paraId="529D0FF3" w14:textId="77777777" w:rsidTr="00D15C1B">
        <w:trPr>
          <w:jc w:val="center"/>
        </w:trPr>
        <w:tc>
          <w:tcPr>
            <w:tcW w:w="4957" w:type="dxa"/>
            <w:gridSpan w:val="2"/>
          </w:tcPr>
          <w:p w14:paraId="2A7BF9B9" w14:textId="77777777" w:rsidR="00EB243D" w:rsidRPr="00154588" w:rsidRDefault="00EB243D" w:rsidP="008C12B4">
            <w:pPr>
              <w:jc w:val="both"/>
              <w:rPr>
                <w:sz w:val="20"/>
                <w:szCs w:val="20"/>
              </w:rPr>
            </w:pPr>
            <w:r w:rsidRPr="00154588">
              <w:rPr>
                <w:sz w:val="20"/>
                <w:szCs w:val="20"/>
              </w:rPr>
              <w:t>(1)   În cazul în care o autoritate de rezoluție la nivel de grup decide că o întreprindere-mamă din Uniune pentru care este competentă întrunește condițiile menționate la articolul 32 sau la articolul 33, aceasta notifică fără întârziere informațiile prevăzute la articolul 91 alineatul (1) literele (a) și (b) supraveghetorului consolidant, dacă aceasta este o autoritate distinctă, precum și celorlalți membri ai colegiului de rezoluție al grupului în cauză.</w:t>
            </w:r>
          </w:p>
          <w:p w14:paraId="7127FFA7" w14:textId="77777777" w:rsidR="00EB243D" w:rsidRPr="00154588" w:rsidRDefault="00EB243D" w:rsidP="008C12B4">
            <w:pPr>
              <w:jc w:val="both"/>
              <w:rPr>
                <w:sz w:val="20"/>
                <w:szCs w:val="20"/>
              </w:rPr>
            </w:pPr>
          </w:p>
          <w:p w14:paraId="26879485" w14:textId="77777777" w:rsidR="00EB243D" w:rsidRPr="00154588" w:rsidRDefault="00EB243D" w:rsidP="008C12B4">
            <w:pPr>
              <w:jc w:val="both"/>
              <w:rPr>
                <w:sz w:val="20"/>
                <w:szCs w:val="20"/>
              </w:rPr>
            </w:pPr>
            <w:r w:rsidRPr="00154588">
              <w:rPr>
                <w:sz w:val="20"/>
                <w:szCs w:val="20"/>
              </w:rPr>
              <w:t>Măsurile de rezoluție sau de insolvență luate în sensul articolului 91 alineatul (1) litera (b) pot include punerea în aplicare a unei scheme de rezoluție a grupului întocmite în conformitate cu articolul 91 alineatul (6) dacă sunt îndeplinite oricare dintre următoarele situații:</w:t>
            </w:r>
          </w:p>
          <w:p w14:paraId="3A5966B1" w14:textId="77777777" w:rsidR="00EB243D" w:rsidRPr="00154588" w:rsidRDefault="00EB243D" w:rsidP="008C12B4">
            <w:pPr>
              <w:jc w:val="both"/>
              <w:rPr>
                <w:sz w:val="20"/>
                <w:szCs w:val="20"/>
              </w:rPr>
            </w:pPr>
          </w:p>
          <w:p w14:paraId="12C56CDE" w14:textId="77777777" w:rsidR="00EB243D" w:rsidRPr="00154588" w:rsidRDefault="00EB243D" w:rsidP="008C12B4">
            <w:pPr>
              <w:jc w:val="both"/>
              <w:rPr>
                <w:sz w:val="20"/>
                <w:szCs w:val="20"/>
              </w:rPr>
            </w:pPr>
            <w:r w:rsidRPr="00154588">
              <w:rPr>
                <w:sz w:val="20"/>
                <w:szCs w:val="20"/>
              </w:rPr>
              <w:t>(a) măsurile de rezoluție sau alte măsuri la nivelul entității-mamă, notificate în conformitate cu articolul 91 alineatul (1) litera (b), fac probabilă îndeplinirea condițiilor prevăzute la articolul 32 sau la articolul 33 în raport cu o entitate din grup dintr-un alt stat membru;</w:t>
            </w:r>
          </w:p>
          <w:p w14:paraId="3AEE4EF3" w14:textId="77777777" w:rsidR="00EB243D" w:rsidRPr="00154588" w:rsidRDefault="00EB243D" w:rsidP="008C12B4">
            <w:pPr>
              <w:jc w:val="both"/>
              <w:rPr>
                <w:sz w:val="20"/>
                <w:szCs w:val="20"/>
              </w:rPr>
            </w:pPr>
          </w:p>
          <w:p w14:paraId="635792FF" w14:textId="77777777" w:rsidR="00EB243D" w:rsidRPr="00154588" w:rsidRDefault="00EB243D" w:rsidP="008C12B4">
            <w:pPr>
              <w:jc w:val="both"/>
              <w:rPr>
                <w:sz w:val="20"/>
                <w:szCs w:val="20"/>
              </w:rPr>
            </w:pPr>
            <w:r w:rsidRPr="00154588">
              <w:rPr>
                <w:sz w:val="20"/>
                <w:szCs w:val="20"/>
              </w:rPr>
              <w:t>(b) măsurile de rezoluție sau alte măsuri luate numai la nivelul entității-mamă nu sunt suficiente pentru stabilizarea situației sau nu asigură, probabil, un rezultat optim;</w:t>
            </w:r>
          </w:p>
          <w:p w14:paraId="31AF2EDC" w14:textId="77777777" w:rsidR="00EB243D" w:rsidRPr="00154588" w:rsidRDefault="00EB243D" w:rsidP="008C12B4">
            <w:pPr>
              <w:jc w:val="both"/>
              <w:rPr>
                <w:sz w:val="20"/>
                <w:szCs w:val="20"/>
              </w:rPr>
            </w:pPr>
          </w:p>
          <w:p w14:paraId="28A568D1" w14:textId="77777777" w:rsidR="00EB243D" w:rsidRPr="00154588" w:rsidRDefault="00EB243D" w:rsidP="008C12B4">
            <w:pPr>
              <w:jc w:val="both"/>
              <w:rPr>
                <w:sz w:val="20"/>
                <w:szCs w:val="20"/>
              </w:rPr>
            </w:pPr>
            <w:r w:rsidRPr="00154588">
              <w:rPr>
                <w:sz w:val="20"/>
                <w:szCs w:val="20"/>
              </w:rPr>
              <w:t>(c) una sau mai multe filiale îndeplinesc condițiile menționate la articolul 32 sau la articolul 33, conform hotărârii autorităților de rezoluție responsabile pentru filialele respective; sau</w:t>
            </w:r>
          </w:p>
          <w:p w14:paraId="6CB2EAEC" w14:textId="77777777" w:rsidR="00EB243D" w:rsidRPr="00154588" w:rsidRDefault="00EB243D" w:rsidP="008C12B4">
            <w:pPr>
              <w:jc w:val="both"/>
              <w:rPr>
                <w:sz w:val="20"/>
                <w:szCs w:val="20"/>
              </w:rPr>
            </w:pPr>
          </w:p>
          <w:p w14:paraId="2D44D7B6" w14:textId="26EB4723" w:rsidR="00EB243D" w:rsidRPr="00154588" w:rsidRDefault="00EB243D" w:rsidP="008C12B4">
            <w:pPr>
              <w:jc w:val="both"/>
              <w:rPr>
                <w:sz w:val="20"/>
                <w:szCs w:val="20"/>
              </w:rPr>
            </w:pPr>
            <w:r w:rsidRPr="00154588">
              <w:rPr>
                <w:sz w:val="20"/>
                <w:szCs w:val="20"/>
              </w:rPr>
              <w:t>(d) măsurile de rezoluție sau alte măsuri luate la nivelul grupului avantajează filialele din grup în așa fel încât o schemă de rezoluție a grupului devine adecvată.</w:t>
            </w:r>
          </w:p>
        </w:tc>
        <w:tc>
          <w:tcPr>
            <w:tcW w:w="4819" w:type="dxa"/>
          </w:tcPr>
          <w:p w14:paraId="7E87211B" w14:textId="14F66691" w:rsidR="00EB243D" w:rsidRPr="00154588" w:rsidRDefault="00EB243D" w:rsidP="008C12B4">
            <w:pPr>
              <w:ind w:firstLine="567"/>
              <w:jc w:val="both"/>
              <w:rPr>
                <w:rFonts w:eastAsia="Calibri"/>
                <w:sz w:val="20"/>
                <w:szCs w:val="20"/>
              </w:rPr>
            </w:pPr>
            <w:r w:rsidRPr="00154588">
              <w:rPr>
                <w:rFonts w:eastAsia="Calibri"/>
                <w:b/>
                <w:sz w:val="20"/>
                <w:szCs w:val="20"/>
              </w:rPr>
              <w:t>Articolul 295</w:t>
            </w:r>
            <w:r w:rsidRPr="00154588">
              <w:rPr>
                <w:rFonts w:eastAsia="Calibri"/>
                <w:b/>
                <w:sz w:val="20"/>
                <w:szCs w:val="20"/>
                <w:vertAlign w:val="superscript"/>
              </w:rPr>
              <w:t>49</w:t>
            </w:r>
            <w:r w:rsidRPr="00154588">
              <w:rPr>
                <w:rFonts w:eastAsia="Calibri"/>
                <w:sz w:val="20"/>
                <w:szCs w:val="20"/>
              </w:rPr>
              <w:t>. – (1)În cazul în care Banca Națională a Moldovei, în calitate de autoritate de rezoluție la nivel de grup, decide că o întreprindere-mamă pentru care este competentă întrunește condițiile prevăzute la art. 58 sau 60  alin. (10)-(14), aceasta notifică fără întârziere informațiile prevăzute la art. 295</w:t>
            </w:r>
            <w:r w:rsidRPr="00154588">
              <w:rPr>
                <w:rFonts w:eastAsia="Calibri"/>
                <w:sz w:val="20"/>
                <w:szCs w:val="20"/>
                <w:vertAlign w:val="superscript"/>
              </w:rPr>
              <w:t>30</w:t>
            </w:r>
            <w:r w:rsidRPr="00154588">
              <w:rPr>
                <w:rFonts w:eastAsia="Calibri"/>
                <w:sz w:val="20"/>
                <w:szCs w:val="20"/>
              </w:rPr>
              <w:t xml:space="preserve"> lit. a) și b), după caz, supraveghetorului consolidant, dacă acesta este o autoritate distinctă, precum și celorlalți membri ai colegiului de rezoluție constituit pentru grupul respectiv.</w:t>
            </w:r>
          </w:p>
          <w:p w14:paraId="70CEB489" w14:textId="77777777" w:rsidR="00EB243D" w:rsidRPr="00154588" w:rsidRDefault="00EB243D" w:rsidP="008C12B4">
            <w:pPr>
              <w:ind w:firstLine="567"/>
              <w:jc w:val="both"/>
              <w:rPr>
                <w:rFonts w:eastAsia="Calibri"/>
                <w:sz w:val="20"/>
                <w:szCs w:val="20"/>
              </w:rPr>
            </w:pPr>
          </w:p>
          <w:p w14:paraId="7E7A488C" w14:textId="7D3E1DEA" w:rsidR="00EB243D" w:rsidRPr="00154588" w:rsidRDefault="00EB243D" w:rsidP="008C12B4">
            <w:pPr>
              <w:jc w:val="both"/>
              <w:rPr>
                <w:rFonts w:eastAsia="Calibri"/>
                <w:sz w:val="20"/>
                <w:szCs w:val="20"/>
              </w:rPr>
            </w:pPr>
            <w:r w:rsidRPr="00154588">
              <w:rPr>
                <w:rFonts w:eastAsia="Calibri"/>
                <w:sz w:val="20"/>
                <w:szCs w:val="20"/>
              </w:rPr>
              <w:t>(2)Acțiunile de rezoluție sau măsurile de insolvabilitate luate pentru scopurile art.295</w:t>
            </w:r>
            <w:r w:rsidRPr="00154588">
              <w:rPr>
                <w:rFonts w:eastAsia="Calibri"/>
                <w:sz w:val="20"/>
                <w:szCs w:val="20"/>
                <w:vertAlign w:val="superscript"/>
              </w:rPr>
              <w:t>30</w:t>
            </w:r>
            <w:r w:rsidRPr="00154588">
              <w:rPr>
                <w:rFonts w:eastAsia="Calibri"/>
                <w:sz w:val="20"/>
                <w:szCs w:val="20"/>
              </w:rPr>
              <w:t xml:space="preserve"> lit.b) pot include punerea în aplicare a unei scheme de rezoluție a grupului întocmite în conformitate cu prevederile art.295</w:t>
            </w:r>
            <w:r w:rsidRPr="00154588">
              <w:rPr>
                <w:rFonts w:eastAsia="Calibri"/>
                <w:sz w:val="20"/>
                <w:szCs w:val="20"/>
                <w:vertAlign w:val="superscript"/>
              </w:rPr>
              <w:t>34</w:t>
            </w:r>
            <w:r w:rsidRPr="00154588">
              <w:rPr>
                <w:rFonts w:eastAsia="Calibri"/>
                <w:sz w:val="20"/>
                <w:szCs w:val="20"/>
              </w:rPr>
              <w:t> dacă sunt îndeplinite oricare dintre următoarele situații:</w:t>
            </w:r>
          </w:p>
          <w:p w14:paraId="343E28E8" w14:textId="77777777" w:rsidR="00EB243D" w:rsidRPr="00154588" w:rsidRDefault="00EB243D" w:rsidP="008C12B4">
            <w:pPr>
              <w:ind w:firstLine="567"/>
              <w:jc w:val="both"/>
              <w:rPr>
                <w:rFonts w:eastAsia="Calibri"/>
                <w:sz w:val="20"/>
                <w:szCs w:val="20"/>
              </w:rPr>
            </w:pPr>
            <w:r w:rsidRPr="00154588">
              <w:rPr>
                <w:rFonts w:eastAsia="Calibri"/>
                <w:sz w:val="20"/>
                <w:szCs w:val="20"/>
              </w:rPr>
              <w:t>a) acțiunile de rezoluție sau alte măsuri la nivelul întreprinderii-mamă, notificate în conformitate cu prevederile art.295</w:t>
            </w:r>
            <w:r w:rsidRPr="00154588">
              <w:rPr>
                <w:rFonts w:eastAsia="Calibri"/>
                <w:sz w:val="20"/>
                <w:szCs w:val="20"/>
                <w:vertAlign w:val="superscript"/>
              </w:rPr>
              <w:t>30</w:t>
            </w:r>
            <w:r w:rsidRPr="00154588">
              <w:rPr>
                <w:rFonts w:eastAsia="Calibri"/>
                <w:sz w:val="20"/>
                <w:szCs w:val="20"/>
              </w:rPr>
              <w:t xml:space="preserve"> lit.b), fac probabilă îndeplinirea condițiilor prevăzute la art.58-60 sau la art.60 alin.(4), în legătură cu o entitate din grup dintr-un alt stat membru al Uniunii Europene;</w:t>
            </w:r>
          </w:p>
          <w:p w14:paraId="4FB42479" w14:textId="77777777" w:rsidR="00EB243D" w:rsidRPr="00154588" w:rsidRDefault="00EB243D" w:rsidP="008C12B4">
            <w:pPr>
              <w:ind w:firstLine="567"/>
              <w:jc w:val="both"/>
              <w:rPr>
                <w:rFonts w:eastAsia="Calibri"/>
                <w:sz w:val="20"/>
                <w:szCs w:val="20"/>
              </w:rPr>
            </w:pPr>
            <w:r w:rsidRPr="00154588">
              <w:rPr>
                <w:rFonts w:eastAsia="Calibri"/>
                <w:sz w:val="20"/>
                <w:szCs w:val="20"/>
              </w:rPr>
              <w:t>b) acțiunile de rezoluție sau alte măsuri luate numai la nivelul întreprinderii-mamă nu sunt suficiente pentru stabilizarea situației sau nu asigură, probabil, un rezultat optim;</w:t>
            </w:r>
          </w:p>
          <w:p w14:paraId="4CE807C7" w14:textId="77777777" w:rsidR="00EB243D" w:rsidRPr="00154588" w:rsidRDefault="00EB243D" w:rsidP="008C12B4">
            <w:pPr>
              <w:ind w:firstLine="567"/>
              <w:jc w:val="both"/>
              <w:rPr>
                <w:rFonts w:eastAsia="Calibri"/>
                <w:sz w:val="20"/>
                <w:szCs w:val="20"/>
              </w:rPr>
            </w:pPr>
            <w:r w:rsidRPr="00154588">
              <w:rPr>
                <w:rFonts w:eastAsia="Calibri"/>
                <w:sz w:val="20"/>
                <w:szCs w:val="20"/>
              </w:rPr>
              <w:t>c) una sau mai multe filiale îndeplinesc condițiile prevăzute la art.58-60 sau la art. 60 alin.(4), conform hotărârii autorităților de rezoluție responsabile pentru filialele respective; sau</w:t>
            </w:r>
          </w:p>
          <w:p w14:paraId="4514198A" w14:textId="434B339A" w:rsidR="00EB243D" w:rsidRPr="00154588" w:rsidRDefault="00EB243D" w:rsidP="008C12B4">
            <w:pPr>
              <w:ind w:firstLine="567"/>
              <w:jc w:val="both"/>
              <w:rPr>
                <w:rFonts w:eastAsia="Calibri"/>
                <w:sz w:val="20"/>
                <w:szCs w:val="20"/>
              </w:rPr>
            </w:pPr>
            <w:r w:rsidRPr="00154588">
              <w:rPr>
                <w:rFonts w:eastAsia="Calibri"/>
                <w:sz w:val="20"/>
                <w:szCs w:val="20"/>
              </w:rPr>
              <w:t>d) acțiunile de rezoluție sau alte măsuri luate la nivelul grupului avantajează filialele din grup în așa fel încât o schemă de rezoluție a grupului devine adecvată.</w:t>
            </w:r>
          </w:p>
        </w:tc>
        <w:tc>
          <w:tcPr>
            <w:tcW w:w="2552" w:type="dxa"/>
          </w:tcPr>
          <w:p w14:paraId="2F24945B" w14:textId="051823AB" w:rsidR="00EB243D" w:rsidRPr="00154588" w:rsidRDefault="00EB243D" w:rsidP="008C12B4">
            <w:pPr>
              <w:jc w:val="both"/>
              <w:rPr>
                <w:sz w:val="20"/>
                <w:szCs w:val="20"/>
              </w:rPr>
            </w:pPr>
            <w:r w:rsidRPr="00154588">
              <w:rPr>
                <w:sz w:val="20"/>
                <w:szCs w:val="20"/>
              </w:rPr>
              <w:t>Compatibil</w:t>
            </w:r>
          </w:p>
        </w:tc>
        <w:tc>
          <w:tcPr>
            <w:tcW w:w="3118" w:type="dxa"/>
          </w:tcPr>
          <w:p w14:paraId="295C3D01" w14:textId="77777777" w:rsidR="00EB243D" w:rsidRPr="00154588" w:rsidRDefault="00EB243D" w:rsidP="008C12B4">
            <w:pPr>
              <w:jc w:val="both"/>
              <w:rPr>
                <w:sz w:val="20"/>
                <w:szCs w:val="20"/>
              </w:rPr>
            </w:pPr>
          </w:p>
        </w:tc>
      </w:tr>
      <w:tr w:rsidR="00EB243D" w:rsidRPr="00154588" w14:paraId="245E12E2" w14:textId="77777777" w:rsidTr="00D15C1B">
        <w:trPr>
          <w:jc w:val="center"/>
        </w:trPr>
        <w:tc>
          <w:tcPr>
            <w:tcW w:w="4957" w:type="dxa"/>
            <w:gridSpan w:val="2"/>
          </w:tcPr>
          <w:p w14:paraId="6E24D13C" w14:textId="6CD34D7C" w:rsidR="00EB243D" w:rsidRPr="00154588" w:rsidRDefault="00EB243D" w:rsidP="008C12B4">
            <w:pPr>
              <w:jc w:val="both"/>
              <w:rPr>
                <w:sz w:val="20"/>
                <w:szCs w:val="20"/>
              </w:rPr>
            </w:pPr>
            <w:r w:rsidRPr="00154588">
              <w:rPr>
                <w:sz w:val="20"/>
                <w:szCs w:val="20"/>
              </w:rPr>
              <w:t>(3)   .</w:t>
            </w:r>
          </w:p>
          <w:p w14:paraId="157BECBA" w14:textId="77777777" w:rsidR="00EB243D" w:rsidRPr="00154588" w:rsidRDefault="00EB243D" w:rsidP="008C12B4">
            <w:pPr>
              <w:jc w:val="both"/>
              <w:rPr>
                <w:sz w:val="20"/>
                <w:szCs w:val="20"/>
              </w:rPr>
            </w:pPr>
          </w:p>
          <w:p w14:paraId="583D3B1A" w14:textId="19973019" w:rsidR="00EB243D" w:rsidRPr="00154588" w:rsidRDefault="00EB243D" w:rsidP="008C12B4">
            <w:pPr>
              <w:jc w:val="both"/>
              <w:rPr>
                <w:sz w:val="20"/>
                <w:szCs w:val="20"/>
              </w:rPr>
            </w:pPr>
            <w:r w:rsidRPr="00154588">
              <w:rPr>
                <w:sz w:val="20"/>
                <w:szCs w:val="20"/>
              </w:rPr>
              <w:t xml:space="preserve">ABE poate, la cererea unei autorități de rezoluție, să ajute autoritățile de rezoluție să ajungă la o decizie </w:t>
            </w:r>
            <w:r w:rsidRPr="00154588">
              <w:rPr>
                <w:sz w:val="20"/>
                <w:szCs w:val="20"/>
              </w:rPr>
              <w:lastRenderedPageBreak/>
              <w:t>comună în conformitate cu articolul 31 alineatul (2) litera (c) din Regulamentul (UE) nr. 1093/2010.</w:t>
            </w:r>
          </w:p>
        </w:tc>
        <w:tc>
          <w:tcPr>
            <w:tcW w:w="4819" w:type="dxa"/>
          </w:tcPr>
          <w:p w14:paraId="401148CF" w14:textId="3B20BC19" w:rsidR="00EB243D" w:rsidRPr="00154588" w:rsidRDefault="00EB243D" w:rsidP="008C12B4">
            <w:pPr>
              <w:jc w:val="both"/>
              <w:rPr>
                <w:rFonts w:eastAsia="Calibri"/>
                <w:sz w:val="20"/>
                <w:szCs w:val="20"/>
              </w:rPr>
            </w:pPr>
            <w:r w:rsidRPr="00154588">
              <w:rPr>
                <w:rFonts w:eastAsia="Calibri"/>
                <w:b/>
                <w:sz w:val="20"/>
                <w:szCs w:val="20"/>
              </w:rPr>
              <w:lastRenderedPageBreak/>
              <w:t>Articolul 295</w:t>
            </w:r>
            <w:r w:rsidRPr="00154588">
              <w:rPr>
                <w:rFonts w:eastAsia="Calibri"/>
                <w:b/>
                <w:sz w:val="20"/>
                <w:szCs w:val="20"/>
                <w:vertAlign w:val="superscript"/>
              </w:rPr>
              <w:t>50</w:t>
            </w:r>
            <w:r w:rsidRPr="00154588">
              <w:rPr>
                <w:rFonts w:eastAsia="Calibri"/>
                <w:b/>
                <w:sz w:val="20"/>
                <w:szCs w:val="20"/>
              </w:rPr>
              <w:t xml:space="preserve">. – </w:t>
            </w:r>
            <w:r w:rsidRPr="00154588">
              <w:rPr>
                <w:rFonts w:eastAsia="Calibri"/>
                <w:sz w:val="20"/>
                <w:szCs w:val="20"/>
              </w:rPr>
              <w:t>(1) În cazul în care autoritățile de rezoluție la nivel de grup nu ajung la o decizie comună astfel cum este menționat la art. 295</w:t>
            </w:r>
            <w:r w:rsidRPr="00154588">
              <w:rPr>
                <w:rFonts w:eastAsia="Calibri"/>
                <w:sz w:val="20"/>
                <w:szCs w:val="20"/>
                <w:vertAlign w:val="superscript"/>
              </w:rPr>
              <w:t>49</w:t>
            </w:r>
            <w:r w:rsidRPr="00154588">
              <w:rPr>
                <w:rFonts w:eastAsia="Calibri"/>
                <w:sz w:val="20"/>
                <w:szCs w:val="20"/>
              </w:rPr>
              <w:t xml:space="preserve">, Banca Națională a Moldovei, în calitate de autoritate de rezoluție la nivel individual, poate </w:t>
            </w:r>
            <w:r w:rsidRPr="00154588">
              <w:rPr>
                <w:rFonts w:eastAsia="Calibri"/>
                <w:sz w:val="20"/>
                <w:szCs w:val="20"/>
              </w:rPr>
              <w:lastRenderedPageBreak/>
              <w:t>solicita Autorității Bancare Europene să acorde asistență autorităților de rezoluție implicate, pentru obținerea unei decizii comune în conformitate cu prevederile art.31 alin.(2) lit.c) din Regulamentul (UE) nr.1093/2010.</w:t>
            </w:r>
          </w:p>
        </w:tc>
        <w:tc>
          <w:tcPr>
            <w:tcW w:w="2552" w:type="dxa"/>
          </w:tcPr>
          <w:p w14:paraId="72230A68" w14:textId="0A1D1577" w:rsidR="00EB243D" w:rsidRPr="00154588" w:rsidRDefault="00EB243D" w:rsidP="008C12B4">
            <w:pPr>
              <w:jc w:val="both"/>
              <w:rPr>
                <w:sz w:val="20"/>
                <w:szCs w:val="20"/>
              </w:rPr>
            </w:pPr>
            <w:r w:rsidRPr="00154588">
              <w:rPr>
                <w:sz w:val="20"/>
                <w:szCs w:val="20"/>
              </w:rPr>
              <w:lastRenderedPageBreak/>
              <w:t>Compatibil</w:t>
            </w:r>
          </w:p>
        </w:tc>
        <w:tc>
          <w:tcPr>
            <w:tcW w:w="3118" w:type="dxa"/>
          </w:tcPr>
          <w:p w14:paraId="4553367C" w14:textId="77777777" w:rsidR="00EB243D" w:rsidRPr="00154588" w:rsidRDefault="00EB243D" w:rsidP="008C12B4">
            <w:pPr>
              <w:jc w:val="both"/>
              <w:rPr>
                <w:sz w:val="20"/>
                <w:szCs w:val="20"/>
              </w:rPr>
            </w:pPr>
          </w:p>
        </w:tc>
      </w:tr>
      <w:tr w:rsidR="00EB243D" w:rsidRPr="00154588" w14:paraId="613626DA" w14:textId="77777777" w:rsidTr="00D15C1B">
        <w:trPr>
          <w:jc w:val="center"/>
        </w:trPr>
        <w:tc>
          <w:tcPr>
            <w:tcW w:w="4957" w:type="dxa"/>
            <w:gridSpan w:val="2"/>
          </w:tcPr>
          <w:p w14:paraId="29D736AD" w14:textId="5BB4C047" w:rsidR="00EB243D" w:rsidRPr="00154588" w:rsidRDefault="00EB243D" w:rsidP="008C12B4">
            <w:pPr>
              <w:jc w:val="both"/>
              <w:rPr>
                <w:sz w:val="20"/>
                <w:szCs w:val="20"/>
              </w:rPr>
            </w:pPr>
            <w:r w:rsidRPr="00154588">
              <w:rPr>
                <w:sz w:val="20"/>
                <w:szCs w:val="20"/>
              </w:rPr>
              <w:t>(4)   În cazul în care oricare dintre autoritățile de rezoluție nu este de acord cu schema de rezoluție la nivel de grup propusă de autoritatea de rezoluție a grupului sau consideră că, din motive de stabilitate financiară, trebuie să ia măsuri de rezoluție independente sau alte măsuri decât cele propuse în schemă în raport cu o instituție sau cu o entitate menționată la articolul 1 alineatul (1) litera (b), (c) sau (d), ea prezintă în detaliu motivele dezacordului sau motivele de abatere de la schema de rezoluție a grupului, le notifică autorității de rezoluție a grupului și celorlalte autorități de rezoluție care fac obiectul schemei de rezoluție la nivel de grup și informează aceste autorități cu privire la acțiunile sau măsurile pe care intenționează să le ia. Atunci când prezintă motivele dezacordului său, autoritatea de rezoluție respectivă ține seama de planurile de rezoluție la care se face referire la articolul 13, de impactul potențial asupra stabilității financiare din statele membre în cauză, precum și de efectul potențial al acțiunilor sau măsurilor asupra altor părți ale grupului.</w:t>
            </w:r>
          </w:p>
        </w:tc>
        <w:tc>
          <w:tcPr>
            <w:tcW w:w="4819" w:type="dxa"/>
          </w:tcPr>
          <w:p w14:paraId="40595A46" w14:textId="1B825CE0"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51</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În cazul în care oricare dintre celelalte autorități de rezoluție, inclusiv, după caz, Banca Națională a Moldovei, în calitate de autoritate de rezoluție la nivel individual, nu este de acord cu schema de rezoluție a grupului propusă de către autoritatea de rezoluție la nivel de grup sau se îndepărtează de la aceasta sau consideră că, din motive de stabilitate financiară, trebuie să întreprindă acțiuni de rezoluție independente sau alte măsuri decât cele propuse în schemă în legătură cu o instituție sau cu o entitate prevăzută la art.1 alin.(1) lit.b), c) sau d), aceasta prezintă în detaliu motivele dezacordului sau motivele de abatere de la schema de rezoluție a grupului, le notifică autorității de rezoluție a grupului și celorlalte autorități de rezoluție care fac obiectul schemei de rezoluție la nivel de grup și informează aceste autorități cu privire la acțiunile sau măsurile pe care intenționează să le ia. Atunci când prezintă motivele dezacordului său, Banca Națională a Moldovei, în calitate de autoritate de rezoluție la nivel individual, ține seama de planurile de rezoluție la care se face referire la art.31</w:t>
            </w:r>
            <w:r w:rsidRPr="00154588">
              <w:rPr>
                <w:rFonts w:eastAsia="Calibri"/>
                <w:kern w:val="2"/>
                <w:sz w:val="20"/>
                <w:szCs w:val="20"/>
                <w:vertAlign w:val="superscript"/>
                <w14:ligatures w14:val="standardContextual"/>
              </w:rPr>
              <w:t>16</w:t>
            </w:r>
            <w:r w:rsidRPr="00154588">
              <w:rPr>
                <w:rFonts w:eastAsia="Calibri"/>
                <w:kern w:val="2"/>
                <w:sz w:val="20"/>
                <w:szCs w:val="20"/>
                <w14:ligatures w14:val="standardContextual"/>
              </w:rPr>
              <w:t>-31</w:t>
            </w:r>
            <w:r w:rsidRPr="00154588">
              <w:rPr>
                <w:rFonts w:eastAsia="Calibri"/>
                <w:kern w:val="2"/>
                <w:sz w:val="20"/>
                <w:szCs w:val="20"/>
                <w:vertAlign w:val="superscript"/>
                <w14:ligatures w14:val="standardContextual"/>
              </w:rPr>
              <w:t>23</w:t>
            </w:r>
            <w:r w:rsidRPr="00154588">
              <w:rPr>
                <w:rFonts w:eastAsia="Calibri"/>
                <w:kern w:val="2"/>
                <w:sz w:val="20"/>
                <w:szCs w:val="20"/>
                <w14:ligatures w14:val="standardContextual"/>
              </w:rPr>
              <w:t>, de impactul potențial asupra stabilității financiare din statele membre în cauză, precum și de efectul potențial al acțiunilor sau măsurilor asupra altor părți ale grupului.</w:t>
            </w:r>
          </w:p>
        </w:tc>
        <w:tc>
          <w:tcPr>
            <w:tcW w:w="2552" w:type="dxa"/>
          </w:tcPr>
          <w:p w14:paraId="3EE8F796" w14:textId="18CD2E81" w:rsidR="00EB243D" w:rsidRPr="00154588" w:rsidRDefault="00EB243D" w:rsidP="008C12B4">
            <w:pPr>
              <w:jc w:val="both"/>
              <w:rPr>
                <w:sz w:val="20"/>
                <w:szCs w:val="20"/>
              </w:rPr>
            </w:pPr>
            <w:r w:rsidRPr="00154588">
              <w:rPr>
                <w:sz w:val="20"/>
                <w:szCs w:val="20"/>
              </w:rPr>
              <w:t>Compatibil</w:t>
            </w:r>
          </w:p>
        </w:tc>
        <w:tc>
          <w:tcPr>
            <w:tcW w:w="3118" w:type="dxa"/>
          </w:tcPr>
          <w:p w14:paraId="0A6F0C43" w14:textId="77777777" w:rsidR="00EB243D" w:rsidRPr="00154588" w:rsidRDefault="00EB243D" w:rsidP="008C12B4">
            <w:pPr>
              <w:jc w:val="both"/>
              <w:rPr>
                <w:sz w:val="20"/>
                <w:szCs w:val="20"/>
              </w:rPr>
            </w:pPr>
          </w:p>
        </w:tc>
      </w:tr>
      <w:tr w:rsidR="00EB243D" w:rsidRPr="00154588" w14:paraId="7ED03407" w14:textId="77777777" w:rsidTr="00D15C1B">
        <w:trPr>
          <w:jc w:val="center"/>
        </w:trPr>
        <w:tc>
          <w:tcPr>
            <w:tcW w:w="4957" w:type="dxa"/>
            <w:gridSpan w:val="2"/>
          </w:tcPr>
          <w:p w14:paraId="67A65455" w14:textId="40413EFB" w:rsidR="00EB243D" w:rsidRPr="00154588" w:rsidRDefault="00EB243D" w:rsidP="008C12B4">
            <w:pPr>
              <w:jc w:val="both"/>
              <w:rPr>
                <w:sz w:val="20"/>
                <w:szCs w:val="20"/>
              </w:rPr>
            </w:pPr>
            <w:r w:rsidRPr="00154588">
              <w:rPr>
                <w:sz w:val="20"/>
                <w:szCs w:val="20"/>
              </w:rPr>
              <w:t>(5)   Autoritățile de rezoluție care nu și-au exprimat dezacordul față de schema de rezoluție a grupului în temeiul alineatului (4) pot ajunge la o decizie comună privind o schemă de rezoluție a grupului care se referă la entitățile din grup aflate în statul membru.</w:t>
            </w:r>
          </w:p>
        </w:tc>
        <w:tc>
          <w:tcPr>
            <w:tcW w:w="4819" w:type="dxa"/>
          </w:tcPr>
          <w:p w14:paraId="72FE2D99" w14:textId="14A87D07"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52</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Banca Națională a Moldovei, în calitate de autoritate de rezoluție la nivel individual, împreună cu celelalte autoritățile de rezoluție care nu și-au exprimat dezacordul față de schema de rezoluție a grupului în temeiul art.295</w:t>
            </w:r>
            <w:r w:rsidRPr="00154588">
              <w:rPr>
                <w:rFonts w:eastAsia="Calibri"/>
                <w:kern w:val="2"/>
                <w:sz w:val="20"/>
                <w:szCs w:val="20"/>
                <w:vertAlign w:val="superscript"/>
                <w14:ligatures w14:val="standardContextual"/>
              </w:rPr>
              <w:t>51</w:t>
            </w:r>
            <w:r w:rsidRPr="00154588">
              <w:rPr>
                <w:rFonts w:eastAsia="Calibri"/>
                <w:kern w:val="2"/>
                <w:sz w:val="20"/>
                <w:szCs w:val="20"/>
                <w14:ligatures w14:val="standardContextual"/>
              </w:rPr>
              <w:t> pot ajunge la o decizie comună privind o schemă de rezoluție a grupului care se referă la entitățile din grup aflate în respectivele state membre.</w:t>
            </w:r>
          </w:p>
        </w:tc>
        <w:tc>
          <w:tcPr>
            <w:tcW w:w="2552" w:type="dxa"/>
          </w:tcPr>
          <w:p w14:paraId="1C2835EE" w14:textId="127DCE27" w:rsidR="00EB243D" w:rsidRPr="00154588" w:rsidRDefault="00EB243D" w:rsidP="008C12B4">
            <w:pPr>
              <w:jc w:val="both"/>
              <w:rPr>
                <w:sz w:val="20"/>
                <w:szCs w:val="20"/>
              </w:rPr>
            </w:pPr>
            <w:r w:rsidRPr="00154588">
              <w:rPr>
                <w:sz w:val="20"/>
                <w:szCs w:val="20"/>
              </w:rPr>
              <w:t>Compatibil</w:t>
            </w:r>
          </w:p>
        </w:tc>
        <w:tc>
          <w:tcPr>
            <w:tcW w:w="3118" w:type="dxa"/>
          </w:tcPr>
          <w:p w14:paraId="4DA99BF0" w14:textId="77777777" w:rsidR="00EB243D" w:rsidRPr="00154588" w:rsidRDefault="00EB243D" w:rsidP="008C12B4">
            <w:pPr>
              <w:jc w:val="both"/>
              <w:rPr>
                <w:sz w:val="20"/>
                <w:szCs w:val="20"/>
              </w:rPr>
            </w:pPr>
          </w:p>
        </w:tc>
      </w:tr>
      <w:tr w:rsidR="00EB243D" w:rsidRPr="00154588" w14:paraId="6D87907B" w14:textId="77777777" w:rsidTr="00D15C1B">
        <w:trPr>
          <w:jc w:val="center"/>
        </w:trPr>
        <w:tc>
          <w:tcPr>
            <w:tcW w:w="4957" w:type="dxa"/>
            <w:gridSpan w:val="2"/>
          </w:tcPr>
          <w:p w14:paraId="5F5126CF" w14:textId="2219FF33" w:rsidR="00EB243D" w:rsidRPr="00154588" w:rsidRDefault="00EB243D" w:rsidP="008C12B4">
            <w:pPr>
              <w:jc w:val="both"/>
              <w:rPr>
                <w:sz w:val="20"/>
                <w:szCs w:val="20"/>
              </w:rPr>
            </w:pPr>
            <w:r w:rsidRPr="00154588">
              <w:rPr>
                <w:sz w:val="20"/>
                <w:szCs w:val="20"/>
              </w:rPr>
              <w:t xml:space="preserve">(6)   Decizia comună menționată la alineatul (3) sau (5), precum și deciziile adoptate de autoritățile de rezoluție în absența deciziei comune menționate la alineatul (4) sunt recunoscute ca fiind determinante și </w:t>
            </w:r>
            <w:r w:rsidRPr="00154588">
              <w:rPr>
                <w:sz w:val="20"/>
                <w:szCs w:val="20"/>
              </w:rPr>
              <w:lastRenderedPageBreak/>
              <w:t>sunt aplicate de către autoritățile de rezoluție din statele membre în cauză.</w:t>
            </w:r>
          </w:p>
        </w:tc>
        <w:tc>
          <w:tcPr>
            <w:tcW w:w="4819" w:type="dxa"/>
          </w:tcPr>
          <w:p w14:paraId="474ABA3A" w14:textId="5CA32E02" w:rsidR="00EB243D" w:rsidRPr="00154588" w:rsidRDefault="00EB243D" w:rsidP="008C12B4">
            <w:pPr>
              <w:ind w:firstLine="567"/>
              <w:jc w:val="both"/>
              <w:rPr>
                <w:rFonts w:eastAsia="Calibri"/>
                <w:b/>
                <w:kern w:val="2"/>
                <w:sz w:val="20"/>
                <w:szCs w:val="20"/>
                <w14:ligatures w14:val="standardContextual"/>
              </w:rPr>
            </w:pPr>
            <w:r w:rsidRPr="00154588">
              <w:rPr>
                <w:b/>
                <w:sz w:val="20"/>
                <w:szCs w:val="20"/>
              </w:rPr>
              <w:lastRenderedPageBreak/>
              <w:t>Articolul 295</w:t>
            </w:r>
            <w:r w:rsidRPr="00154588">
              <w:rPr>
                <w:b/>
                <w:sz w:val="20"/>
                <w:szCs w:val="20"/>
                <w:vertAlign w:val="superscript"/>
              </w:rPr>
              <w:t>53</w:t>
            </w:r>
            <w:r w:rsidRPr="00154588">
              <w:rPr>
                <w:b/>
                <w:sz w:val="20"/>
                <w:szCs w:val="20"/>
              </w:rPr>
              <w:t xml:space="preserve">. – </w:t>
            </w:r>
            <w:r w:rsidRPr="00154588">
              <w:rPr>
                <w:sz w:val="20"/>
                <w:szCs w:val="20"/>
              </w:rPr>
              <w:t>Decizia comună prevăzută la art.295</w:t>
            </w:r>
            <w:r w:rsidRPr="00154588">
              <w:rPr>
                <w:sz w:val="20"/>
                <w:szCs w:val="20"/>
                <w:vertAlign w:val="superscript"/>
              </w:rPr>
              <w:t>50</w:t>
            </w:r>
            <w:r w:rsidRPr="00154588">
              <w:rPr>
                <w:sz w:val="20"/>
                <w:szCs w:val="20"/>
              </w:rPr>
              <w:t> sau art.295</w:t>
            </w:r>
            <w:r w:rsidRPr="00154588">
              <w:rPr>
                <w:sz w:val="20"/>
                <w:szCs w:val="20"/>
                <w:vertAlign w:val="superscript"/>
              </w:rPr>
              <w:t>52</w:t>
            </w:r>
            <w:r w:rsidRPr="00154588">
              <w:rPr>
                <w:sz w:val="20"/>
                <w:szCs w:val="20"/>
              </w:rPr>
              <w:t xml:space="preserve"> ori deciziile adoptate în absența deciziei comune prevăzute la art.295</w:t>
            </w:r>
            <w:r w:rsidRPr="00154588">
              <w:rPr>
                <w:sz w:val="20"/>
                <w:szCs w:val="20"/>
                <w:vertAlign w:val="superscript"/>
              </w:rPr>
              <w:t>51</w:t>
            </w:r>
            <w:r w:rsidRPr="00154588">
              <w:rPr>
                <w:sz w:val="20"/>
                <w:szCs w:val="20"/>
              </w:rPr>
              <w:t> este recunoscută pe teritoriul Republicii Moldova ca fiind definitivă și este aplicată în mod corespunzător.</w:t>
            </w:r>
          </w:p>
        </w:tc>
        <w:tc>
          <w:tcPr>
            <w:tcW w:w="2552" w:type="dxa"/>
          </w:tcPr>
          <w:p w14:paraId="18D7138C" w14:textId="7F5A65FC" w:rsidR="00EB243D" w:rsidRPr="00154588" w:rsidRDefault="00EB243D" w:rsidP="008C12B4">
            <w:pPr>
              <w:jc w:val="both"/>
              <w:rPr>
                <w:sz w:val="20"/>
                <w:szCs w:val="20"/>
              </w:rPr>
            </w:pPr>
            <w:r w:rsidRPr="00154588">
              <w:rPr>
                <w:sz w:val="20"/>
                <w:szCs w:val="20"/>
              </w:rPr>
              <w:t>Compatibil</w:t>
            </w:r>
          </w:p>
        </w:tc>
        <w:tc>
          <w:tcPr>
            <w:tcW w:w="3118" w:type="dxa"/>
          </w:tcPr>
          <w:p w14:paraId="0E15987C" w14:textId="77777777" w:rsidR="00EB243D" w:rsidRPr="00154588" w:rsidRDefault="00EB243D" w:rsidP="008C12B4">
            <w:pPr>
              <w:jc w:val="both"/>
              <w:rPr>
                <w:sz w:val="20"/>
                <w:szCs w:val="20"/>
              </w:rPr>
            </w:pPr>
          </w:p>
        </w:tc>
      </w:tr>
      <w:tr w:rsidR="00EB243D" w:rsidRPr="00154588" w14:paraId="3DFD2A6B" w14:textId="77777777" w:rsidTr="00D15C1B">
        <w:trPr>
          <w:jc w:val="center"/>
        </w:trPr>
        <w:tc>
          <w:tcPr>
            <w:tcW w:w="4957" w:type="dxa"/>
            <w:gridSpan w:val="2"/>
          </w:tcPr>
          <w:p w14:paraId="5A5FFD1A" w14:textId="77777777" w:rsidR="00EB243D" w:rsidRPr="00154588" w:rsidRDefault="00EB243D" w:rsidP="008C12B4">
            <w:pPr>
              <w:jc w:val="both"/>
              <w:rPr>
                <w:sz w:val="20"/>
                <w:szCs w:val="20"/>
              </w:rPr>
            </w:pPr>
            <w:r w:rsidRPr="00154588">
              <w:rPr>
                <w:sz w:val="20"/>
                <w:szCs w:val="20"/>
              </w:rPr>
              <w:t>(7)   Autoritățile execută toate măsurile menționate la prezentul articol fără întârziere și ținând seama în mod corespunzător de caracterul urgent al situației.</w:t>
            </w:r>
          </w:p>
          <w:p w14:paraId="2F7DA36A" w14:textId="77777777" w:rsidR="00EB243D" w:rsidRPr="00154588" w:rsidRDefault="00EB243D" w:rsidP="008C12B4">
            <w:pPr>
              <w:jc w:val="both"/>
              <w:rPr>
                <w:sz w:val="20"/>
                <w:szCs w:val="20"/>
              </w:rPr>
            </w:pPr>
          </w:p>
          <w:p w14:paraId="01F2F29A" w14:textId="77777777" w:rsidR="00EB243D" w:rsidRPr="00154588" w:rsidRDefault="00EB243D" w:rsidP="008C12B4">
            <w:pPr>
              <w:jc w:val="both"/>
              <w:rPr>
                <w:sz w:val="20"/>
                <w:szCs w:val="20"/>
              </w:rPr>
            </w:pPr>
            <w:r w:rsidRPr="00154588">
              <w:rPr>
                <w:sz w:val="20"/>
                <w:szCs w:val="20"/>
              </w:rPr>
              <w:t>În toate situațiile în care nu este pusă în aplicare o schemă de rezoluție a grupului, iar autoritățile de rezoluție aplică măsuri de rezoluție în legătură cu oricare entitate din grup, autoritățile de rezoluție respective cooperează îndeaproape în cadrul colegiului de rezoluție în vederea realizării unei strategii de rezoluție coordonate pentru toate entitățile din grup afectate.</w:t>
            </w:r>
          </w:p>
          <w:p w14:paraId="6051B04C" w14:textId="77777777" w:rsidR="00EB243D" w:rsidRPr="00154588" w:rsidRDefault="00EB243D" w:rsidP="008C12B4">
            <w:pPr>
              <w:jc w:val="both"/>
              <w:rPr>
                <w:sz w:val="20"/>
                <w:szCs w:val="20"/>
              </w:rPr>
            </w:pPr>
          </w:p>
          <w:p w14:paraId="7A7DCF13" w14:textId="38E52FD9" w:rsidR="00EB243D" w:rsidRPr="00154588" w:rsidRDefault="00EB243D" w:rsidP="008C12B4">
            <w:pPr>
              <w:jc w:val="both"/>
              <w:rPr>
                <w:sz w:val="20"/>
                <w:szCs w:val="20"/>
              </w:rPr>
            </w:pPr>
            <w:r w:rsidRPr="00154588">
              <w:rPr>
                <w:sz w:val="20"/>
                <w:szCs w:val="20"/>
              </w:rPr>
              <w:t>Autoritățile de rezoluție care iau măsuri de rezoluție în raport cu oricare entitate din grup informează periodic și complet membrii colegiului de rezoluție cu privire la acțiunile sau măsurile respective și la progresele înregistrate în legătură cu aplicarea acestora.</w:t>
            </w:r>
          </w:p>
        </w:tc>
        <w:tc>
          <w:tcPr>
            <w:tcW w:w="4819" w:type="dxa"/>
          </w:tcPr>
          <w:p w14:paraId="08AF3A69" w14:textId="77777777" w:rsidR="00EB243D" w:rsidRPr="00154588" w:rsidRDefault="00EB243D" w:rsidP="008C12B4">
            <w:pPr>
              <w:ind w:firstLine="567"/>
              <w:jc w:val="both"/>
              <w:rPr>
                <w:rFonts w:eastAsia="Calibri"/>
                <w:sz w:val="20"/>
                <w:szCs w:val="20"/>
              </w:rPr>
            </w:pPr>
            <w:r w:rsidRPr="00154588">
              <w:rPr>
                <w:rFonts w:eastAsia="Calibri"/>
                <w:b/>
                <w:sz w:val="20"/>
                <w:szCs w:val="20"/>
              </w:rPr>
              <w:t>Articolul 295</w:t>
            </w:r>
            <w:r w:rsidRPr="00154588">
              <w:rPr>
                <w:rFonts w:eastAsia="Calibri"/>
                <w:b/>
                <w:sz w:val="20"/>
                <w:szCs w:val="20"/>
                <w:vertAlign w:val="superscript"/>
              </w:rPr>
              <w:t>54</w:t>
            </w:r>
            <w:r w:rsidRPr="00154588">
              <w:rPr>
                <w:rFonts w:eastAsia="Calibri"/>
                <w:sz w:val="20"/>
                <w:szCs w:val="20"/>
              </w:rPr>
              <w:t>. – (1) Autoritățile din Republica Moldova implicate în rezoluție întreprind toate acțiunile prevăzute la art.295</w:t>
            </w:r>
            <w:r w:rsidRPr="00154588">
              <w:rPr>
                <w:rFonts w:eastAsia="Calibri"/>
                <w:sz w:val="20"/>
                <w:szCs w:val="20"/>
                <w:vertAlign w:val="superscript"/>
              </w:rPr>
              <w:t>49</w:t>
            </w:r>
            <w:r w:rsidRPr="00154588">
              <w:rPr>
                <w:rFonts w:eastAsia="Calibri"/>
                <w:sz w:val="20"/>
                <w:szCs w:val="20"/>
              </w:rPr>
              <w:t>-295</w:t>
            </w:r>
            <w:r w:rsidRPr="00154588">
              <w:rPr>
                <w:rFonts w:eastAsia="Calibri"/>
                <w:sz w:val="20"/>
                <w:szCs w:val="20"/>
                <w:vertAlign w:val="superscript"/>
              </w:rPr>
              <w:t>54</w:t>
            </w:r>
            <w:r w:rsidRPr="00154588">
              <w:rPr>
                <w:rFonts w:eastAsia="Calibri"/>
                <w:sz w:val="20"/>
                <w:szCs w:val="20"/>
              </w:rPr>
              <w:t xml:space="preserve"> fără întârziere și ținând seama în mod corespunzător de caracterul urgent al situației.</w:t>
            </w:r>
          </w:p>
          <w:p w14:paraId="45607542" w14:textId="77777777" w:rsidR="00EB243D" w:rsidRPr="00154588" w:rsidRDefault="00EB243D" w:rsidP="008C12B4">
            <w:pPr>
              <w:ind w:firstLine="567"/>
              <w:jc w:val="both"/>
              <w:rPr>
                <w:rFonts w:eastAsia="Calibri"/>
                <w:sz w:val="20"/>
                <w:szCs w:val="20"/>
              </w:rPr>
            </w:pPr>
            <w:r w:rsidRPr="00154588">
              <w:rPr>
                <w:rFonts w:eastAsia="Calibri"/>
                <w:sz w:val="20"/>
                <w:szCs w:val="20"/>
              </w:rPr>
              <w:t>(2) În toate situațiile în care nu este pusă în aplicare o schemă de rezoluție a grupului și autoritățile de rezoluție întreprind acțiuni de rezoluție în legătură cu entitățile din grup, Banca Națională a Moldovei, în calitate de autoritate de rezoluție la nivel individual, cooperează îndeaproape în cadrul colegiului de rezoluție în vederea realizării unei strategii de rezoluție coordonate pentru toate entitățile din grup afectate.</w:t>
            </w:r>
          </w:p>
          <w:p w14:paraId="477E146C" w14:textId="0991FEBD" w:rsidR="00EB243D" w:rsidRPr="00154588" w:rsidRDefault="00EB243D" w:rsidP="008C12B4">
            <w:pPr>
              <w:ind w:firstLine="567"/>
              <w:jc w:val="both"/>
              <w:rPr>
                <w:rFonts w:eastAsia="Calibri"/>
                <w:sz w:val="20"/>
                <w:szCs w:val="20"/>
              </w:rPr>
            </w:pPr>
            <w:r w:rsidRPr="00154588">
              <w:rPr>
                <w:rFonts w:eastAsia="Calibri"/>
                <w:sz w:val="20"/>
                <w:szCs w:val="20"/>
              </w:rPr>
              <w:t>(3) Banca Națională a Moldovei, în calitate de autoritate de rezoluție la nivel individual, care întreprinde acțiuni de rezoluție în legătură cu oricare entitate din grup, informează periodic și complet membrii colegiului de rezoluție cu privire la acțiunile sau măsurile respective și la progresele înregistrate în legătură cu aplicarea lor.</w:t>
            </w:r>
          </w:p>
        </w:tc>
        <w:tc>
          <w:tcPr>
            <w:tcW w:w="2552" w:type="dxa"/>
          </w:tcPr>
          <w:p w14:paraId="4AE24B46" w14:textId="4A07811D" w:rsidR="00EB243D" w:rsidRPr="00154588" w:rsidRDefault="00EB243D" w:rsidP="008C12B4">
            <w:pPr>
              <w:jc w:val="both"/>
              <w:rPr>
                <w:sz w:val="20"/>
                <w:szCs w:val="20"/>
              </w:rPr>
            </w:pPr>
            <w:r w:rsidRPr="00154588">
              <w:rPr>
                <w:sz w:val="20"/>
                <w:szCs w:val="20"/>
              </w:rPr>
              <w:t>Compatibil</w:t>
            </w:r>
          </w:p>
        </w:tc>
        <w:tc>
          <w:tcPr>
            <w:tcW w:w="3118" w:type="dxa"/>
          </w:tcPr>
          <w:p w14:paraId="666EA6AD" w14:textId="77777777" w:rsidR="00EB243D" w:rsidRPr="00154588" w:rsidRDefault="00EB243D" w:rsidP="008C12B4">
            <w:pPr>
              <w:jc w:val="both"/>
              <w:rPr>
                <w:sz w:val="20"/>
                <w:szCs w:val="20"/>
              </w:rPr>
            </w:pPr>
          </w:p>
        </w:tc>
      </w:tr>
      <w:tr w:rsidR="00EB243D" w:rsidRPr="00154588" w14:paraId="14C3E587" w14:textId="77777777" w:rsidTr="00D15C1B">
        <w:trPr>
          <w:jc w:val="center"/>
        </w:trPr>
        <w:tc>
          <w:tcPr>
            <w:tcW w:w="4957" w:type="dxa"/>
            <w:gridSpan w:val="2"/>
          </w:tcPr>
          <w:p w14:paraId="3EB522C1" w14:textId="77777777" w:rsidR="00EB243D" w:rsidRPr="00154588" w:rsidRDefault="00EB243D" w:rsidP="008C12B4">
            <w:pPr>
              <w:jc w:val="both"/>
              <w:rPr>
                <w:sz w:val="20"/>
                <w:szCs w:val="20"/>
              </w:rPr>
            </w:pPr>
          </w:p>
        </w:tc>
        <w:tc>
          <w:tcPr>
            <w:tcW w:w="4819" w:type="dxa"/>
          </w:tcPr>
          <w:p w14:paraId="4603299E" w14:textId="26E55C0C" w:rsidR="00EB243D" w:rsidRPr="00154588" w:rsidRDefault="00EB243D" w:rsidP="008C12B4">
            <w:pPr>
              <w:ind w:firstLine="567"/>
              <w:jc w:val="both"/>
              <w:rPr>
                <w:rFonts w:eastAsia="Calibri"/>
                <w:kern w:val="2"/>
                <w:sz w:val="20"/>
                <w:szCs w:val="20"/>
                <w14:ligatures w14:val="standardContextual"/>
              </w:rPr>
            </w:pPr>
            <w:r w:rsidRPr="00154588">
              <w:rPr>
                <w:rFonts w:eastAsia="Calibri"/>
                <w:b/>
                <w:kern w:val="2"/>
                <w:sz w:val="20"/>
                <w:szCs w:val="20"/>
                <w14:ligatures w14:val="standardContextual"/>
              </w:rPr>
              <w:t>Articolul 295</w:t>
            </w:r>
            <w:r w:rsidRPr="00154588">
              <w:rPr>
                <w:rFonts w:eastAsia="Calibri"/>
                <w:b/>
                <w:kern w:val="2"/>
                <w:sz w:val="20"/>
                <w:szCs w:val="20"/>
                <w:vertAlign w:val="superscript"/>
                <w14:ligatures w14:val="standardContextual"/>
              </w:rPr>
              <w:t>55</w:t>
            </w:r>
            <w:r w:rsidRPr="00154588">
              <w:rPr>
                <w:rFonts w:eastAsia="Calibri"/>
                <w:b/>
                <w:kern w:val="2"/>
                <w:sz w:val="20"/>
                <w:szCs w:val="20"/>
                <w14:ligatures w14:val="standardContextual"/>
              </w:rPr>
              <w:t xml:space="preserve">. – </w:t>
            </w:r>
            <w:r w:rsidRPr="00154588">
              <w:rPr>
                <w:rFonts w:eastAsia="Calibri"/>
                <w:kern w:val="2"/>
                <w:sz w:val="20"/>
                <w:szCs w:val="20"/>
                <w14:ligatures w14:val="standardContextual"/>
              </w:rPr>
              <w:t>Prezentul titlu se aplică în mod corespunzător în relația dintre Banca Națională a Moldovei și Comisia Națională a Pieței Financiare.</w:t>
            </w:r>
          </w:p>
        </w:tc>
        <w:tc>
          <w:tcPr>
            <w:tcW w:w="2552" w:type="dxa"/>
          </w:tcPr>
          <w:p w14:paraId="026074A2" w14:textId="65833795" w:rsidR="00EB243D" w:rsidRPr="00154588" w:rsidRDefault="00EB243D" w:rsidP="008C12B4">
            <w:pPr>
              <w:jc w:val="both"/>
              <w:rPr>
                <w:sz w:val="20"/>
                <w:szCs w:val="20"/>
              </w:rPr>
            </w:pPr>
          </w:p>
        </w:tc>
        <w:tc>
          <w:tcPr>
            <w:tcW w:w="3118" w:type="dxa"/>
          </w:tcPr>
          <w:p w14:paraId="49672359" w14:textId="77777777" w:rsidR="00EB243D" w:rsidRPr="00154588" w:rsidRDefault="00EB243D" w:rsidP="008C12B4">
            <w:pPr>
              <w:jc w:val="both"/>
              <w:rPr>
                <w:sz w:val="20"/>
                <w:szCs w:val="20"/>
              </w:rPr>
            </w:pPr>
          </w:p>
        </w:tc>
      </w:tr>
      <w:tr w:rsidR="00EB243D" w:rsidRPr="00154588" w14:paraId="5E7B9D6B" w14:textId="77777777" w:rsidTr="00D15C1B">
        <w:trPr>
          <w:jc w:val="center"/>
        </w:trPr>
        <w:tc>
          <w:tcPr>
            <w:tcW w:w="4957" w:type="dxa"/>
            <w:gridSpan w:val="2"/>
          </w:tcPr>
          <w:p w14:paraId="46AC7EAF" w14:textId="77777777" w:rsidR="00EB243D" w:rsidRPr="00154588" w:rsidRDefault="00EB243D" w:rsidP="008C12B4">
            <w:pPr>
              <w:jc w:val="both"/>
              <w:rPr>
                <w:b/>
                <w:sz w:val="20"/>
                <w:szCs w:val="20"/>
              </w:rPr>
            </w:pPr>
            <w:r w:rsidRPr="00154588">
              <w:rPr>
                <w:b/>
                <w:sz w:val="20"/>
                <w:szCs w:val="20"/>
              </w:rPr>
              <w:t>TITLUL VI</w:t>
            </w:r>
          </w:p>
          <w:p w14:paraId="6284DC7C" w14:textId="77777777" w:rsidR="00EB243D" w:rsidRPr="00154588" w:rsidRDefault="00EB243D" w:rsidP="008C12B4">
            <w:pPr>
              <w:jc w:val="both"/>
              <w:rPr>
                <w:b/>
                <w:sz w:val="20"/>
                <w:szCs w:val="20"/>
              </w:rPr>
            </w:pPr>
          </w:p>
          <w:p w14:paraId="519D2A4E" w14:textId="1E0B63E1" w:rsidR="00EB243D" w:rsidRPr="00154588" w:rsidRDefault="00EB243D" w:rsidP="008C12B4">
            <w:pPr>
              <w:jc w:val="both"/>
              <w:rPr>
                <w:sz w:val="20"/>
                <w:szCs w:val="20"/>
              </w:rPr>
            </w:pPr>
            <w:r w:rsidRPr="00154588">
              <w:rPr>
                <w:b/>
                <w:sz w:val="20"/>
                <w:szCs w:val="20"/>
              </w:rPr>
              <w:t>RELAȚII CU ȚĂRI TERȚE</w:t>
            </w:r>
          </w:p>
        </w:tc>
        <w:tc>
          <w:tcPr>
            <w:tcW w:w="4819" w:type="dxa"/>
          </w:tcPr>
          <w:p w14:paraId="0BA22350" w14:textId="77777777" w:rsidR="00EB243D" w:rsidRPr="00154588" w:rsidRDefault="00EB243D" w:rsidP="008C12B4">
            <w:pPr>
              <w:jc w:val="both"/>
              <w:rPr>
                <w:sz w:val="20"/>
                <w:szCs w:val="20"/>
              </w:rPr>
            </w:pPr>
          </w:p>
        </w:tc>
        <w:tc>
          <w:tcPr>
            <w:tcW w:w="2552" w:type="dxa"/>
          </w:tcPr>
          <w:p w14:paraId="107D8963" w14:textId="77777777" w:rsidR="00EB243D" w:rsidRPr="00154588" w:rsidRDefault="00EB243D" w:rsidP="008C12B4">
            <w:pPr>
              <w:jc w:val="both"/>
              <w:rPr>
                <w:sz w:val="20"/>
                <w:szCs w:val="20"/>
              </w:rPr>
            </w:pPr>
          </w:p>
        </w:tc>
        <w:tc>
          <w:tcPr>
            <w:tcW w:w="3118" w:type="dxa"/>
          </w:tcPr>
          <w:p w14:paraId="3B0C4706" w14:textId="77777777" w:rsidR="00EB243D" w:rsidRPr="00154588" w:rsidRDefault="00EB243D" w:rsidP="008C12B4">
            <w:pPr>
              <w:jc w:val="both"/>
              <w:rPr>
                <w:sz w:val="20"/>
                <w:szCs w:val="20"/>
              </w:rPr>
            </w:pPr>
          </w:p>
        </w:tc>
      </w:tr>
      <w:tr w:rsidR="00EB243D" w:rsidRPr="00154588" w14:paraId="2A8C47AD" w14:textId="77777777" w:rsidTr="00D15C1B">
        <w:trPr>
          <w:jc w:val="center"/>
        </w:trPr>
        <w:tc>
          <w:tcPr>
            <w:tcW w:w="4957" w:type="dxa"/>
            <w:gridSpan w:val="2"/>
          </w:tcPr>
          <w:p w14:paraId="70E3630A" w14:textId="77777777" w:rsidR="00EB243D" w:rsidRPr="00154588" w:rsidRDefault="00EB243D" w:rsidP="008C12B4">
            <w:pPr>
              <w:jc w:val="both"/>
              <w:rPr>
                <w:b/>
                <w:sz w:val="20"/>
                <w:szCs w:val="20"/>
              </w:rPr>
            </w:pPr>
            <w:r w:rsidRPr="00154588">
              <w:rPr>
                <w:b/>
                <w:sz w:val="20"/>
                <w:szCs w:val="20"/>
              </w:rPr>
              <w:t>Articolul 93</w:t>
            </w:r>
          </w:p>
          <w:p w14:paraId="5E5B5783" w14:textId="77777777" w:rsidR="00EB243D" w:rsidRPr="00154588" w:rsidRDefault="00EB243D" w:rsidP="008C12B4">
            <w:pPr>
              <w:jc w:val="both"/>
              <w:rPr>
                <w:b/>
                <w:sz w:val="20"/>
                <w:szCs w:val="20"/>
              </w:rPr>
            </w:pPr>
          </w:p>
          <w:p w14:paraId="74614EA6" w14:textId="7139378B" w:rsidR="00EB243D" w:rsidRPr="00154588" w:rsidRDefault="00EB243D" w:rsidP="008C12B4">
            <w:pPr>
              <w:jc w:val="both"/>
              <w:rPr>
                <w:sz w:val="20"/>
                <w:szCs w:val="20"/>
              </w:rPr>
            </w:pPr>
            <w:r w:rsidRPr="00154588">
              <w:rPr>
                <w:b/>
                <w:sz w:val="20"/>
                <w:szCs w:val="20"/>
              </w:rPr>
              <w:t>Acorduri cu țări terțe</w:t>
            </w:r>
          </w:p>
        </w:tc>
        <w:tc>
          <w:tcPr>
            <w:tcW w:w="4819" w:type="dxa"/>
          </w:tcPr>
          <w:p w14:paraId="7E44A062" w14:textId="77777777" w:rsidR="00EB243D" w:rsidRPr="00154588" w:rsidRDefault="00EB243D" w:rsidP="008C12B4">
            <w:pPr>
              <w:jc w:val="both"/>
              <w:rPr>
                <w:sz w:val="20"/>
                <w:szCs w:val="20"/>
              </w:rPr>
            </w:pPr>
          </w:p>
        </w:tc>
        <w:tc>
          <w:tcPr>
            <w:tcW w:w="2552" w:type="dxa"/>
          </w:tcPr>
          <w:p w14:paraId="3EA5FE9D" w14:textId="77777777" w:rsidR="00EB243D" w:rsidRPr="00154588" w:rsidRDefault="00EB243D" w:rsidP="008C12B4">
            <w:pPr>
              <w:jc w:val="both"/>
              <w:rPr>
                <w:sz w:val="20"/>
                <w:szCs w:val="20"/>
              </w:rPr>
            </w:pPr>
          </w:p>
        </w:tc>
        <w:tc>
          <w:tcPr>
            <w:tcW w:w="3118" w:type="dxa"/>
          </w:tcPr>
          <w:p w14:paraId="0125AD19" w14:textId="77777777" w:rsidR="00EB243D" w:rsidRPr="00154588" w:rsidRDefault="00EB243D" w:rsidP="008C12B4">
            <w:pPr>
              <w:jc w:val="both"/>
              <w:rPr>
                <w:sz w:val="20"/>
                <w:szCs w:val="20"/>
              </w:rPr>
            </w:pPr>
          </w:p>
        </w:tc>
      </w:tr>
      <w:tr w:rsidR="00EB243D" w:rsidRPr="00154588" w14:paraId="772C8F83" w14:textId="77777777" w:rsidTr="00D15C1B">
        <w:trPr>
          <w:jc w:val="center"/>
        </w:trPr>
        <w:tc>
          <w:tcPr>
            <w:tcW w:w="4957" w:type="dxa"/>
            <w:gridSpan w:val="2"/>
          </w:tcPr>
          <w:p w14:paraId="31A30B85" w14:textId="77777777" w:rsidR="00EB243D" w:rsidRPr="00154588" w:rsidRDefault="00EB243D" w:rsidP="008C12B4">
            <w:pPr>
              <w:jc w:val="both"/>
              <w:rPr>
                <w:sz w:val="20"/>
                <w:szCs w:val="20"/>
              </w:rPr>
            </w:pPr>
            <w:r w:rsidRPr="00154588">
              <w:rPr>
                <w:sz w:val="20"/>
                <w:szCs w:val="20"/>
              </w:rPr>
              <w:t>(1)   În conformitate cu articolul 218 din TFUE, Comisia poate înainta Consiliului propuneri în vederea negocierii unor acorduri cu una sau mai multe țări terțe referitoare la modalitățile de cooperare dintre autoritățile de rezoluție și autoritățile relevante din țări terțe, printre altele, cu scopul de a face schimb de informații referitor la planificarea redresării și rezoluției în ceea ce privește instituțiile, instituțiile financiare, întreprinderile-mamă și instituțiile din țări terțe, în special în următoarele situații:</w:t>
            </w:r>
          </w:p>
          <w:p w14:paraId="16ABA6DB" w14:textId="77777777" w:rsidR="00EB243D" w:rsidRPr="00154588" w:rsidRDefault="00EB243D" w:rsidP="008C12B4">
            <w:pPr>
              <w:jc w:val="both"/>
              <w:rPr>
                <w:sz w:val="20"/>
                <w:szCs w:val="20"/>
              </w:rPr>
            </w:pPr>
          </w:p>
          <w:p w14:paraId="73EC4DE4" w14:textId="77777777" w:rsidR="00EB243D" w:rsidRPr="00154588" w:rsidRDefault="00EB243D" w:rsidP="008C12B4">
            <w:pPr>
              <w:jc w:val="both"/>
              <w:rPr>
                <w:sz w:val="20"/>
                <w:szCs w:val="20"/>
              </w:rPr>
            </w:pPr>
          </w:p>
          <w:p w14:paraId="6672E9FB" w14:textId="77777777" w:rsidR="00EB243D" w:rsidRPr="00154588" w:rsidRDefault="00EB243D" w:rsidP="008C12B4">
            <w:pPr>
              <w:jc w:val="both"/>
              <w:rPr>
                <w:sz w:val="20"/>
                <w:szCs w:val="20"/>
              </w:rPr>
            </w:pPr>
          </w:p>
          <w:p w14:paraId="60977DA9" w14:textId="168C126D" w:rsidR="00EB243D" w:rsidRPr="00154588" w:rsidRDefault="00EB243D" w:rsidP="008C12B4">
            <w:pPr>
              <w:jc w:val="both"/>
              <w:rPr>
                <w:sz w:val="20"/>
                <w:szCs w:val="20"/>
              </w:rPr>
            </w:pPr>
            <w:r w:rsidRPr="00154588">
              <w:rPr>
                <w:sz w:val="20"/>
                <w:szCs w:val="20"/>
              </w:rPr>
              <w:lastRenderedPageBreak/>
              <w:t>(a) în cazurile în care o instituție-mamă dintr-o țară terță are instituții-filiale sau sucursale în situația în care sucursalele respective sunt considerate semnificative în două sau mai multe state membre;</w:t>
            </w:r>
          </w:p>
          <w:p w14:paraId="2EBC975C" w14:textId="77777777" w:rsidR="00EB243D" w:rsidRPr="00154588" w:rsidRDefault="00EB243D" w:rsidP="008C12B4">
            <w:pPr>
              <w:jc w:val="both"/>
              <w:rPr>
                <w:sz w:val="20"/>
                <w:szCs w:val="20"/>
              </w:rPr>
            </w:pPr>
          </w:p>
          <w:p w14:paraId="11A9B84C" w14:textId="01842C08" w:rsidR="00EB243D" w:rsidRPr="00154588" w:rsidRDefault="00EB243D" w:rsidP="008C12B4">
            <w:pPr>
              <w:jc w:val="both"/>
              <w:rPr>
                <w:sz w:val="20"/>
                <w:szCs w:val="20"/>
              </w:rPr>
            </w:pPr>
            <w:r w:rsidRPr="00154588">
              <w:rPr>
                <w:sz w:val="20"/>
                <w:szCs w:val="20"/>
              </w:rPr>
              <w:t>(b) în cazurile în care o întreprindere-mamă care este stabilită într-un stat membru și are o filială sau o sucursală semnificativă în cel puțin un alt stat membru deține una sau mai multe instituții-filiale în țări terțe;</w:t>
            </w:r>
          </w:p>
          <w:p w14:paraId="77F8204F" w14:textId="77777777" w:rsidR="00EB243D" w:rsidRPr="00154588" w:rsidRDefault="00EB243D" w:rsidP="008C12B4">
            <w:pPr>
              <w:jc w:val="both"/>
              <w:rPr>
                <w:sz w:val="20"/>
                <w:szCs w:val="20"/>
              </w:rPr>
            </w:pPr>
          </w:p>
          <w:p w14:paraId="1E2096AB" w14:textId="40DD3698" w:rsidR="00EB243D" w:rsidRPr="00154588" w:rsidRDefault="00EB243D" w:rsidP="008C12B4">
            <w:pPr>
              <w:jc w:val="both"/>
              <w:rPr>
                <w:sz w:val="20"/>
                <w:szCs w:val="20"/>
              </w:rPr>
            </w:pPr>
            <w:r w:rsidRPr="00154588">
              <w:rPr>
                <w:sz w:val="20"/>
                <w:szCs w:val="20"/>
              </w:rPr>
              <w:t>(c) în cazurile în care o instituție care este stabilită într-un stat membru și are o întreprindere-mamă, o filială sau o sucursală semnificativă în cel puțin un alt stat membru deține una sau mai multe sucursale într-una sau mai multe țări terțe.</w:t>
            </w:r>
          </w:p>
        </w:tc>
        <w:tc>
          <w:tcPr>
            <w:tcW w:w="4819" w:type="dxa"/>
          </w:tcPr>
          <w:p w14:paraId="10FC4826" w14:textId="67C28086" w:rsidR="00EB243D" w:rsidRPr="00154588" w:rsidRDefault="00EB243D" w:rsidP="008C12B4">
            <w:pPr>
              <w:ind w:firstLine="567"/>
              <w:jc w:val="both"/>
              <w:rPr>
                <w:sz w:val="20"/>
                <w:szCs w:val="20"/>
              </w:rPr>
            </w:pPr>
            <w:r w:rsidRPr="00154588">
              <w:rPr>
                <w:b/>
                <w:sz w:val="20"/>
                <w:szCs w:val="20"/>
              </w:rPr>
              <w:lastRenderedPageBreak/>
              <w:t>Articolul 32</w:t>
            </w:r>
            <w:r w:rsidR="0042303B" w:rsidRPr="00154588">
              <w:rPr>
                <w:b/>
                <w:sz w:val="20"/>
                <w:szCs w:val="20"/>
                <w:vertAlign w:val="superscript"/>
              </w:rPr>
              <w:t>4</w:t>
            </w:r>
            <w:r w:rsidRPr="00154588">
              <w:rPr>
                <w:b/>
                <w:sz w:val="20"/>
                <w:szCs w:val="20"/>
              </w:rPr>
              <w:t>. –</w:t>
            </w:r>
            <w:r w:rsidRPr="00154588">
              <w:rPr>
                <w:sz w:val="20"/>
                <w:szCs w:val="20"/>
              </w:rPr>
              <w:t xml:space="preserve"> (1) Republica Moldova poate încheia acorduri bilaterale cu un stat terț până la data intrării în vigoare a unui acord încheiat la nivelul Uniunii Europene cu statul terț respectiv</w:t>
            </w:r>
            <w:r w:rsidRPr="00154588">
              <w:rPr>
                <w:color w:val="000000"/>
                <w:sz w:val="20"/>
                <w:szCs w:val="20"/>
                <w:shd w:val="clear" w:color="auto" w:fill="FFFFFF"/>
              </w:rPr>
              <w:t>,</w:t>
            </w:r>
            <w:r w:rsidRPr="00154588">
              <w:rPr>
                <w:sz w:val="20"/>
                <w:szCs w:val="20"/>
              </w:rPr>
              <w:t xml:space="preserve"> în măsura în care aceste acorduri bilaterale sunt conforme cu prezentul titlu,</w:t>
            </w:r>
            <w:r w:rsidRPr="00154588">
              <w:rPr>
                <w:sz w:val="20"/>
                <w:szCs w:val="20"/>
                <w:lang w:val="ro-MD"/>
              </w:rPr>
              <w:t xml:space="preserve"> în special în următoarele situații:</w:t>
            </w:r>
          </w:p>
          <w:p w14:paraId="396890CE" w14:textId="77777777" w:rsidR="00EB243D" w:rsidRPr="00154588" w:rsidRDefault="00EB243D" w:rsidP="008C12B4">
            <w:pPr>
              <w:ind w:firstLine="567"/>
              <w:jc w:val="both"/>
              <w:rPr>
                <w:sz w:val="20"/>
                <w:szCs w:val="20"/>
              </w:rPr>
            </w:pPr>
            <w:r w:rsidRPr="00154588">
              <w:rPr>
                <w:sz w:val="20"/>
                <w:szCs w:val="20"/>
              </w:rPr>
              <w:t>a) în cazurile în care o instituţie-mamă dintr-un stat terț are instituţii, filiale sau sucursale în situaţia în care sucursalele respective sunt considerate semnificative în două sau mai multe state membre;</w:t>
            </w:r>
          </w:p>
          <w:p w14:paraId="7B87EEBF" w14:textId="77777777" w:rsidR="00EB243D" w:rsidRPr="00154588" w:rsidRDefault="00EB243D" w:rsidP="008C12B4">
            <w:pPr>
              <w:ind w:firstLine="567"/>
              <w:jc w:val="both"/>
              <w:rPr>
                <w:sz w:val="20"/>
                <w:szCs w:val="20"/>
              </w:rPr>
            </w:pPr>
            <w:r w:rsidRPr="00154588">
              <w:rPr>
                <w:sz w:val="20"/>
                <w:szCs w:val="20"/>
              </w:rPr>
              <w:t xml:space="preserve"> b) în cazurile în care o întreprindere-mamă care este stabilită într-un stat membru și are o filială </w:t>
            </w:r>
            <w:r w:rsidRPr="00154588">
              <w:rPr>
                <w:sz w:val="20"/>
                <w:szCs w:val="20"/>
              </w:rPr>
              <w:lastRenderedPageBreak/>
              <w:t xml:space="preserve">sau o sucursală semnificativă în cel puţin un alt stat membru deţine una sau mai multe instituţii-filiale în state terţe; </w:t>
            </w:r>
          </w:p>
          <w:p w14:paraId="28DF1345" w14:textId="77777777" w:rsidR="00EB243D" w:rsidRPr="00154588" w:rsidRDefault="00EB243D" w:rsidP="008C12B4">
            <w:pPr>
              <w:ind w:firstLine="567"/>
              <w:jc w:val="both"/>
              <w:rPr>
                <w:sz w:val="20"/>
                <w:szCs w:val="20"/>
              </w:rPr>
            </w:pPr>
            <w:r w:rsidRPr="00154588">
              <w:rPr>
                <w:sz w:val="20"/>
                <w:szCs w:val="20"/>
              </w:rPr>
              <w:t>c) în cazurile în care o instituţie care este stabilită într-un stat membru și are o întreprindere-mamă, o filială sau o sucursală semnificativă în cel puţin un alt stat membru deţine una sau mai multe sucursale într-una sau mai multe state terţe.</w:t>
            </w:r>
          </w:p>
          <w:p w14:paraId="5CDF6168" w14:textId="57AA2D8C" w:rsidR="00EB243D" w:rsidRPr="00154588" w:rsidRDefault="00EB243D" w:rsidP="008C12B4">
            <w:pPr>
              <w:ind w:firstLine="567"/>
              <w:jc w:val="both"/>
              <w:rPr>
                <w:sz w:val="20"/>
                <w:szCs w:val="20"/>
              </w:rPr>
            </w:pPr>
            <w:r w:rsidRPr="00154588">
              <w:rPr>
                <w:sz w:val="20"/>
                <w:szCs w:val="20"/>
              </w:rPr>
              <w:t>(2) Acordurile bilaterale, prevăzute la alin.(1), se referă la modalitățile de cooperare dintre Banca Națională a Moldovei, în calitate de autoritate de rezoluție, și autoritățile relevante din state terțe, printre altele, cu scopul de a face schimb de informații referitor la planificarea redresării și rezoluției în ceea ce privește instituțiile, instituțiile financiare, întreprinderile-mamă și instituțiile din statul terț.</w:t>
            </w:r>
          </w:p>
          <w:p w14:paraId="4D50373B" w14:textId="77777777" w:rsidR="00EB243D" w:rsidRPr="00154588" w:rsidRDefault="00EB243D" w:rsidP="008C12B4">
            <w:pPr>
              <w:jc w:val="both"/>
              <w:rPr>
                <w:sz w:val="20"/>
                <w:szCs w:val="20"/>
              </w:rPr>
            </w:pPr>
          </w:p>
        </w:tc>
        <w:tc>
          <w:tcPr>
            <w:tcW w:w="2552" w:type="dxa"/>
          </w:tcPr>
          <w:p w14:paraId="1F844EBA" w14:textId="296F4435" w:rsidR="00EB243D" w:rsidRPr="00154588" w:rsidRDefault="00EB243D" w:rsidP="008C12B4">
            <w:pPr>
              <w:jc w:val="both"/>
              <w:rPr>
                <w:sz w:val="20"/>
                <w:szCs w:val="20"/>
              </w:rPr>
            </w:pPr>
            <w:r w:rsidRPr="00154588">
              <w:rPr>
                <w:sz w:val="20"/>
                <w:szCs w:val="20"/>
              </w:rPr>
              <w:lastRenderedPageBreak/>
              <w:t>Compatibil</w:t>
            </w:r>
          </w:p>
        </w:tc>
        <w:tc>
          <w:tcPr>
            <w:tcW w:w="3118" w:type="dxa"/>
          </w:tcPr>
          <w:p w14:paraId="31CCE8E6" w14:textId="77777777" w:rsidR="00EB243D" w:rsidRPr="00154588" w:rsidRDefault="00EB243D" w:rsidP="008C12B4">
            <w:pPr>
              <w:jc w:val="both"/>
              <w:rPr>
                <w:sz w:val="20"/>
                <w:szCs w:val="20"/>
              </w:rPr>
            </w:pPr>
          </w:p>
        </w:tc>
      </w:tr>
      <w:tr w:rsidR="00EB243D" w:rsidRPr="00154588" w14:paraId="44856D71" w14:textId="77777777" w:rsidTr="00D15C1B">
        <w:trPr>
          <w:jc w:val="center"/>
        </w:trPr>
        <w:tc>
          <w:tcPr>
            <w:tcW w:w="4957" w:type="dxa"/>
            <w:gridSpan w:val="2"/>
          </w:tcPr>
          <w:p w14:paraId="7309C1CA" w14:textId="1D851958" w:rsidR="00EB243D" w:rsidRPr="00154588" w:rsidRDefault="00EB243D" w:rsidP="008C12B4">
            <w:pPr>
              <w:jc w:val="both"/>
              <w:rPr>
                <w:sz w:val="20"/>
                <w:szCs w:val="20"/>
              </w:rPr>
            </w:pPr>
            <w:r w:rsidRPr="00154588">
              <w:rPr>
                <w:sz w:val="20"/>
                <w:szCs w:val="20"/>
              </w:rPr>
              <w:t>(2)   Acordurile menționate la alineatul (1) își propun să garanteze în special instituirea de procese și mecanisme între autoritățile de rezoluție și autoritățile relevante din țări terțe în vederea cooperării pentru îndeplinirea a unor sau tutror sarcinilor și exercitarea a unor sau tutror competențelor prevăzute la articolul 97.</w:t>
            </w:r>
          </w:p>
        </w:tc>
        <w:tc>
          <w:tcPr>
            <w:tcW w:w="4819" w:type="dxa"/>
          </w:tcPr>
          <w:p w14:paraId="44907D2A" w14:textId="6B84A042" w:rsidR="00EB243D" w:rsidRPr="00154588" w:rsidRDefault="00EB243D" w:rsidP="008C12B4">
            <w:pPr>
              <w:ind w:firstLine="567"/>
              <w:jc w:val="both"/>
              <w:rPr>
                <w:sz w:val="20"/>
                <w:szCs w:val="20"/>
              </w:rPr>
            </w:pPr>
            <w:r w:rsidRPr="00154588">
              <w:rPr>
                <w:b/>
                <w:sz w:val="20"/>
                <w:szCs w:val="20"/>
              </w:rPr>
              <w:t>Articolul 32</w:t>
            </w:r>
            <w:r w:rsidR="0042303B" w:rsidRPr="00154588">
              <w:rPr>
                <w:b/>
                <w:sz w:val="20"/>
                <w:szCs w:val="20"/>
              </w:rPr>
              <w:t>4</w:t>
            </w:r>
            <w:r w:rsidRPr="00154588">
              <w:rPr>
                <w:b/>
                <w:sz w:val="20"/>
                <w:szCs w:val="20"/>
              </w:rPr>
              <w:t xml:space="preserve">. </w:t>
            </w:r>
            <w:r w:rsidRPr="00154588">
              <w:rPr>
                <w:sz w:val="20"/>
                <w:szCs w:val="20"/>
              </w:rPr>
              <w:t>(3)   Acordurile menționate la alin.(1) își propun să garanteze în special instituirea de procese și mecanisme de cooperare între Banca Națională a Moldovei, în calitate de autoritate de rezoluție, și autoritățile relevante din statul terț în vederea îndeplinirii a unor sau tuturor sarcinilor și exercitarea a unor sau tuturor competențelor:</w:t>
            </w:r>
          </w:p>
          <w:p w14:paraId="761E9B82" w14:textId="77777777" w:rsidR="00EB243D" w:rsidRPr="00154588" w:rsidRDefault="00EB243D" w:rsidP="008C12B4">
            <w:pPr>
              <w:ind w:firstLine="567"/>
              <w:jc w:val="both"/>
              <w:rPr>
                <w:rStyle w:val="slitbdy"/>
                <w:sz w:val="20"/>
                <w:szCs w:val="20"/>
                <w:bdr w:val="none" w:sz="0" w:space="0" w:color="auto" w:frame="1"/>
                <w:shd w:val="clear" w:color="auto" w:fill="FFFFFF"/>
              </w:rPr>
            </w:pPr>
            <w:r w:rsidRPr="00154588">
              <w:rPr>
                <w:rStyle w:val="slitttl"/>
                <w:sz w:val="20"/>
                <w:szCs w:val="20"/>
                <w:bdr w:val="none" w:sz="0" w:space="0" w:color="auto" w:frame="1"/>
                <w:shd w:val="clear" w:color="auto" w:fill="FFFFFF"/>
              </w:rPr>
              <w:t>a)</w:t>
            </w:r>
            <w:r w:rsidRPr="00154588">
              <w:rPr>
                <w:rStyle w:val="slit"/>
                <w:sz w:val="20"/>
                <w:szCs w:val="20"/>
                <w:bdr w:val="dotted" w:sz="6" w:space="0" w:color="FEFEFE" w:frame="1"/>
                <w:shd w:val="clear" w:color="auto" w:fill="FFFFFF"/>
              </w:rPr>
              <w:t> </w:t>
            </w:r>
            <w:r w:rsidRPr="00154588">
              <w:rPr>
                <w:rStyle w:val="slitbdy"/>
                <w:sz w:val="20"/>
                <w:szCs w:val="20"/>
                <w:bdr w:val="none" w:sz="0" w:space="0" w:color="auto" w:frame="1"/>
                <w:shd w:val="clear" w:color="auto" w:fill="FFFFFF"/>
              </w:rPr>
              <w:t>elaborarea de planuri de rezoluție în conformitate cu prevederile </w:t>
            </w:r>
            <w:r w:rsidRPr="00154588">
              <w:rPr>
                <w:rStyle w:val="slgi"/>
                <w:sz w:val="20"/>
                <w:szCs w:val="20"/>
                <w:bdr w:val="none" w:sz="0" w:space="0" w:color="auto" w:frame="1"/>
                <w:shd w:val="clear" w:color="auto" w:fill="FFFFFF"/>
              </w:rPr>
              <w:t>art.</w:t>
            </w:r>
            <w:bookmarkStart w:id="156" w:name="_Hlk223696924"/>
            <w:r w:rsidRPr="00154588">
              <w:rPr>
                <w:rStyle w:val="slgi"/>
                <w:sz w:val="20"/>
                <w:szCs w:val="20"/>
                <w:bdr w:val="none" w:sz="0" w:space="0" w:color="auto" w:frame="1"/>
                <w:shd w:val="clear" w:color="auto" w:fill="FFFFFF"/>
              </w:rPr>
              <w:t>23-31</w:t>
            </w:r>
            <w:r w:rsidRPr="00154588">
              <w:rPr>
                <w:rStyle w:val="slgi"/>
                <w:sz w:val="20"/>
                <w:szCs w:val="20"/>
                <w:bdr w:val="none" w:sz="0" w:space="0" w:color="auto" w:frame="1"/>
                <w:shd w:val="clear" w:color="auto" w:fill="FFFFFF"/>
                <w:vertAlign w:val="superscript"/>
              </w:rPr>
              <w:t>23</w:t>
            </w:r>
            <w:r w:rsidRPr="00154588">
              <w:rPr>
                <w:rStyle w:val="slitbdy"/>
                <w:sz w:val="20"/>
                <w:szCs w:val="20"/>
                <w:bdr w:val="none" w:sz="0" w:space="0" w:color="auto" w:frame="1"/>
                <w:shd w:val="clear" w:color="auto" w:fill="FFFFFF"/>
              </w:rPr>
              <w:t> </w:t>
            </w:r>
            <w:bookmarkEnd w:id="156"/>
            <w:r w:rsidRPr="00154588">
              <w:rPr>
                <w:rStyle w:val="slitbdy"/>
                <w:sz w:val="20"/>
                <w:szCs w:val="20"/>
                <w:bdr w:val="none" w:sz="0" w:space="0" w:color="auto" w:frame="1"/>
                <w:shd w:val="clear" w:color="auto" w:fill="FFFFFF"/>
              </w:rPr>
              <w:t>și cu cerințe similare impuse de legislația statului terț respectiv;</w:t>
            </w:r>
          </w:p>
          <w:p w14:paraId="0F40AF9C" w14:textId="77777777" w:rsidR="00EB243D" w:rsidRPr="00154588" w:rsidRDefault="00EB243D" w:rsidP="008C12B4">
            <w:pPr>
              <w:ind w:firstLine="567"/>
              <w:jc w:val="both"/>
              <w:rPr>
                <w:rStyle w:val="spar"/>
                <w:sz w:val="20"/>
                <w:szCs w:val="20"/>
                <w:bdr w:val="none" w:sz="0" w:space="0" w:color="auto" w:frame="1"/>
                <w:shd w:val="clear" w:color="auto" w:fill="FFFFFF"/>
              </w:rPr>
            </w:pPr>
            <w:r w:rsidRPr="00154588">
              <w:rPr>
                <w:rStyle w:val="slitttl"/>
                <w:sz w:val="20"/>
                <w:szCs w:val="20"/>
                <w:bdr w:val="none" w:sz="0" w:space="0" w:color="auto" w:frame="1"/>
                <w:shd w:val="clear" w:color="auto" w:fill="FFFFFF"/>
              </w:rPr>
              <w:t>b)</w:t>
            </w:r>
            <w:r w:rsidRPr="00154588">
              <w:rPr>
                <w:rStyle w:val="slit"/>
                <w:sz w:val="20"/>
                <w:szCs w:val="20"/>
                <w:bdr w:val="dotted" w:sz="6" w:space="0" w:color="FEFEFE" w:frame="1"/>
                <w:shd w:val="clear" w:color="auto" w:fill="FFFFFF"/>
              </w:rPr>
              <w:t> </w:t>
            </w:r>
            <w:r w:rsidRPr="00154588">
              <w:rPr>
                <w:rStyle w:val="slitbdy"/>
                <w:sz w:val="20"/>
                <w:szCs w:val="20"/>
                <w:bdr w:val="none" w:sz="0" w:space="0" w:color="auto" w:frame="1"/>
                <w:shd w:val="clear" w:color="auto" w:fill="FFFFFF"/>
              </w:rPr>
              <w:t>evaluarea posibilităților de soluționare ale acestor instituții și grupuri în conformitate cu prevederile </w:t>
            </w:r>
            <w:r w:rsidRPr="00154588">
              <w:rPr>
                <w:rStyle w:val="slgi"/>
                <w:sz w:val="20"/>
                <w:szCs w:val="20"/>
                <w:bdr w:val="none" w:sz="0" w:space="0" w:color="auto" w:frame="1"/>
                <w:shd w:val="clear" w:color="auto" w:fill="FFFFFF"/>
              </w:rPr>
              <w:t>art.</w:t>
            </w:r>
            <w:bookmarkStart w:id="157" w:name="_Hlk223696946"/>
            <w:r w:rsidRPr="00154588">
              <w:rPr>
                <w:rStyle w:val="slgi"/>
                <w:sz w:val="20"/>
                <w:szCs w:val="20"/>
                <w:bdr w:val="none" w:sz="0" w:space="0" w:color="auto" w:frame="1"/>
                <w:shd w:val="clear" w:color="auto" w:fill="FFFFFF"/>
              </w:rPr>
              <w:t>32-34</w:t>
            </w:r>
            <w:r w:rsidRPr="00154588">
              <w:rPr>
                <w:rStyle w:val="slgi"/>
                <w:sz w:val="20"/>
                <w:szCs w:val="20"/>
                <w:bdr w:val="none" w:sz="0" w:space="0" w:color="auto" w:frame="1"/>
                <w:shd w:val="clear" w:color="auto" w:fill="FFFFFF"/>
                <w:vertAlign w:val="superscript"/>
              </w:rPr>
              <w:t>4</w:t>
            </w:r>
            <w:r w:rsidRPr="00154588">
              <w:rPr>
                <w:rStyle w:val="slgi"/>
                <w:sz w:val="20"/>
                <w:szCs w:val="20"/>
                <w:bdr w:val="none" w:sz="0" w:space="0" w:color="auto" w:frame="1"/>
                <w:shd w:val="clear" w:color="auto" w:fill="FFFFFF"/>
              </w:rPr>
              <w:t xml:space="preserve"> </w:t>
            </w:r>
            <w:bookmarkEnd w:id="157"/>
            <w:r w:rsidRPr="00154588">
              <w:rPr>
                <w:rStyle w:val="slitbdy"/>
                <w:sz w:val="20"/>
                <w:szCs w:val="20"/>
                <w:bdr w:val="none" w:sz="0" w:space="0" w:color="auto" w:frame="1"/>
                <w:shd w:val="clear" w:color="auto" w:fill="FFFFFF"/>
              </w:rPr>
              <w:t>și cu cerințe similare impuse de legislația țării terțe respective;</w:t>
            </w:r>
          </w:p>
          <w:p w14:paraId="3F9D9E02" w14:textId="77777777" w:rsidR="00EB243D" w:rsidRPr="00154588" w:rsidRDefault="00EB243D" w:rsidP="008C12B4">
            <w:pPr>
              <w:ind w:firstLine="567"/>
              <w:jc w:val="both"/>
              <w:rPr>
                <w:rStyle w:val="slitbdy"/>
                <w:sz w:val="20"/>
                <w:szCs w:val="20"/>
                <w:bdr w:val="none" w:sz="0" w:space="0" w:color="auto" w:frame="1"/>
                <w:shd w:val="clear" w:color="auto" w:fill="FFFFFF"/>
              </w:rPr>
            </w:pPr>
            <w:r w:rsidRPr="00154588">
              <w:rPr>
                <w:rStyle w:val="slitttl"/>
                <w:sz w:val="20"/>
                <w:szCs w:val="20"/>
                <w:bdr w:val="none" w:sz="0" w:space="0" w:color="auto" w:frame="1"/>
                <w:shd w:val="clear" w:color="auto" w:fill="FFFFFF"/>
              </w:rPr>
              <w:t>c)</w:t>
            </w:r>
            <w:r w:rsidRPr="00154588">
              <w:rPr>
                <w:rStyle w:val="slit"/>
                <w:sz w:val="20"/>
                <w:szCs w:val="20"/>
                <w:bdr w:val="dotted" w:sz="6" w:space="0" w:color="FEFEFE" w:frame="1"/>
                <w:shd w:val="clear" w:color="auto" w:fill="FFFFFF"/>
              </w:rPr>
              <w:t> </w:t>
            </w:r>
            <w:r w:rsidRPr="00154588">
              <w:rPr>
                <w:rStyle w:val="slitbdy"/>
                <w:sz w:val="20"/>
                <w:szCs w:val="20"/>
                <w:bdr w:val="none" w:sz="0" w:space="0" w:color="auto" w:frame="1"/>
                <w:shd w:val="clear" w:color="auto" w:fill="FFFFFF"/>
              </w:rPr>
              <w:t>aplicarea competențelor de abordare sau înlăturare a obstacolelor din calea posibilităților de soluționare în conformitate cu prevederile </w:t>
            </w:r>
            <w:r w:rsidRPr="00154588">
              <w:rPr>
                <w:rStyle w:val="slgi"/>
                <w:sz w:val="20"/>
                <w:szCs w:val="20"/>
                <w:bdr w:val="none" w:sz="0" w:space="0" w:color="auto" w:frame="1"/>
                <w:shd w:val="clear" w:color="auto" w:fill="FFFFFF"/>
              </w:rPr>
              <w:t>art.</w:t>
            </w:r>
            <w:bookmarkStart w:id="158" w:name="_Hlk223696968"/>
            <w:r w:rsidRPr="00154588">
              <w:rPr>
                <w:rStyle w:val="slgi"/>
                <w:sz w:val="20"/>
                <w:szCs w:val="20"/>
                <w:bdr w:val="none" w:sz="0" w:space="0" w:color="auto" w:frame="1"/>
                <w:shd w:val="clear" w:color="auto" w:fill="FFFFFF"/>
              </w:rPr>
              <w:t>35-41</w:t>
            </w:r>
            <w:r w:rsidRPr="00154588">
              <w:rPr>
                <w:rStyle w:val="slgi"/>
                <w:sz w:val="20"/>
                <w:szCs w:val="20"/>
                <w:bdr w:val="none" w:sz="0" w:space="0" w:color="auto" w:frame="1"/>
                <w:shd w:val="clear" w:color="auto" w:fill="FFFFFF"/>
                <w:vertAlign w:val="superscript"/>
              </w:rPr>
              <w:t>8</w:t>
            </w:r>
            <w:r w:rsidRPr="00154588">
              <w:rPr>
                <w:rStyle w:val="slitbdy"/>
                <w:sz w:val="20"/>
                <w:szCs w:val="20"/>
                <w:bdr w:val="none" w:sz="0" w:space="0" w:color="auto" w:frame="1"/>
                <w:shd w:val="clear" w:color="auto" w:fill="FFFFFF"/>
              </w:rPr>
              <w:t> </w:t>
            </w:r>
            <w:bookmarkEnd w:id="158"/>
            <w:r w:rsidRPr="00154588">
              <w:rPr>
                <w:rStyle w:val="slitbdy"/>
                <w:sz w:val="20"/>
                <w:szCs w:val="20"/>
                <w:bdr w:val="none" w:sz="0" w:space="0" w:color="auto" w:frame="1"/>
                <w:shd w:val="clear" w:color="auto" w:fill="FFFFFF"/>
              </w:rPr>
              <w:t>și a oricăror altor competențe similare prevăzute de legislația statului terț respectiv;</w:t>
            </w:r>
          </w:p>
          <w:p w14:paraId="1CC37E42" w14:textId="77777777" w:rsidR="00EB243D" w:rsidRPr="00154588" w:rsidRDefault="00EB243D" w:rsidP="008C12B4">
            <w:pPr>
              <w:ind w:firstLine="567"/>
              <w:jc w:val="both"/>
              <w:rPr>
                <w:rStyle w:val="slitbdy"/>
                <w:sz w:val="20"/>
                <w:szCs w:val="20"/>
                <w:bdr w:val="none" w:sz="0" w:space="0" w:color="auto" w:frame="1"/>
                <w:shd w:val="clear" w:color="auto" w:fill="FFFFFF"/>
              </w:rPr>
            </w:pPr>
            <w:r w:rsidRPr="00154588">
              <w:rPr>
                <w:rStyle w:val="slitttl"/>
                <w:sz w:val="20"/>
                <w:szCs w:val="20"/>
                <w:bdr w:val="none" w:sz="0" w:space="0" w:color="auto" w:frame="1"/>
                <w:shd w:val="clear" w:color="auto" w:fill="FFFFFF"/>
              </w:rPr>
              <w:t>d)</w:t>
            </w:r>
            <w:r w:rsidRPr="00154588">
              <w:rPr>
                <w:rStyle w:val="slit"/>
                <w:sz w:val="20"/>
                <w:szCs w:val="20"/>
                <w:bdr w:val="dotted" w:sz="6" w:space="0" w:color="FEFEFE" w:frame="1"/>
                <w:shd w:val="clear" w:color="auto" w:fill="FFFFFF"/>
              </w:rPr>
              <w:t> </w:t>
            </w:r>
            <w:r w:rsidRPr="00154588">
              <w:rPr>
                <w:rStyle w:val="slitbdy"/>
                <w:sz w:val="20"/>
                <w:szCs w:val="20"/>
                <w:bdr w:val="none" w:sz="0" w:space="0" w:color="auto" w:frame="1"/>
                <w:shd w:val="clear" w:color="auto" w:fill="FFFFFF"/>
              </w:rPr>
              <w:t>aplicarea măsurilor de intervenție timpurie în conformitate cu prevederile </w:t>
            </w:r>
            <w:r w:rsidRPr="00154588">
              <w:rPr>
                <w:rStyle w:val="slgi"/>
                <w:sz w:val="20"/>
                <w:szCs w:val="20"/>
                <w:bdr w:val="none" w:sz="0" w:space="0" w:color="auto" w:frame="1"/>
                <w:shd w:val="clear" w:color="auto" w:fill="FFFFFF"/>
              </w:rPr>
              <w:t>art.42-44</w:t>
            </w:r>
            <w:r w:rsidRPr="00154588">
              <w:rPr>
                <w:rStyle w:val="slitbdy"/>
                <w:sz w:val="20"/>
                <w:szCs w:val="20"/>
                <w:bdr w:val="none" w:sz="0" w:space="0" w:color="auto" w:frame="1"/>
                <w:shd w:val="clear" w:color="auto" w:fill="FFFFFF"/>
              </w:rPr>
              <w:t> și a oricăror altor competențe similare prevăzute de legislația statului terț respectiv;</w:t>
            </w:r>
          </w:p>
          <w:p w14:paraId="12CF610D" w14:textId="77777777" w:rsidR="00EB243D" w:rsidRPr="00154588" w:rsidRDefault="00EB243D" w:rsidP="008C12B4">
            <w:pPr>
              <w:ind w:firstLine="567"/>
              <w:jc w:val="both"/>
              <w:rPr>
                <w:sz w:val="20"/>
                <w:szCs w:val="20"/>
              </w:rPr>
            </w:pPr>
            <w:r w:rsidRPr="00154588">
              <w:rPr>
                <w:rStyle w:val="slitttl"/>
                <w:sz w:val="20"/>
                <w:szCs w:val="20"/>
                <w:bdr w:val="none" w:sz="0" w:space="0" w:color="auto" w:frame="1"/>
                <w:shd w:val="clear" w:color="auto" w:fill="FFFFFF"/>
              </w:rPr>
              <w:t>e)</w:t>
            </w:r>
            <w:r w:rsidRPr="00154588">
              <w:rPr>
                <w:rStyle w:val="slit"/>
                <w:sz w:val="20"/>
                <w:szCs w:val="20"/>
                <w:bdr w:val="dotted" w:sz="6" w:space="0" w:color="FEFEFE" w:frame="1"/>
                <w:shd w:val="clear" w:color="auto" w:fill="FFFFFF"/>
              </w:rPr>
              <w:t> </w:t>
            </w:r>
            <w:r w:rsidRPr="00154588">
              <w:rPr>
                <w:rStyle w:val="slitbdy"/>
                <w:sz w:val="20"/>
                <w:szCs w:val="20"/>
                <w:bdr w:val="none" w:sz="0" w:space="0" w:color="auto" w:frame="1"/>
                <w:shd w:val="clear" w:color="auto" w:fill="FFFFFF"/>
              </w:rPr>
              <w:t xml:space="preserve">aplicarea instrumentelor de rezoluție și exercitarea competențelor de rezoluție, precum și a unor competențe </w:t>
            </w:r>
            <w:r w:rsidRPr="00154588">
              <w:rPr>
                <w:rStyle w:val="slitbdy"/>
                <w:color w:val="000000"/>
                <w:sz w:val="20"/>
                <w:szCs w:val="20"/>
                <w:bdr w:val="none" w:sz="0" w:space="0" w:color="auto" w:frame="1"/>
                <w:shd w:val="clear" w:color="auto" w:fill="FFFFFF"/>
              </w:rPr>
              <w:t>similare care pot fi exercitate de către autoritățile relevante din statul terț respectiv.</w:t>
            </w:r>
          </w:p>
          <w:p w14:paraId="6B55E534" w14:textId="77777777" w:rsidR="00EB243D" w:rsidRPr="00154588" w:rsidRDefault="00EB243D" w:rsidP="008C12B4">
            <w:pPr>
              <w:ind w:firstLine="567"/>
              <w:jc w:val="both"/>
              <w:rPr>
                <w:sz w:val="20"/>
                <w:szCs w:val="20"/>
              </w:rPr>
            </w:pPr>
          </w:p>
        </w:tc>
        <w:tc>
          <w:tcPr>
            <w:tcW w:w="2552" w:type="dxa"/>
          </w:tcPr>
          <w:p w14:paraId="0F4B4432" w14:textId="6C8244BD" w:rsidR="00EB243D" w:rsidRPr="00154588" w:rsidRDefault="00EB243D" w:rsidP="008C12B4">
            <w:pPr>
              <w:jc w:val="both"/>
              <w:rPr>
                <w:sz w:val="20"/>
                <w:szCs w:val="20"/>
              </w:rPr>
            </w:pPr>
            <w:r w:rsidRPr="00154588">
              <w:rPr>
                <w:sz w:val="20"/>
                <w:szCs w:val="20"/>
              </w:rPr>
              <w:lastRenderedPageBreak/>
              <w:t>Compatibil</w:t>
            </w:r>
          </w:p>
        </w:tc>
        <w:tc>
          <w:tcPr>
            <w:tcW w:w="3118" w:type="dxa"/>
          </w:tcPr>
          <w:p w14:paraId="5583F00E" w14:textId="77777777" w:rsidR="00EB243D" w:rsidRPr="00154588" w:rsidRDefault="00EB243D" w:rsidP="008C12B4">
            <w:pPr>
              <w:jc w:val="both"/>
              <w:rPr>
                <w:sz w:val="20"/>
                <w:szCs w:val="20"/>
              </w:rPr>
            </w:pPr>
          </w:p>
        </w:tc>
      </w:tr>
      <w:tr w:rsidR="00EB243D" w:rsidRPr="00154588" w14:paraId="372BC041" w14:textId="77777777" w:rsidTr="00D15C1B">
        <w:trPr>
          <w:jc w:val="center"/>
        </w:trPr>
        <w:tc>
          <w:tcPr>
            <w:tcW w:w="4957" w:type="dxa"/>
            <w:gridSpan w:val="2"/>
          </w:tcPr>
          <w:p w14:paraId="7C3B71B4" w14:textId="21CBF0CF" w:rsidR="00EB243D" w:rsidRPr="00154588" w:rsidRDefault="00EB243D" w:rsidP="008C12B4">
            <w:pPr>
              <w:jc w:val="both"/>
              <w:rPr>
                <w:bCs/>
                <w:sz w:val="20"/>
                <w:szCs w:val="20"/>
              </w:rPr>
            </w:pPr>
            <w:r w:rsidRPr="00154588">
              <w:rPr>
                <w:bCs/>
                <w:sz w:val="20"/>
                <w:szCs w:val="20"/>
              </w:rPr>
              <w:t>(3)   Acordurile menționate la alineatul (1) nu conțin dispoziții care să vizeze în mod individual vreo instituție, instituție financiară, întreprindere-mamă sau instituție dintr-o țară terță.</w:t>
            </w:r>
          </w:p>
        </w:tc>
        <w:tc>
          <w:tcPr>
            <w:tcW w:w="4819" w:type="dxa"/>
          </w:tcPr>
          <w:p w14:paraId="70D6C2AF" w14:textId="0D27EE57" w:rsidR="00EB243D" w:rsidRPr="00154588" w:rsidRDefault="00EB243D" w:rsidP="008C12B4">
            <w:pPr>
              <w:ind w:firstLine="567"/>
              <w:jc w:val="both"/>
              <w:rPr>
                <w:sz w:val="20"/>
                <w:szCs w:val="20"/>
              </w:rPr>
            </w:pPr>
            <w:r w:rsidRPr="00154588">
              <w:rPr>
                <w:b/>
                <w:bCs/>
                <w:sz w:val="20"/>
                <w:szCs w:val="20"/>
              </w:rPr>
              <w:t xml:space="preserve">Articolul </w:t>
            </w:r>
            <w:r w:rsidR="0042303B" w:rsidRPr="00154588">
              <w:rPr>
                <w:b/>
                <w:bCs/>
                <w:sz w:val="20"/>
                <w:szCs w:val="20"/>
              </w:rPr>
              <w:t>324</w:t>
            </w:r>
            <w:r w:rsidRPr="00154588">
              <w:rPr>
                <w:b/>
                <w:sz w:val="20"/>
                <w:szCs w:val="20"/>
              </w:rPr>
              <w:t>.</w:t>
            </w:r>
            <w:r w:rsidRPr="00154588">
              <w:rPr>
                <w:b/>
                <w:bCs/>
                <w:sz w:val="20"/>
                <w:szCs w:val="20"/>
              </w:rPr>
              <w:t xml:space="preserve"> </w:t>
            </w:r>
            <w:r w:rsidRPr="00154588">
              <w:rPr>
                <w:sz w:val="20"/>
                <w:szCs w:val="20"/>
              </w:rPr>
              <w:t>(4) Acordurile menționate la alin.(1) nu conțin dispoziții care să vizeze în mod individual vreo instituție, instituție financiară, întreprindere-mamă sau instituție dintr-un stat terț.</w:t>
            </w:r>
          </w:p>
          <w:p w14:paraId="79F7AC48" w14:textId="77777777" w:rsidR="00EB243D" w:rsidRPr="00154588" w:rsidRDefault="00EB243D" w:rsidP="008C12B4">
            <w:pPr>
              <w:jc w:val="both"/>
              <w:rPr>
                <w:sz w:val="20"/>
                <w:szCs w:val="20"/>
              </w:rPr>
            </w:pPr>
          </w:p>
          <w:p w14:paraId="2084A2D4" w14:textId="77777777" w:rsidR="00EB243D" w:rsidRPr="00154588" w:rsidRDefault="00EB243D" w:rsidP="008C12B4">
            <w:pPr>
              <w:jc w:val="both"/>
              <w:rPr>
                <w:bCs/>
                <w:sz w:val="20"/>
                <w:szCs w:val="20"/>
              </w:rPr>
            </w:pPr>
          </w:p>
        </w:tc>
        <w:tc>
          <w:tcPr>
            <w:tcW w:w="2552" w:type="dxa"/>
          </w:tcPr>
          <w:p w14:paraId="68FC391A" w14:textId="5C940583" w:rsidR="00EB243D" w:rsidRPr="00154588" w:rsidRDefault="00EB243D" w:rsidP="008C12B4">
            <w:pPr>
              <w:jc w:val="both"/>
              <w:rPr>
                <w:bCs/>
                <w:sz w:val="20"/>
                <w:szCs w:val="20"/>
              </w:rPr>
            </w:pPr>
            <w:r w:rsidRPr="00154588">
              <w:rPr>
                <w:bCs/>
                <w:sz w:val="20"/>
                <w:szCs w:val="20"/>
              </w:rPr>
              <w:t>Compatibil</w:t>
            </w:r>
          </w:p>
        </w:tc>
        <w:tc>
          <w:tcPr>
            <w:tcW w:w="3118" w:type="dxa"/>
          </w:tcPr>
          <w:p w14:paraId="2F279315" w14:textId="77777777" w:rsidR="00EB243D" w:rsidRPr="00154588" w:rsidRDefault="00EB243D" w:rsidP="008C12B4">
            <w:pPr>
              <w:jc w:val="both"/>
              <w:rPr>
                <w:bCs/>
                <w:sz w:val="20"/>
                <w:szCs w:val="20"/>
              </w:rPr>
            </w:pPr>
          </w:p>
        </w:tc>
      </w:tr>
      <w:tr w:rsidR="00EB243D" w:rsidRPr="00154588" w14:paraId="6F72945C" w14:textId="77777777" w:rsidTr="00D15C1B">
        <w:trPr>
          <w:jc w:val="center"/>
        </w:trPr>
        <w:tc>
          <w:tcPr>
            <w:tcW w:w="4957" w:type="dxa"/>
            <w:gridSpan w:val="2"/>
          </w:tcPr>
          <w:p w14:paraId="50FB2D4D" w14:textId="6684697A" w:rsidR="00EB243D" w:rsidRPr="00154588" w:rsidRDefault="00EB243D" w:rsidP="008C12B4">
            <w:pPr>
              <w:jc w:val="both"/>
              <w:rPr>
                <w:bCs/>
                <w:sz w:val="20"/>
                <w:szCs w:val="20"/>
              </w:rPr>
            </w:pPr>
            <w:r w:rsidRPr="00154588">
              <w:rPr>
                <w:bCs/>
                <w:sz w:val="20"/>
                <w:szCs w:val="20"/>
              </w:rPr>
              <w:t>(4)   Statele membre pot încheia acorduri bilaterale cu o țară terță în ceea ce privește aspectele menționate la alineatele (1) și (2) până la data intrării în vigoare a unuia dintre acordurile menționate la alineatul (1) cu țara terță relevantă, în măsura în care acordurile bilaterale respective sunt conforme cu prezentul titlu.</w:t>
            </w:r>
          </w:p>
        </w:tc>
        <w:tc>
          <w:tcPr>
            <w:tcW w:w="4819" w:type="dxa"/>
          </w:tcPr>
          <w:p w14:paraId="6E36BA0F" w14:textId="28C9444F" w:rsidR="00EB243D" w:rsidRPr="00154588" w:rsidRDefault="00EB243D" w:rsidP="008C12B4">
            <w:pPr>
              <w:ind w:firstLine="567"/>
              <w:jc w:val="both"/>
              <w:rPr>
                <w:sz w:val="20"/>
                <w:szCs w:val="20"/>
              </w:rPr>
            </w:pPr>
            <w:r w:rsidRPr="00154588">
              <w:rPr>
                <w:b/>
                <w:bCs/>
                <w:sz w:val="20"/>
                <w:szCs w:val="20"/>
              </w:rPr>
              <w:t xml:space="preserve">Articolul </w:t>
            </w:r>
            <w:r w:rsidR="0042303B" w:rsidRPr="00154588">
              <w:rPr>
                <w:b/>
                <w:bCs/>
                <w:sz w:val="20"/>
                <w:szCs w:val="20"/>
              </w:rPr>
              <w:t>324</w:t>
            </w:r>
            <w:r w:rsidRPr="00154588">
              <w:rPr>
                <w:b/>
                <w:sz w:val="20"/>
                <w:szCs w:val="20"/>
              </w:rPr>
              <w:t>.</w:t>
            </w:r>
            <w:r w:rsidRPr="00154588">
              <w:rPr>
                <w:b/>
                <w:bCs/>
                <w:sz w:val="20"/>
                <w:szCs w:val="20"/>
              </w:rPr>
              <w:t xml:space="preserve"> –</w:t>
            </w:r>
            <w:r w:rsidRPr="00154588">
              <w:rPr>
                <w:sz w:val="20"/>
                <w:szCs w:val="20"/>
              </w:rPr>
              <w:t xml:space="preserve"> (1) Republica Moldova poate încheia acorduri bilaterale cu un stat terț până la data intrării în vigoare a unui acord încheiat la nivelul Uniunii Europene cu statul terț respectiv</w:t>
            </w:r>
            <w:r w:rsidRPr="00154588">
              <w:rPr>
                <w:color w:val="000000"/>
                <w:sz w:val="20"/>
                <w:szCs w:val="20"/>
                <w:shd w:val="clear" w:color="auto" w:fill="FFFFFF"/>
              </w:rPr>
              <w:t>,</w:t>
            </w:r>
            <w:r w:rsidRPr="00154588">
              <w:rPr>
                <w:sz w:val="20"/>
                <w:szCs w:val="20"/>
              </w:rPr>
              <w:t xml:space="preserve"> în măsura în care aceste acorduri bilaterale sunt conforme cu prezentul titlu,</w:t>
            </w:r>
            <w:r w:rsidRPr="00154588">
              <w:rPr>
                <w:sz w:val="20"/>
                <w:szCs w:val="20"/>
                <w:lang w:val="ro-MD"/>
              </w:rPr>
              <w:t xml:space="preserve"> în special în următoarele situații:</w:t>
            </w:r>
          </w:p>
          <w:p w14:paraId="2C2EB1F5" w14:textId="77777777" w:rsidR="00EB243D" w:rsidRPr="00154588" w:rsidRDefault="00EB243D" w:rsidP="008C12B4">
            <w:pPr>
              <w:jc w:val="both"/>
              <w:rPr>
                <w:bCs/>
                <w:sz w:val="20"/>
                <w:szCs w:val="20"/>
              </w:rPr>
            </w:pPr>
          </w:p>
        </w:tc>
        <w:tc>
          <w:tcPr>
            <w:tcW w:w="2552" w:type="dxa"/>
          </w:tcPr>
          <w:p w14:paraId="0DE4D02A" w14:textId="35A4605C" w:rsidR="00EB243D" w:rsidRPr="00154588" w:rsidRDefault="00EB243D" w:rsidP="008C12B4">
            <w:pPr>
              <w:jc w:val="both"/>
              <w:rPr>
                <w:bCs/>
                <w:sz w:val="20"/>
                <w:szCs w:val="20"/>
              </w:rPr>
            </w:pPr>
            <w:r w:rsidRPr="00154588">
              <w:rPr>
                <w:bCs/>
                <w:sz w:val="20"/>
                <w:szCs w:val="20"/>
              </w:rPr>
              <w:t>Compatibil</w:t>
            </w:r>
          </w:p>
        </w:tc>
        <w:tc>
          <w:tcPr>
            <w:tcW w:w="3118" w:type="dxa"/>
          </w:tcPr>
          <w:p w14:paraId="1E1292EF" w14:textId="77777777" w:rsidR="00EB243D" w:rsidRPr="00154588" w:rsidRDefault="00EB243D" w:rsidP="008C12B4">
            <w:pPr>
              <w:jc w:val="both"/>
              <w:rPr>
                <w:bCs/>
                <w:sz w:val="20"/>
                <w:szCs w:val="20"/>
              </w:rPr>
            </w:pPr>
          </w:p>
        </w:tc>
      </w:tr>
      <w:tr w:rsidR="00EB243D" w:rsidRPr="00154588" w14:paraId="4105DB26" w14:textId="77777777" w:rsidTr="00D15C1B">
        <w:trPr>
          <w:jc w:val="center"/>
        </w:trPr>
        <w:tc>
          <w:tcPr>
            <w:tcW w:w="4957" w:type="dxa"/>
            <w:gridSpan w:val="2"/>
          </w:tcPr>
          <w:p w14:paraId="3D8E2E74" w14:textId="77777777" w:rsidR="00EB243D" w:rsidRPr="00154588" w:rsidRDefault="00EB243D" w:rsidP="008C12B4">
            <w:pPr>
              <w:jc w:val="both"/>
              <w:rPr>
                <w:b/>
                <w:sz w:val="20"/>
                <w:szCs w:val="20"/>
              </w:rPr>
            </w:pPr>
            <w:r w:rsidRPr="00154588">
              <w:rPr>
                <w:b/>
                <w:sz w:val="20"/>
                <w:szCs w:val="20"/>
              </w:rPr>
              <w:t>Articolul 94</w:t>
            </w:r>
          </w:p>
          <w:p w14:paraId="1298E1B9" w14:textId="77777777" w:rsidR="00EB243D" w:rsidRPr="00154588" w:rsidRDefault="00EB243D" w:rsidP="008C12B4">
            <w:pPr>
              <w:jc w:val="both"/>
              <w:rPr>
                <w:b/>
                <w:sz w:val="20"/>
                <w:szCs w:val="20"/>
              </w:rPr>
            </w:pPr>
          </w:p>
          <w:p w14:paraId="331440F0" w14:textId="77777777" w:rsidR="00EB243D" w:rsidRPr="00154588" w:rsidRDefault="00EB243D" w:rsidP="008C12B4">
            <w:pPr>
              <w:jc w:val="both"/>
              <w:rPr>
                <w:b/>
                <w:sz w:val="20"/>
                <w:szCs w:val="20"/>
              </w:rPr>
            </w:pPr>
          </w:p>
          <w:p w14:paraId="172B80FA" w14:textId="0E1837EC" w:rsidR="00EB243D" w:rsidRPr="00154588" w:rsidRDefault="00EB243D" w:rsidP="008C12B4">
            <w:pPr>
              <w:jc w:val="both"/>
              <w:rPr>
                <w:bCs/>
                <w:sz w:val="20"/>
                <w:szCs w:val="20"/>
              </w:rPr>
            </w:pPr>
            <w:r w:rsidRPr="00154588">
              <w:rPr>
                <w:b/>
                <w:sz w:val="20"/>
                <w:szCs w:val="20"/>
              </w:rPr>
              <w:t>Recunoașterea și executarea procedurilor de rezoluție din țări terțe</w:t>
            </w:r>
          </w:p>
        </w:tc>
        <w:tc>
          <w:tcPr>
            <w:tcW w:w="4819" w:type="dxa"/>
          </w:tcPr>
          <w:p w14:paraId="3C26C370" w14:textId="77777777" w:rsidR="00EB243D" w:rsidRPr="00154588" w:rsidRDefault="00EB243D" w:rsidP="008C12B4">
            <w:pPr>
              <w:jc w:val="both"/>
              <w:rPr>
                <w:bCs/>
                <w:sz w:val="20"/>
                <w:szCs w:val="20"/>
              </w:rPr>
            </w:pPr>
          </w:p>
        </w:tc>
        <w:tc>
          <w:tcPr>
            <w:tcW w:w="2552" w:type="dxa"/>
          </w:tcPr>
          <w:p w14:paraId="30D57C07" w14:textId="77777777" w:rsidR="00EB243D" w:rsidRPr="00154588" w:rsidRDefault="00EB243D" w:rsidP="008C12B4">
            <w:pPr>
              <w:jc w:val="both"/>
              <w:rPr>
                <w:bCs/>
                <w:sz w:val="20"/>
                <w:szCs w:val="20"/>
              </w:rPr>
            </w:pPr>
          </w:p>
        </w:tc>
        <w:tc>
          <w:tcPr>
            <w:tcW w:w="3118" w:type="dxa"/>
          </w:tcPr>
          <w:p w14:paraId="0903D610" w14:textId="77777777" w:rsidR="00EB243D" w:rsidRPr="00154588" w:rsidRDefault="00EB243D" w:rsidP="008C12B4">
            <w:pPr>
              <w:jc w:val="both"/>
              <w:rPr>
                <w:bCs/>
                <w:sz w:val="20"/>
                <w:szCs w:val="20"/>
              </w:rPr>
            </w:pPr>
          </w:p>
        </w:tc>
      </w:tr>
      <w:tr w:rsidR="00EB243D" w:rsidRPr="00154588" w14:paraId="00F91A08" w14:textId="77777777" w:rsidTr="00D15C1B">
        <w:trPr>
          <w:jc w:val="center"/>
        </w:trPr>
        <w:tc>
          <w:tcPr>
            <w:tcW w:w="4957" w:type="dxa"/>
            <w:gridSpan w:val="2"/>
          </w:tcPr>
          <w:p w14:paraId="3663D301" w14:textId="77DA7DAB" w:rsidR="00EB243D" w:rsidRPr="00154588" w:rsidRDefault="00EB243D" w:rsidP="008C12B4">
            <w:pPr>
              <w:jc w:val="both"/>
              <w:rPr>
                <w:sz w:val="20"/>
                <w:szCs w:val="20"/>
              </w:rPr>
            </w:pPr>
            <w:r w:rsidRPr="00154588">
              <w:rPr>
                <w:sz w:val="20"/>
                <w:szCs w:val="20"/>
              </w:rPr>
              <w:t>(1)   Prezentul articol se aplică procedurilor de rezoluție din țări terțe cu excepția cazului în care intră în vigoare un acord internațional menționat la articolul 93 alineatul (1) cu țara terță relevantă și până la momentul intrării în vigoare a acestui acord. Prezentul articol se aplică și ulterior intrării în vigoare a unui acord internațional, menționat la articolul 93 alineatul (1), cu țara terță relevantă, în măsura în care recunoașterea și executarea procedurilor de rezoluție din țara terță nu sunt reglementate prin acordul respectiv.</w:t>
            </w:r>
          </w:p>
        </w:tc>
        <w:tc>
          <w:tcPr>
            <w:tcW w:w="4819" w:type="dxa"/>
          </w:tcPr>
          <w:p w14:paraId="0791D443" w14:textId="74D6C9BC" w:rsidR="00EB243D" w:rsidRPr="00154588" w:rsidRDefault="00EB243D" w:rsidP="008C12B4">
            <w:pPr>
              <w:ind w:firstLine="567"/>
              <w:jc w:val="both"/>
              <w:rPr>
                <w:sz w:val="20"/>
                <w:szCs w:val="20"/>
              </w:rPr>
            </w:pPr>
            <w:r w:rsidRPr="00154588">
              <w:rPr>
                <w:b/>
                <w:sz w:val="20"/>
                <w:szCs w:val="20"/>
              </w:rPr>
              <w:t>Articolul 32</w:t>
            </w:r>
            <w:r w:rsidR="0042303B" w:rsidRPr="00154588">
              <w:rPr>
                <w:b/>
                <w:sz w:val="20"/>
                <w:szCs w:val="20"/>
              </w:rPr>
              <w:t>5</w:t>
            </w:r>
            <w:r w:rsidRPr="00154588">
              <w:rPr>
                <w:b/>
                <w:sz w:val="20"/>
                <w:szCs w:val="20"/>
              </w:rPr>
              <w:t xml:space="preserve">. </w:t>
            </w:r>
            <w:r w:rsidRPr="00154588">
              <w:rPr>
                <w:sz w:val="20"/>
                <w:szCs w:val="20"/>
              </w:rPr>
              <w:t>(1) Prezentul articol se aplică în legătură cu procedurile de rezoluție din state terțe cu excepția cazului în care intră în vigoare un acord internațional menționat la art.</w:t>
            </w:r>
            <w:r w:rsidR="0042303B" w:rsidRPr="00154588">
              <w:rPr>
                <w:sz w:val="20"/>
                <w:szCs w:val="20"/>
              </w:rPr>
              <w:t xml:space="preserve">324 </w:t>
            </w:r>
            <w:r w:rsidRPr="00154588">
              <w:rPr>
                <w:sz w:val="20"/>
                <w:szCs w:val="20"/>
              </w:rPr>
              <w:t>alin.(1) cu statul terț relevant și până la momentul intrării în vigoare a acestui acord. Prezentul articol se aplică și ulterior intrării în vigoare a unui acord internațional, menționat la art.</w:t>
            </w:r>
            <w:r w:rsidR="0042303B" w:rsidRPr="00154588">
              <w:rPr>
                <w:sz w:val="20"/>
                <w:szCs w:val="20"/>
              </w:rPr>
              <w:t xml:space="preserve">324 </w:t>
            </w:r>
            <w:r w:rsidRPr="00154588">
              <w:rPr>
                <w:sz w:val="20"/>
                <w:szCs w:val="20"/>
              </w:rPr>
              <w:t xml:space="preserve">alin.(1), cu statul terț relevant, în măsura în care recunoașterea și punerea în aplicare a  procedurilor de rezoluție din tatul terț nu sunt reglementate prin acordul respectiv. </w:t>
            </w:r>
          </w:p>
          <w:p w14:paraId="2EBC212C" w14:textId="77777777" w:rsidR="00EB243D" w:rsidRPr="00154588" w:rsidRDefault="00EB243D" w:rsidP="008C12B4">
            <w:pPr>
              <w:jc w:val="both"/>
              <w:rPr>
                <w:sz w:val="20"/>
                <w:szCs w:val="20"/>
              </w:rPr>
            </w:pPr>
          </w:p>
        </w:tc>
        <w:tc>
          <w:tcPr>
            <w:tcW w:w="2552" w:type="dxa"/>
          </w:tcPr>
          <w:p w14:paraId="04D11779" w14:textId="7E11873B" w:rsidR="00EB243D" w:rsidRPr="00154588" w:rsidRDefault="00EB243D" w:rsidP="008C12B4">
            <w:pPr>
              <w:jc w:val="both"/>
              <w:rPr>
                <w:sz w:val="20"/>
                <w:szCs w:val="20"/>
              </w:rPr>
            </w:pPr>
            <w:r w:rsidRPr="00154588">
              <w:rPr>
                <w:sz w:val="20"/>
                <w:szCs w:val="20"/>
              </w:rPr>
              <w:t>Compatibil</w:t>
            </w:r>
          </w:p>
        </w:tc>
        <w:tc>
          <w:tcPr>
            <w:tcW w:w="3118" w:type="dxa"/>
          </w:tcPr>
          <w:p w14:paraId="647E2917" w14:textId="77777777" w:rsidR="00EB243D" w:rsidRPr="00154588" w:rsidRDefault="00EB243D" w:rsidP="008C12B4">
            <w:pPr>
              <w:jc w:val="both"/>
              <w:rPr>
                <w:sz w:val="20"/>
                <w:szCs w:val="20"/>
              </w:rPr>
            </w:pPr>
          </w:p>
        </w:tc>
      </w:tr>
      <w:tr w:rsidR="00EB243D" w:rsidRPr="00154588" w14:paraId="10D06EF8" w14:textId="77777777" w:rsidTr="00D15C1B">
        <w:trPr>
          <w:jc w:val="center"/>
        </w:trPr>
        <w:tc>
          <w:tcPr>
            <w:tcW w:w="4957" w:type="dxa"/>
            <w:gridSpan w:val="2"/>
          </w:tcPr>
          <w:p w14:paraId="169DC26D" w14:textId="77777777" w:rsidR="00EB243D" w:rsidRPr="00154588" w:rsidRDefault="00EB243D" w:rsidP="008C12B4">
            <w:pPr>
              <w:jc w:val="both"/>
              <w:rPr>
                <w:sz w:val="20"/>
                <w:szCs w:val="20"/>
              </w:rPr>
            </w:pPr>
            <w:r w:rsidRPr="00154588">
              <w:rPr>
                <w:sz w:val="20"/>
                <w:szCs w:val="20"/>
              </w:rPr>
              <w:t>(2)   În cazul în care există un colegiu de rezoluție european înființat în conformitate cu articolul 89, acesta adoptă o decizie comună cu privire la oportunitatea recunoașterii, cu excepția cazurilor prevăzute la articolul 95, a procedurilor de rezoluție ale țărilor terțe privind instituțiile sau întreprinderile-mamă din țările terțe care:</w:t>
            </w:r>
          </w:p>
          <w:p w14:paraId="2EDB517B" w14:textId="77777777" w:rsidR="00EB243D" w:rsidRPr="00154588" w:rsidRDefault="00EB243D" w:rsidP="008C12B4">
            <w:pPr>
              <w:jc w:val="both"/>
              <w:rPr>
                <w:sz w:val="20"/>
                <w:szCs w:val="20"/>
              </w:rPr>
            </w:pPr>
          </w:p>
          <w:p w14:paraId="3D3CD3BD" w14:textId="55BAC28F" w:rsidR="00EB243D" w:rsidRPr="00154588" w:rsidRDefault="00EB243D" w:rsidP="008C12B4">
            <w:pPr>
              <w:jc w:val="both"/>
              <w:rPr>
                <w:sz w:val="20"/>
                <w:szCs w:val="20"/>
              </w:rPr>
            </w:pPr>
            <w:r w:rsidRPr="00154588">
              <w:rPr>
                <w:sz w:val="20"/>
                <w:szCs w:val="20"/>
              </w:rPr>
              <w:t>(a) au filiale din Uniune stabilite în două sau mai multe state membre sau sucursale din Uniune situate și considerate semnificative de două sau mai multe state membre; sau</w:t>
            </w:r>
          </w:p>
          <w:p w14:paraId="6193C017" w14:textId="77777777" w:rsidR="00EB243D" w:rsidRPr="00154588" w:rsidRDefault="00EB243D" w:rsidP="008C12B4">
            <w:pPr>
              <w:jc w:val="both"/>
              <w:rPr>
                <w:sz w:val="20"/>
                <w:szCs w:val="20"/>
              </w:rPr>
            </w:pPr>
          </w:p>
          <w:p w14:paraId="514DFAB1" w14:textId="209FE585" w:rsidR="00EB243D" w:rsidRPr="00154588" w:rsidRDefault="00EB243D" w:rsidP="008C12B4">
            <w:pPr>
              <w:jc w:val="both"/>
              <w:rPr>
                <w:sz w:val="20"/>
                <w:szCs w:val="20"/>
              </w:rPr>
            </w:pPr>
            <w:r w:rsidRPr="00154588">
              <w:rPr>
                <w:sz w:val="20"/>
                <w:szCs w:val="20"/>
              </w:rPr>
              <w:lastRenderedPageBreak/>
              <w:t>(b) dețin, în orice alt mod, active, drepturi sau pasive situate în două sau mai multe state membre sau sunt reglementate de dreptul statelor membre respective.</w:t>
            </w:r>
          </w:p>
          <w:p w14:paraId="379738BC" w14:textId="77777777" w:rsidR="00EB243D" w:rsidRPr="00154588" w:rsidRDefault="00EB243D" w:rsidP="008C12B4">
            <w:pPr>
              <w:jc w:val="both"/>
              <w:rPr>
                <w:sz w:val="20"/>
                <w:szCs w:val="20"/>
              </w:rPr>
            </w:pPr>
          </w:p>
          <w:p w14:paraId="26205851" w14:textId="3F68555F" w:rsidR="00EB243D" w:rsidRPr="00154588" w:rsidRDefault="00EB243D" w:rsidP="008C12B4">
            <w:pPr>
              <w:jc w:val="both"/>
              <w:rPr>
                <w:sz w:val="20"/>
                <w:szCs w:val="20"/>
              </w:rPr>
            </w:pPr>
            <w:r w:rsidRPr="00154588">
              <w:rPr>
                <w:sz w:val="20"/>
                <w:szCs w:val="20"/>
              </w:rPr>
              <w:t>În cazul în care se adoptă decizia comună privind recunoașterea procedurilor de rezoluție din țări terțe, autoritățile de rezoluție naționale relevante fac demersuri pentru executarea procedurilor de rezoluție recunoscute din țări terțe, în conformitate cu dreptul intern.</w:t>
            </w:r>
          </w:p>
        </w:tc>
        <w:tc>
          <w:tcPr>
            <w:tcW w:w="4819" w:type="dxa"/>
          </w:tcPr>
          <w:p w14:paraId="06EEDCED" w14:textId="589DB02A" w:rsidR="00EB243D" w:rsidRPr="00154588" w:rsidRDefault="00EB243D" w:rsidP="008C12B4">
            <w:pPr>
              <w:ind w:firstLine="567"/>
              <w:jc w:val="both"/>
              <w:rPr>
                <w:sz w:val="20"/>
                <w:szCs w:val="20"/>
              </w:rPr>
            </w:pPr>
            <w:r w:rsidRPr="00154588">
              <w:rPr>
                <w:b/>
                <w:sz w:val="20"/>
                <w:szCs w:val="20"/>
              </w:rPr>
              <w:lastRenderedPageBreak/>
              <w:t xml:space="preserve">Articolul </w:t>
            </w:r>
            <w:r w:rsidR="0042303B" w:rsidRPr="00154588">
              <w:rPr>
                <w:b/>
                <w:sz w:val="20"/>
                <w:szCs w:val="20"/>
              </w:rPr>
              <w:t>325</w:t>
            </w:r>
            <w:r w:rsidRPr="00154588">
              <w:rPr>
                <w:b/>
                <w:sz w:val="20"/>
                <w:szCs w:val="20"/>
              </w:rPr>
              <w:t xml:space="preserve">. </w:t>
            </w:r>
            <w:r w:rsidRPr="00154588">
              <w:rPr>
                <w:sz w:val="20"/>
                <w:szCs w:val="20"/>
              </w:rPr>
              <w:t>(2) Banca Naţională a Moldovei poate participa, în cadrul unui colegiu de rezoluţie european instituit în condiţiile prevăzute la art.295</w:t>
            </w:r>
            <w:r w:rsidRPr="00154588">
              <w:rPr>
                <w:sz w:val="20"/>
                <w:szCs w:val="20"/>
                <w:vertAlign w:val="superscript"/>
              </w:rPr>
              <w:t>8</w:t>
            </w:r>
            <w:r w:rsidRPr="00154588">
              <w:rPr>
                <w:sz w:val="20"/>
                <w:szCs w:val="20"/>
              </w:rPr>
              <w:t>-295</w:t>
            </w:r>
            <w:r w:rsidRPr="00154588">
              <w:rPr>
                <w:sz w:val="20"/>
                <w:szCs w:val="20"/>
                <w:vertAlign w:val="superscript"/>
              </w:rPr>
              <w:t>12</w:t>
            </w:r>
            <w:r w:rsidRPr="00154588">
              <w:rPr>
                <w:sz w:val="20"/>
                <w:szCs w:val="20"/>
              </w:rPr>
              <w:t>, la adoptarea unei decizii comune cu privire la oportunitatea recunoaşterii, cu excepţia cazurilor prevăzute la art.</w:t>
            </w:r>
            <w:r w:rsidR="0042303B" w:rsidRPr="00154588">
              <w:rPr>
                <w:sz w:val="20"/>
                <w:szCs w:val="20"/>
              </w:rPr>
              <w:t>326</w:t>
            </w:r>
            <w:r w:rsidRPr="00154588">
              <w:rPr>
                <w:sz w:val="20"/>
                <w:szCs w:val="20"/>
              </w:rPr>
              <w:t>, a procedurilor de rezoluţie ale statelor terţe privind instituțiile sau întreprinderile-mamă din statele terțe care:</w:t>
            </w:r>
          </w:p>
          <w:p w14:paraId="149E22AD" w14:textId="77777777" w:rsidR="00EB243D" w:rsidRPr="00154588" w:rsidRDefault="00EB243D" w:rsidP="008C12B4">
            <w:pPr>
              <w:ind w:firstLine="567"/>
              <w:jc w:val="both"/>
              <w:rPr>
                <w:sz w:val="20"/>
                <w:szCs w:val="20"/>
              </w:rPr>
            </w:pPr>
            <w:r w:rsidRPr="00154588">
              <w:rPr>
                <w:sz w:val="20"/>
                <w:szCs w:val="20"/>
              </w:rPr>
              <w:t>a) au filiale stabilite în Uniunea Europeană în două sau mai multe state membre sau sucursale din Uniunea Europeană situate și considerate semnificative de două sau mai multe state membre; sau</w:t>
            </w:r>
          </w:p>
          <w:p w14:paraId="11A511A1" w14:textId="77777777" w:rsidR="00EB243D" w:rsidRPr="00154588" w:rsidRDefault="00EB243D" w:rsidP="008C12B4">
            <w:pPr>
              <w:ind w:firstLine="567"/>
              <w:jc w:val="both"/>
              <w:rPr>
                <w:sz w:val="20"/>
                <w:szCs w:val="20"/>
              </w:rPr>
            </w:pPr>
            <w:r w:rsidRPr="00154588">
              <w:rPr>
                <w:sz w:val="20"/>
                <w:szCs w:val="20"/>
              </w:rPr>
              <w:lastRenderedPageBreak/>
              <w:t>b) dețin, în orice alt mod, active, drepturi sau obligații situate în două sau mai multe state membre sau sunt reglementate de dreptul statelor membre respective.</w:t>
            </w:r>
          </w:p>
          <w:p w14:paraId="04A20B9C" w14:textId="77777777" w:rsidR="00EB243D" w:rsidRPr="00154588" w:rsidRDefault="00EB243D" w:rsidP="008C12B4">
            <w:pPr>
              <w:ind w:firstLine="567"/>
              <w:jc w:val="both"/>
              <w:rPr>
                <w:sz w:val="20"/>
                <w:szCs w:val="20"/>
              </w:rPr>
            </w:pPr>
            <w:r w:rsidRPr="00154588">
              <w:rPr>
                <w:sz w:val="20"/>
                <w:szCs w:val="20"/>
              </w:rPr>
              <w:t>În cazul în care se adoptă decizia comună privind recunoaşterea procedurilor de rezoluţie dintr-un stat terţ, Banca Naţională a Moldovei, în calitate de autoritate de rezoluţie, face demersuri pentru executarea procedurilor de rezoluţie recunoscute din statul terţ prin aplicarea în mod corespunzător a dispoziţiilor relevante din prezenta lege.</w:t>
            </w:r>
          </w:p>
          <w:p w14:paraId="1B7E83C8" w14:textId="77777777" w:rsidR="00EB243D" w:rsidRPr="00154588" w:rsidRDefault="00EB243D" w:rsidP="008C12B4">
            <w:pPr>
              <w:jc w:val="both"/>
              <w:rPr>
                <w:sz w:val="20"/>
                <w:szCs w:val="20"/>
              </w:rPr>
            </w:pPr>
          </w:p>
        </w:tc>
        <w:tc>
          <w:tcPr>
            <w:tcW w:w="2552" w:type="dxa"/>
          </w:tcPr>
          <w:p w14:paraId="0BEF20F4" w14:textId="017DCC29" w:rsidR="00EB243D" w:rsidRPr="00154588" w:rsidRDefault="00EB243D" w:rsidP="008C12B4">
            <w:pPr>
              <w:jc w:val="both"/>
              <w:rPr>
                <w:sz w:val="20"/>
                <w:szCs w:val="20"/>
              </w:rPr>
            </w:pPr>
            <w:r w:rsidRPr="00154588">
              <w:rPr>
                <w:sz w:val="20"/>
                <w:szCs w:val="20"/>
              </w:rPr>
              <w:lastRenderedPageBreak/>
              <w:t>Compatibil</w:t>
            </w:r>
          </w:p>
        </w:tc>
        <w:tc>
          <w:tcPr>
            <w:tcW w:w="3118" w:type="dxa"/>
          </w:tcPr>
          <w:p w14:paraId="6FCFF173" w14:textId="77777777" w:rsidR="00EB243D" w:rsidRPr="00154588" w:rsidRDefault="00EB243D" w:rsidP="008C12B4">
            <w:pPr>
              <w:jc w:val="both"/>
              <w:rPr>
                <w:sz w:val="20"/>
                <w:szCs w:val="20"/>
              </w:rPr>
            </w:pPr>
          </w:p>
        </w:tc>
      </w:tr>
      <w:tr w:rsidR="00EB243D" w:rsidRPr="00154588" w14:paraId="093FB751" w14:textId="77777777" w:rsidTr="00D15C1B">
        <w:trPr>
          <w:jc w:val="center"/>
        </w:trPr>
        <w:tc>
          <w:tcPr>
            <w:tcW w:w="4957" w:type="dxa"/>
            <w:gridSpan w:val="2"/>
          </w:tcPr>
          <w:p w14:paraId="19DAC244" w14:textId="77777777" w:rsidR="00EB243D" w:rsidRPr="00154588" w:rsidRDefault="00EB243D" w:rsidP="008C12B4">
            <w:pPr>
              <w:jc w:val="both"/>
              <w:rPr>
                <w:sz w:val="20"/>
                <w:szCs w:val="20"/>
              </w:rPr>
            </w:pPr>
            <w:r w:rsidRPr="00154588">
              <w:rPr>
                <w:sz w:val="20"/>
                <w:szCs w:val="20"/>
              </w:rPr>
              <w:t>(3)   Dacă autoritățile de rezoluție care fac parte din colegiul de rezoluție european nu iau o decizie comună, sau dacă nu există un colegiu de rezoluție european, fiecare autoritate de rezoluție implicată ia o decizie cu privire la oportunitatea recunoașterii și a executării, cu excepția cazurilor prevăzute la articolul 95, a procedurilor de rezoluție din țări terțe privind o instituție sau o întreprindere-mamă dintr-o țară terță.</w:t>
            </w:r>
          </w:p>
          <w:p w14:paraId="37840574" w14:textId="77777777" w:rsidR="00EB243D" w:rsidRPr="00154588" w:rsidRDefault="00EB243D" w:rsidP="008C12B4">
            <w:pPr>
              <w:jc w:val="both"/>
              <w:rPr>
                <w:sz w:val="20"/>
                <w:szCs w:val="20"/>
              </w:rPr>
            </w:pPr>
          </w:p>
          <w:p w14:paraId="6418E924" w14:textId="77777777" w:rsidR="00EB243D" w:rsidRPr="00154588" w:rsidRDefault="00EB243D" w:rsidP="008C12B4">
            <w:pPr>
              <w:jc w:val="both"/>
              <w:rPr>
                <w:sz w:val="20"/>
                <w:szCs w:val="20"/>
              </w:rPr>
            </w:pPr>
          </w:p>
          <w:p w14:paraId="35AC0473" w14:textId="635E6636" w:rsidR="00EB243D" w:rsidRPr="00154588" w:rsidRDefault="00EB243D" w:rsidP="008C12B4">
            <w:pPr>
              <w:jc w:val="both"/>
              <w:rPr>
                <w:sz w:val="20"/>
                <w:szCs w:val="20"/>
              </w:rPr>
            </w:pPr>
            <w:r w:rsidRPr="00154588">
              <w:rPr>
                <w:sz w:val="20"/>
                <w:szCs w:val="20"/>
              </w:rPr>
              <w:t>Decizia ține seama în mod corespunzător de interesele fiecărui stat membru în care își desfășoară activitatea o instituție sau o întreprindere-mamă dintr-o țară terță și în special de impactul potențial al recunoașterii și al executării procedurilor de rezoluție din țări terțe asupra celorlalte părți ale grupului și a stabilității financiare din statele membre respective.</w:t>
            </w:r>
          </w:p>
        </w:tc>
        <w:tc>
          <w:tcPr>
            <w:tcW w:w="4819" w:type="dxa"/>
          </w:tcPr>
          <w:p w14:paraId="298C771B" w14:textId="1844E61E" w:rsidR="00EB243D" w:rsidRPr="00154588" w:rsidRDefault="00EB243D" w:rsidP="008C12B4">
            <w:pPr>
              <w:ind w:firstLine="567"/>
              <w:jc w:val="both"/>
              <w:rPr>
                <w:sz w:val="20"/>
                <w:szCs w:val="20"/>
              </w:rPr>
            </w:pPr>
            <w:r w:rsidRPr="00154588">
              <w:rPr>
                <w:b/>
                <w:sz w:val="20"/>
                <w:szCs w:val="20"/>
              </w:rPr>
              <w:t xml:space="preserve">Articolul </w:t>
            </w:r>
            <w:r w:rsidR="0042303B" w:rsidRPr="00154588">
              <w:rPr>
                <w:b/>
                <w:sz w:val="20"/>
                <w:szCs w:val="20"/>
              </w:rPr>
              <w:t>325</w:t>
            </w:r>
            <w:r w:rsidRPr="00154588">
              <w:rPr>
                <w:b/>
                <w:sz w:val="20"/>
                <w:szCs w:val="20"/>
              </w:rPr>
              <w:t xml:space="preserve">. </w:t>
            </w:r>
            <w:r w:rsidRPr="00154588">
              <w:rPr>
                <w:sz w:val="20"/>
                <w:szCs w:val="20"/>
              </w:rPr>
              <w:t>(3) În absenţa unei decizii comune a autorităţilor de rezoluţie participante la colegiul de rezoluţie european sau dacă nu există un colegiu de rezoluţie european, Banca Naţională a Moldovei, în calitate de autoritate de rezoluţie, ia o decizie cu privire la oportunitatea recunoaşterii şi a executării, cu excepţia cazurilor prevăzute la art.</w:t>
            </w:r>
            <w:r w:rsidR="0042303B" w:rsidRPr="00154588">
              <w:rPr>
                <w:sz w:val="20"/>
                <w:szCs w:val="20"/>
              </w:rPr>
              <w:t>326</w:t>
            </w:r>
            <w:r w:rsidRPr="00154588">
              <w:rPr>
                <w:sz w:val="20"/>
                <w:szCs w:val="20"/>
              </w:rPr>
              <w:t>, a procedurilor de rezoluţie dintr-un stat terţ privind o instituție sau o întreprindere-mamă dintr-un stat terț.</w:t>
            </w:r>
          </w:p>
          <w:p w14:paraId="0CC1FEC9" w14:textId="77777777" w:rsidR="00EB243D" w:rsidRPr="00154588" w:rsidRDefault="00EB243D" w:rsidP="008C12B4">
            <w:pPr>
              <w:ind w:firstLine="567"/>
              <w:jc w:val="both"/>
              <w:rPr>
                <w:sz w:val="20"/>
                <w:szCs w:val="20"/>
              </w:rPr>
            </w:pPr>
            <w:r w:rsidRPr="00154588">
              <w:rPr>
                <w:sz w:val="20"/>
                <w:szCs w:val="20"/>
              </w:rPr>
              <w:t>(4) Decizia trebuie să țină seama în mod corespunzător de interesele fiecărui stat membru în care își desfășoară activitatea o instituție sau o întreprindere-mamă dintr-un stat terț și în special de impactul potențial al recunoașterii și al punerii în aplicare a procedurilor de rezoluție din statul terț asupra celorlalte părți ale grupului și stabilității financiare din statele membre respective.</w:t>
            </w:r>
          </w:p>
          <w:p w14:paraId="08C66002" w14:textId="77777777" w:rsidR="00EB243D" w:rsidRPr="00154588" w:rsidRDefault="00EB243D" w:rsidP="008C12B4">
            <w:pPr>
              <w:jc w:val="both"/>
              <w:rPr>
                <w:sz w:val="20"/>
                <w:szCs w:val="20"/>
              </w:rPr>
            </w:pPr>
          </w:p>
        </w:tc>
        <w:tc>
          <w:tcPr>
            <w:tcW w:w="2552" w:type="dxa"/>
          </w:tcPr>
          <w:p w14:paraId="5688AFE3" w14:textId="520DFFC2" w:rsidR="00EB243D" w:rsidRPr="00154588" w:rsidRDefault="00EB243D" w:rsidP="008C12B4">
            <w:pPr>
              <w:jc w:val="both"/>
              <w:rPr>
                <w:sz w:val="20"/>
                <w:szCs w:val="20"/>
              </w:rPr>
            </w:pPr>
            <w:r w:rsidRPr="00154588">
              <w:rPr>
                <w:sz w:val="20"/>
                <w:szCs w:val="20"/>
              </w:rPr>
              <w:t>Compatibil</w:t>
            </w:r>
          </w:p>
        </w:tc>
        <w:tc>
          <w:tcPr>
            <w:tcW w:w="3118" w:type="dxa"/>
          </w:tcPr>
          <w:p w14:paraId="54D082FC" w14:textId="77777777" w:rsidR="00EB243D" w:rsidRPr="00154588" w:rsidRDefault="00EB243D" w:rsidP="008C12B4">
            <w:pPr>
              <w:jc w:val="both"/>
              <w:rPr>
                <w:sz w:val="20"/>
                <w:szCs w:val="20"/>
              </w:rPr>
            </w:pPr>
          </w:p>
        </w:tc>
      </w:tr>
      <w:tr w:rsidR="00EB243D" w:rsidRPr="00154588" w14:paraId="3BC47BAD" w14:textId="77777777" w:rsidTr="00D15C1B">
        <w:trPr>
          <w:jc w:val="center"/>
        </w:trPr>
        <w:tc>
          <w:tcPr>
            <w:tcW w:w="4957" w:type="dxa"/>
            <w:gridSpan w:val="2"/>
          </w:tcPr>
          <w:p w14:paraId="7F4FC7CA" w14:textId="77777777" w:rsidR="00EB243D" w:rsidRPr="00154588" w:rsidRDefault="00EB243D" w:rsidP="008C12B4">
            <w:pPr>
              <w:jc w:val="both"/>
              <w:rPr>
                <w:sz w:val="20"/>
                <w:szCs w:val="20"/>
              </w:rPr>
            </w:pPr>
            <w:r w:rsidRPr="00154588">
              <w:rPr>
                <w:sz w:val="20"/>
                <w:szCs w:val="20"/>
              </w:rPr>
              <w:t>(4)   Statele membre se asigură că autoritățile de rezoluție sunt cel puțin abilitate să aplice următoarele măsuri:</w:t>
            </w:r>
          </w:p>
          <w:p w14:paraId="5B02869F" w14:textId="77777777" w:rsidR="00EB243D" w:rsidRPr="00154588" w:rsidRDefault="00EB243D" w:rsidP="008C12B4">
            <w:pPr>
              <w:jc w:val="both"/>
              <w:rPr>
                <w:sz w:val="20"/>
                <w:szCs w:val="20"/>
              </w:rPr>
            </w:pPr>
          </w:p>
          <w:p w14:paraId="39ECC4B9" w14:textId="386021EE" w:rsidR="00EB243D" w:rsidRPr="00154588" w:rsidRDefault="00EB243D" w:rsidP="008C12B4">
            <w:pPr>
              <w:jc w:val="both"/>
              <w:rPr>
                <w:sz w:val="20"/>
                <w:szCs w:val="20"/>
              </w:rPr>
            </w:pPr>
            <w:r w:rsidRPr="00154588">
              <w:rPr>
                <w:sz w:val="20"/>
                <w:szCs w:val="20"/>
              </w:rPr>
              <w:t>(a) exercitarea competențelor de rezoluție în legătură cu următoarele:</w:t>
            </w:r>
          </w:p>
          <w:p w14:paraId="4B43AD7F" w14:textId="77777777" w:rsidR="00EB243D" w:rsidRPr="00154588" w:rsidRDefault="00EB243D" w:rsidP="008C12B4">
            <w:pPr>
              <w:jc w:val="both"/>
              <w:rPr>
                <w:sz w:val="20"/>
                <w:szCs w:val="20"/>
              </w:rPr>
            </w:pPr>
          </w:p>
          <w:p w14:paraId="5228A494" w14:textId="4EB13DFF" w:rsidR="00EB243D" w:rsidRPr="00154588" w:rsidRDefault="00EB243D" w:rsidP="008C12B4">
            <w:pPr>
              <w:jc w:val="both"/>
              <w:rPr>
                <w:sz w:val="20"/>
                <w:szCs w:val="20"/>
              </w:rPr>
            </w:pPr>
            <w:r w:rsidRPr="00154588">
              <w:rPr>
                <w:sz w:val="20"/>
                <w:szCs w:val="20"/>
              </w:rPr>
              <w:t>(i) active ale unei instituții sau întreprinderi-mamă dintr-o țară terță care sunt situate în statul membru al autorității de rezoluție sau sunt reglementate de legislația acestuia;</w:t>
            </w:r>
          </w:p>
          <w:p w14:paraId="7C3EA9B0" w14:textId="77777777" w:rsidR="00EB243D" w:rsidRPr="00154588" w:rsidRDefault="00EB243D" w:rsidP="008C12B4">
            <w:pPr>
              <w:jc w:val="both"/>
              <w:rPr>
                <w:sz w:val="20"/>
                <w:szCs w:val="20"/>
              </w:rPr>
            </w:pPr>
          </w:p>
          <w:p w14:paraId="3738EC2B" w14:textId="2E5A0652" w:rsidR="00EB243D" w:rsidRPr="00154588" w:rsidRDefault="00EB243D" w:rsidP="008C12B4">
            <w:pPr>
              <w:jc w:val="both"/>
              <w:rPr>
                <w:sz w:val="20"/>
                <w:szCs w:val="20"/>
              </w:rPr>
            </w:pPr>
            <w:r w:rsidRPr="00154588">
              <w:rPr>
                <w:sz w:val="20"/>
                <w:szCs w:val="20"/>
              </w:rPr>
              <w:t xml:space="preserve">(ii) drepturi sau pasive ale unei instituții dintr-o țară terță care sunt înregistrate de sucursala din Uniune în statul membru al autorității de rezoluție sau sunt </w:t>
            </w:r>
            <w:r w:rsidRPr="00154588">
              <w:rPr>
                <w:sz w:val="20"/>
                <w:szCs w:val="20"/>
              </w:rPr>
              <w:lastRenderedPageBreak/>
              <w:t>reglementate de legislația acestuia ori pentru care există creanțe cu titlu executoriu privind astfel de drepturi sau pasive în statul membru al autorității de rezoluție;</w:t>
            </w:r>
          </w:p>
          <w:p w14:paraId="1DC9037E" w14:textId="77777777" w:rsidR="00EB243D" w:rsidRPr="00154588" w:rsidRDefault="00EB243D" w:rsidP="008C12B4">
            <w:pPr>
              <w:jc w:val="both"/>
              <w:rPr>
                <w:sz w:val="20"/>
                <w:szCs w:val="20"/>
              </w:rPr>
            </w:pPr>
          </w:p>
          <w:p w14:paraId="2DA39A52" w14:textId="0D4BC1E4" w:rsidR="00EB243D" w:rsidRPr="00154588" w:rsidRDefault="00EB243D" w:rsidP="008C12B4">
            <w:pPr>
              <w:jc w:val="both"/>
              <w:rPr>
                <w:sz w:val="20"/>
                <w:szCs w:val="20"/>
              </w:rPr>
            </w:pPr>
            <w:r w:rsidRPr="00154588">
              <w:rPr>
                <w:sz w:val="20"/>
                <w:szCs w:val="20"/>
              </w:rPr>
              <w:t>(b) efectuarea transferului de acțiuni sau instrumente de proprietate într-o filială din Uniune stabilită în statul membru de desemnare, inclusiv solicitând unei alte persoane să ia măsuri pentru efectuarea acestui transfer;</w:t>
            </w:r>
          </w:p>
          <w:p w14:paraId="7863F628" w14:textId="77777777" w:rsidR="00EB243D" w:rsidRPr="00154588" w:rsidRDefault="00EB243D" w:rsidP="008C12B4">
            <w:pPr>
              <w:jc w:val="both"/>
              <w:rPr>
                <w:sz w:val="20"/>
                <w:szCs w:val="20"/>
              </w:rPr>
            </w:pPr>
          </w:p>
          <w:p w14:paraId="1CFAAB5C" w14:textId="25035E77" w:rsidR="00EB243D" w:rsidRPr="00154588" w:rsidRDefault="00EB243D" w:rsidP="008C12B4">
            <w:pPr>
              <w:jc w:val="both"/>
              <w:rPr>
                <w:sz w:val="20"/>
                <w:szCs w:val="20"/>
              </w:rPr>
            </w:pPr>
            <w:r w:rsidRPr="00154588">
              <w:rPr>
                <w:sz w:val="20"/>
                <w:szCs w:val="20"/>
              </w:rPr>
              <w:t>(c) exercitarea competențelor prevăzute la articolul 69, 70 sau 71 în legătură cu drepturile oricărei părți dintr-un contract cu o entitate menționată la alineatul (2) din prezentul articol, atunci când aceste competențe sunt necesare pentru a executa proceduri de rezoluție din țări terțe; și</w:t>
            </w:r>
          </w:p>
          <w:p w14:paraId="578C9A53" w14:textId="77777777" w:rsidR="00EB243D" w:rsidRPr="00154588" w:rsidRDefault="00EB243D" w:rsidP="008C12B4">
            <w:pPr>
              <w:jc w:val="both"/>
              <w:rPr>
                <w:sz w:val="20"/>
                <w:szCs w:val="20"/>
              </w:rPr>
            </w:pPr>
          </w:p>
          <w:p w14:paraId="7C5BF58D" w14:textId="670762D5" w:rsidR="00EB243D" w:rsidRPr="00154588" w:rsidRDefault="00EB243D" w:rsidP="008C12B4">
            <w:pPr>
              <w:jc w:val="both"/>
              <w:rPr>
                <w:sz w:val="20"/>
                <w:szCs w:val="20"/>
              </w:rPr>
            </w:pPr>
            <w:r w:rsidRPr="00154588">
              <w:rPr>
                <w:sz w:val="20"/>
                <w:szCs w:val="20"/>
              </w:rPr>
              <w:t>(d) retragerea caracterului executoriu al oricărui drept contractual de a rezilia, lichida sau accelera contracte, de a aduce atingere drepturilor contractuale ale entităților menționate la alineatul (2) și ale altor entități din grup, în cazul în care un astfel de drept decurge din măsurile de rezoluție luate cu privire la instituția dintr-o țară terță, întreprinderiea-mamă a entităților respective sau la alte entități din grup, fie de autoritatea de rezoluție din țara terță, fie în temeiul cerințelor legale sau de reglementare privind mecanismele de rezoluție din țara respectivă, cu condiția să fie în continuare îndeplinite obligațiile materiale stabilite prin contract, inclusiv obligațiile de plată și de livrare și furnizarea de garanții.</w:t>
            </w:r>
          </w:p>
        </w:tc>
        <w:tc>
          <w:tcPr>
            <w:tcW w:w="4819" w:type="dxa"/>
          </w:tcPr>
          <w:p w14:paraId="43698691" w14:textId="263CCCAA" w:rsidR="00EB243D" w:rsidRPr="00154588" w:rsidRDefault="00EB243D" w:rsidP="008C12B4">
            <w:pPr>
              <w:ind w:firstLine="567"/>
              <w:jc w:val="both"/>
              <w:rPr>
                <w:sz w:val="20"/>
                <w:szCs w:val="20"/>
              </w:rPr>
            </w:pPr>
            <w:r w:rsidRPr="00154588">
              <w:rPr>
                <w:b/>
                <w:sz w:val="20"/>
                <w:szCs w:val="20"/>
              </w:rPr>
              <w:lastRenderedPageBreak/>
              <w:t xml:space="preserve">Articolul </w:t>
            </w:r>
            <w:r w:rsidR="0042303B" w:rsidRPr="00154588">
              <w:rPr>
                <w:b/>
                <w:sz w:val="20"/>
                <w:szCs w:val="20"/>
              </w:rPr>
              <w:t>325</w:t>
            </w:r>
            <w:r w:rsidRPr="00154588">
              <w:rPr>
                <w:b/>
                <w:sz w:val="20"/>
                <w:szCs w:val="20"/>
              </w:rPr>
              <w:t xml:space="preserve">. </w:t>
            </w:r>
            <w:r w:rsidRPr="00154588">
              <w:rPr>
                <w:sz w:val="20"/>
                <w:szCs w:val="20"/>
              </w:rPr>
              <w:t>(5) Banca Națională a Moldovei, în calitate de autoritate de rezoluție, este abilitată, cel puțin:</w:t>
            </w:r>
          </w:p>
          <w:p w14:paraId="425C4C1B" w14:textId="77777777" w:rsidR="00EB243D" w:rsidRPr="00154588" w:rsidRDefault="00EB243D" w:rsidP="008C12B4">
            <w:pPr>
              <w:ind w:firstLine="567"/>
              <w:jc w:val="both"/>
              <w:rPr>
                <w:sz w:val="20"/>
                <w:szCs w:val="20"/>
              </w:rPr>
            </w:pPr>
            <w:r w:rsidRPr="00154588">
              <w:rPr>
                <w:sz w:val="20"/>
                <w:szCs w:val="20"/>
              </w:rPr>
              <w:t>a) să-și exercite competențele de rezoluție în legătură cu:</w:t>
            </w:r>
          </w:p>
          <w:p w14:paraId="69E08312" w14:textId="77777777" w:rsidR="00EB243D" w:rsidRPr="00154588" w:rsidRDefault="00EB243D" w:rsidP="008C12B4">
            <w:pPr>
              <w:ind w:firstLine="567"/>
              <w:jc w:val="both"/>
              <w:rPr>
                <w:sz w:val="20"/>
                <w:szCs w:val="20"/>
              </w:rPr>
            </w:pPr>
            <w:r w:rsidRPr="00154588">
              <w:rPr>
                <w:sz w:val="20"/>
                <w:szCs w:val="20"/>
              </w:rPr>
              <w:t>(i)  activele unei instituții sau întreprinderi-mamă dintr-un stat terț care sunt situate în Republica Moldova sau care sunt reglementate de legislația din Republica Moldova;</w:t>
            </w:r>
          </w:p>
          <w:p w14:paraId="65112C84" w14:textId="77777777" w:rsidR="00EB243D" w:rsidRPr="00154588" w:rsidRDefault="00EB243D" w:rsidP="008C12B4">
            <w:pPr>
              <w:ind w:firstLine="567"/>
              <w:jc w:val="both"/>
              <w:rPr>
                <w:sz w:val="20"/>
                <w:szCs w:val="20"/>
              </w:rPr>
            </w:pPr>
            <w:r w:rsidRPr="00154588">
              <w:rPr>
                <w:sz w:val="20"/>
                <w:szCs w:val="20"/>
              </w:rPr>
              <w:t xml:space="preserve">(ii) drepturile sau obligațiile unei instituții dintr-un stat terț care sunt înregistrate de sucursala din Uniune în Republica Moldova, sau care sunt reglementate de legislația din Republica Moldova ori pentru care există creanțe care pot fi executate în </w:t>
            </w:r>
            <w:r w:rsidRPr="00154588">
              <w:rPr>
                <w:sz w:val="20"/>
                <w:szCs w:val="20"/>
              </w:rPr>
              <w:lastRenderedPageBreak/>
              <w:t>Republica Moldova privind astfel de drepturi sau obligații;</w:t>
            </w:r>
          </w:p>
          <w:p w14:paraId="5EE5C221" w14:textId="77777777" w:rsidR="00EB243D" w:rsidRPr="00154588" w:rsidRDefault="00EB243D" w:rsidP="008C12B4">
            <w:pPr>
              <w:ind w:firstLine="567"/>
              <w:jc w:val="both"/>
              <w:rPr>
                <w:sz w:val="20"/>
                <w:szCs w:val="20"/>
              </w:rPr>
            </w:pPr>
            <w:r w:rsidRPr="00154588">
              <w:rPr>
                <w:sz w:val="20"/>
                <w:szCs w:val="20"/>
              </w:rPr>
              <w:t>b) efectuarea transferului de acțiuni sau instrumente de proprietate într-o filială din Uniune stabilită în Republica Moldova, inclusiv solicitând unei alte persoane să întreprindă măsuri pentru efectuarea acestui transfer;</w:t>
            </w:r>
          </w:p>
          <w:p w14:paraId="2F5567B2" w14:textId="77777777" w:rsidR="00EB243D" w:rsidRPr="00154588" w:rsidRDefault="00EB243D" w:rsidP="008C12B4">
            <w:pPr>
              <w:ind w:firstLine="567"/>
              <w:jc w:val="both"/>
              <w:rPr>
                <w:sz w:val="20"/>
                <w:szCs w:val="20"/>
              </w:rPr>
            </w:pPr>
            <w:r w:rsidRPr="00154588">
              <w:rPr>
                <w:sz w:val="20"/>
                <w:szCs w:val="20"/>
              </w:rPr>
              <w:t>c) exercitarea competențelor prevăzute la art.246-249, 250-251, 252-258, în legătură cu drepturile oricărei părți dintr-un contract cu o entitate menționată la alin.(2) din prezentul articol, atunci când aceste competențe sunt necesare pentru a executa proceduri de rezoluție din statele terțe; și</w:t>
            </w:r>
          </w:p>
          <w:p w14:paraId="7A77ED3B" w14:textId="71DCD868" w:rsidR="00EB243D" w:rsidRPr="00154588" w:rsidRDefault="00EB243D" w:rsidP="008C12B4">
            <w:pPr>
              <w:ind w:firstLine="567"/>
              <w:jc w:val="both"/>
              <w:rPr>
                <w:sz w:val="20"/>
                <w:szCs w:val="20"/>
              </w:rPr>
            </w:pPr>
            <w:r w:rsidRPr="00154588">
              <w:rPr>
                <w:sz w:val="20"/>
                <w:szCs w:val="20"/>
              </w:rPr>
              <w:t>d) retragerea caracterului executoriu al oricărui drept contractual de a rezilia, lichida sau accelera contracte, de a aduce atingere drepturilor contractuale ale entităților menționate la alin.(2) și ale altor entități din grup, în cazul în care un astfel de drept decurge din acțiunile de rezoluție luate cu privire la instituția dintr-un stat terț, întreprinderea-mamă a entităților respective sau la alte entități din grup, fie de autoritatea de rezoluție dintr-un stat terț, fie în temeiul cerințelor legale sau de reglementare privind mecanismele de rezoluție din țara respectivă, cu condiția să fie în continuare îndeplinite obligațiile materiale stabilite prin contract, inclusiv obligațiile de plată și de livrare și furnizarea de garanții.</w:t>
            </w:r>
          </w:p>
          <w:p w14:paraId="58DCB42C" w14:textId="77777777" w:rsidR="00EB243D" w:rsidRPr="00154588" w:rsidRDefault="00EB243D" w:rsidP="008C12B4">
            <w:pPr>
              <w:jc w:val="both"/>
              <w:rPr>
                <w:sz w:val="20"/>
                <w:szCs w:val="20"/>
              </w:rPr>
            </w:pPr>
          </w:p>
        </w:tc>
        <w:tc>
          <w:tcPr>
            <w:tcW w:w="2552" w:type="dxa"/>
          </w:tcPr>
          <w:p w14:paraId="55C855FB" w14:textId="7E199E86" w:rsidR="00EB243D" w:rsidRPr="00154588" w:rsidRDefault="00EB243D" w:rsidP="008C12B4">
            <w:pPr>
              <w:jc w:val="both"/>
              <w:rPr>
                <w:sz w:val="20"/>
                <w:szCs w:val="20"/>
              </w:rPr>
            </w:pPr>
            <w:r w:rsidRPr="00154588">
              <w:rPr>
                <w:sz w:val="20"/>
                <w:szCs w:val="20"/>
              </w:rPr>
              <w:lastRenderedPageBreak/>
              <w:t>Compatibil</w:t>
            </w:r>
          </w:p>
        </w:tc>
        <w:tc>
          <w:tcPr>
            <w:tcW w:w="3118" w:type="dxa"/>
          </w:tcPr>
          <w:p w14:paraId="0197527B" w14:textId="77777777" w:rsidR="00EB243D" w:rsidRPr="00154588" w:rsidRDefault="00EB243D" w:rsidP="008C12B4">
            <w:pPr>
              <w:jc w:val="both"/>
              <w:rPr>
                <w:sz w:val="20"/>
                <w:szCs w:val="20"/>
              </w:rPr>
            </w:pPr>
          </w:p>
        </w:tc>
      </w:tr>
      <w:tr w:rsidR="00EB243D" w:rsidRPr="00154588" w14:paraId="34DFBCD7" w14:textId="77777777" w:rsidTr="00D15C1B">
        <w:trPr>
          <w:jc w:val="center"/>
        </w:trPr>
        <w:tc>
          <w:tcPr>
            <w:tcW w:w="4957" w:type="dxa"/>
            <w:gridSpan w:val="2"/>
          </w:tcPr>
          <w:p w14:paraId="6FF903D4" w14:textId="745256D5" w:rsidR="00EB243D" w:rsidRPr="00154588" w:rsidRDefault="00EB243D" w:rsidP="008C12B4">
            <w:pPr>
              <w:jc w:val="both"/>
              <w:rPr>
                <w:sz w:val="20"/>
                <w:szCs w:val="20"/>
              </w:rPr>
            </w:pPr>
            <w:r w:rsidRPr="00154588">
              <w:rPr>
                <w:sz w:val="20"/>
                <w:szCs w:val="20"/>
              </w:rPr>
              <w:t>(5)   Autoritățile de rezoluție pot lua, pentru a apăra interesele publice dupa caz, măsuri de rezoluție cu privire la o întreprindere-mamă în cazul în care autoritatea competentă din țara terță relevantă stabilește că o instituție care este înregistrată în țara terță respectivă sa îndeplinește condițiile pentru declanșarea procedurii de rezoluție în conformitate cu legislația țării terțe respective. În acest scop, statele membre se asigură că autoritățile de rezoluție au competența de a utiliza orice competențe în materie de rezoluție cu privire la respectiva întreprindere-mamă și se aplică articolul 68.</w:t>
            </w:r>
          </w:p>
        </w:tc>
        <w:tc>
          <w:tcPr>
            <w:tcW w:w="4819" w:type="dxa"/>
          </w:tcPr>
          <w:p w14:paraId="6B98E031" w14:textId="05845F57" w:rsidR="00EB243D" w:rsidRPr="00154588" w:rsidRDefault="00EB243D" w:rsidP="008C12B4">
            <w:pPr>
              <w:ind w:firstLine="567"/>
              <w:jc w:val="both"/>
              <w:rPr>
                <w:sz w:val="20"/>
                <w:szCs w:val="20"/>
              </w:rPr>
            </w:pPr>
            <w:r w:rsidRPr="00154588">
              <w:rPr>
                <w:b/>
                <w:sz w:val="20"/>
                <w:szCs w:val="20"/>
              </w:rPr>
              <w:t xml:space="preserve">Articolul </w:t>
            </w:r>
            <w:r w:rsidR="0042303B" w:rsidRPr="00154588">
              <w:rPr>
                <w:b/>
                <w:sz w:val="20"/>
                <w:szCs w:val="20"/>
              </w:rPr>
              <w:t>325</w:t>
            </w:r>
            <w:r w:rsidRPr="00154588">
              <w:rPr>
                <w:b/>
                <w:sz w:val="20"/>
                <w:szCs w:val="20"/>
              </w:rPr>
              <w:t xml:space="preserve">. </w:t>
            </w:r>
            <w:r w:rsidRPr="00154588">
              <w:rPr>
                <w:sz w:val="20"/>
                <w:szCs w:val="20"/>
              </w:rPr>
              <w:t xml:space="preserve">(6) Banca Națională a Moldovei, în calitate de autoritate de rezoluție, poate întreprinde, atunci când este necesar în interesul public, acțiuni de rezoluție cu privire la o întreprindere-mamă din Republica Moldova în cazul în care autoritatea relevantă din statul terț stabilește că o instituție care este înregistrată în statul terț respectiv îndeplinește condițiile pentru declanșarea procedurii de rezoluție în conformitate cu legislația statului terț respectiv. În acest scop, Banca Națională a Moldovei, în calitate de autoritate de rezoluție, este împuternicită să utilizeze orice competențe în materie de rezoluție cu privire la </w:t>
            </w:r>
            <w:r w:rsidRPr="00154588">
              <w:rPr>
                <w:sz w:val="20"/>
                <w:szCs w:val="20"/>
              </w:rPr>
              <w:lastRenderedPageBreak/>
              <w:t>respectiva întreprindere-mamă din Republica Moldova, și se aplică art.241-245</w:t>
            </w:r>
            <w:r w:rsidRPr="00154588">
              <w:rPr>
                <w:sz w:val="20"/>
                <w:szCs w:val="20"/>
                <w:vertAlign w:val="superscript"/>
              </w:rPr>
              <w:t>1</w:t>
            </w:r>
            <w:r w:rsidRPr="00154588">
              <w:rPr>
                <w:sz w:val="20"/>
                <w:szCs w:val="20"/>
              </w:rPr>
              <w:t>.</w:t>
            </w:r>
          </w:p>
          <w:p w14:paraId="1CF551D1" w14:textId="77777777" w:rsidR="00EB243D" w:rsidRPr="00154588" w:rsidRDefault="00EB243D" w:rsidP="008C12B4">
            <w:pPr>
              <w:jc w:val="both"/>
              <w:rPr>
                <w:sz w:val="20"/>
                <w:szCs w:val="20"/>
              </w:rPr>
            </w:pPr>
          </w:p>
        </w:tc>
        <w:tc>
          <w:tcPr>
            <w:tcW w:w="2552" w:type="dxa"/>
          </w:tcPr>
          <w:p w14:paraId="4D4433F1" w14:textId="37E3794F" w:rsidR="00EB243D" w:rsidRPr="00154588" w:rsidRDefault="00EB243D" w:rsidP="008C12B4">
            <w:pPr>
              <w:jc w:val="both"/>
              <w:rPr>
                <w:sz w:val="20"/>
                <w:szCs w:val="20"/>
              </w:rPr>
            </w:pPr>
            <w:r w:rsidRPr="00154588">
              <w:rPr>
                <w:sz w:val="20"/>
                <w:szCs w:val="20"/>
              </w:rPr>
              <w:lastRenderedPageBreak/>
              <w:t>Compatibil</w:t>
            </w:r>
          </w:p>
        </w:tc>
        <w:tc>
          <w:tcPr>
            <w:tcW w:w="3118" w:type="dxa"/>
          </w:tcPr>
          <w:p w14:paraId="4C89752C" w14:textId="77777777" w:rsidR="00EB243D" w:rsidRPr="00154588" w:rsidRDefault="00EB243D" w:rsidP="008C12B4">
            <w:pPr>
              <w:jc w:val="both"/>
              <w:rPr>
                <w:sz w:val="20"/>
                <w:szCs w:val="20"/>
              </w:rPr>
            </w:pPr>
          </w:p>
        </w:tc>
      </w:tr>
      <w:tr w:rsidR="00EB243D" w:rsidRPr="00154588" w14:paraId="4FA9E66F" w14:textId="77777777" w:rsidTr="00D15C1B">
        <w:trPr>
          <w:jc w:val="center"/>
        </w:trPr>
        <w:tc>
          <w:tcPr>
            <w:tcW w:w="4957" w:type="dxa"/>
            <w:gridSpan w:val="2"/>
          </w:tcPr>
          <w:p w14:paraId="75B54A2B" w14:textId="6E4231F3" w:rsidR="00EB243D" w:rsidRPr="00154588" w:rsidRDefault="00EB243D" w:rsidP="008C12B4">
            <w:pPr>
              <w:jc w:val="both"/>
              <w:rPr>
                <w:sz w:val="20"/>
                <w:szCs w:val="20"/>
              </w:rPr>
            </w:pPr>
            <w:r w:rsidRPr="00154588">
              <w:rPr>
                <w:sz w:val="20"/>
                <w:szCs w:val="20"/>
              </w:rPr>
              <w:t>(6)   Recunoașterea și executarea procedurilor de rezoluție din țări terțe nu aduc atingere procedurilor obișnuite de insolvență în temeiul dreptului intern care sunt aplicabile, după caz, în conformitate cu prezenta directivă.</w:t>
            </w:r>
          </w:p>
        </w:tc>
        <w:tc>
          <w:tcPr>
            <w:tcW w:w="4819" w:type="dxa"/>
          </w:tcPr>
          <w:p w14:paraId="5E3FADB5" w14:textId="424A4E51" w:rsidR="00EB243D" w:rsidRPr="00154588" w:rsidRDefault="00EB243D" w:rsidP="008C12B4">
            <w:pPr>
              <w:ind w:firstLine="567"/>
              <w:jc w:val="both"/>
              <w:rPr>
                <w:sz w:val="20"/>
                <w:szCs w:val="20"/>
              </w:rPr>
            </w:pPr>
            <w:r w:rsidRPr="00154588">
              <w:rPr>
                <w:b/>
                <w:sz w:val="20"/>
                <w:szCs w:val="20"/>
              </w:rPr>
              <w:t xml:space="preserve">Articolul </w:t>
            </w:r>
            <w:r w:rsidR="0042303B" w:rsidRPr="00154588">
              <w:rPr>
                <w:b/>
                <w:sz w:val="20"/>
                <w:szCs w:val="20"/>
              </w:rPr>
              <w:t>325</w:t>
            </w:r>
            <w:r w:rsidRPr="00154588">
              <w:rPr>
                <w:b/>
                <w:sz w:val="20"/>
                <w:szCs w:val="20"/>
              </w:rPr>
              <w:t xml:space="preserve">. </w:t>
            </w:r>
            <w:r w:rsidRPr="00154588">
              <w:rPr>
                <w:sz w:val="20"/>
                <w:szCs w:val="20"/>
              </w:rPr>
              <w:t>(7) Recunoașterea și executarea procedurilor de rezoluție din state terțe nu aduc atingere procedurilor obișnuite de insolvabilitate derulate în temeiul legislației naționale aplicabile, după caz, în conformitate cu prezenta lege.</w:t>
            </w:r>
          </w:p>
          <w:p w14:paraId="4CAB1B05" w14:textId="77777777" w:rsidR="00EB243D" w:rsidRPr="00154588" w:rsidRDefault="00EB243D" w:rsidP="008C12B4">
            <w:pPr>
              <w:jc w:val="both"/>
              <w:rPr>
                <w:sz w:val="20"/>
                <w:szCs w:val="20"/>
              </w:rPr>
            </w:pPr>
          </w:p>
        </w:tc>
        <w:tc>
          <w:tcPr>
            <w:tcW w:w="2552" w:type="dxa"/>
          </w:tcPr>
          <w:p w14:paraId="1F195AF0" w14:textId="2CB1A4A4" w:rsidR="00EB243D" w:rsidRPr="00154588" w:rsidRDefault="00EB243D" w:rsidP="008C12B4">
            <w:pPr>
              <w:jc w:val="both"/>
              <w:rPr>
                <w:sz w:val="20"/>
                <w:szCs w:val="20"/>
              </w:rPr>
            </w:pPr>
            <w:r w:rsidRPr="00154588">
              <w:rPr>
                <w:sz w:val="20"/>
                <w:szCs w:val="20"/>
              </w:rPr>
              <w:t>Compatibil</w:t>
            </w:r>
          </w:p>
        </w:tc>
        <w:tc>
          <w:tcPr>
            <w:tcW w:w="3118" w:type="dxa"/>
          </w:tcPr>
          <w:p w14:paraId="2AC264D5" w14:textId="77777777" w:rsidR="00EB243D" w:rsidRPr="00154588" w:rsidRDefault="00EB243D" w:rsidP="008C12B4">
            <w:pPr>
              <w:jc w:val="both"/>
              <w:rPr>
                <w:sz w:val="20"/>
                <w:szCs w:val="20"/>
              </w:rPr>
            </w:pPr>
          </w:p>
        </w:tc>
      </w:tr>
      <w:tr w:rsidR="00EB243D" w:rsidRPr="00154588" w14:paraId="38C9BA71" w14:textId="77777777" w:rsidTr="00D15C1B">
        <w:trPr>
          <w:jc w:val="center"/>
        </w:trPr>
        <w:tc>
          <w:tcPr>
            <w:tcW w:w="4957" w:type="dxa"/>
            <w:gridSpan w:val="2"/>
          </w:tcPr>
          <w:p w14:paraId="391CD1D5" w14:textId="77777777" w:rsidR="00EB243D" w:rsidRPr="00154588" w:rsidRDefault="00EB243D" w:rsidP="008C12B4">
            <w:pPr>
              <w:jc w:val="both"/>
              <w:rPr>
                <w:b/>
                <w:sz w:val="20"/>
                <w:szCs w:val="20"/>
              </w:rPr>
            </w:pPr>
            <w:r w:rsidRPr="00154588">
              <w:rPr>
                <w:b/>
                <w:sz w:val="20"/>
                <w:szCs w:val="20"/>
              </w:rPr>
              <w:t>Articolul 95</w:t>
            </w:r>
          </w:p>
          <w:p w14:paraId="21AAB4D8" w14:textId="77777777" w:rsidR="00EB243D" w:rsidRPr="00154588" w:rsidRDefault="00EB243D" w:rsidP="008C12B4">
            <w:pPr>
              <w:jc w:val="both"/>
              <w:rPr>
                <w:b/>
                <w:sz w:val="20"/>
                <w:szCs w:val="20"/>
              </w:rPr>
            </w:pPr>
          </w:p>
          <w:p w14:paraId="284A8040" w14:textId="77777777" w:rsidR="00EB243D" w:rsidRPr="00154588" w:rsidRDefault="00EB243D" w:rsidP="008C12B4">
            <w:pPr>
              <w:jc w:val="both"/>
              <w:rPr>
                <w:b/>
                <w:sz w:val="20"/>
                <w:szCs w:val="20"/>
              </w:rPr>
            </w:pPr>
          </w:p>
          <w:p w14:paraId="363CEA14" w14:textId="2CE87B7E" w:rsidR="00EB243D" w:rsidRPr="00154588" w:rsidRDefault="00EB243D" w:rsidP="008C12B4">
            <w:pPr>
              <w:jc w:val="both"/>
              <w:rPr>
                <w:sz w:val="20"/>
                <w:szCs w:val="20"/>
              </w:rPr>
            </w:pPr>
            <w:r w:rsidRPr="00154588">
              <w:rPr>
                <w:b/>
                <w:sz w:val="20"/>
                <w:szCs w:val="20"/>
              </w:rPr>
              <w:t>Dreptul de a refuza recunoașterea sau executarea procedurilor de rezoluție din țări terțe</w:t>
            </w:r>
          </w:p>
        </w:tc>
        <w:tc>
          <w:tcPr>
            <w:tcW w:w="4819" w:type="dxa"/>
          </w:tcPr>
          <w:p w14:paraId="6F846222" w14:textId="77777777" w:rsidR="00EB243D" w:rsidRPr="00154588" w:rsidRDefault="00EB243D" w:rsidP="008C12B4">
            <w:pPr>
              <w:jc w:val="both"/>
              <w:rPr>
                <w:sz w:val="20"/>
                <w:szCs w:val="20"/>
              </w:rPr>
            </w:pPr>
          </w:p>
        </w:tc>
        <w:tc>
          <w:tcPr>
            <w:tcW w:w="2552" w:type="dxa"/>
          </w:tcPr>
          <w:p w14:paraId="0614AB6D" w14:textId="77777777" w:rsidR="00EB243D" w:rsidRPr="00154588" w:rsidRDefault="00EB243D" w:rsidP="008C12B4">
            <w:pPr>
              <w:jc w:val="both"/>
              <w:rPr>
                <w:sz w:val="20"/>
                <w:szCs w:val="20"/>
              </w:rPr>
            </w:pPr>
          </w:p>
        </w:tc>
        <w:tc>
          <w:tcPr>
            <w:tcW w:w="3118" w:type="dxa"/>
          </w:tcPr>
          <w:p w14:paraId="62013A21" w14:textId="77777777" w:rsidR="00EB243D" w:rsidRPr="00154588" w:rsidRDefault="00EB243D" w:rsidP="008C12B4">
            <w:pPr>
              <w:jc w:val="both"/>
              <w:rPr>
                <w:sz w:val="20"/>
                <w:szCs w:val="20"/>
              </w:rPr>
            </w:pPr>
          </w:p>
        </w:tc>
      </w:tr>
      <w:tr w:rsidR="00EB243D" w:rsidRPr="00154588" w14:paraId="5B83AD37" w14:textId="77777777" w:rsidTr="00D15C1B">
        <w:trPr>
          <w:jc w:val="center"/>
        </w:trPr>
        <w:tc>
          <w:tcPr>
            <w:tcW w:w="4957" w:type="dxa"/>
            <w:gridSpan w:val="2"/>
          </w:tcPr>
          <w:p w14:paraId="63A33155" w14:textId="77777777" w:rsidR="00EB243D" w:rsidRPr="00154588" w:rsidRDefault="00EB243D" w:rsidP="008C12B4">
            <w:pPr>
              <w:jc w:val="both"/>
              <w:rPr>
                <w:sz w:val="20"/>
                <w:szCs w:val="20"/>
              </w:rPr>
            </w:pPr>
            <w:r w:rsidRPr="00154588">
              <w:rPr>
                <w:sz w:val="20"/>
                <w:szCs w:val="20"/>
              </w:rPr>
              <w:t>După consultarea altor autorități de rezoluție, în cazul în care un colegiu de rezoluție european este stabilit prin articolul 89, autoritatea de rezoluție poate refuza recunoașterea sau executarea procedurilor de rezoluție din țări terțe în conformitate cu articolul 94 alineatul (2), în cazul în care consideră:</w:t>
            </w:r>
          </w:p>
          <w:p w14:paraId="06A86465" w14:textId="77777777" w:rsidR="00EB243D" w:rsidRPr="00154588" w:rsidRDefault="00EB243D" w:rsidP="008C12B4">
            <w:pPr>
              <w:jc w:val="both"/>
              <w:rPr>
                <w:sz w:val="20"/>
                <w:szCs w:val="20"/>
              </w:rPr>
            </w:pPr>
          </w:p>
          <w:p w14:paraId="406B695C" w14:textId="31442E47" w:rsidR="00EB243D" w:rsidRPr="00154588" w:rsidRDefault="00EB243D" w:rsidP="008C12B4">
            <w:pPr>
              <w:jc w:val="both"/>
              <w:rPr>
                <w:sz w:val="20"/>
                <w:szCs w:val="20"/>
              </w:rPr>
            </w:pPr>
            <w:r w:rsidRPr="00154588">
              <w:rPr>
                <w:sz w:val="20"/>
                <w:szCs w:val="20"/>
              </w:rPr>
              <w:t>(a) că procedurile de rezoluție din țara terță ar avea efecte negative asupra stabilității financiare din statul membru în care își are sediul autoritatea de rezoluție sau că procedurile respective ar avea efecte negative asupra stabilității financiare din alte state membre;</w:t>
            </w:r>
          </w:p>
          <w:p w14:paraId="73B5C004" w14:textId="77777777" w:rsidR="00EB243D" w:rsidRPr="00154588" w:rsidRDefault="00EB243D" w:rsidP="008C12B4">
            <w:pPr>
              <w:jc w:val="both"/>
              <w:rPr>
                <w:sz w:val="20"/>
                <w:szCs w:val="20"/>
              </w:rPr>
            </w:pPr>
          </w:p>
          <w:p w14:paraId="30439272" w14:textId="77777777" w:rsidR="00EB243D" w:rsidRPr="00154588" w:rsidRDefault="00EB243D" w:rsidP="008C12B4">
            <w:pPr>
              <w:jc w:val="both"/>
              <w:rPr>
                <w:sz w:val="20"/>
                <w:szCs w:val="20"/>
              </w:rPr>
            </w:pPr>
          </w:p>
          <w:p w14:paraId="3B23C082" w14:textId="456AE79C" w:rsidR="00EB243D" w:rsidRPr="00154588" w:rsidRDefault="00EB243D" w:rsidP="008C12B4">
            <w:pPr>
              <w:jc w:val="both"/>
              <w:rPr>
                <w:sz w:val="20"/>
                <w:szCs w:val="20"/>
              </w:rPr>
            </w:pPr>
            <w:r w:rsidRPr="00154588">
              <w:rPr>
                <w:sz w:val="20"/>
                <w:szCs w:val="20"/>
              </w:rPr>
              <w:t>(b) că pentru realizarea unuia sau mai multora dintre obiectivele rezoluției este necesară luarea unei măsuri de rezoluție independente în conformitate cu articolul 96 în raport cu o sucursală din Uniune;</w:t>
            </w:r>
          </w:p>
          <w:p w14:paraId="659D069A" w14:textId="77777777" w:rsidR="00EB243D" w:rsidRPr="00154588" w:rsidRDefault="00EB243D" w:rsidP="008C12B4">
            <w:pPr>
              <w:jc w:val="both"/>
              <w:rPr>
                <w:sz w:val="20"/>
                <w:szCs w:val="20"/>
              </w:rPr>
            </w:pPr>
          </w:p>
          <w:p w14:paraId="0050CF54" w14:textId="4211F182" w:rsidR="00EB243D" w:rsidRPr="00154588" w:rsidRDefault="00EB243D" w:rsidP="008C12B4">
            <w:pPr>
              <w:jc w:val="both"/>
              <w:rPr>
                <w:sz w:val="20"/>
                <w:szCs w:val="20"/>
              </w:rPr>
            </w:pPr>
            <w:r w:rsidRPr="00154588">
              <w:rPr>
                <w:sz w:val="20"/>
                <w:szCs w:val="20"/>
              </w:rPr>
              <w:t>(c) creditorii, inclusiv în special deponenții localizați sau care trebuie plătiți într-un stat membru ar beneficia de același tratament ca cel al creditorilor din țara terță și deponenții cu drepturi legale similare conform procedurii de rezoluție din țara terță de origine.</w:t>
            </w:r>
          </w:p>
          <w:p w14:paraId="372E75CD" w14:textId="77777777" w:rsidR="00EB243D" w:rsidRPr="00154588" w:rsidRDefault="00EB243D" w:rsidP="008C12B4">
            <w:pPr>
              <w:jc w:val="both"/>
              <w:rPr>
                <w:sz w:val="20"/>
                <w:szCs w:val="20"/>
              </w:rPr>
            </w:pPr>
          </w:p>
          <w:p w14:paraId="58B68F2F" w14:textId="7B6A8F8C" w:rsidR="00EB243D" w:rsidRPr="00154588" w:rsidRDefault="00EB243D" w:rsidP="008C12B4">
            <w:pPr>
              <w:jc w:val="both"/>
              <w:rPr>
                <w:sz w:val="20"/>
                <w:szCs w:val="20"/>
              </w:rPr>
            </w:pPr>
            <w:r w:rsidRPr="00154588">
              <w:rPr>
                <w:sz w:val="20"/>
                <w:szCs w:val="20"/>
              </w:rPr>
              <w:t>(d) că recunoașterea sau executarea procedurii de rezoluție din țara terță ar avea implicații fiscale semnificative pentru statul membru; sau</w:t>
            </w:r>
          </w:p>
          <w:p w14:paraId="6E9FF043" w14:textId="77777777" w:rsidR="00EB243D" w:rsidRPr="00154588" w:rsidRDefault="00EB243D" w:rsidP="008C12B4">
            <w:pPr>
              <w:jc w:val="both"/>
              <w:rPr>
                <w:sz w:val="20"/>
                <w:szCs w:val="20"/>
              </w:rPr>
            </w:pPr>
          </w:p>
          <w:p w14:paraId="4C00B7C0" w14:textId="77777777" w:rsidR="00EB243D" w:rsidRPr="00154588" w:rsidRDefault="00EB243D" w:rsidP="008C12B4">
            <w:pPr>
              <w:jc w:val="both"/>
              <w:rPr>
                <w:sz w:val="20"/>
                <w:szCs w:val="20"/>
              </w:rPr>
            </w:pPr>
          </w:p>
          <w:p w14:paraId="733AE646" w14:textId="7DBDF4F0" w:rsidR="00EB243D" w:rsidRPr="00154588" w:rsidRDefault="00EB243D" w:rsidP="008C12B4">
            <w:pPr>
              <w:jc w:val="both"/>
              <w:rPr>
                <w:sz w:val="20"/>
                <w:szCs w:val="20"/>
              </w:rPr>
            </w:pPr>
            <w:r w:rsidRPr="00154588">
              <w:rPr>
                <w:sz w:val="20"/>
                <w:szCs w:val="20"/>
              </w:rPr>
              <w:lastRenderedPageBreak/>
              <w:t>(e) că efectele unei asemenea recunoașteri sau executări ar contraveni dreptului intern.</w:t>
            </w:r>
          </w:p>
        </w:tc>
        <w:tc>
          <w:tcPr>
            <w:tcW w:w="4819" w:type="dxa"/>
          </w:tcPr>
          <w:p w14:paraId="061A60B6" w14:textId="445DF597" w:rsidR="00EB243D" w:rsidRPr="00154588" w:rsidRDefault="00EB243D" w:rsidP="008C12B4">
            <w:pPr>
              <w:ind w:firstLine="567"/>
              <w:jc w:val="both"/>
              <w:rPr>
                <w:sz w:val="20"/>
                <w:szCs w:val="20"/>
              </w:rPr>
            </w:pPr>
            <w:r w:rsidRPr="00154588">
              <w:rPr>
                <w:b/>
                <w:sz w:val="20"/>
                <w:szCs w:val="20"/>
              </w:rPr>
              <w:lastRenderedPageBreak/>
              <w:t xml:space="preserve">Articolul </w:t>
            </w:r>
            <w:r w:rsidR="0042303B" w:rsidRPr="00154588">
              <w:rPr>
                <w:b/>
                <w:sz w:val="20"/>
                <w:szCs w:val="20"/>
              </w:rPr>
              <w:t>326</w:t>
            </w:r>
            <w:r w:rsidRPr="00154588">
              <w:rPr>
                <w:b/>
                <w:sz w:val="20"/>
                <w:szCs w:val="20"/>
              </w:rPr>
              <w:t>. -</w:t>
            </w:r>
            <w:r w:rsidRPr="00154588">
              <w:rPr>
                <w:sz w:val="20"/>
                <w:szCs w:val="20"/>
              </w:rPr>
              <w:t xml:space="preserve"> După consultarea altor autorități de rezoluție, în cazul în care s-a instituit un colegiu de rezoluție european în condițiile prevăzute la art.295</w:t>
            </w:r>
            <w:r w:rsidRPr="00154588">
              <w:rPr>
                <w:sz w:val="20"/>
                <w:szCs w:val="20"/>
                <w:vertAlign w:val="superscript"/>
              </w:rPr>
              <w:t>8</w:t>
            </w:r>
            <w:r w:rsidRPr="00154588">
              <w:rPr>
                <w:sz w:val="20"/>
                <w:szCs w:val="20"/>
              </w:rPr>
              <w:t>-295</w:t>
            </w:r>
            <w:r w:rsidRPr="00154588">
              <w:rPr>
                <w:sz w:val="20"/>
                <w:szCs w:val="20"/>
                <w:vertAlign w:val="superscript"/>
              </w:rPr>
              <w:t>12</w:t>
            </w:r>
            <w:r w:rsidRPr="00154588">
              <w:rPr>
                <w:sz w:val="20"/>
                <w:szCs w:val="20"/>
              </w:rPr>
              <w:t>, Banca Națională a Moldovei, în calitatea de autoritate de rezoluție, poate refuza recunoașterea sau executarea procedurilor de rezoluție din state terțe prevăzute de art.</w:t>
            </w:r>
            <w:r w:rsidR="0042303B" w:rsidRPr="00154588">
              <w:rPr>
                <w:sz w:val="20"/>
                <w:szCs w:val="20"/>
              </w:rPr>
              <w:t xml:space="preserve">325 </w:t>
            </w:r>
            <w:r w:rsidRPr="00154588">
              <w:rPr>
                <w:sz w:val="20"/>
                <w:szCs w:val="20"/>
              </w:rPr>
              <w:t>alin.(1), în cazul în care consideră:</w:t>
            </w:r>
          </w:p>
          <w:p w14:paraId="3CFCD326" w14:textId="77777777" w:rsidR="00EB243D" w:rsidRPr="00154588" w:rsidRDefault="00EB243D" w:rsidP="008C12B4">
            <w:pPr>
              <w:ind w:firstLine="567"/>
              <w:jc w:val="both"/>
              <w:rPr>
                <w:sz w:val="20"/>
                <w:szCs w:val="20"/>
              </w:rPr>
            </w:pPr>
            <w:r w:rsidRPr="00154588">
              <w:rPr>
                <w:sz w:val="20"/>
                <w:szCs w:val="20"/>
              </w:rPr>
              <w:t>a) că procedurile de rezoluție din statul terț ar avea efecte negative asupra stabilității financiare din Republica Moldova sau că procedurile respective ar avea efecte negative asupra stabilității financiare a unui alt stat membru;</w:t>
            </w:r>
          </w:p>
          <w:p w14:paraId="4A3D3903" w14:textId="63A36A89" w:rsidR="00EB243D" w:rsidRPr="00154588" w:rsidRDefault="00EB243D" w:rsidP="008C12B4">
            <w:pPr>
              <w:ind w:firstLine="567"/>
              <w:jc w:val="both"/>
              <w:rPr>
                <w:sz w:val="20"/>
                <w:szCs w:val="20"/>
              </w:rPr>
            </w:pPr>
            <w:r w:rsidRPr="00154588">
              <w:rPr>
                <w:sz w:val="20"/>
                <w:szCs w:val="20"/>
              </w:rPr>
              <w:t>b) că pentru realizarea unuia sau mai multora dintre obiectivele rezoluției este necesară întreprinderea unei acțiuni de rezoluție independente în conformitate cu prevederile art.</w:t>
            </w:r>
            <w:r w:rsidR="0042303B" w:rsidRPr="00154588">
              <w:rPr>
                <w:sz w:val="20"/>
                <w:szCs w:val="20"/>
              </w:rPr>
              <w:t>327 </w:t>
            </w:r>
            <w:r w:rsidRPr="00154588">
              <w:rPr>
                <w:sz w:val="20"/>
                <w:szCs w:val="20"/>
              </w:rPr>
              <w:t>în legătură cu o sucursală în Republica Moldova;</w:t>
            </w:r>
          </w:p>
          <w:p w14:paraId="29C10A9F" w14:textId="77777777" w:rsidR="00EB243D" w:rsidRPr="00154588" w:rsidRDefault="00EB243D" w:rsidP="008C12B4">
            <w:pPr>
              <w:ind w:firstLine="567"/>
              <w:jc w:val="both"/>
              <w:rPr>
                <w:sz w:val="20"/>
                <w:szCs w:val="20"/>
              </w:rPr>
            </w:pPr>
            <w:r w:rsidRPr="00154588">
              <w:rPr>
                <w:sz w:val="20"/>
                <w:szCs w:val="20"/>
              </w:rPr>
              <w:t>c) creditorii, inclusiv în special deponenții localizați sau care trebuie plătiți într-un stat membru, nu ar beneficia de același tratament ca cel al creditorilor din statul terț și deponenții cu drepturi legale similare conform procedurii de rezoluție din statul terț de origine.</w:t>
            </w:r>
          </w:p>
          <w:p w14:paraId="6DC14A21" w14:textId="77777777" w:rsidR="00EB243D" w:rsidRPr="00154588" w:rsidRDefault="00EB243D" w:rsidP="008C12B4">
            <w:pPr>
              <w:ind w:firstLine="567"/>
              <w:jc w:val="both"/>
              <w:rPr>
                <w:sz w:val="20"/>
                <w:szCs w:val="20"/>
              </w:rPr>
            </w:pPr>
            <w:r w:rsidRPr="00154588">
              <w:rPr>
                <w:sz w:val="20"/>
                <w:szCs w:val="20"/>
              </w:rPr>
              <w:t> d) că, după consultarea cu Ministerul Finanțelor, în calitate de minister competent, recunoașterea sau executarea procedurii de rezoluție din statul terț ar avea implicații fiscale semnificative pentru Republica Moldova; sau</w:t>
            </w:r>
          </w:p>
          <w:p w14:paraId="2B45C20F" w14:textId="77777777" w:rsidR="00EB243D" w:rsidRPr="00154588" w:rsidRDefault="00EB243D" w:rsidP="008C12B4">
            <w:pPr>
              <w:ind w:firstLine="567"/>
              <w:jc w:val="both"/>
              <w:rPr>
                <w:sz w:val="20"/>
                <w:szCs w:val="20"/>
              </w:rPr>
            </w:pPr>
            <w:r w:rsidRPr="00154588">
              <w:rPr>
                <w:sz w:val="20"/>
                <w:szCs w:val="20"/>
              </w:rPr>
              <w:lastRenderedPageBreak/>
              <w:t>e) că efectele unei asemenea recunoașteri sau executări ar contraveni legislației naționale aplicabile.</w:t>
            </w:r>
          </w:p>
          <w:p w14:paraId="7E3118A1" w14:textId="77777777" w:rsidR="00EB243D" w:rsidRPr="00154588" w:rsidRDefault="00EB243D" w:rsidP="008C12B4">
            <w:pPr>
              <w:jc w:val="both"/>
              <w:rPr>
                <w:sz w:val="20"/>
                <w:szCs w:val="20"/>
              </w:rPr>
            </w:pPr>
          </w:p>
        </w:tc>
        <w:tc>
          <w:tcPr>
            <w:tcW w:w="2552" w:type="dxa"/>
          </w:tcPr>
          <w:p w14:paraId="35D2EE2F" w14:textId="3605F25C" w:rsidR="00EB243D" w:rsidRPr="00154588" w:rsidRDefault="00EB243D" w:rsidP="008C12B4">
            <w:pPr>
              <w:jc w:val="both"/>
              <w:rPr>
                <w:sz w:val="20"/>
                <w:szCs w:val="20"/>
              </w:rPr>
            </w:pPr>
            <w:r w:rsidRPr="00154588">
              <w:rPr>
                <w:sz w:val="20"/>
                <w:szCs w:val="20"/>
              </w:rPr>
              <w:lastRenderedPageBreak/>
              <w:t>Compatibil</w:t>
            </w:r>
          </w:p>
        </w:tc>
        <w:tc>
          <w:tcPr>
            <w:tcW w:w="3118" w:type="dxa"/>
          </w:tcPr>
          <w:p w14:paraId="780850F2" w14:textId="77777777" w:rsidR="00EB243D" w:rsidRPr="00154588" w:rsidRDefault="00EB243D" w:rsidP="008C12B4">
            <w:pPr>
              <w:jc w:val="both"/>
              <w:rPr>
                <w:sz w:val="20"/>
                <w:szCs w:val="20"/>
              </w:rPr>
            </w:pPr>
          </w:p>
        </w:tc>
      </w:tr>
      <w:tr w:rsidR="00EB243D" w:rsidRPr="00154588" w14:paraId="374D94FE" w14:textId="77777777" w:rsidTr="00D15C1B">
        <w:trPr>
          <w:jc w:val="center"/>
        </w:trPr>
        <w:tc>
          <w:tcPr>
            <w:tcW w:w="4957" w:type="dxa"/>
            <w:gridSpan w:val="2"/>
          </w:tcPr>
          <w:p w14:paraId="75ABFAEE" w14:textId="77777777" w:rsidR="00EB243D" w:rsidRPr="00154588" w:rsidRDefault="00EB243D" w:rsidP="008C12B4">
            <w:pPr>
              <w:jc w:val="both"/>
              <w:rPr>
                <w:b/>
                <w:sz w:val="20"/>
                <w:szCs w:val="20"/>
              </w:rPr>
            </w:pPr>
            <w:r w:rsidRPr="00154588">
              <w:rPr>
                <w:b/>
                <w:sz w:val="20"/>
                <w:szCs w:val="20"/>
              </w:rPr>
              <w:t>Articolul 96</w:t>
            </w:r>
          </w:p>
          <w:p w14:paraId="61C68235" w14:textId="77777777" w:rsidR="00EB243D" w:rsidRPr="00154588" w:rsidRDefault="00EB243D" w:rsidP="008C12B4">
            <w:pPr>
              <w:jc w:val="both"/>
              <w:rPr>
                <w:b/>
                <w:sz w:val="20"/>
                <w:szCs w:val="20"/>
              </w:rPr>
            </w:pPr>
          </w:p>
          <w:p w14:paraId="2F3254DD" w14:textId="77777777" w:rsidR="00EB243D" w:rsidRPr="00154588" w:rsidRDefault="00EB243D" w:rsidP="008C12B4">
            <w:pPr>
              <w:jc w:val="both"/>
              <w:rPr>
                <w:b/>
                <w:sz w:val="20"/>
                <w:szCs w:val="20"/>
              </w:rPr>
            </w:pPr>
          </w:p>
          <w:p w14:paraId="3B52719C" w14:textId="177E0DF0" w:rsidR="00EB243D" w:rsidRPr="00154588" w:rsidRDefault="00EB243D" w:rsidP="008C12B4">
            <w:pPr>
              <w:jc w:val="both"/>
              <w:rPr>
                <w:sz w:val="20"/>
                <w:szCs w:val="20"/>
              </w:rPr>
            </w:pPr>
            <w:r w:rsidRPr="00154588">
              <w:rPr>
                <w:b/>
                <w:sz w:val="20"/>
                <w:szCs w:val="20"/>
              </w:rPr>
              <w:t>Rezoluția sucursalelor din Uniune</w:t>
            </w:r>
          </w:p>
        </w:tc>
        <w:tc>
          <w:tcPr>
            <w:tcW w:w="4819" w:type="dxa"/>
          </w:tcPr>
          <w:p w14:paraId="15CB7842" w14:textId="77777777" w:rsidR="00EB243D" w:rsidRPr="00154588" w:rsidRDefault="00EB243D" w:rsidP="008C12B4">
            <w:pPr>
              <w:jc w:val="both"/>
              <w:rPr>
                <w:sz w:val="20"/>
                <w:szCs w:val="20"/>
              </w:rPr>
            </w:pPr>
          </w:p>
        </w:tc>
        <w:tc>
          <w:tcPr>
            <w:tcW w:w="2552" w:type="dxa"/>
          </w:tcPr>
          <w:p w14:paraId="2C6C0067" w14:textId="77777777" w:rsidR="00EB243D" w:rsidRPr="00154588" w:rsidRDefault="00EB243D" w:rsidP="008C12B4">
            <w:pPr>
              <w:jc w:val="both"/>
              <w:rPr>
                <w:sz w:val="20"/>
                <w:szCs w:val="20"/>
              </w:rPr>
            </w:pPr>
          </w:p>
        </w:tc>
        <w:tc>
          <w:tcPr>
            <w:tcW w:w="3118" w:type="dxa"/>
          </w:tcPr>
          <w:p w14:paraId="46584C7B" w14:textId="77777777" w:rsidR="00EB243D" w:rsidRPr="00154588" w:rsidRDefault="00EB243D" w:rsidP="008C12B4">
            <w:pPr>
              <w:jc w:val="both"/>
              <w:rPr>
                <w:sz w:val="20"/>
                <w:szCs w:val="20"/>
              </w:rPr>
            </w:pPr>
          </w:p>
        </w:tc>
      </w:tr>
      <w:tr w:rsidR="00EB243D" w:rsidRPr="00154588" w14:paraId="550432B3" w14:textId="77777777" w:rsidTr="00D15C1B">
        <w:trPr>
          <w:jc w:val="center"/>
        </w:trPr>
        <w:tc>
          <w:tcPr>
            <w:tcW w:w="4957" w:type="dxa"/>
            <w:gridSpan w:val="2"/>
          </w:tcPr>
          <w:p w14:paraId="65086EA9" w14:textId="77777777" w:rsidR="00EB243D" w:rsidRPr="00154588" w:rsidRDefault="00EB243D" w:rsidP="008C12B4">
            <w:pPr>
              <w:jc w:val="both"/>
              <w:rPr>
                <w:sz w:val="20"/>
                <w:szCs w:val="20"/>
              </w:rPr>
            </w:pPr>
            <w:r w:rsidRPr="00154588">
              <w:rPr>
                <w:sz w:val="20"/>
                <w:szCs w:val="20"/>
              </w:rPr>
              <w:t>(1)   Statele membre se asigură că autoritățile de rezoluție dețin competențele necesare pentru a lua măsuri în raport cu o sucursală din Uniune care nu face obiectul niciunei proceduri de rezoluție dintr-o țară terță sau face obiectul unei proceduri dintr-o țară terță și că se aplică una din situațiile specificate la articolul 95.</w:t>
            </w:r>
          </w:p>
          <w:p w14:paraId="4732F02C" w14:textId="0F8A275C" w:rsidR="00EB243D" w:rsidRPr="00154588" w:rsidRDefault="00EB243D" w:rsidP="008C12B4">
            <w:pPr>
              <w:jc w:val="both"/>
              <w:rPr>
                <w:sz w:val="20"/>
                <w:szCs w:val="20"/>
              </w:rPr>
            </w:pPr>
            <w:r w:rsidRPr="00154588">
              <w:rPr>
                <w:sz w:val="20"/>
                <w:szCs w:val="20"/>
              </w:rPr>
              <w:t>Statele membre se asigură că articolul 68 se aplică exercitării acestor competențe.</w:t>
            </w:r>
          </w:p>
        </w:tc>
        <w:tc>
          <w:tcPr>
            <w:tcW w:w="4819" w:type="dxa"/>
          </w:tcPr>
          <w:p w14:paraId="71E413E5" w14:textId="62545CAB" w:rsidR="00EB243D" w:rsidRPr="00154588" w:rsidRDefault="00EB243D" w:rsidP="008C12B4">
            <w:pPr>
              <w:ind w:firstLine="567"/>
              <w:jc w:val="both"/>
              <w:rPr>
                <w:sz w:val="20"/>
                <w:szCs w:val="20"/>
              </w:rPr>
            </w:pPr>
            <w:r w:rsidRPr="00154588">
              <w:rPr>
                <w:b/>
                <w:sz w:val="20"/>
                <w:szCs w:val="20"/>
              </w:rPr>
              <w:t xml:space="preserve">Articolul </w:t>
            </w:r>
            <w:r w:rsidR="0042303B" w:rsidRPr="00154588">
              <w:rPr>
                <w:b/>
                <w:sz w:val="20"/>
                <w:szCs w:val="20"/>
              </w:rPr>
              <w:t>327</w:t>
            </w:r>
            <w:r w:rsidRPr="00154588">
              <w:rPr>
                <w:sz w:val="20"/>
                <w:szCs w:val="20"/>
              </w:rPr>
              <w:t>.- (1) Banca Națională a Moldovei, în calitatea de autoritate de rezoluție, deține competențele necesare pentru a lua măsuri în raport cu o sucursală în Republica Moldova a unei instituții dintr-un stat terț care nu face obiectul niciunei proceduri de rezoluție dintr-un stat terț sau care face obiectul unei proceduri dintr-un stat terț și se aplică una dintre situațiile prevăzute la art.</w:t>
            </w:r>
            <w:r w:rsidR="0042303B" w:rsidRPr="00154588">
              <w:rPr>
                <w:sz w:val="20"/>
                <w:szCs w:val="20"/>
              </w:rPr>
              <w:t>326</w:t>
            </w:r>
            <w:r w:rsidRPr="00154588">
              <w:rPr>
                <w:sz w:val="20"/>
                <w:szCs w:val="20"/>
              </w:rPr>
              <w:t>.</w:t>
            </w:r>
          </w:p>
          <w:p w14:paraId="55DC2908" w14:textId="77777777" w:rsidR="00EB243D" w:rsidRPr="00154588" w:rsidRDefault="00EB243D" w:rsidP="008C12B4">
            <w:pPr>
              <w:ind w:firstLine="567"/>
              <w:jc w:val="both"/>
              <w:rPr>
                <w:sz w:val="20"/>
                <w:szCs w:val="20"/>
              </w:rPr>
            </w:pPr>
            <w:r w:rsidRPr="00154588">
              <w:rPr>
                <w:sz w:val="20"/>
                <w:szCs w:val="20"/>
              </w:rPr>
              <w:t>(2) Dispozițiile art.241-245</w:t>
            </w:r>
            <w:r w:rsidRPr="00154588">
              <w:rPr>
                <w:sz w:val="20"/>
                <w:szCs w:val="20"/>
                <w:vertAlign w:val="superscript"/>
              </w:rPr>
              <w:t>1</w:t>
            </w:r>
            <w:r w:rsidRPr="00154588">
              <w:rPr>
                <w:sz w:val="20"/>
                <w:szCs w:val="20"/>
              </w:rPr>
              <w:t> se aplică exercitării acestor competențe.</w:t>
            </w:r>
          </w:p>
          <w:p w14:paraId="64CC7D5C" w14:textId="77777777" w:rsidR="00EB243D" w:rsidRPr="00154588" w:rsidRDefault="00EB243D" w:rsidP="008C12B4">
            <w:pPr>
              <w:jc w:val="both"/>
              <w:rPr>
                <w:sz w:val="20"/>
                <w:szCs w:val="20"/>
              </w:rPr>
            </w:pPr>
          </w:p>
        </w:tc>
        <w:tc>
          <w:tcPr>
            <w:tcW w:w="2552" w:type="dxa"/>
          </w:tcPr>
          <w:p w14:paraId="49936394" w14:textId="1D2F718A" w:rsidR="00EB243D" w:rsidRPr="00154588" w:rsidRDefault="00EB243D" w:rsidP="008C12B4">
            <w:pPr>
              <w:jc w:val="both"/>
              <w:rPr>
                <w:sz w:val="20"/>
                <w:szCs w:val="20"/>
              </w:rPr>
            </w:pPr>
            <w:r w:rsidRPr="00154588">
              <w:rPr>
                <w:sz w:val="20"/>
                <w:szCs w:val="20"/>
              </w:rPr>
              <w:t>Compatibil</w:t>
            </w:r>
          </w:p>
        </w:tc>
        <w:tc>
          <w:tcPr>
            <w:tcW w:w="3118" w:type="dxa"/>
          </w:tcPr>
          <w:p w14:paraId="365FFF34" w14:textId="77777777" w:rsidR="00EB243D" w:rsidRPr="00154588" w:rsidRDefault="00EB243D" w:rsidP="008C12B4">
            <w:pPr>
              <w:jc w:val="both"/>
              <w:rPr>
                <w:sz w:val="20"/>
                <w:szCs w:val="20"/>
              </w:rPr>
            </w:pPr>
          </w:p>
        </w:tc>
      </w:tr>
      <w:tr w:rsidR="00EB243D" w:rsidRPr="00154588" w14:paraId="7716513E" w14:textId="77777777" w:rsidTr="00D15C1B">
        <w:trPr>
          <w:jc w:val="center"/>
        </w:trPr>
        <w:tc>
          <w:tcPr>
            <w:tcW w:w="4957" w:type="dxa"/>
            <w:gridSpan w:val="2"/>
          </w:tcPr>
          <w:p w14:paraId="275FC564" w14:textId="77777777" w:rsidR="00EB243D" w:rsidRPr="00154588" w:rsidRDefault="00EB243D" w:rsidP="008C12B4">
            <w:pPr>
              <w:jc w:val="both"/>
              <w:rPr>
                <w:sz w:val="20"/>
                <w:szCs w:val="20"/>
              </w:rPr>
            </w:pPr>
            <w:r w:rsidRPr="00154588">
              <w:rPr>
                <w:sz w:val="20"/>
                <w:szCs w:val="20"/>
              </w:rPr>
              <w:t>(2)   Statele membre se asigură că autoritățile de rezoluție sunt abilitate să exercite competențele prevăzute la alineatul (1) în cazul în care acestea consideră că aplicarea unei măsuri este necesară în interesul public și dacă cel puțin una dintre următoarele condiții este îndeplinită:</w:t>
            </w:r>
          </w:p>
          <w:p w14:paraId="242CAF7A" w14:textId="77777777" w:rsidR="00EB243D" w:rsidRPr="00154588" w:rsidRDefault="00EB243D" w:rsidP="008C12B4">
            <w:pPr>
              <w:jc w:val="both"/>
              <w:rPr>
                <w:sz w:val="20"/>
                <w:szCs w:val="20"/>
              </w:rPr>
            </w:pPr>
          </w:p>
          <w:p w14:paraId="2F7CCF75" w14:textId="0554E047" w:rsidR="00EB243D" w:rsidRPr="00154588" w:rsidRDefault="00EB243D" w:rsidP="008C12B4">
            <w:pPr>
              <w:jc w:val="both"/>
              <w:rPr>
                <w:sz w:val="20"/>
                <w:szCs w:val="20"/>
              </w:rPr>
            </w:pPr>
            <w:r w:rsidRPr="00154588">
              <w:rPr>
                <w:sz w:val="20"/>
                <w:szCs w:val="20"/>
              </w:rPr>
              <w:t>(a) sucursala din Uniune nu mai îndeplinește sau riscă să nu îndeplinească condițiile impuse de dreptul intern pentru autorizare și funcționare în statul membru respectiv și nu există nicio perspectivă conform căreia vreo măsură de supraveghere, ori vreo măsură a sectorului privat ori vreo măsură întreprinsă de țara terță relevantă ar putea restabili conformitatea sucursalei sau preveni intrarea sa în dificultate, într-un interval de timp rezonabil;</w:t>
            </w:r>
          </w:p>
          <w:p w14:paraId="6B776716" w14:textId="77777777" w:rsidR="00EB243D" w:rsidRPr="00154588" w:rsidRDefault="00EB243D" w:rsidP="008C12B4">
            <w:pPr>
              <w:jc w:val="both"/>
              <w:rPr>
                <w:sz w:val="20"/>
                <w:szCs w:val="20"/>
              </w:rPr>
            </w:pPr>
          </w:p>
          <w:p w14:paraId="4AC7437B" w14:textId="5EBAA1C3" w:rsidR="00EB243D" w:rsidRPr="00154588" w:rsidRDefault="00EB243D" w:rsidP="008C12B4">
            <w:pPr>
              <w:jc w:val="both"/>
              <w:rPr>
                <w:sz w:val="20"/>
                <w:szCs w:val="20"/>
              </w:rPr>
            </w:pPr>
            <w:r w:rsidRPr="00154588">
              <w:rPr>
                <w:sz w:val="20"/>
                <w:szCs w:val="20"/>
              </w:rPr>
              <w:t xml:space="preserve">(b) instituția din țara terță nu este, în opinia autorității de rezoluție, capabilă sau dispusă, sau riscă să se afle în incapacitate de a-și achita obligațiile față de creditorii din Uniune, sau obligațiile create sau înregistrate prin sucursala sa, pe măsură ce ele devin exigibile, iar autoritatea de rezoluție este convinsă că nicio procedură de rezoluție sau de insolvență dintr-o țară terță nu a fost sau nu va fi declanșată în legătură </w:t>
            </w:r>
            <w:r w:rsidRPr="00154588">
              <w:rPr>
                <w:sz w:val="20"/>
                <w:szCs w:val="20"/>
              </w:rPr>
              <w:lastRenderedPageBreak/>
              <w:t>cu respectiva instituție din țara terță într-un interval de timp rezonabil;</w:t>
            </w:r>
          </w:p>
          <w:p w14:paraId="5974B1A7" w14:textId="77777777" w:rsidR="00EB243D" w:rsidRPr="00154588" w:rsidRDefault="00EB243D" w:rsidP="008C12B4">
            <w:pPr>
              <w:jc w:val="both"/>
              <w:rPr>
                <w:sz w:val="20"/>
                <w:szCs w:val="20"/>
              </w:rPr>
            </w:pPr>
          </w:p>
          <w:p w14:paraId="6FD6CFB5" w14:textId="4AC8747E" w:rsidR="00EB243D" w:rsidRPr="00154588" w:rsidRDefault="00EB243D" w:rsidP="008C12B4">
            <w:pPr>
              <w:jc w:val="both"/>
              <w:rPr>
                <w:sz w:val="20"/>
                <w:szCs w:val="20"/>
              </w:rPr>
            </w:pPr>
            <w:r w:rsidRPr="00154588">
              <w:rPr>
                <w:sz w:val="20"/>
                <w:szCs w:val="20"/>
              </w:rPr>
              <w:t>(c) autoritatea relevantă din țara terță a inițiat o procedură de rezoluție din țara terță în legătură cu instituția din țara terță sau a notificat autorității de rezoluție intenția sa de a iniția o astfel de procedură.</w:t>
            </w:r>
          </w:p>
        </w:tc>
        <w:tc>
          <w:tcPr>
            <w:tcW w:w="4819" w:type="dxa"/>
          </w:tcPr>
          <w:p w14:paraId="33B9A642" w14:textId="5973F7A4" w:rsidR="00EB243D" w:rsidRPr="00154588" w:rsidRDefault="00EB243D" w:rsidP="008C12B4">
            <w:pPr>
              <w:ind w:firstLine="567"/>
              <w:jc w:val="both"/>
              <w:rPr>
                <w:sz w:val="20"/>
                <w:szCs w:val="20"/>
              </w:rPr>
            </w:pPr>
            <w:r w:rsidRPr="00154588">
              <w:rPr>
                <w:b/>
                <w:sz w:val="20"/>
                <w:szCs w:val="20"/>
              </w:rPr>
              <w:lastRenderedPageBreak/>
              <w:t xml:space="preserve">Articolul </w:t>
            </w:r>
            <w:r w:rsidR="0042303B" w:rsidRPr="00154588">
              <w:rPr>
                <w:b/>
                <w:sz w:val="20"/>
                <w:szCs w:val="20"/>
              </w:rPr>
              <w:t>327</w:t>
            </w:r>
            <w:r w:rsidRPr="00154588">
              <w:rPr>
                <w:sz w:val="20"/>
                <w:szCs w:val="20"/>
              </w:rPr>
              <w:t>.- (3) Banca Națională a Moldovei, în calitatea de autoritate de rezoluție, este abilitată să exercite competențele prevăzute la alin.(1) în cazul în care aceasta consideră că aplicarea unei acțiuni este necesară în interesul public și dacă cel puțin una dintre următoarele condiții este îndeplinită:</w:t>
            </w:r>
          </w:p>
          <w:p w14:paraId="742C09F1" w14:textId="77777777" w:rsidR="00EB243D" w:rsidRPr="00154588" w:rsidRDefault="00EB243D" w:rsidP="008C12B4">
            <w:pPr>
              <w:ind w:firstLine="567"/>
              <w:jc w:val="both"/>
              <w:rPr>
                <w:sz w:val="20"/>
                <w:szCs w:val="20"/>
              </w:rPr>
            </w:pPr>
            <w:r w:rsidRPr="00154588">
              <w:rPr>
                <w:sz w:val="20"/>
                <w:szCs w:val="20"/>
              </w:rPr>
              <w:t>a) sucursala situată în Republica Moldova nu mai îndeplinește sau este probabil să nu mai îndeplinească condițiile impuse de legislația națională aplicabilă pentru autorizarea și funcționare în Republica Moldova și nu există nicio perspectivă potrivit căreia vreo măsură a sectorului privat ori vreo măsură de supraveghere sau vreo măsură întreprinsă de statul terț relevant ar putea restabili conformitatea sucursalei sau preveni intrarea sa în situația de dificultate, într-un interval de timp considerat de Banca Națională a Moldovei, în calitate de autoritate de rezoluție, ca fiind rezonabil;</w:t>
            </w:r>
          </w:p>
          <w:p w14:paraId="588645D4" w14:textId="77777777" w:rsidR="00EB243D" w:rsidRPr="00154588" w:rsidRDefault="00EB243D" w:rsidP="008C12B4">
            <w:pPr>
              <w:ind w:firstLine="567"/>
              <w:jc w:val="both"/>
              <w:rPr>
                <w:sz w:val="20"/>
                <w:szCs w:val="20"/>
              </w:rPr>
            </w:pPr>
            <w:r w:rsidRPr="00154588">
              <w:rPr>
                <w:sz w:val="20"/>
                <w:szCs w:val="20"/>
              </w:rPr>
              <w:t xml:space="preserve">b) instituția din statul terț este, în opinia Băncii Naționale a Moldovei, în calitatea de autoritate de rezoluție, incapabilă, reticentă sau pasibilă de a se afla în incapacitate să își achite obligațiile față de creditorii din Uniunea Europeană, ori obligațiile create sau înregistrate prin sucursala sa, pe măsură ce acestea devin exigibile, iar Banca Națională a </w:t>
            </w:r>
            <w:r w:rsidRPr="00154588">
              <w:rPr>
                <w:sz w:val="20"/>
                <w:szCs w:val="20"/>
              </w:rPr>
              <w:lastRenderedPageBreak/>
              <w:t>Moldovei, în calitatea sa de autoritate de rezoluție, consideră că nicio procedură de rezoluție sau de insolvabilitate din statul terț nu a fost sau nu va fi declanșată în legătură cu respectiva instituție din statul terț într-un interval de timp rezonabil;</w:t>
            </w:r>
          </w:p>
          <w:p w14:paraId="3231C9C8" w14:textId="77777777" w:rsidR="00EB243D" w:rsidRPr="00154588" w:rsidRDefault="00EB243D" w:rsidP="008C12B4">
            <w:pPr>
              <w:ind w:firstLine="567"/>
              <w:jc w:val="both"/>
              <w:rPr>
                <w:sz w:val="20"/>
                <w:szCs w:val="20"/>
              </w:rPr>
            </w:pPr>
            <w:r w:rsidRPr="00154588">
              <w:rPr>
                <w:sz w:val="20"/>
                <w:szCs w:val="20"/>
              </w:rPr>
              <w:t>c) autoritatea relevantă din statul terț a inițiat o procedură de rezoluție în legătură cu instituția din statul terț sau a notificat Banca Națională a Moldovei, în calitate de autoritate de rezoluție, intenția sa de a iniția o astfel de procedură.</w:t>
            </w:r>
          </w:p>
          <w:p w14:paraId="423F70C1" w14:textId="77777777" w:rsidR="00EB243D" w:rsidRPr="00154588" w:rsidRDefault="00EB243D" w:rsidP="008C12B4">
            <w:pPr>
              <w:jc w:val="both"/>
              <w:rPr>
                <w:sz w:val="20"/>
                <w:szCs w:val="20"/>
              </w:rPr>
            </w:pPr>
          </w:p>
        </w:tc>
        <w:tc>
          <w:tcPr>
            <w:tcW w:w="2552" w:type="dxa"/>
          </w:tcPr>
          <w:p w14:paraId="16A1FD3D" w14:textId="402384DD" w:rsidR="00EB243D" w:rsidRPr="00154588" w:rsidRDefault="00EB243D" w:rsidP="008C12B4">
            <w:pPr>
              <w:jc w:val="both"/>
              <w:rPr>
                <w:sz w:val="20"/>
                <w:szCs w:val="20"/>
              </w:rPr>
            </w:pPr>
            <w:r w:rsidRPr="00154588">
              <w:rPr>
                <w:sz w:val="20"/>
                <w:szCs w:val="20"/>
              </w:rPr>
              <w:lastRenderedPageBreak/>
              <w:t>Compatibil</w:t>
            </w:r>
          </w:p>
        </w:tc>
        <w:tc>
          <w:tcPr>
            <w:tcW w:w="3118" w:type="dxa"/>
          </w:tcPr>
          <w:p w14:paraId="5F7CBE50" w14:textId="77777777" w:rsidR="00EB243D" w:rsidRPr="00154588" w:rsidRDefault="00EB243D" w:rsidP="008C12B4">
            <w:pPr>
              <w:jc w:val="both"/>
              <w:rPr>
                <w:sz w:val="20"/>
                <w:szCs w:val="20"/>
              </w:rPr>
            </w:pPr>
          </w:p>
        </w:tc>
      </w:tr>
      <w:tr w:rsidR="00EB243D" w:rsidRPr="00154588" w14:paraId="473D642B" w14:textId="77777777" w:rsidTr="00D15C1B">
        <w:trPr>
          <w:jc w:val="center"/>
        </w:trPr>
        <w:tc>
          <w:tcPr>
            <w:tcW w:w="4957" w:type="dxa"/>
            <w:gridSpan w:val="2"/>
          </w:tcPr>
          <w:p w14:paraId="6E9034F7" w14:textId="77777777" w:rsidR="00EB243D" w:rsidRPr="00154588" w:rsidRDefault="00EB243D" w:rsidP="008C12B4">
            <w:pPr>
              <w:jc w:val="both"/>
              <w:rPr>
                <w:sz w:val="20"/>
                <w:szCs w:val="20"/>
              </w:rPr>
            </w:pPr>
            <w:r w:rsidRPr="00154588">
              <w:rPr>
                <w:sz w:val="20"/>
                <w:szCs w:val="20"/>
              </w:rPr>
              <w:t>(3)   În cazul în care ia o măsură independentă în legătură cu o sucursală din Uniune, o autoritate de rezoluție are în vedere obiectivele rezoluției și ia măsura în conformitate cu următoarele principii și cerințe, în măsura în care acestea sunt relevante:</w:t>
            </w:r>
          </w:p>
          <w:p w14:paraId="557089AD" w14:textId="77777777" w:rsidR="00EB243D" w:rsidRPr="00154588" w:rsidRDefault="00EB243D" w:rsidP="008C12B4">
            <w:pPr>
              <w:jc w:val="both"/>
              <w:rPr>
                <w:sz w:val="20"/>
                <w:szCs w:val="20"/>
              </w:rPr>
            </w:pPr>
          </w:p>
          <w:p w14:paraId="76543CA5" w14:textId="595E8F65" w:rsidR="00EB243D" w:rsidRPr="00154588" w:rsidRDefault="00EB243D" w:rsidP="008C12B4">
            <w:pPr>
              <w:jc w:val="both"/>
              <w:rPr>
                <w:sz w:val="20"/>
                <w:szCs w:val="20"/>
              </w:rPr>
            </w:pPr>
            <w:r w:rsidRPr="00154588">
              <w:rPr>
                <w:sz w:val="20"/>
                <w:szCs w:val="20"/>
              </w:rPr>
              <w:t>(a) principiile stabilite la articolul 34;</w:t>
            </w:r>
          </w:p>
          <w:p w14:paraId="18A76A33" w14:textId="77777777" w:rsidR="00EB243D" w:rsidRPr="00154588" w:rsidRDefault="00EB243D" w:rsidP="008C12B4">
            <w:pPr>
              <w:jc w:val="both"/>
              <w:rPr>
                <w:sz w:val="20"/>
                <w:szCs w:val="20"/>
              </w:rPr>
            </w:pPr>
          </w:p>
          <w:p w14:paraId="169A4FDD" w14:textId="4066F901" w:rsidR="00EB243D" w:rsidRPr="00154588" w:rsidRDefault="00EB243D" w:rsidP="008C12B4">
            <w:pPr>
              <w:jc w:val="both"/>
              <w:rPr>
                <w:sz w:val="20"/>
                <w:szCs w:val="20"/>
              </w:rPr>
            </w:pPr>
            <w:r w:rsidRPr="00154588">
              <w:rPr>
                <w:sz w:val="20"/>
                <w:szCs w:val="20"/>
              </w:rPr>
              <w:t>(b) cerințele din titlul IV  capitolul IV referitoare la aplicarea instrumentelor de rezoluție .</w:t>
            </w:r>
          </w:p>
        </w:tc>
        <w:tc>
          <w:tcPr>
            <w:tcW w:w="4819" w:type="dxa"/>
          </w:tcPr>
          <w:p w14:paraId="0FA97B28" w14:textId="50F04184" w:rsidR="00EB243D" w:rsidRPr="00154588" w:rsidRDefault="00EB243D" w:rsidP="008C12B4">
            <w:pPr>
              <w:ind w:firstLine="567"/>
              <w:jc w:val="both"/>
              <w:rPr>
                <w:sz w:val="20"/>
                <w:szCs w:val="20"/>
              </w:rPr>
            </w:pPr>
            <w:r w:rsidRPr="00154588">
              <w:rPr>
                <w:b/>
                <w:sz w:val="20"/>
                <w:szCs w:val="20"/>
              </w:rPr>
              <w:t xml:space="preserve">Articolul </w:t>
            </w:r>
            <w:r w:rsidR="0042303B" w:rsidRPr="00154588">
              <w:rPr>
                <w:b/>
                <w:sz w:val="20"/>
                <w:szCs w:val="20"/>
              </w:rPr>
              <w:t>327</w:t>
            </w:r>
            <w:r w:rsidRPr="00154588">
              <w:rPr>
                <w:sz w:val="20"/>
                <w:szCs w:val="20"/>
              </w:rPr>
              <w:t xml:space="preserve">.- (4) În cazul în care Banca Națională a Moldovei, în calitatea de autoritate de rezoluție, </w:t>
            </w:r>
            <w:r w:rsidRPr="00154588">
              <w:rPr>
                <w:color w:val="000000"/>
                <w:sz w:val="20"/>
                <w:szCs w:val="20"/>
                <w:shd w:val="clear" w:color="auto" w:fill="FFFFFF"/>
              </w:rPr>
              <w:t>întreprinde o acțiune independentă în legătură cu o sucursală din Republica Moldova, aceasta </w:t>
            </w:r>
            <w:r w:rsidRPr="00154588">
              <w:rPr>
                <w:sz w:val="20"/>
                <w:szCs w:val="20"/>
              </w:rPr>
              <w:t>are în vedere obiectivele rezoluției și întreprinde acțiunea în conformitate cu următoarele principii și cerințe, în măsura în care acestea sunt relevante:</w:t>
            </w:r>
          </w:p>
          <w:p w14:paraId="73E65FA8" w14:textId="77777777" w:rsidR="00EB243D" w:rsidRPr="00154588" w:rsidRDefault="00EB243D" w:rsidP="008C12B4">
            <w:pPr>
              <w:ind w:firstLine="567"/>
              <w:jc w:val="both"/>
              <w:rPr>
                <w:sz w:val="20"/>
                <w:szCs w:val="20"/>
              </w:rPr>
            </w:pPr>
            <w:r w:rsidRPr="00154588">
              <w:rPr>
                <w:sz w:val="20"/>
                <w:szCs w:val="20"/>
              </w:rPr>
              <w:t>a) principiile stabilite la art.61;</w:t>
            </w:r>
          </w:p>
          <w:p w14:paraId="67F09DB9" w14:textId="77777777" w:rsidR="00EB243D" w:rsidRPr="00154588" w:rsidRDefault="00EB243D" w:rsidP="008C12B4">
            <w:pPr>
              <w:ind w:firstLine="567"/>
              <w:jc w:val="both"/>
              <w:rPr>
                <w:sz w:val="20"/>
                <w:szCs w:val="20"/>
              </w:rPr>
            </w:pPr>
            <w:r w:rsidRPr="00154588">
              <w:rPr>
                <w:sz w:val="20"/>
                <w:szCs w:val="20"/>
              </w:rPr>
              <w:t>b) cerințele referitoare la aplicarea instrumentelor de rezoluție art.72-84.</w:t>
            </w:r>
          </w:p>
          <w:p w14:paraId="638107D2" w14:textId="77777777" w:rsidR="00EB243D" w:rsidRPr="00154588" w:rsidRDefault="00EB243D" w:rsidP="008C12B4">
            <w:pPr>
              <w:jc w:val="both"/>
              <w:rPr>
                <w:sz w:val="20"/>
                <w:szCs w:val="20"/>
              </w:rPr>
            </w:pPr>
          </w:p>
        </w:tc>
        <w:tc>
          <w:tcPr>
            <w:tcW w:w="2552" w:type="dxa"/>
          </w:tcPr>
          <w:p w14:paraId="2DF89CD0" w14:textId="2DACE1EF" w:rsidR="00EB243D" w:rsidRPr="00154588" w:rsidRDefault="00EB243D" w:rsidP="008C12B4">
            <w:pPr>
              <w:jc w:val="both"/>
              <w:rPr>
                <w:sz w:val="20"/>
                <w:szCs w:val="20"/>
              </w:rPr>
            </w:pPr>
            <w:r w:rsidRPr="00154588">
              <w:rPr>
                <w:sz w:val="20"/>
                <w:szCs w:val="20"/>
              </w:rPr>
              <w:t>Compatibil</w:t>
            </w:r>
          </w:p>
        </w:tc>
        <w:tc>
          <w:tcPr>
            <w:tcW w:w="3118" w:type="dxa"/>
          </w:tcPr>
          <w:p w14:paraId="35A49455" w14:textId="77777777" w:rsidR="00EB243D" w:rsidRPr="00154588" w:rsidRDefault="00EB243D" w:rsidP="008C12B4">
            <w:pPr>
              <w:jc w:val="both"/>
              <w:rPr>
                <w:sz w:val="20"/>
                <w:szCs w:val="20"/>
              </w:rPr>
            </w:pPr>
          </w:p>
        </w:tc>
      </w:tr>
      <w:tr w:rsidR="00EB243D" w:rsidRPr="00154588" w14:paraId="446E6BE7" w14:textId="77777777" w:rsidTr="00D15C1B">
        <w:trPr>
          <w:jc w:val="center"/>
        </w:trPr>
        <w:tc>
          <w:tcPr>
            <w:tcW w:w="4957" w:type="dxa"/>
            <w:gridSpan w:val="2"/>
          </w:tcPr>
          <w:p w14:paraId="2AE26A1E" w14:textId="77777777" w:rsidR="00EB243D" w:rsidRPr="00154588" w:rsidRDefault="00EB243D" w:rsidP="008C12B4">
            <w:pPr>
              <w:jc w:val="both"/>
              <w:rPr>
                <w:b/>
                <w:sz w:val="20"/>
                <w:szCs w:val="20"/>
              </w:rPr>
            </w:pPr>
            <w:r w:rsidRPr="00154588">
              <w:rPr>
                <w:b/>
                <w:sz w:val="20"/>
                <w:szCs w:val="20"/>
              </w:rPr>
              <w:t>Articolul 97</w:t>
            </w:r>
          </w:p>
          <w:p w14:paraId="4B0DC41C" w14:textId="77777777" w:rsidR="00EB243D" w:rsidRPr="00154588" w:rsidRDefault="00EB243D" w:rsidP="008C12B4">
            <w:pPr>
              <w:jc w:val="both"/>
              <w:rPr>
                <w:b/>
                <w:sz w:val="20"/>
                <w:szCs w:val="20"/>
              </w:rPr>
            </w:pPr>
          </w:p>
          <w:p w14:paraId="2F7CBDCC" w14:textId="6A293D63" w:rsidR="00EB243D" w:rsidRPr="00154588" w:rsidRDefault="00EB243D" w:rsidP="008C12B4">
            <w:pPr>
              <w:jc w:val="both"/>
              <w:rPr>
                <w:sz w:val="20"/>
                <w:szCs w:val="20"/>
              </w:rPr>
            </w:pPr>
            <w:r w:rsidRPr="00154588">
              <w:rPr>
                <w:b/>
                <w:sz w:val="20"/>
                <w:szCs w:val="20"/>
              </w:rPr>
              <w:t>Cooperarea cu autoritățile din țări terțe</w:t>
            </w:r>
          </w:p>
        </w:tc>
        <w:tc>
          <w:tcPr>
            <w:tcW w:w="4819" w:type="dxa"/>
          </w:tcPr>
          <w:p w14:paraId="4E21CDA8" w14:textId="77777777" w:rsidR="00EB243D" w:rsidRPr="00154588" w:rsidRDefault="00EB243D" w:rsidP="008C12B4">
            <w:pPr>
              <w:jc w:val="both"/>
              <w:rPr>
                <w:sz w:val="20"/>
                <w:szCs w:val="20"/>
              </w:rPr>
            </w:pPr>
          </w:p>
        </w:tc>
        <w:tc>
          <w:tcPr>
            <w:tcW w:w="2552" w:type="dxa"/>
          </w:tcPr>
          <w:p w14:paraId="5EED46DA" w14:textId="77777777" w:rsidR="00EB243D" w:rsidRPr="00154588" w:rsidRDefault="00EB243D" w:rsidP="008C12B4">
            <w:pPr>
              <w:jc w:val="both"/>
              <w:rPr>
                <w:sz w:val="20"/>
                <w:szCs w:val="20"/>
              </w:rPr>
            </w:pPr>
          </w:p>
        </w:tc>
        <w:tc>
          <w:tcPr>
            <w:tcW w:w="3118" w:type="dxa"/>
          </w:tcPr>
          <w:p w14:paraId="4FC400F9" w14:textId="77777777" w:rsidR="00EB243D" w:rsidRPr="00154588" w:rsidRDefault="00EB243D" w:rsidP="008C12B4">
            <w:pPr>
              <w:jc w:val="both"/>
              <w:rPr>
                <w:sz w:val="20"/>
                <w:szCs w:val="20"/>
              </w:rPr>
            </w:pPr>
          </w:p>
        </w:tc>
      </w:tr>
      <w:tr w:rsidR="00EB243D" w:rsidRPr="00154588" w14:paraId="689F699B" w14:textId="77777777" w:rsidTr="00D15C1B">
        <w:trPr>
          <w:jc w:val="center"/>
        </w:trPr>
        <w:tc>
          <w:tcPr>
            <w:tcW w:w="4957" w:type="dxa"/>
            <w:gridSpan w:val="2"/>
          </w:tcPr>
          <w:p w14:paraId="4BF0659F" w14:textId="32CB6638" w:rsidR="00EB243D" w:rsidRPr="00154588" w:rsidRDefault="00EB243D" w:rsidP="008C12B4">
            <w:pPr>
              <w:jc w:val="both"/>
              <w:rPr>
                <w:sz w:val="20"/>
                <w:szCs w:val="20"/>
              </w:rPr>
            </w:pPr>
            <w:r w:rsidRPr="00154588">
              <w:rPr>
                <w:sz w:val="20"/>
                <w:szCs w:val="20"/>
              </w:rPr>
              <w:t>(1)   Prezentul articol se aplică în legătură cu cooperarea cu țările terțe cu excepția cazului în care intră în vigoare acordul internațional menționat la articolul 93 alineatul (1) cu țara terță relevantă și până la momentul intrării în vigoare a acestui acord. Prezentul articol se aplică și ulterior intrării în vigoare a unui acord internațional, prevăzut la articolul 93 alineatul (1), cu țara terță relevantă, în măsura în care obiectul prezentului articol nu este reglementat prin acordul respectiv.</w:t>
            </w:r>
          </w:p>
        </w:tc>
        <w:tc>
          <w:tcPr>
            <w:tcW w:w="4819" w:type="dxa"/>
          </w:tcPr>
          <w:p w14:paraId="0E7ECAB1" w14:textId="2C0E5738" w:rsidR="00EB243D" w:rsidRPr="00154588" w:rsidRDefault="00EB243D" w:rsidP="008C12B4">
            <w:pPr>
              <w:ind w:firstLine="567"/>
              <w:jc w:val="both"/>
              <w:rPr>
                <w:sz w:val="20"/>
                <w:szCs w:val="20"/>
              </w:rPr>
            </w:pPr>
            <w:r w:rsidRPr="00154588">
              <w:rPr>
                <w:b/>
                <w:sz w:val="20"/>
                <w:szCs w:val="20"/>
              </w:rPr>
              <w:t xml:space="preserve">Articolul </w:t>
            </w:r>
            <w:r w:rsidR="0042303B" w:rsidRPr="00154588">
              <w:rPr>
                <w:b/>
                <w:sz w:val="20"/>
                <w:szCs w:val="20"/>
              </w:rPr>
              <w:t>328</w:t>
            </w:r>
            <w:r w:rsidRPr="00154588">
              <w:rPr>
                <w:b/>
                <w:sz w:val="20"/>
                <w:szCs w:val="20"/>
              </w:rPr>
              <w:t>.</w:t>
            </w:r>
            <w:r w:rsidRPr="00154588">
              <w:rPr>
                <w:sz w:val="20"/>
                <w:szCs w:val="20"/>
              </w:rPr>
              <w:t xml:space="preserve"> - (1) Prezentul articol se aplică în ceea ce privește cooperarea cu statele terțe cu excepția cazului în care intră în vigoare acordul internațional menționat la art.323</w:t>
            </w:r>
            <w:r w:rsidRPr="00154588">
              <w:rPr>
                <w:sz w:val="20"/>
                <w:szCs w:val="20"/>
                <w:vertAlign w:val="superscript"/>
              </w:rPr>
              <w:t>1</w:t>
            </w:r>
            <w:r w:rsidRPr="00154588">
              <w:rPr>
                <w:sz w:val="20"/>
                <w:szCs w:val="20"/>
              </w:rPr>
              <w:t xml:space="preserve"> alin.(1) cu statul terț relevant și până la momentul intrării în vigoare a acestui acord. Prezentul articol  se aplică și ulterior intrării în vigoare a unui acord internațional, prevăzut la art.323</w:t>
            </w:r>
            <w:r w:rsidRPr="00154588">
              <w:rPr>
                <w:sz w:val="20"/>
                <w:szCs w:val="20"/>
                <w:vertAlign w:val="superscript"/>
              </w:rPr>
              <w:t>1</w:t>
            </w:r>
            <w:r w:rsidRPr="00154588">
              <w:rPr>
                <w:sz w:val="20"/>
                <w:szCs w:val="20"/>
              </w:rPr>
              <w:t xml:space="preserve"> alin.(1) cu statul terț relevant, în măsura în care obiectul prezentului articol nu este reglementat prin acordul respectiv.</w:t>
            </w:r>
          </w:p>
          <w:p w14:paraId="5EC587FF" w14:textId="77777777" w:rsidR="00EB243D" w:rsidRPr="00154588" w:rsidRDefault="00EB243D" w:rsidP="008C12B4">
            <w:pPr>
              <w:jc w:val="both"/>
              <w:rPr>
                <w:sz w:val="20"/>
                <w:szCs w:val="20"/>
              </w:rPr>
            </w:pPr>
          </w:p>
        </w:tc>
        <w:tc>
          <w:tcPr>
            <w:tcW w:w="2552" w:type="dxa"/>
          </w:tcPr>
          <w:p w14:paraId="07B12A4A" w14:textId="5C646AE2" w:rsidR="00EB243D" w:rsidRPr="00154588" w:rsidRDefault="00EB243D" w:rsidP="008C12B4">
            <w:pPr>
              <w:jc w:val="both"/>
              <w:rPr>
                <w:sz w:val="20"/>
                <w:szCs w:val="20"/>
              </w:rPr>
            </w:pPr>
            <w:r w:rsidRPr="00154588">
              <w:rPr>
                <w:sz w:val="20"/>
                <w:szCs w:val="20"/>
              </w:rPr>
              <w:t>Compatibil</w:t>
            </w:r>
          </w:p>
        </w:tc>
        <w:tc>
          <w:tcPr>
            <w:tcW w:w="3118" w:type="dxa"/>
          </w:tcPr>
          <w:p w14:paraId="32B00EC2" w14:textId="77777777" w:rsidR="00EB243D" w:rsidRPr="00154588" w:rsidRDefault="00EB243D" w:rsidP="008C12B4">
            <w:pPr>
              <w:jc w:val="both"/>
              <w:rPr>
                <w:sz w:val="20"/>
                <w:szCs w:val="20"/>
              </w:rPr>
            </w:pPr>
          </w:p>
        </w:tc>
      </w:tr>
      <w:tr w:rsidR="00EB243D" w:rsidRPr="00154588" w14:paraId="086F7EEE" w14:textId="77777777" w:rsidTr="00D15C1B">
        <w:trPr>
          <w:jc w:val="center"/>
        </w:trPr>
        <w:tc>
          <w:tcPr>
            <w:tcW w:w="4957" w:type="dxa"/>
            <w:gridSpan w:val="2"/>
          </w:tcPr>
          <w:p w14:paraId="78B4DDDB" w14:textId="77777777" w:rsidR="00EB243D" w:rsidRPr="00154588" w:rsidRDefault="00EB243D" w:rsidP="008C12B4">
            <w:pPr>
              <w:jc w:val="both"/>
              <w:rPr>
                <w:sz w:val="20"/>
                <w:szCs w:val="20"/>
              </w:rPr>
            </w:pPr>
            <w:r w:rsidRPr="00154588">
              <w:rPr>
                <w:sz w:val="20"/>
                <w:szCs w:val="20"/>
              </w:rPr>
              <w:t>(2)   ABE poate să încheie acorduri-cadru de cooperare neobligatorii cu următoarele autorități relevante din țările terțe:</w:t>
            </w:r>
          </w:p>
          <w:p w14:paraId="56BBDFAC" w14:textId="77777777" w:rsidR="00EB243D" w:rsidRPr="00154588" w:rsidRDefault="00EB243D" w:rsidP="008C12B4">
            <w:pPr>
              <w:jc w:val="both"/>
              <w:rPr>
                <w:sz w:val="20"/>
                <w:szCs w:val="20"/>
              </w:rPr>
            </w:pPr>
          </w:p>
          <w:p w14:paraId="798F0AAF" w14:textId="33080BDD" w:rsidR="00EB243D" w:rsidRPr="00154588" w:rsidRDefault="00EB243D" w:rsidP="008C12B4">
            <w:pPr>
              <w:jc w:val="both"/>
              <w:rPr>
                <w:sz w:val="20"/>
                <w:szCs w:val="20"/>
              </w:rPr>
            </w:pPr>
            <w:r w:rsidRPr="00154588">
              <w:rPr>
                <w:sz w:val="20"/>
                <w:szCs w:val="20"/>
              </w:rPr>
              <w:t xml:space="preserve">(a) în cazurile în care o filială din Uniune este stabilită în două sau mai multe state membre, autoritățile relevante din țara terță în care este stabilită </w:t>
            </w:r>
            <w:r w:rsidRPr="00154588">
              <w:rPr>
                <w:sz w:val="20"/>
                <w:szCs w:val="20"/>
              </w:rPr>
              <w:lastRenderedPageBreak/>
              <w:t>întreprinderea-mamă sau o societate menționată la articolul 1 alineatul (1) literele (c) și (d);</w:t>
            </w:r>
          </w:p>
          <w:p w14:paraId="7F99C585" w14:textId="77777777" w:rsidR="00EB243D" w:rsidRPr="00154588" w:rsidRDefault="00EB243D" w:rsidP="008C12B4">
            <w:pPr>
              <w:jc w:val="both"/>
              <w:rPr>
                <w:sz w:val="20"/>
                <w:szCs w:val="20"/>
              </w:rPr>
            </w:pPr>
          </w:p>
          <w:p w14:paraId="09B1ED6A" w14:textId="09A8F29C" w:rsidR="00EB243D" w:rsidRPr="00154588" w:rsidRDefault="00EB243D" w:rsidP="008C12B4">
            <w:pPr>
              <w:jc w:val="both"/>
              <w:rPr>
                <w:sz w:val="20"/>
                <w:szCs w:val="20"/>
              </w:rPr>
            </w:pPr>
            <w:r w:rsidRPr="00154588">
              <w:rPr>
                <w:sz w:val="20"/>
                <w:szCs w:val="20"/>
              </w:rPr>
              <w:t>(b) în cazurile în care o instituție dintr-o țară terță își desfășoară activitatea prin sucursale din Uniune în două sau mai multe state membre, autoritatea relevantă a țării terțe în care este stabilită respectiva instituție;</w:t>
            </w:r>
          </w:p>
          <w:p w14:paraId="09EDA5EC" w14:textId="77777777" w:rsidR="00EB243D" w:rsidRPr="00154588" w:rsidRDefault="00EB243D" w:rsidP="008C12B4">
            <w:pPr>
              <w:jc w:val="both"/>
              <w:rPr>
                <w:sz w:val="20"/>
                <w:szCs w:val="20"/>
              </w:rPr>
            </w:pPr>
          </w:p>
          <w:p w14:paraId="765EEFF6" w14:textId="5A69031A" w:rsidR="00EB243D" w:rsidRPr="00154588" w:rsidRDefault="00EB243D" w:rsidP="008C12B4">
            <w:pPr>
              <w:jc w:val="both"/>
              <w:rPr>
                <w:sz w:val="20"/>
                <w:szCs w:val="20"/>
              </w:rPr>
            </w:pPr>
            <w:r w:rsidRPr="00154588">
              <w:rPr>
                <w:sz w:val="20"/>
                <w:szCs w:val="20"/>
              </w:rPr>
              <w:t>(c) în cazurile în care o întreprindere-mamă sau o societate menționată la articolul 1 alineatul (1) literele (c) și (d) stabilite într-un stat membru cu o instituție-filială sau cu o sucursală semnificativă într-un alt stat membru are, de asemenea, una sau mai multe instituții-filiale în țări terțe, autoritățile relevante din țările terțe în care au fost stabilite respectivele instituții-filiale;</w:t>
            </w:r>
          </w:p>
          <w:p w14:paraId="33289DFD" w14:textId="77777777" w:rsidR="00EB243D" w:rsidRPr="00154588" w:rsidRDefault="00EB243D" w:rsidP="008C12B4">
            <w:pPr>
              <w:jc w:val="both"/>
              <w:rPr>
                <w:sz w:val="20"/>
                <w:szCs w:val="20"/>
              </w:rPr>
            </w:pPr>
          </w:p>
          <w:p w14:paraId="7D5F2B72" w14:textId="77777777" w:rsidR="00EB243D" w:rsidRPr="00154588" w:rsidRDefault="00EB243D" w:rsidP="008C12B4">
            <w:pPr>
              <w:jc w:val="both"/>
              <w:rPr>
                <w:sz w:val="20"/>
                <w:szCs w:val="20"/>
              </w:rPr>
            </w:pPr>
          </w:p>
          <w:p w14:paraId="4DDD447E" w14:textId="147EAABE" w:rsidR="00EB243D" w:rsidRPr="00154588" w:rsidRDefault="00EB243D" w:rsidP="008C12B4">
            <w:pPr>
              <w:jc w:val="both"/>
              <w:rPr>
                <w:sz w:val="20"/>
                <w:szCs w:val="20"/>
              </w:rPr>
            </w:pPr>
            <w:r w:rsidRPr="00154588">
              <w:rPr>
                <w:sz w:val="20"/>
                <w:szCs w:val="20"/>
              </w:rPr>
              <w:t>(d) în cazurile în care o instituție cu o instituție-filială sau cu o sucursală semnificativă într-un alt stat membru a înființat una sau mai multe sucursale într-una sau mai multe țări terțe, autoritățile relevante din țările terțe în care au fost situate respectivele sucursale.</w:t>
            </w:r>
          </w:p>
          <w:p w14:paraId="3C99760F" w14:textId="77777777" w:rsidR="00EB243D" w:rsidRPr="00154588" w:rsidRDefault="00EB243D" w:rsidP="008C12B4">
            <w:pPr>
              <w:jc w:val="both"/>
              <w:rPr>
                <w:sz w:val="20"/>
                <w:szCs w:val="20"/>
              </w:rPr>
            </w:pPr>
          </w:p>
          <w:p w14:paraId="306088E9" w14:textId="77777777" w:rsidR="00EB243D" w:rsidRPr="00154588" w:rsidRDefault="00EB243D" w:rsidP="008C12B4">
            <w:pPr>
              <w:jc w:val="both"/>
              <w:rPr>
                <w:sz w:val="20"/>
                <w:szCs w:val="20"/>
              </w:rPr>
            </w:pPr>
          </w:p>
          <w:p w14:paraId="439ED0C4" w14:textId="6652E095" w:rsidR="00EB243D" w:rsidRPr="00154588" w:rsidRDefault="00EB243D" w:rsidP="008C12B4">
            <w:pPr>
              <w:jc w:val="both"/>
              <w:rPr>
                <w:sz w:val="20"/>
                <w:szCs w:val="20"/>
              </w:rPr>
            </w:pPr>
            <w:r w:rsidRPr="00154588">
              <w:rPr>
                <w:sz w:val="20"/>
                <w:szCs w:val="20"/>
              </w:rPr>
              <w:t>Acordurile menționate la prezentul alineat nu vizează instituții în mod individual. Aceste acorduri nu impun obligații legale pentru statele membre.</w:t>
            </w:r>
          </w:p>
        </w:tc>
        <w:tc>
          <w:tcPr>
            <w:tcW w:w="4819" w:type="dxa"/>
          </w:tcPr>
          <w:p w14:paraId="3465DCA4" w14:textId="3D34D942" w:rsidR="00EB243D" w:rsidRPr="00154588" w:rsidRDefault="00EB243D" w:rsidP="008C12B4">
            <w:pPr>
              <w:ind w:firstLine="567"/>
              <w:jc w:val="both"/>
              <w:rPr>
                <w:sz w:val="20"/>
                <w:szCs w:val="20"/>
                <w:lang w:val="ro-MD"/>
              </w:rPr>
            </w:pPr>
            <w:r w:rsidRPr="00154588">
              <w:rPr>
                <w:b/>
                <w:sz w:val="20"/>
                <w:szCs w:val="20"/>
              </w:rPr>
              <w:lastRenderedPageBreak/>
              <w:t xml:space="preserve">Articolul </w:t>
            </w:r>
            <w:r w:rsidR="0042303B" w:rsidRPr="00154588">
              <w:rPr>
                <w:b/>
                <w:sz w:val="20"/>
                <w:szCs w:val="20"/>
              </w:rPr>
              <w:t>328</w:t>
            </w:r>
            <w:r w:rsidRPr="00154588">
              <w:rPr>
                <w:b/>
                <w:sz w:val="20"/>
                <w:szCs w:val="20"/>
              </w:rPr>
              <w:t>.</w:t>
            </w:r>
            <w:r w:rsidRPr="00154588">
              <w:rPr>
                <w:sz w:val="20"/>
                <w:szCs w:val="20"/>
              </w:rPr>
              <w:t xml:space="preserve"> - (2) Banca Națională a Moldovei, în calitatea de autoritate competentă, sau, după caz, în calitatea sa de autoritate de rezoluție, încheie acorduri de cooperare neobligatorii în conformitate cu acordul-cadru încheiat de Autoritatea bancară europeană cu autoritățile relevante din statele terțe</w:t>
            </w:r>
            <w:r w:rsidRPr="00154588">
              <w:rPr>
                <w:sz w:val="20"/>
                <w:szCs w:val="20"/>
                <w:lang w:val="ro-MD"/>
              </w:rPr>
              <w:t>:</w:t>
            </w:r>
          </w:p>
          <w:p w14:paraId="42CE5A17" w14:textId="77777777" w:rsidR="00EB243D" w:rsidRPr="00154588" w:rsidRDefault="00EB243D" w:rsidP="008C12B4">
            <w:pPr>
              <w:jc w:val="both"/>
              <w:rPr>
                <w:sz w:val="20"/>
                <w:szCs w:val="20"/>
              </w:rPr>
            </w:pPr>
            <w:r w:rsidRPr="00154588">
              <w:rPr>
                <w:sz w:val="20"/>
                <w:szCs w:val="20"/>
              </w:rPr>
              <w:lastRenderedPageBreak/>
              <w:t xml:space="preserve"> </w:t>
            </w:r>
            <w:r w:rsidRPr="00154588">
              <w:rPr>
                <w:sz w:val="20"/>
                <w:szCs w:val="20"/>
              </w:rPr>
              <w:tab/>
              <w:t>a) în cazurile în care o filială din Uniunea Europeană este stabilită în două sau mai multe state membre, autoritățile relevante din statul terț în care este stabilită întreprinderea-mamă sau o societate menționată la art.1 alin.(1) lit.c) și d);</w:t>
            </w:r>
          </w:p>
          <w:p w14:paraId="01630E62" w14:textId="77777777" w:rsidR="00EB243D" w:rsidRPr="00154588" w:rsidRDefault="00EB243D" w:rsidP="008C12B4">
            <w:pPr>
              <w:ind w:firstLine="708"/>
              <w:jc w:val="both"/>
              <w:rPr>
                <w:sz w:val="20"/>
                <w:szCs w:val="20"/>
              </w:rPr>
            </w:pPr>
            <w:r w:rsidRPr="00154588">
              <w:rPr>
                <w:sz w:val="20"/>
                <w:szCs w:val="20"/>
              </w:rPr>
              <w:t>b) în cazurile în care o instituție dintr-un stat terț își desfășoară activitatea prin sucursale din Uniunea Europeană în două sau mai multe state membre, autoritatea relevantă a statului terț în care este stabilită respectiva instituție;</w:t>
            </w:r>
          </w:p>
          <w:p w14:paraId="502B79E7" w14:textId="77777777" w:rsidR="00EB243D" w:rsidRPr="00154588" w:rsidRDefault="00EB243D" w:rsidP="008C12B4">
            <w:pPr>
              <w:ind w:firstLine="708"/>
              <w:jc w:val="both"/>
              <w:rPr>
                <w:sz w:val="20"/>
                <w:szCs w:val="20"/>
              </w:rPr>
            </w:pPr>
            <w:r w:rsidRPr="00154588">
              <w:rPr>
                <w:sz w:val="20"/>
                <w:szCs w:val="20"/>
              </w:rPr>
              <w:t>c) în cazurile în care o întreprindere-mamă sau o societate menționată la art. 1 alin.(1) lit.c) și d) stabilite într-un stat membru cu o instituție-filială sau cu o sucursală semnificativă într-un alt stat membru are, de asemenea, una sau mai multe instituții-filiale în state terțe, autoritățile relevante din statele terțe în care au fost stabilite respectivele instituții-filiale;</w:t>
            </w:r>
          </w:p>
          <w:p w14:paraId="744C6A60" w14:textId="77777777" w:rsidR="00EB243D" w:rsidRPr="00154588" w:rsidRDefault="00EB243D" w:rsidP="008C12B4">
            <w:pPr>
              <w:spacing w:after="160"/>
              <w:ind w:firstLine="708"/>
              <w:jc w:val="both"/>
              <w:rPr>
                <w:sz w:val="20"/>
                <w:szCs w:val="20"/>
              </w:rPr>
            </w:pPr>
            <w:r w:rsidRPr="00154588">
              <w:rPr>
                <w:sz w:val="20"/>
                <w:szCs w:val="20"/>
              </w:rPr>
              <w:t>d) în cazurile în care o instituție cu o instituție-filială sau cu o sucursală semnificativă într-un alt stat membru a înființat una sau mai multe sucursale într-una sau mai multe state terțe, autoritățile relevante din statele terțe în care au fost situate respectivele sucursale.</w:t>
            </w:r>
          </w:p>
          <w:p w14:paraId="47C5BE04" w14:textId="77777777" w:rsidR="00EB243D" w:rsidRPr="00154588" w:rsidRDefault="00EB243D" w:rsidP="008C12B4">
            <w:pPr>
              <w:jc w:val="both"/>
              <w:rPr>
                <w:sz w:val="20"/>
                <w:szCs w:val="20"/>
              </w:rPr>
            </w:pPr>
          </w:p>
        </w:tc>
        <w:tc>
          <w:tcPr>
            <w:tcW w:w="2552" w:type="dxa"/>
          </w:tcPr>
          <w:p w14:paraId="0AA000E0" w14:textId="136550DF" w:rsidR="00EB243D" w:rsidRPr="00154588" w:rsidRDefault="00EB243D" w:rsidP="008C12B4">
            <w:pPr>
              <w:jc w:val="both"/>
              <w:rPr>
                <w:sz w:val="20"/>
                <w:szCs w:val="20"/>
              </w:rPr>
            </w:pPr>
            <w:r w:rsidRPr="00154588">
              <w:rPr>
                <w:sz w:val="20"/>
                <w:szCs w:val="20"/>
              </w:rPr>
              <w:lastRenderedPageBreak/>
              <w:t>Compatibil</w:t>
            </w:r>
          </w:p>
        </w:tc>
        <w:tc>
          <w:tcPr>
            <w:tcW w:w="3118" w:type="dxa"/>
          </w:tcPr>
          <w:p w14:paraId="374E4022" w14:textId="77777777" w:rsidR="00EB243D" w:rsidRPr="00154588" w:rsidRDefault="00EB243D" w:rsidP="008C12B4">
            <w:pPr>
              <w:jc w:val="both"/>
              <w:rPr>
                <w:sz w:val="20"/>
                <w:szCs w:val="20"/>
              </w:rPr>
            </w:pPr>
          </w:p>
        </w:tc>
      </w:tr>
      <w:tr w:rsidR="00EB243D" w:rsidRPr="00154588" w14:paraId="0767F18E" w14:textId="77777777" w:rsidTr="00D15C1B">
        <w:trPr>
          <w:jc w:val="center"/>
        </w:trPr>
        <w:tc>
          <w:tcPr>
            <w:tcW w:w="4957" w:type="dxa"/>
            <w:gridSpan w:val="2"/>
          </w:tcPr>
          <w:p w14:paraId="6EB17F13" w14:textId="77777777" w:rsidR="00EB243D" w:rsidRPr="00154588" w:rsidRDefault="00EB243D" w:rsidP="008C12B4">
            <w:pPr>
              <w:jc w:val="both"/>
              <w:rPr>
                <w:sz w:val="20"/>
                <w:szCs w:val="20"/>
              </w:rPr>
            </w:pPr>
            <w:r w:rsidRPr="00154588">
              <w:rPr>
                <w:sz w:val="20"/>
                <w:szCs w:val="20"/>
              </w:rPr>
              <w:t>(3)   Acordurile-cadru de cooperare menționate la alineatul (2) instituie procese și acorduri între autoritățile participante privind schimbul de informații necesare pentru cooperarea pentru îndeplinirea parțială sau integrală a următoarelor sarcini și pentru exercitarea unor sau tuturor competențelor următoare în raport cu instituțiile menționate la alineatul (2) literele (a)-(d) sau cu grupurile care le includ:</w:t>
            </w:r>
          </w:p>
          <w:p w14:paraId="3E9D8E03" w14:textId="77777777" w:rsidR="00EB243D" w:rsidRPr="00154588" w:rsidRDefault="00EB243D" w:rsidP="008C12B4">
            <w:pPr>
              <w:jc w:val="both"/>
              <w:rPr>
                <w:sz w:val="20"/>
                <w:szCs w:val="20"/>
              </w:rPr>
            </w:pPr>
          </w:p>
          <w:p w14:paraId="12BA18E0" w14:textId="77777777" w:rsidR="00EB243D" w:rsidRPr="00154588" w:rsidRDefault="00EB243D" w:rsidP="008C12B4">
            <w:pPr>
              <w:jc w:val="both"/>
              <w:rPr>
                <w:sz w:val="20"/>
                <w:szCs w:val="20"/>
              </w:rPr>
            </w:pPr>
          </w:p>
          <w:p w14:paraId="5BD4673E" w14:textId="77777777" w:rsidR="00EB243D" w:rsidRPr="00154588" w:rsidRDefault="00EB243D" w:rsidP="008C12B4">
            <w:pPr>
              <w:jc w:val="both"/>
              <w:rPr>
                <w:sz w:val="20"/>
                <w:szCs w:val="20"/>
              </w:rPr>
            </w:pPr>
          </w:p>
          <w:p w14:paraId="7AC19C3F" w14:textId="233EE32A" w:rsidR="00EB243D" w:rsidRPr="00154588" w:rsidRDefault="00EB243D" w:rsidP="008C12B4">
            <w:pPr>
              <w:jc w:val="both"/>
              <w:rPr>
                <w:sz w:val="20"/>
                <w:szCs w:val="20"/>
              </w:rPr>
            </w:pPr>
            <w:r w:rsidRPr="00154588">
              <w:rPr>
                <w:sz w:val="20"/>
                <w:szCs w:val="20"/>
              </w:rPr>
              <w:t>(a) elaborarea de planuri de rezoluție în conformitate cu articolele 10-13 și cu cerințe similare impuse de legislația țărilor terțe relevante;</w:t>
            </w:r>
          </w:p>
          <w:p w14:paraId="709427CD" w14:textId="77777777" w:rsidR="00EB243D" w:rsidRPr="00154588" w:rsidRDefault="00EB243D" w:rsidP="008C12B4">
            <w:pPr>
              <w:jc w:val="both"/>
              <w:rPr>
                <w:sz w:val="20"/>
                <w:szCs w:val="20"/>
              </w:rPr>
            </w:pPr>
          </w:p>
          <w:p w14:paraId="7EA3F093" w14:textId="77777777" w:rsidR="00EB243D" w:rsidRPr="00154588" w:rsidRDefault="00EB243D" w:rsidP="008C12B4">
            <w:pPr>
              <w:jc w:val="both"/>
              <w:rPr>
                <w:sz w:val="20"/>
                <w:szCs w:val="20"/>
              </w:rPr>
            </w:pPr>
          </w:p>
          <w:p w14:paraId="541D451D" w14:textId="437DC4BC" w:rsidR="00EB243D" w:rsidRPr="00154588" w:rsidRDefault="00EB243D" w:rsidP="008C12B4">
            <w:pPr>
              <w:jc w:val="both"/>
              <w:rPr>
                <w:sz w:val="20"/>
                <w:szCs w:val="20"/>
              </w:rPr>
            </w:pPr>
            <w:r w:rsidRPr="00154588">
              <w:rPr>
                <w:sz w:val="20"/>
                <w:szCs w:val="20"/>
              </w:rPr>
              <w:t>(b) evaluarea posibilităților de soluționare ale acestor instituții și grupuri în conformitate cu articolele 15 și 16 și cu cerințe similare impuse de legislația țărilor terțe relevante;</w:t>
            </w:r>
          </w:p>
          <w:p w14:paraId="01F145C7" w14:textId="77777777" w:rsidR="00EB243D" w:rsidRPr="00154588" w:rsidRDefault="00EB243D" w:rsidP="008C12B4">
            <w:pPr>
              <w:jc w:val="both"/>
              <w:rPr>
                <w:sz w:val="20"/>
                <w:szCs w:val="20"/>
              </w:rPr>
            </w:pPr>
          </w:p>
          <w:p w14:paraId="2F761693" w14:textId="77777777" w:rsidR="00EB243D" w:rsidRPr="00154588" w:rsidRDefault="00EB243D" w:rsidP="008C12B4">
            <w:pPr>
              <w:jc w:val="both"/>
              <w:rPr>
                <w:sz w:val="20"/>
                <w:szCs w:val="20"/>
              </w:rPr>
            </w:pPr>
          </w:p>
          <w:p w14:paraId="686D8FC0" w14:textId="06FD6E51" w:rsidR="00EB243D" w:rsidRPr="00154588" w:rsidRDefault="00EB243D" w:rsidP="008C12B4">
            <w:pPr>
              <w:jc w:val="both"/>
              <w:rPr>
                <w:sz w:val="20"/>
                <w:szCs w:val="20"/>
              </w:rPr>
            </w:pPr>
            <w:r w:rsidRPr="00154588">
              <w:rPr>
                <w:sz w:val="20"/>
                <w:szCs w:val="20"/>
              </w:rPr>
              <w:t>(c) aplicarea competențelor de abordare sau înlăturare a obstacolelor din calea posibilităților de soluționare în conformitate cu articolele 17 și 18 și a oricăror alte competențe similare prevăzute de legislația țărilor terțe relevante;</w:t>
            </w:r>
          </w:p>
          <w:p w14:paraId="4E30A9F7" w14:textId="77777777" w:rsidR="00EB243D" w:rsidRPr="00154588" w:rsidRDefault="00EB243D" w:rsidP="008C12B4">
            <w:pPr>
              <w:jc w:val="both"/>
              <w:rPr>
                <w:sz w:val="20"/>
                <w:szCs w:val="20"/>
              </w:rPr>
            </w:pPr>
          </w:p>
          <w:p w14:paraId="4DAB2E52" w14:textId="36C38CCD" w:rsidR="00EB243D" w:rsidRPr="00154588" w:rsidRDefault="00EB243D" w:rsidP="008C12B4">
            <w:pPr>
              <w:jc w:val="both"/>
              <w:rPr>
                <w:sz w:val="20"/>
                <w:szCs w:val="20"/>
              </w:rPr>
            </w:pPr>
            <w:r w:rsidRPr="00154588">
              <w:rPr>
                <w:sz w:val="20"/>
                <w:szCs w:val="20"/>
              </w:rPr>
              <w:t>(d) aplicarea măsurilor de intervenție timpurie în conformitate cu articolul 27 și a oricăror alte competențe similare prevăzute de legislația țărilor terțe relevante;</w:t>
            </w:r>
          </w:p>
          <w:p w14:paraId="3B1CCFD0" w14:textId="77777777" w:rsidR="00EB243D" w:rsidRPr="00154588" w:rsidRDefault="00EB243D" w:rsidP="008C12B4">
            <w:pPr>
              <w:jc w:val="both"/>
              <w:rPr>
                <w:sz w:val="20"/>
                <w:szCs w:val="20"/>
              </w:rPr>
            </w:pPr>
          </w:p>
          <w:p w14:paraId="68E58EDD" w14:textId="4369392F" w:rsidR="00EB243D" w:rsidRPr="00154588" w:rsidRDefault="00EB243D" w:rsidP="008C12B4">
            <w:pPr>
              <w:jc w:val="both"/>
              <w:rPr>
                <w:sz w:val="20"/>
                <w:szCs w:val="20"/>
              </w:rPr>
            </w:pPr>
            <w:r w:rsidRPr="00154588">
              <w:rPr>
                <w:sz w:val="20"/>
                <w:szCs w:val="20"/>
              </w:rPr>
              <w:t>(e) aplicarea instrumentelor de rezoluție și exercitarea competențelor de rezoluție, precum și a unor competențe similare care pot fi exercitate de către autoritățile relevante din țara terță.</w:t>
            </w:r>
          </w:p>
        </w:tc>
        <w:tc>
          <w:tcPr>
            <w:tcW w:w="4819" w:type="dxa"/>
          </w:tcPr>
          <w:p w14:paraId="5ECC243B" w14:textId="4C022FAB" w:rsidR="00EB243D" w:rsidRPr="00154588" w:rsidRDefault="00EB243D" w:rsidP="008C12B4">
            <w:pPr>
              <w:ind w:firstLine="567"/>
              <w:jc w:val="both"/>
              <w:rPr>
                <w:sz w:val="20"/>
                <w:szCs w:val="20"/>
              </w:rPr>
            </w:pPr>
            <w:r w:rsidRPr="00154588">
              <w:rPr>
                <w:b/>
                <w:sz w:val="20"/>
                <w:szCs w:val="20"/>
              </w:rPr>
              <w:lastRenderedPageBreak/>
              <w:t xml:space="preserve">Articolul </w:t>
            </w:r>
            <w:r w:rsidR="0042303B" w:rsidRPr="00154588">
              <w:rPr>
                <w:b/>
                <w:sz w:val="20"/>
                <w:szCs w:val="20"/>
              </w:rPr>
              <w:t>324</w:t>
            </w:r>
            <w:r w:rsidRPr="00154588">
              <w:rPr>
                <w:b/>
                <w:sz w:val="20"/>
                <w:szCs w:val="20"/>
              </w:rPr>
              <w:t>. –</w:t>
            </w:r>
            <w:r w:rsidRPr="00154588">
              <w:rPr>
                <w:sz w:val="20"/>
                <w:szCs w:val="20"/>
              </w:rPr>
              <w:t xml:space="preserve"> (3)   Acordurile menționate la alin.(1) își propun să garanteze în special instituirea de procese și mecanisme de cooperare între Banca Națională a Moldovei, în calitate de autoritate de rezoluție, și autoritățile relevante din statul terț în vederea îndeplinirii a unor sau tuturor sarcinilor și exercitarea a unor sau tuturor competențelor:</w:t>
            </w:r>
          </w:p>
          <w:p w14:paraId="5896D143" w14:textId="77777777" w:rsidR="00EB243D" w:rsidRPr="00154588" w:rsidRDefault="00EB243D" w:rsidP="008C12B4">
            <w:pPr>
              <w:ind w:firstLine="567"/>
              <w:jc w:val="both"/>
              <w:rPr>
                <w:rStyle w:val="slitbdy"/>
                <w:sz w:val="20"/>
                <w:szCs w:val="20"/>
                <w:bdr w:val="none" w:sz="0" w:space="0" w:color="auto" w:frame="1"/>
                <w:shd w:val="clear" w:color="auto" w:fill="FFFFFF"/>
              </w:rPr>
            </w:pPr>
            <w:r w:rsidRPr="00154588">
              <w:rPr>
                <w:rStyle w:val="slitttl"/>
                <w:sz w:val="20"/>
                <w:szCs w:val="20"/>
                <w:bdr w:val="none" w:sz="0" w:space="0" w:color="auto" w:frame="1"/>
                <w:shd w:val="clear" w:color="auto" w:fill="FFFFFF"/>
              </w:rPr>
              <w:t>a)</w:t>
            </w:r>
            <w:r w:rsidRPr="00154588">
              <w:rPr>
                <w:rStyle w:val="slit"/>
                <w:sz w:val="20"/>
                <w:szCs w:val="20"/>
                <w:bdr w:val="dotted" w:sz="6" w:space="0" w:color="FEFEFE" w:frame="1"/>
                <w:shd w:val="clear" w:color="auto" w:fill="FFFFFF"/>
              </w:rPr>
              <w:t> </w:t>
            </w:r>
            <w:r w:rsidRPr="00154588">
              <w:rPr>
                <w:rStyle w:val="slitbdy"/>
                <w:sz w:val="20"/>
                <w:szCs w:val="20"/>
                <w:bdr w:val="none" w:sz="0" w:space="0" w:color="auto" w:frame="1"/>
                <w:shd w:val="clear" w:color="auto" w:fill="FFFFFF"/>
              </w:rPr>
              <w:t>elaborarea de planuri de rezoluție în conformitate cu prevederile </w:t>
            </w:r>
            <w:r w:rsidRPr="00154588">
              <w:rPr>
                <w:rStyle w:val="slgi"/>
                <w:sz w:val="20"/>
                <w:szCs w:val="20"/>
                <w:bdr w:val="none" w:sz="0" w:space="0" w:color="auto" w:frame="1"/>
                <w:shd w:val="clear" w:color="auto" w:fill="FFFFFF"/>
              </w:rPr>
              <w:t>art.23-31</w:t>
            </w:r>
            <w:r w:rsidRPr="00154588">
              <w:rPr>
                <w:rStyle w:val="slgi"/>
                <w:sz w:val="20"/>
                <w:szCs w:val="20"/>
                <w:bdr w:val="none" w:sz="0" w:space="0" w:color="auto" w:frame="1"/>
                <w:shd w:val="clear" w:color="auto" w:fill="FFFFFF"/>
                <w:vertAlign w:val="superscript"/>
              </w:rPr>
              <w:t>23</w:t>
            </w:r>
            <w:r w:rsidRPr="00154588">
              <w:rPr>
                <w:rStyle w:val="slitbdy"/>
                <w:sz w:val="20"/>
                <w:szCs w:val="20"/>
                <w:bdr w:val="none" w:sz="0" w:space="0" w:color="auto" w:frame="1"/>
                <w:shd w:val="clear" w:color="auto" w:fill="FFFFFF"/>
              </w:rPr>
              <w:t> și cu cerințe similare impuse de legislația statului terț respectiv;</w:t>
            </w:r>
          </w:p>
          <w:p w14:paraId="2CE6CB69" w14:textId="77777777" w:rsidR="00EB243D" w:rsidRPr="00154588" w:rsidRDefault="00EB243D" w:rsidP="008C12B4">
            <w:pPr>
              <w:ind w:firstLine="567"/>
              <w:jc w:val="both"/>
              <w:rPr>
                <w:rStyle w:val="spar"/>
                <w:sz w:val="20"/>
                <w:szCs w:val="20"/>
                <w:bdr w:val="none" w:sz="0" w:space="0" w:color="auto" w:frame="1"/>
                <w:shd w:val="clear" w:color="auto" w:fill="FFFFFF"/>
              </w:rPr>
            </w:pPr>
            <w:r w:rsidRPr="00154588">
              <w:rPr>
                <w:rStyle w:val="slitttl"/>
                <w:sz w:val="20"/>
                <w:szCs w:val="20"/>
                <w:bdr w:val="none" w:sz="0" w:space="0" w:color="auto" w:frame="1"/>
                <w:shd w:val="clear" w:color="auto" w:fill="FFFFFF"/>
              </w:rPr>
              <w:t>b)</w:t>
            </w:r>
            <w:r w:rsidRPr="00154588">
              <w:rPr>
                <w:rStyle w:val="slit"/>
                <w:sz w:val="20"/>
                <w:szCs w:val="20"/>
                <w:bdr w:val="dotted" w:sz="6" w:space="0" w:color="FEFEFE" w:frame="1"/>
                <w:shd w:val="clear" w:color="auto" w:fill="FFFFFF"/>
              </w:rPr>
              <w:t> </w:t>
            </w:r>
            <w:r w:rsidRPr="00154588">
              <w:rPr>
                <w:rStyle w:val="slitbdy"/>
                <w:sz w:val="20"/>
                <w:szCs w:val="20"/>
                <w:bdr w:val="none" w:sz="0" w:space="0" w:color="auto" w:frame="1"/>
                <w:shd w:val="clear" w:color="auto" w:fill="FFFFFF"/>
              </w:rPr>
              <w:t>evaluarea posibilităților de soluționare ale acestor instituții și grupuri în conformitate cu prevederile </w:t>
            </w:r>
            <w:r w:rsidRPr="00154588">
              <w:rPr>
                <w:rStyle w:val="slgi"/>
                <w:sz w:val="20"/>
                <w:szCs w:val="20"/>
                <w:bdr w:val="none" w:sz="0" w:space="0" w:color="auto" w:frame="1"/>
                <w:shd w:val="clear" w:color="auto" w:fill="FFFFFF"/>
              </w:rPr>
              <w:t>art.32-34</w:t>
            </w:r>
            <w:r w:rsidRPr="00154588">
              <w:rPr>
                <w:rStyle w:val="slgi"/>
                <w:sz w:val="20"/>
                <w:szCs w:val="20"/>
                <w:bdr w:val="none" w:sz="0" w:space="0" w:color="auto" w:frame="1"/>
                <w:shd w:val="clear" w:color="auto" w:fill="FFFFFF"/>
                <w:vertAlign w:val="superscript"/>
              </w:rPr>
              <w:t>4</w:t>
            </w:r>
            <w:r w:rsidRPr="00154588">
              <w:rPr>
                <w:rStyle w:val="slgi"/>
                <w:sz w:val="20"/>
                <w:szCs w:val="20"/>
                <w:bdr w:val="none" w:sz="0" w:space="0" w:color="auto" w:frame="1"/>
                <w:shd w:val="clear" w:color="auto" w:fill="FFFFFF"/>
              </w:rPr>
              <w:t xml:space="preserve"> </w:t>
            </w:r>
            <w:r w:rsidRPr="00154588">
              <w:rPr>
                <w:rStyle w:val="slitbdy"/>
                <w:sz w:val="20"/>
                <w:szCs w:val="20"/>
                <w:bdr w:val="none" w:sz="0" w:space="0" w:color="auto" w:frame="1"/>
                <w:shd w:val="clear" w:color="auto" w:fill="FFFFFF"/>
              </w:rPr>
              <w:t>și cu cerințe similare impuse de legislația țării terțe respective;</w:t>
            </w:r>
          </w:p>
          <w:p w14:paraId="2D164D58" w14:textId="77777777" w:rsidR="00EB243D" w:rsidRPr="00154588" w:rsidRDefault="00EB243D" w:rsidP="008C12B4">
            <w:pPr>
              <w:ind w:firstLine="567"/>
              <w:jc w:val="both"/>
              <w:rPr>
                <w:rStyle w:val="slitbdy"/>
                <w:sz w:val="20"/>
                <w:szCs w:val="20"/>
                <w:bdr w:val="none" w:sz="0" w:space="0" w:color="auto" w:frame="1"/>
                <w:shd w:val="clear" w:color="auto" w:fill="FFFFFF"/>
              </w:rPr>
            </w:pPr>
            <w:r w:rsidRPr="00154588">
              <w:rPr>
                <w:rStyle w:val="slitttl"/>
                <w:sz w:val="20"/>
                <w:szCs w:val="20"/>
                <w:bdr w:val="none" w:sz="0" w:space="0" w:color="auto" w:frame="1"/>
                <w:shd w:val="clear" w:color="auto" w:fill="FFFFFF"/>
              </w:rPr>
              <w:lastRenderedPageBreak/>
              <w:t>c)</w:t>
            </w:r>
            <w:r w:rsidRPr="00154588">
              <w:rPr>
                <w:rStyle w:val="slit"/>
                <w:sz w:val="20"/>
                <w:szCs w:val="20"/>
                <w:bdr w:val="dotted" w:sz="6" w:space="0" w:color="FEFEFE" w:frame="1"/>
                <w:shd w:val="clear" w:color="auto" w:fill="FFFFFF"/>
              </w:rPr>
              <w:t> </w:t>
            </w:r>
            <w:r w:rsidRPr="00154588">
              <w:rPr>
                <w:rStyle w:val="slitbdy"/>
                <w:sz w:val="20"/>
                <w:szCs w:val="20"/>
                <w:bdr w:val="none" w:sz="0" w:space="0" w:color="auto" w:frame="1"/>
                <w:shd w:val="clear" w:color="auto" w:fill="FFFFFF"/>
              </w:rPr>
              <w:t>aplicarea competențelor de abordare sau înlăturare a obstacolelor din calea posibilităților de soluționare în conformitate cu prevederile </w:t>
            </w:r>
            <w:r w:rsidRPr="00154588">
              <w:rPr>
                <w:rStyle w:val="slgi"/>
                <w:sz w:val="20"/>
                <w:szCs w:val="20"/>
                <w:bdr w:val="none" w:sz="0" w:space="0" w:color="auto" w:frame="1"/>
                <w:shd w:val="clear" w:color="auto" w:fill="FFFFFF"/>
              </w:rPr>
              <w:t>art.35-41</w:t>
            </w:r>
            <w:r w:rsidRPr="00154588">
              <w:rPr>
                <w:rStyle w:val="slgi"/>
                <w:sz w:val="20"/>
                <w:szCs w:val="20"/>
                <w:bdr w:val="none" w:sz="0" w:space="0" w:color="auto" w:frame="1"/>
                <w:shd w:val="clear" w:color="auto" w:fill="FFFFFF"/>
                <w:vertAlign w:val="superscript"/>
              </w:rPr>
              <w:t>8</w:t>
            </w:r>
            <w:r w:rsidRPr="00154588">
              <w:rPr>
                <w:rStyle w:val="slitbdy"/>
                <w:sz w:val="20"/>
                <w:szCs w:val="20"/>
                <w:bdr w:val="none" w:sz="0" w:space="0" w:color="auto" w:frame="1"/>
                <w:shd w:val="clear" w:color="auto" w:fill="FFFFFF"/>
              </w:rPr>
              <w:t> și a oricăror altor competențe similare prevăzute de legislația statului terț respectiv;</w:t>
            </w:r>
          </w:p>
          <w:p w14:paraId="4BA1E669" w14:textId="77777777" w:rsidR="00EB243D" w:rsidRPr="00154588" w:rsidRDefault="00EB243D" w:rsidP="008C12B4">
            <w:pPr>
              <w:ind w:firstLine="567"/>
              <w:jc w:val="both"/>
              <w:rPr>
                <w:rStyle w:val="slitbdy"/>
                <w:sz w:val="20"/>
                <w:szCs w:val="20"/>
                <w:bdr w:val="none" w:sz="0" w:space="0" w:color="auto" w:frame="1"/>
                <w:shd w:val="clear" w:color="auto" w:fill="FFFFFF"/>
              </w:rPr>
            </w:pPr>
            <w:r w:rsidRPr="00154588">
              <w:rPr>
                <w:rStyle w:val="slitttl"/>
                <w:sz w:val="20"/>
                <w:szCs w:val="20"/>
                <w:bdr w:val="none" w:sz="0" w:space="0" w:color="auto" w:frame="1"/>
                <w:shd w:val="clear" w:color="auto" w:fill="FFFFFF"/>
              </w:rPr>
              <w:t>d)</w:t>
            </w:r>
            <w:r w:rsidRPr="00154588">
              <w:rPr>
                <w:rStyle w:val="slit"/>
                <w:sz w:val="20"/>
                <w:szCs w:val="20"/>
                <w:bdr w:val="dotted" w:sz="6" w:space="0" w:color="FEFEFE" w:frame="1"/>
                <w:shd w:val="clear" w:color="auto" w:fill="FFFFFF"/>
              </w:rPr>
              <w:t> </w:t>
            </w:r>
            <w:r w:rsidRPr="00154588">
              <w:rPr>
                <w:rStyle w:val="slitbdy"/>
                <w:sz w:val="20"/>
                <w:szCs w:val="20"/>
                <w:bdr w:val="none" w:sz="0" w:space="0" w:color="auto" w:frame="1"/>
                <w:shd w:val="clear" w:color="auto" w:fill="FFFFFF"/>
              </w:rPr>
              <w:t>aplicarea măsurilor de intervenție timpurie în conformitate cu prevederile </w:t>
            </w:r>
            <w:r w:rsidRPr="00154588">
              <w:rPr>
                <w:rStyle w:val="slgi"/>
                <w:sz w:val="20"/>
                <w:szCs w:val="20"/>
                <w:bdr w:val="none" w:sz="0" w:space="0" w:color="auto" w:frame="1"/>
                <w:shd w:val="clear" w:color="auto" w:fill="FFFFFF"/>
              </w:rPr>
              <w:t>art.42-44</w:t>
            </w:r>
            <w:r w:rsidRPr="00154588">
              <w:rPr>
                <w:rStyle w:val="slitbdy"/>
                <w:sz w:val="20"/>
                <w:szCs w:val="20"/>
                <w:bdr w:val="none" w:sz="0" w:space="0" w:color="auto" w:frame="1"/>
                <w:shd w:val="clear" w:color="auto" w:fill="FFFFFF"/>
              </w:rPr>
              <w:t> și a oricăror altor competențe similare prevăzute de legislația statului terț respectiv;</w:t>
            </w:r>
          </w:p>
          <w:p w14:paraId="1D1121E3" w14:textId="77777777" w:rsidR="00EB243D" w:rsidRPr="00154588" w:rsidRDefault="00EB243D" w:rsidP="008C12B4">
            <w:pPr>
              <w:ind w:firstLine="567"/>
              <w:jc w:val="both"/>
              <w:rPr>
                <w:sz w:val="20"/>
                <w:szCs w:val="20"/>
              </w:rPr>
            </w:pPr>
            <w:r w:rsidRPr="00154588">
              <w:rPr>
                <w:rStyle w:val="slitttl"/>
                <w:sz w:val="20"/>
                <w:szCs w:val="20"/>
                <w:bdr w:val="none" w:sz="0" w:space="0" w:color="auto" w:frame="1"/>
                <w:shd w:val="clear" w:color="auto" w:fill="FFFFFF"/>
              </w:rPr>
              <w:t>e)</w:t>
            </w:r>
            <w:r w:rsidRPr="00154588">
              <w:rPr>
                <w:rStyle w:val="slit"/>
                <w:sz w:val="20"/>
                <w:szCs w:val="20"/>
                <w:bdr w:val="dotted" w:sz="6" w:space="0" w:color="FEFEFE" w:frame="1"/>
                <w:shd w:val="clear" w:color="auto" w:fill="FFFFFF"/>
              </w:rPr>
              <w:t> </w:t>
            </w:r>
            <w:r w:rsidRPr="00154588">
              <w:rPr>
                <w:rStyle w:val="slitbdy"/>
                <w:sz w:val="20"/>
                <w:szCs w:val="20"/>
                <w:bdr w:val="none" w:sz="0" w:space="0" w:color="auto" w:frame="1"/>
                <w:shd w:val="clear" w:color="auto" w:fill="FFFFFF"/>
              </w:rPr>
              <w:t xml:space="preserve">aplicarea instrumentelor de rezoluție și exercitarea competențelor de rezoluție, precum și a unor competențe </w:t>
            </w:r>
            <w:r w:rsidRPr="00154588">
              <w:rPr>
                <w:rStyle w:val="slitbdy"/>
                <w:color w:val="000000"/>
                <w:sz w:val="20"/>
                <w:szCs w:val="20"/>
                <w:bdr w:val="none" w:sz="0" w:space="0" w:color="auto" w:frame="1"/>
                <w:shd w:val="clear" w:color="auto" w:fill="FFFFFF"/>
              </w:rPr>
              <w:t>similare care pot fi exercitate de către autoritățile relevante din statul terț respectiv.</w:t>
            </w:r>
          </w:p>
          <w:p w14:paraId="163CAC93" w14:textId="77777777" w:rsidR="00EB243D" w:rsidRPr="00154588" w:rsidRDefault="00EB243D" w:rsidP="008C12B4">
            <w:pPr>
              <w:ind w:firstLine="567"/>
              <w:jc w:val="both"/>
              <w:rPr>
                <w:sz w:val="20"/>
                <w:szCs w:val="20"/>
              </w:rPr>
            </w:pPr>
          </w:p>
        </w:tc>
        <w:tc>
          <w:tcPr>
            <w:tcW w:w="2552" w:type="dxa"/>
          </w:tcPr>
          <w:p w14:paraId="35574CC5" w14:textId="30DC3CA6" w:rsidR="00EB243D" w:rsidRPr="00154588" w:rsidRDefault="00EB243D" w:rsidP="008C12B4">
            <w:pPr>
              <w:jc w:val="both"/>
              <w:rPr>
                <w:sz w:val="20"/>
                <w:szCs w:val="20"/>
              </w:rPr>
            </w:pPr>
            <w:r w:rsidRPr="00154588">
              <w:rPr>
                <w:sz w:val="20"/>
                <w:szCs w:val="20"/>
              </w:rPr>
              <w:lastRenderedPageBreak/>
              <w:t>Compatibil</w:t>
            </w:r>
          </w:p>
        </w:tc>
        <w:tc>
          <w:tcPr>
            <w:tcW w:w="3118" w:type="dxa"/>
          </w:tcPr>
          <w:p w14:paraId="7128F602" w14:textId="77777777" w:rsidR="00EB243D" w:rsidRPr="00154588" w:rsidRDefault="00EB243D" w:rsidP="008C12B4">
            <w:pPr>
              <w:jc w:val="both"/>
              <w:rPr>
                <w:sz w:val="20"/>
                <w:szCs w:val="20"/>
              </w:rPr>
            </w:pPr>
          </w:p>
        </w:tc>
      </w:tr>
      <w:tr w:rsidR="00EB243D" w:rsidRPr="00154588" w14:paraId="23D9912C" w14:textId="77777777" w:rsidTr="00D15C1B">
        <w:trPr>
          <w:jc w:val="center"/>
        </w:trPr>
        <w:tc>
          <w:tcPr>
            <w:tcW w:w="4957" w:type="dxa"/>
            <w:gridSpan w:val="2"/>
          </w:tcPr>
          <w:p w14:paraId="461E0B88" w14:textId="77777777" w:rsidR="00EB243D" w:rsidRPr="00154588" w:rsidRDefault="00EB243D" w:rsidP="008C12B4">
            <w:pPr>
              <w:jc w:val="both"/>
              <w:rPr>
                <w:sz w:val="20"/>
                <w:szCs w:val="20"/>
              </w:rPr>
            </w:pPr>
            <w:r w:rsidRPr="00154588">
              <w:rPr>
                <w:sz w:val="20"/>
                <w:szCs w:val="20"/>
              </w:rPr>
              <w:t>(4)   Autoritățile competente sau, după caz, autoritățile de rezoluție încheie acorduri de cooperare neobligatorii în conformitate cu acordul-cadru încheiat de ABE cu autoritățile relevante din țările terțe menționate la alineatul (2).</w:t>
            </w:r>
          </w:p>
          <w:p w14:paraId="223FF538" w14:textId="77777777" w:rsidR="00EB243D" w:rsidRPr="00154588" w:rsidRDefault="00EB243D" w:rsidP="008C12B4">
            <w:pPr>
              <w:jc w:val="both"/>
              <w:rPr>
                <w:sz w:val="20"/>
                <w:szCs w:val="20"/>
              </w:rPr>
            </w:pPr>
          </w:p>
          <w:p w14:paraId="5CA7C98B" w14:textId="77777777" w:rsidR="00EB243D" w:rsidRPr="00154588" w:rsidRDefault="00EB243D" w:rsidP="008C12B4">
            <w:pPr>
              <w:jc w:val="both"/>
              <w:rPr>
                <w:sz w:val="20"/>
                <w:szCs w:val="20"/>
              </w:rPr>
            </w:pPr>
          </w:p>
          <w:p w14:paraId="1103059A" w14:textId="77777777" w:rsidR="00EB243D" w:rsidRPr="00154588" w:rsidRDefault="00EB243D" w:rsidP="008C12B4">
            <w:pPr>
              <w:jc w:val="both"/>
              <w:rPr>
                <w:sz w:val="20"/>
                <w:szCs w:val="20"/>
              </w:rPr>
            </w:pPr>
          </w:p>
          <w:p w14:paraId="51ABB76D" w14:textId="56414D51" w:rsidR="00EB243D" w:rsidRPr="00154588" w:rsidRDefault="00EB243D" w:rsidP="008C12B4">
            <w:pPr>
              <w:jc w:val="both"/>
              <w:rPr>
                <w:sz w:val="20"/>
                <w:szCs w:val="20"/>
              </w:rPr>
            </w:pPr>
            <w:r w:rsidRPr="00154588">
              <w:rPr>
                <w:sz w:val="20"/>
                <w:szCs w:val="20"/>
              </w:rPr>
              <w:t>Prezentul articol nu împiedică statele membre sau autoritățile competente ale acestora să încheie acorduri bilaterale sau multilaterale cu țări terțe, în conformitate cu articolul 33 din Regulamentul (UE) nr. 1093/2010.</w:t>
            </w:r>
          </w:p>
        </w:tc>
        <w:tc>
          <w:tcPr>
            <w:tcW w:w="4819" w:type="dxa"/>
          </w:tcPr>
          <w:p w14:paraId="605EDA84" w14:textId="0AEB81B9" w:rsidR="00EB243D" w:rsidRPr="00154588" w:rsidRDefault="00EB243D" w:rsidP="008C12B4">
            <w:pPr>
              <w:ind w:firstLine="567"/>
              <w:jc w:val="both"/>
              <w:rPr>
                <w:sz w:val="20"/>
                <w:szCs w:val="20"/>
              </w:rPr>
            </w:pPr>
            <w:r w:rsidRPr="00154588">
              <w:rPr>
                <w:b/>
                <w:sz w:val="20"/>
                <w:szCs w:val="20"/>
              </w:rPr>
              <w:t xml:space="preserve">Articolul </w:t>
            </w:r>
            <w:r w:rsidR="0042303B" w:rsidRPr="00154588">
              <w:rPr>
                <w:b/>
                <w:sz w:val="20"/>
                <w:szCs w:val="20"/>
              </w:rPr>
              <w:t>328</w:t>
            </w:r>
            <w:r w:rsidRPr="00154588">
              <w:rPr>
                <w:b/>
                <w:sz w:val="20"/>
                <w:szCs w:val="20"/>
              </w:rPr>
              <w:t>.</w:t>
            </w:r>
            <w:r w:rsidRPr="00154588">
              <w:rPr>
                <w:sz w:val="20"/>
                <w:szCs w:val="20"/>
              </w:rPr>
              <w:t xml:space="preserve"> - (4) Dispozițiile prezentului articol nu împiedică Republica Moldova sau Banca Națională a Moldovei, în calitatea sa de autoritate competentă sau, după caz, de autoritate de rezoluție, să încheie acorduri bilaterale sau multilaterale cu state terțe, în conformitate cu normele art.33 din Regulamentul (UE) nr.1093/2010.</w:t>
            </w:r>
          </w:p>
          <w:p w14:paraId="3B3D1E3A" w14:textId="77777777" w:rsidR="00EB243D" w:rsidRPr="00154588" w:rsidRDefault="00EB243D" w:rsidP="008C12B4">
            <w:pPr>
              <w:jc w:val="both"/>
              <w:rPr>
                <w:sz w:val="20"/>
                <w:szCs w:val="20"/>
              </w:rPr>
            </w:pPr>
          </w:p>
        </w:tc>
        <w:tc>
          <w:tcPr>
            <w:tcW w:w="2552" w:type="dxa"/>
          </w:tcPr>
          <w:p w14:paraId="28650F09" w14:textId="0C0F8AA5" w:rsidR="00EB243D" w:rsidRPr="00154588" w:rsidRDefault="00EB243D" w:rsidP="008C12B4">
            <w:pPr>
              <w:jc w:val="both"/>
              <w:rPr>
                <w:sz w:val="20"/>
                <w:szCs w:val="20"/>
              </w:rPr>
            </w:pPr>
            <w:r w:rsidRPr="00154588">
              <w:rPr>
                <w:sz w:val="20"/>
                <w:szCs w:val="20"/>
              </w:rPr>
              <w:t>Compatibil</w:t>
            </w:r>
          </w:p>
        </w:tc>
        <w:tc>
          <w:tcPr>
            <w:tcW w:w="3118" w:type="dxa"/>
          </w:tcPr>
          <w:p w14:paraId="47FE891C" w14:textId="77777777" w:rsidR="00EB243D" w:rsidRPr="00154588" w:rsidRDefault="00EB243D" w:rsidP="008C12B4">
            <w:pPr>
              <w:jc w:val="both"/>
              <w:rPr>
                <w:sz w:val="20"/>
                <w:szCs w:val="20"/>
              </w:rPr>
            </w:pPr>
          </w:p>
        </w:tc>
      </w:tr>
      <w:tr w:rsidR="00EB243D" w:rsidRPr="00154588" w14:paraId="16DA00F2" w14:textId="77777777" w:rsidTr="00D15C1B">
        <w:trPr>
          <w:jc w:val="center"/>
        </w:trPr>
        <w:tc>
          <w:tcPr>
            <w:tcW w:w="4957" w:type="dxa"/>
            <w:gridSpan w:val="2"/>
          </w:tcPr>
          <w:p w14:paraId="0EA29F12" w14:textId="77777777" w:rsidR="00EB243D" w:rsidRPr="00154588" w:rsidRDefault="00EB243D" w:rsidP="008C12B4">
            <w:pPr>
              <w:jc w:val="both"/>
              <w:rPr>
                <w:sz w:val="20"/>
                <w:szCs w:val="20"/>
              </w:rPr>
            </w:pPr>
            <w:r w:rsidRPr="00154588">
              <w:rPr>
                <w:sz w:val="20"/>
                <w:szCs w:val="20"/>
              </w:rPr>
              <w:t>(5)   Acordurile de cooperare încheiate între autoritățile de rezoluție ale statelor membre și cele ale țărilor terțe în conformitate cu prezentul articol pot să includă dispoziții privind următoarele aspecte:</w:t>
            </w:r>
          </w:p>
          <w:p w14:paraId="700985AC" w14:textId="77777777" w:rsidR="00EB243D" w:rsidRPr="00154588" w:rsidRDefault="00EB243D" w:rsidP="008C12B4">
            <w:pPr>
              <w:jc w:val="both"/>
              <w:rPr>
                <w:sz w:val="20"/>
                <w:szCs w:val="20"/>
              </w:rPr>
            </w:pPr>
          </w:p>
          <w:p w14:paraId="659695BD" w14:textId="5E11E84C" w:rsidR="00EB243D" w:rsidRPr="00154588" w:rsidRDefault="00EB243D" w:rsidP="008C12B4">
            <w:pPr>
              <w:jc w:val="both"/>
              <w:rPr>
                <w:sz w:val="20"/>
                <w:szCs w:val="20"/>
              </w:rPr>
            </w:pPr>
            <w:r w:rsidRPr="00154588">
              <w:rPr>
                <w:sz w:val="20"/>
                <w:szCs w:val="20"/>
              </w:rPr>
              <w:t>(a) schimbul de informații necesar pentru pregătirea și actualizarea planurilor de rezoluție;</w:t>
            </w:r>
          </w:p>
          <w:p w14:paraId="5CFB6FAA" w14:textId="77777777" w:rsidR="00EB243D" w:rsidRPr="00154588" w:rsidRDefault="00EB243D" w:rsidP="008C12B4">
            <w:pPr>
              <w:jc w:val="both"/>
              <w:rPr>
                <w:sz w:val="20"/>
                <w:szCs w:val="20"/>
              </w:rPr>
            </w:pPr>
          </w:p>
          <w:p w14:paraId="1F488485" w14:textId="3FB11505" w:rsidR="00EB243D" w:rsidRPr="00154588" w:rsidRDefault="00EB243D" w:rsidP="008C12B4">
            <w:pPr>
              <w:jc w:val="both"/>
              <w:rPr>
                <w:sz w:val="20"/>
                <w:szCs w:val="20"/>
              </w:rPr>
            </w:pPr>
            <w:r w:rsidRPr="00154588">
              <w:rPr>
                <w:sz w:val="20"/>
                <w:szCs w:val="20"/>
              </w:rPr>
              <w:t xml:space="preserve">(b) consultarea și cooperarea pentru elaborarea planurilor de rezoluție, inclusiv a principiilor care </w:t>
            </w:r>
            <w:r w:rsidRPr="00154588">
              <w:rPr>
                <w:sz w:val="20"/>
                <w:szCs w:val="20"/>
              </w:rPr>
              <w:lastRenderedPageBreak/>
              <w:t>guvernează exercitarea competențelor menționate la articolele 94 și 96 și a unor competențe similare prevăzute de legislația țărilor terțe relevante;</w:t>
            </w:r>
          </w:p>
          <w:p w14:paraId="3C109B90" w14:textId="77777777" w:rsidR="00EB243D" w:rsidRPr="00154588" w:rsidRDefault="00EB243D" w:rsidP="008C12B4">
            <w:pPr>
              <w:jc w:val="both"/>
              <w:rPr>
                <w:sz w:val="20"/>
                <w:szCs w:val="20"/>
              </w:rPr>
            </w:pPr>
          </w:p>
          <w:p w14:paraId="2213E1D8" w14:textId="2C331B75" w:rsidR="00EB243D" w:rsidRPr="00154588" w:rsidRDefault="00EB243D" w:rsidP="008C12B4">
            <w:pPr>
              <w:jc w:val="both"/>
              <w:rPr>
                <w:sz w:val="20"/>
                <w:szCs w:val="20"/>
              </w:rPr>
            </w:pPr>
            <w:r w:rsidRPr="00154588">
              <w:rPr>
                <w:sz w:val="20"/>
                <w:szCs w:val="20"/>
              </w:rPr>
              <w:t>(c) schimbul de informații necesare pentru aplicarea instrumentelor de rezoluție și exercitarea competențelor de rezoluție și a unor competențe similare prevăzute de legislația țărilor terțe relevante;</w:t>
            </w:r>
          </w:p>
          <w:p w14:paraId="6FCBE02D" w14:textId="77777777" w:rsidR="00EB243D" w:rsidRPr="00154588" w:rsidRDefault="00EB243D" w:rsidP="008C12B4">
            <w:pPr>
              <w:jc w:val="both"/>
              <w:rPr>
                <w:sz w:val="20"/>
                <w:szCs w:val="20"/>
              </w:rPr>
            </w:pPr>
          </w:p>
          <w:p w14:paraId="4873D5BC" w14:textId="630E0718" w:rsidR="00EB243D" w:rsidRPr="00154588" w:rsidRDefault="00EB243D" w:rsidP="008C12B4">
            <w:pPr>
              <w:jc w:val="both"/>
              <w:rPr>
                <w:sz w:val="20"/>
                <w:szCs w:val="20"/>
              </w:rPr>
            </w:pPr>
            <w:r w:rsidRPr="00154588">
              <w:rPr>
                <w:sz w:val="20"/>
                <w:szCs w:val="20"/>
              </w:rPr>
              <w:t>(d) avertizări timpurii adresate părților la acordul de cooperare sau consultarea acestora înainte de luarea oricărei măsuri importante în temeiul prezentei directive sau al legislației țărilor terțe relevante în raport cu instituția sau grupul care face obiectul acordului;</w:t>
            </w:r>
          </w:p>
          <w:p w14:paraId="1EDB650A" w14:textId="77777777" w:rsidR="00EB243D" w:rsidRPr="00154588" w:rsidRDefault="00EB243D" w:rsidP="008C12B4">
            <w:pPr>
              <w:jc w:val="both"/>
              <w:rPr>
                <w:sz w:val="20"/>
                <w:szCs w:val="20"/>
              </w:rPr>
            </w:pPr>
          </w:p>
          <w:p w14:paraId="1DA6C96B" w14:textId="0D8C866F" w:rsidR="00EB243D" w:rsidRPr="00154588" w:rsidRDefault="00EB243D" w:rsidP="008C12B4">
            <w:pPr>
              <w:jc w:val="both"/>
              <w:rPr>
                <w:sz w:val="20"/>
                <w:szCs w:val="20"/>
              </w:rPr>
            </w:pPr>
            <w:r w:rsidRPr="00154588">
              <w:rPr>
                <w:sz w:val="20"/>
                <w:szCs w:val="20"/>
              </w:rPr>
              <w:t>(e) coordonarea comunicărilor publice în cazul luării unor măsuri comune de rezoluție;</w:t>
            </w:r>
          </w:p>
          <w:p w14:paraId="2289D19C" w14:textId="77777777" w:rsidR="00EB243D" w:rsidRPr="00154588" w:rsidRDefault="00EB243D" w:rsidP="008C12B4">
            <w:pPr>
              <w:jc w:val="both"/>
              <w:rPr>
                <w:sz w:val="20"/>
                <w:szCs w:val="20"/>
              </w:rPr>
            </w:pPr>
          </w:p>
          <w:p w14:paraId="32574628" w14:textId="75F68656" w:rsidR="00EB243D" w:rsidRPr="00154588" w:rsidRDefault="00EB243D" w:rsidP="008C12B4">
            <w:pPr>
              <w:jc w:val="both"/>
              <w:rPr>
                <w:sz w:val="20"/>
                <w:szCs w:val="20"/>
              </w:rPr>
            </w:pPr>
            <w:r w:rsidRPr="00154588">
              <w:rPr>
                <w:sz w:val="20"/>
                <w:szCs w:val="20"/>
              </w:rPr>
              <w:t>(f) procedurile și acordurile privind schimbul de informații și cooperarea în conformitate cu literele (a)-(e), inclusiv, după caz, prin instituirea și utilizarea unor grupuri de gestionare a crizelor.</w:t>
            </w:r>
          </w:p>
        </w:tc>
        <w:tc>
          <w:tcPr>
            <w:tcW w:w="4819" w:type="dxa"/>
          </w:tcPr>
          <w:p w14:paraId="32D8D2BA" w14:textId="07DC5E71" w:rsidR="00EB243D" w:rsidRPr="00154588" w:rsidRDefault="00EB243D" w:rsidP="008C12B4">
            <w:pPr>
              <w:ind w:firstLine="567"/>
              <w:jc w:val="both"/>
              <w:rPr>
                <w:sz w:val="20"/>
                <w:szCs w:val="20"/>
              </w:rPr>
            </w:pPr>
            <w:r w:rsidRPr="00154588">
              <w:rPr>
                <w:b/>
                <w:sz w:val="20"/>
                <w:szCs w:val="20"/>
              </w:rPr>
              <w:lastRenderedPageBreak/>
              <w:t xml:space="preserve">Articolul </w:t>
            </w:r>
            <w:r w:rsidR="0042303B" w:rsidRPr="00154588">
              <w:rPr>
                <w:b/>
                <w:sz w:val="20"/>
                <w:szCs w:val="20"/>
              </w:rPr>
              <w:t>328</w:t>
            </w:r>
            <w:r w:rsidRPr="00154588">
              <w:rPr>
                <w:b/>
                <w:sz w:val="20"/>
                <w:szCs w:val="20"/>
              </w:rPr>
              <w:t>.</w:t>
            </w:r>
            <w:r w:rsidRPr="00154588">
              <w:rPr>
                <w:sz w:val="20"/>
                <w:szCs w:val="20"/>
              </w:rPr>
              <w:t xml:space="preserve"> - (3) Acordurile de cooperare încheiate între Banca Națională a Moldovei, în calitate de autoritate de rezoluție și autoritățile de rezoluție ale statelor terțe în conformitate cu prezentul articol pot include dispoziţii privind următoarele aspecte:</w:t>
            </w:r>
          </w:p>
          <w:p w14:paraId="431903B6" w14:textId="77777777" w:rsidR="00EB243D" w:rsidRPr="00154588" w:rsidRDefault="00EB243D" w:rsidP="008C12B4">
            <w:pPr>
              <w:ind w:firstLine="567"/>
              <w:jc w:val="both"/>
              <w:rPr>
                <w:sz w:val="20"/>
                <w:szCs w:val="20"/>
              </w:rPr>
            </w:pPr>
            <w:r w:rsidRPr="00154588">
              <w:rPr>
                <w:sz w:val="20"/>
                <w:szCs w:val="20"/>
              </w:rPr>
              <w:t>a) schimbul de informaţii necesare pentru pregătirea şi actualizarea planurilor de rezoluţie;</w:t>
            </w:r>
          </w:p>
          <w:p w14:paraId="31B0244D" w14:textId="2C1FCC6D" w:rsidR="00EB243D" w:rsidRPr="00154588" w:rsidRDefault="00EB243D" w:rsidP="008C12B4">
            <w:pPr>
              <w:ind w:firstLine="567"/>
              <w:jc w:val="both"/>
              <w:rPr>
                <w:sz w:val="20"/>
                <w:szCs w:val="20"/>
              </w:rPr>
            </w:pPr>
            <w:r w:rsidRPr="00154588">
              <w:rPr>
                <w:sz w:val="20"/>
                <w:szCs w:val="20"/>
              </w:rPr>
              <w:t xml:space="preserve">b) consultarea şi cooperarea în elaborarea planurilor de rezoluţie în conformitate cu prezenta </w:t>
            </w:r>
            <w:r w:rsidRPr="00154588">
              <w:rPr>
                <w:sz w:val="20"/>
                <w:szCs w:val="20"/>
              </w:rPr>
              <w:lastRenderedPageBreak/>
              <w:t>lege, inclusiv a principiilor care guvernează exercitarea competențelor menționate la art.</w:t>
            </w:r>
            <w:r w:rsidR="0042303B" w:rsidRPr="00154588">
              <w:rPr>
                <w:sz w:val="20"/>
                <w:szCs w:val="20"/>
              </w:rPr>
              <w:t xml:space="preserve">325 </w:t>
            </w:r>
            <w:r w:rsidRPr="00154588">
              <w:rPr>
                <w:sz w:val="20"/>
                <w:szCs w:val="20"/>
              </w:rPr>
              <w:t>și 326 și a unor competențe similare prevăzute de legislația statelor terțe relevante;</w:t>
            </w:r>
          </w:p>
          <w:p w14:paraId="4D6D66E1" w14:textId="77777777" w:rsidR="00EB243D" w:rsidRPr="00154588" w:rsidRDefault="00EB243D" w:rsidP="008C12B4">
            <w:pPr>
              <w:ind w:firstLine="567"/>
              <w:jc w:val="both"/>
              <w:rPr>
                <w:sz w:val="20"/>
                <w:szCs w:val="20"/>
              </w:rPr>
            </w:pPr>
            <w:r w:rsidRPr="00154588">
              <w:rPr>
                <w:sz w:val="20"/>
                <w:szCs w:val="20"/>
              </w:rPr>
              <w:t>c) schimbul de informaţii necesare pentru aplicarea instrumentelor de rezoluţie şi exercitarea competenţelor de rezoluţie şi a competenţelor similare conform legislaţiei statelor terțe relevante;</w:t>
            </w:r>
          </w:p>
          <w:p w14:paraId="79109575" w14:textId="77777777" w:rsidR="00EB243D" w:rsidRPr="00154588" w:rsidRDefault="00EB243D" w:rsidP="008C12B4">
            <w:pPr>
              <w:ind w:firstLine="567"/>
              <w:jc w:val="both"/>
              <w:rPr>
                <w:sz w:val="20"/>
                <w:szCs w:val="20"/>
              </w:rPr>
            </w:pPr>
            <w:r w:rsidRPr="00154588">
              <w:rPr>
                <w:sz w:val="20"/>
                <w:szCs w:val="20"/>
              </w:rPr>
              <w:t>d) avertizări timpurii adresate părților la acordul de cooperare sau</w:t>
            </w:r>
            <w:r w:rsidRPr="00154588" w:rsidDel="009D26E4">
              <w:rPr>
                <w:sz w:val="20"/>
                <w:szCs w:val="20"/>
              </w:rPr>
              <w:t xml:space="preserve"> </w:t>
            </w:r>
            <w:r w:rsidRPr="00154588">
              <w:rPr>
                <w:sz w:val="20"/>
                <w:szCs w:val="20"/>
              </w:rPr>
              <w:t>consultarea acestora înainte de a întreprinde orice acţiune semnificativă, în temeiul prezentei legi sau al legii relevante din statul terț relevant în raport cu instituția sau grupul care face obiectul acordului</w:t>
            </w:r>
            <w:r w:rsidRPr="00154588" w:rsidDel="009D26E4">
              <w:rPr>
                <w:sz w:val="20"/>
                <w:szCs w:val="20"/>
              </w:rPr>
              <w:t xml:space="preserve"> </w:t>
            </w:r>
            <w:r w:rsidRPr="00154588">
              <w:rPr>
                <w:sz w:val="20"/>
                <w:szCs w:val="20"/>
              </w:rPr>
              <w:t>;</w:t>
            </w:r>
          </w:p>
          <w:p w14:paraId="0C42B3E6" w14:textId="77777777" w:rsidR="00EB243D" w:rsidRPr="00154588" w:rsidRDefault="00EB243D" w:rsidP="008C12B4">
            <w:pPr>
              <w:ind w:firstLine="567"/>
              <w:jc w:val="both"/>
              <w:rPr>
                <w:sz w:val="20"/>
                <w:szCs w:val="20"/>
              </w:rPr>
            </w:pPr>
            <w:r w:rsidRPr="00154588">
              <w:rPr>
                <w:sz w:val="20"/>
                <w:szCs w:val="20"/>
              </w:rPr>
              <w:t>e) coordonarea comunicării publice, în cazul acţiunii comune de rezoluție;</w:t>
            </w:r>
          </w:p>
          <w:p w14:paraId="75FC44E9" w14:textId="77777777" w:rsidR="00EB243D" w:rsidRPr="00154588" w:rsidRDefault="00EB243D" w:rsidP="008C12B4">
            <w:pPr>
              <w:ind w:firstLine="567"/>
              <w:jc w:val="both"/>
              <w:rPr>
                <w:sz w:val="20"/>
                <w:szCs w:val="20"/>
              </w:rPr>
            </w:pPr>
            <w:r w:rsidRPr="00154588">
              <w:rPr>
                <w:sz w:val="20"/>
                <w:szCs w:val="20"/>
              </w:rPr>
              <w:t>f) stabilirea procedurilor şi a acordurilor pentru schimbul de informaţii şi cooperare în temeiul lit.a)-e) din prezentul alineat, inclusiv, după caz, prin înfiinţarea şi funcţionarea grupurilor de gestionare a crizelor.</w:t>
            </w:r>
          </w:p>
          <w:p w14:paraId="6A96AEEF" w14:textId="77777777" w:rsidR="00EB243D" w:rsidRPr="00154588" w:rsidRDefault="00EB243D" w:rsidP="008C12B4">
            <w:pPr>
              <w:jc w:val="both"/>
              <w:rPr>
                <w:sz w:val="20"/>
                <w:szCs w:val="20"/>
              </w:rPr>
            </w:pPr>
          </w:p>
        </w:tc>
        <w:tc>
          <w:tcPr>
            <w:tcW w:w="2552" w:type="dxa"/>
          </w:tcPr>
          <w:p w14:paraId="7913660D" w14:textId="4B46835A" w:rsidR="00EB243D" w:rsidRPr="00154588" w:rsidRDefault="00EB243D" w:rsidP="008C12B4">
            <w:pPr>
              <w:jc w:val="both"/>
              <w:rPr>
                <w:sz w:val="20"/>
                <w:szCs w:val="20"/>
              </w:rPr>
            </w:pPr>
            <w:r w:rsidRPr="00154588">
              <w:rPr>
                <w:sz w:val="20"/>
                <w:szCs w:val="20"/>
              </w:rPr>
              <w:lastRenderedPageBreak/>
              <w:t>Compatibil</w:t>
            </w:r>
          </w:p>
        </w:tc>
        <w:tc>
          <w:tcPr>
            <w:tcW w:w="3118" w:type="dxa"/>
          </w:tcPr>
          <w:p w14:paraId="783EFEC0" w14:textId="77777777" w:rsidR="00EB243D" w:rsidRPr="00154588" w:rsidRDefault="00EB243D" w:rsidP="008C12B4">
            <w:pPr>
              <w:jc w:val="both"/>
              <w:rPr>
                <w:sz w:val="20"/>
                <w:szCs w:val="20"/>
              </w:rPr>
            </w:pPr>
          </w:p>
        </w:tc>
      </w:tr>
      <w:tr w:rsidR="00EB243D" w:rsidRPr="00154588" w14:paraId="29FACAA6" w14:textId="77777777" w:rsidTr="00D15C1B">
        <w:trPr>
          <w:jc w:val="center"/>
        </w:trPr>
        <w:tc>
          <w:tcPr>
            <w:tcW w:w="4957" w:type="dxa"/>
            <w:gridSpan w:val="2"/>
          </w:tcPr>
          <w:p w14:paraId="63570C9D" w14:textId="33E29D29" w:rsidR="00EB243D" w:rsidRPr="00154588" w:rsidRDefault="00EB243D" w:rsidP="008C12B4">
            <w:pPr>
              <w:jc w:val="both"/>
              <w:rPr>
                <w:bCs/>
                <w:sz w:val="20"/>
                <w:szCs w:val="20"/>
              </w:rPr>
            </w:pPr>
            <w:r w:rsidRPr="00154588">
              <w:rPr>
                <w:bCs/>
                <w:sz w:val="20"/>
                <w:szCs w:val="20"/>
              </w:rPr>
              <w:t>(6)   Statele membre notifică ABE în legătură cu toate acordurile de cooperare încheiate de autoritățile de rezoluție și autoritățile competente în conformitate cu prezentul articol.</w:t>
            </w:r>
          </w:p>
        </w:tc>
        <w:tc>
          <w:tcPr>
            <w:tcW w:w="4819" w:type="dxa"/>
          </w:tcPr>
          <w:p w14:paraId="160D4136" w14:textId="5AF22DFD" w:rsidR="00EB243D" w:rsidRPr="00154588" w:rsidRDefault="00EB243D" w:rsidP="008C12B4">
            <w:pPr>
              <w:jc w:val="both"/>
              <w:rPr>
                <w:bCs/>
                <w:sz w:val="20"/>
                <w:szCs w:val="20"/>
              </w:rPr>
            </w:pPr>
            <w:r w:rsidRPr="00154588">
              <w:rPr>
                <w:b/>
                <w:sz w:val="20"/>
                <w:szCs w:val="20"/>
              </w:rPr>
              <w:t xml:space="preserve">Articolul </w:t>
            </w:r>
            <w:r w:rsidR="0042303B" w:rsidRPr="00154588">
              <w:rPr>
                <w:b/>
                <w:sz w:val="20"/>
                <w:szCs w:val="20"/>
              </w:rPr>
              <w:t>328</w:t>
            </w:r>
            <w:r w:rsidRPr="00154588">
              <w:rPr>
                <w:b/>
                <w:sz w:val="20"/>
                <w:szCs w:val="20"/>
              </w:rPr>
              <w:t>.</w:t>
            </w:r>
            <w:r w:rsidRPr="00154588">
              <w:rPr>
                <w:sz w:val="20"/>
                <w:szCs w:val="20"/>
              </w:rPr>
              <w:t xml:space="preserve"> - (5) Banca Națională a Moldovei, în calitatea de autoritate de rezoluție, notifică Autoritatea Bancară Europeană în legătură cu toate acordurile de cooperare încheiate de aceasta în conformitate cu prezentul articol</w:t>
            </w:r>
          </w:p>
        </w:tc>
        <w:tc>
          <w:tcPr>
            <w:tcW w:w="2552" w:type="dxa"/>
          </w:tcPr>
          <w:p w14:paraId="22FC71AC" w14:textId="6B2A025D" w:rsidR="00EB243D" w:rsidRPr="00154588" w:rsidRDefault="00EB243D" w:rsidP="008C12B4">
            <w:pPr>
              <w:jc w:val="both"/>
              <w:rPr>
                <w:bCs/>
                <w:sz w:val="20"/>
                <w:szCs w:val="20"/>
              </w:rPr>
            </w:pPr>
            <w:r w:rsidRPr="00154588">
              <w:rPr>
                <w:bCs/>
                <w:sz w:val="20"/>
                <w:szCs w:val="20"/>
              </w:rPr>
              <w:t>Compatibil</w:t>
            </w:r>
          </w:p>
        </w:tc>
        <w:tc>
          <w:tcPr>
            <w:tcW w:w="3118" w:type="dxa"/>
          </w:tcPr>
          <w:p w14:paraId="49A1A60E" w14:textId="77777777" w:rsidR="00EB243D" w:rsidRPr="00154588" w:rsidRDefault="00EB243D" w:rsidP="008C12B4">
            <w:pPr>
              <w:jc w:val="both"/>
              <w:rPr>
                <w:bCs/>
                <w:sz w:val="20"/>
                <w:szCs w:val="20"/>
              </w:rPr>
            </w:pPr>
          </w:p>
        </w:tc>
      </w:tr>
      <w:tr w:rsidR="00EB243D" w:rsidRPr="00154588" w14:paraId="56EA1E49" w14:textId="77777777" w:rsidTr="00D15C1B">
        <w:trPr>
          <w:jc w:val="center"/>
        </w:trPr>
        <w:tc>
          <w:tcPr>
            <w:tcW w:w="4957" w:type="dxa"/>
            <w:gridSpan w:val="2"/>
          </w:tcPr>
          <w:p w14:paraId="33646E51" w14:textId="77777777" w:rsidR="00EB243D" w:rsidRPr="00154588" w:rsidRDefault="00EB243D" w:rsidP="008C12B4">
            <w:pPr>
              <w:jc w:val="both"/>
              <w:rPr>
                <w:b/>
                <w:sz w:val="20"/>
                <w:szCs w:val="20"/>
              </w:rPr>
            </w:pPr>
            <w:r w:rsidRPr="00154588">
              <w:rPr>
                <w:b/>
                <w:sz w:val="20"/>
                <w:szCs w:val="20"/>
              </w:rPr>
              <w:t>Articolul 98</w:t>
            </w:r>
          </w:p>
          <w:p w14:paraId="2EE8FA3C" w14:textId="77777777" w:rsidR="00EB243D" w:rsidRPr="00154588" w:rsidRDefault="00EB243D" w:rsidP="008C12B4">
            <w:pPr>
              <w:jc w:val="both"/>
              <w:rPr>
                <w:b/>
                <w:sz w:val="20"/>
                <w:szCs w:val="20"/>
              </w:rPr>
            </w:pPr>
          </w:p>
          <w:p w14:paraId="6B4C7148" w14:textId="3AD49D59" w:rsidR="00EB243D" w:rsidRPr="00154588" w:rsidRDefault="00EB243D" w:rsidP="008C12B4">
            <w:pPr>
              <w:jc w:val="both"/>
              <w:rPr>
                <w:bCs/>
                <w:sz w:val="20"/>
                <w:szCs w:val="20"/>
              </w:rPr>
            </w:pPr>
            <w:r w:rsidRPr="00154588">
              <w:rPr>
                <w:b/>
                <w:sz w:val="20"/>
                <w:szCs w:val="20"/>
              </w:rPr>
              <w:t>Confidențialitate</w:t>
            </w:r>
          </w:p>
        </w:tc>
        <w:tc>
          <w:tcPr>
            <w:tcW w:w="4819" w:type="dxa"/>
          </w:tcPr>
          <w:p w14:paraId="761BCDF6" w14:textId="77777777" w:rsidR="00EB243D" w:rsidRPr="00154588" w:rsidRDefault="00EB243D" w:rsidP="008C12B4">
            <w:pPr>
              <w:jc w:val="both"/>
              <w:rPr>
                <w:bCs/>
                <w:sz w:val="20"/>
                <w:szCs w:val="20"/>
              </w:rPr>
            </w:pPr>
          </w:p>
        </w:tc>
        <w:tc>
          <w:tcPr>
            <w:tcW w:w="2552" w:type="dxa"/>
          </w:tcPr>
          <w:p w14:paraId="17DEF4ED" w14:textId="77777777" w:rsidR="00EB243D" w:rsidRPr="00154588" w:rsidRDefault="00EB243D" w:rsidP="008C12B4">
            <w:pPr>
              <w:jc w:val="both"/>
              <w:rPr>
                <w:bCs/>
                <w:sz w:val="20"/>
                <w:szCs w:val="20"/>
              </w:rPr>
            </w:pPr>
          </w:p>
        </w:tc>
        <w:tc>
          <w:tcPr>
            <w:tcW w:w="3118" w:type="dxa"/>
          </w:tcPr>
          <w:p w14:paraId="5F66F2E0" w14:textId="77777777" w:rsidR="00EB243D" w:rsidRPr="00154588" w:rsidRDefault="00EB243D" w:rsidP="008C12B4">
            <w:pPr>
              <w:jc w:val="both"/>
              <w:rPr>
                <w:bCs/>
                <w:sz w:val="20"/>
                <w:szCs w:val="20"/>
              </w:rPr>
            </w:pPr>
          </w:p>
        </w:tc>
      </w:tr>
      <w:tr w:rsidR="00EB243D" w:rsidRPr="00154588" w14:paraId="6D4FB60C" w14:textId="77777777" w:rsidTr="00D15C1B">
        <w:trPr>
          <w:jc w:val="center"/>
        </w:trPr>
        <w:tc>
          <w:tcPr>
            <w:tcW w:w="4957" w:type="dxa"/>
            <w:gridSpan w:val="2"/>
          </w:tcPr>
          <w:p w14:paraId="05E2ED99" w14:textId="4BF7DE51" w:rsidR="00EB243D" w:rsidRPr="00154588" w:rsidRDefault="00EB243D" w:rsidP="008C12B4">
            <w:pPr>
              <w:jc w:val="both"/>
              <w:rPr>
                <w:bCs/>
                <w:sz w:val="20"/>
                <w:szCs w:val="20"/>
              </w:rPr>
            </w:pPr>
            <w:r w:rsidRPr="00154588">
              <w:rPr>
                <w:bCs/>
                <w:sz w:val="20"/>
                <w:szCs w:val="20"/>
              </w:rPr>
              <w:t>(1)   Statele membre se asigură că autoritățile de rezoluție și ministerele competente fac schimb de informații confidențiale cu autoritățile relevante din țările terțe numai dacă sunt îndeplinite toate condițiile următoarele:</w:t>
            </w:r>
          </w:p>
          <w:p w14:paraId="70ECF81C" w14:textId="77777777" w:rsidR="00EB243D" w:rsidRPr="00154588" w:rsidRDefault="00EB243D" w:rsidP="008C12B4">
            <w:pPr>
              <w:jc w:val="both"/>
              <w:rPr>
                <w:bCs/>
                <w:sz w:val="20"/>
                <w:szCs w:val="20"/>
              </w:rPr>
            </w:pPr>
          </w:p>
          <w:p w14:paraId="101574AD" w14:textId="21450C13" w:rsidR="00EB243D" w:rsidRPr="00154588" w:rsidRDefault="00EB243D" w:rsidP="008C12B4">
            <w:pPr>
              <w:jc w:val="both"/>
              <w:rPr>
                <w:bCs/>
                <w:sz w:val="20"/>
                <w:szCs w:val="20"/>
              </w:rPr>
            </w:pPr>
            <w:r w:rsidRPr="00154588">
              <w:rPr>
                <w:bCs/>
                <w:sz w:val="20"/>
                <w:szCs w:val="20"/>
              </w:rPr>
              <w:t>(a) autoritățile țărilor terțe respective fac obiectul unor cerințe și standarde în materie de secret profesional care sunt considerate a fi, în opinia tuturor autorităților implicate, cel puțin echivalente cu cele impuse la articolul 84;</w:t>
            </w:r>
          </w:p>
          <w:p w14:paraId="540F5AC0" w14:textId="77777777" w:rsidR="00EB243D" w:rsidRPr="00154588" w:rsidRDefault="00EB243D" w:rsidP="008C12B4">
            <w:pPr>
              <w:jc w:val="both"/>
              <w:rPr>
                <w:bCs/>
                <w:sz w:val="20"/>
                <w:szCs w:val="20"/>
              </w:rPr>
            </w:pPr>
          </w:p>
          <w:p w14:paraId="2229BA0F" w14:textId="77777777" w:rsidR="00EB243D" w:rsidRPr="00154588" w:rsidRDefault="00EB243D" w:rsidP="008C12B4">
            <w:pPr>
              <w:jc w:val="both"/>
              <w:rPr>
                <w:bCs/>
                <w:sz w:val="20"/>
                <w:szCs w:val="20"/>
              </w:rPr>
            </w:pPr>
            <w:r w:rsidRPr="00154588">
              <w:rPr>
                <w:bCs/>
                <w:sz w:val="20"/>
                <w:szCs w:val="20"/>
              </w:rPr>
              <w:t xml:space="preserve">În cazul în care schimbul de informații se referă la date cu caracter personal, procesarea și transmiterea </w:t>
            </w:r>
            <w:r w:rsidRPr="00154588">
              <w:rPr>
                <w:bCs/>
                <w:sz w:val="20"/>
                <w:szCs w:val="20"/>
              </w:rPr>
              <w:lastRenderedPageBreak/>
              <w:t>acestor date către autoritățile țărilor terțe fac obiectul dreptului în vigoare la nivelul Uniunii și la cel național în ceea ce privește protecția datelor.</w:t>
            </w:r>
          </w:p>
          <w:p w14:paraId="35D3A78B" w14:textId="77777777" w:rsidR="00EB243D" w:rsidRPr="00154588" w:rsidRDefault="00EB243D" w:rsidP="008C12B4">
            <w:pPr>
              <w:jc w:val="both"/>
              <w:rPr>
                <w:bCs/>
                <w:sz w:val="20"/>
                <w:szCs w:val="20"/>
              </w:rPr>
            </w:pPr>
          </w:p>
          <w:p w14:paraId="1147DF08" w14:textId="77777777" w:rsidR="00EB243D" w:rsidRPr="00154588" w:rsidRDefault="00EB243D" w:rsidP="008C12B4">
            <w:pPr>
              <w:jc w:val="both"/>
              <w:rPr>
                <w:bCs/>
                <w:sz w:val="20"/>
                <w:szCs w:val="20"/>
              </w:rPr>
            </w:pPr>
            <w:r w:rsidRPr="00154588">
              <w:rPr>
                <w:bCs/>
                <w:sz w:val="20"/>
                <w:szCs w:val="20"/>
              </w:rPr>
              <w:t>(b) informațiile sunt necesare pentru îndeplinirea de către autoritățile relevante din țările terțe a funcțiilor de rezoluție prevăzute de dreptul intern al acestora care sunt comparabile cu cele prevăzute în prezenta directivă și, sub rezerva dispozițiilor prezentului alineat litera (a), informațiile nu sunt utilizate în niciun alt scop.</w:t>
            </w:r>
          </w:p>
          <w:p w14:paraId="4517DD4C" w14:textId="77777777" w:rsidR="00EB243D" w:rsidRPr="00154588" w:rsidRDefault="00EB243D" w:rsidP="008C12B4">
            <w:pPr>
              <w:jc w:val="both"/>
              <w:rPr>
                <w:bCs/>
                <w:sz w:val="20"/>
                <w:szCs w:val="20"/>
              </w:rPr>
            </w:pPr>
          </w:p>
          <w:p w14:paraId="7F417848" w14:textId="77777777" w:rsidR="00EB243D" w:rsidRPr="00154588" w:rsidRDefault="00EB243D" w:rsidP="008C12B4">
            <w:pPr>
              <w:jc w:val="both"/>
            </w:pPr>
            <w:r w:rsidRPr="00154588">
              <w:rPr>
                <w:bCs/>
                <w:sz w:val="20"/>
                <w:szCs w:val="20"/>
              </w:rPr>
              <w:t>Statele membre se asigură că autoritățile competente fac schimb de informații confidențiale, care includ și planuri de redresare, cu autoritățile  relevante din țări terțe  numai dacă sunt îndeplinite următoarele condiții:</w:t>
            </w:r>
            <w:r w:rsidRPr="00154588">
              <w:t xml:space="preserve"> </w:t>
            </w:r>
          </w:p>
          <w:p w14:paraId="2E4D67D5" w14:textId="77777777" w:rsidR="00EB243D" w:rsidRPr="00154588" w:rsidRDefault="00EB243D" w:rsidP="008C12B4">
            <w:pPr>
              <w:jc w:val="both"/>
              <w:rPr>
                <w:bCs/>
                <w:sz w:val="20"/>
                <w:szCs w:val="20"/>
              </w:rPr>
            </w:pPr>
          </w:p>
          <w:p w14:paraId="7EE976A1" w14:textId="685C0C36" w:rsidR="00EB243D" w:rsidRPr="00154588" w:rsidRDefault="00EB243D" w:rsidP="008C12B4">
            <w:pPr>
              <w:jc w:val="both"/>
              <w:rPr>
                <w:bCs/>
                <w:sz w:val="20"/>
                <w:szCs w:val="20"/>
              </w:rPr>
            </w:pPr>
            <w:r w:rsidRPr="00154588">
              <w:rPr>
                <w:bCs/>
                <w:sz w:val="20"/>
                <w:szCs w:val="20"/>
              </w:rPr>
              <w:t xml:space="preserve">(a) în ceea ce privește informațiile referitoare la redresare și la rezoluție, condițiile prevăzute la primul paragraf de la prezentul alineat; </w:t>
            </w:r>
          </w:p>
          <w:p w14:paraId="495F4FED" w14:textId="77777777" w:rsidR="00EB243D" w:rsidRPr="00154588" w:rsidRDefault="00EB243D" w:rsidP="008C12B4">
            <w:pPr>
              <w:jc w:val="both"/>
              <w:rPr>
                <w:bCs/>
                <w:sz w:val="20"/>
                <w:szCs w:val="20"/>
              </w:rPr>
            </w:pPr>
          </w:p>
          <w:p w14:paraId="2E55DB0A" w14:textId="2C7CC35B" w:rsidR="00EB243D" w:rsidRPr="00154588" w:rsidRDefault="00EB243D" w:rsidP="008C12B4">
            <w:pPr>
              <w:jc w:val="both"/>
              <w:rPr>
                <w:bCs/>
                <w:sz w:val="20"/>
                <w:szCs w:val="20"/>
              </w:rPr>
            </w:pPr>
            <w:r w:rsidRPr="00154588">
              <w:rPr>
                <w:bCs/>
                <w:sz w:val="20"/>
                <w:szCs w:val="20"/>
              </w:rPr>
              <w:t xml:space="preserve">(b) în ceea ce privește alte informații aflate la dispoziția autorităților competente, condițiile prevăzute la articolul 55 din Directiva 2013/36/UE. </w:t>
            </w:r>
          </w:p>
          <w:p w14:paraId="4DC913A0" w14:textId="77777777" w:rsidR="00EB243D" w:rsidRPr="00154588" w:rsidRDefault="00EB243D" w:rsidP="008C12B4">
            <w:pPr>
              <w:jc w:val="both"/>
              <w:rPr>
                <w:bCs/>
                <w:sz w:val="20"/>
                <w:szCs w:val="20"/>
              </w:rPr>
            </w:pPr>
          </w:p>
          <w:p w14:paraId="4B566139" w14:textId="68BA4A81" w:rsidR="00EB243D" w:rsidRPr="00154588" w:rsidRDefault="00EB243D" w:rsidP="008C12B4">
            <w:pPr>
              <w:jc w:val="both"/>
              <w:rPr>
                <w:bCs/>
                <w:sz w:val="20"/>
                <w:szCs w:val="20"/>
              </w:rPr>
            </w:pPr>
            <w:r w:rsidRPr="00154588">
              <w:rPr>
                <w:bCs/>
                <w:sz w:val="20"/>
                <w:szCs w:val="20"/>
              </w:rPr>
              <w:t>În sensul celui de al doilea paragraf, informațiile referitoare la redresare și la rezoluție includ toate informațiile direct legate de sarcinile autorităților competente în temeiul prezentei directive, în special planificarea redresării și planurile de redresare, măsurile de intervenție timpurie și schimburile cu autoritățile de rezoluție cu privire la planificarea rezoluției, planurile de rezoluție și măsurile de rezoluție.</w:t>
            </w:r>
          </w:p>
        </w:tc>
        <w:tc>
          <w:tcPr>
            <w:tcW w:w="4819" w:type="dxa"/>
          </w:tcPr>
          <w:p w14:paraId="124F49C5" w14:textId="17DB2C30" w:rsidR="00EB243D" w:rsidRPr="00154588" w:rsidRDefault="00EB243D" w:rsidP="008C12B4">
            <w:pPr>
              <w:ind w:firstLine="567"/>
              <w:jc w:val="both"/>
              <w:rPr>
                <w:sz w:val="20"/>
                <w:szCs w:val="20"/>
              </w:rPr>
            </w:pPr>
            <w:r w:rsidRPr="00154588">
              <w:rPr>
                <w:b/>
                <w:sz w:val="20"/>
                <w:szCs w:val="20"/>
              </w:rPr>
              <w:lastRenderedPageBreak/>
              <w:t xml:space="preserve">Articolul </w:t>
            </w:r>
            <w:r w:rsidR="0042303B" w:rsidRPr="00154588">
              <w:rPr>
                <w:b/>
                <w:sz w:val="20"/>
                <w:szCs w:val="20"/>
              </w:rPr>
              <w:t>329</w:t>
            </w:r>
            <w:r w:rsidRPr="00154588">
              <w:rPr>
                <w:b/>
                <w:sz w:val="20"/>
                <w:szCs w:val="20"/>
              </w:rPr>
              <w:t>.</w:t>
            </w:r>
            <w:r w:rsidRPr="00154588">
              <w:rPr>
                <w:sz w:val="20"/>
                <w:szCs w:val="20"/>
              </w:rPr>
              <w:t xml:space="preserve"> – (1) Banca Națională a Moldovei, în calitatea de autoritate de rezoluție și Ministerul Finanțelor, în calitate de minister competent, fac schimb de informații confidențiale cu autoritățile relevante din statele terțe numai dacă sunt îndeplinite cumulativ următoarele condiții:</w:t>
            </w:r>
          </w:p>
          <w:p w14:paraId="06CDB91A" w14:textId="77777777" w:rsidR="00EB243D" w:rsidRPr="00154588" w:rsidRDefault="00EB243D" w:rsidP="008C12B4">
            <w:pPr>
              <w:ind w:firstLine="567"/>
              <w:jc w:val="both"/>
              <w:rPr>
                <w:sz w:val="20"/>
                <w:szCs w:val="20"/>
              </w:rPr>
            </w:pPr>
            <w:r w:rsidRPr="00154588">
              <w:rPr>
                <w:sz w:val="20"/>
                <w:szCs w:val="20"/>
              </w:rPr>
              <w:t xml:space="preserve">a) autoritățile din statele terțe respective fac obiectul unor cerințe și standarde în materie de secret profesional care sunt considerate a fi, în opinia tuturor autorităților implicate, cel puțin echivalente cu cele impuse la art.288-291. În măsura în care schimbul de informații se referă la date cu caracter personal, procesarea și transmiterea unor astfel de date către autoritățile </w:t>
            </w:r>
            <w:r w:rsidRPr="00154588">
              <w:rPr>
                <w:sz w:val="20"/>
                <w:szCs w:val="20"/>
              </w:rPr>
              <w:lastRenderedPageBreak/>
              <w:t>statelor terțe sunt reglementate de Legea nr.195/2024 privind protecția datelor cu caracter personal și de legislația Uniunii Europene în materie;</w:t>
            </w:r>
          </w:p>
          <w:p w14:paraId="1D42C635" w14:textId="77777777" w:rsidR="00EB243D" w:rsidRPr="00154588" w:rsidRDefault="00EB243D" w:rsidP="008C12B4">
            <w:pPr>
              <w:ind w:firstLine="567"/>
              <w:jc w:val="both"/>
              <w:rPr>
                <w:sz w:val="20"/>
                <w:szCs w:val="20"/>
              </w:rPr>
            </w:pPr>
            <w:r w:rsidRPr="00154588">
              <w:rPr>
                <w:sz w:val="20"/>
                <w:szCs w:val="20"/>
              </w:rPr>
              <w:t>b) informațiile sunt necesare pentru îndeplinirea de către autoritățile relevante din statele terțe a funcțiilor de rezoluție prevăzute de dreptul intern al acestora care sunt comparabile cu cele prevăzute în prezenta lege și, în conformitate cu dispozițiile lit.a), informațiile nu sunt utilizate în niciun alt scop.</w:t>
            </w:r>
          </w:p>
          <w:p w14:paraId="43C76D26" w14:textId="77777777" w:rsidR="00EB243D" w:rsidRPr="00154588" w:rsidRDefault="00EB243D" w:rsidP="008C12B4">
            <w:pPr>
              <w:jc w:val="both"/>
              <w:rPr>
                <w:bCs/>
                <w:sz w:val="20"/>
                <w:szCs w:val="20"/>
              </w:rPr>
            </w:pPr>
          </w:p>
          <w:p w14:paraId="70FE695C" w14:textId="4B643CB7" w:rsidR="00EB243D" w:rsidRPr="00154588" w:rsidRDefault="00AD78C5" w:rsidP="008C12B4">
            <w:pPr>
              <w:jc w:val="both"/>
              <w:rPr>
                <w:bCs/>
                <w:sz w:val="20"/>
                <w:szCs w:val="20"/>
                <w:lang w:val="ro-MD"/>
              </w:rPr>
            </w:pPr>
            <w:r w:rsidRPr="00154588">
              <w:rPr>
                <w:bCs/>
                <w:sz w:val="20"/>
                <w:szCs w:val="20"/>
                <w:lang w:val="ro-MD"/>
              </w:rPr>
              <w:t xml:space="preserve">          </w:t>
            </w:r>
            <w:r w:rsidR="00EB243D" w:rsidRPr="00154588">
              <w:rPr>
                <w:bCs/>
                <w:sz w:val="20"/>
                <w:szCs w:val="20"/>
                <w:lang w:val="ro-MD"/>
              </w:rPr>
              <w:t>(2) Banca Națională a Moldovei, în calitate de autoritate competentă, poate face schimb de informații confidențiale, inclusiv de planuri de redresare, cu autoritățile relevante din state terțe numai dacă sunt îndeplinite cumulativ următoarele condiții:</w:t>
            </w:r>
          </w:p>
          <w:p w14:paraId="6B1CE69B" w14:textId="5059ADC3" w:rsidR="00EB243D" w:rsidRPr="00154588" w:rsidRDefault="00AD78C5" w:rsidP="008C12B4">
            <w:pPr>
              <w:jc w:val="both"/>
              <w:rPr>
                <w:bCs/>
                <w:sz w:val="20"/>
                <w:szCs w:val="20"/>
                <w:lang w:val="ro-MD"/>
              </w:rPr>
            </w:pPr>
            <w:r w:rsidRPr="00154588">
              <w:rPr>
                <w:bCs/>
                <w:sz w:val="20"/>
                <w:szCs w:val="20"/>
                <w:lang w:val="ro-MD"/>
              </w:rPr>
              <w:t xml:space="preserve">        </w:t>
            </w:r>
            <w:r w:rsidR="00EB243D" w:rsidRPr="00154588">
              <w:rPr>
                <w:bCs/>
                <w:sz w:val="20"/>
                <w:szCs w:val="20"/>
                <w:lang w:val="ro-MD"/>
              </w:rPr>
              <w:t>a) în ceea ce privește informațiile referitoare la redresare și rezoluție, sunt îndeplinite condițiile prevăzute la alin. (1);</w:t>
            </w:r>
          </w:p>
          <w:p w14:paraId="4EC7AFA2" w14:textId="22C5CDB0" w:rsidR="00EB243D" w:rsidRPr="00154588" w:rsidRDefault="00AD78C5" w:rsidP="008C12B4">
            <w:pPr>
              <w:jc w:val="both"/>
              <w:rPr>
                <w:bCs/>
                <w:sz w:val="20"/>
                <w:szCs w:val="20"/>
                <w:lang w:val="ro-MD"/>
              </w:rPr>
            </w:pPr>
            <w:r w:rsidRPr="00154588">
              <w:rPr>
                <w:bCs/>
                <w:sz w:val="20"/>
                <w:szCs w:val="20"/>
                <w:lang w:val="ro-MD"/>
              </w:rPr>
              <w:t xml:space="preserve">        </w:t>
            </w:r>
            <w:r w:rsidR="00EB243D" w:rsidRPr="00154588">
              <w:rPr>
                <w:bCs/>
                <w:sz w:val="20"/>
                <w:szCs w:val="20"/>
                <w:lang w:val="ro-MD"/>
              </w:rPr>
              <w:t>b) în ceea ce privește celelalte informații aflate la dispoziția Băncii Naționale a Moldovei, în condițiile prevăzute de Legea 202/2017 care reglementează schimbul de informații confidențiale de către autoritatea competentă cu autoritățile din state terțe.</w:t>
            </w:r>
          </w:p>
          <w:p w14:paraId="5DA9C645" w14:textId="346100AA" w:rsidR="00EB243D" w:rsidRPr="00154588" w:rsidRDefault="00AD78C5" w:rsidP="008C12B4">
            <w:pPr>
              <w:jc w:val="both"/>
              <w:rPr>
                <w:bCs/>
                <w:sz w:val="20"/>
                <w:szCs w:val="20"/>
                <w:lang w:val="ro-MD"/>
              </w:rPr>
            </w:pPr>
            <w:r w:rsidRPr="00154588">
              <w:rPr>
                <w:bCs/>
                <w:sz w:val="20"/>
                <w:szCs w:val="20"/>
                <w:lang w:val="ro-MD"/>
              </w:rPr>
              <w:t xml:space="preserve">         </w:t>
            </w:r>
            <w:r w:rsidR="00EB243D" w:rsidRPr="00154588">
              <w:rPr>
                <w:bCs/>
                <w:sz w:val="20"/>
                <w:szCs w:val="20"/>
                <w:lang w:val="ro-MD"/>
              </w:rPr>
              <w:t>(3) În sensul alin. (2), informațiile referitoare la redresare și rezoluție includ toate informațiile direct legate de atribuțiile Băncii Naționale a Moldovei prevăzute de prezenta lege, inclusiv cele privind planificarea redresării, planurile de redresare, măsurile de intervenție timpurie, schimbul de informații cu autoritățile de rezoluție referitor la planificarea rezoluției, planurile de rezoluție și măsurile de rezoluție.</w:t>
            </w:r>
          </w:p>
          <w:p w14:paraId="685F7E5A" w14:textId="77777777" w:rsidR="00EB243D" w:rsidRPr="00154588" w:rsidRDefault="00EB243D" w:rsidP="008C12B4">
            <w:pPr>
              <w:jc w:val="both"/>
              <w:rPr>
                <w:sz w:val="20"/>
                <w:szCs w:val="20"/>
                <w:lang w:val="ro-MD"/>
              </w:rPr>
            </w:pPr>
          </w:p>
        </w:tc>
        <w:tc>
          <w:tcPr>
            <w:tcW w:w="2552" w:type="dxa"/>
          </w:tcPr>
          <w:p w14:paraId="531752B0" w14:textId="45A98E7D" w:rsidR="00EB243D" w:rsidRPr="00154588" w:rsidRDefault="00EB243D" w:rsidP="008C12B4">
            <w:pPr>
              <w:jc w:val="both"/>
              <w:rPr>
                <w:bCs/>
                <w:sz w:val="20"/>
                <w:szCs w:val="20"/>
              </w:rPr>
            </w:pPr>
            <w:r w:rsidRPr="00154588">
              <w:rPr>
                <w:bCs/>
                <w:sz w:val="20"/>
                <w:szCs w:val="20"/>
              </w:rPr>
              <w:lastRenderedPageBreak/>
              <w:t>Compatibil</w:t>
            </w:r>
          </w:p>
        </w:tc>
        <w:tc>
          <w:tcPr>
            <w:tcW w:w="3118" w:type="dxa"/>
          </w:tcPr>
          <w:p w14:paraId="40CC1396" w14:textId="77777777" w:rsidR="00EB243D" w:rsidRPr="00154588" w:rsidRDefault="00EB243D" w:rsidP="008C12B4">
            <w:pPr>
              <w:jc w:val="both"/>
              <w:rPr>
                <w:bCs/>
                <w:sz w:val="20"/>
                <w:szCs w:val="20"/>
              </w:rPr>
            </w:pPr>
          </w:p>
        </w:tc>
      </w:tr>
      <w:tr w:rsidR="00EB243D" w:rsidRPr="00154588" w14:paraId="0ED09D09" w14:textId="77777777" w:rsidTr="00D15C1B">
        <w:trPr>
          <w:jc w:val="center"/>
        </w:trPr>
        <w:tc>
          <w:tcPr>
            <w:tcW w:w="4957" w:type="dxa"/>
            <w:gridSpan w:val="2"/>
          </w:tcPr>
          <w:p w14:paraId="38FEB0F9" w14:textId="77777777" w:rsidR="00EB243D" w:rsidRPr="00154588" w:rsidRDefault="00EB243D" w:rsidP="008C12B4">
            <w:pPr>
              <w:jc w:val="both"/>
              <w:rPr>
                <w:bCs/>
                <w:sz w:val="20"/>
                <w:szCs w:val="20"/>
              </w:rPr>
            </w:pPr>
            <w:r w:rsidRPr="00154588">
              <w:rPr>
                <w:bCs/>
                <w:sz w:val="20"/>
                <w:szCs w:val="20"/>
              </w:rPr>
              <w:t>(2)   În cazul în care informațiile confidențiale provin de la un alt stat membru, autoritățile de rezoluție, autoritățile competente și ministerele competente nu divulgă aceste informații autorităților relevante din țările terțe decât dacă sunt îndeplinite următoarele condiții:</w:t>
            </w:r>
          </w:p>
          <w:p w14:paraId="40327909" w14:textId="77777777" w:rsidR="00EB243D" w:rsidRPr="00154588" w:rsidRDefault="00EB243D" w:rsidP="008C12B4">
            <w:pPr>
              <w:jc w:val="both"/>
              <w:rPr>
                <w:bCs/>
                <w:sz w:val="20"/>
                <w:szCs w:val="20"/>
              </w:rPr>
            </w:pPr>
          </w:p>
          <w:p w14:paraId="55ECC6F7" w14:textId="77777777" w:rsidR="00EB243D" w:rsidRPr="00154588" w:rsidRDefault="00EB243D" w:rsidP="008C12B4">
            <w:pPr>
              <w:jc w:val="both"/>
              <w:rPr>
                <w:bCs/>
                <w:sz w:val="20"/>
                <w:szCs w:val="20"/>
              </w:rPr>
            </w:pPr>
          </w:p>
          <w:p w14:paraId="06DD22A1" w14:textId="4B4564A2" w:rsidR="00EB243D" w:rsidRPr="00154588" w:rsidRDefault="00EB243D" w:rsidP="008C12B4">
            <w:pPr>
              <w:jc w:val="both"/>
              <w:rPr>
                <w:bCs/>
                <w:sz w:val="20"/>
                <w:szCs w:val="20"/>
              </w:rPr>
            </w:pPr>
            <w:r w:rsidRPr="00154588">
              <w:rPr>
                <w:bCs/>
                <w:sz w:val="20"/>
                <w:szCs w:val="20"/>
              </w:rPr>
              <w:lastRenderedPageBreak/>
              <w:t>(a) autoritatea relevantă a statului membru din care provin informațiile (denumită în continuare „autoritatea de origine”) este de acord cu această divulgare;</w:t>
            </w:r>
          </w:p>
          <w:p w14:paraId="6C86329B" w14:textId="77777777" w:rsidR="00EB243D" w:rsidRPr="00154588" w:rsidRDefault="00EB243D" w:rsidP="008C12B4">
            <w:pPr>
              <w:jc w:val="both"/>
              <w:rPr>
                <w:bCs/>
                <w:sz w:val="20"/>
                <w:szCs w:val="20"/>
              </w:rPr>
            </w:pPr>
          </w:p>
          <w:p w14:paraId="64C2291C" w14:textId="0BC58613" w:rsidR="00EB243D" w:rsidRPr="00154588" w:rsidRDefault="00EB243D" w:rsidP="008C12B4">
            <w:pPr>
              <w:jc w:val="both"/>
              <w:rPr>
                <w:bCs/>
                <w:sz w:val="20"/>
                <w:szCs w:val="20"/>
              </w:rPr>
            </w:pPr>
            <w:r w:rsidRPr="00154588">
              <w:rPr>
                <w:bCs/>
                <w:sz w:val="20"/>
                <w:szCs w:val="20"/>
              </w:rPr>
              <w:t>(b) informațiile sunt divulgate doar în scopurile permise de către autoritatea de origine.</w:t>
            </w:r>
          </w:p>
        </w:tc>
        <w:tc>
          <w:tcPr>
            <w:tcW w:w="4819" w:type="dxa"/>
          </w:tcPr>
          <w:p w14:paraId="319E2D55" w14:textId="68BD4541" w:rsidR="00EB243D" w:rsidRPr="00154588" w:rsidRDefault="00EB243D" w:rsidP="008C12B4">
            <w:pPr>
              <w:ind w:firstLine="567"/>
              <w:jc w:val="both"/>
              <w:rPr>
                <w:sz w:val="20"/>
                <w:szCs w:val="20"/>
              </w:rPr>
            </w:pPr>
            <w:r w:rsidRPr="00154588">
              <w:rPr>
                <w:sz w:val="20"/>
                <w:szCs w:val="20"/>
              </w:rPr>
              <w:lastRenderedPageBreak/>
              <w:t>(4) În cazul în care informațiile confidențiale provin de la un alt stat membru, Banca Națională a Moldovei, în calitatea de autoritate de rezoluție și/sau de autoritate competentă, și Ministerul Finanțelor, în calitate de minister competent, nu divulgă aceste informații autorităților relevante din statele terțe decât dacă sunt îndeplinite următoarele condiții:</w:t>
            </w:r>
          </w:p>
          <w:p w14:paraId="1C3DF0EB" w14:textId="77777777" w:rsidR="00EB243D" w:rsidRPr="00154588" w:rsidRDefault="00EB243D" w:rsidP="008C12B4">
            <w:pPr>
              <w:ind w:firstLine="567"/>
              <w:jc w:val="both"/>
              <w:rPr>
                <w:sz w:val="20"/>
                <w:szCs w:val="20"/>
              </w:rPr>
            </w:pPr>
            <w:r w:rsidRPr="00154588">
              <w:rPr>
                <w:sz w:val="20"/>
                <w:szCs w:val="20"/>
              </w:rPr>
              <w:lastRenderedPageBreak/>
              <w:t>a) autoritatea relevantă a statului membru din care provin informațiile este de acord cu această divulgare;</w:t>
            </w:r>
          </w:p>
          <w:p w14:paraId="0F503573" w14:textId="77777777" w:rsidR="00EB243D" w:rsidRPr="00154588" w:rsidRDefault="00EB243D" w:rsidP="008C12B4">
            <w:pPr>
              <w:ind w:firstLine="567"/>
              <w:jc w:val="both"/>
              <w:rPr>
                <w:sz w:val="20"/>
                <w:szCs w:val="20"/>
              </w:rPr>
            </w:pPr>
            <w:r w:rsidRPr="00154588">
              <w:rPr>
                <w:sz w:val="20"/>
                <w:szCs w:val="20"/>
              </w:rPr>
              <w:t>b) informațiile sunt divulgate doar în scopurile permise de către autoritatea prevăzută la lit.a).</w:t>
            </w:r>
          </w:p>
          <w:p w14:paraId="05BD7ABF" w14:textId="77777777" w:rsidR="00EB243D" w:rsidRPr="00154588" w:rsidRDefault="00EB243D" w:rsidP="008C12B4">
            <w:pPr>
              <w:jc w:val="both"/>
              <w:rPr>
                <w:bCs/>
                <w:sz w:val="20"/>
                <w:szCs w:val="20"/>
              </w:rPr>
            </w:pPr>
          </w:p>
        </w:tc>
        <w:tc>
          <w:tcPr>
            <w:tcW w:w="2552" w:type="dxa"/>
          </w:tcPr>
          <w:p w14:paraId="05700CC1" w14:textId="08BCED34" w:rsidR="00EB243D" w:rsidRPr="00154588" w:rsidRDefault="00AD78C5" w:rsidP="008C12B4">
            <w:pPr>
              <w:jc w:val="both"/>
              <w:rPr>
                <w:bCs/>
                <w:sz w:val="20"/>
                <w:szCs w:val="20"/>
              </w:rPr>
            </w:pPr>
            <w:r w:rsidRPr="00154588">
              <w:rPr>
                <w:bCs/>
                <w:sz w:val="20"/>
                <w:szCs w:val="20"/>
              </w:rPr>
              <w:lastRenderedPageBreak/>
              <w:t>Compatibil</w:t>
            </w:r>
          </w:p>
        </w:tc>
        <w:tc>
          <w:tcPr>
            <w:tcW w:w="3118" w:type="dxa"/>
          </w:tcPr>
          <w:p w14:paraId="36A606D4" w14:textId="77777777" w:rsidR="00EB243D" w:rsidRPr="00154588" w:rsidRDefault="00EB243D" w:rsidP="008C12B4">
            <w:pPr>
              <w:jc w:val="both"/>
              <w:rPr>
                <w:bCs/>
                <w:sz w:val="20"/>
                <w:szCs w:val="20"/>
              </w:rPr>
            </w:pPr>
          </w:p>
        </w:tc>
      </w:tr>
      <w:tr w:rsidR="00EB243D" w:rsidRPr="00154588" w14:paraId="068C9EB2" w14:textId="77777777" w:rsidTr="00D15C1B">
        <w:trPr>
          <w:jc w:val="center"/>
        </w:trPr>
        <w:tc>
          <w:tcPr>
            <w:tcW w:w="4957" w:type="dxa"/>
            <w:gridSpan w:val="2"/>
          </w:tcPr>
          <w:p w14:paraId="67B1FA56" w14:textId="105029ED" w:rsidR="00EB243D" w:rsidRPr="00154588" w:rsidRDefault="00EB243D" w:rsidP="008C12B4">
            <w:pPr>
              <w:jc w:val="both"/>
              <w:rPr>
                <w:bCs/>
                <w:sz w:val="20"/>
                <w:szCs w:val="20"/>
              </w:rPr>
            </w:pPr>
            <w:r w:rsidRPr="00154588">
              <w:rPr>
                <w:bCs/>
                <w:sz w:val="20"/>
                <w:szCs w:val="20"/>
              </w:rPr>
              <w:t>(3)   În sensul prezentului articol, informațiile sunt considerate confidențiale dacă ele fac obiectul cerințelor de confidențialitate în temeiul dreptului Uniunii.</w:t>
            </w:r>
          </w:p>
        </w:tc>
        <w:tc>
          <w:tcPr>
            <w:tcW w:w="4819" w:type="dxa"/>
          </w:tcPr>
          <w:p w14:paraId="1A06B606" w14:textId="4016BD0F" w:rsidR="00EB243D" w:rsidRPr="00154588" w:rsidRDefault="00EB243D" w:rsidP="008C12B4">
            <w:pPr>
              <w:ind w:firstLine="567"/>
              <w:jc w:val="both"/>
              <w:rPr>
                <w:sz w:val="20"/>
                <w:szCs w:val="20"/>
              </w:rPr>
            </w:pPr>
            <w:r w:rsidRPr="00154588">
              <w:rPr>
                <w:sz w:val="20"/>
                <w:szCs w:val="20"/>
              </w:rPr>
              <w:t>(5) În sensul prezentului articol, informațiile sunt considerate confidențiale dacă ele fac obiectul cerințelor de confidențialitate în temeiul dreptului Uniunii Europene.</w:t>
            </w:r>
          </w:p>
          <w:p w14:paraId="2083F3BA" w14:textId="77777777" w:rsidR="00EB243D" w:rsidRPr="00154588" w:rsidRDefault="00EB243D" w:rsidP="008C12B4">
            <w:pPr>
              <w:jc w:val="both"/>
              <w:rPr>
                <w:bCs/>
                <w:sz w:val="20"/>
                <w:szCs w:val="20"/>
              </w:rPr>
            </w:pPr>
          </w:p>
        </w:tc>
        <w:tc>
          <w:tcPr>
            <w:tcW w:w="2552" w:type="dxa"/>
          </w:tcPr>
          <w:p w14:paraId="4164A494" w14:textId="14CC300C" w:rsidR="00EB243D" w:rsidRPr="00154588" w:rsidRDefault="00EB243D" w:rsidP="008C12B4">
            <w:pPr>
              <w:jc w:val="both"/>
              <w:rPr>
                <w:bCs/>
                <w:sz w:val="20"/>
                <w:szCs w:val="20"/>
              </w:rPr>
            </w:pPr>
            <w:r w:rsidRPr="00154588">
              <w:rPr>
                <w:bCs/>
                <w:sz w:val="20"/>
                <w:szCs w:val="20"/>
              </w:rPr>
              <w:t>Compatibil</w:t>
            </w:r>
          </w:p>
        </w:tc>
        <w:tc>
          <w:tcPr>
            <w:tcW w:w="3118" w:type="dxa"/>
          </w:tcPr>
          <w:p w14:paraId="4D0A978F" w14:textId="77777777" w:rsidR="00EB243D" w:rsidRPr="00154588" w:rsidRDefault="00EB243D" w:rsidP="008C12B4">
            <w:pPr>
              <w:jc w:val="both"/>
              <w:rPr>
                <w:bCs/>
                <w:sz w:val="20"/>
                <w:szCs w:val="20"/>
              </w:rPr>
            </w:pPr>
          </w:p>
        </w:tc>
      </w:tr>
      <w:tr w:rsidR="00EB243D" w:rsidRPr="00154588" w14:paraId="713D9AE5" w14:textId="77777777" w:rsidTr="00D15C1B">
        <w:trPr>
          <w:jc w:val="center"/>
        </w:trPr>
        <w:tc>
          <w:tcPr>
            <w:tcW w:w="4957" w:type="dxa"/>
            <w:gridSpan w:val="2"/>
          </w:tcPr>
          <w:p w14:paraId="758E44E1" w14:textId="77777777" w:rsidR="00EB243D" w:rsidRPr="00154588" w:rsidRDefault="00EB243D" w:rsidP="008C12B4">
            <w:pPr>
              <w:jc w:val="both"/>
              <w:rPr>
                <w:b/>
                <w:sz w:val="20"/>
                <w:szCs w:val="20"/>
              </w:rPr>
            </w:pPr>
            <w:r w:rsidRPr="00154588">
              <w:rPr>
                <w:b/>
                <w:sz w:val="20"/>
                <w:szCs w:val="20"/>
              </w:rPr>
              <w:t>TITLUL VII</w:t>
            </w:r>
          </w:p>
          <w:p w14:paraId="6DF54F77" w14:textId="77777777" w:rsidR="00EB243D" w:rsidRPr="00154588" w:rsidRDefault="00EB243D" w:rsidP="008C12B4">
            <w:pPr>
              <w:jc w:val="both"/>
              <w:rPr>
                <w:b/>
                <w:sz w:val="20"/>
                <w:szCs w:val="20"/>
              </w:rPr>
            </w:pPr>
          </w:p>
          <w:p w14:paraId="508816DB" w14:textId="76F67F70" w:rsidR="00EB243D" w:rsidRPr="00154588" w:rsidRDefault="00EB243D" w:rsidP="008C12B4">
            <w:pPr>
              <w:jc w:val="both"/>
              <w:rPr>
                <w:bCs/>
                <w:sz w:val="20"/>
                <w:szCs w:val="20"/>
              </w:rPr>
            </w:pPr>
            <w:r w:rsidRPr="00154588">
              <w:rPr>
                <w:b/>
                <w:sz w:val="20"/>
                <w:szCs w:val="20"/>
              </w:rPr>
              <w:t>MECANISMELE DE FINANȚARE</w:t>
            </w:r>
          </w:p>
        </w:tc>
        <w:tc>
          <w:tcPr>
            <w:tcW w:w="4819" w:type="dxa"/>
          </w:tcPr>
          <w:p w14:paraId="620C5E9E" w14:textId="77777777" w:rsidR="00EB243D" w:rsidRPr="00154588" w:rsidRDefault="00EB243D" w:rsidP="008C12B4">
            <w:pPr>
              <w:jc w:val="both"/>
              <w:rPr>
                <w:bCs/>
                <w:sz w:val="20"/>
                <w:szCs w:val="20"/>
              </w:rPr>
            </w:pPr>
          </w:p>
        </w:tc>
        <w:tc>
          <w:tcPr>
            <w:tcW w:w="2552" w:type="dxa"/>
          </w:tcPr>
          <w:p w14:paraId="254F6E81" w14:textId="77777777" w:rsidR="00EB243D" w:rsidRPr="00154588" w:rsidRDefault="00EB243D" w:rsidP="008C12B4">
            <w:pPr>
              <w:jc w:val="both"/>
              <w:rPr>
                <w:bCs/>
                <w:sz w:val="20"/>
                <w:szCs w:val="20"/>
              </w:rPr>
            </w:pPr>
          </w:p>
        </w:tc>
        <w:tc>
          <w:tcPr>
            <w:tcW w:w="3118" w:type="dxa"/>
          </w:tcPr>
          <w:p w14:paraId="734F036E" w14:textId="77777777" w:rsidR="00EB243D" w:rsidRPr="00154588" w:rsidRDefault="00EB243D" w:rsidP="008C12B4">
            <w:pPr>
              <w:jc w:val="both"/>
              <w:rPr>
                <w:bCs/>
                <w:sz w:val="20"/>
                <w:szCs w:val="20"/>
              </w:rPr>
            </w:pPr>
          </w:p>
        </w:tc>
      </w:tr>
      <w:tr w:rsidR="00EB243D" w:rsidRPr="00154588" w14:paraId="689B1013" w14:textId="77777777" w:rsidTr="00D15C1B">
        <w:trPr>
          <w:jc w:val="center"/>
        </w:trPr>
        <w:tc>
          <w:tcPr>
            <w:tcW w:w="4957" w:type="dxa"/>
            <w:gridSpan w:val="2"/>
          </w:tcPr>
          <w:p w14:paraId="0923C71D" w14:textId="77777777" w:rsidR="00EB243D" w:rsidRPr="00154588" w:rsidRDefault="00EB243D" w:rsidP="008C12B4">
            <w:pPr>
              <w:jc w:val="both"/>
              <w:rPr>
                <w:b/>
                <w:sz w:val="20"/>
                <w:szCs w:val="20"/>
              </w:rPr>
            </w:pPr>
            <w:r w:rsidRPr="00154588">
              <w:rPr>
                <w:b/>
                <w:sz w:val="20"/>
                <w:szCs w:val="20"/>
              </w:rPr>
              <w:t>Articolul 99</w:t>
            </w:r>
          </w:p>
          <w:p w14:paraId="3C9A5DAE" w14:textId="77777777" w:rsidR="00EB243D" w:rsidRPr="00154588" w:rsidRDefault="00EB243D" w:rsidP="008C12B4">
            <w:pPr>
              <w:jc w:val="both"/>
              <w:rPr>
                <w:b/>
                <w:sz w:val="20"/>
                <w:szCs w:val="20"/>
              </w:rPr>
            </w:pPr>
          </w:p>
          <w:p w14:paraId="68A521D7" w14:textId="0908B441" w:rsidR="00EB243D" w:rsidRPr="00154588" w:rsidRDefault="00EB243D" w:rsidP="008C12B4">
            <w:pPr>
              <w:jc w:val="both"/>
              <w:rPr>
                <w:bCs/>
                <w:sz w:val="20"/>
                <w:szCs w:val="20"/>
              </w:rPr>
            </w:pPr>
            <w:r w:rsidRPr="00154588">
              <w:rPr>
                <w:b/>
                <w:sz w:val="20"/>
                <w:szCs w:val="20"/>
              </w:rPr>
              <w:t>Sistemul european al mecanismelor de finanțare</w:t>
            </w:r>
          </w:p>
        </w:tc>
        <w:tc>
          <w:tcPr>
            <w:tcW w:w="4819" w:type="dxa"/>
          </w:tcPr>
          <w:p w14:paraId="60C0618E" w14:textId="77777777" w:rsidR="00EB243D" w:rsidRPr="00154588" w:rsidRDefault="00EB243D" w:rsidP="008C12B4">
            <w:pPr>
              <w:jc w:val="both"/>
              <w:rPr>
                <w:bCs/>
                <w:sz w:val="20"/>
                <w:szCs w:val="20"/>
              </w:rPr>
            </w:pPr>
          </w:p>
        </w:tc>
        <w:tc>
          <w:tcPr>
            <w:tcW w:w="2552" w:type="dxa"/>
          </w:tcPr>
          <w:p w14:paraId="65826839" w14:textId="77777777" w:rsidR="00EB243D" w:rsidRPr="00154588" w:rsidRDefault="00EB243D" w:rsidP="008C12B4">
            <w:pPr>
              <w:jc w:val="both"/>
              <w:rPr>
                <w:bCs/>
                <w:sz w:val="20"/>
                <w:szCs w:val="20"/>
              </w:rPr>
            </w:pPr>
          </w:p>
        </w:tc>
        <w:tc>
          <w:tcPr>
            <w:tcW w:w="3118" w:type="dxa"/>
          </w:tcPr>
          <w:p w14:paraId="56E54B31" w14:textId="77777777" w:rsidR="00EB243D" w:rsidRPr="00154588" w:rsidRDefault="00EB243D" w:rsidP="008C12B4">
            <w:pPr>
              <w:jc w:val="both"/>
              <w:rPr>
                <w:bCs/>
                <w:sz w:val="20"/>
                <w:szCs w:val="20"/>
              </w:rPr>
            </w:pPr>
          </w:p>
        </w:tc>
      </w:tr>
      <w:tr w:rsidR="00EB243D" w:rsidRPr="00154588" w14:paraId="0B14370D" w14:textId="77777777" w:rsidTr="00D15C1B">
        <w:trPr>
          <w:jc w:val="center"/>
        </w:trPr>
        <w:tc>
          <w:tcPr>
            <w:tcW w:w="4957" w:type="dxa"/>
            <w:gridSpan w:val="2"/>
          </w:tcPr>
          <w:p w14:paraId="645E2518" w14:textId="77777777" w:rsidR="00EB243D" w:rsidRPr="00154588" w:rsidRDefault="00EB243D" w:rsidP="008C12B4">
            <w:pPr>
              <w:jc w:val="both"/>
              <w:rPr>
                <w:bCs/>
                <w:sz w:val="20"/>
                <w:szCs w:val="20"/>
              </w:rPr>
            </w:pPr>
            <w:r w:rsidRPr="00154588">
              <w:rPr>
                <w:bCs/>
                <w:sz w:val="20"/>
                <w:szCs w:val="20"/>
              </w:rPr>
              <w:t>Se instituie sistemul european al mecanismelor de finanțare, care se compune din:</w:t>
            </w:r>
          </w:p>
          <w:p w14:paraId="0AC2001C" w14:textId="77777777" w:rsidR="00EB243D" w:rsidRPr="00154588" w:rsidRDefault="00EB243D" w:rsidP="008C12B4">
            <w:pPr>
              <w:jc w:val="both"/>
              <w:rPr>
                <w:bCs/>
                <w:sz w:val="20"/>
                <w:szCs w:val="20"/>
              </w:rPr>
            </w:pPr>
          </w:p>
          <w:p w14:paraId="69411162" w14:textId="77777777" w:rsidR="00EB243D" w:rsidRPr="00154588" w:rsidRDefault="00EB243D" w:rsidP="008C12B4">
            <w:pPr>
              <w:jc w:val="both"/>
              <w:rPr>
                <w:bCs/>
                <w:sz w:val="20"/>
                <w:szCs w:val="20"/>
              </w:rPr>
            </w:pPr>
          </w:p>
          <w:p w14:paraId="1E8D637F" w14:textId="528E1136" w:rsidR="00EB243D" w:rsidRPr="00154588" w:rsidRDefault="00EB243D" w:rsidP="008C12B4">
            <w:pPr>
              <w:jc w:val="both"/>
              <w:rPr>
                <w:bCs/>
                <w:sz w:val="20"/>
                <w:szCs w:val="20"/>
              </w:rPr>
            </w:pPr>
            <w:r w:rsidRPr="00154588">
              <w:rPr>
                <w:bCs/>
                <w:sz w:val="20"/>
                <w:szCs w:val="20"/>
              </w:rPr>
              <w:t>(a) mecanismele de finanțare naționale instituite în conformitate cu articolul 100;</w:t>
            </w:r>
          </w:p>
          <w:p w14:paraId="312EC2A6" w14:textId="77777777" w:rsidR="00EB243D" w:rsidRPr="00154588" w:rsidRDefault="00EB243D" w:rsidP="008C12B4">
            <w:pPr>
              <w:jc w:val="both"/>
              <w:rPr>
                <w:bCs/>
                <w:sz w:val="20"/>
                <w:szCs w:val="20"/>
              </w:rPr>
            </w:pPr>
          </w:p>
          <w:p w14:paraId="705C37BE" w14:textId="3BE81C2F" w:rsidR="00EB243D" w:rsidRPr="00154588" w:rsidRDefault="00EB243D" w:rsidP="008C12B4">
            <w:pPr>
              <w:jc w:val="both"/>
              <w:rPr>
                <w:bCs/>
                <w:sz w:val="20"/>
                <w:szCs w:val="20"/>
              </w:rPr>
            </w:pPr>
            <w:r w:rsidRPr="00154588">
              <w:rPr>
                <w:bCs/>
                <w:sz w:val="20"/>
                <w:szCs w:val="20"/>
              </w:rPr>
              <w:t>(b) împrumuturile dintre mecanismele de finanțare naționale prevăzute la articolul 106;</w:t>
            </w:r>
          </w:p>
          <w:p w14:paraId="1CD36C10" w14:textId="77777777" w:rsidR="00EB243D" w:rsidRPr="00154588" w:rsidRDefault="00EB243D" w:rsidP="008C12B4">
            <w:pPr>
              <w:jc w:val="both"/>
              <w:rPr>
                <w:bCs/>
                <w:sz w:val="20"/>
                <w:szCs w:val="20"/>
              </w:rPr>
            </w:pPr>
          </w:p>
          <w:p w14:paraId="3214A7C6" w14:textId="16F7CFB5" w:rsidR="00EB243D" w:rsidRPr="00154588" w:rsidRDefault="00EB243D" w:rsidP="008C12B4">
            <w:pPr>
              <w:jc w:val="both"/>
              <w:rPr>
                <w:bCs/>
                <w:sz w:val="20"/>
                <w:szCs w:val="20"/>
              </w:rPr>
            </w:pPr>
            <w:r w:rsidRPr="00154588">
              <w:rPr>
                <w:bCs/>
                <w:sz w:val="20"/>
                <w:szCs w:val="20"/>
              </w:rPr>
              <w:t>(c) mutualizarea mecanismelor de finanțare naționale în cazul rezoluției grupurilor conform prevederilor articolului 107.</w:t>
            </w:r>
          </w:p>
        </w:tc>
        <w:tc>
          <w:tcPr>
            <w:tcW w:w="4819" w:type="dxa"/>
          </w:tcPr>
          <w:p w14:paraId="6F537B7C" w14:textId="77777777" w:rsidR="00EB243D" w:rsidRPr="00154588" w:rsidRDefault="00EB243D" w:rsidP="008C12B4">
            <w:pPr>
              <w:jc w:val="both"/>
              <w:rPr>
                <w:bCs/>
                <w:sz w:val="20"/>
                <w:szCs w:val="20"/>
              </w:rPr>
            </w:pPr>
          </w:p>
        </w:tc>
        <w:tc>
          <w:tcPr>
            <w:tcW w:w="2552" w:type="dxa"/>
          </w:tcPr>
          <w:p w14:paraId="7181859A" w14:textId="77777777" w:rsidR="00EB243D" w:rsidRPr="00154588" w:rsidRDefault="00EB243D" w:rsidP="008C12B4">
            <w:pPr>
              <w:jc w:val="both"/>
              <w:rPr>
                <w:bCs/>
                <w:sz w:val="20"/>
                <w:szCs w:val="20"/>
              </w:rPr>
            </w:pPr>
          </w:p>
        </w:tc>
        <w:tc>
          <w:tcPr>
            <w:tcW w:w="3118" w:type="dxa"/>
          </w:tcPr>
          <w:p w14:paraId="10EF6168" w14:textId="1F774F60" w:rsidR="00EB243D" w:rsidRPr="00154588" w:rsidRDefault="00EB243D" w:rsidP="008C12B4">
            <w:pPr>
              <w:jc w:val="both"/>
              <w:rPr>
                <w:bCs/>
                <w:sz w:val="20"/>
                <w:szCs w:val="20"/>
              </w:rPr>
            </w:pPr>
            <w:r w:rsidRPr="00154588">
              <w:rPr>
                <w:bCs/>
                <w:sz w:val="20"/>
                <w:szCs w:val="20"/>
              </w:rPr>
              <w:t>NORMĂ-GENERALĂ CADRU/ nu poate fi transpusă, se traspune prin urmatoarele articole, privitoare la instituirea mecanismului național de finanțare și prin recunoașterea cooperării europene.</w:t>
            </w:r>
          </w:p>
        </w:tc>
      </w:tr>
      <w:tr w:rsidR="00EB243D" w:rsidRPr="00154588" w14:paraId="690B35C7" w14:textId="77777777" w:rsidTr="00D15C1B">
        <w:trPr>
          <w:jc w:val="center"/>
        </w:trPr>
        <w:tc>
          <w:tcPr>
            <w:tcW w:w="4957" w:type="dxa"/>
            <w:gridSpan w:val="2"/>
          </w:tcPr>
          <w:p w14:paraId="346AAB43" w14:textId="77777777" w:rsidR="00EB243D" w:rsidRPr="00154588" w:rsidRDefault="00EB243D" w:rsidP="008C12B4">
            <w:pPr>
              <w:jc w:val="both"/>
              <w:rPr>
                <w:b/>
                <w:sz w:val="20"/>
                <w:szCs w:val="20"/>
              </w:rPr>
            </w:pPr>
            <w:r w:rsidRPr="00154588">
              <w:rPr>
                <w:b/>
                <w:sz w:val="20"/>
                <w:szCs w:val="20"/>
              </w:rPr>
              <w:t>Articolul 100</w:t>
            </w:r>
          </w:p>
          <w:p w14:paraId="7B3901FA" w14:textId="77777777" w:rsidR="00EB243D" w:rsidRPr="00154588" w:rsidRDefault="00EB243D" w:rsidP="008C12B4">
            <w:pPr>
              <w:jc w:val="both"/>
              <w:rPr>
                <w:b/>
                <w:sz w:val="20"/>
                <w:szCs w:val="20"/>
              </w:rPr>
            </w:pPr>
          </w:p>
          <w:p w14:paraId="403B4397" w14:textId="550DCF73" w:rsidR="00EB243D" w:rsidRPr="00154588" w:rsidRDefault="00EB243D" w:rsidP="008C12B4">
            <w:pPr>
              <w:jc w:val="both"/>
              <w:rPr>
                <w:bCs/>
                <w:sz w:val="20"/>
                <w:szCs w:val="20"/>
              </w:rPr>
            </w:pPr>
            <w:r w:rsidRPr="00154588">
              <w:rPr>
                <w:b/>
                <w:sz w:val="20"/>
                <w:szCs w:val="20"/>
              </w:rPr>
              <w:t>Cerința privind instituirea de mecanisme de finanțare a rezoluției</w:t>
            </w:r>
          </w:p>
        </w:tc>
        <w:tc>
          <w:tcPr>
            <w:tcW w:w="4819" w:type="dxa"/>
          </w:tcPr>
          <w:p w14:paraId="6889DB4C" w14:textId="77777777" w:rsidR="00EB243D" w:rsidRPr="00154588" w:rsidRDefault="00EB243D" w:rsidP="008C12B4">
            <w:pPr>
              <w:jc w:val="both"/>
              <w:rPr>
                <w:bCs/>
                <w:sz w:val="20"/>
                <w:szCs w:val="20"/>
              </w:rPr>
            </w:pPr>
          </w:p>
        </w:tc>
        <w:tc>
          <w:tcPr>
            <w:tcW w:w="2552" w:type="dxa"/>
          </w:tcPr>
          <w:p w14:paraId="4FBD3D38" w14:textId="77777777" w:rsidR="00EB243D" w:rsidRPr="00154588" w:rsidRDefault="00EB243D" w:rsidP="008C12B4">
            <w:pPr>
              <w:jc w:val="both"/>
              <w:rPr>
                <w:bCs/>
                <w:sz w:val="20"/>
                <w:szCs w:val="20"/>
              </w:rPr>
            </w:pPr>
          </w:p>
        </w:tc>
        <w:tc>
          <w:tcPr>
            <w:tcW w:w="3118" w:type="dxa"/>
          </w:tcPr>
          <w:p w14:paraId="29E270C6" w14:textId="77777777" w:rsidR="00EB243D" w:rsidRPr="00154588" w:rsidRDefault="00EB243D" w:rsidP="008C12B4">
            <w:pPr>
              <w:jc w:val="both"/>
              <w:rPr>
                <w:bCs/>
                <w:sz w:val="20"/>
                <w:szCs w:val="20"/>
              </w:rPr>
            </w:pPr>
          </w:p>
        </w:tc>
      </w:tr>
      <w:tr w:rsidR="00EB243D" w:rsidRPr="00154588" w14:paraId="253EE8F2" w14:textId="77777777" w:rsidTr="00D15C1B">
        <w:trPr>
          <w:jc w:val="center"/>
        </w:trPr>
        <w:tc>
          <w:tcPr>
            <w:tcW w:w="4957" w:type="dxa"/>
            <w:gridSpan w:val="2"/>
          </w:tcPr>
          <w:p w14:paraId="6061EF21" w14:textId="77777777" w:rsidR="00EB243D" w:rsidRPr="00154588" w:rsidRDefault="00EB243D" w:rsidP="008C12B4">
            <w:pPr>
              <w:jc w:val="both"/>
              <w:rPr>
                <w:bCs/>
                <w:sz w:val="20"/>
                <w:szCs w:val="20"/>
              </w:rPr>
            </w:pPr>
            <w:r w:rsidRPr="00154588">
              <w:rPr>
                <w:bCs/>
                <w:sz w:val="20"/>
                <w:szCs w:val="20"/>
              </w:rPr>
              <w:t>(1)   Statele membre instituie unul sau mai multe mecanisme de finanțare în scopul asigurării aplicării efective a instrumentelor și competențelor de rezoluție de către autoritatea de rezoluție.</w:t>
            </w:r>
          </w:p>
          <w:p w14:paraId="5F114208" w14:textId="77777777" w:rsidR="00EB243D" w:rsidRPr="00154588" w:rsidRDefault="00EB243D" w:rsidP="008C12B4">
            <w:pPr>
              <w:jc w:val="both"/>
              <w:rPr>
                <w:bCs/>
                <w:sz w:val="20"/>
                <w:szCs w:val="20"/>
              </w:rPr>
            </w:pPr>
          </w:p>
          <w:p w14:paraId="281FA4F9" w14:textId="3A0EA65E" w:rsidR="00EB243D" w:rsidRPr="00154588" w:rsidRDefault="00EB243D" w:rsidP="008C12B4">
            <w:pPr>
              <w:jc w:val="both"/>
              <w:rPr>
                <w:bCs/>
                <w:sz w:val="20"/>
                <w:szCs w:val="20"/>
              </w:rPr>
            </w:pPr>
            <w:r w:rsidRPr="00154588">
              <w:rPr>
                <w:bCs/>
                <w:sz w:val="20"/>
                <w:szCs w:val="20"/>
              </w:rPr>
              <w:t>Statele membre se asigură că utilizarea mecanismelor de finanțare poate fi declanșată de către o autoritate publică desemnată sau de o autoritate învestită cu competențe administrative publice.</w:t>
            </w:r>
          </w:p>
          <w:p w14:paraId="6108B215" w14:textId="77777777" w:rsidR="00EB243D" w:rsidRPr="00154588" w:rsidRDefault="00EB243D" w:rsidP="008C12B4">
            <w:pPr>
              <w:jc w:val="both"/>
              <w:rPr>
                <w:bCs/>
                <w:sz w:val="20"/>
                <w:szCs w:val="20"/>
              </w:rPr>
            </w:pPr>
          </w:p>
          <w:p w14:paraId="341567D3" w14:textId="25A4B05D" w:rsidR="00EB243D" w:rsidRPr="00154588" w:rsidRDefault="00EB243D" w:rsidP="008C12B4">
            <w:pPr>
              <w:jc w:val="both"/>
              <w:rPr>
                <w:bCs/>
                <w:sz w:val="20"/>
                <w:szCs w:val="20"/>
              </w:rPr>
            </w:pPr>
            <w:r w:rsidRPr="00154588">
              <w:rPr>
                <w:bCs/>
                <w:sz w:val="20"/>
                <w:szCs w:val="20"/>
              </w:rPr>
              <w:lastRenderedPageBreak/>
              <w:t>Mecanismele de finanțare trebuie utilizate doar în conformitate cu obiectivele rezoluției și cu principiile stipulate la articolele 31 și 34.</w:t>
            </w:r>
          </w:p>
        </w:tc>
        <w:tc>
          <w:tcPr>
            <w:tcW w:w="4819" w:type="dxa"/>
          </w:tcPr>
          <w:p w14:paraId="3498E21B" w14:textId="74C6E692" w:rsidR="00EB243D" w:rsidRPr="00154588" w:rsidRDefault="00EB243D" w:rsidP="008C12B4">
            <w:pPr>
              <w:ind w:firstLine="567"/>
              <w:jc w:val="both"/>
              <w:rPr>
                <w:sz w:val="20"/>
                <w:szCs w:val="20"/>
              </w:rPr>
            </w:pPr>
            <w:r w:rsidRPr="00154588">
              <w:rPr>
                <w:b/>
                <w:sz w:val="20"/>
                <w:szCs w:val="20"/>
              </w:rPr>
              <w:lastRenderedPageBreak/>
              <w:t>Articolul 296.</w:t>
            </w:r>
            <w:r w:rsidRPr="00154588">
              <w:rPr>
                <w:sz w:val="20"/>
                <w:szCs w:val="20"/>
              </w:rPr>
              <w:t xml:space="preserve"> –(1) În vederea asigurării aplicării eficace a instrumentelor şi competenţelor de rezoluţie de către Banca Naţională a Moldovei, în calitate de autoritate de rezoluţie se constituie fondul de rezoluţie bancară.</w:t>
            </w:r>
          </w:p>
          <w:p w14:paraId="40638BDB" w14:textId="0EBCF7AB" w:rsidR="00EB243D" w:rsidRPr="00154588" w:rsidRDefault="0025291F" w:rsidP="008C12B4">
            <w:pPr>
              <w:jc w:val="both"/>
              <w:rPr>
                <w:sz w:val="20"/>
                <w:szCs w:val="20"/>
              </w:rPr>
            </w:pPr>
            <w:r w:rsidRPr="00154588">
              <w:rPr>
                <w:sz w:val="20"/>
                <w:szCs w:val="20"/>
              </w:rPr>
              <w:t>(2)</w:t>
            </w:r>
            <w:r w:rsidR="00EB243D" w:rsidRPr="00154588">
              <w:rPr>
                <w:sz w:val="20"/>
                <w:szCs w:val="20"/>
              </w:rPr>
              <w:t>Utilizarea resurselor fondului de rezoluție bancară poate fi dispusă numai de Banca Națională a Moldovei, în exercitarea competențelor sale de autoritate de rezoluție și numai în conformitate cu obiectivele rezoluţiei şi principiilor prevăzute la art.55-57 şi art.61-65.</w:t>
            </w:r>
          </w:p>
          <w:p w14:paraId="2483D430" w14:textId="77777777" w:rsidR="0025291F" w:rsidRPr="00154588" w:rsidRDefault="0025291F" w:rsidP="008C12B4">
            <w:pPr>
              <w:jc w:val="both"/>
              <w:rPr>
                <w:b/>
                <w:sz w:val="20"/>
                <w:szCs w:val="20"/>
              </w:rPr>
            </w:pPr>
          </w:p>
          <w:p w14:paraId="2CE123F7" w14:textId="3ECEF46D" w:rsidR="0025291F" w:rsidRPr="00154588" w:rsidRDefault="0025291F" w:rsidP="008C12B4">
            <w:pPr>
              <w:jc w:val="both"/>
              <w:rPr>
                <w:color w:val="000000" w:themeColor="text1"/>
                <w:sz w:val="20"/>
                <w:szCs w:val="20"/>
              </w:rPr>
            </w:pPr>
            <w:r w:rsidRPr="00154588">
              <w:rPr>
                <w:b/>
                <w:sz w:val="20"/>
                <w:szCs w:val="20"/>
              </w:rPr>
              <w:t>Articolul 296</w:t>
            </w:r>
            <w:r w:rsidRPr="00154588">
              <w:rPr>
                <w:b/>
                <w:sz w:val="20"/>
                <w:szCs w:val="20"/>
                <w:vertAlign w:val="superscript"/>
              </w:rPr>
              <w:t>1</w:t>
            </w:r>
            <w:r w:rsidRPr="00154588">
              <w:rPr>
                <w:sz w:val="20"/>
                <w:szCs w:val="20"/>
              </w:rPr>
              <w:t xml:space="preserve"> -</w:t>
            </w:r>
            <w:r w:rsidRPr="00154588">
              <w:rPr>
                <w:color w:val="000000" w:themeColor="text1"/>
                <w:sz w:val="20"/>
                <w:szCs w:val="20"/>
              </w:rPr>
              <w:t xml:space="preserve"> Fondul de rezoluție bancară, stabilit conform art.296, mecanismele de finanțare a rezoluției din alte state membre, mecanismul de acordare de împrumuturi reciproce între fondul de rezoluție bancară pe de o parte și mecanisme de finanțare a rezoluției din alte state membre pe de altă parte, prevăzut la art.313</w:t>
            </w:r>
            <w:r w:rsidRPr="00154588">
              <w:rPr>
                <w:color w:val="000000" w:themeColor="text1"/>
                <w:sz w:val="20"/>
                <w:szCs w:val="20"/>
                <w:vertAlign w:val="superscript"/>
              </w:rPr>
              <w:t>2</w:t>
            </w:r>
            <w:r w:rsidRPr="00154588">
              <w:rPr>
                <w:color w:val="000000" w:themeColor="text1"/>
                <w:sz w:val="20"/>
                <w:szCs w:val="20"/>
              </w:rPr>
              <w:t>, precum și mecanismul de participare a fondului de rezoluție bancară și a celorlalte mecanisme de finanțare a rezoluției din alte state membre la finanțarea rezoluției la nivelul grupului potrivit art.313</w:t>
            </w:r>
            <w:r w:rsidRPr="00154588">
              <w:rPr>
                <w:color w:val="000000" w:themeColor="text1"/>
                <w:sz w:val="20"/>
                <w:szCs w:val="20"/>
                <w:vertAlign w:val="superscript"/>
              </w:rPr>
              <w:t xml:space="preserve">4 </w:t>
            </w:r>
            <w:r w:rsidRPr="00154588">
              <w:rPr>
                <w:color w:val="000000" w:themeColor="text1"/>
                <w:sz w:val="20"/>
                <w:szCs w:val="20"/>
              </w:rPr>
              <w:t>-313</w:t>
            </w:r>
            <w:r w:rsidRPr="00154588">
              <w:rPr>
                <w:color w:val="000000" w:themeColor="text1"/>
                <w:sz w:val="20"/>
                <w:szCs w:val="20"/>
                <w:vertAlign w:val="superscript"/>
              </w:rPr>
              <w:t>7</w:t>
            </w:r>
            <w:r w:rsidRPr="00154588">
              <w:rPr>
                <w:color w:val="000000" w:themeColor="text1"/>
                <w:sz w:val="20"/>
                <w:szCs w:val="20"/>
              </w:rPr>
              <w:t xml:space="preserve"> fac parte din sistemul de mecanisme de finanțare a rezoluției care urmează să fie înființat la nivel european.</w:t>
            </w:r>
          </w:p>
          <w:p w14:paraId="542D75FF" w14:textId="77777777" w:rsidR="0025291F" w:rsidRPr="00154588" w:rsidRDefault="0025291F" w:rsidP="008C12B4">
            <w:pPr>
              <w:ind w:firstLine="567"/>
              <w:jc w:val="both"/>
              <w:rPr>
                <w:sz w:val="20"/>
                <w:szCs w:val="20"/>
              </w:rPr>
            </w:pPr>
          </w:p>
          <w:p w14:paraId="048D1515" w14:textId="77777777" w:rsidR="0025291F" w:rsidRPr="00154588" w:rsidRDefault="0025291F" w:rsidP="008C12B4">
            <w:pPr>
              <w:jc w:val="both"/>
              <w:rPr>
                <w:sz w:val="20"/>
                <w:szCs w:val="20"/>
              </w:rPr>
            </w:pPr>
          </w:p>
          <w:p w14:paraId="1D4C7D54" w14:textId="77777777" w:rsidR="00EB243D" w:rsidRPr="00154588" w:rsidRDefault="00EB243D" w:rsidP="008C12B4">
            <w:pPr>
              <w:jc w:val="both"/>
              <w:rPr>
                <w:bCs/>
                <w:sz w:val="20"/>
                <w:szCs w:val="20"/>
              </w:rPr>
            </w:pPr>
          </w:p>
        </w:tc>
        <w:tc>
          <w:tcPr>
            <w:tcW w:w="2552" w:type="dxa"/>
          </w:tcPr>
          <w:p w14:paraId="746C5F74" w14:textId="22FD967A" w:rsidR="00EB243D" w:rsidRPr="00154588" w:rsidRDefault="00EB243D" w:rsidP="008C12B4">
            <w:pPr>
              <w:jc w:val="both"/>
              <w:rPr>
                <w:bCs/>
                <w:sz w:val="20"/>
                <w:szCs w:val="20"/>
              </w:rPr>
            </w:pPr>
            <w:r w:rsidRPr="00154588">
              <w:rPr>
                <w:bCs/>
                <w:sz w:val="20"/>
                <w:szCs w:val="20"/>
              </w:rPr>
              <w:lastRenderedPageBreak/>
              <w:t>Compatibil</w:t>
            </w:r>
          </w:p>
        </w:tc>
        <w:tc>
          <w:tcPr>
            <w:tcW w:w="3118" w:type="dxa"/>
          </w:tcPr>
          <w:p w14:paraId="7C96E6B0" w14:textId="3452FCB8" w:rsidR="00EB243D" w:rsidRPr="00154588" w:rsidRDefault="00EB243D" w:rsidP="008C12B4">
            <w:pPr>
              <w:jc w:val="both"/>
              <w:rPr>
                <w:bCs/>
                <w:sz w:val="20"/>
                <w:szCs w:val="20"/>
              </w:rPr>
            </w:pPr>
          </w:p>
        </w:tc>
      </w:tr>
      <w:tr w:rsidR="00EB243D" w:rsidRPr="00154588" w14:paraId="69DB7AFA" w14:textId="77777777" w:rsidTr="00D15C1B">
        <w:trPr>
          <w:jc w:val="center"/>
        </w:trPr>
        <w:tc>
          <w:tcPr>
            <w:tcW w:w="4957" w:type="dxa"/>
            <w:gridSpan w:val="2"/>
          </w:tcPr>
          <w:p w14:paraId="0CB51B4D" w14:textId="44C3799B" w:rsidR="00EB243D" w:rsidRPr="00154588" w:rsidRDefault="00EB243D" w:rsidP="008C12B4">
            <w:pPr>
              <w:jc w:val="both"/>
              <w:rPr>
                <w:bCs/>
                <w:sz w:val="20"/>
                <w:szCs w:val="20"/>
              </w:rPr>
            </w:pPr>
            <w:r w:rsidRPr="00154588">
              <w:rPr>
                <w:bCs/>
                <w:sz w:val="20"/>
                <w:szCs w:val="20"/>
              </w:rPr>
              <w:t>(2)   Statele membre pot folosi aceeași structură administrativă ca și mecanismele lor de finanțare pentru schema lor de garantare a depozitelor.</w:t>
            </w:r>
          </w:p>
        </w:tc>
        <w:tc>
          <w:tcPr>
            <w:tcW w:w="4819" w:type="dxa"/>
          </w:tcPr>
          <w:p w14:paraId="23C9CBC9" w14:textId="77777777" w:rsidR="00EB243D" w:rsidRPr="00154588" w:rsidRDefault="00EB243D" w:rsidP="008C12B4">
            <w:pPr>
              <w:ind w:firstLine="567"/>
              <w:jc w:val="both"/>
              <w:rPr>
                <w:sz w:val="20"/>
                <w:szCs w:val="20"/>
              </w:rPr>
            </w:pPr>
            <w:r w:rsidRPr="00154588">
              <w:rPr>
                <w:sz w:val="20"/>
                <w:szCs w:val="20"/>
              </w:rPr>
              <w:t> </w:t>
            </w:r>
            <w:r w:rsidRPr="00154588">
              <w:rPr>
                <w:b/>
                <w:sz w:val="20"/>
                <w:szCs w:val="20"/>
              </w:rPr>
              <w:t>Articolul 297.</w:t>
            </w:r>
            <w:r w:rsidRPr="00154588">
              <w:rPr>
                <w:sz w:val="20"/>
                <w:szCs w:val="20"/>
              </w:rPr>
              <w:t xml:space="preserve"> – Resursele fondului de rezoluţie bancară sunt administrate de către Fondul de garantare a depozitelor în sistemul bancar, potrivit dispoziţiilor prezentei legi.</w:t>
            </w:r>
          </w:p>
          <w:p w14:paraId="5DFC3044" w14:textId="77777777" w:rsidR="00EB243D" w:rsidRPr="00154588" w:rsidRDefault="00EB243D" w:rsidP="008C12B4">
            <w:pPr>
              <w:jc w:val="both"/>
              <w:rPr>
                <w:bCs/>
                <w:sz w:val="20"/>
                <w:szCs w:val="20"/>
              </w:rPr>
            </w:pPr>
          </w:p>
        </w:tc>
        <w:tc>
          <w:tcPr>
            <w:tcW w:w="2552" w:type="dxa"/>
          </w:tcPr>
          <w:p w14:paraId="2CD91551" w14:textId="7582913F" w:rsidR="00EB243D" w:rsidRPr="00154588" w:rsidRDefault="00EB243D" w:rsidP="008C12B4">
            <w:pPr>
              <w:jc w:val="both"/>
              <w:rPr>
                <w:bCs/>
                <w:sz w:val="20"/>
                <w:szCs w:val="20"/>
              </w:rPr>
            </w:pPr>
            <w:r w:rsidRPr="00154588">
              <w:rPr>
                <w:bCs/>
                <w:sz w:val="20"/>
                <w:szCs w:val="20"/>
              </w:rPr>
              <w:t>Compatibil</w:t>
            </w:r>
          </w:p>
        </w:tc>
        <w:tc>
          <w:tcPr>
            <w:tcW w:w="3118" w:type="dxa"/>
          </w:tcPr>
          <w:p w14:paraId="1F1396ED" w14:textId="77777777" w:rsidR="00EB243D" w:rsidRPr="00154588" w:rsidRDefault="00EB243D" w:rsidP="008C12B4">
            <w:pPr>
              <w:jc w:val="both"/>
              <w:rPr>
                <w:bCs/>
                <w:sz w:val="20"/>
                <w:szCs w:val="20"/>
              </w:rPr>
            </w:pPr>
          </w:p>
        </w:tc>
      </w:tr>
      <w:tr w:rsidR="00EB243D" w:rsidRPr="00154588" w14:paraId="66725F11" w14:textId="77777777" w:rsidTr="00D15C1B">
        <w:trPr>
          <w:jc w:val="center"/>
        </w:trPr>
        <w:tc>
          <w:tcPr>
            <w:tcW w:w="4957" w:type="dxa"/>
            <w:gridSpan w:val="2"/>
          </w:tcPr>
          <w:p w14:paraId="2A2E820F" w14:textId="0033C4EC" w:rsidR="00EB243D" w:rsidRPr="00154588" w:rsidRDefault="00EB243D" w:rsidP="008C12B4">
            <w:pPr>
              <w:jc w:val="both"/>
              <w:rPr>
                <w:bCs/>
                <w:sz w:val="20"/>
                <w:szCs w:val="20"/>
              </w:rPr>
            </w:pPr>
            <w:r w:rsidRPr="00154588">
              <w:rPr>
                <w:bCs/>
                <w:sz w:val="20"/>
                <w:szCs w:val="20"/>
              </w:rPr>
              <w:t>(3)   Statele membre se asigură că mecanismele de finanțare dispun de resurse de finanțare adecvate.</w:t>
            </w:r>
          </w:p>
        </w:tc>
        <w:tc>
          <w:tcPr>
            <w:tcW w:w="4819" w:type="dxa"/>
            <w:vMerge w:val="restart"/>
          </w:tcPr>
          <w:p w14:paraId="7E21EF58" w14:textId="77777777" w:rsidR="00EB243D" w:rsidRPr="00154588" w:rsidRDefault="00EB243D"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298.</w:t>
            </w:r>
            <w:r w:rsidRPr="00154588">
              <w:rPr>
                <w:sz w:val="20"/>
                <w:szCs w:val="20"/>
              </w:rPr>
              <w:t xml:space="preserve"> – (1) Fondul de rezoluţie bancară se alimentează, în vederea asigurării unor resurse adecvate, din următoarele surse financiare:</w:t>
            </w:r>
          </w:p>
          <w:p w14:paraId="76E7EF89" w14:textId="03127254" w:rsidR="00EB243D" w:rsidRPr="00154588" w:rsidRDefault="00EB243D" w:rsidP="008C12B4">
            <w:pPr>
              <w:ind w:firstLine="567"/>
              <w:jc w:val="both"/>
              <w:rPr>
                <w:sz w:val="20"/>
                <w:szCs w:val="20"/>
              </w:rPr>
            </w:pPr>
            <w:r w:rsidRPr="00154588">
              <w:rPr>
                <w:sz w:val="20"/>
                <w:szCs w:val="20"/>
              </w:rPr>
              <w:t>a) contribuţii anuale, menționate la art.306-309,  în vederea atingerii nivelului-ţintă;</w:t>
            </w:r>
          </w:p>
          <w:p w14:paraId="3ADD629D" w14:textId="13ECEB7A" w:rsidR="00EB243D" w:rsidRPr="00154588" w:rsidRDefault="00EB243D" w:rsidP="008C12B4">
            <w:pPr>
              <w:ind w:firstLine="567"/>
              <w:jc w:val="both"/>
              <w:rPr>
                <w:sz w:val="20"/>
                <w:szCs w:val="20"/>
              </w:rPr>
            </w:pPr>
            <w:r w:rsidRPr="00154588">
              <w:rPr>
                <w:sz w:val="20"/>
                <w:szCs w:val="20"/>
              </w:rPr>
              <w:t>b) contribuţii extraordinare,menționate la art.310-312, în cazul în care contribuţiile prevăzute la lit.a) sînt insuficiente în opinia Băncii Naţionale a Moldovei, în calitate de autoritate de rezoluţie; şi</w:t>
            </w:r>
          </w:p>
          <w:p w14:paraId="5A1D0703" w14:textId="0276260E" w:rsidR="00EB243D" w:rsidRPr="00154588" w:rsidRDefault="00EB243D" w:rsidP="008C12B4">
            <w:pPr>
              <w:ind w:firstLine="567"/>
              <w:jc w:val="both"/>
              <w:rPr>
                <w:sz w:val="20"/>
                <w:szCs w:val="20"/>
              </w:rPr>
            </w:pPr>
            <w:r w:rsidRPr="00154588">
              <w:rPr>
                <w:sz w:val="20"/>
                <w:szCs w:val="20"/>
              </w:rPr>
              <w:t>c) împrumuturi şi alte forme de sprijin prevăzute la art. 313.</w:t>
            </w:r>
          </w:p>
          <w:p w14:paraId="26A2E019" w14:textId="77777777" w:rsidR="00EB243D" w:rsidRPr="00154588" w:rsidRDefault="00EB243D" w:rsidP="008C12B4">
            <w:pPr>
              <w:ind w:firstLine="567"/>
              <w:jc w:val="both"/>
              <w:rPr>
                <w:sz w:val="20"/>
                <w:szCs w:val="20"/>
              </w:rPr>
            </w:pPr>
            <w:r w:rsidRPr="00154588">
              <w:rPr>
                <w:sz w:val="20"/>
                <w:szCs w:val="20"/>
              </w:rPr>
              <w:t>(2) Nivelul contribuţiilor anuale şi extraordinare ale instituțiilor de credit la fondul de rezoluţie bancară se stabileşte de către Banca Naţională a Moldovei, în calitate de autoritate de rezoluţie, cu respectarea dispoziţiilor prezentei legi.</w:t>
            </w:r>
          </w:p>
          <w:p w14:paraId="517BE909" w14:textId="77777777" w:rsidR="00EB243D" w:rsidRPr="00154588" w:rsidRDefault="00EB243D" w:rsidP="008C12B4">
            <w:pPr>
              <w:ind w:firstLine="567"/>
              <w:jc w:val="both"/>
              <w:rPr>
                <w:sz w:val="20"/>
                <w:szCs w:val="20"/>
              </w:rPr>
            </w:pPr>
            <w:r w:rsidRPr="00154588">
              <w:rPr>
                <w:sz w:val="20"/>
                <w:szCs w:val="20"/>
              </w:rPr>
              <w:t>(3) Instituțiile de credit plătesc Fondului de garantare a depozitelor în sistemul bancar contribuţiile prevăzute la alin.(2), în termenele comunicate de Banca Naţională a Moldovei, în calitate de autoritate de rezoluţie.</w:t>
            </w:r>
          </w:p>
          <w:p w14:paraId="1CA053E6" w14:textId="77777777" w:rsidR="00EB243D" w:rsidRPr="00154588" w:rsidRDefault="00EB243D" w:rsidP="008C12B4">
            <w:pPr>
              <w:ind w:firstLine="567"/>
              <w:jc w:val="both"/>
              <w:rPr>
                <w:bCs/>
                <w:sz w:val="20"/>
                <w:szCs w:val="20"/>
              </w:rPr>
            </w:pPr>
          </w:p>
        </w:tc>
        <w:tc>
          <w:tcPr>
            <w:tcW w:w="2552" w:type="dxa"/>
          </w:tcPr>
          <w:p w14:paraId="40BAA312" w14:textId="2D0B104E" w:rsidR="00EB243D" w:rsidRPr="00154588" w:rsidRDefault="00EB243D" w:rsidP="008C12B4">
            <w:pPr>
              <w:jc w:val="both"/>
              <w:rPr>
                <w:bCs/>
                <w:sz w:val="20"/>
                <w:szCs w:val="20"/>
              </w:rPr>
            </w:pPr>
            <w:r w:rsidRPr="00154588">
              <w:rPr>
                <w:bCs/>
                <w:sz w:val="20"/>
                <w:szCs w:val="20"/>
              </w:rPr>
              <w:t>Compatibil</w:t>
            </w:r>
          </w:p>
        </w:tc>
        <w:tc>
          <w:tcPr>
            <w:tcW w:w="3118" w:type="dxa"/>
          </w:tcPr>
          <w:p w14:paraId="530EAD6C" w14:textId="77777777" w:rsidR="00EB243D" w:rsidRPr="00154588" w:rsidRDefault="00EB243D" w:rsidP="008C12B4">
            <w:pPr>
              <w:jc w:val="both"/>
              <w:rPr>
                <w:bCs/>
                <w:sz w:val="20"/>
                <w:szCs w:val="20"/>
              </w:rPr>
            </w:pPr>
          </w:p>
        </w:tc>
      </w:tr>
      <w:tr w:rsidR="00EB243D" w:rsidRPr="00154588" w14:paraId="0F96366E" w14:textId="77777777" w:rsidTr="00D15C1B">
        <w:trPr>
          <w:jc w:val="center"/>
        </w:trPr>
        <w:tc>
          <w:tcPr>
            <w:tcW w:w="4957" w:type="dxa"/>
            <w:gridSpan w:val="2"/>
          </w:tcPr>
          <w:p w14:paraId="315B40F6" w14:textId="77777777" w:rsidR="00EB243D" w:rsidRPr="00154588" w:rsidRDefault="00EB243D" w:rsidP="008C12B4">
            <w:pPr>
              <w:jc w:val="both"/>
              <w:rPr>
                <w:bCs/>
                <w:sz w:val="20"/>
                <w:szCs w:val="20"/>
              </w:rPr>
            </w:pPr>
            <w:r w:rsidRPr="00154588">
              <w:rPr>
                <w:bCs/>
                <w:sz w:val="20"/>
                <w:szCs w:val="20"/>
              </w:rPr>
              <w:t>(4)   În sensul alineatului (3), mecanismele de finanțare dispună în special de competența de a:</w:t>
            </w:r>
          </w:p>
          <w:p w14:paraId="3AE60CEE" w14:textId="7A6DBA66" w:rsidR="00EB243D" w:rsidRPr="00154588" w:rsidRDefault="00EB243D" w:rsidP="008C12B4">
            <w:pPr>
              <w:jc w:val="both"/>
              <w:rPr>
                <w:bCs/>
                <w:sz w:val="20"/>
                <w:szCs w:val="20"/>
              </w:rPr>
            </w:pPr>
            <w:r w:rsidRPr="00154588">
              <w:rPr>
                <w:bCs/>
                <w:sz w:val="20"/>
                <w:szCs w:val="20"/>
              </w:rPr>
              <w:t>(a) percepe contribuții ex ante menționate la articolul 103, în vederea atingerii nivelului-țintă menționat la articolul 102;</w:t>
            </w:r>
          </w:p>
          <w:p w14:paraId="0159DD2B" w14:textId="6F69F775" w:rsidR="00EB243D" w:rsidRPr="00154588" w:rsidRDefault="00EB243D" w:rsidP="008C12B4">
            <w:pPr>
              <w:jc w:val="both"/>
              <w:rPr>
                <w:bCs/>
                <w:sz w:val="20"/>
                <w:szCs w:val="20"/>
              </w:rPr>
            </w:pPr>
            <w:r w:rsidRPr="00154588">
              <w:rPr>
                <w:bCs/>
                <w:sz w:val="20"/>
                <w:szCs w:val="20"/>
              </w:rPr>
              <w:t>(b) percepe contribuții ex post extraordinare, menționate la articolul 104, în cazul în care contribuțiile menționate la litera (a) sunt insuficiente; și</w:t>
            </w:r>
          </w:p>
          <w:p w14:paraId="729A7930" w14:textId="1684602A" w:rsidR="00EB243D" w:rsidRPr="00154588" w:rsidRDefault="00EB243D" w:rsidP="008C12B4">
            <w:pPr>
              <w:jc w:val="both"/>
              <w:rPr>
                <w:bCs/>
                <w:sz w:val="20"/>
                <w:szCs w:val="20"/>
              </w:rPr>
            </w:pPr>
            <w:r w:rsidRPr="00154588">
              <w:rPr>
                <w:bCs/>
                <w:sz w:val="20"/>
                <w:szCs w:val="20"/>
              </w:rPr>
              <w:t>(c) contracta împrumuturi și de a obține alte forme de sprijin menționate la articolul 105.</w:t>
            </w:r>
          </w:p>
        </w:tc>
        <w:tc>
          <w:tcPr>
            <w:tcW w:w="4819" w:type="dxa"/>
            <w:vMerge/>
          </w:tcPr>
          <w:p w14:paraId="3E08F735" w14:textId="77777777" w:rsidR="00EB243D" w:rsidRPr="00154588" w:rsidRDefault="00EB243D" w:rsidP="008C12B4">
            <w:pPr>
              <w:jc w:val="both"/>
              <w:rPr>
                <w:bCs/>
                <w:sz w:val="20"/>
                <w:szCs w:val="20"/>
              </w:rPr>
            </w:pPr>
          </w:p>
        </w:tc>
        <w:tc>
          <w:tcPr>
            <w:tcW w:w="2552" w:type="dxa"/>
          </w:tcPr>
          <w:p w14:paraId="20A7209D" w14:textId="1C7D41E7" w:rsidR="00EB243D" w:rsidRPr="00154588" w:rsidRDefault="00EB243D" w:rsidP="008C12B4">
            <w:pPr>
              <w:jc w:val="both"/>
              <w:rPr>
                <w:bCs/>
                <w:sz w:val="20"/>
                <w:szCs w:val="20"/>
              </w:rPr>
            </w:pPr>
            <w:r w:rsidRPr="00154588">
              <w:rPr>
                <w:bCs/>
                <w:sz w:val="20"/>
                <w:szCs w:val="20"/>
              </w:rPr>
              <w:t>Compatibil</w:t>
            </w:r>
          </w:p>
        </w:tc>
        <w:tc>
          <w:tcPr>
            <w:tcW w:w="3118" w:type="dxa"/>
          </w:tcPr>
          <w:p w14:paraId="469AE9CC" w14:textId="77777777" w:rsidR="00EB243D" w:rsidRPr="00154588" w:rsidRDefault="00EB243D" w:rsidP="008C12B4">
            <w:pPr>
              <w:jc w:val="both"/>
              <w:rPr>
                <w:bCs/>
                <w:sz w:val="20"/>
                <w:szCs w:val="20"/>
              </w:rPr>
            </w:pPr>
          </w:p>
        </w:tc>
      </w:tr>
      <w:tr w:rsidR="00EB243D" w:rsidRPr="00154588" w14:paraId="769320F5" w14:textId="77777777" w:rsidTr="00D15C1B">
        <w:trPr>
          <w:jc w:val="center"/>
        </w:trPr>
        <w:tc>
          <w:tcPr>
            <w:tcW w:w="4957" w:type="dxa"/>
            <w:gridSpan w:val="2"/>
          </w:tcPr>
          <w:p w14:paraId="72908105" w14:textId="61B566F3" w:rsidR="00EB243D" w:rsidRPr="00154588" w:rsidRDefault="00EB243D" w:rsidP="008C12B4">
            <w:pPr>
              <w:jc w:val="both"/>
              <w:rPr>
                <w:bCs/>
                <w:sz w:val="20"/>
                <w:szCs w:val="20"/>
              </w:rPr>
            </w:pPr>
            <w:r w:rsidRPr="00154588">
              <w:rPr>
                <w:bCs/>
                <w:sz w:val="20"/>
                <w:szCs w:val="20"/>
              </w:rPr>
              <w:lastRenderedPageBreak/>
              <w:t>(5)   Cu excepția cazurilor permise în temeiul alineatului (6), fiecare stat membru își instituie mecanismele de finanțare naționale printr-un fond a cărui utilizare poate fi declanșată de autoritatea sa de rezoluție, în scopurile prevăzute la articolul 101 alineatul (1).</w:t>
            </w:r>
          </w:p>
        </w:tc>
        <w:tc>
          <w:tcPr>
            <w:tcW w:w="4819" w:type="dxa"/>
          </w:tcPr>
          <w:p w14:paraId="5A1967C1" w14:textId="5F7D8EDC" w:rsidR="00EB243D" w:rsidRPr="00154588" w:rsidRDefault="00EB243D" w:rsidP="008C12B4">
            <w:pPr>
              <w:jc w:val="both"/>
              <w:rPr>
                <w:bCs/>
                <w:sz w:val="20"/>
                <w:szCs w:val="20"/>
              </w:rPr>
            </w:pPr>
            <w:r w:rsidRPr="00154588">
              <w:rPr>
                <w:b/>
                <w:bCs/>
                <w:sz w:val="20"/>
                <w:szCs w:val="20"/>
              </w:rPr>
              <w:t>Articolul 300.</w:t>
            </w:r>
            <w:r w:rsidRPr="00154588">
              <w:rPr>
                <w:bCs/>
                <w:sz w:val="20"/>
                <w:szCs w:val="20"/>
              </w:rPr>
              <w:t> – Resursele fondului de rezoluţie bancară se utilizează potrivit deciziei Băncii Naţionale a Moldovei, în calitate de autoritate de rezoluţie, şi numai pentru scopurile prevăzute la art.301.</w:t>
            </w:r>
          </w:p>
        </w:tc>
        <w:tc>
          <w:tcPr>
            <w:tcW w:w="2552" w:type="dxa"/>
          </w:tcPr>
          <w:p w14:paraId="0553A9E9" w14:textId="028274E3" w:rsidR="00EB243D" w:rsidRPr="00154588" w:rsidRDefault="00EB243D" w:rsidP="008C12B4">
            <w:pPr>
              <w:jc w:val="both"/>
              <w:rPr>
                <w:bCs/>
                <w:sz w:val="20"/>
                <w:szCs w:val="20"/>
              </w:rPr>
            </w:pPr>
            <w:r w:rsidRPr="00154588">
              <w:rPr>
                <w:bCs/>
                <w:sz w:val="20"/>
                <w:szCs w:val="20"/>
              </w:rPr>
              <w:t>Compatibil/transpus prin art. 296, 298, 300 si art 301</w:t>
            </w:r>
          </w:p>
        </w:tc>
        <w:tc>
          <w:tcPr>
            <w:tcW w:w="3118" w:type="dxa"/>
          </w:tcPr>
          <w:p w14:paraId="75AA0358" w14:textId="77777777" w:rsidR="00EB243D" w:rsidRPr="00154588" w:rsidRDefault="00EB243D" w:rsidP="008C12B4">
            <w:pPr>
              <w:jc w:val="both"/>
              <w:rPr>
                <w:bCs/>
                <w:sz w:val="20"/>
                <w:szCs w:val="20"/>
              </w:rPr>
            </w:pPr>
          </w:p>
        </w:tc>
      </w:tr>
      <w:tr w:rsidR="00EB243D" w:rsidRPr="00154588" w14:paraId="791F381B" w14:textId="77777777" w:rsidTr="00D15C1B">
        <w:trPr>
          <w:jc w:val="center"/>
        </w:trPr>
        <w:tc>
          <w:tcPr>
            <w:tcW w:w="4957" w:type="dxa"/>
            <w:gridSpan w:val="2"/>
          </w:tcPr>
          <w:p w14:paraId="698FBA57" w14:textId="5E372610" w:rsidR="00EB243D" w:rsidRPr="00154588" w:rsidRDefault="00EB243D" w:rsidP="008C12B4">
            <w:pPr>
              <w:jc w:val="both"/>
              <w:rPr>
                <w:bCs/>
                <w:sz w:val="20"/>
                <w:szCs w:val="20"/>
              </w:rPr>
            </w:pPr>
            <w:r w:rsidRPr="00154588">
              <w:br w:type="page"/>
            </w:r>
            <w:r w:rsidRPr="00154588">
              <w:rPr>
                <w:bCs/>
                <w:sz w:val="20"/>
                <w:szCs w:val="20"/>
              </w:rPr>
              <w:t>(6)   Fără a aduce atingere alineatului (5) din prezentul articol, un stat membru poate, în scopul de a-și îndeplini obligațiile în temeiul prezentului articol alineatul (1), să își instituie mecanisme de finanțare naționale prin contribuții obligatorii din partea instituțiilor care sunt autorizate pe teritoriul său; contribuțiile respective au la bază criteriile menționate la articolul 103 alineatul (7) și nu sunt deținute printr-un fond controlat de autoritatea sa de rezoluție, dacă toate condițiile următoare sunt îndeplinite:</w:t>
            </w:r>
          </w:p>
          <w:p w14:paraId="79B67D10" w14:textId="77777777" w:rsidR="00EB243D" w:rsidRPr="00154588" w:rsidRDefault="00EB243D" w:rsidP="008C12B4">
            <w:pPr>
              <w:jc w:val="both"/>
              <w:rPr>
                <w:bCs/>
                <w:sz w:val="20"/>
                <w:szCs w:val="20"/>
              </w:rPr>
            </w:pPr>
          </w:p>
          <w:p w14:paraId="3B483260" w14:textId="77777777" w:rsidR="00EB243D" w:rsidRPr="00154588" w:rsidRDefault="00EB243D" w:rsidP="008C12B4">
            <w:pPr>
              <w:jc w:val="both"/>
              <w:rPr>
                <w:bCs/>
                <w:sz w:val="20"/>
                <w:szCs w:val="20"/>
              </w:rPr>
            </w:pPr>
          </w:p>
          <w:p w14:paraId="10FD7598" w14:textId="00C3FC66" w:rsidR="00EB243D" w:rsidRPr="00154588" w:rsidRDefault="00EB243D" w:rsidP="008C12B4">
            <w:pPr>
              <w:jc w:val="both"/>
              <w:rPr>
                <w:bCs/>
                <w:sz w:val="20"/>
                <w:szCs w:val="20"/>
              </w:rPr>
            </w:pPr>
            <w:r w:rsidRPr="00154588">
              <w:rPr>
                <w:bCs/>
                <w:sz w:val="20"/>
                <w:szCs w:val="20"/>
              </w:rPr>
              <w:t>(a) suma percepută prin contribuții este cel puțin egală cu suma care se impune a fi percepută în temeiul articolului 102;</w:t>
            </w:r>
          </w:p>
          <w:p w14:paraId="669513BF" w14:textId="77777777" w:rsidR="00EB243D" w:rsidRPr="00154588" w:rsidRDefault="00EB243D" w:rsidP="008C12B4">
            <w:pPr>
              <w:jc w:val="both"/>
              <w:rPr>
                <w:bCs/>
                <w:sz w:val="20"/>
                <w:szCs w:val="20"/>
              </w:rPr>
            </w:pPr>
          </w:p>
          <w:p w14:paraId="68B95C88" w14:textId="441F1203" w:rsidR="00EB243D" w:rsidRPr="00154588" w:rsidRDefault="00EB243D" w:rsidP="008C12B4">
            <w:pPr>
              <w:jc w:val="both"/>
              <w:rPr>
                <w:bCs/>
                <w:sz w:val="20"/>
                <w:szCs w:val="20"/>
              </w:rPr>
            </w:pPr>
            <w:r w:rsidRPr="00154588">
              <w:rPr>
                <w:bCs/>
                <w:sz w:val="20"/>
                <w:szCs w:val="20"/>
              </w:rPr>
              <w:t>(b) autoritatea de rezoluție a statului membru are dreptul la o sumă egală cu valoarea respectivelor contribuții, pe care statul membru o pune imediat la dispoziția autorității de rezoluție în cauză la solicitarea acesteia din urmă, pentru a fi utilizate exclusiv în scopurile prevăzute la articolul 101;</w:t>
            </w:r>
          </w:p>
          <w:p w14:paraId="2A1FC72B" w14:textId="77777777" w:rsidR="00EB243D" w:rsidRPr="00154588" w:rsidRDefault="00EB243D" w:rsidP="008C12B4">
            <w:pPr>
              <w:jc w:val="both"/>
              <w:rPr>
                <w:bCs/>
                <w:sz w:val="20"/>
                <w:szCs w:val="20"/>
              </w:rPr>
            </w:pPr>
          </w:p>
          <w:p w14:paraId="012D959A" w14:textId="77777777" w:rsidR="00EB243D" w:rsidRPr="00154588" w:rsidRDefault="00EB243D" w:rsidP="008C12B4">
            <w:pPr>
              <w:jc w:val="both"/>
              <w:rPr>
                <w:bCs/>
                <w:sz w:val="20"/>
                <w:szCs w:val="20"/>
              </w:rPr>
            </w:pPr>
          </w:p>
          <w:p w14:paraId="622E9937" w14:textId="3AF78110" w:rsidR="00EB243D" w:rsidRPr="00154588" w:rsidRDefault="00EB243D" w:rsidP="008C12B4">
            <w:pPr>
              <w:jc w:val="both"/>
              <w:rPr>
                <w:bCs/>
                <w:sz w:val="20"/>
                <w:szCs w:val="20"/>
              </w:rPr>
            </w:pPr>
            <w:r w:rsidRPr="00154588">
              <w:rPr>
                <w:bCs/>
                <w:sz w:val="20"/>
                <w:szCs w:val="20"/>
              </w:rPr>
              <w:t>(c) statul membru notifică Comisiei decizia sa de a se prevala de competența discreționară de a-și structura mecanismele de finanțare în conformitate cu prezentul alineat;</w:t>
            </w:r>
          </w:p>
          <w:p w14:paraId="099F2FC0" w14:textId="77777777" w:rsidR="00EB243D" w:rsidRPr="00154588" w:rsidRDefault="00EB243D" w:rsidP="008C12B4">
            <w:pPr>
              <w:jc w:val="both"/>
              <w:rPr>
                <w:bCs/>
                <w:sz w:val="20"/>
                <w:szCs w:val="20"/>
              </w:rPr>
            </w:pPr>
          </w:p>
          <w:p w14:paraId="3A1AEB52" w14:textId="69D8D81E" w:rsidR="00EB243D" w:rsidRPr="00154588" w:rsidRDefault="00EB243D" w:rsidP="008C12B4">
            <w:pPr>
              <w:jc w:val="both"/>
              <w:rPr>
                <w:bCs/>
                <w:sz w:val="20"/>
                <w:szCs w:val="20"/>
              </w:rPr>
            </w:pPr>
            <w:r w:rsidRPr="00154588">
              <w:rPr>
                <w:bCs/>
                <w:sz w:val="20"/>
                <w:szCs w:val="20"/>
              </w:rPr>
              <w:t>(d) statul membru notifică Comisiei cel puțin anual suma menționată la litera (b); și</w:t>
            </w:r>
          </w:p>
          <w:p w14:paraId="35C27D3C" w14:textId="77777777" w:rsidR="00EB243D" w:rsidRPr="00154588" w:rsidRDefault="00EB243D" w:rsidP="008C12B4">
            <w:pPr>
              <w:jc w:val="both"/>
              <w:rPr>
                <w:bCs/>
                <w:sz w:val="20"/>
                <w:szCs w:val="20"/>
              </w:rPr>
            </w:pPr>
          </w:p>
          <w:p w14:paraId="7BAD9666" w14:textId="77777777" w:rsidR="00EB243D" w:rsidRPr="00154588" w:rsidRDefault="00EB243D" w:rsidP="008C12B4">
            <w:pPr>
              <w:jc w:val="both"/>
              <w:rPr>
                <w:bCs/>
                <w:sz w:val="20"/>
                <w:szCs w:val="20"/>
              </w:rPr>
            </w:pPr>
          </w:p>
          <w:p w14:paraId="3D4F3228" w14:textId="67CE9817" w:rsidR="00EB243D" w:rsidRPr="00154588" w:rsidRDefault="00EB243D" w:rsidP="008C12B4">
            <w:pPr>
              <w:jc w:val="both"/>
              <w:rPr>
                <w:bCs/>
                <w:sz w:val="20"/>
                <w:szCs w:val="20"/>
              </w:rPr>
            </w:pPr>
            <w:r w:rsidRPr="00154588">
              <w:rPr>
                <w:bCs/>
                <w:sz w:val="20"/>
                <w:szCs w:val="20"/>
              </w:rPr>
              <w:t>(e) cu excepția cazurilor prevăzute în prezentul alineat, mecanismele de finanțare respectă articolele 99-102, articolul 103 alineatele (1)-(4) și (6) și articolele 104-109.</w:t>
            </w:r>
          </w:p>
          <w:p w14:paraId="22440226" w14:textId="77777777" w:rsidR="00EB243D" w:rsidRPr="00154588" w:rsidRDefault="00EB243D" w:rsidP="008C12B4">
            <w:pPr>
              <w:jc w:val="both"/>
              <w:rPr>
                <w:bCs/>
                <w:sz w:val="20"/>
                <w:szCs w:val="20"/>
              </w:rPr>
            </w:pPr>
          </w:p>
          <w:p w14:paraId="3E2E1D49" w14:textId="2613340A" w:rsidR="00EB243D" w:rsidRPr="00154588" w:rsidRDefault="00EB243D" w:rsidP="008C12B4">
            <w:pPr>
              <w:jc w:val="both"/>
              <w:rPr>
                <w:bCs/>
                <w:sz w:val="20"/>
                <w:szCs w:val="20"/>
              </w:rPr>
            </w:pPr>
            <w:r w:rsidRPr="00154588">
              <w:rPr>
                <w:bCs/>
                <w:sz w:val="20"/>
                <w:szCs w:val="20"/>
              </w:rPr>
              <w:lastRenderedPageBreak/>
              <w:t>În sensul prezentului alineat, printre mijloacele financiare disponibile de care se ține seama pentru a atinge nivelul-țintă specificat la articolul 102 se pot număra contribuții obligatorii ale oricărei scheme de contribuții obligatorii instituite de un stat membru între 17 iunie 2010 și 2 iulie 2014 din partea instituțiilor de pe teritoriul său, cu scopul de a acoperi costurile aferente riscului sistemic, intrării în dificultate și rezoluției instituțiilor, cu condiția ca statul membru să respecte prevederile din prezentul titlu. Contribuțiile la schemele de garantare a depozitelor nu sunt luate în considerare în ceea ce privește atingerea nivelului-țintă pentru mecanismele de finanțare a rezoluției prevăzut la articolul 102.</w:t>
            </w:r>
          </w:p>
        </w:tc>
        <w:tc>
          <w:tcPr>
            <w:tcW w:w="4819" w:type="dxa"/>
          </w:tcPr>
          <w:p w14:paraId="7B0845B6" w14:textId="77777777" w:rsidR="00EB243D" w:rsidRPr="00154588" w:rsidRDefault="00EB243D" w:rsidP="008C12B4">
            <w:pPr>
              <w:jc w:val="both"/>
              <w:rPr>
                <w:bCs/>
                <w:sz w:val="20"/>
                <w:szCs w:val="20"/>
              </w:rPr>
            </w:pPr>
          </w:p>
        </w:tc>
        <w:tc>
          <w:tcPr>
            <w:tcW w:w="2552" w:type="dxa"/>
          </w:tcPr>
          <w:p w14:paraId="2287F6CC" w14:textId="77777777" w:rsidR="00EB243D" w:rsidRPr="00154588" w:rsidRDefault="00EB243D" w:rsidP="008C12B4">
            <w:pPr>
              <w:jc w:val="both"/>
              <w:rPr>
                <w:bCs/>
                <w:sz w:val="20"/>
                <w:szCs w:val="20"/>
              </w:rPr>
            </w:pPr>
          </w:p>
        </w:tc>
        <w:tc>
          <w:tcPr>
            <w:tcW w:w="3118" w:type="dxa"/>
          </w:tcPr>
          <w:p w14:paraId="0F2A8556" w14:textId="1D18AAA4" w:rsidR="00EB243D" w:rsidRPr="00154588" w:rsidRDefault="00EB243D" w:rsidP="008C12B4">
            <w:pPr>
              <w:jc w:val="both"/>
              <w:rPr>
                <w:bCs/>
                <w:sz w:val="20"/>
                <w:szCs w:val="20"/>
              </w:rPr>
            </w:pPr>
            <w:r w:rsidRPr="00154588">
              <w:rPr>
                <w:bCs/>
                <w:sz w:val="20"/>
                <w:szCs w:val="20"/>
              </w:rPr>
              <w:t>Dispozitii optionale neimplementate de RM, pentru utilizarea unui sistem alternativ de colectare a contribuțiilor</w:t>
            </w:r>
          </w:p>
          <w:p w14:paraId="483CC4A7" w14:textId="77777777" w:rsidR="00EB243D" w:rsidRPr="00154588" w:rsidRDefault="00EB243D" w:rsidP="008C12B4">
            <w:pPr>
              <w:rPr>
                <w:bCs/>
                <w:sz w:val="20"/>
                <w:szCs w:val="20"/>
              </w:rPr>
            </w:pPr>
          </w:p>
          <w:p w14:paraId="5513B258" w14:textId="77777777" w:rsidR="00EB243D" w:rsidRPr="00154588" w:rsidRDefault="00EB243D" w:rsidP="008C12B4">
            <w:pPr>
              <w:ind w:firstLine="708"/>
              <w:rPr>
                <w:bCs/>
                <w:sz w:val="20"/>
                <w:szCs w:val="20"/>
              </w:rPr>
            </w:pPr>
          </w:p>
        </w:tc>
      </w:tr>
      <w:tr w:rsidR="00EB243D" w:rsidRPr="00154588" w14:paraId="6EFB0F28" w14:textId="77777777" w:rsidTr="00D15C1B">
        <w:trPr>
          <w:jc w:val="center"/>
        </w:trPr>
        <w:tc>
          <w:tcPr>
            <w:tcW w:w="4957" w:type="dxa"/>
            <w:gridSpan w:val="2"/>
          </w:tcPr>
          <w:p w14:paraId="088A513E" w14:textId="77777777" w:rsidR="00EB243D" w:rsidRPr="00154588" w:rsidRDefault="00EB243D" w:rsidP="008C12B4">
            <w:pPr>
              <w:jc w:val="both"/>
              <w:rPr>
                <w:b/>
                <w:sz w:val="20"/>
                <w:szCs w:val="20"/>
              </w:rPr>
            </w:pPr>
            <w:r w:rsidRPr="00154588">
              <w:rPr>
                <w:b/>
                <w:sz w:val="20"/>
                <w:szCs w:val="20"/>
              </w:rPr>
              <w:t>Articolul 101</w:t>
            </w:r>
          </w:p>
          <w:p w14:paraId="3D5B7FD4" w14:textId="77777777" w:rsidR="00EB243D" w:rsidRPr="00154588" w:rsidRDefault="00EB243D" w:rsidP="008C12B4">
            <w:pPr>
              <w:jc w:val="both"/>
              <w:rPr>
                <w:b/>
                <w:sz w:val="20"/>
                <w:szCs w:val="20"/>
              </w:rPr>
            </w:pPr>
          </w:p>
          <w:p w14:paraId="7CC05D91" w14:textId="7A43CCB7" w:rsidR="00EB243D" w:rsidRPr="00154588" w:rsidRDefault="00EB243D" w:rsidP="008C12B4">
            <w:pPr>
              <w:jc w:val="both"/>
              <w:rPr>
                <w:bCs/>
                <w:sz w:val="20"/>
                <w:szCs w:val="20"/>
              </w:rPr>
            </w:pPr>
            <w:r w:rsidRPr="00154588">
              <w:rPr>
                <w:b/>
                <w:sz w:val="20"/>
                <w:szCs w:val="20"/>
              </w:rPr>
              <w:t>Utilizarea mecanismelor de finanțare a rezoluției</w:t>
            </w:r>
          </w:p>
        </w:tc>
        <w:tc>
          <w:tcPr>
            <w:tcW w:w="4819" w:type="dxa"/>
          </w:tcPr>
          <w:p w14:paraId="796D7CA8" w14:textId="77777777" w:rsidR="00EB243D" w:rsidRPr="00154588" w:rsidRDefault="00EB243D" w:rsidP="008C12B4">
            <w:pPr>
              <w:jc w:val="both"/>
              <w:rPr>
                <w:bCs/>
                <w:sz w:val="20"/>
                <w:szCs w:val="20"/>
              </w:rPr>
            </w:pPr>
          </w:p>
        </w:tc>
        <w:tc>
          <w:tcPr>
            <w:tcW w:w="2552" w:type="dxa"/>
          </w:tcPr>
          <w:p w14:paraId="516C8CD2" w14:textId="77777777" w:rsidR="00EB243D" w:rsidRPr="00154588" w:rsidRDefault="00EB243D" w:rsidP="008C12B4">
            <w:pPr>
              <w:jc w:val="both"/>
              <w:rPr>
                <w:bCs/>
                <w:sz w:val="20"/>
                <w:szCs w:val="20"/>
              </w:rPr>
            </w:pPr>
          </w:p>
        </w:tc>
        <w:tc>
          <w:tcPr>
            <w:tcW w:w="3118" w:type="dxa"/>
          </w:tcPr>
          <w:p w14:paraId="4C632FED" w14:textId="77777777" w:rsidR="00EB243D" w:rsidRPr="00154588" w:rsidRDefault="00EB243D" w:rsidP="008C12B4">
            <w:pPr>
              <w:jc w:val="both"/>
              <w:rPr>
                <w:bCs/>
                <w:sz w:val="20"/>
                <w:szCs w:val="20"/>
              </w:rPr>
            </w:pPr>
          </w:p>
        </w:tc>
      </w:tr>
      <w:tr w:rsidR="00EB243D" w:rsidRPr="00154588" w14:paraId="03C0BBAF" w14:textId="77777777" w:rsidTr="00D15C1B">
        <w:trPr>
          <w:jc w:val="center"/>
        </w:trPr>
        <w:tc>
          <w:tcPr>
            <w:tcW w:w="4957" w:type="dxa"/>
            <w:gridSpan w:val="2"/>
          </w:tcPr>
          <w:p w14:paraId="1E571D0B" w14:textId="77777777" w:rsidR="00EB243D" w:rsidRPr="00154588" w:rsidRDefault="00EB243D" w:rsidP="008C12B4">
            <w:pPr>
              <w:jc w:val="both"/>
              <w:rPr>
                <w:sz w:val="20"/>
                <w:szCs w:val="20"/>
              </w:rPr>
            </w:pPr>
            <w:r w:rsidRPr="00154588">
              <w:rPr>
                <w:sz w:val="20"/>
                <w:szCs w:val="20"/>
              </w:rPr>
              <w:t>(1)   Mecanismele de finanțare instituite conform articolului 100 pot fi utilizate de autoritatea de rezoluție numai în măsura necesară pentru a asigura aplicarea efectivă a instrumentelor de rezoluție, în următoarele scopuri:</w:t>
            </w:r>
          </w:p>
          <w:p w14:paraId="0F3171DC" w14:textId="77777777" w:rsidR="00EB243D" w:rsidRPr="00154588" w:rsidRDefault="00EB243D" w:rsidP="008C12B4">
            <w:pPr>
              <w:jc w:val="both"/>
              <w:rPr>
                <w:sz w:val="20"/>
                <w:szCs w:val="20"/>
              </w:rPr>
            </w:pPr>
          </w:p>
          <w:p w14:paraId="5B26E657" w14:textId="2B5FA45E" w:rsidR="00EB243D" w:rsidRPr="00154588" w:rsidRDefault="00EB243D" w:rsidP="008C12B4">
            <w:pPr>
              <w:jc w:val="both"/>
              <w:rPr>
                <w:sz w:val="20"/>
                <w:szCs w:val="20"/>
              </w:rPr>
            </w:pPr>
            <w:r w:rsidRPr="00154588">
              <w:rPr>
                <w:sz w:val="20"/>
                <w:szCs w:val="20"/>
              </w:rPr>
              <w:t>(a) pentru garantarea activelor sau pasivelor instituției aflate în rezoluție, a filialelor sale, a unei instituții-punte sau a unui vehicul de gestionare a activelor;</w:t>
            </w:r>
          </w:p>
          <w:p w14:paraId="204A0D94" w14:textId="77777777" w:rsidR="00EB243D" w:rsidRPr="00154588" w:rsidRDefault="00EB243D" w:rsidP="008C12B4">
            <w:pPr>
              <w:jc w:val="both"/>
              <w:rPr>
                <w:sz w:val="20"/>
                <w:szCs w:val="20"/>
              </w:rPr>
            </w:pPr>
          </w:p>
          <w:p w14:paraId="1835F8D1" w14:textId="335D2F60" w:rsidR="00EB243D" w:rsidRPr="00154588" w:rsidRDefault="00EB243D" w:rsidP="008C12B4">
            <w:pPr>
              <w:jc w:val="both"/>
              <w:rPr>
                <w:sz w:val="20"/>
                <w:szCs w:val="20"/>
              </w:rPr>
            </w:pPr>
            <w:r w:rsidRPr="00154588">
              <w:rPr>
                <w:sz w:val="20"/>
                <w:szCs w:val="20"/>
              </w:rPr>
              <w:t>(b) pentru a acorda împrumuturi instituției în aflate în rezoluție, filialelor sale, unei instituții punte sau unui vehicul de gestionare a activelor;</w:t>
            </w:r>
          </w:p>
          <w:p w14:paraId="69972A36" w14:textId="77777777" w:rsidR="00EB243D" w:rsidRPr="00154588" w:rsidRDefault="00EB243D" w:rsidP="008C12B4">
            <w:pPr>
              <w:jc w:val="both"/>
              <w:rPr>
                <w:sz w:val="20"/>
                <w:szCs w:val="20"/>
              </w:rPr>
            </w:pPr>
          </w:p>
          <w:p w14:paraId="6A11690C" w14:textId="4B1D0532" w:rsidR="00EB243D" w:rsidRPr="00154588" w:rsidRDefault="00EB243D" w:rsidP="008C12B4">
            <w:pPr>
              <w:jc w:val="both"/>
              <w:rPr>
                <w:sz w:val="20"/>
                <w:szCs w:val="20"/>
              </w:rPr>
            </w:pPr>
            <w:r w:rsidRPr="00154588">
              <w:rPr>
                <w:sz w:val="20"/>
                <w:szCs w:val="20"/>
              </w:rPr>
              <w:t>(c) pentru a cumpăra active ale instituției aflate în rezoluție;</w:t>
            </w:r>
          </w:p>
          <w:p w14:paraId="38F7D949" w14:textId="77777777" w:rsidR="00EB243D" w:rsidRPr="00154588" w:rsidRDefault="00EB243D" w:rsidP="008C12B4">
            <w:pPr>
              <w:jc w:val="both"/>
              <w:rPr>
                <w:sz w:val="20"/>
                <w:szCs w:val="20"/>
              </w:rPr>
            </w:pPr>
          </w:p>
          <w:p w14:paraId="172A825D" w14:textId="36AAA231" w:rsidR="00EB243D" w:rsidRPr="00154588" w:rsidRDefault="00EB243D" w:rsidP="008C12B4">
            <w:pPr>
              <w:jc w:val="both"/>
              <w:rPr>
                <w:sz w:val="20"/>
                <w:szCs w:val="20"/>
              </w:rPr>
            </w:pPr>
            <w:r w:rsidRPr="00154588">
              <w:rPr>
                <w:sz w:val="20"/>
                <w:szCs w:val="20"/>
              </w:rPr>
              <w:t>(d) pentru a furniza contribuții unei instituții-punte și unui vehicul de gestionare a activelor;</w:t>
            </w:r>
          </w:p>
          <w:p w14:paraId="54D7F1B7" w14:textId="77777777" w:rsidR="00EB243D" w:rsidRPr="00154588" w:rsidRDefault="00EB243D" w:rsidP="008C12B4">
            <w:pPr>
              <w:jc w:val="both"/>
              <w:rPr>
                <w:sz w:val="20"/>
                <w:szCs w:val="20"/>
              </w:rPr>
            </w:pPr>
          </w:p>
          <w:p w14:paraId="4EBFA9A1" w14:textId="11D5159B" w:rsidR="00EB243D" w:rsidRPr="00154588" w:rsidRDefault="00EB243D" w:rsidP="008C12B4">
            <w:pPr>
              <w:jc w:val="both"/>
              <w:rPr>
                <w:sz w:val="20"/>
                <w:szCs w:val="20"/>
              </w:rPr>
            </w:pPr>
            <w:r w:rsidRPr="00154588">
              <w:rPr>
                <w:sz w:val="20"/>
                <w:szCs w:val="20"/>
              </w:rPr>
              <w:t>(e) pentru a plăti despăgubiri acționarilor sau creditorilor în conformitate cu articolul 75;</w:t>
            </w:r>
          </w:p>
          <w:p w14:paraId="29DB6D6A" w14:textId="77777777" w:rsidR="00EB243D" w:rsidRPr="00154588" w:rsidRDefault="00EB243D" w:rsidP="008C12B4">
            <w:pPr>
              <w:jc w:val="both"/>
              <w:rPr>
                <w:sz w:val="20"/>
                <w:szCs w:val="20"/>
              </w:rPr>
            </w:pPr>
          </w:p>
          <w:p w14:paraId="67D52D45" w14:textId="54E5E027" w:rsidR="00EB243D" w:rsidRPr="00154588" w:rsidRDefault="00EB243D" w:rsidP="008C12B4">
            <w:pPr>
              <w:jc w:val="both"/>
              <w:rPr>
                <w:sz w:val="20"/>
                <w:szCs w:val="20"/>
              </w:rPr>
            </w:pPr>
            <w:r w:rsidRPr="00154588">
              <w:rPr>
                <w:sz w:val="20"/>
                <w:szCs w:val="20"/>
              </w:rPr>
              <w:t xml:space="preserve">(f) pentru a furniza o contribuție instituției aflate în rezoluție în locul reducerii valorii contabile sau conversiei datoriilor anumitor creditori, atunci când se aplică instrumentul de recapitalizare internă, iar autoritatea de rezoluție decide să excludă anumiți </w:t>
            </w:r>
            <w:r w:rsidRPr="00154588">
              <w:rPr>
                <w:sz w:val="20"/>
                <w:szCs w:val="20"/>
              </w:rPr>
              <w:lastRenderedPageBreak/>
              <w:t>creditori din domeniul de aplicare al recapitalizării interne, în conformitate cu articolul 44 alineatele (3)-(8);</w:t>
            </w:r>
          </w:p>
          <w:p w14:paraId="78369E5C" w14:textId="77777777" w:rsidR="00EB243D" w:rsidRPr="00154588" w:rsidRDefault="00EB243D" w:rsidP="008C12B4">
            <w:pPr>
              <w:jc w:val="both"/>
              <w:rPr>
                <w:sz w:val="20"/>
                <w:szCs w:val="20"/>
              </w:rPr>
            </w:pPr>
          </w:p>
          <w:p w14:paraId="01A60843" w14:textId="442EDD20" w:rsidR="00EB243D" w:rsidRPr="00154588" w:rsidRDefault="00EB243D" w:rsidP="008C12B4">
            <w:pPr>
              <w:jc w:val="both"/>
              <w:rPr>
                <w:sz w:val="20"/>
                <w:szCs w:val="20"/>
              </w:rPr>
            </w:pPr>
            <w:r w:rsidRPr="00154588">
              <w:rPr>
                <w:sz w:val="20"/>
                <w:szCs w:val="20"/>
              </w:rPr>
              <w:t>(g) pentru a acorda împrumuturi altor mecanisme de finanțare, în mod voluntar, în conformitate cu articolul 106;</w:t>
            </w:r>
          </w:p>
          <w:p w14:paraId="5997945B" w14:textId="77777777" w:rsidR="00EB243D" w:rsidRPr="00154588" w:rsidRDefault="00EB243D" w:rsidP="008C12B4">
            <w:pPr>
              <w:jc w:val="both"/>
              <w:rPr>
                <w:sz w:val="20"/>
                <w:szCs w:val="20"/>
              </w:rPr>
            </w:pPr>
          </w:p>
          <w:p w14:paraId="1129B5EA" w14:textId="051CFD52" w:rsidR="00EB243D" w:rsidRPr="00154588" w:rsidRDefault="00EB243D" w:rsidP="008C12B4">
            <w:pPr>
              <w:jc w:val="both"/>
              <w:rPr>
                <w:sz w:val="20"/>
                <w:szCs w:val="20"/>
              </w:rPr>
            </w:pPr>
            <w:r w:rsidRPr="00154588">
              <w:rPr>
                <w:sz w:val="20"/>
                <w:szCs w:val="20"/>
              </w:rPr>
              <w:t>(h) pentru orice fel de combinație a măsurilor menționate la literele (a)-(g).</w:t>
            </w:r>
          </w:p>
          <w:p w14:paraId="08348DA8" w14:textId="77777777" w:rsidR="00EB243D" w:rsidRPr="00154588" w:rsidRDefault="00EB243D" w:rsidP="008C12B4">
            <w:pPr>
              <w:jc w:val="both"/>
              <w:rPr>
                <w:sz w:val="20"/>
                <w:szCs w:val="20"/>
              </w:rPr>
            </w:pPr>
          </w:p>
          <w:p w14:paraId="0E10E077" w14:textId="632B099F" w:rsidR="00EB243D" w:rsidRPr="00154588" w:rsidRDefault="00EB243D" w:rsidP="008C12B4">
            <w:pPr>
              <w:jc w:val="both"/>
              <w:rPr>
                <w:sz w:val="20"/>
                <w:szCs w:val="20"/>
              </w:rPr>
            </w:pPr>
            <w:r w:rsidRPr="00154588">
              <w:rPr>
                <w:sz w:val="20"/>
                <w:szCs w:val="20"/>
              </w:rPr>
              <w:t>Mecanismele de finanțare pot fi utilizate pentru luarea măsurilor menționate la primul paragraf și în ceea ce privește cumpărătorul, în cadrul instrumentului de vânzare a activității.</w:t>
            </w:r>
          </w:p>
        </w:tc>
        <w:tc>
          <w:tcPr>
            <w:tcW w:w="4819" w:type="dxa"/>
          </w:tcPr>
          <w:p w14:paraId="367F35F2" w14:textId="4EA7A51D" w:rsidR="00EB243D" w:rsidRPr="00154588" w:rsidRDefault="00EB243D" w:rsidP="008C12B4">
            <w:pPr>
              <w:ind w:firstLine="567"/>
              <w:jc w:val="both"/>
              <w:rPr>
                <w:sz w:val="20"/>
                <w:szCs w:val="20"/>
              </w:rPr>
            </w:pPr>
            <w:r w:rsidRPr="00154588">
              <w:rPr>
                <w:b/>
                <w:sz w:val="20"/>
                <w:szCs w:val="20"/>
              </w:rPr>
              <w:lastRenderedPageBreak/>
              <w:t>Articolul 301.</w:t>
            </w:r>
            <w:r w:rsidRPr="00154588">
              <w:rPr>
                <w:sz w:val="20"/>
                <w:szCs w:val="20"/>
              </w:rPr>
              <w:t xml:space="preserve"> – (1) Utilizarea resurselor fondului de rezoluţie bancară se decide de Banca Naţională a Moldovei, în calitate de autoritate de rezoluţie, numai in măsura necesară pentru acoperirea necesităţilor legate de aplicarea eficace a instrumentelor de rezoluţie, astfel:</w:t>
            </w:r>
          </w:p>
          <w:p w14:paraId="4945687E" w14:textId="67170F55" w:rsidR="00EB243D" w:rsidRPr="00154588" w:rsidRDefault="00EB243D" w:rsidP="008C12B4">
            <w:pPr>
              <w:ind w:firstLine="567"/>
              <w:jc w:val="both"/>
              <w:rPr>
                <w:sz w:val="20"/>
                <w:szCs w:val="20"/>
              </w:rPr>
            </w:pPr>
            <w:r w:rsidRPr="00154588">
              <w:rPr>
                <w:sz w:val="20"/>
                <w:szCs w:val="20"/>
              </w:rPr>
              <w:t>a) pentru garantarea activelor sau obligaţiilor instituției supuse rezoluţiei, a filialelor sale, ale unei instituții-punte sau ale unui vehicul de administrare a activelor;</w:t>
            </w:r>
          </w:p>
          <w:p w14:paraId="06C692FA" w14:textId="0B8A6055" w:rsidR="00EB243D" w:rsidRPr="00154588" w:rsidRDefault="00EB243D" w:rsidP="008C12B4">
            <w:pPr>
              <w:ind w:firstLine="567"/>
              <w:jc w:val="both"/>
              <w:rPr>
                <w:sz w:val="20"/>
                <w:szCs w:val="20"/>
              </w:rPr>
            </w:pPr>
            <w:r w:rsidRPr="00154588">
              <w:rPr>
                <w:sz w:val="20"/>
                <w:szCs w:val="20"/>
              </w:rPr>
              <w:t>b) pentru a acorda împrumuturi instituției supuse rezoluţiei, filialelor sale, unei bănci-punte sau unui vehicul de administrare a activelor;</w:t>
            </w:r>
          </w:p>
          <w:p w14:paraId="0B013533" w14:textId="77777777" w:rsidR="00EB243D" w:rsidRPr="00154588" w:rsidRDefault="00EB243D" w:rsidP="008C12B4">
            <w:pPr>
              <w:ind w:firstLine="567"/>
              <w:jc w:val="both"/>
              <w:rPr>
                <w:sz w:val="20"/>
                <w:szCs w:val="20"/>
              </w:rPr>
            </w:pPr>
            <w:r w:rsidRPr="00154588">
              <w:rPr>
                <w:sz w:val="20"/>
                <w:szCs w:val="20"/>
              </w:rPr>
              <w:t>c) pentru achiziţia de active ale instituției supuse rezoluţiei;</w:t>
            </w:r>
          </w:p>
          <w:p w14:paraId="486297BB" w14:textId="710B71BA" w:rsidR="00EB243D" w:rsidRPr="00154588" w:rsidRDefault="00EB243D" w:rsidP="008C12B4">
            <w:pPr>
              <w:ind w:firstLine="567"/>
              <w:jc w:val="both"/>
              <w:rPr>
                <w:sz w:val="20"/>
                <w:szCs w:val="20"/>
              </w:rPr>
            </w:pPr>
            <w:r w:rsidRPr="00154588">
              <w:rPr>
                <w:sz w:val="20"/>
                <w:szCs w:val="20"/>
              </w:rPr>
              <w:t>d) pentru a furniza finanțarea necesară unei instituții-punte ori unui vehicul de administrare a activelor;</w:t>
            </w:r>
          </w:p>
          <w:p w14:paraId="0963AF3D" w14:textId="5A4C330C" w:rsidR="00EB243D" w:rsidRPr="00154588" w:rsidRDefault="00EB243D" w:rsidP="008C12B4">
            <w:pPr>
              <w:ind w:firstLine="567"/>
              <w:jc w:val="both"/>
              <w:rPr>
                <w:sz w:val="20"/>
                <w:szCs w:val="20"/>
              </w:rPr>
            </w:pPr>
            <w:r w:rsidRPr="00154588">
              <w:rPr>
                <w:sz w:val="20"/>
                <w:szCs w:val="20"/>
              </w:rPr>
              <w:t>e) pentru a plăti despăgubiri acţionarilor sau creditorilor conform art.266;</w:t>
            </w:r>
          </w:p>
          <w:p w14:paraId="50466384" w14:textId="04F4B710" w:rsidR="00EB243D" w:rsidRPr="00154588" w:rsidRDefault="00EB243D" w:rsidP="008C12B4">
            <w:pPr>
              <w:ind w:firstLine="567"/>
              <w:jc w:val="both"/>
              <w:rPr>
                <w:sz w:val="20"/>
                <w:szCs w:val="20"/>
              </w:rPr>
            </w:pPr>
            <w:r w:rsidRPr="00154588">
              <w:rPr>
                <w:sz w:val="20"/>
                <w:szCs w:val="20"/>
              </w:rPr>
              <w:t>f) pentru a furniza finanţare instituției supuse rezoluţiei în locul reducerii valorii contabile sau conversiei datoriilor anumitor creditori, atunci cînd se aplică instrumentul de recapitalizare internă, iar autoritatea de rezoluţie decide să excludă anumiţi creditori din aria de aplicare a recapitalizării interne, conform art.155</w:t>
            </w:r>
            <w:r w:rsidRPr="00154588">
              <w:rPr>
                <w:sz w:val="20"/>
                <w:szCs w:val="20"/>
                <w:vertAlign w:val="superscript"/>
              </w:rPr>
              <w:t>1</w:t>
            </w:r>
            <w:r w:rsidRPr="00154588">
              <w:rPr>
                <w:sz w:val="20"/>
                <w:szCs w:val="20"/>
              </w:rPr>
              <w:t>-161;</w:t>
            </w:r>
          </w:p>
          <w:p w14:paraId="3764AD2C" w14:textId="3B1F8454" w:rsidR="00EB243D" w:rsidRPr="00154588" w:rsidRDefault="00EB243D" w:rsidP="008C12B4">
            <w:pPr>
              <w:ind w:firstLine="567"/>
              <w:jc w:val="both"/>
              <w:rPr>
                <w:sz w:val="20"/>
                <w:szCs w:val="20"/>
              </w:rPr>
            </w:pPr>
            <w:r w:rsidRPr="00154588">
              <w:rPr>
                <w:sz w:val="20"/>
                <w:szCs w:val="20"/>
              </w:rPr>
              <w:lastRenderedPageBreak/>
              <w:t>g) pentru a acorda împrumuturi altor mecanisme de finanţare, în mod voluntar, conform  art. 313</w:t>
            </w:r>
            <w:r w:rsidRPr="00154588">
              <w:rPr>
                <w:sz w:val="20"/>
                <w:szCs w:val="20"/>
                <w:vertAlign w:val="superscript"/>
              </w:rPr>
              <w:t xml:space="preserve">2 </w:t>
            </w:r>
            <w:r w:rsidRPr="00154588">
              <w:rPr>
                <w:sz w:val="20"/>
                <w:szCs w:val="20"/>
              </w:rPr>
              <w:t>și de a garanta împrumuturi conform art. 313</w:t>
            </w:r>
            <w:r w:rsidRPr="00154588">
              <w:rPr>
                <w:sz w:val="20"/>
                <w:szCs w:val="20"/>
                <w:vertAlign w:val="superscript"/>
              </w:rPr>
              <w:t>6</w:t>
            </w:r>
            <w:r w:rsidRPr="00154588">
              <w:rPr>
                <w:sz w:val="20"/>
                <w:szCs w:val="20"/>
              </w:rPr>
              <w:t>;</w:t>
            </w:r>
          </w:p>
          <w:p w14:paraId="2C54523E" w14:textId="77777777" w:rsidR="00EB243D" w:rsidRPr="00154588" w:rsidRDefault="00EB243D" w:rsidP="008C12B4">
            <w:pPr>
              <w:ind w:firstLine="567"/>
              <w:jc w:val="both"/>
              <w:rPr>
                <w:sz w:val="20"/>
                <w:szCs w:val="20"/>
              </w:rPr>
            </w:pPr>
            <w:r w:rsidRPr="00154588">
              <w:rPr>
                <w:sz w:val="20"/>
                <w:szCs w:val="20"/>
              </w:rPr>
              <w:t>h) pentru rambursarea împrumuturilor contractate şi a costurilor asociate acestora;</w:t>
            </w:r>
          </w:p>
          <w:p w14:paraId="39E3E586" w14:textId="77777777" w:rsidR="00EB243D" w:rsidRPr="00154588" w:rsidRDefault="00EB243D" w:rsidP="008C12B4">
            <w:pPr>
              <w:ind w:firstLine="567"/>
              <w:jc w:val="both"/>
              <w:rPr>
                <w:sz w:val="20"/>
                <w:szCs w:val="20"/>
                <w:lang w:eastAsia="ro-MD"/>
              </w:rPr>
            </w:pPr>
            <w:r w:rsidRPr="00154588">
              <w:rPr>
                <w:sz w:val="20"/>
                <w:szCs w:val="20"/>
                <w:lang w:eastAsia="ro-MD"/>
              </w:rPr>
              <w:t>h</w:t>
            </w:r>
            <w:r w:rsidRPr="00154588">
              <w:rPr>
                <w:sz w:val="20"/>
                <w:szCs w:val="20"/>
                <w:vertAlign w:val="superscript"/>
                <w:lang w:eastAsia="ro-MD"/>
              </w:rPr>
              <w:t>1</w:t>
            </w:r>
            <w:r w:rsidRPr="00154588">
              <w:rPr>
                <w:sz w:val="20"/>
                <w:szCs w:val="20"/>
                <w:lang w:eastAsia="ro-MD"/>
              </w:rPr>
              <w:t>) pentru a plăti serviciile de evaluare efectuate în conformitate cu art.72-84 şi 263, cu recuperarea ulterioară a cheltuielilor respective de către Fondul de garantare a depozitelor în sistemul bancar, în calitate de administrator al fondului de rezoluţie bancară, de la institutia supusă rezoluţiei</w:t>
            </w:r>
          </w:p>
          <w:p w14:paraId="76E906B7" w14:textId="018357C5" w:rsidR="00EB243D" w:rsidRPr="00154588" w:rsidRDefault="00EB243D" w:rsidP="008C12B4">
            <w:pPr>
              <w:ind w:firstLine="567"/>
              <w:jc w:val="both"/>
              <w:rPr>
                <w:sz w:val="20"/>
                <w:szCs w:val="20"/>
              </w:rPr>
            </w:pPr>
            <w:r w:rsidRPr="00154588">
              <w:rPr>
                <w:sz w:val="20"/>
                <w:szCs w:val="20"/>
              </w:rPr>
              <w:t>i) pentru orice fel de combinaţie a măsurilor prevăzute la lit.a)-</w:t>
            </w:r>
            <w:r w:rsidRPr="00154588">
              <w:rPr>
                <w:sz w:val="20"/>
                <w:szCs w:val="20"/>
                <w:lang w:eastAsia="ro-MD"/>
              </w:rPr>
              <w:t>h</w:t>
            </w:r>
            <w:r w:rsidRPr="00154588">
              <w:rPr>
                <w:sz w:val="20"/>
                <w:szCs w:val="20"/>
                <w:vertAlign w:val="superscript"/>
                <w:lang w:eastAsia="ro-MD"/>
              </w:rPr>
              <w:t>1</w:t>
            </w:r>
            <w:r w:rsidRPr="00154588">
              <w:rPr>
                <w:sz w:val="20"/>
                <w:szCs w:val="20"/>
              </w:rPr>
              <w:t>).</w:t>
            </w:r>
          </w:p>
          <w:p w14:paraId="64B38DCB" w14:textId="699B6222" w:rsidR="00EB243D" w:rsidRPr="00154588" w:rsidRDefault="00EB243D" w:rsidP="008C12B4">
            <w:pPr>
              <w:ind w:firstLine="567"/>
              <w:jc w:val="both"/>
              <w:rPr>
                <w:sz w:val="20"/>
                <w:szCs w:val="20"/>
              </w:rPr>
            </w:pPr>
            <w:r w:rsidRPr="00154588">
              <w:rPr>
                <w:sz w:val="20"/>
                <w:szCs w:val="20"/>
              </w:rPr>
              <w:t>(2) Resursele fondului de rezoluţie bancară pot fi utilizate pentru luarea măsurilor prevăzute la alin.(1) şi în relaţia cu un eventual achizitor, în cadrul instrumentului de vânzare a afacerii.</w:t>
            </w:r>
          </w:p>
          <w:p w14:paraId="1C714C0D" w14:textId="77777777" w:rsidR="00EB243D" w:rsidRPr="00154588" w:rsidRDefault="00EB243D" w:rsidP="008C12B4">
            <w:pPr>
              <w:jc w:val="both"/>
              <w:rPr>
                <w:sz w:val="20"/>
                <w:szCs w:val="20"/>
              </w:rPr>
            </w:pPr>
          </w:p>
        </w:tc>
        <w:tc>
          <w:tcPr>
            <w:tcW w:w="2552" w:type="dxa"/>
          </w:tcPr>
          <w:p w14:paraId="4CBC11F0" w14:textId="2AB5B204" w:rsidR="00EB243D" w:rsidRPr="00154588" w:rsidRDefault="00EB243D" w:rsidP="008C12B4">
            <w:pPr>
              <w:jc w:val="both"/>
              <w:rPr>
                <w:sz w:val="20"/>
                <w:szCs w:val="20"/>
              </w:rPr>
            </w:pPr>
            <w:r w:rsidRPr="00154588">
              <w:rPr>
                <w:sz w:val="20"/>
                <w:szCs w:val="20"/>
              </w:rPr>
              <w:lastRenderedPageBreak/>
              <w:t>Compatibil</w:t>
            </w:r>
          </w:p>
        </w:tc>
        <w:tc>
          <w:tcPr>
            <w:tcW w:w="3118" w:type="dxa"/>
          </w:tcPr>
          <w:p w14:paraId="6608F854" w14:textId="77777777" w:rsidR="00EB243D" w:rsidRPr="00154588" w:rsidRDefault="00EB243D" w:rsidP="008C12B4">
            <w:pPr>
              <w:jc w:val="both"/>
              <w:rPr>
                <w:sz w:val="20"/>
                <w:szCs w:val="20"/>
              </w:rPr>
            </w:pPr>
          </w:p>
        </w:tc>
      </w:tr>
      <w:tr w:rsidR="00EB243D" w:rsidRPr="00154588" w14:paraId="6B3010EF" w14:textId="77777777" w:rsidTr="00D15C1B">
        <w:trPr>
          <w:jc w:val="center"/>
        </w:trPr>
        <w:tc>
          <w:tcPr>
            <w:tcW w:w="4957" w:type="dxa"/>
            <w:gridSpan w:val="2"/>
          </w:tcPr>
          <w:p w14:paraId="04930733" w14:textId="735BA5CB" w:rsidR="00EB243D" w:rsidRPr="00154588" w:rsidRDefault="00EB243D" w:rsidP="008C12B4">
            <w:pPr>
              <w:jc w:val="both"/>
              <w:rPr>
                <w:sz w:val="20"/>
                <w:szCs w:val="20"/>
              </w:rPr>
            </w:pPr>
            <w:r w:rsidRPr="00154588">
              <w:rPr>
                <w:sz w:val="20"/>
                <w:szCs w:val="20"/>
              </w:rPr>
              <w:t>(2)   Mecanismul de finanțare a rezoluției nu se utilizează în mod direct pentru a absorbi pierderile unei instituții sau ale unei entități menționate la articolul 1 alineatul (1) litera (b), (c) sau (d) sau pentru a recapitaliza o astfel de instituție sau de entitate. În cazul în care utilizarea mecanismului de finanțare a rezoluției în scopurile prevăzute la alineatul (1) din prezentul articol are drept rezultat indirect transferarea către acest mecanism de finanțare a unei părți din pierderile unei instituții sau ale unei entități menționate la articolul 1 alineatul (1) litera (b), (c) sau (d), se aplică principiile care reglementează utilizarea mecanismului de finanțare a rezoluției prevăzute la articolul 44.</w:t>
            </w:r>
          </w:p>
        </w:tc>
        <w:tc>
          <w:tcPr>
            <w:tcW w:w="4819" w:type="dxa"/>
          </w:tcPr>
          <w:p w14:paraId="0B15B7E7" w14:textId="4324681A" w:rsidR="00EB243D" w:rsidRPr="00154588" w:rsidRDefault="00EB243D"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302.</w:t>
            </w:r>
            <w:r w:rsidRPr="00154588">
              <w:rPr>
                <w:sz w:val="20"/>
                <w:szCs w:val="20"/>
              </w:rPr>
              <w:t xml:space="preserve"> – (1)Resursele fondului de rezoluţie bancară nu pot fi utilizate în mod direct pentru a absorbi pierderile unei instituții de credit sau ale unei entități prevăzute la art.1 alin.(1) lit.b), c) sau d) sau pentru recapitalizarea acestora. În cazul în care utilizarea resurselor fondului de rezoluţie bancară în scopurile prevăzute la art.301 are ca efect indirect transferarea către fondul de rezoluție bancarăa unei părţi din pierderile unei instituții de credit sau ale unei entități prevăzute la art.1 alin.(1) lit. b), c) sau d), se aplică principiile care reglementează utilizarea resurselor fondului de rezoluţie bancară prevăzute la art.154-163</w:t>
            </w:r>
            <w:r w:rsidRPr="00154588">
              <w:rPr>
                <w:sz w:val="20"/>
                <w:szCs w:val="20"/>
                <w:vertAlign w:val="superscript"/>
              </w:rPr>
              <w:t>1</w:t>
            </w:r>
            <w:r w:rsidRPr="00154588">
              <w:rPr>
                <w:sz w:val="20"/>
                <w:szCs w:val="20"/>
              </w:rPr>
              <w:t>.</w:t>
            </w:r>
          </w:p>
          <w:p w14:paraId="5B3CDDB3" w14:textId="77777777" w:rsidR="00EB243D" w:rsidRPr="00154588" w:rsidRDefault="00EB243D" w:rsidP="008C12B4">
            <w:pPr>
              <w:ind w:firstLine="567"/>
              <w:jc w:val="both"/>
              <w:rPr>
                <w:sz w:val="20"/>
                <w:szCs w:val="20"/>
              </w:rPr>
            </w:pPr>
            <w:r w:rsidRPr="00154588">
              <w:rPr>
                <w:sz w:val="20"/>
                <w:szCs w:val="20"/>
              </w:rPr>
              <w:t> </w:t>
            </w:r>
          </w:p>
          <w:p w14:paraId="541963A7" w14:textId="77777777" w:rsidR="00EB243D" w:rsidRPr="00154588" w:rsidRDefault="00EB243D" w:rsidP="008C12B4">
            <w:pPr>
              <w:jc w:val="both"/>
              <w:rPr>
                <w:sz w:val="20"/>
                <w:szCs w:val="20"/>
              </w:rPr>
            </w:pPr>
          </w:p>
        </w:tc>
        <w:tc>
          <w:tcPr>
            <w:tcW w:w="2552" w:type="dxa"/>
          </w:tcPr>
          <w:p w14:paraId="3D3C0477" w14:textId="177B1487" w:rsidR="00EB243D" w:rsidRPr="00154588" w:rsidRDefault="00EB243D" w:rsidP="008C12B4">
            <w:pPr>
              <w:jc w:val="both"/>
              <w:rPr>
                <w:sz w:val="20"/>
                <w:szCs w:val="20"/>
              </w:rPr>
            </w:pPr>
            <w:r w:rsidRPr="00154588">
              <w:rPr>
                <w:sz w:val="20"/>
                <w:szCs w:val="20"/>
              </w:rPr>
              <w:t>Compatibil</w:t>
            </w:r>
          </w:p>
        </w:tc>
        <w:tc>
          <w:tcPr>
            <w:tcW w:w="3118" w:type="dxa"/>
          </w:tcPr>
          <w:p w14:paraId="428411FC" w14:textId="77777777" w:rsidR="00EB243D" w:rsidRPr="00154588" w:rsidRDefault="00EB243D" w:rsidP="008C12B4">
            <w:pPr>
              <w:jc w:val="both"/>
              <w:rPr>
                <w:sz w:val="20"/>
                <w:szCs w:val="20"/>
              </w:rPr>
            </w:pPr>
          </w:p>
        </w:tc>
      </w:tr>
      <w:tr w:rsidR="00EB243D" w:rsidRPr="00154588" w14:paraId="4E7B82FE" w14:textId="77777777" w:rsidTr="00D15C1B">
        <w:trPr>
          <w:jc w:val="center"/>
        </w:trPr>
        <w:tc>
          <w:tcPr>
            <w:tcW w:w="4957" w:type="dxa"/>
            <w:gridSpan w:val="2"/>
          </w:tcPr>
          <w:p w14:paraId="458E73E5" w14:textId="2AEE5A97" w:rsidR="00EB243D" w:rsidRPr="00154588" w:rsidRDefault="00EB243D" w:rsidP="008C12B4">
            <w:pPr>
              <w:jc w:val="both"/>
              <w:rPr>
                <w:sz w:val="20"/>
                <w:szCs w:val="20"/>
              </w:rPr>
            </w:pPr>
            <w:r w:rsidRPr="00154588">
              <w:rPr>
                <w:sz w:val="20"/>
                <w:szCs w:val="20"/>
              </w:rPr>
              <w:t xml:space="preserve">(3)Atunci când se aplică alineatul (2), se anulează orice remunerație variabilă, inclusiv beneficiile discreționare de tipul pensiilor, a actualilor și a foștilor membri ai organului de conducere și ai conducerii superioare a instituției aflate în rezoluție pentru perioadele anterioare intrării în dificultate a instituției, care nu a fost plătită sau nu a devenit legitimă înainte de adoptarea deciziei de a se lua măsuri de rezoluție. Remunerația variabilă, inclusiv beneficiile discreționare de tipul pensiilor, care a devenit legitimă sau a fost plătită, în perioada de 24 de luni care </w:t>
            </w:r>
            <w:r w:rsidRPr="00154588">
              <w:rPr>
                <w:sz w:val="20"/>
                <w:szCs w:val="20"/>
              </w:rPr>
              <w:lastRenderedPageBreak/>
              <w:t xml:space="preserve">precedă decizia de a lua măsuri de rezoluție, actualilor și foștilor membri ai organului de conducere și ai conducerii superioare se returnează sau se rambursează de către aceștia, cu excepția cazului în care dovedesc că nu au participat sau nu au fost responsabili de comportamentul care a dus la intrarea în dificultate a instituției aflate în rezoluție sau care a contribuit la aceasta. </w:t>
            </w:r>
          </w:p>
          <w:p w14:paraId="3239F61E" w14:textId="77777777" w:rsidR="00EB243D" w:rsidRPr="00154588" w:rsidRDefault="00EB243D" w:rsidP="008C12B4">
            <w:pPr>
              <w:jc w:val="both"/>
              <w:rPr>
                <w:sz w:val="20"/>
                <w:szCs w:val="20"/>
              </w:rPr>
            </w:pPr>
          </w:p>
          <w:p w14:paraId="674070C4" w14:textId="5A8EC575" w:rsidR="00EB243D" w:rsidRPr="00154588" w:rsidRDefault="00EB243D" w:rsidP="008C12B4">
            <w:pPr>
              <w:jc w:val="both"/>
              <w:rPr>
                <w:sz w:val="20"/>
                <w:szCs w:val="20"/>
              </w:rPr>
            </w:pPr>
            <w:r w:rsidRPr="00154588">
              <w:rPr>
                <w:sz w:val="20"/>
                <w:szCs w:val="20"/>
              </w:rPr>
              <w:t>Prezentul alineat nu se aplică remunerației variabile, inclusiv beneficiilor discreționare de tipul pensiilor, care este reglementată printr-un contract colectiv de muncă</w:t>
            </w:r>
          </w:p>
        </w:tc>
        <w:tc>
          <w:tcPr>
            <w:tcW w:w="4819" w:type="dxa"/>
          </w:tcPr>
          <w:p w14:paraId="338D929F" w14:textId="77777777" w:rsidR="00EB243D" w:rsidRPr="00154588" w:rsidRDefault="00EB243D" w:rsidP="008C12B4">
            <w:pPr>
              <w:jc w:val="both"/>
              <w:rPr>
                <w:bCs/>
                <w:sz w:val="20"/>
                <w:szCs w:val="20"/>
              </w:rPr>
            </w:pPr>
            <w:r w:rsidRPr="00154588">
              <w:rPr>
                <w:b/>
                <w:sz w:val="20"/>
                <w:szCs w:val="20"/>
              </w:rPr>
              <w:lastRenderedPageBreak/>
              <w:t>Articolul</w:t>
            </w:r>
            <w:r w:rsidRPr="00154588">
              <w:rPr>
                <w:sz w:val="20"/>
                <w:szCs w:val="20"/>
              </w:rPr>
              <w:t xml:space="preserve"> </w:t>
            </w:r>
            <w:r w:rsidRPr="00154588">
              <w:rPr>
                <w:b/>
                <w:sz w:val="20"/>
                <w:szCs w:val="20"/>
              </w:rPr>
              <w:t>302.</w:t>
            </w:r>
            <w:r w:rsidRPr="00154588">
              <w:rPr>
                <w:sz w:val="20"/>
                <w:szCs w:val="20"/>
              </w:rPr>
              <w:t xml:space="preserve"> – (2)</w:t>
            </w:r>
            <w:r w:rsidRPr="00154588">
              <w:rPr>
                <w:bCs/>
                <w:sz w:val="20"/>
                <w:szCs w:val="20"/>
              </w:rPr>
              <w:t xml:space="preserve"> Atunci când se aplică alin.(1), se anulează orice remunerație variabilă, inclusiv beneficiile discreționare de tipul pensiilor, a actualilor și a foștilor membri ai organului de conducere și ai conducerii superioare a instituției de credit supuse rezoluției pentru perioadele anterioare intrării în dificultate a instituției, care nu a fost plătită sau nu a devenit legitimă înainte de adoptarea deciziei de a aplica acțiuni de rezoluție. Remunerația variabilă, inclusiv beneficiile discreționare de tipul pensiilor, care a devenit legitimă sau a fost plătită, în perioada </w:t>
            </w:r>
            <w:r w:rsidRPr="00154588">
              <w:rPr>
                <w:bCs/>
                <w:sz w:val="20"/>
                <w:szCs w:val="20"/>
              </w:rPr>
              <w:lastRenderedPageBreak/>
              <w:t xml:space="preserve">de 24 de luni care precedă decizia de a aplica acțiuni de rezoluție, actualilor și foștilor membri ai organului de conducere și ai conducerii superioare se returnează sau se rambursează de către aceștia, cu excepția cazului în care dovedesc că nu au participat sau nu au fost responsabili de comportamentul care a dus la intrarea în dificultate a instituției de credit supuse rezoluției sau care a contribuit la aceasta. </w:t>
            </w:r>
          </w:p>
          <w:p w14:paraId="2E330178" w14:textId="285D731E" w:rsidR="00EB243D" w:rsidRPr="00154588" w:rsidRDefault="00EB243D" w:rsidP="008C12B4">
            <w:pPr>
              <w:jc w:val="both"/>
              <w:rPr>
                <w:sz w:val="20"/>
                <w:szCs w:val="20"/>
              </w:rPr>
            </w:pPr>
            <w:r w:rsidRPr="00154588">
              <w:rPr>
                <w:bCs/>
                <w:sz w:val="20"/>
                <w:szCs w:val="20"/>
              </w:rPr>
              <w:t>Prezentul alineat nu se aplică  remunerației variabile, inclusiv beneficiilor discreționare de tipul pensiilor, care este reglementată printr-un contract colectiv de muncă</w:t>
            </w:r>
          </w:p>
        </w:tc>
        <w:tc>
          <w:tcPr>
            <w:tcW w:w="2552" w:type="dxa"/>
          </w:tcPr>
          <w:p w14:paraId="75CC3281" w14:textId="6A7A2D75" w:rsidR="00EB243D" w:rsidRPr="00154588" w:rsidRDefault="00EB243D" w:rsidP="008C12B4">
            <w:pPr>
              <w:jc w:val="both"/>
              <w:rPr>
                <w:sz w:val="20"/>
                <w:szCs w:val="20"/>
              </w:rPr>
            </w:pPr>
            <w:r w:rsidRPr="00154588">
              <w:rPr>
                <w:sz w:val="20"/>
                <w:szCs w:val="16"/>
              </w:rPr>
              <w:lastRenderedPageBreak/>
              <w:t>Compatibil</w:t>
            </w:r>
          </w:p>
        </w:tc>
        <w:tc>
          <w:tcPr>
            <w:tcW w:w="3118" w:type="dxa"/>
          </w:tcPr>
          <w:p w14:paraId="35BA7DDE" w14:textId="77777777" w:rsidR="00EB243D" w:rsidRPr="00154588" w:rsidRDefault="00EB243D" w:rsidP="008C12B4">
            <w:pPr>
              <w:jc w:val="both"/>
              <w:rPr>
                <w:sz w:val="20"/>
                <w:szCs w:val="20"/>
              </w:rPr>
            </w:pPr>
          </w:p>
        </w:tc>
      </w:tr>
      <w:tr w:rsidR="00EB243D" w:rsidRPr="00154588" w14:paraId="29770CED" w14:textId="77777777" w:rsidTr="00D15C1B">
        <w:trPr>
          <w:jc w:val="center"/>
        </w:trPr>
        <w:tc>
          <w:tcPr>
            <w:tcW w:w="4957" w:type="dxa"/>
            <w:gridSpan w:val="2"/>
          </w:tcPr>
          <w:p w14:paraId="4ECDEA56" w14:textId="77777777" w:rsidR="00EB243D" w:rsidRPr="00154588" w:rsidRDefault="00EB243D" w:rsidP="008C12B4">
            <w:pPr>
              <w:jc w:val="both"/>
              <w:rPr>
                <w:b/>
                <w:sz w:val="20"/>
                <w:szCs w:val="20"/>
              </w:rPr>
            </w:pPr>
            <w:r w:rsidRPr="00154588">
              <w:rPr>
                <w:b/>
                <w:sz w:val="20"/>
                <w:szCs w:val="20"/>
              </w:rPr>
              <w:t>Articolul 102</w:t>
            </w:r>
          </w:p>
          <w:p w14:paraId="4CA3C30D" w14:textId="77777777" w:rsidR="00EB243D" w:rsidRPr="00154588" w:rsidRDefault="00EB243D" w:rsidP="008C12B4">
            <w:pPr>
              <w:jc w:val="both"/>
              <w:rPr>
                <w:b/>
                <w:sz w:val="20"/>
                <w:szCs w:val="20"/>
              </w:rPr>
            </w:pPr>
          </w:p>
          <w:p w14:paraId="59147DF8" w14:textId="417EB372" w:rsidR="00EB243D" w:rsidRPr="00154588" w:rsidRDefault="00EB243D" w:rsidP="008C12B4">
            <w:pPr>
              <w:jc w:val="both"/>
              <w:rPr>
                <w:sz w:val="20"/>
                <w:szCs w:val="20"/>
              </w:rPr>
            </w:pPr>
            <w:r w:rsidRPr="00154588">
              <w:rPr>
                <w:b/>
                <w:sz w:val="20"/>
                <w:szCs w:val="20"/>
              </w:rPr>
              <w:t>Nivelul-țintă</w:t>
            </w:r>
          </w:p>
        </w:tc>
        <w:tc>
          <w:tcPr>
            <w:tcW w:w="4819" w:type="dxa"/>
          </w:tcPr>
          <w:p w14:paraId="3D665BE9" w14:textId="77777777" w:rsidR="00EB243D" w:rsidRPr="00154588" w:rsidRDefault="00EB243D" w:rsidP="008C12B4">
            <w:pPr>
              <w:jc w:val="both"/>
              <w:rPr>
                <w:sz w:val="20"/>
                <w:szCs w:val="20"/>
              </w:rPr>
            </w:pPr>
          </w:p>
        </w:tc>
        <w:tc>
          <w:tcPr>
            <w:tcW w:w="2552" w:type="dxa"/>
          </w:tcPr>
          <w:p w14:paraId="3D326F54" w14:textId="77777777" w:rsidR="00EB243D" w:rsidRPr="00154588" w:rsidRDefault="00EB243D" w:rsidP="008C12B4">
            <w:pPr>
              <w:jc w:val="both"/>
              <w:rPr>
                <w:sz w:val="20"/>
                <w:szCs w:val="20"/>
              </w:rPr>
            </w:pPr>
          </w:p>
        </w:tc>
        <w:tc>
          <w:tcPr>
            <w:tcW w:w="3118" w:type="dxa"/>
          </w:tcPr>
          <w:p w14:paraId="52E5B27F" w14:textId="77777777" w:rsidR="00EB243D" w:rsidRPr="00154588" w:rsidRDefault="00EB243D" w:rsidP="008C12B4">
            <w:pPr>
              <w:jc w:val="both"/>
              <w:rPr>
                <w:sz w:val="20"/>
                <w:szCs w:val="20"/>
              </w:rPr>
            </w:pPr>
          </w:p>
        </w:tc>
      </w:tr>
      <w:tr w:rsidR="00EB243D" w:rsidRPr="00154588" w14:paraId="4F022861" w14:textId="77777777" w:rsidTr="00F01AF6">
        <w:trPr>
          <w:trHeight w:val="5856"/>
          <w:jc w:val="center"/>
        </w:trPr>
        <w:tc>
          <w:tcPr>
            <w:tcW w:w="4957" w:type="dxa"/>
            <w:gridSpan w:val="2"/>
          </w:tcPr>
          <w:p w14:paraId="0C3691DB" w14:textId="6692CB3A" w:rsidR="00EB243D" w:rsidRPr="00154588" w:rsidRDefault="00EB243D" w:rsidP="008C12B4">
            <w:pPr>
              <w:jc w:val="both"/>
              <w:rPr>
                <w:sz w:val="20"/>
                <w:szCs w:val="20"/>
              </w:rPr>
            </w:pPr>
            <w:r w:rsidRPr="00154588">
              <w:rPr>
                <w:sz w:val="20"/>
                <w:szCs w:val="20"/>
              </w:rPr>
              <w:t>(1)   Statele membre se asigură că, până la 31 decembrie 2024, mijloacele financiare disponibile ale propriilor mecanisme de finanțare se ridică la cel puțin 1 % din suma depozitelor acoperite ale tuturor instituțiilor autorizate pe propriul teritoriu. Statele membre pot stabili niveluri-țintă superioare acestei valori.</w:t>
            </w:r>
          </w:p>
        </w:tc>
        <w:tc>
          <w:tcPr>
            <w:tcW w:w="4819" w:type="dxa"/>
          </w:tcPr>
          <w:p w14:paraId="19C4116F" w14:textId="77777777" w:rsidR="00EB243D" w:rsidRPr="00154588" w:rsidRDefault="00EB243D"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303.</w:t>
            </w:r>
            <w:r w:rsidRPr="00154588">
              <w:rPr>
                <w:sz w:val="20"/>
                <w:szCs w:val="20"/>
              </w:rPr>
              <w:t xml:space="preserve"> – (1) Nivelul-ţintă pentru resursele financiare disponibile ale fondului de rezoluţie bancară este 3% din suma depozitelor acoperite ale tuturor instituțiilor de credit autorizate pe teritoriul Moldovei.</w:t>
            </w:r>
          </w:p>
          <w:p w14:paraId="11DD9589" w14:textId="77777777" w:rsidR="00EB243D" w:rsidRPr="00154588" w:rsidRDefault="00EB243D" w:rsidP="008C12B4">
            <w:pPr>
              <w:ind w:firstLine="567"/>
              <w:jc w:val="both"/>
              <w:rPr>
                <w:sz w:val="20"/>
                <w:szCs w:val="20"/>
              </w:rPr>
            </w:pPr>
            <w:r w:rsidRPr="00154588">
              <w:rPr>
                <w:sz w:val="20"/>
                <w:szCs w:val="20"/>
              </w:rPr>
              <w:t>(2) Nivelul prevăzut la alin.(1) trebuie atins pentru prima dată cel târziu la 31 decembrie 2024.</w:t>
            </w:r>
          </w:p>
          <w:p w14:paraId="7CBE63CF" w14:textId="77777777" w:rsidR="00EB243D" w:rsidRPr="00154588" w:rsidRDefault="00EB243D" w:rsidP="008C12B4">
            <w:pPr>
              <w:ind w:firstLine="567"/>
              <w:jc w:val="both"/>
              <w:rPr>
                <w:sz w:val="20"/>
                <w:szCs w:val="20"/>
              </w:rPr>
            </w:pPr>
            <w:r w:rsidRPr="00154588">
              <w:rPr>
                <w:sz w:val="20"/>
                <w:szCs w:val="20"/>
              </w:rPr>
              <w:t xml:space="preserve">(3) Începând cu data de 1 ianuarie a celui de-al patrulea an de la data semnării tratatului de aderare la Uniunea Europeană, dar nu mai devreme de 1 ianuarie 2034, nivelul țintă prevăzut la alin.(1) se stabilește în mărime de 1% din suma depozitelor acoperite ale tuturor instituțiilor de credit autorizate pe teritoriul Republicii Moldova. </w:t>
            </w:r>
          </w:p>
          <w:p w14:paraId="2F08017F" w14:textId="77777777" w:rsidR="00EB243D" w:rsidRPr="00154588" w:rsidRDefault="00EB243D" w:rsidP="008C12B4">
            <w:pPr>
              <w:ind w:firstLine="567"/>
              <w:jc w:val="both"/>
              <w:rPr>
                <w:sz w:val="20"/>
                <w:szCs w:val="20"/>
              </w:rPr>
            </w:pPr>
            <w:r w:rsidRPr="00154588">
              <w:rPr>
                <w:sz w:val="20"/>
                <w:szCs w:val="20"/>
              </w:rPr>
              <w:t xml:space="preserve">(4)Până la survenirea termenului prevăzut la alin. (3) Banca Națională a Moldovei, în calitate de autoritate de rezoluție, stabilește prin reglementări niveluri țintă intermediare ținând cont de etapele de majorare a nivelului de acoperire a depozitelor garantate prevăzute în Legea 160/2023. </w:t>
            </w:r>
          </w:p>
          <w:p w14:paraId="612E445E" w14:textId="77777777" w:rsidR="00EB243D" w:rsidRPr="00154588" w:rsidRDefault="00EB243D" w:rsidP="008C12B4">
            <w:pPr>
              <w:ind w:firstLine="567"/>
              <w:jc w:val="both"/>
              <w:rPr>
                <w:sz w:val="20"/>
                <w:szCs w:val="20"/>
              </w:rPr>
            </w:pPr>
          </w:p>
          <w:p w14:paraId="4E848F0C" w14:textId="77777777" w:rsidR="00EB243D" w:rsidRPr="00154588" w:rsidRDefault="00EB243D" w:rsidP="008C12B4">
            <w:pPr>
              <w:jc w:val="both"/>
              <w:rPr>
                <w:sz w:val="20"/>
                <w:szCs w:val="20"/>
              </w:rPr>
            </w:pPr>
          </w:p>
        </w:tc>
        <w:tc>
          <w:tcPr>
            <w:tcW w:w="2552" w:type="dxa"/>
          </w:tcPr>
          <w:p w14:paraId="53A60930" w14:textId="67CF470C" w:rsidR="00EB243D" w:rsidRPr="00154588" w:rsidRDefault="00EB243D" w:rsidP="008C12B4">
            <w:pPr>
              <w:jc w:val="both"/>
              <w:rPr>
                <w:sz w:val="20"/>
                <w:szCs w:val="20"/>
              </w:rPr>
            </w:pPr>
            <w:r w:rsidRPr="00154588">
              <w:rPr>
                <w:sz w:val="20"/>
                <w:szCs w:val="20"/>
              </w:rPr>
              <w:t>Compatibil</w:t>
            </w:r>
          </w:p>
        </w:tc>
        <w:tc>
          <w:tcPr>
            <w:tcW w:w="3118" w:type="dxa"/>
          </w:tcPr>
          <w:p w14:paraId="23BB462A" w14:textId="77777777" w:rsidR="00EB243D" w:rsidRPr="00154588" w:rsidRDefault="00EB243D" w:rsidP="008C12B4">
            <w:pPr>
              <w:jc w:val="both"/>
              <w:rPr>
                <w:sz w:val="20"/>
                <w:szCs w:val="20"/>
              </w:rPr>
            </w:pPr>
          </w:p>
        </w:tc>
      </w:tr>
      <w:tr w:rsidR="00EB243D" w:rsidRPr="00154588" w14:paraId="55170BA5" w14:textId="77777777" w:rsidTr="00D15C1B">
        <w:trPr>
          <w:jc w:val="center"/>
        </w:trPr>
        <w:tc>
          <w:tcPr>
            <w:tcW w:w="4957" w:type="dxa"/>
            <w:gridSpan w:val="2"/>
          </w:tcPr>
          <w:p w14:paraId="2E74E10A" w14:textId="77777777" w:rsidR="00EB243D" w:rsidRPr="00154588" w:rsidRDefault="00EB243D" w:rsidP="008C12B4">
            <w:pPr>
              <w:jc w:val="both"/>
              <w:rPr>
                <w:sz w:val="20"/>
                <w:szCs w:val="20"/>
              </w:rPr>
            </w:pPr>
            <w:r w:rsidRPr="00154588">
              <w:rPr>
                <w:sz w:val="20"/>
                <w:szCs w:val="20"/>
              </w:rPr>
              <w:t xml:space="preserve">(2)   Pe parcursul perioadei inițiale prevăzute la alineatul (1), contribuțiile la mecanismele de finanțare percepute în conformitate cu articolul 103 trebuie </w:t>
            </w:r>
            <w:r w:rsidRPr="00154588">
              <w:rPr>
                <w:sz w:val="20"/>
                <w:szCs w:val="20"/>
              </w:rPr>
              <w:lastRenderedPageBreak/>
              <w:t>repartizate cât mai uniform posibil în timp, până la atingerea nivelului-țintă prevăzut, dar ținându-se seama în mod corespunzător de etapa ciclului de activitate și de impactul pe care contribuțiile prociclice îl pot avea asupra poziției financiare a instituțiilor care contribuie.</w:t>
            </w:r>
          </w:p>
          <w:p w14:paraId="3316B582" w14:textId="77777777" w:rsidR="00EB243D" w:rsidRPr="00154588" w:rsidRDefault="00EB243D" w:rsidP="008C12B4">
            <w:pPr>
              <w:jc w:val="both"/>
              <w:rPr>
                <w:sz w:val="20"/>
                <w:szCs w:val="20"/>
              </w:rPr>
            </w:pPr>
          </w:p>
          <w:p w14:paraId="175F9B7E" w14:textId="0676B78D" w:rsidR="00EB243D" w:rsidRPr="00154588" w:rsidRDefault="00EB243D" w:rsidP="008C12B4">
            <w:pPr>
              <w:jc w:val="both"/>
              <w:rPr>
                <w:sz w:val="20"/>
                <w:szCs w:val="20"/>
              </w:rPr>
            </w:pPr>
            <w:r w:rsidRPr="00154588">
              <w:rPr>
                <w:sz w:val="20"/>
                <w:szCs w:val="20"/>
              </w:rPr>
              <w:t>Statele membre pot prelungi perioada de timp inițială cu maximum patru ani dacă mecanismele de finanțare fac plăți cumulate care depășesc 0,5 % din depozitele acoperite ale tuturor instituțiilor autorizate pe teritoriul lor, garantate în temeiul Directivei 2014/49/UE.</w:t>
            </w:r>
          </w:p>
        </w:tc>
        <w:tc>
          <w:tcPr>
            <w:tcW w:w="4819" w:type="dxa"/>
          </w:tcPr>
          <w:p w14:paraId="4775583F" w14:textId="77777777" w:rsidR="00EB243D" w:rsidRPr="00154588" w:rsidRDefault="00EB243D" w:rsidP="008C12B4">
            <w:pPr>
              <w:ind w:firstLine="567"/>
              <w:jc w:val="both"/>
              <w:rPr>
                <w:sz w:val="20"/>
                <w:szCs w:val="20"/>
              </w:rPr>
            </w:pPr>
            <w:r w:rsidRPr="00154588">
              <w:rPr>
                <w:b/>
                <w:sz w:val="20"/>
                <w:szCs w:val="20"/>
              </w:rPr>
              <w:lastRenderedPageBreak/>
              <w:t>Articolul</w:t>
            </w:r>
            <w:r w:rsidRPr="00154588">
              <w:rPr>
                <w:sz w:val="20"/>
                <w:szCs w:val="20"/>
              </w:rPr>
              <w:t xml:space="preserve"> </w:t>
            </w:r>
            <w:r w:rsidRPr="00154588">
              <w:rPr>
                <w:b/>
                <w:sz w:val="20"/>
                <w:szCs w:val="20"/>
              </w:rPr>
              <w:t>304.</w:t>
            </w:r>
            <w:r w:rsidRPr="00154588">
              <w:rPr>
                <w:sz w:val="20"/>
                <w:szCs w:val="20"/>
              </w:rPr>
              <w:t xml:space="preserve"> – (1) În aplicarea prevederilor art.303, Banca Naţională a Moldovei, în calitate de autoritate de rezoluţie, stabileşte nivelul contribuţiilor </w:t>
            </w:r>
            <w:r w:rsidRPr="00154588">
              <w:rPr>
                <w:sz w:val="20"/>
                <w:szCs w:val="20"/>
              </w:rPr>
              <w:lastRenderedPageBreak/>
              <w:t>anuale ale instituțiilor de credit la fondul de rezoluţie bancară astfel încît acestea să fie repartizate cît mai uniform posibil în timp, dar ţinîndu-se seama în mod corespunzător de faza ciclului economic şi de impactul pe care contribuţiile prociclice îl pot avea asupra poziţiei financiare a instituțiilor de credit care contribuie.</w:t>
            </w:r>
          </w:p>
          <w:p w14:paraId="3E54CD12" w14:textId="7BC73157" w:rsidR="00EB243D" w:rsidRPr="00154588" w:rsidRDefault="00EB243D" w:rsidP="008C12B4">
            <w:pPr>
              <w:jc w:val="both"/>
              <w:rPr>
                <w:sz w:val="20"/>
                <w:szCs w:val="20"/>
              </w:rPr>
            </w:pPr>
            <w:r w:rsidRPr="00154588">
              <w:rPr>
                <w:sz w:val="20"/>
                <w:szCs w:val="20"/>
              </w:rPr>
              <w:t>(2) Banca Naţională a Moldovei, în calitate de autoritate de rezoluţie poate prelungi termenul prevăzut la art.303 alin.(2) pînă la care trebuie atins nivelul-ţintă, cu maximum 4 ani, dacă se fac plăţi din fondul de rezoluţie bancară care cumulate depăşesc 0,5% din depozitele acoperite ale tuturor instituțiilor de credit autorizate pe teritoriul Moldovei.</w:t>
            </w:r>
          </w:p>
        </w:tc>
        <w:tc>
          <w:tcPr>
            <w:tcW w:w="2552" w:type="dxa"/>
          </w:tcPr>
          <w:p w14:paraId="3EDB9BE0" w14:textId="15E5868E" w:rsidR="00EB243D" w:rsidRPr="00154588" w:rsidRDefault="00EB243D" w:rsidP="008C12B4">
            <w:pPr>
              <w:jc w:val="both"/>
              <w:rPr>
                <w:sz w:val="20"/>
                <w:szCs w:val="20"/>
              </w:rPr>
            </w:pPr>
            <w:r w:rsidRPr="00154588">
              <w:rPr>
                <w:sz w:val="20"/>
                <w:szCs w:val="20"/>
              </w:rPr>
              <w:lastRenderedPageBreak/>
              <w:t>Compatibil</w:t>
            </w:r>
          </w:p>
        </w:tc>
        <w:tc>
          <w:tcPr>
            <w:tcW w:w="3118" w:type="dxa"/>
          </w:tcPr>
          <w:p w14:paraId="09F7AD7B" w14:textId="77777777" w:rsidR="00EB243D" w:rsidRPr="00154588" w:rsidRDefault="00EB243D" w:rsidP="008C12B4">
            <w:pPr>
              <w:jc w:val="both"/>
              <w:rPr>
                <w:sz w:val="20"/>
                <w:szCs w:val="20"/>
              </w:rPr>
            </w:pPr>
          </w:p>
        </w:tc>
      </w:tr>
      <w:tr w:rsidR="00EB243D" w:rsidRPr="00154588" w14:paraId="58B597EC" w14:textId="77777777" w:rsidTr="00D15C1B">
        <w:trPr>
          <w:jc w:val="center"/>
        </w:trPr>
        <w:tc>
          <w:tcPr>
            <w:tcW w:w="4957" w:type="dxa"/>
            <w:gridSpan w:val="2"/>
          </w:tcPr>
          <w:p w14:paraId="25DDAF94" w14:textId="1C2435DC" w:rsidR="00EB243D" w:rsidRPr="00154588" w:rsidRDefault="00EB243D" w:rsidP="008C12B4">
            <w:pPr>
              <w:jc w:val="both"/>
              <w:rPr>
                <w:sz w:val="20"/>
                <w:szCs w:val="20"/>
              </w:rPr>
            </w:pPr>
            <w:r w:rsidRPr="00154588">
              <w:rPr>
                <w:sz w:val="20"/>
                <w:szCs w:val="20"/>
              </w:rPr>
              <w:t xml:space="preserve">(3)  Dacă mijloacele financiare disponibile nu sunt suficiente pentru atingerea nivelului-țintă menționat la alineatul (1) de la prezentul articol, contribuțiile </w:t>
            </w:r>
            <w:r w:rsidRPr="00154588">
              <w:rPr>
                <w:i/>
                <w:sz w:val="20"/>
                <w:szCs w:val="20"/>
              </w:rPr>
              <w:t>ex ante</w:t>
            </w:r>
            <w:r w:rsidRPr="00154588">
              <w:rPr>
                <w:sz w:val="20"/>
                <w:szCs w:val="20"/>
              </w:rPr>
              <w:t xml:space="preserve"> percepute în conformitate cu articolul 103 se reiau până la atingerea nivelului-țintă. Autoritățile de rezoluție pot amâna colectarea contribuțiilor ex ante percepute în conformitate cu articolul 103 cu până la trei ani pentru a se asigura că cuantumul care urmează să fie colectat ajunge la o valoare proporțională cu costurile procesului de colectare, cu condiția ca o astfel de amânare să nu afecteze în mod semnificativ capacitatea autorității de rezoluție de a utiliza mecanismele de finanțare a rezoluției în temeiul articolului 101. În cazul în care resursele financiare disponibile reprezintă mai puțin de două treimi din nivelul-țintă, contribuțiile se stabilesc la un nivel care să permită atingerea nivelului-țintă într-un termen rezonabil care nu depășește șase ani. </w:t>
            </w:r>
          </w:p>
          <w:p w14:paraId="5FC37CAE" w14:textId="77777777" w:rsidR="00EB243D" w:rsidRPr="00154588" w:rsidRDefault="00EB243D" w:rsidP="008C12B4">
            <w:pPr>
              <w:jc w:val="both"/>
              <w:rPr>
                <w:sz w:val="20"/>
                <w:szCs w:val="20"/>
              </w:rPr>
            </w:pPr>
          </w:p>
          <w:p w14:paraId="4E6BF816" w14:textId="1F6E2664" w:rsidR="00EB243D" w:rsidRPr="00154588" w:rsidRDefault="00EB243D" w:rsidP="008C12B4">
            <w:pPr>
              <w:jc w:val="both"/>
              <w:rPr>
                <w:sz w:val="20"/>
                <w:szCs w:val="20"/>
              </w:rPr>
            </w:pPr>
            <w:r w:rsidRPr="00154588">
              <w:rPr>
                <w:sz w:val="20"/>
                <w:szCs w:val="20"/>
              </w:rPr>
              <w:t>Contribuția obișnuită ține seama în mod corespunzător de etapa unui ciclu de activitate și de impactul pe care contribuțiile prociclice îl pot avea atunci când se stabilesc contribuțiile anuale în contextul prezentului alineat.</w:t>
            </w:r>
          </w:p>
        </w:tc>
        <w:tc>
          <w:tcPr>
            <w:tcW w:w="4819" w:type="dxa"/>
          </w:tcPr>
          <w:p w14:paraId="1F6ED68C" w14:textId="21B4EA71" w:rsidR="00EB243D" w:rsidRPr="00154588" w:rsidRDefault="00EB243D"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305.</w:t>
            </w:r>
            <w:r w:rsidRPr="00154588">
              <w:rPr>
                <w:sz w:val="20"/>
                <w:szCs w:val="20"/>
              </w:rPr>
              <w:t xml:space="preserve"> – (1) Dacă mijloacele financiare disponibile nu sunt suficiente pentru atingerea nivelului-țintă menționat  la art.303, contribuțiile anuale prevăzute la art.306-309 se reiau până la atingerea nivelului-țintă. Banca Natională a Moldovei în calitate de autoritate de rezoluție, poate decide amânarea contribuțiilor anuale percepute conform art.306-309 cu până la trei ani pentru a se asigura că cuantumul care urmează să fie colectat ajunge la o valoare proporțională cu costurile procesului de colectare, cu condiția ca o astfel de amânare să nu afecteze în mod semnificativ capacitatea autorității de rezoluție de a utiliza fondul de rezoluție bancară în temeiul art.301. </w:t>
            </w:r>
          </w:p>
          <w:p w14:paraId="7A2981B0" w14:textId="7D3F4CDA" w:rsidR="00EB243D" w:rsidRPr="00154588" w:rsidRDefault="00EB243D" w:rsidP="008C12B4">
            <w:pPr>
              <w:ind w:firstLine="567"/>
              <w:jc w:val="both"/>
              <w:rPr>
                <w:sz w:val="20"/>
                <w:szCs w:val="20"/>
              </w:rPr>
            </w:pPr>
            <w:r w:rsidRPr="00154588">
              <w:rPr>
                <w:sz w:val="20"/>
                <w:szCs w:val="20"/>
              </w:rPr>
              <w:t xml:space="preserve">(2) În cazul în care mijloacele financiare ale fondului de rezoluție reprezintă  mai puţin de două treimi din nivelul-ţintă, contribuţiile anuale se stabilesc la un nivel care să permită atingerea nivelului-ţintă într-un termen rezonabil care nu </w:t>
            </w:r>
            <w:r w:rsidR="0025291F" w:rsidRPr="00154588">
              <w:rPr>
                <w:sz w:val="20"/>
                <w:szCs w:val="20"/>
              </w:rPr>
              <w:t xml:space="preserve">depășește </w:t>
            </w:r>
            <w:r w:rsidRPr="00154588">
              <w:rPr>
                <w:sz w:val="20"/>
                <w:szCs w:val="20"/>
              </w:rPr>
              <w:t>şase ani.</w:t>
            </w:r>
          </w:p>
          <w:p w14:paraId="25612C0F" w14:textId="77777777" w:rsidR="00EB243D" w:rsidRPr="00154588" w:rsidRDefault="00EB243D" w:rsidP="008C12B4">
            <w:pPr>
              <w:ind w:firstLine="567"/>
              <w:jc w:val="both"/>
              <w:rPr>
                <w:sz w:val="20"/>
                <w:szCs w:val="20"/>
              </w:rPr>
            </w:pPr>
            <w:r w:rsidRPr="00154588">
              <w:rPr>
                <w:sz w:val="20"/>
                <w:szCs w:val="20"/>
              </w:rPr>
              <w:t>(3) Banca Naţională a Moldovei, în calitate de autoritate de rezoluţie, stabileşte nivelul contribuţiei anuale pentru situaţiile vizate de prezentul articol, ţinînd cont de faza ciclului economic şi de impactul pe care contribuţiile prociclice îl pot avea asupra instituțiilor de credit care contribuie.</w:t>
            </w:r>
          </w:p>
          <w:p w14:paraId="27FE13B0" w14:textId="77777777" w:rsidR="00EB243D" w:rsidRPr="00154588" w:rsidRDefault="00EB243D" w:rsidP="008C12B4">
            <w:pPr>
              <w:jc w:val="both"/>
              <w:rPr>
                <w:sz w:val="20"/>
                <w:szCs w:val="20"/>
              </w:rPr>
            </w:pPr>
          </w:p>
        </w:tc>
        <w:tc>
          <w:tcPr>
            <w:tcW w:w="2552" w:type="dxa"/>
          </w:tcPr>
          <w:p w14:paraId="70DD558D" w14:textId="2167BE58" w:rsidR="00EB243D" w:rsidRPr="00154588" w:rsidRDefault="00EB243D" w:rsidP="008C12B4">
            <w:pPr>
              <w:jc w:val="both"/>
              <w:rPr>
                <w:sz w:val="20"/>
                <w:szCs w:val="20"/>
              </w:rPr>
            </w:pPr>
            <w:r w:rsidRPr="00154588">
              <w:rPr>
                <w:sz w:val="20"/>
                <w:szCs w:val="20"/>
              </w:rPr>
              <w:t>Compatibil</w:t>
            </w:r>
          </w:p>
        </w:tc>
        <w:tc>
          <w:tcPr>
            <w:tcW w:w="3118" w:type="dxa"/>
          </w:tcPr>
          <w:p w14:paraId="7627F2FD" w14:textId="77777777" w:rsidR="00EB243D" w:rsidRPr="00154588" w:rsidRDefault="00EB243D" w:rsidP="008C12B4">
            <w:pPr>
              <w:jc w:val="both"/>
              <w:rPr>
                <w:sz w:val="20"/>
                <w:szCs w:val="20"/>
              </w:rPr>
            </w:pPr>
          </w:p>
        </w:tc>
      </w:tr>
      <w:tr w:rsidR="00EB243D" w:rsidRPr="00154588" w14:paraId="239035CC" w14:textId="77777777" w:rsidTr="00D15C1B">
        <w:trPr>
          <w:jc w:val="center"/>
        </w:trPr>
        <w:tc>
          <w:tcPr>
            <w:tcW w:w="4957" w:type="dxa"/>
            <w:gridSpan w:val="2"/>
          </w:tcPr>
          <w:p w14:paraId="2508808D" w14:textId="6B5670DA" w:rsidR="00EB243D" w:rsidRPr="00154588" w:rsidRDefault="00EB243D" w:rsidP="008C12B4">
            <w:pPr>
              <w:jc w:val="both"/>
              <w:rPr>
                <w:sz w:val="20"/>
                <w:szCs w:val="20"/>
              </w:rPr>
            </w:pPr>
            <w:r w:rsidRPr="00154588">
              <w:rPr>
                <w:sz w:val="20"/>
                <w:szCs w:val="20"/>
              </w:rPr>
              <w:t xml:space="preserve">(4)   ABE înaintează Comisiei, până în 31 octombrie 2016, un raport care cuprinde recomandări cu privire la punctul de referință adecvat pentru stabilirea nivelului-țintă pentru mecanismele de finanțare a </w:t>
            </w:r>
            <w:r w:rsidRPr="00154588">
              <w:rPr>
                <w:sz w:val="20"/>
                <w:szCs w:val="20"/>
              </w:rPr>
              <w:lastRenderedPageBreak/>
              <w:t>rezoluției și, mai ales, indică dacă totalul pasivelor constituie o bază mai potrivită decât depozitele acoperite.</w:t>
            </w:r>
          </w:p>
        </w:tc>
        <w:tc>
          <w:tcPr>
            <w:tcW w:w="4819" w:type="dxa"/>
          </w:tcPr>
          <w:p w14:paraId="5A2999C1" w14:textId="7226C760" w:rsidR="00EB243D" w:rsidRPr="00154588" w:rsidRDefault="00EB243D" w:rsidP="008C12B4">
            <w:pPr>
              <w:jc w:val="both"/>
              <w:rPr>
                <w:sz w:val="20"/>
                <w:szCs w:val="20"/>
              </w:rPr>
            </w:pPr>
            <w:r w:rsidRPr="00154588">
              <w:rPr>
                <w:sz w:val="20"/>
                <w:szCs w:val="20"/>
              </w:rPr>
              <w:lastRenderedPageBreak/>
              <w:t>-</w:t>
            </w:r>
          </w:p>
        </w:tc>
        <w:tc>
          <w:tcPr>
            <w:tcW w:w="2552" w:type="dxa"/>
          </w:tcPr>
          <w:p w14:paraId="543174B3" w14:textId="6F62D6A8" w:rsidR="00EB243D" w:rsidRPr="00154588" w:rsidRDefault="00EB243D" w:rsidP="008C12B4">
            <w:pPr>
              <w:jc w:val="both"/>
              <w:rPr>
                <w:sz w:val="20"/>
                <w:szCs w:val="20"/>
              </w:rPr>
            </w:pPr>
            <w:r w:rsidRPr="00154588">
              <w:rPr>
                <w:sz w:val="20"/>
                <w:szCs w:val="20"/>
              </w:rPr>
              <w:t>Prevederi UE neaplicabile</w:t>
            </w:r>
          </w:p>
        </w:tc>
        <w:tc>
          <w:tcPr>
            <w:tcW w:w="3118" w:type="dxa"/>
          </w:tcPr>
          <w:p w14:paraId="0856DCC9" w14:textId="6BF55B29" w:rsidR="00EB243D" w:rsidRPr="00154588" w:rsidRDefault="00EB243D" w:rsidP="008C12B4">
            <w:pPr>
              <w:jc w:val="both"/>
              <w:rPr>
                <w:sz w:val="20"/>
                <w:szCs w:val="20"/>
              </w:rPr>
            </w:pPr>
            <w:r w:rsidRPr="00154588">
              <w:rPr>
                <w:bCs/>
                <w:sz w:val="20"/>
                <w:szCs w:val="20"/>
                <w:lang w:val="ro-MD"/>
              </w:rPr>
              <w:t>Prevederi care se referă la atribuțiile de reglementare ale autorităților europene.</w:t>
            </w:r>
          </w:p>
        </w:tc>
      </w:tr>
      <w:tr w:rsidR="00EB243D" w:rsidRPr="00154588" w14:paraId="73A6925B" w14:textId="77777777" w:rsidTr="00D15C1B">
        <w:trPr>
          <w:jc w:val="center"/>
        </w:trPr>
        <w:tc>
          <w:tcPr>
            <w:tcW w:w="4957" w:type="dxa"/>
            <w:gridSpan w:val="2"/>
          </w:tcPr>
          <w:p w14:paraId="50027DAE" w14:textId="01789E15" w:rsidR="00EB243D" w:rsidRPr="00154588" w:rsidRDefault="00EB243D" w:rsidP="008C12B4">
            <w:pPr>
              <w:jc w:val="both"/>
              <w:rPr>
                <w:sz w:val="20"/>
                <w:szCs w:val="20"/>
              </w:rPr>
            </w:pPr>
            <w:r w:rsidRPr="00154588">
              <w:rPr>
                <w:sz w:val="20"/>
                <w:szCs w:val="20"/>
              </w:rPr>
              <w:t>(5)   Pe baza rezultatelor raportului menționat la alineatul (4), până la 31 decembrie 2016, Comisia înaintează, după caz, Parlamentului European și Consiliului o propunere legislativă privind baza pentru nivelul-țintă pentru mecanismele de finanțare a rezoluției.</w:t>
            </w:r>
          </w:p>
        </w:tc>
        <w:tc>
          <w:tcPr>
            <w:tcW w:w="4819" w:type="dxa"/>
          </w:tcPr>
          <w:p w14:paraId="2BFCB29E" w14:textId="54BB9C8B" w:rsidR="00EB243D" w:rsidRPr="00154588" w:rsidRDefault="00EB243D" w:rsidP="008C12B4">
            <w:pPr>
              <w:jc w:val="both"/>
              <w:rPr>
                <w:sz w:val="20"/>
                <w:szCs w:val="20"/>
              </w:rPr>
            </w:pPr>
            <w:r w:rsidRPr="00154588">
              <w:rPr>
                <w:sz w:val="20"/>
                <w:szCs w:val="20"/>
              </w:rPr>
              <w:t>-</w:t>
            </w:r>
          </w:p>
        </w:tc>
        <w:tc>
          <w:tcPr>
            <w:tcW w:w="2552" w:type="dxa"/>
          </w:tcPr>
          <w:p w14:paraId="498A4A97" w14:textId="4FEA6CF5" w:rsidR="00EB243D" w:rsidRPr="00154588" w:rsidRDefault="00EB243D" w:rsidP="008C12B4">
            <w:pPr>
              <w:jc w:val="both"/>
              <w:rPr>
                <w:sz w:val="20"/>
                <w:szCs w:val="20"/>
              </w:rPr>
            </w:pPr>
            <w:r w:rsidRPr="00154588">
              <w:rPr>
                <w:sz w:val="20"/>
                <w:szCs w:val="20"/>
              </w:rPr>
              <w:t>Prevederi UE neaplicabile</w:t>
            </w:r>
          </w:p>
        </w:tc>
        <w:tc>
          <w:tcPr>
            <w:tcW w:w="3118" w:type="dxa"/>
          </w:tcPr>
          <w:p w14:paraId="595C6D54" w14:textId="2C869BFF" w:rsidR="00EB243D" w:rsidRPr="00154588" w:rsidRDefault="00EB243D" w:rsidP="008C12B4">
            <w:pPr>
              <w:jc w:val="both"/>
              <w:rPr>
                <w:sz w:val="20"/>
                <w:szCs w:val="20"/>
              </w:rPr>
            </w:pPr>
            <w:r w:rsidRPr="00154588">
              <w:rPr>
                <w:bCs/>
                <w:sz w:val="20"/>
                <w:szCs w:val="20"/>
                <w:lang w:val="ro-MD"/>
              </w:rPr>
              <w:t>Prevederi care se referă la atribuțiile de reglementare ale autorităților europene.</w:t>
            </w:r>
          </w:p>
        </w:tc>
      </w:tr>
      <w:tr w:rsidR="00EB243D" w:rsidRPr="00154588" w14:paraId="1FB1A549" w14:textId="77777777" w:rsidTr="00D15C1B">
        <w:trPr>
          <w:jc w:val="center"/>
        </w:trPr>
        <w:tc>
          <w:tcPr>
            <w:tcW w:w="4957" w:type="dxa"/>
            <w:gridSpan w:val="2"/>
          </w:tcPr>
          <w:p w14:paraId="58A35ACB" w14:textId="77777777" w:rsidR="00EB243D" w:rsidRPr="00154588" w:rsidRDefault="00EB243D" w:rsidP="008C12B4">
            <w:pPr>
              <w:jc w:val="both"/>
              <w:rPr>
                <w:b/>
                <w:sz w:val="20"/>
                <w:szCs w:val="20"/>
              </w:rPr>
            </w:pPr>
            <w:r w:rsidRPr="00154588">
              <w:rPr>
                <w:b/>
                <w:sz w:val="20"/>
                <w:szCs w:val="20"/>
              </w:rPr>
              <w:t>Articolul 103</w:t>
            </w:r>
          </w:p>
          <w:p w14:paraId="0DDF0959" w14:textId="77777777" w:rsidR="00EB243D" w:rsidRPr="00154588" w:rsidRDefault="00EB243D" w:rsidP="008C12B4">
            <w:pPr>
              <w:jc w:val="both"/>
              <w:rPr>
                <w:b/>
                <w:sz w:val="20"/>
                <w:szCs w:val="20"/>
              </w:rPr>
            </w:pPr>
          </w:p>
          <w:p w14:paraId="6BE2F584" w14:textId="40764884" w:rsidR="00EB243D" w:rsidRPr="00154588" w:rsidRDefault="00EB243D" w:rsidP="008C12B4">
            <w:pPr>
              <w:jc w:val="both"/>
              <w:rPr>
                <w:sz w:val="20"/>
                <w:szCs w:val="20"/>
              </w:rPr>
            </w:pPr>
            <w:r w:rsidRPr="00154588">
              <w:rPr>
                <w:b/>
                <w:sz w:val="20"/>
                <w:szCs w:val="20"/>
              </w:rPr>
              <w:t>Contribuții ex ante</w:t>
            </w:r>
          </w:p>
        </w:tc>
        <w:tc>
          <w:tcPr>
            <w:tcW w:w="4819" w:type="dxa"/>
          </w:tcPr>
          <w:p w14:paraId="5E974521" w14:textId="77777777" w:rsidR="00EB243D" w:rsidRPr="00154588" w:rsidRDefault="00EB243D" w:rsidP="008C12B4">
            <w:pPr>
              <w:jc w:val="both"/>
              <w:rPr>
                <w:sz w:val="20"/>
                <w:szCs w:val="20"/>
              </w:rPr>
            </w:pPr>
          </w:p>
        </w:tc>
        <w:tc>
          <w:tcPr>
            <w:tcW w:w="2552" w:type="dxa"/>
          </w:tcPr>
          <w:p w14:paraId="0202C820" w14:textId="77777777" w:rsidR="00EB243D" w:rsidRPr="00154588" w:rsidRDefault="00EB243D" w:rsidP="008C12B4">
            <w:pPr>
              <w:jc w:val="both"/>
              <w:rPr>
                <w:sz w:val="20"/>
                <w:szCs w:val="20"/>
              </w:rPr>
            </w:pPr>
          </w:p>
        </w:tc>
        <w:tc>
          <w:tcPr>
            <w:tcW w:w="3118" w:type="dxa"/>
          </w:tcPr>
          <w:p w14:paraId="3FC413EB" w14:textId="77777777" w:rsidR="00EB243D" w:rsidRPr="00154588" w:rsidRDefault="00EB243D" w:rsidP="008C12B4">
            <w:pPr>
              <w:jc w:val="both"/>
              <w:rPr>
                <w:sz w:val="20"/>
                <w:szCs w:val="20"/>
              </w:rPr>
            </w:pPr>
          </w:p>
        </w:tc>
      </w:tr>
      <w:tr w:rsidR="00EB243D" w:rsidRPr="00154588" w14:paraId="3887F9A6" w14:textId="77777777" w:rsidTr="00D15C1B">
        <w:trPr>
          <w:jc w:val="center"/>
        </w:trPr>
        <w:tc>
          <w:tcPr>
            <w:tcW w:w="4957" w:type="dxa"/>
            <w:gridSpan w:val="2"/>
          </w:tcPr>
          <w:p w14:paraId="17801AAD" w14:textId="4BEBD6EF" w:rsidR="00EB243D" w:rsidRPr="00154588" w:rsidRDefault="00EB243D" w:rsidP="008C12B4">
            <w:pPr>
              <w:jc w:val="both"/>
              <w:rPr>
                <w:sz w:val="20"/>
                <w:szCs w:val="20"/>
              </w:rPr>
            </w:pPr>
            <w:r w:rsidRPr="00154588">
              <w:rPr>
                <w:sz w:val="20"/>
                <w:szCs w:val="20"/>
              </w:rPr>
              <w:t>(1)   Pentru a atinge nivelul-țintă menționat la articolul 102, statele membre se asigură că respectivele contribuții sunt percepute cel puțin anual de la instituțiile autorizate pe teritoriul lor, inclusiv de la sucursalele din Uniune.</w:t>
            </w:r>
          </w:p>
        </w:tc>
        <w:tc>
          <w:tcPr>
            <w:tcW w:w="4819" w:type="dxa"/>
          </w:tcPr>
          <w:p w14:paraId="65471408" w14:textId="7AAE196D" w:rsidR="00EB243D" w:rsidRPr="00154588" w:rsidRDefault="00EB243D"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306.</w:t>
            </w:r>
            <w:r w:rsidRPr="00154588">
              <w:rPr>
                <w:sz w:val="20"/>
                <w:szCs w:val="20"/>
              </w:rPr>
              <w:t xml:space="preserve"> – (1) Banca Naţională a Moldovei, în calitate de autoritate de rezoluţie, determină contribuţia anuală a fiecărei instituții de credit, inclusiv de la sucursalele acestora, potrivit ponderii valorii datoriilor instituției de credit, excluzînd fondurile proprii, şi deducînd depozitele acoperite ale acesteia în valoarea agregată a datoriilor tuturor instituțiilor de credit autorizate pe teritoriul Moldovei, excluzînd fondurile proprii agregate, şi deducînd depozitele acoperite agregate ale acestora.</w:t>
            </w:r>
          </w:p>
          <w:p w14:paraId="24ACDD87" w14:textId="77777777" w:rsidR="00EB243D" w:rsidRPr="00154588" w:rsidRDefault="00EB243D" w:rsidP="008C12B4">
            <w:pPr>
              <w:jc w:val="both"/>
              <w:rPr>
                <w:sz w:val="20"/>
                <w:szCs w:val="20"/>
              </w:rPr>
            </w:pPr>
          </w:p>
        </w:tc>
        <w:tc>
          <w:tcPr>
            <w:tcW w:w="2552" w:type="dxa"/>
          </w:tcPr>
          <w:p w14:paraId="2A5B97D0" w14:textId="23FDF7C2" w:rsidR="00EB243D" w:rsidRPr="00154588" w:rsidRDefault="00EB243D" w:rsidP="008C12B4">
            <w:pPr>
              <w:jc w:val="both"/>
              <w:rPr>
                <w:sz w:val="20"/>
                <w:szCs w:val="20"/>
              </w:rPr>
            </w:pPr>
            <w:r w:rsidRPr="00154588">
              <w:rPr>
                <w:sz w:val="20"/>
                <w:szCs w:val="20"/>
              </w:rPr>
              <w:t>Compatibil</w:t>
            </w:r>
          </w:p>
        </w:tc>
        <w:tc>
          <w:tcPr>
            <w:tcW w:w="3118" w:type="dxa"/>
          </w:tcPr>
          <w:p w14:paraId="16DBD790" w14:textId="77777777" w:rsidR="00EB243D" w:rsidRPr="00154588" w:rsidRDefault="00EB243D" w:rsidP="008C12B4">
            <w:pPr>
              <w:jc w:val="both"/>
              <w:rPr>
                <w:sz w:val="20"/>
                <w:szCs w:val="20"/>
              </w:rPr>
            </w:pPr>
          </w:p>
        </w:tc>
      </w:tr>
      <w:tr w:rsidR="00EB243D" w:rsidRPr="00154588" w14:paraId="5F78B401" w14:textId="77777777" w:rsidTr="00D15C1B">
        <w:trPr>
          <w:jc w:val="center"/>
        </w:trPr>
        <w:tc>
          <w:tcPr>
            <w:tcW w:w="4957" w:type="dxa"/>
            <w:gridSpan w:val="2"/>
          </w:tcPr>
          <w:p w14:paraId="0CAE604B" w14:textId="77777777" w:rsidR="00EB243D" w:rsidRPr="00154588" w:rsidRDefault="00EB243D" w:rsidP="008C12B4">
            <w:pPr>
              <w:jc w:val="both"/>
              <w:rPr>
                <w:sz w:val="20"/>
                <w:szCs w:val="20"/>
              </w:rPr>
            </w:pPr>
            <w:r w:rsidRPr="00154588">
              <w:rPr>
                <w:sz w:val="20"/>
                <w:szCs w:val="20"/>
              </w:rPr>
              <w:t>(2)   Contribuția fiecărei instituții se determină ca raport între valoarea pasivelor sale (cu excepția fondurilor proprii) minus depozitele acoperite, și valoarea pasivelor agregate (cu excepția fondurilor proprii), minus depozitele acoperite, ale tuturor instituțiilor autorizate pe teritoriul statului membru.</w:t>
            </w:r>
          </w:p>
          <w:p w14:paraId="1BDDE724" w14:textId="18B0D538" w:rsidR="00EB243D" w:rsidRPr="00154588" w:rsidRDefault="00EB243D" w:rsidP="008C12B4">
            <w:pPr>
              <w:jc w:val="both"/>
              <w:rPr>
                <w:sz w:val="20"/>
                <w:szCs w:val="20"/>
              </w:rPr>
            </w:pPr>
            <w:r w:rsidRPr="00154588">
              <w:rPr>
                <w:sz w:val="20"/>
                <w:szCs w:val="20"/>
              </w:rPr>
              <w:t>Aceste contribuții se ajustează proporțional cu profilul de risc al instituțiilor conform criteriilor adoptate în temeiul alineatului (7) din prezentul articol.</w:t>
            </w:r>
          </w:p>
        </w:tc>
        <w:tc>
          <w:tcPr>
            <w:tcW w:w="4819" w:type="dxa"/>
          </w:tcPr>
          <w:p w14:paraId="2B48DE1B" w14:textId="77777777" w:rsidR="00EB243D" w:rsidRPr="00154588" w:rsidRDefault="00EB243D" w:rsidP="008C12B4">
            <w:pPr>
              <w:ind w:firstLine="567"/>
              <w:jc w:val="both"/>
              <w:rPr>
                <w:sz w:val="20"/>
                <w:szCs w:val="20"/>
              </w:rPr>
            </w:pPr>
            <w:r w:rsidRPr="00154588">
              <w:rPr>
                <w:sz w:val="20"/>
                <w:szCs w:val="20"/>
              </w:rPr>
              <w:t>(2) Contribuţiile determinate potrivit alin.(1) sînt ajustate de Banca Naţională a Moldovei, în calitate de autoritate de rezoluţie, în funcţie de profilul de risc al fiecărei instituții de credit şi comunicate Fondului de garantare a depozitelor în sistemul bancar, în calitate de administrator al fondului de rezoluţie, în scopul colectării acestora.</w:t>
            </w:r>
          </w:p>
          <w:p w14:paraId="31BBE5B6" w14:textId="77777777" w:rsidR="00EB243D" w:rsidRPr="00154588" w:rsidRDefault="00EB243D" w:rsidP="008C12B4">
            <w:pPr>
              <w:jc w:val="both"/>
              <w:rPr>
                <w:sz w:val="20"/>
                <w:szCs w:val="20"/>
              </w:rPr>
            </w:pPr>
          </w:p>
        </w:tc>
        <w:tc>
          <w:tcPr>
            <w:tcW w:w="2552" w:type="dxa"/>
          </w:tcPr>
          <w:p w14:paraId="0AEE5016" w14:textId="6D4E7FA4" w:rsidR="00EB243D" w:rsidRPr="00154588" w:rsidRDefault="00EB243D" w:rsidP="008C12B4">
            <w:pPr>
              <w:jc w:val="both"/>
              <w:rPr>
                <w:sz w:val="20"/>
                <w:szCs w:val="20"/>
              </w:rPr>
            </w:pPr>
            <w:r w:rsidRPr="00154588">
              <w:rPr>
                <w:sz w:val="20"/>
                <w:szCs w:val="20"/>
              </w:rPr>
              <w:t>Compatibil</w:t>
            </w:r>
          </w:p>
        </w:tc>
        <w:tc>
          <w:tcPr>
            <w:tcW w:w="3118" w:type="dxa"/>
          </w:tcPr>
          <w:p w14:paraId="73832006" w14:textId="77777777" w:rsidR="00EB243D" w:rsidRPr="00154588" w:rsidRDefault="00EB243D" w:rsidP="008C12B4">
            <w:pPr>
              <w:jc w:val="both"/>
              <w:rPr>
                <w:sz w:val="20"/>
                <w:szCs w:val="20"/>
              </w:rPr>
            </w:pPr>
          </w:p>
        </w:tc>
      </w:tr>
      <w:tr w:rsidR="00EB243D" w:rsidRPr="00154588" w14:paraId="2481B504" w14:textId="77777777" w:rsidTr="00F01AF6">
        <w:trPr>
          <w:trHeight w:val="1840"/>
          <w:jc w:val="center"/>
        </w:trPr>
        <w:tc>
          <w:tcPr>
            <w:tcW w:w="4957" w:type="dxa"/>
            <w:gridSpan w:val="2"/>
          </w:tcPr>
          <w:p w14:paraId="0C044737" w14:textId="55C8A3F5" w:rsidR="00EB243D" w:rsidRPr="00154588" w:rsidRDefault="00EB243D" w:rsidP="008C12B4">
            <w:pPr>
              <w:jc w:val="both"/>
              <w:rPr>
                <w:sz w:val="20"/>
                <w:szCs w:val="20"/>
              </w:rPr>
            </w:pPr>
            <w:r w:rsidRPr="00154588">
              <w:rPr>
                <w:sz w:val="20"/>
                <w:szCs w:val="20"/>
              </w:rPr>
              <w:t>(3)   Mijloacele financiare disponibile pentru a fi luate în considerare în scopul atingerii nivelului-țintă menționat la articolul 102 pot include angajamente de plată irevocabile garantate în întregime prin active cu risc scăzut negrevate de drepturi ale unor terți, puse la dispoziția autorităților de rezoluție și destinate exclusiv utilizării în scopurile menționate la articolul 101 alineatul (1). Ponderea angajamentelor de plată irevocabile nu depășește 30 % din cuantumul total al contribuțiilor percepute în conformitate cu prezentul articol.</w:t>
            </w:r>
            <w:r w:rsidRPr="00154588">
              <w:t xml:space="preserve"> Î</w:t>
            </w:r>
            <w:r w:rsidRPr="00154588">
              <w:rPr>
                <w:sz w:val="20"/>
                <w:szCs w:val="20"/>
              </w:rPr>
              <w:t xml:space="preserve">n limita respectivă, autoritatea de rezoluție </w:t>
            </w:r>
            <w:r w:rsidRPr="00154588">
              <w:rPr>
                <w:sz w:val="20"/>
                <w:szCs w:val="20"/>
              </w:rPr>
              <w:lastRenderedPageBreak/>
              <w:t>stabilește anual ponderea angajamentelor de plată irevocabile în cuantumul total al contribuțiilor care urmează să fie colectate în conformitate cu prezentul articol.</w:t>
            </w:r>
          </w:p>
        </w:tc>
        <w:tc>
          <w:tcPr>
            <w:tcW w:w="4819" w:type="dxa"/>
          </w:tcPr>
          <w:p w14:paraId="2AEFBF3F" w14:textId="77777777" w:rsidR="00EB243D" w:rsidRPr="00154588" w:rsidRDefault="00EB243D" w:rsidP="008C12B4">
            <w:pPr>
              <w:ind w:firstLine="567"/>
              <w:jc w:val="both"/>
              <w:rPr>
                <w:sz w:val="20"/>
                <w:szCs w:val="20"/>
              </w:rPr>
            </w:pPr>
            <w:r w:rsidRPr="00154588">
              <w:rPr>
                <w:b/>
                <w:sz w:val="20"/>
                <w:szCs w:val="20"/>
              </w:rPr>
              <w:lastRenderedPageBreak/>
              <w:t>Articolul</w:t>
            </w:r>
            <w:r w:rsidRPr="00154588">
              <w:rPr>
                <w:sz w:val="20"/>
                <w:szCs w:val="20"/>
              </w:rPr>
              <w:t xml:space="preserve"> </w:t>
            </w:r>
            <w:r w:rsidRPr="00154588">
              <w:rPr>
                <w:b/>
                <w:sz w:val="20"/>
                <w:szCs w:val="20"/>
              </w:rPr>
              <w:t>298.</w:t>
            </w:r>
            <w:r w:rsidRPr="00154588">
              <w:rPr>
                <w:sz w:val="20"/>
                <w:szCs w:val="20"/>
              </w:rPr>
              <w:t xml:space="preserve"> – (1) Fondul de rezoluţie bancară se alimentează, în vederea asigurării unor resurse adecvate, din următoarele surse financiare:</w:t>
            </w:r>
          </w:p>
          <w:p w14:paraId="1D804F1A" w14:textId="0D46D08A" w:rsidR="00EB243D" w:rsidRPr="00154588" w:rsidRDefault="00EB243D" w:rsidP="008C12B4">
            <w:pPr>
              <w:jc w:val="both"/>
              <w:rPr>
                <w:sz w:val="20"/>
                <w:szCs w:val="20"/>
              </w:rPr>
            </w:pPr>
            <w:r w:rsidRPr="00154588">
              <w:rPr>
                <w:sz w:val="20"/>
                <w:szCs w:val="20"/>
              </w:rPr>
              <w:t xml:space="preserve">(4) Banca Naţională a Moldovei, în calitate de autoritate de rezoluţie, poate stabili ca un procent de maximum 30% din totalul contribuţiilor anuale ale instituțiilor de credit, colectate potrivit dispoziţiilor prezentei legi, să poată fi sub formă de angajamente de plată irevocabile, garantate în întregime prin active cu grad scăzut de risc, negrevate de sarcini în favoarea unor terţi, emise în favoarea Fondului de garantare a depozitelor în sistemul bancar şi </w:t>
            </w:r>
            <w:r w:rsidRPr="00154588">
              <w:rPr>
                <w:sz w:val="20"/>
                <w:szCs w:val="20"/>
              </w:rPr>
              <w:lastRenderedPageBreak/>
              <w:t xml:space="preserve">destinate exclusiv utilizării în scopurile prevăzute la art.301. </w:t>
            </w:r>
            <w:r w:rsidRPr="00154588">
              <w:t>Î</w:t>
            </w:r>
            <w:r w:rsidRPr="00154588">
              <w:rPr>
                <w:sz w:val="20"/>
                <w:szCs w:val="20"/>
              </w:rPr>
              <w:t>n limita menționată, autoritatea de rezoluție stabilește anual ponderea angajamentelor de plată irevocabile în cuantumul total al contribuțiilor care urmează să fie colectate pentru a fi luate în considerare în scopul atingerii nivelului-țintă prevăzut la art.303-305.</w:t>
            </w:r>
          </w:p>
        </w:tc>
        <w:tc>
          <w:tcPr>
            <w:tcW w:w="2552" w:type="dxa"/>
          </w:tcPr>
          <w:p w14:paraId="3E25B3E5" w14:textId="77839E6D" w:rsidR="00EB243D" w:rsidRPr="00154588" w:rsidRDefault="00EB243D" w:rsidP="008C12B4">
            <w:pPr>
              <w:jc w:val="both"/>
              <w:rPr>
                <w:sz w:val="20"/>
                <w:szCs w:val="20"/>
              </w:rPr>
            </w:pPr>
            <w:r w:rsidRPr="00154588">
              <w:rPr>
                <w:sz w:val="20"/>
                <w:szCs w:val="20"/>
              </w:rPr>
              <w:lastRenderedPageBreak/>
              <w:t>Compatibil</w:t>
            </w:r>
          </w:p>
        </w:tc>
        <w:tc>
          <w:tcPr>
            <w:tcW w:w="3118" w:type="dxa"/>
          </w:tcPr>
          <w:p w14:paraId="477330C2" w14:textId="77777777" w:rsidR="00EB243D" w:rsidRPr="00154588" w:rsidRDefault="00EB243D" w:rsidP="008C12B4">
            <w:pPr>
              <w:jc w:val="both"/>
              <w:rPr>
                <w:sz w:val="20"/>
                <w:szCs w:val="20"/>
              </w:rPr>
            </w:pPr>
          </w:p>
        </w:tc>
      </w:tr>
      <w:tr w:rsidR="00EB243D" w:rsidRPr="00154588" w14:paraId="645F6EFA" w14:textId="77777777" w:rsidTr="00D15C1B">
        <w:trPr>
          <w:jc w:val="center"/>
        </w:trPr>
        <w:tc>
          <w:tcPr>
            <w:tcW w:w="4957" w:type="dxa"/>
            <w:gridSpan w:val="2"/>
          </w:tcPr>
          <w:p w14:paraId="549FB55C" w14:textId="77777777" w:rsidR="00EB243D" w:rsidRPr="00154588" w:rsidRDefault="00EB243D" w:rsidP="008C12B4">
            <w:pPr>
              <w:jc w:val="both"/>
              <w:rPr>
                <w:sz w:val="20"/>
                <w:szCs w:val="20"/>
              </w:rPr>
            </w:pPr>
            <w:r w:rsidRPr="00154588">
              <w:rPr>
                <w:sz w:val="20"/>
                <w:szCs w:val="20"/>
              </w:rPr>
              <w:t>(3a) Autoritatea de rezoluție solicită angajamentele de plată irevocabile asumate în temeiul alineatului (3) de la prezentul articol atunci când este necesară utilizarea mecanismelor de finanțare a rezoluției în temeiul articolului 101.</w:t>
            </w:r>
          </w:p>
          <w:p w14:paraId="46634D82" w14:textId="77777777" w:rsidR="00EB243D" w:rsidRPr="00154588" w:rsidRDefault="00EB243D" w:rsidP="008C12B4">
            <w:pPr>
              <w:jc w:val="both"/>
              <w:rPr>
                <w:sz w:val="20"/>
                <w:szCs w:val="20"/>
              </w:rPr>
            </w:pPr>
            <w:r w:rsidRPr="00154588">
              <w:rPr>
                <w:sz w:val="20"/>
                <w:szCs w:val="20"/>
              </w:rPr>
              <w:t xml:space="preserve"> Atunci când o entitate încetează să mai intre sub incidența articolului 1, statele membre se asigură că autoritatea de rezoluție anulează angajamentele de plată irevocabile asumate în temeiul alineatului (3) de la prezentul articol, iar garanțiile reale care acoperă angajamentele respective sunt returnate. </w:t>
            </w:r>
          </w:p>
          <w:p w14:paraId="29052536" w14:textId="77777777" w:rsidR="00EB243D" w:rsidRPr="00154588" w:rsidRDefault="00EB243D" w:rsidP="008C12B4">
            <w:pPr>
              <w:jc w:val="both"/>
              <w:rPr>
                <w:sz w:val="20"/>
                <w:szCs w:val="20"/>
              </w:rPr>
            </w:pPr>
            <w:r w:rsidRPr="00154588">
              <w:rPr>
                <w:sz w:val="20"/>
                <w:szCs w:val="20"/>
              </w:rPr>
              <w:t>Având în vedere necesitatea de a menține sau de a restabili un nivel adecvat al mijloacelor financiare disponibile în cadrul mecanismelor de finanțare a rezoluției, statele membre se asigură că, în cazurile menționate la al doilea paragraf, autoritățile de rezoluție au competența, în cazul anulării angajamentelor de plată irevocabile, de a stabili un cuantum cu care entitatea menționată la al doilea paragraf contribuie la mecanismul de finanțare a rezoluției sub forma, în condițiile și în termenele stabilite în decizia autorității de rezoluție.</w:t>
            </w:r>
          </w:p>
          <w:p w14:paraId="20A2CC1B" w14:textId="64FF163E" w:rsidR="00EB243D" w:rsidRPr="00154588" w:rsidRDefault="00EB243D" w:rsidP="008C12B4">
            <w:pPr>
              <w:jc w:val="both"/>
              <w:rPr>
                <w:sz w:val="20"/>
                <w:szCs w:val="20"/>
              </w:rPr>
            </w:pPr>
            <w:r w:rsidRPr="00154588">
              <w:rPr>
                <w:sz w:val="20"/>
                <w:szCs w:val="20"/>
              </w:rPr>
              <w:t xml:space="preserve"> Contribuția menționată la al treilea paragraf nu depășește cuantumul angajamentelor de plată irevocabile anulate în temeiul celui de al doilea paragraf</w:t>
            </w:r>
          </w:p>
        </w:tc>
        <w:tc>
          <w:tcPr>
            <w:tcW w:w="4819" w:type="dxa"/>
          </w:tcPr>
          <w:p w14:paraId="594C0459" w14:textId="194A98B5" w:rsidR="00EB243D" w:rsidRPr="00154588" w:rsidRDefault="00EB243D" w:rsidP="008C12B4">
            <w:pPr>
              <w:jc w:val="both"/>
              <w:rPr>
                <w:bCs/>
                <w:sz w:val="20"/>
                <w:szCs w:val="20"/>
              </w:rPr>
            </w:pPr>
            <w:r w:rsidRPr="00154588">
              <w:rPr>
                <w:b/>
                <w:sz w:val="20"/>
                <w:szCs w:val="20"/>
              </w:rPr>
              <w:t>Articolul</w:t>
            </w:r>
            <w:r w:rsidRPr="00154588">
              <w:rPr>
                <w:sz w:val="20"/>
                <w:szCs w:val="20"/>
              </w:rPr>
              <w:t xml:space="preserve"> </w:t>
            </w:r>
            <w:r w:rsidRPr="00154588">
              <w:rPr>
                <w:b/>
                <w:sz w:val="20"/>
                <w:szCs w:val="20"/>
              </w:rPr>
              <w:t>298.</w:t>
            </w:r>
            <w:r w:rsidRPr="00154588">
              <w:rPr>
                <w:sz w:val="20"/>
                <w:szCs w:val="20"/>
              </w:rPr>
              <w:t xml:space="preserve"> - </w:t>
            </w:r>
            <w:r w:rsidRPr="00154588">
              <w:rPr>
                <w:bCs/>
                <w:sz w:val="20"/>
                <w:szCs w:val="20"/>
              </w:rPr>
              <w:t>(6) Banca Națională a Moldovei, în calitate de autoritate de rezoluție, solicită executarea angajamentelor de plată irevocabile asumate în temeiul alin.(4) atunci când este necesară utilizarea resurselor fondului de rezoluție bancară în condițiile art. 301.</w:t>
            </w:r>
          </w:p>
          <w:p w14:paraId="50994974" w14:textId="48441122" w:rsidR="00EB243D" w:rsidRPr="00154588" w:rsidRDefault="00AD78C5" w:rsidP="008C12B4">
            <w:pPr>
              <w:jc w:val="both"/>
              <w:rPr>
                <w:bCs/>
                <w:sz w:val="20"/>
                <w:szCs w:val="20"/>
              </w:rPr>
            </w:pPr>
            <w:r w:rsidRPr="00154588">
              <w:rPr>
                <w:bCs/>
                <w:sz w:val="20"/>
                <w:szCs w:val="20"/>
              </w:rPr>
              <w:t xml:space="preserve">          </w:t>
            </w:r>
            <w:r w:rsidR="00EB243D" w:rsidRPr="00154588">
              <w:rPr>
                <w:bCs/>
                <w:sz w:val="20"/>
                <w:szCs w:val="20"/>
              </w:rPr>
              <w:t>(7) În cazul în care o instituție de credit încetează să mai intre sub incidența prezentei legi, Banca Națională a Moldovei, în calitate de autoritate de rezoluție, dispune anularea angajamentelor de plată irevocabile asumate în temeiul alin.(4), iar garanțiile reale constituite pentru garantarea acestora se restituie instituției de credit, după caz.</w:t>
            </w:r>
          </w:p>
          <w:p w14:paraId="06BABAA1" w14:textId="0BEE290B" w:rsidR="00EB243D" w:rsidRPr="00154588" w:rsidRDefault="00AD78C5" w:rsidP="008C12B4">
            <w:pPr>
              <w:jc w:val="both"/>
              <w:rPr>
                <w:bCs/>
                <w:sz w:val="20"/>
                <w:szCs w:val="20"/>
                <w:lang w:val="ro-MD"/>
              </w:rPr>
            </w:pPr>
            <w:r w:rsidRPr="00154588">
              <w:rPr>
                <w:bCs/>
                <w:sz w:val="20"/>
                <w:szCs w:val="20"/>
              </w:rPr>
              <w:t xml:space="preserve">           </w:t>
            </w:r>
            <w:r w:rsidR="00EB243D" w:rsidRPr="00154588">
              <w:rPr>
                <w:bCs/>
                <w:sz w:val="20"/>
                <w:szCs w:val="20"/>
              </w:rPr>
              <w:t>(8)</w:t>
            </w:r>
            <w:r w:rsidR="00EB243D" w:rsidRPr="00154588">
              <w:rPr>
                <w:sz w:val="24"/>
                <w:szCs w:val="24"/>
                <w:lang w:val="ro-MD" w:eastAsia="ro-MD"/>
              </w:rPr>
              <w:t xml:space="preserve"> </w:t>
            </w:r>
            <w:r w:rsidR="00EB243D" w:rsidRPr="00154588">
              <w:rPr>
                <w:bCs/>
                <w:sz w:val="20"/>
                <w:szCs w:val="20"/>
                <w:lang w:val="ro-MD"/>
              </w:rPr>
              <w:t>În situațiile prevăzute la alin. (</w:t>
            </w:r>
            <w:r w:rsidR="00B840E4" w:rsidRPr="00154588">
              <w:rPr>
                <w:bCs/>
                <w:sz w:val="20"/>
                <w:szCs w:val="20"/>
                <w:lang w:val="ro-MD"/>
              </w:rPr>
              <w:t>7</w:t>
            </w:r>
            <w:r w:rsidR="00EB243D" w:rsidRPr="00154588">
              <w:rPr>
                <w:bCs/>
                <w:sz w:val="20"/>
                <w:szCs w:val="20"/>
                <w:lang w:val="ro-MD"/>
              </w:rPr>
              <w:t>), în vederea menținerii sau restabilirii nivelului adecvat al resurselor financiare ale fondului de rezoluție bancară, Banca Națională a Moldovei are competența de a stabili obligația instituției de credit de a contribui la fondul de rezoluție bancară cu o sumă echivalentă angajamentelor de plată irevocabile anulate, în condițiile, forma și termenele stabilite prin decizia acesteia. Contribuția prevăzută în prezentul alineat nu poate depăși valoarea angajamentelor de plată irevocabile anulate.</w:t>
            </w:r>
          </w:p>
          <w:p w14:paraId="207CE82D" w14:textId="44965781" w:rsidR="00EB243D" w:rsidRPr="00154588" w:rsidRDefault="00EB243D" w:rsidP="008C12B4">
            <w:pPr>
              <w:jc w:val="both"/>
              <w:rPr>
                <w:bCs/>
                <w:sz w:val="20"/>
                <w:szCs w:val="20"/>
              </w:rPr>
            </w:pPr>
          </w:p>
        </w:tc>
        <w:tc>
          <w:tcPr>
            <w:tcW w:w="2552" w:type="dxa"/>
          </w:tcPr>
          <w:p w14:paraId="72E3BAF2" w14:textId="6C2EDAA9" w:rsidR="00EB243D" w:rsidRPr="00154588" w:rsidRDefault="00EB243D" w:rsidP="008C12B4">
            <w:pPr>
              <w:jc w:val="both"/>
              <w:rPr>
                <w:sz w:val="20"/>
                <w:szCs w:val="20"/>
              </w:rPr>
            </w:pPr>
            <w:r w:rsidRPr="00154588">
              <w:rPr>
                <w:sz w:val="20"/>
                <w:szCs w:val="16"/>
              </w:rPr>
              <w:t>Compatibil</w:t>
            </w:r>
          </w:p>
        </w:tc>
        <w:tc>
          <w:tcPr>
            <w:tcW w:w="3118" w:type="dxa"/>
          </w:tcPr>
          <w:p w14:paraId="2587C363" w14:textId="77777777" w:rsidR="00EB243D" w:rsidRPr="00154588" w:rsidRDefault="00EB243D" w:rsidP="008C12B4">
            <w:pPr>
              <w:jc w:val="both"/>
              <w:rPr>
                <w:sz w:val="20"/>
                <w:szCs w:val="20"/>
              </w:rPr>
            </w:pPr>
          </w:p>
        </w:tc>
      </w:tr>
      <w:tr w:rsidR="00EB243D" w:rsidRPr="00154588" w14:paraId="5C16D5C9" w14:textId="77777777" w:rsidTr="00D15C1B">
        <w:trPr>
          <w:jc w:val="center"/>
        </w:trPr>
        <w:tc>
          <w:tcPr>
            <w:tcW w:w="4957" w:type="dxa"/>
            <w:gridSpan w:val="2"/>
          </w:tcPr>
          <w:p w14:paraId="5AF474AC" w14:textId="77777777" w:rsidR="00EB243D" w:rsidRPr="00154588" w:rsidRDefault="00EB243D" w:rsidP="008C12B4">
            <w:pPr>
              <w:jc w:val="both"/>
              <w:rPr>
                <w:sz w:val="20"/>
                <w:szCs w:val="20"/>
              </w:rPr>
            </w:pPr>
            <w:r w:rsidRPr="00154588">
              <w:rPr>
                <w:sz w:val="20"/>
                <w:szCs w:val="20"/>
              </w:rPr>
              <w:t>(4)   Statele membre se asigură că obligația de plată a contribuțiilor prevăzute la prezentul articol este executorie în temeiul dreptului intern, iar contribuțiile datorate sunt plătite integral.</w:t>
            </w:r>
          </w:p>
          <w:p w14:paraId="1E78E7AA" w14:textId="77777777" w:rsidR="00EB243D" w:rsidRPr="00154588" w:rsidRDefault="00EB243D" w:rsidP="008C12B4">
            <w:pPr>
              <w:jc w:val="both"/>
              <w:rPr>
                <w:sz w:val="20"/>
                <w:szCs w:val="20"/>
              </w:rPr>
            </w:pPr>
          </w:p>
          <w:p w14:paraId="43FDE8E7" w14:textId="23661679" w:rsidR="00EB243D" w:rsidRPr="00154588" w:rsidRDefault="00EB243D" w:rsidP="008C12B4">
            <w:pPr>
              <w:jc w:val="both"/>
              <w:rPr>
                <w:sz w:val="20"/>
                <w:szCs w:val="20"/>
              </w:rPr>
            </w:pPr>
            <w:r w:rsidRPr="00154588">
              <w:rPr>
                <w:sz w:val="20"/>
                <w:szCs w:val="20"/>
              </w:rPr>
              <w:t xml:space="preserve">Statele membre stabilesc obligații adecvate în materie de reglementare contabilizare, raportare și alte obligații pentru a se asigura de plata integrală a contribuțiilor datorate. Statele membre asigură măsuri vizând verificarea în mod corespunzător a achitării corecte a contribuțiilor. Statele membre asigură </w:t>
            </w:r>
            <w:r w:rsidRPr="00154588">
              <w:rPr>
                <w:sz w:val="20"/>
                <w:szCs w:val="20"/>
              </w:rPr>
              <w:lastRenderedPageBreak/>
              <w:t>măsuri vizând prevenirea evaziunii, fraudei si abuzului.</w:t>
            </w:r>
          </w:p>
        </w:tc>
        <w:tc>
          <w:tcPr>
            <w:tcW w:w="4819" w:type="dxa"/>
          </w:tcPr>
          <w:p w14:paraId="37C9229A" w14:textId="77777777" w:rsidR="00EB243D" w:rsidRPr="00154588" w:rsidRDefault="00EB243D" w:rsidP="008C12B4">
            <w:pPr>
              <w:ind w:firstLine="567"/>
              <w:jc w:val="both"/>
              <w:rPr>
                <w:sz w:val="20"/>
                <w:szCs w:val="20"/>
              </w:rPr>
            </w:pPr>
            <w:r w:rsidRPr="00154588">
              <w:rPr>
                <w:b/>
                <w:sz w:val="20"/>
                <w:szCs w:val="20"/>
              </w:rPr>
              <w:lastRenderedPageBreak/>
              <w:t>Articolul</w:t>
            </w:r>
            <w:r w:rsidRPr="00154588">
              <w:rPr>
                <w:sz w:val="20"/>
                <w:szCs w:val="20"/>
              </w:rPr>
              <w:t xml:space="preserve"> </w:t>
            </w:r>
            <w:r w:rsidRPr="00154588">
              <w:rPr>
                <w:b/>
                <w:sz w:val="20"/>
                <w:szCs w:val="20"/>
              </w:rPr>
              <w:t>307.</w:t>
            </w:r>
            <w:r w:rsidRPr="00154588">
              <w:rPr>
                <w:sz w:val="20"/>
                <w:szCs w:val="20"/>
              </w:rPr>
              <w:t xml:space="preserve"> (1) </w:t>
            </w:r>
            <w:r w:rsidRPr="00154588">
              <w:rPr>
                <w:sz w:val="20"/>
                <w:szCs w:val="20"/>
                <w:lang w:eastAsia="ro-MD"/>
              </w:rPr>
              <w:t xml:space="preserve">La solicitarea </w:t>
            </w:r>
            <w:r w:rsidRPr="00154588">
              <w:rPr>
                <w:sz w:val="20"/>
                <w:szCs w:val="20"/>
              </w:rPr>
              <w:t xml:space="preserve">Băncii Naţionale a Moldovei, în calitate de autoritate de rezoluţie, </w:t>
            </w:r>
            <w:r w:rsidRPr="00154588">
              <w:rPr>
                <w:sz w:val="20"/>
                <w:szCs w:val="20"/>
                <w:lang w:eastAsia="ro-MD"/>
              </w:rPr>
              <w:t>instituțiile de credit şi Fondul de garantare a depozitelor în sistemul bancar furnizează acesteia informaţiile necesare pentru determinarea contribuţiilor anuale</w:t>
            </w:r>
            <w:r w:rsidRPr="00154588">
              <w:rPr>
                <w:sz w:val="20"/>
                <w:szCs w:val="20"/>
              </w:rPr>
              <w:t>.</w:t>
            </w:r>
          </w:p>
          <w:p w14:paraId="3A414F21" w14:textId="77777777" w:rsidR="00EB243D" w:rsidRPr="00154588" w:rsidRDefault="00EB243D" w:rsidP="008C12B4">
            <w:pPr>
              <w:ind w:firstLine="567"/>
              <w:jc w:val="both"/>
              <w:rPr>
                <w:sz w:val="20"/>
                <w:szCs w:val="20"/>
              </w:rPr>
            </w:pPr>
            <w:r w:rsidRPr="00154588">
              <w:rPr>
                <w:sz w:val="20"/>
                <w:szCs w:val="20"/>
              </w:rPr>
              <w:t xml:space="preserve">(2) Dacă o instituție de credit nu plăteşte contribuţiile potrivit prezentei legi, Fondul de garantare a depozitelor în sistemul bancar va notifica de îndată acest lucru Băncii Naţionale a Moldovei, în </w:t>
            </w:r>
            <w:r w:rsidRPr="00154588">
              <w:rPr>
                <w:sz w:val="20"/>
                <w:szCs w:val="20"/>
              </w:rPr>
              <w:lastRenderedPageBreak/>
              <w:t>calitate de autoritate de rezoluţie, în vederea luării măsurilor necesare.</w:t>
            </w:r>
          </w:p>
          <w:p w14:paraId="76856F04" w14:textId="77777777" w:rsidR="00EB243D" w:rsidRPr="00154588" w:rsidRDefault="00EB243D" w:rsidP="008C12B4">
            <w:pPr>
              <w:ind w:firstLine="567"/>
              <w:jc w:val="both"/>
              <w:rPr>
                <w:sz w:val="20"/>
                <w:szCs w:val="20"/>
              </w:rPr>
            </w:pPr>
            <w:r w:rsidRPr="00154588">
              <w:rPr>
                <w:sz w:val="20"/>
                <w:szCs w:val="20"/>
              </w:rPr>
              <w:t>(3) În cazul prevăzut la alin.(2), Banca Naţională a Moldovei poate debita contul curent al instituției de credit în cauză cu sumele datorate.</w:t>
            </w:r>
          </w:p>
          <w:p w14:paraId="7800D7F9" w14:textId="77777777" w:rsidR="00EB243D" w:rsidRPr="00154588" w:rsidRDefault="00EB243D" w:rsidP="008C12B4">
            <w:pPr>
              <w:ind w:firstLine="567"/>
              <w:jc w:val="both"/>
              <w:rPr>
                <w:sz w:val="20"/>
                <w:szCs w:val="20"/>
              </w:rPr>
            </w:pPr>
            <w:r w:rsidRPr="00154588">
              <w:rPr>
                <w:sz w:val="20"/>
                <w:szCs w:val="20"/>
              </w:rPr>
              <w:t>(4) Aplicarea de sancţiuni unei instituții de credit pentru nerespectarea dispoziţiilor art.296 -313 nu conduce la exceptarea instituției de credit de la plata obligaţiilor corespunzătoare pentru exerciţiul financiar în cursul căruia i s-au aplicat aceste sancţiuni.</w:t>
            </w:r>
          </w:p>
          <w:p w14:paraId="78308A90" w14:textId="77777777" w:rsidR="00EB243D" w:rsidRPr="00154588" w:rsidRDefault="00EB243D" w:rsidP="008C12B4">
            <w:pPr>
              <w:jc w:val="both"/>
              <w:rPr>
                <w:sz w:val="20"/>
                <w:szCs w:val="20"/>
              </w:rPr>
            </w:pPr>
          </w:p>
        </w:tc>
        <w:tc>
          <w:tcPr>
            <w:tcW w:w="2552" w:type="dxa"/>
          </w:tcPr>
          <w:p w14:paraId="4416A725" w14:textId="0F61B283" w:rsidR="00EB243D" w:rsidRPr="00154588" w:rsidRDefault="00EB243D" w:rsidP="008C12B4">
            <w:pPr>
              <w:jc w:val="both"/>
              <w:rPr>
                <w:sz w:val="20"/>
                <w:szCs w:val="20"/>
              </w:rPr>
            </w:pPr>
            <w:r w:rsidRPr="00154588">
              <w:rPr>
                <w:sz w:val="20"/>
                <w:szCs w:val="20"/>
              </w:rPr>
              <w:lastRenderedPageBreak/>
              <w:t>Compatibil</w:t>
            </w:r>
          </w:p>
        </w:tc>
        <w:tc>
          <w:tcPr>
            <w:tcW w:w="3118" w:type="dxa"/>
          </w:tcPr>
          <w:p w14:paraId="34172077" w14:textId="77777777" w:rsidR="00EB243D" w:rsidRPr="00154588" w:rsidRDefault="00EB243D" w:rsidP="008C12B4">
            <w:pPr>
              <w:jc w:val="both"/>
              <w:rPr>
                <w:sz w:val="20"/>
                <w:szCs w:val="20"/>
              </w:rPr>
            </w:pPr>
          </w:p>
        </w:tc>
      </w:tr>
      <w:tr w:rsidR="00EB243D" w:rsidRPr="00154588" w14:paraId="6C3972B1" w14:textId="77777777" w:rsidTr="00D15C1B">
        <w:trPr>
          <w:jc w:val="center"/>
        </w:trPr>
        <w:tc>
          <w:tcPr>
            <w:tcW w:w="4957" w:type="dxa"/>
            <w:gridSpan w:val="2"/>
          </w:tcPr>
          <w:p w14:paraId="2650EDFD" w14:textId="1191F5BA" w:rsidR="00EB243D" w:rsidRPr="00154588" w:rsidRDefault="00EB243D" w:rsidP="008C12B4">
            <w:pPr>
              <w:jc w:val="both"/>
              <w:rPr>
                <w:sz w:val="20"/>
                <w:szCs w:val="20"/>
              </w:rPr>
            </w:pPr>
            <w:r w:rsidRPr="00154588">
              <w:rPr>
                <w:sz w:val="20"/>
                <w:szCs w:val="20"/>
              </w:rPr>
              <w:t>(5)   Sumele percepute în temeiul prezentului articol sunt utilizate exclusiv în scopurile menționate la articolul 101 alineatul (1).</w:t>
            </w:r>
          </w:p>
        </w:tc>
        <w:tc>
          <w:tcPr>
            <w:tcW w:w="4819" w:type="dxa"/>
          </w:tcPr>
          <w:p w14:paraId="0A449053" w14:textId="77777777" w:rsidR="00EB243D" w:rsidRPr="00154588" w:rsidRDefault="00EB243D"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308.</w:t>
            </w:r>
            <w:r w:rsidRPr="00154588">
              <w:rPr>
                <w:sz w:val="20"/>
                <w:szCs w:val="20"/>
              </w:rPr>
              <w:t xml:space="preserve"> – Resursele financiare colectate în baza prezentei legi pot fi utilizate exclusiv pentru scopurile prevăzute la art.301. Veniturile din investirea resurselor fondului de rezoluţie bancară pot fi utilizate potrivit legislaţiei care reglementează funcţionarea Fondului de garantare a depozitelor în sistemul bancar</w:t>
            </w:r>
            <w:r w:rsidRPr="00154588">
              <w:rPr>
                <w:sz w:val="20"/>
                <w:szCs w:val="20"/>
                <w:lang w:eastAsia="ro-MD"/>
              </w:rPr>
              <w:t>, precum şi pentru acoperirea cheltuielilor operaţionale ale Fondului de garantare a depozitelor în sistemul bancar, potrivit bugetului aprobat, conform art.6 alin.(4)-(6) din Legea nr.160/2023 cu privire la garantarea depozitelor în bănci</w:t>
            </w:r>
            <w:r w:rsidRPr="00154588">
              <w:rPr>
                <w:sz w:val="20"/>
                <w:szCs w:val="20"/>
              </w:rPr>
              <w:t>.</w:t>
            </w:r>
          </w:p>
          <w:p w14:paraId="2A6921F2" w14:textId="77777777" w:rsidR="00EB243D" w:rsidRPr="00154588" w:rsidRDefault="00EB243D" w:rsidP="008C12B4">
            <w:pPr>
              <w:jc w:val="both"/>
              <w:rPr>
                <w:sz w:val="20"/>
                <w:szCs w:val="20"/>
              </w:rPr>
            </w:pPr>
          </w:p>
        </w:tc>
        <w:tc>
          <w:tcPr>
            <w:tcW w:w="2552" w:type="dxa"/>
          </w:tcPr>
          <w:p w14:paraId="4B6B9B7F" w14:textId="320A0942" w:rsidR="00EB243D" w:rsidRPr="00154588" w:rsidRDefault="00EB243D" w:rsidP="008C12B4">
            <w:pPr>
              <w:jc w:val="both"/>
              <w:rPr>
                <w:sz w:val="20"/>
                <w:szCs w:val="20"/>
              </w:rPr>
            </w:pPr>
            <w:r w:rsidRPr="00154588">
              <w:rPr>
                <w:sz w:val="20"/>
                <w:szCs w:val="20"/>
              </w:rPr>
              <w:t>Compatibil</w:t>
            </w:r>
          </w:p>
        </w:tc>
        <w:tc>
          <w:tcPr>
            <w:tcW w:w="3118" w:type="dxa"/>
          </w:tcPr>
          <w:p w14:paraId="7A393C5D" w14:textId="77777777" w:rsidR="00EB243D" w:rsidRPr="00154588" w:rsidRDefault="00EB243D" w:rsidP="008C12B4">
            <w:pPr>
              <w:jc w:val="both"/>
              <w:rPr>
                <w:sz w:val="20"/>
                <w:szCs w:val="20"/>
              </w:rPr>
            </w:pPr>
          </w:p>
        </w:tc>
      </w:tr>
      <w:tr w:rsidR="00EB243D" w:rsidRPr="00154588" w14:paraId="0BA486DF" w14:textId="77777777" w:rsidTr="00D15C1B">
        <w:trPr>
          <w:jc w:val="center"/>
        </w:trPr>
        <w:tc>
          <w:tcPr>
            <w:tcW w:w="4957" w:type="dxa"/>
            <w:gridSpan w:val="2"/>
          </w:tcPr>
          <w:p w14:paraId="5C1E2E99" w14:textId="608F5A3A" w:rsidR="00EB243D" w:rsidRPr="00154588" w:rsidRDefault="00EB243D" w:rsidP="008C12B4">
            <w:pPr>
              <w:jc w:val="both"/>
              <w:rPr>
                <w:sz w:val="20"/>
                <w:szCs w:val="20"/>
              </w:rPr>
            </w:pPr>
            <w:r w:rsidRPr="00154588">
              <w:rPr>
                <w:sz w:val="20"/>
                <w:szCs w:val="20"/>
              </w:rPr>
              <w:t>(6)   Sub rezerva articolelor 37, 38, 40, 41 și 42, sumele primite din partea instituției aflate în rezoluție sau a instituției-punte, dobânzile și alte venituri generate de investiții, precum și toate celelalte venituri pot fi afectate mecanismelor de finanțare.</w:t>
            </w:r>
          </w:p>
        </w:tc>
        <w:tc>
          <w:tcPr>
            <w:tcW w:w="4819" w:type="dxa"/>
          </w:tcPr>
          <w:p w14:paraId="33EFC532" w14:textId="77777777" w:rsidR="00EB243D" w:rsidRPr="00154588" w:rsidRDefault="00EB243D"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309.</w:t>
            </w:r>
            <w:r w:rsidRPr="00154588">
              <w:rPr>
                <w:sz w:val="20"/>
                <w:szCs w:val="20"/>
              </w:rPr>
              <w:t xml:space="preserve"> – Cu respectarea prevederilor prezentei legi, sumele primite de la instituția supusă rezoluţiei sau de la instituția-punte, dobînzile şi alte venituri generate de investiţii, precum şi toate celelalte venituri obţinute din administrarea fondului de rezoluţie bancară sînt afectate alimentării fondului de rezoluţie bancară.</w:t>
            </w:r>
          </w:p>
          <w:p w14:paraId="343D2AAF" w14:textId="77777777" w:rsidR="00EB243D" w:rsidRPr="00154588" w:rsidRDefault="00EB243D" w:rsidP="008C12B4">
            <w:pPr>
              <w:jc w:val="both"/>
              <w:rPr>
                <w:sz w:val="20"/>
                <w:szCs w:val="20"/>
              </w:rPr>
            </w:pPr>
          </w:p>
        </w:tc>
        <w:tc>
          <w:tcPr>
            <w:tcW w:w="2552" w:type="dxa"/>
          </w:tcPr>
          <w:p w14:paraId="450C2D7E" w14:textId="4611EF42" w:rsidR="00EB243D" w:rsidRPr="00154588" w:rsidRDefault="00EB243D" w:rsidP="008C12B4">
            <w:pPr>
              <w:jc w:val="both"/>
              <w:rPr>
                <w:sz w:val="20"/>
                <w:szCs w:val="20"/>
              </w:rPr>
            </w:pPr>
            <w:r w:rsidRPr="00154588">
              <w:rPr>
                <w:sz w:val="20"/>
                <w:szCs w:val="20"/>
              </w:rPr>
              <w:t>Compatibil</w:t>
            </w:r>
          </w:p>
        </w:tc>
        <w:tc>
          <w:tcPr>
            <w:tcW w:w="3118" w:type="dxa"/>
          </w:tcPr>
          <w:p w14:paraId="7F3A1BA7" w14:textId="77777777" w:rsidR="00EB243D" w:rsidRPr="00154588" w:rsidRDefault="00EB243D" w:rsidP="008C12B4">
            <w:pPr>
              <w:jc w:val="both"/>
              <w:rPr>
                <w:sz w:val="20"/>
                <w:szCs w:val="20"/>
              </w:rPr>
            </w:pPr>
          </w:p>
        </w:tc>
      </w:tr>
      <w:tr w:rsidR="00EB243D" w:rsidRPr="00154588" w14:paraId="36C46BD7" w14:textId="77777777" w:rsidTr="00D15C1B">
        <w:trPr>
          <w:jc w:val="center"/>
        </w:trPr>
        <w:tc>
          <w:tcPr>
            <w:tcW w:w="4957" w:type="dxa"/>
            <w:gridSpan w:val="2"/>
          </w:tcPr>
          <w:p w14:paraId="1A4CB1B4" w14:textId="77777777" w:rsidR="00EB243D" w:rsidRPr="00154588" w:rsidRDefault="00EB243D" w:rsidP="008C12B4">
            <w:pPr>
              <w:jc w:val="both"/>
              <w:rPr>
                <w:sz w:val="20"/>
                <w:szCs w:val="20"/>
              </w:rPr>
            </w:pPr>
            <w:r w:rsidRPr="00154588">
              <w:rPr>
                <w:sz w:val="20"/>
                <w:szCs w:val="20"/>
              </w:rPr>
              <w:t>(7)   Se conferă Comisiei competența de a adopta acte delegate în conformitate cu articolul 115, pentru a specifica noțiunea de ajustare a contribuțiilor proporțional cu profilul de risc al instituțiilor, menționată la alineatul (2) de la prezentul articol, ținând seama de toate elementele următoare:</w:t>
            </w:r>
          </w:p>
          <w:p w14:paraId="470ADD37" w14:textId="77777777" w:rsidR="00EB243D" w:rsidRPr="00154588" w:rsidRDefault="00EB243D" w:rsidP="008C12B4">
            <w:pPr>
              <w:jc w:val="both"/>
              <w:rPr>
                <w:sz w:val="20"/>
                <w:szCs w:val="20"/>
              </w:rPr>
            </w:pPr>
          </w:p>
          <w:p w14:paraId="31623B8B" w14:textId="2A34CF8B" w:rsidR="00EB243D" w:rsidRPr="00154588" w:rsidRDefault="00EB243D" w:rsidP="008C12B4">
            <w:pPr>
              <w:jc w:val="both"/>
              <w:rPr>
                <w:sz w:val="20"/>
                <w:szCs w:val="20"/>
              </w:rPr>
            </w:pPr>
            <w:r w:rsidRPr="00154588">
              <w:rPr>
                <w:sz w:val="20"/>
                <w:szCs w:val="20"/>
              </w:rPr>
              <w:t>(a) expunerea la risc a instituției, inclusiv importanța activităților sale de tranzacționare, expunerile sale extrabilanțiere și gradul său de îndatorare;</w:t>
            </w:r>
          </w:p>
          <w:p w14:paraId="209318D7" w14:textId="77777777" w:rsidR="00EB243D" w:rsidRPr="00154588" w:rsidRDefault="00EB243D" w:rsidP="008C12B4">
            <w:pPr>
              <w:jc w:val="both"/>
              <w:rPr>
                <w:sz w:val="20"/>
                <w:szCs w:val="20"/>
              </w:rPr>
            </w:pPr>
          </w:p>
          <w:p w14:paraId="27CDF471" w14:textId="77777777" w:rsidR="00EB243D" w:rsidRPr="00154588" w:rsidRDefault="00EB243D" w:rsidP="008C12B4">
            <w:pPr>
              <w:jc w:val="both"/>
              <w:rPr>
                <w:sz w:val="20"/>
                <w:szCs w:val="20"/>
              </w:rPr>
            </w:pPr>
          </w:p>
          <w:p w14:paraId="3EA841F5" w14:textId="58366902" w:rsidR="00EB243D" w:rsidRPr="00154588" w:rsidRDefault="00EB243D" w:rsidP="008C12B4">
            <w:pPr>
              <w:jc w:val="both"/>
              <w:rPr>
                <w:sz w:val="20"/>
                <w:szCs w:val="20"/>
              </w:rPr>
            </w:pPr>
            <w:r w:rsidRPr="00154588">
              <w:rPr>
                <w:sz w:val="20"/>
                <w:szCs w:val="20"/>
              </w:rPr>
              <w:lastRenderedPageBreak/>
              <w:t>(b) stabilitatea și diversitatea surselor de finanțare ale societății și ale activelor foarte lichide, negrevate;</w:t>
            </w:r>
          </w:p>
          <w:p w14:paraId="57F7321D" w14:textId="77777777" w:rsidR="00EB243D" w:rsidRPr="00154588" w:rsidRDefault="00EB243D" w:rsidP="008C12B4">
            <w:pPr>
              <w:jc w:val="both"/>
              <w:rPr>
                <w:sz w:val="20"/>
                <w:szCs w:val="20"/>
              </w:rPr>
            </w:pPr>
          </w:p>
          <w:p w14:paraId="170CDB9C" w14:textId="303E119C" w:rsidR="00EB243D" w:rsidRPr="00154588" w:rsidRDefault="00EB243D" w:rsidP="008C12B4">
            <w:pPr>
              <w:jc w:val="both"/>
              <w:rPr>
                <w:sz w:val="20"/>
                <w:szCs w:val="20"/>
              </w:rPr>
            </w:pPr>
            <w:r w:rsidRPr="00154588">
              <w:rPr>
                <w:sz w:val="20"/>
                <w:szCs w:val="20"/>
              </w:rPr>
              <w:t>(c) situația financiară a instituției;</w:t>
            </w:r>
          </w:p>
          <w:p w14:paraId="6086D8F5" w14:textId="77777777" w:rsidR="00EB243D" w:rsidRPr="00154588" w:rsidRDefault="00EB243D" w:rsidP="008C12B4">
            <w:pPr>
              <w:jc w:val="both"/>
              <w:rPr>
                <w:sz w:val="20"/>
                <w:szCs w:val="20"/>
              </w:rPr>
            </w:pPr>
          </w:p>
          <w:p w14:paraId="7270EBA3" w14:textId="27CA4D86" w:rsidR="00EB243D" w:rsidRPr="00154588" w:rsidRDefault="00EB243D" w:rsidP="008C12B4">
            <w:pPr>
              <w:jc w:val="both"/>
              <w:rPr>
                <w:sz w:val="20"/>
                <w:szCs w:val="20"/>
              </w:rPr>
            </w:pPr>
            <w:r w:rsidRPr="00154588">
              <w:rPr>
                <w:sz w:val="20"/>
                <w:szCs w:val="20"/>
              </w:rPr>
              <w:t>(d) probabilitatea ca instituția să fie supusă unei proceduri de rezoluție;</w:t>
            </w:r>
          </w:p>
          <w:p w14:paraId="710CCB24" w14:textId="77777777" w:rsidR="00EB243D" w:rsidRPr="00154588" w:rsidRDefault="00EB243D" w:rsidP="008C12B4">
            <w:pPr>
              <w:jc w:val="both"/>
              <w:rPr>
                <w:sz w:val="20"/>
                <w:szCs w:val="20"/>
              </w:rPr>
            </w:pPr>
          </w:p>
          <w:p w14:paraId="53F9C38F" w14:textId="040EE09E" w:rsidR="00EB243D" w:rsidRPr="00154588" w:rsidRDefault="00EB243D" w:rsidP="008C12B4">
            <w:pPr>
              <w:jc w:val="both"/>
              <w:rPr>
                <w:sz w:val="20"/>
                <w:szCs w:val="20"/>
              </w:rPr>
            </w:pPr>
            <w:r w:rsidRPr="00154588">
              <w:rPr>
                <w:sz w:val="20"/>
                <w:szCs w:val="20"/>
              </w:rPr>
              <w:t>(e) măsura în care instituția a beneficiat în trecut de sprijin financiar public extraordinar;</w:t>
            </w:r>
          </w:p>
          <w:p w14:paraId="2FD031E5" w14:textId="77777777" w:rsidR="00EB243D" w:rsidRPr="00154588" w:rsidRDefault="00EB243D" w:rsidP="008C12B4">
            <w:pPr>
              <w:jc w:val="both"/>
              <w:rPr>
                <w:sz w:val="20"/>
                <w:szCs w:val="20"/>
              </w:rPr>
            </w:pPr>
          </w:p>
          <w:p w14:paraId="380DF515" w14:textId="77777777" w:rsidR="00EB243D" w:rsidRPr="00154588" w:rsidRDefault="00EB243D" w:rsidP="008C12B4">
            <w:pPr>
              <w:jc w:val="both"/>
              <w:rPr>
                <w:sz w:val="20"/>
                <w:szCs w:val="20"/>
              </w:rPr>
            </w:pPr>
          </w:p>
          <w:p w14:paraId="49D15598" w14:textId="3D65C3A2" w:rsidR="00EB243D" w:rsidRPr="00154588" w:rsidRDefault="00EB243D" w:rsidP="008C12B4">
            <w:pPr>
              <w:jc w:val="both"/>
              <w:rPr>
                <w:sz w:val="20"/>
                <w:szCs w:val="20"/>
              </w:rPr>
            </w:pPr>
            <w:r w:rsidRPr="00154588">
              <w:rPr>
                <w:sz w:val="20"/>
                <w:szCs w:val="20"/>
              </w:rPr>
              <w:t>(f) complexitatea structurii instituției și posibilitățile de soluționare ale acesteia;</w:t>
            </w:r>
          </w:p>
          <w:p w14:paraId="1C522E08" w14:textId="77777777" w:rsidR="00EB243D" w:rsidRPr="00154588" w:rsidRDefault="00EB243D" w:rsidP="008C12B4">
            <w:pPr>
              <w:jc w:val="both"/>
              <w:rPr>
                <w:sz w:val="20"/>
                <w:szCs w:val="20"/>
              </w:rPr>
            </w:pPr>
          </w:p>
          <w:p w14:paraId="4CCD734E" w14:textId="17BCB483" w:rsidR="00EB243D" w:rsidRPr="00154588" w:rsidRDefault="00EB243D" w:rsidP="008C12B4">
            <w:pPr>
              <w:jc w:val="both"/>
              <w:rPr>
                <w:sz w:val="20"/>
                <w:szCs w:val="20"/>
              </w:rPr>
            </w:pPr>
            <w:r w:rsidRPr="00154588">
              <w:rPr>
                <w:sz w:val="20"/>
                <w:szCs w:val="20"/>
              </w:rPr>
              <w:t>(g) importanța instituției pentru stabilitatea sistemului financiar sau a economiei unuia sau mai multor state membre sau a Uniunii;</w:t>
            </w:r>
          </w:p>
          <w:p w14:paraId="00CD511B" w14:textId="77777777" w:rsidR="00EB243D" w:rsidRPr="00154588" w:rsidRDefault="00EB243D" w:rsidP="008C12B4">
            <w:pPr>
              <w:jc w:val="both"/>
              <w:rPr>
                <w:sz w:val="20"/>
                <w:szCs w:val="20"/>
              </w:rPr>
            </w:pPr>
          </w:p>
          <w:p w14:paraId="6A0F3F3D" w14:textId="77777777" w:rsidR="00EB243D" w:rsidRPr="00154588" w:rsidRDefault="00EB243D" w:rsidP="008C12B4">
            <w:pPr>
              <w:jc w:val="both"/>
              <w:rPr>
                <w:sz w:val="20"/>
                <w:szCs w:val="20"/>
              </w:rPr>
            </w:pPr>
          </w:p>
          <w:p w14:paraId="552921BB" w14:textId="4265B4BE" w:rsidR="00EB243D" w:rsidRPr="00154588" w:rsidRDefault="00EB243D" w:rsidP="008C12B4">
            <w:pPr>
              <w:jc w:val="both"/>
              <w:rPr>
                <w:sz w:val="20"/>
                <w:szCs w:val="20"/>
              </w:rPr>
            </w:pPr>
            <w:r w:rsidRPr="00154588">
              <w:rPr>
                <w:sz w:val="20"/>
                <w:szCs w:val="20"/>
              </w:rPr>
              <w:t>(h) faptul că instituția face parte dintr-un SIP.</w:t>
            </w:r>
          </w:p>
        </w:tc>
        <w:tc>
          <w:tcPr>
            <w:tcW w:w="4819" w:type="dxa"/>
          </w:tcPr>
          <w:p w14:paraId="6540D887" w14:textId="212CC43C" w:rsidR="00EB243D" w:rsidRPr="00154588" w:rsidRDefault="00EB243D" w:rsidP="008C12B4">
            <w:pPr>
              <w:jc w:val="both"/>
              <w:rPr>
                <w:sz w:val="20"/>
                <w:szCs w:val="20"/>
              </w:rPr>
            </w:pPr>
            <w:r w:rsidRPr="00154588">
              <w:rPr>
                <w:sz w:val="20"/>
                <w:szCs w:val="20"/>
              </w:rPr>
              <w:lastRenderedPageBreak/>
              <w:t>Regulation nr.74/2020 privind modul de calcul şi de plată a contribuţiilor la fondul de rezoluţie bancară</w:t>
            </w:r>
          </w:p>
        </w:tc>
        <w:tc>
          <w:tcPr>
            <w:tcW w:w="2552" w:type="dxa"/>
          </w:tcPr>
          <w:p w14:paraId="6B32963B" w14:textId="1C8B6BDF" w:rsidR="00EB243D" w:rsidRPr="00154588" w:rsidRDefault="00EB243D" w:rsidP="008C12B4">
            <w:pPr>
              <w:jc w:val="both"/>
              <w:rPr>
                <w:sz w:val="20"/>
                <w:szCs w:val="20"/>
              </w:rPr>
            </w:pPr>
            <w:r w:rsidRPr="00154588">
              <w:rPr>
                <w:bCs/>
                <w:sz w:val="20"/>
                <w:szCs w:val="20"/>
              </w:rPr>
              <w:t>Prevederi UE neaplicabile</w:t>
            </w:r>
          </w:p>
        </w:tc>
        <w:tc>
          <w:tcPr>
            <w:tcW w:w="3118" w:type="dxa"/>
          </w:tcPr>
          <w:p w14:paraId="0EBA430F" w14:textId="2BB606B5" w:rsidR="00EB243D" w:rsidRPr="00154588" w:rsidRDefault="00EB243D" w:rsidP="008C12B4">
            <w:pPr>
              <w:jc w:val="both"/>
              <w:rPr>
                <w:sz w:val="20"/>
                <w:szCs w:val="20"/>
              </w:rPr>
            </w:pPr>
            <w:r w:rsidRPr="00154588">
              <w:rPr>
                <w:bCs/>
                <w:sz w:val="20"/>
                <w:szCs w:val="20"/>
                <w:lang w:val="ro-MD"/>
              </w:rPr>
              <w:t>Prevederi care se referă la atribuțiile de reglementare ale autorităților europene.</w:t>
            </w:r>
          </w:p>
        </w:tc>
      </w:tr>
      <w:tr w:rsidR="00EB243D" w:rsidRPr="00154588" w14:paraId="5B4AE73C" w14:textId="77777777" w:rsidTr="00D15C1B">
        <w:trPr>
          <w:jc w:val="center"/>
        </w:trPr>
        <w:tc>
          <w:tcPr>
            <w:tcW w:w="4957" w:type="dxa"/>
            <w:gridSpan w:val="2"/>
          </w:tcPr>
          <w:p w14:paraId="79E3D13B" w14:textId="77777777" w:rsidR="00EB243D" w:rsidRPr="00154588" w:rsidRDefault="00EB243D" w:rsidP="008C12B4">
            <w:pPr>
              <w:jc w:val="both"/>
              <w:rPr>
                <w:sz w:val="20"/>
                <w:szCs w:val="20"/>
              </w:rPr>
            </w:pPr>
            <w:r w:rsidRPr="00154588">
              <w:rPr>
                <w:sz w:val="20"/>
                <w:szCs w:val="20"/>
              </w:rPr>
              <w:t>(8)   Se conferă Comisiei competența de a adopta acte delegate în conformitate cu articolul 115, pentru a preciza:</w:t>
            </w:r>
          </w:p>
          <w:p w14:paraId="07403202" w14:textId="77777777" w:rsidR="00EB243D" w:rsidRPr="00154588" w:rsidRDefault="00EB243D" w:rsidP="008C12B4">
            <w:pPr>
              <w:jc w:val="both"/>
              <w:rPr>
                <w:sz w:val="20"/>
                <w:szCs w:val="20"/>
              </w:rPr>
            </w:pPr>
          </w:p>
          <w:p w14:paraId="00AC7B1C" w14:textId="158E1820" w:rsidR="00EB243D" w:rsidRPr="00154588" w:rsidRDefault="00EB243D" w:rsidP="008C12B4">
            <w:pPr>
              <w:jc w:val="both"/>
              <w:rPr>
                <w:sz w:val="20"/>
                <w:szCs w:val="20"/>
              </w:rPr>
            </w:pPr>
            <w:r w:rsidRPr="00154588">
              <w:rPr>
                <w:sz w:val="20"/>
                <w:szCs w:val="20"/>
              </w:rPr>
              <w:t>(a) obligațiile în materie de înregistrare, contabilitate și raportare, precum și celelalte obligații menționate la alineatul (4) vizând asigurarea achitării efective a contribuțiilor;</w:t>
            </w:r>
          </w:p>
          <w:p w14:paraId="73FBA3DB" w14:textId="77777777" w:rsidR="00EB243D" w:rsidRPr="00154588" w:rsidRDefault="00EB243D" w:rsidP="008C12B4">
            <w:pPr>
              <w:jc w:val="both"/>
              <w:rPr>
                <w:sz w:val="20"/>
                <w:szCs w:val="20"/>
              </w:rPr>
            </w:pPr>
          </w:p>
          <w:p w14:paraId="3F16620F" w14:textId="77777777" w:rsidR="00EB243D" w:rsidRPr="00154588" w:rsidRDefault="00EB243D" w:rsidP="008C12B4">
            <w:pPr>
              <w:jc w:val="both"/>
              <w:rPr>
                <w:sz w:val="20"/>
                <w:szCs w:val="20"/>
              </w:rPr>
            </w:pPr>
          </w:p>
          <w:p w14:paraId="3C862089" w14:textId="124BF7F6" w:rsidR="00EB243D" w:rsidRPr="00154588" w:rsidRDefault="00EB243D" w:rsidP="008C12B4">
            <w:pPr>
              <w:jc w:val="both"/>
              <w:rPr>
                <w:sz w:val="20"/>
                <w:szCs w:val="20"/>
              </w:rPr>
            </w:pPr>
            <w:r w:rsidRPr="00154588">
              <w:rPr>
                <w:sz w:val="20"/>
                <w:szCs w:val="20"/>
              </w:rPr>
              <w:t>(b) măsurile menționate la alineatul (4) vizând asigurarea verificării în mod corespunzător a achitării corecte a contribuțiilor.</w:t>
            </w:r>
          </w:p>
        </w:tc>
        <w:tc>
          <w:tcPr>
            <w:tcW w:w="4819" w:type="dxa"/>
          </w:tcPr>
          <w:p w14:paraId="55463318" w14:textId="57FA0EEE" w:rsidR="00EB243D" w:rsidRPr="00154588" w:rsidRDefault="00EB243D" w:rsidP="008C12B4">
            <w:pPr>
              <w:jc w:val="both"/>
              <w:rPr>
                <w:sz w:val="20"/>
                <w:szCs w:val="20"/>
              </w:rPr>
            </w:pPr>
            <w:r w:rsidRPr="00154588">
              <w:rPr>
                <w:sz w:val="20"/>
                <w:szCs w:val="20"/>
              </w:rPr>
              <w:t>Regulation nr.74/2020 privind modul de calcul şi de plată a contribuţiilor la fondul de rezoluţie bancară</w:t>
            </w:r>
          </w:p>
        </w:tc>
        <w:tc>
          <w:tcPr>
            <w:tcW w:w="2552" w:type="dxa"/>
          </w:tcPr>
          <w:p w14:paraId="3665193B" w14:textId="5D28C30F" w:rsidR="00EB243D" w:rsidRPr="00154588" w:rsidRDefault="00EB243D" w:rsidP="008C12B4">
            <w:pPr>
              <w:jc w:val="both"/>
              <w:rPr>
                <w:sz w:val="20"/>
                <w:szCs w:val="20"/>
              </w:rPr>
            </w:pPr>
            <w:r w:rsidRPr="00154588">
              <w:rPr>
                <w:bCs/>
                <w:sz w:val="20"/>
                <w:szCs w:val="20"/>
              </w:rPr>
              <w:t>Prevederi UE neaplicabile</w:t>
            </w:r>
          </w:p>
        </w:tc>
        <w:tc>
          <w:tcPr>
            <w:tcW w:w="3118" w:type="dxa"/>
          </w:tcPr>
          <w:p w14:paraId="5F85C992" w14:textId="7FCFF0A9" w:rsidR="00EB243D" w:rsidRPr="00154588" w:rsidRDefault="00EB243D" w:rsidP="008C12B4">
            <w:pPr>
              <w:jc w:val="both"/>
              <w:rPr>
                <w:sz w:val="20"/>
                <w:szCs w:val="20"/>
              </w:rPr>
            </w:pPr>
            <w:r w:rsidRPr="00154588">
              <w:rPr>
                <w:bCs/>
                <w:sz w:val="20"/>
                <w:szCs w:val="20"/>
                <w:lang w:val="ro-MD"/>
              </w:rPr>
              <w:t>Prevederi care se referă la atribuțiile de reglementare ale autorităților europene.</w:t>
            </w:r>
          </w:p>
        </w:tc>
      </w:tr>
      <w:tr w:rsidR="00EB243D" w:rsidRPr="00154588" w14:paraId="36F12D9E" w14:textId="77777777" w:rsidTr="00D15C1B">
        <w:trPr>
          <w:jc w:val="center"/>
        </w:trPr>
        <w:tc>
          <w:tcPr>
            <w:tcW w:w="4957" w:type="dxa"/>
            <w:gridSpan w:val="2"/>
          </w:tcPr>
          <w:p w14:paraId="23978CE7" w14:textId="77777777" w:rsidR="00EB243D" w:rsidRPr="00154588" w:rsidRDefault="00EB243D" w:rsidP="008C12B4">
            <w:pPr>
              <w:jc w:val="both"/>
              <w:rPr>
                <w:b/>
                <w:sz w:val="20"/>
                <w:szCs w:val="20"/>
              </w:rPr>
            </w:pPr>
            <w:r w:rsidRPr="00154588">
              <w:rPr>
                <w:b/>
                <w:sz w:val="20"/>
                <w:szCs w:val="20"/>
              </w:rPr>
              <w:t>Articolul 104</w:t>
            </w:r>
          </w:p>
          <w:p w14:paraId="08054287" w14:textId="77777777" w:rsidR="00EB243D" w:rsidRPr="00154588" w:rsidRDefault="00EB243D" w:rsidP="008C12B4">
            <w:pPr>
              <w:jc w:val="both"/>
              <w:rPr>
                <w:b/>
                <w:sz w:val="20"/>
                <w:szCs w:val="20"/>
              </w:rPr>
            </w:pPr>
          </w:p>
          <w:p w14:paraId="7B0F30F5" w14:textId="4CD5E8E5" w:rsidR="00EB243D" w:rsidRPr="00154588" w:rsidRDefault="00EB243D" w:rsidP="008C12B4">
            <w:pPr>
              <w:jc w:val="both"/>
              <w:rPr>
                <w:sz w:val="20"/>
                <w:szCs w:val="20"/>
              </w:rPr>
            </w:pPr>
            <w:r w:rsidRPr="00154588">
              <w:rPr>
                <w:b/>
                <w:sz w:val="20"/>
                <w:szCs w:val="20"/>
              </w:rPr>
              <w:t>Contribuții ex post extraordinare</w:t>
            </w:r>
          </w:p>
        </w:tc>
        <w:tc>
          <w:tcPr>
            <w:tcW w:w="4819" w:type="dxa"/>
          </w:tcPr>
          <w:p w14:paraId="02CD6C74" w14:textId="77777777" w:rsidR="00EB243D" w:rsidRPr="00154588" w:rsidRDefault="00EB243D" w:rsidP="008C12B4">
            <w:pPr>
              <w:jc w:val="both"/>
              <w:rPr>
                <w:sz w:val="20"/>
                <w:szCs w:val="20"/>
              </w:rPr>
            </w:pPr>
          </w:p>
        </w:tc>
        <w:tc>
          <w:tcPr>
            <w:tcW w:w="2552" w:type="dxa"/>
          </w:tcPr>
          <w:p w14:paraId="5B8693F6" w14:textId="77777777" w:rsidR="00EB243D" w:rsidRPr="00154588" w:rsidRDefault="00EB243D" w:rsidP="008C12B4">
            <w:pPr>
              <w:jc w:val="both"/>
              <w:rPr>
                <w:sz w:val="20"/>
                <w:szCs w:val="20"/>
              </w:rPr>
            </w:pPr>
          </w:p>
        </w:tc>
        <w:tc>
          <w:tcPr>
            <w:tcW w:w="3118" w:type="dxa"/>
          </w:tcPr>
          <w:p w14:paraId="54E7239A" w14:textId="77777777" w:rsidR="00EB243D" w:rsidRPr="00154588" w:rsidRDefault="00EB243D" w:rsidP="008C12B4">
            <w:pPr>
              <w:jc w:val="both"/>
              <w:rPr>
                <w:sz w:val="20"/>
                <w:szCs w:val="20"/>
              </w:rPr>
            </w:pPr>
          </w:p>
        </w:tc>
      </w:tr>
      <w:tr w:rsidR="00EB243D" w:rsidRPr="00154588" w14:paraId="5DA19486" w14:textId="77777777" w:rsidTr="00D15C1B">
        <w:trPr>
          <w:jc w:val="center"/>
        </w:trPr>
        <w:tc>
          <w:tcPr>
            <w:tcW w:w="4957" w:type="dxa"/>
            <w:gridSpan w:val="2"/>
          </w:tcPr>
          <w:p w14:paraId="0C20F83E" w14:textId="77777777" w:rsidR="00EB243D" w:rsidRPr="00154588" w:rsidRDefault="00EB243D" w:rsidP="008C12B4">
            <w:pPr>
              <w:jc w:val="both"/>
              <w:rPr>
                <w:sz w:val="20"/>
                <w:szCs w:val="20"/>
              </w:rPr>
            </w:pPr>
            <w:r w:rsidRPr="00154588">
              <w:rPr>
                <w:sz w:val="20"/>
                <w:szCs w:val="20"/>
              </w:rPr>
              <w:t xml:space="preserve">(1)   În cazul în care mijloacele financiare disponibile nu sunt suficiente pentru a acoperi pierderile, costurile sau alte cheltuieli ocazionate de utilizarea mecanismelor de finanțare, statele membre se asigură că sunt percepute contribuții ex post extraordinare de la instituțiile autorizate pe teritoriul lor, pentru acoperirea sumelor suplimentare. Aceste contribuții ex post extraordinare sunt repartizate </w:t>
            </w:r>
            <w:r w:rsidRPr="00154588">
              <w:rPr>
                <w:sz w:val="20"/>
                <w:szCs w:val="20"/>
              </w:rPr>
              <w:lastRenderedPageBreak/>
              <w:t>instituțiilor în conformitate cu normele prevăzute la articolul 103 alineatul (2).</w:t>
            </w:r>
          </w:p>
          <w:p w14:paraId="31FB6542" w14:textId="77777777" w:rsidR="00EB243D" w:rsidRPr="00154588" w:rsidRDefault="00EB243D" w:rsidP="008C12B4">
            <w:pPr>
              <w:jc w:val="both"/>
              <w:rPr>
                <w:sz w:val="20"/>
                <w:szCs w:val="20"/>
              </w:rPr>
            </w:pPr>
          </w:p>
          <w:p w14:paraId="6A040604" w14:textId="4E01E8C9" w:rsidR="00EB243D" w:rsidRPr="00154588" w:rsidRDefault="00EB243D" w:rsidP="008C12B4">
            <w:pPr>
              <w:jc w:val="both"/>
              <w:rPr>
                <w:sz w:val="20"/>
                <w:szCs w:val="20"/>
              </w:rPr>
            </w:pPr>
            <w:r w:rsidRPr="00154588">
              <w:rPr>
                <w:sz w:val="20"/>
                <w:szCs w:val="20"/>
              </w:rPr>
              <w:t>Cuantumul total al contribuțiilor ex post extraordinare pe an nu depășesc de trei ori 12,5% din nivelul-țintă specifivcat la articolul 102.</w:t>
            </w:r>
          </w:p>
        </w:tc>
        <w:tc>
          <w:tcPr>
            <w:tcW w:w="4819" w:type="dxa"/>
          </w:tcPr>
          <w:p w14:paraId="30CF93A9" w14:textId="77777777" w:rsidR="00EB243D" w:rsidRPr="00154588" w:rsidRDefault="00EB243D" w:rsidP="008C12B4">
            <w:pPr>
              <w:ind w:firstLine="567"/>
              <w:jc w:val="both"/>
              <w:rPr>
                <w:sz w:val="20"/>
                <w:szCs w:val="20"/>
              </w:rPr>
            </w:pPr>
            <w:r w:rsidRPr="00154588">
              <w:rPr>
                <w:b/>
                <w:sz w:val="20"/>
                <w:szCs w:val="20"/>
              </w:rPr>
              <w:lastRenderedPageBreak/>
              <w:t>Articolul</w:t>
            </w:r>
            <w:r w:rsidRPr="00154588">
              <w:rPr>
                <w:sz w:val="20"/>
                <w:szCs w:val="20"/>
              </w:rPr>
              <w:t xml:space="preserve"> </w:t>
            </w:r>
            <w:r w:rsidRPr="00154588">
              <w:rPr>
                <w:b/>
                <w:sz w:val="20"/>
                <w:szCs w:val="20"/>
              </w:rPr>
              <w:t>310.</w:t>
            </w:r>
            <w:r w:rsidRPr="00154588">
              <w:rPr>
                <w:sz w:val="20"/>
                <w:szCs w:val="20"/>
              </w:rPr>
              <w:t xml:space="preserve"> – (1) În cazul în care resursele financiare disponibile nu sînt suficiente pentru a acoperi pierderile, costurile sau alte cheltuieli ocazionate de utilizarea fondului de rezoluţie bancară, fiecare instituție de credit plăteşte o contribuţie extraordinară, stabilită de către Banca Naţională a Moldovei, în calitate de autoritate de rezoluţie, cu respectarea dispoziţiilor prezentei legi.</w:t>
            </w:r>
          </w:p>
          <w:p w14:paraId="1FABD483" w14:textId="3B7615AC" w:rsidR="00EB243D" w:rsidRPr="00154588" w:rsidRDefault="00EB243D" w:rsidP="008C12B4">
            <w:pPr>
              <w:ind w:firstLine="567"/>
              <w:jc w:val="both"/>
              <w:rPr>
                <w:sz w:val="20"/>
                <w:szCs w:val="20"/>
              </w:rPr>
            </w:pPr>
            <w:r w:rsidRPr="00154588">
              <w:rPr>
                <w:sz w:val="20"/>
                <w:szCs w:val="20"/>
              </w:rPr>
              <w:lastRenderedPageBreak/>
              <w:t xml:space="preserve">(2) </w:t>
            </w:r>
            <w:r w:rsidRPr="00154588">
              <w:rPr>
                <w:sz w:val="20"/>
                <w:szCs w:val="20"/>
                <w:lang w:eastAsia="ro-MD"/>
              </w:rPr>
              <w:t xml:space="preserve">Cuantumul total al contribuţiilor </w:t>
            </w:r>
            <w:r w:rsidRPr="00154588">
              <w:rPr>
                <w:sz w:val="20"/>
                <w:szCs w:val="20"/>
              </w:rPr>
              <w:t xml:space="preserve">extraordinare pe an </w:t>
            </w:r>
            <w:r w:rsidRPr="00154588">
              <w:rPr>
                <w:sz w:val="20"/>
                <w:szCs w:val="20"/>
                <w:lang w:eastAsia="ro-MD"/>
              </w:rPr>
              <w:t xml:space="preserve">pentru întregul sistem bancar </w:t>
            </w:r>
            <w:r w:rsidRPr="00154588">
              <w:rPr>
                <w:sz w:val="20"/>
                <w:szCs w:val="20"/>
              </w:rPr>
              <w:t xml:space="preserve">nu </w:t>
            </w:r>
            <w:r w:rsidR="00C6659F" w:rsidRPr="00154588">
              <w:rPr>
                <w:sz w:val="20"/>
                <w:szCs w:val="20"/>
                <w:lang w:eastAsia="ro-MD"/>
              </w:rPr>
              <w:t>depășeste</w:t>
            </w:r>
            <w:r w:rsidRPr="00154588">
              <w:rPr>
                <w:sz w:val="20"/>
                <w:szCs w:val="20"/>
                <w:lang w:eastAsia="ro-MD"/>
              </w:rPr>
              <w:t xml:space="preserve"> de trei ori 12,5% din nivelul țintă specificat la art.303-305. </w:t>
            </w:r>
          </w:p>
        </w:tc>
        <w:tc>
          <w:tcPr>
            <w:tcW w:w="2552" w:type="dxa"/>
          </w:tcPr>
          <w:p w14:paraId="2AFBAEC4" w14:textId="39149F5A" w:rsidR="00EB243D" w:rsidRPr="00154588" w:rsidRDefault="00EB243D" w:rsidP="008C12B4">
            <w:pPr>
              <w:jc w:val="both"/>
              <w:rPr>
                <w:sz w:val="20"/>
                <w:szCs w:val="20"/>
              </w:rPr>
            </w:pPr>
            <w:r w:rsidRPr="00154588">
              <w:rPr>
                <w:sz w:val="20"/>
                <w:szCs w:val="20"/>
              </w:rPr>
              <w:lastRenderedPageBreak/>
              <w:t>Compatibil</w:t>
            </w:r>
          </w:p>
        </w:tc>
        <w:tc>
          <w:tcPr>
            <w:tcW w:w="3118" w:type="dxa"/>
          </w:tcPr>
          <w:p w14:paraId="146C6FB8" w14:textId="77777777" w:rsidR="00EB243D" w:rsidRPr="00154588" w:rsidRDefault="00EB243D" w:rsidP="008C12B4">
            <w:pPr>
              <w:jc w:val="both"/>
              <w:rPr>
                <w:sz w:val="20"/>
                <w:szCs w:val="20"/>
              </w:rPr>
            </w:pPr>
          </w:p>
        </w:tc>
      </w:tr>
      <w:tr w:rsidR="00EB243D" w:rsidRPr="00154588" w14:paraId="04E3EF7B" w14:textId="77777777" w:rsidTr="00D15C1B">
        <w:trPr>
          <w:jc w:val="center"/>
        </w:trPr>
        <w:tc>
          <w:tcPr>
            <w:tcW w:w="4957" w:type="dxa"/>
            <w:gridSpan w:val="2"/>
          </w:tcPr>
          <w:p w14:paraId="56DA6867" w14:textId="3766BEBD" w:rsidR="00EB243D" w:rsidRPr="00154588" w:rsidRDefault="00EB243D" w:rsidP="008C12B4">
            <w:pPr>
              <w:jc w:val="both"/>
              <w:rPr>
                <w:sz w:val="20"/>
                <w:szCs w:val="20"/>
              </w:rPr>
            </w:pPr>
            <w:r w:rsidRPr="00154588">
              <w:rPr>
                <w:sz w:val="20"/>
                <w:szCs w:val="20"/>
              </w:rPr>
              <w:t>(2)   Contribuțiilor percepute în temeiul prezentului articol li se aplică articolul 103 alineatele (4)-(8).</w:t>
            </w:r>
          </w:p>
        </w:tc>
        <w:tc>
          <w:tcPr>
            <w:tcW w:w="4819" w:type="dxa"/>
          </w:tcPr>
          <w:p w14:paraId="5E2D09E4" w14:textId="77777777" w:rsidR="00EB243D" w:rsidRPr="00154588" w:rsidRDefault="00EB243D"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311.</w:t>
            </w:r>
            <w:r w:rsidRPr="00154588">
              <w:rPr>
                <w:sz w:val="20"/>
                <w:szCs w:val="20"/>
              </w:rPr>
              <w:t xml:space="preserve"> – Dispoziţiile art.307-309 sînt aplicabile la stabilirea contribuţiilor extraordinare.</w:t>
            </w:r>
          </w:p>
          <w:p w14:paraId="31318EBC" w14:textId="77777777" w:rsidR="00EB243D" w:rsidRPr="00154588" w:rsidRDefault="00EB243D" w:rsidP="008C12B4">
            <w:pPr>
              <w:jc w:val="both"/>
              <w:rPr>
                <w:sz w:val="20"/>
                <w:szCs w:val="20"/>
              </w:rPr>
            </w:pPr>
          </w:p>
        </w:tc>
        <w:tc>
          <w:tcPr>
            <w:tcW w:w="2552" w:type="dxa"/>
          </w:tcPr>
          <w:p w14:paraId="346B611E" w14:textId="67321A82" w:rsidR="00EB243D" w:rsidRPr="00154588" w:rsidRDefault="00EB243D" w:rsidP="008C12B4">
            <w:pPr>
              <w:jc w:val="both"/>
              <w:rPr>
                <w:sz w:val="20"/>
                <w:szCs w:val="20"/>
              </w:rPr>
            </w:pPr>
            <w:r w:rsidRPr="00154588">
              <w:rPr>
                <w:sz w:val="20"/>
                <w:szCs w:val="20"/>
              </w:rPr>
              <w:t>Compatibil</w:t>
            </w:r>
          </w:p>
        </w:tc>
        <w:tc>
          <w:tcPr>
            <w:tcW w:w="3118" w:type="dxa"/>
          </w:tcPr>
          <w:p w14:paraId="16798269" w14:textId="77777777" w:rsidR="00EB243D" w:rsidRPr="00154588" w:rsidRDefault="00EB243D" w:rsidP="008C12B4">
            <w:pPr>
              <w:jc w:val="both"/>
              <w:rPr>
                <w:sz w:val="20"/>
                <w:szCs w:val="20"/>
              </w:rPr>
            </w:pPr>
          </w:p>
        </w:tc>
      </w:tr>
      <w:tr w:rsidR="00EB243D" w:rsidRPr="00154588" w14:paraId="005B2698" w14:textId="77777777" w:rsidTr="00D15C1B">
        <w:trPr>
          <w:jc w:val="center"/>
        </w:trPr>
        <w:tc>
          <w:tcPr>
            <w:tcW w:w="4957" w:type="dxa"/>
            <w:gridSpan w:val="2"/>
          </w:tcPr>
          <w:p w14:paraId="7F1C68C5" w14:textId="0D6ED63A" w:rsidR="00EB243D" w:rsidRPr="00154588" w:rsidRDefault="00EB243D" w:rsidP="008C12B4">
            <w:pPr>
              <w:jc w:val="both"/>
              <w:rPr>
                <w:sz w:val="20"/>
                <w:szCs w:val="20"/>
              </w:rPr>
            </w:pPr>
            <w:r w:rsidRPr="00154588">
              <w:rPr>
                <w:sz w:val="20"/>
                <w:szCs w:val="20"/>
              </w:rPr>
              <w:t>(3)   Autoritatea de rezoluție poate amâna, integral sau parțial, obligația unei instituții de a plăti contribuțiile ex post extraordinare la mecanismul de finanțare a rezoluției în cazul în care contribuțiile ar periclita lichiditatea sau solvabilitatea instituției. O astfel de amânare nu poate fi acordată pentru o perioadă mai mare de șase luni, dar poate fi reînnoită la cererea instituției. Contribuțiile amânate în temeiul prezentului paragraf sunt achitate atunci când plata nu mai periclitează lichiditatea și solvabilitatea instituției.</w:t>
            </w:r>
          </w:p>
        </w:tc>
        <w:tc>
          <w:tcPr>
            <w:tcW w:w="4819" w:type="dxa"/>
          </w:tcPr>
          <w:p w14:paraId="029651A9" w14:textId="77777777" w:rsidR="00EB243D" w:rsidRPr="00154588" w:rsidRDefault="00EB243D"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312.</w:t>
            </w:r>
            <w:r w:rsidRPr="00154588">
              <w:rPr>
                <w:sz w:val="20"/>
                <w:szCs w:val="20"/>
              </w:rPr>
              <w:t xml:space="preserve"> – (1) Banca Naţională a Moldovei, în calitate de autoritate de rezoluţie a instituțiilor de credit, poate amîna, integral sau parţial, obligaţia unei instituții de credit de a plăti contribuţia extraordinară la fondul de rezoluţie bancară în cazul în care plata contribuţiei ar periclita lichiditatea sau solvabilitatea instituției de credit. O astfel de amînare nu poate fi acordată pentru o perioadă mai mare de şase luni, dar poate fi reînnoită la cererea băncii.</w:t>
            </w:r>
          </w:p>
          <w:p w14:paraId="5BC76F60" w14:textId="77777777" w:rsidR="00EB243D" w:rsidRPr="00154588" w:rsidRDefault="00EB243D" w:rsidP="008C12B4">
            <w:pPr>
              <w:ind w:firstLine="567"/>
              <w:jc w:val="both"/>
              <w:rPr>
                <w:sz w:val="20"/>
                <w:szCs w:val="20"/>
              </w:rPr>
            </w:pPr>
            <w:r w:rsidRPr="00154588">
              <w:rPr>
                <w:sz w:val="20"/>
                <w:szCs w:val="20"/>
              </w:rPr>
              <w:t>(2) Contribuţiile extraordinare a căror plată este amînată în temeiul prezentului articol trebuie plătite atunci cînd aceasta nu mai periclitează lichiditatea sau solvabilitatea instituției de credit. </w:t>
            </w:r>
          </w:p>
          <w:p w14:paraId="2499111C" w14:textId="77777777" w:rsidR="00EB243D" w:rsidRPr="00154588" w:rsidRDefault="00EB243D" w:rsidP="008C12B4">
            <w:pPr>
              <w:jc w:val="both"/>
              <w:rPr>
                <w:sz w:val="20"/>
                <w:szCs w:val="20"/>
              </w:rPr>
            </w:pPr>
          </w:p>
        </w:tc>
        <w:tc>
          <w:tcPr>
            <w:tcW w:w="2552" w:type="dxa"/>
          </w:tcPr>
          <w:p w14:paraId="621018CC" w14:textId="082FCCC4" w:rsidR="00EB243D" w:rsidRPr="00154588" w:rsidRDefault="00EB243D" w:rsidP="008C12B4">
            <w:pPr>
              <w:jc w:val="both"/>
              <w:rPr>
                <w:sz w:val="20"/>
                <w:szCs w:val="20"/>
              </w:rPr>
            </w:pPr>
            <w:r w:rsidRPr="00154588">
              <w:rPr>
                <w:sz w:val="20"/>
                <w:szCs w:val="20"/>
              </w:rPr>
              <w:t>Compatibil</w:t>
            </w:r>
          </w:p>
        </w:tc>
        <w:tc>
          <w:tcPr>
            <w:tcW w:w="3118" w:type="dxa"/>
          </w:tcPr>
          <w:p w14:paraId="1E944179" w14:textId="77777777" w:rsidR="00EB243D" w:rsidRPr="00154588" w:rsidRDefault="00EB243D" w:rsidP="008C12B4">
            <w:pPr>
              <w:jc w:val="both"/>
              <w:rPr>
                <w:sz w:val="20"/>
                <w:szCs w:val="20"/>
              </w:rPr>
            </w:pPr>
          </w:p>
        </w:tc>
      </w:tr>
      <w:tr w:rsidR="00EB243D" w:rsidRPr="00154588" w14:paraId="14F14858" w14:textId="77777777" w:rsidTr="00D15C1B">
        <w:trPr>
          <w:jc w:val="center"/>
        </w:trPr>
        <w:tc>
          <w:tcPr>
            <w:tcW w:w="4957" w:type="dxa"/>
            <w:gridSpan w:val="2"/>
          </w:tcPr>
          <w:p w14:paraId="3486DCF6" w14:textId="6AB70D88" w:rsidR="00EB243D" w:rsidRPr="00154588" w:rsidRDefault="00EB243D" w:rsidP="008C12B4">
            <w:pPr>
              <w:jc w:val="both"/>
              <w:rPr>
                <w:sz w:val="20"/>
                <w:szCs w:val="20"/>
              </w:rPr>
            </w:pPr>
            <w:r w:rsidRPr="00154588">
              <w:rPr>
                <w:sz w:val="20"/>
                <w:szCs w:val="20"/>
              </w:rPr>
              <w:t>(4)   Comisia este împuternicită să adopte acte delegate în conformitate cu articolul 115 pentru a preciza circumstanțele și condițiile în care contribuția unei instituții poate fi amânată în temeiul alineatul (3) din prezentul articol.</w:t>
            </w:r>
          </w:p>
        </w:tc>
        <w:tc>
          <w:tcPr>
            <w:tcW w:w="4819" w:type="dxa"/>
          </w:tcPr>
          <w:p w14:paraId="4F9A1A0E" w14:textId="77777777" w:rsidR="00EB243D" w:rsidRPr="00154588" w:rsidRDefault="00EB243D" w:rsidP="008C12B4">
            <w:pPr>
              <w:jc w:val="both"/>
              <w:rPr>
                <w:sz w:val="20"/>
                <w:szCs w:val="20"/>
              </w:rPr>
            </w:pPr>
          </w:p>
        </w:tc>
        <w:tc>
          <w:tcPr>
            <w:tcW w:w="2552" w:type="dxa"/>
          </w:tcPr>
          <w:p w14:paraId="5347836F" w14:textId="755FE051" w:rsidR="00EB243D" w:rsidRPr="00154588" w:rsidRDefault="00EB243D" w:rsidP="008C12B4">
            <w:pPr>
              <w:jc w:val="both"/>
              <w:rPr>
                <w:sz w:val="20"/>
                <w:szCs w:val="20"/>
              </w:rPr>
            </w:pPr>
            <w:r w:rsidRPr="00154588">
              <w:rPr>
                <w:sz w:val="20"/>
                <w:szCs w:val="20"/>
              </w:rPr>
              <w:t>Prevederi UE neaplicabile</w:t>
            </w:r>
          </w:p>
        </w:tc>
        <w:tc>
          <w:tcPr>
            <w:tcW w:w="3118" w:type="dxa"/>
          </w:tcPr>
          <w:p w14:paraId="798A0898" w14:textId="1F69B18F" w:rsidR="00EB243D" w:rsidRPr="00154588" w:rsidRDefault="00EB243D" w:rsidP="008C12B4">
            <w:pPr>
              <w:jc w:val="both"/>
              <w:rPr>
                <w:sz w:val="20"/>
                <w:szCs w:val="20"/>
              </w:rPr>
            </w:pPr>
            <w:r w:rsidRPr="00154588">
              <w:rPr>
                <w:sz w:val="20"/>
                <w:szCs w:val="20"/>
                <w:lang w:val="ro-MD"/>
              </w:rPr>
              <w:t>Prevederi care se referă la atribuțiile de reglementare ale autorităților europene.</w:t>
            </w:r>
          </w:p>
        </w:tc>
      </w:tr>
      <w:tr w:rsidR="00EB243D" w:rsidRPr="00154588" w14:paraId="3BC82C73" w14:textId="77777777" w:rsidTr="00D15C1B">
        <w:trPr>
          <w:jc w:val="center"/>
        </w:trPr>
        <w:tc>
          <w:tcPr>
            <w:tcW w:w="4957" w:type="dxa"/>
            <w:gridSpan w:val="2"/>
          </w:tcPr>
          <w:p w14:paraId="00E11E56" w14:textId="77777777" w:rsidR="00EB243D" w:rsidRPr="00154588" w:rsidRDefault="00EB243D" w:rsidP="008C12B4">
            <w:pPr>
              <w:jc w:val="both"/>
              <w:rPr>
                <w:b/>
                <w:sz w:val="20"/>
                <w:szCs w:val="20"/>
              </w:rPr>
            </w:pPr>
            <w:r w:rsidRPr="00154588">
              <w:rPr>
                <w:b/>
                <w:sz w:val="20"/>
                <w:szCs w:val="20"/>
              </w:rPr>
              <w:t>Articolul 105</w:t>
            </w:r>
          </w:p>
          <w:p w14:paraId="57558123" w14:textId="77777777" w:rsidR="00EB243D" w:rsidRPr="00154588" w:rsidRDefault="00EB243D" w:rsidP="008C12B4">
            <w:pPr>
              <w:jc w:val="both"/>
              <w:rPr>
                <w:b/>
                <w:sz w:val="20"/>
                <w:szCs w:val="20"/>
              </w:rPr>
            </w:pPr>
          </w:p>
          <w:p w14:paraId="2E7AE4FF" w14:textId="064808E4" w:rsidR="00EB243D" w:rsidRPr="00154588" w:rsidRDefault="00EB243D" w:rsidP="008C12B4">
            <w:pPr>
              <w:jc w:val="both"/>
              <w:rPr>
                <w:sz w:val="20"/>
                <w:szCs w:val="20"/>
              </w:rPr>
            </w:pPr>
            <w:r w:rsidRPr="00154588">
              <w:rPr>
                <w:b/>
                <w:sz w:val="20"/>
                <w:szCs w:val="20"/>
              </w:rPr>
              <w:t>Mijloace de finanțare alternative</w:t>
            </w:r>
          </w:p>
        </w:tc>
        <w:tc>
          <w:tcPr>
            <w:tcW w:w="4819" w:type="dxa"/>
          </w:tcPr>
          <w:p w14:paraId="642AE185" w14:textId="77777777" w:rsidR="00EB243D" w:rsidRPr="00154588" w:rsidRDefault="00EB243D" w:rsidP="008C12B4">
            <w:pPr>
              <w:jc w:val="both"/>
              <w:rPr>
                <w:sz w:val="20"/>
                <w:szCs w:val="20"/>
              </w:rPr>
            </w:pPr>
          </w:p>
        </w:tc>
        <w:tc>
          <w:tcPr>
            <w:tcW w:w="2552" w:type="dxa"/>
          </w:tcPr>
          <w:p w14:paraId="01A6B35F" w14:textId="77777777" w:rsidR="00EB243D" w:rsidRPr="00154588" w:rsidRDefault="00EB243D" w:rsidP="008C12B4">
            <w:pPr>
              <w:jc w:val="both"/>
              <w:rPr>
                <w:sz w:val="20"/>
                <w:szCs w:val="20"/>
              </w:rPr>
            </w:pPr>
          </w:p>
        </w:tc>
        <w:tc>
          <w:tcPr>
            <w:tcW w:w="3118" w:type="dxa"/>
          </w:tcPr>
          <w:p w14:paraId="733BE394" w14:textId="77777777" w:rsidR="00EB243D" w:rsidRPr="00154588" w:rsidRDefault="00EB243D" w:rsidP="008C12B4">
            <w:pPr>
              <w:jc w:val="both"/>
              <w:rPr>
                <w:sz w:val="20"/>
                <w:szCs w:val="20"/>
              </w:rPr>
            </w:pPr>
          </w:p>
        </w:tc>
      </w:tr>
      <w:tr w:rsidR="00EB243D" w:rsidRPr="00154588" w14:paraId="666C4143" w14:textId="77777777" w:rsidTr="00D15C1B">
        <w:trPr>
          <w:jc w:val="center"/>
        </w:trPr>
        <w:tc>
          <w:tcPr>
            <w:tcW w:w="4957" w:type="dxa"/>
            <w:gridSpan w:val="2"/>
          </w:tcPr>
          <w:p w14:paraId="34BFD49F" w14:textId="51AE9B0A" w:rsidR="00EB243D" w:rsidRPr="00154588" w:rsidRDefault="00EB243D" w:rsidP="008C12B4">
            <w:pPr>
              <w:jc w:val="both"/>
              <w:rPr>
                <w:sz w:val="20"/>
                <w:szCs w:val="20"/>
              </w:rPr>
            </w:pPr>
            <w:r w:rsidRPr="00154588">
              <w:rPr>
                <w:sz w:val="20"/>
                <w:szCs w:val="20"/>
              </w:rPr>
              <w:t>Statele membre se asigură că mecanismele de finanțare care intră sub jurisdicția lor sunt abilitate să contracteze împrumuturi sau alte forme de sprijin de la instituții, instituții financiare sau alte părți terțe, în cazurile în care sumele percepute în conformitate cu articolul 103 nu sunt suficiente pentru a acoperi pierderile, costurile sau celelalte cheltuieli ocazionate de utilizarea mecanismelor de finanțare, iar contribuțiile ex post extraordinare prevăzute la articolul 104 nu sunt imediat accesibile sau suficiente.</w:t>
            </w:r>
          </w:p>
        </w:tc>
        <w:tc>
          <w:tcPr>
            <w:tcW w:w="4819" w:type="dxa"/>
          </w:tcPr>
          <w:p w14:paraId="1D074C7C" w14:textId="26AD8924" w:rsidR="00EB243D" w:rsidRPr="00154588" w:rsidRDefault="00EB243D" w:rsidP="008C12B4">
            <w:pPr>
              <w:jc w:val="both"/>
              <w:rPr>
                <w:sz w:val="20"/>
                <w:szCs w:val="20"/>
              </w:rPr>
            </w:pPr>
            <w:r w:rsidRPr="00154588">
              <w:rPr>
                <w:b/>
                <w:sz w:val="20"/>
                <w:szCs w:val="20"/>
              </w:rPr>
              <w:t>Articolul</w:t>
            </w:r>
            <w:r w:rsidRPr="00154588">
              <w:rPr>
                <w:sz w:val="20"/>
                <w:szCs w:val="20"/>
              </w:rPr>
              <w:t xml:space="preserve"> </w:t>
            </w:r>
            <w:r w:rsidRPr="00154588">
              <w:rPr>
                <w:b/>
                <w:sz w:val="20"/>
                <w:szCs w:val="20"/>
              </w:rPr>
              <w:t>313.</w:t>
            </w:r>
            <w:r w:rsidRPr="00154588">
              <w:rPr>
                <w:sz w:val="20"/>
                <w:szCs w:val="20"/>
              </w:rPr>
              <w:t xml:space="preserve"> – Fondul de garantare a depozitelor bancare este abilitat să contracteze împrumuturi sau alte forme de sprijin de la instituției de credit sau alte părţi terţe, în cazul în care sumele colectate conform art.306-309 nu sînt suficiente pentru a acoperi pierderile, costurile sau celelalte cheltuieli ocazionate de utilizarea fondului de rezoluţie bancară, iar contribuţiile extraordinare prevăzute la art.310-312 nu sînt imediat accesibile sau suficiente.</w:t>
            </w:r>
          </w:p>
        </w:tc>
        <w:tc>
          <w:tcPr>
            <w:tcW w:w="2552" w:type="dxa"/>
          </w:tcPr>
          <w:p w14:paraId="7EBC5B0D" w14:textId="2CCF1F05" w:rsidR="00EB243D" w:rsidRPr="00154588" w:rsidRDefault="00EB243D" w:rsidP="008C12B4">
            <w:pPr>
              <w:jc w:val="both"/>
              <w:rPr>
                <w:sz w:val="20"/>
                <w:szCs w:val="20"/>
              </w:rPr>
            </w:pPr>
            <w:r w:rsidRPr="00154588">
              <w:rPr>
                <w:sz w:val="20"/>
                <w:szCs w:val="20"/>
              </w:rPr>
              <w:t>Compatibil</w:t>
            </w:r>
          </w:p>
        </w:tc>
        <w:tc>
          <w:tcPr>
            <w:tcW w:w="3118" w:type="dxa"/>
          </w:tcPr>
          <w:p w14:paraId="1AFE01A1" w14:textId="77777777" w:rsidR="00EB243D" w:rsidRPr="00154588" w:rsidRDefault="00EB243D" w:rsidP="008C12B4">
            <w:pPr>
              <w:jc w:val="both"/>
              <w:rPr>
                <w:sz w:val="20"/>
                <w:szCs w:val="20"/>
              </w:rPr>
            </w:pPr>
          </w:p>
        </w:tc>
      </w:tr>
      <w:tr w:rsidR="00EB243D" w:rsidRPr="00154588" w14:paraId="4FBF827C" w14:textId="77777777" w:rsidTr="00D15C1B">
        <w:trPr>
          <w:jc w:val="center"/>
        </w:trPr>
        <w:tc>
          <w:tcPr>
            <w:tcW w:w="4957" w:type="dxa"/>
            <w:gridSpan w:val="2"/>
          </w:tcPr>
          <w:p w14:paraId="4ED47C15" w14:textId="77777777" w:rsidR="00EB243D" w:rsidRPr="00154588" w:rsidRDefault="00EB243D" w:rsidP="008C12B4">
            <w:pPr>
              <w:jc w:val="both"/>
              <w:rPr>
                <w:b/>
                <w:sz w:val="20"/>
                <w:szCs w:val="20"/>
              </w:rPr>
            </w:pPr>
            <w:r w:rsidRPr="00154588">
              <w:rPr>
                <w:b/>
                <w:sz w:val="20"/>
                <w:szCs w:val="20"/>
              </w:rPr>
              <w:t>Articolul 106</w:t>
            </w:r>
          </w:p>
          <w:p w14:paraId="48A90A92" w14:textId="77777777" w:rsidR="00EB243D" w:rsidRPr="00154588" w:rsidRDefault="00EB243D" w:rsidP="008C12B4">
            <w:pPr>
              <w:jc w:val="both"/>
              <w:rPr>
                <w:b/>
                <w:sz w:val="20"/>
                <w:szCs w:val="20"/>
              </w:rPr>
            </w:pPr>
          </w:p>
          <w:p w14:paraId="216C747F" w14:textId="18074DD2" w:rsidR="00EB243D" w:rsidRPr="00154588" w:rsidRDefault="00EB243D" w:rsidP="008C12B4">
            <w:pPr>
              <w:jc w:val="both"/>
              <w:rPr>
                <w:sz w:val="20"/>
                <w:szCs w:val="20"/>
              </w:rPr>
            </w:pPr>
            <w:r w:rsidRPr="00154588">
              <w:rPr>
                <w:b/>
                <w:sz w:val="20"/>
                <w:szCs w:val="20"/>
              </w:rPr>
              <w:t>Împrumuturi între mecanismele de finanțare</w:t>
            </w:r>
          </w:p>
        </w:tc>
        <w:tc>
          <w:tcPr>
            <w:tcW w:w="4819" w:type="dxa"/>
          </w:tcPr>
          <w:p w14:paraId="0C331B5A" w14:textId="77777777" w:rsidR="00EB243D" w:rsidRPr="00154588" w:rsidRDefault="00EB243D" w:rsidP="008C12B4">
            <w:pPr>
              <w:jc w:val="both"/>
              <w:rPr>
                <w:sz w:val="20"/>
                <w:szCs w:val="20"/>
              </w:rPr>
            </w:pPr>
          </w:p>
        </w:tc>
        <w:tc>
          <w:tcPr>
            <w:tcW w:w="2552" w:type="dxa"/>
          </w:tcPr>
          <w:p w14:paraId="4B41A718" w14:textId="77777777" w:rsidR="00EB243D" w:rsidRPr="00154588" w:rsidRDefault="00EB243D" w:rsidP="008C12B4">
            <w:pPr>
              <w:jc w:val="both"/>
              <w:rPr>
                <w:sz w:val="20"/>
                <w:szCs w:val="20"/>
              </w:rPr>
            </w:pPr>
          </w:p>
        </w:tc>
        <w:tc>
          <w:tcPr>
            <w:tcW w:w="3118" w:type="dxa"/>
          </w:tcPr>
          <w:p w14:paraId="30B42BB8" w14:textId="77777777" w:rsidR="00EB243D" w:rsidRPr="00154588" w:rsidRDefault="00EB243D" w:rsidP="008C12B4">
            <w:pPr>
              <w:jc w:val="both"/>
              <w:rPr>
                <w:sz w:val="20"/>
                <w:szCs w:val="20"/>
              </w:rPr>
            </w:pPr>
          </w:p>
        </w:tc>
      </w:tr>
      <w:tr w:rsidR="00EB243D" w:rsidRPr="00154588" w14:paraId="005C2B8D" w14:textId="77777777" w:rsidTr="00D15C1B">
        <w:trPr>
          <w:jc w:val="center"/>
        </w:trPr>
        <w:tc>
          <w:tcPr>
            <w:tcW w:w="4957" w:type="dxa"/>
            <w:gridSpan w:val="2"/>
          </w:tcPr>
          <w:p w14:paraId="43DCDDBB" w14:textId="77777777" w:rsidR="00EB243D" w:rsidRPr="00154588" w:rsidRDefault="00EB243D" w:rsidP="008C12B4">
            <w:pPr>
              <w:jc w:val="both"/>
              <w:rPr>
                <w:sz w:val="20"/>
                <w:szCs w:val="20"/>
              </w:rPr>
            </w:pPr>
            <w:r w:rsidRPr="00154588">
              <w:rPr>
                <w:sz w:val="20"/>
                <w:szCs w:val="20"/>
              </w:rPr>
              <w:lastRenderedPageBreak/>
              <w:t>(1)   Statele membre se asigură că mecanismele de finanțare care intră sub jurisdicția lor pot să solicite împrumuturi de la toate celelalte mecanisme de finanțare de pe teritoriul Uniunii, în cazurile în care:</w:t>
            </w:r>
          </w:p>
          <w:p w14:paraId="3BB4A30A" w14:textId="77777777" w:rsidR="00EB243D" w:rsidRPr="00154588" w:rsidRDefault="00EB243D" w:rsidP="008C12B4">
            <w:pPr>
              <w:jc w:val="both"/>
              <w:rPr>
                <w:sz w:val="20"/>
                <w:szCs w:val="20"/>
              </w:rPr>
            </w:pPr>
          </w:p>
          <w:p w14:paraId="45F7B6DC" w14:textId="2D9B5911" w:rsidR="00EB243D" w:rsidRPr="00154588" w:rsidRDefault="00EB243D" w:rsidP="008C12B4">
            <w:pPr>
              <w:jc w:val="both"/>
              <w:rPr>
                <w:sz w:val="20"/>
                <w:szCs w:val="20"/>
              </w:rPr>
            </w:pPr>
            <w:r w:rsidRPr="00154588">
              <w:rPr>
                <w:sz w:val="20"/>
                <w:szCs w:val="20"/>
              </w:rPr>
              <w:t>(a) sumele percepute în conformitate cu articolul 103 nu sunt suficiente pentru a acoperi pierderile, costurile sau celelalte cheltuieli ocazionate de utilizarea mecanismelor de finanțare;</w:t>
            </w:r>
          </w:p>
          <w:p w14:paraId="4B2EE5DF" w14:textId="77777777" w:rsidR="00EB243D" w:rsidRPr="00154588" w:rsidRDefault="00EB243D" w:rsidP="008C12B4">
            <w:pPr>
              <w:jc w:val="both"/>
              <w:rPr>
                <w:sz w:val="20"/>
                <w:szCs w:val="20"/>
              </w:rPr>
            </w:pPr>
          </w:p>
          <w:p w14:paraId="0CA858B0" w14:textId="1022ABB9" w:rsidR="00EB243D" w:rsidRPr="00154588" w:rsidRDefault="00EB243D" w:rsidP="008C12B4">
            <w:pPr>
              <w:jc w:val="both"/>
              <w:rPr>
                <w:sz w:val="20"/>
                <w:szCs w:val="20"/>
              </w:rPr>
            </w:pPr>
            <w:r w:rsidRPr="00154588">
              <w:rPr>
                <w:sz w:val="20"/>
                <w:szCs w:val="20"/>
              </w:rPr>
              <w:t>(b) contribuțiile ex post extraordinare prevăzute la articolul 104 nu sunt imediat accesib</w:t>
            </w:r>
          </w:p>
          <w:p w14:paraId="243D9FA1" w14:textId="23D2CDE7" w:rsidR="00EB243D" w:rsidRPr="00154588" w:rsidRDefault="00EB243D" w:rsidP="008C12B4">
            <w:pPr>
              <w:jc w:val="both"/>
              <w:rPr>
                <w:sz w:val="20"/>
                <w:szCs w:val="20"/>
              </w:rPr>
            </w:pPr>
            <w:r w:rsidRPr="00154588">
              <w:rPr>
                <w:sz w:val="20"/>
                <w:szCs w:val="20"/>
              </w:rPr>
              <w:t>(c) mecanismele de finanțare alternative prevăzute la articolul 105 nu sunt imediat accesibile în condiții rezonabile.</w:t>
            </w:r>
          </w:p>
        </w:tc>
        <w:tc>
          <w:tcPr>
            <w:tcW w:w="4819" w:type="dxa"/>
          </w:tcPr>
          <w:p w14:paraId="701F982B" w14:textId="77777777" w:rsidR="00EB243D" w:rsidRPr="00154588" w:rsidRDefault="00EB243D" w:rsidP="008C12B4">
            <w:pPr>
              <w:ind w:firstLine="708"/>
              <w:jc w:val="both"/>
              <w:rPr>
                <w:sz w:val="20"/>
                <w:szCs w:val="20"/>
              </w:rPr>
            </w:pPr>
            <w:r w:rsidRPr="00154588">
              <w:rPr>
                <w:b/>
                <w:sz w:val="20"/>
                <w:szCs w:val="20"/>
              </w:rPr>
              <w:t>Articolul 313</w:t>
            </w:r>
            <w:r w:rsidRPr="00154588">
              <w:rPr>
                <w:b/>
                <w:sz w:val="20"/>
                <w:szCs w:val="20"/>
                <w:vertAlign w:val="superscript"/>
              </w:rPr>
              <w:t>2</w:t>
            </w:r>
            <w:r w:rsidRPr="00154588">
              <w:rPr>
                <w:sz w:val="20"/>
                <w:szCs w:val="20"/>
              </w:rPr>
              <w:t xml:space="preserve">. – (1) Fondul de garantare a depozitelor bancare este abilitat să contracteze împrumuturi de la toate celelalte mecanisme de finanţare de pe teritoriul Uniunii Europene, în cazurile în care: </w:t>
            </w:r>
          </w:p>
          <w:p w14:paraId="071DAA20" w14:textId="77777777" w:rsidR="00EB243D" w:rsidRPr="00154588" w:rsidRDefault="00EB243D" w:rsidP="008C12B4">
            <w:pPr>
              <w:ind w:firstLine="708"/>
              <w:jc w:val="both"/>
              <w:rPr>
                <w:sz w:val="20"/>
                <w:szCs w:val="20"/>
              </w:rPr>
            </w:pPr>
            <w:r w:rsidRPr="00154588">
              <w:rPr>
                <w:sz w:val="20"/>
                <w:szCs w:val="20"/>
              </w:rPr>
              <w:t xml:space="preserve">a) sumele colectate conform art.306-309 nu sînt suficiente pentru a acoperi pierderile, costurile sau celelalte cheltuieli ocazionate de utilizarea fonului de rezoluție bancară; </w:t>
            </w:r>
          </w:p>
          <w:p w14:paraId="181454E2" w14:textId="77777777" w:rsidR="00EB243D" w:rsidRPr="00154588" w:rsidRDefault="00EB243D" w:rsidP="008C12B4">
            <w:pPr>
              <w:ind w:firstLine="708"/>
              <w:jc w:val="both"/>
              <w:rPr>
                <w:sz w:val="20"/>
                <w:szCs w:val="20"/>
              </w:rPr>
            </w:pPr>
            <w:r w:rsidRPr="00154588">
              <w:rPr>
                <w:sz w:val="20"/>
                <w:szCs w:val="20"/>
              </w:rPr>
              <w:t xml:space="preserve">b) contribuţiile extraordinare prevăzute la art.310-312 nu sînt imediat accesibile sau suficiente; și </w:t>
            </w:r>
          </w:p>
          <w:p w14:paraId="5F0931F9" w14:textId="77777777" w:rsidR="00EB243D" w:rsidRPr="00154588" w:rsidRDefault="00EB243D" w:rsidP="008C12B4">
            <w:pPr>
              <w:ind w:firstLine="708"/>
              <w:jc w:val="both"/>
              <w:rPr>
                <w:sz w:val="20"/>
                <w:szCs w:val="20"/>
              </w:rPr>
            </w:pPr>
            <w:r w:rsidRPr="00154588">
              <w:rPr>
                <w:sz w:val="20"/>
                <w:szCs w:val="20"/>
              </w:rPr>
              <w:t>c) mecanismele de finanţare alternative prevăzute la art.313 nu sunt imediat accesibile în condiţii rezonabile.</w:t>
            </w:r>
          </w:p>
          <w:p w14:paraId="04D41A72" w14:textId="77777777" w:rsidR="00EB243D" w:rsidRPr="00154588" w:rsidRDefault="00EB243D" w:rsidP="008C12B4">
            <w:pPr>
              <w:jc w:val="both"/>
              <w:rPr>
                <w:sz w:val="20"/>
                <w:szCs w:val="20"/>
              </w:rPr>
            </w:pPr>
          </w:p>
        </w:tc>
        <w:tc>
          <w:tcPr>
            <w:tcW w:w="2552" w:type="dxa"/>
          </w:tcPr>
          <w:p w14:paraId="29E67D6E" w14:textId="20E5D5EA" w:rsidR="00EB243D" w:rsidRPr="00154588" w:rsidRDefault="00EB243D" w:rsidP="008C12B4">
            <w:pPr>
              <w:jc w:val="both"/>
              <w:rPr>
                <w:sz w:val="20"/>
                <w:szCs w:val="20"/>
              </w:rPr>
            </w:pPr>
            <w:r w:rsidRPr="00154588">
              <w:rPr>
                <w:sz w:val="20"/>
                <w:szCs w:val="20"/>
              </w:rPr>
              <w:t>Compatibil</w:t>
            </w:r>
          </w:p>
        </w:tc>
        <w:tc>
          <w:tcPr>
            <w:tcW w:w="3118" w:type="dxa"/>
          </w:tcPr>
          <w:p w14:paraId="0A66B776" w14:textId="77777777" w:rsidR="00EB243D" w:rsidRPr="00154588" w:rsidRDefault="00EB243D" w:rsidP="008C12B4">
            <w:pPr>
              <w:jc w:val="both"/>
              <w:rPr>
                <w:sz w:val="20"/>
                <w:szCs w:val="20"/>
              </w:rPr>
            </w:pPr>
          </w:p>
        </w:tc>
      </w:tr>
      <w:tr w:rsidR="00EB243D" w:rsidRPr="00154588" w14:paraId="10909FA9" w14:textId="77777777" w:rsidTr="00D15C1B">
        <w:trPr>
          <w:jc w:val="center"/>
        </w:trPr>
        <w:tc>
          <w:tcPr>
            <w:tcW w:w="4957" w:type="dxa"/>
            <w:gridSpan w:val="2"/>
          </w:tcPr>
          <w:p w14:paraId="100C8257" w14:textId="1721699F" w:rsidR="00EB243D" w:rsidRPr="00154588" w:rsidRDefault="00EB243D" w:rsidP="008C12B4">
            <w:pPr>
              <w:jc w:val="both"/>
              <w:rPr>
                <w:sz w:val="20"/>
                <w:szCs w:val="20"/>
              </w:rPr>
            </w:pPr>
            <w:r w:rsidRPr="00154588">
              <w:rPr>
                <w:sz w:val="20"/>
                <w:szCs w:val="20"/>
              </w:rPr>
              <w:t>(2)   Statele membre se asigură că mecanismele de finanțare care intră sub jurisdicția lor sunt abilitate să acorde împrumuturi altor mecanisme de finanțare de pe teritoriul Uniunii în situațiile menționate la alineatul (1).</w:t>
            </w:r>
          </w:p>
        </w:tc>
        <w:tc>
          <w:tcPr>
            <w:tcW w:w="4819" w:type="dxa"/>
          </w:tcPr>
          <w:p w14:paraId="1BBD65DF" w14:textId="7CC090AC" w:rsidR="00EB243D" w:rsidRPr="00154588" w:rsidRDefault="00EB243D" w:rsidP="008C12B4">
            <w:pPr>
              <w:ind w:firstLine="708"/>
              <w:jc w:val="both"/>
              <w:rPr>
                <w:sz w:val="20"/>
                <w:szCs w:val="20"/>
              </w:rPr>
            </w:pPr>
            <w:r w:rsidRPr="00154588">
              <w:rPr>
                <w:sz w:val="20"/>
                <w:szCs w:val="20"/>
              </w:rPr>
              <w:t>(2) Fondul de garantare a depozitelor bancare este abilitat să acorde împrumuturi</w:t>
            </w:r>
            <w:r w:rsidR="00396EBC" w:rsidRPr="00154588">
              <w:rPr>
                <w:sz w:val="20"/>
                <w:szCs w:val="20"/>
              </w:rPr>
              <w:t>,</w:t>
            </w:r>
            <w:r w:rsidR="00396EBC" w:rsidRPr="00154588">
              <w:rPr>
                <w:sz w:val="24"/>
                <w:szCs w:val="24"/>
              </w:rPr>
              <w:t xml:space="preserve"> </w:t>
            </w:r>
            <w:r w:rsidR="00396EBC" w:rsidRPr="00154588">
              <w:rPr>
                <w:sz w:val="20"/>
                <w:szCs w:val="20"/>
              </w:rPr>
              <w:t>din resursele fondului de rezoluție,</w:t>
            </w:r>
            <w:r w:rsidRPr="00154588">
              <w:rPr>
                <w:sz w:val="20"/>
                <w:szCs w:val="20"/>
              </w:rPr>
              <w:t xml:space="preserve"> altor mecanisme de finanţare de pe teritoriul Uniunii Europene în situaţiile menţionate la alin. (1).</w:t>
            </w:r>
          </w:p>
          <w:p w14:paraId="176687C6" w14:textId="77777777" w:rsidR="00EB243D" w:rsidRPr="00154588" w:rsidRDefault="00EB243D" w:rsidP="008C12B4">
            <w:pPr>
              <w:jc w:val="both"/>
              <w:rPr>
                <w:sz w:val="20"/>
                <w:szCs w:val="20"/>
              </w:rPr>
            </w:pPr>
          </w:p>
        </w:tc>
        <w:tc>
          <w:tcPr>
            <w:tcW w:w="2552" w:type="dxa"/>
          </w:tcPr>
          <w:p w14:paraId="0CBD755B" w14:textId="2C4C3658" w:rsidR="00EB243D" w:rsidRPr="00154588" w:rsidRDefault="00EB243D" w:rsidP="008C12B4">
            <w:pPr>
              <w:jc w:val="both"/>
              <w:rPr>
                <w:sz w:val="20"/>
                <w:szCs w:val="20"/>
              </w:rPr>
            </w:pPr>
            <w:r w:rsidRPr="00154588">
              <w:rPr>
                <w:sz w:val="20"/>
                <w:szCs w:val="20"/>
              </w:rPr>
              <w:t>Compatibil</w:t>
            </w:r>
          </w:p>
        </w:tc>
        <w:tc>
          <w:tcPr>
            <w:tcW w:w="3118" w:type="dxa"/>
          </w:tcPr>
          <w:p w14:paraId="5B4BD296" w14:textId="77777777" w:rsidR="00EB243D" w:rsidRPr="00154588" w:rsidRDefault="00EB243D" w:rsidP="008C12B4">
            <w:pPr>
              <w:jc w:val="both"/>
              <w:rPr>
                <w:sz w:val="20"/>
                <w:szCs w:val="20"/>
              </w:rPr>
            </w:pPr>
          </w:p>
        </w:tc>
      </w:tr>
      <w:tr w:rsidR="00EB243D" w:rsidRPr="00154588" w14:paraId="28F0CC8F" w14:textId="77777777" w:rsidTr="00D15C1B">
        <w:trPr>
          <w:jc w:val="center"/>
        </w:trPr>
        <w:tc>
          <w:tcPr>
            <w:tcW w:w="4957" w:type="dxa"/>
            <w:gridSpan w:val="2"/>
          </w:tcPr>
          <w:p w14:paraId="1970CAA0" w14:textId="47D2F763" w:rsidR="00EB243D" w:rsidRPr="00154588" w:rsidRDefault="00EB243D" w:rsidP="008C12B4">
            <w:pPr>
              <w:jc w:val="both"/>
              <w:rPr>
                <w:sz w:val="20"/>
                <w:szCs w:val="20"/>
              </w:rPr>
            </w:pPr>
            <w:r w:rsidRPr="00154588">
              <w:rPr>
                <w:sz w:val="20"/>
                <w:szCs w:val="20"/>
              </w:rPr>
              <w:t>(3)   În urma unei solicitări efectuate în temeiul alineatului (1), fiecare dintre celelalte mecanisme de finanțare de pe teritoriul Uniunii decide dacă să acorde sau nu un împrumut mecanismului de finanțare solicitant. Statele membre pot solicita ca această decizie să fie luată după consultarea sau cu acordul ministerului competent sau al guvernului. Decizia este luată în regim de urgență.</w:t>
            </w:r>
          </w:p>
        </w:tc>
        <w:tc>
          <w:tcPr>
            <w:tcW w:w="4819" w:type="dxa"/>
          </w:tcPr>
          <w:p w14:paraId="4495D638" w14:textId="38C338F9" w:rsidR="00EB243D" w:rsidRPr="00154588" w:rsidRDefault="00EB243D" w:rsidP="008C12B4">
            <w:pPr>
              <w:ind w:firstLine="708"/>
              <w:jc w:val="both"/>
              <w:rPr>
                <w:sz w:val="20"/>
                <w:szCs w:val="20"/>
              </w:rPr>
            </w:pPr>
            <w:r w:rsidRPr="00154588">
              <w:rPr>
                <w:sz w:val="20"/>
                <w:szCs w:val="20"/>
              </w:rPr>
              <w:t>(3) La primirea unei solicitări în temeiul alin.(</w:t>
            </w:r>
            <w:r w:rsidR="000A1D0E" w:rsidRPr="00154588">
              <w:rPr>
                <w:sz w:val="20"/>
                <w:szCs w:val="20"/>
              </w:rPr>
              <w:t>2</w:t>
            </w:r>
            <w:r w:rsidRPr="00154588">
              <w:rPr>
                <w:sz w:val="20"/>
                <w:szCs w:val="20"/>
              </w:rPr>
              <w:t>), Fondul de garantare a depozitelor bancare, în calitate de administrator a fondului de rezoluție bancară, formulează în regim de urgență o propunere de decizie motivată în legătură cu aceasta, pe care o transmite, Băncii Naționale a Moldovei, în calitate de autoritate de rezoluție și Ministerului Finanțelor în calitate de minister competent. Decizia cu privire la acordarea unui împrumut trebuie să fie luată în consens de respectivele autorități în regim de urgență.</w:t>
            </w:r>
          </w:p>
          <w:p w14:paraId="6008BF45" w14:textId="77777777" w:rsidR="00EB243D" w:rsidRPr="00154588" w:rsidRDefault="00EB243D" w:rsidP="008C12B4">
            <w:pPr>
              <w:jc w:val="both"/>
              <w:rPr>
                <w:sz w:val="20"/>
                <w:szCs w:val="20"/>
              </w:rPr>
            </w:pPr>
          </w:p>
        </w:tc>
        <w:tc>
          <w:tcPr>
            <w:tcW w:w="2552" w:type="dxa"/>
          </w:tcPr>
          <w:p w14:paraId="403B415A" w14:textId="02CD9AA0" w:rsidR="00EB243D" w:rsidRPr="00154588" w:rsidRDefault="00EB243D" w:rsidP="008C12B4">
            <w:pPr>
              <w:jc w:val="both"/>
              <w:rPr>
                <w:sz w:val="20"/>
                <w:szCs w:val="20"/>
              </w:rPr>
            </w:pPr>
            <w:r w:rsidRPr="00154588">
              <w:rPr>
                <w:sz w:val="20"/>
                <w:szCs w:val="20"/>
              </w:rPr>
              <w:t>Compatibil</w:t>
            </w:r>
          </w:p>
        </w:tc>
        <w:tc>
          <w:tcPr>
            <w:tcW w:w="3118" w:type="dxa"/>
          </w:tcPr>
          <w:p w14:paraId="3C46E5C0" w14:textId="5F036A71" w:rsidR="00EB243D" w:rsidRPr="00154588" w:rsidRDefault="00EB243D" w:rsidP="008C12B4">
            <w:pPr>
              <w:jc w:val="both"/>
              <w:rPr>
                <w:sz w:val="20"/>
                <w:szCs w:val="20"/>
              </w:rPr>
            </w:pPr>
          </w:p>
        </w:tc>
      </w:tr>
      <w:tr w:rsidR="00EB243D" w:rsidRPr="00154588" w14:paraId="34137D52" w14:textId="77777777" w:rsidTr="00D15C1B">
        <w:trPr>
          <w:jc w:val="center"/>
        </w:trPr>
        <w:tc>
          <w:tcPr>
            <w:tcW w:w="4957" w:type="dxa"/>
            <w:gridSpan w:val="2"/>
          </w:tcPr>
          <w:p w14:paraId="4A5B1FD8" w14:textId="3D0273EB" w:rsidR="00EB243D" w:rsidRPr="00154588" w:rsidRDefault="00EB243D" w:rsidP="008C12B4">
            <w:pPr>
              <w:jc w:val="both"/>
              <w:rPr>
                <w:sz w:val="20"/>
                <w:szCs w:val="20"/>
              </w:rPr>
            </w:pPr>
            <w:r w:rsidRPr="00154588">
              <w:rPr>
                <w:sz w:val="20"/>
                <w:szCs w:val="20"/>
              </w:rPr>
              <w:t>(4)   Rata dobânzii, perioada de rambursare și alți termeni și alte condiții ale împrumuturilor se stabilesc de comun acord de mecanismul de finanțare care primește împrumutul și celelalte mecanisme de finanțare care au decis să participe. Împrumuturile fiecărui mecanism de finanțare participant trebuie să aibă aceeași rată a dobânzii, aceeași perioadă de rambursare, aceiași termeni și aceleași condiții, cu excepția cazului în care mecanismele de finanțare participante convin, în unanimitate, să procedeze altfel.</w:t>
            </w:r>
          </w:p>
        </w:tc>
        <w:tc>
          <w:tcPr>
            <w:tcW w:w="4819" w:type="dxa"/>
          </w:tcPr>
          <w:p w14:paraId="3A417A47" w14:textId="77777777" w:rsidR="00EB243D" w:rsidRPr="00154588" w:rsidRDefault="00EB243D" w:rsidP="008C12B4">
            <w:pPr>
              <w:ind w:firstLine="708"/>
              <w:jc w:val="both"/>
              <w:rPr>
                <w:sz w:val="20"/>
                <w:szCs w:val="20"/>
              </w:rPr>
            </w:pPr>
            <w:r w:rsidRPr="00154588">
              <w:rPr>
                <w:sz w:val="20"/>
                <w:szCs w:val="20"/>
              </w:rPr>
              <w:t>(4) Rata dobânzii, perioada de rambursare, alți termeni și condiții ale împrumutului se stabilesc de comun acord de către Fondul de garantare a depozitelor bancare și celelalte mecanisme de finanțare participante la împrumut.</w:t>
            </w:r>
          </w:p>
          <w:p w14:paraId="63471D72" w14:textId="77777777" w:rsidR="00EB243D" w:rsidRPr="00154588" w:rsidRDefault="00EB243D" w:rsidP="008C12B4">
            <w:pPr>
              <w:jc w:val="both"/>
              <w:rPr>
                <w:sz w:val="20"/>
                <w:szCs w:val="20"/>
              </w:rPr>
            </w:pPr>
          </w:p>
          <w:p w14:paraId="78D9FC27" w14:textId="77777777" w:rsidR="00EB243D" w:rsidRPr="00154588" w:rsidRDefault="00EB243D" w:rsidP="008C12B4">
            <w:pPr>
              <w:rPr>
                <w:sz w:val="20"/>
                <w:szCs w:val="20"/>
              </w:rPr>
            </w:pPr>
          </w:p>
        </w:tc>
        <w:tc>
          <w:tcPr>
            <w:tcW w:w="2552" w:type="dxa"/>
          </w:tcPr>
          <w:p w14:paraId="12FFC4A5" w14:textId="24B198A2" w:rsidR="00EB243D" w:rsidRPr="00154588" w:rsidRDefault="00EB243D" w:rsidP="008C12B4">
            <w:pPr>
              <w:jc w:val="both"/>
              <w:rPr>
                <w:sz w:val="20"/>
                <w:szCs w:val="20"/>
              </w:rPr>
            </w:pPr>
            <w:r w:rsidRPr="00154588">
              <w:rPr>
                <w:sz w:val="20"/>
                <w:szCs w:val="20"/>
              </w:rPr>
              <w:t>Compatibil</w:t>
            </w:r>
          </w:p>
        </w:tc>
        <w:tc>
          <w:tcPr>
            <w:tcW w:w="3118" w:type="dxa"/>
          </w:tcPr>
          <w:p w14:paraId="7927A28A" w14:textId="77777777" w:rsidR="00EB243D" w:rsidRPr="00154588" w:rsidRDefault="00EB243D" w:rsidP="008C12B4">
            <w:pPr>
              <w:jc w:val="both"/>
              <w:rPr>
                <w:sz w:val="20"/>
                <w:szCs w:val="20"/>
              </w:rPr>
            </w:pPr>
          </w:p>
        </w:tc>
      </w:tr>
      <w:tr w:rsidR="00EB243D" w:rsidRPr="00154588" w14:paraId="727633F5" w14:textId="77777777" w:rsidTr="00D15C1B">
        <w:trPr>
          <w:jc w:val="center"/>
        </w:trPr>
        <w:tc>
          <w:tcPr>
            <w:tcW w:w="4957" w:type="dxa"/>
            <w:gridSpan w:val="2"/>
          </w:tcPr>
          <w:p w14:paraId="562B66A5" w14:textId="71E75B7A" w:rsidR="00EB243D" w:rsidRPr="00154588" w:rsidRDefault="00EB243D" w:rsidP="008C12B4">
            <w:pPr>
              <w:jc w:val="both"/>
              <w:rPr>
                <w:sz w:val="20"/>
                <w:szCs w:val="20"/>
              </w:rPr>
            </w:pPr>
            <w:r w:rsidRPr="00154588">
              <w:rPr>
                <w:sz w:val="20"/>
                <w:szCs w:val="20"/>
              </w:rPr>
              <w:lastRenderedPageBreak/>
              <w:t>(5)   Suma acordată ca împrumut de fiecare acoperite de finanțare a rezoluției participant este determinată pe baza raportului dintre valoarea depozitelor acoperite din statul membru al respectivului mecanism de finanțare a rezoluției, și suma agregată a depozitelor acoperite din statele membre ale mecanismelor de finanțare a rezoluției participante. Aceste rate de contribuție pot fi modificate prin acordul tuturor mecanismelor de finanțare participante.</w:t>
            </w:r>
          </w:p>
        </w:tc>
        <w:tc>
          <w:tcPr>
            <w:tcW w:w="4819" w:type="dxa"/>
          </w:tcPr>
          <w:p w14:paraId="33808956" w14:textId="346D8CC9" w:rsidR="00EB243D" w:rsidRPr="00154588" w:rsidRDefault="00EB243D" w:rsidP="008C12B4">
            <w:pPr>
              <w:ind w:firstLine="708"/>
              <w:jc w:val="both"/>
              <w:rPr>
                <w:sz w:val="20"/>
                <w:szCs w:val="20"/>
              </w:rPr>
            </w:pPr>
            <w:r w:rsidRPr="00154588">
              <w:rPr>
                <w:sz w:val="20"/>
                <w:szCs w:val="20"/>
              </w:rPr>
              <w:t>(5) Suma acordată ca împrumut din resursele fondului de rezoluție bancară se determină potrivit raportului dintre  valoarea depozitelor acoperite de Fondul de garantare a depozitelor bancare și suma agregată a depozitelor acoperite din statele membre ale mecanismelor de finanțare a rezoluției participante. Aceste cote de participare pot fi modificate cu acordul tuturor mecanismelor de finanțare participante.</w:t>
            </w:r>
          </w:p>
          <w:p w14:paraId="5A8E011A" w14:textId="77777777" w:rsidR="00EB243D" w:rsidRPr="00154588" w:rsidRDefault="00EB243D" w:rsidP="008C12B4">
            <w:pPr>
              <w:jc w:val="both"/>
              <w:rPr>
                <w:sz w:val="20"/>
                <w:szCs w:val="20"/>
              </w:rPr>
            </w:pPr>
          </w:p>
        </w:tc>
        <w:tc>
          <w:tcPr>
            <w:tcW w:w="2552" w:type="dxa"/>
          </w:tcPr>
          <w:p w14:paraId="1E7D6EC4" w14:textId="4C3954A5" w:rsidR="00EB243D" w:rsidRPr="00154588" w:rsidRDefault="00EB243D" w:rsidP="008C12B4">
            <w:pPr>
              <w:jc w:val="both"/>
              <w:rPr>
                <w:sz w:val="20"/>
                <w:szCs w:val="20"/>
              </w:rPr>
            </w:pPr>
            <w:r w:rsidRPr="00154588">
              <w:rPr>
                <w:sz w:val="20"/>
                <w:szCs w:val="20"/>
              </w:rPr>
              <w:t>Compatibil</w:t>
            </w:r>
          </w:p>
        </w:tc>
        <w:tc>
          <w:tcPr>
            <w:tcW w:w="3118" w:type="dxa"/>
          </w:tcPr>
          <w:p w14:paraId="4D0F2A9F" w14:textId="77777777" w:rsidR="00EB243D" w:rsidRPr="00154588" w:rsidRDefault="00EB243D" w:rsidP="008C12B4">
            <w:pPr>
              <w:jc w:val="both"/>
              <w:rPr>
                <w:sz w:val="20"/>
                <w:szCs w:val="20"/>
              </w:rPr>
            </w:pPr>
          </w:p>
        </w:tc>
      </w:tr>
      <w:tr w:rsidR="00EB243D" w:rsidRPr="00154588" w14:paraId="0F42447D" w14:textId="77777777" w:rsidTr="00D15C1B">
        <w:trPr>
          <w:jc w:val="center"/>
        </w:trPr>
        <w:tc>
          <w:tcPr>
            <w:tcW w:w="4957" w:type="dxa"/>
            <w:gridSpan w:val="2"/>
          </w:tcPr>
          <w:p w14:paraId="22989458" w14:textId="09128548" w:rsidR="00EB243D" w:rsidRPr="00154588" w:rsidRDefault="00EB243D" w:rsidP="008C12B4">
            <w:pPr>
              <w:jc w:val="both"/>
              <w:rPr>
                <w:sz w:val="20"/>
                <w:szCs w:val="20"/>
              </w:rPr>
            </w:pPr>
            <w:r w:rsidRPr="00154588">
              <w:rPr>
                <w:sz w:val="20"/>
                <w:szCs w:val="20"/>
              </w:rPr>
              <w:t>(6)   Sumele de rambursat datorate, în temeiul prezentului articol, unui mecanism de finanțare a rezoluției dintr-un alt stat membru se tratează ca active ale mecanismului de finanțare a rezoluției care a acordat împrumutul și pot fi luate în considerare la atingerea nivelului-țintă aferent mecanismului de finanțare respectiv.</w:t>
            </w:r>
          </w:p>
        </w:tc>
        <w:tc>
          <w:tcPr>
            <w:tcW w:w="4819" w:type="dxa"/>
          </w:tcPr>
          <w:p w14:paraId="6D9F050F" w14:textId="69BEDD2C" w:rsidR="00EB243D" w:rsidRPr="00154588" w:rsidRDefault="00EB243D" w:rsidP="008C12B4">
            <w:pPr>
              <w:ind w:firstLine="708"/>
              <w:jc w:val="both"/>
              <w:rPr>
                <w:sz w:val="20"/>
                <w:szCs w:val="20"/>
              </w:rPr>
            </w:pPr>
            <w:r w:rsidRPr="00154588">
              <w:rPr>
                <w:sz w:val="20"/>
                <w:szCs w:val="20"/>
              </w:rPr>
              <w:t>(6) Împrumutul acordat, în temeiul prezentului articol, unui mecanism de finanțare a rezoluției dintr-un alt stat membru al Uniunii Europene se tratează ca activ al fondului de rezoluție bancară și se ia în considerare la determinarea nivelului-țintă de finanțare.</w:t>
            </w:r>
          </w:p>
          <w:p w14:paraId="0B15DABD" w14:textId="77777777" w:rsidR="00EB243D" w:rsidRPr="00154588" w:rsidRDefault="00EB243D" w:rsidP="008C12B4">
            <w:pPr>
              <w:jc w:val="both"/>
              <w:rPr>
                <w:sz w:val="20"/>
                <w:szCs w:val="20"/>
              </w:rPr>
            </w:pPr>
          </w:p>
        </w:tc>
        <w:tc>
          <w:tcPr>
            <w:tcW w:w="2552" w:type="dxa"/>
          </w:tcPr>
          <w:p w14:paraId="0C08A79D" w14:textId="4E712DF5" w:rsidR="00EB243D" w:rsidRPr="00154588" w:rsidRDefault="00EB243D" w:rsidP="008C12B4">
            <w:pPr>
              <w:jc w:val="both"/>
              <w:rPr>
                <w:sz w:val="20"/>
                <w:szCs w:val="20"/>
              </w:rPr>
            </w:pPr>
            <w:r w:rsidRPr="00154588">
              <w:rPr>
                <w:sz w:val="20"/>
                <w:szCs w:val="20"/>
              </w:rPr>
              <w:t>Compatibil</w:t>
            </w:r>
          </w:p>
        </w:tc>
        <w:tc>
          <w:tcPr>
            <w:tcW w:w="3118" w:type="dxa"/>
          </w:tcPr>
          <w:p w14:paraId="4312F2B3" w14:textId="77777777" w:rsidR="00EB243D" w:rsidRPr="00154588" w:rsidRDefault="00EB243D" w:rsidP="008C12B4">
            <w:pPr>
              <w:jc w:val="both"/>
              <w:rPr>
                <w:sz w:val="20"/>
                <w:szCs w:val="20"/>
              </w:rPr>
            </w:pPr>
          </w:p>
        </w:tc>
      </w:tr>
      <w:tr w:rsidR="00EB243D" w:rsidRPr="00154588" w14:paraId="4441C763" w14:textId="77777777" w:rsidTr="00D15C1B">
        <w:trPr>
          <w:jc w:val="center"/>
        </w:trPr>
        <w:tc>
          <w:tcPr>
            <w:tcW w:w="4957" w:type="dxa"/>
            <w:gridSpan w:val="2"/>
          </w:tcPr>
          <w:p w14:paraId="0007D605" w14:textId="77777777" w:rsidR="00EB243D" w:rsidRPr="00154588" w:rsidRDefault="00EB243D" w:rsidP="008C12B4">
            <w:pPr>
              <w:jc w:val="both"/>
              <w:rPr>
                <w:b/>
                <w:sz w:val="20"/>
                <w:szCs w:val="20"/>
              </w:rPr>
            </w:pPr>
            <w:r w:rsidRPr="00154588">
              <w:rPr>
                <w:b/>
                <w:sz w:val="20"/>
                <w:szCs w:val="20"/>
              </w:rPr>
              <w:t>Articolul 107</w:t>
            </w:r>
          </w:p>
          <w:p w14:paraId="47AA3663" w14:textId="77777777" w:rsidR="00EB243D" w:rsidRPr="00154588" w:rsidRDefault="00EB243D" w:rsidP="008C12B4">
            <w:pPr>
              <w:jc w:val="both"/>
              <w:rPr>
                <w:b/>
                <w:sz w:val="20"/>
                <w:szCs w:val="20"/>
              </w:rPr>
            </w:pPr>
          </w:p>
          <w:p w14:paraId="75BA3AA0" w14:textId="67F55320" w:rsidR="00EB243D" w:rsidRPr="00154588" w:rsidRDefault="00EB243D" w:rsidP="008C12B4">
            <w:pPr>
              <w:jc w:val="both"/>
              <w:rPr>
                <w:sz w:val="20"/>
                <w:szCs w:val="20"/>
              </w:rPr>
            </w:pPr>
            <w:r w:rsidRPr="00154588">
              <w:rPr>
                <w:b/>
                <w:sz w:val="20"/>
                <w:szCs w:val="20"/>
              </w:rPr>
              <w:t>Mutualizarea mecanismelor de finanțare naționale în cazul rezoluției grupurilor</w:t>
            </w:r>
          </w:p>
        </w:tc>
        <w:tc>
          <w:tcPr>
            <w:tcW w:w="4819" w:type="dxa"/>
          </w:tcPr>
          <w:p w14:paraId="27433D8A" w14:textId="77777777" w:rsidR="00EB243D" w:rsidRPr="00154588" w:rsidRDefault="00EB243D" w:rsidP="008C12B4">
            <w:pPr>
              <w:jc w:val="both"/>
              <w:rPr>
                <w:sz w:val="20"/>
                <w:szCs w:val="20"/>
              </w:rPr>
            </w:pPr>
          </w:p>
        </w:tc>
        <w:tc>
          <w:tcPr>
            <w:tcW w:w="2552" w:type="dxa"/>
          </w:tcPr>
          <w:p w14:paraId="68D9CDAC" w14:textId="77777777" w:rsidR="00EB243D" w:rsidRPr="00154588" w:rsidRDefault="00EB243D" w:rsidP="008C12B4">
            <w:pPr>
              <w:jc w:val="both"/>
              <w:rPr>
                <w:sz w:val="20"/>
                <w:szCs w:val="20"/>
              </w:rPr>
            </w:pPr>
          </w:p>
        </w:tc>
        <w:tc>
          <w:tcPr>
            <w:tcW w:w="3118" w:type="dxa"/>
          </w:tcPr>
          <w:p w14:paraId="06B43AAC" w14:textId="77777777" w:rsidR="00EB243D" w:rsidRPr="00154588" w:rsidRDefault="00EB243D" w:rsidP="008C12B4">
            <w:pPr>
              <w:jc w:val="both"/>
              <w:rPr>
                <w:sz w:val="20"/>
                <w:szCs w:val="20"/>
              </w:rPr>
            </w:pPr>
          </w:p>
        </w:tc>
      </w:tr>
      <w:tr w:rsidR="00EB243D" w:rsidRPr="00154588" w14:paraId="7BD6ACDF" w14:textId="77777777" w:rsidTr="00D15C1B">
        <w:trPr>
          <w:jc w:val="center"/>
        </w:trPr>
        <w:tc>
          <w:tcPr>
            <w:tcW w:w="4957" w:type="dxa"/>
            <w:gridSpan w:val="2"/>
          </w:tcPr>
          <w:p w14:paraId="48778EA5" w14:textId="476A6428" w:rsidR="00EB243D" w:rsidRPr="00154588" w:rsidRDefault="00EB243D" w:rsidP="008C12B4">
            <w:pPr>
              <w:jc w:val="both"/>
              <w:rPr>
                <w:sz w:val="20"/>
                <w:szCs w:val="20"/>
              </w:rPr>
            </w:pPr>
            <w:r w:rsidRPr="00154588">
              <w:rPr>
                <w:sz w:val="20"/>
                <w:szCs w:val="20"/>
              </w:rPr>
              <w:t>(1)   Statele membre se asigură că, în cazul rezoluției grupurilor în conformitate cu articolul 91 sau cu articolul 92, mecanismul de finanțare național al fiecărei instituții care face parte din grup contribuie la finanțarea rezoluție grupului în conformitate cu prezentul articol.</w:t>
            </w:r>
          </w:p>
        </w:tc>
        <w:tc>
          <w:tcPr>
            <w:tcW w:w="4819" w:type="dxa"/>
          </w:tcPr>
          <w:p w14:paraId="294A2A5C" w14:textId="77777777" w:rsidR="00EB243D" w:rsidRPr="00154588" w:rsidRDefault="00EB243D" w:rsidP="008C12B4">
            <w:pPr>
              <w:ind w:firstLine="567"/>
              <w:jc w:val="both"/>
              <w:rPr>
                <w:sz w:val="20"/>
                <w:szCs w:val="20"/>
              </w:rPr>
            </w:pPr>
            <w:r w:rsidRPr="00154588">
              <w:rPr>
                <w:b/>
                <w:sz w:val="20"/>
                <w:szCs w:val="20"/>
              </w:rPr>
              <w:t>Articolul 313</w:t>
            </w:r>
            <w:r w:rsidRPr="00154588">
              <w:rPr>
                <w:b/>
                <w:sz w:val="20"/>
                <w:szCs w:val="20"/>
                <w:vertAlign w:val="superscript"/>
              </w:rPr>
              <w:t>3</w:t>
            </w:r>
            <w:r w:rsidRPr="00154588">
              <w:rPr>
                <w:b/>
                <w:sz w:val="20"/>
                <w:szCs w:val="20"/>
              </w:rPr>
              <w:t>.</w:t>
            </w:r>
            <w:r w:rsidRPr="00154588">
              <w:rPr>
                <w:sz w:val="20"/>
                <w:szCs w:val="20"/>
              </w:rPr>
              <w:t xml:space="preserve"> – (1) În cazul rezoluției unui grup conform art.295</w:t>
            </w:r>
            <w:r w:rsidRPr="00154588">
              <w:rPr>
                <w:sz w:val="20"/>
                <w:szCs w:val="20"/>
                <w:vertAlign w:val="superscript"/>
              </w:rPr>
              <w:t>17</w:t>
            </w:r>
            <w:r w:rsidRPr="00154588">
              <w:rPr>
                <w:sz w:val="20"/>
                <w:szCs w:val="20"/>
              </w:rPr>
              <w:t>-295</w:t>
            </w:r>
            <w:r w:rsidRPr="00154588">
              <w:rPr>
                <w:sz w:val="20"/>
                <w:szCs w:val="20"/>
                <w:vertAlign w:val="superscript"/>
              </w:rPr>
              <w:t xml:space="preserve">41 </w:t>
            </w:r>
            <w:r w:rsidRPr="00154588">
              <w:rPr>
                <w:sz w:val="20"/>
                <w:szCs w:val="20"/>
              </w:rPr>
              <w:t>sau art.295</w:t>
            </w:r>
            <w:r w:rsidRPr="00154588">
              <w:rPr>
                <w:sz w:val="20"/>
                <w:szCs w:val="20"/>
                <w:vertAlign w:val="superscript"/>
              </w:rPr>
              <w:t xml:space="preserve">42 </w:t>
            </w:r>
            <w:r w:rsidRPr="00154588">
              <w:rPr>
                <w:sz w:val="20"/>
                <w:szCs w:val="20"/>
              </w:rPr>
              <w:t>-295</w:t>
            </w:r>
            <w:r w:rsidRPr="00154588">
              <w:rPr>
                <w:sz w:val="20"/>
                <w:szCs w:val="20"/>
                <w:vertAlign w:val="superscript"/>
              </w:rPr>
              <w:t xml:space="preserve">55 </w:t>
            </w:r>
            <w:r w:rsidRPr="00154588">
              <w:rPr>
                <w:sz w:val="20"/>
                <w:szCs w:val="20"/>
              </w:rPr>
              <w:t>fondul de rezoluție bancară contribuie la finanțarea rezoluției grupului conform prezentului articol.</w:t>
            </w:r>
          </w:p>
          <w:p w14:paraId="2577A4ED" w14:textId="77777777" w:rsidR="00EB243D" w:rsidRPr="00154588" w:rsidRDefault="00EB243D" w:rsidP="008C12B4">
            <w:pPr>
              <w:jc w:val="both"/>
              <w:rPr>
                <w:sz w:val="20"/>
                <w:szCs w:val="20"/>
              </w:rPr>
            </w:pPr>
          </w:p>
        </w:tc>
        <w:tc>
          <w:tcPr>
            <w:tcW w:w="2552" w:type="dxa"/>
          </w:tcPr>
          <w:p w14:paraId="4429FAA5" w14:textId="66FCFF0C" w:rsidR="00EB243D" w:rsidRPr="00154588" w:rsidRDefault="00EB243D" w:rsidP="008C12B4">
            <w:pPr>
              <w:jc w:val="both"/>
              <w:rPr>
                <w:sz w:val="20"/>
                <w:szCs w:val="20"/>
              </w:rPr>
            </w:pPr>
            <w:r w:rsidRPr="00154588">
              <w:rPr>
                <w:sz w:val="20"/>
                <w:szCs w:val="20"/>
              </w:rPr>
              <w:t>Compatibil</w:t>
            </w:r>
          </w:p>
        </w:tc>
        <w:tc>
          <w:tcPr>
            <w:tcW w:w="3118" w:type="dxa"/>
          </w:tcPr>
          <w:p w14:paraId="1981646F" w14:textId="77777777" w:rsidR="00EB243D" w:rsidRPr="00154588" w:rsidRDefault="00EB243D" w:rsidP="008C12B4">
            <w:pPr>
              <w:jc w:val="both"/>
              <w:rPr>
                <w:sz w:val="20"/>
                <w:szCs w:val="20"/>
              </w:rPr>
            </w:pPr>
          </w:p>
        </w:tc>
      </w:tr>
      <w:tr w:rsidR="00EB243D" w:rsidRPr="00154588" w14:paraId="1B877220" w14:textId="77777777" w:rsidTr="00D15C1B">
        <w:trPr>
          <w:jc w:val="center"/>
        </w:trPr>
        <w:tc>
          <w:tcPr>
            <w:tcW w:w="4957" w:type="dxa"/>
            <w:gridSpan w:val="2"/>
          </w:tcPr>
          <w:p w14:paraId="63E7980C" w14:textId="77777777" w:rsidR="00EB243D" w:rsidRPr="00154588" w:rsidRDefault="00EB243D" w:rsidP="008C12B4">
            <w:pPr>
              <w:jc w:val="both"/>
              <w:rPr>
                <w:sz w:val="20"/>
                <w:szCs w:val="20"/>
              </w:rPr>
            </w:pPr>
            <w:r w:rsidRPr="00154588">
              <w:rPr>
                <w:sz w:val="20"/>
                <w:szCs w:val="20"/>
              </w:rPr>
              <w:t>(2)   În sensul alineatului (1), autoritatea de rezoluție a grupului, în urma consultării cu autoritățile de rezoluție ale instituțiilor care fac parte din grup, propune, dacă este necesar înainte de luarea oricăror măsuri de rezoluție, un plan de finanțare ca element component al schemei de rezoluție a grupului prevăzute la articolele 91 și 92.</w:t>
            </w:r>
          </w:p>
          <w:p w14:paraId="0FE536AA" w14:textId="77777777" w:rsidR="00EB243D" w:rsidRPr="00154588" w:rsidRDefault="00EB243D" w:rsidP="008C12B4">
            <w:pPr>
              <w:jc w:val="both"/>
              <w:rPr>
                <w:sz w:val="20"/>
                <w:szCs w:val="20"/>
              </w:rPr>
            </w:pPr>
          </w:p>
          <w:p w14:paraId="040828EE" w14:textId="77777777" w:rsidR="00EB243D" w:rsidRPr="00154588" w:rsidRDefault="00EB243D" w:rsidP="008C12B4">
            <w:pPr>
              <w:jc w:val="both"/>
              <w:rPr>
                <w:sz w:val="20"/>
                <w:szCs w:val="20"/>
              </w:rPr>
            </w:pPr>
          </w:p>
          <w:p w14:paraId="0A0662FA" w14:textId="72B11E52" w:rsidR="00EB243D" w:rsidRPr="00154588" w:rsidRDefault="00EB243D" w:rsidP="008C12B4">
            <w:pPr>
              <w:jc w:val="both"/>
              <w:rPr>
                <w:sz w:val="20"/>
                <w:szCs w:val="20"/>
              </w:rPr>
            </w:pPr>
            <w:r w:rsidRPr="00154588">
              <w:rPr>
                <w:sz w:val="20"/>
                <w:szCs w:val="20"/>
              </w:rPr>
              <w:t>Planul de finanțare se stabilește în conformitate cu procedura decizională menționată la articolele 91 și 92.</w:t>
            </w:r>
          </w:p>
        </w:tc>
        <w:tc>
          <w:tcPr>
            <w:tcW w:w="4819" w:type="dxa"/>
          </w:tcPr>
          <w:p w14:paraId="7D4D4A2F" w14:textId="77777777" w:rsidR="00EB243D" w:rsidRPr="00154588" w:rsidRDefault="00EB243D" w:rsidP="008C12B4">
            <w:pPr>
              <w:ind w:firstLine="567"/>
              <w:jc w:val="both"/>
              <w:rPr>
                <w:sz w:val="20"/>
                <w:szCs w:val="20"/>
              </w:rPr>
            </w:pPr>
            <w:r w:rsidRPr="00154588">
              <w:rPr>
                <w:sz w:val="20"/>
                <w:szCs w:val="20"/>
              </w:rPr>
              <w:t>(2) În aplicarea prevederilor alin.(1), Banca Națională a Moldovei, în calitate de autoritate de rezoluție la nivel de grup, după consultarea cu autoritățile de rezoluție ale entităților care fac parte din grup, propune, dacă este necesar înainte de luarea oricăror acțiuni de rezoluție, un plan de finanțare ca element component al schemei de rezoluție a grupului prevăzute la art.295</w:t>
            </w:r>
            <w:r w:rsidRPr="00154588">
              <w:rPr>
                <w:sz w:val="20"/>
                <w:szCs w:val="20"/>
                <w:vertAlign w:val="superscript"/>
              </w:rPr>
              <w:t xml:space="preserve">17 </w:t>
            </w:r>
            <w:r w:rsidRPr="00154588">
              <w:rPr>
                <w:sz w:val="20"/>
                <w:szCs w:val="20"/>
              </w:rPr>
              <w:t>-295</w:t>
            </w:r>
            <w:r w:rsidRPr="00154588">
              <w:rPr>
                <w:sz w:val="20"/>
                <w:szCs w:val="20"/>
                <w:vertAlign w:val="superscript"/>
              </w:rPr>
              <w:t>41</w:t>
            </w:r>
            <w:r w:rsidRPr="00154588">
              <w:rPr>
                <w:sz w:val="20"/>
                <w:szCs w:val="20"/>
              </w:rPr>
              <w:t>.</w:t>
            </w:r>
          </w:p>
          <w:p w14:paraId="6F9EF800" w14:textId="77777777" w:rsidR="00EB243D" w:rsidRPr="00154588" w:rsidRDefault="00EB243D" w:rsidP="008C12B4">
            <w:pPr>
              <w:ind w:firstLine="567"/>
              <w:jc w:val="both"/>
              <w:rPr>
                <w:sz w:val="20"/>
                <w:szCs w:val="20"/>
              </w:rPr>
            </w:pPr>
            <w:r w:rsidRPr="00154588">
              <w:rPr>
                <w:sz w:val="20"/>
                <w:szCs w:val="20"/>
              </w:rPr>
              <w:t>(3) Planul de finanțare se stabilește conform procedurii decizionale prevăzute la art.295</w:t>
            </w:r>
            <w:r w:rsidRPr="00154588">
              <w:rPr>
                <w:sz w:val="20"/>
                <w:szCs w:val="20"/>
                <w:vertAlign w:val="superscript"/>
              </w:rPr>
              <w:t>17</w:t>
            </w:r>
            <w:r w:rsidRPr="00154588">
              <w:rPr>
                <w:sz w:val="20"/>
                <w:szCs w:val="20"/>
              </w:rPr>
              <w:t>-295</w:t>
            </w:r>
            <w:r w:rsidRPr="00154588">
              <w:rPr>
                <w:sz w:val="20"/>
                <w:szCs w:val="20"/>
                <w:vertAlign w:val="superscript"/>
              </w:rPr>
              <w:t>55</w:t>
            </w:r>
            <w:r w:rsidRPr="00154588">
              <w:rPr>
                <w:sz w:val="20"/>
                <w:szCs w:val="20"/>
              </w:rPr>
              <w:t>.</w:t>
            </w:r>
          </w:p>
          <w:p w14:paraId="6A4EE473" w14:textId="77777777" w:rsidR="00EB243D" w:rsidRPr="00154588" w:rsidRDefault="00EB243D" w:rsidP="008C12B4">
            <w:pPr>
              <w:ind w:firstLine="567"/>
              <w:jc w:val="both"/>
              <w:rPr>
                <w:sz w:val="20"/>
                <w:szCs w:val="20"/>
              </w:rPr>
            </w:pPr>
          </w:p>
          <w:p w14:paraId="21CDAA94" w14:textId="77777777" w:rsidR="00EB243D" w:rsidRPr="00154588" w:rsidRDefault="00EB243D" w:rsidP="008C12B4">
            <w:pPr>
              <w:jc w:val="both"/>
              <w:rPr>
                <w:sz w:val="20"/>
                <w:szCs w:val="20"/>
              </w:rPr>
            </w:pPr>
          </w:p>
        </w:tc>
        <w:tc>
          <w:tcPr>
            <w:tcW w:w="2552" w:type="dxa"/>
          </w:tcPr>
          <w:p w14:paraId="5B804F0E" w14:textId="12D1508B" w:rsidR="00EB243D" w:rsidRPr="00154588" w:rsidRDefault="00EB243D" w:rsidP="008C12B4">
            <w:pPr>
              <w:jc w:val="both"/>
              <w:rPr>
                <w:sz w:val="20"/>
                <w:szCs w:val="20"/>
              </w:rPr>
            </w:pPr>
            <w:r w:rsidRPr="00154588">
              <w:rPr>
                <w:sz w:val="20"/>
                <w:szCs w:val="20"/>
              </w:rPr>
              <w:t>Compatibil</w:t>
            </w:r>
          </w:p>
        </w:tc>
        <w:tc>
          <w:tcPr>
            <w:tcW w:w="3118" w:type="dxa"/>
          </w:tcPr>
          <w:p w14:paraId="6465BB0E" w14:textId="77777777" w:rsidR="00EB243D" w:rsidRPr="00154588" w:rsidRDefault="00EB243D" w:rsidP="008C12B4">
            <w:pPr>
              <w:jc w:val="both"/>
              <w:rPr>
                <w:sz w:val="20"/>
                <w:szCs w:val="20"/>
              </w:rPr>
            </w:pPr>
          </w:p>
        </w:tc>
      </w:tr>
      <w:tr w:rsidR="00EB243D" w:rsidRPr="00154588" w14:paraId="71630957" w14:textId="77777777" w:rsidTr="00D15C1B">
        <w:trPr>
          <w:jc w:val="center"/>
        </w:trPr>
        <w:tc>
          <w:tcPr>
            <w:tcW w:w="4957" w:type="dxa"/>
            <w:gridSpan w:val="2"/>
          </w:tcPr>
          <w:p w14:paraId="19635063" w14:textId="77777777" w:rsidR="00EB243D" w:rsidRPr="00154588" w:rsidRDefault="00EB243D" w:rsidP="008C12B4">
            <w:pPr>
              <w:jc w:val="both"/>
              <w:rPr>
                <w:sz w:val="20"/>
                <w:szCs w:val="20"/>
              </w:rPr>
            </w:pPr>
            <w:r w:rsidRPr="00154588">
              <w:rPr>
                <w:sz w:val="20"/>
                <w:szCs w:val="20"/>
              </w:rPr>
              <w:t>(3)   Planul de finanțare include:</w:t>
            </w:r>
          </w:p>
          <w:p w14:paraId="7DC69C45" w14:textId="77777777" w:rsidR="00EB243D" w:rsidRPr="00154588" w:rsidRDefault="00EB243D" w:rsidP="008C12B4">
            <w:pPr>
              <w:jc w:val="both"/>
              <w:rPr>
                <w:sz w:val="20"/>
                <w:szCs w:val="20"/>
              </w:rPr>
            </w:pPr>
          </w:p>
          <w:p w14:paraId="13992E9F" w14:textId="77777777" w:rsidR="00EB243D" w:rsidRPr="00154588" w:rsidRDefault="00EB243D" w:rsidP="008C12B4">
            <w:pPr>
              <w:jc w:val="both"/>
              <w:rPr>
                <w:sz w:val="20"/>
                <w:szCs w:val="20"/>
              </w:rPr>
            </w:pPr>
          </w:p>
          <w:p w14:paraId="7AB51EC6" w14:textId="661CE694" w:rsidR="00EB243D" w:rsidRPr="00154588" w:rsidRDefault="00EB243D" w:rsidP="008C12B4">
            <w:pPr>
              <w:jc w:val="both"/>
              <w:rPr>
                <w:sz w:val="20"/>
                <w:szCs w:val="20"/>
              </w:rPr>
            </w:pPr>
            <w:r w:rsidRPr="00154588">
              <w:rPr>
                <w:sz w:val="20"/>
                <w:szCs w:val="20"/>
              </w:rPr>
              <w:t>(a) o evaluare în conformitate cu articolul 36 în ceea ce privește entitățile din grup afectate;</w:t>
            </w:r>
          </w:p>
          <w:p w14:paraId="116A7F41" w14:textId="77777777" w:rsidR="00EB243D" w:rsidRPr="00154588" w:rsidRDefault="00EB243D" w:rsidP="008C12B4">
            <w:pPr>
              <w:jc w:val="both"/>
              <w:rPr>
                <w:sz w:val="20"/>
                <w:szCs w:val="20"/>
              </w:rPr>
            </w:pPr>
          </w:p>
          <w:p w14:paraId="289A1D0F" w14:textId="2C0F2AC6" w:rsidR="00EB243D" w:rsidRPr="00154588" w:rsidRDefault="00EB243D" w:rsidP="008C12B4">
            <w:pPr>
              <w:jc w:val="both"/>
              <w:rPr>
                <w:sz w:val="20"/>
                <w:szCs w:val="20"/>
              </w:rPr>
            </w:pPr>
            <w:r w:rsidRPr="00154588">
              <w:rPr>
                <w:sz w:val="20"/>
                <w:szCs w:val="20"/>
              </w:rPr>
              <w:lastRenderedPageBreak/>
              <w:t>(b) pierderile care urmează să fie recunoscute de fiecare entitate din grup afectată la momentul punerii în aplicare a instrumentelor de rezoluție;</w:t>
            </w:r>
          </w:p>
          <w:p w14:paraId="45F6E72B" w14:textId="77777777" w:rsidR="00EB243D" w:rsidRPr="00154588" w:rsidRDefault="00EB243D" w:rsidP="008C12B4">
            <w:pPr>
              <w:jc w:val="both"/>
              <w:rPr>
                <w:sz w:val="20"/>
                <w:szCs w:val="20"/>
              </w:rPr>
            </w:pPr>
          </w:p>
          <w:p w14:paraId="7769316D" w14:textId="57806287" w:rsidR="00EB243D" w:rsidRPr="00154588" w:rsidRDefault="00EB243D" w:rsidP="008C12B4">
            <w:pPr>
              <w:jc w:val="both"/>
              <w:rPr>
                <w:sz w:val="20"/>
                <w:szCs w:val="20"/>
              </w:rPr>
            </w:pPr>
            <w:r w:rsidRPr="00154588">
              <w:rPr>
                <w:sz w:val="20"/>
                <w:szCs w:val="20"/>
              </w:rPr>
              <w:t>(c) pentru fiecare entitate din grup afectată, pierderile care ar urma să fie suferite de fiecare categorie de acționari și de creditori;</w:t>
            </w:r>
          </w:p>
          <w:p w14:paraId="199A098D" w14:textId="77777777" w:rsidR="00EB243D" w:rsidRPr="00154588" w:rsidRDefault="00EB243D" w:rsidP="008C12B4">
            <w:pPr>
              <w:jc w:val="both"/>
              <w:rPr>
                <w:sz w:val="20"/>
                <w:szCs w:val="20"/>
              </w:rPr>
            </w:pPr>
          </w:p>
          <w:p w14:paraId="08D2936C" w14:textId="5A37DF3D" w:rsidR="00EB243D" w:rsidRPr="00154588" w:rsidRDefault="00EB243D" w:rsidP="008C12B4">
            <w:pPr>
              <w:jc w:val="both"/>
              <w:rPr>
                <w:sz w:val="20"/>
                <w:szCs w:val="20"/>
              </w:rPr>
            </w:pPr>
            <w:r w:rsidRPr="00154588">
              <w:rPr>
                <w:sz w:val="20"/>
                <w:szCs w:val="20"/>
              </w:rPr>
              <w:t>(d) eventuala contribuție pe care ar trebui să o aducă schemele de garantare a depozitelor în conformitate cu articolul 109;</w:t>
            </w:r>
          </w:p>
          <w:p w14:paraId="116E510E" w14:textId="77777777" w:rsidR="00EB243D" w:rsidRPr="00154588" w:rsidRDefault="00EB243D" w:rsidP="008C12B4">
            <w:pPr>
              <w:jc w:val="both"/>
              <w:rPr>
                <w:sz w:val="20"/>
                <w:szCs w:val="20"/>
              </w:rPr>
            </w:pPr>
          </w:p>
          <w:p w14:paraId="3596540F" w14:textId="3314F3A2" w:rsidR="00EB243D" w:rsidRPr="00154588" w:rsidRDefault="00EB243D" w:rsidP="008C12B4">
            <w:pPr>
              <w:jc w:val="both"/>
              <w:rPr>
                <w:sz w:val="20"/>
                <w:szCs w:val="20"/>
              </w:rPr>
            </w:pPr>
            <w:r w:rsidRPr="00154588">
              <w:rPr>
                <w:sz w:val="20"/>
                <w:szCs w:val="20"/>
              </w:rPr>
              <w:t>(e) contribuția totală prin mecanismele de finanțare a rezoluției și scopul și forma contribuției;</w:t>
            </w:r>
          </w:p>
          <w:p w14:paraId="63239006" w14:textId="77777777" w:rsidR="00EB243D" w:rsidRPr="00154588" w:rsidRDefault="00EB243D" w:rsidP="008C12B4">
            <w:pPr>
              <w:jc w:val="both"/>
              <w:rPr>
                <w:sz w:val="20"/>
                <w:szCs w:val="20"/>
              </w:rPr>
            </w:pPr>
          </w:p>
          <w:p w14:paraId="05717755" w14:textId="6F51E040" w:rsidR="00EB243D" w:rsidRPr="00154588" w:rsidRDefault="00EB243D" w:rsidP="008C12B4">
            <w:pPr>
              <w:jc w:val="both"/>
              <w:rPr>
                <w:sz w:val="20"/>
                <w:szCs w:val="20"/>
              </w:rPr>
            </w:pPr>
            <w:r w:rsidRPr="00154588">
              <w:rPr>
                <w:sz w:val="20"/>
                <w:szCs w:val="20"/>
              </w:rPr>
              <w:t>(f) baza pentru calcularea sumei cu care fiecare dintre mecanismele naționale de finanțare ale statelor membre în care sunt situate entitățile afectate din grup trebuie să contribuie la finanțarea rezoluției grupului pentru constituirea contribuției totale menționate la litera (e);</w:t>
            </w:r>
          </w:p>
          <w:p w14:paraId="6CFBAA27" w14:textId="77777777" w:rsidR="00EB243D" w:rsidRPr="00154588" w:rsidRDefault="00EB243D" w:rsidP="008C12B4">
            <w:pPr>
              <w:jc w:val="both"/>
              <w:rPr>
                <w:sz w:val="20"/>
                <w:szCs w:val="20"/>
              </w:rPr>
            </w:pPr>
          </w:p>
          <w:p w14:paraId="0536EDDE" w14:textId="77777777" w:rsidR="00EB243D" w:rsidRPr="00154588" w:rsidRDefault="00EB243D" w:rsidP="008C12B4">
            <w:pPr>
              <w:jc w:val="both"/>
              <w:rPr>
                <w:sz w:val="20"/>
                <w:szCs w:val="20"/>
              </w:rPr>
            </w:pPr>
          </w:p>
          <w:p w14:paraId="706EA838" w14:textId="35433B97" w:rsidR="00EB243D" w:rsidRPr="00154588" w:rsidRDefault="00EB243D" w:rsidP="008C12B4">
            <w:pPr>
              <w:jc w:val="both"/>
              <w:rPr>
                <w:sz w:val="20"/>
                <w:szCs w:val="20"/>
              </w:rPr>
            </w:pPr>
            <w:r w:rsidRPr="00154588">
              <w:rPr>
                <w:sz w:val="20"/>
                <w:szCs w:val="20"/>
              </w:rPr>
              <w:t>(g) suma cu care mecanismele naționale de finanțare ale fiecărei entități din grup afectată trebuie să contribuie la finanțarea rezoluției grupului, precum și forma respectivelor contribuții;</w:t>
            </w:r>
          </w:p>
          <w:p w14:paraId="603868DF" w14:textId="77777777" w:rsidR="00EB243D" w:rsidRPr="00154588" w:rsidRDefault="00EB243D" w:rsidP="008C12B4">
            <w:pPr>
              <w:jc w:val="both"/>
              <w:rPr>
                <w:sz w:val="20"/>
                <w:szCs w:val="20"/>
              </w:rPr>
            </w:pPr>
          </w:p>
          <w:p w14:paraId="27449DE5" w14:textId="5C654CE1" w:rsidR="00EB243D" w:rsidRPr="00154588" w:rsidRDefault="00EB243D" w:rsidP="008C12B4">
            <w:pPr>
              <w:jc w:val="both"/>
              <w:rPr>
                <w:sz w:val="20"/>
                <w:szCs w:val="20"/>
              </w:rPr>
            </w:pPr>
            <w:r w:rsidRPr="00154588">
              <w:rPr>
                <w:sz w:val="20"/>
                <w:szCs w:val="20"/>
              </w:rPr>
              <w:t>(h) valoarea împrumuturilor pe care mecanismele de finanțare ale statelor membre în care sunt situate entitățile din grup afectate le vor contracta de la instituții, instituții financiare și alte terțe părți, în temeiul articolului 105;</w:t>
            </w:r>
          </w:p>
          <w:p w14:paraId="0E6A3455" w14:textId="77777777" w:rsidR="00EB243D" w:rsidRPr="00154588" w:rsidRDefault="00EB243D" w:rsidP="008C12B4">
            <w:pPr>
              <w:jc w:val="both"/>
              <w:rPr>
                <w:sz w:val="20"/>
                <w:szCs w:val="20"/>
              </w:rPr>
            </w:pPr>
          </w:p>
          <w:p w14:paraId="251C5BC7" w14:textId="673E4EE3" w:rsidR="00EB243D" w:rsidRPr="00154588" w:rsidRDefault="00EB243D" w:rsidP="008C12B4">
            <w:pPr>
              <w:jc w:val="both"/>
              <w:rPr>
                <w:sz w:val="20"/>
                <w:szCs w:val="20"/>
              </w:rPr>
            </w:pPr>
            <w:r w:rsidRPr="00154588">
              <w:rPr>
                <w:sz w:val="20"/>
                <w:szCs w:val="20"/>
              </w:rPr>
              <w:t>(i) un calendar al utilizării mecanismelor de finanțare ale statelor membre în care sunt situate entitățile din grup afectate, calendar care ar trebui să poată fi extins dacă este necesar.</w:t>
            </w:r>
          </w:p>
        </w:tc>
        <w:tc>
          <w:tcPr>
            <w:tcW w:w="4819" w:type="dxa"/>
          </w:tcPr>
          <w:p w14:paraId="493DD02D" w14:textId="77777777" w:rsidR="00EB243D" w:rsidRPr="00154588" w:rsidRDefault="00EB243D" w:rsidP="008C12B4">
            <w:pPr>
              <w:ind w:firstLine="567"/>
              <w:jc w:val="both"/>
              <w:rPr>
                <w:b/>
                <w:color w:val="8B0000"/>
                <w:sz w:val="20"/>
                <w:szCs w:val="20"/>
                <w:bdr w:val="none" w:sz="0" w:space="0" w:color="auto" w:frame="1"/>
                <w:shd w:val="clear" w:color="auto" w:fill="FFFFFF"/>
              </w:rPr>
            </w:pPr>
            <w:r w:rsidRPr="00154588">
              <w:rPr>
                <w:sz w:val="20"/>
                <w:szCs w:val="20"/>
              </w:rPr>
              <w:lastRenderedPageBreak/>
              <w:t>4) Planul de finanțare include:</w:t>
            </w:r>
            <w:r w:rsidRPr="00154588">
              <w:rPr>
                <w:b/>
                <w:color w:val="8B0000"/>
                <w:sz w:val="20"/>
                <w:szCs w:val="20"/>
                <w:bdr w:val="none" w:sz="0" w:space="0" w:color="auto" w:frame="1"/>
                <w:shd w:val="clear" w:color="auto" w:fill="FFFFFF"/>
              </w:rPr>
              <w:t xml:space="preserve"> </w:t>
            </w:r>
          </w:p>
          <w:p w14:paraId="636828B6" w14:textId="77777777" w:rsidR="00EB243D" w:rsidRPr="00154588" w:rsidRDefault="00EB243D" w:rsidP="008C12B4">
            <w:pPr>
              <w:ind w:firstLine="567"/>
              <w:jc w:val="both"/>
              <w:rPr>
                <w:sz w:val="20"/>
                <w:szCs w:val="20"/>
              </w:rPr>
            </w:pPr>
            <w:r w:rsidRPr="00154588">
              <w:rPr>
                <w:sz w:val="20"/>
                <w:szCs w:val="20"/>
              </w:rPr>
              <w:t>a) o evaluare conform art.72-84 cu privire la entitățile din grup afectate;</w:t>
            </w:r>
          </w:p>
          <w:p w14:paraId="2DEEAA35" w14:textId="77777777" w:rsidR="00EB243D" w:rsidRPr="00154588" w:rsidRDefault="00EB243D" w:rsidP="008C12B4">
            <w:pPr>
              <w:ind w:firstLine="567"/>
              <w:jc w:val="both"/>
              <w:rPr>
                <w:sz w:val="20"/>
                <w:szCs w:val="20"/>
              </w:rPr>
            </w:pPr>
            <w:r w:rsidRPr="00154588">
              <w:rPr>
                <w:sz w:val="20"/>
                <w:szCs w:val="20"/>
              </w:rPr>
              <w:t>b) pierderile care urmează să fie recunoscute de fiecare entitate din grup afectată la momentul punerii în aplicare a instrumentelor de rezoluție;</w:t>
            </w:r>
          </w:p>
          <w:p w14:paraId="38046FCC" w14:textId="77777777" w:rsidR="00EB243D" w:rsidRPr="00154588" w:rsidRDefault="00EB243D" w:rsidP="008C12B4">
            <w:pPr>
              <w:ind w:firstLine="567"/>
              <w:jc w:val="both"/>
              <w:rPr>
                <w:sz w:val="20"/>
                <w:szCs w:val="20"/>
              </w:rPr>
            </w:pPr>
            <w:r w:rsidRPr="00154588">
              <w:rPr>
                <w:sz w:val="20"/>
                <w:szCs w:val="20"/>
              </w:rPr>
              <w:lastRenderedPageBreak/>
              <w:t>c) pentru fiecare entitate din grup afectată, pierderile care ar urma să fie suferite de fiecare categorie de acționari și creditori;</w:t>
            </w:r>
          </w:p>
          <w:p w14:paraId="1D41B5F6" w14:textId="77777777" w:rsidR="00EB243D" w:rsidRPr="00154588" w:rsidRDefault="00EB243D" w:rsidP="008C12B4">
            <w:pPr>
              <w:ind w:firstLine="567"/>
              <w:jc w:val="both"/>
              <w:rPr>
                <w:sz w:val="20"/>
                <w:szCs w:val="20"/>
              </w:rPr>
            </w:pPr>
            <w:r w:rsidRPr="00154588">
              <w:rPr>
                <w:sz w:val="20"/>
                <w:szCs w:val="20"/>
              </w:rPr>
              <w:t>d) eventuala contribuție pe care ar trebui să o aducă schemele de garantare a depozitelor conform art.313</w:t>
            </w:r>
            <w:r w:rsidRPr="00154588">
              <w:rPr>
                <w:sz w:val="20"/>
                <w:szCs w:val="20"/>
                <w:vertAlign w:val="superscript"/>
              </w:rPr>
              <w:t>8</w:t>
            </w:r>
            <w:r w:rsidRPr="00154588">
              <w:rPr>
                <w:sz w:val="20"/>
                <w:szCs w:val="20"/>
              </w:rPr>
              <w:t>;</w:t>
            </w:r>
          </w:p>
          <w:p w14:paraId="7CEE5177" w14:textId="77777777" w:rsidR="00EB243D" w:rsidRPr="00154588" w:rsidRDefault="00EB243D" w:rsidP="008C12B4">
            <w:pPr>
              <w:ind w:firstLine="567"/>
              <w:jc w:val="both"/>
              <w:rPr>
                <w:sz w:val="20"/>
                <w:szCs w:val="20"/>
              </w:rPr>
            </w:pPr>
            <w:r w:rsidRPr="00154588">
              <w:rPr>
                <w:sz w:val="20"/>
                <w:szCs w:val="20"/>
              </w:rPr>
              <w:t>e) contribuția totală a mecanismelor de finanțare a rezoluției, scopul și forma contribuției;</w:t>
            </w:r>
          </w:p>
          <w:p w14:paraId="5DB83DC9" w14:textId="77777777" w:rsidR="00EB243D" w:rsidRPr="00154588" w:rsidRDefault="00EB243D" w:rsidP="008C12B4">
            <w:pPr>
              <w:ind w:firstLine="567"/>
              <w:jc w:val="both"/>
              <w:rPr>
                <w:sz w:val="20"/>
                <w:szCs w:val="20"/>
              </w:rPr>
            </w:pPr>
            <w:r w:rsidRPr="00154588">
              <w:rPr>
                <w:sz w:val="20"/>
                <w:szCs w:val="20"/>
              </w:rPr>
              <w:t xml:space="preserve">f) baza pentru calcularea sumei cu care fiecare mecanism de finanțare al statelor membre în care sunt situate entități afectate din grup trebuie să contribuie la finanțarea  </w:t>
            </w:r>
          </w:p>
          <w:p w14:paraId="00273618" w14:textId="77777777" w:rsidR="00EB243D" w:rsidRPr="00154588" w:rsidRDefault="00EB243D" w:rsidP="008C12B4">
            <w:pPr>
              <w:ind w:firstLine="567"/>
              <w:jc w:val="both"/>
              <w:rPr>
                <w:sz w:val="20"/>
                <w:szCs w:val="20"/>
              </w:rPr>
            </w:pPr>
            <w:r w:rsidRPr="00154588">
              <w:rPr>
                <w:sz w:val="20"/>
                <w:szCs w:val="20"/>
              </w:rPr>
              <w:t>g) suma cu care mecanismele naționale de finanțare ale fiecărei entități afectate din grup trebuie să contribuie la finanțarea rezoluției grupului, precum și forma respectivelor contribuții;</w:t>
            </w:r>
          </w:p>
          <w:p w14:paraId="7B52E3AC" w14:textId="77777777" w:rsidR="00EB243D" w:rsidRPr="00154588" w:rsidRDefault="00EB243D" w:rsidP="008C12B4">
            <w:pPr>
              <w:ind w:firstLine="567"/>
              <w:jc w:val="both"/>
              <w:rPr>
                <w:sz w:val="20"/>
                <w:szCs w:val="20"/>
              </w:rPr>
            </w:pPr>
            <w:r w:rsidRPr="00154588">
              <w:rPr>
                <w:sz w:val="20"/>
                <w:szCs w:val="20"/>
              </w:rPr>
              <w:t>h) valoarea împrumuturilor pe care mecanismele de finanțare ale statelor membre în care sunt situate entitățile din grup afectate le vor contracta de la instituții de credit, instituții financiare și alte părți terțe, în temeiul art.313;</w:t>
            </w:r>
          </w:p>
          <w:p w14:paraId="35F53D17" w14:textId="77777777" w:rsidR="00EB243D" w:rsidRPr="00154588" w:rsidRDefault="00EB243D" w:rsidP="008C12B4">
            <w:pPr>
              <w:ind w:firstLine="567"/>
              <w:jc w:val="both"/>
              <w:rPr>
                <w:sz w:val="20"/>
                <w:szCs w:val="20"/>
              </w:rPr>
            </w:pPr>
            <w:r w:rsidRPr="00154588">
              <w:rPr>
                <w:sz w:val="20"/>
                <w:szCs w:val="20"/>
              </w:rPr>
              <w:t>i) un calendar al utilizării mecanismelor de finanțare ale statelor membre în care sunt situate entitățile din grup afectate, calendar care ar trebui să poată fi extins dacă este necesar.</w:t>
            </w:r>
          </w:p>
          <w:p w14:paraId="43D81831" w14:textId="77777777" w:rsidR="00EB243D" w:rsidRPr="00154588" w:rsidRDefault="00EB243D" w:rsidP="008C12B4">
            <w:pPr>
              <w:jc w:val="both"/>
              <w:rPr>
                <w:sz w:val="20"/>
                <w:szCs w:val="20"/>
              </w:rPr>
            </w:pPr>
          </w:p>
        </w:tc>
        <w:tc>
          <w:tcPr>
            <w:tcW w:w="2552" w:type="dxa"/>
          </w:tcPr>
          <w:p w14:paraId="266EF266" w14:textId="030BAE87" w:rsidR="00EB243D" w:rsidRPr="00154588" w:rsidRDefault="00EB243D" w:rsidP="008C12B4">
            <w:pPr>
              <w:jc w:val="both"/>
              <w:rPr>
                <w:sz w:val="20"/>
                <w:szCs w:val="20"/>
              </w:rPr>
            </w:pPr>
            <w:r w:rsidRPr="00154588">
              <w:rPr>
                <w:sz w:val="20"/>
                <w:szCs w:val="20"/>
              </w:rPr>
              <w:lastRenderedPageBreak/>
              <w:t>Compatibil</w:t>
            </w:r>
          </w:p>
        </w:tc>
        <w:tc>
          <w:tcPr>
            <w:tcW w:w="3118" w:type="dxa"/>
          </w:tcPr>
          <w:p w14:paraId="09560388" w14:textId="77777777" w:rsidR="00EB243D" w:rsidRPr="00154588" w:rsidRDefault="00EB243D" w:rsidP="008C12B4">
            <w:pPr>
              <w:jc w:val="both"/>
              <w:rPr>
                <w:sz w:val="20"/>
                <w:szCs w:val="20"/>
              </w:rPr>
            </w:pPr>
          </w:p>
        </w:tc>
      </w:tr>
      <w:tr w:rsidR="00EB243D" w:rsidRPr="00154588" w14:paraId="234A47DC" w14:textId="77777777" w:rsidTr="00D15C1B">
        <w:trPr>
          <w:jc w:val="center"/>
        </w:trPr>
        <w:tc>
          <w:tcPr>
            <w:tcW w:w="4957" w:type="dxa"/>
            <w:gridSpan w:val="2"/>
          </w:tcPr>
          <w:p w14:paraId="598C810E" w14:textId="28E0DF7A" w:rsidR="00EB243D" w:rsidRPr="00154588" w:rsidRDefault="00EB243D" w:rsidP="008C12B4">
            <w:pPr>
              <w:jc w:val="both"/>
              <w:rPr>
                <w:sz w:val="20"/>
                <w:szCs w:val="20"/>
              </w:rPr>
            </w:pPr>
            <w:r w:rsidRPr="00154588">
              <w:rPr>
                <w:sz w:val="20"/>
                <w:szCs w:val="20"/>
              </w:rPr>
              <w:t>(4)   Baza pentru repartizarea contribuției menționate la alineatul (3) litera (e) este conformă cu alineatul (5) de la prezentul articol și cu principiile specificate în planul de rezoluție a grupului, în conformitate cu articolul 12 alineatul (3) litera (f), cu excepția cazului în care, în planul de finanțare, se convine să se procedeze altfel.</w:t>
            </w:r>
          </w:p>
        </w:tc>
        <w:tc>
          <w:tcPr>
            <w:tcW w:w="4819" w:type="dxa"/>
          </w:tcPr>
          <w:p w14:paraId="6C46165C" w14:textId="77777777" w:rsidR="00EB243D" w:rsidRPr="00154588" w:rsidRDefault="00EB243D" w:rsidP="008C12B4">
            <w:pPr>
              <w:ind w:firstLine="567"/>
              <w:jc w:val="both"/>
              <w:rPr>
                <w:sz w:val="20"/>
                <w:szCs w:val="20"/>
              </w:rPr>
            </w:pPr>
            <w:r w:rsidRPr="00154588">
              <w:rPr>
                <w:sz w:val="20"/>
                <w:szCs w:val="20"/>
              </w:rPr>
              <w:t>(5) Baza de calcul pentru repartizarea contribuției prevăzute la alin.(3) lit.e) este conformă cu alin.(5) de la prezentul articol și cu principiile specificate în planul de rezoluție a grupului, conform art.31</w:t>
            </w:r>
            <w:r w:rsidRPr="00154588">
              <w:rPr>
                <w:sz w:val="20"/>
                <w:szCs w:val="20"/>
                <w:vertAlign w:val="superscript"/>
              </w:rPr>
              <w:t>3</w:t>
            </w:r>
            <w:r w:rsidRPr="00154588">
              <w:rPr>
                <w:sz w:val="20"/>
                <w:szCs w:val="20"/>
              </w:rPr>
              <w:t xml:space="preserve"> alin.(1) lit.f), cu excepția cazului în care, în planul de finanțare, se convine să se procedeze altfel.</w:t>
            </w:r>
          </w:p>
          <w:p w14:paraId="56CF5D96" w14:textId="77777777" w:rsidR="00EB243D" w:rsidRPr="00154588" w:rsidRDefault="00EB243D" w:rsidP="008C12B4">
            <w:pPr>
              <w:jc w:val="both"/>
              <w:rPr>
                <w:sz w:val="20"/>
                <w:szCs w:val="20"/>
              </w:rPr>
            </w:pPr>
          </w:p>
          <w:p w14:paraId="72493B0F" w14:textId="77777777" w:rsidR="00EB243D" w:rsidRPr="00154588" w:rsidRDefault="00EB243D" w:rsidP="008C12B4">
            <w:pPr>
              <w:rPr>
                <w:sz w:val="20"/>
                <w:szCs w:val="20"/>
              </w:rPr>
            </w:pPr>
          </w:p>
        </w:tc>
        <w:tc>
          <w:tcPr>
            <w:tcW w:w="2552" w:type="dxa"/>
          </w:tcPr>
          <w:p w14:paraId="01CDA8CD" w14:textId="72333633" w:rsidR="00EB243D" w:rsidRPr="00154588" w:rsidRDefault="00EB243D" w:rsidP="008C12B4">
            <w:pPr>
              <w:jc w:val="both"/>
              <w:rPr>
                <w:sz w:val="20"/>
                <w:szCs w:val="20"/>
              </w:rPr>
            </w:pPr>
            <w:r w:rsidRPr="00154588">
              <w:rPr>
                <w:sz w:val="20"/>
                <w:szCs w:val="20"/>
              </w:rPr>
              <w:lastRenderedPageBreak/>
              <w:t>Compatibil</w:t>
            </w:r>
          </w:p>
        </w:tc>
        <w:tc>
          <w:tcPr>
            <w:tcW w:w="3118" w:type="dxa"/>
          </w:tcPr>
          <w:p w14:paraId="49D1773F" w14:textId="77777777" w:rsidR="00EB243D" w:rsidRPr="00154588" w:rsidRDefault="00EB243D" w:rsidP="008C12B4">
            <w:pPr>
              <w:jc w:val="both"/>
              <w:rPr>
                <w:sz w:val="20"/>
                <w:szCs w:val="20"/>
              </w:rPr>
            </w:pPr>
          </w:p>
        </w:tc>
      </w:tr>
      <w:tr w:rsidR="00EB243D" w:rsidRPr="00154588" w14:paraId="746C6C20" w14:textId="77777777" w:rsidTr="00D15C1B">
        <w:trPr>
          <w:jc w:val="center"/>
        </w:trPr>
        <w:tc>
          <w:tcPr>
            <w:tcW w:w="4957" w:type="dxa"/>
            <w:gridSpan w:val="2"/>
          </w:tcPr>
          <w:p w14:paraId="7B3899C2" w14:textId="77777777" w:rsidR="00EB243D" w:rsidRPr="00154588" w:rsidRDefault="00EB243D" w:rsidP="008C12B4">
            <w:pPr>
              <w:jc w:val="both"/>
              <w:rPr>
                <w:sz w:val="20"/>
                <w:szCs w:val="20"/>
              </w:rPr>
            </w:pPr>
            <w:r w:rsidRPr="00154588">
              <w:rPr>
                <w:sz w:val="20"/>
                <w:szCs w:val="20"/>
              </w:rPr>
              <w:t>(5)   Dacă nu se convine altfel în planul de finanțare, baza pentru calcularea contribuției fiecărui mecanism național de finanțare ia în considerare, cu precădere, următoarele:</w:t>
            </w:r>
          </w:p>
          <w:p w14:paraId="5AD8D98E" w14:textId="77777777" w:rsidR="00EB243D" w:rsidRPr="00154588" w:rsidRDefault="00EB243D" w:rsidP="008C12B4">
            <w:pPr>
              <w:jc w:val="both"/>
              <w:rPr>
                <w:sz w:val="20"/>
                <w:szCs w:val="20"/>
              </w:rPr>
            </w:pPr>
          </w:p>
          <w:p w14:paraId="65670811" w14:textId="412C4827" w:rsidR="00EB243D" w:rsidRPr="00154588" w:rsidRDefault="00EB243D" w:rsidP="008C12B4">
            <w:pPr>
              <w:jc w:val="both"/>
              <w:rPr>
                <w:sz w:val="20"/>
                <w:szCs w:val="20"/>
              </w:rPr>
            </w:pPr>
            <w:r w:rsidRPr="00154588">
              <w:rPr>
                <w:sz w:val="20"/>
                <w:szCs w:val="20"/>
              </w:rPr>
              <w:t>(a) proporția din activele ponderate în funcție de risc ale grupului care este deținută în instituțiile și de entitățile menționate la articolul 1 alineatul (1) literele (b), (c) și (d) stabilite în statul membru al mecanismului respectiv de finanțare a rezoluției;</w:t>
            </w:r>
          </w:p>
          <w:p w14:paraId="3CAD50F0" w14:textId="77777777" w:rsidR="00EB243D" w:rsidRPr="00154588" w:rsidRDefault="00EB243D" w:rsidP="008C12B4">
            <w:pPr>
              <w:jc w:val="both"/>
              <w:rPr>
                <w:sz w:val="20"/>
                <w:szCs w:val="20"/>
              </w:rPr>
            </w:pPr>
          </w:p>
          <w:p w14:paraId="0235E3C1" w14:textId="05444E61" w:rsidR="00EB243D" w:rsidRPr="00154588" w:rsidRDefault="00EB243D" w:rsidP="008C12B4">
            <w:pPr>
              <w:jc w:val="both"/>
              <w:rPr>
                <w:sz w:val="20"/>
                <w:szCs w:val="20"/>
              </w:rPr>
            </w:pPr>
            <w:r w:rsidRPr="00154588">
              <w:rPr>
                <w:sz w:val="20"/>
                <w:szCs w:val="20"/>
              </w:rPr>
              <w:t>(b) proporția din activele grupului care este deținută în instituțiile și de entitățile menționate la articolul 1 alineatul (1) literele (b), (c) și (d) stabilite în statul membru al mecanismului respectiv de finanțare a rezoluției;</w:t>
            </w:r>
          </w:p>
          <w:p w14:paraId="686F1996" w14:textId="77777777" w:rsidR="00EB243D" w:rsidRPr="00154588" w:rsidRDefault="00EB243D" w:rsidP="008C12B4">
            <w:pPr>
              <w:jc w:val="both"/>
              <w:rPr>
                <w:sz w:val="20"/>
                <w:szCs w:val="20"/>
              </w:rPr>
            </w:pPr>
          </w:p>
          <w:p w14:paraId="6164670F" w14:textId="56F161DD" w:rsidR="00EB243D" w:rsidRPr="00154588" w:rsidRDefault="00EB243D" w:rsidP="008C12B4">
            <w:pPr>
              <w:jc w:val="both"/>
              <w:rPr>
                <w:sz w:val="20"/>
                <w:szCs w:val="20"/>
              </w:rPr>
            </w:pPr>
            <w:r w:rsidRPr="00154588">
              <w:rPr>
                <w:sz w:val="20"/>
                <w:szCs w:val="20"/>
              </w:rPr>
              <w:t>(c) proporția din totalul pierderilor care au făcut necesară rezoluția grupului care are drept sursă entități din grup aflate sub supravegherea autorităților competente din statul membru al mecanismului respectiv de finanțare a rezoluției; și</w:t>
            </w:r>
          </w:p>
          <w:p w14:paraId="63D2A4F5" w14:textId="77777777" w:rsidR="00EB243D" w:rsidRPr="00154588" w:rsidRDefault="00EB243D" w:rsidP="008C12B4">
            <w:pPr>
              <w:jc w:val="both"/>
              <w:rPr>
                <w:sz w:val="20"/>
                <w:szCs w:val="20"/>
              </w:rPr>
            </w:pPr>
          </w:p>
          <w:p w14:paraId="0D8388EE" w14:textId="5D7B1C16" w:rsidR="00EB243D" w:rsidRPr="00154588" w:rsidRDefault="00EB243D" w:rsidP="008C12B4">
            <w:pPr>
              <w:jc w:val="both"/>
              <w:rPr>
                <w:sz w:val="20"/>
                <w:szCs w:val="20"/>
              </w:rPr>
            </w:pPr>
            <w:r w:rsidRPr="00154588">
              <w:rPr>
                <w:sz w:val="20"/>
                <w:szCs w:val="20"/>
              </w:rPr>
              <w:t>(d) proporția din resursele mecanismelor de finanțare a grupului care este preconizată, conform planului de finanțare, să fie utilizată în beneficiul direct al entităților din grup stabilite în statul membru al mecanismului respectiv de finanțare a rezoluției.</w:t>
            </w:r>
          </w:p>
        </w:tc>
        <w:tc>
          <w:tcPr>
            <w:tcW w:w="4819" w:type="dxa"/>
          </w:tcPr>
          <w:p w14:paraId="1C31D456" w14:textId="77777777" w:rsidR="00EB243D" w:rsidRPr="00154588" w:rsidRDefault="00EB243D" w:rsidP="008C12B4">
            <w:pPr>
              <w:ind w:firstLine="567"/>
              <w:jc w:val="both"/>
              <w:rPr>
                <w:sz w:val="20"/>
                <w:szCs w:val="20"/>
              </w:rPr>
            </w:pPr>
            <w:r w:rsidRPr="00154588">
              <w:rPr>
                <w:sz w:val="20"/>
                <w:szCs w:val="20"/>
              </w:rPr>
              <w:t xml:space="preserve">(6) Dacă nu se convine altfel în planul de finanțare, baza pentru calcularea contribuției fiecărui mecanism național de finanțare ia în considerare, cu precădere, următoarele: </w:t>
            </w:r>
          </w:p>
          <w:p w14:paraId="3EABAC7A" w14:textId="77777777" w:rsidR="00EB243D" w:rsidRPr="00154588" w:rsidRDefault="00EB243D" w:rsidP="008C12B4">
            <w:pPr>
              <w:ind w:firstLine="567"/>
              <w:jc w:val="both"/>
              <w:rPr>
                <w:sz w:val="20"/>
                <w:szCs w:val="20"/>
              </w:rPr>
            </w:pPr>
            <w:r w:rsidRPr="00154588">
              <w:rPr>
                <w:sz w:val="20"/>
                <w:szCs w:val="20"/>
              </w:rPr>
              <w:t xml:space="preserve">a) proporţia din activele ponderate în funcţie de risc ale grupului care este deţinută în instituţiile și de entităţile menţionate la art.1 alin.(1) lit.b), c) și d) stabilite în statul membru al Uniunii Europene al mecanismului respectiv de finanţare a rezoluţiei; </w:t>
            </w:r>
          </w:p>
          <w:p w14:paraId="5B0497DD" w14:textId="77777777" w:rsidR="00EB243D" w:rsidRPr="00154588" w:rsidRDefault="00EB243D" w:rsidP="008C12B4">
            <w:pPr>
              <w:ind w:firstLine="567"/>
              <w:jc w:val="both"/>
              <w:rPr>
                <w:sz w:val="20"/>
                <w:szCs w:val="20"/>
              </w:rPr>
            </w:pPr>
            <w:r w:rsidRPr="00154588">
              <w:rPr>
                <w:sz w:val="20"/>
                <w:szCs w:val="20"/>
              </w:rPr>
              <w:t xml:space="preserve"> </w:t>
            </w:r>
            <w:r w:rsidRPr="00154588">
              <w:rPr>
                <w:sz w:val="20"/>
                <w:szCs w:val="20"/>
              </w:rPr>
              <w:tab/>
              <w:t xml:space="preserve">b) proporţia din activele grupului care este deţinută în instituţiile și de entităţile menţionate la art.1 alin.(1) lit.b), c) și d) stabilite în statul membru al Uniunii Europene al mecanismului respectiv de finanţare a rezoluţiei; </w:t>
            </w:r>
          </w:p>
          <w:p w14:paraId="5A42E76E" w14:textId="77777777" w:rsidR="00EB243D" w:rsidRPr="00154588" w:rsidRDefault="00EB243D" w:rsidP="008C12B4">
            <w:pPr>
              <w:ind w:firstLine="567"/>
              <w:jc w:val="both"/>
              <w:rPr>
                <w:sz w:val="20"/>
                <w:szCs w:val="20"/>
              </w:rPr>
            </w:pPr>
            <w:r w:rsidRPr="00154588">
              <w:rPr>
                <w:sz w:val="20"/>
                <w:szCs w:val="20"/>
              </w:rPr>
              <w:t xml:space="preserve">c) proporţia din totalul pierderilor care au făcut necesară rezoluţia grupului care are drept sursă entităţi din grup aflate sub supravegherea autorităţilor competente din statul membru al Uniunii Europene al mecanismului respectiv de finanţare a rezoluţiei; și </w:t>
            </w:r>
          </w:p>
          <w:p w14:paraId="53B54140" w14:textId="77777777" w:rsidR="00EB243D" w:rsidRPr="00154588" w:rsidRDefault="00EB243D" w:rsidP="008C12B4">
            <w:pPr>
              <w:ind w:firstLine="567"/>
              <w:jc w:val="both"/>
              <w:rPr>
                <w:sz w:val="20"/>
                <w:szCs w:val="20"/>
              </w:rPr>
            </w:pPr>
            <w:r w:rsidRPr="00154588">
              <w:rPr>
                <w:sz w:val="20"/>
                <w:szCs w:val="20"/>
              </w:rPr>
              <w:t>d) proporţia din resursele mecanismelor de finanţare a grupului care este preconizată, conform planului de finanţare, să fie utilizată în beneficiul direct al entităţilor din grup stabilite în statul membru al Uniunii Europene al mecanismului respectiv de finanţare a rezoluţiei.</w:t>
            </w:r>
          </w:p>
          <w:p w14:paraId="5A5DCCED" w14:textId="77777777" w:rsidR="00EB243D" w:rsidRPr="00154588" w:rsidRDefault="00EB243D" w:rsidP="008C12B4">
            <w:pPr>
              <w:jc w:val="both"/>
              <w:rPr>
                <w:sz w:val="20"/>
                <w:szCs w:val="20"/>
              </w:rPr>
            </w:pPr>
          </w:p>
        </w:tc>
        <w:tc>
          <w:tcPr>
            <w:tcW w:w="2552" w:type="dxa"/>
          </w:tcPr>
          <w:p w14:paraId="123BED91" w14:textId="31B33579" w:rsidR="00EB243D" w:rsidRPr="00154588" w:rsidRDefault="00EB243D" w:rsidP="008C12B4">
            <w:pPr>
              <w:jc w:val="both"/>
              <w:rPr>
                <w:sz w:val="20"/>
                <w:szCs w:val="20"/>
              </w:rPr>
            </w:pPr>
            <w:r w:rsidRPr="00154588">
              <w:rPr>
                <w:sz w:val="20"/>
                <w:szCs w:val="20"/>
              </w:rPr>
              <w:t>Compatibil</w:t>
            </w:r>
          </w:p>
        </w:tc>
        <w:tc>
          <w:tcPr>
            <w:tcW w:w="3118" w:type="dxa"/>
          </w:tcPr>
          <w:p w14:paraId="2015988A" w14:textId="77777777" w:rsidR="00EB243D" w:rsidRPr="00154588" w:rsidRDefault="00EB243D" w:rsidP="008C12B4">
            <w:pPr>
              <w:jc w:val="both"/>
              <w:rPr>
                <w:sz w:val="20"/>
                <w:szCs w:val="20"/>
              </w:rPr>
            </w:pPr>
          </w:p>
        </w:tc>
      </w:tr>
      <w:tr w:rsidR="00EB243D" w:rsidRPr="00154588" w14:paraId="539AEAA8" w14:textId="77777777" w:rsidTr="00D15C1B">
        <w:trPr>
          <w:jc w:val="center"/>
        </w:trPr>
        <w:tc>
          <w:tcPr>
            <w:tcW w:w="4957" w:type="dxa"/>
            <w:gridSpan w:val="2"/>
          </w:tcPr>
          <w:p w14:paraId="2A02D7FC" w14:textId="584E62E3" w:rsidR="00EB243D" w:rsidRPr="00154588" w:rsidRDefault="00EB243D" w:rsidP="008C12B4">
            <w:pPr>
              <w:jc w:val="both"/>
              <w:rPr>
                <w:sz w:val="20"/>
                <w:szCs w:val="20"/>
              </w:rPr>
            </w:pPr>
            <w:r w:rsidRPr="00154588">
              <w:rPr>
                <w:sz w:val="20"/>
                <w:szCs w:val="20"/>
              </w:rPr>
              <w:t>(6)   Statele membre stabilesc în avans norme și proceduri prin care să se asigure că fiecare mecanism de finanțare național poate să-și aducă contribuția la finanțarea rezoluției grupului imediat, fără a aduce atingere alineatului (2).</w:t>
            </w:r>
          </w:p>
        </w:tc>
        <w:tc>
          <w:tcPr>
            <w:tcW w:w="4819" w:type="dxa"/>
          </w:tcPr>
          <w:p w14:paraId="3A87E5AF" w14:textId="77777777" w:rsidR="00EB243D" w:rsidRPr="00154588" w:rsidRDefault="00EB243D" w:rsidP="008C12B4">
            <w:pPr>
              <w:ind w:firstLine="567"/>
              <w:jc w:val="both"/>
              <w:rPr>
                <w:sz w:val="20"/>
                <w:szCs w:val="20"/>
              </w:rPr>
            </w:pPr>
            <w:r w:rsidRPr="00154588">
              <w:rPr>
                <w:b/>
                <w:sz w:val="20"/>
                <w:szCs w:val="20"/>
              </w:rPr>
              <w:t>Articolul 313</w:t>
            </w:r>
            <w:r w:rsidRPr="00154588">
              <w:rPr>
                <w:b/>
                <w:sz w:val="20"/>
                <w:szCs w:val="20"/>
                <w:vertAlign w:val="superscript"/>
              </w:rPr>
              <w:t>4</w:t>
            </w:r>
            <w:r w:rsidRPr="00154588">
              <w:rPr>
                <w:sz w:val="20"/>
                <w:szCs w:val="20"/>
              </w:rPr>
              <w:t>. – Banca Națională a Moldovei, în calitate de autoritate de rezoluție la nivel individual, stabilește norme și proceduri care să permită fondului de rezoluție bancară să contribuie la finanțarea rezoluției grupului, fără a aduce atingere art.313</w:t>
            </w:r>
            <w:r w:rsidRPr="00154588">
              <w:rPr>
                <w:sz w:val="20"/>
                <w:szCs w:val="20"/>
                <w:vertAlign w:val="superscript"/>
              </w:rPr>
              <w:t xml:space="preserve">3 </w:t>
            </w:r>
            <w:r w:rsidRPr="00154588">
              <w:rPr>
                <w:sz w:val="20"/>
                <w:szCs w:val="20"/>
              </w:rPr>
              <w:t>alin.(2).</w:t>
            </w:r>
          </w:p>
          <w:p w14:paraId="0A832B3E" w14:textId="77777777" w:rsidR="00EB243D" w:rsidRPr="00154588" w:rsidRDefault="00EB243D" w:rsidP="008C12B4">
            <w:pPr>
              <w:ind w:firstLine="567"/>
              <w:jc w:val="both"/>
              <w:rPr>
                <w:b/>
                <w:sz w:val="20"/>
                <w:szCs w:val="20"/>
              </w:rPr>
            </w:pPr>
          </w:p>
          <w:p w14:paraId="7B7DD9C2" w14:textId="77777777" w:rsidR="00EB243D" w:rsidRPr="00154588" w:rsidRDefault="00EB243D" w:rsidP="008C12B4">
            <w:pPr>
              <w:jc w:val="both"/>
              <w:rPr>
                <w:b/>
                <w:sz w:val="20"/>
                <w:szCs w:val="20"/>
              </w:rPr>
            </w:pPr>
          </w:p>
        </w:tc>
        <w:tc>
          <w:tcPr>
            <w:tcW w:w="2552" w:type="dxa"/>
          </w:tcPr>
          <w:p w14:paraId="7C53E4A6" w14:textId="43171F93" w:rsidR="00EB243D" w:rsidRPr="00154588" w:rsidRDefault="00EB243D" w:rsidP="008C12B4">
            <w:pPr>
              <w:jc w:val="both"/>
              <w:rPr>
                <w:b/>
                <w:sz w:val="20"/>
                <w:szCs w:val="20"/>
              </w:rPr>
            </w:pPr>
            <w:r w:rsidRPr="00154588">
              <w:rPr>
                <w:sz w:val="20"/>
                <w:szCs w:val="20"/>
              </w:rPr>
              <w:t>Compatibil</w:t>
            </w:r>
          </w:p>
        </w:tc>
        <w:tc>
          <w:tcPr>
            <w:tcW w:w="3118" w:type="dxa"/>
          </w:tcPr>
          <w:p w14:paraId="39779BDB" w14:textId="77777777" w:rsidR="00EB243D" w:rsidRPr="00154588" w:rsidRDefault="00EB243D" w:rsidP="008C12B4">
            <w:pPr>
              <w:jc w:val="both"/>
              <w:rPr>
                <w:b/>
                <w:sz w:val="20"/>
                <w:szCs w:val="20"/>
              </w:rPr>
            </w:pPr>
          </w:p>
        </w:tc>
      </w:tr>
      <w:tr w:rsidR="00EB243D" w:rsidRPr="00154588" w14:paraId="33289A6C" w14:textId="77777777" w:rsidTr="00D15C1B">
        <w:trPr>
          <w:jc w:val="center"/>
        </w:trPr>
        <w:tc>
          <w:tcPr>
            <w:tcW w:w="4957" w:type="dxa"/>
            <w:gridSpan w:val="2"/>
          </w:tcPr>
          <w:p w14:paraId="10FDF017" w14:textId="5FF0C375" w:rsidR="00EB243D" w:rsidRPr="00154588" w:rsidRDefault="00EB243D" w:rsidP="008C12B4">
            <w:pPr>
              <w:jc w:val="both"/>
              <w:rPr>
                <w:sz w:val="20"/>
                <w:szCs w:val="20"/>
              </w:rPr>
            </w:pPr>
            <w:r w:rsidRPr="00154588">
              <w:rPr>
                <w:sz w:val="20"/>
                <w:szCs w:val="20"/>
              </w:rPr>
              <w:t>(7)   În sensul prezentului articol, statele membre se asigură că mecanismele de finanțare a grupurilor sunt abilitate, în condițiile prevăzute la articolul 105, să contracteze împrumuturi sau alte forme de sprijin de la instituții, instituții financiare sau alte părți terțe.</w:t>
            </w:r>
          </w:p>
        </w:tc>
        <w:tc>
          <w:tcPr>
            <w:tcW w:w="4819" w:type="dxa"/>
          </w:tcPr>
          <w:p w14:paraId="792BF9CF" w14:textId="77777777" w:rsidR="00EB243D" w:rsidRPr="00154588" w:rsidRDefault="00EB243D" w:rsidP="008C12B4">
            <w:pPr>
              <w:ind w:firstLine="567"/>
              <w:jc w:val="both"/>
              <w:rPr>
                <w:sz w:val="20"/>
                <w:szCs w:val="20"/>
              </w:rPr>
            </w:pPr>
            <w:r w:rsidRPr="00154588">
              <w:rPr>
                <w:b/>
                <w:sz w:val="20"/>
                <w:szCs w:val="20"/>
              </w:rPr>
              <w:t>Articolul 313</w:t>
            </w:r>
            <w:r w:rsidRPr="00154588">
              <w:rPr>
                <w:b/>
                <w:sz w:val="20"/>
                <w:szCs w:val="20"/>
                <w:vertAlign w:val="superscript"/>
              </w:rPr>
              <w:t>5</w:t>
            </w:r>
            <w:r w:rsidRPr="00154588">
              <w:rPr>
                <w:sz w:val="20"/>
                <w:szCs w:val="20"/>
              </w:rPr>
              <w:t>. – Fondul de garantare a depozitelor bancare, atunci când este desemnat administrator al mecanismului de finanțare a grupului, poate, în condițiile prevăzute la art.313, să contracteze împrumuturi sau alte forme de suport de la instituții de credit, instituții financiare și alte părți terțe.</w:t>
            </w:r>
          </w:p>
          <w:p w14:paraId="271B637A" w14:textId="77777777" w:rsidR="00EB243D" w:rsidRPr="00154588" w:rsidRDefault="00EB243D" w:rsidP="008C12B4">
            <w:pPr>
              <w:ind w:firstLine="567"/>
              <w:jc w:val="both"/>
              <w:rPr>
                <w:sz w:val="20"/>
                <w:szCs w:val="20"/>
              </w:rPr>
            </w:pPr>
          </w:p>
          <w:p w14:paraId="38BD56AC" w14:textId="77777777" w:rsidR="00EB243D" w:rsidRPr="00154588" w:rsidRDefault="00EB243D" w:rsidP="008C12B4">
            <w:pPr>
              <w:jc w:val="both"/>
              <w:rPr>
                <w:b/>
                <w:sz w:val="20"/>
                <w:szCs w:val="20"/>
              </w:rPr>
            </w:pPr>
          </w:p>
        </w:tc>
        <w:tc>
          <w:tcPr>
            <w:tcW w:w="2552" w:type="dxa"/>
          </w:tcPr>
          <w:p w14:paraId="313BFC84" w14:textId="69232237" w:rsidR="00EB243D" w:rsidRPr="00154588" w:rsidRDefault="00EB243D" w:rsidP="008C12B4">
            <w:pPr>
              <w:jc w:val="both"/>
              <w:rPr>
                <w:b/>
                <w:sz w:val="20"/>
                <w:szCs w:val="20"/>
              </w:rPr>
            </w:pPr>
            <w:r w:rsidRPr="00154588">
              <w:rPr>
                <w:sz w:val="20"/>
                <w:szCs w:val="20"/>
              </w:rPr>
              <w:lastRenderedPageBreak/>
              <w:t>Compatibil</w:t>
            </w:r>
          </w:p>
        </w:tc>
        <w:tc>
          <w:tcPr>
            <w:tcW w:w="3118" w:type="dxa"/>
          </w:tcPr>
          <w:p w14:paraId="65533489" w14:textId="77777777" w:rsidR="00EB243D" w:rsidRPr="00154588" w:rsidRDefault="00EB243D" w:rsidP="008C12B4">
            <w:pPr>
              <w:jc w:val="both"/>
              <w:rPr>
                <w:b/>
                <w:sz w:val="20"/>
                <w:szCs w:val="20"/>
              </w:rPr>
            </w:pPr>
          </w:p>
        </w:tc>
      </w:tr>
      <w:tr w:rsidR="00EB243D" w:rsidRPr="00154588" w14:paraId="2C807D4F" w14:textId="77777777" w:rsidTr="00D15C1B">
        <w:trPr>
          <w:jc w:val="center"/>
        </w:trPr>
        <w:tc>
          <w:tcPr>
            <w:tcW w:w="4957" w:type="dxa"/>
            <w:gridSpan w:val="2"/>
          </w:tcPr>
          <w:p w14:paraId="2E0A08B2" w14:textId="1E8057DD" w:rsidR="00EB243D" w:rsidRPr="00154588" w:rsidRDefault="00EB243D" w:rsidP="008C12B4">
            <w:pPr>
              <w:jc w:val="both"/>
              <w:rPr>
                <w:sz w:val="20"/>
                <w:szCs w:val="20"/>
              </w:rPr>
            </w:pPr>
            <w:r w:rsidRPr="00154588">
              <w:rPr>
                <w:sz w:val="20"/>
                <w:szCs w:val="20"/>
              </w:rPr>
              <w:t>(8)   Statele membre se asigură că mecanismele de finanțare naționale care intră sub jurisdicția lor pot garanta orice fel de împrumut contractat de mecanismele de finanțare a grupului în conformitate cu alineatul (7).</w:t>
            </w:r>
          </w:p>
        </w:tc>
        <w:tc>
          <w:tcPr>
            <w:tcW w:w="4819" w:type="dxa"/>
          </w:tcPr>
          <w:p w14:paraId="12C16C6C" w14:textId="77777777" w:rsidR="00EB243D" w:rsidRPr="00154588" w:rsidRDefault="00EB243D" w:rsidP="008C12B4">
            <w:pPr>
              <w:ind w:firstLine="567"/>
              <w:jc w:val="both"/>
              <w:rPr>
                <w:sz w:val="20"/>
                <w:szCs w:val="20"/>
              </w:rPr>
            </w:pPr>
            <w:r w:rsidRPr="00154588">
              <w:rPr>
                <w:b/>
                <w:sz w:val="20"/>
                <w:szCs w:val="20"/>
              </w:rPr>
              <w:t>Articolul 313</w:t>
            </w:r>
            <w:r w:rsidRPr="00154588">
              <w:rPr>
                <w:b/>
                <w:sz w:val="20"/>
                <w:szCs w:val="20"/>
                <w:vertAlign w:val="superscript"/>
              </w:rPr>
              <w:t>6</w:t>
            </w:r>
            <w:r w:rsidRPr="00154588">
              <w:rPr>
                <w:b/>
                <w:sz w:val="20"/>
                <w:szCs w:val="20"/>
              </w:rPr>
              <w:t>.</w:t>
            </w:r>
            <w:r w:rsidRPr="00154588">
              <w:rPr>
                <w:sz w:val="20"/>
                <w:szCs w:val="20"/>
              </w:rPr>
              <w:t xml:space="preserve"> – Fondul de garantare a depozitelor bancare, în calitate de administrator al fondului de rezolutie bancară, care trebuie să participe la mecanismul de finanțare a grupului, poate garanta orice împrumut contractat de mecanismele de finanțare a grupului conform art.313</w:t>
            </w:r>
            <w:r w:rsidRPr="00154588">
              <w:rPr>
                <w:sz w:val="20"/>
                <w:szCs w:val="20"/>
                <w:vertAlign w:val="superscript"/>
              </w:rPr>
              <w:t>5</w:t>
            </w:r>
            <w:r w:rsidRPr="00154588">
              <w:rPr>
                <w:sz w:val="20"/>
                <w:szCs w:val="20"/>
              </w:rPr>
              <w:t>.</w:t>
            </w:r>
          </w:p>
          <w:p w14:paraId="596ABC17" w14:textId="77777777" w:rsidR="00EB243D" w:rsidRPr="00154588" w:rsidRDefault="00EB243D" w:rsidP="008C12B4">
            <w:pPr>
              <w:jc w:val="both"/>
              <w:rPr>
                <w:b/>
                <w:sz w:val="20"/>
                <w:szCs w:val="20"/>
              </w:rPr>
            </w:pPr>
          </w:p>
        </w:tc>
        <w:tc>
          <w:tcPr>
            <w:tcW w:w="2552" w:type="dxa"/>
          </w:tcPr>
          <w:p w14:paraId="2206BAA6" w14:textId="03E493B1" w:rsidR="00EB243D" w:rsidRPr="00154588" w:rsidRDefault="00EB243D" w:rsidP="008C12B4">
            <w:pPr>
              <w:jc w:val="both"/>
              <w:rPr>
                <w:b/>
                <w:sz w:val="20"/>
                <w:szCs w:val="20"/>
              </w:rPr>
            </w:pPr>
            <w:r w:rsidRPr="00154588">
              <w:rPr>
                <w:sz w:val="20"/>
                <w:szCs w:val="20"/>
              </w:rPr>
              <w:t>Compatibil</w:t>
            </w:r>
          </w:p>
        </w:tc>
        <w:tc>
          <w:tcPr>
            <w:tcW w:w="3118" w:type="dxa"/>
          </w:tcPr>
          <w:p w14:paraId="773326FA" w14:textId="77777777" w:rsidR="00EB243D" w:rsidRPr="00154588" w:rsidRDefault="00EB243D" w:rsidP="008C12B4">
            <w:pPr>
              <w:jc w:val="both"/>
              <w:rPr>
                <w:b/>
                <w:sz w:val="20"/>
                <w:szCs w:val="20"/>
              </w:rPr>
            </w:pPr>
          </w:p>
        </w:tc>
      </w:tr>
      <w:tr w:rsidR="00EB243D" w:rsidRPr="00154588" w14:paraId="52B34F74" w14:textId="77777777" w:rsidTr="005A52B1">
        <w:trPr>
          <w:trHeight w:val="1978"/>
          <w:jc w:val="center"/>
        </w:trPr>
        <w:tc>
          <w:tcPr>
            <w:tcW w:w="4957" w:type="dxa"/>
            <w:gridSpan w:val="2"/>
          </w:tcPr>
          <w:p w14:paraId="494E56B9" w14:textId="540A34DF" w:rsidR="00EB243D" w:rsidRPr="00154588" w:rsidRDefault="00EB243D" w:rsidP="008C12B4">
            <w:pPr>
              <w:jc w:val="both"/>
              <w:rPr>
                <w:sz w:val="20"/>
                <w:szCs w:val="20"/>
              </w:rPr>
            </w:pPr>
            <w:r w:rsidRPr="00154588">
              <w:rPr>
                <w:sz w:val="20"/>
                <w:szCs w:val="20"/>
              </w:rPr>
              <w:t>(9)   Statele membre se asigură că orice venituri sau profituri care rezultă din utilizarea mecanismelor de finanțare a grupului sunt alocate mecanismelor de finanțare naționale în conformitate cu contribuțiile lor la finanțarea rezoluției astfel cum se prevede la alineatul (2).</w:t>
            </w:r>
          </w:p>
        </w:tc>
        <w:tc>
          <w:tcPr>
            <w:tcW w:w="4819" w:type="dxa"/>
          </w:tcPr>
          <w:p w14:paraId="5EB75BCF" w14:textId="77777777" w:rsidR="00EB243D" w:rsidRPr="00154588" w:rsidRDefault="00EB243D" w:rsidP="008C12B4">
            <w:pPr>
              <w:ind w:firstLine="567"/>
              <w:jc w:val="both"/>
              <w:rPr>
                <w:sz w:val="20"/>
                <w:szCs w:val="20"/>
              </w:rPr>
            </w:pPr>
            <w:r w:rsidRPr="00154588">
              <w:rPr>
                <w:b/>
                <w:sz w:val="20"/>
                <w:szCs w:val="20"/>
              </w:rPr>
              <w:t>Articolul 313</w:t>
            </w:r>
            <w:r w:rsidRPr="00154588">
              <w:rPr>
                <w:b/>
                <w:sz w:val="20"/>
                <w:szCs w:val="20"/>
                <w:vertAlign w:val="superscript"/>
              </w:rPr>
              <w:t>7</w:t>
            </w:r>
            <w:r w:rsidRPr="00154588">
              <w:rPr>
                <w:b/>
                <w:sz w:val="20"/>
                <w:szCs w:val="20"/>
              </w:rPr>
              <w:t>.</w:t>
            </w:r>
            <w:r w:rsidRPr="00154588">
              <w:rPr>
                <w:sz w:val="20"/>
                <w:szCs w:val="20"/>
              </w:rPr>
              <w:t xml:space="preserve"> – Orice profituri generate de folosirea mecanismelor de finanțare ale grupului sunt afectate fondului de rezoluție bancară, proporțional cu contribuția acestuia la mecanismul de finanțare a rezoluției grupului stabilită conform art.313</w:t>
            </w:r>
            <w:r w:rsidRPr="00154588">
              <w:rPr>
                <w:sz w:val="20"/>
                <w:szCs w:val="20"/>
                <w:vertAlign w:val="superscript"/>
              </w:rPr>
              <w:t>3</w:t>
            </w:r>
            <w:r w:rsidRPr="00154588">
              <w:rPr>
                <w:sz w:val="20"/>
                <w:szCs w:val="20"/>
              </w:rPr>
              <w:t xml:space="preserve"> alin.(2)-(3)</w:t>
            </w:r>
          </w:p>
          <w:p w14:paraId="5155AC14" w14:textId="77777777" w:rsidR="00EB243D" w:rsidRPr="00154588" w:rsidRDefault="00EB243D" w:rsidP="008C12B4">
            <w:pPr>
              <w:jc w:val="both"/>
              <w:rPr>
                <w:b/>
                <w:sz w:val="20"/>
                <w:szCs w:val="20"/>
              </w:rPr>
            </w:pPr>
          </w:p>
          <w:p w14:paraId="0EB9F2B9" w14:textId="77777777" w:rsidR="00EB243D" w:rsidRPr="00154588" w:rsidRDefault="00EB243D" w:rsidP="008C12B4">
            <w:pPr>
              <w:rPr>
                <w:sz w:val="20"/>
                <w:szCs w:val="20"/>
              </w:rPr>
            </w:pPr>
          </w:p>
        </w:tc>
        <w:tc>
          <w:tcPr>
            <w:tcW w:w="2552" w:type="dxa"/>
          </w:tcPr>
          <w:p w14:paraId="5D5696F4" w14:textId="73029C81" w:rsidR="00EB243D" w:rsidRPr="00154588" w:rsidRDefault="00EB243D" w:rsidP="008C12B4">
            <w:pPr>
              <w:jc w:val="both"/>
              <w:rPr>
                <w:b/>
                <w:sz w:val="20"/>
                <w:szCs w:val="20"/>
              </w:rPr>
            </w:pPr>
            <w:r w:rsidRPr="00154588">
              <w:rPr>
                <w:sz w:val="20"/>
                <w:szCs w:val="20"/>
              </w:rPr>
              <w:t>Compatibil</w:t>
            </w:r>
          </w:p>
        </w:tc>
        <w:tc>
          <w:tcPr>
            <w:tcW w:w="3118" w:type="dxa"/>
          </w:tcPr>
          <w:p w14:paraId="5DE9F6DD" w14:textId="77777777" w:rsidR="00EB243D" w:rsidRPr="00154588" w:rsidRDefault="00EB243D" w:rsidP="008C12B4">
            <w:pPr>
              <w:jc w:val="both"/>
              <w:rPr>
                <w:b/>
                <w:sz w:val="20"/>
                <w:szCs w:val="20"/>
              </w:rPr>
            </w:pPr>
          </w:p>
        </w:tc>
      </w:tr>
      <w:tr w:rsidR="00EB243D" w:rsidRPr="00154588" w14:paraId="647276FA" w14:textId="77777777" w:rsidTr="00D15C1B">
        <w:trPr>
          <w:jc w:val="center"/>
        </w:trPr>
        <w:tc>
          <w:tcPr>
            <w:tcW w:w="4957" w:type="dxa"/>
            <w:gridSpan w:val="2"/>
          </w:tcPr>
          <w:p w14:paraId="03DFCE4A" w14:textId="77777777" w:rsidR="00EB243D" w:rsidRPr="00154588" w:rsidRDefault="00EB243D" w:rsidP="008C12B4">
            <w:pPr>
              <w:jc w:val="both"/>
              <w:rPr>
                <w:b/>
                <w:sz w:val="20"/>
                <w:szCs w:val="20"/>
              </w:rPr>
            </w:pPr>
            <w:r w:rsidRPr="00154588">
              <w:rPr>
                <w:b/>
                <w:sz w:val="20"/>
                <w:szCs w:val="20"/>
              </w:rPr>
              <w:t>Articolul 108</w:t>
            </w:r>
          </w:p>
          <w:p w14:paraId="3BF99CC3" w14:textId="77777777" w:rsidR="00EB243D" w:rsidRPr="00154588" w:rsidRDefault="00EB243D" w:rsidP="008C12B4">
            <w:pPr>
              <w:jc w:val="both"/>
              <w:rPr>
                <w:b/>
                <w:sz w:val="20"/>
                <w:szCs w:val="20"/>
              </w:rPr>
            </w:pPr>
          </w:p>
          <w:p w14:paraId="14502C8F" w14:textId="71FFC14C" w:rsidR="00EB243D" w:rsidRPr="00154588" w:rsidRDefault="00EB243D" w:rsidP="008C12B4">
            <w:pPr>
              <w:jc w:val="both"/>
              <w:rPr>
                <w:sz w:val="20"/>
                <w:szCs w:val="20"/>
              </w:rPr>
            </w:pPr>
            <w:r w:rsidRPr="00154588">
              <w:rPr>
                <w:b/>
                <w:sz w:val="20"/>
                <w:szCs w:val="20"/>
              </w:rPr>
              <w:t>Rangul acordat în ierarhia în materie de insolvență</w:t>
            </w:r>
          </w:p>
        </w:tc>
        <w:tc>
          <w:tcPr>
            <w:tcW w:w="4819" w:type="dxa"/>
          </w:tcPr>
          <w:p w14:paraId="004D5F76" w14:textId="77777777" w:rsidR="00EB243D" w:rsidRPr="00154588" w:rsidRDefault="00EB243D" w:rsidP="008C12B4">
            <w:pPr>
              <w:jc w:val="both"/>
              <w:rPr>
                <w:b/>
                <w:sz w:val="20"/>
                <w:szCs w:val="20"/>
              </w:rPr>
            </w:pPr>
          </w:p>
        </w:tc>
        <w:tc>
          <w:tcPr>
            <w:tcW w:w="2552" w:type="dxa"/>
          </w:tcPr>
          <w:p w14:paraId="34B4B117" w14:textId="77777777" w:rsidR="00EB243D" w:rsidRPr="00154588" w:rsidRDefault="00EB243D" w:rsidP="008C12B4">
            <w:pPr>
              <w:jc w:val="both"/>
              <w:rPr>
                <w:b/>
                <w:sz w:val="20"/>
                <w:szCs w:val="20"/>
              </w:rPr>
            </w:pPr>
          </w:p>
        </w:tc>
        <w:tc>
          <w:tcPr>
            <w:tcW w:w="3118" w:type="dxa"/>
          </w:tcPr>
          <w:p w14:paraId="12FA9C0B" w14:textId="1807954A" w:rsidR="00EB243D" w:rsidRPr="00154588" w:rsidRDefault="005A52B1" w:rsidP="008C12B4">
            <w:pPr>
              <w:jc w:val="both"/>
              <w:rPr>
                <w:bCs/>
                <w:sz w:val="20"/>
                <w:szCs w:val="20"/>
              </w:rPr>
            </w:pPr>
            <w:r w:rsidRPr="00154588">
              <w:rPr>
                <w:bCs/>
                <w:sz w:val="20"/>
                <w:szCs w:val="20"/>
              </w:rPr>
              <w:t xml:space="preserve">Norma este transpusă integral în cadrul PL de modificare a cadrului de lichidare bancară, deoarece privește ierarhia creanțelor in cazul insolvabilității. </w:t>
            </w:r>
          </w:p>
        </w:tc>
      </w:tr>
      <w:tr w:rsidR="00EB243D" w:rsidRPr="00154588" w14:paraId="5C128FFE" w14:textId="77777777" w:rsidTr="008375B5">
        <w:trPr>
          <w:trHeight w:val="2117"/>
          <w:jc w:val="center"/>
        </w:trPr>
        <w:tc>
          <w:tcPr>
            <w:tcW w:w="4957" w:type="dxa"/>
            <w:gridSpan w:val="2"/>
          </w:tcPr>
          <w:p w14:paraId="1CA29375" w14:textId="77777777" w:rsidR="00EB243D" w:rsidRPr="00154588" w:rsidRDefault="00EB243D" w:rsidP="008C12B4">
            <w:pPr>
              <w:jc w:val="both"/>
              <w:rPr>
                <w:bCs/>
                <w:sz w:val="20"/>
                <w:szCs w:val="20"/>
              </w:rPr>
            </w:pPr>
            <w:r w:rsidRPr="00154588">
              <w:rPr>
                <w:bCs/>
                <w:sz w:val="20"/>
                <w:szCs w:val="20"/>
              </w:rPr>
              <w:t>(1)   Statele membre se asigură că în legislația lor națională care reglementează procedurile obișnuite de insolvență:</w:t>
            </w:r>
          </w:p>
          <w:p w14:paraId="45836149" w14:textId="77777777" w:rsidR="00EB243D" w:rsidRPr="00154588" w:rsidRDefault="00EB243D" w:rsidP="008C12B4">
            <w:pPr>
              <w:jc w:val="both"/>
              <w:rPr>
                <w:bCs/>
                <w:sz w:val="20"/>
                <w:szCs w:val="20"/>
              </w:rPr>
            </w:pPr>
          </w:p>
          <w:p w14:paraId="314D502B" w14:textId="2C9E0A68" w:rsidR="00EB243D" w:rsidRPr="00154588" w:rsidRDefault="00EB243D" w:rsidP="008C12B4">
            <w:pPr>
              <w:jc w:val="both"/>
              <w:rPr>
                <w:bCs/>
                <w:sz w:val="20"/>
                <w:szCs w:val="20"/>
              </w:rPr>
            </w:pPr>
            <w:r w:rsidRPr="00154588">
              <w:rPr>
                <w:bCs/>
                <w:sz w:val="20"/>
                <w:szCs w:val="20"/>
              </w:rPr>
              <w:t>(a) următoarele  elemente  au același rang de prioritate care este superior rangului acordat în temeiul literei (b):</w:t>
            </w:r>
          </w:p>
          <w:p w14:paraId="2C3394A7" w14:textId="77777777" w:rsidR="00EB243D" w:rsidRPr="00154588" w:rsidRDefault="00EB243D" w:rsidP="008C12B4">
            <w:pPr>
              <w:jc w:val="both"/>
              <w:rPr>
                <w:bCs/>
                <w:sz w:val="20"/>
                <w:szCs w:val="20"/>
              </w:rPr>
            </w:pPr>
            <w:r w:rsidRPr="00154588">
              <w:rPr>
                <w:bCs/>
                <w:sz w:val="20"/>
                <w:szCs w:val="20"/>
              </w:rPr>
              <w:t xml:space="preserve">(i) depozitele acoperite; </w:t>
            </w:r>
          </w:p>
          <w:p w14:paraId="23AE8B3E" w14:textId="0C978770" w:rsidR="00EB243D" w:rsidRPr="00154588" w:rsidRDefault="00EB243D" w:rsidP="008C12B4">
            <w:pPr>
              <w:jc w:val="both"/>
              <w:rPr>
                <w:bCs/>
                <w:sz w:val="20"/>
                <w:szCs w:val="20"/>
              </w:rPr>
            </w:pPr>
            <w:r w:rsidRPr="00154588">
              <w:rPr>
                <w:bCs/>
                <w:sz w:val="20"/>
                <w:szCs w:val="20"/>
              </w:rPr>
              <w:t>(ii) creanțele schemelor de garantare a depozitelor menționate la articolul 9 alineatul (2) din Directiva 2014/49/UE;:</w:t>
            </w:r>
          </w:p>
          <w:p w14:paraId="7A208BE8" w14:textId="77777777" w:rsidR="00EB243D" w:rsidRPr="00154588" w:rsidRDefault="00EB243D" w:rsidP="008C12B4">
            <w:pPr>
              <w:jc w:val="both"/>
              <w:rPr>
                <w:bCs/>
                <w:sz w:val="20"/>
                <w:szCs w:val="20"/>
              </w:rPr>
            </w:pPr>
          </w:p>
          <w:p w14:paraId="636F5D00" w14:textId="5FBC86D0" w:rsidR="00EB243D" w:rsidRPr="00154588" w:rsidRDefault="00EB243D" w:rsidP="008C12B4">
            <w:pPr>
              <w:jc w:val="both"/>
              <w:rPr>
                <w:bCs/>
                <w:sz w:val="20"/>
                <w:szCs w:val="20"/>
              </w:rPr>
            </w:pPr>
            <w:r w:rsidRPr="00154588">
              <w:rPr>
                <w:bCs/>
                <w:sz w:val="20"/>
                <w:szCs w:val="20"/>
              </w:rPr>
              <w:t>(b) următoarele elemente au același rang de prioritate care este superior rangului acordat în temeiul literei (c):</w:t>
            </w:r>
          </w:p>
          <w:p w14:paraId="51133060" w14:textId="77777777" w:rsidR="00EB243D" w:rsidRPr="00154588" w:rsidRDefault="00EB243D" w:rsidP="008C12B4">
            <w:pPr>
              <w:jc w:val="both"/>
              <w:rPr>
                <w:bCs/>
                <w:sz w:val="20"/>
                <w:szCs w:val="20"/>
              </w:rPr>
            </w:pPr>
          </w:p>
          <w:p w14:paraId="315C0231" w14:textId="4BC7F51D" w:rsidR="00EB243D" w:rsidRPr="00154588" w:rsidRDefault="00EB243D" w:rsidP="008C12B4">
            <w:pPr>
              <w:jc w:val="both"/>
              <w:rPr>
                <w:bCs/>
                <w:sz w:val="20"/>
                <w:szCs w:val="20"/>
              </w:rPr>
            </w:pPr>
            <w:r w:rsidRPr="00154588">
              <w:rPr>
                <w:bCs/>
                <w:sz w:val="20"/>
                <w:szCs w:val="20"/>
              </w:rPr>
              <w:t>(i) acea parte din depozitele eligibile ale persoanelor fizice, ale microîntreprinderilor și ale întreprinderilor mici și mijlocii și ale autorităților publice  care depășește nivelul de acoperire prevăzut la articolul 6 din Directiva 2014/49/UE;</w:t>
            </w:r>
          </w:p>
          <w:p w14:paraId="31CCE4D3" w14:textId="77777777" w:rsidR="00EB243D" w:rsidRPr="00154588" w:rsidRDefault="00EB243D" w:rsidP="008C12B4">
            <w:pPr>
              <w:jc w:val="both"/>
              <w:rPr>
                <w:bCs/>
                <w:sz w:val="20"/>
                <w:szCs w:val="20"/>
              </w:rPr>
            </w:pPr>
          </w:p>
          <w:p w14:paraId="0A060098" w14:textId="5537974A" w:rsidR="00EB243D" w:rsidRPr="00154588" w:rsidRDefault="00EB243D" w:rsidP="008C12B4">
            <w:pPr>
              <w:jc w:val="both"/>
              <w:rPr>
                <w:bCs/>
                <w:sz w:val="20"/>
                <w:szCs w:val="20"/>
              </w:rPr>
            </w:pPr>
            <w:r w:rsidRPr="00154588">
              <w:rPr>
                <w:bCs/>
                <w:sz w:val="20"/>
                <w:szCs w:val="20"/>
              </w:rPr>
              <w:t>(ii) depozitele care ar fi depozite eligibile ale persoanelor fizice și ale microîntreprinderilor și ale întreprinderilor mici și mijlocii, și ale autorităților publice, dacă nu ar fi fost constituite prin intermediul sucursalelor situate în afara Uniunii ale unor instituții stabilite în Uniune;</w:t>
            </w:r>
          </w:p>
          <w:p w14:paraId="2351735B" w14:textId="77777777" w:rsidR="00EB243D" w:rsidRPr="00154588" w:rsidRDefault="00EB243D" w:rsidP="008C12B4">
            <w:pPr>
              <w:jc w:val="both"/>
              <w:rPr>
                <w:bCs/>
                <w:sz w:val="20"/>
                <w:szCs w:val="20"/>
              </w:rPr>
            </w:pPr>
          </w:p>
          <w:p w14:paraId="5F7367C4" w14:textId="77777777" w:rsidR="00EB243D" w:rsidRPr="00154588" w:rsidRDefault="00EB243D" w:rsidP="008C12B4">
            <w:pPr>
              <w:jc w:val="both"/>
              <w:rPr>
                <w:bCs/>
                <w:sz w:val="20"/>
                <w:szCs w:val="20"/>
              </w:rPr>
            </w:pPr>
            <w:r w:rsidRPr="00154588">
              <w:rPr>
                <w:bCs/>
                <w:sz w:val="20"/>
                <w:szCs w:val="20"/>
              </w:rPr>
              <w:t xml:space="preserve">(c) depozitele care nu sunt menționate la literele (a) și (b) au același rang de prioritate care este superior rangului acordat creanțelor deținute de creditorii chirografari obișnuiți. </w:t>
            </w:r>
          </w:p>
          <w:p w14:paraId="096F86EF" w14:textId="77777777" w:rsidR="00EB243D" w:rsidRPr="00154588" w:rsidRDefault="00EB243D" w:rsidP="008C12B4">
            <w:pPr>
              <w:jc w:val="both"/>
              <w:rPr>
                <w:bCs/>
                <w:sz w:val="20"/>
                <w:szCs w:val="20"/>
              </w:rPr>
            </w:pPr>
          </w:p>
          <w:p w14:paraId="0C91175B" w14:textId="77777777" w:rsidR="00EB243D" w:rsidRPr="00154588" w:rsidRDefault="00EB243D" w:rsidP="008C12B4">
            <w:pPr>
              <w:jc w:val="both"/>
              <w:rPr>
                <w:bCs/>
                <w:sz w:val="20"/>
                <w:szCs w:val="20"/>
              </w:rPr>
            </w:pPr>
            <w:r w:rsidRPr="00154588">
              <w:rPr>
                <w:bCs/>
                <w:sz w:val="20"/>
                <w:szCs w:val="20"/>
              </w:rPr>
              <w:t>Depozitele menționate la articolul 5 alineatul (1) literele (b), (c), (f), (k) și (l) din Directiva 2014/49/UE nu se includ la primul paragraf literele (a), (b) și (c) de la prezentul alineat și nu au un rang de prioritate superior rangului prevăzut pentru creanțele deținute de creditorii chirografari obișnuiți.”</w:t>
            </w:r>
          </w:p>
          <w:p w14:paraId="7EABAFFD" w14:textId="77777777" w:rsidR="00EB243D" w:rsidRPr="00154588" w:rsidRDefault="00EB243D" w:rsidP="008C12B4">
            <w:pPr>
              <w:jc w:val="both"/>
              <w:rPr>
                <w:bCs/>
                <w:sz w:val="20"/>
                <w:szCs w:val="20"/>
              </w:rPr>
            </w:pPr>
          </w:p>
          <w:p w14:paraId="0A28AC74" w14:textId="76112D09" w:rsidR="00EB243D" w:rsidRPr="00154588" w:rsidRDefault="00EB243D" w:rsidP="008C12B4">
            <w:pPr>
              <w:jc w:val="both"/>
              <w:rPr>
                <w:bCs/>
                <w:sz w:val="20"/>
                <w:szCs w:val="20"/>
              </w:rPr>
            </w:pPr>
            <w:r w:rsidRPr="00154588" w:rsidDel="00E23FA4">
              <w:rPr>
                <w:bCs/>
                <w:sz w:val="20"/>
                <w:szCs w:val="20"/>
              </w:rPr>
              <w:t xml:space="preserve"> </w:t>
            </w:r>
          </w:p>
        </w:tc>
        <w:tc>
          <w:tcPr>
            <w:tcW w:w="4819" w:type="dxa"/>
          </w:tcPr>
          <w:p w14:paraId="3FE4BA0A" w14:textId="534F030F" w:rsidR="00EB243D" w:rsidRPr="00154588" w:rsidRDefault="00EB243D" w:rsidP="008C12B4">
            <w:pPr>
              <w:jc w:val="both"/>
              <w:rPr>
                <w:sz w:val="20"/>
                <w:szCs w:val="20"/>
              </w:rPr>
            </w:pPr>
          </w:p>
        </w:tc>
        <w:tc>
          <w:tcPr>
            <w:tcW w:w="2552" w:type="dxa"/>
          </w:tcPr>
          <w:p w14:paraId="5C17ADC9" w14:textId="580C3915" w:rsidR="00EB243D" w:rsidRPr="00154588" w:rsidRDefault="007F5746" w:rsidP="008C12B4">
            <w:pPr>
              <w:jc w:val="both"/>
              <w:rPr>
                <w:b/>
                <w:sz w:val="20"/>
                <w:szCs w:val="20"/>
              </w:rPr>
            </w:pPr>
            <w:r w:rsidRPr="00154588">
              <w:rPr>
                <w:sz w:val="20"/>
                <w:szCs w:val="16"/>
              </w:rPr>
              <w:t>Compatibil</w:t>
            </w:r>
          </w:p>
        </w:tc>
        <w:tc>
          <w:tcPr>
            <w:tcW w:w="3118" w:type="dxa"/>
          </w:tcPr>
          <w:p w14:paraId="1372E6D7" w14:textId="11DE3867" w:rsidR="00EB243D" w:rsidRPr="00154588" w:rsidRDefault="005A52B1" w:rsidP="008C12B4">
            <w:pPr>
              <w:jc w:val="both"/>
              <w:rPr>
                <w:bCs/>
                <w:sz w:val="20"/>
                <w:szCs w:val="20"/>
              </w:rPr>
            </w:pPr>
            <w:r w:rsidRPr="00154588">
              <w:rPr>
                <w:bCs/>
                <w:sz w:val="20"/>
                <w:szCs w:val="20"/>
              </w:rPr>
              <w:t>Norma este transpusă integral în cadrul PL de modificare a cadrului de lichidare bancară, deoarece privește ierarhia creanțelor in cazul insolvabilității.</w:t>
            </w:r>
          </w:p>
        </w:tc>
      </w:tr>
      <w:tr w:rsidR="00EB243D" w:rsidRPr="00154588" w14:paraId="2F1C4A57" w14:textId="77777777" w:rsidTr="00D15C1B">
        <w:trPr>
          <w:jc w:val="center"/>
        </w:trPr>
        <w:tc>
          <w:tcPr>
            <w:tcW w:w="4957" w:type="dxa"/>
            <w:gridSpan w:val="2"/>
          </w:tcPr>
          <w:p w14:paraId="515AB5EF" w14:textId="77777777" w:rsidR="00EB243D" w:rsidRPr="00154588" w:rsidRDefault="00EB243D" w:rsidP="008C12B4">
            <w:pPr>
              <w:jc w:val="both"/>
              <w:rPr>
                <w:bCs/>
                <w:sz w:val="20"/>
                <w:szCs w:val="20"/>
              </w:rPr>
            </w:pPr>
            <w:r w:rsidRPr="00154588">
              <w:rPr>
                <w:bCs/>
                <w:sz w:val="20"/>
                <w:szCs w:val="20"/>
              </w:rPr>
              <w:t>(2)   Statele membre se asigură că, în cazul entităților menționate la articolul 1 alineatul (1) primul paragraf literele (a)-(d), creanțele negarantate obișnuite au, în legislația lor națională care reglementează procedurile obișnuite de insolvență, un rang de prioritate superior creanțelor negarantate care rezultă din instrumentele de datorie care îndeplinesc următoarele condiții:</w:t>
            </w:r>
          </w:p>
          <w:p w14:paraId="6FA457E2" w14:textId="77777777" w:rsidR="00EB243D" w:rsidRPr="00154588" w:rsidRDefault="00EB243D" w:rsidP="008C12B4">
            <w:pPr>
              <w:jc w:val="both"/>
              <w:rPr>
                <w:bCs/>
                <w:sz w:val="20"/>
                <w:szCs w:val="20"/>
              </w:rPr>
            </w:pPr>
          </w:p>
          <w:p w14:paraId="19227C56" w14:textId="56E6CF1C" w:rsidR="00EB243D" w:rsidRPr="00154588" w:rsidRDefault="00EB243D" w:rsidP="008C12B4">
            <w:pPr>
              <w:jc w:val="both"/>
              <w:rPr>
                <w:bCs/>
                <w:sz w:val="20"/>
                <w:szCs w:val="20"/>
              </w:rPr>
            </w:pPr>
            <w:r w:rsidRPr="00154588">
              <w:rPr>
                <w:bCs/>
                <w:sz w:val="20"/>
                <w:szCs w:val="20"/>
              </w:rPr>
              <w:t>(a) scadența contractuală inițială a instrumentelor de datorie este de cel puțin un an;</w:t>
            </w:r>
          </w:p>
          <w:p w14:paraId="5B08AD6E" w14:textId="77777777" w:rsidR="00EB243D" w:rsidRPr="00154588" w:rsidRDefault="00EB243D" w:rsidP="008C12B4">
            <w:pPr>
              <w:jc w:val="both"/>
              <w:rPr>
                <w:bCs/>
                <w:sz w:val="20"/>
                <w:szCs w:val="20"/>
              </w:rPr>
            </w:pPr>
          </w:p>
          <w:p w14:paraId="5E4B00CF" w14:textId="77777777" w:rsidR="00EB243D" w:rsidRPr="00154588" w:rsidRDefault="00EB243D" w:rsidP="008C12B4">
            <w:pPr>
              <w:jc w:val="both"/>
              <w:rPr>
                <w:bCs/>
                <w:sz w:val="20"/>
                <w:szCs w:val="20"/>
              </w:rPr>
            </w:pPr>
          </w:p>
          <w:p w14:paraId="485B4DB5" w14:textId="1A2ABA4A" w:rsidR="00EB243D" w:rsidRPr="00154588" w:rsidRDefault="00EB243D" w:rsidP="008C12B4">
            <w:pPr>
              <w:jc w:val="both"/>
              <w:rPr>
                <w:bCs/>
                <w:sz w:val="20"/>
                <w:szCs w:val="20"/>
              </w:rPr>
            </w:pPr>
            <w:r w:rsidRPr="00154588">
              <w:rPr>
                <w:bCs/>
                <w:sz w:val="20"/>
                <w:szCs w:val="20"/>
              </w:rPr>
              <w:t>(b) instrumentele de datorie nu conțin instrumente financiare derivate încorporate și nici nu sunt instrumente financiare derivate;</w:t>
            </w:r>
          </w:p>
          <w:p w14:paraId="71C0F630" w14:textId="77777777" w:rsidR="00EB243D" w:rsidRPr="00154588" w:rsidRDefault="00EB243D" w:rsidP="008C12B4">
            <w:pPr>
              <w:jc w:val="both"/>
              <w:rPr>
                <w:bCs/>
                <w:sz w:val="20"/>
                <w:szCs w:val="20"/>
              </w:rPr>
            </w:pPr>
          </w:p>
          <w:p w14:paraId="12B88BCB" w14:textId="7E15820A" w:rsidR="00EB243D" w:rsidRPr="00154588" w:rsidRDefault="00EB243D" w:rsidP="008C12B4">
            <w:pPr>
              <w:jc w:val="both"/>
              <w:rPr>
                <w:bCs/>
                <w:sz w:val="20"/>
                <w:szCs w:val="20"/>
              </w:rPr>
            </w:pPr>
            <w:r w:rsidRPr="00154588">
              <w:rPr>
                <w:bCs/>
                <w:sz w:val="20"/>
                <w:szCs w:val="20"/>
              </w:rPr>
              <w:t>(c) documentele contractuale relevante și, după caz, prospectul care se referă la emisiunea acestor instrumente de datorie precizează în mod explicit rangul inferior acordat în temeiul prezentului alineat.</w:t>
            </w:r>
          </w:p>
        </w:tc>
        <w:tc>
          <w:tcPr>
            <w:tcW w:w="4819" w:type="dxa"/>
          </w:tcPr>
          <w:p w14:paraId="0916E8C7" w14:textId="353D1F73" w:rsidR="00EB243D" w:rsidRPr="00154588" w:rsidRDefault="00EB243D" w:rsidP="008C12B4">
            <w:pPr>
              <w:tabs>
                <w:tab w:val="left" w:pos="426"/>
                <w:tab w:val="left" w:pos="851"/>
                <w:tab w:val="left" w:pos="3570"/>
              </w:tabs>
              <w:ind w:firstLine="567"/>
              <w:jc w:val="both"/>
              <w:rPr>
                <w:b/>
                <w:sz w:val="20"/>
                <w:szCs w:val="20"/>
              </w:rPr>
            </w:pPr>
          </w:p>
        </w:tc>
        <w:tc>
          <w:tcPr>
            <w:tcW w:w="2552" w:type="dxa"/>
          </w:tcPr>
          <w:p w14:paraId="6C00E2DC" w14:textId="77777777" w:rsidR="00EB243D" w:rsidRPr="00154588" w:rsidRDefault="00EB243D" w:rsidP="008C12B4">
            <w:pPr>
              <w:jc w:val="both"/>
              <w:rPr>
                <w:b/>
                <w:sz w:val="20"/>
                <w:szCs w:val="20"/>
              </w:rPr>
            </w:pPr>
          </w:p>
        </w:tc>
        <w:tc>
          <w:tcPr>
            <w:tcW w:w="3118" w:type="dxa"/>
          </w:tcPr>
          <w:p w14:paraId="790BFD4A" w14:textId="1AECE260" w:rsidR="00EB243D" w:rsidRPr="00154588" w:rsidRDefault="005A52B1" w:rsidP="008C12B4">
            <w:pPr>
              <w:jc w:val="both"/>
              <w:rPr>
                <w:b/>
                <w:sz w:val="20"/>
                <w:szCs w:val="20"/>
              </w:rPr>
            </w:pPr>
            <w:r w:rsidRPr="00154588">
              <w:rPr>
                <w:bCs/>
                <w:sz w:val="20"/>
                <w:szCs w:val="20"/>
              </w:rPr>
              <w:t>Norma este transpusă integral în cadrul PL de modificare a cadrului de lichidare bancară, deoarece privește ierarhia creanțelor in cazul insolvabilității</w:t>
            </w:r>
          </w:p>
        </w:tc>
      </w:tr>
      <w:tr w:rsidR="00EB243D" w:rsidRPr="00154588" w14:paraId="6DD1107D" w14:textId="77777777" w:rsidTr="00D15C1B">
        <w:trPr>
          <w:jc w:val="center"/>
        </w:trPr>
        <w:tc>
          <w:tcPr>
            <w:tcW w:w="4957" w:type="dxa"/>
            <w:gridSpan w:val="2"/>
          </w:tcPr>
          <w:p w14:paraId="0DA76770" w14:textId="07915C50" w:rsidR="00EB243D" w:rsidRPr="00154588" w:rsidRDefault="00EB243D" w:rsidP="008C12B4">
            <w:pPr>
              <w:jc w:val="both"/>
              <w:rPr>
                <w:bCs/>
                <w:sz w:val="20"/>
                <w:szCs w:val="20"/>
              </w:rPr>
            </w:pPr>
            <w:r w:rsidRPr="00154588">
              <w:rPr>
                <w:bCs/>
                <w:sz w:val="20"/>
                <w:szCs w:val="20"/>
              </w:rPr>
              <w:t xml:space="preserve">(3)   Statele membre se asigură că creanțele negarantate rezultate din instrumentele de datorie care îndeplinesc condițiile prevăzute la alineatul (2) literele (a), (b) și (c) din prezentul articol au, în </w:t>
            </w:r>
            <w:r w:rsidRPr="00154588">
              <w:rPr>
                <w:bCs/>
                <w:sz w:val="20"/>
                <w:szCs w:val="20"/>
              </w:rPr>
              <w:lastRenderedPageBreak/>
              <w:t>legislația lor națională care reglementează procedurile obișnuite de insolvență, un rang de prioritate superior rangului de prioritate al creanțelor rezultate din instrumentele menționate la articolul 48 alineatul (1) literele (a)-(d).</w:t>
            </w:r>
          </w:p>
        </w:tc>
        <w:tc>
          <w:tcPr>
            <w:tcW w:w="4819" w:type="dxa"/>
          </w:tcPr>
          <w:p w14:paraId="7E0803CA" w14:textId="77777777" w:rsidR="00EB243D" w:rsidRPr="00154588" w:rsidRDefault="00EB243D" w:rsidP="008C12B4">
            <w:pPr>
              <w:jc w:val="both"/>
              <w:rPr>
                <w:b/>
                <w:sz w:val="20"/>
                <w:szCs w:val="20"/>
              </w:rPr>
            </w:pPr>
          </w:p>
        </w:tc>
        <w:tc>
          <w:tcPr>
            <w:tcW w:w="2552" w:type="dxa"/>
          </w:tcPr>
          <w:p w14:paraId="7F0595FB" w14:textId="77777777" w:rsidR="00EB243D" w:rsidRPr="00154588" w:rsidRDefault="00EB243D" w:rsidP="008C12B4">
            <w:pPr>
              <w:jc w:val="both"/>
              <w:rPr>
                <w:b/>
                <w:sz w:val="20"/>
                <w:szCs w:val="20"/>
              </w:rPr>
            </w:pPr>
          </w:p>
        </w:tc>
        <w:tc>
          <w:tcPr>
            <w:tcW w:w="3118" w:type="dxa"/>
          </w:tcPr>
          <w:p w14:paraId="1457B9AB" w14:textId="0CB547CF" w:rsidR="00EB243D" w:rsidRPr="00154588" w:rsidRDefault="005A52B1" w:rsidP="008C12B4">
            <w:pPr>
              <w:jc w:val="both"/>
              <w:rPr>
                <w:b/>
                <w:sz w:val="20"/>
                <w:szCs w:val="20"/>
              </w:rPr>
            </w:pPr>
            <w:r w:rsidRPr="00154588">
              <w:rPr>
                <w:bCs/>
                <w:sz w:val="20"/>
                <w:szCs w:val="20"/>
              </w:rPr>
              <w:t xml:space="preserve">Norma este transpusă integral în cadrul PL de modificare a cadrului de lichidare bancară, </w:t>
            </w:r>
            <w:r w:rsidRPr="00154588">
              <w:rPr>
                <w:bCs/>
                <w:sz w:val="20"/>
                <w:szCs w:val="20"/>
              </w:rPr>
              <w:lastRenderedPageBreak/>
              <w:t>deoarece privește ierarhia creanțelor in cazul insolvabilității</w:t>
            </w:r>
          </w:p>
        </w:tc>
      </w:tr>
      <w:tr w:rsidR="00EB243D" w:rsidRPr="00154588" w14:paraId="1992FF19" w14:textId="77777777" w:rsidTr="00D15C1B">
        <w:trPr>
          <w:jc w:val="center"/>
        </w:trPr>
        <w:tc>
          <w:tcPr>
            <w:tcW w:w="4957" w:type="dxa"/>
            <w:gridSpan w:val="2"/>
          </w:tcPr>
          <w:p w14:paraId="23923336" w14:textId="3E27B5B1" w:rsidR="00EB243D" w:rsidRPr="00154588" w:rsidRDefault="00EB243D" w:rsidP="008C12B4">
            <w:pPr>
              <w:jc w:val="both"/>
              <w:rPr>
                <w:bCs/>
                <w:sz w:val="20"/>
                <w:szCs w:val="20"/>
              </w:rPr>
            </w:pPr>
            <w:r w:rsidRPr="00154588">
              <w:rPr>
                <w:bCs/>
                <w:sz w:val="20"/>
                <w:szCs w:val="20"/>
              </w:rPr>
              <w:lastRenderedPageBreak/>
              <w:t>(4)   Fără a aduce atingere alineatelor (5) și (7), statele membre se asigură că legislația lor națională care reglementează procedurile obișnuite de insolvență, astfel cum era adoptată la 31 decembrie 2016, se aplică rangului acordat în procedurile obișnuite de insolvență creanțelor negarantate care rezultă din instrumente de datorie emise de entitățile menționate la articolul 1 alineatul (1) primul paragraf literele (a)-(d) din prezenta directivă înainte de data intrării în vigoare a măsurilor de transpunere în dreptul intern a Directivei (UE) 2017/2399 a Parlamentului European și a Consiliului ( 16 ).</w:t>
            </w:r>
          </w:p>
        </w:tc>
        <w:tc>
          <w:tcPr>
            <w:tcW w:w="4819" w:type="dxa"/>
          </w:tcPr>
          <w:p w14:paraId="75DD2A19" w14:textId="77777777" w:rsidR="00EB243D" w:rsidRPr="00154588" w:rsidRDefault="00EB243D" w:rsidP="008C12B4">
            <w:pPr>
              <w:jc w:val="both"/>
              <w:rPr>
                <w:b/>
                <w:sz w:val="20"/>
                <w:szCs w:val="20"/>
              </w:rPr>
            </w:pPr>
          </w:p>
        </w:tc>
        <w:tc>
          <w:tcPr>
            <w:tcW w:w="2552" w:type="dxa"/>
          </w:tcPr>
          <w:p w14:paraId="14630860" w14:textId="77777777" w:rsidR="00EB243D" w:rsidRPr="00154588" w:rsidRDefault="00EB243D" w:rsidP="008C12B4">
            <w:pPr>
              <w:jc w:val="both"/>
              <w:rPr>
                <w:b/>
                <w:sz w:val="20"/>
                <w:szCs w:val="20"/>
              </w:rPr>
            </w:pPr>
          </w:p>
        </w:tc>
        <w:tc>
          <w:tcPr>
            <w:tcW w:w="3118" w:type="dxa"/>
          </w:tcPr>
          <w:p w14:paraId="364515F4" w14:textId="219075E4" w:rsidR="00EB243D" w:rsidRPr="00154588" w:rsidRDefault="005A52B1" w:rsidP="008C12B4">
            <w:pPr>
              <w:jc w:val="both"/>
              <w:rPr>
                <w:b/>
                <w:sz w:val="20"/>
                <w:szCs w:val="20"/>
              </w:rPr>
            </w:pPr>
            <w:r w:rsidRPr="00154588">
              <w:rPr>
                <w:bCs/>
                <w:sz w:val="20"/>
                <w:szCs w:val="20"/>
              </w:rPr>
              <w:t>Norma este transpusă integral în cadrul PL de modificare a cadrului de lichidare bancară, deoarece privește ierarhia creanțelor in cazul insolvabilității</w:t>
            </w:r>
          </w:p>
        </w:tc>
      </w:tr>
      <w:tr w:rsidR="00EB243D" w:rsidRPr="00154588" w14:paraId="10E7FE58" w14:textId="77777777" w:rsidTr="00D15C1B">
        <w:trPr>
          <w:jc w:val="center"/>
        </w:trPr>
        <w:tc>
          <w:tcPr>
            <w:tcW w:w="4957" w:type="dxa"/>
            <w:gridSpan w:val="2"/>
          </w:tcPr>
          <w:p w14:paraId="7CDB3530" w14:textId="77777777" w:rsidR="00EB243D" w:rsidRPr="00154588" w:rsidRDefault="00EB243D" w:rsidP="008C12B4">
            <w:pPr>
              <w:jc w:val="both"/>
              <w:rPr>
                <w:bCs/>
                <w:sz w:val="20"/>
                <w:szCs w:val="20"/>
              </w:rPr>
            </w:pPr>
            <w:r w:rsidRPr="00154588">
              <w:rPr>
                <w:bCs/>
                <w:sz w:val="20"/>
                <w:szCs w:val="20"/>
              </w:rPr>
              <w:t>(5)   În cazul în care, după data de 31 decembrie 2016 și înainte de 28 decembrie 2017, un stat membru a adoptat o legislație națională care reglementează rangul acordat în procedurile obișnuite de insolvență creanțelor negarantate rezultate din instrumente de datorie emise după data aplicării unei astfel de legislații, alineatul (4) al prezentului articol nu se aplică creanțelor rezultate din instrumente de datorie emise după data aplicării respectivei legislații naționale, cu condiția respectării tuturor condițiilor de mai jos:</w:t>
            </w:r>
          </w:p>
          <w:p w14:paraId="12056956" w14:textId="77777777" w:rsidR="00EB243D" w:rsidRPr="00154588" w:rsidRDefault="00EB243D" w:rsidP="008C12B4">
            <w:pPr>
              <w:jc w:val="both"/>
              <w:rPr>
                <w:bCs/>
                <w:sz w:val="20"/>
                <w:szCs w:val="20"/>
              </w:rPr>
            </w:pPr>
          </w:p>
          <w:p w14:paraId="57CE4878" w14:textId="17397335" w:rsidR="00EB243D" w:rsidRPr="00154588" w:rsidRDefault="00EB243D" w:rsidP="008C12B4">
            <w:pPr>
              <w:jc w:val="both"/>
              <w:rPr>
                <w:bCs/>
                <w:sz w:val="20"/>
                <w:szCs w:val="20"/>
              </w:rPr>
            </w:pPr>
            <w:r w:rsidRPr="00154588">
              <w:rPr>
                <w:bCs/>
                <w:sz w:val="20"/>
                <w:szCs w:val="20"/>
              </w:rPr>
              <w:t>(a) legislația națională respectivă prevede că, în cazul entităților menționate la articolul 1 alineatul (1) primul paragraf literele (a)-(d), creanțele negarantate obișnuite au, în cadrul procedurilor obișnuite de insolvență, un rang de prioritate superior rangului creanțelor negarantate care rezultă din instrumentele de datorie care îndeplinesc următoarele condiții:</w:t>
            </w:r>
          </w:p>
          <w:p w14:paraId="1FBEFAF7" w14:textId="77777777" w:rsidR="00EB243D" w:rsidRPr="00154588" w:rsidRDefault="00EB243D" w:rsidP="008C12B4">
            <w:pPr>
              <w:jc w:val="both"/>
              <w:rPr>
                <w:bCs/>
                <w:sz w:val="20"/>
                <w:szCs w:val="20"/>
              </w:rPr>
            </w:pPr>
          </w:p>
          <w:p w14:paraId="4F59A1D9" w14:textId="55634583" w:rsidR="00EB243D" w:rsidRPr="00154588" w:rsidRDefault="00EB243D" w:rsidP="008C12B4">
            <w:pPr>
              <w:jc w:val="both"/>
              <w:rPr>
                <w:bCs/>
                <w:sz w:val="20"/>
                <w:szCs w:val="20"/>
              </w:rPr>
            </w:pPr>
            <w:r w:rsidRPr="00154588">
              <w:rPr>
                <w:bCs/>
                <w:sz w:val="20"/>
                <w:szCs w:val="20"/>
              </w:rPr>
              <w:t>(i) scadența contractuală inițială a instrumentelor de datorie este de cel puțin un an;</w:t>
            </w:r>
          </w:p>
          <w:p w14:paraId="3CA2D96C" w14:textId="77777777" w:rsidR="00EB243D" w:rsidRPr="00154588" w:rsidRDefault="00EB243D" w:rsidP="008C12B4">
            <w:pPr>
              <w:jc w:val="both"/>
              <w:rPr>
                <w:bCs/>
                <w:sz w:val="20"/>
                <w:szCs w:val="20"/>
              </w:rPr>
            </w:pPr>
          </w:p>
          <w:p w14:paraId="3243FFFC" w14:textId="77777777" w:rsidR="00EB243D" w:rsidRPr="00154588" w:rsidRDefault="00EB243D" w:rsidP="008C12B4">
            <w:pPr>
              <w:jc w:val="both"/>
              <w:rPr>
                <w:bCs/>
                <w:sz w:val="20"/>
                <w:szCs w:val="20"/>
              </w:rPr>
            </w:pPr>
          </w:p>
          <w:p w14:paraId="02F49A34" w14:textId="24907849" w:rsidR="00EB243D" w:rsidRPr="00154588" w:rsidRDefault="00EB243D" w:rsidP="008C12B4">
            <w:pPr>
              <w:jc w:val="both"/>
              <w:rPr>
                <w:bCs/>
                <w:sz w:val="20"/>
                <w:szCs w:val="20"/>
              </w:rPr>
            </w:pPr>
            <w:r w:rsidRPr="00154588">
              <w:rPr>
                <w:bCs/>
                <w:sz w:val="20"/>
                <w:szCs w:val="20"/>
              </w:rPr>
              <w:t>(ii) instrumentele de datorie nu conțin instrumente financiare derivate încorporate și nici nu sunt instrumente financiare derivate; și</w:t>
            </w:r>
          </w:p>
          <w:p w14:paraId="7CCC7FE0" w14:textId="77777777" w:rsidR="00EB243D" w:rsidRPr="00154588" w:rsidRDefault="00EB243D" w:rsidP="008C12B4">
            <w:pPr>
              <w:jc w:val="both"/>
              <w:rPr>
                <w:bCs/>
                <w:sz w:val="20"/>
                <w:szCs w:val="20"/>
              </w:rPr>
            </w:pPr>
          </w:p>
          <w:p w14:paraId="185FE30D" w14:textId="09B94B75" w:rsidR="00EB243D" w:rsidRPr="00154588" w:rsidRDefault="00EB243D" w:rsidP="008C12B4">
            <w:pPr>
              <w:jc w:val="both"/>
              <w:rPr>
                <w:bCs/>
                <w:sz w:val="20"/>
                <w:szCs w:val="20"/>
              </w:rPr>
            </w:pPr>
            <w:r w:rsidRPr="00154588">
              <w:rPr>
                <w:bCs/>
                <w:sz w:val="20"/>
                <w:szCs w:val="20"/>
              </w:rPr>
              <w:lastRenderedPageBreak/>
              <w:t>(iii) documentele contractuale relevante și, după caz, prospectul care se referă la emisiunea acestor instrumente de datorie precizează în mod explicit rangul inferior acordat în temeiul dreptului intern;</w:t>
            </w:r>
          </w:p>
          <w:p w14:paraId="31962FB5" w14:textId="77777777" w:rsidR="00EB243D" w:rsidRPr="00154588" w:rsidRDefault="00EB243D" w:rsidP="008C12B4">
            <w:pPr>
              <w:jc w:val="both"/>
              <w:rPr>
                <w:bCs/>
                <w:sz w:val="20"/>
                <w:szCs w:val="20"/>
              </w:rPr>
            </w:pPr>
          </w:p>
          <w:p w14:paraId="463D4BE9" w14:textId="6EE60777" w:rsidR="00EB243D" w:rsidRPr="00154588" w:rsidRDefault="00EB243D" w:rsidP="008C12B4">
            <w:pPr>
              <w:jc w:val="both"/>
              <w:rPr>
                <w:bCs/>
                <w:sz w:val="20"/>
                <w:szCs w:val="20"/>
              </w:rPr>
            </w:pPr>
            <w:r w:rsidRPr="00154588">
              <w:rPr>
                <w:bCs/>
                <w:sz w:val="20"/>
                <w:szCs w:val="20"/>
              </w:rPr>
              <w:t>(b) în temeiul legislației naționale respective, creanțele negarantate rezultate din instrumente de datorie care îndeplinesc condițiile prevăzute la litera (a) de la prezentul paragraf au, în cadrul procedurilor obișnuite de insolvență, un rang de prioritate superior rangului de prioritate al creanțelor rezultate din instrumentele menționate la articolul 48 alineatul (1) literele (a)-(d).</w:t>
            </w:r>
          </w:p>
          <w:p w14:paraId="0BB9B875" w14:textId="77777777" w:rsidR="00EB243D" w:rsidRPr="00154588" w:rsidRDefault="00EB243D" w:rsidP="008C12B4">
            <w:pPr>
              <w:jc w:val="both"/>
              <w:rPr>
                <w:bCs/>
                <w:sz w:val="20"/>
                <w:szCs w:val="20"/>
              </w:rPr>
            </w:pPr>
          </w:p>
          <w:p w14:paraId="33FD90B0" w14:textId="291AFF1D" w:rsidR="00EB243D" w:rsidRPr="00154588" w:rsidRDefault="00EB243D" w:rsidP="008C12B4">
            <w:pPr>
              <w:jc w:val="both"/>
              <w:rPr>
                <w:bCs/>
                <w:sz w:val="20"/>
                <w:szCs w:val="20"/>
              </w:rPr>
            </w:pPr>
            <w:r w:rsidRPr="00154588">
              <w:rPr>
                <w:bCs/>
                <w:sz w:val="20"/>
                <w:szCs w:val="20"/>
              </w:rPr>
              <w:t>La data intrării în vigoare a măsurilor de transpunere în dreptul intern a Directivei (UE) 2017/2399 , creanțele negarantate rezultate din instrumente de datorie, menționate la litera (b) de la primul paragraf, au același rang de prioritate ca cel menționat la alineatul (2) literele (a), (b) și (c) și la alineatul (3) din prezentul articol.</w:t>
            </w:r>
          </w:p>
        </w:tc>
        <w:tc>
          <w:tcPr>
            <w:tcW w:w="4819" w:type="dxa"/>
          </w:tcPr>
          <w:p w14:paraId="3CE80FC3" w14:textId="31B33BE5" w:rsidR="00EB243D" w:rsidRPr="00154588" w:rsidRDefault="00EB243D" w:rsidP="008C12B4">
            <w:pPr>
              <w:jc w:val="both"/>
              <w:rPr>
                <w:sz w:val="20"/>
                <w:szCs w:val="20"/>
              </w:rPr>
            </w:pPr>
          </w:p>
        </w:tc>
        <w:tc>
          <w:tcPr>
            <w:tcW w:w="2552" w:type="dxa"/>
          </w:tcPr>
          <w:p w14:paraId="0F9E67A9" w14:textId="77777777" w:rsidR="00EB243D" w:rsidRPr="00154588" w:rsidRDefault="00EB243D" w:rsidP="008C12B4">
            <w:pPr>
              <w:jc w:val="both"/>
              <w:rPr>
                <w:b/>
                <w:sz w:val="20"/>
                <w:szCs w:val="20"/>
              </w:rPr>
            </w:pPr>
          </w:p>
        </w:tc>
        <w:tc>
          <w:tcPr>
            <w:tcW w:w="3118" w:type="dxa"/>
          </w:tcPr>
          <w:p w14:paraId="4AFB7877" w14:textId="3E076D51" w:rsidR="00EB243D" w:rsidRPr="00154588" w:rsidRDefault="005A52B1" w:rsidP="008C12B4">
            <w:pPr>
              <w:jc w:val="both"/>
              <w:rPr>
                <w:b/>
                <w:sz w:val="20"/>
                <w:szCs w:val="20"/>
              </w:rPr>
            </w:pPr>
            <w:r w:rsidRPr="00154588">
              <w:rPr>
                <w:bCs/>
                <w:sz w:val="20"/>
                <w:szCs w:val="20"/>
              </w:rPr>
              <w:t>Norma este transpusă integral în cadrul PL de modificare a cadrului de lichidare bancară, deoarece privește ierarhia creanțelor in cazul insolvabilității</w:t>
            </w:r>
          </w:p>
        </w:tc>
      </w:tr>
      <w:tr w:rsidR="00EB243D" w:rsidRPr="00154588" w14:paraId="759D2160" w14:textId="77777777" w:rsidTr="00D15C1B">
        <w:trPr>
          <w:jc w:val="center"/>
        </w:trPr>
        <w:tc>
          <w:tcPr>
            <w:tcW w:w="4957" w:type="dxa"/>
            <w:gridSpan w:val="2"/>
          </w:tcPr>
          <w:p w14:paraId="49EA44D7" w14:textId="602FF074" w:rsidR="00EB243D" w:rsidRPr="00154588" w:rsidRDefault="00EB243D" w:rsidP="008C12B4">
            <w:pPr>
              <w:jc w:val="both"/>
              <w:rPr>
                <w:bCs/>
                <w:sz w:val="20"/>
                <w:szCs w:val="20"/>
              </w:rPr>
            </w:pPr>
            <w:r w:rsidRPr="00154588">
              <w:rPr>
                <w:bCs/>
                <w:sz w:val="20"/>
                <w:szCs w:val="20"/>
              </w:rPr>
              <w:t>(6)   În sensul alineatului (2) litera (b) și al alineatului (5) primul paragraf litera (a) punctul (ii), instrumentele de datorie cu dobândă variabilă derivată dintr-o rată de referință utilizată la scară largă și instrumentele de datorie care nu sunt denominate în moneda națională a emitentului, cu condiția ca principalul, rambursarea și dobânzile să fie denominate în aceeași monedă, nu sunt considerate, doar pe baza acestor caracteristici, instrumente de datorie care conțin instrumente derivate încorporate.</w:t>
            </w:r>
          </w:p>
        </w:tc>
        <w:tc>
          <w:tcPr>
            <w:tcW w:w="4819" w:type="dxa"/>
          </w:tcPr>
          <w:p w14:paraId="6727E4D4" w14:textId="77777777" w:rsidR="00EB243D" w:rsidRPr="00154588" w:rsidRDefault="00EB243D" w:rsidP="008C12B4">
            <w:pPr>
              <w:jc w:val="both"/>
              <w:rPr>
                <w:b/>
                <w:sz w:val="20"/>
                <w:szCs w:val="20"/>
              </w:rPr>
            </w:pPr>
          </w:p>
        </w:tc>
        <w:tc>
          <w:tcPr>
            <w:tcW w:w="2552" w:type="dxa"/>
          </w:tcPr>
          <w:p w14:paraId="2CF4EE40" w14:textId="77777777" w:rsidR="00EB243D" w:rsidRPr="00154588" w:rsidRDefault="00EB243D" w:rsidP="008C12B4">
            <w:pPr>
              <w:jc w:val="both"/>
              <w:rPr>
                <w:b/>
                <w:sz w:val="20"/>
                <w:szCs w:val="20"/>
              </w:rPr>
            </w:pPr>
          </w:p>
        </w:tc>
        <w:tc>
          <w:tcPr>
            <w:tcW w:w="3118" w:type="dxa"/>
          </w:tcPr>
          <w:p w14:paraId="4B64DA94" w14:textId="3DF98CD3" w:rsidR="00EB243D" w:rsidRPr="00154588" w:rsidRDefault="005A52B1" w:rsidP="008C12B4">
            <w:pPr>
              <w:jc w:val="both"/>
              <w:rPr>
                <w:b/>
                <w:sz w:val="20"/>
                <w:szCs w:val="20"/>
              </w:rPr>
            </w:pPr>
            <w:r w:rsidRPr="00154588">
              <w:rPr>
                <w:bCs/>
                <w:sz w:val="20"/>
                <w:szCs w:val="20"/>
              </w:rPr>
              <w:t>Norma este transpusă integral în cadrul PL de modificare a cadrului de lichidare bancară, deoarece privește ierarhia creanțelor in cazul insolvabilității</w:t>
            </w:r>
          </w:p>
        </w:tc>
      </w:tr>
      <w:tr w:rsidR="00EB243D" w:rsidRPr="00154588" w14:paraId="4E65009C" w14:textId="77777777" w:rsidTr="00D15C1B">
        <w:trPr>
          <w:jc w:val="center"/>
        </w:trPr>
        <w:tc>
          <w:tcPr>
            <w:tcW w:w="4957" w:type="dxa"/>
            <w:gridSpan w:val="2"/>
          </w:tcPr>
          <w:p w14:paraId="6C08E282" w14:textId="2A200C75" w:rsidR="00EB243D" w:rsidRPr="00154588" w:rsidRDefault="00EB243D" w:rsidP="008C12B4">
            <w:pPr>
              <w:jc w:val="both"/>
              <w:rPr>
                <w:bCs/>
                <w:sz w:val="20"/>
                <w:szCs w:val="20"/>
              </w:rPr>
            </w:pPr>
            <w:r w:rsidRPr="00154588">
              <w:rPr>
                <w:bCs/>
                <w:sz w:val="20"/>
                <w:szCs w:val="20"/>
              </w:rPr>
              <w:t xml:space="preserve">(7)   Statele membre care au adoptat, înainte de 31 decembrie 2016, o legislație națională care reglementează procedurile obișnuite de insolvență, în temeiul căreia creanțele negarantate obișnuite rezultate din instrumente de datorie emise de entitățile menționate la articolul 1 alineatul (1) primul paragraf literele (a)-(d) sunt împărțite în două sau mai multe ranguri de prioritate diferite sau în temeiul căreia rangul de prioritate al creanțelor negarantate obișnuite rezultate din astfel de instrumente de datorie se modifică în raport cu toate celelalte creanțe negarantate obișnuite de același rang, pot prevedea ca instrumentele de datorie cu cel mai scăzut rang de prioritate dintre respectivele creanțe negarantate obișnuite să aibă același rang ca cel al creanțelor care </w:t>
            </w:r>
            <w:r w:rsidRPr="00154588">
              <w:rPr>
                <w:bCs/>
                <w:sz w:val="20"/>
                <w:szCs w:val="20"/>
              </w:rPr>
              <w:lastRenderedPageBreak/>
              <w:t>îndeplinesc condițiile de la alineatul (2) literele (a), (b) și (c) și de la alineatul (3) din prezentul articol.</w:t>
            </w:r>
          </w:p>
        </w:tc>
        <w:tc>
          <w:tcPr>
            <w:tcW w:w="4819" w:type="dxa"/>
          </w:tcPr>
          <w:p w14:paraId="44C953B2" w14:textId="77777777" w:rsidR="00EB243D" w:rsidRPr="00154588" w:rsidRDefault="00EB243D" w:rsidP="008C12B4">
            <w:pPr>
              <w:jc w:val="both"/>
              <w:rPr>
                <w:b/>
                <w:sz w:val="20"/>
                <w:szCs w:val="20"/>
              </w:rPr>
            </w:pPr>
          </w:p>
        </w:tc>
        <w:tc>
          <w:tcPr>
            <w:tcW w:w="2552" w:type="dxa"/>
          </w:tcPr>
          <w:p w14:paraId="671AE6A5" w14:textId="77777777" w:rsidR="00EB243D" w:rsidRPr="00154588" w:rsidRDefault="00EB243D" w:rsidP="008C12B4">
            <w:pPr>
              <w:jc w:val="both"/>
              <w:rPr>
                <w:b/>
                <w:sz w:val="20"/>
                <w:szCs w:val="20"/>
              </w:rPr>
            </w:pPr>
          </w:p>
        </w:tc>
        <w:tc>
          <w:tcPr>
            <w:tcW w:w="3118" w:type="dxa"/>
          </w:tcPr>
          <w:p w14:paraId="0E0F4440" w14:textId="299C50AC" w:rsidR="00EB243D" w:rsidRPr="00154588" w:rsidRDefault="005A52B1" w:rsidP="008C12B4">
            <w:pPr>
              <w:jc w:val="both"/>
              <w:rPr>
                <w:b/>
                <w:sz w:val="20"/>
                <w:szCs w:val="20"/>
              </w:rPr>
            </w:pPr>
            <w:r w:rsidRPr="00154588">
              <w:rPr>
                <w:bCs/>
                <w:sz w:val="20"/>
                <w:szCs w:val="20"/>
              </w:rPr>
              <w:t>Norma este transpusă integral în cadrul PL de modificare a cadrului de lichidare bancară, deoarece privește ierarhia creanțelor in cazul insolvabilității</w:t>
            </w:r>
          </w:p>
        </w:tc>
      </w:tr>
      <w:tr w:rsidR="00EB243D" w:rsidRPr="00154588" w14:paraId="19FBB60C" w14:textId="77777777" w:rsidTr="00D15C1B">
        <w:trPr>
          <w:jc w:val="center"/>
        </w:trPr>
        <w:tc>
          <w:tcPr>
            <w:tcW w:w="4957" w:type="dxa"/>
            <w:gridSpan w:val="2"/>
          </w:tcPr>
          <w:p w14:paraId="4E9F0C70" w14:textId="6A6A9731" w:rsidR="00EB243D" w:rsidRPr="00154588" w:rsidRDefault="00EB243D" w:rsidP="008C12B4">
            <w:pPr>
              <w:jc w:val="both"/>
              <w:rPr>
                <w:bCs/>
                <w:sz w:val="20"/>
                <w:szCs w:val="20"/>
              </w:rPr>
            </w:pPr>
            <w:r w:rsidRPr="00154588">
              <w:rPr>
                <w:bCs/>
                <w:sz w:val="20"/>
                <w:szCs w:val="20"/>
              </w:rPr>
              <w:t>(8) În cazul în care instrumentele de rezoluție menționate la articolul 37 alineatul (3) litera (a) sau (b) sunt utilizate pentru a transfera doar o parte din activele, drepturile sau pasivele instituției aflate în rezoluție, mecanismul de finanțare a rezoluției are o creanță împotriva instituției sau entității reziduale menționate la articolul 1 alineatul (1) litera (b), (c) sau (d), pentru toate cheltuielile și pierderile suportate de mecanismul de finanțare a rezoluției ca urmare a oricăror contribuții la rezoluție efectuate în temeiul articolului 101 alineatul (1) în legătură cu pierderile pe care în mod normal le-ar fi suportat creditorii.</w:t>
            </w:r>
          </w:p>
        </w:tc>
        <w:tc>
          <w:tcPr>
            <w:tcW w:w="4819" w:type="dxa"/>
          </w:tcPr>
          <w:p w14:paraId="46AD021F" w14:textId="77777777" w:rsidR="00EB243D" w:rsidRPr="00154588" w:rsidRDefault="00EB243D" w:rsidP="008C12B4">
            <w:pPr>
              <w:tabs>
                <w:tab w:val="left" w:pos="142"/>
                <w:tab w:val="left" w:pos="426"/>
                <w:tab w:val="left" w:pos="851"/>
              </w:tabs>
              <w:jc w:val="both"/>
              <w:rPr>
                <w:b/>
                <w:sz w:val="20"/>
                <w:szCs w:val="20"/>
              </w:rPr>
            </w:pPr>
          </w:p>
        </w:tc>
        <w:tc>
          <w:tcPr>
            <w:tcW w:w="2552" w:type="dxa"/>
          </w:tcPr>
          <w:p w14:paraId="76374C81" w14:textId="77777777" w:rsidR="00EB243D" w:rsidRPr="00154588" w:rsidRDefault="00EB243D" w:rsidP="008C12B4">
            <w:pPr>
              <w:jc w:val="both"/>
              <w:rPr>
                <w:b/>
                <w:sz w:val="20"/>
                <w:szCs w:val="20"/>
              </w:rPr>
            </w:pPr>
          </w:p>
        </w:tc>
        <w:tc>
          <w:tcPr>
            <w:tcW w:w="3118" w:type="dxa"/>
          </w:tcPr>
          <w:p w14:paraId="427EEA9F" w14:textId="6CCF9E0A" w:rsidR="00EB243D" w:rsidRPr="00154588" w:rsidRDefault="005A52B1" w:rsidP="008C12B4">
            <w:pPr>
              <w:jc w:val="both"/>
              <w:rPr>
                <w:b/>
                <w:sz w:val="20"/>
                <w:szCs w:val="20"/>
              </w:rPr>
            </w:pPr>
            <w:r w:rsidRPr="00154588">
              <w:rPr>
                <w:bCs/>
                <w:sz w:val="20"/>
                <w:szCs w:val="20"/>
              </w:rPr>
              <w:t>Norma este transpusă integral în cadrul PL de modificare a cadrului de lichidare bancară, deoarece privește ierarhia creanțelor in cazul insolvabilității</w:t>
            </w:r>
          </w:p>
        </w:tc>
      </w:tr>
      <w:tr w:rsidR="00EB243D" w:rsidRPr="00154588" w14:paraId="512F947F" w14:textId="77777777" w:rsidTr="00D15C1B">
        <w:trPr>
          <w:jc w:val="center"/>
        </w:trPr>
        <w:tc>
          <w:tcPr>
            <w:tcW w:w="4957" w:type="dxa"/>
            <w:gridSpan w:val="2"/>
          </w:tcPr>
          <w:p w14:paraId="21B0D955" w14:textId="42E7BED8" w:rsidR="00EB243D" w:rsidRPr="00154588" w:rsidRDefault="00EB243D" w:rsidP="008C12B4">
            <w:pPr>
              <w:jc w:val="both"/>
              <w:rPr>
                <w:bCs/>
                <w:sz w:val="20"/>
                <w:szCs w:val="20"/>
              </w:rPr>
            </w:pPr>
            <w:r w:rsidRPr="00154588">
              <w:rPr>
                <w:bCs/>
                <w:sz w:val="20"/>
                <w:szCs w:val="20"/>
              </w:rPr>
              <w:t>(9) Statele membre se asigură că, în legislația lor națională care reglementează procedura obișnuită de insolvență, creanțele mecanismului de finanțare a rezoluției menționate la prezentul articol alineatul (8) și la articolul 37 alineatul (7) au un rang de prioritate privilegiat, care este superior rangului acordat creanțelor aferente depozitelor și schemelor de garantare a depozitelor în temeiul alineatului (1) de la prezentul articol.</w:t>
            </w:r>
          </w:p>
        </w:tc>
        <w:tc>
          <w:tcPr>
            <w:tcW w:w="4819" w:type="dxa"/>
          </w:tcPr>
          <w:p w14:paraId="188E5372" w14:textId="73EED160" w:rsidR="00EB243D" w:rsidRPr="00154588" w:rsidRDefault="00EB243D" w:rsidP="008C12B4">
            <w:pPr>
              <w:jc w:val="both"/>
              <w:rPr>
                <w:sz w:val="20"/>
                <w:szCs w:val="20"/>
              </w:rPr>
            </w:pPr>
            <w:r w:rsidRPr="00154588">
              <w:rPr>
                <w:b/>
                <w:sz w:val="20"/>
                <w:szCs w:val="20"/>
              </w:rPr>
              <w:t xml:space="preserve"> </w:t>
            </w:r>
          </w:p>
        </w:tc>
        <w:tc>
          <w:tcPr>
            <w:tcW w:w="2552" w:type="dxa"/>
          </w:tcPr>
          <w:p w14:paraId="2723ED6B" w14:textId="77777777" w:rsidR="00EB243D" w:rsidRPr="00154588" w:rsidRDefault="00EB243D" w:rsidP="008C12B4">
            <w:pPr>
              <w:jc w:val="both"/>
              <w:rPr>
                <w:b/>
                <w:sz w:val="20"/>
                <w:szCs w:val="20"/>
              </w:rPr>
            </w:pPr>
          </w:p>
        </w:tc>
        <w:tc>
          <w:tcPr>
            <w:tcW w:w="3118" w:type="dxa"/>
          </w:tcPr>
          <w:p w14:paraId="2857F3C5" w14:textId="2BE357DF" w:rsidR="00EB243D" w:rsidRPr="00154588" w:rsidRDefault="005A52B1" w:rsidP="008C12B4">
            <w:pPr>
              <w:jc w:val="both"/>
              <w:rPr>
                <w:b/>
                <w:sz w:val="20"/>
                <w:szCs w:val="20"/>
              </w:rPr>
            </w:pPr>
            <w:r w:rsidRPr="00154588">
              <w:rPr>
                <w:bCs/>
                <w:sz w:val="20"/>
                <w:szCs w:val="20"/>
              </w:rPr>
              <w:t>Norma este transpusă integral în cadrul PL de modificare a cadrului de lichidare bancară, deoarece privește ierarhia creanțelor in cazul insolvabilității</w:t>
            </w:r>
          </w:p>
        </w:tc>
      </w:tr>
      <w:tr w:rsidR="00EB243D" w:rsidRPr="00154588" w14:paraId="7BBF8005" w14:textId="77777777" w:rsidTr="00D15C1B">
        <w:trPr>
          <w:jc w:val="center"/>
        </w:trPr>
        <w:tc>
          <w:tcPr>
            <w:tcW w:w="4957" w:type="dxa"/>
            <w:gridSpan w:val="2"/>
          </w:tcPr>
          <w:p w14:paraId="504E7046" w14:textId="77777777" w:rsidR="00EB243D" w:rsidRPr="00154588" w:rsidRDefault="00EB243D" w:rsidP="008C12B4">
            <w:pPr>
              <w:jc w:val="both"/>
              <w:rPr>
                <w:b/>
                <w:sz w:val="20"/>
                <w:szCs w:val="20"/>
              </w:rPr>
            </w:pPr>
            <w:r w:rsidRPr="00154588">
              <w:rPr>
                <w:b/>
                <w:sz w:val="20"/>
                <w:szCs w:val="20"/>
              </w:rPr>
              <w:t>Articolul 109</w:t>
            </w:r>
          </w:p>
          <w:p w14:paraId="6C361CB2" w14:textId="77777777" w:rsidR="00EB243D" w:rsidRPr="00154588" w:rsidRDefault="00EB243D" w:rsidP="008C12B4">
            <w:pPr>
              <w:jc w:val="both"/>
              <w:rPr>
                <w:b/>
                <w:sz w:val="20"/>
                <w:szCs w:val="20"/>
              </w:rPr>
            </w:pPr>
          </w:p>
          <w:p w14:paraId="232D24B7" w14:textId="72F7CEC0" w:rsidR="00EB243D" w:rsidRPr="00154588" w:rsidRDefault="00EB243D" w:rsidP="008C12B4">
            <w:pPr>
              <w:jc w:val="both"/>
              <w:rPr>
                <w:bCs/>
                <w:sz w:val="20"/>
                <w:szCs w:val="20"/>
              </w:rPr>
            </w:pPr>
            <w:r w:rsidRPr="00154588">
              <w:rPr>
                <w:b/>
                <w:sz w:val="20"/>
                <w:szCs w:val="20"/>
              </w:rPr>
              <w:t>Utilizarea schemelor de garantare a depozitelor în contextul rezoluției</w:t>
            </w:r>
          </w:p>
        </w:tc>
        <w:tc>
          <w:tcPr>
            <w:tcW w:w="4819" w:type="dxa"/>
          </w:tcPr>
          <w:p w14:paraId="3CE81E38" w14:textId="77777777" w:rsidR="00EB243D" w:rsidRPr="00154588" w:rsidRDefault="00EB243D" w:rsidP="008C12B4">
            <w:pPr>
              <w:jc w:val="both"/>
              <w:rPr>
                <w:b/>
                <w:sz w:val="20"/>
                <w:szCs w:val="20"/>
              </w:rPr>
            </w:pPr>
          </w:p>
        </w:tc>
        <w:tc>
          <w:tcPr>
            <w:tcW w:w="2552" w:type="dxa"/>
          </w:tcPr>
          <w:p w14:paraId="2870F2C3" w14:textId="77777777" w:rsidR="00EB243D" w:rsidRPr="00154588" w:rsidRDefault="00EB243D" w:rsidP="008C12B4">
            <w:pPr>
              <w:jc w:val="both"/>
              <w:rPr>
                <w:b/>
                <w:sz w:val="20"/>
                <w:szCs w:val="20"/>
              </w:rPr>
            </w:pPr>
          </w:p>
        </w:tc>
        <w:tc>
          <w:tcPr>
            <w:tcW w:w="3118" w:type="dxa"/>
          </w:tcPr>
          <w:p w14:paraId="101DDF89" w14:textId="77777777" w:rsidR="00EB243D" w:rsidRPr="00154588" w:rsidRDefault="00EB243D" w:rsidP="008C12B4">
            <w:pPr>
              <w:jc w:val="both"/>
              <w:rPr>
                <w:b/>
                <w:sz w:val="20"/>
                <w:szCs w:val="20"/>
              </w:rPr>
            </w:pPr>
          </w:p>
        </w:tc>
      </w:tr>
      <w:tr w:rsidR="00EB243D" w:rsidRPr="00154588" w14:paraId="3B45041A" w14:textId="77777777" w:rsidTr="00D15C1B">
        <w:trPr>
          <w:jc w:val="center"/>
        </w:trPr>
        <w:tc>
          <w:tcPr>
            <w:tcW w:w="4957" w:type="dxa"/>
            <w:gridSpan w:val="2"/>
          </w:tcPr>
          <w:p w14:paraId="0BC5C599" w14:textId="431A0C0F" w:rsidR="00EB243D" w:rsidRPr="00154588" w:rsidRDefault="00EB243D" w:rsidP="008C12B4">
            <w:pPr>
              <w:jc w:val="both"/>
              <w:rPr>
                <w:bCs/>
                <w:sz w:val="20"/>
                <w:szCs w:val="20"/>
              </w:rPr>
            </w:pPr>
            <w:r w:rsidRPr="00154588">
              <w:rPr>
                <w:bCs/>
                <w:sz w:val="20"/>
                <w:szCs w:val="20"/>
              </w:rPr>
              <w:t>(1)   Atunci când autoritățile de rezoluție iau măsuri de rezoluție cu privire la o institiție de credit și dacă aceaste măsuri garantează faptul că deponenții continuă să aibă acces la depozitele lor, statele membre se asigură că schema de garantare a depozitelor la care este afiliată instituția de credit respectivă contribuie cu următoarele cuantumuri:</w:t>
            </w:r>
          </w:p>
          <w:p w14:paraId="409AA6C1" w14:textId="77777777" w:rsidR="00EB243D" w:rsidRPr="00154588" w:rsidRDefault="00EB243D" w:rsidP="008C12B4">
            <w:pPr>
              <w:jc w:val="both"/>
              <w:rPr>
                <w:bCs/>
                <w:sz w:val="20"/>
                <w:szCs w:val="20"/>
              </w:rPr>
            </w:pPr>
          </w:p>
          <w:p w14:paraId="2D40C110" w14:textId="77777777" w:rsidR="00EB243D" w:rsidRPr="00154588" w:rsidRDefault="00EB243D" w:rsidP="008C12B4">
            <w:pPr>
              <w:jc w:val="both"/>
              <w:rPr>
                <w:bCs/>
                <w:sz w:val="20"/>
                <w:szCs w:val="20"/>
              </w:rPr>
            </w:pPr>
          </w:p>
          <w:p w14:paraId="7E87E522" w14:textId="5E4DBD30" w:rsidR="00EB243D" w:rsidRPr="00154588" w:rsidRDefault="00EB243D" w:rsidP="008C12B4">
            <w:pPr>
              <w:jc w:val="both"/>
              <w:rPr>
                <w:bCs/>
                <w:sz w:val="20"/>
                <w:szCs w:val="20"/>
              </w:rPr>
            </w:pPr>
            <w:r w:rsidRPr="00154588">
              <w:rPr>
                <w:bCs/>
                <w:sz w:val="20"/>
                <w:szCs w:val="20"/>
              </w:rPr>
              <w:t xml:space="preserve">(a) în cazul aplicării instrumentului de recapitalizare internă în sensul articolului 43 alineatul (2) litera (a), in mod independent sau în combinație cu alte instrumente de rezoluție, cuantumul cu care depozitele acoperite ar fi fosr reduse sau convertite pentru a absorbi pierderile și a recapitalizxa unstituția aflată în rezoluție în temeiul articolului 46 alineatul (1), dacă depozitele acoperite ar fi fost incluse în domeniul de aplicare al recapitalizării interne; </w:t>
            </w:r>
          </w:p>
          <w:p w14:paraId="216CBFA0" w14:textId="5F763FCF" w:rsidR="00EB243D" w:rsidRPr="00154588" w:rsidRDefault="00EB243D" w:rsidP="008C12B4">
            <w:pPr>
              <w:jc w:val="both"/>
              <w:rPr>
                <w:bCs/>
                <w:sz w:val="20"/>
                <w:szCs w:val="20"/>
              </w:rPr>
            </w:pPr>
            <w:r w:rsidRPr="00154588">
              <w:rPr>
                <w:bCs/>
                <w:sz w:val="20"/>
                <w:szCs w:val="20"/>
              </w:rPr>
              <w:lastRenderedPageBreak/>
              <w:t>(b) în cazul aplicării instrumentului de vânzare a activității sau a instrumentului instituției-punte, în mod independent sau în combinație cu alte instrumente de rezoluție, conducând la ieșirea de pe piață a instituției aflate în rezoluție:</w:t>
            </w:r>
            <w:r w:rsidRPr="00154588" w:rsidDel="00F62633">
              <w:rPr>
                <w:bCs/>
                <w:sz w:val="20"/>
                <w:szCs w:val="20"/>
              </w:rPr>
              <w:t xml:space="preserve"> </w:t>
            </w:r>
          </w:p>
          <w:p w14:paraId="4D4DFE6A" w14:textId="77777777" w:rsidR="00EB243D" w:rsidRPr="00154588" w:rsidRDefault="00EB243D" w:rsidP="008C12B4">
            <w:pPr>
              <w:jc w:val="both"/>
              <w:rPr>
                <w:bCs/>
                <w:sz w:val="20"/>
                <w:szCs w:val="20"/>
              </w:rPr>
            </w:pPr>
            <w:r w:rsidRPr="00154588">
              <w:rPr>
                <w:bCs/>
                <w:sz w:val="20"/>
                <w:szCs w:val="20"/>
              </w:rPr>
              <w:t xml:space="preserve">(i) cuantumul necesar pentru a acoperi diferența dintre, pe de o parte, valoarea depozitelor acoperite și a pasivelor cu același rang de prioritate sau cu un rang de prioritate superior depozitelor acoperite și, pe de altă parte, valoarea activelor instituției aflate în rezoluție care urmează să fie transferate unui destinatar; și </w:t>
            </w:r>
          </w:p>
          <w:p w14:paraId="79D445C3" w14:textId="5F0A04C1" w:rsidR="00EB243D" w:rsidRPr="00154588" w:rsidRDefault="00EB243D" w:rsidP="008C12B4">
            <w:pPr>
              <w:jc w:val="both"/>
              <w:rPr>
                <w:bCs/>
                <w:sz w:val="20"/>
                <w:szCs w:val="20"/>
              </w:rPr>
            </w:pPr>
            <w:r w:rsidRPr="00154588">
              <w:rPr>
                <w:bCs/>
                <w:sz w:val="20"/>
                <w:szCs w:val="20"/>
              </w:rPr>
              <w:t>(ii) dacă este cazul, un cuantum necesar pentru a asigura neutralitatea capitalului destinatarului în urma transferului.</w:t>
            </w:r>
            <w:r w:rsidRPr="00154588" w:rsidDel="00F62633">
              <w:rPr>
                <w:bCs/>
                <w:sz w:val="20"/>
                <w:szCs w:val="20"/>
              </w:rPr>
              <w:t xml:space="preserve"> </w:t>
            </w:r>
          </w:p>
        </w:tc>
        <w:tc>
          <w:tcPr>
            <w:tcW w:w="4819" w:type="dxa"/>
          </w:tcPr>
          <w:p w14:paraId="0CC2A5E2" w14:textId="77777777" w:rsidR="00EB243D" w:rsidRPr="00154588" w:rsidRDefault="00EB243D" w:rsidP="008C12B4">
            <w:pPr>
              <w:ind w:firstLine="567"/>
              <w:jc w:val="both"/>
              <w:rPr>
                <w:sz w:val="20"/>
                <w:szCs w:val="20"/>
              </w:rPr>
            </w:pPr>
          </w:p>
          <w:p w14:paraId="2262740B" w14:textId="7DF0E253" w:rsidR="00EB243D" w:rsidRPr="00154588" w:rsidRDefault="00EB243D" w:rsidP="008C12B4">
            <w:pPr>
              <w:ind w:firstLine="567"/>
              <w:jc w:val="both"/>
              <w:rPr>
                <w:sz w:val="20"/>
                <w:szCs w:val="20"/>
              </w:rPr>
            </w:pPr>
            <w:r w:rsidRPr="00154588">
              <w:rPr>
                <w:b/>
                <w:sz w:val="20"/>
                <w:szCs w:val="20"/>
              </w:rPr>
              <w:t>Articolul 313</w:t>
            </w:r>
            <w:r w:rsidRPr="00154588">
              <w:rPr>
                <w:b/>
                <w:sz w:val="20"/>
                <w:szCs w:val="20"/>
                <w:vertAlign w:val="superscript"/>
              </w:rPr>
              <w:t>8</w:t>
            </w:r>
            <w:r w:rsidRPr="00154588">
              <w:rPr>
                <w:sz w:val="20"/>
                <w:szCs w:val="20"/>
              </w:rPr>
              <w:t>. – (1) Atunci când Banca Națională a Moldovei, în calitate de autoritate de rezoluție la nivel individual, ia o acțiune de rezoluție care asigură în continuare accesul deponenților la propriile lor depozite, schema  de garantare a depozitelor în sistemul bancar la care instituția de credit este membră participă la finanțarea rezoluției cu următoarele cuantumuri:</w:t>
            </w:r>
          </w:p>
          <w:p w14:paraId="360A9287" w14:textId="15E9EFD7" w:rsidR="00EB243D" w:rsidRPr="00154588" w:rsidRDefault="00EB243D" w:rsidP="008C12B4">
            <w:pPr>
              <w:jc w:val="both"/>
              <w:rPr>
                <w:sz w:val="20"/>
                <w:szCs w:val="20"/>
              </w:rPr>
            </w:pPr>
            <w:r w:rsidRPr="00154588">
              <w:rPr>
                <w:sz w:val="20"/>
                <w:szCs w:val="20"/>
              </w:rPr>
              <w:t>a) în cazul aplicării instrumentului de recapitalizare internă, în sensul art.152 lit.a), în mod independent sau în combinație cu alte instrumente de rezoluție, cu suma cu care depozitele acoperite ar fi fost reduse sau convertite pentru a absorbi pierderile și a recapitaliza instituția de credit aflată în rezoluție în temeiul </w:t>
            </w:r>
            <w:r w:rsidRPr="00154588">
              <w:rPr>
                <w:sz w:val="20"/>
                <w:szCs w:val="20"/>
                <w:u w:val="single"/>
              </w:rPr>
              <w:t>art.171</w:t>
            </w:r>
            <w:r w:rsidRPr="00154588">
              <w:rPr>
                <w:sz w:val="20"/>
                <w:szCs w:val="20"/>
              </w:rPr>
              <w:t xml:space="preserve">, dacă depozitele acoperite ar fi fost incluse în aria de aplicare a recapitalizării interne; </w:t>
            </w:r>
          </w:p>
          <w:p w14:paraId="160BAF3B" w14:textId="77777777" w:rsidR="00EB243D" w:rsidRPr="00154588" w:rsidRDefault="00EB243D" w:rsidP="008C12B4">
            <w:pPr>
              <w:jc w:val="both"/>
              <w:rPr>
                <w:sz w:val="20"/>
                <w:szCs w:val="20"/>
              </w:rPr>
            </w:pPr>
          </w:p>
          <w:p w14:paraId="6F073CD1" w14:textId="77777777" w:rsidR="00EB243D" w:rsidRPr="00154588" w:rsidRDefault="00EB243D" w:rsidP="008C12B4">
            <w:pPr>
              <w:jc w:val="both"/>
              <w:rPr>
                <w:sz w:val="20"/>
                <w:szCs w:val="20"/>
              </w:rPr>
            </w:pPr>
          </w:p>
          <w:p w14:paraId="424B1033" w14:textId="46C42D36" w:rsidR="00EB243D" w:rsidRPr="00154588" w:rsidRDefault="00EB243D" w:rsidP="008C12B4">
            <w:pPr>
              <w:jc w:val="both"/>
              <w:rPr>
                <w:bCs/>
                <w:sz w:val="20"/>
                <w:szCs w:val="20"/>
              </w:rPr>
            </w:pPr>
            <w:r w:rsidRPr="00154588">
              <w:rPr>
                <w:sz w:val="20"/>
                <w:szCs w:val="20"/>
              </w:rPr>
              <w:t>b)</w:t>
            </w:r>
            <w:r w:rsidRPr="00154588">
              <w:rPr>
                <w:bCs/>
                <w:sz w:val="20"/>
                <w:szCs w:val="20"/>
              </w:rPr>
              <w:t xml:space="preserve"> în cazul aplicării instrumentului de vânzare a afacerii sau a instrumentului instituției-punte, în mod independent sau în combinație cu alte instrumente de rezoluție, conducând la ieșirea de pe piață a instituției aflate în rezoluție:</w:t>
            </w:r>
            <w:r w:rsidRPr="00154588" w:rsidDel="00F62633">
              <w:rPr>
                <w:bCs/>
                <w:sz w:val="20"/>
                <w:szCs w:val="20"/>
              </w:rPr>
              <w:t xml:space="preserve"> </w:t>
            </w:r>
          </w:p>
          <w:p w14:paraId="54B94034" w14:textId="0765979E" w:rsidR="00EB243D" w:rsidRPr="00154588" w:rsidRDefault="00EB243D" w:rsidP="008C12B4">
            <w:pPr>
              <w:jc w:val="both"/>
              <w:rPr>
                <w:bCs/>
                <w:sz w:val="20"/>
                <w:szCs w:val="20"/>
              </w:rPr>
            </w:pPr>
            <w:r w:rsidRPr="00154588">
              <w:rPr>
                <w:bCs/>
                <w:sz w:val="20"/>
                <w:szCs w:val="20"/>
              </w:rPr>
              <w:t xml:space="preserve">         (i) cuantumul necesar pentru a acoperi diferența dintre, pe de o parte, valoarea depozitelor acoperite și a datoriilor cu același rang de prioritate sau cu un rang de prioritate superior depozitelor acoperite și, pe de altă parte, valoarea activelor instituției aflate în rezoluție care urmează să fie transferate unui destinatar; și </w:t>
            </w:r>
          </w:p>
          <w:p w14:paraId="4EA4184A" w14:textId="76611BB3" w:rsidR="00EB243D" w:rsidRPr="00154588" w:rsidRDefault="00EB243D" w:rsidP="008C12B4">
            <w:pPr>
              <w:jc w:val="both"/>
              <w:rPr>
                <w:sz w:val="20"/>
                <w:szCs w:val="20"/>
              </w:rPr>
            </w:pPr>
            <w:r w:rsidRPr="00154588">
              <w:rPr>
                <w:bCs/>
                <w:sz w:val="20"/>
                <w:szCs w:val="20"/>
              </w:rPr>
              <w:t xml:space="preserve">        (ii) dacă este cazul, un cuantum necesar pentru a asigura neutralitatea capitalului destinatarului în urma transferului.</w:t>
            </w:r>
          </w:p>
          <w:p w14:paraId="184270A3" w14:textId="77777777" w:rsidR="00EB243D" w:rsidRPr="00154588" w:rsidRDefault="00EB243D" w:rsidP="008C12B4">
            <w:pPr>
              <w:ind w:firstLine="567"/>
              <w:jc w:val="both"/>
              <w:rPr>
                <w:b/>
                <w:sz w:val="20"/>
                <w:szCs w:val="20"/>
              </w:rPr>
            </w:pPr>
          </w:p>
        </w:tc>
        <w:tc>
          <w:tcPr>
            <w:tcW w:w="2552" w:type="dxa"/>
          </w:tcPr>
          <w:p w14:paraId="276857FF" w14:textId="06DE9384" w:rsidR="00EB243D" w:rsidRPr="00154588" w:rsidRDefault="007F5746" w:rsidP="008C12B4">
            <w:pPr>
              <w:jc w:val="both"/>
              <w:rPr>
                <w:b/>
                <w:sz w:val="20"/>
                <w:szCs w:val="20"/>
              </w:rPr>
            </w:pPr>
            <w:r w:rsidRPr="00154588">
              <w:rPr>
                <w:sz w:val="20"/>
                <w:szCs w:val="16"/>
              </w:rPr>
              <w:lastRenderedPageBreak/>
              <w:t>Compatibil</w:t>
            </w:r>
          </w:p>
        </w:tc>
        <w:tc>
          <w:tcPr>
            <w:tcW w:w="3118" w:type="dxa"/>
          </w:tcPr>
          <w:p w14:paraId="69048A48" w14:textId="77777777" w:rsidR="00EB243D" w:rsidRPr="00154588" w:rsidRDefault="00EB243D" w:rsidP="008C12B4">
            <w:pPr>
              <w:jc w:val="both"/>
              <w:rPr>
                <w:b/>
                <w:sz w:val="20"/>
                <w:szCs w:val="20"/>
              </w:rPr>
            </w:pPr>
          </w:p>
        </w:tc>
      </w:tr>
      <w:tr w:rsidR="00EB243D" w:rsidRPr="00154588" w14:paraId="443ADD1E" w14:textId="77777777" w:rsidTr="00D15C1B">
        <w:trPr>
          <w:jc w:val="center"/>
        </w:trPr>
        <w:tc>
          <w:tcPr>
            <w:tcW w:w="4957" w:type="dxa"/>
            <w:gridSpan w:val="2"/>
          </w:tcPr>
          <w:p w14:paraId="01803EAC" w14:textId="77777777" w:rsidR="00EB243D" w:rsidRPr="00154588" w:rsidRDefault="00EB243D" w:rsidP="008C12B4">
            <w:pPr>
              <w:jc w:val="both"/>
              <w:rPr>
                <w:bCs/>
                <w:sz w:val="20"/>
                <w:szCs w:val="20"/>
              </w:rPr>
            </w:pPr>
            <w:r w:rsidRPr="00154588">
              <w:rPr>
                <w:bCs/>
                <w:sz w:val="20"/>
                <w:szCs w:val="20"/>
              </w:rPr>
              <w:t xml:space="preserve">(2) În cazurile menționate la alineatul (1) litera (b) de la prezentul articol, atunci când transferul către destinatar include depozite care nu sunt depozite acoperite sau alte datorii care pot face obiectul recapitalizării interne, iar autoritatea de rezoluție a ajuns la concluzia că circumstanțele menționate la articolul 44 alineatul (3) sunt întrunite în cazul respectivelor depozite sau datorii, și atunci când nici pragul prevăzut la articolul 44 alineatul (5) litera (a), nici pragul prevăzut la articolul 44 alineatul (8) litera (a) pentru utilizarea mecanismelor de finanțare a rezoluției nu este atins prin contribuția la absorbția pierderilor și la recapitalizare din partea acționarilor și a deținătorilor de alte instrumente de proprietate, a deținătorilor de instrumente de capital relevante și de alte datorii care pot face obiectul recapitalizării interne, cuantumul cu care contribuie schema de garantare a depozitelor este următorul: </w:t>
            </w:r>
          </w:p>
          <w:p w14:paraId="2661BAC3" w14:textId="77777777" w:rsidR="00EB243D" w:rsidRPr="00154588" w:rsidRDefault="00EB243D" w:rsidP="008C12B4">
            <w:pPr>
              <w:jc w:val="both"/>
              <w:rPr>
                <w:bCs/>
                <w:sz w:val="20"/>
                <w:szCs w:val="20"/>
              </w:rPr>
            </w:pPr>
            <w:r w:rsidRPr="00154588">
              <w:rPr>
                <w:bCs/>
                <w:sz w:val="20"/>
                <w:szCs w:val="20"/>
              </w:rPr>
              <w:t xml:space="preserve">(a) cuantumul necesar pentru a acoperi diferența dintre, pe de o parte, valoarea depozitelor menționate la articolul 108 alineatul (1) primul paragraf și a pasivelor cu același rang de prioritate sau cu un rang de prioritate superior depozitelor acoperite și, pe de altă parte, valoarea activelor instituției aflate în rezoluție care urmează să fie transferate unui destinatar; și </w:t>
            </w:r>
          </w:p>
          <w:p w14:paraId="5C522AE7" w14:textId="77777777" w:rsidR="00EB243D" w:rsidRPr="00154588" w:rsidRDefault="00EB243D" w:rsidP="008C12B4">
            <w:pPr>
              <w:jc w:val="both"/>
              <w:rPr>
                <w:bCs/>
                <w:sz w:val="20"/>
                <w:szCs w:val="20"/>
              </w:rPr>
            </w:pPr>
            <w:r w:rsidRPr="00154588">
              <w:rPr>
                <w:bCs/>
                <w:sz w:val="20"/>
                <w:szCs w:val="20"/>
              </w:rPr>
              <w:lastRenderedPageBreak/>
              <w:t xml:space="preserve">(b) dacă este cazul, un cuantum necesar pentru a asigura neutralitatea capitalului destinatarului în urma transferului. </w:t>
            </w:r>
          </w:p>
          <w:p w14:paraId="59EE5560" w14:textId="77777777" w:rsidR="00EB243D" w:rsidRPr="00154588" w:rsidRDefault="00EB243D" w:rsidP="008C12B4">
            <w:pPr>
              <w:jc w:val="both"/>
              <w:rPr>
                <w:bCs/>
                <w:sz w:val="20"/>
                <w:szCs w:val="20"/>
              </w:rPr>
            </w:pPr>
          </w:p>
          <w:p w14:paraId="2506C201" w14:textId="50A309EE" w:rsidR="00EB243D" w:rsidRPr="00154588" w:rsidRDefault="00EB243D" w:rsidP="008C12B4">
            <w:pPr>
              <w:jc w:val="both"/>
              <w:rPr>
                <w:bCs/>
                <w:sz w:val="20"/>
                <w:szCs w:val="20"/>
              </w:rPr>
            </w:pPr>
            <w:r w:rsidRPr="00154588">
              <w:rPr>
                <w:bCs/>
                <w:sz w:val="20"/>
                <w:szCs w:val="20"/>
              </w:rPr>
              <w:t>Statele membre se asigură că, odată ce schema de garantare a depozitelor a adus o contribuție în cazurile menționate la primul paragraf, instituția aflată în rezoluție se abține de la achiziționarea de participații în alte întreprinderi, precum și de la efectuarea de distribuiri în legătură cu fondurile proprii de nivel 1 de bază sau de plăți aferente instrumentelor de fonduri proprii de nivel 1 suplimentar sau de la desfășurarea unor alte activități care pot conduce la o ieșire de fonduri.</w:t>
            </w:r>
          </w:p>
        </w:tc>
        <w:tc>
          <w:tcPr>
            <w:tcW w:w="4819" w:type="dxa"/>
          </w:tcPr>
          <w:p w14:paraId="0C76E9D5" w14:textId="1707F98A" w:rsidR="00EB243D" w:rsidRPr="00154588" w:rsidRDefault="00EB243D" w:rsidP="008C12B4">
            <w:pPr>
              <w:jc w:val="both"/>
              <w:rPr>
                <w:sz w:val="20"/>
                <w:szCs w:val="20"/>
              </w:rPr>
            </w:pPr>
            <w:r w:rsidRPr="00154588">
              <w:rPr>
                <w:b/>
                <w:sz w:val="20"/>
                <w:szCs w:val="20"/>
              </w:rPr>
              <w:lastRenderedPageBreak/>
              <w:t>Articolul 313</w:t>
            </w:r>
            <w:r w:rsidRPr="00154588">
              <w:rPr>
                <w:b/>
                <w:sz w:val="20"/>
                <w:szCs w:val="20"/>
                <w:vertAlign w:val="superscript"/>
              </w:rPr>
              <w:t>9</w:t>
            </w:r>
            <w:r w:rsidRPr="00154588">
              <w:rPr>
                <w:sz w:val="20"/>
                <w:szCs w:val="20"/>
              </w:rPr>
              <w:t>. –.</w:t>
            </w:r>
          </w:p>
          <w:p w14:paraId="35B5EA02" w14:textId="2DD84145" w:rsidR="00EB243D" w:rsidRPr="00154588" w:rsidRDefault="00EB243D" w:rsidP="008C12B4">
            <w:pPr>
              <w:jc w:val="both"/>
              <w:rPr>
                <w:bCs/>
                <w:sz w:val="20"/>
                <w:szCs w:val="20"/>
              </w:rPr>
            </w:pPr>
            <w:r w:rsidRPr="00154588">
              <w:rPr>
                <w:bCs/>
                <w:sz w:val="20"/>
                <w:szCs w:val="20"/>
              </w:rPr>
              <w:t>(1) În cazurile menționate la art.</w:t>
            </w:r>
            <w:r w:rsidRPr="00154588">
              <w:rPr>
                <w:b/>
                <w:sz w:val="20"/>
                <w:szCs w:val="20"/>
              </w:rPr>
              <w:t xml:space="preserve"> 313</w:t>
            </w:r>
            <w:r w:rsidRPr="00154588">
              <w:rPr>
                <w:b/>
                <w:sz w:val="20"/>
                <w:szCs w:val="20"/>
                <w:vertAlign w:val="superscript"/>
              </w:rPr>
              <w:t xml:space="preserve">8 </w:t>
            </w:r>
            <w:r w:rsidRPr="00154588">
              <w:rPr>
                <w:bCs/>
                <w:sz w:val="20"/>
                <w:szCs w:val="20"/>
              </w:rPr>
              <w:t>alin.(1) lit.b), atunci când transferul către destinatar include depozite care nu sunt depozite acoperite sau alte datorii care pot face obiectul recapitalizării interne, iar Banca Națională a Moldovei, în calitate de autoritate de rezoluție, a ajuns la concluzia că circumstanțele menționate la art.155</w:t>
            </w:r>
            <w:r w:rsidRPr="00154588">
              <w:rPr>
                <w:bCs/>
                <w:sz w:val="20"/>
                <w:szCs w:val="20"/>
                <w:vertAlign w:val="superscript"/>
              </w:rPr>
              <w:t>1</w:t>
            </w:r>
            <w:r w:rsidRPr="00154588">
              <w:rPr>
                <w:bCs/>
                <w:sz w:val="20"/>
                <w:szCs w:val="20"/>
              </w:rPr>
              <w:t xml:space="preserve"> sunt întrunite în cazul respectivelor depozite sau datorii, și atunci când nici pragul prevăzut la art.158 lit.a), nici pragul prevăzut la art.161 lit.a) pentru utilizarea Fondului de rezoluție nu este atins prin contribuția la absorbția pierderilor și la recapitalizare din partea acționarilor și a deținătorilor de alte instrumente de proprietate, a deținătorilor de instrumente de capital relevante și de alte datorii care pot face obiectul recapitalizării interne, cuantumul cu care contribuie Fondul de garantare a depozitelor în sistemul bancar este următorul: </w:t>
            </w:r>
          </w:p>
          <w:p w14:paraId="1EDF293E" w14:textId="20FB5941" w:rsidR="00EB243D" w:rsidRPr="00154588" w:rsidRDefault="00EB243D" w:rsidP="008C12B4">
            <w:pPr>
              <w:jc w:val="both"/>
              <w:rPr>
                <w:bCs/>
                <w:sz w:val="20"/>
                <w:szCs w:val="20"/>
              </w:rPr>
            </w:pPr>
            <w:r w:rsidRPr="00154588">
              <w:rPr>
                <w:bCs/>
                <w:sz w:val="20"/>
                <w:szCs w:val="20"/>
              </w:rPr>
              <w:t xml:space="preserve">(a) cuantumul necesar pentru a acoperi diferența dintre, pe de o parte, valoarea depozitelor acoperite, a depozitelor eligibile ale persoanelor fizice, ale microîntreprinderilor, ale întreprinderilor mici și mijlocii și ale autorităților publice care depășesc nivelul de acoperire, a depozitelor care ar fi eligibile dacă nu ar fi constituite prin intermediul sucursalelor situate în afara Republicii Moldova, precum și a celorlalte depozite, cu excepția celor excluse de la </w:t>
            </w:r>
            <w:r w:rsidRPr="00154588">
              <w:rPr>
                <w:bCs/>
                <w:sz w:val="20"/>
                <w:szCs w:val="20"/>
              </w:rPr>
              <w:lastRenderedPageBreak/>
              <w:t>garantare</w:t>
            </w:r>
            <w:r w:rsidRPr="00154588" w:rsidDel="00F05B23">
              <w:rPr>
                <w:bCs/>
                <w:sz w:val="20"/>
                <w:szCs w:val="20"/>
              </w:rPr>
              <w:t xml:space="preserve"> </w:t>
            </w:r>
            <w:r w:rsidRPr="00154588">
              <w:rPr>
                <w:sz w:val="20"/>
                <w:szCs w:val="20"/>
              </w:rPr>
              <w:t>și a pasivelor cu același rang de prioritate sau cu un rang de prioritate superior depozitelor acoperite</w:t>
            </w:r>
            <w:r w:rsidRPr="00154588">
              <w:rPr>
                <w:bCs/>
                <w:sz w:val="20"/>
                <w:szCs w:val="20"/>
              </w:rPr>
              <w:t xml:space="preserve"> și, pe de altă parte, valoarea activelor instituției aflate în rezoluție care urmează să fie transferate unui destinatar; și </w:t>
            </w:r>
          </w:p>
          <w:p w14:paraId="723DF32E" w14:textId="77777777" w:rsidR="00EB243D" w:rsidRPr="00154588" w:rsidRDefault="00EB243D" w:rsidP="008C12B4">
            <w:pPr>
              <w:jc w:val="both"/>
              <w:rPr>
                <w:bCs/>
                <w:sz w:val="20"/>
                <w:szCs w:val="20"/>
              </w:rPr>
            </w:pPr>
            <w:r w:rsidRPr="00154588">
              <w:rPr>
                <w:bCs/>
                <w:sz w:val="20"/>
                <w:szCs w:val="20"/>
              </w:rPr>
              <w:t xml:space="preserve">(b) dacă este cazul, un cuantum necesar pentru a asigura neutralitatea capitalului destinatarului în urma transferului. </w:t>
            </w:r>
          </w:p>
          <w:p w14:paraId="4DA72CBD" w14:textId="77777777" w:rsidR="00EB243D" w:rsidRPr="00154588" w:rsidRDefault="00EB243D" w:rsidP="008C12B4">
            <w:pPr>
              <w:jc w:val="both"/>
              <w:rPr>
                <w:bCs/>
                <w:sz w:val="20"/>
                <w:szCs w:val="20"/>
              </w:rPr>
            </w:pPr>
          </w:p>
          <w:p w14:paraId="261D1F31" w14:textId="461A2AC1" w:rsidR="00EB243D" w:rsidRPr="00154588" w:rsidRDefault="00EB243D" w:rsidP="008C12B4">
            <w:pPr>
              <w:jc w:val="both"/>
              <w:rPr>
                <w:b/>
                <w:sz w:val="20"/>
                <w:szCs w:val="20"/>
              </w:rPr>
            </w:pPr>
            <w:r w:rsidRPr="00154588">
              <w:rPr>
                <w:bCs/>
                <w:sz w:val="20"/>
                <w:szCs w:val="20"/>
              </w:rPr>
              <w:t>(2) Banca Națională a Moldovei, în calitate de autoritate de rezoluție, se asigură că, odată ce Fondul de garantare a depozitelor în sistemul bancar a adus o contribuție în cazurile menționate la alin.(1), instituția de credit aflată în rezoluție se abține de la achiziționarea de participații în alte întreprinderi, precum și de la efectuarea de distribuiri în legătură cu fondurile proprii de nivel 1 de bază sau de plăți aferente instrumentelor de fonduri proprii de nivel 1 suplimentar sau de la desfășurarea unor alte activități care pot conduce la o ieșire de fonduri.</w:t>
            </w:r>
          </w:p>
        </w:tc>
        <w:tc>
          <w:tcPr>
            <w:tcW w:w="2552" w:type="dxa"/>
          </w:tcPr>
          <w:p w14:paraId="7AEF725F" w14:textId="2FCB0CF0" w:rsidR="00EB243D" w:rsidRPr="00154588" w:rsidRDefault="00EB243D" w:rsidP="008C12B4">
            <w:pPr>
              <w:jc w:val="both"/>
              <w:rPr>
                <w:b/>
                <w:sz w:val="20"/>
                <w:szCs w:val="20"/>
              </w:rPr>
            </w:pPr>
            <w:r w:rsidRPr="00154588">
              <w:rPr>
                <w:bCs/>
                <w:sz w:val="20"/>
                <w:szCs w:val="20"/>
              </w:rPr>
              <w:lastRenderedPageBreak/>
              <w:t>Compatibil</w:t>
            </w:r>
          </w:p>
        </w:tc>
        <w:tc>
          <w:tcPr>
            <w:tcW w:w="3118" w:type="dxa"/>
          </w:tcPr>
          <w:p w14:paraId="4F03AC68" w14:textId="77777777" w:rsidR="00EB243D" w:rsidRPr="00154588" w:rsidRDefault="00EB243D" w:rsidP="008C12B4">
            <w:pPr>
              <w:jc w:val="both"/>
              <w:rPr>
                <w:b/>
                <w:sz w:val="20"/>
                <w:szCs w:val="20"/>
              </w:rPr>
            </w:pPr>
          </w:p>
        </w:tc>
      </w:tr>
      <w:tr w:rsidR="00EB243D" w:rsidRPr="00154588" w14:paraId="7EBE2CC2" w14:textId="77777777" w:rsidTr="00D15C1B">
        <w:trPr>
          <w:jc w:val="center"/>
        </w:trPr>
        <w:tc>
          <w:tcPr>
            <w:tcW w:w="4957" w:type="dxa"/>
            <w:gridSpan w:val="2"/>
          </w:tcPr>
          <w:p w14:paraId="5B11C168" w14:textId="08DD5675" w:rsidR="00EB243D" w:rsidRPr="00154588" w:rsidRDefault="00EB243D" w:rsidP="008C12B4">
            <w:pPr>
              <w:jc w:val="both"/>
              <w:rPr>
                <w:bCs/>
                <w:sz w:val="20"/>
                <w:szCs w:val="20"/>
              </w:rPr>
            </w:pPr>
            <w:r w:rsidRPr="00154588">
              <w:rPr>
                <w:bCs/>
                <w:sz w:val="20"/>
                <w:szCs w:val="20"/>
              </w:rPr>
              <w:t>(3)   În cazul în care fondurile schemei de garantare a depozitelor sunt utilizate în procesul de aplicare a instrumentului de recapitalizare internă în conformitate cu alineatul (1) litera (a) pentru a contribui la recapitalizarea instituției aflate în rezoluție, statele membre se asigură că schema de garantare a depozitelor își transferă deținerile de acțiuni sau de alte instrumente de proprietate în instituția aflată în rezoluție către sectorul privat de îndată ce situația comercială și financiară o permite. Statele membre se asigură că schema de garantare a depozitelor scoate pe piață acțiunile sau alte instrumente de proprietate menționate la primul paragraf în mod deschis și transparent. În cadrul niciunei astfel de vânzări acțiunile sau instrumentele respective nu sunt prezentate incorect, nu există discriminări între potențialii cumpărători, iar orice astfel de vânzare se efectuează în condiții comerciale.</w:t>
            </w:r>
          </w:p>
        </w:tc>
        <w:tc>
          <w:tcPr>
            <w:tcW w:w="4819" w:type="dxa"/>
          </w:tcPr>
          <w:p w14:paraId="40D7CED9" w14:textId="0D76FAD1" w:rsidR="00EB243D" w:rsidRPr="00154588" w:rsidRDefault="00EB243D" w:rsidP="008C12B4">
            <w:pPr>
              <w:ind w:firstLine="567"/>
              <w:jc w:val="both"/>
              <w:rPr>
                <w:sz w:val="20"/>
                <w:szCs w:val="20"/>
              </w:rPr>
            </w:pPr>
            <w:r w:rsidRPr="00154588">
              <w:rPr>
                <w:b/>
                <w:bCs/>
                <w:sz w:val="20"/>
                <w:szCs w:val="20"/>
              </w:rPr>
              <w:t>Articolul 313</w:t>
            </w:r>
            <w:r w:rsidRPr="00154588">
              <w:rPr>
                <w:b/>
                <w:bCs/>
                <w:sz w:val="20"/>
                <w:szCs w:val="20"/>
                <w:vertAlign w:val="superscript"/>
              </w:rPr>
              <w:t>10</w:t>
            </w:r>
            <w:r w:rsidRPr="00154588">
              <w:rPr>
                <w:sz w:val="20"/>
                <w:szCs w:val="20"/>
              </w:rPr>
              <w:t>.</w:t>
            </w:r>
            <w:r w:rsidRPr="00154588">
              <w:rPr>
                <w:sz w:val="20"/>
                <w:szCs w:val="20"/>
                <w:vertAlign w:val="superscript"/>
              </w:rPr>
              <w:t xml:space="preserve"> </w:t>
            </w:r>
            <w:r w:rsidRPr="00154588">
              <w:rPr>
                <w:sz w:val="20"/>
                <w:szCs w:val="20"/>
              </w:rPr>
              <w:t xml:space="preserve">– </w:t>
            </w:r>
          </w:p>
          <w:p w14:paraId="2786805A" w14:textId="77777777" w:rsidR="00EB243D" w:rsidRPr="00154588" w:rsidRDefault="00EB243D" w:rsidP="008C12B4">
            <w:pPr>
              <w:jc w:val="both"/>
              <w:rPr>
                <w:sz w:val="20"/>
                <w:szCs w:val="20"/>
              </w:rPr>
            </w:pPr>
          </w:p>
          <w:p w14:paraId="10DBC99C" w14:textId="4FC685DC" w:rsidR="00EB243D" w:rsidRPr="00154588" w:rsidRDefault="00EB243D" w:rsidP="008C12B4">
            <w:pPr>
              <w:jc w:val="both"/>
              <w:rPr>
                <w:bCs/>
                <w:sz w:val="20"/>
                <w:szCs w:val="20"/>
              </w:rPr>
            </w:pPr>
            <w:r w:rsidRPr="00154588">
              <w:rPr>
                <w:bCs/>
                <w:sz w:val="20"/>
                <w:szCs w:val="20"/>
              </w:rPr>
              <w:t>(1)În cazul în care mijloacele financiare ale Fondului de garantare a depozitelor în sistemul bancar sunt utilizate în procesul de aplicare a instrumentului de recapitalizare internă în conformitate cu art.313</w:t>
            </w:r>
            <w:r w:rsidRPr="00154588">
              <w:rPr>
                <w:bCs/>
                <w:sz w:val="20"/>
                <w:szCs w:val="20"/>
                <w:vertAlign w:val="superscript"/>
              </w:rPr>
              <w:t xml:space="preserve">8 </w:t>
            </w:r>
            <w:r w:rsidRPr="00154588">
              <w:rPr>
                <w:bCs/>
                <w:sz w:val="20"/>
                <w:szCs w:val="20"/>
              </w:rPr>
              <w:t>alin.(1) lit.a) pentru a contribui la recapitalizarea instituției de credit aflate în rezoluție, Banca Națională a Moldovei, în calitate de autoritate de rezoluție, se asigură că Fondul de garantare a depozitelor în sistemul bancar își transferă deținerile de acțiuni sau de alte instrumente de proprietate în instituția aflată în rezoluție către sectorul privat de îndată ce situația comercială și financiară permite acest lucru.</w:t>
            </w:r>
          </w:p>
          <w:p w14:paraId="21A9DACB" w14:textId="3CCC5A2F" w:rsidR="00EB243D" w:rsidRPr="00154588" w:rsidRDefault="00EB243D" w:rsidP="008C12B4">
            <w:pPr>
              <w:jc w:val="both"/>
              <w:rPr>
                <w:bCs/>
                <w:sz w:val="20"/>
                <w:szCs w:val="20"/>
                <w:lang w:val="ro-MD"/>
              </w:rPr>
            </w:pPr>
            <w:r w:rsidRPr="00154588">
              <w:rPr>
                <w:bCs/>
                <w:sz w:val="20"/>
                <w:szCs w:val="20"/>
                <w:lang w:val="ro-MD"/>
              </w:rPr>
              <w:t>(2) Banca Națională a Moldovei se asigură că Fondul de garantare a depozitelor în sistemul bancar înstrăinează, în mod deschis și transparent, acțiunile sau alte instrumente de proprietate prevăzute la alin. (1).</w:t>
            </w:r>
          </w:p>
          <w:p w14:paraId="4C8251D7" w14:textId="190E705B" w:rsidR="00EB243D" w:rsidRPr="00154588" w:rsidRDefault="00EB243D" w:rsidP="008C12B4">
            <w:pPr>
              <w:jc w:val="both"/>
              <w:rPr>
                <w:bCs/>
                <w:sz w:val="20"/>
                <w:szCs w:val="20"/>
              </w:rPr>
            </w:pPr>
            <w:r w:rsidRPr="00154588">
              <w:rPr>
                <w:bCs/>
                <w:sz w:val="20"/>
                <w:szCs w:val="20"/>
              </w:rPr>
              <w:t xml:space="preserve"> (3)</w:t>
            </w:r>
            <w:r w:rsidRPr="00154588">
              <w:t xml:space="preserve"> </w:t>
            </w:r>
            <w:r w:rsidRPr="00154588">
              <w:rPr>
                <w:bCs/>
                <w:sz w:val="20"/>
                <w:szCs w:val="20"/>
              </w:rPr>
              <w:t>Înstrăinarea prevăzută la alin. (2) se realizează fără prezentarea denaturată a acțiunilor sau a altor instrumente de proprietate, fără discriminare între potențialii cumpărători și în condiții comerciale.</w:t>
            </w:r>
          </w:p>
        </w:tc>
        <w:tc>
          <w:tcPr>
            <w:tcW w:w="2552" w:type="dxa"/>
          </w:tcPr>
          <w:p w14:paraId="64D57D52" w14:textId="53F19AA5" w:rsidR="00EB243D" w:rsidRPr="00154588" w:rsidRDefault="00EB243D" w:rsidP="008C12B4">
            <w:pPr>
              <w:jc w:val="both"/>
              <w:rPr>
                <w:b/>
                <w:sz w:val="20"/>
                <w:szCs w:val="20"/>
              </w:rPr>
            </w:pPr>
            <w:r w:rsidRPr="00154588">
              <w:rPr>
                <w:bCs/>
                <w:sz w:val="20"/>
                <w:szCs w:val="20"/>
              </w:rPr>
              <w:t>Compatibil</w:t>
            </w:r>
          </w:p>
        </w:tc>
        <w:tc>
          <w:tcPr>
            <w:tcW w:w="3118" w:type="dxa"/>
          </w:tcPr>
          <w:p w14:paraId="6D35AD4B" w14:textId="77777777" w:rsidR="00EB243D" w:rsidRPr="00154588" w:rsidRDefault="00EB243D" w:rsidP="008C12B4">
            <w:pPr>
              <w:jc w:val="both"/>
              <w:rPr>
                <w:b/>
                <w:sz w:val="20"/>
                <w:szCs w:val="20"/>
              </w:rPr>
            </w:pPr>
          </w:p>
        </w:tc>
      </w:tr>
      <w:tr w:rsidR="00EB243D" w:rsidRPr="00154588" w14:paraId="12EDC5B5" w14:textId="77777777" w:rsidTr="00D15C1B">
        <w:trPr>
          <w:jc w:val="center"/>
        </w:trPr>
        <w:tc>
          <w:tcPr>
            <w:tcW w:w="4957" w:type="dxa"/>
            <w:gridSpan w:val="2"/>
          </w:tcPr>
          <w:p w14:paraId="3268E10B" w14:textId="77777777" w:rsidR="00EB243D" w:rsidRPr="00154588" w:rsidRDefault="00EB243D" w:rsidP="008C12B4">
            <w:pPr>
              <w:jc w:val="both"/>
              <w:rPr>
                <w:bCs/>
                <w:sz w:val="20"/>
                <w:szCs w:val="20"/>
              </w:rPr>
            </w:pPr>
            <w:r w:rsidRPr="00154588">
              <w:rPr>
                <w:bCs/>
                <w:sz w:val="20"/>
                <w:szCs w:val="20"/>
              </w:rPr>
              <w:lastRenderedPageBreak/>
              <w:t>(4) Contribuția schemei de garantare a depozitelor la un transfer ce include depozite care nu sunt depozite acoperite sau alte datorii care pot face obiectul recapitalizării interne în temeiul alineatului (2) de la prezentul articol este luată în considerare pentru calcularea pragurilor prevăzute la articolul 44 alineatul (5) litera (a) și alineatul (8) litera (a), în cazul în care sunt îndeplinite cumulativ următoarele condiții:</w:t>
            </w:r>
          </w:p>
          <w:p w14:paraId="028484B8" w14:textId="77777777" w:rsidR="00EB243D" w:rsidRPr="00154588" w:rsidRDefault="00EB243D" w:rsidP="008C12B4">
            <w:pPr>
              <w:jc w:val="both"/>
              <w:rPr>
                <w:bCs/>
                <w:sz w:val="20"/>
                <w:szCs w:val="20"/>
              </w:rPr>
            </w:pPr>
            <w:r w:rsidRPr="00154588">
              <w:rPr>
                <w:bCs/>
                <w:sz w:val="20"/>
                <w:szCs w:val="20"/>
              </w:rPr>
              <w:t xml:space="preserve"> </w:t>
            </w:r>
          </w:p>
          <w:p w14:paraId="2ECC802F" w14:textId="1EC18E80" w:rsidR="00EB243D" w:rsidRPr="00154588" w:rsidRDefault="00EB243D" w:rsidP="008C12B4">
            <w:pPr>
              <w:jc w:val="both"/>
              <w:rPr>
                <w:bCs/>
                <w:sz w:val="20"/>
                <w:szCs w:val="20"/>
              </w:rPr>
            </w:pPr>
            <w:r w:rsidRPr="00154588">
              <w:rPr>
                <w:bCs/>
                <w:sz w:val="20"/>
                <w:szCs w:val="20"/>
              </w:rPr>
              <w:t xml:space="preserve">(a) valoarea totală a activelor instituției aflate în rezoluție nu depășește, pe bază individuală, 80 de miliarde EUR; </w:t>
            </w:r>
          </w:p>
          <w:p w14:paraId="5045F03A" w14:textId="77777777" w:rsidR="00EB243D" w:rsidRPr="00154588" w:rsidRDefault="00EB243D" w:rsidP="008C12B4">
            <w:pPr>
              <w:jc w:val="both"/>
              <w:rPr>
                <w:bCs/>
                <w:sz w:val="20"/>
                <w:szCs w:val="20"/>
              </w:rPr>
            </w:pPr>
          </w:p>
          <w:p w14:paraId="7DA60968" w14:textId="77777777" w:rsidR="00EB243D" w:rsidRPr="00154588" w:rsidRDefault="00EB243D" w:rsidP="008C12B4">
            <w:pPr>
              <w:jc w:val="both"/>
              <w:rPr>
                <w:bCs/>
                <w:sz w:val="20"/>
                <w:szCs w:val="20"/>
              </w:rPr>
            </w:pPr>
            <w:r w:rsidRPr="00154588">
              <w:rPr>
                <w:bCs/>
                <w:sz w:val="20"/>
                <w:szCs w:val="20"/>
              </w:rPr>
              <w:t>(b) instituția aflată în rezoluție nu a fost identificată, în cele 24 de luni anterioare deciziei de a lua măsuri de rezoluție, ca entitate destinată lichidării în planul de rezoluție a grupului sau în planul de rezoluție;</w:t>
            </w:r>
          </w:p>
          <w:p w14:paraId="7F65F2F7" w14:textId="77777777" w:rsidR="00EB243D" w:rsidRPr="00154588" w:rsidRDefault="00EB243D" w:rsidP="008C12B4">
            <w:pPr>
              <w:jc w:val="both"/>
              <w:rPr>
                <w:bCs/>
                <w:sz w:val="20"/>
                <w:szCs w:val="20"/>
              </w:rPr>
            </w:pPr>
          </w:p>
          <w:p w14:paraId="33F21A88" w14:textId="77777777" w:rsidR="00EB243D" w:rsidRPr="00154588" w:rsidRDefault="00EB243D" w:rsidP="008C12B4">
            <w:pPr>
              <w:jc w:val="both"/>
              <w:rPr>
                <w:bCs/>
                <w:sz w:val="20"/>
                <w:szCs w:val="20"/>
              </w:rPr>
            </w:pPr>
            <w:r w:rsidRPr="00154588">
              <w:rPr>
                <w:bCs/>
                <w:sz w:val="20"/>
                <w:szCs w:val="20"/>
              </w:rPr>
              <w:t xml:space="preserve"> (c) instrumentele de fonduri proprii și datoriile eligibile ale instituției aflate în rezoluție, precum și orice datorii care nu se mai califică drept eligibile, deoarece nu îndeplinesc condiția menționată la articolul 72c alineatul (1) din Regulamentul (UE) nr. 575/2013, au fost utilizate integral pentru absorbția pierderilor și recapitalizare, cu excepția datoriilor eligibile în privința cărora autoritatea de rezoluție consideră că sunt întrunite circumstanțele menționate la articolul 44 alineatul (3) din prezenta directivă;</w:t>
            </w:r>
          </w:p>
          <w:p w14:paraId="126C5E2C" w14:textId="77777777" w:rsidR="00EB243D" w:rsidRPr="00154588" w:rsidRDefault="00EB243D" w:rsidP="008C12B4">
            <w:pPr>
              <w:jc w:val="both"/>
              <w:rPr>
                <w:bCs/>
                <w:sz w:val="20"/>
                <w:szCs w:val="20"/>
              </w:rPr>
            </w:pPr>
          </w:p>
          <w:p w14:paraId="6624B7A3" w14:textId="77777777" w:rsidR="00EB243D" w:rsidRPr="00154588" w:rsidRDefault="00EB243D" w:rsidP="008C12B4">
            <w:pPr>
              <w:jc w:val="both"/>
              <w:rPr>
                <w:bCs/>
                <w:sz w:val="20"/>
                <w:szCs w:val="20"/>
              </w:rPr>
            </w:pPr>
            <w:r w:rsidRPr="00154588">
              <w:rPr>
                <w:bCs/>
                <w:sz w:val="20"/>
                <w:szCs w:val="20"/>
              </w:rPr>
              <w:t xml:space="preserve"> (d) pentru o instituție aflată în rezoluție ale cărei active sunt în cuantum total, pe bază individuală, de peste 30 de miliarde EUR, nivelul cerinței menționate la articolul 45 alineatul (1) este cel puțin egal cu nivelul menționat la articolul 45c alineatul (6a). </w:t>
            </w:r>
          </w:p>
          <w:p w14:paraId="1ED1D988" w14:textId="77777777" w:rsidR="00EB243D" w:rsidRPr="00154588" w:rsidRDefault="00EB243D" w:rsidP="008C12B4">
            <w:pPr>
              <w:jc w:val="both"/>
              <w:rPr>
                <w:bCs/>
                <w:sz w:val="20"/>
                <w:szCs w:val="20"/>
              </w:rPr>
            </w:pPr>
          </w:p>
          <w:p w14:paraId="3AF43E59" w14:textId="118462E0" w:rsidR="00EB243D" w:rsidRPr="00154588" w:rsidRDefault="00EB243D" w:rsidP="008C12B4">
            <w:pPr>
              <w:jc w:val="both"/>
              <w:rPr>
                <w:bCs/>
                <w:sz w:val="20"/>
                <w:szCs w:val="20"/>
              </w:rPr>
            </w:pPr>
            <w:r w:rsidRPr="00154588">
              <w:rPr>
                <w:bCs/>
                <w:sz w:val="20"/>
                <w:szCs w:val="20"/>
              </w:rPr>
              <w:t xml:space="preserve">Statele membre pot decide că primul paragraf de la prezentul alineat se aplică numai în cazul în care instituția aflată în rezoluție nu a încălcat cerința menționată la articolul 45 alineatul (2) litera (a), inclusiv nivelurile-țintă intermediare corespunzătoare stabilite în temeiul articolului 45m alineatele (1) și (2), timp de două trimestre consecutive în perioada de patru ani care se încheie la data anterioară primei zile din cele trei trimestre complete care preced decizia de a lua măsuri de rezoluție. În cazul în care autoritatea </w:t>
            </w:r>
            <w:r w:rsidRPr="00154588">
              <w:rPr>
                <w:bCs/>
                <w:sz w:val="20"/>
                <w:szCs w:val="20"/>
              </w:rPr>
              <w:lastRenderedPageBreak/>
              <w:t xml:space="preserve">competentă sau autoritatea de rezoluție a aplicat cel puțin una dintre măsurile menționate la articolul 45k alineatul (1) pentru a remedia o încălcare a cerinței menționate la articolul 45 alineatul (2) litera (a), autoritatea de rezoluție nu ia în considerare încălcările respectivei cerințe în cursul celor patru trimestre complete care preced decizia de a lua măsuri de rezoluție. </w:t>
            </w:r>
          </w:p>
          <w:p w14:paraId="1F0A48EE" w14:textId="77777777" w:rsidR="00EB243D" w:rsidRPr="00154588" w:rsidRDefault="00EB243D" w:rsidP="008C12B4">
            <w:pPr>
              <w:jc w:val="both"/>
              <w:rPr>
                <w:bCs/>
                <w:sz w:val="20"/>
                <w:szCs w:val="20"/>
              </w:rPr>
            </w:pPr>
          </w:p>
          <w:p w14:paraId="0A475D32" w14:textId="73FC4342" w:rsidR="00EB243D" w:rsidRPr="00154588" w:rsidRDefault="00EB243D" w:rsidP="008C12B4">
            <w:pPr>
              <w:jc w:val="both"/>
              <w:rPr>
                <w:bCs/>
                <w:sz w:val="20"/>
                <w:szCs w:val="20"/>
              </w:rPr>
            </w:pPr>
            <w:r w:rsidRPr="00154588">
              <w:rPr>
                <w:bCs/>
                <w:sz w:val="20"/>
                <w:szCs w:val="20"/>
              </w:rPr>
              <w:t>Al doilea paragraf de la prezentul alineat nu se aplică cerințelor care rezultă din aplicarea articolului 45b alineatul (4), (5) sau (7)</w:t>
            </w:r>
          </w:p>
        </w:tc>
        <w:tc>
          <w:tcPr>
            <w:tcW w:w="4819" w:type="dxa"/>
          </w:tcPr>
          <w:p w14:paraId="3E3215C4" w14:textId="49330181" w:rsidR="00EB243D" w:rsidRPr="00154588" w:rsidRDefault="00EB243D" w:rsidP="008C12B4">
            <w:pPr>
              <w:jc w:val="both"/>
              <w:rPr>
                <w:b/>
                <w:sz w:val="20"/>
                <w:szCs w:val="20"/>
              </w:rPr>
            </w:pPr>
            <w:r w:rsidRPr="00154588">
              <w:rPr>
                <w:b/>
                <w:bCs/>
                <w:sz w:val="20"/>
                <w:szCs w:val="20"/>
              </w:rPr>
              <w:lastRenderedPageBreak/>
              <w:t>Articolul 313</w:t>
            </w:r>
            <w:r w:rsidRPr="00154588">
              <w:rPr>
                <w:b/>
                <w:bCs/>
                <w:sz w:val="20"/>
                <w:szCs w:val="20"/>
                <w:vertAlign w:val="superscript"/>
              </w:rPr>
              <w:t>11</w:t>
            </w:r>
            <w:r w:rsidRPr="00154588">
              <w:rPr>
                <w:sz w:val="20"/>
                <w:szCs w:val="20"/>
              </w:rPr>
              <w:t xml:space="preserve">. –  </w:t>
            </w:r>
          </w:p>
          <w:p w14:paraId="2279E476" w14:textId="507E2C56" w:rsidR="00EB243D" w:rsidRPr="00154588" w:rsidRDefault="00EB243D" w:rsidP="008C12B4">
            <w:pPr>
              <w:pStyle w:val="a7"/>
              <w:numPr>
                <w:ilvl w:val="0"/>
                <w:numId w:val="20"/>
              </w:numPr>
              <w:ind w:left="0" w:firstLine="54"/>
              <w:jc w:val="both"/>
              <w:rPr>
                <w:rFonts w:cs="Times New Roman"/>
                <w:bCs/>
                <w:sz w:val="20"/>
                <w:szCs w:val="20"/>
                <w:lang w:val="ro-RO"/>
              </w:rPr>
            </w:pPr>
            <w:r w:rsidRPr="00154588">
              <w:rPr>
                <w:rFonts w:cs="Times New Roman"/>
                <w:bCs/>
                <w:sz w:val="20"/>
                <w:szCs w:val="20"/>
                <w:lang w:val="ro-RO"/>
              </w:rPr>
              <w:t>Contribuția Fondului de garantare a depozitelor în sistemul bancar la un transfer ce include depozite care nu sunt depozite acoperite sau alte datorii care pot face obiectul recapitalizării interne în temeiul art. 313</w:t>
            </w:r>
            <w:r w:rsidRPr="00154588">
              <w:rPr>
                <w:rFonts w:cs="Times New Roman"/>
                <w:bCs/>
                <w:sz w:val="20"/>
                <w:szCs w:val="20"/>
                <w:vertAlign w:val="superscript"/>
                <w:lang w:val="ro-RO"/>
              </w:rPr>
              <w:t>9</w:t>
            </w:r>
            <w:r w:rsidRPr="00154588">
              <w:rPr>
                <w:rFonts w:cs="Times New Roman"/>
                <w:bCs/>
                <w:sz w:val="20"/>
                <w:szCs w:val="20"/>
                <w:lang w:val="ro-RO"/>
              </w:rPr>
              <w:t xml:space="preserve"> este luată în considerare pentru calcularea pragurilor prevăzute la art.158 lit.a) și art.161 lit.a), în cazul în care sunt îndeplinite cumulativ următoarele condiții:</w:t>
            </w:r>
          </w:p>
          <w:p w14:paraId="393E37B1" w14:textId="77777777" w:rsidR="00EB243D" w:rsidRPr="00154588" w:rsidRDefault="00EB243D" w:rsidP="008C12B4">
            <w:pPr>
              <w:jc w:val="both"/>
              <w:rPr>
                <w:bCs/>
                <w:sz w:val="20"/>
                <w:szCs w:val="20"/>
              </w:rPr>
            </w:pPr>
            <w:r w:rsidRPr="00154588">
              <w:rPr>
                <w:bCs/>
                <w:sz w:val="20"/>
                <w:szCs w:val="20"/>
              </w:rPr>
              <w:t xml:space="preserve"> </w:t>
            </w:r>
          </w:p>
          <w:p w14:paraId="22EB5D51" w14:textId="7BD8F054" w:rsidR="00EB243D" w:rsidRPr="00154588" w:rsidRDefault="00EB243D" w:rsidP="008C12B4">
            <w:pPr>
              <w:jc w:val="both"/>
              <w:rPr>
                <w:bCs/>
                <w:sz w:val="20"/>
                <w:szCs w:val="20"/>
              </w:rPr>
            </w:pPr>
            <w:r w:rsidRPr="00154588">
              <w:rPr>
                <w:bCs/>
                <w:sz w:val="20"/>
                <w:szCs w:val="20"/>
              </w:rPr>
              <w:t xml:space="preserve">a) valoarea totală a activelor instituției de credit aflate în rezoluție calculată pe bază individuală, nu depășește echivalentul în lei al sumei de 80 miliarde euro ; </w:t>
            </w:r>
          </w:p>
          <w:p w14:paraId="3A67A200" w14:textId="77777777" w:rsidR="00EB243D" w:rsidRPr="00154588" w:rsidRDefault="00EB243D" w:rsidP="008C12B4">
            <w:pPr>
              <w:jc w:val="both"/>
              <w:rPr>
                <w:bCs/>
                <w:sz w:val="20"/>
                <w:szCs w:val="20"/>
              </w:rPr>
            </w:pPr>
          </w:p>
          <w:p w14:paraId="34BEAEF8" w14:textId="2F0D4E12" w:rsidR="00EB243D" w:rsidRPr="00154588" w:rsidRDefault="00EB243D" w:rsidP="008C12B4">
            <w:pPr>
              <w:jc w:val="both"/>
              <w:rPr>
                <w:bCs/>
                <w:sz w:val="20"/>
                <w:szCs w:val="20"/>
              </w:rPr>
            </w:pPr>
            <w:r w:rsidRPr="00154588">
              <w:rPr>
                <w:bCs/>
                <w:sz w:val="20"/>
                <w:szCs w:val="20"/>
              </w:rPr>
              <w:t>b) instituția de credit aflată în rezoluție nu a fost identificată, în cele 24 de luni anterioare deciziei de aplicare a acțiunii de rezoluție, ca entitate destinată lichidării în planul de rezoluție sau, dup caz, în planul de rezoluție al grupului;</w:t>
            </w:r>
          </w:p>
          <w:p w14:paraId="124B3930" w14:textId="77777777" w:rsidR="00EB243D" w:rsidRPr="00154588" w:rsidRDefault="00EB243D" w:rsidP="008C12B4">
            <w:pPr>
              <w:jc w:val="both"/>
              <w:rPr>
                <w:bCs/>
                <w:sz w:val="20"/>
                <w:szCs w:val="20"/>
              </w:rPr>
            </w:pPr>
          </w:p>
          <w:p w14:paraId="6ADD98C9" w14:textId="0670A6BB" w:rsidR="00EB243D" w:rsidRPr="00154588" w:rsidRDefault="00EB243D" w:rsidP="008C12B4">
            <w:pPr>
              <w:jc w:val="both"/>
              <w:rPr>
                <w:bCs/>
                <w:sz w:val="20"/>
                <w:szCs w:val="20"/>
              </w:rPr>
            </w:pPr>
            <w:r w:rsidRPr="00154588">
              <w:rPr>
                <w:bCs/>
                <w:sz w:val="20"/>
                <w:szCs w:val="20"/>
              </w:rPr>
              <w:t xml:space="preserve">c) instrumentele de fonduri proprii și datoriile eligibile ale instituției de credit aflate în rezoluție, precum și orice datorii care nu se mai califică drept eligibile ca urmare a neîndeplinirii condiției prevăzute </w:t>
            </w:r>
            <w:r w:rsidRPr="00154588">
              <w:rPr>
                <w:bCs/>
                <w:sz w:val="20"/>
                <w:szCs w:val="20"/>
                <w:lang w:val="ro-MD"/>
              </w:rPr>
              <w:t xml:space="preserve">în </w:t>
            </w:r>
            <w:r w:rsidRPr="00154588">
              <w:rPr>
                <w:bCs/>
                <w:sz w:val="20"/>
                <w:szCs w:val="20"/>
              </w:rPr>
              <w:t>reglementările Băncii Naționale a Moldovei emise în aplicarea art.60, 61 și 62 din Legea nr.202/2017, au fost utilizate integral pentru absorbția pierderilor și recapitalizare, cu excepția datoriilor eligibile în privința cărora autoritatea de rezoluție consideră că sunt întrunite circumstanțele menționate la art.155</w:t>
            </w:r>
            <w:r w:rsidRPr="00154588">
              <w:rPr>
                <w:bCs/>
                <w:sz w:val="20"/>
                <w:szCs w:val="20"/>
                <w:vertAlign w:val="superscript"/>
              </w:rPr>
              <w:t>1</w:t>
            </w:r>
            <w:r w:rsidRPr="00154588">
              <w:rPr>
                <w:bCs/>
                <w:sz w:val="20"/>
                <w:szCs w:val="20"/>
              </w:rPr>
              <w:t>;</w:t>
            </w:r>
          </w:p>
          <w:p w14:paraId="523B599E" w14:textId="77777777" w:rsidR="00EB243D" w:rsidRPr="00154588" w:rsidRDefault="00EB243D" w:rsidP="008C12B4">
            <w:pPr>
              <w:jc w:val="both"/>
              <w:rPr>
                <w:bCs/>
                <w:sz w:val="20"/>
                <w:szCs w:val="20"/>
              </w:rPr>
            </w:pPr>
          </w:p>
          <w:p w14:paraId="2F283A00" w14:textId="506FD005" w:rsidR="00EB243D" w:rsidRPr="00154588" w:rsidRDefault="00EB243D" w:rsidP="008C12B4">
            <w:pPr>
              <w:jc w:val="both"/>
              <w:rPr>
                <w:bCs/>
                <w:sz w:val="20"/>
                <w:szCs w:val="20"/>
              </w:rPr>
            </w:pPr>
            <w:r w:rsidRPr="00154588">
              <w:rPr>
                <w:bCs/>
                <w:sz w:val="20"/>
                <w:szCs w:val="20"/>
              </w:rPr>
              <w:t xml:space="preserve">d) pentru o instituție aflată în rezoluție ale cărei active sunt în cuantum total, pe bază individuală, de peste 30 de miliarde EUR, nivelul cerinței menționate  la art.164 alin.(1) este cel puțin </w:t>
            </w:r>
            <w:r w:rsidRPr="00154588">
              <w:rPr>
                <w:bCs/>
                <w:color w:val="FFFFFF" w:themeColor="background1"/>
                <w:sz w:val="20"/>
                <w:szCs w:val="20"/>
              </w:rPr>
              <w:t xml:space="preserve">egal cu nivelul menționat la </w:t>
            </w:r>
            <w:r w:rsidR="00D45B84" w:rsidRPr="00154588">
              <w:rPr>
                <w:bCs/>
                <w:sz w:val="20"/>
                <w:szCs w:val="20"/>
              </w:rPr>
              <w:t>art.167</w:t>
            </w:r>
            <w:r w:rsidR="00D45B84" w:rsidRPr="00154588">
              <w:rPr>
                <w:bCs/>
                <w:sz w:val="20"/>
                <w:szCs w:val="20"/>
                <w:vertAlign w:val="superscript"/>
              </w:rPr>
              <w:t>8</w:t>
            </w:r>
            <w:r w:rsidR="00D45B84" w:rsidRPr="00154588">
              <w:rPr>
                <w:bCs/>
                <w:sz w:val="20"/>
                <w:szCs w:val="20"/>
              </w:rPr>
              <w:t xml:space="preserve"> alin. (4) –(5)</w:t>
            </w:r>
            <w:r w:rsidRPr="00154588">
              <w:rPr>
                <w:bCs/>
                <w:sz w:val="20"/>
                <w:szCs w:val="20"/>
              </w:rPr>
              <w:t xml:space="preserve">. </w:t>
            </w:r>
          </w:p>
          <w:p w14:paraId="7647E408" w14:textId="77777777" w:rsidR="00EB243D" w:rsidRPr="00154588" w:rsidRDefault="00EB243D" w:rsidP="008C12B4">
            <w:pPr>
              <w:jc w:val="both"/>
              <w:rPr>
                <w:bCs/>
                <w:sz w:val="20"/>
                <w:szCs w:val="20"/>
              </w:rPr>
            </w:pPr>
          </w:p>
          <w:p w14:paraId="68CCB4F7" w14:textId="032D863B" w:rsidR="00EB243D" w:rsidRPr="00154588" w:rsidRDefault="00EB243D" w:rsidP="008C12B4">
            <w:pPr>
              <w:jc w:val="both"/>
              <w:rPr>
                <w:rFonts w:eastAsiaTheme="minorHAnsi"/>
                <w:sz w:val="20"/>
                <w:szCs w:val="20"/>
              </w:rPr>
            </w:pPr>
            <w:r w:rsidRPr="00154588">
              <w:rPr>
                <w:rFonts w:eastAsiaTheme="minorHAnsi"/>
                <w:sz w:val="20"/>
                <w:szCs w:val="20"/>
              </w:rPr>
              <w:t xml:space="preserve">(2) Alineatul (1) se aplică numai în cazul în care instituția de credit aflată în rezoluție nu a încălcat cerința prevăzută la art.164 alin.(1), inclusiv nivelurile-țintă intermediare stabilite în conformitate cu art.170⁷-170¹⁰ alin.(1), timp de două trimestre consecutive în perioada de patru ani care se încheie în ziua anterioară primei zile din cele trei trimestre </w:t>
            </w:r>
            <w:r w:rsidRPr="00154588">
              <w:rPr>
                <w:rFonts w:eastAsiaTheme="minorHAnsi"/>
                <w:sz w:val="20"/>
                <w:szCs w:val="20"/>
              </w:rPr>
              <w:lastRenderedPageBreak/>
              <w:t xml:space="preserve">complete care precedă decizia de aplicare a măsurilor de rezoluție. </w:t>
            </w:r>
          </w:p>
          <w:p w14:paraId="64FD045C" w14:textId="1D2C99A9" w:rsidR="00EB243D" w:rsidRPr="00154588" w:rsidRDefault="00EB243D" w:rsidP="008C12B4">
            <w:pPr>
              <w:jc w:val="both"/>
              <w:rPr>
                <w:bCs/>
                <w:sz w:val="20"/>
                <w:szCs w:val="20"/>
              </w:rPr>
            </w:pPr>
            <w:r w:rsidRPr="00154588">
              <w:rPr>
                <w:rFonts w:eastAsiaTheme="minorHAnsi"/>
                <w:sz w:val="20"/>
                <w:szCs w:val="20"/>
              </w:rPr>
              <w:t xml:space="preserve"> </w:t>
            </w:r>
            <w:r w:rsidRPr="00154588">
              <w:rPr>
                <w:bCs/>
                <w:sz w:val="20"/>
                <w:szCs w:val="20"/>
              </w:rPr>
              <w:t xml:space="preserve">(3) În cazul în care autoritatea competentă sau autoritatea de rezoluție a aplicat una sau mai multe dintre măsurile prevăzute la art.167⁴ alin.(1)-(3) pentru remedierea încălcării cerinței prevăzute la art.164 alin.(1), autoritatea de rezoluție nu ia în considerare încălcarea respectivei cerințe pe parcursul celor patru trimestre complete care precedă decizia de aplicare a măsurilor de rezoluție.    </w:t>
            </w:r>
          </w:p>
          <w:p w14:paraId="55E5AF3E" w14:textId="18FDF8BD" w:rsidR="00EB243D" w:rsidRPr="00154588" w:rsidRDefault="00EB243D" w:rsidP="008C12B4">
            <w:pPr>
              <w:jc w:val="both"/>
              <w:rPr>
                <w:bCs/>
                <w:sz w:val="20"/>
                <w:szCs w:val="20"/>
              </w:rPr>
            </w:pPr>
            <w:r w:rsidRPr="00154588">
              <w:rPr>
                <w:bCs/>
                <w:sz w:val="20"/>
                <w:szCs w:val="20"/>
              </w:rPr>
              <w:t xml:space="preserve"> </w:t>
            </w:r>
          </w:p>
          <w:p w14:paraId="16554D09" w14:textId="165CB24B" w:rsidR="00EB243D" w:rsidRPr="00154588" w:rsidRDefault="00EB243D" w:rsidP="008C12B4">
            <w:pPr>
              <w:jc w:val="both"/>
              <w:rPr>
                <w:b/>
                <w:sz w:val="20"/>
                <w:szCs w:val="20"/>
              </w:rPr>
            </w:pPr>
            <w:r w:rsidRPr="00154588">
              <w:rPr>
                <w:bCs/>
                <w:sz w:val="20"/>
                <w:szCs w:val="20"/>
              </w:rPr>
              <w:t>(4)Alineatele (2) și (3)  nu se aplică cerințelor care rezultă din aplicarea art. 165</w:t>
            </w:r>
            <w:r w:rsidRPr="00154588">
              <w:rPr>
                <w:bCs/>
                <w:sz w:val="20"/>
                <w:szCs w:val="20"/>
                <w:vertAlign w:val="superscript"/>
              </w:rPr>
              <w:t>3</w:t>
            </w:r>
            <w:r w:rsidRPr="00154588">
              <w:rPr>
                <w:bCs/>
                <w:sz w:val="20"/>
                <w:szCs w:val="20"/>
              </w:rPr>
              <w:t>, 165</w:t>
            </w:r>
            <w:r w:rsidRPr="00154588">
              <w:rPr>
                <w:bCs/>
                <w:sz w:val="20"/>
                <w:szCs w:val="20"/>
                <w:vertAlign w:val="superscript"/>
              </w:rPr>
              <w:t>4</w:t>
            </w:r>
            <w:r w:rsidRPr="00154588">
              <w:rPr>
                <w:bCs/>
                <w:sz w:val="20"/>
                <w:szCs w:val="20"/>
              </w:rPr>
              <w:t xml:space="preserve"> sau 165</w:t>
            </w:r>
            <w:r w:rsidRPr="00154588">
              <w:rPr>
                <w:bCs/>
                <w:sz w:val="20"/>
                <w:szCs w:val="20"/>
                <w:vertAlign w:val="superscript"/>
              </w:rPr>
              <w:t>6</w:t>
            </w:r>
            <w:r w:rsidRPr="00154588">
              <w:rPr>
                <w:bCs/>
                <w:sz w:val="20"/>
                <w:szCs w:val="20"/>
              </w:rPr>
              <w:t xml:space="preserve">. </w:t>
            </w:r>
          </w:p>
        </w:tc>
        <w:tc>
          <w:tcPr>
            <w:tcW w:w="2552" w:type="dxa"/>
          </w:tcPr>
          <w:p w14:paraId="7DC3E0B0" w14:textId="76C6913E" w:rsidR="00EB243D" w:rsidRPr="00154588" w:rsidRDefault="00EB243D" w:rsidP="008C12B4">
            <w:pPr>
              <w:jc w:val="both"/>
              <w:rPr>
                <w:b/>
                <w:sz w:val="20"/>
                <w:szCs w:val="20"/>
              </w:rPr>
            </w:pPr>
            <w:r w:rsidRPr="00154588">
              <w:rPr>
                <w:bCs/>
                <w:sz w:val="20"/>
                <w:szCs w:val="20"/>
              </w:rPr>
              <w:lastRenderedPageBreak/>
              <w:t>Compatibil</w:t>
            </w:r>
          </w:p>
        </w:tc>
        <w:tc>
          <w:tcPr>
            <w:tcW w:w="3118" w:type="dxa"/>
          </w:tcPr>
          <w:p w14:paraId="5E8FCAA1" w14:textId="77777777" w:rsidR="00EB243D" w:rsidRPr="00154588" w:rsidRDefault="00EB243D" w:rsidP="008C12B4">
            <w:pPr>
              <w:jc w:val="both"/>
              <w:rPr>
                <w:b/>
                <w:sz w:val="20"/>
                <w:szCs w:val="20"/>
              </w:rPr>
            </w:pPr>
          </w:p>
        </w:tc>
      </w:tr>
      <w:tr w:rsidR="00EB243D" w:rsidRPr="00154588" w14:paraId="0D3B08E9" w14:textId="77777777" w:rsidTr="00D15C1B">
        <w:trPr>
          <w:jc w:val="center"/>
        </w:trPr>
        <w:tc>
          <w:tcPr>
            <w:tcW w:w="4957" w:type="dxa"/>
            <w:gridSpan w:val="2"/>
          </w:tcPr>
          <w:p w14:paraId="4CD72258" w14:textId="7D3C9217" w:rsidR="00EB243D" w:rsidRPr="00154588" w:rsidRDefault="00EB243D" w:rsidP="008C12B4">
            <w:pPr>
              <w:jc w:val="both"/>
              <w:rPr>
                <w:bCs/>
                <w:sz w:val="20"/>
                <w:szCs w:val="20"/>
              </w:rPr>
            </w:pPr>
            <w:r w:rsidRPr="00154588">
              <w:rPr>
                <w:bCs/>
                <w:sz w:val="20"/>
                <w:szCs w:val="20"/>
              </w:rPr>
              <w:t xml:space="preserve">(5)   În cazul în care contribuția schemei de garantare a depozitelor la un transfer ce include depozite care nu sunt depozite acoperite sau alte datorii care pot face obiectul recapitalizării interne în temeiul alineatelor (2) și (4) de la prezentul articol, alături de contribuția la absorbția pierderilor și la recapitalizare a acționarilor și a deținătorilor de alte instrumente de proprietate, a deținătorilor de instrumente de capital relevante și de alte datorii care pot face obiectul recapitalizării interne, permite utilizarea mecanismului de finanțare a rezoluției, contribuția schemei de garantare a depozitelor se limitează la cuantumul necesar pentru a atinge pragurile prevăzute la articolul 44 alineatul (5) litera (a) și la alineatul (8) litera (a). În urma contribuției schemei de garantare a depozitelor, mecanismul de finanțare a rezoluției se utilizează în conformitate cu principiile care reglementează utilizarea mecanismului de finanțare a rezoluției, prevăzute la articolele 44 și 101. </w:t>
            </w:r>
          </w:p>
          <w:p w14:paraId="34AFE666" w14:textId="77777777" w:rsidR="00EB243D" w:rsidRPr="00154588" w:rsidRDefault="00EB243D" w:rsidP="008C12B4">
            <w:pPr>
              <w:jc w:val="both"/>
              <w:rPr>
                <w:bCs/>
                <w:sz w:val="20"/>
                <w:szCs w:val="20"/>
              </w:rPr>
            </w:pPr>
          </w:p>
          <w:p w14:paraId="381D4BF7" w14:textId="77777777" w:rsidR="00EB243D" w:rsidRPr="00154588" w:rsidRDefault="00EB243D" w:rsidP="008C12B4">
            <w:pPr>
              <w:jc w:val="both"/>
              <w:rPr>
                <w:bCs/>
                <w:sz w:val="20"/>
                <w:szCs w:val="20"/>
              </w:rPr>
            </w:pPr>
            <w:r w:rsidRPr="00154588">
              <w:rPr>
                <w:bCs/>
                <w:sz w:val="20"/>
                <w:szCs w:val="20"/>
              </w:rPr>
              <w:t>În cazul în care valoarea totală a activelor unei instituții aflate în rezoluție este cuprinsă, pe bază individuală, între 30 de miliarde EUR și 80 de miliarde EUR, contribuția schemei de garantare a depozitelor în temeiul prezentului alineat nu depășește 2,5 % din totalul datoriilor, inclusiv fondurile proprii ale instituției aflate în rezoluție.</w:t>
            </w:r>
          </w:p>
          <w:p w14:paraId="5D7EF361" w14:textId="77777777" w:rsidR="00EB243D" w:rsidRPr="00154588" w:rsidRDefault="00EB243D" w:rsidP="008C12B4">
            <w:pPr>
              <w:jc w:val="both"/>
              <w:rPr>
                <w:bCs/>
                <w:sz w:val="20"/>
                <w:szCs w:val="20"/>
              </w:rPr>
            </w:pPr>
          </w:p>
          <w:p w14:paraId="7E4BBF02" w14:textId="06B2C04C" w:rsidR="00EB243D" w:rsidRPr="00154588" w:rsidRDefault="00EB243D" w:rsidP="008C12B4">
            <w:pPr>
              <w:jc w:val="both"/>
              <w:rPr>
                <w:bCs/>
                <w:sz w:val="20"/>
                <w:szCs w:val="20"/>
              </w:rPr>
            </w:pPr>
          </w:p>
        </w:tc>
        <w:tc>
          <w:tcPr>
            <w:tcW w:w="4819" w:type="dxa"/>
          </w:tcPr>
          <w:p w14:paraId="62ACD347" w14:textId="4A411685" w:rsidR="00EB243D" w:rsidRPr="00154588" w:rsidRDefault="00EB243D" w:rsidP="008C12B4">
            <w:pPr>
              <w:jc w:val="both"/>
              <w:rPr>
                <w:bCs/>
                <w:sz w:val="20"/>
                <w:szCs w:val="20"/>
              </w:rPr>
            </w:pPr>
            <w:r w:rsidRPr="00154588">
              <w:rPr>
                <w:b/>
                <w:bCs/>
                <w:sz w:val="20"/>
                <w:szCs w:val="20"/>
              </w:rPr>
              <w:t>Articolul 313</w:t>
            </w:r>
            <w:r w:rsidRPr="00154588">
              <w:rPr>
                <w:b/>
                <w:bCs/>
                <w:sz w:val="20"/>
                <w:szCs w:val="20"/>
                <w:vertAlign w:val="superscript"/>
              </w:rPr>
              <w:t>12</w:t>
            </w:r>
            <w:r w:rsidRPr="00154588">
              <w:rPr>
                <w:sz w:val="20"/>
                <w:szCs w:val="20"/>
              </w:rPr>
              <w:t>. – (1) Î</w:t>
            </w:r>
            <w:r w:rsidRPr="00154588">
              <w:rPr>
                <w:bCs/>
                <w:sz w:val="20"/>
                <w:szCs w:val="20"/>
              </w:rPr>
              <w:t>n cazul în care contribuția Fondului de garantare a depozitelor în sistemul bancar la un transfer ce include depozite  care nu sunt depozite acoperite sau alte datorii care pot face obiectul recapitalizării interne în temeiul art.</w:t>
            </w:r>
            <w:r w:rsidRPr="00154588">
              <w:rPr>
                <w:b/>
                <w:sz w:val="20"/>
                <w:szCs w:val="20"/>
              </w:rPr>
              <w:t xml:space="preserve"> 313</w:t>
            </w:r>
            <w:r w:rsidRPr="00154588">
              <w:rPr>
                <w:b/>
                <w:sz w:val="20"/>
                <w:szCs w:val="20"/>
                <w:vertAlign w:val="superscript"/>
              </w:rPr>
              <w:t>9</w:t>
            </w:r>
            <w:r w:rsidRPr="00154588">
              <w:rPr>
                <w:sz w:val="20"/>
                <w:szCs w:val="20"/>
              </w:rPr>
              <w:t xml:space="preserve"> și art.</w:t>
            </w:r>
            <w:r w:rsidRPr="00154588">
              <w:rPr>
                <w:b/>
                <w:sz w:val="20"/>
                <w:szCs w:val="20"/>
              </w:rPr>
              <w:t>313</w:t>
            </w:r>
            <w:r w:rsidRPr="00154588">
              <w:rPr>
                <w:b/>
                <w:sz w:val="20"/>
                <w:szCs w:val="20"/>
                <w:vertAlign w:val="superscript"/>
              </w:rPr>
              <w:t>11</w:t>
            </w:r>
            <w:r w:rsidRPr="00154588">
              <w:rPr>
                <w:bCs/>
                <w:sz w:val="20"/>
                <w:szCs w:val="20"/>
              </w:rPr>
              <w:t>,  împreună cu contribuția acționarilor, a deținătorilor de alte instrumente de proprietate, a deținătorilor instrumentelor de capital relevante și de alte datorii care pot face obiectul recapitalizării interne, permite utilizarea Fondului de rezoluție, contribuția Fondului de garantare a depozitelor în sistemul bancar se limitează la cuantumul necesar pentru atingerea pragurilor prevăzute la art.158 lit. a) și art.161 lit. a),În urma contribuției Fondului de garantare a depozitelor în sistemul bancar, Fondul de  rezoluției se utilizează în conformitate cu principiile care reglementează utilizarea mecanismului de finanțare a rezoluției, prevăzute la art.154-163</w:t>
            </w:r>
            <w:r w:rsidRPr="00154588">
              <w:rPr>
                <w:bCs/>
                <w:sz w:val="20"/>
                <w:szCs w:val="20"/>
                <w:vertAlign w:val="superscript"/>
              </w:rPr>
              <w:t>1</w:t>
            </w:r>
            <w:r w:rsidRPr="00154588">
              <w:rPr>
                <w:bCs/>
                <w:sz w:val="20"/>
                <w:szCs w:val="20"/>
              </w:rPr>
              <w:t xml:space="preserve"> și art.301-302. </w:t>
            </w:r>
          </w:p>
          <w:p w14:paraId="1B32386A" w14:textId="77777777" w:rsidR="00EB243D" w:rsidRPr="00154588" w:rsidRDefault="00EB243D" w:rsidP="008C12B4">
            <w:pPr>
              <w:jc w:val="both"/>
              <w:rPr>
                <w:bCs/>
                <w:sz w:val="20"/>
                <w:szCs w:val="20"/>
              </w:rPr>
            </w:pPr>
          </w:p>
          <w:p w14:paraId="7FAC2510" w14:textId="3E09D837" w:rsidR="00EB243D" w:rsidRPr="00154588" w:rsidRDefault="00EB243D" w:rsidP="008C12B4">
            <w:pPr>
              <w:jc w:val="both"/>
              <w:rPr>
                <w:b/>
                <w:sz w:val="20"/>
                <w:szCs w:val="20"/>
              </w:rPr>
            </w:pPr>
            <w:r w:rsidRPr="00154588">
              <w:rPr>
                <w:bCs/>
                <w:sz w:val="20"/>
                <w:szCs w:val="20"/>
              </w:rPr>
              <w:t>(2) În cazul în care valoarea totală a activelor unei instituții de credit aflate în rezoluție calculată pe bază individuală, este cuprinsă între echivalentul în lei al sumei de 30 miliarde euro și echivalentul în lei al sumei de 80 miliarde euro, contribuția Fondului de garantare a depozitelor în sistemul bancar prevăzută la alin. (1) nu poate depăși 2,5% din totalul datoriilor, inclusiv fondurile proprii ale instituției de credit aflate în rezoluție.</w:t>
            </w:r>
          </w:p>
        </w:tc>
        <w:tc>
          <w:tcPr>
            <w:tcW w:w="2552" w:type="dxa"/>
          </w:tcPr>
          <w:p w14:paraId="287D2F33" w14:textId="4C449CB5" w:rsidR="00EB243D" w:rsidRPr="00154588" w:rsidRDefault="00EB243D" w:rsidP="008C12B4">
            <w:pPr>
              <w:jc w:val="both"/>
              <w:rPr>
                <w:sz w:val="20"/>
                <w:szCs w:val="20"/>
              </w:rPr>
            </w:pPr>
            <w:r w:rsidRPr="00154588">
              <w:rPr>
                <w:bCs/>
                <w:sz w:val="20"/>
                <w:szCs w:val="20"/>
              </w:rPr>
              <w:t>compatibil</w:t>
            </w:r>
          </w:p>
        </w:tc>
        <w:tc>
          <w:tcPr>
            <w:tcW w:w="3118" w:type="dxa"/>
          </w:tcPr>
          <w:p w14:paraId="6588884C" w14:textId="77777777" w:rsidR="00EB243D" w:rsidRPr="00154588" w:rsidRDefault="00EB243D" w:rsidP="008C12B4">
            <w:pPr>
              <w:jc w:val="both"/>
              <w:rPr>
                <w:b/>
                <w:sz w:val="20"/>
                <w:szCs w:val="20"/>
              </w:rPr>
            </w:pPr>
          </w:p>
        </w:tc>
      </w:tr>
      <w:tr w:rsidR="00EB243D" w:rsidRPr="00154588" w14:paraId="3358B4B7" w14:textId="77777777" w:rsidTr="00D15C1B">
        <w:trPr>
          <w:jc w:val="center"/>
        </w:trPr>
        <w:tc>
          <w:tcPr>
            <w:tcW w:w="4957" w:type="dxa"/>
            <w:gridSpan w:val="2"/>
          </w:tcPr>
          <w:p w14:paraId="1006BCDA" w14:textId="77777777" w:rsidR="00EB243D" w:rsidRPr="00154588" w:rsidRDefault="00EB243D" w:rsidP="008C12B4">
            <w:pPr>
              <w:jc w:val="both"/>
              <w:rPr>
                <w:bCs/>
                <w:sz w:val="20"/>
                <w:szCs w:val="20"/>
              </w:rPr>
            </w:pPr>
            <w:r w:rsidRPr="00154588">
              <w:rPr>
                <w:bCs/>
                <w:sz w:val="20"/>
                <w:szCs w:val="20"/>
              </w:rPr>
              <w:t xml:space="preserve">(6) În cazul în care se aplică alineatul (4) de la prezentul articol și sunt îndeplinite condițiile prevăzute la articolul 44 alineatul (7) primul paragraf, schema de </w:t>
            </w:r>
            <w:r w:rsidRPr="00154588">
              <w:rPr>
                <w:bCs/>
                <w:sz w:val="20"/>
                <w:szCs w:val="20"/>
              </w:rPr>
              <w:lastRenderedPageBreak/>
              <w:t xml:space="preserve">garantare a depozitelor efectuează o contribuție suplimentară egală cu cuantumul pierderilor pe care le-ar fi suferit depozitele acoperite, dacă acestea ar fi suferit pierderi proporționale cu pierderile suferite de creditorii cu același rang de prioritate în ierarhia națională în materie de insolvență. </w:t>
            </w:r>
          </w:p>
          <w:p w14:paraId="293A731B" w14:textId="77777777" w:rsidR="00EB243D" w:rsidRPr="00154588" w:rsidRDefault="00EB243D" w:rsidP="008C12B4">
            <w:pPr>
              <w:jc w:val="both"/>
              <w:rPr>
                <w:bCs/>
                <w:sz w:val="20"/>
                <w:szCs w:val="20"/>
              </w:rPr>
            </w:pPr>
          </w:p>
          <w:p w14:paraId="1F902D96" w14:textId="16ADEBC4" w:rsidR="00EB243D" w:rsidRPr="00154588" w:rsidRDefault="00EB243D" w:rsidP="008C12B4">
            <w:pPr>
              <w:jc w:val="both"/>
              <w:rPr>
                <w:bCs/>
                <w:sz w:val="20"/>
                <w:szCs w:val="20"/>
              </w:rPr>
            </w:pPr>
            <w:r w:rsidRPr="00154588">
              <w:rPr>
                <w:bCs/>
                <w:sz w:val="20"/>
                <w:szCs w:val="20"/>
              </w:rPr>
              <w:t>Costul contribuției suplimentare a schemei de garantare a depozitelor menționat la primul paragraf de la prezentul alineat nu depășește pierderile pe care schema de garantare a depozitelor le-ar fi suportat dacă instituția ar fi fost lichidată prin procedura obișnuită de insolvență, astfel cum sunt estimate în temeiul articolului 36 alineatul (8</w:t>
            </w:r>
          </w:p>
        </w:tc>
        <w:tc>
          <w:tcPr>
            <w:tcW w:w="4819" w:type="dxa"/>
          </w:tcPr>
          <w:p w14:paraId="182F5311" w14:textId="195C8AAC" w:rsidR="00EB243D" w:rsidRPr="00154588" w:rsidRDefault="00EB243D" w:rsidP="008C12B4">
            <w:pPr>
              <w:jc w:val="both"/>
              <w:rPr>
                <w:bCs/>
                <w:sz w:val="20"/>
                <w:szCs w:val="20"/>
              </w:rPr>
            </w:pPr>
            <w:r w:rsidRPr="00154588">
              <w:rPr>
                <w:b/>
                <w:bCs/>
                <w:sz w:val="20"/>
                <w:szCs w:val="20"/>
              </w:rPr>
              <w:lastRenderedPageBreak/>
              <w:t>Articolul 313</w:t>
            </w:r>
            <w:r w:rsidRPr="00154588">
              <w:rPr>
                <w:b/>
                <w:bCs/>
                <w:sz w:val="20"/>
                <w:szCs w:val="20"/>
                <w:vertAlign w:val="superscript"/>
              </w:rPr>
              <w:t xml:space="preserve">13 </w:t>
            </w:r>
            <w:r w:rsidRPr="00154588">
              <w:rPr>
                <w:b/>
                <w:sz w:val="20"/>
                <w:szCs w:val="20"/>
              </w:rPr>
              <w:t xml:space="preserve">– (1) </w:t>
            </w:r>
            <w:r w:rsidRPr="00154588">
              <w:rPr>
                <w:bCs/>
                <w:sz w:val="20"/>
                <w:szCs w:val="20"/>
              </w:rPr>
              <w:t>În cazul în care se aplică art.313</w:t>
            </w:r>
            <w:r w:rsidRPr="00154588">
              <w:rPr>
                <w:bCs/>
                <w:sz w:val="20"/>
                <w:szCs w:val="20"/>
                <w:vertAlign w:val="superscript"/>
              </w:rPr>
              <w:t xml:space="preserve">11 </w:t>
            </w:r>
            <w:r w:rsidRPr="00154588">
              <w:rPr>
                <w:bCs/>
                <w:sz w:val="20"/>
                <w:szCs w:val="20"/>
              </w:rPr>
              <w:t xml:space="preserve">și sunt îndeplinite condițiile prevăzute la art.160, Fondul de garantare a depozitelor în </w:t>
            </w:r>
            <w:r w:rsidRPr="00154588">
              <w:rPr>
                <w:bCs/>
                <w:sz w:val="20"/>
                <w:szCs w:val="20"/>
              </w:rPr>
              <w:lastRenderedPageBreak/>
              <w:t xml:space="preserve">sistemul bancar efectuează o contribuție suplimentară egală cu cuantumul pierderilor pe care le-ar fi suferit depozitele acoperite, dacă acestea ar fi suferit pierderi proporționale cu pierderile suferite de creditorii cu același rang de prioritate potrivit ordinii de prioritate aplicabile în procedura de insolvabilitate.  </w:t>
            </w:r>
          </w:p>
          <w:p w14:paraId="79319520" w14:textId="73DDEDEA" w:rsidR="00EB243D" w:rsidRPr="00154588" w:rsidRDefault="00EB243D" w:rsidP="008C12B4">
            <w:pPr>
              <w:jc w:val="both"/>
              <w:rPr>
                <w:b/>
                <w:sz w:val="20"/>
                <w:szCs w:val="20"/>
              </w:rPr>
            </w:pPr>
            <w:r w:rsidRPr="00154588">
              <w:rPr>
                <w:bCs/>
                <w:sz w:val="20"/>
                <w:szCs w:val="20"/>
              </w:rPr>
              <w:t xml:space="preserve">(2) Contribuția suplimentară prevăzută la alin.(1) nu poate depăși cuantumul pierderilor pe care Fondul de garantare a depozitelor în sistemul bancar le-ar fi suportat dacă instituția de credit ar fi fost lichidată în cadrul procedurii obișnuite de insolvabilitate, astfel cum acestea sunt estimate potrivit art.79 din prezenta lege.  </w:t>
            </w:r>
          </w:p>
        </w:tc>
        <w:tc>
          <w:tcPr>
            <w:tcW w:w="2552" w:type="dxa"/>
          </w:tcPr>
          <w:p w14:paraId="7E32F152" w14:textId="1FC95058" w:rsidR="00EB243D" w:rsidRPr="00154588" w:rsidRDefault="00EB243D" w:rsidP="008C12B4">
            <w:pPr>
              <w:jc w:val="both"/>
              <w:rPr>
                <w:sz w:val="20"/>
                <w:szCs w:val="20"/>
              </w:rPr>
            </w:pPr>
            <w:r w:rsidRPr="00154588">
              <w:rPr>
                <w:bCs/>
                <w:sz w:val="20"/>
                <w:szCs w:val="20"/>
              </w:rPr>
              <w:lastRenderedPageBreak/>
              <w:t>compatibil</w:t>
            </w:r>
          </w:p>
        </w:tc>
        <w:tc>
          <w:tcPr>
            <w:tcW w:w="3118" w:type="dxa"/>
          </w:tcPr>
          <w:p w14:paraId="0360CB02" w14:textId="77777777" w:rsidR="00EB243D" w:rsidRPr="00154588" w:rsidRDefault="00EB243D" w:rsidP="008C12B4">
            <w:pPr>
              <w:jc w:val="both"/>
              <w:rPr>
                <w:b/>
                <w:sz w:val="20"/>
                <w:szCs w:val="20"/>
              </w:rPr>
            </w:pPr>
          </w:p>
        </w:tc>
      </w:tr>
      <w:tr w:rsidR="00EB243D" w:rsidRPr="00154588" w14:paraId="2DF18D51" w14:textId="77777777" w:rsidTr="00D15C1B">
        <w:trPr>
          <w:jc w:val="center"/>
        </w:trPr>
        <w:tc>
          <w:tcPr>
            <w:tcW w:w="4957" w:type="dxa"/>
            <w:gridSpan w:val="2"/>
          </w:tcPr>
          <w:p w14:paraId="5BA8AA77" w14:textId="77777777" w:rsidR="00EB243D" w:rsidRPr="00154588" w:rsidRDefault="00EB243D" w:rsidP="008C12B4">
            <w:pPr>
              <w:jc w:val="both"/>
              <w:rPr>
                <w:bCs/>
                <w:sz w:val="20"/>
                <w:szCs w:val="20"/>
              </w:rPr>
            </w:pPr>
            <w:r w:rsidRPr="00154588">
              <w:rPr>
                <w:bCs/>
                <w:sz w:val="20"/>
                <w:szCs w:val="20"/>
              </w:rPr>
              <w:t xml:space="preserve">7) </w:t>
            </w:r>
            <w:r w:rsidRPr="00154588">
              <w:rPr>
                <w:sz w:val="20"/>
                <w:szCs w:val="20"/>
              </w:rPr>
              <w:t>Statele membre se asigură că,</w:t>
            </w:r>
            <w:r w:rsidRPr="00154588">
              <w:rPr>
                <w:bCs/>
                <w:sz w:val="20"/>
                <w:szCs w:val="20"/>
              </w:rPr>
              <w:t xml:space="preserve"> în toate cazurile, cuantumul total al contribuției schemei de garantare a depozitelor la o măsură de rezoluție în conformitate cu prezentul articol nu depășește cuantumul menționat la articolul 11e litera (a) din Directiva 2014/49/UE.</w:t>
            </w:r>
          </w:p>
          <w:p w14:paraId="493E5AF6" w14:textId="77777777" w:rsidR="00EB243D" w:rsidRPr="00154588" w:rsidRDefault="00EB243D" w:rsidP="008C12B4">
            <w:pPr>
              <w:jc w:val="both"/>
              <w:rPr>
                <w:bCs/>
                <w:sz w:val="20"/>
                <w:szCs w:val="20"/>
              </w:rPr>
            </w:pPr>
          </w:p>
          <w:p w14:paraId="5BC76F11" w14:textId="77777777" w:rsidR="00EB243D" w:rsidRPr="00154588" w:rsidRDefault="00EB243D" w:rsidP="008C12B4">
            <w:pPr>
              <w:jc w:val="both"/>
              <w:rPr>
                <w:bCs/>
                <w:sz w:val="20"/>
                <w:szCs w:val="20"/>
              </w:rPr>
            </w:pPr>
            <w:r w:rsidRPr="00154588">
              <w:rPr>
                <w:bCs/>
                <w:sz w:val="20"/>
                <w:szCs w:val="20"/>
              </w:rPr>
              <w:t xml:space="preserve">Atunci când se aplică instrumentul de vânzare a activității sau instrumentul instituției-punte în conformitate cu alineatul (1) litera (b) sau cu alineatul (2) de la prezentul articol, cuantumul contribuției schemei de garantare a depozitelor menționate în dispozițiile respective nu depășește 62,5 % din nivelul-țintă al schemei de garantare a depozitelor menționat la articolul 10 alineatul (2) din Directiva 2014/49/UE. </w:t>
            </w:r>
          </w:p>
          <w:p w14:paraId="75FD9E30" w14:textId="77777777" w:rsidR="00EB243D" w:rsidRPr="00154588" w:rsidRDefault="00EB243D" w:rsidP="008C12B4">
            <w:pPr>
              <w:jc w:val="both"/>
              <w:rPr>
                <w:bCs/>
                <w:sz w:val="20"/>
                <w:szCs w:val="20"/>
              </w:rPr>
            </w:pPr>
          </w:p>
          <w:p w14:paraId="64901CEB" w14:textId="77777777" w:rsidR="00EB243D" w:rsidRPr="00154588" w:rsidRDefault="00EB243D" w:rsidP="008C12B4">
            <w:pPr>
              <w:jc w:val="both"/>
              <w:rPr>
                <w:bCs/>
                <w:sz w:val="20"/>
                <w:szCs w:val="20"/>
              </w:rPr>
            </w:pPr>
          </w:p>
          <w:p w14:paraId="5D9ADE80" w14:textId="77777777" w:rsidR="00EB243D" w:rsidRPr="00154588" w:rsidRDefault="00EB243D" w:rsidP="008C12B4">
            <w:pPr>
              <w:jc w:val="both"/>
              <w:rPr>
                <w:bCs/>
                <w:sz w:val="20"/>
                <w:szCs w:val="20"/>
              </w:rPr>
            </w:pPr>
          </w:p>
          <w:p w14:paraId="54163D50" w14:textId="6C28D844" w:rsidR="00EB243D" w:rsidRPr="00154588" w:rsidRDefault="00EB243D" w:rsidP="008C12B4">
            <w:pPr>
              <w:jc w:val="both"/>
              <w:rPr>
                <w:bCs/>
                <w:sz w:val="20"/>
                <w:szCs w:val="20"/>
              </w:rPr>
            </w:pPr>
            <w:r w:rsidRPr="00154588">
              <w:rPr>
                <w:bCs/>
                <w:sz w:val="20"/>
                <w:szCs w:val="20"/>
              </w:rPr>
              <w:t xml:space="preserve">Autoritatea desemnată poate decide ca limita menționată la al doilea paragraf de la prezentul alineat să nu se aplice în cazul în care autoritatea de rezoluție oferă autorității desemnate o justificare conform căreia este necesar un cuantum al contribuției schemei de garantare a depozitelor mai mare decât 62,5 % din nivelul-țintă pentru a se evita efecte negative asupra stabilității financiare sau pentru a menține accesul deponenților la depozitele lor. </w:t>
            </w:r>
          </w:p>
          <w:p w14:paraId="6754BB78" w14:textId="77777777" w:rsidR="00EB243D" w:rsidRPr="00154588" w:rsidRDefault="00EB243D" w:rsidP="008C12B4">
            <w:pPr>
              <w:jc w:val="both"/>
              <w:rPr>
                <w:bCs/>
                <w:sz w:val="20"/>
                <w:szCs w:val="20"/>
              </w:rPr>
            </w:pPr>
          </w:p>
          <w:p w14:paraId="6759B93D" w14:textId="77777777" w:rsidR="00EB243D" w:rsidRPr="00154588" w:rsidRDefault="00EB243D" w:rsidP="008C12B4">
            <w:pPr>
              <w:jc w:val="both"/>
              <w:rPr>
                <w:bCs/>
                <w:sz w:val="20"/>
                <w:szCs w:val="20"/>
              </w:rPr>
            </w:pPr>
          </w:p>
          <w:p w14:paraId="62A7ED1A" w14:textId="77777777" w:rsidR="00EB243D" w:rsidRPr="00154588" w:rsidRDefault="00EB243D" w:rsidP="008C12B4">
            <w:pPr>
              <w:jc w:val="both"/>
              <w:rPr>
                <w:bCs/>
                <w:sz w:val="20"/>
                <w:szCs w:val="20"/>
              </w:rPr>
            </w:pPr>
            <w:r w:rsidRPr="00154588">
              <w:rPr>
                <w:bCs/>
                <w:sz w:val="20"/>
                <w:szCs w:val="20"/>
              </w:rPr>
              <w:t xml:space="preserve">Atunci când se aplică instrumentul de recapitalizare internă în conformitate cu prezentul articol alineatul (1) litera (a), cuantumul contribuției schemei de garantare </w:t>
            </w:r>
            <w:r w:rsidRPr="00154588">
              <w:rPr>
                <w:bCs/>
                <w:sz w:val="20"/>
                <w:szCs w:val="20"/>
              </w:rPr>
              <w:lastRenderedPageBreak/>
              <w:t xml:space="preserve">a depozitelor nu depășește pierderile pe care schema de garantare a depozitelor le-ar fi suportat dacă instituția ar fi fost lichidată prin procedura obișnuită de insolvență, astfel cum sunt estimate în temeiul articolului 36 alineatul (8). </w:t>
            </w:r>
          </w:p>
          <w:p w14:paraId="3B1F7359" w14:textId="77777777" w:rsidR="00EB243D" w:rsidRPr="00154588" w:rsidRDefault="00EB243D" w:rsidP="008C12B4">
            <w:pPr>
              <w:jc w:val="both"/>
              <w:rPr>
                <w:bCs/>
                <w:sz w:val="20"/>
                <w:szCs w:val="20"/>
              </w:rPr>
            </w:pPr>
          </w:p>
          <w:p w14:paraId="4859C4E1" w14:textId="382D40E5" w:rsidR="00EB243D" w:rsidRPr="00154588" w:rsidRDefault="00EB243D" w:rsidP="008C12B4">
            <w:pPr>
              <w:jc w:val="both"/>
              <w:rPr>
                <w:bCs/>
                <w:sz w:val="20"/>
                <w:szCs w:val="20"/>
              </w:rPr>
            </w:pPr>
            <w:r w:rsidRPr="00154588">
              <w:rPr>
                <w:bCs/>
                <w:sz w:val="20"/>
                <w:szCs w:val="20"/>
              </w:rPr>
              <w:t>La cerere, schema de garantare a depozitelor informează prompt autoritatea de rezoluție cu privire la cuantumurile menționate la primul și al doilea paragraf.</w:t>
            </w:r>
          </w:p>
        </w:tc>
        <w:tc>
          <w:tcPr>
            <w:tcW w:w="4819" w:type="dxa"/>
          </w:tcPr>
          <w:p w14:paraId="68628E73" w14:textId="652FF299" w:rsidR="00EB243D" w:rsidRPr="00154588" w:rsidRDefault="00EB243D" w:rsidP="008C12B4">
            <w:pPr>
              <w:jc w:val="both"/>
              <w:rPr>
                <w:bCs/>
                <w:sz w:val="20"/>
                <w:szCs w:val="20"/>
              </w:rPr>
            </w:pPr>
            <w:r w:rsidRPr="00154588">
              <w:rPr>
                <w:b/>
                <w:bCs/>
                <w:sz w:val="20"/>
                <w:szCs w:val="20"/>
              </w:rPr>
              <w:lastRenderedPageBreak/>
              <w:t>Articolul 313</w:t>
            </w:r>
            <w:r w:rsidRPr="00154588">
              <w:rPr>
                <w:b/>
                <w:bCs/>
                <w:sz w:val="20"/>
                <w:szCs w:val="20"/>
                <w:vertAlign w:val="superscript"/>
              </w:rPr>
              <w:t xml:space="preserve">14 </w:t>
            </w:r>
            <w:r w:rsidRPr="00154588">
              <w:rPr>
                <w:b/>
                <w:sz w:val="20"/>
                <w:szCs w:val="20"/>
              </w:rPr>
              <w:t>– (1) Î</w:t>
            </w:r>
            <w:r w:rsidRPr="00154588">
              <w:rPr>
                <w:sz w:val="20"/>
                <w:szCs w:val="20"/>
              </w:rPr>
              <w:t>n toate cazurile</w:t>
            </w:r>
            <w:r w:rsidRPr="00154588">
              <w:rPr>
                <w:bCs/>
                <w:sz w:val="20"/>
                <w:szCs w:val="20"/>
              </w:rPr>
              <w:t>, cuantumul total al contribuției Fondului de garantare a depozitelor în sistemul bancar la o acțiune de rezoluție în conformitate cu art.</w:t>
            </w:r>
            <w:r w:rsidRPr="00154588">
              <w:rPr>
                <w:b/>
                <w:sz w:val="20"/>
                <w:szCs w:val="20"/>
              </w:rPr>
              <w:t>313</w:t>
            </w:r>
            <w:r w:rsidRPr="00154588">
              <w:rPr>
                <w:b/>
                <w:sz w:val="20"/>
                <w:szCs w:val="20"/>
                <w:vertAlign w:val="superscript"/>
              </w:rPr>
              <w:t xml:space="preserve">8 </w:t>
            </w:r>
            <w:r w:rsidRPr="00154588">
              <w:rPr>
                <w:b/>
                <w:sz w:val="20"/>
                <w:szCs w:val="20"/>
              </w:rPr>
              <w:t>-313</w:t>
            </w:r>
            <w:r w:rsidRPr="00154588">
              <w:rPr>
                <w:b/>
                <w:sz w:val="20"/>
                <w:szCs w:val="20"/>
                <w:vertAlign w:val="superscript"/>
              </w:rPr>
              <w:t>13</w:t>
            </w:r>
            <w:r w:rsidRPr="00154588">
              <w:rPr>
                <w:b/>
                <w:sz w:val="20"/>
                <w:szCs w:val="20"/>
              </w:rPr>
              <w:t xml:space="preserve"> </w:t>
            </w:r>
            <w:r w:rsidRPr="00154588">
              <w:rPr>
                <w:bCs/>
                <w:sz w:val="20"/>
                <w:szCs w:val="20"/>
              </w:rPr>
              <w:t xml:space="preserve"> nu depășește cuantumul testului celui mai mic cost astfel cum este reglementat in Legea 160/2023.</w:t>
            </w:r>
          </w:p>
          <w:p w14:paraId="19F6D514" w14:textId="77777777" w:rsidR="00EB243D" w:rsidRPr="00154588" w:rsidRDefault="00EB243D" w:rsidP="008C12B4">
            <w:pPr>
              <w:jc w:val="both"/>
              <w:rPr>
                <w:bCs/>
                <w:sz w:val="20"/>
                <w:szCs w:val="20"/>
              </w:rPr>
            </w:pPr>
          </w:p>
          <w:p w14:paraId="4EAF92B4" w14:textId="65556B73" w:rsidR="00EB243D" w:rsidRPr="00154588" w:rsidRDefault="00EB243D" w:rsidP="008C12B4">
            <w:pPr>
              <w:jc w:val="both"/>
              <w:rPr>
                <w:bCs/>
                <w:sz w:val="20"/>
                <w:szCs w:val="20"/>
              </w:rPr>
            </w:pPr>
            <w:r w:rsidRPr="00154588">
              <w:rPr>
                <w:bCs/>
                <w:sz w:val="20"/>
                <w:szCs w:val="20"/>
              </w:rPr>
              <w:t>(2) Atunci când se aplică instrumentul de vânzare a afacerii sau instrumentul instituției-punte în conformitate cu art. 313</w:t>
            </w:r>
            <w:r w:rsidRPr="00154588">
              <w:rPr>
                <w:bCs/>
                <w:sz w:val="20"/>
                <w:szCs w:val="20"/>
                <w:vertAlign w:val="superscript"/>
              </w:rPr>
              <w:t>8</w:t>
            </w:r>
            <w:r w:rsidRPr="00154588">
              <w:rPr>
                <w:bCs/>
                <w:sz w:val="20"/>
                <w:szCs w:val="20"/>
              </w:rPr>
              <w:t xml:space="preserve"> alin.(1) lit.b) sau cu art.313</w:t>
            </w:r>
            <w:r w:rsidRPr="00154588">
              <w:rPr>
                <w:bCs/>
                <w:sz w:val="20"/>
                <w:szCs w:val="20"/>
                <w:vertAlign w:val="superscript"/>
              </w:rPr>
              <w:t>9</w:t>
            </w:r>
            <w:r w:rsidRPr="00154588">
              <w:rPr>
                <w:bCs/>
                <w:sz w:val="20"/>
                <w:szCs w:val="20"/>
              </w:rPr>
              <w:t xml:space="preserve">, cuantumul contribuției Fondului de garantare a depozitelor în sistemul bancar nu depășește 62,5 % din nivelul-țintă al Fondului de garantare a depozitelor în sistemul bancar menționat la art.25 din Legea 160/2023. </w:t>
            </w:r>
          </w:p>
          <w:p w14:paraId="409BE6D2" w14:textId="77777777" w:rsidR="00EB243D" w:rsidRPr="00154588" w:rsidRDefault="00EB243D" w:rsidP="008C12B4">
            <w:pPr>
              <w:jc w:val="both"/>
              <w:rPr>
                <w:bCs/>
                <w:sz w:val="20"/>
                <w:szCs w:val="20"/>
              </w:rPr>
            </w:pPr>
          </w:p>
          <w:p w14:paraId="37F2E18D" w14:textId="73586BEE" w:rsidR="00EB243D" w:rsidRPr="00154588" w:rsidRDefault="00EB243D" w:rsidP="008C12B4">
            <w:pPr>
              <w:jc w:val="both"/>
              <w:rPr>
                <w:bCs/>
                <w:sz w:val="20"/>
                <w:szCs w:val="20"/>
              </w:rPr>
            </w:pPr>
            <w:r w:rsidRPr="00154588">
              <w:rPr>
                <w:bCs/>
                <w:sz w:val="20"/>
                <w:szCs w:val="20"/>
              </w:rPr>
              <w:t xml:space="preserve">(3) Autoritatea desemnată conform Legii 160/2023 poate decide ca limita menționată la alin. (2) să nu se aplice în cazul în care autoritatea de rezoluție oferă autorității desemnate o justificare conform căreia este necesar un cuantum al contribuției Fondului de garantare a depozitelor în sistemul bancar mai mare decât 62,5 % din nivelul-țintă pentru a se evita efecte negative asupra stabilității financiare sau pentru a menține accesul deponenților la depozitele lor. </w:t>
            </w:r>
          </w:p>
          <w:p w14:paraId="7BC3C133" w14:textId="77777777" w:rsidR="00EB243D" w:rsidRPr="00154588" w:rsidRDefault="00EB243D" w:rsidP="008C12B4">
            <w:pPr>
              <w:jc w:val="both"/>
              <w:rPr>
                <w:bCs/>
                <w:sz w:val="20"/>
                <w:szCs w:val="20"/>
              </w:rPr>
            </w:pPr>
          </w:p>
          <w:p w14:paraId="1FD7BFB5" w14:textId="39D930ED" w:rsidR="00EB243D" w:rsidRPr="00154588" w:rsidRDefault="00EB243D" w:rsidP="008C12B4">
            <w:pPr>
              <w:jc w:val="both"/>
              <w:rPr>
                <w:bCs/>
                <w:sz w:val="20"/>
                <w:szCs w:val="20"/>
              </w:rPr>
            </w:pPr>
            <w:r w:rsidRPr="00154588">
              <w:rPr>
                <w:bCs/>
                <w:sz w:val="20"/>
                <w:szCs w:val="20"/>
              </w:rPr>
              <w:t>(4) Atunci când se aplică instrumentul de recapitalizare internă în conformitate cu art.313</w:t>
            </w:r>
            <w:r w:rsidRPr="00154588">
              <w:rPr>
                <w:bCs/>
                <w:sz w:val="20"/>
                <w:szCs w:val="20"/>
                <w:vertAlign w:val="superscript"/>
              </w:rPr>
              <w:t>8</w:t>
            </w:r>
            <w:r w:rsidRPr="00154588">
              <w:rPr>
                <w:bCs/>
                <w:sz w:val="20"/>
                <w:szCs w:val="20"/>
              </w:rPr>
              <w:t xml:space="preserve"> lit.(a), cuantumul contribuției Fondului de garantare a depozitelor în sistemul bancar nu depășește </w:t>
            </w:r>
            <w:r w:rsidRPr="00154588">
              <w:rPr>
                <w:bCs/>
                <w:sz w:val="20"/>
                <w:szCs w:val="20"/>
              </w:rPr>
              <w:lastRenderedPageBreak/>
              <w:t xml:space="preserve">pierderile pe care Fondul de garantare a depozitelor în sistemul bancar le-ar fi suportat dacă instituția de credit ar fi fost lichidată prin procedura obișnuită de insolvabilitate, astfel cum sunt estimate în temeiul art. 79. </w:t>
            </w:r>
          </w:p>
          <w:p w14:paraId="32E25819" w14:textId="77777777" w:rsidR="00EB243D" w:rsidRPr="00154588" w:rsidRDefault="00EB243D" w:rsidP="008C12B4">
            <w:pPr>
              <w:jc w:val="both"/>
              <w:rPr>
                <w:bCs/>
                <w:sz w:val="20"/>
                <w:szCs w:val="20"/>
              </w:rPr>
            </w:pPr>
          </w:p>
          <w:p w14:paraId="1F32525C" w14:textId="1AB87F0A" w:rsidR="00EB243D" w:rsidRPr="00154588" w:rsidRDefault="00EB243D" w:rsidP="008C12B4">
            <w:pPr>
              <w:jc w:val="both"/>
              <w:rPr>
                <w:b/>
                <w:sz w:val="20"/>
                <w:szCs w:val="20"/>
              </w:rPr>
            </w:pPr>
            <w:r w:rsidRPr="00154588">
              <w:rPr>
                <w:bCs/>
                <w:sz w:val="20"/>
                <w:szCs w:val="20"/>
              </w:rPr>
              <w:t xml:space="preserve">(5) La cerere, Fondul de garantare a depozitelor în sistemul bancar informează prompt autoritatea de rezoluție cu privire la cuantumurile menționate la alin. (1) și (2). </w:t>
            </w:r>
          </w:p>
          <w:p w14:paraId="3625CD03" w14:textId="77777777" w:rsidR="00EB243D" w:rsidRPr="00154588" w:rsidRDefault="00EB243D" w:rsidP="008C12B4">
            <w:pPr>
              <w:jc w:val="both"/>
              <w:rPr>
                <w:b/>
                <w:sz w:val="20"/>
                <w:szCs w:val="20"/>
              </w:rPr>
            </w:pPr>
          </w:p>
          <w:p w14:paraId="36E2B5FE" w14:textId="157720D7" w:rsidR="00EB243D" w:rsidRPr="00154588" w:rsidRDefault="00EB243D" w:rsidP="008C12B4">
            <w:pPr>
              <w:jc w:val="both"/>
              <w:rPr>
                <w:b/>
                <w:sz w:val="20"/>
                <w:szCs w:val="20"/>
              </w:rPr>
            </w:pPr>
          </w:p>
        </w:tc>
        <w:tc>
          <w:tcPr>
            <w:tcW w:w="2552" w:type="dxa"/>
          </w:tcPr>
          <w:p w14:paraId="326CAB57" w14:textId="70A720F0" w:rsidR="00EB243D" w:rsidRPr="00154588" w:rsidRDefault="00EB243D" w:rsidP="008C12B4">
            <w:pPr>
              <w:jc w:val="both"/>
              <w:rPr>
                <w:sz w:val="20"/>
                <w:szCs w:val="20"/>
              </w:rPr>
            </w:pPr>
            <w:r w:rsidRPr="00154588">
              <w:rPr>
                <w:bCs/>
                <w:sz w:val="20"/>
                <w:szCs w:val="20"/>
              </w:rPr>
              <w:lastRenderedPageBreak/>
              <w:t>compatibil</w:t>
            </w:r>
          </w:p>
        </w:tc>
        <w:tc>
          <w:tcPr>
            <w:tcW w:w="3118" w:type="dxa"/>
          </w:tcPr>
          <w:p w14:paraId="0DF5E8D3" w14:textId="77777777" w:rsidR="00EB243D" w:rsidRPr="00154588" w:rsidRDefault="00EB243D" w:rsidP="008C12B4">
            <w:pPr>
              <w:jc w:val="both"/>
              <w:rPr>
                <w:b/>
                <w:sz w:val="20"/>
                <w:szCs w:val="20"/>
              </w:rPr>
            </w:pPr>
          </w:p>
        </w:tc>
      </w:tr>
      <w:tr w:rsidR="00EB243D" w:rsidRPr="00154588" w14:paraId="612A1699" w14:textId="77777777" w:rsidTr="00D15C1B">
        <w:trPr>
          <w:jc w:val="center"/>
        </w:trPr>
        <w:tc>
          <w:tcPr>
            <w:tcW w:w="4957" w:type="dxa"/>
            <w:gridSpan w:val="2"/>
          </w:tcPr>
          <w:p w14:paraId="2FA33698" w14:textId="40AB459F" w:rsidR="00EB243D" w:rsidRPr="00154588" w:rsidRDefault="00EB243D" w:rsidP="008C12B4">
            <w:pPr>
              <w:jc w:val="both"/>
              <w:rPr>
                <w:bCs/>
                <w:sz w:val="20"/>
                <w:szCs w:val="20"/>
              </w:rPr>
            </w:pPr>
            <w:r w:rsidRPr="00154588">
              <w:rPr>
                <w:bCs/>
                <w:sz w:val="20"/>
                <w:szCs w:val="20"/>
              </w:rPr>
              <w:t>(8) Autoritatea de rezoluție determină cuantumul contribuției schemei de garantare a depozitelor în conformitate cu prezentul articol și notifică decizia sa autorității desemnate și schemei de garantare a depozitelor. Schema de garantare a depozitelor pune în aplicare decizia respectivă fără întârziere.</w:t>
            </w:r>
          </w:p>
        </w:tc>
        <w:tc>
          <w:tcPr>
            <w:tcW w:w="4819" w:type="dxa"/>
          </w:tcPr>
          <w:p w14:paraId="23722A3B" w14:textId="32EE59EE" w:rsidR="00EB243D" w:rsidRPr="00154588" w:rsidRDefault="00EB243D" w:rsidP="008C12B4">
            <w:pPr>
              <w:jc w:val="both"/>
              <w:rPr>
                <w:b/>
                <w:sz w:val="20"/>
                <w:szCs w:val="20"/>
              </w:rPr>
            </w:pPr>
            <w:r w:rsidRPr="00154588">
              <w:rPr>
                <w:b/>
                <w:bCs/>
                <w:sz w:val="20"/>
                <w:szCs w:val="20"/>
              </w:rPr>
              <w:t>Articolul 313</w:t>
            </w:r>
            <w:r w:rsidRPr="00154588">
              <w:rPr>
                <w:b/>
                <w:bCs/>
                <w:sz w:val="20"/>
                <w:szCs w:val="20"/>
                <w:vertAlign w:val="superscript"/>
              </w:rPr>
              <w:t xml:space="preserve">15 </w:t>
            </w:r>
            <w:r w:rsidRPr="00154588">
              <w:rPr>
                <w:b/>
                <w:bCs/>
                <w:sz w:val="20"/>
                <w:szCs w:val="20"/>
              </w:rPr>
              <w:t xml:space="preserve">– </w:t>
            </w:r>
            <w:r w:rsidRPr="00154588">
              <w:rPr>
                <w:sz w:val="20"/>
                <w:szCs w:val="20"/>
              </w:rPr>
              <w:t>Banca Națională a Moldovei</w:t>
            </w:r>
            <w:r w:rsidRPr="00154588">
              <w:rPr>
                <w:b/>
                <w:bCs/>
                <w:sz w:val="20"/>
                <w:szCs w:val="20"/>
              </w:rPr>
              <w:t xml:space="preserve"> </w:t>
            </w:r>
            <w:r w:rsidRPr="00154588">
              <w:rPr>
                <w:bCs/>
                <w:sz w:val="20"/>
                <w:szCs w:val="20"/>
              </w:rPr>
              <w:t>determină cuantumul contribuției Fondului de garantare a depozitelor în sistemul bancar în conformitate cu prevederile art. 3138 – 31314 și notifică decizia sa autorității desemnate și Fondului de garantare a depozitelor în sistemul bancar. Fondului de garantare a depozitelor în sistemul bancar pune în aplicare decizia respectivă fără întârziere.</w:t>
            </w:r>
          </w:p>
        </w:tc>
        <w:tc>
          <w:tcPr>
            <w:tcW w:w="2552" w:type="dxa"/>
          </w:tcPr>
          <w:p w14:paraId="6DCAD812" w14:textId="4506ADD2" w:rsidR="00EB243D" w:rsidRPr="00154588" w:rsidRDefault="00EB243D" w:rsidP="008C12B4">
            <w:pPr>
              <w:jc w:val="both"/>
              <w:rPr>
                <w:sz w:val="20"/>
                <w:szCs w:val="20"/>
              </w:rPr>
            </w:pPr>
            <w:r w:rsidRPr="00154588">
              <w:rPr>
                <w:bCs/>
                <w:sz w:val="20"/>
                <w:szCs w:val="20"/>
              </w:rPr>
              <w:t>compatibil</w:t>
            </w:r>
          </w:p>
        </w:tc>
        <w:tc>
          <w:tcPr>
            <w:tcW w:w="3118" w:type="dxa"/>
          </w:tcPr>
          <w:p w14:paraId="19D0250D" w14:textId="77777777" w:rsidR="00EB243D" w:rsidRPr="00154588" w:rsidRDefault="00EB243D" w:rsidP="008C12B4">
            <w:pPr>
              <w:jc w:val="both"/>
              <w:rPr>
                <w:b/>
                <w:sz w:val="20"/>
                <w:szCs w:val="20"/>
              </w:rPr>
            </w:pPr>
          </w:p>
        </w:tc>
      </w:tr>
      <w:tr w:rsidR="00EB243D" w:rsidRPr="00154588" w14:paraId="6636A84D" w14:textId="77777777" w:rsidTr="00D15C1B">
        <w:trPr>
          <w:jc w:val="center"/>
        </w:trPr>
        <w:tc>
          <w:tcPr>
            <w:tcW w:w="4957" w:type="dxa"/>
            <w:gridSpan w:val="2"/>
          </w:tcPr>
          <w:p w14:paraId="50BD0707" w14:textId="6F8A8280" w:rsidR="00EB243D" w:rsidRPr="00154588" w:rsidRDefault="00EB243D" w:rsidP="008C12B4">
            <w:pPr>
              <w:jc w:val="both"/>
              <w:rPr>
                <w:bCs/>
                <w:sz w:val="20"/>
                <w:szCs w:val="20"/>
              </w:rPr>
            </w:pPr>
            <w:r w:rsidRPr="00154588">
              <w:rPr>
                <w:bCs/>
                <w:sz w:val="20"/>
                <w:szCs w:val="20"/>
              </w:rPr>
              <w:t>(9) Atunci când depozitele eligibile dintr-o instituție aflată în rezoluție sunt transferate unei alte entități prin instrumentul de vânzare a activității sau prin instrumentul instituției-punte, deponenții nu au, în temeiul Directivei 2014/49/UE, nicio creanță împotriva schemei de garantare a depozitelor în legătură cu nicio parte a depozitelor acestora din instituția aflată în rezoluție care nu sunt transferate, cu condiția ca cuantumul depozitelor lor care sunt transferate să fie cel puțin egal cu nivelul de acoperire agregat prevăzut la articolul 6 din directiva respectivă.</w:t>
            </w:r>
          </w:p>
        </w:tc>
        <w:tc>
          <w:tcPr>
            <w:tcW w:w="4819" w:type="dxa"/>
          </w:tcPr>
          <w:p w14:paraId="7EC367CA" w14:textId="77873D41" w:rsidR="00EB243D" w:rsidRPr="00154588" w:rsidRDefault="00EB243D" w:rsidP="008C12B4">
            <w:pPr>
              <w:jc w:val="both"/>
              <w:rPr>
                <w:b/>
                <w:sz w:val="20"/>
                <w:szCs w:val="20"/>
              </w:rPr>
            </w:pPr>
            <w:r w:rsidRPr="00154588">
              <w:rPr>
                <w:b/>
                <w:bCs/>
                <w:sz w:val="20"/>
                <w:szCs w:val="20"/>
              </w:rPr>
              <w:t>Articolul 313</w:t>
            </w:r>
            <w:r w:rsidRPr="00154588">
              <w:rPr>
                <w:b/>
                <w:bCs/>
                <w:sz w:val="20"/>
                <w:szCs w:val="20"/>
                <w:vertAlign w:val="superscript"/>
              </w:rPr>
              <w:t xml:space="preserve">16 </w:t>
            </w:r>
            <w:r w:rsidRPr="00154588">
              <w:rPr>
                <w:b/>
                <w:bCs/>
                <w:sz w:val="20"/>
                <w:szCs w:val="20"/>
              </w:rPr>
              <w:t xml:space="preserve">- </w:t>
            </w:r>
            <w:r w:rsidRPr="00154588">
              <w:rPr>
                <w:bCs/>
                <w:sz w:val="20"/>
                <w:szCs w:val="20"/>
              </w:rPr>
              <w:t>Atunci când depozitele eligibile dintr-o instituție aflată în rezoluție sunt transferate unei alte entități prin instrumentul de vânzare a afacerii sau prin instrumentul instituției-punte, deponenții nu au, în temeiul Legii 160/2023, nicio creanță împotriva Fondului de garantare a depozitelor în sistemul bancar în legătură cu nicio parte a depozitelor acestora din instituția aflată în rezoluție care nu sunt transferate, cu condiția ca cuantumul depozitelor lor care sunt transferate să fie cel puțin egal cu nivelul de acoperire agregat prevăzut la art.24 din Legea 160/2023.</w:t>
            </w:r>
          </w:p>
        </w:tc>
        <w:tc>
          <w:tcPr>
            <w:tcW w:w="2552" w:type="dxa"/>
          </w:tcPr>
          <w:p w14:paraId="29719ED4" w14:textId="3E772361" w:rsidR="00EB243D" w:rsidRPr="00154588" w:rsidRDefault="00EB243D" w:rsidP="008C12B4">
            <w:pPr>
              <w:jc w:val="both"/>
              <w:rPr>
                <w:sz w:val="20"/>
                <w:szCs w:val="20"/>
              </w:rPr>
            </w:pPr>
            <w:r w:rsidRPr="00154588">
              <w:rPr>
                <w:sz w:val="20"/>
                <w:szCs w:val="20"/>
              </w:rPr>
              <w:t>Compatibil</w:t>
            </w:r>
          </w:p>
        </w:tc>
        <w:tc>
          <w:tcPr>
            <w:tcW w:w="3118" w:type="dxa"/>
          </w:tcPr>
          <w:p w14:paraId="06E6FAF8" w14:textId="77777777" w:rsidR="00EB243D" w:rsidRPr="00154588" w:rsidRDefault="00EB243D" w:rsidP="008C12B4">
            <w:pPr>
              <w:jc w:val="both"/>
              <w:rPr>
                <w:b/>
                <w:sz w:val="20"/>
                <w:szCs w:val="20"/>
              </w:rPr>
            </w:pPr>
          </w:p>
        </w:tc>
      </w:tr>
      <w:tr w:rsidR="00EB243D" w:rsidRPr="00154588" w14:paraId="11CC5F90" w14:textId="77777777" w:rsidTr="00D15C1B">
        <w:trPr>
          <w:jc w:val="center"/>
        </w:trPr>
        <w:tc>
          <w:tcPr>
            <w:tcW w:w="4957" w:type="dxa"/>
            <w:gridSpan w:val="2"/>
          </w:tcPr>
          <w:p w14:paraId="0622EEA5" w14:textId="77777777" w:rsidR="00EB243D" w:rsidRPr="00154588" w:rsidRDefault="00EB243D" w:rsidP="008C12B4">
            <w:pPr>
              <w:jc w:val="both"/>
              <w:rPr>
                <w:bCs/>
                <w:sz w:val="20"/>
                <w:szCs w:val="20"/>
              </w:rPr>
            </w:pPr>
            <w:r w:rsidRPr="00154588">
              <w:rPr>
                <w:bCs/>
                <w:sz w:val="20"/>
                <w:szCs w:val="20"/>
              </w:rPr>
              <w:t>(10) În cazul în care schema de garantare a depozitelor aduce o contribuție la măsura de rezoluție, se aplică articolul 101 alineatul (3).</w:t>
            </w:r>
          </w:p>
          <w:p w14:paraId="7D4717DE" w14:textId="0D930621" w:rsidR="00EB243D" w:rsidRPr="00154588" w:rsidRDefault="00EB243D" w:rsidP="008C12B4">
            <w:pPr>
              <w:jc w:val="both"/>
              <w:rPr>
                <w:bCs/>
                <w:sz w:val="20"/>
                <w:szCs w:val="20"/>
              </w:rPr>
            </w:pPr>
          </w:p>
        </w:tc>
        <w:tc>
          <w:tcPr>
            <w:tcW w:w="4819" w:type="dxa"/>
          </w:tcPr>
          <w:p w14:paraId="2B6BAD6A" w14:textId="77EB4895" w:rsidR="00EB243D" w:rsidRPr="00154588" w:rsidRDefault="00EB243D" w:rsidP="008C12B4">
            <w:pPr>
              <w:jc w:val="both"/>
              <w:rPr>
                <w:b/>
                <w:sz w:val="20"/>
                <w:szCs w:val="20"/>
              </w:rPr>
            </w:pPr>
            <w:r w:rsidRPr="00154588">
              <w:rPr>
                <w:b/>
                <w:bCs/>
                <w:sz w:val="20"/>
                <w:szCs w:val="20"/>
              </w:rPr>
              <w:t>Articolul 313</w:t>
            </w:r>
            <w:r w:rsidRPr="00154588">
              <w:rPr>
                <w:b/>
                <w:bCs/>
                <w:sz w:val="20"/>
                <w:szCs w:val="20"/>
                <w:vertAlign w:val="superscript"/>
              </w:rPr>
              <w:t xml:space="preserve">18 </w:t>
            </w:r>
            <w:r w:rsidRPr="00154588">
              <w:rPr>
                <w:b/>
                <w:sz w:val="20"/>
                <w:szCs w:val="20"/>
              </w:rPr>
              <w:t xml:space="preserve">- </w:t>
            </w:r>
            <w:r w:rsidRPr="00154588">
              <w:rPr>
                <w:bCs/>
                <w:sz w:val="20"/>
                <w:szCs w:val="20"/>
              </w:rPr>
              <w:t>În cazul în care Fondul de garantare a depozitelor în sistemul bancar aduce o contribuție la acțiunea de rezoluție, se aplică art.302 alin.(2)</w:t>
            </w:r>
          </w:p>
        </w:tc>
        <w:tc>
          <w:tcPr>
            <w:tcW w:w="2552" w:type="dxa"/>
          </w:tcPr>
          <w:p w14:paraId="5CE88875" w14:textId="5AED0F86" w:rsidR="00EB243D" w:rsidRPr="00154588" w:rsidRDefault="00EB243D" w:rsidP="008C12B4">
            <w:pPr>
              <w:jc w:val="both"/>
              <w:rPr>
                <w:sz w:val="20"/>
                <w:szCs w:val="20"/>
              </w:rPr>
            </w:pPr>
            <w:r w:rsidRPr="00154588">
              <w:rPr>
                <w:sz w:val="20"/>
                <w:szCs w:val="20"/>
              </w:rPr>
              <w:t>compatibil</w:t>
            </w:r>
          </w:p>
        </w:tc>
        <w:tc>
          <w:tcPr>
            <w:tcW w:w="3118" w:type="dxa"/>
          </w:tcPr>
          <w:p w14:paraId="5FC7DF3F" w14:textId="77777777" w:rsidR="00EB243D" w:rsidRPr="00154588" w:rsidRDefault="00EB243D" w:rsidP="008C12B4">
            <w:pPr>
              <w:jc w:val="both"/>
              <w:rPr>
                <w:b/>
                <w:sz w:val="20"/>
                <w:szCs w:val="20"/>
              </w:rPr>
            </w:pPr>
          </w:p>
        </w:tc>
      </w:tr>
      <w:tr w:rsidR="00EB243D" w:rsidRPr="00154588" w14:paraId="7D7A5DF8" w14:textId="77777777" w:rsidTr="00D15C1B">
        <w:trPr>
          <w:jc w:val="center"/>
        </w:trPr>
        <w:tc>
          <w:tcPr>
            <w:tcW w:w="4957" w:type="dxa"/>
            <w:gridSpan w:val="2"/>
          </w:tcPr>
          <w:p w14:paraId="02F63FF4" w14:textId="77777777" w:rsidR="00EB243D" w:rsidRPr="00154588" w:rsidRDefault="00EB243D" w:rsidP="008C12B4">
            <w:pPr>
              <w:jc w:val="both"/>
              <w:rPr>
                <w:bCs/>
                <w:sz w:val="20"/>
                <w:szCs w:val="20"/>
              </w:rPr>
            </w:pPr>
            <w:r w:rsidRPr="00154588">
              <w:rPr>
                <w:bCs/>
                <w:sz w:val="20"/>
                <w:szCs w:val="20"/>
              </w:rPr>
              <w:t>(11) Până la 11 mai 2028, ABE emite orientări în conformitate cu articolul 16 din Regulamentul (UE) nr. 1093/2010 cu privire la condițiile în care autoritatea desemnată poate să nu aplice limita menționată la alineatul (7) al doilea paragraf de la prezentul articol.</w:t>
            </w:r>
          </w:p>
          <w:p w14:paraId="10DDD6B1" w14:textId="0B73401B" w:rsidR="00EB243D" w:rsidRPr="00154588" w:rsidRDefault="00EB243D" w:rsidP="008C12B4">
            <w:pPr>
              <w:jc w:val="both"/>
              <w:rPr>
                <w:bCs/>
                <w:sz w:val="20"/>
                <w:szCs w:val="20"/>
              </w:rPr>
            </w:pPr>
          </w:p>
        </w:tc>
        <w:tc>
          <w:tcPr>
            <w:tcW w:w="4819" w:type="dxa"/>
          </w:tcPr>
          <w:p w14:paraId="298204E4" w14:textId="67559057" w:rsidR="00EB243D" w:rsidRPr="00154588" w:rsidRDefault="00EB243D" w:rsidP="008C12B4">
            <w:pPr>
              <w:jc w:val="both"/>
              <w:rPr>
                <w:b/>
                <w:sz w:val="20"/>
                <w:szCs w:val="20"/>
              </w:rPr>
            </w:pPr>
          </w:p>
        </w:tc>
        <w:tc>
          <w:tcPr>
            <w:tcW w:w="2552" w:type="dxa"/>
          </w:tcPr>
          <w:p w14:paraId="7C026854" w14:textId="205A19FF" w:rsidR="00EB243D" w:rsidRPr="00154588" w:rsidRDefault="00EB243D" w:rsidP="008C12B4">
            <w:pPr>
              <w:jc w:val="both"/>
              <w:rPr>
                <w:b/>
                <w:sz w:val="20"/>
                <w:szCs w:val="20"/>
              </w:rPr>
            </w:pPr>
            <w:r w:rsidRPr="00154588">
              <w:rPr>
                <w:bCs/>
                <w:sz w:val="20"/>
                <w:szCs w:val="20"/>
                <w:lang w:val="ro-MD"/>
              </w:rPr>
              <w:t>Prevederi UE neaplicabile</w:t>
            </w:r>
          </w:p>
        </w:tc>
        <w:tc>
          <w:tcPr>
            <w:tcW w:w="3118" w:type="dxa"/>
          </w:tcPr>
          <w:p w14:paraId="036965FD" w14:textId="3BA42254" w:rsidR="00EB243D" w:rsidRPr="00154588" w:rsidRDefault="00EB243D" w:rsidP="008C12B4">
            <w:pPr>
              <w:jc w:val="both"/>
              <w:rPr>
                <w:b/>
                <w:sz w:val="20"/>
                <w:szCs w:val="20"/>
              </w:rPr>
            </w:pPr>
            <w:r w:rsidRPr="00154588">
              <w:rPr>
                <w:bCs/>
                <w:sz w:val="20"/>
                <w:szCs w:val="20"/>
                <w:lang w:val="ro-MD"/>
              </w:rPr>
              <w:t>Prevederi care se referă la atribuțiile de reglementare ale autorităților europene.</w:t>
            </w:r>
          </w:p>
        </w:tc>
      </w:tr>
      <w:tr w:rsidR="00EB243D" w:rsidRPr="00154588" w14:paraId="3576AF8C" w14:textId="77777777" w:rsidTr="00D15C1B">
        <w:trPr>
          <w:jc w:val="center"/>
        </w:trPr>
        <w:tc>
          <w:tcPr>
            <w:tcW w:w="4957" w:type="dxa"/>
            <w:gridSpan w:val="2"/>
          </w:tcPr>
          <w:p w14:paraId="2F482B4D" w14:textId="77777777" w:rsidR="00EB243D" w:rsidRPr="00154588" w:rsidRDefault="00EB243D" w:rsidP="008C12B4">
            <w:pPr>
              <w:jc w:val="both"/>
              <w:rPr>
                <w:b/>
                <w:sz w:val="20"/>
                <w:szCs w:val="20"/>
              </w:rPr>
            </w:pPr>
            <w:r w:rsidRPr="00154588">
              <w:rPr>
                <w:b/>
                <w:sz w:val="20"/>
                <w:szCs w:val="20"/>
              </w:rPr>
              <w:t>TITLUL VIII</w:t>
            </w:r>
          </w:p>
          <w:p w14:paraId="7EB1F83E" w14:textId="77777777" w:rsidR="00EB243D" w:rsidRPr="00154588" w:rsidRDefault="00EB243D" w:rsidP="008C12B4">
            <w:pPr>
              <w:jc w:val="both"/>
              <w:rPr>
                <w:b/>
                <w:sz w:val="20"/>
                <w:szCs w:val="20"/>
              </w:rPr>
            </w:pPr>
          </w:p>
          <w:p w14:paraId="766F17A0" w14:textId="0C8D6979" w:rsidR="00EB243D" w:rsidRPr="00154588" w:rsidRDefault="00EB243D" w:rsidP="008C12B4">
            <w:pPr>
              <w:jc w:val="both"/>
              <w:rPr>
                <w:bCs/>
                <w:sz w:val="20"/>
                <w:szCs w:val="20"/>
              </w:rPr>
            </w:pPr>
            <w:r w:rsidRPr="00154588">
              <w:rPr>
                <w:b/>
                <w:sz w:val="20"/>
                <w:szCs w:val="20"/>
              </w:rPr>
              <w:lastRenderedPageBreak/>
              <w:t>SANCȚIUNI</w:t>
            </w:r>
          </w:p>
        </w:tc>
        <w:tc>
          <w:tcPr>
            <w:tcW w:w="4819" w:type="dxa"/>
          </w:tcPr>
          <w:p w14:paraId="1C43FECB" w14:textId="77777777" w:rsidR="00EB243D" w:rsidRPr="00154588" w:rsidRDefault="00EB243D" w:rsidP="008C12B4">
            <w:pPr>
              <w:jc w:val="center"/>
              <w:rPr>
                <w:b/>
                <w:sz w:val="20"/>
                <w:szCs w:val="20"/>
              </w:rPr>
            </w:pPr>
            <w:r w:rsidRPr="00154588">
              <w:rPr>
                <w:b/>
                <w:sz w:val="20"/>
                <w:szCs w:val="20"/>
              </w:rPr>
              <w:lastRenderedPageBreak/>
              <w:t>TITLUL VI</w:t>
            </w:r>
          </w:p>
          <w:p w14:paraId="779275C7" w14:textId="060C4B73" w:rsidR="00EB243D" w:rsidRPr="00154588" w:rsidRDefault="00EB243D" w:rsidP="008C12B4">
            <w:pPr>
              <w:jc w:val="center"/>
              <w:rPr>
                <w:b/>
                <w:sz w:val="20"/>
                <w:szCs w:val="20"/>
              </w:rPr>
            </w:pPr>
            <w:r w:rsidRPr="00154588">
              <w:rPr>
                <w:b/>
                <w:sz w:val="20"/>
                <w:szCs w:val="20"/>
              </w:rPr>
              <w:lastRenderedPageBreak/>
              <w:t>SANCŢIUNI ŞI MĂSURI SANCȚIONATOARE APLICABILE INSTITUȚIILOR DE CREDIT</w:t>
            </w:r>
          </w:p>
          <w:p w14:paraId="1B4BF222" w14:textId="77777777" w:rsidR="00EB243D" w:rsidRPr="00154588" w:rsidRDefault="00EB243D" w:rsidP="008C12B4">
            <w:pPr>
              <w:jc w:val="both"/>
              <w:rPr>
                <w:b/>
                <w:sz w:val="20"/>
                <w:szCs w:val="20"/>
              </w:rPr>
            </w:pPr>
          </w:p>
        </w:tc>
        <w:tc>
          <w:tcPr>
            <w:tcW w:w="2552" w:type="dxa"/>
          </w:tcPr>
          <w:p w14:paraId="23B9F00F" w14:textId="77777777" w:rsidR="00EB243D" w:rsidRPr="00154588" w:rsidRDefault="00EB243D" w:rsidP="008C12B4">
            <w:pPr>
              <w:jc w:val="both"/>
              <w:rPr>
                <w:b/>
                <w:sz w:val="20"/>
                <w:szCs w:val="20"/>
              </w:rPr>
            </w:pPr>
          </w:p>
        </w:tc>
        <w:tc>
          <w:tcPr>
            <w:tcW w:w="3118" w:type="dxa"/>
          </w:tcPr>
          <w:p w14:paraId="2F3B3BE1" w14:textId="77777777" w:rsidR="00EB243D" w:rsidRPr="00154588" w:rsidRDefault="00EB243D" w:rsidP="008C12B4">
            <w:pPr>
              <w:jc w:val="both"/>
              <w:rPr>
                <w:b/>
                <w:sz w:val="20"/>
                <w:szCs w:val="20"/>
              </w:rPr>
            </w:pPr>
          </w:p>
        </w:tc>
      </w:tr>
      <w:tr w:rsidR="00EB243D" w:rsidRPr="00154588" w14:paraId="6ADFDE1D" w14:textId="77777777" w:rsidTr="00D15C1B">
        <w:trPr>
          <w:jc w:val="center"/>
        </w:trPr>
        <w:tc>
          <w:tcPr>
            <w:tcW w:w="4957" w:type="dxa"/>
            <w:gridSpan w:val="2"/>
          </w:tcPr>
          <w:p w14:paraId="709AE2FF" w14:textId="77777777" w:rsidR="00EB243D" w:rsidRPr="00154588" w:rsidRDefault="00EB243D" w:rsidP="008C12B4">
            <w:pPr>
              <w:jc w:val="both"/>
              <w:rPr>
                <w:b/>
                <w:sz w:val="20"/>
                <w:szCs w:val="20"/>
              </w:rPr>
            </w:pPr>
            <w:r w:rsidRPr="00154588">
              <w:rPr>
                <w:b/>
                <w:sz w:val="20"/>
                <w:szCs w:val="20"/>
              </w:rPr>
              <w:t>Articolul 110</w:t>
            </w:r>
          </w:p>
          <w:p w14:paraId="01033665" w14:textId="77777777" w:rsidR="00EB243D" w:rsidRPr="00154588" w:rsidRDefault="00EB243D" w:rsidP="008C12B4">
            <w:pPr>
              <w:jc w:val="both"/>
              <w:rPr>
                <w:b/>
                <w:sz w:val="20"/>
                <w:szCs w:val="20"/>
              </w:rPr>
            </w:pPr>
          </w:p>
          <w:p w14:paraId="71D4C5FA" w14:textId="734A6794" w:rsidR="00EB243D" w:rsidRPr="00154588" w:rsidRDefault="00EB243D" w:rsidP="008C12B4">
            <w:pPr>
              <w:jc w:val="both"/>
              <w:rPr>
                <w:bCs/>
                <w:sz w:val="20"/>
                <w:szCs w:val="20"/>
              </w:rPr>
            </w:pPr>
            <w:r w:rsidRPr="00154588">
              <w:rPr>
                <w:b/>
                <w:sz w:val="20"/>
                <w:szCs w:val="20"/>
              </w:rPr>
              <w:t>Sancțiuni administrative și alte măsuri administrative</w:t>
            </w:r>
          </w:p>
        </w:tc>
        <w:tc>
          <w:tcPr>
            <w:tcW w:w="4819" w:type="dxa"/>
          </w:tcPr>
          <w:p w14:paraId="68FA3208" w14:textId="77777777" w:rsidR="00EB243D" w:rsidRPr="00154588" w:rsidRDefault="00EB243D" w:rsidP="008C12B4">
            <w:pPr>
              <w:jc w:val="both"/>
              <w:rPr>
                <w:b/>
                <w:sz w:val="20"/>
                <w:szCs w:val="20"/>
              </w:rPr>
            </w:pPr>
          </w:p>
        </w:tc>
        <w:tc>
          <w:tcPr>
            <w:tcW w:w="2552" w:type="dxa"/>
          </w:tcPr>
          <w:p w14:paraId="779AA138" w14:textId="77777777" w:rsidR="00EB243D" w:rsidRPr="00154588" w:rsidRDefault="00EB243D" w:rsidP="008C12B4">
            <w:pPr>
              <w:jc w:val="both"/>
              <w:rPr>
                <w:b/>
                <w:sz w:val="20"/>
                <w:szCs w:val="20"/>
              </w:rPr>
            </w:pPr>
          </w:p>
        </w:tc>
        <w:tc>
          <w:tcPr>
            <w:tcW w:w="3118" w:type="dxa"/>
          </w:tcPr>
          <w:p w14:paraId="0227CE25" w14:textId="77777777" w:rsidR="00EB243D" w:rsidRPr="00154588" w:rsidRDefault="00EB243D" w:rsidP="008C12B4">
            <w:pPr>
              <w:jc w:val="both"/>
              <w:rPr>
                <w:b/>
                <w:sz w:val="20"/>
                <w:szCs w:val="20"/>
              </w:rPr>
            </w:pPr>
          </w:p>
        </w:tc>
      </w:tr>
      <w:tr w:rsidR="00EB243D" w:rsidRPr="00154588" w14:paraId="506EFF2D" w14:textId="77777777" w:rsidTr="00D15C1B">
        <w:trPr>
          <w:jc w:val="center"/>
        </w:trPr>
        <w:tc>
          <w:tcPr>
            <w:tcW w:w="4957" w:type="dxa"/>
            <w:gridSpan w:val="2"/>
          </w:tcPr>
          <w:p w14:paraId="65A2BE27" w14:textId="5E772833" w:rsidR="00EB243D" w:rsidRPr="00154588" w:rsidRDefault="00EB243D" w:rsidP="008C12B4">
            <w:pPr>
              <w:jc w:val="both"/>
              <w:rPr>
                <w:bCs/>
                <w:sz w:val="20"/>
                <w:szCs w:val="20"/>
              </w:rPr>
            </w:pPr>
            <w:r w:rsidRPr="00154588">
              <w:rPr>
                <w:bCs/>
                <w:sz w:val="20"/>
                <w:szCs w:val="20"/>
              </w:rPr>
              <w:t>(1)   Fără a aduce atingere dreptului statelor membre de a prevedea și de a impune sancțiuni penale, statele membre prevăd norme privind sancțiuni administrative și alte măsuri administrative aplicabile în cazul în care dispozițiile de drept intern adoptate pentru transpunerea prezentei directive nu sunt respectate și iau toate măsurile necesare pentru a asigura punerea în aplicare a acestora. În cazul în care statele membre decid să nu stabilească norme pentru sancțiuni administrative pentru încălcări care fac obiectul dreptului penal intern, acestea îi comunică Comisiei dispozițiile de drept penal relevante. Sancțiunile administrative și celelalte măsuri administrative sunt eficace, proporționale și disuasive.</w:t>
            </w:r>
          </w:p>
        </w:tc>
        <w:tc>
          <w:tcPr>
            <w:tcW w:w="4819" w:type="dxa"/>
          </w:tcPr>
          <w:p w14:paraId="6494EF6B" w14:textId="77777777" w:rsidR="00EB243D" w:rsidRPr="00154588" w:rsidRDefault="00EB243D" w:rsidP="008C12B4">
            <w:pPr>
              <w:jc w:val="both"/>
              <w:rPr>
                <w:bCs/>
                <w:sz w:val="20"/>
                <w:szCs w:val="20"/>
              </w:rPr>
            </w:pPr>
            <w:r w:rsidRPr="00154588">
              <w:rPr>
                <w:b/>
                <w:sz w:val="20"/>
                <w:szCs w:val="20"/>
              </w:rPr>
              <w:t>Articolul</w:t>
            </w:r>
            <w:r w:rsidRPr="00154588">
              <w:rPr>
                <w:sz w:val="20"/>
                <w:szCs w:val="20"/>
              </w:rPr>
              <w:t xml:space="preserve"> </w:t>
            </w:r>
            <w:r w:rsidRPr="00154588">
              <w:rPr>
                <w:b/>
                <w:sz w:val="20"/>
                <w:szCs w:val="20"/>
              </w:rPr>
              <w:t>314.</w:t>
            </w:r>
            <w:r w:rsidRPr="00154588">
              <w:rPr>
                <w:sz w:val="24"/>
                <w:szCs w:val="24"/>
              </w:rPr>
              <w:t xml:space="preserve"> </w:t>
            </w:r>
            <w:r w:rsidRPr="00154588">
              <w:rPr>
                <w:bCs/>
                <w:sz w:val="20"/>
                <w:szCs w:val="20"/>
              </w:rPr>
              <w:t>– (1) În exercitarea funcţiilor sale, Banca Naţională a Moldovei este competentă să aplice sancţiuni şi măsuri sancționatoare prevăzute în prezenta lege în cazul încălcării dispoziţiilor acesteia.</w:t>
            </w:r>
          </w:p>
          <w:p w14:paraId="40B1D03C" w14:textId="77777777" w:rsidR="00EB243D" w:rsidRPr="00154588" w:rsidRDefault="00EB243D" w:rsidP="008C12B4">
            <w:pPr>
              <w:ind w:firstLine="567"/>
              <w:jc w:val="both"/>
              <w:rPr>
                <w:bCs/>
                <w:sz w:val="20"/>
                <w:szCs w:val="20"/>
              </w:rPr>
            </w:pPr>
            <w:r w:rsidRPr="00154588">
              <w:rPr>
                <w:bCs/>
                <w:sz w:val="20"/>
                <w:szCs w:val="20"/>
              </w:rPr>
              <w:t>(7) Banca Naţională a Moldovei se asigură că structura care exercită funcţia de rezoluţie şi structura care exercită funcţia de supraveghere cooperează în mod strîns între ele, pentru a asigura că aplicarea sancţiunilor şi măsurilor sancționatoare produc efectele urmărite.</w:t>
            </w:r>
          </w:p>
          <w:p w14:paraId="6E8CFCA9" w14:textId="77777777" w:rsidR="00EB243D" w:rsidRPr="00154588" w:rsidRDefault="00EB243D" w:rsidP="008C12B4">
            <w:pPr>
              <w:jc w:val="both"/>
              <w:rPr>
                <w:b/>
                <w:sz w:val="20"/>
                <w:szCs w:val="20"/>
              </w:rPr>
            </w:pPr>
          </w:p>
        </w:tc>
        <w:tc>
          <w:tcPr>
            <w:tcW w:w="2552" w:type="dxa"/>
          </w:tcPr>
          <w:p w14:paraId="0CE3BBFE" w14:textId="26E77203" w:rsidR="00EB243D" w:rsidRPr="00154588" w:rsidRDefault="00EB243D" w:rsidP="008C12B4">
            <w:pPr>
              <w:jc w:val="both"/>
              <w:rPr>
                <w:sz w:val="20"/>
                <w:szCs w:val="20"/>
              </w:rPr>
            </w:pPr>
            <w:r w:rsidRPr="00154588">
              <w:rPr>
                <w:bCs/>
                <w:sz w:val="20"/>
                <w:szCs w:val="20"/>
              </w:rPr>
              <w:t>Compatibil</w:t>
            </w:r>
          </w:p>
        </w:tc>
        <w:tc>
          <w:tcPr>
            <w:tcW w:w="3118" w:type="dxa"/>
          </w:tcPr>
          <w:p w14:paraId="17AFC0C3" w14:textId="77777777" w:rsidR="00EB243D" w:rsidRPr="00154588" w:rsidRDefault="00EB243D" w:rsidP="008C12B4">
            <w:pPr>
              <w:jc w:val="both"/>
              <w:rPr>
                <w:b/>
                <w:sz w:val="20"/>
                <w:szCs w:val="20"/>
              </w:rPr>
            </w:pPr>
          </w:p>
        </w:tc>
      </w:tr>
      <w:tr w:rsidR="00EB243D" w:rsidRPr="00154588" w14:paraId="6AEBE384" w14:textId="77777777" w:rsidTr="00D15C1B">
        <w:trPr>
          <w:jc w:val="center"/>
        </w:trPr>
        <w:tc>
          <w:tcPr>
            <w:tcW w:w="4957" w:type="dxa"/>
            <w:gridSpan w:val="2"/>
          </w:tcPr>
          <w:p w14:paraId="625737E7" w14:textId="552D3A83" w:rsidR="00EB243D" w:rsidRPr="00154588" w:rsidRDefault="00EB243D" w:rsidP="008C12B4">
            <w:pPr>
              <w:jc w:val="both"/>
              <w:rPr>
                <w:bCs/>
                <w:sz w:val="20"/>
                <w:szCs w:val="20"/>
              </w:rPr>
            </w:pPr>
            <w:r w:rsidRPr="00154588">
              <w:rPr>
                <w:bCs/>
                <w:sz w:val="20"/>
                <w:szCs w:val="20"/>
              </w:rPr>
              <w:t>(2)   Statele membre se asigură că, atunci când obligațiile menționate la alineatul (1) se aplică instituțiilor, instituțiilor financiare și întreprinderilor-mamă din Uniune în cazul unei încălcări pot fi aplicate sancțiuni administrative, în condițiile prevăzute de dreptul intern, membrilor organului de conducerie, precum și altor persoane fizice care se fac vinovate de respectiva încălcare în temeiul dreptului intern.</w:t>
            </w:r>
          </w:p>
        </w:tc>
        <w:tc>
          <w:tcPr>
            <w:tcW w:w="4819" w:type="dxa"/>
          </w:tcPr>
          <w:p w14:paraId="2A27D7F2" w14:textId="49DECDD0" w:rsidR="00EB243D" w:rsidRPr="00154588" w:rsidRDefault="00EB243D"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314.</w:t>
            </w:r>
            <w:r w:rsidRPr="00154588">
              <w:rPr>
                <w:sz w:val="20"/>
                <w:szCs w:val="20"/>
              </w:rPr>
              <w:t xml:space="preserve"> </w:t>
            </w:r>
            <w:r w:rsidRPr="00154588">
              <w:rPr>
                <w:bCs/>
                <w:sz w:val="20"/>
                <w:szCs w:val="20"/>
              </w:rPr>
              <w:t xml:space="preserve">– </w:t>
            </w:r>
            <w:r w:rsidRPr="00154588">
              <w:rPr>
                <w:sz w:val="20"/>
                <w:szCs w:val="20"/>
              </w:rPr>
              <w:t>(4) În sensul prevederilor alin.(3) lit.a) sînt supuse obligaţiei de furnizare a informaţiilor:</w:t>
            </w:r>
          </w:p>
          <w:p w14:paraId="55942798" w14:textId="77777777" w:rsidR="00EB243D" w:rsidRPr="00154588" w:rsidRDefault="00EB243D" w:rsidP="008C12B4">
            <w:pPr>
              <w:ind w:firstLine="567"/>
              <w:jc w:val="both"/>
              <w:rPr>
                <w:sz w:val="20"/>
                <w:szCs w:val="20"/>
              </w:rPr>
            </w:pPr>
            <w:r w:rsidRPr="00154588">
              <w:rPr>
                <w:sz w:val="20"/>
                <w:szCs w:val="20"/>
              </w:rPr>
              <w:t>a) instituțiile de credit, persoane juridice din Republica Moldova și entitățile prevăzute la art.1 alin.(1) lit. b), c) sau d);</w:t>
            </w:r>
          </w:p>
          <w:p w14:paraId="2FBFD367" w14:textId="77777777" w:rsidR="00EB243D" w:rsidRPr="00154588" w:rsidRDefault="00EB243D" w:rsidP="008C12B4">
            <w:pPr>
              <w:ind w:firstLine="567"/>
              <w:jc w:val="both"/>
              <w:rPr>
                <w:sz w:val="20"/>
                <w:szCs w:val="20"/>
              </w:rPr>
            </w:pPr>
            <w:r w:rsidRPr="00154588">
              <w:rPr>
                <w:sz w:val="20"/>
                <w:szCs w:val="20"/>
              </w:rPr>
              <w:t>b) persoanele fizice care aparțin persoanelor juridice menționate la lit.a);</w:t>
            </w:r>
          </w:p>
          <w:p w14:paraId="6D1DE072" w14:textId="77777777" w:rsidR="00EB243D" w:rsidRPr="00154588" w:rsidRDefault="00EB243D" w:rsidP="008C12B4">
            <w:pPr>
              <w:ind w:firstLine="567"/>
              <w:jc w:val="both"/>
              <w:rPr>
                <w:sz w:val="20"/>
                <w:szCs w:val="20"/>
              </w:rPr>
            </w:pPr>
            <w:r w:rsidRPr="00154588">
              <w:rPr>
                <w:sz w:val="20"/>
                <w:szCs w:val="20"/>
              </w:rPr>
              <w:t>c) terţele persoane către care persoanele juridice menționate la lit.a) au externalizat anumite funcţii operaţionale sau activităţi.</w:t>
            </w:r>
          </w:p>
          <w:p w14:paraId="08B4A951" w14:textId="77777777" w:rsidR="00EB243D" w:rsidRPr="00154588" w:rsidRDefault="00EB243D" w:rsidP="008C12B4">
            <w:pPr>
              <w:jc w:val="both"/>
              <w:rPr>
                <w:b/>
                <w:sz w:val="20"/>
                <w:szCs w:val="20"/>
              </w:rPr>
            </w:pPr>
          </w:p>
          <w:p w14:paraId="6F4C4D76" w14:textId="77777777" w:rsidR="00EB243D" w:rsidRPr="00154588" w:rsidRDefault="00EB243D" w:rsidP="008C12B4">
            <w:pPr>
              <w:rPr>
                <w:b/>
                <w:sz w:val="20"/>
                <w:szCs w:val="20"/>
              </w:rPr>
            </w:pPr>
          </w:p>
          <w:p w14:paraId="2A9A48FA" w14:textId="5D448ED1" w:rsidR="00EB243D" w:rsidRPr="00154588" w:rsidRDefault="00EB243D" w:rsidP="008C12B4">
            <w:pPr>
              <w:tabs>
                <w:tab w:val="left" w:pos="1486"/>
              </w:tabs>
              <w:rPr>
                <w:sz w:val="20"/>
                <w:szCs w:val="20"/>
              </w:rPr>
            </w:pPr>
            <w:r w:rsidRPr="00154588">
              <w:rPr>
                <w:sz w:val="20"/>
                <w:szCs w:val="20"/>
              </w:rPr>
              <w:tab/>
            </w:r>
          </w:p>
        </w:tc>
        <w:tc>
          <w:tcPr>
            <w:tcW w:w="2552" w:type="dxa"/>
          </w:tcPr>
          <w:p w14:paraId="04D19181" w14:textId="5C52F221" w:rsidR="00EB243D" w:rsidRPr="00154588" w:rsidRDefault="00EB243D" w:rsidP="008C12B4">
            <w:pPr>
              <w:jc w:val="both"/>
              <w:rPr>
                <w:b/>
                <w:sz w:val="20"/>
                <w:szCs w:val="20"/>
              </w:rPr>
            </w:pPr>
            <w:r w:rsidRPr="00154588">
              <w:rPr>
                <w:bCs/>
                <w:sz w:val="20"/>
                <w:szCs w:val="20"/>
              </w:rPr>
              <w:t>Compatibil</w:t>
            </w:r>
          </w:p>
        </w:tc>
        <w:tc>
          <w:tcPr>
            <w:tcW w:w="3118" w:type="dxa"/>
          </w:tcPr>
          <w:p w14:paraId="76C7B3D6" w14:textId="77777777" w:rsidR="00EB243D" w:rsidRPr="00154588" w:rsidRDefault="00EB243D" w:rsidP="008C12B4">
            <w:pPr>
              <w:jc w:val="both"/>
              <w:rPr>
                <w:b/>
                <w:sz w:val="20"/>
                <w:szCs w:val="20"/>
              </w:rPr>
            </w:pPr>
          </w:p>
        </w:tc>
      </w:tr>
      <w:tr w:rsidR="00EB243D" w:rsidRPr="00154588" w14:paraId="1240CE2E" w14:textId="77777777" w:rsidTr="00D15C1B">
        <w:trPr>
          <w:jc w:val="center"/>
        </w:trPr>
        <w:tc>
          <w:tcPr>
            <w:tcW w:w="4957" w:type="dxa"/>
            <w:gridSpan w:val="2"/>
          </w:tcPr>
          <w:p w14:paraId="619CDB35" w14:textId="366BEEB1" w:rsidR="00EB243D" w:rsidRPr="00154588" w:rsidRDefault="00EB243D" w:rsidP="008C12B4">
            <w:pPr>
              <w:jc w:val="both"/>
              <w:rPr>
                <w:bCs/>
                <w:sz w:val="20"/>
                <w:szCs w:val="20"/>
              </w:rPr>
            </w:pPr>
            <w:r w:rsidRPr="00154588">
              <w:rPr>
                <w:bCs/>
                <w:sz w:val="20"/>
                <w:szCs w:val="20"/>
              </w:rPr>
              <w:t xml:space="preserve">(3)   Competențele de aplicare a sancționilor administrative prevăzute în prezenta directivă sunt atribuite autorităților de rezoluție sau autorităților competente, în cazul în care acestea diferă unele de celelalte, în funcție de tipul de încălcare. Autoritățile de rezoluție și autoritățile competente au toate competențele de colectare de informații și competențele de investigare necesare exercitarea atribuțiilor lor corespunzătoare. Atunci când își exercită competențele de aplicare a sancționilor, </w:t>
            </w:r>
            <w:r w:rsidRPr="00154588">
              <w:rPr>
                <w:bCs/>
                <w:sz w:val="20"/>
                <w:szCs w:val="20"/>
              </w:rPr>
              <w:lastRenderedPageBreak/>
              <w:t>autoritățile de rezoluție și autoritățile competente colaborează îndeaproape pentru a se asigura că sancțiunile administrative sau celelalte măsuri administrative produc efectele scontate și își coordonează acțiunile în cazurile cu caracter transfrontalier.</w:t>
            </w:r>
          </w:p>
        </w:tc>
        <w:tc>
          <w:tcPr>
            <w:tcW w:w="4819" w:type="dxa"/>
          </w:tcPr>
          <w:p w14:paraId="559F80A5" w14:textId="038A9256" w:rsidR="00EB243D" w:rsidRPr="00154588" w:rsidRDefault="00EB243D" w:rsidP="008C12B4">
            <w:pPr>
              <w:ind w:firstLine="567"/>
              <w:jc w:val="both"/>
              <w:rPr>
                <w:sz w:val="20"/>
                <w:szCs w:val="20"/>
              </w:rPr>
            </w:pPr>
            <w:r w:rsidRPr="00154588">
              <w:rPr>
                <w:b/>
                <w:sz w:val="20"/>
                <w:szCs w:val="20"/>
              </w:rPr>
              <w:lastRenderedPageBreak/>
              <w:t>Articolul</w:t>
            </w:r>
            <w:r w:rsidRPr="00154588">
              <w:rPr>
                <w:sz w:val="20"/>
                <w:szCs w:val="20"/>
              </w:rPr>
              <w:t xml:space="preserve"> </w:t>
            </w:r>
            <w:r w:rsidRPr="00154588">
              <w:rPr>
                <w:b/>
                <w:sz w:val="20"/>
                <w:szCs w:val="20"/>
              </w:rPr>
              <w:t>314.</w:t>
            </w:r>
            <w:r w:rsidRPr="00154588">
              <w:rPr>
                <w:sz w:val="20"/>
                <w:szCs w:val="20"/>
              </w:rPr>
              <w:t xml:space="preserve"> </w:t>
            </w:r>
            <w:r w:rsidRPr="00154588">
              <w:rPr>
                <w:bCs/>
                <w:sz w:val="20"/>
                <w:szCs w:val="20"/>
              </w:rPr>
              <w:t xml:space="preserve">– </w:t>
            </w:r>
            <w:r w:rsidRPr="00154588">
              <w:rPr>
                <w:sz w:val="20"/>
                <w:szCs w:val="20"/>
              </w:rPr>
              <w:t>(2) Banca Naţională a Moldovei are competenţa de a colecta toate informaţiile necesare şi de a efectua toate cercetările necesare pentru exercitarea funcţiilor sale.</w:t>
            </w:r>
          </w:p>
          <w:p w14:paraId="63170E3C" w14:textId="77777777" w:rsidR="00EB243D" w:rsidRPr="00154588" w:rsidRDefault="00EB243D" w:rsidP="008C12B4">
            <w:pPr>
              <w:ind w:firstLine="567"/>
              <w:jc w:val="both"/>
              <w:rPr>
                <w:sz w:val="20"/>
                <w:szCs w:val="20"/>
              </w:rPr>
            </w:pPr>
            <w:r w:rsidRPr="00154588">
              <w:rPr>
                <w:sz w:val="20"/>
                <w:szCs w:val="20"/>
              </w:rPr>
              <w:t>(3) Competenţa prevăzută la alin.(2) include:</w:t>
            </w:r>
          </w:p>
          <w:p w14:paraId="0689FAE7" w14:textId="77777777" w:rsidR="00EB243D" w:rsidRPr="00154588" w:rsidRDefault="00EB243D" w:rsidP="008C12B4">
            <w:pPr>
              <w:ind w:firstLine="567"/>
              <w:jc w:val="both"/>
              <w:rPr>
                <w:sz w:val="20"/>
                <w:szCs w:val="20"/>
              </w:rPr>
            </w:pPr>
            <w:r w:rsidRPr="00154588">
              <w:rPr>
                <w:sz w:val="20"/>
                <w:szCs w:val="20"/>
              </w:rPr>
              <w:t>a) competenţa de a solicita furnizarea tuturor informaţiilor necesare pentru îndeplinirea atribuţiilor care revin Băncii Naţionale a Moldovei, la intervale regulate şi în formatele specificate;</w:t>
            </w:r>
          </w:p>
          <w:p w14:paraId="766B20FE" w14:textId="77777777" w:rsidR="00EB243D" w:rsidRPr="00154588" w:rsidRDefault="00EB243D" w:rsidP="008C12B4">
            <w:pPr>
              <w:ind w:firstLine="567"/>
              <w:jc w:val="both"/>
              <w:rPr>
                <w:sz w:val="20"/>
                <w:szCs w:val="20"/>
              </w:rPr>
            </w:pPr>
            <w:r w:rsidRPr="00154588">
              <w:rPr>
                <w:sz w:val="20"/>
                <w:szCs w:val="20"/>
              </w:rPr>
              <w:lastRenderedPageBreak/>
              <w:t>b) competenţa de a efectua toate cercetările necesare pentru îndeplinirea atribuţiilor care revin Băncii Naţionale a Moldovei, în legătură cu orice persoană fizică sau juridică prevăzută la alin.(4);</w:t>
            </w:r>
          </w:p>
          <w:p w14:paraId="06DDAF81" w14:textId="77777777" w:rsidR="00EB243D" w:rsidRPr="00154588" w:rsidRDefault="00EB243D" w:rsidP="008C12B4">
            <w:pPr>
              <w:ind w:firstLine="567"/>
              <w:jc w:val="both"/>
              <w:rPr>
                <w:sz w:val="20"/>
                <w:szCs w:val="20"/>
              </w:rPr>
            </w:pPr>
            <w:r w:rsidRPr="00154588">
              <w:rPr>
                <w:sz w:val="20"/>
                <w:szCs w:val="20"/>
              </w:rPr>
              <w:t>c) competenţa de a efectua toate inspecțiile</w:t>
            </w:r>
            <w:r w:rsidRPr="00154588">
              <w:rPr>
                <w:sz w:val="20"/>
                <w:szCs w:val="20"/>
                <w:lang w:val="ro-MD"/>
              </w:rPr>
              <w:t xml:space="preserve"> </w:t>
            </w:r>
            <w:r w:rsidRPr="00154588">
              <w:rPr>
                <w:sz w:val="20"/>
                <w:szCs w:val="20"/>
              </w:rPr>
              <w:t>necesare la sediile persoanelor juridice menţionate la alin.(4);</w:t>
            </w:r>
          </w:p>
          <w:p w14:paraId="01A2ABD4" w14:textId="77777777" w:rsidR="00EB243D" w:rsidRPr="00154588" w:rsidRDefault="00EB243D" w:rsidP="008C12B4">
            <w:pPr>
              <w:ind w:firstLine="567"/>
              <w:jc w:val="both"/>
              <w:rPr>
                <w:sz w:val="20"/>
                <w:szCs w:val="20"/>
              </w:rPr>
            </w:pPr>
            <w:r w:rsidRPr="00154588">
              <w:rPr>
                <w:sz w:val="20"/>
                <w:szCs w:val="20"/>
              </w:rPr>
              <w:t>d) competenţa de a solicita, în caz de necesitate, oricărei persoane, furnizarea tuturor informaţiilor necesare pentru îndeplinirea atribuţiilor care revin Băncii Naţionale a Moldovei.</w:t>
            </w:r>
          </w:p>
          <w:p w14:paraId="607446EC" w14:textId="77777777" w:rsidR="00EB243D" w:rsidRPr="00154588" w:rsidRDefault="00EB243D" w:rsidP="008C12B4">
            <w:pPr>
              <w:jc w:val="both"/>
              <w:rPr>
                <w:b/>
                <w:sz w:val="20"/>
                <w:szCs w:val="20"/>
              </w:rPr>
            </w:pPr>
          </w:p>
        </w:tc>
        <w:tc>
          <w:tcPr>
            <w:tcW w:w="2552" w:type="dxa"/>
          </w:tcPr>
          <w:p w14:paraId="71AFBFBA" w14:textId="751FC915" w:rsidR="00EB243D" w:rsidRPr="00154588" w:rsidRDefault="00EB243D" w:rsidP="008C12B4">
            <w:pPr>
              <w:jc w:val="both"/>
              <w:rPr>
                <w:b/>
                <w:sz w:val="20"/>
                <w:szCs w:val="20"/>
              </w:rPr>
            </w:pPr>
            <w:r w:rsidRPr="00154588">
              <w:rPr>
                <w:bCs/>
                <w:sz w:val="20"/>
                <w:szCs w:val="20"/>
              </w:rPr>
              <w:lastRenderedPageBreak/>
              <w:t>Compatibil</w:t>
            </w:r>
          </w:p>
        </w:tc>
        <w:tc>
          <w:tcPr>
            <w:tcW w:w="3118" w:type="dxa"/>
          </w:tcPr>
          <w:p w14:paraId="7E5B2B8B" w14:textId="77777777" w:rsidR="00EB243D" w:rsidRPr="00154588" w:rsidRDefault="00EB243D" w:rsidP="008C12B4">
            <w:pPr>
              <w:jc w:val="both"/>
              <w:rPr>
                <w:b/>
                <w:sz w:val="20"/>
                <w:szCs w:val="20"/>
              </w:rPr>
            </w:pPr>
          </w:p>
        </w:tc>
      </w:tr>
      <w:tr w:rsidR="00EB243D" w:rsidRPr="00154588" w14:paraId="2D41BD52" w14:textId="77777777" w:rsidTr="00D15C1B">
        <w:trPr>
          <w:jc w:val="center"/>
        </w:trPr>
        <w:tc>
          <w:tcPr>
            <w:tcW w:w="4957" w:type="dxa"/>
            <w:gridSpan w:val="2"/>
          </w:tcPr>
          <w:p w14:paraId="79D586EA" w14:textId="77777777" w:rsidR="00EB243D" w:rsidRPr="00154588" w:rsidRDefault="00EB243D" w:rsidP="008C12B4">
            <w:pPr>
              <w:jc w:val="both"/>
              <w:rPr>
                <w:bCs/>
                <w:sz w:val="20"/>
                <w:szCs w:val="20"/>
              </w:rPr>
            </w:pPr>
            <w:r w:rsidRPr="00154588">
              <w:rPr>
                <w:bCs/>
                <w:sz w:val="20"/>
                <w:szCs w:val="20"/>
              </w:rPr>
              <w:t>(4)   Autoritățile de rezoluție și autoritățile competente își exercită competențele administrative de aplicare a sanțiunilor în conformitate cu prezenta directivă și cu dreptul intern, în oricare din următoarele moduri:</w:t>
            </w:r>
          </w:p>
          <w:p w14:paraId="372AD2F7" w14:textId="77777777" w:rsidR="00EB243D" w:rsidRPr="00154588" w:rsidRDefault="00EB243D" w:rsidP="008C12B4">
            <w:pPr>
              <w:jc w:val="both"/>
              <w:rPr>
                <w:bCs/>
                <w:sz w:val="20"/>
                <w:szCs w:val="20"/>
              </w:rPr>
            </w:pPr>
          </w:p>
          <w:p w14:paraId="61D3CCC0" w14:textId="441D67FB" w:rsidR="00EB243D" w:rsidRPr="00154588" w:rsidRDefault="00EB243D" w:rsidP="008C12B4">
            <w:pPr>
              <w:jc w:val="both"/>
              <w:rPr>
                <w:bCs/>
                <w:sz w:val="20"/>
                <w:szCs w:val="20"/>
              </w:rPr>
            </w:pPr>
            <w:r w:rsidRPr="00154588">
              <w:rPr>
                <w:bCs/>
                <w:sz w:val="20"/>
                <w:szCs w:val="20"/>
              </w:rPr>
              <w:t>(a) direct;</w:t>
            </w:r>
          </w:p>
          <w:p w14:paraId="1562B9B8" w14:textId="77777777" w:rsidR="00EB243D" w:rsidRPr="00154588" w:rsidRDefault="00EB243D" w:rsidP="008C12B4">
            <w:pPr>
              <w:jc w:val="both"/>
              <w:rPr>
                <w:bCs/>
                <w:sz w:val="20"/>
                <w:szCs w:val="20"/>
              </w:rPr>
            </w:pPr>
          </w:p>
          <w:p w14:paraId="28A0FA2B" w14:textId="26470884" w:rsidR="00EB243D" w:rsidRPr="00154588" w:rsidRDefault="00EB243D" w:rsidP="008C12B4">
            <w:pPr>
              <w:jc w:val="both"/>
              <w:rPr>
                <w:bCs/>
                <w:sz w:val="20"/>
                <w:szCs w:val="20"/>
              </w:rPr>
            </w:pPr>
            <w:r w:rsidRPr="00154588">
              <w:rPr>
                <w:bCs/>
                <w:sz w:val="20"/>
                <w:szCs w:val="20"/>
              </w:rPr>
              <w:t>(b) în colaborare cu alte autorități;</w:t>
            </w:r>
          </w:p>
          <w:p w14:paraId="26D7222E" w14:textId="77777777" w:rsidR="00EB243D" w:rsidRPr="00154588" w:rsidRDefault="00EB243D" w:rsidP="008C12B4">
            <w:pPr>
              <w:jc w:val="both"/>
              <w:rPr>
                <w:bCs/>
                <w:sz w:val="20"/>
                <w:szCs w:val="20"/>
              </w:rPr>
            </w:pPr>
          </w:p>
          <w:p w14:paraId="712BFB22" w14:textId="464D843E" w:rsidR="00EB243D" w:rsidRPr="00154588" w:rsidRDefault="00EB243D" w:rsidP="008C12B4">
            <w:pPr>
              <w:jc w:val="both"/>
              <w:rPr>
                <w:bCs/>
                <w:sz w:val="20"/>
                <w:szCs w:val="20"/>
              </w:rPr>
            </w:pPr>
            <w:r w:rsidRPr="00154588">
              <w:rPr>
                <w:bCs/>
                <w:sz w:val="20"/>
                <w:szCs w:val="20"/>
              </w:rPr>
              <w:t>(c) sub responsabilitatea lor, prin delegare către astfel de autorități;</w:t>
            </w:r>
          </w:p>
          <w:p w14:paraId="3F4E4621" w14:textId="77777777" w:rsidR="00EB243D" w:rsidRPr="00154588" w:rsidRDefault="00EB243D" w:rsidP="008C12B4">
            <w:pPr>
              <w:jc w:val="both"/>
              <w:rPr>
                <w:bCs/>
                <w:sz w:val="20"/>
                <w:szCs w:val="20"/>
              </w:rPr>
            </w:pPr>
          </w:p>
          <w:p w14:paraId="440E8A6B" w14:textId="1DFB9D86" w:rsidR="00EB243D" w:rsidRPr="00154588" w:rsidRDefault="00EB243D" w:rsidP="008C12B4">
            <w:pPr>
              <w:jc w:val="both"/>
              <w:rPr>
                <w:bCs/>
                <w:sz w:val="20"/>
                <w:szCs w:val="20"/>
              </w:rPr>
            </w:pPr>
            <w:r w:rsidRPr="00154588">
              <w:rPr>
                <w:bCs/>
                <w:sz w:val="20"/>
                <w:szCs w:val="20"/>
              </w:rPr>
              <w:t>(d) prin sesizarea autorităților judiciare competente.</w:t>
            </w:r>
          </w:p>
        </w:tc>
        <w:tc>
          <w:tcPr>
            <w:tcW w:w="4819" w:type="dxa"/>
          </w:tcPr>
          <w:p w14:paraId="681AB5F3" w14:textId="761CA4B0" w:rsidR="00EB243D" w:rsidRPr="00154588" w:rsidRDefault="00EB243D"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314.</w:t>
            </w:r>
            <w:r w:rsidRPr="00154588">
              <w:rPr>
                <w:sz w:val="20"/>
                <w:szCs w:val="20"/>
              </w:rPr>
              <w:t xml:space="preserve"> </w:t>
            </w:r>
            <w:r w:rsidRPr="00154588">
              <w:rPr>
                <w:bCs/>
                <w:sz w:val="20"/>
                <w:szCs w:val="20"/>
              </w:rPr>
              <w:t xml:space="preserve">– </w:t>
            </w:r>
            <w:r w:rsidRPr="00154588">
              <w:rPr>
                <w:sz w:val="20"/>
                <w:szCs w:val="20"/>
              </w:rPr>
              <w:t>(6) Banca Naţională a Moldovei, în calitate de autoritate competentă şi de autoritate de rezoluţie, îşi exercită competenţele de aplicare a sancţiunilor şi măsurilor sancționatoare, potrivit prevederilor prezentei legi, în oricare dintre următoarele modalităţi:</w:t>
            </w:r>
          </w:p>
          <w:p w14:paraId="63C30929" w14:textId="77777777" w:rsidR="00EB243D" w:rsidRPr="00154588" w:rsidRDefault="00EB243D" w:rsidP="008C12B4">
            <w:pPr>
              <w:ind w:firstLine="567"/>
              <w:jc w:val="both"/>
              <w:rPr>
                <w:sz w:val="20"/>
                <w:szCs w:val="20"/>
              </w:rPr>
            </w:pPr>
            <w:r w:rsidRPr="00154588">
              <w:rPr>
                <w:sz w:val="20"/>
                <w:szCs w:val="20"/>
              </w:rPr>
              <w:t>a) în mod direct;</w:t>
            </w:r>
          </w:p>
          <w:p w14:paraId="4C435A96" w14:textId="77777777" w:rsidR="00EB243D" w:rsidRPr="00154588" w:rsidRDefault="00EB243D" w:rsidP="008C12B4">
            <w:pPr>
              <w:ind w:firstLine="567"/>
              <w:jc w:val="both"/>
              <w:rPr>
                <w:sz w:val="20"/>
                <w:szCs w:val="20"/>
              </w:rPr>
            </w:pPr>
            <w:r w:rsidRPr="00154588">
              <w:rPr>
                <w:sz w:val="20"/>
                <w:szCs w:val="20"/>
              </w:rPr>
              <w:t>b) în colaborare cu alte autorităţi;</w:t>
            </w:r>
          </w:p>
          <w:p w14:paraId="4EF70D86" w14:textId="77777777" w:rsidR="00EB243D" w:rsidRPr="00154588" w:rsidRDefault="00EB243D" w:rsidP="008C12B4">
            <w:pPr>
              <w:tabs>
                <w:tab w:val="left" w:pos="851"/>
              </w:tabs>
              <w:ind w:firstLine="567"/>
              <w:jc w:val="both"/>
              <w:rPr>
                <w:sz w:val="20"/>
                <w:szCs w:val="20"/>
              </w:rPr>
            </w:pPr>
            <w:r w:rsidRPr="00154588">
              <w:rPr>
                <w:sz w:val="20"/>
                <w:szCs w:val="20"/>
              </w:rPr>
              <w:t>c) prin delegarea competenţelor sale către alte autorităţi, cu păstrarea responsabilităţii pentru competenţele delegate;</w:t>
            </w:r>
          </w:p>
          <w:p w14:paraId="76CEB022" w14:textId="77777777" w:rsidR="00EB243D" w:rsidRPr="00154588" w:rsidRDefault="00EB243D" w:rsidP="008C12B4">
            <w:pPr>
              <w:ind w:firstLine="567"/>
              <w:jc w:val="both"/>
              <w:rPr>
                <w:sz w:val="20"/>
                <w:szCs w:val="20"/>
              </w:rPr>
            </w:pPr>
            <w:r w:rsidRPr="00154588">
              <w:rPr>
                <w:sz w:val="20"/>
                <w:szCs w:val="20"/>
              </w:rPr>
              <w:t>d) prin sesizarea autorităţilor judiciare competente.</w:t>
            </w:r>
          </w:p>
          <w:p w14:paraId="5DC0FFD5" w14:textId="77777777" w:rsidR="00EB243D" w:rsidRPr="00154588" w:rsidRDefault="00EB243D" w:rsidP="008C12B4">
            <w:pPr>
              <w:jc w:val="both"/>
              <w:rPr>
                <w:b/>
                <w:sz w:val="20"/>
                <w:szCs w:val="20"/>
              </w:rPr>
            </w:pPr>
          </w:p>
        </w:tc>
        <w:tc>
          <w:tcPr>
            <w:tcW w:w="2552" w:type="dxa"/>
          </w:tcPr>
          <w:p w14:paraId="7D10D398" w14:textId="5F721673" w:rsidR="00EB243D" w:rsidRPr="00154588" w:rsidRDefault="00EB243D" w:rsidP="008C12B4">
            <w:pPr>
              <w:jc w:val="both"/>
              <w:rPr>
                <w:b/>
                <w:sz w:val="20"/>
                <w:szCs w:val="20"/>
              </w:rPr>
            </w:pPr>
            <w:r w:rsidRPr="00154588">
              <w:rPr>
                <w:bCs/>
                <w:sz w:val="20"/>
                <w:szCs w:val="20"/>
              </w:rPr>
              <w:t>Compatibil</w:t>
            </w:r>
          </w:p>
        </w:tc>
        <w:tc>
          <w:tcPr>
            <w:tcW w:w="3118" w:type="dxa"/>
          </w:tcPr>
          <w:p w14:paraId="099264FC" w14:textId="77777777" w:rsidR="00EB243D" w:rsidRPr="00154588" w:rsidRDefault="00EB243D" w:rsidP="008C12B4">
            <w:pPr>
              <w:jc w:val="both"/>
              <w:rPr>
                <w:b/>
                <w:sz w:val="20"/>
                <w:szCs w:val="20"/>
              </w:rPr>
            </w:pPr>
          </w:p>
        </w:tc>
      </w:tr>
      <w:tr w:rsidR="00EB243D" w:rsidRPr="00154588" w14:paraId="5420D406" w14:textId="77777777" w:rsidTr="00D15C1B">
        <w:trPr>
          <w:jc w:val="center"/>
        </w:trPr>
        <w:tc>
          <w:tcPr>
            <w:tcW w:w="4957" w:type="dxa"/>
            <w:gridSpan w:val="2"/>
          </w:tcPr>
          <w:p w14:paraId="5ADDC522" w14:textId="77777777" w:rsidR="00EB243D" w:rsidRPr="00154588" w:rsidRDefault="00EB243D" w:rsidP="008C12B4">
            <w:pPr>
              <w:jc w:val="both"/>
              <w:rPr>
                <w:b/>
                <w:sz w:val="20"/>
                <w:szCs w:val="20"/>
              </w:rPr>
            </w:pPr>
            <w:r w:rsidRPr="00154588">
              <w:rPr>
                <w:b/>
                <w:sz w:val="20"/>
                <w:szCs w:val="20"/>
              </w:rPr>
              <w:t>Articolul 111</w:t>
            </w:r>
          </w:p>
          <w:p w14:paraId="653916D5" w14:textId="280A40FE" w:rsidR="00EB243D" w:rsidRPr="00154588" w:rsidRDefault="00EB243D" w:rsidP="008C12B4">
            <w:pPr>
              <w:jc w:val="both"/>
              <w:rPr>
                <w:bCs/>
                <w:sz w:val="20"/>
                <w:szCs w:val="20"/>
              </w:rPr>
            </w:pPr>
            <w:r w:rsidRPr="00154588">
              <w:rPr>
                <w:b/>
                <w:sz w:val="20"/>
                <w:szCs w:val="20"/>
              </w:rPr>
              <w:t>Dispoziții specifice</w:t>
            </w:r>
          </w:p>
        </w:tc>
        <w:tc>
          <w:tcPr>
            <w:tcW w:w="4819" w:type="dxa"/>
          </w:tcPr>
          <w:p w14:paraId="2CF6DB5B" w14:textId="77777777" w:rsidR="00EB243D" w:rsidRPr="00154588" w:rsidRDefault="00EB243D" w:rsidP="008C12B4">
            <w:pPr>
              <w:jc w:val="both"/>
              <w:rPr>
                <w:b/>
                <w:sz w:val="20"/>
                <w:szCs w:val="20"/>
              </w:rPr>
            </w:pPr>
          </w:p>
        </w:tc>
        <w:tc>
          <w:tcPr>
            <w:tcW w:w="2552" w:type="dxa"/>
          </w:tcPr>
          <w:p w14:paraId="5336198E" w14:textId="77777777" w:rsidR="00EB243D" w:rsidRPr="00154588" w:rsidRDefault="00EB243D" w:rsidP="008C12B4">
            <w:pPr>
              <w:jc w:val="both"/>
              <w:rPr>
                <w:b/>
                <w:sz w:val="20"/>
                <w:szCs w:val="20"/>
              </w:rPr>
            </w:pPr>
          </w:p>
        </w:tc>
        <w:tc>
          <w:tcPr>
            <w:tcW w:w="3118" w:type="dxa"/>
          </w:tcPr>
          <w:p w14:paraId="5D7F451C" w14:textId="77777777" w:rsidR="00EB243D" w:rsidRPr="00154588" w:rsidRDefault="00EB243D" w:rsidP="008C12B4">
            <w:pPr>
              <w:jc w:val="both"/>
              <w:rPr>
                <w:b/>
                <w:sz w:val="20"/>
                <w:szCs w:val="20"/>
              </w:rPr>
            </w:pPr>
          </w:p>
        </w:tc>
      </w:tr>
    </w:tbl>
    <w:tbl>
      <w:tblPr>
        <w:tblStyle w:val="ac"/>
        <w:tblpPr w:leftFromText="180" w:rightFromText="180" w:vertAnchor="text" w:horzAnchor="margin" w:tblpY="-719"/>
        <w:tblW w:w="15446" w:type="dxa"/>
        <w:tblLook w:val="04A0" w:firstRow="1" w:lastRow="0" w:firstColumn="1" w:lastColumn="0" w:noHBand="0" w:noVBand="1"/>
      </w:tblPr>
      <w:tblGrid>
        <w:gridCol w:w="4929"/>
        <w:gridCol w:w="4810"/>
        <w:gridCol w:w="55"/>
        <w:gridCol w:w="2490"/>
        <w:gridCol w:w="55"/>
        <w:gridCol w:w="3107"/>
      </w:tblGrid>
      <w:tr w:rsidR="00237069" w:rsidRPr="00154588" w14:paraId="5112649C" w14:textId="77777777" w:rsidTr="00237069">
        <w:tc>
          <w:tcPr>
            <w:tcW w:w="4929" w:type="dxa"/>
          </w:tcPr>
          <w:p w14:paraId="6AEA68BF" w14:textId="77777777" w:rsidR="00237069" w:rsidRPr="00154588" w:rsidRDefault="00237069" w:rsidP="008C12B4">
            <w:pPr>
              <w:jc w:val="both"/>
              <w:rPr>
                <w:bCs/>
                <w:sz w:val="20"/>
                <w:szCs w:val="20"/>
              </w:rPr>
            </w:pPr>
          </w:p>
          <w:p w14:paraId="2475C81C" w14:textId="35F09E01" w:rsidR="00237069" w:rsidRPr="00154588" w:rsidRDefault="00237069" w:rsidP="008C12B4">
            <w:pPr>
              <w:jc w:val="both"/>
              <w:rPr>
                <w:bCs/>
                <w:sz w:val="20"/>
                <w:szCs w:val="20"/>
              </w:rPr>
            </w:pPr>
            <w:r w:rsidRPr="00154588">
              <w:rPr>
                <w:bCs/>
                <w:sz w:val="20"/>
                <w:szCs w:val="20"/>
              </w:rPr>
              <w:t>1)   Statele membre se asigură că actele cu putere de lege și actele administrative naționale prevăd sancțiuni și alte măsuri administrative cel puțin pentru următoarele cazuri:</w:t>
            </w:r>
          </w:p>
          <w:p w14:paraId="558AA240" w14:textId="77777777" w:rsidR="00237069" w:rsidRPr="00154588" w:rsidRDefault="00237069" w:rsidP="008C12B4">
            <w:pPr>
              <w:jc w:val="both"/>
              <w:rPr>
                <w:bCs/>
                <w:sz w:val="20"/>
                <w:szCs w:val="20"/>
              </w:rPr>
            </w:pPr>
          </w:p>
          <w:p w14:paraId="427F6769" w14:textId="77777777" w:rsidR="00237069" w:rsidRPr="00154588" w:rsidRDefault="00237069" w:rsidP="008C12B4">
            <w:pPr>
              <w:jc w:val="both"/>
              <w:rPr>
                <w:bCs/>
                <w:sz w:val="20"/>
                <w:szCs w:val="20"/>
              </w:rPr>
            </w:pPr>
            <w:r w:rsidRPr="00154588">
              <w:rPr>
                <w:bCs/>
                <w:sz w:val="20"/>
                <w:szCs w:val="20"/>
              </w:rPr>
              <w:t>(a) nerespectarea obligației de a elabora, de a păstra și de a actualiza planul de redresare și planul de redresare a grupului, cu încălcarea dispozițiilor articolului 5 sau 7;</w:t>
            </w:r>
          </w:p>
          <w:p w14:paraId="2CAF1225" w14:textId="77777777" w:rsidR="00237069" w:rsidRPr="00154588" w:rsidRDefault="00237069" w:rsidP="008C12B4">
            <w:pPr>
              <w:jc w:val="both"/>
              <w:rPr>
                <w:bCs/>
                <w:sz w:val="20"/>
                <w:szCs w:val="20"/>
              </w:rPr>
            </w:pPr>
          </w:p>
          <w:p w14:paraId="5357D79A" w14:textId="77777777" w:rsidR="00237069" w:rsidRPr="00154588" w:rsidRDefault="00237069" w:rsidP="008C12B4">
            <w:pPr>
              <w:jc w:val="both"/>
              <w:rPr>
                <w:bCs/>
                <w:sz w:val="20"/>
                <w:szCs w:val="20"/>
              </w:rPr>
            </w:pPr>
            <w:r w:rsidRPr="00154588">
              <w:rPr>
                <w:bCs/>
                <w:sz w:val="20"/>
                <w:szCs w:val="20"/>
              </w:rPr>
              <w:t>(b) nerespectarea obligației de a notifica autorității competente intenția de a acorda sprijin financiar grupului, cu încălcarea dispozițiilor articolului 25;</w:t>
            </w:r>
          </w:p>
          <w:p w14:paraId="6BF717B1" w14:textId="77777777" w:rsidR="00237069" w:rsidRPr="00154588" w:rsidRDefault="00237069" w:rsidP="008C12B4">
            <w:pPr>
              <w:jc w:val="both"/>
              <w:rPr>
                <w:bCs/>
                <w:sz w:val="20"/>
                <w:szCs w:val="20"/>
              </w:rPr>
            </w:pPr>
          </w:p>
          <w:p w14:paraId="0154DEF6" w14:textId="77777777" w:rsidR="00237069" w:rsidRPr="00154588" w:rsidRDefault="00237069" w:rsidP="008C12B4">
            <w:pPr>
              <w:jc w:val="both"/>
              <w:rPr>
                <w:bCs/>
                <w:sz w:val="20"/>
                <w:szCs w:val="20"/>
              </w:rPr>
            </w:pPr>
            <w:r w:rsidRPr="00154588">
              <w:rPr>
                <w:bCs/>
                <w:sz w:val="20"/>
                <w:szCs w:val="20"/>
              </w:rPr>
              <w:t>(c) nerespectarea obligației de a furniza toate informațiile necesare pentru elaborarea planurilor de rezoluție, cu încălcarea dispozițiilor articolului 11;</w:t>
            </w:r>
          </w:p>
          <w:p w14:paraId="2FFA2802" w14:textId="77777777" w:rsidR="00237069" w:rsidRPr="00154588" w:rsidRDefault="00237069" w:rsidP="008C12B4">
            <w:pPr>
              <w:jc w:val="both"/>
              <w:rPr>
                <w:bCs/>
                <w:sz w:val="20"/>
                <w:szCs w:val="20"/>
              </w:rPr>
            </w:pPr>
          </w:p>
          <w:p w14:paraId="2ADDA7C0" w14:textId="77777777" w:rsidR="00237069" w:rsidRPr="00154588" w:rsidRDefault="00237069" w:rsidP="008C12B4">
            <w:pPr>
              <w:jc w:val="both"/>
              <w:rPr>
                <w:bCs/>
                <w:sz w:val="20"/>
                <w:szCs w:val="20"/>
              </w:rPr>
            </w:pPr>
            <w:r w:rsidRPr="00154588">
              <w:rPr>
                <w:bCs/>
                <w:sz w:val="20"/>
                <w:szCs w:val="20"/>
              </w:rPr>
              <w:t>(d) nerespectarea de către organul de conducere al unei instituții sau al unei entități menționate la articolul 1 alineatul (1) litera (b), (c) sau (d) a obligației de a notifica autorității competente faptul că instituția sau entitatea menționată la articolul 1 alineatul (1) litera (b), (c) sau (d) este în curs de a intra în dificultate sau este susceptibilă de a intra în dificultate, cu încălcarea dispozițiilor articolului 81 alineatul (1).</w:t>
            </w:r>
          </w:p>
          <w:p w14:paraId="1479399F" w14:textId="77777777" w:rsidR="00237069" w:rsidRPr="00154588" w:rsidRDefault="00237069" w:rsidP="008C12B4">
            <w:pPr>
              <w:jc w:val="both"/>
              <w:rPr>
                <w:bCs/>
                <w:sz w:val="20"/>
                <w:szCs w:val="20"/>
              </w:rPr>
            </w:pPr>
          </w:p>
          <w:p w14:paraId="09A441D3" w14:textId="77777777" w:rsidR="00237069" w:rsidRPr="00154588" w:rsidRDefault="00237069" w:rsidP="008C12B4">
            <w:pPr>
              <w:jc w:val="both"/>
              <w:rPr>
                <w:bCs/>
                <w:sz w:val="20"/>
                <w:szCs w:val="20"/>
              </w:rPr>
            </w:pPr>
            <w:r w:rsidRPr="00154588">
              <w:rPr>
                <w:bCs/>
                <w:sz w:val="20"/>
                <w:szCs w:val="20"/>
              </w:rPr>
              <w:t xml:space="preserve">(e) nerespectarea cerințelor menționate la articolul 44a; </w:t>
            </w:r>
          </w:p>
          <w:p w14:paraId="7D7DE832" w14:textId="77777777" w:rsidR="00237069" w:rsidRPr="00154588" w:rsidRDefault="00237069" w:rsidP="008C12B4">
            <w:pPr>
              <w:jc w:val="both"/>
              <w:rPr>
                <w:bCs/>
                <w:sz w:val="20"/>
                <w:szCs w:val="20"/>
              </w:rPr>
            </w:pPr>
          </w:p>
          <w:p w14:paraId="6241B29F" w14:textId="77777777" w:rsidR="00237069" w:rsidRPr="00154588" w:rsidRDefault="00237069" w:rsidP="008C12B4">
            <w:pPr>
              <w:jc w:val="both"/>
              <w:rPr>
                <w:bCs/>
                <w:sz w:val="20"/>
                <w:szCs w:val="20"/>
              </w:rPr>
            </w:pPr>
            <w:r w:rsidRPr="00154588">
              <w:rPr>
                <w:bCs/>
                <w:sz w:val="20"/>
                <w:szCs w:val="20"/>
              </w:rPr>
              <w:t>(f) nerespectarea cerinței minime de fonduri proprii și datorii eligibile menționate la articolul 45e sau 45f.</w:t>
            </w:r>
          </w:p>
        </w:tc>
        <w:tc>
          <w:tcPr>
            <w:tcW w:w="4865" w:type="dxa"/>
            <w:gridSpan w:val="2"/>
          </w:tcPr>
          <w:p w14:paraId="3F793FFC" w14:textId="77777777" w:rsidR="00237069" w:rsidRPr="00154588" w:rsidRDefault="00237069" w:rsidP="008C12B4">
            <w:pPr>
              <w:ind w:firstLine="567"/>
              <w:jc w:val="both"/>
              <w:rPr>
                <w:b/>
                <w:sz w:val="20"/>
                <w:szCs w:val="20"/>
              </w:rPr>
            </w:pPr>
          </w:p>
          <w:p w14:paraId="0D6E67F0" w14:textId="3DC1662A" w:rsidR="00237069" w:rsidRPr="00154588" w:rsidRDefault="00237069"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315.</w:t>
            </w:r>
            <w:r w:rsidRPr="00154588">
              <w:rPr>
                <w:sz w:val="20"/>
                <w:szCs w:val="20"/>
              </w:rPr>
              <w:t xml:space="preserve"> – (1) Banca Naţională a Moldovei, în calitate de autoritate de rezoluţie, are competenţa de a aplica sancţiunile şi măsurile sancționatoare prevăzute la art.316, față de entitățile pentru care este competentă potrivit prevederilor art.3 alin.(1), în cazul în care constată producerea următoarelor fapte, fără a se limita la acestea:</w:t>
            </w:r>
          </w:p>
          <w:p w14:paraId="5F96246C" w14:textId="77777777" w:rsidR="00237069" w:rsidRPr="00154588" w:rsidRDefault="00237069" w:rsidP="008C12B4">
            <w:pPr>
              <w:ind w:firstLine="567"/>
              <w:jc w:val="both"/>
              <w:rPr>
                <w:sz w:val="20"/>
                <w:szCs w:val="20"/>
              </w:rPr>
            </w:pPr>
            <w:r w:rsidRPr="00154588">
              <w:rPr>
                <w:sz w:val="20"/>
                <w:szCs w:val="20"/>
              </w:rPr>
              <w:t>a) nerespectarea deciziei Băncii Naţionale a Moldovei, adoptate în calitate de autoritate de rezoluţie, de trecere de la cerinţele simplificate la aplicarea integrală a cerinţelor prevăzute la art.9-22</w:t>
            </w:r>
            <w:r w:rsidRPr="00154588">
              <w:rPr>
                <w:sz w:val="20"/>
                <w:szCs w:val="20"/>
                <w:vertAlign w:val="superscript"/>
              </w:rPr>
              <w:t>20</w:t>
            </w:r>
            <w:r w:rsidRPr="00154588">
              <w:rPr>
                <w:sz w:val="20"/>
                <w:szCs w:val="20"/>
              </w:rPr>
              <w:t xml:space="preserve"> şi art.23-31</w:t>
            </w:r>
            <w:r w:rsidRPr="00154588">
              <w:rPr>
                <w:sz w:val="20"/>
                <w:szCs w:val="20"/>
                <w:vertAlign w:val="superscript"/>
              </w:rPr>
              <w:t>24</w:t>
            </w:r>
            <w:r w:rsidRPr="00154588">
              <w:rPr>
                <w:sz w:val="20"/>
                <w:szCs w:val="20"/>
              </w:rPr>
              <w:t>, precum şi a termenului de conformare;</w:t>
            </w:r>
          </w:p>
          <w:p w14:paraId="1E0032F4" w14:textId="77777777" w:rsidR="00237069" w:rsidRPr="00154588" w:rsidRDefault="00237069" w:rsidP="008C12B4">
            <w:pPr>
              <w:ind w:firstLine="567"/>
              <w:jc w:val="both"/>
              <w:rPr>
                <w:sz w:val="20"/>
                <w:szCs w:val="20"/>
              </w:rPr>
            </w:pPr>
            <w:r w:rsidRPr="00154588">
              <w:rPr>
                <w:sz w:val="20"/>
                <w:szCs w:val="20"/>
              </w:rPr>
              <w:t>b) nerespectarea obligaţiei de acordare de asistenţă Băncii Naţionale a Moldovei la elaborarea şi actualizarea planului de rezoluţie, prevăzute la art.27;</w:t>
            </w:r>
          </w:p>
          <w:p w14:paraId="08AF8DD1" w14:textId="77777777" w:rsidR="00237069" w:rsidRPr="00154588" w:rsidRDefault="00237069" w:rsidP="008C12B4">
            <w:pPr>
              <w:ind w:firstLine="567"/>
              <w:jc w:val="both"/>
              <w:rPr>
                <w:sz w:val="20"/>
                <w:szCs w:val="20"/>
              </w:rPr>
            </w:pPr>
            <w:r w:rsidRPr="00154588">
              <w:rPr>
                <w:sz w:val="20"/>
                <w:szCs w:val="20"/>
              </w:rPr>
              <w:t>c) nerespectarea obligaţiei de informare a Băncii Naţionale a Moldovei asupra oricărei modificări care ar putea impune o reevaluare sau o modificare a planurilor, prevăzute la art.28 alin.(2);</w:t>
            </w:r>
          </w:p>
          <w:p w14:paraId="51E02FDD" w14:textId="77777777" w:rsidR="00237069" w:rsidRPr="00154588" w:rsidRDefault="00237069" w:rsidP="008C12B4">
            <w:pPr>
              <w:ind w:firstLine="567"/>
              <w:jc w:val="both"/>
              <w:rPr>
                <w:sz w:val="20"/>
                <w:szCs w:val="20"/>
              </w:rPr>
            </w:pPr>
            <w:r w:rsidRPr="00154588">
              <w:rPr>
                <w:sz w:val="20"/>
                <w:szCs w:val="20"/>
              </w:rPr>
              <w:t>d) nerespectarea obligaţiei de păstrare şi/sau de furnizare a evidenţelor contractelor financiare încheiate de acestea, prevăzute la art.30 alin.(1);</w:t>
            </w:r>
          </w:p>
          <w:p w14:paraId="2099202E" w14:textId="77777777" w:rsidR="00237069" w:rsidRPr="00154588" w:rsidRDefault="00237069" w:rsidP="008C12B4">
            <w:pPr>
              <w:ind w:firstLine="567"/>
              <w:jc w:val="both"/>
              <w:rPr>
                <w:sz w:val="20"/>
                <w:szCs w:val="20"/>
              </w:rPr>
            </w:pPr>
            <w:r w:rsidRPr="00154588">
              <w:rPr>
                <w:sz w:val="20"/>
                <w:szCs w:val="20"/>
              </w:rPr>
              <w:t>e) nerespectarea obligaţiilor de cooperare şi furnizare a tuturor informaţiilor necesare pentru elaborarea planurilor de rezoluţie, inclusiv a informaţiilor şi analizelor prevăzute în secţiunea B din anexă, prevăzute la art.31 alin.(1);</w:t>
            </w:r>
          </w:p>
          <w:p w14:paraId="2D7457F5" w14:textId="77777777" w:rsidR="00237069" w:rsidRPr="00154588" w:rsidRDefault="00237069" w:rsidP="008C12B4">
            <w:pPr>
              <w:ind w:firstLine="567"/>
              <w:jc w:val="both"/>
              <w:rPr>
                <w:sz w:val="20"/>
                <w:szCs w:val="20"/>
              </w:rPr>
            </w:pPr>
            <w:r w:rsidRPr="00154588">
              <w:rPr>
                <w:sz w:val="20"/>
                <w:szCs w:val="20"/>
              </w:rPr>
              <w:t>f) nerespectarea obligaţiilor privind transmiterea propunerilor de măsuri avînd ca scop gestionarea sau înlăturarea obstacolelor, prevăzute la art.37 alin.(1), respectiv a planului de conformare la măsurile alternative impuse de Banca Naţională a Moldovei, prevăzute la art.38 alin.(1);</w:t>
            </w:r>
          </w:p>
          <w:p w14:paraId="635F2446" w14:textId="77777777" w:rsidR="00237069" w:rsidRPr="00154588" w:rsidRDefault="00237069" w:rsidP="008C12B4">
            <w:pPr>
              <w:ind w:firstLine="567"/>
              <w:jc w:val="both"/>
              <w:rPr>
                <w:sz w:val="20"/>
                <w:szCs w:val="20"/>
              </w:rPr>
            </w:pPr>
            <w:r w:rsidRPr="00154588">
              <w:rPr>
                <w:sz w:val="20"/>
                <w:szCs w:val="20"/>
              </w:rPr>
              <w:t>g) nerespectarea oricăreia dintre măsurile dispuse de Banca Naţională a Moldovei potrivit prevederilor art.39, de către destinatarii acestora;</w:t>
            </w:r>
          </w:p>
          <w:p w14:paraId="53FF7C34" w14:textId="77777777" w:rsidR="00237069" w:rsidRPr="00154588" w:rsidRDefault="00237069" w:rsidP="008C12B4">
            <w:pPr>
              <w:ind w:firstLine="567"/>
              <w:jc w:val="both"/>
              <w:rPr>
                <w:sz w:val="20"/>
                <w:szCs w:val="20"/>
              </w:rPr>
            </w:pPr>
            <w:r w:rsidRPr="00154588">
              <w:rPr>
                <w:sz w:val="20"/>
                <w:szCs w:val="20"/>
              </w:rPr>
              <w:t>h) nerespectarea solicitării de contactare a potenţialilor cumpărători sau a condiţiilor de contactare a potenţialilor cumpărători, potrivit prevederilor art.43;</w:t>
            </w:r>
          </w:p>
          <w:p w14:paraId="0B4CAA84" w14:textId="77777777" w:rsidR="00237069" w:rsidRPr="00154588" w:rsidRDefault="00237069" w:rsidP="008C12B4">
            <w:pPr>
              <w:ind w:firstLine="567"/>
              <w:jc w:val="both"/>
              <w:rPr>
                <w:sz w:val="20"/>
                <w:szCs w:val="20"/>
              </w:rPr>
            </w:pPr>
            <w:r w:rsidRPr="00154588">
              <w:rPr>
                <w:sz w:val="20"/>
                <w:szCs w:val="20"/>
              </w:rPr>
              <w:t>i) nerespectarea cerinţei de a demonstra că orice decizie a autorităţii de rezoluţie de a reduce sau converti valoarea unei datorii reglementate de legislaţia unui alt stat putea fi aplicată, prevăzute la art.169;</w:t>
            </w:r>
          </w:p>
          <w:p w14:paraId="17363258" w14:textId="77777777" w:rsidR="00237069" w:rsidRPr="00154588" w:rsidRDefault="00237069" w:rsidP="008C12B4">
            <w:pPr>
              <w:ind w:firstLine="567"/>
              <w:jc w:val="both"/>
              <w:rPr>
                <w:sz w:val="20"/>
                <w:szCs w:val="20"/>
              </w:rPr>
            </w:pPr>
            <w:r w:rsidRPr="00154588">
              <w:rPr>
                <w:sz w:val="20"/>
                <w:szCs w:val="20"/>
              </w:rPr>
              <w:lastRenderedPageBreak/>
              <w:t>j) nerespectarea cerinţelor minime de fonduri proprii şi datorii eligibile;</w:t>
            </w:r>
          </w:p>
          <w:p w14:paraId="153609C7" w14:textId="77777777" w:rsidR="00237069" w:rsidRPr="00154588" w:rsidRDefault="00237069" w:rsidP="008C12B4">
            <w:pPr>
              <w:ind w:firstLine="567"/>
              <w:jc w:val="both"/>
              <w:rPr>
                <w:sz w:val="20"/>
                <w:szCs w:val="20"/>
              </w:rPr>
            </w:pPr>
            <w:r w:rsidRPr="00154588">
              <w:rPr>
                <w:sz w:val="20"/>
                <w:szCs w:val="20"/>
              </w:rPr>
              <w:t>k) nerespectarea de către organul de conducere  a obligaţiilor privind elaborarea, prezentarea, modificarea, punerea în aplicare sau revizuirea planului de reorganizare;</w:t>
            </w:r>
          </w:p>
          <w:p w14:paraId="5521C66C" w14:textId="77777777" w:rsidR="00237069" w:rsidRPr="00154588" w:rsidRDefault="00237069" w:rsidP="008C12B4">
            <w:pPr>
              <w:ind w:firstLine="567"/>
              <w:jc w:val="both"/>
              <w:rPr>
                <w:sz w:val="20"/>
                <w:szCs w:val="20"/>
              </w:rPr>
            </w:pPr>
            <w:r w:rsidRPr="00154588">
              <w:rPr>
                <w:sz w:val="20"/>
                <w:szCs w:val="20"/>
              </w:rPr>
              <w:t>l) nerespectarea obligaţiilor referitoare la emiterea instrumentelor de fonduri proprii de bază, sau de deţinere a unei autorizaţii prealabile în acest scop;</w:t>
            </w:r>
          </w:p>
          <w:p w14:paraId="0BC600BE" w14:textId="77777777" w:rsidR="00237069" w:rsidRPr="00154588" w:rsidRDefault="00237069" w:rsidP="008C12B4">
            <w:pPr>
              <w:ind w:firstLine="567"/>
              <w:jc w:val="both"/>
              <w:rPr>
                <w:sz w:val="20"/>
                <w:szCs w:val="20"/>
              </w:rPr>
            </w:pPr>
            <w:r w:rsidRPr="00154588">
              <w:rPr>
                <w:sz w:val="20"/>
                <w:szCs w:val="20"/>
              </w:rPr>
              <w:t>m) nerespectarea obligaţiei de furnizare a informaţiilor şi asistenţei, prevăzute la art.233;</w:t>
            </w:r>
          </w:p>
          <w:p w14:paraId="461734E4" w14:textId="77777777" w:rsidR="00237069" w:rsidRPr="00154588" w:rsidRDefault="00237069" w:rsidP="008C12B4">
            <w:pPr>
              <w:ind w:firstLine="567"/>
              <w:jc w:val="both"/>
              <w:rPr>
                <w:sz w:val="20"/>
                <w:szCs w:val="20"/>
              </w:rPr>
            </w:pPr>
            <w:r w:rsidRPr="00154588">
              <w:rPr>
                <w:sz w:val="20"/>
                <w:szCs w:val="20"/>
              </w:rPr>
              <w:t>n) nerespectarea obligaţiei de furnizare a serviciilor şi facilităţilor necesare, prevăzute la art.236;</w:t>
            </w:r>
          </w:p>
          <w:p w14:paraId="0354EDB1" w14:textId="77777777" w:rsidR="00237069" w:rsidRPr="00154588" w:rsidRDefault="00237069" w:rsidP="008C12B4">
            <w:pPr>
              <w:ind w:firstLine="567"/>
              <w:jc w:val="both"/>
              <w:rPr>
                <w:sz w:val="20"/>
                <w:szCs w:val="20"/>
              </w:rPr>
            </w:pPr>
            <w:r w:rsidRPr="00154588">
              <w:rPr>
                <w:sz w:val="20"/>
                <w:szCs w:val="20"/>
              </w:rPr>
              <w:t>o) nerespectarea obligaţiilor de raportare şi/sau de plată a contribuţiei prevăzute la art.307;</w:t>
            </w:r>
          </w:p>
          <w:p w14:paraId="6C2F5120" w14:textId="77777777" w:rsidR="00237069" w:rsidRPr="00154588" w:rsidRDefault="00237069" w:rsidP="008C12B4">
            <w:pPr>
              <w:ind w:firstLine="567"/>
              <w:jc w:val="both"/>
              <w:rPr>
                <w:sz w:val="20"/>
                <w:szCs w:val="20"/>
              </w:rPr>
            </w:pPr>
            <w:r w:rsidRPr="00154588">
              <w:rPr>
                <w:sz w:val="20"/>
                <w:szCs w:val="20"/>
              </w:rPr>
              <w:t>p) nerespectarea obligaţiilor de plată a contribuţiei anuale sau extraordinare, potrivit art.310.</w:t>
            </w:r>
          </w:p>
          <w:p w14:paraId="5AAD45B2" w14:textId="333D7227" w:rsidR="00237069" w:rsidRPr="00154588" w:rsidRDefault="00237069" w:rsidP="008C12B4">
            <w:pPr>
              <w:ind w:firstLine="567"/>
              <w:jc w:val="both"/>
              <w:rPr>
                <w:bCs/>
                <w:sz w:val="20"/>
                <w:szCs w:val="20"/>
              </w:rPr>
            </w:pPr>
            <w:r w:rsidRPr="00154588">
              <w:rPr>
                <w:sz w:val="20"/>
                <w:szCs w:val="20"/>
              </w:rPr>
              <w:t xml:space="preserve"> q)</w:t>
            </w:r>
            <w:r w:rsidRPr="00154588">
              <w:rPr>
                <w:bCs/>
                <w:sz w:val="20"/>
                <w:szCs w:val="20"/>
              </w:rPr>
              <w:t xml:space="preserve"> </w:t>
            </w:r>
            <w:r w:rsidR="007F5746" w:rsidRPr="00154588">
              <w:rPr>
                <w:bCs/>
                <w:sz w:val="20"/>
                <w:szCs w:val="20"/>
              </w:rPr>
              <w:t xml:space="preserve"> nerespectarea cerințelor menționate la art.167</w:t>
            </w:r>
            <w:r w:rsidR="007F5746" w:rsidRPr="00154588">
              <w:rPr>
                <w:bCs/>
                <w:sz w:val="20"/>
                <w:szCs w:val="20"/>
                <w:vertAlign w:val="superscript"/>
              </w:rPr>
              <w:t>1</w:t>
            </w:r>
            <w:r w:rsidR="007F5746" w:rsidRPr="00154588">
              <w:rPr>
                <w:bCs/>
                <w:sz w:val="20"/>
                <w:szCs w:val="20"/>
              </w:rPr>
              <w:t>;</w:t>
            </w:r>
          </w:p>
          <w:p w14:paraId="6E4830CF" w14:textId="7CA01D98" w:rsidR="00237069" w:rsidRPr="00154588" w:rsidRDefault="00237069" w:rsidP="008C12B4">
            <w:pPr>
              <w:ind w:firstLine="567"/>
              <w:jc w:val="both"/>
              <w:rPr>
                <w:sz w:val="20"/>
                <w:szCs w:val="20"/>
              </w:rPr>
            </w:pPr>
            <w:r w:rsidRPr="00154588">
              <w:rPr>
                <w:bCs/>
                <w:sz w:val="20"/>
                <w:szCs w:val="20"/>
              </w:rPr>
              <w:t>r) nerespectarea cerinței minime de fonduri proprii și datorii eligibile menționate la art.167</w:t>
            </w:r>
            <w:r w:rsidRPr="00154588">
              <w:rPr>
                <w:bCs/>
                <w:sz w:val="20"/>
                <w:szCs w:val="20"/>
                <w:vertAlign w:val="superscript"/>
              </w:rPr>
              <w:t>14</w:t>
            </w:r>
            <w:r w:rsidRPr="00154588">
              <w:rPr>
                <w:bCs/>
                <w:sz w:val="20"/>
                <w:szCs w:val="20"/>
              </w:rPr>
              <w:t xml:space="preserve"> sau 167</w:t>
            </w:r>
            <w:r w:rsidRPr="00154588">
              <w:rPr>
                <w:bCs/>
                <w:sz w:val="20"/>
                <w:szCs w:val="20"/>
                <w:vertAlign w:val="superscript"/>
              </w:rPr>
              <w:t>15</w:t>
            </w:r>
            <w:r w:rsidRPr="00154588">
              <w:rPr>
                <w:bCs/>
                <w:sz w:val="20"/>
                <w:szCs w:val="20"/>
              </w:rPr>
              <w:t>-167</w:t>
            </w:r>
            <w:r w:rsidRPr="00154588">
              <w:rPr>
                <w:bCs/>
                <w:sz w:val="20"/>
                <w:szCs w:val="20"/>
                <w:vertAlign w:val="superscript"/>
              </w:rPr>
              <w:t>19</w:t>
            </w:r>
            <w:r w:rsidR="007F5746" w:rsidRPr="00154588">
              <w:rPr>
                <w:bCs/>
                <w:sz w:val="20"/>
                <w:szCs w:val="20"/>
              </w:rPr>
              <w:t>;</w:t>
            </w:r>
          </w:p>
          <w:p w14:paraId="6285739A" w14:textId="77777777" w:rsidR="00237069" w:rsidRPr="00154588" w:rsidRDefault="00237069" w:rsidP="008C12B4">
            <w:pPr>
              <w:ind w:firstLine="567"/>
              <w:jc w:val="both"/>
              <w:rPr>
                <w:sz w:val="20"/>
                <w:szCs w:val="20"/>
              </w:rPr>
            </w:pPr>
            <w:r w:rsidRPr="00154588">
              <w:rPr>
                <w:sz w:val="20"/>
                <w:szCs w:val="20"/>
              </w:rPr>
              <w:t>(2) Banca Naţională a Moldovei, în calitate de autoritate competentă, are competenţa de a aplica sancţiunile şi măsurile sancționatoare prevăzute la art.316, în următoarele situaţii:</w:t>
            </w:r>
          </w:p>
          <w:p w14:paraId="34B0C545" w14:textId="77777777" w:rsidR="00237069" w:rsidRPr="00154588" w:rsidRDefault="00237069" w:rsidP="008C12B4">
            <w:pPr>
              <w:ind w:firstLine="567"/>
              <w:jc w:val="both"/>
              <w:rPr>
                <w:sz w:val="20"/>
                <w:szCs w:val="20"/>
              </w:rPr>
            </w:pPr>
            <w:r w:rsidRPr="00154588">
              <w:rPr>
                <w:sz w:val="20"/>
                <w:szCs w:val="20"/>
              </w:rPr>
              <w:t>a) nerespectarea deciziei Băncii Naţionale a Moldovei, adoptate în calitate de autoritate competentă, de trecere de la cerinţele simplificate la aplicarea integrală a cerinţelor prevăzute la art.9-22</w:t>
            </w:r>
            <w:r w:rsidRPr="00154588">
              <w:rPr>
                <w:sz w:val="20"/>
                <w:szCs w:val="20"/>
                <w:vertAlign w:val="superscript"/>
              </w:rPr>
              <w:t>20</w:t>
            </w:r>
            <w:r w:rsidRPr="00154588">
              <w:rPr>
                <w:sz w:val="20"/>
                <w:szCs w:val="20"/>
              </w:rPr>
              <w:t xml:space="preserve"> şi art.23-31</w:t>
            </w:r>
            <w:r w:rsidRPr="00154588">
              <w:rPr>
                <w:sz w:val="20"/>
                <w:szCs w:val="20"/>
                <w:vertAlign w:val="superscript"/>
              </w:rPr>
              <w:t>24</w:t>
            </w:r>
            <w:r w:rsidRPr="00154588">
              <w:rPr>
                <w:sz w:val="20"/>
                <w:szCs w:val="20"/>
              </w:rPr>
              <w:t>, precum şi a termenului de conformare;</w:t>
            </w:r>
          </w:p>
          <w:p w14:paraId="7C8CB83C" w14:textId="77777777" w:rsidR="00237069" w:rsidRPr="00154588" w:rsidRDefault="00237069" w:rsidP="008C12B4">
            <w:pPr>
              <w:ind w:firstLine="567"/>
              <w:jc w:val="both"/>
              <w:rPr>
                <w:sz w:val="20"/>
                <w:szCs w:val="20"/>
              </w:rPr>
            </w:pPr>
            <w:r w:rsidRPr="00154588">
              <w:rPr>
                <w:sz w:val="20"/>
                <w:szCs w:val="20"/>
              </w:rPr>
              <w:t>b) nerespectarea obligaţiilor privind elaborarea, menţinerea, actualizarea, modificarea şi transmiterea planurilor de redresare;</w:t>
            </w:r>
          </w:p>
          <w:p w14:paraId="3D84E3A3" w14:textId="77777777" w:rsidR="00237069" w:rsidRPr="00154588" w:rsidRDefault="00237069" w:rsidP="008C12B4">
            <w:pPr>
              <w:ind w:firstLine="567"/>
              <w:jc w:val="both"/>
              <w:rPr>
                <w:sz w:val="20"/>
                <w:szCs w:val="20"/>
              </w:rPr>
            </w:pPr>
            <w:r w:rsidRPr="00154588">
              <w:rPr>
                <w:sz w:val="20"/>
                <w:szCs w:val="20"/>
              </w:rPr>
              <w:t>c) nerespectarea obligaţiei de păstrare a evidenţelor contractelor financiare;</w:t>
            </w:r>
          </w:p>
          <w:p w14:paraId="2E1DB836" w14:textId="77777777" w:rsidR="00237069" w:rsidRPr="00154588" w:rsidRDefault="00237069" w:rsidP="008C12B4">
            <w:pPr>
              <w:ind w:firstLine="567"/>
              <w:jc w:val="both"/>
              <w:rPr>
                <w:sz w:val="20"/>
                <w:szCs w:val="20"/>
              </w:rPr>
            </w:pPr>
            <w:r w:rsidRPr="00154588">
              <w:rPr>
                <w:sz w:val="20"/>
                <w:szCs w:val="20"/>
              </w:rPr>
              <w:t>d) nerespectarea obligaţiei de stabilire şi includere în planurile de redresare a indicatorilor pentru monitorizare;</w:t>
            </w:r>
          </w:p>
          <w:p w14:paraId="4530BAD8" w14:textId="77777777" w:rsidR="00237069" w:rsidRPr="00154588" w:rsidRDefault="00237069" w:rsidP="008C12B4">
            <w:pPr>
              <w:ind w:firstLine="567"/>
              <w:jc w:val="both"/>
              <w:rPr>
                <w:sz w:val="20"/>
                <w:szCs w:val="20"/>
              </w:rPr>
            </w:pPr>
            <w:r w:rsidRPr="00154588">
              <w:rPr>
                <w:sz w:val="20"/>
                <w:szCs w:val="20"/>
              </w:rPr>
              <w:t>e) nerespectarea de către conducerea superioară și organul de conducere a obligaţiei de a notifica decizia de a lua sau nu o măsură prevăzută în planul de redresare;</w:t>
            </w:r>
          </w:p>
          <w:p w14:paraId="797CD864" w14:textId="77777777" w:rsidR="00237069" w:rsidRPr="00154588" w:rsidRDefault="00237069" w:rsidP="008C12B4">
            <w:pPr>
              <w:ind w:firstLine="567"/>
              <w:jc w:val="both"/>
              <w:rPr>
                <w:sz w:val="20"/>
                <w:szCs w:val="20"/>
              </w:rPr>
            </w:pPr>
            <w:r w:rsidRPr="00154588">
              <w:rPr>
                <w:sz w:val="20"/>
                <w:szCs w:val="20"/>
              </w:rPr>
              <w:lastRenderedPageBreak/>
              <w:t>f) nerespectarea măsurilor dispuse de Banca Naţională a Moldovei potrivit prevederilor art.42, de către destinatarii acestora;</w:t>
            </w:r>
          </w:p>
          <w:p w14:paraId="4586720F" w14:textId="77777777" w:rsidR="00237069" w:rsidRPr="00154588" w:rsidRDefault="00237069" w:rsidP="008C12B4">
            <w:pPr>
              <w:ind w:firstLine="567"/>
              <w:jc w:val="both"/>
              <w:rPr>
                <w:sz w:val="20"/>
                <w:szCs w:val="20"/>
              </w:rPr>
            </w:pPr>
            <w:r w:rsidRPr="00154588">
              <w:rPr>
                <w:sz w:val="20"/>
                <w:szCs w:val="20"/>
              </w:rPr>
              <w:t>g) nerespectarea solicitării formulate de Banca Naţională a Moldovei conform art.45, de înlocuire a conducerii superioare și a organului de conducere, în ansamblul său, ori a unor membri ai acestuia;</w:t>
            </w:r>
          </w:p>
          <w:p w14:paraId="51D27B7F" w14:textId="77777777" w:rsidR="00237069" w:rsidRPr="00154588" w:rsidRDefault="00237069" w:rsidP="008C12B4">
            <w:pPr>
              <w:ind w:firstLine="567"/>
              <w:jc w:val="both"/>
              <w:rPr>
                <w:sz w:val="20"/>
                <w:szCs w:val="20"/>
              </w:rPr>
            </w:pPr>
            <w:r w:rsidRPr="00154588">
              <w:rPr>
                <w:sz w:val="20"/>
                <w:szCs w:val="20"/>
              </w:rPr>
              <w:t>h) nerespectarea de către conducerea superioară și organul de conducere  a obligaţiei de a se consulta cu administratorul temporar sau de a obţine acordul acestuia înainte de a lua anumite decizii sau de a întreprinde anumite acţiuni, prevăzute la art.46;</w:t>
            </w:r>
          </w:p>
          <w:p w14:paraId="12D88D02" w14:textId="77777777" w:rsidR="00237069" w:rsidRPr="00154588" w:rsidRDefault="00237069" w:rsidP="008C12B4">
            <w:pPr>
              <w:ind w:firstLine="567"/>
              <w:jc w:val="both"/>
              <w:rPr>
                <w:sz w:val="20"/>
                <w:szCs w:val="20"/>
              </w:rPr>
            </w:pPr>
            <w:r w:rsidRPr="00154588">
              <w:rPr>
                <w:sz w:val="20"/>
                <w:szCs w:val="20"/>
              </w:rPr>
              <w:t>i) nerespectarea de către organul de conducere a obligaţiei de notificare cu privire la faptul că acestea intră sau sunt susceptibile de a intra în stare de dificultate, prevăzute la art.277.</w:t>
            </w:r>
          </w:p>
          <w:p w14:paraId="18A63F59" w14:textId="77777777" w:rsidR="00237069" w:rsidRPr="00154588" w:rsidRDefault="00237069" w:rsidP="008C12B4">
            <w:pPr>
              <w:ind w:firstLine="708"/>
              <w:jc w:val="both"/>
              <w:rPr>
                <w:sz w:val="20"/>
                <w:szCs w:val="20"/>
              </w:rPr>
            </w:pPr>
            <w:r w:rsidRPr="00154588">
              <w:rPr>
                <w:sz w:val="20"/>
                <w:szCs w:val="20"/>
              </w:rPr>
              <w:t>j) nerespectarea de către entitățile din grup, persoane juridice în Republica Moldova, respectiv de către organele de conducere ale acestora a obligațiilor incidente în cazul încheierii unui acord de sprijin financiar intragrup, în cazul acordării sprijinului financiar, precum și a obligațiilor de transparență privind participarea într-un acord de sprijin financiar, prevăzute la art.41</w:t>
            </w:r>
            <w:r w:rsidRPr="00154588">
              <w:rPr>
                <w:sz w:val="20"/>
                <w:szCs w:val="20"/>
                <w:vertAlign w:val="superscript"/>
              </w:rPr>
              <w:t>14</w:t>
            </w:r>
            <w:r w:rsidRPr="00154588">
              <w:rPr>
                <w:sz w:val="20"/>
                <w:szCs w:val="20"/>
              </w:rPr>
              <w:t>, 41</w:t>
            </w:r>
            <w:r w:rsidRPr="00154588">
              <w:rPr>
                <w:sz w:val="20"/>
                <w:szCs w:val="20"/>
                <w:vertAlign w:val="superscript"/>
              </w:rPr>
              <w:t>15</w:t>
            </w:r>
            <w:r w:rsidRPr="00154588">
              <w:rPr>
                <w:sz w:val="20"/>
                <w:szCs w:val="20"/>
              </w:rPr>
              <w:t>, 41</w:t>
            </w:r>
            <w:r w:rsidRPr="00154588">
              <w:rPr>
                <w:sz w:val="20"/>
                <w:szCs w:val="20"/>
                <w:vertAlign w:val="superscript"/>
              </w:rPr>
              <w:t>18</w:t>
            </w:r>
            <w:r w:rsidRPr="00154588">
              <w:rPr>
                <w:sz w:val="20"/>
                <w:szCs w:val="20"/>
              </w:rPr>
              <w:t>, 41</w:t>
            </w:r>
            <w:r w:rsidRPr="00154588">
              <w:rPr>
                <w:sz w:val="20"/>
                <w:szCs w:val="20"/>
                <w:vertAlign w:val="superscript"/>
              </w:rPr>
              <w:t>27</w:t>
            </w:r>
            <w:r w:rsidRPr="00154588">
              <w:rPr>
                <w:sz w:val="20"/>
                <w:szCs w:val="20"/>
              </w:rPr>
              <w:t>, 41</w:t>
            </w:r>
            <w:r w:rsidRPr="00154588">
              <w:rPr>
                <w:sz w:val="20"/>
                <w:szCs w:val="20"/>
                <w:vertAlign w:val="superscript"/>
              </w:rPr>
              <w:t>29</w:t>
            </w:r>
            <w:r w:rsidRPr="00154588">
              <w:rPr>
                <w:sz w:val="20"/>
                <w:szCs w:val="20"/>
              </w:rPr>
              <w:t>, 41</w:t>
            </w:r>
            <w:r w:rsidRPr="00154588">
              <w:rPr>
                <w:sz w:val="20"/>
                <w:szCs w:val="20"/>
                <w:vertAlign w:val="superscript"/>
              </w:rPr>
              <w:t>30</w:t>
            </w:r>
            <w:r w:rsidRPr="00154588">
              <w:rPr>
                <w:sz w:val="20"/>
                <w:szCs w:val="20"/>
              </w:rPr>
              <w:t> și 41</w:t>
            </w:r>
            <w:r w:rsidRPr="00154588">
              <w:rPr>
                <w:sz w:val="20"/>
                <w:szCs w:val="20"/>
                <w:vertAlign w:val="superscript"/>
              </w:rPr>
              <w:t>35</w:t>
            </w:r>
            <w:r w:rsidRPr="00154588">
              <w:rPr>
                <w:sz w:val="20"/>
                <w:szCs w:val="20"/>
              </w:rPr>
              <w:t>.</w:t>
            </w:r>
          </w:p>
          <w:p w14:paraId="3CD906F5" w14:textId="77777777" w:rsidR="00237069" w:rsidRPr="00154588" w:rsidRDefault="00237069" w:rsidP="008C12B4">
            <w:pPr>
              <w:jc w:val="both"/>
              <w:rPr>
                <w:b/>
                <w:sz w:val="20"/>
                <w:szCs w:val="20"/>
              </w:rPr>
            </w:pPr>
          </w:p>
        </w:tc>
        <w:tc>
          <w:tcPr>
            <w:tcW w:w="2545" w:type="dxa"/>
            <w:gridSpan w:val="2"/>
          </w:tcPr>
          <w:p w14:paraId="6CECC5BC" w14:textId="77777777" w:rsidR="00237069" w:rsidRPr="00154588" w:rsidRDefault="00237069" w:rsidP="008C12B4">
            <w:pPr>
              <w:jc w:val="both"/>
              <w:rPr>
                <w:b/>
                <w:sz w:val="20"/>
                <w:szCs w:val="20"/>
              </w:rPr>
            </w:pPr>
            <w:r w:rsidRPr="00154588">
              <w:rPr>
                <w:bCs/>
                <w:sz w:val="20"/>
                <w:szCs w:val="20"/>
              </w:rPr>
              <w:lastRenderedPageBreak/>
              <w:t>Compatibil</w:t>
            </w:r>
          </w:p>
        </w:tc>
        <w:tc>
          <w:tcPr>
            <w:tcW w:w="3107" w:type="dxa"/>
          </w:tcPr>
          <w:p w14:paraId="526AAA3E" w14:textId="77777777" w:rsidR="00237069" w:rsidRPr="00154588" w:rsidRDefault="00237069" w:rsidP="008C12B4">
            <w:pPr>
              <w:jc w:val="both"/>
              <w:rPr>
                <w:b/>
                <w:sz w:val="20"/>
                <w:szCs w:val="20"/>
              </w:rPr>
            </w:pPr>
          </w:p>
          <w:p w14:paraId="6111EA8F" w14:textId="77777777" w:rsidR="00237069" w:rsidRPr="00154588" w:rsidRDefault="00237069" w:rsidP="008C12B4">
            <w:pPr>
              <w:jc w:val="both"/>
              <w:rPr>
                <w:b/>
                <w:sz w:val="20"/>
                <w:szCs w:val="20"/>
              </w:rPr>
            </w:pPr>
          </w:p>
          <w:p w14:paraId="07604838" w14:textId="77777777" w:rsidR="00237069" w:rsidRPr="00154588" w:rsidRDefault="00237069" w:rsidP="008C12B4">
            <w:pPr>
              <w:jc w:val="both"/>
              <w:rPr>
                <w:b/>
                <w:sz w:val="20"/>
                <w:szCs w:val="20"/>
              </w:rPr>
            </w:pPr>
          </w:p>
          <w:p w14:paraId="13BF3EC6" w14:textId="77777777" w:rsidR="00237069" w:rsidRPr="00154588" w:rsidRDefault="00237069" w:rsidP="008C12B4">
            <w:pPr>
              <w:jc w:val="both"/>
              <w:rPr>
                <w:b/>
                <w:sz w:val="20"/>
                <w:szCs w:val="20"/>
              </w:rPr>
            </w:pPr>
          </w:p>
          <w:p w14:paraId="2AD7EEC6" w14:textId="77777777" w:rsidR="00237069" w:rsidRPr="00154588" w:rsidRDefault="00237069" w:rsidP="008C12B4">
            <w:pPr>
              <w:jc w:val="both"/>
              <w:rPr>
                <w:b/>
                <w:sz w:val="20"/>
                <w:szCs w:val="20"/>
              </w:rPr>
            </w:pPr>
          </w:p>
          <w:p w14:paraId="38EFE84A" w14:textId="77777777" w:rsidR="00237069" w:rsidRPr="00154588" w:rsidRDefault="00237069" w:rsidP="008C12B4">
            <w:pPr>
              <w:jc w:val="both"/>
              <w:rPr>
                <w:b/>
                <w:sz w:val="20"/>
                <w:szCs w:val="20"/>
              </w:rPr>
            </w:pPr>
          </w:p>
          <w:p w14:paraId="66AF27DC" w14:textId="77777777" w:rsidR="00237069" w:rsidRPr="00154588" w:rsidRDefault="00237069" w:rsidP="008C12B4">
            <w:pPr>
              <w:jc w:val="both"/>
              <w:rPr>
                <w:b/>
                <w:sz w:val="20"/>
                <w:szCs w:val="20"/>
              </w:rPr>
            </w:pPr>
          </w:p>
          <w:p w14:paraId="68991FFA" w14:textId="77777777" w:rsidR="00237069" w:rsidRPr="00154588" w:rsidRDefault="00237069" w:rsidP="008C12B4">
            <w:pPr>
              <w:jc w:val="both"/>
              <w:rPr>
                <w:b/>
                <w:sz w:val="20"/>
                <w:szCs w:val="20"/>
              </w:rPr>
            </w:pPr>
          </w:p>
          <w:p w14:paraId="556C99BA" w14:textId="77777777" w:rsidR="00237069" w:rsidRPr="00154588" w:rsidRDefault="00237069" w:rsidP="008C12B4">
            <w:pPr>
              <w:jc w:val="both"/>
              <w:rPr>
                <w:b/>
                <w:sz w:val="20"/>
                <w:szCs w:val="20"/>
              </w:rPr>
            </w:pPr>
          </w:p>
          <w:p w14:paraId="42526197" w14:textId="77777777" w:rsidR="00237069" w:rsidRPr="00154588" w:rsidRDefault="00237069" w:rsidP="008C12B4">
            <w:pPr>
              <w:jc w:val="both"/>
              <w:rPr>
                <w:b/>
                <w:sz w:val="20"/>
                <w:szCs w:val="20"/>
              </w:rPr>
            </w:pPr>
          </w:p>
          <w:p w14:paraId="6D76C2B5" w14:textId="77777777" w:rsidR="00237069" w:rsidRPr="00154588" w:rsidRDefault="00237069" w:rsidP="008C12B4">
            <w:pPr>
              <w:jc w:val="both"/>
              <w:rPr>
                <w:b/>
                <w:sz w:val="20"/>
                <w:szCs w:val="20"/>
              </w:rPr>
            </w:pPr>
          </w:p>
          <w:p w14:paraId="00188654" w14:textId="77777777" w:rsidR="00237069" w:rsidRPr="00154588" w:rsidRDefault="00237069" w:rsidP="008C12B4">
            <w:pPr>
              <w:jc w:val="both"/>
              <w:rPr>
                <w:b/>
                <w:sz w:val="20"/>
                <w:szCs w:val="20"/>
              </w:rPr>
            </w:pPr>
          </w:p>
          <w:p w14:paraId="47E5FFA2" w14:textId="77777777" w:rsidR="00237069" w:rsidRPr="00154588" w:rsidRDefault="00237069" w:rsidP="008C12B4">
            <w:pPr>
              <w:jc w:val="both"/>
              <w:rPr>
                <w:b/>
                <w:sz w:val="20"/>
                <w:szCs w:val="20"/>
              </w:rPr>
            </w:pPr>
          </w:p>
          <w:p w14:paraId="5D8CCFC1" w14:textId="77777777" w:rsidR="00237069" w:rsidRPr="00154588" w:rsidRDefault="00237069" w:rsidP="008C12B4">
            <w:pPr>
              <w:jc w:val="both"/>
              <w:rPr>
                <w:b/>
                <w:sz w:val="20"/>
                <w:szCs w:val="20"/>
              </w:rPr>
            </w:pPr>
          </w:p>
          <w:p w14:paraId="7E0B07C9" w14:textId="77777777" w:rsidR="00237069" w:rsidRPr="00154588" w:rsidRDefault="00237069" w:rsidP="008C12B4">
            <w:pPr>
              <w:jc w:val="both"/>
              <w:rPr>
                <w:b/>
                <w:sz w:val="20"/>
                <w:szCs w:val="20"/>
              </w:rPr>
            </w:pPr>
          </w:p>
          <w:p w14:paraId="0836A0B6" w14:textId="77777777" w:rsidR="00237069" w:rsidRPr="00154588" w:rsidRDefault="00237069" w:rsidP="008C12B4">
            <w:pPr>
              <w:jc w:val="both"/>
              <w:rPr>
                <w:b/>
                <w:sz w:val="20"/>
                <w:szCs w:val="20"/>
              </w:rPr>
            </w:pPr>
          </w:p>
          <w:p w14:paraId="32C00ECE" w14:textId="77777777" w:rsidR="00237069" w:rsidRPr="00154588" w:rsidRDefault="00237069" w:rsidP="008C12B4">
            <w:pPr>
              <w:jc w:val="both"/>
              <w:rPr>
                <w:b/>
                <w:sz w:val="20"/>
                <w:szCs w:val="20"/>
              </w:rPr>
            </w:pPr>
          </w:p>
          <w:p w14:paraId="0D04C084" w14:textId="77777777" w:rsidR="00237069" w:rsidRPr="00154588" w:rsidRDefault="00237069" w:rsidP="008C12B4">
            <w:pPr>
              <w:jc w:val="both"/>
              <w:rPr>
                <w:b/>
                <w:sz w:val="20"/>
                <w:szCs w:val="20"/>
              </w:rPr>
            </w:pPr>
          </w:p>
          <w:p w14:paraId="0A5A4CF7" w14:textId="77777777" w:rsidR="00237069" w:rsidRPr="00154588" w:rsidRDefault="00237069" w:rsidP="008C12B4">
            <w:pPr>
              <w:jc w:val="both"/>
              <w:rPr>
                <w:b/>
                <w:sz w:val="20"/>
                <w:szCs w:val="20"/>
              </w:rPr>
            </w:pPr>
          </w:p>
          <w:p w14:paraId="45475E5F" w14:textId="77777777" w:rsidR="00237069" w:rsidRPr="00154588" w:rsidRDefault="00237069" w:rsidP="008C12B4">
            <w:pPr>
              <w:jc w:val="both"/>
              <w:rPr>
                <w:b/>
                <w:sz w:val="20"/>
                <w:szCs w:val="20"/>
              </w:rPr>
            </w:pPr>
          </w:p>
          <w:p w14:paraId="5DFC36A8" w14:textId="77777777" w:rsidR="00237069" w:rsidRPr="00154588" w:rsidRDefault="00237069" w:rsidP="008C12B4">
            <w:pPr>
              <w:jc w:val="both"/>
              <w:rPr>
                <w:b/>
                <w:sz w:val="20"/>
                <w:szCs w:val="20"/>
              </w:rPr>
            </w:pPr>
          </w:p>
          <w:p w14:paraId="2FC9A432" w14:textId="77777777" w:rsidR="00237069" w:rsidRPr="00154588" w:rsidRDefault="00237069" w:rsidP="008C12B4">
            <w:pPr>
              <w:jc w:val="both"/>
              <w:rPr>
                <w:b/>
                <w:sz w:val="20"/>
                <w:szCs w:val="20"/>
              </w:rPr>
            </w:pPr>
          </w:p>
          <w:p w14:paraId="65ACF1D8" w14:textId="77777777" w:rsidR="00237069" w:rsidRPr="00154588" w:rsidRDefault="00237069" w:rsidP="008C12B4">
            <w:pPr>
              <w:jc w:val="both"/>
              <w:rPr>
                <w:b/>
                <w:sz w:val="20"/>
                <w:szCs w:val="20"/>
              </w:rPr>
            </w:pPr>
          </w:p>
          <w:p w14:paraId="36C6E9F3" w14:textId="77777777" w:rsidR="00237069" w:rsidRPr="00154588" w:rsidRDefault="00237069" w:rsidP="008C12B4">
            <w:pPr>
              <w:jc w:val="both"/>
              <w:rPr>
                <w:b/>
                <w:sz w:val="20"/>
                <w:szCs w:val="20"/>
              </w:rPr>
            </w:pPr>
          </w:p>
          <w:p w14:paraId="0809DA22" w14:textId="77777777" w:rsidR="00237069" w:rsidRPr="00154588" w:rsidRDefault="00237069" w:rsidP="008C12B4">
            <w:pPr>
              <w:jc w:val="both"/>
              <w:rPr>
                <w:b/>
                <w:sz w:val="20"/>
                <w:szCs w:val="20"/>
              </w:rPr>
            </w:pPr>
          </w:p>
          <w:p w14:paraId="7D020F6F" w14:textId="77777777" w:rsidR="00237069" w:rsidRPr="00154588" w:rsidRDefault="00237069" w:rsidP="008C12B4">
            <w:pPr>
              <w:jc w:val="both"/>
              <w:rPr>
                <w:b/>
                <w:sz w:val="20"/>
                <w:szCs w:val="20"/>
              </w:rPr>
            </w:pPr>
          </w:p>
          <w:p w14:paraId="5317014C" w14:textId="77777777" w:rsidR="00237069" w:rsidRPr="00154588" w:rsidRDefault="00237069" w:rsidP="008C12B4">
            <w:pPr>
              <w:jc w:val="both"/>
              <w:rPr>
                <w:b/>
                <w:sz w:val="20"/>
                <w:szCs w:val="20"/>
              </w:rPr>
            </w:pPr>
          </w:p>
          <w:p w14:paraId="349990B5" w14:textId="77777777" w:rsidR="00237069" w:rsidRPr="00154588" w:rsidRDefault="00237069" w:rsidP="008C12B4">
            <w:pPr>
              <w:jc w:val="both"/>
              <w:rPr>
                <w:b/>
                <w:sz w:val="20"/>
                <w:szCs w:val="20"/>
              </w:rPr>
            </w:pPr>
          </w:p>
          <w:p w14:paraId="02515044" w14:textId="77777777" w:rsidR="00237069" w:rsidRPr="00154588" w:rsidRDefault="00237069" w:rsidP="008C12B4">
            <w:pPr>
              <w:jc w:val="both"/>
              <w:rPr>
                <w:b/>
                <w:sz w:val="20"/>
                <w:szCs w:val="20"/>
              </w:rPr>
            </w:pPr>
          </w:p>
          <w:p w14:paraId="61DF5D7D" w14:textId="77777777" w:rsidR="00237069" w:rsidRPr="00154588" w:rsidRDefault="00237069" w:rsidP="008C12B4">
            <w:pPr>
              <w:jc w:val="both"/>
              <w:rPr>
                <w:b/>
                <w:sz w:val="20"/>
                <w:szCs w:val="20"/>
              </w:rPr>
            </w:pPr>
          </w:p>
        </w:tc>
      </w:tr>
      <w:tr w:rsidR="00237069" w:rsidRPr="00154588" w14:paraId="3ED80EE6" w14:textId="77777777" w:rsidTr="007F5746">
        <w:tc>
          <w:tcPr>
            <w:tcW w:w="4929" w:type="dxa"/>
          </w:tcPr>
          <w:p w14:paraId="49AA87EB" w14:textId="77777777" w:rsidR="00237069" w:rsidRPr="00154588" w:rsidRDefault="00237069" w:rsidP="008C12B4">
            <w:pPr>
              <w:jc w:val="both"/>
              <w:rPr>
                <w:bCs/>
                <w:sz w:val="20"/>
                <w:szCs w:val="20"/>
              </w:rPr>
            </w:pPr>
            <w:r w:rsidRPr="00154588">
              <w:rPr>
                <w:bCs/>
                <w:sz w:val="20"/>
                <w:szCs w:val="20"/>
              </w:rPr>
              <w:lastRenderedPageBreak/>
              <w:t>(2)   Statele membre se asigură că, în cazurile menționate la alineatul (1), sancțiunile administrative și celelalte măsuri administrative care pot fi aplicate includ cel puțin următoarele:</w:t>
            </w:r>
          </w:p>
          <w:p w14:paraId="2E2D14A5" w14:textId="77777777" w:rsidR="00237069" w:rsidRPr="00154588" w:rsidRDefault="00237069" w:rsidP="008C12B4">
            <w:pPr>
              <w:jc w:val="both"/>
              <w:rPr>
                <w:bCs/>
                <w:sz w:val="20"/>
                <w:szCs w:val="20"/>
              </w:rPr>
            </w:pPr>
          </w:p>
          <w:p w14:paraId="127DC25B" w14:textId="77777777" w:rsidR="00237069" w:rsidRPr="00154588" w:rsidRDefault="00237069" w:rsidP="008C12B4">
            <w:pPr>
              <w:jc w:val="both"/>
              <w:rPr>
                <w:bCs/>
                <w:sz w:val="20"/>
                <w:szCs w:val="20"/>
              </w:rPr>
            </w:pPr>
            <w:r w:rsidRPr="00154588">
              <w:rPr>
                <w:bCs/>
                <w:sz w:val="20"/>
                <w:szCs w:val="20"/>
              </w:rPr>
              <w:t>(a) o declarație publică prin care să se indice persoana fizică, instituția, instituția financiară, întreprinderea-mamă din Uniune sau altă persoană juridică responsabilă de încălcare și natura încălcării;</w:t>
            </w:r>
          </w:p>
          <w:p w14:paraId="7D95CA50" w14:textId="77777777" w:rsidR="00237069" w:rsidRPr="00154588" w:rsidRDefault="00237069" w:rsidP="008C12B4">
            <w:pPr>
              <w:jc w:val="both"/>
              <w:rPr>
                <w:bCs/>
                <w:sz w:val="20"/>
                <w:szCs w:val="20"/>
              </w:rPr>
            </w:pPr>
          </w:p>
          <w:p w14:paraId="767F542C" w14:textId="77777777" w:rsidR="00237069" w:rsidRPr="00154588" w:rsidRDefault="00237069" w:rsidP="008C12B4">
            <w:pPr>
              <w:jc w:val="both"/>
              <w:rPr>
                <w:bCs/>
                <w:sz w:val="20"/>
                <w:szCs w:val="20"/>
              </w:rPr>
            </w:pPr>
            <w:r w:rsidRPr="00154588">
              <w:rPr>
                <w:bCs/>
                <w:sz w:val="20"/>
                <w:szCs w:val="20"/>
              </w:rPr>
              <w:t>(b) un ordin prin care i se cere persoanei fizice sau juridice responsabile să înceteze comportamentul respectiv și să se abțină de la repetarea acelui comportament;</w:t>
            </w:r>
          </w:p>
          <w:p w14:paraId="0DCD1898" w14:textId="77777777" w:rsidR="00237069" w:rsidRPr="00154588" w:rsidRDefault="00237069" w:rsidP="008C12B4">
            <w:pPr>
              <w:jc w:val="both"/>
              <w:rPr>
                <w:bCs/>
                <w:sz w:val="20"/>
                <w:szCs w:val="20"/>
              </w:rPr>
            </w:pPr>
          </w:p>
          <w:p w14:paraId="10353565" w14:textId="77777777" w:rsidR="00237069" w:rsidRPr="00154588" w:rsidRDefault="00237069" w:rsidP="008C12B4">
            <w:pPr>
              <w:jc w:val="both"/>
              <w:rPr>
                <w:bCs/>
                <w:sz w:val="20"/>
                <w:szCs w:val="20"/>
              </w:rPr>
            </w:pPr>
            <w:r w:rsidRPr="00154588">
              <w:rPr>
                <w:bCs/>
                <w:sz w:val="20"/>
                <w:szCs w:val="20"/>
              </w:rPr>
              <w:t xml:space="preserve">(c) o interdicție temporară de a exercita funcții în instituțiile sau în entitățile menționate la articolul 1 alineatul (1) litera (b), (c) sau (d), împotriva oricărui </w:t>
            </w:r>
            <w:r w:rsidRPr="00154588">
              <w:rPr>
                <w:bCs/>
                <w:sz w:val="20"/>
                <w:szCs w:val="20"/>
              </w:rPr>
              <w:lastRenderedPageBreak/>
              <w:t>membru al organului de conducere instituției sau a entității menționate la articolul 1 alineatul (1) litera (b), (c) sau (d) sau oricărei alte persoane fizice considerate responsabile;</w:t>
            </w:r>
          </w:p>
          <w:p w14:paraId="644E23AE" w14:textId="77777777" w:rsidR="00237069" w:rsidRPr="00154588" w:rsidRDefault="00237069" w:rsidP="008C12B4">
            <w:pPr>
              <w:jc w:val="both"/>
              <w:rPr>
                <w:bCs/>
                <w:sz w:val="20"/>
                <w:szCs w:val="20"/>
              </w:rPr>
            </w:pPr>
          </w:p>
          <w:p w14:paraId="24BBA8B3" w14:textId="77777777" w:rsidR="00237069" w:rsidRPr="00154588" w:rsidRDefault="00237069" w:rsidP="008C12B4">
            <w:pPr>
              <w:jc w:val="both"/>
              <w:rPr>
                <w:bCs/>
                <w:sz w:val="20"/>
                <w:szCs w:val="20"/>
              </w:rPr>
            </w:pPr>
            <w:r w:rsidRPr="00154588">
              <w:rPr>
                <w:bCs/>
                <w:sz w:val="20"/>
                <w:szCs w:val="20"/>
              </w:rPr>
              <w:t>(d) în cazul unei persoane juridice, amenzi administrative de până la 10 % din valoarea totală anuală netă a cifrei de afaceri pe care aceasta a înregistrat-o în exercițiul financiar precedent. Dacă persoana juridică este o filială a unei întreprinderi-mamă, cifra de afaceri relevantă este cea care rezultă din situațiile financiare consolidate ale întreprinderii-mamă de cel mai înalt rang în exercițiul financiar precedent;</w:t>
            </w:r>
          </w:p>
          <w:p w14:paraId="4E439060" w14:textId="77777777" w:rsidR="00237069" w:rsidRPr="00154588" w:rsidRDefault="00237069" w:rsidP="008C12B4">
            <w:pPr>
              <w:jc w:val="both"/>
              <w:rPr>
                <w:bCs/>
                <w:sz w:val="20"/>
                <w:szCs w:val="20"/>
              </w:rPr>
            </w:pPr>
          </w:p>
          <w:p w14:paraId="1106994E" w14:textId="77777777" w:rsidR="00237069" w:rsidRPr="00154588" w:rsidRDefault="00237069" w:rsidP="008C12B4">
            <w:pPr>
              <w:jc w:val="both"/>
              <w:rPr>
                <w:bCs/>
                <w:sz w:val="20"/>
                <w:szCs w:val="20"/>
              </w:rPr>
            </w:pPr>
            <w:r w:rsidRPr="00154588">
              <w:rPr>
                <w:bCs/>
                <w:sz w:val="20"/>
                <w:szCs w:val="20"/>
              </w:rPr>
              <w:t>(e) în cazul unei persoane fizice, amenzi administrative în valoare de până la 5 000 000  EUR sau, în statele membre în care euro nu este moneda oficială, valoarea echivalentă în moneda națională la 2 iulie 2014;</w:t>
            </w:r>
          </w:p>
          <w:p w14:paraId="4534046D" w14:textId="77777777" w:rsidR="00237069" w:rsidRPr="00154588" w:rsidRDefault="00237069" w:rsidP="008C12B4">
            <w:pPr>
              <w:jc w:val="both"/>
              <w:rPr>
                <w:bCs/>
                <w:sz w:val="20"/>
                <w:szCs w:val="20"/>
              </w:rPr>
            </w:pPr>
          </w:p>
          <w:p w14:paraId="779AA130" w14:textId="77777777" w:rsidR="00237069" w:rsidRPr="00154588" w:rsidRDefault="00237069" w:rsidP="008C12B4">
            <w:pPr>
              <w:jc w:val="both"/>
              <w:rPr>
                <w:bCs/>
                <w:sz w:val="20"/>
                <w:szCs w:val="20"/>
              </w:rPr>
            </w:pPr>
            <w:r w:rsidRPr="00154588">
              <w:rPr>
                <w:bCs/>
                <w:sz w:val="20"/>
                <w:szCs w:val="20"/>
              </w:rPr>
              <w:t>(f) amenzi administrative egale cu până la de două ori valoarea beneficiului rezultat din încălcare, în cazul în care beneficiul poate fi stabilit;</w:t>
            </w:r>
          </w:p>
        </w:tc>
        <w:tc>
          <w:tcPr>
            <w:tcW w:w="4810" w:type="dxa"/>
          </w:tcPr>
          <w:p w14:paraId="0226953E" w14:textId="77777777" w:rsidR="00237069" w:rsidRPr="00154588" w:rsidRDefault="00237069" w:rsidP="008C12B4">
            <w:pPr>
              <w:ind w:firstLine="567"/>
              <w:jc w:val="both"/>
              <w:rPr>
                <w:sz w:val="20"/>
                <w:szCs w:val="20"/>
              </w:rPr>
            </w:pPr>
            <w:r w:rsidRPr="00154588">
              <w:rPr>
                <w:b/>
                <w:sz w:val="20"/>
                <w:szCs w:val="20"/>
              </w:rPr>
              <w:lastRenderedPageBreak/>
              <w:t>Articolul 316.</w:t>
            </w:r>
            <w:r w:rsidRPr="00154588">
              <w:rPr>
                <w:sz w:val="20"/>
                <w:szCs w:val="20"/>
              </w:rPr>
              <w:t xml:space="preserve"> – (1) Sancţiunile care pot fi aplicate în cazul săvîrşirii faptelor prevăzute la art.315 sînt:</w:t>
            </w:r>
          </w:p>
          <w:p w14:paraId="1D382718" w14:textId="77777777" w:rsidR="00237069" w:rsidRPr="00154588" w:rsidRDefault="00237069" w:rsidP="008C12B4">
            <w:pPr>
              <w:ind w:firstLine="567"/>
              <w:jc w:val="both"/>
              <w:rPr>
                <w:sz w:val="20"/>
                <w:szCs w:val="20"/>
              </w:rPr>
            </w:pPr>
            <w:r w:rsidRPr="00154588">
              <w:rPr>
                <w:sz w:val="20"/>
                <w:szCs w:val="20"/>
              </w:rPr>
              <w:t>a) avertisment scris;</w:t>
            </w:r>
          </w:p>
          <w:p w14:paraId="0E4086B6" w14:textId="77777777" w:rsidR="00237069" w:rsidRPr="00154588" w:rsidRDefault="00237069" w:rsidP="008C12B4">
            <w:pPr>
              <w:ind w:firstLine="567"/>
              <w:jc w:val="both"/>
              <w:rPr>
                <w:sz w:val="20"/>
                <w:szCs w:val="20"/>
              </w:rPr>
            </w:pPr>
            <w:r w:rsidRPr="00154588">
              <w:rPr>
                <w:sz w:val="20"/>
                <w:szCs w:val="20"/>
              </w:rPr>
              <w:t>b) avertisment public prin care se indică persoana fizică, instituția de credit, instituția financiară, întreprinderea-mamă din Uniunea Europeană, pentru care Banca Națională a Moldovei este supraveghetor consolidant, sau altă persoană juridică responsabilă şi fapta săvîrşită;</w:t>
            </w:r>
          </w:p>
          <w:p w14:paraId="5C7CA711" w14:textId="77777777" w:rsidR="00237069" w:rsidRPr="00154588" w:rsidRDefault="00237069" w:rsidP="008C12B4">
            <w:pPr>
              <w:ind w:firstLine="567"/>
              <w:jc w:val="both"/>
              <w:rPr>
                <w:sz w:val="20"/>
                <w:szCs w:val="20"/>
              </w:rPr>
            </w:pPr>
            <w:r w:rsidRPr="00154588">
              <w:rPr>
                <w:sz w:val="20"/>
                <w:szCs w:val="20"/>
              </w:rPr>
              <w:t>c) amendă aplicabilă persoanelor juridice, pînă la 10% din valoarea totală anuală netă a cifrei de afaceri realizată în exerciţiul financiar precedent, în cazul în care persoana juridică are calitatea de filială a unei întreprinderi-mamă, cifra de afaceri relevantă este cea rezultată din situațiile financiare consolidate ale întreprinderii-mamă de cel mai înalt rang, în exercițiul financiar precedent;</w:t>
            </w:r>
          </w:p>
          <w:p w14:paraId="352224CC" w14:textId="77777777" w:rsidR="00237069" w:rsidRPr="00154588" w:rsidRDefault="00237069" w:rsidP="008C12B4">
            <w:pPr>
              <w:ind w:firstLine="567"/>
              <w:jc w:val="both"/>
              <w:rPr>
                <w:sz w:val="20"/>
                <w:szCs w:val="20"/>
              </w:rPr>
            </w:pPr>
            <w:r w:rsidRPr="00154588">
              <w:rPr>
                <w:sz w:val="20"/>
                <w:szCs w:val="20"/>
              </w:rPr>
              <w:lastRenderedPageBreak/>
              <w:t>d) amendă aplicabilă persoanelor fizice, pînă la echivalentul în lei a 5 milioane euro la cursul de schimb comunicat de Banca Națională a Moldovei valabil la data intrării în vigoare a prezentei Legi;</w:t>
            </w:r>
          </w:p>
          <w:p w14:paraId="79EA75FB" w14:textId="77777777" w:rsidR="00237069" w:rsidRPr="00154588" w:rsidRDefault="00237069" w:rsidP="008C12B4">
            <w:pPr>
              <w:ind w:firstLine="567"/>
              <w:jc w:val="both"/>
              <w:rPr>
                <w:sz w:val="20"/>
                <w:szCs w:val="20"/>
              </w:rPr>
            </w:pPr>
            <w:r w:rsidRPr="00154588">
              <w:rPr>
                <w:sz w:val="20"/>
                <w:szCs w:val="20"/>
              </w:rPr>
              <w:t>e) amendă pînă la de două ori valoarea beneficiului obţinut în urma săvîrşirii faptei, dacă acesta poate fi determinat.</w:t>
            </w:r>
          </w:p>
          <w:p w14:paraId="32BD1027" w14:textId="77777777" w:rsidR="00237069" w:rsidRPr="00154588" w:rsidRDefault="00237069" w:rsidP="008C12B4">
            <w:pPr>
              <w:jc w:val="both"/>
              <w:rPr>
                <w:b/>
                <w:sz w:val="20"/>
                <w:szCs w:val="20"/>
              </w:rPr>
            </w:pPr>
          </w:p>
        </w:tc>
        <w:tc>
          <w:tcPr>
            <w:tcW w:w="2545" w:type="dxa"/>
            <w:gridSpan w:val="2"/>
          </w:tcPr>
          <w:p w14:paraId="1A216649" w14:textId="77777777" w:rsidR="00237069" w:rsidRPr="00154588" w:rsidRDefault="00237069" w:rsidP="008C12B4">
            <w:pPr>
              <w:jc w:val="both"/>
              <w:rPr>
                <w:b/>
                <w:sz w:val="20"/>
                <w:szCs w:val="20"/>
              </w:rPr>
            </w:pPr>
            <w:r w:rsidRPr="00154588">
              <w:rPr>
                <w:bCs/>
                <w:sz w:val="20"/>
                <w:szCs w:val="20"/>
              </w:rPr>
              <w:lastRenderedPageBreak/>
              <w:t>Compatibil</w:t>
            </w:r>
          </w:p>
        </w:tc>
        <w:tc>
          <w:tcPr>
            <w:tcW w:w="3162" w:type="dxa"/>
            <w:gridSpan w:val="2"/>
          </w:tcPr>
          <w:p w14:paraId="0E5DC841" w14:textId="77777777" w:rsidR="00237069" w:rsidRPr="00154588" w:rsidRDefault="00237069" w:rsidP="008C12B4">
            <w:pPr>
              <w:jc w:val="both"/>
              <w:rPr>
                <w:b/>
                <w:sz w:val="20"/>
                <w:szCs w:val="20"/>
              </w:rPr>
            </w:pPr>
          </w:p>
        </w:tc>
      </w:tr>
      <w:tr w:rsidR="00237069" w:rsidRPr="00154588" w14:paraId="0018A601" w14:textId="77777777" w:rsidTr="007F5746">
        <w:tc>
          <w:tcPr>
            <w:tcW w:w="4929" w:type="dxa"/>
          </w:tcPr>
          <w:p w14:paraId="01C06A9F" w14:textId="77777777" w:rsidR="00237069" w:rsidRPr="00154588" w:rsidRDefault="00237069" w:rsidP="008C12B4">
            <w:pPr>
              <w:jc w:val="both"/>
              <w:rPr>
                <w:b/>
                <w:sz w:val="20"/>
                <w:szCs w:val="20"/>
              </w:rPr>
            </w:pPr>
            <w:r w:rsidRPr="00154588">
              <w:rPr>
                <w:b/>
                <w:sz w:val="20"/>
                <w:szCs w:val="20"/>
              </w:rPr>
              <w:t>Articolul 112</w:t>
            </w:r>
          </w:p>
          <w:p w14:paraId="4DC6F9CD" w14:textId="77777777" w:rsidR="00237069" w:rsidRPr="00154588" w:rsidRDefault="00237069" w:rsidP="008C12B4">
            <w:pPr>
              <w:jc w:val="both"/>
              <w:rPr>
                <w:b/>
                <w:sz w:val="20"/>
                <w:szCs w:val="20"/>
              </w:rPr>
            </w:pPr>
          </w:p>
          <w:p w14:paraId="656A1579" w14:textId="77777777" w:rsidR="00237069" w:rsidRPr="00154588" w:rsidRDefault="00237069" w:rsidP="008C12B4">
            <w:pPr>
              <w:jc w:val="both"/>
              <w:rPr>
                <w:b/>
                <w:sz w:val="20"/>
                <w:szCs w:val="20"/>
              </w:rPr>
            </w:pPr>
            <w:r w:rsidRPr="00154588">
              <w:rPr>
                <w:b/>
                <w:sz w:val="20"/>
                <w:szCs w:val="20"/>
              </w:rPr>
              <w:t>Publicarea sancțiunilor administrative</w:t>
            </w:r>
          </w:p>
        </w:tc>
        <w:tc>
          <w:tcPr>
            <w:tcW w:w="4810" w:type="dxa"/>
          </w:tcPr>
          <w:p w14:paraId="31C6B84C" w14:textId="77777777" w:rsidR="00237069" w:rsidRPr="00154588" w:rsidRDefault="00237069" w:rsidP="008C12B4">
            <w:pPr>
              <w:jc w:val="both"/>
              <w:rPr>
                <w:b/>
                <w:sz w:val="20"/>
                <w:szCs w:val="20"/>
              </w:rPr>
            </w:pPr>
          </w:p>
        </w:tc>
        <w:tc>
          <w:tcPr>
            <w:tcW w:w="2545" w:type="dxa"/>
            <w:gridSpan w:val="2"/>
          </w:tcPr>
          <w:p w14:paraId="2F990052" w14:textId="77777777" w:rsidR="00237069" w:rsidRPr="00154588" w:rsidRDefault="00237069" w:rsidP="008C12B4">
            <w:pPr>
              <w:jc w:val="both"/>
              <w:rPr>
                <w:b/>
                <w:sz w:val="20"/>
                <w:szCs w:val="20"/>
              </w:rPr>
            </w:pPr>
          </w:p>
        </w:tc>
        <w:tc>
          <w:tcPr>
            <w:tcW w:w="3162" w:type="dxa"/>
            <w:gridSpan w:val="2"/>
          </w:tcPr>
          <w:p w14:paraId="1BAE12EC" w14:textId="77777777" w:rsidR="00237069" w:rsidRPr="00154588" w:rsidRDefault="00237069" w:rsidP="008C12B4">
            <w:pPr>
              <w:jc w:val="both"/>
              <w:rPr>
                <w:b/>
                <w:sz w:val="20"/>
                <w:szCs w:val="20"/>
              </w:rPr>
            </w:pPr>
          </w:p>
        </w:tc>
      </w:tr>
      <w:tr w:rsidR="00237069" w:rsidRPr="00154588" w14:paraId="2D4C546D" w14:textId="77777777" w:rsidTr="007F5746">
        <w:tc>
          <w:tcPr>
            <w:tcW w:w="4929" w:type="dxa"/>
          </w:tcPr>
          <w:p w14:paraId="4CA525AA" w14:textId="77777777" w:rsidR="00237069" w:rsidRPr="00154588" w:rsidRDefault="00237069" w:rsidP="008C12B4">
            <w:pPr>
              <w:jc w:val="both"/>
              <w:rPr>
                <w:bCs/>
                <w:sz w:val="20"/>
                <w:szCs w:val="20"/>
              </w:rPr>
            </w:pPr>
            <w:r w:rsidRPr="00154588">
              <w:rPr>
                <w:bCs/>
                <w:sz w:val="20"/>
                <w:szCs w:val="20"/>
              </w:rPr>
              <w:t>(1)   Statele membre asigură faptul că autoritățile de rezoluție și autoritățile competente publică, pe site-ul lor internet oficial, cel puțin sancțiunile administrative pe care le-au impus pentru încălcarea dispozițiilor naționale care transpun prezenta directivă, atunci când aceste sancțiuni nu au făcut obiectul unei căi de atac sau atunci când căile de atac au fost epuizate. Această publicare se realizează fără întârzieri nejustificate, după ce persoana fizică sau juridică respectivă este informată cu privire la sancțiune, informațiile publicate incluzând tipul și natura încălcării, precum și identitatea persoanei fizice sau juridice sancționate.</w:t>
            </w:r>
          </w:p>
          <w:p w14:paraId="76A2D887" w14:textId="77777777" w:rsidR="00237069" w:rsidRPr="00154588" w:rsidRDefault="00237069" w:rsidP="008C12B4">
            <w:pPr>
              <w:jc w:val="both"/>
              <w:rPr>
                <w:bCs/>
                <w:sz w:val="20"/>
                <w:szCs w:val="20"/>
              </w:rPr>
            </w:pPr>
          </w:p>
          <w:p w14:paraId="60599E7D" w14:textId="77777777" w:rsidR="00237069" w:rsidRPr="00154588" w:rsidRDefault="00237069" w:rsidP="008C12B4">
            <w:pPr>
              <w:jc w:val="both"/>
              <w:rPr>
                <w:bCs/>
                <w:sz w:val="20"/>
                <w:szCs w:val="20"/>
              </w:rPr>
            </w:pPr>
          </w:p>
          <w:p w14:paraId="69220D88" w14:textId="77777777" w:rsidR="00237069" w:rsidRPr="00154588" w:rsidRDefault="00237069" w:rsidP="008C12B4">
            <w:pPr>
              <w:jc w:val="both"/>
              <w:rPr>
                <w:bCs/>
                <w:sz w:val="20"/>
                <w:szCs w:val="20"/>
              </w:rPr>
            </w:pPr>
            <w:r w:rsidRPr="00154588">
              <w:rPr>
                <w:bCs/>
                <w:sz w:val="20"/>
                <w:szCs w:val="20"/>
              </w:rPr>
              <w:t xml:space="preserve">În cazul în care statele membre permit publicarea sancțiunilor împotriva cărora există o cale de atac, autoritățile de rezoluție și autoritățile competente </w:t>
            </w:r>
            <w:r w:rsidRPr="00154588">
              <w:rPr>
                <w:bCs/>
                <w:sz w:val="20"/>
                <w:szCs w:val="20"/>
              </w:rPr>
              <w:lastRenderedPageBreak/>
              <w:t>publică, fără întârzieri nejustificate, pe site-urile lor internet oficiale, informații privind situația căii de atac și rezultatul acestora.</w:t>
            </w:r>
          </w:p>
        </w:tc>
        <w:tc>
          <w:tcPr>
            <w:tcW w:w="4810" w:type="dxa"/>
          </w:tcPr>
          <w:p w14:paraId="5A6DF85D" w14:textId="77777777" w:rsidR="00237069" w:rsidRPr="00154588" w:rsidRDefault="00237069" w:rsidP="008C12B4">
            <w:pPr>
              <w:ind w:firstLine="567"/>
              <w:jc w:val="both"/>
              <w:rPr>
                <w:sz w:val="20"/>
                <w:szCs w:val="20"/>
              </w:rPr>
            </w:pPr>
            <w:r w:rsidRPr="00154588">
              <w:rPr>
                <w:b/>
                <w:sz w:val="20"/>
                <w:szCs w:val="20"/>
              </w:rPr>
              <w:lastRenderedPageBreak/>
              <w:t>Articolul</w:t>
            </w:r>
            <w:r w:rsidRPr="00154588">
              <w:rPr>
                <w:sz w:val="20"/>
                <w:szCs w:val="20"/>
              </w:rPr>
              <w:t xml:space="preserve"> </w:t>
            </w:r>
            <w:r w:rsidRPr="00154588">
              <w:rPr>
                <w:b/>
                <w:sz w:val="20"/>
                <w:szCs w:val="20"/>
              </w:rPr>
              <w:t>317.</w:t>
            </w:r>
            <w:r w:rsidRPr="00154588">
              <w:rPr>
                <w:sz w:val="20"/>
                <w:szCs w:val="20"/>
              </w:rPr>
              <w:t xml:space="preserve"> – (1) Banca Naţională a Moldovei, în calitate de autoritate de rezoluţie sau, după caz, de autoritate competentă, publică, de îndată, pe pagina web oficială, sancţiunile aplicate potrivit prevederilor art.316 care nu au fost contestate în condiţiile prevăzute de art.11 şi 11</w:t>
            </w:r>
            <w:r w:rsidRPr="00154588">
              <w:rPr>
                <w:sz w:val="20"/>
                <w:szCs w:val="20"/>
                <w:vertAlign w:val="superscript"/>
              </w:rPr>
              <w:t>1</w:t>
            </w:r>
            <w:r w:rsidRPr="00154588">
              <w:rPr>
                <w:sz w:val="20"/>
                <w:szCs w:val="20"/>
              </w:rPr>
              <w:t xml:space="preserve"> din Legea nr.548</w:t>
            </w:r>
            <w:r w:rsidRPr="00154588">
              <w:rPr>
                <w:sz w:val="20"/>
                <w:szCs w:val="20"/>
                <w:lang w:eastAsia="ro-MD"/>
              </w:rPr>
              <w:t>/</w:t>
            </w:r>
            <w:r w:rsidRPr="00154588">
              <w:rPr>
                <w:sz w:val="20"/>
                <w:szCs w:val="20"/>
              </w:rPr>
              <w:t>1995 cu privire la Banca Naţională a Moldovei şi pe cele în privinţa cărora contestaţiile au fost respinse în mod definitiv, precum şi informaţii privind tipul şi natura încălcării săvîrşite şi identitatea persoanei fizice sau juridice sancţionate, după ce aceasta a fost informată cu privire la aplicarea sancţiunii.</w:t>
            </w:r>
          </w:p>
          <w:p w14:paraId="47DDFF72" w14:textId="77777777" w:rsidR="00237069" w:rsidRPr="00154588" w:rsidRDefault="00237069" w:rsidP="008C12B4">
            <w:pPr>
              <w:jc w:val="both"/>
              <w:rPr>
                <w:b/>
                <w:sz w:val="20"/>
                <w:szCs w:val="20"/>
              </w:rPr>
            </w:pPr>
          </w:p>
        </w:tc>
        <w:tc>
          <w:tcPr>
            <w:tcW w:w="2545" w:type="dxa"/>
            <w:gridSpan w:val="2"/>
          </w:tcPr>
          <w:p w14:paraId="2A9D9554" w14:textId="77777777" w:rsidR="00237069" w:rsidRPr="00154588" w:rsidRDefault="00237069" w:rsidP="008C12B4">
            <w:pPr>
              <w:jc w:val="both"/>
              <w:rPr>
                <w:b/>
                <w:sz w:val="20"/>
                <w:szCs w:val="20"/>
              </w:rPr>
            </w:pPr>
            <w:r w:rsidRPr="00154588">
              <w:rPr>
                <w:bCs/>
                <w:sz w:val="20"/>
                <w:szCs w:val="20"/>
              </w:rPr>
              <w:t>Compatibil</w:t>
            </w:r>
          </w:p>
        </w:tc>
        <w:tc>
          <w:tcPr>
            <w:tcW w:w="3162" w:type="dxa"/>
            <w:gridSpan w:val="2"/>
          </w:tcPr>
          <w:p w14:paraId="7A7673FB" w14:textId="77777777" w:rsidR="00237069" w:rsidRPr="00154588" w:rsidRDefault="00237069" w:rsidP="008C12B4">
            <w:pPr>
              <w:jc w:val="both"/>
              <w:rPr>
                <w:b/>
                <w:sz w:val="20"/>
                <w:szCs w:val="20"/>
              </w:rPr>
            </w:pPr>
          </w:p>
        </w:tc>
      </w:tr>
      <w:tr w:rsidR="00237069" w:rsidRPr="00154588" w14:paraId="6B85BE7B" w14:textId="77777777" w:rsidTr="007F5746">
        <w:tc>
          <w:tcPr>
            <w:tcW w:w="4929" w:type="dxa"/>
          </w:tcPr>
          <w:p w14:paraId="644FB755" w14:textId="77777777" w:rsidR="00237069" w:rsidRPr="00154588" w:rsidRDefault="00237069" w:rsidP="008C12B4">
            <w:pPr>
              <w:jc w:val="both"/>
              <w:rPr>
                <w:bCs/>
                <w:sz w:val="20"/>
                <w:szCs w:val="20"/>
              </w:rPr>
            </w:pPr>
            <w:r w:rsidRPr="00154588">
              <w:rPr>
                <w:bCs/>
                <w:sz w:val="20"/>
                <w:szCs w:val="20"/>
              </w:rPr>
              <w:t>(2)   Autoritățile de rezoluție și autoritățile competente publică sancțiunile pe care le impun, fără a indica identitatea entităților implicate, într-un mod conform cu dreptul intern,în oricare din următoarele situații:</w:t>
            </w:r>
          </w:p>
          <w:p w14:paraId="61391AA2" w14:textId="77777777" w:rsidR="00237069" w:rsidRPr="00154588" w:rsidRDefault="00237069" w:rsidP="008C12B4">
            <w:pPr>
              <w:jc w:val="both"/>
              <w:rPr>
                <w:bCs/>
                <w:sz w:val="20"/>
                <w:szCs w:val="20"/>
              </w:rPr>
            </w:pPr>
          </w:p>
          <w:p w14:paraId="66BFA220" w14:textId="77777777" w:rsidR="00237069" w:rsidRPr="00154588" w:rsidRDefault="00237069" w:rsidP="008C12B4">
            <w:pPr>
              <w:jc w:val="both"/>
              <w:rPr>
                <w:bCs/>
                <w:sz w:val="20"/>
                <w:szCs w:val="20"/>
              </w:rPr>
            </w:pPr>
          </w:p>
          <w:p w14:paraId="60BB8754" w14:textId="77777777" w:rsidR="00237069" w:rsidRPr="00154588" w:rsidRDefault="00237069" w:rsidP="008C12B4">
            <w:pPr>
              <w:jc w:val="both"/>
              <w:rPr>
                <w:bCs/>
                <w:sz w:val="20"/>
                <w:szCs w:val="20"/>
              </w:rPr>
            </w:pPr>
            <w:r w:rsidRPr="00154588">
              <w:rPr>
                <w:bCs/>
                <w:sz w:val="20"/>
                <w:szCs w:val="20"/>
              </w:rPr>
              <w:t>(a) atunci când sancțiunea este impusă unei persoane fizice, iar în urma unei evaluări anterioare obligatorii a proporționalității publicării datelor cu caracter personal, să dovedește că publicarea este disproporționată;</w:t>
            </w:r>
          </w:p>
          <w:p w14:paraId="15439C53" w14:textId="77777777" w:rsidR="00237069" w:rsidRPr="00154588" w:rsidRDefault="00237069" w:rsidP="008C12B4">
            <w:pPr>
              <w:jc w:val="both"/>
              <w:rPr>
                <w:bCs/>
                <w:sz w:val="20"/>
                <w:szCs w:val="20"/>
              </w:rPr>
            </w:pPr>
          </w:p>
          <w:p w14:paraId="5DD0EAD3" w14:textId="77777777" w:rsidR="00237069" w:rsidRPr="00154588" w:rsidRDefault="00237069" w:rsidP="008C12B4">
            <w:pPr>
              <w:jc w:val="both"/>
              <w:rPr>
                <w:bCs/>
                <w:sz w:val="20"/>
                <w:szCs w:val="20"/>
              </w:rPr>
            </w:pPr>
          </w:p>
          <w:p w14:paraId="32CD9637" w14:textId="77777777" w:rsidR="00237069" w:rsidRPr="00154588" w:rsidRDefault="00237069" w:rsidP="008C12B4">
            <w:pPr>
              <w:jc w:val="both"/>
              <w:rPr>
                <w:bCs/>
                <w:sz w:val="20"/>
                <w:szCs w:val="20"/>
              </w:rPr>
            </w:pPr>
            <w:r w:rsidRPr="00154588">
              <w:rPr>
                <w:bCs/>
                <w:sz w:val="20"/>
                <w:szCs w:val="20"/>
              </w:rPr>
              <w:t>(b) atunci când publicarea ar pune în pericol stabilitatea piețelor financiare sau o anchetă penală în curs de desfășurare;</w:t>
            </w:r>
          </w:p>
          <w:p w14:paraId="14089599" w14:textId="77777777" w:rsidR="00237069" w:rsidRPr="00154588" w:rsidRDefault="00237069" w:rsidP="008C12B4">
            <w:pPr>
              <w:jc w:val="both"/>
              <w:rPr>
                <w:bCs/>
                <w:sz w:val="20"/>
                <w:szCs w:val="20"/>
              </w:rPr>
            </w:pPr>
          </w:p>
          <w:p w14:paraId="285FCB5A" w14:textId="77777777" w:rsidR="00237069" w:rsidRPr="00154588" w:rsidRDefault="00237069" w:rsidP="008C12B4">
            <w:pPr>
              <w:jc w:val="both"/>
              <w:rPr>
                <w:bCs/>
                <w:sz w:val="20"/>
                <w:szCs w:val="20"/>
              </w:rPr>
            </w:pPr>
          </w:p>
          <w:p w14:paraId="7E08FB15" w14:textId="77777777" w:rsidR="00237069" w:rsidRPr="00154588" w:rsidRDefault="00237069" w:rsidP="008C12B4">
            <w:pPr>
              <w:jc w:val="both"/>
              <w:rPr>
                <w:bCs/>
                <w:sz w:val="20"/>
                <w:szCs w:val="20"/>
              </w:rPr>
            </w:pPr>
            <w:r w:rsidRPr="00154588">
              <w:rPr>
                <w:bCs/>
                <w:sz w:val="20"/>
                <w:szCs w:val="20"/>
              </w:rPr>
              <w:t>(c) atunci când publicarea ar cauza, în măsura în care se poate determina acest lucru, prejudicii disproporționate instituțiilor implicate, entităților implicate de tipul celor menționate la articolul 1 alineatul (1) litera (b), (c) sau (d) sau persoanelor fizice implicate.</w:t>
            </w:r>
          </w:p>
          <w:p w14:paraId="39954818" w14:textId="77777777" w:rsidR="00237069" w:rsidRPr="00154588" w:rsidRDefault="00237069" w:rsidP="008C12B4">
            <w:pPr>
              <w:jc w:val="both"/>
              <w:rPr>
                <w:bCs/>
                <w:sz w:val="20"/>
                <w:szCs w:val="20"/>
              </w:rPr>
            </w:pPr>
          </w:p>
          <w:p w14:paraId="2EFB971D" w14:textId="77777777" w:rsidR="00237069" w:rsidRPr="00154588" w:rsidRDefault="00237069" w:rsidP="008C12B4">
            <w:pPr>
              <w:jc w:val="both"/>
              <w:rPr>
                <w:bCs/>
                <w:sz w:val="20"/>
                <w:szCs w:val="20"/>
              </w:rPr>
            </w:pPr>
            <w:r w:rsidRPr="00154588">
              <w:rPr>
                <w:bCs/>
                <w:sz w:val="20"/>
                <w:szCs w:val="20"/>
              </w:rPr>
              <w:t>Alternativ, în astfel de cazuri, publicarea datelor respective poate fi amânată pentru o perioadă rezonabilă de timp dacă se poate preconiza că, în cursul perioadei respective, motivele care au justificat publicarea informațiilor, fără a indica identitatea entităților implicate, vor înceta să existe.</w:t>
            </w:r>
          </w:p>
        </w:tc>
        <w:tc>
          <w:tcPr>
            <w:tcW w:w="4810" w:type="dxa"/>
          </w:tcPr>
          <w:p w14:paraId="04E0F793" w14:textId="77777777" w:rsidR="00237069" w:rsidRPr="00154588" w:rsidRDefault="00237069"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317.</w:t>
            </w:r>
            <w:r w:rsidRPr="00154588">
              <w:rPr>
                <w:sz w:val="20"/>
                <w:szCs w:val="20"/>
              </w:rPr>
              <w:t xml:space="preserve"> – (2) Banca Naţională a Moldovei, în calitate de autoritate de rezoluţie sau, după caz, de autoritate competentă, publică sancţiunile, fără a indica identitatea persoanelor fizice sau juridice sancţionate, în oricare dintre următoarele circumstanţe:</w:t>
            </w:r>
          </w:p>
          <w:p w14:paraId="4586732E" w14:textId="77777777" w:rsidR="00237069" w:rsidRPr="00154588" w:rsidRDefault="00237069" w:rsidP="008C12B4">
            <w:pPr>
              <w:ind w:firstLine="567"/>
              <w:jc w:val="both"/>
              <w:rPr>
                <w:sz w:val="20"/>
                <w:szCs w:val="20"/>
              </w:rPr>
            </w:pPr>
            <w:r w:rsidRPr="00154588">
              <w:rPr>
                <w:sz w:val="20"/>
                <w:szCs w:val="20"/>
              </w:rPr>
              <w:t>a) în situaţia în care sancţiunea este aplicată unei persoane fizice şi, în urma unei evaluări anterioare obligatorii a proporţionalităţii publicării datelor cu caracter personal, se dovedeşte că publicarea respectivă este disproporţionată în raport cu fapta sancţionată;</w:t>
            </w:r>
          </w:p>
          <w:p w14:paraId="51FD8F11" w14:textId="77777777" w:rsidR="00237069" w:rsidRPr="00154588" w:rsidRDefault="00237069" w:rsidP="008C12B4">
            <w:pPr>
              <w:ind w:firstLine="567"/>
              <w:jc w:val="both"/>
              <w:rPr>
                <w:sz w:val="20"/>
                <w:szCs w:val="20"/>
              </w:rPr>
            </w:pPr>
            <w:r w:rsidRPr="00154588">
              <w:rPr>
                <w:sz w:val="20"/>
                <w:szCs w:val="20"/>
              </w:rPr>
              <w:t>b) în situaţia în care publicarea ar pune în pericol stabilitatea pieţelor financiare sau o cercetare penală în curs de desfăşurare;</w:t>
            </w:r>
          </w:p>
          <w:p w14:paraId="07665379" w14:textId="77777777" w:rsidR="00237069" w:rsidRPr="00154588" w:rsidRDefault="00237069" w:rsidP="008C12B4">
            <w:pPr>
              <w:ind w:firstLine="567"/>
              <w:jc w:val="both"/>
              <w:rPr>
                <w:sz w:val="20"/>
                <w:szCs w:val="20"/>
              </w:rPr>
            </w:pPr>
            <w:r w:rsidRPr="00154588">
              <w:rPr>
                <w:sz w:val="20"/>
                <w:szCs w:val="20"/>
              </w:rPr>
              <w:t>c) în situaţia în care publicarea ar cauza, în măsura în care se poate determina acest lucru, un prejudiciu disproporţionat instituţiilor de credit, entităţilor menţionate la art. 1 alin.(1) lit.b), c) sau d) ori persoanelor fizice implicate.</w:t>
            </w:r>
          </w:p>
          <w:p w14:paraId="7B9D09B1" w14:textId="77777777" w:rsidR="00237069" w:rsidRPr="00154588" w:rsidRDefault="00237069" w:rsidP="008C12B4">
            <w:pPr>
              <w:jc w:val="both"/>
              <w:rPr>
                <w:b/>
                <w:sz w:val="20"/>
                <w:szCs w:val="20"/>
              </w:rPr>
            </w:pPr>
          </w:p>
          <w:p w14:paraId="5289C91B" w14:textId="77777777" w:rsidR="00237069" w:rsidRPr="00154588" w:rsidRDefault="00237069" w:rsidP="008C12B4">
            <w:pPr>
              <w:rPr>
                <w:b/>
                <w:sz w:val="20"/>
                <w:szCs w:val="20"/>
              </w:rPr>
            </w:pPr>
          </w:p>
          <w:p w14:paraId="0AF4E9C1" w14:textId="77777777" w:rsidR="00237069" w:rsidRPr="00154588" w:rsidRDefault="00237069" w:rsidP="008C12B4">
            <w:pPr>
              <w:rPr>
                <w:sz w:val="20"/>
                <w:szCs w:val="20"/>
              </w:rPr>
            </w:pPr>
          </w:p>
        </w:tc>
        <w:tc>
          <w:tcPr>
            <w:tcW w:w="2545" w:type="dxa"/>
            <w:gridSpan w:val="2"/>
          </w:tcPr>
          <w:p w14:paraId="70B83587" w14:textId="77777777" w:rsidR="00237069" w:rsidRPr="00154588" w:rsidRDefault="00237069" w:rsidP="008C12B4">
            <w:pPr>
              <w:jc w:val="both"/>
              <w:rPr>
                <w:b/>
                <w:sz w:val="20"/>
                <w:szCs w:val="20"/>
              </w:rPr>
            </w:pPr>
            <w:r w:rsidRPr="00154588">
              <w:rPr>
                <w:bCs/>
                <w:sz w:val="20"/>
                <w:szCs w:val="20"/>
              </w:rPr>
              <w:t>Compatibil</w:t>
            </w:r>
          </w:p>
        </w:tc>
        <w:tc>
          <w:tcPr>
            <w:tcW w:w="3162" w:type="dxa"/>
            <w:gridSpan w:val="2"/>
          </w:tcPr>
          <w:p w14:paraId="65EA6085" w14:textId="77777777" w:rsidR="00237069" w:rsidRPr="00154588" w:rsidRDefault="00237069" w:rsidP="008C12B4">
            <w:pPr>
              <w:jc w:val="both"/>
              <w:rPr>
                <w:b/>
                <w:sz w:val="20"/>
                <w:szCs w:val="20"/>
              </w:rPr>
            </w:pPr>
          </w:p>
        </w:tc>
      </w:tr>
      <w:tr w:rsidR="00237069" w:rsidRPr="00154588" w14:paraId="4770A22E" w14:textId="77777777" w:rsidTr="007F5746">
        <w:tc>
          <w:tcPr>
            <w:tcW w:w="4929" w:type="dxa"/>
          </w:tcPr>
          <w:p w14:paraId="04E971AB" w14:textId="77777777" w:rsidR="00237069" w:rsidRPr="00154588" w:rsidRDefault="00237069" w:rsidP="008C12B4">
            <w:pPr>
              <w:jc w:val="both"/>
              <w:rPr>
                <w:bCs/>
                <w:sz w:val="20"/>
                <w:szCs w:val="20"/>
              </w:rPr>
            </w:pPr>
            <w:r w:rsidRPr="00154588">
              <w:rPr>
                <w:bCs/>
                <w:sz w:val="20"/>
                <w:szCs w:val="20"/>
              </w:rPr>
              <w:t>(3)   Autoritățile de rezoluție și autoritățile competente se asigură că orice informație publicată în temeiul prezentului articol este menținută pe site-ul lor internet oficial pentru o perioadă de cel puțin cinci ani. Datele cu caracter personal incluse în informațiile publicate se păstrează pe site-ul internet oficial al autorității de rezoluție sau al autorității competente numai pentru perioada care este necesară în conformitate cu normele aplicabile în materie de protecție a datelor.</w:t>
            </w:r>
          </w:p>
        </w:tc>
        <w:tc>
          <w:tcPr>
            <w:tcW w:w="4810" w:type="dxa"/>
          </w:tcPr>
          <w:p w14:paraId="0ABA5FB4" w14:textId="77777777" w:rsidR="00237069" w:rsidRPr="00154588" w:rsidRDefault="00237069"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317.</w:t>
            </w:r>
            <w:r w:rsidRPr="00154588">
              <w:rPr>
                <w:sz w:val="20"/>
                <w:szCs w:val="20"/>
              </w:rPr>
              <w:t xml:space="preserve"> – (4) Informaţiile publicate potrivit alin.(1) sau (2) sînt păstrate de Banca Naţională a Moldovei pe pagina web oficială pentru o perioadă de cel puţin 5 ani. Datele cu caracter personal sînt păstrate doar cît timp este necesar, cu respectarea prevederilor cadrului legislativ în domeniul protecţiei datelor cu caracter personal.</w:t>
            </w:r>
          </w:p>
          <w:p w14:paraId="2AF620CF" w14:textId="77777777" w:rsidR="00237069" w:rsidRPr="00154588" w:rsidRDefault="00237069" w:rsidP="008C12B4">
            <w:pPr>
              <w:jc w:val="both"/>
              <w:rPr>
                <w:b/>
                <w:sz w:val="20"/>
                <w:szCs w:val="20"/>
              </w:rPr>
            </w:pPr>
          </w:p>
        </w:tc>
        <w:tc>
          <w:tcPr>
            <w:tcW w:w="2545" w:type="dxa"/>
            <w:gridSpan w:val="2"/>
          </w:tcPr>
          <w:p w14:paraId="3F556351" w14:textId="77777777" w:rsidR="00237069" w:rsidRPr="00154588" w:rsidRDefault="00237069" w:rsidP="008C12B4">
            <w:pPr>
              <w:jc w:val="both"/>
              <w:rPr>
                <w:b/>
                <w:sz w:val="20"/>
                <w:szCs w:val="20"/>
              </w:rPr>
            </w:pPr>
            <w:r w:rsidRPr="00154588">
              <w:rPr>
                <w:bCs/>
                <w:sz w:val="20"/>
                <w:szCs w:val="20"/>
              </w:rPr>
              <w:t>Compatibil</w:t>
            </w:r>
          </w:p>
        </w:tc>
        <w:tc>
          <w:tcPr>
            <w:tcW w:w="3162" w:type="dxa"/>
            <w:gridSpan w:val="2"/>
          </w:tcPr>
          <w:p w14:paraId="49CFE428" w14:textId="77777777" w:rsidR="00237069" w:rsidRPr="00154588" w:rsidRDefault="00237069" w:rsidP="008C12B4">
            <w:pPr>
              <w:jc w:val="both"/>
              <w:rPr>
                <w:b/>
                <w:sz w:val="20"/>
                <w:szCs w:val="20"/>
              </w:rPr>
            </w:pPr>
          </w:p>
        </w:tc>
      </w:tr>
      <w:tr w:rsidR="00237069" w:rsidRPr="00154588" w14:paraId="107FC1AE" w14:textId="77777777" w:rsidTr="007F5746">
        <w:tc>
          <w:tcPr>
            <w:tcW w:w="4929" w:type="dxa"/>
          </w:tcPr>
          <w:p w14:paraId="470A9BC6" w14:textId="77777777" w:rsidR="00237069" w:rsidRPr="00154588" w:rsidRDefault="00237069" w:rsidP="008C12B4">
            <w:pPr>
              <w:jc w:val="both"/>
              <w:rPr>
                <w:bCs/>
                <w:sz w:val="20"/>
                <w:szCs w:val="20"/>
              </w:rPr>
            </w:pPr>
            <w:r w:rsidRPr="00154588">
              <w:rPr>
                <w:bCs/>
                <w:sz w:val="20"/>
                <w:szCs w:val="20"/>
              </w:rPr>
              <w:lastRenderedPageBreak/>
              <w:t>(4)   Până la 3 iulie 2016, ABE înaintează Comisiei un raport privind publicarea de către statele membre a sancțiunilor, fără a indica identitatea entităților implicate, în conformitate cu alineatul (2), în special atunci când au existat diferențe semnificative între statele membre în această privință. De asemenea, raportul abordează eventualele diferențe semnificative în ceea ce privește durata publicării sancțiunilor în temeiul dreptului intern din statele membre privind publicarea sancțiunilor.</w:t>
            </w:r>
          </w:p>
        </w:tc>
        <w:tc>
          <w:tcPr>
            <w:tcW w:w="4810" w:type="dxa"/>
          </w:tcPr>
          <w:p w14:paraId="7D06C555" w14:textId="77777777" w:rsidR="00237069" w:rsidRPr="00154588" w:rsidRDefault="00237069" w:rsidP="008C12B4">
            <w:pPr>
              <w:ind w:firstLine="567"/>
              <w:jc w:val="both"/>
              <w:rPr>
                <w:b/>
                <w:sz w:val="20"/>
                <w:szCs w:val="20"/>
              </w:rPr>
            </w:pPr>
          </w:p>
        </w:tc>
        <w:tc>
          <w:tcPr>
            <w:tcW w:w="2545" w:type="dxa"/>
            <w:gridSpan w:val="2"/>
          </w:tcPr>
          <w:p w14:paraId="07CD35E2" w14:textId="77777777" w:rsidR="00237069" w:rsidRPr="00154588" w:rsidRDefault="00237069" w:rsidP="008C12B4">
            <w:pPr>
              <w:jc w:val="both"/>
              <w:rPr>
                <w:b/>
                <w:sz w:val="20"/>
                <w:szCs w:val="20"/>
              </w:rPr>
            </w:pPr>
            <w:r w:rsidRPr="00154588">
              <w:rPr>
                <w:bCs/>
                <w:sz w:val="20"/>
                <w:szCs w:val="20"/>
                <w:lang w:val="ro-MD"/>
              </w:rPr>
              <w:t>Prevederi UE neaplicabile</w:t>
            </w:r>
          </w:p>
        </w:tc>
        <w:tc>
          <w:tcPr>
            <w:tcW w:w="3162" w:type="dxa"/>
            <w:gridSpan w:val="2"/>
          </w:tcPr>
          <w:p w14:paraId="6698D712" w14:textId="77777777" w:rsidR="00237069" w:rsidRPr="00154588" w:rsidRDefault="00237069" w:rsidP="008C12B4">
            <w:pPr>
              <w:jc w:val="both"/>
              <w:rPr>
                <w:b/>
                <w:sz w:val="20"/>
                <w:szCs w:val="20"/>
              </w:rPr>
            </w:pPr>
            <w:r w:rsidRPr="00154588">
              <w:rPr>
                <w:bCs/>
                <w:sz w:val="20"/>
                <w:szCs w:val="20"/>
                <w:lang w:val="ro-MD"/>
              </w:rPr>
              <w:t>Prevederi care se referă la atribuțiile de reglementare ale autorităților europene.</w:t>
            </w:r>
          </w:p>
        </w:tc>
      </w:tr>
      <w:tr w:rsidR="00237069" w:rsidRPr="00154588" w14:paraId="252338A5" w14:textId="77777777" w:rsidTr="007F5746">
        <w:tc>
          <w:tcPr>
            <w:tcW w:w="4929" w:type="dxa"/>
          </w:tcPr>
          <w:p w14:paraId="1035F885" w14:textId="77777777" w:rsidR="00237069" w:rsidRPr="00154588" w:rsidRDefault="00237069" w:rsidP="008C12B4">
            <w:pPr>
              <w:jc w:val="both"/>
              <w:rPr>
                <w:b/>
                <w:sz w:val="20"/>
                <w:szCs w:val="20"/>
              </w:rPr>
            </w:pPr>
            <w:r w:rsidRPr="00154588">
              <w:rPr>
                <w:b/>
                <w:sz w:val="20"/>
                <w:szCs w:val="20"/>
              </w:rPr>
              <w:t>Articolul 113</w:t>
            </w:r>
          </w:p>
          <w:p w14:paraId="018BC4A9" w14:textId="77777777" w:rsidR="00237069" w:rsidRPr="00154588" w:rsidRDefault="00237069" w:rsidP="008C12B4">
            <w:pPr>
              <w:jc w:val="both"/>
              <w:rPr>
                <w:b/>
                <w:sz w:val="20"/>
                <w:szCs w:val="20"/>
              </w:rPr>
            </w:pPr>
          </w:p>
          <w:p w14:paraId="6A043FAA" w14:textId="77777777" w:rsidR="00237069" w:rsidRPr="00154588" w:rsidRDefault="00237069" w:rsidP="008C12B4">
            <w:pPr>
              <w:jc w:val="both"/>
              <w:rPr>
                <w:bCs/>
                <w:sz w:val="20"/>
                <w:szCs w:val="20"/>
              </w:rPr>
            </w:pPr>
            <w:r w:rsidRPr="00154588">
              <w:rPr>
                <w:b/>
                <w:sz w:val="20"/>
                <w:szCs w:val="20"/>
              </w:rPr>
              <w:t>Menținerea de către ABE a unei baze de date centrale</w:t>
            </w:r>
          </w:p>
        </w:tc>
        <w:tc>
          <w:tcPr>
            <w:tcW w:w="4810" w:type="dxa"/>
          </w:tcPr>
          <w:p w14:paraId="400B4668" w14:textId="77777777" w:rsidR="00237069" w:rsidRPr="00154588" w:rsidRDefault="00237069" w:rsidP="008C12B4">
            <w:pPr>
              <w:jc w:val="both"/>
              <w:rPr>
                <w:b/>
                <w:sz w:val="20"/>
                <w:szCs w:val="20"/>
              </w:rPr>
            </w:pPr>
          </w:p>
        </w:tc>
        <w:tc>
          <w:tcPr>
            <w:tcW w:w="2545" w:type="dxa"/>
            <w:gridSpan w:val="2"/>
          </w:tcPr>
          <w:p w14:paraId="0B98ED6F" w14:textId="77777777" w:rsidR="00237069" w:rsidRPr="00154588" w:rsidRDefault="00237069" w:rsidP="008C12B4">
            <w:pPr>
              <w:jc w:val="both"/>
              <w:rPr>
                <w:b/>
                <w:sz w:val="20"/>
                <w:szCs w:val="20"/>
              </w:rPr>
            </w:pPr>
          </w:p>
        </w:tc>
        <w:tc>
          <w:tcPr>
            <w:tcW w:w="3162" w:type="dxa"/>
            <w:gridSpan w:val="2"/>
          </w:tcPr>
          <w:p w14:paraId="04D97326" w14:textId="77777777" w:rsidR="00237069" w:rsidRPr="00154588" w:rsidRDefault="00237069" w:rsidP="008C12B4">
            <w:pPr>
              <w:jc w:val="both"/>
              <w:rPr>
                <w:b/>
                <w:sz w:val="20"/>
                <w:szCs w:val="20"/>
              </w:rPr>
            </w:pPr>
          </w:p>
        </w:tc>
      </w:tr>
      <w:tr w:rsidR="00237069" w:rsidRPr="00154588" w14:paraId="044B1EA8" w14:textId="77777777" w:rsidTr="007F5746">
        <w:tc>
          <w:tcPr>
            <w:tcW w:w="4929" w:type="dxa"/>
          </w:tcPr>
          <w:p w14:paraId="5340E27D" w14:textId="77777777" w:rsidR="00237069" w:rsidRPr="00154588" w:rsidRDefault="00237069" w:rsidP="008C12B4">
            <w:pPr>
              <w:jc w:val="both"/>
              <w:rPr>
                <w:bCs/>
                <w:sz w:val="20"/>
                <w:szCs w:val="20"/>
              </w:rPr>
            </w:pPr>
            <w:r w:rsidRPr="00154588">
              <w:rPr>
                <w:bCs/>
                <w:sz w:val="20"/>
                <w:szCs w:val="20"/>
              </w:rPr>
              <w:t>(1)   Sub rezerva cerințelor de păstrare a secretului profesional menționate la articolul 84, autoritățile de rezoluție și autoritățile competente informează ABE cu privire la toate sancțiunile administrative pe care le-au impus în temeiul articolului 111 și cu privire la stadiul căii de atac și la rezultatul acesteia. ABE menține o bază de date centrală a sancțiunilor care i-au fost aduse la cunoștință exclusiv în scopul schimburilor de informații dintre autoritățile de rezoluție. Baza de date este accesibilă doar pentru autoritățile de rezoluție și este actualizată pe baza informațiilor furnizate de acestea. ABE menține o bază de date centrală a sancțiunilor care i-au fost aduse la cunoștință exclusiv în scopul schimburilor de informații dintre autoritățile competente. Baza de date este accesibilă doar pentru autoritățile competente și este actualizată pe baza informațiilor furnizate de acestea.</w:t>
            </w:r>
          </w:p>
        </w:tc>
        <w:tc>
          <w:tcPr>
            <w:tcW w:w="4810" w:type="dxa"/>
          </w:tcPr>
          <w:p w14:paraId="7B3DB95C" w14:textId="77777777" w:rsidR="00237069" w:rsidRPr="00154588" w:rsidRDefault="00237069" w:rsidP="008C12B4">
            <w:pPr>
              <w:ind w:firstLine="567"/>
              <w:jc w:val="both"/>
              <w:rPr>
                <w:sz w:val="20"/>
                <w:szCs w:val="20"/>
              </w:rPr>
            </w:pPr>
            <w:r w:rsidRPr="00154588">
              <w:rPr>
                <w:b/>
                <w:bCs/>
                <w:sz w:val="20"/>
                <w:szCs w:val="20"/>
              </w:rPr>
              <w:t>Articolul 317</w:t>
            </w:r>
            <w:r w:rsidRPr="00154588">
              <w:rPr>
                <w:b/>
                <w:bCs/>
                <w:sz w:val="20"/>
                <w:szCs w:val="20"/>
                <w:vertAlign w:val="superscript"/>
              </w:rPr>
              <w:t>1</w:t>
            </w:r>
            <w:r w:rsidRPr="00154588">
              <w:rPr>
                <w:b/>
                <w:bCs/>
                <w:sz w:val="20"/>
                <w:szCs w:val="20"/>
              </w:rPr>
              <w:t>.</w:t>
            </w:r>
            <w:r w:rsidRPr="00154588">
              <w:rPr>
                <w:sz w:val="20"/>
                <w:szCs w:val="20"/>
              </w:rPr>
              <w:t xml:space="preserve"> – (1) Banca Națională a Moldovei, în calitate de autoritate de rezoluției sau, după caz, de autoritate competentă, informează Autoritatea Bancară Europeană, în scopul realizării schimbului de informații cu autoritățile de rezoluție, respectiv cu autoritățile competente, din alte state membre, cu privire la toate sancțiunile și măsurile sancționatoare aplicate potrivit art.315, precum și cu privire la stadiul procedurilor de contestare și rezultatul acestora, cu respectarea cerințelor referitoare la păstrarea secretului profesional prevăzute la art.288-291. Banca Națională a Moldovei, în calitate de autoritate de rezoluție poate consulta baza de date centralizată la nivelul Uniunii Europene a sancțiunilor, administrată de Autoritatea Bancară Europeană, care poate fi accesată și consultată numai de autoritățile de rezoluție din statele membre. Banca Națională a Moldovei, în calitate de autoritate competentă, poate consulta baza de date centralizată la nivelul Uniunii Europene a sancțiunilor, administrată de Autoritatea Bancară Europeană, care poate fi accesată și consultată numai de autoritățile competente din statele membre.</w:t>
            </w:r>
          </w:p>
          <w:p w14:paraId="09FD0A77" w14:textId="77777777" w:rsidR="00237069" w:rsidRPr="00154588" w:rsidRDefault="00237069" w:rsidP="008C12B4">
            <w:pPr>
              <w:jc w:val="both"/>
              <w:rPr>
                <w:b/>
                <w:sz w:val="20"/>
                <w:szCs w:val="20"/>
              </w:rPr>
            </w:pPr>
          </w:p>
        </w:tc>
        <w:tc>
          <w:tcPr>
            <w:tcW w:w="2545" w:type="dxa"/>
            <w:gridSpan w:val="2"/>
          </w:tcPr>
          <w:p w14:paraId="4B873D70" w14:textId="77777777" w:rsidR="00237069" w:rsidRPr="00154588" w:rsidRDefault="00237069" w:rsidP="008C12B4">
            <w:pPr>
              <w:jc w:val="both"/>
              <w:rPr>
                <w:b/>
                <w:sz w:val="20"/>
                <w:szCs w:val="20"/>
              </w:rPr>
            </w:pPr>
            <w:r w:rsidRPr="00154588">
              <w:rPr>
                <w:bCs/>
                <w:sz w:val="20"/>
                <w:szCs w:val="20"/>
              </w:rPr>
              <w:t>Compatibil</w:t>
            </w:r>
          </w:p>
        </w:tc>
        <w:tc>
          <w:tcPr>
            <w:tcW w:w="3162" w:type="dxa"/>
            <w:gridSpan w:val="2"/>
          </w:tcPr>
          <w:p w14:paraId="1E4CD319" w14:textId="77777777" w:rsidR="00237069" w:rsidRPr="00154588" w:rsidRDefault="00237069" w:rsidP="008C12B4">
            <w:pPr>
              <w:jc w:val="both"/>
              <w:rPr>
                <w:b/>
                <w:sz w:val="20"/>
                <w:szCs w:val="20"/>
              </w:rPr>
            </w:pPr>
          </w:p>
        </w:tc>
      </w:tr>
      <w:tr w:rsidR="00237069" w:rsidRPr="00154588" w14:paraId="07C75D65" w14:textId="77777777" w:rsidTr="007F5746">
        <w:tc>
          <w:tcPr>
            <w:tcW w:w="4929" w:type="dxa"/>
          </w:tcPr>
          <w:p w14:paraId="50E3CBD4" w14:textId="77777777" w:rsidR="00237069" w:rsidRPr="00154588" w:rsidRDefault="00237069" w:rsidP="008C12B4">
            <w:pPr>
              <w:jc w:val="both"/>
              <w:rPr>
                <w:bCs/>
                <w:sz w:val="20"/>
                <w:szCs w:val="20"/>
              </w:rPr>
            </w:pPr>
            <w:r w:rsidRPr="00154588">
              <w:rPr>
                <w:bCs/>
                <w:sz w:val="20"/>
                <w:szCs w:val="20"/>
              </w:rPr>
              <w:t>(2)   ABE menține o pagină web cu link-uri către paginile pe care fiecare autoritate de rezoluție și fiecare autoritate competentă își publică sancțiunile în temeiul articolului 112 și indică perioada pentru care fiecare stat membru publică sancțiunile.</w:t>
            </w:r>
          </w:p>
        </w:tc>
        <w:tc>
          <w:tcPr>
            <w:tcW w:w="4810" w:type="dxa"/>
          </w:tcPr>
          <w:p w14:paraId="4E0F51B7" w14:textId="77777777" w:rsidR="00237069" w:rsidRPr="00154588" w:rsidRDefault="00237069" w:rsidP="008C12B4">
            <w:pPr>
              <w:ind w:firstLine="567"/>
              <w:jc w:val="both"/>
              <w:rPr>
                <w:sz w:val="20"/>
                <w:szCs w:val="20"/>
              </w:rPr>
            </w:pPr>
            <w:r w:rsidRPr="00154588">
              <w:rPr>
                <w:b/>
                <w:bCs/>
                <w:sz w:val="20"/>
                <w:szCs w:val="20"/>
              </w:rPr>
              <w:t>Articolul 317</w:t>
            </w:r>
            <w:r w:rsidRPr="00154588">
              <w:rPr>
                <w:b/>
                <w:bCs/>
                <w:sz w:val="20"/>
                <w:szCs w:val="20"/>
                <w:vertAlign w:val="superscript"/>
              </w:rPr>
              <w:t>1</w:t>
            </w:r>
            <w:r w:rsidRPr="00154588">
              <w:rPr>
                <w:b/>
                <w:bCs/>
                <w:sz w:val="20"/>
                <w:szCs w:val="20"/>
              </w:rPr>
              <w:t>.</w:t>
            </w:r>
            <w:r w:rsidRPr="00154588">
              <w:rPr>
                <w:sz w:val="20"/>
                <w:szCs w:val="20"/>
              </w:rPr>
              <w:t xml:space="preserve"> – (2) Banca Națională a Moldovei, în calitate de autoritate de rezoluție sau, după caz, de autoritate competentă, după caz, informează Autoritatea Bancară Europeană cu privire la sancțiunile pe care le publică în modalitatea </w:t>
            </w:r>
            <w:r w:rsidRPr="00154588">
              <w:rPr>
                <w:sz w:val="20"/>
                <w:szCs w:val="20"/>
              </w:rPr>
              <w:lastRenderedPageBreak/>
              <w:t>și cu periodicitatea indicate de Autoritatea Bancară Europeană.</w:t>
            </w:r>
          </w:p>
          <w:p w14:paraId="3CBEC12F" w14:textId="77777777" w:rsidR="00237069" w:rsidRPr="00154588" w:rsidRDefault="00237069" w:rsidP="008C12B4">
            <w:pPr>
              <w:ind w:firstLine="567"/>
              <w:jc w:val="both"/>
              <w:rPr>
                <w:sz w:val="20"/>
                <w:szCs w:val="20"/>
              </w:rPr>
            </w:pPr>
            <w:r w:rsidRPr="00154588">
              <w:rPr>
                <w:sz w:val="20"/>
                <w:szCs w:val="20"/>
              </w:rPr>
              <w:t> </w:t>
            </w:r>
          </w:p>
          <w:p w14:paraId="7D05EA88" w14:textId="77777777" w:rsidR="00237069" w:rsidRPr="00154588" w:rsidRDefault="00237069" w:rsidP="008C12B4">
            <w:pPr>
              <w:jc w:val="both"/>
              <w:rPr>
                <w:b/>
                <w:sz w:val="20"/>
                <w:szCs w:val="20"/>
              </w:rPr>
            </w:pPr>
          </w:p>
          <w:p w14:paraId="67036807" w14:textId="77777777" w:rsidR="00237069" w:rsidRPr="00154588" w:rsidRDefault="00237069" w:rsidP="008C12B4">
            <w:pPr>
              <w:tabs>
                <w:tab w:val="left" w:pos="1333"/>
              </w:tabs>
              <w:rPr>
                <w:sz w:val="20"/>
                <w:szCs w:val="20"/>
              </w:rPr>
            </w:pPr>
            <w:r w:rsidRPr="00154588">
              <w:rPr>
                <w:sz w:val="20"/>
                <w:szCs w:val="20"/>
              </w:rPr>
              <w:tab/>
            </w:r>
          </w:p>
        </w:tc>
        <w:tc>
          <w:tcPr>
            <w:tcW w:w="2545" w:type="dxa"/>
            <w:gridSpan w:val="2"/>
          </w:tcPr>
          <w:p w14:paraId="08BAC1DE" w14:textId="77777777" w:rsidR="00237069" w:rsidRPr="00154588" w:rsidRDefault="00237069" w:rsidP="008C12B4">
            <w:pPr>
              <w:jc w:val="both"/>
              <w:rPr>
                <w:b/>
                <w:sz w:val="20"/>
                <w:szCs w:val="20"/>
              </w:rPr>
            </w:pPr>
            <w:r w:rsidRPr="00154588">
              <w:rPr>
                <w:bCs/>
                <w:sz w:val="20"/>
                <w:szCs w:val="20"/>
              </w:rPr>
              <w:lastRenderedPageBreak/>
              <w:t>Compatibil</w:t>
            </w:r>
          </w:p>
        </w:tc>
        <w:tc>
          <w:tcPr>
            <w:tcW w:w="3162" w:type="dxa"/>
            <w:gridSpan w:val="2"/>
          </w:tcPr>
          <w:p w14:paraId="7FAC15A5" w14:textId="77777777" w:rsidR="00237069" w:rsidRPr="00154588" w:rsidRDefault="00237069" w:rsidP="008C12B4">
            <w:pPr>
              <w:jc w:val="both"/>
              <w:rPr>
                <w:b/>
                <w:sz w:val="20"/>
                <w:szCs w:val="20"/>
              </w:rPr>
            </w:pPr>
          </w:p>
        </w:tc>
      </w:tr>
      <w:tr w:rsidR="00237069" w:rsidRPr="00154588" w14:paraId="48D6164A" w14:textId="77777777" w:rsidTr="007F5746">
        <w:tc>
          <w:tcPr>
            <w:tcW w:w="4929" w:type="dxa"/>
          </w:tcPr>
          <w:p w14:paraId="0656A850" w14:textId="77777777" w:rsidR="00237069" w:rsidRPr="00154588" w:rsidRDefault="00237069" w:rsidP="008C12B4">
            <w:pPr>
              <w:jc w:val="both"/>
              <w:rPr>
                <w:b/>
                <w:sz w:val="20"/>
                <w:szCs w:val="20"/>
              </w:rPr>
            </w:pPr>
            <w:r w:rsidRPr="00154588">
              <w:rPr>
                <w:b/>
                <w:sz w:val="20"/>
                <w:szCs w:val="20"/>
              </w:rPr>
              <w:t>Articolul 114</w:t>
            </w:r>
          </w:p>
          <w:p w14:paraId="4583B684" w14:textId="77777777" w:rsidR="00237069" w:rsidRPr="00154588" w:rsidRDefault="00237069" w:rsidP="008C12B4">
            <w:pPr>
              <w:jc w:val="both"/>
              <w:rPr>
                <w:b/>
                <w:sz w:val="20"/>
                <w:szCs w:val="20"/>
              </w:rPr>
            </w:pPr>
          </w:p>
          <w:p w14:paraId="68FDBB4B" w14:textId="77777777" w:rsidR="00237069" w:rsidRPr="00154588" w:rsidRDefault="00237069" w:rsidP="008C12B4">
            <w:pPr>
              <w:jc w:val="both"/>
              <w:rPr>
                <w:bCs/>
                <w:sz w:val="20"/>
                <w:szCs w:val="20"/>
              </w:rPr>
            </w:pPr>
            <w:r w:rsidRPr="00154588">
              <w:rPr>
                <w:b/>
                <w:sz w:val="20"/>
                <w:szCs w:val="20"/>
              </w:rPr>
              <w:t>Aplicarea efectivă a sancțiunilor și exercitarea competențelor de sancționare de către autoritățile competente și autoritățile de rezoluție</w:t>
            </w:r>
          </w:p>
        </w:tc>
        <w:tc>
          <w:tcPr>
            <w:tcW w:w="4810" w:type="dxa"/>
          </w:tcPr>
          <w:p w14:paraId="6907282D" w14:textId="77777777" w:rsidR="00237069" w:rsidRPr="00154588" w:rsidRDefault="00237069" w:rsidP="008C12B4">
            <w:pPr>
              <w:jc w:val="both"/>
              <w:rPr>
                <w:b/>
                <w:sz w:val="20"/>
                <w:szCs w:val="20"/>
              </w:rPr>
            </w:pPr>
          </w:p>
        </w:tc>
        <w:tc>
          <w:tcPr>
            <w:tcW w:w="2545" w:type="dxa"/>
            <w:gridSpan w:val="2"/>
          </w:tcPr>
          <w:p w14:paraId="529D30D2" w14:textId="77777777" w:rsidR="00237069" w:rsidRPr="00154588" w:rsidRDefault="00237069" w:rsidP="008C12B4">
            <w:pPr>
              <w:jc w:val="both"/>
              <w:rPr>
                <w:b/>
                <w:sz w:val="20"/>
                <w:szCs w:val="20"/>
              </w:rPr>
            </w:pPr>
          </w:p>
        </w:tc>
        <w:tc>
          <w:tcPr>
            <w:tcW w:w="3162" w:type="dxa"/>
            <w:gridSpan w:val="2"/>
          </w:tcPr>
          <w:p w14:paraId="7366C665" w14:textId="77777777" w:rsidR="00237069" w:rsidRPr="00154588" w:rsidRDefault="00237069" w:rsidP="008C12B4">
            <w:pPr>
              <w:jc w:val="both"/>
              <w:rPr>
                <w:b/>
                <w:sz w:val="20"/>
                <w:szCs w:val="20"/>
              </w:rPr>
            </w:pPr>
          </w:p>
        </w:tc>
      </w:tr>
      <w:tr w:rsidR="00237069" w:rsidRPr="00154588" w14:paraId="35339A42" w14:textId="77777777" w:rsidTr="007F5746">
        <w:tc>
          <w:tcPr>
            <w:tcW w:w="4929" w:type="dxa"/>
          </w:tcPr>
          <w:p w14:paraId="5821E9A0" w14:textId="77777777" w:rsidR="00237069" w:rsidRPr="00154588" w:rsidRDefault="00237069" w:rsidP="008C12B4">
            <w:pPr>
              <w:jc w:val="both"/>
              <w:rPr>
                <w:bCs/>
                <w:sz w:val="20"/>
                <w:szCs w:val="20"/>
              </w:rPr>
            </w:pPr>
            <w:r w:rsidRPr="00154588">
              <w:rPr>
                <w:bCs/>
                <w:sz w:val="20"/>
                <w:szCs w:val="20"/>
              </w:rPr>
              <w:t>Statele membre se asigură că, atunci când stabilesc tipul sancțiunilor administrative sau al altor măsuri administrative și nivelul amenzilor administrative, autoritățile competente și autoritățile de rezoluție iau în considerare toate circumstanțele relevante, inclusiv, după caz:</w:t>
            </w:r>
          </w:p>
          <w:p w14:paraId="280C89AD" w14:textId="77777777" w:rsidR="00237069" w:rsidRPr="00154588" w:rsidRDefault="00237069" w:rsidP="008C12B4">
            <w:pPr>
              <w:jc w:val="both"/>
              <w:rPr>
                <w:bCs/>
                <w:sz w:val="20"/>
                <w:szCs w:val="20"/>
              </w:rPr>
            </w:pPr>
          </w:p>
          <w:p w14:paraId="040A7091" w14:textId="77777777" w:rsidR="00237069" w:rsidRPr="00154588" w:rsidRDefault="00237069" w:rsidP="008C12B4">
            <w:pPr>
              <w:jc w:val="both"/>
              <w:rPr>
                <w:bCs/>
                <w:sz w:val="20"/>
                <w:szCs w:val="20"/>
              </w:rPr>
            </w:pPr>
            <w:r w:rsidRPr="00154588">
              <w:rPr>
                <w:bCs/>
                <w:sz w:val="20"/>
                <w:szCs w:val="20"/>
              </w:rPr>
              <w:t>(a) gravitatea și durata încălcării;</w:t>
            </w:r>
          </w:p>
          <w:p w14:paraId="1F8D1F6D" w14:textId="77777777" w:rsidR="00237069" w:rsidRPr="00154588" w:rsidRDefault="00237069" w:rsidP="008C12B4">
            <w:pPr>
              <w:jc w:val="both"/>
              <w:rPr>
                <w:bCs/>
                <w:sz w:val="20"/>
                <w:szCs w:val="20"/>
              </w:rPr>
            </w:pPr>
          </w:p>
          <w:p w14:paraId="03FB6DA5" w14:textId="77777777" w:rsidR="00237069" w:rsidRPr="00154588" w:rsidRDefault="00237069" w:rsidP="008C12B4">
            <w:pPr>
              <w:jc w:val="both"/>
              <w:rPr>
                <w:bCs/>
                <w:sz w:val="20"/>
                <w:szCs w:val="20"/>
              </w:rPr>
            </w:pPr>
            <w:r w:rsidRPr="00154588">
              <w:rPr>
                <w:bCs/>
                <w:sz w:val="20"/>
                <w:szCs w:val="20"/>
              </w:rPr>
              <w:t>(b) gradul de responsabilitate al persoanei fizice sau juridice responsabile;</w:t>
            </w:r>
          </w:p>
          <w:p w14:paraId="5FAA0CA2" w14:textId="77777777" w:rsidR="00237069" w:rsidRPr="00154588" w:rsidRDefault="00237069" w:rsidP="008C12B4">
            <w:pPr>
              <w:jc w:val="both"/>
              <w:rPr>
                <w:bCs/>
                <w:sz w:val="20"/>
                <w:szCs w:val="20"/>
              </w:rPr>
            </w:pPr>
          </w:p>
          <w:p w14:paraId="19B39DD0" w14:textId="77777777" w:rsidR="00237069" w:rsidRPr="00154588" w:rsidRDefault="00237069" w:rsidP="008C12B4">
            <w:pPr>
              <w:jc w:val="both"/>
              <w:rPr>
                <w:bCs/>
                <w:sz w:val="20"/>
                <w:szCs w:val="20"/>
              </w:rPr>
            </w:pPr>
            <w:r w:rsidRPr="00154588">
              <w:rPr>
                <w:bCs/>
                <w:sz w:val="20"/>
                <w:szCs w:val="20"/>
              </w:rPr>
              <w:t>(c) soliditatea financiară a persoanei fizice sau juridice responsabile, astfel cum este indicată, de exemplu, în funcție de cifra de afaceri totală a persoanei juridice responsabile sau de venitul anual al persoanei fizice responsabile;</w:t>
            </w:r>
          </w:p>
          <w:p w14:paraId="1AB9EAD0" w14:textId="77777777" w:rsidR="00237069" w:rsidRPr="00154588" w:rsidRDefault="00237069" w:rsidP="008C12B4">
            <w:pPr>
              <w:jc w:val="both"/>
              <w:rPr>
                <w:bCs/>
                <w:sz w:val="20"/>
                <w:szCs w:val="20"/>
              </w:rPr>
            </w:pPr>
          </w:p>
          <w:p w14:paraId="6971F484" w14:textId="77777777" w:rsidR="00237069" w:rsidRPr="00154588" w:rsidRDefault="00237069" w:rsidP="008C12B4">
            <w:pPr>
              <w:jc w:val="both"/>
              <w:rPr>
                <w:bCs/>
                <w:sz w:val="20"/>
                <w:szCs w:val="20"/>
              </w:rPr>
            </w:pPr>
            <w:r w:rsidRPr="00154588">
              <w:rPr>
                <w:bCs/>
                <w:sz w:val="20"/>
                <w:szCs w:val="20"/>
              </w:rPr>
              <w:t>(d) cuantumul profiturilor acumulate sau a pierderilor evitate de persoana fizica sau juridică responsabilă, în măsura în care ele pot fi stabilite;</w:t>
            </w:r>
          </w:p>
          <w:p w14:paraId="53BE6CAE" w14:textId="77777777" w:rsidR="00237069" w:rsidRPr="00154588" w:rsidRDefault="00237069" w:rsidP="008C12B4">
            <w:pPr>
              <w:jc w:val="both"/>
              <w:rPr>
                <w:bCs/>
                <w:sz w:val="20"/>
                <w:szCs w:val="20"/>
              </w:rPr>
            </w:pPr>
          </w:p>
          <w:p w14:paraId="4B5C2B4C" w14:textId="77777777" w:rsidR="00237069" w:rsidRPr="00154588" w:rsidRDefault="00237069" w:rsidP="008C12B4">
            <w:pPr>
              <w:jc w:val="both"/>
              <w:rPr>
                <w:bCs/>
                <w:sz w:val="20"/>
                <w:szCs w:val="20"/>
              </w:rPr>
            </w:pPr>
            <w:r w:rsidRPr="00154588">
              <w:rPr>
                <w:bCs/>
                <w:sz w:val="20"/>
                <w:szCs w:val="20"/>
              </w:rPr>
              <w:t>(e) pierderile suferite de părțile terțe din cauza încălcării, în măsura în care acestea pot fi stabilite;</w:t>
            </w:r>
          </w:p>
          <w:p w14:paraId="29F5E584" w14:textId="77777777" w:rsidR="00237069" w:rsidRPr="00154588" w:rsidRDefault="00237069" w:rsidP="008C12B4">
            <w:pPr>
              <w:jc w:val="both"/>
              <w:rPr>
                <w:bCs/>
                <w:sz w:val="20"/>
                <w:szCs w:val="20"/>
              </w:rPr>
            </w:pPr>
          </w:p>
          <w:p w14:paraId="5972C9CD" w14:textId="77777777" w:rsidR="00237069" w:rsidRPr="00154588" w:rsidRDefault="00237069" w:rsidP="008C12B4">
            <w:pPr>
              <w:jc w:val="both"/>
              <w:rPr>
                <w:bCs/>
                <w:sz w:val="20"/>
                <w:szCs w:val="20"/>
              </w:rPr>
            </w:pPr>
            <w:r w:rsidRPr="00154588">
              <w:rPr>
                <w:bCs/>
                <w:sz w:val="20"/>
                <w:szCs w:val="20"/>
              </w:rPr>
              <w:t>(f) măsura în care persoana fizică sau juridică responsabile cooperează cu autoritatea competentă și cu autoritatea de rezoluție;</w:t>
            </w:r>
          </w:p>
          <w:p w14:paraId="23B496F0" w14:textId="77777777" w:rsidR="00237069" w:rsidRPr="00154588" w:rsidRDefault="00237069" w:rsidP="008C12B4">
            <w:pPr>
              <w:jc w:val="both"/>
              <w:rPr>
                <w:bCs/>
                <w:sz w:val="20"/>
                <w:szCs w:val="20"/>
              </w:rPr>
            </w:pPr>
          </w:p>
          <w:p w14:paraId="620F4A61" w14:textId="77777777" w:rsidR="00237069" w:rsidRPr="00154588" w:rsidRDefault="00237069" w:rsidP="008C12B4">
            <w:pPr>
              <w:jc w:val="both"/>
              <w:rPr>
                <w:bCs/>
                <w:sz w:val="20"/>
                <w:szCs w:val="20"/>
              </w:rPr>
            </w:pPr>
            <w:r w:rsidRPr="00154588">
              <w:rPr>
                <w:bCs/>
                <w:sz w:val="20"/>
                <w:szCs w:val="20"/>
              </w:rPr>
              <w:t>(g) încălcări anterioare comise de persoana fizică sau juridică responsabilă;</w:t>
            </w:r>
          </w:p>
          <w:p w14:paraId="7FA5593B" w14:textId="77777777" w:rsidR="00237069" w:rsidRPr="00154588" w:rsidRDefault="00237069" w:rsidP="008C12B4">
            <w:pPr>
              <w:jc w:val="both"/>
              <w:rPr>
                <w:bCs/>
                <w:sz w:val="20"/>
                <w:szCs w:val="20"/>
              </w:rPr>
            </w:pPr>
          </w:p>
          <w:p w14:paraId="055D1F27" w14:textId="77777777" w:rsidR="00237069" w:rsidRPr="00154588" w:rsidRDefault="00237069" w:rsidP="008C12B4">
            <w:pPr>
              <w:jc w:val="both"/>
              <w:rPr>
                <w:bCs/>
                <w:sz w:val="20"/>
                <w:szCs w:val="20"/>
              </w:rPr>
            </w:pPr>
            <w:r w:rsidRPr="00154588">
              <w:rPr>
                <w:bCs/>
                <w:sz w:val="20"/>
                <w:szCs w:val="20"/>
              </w:rPr>
              <w:t>(h) orice consecințe potențial sistemice ale încălcării.</w:t>
            </w:r>
          </w:p>
          <w:p w14:paraId="6080D23D" w14:textId="77777777" w:rsidR="00237069" w:rsidRPr="00154588" w:rsidRDefault="00237069" w:rsidP="008C12B4">
            <w:pPr>
              <w:jc w:val="both"/>
              <w:rPr>
                <w:bCs/>
                <w:sz w:val="20"/>
                <w:szCs w:val="20"/>
              </w:rPr>
            </w:pPr>
          </w:p>
        </w:tc>
        <w:tc>
          <w:tcPr>
            <w:tcW w:w="4810" w:type="dxa"/>
          </w:tcPr>
          <w:p w14:paraId="490E5B68" w14:textId="77777777" w:rsidR="00237069" w:rsidRPr="00154588" w:rsidRDefault="00237069" w:rsidP="008C12B4">
            <w:pPr>
              <w:ind w:firstLine="567"/>
              <w:jc w:val="both"/>
              <w:rPr>
                <w:sz w:val="20"/>
                <w:szCs w:val="20"/>
              </w:rPr>
            </w:pPr>
            <w:r w:rsidRPr="00154588">
              <w:rPr>
                <w:b/>
                <w:sz w:val="20"/>
                <w:szCs w:val="20"/>
              </w:rPr>
              <w:t>Articolul</w:t>
            </w:r>
            <w:r w:rsidRPr="00154588">
              <w:rPr>
                <w:sz w:val="20"/>
                <w:szCs w:val="20"/>
              </w:rPr>
              <w:t xml:space="preserve"> </w:t>
            </w:r>
            <w:r w:rsidRPr="00154588">
              <w:rPr>
                <w:b/>
                <w:sz w:val="20"/>
                <w:szCs w:val="20"/>
              </w:rPr>
              <w:t>318.</w:t>
            </w:r>
            <w:r w:rsidRPr="00154588">
              <w:rPr>
                <w:sz w:val="20"/>
                <w:szCs w:val="20"/>
              </w:rPr>
              <w:t xml:space="preserve"> – (1) Sancţiunile şi măsurile sancționatoare aplicate potrivit art.316 trebuie să fie eficace şi proporţionale cu faptele constatate şi să fie de natură a avea un efect descurajant.</w:t>
            </w:r>
          </w:p>
          <w:p w14:paraId="46D5782D" w14:textId="77777777" w:rsidR="00237069" w:rsidRPr="00154588" w:rsidRDefault="00237069" w:rsidP="008C12B4">
            <w:pPr>
              <w:ind w:firstLine="567"/>
              <w:jc w:val="both"/>
              <w:rPr>
                <w:sz w:val="20"/>
                <w:szCs w:val="20"/>
              </w:rPr>
            </w:pPr>
            <w:r w:rsidRPr="00154588">
              <w:rPr>
                <w:sz w:val="20"/>
                <w:szCs w:val="20"/>
              </w:rPr>
              <w:t>(2) La stabilirea tipului sancţiunii sau a măsurii sancționatoare şi a cuantumului amenzii, Banca Naţională a Moldovei, în calitate de autoritate competentă şi de autoritate de rezoluţie, are în vedere toate circumstanţele reale şi personale ale săvîrşirii faptei, pe care le consideră relevante, inclusiv următoarele aspecte, după caz:</w:t>
            </w:r>
          </w:p>
          <w:p w14:paraId="0670368F" w14:textId="77777777" w:rsidR="00237069" w:rsidRPr="00154588" w:rsidRDefault="00237069" w:rsidP="008C12B4">
            <w:pPr>
              <w:ind w:firstLine="567"/>
              <w:jc w:val="both"/>
              <w:rPr>
                <w:sz w:val="20"/>
                <w:szCs w:val="20"/>
              </w:rPr>
            </w:pPr>
            <w:r w:rsidRPr="00154588">
              <w:rPr>
                <w:sz w:val="20"/>
                <w:szCs w:val="20"/>
              </w:rPr>
              <w:t>a) gravitatea şi durata faptei;</w:t>
            </w:r>
          </w:p>
          <w:p w14:paraId="19E9C81F" w14:textId="77777777" w:rsidR="00237069" w:rsidRPr="00154588" w:rsidRDefault="00237069" w:rsidP="008C12B4">
            <w:pPr>
              <w:ind w:firstLine="567"/>
              <w:jc w:val="both"/>
              <w:rPr>
                <w:sz w:val="20"/>
                <w:szCs w:val="20"/>
              </w:rPr>
            </w:pPr>
            <w:r w:rsidRPr="00154588">
              <w:rPr>
                <w:sz w:val="20"/>
                <w:szCs w:val="20"/>
              </w:rPr>
              <w:t>b) gradul de vinovăţie a persoanei fizice sau juridice responsabile;</w:t>
            </w:r>
          </w:p>
          <w:p w14:paraId="38AEFB45" w14:textId="77777777" w:rsidR="00237069" w:rsidRPr="00154588" w:rsidRDefault="00237069" w:rsidP="008C12B4">
            <w:pPr>
              <w:ind w:firstLine="567"/>
              <w:jc w:val="both"/>
              <w:rPr>
                <w:sz w:val="20"/>
                <w:szCs w:val="20"/>
              </w:rPr>
            </w:pPr>
            <w:r w:rsidRPr="00154588">
              <w:rPr>
                <w:sz w:val="20"/>
                <w:szCs w:val="20"/>
              </w:rPr>
              <w:t>c) soliditatea financiară a persoanei fizice sau juridice responsabile, astfel cum rezultă, de exemplu, din venitul anual al persoanei fizice responsabile sau din cifra de afaceri totală a persoanei juridice responsabile;</w:t>
            </w:r>
          </w:p>
          <w:p w14:paraId="2BEA4DC6" w14:textId="77777777" w:rsidR="00237069" w:rsidRPr="00154588" w:rsidRDefault="00237069" w:rsidP="008C12B4">
            <w:pPr>
              <w:ind w:firstLine="567"/>
              <w:jc w:val="both"/>
              <w:rPr>
                <w:sz w:val="20"/>
                <w:szCs w:val="20"/>
              </w:rPr>
            </w:pPr>
            <w:r w:rsidRPr="00154588">
              <w:rPr>
                <w:sz w:val="20"/>
                <w:szCs w:val="20"/>
              </w:rPr>
              <w:t>d) cuantumul profiturilor realizate sau a pierderilor evitate de către persoana fizică sau juridică responsabilă, în beneficiul acesteia, în măsura în care acestea pot fi determinate;</w:t>
            </w:r>
          </w:p>
          <w:p w14:paraId="56B67840" w14:textId="77777777" w:rsidR="00237069" w:rsidRPr="00154588" w:rsidRDefault="00237069" w:rsidP="008C12B4">
            <w:pPr>
              <w:ind w:firstLine="567"/>
              <w:jc w:val="both"/>
              <w:rPr>
                <w:sz w:val="20"/>
                <w:szCs w:val="20"/>
              </w:rPr>
            </w:pPr>
            <w:r w:rsidRPr="00154588">
              <w:rPr>
                <w:sz w:val="20"/>
                <w:szCs w:val="20"/>
              </w:rPr>
              <w:t>e) prejudiciile cauzate terţilor, în măsura în care pot fi determinate;</w:t>
            </w:r>
          </w:p>
          <w:p w14:paraId="3130087E" w14:textId="77777777" w:rsidR="00237069" w:rsidRPr="00154588" w:rsidRDefault="00237069" w:rsidP="008C12B4">
            <w:pPr>
              <w:ind w:firstLine="567"/>
              <w:jc w:val="both"/>
              <w:rPr>
                <w:sz w:val="20"/>
                <w:szCs w:val="20"/>
              </w:rPr>
            </w:pPr>
            <w:r w:rsidRPr="00154588">
              <w:rPr>
                <w:sz w:val="20"/>
                <w:szCs w:val="20"/>
              </w:rPr>
              <w:t>f) gradul de cooperare a persoanei fizice sau juridice responsabile cu Banca Naţională a Moldovei, în calitate de autoritate competentă şi de autoritate de rezoluţie;</w:t>
            </w:r>
          </w:p>
          <w:p w14:paraId="1AC28A11" w14:textId="77777777" w:rsidR="00237069" w:rsidRPr="00154588" w:rsidRDefault="00237069" w:rsidP="008C12B4">
            <w:pPr>
              <w:ind w:firstLine="567"/>
              <w:jc w:val="both"/>
              <w:rPr>
                <w:sz w:val="20"/>
                <w:szCs w:val="20"/>
              </w:rPr>
            </w:pPr>
            <w:r w:rsidRPr="00154588">
              <w:rPr>
                <w:sz w:val="20"/>
                <w:szCs w:val="20"/>
              </w:rPr>
              <w:t>g) încălcările săvîrşite anterior de persoana fizică sau juridică responsabilă;</w:t>
            </w:r>
          </w:p>
          <w:p w14:paraId="34375BCF" w14:textId="77777777" w:rsidR="00237069" w:rsidRPr="00154588" w:rsidRDefault="00237069" w:rsidP="008C12B4">
            <w:pPr>
              <w:ind w:firstLine="567"/>
              <w:jc w:val="both"/>
              <w:rPr>
                <w:sz w:val="20"/>
                <w:szCs w:val="20"/>
              </w:rPr>
            </w:pPr>
            <w:r w:rsidRPr="00154588">
              <w:rPr>
                <w:sz w:val="20"/>
                <w:szCs w:val="20"/>
              </w:rPr>
              <w:t>h) orice consecinţe potenţial sistemice ale faptei săvîrşite.</w:t>
            </w:r>
          </w:p>
          <w:p w14:paraId="4AC9DF6D" w14:textId="77777777" w:rsidR="00237069" w:rsidRPr="00154588" w:rsidRDefault="00237069" w:rsidP="008C12B4">
            <w:pPr>
              <w:jc w:val="both"/>
              <w:rPr>
                <w:b/>
                <w:sz w:val="20"/>
                <w:szCs w:val="20"/>
              </w:rPr>
            </w:pPr>
          </w:p>
        </w:tc>
        <w:tc>
          <w:tcPr>
            <w:tcW w:w="2545" w:type="dxa"/>
            <w:gridSpan w:val="2"/>
          </w:tcPr>
          <w:p w14:paraId="3D8D4086" w14:textId="77777777" w:rsidR="00237069" w:rsidRPr="00154588" w:rsidRDefault="00237069" w:rsidP="008C12B4">
            <w:pPr>
              <w:jc w:val="both"/>
              <w:rPr>
                <w:b/>
                <w:sz w:val="20"/>
                <w:szCs w:val="20"/>
              </w:rPr>
            </w:pPr>
            <w:r w:rsidRPr="00154588">
              <w:rPr>
                <w:bCs/>
                <w:sz w:val="20"/>
                <w:szCs w:val="20"/>
              </w:rPr>
              <w:t>Compatibil</w:t>
            </w:r>
          </w:p>
        </w:tc>
        <w:tc>
          <w:tcPr>
            <w:tcW w:w="3162" w:type="dxa"/>
            <w:gridSpan w:val="2"/>
          </w:tcPr>
          <w:p w14:paraId="6EF12C0B" w14:textId="77777777" w:rsidR="00237069" w:rsidRPr="00154588" w:rsidRDefault="00237069" w:rsidP="008C12B4">
            <w:pPr>
              <w:jc w:val="both"/>
              <w:rPr>
                <w:b/>
                <w:sz w:val="20"/>
                <w:szCs w:val="20"/>
              </w:rPr>
            </w:pPr>
          </w:p>
        </w:tc>
      </w:tr>
      <w:tr w:rsidR="00237069" w:rsidRPr="00154588" w14:paraId="51515EE5" w14:textId="77777777" w:rsidTr="007F5746">
        <w:tc>
          <w:tcPr>
            <w:tcW w:w="4929" w:type="dxa"/>
          </w:tcPr>
          <w:p w14:paraId="17B19DFC" w14:textId="77777777" w:rsidR="00237069" w:rsidRPr="00154588" w:rsidRDefault="00237069" w:rsidP="008C12B4">
            <w:pPr>
              <w:jc w:val="both"/>
              <w:rPr>
                <w:b/>
                <w:sz w:val="20"/>
                <w:szCs w:val="20"/>
              </w:rPr>
            </w:pPr>
            <w:r w:rsidRPr="00154588">
              <w:rPr>
                <w:b/>
                <w:sz w:val="20"/>
                <w:szCs w:val="20"/>
              </w:rPr>
              <w:t>TITLUL IX</w:t>
            </w:r>
          </w:p>
          <w:p w14:paraId="14069561" w14:textId="77777777" w:rsidR="00237069" w:rsidRPr="00154588" w:rsidRDefault="00237069" w:rsidP="008C12B4">
            <w:pPr>
              <w:jc w:val="both"/>
              <w:rPr>
                <w:b/>
                <w:sz w:val="20"/>
                <w:szCs w:val="20"/>
              </w:rPr>
            </w:pPr>
          </w:p>
          <w:p w14:paraId="5B9D72FE" w14:textId="77777777" w:rsidR="00237069" w:rsidRPr="00154588" w:rsidRDefault="00237069" w:rsidP="008C12B4">
            <w:pPr>
              <w:jc w:val="both"/>
              <w:rPr>
                <w:b/>
                <w:sz w:val="20"/>
                <w:szCs w:val="20"/>
              </w:rPr>
            </w:pPr>
            <w:r w:rsidRPr="00154588">
              <w:rPr>
                <w:b/>
                <w:sz w:val="20"/>
                <w:szCs w:val="20"/>
              </w:rPr>
              <w:t>COMPETENȚE DE EXECUTARE</w:t>
            </w:r>
          </w:p>
        </w:tc>
        <w:tc>
          <w:tcPr>
            <w:tcW w:w="4810" w:type="dxa"/>
          </w:tcPr>
          <w:p w14:paraId="4251626D" w14:textId="77777777" w:rsidR="00237069" w:rsidRPr="00154588" w:rsidRDefault="00237069" w:rsidP="008C12B4">
            <w:pPr>
              <w:jc w:val="both"/>
              <w:rPr>
                <w:b/>
                <w:sz w:val="20"/>
                <w:szCs w:val="20"/>
              </w:rPr>
            </w:pPr>
          </w:p>
        </w:tc>
        <w:tc>
          <w:tcPr>
            <w:tcW w:w="2545" w:type="dxa"/>
            <w:gridSpan w:val="2"/>
          </w:tcPr>
          <w:p w14:paraId="4739B581" w14:textId="77777777" w:rsidR="00237069" w:rsidRPr="00154588" w:rsidRDefault="00237069" w:rsidP="008C12B4">
            <w:pPr>
              <w:jc w:val="both"/>
              <w:rPr>
                <w:b/>
                <w:sz w:val="20"/>
                <w:szCs w:val="20"/>
              </w:rPr>
            </w:pPr>
          </w:p>
        </w:tc>
        <w:tc>
          <w:tcPr>
            <w:tcW w:w="3162" w:type="dxa"/>
            <w:gridSpan w:val="2"/>
          </w:tcPr>
          <w:p w14:paraId="0BF501C3" w14:textId="77777777" w:rsidR="00237069" w:rsidRPr="00154588" w:rsidRDefault="00237069" w:rsidP="008C12B4">
            <w:pPr>
              <w:jc w:val="both"/>
              <w:rPr>
                <w:b/>
                <w:sz w:val="20"/>
                <w:szCs w:val="20"/>
              </w:rPr>
            </w:pPr>
          </w:p>
        </w:tc>
      </w:tr>
      <w:tr w:rsidR="00237069" w:rsidRPr="00154588" w14:paraId="2E5DB9E8" w14:textId="77777777" w:rsidTr="007F5746">
        <w:tc>
          <w:tcPr>
            <w:tcW w:w="4929" w:type="dxa"/>
          </w:tcPr>
          <w:p w14:paraId="39B254DA" w14:textId="77777777" w:rsidR="00237069" w:rsidRPr="00154588" w:rsidRDefault="00237069" w:rsidP="008C12B4">
            <w:pPr>
              <w:jc w:val="both"/>
              <w:rPr>
                <w:b/>
                <w:sz w:val="20"/>
                <w:szCs w:val="20"/>
              </w:rPr>
            </w:pPr>
            <w:r w:rsidRPr="00154588">
              <w:rPr>
                <w:b/>
                <w:sz w:val="20"/>
                <w:szCs w:val="20"/>
              </w:rPr>
              <w:t>Articolul 115</w:t>
            </w:r>
          </w:p>
          <w:p w14:paraId="096E0AFC" w14:textId="77777777" w:rsidR="00237069" w:rsidRPr="00154588" w:rsidRDefault="00237069" w:rsidP="008C12B4">
            <w:pPr>
              <w:jc w:val="both"/>
              <w:rPr>
                <w:b/>
                <w:sz w:val="20"/>
                <w:szCs w:val="20"/>
              </w:rPr>
            </w:pPr>
          </w:p>
          <w:p w14:paraId="5DA82C94" w14:textId="77777777" w:rsidR="00237069" w:rsidRPr="00154588" w:rsidRDefault="00237069" w:rsidP="008C12B4">
            <w:pPr>
              <w:jc w:val="both"/>
              <w:rPr>
                <w:bCs/>
                <w:sz w:val="20"/>
                <w:szCs w:val="20"/>
              </w:rPr>
            </w:pPr>
            <w:r w:rsidRPr="00154588">
              <w:rPr>
                <w:b/>
                <w:sz w:val="20"/>
                <w:szCs w:val="20"/>
              </w:rPr>
              <w:t>Exercitarea delegării de competențe</w:t>
            </w:r>
          </w:p>
        </w:tc>
        <w:tc>
          <w:tcPr>
            <w:tcW w:w="4810" w:type="dxa"/>
          </w:tcPr>
          <w:p w14:paraId="17C30B1A" w14:textId="77777777" w:rsidR="00237069" w:rsidRPr="00154588" w:rsidRDefault="00237069" w:rsidP="008C12B4">
            <w:pPr>
              <w:jc w:val="both"/>
              <w:rPr>
                <w:b/>
                <w:sz w:val="20"/>
                <w:szCs w:val="20"/>
              </w:rPr>
            </w:pPr>
          </w:p>
        </w:tc>
        <w:tc>
          <w:tcPr>
            <w:tcW w:w="2545" w:type="dxa"/>
            <w:gridSpan w:val="2"/>
          </w:tcPr>
          <w:p w14:paraId="308D960D" w14:textId="77777777" w:rsidR="00237069" w:rsidRPr="00154588" w:rsidRDefault="00237069" w:rsidP="008C12B4">
            <w:pPr>
              <w:jc w:val="both"/>
              <w:rPr>
                <w:b/>
                <w:sz w:val="20"/>
                <w:szCs w:val="20"/>
              </w:rPr>
            </w:pPr>
            <w:r w:rsidRPr="00154588">
              <w:rPr>
                <w:bCs/>
                <w:sz w:val="20"/>
                <w:szCs w:val="20"/>
              </w:rPr>
              <w:t>Prevederi UE neaplicabile</w:t>
            </w:r>
          </w:p>
        </w:tc>
        <w:tc>
          <w:tcPr>
            <w:tcW w:w="3162" w:type="dxa"/>
            <w:gridSpan w:val="2"/>
          </w:tcPr>
          <w:p w14:paraId="42C22DA4" w14:textId="77777777" w:rsidR="00237069" w:rsidRPr="00154588" w:rsidRDefault="00237069" w:rsidP="008C12B4">
            <w:pPr>
              <w:jc w:val="both"/>
              <w:rPr>
                <w:b/>
                <w:sz w:val="20"/>
                <w:szCs w:val="20"/>
              </w:rPr>
            </w:pPr>
            <w:r w:rsidRPr="00154588">
              <w:rPr>
                <w:bCs/>
                <w:sz w:val="20"/>
                <w:szCs w:val="20"/>
              </w:rPr>
              <w:t>Prevederi care se referă la atribuțiile de reglementare ale autorităților europene.</w:t>
            </w:r>
          </w:p>
        </w:tc>
      </w:tr>
      <w:tr w:rsidR="00237069" w:rsidRPr="00154588" w14:paraId="74E794AF" w14:textId="77777777" w:rsidTr="007F5746">
        <w:tc>
          <w:tcPr>
            <w:tcW w:w="4929" w:type="dxa"/>
          </w:tcPr>
          <w:p w14:paraId="5CB1BE24" w14:textId="77777777" w:rsidR="00237069" w:rsidRPr="00154588" w:rsidRDefault="00237069" w:rsidP="008C12B4">
            <w:pPr>
              <w:jc w:val="both"/>
              <w:rPr>
                <w:bCs/>
                <w:sz w:val="20"/>
                <w:szCs w:val="20"/>
              </w:rPr>
            </w:pPr>
            <w:r w:rsidRPr="00154588">
              <w:rPr>
                <w:bCs/>
                <w:sz w:val="20"/>
                <w:szCs w:val="20"/>
              </w:rPr>
              <w:t>(1)   Competența de a adopta acte delegate este conferită Comisiei în condițiile prevăzute în prezentul articol.</w:t>
            </w:r>
          </w:p>
        </w:tc>
        <w:tc>
          <w:tcPr>
            <w:tcW w:w="4810" w:type="dxa"/>
          </w:tcPr>
          <w:p w14:paraId="29D84225" w14:textId="77777777" w:rsidR="00237069" w:rsidRPr="00154588" w:rsidRDefault="00237069" w:rsidP="008C12B4">
            <w:pPr>
              <w:jc w:val="both"/>
              <w:rPr>
                <w:b/>
                <w:sz w:val="20"/>
                <w:szCs w:val="20"/>
              </w:rPr>
            </w:pPr>
          </w:p>
        </w:tc>
        <w:tc>
          <w:tcPr>
            <w:tcW w:w="2545" w:type="dxa"/>
            <w:gridSpan w:val="2"/>
          </w:tcPr>
          <w:p w14:paraId="686E61D3" w14:textId="77777777" w:rsidR="00237069" w:rsidRPr="00154588" w:rsidRDefault="00237069" w:rsidP="008C12B4">
            <w:pPr>
              <w:jc w:val="both"/>
              <w:rPr>
                <w:b/>
                <w:sz w:val="20"/>
                <w:szCs w:val="20"/>
              </w:rPr>
            </w:pPr>
          </w:p>
        </w:tc>
        <w:tc>
          <w:tcPr>
            <w:tcW w:w="3162" w:type="dxa"/>
            <w:gridSpan w:val="2"/>
          </w:tcPr>
          <w:p w14:paraId="6DABDA6E" w14:textId="77777777" w:rsidR="00237069" w:rsidRPr="00154588" w:rsidRDefault="00237069" w:rsidP="008C12B4">
            <w:pPr>
              <w:jc w:val="both"/>
              <w:rPr>
                <w:b/>
                <w:sz w:val="20"/>
                <w:szCs w:val="20"/>
              </w:rPr>
            </w:pPr>
          </w:p>
        </w:tc>
      </w:tr>
      <w:tr w:rsidR="00237069" w:rsidRPr="00154588" w14:paraId="16B09F09" w14:textId="77777777" w:rsidTr="007F5746">
        <w:tc>
          <w:tcPr>
            <w:tcW w:w="4929" w:type="dxa"/>
          </w:tcPr>
          <w:p w14:paraId="733FFEF9" w14:textId="77777777" w:rsidR="00237069" w:rsidRPr="00154588" w:rsidRDefault="00237069" w:rsidP="008C12B4">
            <w:pPr>
              <w:jc w:val="both"/>
              <w:rPr>
                <w:bCs/>
                <w:sz w:val="20"/>
                <w:szCs w:val="20"/>
              </w:rPr>
            </w:pPr>
            <w:r w:rsidRPr="00154588">
              <w:rPr>
                <w:bCs/>
                <w:sz w:val="20"/>
                <w:szCs w:val="20"/>
              </w:rPr>
              <w:t>(2)   Competența de a adopta acte delegate menționată la articolul 2 al doilea paragraf, articolul 44 alineatul (11), articolul 76 alineatul (4), articolul 103 alineatele (7) și (8) și la articolul 104 alineatul (4) se conferă Comisiei pe o perioadă de timp nedeterminată, de la 2 iulie 2014.</w:t>
            </w:r>
          </w:p>
        </w:tc>
        <w:tc>
          <w:tcPr>
            <w:tcW w:w="4810" w:type="dxa"/>
          </w:tcPr>
          <w:p w14:paraId="79258AF8" w14:textId="77777777" w:rsidR="00237069" w:rsidRPr="00154588" w:rsidRDefault="00237069" w:rsidP="008C12B4">
            <w:pPr>
              <w:jc w:val="both"/>
              <w:rPr>
                <w:b/>
                <w:sz w:val="20"/>
                <w:szCs w:val="20"/>
              </w:rPr>
            </w:pPr>
          </w:p>
        </w:tc>
        <w:tc>
          <w:tcPr>
            <w:tcW w:w="2545" w:type="dxa"/>
            <w:gridSpan w:val="2"/>
          </w:tcPr>
          <w:p w14:paraId="30513751" w14:textId="77777777" w:rsidR="00237069" w:rsidRPr="00154588" w:rsidRDefault="00237069" w:rsidP="008C12B4">
            <w:pPr>
              <w:jc w:val="both"/>
              <w:rPr>
                <w:b/>
                <w:sz w:val="20"/>
                <w:szCs w:val="20"/>
              </w:rPr>
            </w:pPr>
            <w:r w:rsidRPr="00154588">
              <w:rPr>
                <w:bCs/>
                <w:sz w:val="20"/>
                <w:szCs w:val="20"/>
              </w:rPr>
              <w:t>Prevederi UE neaplicabile</w:t>
            </w:r>
          </w:p>
        </w:tc>
        <w:tc>
          <w:tcPr>
            <w:tcW w:w="3162" w:type="dxa"/>
            <w:gridSpan w:val="2"/>
          </w:tcPr>
          <w:p w14:paraId="36C3F591" w14:textId="77777777" w:rsidR="00237069" w:rsidRPr="00154588" w:rsidRDefault="00237069" w:rsidP="008C12B4">
            <w:pPr>
              <w:jc w:val="both"/>
              <w:rPr>
                <w:b/>
                <w:sz w:val="20"/>
                <w:szCs w:val="20"/>
              </w:rPr>
            </w:pPr>
            <w:r w:rsidRPr="00154588">
              <w:rPr>
                <w:bCs/>
                <w:sz w:val="20"/>
                <w:szCs w:val="20"/>
              </w:rPr>
              <w:t>Prevederi care se referă la atribuțiile de reglementare ale autorităților europene.</w:t>
            </w:r>
          </w:p>
        </w:tc>
      </w:tr>
      <w:tr w:rsidR="00237069" w:rsidRPr="00154588" w14:paraId="1B168154" w14:textId="77777777" w:rsidTr="007F5746">
        <w:tc>
          <w:tcPr>
            <w:tcW w:w="4929" w:type="dxa"/>
          </w:tcPr>
          <w:p w14:paraId="10D1CA34" w14:textId="77777777" w:rsidR="00237069" w:rsidRPr="00154588" w:rsidRDefault="00237069" w:rsidP="008C12B4">
            <w:pPr>
              <w:jc w:val="both"/>
              <w:rPr>
                <w:bCs/>
                <w:sz w:val="20"/>
                <w:szCs w:val="20"/>
              </w:rPr>
            </w:pPr>
            <w:r w:rsidRPr="00154588">
              <w:rPr>
                <w:bCs/>
                <w:sz w:val="20"/>
                <w:szCs w:val="20"/>
              </w:rPr>
              <w:t>(3)   Delegarea de competențe menționată la articolul 2 al doilea paragraf, articolul 44 alineatul (11), articolul 76 alineatul (4), articolul 103 alineatele (7) și (8) și la articolul 104 alineatul (4) poate fi revocată în orice moment de Parlamentul European sau de Consiliu. O decizie de revocare pune capăt delegării de competențe specificată în decizia respectivă. Decizia produce efecte din ziua care urmează datei publicării în Jurnalul Oficial al Uniunii Europene sau la o dată ulterioară menționată în decizie. Decizia nu aduce atingere valabilității actelor delegate care sunt deja în vigoare.</w:t>
            </w:r>
          </w:p>
        </w:tc>
        <w:tc>
          <w:tcPr>
            <w:tcW w:w="4810" w:type="dxa"/>
          </w:tcPr>
          <w:p w14:paraId="5B46EDA1" w14:textId="77777777" w:rsidR="00237069" w:rsidRPr="00154588" w:rsidRDefault="00237069" w:rsidP="008C12B4">
            <w:pPr>
              <w:jc w:val="both"/>
              <w:rPr>
                <w:b/>
                <w:sz w:val="20"/>
                <w:szCs w:val="20"/>
              </w:rPr>
            </w:pPr>
          </w:p>
        </w:tc>
        <w:tc>
          <w:tcPr>
            <w:tcW w:w="2545" w:type="dxa"/>
            <w:gridSpan w:val="2"/>
          </w:tcPr>
          <w:p w14:paraId="4B1710EE" w14:textId="77777777" w:rsidR="00237069" w:rsidRPr="00154588" w:rsidRDefault="00237069" w:rsidP="008C12B4">
            <w:pPr>
              <w:jc w:val="both"/>
              <w:rPr>
                <w:b/>
                <w:sz w:val="20"/>
                <w:szCs w:val="20"/>
              </w:rPr>
            </w:pPr>
            <w:r w:rsidRPr="00154588">
              <w:rPr>
                <w:bCs/>
                <w:sz w:val="20"/>
                <w:szCs w:val="20"/>
              </w:rPr>
              <w:t>Prevederi UE neaplicabile</w:t>
            </w:r>
          </w:p>
        </w:tc>
        <w:tc>
          <w:tcPr>
            <w:tcW w:w="3162" w:type="dxa"/>
            <w:gridSpan w:val="2"/>
          </w:tcPr>
          <w:p w14:paraId="4EF15353" w14:textId="77777777" w:rsidR="00237069" w:rsidRPr="00154588" w:rsidRDefault="00237069" w:rsidP="008C12B4">
            <w:pPr>
              <w:jc w:val="both"/>
              <w:rPr>
                <w:b/>
                <w:sz w:val="20"/>
                <w:szCs w:val="20"/>
              </w:rPr>
            </w:pPr>
            <w:r w:rsidRPr="00154588">
              <w:rPr>
                <w:bCs/>
                <w:sz w:val="20"/>
                <w:szCs w:val="20"/>
              </w:rPr>
              <w:t>Prevederi care se referă la atribuțiile de reglementare ale autorităților europene.</w:t>
            </w:r>
          </w:p>
        </w:tc>
      </w:tr>
      <w:tr w:rsidR="00237069" w:rsidRPr="00154588" w14:paraId="5DD611C1" w14:textId="77777777" w:rsidTr="007F5746">
        <w:tc>
          <w:tcPr>
            <w:tcW w:w="4929" w:type="dxa"/>
          </w:tcPr>
          <w:p w14:paraId="496C35C1" w14:textId="77777777" w:rsidR="00237069" w:rsidRPr="00154588" w:rsidRDefault="00237069" w:rsidP="008C12B4">
            <w:pPr>
              <w:jc w:val="both"/>
              <w:rPr>
                <w:bCs/>
                <w:sz w:val="20"/>
                <w:szCs w:val="20"/>
              </w:rPr>
            </w:pPr>
            <w:r w:rsidRPr="00154588">
              <w:rPr>
                <w:bCs/>
                <w:sz w:val="20"/>
                <w:szCs w:val="20"/>
              </w:rPr>
              <w:t>(4)   De îndată ce adoptă un act delegat, Comisia îl notifică simultan Parlamentului European și Consiliului.</w:t>
            </w:r>
          </w:p>
        </w:tc>
        <w:tc>
          <w:tcPr>
            <w:tcW w:w="4810" w:type="dxa"/>
          </w:tcPr>
          <w:p w14:paraId="5756F678" w14:textId="77777777" w:rsidR="00237069" w:rsidRPr="00154588" w:rsidRDefault="00237069" w:rsidP="008C12B4">
            <w:pPr>
              <w:jc w:val="both"/>
              <w:rPr>
                <w:b/>
                <w:sz w:val="20"/>
                <w:szCs w:val="20"/>
              </w:rPr>
            </w:pPr>
          </w:p>
        </w:tc>
        <w:tc>
          <w:tcPr>
            <w:tcW w:w="2545" w:type="dxa"/>
            <w:gridSpan w:val="2"/>
          </w:tcPr>
          <w:p w14:paraId="3E3A2CC4" w14:textId="77777777" w:rsidR="00237069" w:rsidRPr="00154588" w:rsidRDefault="00237069" w:rsidP="008C12B4">
            <w:pPr>
              <w:jc w:val="both"/>
              <w:rPr>
                <w:b/>
                <w:sz w:val="20"/>
                <w:szCs w:val="20"/>
              </w:rPr>
            </w:pPr>
            <w:r w:rsidRPr="00154588">
              <w:rPr>
                <w:bCs/>
                <w:sz w:val="20"/>
                <w:szCs w:val="20"/>
              </w:rPr>
              <w:t>Prevederi UE neaplicabile</w:t>
            </w:r>
          </w:p>
        </w:tc>
        <w:tc>
          <w:tcPr>
            <w:tcW w:w="3162" w:type="dxa"/>
            <w:gridSpan w:val="2"/>
          </w:tcPr>
          <w:p w14:paraId="58D42681" w14:textId="77777777" w:rsidR="00237069" w:rsidRPr="00154588" w:rsidRDefault="00237069" w:rsidP="008C12B4">
            <w:pPr>
              <w:jc w:val="both"/>
              <w:rPr>
                <w:b/>
                <w:sz w:val="20"/>
                <w:szCs w:val="20"/>
              </w:rPr>
            </w:pPr>
            <w:r w:rsidRPr="00154588">
              <w:rPr>
                <w:bCs/>
                <w:sz w:val="20"/>
                <w:szCs w:val="20"/>
              </w:rPr>
              <w:t>Prevederi care se referă la atribuțiile de reglementare ale autorităților europene.</w:t>
            </w:r>
          </w:p>
        </w:tc>
      </w:tr>
      <w:tr w:rsidR="00237069" w:rsidRPr="00154588" w14:paraId="2D2F5C23" w14:textId="77777777" w:rsidTr="007F5746">
        <w:tc>
          <w:tcPr>
            <w:tcW w:w="4929" w:type="dxa"/>
          </w:tcPr>
          <w:p w14:paraId="787412B8" w14:textId="77777777" w:rsidR="00237069" w:rsidRPr="00154588" w:rsidRDefault="00237069" w:rsidP="008C12B4">
            <w:pPr>
              <w:jc w:val="both"/>
              <w:rPr>
                <w:bCs/>
                <w:sz w:val="20"/>
                <w:szCs w:val="20"/>
              </w:rPr>
            </w:pPr>
            <w:r w:rsidRPr="00154588">
              <w:rPr>
                <w:bCs/>
                <w:sz w:val="20"/>
                <w:szCs w:val="20"/>
              </w:rPr>
              <w:t>(5)   Un act delegat adoptat în temeiul articolului 2 al doilea paragraf, articolul 44 alineatul (11), articolul 76 alineatul (4), articolul 103 alineatele (7) și (8) sau la articolul 104 alineatul (4) intră în vigoare numai dacă nici Parlamentul European și nici Consiliul nu au formulat obiecțiuni în termen de trei luni de la notificarea acestuia către Parlamentul European și Consiliu sau dacă, înainte de expirarea acestui termen, Parlamentul European și Consiliul au informat Comisia că nu vor formula obiecțiuni. Respectivul termen se prelungește cu trei luni la inițiativa Parlamentului European sau a Consiliului.</w:t>
            </w:r>
          </w:p>
        </w:tc>
        <w:tc>
          <w:tcPr>
            <w:tcW w:w="4810" w:type="dxa"/>
          </w:tcPr>
          <w:p w14:paraId="17FF157B" w14:textId="77777777" w:rsidR="00237069" w:rsidRPr="00154588" w:rsidRDefault="00237069" w:rsidP="008C12B4">
            <w:pPr>
              <w:jc w:val="both"/>
              <w:rPr>
                <w:b/>
                <w:sz w:val="20"/>
                <w:szCs w:val="20"/>
              </w:rPr>
            </w:pPr>
          </w:p>
        </w:tc>
        <w:tc>
          <w:tcPr>
            <w:tcW w:w="2545" w:type="dxa"/>
            <w:gridSpan w:val="2"/>
          </w:tcPr>
          <w:p w14:paraId="2FE7D43F" w14:textId="77777777" w:rsidR="00237069" w:rsidRPr="00154588" w:rsidRDefault="00237069" w:rsidP="008C12B4">
            <w:pPr>
              <w:jc w:val="both"/>
              <w:rPr>
                <w:b/>
                <w:sz w:val="20"/>
                <w:szCs w:val="20"/>
              </w:rPr>
            </w:pPr>
            <w:r w:rsidRPr="00154588">
              <w:rPr>
                <w:bCs/>
                <w:sz w:val="20"/>
                <w:szCs w:val="20"/>
              </w:rPr>
              <w:t>Prevederi UE neaplicabile</w:t>
            </w:r>
          </w:p>
        </w:tc>
        <w:tc>
          <w:tcPr>
            <w:tcW w:w="3162" w:type="dxa"/>
            <w:gridSpan w:val="2"/>
          </w:tcPr>
          <w:p w14:paraId="6BC63014" w14:textId="77777777" w:rsidR="00237069" w:rsidRPr="00154588" w:rsidRDefault="00237069" w:rsidP="008C12B4">
            <w:pPr>
              <w:jc w:val="both"/>
              <w:rPr>
                <w:b/>
                <w:sz w:val="20"/>
                <w:szCs w:val="20"/>
              </w:rPr>
            </w:pPr>
            <w:r w:rsidRPr="00154588">
              <w:rPr>
                <w:bCs/>
                <w:sz w:val="20"/>
                <w:szCs w:val="20"/>
              </w:rPr>
              <w:t>Prevederi care se referă la atribuțiile de reglementare ale autorităților europene.</w:t>
            </w:r>
          </w:p>
        </w:tc>
      </w:tr>
      <w:tr w:rsidR="00237069" w:rsidRPr="00154588" w14:paraId="5343B09B" w14:textId="77777777" w:rsidTr="007F5746">
        <w:tc>
          <w:tcPr>
            <w:tcW w:w="4929" w:type="dxa"/>
          </w:tcPr>
          <w:p w14:paraId="0CEE81B6" w14:textId="77777777" w:rsidR="00237069" w:rsidRPr="00154588" w:rsidRDefault="00237069" w:rsidP="008C12B4">
            <w:pPr>
              <w:jc w:val="both"/>
              <w:rPr>
                <w:bCs/>
                <w:sz w:val="20"/>
                <w:szCs w:val="20"/>
              </w:rPr>
            </w:pPr>
            <w:r w:rsidRPr="00154588">
              <w:rPr>
                <w:bCs/>
                <w:sz w:val="20"/>
                <w:szCs w:val="20"/>
              </w:rPr>
              <w:t>(6)   Comisia nu adoptă acte delegate dacă perioada alocată controlului de către Parlamentul European este redusă prin pauze la mai puțin de cinci luni, inclusiv orice prelungire.</w:t>
            </w:r>
          </w:p>
        </w:tc>
        <w:tc>
          <w:tcPr>
            <w:tcW w:w="4810" w:type="dxa"/>
          </w:tcPr>
          <w:p w14:paraId="34F2D22C" w14:textId="77777777" w:rsidR="00237069" w:rsidRPr="00154588" w:rsidRDefault="00237069" w:rsidP="008C12B4">
            <w:pPr>
              <w:jc w:val="both"/>
              <w:rPr>
                <w:b/>
                <w:sz w:val="20"/>
                <w:szCs w:val="20"/>
              </w:rPr>
            </w:pPr>
          </w:p>
        </w:tc>
        <w:tc>
          <w:tcPr>
            <w:tcW w:w="2545" w:type="dxa"/>
            <w:gridSpan w:val="2"/>
          </w:tcPr>
          <w:p w14:paraId="6275BE85" w14:textId="77777777" w:rsidR="00237069" w:rsidRPr="00154588" w:rsidRDefault="00237069" w:rsidP="008C12B4">
            <w:pPr>
              <w:jc w:val="both"/>
              <w:rPr>
                <w:b/>
                <w:sz w:val="20"/>
                <w:szCs w:val="20"/>
              </w:rPr>
            </w:pPr>
            <w:r w:rsidRPr="00154588">
              <w:rPr>
                <w:bCs/>
                <w:sz w:val="20"/>
                <w:szCs w:val="20"/>
              </w:rPr>
              <w:t>Prevederi UE neaplicabile</w:t>
            </w:r>
          </w:p>
        </w:tc>
        <w:tc>
          <w:tcPr>
            <w:tcW w:w="3162" w:type="dxa"/>
            <w:gridSpan w:val="2"/>
          </w:tcPr>
          <w:p w14:paraId="5A1ADAAB" w14:textId="77777777" w:rsidR="00237069" w:rsidRPr="00154588" w:rsidRDefault="00237069" w:rsidP="008C12B4">
            <w:pPr>
              <w:jc w:val="both"/>
              <w:rPr>
                <w:b/>
                <w:sz w:val="20"/>
                <w:szCs w:val="20"/>
              </w:rPr>
            </w:pPr>
            <w:r w:rsidRPr="00154588">
              <w:rPr>
                <w:bCs/>
                <w:sz w:val="20"/>
                <w:szCs w:val="20"/>
              </w:rPr>
              <w:t>Prevederi care se referă la atribuțiile de reglementare ale autorităților europene.</w:t>
            </w:r>
          </w:p>
        </w:tc>
      </w:tr>
      <w:tr w:rsidR="00237069" w:rsidRPr="00154588" w14:paraId="25F873F7" w14:textId="77777777" w:rsidTr="007F5746">
        <w:tc>
          <w:tcPr>
            <w:tcW w:w="4929" w:type="dxa"/>
          </w:tcPr>
          <w:p w14:paraId="66DB0605" w14:textId="77777777" w:rsidR="00237069" w:rsidRPr="00154588" w:rsidRDefault="00237069" w:rsidP="008C12B4">
            <w:pPr>
              <w:jc w:val="both"/>
              <w:rPr>
                <w:b/>
                <w:sz w:val="20"/>
                <w:szCs w:val="20"/>
              </w:rPr>
            </w:pPr>
            <w:r w:rsidRPr="00154588">
              <w:rPr>
                <w:b/>
                <w:sz w:val="20"/>
                <w:szCs w:val="20"/>
              </w:rPr>
              <w:lastRenderedPageBreak/>
              <w:t>TITLUL XI</w:t>
            </w:r>
          </w:p>
          <w:p w14:paraId="7B82D43D" w14:textId="77777777" w:rsidR="00237069" w:rsidRPr="00154588" w:rsidRDefault="00237069" w:rsidP="008C12B4">
            <w:pPr>
              <w:jc w:val="both"/>
              <w:rPr>
                <w:b/>
                <w:sz w:val="20"/>
                <w:szCs w:val="20"/>
              </w:rPr>
            </w:pPr>
          </w:p>
          <w:p w14:paraId="651533F9" w14:textId="77777777" w:rsidR="00237069" w:rsidRPr="00154588" w:rsidRDefault="00237069" w:rsidP="008C12B4">
            <w:pPr>
              <w:jc w:val="both"/>
              <w:rPr>
                <w:bCs/>
                <w:sz w:val="20"/>
                <w:szCs w:val="20"/>
              </w:rPr>
            </w:pPr>
            <w:r w:rsidRPr="00154588">
              <w:rPr>
                <w:b/>
                <w:sz w:val="20"/>
                <w:szCs w:val="20"/>
              </w:rPr>
              <w:t>DISPOZIȚII FINALE</w:t>
            </w:r>
          </w:p>
        </w:tc>
        <w:tc>
          <w:tcPr>
            <w:tcW w:w="4810" w:type="dxa"/>
          </w:tcPr>
          <w:p w14:paraId="7977D58F" w14:textId="77777777" w:rsidR="00237069" w:rsidRPr="00154588" w:rsidRDefault="00237069" w:rsidP="008C12B4">
            <w:pPr>
              <w:jc w:val="both"/>
              <w:rPr>
                <w:b/>
                <w:sz w:val="20"/>
                <w:szCs w:val="20"/>
              </w:rPr>
            </w:pPr>
          </w:p>
        </w:tc>
        <w:tc>
          <w:tcPr>
            <w:tcW w:w="2545" w:type="dxa"/>
            <w:gridSpan w:val="2"/>
          </w:tcPr>
          <w:p w14:paraId="0548C3B1" w14:textId="77777777" w:rsidR="00237069" w:rsidRPr="00154588" w:rsidRDefault="00237069" w:rsidP="008C12B4">
            <w:pPr>
              <w:jc w:val="both"/>
              <w:rPr>
                <w:b/>
                <w:sz w:val="20"/>
                <w:szCs w:val="20"/>
              </w:rPr>
            </w:pPr>
          </w:p>
        </w:tc>
        <w:tc>
          <w:tcPr>
            <w:tcW w:w="3162" w:type="dxa"/>
            <w:gridSpan w:val="2"/>
          </w:tcPr>
          <w:p w14:paraId="538810C7" w14:textId="77777777" w:rsidR="00237069" w:rsidRPr="00154588" w:rsidRDefault="00237069" w:rsidP="008C12B4">
            <w:pPr>
              <w:jc w:val="both"/>
              <w:rPr>
                <w:b/>
                <w:sz w:val="20"/>
                <w:szCs w:val="20"/>
              </w:rPr>
            </w:pPr>
          </w:p>
        </w:tc>
      </w:tr>
      <w:tr w:rsidR="00237069" w:rsidRPr="00154588" w14:paraId="364089C8" w14:textId="77777777" w:rsidTr="007F5746">
        <w:tc>
          <w:tcPr>
            <w:tcW w:w="4929" w:type="dxa"/>
          </w:tcPr>
          <w:p w14:paraId="4785A41F" w14:textId="77777777" w:rsidR="00237069" w:rsidRPr="00154588" w:rsidRDefault="00237069" w:rsidP="008C12B4">
            <w:pPr>
              <w:jc w:val="both"/>
              <w:rPr>
                <w:b/>
                <w:sz w:val="20"/>
                <w:szCs w:val="20"/>
              </w:rPr>
            </w:pPr>
            <w:r w:rsidRPr="00154588">
              <w:rPr>
                <w:b/>
                <w:sz w:val="20"/>
                <w:szCs w:val="20"/>
              </w:rPr>
              <w:t>Articolul 127</w:t>
            </w:r>
          </w:p>
          <w:p w14:paraId="6CF6077C" w14:textId="77777777" w:rsidR="00237069" w:rsidRPr="00154588" w:rsidRDefault="00237069" w:rsidP="008C12B4">
            <w:pPr>
              <w:jc w:val="both"/>
              <w:rPr>
                <w:b/>
                <w:sz w:val="20"/>
                <w:szCs w:val="20"/>
              </w:rPr>
            </w:pPr>
          </w:p>
          <w:p w14:paraId="358A122A" w14:textId="77777777" w:rsidR="00237069" w:rsidRPr="00154588" w:rsidRDefault="00237069" w:rsidP="008C12B4">
            <w:pPr>
              <w:jc w:val="both"/>
              <w:rPr>
                <w:bCs/>
                <w:sz w:val="20"/>
                <w:szCs w:val="20"/>
              </w:rPr>
            </w:pPr>
            <w:r w:rsidRPr="00154588">
              <w:rPr>
                <w:b/>
                <w:sz w:val="20"/>
                <w:szCs w:val="20"/>
              </w:rPr>
              <w:t>Comitetul de rezoluție al ABE</w:t>
            </w:r>
          </w:p>
        </w:tc>
        <w:tc>
          <w:tcPr>
            <w:tcW w:w="4810" w:type="dxa"/>
          </w:tcPr>
          <w:p w14:paraId="0CE7A150" w14:textId="77777777" w:rsidR="00237069" w:rsidRPr="00154588" w:rsidRDefault="00237069" w:rsidP="008C12B4">
            <w:pPr>
              <w:jc w:val="both"/>
              <w:rPr>
                <w:b/>
                <w:sz w:val="20"/>
                <w:szCs w:val="20"/>
              </w:rPr>
            </w:pPr>
          </w:p>
        </w:tc>
        <w:tc>
          <w:tcPr>
            <w:tcW w:w="2545" w:type="dxa"/>
            <w:gridSpan w:val="2"/>
          </w:tcPr>
          <w:p w14:paraId="2D243B8D" w14:textId="77777777" w:rsidR="00237069" w:rsidRPr="00154588" w:rsidRDefault="00237069" w:rsidP="008C12B4">
            <w:pPr>
              <w:jc w:val="both"/>
              <w:rPr>
                <w:b/>
                <w:sz w:val="20"/>
                <w:szCs w:val="20"/>
              </w:rPr>
            </w:pPr>
          </w:p>
        </w:tc>
        <w:tc>
          <w:tcPr>
            <w:tcW w:w="3162" w:type="dxa"/>
            <w:gridSpan w:val="2"/>
          </w:tcPr>
          <w:p w14:paraId="620D609E" w14:textId="77777777" w:rsidR="00237069" w:rsidRPr="00154588" w:rsidRDefault="00237069" w:rsidP="008C12B4">
            <w:pPr>
              <w:jc w:val="both"/>
              <w:rPr>
                <w:b/>
                <w:sz w:val="20"/>
                <w:szCs w:val="20"/>
              </w:rPr>
            </w:pPr>
          </w:p>
        </w:tc>
      </w:tr>
      <w:tr w:rsidR="007F5746" w:rsidRPr="00154588" w14:paraId="358C5024" w14:textId="77777777" w:rsidTr="007F5746">
        <w:tc>
          <w:tcPr>
            <w:tcW w:w="4929" w:type="dxa"/>
          </w:tcPr>
          <w:p w14:paraId="64F28536" w14:textId="77777777" w:rsidR="007F5746" w:rsidRPr="00154588" w:rsidRDefault="007F5746" w:rsidP="008C12B4">
            <w:pPr>
              <w:jc w:val="both"/>
              <w:rPr>
                <w:bCs/>
                <w:sz w:val="20"/>
                <w:szCs w:val="20"/>
              </w:rPr>
            </w:pPr>
            <w:r w:rsidRPr="00154588">
              <w:rPr>
                <w:bCs/>
                <w:sz w:val="20"/>
                <w:szCs w:val="20"/>
              </w:rPr>
              <w:t>ABE instituie un comitet permanent intern în temeiul articolului 41 din Regulamentul (UE) nr. 1093/2010 în vederea elaborării deciziilor ABE ce trebuie luate în conformitate cu articolul 44 din regulamentul respectiv, inclusiv a deciziilor legate de proiectele de standarde tehnice de reglementare și proiectele de standarde tehnice de punere în aplicare, cu privire la atribuțiile care au fost stabilite pentru autoritățile de rezoluție, astfel cum se prevede în prezenta directivă. În conformitate cu articolul 38 alineatul (1) din Regulamentul (UE) nr. 1093/2010, ABE se asigură în special că nicio decizie menționată la respectivul articol nu afectează în vreun fel responsabilitățile fiscale ale statelor membre. Respectivul comitet intern cuprinde autoritățile de rezoluție menționate la articolul 3 din prezenta directivă.</w:t>
            </w:r>
          </w:p>
          <w:p w14:paraId="46ED545D" w14:textId="77777777" w:rsidR="007F5746" w:rsidRPr="00154588" w:rsidRDefault="007F5746" w:rsidP="008C12B4">
            <w:pPr>
              <w:jc w:val="both"/>
              <w:rPr>
                <w:bCs/>
                <w:sz w:val="20"/>
                <w:szCs w:val="20"/>
              </w:rPr>
            </w:pPr>
          </w:p>
          <w:p w14:paraId="19CA5545" w14:textId="77777777" w:rsidR="007F5746" w:rsidRPr="00154588" w:rsidRDefault="007F5746" w:rsidP="008C12B4">
            <w:pPr>
              <w:jc w:val="both"/>
              <w:rPr>
                <w:bCs/>
                <w:sz w:val="20"/>
                <w:szCs w:val="20"/>
              </w:rPr>
            </w:pPr>
            <w:r w:rsidRPr="00154588">
              <w:rPr>
                <w:bCs/>
                <w:sz w:val="20"/>
                <w:szCs w:val="20"/>
              </w:rPr>
              <w:t>În sensul prezentei directive, ABE cooperează cu EIOPA și AEVMP în cadrul Comitetului comun al autorităților europene de supraveghere instituit în temeiul articolului 54 din Regulamentul (UE) nr. 1093/2010, din Regulamentul (UE) nr. 1094/2010 și din Regulamentul (UE) nr. 1095/2010.</w:t>
            </w:r>
          </w:p>
          <w:p w14:paraId="0235F79C" w14:textId="77777777" w:rsidR="007F5746" w:rsidRPr="00154588" w:rsidRDefault="007F5746" w:rsidP="008C12B4">
            <w:pPr>
              <w:jc w:val="both"/>
              <w:rPr>
                <w:bCs/>
                <w:sz w:val="20"/>
                <w:szCs w:val="20"/>
              </w:rPr>
            </w:pPr>
          </w:p>
          <w:p w14:paraId="6B68D058" w14:textId="77777777" w:rsidR="007F5746" w:rsidRPr="00154588" w:rsidRDefault="007F5746" w:rsidP="008C12B4">
            <w:pPr>
              <w:jc w:val="both"/>
              <w:rPr>
                <w:bCs/>
                <w:sz w:val="20"/>
                <w:szCs w:val="20"/>
              </w:rPr>
            </w:pPr>
          </w:p>
          <w:p w14:paraId="2F0DB469" w14:textId="77777777" w:rsidR="007F5746" w:rsidRPr="00154588" w:rsidRDefault="007F5746" w:rsidP="008C12B4">
            <w:pPr>
              <w:jc w:val="both"/>
              <w:rPr>
                <w:bCs/>
                <w:sz w:val="20"/>
                <w:szCs w:val="20"/>
              </w:rPr>
            </w:pPr>
            <w:r w:rsidRPr="00154588">
              <w:rPr>
                <w:bCs/>
                <w:sz w:val="20"/>
                <w:szCs w:val="20"/>
              </w:rPr>
              <w:t>În sensul prezentei directive, ABE asigură o diferențiere structurală între comitetul de rezoluție și alte funcții menționate în Regulamentul (UE) nr. 1093/2010. Comitetul de rezoluție susține elaborarea și coordonarea de planuri de rezoluție și dezvoltă metode de realizare a rezoluției instituțiilor financiare în curs de a intra în dificultate.</w:t>
            </w:r>
          </w:p>
        </w:tc>
        <w:tc>
          <w:tcPr>
            <w:tcW w:w="4810" w:type="dxa"/>
          </w:tcPr>
          <w:p w14:paraId="3BCEF50A" w14:textId="77777777" w:rsidR="007F5746" w:rsidRPr="00154588" w:rsidRDefault="007F5746" w:rsidP="008C12B4">
            <w:pPr>
              <w:jc w:val="both"/>
              <w:rPr>
                <w:b/>
                <w:sz w:val="20"/>
                <w:szCs w:val="20"/>
              </w:rPr>
            </w:pPr>
          </w:p>
        </w:tc>
        <w:tc>
          <w:tcPr>
            <w:tcW w:w="2545" w:type="dxa"/>
            <w:gridSpan w:val="2"/>
          </w:tcPr>
          <w:p w14:paraId="0D9B52C2" w14:textId="2A85E5DE" w:rsidR="007F5746" w:rsidRPr="00154588" w:rsidRDefault="007F5746" w:rsidP="008C12B4">
            <w:pPr>
              <w:jc w:val="both"/>
              <w:rPr>
                <w:b/>
                <w:sz w:val="20"/>
                <w:szCs w:val="20"/>
              </w:rPr>
            </w:pPr>
            <w:r w:rsidRPr="00154588">
              <w:rPr>
                <w:bCs/>
                <w:sz w:val="20"/>
                <w:szCs w:val="20"/>
              </w:rPr>
              <w:t>Prevederi UE neaplicabile</w:t>
            </w:r>
          </w:p>
        </w:tc>
        <w:tc>
          <w:tcPr>
            <w:tcW w:w="3162" w:type="dxa"/>
            <w:gridSpan w:val="2"/>
          </w:tcPr>
          <w:p w14:paraId="1AC292F4" w14:textId="6DD033E9" w:rsidR="007F5746" w:rsidRPr="00154588" w:rsidRDefault="007F5746" w:rsidP="008C12B4">
            <w:pPr>
              <w:jc w:val="both"/>
              <w:rPr>
                <w:b/>
                <w:sz w:val="20"/>
                <w:szCs w:val="20"/>
              </w:rPr>
            </w:pPr>
            <w:r w:rsidRPr="00154588">
              <w:rPr>
                <w:bCs/>
                <w:sz w:val="20"/>
                <w:szCs w:val="20"/>
              </w:rPr>
              <w:t>Prevederi care se referă la atribuțiile de reglementare ale autorităților europene.</w:t>
            </w:r>
          </w:p>
        </w:tc>
      </w:tr>
      <w:tr w:rsidR="007F5746" w:rsidRPr="00154588" w14:paraId="3CF6782D" w14:textId="77777777" w:rsidTr="007F5746">
        <w:tc>
          <w:tcPr>
            <w:tcW w:w="4929" w:type="dxa"/>
          </w:tcPr>
          <w:p w14:paraId="62EB4314" w14:textId="77777777" w:rsidR="007F5746" w:rsidRPr="00154588" w:rsidRDefault="007F5746" w:rsidP="008C12B4">
            <w:pPr>
              <w:jc w:val="both"/>
              <w:rPr>
                <w:b/>
                <w:sz w:val="20"/>
                <w:szCs w:val="20"/>
              </w:rPr>
            </w:pPr>
            <w:r w:rsidRPr="00154588">
              <w:rPr>
                <w:b/>
                <w:sz w:val="20"/>
                <w:szCs w:val="20"/>
              </w:rPr>
              <w:t>Articolul 128</w:t>
            </w:r>
          </w:p>
          <w:p w14:paraId="76793379" w14:textId="77777777" w:rsidR="007F5746" w:rsidRPr="00154588" w:rsidRDefault="007F5746" w:rsidP="008C12B4">
            <w:pPr>
              <w:jc w:val="both"/>
              <w:rPr>
                <w:b/>
                <w:sz w:val="20"/>
                <w:szCs w:val="20"/>
              </w:rPr>
            </w:pPr>
          </w:p>
          <w:p w14:paraId="22B8A7AA" w14:textId="77777777" w:rsidR="007F5746" w:rsidRPr="00154588" w:rsidRDefault="007F5746" w:rsidP="008C12B4">
            <w:pPr>
              <w:jc w:val="both"/>
              <w:rPr>
                <w:b/>
                <w:sz w:val="20"/>
                <w:szCs w:val="20"/>
              </w:rPr>
            </w:pPr>
            <w:r w:rsidRPr="00154588">
              <w:rPr>
                <w:b/>
                <w:sz w:val="20"/>
                <w:szCs w:val="20"/>
              </w:rPr>
              <w:t xml:space="preserve">Cooperarea și schimbul de informații între instituții și autorități </w:t>
            </w:r>
          </w:p>
          <w:p w14:paraId="2104DE3B" w14:textId="7CFCDB3F" w:rsidR="007F5746" w:rsidRPr="00154588" w:rsidRDefault="007F5746" w:rsidP="008C12B4">
            <w:pPr>
              <w:jc w:val="both"/>
              <w:rPr>
                <w:bCs/>
                <w:sz w:val="20"/>
                <w:szCs w:val="20"/>
              </w:rPr>
            </w:pPr>
          </w:p>
        </w:tc>
        <w:tc>
          <w:tcPr>
            <w:tcW w:w="4810" w:type="dxa"/>
          </w:tcPr>
          <w:p w14:paraId="52CE3D1F" w14:textId="459D214E" w:rsidR="007F5746" w:rsidRPr="00154588" w:rsidRDefault="007F5746" w:rsidP="008C12B4">
            <w:pPr>
              <w:jc w:val="both"/>
              <w:rPr>
                <w:b/>
                <w:sz w:val="20"/>
                <w:szCs w:val="20"/>
              </w:rPr>
            </w:pPr>
            <w:r w:rsidRPr="00154588">
              <w:rPr>
                <w:b/>
                <w:sz w:val="20"/>
                <w:szCs w:val="20"/>
              </w:rPr>
              <w:t>Articolul</w:t>
            </w:r>
            <w:r w:rsidR="00CC37EA" w:rsidRPr="00154588">
              <w:rPr>
                <w:b/>
                <w:sz w:val="20"/>
                <w:szCs w:val="20"/>
              </w:rPr>
              <w:t xml:space="preserve"> 35</w:t>
            </w:r>
            <w:r w:rsidR="00F350DC" w:rsidRPr="00154588">
              <w:rPr>
                <w:b/>
                <w:sz w:val="20"/>
                <w:szCs w:val="20"/>
              </w:rPr>
              <w:t>2</w:t>
            </w:r>
            <w:r w:rsidR="00B55CB7" w:rsidRPr="00154588">
              <w:rPr>
                <w:b/>
                <w:sz w:val="20"/>
                <w:szCs w:val="20"/>
              </w:rPr>
              <w:t>.-</w:t>
            </w:r>
          </w:p>
          <w:p w14:paraId="4D0BB73C" w14:textId="77777777" w:rsidR="007F5746" w:rsidRPr="00154588" w:rsidRDefault="007F5746" w:rsidP="008C12B4">
            <w:pPr>
              <w:jc w:val="both"/>
              <w:rPr>
                <w:b/>
                <w:sz w:val="20"/>
                <w:szCs w:val="20"/>
              </w:rPr>
            </w:pPr>
          </w:p>
          <w:p w14:paraId="558164FE" w14:textId="77777777" w:rsidR="007F5746" w:rsidRPr="00154588" w:rsidRDefault="007F5746" w:rsidP="008C12B4">
            <w:pPr>
              <w:jc w:val="both"/>
              <w:rPr>
                <w:b/>
                <w:sz w:val="20"/>
                <w:szCs w:val="20"/>
              </w:rPr>
            </w:pPr>
            <w:r w:rsidRPr="00154588">
              <w:rPr>
                <w:b/>
                <w:sz w:val="20"/>
                <w:szCs w:val="20"/>
              </w:rPr>
              <w:t>Cooperarea și schimbul de informații între Banca Națională a Moldovei în calitate de autoritate de rezoluție și instituții sau autorități internaționale</w:t>
            </w:r>
          </w:p>
          <w:p w14:paraId="600C4933" w14:textId="77777777" w:rsidR="007F5746" w:rsidRPr="00154588" w:rsidRDefault="007F5746" w:rsidP="008C12B4">
            <w:pPr>
              <w:jc w:val="both"/>
              <w:rPr>
                <w:b/>
                <w:sz w:val="20"/>
                <w:szCs w:val="20"/>
              </w:rPr>
            </w:pPr>
          </w:p>
        </w:tc>
        <w:tc>
          <w:tcPr>
            <w:tcW w:w="2545" w:type="dxa"/>
            <w:gridSpan w:val="2"/>
          </w:tcPr>
          <w:p w14:paraId="52611D11" w14:textId="77777777" w:rsidR="007F5746" w:rsidRPr="00154588" w:rsidRDefault="007F5746" w:rsidP="008C12B4">
            <w:pPr>
              <w:jc w:val="both"/>
              <w:rPr>
                <w:b/>
                <w:sz w:val="20"/>
                <w:szCs w:val="20"/>
              </w:rPr>
            </w:pPr>
          </w:p>
        </w:tc>
        <w:tc>
          <w:tcPr>
            <w:tcW w:w="3162" w:type="dxa"/>
            <w:gridSpan w:val="2"/>
          </w:tcPr>
          <w:p w14:paraId="72A4F275" w14:textId="77777777" w:rsidR="007F5746" w:rsidRPr="00154588" w:rsidRDefault="007F5746" w:rsidP="008C12B4">
            <w:pPr>
              <w:jc w:val="both"/>
              <w:rPr>
                <w:b/>
                <w:sz w:val="20"/>
                <w:szCs w:val="20"/>
              </w:rPr>
            </w:pPr>
          </w:p>
        </w:tc>
      </w:tr>
      <w:tr w:rsidR="009E62E1" w:rsidRPr="00154588" w14:paraId="0D7CD68C" w14:textId="77777777" w:rsidTr="00B55CB7">
        <w:trPr>
          <w:trHeight w:val="4668"/>
        </w:trPr>
        <w:tc>
          <w:tcPr>
            <w:tcW w:w="4929" w:type="dxa"/>
          </w:tcPr>
          <w:p w14:paraId="566D31FC" w14:textId="77777777" w:rsidR="009E62E1" w:rsidRPr="00154588" w:rsidRDefault="009E62E1" w:rsidP="008C12B4">
            <w:pPr>
              <w:pStyle w:val="a7"/>
              <w:numPr>
                <w:ilvl w:val="0"/>
                <w:numId w:val="8"/>
              </w:numPr>
              <w:ind w:left="34" w:firstLine="0"/>
              <w:jc w:val="both"/>
              <w:rPr>
                <w:rFonts w:cs="Times New Roman"/>
                <w:bCs/>
                <w:sz w:val="20"/>
                <w:szCs w:val="20"/>
                <w:lang w:val="pt-BR"/>
              </w:rPr>
            </w:pPr>
            <w:r w:rsidRPr="00154588">
              <w:rPr>
                <w:rFonts w:cs="Times New Roman"/>
                <w:bCs/>
                <w:sz w:val="20"/>
                <w:szCs w:val="20"/>
                <w:lang w:val="pt-BR"/>
              </w:rPr>
              <w:lastRenderedPageBreak/>
              <w:t xml:space="preserve">Autoritățile competente și autoritățile de rezoluție cooperează cu ABE în sensul prezentei directive, în conformitate cu Regulamentul (UE) nr. 1093/2010.     </w:t>
            </w:r>
          </w:p>
          <w:p w14:paraId="36237002" w14:textId="77777777" w:rsidR="009E62E1" w:rsidRPr="00154588" w:rsidRDefault="009E62E1" w:rsidP="008C12B4">
            <w:pPr>
              <w:ind w:left="48"/>
              <w:jc w:val="both"/>
              <w:rPr>
                <w:bCs/>
                <w:sz w:val="20"/>
                <w:szCs w:val="20"/>
              </w:rPr>
            </w:pPr>
            <w:r w:rsidRPr="00154588">
              <w:rPr>
                <w:bCs/>
                <w:sz w:val="20"/>
                <w:szCs w:val="20"/>
              </w:rPr>
              <w:t>Autoritățile competente și autoritățile de rezoluție comunică, fără întârziere, ABE toate informațiile necesare îndeplinirii de către aceasta a sarcinilor care îi revin, în conformitate cu articolul 35 din Regulamentul (UE) nr. 1093/2010.</w:t>
            </w:r>
          </w:p>
          <w:p w14:paraId="5AF026BD" w14:textId="7962C47C" w:rsidR="009E62E1" w:rsidRPr="00154588" w:rsidRDefault="009E62E1" w:rsidP="008C12B4">
            <w:pPr>
              <w:jc w:val="both"/>
              <w:rPr>
                <w:bCs/>
                <w:sz w:val="20"/>
                <w:szCs w:val="20"/>
              </w:rPr>
            </w:pPr>
          </w:p>
        </w:tc>
        <w:tc>
          <w:tcPr>
            <w:tcW w:w="4810" w:type="dxa"/>
          </w:tcPr>
          <w:p w14:paraId="114D05E7" w14:textId="77777777" w:rsidR="009E62E1" w:rsidRPr="00154588" w:rsidRDefault="009E62E1" w:rsidP="008C12B4">
            <w:pPr>
              <w:jc w:val="both"/>
              <w:rPr>
                <w:sz w:val="20"/>
                <w:szCs w:val="20"/>
              </w:rPr>
            </w:pPr>
            <w:r w:rsidRPr="00154588">
              <w:rPr>
                <w:sz w:val="20"/>
                <w:szCs w:val="20"/>
              </w:rPr>
              <w:t>(1)Banca Națională a Moldovei și Comisia Națională a Pieței Financiare în calitate de autoritate competentă și de autoritate de rezoluție, cooperează cu Autoritatea Bancară Europeană pentru scopurile prezentei legi, în conformitate cu prevederile Regulamentului (UE) nr. 1093/2010.</w:t>
            </w:r>
          </w:p>
          <w:p w14:paraId="34E52298" w14:textId="47E758F8" w:rsidR="009E62E1" w:rsidRPr="00154588" w:rsidRDefault="009E62E1" w:rsidP="008C12B4">
            <w:pPr>
              <w:jc w:val="both"/>
              <w:rPr>
                <w:sz w:val="20"/>
                <w:szCs w:val="20"/>
              </w:rPr>
            </w:pPr>
            <w:r w:rsidRPr="00154588">
              <w:rPr>
                <w:sz w:val="20"/>
                <w:szCs w:val="20"/>
              </w:rPr>
              <w:t>(2) Banca Națională a Moldovei și Comisia Națională a Pieței Financiare, în calitate de autoritate competentă și de autoritate de rezoluție, comunică, fără întârziere, către Autoritatea Bancară Europeană toate informațiile necesare îndeplinirii de către aceasta a atribuțiilor în conformitate cu prevederile art. 35 din Regulamentul (UE) nr. 1093/2010.</w:t>
            </w:r>
          </w:p>
          <w:p w14:paraId="743C277F" w14:textId="77777777" w:rsidR="009E62E1" w:rsidRPr="00154588" w:rsidRDefault="009E62E1" w:rsidP="008C12B4">
            <w:pPr>
              <w:jc w:val="both"/>
              <w:rPr>
                <w:sz w:val="20"/>
                <w:szCs w:val="20"/>
              </w:rPr>
            </w:pPr>
          </w:p>
        </w:tc>
        <w:tc>
          <w:tcPr>
            <w:tcW w:w="2545" w:type="dxa"/>
            <w:gridSpan w:val="2"/>
          </w:tcPr>
          <w:p w14:paraId="42C41DC3" w14:textId="355CAF4F" w:rsidR="009E62E1" w:rsidRPr="00154588" w:rsidRDefault="009E62E1" w:rsidP="008C12B4">
            <w:pPr>
              <w:jc w:val="both"/>
              <w:rPr>
                <w:b/>
                <w:sz w:val="20"/>
                <w:szCs w:val="20"/>
              </w:rPr>
            </w:pPr>
            <w:r w:rsidRPr="00154588">
              <w:rPr>
                <w:bCs/>
                <w:sz w:val="20"/>
                <w:szCs w:val="20"/>
              </w:rPr>
              <w:t xml:space="preserve">Compatibil </w:t>
            </w:r>
          </w:p>
        </w:tc>
        <w:tc>
          <w:tcPr>
            <w:tcW w:w="3162" w:type="dxa"/>
            <w:gridSpan w:val="2"/>
          </w:tcPr>
          <w:p w14:paraId="78B68798" w14:textId="77777777" w:rsidR="009E62E1" w:rsidRPr="00154588" w:rsidRDefault="009E62E1" w:rsidP="008C12B4">
            <w:pPr>
              <w:jc w:val="both"/>
              <w:rPr>
                <w:b/>
                <w:sz w:val="20"/>
                <w:szCs w:val="20"/>
              </w:rPr>
            </w:pPr>
          </w:p>
        </w:tc>
      </w:tr>
      <w:tr w:rsidR="009E62E1" w:rsidRPr="00154588" w14:paraId="11142196" w14:textId="77777777" w:rsidTr="007F5746">
        <w:tc>
          <w:tcPr>
            <w:tcW w:w="4929" w:type="dxa"/>
          </w:tcPr>
          <w:p w14:paraId="093F63F2" w14:textId="77777777" w:rsidR="009E62E1" w:rsidRPr="00154588" w:rsidRDefault="009E62E1" w:rsidP="008C12B4">
            <w:pPr>
              <w:pStyle w:val="a7"/>
              <w:ind w:left="34"/>
              <w:jc w:val="both"/>
              <w:rPr>
                <w:rFonts w:cs="Times New Roman"/>
                <w:sz w:val="20"/>
                <w:szCs w:val="20"/>
                <w:lang w:val="ro-RO"/>
              </w:rPr>
            </w:pPr>
            <w:r w:rsidRPr="00154588">
              <w:rPr>
                <w:rFonts w:cs="Times New Roman"/>
                <w:bCs/>
                <w:sz w:val="20"/>
                <w:szCs w:val="20"/>
                <w:lang w:val="ro-RO"/>
              </w:rPr>
              <w:t>(2) ABE, Comitetul Unic de Rezoluție și BCE transmit Comisiei, la cererea acesteia, toate informațiile necesare pentru îndeplinirea sarcinilor sale legate de elaborarea politicilor, inclusiv efectuarea de analizelor de impact, elaborarea de propuneri legislative și participarea la procesul legislativ. După caz, ABE, Comitetul Unic de Rezoluție și BCE se coordonează cu autoritățile de rezoluție, cu autoritățile naționale competente și cu alți membri ai Sistemului European al Băncilor Centrale, în conformitate cu cadrul lor de cooperare.</w:t>
            </w:r>
          </w:p>
        </w:tc>
        <w:tc>
          <w:tcPr>
            <w:tcW w:w="4810" w:type="dxa"/>
          </w:tcPr>
          <w:p w14:paraId="5FE9FF66" w14:textId="7FBC6724" w:rsidR="009E62E1" w:rsidRPr="00154588" w:rsidRDefault="009E62E1" w:rsidP="008C12B4">
            <w:pPr>
              <w:jc w:val="both"/>
              <w:rPr>
                <w:b/>
                <w:sz w:val="20"/>
                <w:szCs w:val="20"/>
              </w:rPr>
            </w:pPr>
            <w:r w:rsidRPr="00154588">
              <w:rPr>
                <w:bCs/>
                <w:sz w:val="20"/>
                <w:szCs w:val="20"/>
              </w:rPr>
              <w:t xml:space="preserve">(3) </w:t>
            </w:r>
            <w:r w:rsidRPr="00154588">
              <w:rPr>
                <w:sz w:val="20"/>
                <w:szCs w:val="20"/>
              </w:rPr>
              <w:t> Banca Națională a Moldovei și Comisia Națională a Pieței Financiare î</w:t>
            </w:r>
            <w:r w:rsidRPr="00154588">
              <w:rPr>
                <w:bCs/>
                <w:sz w:val="20"/>
                <w:szCs w:val="20"/>
              </w:rPr>
              <w:t xml:space="preserve">n calitate de autoritate competentă si de rezoluție coordonează cu </w:t>
            </w:r>
            <w:r w:rsidRPr="00154588">
              <w:rPr>
                <w:sz w:val="20"/>
                <w:szCs w:val="20"/>
              </w:rPr>
              <w:t>Autoritatea Bancară Europeană</w:t>
            </w:r>
            <w:r w:rsidRPr="00154588">
              <w:rPr>
                <w:bCs/>
                <w:sz w:val="20"/>
                <w:szCs w:val="20"/>
              </w:rPr>
              <w:t xml:space="preserve"> Comitetul Unic de Rezoluție și Banca Centrală Europeană și cu alți membri ai Sistemului European al Băncilor Centrale, în conformitate cu  prezenta lege și cadrul de cooperare cu autoritățile respective, trasnmiterea către comisia Europeană a informatiilor necesare pentru indeplinirea sarcinilor  sale legate de elaborarea politicilor, inclusiv efectuarea de analizelor de impact, elaborarea de propuneri legislative și participarea la procesul legislativ.</w:t>
            </w:r>
          </w:p>
        </w:tc>
        <w:tc>
          <w:tcPr>
            <w:tcW w:w="2545" w:type="dxa"/>
            <w:gridSpan w:val="2"/>
          </w:tcPr>
          <w:p w14:paraId="2EF7C6A5" w14:textId="770ACB8A" w:rsidR="009E62E1" w:rsidRPr="00154588" w:rsidRDefault="009E62E1" w:rsidP="008C12B4">
            <w:pPr>
              <w:jc w:val="both"/>
              <w:rPr>
                <w:b/>
                <w:sz w:val="20"/>
                <w:szCs w:val="20"/>
              </w:rPr>
            </w:pPr>
            <w:r w:rsidRPr="00154588">
              <w:rPr>
                <w:bCs/>
                <w:sz w:val="20"/>
                <w:szCs w:val="20"/>
              </w:rPr>
              <w:t xml:space="preserve">Compatibil </w:t>
            </w:r>
          </w:p>
        </w:tc>
        <w:tc>
          <w:tcPr>
            <w:tcW w:w="3162" w:type="dxa"/>
            <w:gridSpan w:val="2"/>
          </w:tcPr>
          <w:p w14:paraId="728C7291" w14:textId="77777777" w:rsidR="009E62E1" w:rsidRPr="00154588" w:rsidRDefault="009E62E1" w:rsidP="008C12B4">
            <w:pPr>
              <w:jc w:val="both"/>
              <w:rPr>
                <w:b/>
                <w:sz w:val="20"/>
                <w:szCs w:val="20"/>
              </w:rPr>
            </w:pPr>
          </w:p>
        </w:tc>
      </w:tr>
      <w:tr w:rsidR="009E62E1" w:rsidRPr="00154588" w14:paraId="3F12ACCB" w14:textId="77777777" w:rsidTr="007F5746">
        <w:tc>
          <w:tcPr>
            <w:tcW w:w="4929" w:type="dxa"/>
          </w:tcPr>
          <w:p w14:paraId="4C59232D" w14:textId="77777777" w:rsidR="009E62E1" w:rsidRPr="00154588" w:rsidRDefault="009E62E1" w:rsidP="008C12B4">
            <w:pPr>
              <w:pStyle w:val="a7"/>
              <w:ind w:left="34"/>
              <w:jc w:val="both"/>
              <w:rPr>
                <w:rFonts w:cs="Times New Roman"/>
                <w:bCs/>
                <w:sz w:val="20"/>
                <w:szCs w:val="20"/>
                <w:lang w:val="ro-RO"/>
              </w:rPr>
            </w:pPr>
            <w:r w:rsidRPr="00154588">
              <w:rPr>
                <w:rFonts w:cs="Times New Roman"/>
                <w:bCs/>
                <w:sz w:val="20"/>
                <w:szCs w:val="20"/>
                <w:lang w:val="ro-RO"/>
              </w:rPr>
              <w:t xml:space="preserve">(3) Autoritățile de rezoluție, autoritățile naționale competente și membrii Sistemului European al Băncilor Centrale, în afară de BCE, transmit Comisiei, la cererea acesteia, informațiile menționate la alineatul (2) de la prezentul articol în cazul în care ABE, Comitetul Unic de Rezoluție sau BCE nu dispun de astfel de informații sau nu pot comunica informațiile într-un interval de timp rezonabil. Cererea trebuie să fie proporțională, justificată și să asigure un interval de timp rezonabil pentru comunicarea informațiilor. Informațiile se transmit sub o formă care nu permite identificarea entităților individuale și nu </w:t>
            </w:r>
            <w:r w:rsidRPr="00154588">
              <w:rPr>
                <w:rFonts w:cs="Times New Roman"/>
                <w:bCs/>
                <w:sz w:val="20"/>
                <w:szCs w:val="20"/>
                <w:lang w:val="ro-RO"/>
              </w:rPr>
              <w:lastRenderedPageBreak/>
              <w:t>conțin date cu caracter personal. Comisiei și membrilor personalului acesteia le revine obligația de secret profesional în ceea ce privește informațiile primite, prevăzută la articolul 84.</w:t>
            </w:r>
          </w:p>
        </w:tc>
        <w:tc>
          <w:tcPr>
            <w:tcW w:w="4810" w:type="dxa"/>
          </w:tcPr>
          <w:p w14:paraId="12A74B38" w14:textId="5E776E1C" w:rsidR="009E62E1" w:rsidRPr="00154588" w:rsidRDefault="009E62E1" w:rsidP="008C12B4">
            <w:pPr>
              <w:jc w:val="both"/>
              <w:rPr>
                <w:b/>
                <w:sz w:val="20"/>
                <w:szCs w:val="20"/>
              </w:rPr>
            </w:pPr>
            <w:r w:rsidRPr="00154588">
              <w:rPr>
                <w:bCs/>
                <w:sz w:val="20"/>
                <w:szCs w:val="20"/>
              </w:rPr>
              <w:lastRenderedPageBreak/>
              <w:t xml:space="preserve">(4) </w:t>
            </w:r>
            <w:r w:rsidRPr="00154588">
              <w:rPr>
                <w:sz w:val="20"/>
                <w:szCs w:val="20"/>
              </w:rPr>
              <w:t>Banca Națională a Moldovei și Comisia Națională a Pieței Financiare î</w:t>
            </w:r>
            <w:r w:rsidRPr="00154588">
              <w:rPr>
                <w:bCs/>
                <w:sz w:val="20"/>
                <w:szCs w:val="20"/>
              </w:rPr>
              <w:t xml:space="preserve">n calitate de autoritate competentă si de rezoluție transmit Comisiei europene la cererea acesteia, informațiile menționate la alineatul (3) de la prezentul articol în cazul în care </w:t>
            </w:r>
            <w:r w:rsidRPr="00154588">
              <w:rPr>
                <w:sz w:val="20"/>
                <w:szCs w:val="20"/>
              </w:rPr>
              <w:t>Autoritatea Bancară Europeană,</w:t>
            </w:r>
            <w:r w:rsidRPr="00154588">
              <w:rPr>
                <w:bCs/>
                <w:sz w:val="20"/>
                <w:szCs w:val="20"/>
              </w:rPr>
              <w:t xml:space="preserve"> Comitetul Unic de Rezoluție și Banca Centrală Europeană nu dispun de astfel de informații sau nu pot comunica informațiile într-un interval de timp rezonabil. Informațiile se transmit sub o formă care nu permite identificarea entităților individuale și nu conțin date cu caracter personal.</w:t>
            </w:r>
          </w:p>
        </w:tc>
        <w:tc>
          <w:tcPr>
            <w:tcW w:w="2545" w:type="dxa"/>
            <w:gridSpan w:val="2"/>
          </w:tcPr>
          <w:p w14:paraId="36FD5CF7" w14:textId="5382A83F" w:rsidR="009E62E1" w:rsidRPr="00154588" w:rsidRDefault="009E62E1" w:rsidP="008C12B4">
            <w:pPr>
              <w:jc w:val="both"/>
              <w:rPr>
                <w:b/>
                <w:sz w:val="20"/>
                <w:szCs w:val="20"/>
              </w:rPr>
            </w:pPr>
            <w:r w:rsidRPr="00154588">
              <w:rPr>
                <w:bCs/>
                <w:sz w:val="20"/>
                <w:szCs w:val="20"/>
              </w:rPr>
              <w:t xml:space="preserve">Compatibil </w:t>
            </w:r>
          </w:p>
        </w:tc>
        <w:tc>
          <w:tcPr>
            <w:tcW w:w="3162" w:type="dxa"/>
            <w:gridSpan w:val="2"/>
          </w:tcPr>
          <w:p w14:paraId="30E43D5C" w14:textId="77777777" w:rsidR="009E62E1" w:rsidRPr="00154588" w:rsidRDefault="009E62E1" w:rsidP="008C12B4">
            <w:pPr>
              <w:jc w:val="both"/>
              <w:rPr>
                <w:b/>
                <w:sz w:val="20"/>
                <w:szCs w:val="20"/>
              </w:rPr>
            </w:pPr>
          </w:p>
        </w:tc>
      </w:tr>
      <w:tr w:rsidR="009E62E1" w:rsidRPr="00154588" w14:paraId="331961B8" w14:textId="77777777" w:rsidTr="007F5746">
        <w:tc>
          <w:tcPr>
            <w:tcW w:w="4929" w:type="dxa"/>
          </w:tcPr>
          <w:p w14:paraId="4A7BAE54" w14:textId="77777777" w:rsidR="009E62E1" w:rsidRPr="00154588" w:rsidRDefault="009E62E1" w:rsidP="008C12B4">
            <w:pPr>
              <w:jc w:val="both"/>
              <w:rPr>
                <w:b/>
                <w:sz w:val="20"/>
                <w:szCs w:val="20"/>
              </w:rPr>
            </w:pPr>
            <w:r w:rsidRPr="00154588">
              <w:rPr>
                <w:b/>
                <w:sz w:val="20"/>
                <w:szCs w:val="20"/>
              </w:rPr>
              <w:t>Articolul 128a</w:t>
            </w:r>
          </w:p>
          <w:p w14:paraId="05DBAA68" w14:textId="77777777" w:rsidR="009E62E1" w:rsidRPr="00154588" w:rsidRDefault="009E62E1" w:rsidP="008C12B4">
            <w:pPr>
              <w:jc w:val="both"/>
              <w:rPr>
                <w:b/>
                <w:sz w:val="20"/>
                <w:szCs w:val="20"/>
              </w:rPr>
            </w:pPr>
          </w:p>
          <w:p w14:paraId="5724FBBF" w14:textId="77777777" w:rsidR="009E62E1" w:rsidRPr="00154588" w:rsidRDefault="009E62E1" w:rsidP="008C12B4">
            <w:pPr>
              <w:jc w:val="both"/>
              <w:rPr>
                <w:bCs/>
                <w:sz w:val="20"/>
                <w:szCs w:val="20"/>
              </w:rPr>
            </w:pPr>
            <w:r w:rsidRPr="00154588">
              <w:rPr>
                <w:b/>
                <w:sz w:val="20"/>
                <w:szCs w:val="20"/>
              </w:rPr>
              <w:t>Punerea la dispoziție a informațiilor în punctul unic de acces european</w:t>
            </w:r>
          </w:p>
        </w:tc>
        <w:tc>
          <w:tcPr>
            <w:tcW w:w="4810" w:type="dxa"/>
          </w:tcPr>
          <w:p w14:paraId="40DAAF6B" w14:textId="5CDCAD44" w:rsidR="009E62E1" w:rsidRPr="00154588" w:rsidRDefault="009E62E1" w:rsidP="008C12B4">
            <w:pPr>
              <w:jc w:val="both"/>
              <w:rPr>
                <w:b/>
                <w:sz w:val="20"/>
                <w:szCs w:val="20"/>
              </w:rPr>
            </w:pPr>
            <w:r w:rsidRPr="00154588">
              <w:rPr>
                <w:b/>
                <w:sz w:val="20"/>
                <w:szCs w:val="20"/>
              </w:rPr>
              <w:t>Articolul 35</w:t>
            </w:r>
            <w:r w:rsidR="00F350DC" w:rsidRPr="00154588">
              <w:rPr>
                <w:b/>
                <w:sz w:val="20"/>
                <w:szCs w:val="20"/>
              </w:rPr>
              <w:t>4</w:t>
            </w:r>
            <w:r w:rsidRPr="00154588">
              <w:rPr>
                <w:b/>
                <w:sz w:val="20"/>
                <w:szCs w:val="20"/>
              </w:rPr>
              <w:t>.-</w:t>
            </w:r>
          </w:p>
          <w:p w14:paraId="20887E54" w14:textId="77777777" w:rsidR="009E62E1" w:rsidRPr="00154588" w:rsidRDefault="009E62E1" w:rsidP="008C12B4">
            <w:pPr>
              <w:jc w:val="both"/>
              <w:rPr>
                <w:b/>
                <w:sz w:val="20"/>
                <w:szCs w:val="20"/>
              </w:rPr>
            </w:pPr>
          </w:p>
          <w:p w14:paraId="2F6329EB" w14:textId="77777777" w:rsidR="009E62E1" w:rsidRPr="00154588" w:rsidRDefault="009E62E1" w:rsidP="008C12B4">
            <w:pPr>
              <w:jc w:val="both"/>
              <w:rPr>
                <w:b/>
                <w:sz w:val="20"/>
                <w:szCs w:val="20"/>
              </w:rPr>
            </w:pPr>
            <w:r w:rsidRPr="00154588">
              <w:rPr>
                <w:b/>
                <w:sz w:val="20"/>
                <w:szCs w:val="20"/>
              </w:rPr>
              <w:t>Punerea la dispoziție a informațiilor în punctul unic de acces european</w:t>
            </w:r>
          </w:p>
        </w:tc>
        <w:tc>
          <w:tcPr>
            <w:tcW w:w="2545" w:type="dxa"/>
            <w:gridSpan w:val="2"/>
          </w:tcPr>
          <w:p w14:paraId="0A4BE834" w14:textId="77777777" w:rsidR="009E62E1" w:rsidRPr="00154588" w:rsidRDefault="009E62E1" w:rsidP="008C12B4">
            <w:pPr>
              <w:jc w:val="both"/>
              <w:rPr>
                <w:b/>
                <w:sz w:val="20"/>
                <w:szCs w:val="20"/>
              </w:rPr>
            </w:pPr>
          </w:p>
        </w:tc>
        <w:tc>
          <w:tcPr>
            <w:tcW w:w="3162" w:type="dxa"/>
            <w:gridSpan w:val="2"/>
          </w:tcPr>
          <w:p w14:paraId="1D17BF7A" w14:textId="77777777" w:rsidR="009E62E1" w:rsidRPr="00154588" w:rsidRDefault="009E62E1" w:rsidP="008C12B4">
            <w:pPr>
              <w:jc w:val="both"/>
              <w:rPr>
                <w:b/>
                <w:sz w:val="20"/>
                <w:szCs w:val="20"/>
              </w:rPr>
            </w:pPr>
          </w:p>
        </w:tc>
      </w:tr>
      <w:tr w:rsidR="009E62E1" w:rsidRPr="00154588" w14:paraId="06F213E0" w14:textId="77777777" w:rsidTr="007F5746">
        <w:tc>
          <w:tcPr>
            <w:tcW w:w="4929" w:type="dxa"/>
          </w:tcPr>
          <w:p w14:paraId="6FC6A4BC" w14:textId="77777777" w:rsidR="009E62E1" w:rsidRPr="00154588" w:rsidRDefault="009E62E1" w:rsidP="008C12B4">
            <w:pPr>
              <w:jc w:val="both"/>
              <w:rPr>
                <w:bCs/>
                <w:sz w:val="20"/>
                <w:szCs w:val="20"/>
              </w:rPr>
            </w:pPr>
            <w:r w:rsidRPr="00154588">
              <w:rPr>
                <w:bCs/>
                <w:sz w:val="20"/>
                <w:szCs w:val="20"/>
              </w:rPr>
              <w:t>(1)   De la 10 ianuarie 2030, statele membre se asigură că, atunci când publică orice informație menționată la articolul 26 alineatul (1) și la articolul 45i alineatul (3) din prezenta directivă, entitatea relevantă transmite concomitent informațiile respective organismului de colectare relevant menționat la alineatul (3) de la prezentul articol pentru a fi puse la dispoziție în punctul unic de acces european (ESAP) înființat în temeiul Regulamentului (UE) 2023/2859 al Parlamentului European și al Consiliului ( 17 ).</w:t>
            </w:r>
          </w:p>
          <w:p w14:paraId="32AAB8C8" w14:textId="77777777" w:rsidR="009E62E1" w:rsidRPr="00154588" w:rsidRDefault="009E62E1" w:rsidP="008C12B4">
            <w:pPr>
              <w:jc w:val="both"/>
              <w:rPr>
                <w:bCs/>
                <w:sz w:val="20"/>
                <w:szCs w:val="20"/>
              </w:rPr>
            </w:pPr>
          </w:p>
          <w:p w14:paraId="5A7FAD7E" w14:textId="77777777" w:rsidR="009E62E1" w:rsidRPr="00154588" w:rsidRDefault="009E62E1" w:rsidP="008C12B4">
            <w:pPr>
              <w:jc w:val="both"/>
              <w:rPr>
                <w:bCs/>
                <w:sz w:val="20"/>
                <w:szCs w:val="20"/>
              </w:rPr>
            </w:pPr>
            <w:r w:rsidRPr="00154588">
              <w:rPr>
                <w:bCs/>
                <w:sz w:val="20"/>
                <w:szCs w:val="20"/>
              </w:rPr>
              <w:t>Statele membre se asigură că informațiile respectă cerințele următoare:</w:t>
            </w:r>
          </w:p>
          <w:p w14:paraId="6F2F96A2" w14:textId="77777777" w:rsidR="009E62E1" w:rsidRPr="00154588" w:rsidRDefault="009E62E1" w:rsidP="008C12B4">
            <w:pPr>
              <w:jc w:val="both"/>
              <w:rPr>
                <w:bCs/>
                <w:sz w:val="20"/>
                <w:szCs w:val="20"/>
              </w:rPr>
            </w:pPr>
          </w:p>
          <w:p w14:paraId="0FB2B938" w14:textId="77777777" w:rsidR="009E62E1" w:rsidRPr="00154588" w:rsidRDefault="009E62E1" w:rsidP="008C12B4">
            <w:pPr>
              <w:jc w:val="both"/>
              <w:rPr>
                <w:bCs/>
                <w:sz w:val="20"/>
                <w:szCs w:val="20"/>
              </w:rPr>
            </w:pPr>
            <w:r w:rsidRPr="00154588">
              <w:rPr>
                <w:bCs/>
                <w:sz w:val="20"/>
                <w:szCs w:val="20"/>
              </w:rPr>
              <w:t>(a) sunt prezentate într-un format care permite extragerea de date, în sensul definiției de la articolul 2 punctul 3 din Regulamentul (UE) 2023/2859, sau, în cazul în care acest lucru este prevăzut de dreptul Uniunii, într-un format prelucrabil automat, în sensul definiției de la articolul 2 punctul 4 din regulamentul respectiv;</w:t>
            </w:r>
          </w:p>
          <w:p w14:paraId="56785044" w14:textId="77777777" w:rsidR="009E62E1" w:rsidRPr="00154588" w:rsidRDefault="009E62E1" w:rsidP="008C12B4">
            <w:pPr>
              <w:jc w:val="both"/>
              <w:rPr>
                <w:bCs/>
                <w:sz w:val="20"/>
                <w:szCs w:val="20"/>
              </w:rPr>
            </w:pPr>
          </w:p>
          <w:p w14:paraId="60AC2003" w14:textId="77777777" w:rsidR="009E62E1" w:rsidRPr="00154588" w:rsidRDefault="009E62E1" w:rsidP="008C12B4">
            <w:pPr>
              <w:jc w:val="both"/>
              <w:rPr>
                <w:bCs/>
                <w:sz w:val="20"/>
                <w:szCs w:val="20"/>
              </w:rPr>
            </w:pPr>
            <w:r w:rsidRPr="00154588">
              <w:rPr>
                <w:bCs/>
                <w:sz w:val="20"/>
                <w:szCs w:val="20"/>
              </w:rPr>
              <w:t>(b) sunt însoțite de fiecare dintre următoarele metadate:</w:t>
            </w:r>
          </w:p>
          <w:p w14:paraId="4654EEBA" w14:textId="77777777" w:rsidR="009E62E1" w:rsidRPr="00154588" w:rsidRDefault="009E62E1" w:rsidP="008C12B4">
            <w:pPr>
              <w:jc w:val="both"/>
              <w:rPr>
                <w:bCs/>
                <w:sz w:val="20"/>
                <w:szCs w:val="20"/>
              </w:rPr>
            </w:pPr>
          </w:p>
          <w:p w14:paraId="43573507" w14:textId="77777777" w:rsidR="009E62E1" w:rsidRPr="00154588" w:rsidRDefault="009E62E1" w:rsidP="008C12B4">
            <w:pPr>
              <w:jc w:val="both"/>
              <w:rPr>
                <w:bCs/>
                <w:sz w:val="20"/>
                <w:szCs w:val="20"/>
              </w:rPr>
            </w:pPr>
            <w:r w:rsidRPr="00154588">
              <w:rPr>
                <w:bCs/>
                <w:sz w:val="20"/>
                <w:szCs w:val="20"/>
              </w:rPr>
              <w:t>(i) toate denumirile entității raportoare relevante la care se referă informațiile;</w:t>
            </w:r>
          </w:p>
          <w:p w14:paraId="039A371F" w14:textId="77777777" w:rsidR="009E62E1" w:rsidRPr="00154588" w:rsidRDefault="009E62E1" w:rsidP="008C12B4">
            <w:pPr>
              <w:jc w:val="both"/>
              <w:rPr>
                <w:bCs/>
                <w:sz w:val="20"/>
                <w:szCs w:val="20"/>
              </w:rPr>
            </w:pPr>
          </w:p>
          <w:p w14:paraId="4E41511D" w14:textId="77777777" w:rsidR="009E62E1" w:rsidRPr="00154588" w:rsidRDefault="009E62E1" w:rsidP="008C12B4">
            <w:pPr>
              <w:jc w:val="both"/>
              <w:rPr>
                <w:bCs/>
                <w:sz w:val="20"/>
                <w:szCs w:val="20"/>
              </w:rPr>
            </w:pPr>
            <w:r w:rsidRPr="00154588">
              <w:rPr>
                <w:bCs/>
                <w:sz w:val="20"/>
                <w:szCs w:val="20"/>
              </w:rPr>
              <w:t>(ii) identificatorul entității juridice al entității relevante, astfel cum este precizat în temeiul articolului 7 alineatul (4) litera (b) din Regulamentul (UE) 2023/2859;</w:t>
            </w:r>
          </w:p>
          <w:p w14:paraId="3AD1AFDC" w14:textId="77777777" w:rsidR="009E62E1" w:rsidRPr="00154588" w:rsidRDefault="009E62E1" w:rsidP="008C12B4">
            <w:pPr>
              <w:jc w:val="both"/>
              <w:rPr>
                <w:bCs/>
                <w:sz w:val="20"/>
                <w:szCs w:val="20"/>
              </w:rPr>
            </w:pPr>
          </w:p>
          <w:p w14:paraId="19545B19" w14:textId="77777777" w:rsidR="009E62E1" w:rsidRPr="00154588" w:rsidRDefault="009E62E1" w:rsidP="008C12B4">
            <w:pPr>
              <w:jc w:val="both"/>
              <w:rPr>
                <w:bCs/>
                <w:sz w:val="20"/>
                <w:szCs w:val="20"/>
              </w:rPr>
            </w:pPr>
            <w:r w:rsidRPr="00154588">
              <w:rPr>
                <w:bCs/>
                <w:sz w:val="20"/>
                <w:szCs w:val="20"/>
              </w:rPr>
              <w:t>(iii) categoria de dimensiune a firmei de investiții, astfel cum este precizată în temeiul articolului 7 alineatul (4) litera (d) din regulamentul respectiv;</w:t>
            </w:r>
          </w:p>
          <w:p w14:paraId="54378F32" w14:textId="77777777" w:rsidR="009E62E1" w:rsidRPr="00154588" w:rsidRDefault="009E62E1" w:rsidP="008C12B4">
            <w:pPr>
              <w:jc w:val="both"/>
              <w:rPr>
                <w:bCs/>
                <w:sz w:val="20"/>
                <w:szCs w:val="20"/>
              </w:rPr>
            </w:pPr>
          </w:p>
          <w:p w14:paraId="727D4515" w14:textId="77777777" w:rsidR="009E62E1" w:rsidRPr="00154588" w:rsidRDefault="009E62E1" w:rsidP="008C12B4">
            <w:pPr>
              <w:jc w:val="both"/>
              <w:rPr>
                <w:bCs/>
                <w:sz w:val="20"/>
                <w:szCs w:val="20"/>
              </w:rPr>
            </w:pPr>
            <w:r w:rsidRPr="00154588">
              <w:rPr>
                <w:bCs/>
                <w:sz w:val="20"/>
                <w:szCs w:val="20"/>
              </w:rPr>
              <w:lastRenderedPageBreak/>
              <w:t>(iv) tipul de informații, astfel cum sunt clasificate în temeiul articolului 7 alineatul (4) litera (c) din regulamentul respectiv;</w:t>
            </w:r>
          </w:p>
          <w:p w14:paraId="4AD02140" w14:textId="77777777" w:rsidR="009E62E1" w:rsidRPr="00154588" w:rsidRDefault="009E62E1" w:rsidP="008C12B4">
            <w:pPr>
              <w:jc w:val="both"/>
              <w:rPr>
                <w:bCs/>
                <w:sz w:val="20"/>
                <w:szCs w:val="20"/>
              </w:rPr>
            </w:pPr>
          </w:p>
          <w:p w14:paraId="2D98805F" w14:textId="77777777" w:rsidR="009E62E1" w:rsidRPr="00154588" w:rsidRDefault="009E62E1" w:rsidP="008C12B4">
            <w:pPr>
              <w:jc w:val="both"/>
              <w:rPr>
                <w:bCs/>
                <w:sz w:val="20"/>
                <w:szCs w:val="20"/>
              </w:rPr>
            </w:pPr>
            <w:r w:rsidRPr="00154588">
              <w:rPr>
                <w:bCs/>
                <w:sz w:val="20"/>
                <w:szCs w:val="20"/>
              </w:rPr>
              <w:t>(v) o mențiune care să indice dacă informațiile conțin date cu caracter personal.</w:t>
            </w:r>
          </w:p>
        </w:tc>
        <w:tc>
          <w:tcPr>
            <w:tcW w:w="4810" w:type="dxa"/>
          </w:tcPr>
          <w:p w14:paraId="4E819A79" w14:textId="77777777" w:rsidR="009E62E1" w:rsidRPr="00154588" w:rsidRDefault="009E62E1" w:rsidP="008C12B4">
            <w:pPr>
              <w:jc w:val="both"/>
              <w:rPr>
                <w:bCs/>
                <w:sz w:val="20"/>
                <w:szCs w:val="20"/>
              </w:rPr>
            </w:pPr>
            <w:r w:rsidRPr="00154588">
              <w:rPr>
                <w:bCs/>
                <w:sz w:val="20"/>
                <w:szCs w:val="20"/>
              </w:rPr>
              <w:lastRenderedPageBreak/>
              <w:t>(1) Banca Națională a Moldovei publică informațiile prevăzute la art. 41</w:t>
            </w:r>
            <w:r w:rsidRPr="00154588">
              <w:rPr>
                <w:bCs/>
                <w:sz w:val="20"/>
                <w:szCs w:val="20"/>
                <w:vertAlign w:val="superscript"/>
              </w:rPr>
              <w:t>17</w:t>
            </w:r>
            <w:r w:rsidRPr="00154588">
              <w:rPr>
                <w:bCs/>
                <w:sz w:val="20"/>
                <w:szCs w:val="20"/>
              </w:rPr>
              <w:t xml:space="preserve"> și art. 170</w:t>
            </w:r>
            <w:r w:rsidRPr="00154588">
              <w:rPr>
                <w:bCs/>
                <w:sz w:val="20"/>
                <w:szCs w:val="20"/>
                <w:vertAlign w:val="superscript"/>
              </w:rPr>
              <w:t>3</w:t>
            </w:r>
            <w:r w:rsidRPr="00154588">
              <w:rPr>
                <w:bCs/>
                <w:sz w:val="20"/>
                <w:szCs w:val="20"/>
              </w:rPr>
              <w:t>, în timp ce entitățile care fac parte dintr-un grup, precum și entitățile menționate la art. 1 alin. (1), care fac obiectul cerinței prevăzute la art. 164 alin. (1), transmit concomitent aceleași informații organismului de colectare desemnat în conformitate cu alin. (3), în vederea punerii acestora la dispoziție în Punctul unic de acces european (ESAP), instituit prin Regulamentul (UE) 2023/2859 al Parlamentului European și al Consiliului.</w:t>
            </w:r>
          </w:p>
          <w:p w14:paraId="5D0FE541" w14:textId="77777777" w:rsidR="009E62E1" w:rsidRPr="00154588" w:rsidRDefault="009E62E1" w:rsidP="008C12B4">
            <w:pPr>
              <w:jc w:val="both"/>
              <w:rPr>
                <w:bCs/>
                <w:sz w:val="20"/>
                <w:szCs w:val="20"/>
              </w:rPr>
            </w:pPr>
          </w:p>
          <w:p w14:paraId="45DACB86" w14:textId="77777777" w:rsidR="009E62E1" w:rsidRPr="00154588" w:rsidRDefault="009E62E1" w:rsidP="008C12B4">
            <w:pPr>
              <w:jc w:val="both"/>
              <w:rPr>
                <w:bCs/>
                <w:sz w:val="20"/>
                <w:szCs w:val="20"/>
                <w:lang w:val="ro-MD"/>
              </w:rPr>
            </w:pPr>
            <w:r w:rsidRPr="00154588">
              <w:rPr>
                <w:bCs/>
                <w:sz w:val="20"/>
                <w:szCs w:val="20"/>
                <w:lang w:val="ro-MD"/>
              </w:rPr>
              <w:t>(2) Informațiile prevăzute la alin. (1) se transmit:</w:t>
            </w:r>
          </w:p>
          <w:p w14:paraId="75BEB682" w14:textId="77777777" w:rsidR="009E62E1" w:rsidRPr="00154588" w:rsidRDefault="009E62E1" w:rsidP="008C12B4">
            <w:pPr>
              <w:jc w:val="both"/>
              <w:rPr>
                <w:bCs/>
                <w:sz w:val="20"/>
                <w:szCs w:val="20"/>
                <w:lang w:val="ro-MD"/>
              </w:rPr>
            </w:pPr>
          </w:p>
          <w:p w14:paraId="306C8978" w14:textId="77777777" w:rsidR="009E62E1" w:rsidRPr="00154588" w:rsidRDefault="009E62E1" w:rsidP="008C12B4">
            <w:pPr>
              <w:jc w:val="both"/>
              <w:rPr>
                <w:bCs/>
                <w:sz w:val="20"/>
                <w:szCs w:val="20"/>
                <w:lang w:val="ro-MD"/>
              </w:rPr>
            </w:pPr>
            <w:r w:rsidRPr="00154588">
              <w:rPr>
                <w:bCs/>
                <w:sz w:val="20"/>
                <w:szCs w:val="20"/>
                <w:lang w:val="ro-MD"/>
              </w:rPr>
              <w:t>a) într-un format care permite extragerea datelor sau, după caz, într-un format prelucrabil automat, în conformitate cu prevederile Regulamentului (UE) 2023/2859;</w:t>
            </w:r>
          </w:p>
          <w:p w14:paraId="4EE29E54" w14:textId="77777777" w:rsidR="009E62E1" w:rsidRPr="00154588" w:rsidRDefault="009E62E1" w:rsidP="008C12B4">
            <w:pPr>
              <w:jc w:val="both"/>
              <w:rPr>
                <w:bCs/>
                <w:sz w:val="20"/>
                <w:szCs w:val="20"/>
                <w:lang w:val="ro-MD"/>
              </w:rPr>
            </w:pPr>
          </w:p>
          <w:p w14:paraId="66E0DF45" w14:textId="77777777" w:rsidR="009E62E1" w:rsidRPr="00154588" w:rsidRDefault="009E62E1" w:rsidP="008C12B4">
            <w:pPr>
              <w:jc w:val="both"/>
              <w:rPr>
                <w:bCs/>
                <w:sz w:val="20"/>
                <w:szCs w:val="20"/>
                <w:lang w:val="ro-MD"/>
              </w:rPr>
            </w:pPr>
            <w:r w:rsidRPr="00154588">
              <w:rPr>
                <w:bCs/>
                <w:sz w:val="20"/>
                <w:szCs w:val="20"/>
                <w:lang w:val="ro-MD"/>
              </w:rPr>
              <w:t>b) însoțite de următoarele metadate:</w:t>
            </w:r>
          </w:p>
          <w:p w14:paraId="5BE24357" w14:textId="77777777" w:rsidR="009E62E1" w:rsidRPr="00154588" w:rsidRDefault="009E62E1" w:rsidP="008C12B4">
            <w:pPr>
              <w:pStyle w:val="a7"/>
              <w:numPr>
                <w:ilvl w:val="0"/>
                <w:numId w:val="23"/>
              </w:numPr>
              <w:jc w:val="both"/>
              <w:rPr>
                <w:rFonts w:cs="Times New Roman"/>
                <w:bCs/>
                <w:sz w:val="20"/>
                <w:szCs w:val="20"/>
                <w:lang w:val="ro-MD"/>
              </w:rPr>
            </w:pPr>
            <w:r w:rsidRPr="00154588">
              <w:rPr>
                <w:rFonts w:cs="Times New Roman"/>
                <w:bCs/>
                <w:sz w:val="20"/>
                <w:szCs w:val="20"/>
                <w:lang w:val="ro-MD"/>
              </w:rPr>
              <w:t>denumirea entității raportoare la care se referă informațiile;</w:t>
            </w:r>
          </w:p>
          <w:p w14:paraId="123E4251" w14:textId="77777777" w:rsidR="009E62E1" w:rsidRPr="00154588" w:rsidRDefault="009E62E1" w:rsidP="008C12B4">
            <w:pPr>
              <w:ind w:left="720"/>
              <w:jc w:val="both"/>
              <w:rPr>
                <w:bCs/>
                <w:sz w:val="20"/>
                <w:szCs w:val="20"/>
                <w:lang w:val="ro-MD"/>
              </w:rPr>
            </w:pPr>
          </w:p>
          <w:p w14:paraId="7982CB81" w14:textId="77777777" w:rsidR="009E62E1" w:rsidRPr="00154588" w:rsidRDefault="009E62E1" w:rsidP="008C12B4">
            <w:pPr>
              <w:numPr>
                <w:ilvl w:val="0"/>
                <w:numId w:val="23"/>
              </w:numPr>
              <w:jc w:val="both"/>
              <w:rPr>
                <w:bCs/>
                <w:sz w:val="20"/>
                <w:szCs w:val="20"/>
                <w:lang w:val="ro-MD"/>
              </w:rPr>
            </w:pPr>
            <w:r w:rsidRPr="00154588">
              <w:rPr>
                <w:bCs/>
                <w:sz w:val="20"/>
                <w:szCs w:val="20"/>
                <w:lang w:val="ro-MD"/>
              </w:rPr>
              <w:t xml:space="preserve">identificatorul entității juridice </w:t>
            </w:r>
            <w:r w:rsidRPr="00154588">
              <w:rPr>
                <w:bCs/>
                <w:sz w:val="20"/>
                <w:szCs w:val="20"/>
              </w:rPr>
              <w:t xml:space="preserve">aferent entităţii care a transmis informaţiile și al persoanei </w:t>
            </w:r>
          </w:p>
          <w:p w14:paraId="29C608E7" w14:textId="77777777" w:rsidR="009E62E1" w:rsidRPr="00154588" w:rsidRDefault="009E62E1" w:rsidP="008C12B4">
            <w:pPr>
              <w:ind w:left="720"/>
              <w:jc w:val="both"/>
              <w:rPr>
                <w:bCs/>
                <w:sz w:val="20"/>
                <w:szCs w:val="20"/>
              </w:rPr>
            </w:pPr>
            <w:r w:rsidRPr="00154588">
              <w:rPr>
                <w:bCs/>
                <w:sz w:val="20"/>
                <w:szCs w:val="20"/>
              </w:rPr>
              <w:t>juridice la care se referă informaţiile;</w:t>
            </w:r>
          </w:p>
          <w:p w14:paraId="2D505545" w14:textId="77777777" w:rsidR="009E62E1" w:rsidRPr="00154588" w:rsidRDefault="009E62E1" w:rsidP="008C12B4">
            <w:pPr>
              <w:ind w:left="720"/>
              <w:jc w:val="both"/>
              <w:rPr>
                <w:bCs/>
                <w:sz w:val="20"/>
                <w:szCs w:val="20"/>
                <w:lang w:val="ro-MD"/>
              </w:rPr>
            </w:pPr>
          </w:p>
          <w:p w14:paraId="7DE3F940" w14:textId="77777777" w:rsidR="009E62E1" w:rsidRPr="00154588" w:rsidRDefault="009E62E1" w:rsidP="008C12B4">
            <w:pPr>
              <w:numPr>
                <w:ilvl w:val="0"/>
                <w:numId w:val="23"/>
              </w:numPr>
              <w:jc w:val="both"/>
              <w:rPr>
                <w:bCs/>
                <w:sz w:val="20"/>
                <w:szCs w:val="20"/>
                <w:lang w:val="ro-MD"/>
              </w:rPr>
            </w:pPr>
            <w:r w:rsidRPr="00154588">
              <w:rPr>
                <w:bCs/>
                <w:sz w:val="20"/>
                <w:szCs w:val="20"/>
                <w:lang w:val="ro-MD"/>
              </w:rPr>
              <w:t xml:space="preserve">categoria de dimensiune a entității raportoare, </w:t>
            </w:r>
            <w:r w:rsidRPr="00154588">
              <w:rPr>
                <w:bCs/>
                <w:sz w:val="20"/>
                <w:szCs w:val="20"/>
              </w:rPr>
              <w:t>și a persoanei juridice la care se referă informaţiile</w:t>
            </w:r>
            <w:r w:rsidRPr="00154588">
              <w:rPr>
                <w:bCs/>
                <w:sz w:val="20"/>
                <w:szCs w:val="20"/>
                <w:lang w:val="ro-MD"/>
              </w:rPr>
              <w:t>;</w:t>
            </w:r>
          </w:p>
          <w:p w14:paraId="2DDE0D81" w14:textId="77777777" w:rsidR="009E62E1" w:rsidRPr="00154588" w:rsidRDefault="009E62E1" w:rsidP="008C12B4">
            <w:pPr>
              <w:ind w:left="720"/>
              <w:jc w:val="both"/>
              <w:rPr>
                <w:bCs/>
                <w:sz w:val="20"/>
                <w:szCs w:val="20"/>
                <w:lang w:val="ro-MD"/>
              </w:rPr>
            </w:pPr>
          </w:p>
          <w:p w14:paraId="3AB8CE14" w14:textId="77777777" w:rsidR="009E62E1" w:rsidRPr="00154588" w:rsidRDefault="009E62E1" w:rsidP="008C12B4">
            <w:pPr>
              <w:numPr>
                <w:ilvl w:val="0"/>
                <w:numId w:val="23"/>
              </w:numPr>
              <w:jc w:val="both"/>
              <w:rPr>
                <w:bCs/>
                <w:sz w:val="20"/>
                <w:szCs w:val="20"/>
                <w:lang w:val="ro-MD"/>
              </w:rPr>
            </w:pPr>
            <w:r w:rsidRPr="00154588">
              <w:rPr>
                <w:bCs/>
                <w:sz w:val="20"/>
                <w:szCs w:val="20"/>
                <w:lang w:val="ro-MD"/>
              </w:rPr>
              <w:t xml:space="preserve">tipul informațiilor, </w:t>
            </w:r>
            <w:r w:rsidRPr="00154588">
              <w:rPr>
                <w:bCs/>
                <w:sz w:val="20"/>
                <w:szCs w:val="20"/>
              </w:rPr>
              <w:t>puse la dispoziţia publicului în temeiul prezentei legi și dacă aceste informaţii au fost transmise în mod obligatoriu sau în mod voluntar</w:t>
            </w:r>
            <w:r w:rsidRPr="00154588">
              <w:rPr>
                <w:bCs/>
                <w:sz w:val="20"/>
                <w:szCs w:val="20"/>
                <w:lang w:val="ro-MD"/>
              </w:rPr>
              <w:t>;</w:t>
            </w:r>
          </w:p>
          <w:p w14:paraId="5EC6A24A" w14:textId="77777777" w:rsidR="009E62E1" w:rsidRPr="00154588" w:rsidRDefault="009E62E1" w:rsidP="008C12B4">
            <w:pPr>
              <w:jc w:val="both"/>
              <w:rPr>
                <w:bCs/>
                <w:sz w:val="20"/>
                <w:szCs w:val="20"/>
                <w:lang w:val="ro-MD"/>
              </w:rPr>
            </w:pPr>
          </w:p>
          <w:p w14:paraId="054CE699" w14:textId="77777777" w:rsidR="009E62E1" w:rsidRPr="00154588" w:rsidRDefault="009E62E1" w:rsidP="008C12B4">
            <w:pPr>
              <w:numPr>
                <w:ilvl w:val="0"/>
                <w:numId w:val="23"/>
              </w:numPr>
              <w:jc w:val="both"/>
              <w:rPr>
                <w:rFonts w:eastAsiaTheme="minorHAnsi"/>
                <w:bCs/>
                <w:kern w:val="2"/>
                <w:sz w:val="20"/>
                <w:szCs w:val="20"/>
                <w:lang w:val="ro-MD"/>
                <w14:ligatures w14:val="standardContextual"/>
              </w:rPr>
            </w:pPr>
            <w:r w:rsidRPr="00154588">
              <w:rPr>
                <w:bCs/>
                <w:sz w:val="20"/>
                <w:szCs w:val="20"/>
                <w:lang w:val="ro-MD"/>
              </w:rPr>
              <w:lastRenderedPageBreak/>
              <w:t xml:space="preserve">o mențiune privind existența sau inexistența datelor cu caracter personal în informațiile </w:t>
            </w:r>
            <w:r w:rsidRPr="00154588">
              <w:rPr>
                <w:rFonts w:eastAsiaTheme="minorHAnsi"/>
                <w:bCs/>
                <w:kern w:val="2"/>
                <w:sz w:val="20"/>
                <w:szCs w:val="20"/>
                <w:lang w:val="ro-MD"/>
                <w14:ligatures w14:val="standardContextual"/>
              </w:rPr>
              <w:t>transmise.</w:t>
            </w:r>
          </w:p>
          <w:p w14:paraId="72373CC4" w14:textId="77777777" w:rsidR="009E62E1" w:rsidRPr="00154588" w:rsidRDefault="009E62E1" w:rsidP="008C12B4">
            <w:pPr>
              <w:jc w:val="both"/>
              <w:rPr>
                <w:bCs/>
                <w:sz w:val="20"/>
                <w:szCs w:val="20"/>
                <w:lang w:val="ro-MD"/>
              </w:rPr>
            </w:pPr>
          </w:p>
        </w:tc>
        <w:tc>
          <w:tcPr>
            <w:tcW w:w="2545" w:type="dxa"/>
            <w:gridSpan w:val="2"/>
          </w:tcPr>
          <w:p w14:paraId="4C232C74" w14:textId="26EDEFB2" w:rsidR="009E62E1" w:rsidRPr="00154588" w:rsidRDefault="009E62E1" w:rsidP="008C12B4">
            <w:pPr>
              <w:jc w:val="both"/>
              <w:rPr>
                <w:bCs/>
                <w:sz w:val="20"/>
                <w:szCs w:val="20"/>
              </w:rPr>
            </w:pPr>
            <w:r w:rsidRPr="00154588">
              <w:rPr>
                <w:bCs/>
                <w:sz w:val="20"/>
                <w:szCs w:val="20"/>
              </w:rPr>
              <w:lastRenderedPageBreak/>
              <w:t xml:space="preserve">Compatibil </w:t>
            </w:r>
          </w:p>
        </w:tc>
        <w:tc>
          <w:tcPr>
            <w:tcW w:w="3162" w:type="dxa"/>
            <w:gridSpan w:val="2"/>
          </w:tcPr>
          <w:p w14:paraId="7C6D44B7" w14:textId="77777777" w:rsidR="009E62E1" w:rsidRPr="00154588" w:rsidRDefault="009E62E1" w:rsidP="008C12B4">
            <w:pPr>
              <w:jc w:val="both"/>
              <w:rPr>
                <w:bCs/>
                <w:sz w:val="20"/>
                <w:szCs w:val="20"/>
              </w:rPr>
            </w:pPr>
          </w:p>
        </w:tc>
      </w:tr>
      <w:tr w:rsidR="009E62E1" w:rsidRPr="00154588" w14:paraId="4C150EEC" w14:textId="77777777" w:rsidTr="007F5746">
        <w:tc>
          <w:tcPr>
            <w:tcW w:w="4929" w:type="dxa"/>
          </w:tcPr>
          <w:p w14:paraId="0FF1215D" w14:textId="77777777" w:rsidR="009E62E1" w:rsidRPr="00154588" w:rsidRDefault="009E62E1" w:rsidP="008C12B4">
            <w:pPr>
              <w:jc w:val="both"/>
              <w:rPr>
                <w:bCs/>
                <w:sz w:val="20"/>
                <w:szCs w:val="20"/>
              </w:rPr>
            </w:pPr>
            <w:r w:rsidRPr="00154588">
              <w:rPr>
                <w:bCs/>
                <w:sz w:val="20"/>
                <w:szCs w:val="20"/>
              </w:rPr>
              <w:t>(2)   În sensul alineatului (1) litera (b) punctul (ii), statele membre se asigură că entitățile obțin un identificator al entității juridice.</w:t>
            </w:r>
          </w:p>
        </w:tc>
        <w:tc>
          <w:tcPr>
            <w:tcW w:w="4810" w:type="dxa"/>
          </w:tcPr>
          <w:p w14:paraId="3099ADF9" w14:textId="454BB09D" w:rsidR="009E62E1" w:rsidRPr="00154588" w:rsidRDefault="009E62E1" w:rsidP="008C12B4">
            <w:pPr>
              <w:ind w:left="48"/>
              <w:jc w:val="both"/>
              <w:rPr>
                <w:bCs/>
                <w:sz w:val="20"/>
                <w:szCs w:val="20"/>
                <w:lang w:val="ro-MD"/>
              </w:rPr>
            </w:pPr>
            <w:r w:rsidRPr="00154588">
              <w:rPr>
                <w:bCs/>
                <w:sz w:val="20"/>
                <w:szCs w:val="20"/>
              </w:rPr>
              <w:t>(3)În scopul transmiterii informațiilor prevăzute la alin. (1), entitățile sunt obligate să obțină și să dețină un identificator al entității juridice.</w:t>
            </w:r>
          </w:p>
          <w:p w14:paraId="12B40459" w14:textId="77777777" w:rsidR="009E62E1" w:rsidRPr="00154588" w:rsidRDefault="009E62E1" w:rsidP="008C12B4">
            <w:pPr>
              <w:jc w:val="both"/>
              <w:rPr>
                <w:bCs/>
                <w:sz w:val="20"/>
                <w:szCs w:val="20"/>
              </w:rPr>
            </w:pPr>
          </w:p>
        </w:tc>
        <w:tc>
          <w:tcPr>
            <w:tcW w:w="2545" w:type="dxa"/>
            <w:gridSpan w:val="2"/>
          </w:tcPr>
          <w:p w14:paraId="1F178A79" w14:textId="166BD55B" w:rsidR="009E62E1" w:rsidRPr="00154588" w:rsidRDefault="009E62E1" w:rsidP="008C12B4">
            <w:pPr>
              <w:jc w:val="both"/>
              <w:rPr>
                <w:bCs/>
                <w:sz w:val="20"/>
                <w:szCs w:val="20"/>
              </w:rPr>
            </w:pPr>
            <w:r w:rsidRPr="00154588">
              <w:rPr>
                <w:bCs/>
                <w:sz w:val="20"/>
                <w:szCs w:val="20"/>
              </w:rPr>
              <w:t xml:space="preserve">Compatibil </w:t>
            </w:r>
          </w:p>
        </w:tc>
        <w:tc>
          <w:tcPr>
            <w:tcW w:w="3162" w:type="dxa"/>
            <w:gridSpan w:val="2"/>
          </w:tcPr>
          <w:p w14:paraId="65280A03" w14:textId="77777777" w:rsidR="009E62E1" w:rsidRPr="00154588" w:rsidRDefault="009E62E1" w:rsidP="008C12B4">
            <w:pPr>
              <w:jc w:val="both"/>
              <w:rPr>
                <w:bCs/>
                <w:sz w:val="20"/>
                <w:szCs w:val="20"/>
              </w:rPr>
            </w:pPr>
          </w:p>
        </w:tc>
      </w:tr>
      <w:tr w:rsidR="009E62E1" w:rsidRPr="00154588" w14:paraId="31423F71" w14:textId="77777777" w:rsidTr="007F5746">
        <w:tc>
          <w:tcPr>
            <w:tcW w:w="4929" w:type="dxa"/>
          </w:tcPr>
          <w:p w14:paraId="5EEA5AE9" w14:textId="77777777" w:rsidR="009E62E1" w:rsidRPr="00154588" w:rsidRDefault="009E62E1" w:rsidP="008C12B4">
            <w:pPr>
              <w:jc w:val="both"/>
              <w:rPr>
                <w:bCs/>
                <w:sz w:val="20"/>
                <w:szCs w:val="20"/>
              </w:rPr>
            </w:pPr>
            <w:r w:rsidRPr="00154588">
              <w:rPr>
                <w:bCs/>
                <w:sz w:val="20"/>
                <w:szCs w:val="20"/>
              </w:rPr>
              <w:t>(3)   Până la 9 ianuarie 2030, în scopul punerii la dispoziție a informațiilor menționate la alineatul (1) de la prezentul articol în ESAP, statele membre numesc cel puțin un organism de colectare, în sensul definiției de la articolul 2 punctul 2 din Regulamentul (UE) 2023/2859, și notifică ESMA în acest sens.</w:t>
            </w:r>
          </w:p>
        </w:tc>
        <w:tc>
          <w:tcPr>
            <w:tcW w:w="4810" w:type="dxa"/>
          </w:tcPr>
          <w:p w14:paraId="5FAE7B0D" w14:textId="77777777" w:rsidR="009E62E1" w:rsidRPr="00154588" w:rsidRDefault="009E62E1" w:rsidP="008C12B4">
            <w:pPr>
              <w:ind w:left="48"/>
              <w:jc w:val="both"/>
              <w:rPr>
                <w:rFonts w:eastAsiaTheme="minorHAnsi"/>
                <w:bCs/>
                <w:sz w:val="20"/>
                <w:szCs w:val="20"/>
                <w:lang w:val="ro-MD"/>
              </w:rPr>
            </w:pPr>
            <w:r w:rsidRPr="00154588">
              <w:rPr>
                <w:rFonts w:eastAsiaTheme="minorHAnsi"/>
                <w:bCs/>
                <w:sz w:val="20"/>
                <w:szCs w:val="20"/>
                <w:lang w:val="ro-MD"/>
              </w:rPr>
              <w:t>(4)   În scopul punerii la dispoziție a informațiilor prevăzute la alin. (1) în Punctul unic de acces european (ESAP), Banca Națională a Moldovei desemnează organismul de colectare în sensul Regulamentului (UE) 2023/2859 și notifică Autoritatea Europeană pentru Valori Mobiliare și Piețe (ESMA), în condițiile prevăzute de regulamentul respectiv.</w:t>
            </w:r>
          </w:p>
          <w:p w14:paraId="43B39CD4" w14:textId="77777777" w:rsidR="009E62E1" w:rsidRPr="00154588" w:rsidRDefault="009E62E1" w:rsidP="008C12B4">
            <w:pPr>
              <w:jc w:val="both"/>
              <w:rPr>
                <w:bCs/>
                <w:sz w:val="20"/>
                <w:szCs w:val="20"/>
              </w:rPr>
            </w:pPr>
          </w:p>
        </w:tc>
        <w:tc>
          <w:tcPr>
            <w:tcW w:w="2545" w:type="dxa"/>
            <w:gridSpan w:val="2"/>
          </w:tcPr>
          <w:p w14:paraId="5C945B90" w14:textId="4BE6798D" w:rsidR="009E62E1" w:rsidRPr="00154588" w:rsidRDefault="009E62E1" w:rsidP="008C12B4">
            <w:pPr>
              <w:jc w:val="both"/>
              <w:rPr>
                <w:bCs/>
                <w:sz w:val="20"/>
                <w:szCs w:val="20"/>
              </w:rPr>
            </w:pPr>
            <w:r w:rsidRPr="00154588">
              <w:rPr>
                <w:bCs/>
                <w:sz w:val="20"/>
                <w:szCs w:val="20"/>
              </w:rPr>
              <w:t xml:space="preserve">Compatibil </w:t>
            </w:r>
          </w:p>
        </w:tc>
        <w:tc>
          <w:tcPr>
            <w:tcW w:w="3162" w:type="dxa"/>
            <w:gridSpan w:val="2"/>
          </w:tcPr>
          <w:p w14:paraId="42898864" w14:textId="77777777" w:rsidR="009E62E1" w:rsidRPr="00154588" w:rsidRDefault="009E62E1" w:rsidP="008C12B4">
            <w:pPr>
              <w:jc w:val="both"/>
              <w:rPr>
                <w:bCs/>
                <w:sz w:val="20"/>
                <w:szCs w:val="20"/>
              </w:rPr>
            </w:pPr>
          </w:p>
        </w:tc>
      </w:tr>
      <w:tr w:rsidR="009E62E1" w:rsidRPr="00154588" w14:paraId="5984A91B" w14:textId="77777777" w:rsidTr="007F5746">
        <w:tc>
          <w:tcPr>
            <w:tcW w:w="4929" w:type="dxa"/>
          </w:tcPr>
          <w:p w14:paraId="5588A718" w14:textId="77777777" w:rsidR="009E62E1" w:rsidRPr="00154588" w:rsidRDefault="009E62E1" w:rsidP="008C12B4">
            <w:pPr>
              <w:jc w:val="both"/>
              <w:rPr>
                <w:bCs/>
                <w:sz w:val="20"/>
                <w:szCs w:val="20"/>
              </w:rPr>
            </w:pPr>
            <w:r w:rsidRPr="00154588">
              <w:rPr>
                <w:bCs/>
                <w:sz w:val="20"/>
                <w:szCs w:val="20"/>
              </w:rPr>
              <w:t>(4)   De la 10 ianuarie 2030, statele membre se asigură că informațiile menționate la articolul 29 alineatul (1) și la articolul 112 alineatul (1) din prezenta directivă sunt puse la dispoziție în ESAP. În acest scop, autoritatea competentă este organism de colectare, în sensul definiției de la articolul 2 punctul 2 din Regulamentul (UE) 2023/2859.</w:t>
            </w:r>
          </w:p>
          <w:p w14:paraId="767F23C6" w14:textId="77777777" w:rsidR="009E62E1" w:rsidRPr="00154588" w:rsidRDefault="009E62E1" w:rsidP="008C12B4">
            <w:pPr>
              <w:jc w:val="both"/>
              <w:rPr>
                <w:bCs/>
                <w:sz w:val="20"/>
                <w:szCs w:val="20"/>
              </w:rPr>
            </w:pPr>
          </w:p>
          <w:p w14:paraId="068C5DE4" w14:textId="77777777" w:rsidR="009E62E1" w:rsidRPr="00154588" w:rsidRDefault="009E62E1" w:rsidP="008C12B4">
            <w:pPr>
              <w:jc w:val="both"/>
              <w:rPr>
                <w:bCs/>
                <w:sz w:val="20"/>
                <w:szCs w:val="20"/>
              </w:rPr>
            </w:pPr>
            <w:r w:rsidRPr="00154588">
              <w:rPr>
                <w:bCs/>
                <w:sz w:val="20"/>
                <w:szCs w:val="20"/>
              </w:rPr>
              <w:t>Statele membre se asigură că informațiile respectă cerințele următoare:</w:t>
            </w:r>
          </w:p>
          <w:p w14:paraId="51FAAA26" w14:textId="77777777" w:rsidR="009E62E1" w:rsidRPr="00154588" w:rsidRDefault="009E62E1" w:rsidP="008C12B4">
            <w:pPr>
              <w:jc w:val="both"/>
              <w:rPr>
                <w:bCs/>
                <w:sz w:val="20"/>
                <w:szCs w:val="20"/>
              </w:rPr>
            </w:pPr>
          </w:p>
          <w:p w14:paraId="185E6819" w14:textId="77777777" w:rsidR="009E62E1" w:rsidRPr="00154588" w:rsidRDefault="009E62E1" w:rsidP="008C12B4">
            <w:pPr>
              <w:jc w:val="both"/>
              <w:rPr>
                <w:bCs/>
                <w:sz w:val="20"/>
                <w:szCs w:val="20"/>
              </w:rPr>
            </w:pPr>
            <w:r w:rsidRPr="00154588">
              <w:rPr>
                <w:bCs/>
                <w:sz w:val="20"/>
                <w:szCs w:val="20"/>
              </w:rPr>
              <w:t>(a) sunt prezentate într-un format care permite extragerea de date, în sensul definiției de la articolul 2 punctul 3 din Regulamentul (UE) 2023/2859;</w:t>
            </w:r>
          </w:p>
          <w:p w14:paraId="78CC36F5" w14:textId="77777777" w:rsidR="009E62E1" w:rsidRPr="00154588" w:rsidRDefault="009E62E1" w:rsidP="008C12B4">
            <w:pPr>
              <w:jc w:val="both"/>
              <w:rPr>
                <w:bCs/>
                <w:sz w:val="20"/>
                <w:szCs w:val="20"/>
              </w:rPr>
            </w:pPr>
          </w:p>
          <w:p w14:paraId="4D6557D4" w14:textId="77777777" w:rsidR="009E62E1" w:rsidRPr="00154588" w:rsidRDefault="009E62E1" w:rsidP="008C12B4">
            <w:pPr>
              <w:jc w:val="both"/>
              <w:rPr>
                <w:bCs/>
                <w:sz w:val="20"/>
                <w:szCs w:val="20"/>
              </w:rPr>
            </w:pPr>
            <w:r w:rsidRPr="00154588">
              <w:rPr>
                <w:bCs/>
                <w:sz w:val="20"/>
                <w:szCs w:val="20"/>
              </w:rPr>
              <w:t>(b) sunt însoțite de următoarele metadate:</w:t>
            </w:r>
          </w:p>
          <w:p w14:paraId="43E73F8D" w14:textId="77777777" w:rsidR="009E62E1" w:rsidRPr="00154588" w:rsidRDefault="009E62E1" w:rsidP="008C12B4">
            <w:pPr>
              <w:jc w:val="both"/>
              <w:rPr>
                <w:bCs/>
                <w:sz w:val="20"/>
                <w:szCs w:val="20"/>
              </w:rPr>
            </w:pPr>
          </w:p>
          <w:p w14:paraId="197DCE68" w14:textId="77777777" w:rsidR="009E62E1" w:rsidRPr="00154588" w:rsidRDefault="009E62E1" w:rsidP="008C12B4">
            <w:pPr>
              <w:jc w:val="both"/>
              <w:rPr>
                <w:bCs/>
                <w:sz w:val="20"/>
                <w:szCs w:val="20"/>
              </w:rPr>
            </w:pPr>
            <w:r w:rsidRPr="00154588">
              <w:rPr>
                <w:bCs/>
                <w:sz w:val="20"/>
                <w:szCs w:val="20"/>
              </w:rPr>
              <w:t>(i) toate denumirile instituției relevante la care se referă informațiile;</w:t>
            </w:r>
          </w:p>
          <w:p w14:paraId="0A641884" w14:textId="77777777" w:rsidR="009E62E1" w:rsidRPr="00154588" w:rsidRDefault="009E62E1" w:rsidP="008C12B4">
            <w:pPr>
              <w:jc w:val="both"/>
              <w:rPr>
                <w:bCs/>
                <w:sz w:val="20"/>
                <w:szCs w:val="20"/>
              </w:rPr>
            </w:pPr>
          </w:p>
          <w:p w14:paraId="3D0D444A" w14:textId="77777777" w:rsidR="009E62E1" w:rsidRPr="00154588" w:rsidRDefault="009E62E1" w:rsidP="008C12B4">
            <w:pPr>
              <w:jc w:val="both"/>
              <w:rPr>
                <w:bCs/>
                <w:sz w:val="20"/>
                <w:szCs w:val="20"/>
              </w:rPr>
            </w:pPr>
            <w:r w:rsidRPr="00154588">
              <w:rPr>
                <w:bCs/>
                <w:sz w:val="20"/>
                <w:szCs w:val="20"/>
              </w:rPr>
              <w:t>(ii) dacă este disponibil, identificatorul entității juridice al instituției relevante, astfel cum este precizat în temeiul articolului 7 alineatul (4) litera (b) din Regulamentul (UE) 2023/2859;</w:t>
            </w:r>
          </w:p>
          <w:p w14:paraId="41019789" w14:textId="77777777" w:rsidR="009E62E1" w:rsidRPr="00154588" w:rsidRDefault="009E62E1" w:rsidP="008C12B4">
            <w:pPr>
              <w:jc w:val="both"/>
              <w:rPr>
                <w:bCs/>
                <w:sz w:val="20"/>
                <w:szCs w:val="20"/>
              </w:rPr>
            </w:pPr>
          </w:p>
          <w:p w14:paraId="751F35A3" w14:textId="77777777" w:rsidR="009E62E1" w:rsidRPr="00154588" w:rsidRDefault="009E62E1" w:rsidP="008C12B4">
            <w:pPr>
              <w:jc w:val="both"/>
              <w:rPr>
                <w:bCs/>
                <w:sz w:val="20"/>
                <w:szCs w:val="20"/>
              </w:rPr>
            </w:pPr>
            <w:r w:rsidRPr="00154588">
              <w:rPr>
                <w:bCs/>
                <w:sz w:val="20"/>
                <w:szCs w:val="20"/>
              </w:rPr>
              <w:lastRenderedPageBreak/>
              <w:t>(iii) tipul de informații, astfel cum sunt clasificate în temeiul articolului 7 alineatul (4) litera (c) din regulamentul respectiv;</w:t>
            </w:r>
          </w:p>
          <w:p w14:paraId="4959AA5F" w14:textId="77777777" w:rsidR="009E62E1" w:rsidRPr="00154588" w:rsidRDefault="009E62E1" w:rsidP="008C12B4">
            <w:pPr>
              <w:jc w:val="both"/>
              <w:rPr>
                <w:bCs/>
                <w:sz w:val="20"/>
                <w:szCs w:val="20"/>
              </w:rPr>
            </w:pPr>
          </w:p>
          <w:p w14:paraId="0FE9D79B" w14:textId="77777777" w:rsidR="009E62E1" w:rsidRPr="00154588" w:rsidRDefault="009E62E1" w:rsidP="008C12B4">
            <w:pPr>
              <w:jc w:val="both"/>
              <w:rPr>
                <w:bCs/>
                <w:sz w:val="20"/>
                <w:szCs w:val="20"/>
              </w:rPr>
            </w:pPr>
            <w:r w:rsidRPr="00154588">
              <w:rPr>
                <w:bCs/>
                <w:sz w:val="20"/>
                <w:szCs w:val="20"/>
              </w:rPr>
              <w:t>(iv) o mențiune care să indice dacă informațiile respective conțin date cu caracter personal.</w:t>
            </w:r>
          </w:p>
        </w:tc>
        <w:tc>
          <w:tcPr>
            <w:tcW w:w="4810" w:type="dxa"/>
          </w:tcPr>
          <w:p w14:paraId="190107AA" w14:textId="77777777" w:rsidR="009E62E1" w:rsidRPr="00154588" w:rsidRDefault="009E62E1" w:rsidP="008C12B4">
            <w:pPr>
              <w:jc w:val="both"/>
              <w:rPr>
                <w:bCs/>
                <w:sz w:val="20"/>
                <w:szCs w:val="20"/>
              </w:rPr>
            </w:pPr>
            <w:r w:rsidRPr="00154588">
              <w:rPr>
                <w:bCs/>
                <w:sz w:val="20"/>
                <w:szCs w:val="20"/>
              </w:rPr>
              <w:lastRenderedPageBreak/>
              <w:t>(5)</w:t>
            </w:r>
            <w:r w:rsidRPr="00154588">
              <w:t xml:space="preserve"> </w:t>
            </w:r>
            <w:r w:rsidRPr="00154588">
              <w:rPr>
                <w:bCs/>
                <w:sz w:val="20"/>
                <w:szCs w:val="20"/>
              </w:rPr>
              <w:t>Banca Națională a Moldovei asigură punerea la dispoziție în Punctul unic de acces european (ESAP) informatiile prevăzute la art. 46 și 317. În acest scop,  Banca Naționala a Moldovei în calitate de autoritate competenta este organism de colectare, în sensul definiției de la articolul 2 punctul 2 din Regulamentul (UE) 2023/2859.</w:t>
            </w:r>
          </w:p>
          <w:p w14:paraId="578FBAA1" w14:textId="77777777" w:rsidR="009E62E1" w:rsidRPr="00154588" w:rsidRDefault="009E62E1" w:rsidP="008C12B4">
            <w:pPr>
              <w:jc w:val="both"/>
              <w:rPr>
                <w:bCs/>
                <w:sz w:val="20"/>
                <w:szCs w:val="20"/>
              </w:rPr>
            </w:pPr>
          </w:p>
          <w:p w14:paraId="3FF7A355" w14:textId="77777777" w:rsidR="009E62E1" w:rsidRPr="00154588" w:rsidRDefault="009E62E1" w:rsidP="008C12B4">
            <w:pPr>
              <w:jc w:val="both"/>
              <w:rPr>
                <w:bCs/>
                <w:sz w:val="20"/>
                <w:szCs w:val="20"/>
              </w:rPr>
            </w:pPr>
            <w:r w:rsidRPr="00154588">
              <w:rPr>
                <w:bCs/>
                <w:sz w:val="20"/>
                <w:szCs w:val="20"/>
              </w:rPr>
              <w:t>(6)Informatiile prevăzute la alin. (5) trebuie să respecte următoarele cerinte:</w:t>
            </w:r>
          </w:p>
          <w:p w14:paraId="1A41BC7D" w14:textId="77777777" w:rsidR="009E62E1" w:rsidRPr="00154588" w:rsidRDefault="009E62E1" w:rsidP="008C12B4">
            <w:pPr>
              <w:jc w:val="both"/>
              <w:rPr>
                <w:bCs/>
                <w:sz w:val="20"/>
                <w:szCs w:val="20"/>
              </w:rPr>
            </w:pPr>
          </w:p>
          <w:p w14:paraId="66E8BB42" w14:textId="77777777" w:rsidR="009E62E1" w:rsidRPr="00154588" w:rsidRDefault="009E62E1" w:rsidP="008C12B4">
            <w:pPr>
              <w:jc w:val="both"/>
              <w:rPr>
                <w:bCs/>
                <w:sz w:val="20"/>
                <w:szCs w:val="20"/>
              </w:rPr>
            </w:pPr>
            <w:r w:rsidRPr="00154588">
              <w:rPr>
                <w:bCs/>
                <w:sz w:val="20"/>
                <w:szCs w:val="20"/>
              </w:rPr>
              <w:t>a) să fie prezentate într-un format care permite extragerea de date, în sensul definiției de la articolul 2 punctul 3 din Regulamentul (UE) 2023/2859;</w:t>
            </w:r>
          </w:p>
          <w:p w14:paraId="0964C77E" w14:textId="77777777" w:rsidR="009E62E1" w:rsidRPr="00154588" w:rsidRDefault="009E62E1" w:rsidP="008C12B4">
            <w:pPr>
              <w:jc w:val="both"/>
              <w:rPr>
                <w:bCs/>
                <w:sz w:val="20"/>
                <w:szCs w:val="20"/>
              </w:rPr>
            </w:pPr>
          </w:p>
          <w:p w14:paraId="7A45F18E" w14:textId="77777777" w:rsidR="009E62E1" w:rsidRPr="00154588" w:rsidRDefault="009E62E1" w:rsidP="008C12B4">
            <w:pPr>
              <w:jc w:val="both"/>
              <w:rPr>
                <w:bCs/>
                <w:sz w:val="20"/>
                <w:szCs w:val="20"/>
                <w:lang w:val="ro-MD"/>
              </w:rPr>
            </w:pPr>
            <w:r w:rsidRPr="00154588">
              <w:rPr>
                <w:bCs/>
                <w:sz w:val="20"/>
                <w:szCs w:val="20"/>
              </w:rPr>
              <w:t xml:space="preserve">b) sa fie </w:t>
            </w:r>
            <w:r w:rsidRPr="00154588">
              <w:rPr>
                <w:bCs/>
                <w:sz w:val="20"/>
                <w:szCs w:val="20"/>
                <w:lang w:val="ro-MD"/>
              </w:rPr>
              <w:t>însoțite de următoarele metadate:</w:t>
            </w:r>
          </w:p>
          <w:p w14:paraId="6850CB0C" w14:textId="77777777" w:rsidR="009E62E1" w:rsidRPr="00154588" w:rsidRDefault="009E62E1" w:rsidP="008C12B4">
            <w:pPr>
              <w:pStyle w:val="a7"/>
              <w:numPr>
                <w:ilvl w:val="0"/>
                <w:numId w:val="26"/>
              </w:numPr>
              <w:jc w:val="both"/>
              <w:rPr>
                <w:rFonts w:cs="Times New Roman"/>
                <w:bCs/>
                <w:sz w:val="20"/>
                <w:szCs w:val="20"/>
                <w:lang w:val="ro-MD"/>
              </w:rPr>
            </w:pPr>
            <w:r w:rsidRPr="00154588">
              <w:rPr>
                <w:rFonts w:cs="Times New Roman"/>
                <w:bCs/>
                <w:sz w:val="20"/>
                <w:szCs w:val="20"/>
                <w:lang w:val="ro-MD"/>
              </w:rPr>
              <w:t>denumirea entității raportoare la care se referă informațiile;</w:t>
            </w:r>
          </w:p>
          <w:p w14:paraId="7E8A6BF0" w14:textId="77777777" w:rsidR="009E62E1" w:rsidRPr="00154588" w:rsidRDefault="009E62E1" w:rsidP="008C12B4">
            <w:pPr>
              <w:ind w:left="720"/>
              <w:jc w:val="both"/>
              <w:rPr>
                <w:bCs/>
                <w:sz w:val="20"/>
                <w:szCs w:val="20"/>
                <w:lang w:val="ro-MD"/>
              </w:rPr>
            </w:pPr>
          </w:p>
          <w:p w14:paraId="1F5BDB90" w14:textId="77777777" w:rsidR="009E62E1" w:rsidRPr="00154588" w:rsidRDefault="009E62E1" w:rsidP="008C12B4">
            <w:pPr>
              <w:numPr>
                <w:ilvl w:val="0"/>
                <w:numId w:val="26"/>
              </w:numPr>
              <w:jc w:val="both"/>
              <w:rPr>
                <w:bCs/>
                <w:sz w:val="20"/>
                <w:szCs w:val="20"/>
              </w:rPr>
            </w:pPr>
            <w:r w:rsidRPr="00154588">
              <w:rPr>
                <w:bCs/>
                <w:sz w:val="20"/>
                <w:szCs w:val="20"/>
                <w:lang w:val="ro-MD"/>
              </w:rPr>
              <w:t xml:space="preserve">identificatorul entității juridice </w:t>
            </w:r>
            <w:r w:rsidRPr="00154588">
              <w:rPr>
                <w:bCs/>
                <w:sz w:val="20"/>
                <w:szCs w:val="20"/>
              </w:rPr>
              <w:t>aferent entităţii , dacă este disponibil;</w:t>
            </w:r>
          </w:p>
          <w:p w14:paraId="2202E314" w14:textId="77777777" w:rsidR="009E62E1" w:rsidRPr="00154588" w:rsidRDefault="009E62E1" w:rsidP="008C12B4">
            <w:pPr>
              <w:jc w:val="both"/>
              <w:rPr>
                <w:bCs/>
                <w:sz w:val="20"/>
                <w:szCs w:val="20"/>
              </w:rPr>
            </w:pPr>
          </w:p>
          <w:p w14:paraId="63CE3FD8" w14:textId="77777777" w:rsidR="009E62E1" w:rsidRPr="00154588" w:rsidRDefault="009E62E1" w:rsidP="008C12B4">
            <w:pPr>
              <w:numPr>
                <w:ilvl w:val="0"/>
                <w:numId w:val="26"/>
              </w:numPr>
              <w:jc w:val="both"/>
              <w:rPr>
                <w:bCs/>
                <w:sz w:val="20"/>
                <w:szCs w:val="20"/>
                <w:lang w:val="ro-MD"/>
              </w:rPr>
            </w:pPr>
            <w:r w:rsidRPr="00154588">
              <w:rPr>
                <w:bCs/>
                <w:sz w:val="20"/>
                <w:szCs w:val="20"/>
                <w:lang w:val="ro-MD"/>
              </w:rPr>
              <w:t xml:space="preserve">tipul informațiilor, </w:t>
            </w:r>
            <w:r w:rsidRPr="00154588">
              <w:rPr>
                <w:bCs/>
                <w:sz w:val="20"/>
                <w:szCs w:val="20"/>
              </w:rPr>
              <w:t>puse la dispoziţia publicului în temeiul prezentei legi și dacă aceste informaţii au fost transmise în mod obligatoriu sau în mod voluntar</w:t>
            </w:r>
            <w:r w:rsidRPr="00154588">
              <w:rPr>
                <w:bCs/>
                <w:sz w:val="20"/>
                <w:szCs w:val="20"/>
                <w:lang w:val="ro-MD"/>
              </w:rPr>
              <w:t>;</w:t>
            </w:r>
          </w:p>
          <w:p w14:paraId="7A74298A" w14:textId="77777777" w:rsidR="009E62E1" w:rsidRPr="00154588" w:rsidRDefault="009E62E1" w:rsidP="008C12B4">
            <w:pPr>
              <w:jc w:val="both"/>
              <w:rPr>
                <w:bCs/>
                <w:sz w:val="20"/>
                <w:szCs w:val="20"/>
                <w:lang w:val="ro-MD"/>
              </w:rPr>
            </w:pPr>
          </w:p>
          <w:p w14:paraId="556A9ECC" w14:textId="77777777" w:rsidR="009E62E1" w:rsidRPr="00154588" w:rsidRDefault="009E62E1" w:rsidP="008C12B4">
            <w:pPr>
              <w:numPr>
                <w:ilvl w:val="0"/>
                <w:numId w:val="26"/>
              </w:numPr>
              <w:jc w:val="both"/>
              <w:rPr>
                <w:rFonts w:eastAsiaTheme="minorHAnsi"/>
                <w:bCs/>
                <w:kern w:val="2"/>
                <w:sz w:val="20"/>
                <w:szCs w:val="20"/>
                <w:lang w:val="ro-MD"/>
                <w14:ligatures w14:val="standardContextual"/>
              </w:rPr>
            </w:pPr>
            <w:r w:rsidRPr="00154588">
              <w:rPr>
                <w:bCs/>
                <w:sz w:val="20"/>
                <w:szCs w:val="20"/>
                <w:lang w:val="ro-MD"/>
              </w:rPr>
              <w:t xml:space="preserve">o mențiune privind existența sau inexistența datelor cu caracter personal în informațiile </w:t>
            </w:r>
            <w:r w:rsidRPr="00154588">
              <w:rPr>
                <w:rFonts w:eastAsiaTheme="minorHAnsi"/>
                <w:bCs/>
                <w:kern w:val="2"/>
                <w:sz w:val="20"/>
                <w:szCs w:val="20"/>
                <w:lang w:val="ro-MD"/>
                <w14:ligatures w14:val="standardContextual"/>
              </w:rPr>
              <w:t>transmise.</w:t>
            </w:r>
          </w:p>
          <w:p w14:paraId="765AE820" w14:textId="77777777" w:rsidR="009E62E1" w:rsidRPr="00154588" w:rsidRDefault="009E62E1" w:rsidP="008C12B4">
            <w:pPr>
              <w:jc w:val="both"/>
              <w:rPr>
                <w:bCs/>
                <w:sz w:val="20"/>
                <w:szCs w:val="20"/>
                <w:lang w:val="ro-MD"/>
              </w:rPr>
            </w:pPr>
          </w:p>
        </w:tc>
        <w:tc>
          <w:tcPr>
            <w:tcW w:w="2545" w:type="dxa"/>
            <w:gridSpan w:val="2"/>
          </w:tcPr>
          <w:p w14:paraId="188802AC" w14:textId="0119FA25" w:rsidR="009E62E1" w:rsidRPr="00154588" w:rsidRDefault="009E62E1" w:rsidP="008C12B4">
            <w:pPr>
              <w:jc w:val="both"/>
              <w:rPr>
                <w:bCs/>
                <w:sz w:val="20"/>
                <w:szCs w:val="20"/>
              </w:rPr>
            </w:pPr>
            <w:r w:rsidRPr="00154588">
              <w:rPr>
                <w:bCs/>
                <w:sz w:val="20"/>
                <w:szCs w:val="20"/>
              </w:rPr>
              <w:lastRenderedPageBreak/>
              <w:t xml:space="preserve">Compatibil </w:t>
            </w:r>
          </w:p>
        </w:tc>
        <w:tc>
          <w:tcPr>
            <w:tcW w:w="3162" w:type="dxa"/>
            <w:gridSpan w:val="2"/>
          </w:tcPr>
          <w:p w14:paraId="34DB3B74" w14:textId="77777777" w:rsidR="009E62E1" w:rsidRPr="00154588" w:rsidRDefault="009E62E1" w:rsidP="008C12B4">
            <w:pPr>
              <w:jc w:val="both"/>
              <w:rPr>
                <w:bCs/>
                <w:sz w:val="20"/>
                <w:szCs w:val="20"/>
              </w:rPr>
            </w:pPr>
          </w:p>
        </w:tc>
      </w:tr>
      <w:tr w:rsidR="009E62E1" w:rsidRPr="00154588" w14:paraId="6A3148C9" w14:textId="77777777" w:rsidTr="007F5746">
        <w:tc>
          <w:tcPr>
            <w:tcW w:w="4929" w:type="dxa"/>
          </w:tcPr>
          <w:p w14:paraId="51585416" w14:textId="77777777" w:rsidR="009E62E1" w:rsidRPr="00154588" w:rsidRDefault="009E62E1" w:rsidP="008C12B4">
            <w:pPr>
              <w:jc w:val="both"/>
              <w:rPr>
                <w:bCs/>
                <w:sz w:val="20"/>
                <w:szCs w:val="20"/>
              </w:rPr>
            </w:pPr>
            <w:r w:rsidRPr="00154588">
              <w:rPr>
                <w:bCs/>
                <w:sz w:val="20"/>
                <w:szCs w:val="20"/>
              </w:rPr>
              <w:t>(5)   De la 10 ianuarie 2030, statele membre se asigură că informațiile menționate la articolul 33a alineatul (8), la articolul 35 alineatul (1), la articolul 83 alineatul (4) și la articolul 112 alineatul (1) din prezenta directivă sunt puse la dispoziție în ESAP. În acest scop, autoritatea competentă este organism de colectare, în sensul definiției de la articolul 2 punctul 2 din Regulamentul (UE) 2023/2859.</w:t>
            </w:r>
          </w:p>
          <w:p w14:paraId="449EC3AE" w14:textId="77777777" w:rsidR="009E62E1" w:rsidRPr="00154588" w:rsidRDefault="009E62E1" w:rsidP="008C12B4">
            <w:pPr>
              <w:jc w:val="both"/>
              <w:rPr>
                <w:bCs/>
                <w:sz w:val="20"/>
                <w:szCs w:val="20"/>
              </w:rPr>
            </w:pPr>
          </w:p>
          <w:p w14:paraId="19C5D570" w14:textId="77777777" w:rsidR="009E62E1" w:rsidRPr="00154588" w:rsidRDefault="009E62E1" w:rsidP="008C12B4">
            <w:pPr>
              <w:jc w:val="both"/>
              <w:rPr>
                <w:bCs/>
                <w:sz w:val="20"/>
                <w:szCs w:val="20"/>
              </w:rPr>
            </w:pPr>
            <w:r w:rsidRPr="00154588">
              <w:rPr>
                <w:bCs/>
                <w:sz w:val="20"/>
                <w:szCs w:val="20"/>
              </w:rPr>
              <w:t>Statele membre se asigură că informațiile respectă cerințele următoare:</w:t>
            </w:r>
          </w:p>
          <w:p w14:paraId="5599DA64" w14:textId="77777777" w:rsidR="009E62E1" w:rsidRPr="00154588" w:rsidRDefault="009E62E1" w:rsidP="008C12B4">
            <w:pPr>
              <w:jc w:val="both"/>
              <w:rPr>
                <w:bCs/>
                <w:sz w:val="20"/>
                <w:szCs w:val="20"/>
              </w:rPr>
            </w:pPr>
          </w:p>
          <w:p w14:paraId="0A5C0AB8" w14:textId="77777777" w:rsidR="009E62E1" w:rsidRPr="00154588" w:rsidRDefault="009E62E1" w:rsidP="008C12B4">
            <w:pPr>
              <w:jc w:val="both"/>
              <w:rPr>
                <w:bCs/>
                <w:sz w:val="20"/>
                <w:szCs w:val="20"/>
              </w:rPr>
            </w:pPr>
            <w:r w:rsidRPr="00154588">
              <w:rPr>
                <w:bCs/>
                <w:sz w:val="20"/>
                <w:szCs w:val="20"/>
              </w:rPr>
              <w:t>(a) sunt prezentate într-un format care permite extragerea de date, în sensul definiției de la articolul 2 punctul 3 din Regulamentul (UE) 2023/2859;</w:t>
            </w:r>
          </w:p>
          <w:p w14:paraId="0813E6E6" w14:textId="77777777" w:rsidR="009E62E1" w:rsidRPr="00154588" w:rsidRDefault="009E62E1" w:rsidP="008C12B4">
            <w:pPr>
              <w:jc w:val="both"/>
              <w:rPr>
                <w:bCs/>
                <w:sz w:val="20"/>
                <w:szCs w:val="20"/>
              </w:rPr>
            </w:pPr>
          </w:p>
          <w:p w14:paraId="7E8DC5EA" w14:textId="77777777" w:rsidR="009E62E1" w:rsidRPr="00154588" w:rsidRDefault="009E62E1" w:rsidP="008C12B4">
            <w:pPr>
              <w:jc w:val="both"/>
              <w:rPr>
                <w:bCs/>
                <w:sz w:val="20"/>
                <w:szCs w:val="20"/>
              </w:rPr>
            </w:pPr>
            <w:r w:rsidRPr="00154588">
              <w:rPr>
                <w:bCs/>
                <w:sz w:val="20"/>
                <w:szCs w:val="20"/>
              </w:rPr>
              <w:t>(b) sunt însoțite de următoarele metadate:</w:t>
            </w:r>
          </w:p>
          <w:p w14:paraId="1FEEA356" w14:textId="77777777" w:rsidR="009E62E1" w:rsidRPr="00154588" w:rsidRDefault="009E62E1" w:rsidP="008C12B4">
            <w:pPr>
              <w:jc w:val="both"/>
              <w:rPr>
                <w:bCs/>
                <w:sz w:val="20"/>
                <w:szCs w:val="20"/>
              </w:rPr>
            </w:pPr>
          </w:p>
          <w:p w14:paraId="20FCE180" w14:textId="77777777" w:rsidR="009E62E1" w:rsidRPr="00154588" w:rsidRDefault="009E62E1" w:rsidP="008C12B4">
            <w:pPr>
              <w:jc w:val="both"/>
              <w:rPr>
                <w:bCs/>
                <w:sz w:val="20"/>
                <w:szCs w:val="20"/>
              </w:rPr>
            </w:pPr>
            <w:r w:rsidRPr="00154588">
              <w:rPr>
                <w:bCs/>
                <w:sz w:val="20"/>
                <w:szCs w:val="20"/>
              </w:rPr>
              <w:t>(i) toate denumirile instituției relevante la care se referă informațiile;</w:t>
            </w:r>
          </w:p>
          <w:p w14:paraId="2063BB60" w14:textId="77777777" w:rsidR="009E62E1" w:rsidRPr="00154588" w:rsidRDefault="009E62E1" w:rsidP="008C12B4">
            <w:pPr>
              <w:jc w:val="both"/>
              <w:rPr>
                <w:bCs/>
                <w:sz w:val="20"/>
                <w:szCs w:val="20"/>
              </w:rPr>
            </w:pPr>
          </w:p>
          <w:p w14:paraId="2D181D7B" w14:textId="77777777" w:rsidR="009E62E1" w:rsidRPr="00154588" w:rsidRDefault="009E62E1" w:rsidP="008C12B4">
            <w:pPr>
              <w:jc w:val="both"/>
              <w:rPr>
                <w:bCs/>
                <w:sz w:val="20"/>
                <w:szCs w:val="20"/>
              </w:rPr>
            </w:pPr>
            <w:r w:rsidRPr="00154588">
              <w:rPr>
                <w:bCs/>
                <w:sz w:val="20"/>
                <w:szCs w:val="20"/>
              </w:rPr>
              <w:t>(ii) dacă este disponibil, identificatorul entității juridice al instituției relevante, astfel cum este precizat în temeiul articolului 7 alineatul (4) litera (b) din regulamentul respectiv;</w:t>
            </w:r>
          </w:p>
          <w:p w14:paraId="112FB5BA" w14:textId="77777777" w:rsidR="009E62E1" w:rsidRPr="00154588" w:rsidRDefault="009E62E1" w:rsidP="008C12B4">
            <w:pPr>
              <w:jc w:val="both"/>
              <w:rPr>
                <w:bCs/>
                <w:sz w:val="20"/>
                <w:szCs w:val="20"/>
              </w:rPr>
            </w:pPr>
          </w:p>
          <w:p w14:paraId="6E5B6354" w14:textId="77777777" w:rsidR="009E62E1" w:rsidRPr="00154588" w:rsidRDefault="009E62E1" w:rsidP="008C12B4">
            <w:pPr>
              <w:jc w:val="both"/>
              <w:rPr>
                <w:bCs/>
                <w:sz w:val="20"/>
                <w:szCs w:val="20"/>
              </w:rPr>
            </w:pPr>
            <w:r w:rsidRPr="00154588">
              <w:rPr>
                <w:bCs/>
                <w:sz w:val="20"/>
                <w:szCs w:val="20"/>
              </w:rPr>
              <w:t>(iii) tipul de informații, astfel cum sunt clasificate în temeiul articolului 7 alineatul (4) litera (c) din regulamentul respectiv;</w:t>
            </w:r>
          </w:p>
          <w:p w14:paraId="42FE87A6" w14:textId="77777777" w:rsidR="009E62E1" w:rsidRPr="00154588" w:rsidRDefault="009E62E1" w:rsidP="008C12B4">
            <w:pPr>
              <w:jc w:val="both"/>
              <w:rPr>
                <w:bCs/>
                <w:sz w:val="20"/>
                <w:szCs w:val="20"/>
              </w:rPr>
            </w:pPr>
          </w:p>
          <w:p w14:paraId="39A6C824" w14:textId="77777777" w:rsidR="009E62E1" w:rsidRPr="00154588" w:rsidRDefault="009E62E1" w:rsidP="008C12B4">
            <w:pPr>
              <w:jc w:val="both"/>
              <w:rPr>
                <w:bCs/>
                <w:sz w:val="20"/>
                <w:szCs w:val="20"/>
              </w:rPr>
            </w:pPr>
            <w:r w:rsidRPr="00154588">
              <w:rPr>
                <w:bCs/>
                <w:sz w:val="20"/>
                <w:szCs w:val="20"/>
              </w:rPr>
              <w:t>(iv) o mențiune care să indice dacă informațiile conțin date cu caracter personal.</w:t>
            </w:r>
          </w:p>
        </w:tc>
        <w:tc>
          <w:tcPr>
            <w:tcW w:w="4810" w:type="dxa"/>
          </w:tcPr>
          <w:p w14:paraId="4E58E8F1" w14:textId="77777777" w:rsidR="009E62E1" w:rsidRPr="00154588" w:rsidRDefault="009E62E1" w:rsidP="008C12B4">
            <w:pPr>
              <w:jc w:val="both"/>
              <w:rPr>
                <w:bCs/>
                <w:sz w:val="20"/>
                <w:szCs w:val="20"/>
              </w:rPr>
            </w:pPr>
            <w:r w:rsidRPr="00154588">
              <w:rPr>
                <w:bCs/>
                <w:sz w:val="20"/>
                <w:szCs w:val="20"/>
              </w:rPr>
              <w:t>(7) )</w:t>
            </w:r>
            <w:r w:rsidRPr="00154588">
              <w:t xml:space="preserve"> </w:t>
            </w:r>
            <w:r w:rsidRPr="00154588">
              <w:rPr>
                <w:bCs/>
                <w:sz w:val="20"/>
                <w:szCs w:val="20"/>
              </w:rPr>
              <w:t>Banca Națională a Moldovei asigură punerea la dispoziție în Punctul unic de acces european (ESAP) a informatiilor prevăzute la art. 60</w:t>
            </w:r>
            <w:r w:rsidRPr="00154588">
              <w:rPr>
                <w:bCs/>
                <w:sz w:val="20"/>
                <w:szCs w:val="20"/>
                <w:vertAlign w:val="superscript"/>
              </w:rPr>
              <w:t>6</w:t>
            </w:r>
            <w:r w:rsidRPr="00154588">
              <w:rPr>
                <w:bCs/>
                <w:sz w:val="20"/>
                <w:szCs w:val="20"/>
              </w:rPr>
              <w:t>, 66, 286 și 317 din prezenta lege. În acest scop, Banca Națională a Moldovei în calitate de autoritate competentă este organism de colectare, în sensul definiției de la articolul 2 punctul 2 din Regulamentul (UE) 2023/2859.</w:t>
            </w:r>
          </w:p>
          <w:p w14:paraId="43ED338D" w14:textId="77777777" w:rsidR="009E62E1" w:rsidRPr="00154588" w:rsidRDefault="009E62E1" w:rsidP="008C12B4">
            <w:pPr>
              <w:jc w:val="both"/>
              <w:rPr>
                <w:bCs/>
                <w:sz w:val="20"/>
                <w:szCs w:val="20"/>
              </w:rPr>
            </w:pPr>
          </w:p>
          <w:p w14:paraId="7DDF856E" w14:textId="77777777" w:rsidR="009E62E1" w:rsidRPr="00154588" w:rsidRDefault="009E62E1" w:rsidP="008C12B4">
            <w:pPr>
              <w:jc w:val="both"/>
              <w:rPr>
                <w:bCs/>
                <w:sz w:val="20"/>
                <w:szCs w:val="20"/>
              </w:rPr>
            </w:pPr>
          </w:p>
          <w:p w14:paraId="030ECBAB" w14:textId="77777777" w:rsidR="009E62E1" w:rsidRPr="00154588" w:rsidRDefault="009E62E1" w:rsidP="008C12B4">
            <w:pPr>
              <w:jc w:val="both"/>
              <w:rPr>
                <w:bCs/>
                <w:sz w:val="20"/>
                <w:szCs w:val="20"/>
              </w:rPr>
            </w:pPr>
            <w:r w:rsidRPr="00154588">
              <w:rPr>
                <w:bCs/>
                <w:sz w:val="20"/>
                <w:szCs w:val="20"/>
              </w:rPr>
              <w:t>(8)Informatiile prevăzute la alin. (7) trebuie să respecte următoarele cerinte:</w:t>
            </w:r>
          </w:p>
          <w:p w14:paraId="69A81897" w14:textId="77777777" w:rsidR="009E62E1" w:rsidRPr="00154588" w:rsidRDefault="009E62E1" w:rsidP="008C12B4">
            <w:pPr>
              <w:jc w:val="both"/>
              <w:rPr>
                <w:bCs/>
                <w:sz w:val="20"/>
                <w:szCs w:val="20"/>
              </w:rPr>
            </w:pPr>
          </w:p>
          <w:p w14:paraId="70C43EE8" w14:textId="77777777" w:rsidR="009E62E1" w:rsidRPr="00154588" w:rsidRDefault="009E62E1" w:rsidP="008C12B4">
            <w:pPr>
              <w:jc w:val="both"/>
              <w:rPr>
                <w:bCs/>
                <w:sz w:val="20"/>
                <w:szCs w:val="20"/>
              </w:rPr>
            </w:pPr>
            <w:r w:rsidRPr="00154588">
              <w:rPr>
                <w:bCs/>
                <w:sz w:val="20"/>
                <w:szCs w:val="20"/>
              </w:rPr>
              <w:t>a)să fie prezentate într-un format care permite extragerea de date;</w:t>
            </w:r>
          </w:p>
          <w:p w14:paraId="33AE4A43" w14:textId="77777777" w:rsidR="009E62E1" w:rsidRPr="00154588" w:rsidRDefault="009E62E1" w:rsidP="008C12B4">
            <w:pPr>
              <w:jc w:val="both"/>
              <w:rPr>
                <w:bCs/>
                <w:sz w:val="20"/>
                <w:szCs w:val="20"/>
              </w:rPr>
            </w:pPr>
            <w:r w:rsidRPr="00154588">
              <w:rPr>
                <w:bCs/>
                <w:sz w:val="20"/>
                <w:szCs w:val="20"/>
              </w:rPr>
              <w:t>b)sa fie insoțit de următoarele metadate:</w:t>
            </w:r>
          </w:p>
          <w:p w14:paraId="4063A91B" w14:textId="77777777" w:rsidR="009E62E1" w:rsidRPr="00154588" w:rsidRDefault="009E62E1" w:rsidP="008C12B4">
            <w:pPr>
              <w:pStyle w:val="a7"/>
              <w:numPr>
                <w:ilvl w:val="0"/>
                <w:numId w:val="28"/>
              </w:numPr>
              <w:jc w:val="both"/>
              <w:rPr>
                <w:rFonts w:cs="Times New Roman"/>
                <w:bCs/>
                <w:sz w:val="20"/>
                <w:szCs w:val="20"/>
                <w:lang w:val="ro-MD"/>
              </w:rPr>
            </w:pPr>
            <w:r w:rsidRPr="00154588">
              <w:rPr>
                <w:rFonts w:cs="Times New Roman"/>
                <w:bCs/>
                <w:sz w:val="20"/>
                <w:szCs w:val="20"/>
                <w:lang w:val="ro-MD"/>
              </w:rPr>
              <w:t>denumirea entității raportoare la care se referă informațiile;</w:t>
            </w:r>
          </w:p>
          <w:p w14:paraId="4A5B5690" w14:textId="77777777" w:rsidR="009E62E1" w:rsidRPr="00154588" w:rsidRDefault="009E62E1" w:rsidP="008C12B4">
            <w:pPr>
              <w:ind w:left="720"/>
              <w:jc w:val="both"/>
              <w:rPr>
                <w:bCs/>
                <w:sz w:val="20"/>
                <w:szCs w:val="20"/>
                <w:lang w:val="ro-MD"/>
              </w:rPr>
            </w:pPr>
          </w:p>
          <w:p w14:paraId="2D149F6A" w14:textId="77777777" w:rsidR="009E62E1" w:rsidRPr="00154588" w:rsidRDefault="009E62E1" w:rsidP="008C12B4">
            <w:pPr>
              <w:numPr>
                <w:ilvl w:val="0"/>
                <w:numId w:val="28"/>
              </w:numPr>
              <w:jc w:val="both"/>
              <w:rPr>
                <w:bCs/>
                <w:sz w:val="20"/>
                <w:szCs w:val="20"/>
              </w:rPr>
            </w:pPr>
            <w:r w:rsidRPr="00154588">
              <w:rPr>
                <w:bCs/>
                <w:sz w:val="20"/>
                <w:szCs w:val="20"/>
                <w:lang w:val="ro-MD"/>
              </w:rPr>
              <w:t xml:space="preserve">identificatorul entității juridice </w:t>
            </w:r>
            <w:r w:rsidRPr="00154588">
              <w:rPr>
                <w:bCs/>
                <w:sz w:val="20"/>
                <w:szCs w:val="20"/>
              </w:rPr>
              <w:t>aferent entităţii, dacă este disponibil;</w:t>
            </w:r>
          </w:p>
          <w:p w14:paraId="0B347BD4" w14:textId="77777777" w:rsidR="009E62E1" w:rsidRPr="00154588" w:rsidRDefault="009E62E1" w:rsidP="008C12B4">
            <w:pPr>
              <w:jc w:val="both"/>
              <w:rPr>
                <w:bCs/>
                <w:sz w:val="20"/>
                <w:szCs w:val="20"/>
              </w:rPr>
            </w:pPr>
          </w:p>
          <w:p w14:paraId="777F3114" w14:textId="77777777" w:rsidR="009E62E1" w:rsidRPr="00154588" w:rsidRDefault="009E62E1" w:rsidP="008C12B4">
            <w:pPr>
              <w:numPr>
                <w:ilvl w:val="0"/>
                <w:numId w:val="28"/>
              </w:numPr>
              <w:jc w:val="both"/>
              <w:rPr>
                <w:bCs/>
                <w:sz w:val="20"/>
                <w:szCs w:val="20"/>
                <w:lang w:val="ro-MD"/>
              </w:rPr>
            </w:pPr>
            <w:r w:rsidRPr="00154588">
              <w:rPr>
                <w:bCs/>
                <w:sz w:val="20"/>
                <w:szCs w:val="20"/>
                <w:lang w:val="ro-MD"/>
              </w:rPr>
              <w:t xml:space="preserve">tipul informațiilor, </w:t>
            </w:r>
            <w:r w:rsidRPr="00154588">
              <w:rPr>
                <w:bCs/>
                <w:sz w:val="20"/>
                <w:szCs w:val="20"/>
              </w:rPr>
              <w:t>puse la dispoziţia publicului în temeiul prezentei legi și dacă aceste informaţii au fost transmise în mod obligatoriu sau în mod voluntar</w:t>
            </w:r>
            <w:r w:rsidRPr="00154588">
              <w:rPr>
                <w:bCs/>
                <w:sz w:val="20"/>
                <w:szCs w:val="20"/>
                <w:lang w:val="ro-MD"/>
              </w:rPr>
              <w:t>;</w:t>
            </w:r>
          </w:p>
          <w:p w14:paraId="658ACDE4" w14:textId="77777777" w:rsidR="009E62E1" w:rsidRPr="00154588" w:rsidRDefault="009E62E1" w:rsidP="008C12B4">
            <w:pPr>
              <w:jc w:val="both"/>
              <w:rPr>
                <w:bCs/>
                <w:sz w:val="20"/>
                <w:szCs w:val="20"/>
                <w:lang w:val="ro-MD"/>
              </w:rPr>
            </w:pPr>
          </w:p>
          <w:p w14:paraId="190986F6" w14:textId="77777777" w:rsidR="009E62E1" w:rsidRPr="00154588" w:rsidRDefault="009E62E1" w:rsidP="008C12B4">
            <w:pPr>
              <w:numPr>
                <w:ilvl w:val="0"/>
                <w:numId w:val="28"/>
              </w:numPr>
              <w:jc w:val="both"/>
              <w:rPr>
                <w:rFonts w:eastAsiaTheme="minorHAnsi"/>
                <w:bCs/>
                <w:kern w:val="2"/>
                <w:sz w:val="20"/>
                <w:szCs w:val="20"/>
                <w:lang w:val="ro-MD"/>
                <w14:ligatures w14:val="standardContextual"/>
              </w:rPr>
            </w:pPr>
            <w:r w:rsidRPr="00154588">
              <w:rPr>
                <w:bCs/>
                <w:sz w:val="20"/>
                <w:szCs w:val="20"/>
                <w:lang w:val="ro-MD"/>
              </w:rPr>
              <w:t xml:space="preserve">o mențiune privind existența sau inexistența datelor cu caracter personal în informațiile </w:t>
            </w:r>
            <w:r w:rsidRPr="00154588">
              <w:rPr>
                <w:rFonts w:eastAsiaTheme="minorHAnsi"/>
                <w:bCs/>
                <w:kern w:val="2"/>
                <w:sz w:val="20"/>
                <w:szCs w:val="20"/>
                <w:lang w:val="ro-MD"/>
                <w14:ligatures w14:val="standardContextual"/>
              </w:rPr>
              <w:t>transmise.</w:t>
            </w:r>
          </w:p>
          <w:p w14:paraId="1D8B4AC2" w14:textId="77777777" w:rsidR="009E62E1" w:rsidRPr="00154588" w:rsidRDefault="009E62E1" w:rsidP="008C12B4">
            <w:pPr>
              <w:jc w:val="both"/>
              <w:rPr>
                <w:bCs/>
                <w:sz w:val="20"/>
                <w:szCs w:val="20"/>
                <w:lang w:val="ro-MD"/>
              </w:rPr>
            </w:pPr>
          </w:p>
          <w:p w14:paraId="03BFC195" w14:textId="77777777" w:rsidR="009E62E1" w:rsidRPr="00154588" w:rsidRDefault="009E62E1" w:rsidP="008C12B4">
            <w:pPr>
              <w:jc w:val="both"/>
              <w:rPr>
                <w:bCs/>
                <w:sz w:val="20"/>
                <w:szCs w:val="20"/>
              </w:rPr>
            </w:pPr>
          </w:p>
        </w:tc>
        <w:tc>
          <w:tcPr>
            <w:tcW w:w="2545" w:type="dxa"/>
            <w:gridSpan w:val="2"/>
          </w:tcPr>
          <w:p w14:paraId="6E722115" w14:textId="76452965" w:rsidR="009E62E1" w:rsidRPr="00154588" w:rsidRDefault="009E62E1" w:rsidP="008C12B4">
            <w:pPr>
              <w:jc w:val="both"/>
              <w:rPr>
                <w:bCs/>
                <w:sz w:val="20"/>
                <w:szCs w:val="20"/>
              </w:rPr>
            </w:pPr>
            <w:r w:rsidRPr="00154588">
              <w:rPr>
                <w:bCs/>
                <w:sz w:val="20"/>
                <w:szCs w:val="20"/>
              </w:rPr>
              <w:t xml:space="preserve">Compatibil </w:t>
            </w:r>
          </w:p>
        </w:tc>
        <w:tc>
          <w:tcPr>
            <w:tcW w:w="3162" w:type="dxa"/>
            <w:gridSpan w:val="2"/>
          </w:tcPr>
          <w:p w14:paraId="2B6C060F" w14:textId="77777777" w:rsidR="009E62E1" w:rsidRPr="00154588" w:rsidRDefault="009E62E1" w:rsidP="008C12B4">
            <w:pPr>
              <w:jc w:val="both"/>
              <w:rPr>
                <w:bCs/>
                <w:sz w:val="20"/>
                <w:szCs w:val="20"/>
              </w:rPr>
            </w:pPr>
          </w:p>
        </w:tc>
      </w:tr>
      <w:tr w:rsidR="009E62E1" w:rsidRPr="00154588" w14:paraId="207BF184" w14:textId="77777777" w:rsidTr="007F5746">
        <w:tc>
          <w:tcPr>
            <w:tcW w:w="4929" w:type="dxa"/>
          </w:tcPr>
          <w:p w14:paraId="7FC230F7" w14:textId="77777777" w:rsidR="009E62E1" w:rsidRPr="00154588" w:rsidRDefault="009E62E1" w:rsidP="008C12B4">
            <w:pPr>
              <w:jc w:val="both"/>
              <w:rPr>
                <w:bCs/>
                <w:sz w:val="20"/>
                <w:szCs w:val="20"/>
              </w:rPr>
            </w:pPr>
            <w:r w:rsidRPr="00154588">
              <w:rPr>
                <w:bCs/>
                <w:sz w:val="20"/>
                <w:szCs w:val="20"/>
              </w:rPr>
              <w:t>(6)   În scopul colectării și gestionării eficiente a informațiilor transmise în conformitate cu alineatul (1), ABE elaborează proiecte de standarde tehnice de punere în aplicare pentru a preciza următoarele:</w:t>
            </w:r>
          </w:p>
          <w:p w14:paraId="57DD6DCA" w14:textId="77777777" w:rsidR="009E62E1" w:rsidRPr="00154588" w:rsidRDefault="009E62E1" w:rsidP="008C12B4">
            <w:pPr>
              <w:jc w:val="both"/>
              <w:rPr>
                <w:bCs/>
                <w:sz w:val="20"/>
                <w:szCs w:val="20"/>
              </w:rPr>
            </w:pPr>
          </w:p>
          <w:p w14:paraId="64C9B42C" w14:textId="77777777" w:rsidR="009E62E1" w:rsidRPr="00154588" w:rsidRDefault="009E62E1" w:rsidP="008C12B4">
            <w:pPr>
              <w:jc w:val="both"/>
              <w:rPr>
                <w:bCs/>
                <w:sz w:val="20"/>
                <w:szCs w:val="20"/>
              </w:rPr>
            </w:pPr>
          </w:p>
          <w:p w14:paraId="2911FB5D" w14:textId="77777777" w:rsidR="009E62E1" w:rsidRPr="00154588" w:rsidRDefault="009E62E1" w:rsidP="008C12B4">
            <w:pPr>
              <w:jc w:val="both"/>
              <w:rPr>
                <w:bCs/>
                <w:sz w:val="20"/>
                <w:szCs w:val="20"/>
              </w:rPr>
            </w:pPr>
            <w:r w:rsidRPr="00154588">
              <w:rPr>
                <w:bCs/>
                <w:sz w:val="20"/>
                <w:szCs w:val="20"/>
              </w:rPr>
              <w:lastRenderedPageBreak/>
              <w:t>(a) orice alte metadate care trebuie să însoțească informațiile;</w:t>
            </w:r>
          </w:p>
          <w:p w14:paraId="31E4F088" w14:textId="77777777" w:rsidR="009E62E1" w:rsidRPr="00154588" w:rsidRDefault="009E62E1" w:rsidP="008C12B4">
            <w:pPr>
              <w:jc w:val="both"/>
              <w:rPr>
                <w:bCs/>
                <w:sz w:val="20"/>
                <w:szCs w:val="20"/>
              </w:rPr>
            </w:pPr>
          </w:p>
          <w:p w14:paraId="36EC71C4" w14:textId="77777777" w:rsidR="009E62E1" w:rsidRPr="00154588" w:rsidRDefault="009E62E1" w:rsidP="008C12B4">
            <w:pPr>
              <w:jc w:val="both"/>
              <w:rPr>
                <w:bCs/>
                <w:sz w:val="20"/>
                <w:szCs w:val="20"/>
              </w:rPr>
            </w:pPr>
            <w:r w:rsidRPr="00154588">
              <w:rPr>
                <w:bCs/>
                <w:sz w:val="20"/>
                <w:szCs w:val="20"/>
              </w:rPr>
              <w:t>(b) modul de structurare a datelor la nivelul informațiilor prezentate;</w:t>
            </w:r>
          </w:p>
          <w:p w14:paraId="27D5364F" w14:textId="77777777" w:rsidR="009E62E1" w:rsidRPr="00154588" w:rsidRDefault="009E62E1" w:rsidP="008C12B4">
            <w:pPr>
              <w:jc w:val="both"/>
              <w:rPr>
                <w:bCs/>
                <w:sz w:val="20"/>
                <w:szCs w:val="20"/>
              </w:rPr>
            </w:pPr>
          </w:p>
          <w:p w14:paraId="399140D4" w14:textId="77777777" w:rsidR="009E62E1" w:rsidRPr="00154588" w:rsidRDefault="009E62E1" w:rsidP="008C12B4">
            <w:pPr>
              <w:jc w:val="both"/>
              <w:rPr>
                <w:bCs/>
                <w:sz w:val="20"/>
                <w:szCs w:val="20"/>
              </w:rPr>
            </w:pPr>
            <w:r w:rsidRPr="00154588">
              <w:rPr>
                <w:bCs/>
                <w:sz w:val="20"/>
                <w:szCs w:val="20"/>
              </w:rPr>
              <w:t>(c) pentru ce informații este necesar un format prelucrabil automat și, în astfel de cazuri, ce format prelucrabil automat trebuie utilizat.</w:t>
            </w:r>
          </w:p>
          <w:p w14:paraId="1470CD79" w14:textId="77777777" w:rsidR="009E62E1" w:rsidRPr="00154588" w:rsidRDefault="009E62E1" w:rsidP="008C12B4">
            <w:pPr>
              <w:jc w:val="both"/>
              <w:rPr>
                <w:bCs/>
                <w:sz w:val="20"/>
                <w:szCs w:val="20"/>
              </w:rPr>
            </w:pPr>
          </w:p>
          <w:p w14:paraId="4687673C" w14:textId="77777777" w:rsidR="009E62E1" w:rsidRPr="00154588" w:rsidRDefault="009E62E1" w:rsidP="008C12B4">
            <w:pPr>
              <w:jc w:val="both"/>
              <w:rPr>
                <w:bCs/>
                <w:sz w:val="20"/>
                <w:szCs w:val="20"/>
              </w:rPr>
            </w:pPr>
            <w:r w:rsidRPr="00154588">
              <w:rPr>
                <w:bCs/>
                <w:sz w:val="20"/>
                <w:szCs w:val="20"/>
              </w:rPr>
              <w:t>În sensul literei (c), ABE evaluează avantajele și dezavantajele diferitelor formate prelucrabile automat și efectuează teste adecvate în condiții reale de utilizare în acest scop.</w:t>
            </w:r>
          </w:p>
          <w:p w14:paraId="53903F30" w14:textId="77777777" w:rsidR="009E62E1" w:rsidRPr="00154588" w:rsidRDefault="009E62E1" w:rsidP="008C12B4">
            <w:pPr>
              <w:jc w:val="both"/>
              <w:rPr>
                <w:bCs/>
                <w:sz w:val="20"/>
                <w:szCs w:val="20"/>
              </w:rPr>
            </w:pPr>
          </w:p>
          <w:p w14:paraId="5FD4FED6" w14:textId="77777777" w:rsidR="009E62E1" w:rsidRPr="00154588" w:rsidRDefault="009E62E1" w:rsidP="008C12B4">
            <w:pPr>
              <w:jc w:val="both"/>
              <w:rPr>
                <w:bCs/>
                <w:sz w:val="20"/>
                <w:szCs w:val="20"/>
              </w:rPr>
            </w:pPr>
            <w:r w:rsidRPr="00154588">
              <w:rPr>
                <w:bCs/>
                <w:sz w:val="20"/>
                <w:szCs w:val="20"/>
              </w:rPr>
              <w:t>ABE prezintă Comisiei proiectele respective de standarde tehnice de punere în aplicare.</w:t>
            </w:r>
          </w:p>
          <w:p w14:paraId="09412EE3" w14:textId="77777777" w:rsidR="009E62E1" w:rsidRPr="00154588" w:rsidRDefault="009E62E1" w:rsidP="008C12B4">
            <w:pPr>
              <w:jc w:val="both"/>
              <w:rPr>
                <w:bCs/>
                <w:sz w:val="20"/>
                <w:szCs w:val="20"/>
              </w:rPr>
            </w:pPr>
          </w:p>
          <w:p w14:paraId="24B07775" w14:textId="77777777" w:rsidR="009E62E1" w:rsidRPr="00154588" w:rsidRDefault="009E62E1" w:rsidP="008C12B4">
            <w:pPr>
              <w:jc w:val="both"/>
              <w:rPr>
                <w:bCs/>
                <w:sz w:val="20"/>
                <w:szCs w:val="20"/>
              </w:rPr>
            </w:pPr>
            <w:r w:rsidRPr="00154588">
              <w:rPr>
                <w:bCs/>
                <w:sz w:val="20"/>
                <w:szCs w:val="20"/>
              </w:rPr>
              <w:t>Se conferă Comisiei competența de a adopta standardele tehnice de punere în aplicare menționate la primul paragraf de la prezentul alineat în conformitate cu articolul 15 din Regulamentul (UE) nr. 1093/2010.</w:t>
            </w:r>
          </w:p>
        </w:tc>
        <w:tc>
          <w:tcPr>
            <w:tcW w:w="4810" w:type="dxa"/>
          </w:tcPr>
          <w:p w14:paraId="20E397CD" w14:textId="77777777" w:rsidR="009E62E1" w:rsidRPr="00154588" w:rsidRDefault="009E62E1" w:rsidP="008C12B4">
            <w:pPr>
              <w:jc w:val="both"/>
              <w:rPr>
                <w:bCs/>
                <w:sz w:val="20"/>
                <w:szCs w:val="20"/>
                <w:lang w:val="ro-MD"/>
              </w:rPr>
            </w:pPr>
            <w:r w:rsidRPr="00154588">
              <w:rPr>
                <w:bCs/>
                <w:sz w:val="20"/>
                <w:szCs w:val="20"/>
              </w:rPr>
              <w:lastRenderedPageBreak/>
              <w:t xml:space="preserve">(9) </w:t>
            </w:r>
            <w:r w:rsidRPr="00154588">
              <w:rPr>
                <w:bCs/>
                <w:sz w:val="20"/>
                <w:szCs w:val="20"/>
                <w:lang w:val="ro-MD"/>
              </w:rPr>
              <w:t>Banca Națională a Moldovei stabilește, prin actele sale normative, în conformitate cu standardele tehnice de punere în aplicare elaborate de Autoritatea Bancară Europeană și adoptate de Comisia Europeană, cerințele privind transmiterea informațiilor prevăzute la alin. (1), inclusiv cu privire la:</w:t>
            </w:r>
          </w:p>
          <w:p w14:paraId="56435436" w14:textId="77777777" w:rsidR="009E62E1" w:rsidRPr="00154588" w:rsidRDefault="009E62E1" w:rsidP="008C12B4">
            <w:pPr>
              <w:jc w:val="both"/>
              <w:rPr>
                <w:bCs/>
                <w:sz w:val="20"/>
                <w:szCs w:val="20"/>
                <w:lang w:val="ro-MD"/>
              </w:rPr>
            </w:pPr>
          </w:p>
          <w:p w14:paraId="7002730E" w14:textId="77777777" w:rsidR="009E62E1" w:rsidRPr="00154588" w:rsidRDefault="009E62E1" w:rsidP="008C12B4">
            <w:pPr>
              <w:jc w:val="both"/>
              <w:rPr>
                <w:bCs/>
                <w:sz w:val="20"/>
                <w:szCs w:val="20"/>
                <w:lang w:val="ro-MD"/>
              </w:rPr>
            </w:pPr>
            <w:r w:rsidRPr="00154588">
              <w:rPr>
                <w:bCs/>
                <w:sz w:val="20"/>
                <w:szCs w:val="20"/>
                <w:lang w:val="ro-MD"/>
              </w:rPr>
              <w:t>a) metadatele care însoțesc informațiile;</w:t>
            </w:r>
          </w:p>
          <w:p w14:paraId="2904DF51" w14:textId="77777777" w:rsidR="009E62E1" w:rsidRPr="00154588" w:rsidRDefault="009E62E1" w:rsidP="008C12B4">
            <w:pPr>
              <w:jc w:val="both"/>
              <w:rPr>
                <w:bCs/>
                <w:sz w:val="20"/>
                <w:szCs w:val="20"/>
                <w:lang w:val="ro-MD"/>
              </w:rPr>
            </w:pPr>
          </w:p>
          <w:p w14:paraId="3AF7EA63" w14:textId="77777777" w:rsidR="009E62E1" w:rsidRPr="00154588" w:rsidRDefault="009E62E1" w:rsidP="008C12B4">
            <w:pPr>
              <w:jc w:val="both"/>
              <w:rPr>
                <w:bCs/>
                <w:sz w:val="20"/>
                <w:szCs w:val="20"/>
                <w:lang w:val="ro-MD"/>
              </w:rPr>
            </w:pPr>
            <w:r w:rsidRPr="00154588">
              <w:rPr>
                <w:bCs/>
                <w:sz w:val="20"/>
                <w:szCs w:val="20"/>
                <w:lang w:val="ro-MD"/>
              </w:rPr>
              <w:t>b) structura datelor la nivelul informațiilor transmise;</w:t>
            </w:r>
          </w:p>
          <w:p w14:paraId="53E7A823" w14:textId="77777777" w:rsidR="009E62E1" w:rsidRPr="00154588" w:rsidRDefault="009E62E1" w:rsidP="008C12B4">
            <w:pPr>
              <w:jc w:val="both"/>
              <w:rPr>
                <w:bCs/>
                <w:sz w:val="20"/>
                <w:szCs w:val="20"/>
                <w:lang w:val="ro-MD"/>
              </w:rPr>
            </w:pPr>
            <w:r w:rsidRPr="00154588">
              <w:rPr>
                <w:bCs/>
                <w:sz w:val="20"/>
                <w:szCs w:val="20"/>
                <w:lang w:val="ro-MD"/>
              </w:rPr>
              <w:t>c) categoriile de informații care se transmit într-un format prelucrabil automat și formatul utilizat în acest scop.</w:t>
            </w:r>
          </w:p>
          <w:p w14:paraId="792A2E30" w14:textId="77777777" w:rsidR="009E62E1" w:rsidRPr="00154588" w:rsidRDefault="009E62E1" w:rsidP="008C12B4">
            <w:pPr>
              <w:jc w:val="both"/>
              <w:rPr>
                <w:bCs/>
                <w:sz w:val="20"/>
                <w:szCs w:val="20"/>
                <w:lang w:val="ro-MD"/>
              </w:rPr>
            </w:pPr>
          </w:p>
          <w:p w14:paraId="623AE1B8" w14:textId="77777777" w:rsidR="009E62E1" w:rsidRPr="00154588" w:rsidRDefault="009E62E1" w:rsidP="008C12B4">
            <w:pPr>
              <w:jc w:val="both"/>
              <w:rPr>
                <w:bCs/>
                <w:sz w:val="20"/>
                <w:szCs w:val="20"/>
                <w:lang w:val="ro-MD"/>
              </w:rPr>
            </w:pPr>
            <w:r w:rsidRPr="00154588">
              <w:rPr>
                <w:bCs/>
                <w:sz w:val="20"/>
                <w:szCs w:val="20"/>
                <w:lang w:val="ro-MD"/>
              </w:rPr>
              <w:t>-</w:t>
            </w:r>
          </w:p>
          <w:p w14:paraId="07F23A78" w14:textId="77777777" w:rsidR="009E62E1" w:rsidRPr="00154588" w:rsidRDefault="009E62E1" w:rsidP="008C12B4">
            <w:pPr>
              <w:jc w:val="both"/>
              <w:rPr>
                <w:bCs/>
                <w:sz w:val="20"/>
                <w:szCs w:val="20"/>
              </w:rPr>
            </w:pPr>
          </w:p>
        </w:tc>
        <w:tc>
          <w:tcPr>
            <w:tcW w:w="2545" w:type="dxa"/>
            <w:gridSpan w:val="2"/>
          </w:tcPr>
          <w:p w14:paraId="72B9D346" w14:textId="2BD1F98F" w:rsidR="009E62E1" w:rsidRPr="00154588" w:rsidRDefault="009E62E1" w:rsidP="008C12B4">
            <w:pPr>
              <w:jc w:val="both"/>
              <w:rPr>
                <w:bCs/>
                <w:sz w:val="20"/>
                <w:szCs w:val="20"/>
              </w:rPr>
            </w:pPr>
            <w:r w:rsidRPr="00154588">
              <w:rPr>
                <w:bCs/>
                <w:sz w:val="20"/>
                <w:szCs w:val="20"/>
              </w:rPr>
              <w:lastRenderedPageBreak/>
              <w:t xml:space="preserve">Compatibil </w:t>
            </w:r>
          </w:p>
        </w:tc>
        <w:tc>
          <w:tcPr>
            <w:tcW w:w="3162" w:type="dxa"/>
            <w:gridSpan w:val="2"/>
          </w:tcPr>
          <w:p w14:paraId="5DEB21C9" w14:textId="77777777" w:rsidR="009E62E1" w:rsidRPr="00154588" w:rsidRDefault="009E62E1" w:rsidP="008C12B4">
            <w:pPr>
              <w:jc w:val="both"/>
              <w:rPr>
                <w:bCs/>
                <w:sz w:val="20"/>
                <w:szCs w:val="20"/>
              </w:rPr>
            </w:pPr>
          </w:p>
        </w:tc>
      </w:tr>
      <w:tr w:rsidR="009E62E1" w:rsidRPr="00154588" w14:paraId="0908F91B" w14:textId="77777777" w:rsidTr="007F5746">
        <w:tc>
          <w:tcPr>
            <w:tcW w:w="4929" w:type="dxa"/>
          </w:tcPr>
          <w:p w14:paraId="4DED1218" w14:textId="77777777" w:rsidR="009E62E1" w:rsidRPr="00154588" w:rsidRDefault="009E62E1" w:rsidP="008C12B4">
            <w:pPr>
              <w:jc w:val="both"/>
              <w:rPr>
                <w:bCs/>
                <w:sz w:val="20"/>
                <w:szCs w:val="20"/>
              </w:rPr>
            </w:pPr>
            <w:r w:rsidRPr="00154588">
              <w:rPr>
                <w:bCs/>
                <w:sz w:val="20"/>
                <w:szCs w:val="20"/>
              </w:rPr>
              <w:t>(7)   Dacă este necesar, ABE adoptă orientări pentru a se asigura că metadatele transmise în conformitate cu alineatul (6) primul paragraf litera (a) sunt corecte.</w:t>
            </w:r>
          </w:p>
        </w:tc>
        <w:tc>
          <w:tcPr>
            <w:tcW w:w="4810" w:type="dxa"/>
          </w:tcPr>
          <w:p w14:paraId="1ADC04F4" w14:textId="77777777" w:rsidR="009E62E1" w:rsidRPr="00154588" w:rsidRDefault="009E62E1" w:rsidP="008C12B4">
            <w:pPr>
              <w:jc w:val="both"/>
              <w:rPr>
                <w:bCs/>
                <w:sz w:val="20"/>
                <w:szCs w:val="20"/>
              </w:rPr>
            </w:pPr>
          </w:p>
        </w:tc>
        <w:tc>
          <w:tcPr>
            <w:tcW w:w="2545" w:type="dxa"/>
            <w:gridSpan w:val="2"/>
          </w:tcPr>
          <w:p w14:paraId="05B6BD24" w14:textId="77777777" w:rsidR="009E62E1" w:rsidRPr="00154588" w:rsidRDefault="009E62E1" w:rsidP="008C12B4">
            <w:pPr>
              <w:jc w:val="both"/>
              <w:rPr>
                <w:bCs/>
                <w:sz w:val="20"/>
                <w:szCs w:val="20"/>
              </w:rPr>
            </w:pPr>
          </w:p>
        </w:tc>
        <w:tc>
          <w:tcPr>
            <w:tcW w:w="3162" w:type="dxa"/>
            <w:gridSpan w:val="2"/>
          </w:tcPr>
          <w:p w14:paraId="4E82BFE8" w14:textId="77777777" w:rsidR="009E62E1" w:rsidRPr="00154588" w:rsidRDefault="009E62E1" w:rsidP="008C12B4">
            <w:pPr>
              <w:jc w:val="both"/>
              <w:rPr>
                <w:bCs/>
                <w:sz w:val="20"/>
                <w:szCs w:val="20"/>
              </w:rPr>
            </w:pPr>
          </w:p>
        </w:tc>
      </w:tr>
      <w:tr w:rsidR="009E62E1" w:rsidRPr="00154588" w14:paraId="064B14DB" w14:textId="77777777" w:rsidTr="007F5746">
        <w:tc>
          <w:tcPr>
            <w:tcW w:w="4929" w:type="dxa"/>
          </w:tcPr>
          <w:p w14:paraId="384941C6" w14:textId="77777777" w:rsidR="009E62E1" w:rsidRPr="00154588" w:rsidRDefault="009E62E1" w:rsidP="008C12B4">
            <w:pPr>
              <w:jc w:val="both"/>
              <w:rPr>
                <w:b/>
                <w:sz w:val="20"/>
                <w:szCs w:val="20"/>
              </w:rPr>
            </w:pPr>
            <w:r w:rsidRPr="00154588">
              <w:rPr>
                <w:b/>
                <w:sz w:val="20"/>
                <w:szCs w:val="20"/>
              </w:rPr>
              <w:t>Articolul 128</w:t>
            </w:r>
            <w:r w:rsidRPr="00154588">
              <w:rPr>
                <w:b/>
                <w:i/>
                <w:iCs/>
                <w:sz w:val="20"/>
                <w:szCs w:val="20"/>
              </w:rPr>
              <w:t xml:space="preserve">b </w:t>
            </w:r>
          </w:p>
          <w:p w14:paraId="6D6D0EE9" w14:textId="77777777" w:rsidR="009E62E1" w:rsidRPr="00154588" w:rsidRDefault="009E62E1" w:rsidP="008C12B4">
            <w:pPr>
              <w:jc w:val="both"/>
              <w:rPr>
                <w:b/>
                <w:sz w:val="20"/>
                <w:szCs w:val="20"/>
              </w:rPr>
            </w:pPr>
          </w:p>
          <w:p w14:paraId="0BE1F383" w14:textId="77777777" w:rsidR="009E62E1" w:rsidRPr="00154588" w:rsidRDefault="009E62E1" w:rsidP="008C12B4">
            <w:pPr>
              <w:jc w:val="both"/>
              <w:rPr>
                <w:bCs/>
                <w:sz w:val="20"/>
                <w:szCs w:val="20"/>
              </w:rPr>
            </w:pPr>
            <w:r w:rsidRPr="00154588">
              <w:rPr>
                <w:b/>
                <w:sz w:val="20"/>
                <w:szCs w:val="20"/>
              </w:rPr>
              <w:t>Mijloace de publicare a informațiilor</w:t>
            </w:r>
          </w:p>
        </w:tc>
        <w:tc>
          <w:tcPr>
            <w:tcW w:w="4810" w:type="dxa"/>
          </w:tcPr>
          <w:p w14:paraId="7647AD99" w14:textId="764CE99C" w:rsidR="009E62E1" w:rsidRPr="00154588" w:rsidRDefault="009E62E1" w:rsidP="008C12B4">
            <w:pPr>
              <w:jc w:val="both"/>
              <w:rPr>
                <w:b/>
                <w:sz w:val="20"/>
                <w:szCs w:val="20"/>
              </w:rPr>
            </w:pPr>
            <w:r w:rsidRPr="00154588">
              <w:rPr>
                <w:b/>
                <w:sz w:val="20"/>
                <w:szCs w:val="20"/>
              </w:rPr>
              <w:t>Articolul 35</w:t>
            </w:r>
            <w:r w:rsidR="00F350DC" w:rsidRPr="00154588">
              <w:rPr>
                <w:b/>
                <w:sz w:val="20"/>
                <w:szCs w:val="20"/>
              </w:rPr>
              <w:t>5</w:t>
            </w:r>
            <w:r w:rsidRPr="00154588">
              <w:rPr>
                <w:b/>
                <w:sz w:val="20"/>
                <w:szCs w:val="20"/>
              </w:rPr>
              <w:t>.-</w:t>
            </w:r>
          </w:p>
          <w:p w14:paraId="36DBAB96" w14:textId="77777777" w:rsidR="009E62E1" w:rsidRPr="00154588" w:rsidRDefault="009E62E1" w:rsidP="008C12B4">
            <w:pPr>
              <w:jc w:val="both"/>
              <w:rPr>
                <w:b/>
                <w:sz w:val="20"/>
                <w:szCs w:val="20"/>
              </w:rPr>
            </w:pPr>
          </w:p>
          <w:p w14:paraId="24526DA4" w14:textId="266BFDA7" w:rsidR="009E62E1" w:rsidRPr="00154588" w:rsidRDefault="009E62E1" w:rsidP="008C12B4">
            <w:pPr>
              <w:jc w:val="both"/>
              <w:rPr>
                <w:bCs/>
                <w:sz w:val="20"/>
                <w:szCs w:val="20"/>
              </w:rPr>
            </w:pPr>
          </w:p>
        </w:tc>
        <w:tc>
          <w:tcPr>
            <w:tcW w:w="2545" w:type="dxa"/>
            <w:gridSpan w:val="2"/>
          </w:tcPr>
          <w:p w14:paraId="0944DF62" w14:textId="77777777" w:rsidR="009E62E1" w:rsidRPr="00154588" w:rsidRDefault="009E62E1" w:rsidP="008C12B4">
            <w:pPr>
              <w:jc w:val="both"/>
              <w:rPr>
                <w:bCs/>
                <w:sz w:val="20"/>
                <w:szCs w:val="20"/>
              </w:rPr>
            </w:pPr>
          </w:p>
        </w:tc>
        <w:tc>
          <w:tcPr>
            <w:tcW w:w="3162" w:type="dxa"/>
            <w:gridSpan w:val="2"/>
          </w:tcPr>
          <w:p w14:paraId="323A6BEC" w14:textId="77777777" w:rsidR="009E62E1" w:rsidRPr="00154588" w:rsidRDefault="009E62E1" w:rsidP="008C12B4">
            <w:pPr>
              <w:jc w:val="both"/>
              <w:rPr>
                <w:bCs/>
                <w:sz w:val="20"/>
                <w:szCs w:val="20"/>
              </w:rPr>
            </w:pPr>
          </w:p>
        </w:tc>
      </w:tr>
      <w:tr w:rsidR="009E62E1" w:rsidRPr="00154588" w14:paraId="303673DF" w14:textId="77777777" w:rsidTr="007F5746">
        <w:tc>
          <w:tcPr>
            <w:tcW w:w="4929" w:type="dxa"/>
          </w:tcPr>
          <w:p w14:paraId="096BBA0D" w14:textId="77777777" w:rsidR="009E62E1" w:rsidRPr="00154588" w:rsidRDefault="009E62E1" w:rsidP="008C12B4">
            <w:pPr>
              <w:pStyle w:val="a7"/>
              <w:numPr>
                <w:ilvl w:val="0"/>
                <w:numId w:val="10"/>
              </w:numPr>
              <w:ind w:left="34" w:firstLine="0"/>
              <w:jc w:val="both"/>
              <w:rPr>
                <w:rFonts w:cs="Times New Roman"/>
                <w:bCs/>
                <w:sz w:val="20"/>
                <w:szCs w:val="20"/>
                <w:lang w:val="ro-RO"/>
              </w:rPr>
            </w:pPr>
            <w:r w:rsidRPr="00154588">
              <w:rPr>
                <w:rFonts w:cs="Times New Roman"/>
                <w:bCs/>
                <w:sz w:val="20"/>
                <w:szCs w:val="20"/>
                <w:lang w:val="ro-RO"/>
              </w:rPr>
              <w:t xml:space="preserve">Instituțiile, exceptând instituțiile mici și cu un grad redus de complexitate, astfel cum sunt definite la articolul 4 alineatul (1) punctul 145 din Regulamentul (UE) nr. 575/2013, și entitățile menționate la articolul 1 alineatul (1) literele (b), (c) și (d) din prezenta directivă transmit ABE toate informațiile solicitate în temeiul articolului 45i alineatul (3) din prezenta directivă în format electronic, cel târziu la data la care acestea își publică situațiile financiare sau rapoartele financiare pentru perioada corespunzătoare, după caz, sau cât mai curând posibil după această dată. </w:t>
            </w:r>
          </w:p>
          <w:p w14:paraId="04CD49CF" w14:textId="77777777" w:rsidR="009E62E1" w:rsidRPr="00154588" w:rsidRDefault="009E62E1" w:rsidP="008C12B4">
            <w:pPr>
              <w:jc w:val="both"/>
              <w:rPr>
                <w:bCs/>
                <w:sz w:val="20"/>
                <w:szCs w:val="20"/>
              </w:rPr>
            </w:pPr>
          </w:p>
          <w:p w14:paraId="52954FCF" w14:textId="77777777" w:rsidR="009E62E1" w:rsidRPr="00154588" w:rsidRDefault="009E62E1" w:rsidP="008C12B4">
            <w:pPr>
              <w:jc w:val="both"/>
              <w:rPr>
                <w:bCs/>
                <w:sz w:val="20"/>
                <w:szCs w:val="20"/>
              </w:rPr>
            </w:pPr>
            <w:r w:rsidRPr="00154588">
              <w:rPr>
                <w:bCs/>
                <w:sz w:val="20"/>
                <w:szCs w:val="20"/>
              </w:rPr>
              <w:t xml:space="preserve">ABE publică pe site-ul său informațiile respective, însoțite de data transmiterii. ABE se asigură că informațiile publicate pe site-ul său sunt identice cu </w:t>
            </w:r>
            <w:r w:rsidRPr="00154588">
              <w:rPr>
                <w:bCs/>
                <w:sz w:val="20"/>
                <w:szCs w:val="20"/>
              </w:rPr>
              <w:lastRenderedPageBreak/>
              <w:t xml:space="preserve">cele care i-au fost transmise de către instituții și entități. Instituțiile și entitățile au dreptul de a retransmite către ABE informațiile în conformitate cu standardele tehnice menționate la articolul 45i alineatul (6). </w:t>
            </w:r>
          </w:p>
          <w:p w14:paraId="45238839" w14:textId="77777777" w:rsidR="009E62E1" w:rsidRPr="00154588" w:rsidRDefault="009E62E1" w:rsidP="008C12B4">
            <w:pPr>
              <w:jc w:val="both"/>
              <w:rPr>
                <w:bCs/>
                <w:sz w:val="20"/>
                <w:szCs w:val="20"/>
              </w:rPr>
            </w:pPr>
          </w:p>
          <w:p w14:paraId="7F2DCC3E" w14:textId="77777777" w:rsidR="009E62E1" w:rsidRPr="00154588" w:rsidRDefault="009E62E1" w:rsidP="008C12B4">
            <w:pPr>
              <w:jc w:val="both"/>
              <w:rPr>
                <w:bCs/>
                <w:sz w:val="20"/>
                <w:szCs w:val="20"/>
              </w:rPr>
            </w:pPr>
            <w:r w:rsidRPr="00154588">
              <w:rPr>
                <w:bCs/>
                <w:sz w:val="20"/>
                <w:szCs w:val="20"/>
              </w:rPr>
              <w:t xml:space="preserve">ABE indică pe site-ul său data la care a avut loc retransmiterea. ABE elaborează și actualizează un instrument care specifică punerea în corespondență a modelelor și a tabelelor pentru publicarea de informații în conformitate cu articolul 45i alineatul (3) cu cele privind raportarea în scopuri de supraveghere în conformitate cu articolul 45i alineatul (1). Instrumentul de punere în corespondență este accesibil publicului pe site-ul ABE. </w:t>
            </w:r>
          </w:p>
          <w:p w14:paraId="1B01690D" w14:textId="77777777" w:rsidR="009E62E1" w:rsidRPr="00154588" w:rsidRDefault="009E62E1" w:rsidP="008C12B4">
            <w:pPr>
              <w:jc w:val="both"/>
              <w:rPr>
                <w:bCs/>
                <w:sz w:val="20"/>
                <w:szCs w:val="20"/>
              </w:rPr>
            </w:pPr>
          </w:p>
          <w:p w14:paraId="2027DB63" w14:textId="77777777" w:rsidR="009E62E1" w:rsidRPr="00154588" w:rsidRDefault="009E62E1" w:rsidP="008C12B4">
            <w:pPr>
              <w:jc w:val="both"/>
              <w:rPr>
                <w:bCs/>
                <w:sz w:val="20"/>
                <w:szCs w:val="20"/>
              </w:rPr>
            </w:pPr>
            <w:r w:rsidRPr="00154588">
              <w:rPr>
                <w:bCs/>
                <w:sz w:val="20"/>
                <w:szCs w:val="20"/>
              </w:rPr>
              <w:t>Instituțiile și entitățile pot continua să publice un document de sine stătător care să ofere o sursă de informații prudențiale și de rezoluție ușor accesibilă pentru utilizatorii informațiilor respective sau o secțiune distinctă inclusă în situațiile financiare sau rapoartele financiare ale instituțiilor sau entităților sau anexată la acestea care să conțină informațiile ce trebuie publicate și care să poată fi ușor de identificat de către utilizatorii respectivi. Instituțiile și entitățile pot include pe site-urile lor un link către site-ul ABE unde sunt publicate în mod centralizat informațiile prudențiale și de rezoluție.</w:t>
            </w:r>
          </w:p>
        </w:tc>
        <w:tc>
          <w:tcPr>
            <w:tcW w:w="4810" w:type="dxa"/>
          </w:tcPr>
          <w:p w14:paraId="34181944" w14:textId="4FF8332B" w:rsidR="009E62E1" w:rsidRPr="00154588" w:rsidRDefault="009E62E1" w:rsidP="008C12B4">
            <w:pPr>
              <w:jc w:val="both"/>
              <w:rPr>
                <w:bCs/>
                <w:sz w:val="20"/>
                <w:szCs w:val="20"/>
              </w:rPr>
            </w:pPr>
            <w:r w:rsidRPr="00154588">
              <w:rPr>
                <w:bCs/>
                <w:sz w:val="20"/>
                <w:szCs w:val="20"/>
              </w:rPr>
              <w:lastRenderedPageBreak/>
              <w:t>(1) Instituțiile, cu excepția instituțiilor mici și cu un grad redus de complexitate, precum și entitățile prevăzute la art.1 alin.(1) lit. b), c) și d), transmit Autorității Bancare Europene (ABE), în format electronic, informațiile prevăzute la art.170</w:t>
            </w:r>
            <w:r w:rsidRPr="00154588">
              <w:rPr>
                <w:bCs/>
                <w:sz w:val="20"/>
                <w:szCs w:val="20"/>
                <w:vertAlign w:val="superscript"/>
              </w:rPr>
              <w:t>3</w:t>
            </w:r>
            <w:r w:rsidRPr="00154588">
              <w:rPr>
                <w:bCs/>
                <w:sz w:val="20"/>
                <w:szCs w:val="20"/>
              </w:rPr>
              <w:t>, cel târziu la data publicării situațiilor financiare sau a rapoartelor financiare aferente perioadei de raportare sau, după caz, imediat după această dată.</w:t>
            </w:r>
          </w:p>
          <w:p w14:paraId="1B8E174D" w14:textId="77777777" w:rsidR="009E62E1" w:rsidRPr="00154588" w:rsidRDefault="009E62E1" w:rsidP="008C12B4">
            <w:pPr>
              <w:jc w:val="both"/>
              <w:rPr>
                <w:bCs/>
                <w:sz w:val="20"/>
                <w:szCs w:val="20"/>
              </w:rPr>
            </w:pPr>
          </w:p>
          <w:p w14:paraId="3520B765" w14:textId="77777777" w:rsidR="009E62E1" w:rsidRPr="00154588" w:rsidRDefault="009E62E1" w:rsidP="008C12B4">
            <w:pPr>
              <w:jc w:val="both"/>
              <w:rPr>
                <w:bCs/>
                <w:sz w:val="20"/>
                <w:szCs w:val="20"/>
              </w:rPr>
            </w:pPr>
          </w:p>
          <w:p w14:paraId="4328700A" w14:textId="77777777" w:rsidR="009E62E1" w:rsidRPr="00154588" w:rsidRDefault="009E62E1" w:rsidP="008C12B4">
            <w:pPr>
              <w:jc w:val="both"/>
              <w:rPr>
                <w:bCs/>
                <w:sz w:val="20"/>
                <w:szCs w:val="20"/>
              </w:rPr>
            </w:pPr>
          </w:p>
          <w:p w14:paraId="015EFB04" w14:textId="77777777" w:rsidR="009E62E1" w:rsidRPr="00154588" w:rsidRDefault="009E62E1" w:rsidP="008C12B4">
            <w:pPr>
              <w:jc w:val="both"/>
              <w:rPr>
                <w:bCs/>
                <w:sz w:val="20"/>
                <w:szCs w:val="20"/>
              </w:rPr>
            </w:pPr>
          </w:p>
          <w:p w14:paraId="33D07197" w14:textId="77777777" w:rsidR="009E62E1" w:rsidRPr="00154588" w:rsidRDefault="009E62E1" w:rsidP="008C12B4">
            <w:pPr>
              <w:jc w:val="both"/>
              <w:rPr>
                <w:bCs/>
                <w:sz w:val="20"/>
                <w:szCs w:val="20"/>
              </w:rPr>
            </w:pPr>
          </w:p>
          <w:p w14:paraId="5EA27CFB" w14:textId="77777777" w:rsidR="009E62E1" w:rsidRPr="00154588" w:rsidRDefault="009E62E1" w:rsidP="008C12B4">
            <w:pPr>
              <w:jc w:val="both"/>
              <w:rPr>
                <w:bCs/>
                <w:sz w:val="20"/>
                <w:szCs w:val="20"/>
              </w:rPr>
            </w:pPr>
          </w:p>
          <w:p w14:paraId="1AA18755" w14:textId="77777777" w:rsidR="009E62E1" w:rsidRPr="00154588" w:rsidRDefault="009E62E1" w:rsidP="008C12B4">
            <w:pPr>
              <w:jc w:val="both"/>
              <w:rPr>
                <w:bCs/>
                <w:sz w:val="20"/>
                <w:szCs w:val="20"/>
              </w:rPr>
            </w:pPr>
          </w:p>
          <w:p w14:paraId="41D19774" w14:textId="77777777" w:rsidR="009E62E1" w:rsidRPr="00154588" w:rsidRDefault="009E62E1" w:rsidP="008C12B4">
            <w:pPr>
              <w:jc w:val="both"/>
              <w:rPr>
                <w:bCs/>
                <w:sz w:val="20"/>
                <w:szCs w:val="20"/>
              </w:rPr>
            </w:pPr>
          </w:p>
          <w:p w14:paraId="20AC133C" w14:textId="77777777" w:rsidR="009E62E1" w:rsidRPr="00154588" w:rsidRDefault="009E62E1" w:rsidP="008C12B4">
            <w:pPr>
              <w:jc w:val="both"/>
              <w:rPr>
                <w:bCs/>
                <w:sz w:val="20"/>
                <w:szCs w:val="20"/>
              </w:rPr>
            </w:pPr>
          </w:p>
          <w:p w14:paraId="046AB353" w14:textId="77777777" w:rsidR="009E62E1" w:rsidRPr="00154588" w:rsidRDefault="009E62E1" w:rsidP="008C12B4">
            <w:pPr>
              <w:jc w:val="both"/>
              <w:rPr>
                <w:bCs/>
                <w:sz w:val="20"/>
                <w:szCs w:val="20"/>
              </w:rPr>
            </w:pPr>
          </w:p>
          <w:p w14:paraId="0C6E386B" w14:textId="77777777" w:rsidR="009E62E1" w:rsidRPr="00154588" w:rsidRDefault="009E62E1" w:rsidP="008C12B4">
            <w:pPr>
              <w:jc w:val="both"/>
              <w:rPr>
                <w:bCs/>
                <w:sz w:val="20"/>
                <w:szCs w:val="20"/>
              </w:rPr>
            </w:pPr>
          </w:p>
          <w:p w14:paraId="7B771C5C" w14:textId="77777777" w:rsidR="009E62E1" w:rsidRPr="00154588" w:rsidRDefault="009E62E1" w:rsidP="008C12B4">
            <w:pPr>
              <w:jc w:val="both"/>
              <w:rPr>
                <w:bCs/>
                <w:sz w:val="20"/>
                <w:szCs w:val="20"/>
              </w:rPr>
            </w:pPr>
          </w:p>
          <w:p w14:paraId="2387FE2B" w14:textId="77777777" w:rsidR="009E62E1" w:rsidRPr="00154588" w:rsidRDefault="009E62E1" w:rsidP="008C12B4">
            <w:pPr>
              <w:jc w:val="both"/>
              <w:rPr>
                <w:bCs/>
                <w:sz w:val="20"/>
                <w:szCs w:val="20"/>
              </w:rPr>
            </w:pPr>
          </w:p>
          <w:p w14:paraId="332E7E21" w14:textId="77777777" w:rsidR="009E62E1" w:rsidRPr="00154588" w:rsidRDefault="009E62E1" w:rsidP="008C12B4">
            <w:pPr>
              <w:jc w:val="both"/>
              <w:rPr>
                <w:bCs/>
                <w:sz w:val="20"/>
                <w:szCs w:val="20"/>
              </w:rPr>
            </w:pPr>
          </w:p>
          <w:p w14:paraId="19A98EE8" w14:textId="77777777" w:rsidR="009E62E1" w:rsidRPr="00154588" w:rsidRDefault="009E62E1" w:rsidP="008C12B4">
            <w:pPr>
              <w:jc w:val="both"/>
              <w:rPr>
                <w:bCs/>
                <w:sz w:val="20"/>
                <w:szCs w:val="20"/>
              </w:rPr>
            </w:pPr>
          </w:p>
          <w:p w14:paraId="18DC28BC" w14:textId="77777777" w:rsidR="009E62E1" w:rsidRPr="00154588" w:rsidRDefault="009E62E1" w:rsidP="008C12B4">
            <w:pPr>
              <w:jc w:val="both"/>
              <w:rPr>
                <w:bCs/>
                <w:sz w:val="20"/>
                <w:szCs w:val="20"/>
              </w:rPr>
            </w:pPr>
          </w:p>
          <w:p w14:paraId="51136E97" w14:textId="77777777" w:rsidR="009E62E1" w:rsidRPr="00154588" w:rsidRDefault="009E62E1" w:rsidP="008C12B4">
            <w:pPr>
              <w:jc w:val="both"/>
              <w:rPr>
                <w:bCs/>
                <w:sz w:val="20"/>
                <w:szCs w:val="20"/>
              </w:rPr>
            </w:pPr>
          </w:p>
          <w:p w14:paraId="71867CD5" w14:textId="77777777" w:rsidR="009E62E1" w:rsidRPr="00154588" w:rsidRDefault="009E62E1" w:rsidP="008C12B4">
            <w:pPr>
              <w:jc w:val="both"/>
              <w:rPr>
                <w:bCs/>
                <w:sz w:val="20"/>
                <w:szCs w:val="20"/>
              </w:rPr>
            </w:pPr>
          </w:p>
          <w:p w14:paraId="4F6FD962" w14:textId="77777777" w:rsidR="009E62E1" w:rsidRPr="00154588" w:rsidRDefault="009E62E1" w:rsidP="008C12B4">
            <w:pPr>
              <w:jc w:val="both"/>
              <w:rPr>
                <w:bCs/>
                <w:sz w:val="20"/>
                <w:szCs w:val="20"/>
              </w:rPr>
            </w:pPr>
          </w:p>
          <w:p w14:paraId="10F374EC" w14:textId="77777777" w:rsidR="009E62E1" w:rsidRPr="00154588" w:rsidRDefault="009E62E1" w:rsidP="008C12B4">
            <w:pPr>
              <w:jc w:val="both"/>
              <w:rPr>
                <w:bCs/>
                <w:sz w:val="20"/>
                <w:szCs w:val="20"/>
              </w:rPr>
            </w:pPr>
          </w:p>
          <w:p w14:paraId="66D93FEC" w14:textId="77777777" w:rsidR="009E62E1" w:rsidRPr="00154588" w:rsidRDefault="009E62E1" w:rsidP="008C12B4">
            <w:pPr>
              <w:jc w:val="both"/>
              <w:rPr>
                <w:bCs/>
                <w:sz w:val="20"/>
                <w:szCs w:val="20"/>
              </w:rPr>
            </w:pPr>
          </w:p>
          <w:p w14:paraId="377637CC" w14:textId="77777777" w:rsidR="009E62E1" w:rsidRPr="00154588" w:rsidRDefault="009E62E1" w:rsidP="008C12B4">
            <w:pPr>
              <w:jc w:val="both"/>
              <w:rPr>
                <w:bCs/>
                <w:sz w:val="20"/>
                <w:szCs w:val="20"/>
              </w:rPr>
            </w:pPr>
          </w:p>
          <w:p w14:paraId="4D4758A3" w14:textId="77777777" w:rsidR="009E62E1" w:rsidRPr="00154588" w:rsidRDefault="009E62E1" w:rsidP="008C12B4">
            <w:pPr>
              <w:jc w:val="both"/>
              <w:rPr>
                <w:bCs/>
                <w:sz w:val="20"/>
                <w:szCs w:val="20"/>
              </w:rPr>
            </w:pPr>
          </w:p>
          <w:p w14:paraId="452042A7" w14:textId="77777777" w:rsidR="009E62E1" w:rsidRPr="00154588" w:rsidRDefault="009E62E1" w:rsidP="008C12B4">
            <w:pPr>
              <w:jc w:val="both"/>
              <w:rPr>
                <w:bCs/>
                <w:sz w:val="20"/>
                <w:szCs w:val="20"/>
              </w:rPr>
            </w:pPr>
          </w:p>
          <w:p w14:paraId="01A9C78E" w14:textId="77777777" w:rsidR="009E62E1" w:rsidRPr="00154588" w:rsidRDefault="009E62E1" w:rsidP="008C12B4">
            <w:pPr>
              <w:jc w:val="both"/>
              <w:rPr>
                <w:bCs/>
                <w:sz w:val="20"/>
                <w:szCs w:val="20"/>
                <w:lang w:val="ro-MD"/>
              </w:rPr>
            </w:pPr>
            <w:r w:rsidRPr="00154588">
              <w:rPr>
                <w:bCs/>
                <w:sz w:val="20"/>
                <w:szCs w:val="20"/>
                <w:lang w:val="ro-MD"/>
              </w:rPr>
              <w:t>(2) Instituțiile și entitățile pot continua să publice informațiile prudențiale și de rezoluție într-un document distinct, care să constituie o sursă ușor accesibilă pentru utilizatorii acestor informații, sau într-o secțiune distinctă inclusă în sau anexată la situațiile financiare ori, după caz, la rapoartele financiare, astfel încât informațiile respective să poată fi identificate cu ușurință de utilizatori.</w:t>
            </w:r>
          </w:p>
          <w:p w14:paraId="69593F9E" w14:textId="77777777" w:rsidR="009E62E1" w:rsidRPr="00154588" w:rsidRDefault="009E62E1" w:rsidP="008C12B4">
            <w:pPr>
              <w:jc w:val="both"/>
              <w:rPr>
                <w:bCs/>
                <w:sz w:val="20"/>
                <w:szCs w:val="20"/>
                <w:lang w:val="ro-MD"/>
              </w:rPr>
            </w:pPr>
            <w:r w:rsidRPr="00154588">
              <w:rPr>
                <w:bCs/>
                <w:sz w:val="20"/>
                <w:szCs w:val="20"/>
                <w:lang w:val="ro-MD"/>
              </w:rPr>
              <w:t>Instituțiile și entitățile pot include pe pagina lor web un link către pagina web a Autorității Bancare Europene, unde sunt publicate în mod centralizat informațiile prudențiale și de rezoluție</w:t>
            </w:r>
          </w:p>
          <w:p w14:paraId="1FEA709C" w14:textId="77777777" w:rsidR="009E62E1" w:rsidRPr="00154588" w:rsidRDefault="009E62E1" w:rsidP="008C12B4">
            <w:pPr>
              <w:jc w:val="both"/>
              <w:rPr>
                <w:bCs/>
                <w:sz w:val="20"/>
                <w:szCs w:val="20"/>
                <w:lang w:val="ro-MD"/>
              </w:rPr>
            </w:pPr>
          </w:p>
          <w:p w14:paraId="7FEED84D" w14:textId="77777777" w:rsidR="009E62E1" w:rsidRPr="00154588" w:rsidRDefault="009E62E1" w:rsidP="008C12B4">
            <w:pPr>
              <w:jc w:val="both"/>
              <w:rPr>
                <w:bCs/>
                <w:sz w:val="20"/>
                <w:szCs w:val="20"/>
              </w:rPr>
            </w:pPr>
          </w:p>
          <w:p w14:paraId="08ECF4B1" w14:textId="77777777" w:rsidR="009E62E1" w:rsidRPr="00154588" w:rsidRDefault="009E62E1" w:rsidP="008C12B4">
            <w:pPr>
              <w:jc w:val="both"/>
              <w:rPr>
                <w:bCs/>
                <w:sz w:val="20"/>
                <w:szCs w:val="20"/>
              </w:rPr>
            </w:pPr>
          </w:p>
        </w:tc>
        <w:tc>
          <w:tcPr>
            <w:tcW w:w="2545" w:type="dxa"/>
            <w:gridSpan w:val="2"/>
          </w:tcPr>
          <w:p w14:paraId="0573E161" w14:textId="1C365975" w:rsidR="009E62E1" w:rsidRPr="00154588" w:rsidRDefault="009E62E1" w:rsidP="008C12B4">
            <w:pPr>
              <w:jc w:val="both"/>
              <w:rPr>
                <w:bCs/>
                <w:sz w:val="20"/>
                <w:szCs w:val="20"/>
              </w:rPr>
            </w:pPr>
            <w:r w:rsidRPr="00154588">
              <w:rPr>
                <w:bCs/>
                <w:sz w:val="20"/>
                <w:szCs w:val="20"/>
              </w:rPr>
              <w:lastRenderedPageBreak/>
              <w:t>Compatibil</w:t>
            </w:r>
          </w:p>
        </w:tc>
        <w:tc>
          <w:tcPr>
            <w:tcW w:w="3162" w:type="dxa"/>
            <w:gridSpan w:val="2"/>
          </w:tcPr>
          <w:p w14:paraId="4999E6C2" w14:textId="77777777" w:rsidR="009E62E1" w:rsidRPr="00154588" w:rsidRDefault="009E62E1" w:rsidP="008C12B4">
            <w:pPr>
              <w:jc w:val="both"/>
              <w:rPr>
                <w:bCs/>
                <w:sz w:val="20"/>
                <w:szCs w:val="20"/>
              </w:rPr>
            </w:pPr>
          </w:p>
        </w:tc>
      </w:tr>
      <w:tr w:rsidR="009E62E1" w:rsidRPr="00154588" w14:paraId="6352340A" w14:textId="77777777" w:rsidTr="007F5746">
        <w:tc>
          <w:tcPr>
            <w:tcW w:w="4929" w:type="dxa"/>
          </w:tcPr>
          <w:p w14:paraId="34081238" w14:textId="77777777" w:rsidR="009E62E1" w:rsidRPr="00154588" w:rsidRDefault="009E62E1" w:rsidP="008C12B4">
            <w:pPr>
              <w:jc w:val="both"/>
              <w:rPr>
                <w:bCs/>
                <w:sz w:val="20"/>
                <w:szCs w:val="20"/>
              </w:rPr>
            </w:pPr>
            <w:r w:rsidRPr="00154588">
              <w:rPr>
                <w:bCs/>
                <w:sz w:val="20"/>
                <w:szCs w:val="20"/>
              </w:rPr>
              <w:t>(2) În cazul în care articolul 45i alineatele (1) și (3) din prezenta directivă se aplică instituțiilor mici și cu un grad redus de complexitate, astfel cum sunt definite la articolul 4 alineatul (1) punctul 145 din Regulamentul (UE) nr. 575/2013, ABE preia pe site-ul său informațiile publicate de instituțiile respective în conformitate cu articolul 45i alineatul (3) pe baza informațiilor raportate de instituțiile respective autorităților competente și autorităților de rezoluție, în conformitate cu articolul 45i alineatul (1).</w:t>
            </w:r>
          </w:p>
        </w:tc>
        <w:tc>
          <w:tcPr>
            <w:tcW w:w="4810" w:type="dxa"/>
          </w:tcPr>
          <w:p w14:paraId="34AFD0E0" w14:textId="77777777" w:rsidR="009E62E1" w:rsidRPr="00154588" w:rsidRDefault="009E62E1" w:rsidP="008C12B4">
            <w:pPr>
              <w:jc w:val="both"/>
              <w:rPr>
                <w:bCs/>
                <w:sz w:val="20"/>
                <w:szCs w:val="20"/>
              </w:rPr>
            </w:pPr>
          </w:p>
        </w:tc>
        <w:tc>
          <w:tcPr>
            <w:tcW w:w="2545" w:type="dxa"/>
            <w:gridSpan w:val="2"/>
          </w:tcPr>
          <w:p w14:paraId="57ECF5BE" w14:textId="77777777" w:rsidR="009E62E1" w:rsidRPr="00154588" w:rsidRDefault="009E62E1" w:rsidP="008C12B4">
            <w:pPr>
              <w:jc w:val="both"/>
              <w:rPr>
                <w:bCs/>
                <w:sz w:val="20"/>
                <w:szCs w:val="20"/>
              </w:rPr>
            </w:pPr>
            <w:r w:rsidRPr="00154588">
              <w:rPr>
                <w:bCs/>
                <w:sz w:val="20"/>
                <w:szCs w:val="20"/>
              </w:rPr>
              <w:t>Prevederi UE neaplicabile</w:t>
            </w:r>
          </w:p>
        </w:tc>
        <w:tc>
          <w:tcPr>
            <w:tcW w:w="3162" w:type="dxa"/>
            <w:gridSpan w:val="2"/>
          </w:tcPr>
          <w:p w14:paraId="389C6818" w14:textId="77777777" w:rsidR="009E62E1" w:rsidRPr="00154588" w:rsidRDefault="009E62E1" w:rsidP="008C12B4">
            <w:pPr>
              <w:jc w:val="both"/>
              <w:rPr>
                <w:bCs/>
                <w:sz w:val="20"/>
                <w:szCs w:val="20"/>
              </w:rPr>
            </w:pPr>
            <w:r w:rsidRPr="00154588">
              <w:rPr>
                <w:bCs/>
                <w:sz w:val="20"/>
                <w:szCs w:val="20"/>
              </w:rPr>
              <w:t>Prevederi care se referă la atribuțiile de reglementare ale autorităților europene.</w:t>
            </w:r>
          </w:p>
        </w:tc>
      </w:tr>
      <w:tr w:rsidR="009E62E1" w:rsidRPr="00154588" w14:paraId="16BC5724" w14:textId="77777777" w:rsidTr="007F5746">
        <w:tc>
          <w:tcPr>
            <w:tcW w:w="4929" w:type="dxa"/>
          </w:tcPr>
          <w:p w14:paraId="63A33CDF" w14:textId="77777777" w:rsidR="009E62E1" w:rsidRPr="00154588" w:rsidRDefault="009E62E1" w:rsidP="008C12B4">
            <w:pPr>
              <w:ind w:left="34"/>
              <w:jc w:val="both"/>
              <w:rPr>
                <w:bCs/>
                <w:sz w:val="20"/>
                <w:szCs w:val="20"/>
              </w:rPr>
            </w:pPr>
            <w:r w:rsidRPr="00154588">
              <w:rPr>
                <w:bCs/>
                <w:sz w:val="20"/>
                <w:szCs w:val="20"/>
              </w:rPr>
              <w:t xml:space="preserve">(3)ABE realizează publicarea anuală a informațiilor pe site-ul său la aceeași dată la care instituțiile și entitățile își publică situațiile financiare sau cât mai curând posibil după această dată. </w:t>
            </w:r>
          </w:p>
          <w:p w14:paraId="08631DAB" w14:textId="77777777" w:rsidR="009E62E1" w:rsidRPr="00154588" w:rsidRDefault="009E62E1" w:rsidP="008C12B4">
            <w:pPr>
              <w:jc w:val="both"/>
              <w:rPr>
                <w:bCs/>
                <w:sz w:val="20"/>
                <w:szCs w:val="20"/>
              </w:rPr>
            </w:pPr>
          </w:p>
          <w:p w14:paraId="5D75D6C0" w14:textId="77777777" w:rsidR="009E62E1" w:rsidRPr="00154588" w:rsidRDefault="009E62E1" w:rsidP="008C12B4">
            <w:pPr>
              <w:jc w:val="both"/>
              <w:rPr>
                <w:bCs/>
                <w:sz w:val="20"/>
                <w:szCs w:val="20"/>
              </w:rPr>
            </w:pPr>
            <w:r w:rsidRPr="00154588">
              <w:rPr>
                <w:bCs/>
                <w:sz w:val="20"/>
                <w:szCs w:val="20"/>
              </w:rPr>
              <w:t xml:space="preserve">ABE realizează publicarea semestrială și trimestrială a informațiilor, după caz, pe site-ul său la aceeași dată la care instituțiile și entitățile își publică rapoartele financiare pentru perioada corespunzătoare sau cât mai curând posibil după această dată. </w:t>
            </w:r>
          </w:p>
          <w:p w14:paraId="0CBC7558" w14:textId="77777777" w:rsidR="009E62E1" w:rsidRPr="00154588" w:rsidRDefault="009E62E1" w:rsidP="008C12B4">
            <w:pPr>
              <w:jc w:val="both"/>
              <w:rPr>
                <w:bCs/>
                <w:sz w:val="20"/>
                <w:szCs w:val="20"/>
              </w:rPr>
            </w:pPr>
          </w:p>
          <w:p w14:paraId="34EE7288" w14:textId="77777777" w:rsidR="009E62E1" w:rsidRPr="00154588" w:rsidRDefault="009E62E1" w:rsidP="008C12B4">
            <w:pPr>
              <w:jc w:val="both"/>
              <w:rPr>
                <w:bCs/>
                <w:sz w:val="20"/>
                <w:szCs w:val="20"/>
              </w:rPr>
            </w:pPr>
            <w:r w:rsidRPr="00154588">
              <w:rPr>
                <w:bCs/>
                <w:sz w:val="20"/>
                <w:szCs w:val="20"/>
              </w:rPr>
              <w:t>Eventualele întârzieri între data publicării informațiilor menționate la alineatul (1) și cea a publicării situațiilor financiare relevante trebuie să fie rezonabile.</w:t>
            </w:r>
          </w:p>
        </w:tc>
        <w:tc>
          <w:tcPr>
            <w:tcW w:w="4810" w:type="dxa"/>
          </w:tcPr>
          <w:p w14:paraId="3AACA2C6" w14:textId="77777777" w:rsidR="009E62E1" w:rsidRPr="00154588" w:rsidRDefault="009E62E1" w:rsidP="008C12B4">
            <w:pPr>
              <w:jc w:val="both"/>
              <w:rPr>
                <w:bCs/>
                <w:sz w:val="20"/>
                <w:szCs w:val="20"/>
              </w:rPr>
            </w:pPr>
          </w:p>
        </w:tc>
        <w:tc>
          <w:tcPr>
            <w:tcW w:w="2545" w:type="dxa"/>
            <w:gridSpan w:val="2"/>
          </w:tcPr>
          <w:p w14:paraId="0BED57D4" w14:textId="77777777" w:rsidR="009E62E1" w:rsidRPr="00154588" w:rsidRDefault="009E62E1" w:rsidP="008C12B4">
            <w:pPr>
              <w:jc w:val="both"/>
              <w:rPr>
                <w:bCs/>
                <w:sz w:val="20"/>
                <w:szCs w:val="20"/>
              </w:rPr>
            </w:pPr>
            <w:r w:rsidRPr="00154588">
              <w:rPr>
                <w:bCs/>
                <w:sz w:val="20"/>
                <w:szCs w:val="20"/>
              </w:rPr>
              <w:t>Prevederi UE neaplicabile</w:t>
            </w:r>
          </w:p>
        </w:tc>
        <w:tc>
          <w:tcPr>
            <w:tcW w:w="3162" w:type="dxa"/>
            <w:gridSpan w:val="2"/>
          </w:tcPr>
          <w:p w14:paraId="2B4F27F3" w14:textId="77777777" w:rsidR="009E62E1" w:rsidRPr="00154588" w:rsidRDefault="009E62E1" w:rsidP="008C12B4">
            <w:pPr>
              <w:jc w:val="both"/>
              <w:rPr>
                <w:bCs/>
                <w:sz w:val="20"/>
                <w:szCs w:val="20"/>
              </w:rPr>
            </w:pPr>
            <w:r w:rsidRPr="00154588">
              <w:rPr>
                <w:bCs/>
                <w:sz w:val="20"/>
                <w:szCs w:val="20"/>
              </w:rPr>
              <w:t>Prevederi care se referă la atribuțiile de reglementare ale autorităților europene.</w:t>
            </w:r>
          </w:p>
        </w:tc>
      </w:tr>
      <w:tr w:rsidR="009E62E1" w:rsidRPr="00154588" w14:paraId="6FF939B7" w14:textId="77777777" w:rsidTr="007F5746">
        <w:tc>
          <w:tcPr>
            <w:tcW w:w="4929" w:type="dxa"/>
          </w:tcPr>
          <w:p w14:paraId="5267CCF4" w14:textId="77777777" w:rsidR="009E62E1" w:rsidRPr="00154588" w:rsidRDefault="009E62E1" w:rsidP="008C12B4">
            <w:pPr>
              <w:jc w:val="both"/>
              <w:rPr>
                <w:bCs/>
                <w:sz w:val="20"/>
                <w:szCs w:val="20"/>
              </w:rPr>
            </w:pPr>
            <w:r w:rsidRPr="00154588">
              <w:rPr>
                <w:bCs/>
                <w:sz w:val="20"/>
                <w:szCs w:val="20"/>
              </w:rPr>
              <w:t>(4) ABE pune la dispoziție pe site-ul său o arhivă a informațiilor care trebuie publicate în conformitate cu prezentul articol. Această arhivă rămâne disponibilă pentru o perioadă care nu este mai mică decât perioada de păstrare stabilită prin dreptul intern în ceea ce privește informațiile incluse în rapoartele financiare ale instituțiilor sau entităților. Proprietatea asupra datelor și responsabilitatea pentru exactitatea acestora le revin instituțiilor sau entităților care le produc.</w:t>
            </w:r>
          </w:p>
        </w:tc>
        <w:tc>
          <w:tcPr>
            <w:tcW w:w="4810" w:type="dxa"/>
          </w:tcPr>
          <w:p w14:paraId="732E946A" w14:textId="77777777" w:rsidR="009E62E1" w:rsidRPr="00154588" w:rsidRDefault="009E62E1" w:rsidP="008C12B4">
            <w:pPr>
              <w:jc w:val="both"/>
              <w:rPr>
                <w:bCs/>
                <w:sz w:val="20"/>
                <w:szCs w:val="20"/>
              </w:rPr>
            </w:pPr>
          </w:p>
        </w:tc>
        <w:tc>
          <w:tcPr>
            <w:tcW w:w="2545" w:type="dxa"/>
            <w:gridSpan w:val="2"/>
          </w:tcPr>
          <w:p w14:paraId="5D00964D" w14:textId="77777777" w:rsidR="009E62E1" w:rsidRPr="00154588" w:rsidRDefault="009E62E1" w:rsidP="008C12B4">
            <w:pPr>
              <w:jc w:val="both"/>
              <w:rPr>
                <w:bCs/>
                <w:sz w:val="20"/>
                <w:szCs w:val="20"/>
              </w:rPr>
            </w:pPr>
            <w:r w:rsidRPr="00154588">
              <w:rPr>
                <w:bCs/>
                <w:sz w:val="20"/>
                <w:szCs w:val="20"/>
              </w:rPr>
              <w:t>Prevederi UE neaplicabile</w:t>
            </w:r>
          </w:p>
        </w:tc>
        <w:tc>
          <w:tcPr>
            <w:tcW w:w="3162" w:type="dxa"/>
            <w:gridSpan w:val="2"/>
          </w:tcPr>
          <w:p w14:paraId="7A92E21C" w14:textId="77777777" w:rsidR="009E62E1" w:rsidRPr="00154588" w:rsidRDefault="009E62E1" w:rsidP="008C12B4">
            <w:pPr>
              <w:jc w:val="both"/>
              <w:rPr>
                <w:bCs/>
                <w:sz w:val="20"/>
                <w:szCs w:val="20"/>
              </w:rPr>
            </w:pPr>
            <w:r w:rsidRPr="00154588">
              <w:rPr>
                <w:bCs/>
                <w:sz w:val="20"/>
                <w:szCs w:val="20"/>
              </w:rPr>
              <w:t>Prevederi care se referă la atribuțiile de reglementare ale autorităților europene.</w:t>
            </w:r>
          </w:p>
        </w:tc>
      </w:tr>
      <w:tr w:rsidR="009E62E1" w:rsidRPr="00154588" w14:paraId="3757F458" w14:textId="77777777" w:rsidTr="007F5746">
        <w:tc>
          <w:tcPr>
            <w:tcW w:w="4929" w:type="dxa"/>
          </w:tcPr>
          <w:p w14:paraId="472810E6" w14:textId="77777777" w:rsidR="009E62E1" w:rsidRPr="00154588" w:rsidRDefault="009E62E1" w:rsidP="008C12B4">
            <w:pPr>
              <w:jc w:val="both"/>
              <w:rPr>
                <w:b/>
                <w:sz w:val="20"/>
                <w:szCs w:val="20"/>
              </w:rPr>
            </w:pPr>
            <w:r w:rsidRPr="00154588">
              <w:rPr>
                <w:b/>
                <w:sz w:val="20"/>
                <w:szCs w:val="20"/>
              </w:rPr>
              <w:t>Articolul 128</w:t>
            </w:r>
            <w:r w:rsidRPr="00154588">
              <w:rPr>
                <w:b/>
                <w:i/>
                <w:iCs/>
                <w:sz w:val="20"/>
                <w:szCs w:val="20"/>
              </w:rPr>
              <w:t>c</w:t>
            </w:r>
            <w:r w:rsidRPr="00154588">
              <w:rPr>
                <w:b/>
                <w:sz w:val="20"/>
                <w:szCs w:val="20"/>
              </w:rPr>
              <w:t xml:space="preserve"> </w:t>
            </w:r>
          </w:p>
          <w:p w14:paraId="671D254A" w14:textId="77777777" w:rsidR="009E62E1" w:rsidRPr="00154588" w:rsidRDefault="009E62E1" w:rsidP="008C12B4">
            <w:pPr>
              <w:jc w:val="both"/>
              <w:rPr>
                <w:bCs/>
                <w:sz w:val="20"/>
                <w:szCs w:val="20"/>
              </w:rPr>
            </w:pPr>
            <w:r w:rsidRPr="00154588">
              <w:rPr>
                <w:b/>
                <w:sz w:val="20"/>
                <w:szCs w:val="20"/>
              </w:rPr>
              <w:t>Simulări ale gestionării crizelor</w:t>
            </w:r>
          </w:p>
        </w:tc>
        <w:tc>
          <w:tcPr>
            <w:tcW w:w="4810" w:type="dxa"/>
          </w:tcPr>
          <w:p w14:paraId="642C6AA3" w14:textId="5505F6DB" w:rsidR="009E62E1" w:rsidRPr="00154588" w:rsidRDefault="009E62E1" w:rsidP="008C12B4">
            <w:pPr>
              <w:jc w:val="both"/>
              <w:rPr>
                <w:b/>
                <w:sz w:val="20"/>
                <w:szCs w:val="20"/>
              </w:rPr>
            </w:pPr>
            <w:r w:rsidRPr="00154588">
              <w:rPr>
                <w:b/>
                <w:sz w:val="20"/>
                <w:szCs w:val="20"/>
              </w:rPr>
              <w:t>Articolul 35</w:t>
            </w:r>
            <w:r w:rsidR="00F350DC" w:rsidRPr="00154588">
              <w:rPr>
                <w:b/>
                <w:sz w:val="20"/>
                <w:szCs w:val="20"/>
              </w:rPr>
              <w:t>6</w:t>
            </w:r>
            <w:r w:rsidRPr="00154588">
              <w:rPr>
                <w:b/>
                <w:sz w:val="20"/>
                <w:szCs w:val="20"/>
              </w:rPr>
              <w:t>. -</w:t>
            </w:r>
          </w:p>
        </w:tc>
        <w:tc>
          <w:tcPr>
            <w:tcW w:w="2545" w:type="dxa"/>
            <w:gridSpan w:val="2"/>
          </w:tcPr>
          <w:p w14:paraId="1703D87E" w14:textId="77777777" w:rsidR="009E62E1" w:rsidRPr="00154588" w:rsidRDefault="009E62E1" w:rsidP="008C12B4">
            <w:pPr>
              <w:jc w:val="both"/>
              <w:rPr>
                <w:bCs/>
                <w:sz w:val="20"/>
                <w:szCs w:val="20"/>
              </w:rPr>
            </w:pPr>
          </w:p>
        </w:tc>
        <w:tc>
          <w:tcPr>
            <w:tcW w:w="3162" w:type="dxa"/>
            <w:gridSpan w:val="2"/>
          </w:tcPr>
          <w:p w14:paraId="0995151F" w14:textId="77777777" w:rsidR="009E62E1" w:rsidRPr="00154588" w:rsidRDefault="009E62E1" w:rsidP="008C12B4">
            <w:pPr>
              <w:jc w:val="both"/>
              <w:rPr>
                <w:bCs/>
                <w:sz w:val="20"/>
                <w:szCs w:val="20"/>
              </w:rPr>
            </w:pPr>
          </w:p>
        </w:tc>
      </w:tr>
      <w:tr w:rsidR="009E62E1" w:rsidRPr="00154588" w14:paraId="76F827C8" w14:textId="77777777" w:rsidTr="007F5746">
        <w:tc>
          <w:tcPr>
            <w:tcW w:w="4929" w:type="dxa"/>
          </w:tcPr>
          <w:p w14:paraId="4445A2A5" w14:textId="77777777" w:rsidR="009E62E1" w:rsidRPr="00154588" w:rsidRDefault="009E62E1" w:rsidP="008C12B4">
            <w:pPr>
              <w:jc w:val="both"/>
              <w:rPr>
                <w:bCs/>
                <w:sz w:val="20"/>
                <w:szCs w:val="20"/>
              </w:rPr>
            </w:pPr>
            <w:r w:rsidRPr="00154588">
              <w:rPr>
                <w:bCs/>
                <w:sz w:val="20"/>
                <w:szCs w:val="20"/>
              </w:rPr>
              <w:t xml:space="preserve">(1) ABE coordonează exerciții periodice la nivelul Uniunii pentru a testa aplicarea prezentei directive, a Regulamentului (UE) nr. 806/2014 al Parlamentului European și al Consiliului (*) și a Directivei 2014/49/UE în situații transfrontaliere cu privire la aspectele următoare: </w:t>
            </w:r>
          </w:p>
          <w:p w14:paraId="3E7D6324" w14:textId="77777777" w:rsidR="009E62E1" w:rsidRPr="00154588" w:rsidRDefault="009E62E1" w:rsidP="008C12B4">
            <w:pPr>
              <w:jc w:val="both"/>
              <w:rPr>
                <w:bCs/>
                <w:sz w:val="20"/>
                <w:szCs w:val="20"/>
              </w:rPr>
            </w:pPr>
          </w:p>
          <w:p w14:paraId="6B5135B1" w14:textId="77777777" w:rsidR="009E62E1" w:rsidRPr="00154588" w:rsidRDefault="009E62E1" w:rsidP="008C12B4">
            <w:pPr>
              <w:jc w:val="both"/>
              <w:rPr>
                <w:bCs/>
                <w:sz w:val="20"/>
                <w:szCs w:val="20"/>
              </w:rPr>
            </w:pPr>
            <w:r w:rsidRPr="00154588">
              <w:rPr>
                <w:bCs/>
                <w:sz w:val="20"/>
                <w:szCs w:val="20"/>
              </w:rPr>
              <w:t xml:space="preserve">(a) cooperarea autorităților competente în timpul planificării redresării; </w:t>
            </w:r>
          </w:p>
          <w:p w14:paraId="2585AA6F" w14:textId="77777777" w:rsidR="009E62E1" w:rsidRPr="00154588" w:rsidRDefault="009E62E1" w:rsidP="008C12B4">
            <w:pPr>
              <w:jc w:val="both"/>
              <w:rPr>
                <w:bCs/>
                <w:sz w:val="20"/>
                <w:szCs w:val="20"/>
              </w:rPr>
            </w:pPr>
          </w:p>
          <w:p w14:paraId="13E823CB" w14:textId="77777777" w:rsidR="009E62E1" w:rsidRPr="00154588" w:rsidRDefault="009E62E1" w:rsidP="008C12B4">
            <w:pPr>
              <w:jc w:val="both"/>
              <w:rPr>
                <w:bCs/>
                <w:sz w:val="20"/>
                <w:szCs w:val="20"/>
              </w:rPr>
            </w:pPr>
            <w:r w:rsidRPr="00154588">
              <w:rPr>
                <w:bCs/>
                <w:sz w:val="20"/>
                <w:szCs w:val="20"/>
              </w:rPr>
              <w:t>(b) cooperarea dintre autoritățile de rezoluție și autoritățile competente înainte de intrarea în dificultate și în timpul rezoluției instituțiilor și entităților menționate la articolul 1 alineatul (1) literele (b), (c) și (d) din prezenta directivă, inclusiv în ceea ce privește punerea în aplicare a schemelor de rezoluție adoptate în temeiul articolului 18 din Regulamentul (UE) nr. 806/2014.</w:t>
            </w:r>
          </w:p>
        </w:tc>
        <w:tc>
          <w:tcPr>
            <w:tcW w:w="4810" w:type="dxa"/>
          </w:tcPr>
          <w:p w14:paraId="4BB1D074" w14:textId="77777777" w:rsidR="009E62E1" w:rsidRPr="00154588" w:rsidRDefault="009E62E1" w:rsidP="008C12B4">
            <w:pPr>
              <w:jc w:val="both"/>
              <w:rPr>
                <w:bCs/>
                <w:sz w:val="20"/>
                <w:szCs w:val="20"/>
              </w:rPr>
            </w:pPr>
            <w:r w:rsidRPr="00154588">
              <w:rPr>
                <w:bCs/>
                <w:sz w:val="20"/>
                <w:szCs w:val="20"/>
              </w:rPr>
              <w:t>(1) Autoritatea competentă și autoritatea de rezoluție participă la exercițiile periodice de simulare a gestionării crizelor, coordonate de Autoritatea Bancară Europeană, organizate pentru testarea aplicării cadrului de redresare și rezoluție în situații transfrontaliere.</w:t>
            </w:r>
          </w:p>
          <w:p w14:paraId="7F96C455" w14:textId="77777777" w:rsidR="009E62E1" w:rsidRPr="00154588" w:rsidRDefault="009E62E1" w:rsidP="008C12B4">
            <w:pPr>
              <w:jc w:val="both"/>
              <w:rPr>
                <w:bCs/>
                <w:sz w:val="20"/>
                <w:szCs w:val="20"/>
              </w:rPr>
            </w:pPr>
          </w:p>
          <w:p w14:paraId="55F6FB0C" w14:textId="77777777" w:rsidR="009E62E1" w:rsidRPr="00154588" w:rsidRDefault="009E62E1" w:rsidP="008C12B4">
            <w:pPr>
              <w:jc w:val="both"/>
              <w:rPr>
                <w:bCs/>
                <w:sz w:val="20"/>
                <w:szCs w:val="20"/>
                <w:lang w:val="ro-MD"/>
              </w:rPr>
            </w:pPr>
            <w:r w:rsidRPr="00154588">
              <w:rPr>
                <w:bCs/>
                <w:sz w:val="20"/>
                <w:szCs w:val="20"/>
                <w:lang w:val="ro-MD"/>
              </w:rPr>
              <w:t>(2) În cadrul exercițiilor prevăzute la alin. (1), autoritatea competentă și autoritatea de rezoluție cooperează, după caz, cu Autoritatea Bancară Europeană, cu autoritățile competente, autoritățile de rezoluție și autoritățile responsabile de garantarea depozitelor din alte state, în vederea testării:</w:t>
            </w:r>
          </w:p>
          <w:p w14:paraId="7F09D319" w14:textId="77777777" w:rsidR="009E62E1" w:rsidRPr="00154588" w:rsidRDefault="009E62E1" w:rsidP="008C12B4">
            <w:pPr>
              <w:jc w:val="both"/>
              <w:rPr>
                <w:bCs/>
                <w:sz w:val="20"/>
                <w:szCs w:val="20"/>
                <w:lang w:val="ro-MD"/>
              </w:rPr>
            </w:pPr>
            <w:r w:rsidRPr="00154588">
              <w:rPr>
                <w:bCs/>
                <w:sz w:val="20"/>
                <w:szCs w:val="20"/>
                <w:lang w:val="ro-MD"/>
              </w:rPr>
              <w:t>a) cooperării dintre autoritățile competente în procesul de planificare a redresării;</w:t>
            </w:r>
          </w:p>
          <w:p w14:paraId="36F45AD2" w14:textId="2FB96DB5" w:rsidR="009E62E1" w:rsidRPr="00154588" w:rsidRDefault="009E62E1" w:rsidP="008C12B4">
            <w:pPr>
              <w:jc w:val="both"/>
              <w:rPr>
                <w:bCs/>
                <w:sz w:val="20"/>
                <w:szCs w:val="20"/>
              </w:rPr>
            </w:pPr>
            <w:r w:rsidRPr="00154588">
              <w:rPr>
                <w:bCs/>
                <w:sz w:val="20"/>
                <w:szCs w:val="20"/>
                <w:lang w:val="ro-MD"/>
              </w:rPr>
              <w:t xml:space="preserve">b) cooperării dintre autoritățile de rezoluție și autoritățile competente înainte ca instituțiile sau entitățile menționate </w:t>
            </w:r>
            <w:r w:rsidRPr="00154588">
              <w:rPr>
                <w:bCs/>
                <w:sz w:val="20"/>
                <w:szCs w:val="20"/>
              </w:rPr>
              <w:t xml:space="preserve">la articolul 1 alineatul (1) literele (b), (c) și (d) </w:t>
            </w:r>
            <w:r w:rsidRPr="00154588">
              <w:rPr>
                <w:bCs/>
                <w:sz w:val="20"/>
                <w:szCs w:val="20"/>
                <w:lang w:val="ro-MD"/>
              </w:rPr>
              <w:t xml:space="preserve"> să intre în dificultate și în cadrul procedurilor de rezoluție, inclusiv în ceea ce privește punerea în aplicare a schemelor de rezoluție </w:t>
            </w:r>
            <w:r w:rsidRPr="00154588">
              <w:rPr>
                <w:bCs/>
                <w:sz w:val="20"/>
                <w:szCs w:val="20"/>
                <w:lang w:val="ro-MD"/>
              </w:rPr>
              <w:lastRenderedPageBreak/>
              <w:t xml:space="preserve">adoptate în </w:t>
            </w:r>
            <w:r w:rsidRPr="00154588">
              <w:rPr>
                <w:bCs/>
                <w:sz w:val="20"/>
                <w:szCs w:val="20"/>
              </w:rPr>
              <w:t>în temeiul articolului 18 din Regulamentul (UE) nr. 806/2014.</w:t>
            </w:r>
          </w:p>
        </w:tc>
        <w:tc>
          <w:tcPr>
            <w:tcW w:w="2545" w:type="dxa"/>
            <w:gridSpan w:val="2"/>
          </w:tcPr>
          <w:p w14:paraId="574D0421" w14:textId="65CE1726" w:rsidR="009E62E1" w:rsidRPr="00154588" w:rsidRDefault="009E62E1" w:rsidP="008C12B4">
            <w:pPr>
              <w:jc w:val="both"/>
              <w:rPr>
                <w:bCs/>
                <w:sz w:val="20"/>
                <w:szCs w:val="20"/>
              </w:rPr>
            </w:pPr>
            <w:r w:rsidRPr="00154588">
              <w:rPr>
                <w:bCs/>
                <w:sz w:val="20"/>
                <w:szCs w:val="20"/>
              </w:rPr>
              <w:lastRenderedPageBreak/>
              <w:t xml:space="preserve">Compatibil </w:t>
            </w:r>
          </w:p>
        </w:tc>
        <w:tc>
          <w:tcPr>
            <w:tcW w:w="3162" w:type="dxa"/>
            <w:gridSpan w:val="2"/>
          </w:tcPr>
          <w:p w14:paraId="40A437A9" w14:textId="77777777" w:rsidR="009E62E1" w:rsidRPr="00154588" w:rsidRDefault="009E62E1" w:rsidP="008C12B4">
            <w:pPr>
              <w:jc w:val="both"/>
              <w:rPr>
                <w:bCs/>
                <w:sz w:val="20"/>
                <w:szCs w:val="20"/>
              </w:rPr>
            </w:pPr>
          </w:p>
        </w:tc>
      </w:tr>
      <w:tr w:rsidR="009E62E1" w:rsidRPr="00154588" w14:paraId="2107B331" w14:textId="77777777" w:rsidTr="007F5746">
        <w:tc>
          <w:tcPr>
            <w:tcW w:w="4929" w:type="dxa"/>
          </w:tcPr>
          <w:p w14:paraId="291B183F" w14:textId="77777777" w:rsidR="009E62E1" w:rsidRPr="00154588" w:rsidRDefault="009E62E1" w:rsidP="008C12B4">
            <w:pPr>
              <w:jc w:val="both"/>
              <w:rPr>
                <w:bCs/>
                <w:sz w:val="20"/>
                <w:szCs w:val="20"/>
              </w:rPr>
            </w:pPr>
            <w:r w:rsidRPr="00154588">
              <w:rPr>
                <w:bCs/>
                <w:sz w:val="20"/>
                <w:szCs w:val="20"/>
              </w:rPr>
              <w:t>(2) ABE întocmește un raport în care prezintă principalele constatări și concluzii ale exercițiilor menționate la alineatul (1). Raportul se publică.</w:t>
            </w:r>
          </w:p>
        </w:tc>
        <w:tc>
          <w:tcPr>
            <w:tcW w:w="4810" w:type="dxa"/>
          </w:tcPr>
          <w:p w14:paraId="0F7DF4A4" w14:textId="77777777" w:rsidR="009E62E1" w:rsidRPr="00154588" w:rsidRDefault="009E62E1" w:rsidP="008C12B4">
            <w:pPr>
              <w:jc w:val="both"/>
              <w:rPr>
                <w:bCs/>
                <w:sz w:val="20"/>
                <w:szCs w:val="20"/>
              </w:rPr>
            </w:pPr>
          </w:p>
        </w:tc>
        <w:tc>
          <w:tcPr>
            <w:tcW w:w="2545" w:type="dxa"/>
            <w:gridSpan w:val="2"/>
          </w:tcPr>
          <w:p w14:paraId="6E1F038E" w14:textId="260A4F4B" w:rsidR="009E62E1" w:rsidRPr="00154588" w:rsidRDefault="009E62E1" w:rsidP="008C12B4">
            <w:pPr>
              <w:jc w:val="both"/>
              <w:rPr>
                <w:bCs/>
                <w:sz w:val="20"/>
                <w:szCs w:val="20"/>
              </w:rPr>
            </w:pPr>
            <w:r w:rsidRPr="00154588">
              <w:rPr>
                <w:sz w:val="20"/>
                <w:szCs w:val="20"/>
              </w:rPr>
              <w:t>Prevederi UE neaplicabile</w:t>
            </w:r>
          </w:p>
        </w:tc>
        <w:tc>
          <w:tcPr>
            <w:tcW w:w="3162" w:type="dxa"/>
            <w:gridSpan w:val="2"/>
          </w:tcPr>
          <w:p w14:paraId="36D83F78" w14:textId="7490AA03" w:rsidR="009E62E1" w:rsidRPr="00154588" w:rsidRDefault="009E62E1" w:rsidP="008C12B4">
            <w:pPr>
              <w:jc w:val="both"/>
              <w:rPr>
                <w:bCs/>
                <w:sz w:val="20"/>
                <w:szCs w:val="20"/>
              </w:rPr>
            </w:pPr>
            <w:r w:rsidRPr="00154588">
              <w:rPr>
                <w:sz w:val="20"/>
                <w:szCs w:val="20"/>
                <w:lang w:val="ro-MD"/>
              </w:rPr>
              <w:t>Prevederi care se referă la atribuțiile de reglementare ale autorităților europene.</w:t>
            </w:r>
          </w:p>
        </w:tc>
      </w:tr>
      <w:tr w:rsidR="009E62E1" w:rsidRPr="00154588" w14:paraId="496CB046" w14:textId="77777777" w:rsidTr="007F5746">
        <w:tc>
          <w:tcPr>
            <w:tcW w:w="4929" w:type="dxa"/>
          </w:tcPr>
          <w:p w14:paraId="3F72150D" w14:textId="77777777" w:rsidR="009E62E1" w:rsidRPr="00154588" w:rsidRDefault="009E62E1" w:rsidP="008C12B4">
            <w:pPr>
              <w:jc w:val="both"/>
              <w:rPr>
                <w:b/>
                <w:sz w:val="20"/>
                <w:szCs w:val="20"/>
              </w:rPr>
            </w:pPr>
            <w:r w:rsidRPr="00154588">
              <w:rPr>
                <w:b/>
                <w:sz w:val="20"/>
                <w:szCs w:val="20"/>
              </w:rPr>
              <w:t>Articolul 128</w:t>
            </w:r>
            <w:r w:rsidRPr="00154588">
              <w:rPr>
                <w:b/>
                <w:i/>
                <w:iCs/>
                <w:sz w:val="20"/>
                <w:szCs w:val="20"/>
              </w:rPr>
              <w:t>d</w:t>
            </w:r>
            <w:r w:rsidRPr="00154588">
              <w:rPr>
                <w:b/>
                <w:sz w:val="20"/>
                <w:szCs w:val="20"/>
              </w:rPr>
              <w:t xml:space="preserve"> </w:t>
            </w:r>
          </w:p>
          <w:p w14:paraId="169E5AAF" w14:textId="77777777" w:rsidR="009E62E1" w:rsidRPr="00154588" w:rsidRDefault="009E62E1" w:rsidP="008C12B4">
            <w:pPr>
              <w:jc w:val="both"/>
              <w:rPr>
                <w:bCs/>
                <w:sz w:val="20"/>
                <w:szCs w:val="20"/>
              </w:rPr>
            </w:pPr>
            <w:r w:rsidRPr="00154588">
              <w:rPr>
                <w:b/>
                <w:sz w:val="20"/>
                <w:szCs w:val="20"/>
              </w:rPr>
              <w:t>Dispoziții tranzitorii</w:t>
            </w:r>
          </w:p>
        </w:tc>
        <w:tc>
          <w:tcPr>
            <w:tcW w:w="4810" w:type="dxa"/>
          </w:tcPr>
          <w:p w14:paraId="54099F93" w14:textId="77777777" w:rsidR="009E62E1" w:rsidRPr="00154588" w:rsidRDefault="009E62E1" w:rsidP="008C12B4">
            <w:pPr>
              <w:jc w:val="both"/>
              <w:rPr>
                <w:bCs/>
                <w:sz w:val="20"/>
                <w:szCs w:val="20"/>
              </w:rPr>
            </w:pPr>
          </w:p>
        </w:tc>
        <w:tc>
          <w:tcPr>
            <w:tcW w:w="2545" w:type="dxa"/>
            <w:gridSpan w:val="2"/>
          </w:tcPr>
          <w:p w14:paraId="103BA67E" w14:textId="77777777" w:rsidR="009E62E1" w:rsidRPr="00154588" w:rsidRDefault="009E62E1" w:rsidP="008C12B4">
            <w:pPr>
              <w:jc w:val="both"/>
              <w:rPr>
                <w:bCs/>
                <w:sz w:val="20"/>
                <w:szCs w:val="20"/>
              </w:rPr>
            </w:pPr>
          </w:p>
        </w:tc>
        <w:tc>
          <w:tcPr>
            <w:tcW w:w="3162" w:type="dxa"/>
            <w:gridSpan w:val="2"/>
          </w:tcPr>
          <w:p w14:paraId="5B6EEC50" w14:textId="77777777" w:rsidR="009E62E1" w:rsidRPr="00154588" w:rsidRDefault="009E62E1" w:rsidP="008C12B4">
            <w:pPr>
              <w:jc w:val="both"/>
              <w:rPr>
                <w:bCs/>
                <w:sz w:val="20"/>
                <w:szCs w:val="20"/>
              </w:rPr>
            </w:pPr>
          </w:p>
        </w:tc>
      </w:tr>
      <w:tr w:rsidR="009E62E1" w:rsidRPr="00154588" w14:paraId="6F5A0C2F" w14:textId="77777777" w:rsidTr="007F5746">
        <w:tc>
          <w:tcPr>
            <w:tcW w:w="4929" w:type="dxa"/>
          </w:tcPr>
          <w:p w14:paraId="69B346E4" w14:textId="77777777" w:rsidR="009E62E1" w:rsidRPr="00154588" w:rsidRDefault="009E62E1" w:rsidP="008C12B4">
            <w:pPr>
              <w:jc w:val="both"/>
              <w:rPr>
                <w:bCs/>
                <w:sz w:val="20"/>
                <w:szCs w:val="20"/>
              </w:rPr>
            </w:pPr>
            <w:r w:rsidRPr="00154588">
              <w:rPr>
                <w:bCs/>
                <w:sz w:val="20"/>
                <w:szCs w:val="20"/>
              </w:rPr>
              <w:t>(1) Prin derogare de la articolul 45b alineatul (1a), depozitele atrase înainte de 12 mai 2028 care îndeplinesc condițiile prevăzute la articolul 45b alineatul (1) primul paragraf, la articolul 45c alineatul (2a) al doilea paragraf sau la articolul 45f alineatul (2) litera (a) pot fi incluse în cuantumul fondurilor proprii și al datoriilor eligibile până la 11 mai 2029.</w:t>
            </w:r>
          </w:p>
        </w:tc>
        <w:tc>
          <w:tcPr>
            <w:tcW w:w="4810" w:type="dxa"/>
          </w:tcPr>
          <w:p w14:paraId="1DB39463" w14:textId="77777777" w:rsidR="009E62E1" w:rsidRPr="00154588" w:rsidRDefault="009E62E1" w:rsidP="008C12B4">
            <w:pPr>
              <w:jc w:val="both"/>
              <w:rPr>
                <w:bCs/>
                <w:sz w:val="20"/>
                <w:szCs w:val="20"/>
              </w:rPr>
            </w:pPr>
          </w:p>
        </w:tc>
        <w:tc>
          <w:tcPr>
            <w:tcW w:w="2545" w:type="dxa"/>
            <w:gridSpan w:val="2"/>
          </w:tcPr>
          <w:p w14:paraId="0D50619A" w14:textId="5F966A37" w:rsidR="009E62E1" w:rsidRPr="00154588" w:rsidRDefault="009E62E1" w:rsidP="008C12B4">
            <w:pPr>
              <w:jc w:val="both"/>
              <w:rPr>
                <w:bCs/>
                <w:sz w:val="20"/>
                <w:szCs w:val="20"/>
              </w:rPr>
            </w:pPr>
            <w:r w:rsidRPr="00154588">
              <w:rPr>
                <w:sz w:val="20"/>
                <w:szCs w:val="20"/>
              </w:rPr>
              <w:t>Prevederi UE neaplicabile</w:t>
            </w:r>
          </w:p>
        </w:tc>
        <w:tc>
          <w:tcPr>
            <w:tcW w:w="3162" w:type="dxa"/>
            <w:gridSpan w:val="2"/>
          </w:tcPr>
          <w:p w14:paraId="5FBCF6EF" w14:textId="2875A3C9" w:rsidR="009E62E1" w:rsidRPr="00154588" w:rsidRDefault="009E62E1" w:rsidP="008C12B4">
            <w:pPr>
              <w:jc w:val="both"/>
              <w:rPr>
                <w:bCs/>
                <w:sz w:val="20"/>
                <w:szCs w:val="20"/>
              </w:rPr>
            </w:pPr>
            <w:r w:rsidRPr="00154588">
              <w:rPr>
                <w:sz w:val="20"/>
                <w:szCs w:val="20"/>
                <w:lang w:val="ro-MD"/>
              </w:rPr>
              <w:t>Prevederi care se referă la atribuțiile de reglementare ale autorităților europene.</w:t>
            </w:r>
          </w:p>
        </w:tc>
      </w:tr>
      <w:tr w:rsidR="009E62E1" w:rsidRPr="00154588" w14:paraId="5BF7D515" w14:textId="77777777" w:rsidTr="007F5746">
        <w:tc>
          <w:tcPr>
            <w:tcW w:w="4929" w:type="dxa"/>
          </w:tcPr>
          <w:p w14:paraId="6C924D59" w14:textId="77777777" w:rsidR="009E62E1" w:rsidRPr="00154588" w:rsidRDefault="009E62E1" w:rsidP="008C12B4">
            <w:pPr>
              <w:jc w:val="both"/>
              <w:rPr>
                <w:bCs/>
                <w:sz w:val="20"/>
                <w:szCs w:val="20"/>
              </w:rPr>
            </w:pPr>
            <w:r w:rsidRPr="00154588">
              <w:rPr>
                <w:bCs/>
                <w:sz w:val="20"/>
                <w:szCs w:val="20"/>
              </w:rPr>
              <w:t>(2) În ceea ce privește perioadele de tranziție pentru ca instituțiile sau entitățile menționate la articolul 1 alineatul (1) litera (b), (c) sau (d) din prezenta directivă să respecte cerințele prevăzute la articolul 45e sau 45f din prezenta directivă sau cerințele care rezultă din aplicarea articolului 45b alineatul (4), (5) sau (7) din prezenta directivă, după caz, stabilite de autoritățile de rezoluție înainte de 12 mai 2028, articolul 1 punctul 39 litera (a) din Directiva (UE) 2026/806 a Parlamentului European și a Consiliului (**) nu se aplică.</w:t>
            </w:r>
          </w:p>
        </w:tc>
        <w:tc>
          <w:tcPr>
            <w:tcW w:w="4810" w:type="dxa"/>
          </w:tcPr>
          <w:p w14:paraId="43AE4D49" w14:textId="77777777" w:rsidR="009E62E1" w:rsidRPr="00154588" w:rsidRDefault="009E62E1" w:rsidP="008C12B4">
            <w:pPr>
              <w:jc w:val="both"/>
              <w:rPr>
                <w:bCs/>
                <w:sz w:val="20"/>
                <w:szCs w:val="20"/>
              </w:rPr>
            </w:pPr>
          </w:p>
        </w:tc>
        <w:tc>
          <w:tcPr>
            <w:tcW w:w="2545" w:type="dxa"/>
            <w:gridSpan w:val="2"/>
          </w:tcPr>
          <w:p w14:paraId="10D7D066" w14:textId="78BB7F15" w:rsidR="009E62E1" w:rsidRPr="00154588" w:rsidRDefault="009E62E1" w:rsidP="008C12B4">
            <w:pPr>
              <w:jc w:val="both"/>
              <w:rPr>
                <w:bCs/>
                <w:sz w:val="20"/>
                <w:szCs w:val="20"/>
              </w:rPr>
            </w:pPr>
            <w:r w:rsidRPr="00154588">
              <w:rPr>
                <w:sz w:val="20"/>
                <w:szCs w:val="20"/>
              </w:rPr>
              <w:t>Prevederi UE neaplicabile</w:t>
            </w:r>
          </w:p>
        </w:tc>
        <w:tc>
          <w:tcPr>
            <w:tcW w:w="3162" w:type="dxa"/>
            <w:gridSpan w:val="2"/>
          </w:tcPr>
          <w:p w14:paraId="42629B97" w14:textId="4C073174" w:rsidR="009E62E1" w:rsidRPr="00154588" w:rsidRDefault="009E62E1" w:rsidP="008C12B4">
            <w:pPr>
              <w:jc w:val="both"/>
              <w:rPr>
                <w:bCs/>
                <w:sz w:val="20"/>
                <w:szCs w:val="20"/>
              </w:rPr>
            </w:pPr>
            <w:r w:rsidRPr="00154588">
              <w:rPr>
                <w:sz w:val="20"/>
                <w:szCs w:val="20"/>
                <w:lang w:val="ro-MD"/>
              </w:rPr>
              <w:t>Prevederi care se referă la atribuțiile de reglementare ale autorităților europene.</w:t>
            </w:r>
          </w:p>
        </w:tc>
      </w:tr>
      <w:tr w:rsidR="009E62E1" w:rsidRPr="00154588" w14:paraId="48D05352" w14:textId="77777777" w:rsidTr="007F5746">
        <w:tc>
          <w:tcPr>
            <w:tcW w:w="4929" w:type="dxa"/>
          </w:tcPr>
          <w:p w14:paraId="4DB66FAE" w14:textId="77777777" w:rsidR="009E62E1" w:rsidRPr="00154588" w:rsidRDefault="009E62E1" w:rsidP="008C12B4">
            <w:pPr>
              <w:jc w:val="both"/>
              <w:rPr>
                <w:b/>
                <w:sz w:val="20"/>
                <w:szCs w:val="20"/>
              </w:rPr>
            </w:pPr>
            <w:r w:rsidRPr="00154588">
              <w:rPr>
                <w:b/>
                <w:sz w:val="20"/>
                <w:szCs w:val="20"/>
              </w:rPr>
              <w:t>Articolul 129</w:t>
            </w:r>
          </w:p>
          <w:p w14:paraId="6AE73303" w14:textId="77777777" w:rsidR="009E62E1" w:rsidRPr="00154588" w:rsidRDefault="009E62E1" w:rsidP="008C12B4">
            <w:pPr>
              <w:jc w:val="both"/>
              <w:rPr>
                <w:b/>
                <w:sz w:val="20"/>
                <w:szCs w:val="20"/>
              </w:rPr>
            </w:pPr>
          </w:p>
          <w:p w14:paraId="429CDAE6" w14:textId="77777777" w:rsidR="009E62E1" w:rsidRPr="00154588" w:rsidRDefault="009E62E1" w:rsidP="008C12B4">
            <w:pPr>
              <w:jc w:val="both"/>
              <w:rPr>
                <w:bCs/>
                <w:sz w:val="20"/>
                <w:szCs w:val="20"/>
              </w:rPr>
            </w:pPr>
            <w:r w:rsidRPr="00154588">
              <w:rPr>
                <w:b/>
                <w:sz w:val="20"/>
                <w:szCs w:val="20"/>
              </w:rPr>
              <w:t>Reexaminare</w:t>
            </w:r>
          </w:p>
        </w:tc>
        <w:tc>
          <w:tcPr>
            <w:tcW w:w="4810" w:type="dxa"/>
          </w:tcPr>
          <w:p w14:paraId="1686771C" w14:textId="77777777" w:rsidR="009E62E1" w:rsidRPr="00154588" w:rsidRDefault="009E62E1" w:rsidP="008C12B4">
            <w:pPr>
              <w:jc w:val="both"/>
              <w:rPr>
                <w:bCs/>
                <w:sz w:val="20"/>
                <w:szCs w:val="20"/>
              </w:rPr>
            </w:pPr>
          </w:p>
        </w:tc>
        <w:tc>
          <w:tcPr>
            <w:tcW w:w="2545" w:type="dxa"/>
            <w:gridSpan w:val="2"/>
          </w:tcPr>
          <w:p w14:paraId="3F942093" w14:textId="77777777" w:rsidR="009E62E1" w:rsidRPr="00154588" w:rsidRDefault="009E62E1" w:rsidP="008C12B4">
            <w:pPr>
              <w:jc w:val="both"/>
              <w:rPr>
                <w:bCs/>
                <w:sz w:val="20"/>
                <w:szCs w:val="20"/>
              </w:rPr>
            </w:pPr>
          </w:p>
        </w:tc>
        <w:tc>
          <w:tcPr>
            <w:tcW w:w="3162" w:type="dxa"/>
            <w:gridSpan w:val="2"/>
          </w:tcPr>
          <w:p w14:paraId="30B2721B" w14:textId="77777777" w:rsidR="009E62E1" w:rsidRPr="00154588" w:rsidRDefault="009E62E1" w:rsidP="008C12B4">
            <w:pPr>
              <w:jc w:val="both"/>
              <w:rPr>
                <w:bCs/>
                <w:sz w:val="20"/>
                <w:szCs w:val="20"/>
              </w:rPr>
            </w:pPr>
          </w:p>
        </w:tc>
      </w:tr>
      <w:tr w:rsidR="009E62E1" w:rsidRPr="00154588" w14:paraId="52FF21C0" w14:textId="77777777" w:rsidTr="007F5746">
        <w:tc>
          <w:tcPr>
            <w:tcW w:w="4929" w:type="dxa"/>
          </w:tcPr>
          <w:p w14:paraId="7B193EA3" w14:textId="77777777" w:rsidR="009E62E1" w:rsidRPr="00154588" w:rsidRDefault="009E62E1" w:rsidP="008C12B4">
            <w:pPr>
              <w:jc w:val="both"/>
              <w:rPr>
                <w:bCs/>
                <w:sz w:val="20"/>
                <w:szCs w:val="20"/>
              </w:rPr>
            </w:pPr>
            <w:r w:rsidRPr="00154588">
              <w:rPr>
                <w:bCs/>
                <w:sz w:val="20"/>
                <w:szCs w:val="20"/>
              </w:rPr>
              <w:t>Până la 1 iunie 2018, Comisia reexaminează punerea în aplicare a prezentei directive și înaintează un raport cu privire la aceasta Parlamentului European și Consiliului. Aceasta evaluează în special următoarele:</w:t>
            </w:r>
          </w:p>
          <w:p w14:paraId="1284E8DB" w14:textId="77777777" w:rsidR="009E62E1" w:rsidRPr="00154588" w:rsidRDefault="009E62E1" w:rsidP="008C12B4">
            <w:pPr>
              <w:jc w:val="both"/>
              <w:rPr>
                <w:bCs/>
                <w:sz w:val="20"/>
                <w:szCs w:val="20"/>
              </w:rPr>
            </w:pPr>
          </w:p>
          <w:p w14:paraId="0FE5D3EE" w14:textId="77777777" w:rsidR="009E62E1" w:rsidRPr="00154588" w:rsidRDefault="009E62E1" w:rsidP="008C12B4">
            <w:pPr>
              <w:jc w:val="both"/>
              <w:rPr>
                <w:bCs/>
                <w:sz w:val="20"/>
                <w:szCs w:val="20"/>
              </w:rPr>
            </w:pPr>
            <w:r w:rsidRPr="00154588">
              <w:rPr>
                <w:bCs/>
                <w:sz w:val="20"/>
                <w:szCs w:val="20"/>
              </w:rPr>
              <w:t>(a) necesitatea efectuării oricăror modificări în ceea ce privește reducerea la minimum a divergențelor la nivel național, pe baza raportului ABE menționat la articolul 4 alineatul (7);</w:t>
            </w:r>
          </w:p>
          <w:p w14:paraId="7F00180A" w14:textId="77777777" w:rsidR="009E62E1" w:rsidRPr="00154588" w:rsidRDefault="009E62E1" w:rsidP="008C12B4">
            <w:pPr>
              <w:jc w:val="both"/>
              <w:rPr>
                <w:bCs/>
                <w:sz w:val="20"/>
                <w:szCs w:val="20"/>
              </w:rPr>
            </w:pPr>
          </w:p>
          <w:p w14:paraId="41A73BE2" w14:textId="77777777" w:rsidR="009E62E1" w:rsidRPr="00154588" w:rsidRDefault="009E62E1" w:rsidP="008C12B4">
            <w:pPr>
              <w:jc w:val="both"/>
              <w:rPr>
                <w:bCs/>
                <w:sz w:val="20"/>
                <w:szCs w:val="20"/>
              </w:rPr>
            </w:pPr>
            <w:r w:rsidRPr="00154588">
              <w:rPr>
                <w:bCs/>
                <w:sz w:val="20"/>
                <w:szCs w:val="20"/>
              </w:rPr>
              <w:t>(b) necesitatea efectuării oricăror modificări în ceea ce privește reducerea la minimum a divergențelor la nivel național, pe baza raportului ABE menționat la articolul 45 alineatul (19);</w:t>
            </w:r>
          </w:p>
          <w:p w14:paraId="47B11781" w14:textId="77777777" w:rsidR="009E62E1" w:rsidRPr="00154588" w:rsidRDefault="009E62E1" w:rsidP="008C12B4">
            <w:pPr>
              <w:jc w:val="both"/>
              <w:rPr>
                <w:bCs/>
                <w:sz w:val="20"/>
                <w:szCs w:val="20"/>
              </w:rPr>
            </w:pPr>
          </w:p>
          <w:p w14:paraId="6FDF97DC" w14:textId="77777777" w:rsidR="009E62E1" w:rsidRPr="00154588" w:rsidRDefault="009E62E1" w:rsidP="008C12B4">
            <w:pPr>
              <w:jc w:val="both"/>
              <w:rPr>
                <w:bCs/>
                <w:sz w:val="20"/>
                <w:szCs w:val="20"/>
              </w:rPr>
            </w:pPr>
            <w:r w:rsidRPr="00154588">
              <w:rPr>
                <w:bCs/>
                <w:sz w:val="20"/>
                <w:szCs w:val="20"/>
              </w:rPr>
              <w:lastRenderedPageBreak/>
              <w:t>(c) funcționarea și eficiența rolului conferit ABE în prezenta directivă, inclusiv efectuarea medierii.</w:t>
            </w:r>
          </w:p>
          <w:p w14:paraId="6FD1D79E" w14:textId="77777777" w:rsidR="009E62E1" w:rsidRPr="00154588" w:rsidRDefault="009E62E1" w:rsidP="008C12B4">
            <w:pPr>
              <w:jc w:val="both"/>
              <w:rPr>
                <w:bCs/>
                <w:sz w:val="20"/>
                <w:szCs w:val="20"/>
              </w:rPr>
            </w:pPr>
          </w:p>
          <w:p w14:paraId="6049BC9C" w14:textId="77777777" w:rsidR="009E62E1" w:rsidRPr="00154588" w:rsidRDefault="009E62E1" w:rsidP="008C12B4">
            <w:pPr>
              <w:jc w:val="both"/>
              <w:rPr>
                <w:bCs/>
                <w:sz w:val="20"/>
                <w:szCs w:val="20"/>
              </w:rPr>
            </w:pPr>
          </w:p>
          <w:p w14:paraId="07D5A263" w14:textId="77777777" w:rsidR="009E62E1" w:rsidRPr="00154588" w:rsidRDefault="009E62E1" w:rsidP="008C12B4">
            <w:pPr>
              <w:jc w:val="both"/>
              <w:rPr>
                <w:bCs/>
                <w:sz w:val="20"/>
                <w:szCs w:val="20"/>
              </w:rPr>
            </w:pPr>
            <w:r w:rsidRPr="00154588">
              <w:rPr>
                <w:bCs/>
                <w:sz w:val="20"/>
                <w:szCs w:val="20"/>
              </w:rPr>
              <w:t>După caz, rapoartul respectiv este însoțit de o propunere legislativă.</w:t>
            </w:r>
          </w:p>
          <w:p w14:paraId="29C37127" w14:textId="77777777" w:rsidR="009E62E1" w:rsidRPr="00154588" w:rsidRDefault="009E62E1" w:rsidP="008C12B4">
            <w:pPr>
              <w:jc w:val="both"/>
              <w:rPr>
                <w:bCs/>
                <w:sz w:val="20"/>
                <w:szCs w:val="20"/>
              </w:rPr>
            </w:pPr>
          </w:p>
          <w:p w14:paraId="49D8C00E" w14:textId="77777777" w:rsidR="009E62E1" w:rsidRPr="00154588" w:rsidRDefault="009E62E1" w:rsidP="008C12B4">
            <w:pPr>
              <w:jc w:val="both"/>
              <w:rPr>
                <w:bCs/>
                <w:sz w:val="20"/>
                <w:szCs w:val="20"/>
              </w:rPr>
            </w:pPr>
            <w:r w:rsidRPr="00154588">
              <w:rPr>
                <w:bCs/>
                <w:sz w:val="20"/>
                <w:szCs w:val="20"/>
              </w:rPr>
              <w:t>Fără a aduce atingere reexaminării prevăzute la primul paragraf, Comisia reexaminează, până la 3 iulie 2017, în mod special aplicarea articolelor 13, 18 și 45 în ceea ce privește competențele ABE de a efectua o mediere obligatorie, pentru a ține seama de evoluțiile viitoare ale legislației din domeniul serviciilor financiare. Raportul respectiv și orice eventuală propunere care îl însoțește, după caz, sunt transmise Parlamentului European și Consiliului.</w:t>
            </w:r>
          </w:p>
          <w:p w14:paraId="1B4CBF97" w14:textId="77777777" w:rsidR="009E62E1" w:rsidRPr="00154588" w:rsidRDefault="009E62E1" w:rsidP="008C12B4">
            <w:pPr>
              <w:jc w:val="both"/>
              <w:rPr>
                <w:bCs/>
                <w:sz w:val="20"/>
                <w:szCs w:val="20"/>
              </w:rPr>
            </w:pPr>
          </w:p>
          <w:p w14:paraId="6A5EC9E9" w14:textId="77777777" w:rsidR="009E62E1" w:rsidRPr="00154588" w:rsidRDefault="009E62E1" w:rsidP="008C12B4">
            <w:pPr>
              <w:jc w:val="both"/>
              <w:rPr>
                <w:bCs/>
                <w:sz w:val="20"/>
                <w:szCs w:val="20"/>
              </w:rPr>
            </w:pPr>
            <w:r w:rsidRPr="00154588">
              <w:rPr>
                <w:bCs/>
                <w:sz w:val="20"/>
                <w:szCs w:val="20"/>
              </w:rPr>
              <w:t>Până la 31 decembrie 2022, Comisia reexaminează impactul subscrierii indirecte de instrumente eligibile pentru îndeplinirea cerinței minime de fonduri proprii și datorii eligibile asupra condițiilor de concurență echitabile între diferitele tipuri de structuri de grupuri bancare, inclusiv în cazul în care grupurile au o societate operațională între societatea holding identificată drept entitate de rezoluție și filialele sale. Comisia evaluează în special următoarele:</w:t>
            </w:r>
          </w:p>
          <w:p w14:paraId="5174E97A" w14:textId="77777777" w:rsidR="009E62E1" w:rsidRPr="00154588" w:rsidRDefault="009E62E1" w:rsidP="008C12B4">
            <w:pPr>
              <w:jc w:val="both"/>
              <w:rPr>
                <w:bCs/>
                <w:sz w:val="20"/>
                <w:szCs w:val="20"/>
              </w:rPr>
            </w:pPr>
          </w:p>
          <w:p w14:paraId="0D2DD480" w14:textId="77777777" w:rsidR="009E62E1" w:rsidRPr="00154588" w:rsidRDefault="009E62E1" w:rsidP="008C12B4">
            <w:pPr>
              <w:jc w:val="both"/>
              <w:rPr>
                <w:bCs/>
                <w:sz w:val="20"/>
                <w:szCs w:val="20"/>
              </w:rPr>
            </w:pPr>
            <w:r w:rsidRPr="00154588">
              <w:rPr>
                <w:bCs/>
                <w:sz w:val="20"/>
                <w:szCs w:val="20"/>
              </w:rPr>
              <w:t>(a) posibilitatea de a permite entităților care nu sunt ele însele entități de rezoluție să respecte cerința minimă de fonduri proprii și datorii eligibile pe bază consolidată;</w:t>
            </w:r>
          </w:p>
          <w:p w14:paraId="323DEA8C" w14:textId="77777777" w:rsidR="009E62E1" w:rsidRPr="00154588" w:rsidRDefault="009E62E1" w:rsidP="008C12B4">
            <w:pPr>
              <w:jc w:val="both"/>
              <w:rPr>
                <w:bCs/>
                <w:sz w:val="20"/>
                <w:szCs w:val="20"/>
              </w:rPr>
            </w:pPr>
          </w:p>
          <w:p w14:paraId="0C5BD19B" w14:textId="77777777" w:rsidR="009E62E1" w:rsidRPr="00154588" w:rsidRDefault="009E62E1" w:rsidP="008C12B4">
            <w:pPr>
              <w:jc w:val="both"/>
              <w:rPr>
                <w:bCs/>
                <w:sz w:val="20"/>
                <w:szCs w:val="20"/>
              </w:rPr>
            </w:pPr>
          </w:p>
          <w:p w14:paraId="3984EB7E" w14:textId="77777777" w:rsidR="009E62E1" w:rsidRPr="00154588" w:rsidRDefault="009E62E1" w:rsidP="008C12B4">
            <w:pPr>
              <w:jc w:val="both"/>
              <w:rPr>
                <w:bCs/>
                <w:sz w:val="20"/>
                <w:szCs w:val="20"/>
              </w:rPr>
            </w:pPr>
            <w:r w:rsidRPr="00154588">
              <w:rPr>
                <w:bCs/>
                <w:sz w:val="20"/>
                <w:szCs w:val="20"/>
              </w:rPr>
              <w:t>(b) tratamentul, în conformitate cu normele care reglementează cerința minimă de fonduri proprii și datorii eligibile, aplicat entităților al căror plan de rezoluție prevede lichidarea lor prin procedura obișnuită de insolvență;</w:t>
            </w:r>
          </w:p>
          <w:p w14:paraId="3B4B25DA" w14:textId="77777777" w:rsidR="009E62E1" w:rsidRPr="00154588" w:rsidRDefault="009E62E1" w:rsidP="008C12B4">
            <w:pPr>
              <w:jc w:val="both"/>
              <w:rPr>
                <w:bCs/>
                <w:sz w:val="20"/>
                <w:szCs w:val="20"/>
              </w:rPr>
            </w:pPr>
          </w:p>
          <w:p w14:paraId="4CF7F74F" w14:textId="77777777" w:rsidR="009E62E1" w:rsidRPr="00154588" w:rsidRDefault="009E62E1" w:rsidP="008C12B4">
            <w:pPr>
              <w:jc w:val="both"/>
              <w:rPr>
                <w:bCs/>
                <w:sz w:val="20"/>
                <w:szCs w:val="20"/>
              </w:rPr>
            </w:pPr>
            <w:r w:rsidRPr="00154588">
              <w:rPr>
                <w:bCs/>
                <w:sz w:val="20"/>
                <w:szCs w:val="20"/>
              </w:rPr>
              <w:t>(c) oportunitatea limitării cuantumului deducerilor necesare în temeiul articolului 72e alineatul (5) din Regulamentul (UE) nr. 575/2013.</w:t>
            </w:r>
          </w:p>
          <w:p w14:paraId="5FD766BE" w14:textId="77777777" w:rsidR="009E62E1" w:rsidRPr="00154588" w:rsidRDefault="009E62E1" w:rsidP="008C12B4">
            <w:pPr>
              <w:jc w:val="both"/>
              <w:rPr>
                <w:bCs/>
                <w:sz w:val="20"/>
                <w:szCs w:val="20"/>
              </w:rPr>
            </w:pPr>
          </w:p>
          <w:p w14:paraId="658D6714" w14:textId="77777777" w:rsidR="009E62E1" w:rsidRPr="00154588" w:rsidRDefault="009E62E1" w:rsidP="008C12B4">
            <w:pPr>
              <w:jc w:val="both"/>
              <w:rPr>
                <w:bCs/>
                <w:sz w:val="20"/>
                <w:szCs w:val="20"/>
              </w:rPr>
            </w:pPr>
            <w:r w:rsidRPr="00154588">
              <w:rPr>
                <w:bCs/>
                <w:sz w:val="20"/>
                <w:szCs w:val="20"/>
              </w:rPr>
              <w:t xml:space="preserve">Comisia prezintă Parlamentului European și Consiliului un raport în această privință. După caz, </w:t>
            </w:r>
            <w:r w:rsidRPr="00154588">
              <w:rPr>
                <w:bCs/>
                <w:sz w:val="20"/>
                <w:szCs w:val="20"/>
              </w:rPr>
              <w:lastRenderedPageBreak/>
              <w:t>raportul este însoțit de o propunere legislativă, ținând seama de data aplicării articolului 72e alineatul (5) din Regulamentul (UE) nr. 575/2013.</w:t>
            </w:r>
          </w:p>
        </w:tc>
        <w:tc>
          <w:tcPr>
            <w:tcW w:w="4810" w:type="dxa"/>
          </w:tcPr>
          <w:p w14:paraId="7CB86538" w14:textId="77777777" w:rsidR="009E62E1" w:rsidRPr="00154588" w:rsidRDefault="009E62E1" w:rsidP="008C12B4">
            <w:pPr>
              <w:jc w:val="both"/>
              <w:rPr>
                <w:bCs/>
                <w:sz w:val="20"/>
                <w:szCs w:val="20"/>
              </w:rPr>
            </w:pPr>
          </w:p>
        </w:tc>
        <w:tc>
          <w:tcPr>
            <w:tcW w:w="2545" w:type="dxa"/>
            <w:gridSpan w:val="2"/>
          </w:tcPr>
          <w:p w14:paraId="49101851" w14:textId="6105CE17" w:rsidR="009E62E1" w:rsidRPr="00154588" w:rsidRDefault="009E62E1" w:rsidP="008C12B4">
            <w:pPr>
              <w:jc w:val="both"/>
              <w:rPr>
                <w:bCs/>
                <w:sz w:val="20"/>
                <w:szCs w:val="20"/>
              </w:rPr>
            </w:pPr>
            <w:r w:rsidRPr="00154588">
              <w:rPr>
                <w:sz w:val="20"/>
                <w:szCs w:val="20"/>
              </w:rPr>
              <w:t>Prevederi UE neaplicabile</w:t>
            </w:r>
          </w:p>
        </w:tc>
        <w:tc>
          <w:tcPr>
            <w:tcW w:w="3162" w:type="dxa"/>
            <w:gridSpan w:val="2"/>
          </w:tcPr>
          <w:p w14:paraId="0981C8C0" w14:textId="36C0244B" w:rsidR="009E62E1" w:rsidRPr="00154588" w:rsidRDefault="009E62E1" w:rsidP="008C12B4">
            <w:pPr>
              <w:jc w:val="both"/>
              <w:rPr>
                <w:bCs/>
                <w:sz w:val="20"/>
                <w:szCs w:val="20"/>
              </w:rPr>
            </w:pPr>
            <w:r w:rsidRPr="00154588">
              <w:rPr>
                <w:sz w:val="20"/>
                <w:szCs w:val="20"/>
                <w:lang w:val="ro-MD"/>
              </w:rPr>
              <w:t>Prevederi care se referă la atribuțiile de reglementare ale autorităților europene.</w:t>
            </w:r>
          </w:p>
        </w:tc>
      </w:tr>
      <w:tr w:rsidR="009E62E1" w:rsidRPr="00154588" w14:paraId="351C3B47" w14:textId="77777777" w:rsidTr="005A52B1">
        <w:trPr>
          <w:trHeight w:val="844"/>
        </w:trPr>
        <w:tc>
          <w:tcPr>
            <w:tcW w:w="4929" w:type="dxa"/>
          </w:tcPr>
          <w:p w14:paraId="20BE9ED7" w14:textId="77777777" w:rsidR="009E62E1" w:rsidRPr="00154588" w:rsidRDefault="009E62E1" w:rsidP="008C12B4">
            <w:pPr>
              <w:jc w:val="both"/>
              <w:rPr>
                <w:b/>
                <w:sz w:val="20"/>
                <w:szCs w:val="20"/>
              </w:rPr>
            </w:pPr>
            <w:r w:rsidRPr="00154588">
              <w:rPr>
                <w:b/>
                <w:sz w:val="20"/>
                <w:szCs w:val="20"/>
              </w:rPr>
              <w:lastRenderedPageBreak/>
              <w:t>Articolul 130</w:t>
            </w:r>
          </w:p>
          <w:p w14:paraId="4BE05AA6" w14:textId="77777777" w:rsidR="009E62E1" w:rsidRPr="00154588" w:rsidRDefault="009E62E1" w:rsidP="008C12B4">
            <w:pPr>
              <w:jc w:val="both"/>
              <w:rPr>
                <w:b/>
                <w:sz w:val="20"/>
                <w:szCs w:val="20"/>
              </w:rPr>
            </w:pPr>
          </w:p>
          <w:p w14:paraId="79026326" w14:textId="77777777" w:rsidR="009E62E1" w:rsidRPr="00154588" w:rsidRDefault="009E62E1" w:rsidP="008C12B4">
            <w:pPr>
              <w:jc w:val="both"/>
              <w:rPr>
                <w:sz w:val="20"/>
                <w:szCs w:val="20"/>
              </w:rPr>
            </w:pPr>
            <w:r w:rsidRPr="00154588">
              <w:rPr>
                <w:b/>
                <w:sz w:val="20"/>
                <w:szCs w:val="20"/>
              </w:rPr>
              <w:t>Transpunere</w:t>
            </w:r>
          </w:p>
        </w:tc>
        <w:tc>
          <w:tcPr>
            <w:tcW w:w="4810" w:type="dxa"/>
          </w:tcPr>
          <w:p w14:paraId="6BA2A8A1" w14:textId="77777777" w:rsidR="009E62E1" w:rsidRPr="00154588" w:rsidRDefault="009E62E1" w:rsidP="008C12B4">
            <w:pPr>
              <w:jc w:val="both"/>
              <w:rPr>
                <w:sz w:val="20"/>
                <w:szCs w:val="20"/>
              </w:rPr>
            </w:pPr>
          </w:p>
        </w:tc>
        <w:tc>
          <w:tcPr>
            <w:tcW w:w="2545" w:type="dxa"/>
            <w:gridSpan w:val="2"/>
          </w:tcPr>
          <w:p w14:paraId="5A2C2432" w14:textId="77777777" w:rsidR="009E62E1" w:rsidRPr="00154588" w:rsidRDefault="009E62E1" w:rsidP="008C12B4">
            <w:pPr>
              <w:jc w:val="both"/>
              <w:rPr>
                <w:sz w:val="20"/>
                <w:szCs w:val="20"/>
              </w:rPr>
            </w:pPr>
          </w:p>
        </w:tc>
        <w:tc>
          <w:tcPr>
            <w:tcW w:w="3162" w:type="dxa"/>
            <w:gridSpan w:val="2"/>
          </w:tcPr>
          <w:p w14:paraId="6A7567CE" w14:textId="77777777" w:rsidR="009E62E1" w:rsidRPr="00154588" w:rsidRDefault="009E62E1" w:rsidP="008C12B4">
            <w:pPr>
              <w:jc w:val="both"/>
              <w:rPr>
                <w:sz w:val="20"/>
                <w:szCs w:val="20"/>
              </w:rPr>
            </w:pPr>
          </w:p>
        </w:tc>
      </w:tr>
      <w:tr w:rsidR="005A52B1" w:rsidRPr="00154588" w14:paraId="2CA03D41" w14:textId="77777777" w:rsidTr="007F5746">
        <w:tc>
          <w:tcPr>
            <w:tcW w:w="4929" w:type="dxa"/>
          </w:tcPr>
          <w:p w14:paraId="171AECC9" w14:textId="77777777" w:rsidR="005A52B1" w:rsidRPr="00154588" w:rsidRDefault="005A52B1" w:rsidP="008C12B4">
            <w:pPr>
              <w:jc w:val="both"/>
              <w:rPr>
                <w:sz w:val="20"/>
                <w:szCs w:val="20"/>
              </w:rPr>
            </w:pPr>
            <w:r w:rsidRPr="00154588">
              <w:rPr>
                <w:sz w:val="20"/>
                <w:szCs w:val="20"/>
              </w:rPr>
              <w:t>(1)   Statele membre adoptă și publică, până la 31 decembrie 2014, actele cu putere de lege și actele administrative necesare pentru a se conforma prezentei directive. Statele membre comunică de îndată Comisiei textul respectivelor măsuri.</w:t>
            </w:r>
          </w:p>
          <w:p w14:paraId="7EFA9443" w14:textId="77777777" w:rsidR="005A52B1" w:rsidRPr="00154588" w:rsidRDefault="005A52B1" w:rsidP="008C12B4">
            <w:pPr>
              <w:jc w:val="both"/>
              <w:rPr>
                <w:sz w:val="20"/>
                <w:szCs w:val="20"/>
              </w:rPr>
            </w:pPr>
          </w:p>
          <w:p w14:paraId="6E16C5D9" w14:textId="77777777" w:rsidR="005A52B1" w:rsidRPr="00154588" w:rsidRDefault="005A52B1" w:rsidP="008C12B4">
            <w:pPr>
              <w:jc w:val="both"/>
              <w:rPr>
                <w:sz w:val="20"/>
                <w:szCs w:val="20"/>
              </w:rPr>
            </w:pPr>
          </w:p>
          <w:p w14:paraId="7AB10B3E" w14:textId="77777777" w:rsidR="005A52B1" w:rsidRPr="00154588" w:rsidRDefault="005A52B1" w:rsidP="008C12B4">
            <w:pPr>
              <w:jc w:val="both"/>
              <w:rPr>
                <w:sz w:val="20"/>
                <w:szCs w:val="20"/>
              </w:rPr>
            </w:pPr>
            <w:r w:rsidRPr="00154588">
              <w:rPr>
                <w:sz w:val="20"/>
                <w:szCs w:val="20"/>
              </w:rPr>
              <w:t>Statele membre aplică aceste măsuri începând cu 1 ianuarie 2015.</w:t>
            </w:r>
          </w:p>
          <w:p w14:paraId="75093BA3" w14:textId="77777777" w:rsidR="005A52B1" w:rsidRPr="00154588" w:rsidRDefault="005A52B1" w:rsidP="008C12B4">
            <w:pPr>
              <w:jc w:val="both"/>
              <w:rPr>
                <w:sz w:val="20"/>
                <w:szCs w:val="20"/>
              </w:rPr>
            </w:pPr>
          </w:p>
          <w:p w14:paraId="7E41CEA0" w14:textId="77777777" w:rsidR="005A52B1" w:rsidRPr="00154588" w:rsidRDefault="005A52B1" w:rsidP="008C12B4">
            <w:pPr>
              <w:jc w:val="both"/>
              <w:rPr>
                <w:sz w:val="20"/>
                <w:szCs w:val="20"/>
              </w:rPr>
            </w:pPr>
            <w:r w:rsidRPr="00154588">
              <w:rPr>
                <w:sz w:val="20"/>
                <w:szCs w:val="20"/>
              </w:rPr>
              <w:t>Statele membre aplică însă dispozițiile adoptate pentru a se conforma prevederilor de la titlul IV capitolul IV secțiunea 5 cel târziu începând cu 1 ianuarie 2016.</w:t>
            </w:r>
          </w:p>
        </w:tc>
        <w:tc>
          <w:tcPr>
            <w:tcW w:w="4810" w:type="dxa"/>
          </w:tcPr>
          <w:p w14:paraId="3DA0DE6A" w14:textId="77777777" w:rsidR="005A52B1" w:rsidRPr="00154588" w:rsidRDefault="005A52B1" w:rsidP="008C12B4">
            <w:pPr>
              <w:jc w:val="both"/>
              <w:rPr>
                <w:sz w:val="20"/>
                <w:szCs w:val="20"/>
              </w:rPr>
            </w:pPr>
          </w:p>
        </w:tc>
        <w:tc>
          <w:tcPr>
            <w:tcW w:w="2545" w:type="dxa"/>
            <w:gridSpan w:val="2"/>
          </w:tcPr>
          <w:p w14:paraId="5F815FF3" w14:textId="2373497D" w:rsidR="005A52B1" w:rsidRPr="00154588" w:rsidRDefault="005A52B1" w:rsidP="008C12B4">
            <w:pPr>
              <w:jc w:val="both"/>
              <w:rPr>
                <w:sz w:val="20"/>
                <w:szCs w:val="20"/>
              </w:rPr>
            </w:pPr>
            <w:r w:rsidRPr="00154588">
              <w:rPr>
                <w:sz w:val="20"/>
                <w:szCs w:val="20"/>
              </w:rPr>
              <w:t>Prevederi UE neaplicabile</w:t>
            </w:r>
          </w:p>
        </w:tc>
        <w:tc>
          <w:tcPr>
            <w:tcW w:w="3162" w:type="dxa"/>
            <w:gridSpan w:val="2"/>
          </w:tcPr>
          <w:p w14:paraId="014AC625" w14:textId="0C597A7B" w:rsidR="005A52B1" w:rsidRPr="00154588" w:rsidRDefault="005A52B1" w:rsidP="008C12B4">
            <w:pPr>
              <w:jc w:val="both"/>
              <w:rPr>
                <w:sz w:val="20"/>
                <w:szCs w:val="20"/>
              </w:rPr>
            </w:pPr>
          </w:p>
        </w:tc>
      </w:tr>
      <w:tr w:rsidR="005A52B1" w:rsidRPr="00154588" w14:paraId="62B32F4A" w14:textId="77777777" w:rsidTr="007F5746">
        <w:tc>
          <w:tcPr>
            <w:tcW w:w="4929" w:type="dxa"/>
          </w:tcPr>
          <w:p w14:paraId="1A5AA8DB" w14:textId="77777777" w:rsidR="005A52B1" w:rsidRPr="00154588" w:rsidRDefault="005A52B1" w:rsidP="008C12B4">
            <w:pPr>
              <w:jc w:val="both"/>
              <w:rPr>
                <w:sz w:val="20"/>
                <w:szCs w:val="20"/>
              </w:rPr>
            </w:pPr>
            <w:r w:rsidRPr="00154588">
              <w:rPr>
                <w:sz w:val="20"/>
                <w:szCs w:val="20"/>
              </w:rPr>
              <w:t>(2)   Atunci când statele membre adoptă dispozițiile menționate la alineatul (1), ele conțin o trimitere la prezenta directivă sau sunt însoțite de o asemenea trimitere la data publicării lor oficiale. Statele membre stabilesc modalitatea de efectuare a acestei trimiteri.</w:t>
            </w:r>
          </w:p>
        </w:tc>
        <w:tc>
          <w:tcPr>
            <w:tcW w:w="4810" w:type="dxa"/>
          </w:tcPr>
          <w:p w14:paraId="230C880E" w14:textId="77777777" w:rsidR="005A52B1" w:rsidRPr="00154588" w:rsidRDefault="005A52B1" w:rsidP="008C12B4">
            <w:pPr>
              <w:jc w:val="both"/>
              <w:rPr>
                <w:sz w:val="20"/>
                <w:szCs w:val="20"/>
              </w:rPr>
            </w:pPr>
          </w:p>
        </w:tc>
        <w:tc>
          <w:tcPr>
            <w:tcW w:w="2545" w:type="dxa"/>
            <w:gridSpan w:val="2"/>
          </w:tcPr>
          <w:p w14:paraId="32CC3C8B" w14:textId="09F0FB4F" w:rsidR="005A52B1" w:rsidRPr="00154588" w:rsidRDefault="005A52B1" w:rsidP="008C12B4">
            <w:pPr>
              <w:jc w:val="both"/>
              <w:rPr>
                <w:sz w:val="20"/>
                <w:szCs w:val="20"/>
              </w:rPr>
            </w:pPr>
            <w:r w:rsidRPr="00154588">
              <w:rPr>
                <w:sz w:val="20"/>
                <w:szCs w:val="20"/>
              </w:rPr>
              <w:t>Prevederi UE neaplicabile</w:t>
            </w:r>
          </w:p>
        </w:tc>
        <w:tc>
          <w:tcPr>
            <w:tcW w:w="3162" w:type="dxa"/>
            <w:gridSpan w:val="2"/>
          </w:tcPr>
          <w:p w14:paraId="603B6C36" w14:textId="77777777" w:rsidR="005A52B1" w:rsidRPr="00154588" w:rsidRDefault="005A52B1" w:rsidP="008C12B4">
            <w:pPr>
              <w:jc w:val="both"/>
              <w:rPr>
                <w:sz w:val="20"/>
                <w:szCs w:val="20"/>
              </w:rPr>
            </w:pPr>
          </w:p>
        </w:tc>
      </w:tr>
      <w:tr w:rsidR="005A52B1" w:rsidRPr="00154588" w14:paraId="579DF1D8" w14:textId="77777777" w:rsidTr="007F5746">
        <w:tc>
          <w:tcPr>
            <w:tcW w:w="4929" w:type="dxa"/>
          </w:tcPr>
          <w:p w14:paraId="0F2A1FF9" w14:textId="77777777" w:rsidR="005A52B1" w:rsidRPr="00154588" w:rsidRDefault="005A52B1" w:rsidP="008C12B4">
            <w:pPr>
              <w:jc w:val="both"/>
              <w:rPr>
                <w:bCs/>
                <w:sz w:val="20"/>
                <w:szCs w:val="20"/>
              </w:rPr>
            </w:pPr>
            <w:r w:rsidRPr="00154588">
              <w:rPr>
                <w:bCs/>
                <w:sz w:val="20"/>
                <w:szCs w:val="20"/>
              </w:rPr>
              <w:t>(3)   Satele membre comunică Comisiei și ABE textul principalelor dispoziții de drept intern pe care le adoptă în domeniul reglementat de prezenta directivă.</w:t>
            </w:r>
          </w:p>
        </w:tc>
        <w:tc>
          <w:tcPr>
            <w:tcW w:w="4810" w:type="dxa"/>
          </w:tcPr>
          <w:p w14:paraId="5E19511F" w14:textId="77777777" w:rsidR="005A52B1" w:rsidRPr="00154588" w:rsidRDefault="005A52B1" w:rsidP="008C12B4">
            <w:pPr>
              <w:jc w:val="both"/>
              <w:rPr>
                <w:bCs/>
                <w:sz w:val="20"/>
                <w:szCs w:val="20"/>
              </w:rPr>
            </w:pPr>
          </w:p>
        </w:tc>
        <w:tc>
          <w:tcPr>
            <w:tcW w:w="2545" w:type="dxa"/>
            <w:gridSpan w:val="2"/>
          </w:tcPr>
          <w:p w14:paraId="0C49FEE9" w14:textId="7CE5C52A" w:rsidR="005A52B1" w:rsidRPr="00154588" w:rsidRDefault="005A52B1" w:rsidP="008C12B4">
            <w:pPr>
              <w:jc w:val="both"/>
              <w:rPr>
                <w:bCs/>
                <w:sz w:val="20"/>
                <w:szCs w:val="20"/>
              </w:rPr>
            </w:pPr>
            <w:r w:rsidRPr="00154588">
              <w:rPr>
                <w:sz w:val="20"/>
                <w:szCs w:val="20"/>
              </w:rPr>
              <w:t>Prevederi UE neaplicabile</w:t>
            </w:r>
          </w:p>
        </w:tc>
        <w:tc>
          <w:tcPr>
            <w:tcW w:w="3162" w:type="dxa"/>
            <w:gridSpan w:val="2"/>
          </w:tcPr>
          <w:p w14:paraId="0DC4F2A9" w14:textId="77777777" w:rsidR="005A52B1" w:rsidRPr="00154588" w:rsidRDefault="005A52B1" w:rsidP="008C12B4">
            <w:pPr>
              <w:jc w:val="both"/>
              <w:rPr>
                <w:bCs/>
                <w:sz w:val="20"/>
                <w:szCs w:val="20"/>
              </w:rPr>
            </w:pPr>
          </w:p>
        </w:tc>
      </w:tr>
      <w:tr w:rsidR="005A52B1" w:rsidRPr="00154588" w14:paraId="3D8868A5" w14:textId="77777777" w:rsidTr="007F5746">
        <w:tc>
          <w:tcPr>
            <w:tcW w:w="4929" w:type="dxa"/>
          </w:tcPr>
          <w:p w14:paraId="6153CB00" w14:textId="77777777" w:rsidR="005A52B1" w:rsidRPr="00154588" w:rsidRDefault="005A52B1" w:rsidP="008C12B4">
            <w:pPr>
              <w:jc w:val="both"/>
              <w:rPr>
                <w:b/>
                <w:sz w:val="20"/>
                <w:szCs w:val="20"/>
              </w:rPr>
            </w:pPr>
            <w:r w:rsidRPr="00154588">
              <w:rPr>
                <w:b/>
                <w:sz w:val="20"/>
                <w:szCs w:val="20"/>
              </w:rPr>
              <w:t>Articolul 131</w:t>
            </w:r>
          </w:p>
          <w:p w14:paraId="669FAF8A" w14:textId="77777777" w:rsidR="005A52B1" w:rsidRPr="00154588" w:rsidRDefault="005A52B1" w:rsidP="008C12B4">
            <w:pPr>
              <w:jc w:val="both"/>
              <w:rPr>
                <w:b/>
                <w:sz w:val="20"/>
                <w:szCs w:val="20"/>
              </w:rPr>
            </w:pPr>
          </w:p>
          <w:p w14:paraId="171E3A98" w14:textId="77777777" w:rsidR="005A52B1" w:rsidRPr="00154588" w:rsidRDefault="005A52B1" w:rsidP="008C12B4">
            <w:pPr>
              <w:jc w:val="both"/>
              <w:rPr>
                <w:bCs/>
                <w:sz w:val="20"/>
                <w:szCs w:val="20"/>
              </w:rPr>
            </w:pPr>
            <w:r w:rsidRPr="00154588">
              <w:rPr>
                <w:b/>
                <w:sz w:val="20"/>
                <w:szCs w:val="20"/>
              </w:rPr>
              <w:t>Intrarea în vigoare</w:t>
            </w:r>
          </w:p>
        </w:tc>
        <w:tc>
          <w:tcPr>
            <w:tcW w:w="4810" w:type="dxa"/>
          </w:tcPr>
          <w:p w14:paraId="7DBA9D8D" w14:textId="77777777" w:rsidR="005A52B1" w:rsidRPr="00154588" w:rsidRDefault="005A52B1" w:rsidP="008C12B4">
            <w:pPr>
              <w:jc w:val="both"/>
              <w:rPr>
                <w:bCs/>
                <w:sz w:val="20"/>
                <w:szCs w:val="20"/>
              </w:rPr>
            </w:pPr>
          </w:p>
        </w:tc>
        <w:tc>
          <w:tcPr>
            <w:tcW w:w="2545" w:type="dxa"/>
            <w:gridSpan w:val="2"/>
          </w:tcPr>
          <w:p w14:paraId="7B3B1D3C" w14:textId="15C9C753" w:rsidR="005A52B1" w:rsidRPr="00154588" w:rsidRDefault="005A52B1" w:rsidP="008C12B4">
            <w:pPr>
              <w:jc w:val="both"/>
              <w:rPr>
                <w:bCs/>
                <w:sz w:val="20"/>
                <w:szCs w:val="20"/>
              </w:rPr>
            </w:pPr>
            <w:r w:rsidRPr="00154588">
              <w:rPr>
                <w:sz w:val="20"/>
                <w:szCs w:val="20"/>
              </w:rPr>
              <w:t>Prevederi UE neaplicabile</w:t>
            </w:r>
          </w:p>
        </w:tc>
        <w:tc>
          <w:tcPr>
            <w:tcW w:w="3162" w:type="dxa"/>
            <w:gridSpan w:val="2"/>
          </w:tcPr>
          <w:p w14:paraId="25DD801C" w14:textId="77777777" w:rsidR="005A52B1" w:rsidRPr="00154588" w:rsidRDefault="005A52B1" w:rsidP="008C12B4">
            <w:pPr>
              <w:jc w:val="both"/>
              <w:rPr>
                <w:bCs/>
                <w:sz w:val="20"/>
                <w:szCs w:val="20"/>
              </w:rPr>
            </w:pPr>
          </w:p>
        </w:tc>
      </w:tr>
      <w:tr w:rsidR="005A52B1" w:rsidRPr="00154588" w14:paraId="610C79BF" w14:textId="77777777" w:rsidTr="007F5746">
        <w:tc>
          <w:tcPr>
            <w:tcW w:w="4929" w:type="dxa"/>
          </w:tcPr>
          <w:p w14:paraId="35235DCE" w14:textId="77777777" w:rsidR="005A52B1" w:rsidRPr="00154588" w:rsidRDefault="005A52B1" w:rsidP="008C12B4">
            <w:pPr>
              <w:jc w:val="both"/>
              <w:rPr>
                <w:bCs/>
                <w:sz w:val="20"/>
                <w:szCs w:val="20"/>
              </w:rPr>
            </w:pPr>
            <w:r w:rsidRPr="00154588">
              <w:rPr>
                <w:bCs/>
                <w:sz w:val="20"/>
                <w:szCs w:val="20"/>
              </w:rPr>
              <w:t>Prezenta directivă intră în vigoare în a douăzecea zi de la data publicării în Jurnalul Oficial al Uniunii Europene.</w:t>
            </w:r>
          </w:p>
          <w:p w14:paraId="28D275D7" w14:textId="77777777" w:rsidR="005A52B1" w:rsidRPr="00154588" w:rsidRDefault="005A52B1" w:rsidP="008C12B4">
            <w:pPr>
              <w:jc w:val="both"/>
              <w:rPr>
                <w:bCs/>
                <w:sz w:val="20"/>
                <w:szCs w:val="20"/>
              </w:rPr>
            </w:pPr>
          </w:p>
          <w:p w14:paraId="2CFF6FF4" w14:textId="77777777" w:rsidR="005A52B1" w:rsidRPr="00154588" w:rsidRDefault="005A52B1" w:rsidP="008C12B4">
            <w:pPr>
              <w:jc w:val="both"/>
              <w:rPr>
                <w:bCs/>
                <w:sz w:val="20"/>
                <w:szCs w:val="20"/>
              </w:rPr>
            </w:pPr>
          </w:p>
          <w:p w14:paraId="5E76BBFB" w14:textId="77777777" w:rsidR="005A52B1" w:rsidRPr="00154588" w:rsidRDefault="005A52B1" w:rsidP="008C12B4">
            <w:pPr>
              <w:jc w:val="both"/>
              <w:rPr>
                <w:bCs/>
                <w:sz w:val="20"/>
                <w:szCs w:val="20"/>
              </w:rPr>
            </w:pPr>
          </w:p>
          <w:p w14:paraId="0C166BF2" w14:textId="77777777" w:rsidR="005A52B1" w:rsidRPr="00154588" w:rsidRDefault="005A52B1" w:rsidP="008C12B4">
            <w:pPr>
              <w:jc w:val="both"/>
              <w:rPr>
                <w:bCs/>
                <w:sz w:val="20"/>
                <w:szCs w:val="20"/>
              </w:rPr>
            </w:pPr>
            <w:r w:rsidRPr="00154588">
              <w:rPr>
                <w:bCs/>
                <w:sz w:val="20"/>
                <w:szCs w:val="20"/>
              </w:rPr>
              <w:t>Articolul 124 intră în vigoare la 1 ianuarie 2015.</w:t>
            </w:r>
          </w:p>
        </w:tc>
        <w:tc>
          <w:tcPr>
            <w:tcW w:w="4810" w:type="dxa"/>
          </w:tcPr>
          <w:p w14:paraId="5337DBA2" w14:textId="77777777" w:rsidR="005A52B1" w:rsidRPr="00154588" w:rsidRDefault="005A52B1" w:rsidP="008C12B4">
            <w:pPr>
              <w:jc w:val="both"/>
              <w:rPr>
                <w:bCs/>
                <w:sz w:val="20"/>
                <w:szCs w:val="20"/>
              </w:rPr>
            </w:pPr>
          </w:p>
        </w:tc>
        <w:tc>
          <w:tcPr>
            <w:tcW w:w="2545" w:type="dxa"/>
            <w:gridSpan w:val="2"/>
          </w:tcPr>
          <w:p w14:paraId="20F1C2F3" w14:textId="77777777" w:rsidR="005A52B1" w:rsidRPr="00154588" w:rsidRDefault="005A52B1" w:rsidP="008C12B4">
            <w:pPr>
              <w:jc w:val="both"/>
              <w:rPr>
                <w:bCs/>
                <w:sz w:val="20"/>
                <w:szCs w:val="20"/>
              </w:rPr>
            </w:pPr>
          </w:p>
        </w:tc>
        <w:tc>
          <w:tcPr>
            <w:tcW w:w="3162" w:type="dxa"/>
            <w:gridSpan w:val="2"/>
          </w:tcPr>
          <w:p w14:paraId="75D0A9BC" w14:textId="77777777" w:rsidR="005A52B1" w:rsidRPr="00154588" w:rsidRDefault="005A52B1" w:rsidP="008C12B4">
            <w:pPr>
              <w:jc w:val="both"/>
              <w:rPr>
                <w:bCs/>
                <w:sz w:val="20"/>
                <w:szCs w:val="20"/>
              </w:rPr>
            </w:pPr>
          </w:p>
        </w:tc>
      </w:tr>
      <w:tr w:rsidR="005A52B1" w:rsidRPr="00154588" w14:paraId="749EFC97" w14:textId="77777777" w:rsidTr="007F5746">
        <w:tc>
          <w:tcPr>
            <w:tcW w:w="4929" w:type="dxa"/>
          </w:tcPr>
          <w:p w14:paraId="36A77652" w14:textId="77777777" w:rsidR="005A52B1" w:rsidRPr="00154588" w:rsidRDefault="005A52B1" w:rsidP="008C12B4">
            <w:pPr>
              <w:jc w:val="both"/>
              <w:rPr>
                <w:b/>
                <w:sz w:val="20"/>
                <w:szCs w:val="20"/>
              </w:rPr>
            </w:pPr>
            <w:r w:rsidRPr="00154588">
              <w:rPr>
                <w:b/>
                <w:sz w:val="20"/>
                <w:szCs w:val="20"/>
              </w:rPr>
              <w:t>Articolul 132</w:t>
            </w:r>
          </w:p>
          <w:p w14:paraId="5172EAC6" w14:textId="77777777" w:rsidR="005A52B1" w:rsidRPr="00154588" w:rsidRDefault="005A52B1" w:rsidP="008C12B4">
            <w:pPr>
              <w:jc w:val="both"/>
              <w:rPr>
                <w:b/>
                <w:sz w:val="20"/>
                <w:szCs w:val="20"/>
              </w:rPr>
            </w:pPr>
          </w:p>
          <w:p w14:paraId="40A5969B" w14:textId="77777777" w:rsidR="005A52B1" w:rsidRPr="00154588" w:rsidRDefault="005A52B1" w:rsidP="008C12B4">
            <w:pPr>
              <w:jc w:val="both"/>
              <w:rPr>
                <w:bCs/>
                <w:sz w:val="20"/>
                <w:szCs w:val="20"/>
              </w:rPr>
            </w:pPr>
            <w:r w:rsidRPr="00154588">
              <w:rPr>
                <w:b/>
                <w:sz w:val="20"/>
                <w:szCs w:val="20"/>
              </w:rPr>
              <w:t>Destinatari</w:t>
            </w:r>
          </w:p>
        </w:tc>
        <w:tc>
          <w:tcPr>
            <w:tcW w:w="4810" w:type="dxa"/>
          </w:tcPr>
          <w:p w14:paraId="2B8F88A2" w14:textId="77777777" w:rsidR="005A52B1" w:rsidRPr="00154588" w:rsidRDefault="005A52B1" w:rsidP="008C12B4">
            <w:pPr>
              <w:jc w:val="both"/>
              <w:rPr>
                <w:bCs/>
                <w:sz w:val="20"/>
                <w:szCs w:val="20"/>
              </w:rPr>
            </w:pPr>
          </w:p>
        </w:tc>
        <w:tc>
          <w:tcPr>
            <w:tcW w:w="2545" w:type="dxa"/>
            <w:gridSpan w:val="2"/>
          </w:tcPr>
          <w:p w14:paraId="3C797DE7" w14:textId="77777777" w:rsidR="005A52B1" w:rsidRPr="00154588" w:rsidRDefault="005A52B1" w:rsidP="008C12B4">
            <w:pPr>
              <w:jc w:val="both"/>
              <w:rPr>
                <w:bCs/>
                <w:sz w:val="20"/>
                <w:szCs w:val="20"/>
              </w:rPr>
            </w:pPr>
          </w:p>
        </w:tc>
        <w:tc>
          <w:tcPr>
            <w:tcW w:w="3162" w:type="dxa"/>
            <w:gridSpan w:val="2"/>
          </w:tcPr>
          <w:p w14:paraId="1BDFD299" w14:textId="77777777" w:rsidR="005A52B1" w:rsidRPr="00154588" w:rsidRDefault="005A52B1" w:rsidP="008C12B4">
            <w:pPr>
              <w:jc w:val="both"/>
              <w:rPr>
                <w:bCs/>
                <w:sz w:val="20"/>
                <w:szCs w:val="20"/>
              </w:rPr>
            </w:pPr>
          </w:p>
        </w:tc>
      </w:tr>
      <w:tr w:rsidR="005A52B1" w:rsidRPr="00154588" w14:paraId="49C5BE00" w14:textId="77777777" w:rsidTr="007F5746">
        <w:tc>
          <w:tcPr>
            <w:tcW w:w="4929" w:type="dxa"/>
          </w:tcPr>
          <w:p w14:paraId="124D11DD" w14:textId="77777777" w:rsidR="005A52B1" w:rsidRPr="00154588" w:rsidRDefault="005A52B1" w:rsidP="008C12B4">
            <w:pPr>
              <w:jc w:val="both"/>
              <w:rPr>
                <w:bCs/>
                <w:sz w:val="20"/>
                <w:szCs w:val="20"/>
              </w:rPr>
            </w:pPr>
            <w:r w:rsidRPr="00154588">
              <w:rPr>
                <w:bCs/>
                <w:sz w:val="20"/>
                <w:szCs w:val="20"/>
              </w:rPr>
              <w:t>Prezenta directivă se adresează statelor membre.</w:t>
            </w:r>
          </w:p>
        </w:tc>
        <w:tc>
          <w:tcPr>
            <w:tcW w:w="4810" w:type="dxa"/>
          </w:tcPr>
          <w:p w14:paraId="31B2F911" w14:textId="77777777" w:rsidR="005A52B1" w:rsidRPr="00154588" w:rsidRDefault="005A52B1" w:rsidP="008C12B4">
            <w:pPr>
              <w:jc w:val="both"/>
              <w:rPr>
                <w:bCs/>
                <w:sz w:val="20"/>
                <w:szCs w:val="20"/>
              </w:rPr>
            </w:pPr>
          </w:p>
        </w:tc>
        <w:tc>
          <w:tcPr>
            <w:tcW w:w="2545" w:type="dxa"/>
            <w:gridSpan w:val="2"/>
          </w:tcPr>
          <w:p w14:paraId="3A09DA57" w14:textId="77777777" w:rsidR="005A52B1" w:rsidRPr="00154588" w:rsidRDefault="005A52B1" w:rsidP="008C12B4">
            <w:pPr>
              <w:jc w:val="both"/>
              <w:rPr>
                <w:bCs/>
                <w:sz w:val="20"/>
                <w:szCs w:val="20"/>
              </w:rPr>
            </w:pPr>
          </w:p>
        </w:tc>
        <w:tc>
          <w:tcPr>
            <w:tcW w:w="3162" w:type="dxa"/>
            <w:gridSpan w:val="2"/>
          </w:tcPr>
          <w:p w14:paraId="270A1B4A" w14:textId="77777777" w:rsidR="005A52B1" w:rsidRPr="00154588" w:rsidRDefault="005A52B1" w:rsidP="008C12B4">
            <w:pPr>
              <w:jc w:val="both"/>
              <w:rPr>
                <w:bCs/>
                <w:sz w:val="20"/>
                <w:szCs w:val="20"/>
              </w:rPr>
            </w:pPr>
          </w:p>
        </w:tc>
      </w:tr>
      <w:tr w:rsidR="005A52B1" w:rsidRPr="00154588" w14:paraId="29C85AD0" w14:textId="77777777" w:rsidTr="007F5746">
        <w:tc>
          <w:tcPr>
            <w:tcW w:w="4929" w:type="dxa"/>
          </w:tcPr>
          <w:p w14:paraId="4216D0DB" w14:textId="77777777" w:rsidR="005A52B1" w:rsidRPr="00154588" w:rsidRDefault="005A52B1" w:rsidP="008C12B4">
            <w:pPr>
              <w:jc w:val="both"/>
              <w:rPr>
                <w:b/>
                <w:sz w:val="20"/>
                <w:szCs w:val="20"/>
              </w:rPr>
            </w:pPr>
            <w:r w:rsidRPr="00154588">
              <w:rPr>
                <w:b/>
                <w:sz w:val="20"/>
                <w:szCs w:val="20"/>
              </w:rPr>
              <w:t>ANEXĂ</w:t>
            </w:r>
          </w:p>
        </w:tc>
        <w:tc>
          <w:tcPr>
            <w:tcW w:w="4810" w:type="dxa"/>
          </w:tcPr>
          <w:p w14:paraId="005726A6" w14:textId="77777777" w:rsidR="005A52B1" w:rsidRPr="00154588" w:rsidRDefault="005A52B1" w:rsidP="008C12B4">
            <w:pPr>
              <w:jc w:val="both"/>
              <w:rPr>
                <w:b/>
                <w:sz w:val="20"/>
                <w:szCs w:val="20"/>
              </w:rPr>
            </w:pPr>
            <w:r w:rsidRPr="00154588">
              <w:rPr>
                <w:b/>
                <w:sz w:val="20"/>
                <w:szCs w:val="20"/>
              </w:rPr>
              <w:t>ANEXĂ</w:t>
            </w:r>
          </w:p>
        </w:tc>
        <w:tc>
          <w:tcPr>
            <w:tcW w:w="2545" w:type="dxa"/>
            <w:gridSpan w:val="2"/>
          </w:tcPr>
          <w:p w14:paraId="2A724D8D" w14:textId="77777777" w:rsidR="005A52B1" w:rsidRPr="00154588" w:rsidRDefault="005A52B1" w:rsidP="008C12B4">
            <w:pPr>
              <w:jc w:val="both"/>
              <w:rPr>
                <w:bCs/>
                <w:sz w:val="20"/>
                <w:szCs w:val="20"/>
              </w:rPr>
            </w:pPr>
          </w:p>
        </w:tc>
        <w:tc>
          <w:tcPr>
            <w:tcW w:w="3162" w:type="dxa"/>
            <w:gridSpan w:val="2"/>
          </w:tcPr>
          <w:p w14:paraId="7E15EA3E" w14:textId="77777777" w:rsidR="005A52B1" w:rsidRPr="00154588" w:rsidRDefault="005A52B1" w:rsidP="008C12B4">
            <w:pPr>
              <w:jc w:val="both"/>
              <w:rPr>
                <w:bCs/>
                <w:sz w:val="20"/>
                <w:szCs w:val="20"/>
              </w:rPr>
            </w:pPr>
          </w:p>
        </w:tc>
      </w:tr>
      <w:tr w:rsidR="005A52B1" w:rsidRPr="00154588" w14:paraId="31BF4AAC" w14:textId="77777777" w:rsidTr="007F5746">
        <w:tc>
          <w:tcPr>
            <w:tcW w:w="4929" w:type="dxa"/>
          </w:tcPr>
          <w:p w14:paraId="0650B502" w14:textId="77777777" w:rsidR="005A52B1" w:rsidRPr="00154588" w:rsidRDefault="005A52B1" w:rsidP="008C12B4">
            <w:pPr>
              <w:jc w:val="both"/>
              <w:rPr>
                <w:b/>
                <w:sz w:val="20"/>
                <w:szCs w:val="20"/>
              </w:rPr>
            </w:pPr>
            <w:r w:rsidRPr="00154588">
              <w:rPr>
                <w:b/>
                <w:sz w:val="20"/>
                <w:szCs w:val="20"/>
              </w:rPr>
              <w:t xml:space="preserve">SECȚIUNEA A </w:t>
            </w:r>
          </w:p>
          <w:p w14:paraId="613CC03A" w14:textId="77777777" w:rsidR="005A52B1" w:rsidRPr="00154588" w:rsidRDefault="005A52B1" w:rsidP="008C12B4">
            <w:pPr>
              <w:jc w:val="both"/>
              <w:rPr>
                <w:b/>
                <w:sz w:val="20"/>
                <w:szCs w:val="20"/>
              </w:rPr>
            </w:pPr>
          </w:p>
          <w:p w14:paraId="72A75B3E" w14:textId="77777777" w:rsidR="005A52B1" w:rsidRPr="00154588" w:rsidRDefault="005A52B1" w:rsidP="008C12B4">
            <w:pPr>
              <w:jc w:val="both"/>
              <w:rPr>
                <w:b/>
                <w:sz w:val="20"/>
                <w:szCs w:val="20"/>
              </w:rPr>
            </w:pPr>
            <w:r w:rsidRPr="00154588">
              <w:rPr>
                <w:b/>
                <w:sz w:val="20"/>
                <w:szCs w:val="20"/>
              </w:rPr>
              <w:t>Informații care trebuie incluse în planurile de redresare</w:t>
            </w:r>
          </w:p>
        </w:tc>
        <w:tc>
          <w:tcPr>
            <w:tcW w:w="4810" w:type="dxa"/>
          </w:tcPr>
          <w:p w14:paraId="19644220" w14:textId="77777777" w:rsidR="005A52B1" w:rsidRPr="00154588" w:rsidRDefault="005A52B1" w:rsidP="008C12B4">
            <w:pPr>
              <w:jc w:val="both"/>
              <w:rPr>
                <w:b/>
                <w:sz w:val="20"/>
                <w:szCs w:val="20"/>
              </w:rPr>
            </w:pPr>
            <w:r w:rsidRPr="00154588">
              <w:rPr>
                <w:b/>
                <w:sz w:val="20"/>
                <w:szCs w:val="20"/>
              </w:rPr>
              <w:lastRenderedPageBreak/>
              <w:t xml:space="preserve">SECȚIUNEA A </w:t>
            </w:r>
          </w:p>
          <w:p w14:paraId="36498EFB" w14:textId="77777777" w:rsidR="005A52B1" w:rsidRPr="00154588" w:rsidRDefault="005A52B1" w:rsidP="008C12B4">
            <w:pPr>
              <w:jc w:val="both"/>
              <w:rPr>
                <w:b/>
                <w:sz w:val="20"/>
                <w:szCs w:val="20"/>
              </w:rPr>
            </w:pPr>
          </w:p>
          <w:p w14:paraId="3EFF065B" w14:textId="77777777" w:rsidR="005A52B1" w:rsidRPr="00154588" w:rsidRDefault="005A52B1" w:rsidP="008C12B4">
            <w:pPr>
              <w:jc w:val="both"/>
              <w:rPr>
                <w:bCs/>
                <w:sz w:val="20"/>
                <w:szCs w:val="20"/>
              </w:rPr>
            </w:pPr>
            <w:r w:rsidRPr="00154588">
              <w:rPr>
                <w:bCs/>
                <w:sz w:val="20"/>
                <w:szCs w:val="20"/>
              </w:rPr>
              <w:t>Informaţii care trebuie incluse de bancă în planul de redresare:</w:t>
            </w:r>
          </w:p>
        </w:tc>
        <w:tc>
          <w:tcPr>
            <w:tcW w:w="2545" w:type="dxa"/>
            <w:gridSpan w:val="2"/>
          </w:tcPr>
          <w:p w14:paraId="58A39C5C" w14:textId="77777777" w:rsidR="005A52B1" w:rsidRPr="00154588" w:rsidRDefault="005A52B1" w:rsidP="008C12B4">
            <w:pPr>
              <w:jc w:val="both"/>
              <w:rPr>
                <w:bCs/>
                <w:sz w:val="20"/>
                <w:szCs w:val="20"/>
              </w:rPr>
            </w:pPr>
          </w:p>
        </w:tc>
        <w:tc>
          <w:tcPr>
            <w:tcW w:w="3162" w:type="dxa"/>
            <w:gridSpan w:val="2"/>
          </w:tcPr>
          <w:p w14:paraId="17B26452" w14:textId="77777777" w:rsidR="005A52B1" w:rsidRPr="00154588" w:rsidRDefault="005A52B1" w:rsidP="008C12B4">
            <w:pPr>
              <w:jc w:val="both"/>
              <w:rPr>
                <w:bCs/>
                <w:sz w:val="20"/>
                <w:szCs w:val="20"/>
              </w:rPr>
            </w:pPr>
          </w:p>
        </w:tc>
      </w:tr>
      <w:tr w:rsidR="005A52B1" w:rsidRPr="00154588" w14:paraId="66F74635" w14:textId="77777777" w:rsidTr="007F5746">
        <w:tc>
          <w:tcPr>
            <w:tcW w:w="4929" w:type="dxa"/>
          </w:tcPr>
          <w:p w14:paraId="12A07AC2" w14:textId="77777777" w:rsidR="005A52B1" w:rsidRPr="00154588" w:rsidRDefault="005A52B1" w:rsidP="008C12B4">
            <w:pPr>
              <w:jc w:val="both"/>
              <w:rPr>
                <w:bCs/>
                <w:sz w:val="20"/>
                <w:szCs w:val="20"/>
              </w:rPr>
            </w:pPr>
            <w:r w:rsidRPr="00154588">
              <w:rPr>
                <w:bCs/>
                <w:sz w:val="20"/>
                <w:szCs w:val="20"/>
              </w:rPr>
              <w:t>Planul de redresare include cel puțin următoarele informații:</w:t>
            </w:r>
          </w:p>
          <w:p w14:paraId="319228E3" w14:textId="77777777" w:rsidR="005A52B1" w:rsidRPr="00154588" w:rsidRDefault="005A52B1" w:rsidP="008C12B4">
            <w:pPr>
              <w:jc w:val="both"/>
              <w:rPr>
                <w:bCs/>
                <w:sz w:val="20"/>
                <w:szCs w:val="20"/>
              </w:rPr>
            </w:pPr>
          </w:p>
          <w:p w14:paraId="4F376016" w14:textId="77777777" w:rsidR="005A52B1" w:rsidRPr="00154588" w:rsidRDefault="005A52B1" w:rsidP="008C12B4">
            <w:pPr>
              <w:jc w:val="both"/>
              <w:rPr>
                <w:bCs/>
                <w:sz w:val="20"/>
                <w:szCs w:val="20"/>
              </w:rPr>
            </w:pPr>
            <w:r w:rsidRPr="00154588">
              <w:rPr>
                <w:bCs/>
                <w:sz w:val="20"/>
                <w:szCs w:val="20"/>
              </w:rPr>
              <w:t>1. un rezumat al elementelor-cheie ale planului și un rezumat al capacității generale de redresare;</w:t>
            </w:r>
          </w:p>
          <w:p w14:paraId="1A6DFABF" w14:textId="77777777" w:rsidR="005A52B1" w:rsidRPr="00154588" w:rsidRDefault="005A52B1" w:rsidP="008C12B4">
            <w:pPr>
              <w:jc w:val="both"/>
              <w:rPr>
                <w:bCs/>
                <w:sz w:val="20"/>
                <w:szCs w:val="20"/>
              </w:rPr>
            </w:pPr>
          </w:p>
          <w:p w14:paraId="08392132" w14:textId="77777777" w:rsidR="005A52B1" w:rsidRPr="00154588" w:rsidRDefault="005A52B1" w:rsidP="008C12B4">
            <w:pPr>
              <w:jc w:val="both"/>
              <w:rPr>
                <w:bCs/>
                <w:sz w:val="20"/>
                <w:szCs w:val="20"/>
              </w:rPr>
            </w:pPr>
            <w:r w:rsidRPr="00154588">
              <w:rPr>
                <w:bCs/>
                <w:sz w:val="20"/>
                <w:szCs w:val="20"/>
              </w:rPr>
              <w:t>2. un rezumat al modificărilor semnificative ale instituției survenite de la cel mai recent plan de redresare depus;</w:t>
            </w:r>
          </w:p>
          <w:p w14:paraId="12BB2A4C" w14:textId="77777777" w:rsidR="005A52B1" w:rsidRPr="00154588" w:rsidRDefault="005A52B1" w:rsidP="008C12B4">
            <w:pPr>
              <w:jc w:val="both"/>
              <w:rPr>
                <w:bCs/>
                <w:sz w:val="20"/>
                <w:szCs w:val="20"/>
              </w:rPr>
            </w:pPr>
          </w:p>
          <w:p w14:paraId="315262C1" w14:textId="77777777" w:rsidR="005A52B1" w:rsidRPr="00154588" w:rsidRDefault="005A52B1" w:rsidP="008C12B4">
            <w:pPr>
              <w:jc w:val="both"/>
              <w:rPr>
                <w:bCs/>
                <w:sz w:val="20"/>
                <w:szCs w:val="20"/>
              </w:rPr>
            </w:pPr>
            <w:r w:rsidRPr="00154588">
              <w:rPr>
                <w:bCs/>
                <w:sz w:val="20"/>
                <w:szCs w:val="20"/>
              </w:rPr>
              <w:t>3. un plan de comunicare și informare care să expună modul în care întreprinderea intenționează să gestioneze eventualele reacții negative de pe piață;</w:t>
            </w:r>
          </w:p>
          <w:p w14:paraId="40A341FB" w14:textId="77777777" w:rsidR="005A52B1" w:rsidRPr="00154588" w:rsidRDefault="005A52B1" w:rsidP="008C12B4">
            <w:pPr>
              <w:jc w:val="both"/>
              <w:rPr>
                <w:bCs/>
                <w:sz w:val="20"/>
                <w:szCs w:val="20"/>
              </w:rPr>
            </w:pPr>
          </w:p>
          <w:p w14:paraId="5227190B" w14:textId="77777777" w:rsidR="005A52B1" w:rsidRPr="00154588" w:rsidRDefault="005A52B1" w:rsidP="008C12B4">
            <w:pPr>
              <w:jc w:val="both"/>
              <w:rPr>
                <w:bCs/>
                <w:sz w:val="20"/>
                <w:szCs w:val="20"/>
              </w:rPr>
            </w:pPr>
            <w:r w:rsidRPr="00154588">
              <w:rPr>
                <w:bCs/>
                <w:sz w:val="20"/>
                <w:szCs w:val="20"/>
              </w:rPr>
              <w:t>4. gama de acțiuni privind capitalul și lichiditățile necesare pentru a menține sau a restabili viabilitatea și poziția financiară a instituției;</w:t>
            </w:r>
          </w:p>
          <w:p w14:paraId="40F89330" w14:textId="77777777" w:rsidR="005A52B1" w:rsidRPr="00154588" w:rsidRDefault="005A52B1" w:rsidP="008C12B4">
            <w:pPr>
              <w:jc w:val="both"/>
              <w:rPr>
                <w:bCs/>
                <w:sz w:val="20"/>
                <w:szCs w:val="20"/>
              </w:rPr>
            </w:pPr>
          </w:p>
          <w:p w14:paraId="1B336A43" w14:textId="77777777" w:rsidR="005A52B1" w:rsidRPr="00154588" w:rsidRDefault="005A52B1" w:rsidP="008C12B4">
            <w:pPr>
              <w:jc w:val="both"/>
              <w:rPr>
                <w:bCs/>
                <w:sz w:val="20"/>
                <w:szCs w:val="20"/>
              </w:rPr>
            </w:pPr>
            <w:r w:rsidRPr="00154588">
              <w:rPr>
                <w:bCs/>
                <w:sz w:val="20"/>
                <w:szCs w:val="20"/>
              </w:rPr>
              <w:t>5. o estimare a calendarului punerii în aplicare a fiecărui aspect important al planului;</w:t>
            </w:r>
          </w:p>
          <w:p w14:paraId="1E804D4E" w14:textId="77777777" w:rsidR="005A52B1" w:rsidRPr="00154588" w:rsidRDefault="005A52B1" w:rsidP="008C12B4">
            <w:pPr>
              <w:jc w:val="both"/>
              <w:rPr>
                <w:bCs/>
                <w:sz w:val="20"/>
                <w:szCs w:val="20"/>
              </w:rPr>
            </w:pPr>
          </w:p>
          <w:p w14:paraId="3B226F52" w14:textId="77777777" w:rsidR="005A52B1" w:rsidRPr="00154588" w:rsidRDefault="005A52B1" w:rsidP="008C12B4">
            <w:pPr>
              <w:jc w:val="both"/>
              <w:rPr>
                <w:bCs/>
                <w:sz w:val="20"/>
                <w:szCs w:val="20"/>
              </w:rPr>
            </w:pPr>
            <w:r w:rsidRPr="00154588">
              <w:rPr>
                <w:bCs/>
                <w:sz w:val="20"/>
                <w:szCs w:val="20"/>
              </w:rPr>
              <w:t>6. o descriere detaliată a oricăror obstacole semnificative în calea realizării efective și la timp a planului, inclusiv considerații privind impactul asupra restului grupului, clienților și partenerilor contractuali;</w:t>
            </w:r>
          </w:p>
          <w:p w14:paraId="3315694B" w14:textId="77777777" w:rsidR="005A52B1" w:rsidRPr="00154588" w:rsidRDefault="005A52B1" w:rsidP="008C12B4">
            <w:pPr>
              <w:jc w:val="both"/>
              <w:rPr>
                <w:bCs/>
                <w:sz w:val="20"/>
                <w:szCs w:val="20"/>
              </w:rPr>
            </w:pPr>
          </w:p>
          <w:p w14:paraId="5775272E" w14:textId="77777777" w:rsidR="005A52B1" w:rsidRPr="00154588" w:rsidRDefault="005A52B1" w:rsidP="008C12B4">
            <w:pPr>
              <w:jc w:val="both"/>
              <w:rPr>
                <w:bCs/>
                <w:sz w:val="20"/>
                <w:szCs w:val="20"/>
              </w:rPr>
            </w:pPr>
            <w:r w:rsidRPr="00154588">
              <w:rPr>
                <w:bCs/>
                <w:sz w:val="20"/>
                <w:szCs w:val="20"/>
              </w:rPr>
              <w:t>7. identificarea funcțiilor critice;</w:t>
            </w:r>
          </w:p>
          <w:p w14:paraId="446CEDBF" w14:textId="77777777" w:rsidR="005A52B1" w:rsidRPr="00154588" w:rsidRDefault="005A52B1" w:rsidP="008C12B4">
            <w:pPr>
              <w:jc w:val="both"/>
              <w:rPr>
                <w:bCs/>
                <w:sz w:val="20"/>
                <w:szCs w:val="20"/>
              </w:rPr>
            </w:pPr>
          </w:p>
          <w:p w14:paraId="21E990A8" w14:textId="77777777" w:rsidR="005A52B1" w:rsidRPr="00154588" w:rsidRDefault="005A52B1" w:rsidP="008C12B4">
            <w:pPr>
              <w:jc w:val="both"/>
              <w:rPr>
                <w:bCs/>
                <w:sz w:val="20"/>
                <w:szCs w:val="20"/>
              </w:rPr>
            </w:pPr>
            <w:r w:rsidRPr="00154588">
              <w:rPr>
                <w:bCs/>
                <w:sz w:val="20"/>
                <w:szCs w:val="20"/>
              </w:rPr>
              <w:t>8. o descriere detaliată a proceselor pentru determinarea valorii și a tranzacționabilității liniilor de activitate de bază, a operațiunilor și activelor instituției;</w:t>
            </w:r>
          </w:p>
          <w:p w14:paraId="185F2F76" w14:textId="77777777" w:rsidR="005A52B1" w:rsidRPr="00154588" w:rsidRDefault="005A52B1" w:rsidP="008C12B4">
            <w:pPr>
              <w:jc w:val="both"/>
              <w:rPr>
                <w:bCs/>
                <w:sz w:val="20"/>
                <w:szCs w:val="20"/>
              </w:rPr>
            </w:pPr>
          </w:p>
          <w:p w14:paraId="16AC7EB6" w14:textId="77777777" w:rsidR="005A52B1" w:rsidRPr="00154588" w:rsidRDefault="005A52B1" w:rsidP="008C12B4">
            <w:pPr>
              <w:jc w:val="both"/>
              <w:rPr>
                <w:bCs/>
                <w:sz w:val="20"/>
                <w:szCs w:val="20"/>
              </w:rPr>
            </w:pPr>
            <w:r w:rsidRPr="00154588">
              <w:rPr>
                <w:bCs/>
                <w:sz w:val="20"/>
                <w:szCs w:val="20"/>
              </w:rPr>
              <w:t>9. o descriere detaliată a modului în care planificarea redresării este integrată în structura guvernanței corporative a instituției, precum și a politicilor și procedurilor care guvernează aprobarea planului de redresare și identificarea persoanelor din organizație care sunt responsabile cu pregătirea și punerea în aplicare a planului;</w:t>
            </w:r>
          </w:p>
          <w:p w14:paraId="7285D279" w14:textId="77777777" w:rsidR="005A52B1" w:rsidRPr="00154588" w:rsidRDefault="005A52B1" w:rsidP="008C12B4">
            <w:pPr>
              <w:jc w:val="both"/>
              <w:rPr>
                <w:bCs/>
                <w:sz w:val="20"/>
                <w:szCs w:val="20"/>
              </w:rPr>
            </w:pPr>
          </w:p>
          <w:p w14:paraId="12E85B4E" w14:textId="77777777" w:rsidR="005A52B1" w:rsidRPr="00154588" w:rsidRDefault="005A52B1" w:rsidP="008C12B4">
            <w:pPr>
              <w:jc w:val="both"/>
              <w:rPr>
                <w:bCs/>
                <w:sz w:val="20"/>
                <w:szCs w:val="20"/>
              </w:rPr>
            </w:pPr>
            <w:r w:rsidRPr="00154588">
              <w:rPr>
                <w:bCs/>
                <w:sz w:val="20"/>
                <w:szCs w:val="20"/>
              </w:rPr>
              <w:lastRenderedPageBreak/>
              <w:t>10. mecanismele și măsurile pentru conservarea sau reconstituirea fondurilor proprii ale instituției;</w:t>
            </w:r>
          </w:p>
          <w:p w14:paraId="77036FD0" w14:textId="77777777" w:rsidR="005A52B1" w:rsidRPr="00154588" w:rsidRDefault="005A52B1" w:rsidP="008C12B4">
            <w:pPr>
              <w:jc w:val="both"/>
              <w:rPr>
                <w:bCs/>
                <w:sz w:val="20"/>
                <w:szCs w:val="20"/>
              </w:rPr>
            </w:pPr>
          </w:p>
          <w:p w14:paraId="59E56C68" w14:textId="77777777" w:rsidR="005A52B1" w:rsidRPr="00154588" w:rsidRDefault="005A52B1" w:rsidP="008C12B4">
            <w:pPr>
              <w:jc w:val="both"/>
              <w:rPr>
                <w:bCs/>
                <w:sz w:val="20"/>
                <w:szCs w:val="20"/>
              </w:rPr>
            </w:pPr>
            <w:r w:rsidRPr="00154588">
              <w:rPr>
                <w:bCs/>
                <w:sz w:val="20"/>
                <w:szCs w:val="20"/>
              </w:rPr>
              <w:t>11. mecanismele și măsurile pentru a garanta că instituția are acces la surse adecvate de finanțare de urgență, inclusiv la potențiale surse de lichidități, o evaluare a garanțiilor disponibile și o evaluare a posibilității de a transfera lichidități între entitățile și între liniile de activitate din grup, pentru a garanta că acesta își poate continua activitatea și își poate îndeplini în continuare obligațiile în momentul în care devin exigibile;</w:t>
            </w:r>
          </w:p>
          <w:p w14:paraId="517CB6B5" w14:textId="77777777" w:rsidR="005A52B1" w:rsidRPr="00154588" w:rsidRDefault="005A52B1" w:rsidP="008C12B4">
            <w:pPr>
              <w:jc w:val="both"/>
              <w:rPr>
                <w:bCs/>
                <w:sz w:val="20"/>
                <w:szCs w:val="20"/>
              </w:rPr>
            </w:pPr>
          </w:p>
          <w:p w14:paraId="387A314B" w14:textId="77777777" w:rsidR="005A52B1" w:rsidRPr="00154588" w:rsidRDefault="005A52B1" w:rsidP="008C12B4">
            <w:pPr>
              <w:jc w:val="both"/>
              <w:rPr>
                <w:bCs/>
                <w:sz w:val="20"/>
                <w:szCs w:val="20"/>
              </w:rPr>
            </w:pPr>
            <w:r w:rsidRPr="00154588">
              <w:rPr>
                <w:bCs/>
                <w:sz w:val="20"/>
                <w:szCs w:val="20"/>
              </w:rPr>
              <w:t>12. mecanismele și măsurile pentru a reduce riscul și efectul de levier;</w:t>
            </w:r>
          </w:p>
          <w:p w14:paraId="42C1E788" w14:textId="77777777" w:rsidR="005A52B1" w:rsidRPr="00154588" w:rsidRDefault="005A52B1" w:rsidP="008C12B4">
            <w:pPr>
              <w:jc w:val="both"/>
              <w:rPr>
                <w:bCs/>
                <w:sz w:val="20"/>
                <w:szCs w:val="20"/>
              </w:rPr>
            </w:pPr>
          </w:p>
          <w:p w14:paraId="23DC2BB8" w14:textId="77777777" w:rsidR="005A52B1" w:rsidRPr="00154588" w:rsidRDefault="005A52B1" w:rsidP="008C12B4">
            <w:pPr>
              <w:jc w:val="both"/>
              <w:rPr>
                <w:bCs/>
                <w:sz w:val="20"/>
                <w:szCs w:val="20"/>
              </w:rPr>
            </w:pPr>
            <w:r w:rsidRPr="00154588">
              <w:rPr>
                <w:bCs/>
                <w:sz w:val="20"/>
                <w:szCs w:val="20"/>
              </w:rPr>
              <w:t>13. mecanismele și măsurile de restructurare a pasivelor;</w:t>
            </w:r>
          </w:p>
          <w:p w14:paraId="5085E71E" w14:textId="77777777" w:rsidR="005A52B1" w:rsidRPr="00154588" w:rsidRDefault="005A52B1" w:rsidP="008C12B4">
            <w:pPr>
              <w:jc w:val="both"/>
              <w:rPr>
                <w:bCs/>
                <w:sz w:val="20"/>
                <w:szCs w:val="20"/>
              </w:rPr>
            </w:pPr>
          </w:p>
          <w:p w14:paraId="3C00495C" w14:textId="77777777" w:rsidR="005A52B1" w:rsidRPr="00154588" w:rsidRDefault="005A52B1" w:rsidP="008C12B4">
            <w:pPr>
              <w:jc w:val="both"/>
              <w:rPr>
                <w:bCs/>
                <w:sz w:val="20"/>
                <w:szCs w:val="20"/>
              </w:rPr>
            </w:pPr>
            <w:r w:rsidRPr="00154588">
              <w:rPr>
                <w:bCs/>
                <w:sz w:val="20"/>
                <w:szCs w:val="20"/>
              </w:rPr>
              <w:t>14. mecanismele și măsurile de restructurare a liniilor de activitate;</w:t>
            </w:r>
          </w:p>
          <w:p w14:paraId="720B11A1" w14:textId="77777777" w:rsidR="005A52B1" w:rsidRPr="00154588" w:rsidRDefault="005A52B1" w:rsidP="008C12B4">
            <w:pPr>
              <w:jc w:val="both"/>
              <w:rPr>
                <w:bCs/>
                <w:sz w:val="20"/>
                <w:szCs w:val="20"/>
              </w:rPr>
            </w:pPr>
          </w:p>
          <w:p w14:paraId="2DB04B12" w14:textId="77777777" w:rsidR="005A52B1" w:rsidRPr="00154588" w:rsidRDefault="005A52B1" w:rsidP="008C12B4">
            <w:pPr>
              <w:jc w:val="both"/>
              <w:rPr>
                <w:bCs/>
                <w:sz w:val="20"/>
                <w:szCs w:val="20"/>
              </w:rPr>
            </w:pPr>
            <w:r w:rsidRPr="00154588">
              <w:rPr>
                <w:bCs/>
                <w:sz w:val="20"/>
                <w:szCs w:val="20"/>
              </w:rPr>
              <w:t>15. mecanismele și măsurile necesare pentru a menține accesul continuu la infrastructurile piețelor financiare;</w:t>
            </w:r>
          </w:p>
          <w:p w14:paraId="5F3CB57F" w14:textId="77777777" w:rsidR="005A52B1" w:rsidRPr="00154588" w:rsidRDefault="005A52B1" w:rsidP="008C12B4">
            <w:pPr>
              <w:jc w:val="both"/>
              <w:rPr>
                <w:bCs/>
                <w:sz w:val="20"/>
                <w:szCs w:val="20"/>
              </w:rPr>
            </w:pPr>
          </w:p>
          <w:p w14:paraId="370BBFAD" w14:textId="77777777" w:rsidR="005A52B1" w:rsidRPr="00154588" w:rsidRDefault="005A52B1" w:rsidP="008C12B4">
            <w:pPr>
              <w:jc w:val="both"/>
              <w:rPr>
                <w:bCs/>
                <w:sz w:val="20"/>
                <w:szCs w:val="20"/>
              </w:rPr>
            </w:pPr>
            <w:r w:rsidRPr="00154588">
              <w:rPr>
                <w:bCs/>
                <w:sz w:val="20"/>
                <w:szCs w:val="20"/>
              </w:rPr>
              <w:t>16. aranjamentele și măsurile necesare pentru a menține funcționarea continuă a proceselor operaționale ale instituției, inclusiv infrastructura și serviciile IT;</w:t>
            </w:r>
          </w:p>
          <w:p w14:paraId="58C510F6" w14:textId="77777777" w:rsidR="005A52B1" w:rsidRPr="00154588" w:rsidRDefault="005A52B1" w:rsidP="008C12B4">
            <w:pPr>
              <w:jc w:val="both"/>
              <w:rPr>
                <w:bCs/>
                <w:sz w:val="20"/>
                <w:szCs w:val="20"/>
              </w:rPr>
            </w:pPr>
          </w:p>
          <w:p w14:paraId="1B28814A" w14:textId="77777777" w:rsidR="005A52B1" w:rsidRPr="00154588" w:rsidRDefault="005A52B1" w:rsidP="008C12B4">
            <w:pPr>
              <w:jc w:val="both"/>
              <w:rPr>
                <w:bCs/>
                <w:sz w:val="20"/>
                <w:szCs w:val="20"/>
              </w:rPr>
            </w:pPr>
            <w:r w:rsidRPr="00154588">
              <w:rPr>
                <w:bCs/>
                <w:sz w:val="20"/>
                <w:szCs w:val="20"/>
              </w:rPr>
              <w:t>17. mecanismele pregătitoare menite să faciliteze vânzarea activelor sau a liniilor de activitate într-un interval de timp adecvat pentru a restabili soliditatea financiară;</w:t>
            </w:r>
          </w:p>
          <w:p w14:paraId="7BF4B824" w14:textId="77777777" w:rsidR="005A52B1" w:rsidRPr="00154588" w:rsidRDefault="005A52B1" w:rsidP="008C12B4">
            <w:pPr>
              <w:jc w:val="both"/>
              <w:rPr>
                <w:bCs/>
                <w:sz w:val="20"/>
                <w:szCs w:val="20"/>
              </w:rPr>
            </w:pPr>
          </w:p>
          <w:p w14:paraId="7649291F" w14:textId="77777777" w:rsidR="005A52B1" w:rsidRPr="00154588" w:rsidRDefault="005A52B1" w:rsidP="008C12B4">
            <w:pPr>
              <w:jc w:val="both"/>
              <w:rPr>
                <w:bCs/>
                <w:sz w:val="20"/>
                <w:szCs w:val="20"/>
              </w:rPr>
            </w:pPr>
            <w:r w:rsidRPr="00154588">
              <w:rPr>
                <w:bCs/>
                <w:sz w:val="20"/>
                <w:szCs w:val="20"/>
              </w:rPr>
              <w:t>18. alte acțiuni sau strategii de gestionare menite să restabilească soliditatea financiară și efectul financiar anticipat al acestor acțiuni sau strategii;</w:t>
            </w:r>
          </w:p>
          <w:p w14:paraId="6FBB87C4" w14:textId="77777777" w:rsidR="005A52B1" w:rsidRPr="00154588" w:rsidRDefault="005A52B1" w:rsidP="008C12B4">
            <w:pPr>
              <w:jc w:val="both"/>
              <w:rPr>
                <w:bCs/>
                <w:sz w:val="20"/>
                <w:szCs w:val="20"/>
              </w:rPr>
            </w:pPr>
          </w:p>
          <w:p w14:paraId="08544DA3" w14:textId="77777777" w:rsidR="005A52B1" w:rsidRPr="00154588" w:rsidRDefault="005A52B1" w:rsidP="008C12B4">
            <w:pPr>
              <w:jc w:val="both"/>
              <w:rPr>
                <w:bCs/>
                <w:sz w:val="20"/>
                <w:szCs w:val="20"/>
              </w:rPr>
            </w:pPr>
            <w:r w:rsidRPr="00154588">
              <w:rPr>
                <w:bCs/>
                <w:sz w:val="20"/>
                <w:szCs w:val="20"/>
              </w:rPr>
              <w:t>19. măsurile pregătitoare pe care le-a luat sau intenționează să le ia instituția pentru a facilita punerea în aplicare a planului de redresare, inclusiv măsurile necesare pentru a permite recapitalizarea în timp util a instituției;</w:t>
            </w:r>
          </w:p>
          <w:p w14:paraId="25331B31" w14:textId="77777777" w:rsidR="005A52B1" w:rsidRPr="00154588" w:rsidRDefault="005A52B1" w:rsidP="008C12B4">
            <w:pPr>
              <w:jc w:val="both"/>
              <w:rPr>
                <w:bCs/>
                <w:sz w:val="20"/>
                <w:szCs w:val="20"/>
              </w:rPr>
            </w:pPr>
          </w:p>
          <w:p w14:paraId="34A6EA63" w14:textId="77777777" w:rsidR="005A52B1" w:rsidRPr="00154588" w:rsidRDefault="005A52B1" w:rsidP="008C12B4">
            <w:pPr>
              <w:jc w:val="both"/>
              <w:rPr>
                <w:bCs/>
                <w:sz w:val="20"/>
                <w:szCs w:val="20"/>
              </w:rPr>
            </w:pPr>
            <w:r w:rsidRPr="00154588">
              <w:rPr>
                <w:bCs/>
                <w:sz w:val="20"/>
                <w:szCs w:val="20"/>
              </w:rPr>
              <w:t>20. un cadru de indicatori care identifică situațiile în care pot fi luate măsurile adecvate menționate în plan.</w:t>
            </w:r>
          </w:p>
        </w:tc>
        <w:tc>
          <w:tcPr>
            <w:tcW w:w="4810" w:type="dxa"/>
          </w:tcPr>
          <w:p w14:paraId="027AABAA" w14:textId="77777777" w:rsidR="005A52B1" w:rsidRPr="00154588" w:rsidRDefault="005A52B1" w:rsidP="008C12B4">
            <w:pPr>
              <w:jc w:val="both"/>
              <w:rPr>
                <w:bCs/>
                <w:sz w:val="20"/>
                <w:szCs w:val="20"/>
              </w:rPr>
            </w:pPr>
            <w:r w:rsidRPr="00154588">
              <w:rPr>
                <w:bCs/>
                <w:sz w:val="20"/>
                <w:szCs w:val="20"/>
              </w:rPr>
              <w:lastRenderedPageBreak/>
              <w:t>Informaţii care trebuie incluse de bancă în planul de redresare:</w:t>
            </w:r>
          </w:p>
          <w:p w14:paraId="3718481D" w14:textId="77777777" w:rsidR="005A52B1" w:rsidRPr="00154588" w:rsidRDefault="005A52B1" w:rsidP="008C12B4">
            <w:pPr>
              <w:jc w:val="both"/>
              <w:rPr>
                <w:bCs/>
                <w:sz w:val="20"/>
                <w:szCs w:val="20"/>
              </w:rPr>
            </w:pPr>
            <w:r w:rsidRPr="00154588">
              <w:rPr>
                <w:bCs/>
                <w:sz w:val="20"/>
                <w:szCs w:val="20"/>
              </w:rPr>
              <w:t>a) rezumatul celor mai importante elemente ale planului şi o prezentare a capacităţii generale de redresare a băncii;</w:t>
            </w:r>
          </w:p>
          <w:p w14:paraId="39935296" w14:textId="77777777" w:rsidR="005A52B1" w:rsidRPr="00154588" w:rsidRDefault="005A52B1" w:rsidP="008C12B4">
            <w:pPr>
              <w:jc w:val="both"/>
              <w:rPr>
                <w:bCs/>
                <w:sz w:val="20"/>
                <w:szCs w:val="20"/>
              </w:rPr>
            </w:pPr>
          </w:p>
          <w:p w14:paraId="63D40AFF" w14:textId="77777777" w:rsidR="005A52B1" w:rsidRPr="00154588" w:rsidRDefault="005A52B1" w:rsidP="008C12B4">
            <w:pPr>
              <w:jc w:val="both"/>
              <w:rPr>
                <w:bCs/>
                <w:sz w:val="20"/>
                <w:szCs w:val="20"/>
              </w:rPr>
            </w:pPr>
            <w:r w:rsidRPr="00154588">
              <w:rPr>
                <w:bCs/>
                <w:sz w:val="20"/>
                <w:szCs w:val="20"/>
              </w:rPr>
              <w:t>b) rezumatul modificărilor semnificative în situaţia băncii survenite de la ultimul plan de redresare depus;</w:t>
            </w:r>
          </w:p>
          <w:p w14:paraId="58B6D5EA" w14:textId="77777777" w:rsidR="005A52B1" w:rsidRPr="00154588" w:rsidRDefault="005A52B1" w:rsidP="008C12B4">
            <w:pPr>
              <w:jc w:val="both"/>
              <w:rPr>
                <w:bCs/>
                <w:sz w:val="20"/>
                <w:szCs w:val="20"/>
              </w:rPr>
            </w:pPr>
          </w:p>
          <w:p w14:paraId="793966D1" w14:textId="77777777" w:rsidR="005A52B1" w:rsidRPr="00154588" w:rsidRDefault="005A52B1" w:rsidP="008C12B4">
            <w:pPr>
              <w:jc w:val="both"/>
              <w:rPr>
                <w:bCs/>
                <w:sz w:val="20"/>
                <w:szCs w:val="20"/>
              </w:rPr>
            </w:pPr>
            <w:r w:rsidRPr="00154588">
              <w:rPr>
                <w:bCs/>
                <w:sz w:val="20"/>
                <w:szCs w:val="20"/>
              </w:rPr>
              <w:t>c) planul de comunicare şi informare care să prezinte modul în care banca intenţionează să gestioneze eventualele reacţii negative ale pieţei;</w:t>
            </w:r>
          </w:p>
          <w:p w14:paraId="2A2A66F3" w14:textId="77777777" w:rsidR="005A52B1" w:rsidRPr="00154588" w:rsidRDefault="005A52B1" w:rsidP="008C12B4">
            <w:pPr>
              <w:jc w:val="both"/>
              <w:rPr>
                <w:bCs/>
                <w:sz w:val="20"/>
                <w:szCs w:val="20"/>
              </w:rPr>
            </w:pPr>
          </w:p>
          <w:p w14:paraId="37BC380B" w14:textId="77777777" w:rsidR="005A52B1" w:rsidRPr="00154588" w:rsidRDefault="005A52B1" w:rsidP="008C12B4">
            <w:pPr>
              <w:jc w:val="both"/>
              <w:rPr>
                <w:bCs/>
                <w:sz w:val="20"/>
                <w:szCs w:val="20"/>
              </w:rPr>
            </w:pPr>
            <w:r w:rsidRPr="00154588">
              <w:rPr>
                <w:bCs/>
                <w:sz w:val="20"/>
                <w:szCs w:val="20"/>
              </w:rPr>
              <w:t>d) gama de acţiuni cu privire la capital şi lichidităţi, necesar a fi întreprinse pentru a menţine sau a restabili viabilitatea şi poziţia financiară a instituției;</w:t>
            </w:r>
          </w:p>
          <w:p w14:paraId="4ABEC793" w14:textId="77777777" w:rsidR="005A52B1" w:rsidRPr="00154588" w:rsidRDefault="005A52B1" w:rsidP="008C12B4">
            <w:pPr>
              <w:jc w:val="both"/>
              <w:rPr>
                <w:bCs/>
                <w:sz w:val="20"/>
                <w:szCs w:val="20"/>
              </w:rPr>
            </w:pPr>
          </w:p>
          <w:p w14:paraId="13FB3A7B" w14:textId="77777777" w:rsidR="005A52B1" w:rsidRPr="00154588" w:rsidRDefault="005A52B1" w:rsidP="008C12B4">
            <w:pPr>
              <w:jc w:val="both"/>
              <w:rPr>
                <w:bCs/>
                <w:sz w:val="20"/>
                <w:szCs w:val="20"/>
              </w:rPr>
            </w:pPr>
            <w:r w:rsidRPr="00154588">
              <w:rPr>
                <w:bCs/>
                <w:sz w:val="20"/>
                <w:szCs w:val="20"/>
              </w:rPr>
              <w:t>e) estimarea calendarului punerii în aplicare a fiecărui aspect important al planului;</w:t>
            </w:r>
          </w:p>
          <w:p w14:paraId="27FF3FA0" w14:textId="77777777" w:rsidR="005A52B1" w:rsidRPr="00154588" w:rsidRDefault="005A52B1" w:rsidP="008C12B4">
            <w:pPr>
              <w:jc w:val="both"/>
              <w:rPr>
                <w:bCs/>
                <w:sz w:val="20"/>
                <w:szCs w:val="20"/>
              </w:rPr>
            </w:pPr>
          </w:p>
          <w:p w14:paraId="0638A6C9" w14:textId="77777777" w:rsidR="005A52B1" w:rsidRPr="00154588" w:rsidRDefault="005A52B1" w:rsidP="008C12B4">
            <w:pPr>
              <w:jc w:val="both"/>
              <w:rPr>
                <w:bCs/>
                <w:sz w:val="20"/>
                <w:szCs w:val="20"/>
              </w:rPr>
            </w:pPr>
            <w:r w:rsidRPr="00154588">
              <w:rPr>
                <w:bCs/>
                <w:sz w:val="20"/>
                <w:szCs w:val="20"/>
              </w:rPr>
              <w:t>f) descrierea detaliată a oricăror obstacole semnificative în calea realizării efective şi la timp a planului, inclusiv consideraţiile privind impactul asupra restului grupului, clienţilor şi partenerilor contractuali;</w:t>
            </w:r>
          </w:p>
          <w:p w14:paraId="46630F56" w14:textId="77777777" w:rsidR="005A52B1" w:rsidRPr="00154588" w:rsidRDefault="005A52B1" w:rsidP="008C12B4">
            <w:pPr>
              <w:jc w:val="both"/>
              <w:rPr>
                <w:bCs/>
                <w:sz w:val="20"/>
                <w:szCs w:val="20"/>
              </w:rPr>
            </w:pPr>
          </w:p>
          <w:p w14:paraId="6150376C" w14:textId="77777777" w:rsidR="005A52B1" w:rsidRPr="00154588" w:rsidRDefault="005A52B1" w:rsidP="008C12B4">
            <w:pPr>
              <w:jc w:val="both"/>
              <w:rPr>
                <w:bCs/>
                <w:sz w:val="20"/>
                <w:szCs w:val="20"/>
              </w:rPr>
            </w:pPr>
            <w:r w:rsidRPr="00154588">
              <w:rPr>
                <w:bCs/>
                <w:sz w:val="20"/>
                <w:szCs w:val="20"/>
              </w:rPr>
              <w:t>g) identificarea funcţiilor critice;</w:t>
            </w:r>
          </w:p>
          <w:p w14:paraId="5D6B1AA0" w14:textId="77777777" w:rsidR="005A52B1" w:rsidRPr="00154588" w:rsidRDefault="005A52B1" w:rsidP="008C12B4">
            <w:pPr>
              <w:jc w:val="both"/>
              <w:rPr>
                <w:bCs/>
                <w:sz w:val="20"/>
                <w:szCs w:val="20"/>
              </w:rPr>
            </w:pPr>
          </w:p>
          <w:p w14:paraId="70E957A5" w14:textId="77777777" w:rsidR="005A52B1" w:rsidRPr="00154588" w:rsidRDefault="005A52B1" w:rsidP="008C12B4">
            <w:pPr>
              <w:jc w:val="both"/>
              <w:rPr>
                <w:bCs/>
                <w:sz w:val="20"/>
                <w:szCs w:val="20"/>
              </w:rPr>
            </w:pPr>
            <w:r w:rsidRPr="00154588">
              <w:rPr>
                <w:bCs/>
                <w:sz w:val="20"/>
                <w:szCs w:val="20"/>
              </w:rPr>
              <w:t>h) descrierea detaliată a proceselor utilizate pentru determinarea valorii şi a tranzacţionabilităţii liniilor de activitate de bază, a operaţiunilor şi activelor instituției;</w:t>
            </w:r>
          </w:p>
          <w:p w14:paraId="42D447E2" w14:textId="77777777" w:rsidR="005A52B1" w:rsidRPr="00154588" w:rsidRDefault="005A52B1" w:rsidP="008C12B4">
            <w:pPr>
              <w:jc w:val="both"/>
              <w:rPr>
                <w:bCs/>
                <w:sz w:val="20"/>
                <w:szCs w:val="20"/>
              </w:rPr>
            </w:pPr>
          </w:p>
          <w:p w14:paraId="64D67527" w14:textId="77777777" w:rsidR="005A52B1" w:rsidRPr="00154588" w:rsidRDefault="005A52B1" w:rsidP="008C12B4">
            <w:pPr>
              <w:jc w:val="both"/>
              <w:rPr>
                <w:bCs/>
                <w:sz w:val="20"/>
                <w:szCs w:val="20"/>
              </w:rPr>
            </w:pPr>
            <w:r w:rsidRPr="00154588">
              <w:rPr>
                <w:bCs/>
                <w:sz w:val="20"/>
                <w:szCs w:val="20"/>
              </w:rPr>
              <w:t>i) descrierea detaliată a modului în care planificarea redresării este integrată în cadrul de administrare a instituției, precum şi a politicilor şi procedurilor de aprobare a planului de redresare şi identificarea persoanelor din organizaţie care sînt responsabile cu pregătirea şi punerea în aplicare a planului;</w:t>
            </w:r>
          </w:p>
          <w:p w14:paraId="12594106" w14:textId="77777777" w:rsidR="005A52B1" w:rsidRPr="00154588" w:rsidRDefault="005A52B1" w:rsidP="008C12B4">
            <w:pPr>
              <w:jc w:val="both"/>
              <w:rPr>
                <w:bCs/>
                <w:sz w:val="20"/>
                <w:szCs w:val="20"/>
              </w:rPr>
            </w:pPr>
          </w:p>
          <w:p w14:paraId="05202D38" w14:textId="77777777" w:rsidR="005A52B1" w:rsidRPr="00154588" w:rsidRDefault="005A52B1" w:rsidP="008C12B4">
            <w:pPr>
              <w:jc w:val="both"/>
              <w:rPr>
                <w:bCs/>
                <w:sz w:val="20"/>
                <w:szCs w:val="20"/>
              </w:rPr>
            </w:pPr>
            <w:r w:rsidRPr="00154588">
              <w:rPr>
                <w:bCs/>
                <w:sz w:val="20"/>
                <w:szCs w:val="20"/>
              </w:rPr>
              <w:lastRenderedPageBreak/>
              <w:t>j) mecanismele şi măsurile pentru conservarea sau reconstituirea fondurilor proprii ale instituției;</w:t>
            </w:r>
          </w:p>
          <w:p w14:paraId="3E736D00" w14:textId="77777777" w:rsidR="005A52B1" w:rsidRPr="00154588" w:rsidRDefault="005A52B1" w:rsidP="008C12B4">
            <w:pPr>
              <w:jc w:val="both"/>
              <w:rPr>
                <w:bCs/>
                <w:sz w:val="20"/>
                <w:szCs w:val="20"/>
              </w:rPr>
            </w:pPr>
          </w:p>
          <w:p w14:paraId="6D29608E" w14:textId="77777777" w:rsidR="005A52B1" w:rsidRPr="00154588" w:rsidRDefault="005A52B1" w:rsidP="008C12B4">
            <w:pPr>
              <w:jc w:val="both"/>
              <w:rPr>
                <w:bCs/>
                <w:sz w:val="20"/>
                <w:szCs w:val="20"/>
              </w:rPr>
            </w:pPr>
            <w:r w:rsidRPr="00154588">
              <w:rPr>
                <w:bCs/>
                <w:sz w:val="20"/>
                <w:szCs w:val="20"/>
              </w:rPr>
              <w:t>k) mecanismele şi măsurile pentru a garanta că instituția are acces la surse adecvate de finanţare de urgenţă, inclusiv la potenţiale surse de lichidităţi, evaluarea garanţiilor disponibile şi evaluarea posibilităţii de a transfera lichidităţi între entităţile și între liniile de activitate din grup, pentru a garanta că aceasta îşi poate continua activitatea şi îşi poate îndeplini în continuare obligaţiile în momentul în care devin exigibile;</w:t>
            </w:r>
          </w:p>
          <w:p w14:paraId="676A1355" w14:textId="77777777" w:rsidR="005A52B1" w:rsidRPr="00154588" w:rsidRDefault="005A52B1" w:rsidP="008C12B4">
            <w:pPr>
              <w:jc w:val="both"/>
              <w:rPr>
                <w:bCs/>
                <w:sz w:val="20"/>
                <w:szCs w:val="20"/>
              </w:rPr>
            </w:pPr>
          </w:p>
          <w:p w14:paraId="6B748582" w14:textId="77777777" w:rsidR="005A52B1" w:rsidRPr="00154588" w:rsidRDefault="005A52B1" w:rsidP="008C12B4">
            <w:pPr>
              <w:jc w:val="both"/>
              <w:rPr>
                <w:bCs/>
                <w:sz w:val="20"/>
                <w:szCs w:val="20"/>
              </w:rPr>
            </w:pPr>
            <w:r w:rsidRPr="00154588">
              <w:rPr>
                <w:bCs/>
                <w:sz w:val="20"/>
                <w:szCs w:val="20"/>
              </w:rPr>
              <w:t>l) mecanismele şi măsurile pentru a reduce riscul şi efectul de levier;</w:t>
            </w:r>
          </w:p>
          <w:p w14:paraId="7032C010" w14:textId="77777777" w:rsidR="005A52B1" w:rsidRPr="00154588" w:rsidRDefault="005A52B1" w:rsidP="008C12B4">
            <w:pPr>
              <w:jc w:val="both"/>
              <w:rPr>
                <w:bCs/>
                <w:sz w:val="20"/>
                <w:szCs w:val="20"/>
              </w:rPr>
            </w:pPr>
          </w:p>
          <w:p w14:paraId="65FF1F1F" w14:textId="77777777" w:rsidR="005A52B1" w:rsidRPr="00154588" w:rsidRDefault="005A52B1" w:rsidP="008C12B4">
            <w:pPr>
              <w:jc w:val="both"/>
              <w:rPr>
                <w:bCs/>
                <w:sz w:val="20"/>
                <w:szCs w:val="20"/>
              </w:rPr>
            </w:pPr>
            <w:r w:rsidRPr="00154588">
              <w:rPr>
                <w:bCs/>
                <w:sz w:val="20"/>
                <w:szCs w:val="20"/>
              </w:rPr>
              <w:t>m) mecanismele şi măsurile de restructurare a datoriilor;</w:t>
            </w:r>
          </w:p>
          <w:p w14:paraId="0759C51A" w14:textId="77777777" w:rsidR="005A52B1" w:rsidRPr="00154588" w:rsidRDefault="005A52B1" w:rsidP="008C12B4">
            <w:pPr>
              <w:jc w:val="both"/>
              <w:rPr>
                <w:bCs/>
                <w:sz w:val="20"/>
                <w:szCs w:val="20"/>
              </w:rPr>
            </w:pPr>
          </w:p>
          <w:p w14:paraId="19EB2BF2" w14:textId="77777777" w:rsidR="005A52B1" w:rsidRPr="00154588" w:rsidRDefault="005A52B1" w:rsidP="008C12B4">
            <w:pPr>
              <w:jc w:val="both"/>
              <w:rPr>
                <w:bCs/>
                <w:sz w:val="20"/>
                <w:szCs w:val="20"/>
              </w:rPr>
            </w:pPr>
            <w:r w:rsidRPr="00154588">
              <w:rPr>
                <w:bCs/>
                <w:sz w:val="20"/>
                <w:szCs w:val="20"/>
              </w:rPr>
              <w:t>n) mecanismele şi măsurile de restructurare a liniilor de activitate;</w:t>
            </w:r>
          </w:p>
          <w:p w14:paraId="6E01B0E9" w14:textId="77777777" w:rsidR="005A52B1" w:rsidRPr="00154588" w:rsidRDefault="005A52B1" w:rsidP="008C12B4">
            <w:pPr>
              <w:jc w:val="both"/>
              <w:rPr>
                <w:bCs/>
                <w:sz w:val="20"/>
                <w:szCs w:val="20"/>
              </w:rPr>
            </w:pPr>
          </w:p>
          <w:p w14:paraId="51ECDE38" w14:textId="77777777" w:rsidR="005A52B1" w:rsidRPr="00154588" w:rsidRDefault="005A52B1" w:rsidP="008C12B4">
            <w:pPr>
              <w:jc w:val="both"/>
              <w:rPr>
                <w:bCs/>
                <w:sz w:val="20"/>
                <w:szCs w:val="20"/>
              </w:rPr>
            </w:pPr>
            <w:r w:rsidRPr="00154588">
              <w:rPr>
                <w:bCs/>
                <w:sz w:val="20"/>
                <w:szCs w:val="20"/>
              </w:rPr>
              <w:t>o) mecanismele şi măsurile necesare pentru a menţine accesul continuu la infrastructurile pieţelor financiare;</w:t>
            </w:r>
          </w:p>
          <w:p w14:paraId="0715E2B0" w14:textId="77777777" w:rsidR="005A52B1" w:rsidRPr="00154588" w:rsidRDefault="005A52B1" w:rsidP="008C12B4">
            <w:pPr>
              <w:jc w:val="both"/>
              <w:rPr>
                <w:bCs/>
                <w:sz w:val="20"/>
                <w:szCs w:val="20"/>
              </w:rPr>
            </w:pPr>
          </w:p>
          <w:p w14:paraId="6DA63355" w14:textId="77777777" w:rsidR="005A52B1" w:rsidRPr="00154588" w:rsidRDefault="005A52B1" w:rsidP="008C12B4">
            <w:pPr>
              <w:jc w:val="both"/>
              <w:rPr>
                <w:bCs/>
                <w:sz w:val="20"/>
                <w:szCs w:val="20"/>
              </w:rPr>
            </w:pPr>
            <w:r w:rsidRPr="00154588">
              <w:rPr>
                <w:bCs/>
                <w:sz w:val="20"/>
                <w:szCs w:val="20"/>
              </w:rPr>
              <w:t>p) aranjamentele şi măsurile necesare pentru a menţine funcţionarea continuă a proceselor operaţionale ale instituției, inclusiv infrastructura şi serviciile IT;</w:t>
            </w:r>
          </w:p>
          <w:p w14:paraId="1C0C22F7" w14:textId="77777777" w:rsidR="005A52B1" w:rsidRPr="00154588" w:rsidRDefault="005A52B1" w:rsidP="008C12B4">
            <w:pPr>
              <w:jc w:val="both"/>
              <w:rPr>
                <w:bCs/>
                <w:sz w:val="20"/>
                <w:szCs w:val="20"/>
              </w:rPr>
            </w:pPr>
          </w:p>
          <w:p w14:paraId="18A6248A" w14:textId="77777777" w:rsidR="005A52B1" w:rsidRPr="00154588" w:rsidRDefault="005A52B1" w:rsidP="008C12B4">
            <w:pPr>
              <w:jc w:val="both"/>
              <w:rPr>
                <w:bCs/>
                <w:sz w:val="20"/>
                <w:szCs w:val="20"/>
              </w:rPr>
            </w:pPr>
            <w:r w:rsidRPr="00154588">
              <w:rPr>
                <w:bCs/>
                <w:sz w:val="20"/>
                <w:szCs w:val="20"/>
              </w:rPr>
              <w:t>q) mecanismele pregătitoare menite să faciliteze vînzarea activelor sau a liniilor de activitate într-un interval de timp adecvat pentru a restabili soliditatea financiară;</w:t>
            </w:r>
          </w:p>
          <w:p w14:paraId="38D48E8F" w14:textId="77777777" w:rsidR="005A52B1" w:rsidRPr="00154588" w:rsidRDefault="005A52B1" w:rsidP="008C12B4">
            <w:pPr>
              <w:jc w:val="both"/>
              <w:rPr>
                <w:bCs/>
                <w:sz w:val="20"/>
                <w:szCs w:val="20"/>
              </w:rPr>
            </w:pPr>
          </w:p>
          <w:p w14:paraId="4D6DE847" w14:textId="77777777" w:rsidR="005A52B1" w:rsidRPr="00154588" w:rsidRDefault="005A52B1" w:rsidP="008C12B4">
            <w:pPr>
              <w:jc w:val="both"/>
              <w:rPr>
                <w:bCs/>
                <w:sz w:val="20"/>
                <w:szCs w:val="20"/>
              </w:rPr>
            </w:pPr>
            <w:r w:rsidRPr="00154588">
              <w:rPr>
                <w:bCs/>
                <w:sz w:val="20"/>
                <w:szCs w:val="20"/>
              </w:rPr>
              <w:t>r) alte acţiuni sau strategii de gestionare menite să restabilească soliditatea financiară şi efectul financiar anticipat al acestor acţiuni sau strategii;</w:t>
            </w:r>
          </w:p>
          <w:p w14:paraId="0C74CDF4" w14:textId="77777777" w:rsidR="005A52B1" w:rsidRPr="00154588" w:rsidRDefault="005A52B1" w:rsidP="008C12B4">
            <w:pPr>
              <w:jc w:val="both"/>
              <w:rPr>
                <w:bCs/>
                <w:sz w:val="20"/>
                <w:szCs w:val="20"/>
              </w:rPr>
            </w:pPr>
          </w:p>
          <w:p w14:paraId="780DBB2A" w14:textId="77777777" w:rsidR="005A52B1" w:rsidRPr="00154588" w:rsidRDefault="005A52B1" w:rsidP="008C12B4">
            <w:pPr>
              <w:jc w:val="both"/>
              <w:rPr>
                <w:bCs/>
                <w:sz w:val="20"/>
                <w:szCs w:val="20"/>
              </w:rPr>
            </w:pPr>
            <w:r w:rsidRPr="00154588">
              <w:rPr>
                <w:bCs/>
                <w:sz w:val="20"/>
                <w:szCs w:val="20"/>
              </w:rPr>
              <w:t>s) măsurile pregătitoare pe care le-a luat sau intenţionează să le ia instituția pentru a facilita punerea în aplicare a planului de redresare, inclusiv măsurile necesare pentru a permite recapitalizarea în timp util a acesteia;</w:t>
            </w:r>
          </w:p>
          <w:p w14:paraId="41D23CEF" w14:textId="77777777" w:rsidR="005A52B1" w:rsidRPr="00154588" w:rsidRDefault="005A52B1" w:rsidP="008C12B4">
            <w:pPr>
              <w:jc w:val="both"/>
              <w:rPr>
                <w:bCs/>
                <w:sz w:val="20"/>
                <w:szCs w:val="20"/>
              </w:rPr>
            </w:pPr>
          </w:p>
          <w:p w14:paraId="39786E46" w14:textId="77777777" w:rsidR="005A52B1" w:rsidRPr="00154588" w:rsidRDefault="005A52B1" w:rsidP="008C12B4">
            <w:pPr>
              <w:jc w:val="both"/>
              <w:rPr>
                <w:bCs/>
                <w:sz w:val="20"/>
                <w:szCs w:val="20"/>
              </w:rPr>
            </w:pPr>
            <w:r w:rsidRPr="00154588">
              <w:rPr>
                <w:bCs/>
                <w:sz w:val="20"/>
                <w:szCs w:val="20"/>
              </w:rPr>
              <w:t>t) un cadru de indicatori care identifică situaţiile în care pot fi luate măsurile adecvate prevăzute în plan.</w:t>
            </w:r>
          </w:p>
        </w:tc>
        <w:tc>
          <w:tcPr>
            <w:tcW w:w="2545" w:type="dxa"/>
            <w:gridSpan w:val="2"/>
          </w:tcPr>
          <w:p w14:paraId="5C2B37EA" w14:textId="77777777" w:rsidR="005A52B1" w:rsidRPr="00154588" w:rsidRDefault="005A52B1" w:rsidP="008C12B4">
            <w:pPr>
              <w:jc w:val="both"/>
              <w:rPr>
                <w:bCs/>
                <w:sz w:val="20"/>
                <w:szCs w:val="20"/>
              </w:rPr>
            </w:pPr>
            <w:r w:rsidRPr="00154588">
              <w:rPr>
                <w:bCs/>
                <w:sz w:val="20"/>
                <w:szCs w:val="20"/>
              </w:rPr>
              <w:lastRenderedPageBreak/>
              <w:t>Compatibil</w:t>
            </w:r>
          </w:p>
        </w:tc>
        <w:tc>
          <w:tcPr>
            <w:tcW w:w="3162" w:type="dxa"/>
            <w:gridSpan w:val="2"/>
          </w:tcPr>
          <w:p w14:paraId="010CE69A" w14:textId="77777777" w:rsidR="005A52B1" w:rsidRPr="00154588" w:rsidRDefault="005A52B1" w:rsidP="008C12B4">
            <w:pPr>
              <w:jc w:val="both"/>
              <w:rPr>
                <w:bCs/>
                <w:sz w:val="20"/>
                <w:szCs w:val="20"/>
              </w:rPr>
            </w:pPr>
          </w:p>
        </w:tc>
      </w:tr>
      <w:tr w:rsidR="005A52B1" w:rsidRPr="00154588" w14:paraId="4F8CCA73" w14:textId="77777777" w:rsidTr="007F5746">
        <w:tc>
          <w:tcPr>
            <w:tcW w:w="4929" w:type="dxa"/>
          </w:tcPr>
          <w:p w14:paraId="374D5C29" w14:textId="77777777" w:rsidR="005A52B1" w:rsidRPr="00154588" w:rsidRDefault="005A52B1" w:rsidP="008C12B4">
            <w:pPr>
              <w:jc w:val="both"/>
              <w:rPr>
                <w:b/>
                <w:sz w:val="20"/>
                <w:szCs w:val="20"/>
              </w:rPr>
            </w:pPr>
            <w:r w:rsidRPr="00154588">
              <w:rPr>
                <w:b/>
                <w:sz w:val="20"/>
                <w:szCs w:val="20"/>
              </w:rPr>
              <w:lastRenderedPageBreak/>
              <w:t>SECȚIUNEA B</w:t>
            </w:r>
          </w:p>
          <w:p w14:paraId="2DD56E55" w14:textId="77777777" w:rsidR="005A52B1" w:rsidRPr="00154588" w:rsidRDefault="005A52B1" w:rsidP="008C12B4">
            <w:pPr>
              <w:jc w:val="both"/>
              <w:rPr>
                <w:b/>
                <w:sz w:val="20"/>
                <w:szCs w:val="20"/>
              </w:rPr>
            </w:pPr>
          </w:p>
          <w:p w14:paraId="6FF679C2" w14:textId="77777777" w:rsidR="005A52B1" w:rsidRPr="00154588" w:rsidRDefault="005A52B1" w:rsidP="008C12B4">
            <w:pPr>
              <w:jc w:val="both"/>
              <w:rPr>
                <w:bCs/>
                <w:sz w:val="20"/>
                <w:szCs w:val="20"/>
              </w:rPr>
            </w:pPr>
            <w:r w:rsidRPr="00154588">
              <w:rPr>
                <w:b/>
                <w:sz w:val="20"/>
                <w:szCs w:val="20"/>
              </w:rPr>
              <w:t>Informații pe care autoritățile de rezoluție le pot solicita instituțiilor în scopul elaborării și actualizării planurilor de rezoluție</w:t>
            </w:r>
          </w:p>
        </w:tc>
        <w:tc>
          <w:tcPr>
            <w:tcW w:w="4810" w:type="dxa"/>
          </w:tcPr>
          <w:p w14:paraId="5DAA013C" w14:textId="77777777" w:rsidR="005A52B1" w:rsidRPr="00154588" w:rsidRDefault="005A52B1" w:rsidP="008C12B4">
            <w:pPr>
              <w:jc w:val="both"/>
              <w:rPr>
                <w:b/>
                <w:sz w:val="20"/>
                <w:szCs w:val="20"/>
              </w:rPr>
            </w:pPr>
            <w:r w:rsidRPr="00154588">
              <w:rPr>
                <w:b/>
                <w:sz w:val="20"/>
                <w:szCs w:val="20"/>
              </w:rPr>
              <w:t>SECȚIUNEA B</w:t>
            </w:r>
          </w:p>
        </w:tc>
        <w:tc>
          <w:tcPr>
            <w:tcW w:w="2545" w:type="dxa"/>
            <w:gridSpan w:val="2"/>
          </w:tcPr>
          <w:p w14:paraId="5DFE3B14" w14:textId="77777777" w:rsidR="005A52B1" w:rsidRPr="00154588" w:rsidRDefault="005A52B1" w:rsidP="008C12B4">
            <w:pPr>
              <w:jc w:val="both"/>
              <w:rPr>
                <w:bCs/>
                <w:sz w:val="20"/>
                <w:szCs w:val="20"/>
              </w:rPr>
            </w:pPr>
          </w:p>
        </w:tc>
        <w:tc>
          <w:tcPr>
            <w:tcW w:w="3162" w:type="dxa"/>
            <w:gridSpan w:val="2"/>
          </w:tcPr>
          <w:p w14:paraId="7D2D57C3" w14:textId="77777777" w:rsidR="005A52B1" w:rsidRPr="00154588" w:rsidRDefault="005A52B1" w:rsidP="008C12B4">
            <w:pPr>
              <w:jc w:val="both"/>
              <w:rPr>
                <w:bCs/>
                <w:sz w:val="20"/>
                <w:szCs w:val="20"/>
              </w:rPr>
            </w:pPr>
          </w:p>
        </w:tc>
      </w:tr>
      <w:tr w:rsidR="005A52B1" w:rsidRPr="00154588" w14:paraId="53CC50D4" w14:textId="77777777" w:rsidTr="007F5746">
        <w:tc>
          <w:tcPr>
            <w:tcW w:w="4929" w:type="dxa"/>
          </w:tcPr>
          <w:p w14:paraId="673F8C4B" w14:textId="77777777" w:rsidR="005A52B1" w:rsidRPr="00154588" w:rsidRDefault="005A52B1" w:rsidP="008C12B4">
            <w:pPr>
              <w:jc w:val="both"/>
              <w:rPr>
                <w:bCs/>
                <w:sz w:val="20"/>
                <w:szCs w:val="20"/>
              </w:rPr>
            </w:pPr>
            <w:r w:rsidRPr="00154588">
              <w:rPr>
                <w:bCs/>
                <w:sz w:val="20"/>
                <w:szCs w:val="20"/>
              </w:rPr>
              <w:t>Autoritățile de rezoluție le pot solicita instituțiilor să transmită, în scopul elaborării și actualizării planurilor de rezoluție, cel puțin următoarele informații:</w:t>
            </w:r>
          </w:p>
          <w:p w14:paraId="0BF61661" w14:textId="77777777" w:rsidR="005A52B1" w:rsidRPr="00154588" w:rsidRDefault="005A52B1" w:rsidP="008C12B4">
            <w:pPr>
              <w:jc w:val="both"/>
              <w:rPr>
                <w:bCs/>
                <w:sz w:val="20"/>
                <w:szCs w:val="20"/>
              </w:rPr>
            </w:pPr>
          </w:p>
          <w:p w14:paraId="7AC547C0" w14:textId="77777777" w:rsidR="005A52B1" w:rsidRPr="00154588" w:rsidRDefault="005A52B1" w:rsidP="008C12B4">
            <w:pPr>
              <w:jc w:val="both"/>
              <w:rPr>
                <w:bCs/>
                <w:sz w:val="20"/>
                <w:szCs w:val="20"/>
              </w:rPr>
            </w:pPr>
          </w:p>
          <w:p w14:paraId="7D5E79A5" w14:textId="77777777" w:rsidR="005A52B1" w:rsidRPr="00154588" w:rsidRDefault="005A52B1" w:rsidP="008C12B4">
            <w:pPr>
              <w:jc w:val="both"/>
              <w:rPr>
                <w:bCs/>
                <w:sz w:val="20"/>
                <w:szCs w:val="20"/>
              </w:rPr>
            </w:pPr>
            <w:r w:rsidRPr="00154588">
              <w:rPr>
                <w:bCs/>
                <w:sz w:val="20"/>
                <w:szCs w:val="20"/>
              </w:rPr>
              <w:t>1. o descriere detaliată a structurii organizatorice a instituției, inclusiv o listă a tuturor persoanelor juridice;</w:t>
            </w:r>
          </w:p>
          <w:p w14:paraId="2C6DBA89" w14:textId="77777777" w:rsidR="005A52B1" w:rsidRPr="00154588" w:rsidRDefault="005A52B1" w:rsidP="008C12B4">
            <w:pPr>
              <w:jc w:val="both"/>
              <w:rPr>
                <w:bCs/>
                <w:sz w:val="20"/>
                <w:szCs w:val="20"/>
              </w:rPr>
            </w:pPr>
          </w:p>
          <w:p w14:paraId="0899DC89" w14:textId="77777777" w:rsidR="005A52B1" w:rsidRPr="00154588" w:rsidRDefault="005A52B1" w:rsidP="008C12B4">
            <w:pPr>
              <w:jc w:val="both"/>
              <w:rPr>
                <w:bCs/>
                <w:sz w:val="20"/>
                <w:szCs w:val="20"/>
              </w:rPr>
            </w:pPr>
            <w:r w:rsidRPr="00154588">
              <w:rPr>
                <w:bCs/>
                <w:sz w:val="20"/>
                <w:szCs w:val="20"/>
              </w:rPr>
              <w:t>2. identificarea deținătorilor direcți și a procentului drepturilor de vot și al altor drepturi ale fiecărei persoane juridice;</w:t>
            </w:r>
          </w:p>
          <w:p w14:paraId="11AE212E" w14:textId="77777777" w:rsidR="005A52B1" w:rsidRPr="00154588" w:rsidRDefault="005A52B1" w:rsidP="008C12B4">
            <w:pPr>
              <w:jc w:val="both"/>
              <w:rPr>
                <w:bCs/>
                <w:sz w:val="20"/>
                <w:szCs w:val="20"/>
              </w:rPr>
            </w:pPr>
          </w:p>
          <w:p w14:paraId="603B9808" w14:textId="77777777" w:rsidR="005A52B1" w:rsidRPr="00154588" w:rsidRDefault="005A52B1" w:rsidP="008C12B4">
            <w:pPr>
              <w:jc w:val="both"/>
              <w:rPr>
                <w:bCs/>
                <w:sz w:val="20"/>
                <w:szCs w:val="20"/>
              </w:rPr>
            </w:pPr>
            <w:r w:rsidRPr="00154588">
              <w:rPr>
                <w:bCs/>
                <w:sz w:val="20"/>
                <w:szCs w:val="20"/>
              </w:rPr>
              <w:t>3. sediul, jurisdicția locului de înregistrare, licențele și principalii administratori ai fiecărei persoane juridice;</w:t>
            </w:r>
          </w:p>
          <w:p w14:paraId="69445F31" w14:textId="77777777" w:rsidR="005A52B1" w:rsidRPr="00154588" w:rsidRDefault="005A52B1" w:rsidP="008C12B4">
            <w:pPr>
              <w:jc w:val="both"/>
              <w:rPr>
                <w:bCs/>
                <w:sz w:val="20"/>
                <w:szCs w:val="20"/>
              </w:rPr>
            </w:pPr>
          </w:p>
          <w:p w14:paraId="7F04D767" w14:textId="77777777" w:rsidR="005A52B1" w:rsidRPr="00154588" w:rsidRDefault="005A52B1" w:rsidP="008C12B4">
            <w:pPr>
              <w:jc w:val="both"/>
              <w:rPr>
                <w:bCs/>
                <w:sz w:val="20"/>
                <w:szCs w:val="20"/>
              </w:rPr>
            </w:pPr>
          </w:p>
          <w:p w14:paraId="77C88D3D" w14:textId="77777777" w:rsidR="005A52B1" w:rsidRPr="00154588" w:rsidRDefault="005A52B1" w:rsidP="008C12B4">
            <w:pPr>
              <w:jc w:val="both"/>
              <w:rPr>
                <w:bCs/>
                <w:sz w:val="20"/>
                <w:szCs w:val="20"/>
              </w:rPr>
            </w:pPr>
            <w:r w:rsidRPr="00154588">
              <w:rPr>
                <w:bCs/>
                <w:sz w:val="20"/>
                <w:szCs w:val="20"/>
              </w:rPr>
              <w:t>4. o hartă a operațiunilor critice ale instituției și a liniilor de activitate de bază, inclusiv deținerile semnificative de active și pasive aferente respectivelor operațiuni și linii de activitate, în funcție de persoanele juridice;</w:t>
            </w:r>
          </w:p>
          <w:p w14:paraId="63DF630E" w14:textId="77777777" w:rsidR="005A52B1" w:rsidRPr="00154588" w:rsidRDefault="005A52B1" w:rsidP="008C12B4">
            <w:pPr>
              <w:jc w:val="both"/>
              <w:rPr>
                <w:bCs/>
                <w:sz w:val="20"/>
                <w:szCs w:val="20"/>
              </w:rPr>
            </w:pPr>
          </w:p>
          <w:p w14:paraId="0BE800B5" w14:textId="77777777" w:rsidR="005A52B1" w:rsidRPr="00154588" w:rsidRDefault="005A52B1" w:rsidP="008C12B4">
            <w:pPr>
              <w:jc w:val="both"/>
              <w:rPr>
                <w:bCs/>
                <w:sz w:val="20"/>
                <w:szCs w:val="20"/>
              </w:rPr>
            </w:pPr>
          </w:p>
          <w:p w14:paraId="5E6FD374" w14:textId="77777777" w:rsidR="005A52B1" w:rsidRPr="00154588" w:rsidRDefault="005A52B1" w:rsidP="008C12B4">
            <w:pPr>
              <w:jc w:val="both"/>
              <w:rPr>
                <w:bCs/>
                <w:sz w:val="20"/>
                <w:szCs w:val="20"/>
              </w:rPr>
            </w:pPr>
            <w:r w:rsidRPr="00154588">
              <w:rPr>
                <w:bCs/>
                <w:sz w:val="20"/>
                <w:szCs w:val="20"/>
              </w:rPr>
              <w:t>5. o descriere detaliată a elementelor de pasiv ale instituției și ale tuturor persoanelor juridice ale acesteia, defalcate cel puțin pe tipuri și valori ale datoriilor pe termen scurt și lung, garantate, negarantate și subordonate;</w:t>
            </w:r>
          </w:p>
          <w:p w14:paraId="030FEFB9" w14:textId="77777777" w:rsidR="005A52B1" w:rsidRPr="00154588" w:rsidRDefault="005A52B1" w:rsidP="008C12B4">
            <w:pPr>
              <w:jc w:val="both"/>
              <w:rPr>
                <w:bCs/>
                <w:sz w:val="20"/>
                <w:szCs w:val="20"/>
              </w:rPr>
            </w:pPr>
          </w:p>
          <w:p w14:paraId="156C32DF" w14:textId="77777777" w:rsidR="005A52B1" w:rsidRPr="00154588" w:rsidRDefault="005A52B1" w:rsidP="008C12B4">
            <w:pPr>
              <w:jc w:val="both"/>
              <w:rPr>
                <w:bCs/>
                <w:sz w:val="20"/>
                <w:szCs w:val="20"/>
              </w:rPr>
            </w:pPr>
            <w:r w:rsidRPr="00154588">
              <w:rPr>
                <w:bCs/>
                <w:sz w:val="20"/>
                <w:szCs w:val="20"/>
              </w:rPr>
              <w:t xml:space="preserve">5a. o descriere a datoriilor instituției și ale tuturor entităților sale juridice reglementate de legislația unei țări terțe, inclusiv: </w:t>
            </w:r>
          </w:p>
          <w:p w14:paraId="72E8645C" w14:textId="77777777" w:rsidR="005A52B1" w:rsidRPr="00154588" w:rsidRDefault="005A52B1" w:rsidP="008C12B4">
            <w:pPr>
              <w:jc w:val="both"/>
              <w:rPr>
                <w:bCs/>
                <w:sz w:val="20"/>
                <w:szCs w:val="20"/>
              </w:rPr>
            </w:pPr>
            <w:r w:rsidRPr="00154588">
              <w:rPr>
                <w:bCs/>
                <w:sz w:val="20"/>
                <w:szCs w:val="20"/>
              </w:rPr>
              <w:t xml:space="preserve">— cuantumurile acestora; </w:t>
            </w:r>
          </w:p>
          <w:p w14:paraId="585F1BF9" w14:textId="77777777" w:rsidR="005A52B1" w:rsidRPr="00154588" w:rsidRDefault="005A52B1" w:rsidP="008C12B4">
            <w:pPr>
              <w:jc w:val="both"/>
              <w:rPr>
                <w:bCs/>
                <w:sz w:val="20"/>
                <w:szCs w:val="20"/>
              </w:rPr>
            </w:pPr>
            <w:r w:rsidRPr="00154588">
              <w:rPr>
                <w:bCs/>
                <w:sz w:val="20"/>
                <w:szCs w:val="20"/>
              </w:rPr>
              <w:t xml:space="preserve">— componența lor, inclusiv profilul de scadență; </w:t>
            </w:r>
          </w:p>
          <w:p w14:paraId="53C117B7" w14:textId="77777777" w:rsidR="005A52B1" w:rsidRPr="00154588" w:rsidRDefault="005A52B1" w:rsidP="008C12B4">
            <w:pPr>
              <w:jc w:val="both"/>
              <w:rPr>
                <w:bCs/>
                <w:sz w:val="20"/>
                <w:szCs w:val="20"/>
              </w:rPr>
            </w:pPr>
            <w:r w:rsidRPr="00154588">
              <w:rPr>
                <w:bCs/>
                <w:sz w:val="20"/>
                <w:szCs w:val="20"/>
              </w:rPr>
              <w:t xml:space="preserve">— legislația aplicabilă a țării terțe; </w:t>
            </w:r>
          </w:p>
          <w:p w14:paraId="31B7B5C7" w14:textId="77777777" w:rsidR="005A52B1" w:rsidRPr="00154588" w:rsidRDefault="005A52B1" w:rsidP="008C12B4">
            <w:pPr>
              <w:jc w:val="both"/>
              <w:rPr>
                <w:bCs/>
                <w:sz w:val="20"/>
                <w:szCs w:val="20"/>
              </w:rPr>
            </w:pPr>
            <w:r w:rsidRPr="00154588">
              <w:rPr>
                <w:bCs/>
                <w:sz w:val="20"/>
                <w:szCs w:val="20"/>
              </w:rPr>
              <w:t xml:space="preserve">— rangul pe care îl ocupă în cadrul procedurii obișnuite de insolvență; </w:t>
            </w:r>
          </w:p>
          <w:p w14:paraId="6FC55527" w14:textId="77777777" w:rsidR="005A52B1" w:rsidRPr="00154588" w:rsidRDefault="005A52B1" w:rsidP="008C12B4">
            <w:pPr>
              <w:jc w:val="both"/>
              <w:rPr>
                <w:bCs/>
                <w:sz w:val="20"/>
                <w:szCs w:val="20"/>
              </w:rPr>
            </w:pPr>
            <w:r w:rsidRPr="00154588">
              <w:rPr>
                <w:bCs/>
                <w:sz w:val="20"/>
                <w:szCs w:val="20"/>
              </w:rPr>
              <w:lastRenderedPageBreak/>
              <w:t xml:space="preserve">— dacă datoria este exclusă în temeiul articolului 44 alineatul (2); </w:t>
            </w:r>
          </w:p>
          <w:p w14:paraId="0060AC69" w14:textId="77777777" w:rsidR="005A52B1" w:rsidRPr="00154588" w:rsidRDefault="005A52B1" w:rsidP="008C12B4">
            <w:pPr>
              <w:jc w:val="both"/>
              <w:rPr>
                <w:bCs/>
                <w:sz w:val="20"/>
                <w:szCs w:val="20"/>
              </w:rPr>
            </w:pPr>
            <w:r w:rsidRPr="00154588">
              <w:rPr>
                <w:bCs/>
                <w:sz w:val="20"/>
                <w:szCs w:val="20"/>
              </w:rPr>
              <w:t xml:space="preserve">— dacă includ în dispozițiile contractuale clauza prevăzută în temeiul articolului 55 alineatul (1) din prezenta directivă, al articolului 52 alineatul (1) literele (p) și (q) și al articolului 63 literele (n) și (o) din Regulamentul (UE) nr. 575/2013; </w:t>
            </w:r>
          </w:p>
          <w:p w14:paraId="17C2F9B6" w14:textId="28DD4EFF" w:rsidR="005A52B1" w:rsidRPr="00154588" w:rsidRDefault="005A52B1" w:rsidP="008C12B4">
            <w:pPr>
              <w:jc w:val="both"/>
              <w:rPr>
                <w:bCs/>
                <w:sz w:val="20"/>
                <w:szCs w:val="20"/>
              </w:rPr>
            </w:pPr>
            <w:r w:rsidRPr="00154588">
              <w:rPr>
                <w:bCs/>
                <w:sz w:val="20"/>
                <w:szCs w:val="20"/>
              </w:rPr>
              <w:t>— în cazul în care s-a stabilit că este imposibil, din punct de vedere juridic sau din motive de altă natură, să se includă clauza de recunoaștere contractuală a recapitalizării interne în conformitate cu articolul 55 alineatul (2), categoria datoriei în temeiul articolului 55 alineatul (7).”</w:t>
            </w:r>
          </w:p>
          <w:p w14:paraId="2DF26C20" w14:textId="77777777" w:rsidR="005A52B1" w:rsidRPr="00154588" w:rsidRDefault="005A52B1" w:rsidP="008C12B4">
            <w:pPr>
              <w:jc w:val="both"/>
              <w:rPr>
                <w:bCs/>
                <w:sz w:val="20"/>
                <w:szCs w:val="20"/>
              </w:rPr>
            </w:pPr>
          </w:p>
          <w:p w14:paraId="482AC187" w14:textId="77777777" w:rsidR="005A52B1" w:rsidRPr="00154588" w:rsidRDefault="005A52B1" w:rsidP="008C12B4">
            <w:pPr>
              <w:jc w:val="both"/>
              <w:rPr>
                <w:bCs/>
                <w:sz w:val="20"/>
                <w:szCs w:val="20"/>
              </w:rPr>
            </w:pPr>
            <w:r w:rsidRPr="00154588">
              <w:rPr>
                <w:bCs/>
                <w:sz w:val="20"/>
                <w:szCs w:val="20"/>
              </w:rPr>
              <w:t>6. detalii cu privire la pasivele instituției care sunt pasive eligibile;</w:t>
            </w:r>
          </w:p>
          <w:p w14:paraId="2B4F230C" w14:textId="77777777" w:rsidR="005A52B1" w:rsidRPr="00154588" w:rsidRDefault="005A52B1" w:rsidP="008C12B4">
            <w:pPr>
              <w:jc w:val="both"/>
              <w:rPr>
                <w:bCs/>
                <w:sz w:val="20"/>
                <w:szCs w:val="20"/>
              </w:rPr>
            </w:pPr>
          </w:p>
          <w:p w14:paraId="16005662" w14:textId="77777777" w:rsidR="005A52B1" w:rsidRPr="00154588" w:rsidRDefault="005A52B1" w:rsidP="008C12B4">
            <w:pPr>
              <w:jc w:val="both"/>
              <w:rPr>
                <w:bCs/>
                <w:sz w:val="20"/>
                <w:szCs w:val="20"/>
              </w:rPr>
            </w:pPr>
            <w:r w:rsidRPr="00154588">
              <w:rPr>
                <w:bCs/>
                <w:sz w:val="20"/>
                <w:szCs w:val="20"/>
              </w:rPr>
              <w:t>7. identificarea proceselor necesare pentru a stabili entitățile în favoarea cărora instituția a constituit garanții reale, persoana care deține garanția și jurisdicția în care este situată garanția;</w:t>
            </w:r>
          </w:p>
          <w:p w14:paraId="25FEAAF8" w14:textId="77777777" w:rsidR="005A52B1" w:rsidRPr="00154588" w:rsidRDefault="005A52B1" w:rsidP="008C12B4">
            <w:pPr>
              <w:jc w:val="both"/>
              <w:rPr>
                <w:bCs/>
                <w:sz w:val="20"/>
                <w:szCs w:val="20"/>
              </w:rPr>
            </w:pPr>
          </w:p>
          <w:p w14:paraId="35F1BCDE" w14:textId="77777777" w:rsidR="005A52B1" w:rsidRPr="00154588" w:rsidRDefault="005A52B1" w:rsidP="008C12B4">
            <w:pPr>
              <w:jc w:val="both"/>
              <w:rPr>
                <w:bCs/>
                <w:sz w:val="20"/>
                <w:szCs w:val="20"/>
              </w:rPr>
            </w:pPr>
            <w:r w:rsidRPr="00154588">
              <w:rPr>
                <w:bCs/>
                <w:sz w:val="20"/>
                <w:szCs w:val="20"/>
              </w:rPr>
              <w:t>8. o descriere a angajamentelor în afara bilanțului ale instituției și ale persoanelor sale juridice, inclusiv stabilirea de corespondențe cu operațiunile critice și liniile de activitate de bază ale instituției;</w:t>
            </w:r>
          </w:p>
          <w:p w14:paraId="15E76326" w14:textId="77777777" w:rsidR="005A52B1" w:rsidRPr="00154588" w:rsidRDefault="005A52B1" w:rsidP="008C12B4">
            <w:pPr>
              <w:jc w:val="both"/>
              <w:rPr>
                <w:bCs/>
                <w:sz w:val="20"/>
                <w:szCs w:val="20"/>
              </w:rPr>
            </w:pPr>
          </w:p>
          <w:p w14:paraId="68D35BC1" w14:textId="77777777" w:rsidR="005A52B1" w:rsidRPr="00154588" w:rsidRDefault="005A52B1" w:rsidP="008C12B4">
            <w:pPr>
              <w:jc w:val="both"/>
              <w:rPr>
                <w:bCs/>
                <w:sz w:val="20"/>
                <w:szCs w:val="20"/>
              </w:rPr>
            </w:pPr>
            <w:r w:rsidRPr="00154588">
              <w:rPr>
                <w:bCs/>
                <w:sz w:val="20"/>
                <w:szCs w:val="20"/>
              </w:rPr>
              <w:t>9. principalele operațiuni de acoperire a riscurilor ale instituției inclusiv stabilirea de corespondențe cu persoanele juridice;</w:t>
            </w:r>
          </w:p>
          <w:p w14:paraId="0F73E8BD" w14:textId="77777777" w:rsidR="005A52B1" w:rsidRPr="00154588" w:rsidRDefault="005A52B1" w:rsidP="008C12B4">
            <w:pPr>
              <w:jc w:val="both"/>
              <w:rPr>
                <w:bCs/>
                <w:sz w:val="20"/>
                <w:szCs w:val="20"/>
              </w:rPr>
            </w:pPr>
          </w:p>
          <w:p w14:paraId="6CB4442B" w14:textId="77777777" w:rsidR="005A52B1" w:rsidRPr="00154588" w:rsidRDefault="005A52B1" w:rsidP="008C12B4">
            <w:pPr>
              <w:jc w:val="both"/>
              <w:rPr>
                <w:bCs/>
                <w:sz w:val="20"/>
                <w:szCs w:val="20"/>
              </w:rPr>
            </w:pPr>
            <w:r w:rsidRPr="00154588">
              <w:rPr>
                <w:bCs/>
                <w:sz w:val="20"/>
                <w:szCs w:val="20"/>
              </w:rPr>
              <w:t>10. identificarea principalelor sau a celor mai importante contrapărți ale instituției, precum și o analiză a impactului intrării în dificultate a principalelor contrapărți asupra situației financiare a instituției;</w:t>
            </w:r>
          </w:p>
          <w:p w14:paraId="5AA81796" w14:textId="77777777" w:rsidR="005A52B1" w:rsidRPr="00154588" w:rsidRDefault="005A52B1" w:rsidP="008C12B4">
            <w:pPr>
              <w:jc w:val="both"/>
              <w:rPr>
                <w:bCs/>
                <w:sz w:val="20"/>
                <w:szCs w:val="20"/>
              </w:rPr>
            </w:pPr>
          </w:p>
          <w:p w14:paraId="7D9DB9F8" w14:textId="77777777" w:rsidR="005A52B1" w:rsidRPr="00154588" w:rsidRDefault="005A52B1" w:rsidP="008C12B4">
            <w:pPr>
              <w:jc w:val="both"/>
              <w:rPr>
                <w:bCs/>
                <w:sz w:val="20"/>
                <w:szCs w:val="20"/>
              </w:rPr>
            </w:pPr>
            <w:r w:rsidRPr="00154588">
              <w:rPr>
                <w:bCs/>
                <w:sz w:val="20"/>
                <w:szCs w:val="20"/>
              </w:rPr>
              <w:t>11. fiecare sistem în care instituția efectuează tranzacții numeroase sau de o valoare semnificativă, inclusiv stabilirea de corespondențe cu persoanele juridice, operațiunile critice și liniile de activitate de bază ale instituției;</w:t>
            </w:r>
          </w:p>
          <w:p w14:paraId="26F44F30" w14:textId="77777777" w:rsidR="005A52B1" w:rsidRPr="00154588" w:rsidRDefault="005A52B1" w:rsidP="008C12B4">
            <w:pPr>
              <w:jc w:val="both"/>
              <w:rPr>
                <w:bCs/>
                <w:sz w:val="20"/>
                <w:szCs w:val="20"/>
              </w:rPr>
            </w:pPr>
          </w:p>
          <w:p w14:paraId="058EB417" w14:textId="77777777" w:rsidR="005A52B1" w:rsidRPr="00154588" w:rsidRDefault="005A52B1" w:rsidP="008C12B4">
            <w:pPr>
              <w:jc w:val="both"/>
              <w:rPr>
                <w:bCs/>
                <w:sz w:val="20"/>
                <w:szCs w:val="20"/>
              </w:rPr>
            </w:pPr>
            <w:r w:rsidRPr="00154588">
              <w:rPr>
                <w:bCs/>
                <w:sz w:val="20"/>
                <w:szCs w:val="20"/>
              </w:rPr>
              <w:t xml:space="preserve">12. fiecare sistem de plată, de compensare sau de decontare în cadrul căruia instituția este membru direct sau indirect, inclusiv stabilirea de </w:t>
            </w:r>
            <w:r w:rsidRPr="00154588">
              <w:rPr>
                <w:bCs/>
                <w:sz w:val="20"/>
                <w:szCs w:val="20"/>
              </w:rPr>
              <w:lastRenderedPageBreak/>
              <w:t>corespondențe cu persoanele juridice, operațiunile critice și liniile de activitate de bază ale instituției;</w:t>
            </w:r>
          </w:p>
          <w:p w14:paraId="4E9F8D0D" w14:textId="77777777" w:rsidR="005A52B1" w:rsidRPr="00154588" w:rsidRDefault="005A52B1" w:rsidP="008C12B4">
            <w:pPr>
              <w:jc w:val="both"/>
              <w:rPr>
                <w:bCs/>
                <w:sz w:val="20"/>
                <w:szCs w:val="20"/>
              </w:rPr>
            </w:pPr>
          </w:p>
          <w:p w14:paraId="59F31C7D" w14:textId="77777777" w:rsidR="005A52B1" w:rsidRPr="00154588" w:rsidRDefault="005A52B1" w:rsidP="008C12B4">
            <w:pPr>
              <w:jc w:val="both"/>
              <w:rPr>
                <w:bCs/>
                <w:sz w:val="20"/>
                <w:szCs w:val="20"/>
              </w:rPr>
            </w:pPr>
            <w:r w:rsidRPr="00154588">
              <w:rPr>
                <w:bCs/>
                <w:sz w:val="20"/>
                <w:szCs w:val="20"/>
              </w:rPr>
              <w:t xml:space="preserve">13. un inventar detaliat și o descriere a principalelor sisteme de gestiunare a informației, inclusiv cele de gestiunare a riscurilor, de contabilitate și de raportare financiară și statutară utilizate de instituție, inclusiv stabilirea de corespondențe cu persoanele juridice, operațiunile critice și liniile de activitate de bază ale instituției </w:t>
            </w:r>
          </w:p>
          <w:p w14:paraId="5E98CF69" w14:textId="77777777" w:rsidR="005A52B1" w:rsidRPr="00154588" w:rsidRDefault="005A52B1" w:rsidP="008C12B4">
            <w:pPr>
              <w:jc w:val="both"/>
              <w:rPr>
                <w:bCs/>
                <w:sz w:val="20"/>
                <w:szCs w:val="20"/>
              </w:rPr>
            </w:pPr>
          </w:p>
          <w:p w14:paraId="2759CD7B" w14:textId="77777777" w:rsidR="005A52B1" w:rsidRPr="00154588" w:rsidRDefault="005A52B1" w:rsidP="008C12B4">
            <w:pPr>
              <w:jc w:val="both"/>
              <w:rPr>
                <w:bCs/>
                <w:sz w:val="20"/>
                <w:szCs w:val="20"/>
              </w:rPr>
            </w:pPr>
            <w:r w:rsidRPr="00154588">
              <w:rPr>
                <w:bCs/>
                <w:sz w:val="20"/>
                <w:szCs w:val="20"/>
              </w:rPr>
              <w:t>14. identificarea proprietarilor sistemelor identificate la punctul 13, a acordurilor privind furnizarea serviciilor legate de acestea, precum și a oricăror programe informatice și sisteme sau licențe, inclusiv stabilirea de corespondențe cu persoanele juridice, operațiunile critice și liniile de activitate de bază ale instituției;</w:t>
            </w:r>
          </w:p>
          <w:p w14:paraId="3B2CB576" w14:textId="77777777" w:rsidR="005A52B1" w:rsidRPr="00154588" w:rsidRDefault="005A52B1" w:rsidP="008C12B4">
            <w:pPr>
              <w:jc w:val="both"/>
              <w:rPr>
                <w:bCs/>
                <w:sz w:val="20"/>
                <w:szCs w:val="20"/>
              </w:rPr>
            </w:pPr>
          </w:p>
          <w:p w14:paraId="3D3A382C" w14:textId="77777777" w:rsidR="005A52B1" w:rsidRPr="00154588" w:rsidRDefault="005A52B1" w:rsidP="008C12B4">
            <w:pPr>
              <w:jc w:val="both"/>
              <w:rPr>
                <w:bCs/>
                <w:sz w:val="20"/>
                <w:szCs w:val="20"/>
              </w:rPr>
            </w:pPr>
          </w:p>
          <w:p w14:paraId="7D89D4AF" w14:textId="77777777" w:rsidR="005A52B1" w:rsidRPr="00154588" w:rsidRDefault="005A52B1" w:rsidP="008C12B4">
            <w:pPr>
              <w:jc w:val="both"/>
              <w:rPr>
                <w:bCs/>
                <w:sz w:val="20"/>
                <w:szCs w:val="20"/>
              </w:rPr>
            </w:pPr>
          </w:p>
          <w:p w14:paraId="2BB14293" w14:textId="77777777" w:rsidR="005A52B1" w:rsidRPr="00154588" w:rsidRDefault="005A52B1" w:rsidP="008C12B4">
            <w:pPr>
              <w:jc w:val="both"/>
              <w:rPr>
                <w:bCs/>
                <w:sz w:val="20"/>
                <w:szCs w:val="20"/>
              </w:rPr>
            </w:pPr>
          </w:p>
          <w:p w14:paraId="4A53C4C3" w14:textId="77777777" w:rsidR="005A52B1" w:rsidRPr="00154588" w:rsidRDefault="005A52B1" w:rsidP="008C12B4">
            <w:pPr>
              <w:jc w:val="both"/>
              <w:rPr>
                <w:bCs/>
                <w:sz w:val="20"/>
                <w:szCs w:val="20"/>
              </w:rPr>
            </w:pPr>
          </w:p>
          <w:p w14:paraId="0AB051FF" w14:textId="77777777" w:rsidR="005A52B1" w:rsidRPr="00154588" w:rsidRDefault="005A52B1" w:rsidP="008C12B4">
            <w:pPr>
              <w:jc w:val="both"/>
              <w:rPr>
                <w:bCs/>
                <w:sz w:val="20"/>
                <w:szCs w:val="20"/>
              </w:rPr>
            </w:pPr>
            <w:r w:rsidRPr="00154588">
              <w:rPr>
                <w:bCs/>
                <w:sz w:val="20"/>
                <w:szCs w:val="20"/>
              </w:rPr>
              <w:t>15. identificarea și descrierea persoanelor juridice și a interconexiunilor și interdependențelor dintre diferitele persoane juridice, cum ar fi</w:t>
            </w:r>
          </w:p>
          <w:p w14:paraId="29465F5B" w14:textId="77777777" w:rsidR="005A52B1" w:rsidRPr="00154588" w:rsidRDefault="005A52B1" w:rsidP="008C12B4">
            <w:pPr>
              <w:jc w:val="both"/>
              <w:rPr>
                <w:bCs/>
                <w:sz w:val="20"/>
                <w:szCs w:val="20"/>
              </w:rPr>
            </w:pPr>
          </w:p>
          <w:p w14:paraId="0BC4F6FC" w14:textId="77777777" w:rsidR="005A52B1" w:rsidRPr="00154588" w:rsidRDefault="005A52B1" w:rsidP="008C12B4">
            <w:pPr>
              <w:jc w:val="both"/>
              <w:rPr>
                <w:bCs/>
                <w:sz w:val="20"/>
                <w:szCs w:val="20"/>
              </w:rPr>
            </w:pPr>
            <w:r w:rsidRPr="00154588">
              <w:rPr>
                <w:bCs/>
                <w:sz w:val="20"/>
                <w:szCs w:val="20"/>
              </w:rPr>
              <w:t>— personal, facilități și sisteme comune sau partajate;</w:t>
            </w:r>
          </w:p>
          <w:p w14:paraId="1E43DB9E" w14:textId="77777777" w:rsidR="005A52B1" w:rsidRPr="00154588" w:rsidRDefault="005A52B1" w:rsidP="008C12B4">
            <w:pPr>
              <w:jc w:val="both"/>
              <w:rPr>
                <w:bCs/>
                <w:sz w:val="20"/>
                <w:szCs w:val="20"/>
              </w:rPr>
            </w:pPr>
          </w:p>
          <w:p w14:paraId="2C4D0D79" w14:textId="77777777" w:rsidR="005A52B1" w:rsidRPr="00154588" w:rsidRDefault="005A52B1" w:rsidP="008C12B4">
            <w:pPr>
              <w:jc w:val="both"/>
              <w:rPr>
                <w:bCs/>
                <w:sz w:val="20"/>
                <w:szCs w:val="20"/>
              </w:rPr>
            </w:pPr>
            <w:r w:rsidRPr="00154588">
              <w:rPr>
                <w:bCs/>
                <w:sz w:val="20"/>
                <w:szCs w:val="20"/>
              </w:rPr>
              <w:t>— mecanisme de capital, de finanțare sau de lichiditate;</w:t>
            </w:r>
          </w:p>
          <w:p w14:paraId="230AA2F7" w14:textId="77777777" w:rsidR="005A52B1" w:rsidRPr="00154588" w:rsidRDefault="005A52B1" w:rsidP="008C12B4">
            <w:pPr>
              <w:jc w:val="both"/>
              <w:rPr>
                <w:bCs/>
                <w:sz w:val="20"/>
                <w:szCs w:val="20"/>
              </w:rPr>
            </w:pPr>
          </w:p>
          <w:p w14:paraId="6A1AA68F" w14:textId="77777777" w:rsidR="005A52B1" w:rsidRPr="00154588" w:rsidRDefault="005A52B1" w:rsidP="008C12B4">
            <w:pPr>
              <w:jc w:val="both"/>
              <w:rPr>
                <w:bCs/>
                <w:sz w:val="20"/>
                <w:szCs w:val="20"/>
              </w:rPr>
            </w:pPr>
            <w:r w:rsidRPr="00154588">
              <w:rPr>
                <w:bCs/>
                <w:sz w:val="20"/>
                <w:szCs w:val="20"/>
              </w:rPr>
              <w:t>— expuneri de credit existente sau contingente;</w:t>
            </w:r>
          </w:p>
          <w:p w14:paraId="1B74AB12" w14:textId="77777777" w:rsidR="005A52B1" w:rsidRPr="00154588" w:rsidRDefault="005A52B1" w:rsidP="008C12B4">
            <w:pPr>
              <w:jc w:val="both"/>
              <w:rPr>
                <w:bCs/>
                <w:sz w:val="20"/>
                <w:szCs w:val="20"/>
              </w:rPr>
            </w:pPr>
          </w:p>
          <w:p w14:paraId="65D39353" w14:textId="77777777" w:rsidR="005A52B1" w:rsidRPr="00154588" w:rsidRDefault="005A52B1" w:rsidP="008C12B4">
            <w:pPr>
              <w:jc w:val="both"/>
              <w:rPr>
                <w:bCs/>
                <w:sz w:val="20"/>
                <w:szCs w:val="20"/>
              </w:rPr>
            </w:pPr>
            <w:r w:rsidRPr="00154588">
              <w:rPr>
                <w:bCs/>
                <w:sz w:val="20"/>
                <w:szCs w:val="20"/>
              </w:rPr>
              <w:t>— acorduri de garanții personale încrucișate, acorduri de garanții reale încrucișate, acorduri privind clauze de tip „cross-default” și acorduri de tip compensare încrucișată între entități afiliate;</w:t>
            </w:r>
          </w:p>
          <w:p w14:paraId="00C7C36E" w14:textId="77777777" w:rsidR="005A52B1" w:rsidRPr="00154588" w:rsidRDefault="005A52B1" w:rsidP="008C12B4">
            <w:pPr>
              <w:jc w:val="both"/>
              <w:rPr>
                <w:bCs/>
                <w:sz w:val="20"/>
                <w:szCs w:val="20"/>
              </w:rPr>
            </w:pPr>
          </w:p>
          <w:p w14:paraId="0AA0F222" w14:textId="77777777" w:rsidR="005A52B1" w:rsidRPr="00154588" w:rsidRDefault="005A52B1" w:rsidP="008C12B4">
            <w:pPr>
              <w:jc w:val="both"/>
              <w:rPr>
                <w:bCs/>
                <w:sz w:val="20"/>
                <w:szCs w:val="20"/>
              </w:rPr>
            </w:pPr>
            <w:r w:rsidRPr="00154588">
              <w:rPr>
                <w:bCs/>
                <w:sz w:val="20"/>
                <w:szCs w:val="20"/>
              </w:rPr>
              <w:t>— aranjamente privind transferul riscului și aranjamente de tranzacționare „back-to-back”; acorduri privind furnizarea de servicii;</w:t>
            </w:r>
          </w:p>
          <w:p w14:paraId="5B75CB68" w14:textId="77777777" w:rsidR="005A52B1" w:rsidRPr="00154588" w:rsidRDefault="005A52B1" w:rsidP="008C12B4">
            <w:pPr>
              <w:jc w:val="both"/>
              <w:rPr>
                <w:bCs/>
                <w:sz w:val="20"/>
                <w:szCs w:val="20"/>
              </w:rPr>
            </w:pPr>
          </w:p>
          <w:p w14:paraId="51093DF1" w14:textId="77777777" w:rsidR="005A52B1" w:rsidRPr="00154588" w:rsidRDefault="005A52B1" w:rsidP="008C12B4">
            <w:pPr>
              <w:jc w:val="both"/>
              <w:rPr>
                <w:bCs/>
                <w:sz w:val="20"/>
                <w:szCs w:val="20"/>
              </w:rPr>
            </w:pPr>
            <w:r w:rsidRPr="00154588">
              <w:rPr>
                <w:bCs/>
                <w:sz w:val="20"/>
                <w:szCs w:val="20"/>
              </w:rPr>
              <w:t>16. autoritatea competentă și autoritatea de rezoluție pentru fiecare persoană juridică;</w:t>
            </w:r>
          </w:p>
          <w:p w14:paraId="6A9A30F2" w14:textId="77777777" w:rsidR="005A52B1" w:rsidRPr="00154588" w:rsidRDefault="005A52B1" w:rsidP="008C12B4">
            <w:pPr>
              <w:jc w:val="both"/>
              <w:rPr>
                <w:bCs/>
                <w:sz w:val="20"/>
                <w:szCs w:val="20"/>
              </w:rPr>
            </w:pPr>
          </w:p>
          <w:p w14:paraId="3854B16B" w14:textId="77777777" w:rsidR="005A52B1" w:rsidRPr="00154588" w:rsidRDefault="005A52B1" w:rsidP="008C12B4">
            <w:pPr>
              <w:jc w:val="both"/>
              <w:rPr>
                <w:bCs/>
                <w:sz w:val="20"/>
                <w:szCs w:val="20"/>
              </w:rPr>
            </w:pPr>
            <w:r w:rsidRPr="00154588">
              <w:rPr>
                <w:bCs/>
                <w:sz w:val="20"/>
                <w:szCs w:val="20"/>
              </w:rPr>
              <w:lastRenderedPageBreak/>
              <w:t>17. membrul conducerii superioare responsabil cu furnizarea informațiilor necesare pentru elaborarea planului de rezoluție al instituției, precum și persoanele responsabile, dacă diferă, cu persoane juridice, operațiuni critice și linii de activitate de bază diferite;</w:t>
            </w:r>
          </w:p>
          <w:p w14:paraId="2427393A" w14:textId="77777777" w:rsidR="005A52B1" w:rsidRPr="00154588" w:rsidRDefault="005A52B1" w:rsidP="008C12B4">
            <w:pPr>
              <w:jc w:val="both"/>
              <w:rPr>
                <w:bCs/>
                <w:sz w:val="20"/>
                <w:szCs w:val="20"/>
              </w:rPr>
            </w:pPr>
          </w:p>
          <w:p w14:paraId="0FCB3A5E" w14:textId="77777777" w:rsidR="005A52B1" w:rsidRPr="00154588" w:rsidRDefault="005A52B1" w:rsidP="008C12B4">
            <w:pPr>
              <w:jc w:val="both"/>
              <w:rPr>
                <w:bCs/>
                <w:sz w:val="20"/>
                <w:szCs w:val="20"/>
              </w:rPr>
            </w:pPr>
          </w:p>
          <w:p w14:paraId="028AE8E4" w14:textId="77777777" w:rsidR="005A52B1" w:rsidRPr="00154588" w:rsidRDefault="005A52B1" w:rsidP="008C12B4">
            <w:pPr>
              <w:jc w:val="both"/>
              <w:rPr>
                <w:bCs/>
                <w:sz w:val="20"/>
                <w:szCs w:val="20"/>
              </w:rPr>
            </w:pPr>
            <w:r w:rsidRPr="00154588">
              <w:rPr>
                <w:bCs/>
                <w:sz w:val="20"/>
                <w:szCs w:val="20"/>
              </w:rPr>
              <w:t>18. o descriere a mecanismelor pe care instituția le-a pus la punct pentru a se asigura că, în caz de rezoluție, autoritatea de rezoluție va dispune de toate informațiile necesare, astfel cum au fost stabilite de către autoritatea de rezoluție, pentru aplicarea instrumentelor și a competențelor de rezoluție;</w:t>
            </w:r>
          </w:p>
          <w:p w14:paraId="261523E8" w14:textId="77777777" w:rsidR="005A52B1" w:rsidRPr="00154588" w:rsidRDefault="005A52B1" w:rsidP="008C12B4">
            <w:pPr>
              <w:jc w:val="both"/>
              <w:rPr>
                <w:bCs/>
                <w:sz w:val="20"/>
                <w:szCs w:val="20"/>
              </w:rPr>
            </w:pPr>
          </w:p>
          <w:p w14:paraId="140F5427" w14:textId="77777777" w:rsidR="005A52B1" w:rsidRPr="00154588" w:rsidRDefault="005A52B1" w:rsidP="008C12B4">
            <w:pPr>
              <w:jc w:val="both"/>
              <w:rPr>
                <w:bCs/>
                <w:sz w:val="20"/>
                <w:szCs w:val="20"/>
              </w:rPr>
            </w:pPr>
            <w:r w:rsidRPr="00154588">
              <w:rPr>
                <w:bCs/>
                <w:sz w:val="20"/>
                <w:szCs w:val="20"/>
              </w:rPr>
              <w:t>19. toate acordurile încheiate de instituții și de persoanele lor juridice cu terțe părți, a căror încetare poate fi declanșată de o decizie a autorităților de a aplica un instrument de rezoluție și dacă urmările provocate de încetare pot afecta aplicarea instrumentului de rezoluție;</w:t>
            </w:r>
          </w:p>
          <w:p w14:paraId="2B1C109F" w14:textId="77777777" w:rsidR="005A52B1" w:rsidRPr="00154588" w:rsidRDefault="005A52B1" w:rsidP="008C12B4">
            <w:pPr>
              <w:jc w:val="both"/>
              <w:rPr>
                <w:bCs/>
                <w:sz w:val="20"/>
                <w:szCs w:val="20"/>
              </w:rPr>
            </w:pPr>
          </w:p>
          <w:p w14:paraId="6EB65CEE" w14:textId="77777777" w:rsidR="005A52B1" w:rsidRPr="00154588" w:rsidRDefault="005A52B1" w:rsidP="008C12B4">
            <w:pPr>
              <w:jc w:val="both"/>
              <w:rPr>
                <w:bCs/>
                <w:sz w:val="20"/>
                <w:szCs w:val="20"/>
              </w:rPr>
            </w:pPr>
            <w:r w:rsidRPr="00154588">
              <w:rPr>
                <w:bCs/>
                <w:sz w:val="20"/>
                <w:szCs w:val="20"/>
              </w:rPr>
              <w:t>20. o descriere a eventualelor surse de lichiditate în sprijinul rezoluției;</w:t>
            </w:r>
          </w:p>
          <w:p w14:paraId="65180700" w14:textId="77777777" w:rsidR="005A52B1" w:rsidRPr="00154588" w:rsidRDefault="005A52B1" w:rsidP="008C12B4">
            <w:pPr>
              <w:jc w:val="both"/>
              <w:rPr>
                <w:bCs/>
                <w:sz w:val="20"/>
                <w:szCs w:val="20"/>
              </w:rPr>
            </w:pPr>
          </w:p>
          <w:p w14:paraId="65D1849B" w14:textId="77777777" w:rsidR="005A52B1" w:rsidRPr="00154588" w:rsidRDefault="005A52B1" w:rsidP="008C12B4">
            <w:pPr>
              <w:jc w:val="both"/>
              <w:rPr>
                <w:bCs/>
                <w:sz w:val="20"/>
                <w:szCs w:val="20"/>
              </w:rPr>
            </w:pPr>
            <w:r w:rsidRPr="00154588">
              <w:rPr>
                <w:bCs/>
                <w:sz w:val="20"/>
                <w:szCs w:val="20"/>
              </w:rPr>
              <w:t>21. informații privind grevarea cu sarcini a activelor, activele lichide, activitățile în afara bilanțului, strategiile de acoperire împotriva riscurilor și practicile de înregistrare contabilă.</w:t>
            </w:r>
          </w:p>
        </w:tc>
        <w:tc>
          <w:tcPr>
            <w:tcW w:w="4810" w:type="dxa"/>
          </w:tcPr>
          <w:p w14:paraId="31D926F2" w14:textId="77777777" w:rsidR="005A52B1" w:rsidRPr="00154588" w:rsidRDefault="005A52B1" w:rsidP="008C12B4">
            <w:pPr>
              <w:jc w:val="both"/>
              <w:rPr>
                <w:bCs/>
                <w:sz w:val="20"/>
                <w:szCs w:val="20"/>
              </w:rPr>
            </w:pPr>
            <w:r w:rsidRPr="00154588">
              <w:rPr>
                <w:bCs/>
                <w:sz w:val="20"/>
                <w:szCs w:val="20"/>
              </w:rPr>
              <w:lastRenderedPageBreak/>
              <w:t>Informaţiile pe care autoritatea de rezoluţie le poate solicita instituțiilor să transmită, în scopul elaborării şi actualizării planurilor de rezoluţie includ cel puţin următoarele:</w:t>
            </w:r>
          </w:p>
          <w:p w14:paraId="72B7D652" w14:textId="77777777" w:rsidR="005A52B1" w:rsidRPr="00154588" w:rsidRDefault="005A52B1" w:rsidP="008C12B4">
            <w:pPr>
              <w:jc w:val="both"/>
              <w:rPr>
                <w:bCs/>
                <w:sz w:val="20"/>
                <w:szCs w:val="20"/>
              </w:rPr>
            </w:pPr>
          </w:p>
          <w:p w14:paraId="11A601C7" w14:textId="77777777" w:rsidR="005A52B1" w:rsidRPr="00154588" w:rsidRDefault="005A52B1" w:rsidP="008C12B4">
            <w:pPr>
              <w:jc w:val="both"/>
              <w:rPr>
                <w:bCs/>
                <w:sz w:val="20"/>
                <w:szCs w:val="20"/>
              </w:rPr>
            </w:pPr>
            <w:r w:rsidRPr="00154588">
              <w:rPr>
                <w:bCs/>
                <w:sz w:val="20"/>
                <w:szCs w:val="20"/>
              </w:rPr>
              <w:t>a) descrierea detaliată a structurii organizatorice a instituției, inclusiv lista tuturor persoanelor juridice;</w:t>
            </w:r>
          </w:p>
          <w:p w14:paraId="289ED7AE" w14:textId="77777777" w:rsidR="005A52B1" w:rsidRPr="00154588" w:rsidRDefault="005A52B1" w:rsidP="008C12B4">
            <w:pPr>
              <w:jc w:val="both"/>
              <w:rPr>
                <w:bCs/>
                <w:sz w:val="20"/>
                <w:szCs w:val="20"/>
              </w:rPr>
            </w:pPr>
          </w:p>
          <w:p w14:paraId="70C50460" w14:textId="77777777" w:rsidR="005A52B1" w:rsidRPr="00154588" w:rsidRDefault="005A52B1" w:rsidP="008C12B4">
            <w:pPr>
              <w:jc w:val="both"/>
              <w:rPr>
                <w:bCs/>
                <w:sz w:val="20"/>
                <w:szCs w:val="20"/>
              </w:rPr>
            </w:pPr>
            <w:r w:rsidRPr="00154588">
              <w:rPr>
                <w:bCs/>
                <w:sz w:val="20"/>
                <w:szCs w:val="20"/>
              </w:rPr>
              <w:t>b) identificarea acţionarilor direcţi, precum şi a procentului drepturilor de vot şi al altor drepturi ale fiecărei persoane juridice;</w:t>
            </w:r>
          </w:p>
          <w:p w14:paraId="5145D2BB" w14:textId="77777777" w:rsidR="005A52B1" w:rsidRPr="00154588" w:rsidRDefault="005A52B1" w:rsidP="008C12B4">
            <w:pPr>
              <w:jc w:val="both"/>
              <w:rPr>
                <w:bCs/>
                <w:sz w:val="20"/>
                <w:szCs w:val="20"/>
              </w:rPr>
            </w:pPr>
          </w:p>
          <w:p w14:paraId="7EB23383" w14:textId="77777777" w:rsidR="005A52B1" w:rsidRPr="00154588" w:rsidRDefault="005A52B1" w:rsidP="008C12B4">
            <w:pPr>
              <w:jc w:val="both"/>
              <w:rPr>
                <w:bCs/>
                <w:sz w:val="20"/>
                <w:szCs w:val="20"/>
              </w:rPr>
            </w:pPr>
            <w:r w:rsidRPr="00154588">
              <w:rPr>
                <w:bCs/>
                <w:sz w:val="20"/>
                <w:szCs w:val="20"/>
              </w:rPr>
              <w:t>c) sediul, jurisdicţia locului de înregistrare, autorizare şi persoanele cu funcţii-cheie din conducere, pentru fiecare persoană juridică;</w:t>
            </w:r>
          </w:p>
          <w:p w14:paraId="156F11CB" w14:textId="77777777" w:rsidR="005A52B1" w:rsidRPr="00154588" w:rsidRDefault="005A52B1" w:rsidP="008C12B4">
            <w:pPr>
              <w:jc w:val="both"/>
              <w:rPr>
                <w:bCs/>
                <w:sz w:val="20"/>
                <w:szCs w:val="20"/>
              </w:rPr>
            </w:pPr>
          </w:p>
          <w:p w14:paraId="610A4D1F" w14:textId="77777777" w:rsidR="005A52B1" w:rsidRPr="00154588" w:rsidRDefault="005A52B1" w:rsidP="008C12B4">
            <w:pPr>
              <w:jc w:val="both"/>
              <w:rPr>
                <w:bCs/>
                <w:sz w:val="20"/>
                <w:szCs w:val="20"/>
              </w:rPr>
            </w:pPr>
            <w:r w:rsidRPr="00154588">
              <w:rPr>
                <w:bCs/>
                <w:sz w:val="20"/>
                <w:szCs w:val="20"/>
              </w:rPr>
              <w:t>d) diagrama funcţiilor critice ale instituției şi a liniilor de activitate de bază, inclusiv deţinerile semnificative de active şi datoriilor aferente respectivelor operaţiuni şi linii de activitate, cu indicarea persoanelor juridice corespondente;</w:t>
            </w:r>
          </w:p>
          <w:p w14:paraId="633D76D3" w14:textId="77777777" w:rsidR="005A52B1" w:rsidRPr="00154588" w:rsidRDefault="005A52B1" w:rsidP="008C12B4">
            <w:pPr>
              <w:jc w:val="both"/>
              <w:rPr>
                <w:bCs/>
                <w:sz w:val="20"/>
                <w:szCs w:val="20"/>
              </w:rPr>
            </w:pPr>
          </w:p>
          <w:p w14:paraId="48047151" w14:textId="77777777" w:rsidR="005A52B1" w:rsidRPr="00154588" w:rsidRDefault="005A52B1" w:rsidP="008C12B4">
            <w:pPr>
              <w:jc w:val="both"/>
              <w:rPr>
                <w:bCs/>
                <w:sz w:val="20"/>
                <w:szCs w:val="20"/>
              </w:rPr>
            </w:pPr>
            <w:r w:rsidRPr="00154588">
              <w:rPr>
                <w:bCs/>
                <w:sz w:val="20"/>
                <w:szCs w:val="20"/>
              </w:rPr>
              <w:t>e) descrierea detaliată a elementelor de datorie ale instituției şi ale tuturor persoanelor juridice pe care le deţine, defalcate cel puţin pe tipuri şi valori în datorii pe termen scurt şi lung, garantate, negarantate şi subordonate;</w:t>
            </w:r>
          </w:p>
          <w:p w14:paraId="6D7C0325" w14:textId="77777777" w:rsidR="005A52B1" w:rsidRPr="00154588" w:rsidRDefault="005A52B1" w:rsidP="008C12B4">
            <w:pPr>
              <w:jc w:val="both"/>
              <w:rPr>
                <w:bCs/>
                <w:sz w:val="20"/>
                <w:szCs w:val="20"/>
              </w:rPr>
            </w:pPr>
          </w:p>
          <w:p w14:paraId="499190A9" w14:textId="77777777" w:rsidR="005A52B1" w:rsidRPr="00154588" w:rsidRDefault="005A52B1" w:rsidP="008C12B4">
            <w:pPr>
              <w:jc w:val="both"/>
              <w:rPr>
                <w:bCs/>
                <w:sz w:val="20"/>
                <w:szCs w:val="20"/>
              </w:rPr>
            </w:pPr>
            <w:r w:rsidRPr="00154588">
              <w:rPr>
                <w:bCs/>
                <w:sz w:val="20"/>
                <w:szCs w:val="20"/>
              </w:rPr>
              <w:t>e</w:t>
            </w:r>
            <w:r w:rsidRPr="00154588">
              <w:rPr>
                <w:bCs/>
                <w:sz w:val="20"/>
                <w:szCs w:val="20"/>
                <w:vertAlign w:val="superscript"/>
              </w:rPr>
              <w:t>1</w:t>
            </w:r>
            <w:r w:rsidRPr="00154588">
              <w:rPr>
                <w:bCs/>
                <w:sz w:val="20"/>
                <w:szCs w:val="20"/>
              </w:rPr>
              <w:t xml:space="preserve">) descrierea datoriilor instituției și ale tuturor entităților sale juridice reglementate de legislația unei țări terțe, inclusiv: </w:t>
            </w:r>
          </w:p>
          <w:p w14:paraId="706784B9" w14:textId="77777777" w:rsidR="005A52B1" w:rsidRPr="00154588" w:rsidRDefault="005A52B1" w:rsidP="008C12B4">
            <w:pPr>
              <w:jc w:val="both"/>
              <w:rPr>
                <w:bCs/>
                <w:sz w:val="20"/>
                <w:szCs w:val="20"/>
              </w:rPr>
            </w:pPr>
            <w:r w:rsidRPr="00154588">
              <w:rPr>
                <w:bCs/>
                <w:sz w:val="20"/>
                <w:szCs w:val="20"/>
              </w:rPr>
              <w:t xml:space="preserve">— cuantumurile acestora; </w:t>
            </w:r>
          </w:p>
          <w:p w14:paraId="4E5BAB89" w14:textId="77777777" w:rsidR="005A52B1" w:rsidRPr="00154588" w:rsidRDefault="005A52B1" w:rsidP="008C12B4">
            <w:pPr>
              <w:jc w:val="both"/>
              <w:rPr>
                <w:bCs/>
                <w:sz w:val="20"/>
                <w:szCs w:val="20"/>
              </w:rPr>
            </w:pPr>
            <w:r w:rsidRPr="00154588">
              <w:rPr>
                <w:bCs/>
                <w:sz w:val="20"/>
                <w:szCs w:val="20"/>
              </w:rPr>
              <w:t xml:space="preserve">— componența lor, inclusiv profilul de scadență; </w:t>
            </w:r>
          </w:p>
          <w:p w14:paraId="2DD08A33" w14:textId="77777777" w:rsidR="005A52B1" w:rsidRPr="00154588" w:rsidRDefault="005A52B1" w:rsidP="008C12B4">
            <w:pPr>
              <w:jc w:val="both"/>
              <w:rPr>
                <w:bCs/>
                <w:sz w:val="20"/>
                <w:szCs w:val="20"/>
              </w:rPr>
            </w:pPr>
            <w:r w:rsidRPr="00154588">
              <w:rPr>
                <w:bCs/>
                <w:sz w:val="20"/>
                <w:szCs w:val="20"/>
              </w:rPr>
              <w:t xml:space="preserve">— legislația aplicabilă a țării terțe; </w:t>
            </w:r>
          </w:p>
          <w:p w14:paraId="3452A1CB" w14:textId="77777777" w:rsidR="005A52B1" w:rsidRPr="00154588" w:rsidRDefault="005A52B1" w:rsidP="008C12B4">
            <w:pPr>
              <w:jc w:val="both"/>
              <w:rPr>
                <w:bCs/>
                <w:sz w:val="20"/>
                <w:szCs w:val="20"/>
              </w:rPr>
            </w:pPr>
            <w:r w:rsidRPr="00154588">
              <w:rPr>
                <w:bCs/>
                <w:sz w:val="20"/>
                <w:szCs w:val="20"/>
              </w:rPr>
              <w:t xml:space="preserve">— rangul pe care îl ocupă în cadrul procedurii obișnuite de insolvență; </w:t>
            </w:r>
          </w:p>
          <w:p w14:paraId="6115A55D" w14:textId="77777777" w:rsidR="005A52B1" w:rsidRPr="00154588" w:rsidRDefault="005A52B1" w:rsidP="008C12B4">
            <w:pPr>
              <w:jc w:val="both"/>
              <w:rPr>
                <w:bCs/>
                <w:sz w:val="20"/>
                <w:szCs w:val="20"/>
              </w:rPr>
            </w:pPr>
            <w:r w:rsidRPr="00154588">
              <w:rPr>
                <w:bCs/>
                <w:sz w:val="20"/>
                <w:szCs w:val="20"/>
              </w:rPr>
              <w:lastRenderedPageBreak/>
              <w:t xml:space="preserve">— dacă datoria este exclusă în temeiul articolului 155; </w:t>
            </w:r>
          </w:p>
          <w:p w14:paraId="1675B89B" w14:textId="77777777" w:rsidR="005A52B1" w:rsidRPr="00154588" w:rsidRDefault="005A52B1" w:rsidP="008C12B4">
            <w:pPr>
              <w:jc w:val="both"/>
              <w:rPr>
                <w:bCs/>
                <w:sz w:val="20"/>
                <w:szCs w:val="20"/>
                <w:lang w:eastAsia="ro-MD"/>
              </w:rPr>
            </w:pPr>
            <w:r w:rsidRPr="00154588">
              <w:rPr>
                <w:bCs/>
                <w:sz w:val="20"/>
                <w:szCs w:val="20"/>
              </w:rPr>
              <w:t xml:space="preserve">— dacă includ în dispozițiile contractuale clauza prevăzută în temeiul art.210 alineatul (1) din prezenta lege, al pct. 70 subpct. 17)-19) și al pct. 97,subpct. 14)-16) din </w:t>
            </w:r>
            <w:r w:rsidRPr="00154588">
              <w:rPr>
                <w:bCs/>
                <w:sz w:val="20"/>
                <w:szCs w:val="20"/>
                <w:lang w:eastAsia="ro-MD"/>
              </w:rPr>
              <w:t>Regulamentul cu privire la fondurile proprii ale băncilor și cerințele de capital;</w:t>
            </w:r>
          </w:p>
          <w:p w14:paraId="3D37C14A" w14:textId="77777777" w:rsidR="005A52B1" w:rsidRPr="00154588" w:rsidRDefault="005A52B1" w:rsidP="008C12B4">
            <w:pPr>
              <w:jc w:val="both"/>
              <w:rPr>
                <w:bCs/>
                <w:sz w:val="20"/>
                <w:szCs w:val="20"/>
              </w:rPr>
            </w:pPr>
            <w:r w:rsidRPr="00154588">
              <w:rPr>
                <w:bCs/>
                <w:sz w:val="20"/>
                <w:szCs w:val="20"/>
              </w:rPr>
              <w:t xml:space="preserve">— în cazul în care s-a stabilit că este imposibil, din punct de vedere juridic sau din motive de altă natură, să se includă clauza de recunoaștere contractuală a recapitalizării interne în conformitate cu art.210, categoria datoriei în temeiul </w:t>
            </w:r>
            <w:r w:rsidRPr="00154588">
              <w:rPr>
                <w:sz w:val="20"/>
                <w:szCs w:val="20"/>
              </w:rPr>
              <w:t>art.212 alin.(2).</w:t>
            </w:r>
          </w:p>
          <w:p w14:paraId="1EFF0974" w14:textId="77777777" w:rsidR="005A52B1" w:rsidRPr="00154588" w:rsidRDefault="005A52B1" w:rsidP="008C12B4">
            <w:pPr>
              <w:jc w:val="both"/>
              <w:rPr>
                <w:bCs/>
                <w:sz w:val="20"/>
                <w:szCs w:val="20"/>
              </w:rPr>
            </w:pPr>
            <w:r w:rsidRPr="00154588">
              <w:rPr>
                <w:bCs/>
                <w:sz w:val="20"/>
                <w:szCs w:val="20"/>
              </w:rPr>
              <w:t>f) detalii cu privire la datoriile instituției care pot face obiectul recapitalizării interne;</w:t>
            </w:r>
          </w:p>
          <w:p w14:paraId="391A6B40" w14:textId="77777777" w:rsidR="005A52B1" w:rsidRPr="00154588" w:rsidRDefault="005A52B1" w:rsidP="008C12B4">
            <w:pPr>
              <w:jc w:val="both"/>
              <w:rPr>
                <w:bCs/>
                <w:sz w:val="20"/>
                <w:szCs w:val="20"/>
              </w:rPr>
            </w:pPr>
          </w:p>
          <w:p w14:paraId="4591545C" w14:textId="77777777" w:rsidR="005A52B1" w:rsidRPr="00154588" w:rsidRDefault="005A52B1" w:rsidP="008C12B4">
            <w:pPr>
              <w:jc w:val="both"/>
              <w:rPr>
                <w:bCs/>
                <w:sz w:val="20"/>
                <w:szCs w:val="20"/>
              </w:rPr>
            </w:pPr>
            <w:r w:rsidRPr="00154588">
              <w:rPr>
                <w:bCs/>
                <w:sz w:val="20"/>
                <w:szCs w:val="20"/>
              </w:rPr>
              <w:t>g) identificarea proceselor necesare pentru a stabili entităţile în favoarea cărora instituția a constituit garanţii reale, persoanele care deţin garanţiile şi jurisdicţiile în care sînt situate garanţiile;</w:t>
            </w:r>
          </w:p>
          <w:p w14:paraId="735E2CA7" w14:textId="77777777" w:rsidR="005A52B1" w:rsidRPr="00154588" w:rsidRDefault="005A52B1" w:rsidP="008C12B4">
            <w:pPr>
              <w:jc w:val="both"/>
              <w:rPr>
                <w:bCs/>
                <w:sz w:val="20"/>
                <w:szCs w:val="20"/>
              </w:rPr>
            </w:pPr>
          </w:p>
          <w:p w14:paraId="7EE3FDB2" w14:textId="77777777" w:rsidR="005A52B1" w:rsidRPr="00154588" w:rsidRDefault="005A52B1" w:rsidP="008C12B4">
            <w:pPr>
              <w:jc w:val="both"/>
              <w:rPr>
                <w:bCs/>
                <w:sz w:val="20"/>
                <w:szCs w:val="20"/>
              </w:rPr>
            </w:pPr>
            <w:r w:rsidRPr="00154588">
              <w:rPr>
                <w:bCs/>
                <w:sz w:val="20"/>
                <w:szCs w:val="20"/>
              </w:rPr>
              <w:t>h) descrierea expunerilor extrabilanţiere ale instituției şi ale persoanelor juridice, inclusiv stabilirea de corespondenţe cu funcţiile critice şi liniile de activitate de bază ale băncii;</w:t>
            </w:r>
          </w:p>
          <w:p w14:paraId="0B889FC3" w14:textId="77777777" w:rsidR="005A52B1" w:rsidRPr="00154588" w:rsidRDefault="005A52B1" w:rsidP="008C12B4">
            <w:pPr>
              <w:jc w:val="both"/>
              <w:rPr>
                <w:bCs/>
                <w:sz w:val="20"/>
                <w:szCs w:val="20"/>
              </w:rPr>
            </w:pPr>
          </w:p>
          <w:p w14:paraId="1365A654" w14:textId="77777777" w:rsidR="005A52B1" w:rsidRPr="00154588" w:rsidRDefault="005A52B1" w:rsidP="008C12B4">
            <w:pPr>
              <w:jc w:val="both"/>
              <w:rPr>
                <w:bCs/>
                <w:sz w:val="20"/>
                <w:szCs w:val="20"/>
              </w:rPr>
            </w:pPr>
            <w:r w:rsidRPr="00154588">
              <w:rPr>
                <w:bCs/>
                <w:sz w:val="20"/>
                <w:szCs w:val="20"/>
              </w:rPr>
              <w:t>i) principalele operaţiuni de acoperire a riscurilor ale instituției, inclusiv stabilirea de corespondenţe cu persoanele juridice;</w:t>
            </w:r>
          </w:p>
          <w:p w14:paraId="3DAA979E" w14:textId="77777777" w:rsidR="005A52B1" w:rsidRPr="00154588" w:rsidRDefault="005A52B1" w:rsidP="008C12B4">
            <w:pPr>
              <w:jc w:val="both"/>
              <w:rPr>
                <w:bCs/>
                <w:sz w:val="20"/>
                <w:szCs w:val="20"/>
              </w:rPr>
            </w:pPr>
          </w:p>
          <w:p w14:paraId="54875D97" w14:textId="77777777" w:rsidR="005A52B1" w:rsidRPr="00154588" w:rsidRDefault="005A52B1" w:rsidP="008C12B4">
            <w:pPr>
              <w:jc w:val="both"/>
              <w:rPr>
                <w:bCs/>
                <w:sz w:val="20"/>
                <w:szCs w:val="20"/>
              </w:rPr>
            </w:pPr>
            <w:r w:rsidRPr="00154588">
              <w:rPr>
                <w:bCs/>
                <w:sz w:val="20"/>
                <w:szCs w:val="20"/>
              </w:rPr>
              <w:t>j) identificarea principalelor contrapartide ale instituției sau a celor critice, precum şi o analiză a impactului unei situaţii de dificultate a principalelor contrapărţi asupra situaţiei financiare a băncii;</w:t>
            </w:r>
          </w:p>
          <w:p w14:paraId="681E57D9" w14:textId="77777777" w:rsidR="005A52B1" w:rsidRPr="00154588" w:rsidRDefault="005A52B1" w:rsidP="008C12B4">
            <w:pPr>
              <w:jc w:val="both"/>
              <w:rPr>
                <w:bCs/>
                <w:sz w:val="20"/>
                <w:szCs w:val="20"/>
              </w:rPr>
            </w:pPr>
          </w:p>
          <w:p w14:paraId="6F1D128B" w14:textId="77777777" w:rsidR="005A52B1" w:rsidRPr="00154588" w:rsidRDefault="005A52B1" w:rsidP="008C12B4">
            <w:pPr>
              <w:jc w:val="both"/>
              <w:rPr>
                <w:bCs/>
                <w:sz w:val="20"/>
                <w:szCs w:val="20"/>
              </w:rPr>
            </w:pPr>
            <w:r w:rsidRPr="00154588">
              <w:rPr>
                <w:bCs/>
                <w:sz w:val="20"/>
                <w:szCs w:val="20"/>
              </w:rPr>
              <w:t>k) fiecare sistem în care instituția efectuează tranzacţii semnificative ca număr sau de o valoare semnificativă, inclusiv identificarea corespondenţei acestora cu persoanele juridice, funcţiile critice şi liniile de activitate de bază;</w:t>
            </w:r>
          </w:p>
          <w:p w14:paraId="495D6238" w14:textId="77777777" w:rsidR="005A52B1" w:rsidRPr="00154588" w:rsidRDefault="005A52B1" w:rsidP="008C12B4">
            <w:pPr>
              <w:jc w:val="both"/>
              <w:rPr>
                <w:bCs/>
                <w:sz w:val="20"/>
                <w:szCs w:val="20"/>
              </w:rPr>
            </w:pPr>
          </w:p>
          <w:p w14:paraId="1E8DE4C6" w14:textId="77777777" w:rsidR="005A52B1" w:rsidRPr="00154588" w:rsidRDefault="005A52B1" w:rsidP="008C12B4">
            <w:pPr>
              <w:jc w:val="both"/>
              <w:rPr>
                <w:bCs/>
                <w:sz w:val="20"/>
                <w:szCs w:val="20"/>
              </w:rPr>
            </w:pPr>
            <w:r w:rsidRPr="00154588">
              <w:rPr>
                <w:bCs/>
                <w:sz w:val="20"/>
                <w:szCs w:val="20"/>
              </w:rPr>
              <w:t>l) fiecare sistem de plată, de compensare sau de decontare la care instituția participă direct sau indirect, inclusiv stabilirea corespondenţei acestora cu persoanele juridice, funcţiile critice şi liniile de activitate de bază;</w:t>
            </w:r>
          </w:p>
          <w:p w14:paraId="448E3F05" w14:textId="77777777" w:rsidR="005A52B1" w:rsidRPr="00154588" w:rsidRDefault="005A52B1" w:rsidP="008C12B4">
            <w:pPr>
              <w:jc w:val="both"/>
              <w:rPr>
                <w:bCs/>
                <w:sz w:val="20"/>
                <w:szCs w:val="20"/>
              </w:rPr>
            </w:pPr>
          </w:p>
          <w:p w14:paraId="20147A69" w14:textId="77777777" w:rsidR="005A52B1" w:rsidRPr="00154588" w:rsidRDefault="005A52B1" w:rsidP="008C12B4">
            <w:pPr>
              <w:jc w:val="both"/>
              <w:rPr>
                <w:bCs/>
                <w:sz w:val="20"/>
                <w:szCs w:val="20"/>
              </w:rPr>
            </w:pPr>
          </w:p>
          <w:p w14:paraId="4CA8CE95" w14:textId="77777777" w:rsidR="005A52B1" w:rsidRPr="00154588" w:rsidRDefault="005A52B1" w:rsidP="008C12B4">
            <w:pPr>
              <w:jc w:val="both"/>
              <w:rPr>
                <w:bCs/>
                <w:sz w:val="20"/>
                <w:szCs w:val="20"/>
              </w:rPr>
            </w:pPr>
            <w:r w:rsidRPr="00154588">
              <w:rPr>
                <w:bCs/>
                <w:sz w:val="20"/>
                <w:szCs w:val="20"/>
              </w:rPr>
              <w:t>m) inventarul detaliat şi descrierea principalelor sisteme de gestiune a informaţiei, inclusiv cele de gestionare a riscurilor, de contabilitate şi de raportare financiară şi statutară utilizate de instituție, inclusiv stabilirea corespondenţei acestora cu persoanele juridice, funcţiile critice şi liniile de activitate de bază;</w:t>
            </w:r>
          </w:p>
          <w:p w14:paraId="030A0C10" w14:textId="77777777" w:rsidR="005A52B1" w:rsidRPr="00154588" w:rsidRDefault="005A52B1" w:rsidP="008C12B4">
            <w:pPr>
              <w:jc w:val="both"/>
              <w:rPr>
                <w:bCs/>
                <w:sz w:val="20"/>
                <w:szCs w:val="20"/>
              </w:rPr>
            </w:pPr>
          </w:p>
          <w:p w14:paraId="337D84CD" w14:textId="77777777" w:rsidR="005A52B1" w:rsidRPr="00154588" w:rsidRDefault="005A52B1" w:rsidP="008C12B4">
            <w:pPr>
              <w:jc w:val="both"/>
              <w:rPr>
                <w:bCs/>
                <w:sz w:val="20"/>
                <w:szCs w:val="20"/>
              </w:rPr>
            </w:pPr>
            <w:r w:rsidRPr="00154588">
              <w:rPr>
                <w:bCs/>
                <w:sz w:val="20"/>
                <w:szCs w:val="20"/>
              </w:rPr>
              <w:t>n) identificarea proprietarilor sistemelor incluse la lit.m), a acordurilor privind furnizarea serviciilor legate de acestea, precum şi a oricăror programe informatice şi sisteme sau licenţe, inclusiv stabilirea corespondenţei acestora cu persoanele juridice, operațiunile critice şi liniile de activitate de bază ale instituției, precum și o identificare a furnizorilor terți esențiali de servicii TIC;</w:t>
            </w:r>
          </w:p>
          <w:p w14:paraId="715C6EC9" w14:textId="77777777" w:rsidR="005A52B1" w:rsidRPr="00154588" w:rsidRDefault="005A52B1" w:rsidP="008C12B4">
            <w:pPr>
              <w:jc w:val="both"/>
              <w:rPr>
                <w:bCs/>
                <w:sz w:val="20"/>
                <w:szCs w:val="20"/>
              </w:rPr>
            </w:pPr>
          </w:p>
          <w:p w14:paraId="0212FC5A" w14:textId="77777777" w:rsidR="005A52B1" w:rsidRPr="00154588" w:rsidRDefault="005A52B1" w:rsidP="008C12B4">
            <w:pPr>
              <w:jc w:val="both"/>
              <w:rPr>
                <w:bCs/>
                <w:sz w:val="20"/>
                <w:szCs w:val="20"/>
              </w:rPr>
            </w:pPr>
            <w:r w:rsidRPr="00154588">
              <w:rPr>
                <w:bCs/>
                <w:sz w:val="20"/>
                <w:szCs w:val="20"/>
              </w:rPr>
              <w:t>n</w:t>
            </w:r>
            <w:r w:rsidRPr="00154588">
              <w:rPr>
                <w:bCs/>
                <w:sz w:val="20"/>
                <w:szCs w:val="20"/>
                <w:vertAlign w:val="superscript"/>
              </w:rPr>
              <w:t>1</w:t>
            </w:r>
            <w:r w:rsidRPr="00154588">
              <w:rPr>
                <w:bCs/>
                <w:sz w:val="20"/>
                <w:szCs w:val="20"/>
              </w:rPr>
              <w:t>) rezultatele testării rezilienței operaționale digitale a instituțiilor;</w:t>
            </w:r>
          </w:p>
          <w:p w14:paraId="2D67A864" w14:textId="77777777" w:rsidR="005A52B1" w:rsidRPr="00154588" w:rsidRDefault="005A52B1" w:rsidP="008C12B4">
            <w:pPr>
              <w:jc w:val="both"/>
              <w:rPr>
                <w:bCs/>
                <w:sz w:val="20"/>
                <w:szCs w:val="20"/>
              </w:rPr>
            </w:pPr>
          </w:p>
          <w:p w14:paraId="7CB3D7CC" w14:textId="77777777" w:rsidR="005A52B1" w:rsidRPr="00154588" w:rsidRDefault="005A52B1" w:rsidP="008C12B4">
            <w:pPr>
              <w:jc w:val="both"/>
              <w:rPr>
                <w:bCs/>
                <w:sz w:val="20"/>
                <w:szCs w:val="20"/>
              </w:rPr>
            </w:pPr>
            <w:r w:rsidRPr="00154588">
              <w:rPr>
                <w:bCs/>
                <w:sz w:val="20"/>
                <w:szCs w:val="20"/>
              </w:rPr>
              <w:t>o) identificarea şi descrierea persoanelor juridice şi a interconexiunilor şi interdependenţelor dintre diferitele persoane juridice, cum ar fi: personal, facilităţi şi sisteme comune sau partajate ori mecanisme de capital, de finanţare sau de lichiditate ori expuneri de credit existente sau contingente ori acorduri de garanţii personale încrucişate, acorduri de garanţii reale încrucişate, acorduri privind clauze de tip "cross-default" şi acorduri de tip compensare încrucişată între entităţi afiliate ori aranjamente privind transferul riscului şi aranjamente de tranzacţionare "back to back"; acorduri privind furnizarea de servicii;</w:t>
            </w:r>
          </w:p>
          <w:p w14:paraId="1A6AAB4B" w14:textId="77777777" w:rsidR="005A52B1" w:rsidRPr="00154588" w:rsidRDefault="005A52B1" w:rsidP="008C12B4">
            <w:pPr>
              <w:jc w:val="both"/>
              <w:rPr>
                <w:bCs/>
                <w:sz w:val="20"/>
                <w:szCs w:val="20"/>
              </w:rPr>
            </w:pPr>
          </w:p>
          <w:p w14:paraId="093A0B3B" w14:textId="77777777" w:rsidR="005A52B1" w:rsidRPr="00154588" w:rsidRDefault="005A52B1" w:rsidP="008C12B4">
            <w:pPr>
              <w:jc w:val="both"/>
              <w:rPr>
                <w:bCs/>
                <w:sz w:val="20"/>
                <w:szCs w:val="20"/>
              </w:rPr>
            </w:pPr>
          </w:p>
          <w:p w14:paraId="12CD85A4" w14:textId="77777777" w:rsidR="005A52B1" w:rsidRPr="00154588" w:rsidRDefault="005A52B1" w:rsidP="008C12B4">
            <w:pPr>
              <w:jc w:val="both"/>
              <w:rPr>
                <w:bCs/>
                <w:sz w:val="20"/>
                <w:szCs w:val="20"/>
              </w:rPr>
            </w:pPr>
          </w:p>
          <w:p w14:paraId="718CA8AF" w14:textId="77777777" w:rsidR="005A52B1" w:rsidRPr="00154588" w:rsidRDefault="005A52B1" w:rsidP="008C12B4">
            <w:pPr>
              <w:jc w:val="both"/>
              <w:rPr>
                <w:bCs/>
                <w:sz w:val="20"/>
                <w:szCs w:val="20"/>
              </w:rPr>
            </w:pPr>
          </w:p>
          <w:p w14:paraId="3C30460C" w14:textId="77777777" w:rsidR="005A52B1" w:rsidRPr="00154588" w:rsidRDefault="005A52B1" w:rsidP="008C12B4">
            <w:pPr>
              <w:jc w:val="both"/>
              <w:rPr>
                <w:bCs/>
                <w:sz w:val="20"/>
                <w:szCs w:val="20"/>
              </w:rPr>
            </w:pPr>
          </w:p>
          <w:p w14:paraId="22FC1998" w14:textId="77777777" w:rsidR="005A52B1" w:rsidRPr="00154588" w:rsidRDefault="005A52B1" w:rsidP="008C12B4">
            <w:pPr>
              <w:jc w:val="both"/>
              <w:rPr>
                <w:bCs/>
                <w:sz w:val="20"/>
                <w:szCs w:val="20"/>
              </w:rPr>
            </w:pPr>
          </w:p>
          <w:p w14:paraId="3C6EB0E3" w14:textId="77777777" w:rsidR="005A52B1" w:rsidRPr="00154588" w:rsidRDefault="005A52B1" w:rsidP="008C12B4">
            <w:pPr>
              <w:jc w:val="both"/>
              <w:rPr>
                <w:bCs/>
                <w:sz w:val="20"/>
                <w:szCs w:val="20"/>
              </w:rPr>
            </w:pPr>
          </w:p>
          <w:p w14:paraId="7D84D80B" w14:textId="77777777" w:rsidR="005A52B1" w:rsidRPr="00154588" w:rsidRDefault="005A52B1" w:rsidP="008C12B4">
            <w:pPr>
              <w:jc w:val="both"/>
              <w:rPr>
                <w:bCs/>
                <w:sz w:val="20"/>
                <w:szCs w:val="20"/>
              </w:rPr>
            </w:pPr>
            <w:r w:rsidRPr="00154588">
              <w:rPr>
                <w:bCs/>
                <w:sz w:val="20"/>
                <w:szCs w:val="20"/>
              </w:rPr>
              <w:t>p) autoritatea competentă şi autoritatea de rezoluţie pentru fiecare persoană juridică;</w:t>
            </w:r>
          </w:p>
          <w:p w14:paraId="6C610731" w14:textId="77777777" w:rsidR="005A52B1" w:rsidRPr="00154588" w:rsidRDefault="005A52B1" w:rsidP="008C12B4">
            <w:pPr>
              <w:jc w:val="both"/>
              <w:rPr>
                <w:bCs/>
                <w:sz w:val="20"/>
                <w:szCs w:val="20"/>
              </w:rPr>
            </w:pPr>
          </w:p>
          <w:p w14:paraId="615DE3E7" w14:textId="77777777" w:rsidR="005A52B1" w:rsidRPr="00154588" w:rsidRDefault="005A52B1" w:rsidP="008C12B4">
            <w:pPr>
              <w:jc w:val="both"/>
              <w:rPr>
                <w:bCs/>
                <w:sz w:val="20"/>
                <w:szCs w:val="20"/>
              </w:rPr>
            </w:pPr>
            <w:r w:rsidRPr="00154588">
              <w:rPr>
                <w:bCs/>
                <w:sz w:val="20"/>
                <w:szCs w:val="20"/>
              </w:rPr>
              <w:lastRenderedPageBreak/>
              <w:t>q) membrul organului de conducere responsabil cu furnizarea informaţiilor necesare pentru elaborarea planului de rezoluţie al instituției, precum şi persoanele responsabile, dacă sînt diferite, cu furnizarea de informaţii referitoare la persoanele juridice, diversele operațiuni critice şi linii de activitate de bază ale grupului;</w:t>
            </w:r>
          </w:p>
          <w:p w14:paraId="69FCED8E" w14:textId="77777777" w:rsidR="005A52B1" w:rsidRPr="00154588" w:rsidRDefault="005A52B1" w:rsidP="008C12B4">
            <w:pPr>
              <w:jc w:val="both"/>
              <w:rPr>
                <w:bCs/>
                <w:sz w:val="20"/>
                <w:szCs w:val="20"/>
              </w:rPr>
            </w:pPr>
          </w:p>
          <w:p w14:paraId="27325C38" w14:textId="77777777" w:rsidR="005A52B1" w:rsidRPr="00154588" w:rsidRDefault="005A52B1" w:rsidP="008C12B4">
            <w:pPr>
              <w:jc w:val="both"/>
              <w:rPr>
                <w:bCs/>
                <w:sz w:val="20"/>
                <w:szCs w:val="20"/>
              </w:rPr>
            </w:pPr>
            <w:r w:rsidRPr="00154588">
              <w:rPr>
                <w:bCs/>
                <w:sz w:val="20"/>
                <w:szCs w:val="20"/>
              </w:rPr>
              <w:t>r) descrierea mecanismelor pe care instituția le-a pus la punct pentru a se asigura că, în caz de rezoluţie, autoritatea de rezoluţie va dispune de toate informaţiile necesare, astfel cum au fost stabilite de aceasta, pentru aplicarea instrumentelor şi a competenţelor de rezoluţie;</w:t>
            </w:r>
          </w:p>
          <w:p w14:paraId="52089EF1" w14:textId="77777777" w:rsidR="005A52B1" w:rsidRPr="00154588" w:rsidRDefault="005A52B1" w:rsidP="008C12B4">
            <w:pPr>
              <w:jc w:val="both"/>
              <w:rPr>
                <w:bCs/>
                <w:sz w:val="20"/>
                <w:szCs w:val="20"/>
              </w:rPr>
            </w:pPr>
          </w:p>
          <w:p w14:paraId="2FC67225" w14:textId="77777777" w:rsidR="005A52B1" w:rsidRPr="00154588" w:rsidRDefault="005A52B1" w:rsidP="008C12B4">
            <w:pPr>
              <w:jc w:val="both"/>
              <w:rPr>
                <w:bCs/>
                <w:sz w:val="20"/>
                <w:szCs w:val="20"/>
              </w:rPr>
            </w:pPr>
            <w:r w:rsidRPr="00154588">
              <w:rPr>
                <w:bCs/>
                <w:sz w:val="20"/>
                <w:szCs w:val="20"/>
              </w:rPr>
              <w:t>s) toate acordurile încheiate de instituții şi de persoanele juridice cu terţe părţi, a căror încetare poate fi declanşată de o decizie a autorităţilor de a aplica un instrument de rezoluţie şi dacă urmările provocate de încetare pot afecta aplicarea instrumentului de rezoluţie;</w:t>
            </w:r>
          </w:p>
          <w:p w14:paraId="6B15D32D" w14:textId="77777777" w:rsidR="005A52B1" w:rsidRPr="00154588" w:rsidRDefault="005A52B1" w:rsidP="008C12B4">
            <w:pPr>
              <w:jc w:val="both"/>
              <w:rPr>
                <w:bCs/>
                <w:sz w:val="20"/>
                <w:szCs w:val="20"/>
              </w:rPr>
            </w:pPr>
          </w:p>
          <w:p w14:paraId="3F53481B" w14:textId="77777777" w:rsidR="005A52B1" w:rsidRPr="00154588" w:rsidRDefault="005A52B1" w:rsidP="008C12B4">
            <w:pPr>
              <w:jc w:val="both"/>
              <w:rPr>
                <w:bCs/>
                <w:sz w:val="20"/>
                <w:szCs w:val="20"/>
              </w:rPr>
            </w:pPr>
            <w:r w:rsidRPr="00154588">
              <w:rPr>
                <w:bCs/>
                <w:sz w:val="20"/>
                <w:szCs w:val="20"/>
              </w:rPr>
              <w:t>t) descrierea eventualelor surse de lichiditate în sprijinul rezoluţiei;</w:t>
            </w:r>
          </w:p>
          <w:p w14:paraId="7901F6DE" w14:textId="77777777" w:rsidR="005A52B1" w:rsidRPr="00154588" w:rsidRDefault="005A52B1" w:rsidP="008C12B4">
            <w:pPr>
              <w:jc w:val="both"/>
              <w:rPr>
                <w:bCs/>
                <w:sz w:val="20"/>
                <w:szCs w:val="20"/>
              </w:rPr>
            </w:pPr>
          </w:p>
          <w:p w14:paraId="5B68924A" w14:textId="77777777" w:rsidR="005A52B1" w:rsidRPr="00154588" w:rsidRDefault="005A52B1" w:rsidP="008C12B4">
            <w:pPr>
              <w:jc w:val="both"/>
              <w:rPr>
                <w:bCs/>
                <w:sz w:val="20"/>
                <w:szCs w:val="20"/>
              </w:rPr>
            </w:pPr>
            <w:r w:rsidRPr="00154588">
              <w:rPr>
                <w:bCs/>
                <w:sz w:val="20"/>
                <w:szCs w:val="20"/>
              </w:rPr>
              <w:t>u) informaţiile privind grevarea cu sarcini a activelor, activele lichide, operaţiunile extrabilanţiere, strategiile de acoperire împotriva riscurilor şi practicile de înregistrare contabilă.</w:t>
            </w:r>
          </w:p>
        </w:tc>
        <w:tc>
          <w:tcPr>
            <w:tcW w:w="2545" w:type="dxa"/>
            <w:gridSpan w:val="2"/>
          </w:tcPr>
          <w:p w14:paraId="55C11399" w14:textId="77777777" w:rsidR="005A52B1" w:rsidRPr="00154588" w:rsidRDefault="005A52B1" w:rsidP="008C12B4">
            <w:pPr>
              <w:jc w:val="both"/>
              <w:rPr>
                <w:bCs/>
                <w:sz w:val="20"/>
                <w:szCs w:val="20"/>
              </w:rPr>
            </w:pPr>
            <w:r w:rsidRPr="00154588">
              <w:rPr>
                <w:bCs/>
                <w:sz w:val="20"/>
                <w:szCs w:val="20"/>
              </w:rPr>
              <w:lastRenderedPageBreak/>
              <w:t>Compatibil</w:t>
            </w:r>
          </w:p>
        </w:tc>
        <w:tc>
          <w:tcPr>
            <w:tcW w:w="3162" w:type="dxa"/>
            <w:gridSpan w:val="2"/>
          </w:tcPr>
          <w:p w14:paraId="6B19B1F1" w14:textId="77777777" w:rsidR="005A52B1" w:rsidRPr="00154588" w:rsidRDefault="005A52B1" w:rsidP="008C12B4">
            <w:pPr>
              <w:jc w:val="both"/>
              <w:rPr>
                <w:bCs/>
                <w:sz w:val="20"/>
                <w:szCs w:val="20"/>
              </w:rPr>
            </w:pPr>
          </w:p>
        </w:tc>
      </w:tr>
      <w:tr w:rsidR="005A52B1" w:rsidRPr="00154588" w14:paraId="2357D734" w14:textId="77777777" w:rsidTr="007F5746">
        <w:tc>
          <w:tcPr>
            <w:tcW w:w="4929" w:type="dxa"/>
          </w:tcPr>
          <w:p w14:paraId="6045AC9B" w14:textId="77777777" w:rsidR="005A52B1" w:rsidRPr="00154588" w:rsidRDefault="005A52B1" w:rsidP="008C12B4">
            <w:pPr>
              <w:jc w:val="both"/>
              <w:rPr>
                <w:b/>
                <w:sz w:val="20"/>
                <w:szCs w:val="20"/>
              </w:rPr>
            </w:pPr>
            <w:r w:rsidRPr="00154588">
              <w:rPr>
                <w:b/>
                <w:sz w:val="20"/>
                <w:szCs w:val="20"/>
              </w:rPr>
              <w:lastRenderedPageBreak/>
              <w:t>SECȚIUNEA C</w:t>
            </w:r>
          </w:p>
          <w:p w14:paraId="6BFB9D1C" w14:textId="77777777" w:rsidR="005A52B1" w:rsidRPr="00154588" w:rsidRDefault="005A52B1" w:rsidP="008C12B4">
            <w:pPr>
              <w:jc w:val="both"/>
              <w:rPr>
                <w:b/>
                <w:sz w:val="20"/>
                <w:szCs w:val="20"/>
              </w:rPr>
            </w:pPr>
          </w:p>
          <w:p w14:paraId="2EC71D1B" w14:textId="77777777" w:rsidR="005A52B1" w:rsidRPr="00154588" w:rsidRDefault="005A52B1" w:rsidP="008C12B4">
            <w:pPr>
              <w:jc w:val="both"/>
              <w:rPr>
                <w:b/>
                <w:sz w:val="20"/>
                <w:szCs w:val="20"/>
              </w:rPr>
            </w:pPr>
            <w:r w:rsidRPr="00154588">
              <w:rPr>
                <w:b/>
                <w:sz w:val="20"/>
                <w:szCs w:val="20"/>
              </w:rPr>
              <w:t>Chestiuni pe care autoritatea de rezoluție trebuie să le ia în considerare la evaluarea posibilității de soluționare a unei instituții sau a unui grup</w:t>
            </w:r>
          </w:p>
        </w:tc>
        <w:tc>
          <w:tcPr>
            <w:tcW w:w="4810" w:type="dxa"/>
          </w:tcPr>
          <w:p w14:paraId="27B457DF" w14:textId="77777777" w:rsidR="005A52B1" w:rsidRPr="00154588" w:rsidRDefault="005A52B1" w:rsidP="008C12B4">
            <w:pPr>
              <w:jc w:val="both"/>
              <w:rPr>
                <w:b/>
                <w:sz w:val="20"/>
                <w:szCs w:val="20"/>
              </w:rPr>
            </w:pPr>
            <w:r w:rsidRPr="00154588">
              <w:rPr>
                <w:b/>
                <w:sz w:val="20"/>
                <w:szCs w:val="20"/>
              </w:rPr>
              <w:t>SECȚIUNEA C</w:t>
            </w:r>
          </w:p>
        </w:tc>
        <w:tc>
          <w:tcPr>
            <w:tcW w:w="2545" w:type="dxa"/>
            <w:gridSpan w:val="2"/>
          </w:tcPr>
          <w:p w14:paraId="4C9BCF4B" w14:textId="77777777" w:rsidR="005A52B1" w:rsidRPr="00154588" w:rsidRDefault="005A52B1" w:rsidP="008C12B4">
            <w:pPr>
              <w:jc w:val="both"/>
              <w:rPr>
                <w:bCs/>
                <w:sz w:val="20"/>
                <w:szCs w:val="20"/>
              </w:rPr>
            </w:pPr>
          </w:p>
        </w:tc>
        <w:tc>
          <w:tcPr>
            <w:tcW w:w="3162" w:type="dxa"/>
            <w:gridSpan w:val="2"/>
          </w:tcPr>
          <w:p w14:paraId="106C3C74" w14:textId="77777777" w:rsidR="005A52B1" w:rsidRPr="00154588" w:rsidRDefault="005A52B1" w:rsidP="008C12B4">
            <w:pPr>
              <w:jc w:val="both"/>
              <w:rPr>
                <w:bCs/>
                <w:sz w:val="20"/>
                <w:szCs w:val="20"/>
              </w:rPr>
            </w:pPr>
          </w:p>
        </w:tc>
      </w:tr>
      <w:tr w:rsidR="005A52B1" w:rsidRPr="00154588" w14:paraId="32E7F4E4" w14:textId="77777777" w:rsidTr="007F5746">
        <w:tc>
          <w:tcPr>
            <w:tcW w:w="4929" w:type="dxa"/>
          </w:tcPr>
          <w:p w14:paraId="7BE7AE0B" w14:textId="77777777" w:rsidR="005A52B1" w:rsidRPr="00154588" w:rsidRDefault="005A52B1" w:rsidP="008C12B4">
            <w:pPr>
              <w:jc w:val="both"/>
              <w:rPr>
                <w:bCs/>
                <w:sz w:val="20"/>
                <w:szCs w:val="20"/>
              </w:rPr>
            </w:pPr>
            <w:r w:rsidRPr="00154588">
              <w:rPr>
                <w:bCs/>
                <w:sz w:val="20"/>
                <w:szCs w:val="20"/>
              </w:rPr>
              <w:t>Atunci când evaluează posibilitatea de soluționare a unei instituții sau a unui grup, autoritatea de rezoluție ține cont de următoarele aspecte:</w:t>
            </w:r>
          </w:p>
          <w:p w14:paraId="020CD921" w14:textId="77777777" w:rsidR="005A52B1" w:rsidRPr="00154588" w:rsidRDefault="005A52B1" w:rsidP="008C12B4">
            <w:pPr>
              <w:jc w:val="both"/>
              <w:rPr>
                <w:bCs/>
                <w:sz w:val="20"/>
                <w:szCs w:val="20"/>
              </w:rPr>
            </w:pPr>
          </w:p>
          <w:p w14:paraId="41F287A7" w14:textId="77777777" w:rsidR="005A52B1" w:rsidRPr="00154588" w:rsidRDefault="005A52B1" w:rsidP="008C12B4">
            <w:pPr>
              <w:jc w:val="both"/>
              <w:rPr>
                <w:bCs/>
                <w:sz w:val="20"/>
                <w:szCs w:val="20"/>
              </w:rPr>
            </w:pPr>
            <w:r w:rsidRPr="00154588">
              <w:rPr>
                <w:bCs/>
                <w:sz w:val="20"/>
                <w:szCs w:val="20"/>
              </w:rPr>
              <w:t>Atunci când se evaluează posibilitatea de soluționare a unui grup, referirile la o instituție trebuie să includă orice instituție sau entitate din cadrul unui grup menționată la articolul 1 alineatul (1) literele (c) sau (d):</w:t>
            </w:r>
          </w:p>
          <w:p w14:paraId="104AE226" w14:textId="77777777" w:rsidR="005A52B1" w:rsidRPr="00154588" w:rsidRDefault="005A52B1" w:rsidP="008C12B4">
            <w:pPr>
              <w:jc w:val="both"/>
              <w:rPr>
                <w:bCs/>
                <w:sz w:val="20"/>
                <w:szCs w:val="20"/>
              </w:rPr>
            </w:pPr>
          </w:p>
          <w:p w14:paraId="23D27312" w14:textId="77777777" w:rsidR="005A52B1" w:rsidRPr="00154588" w:rsidRDefault="005A52B1" w:rsidP="008C12B4">
            <w:pPr>
              <w:jc w:val="both"/>
              <w:rPr>
                <w:bCs/>
                <w:sz w:val="20"/>
                <w:szCs w:val="20"/>
              </w:rPr>
            </w:pPr>
            <w:r w:rsidRPr="00154588">
              <w:rPr>
                <w:bCs/>
                <w:sz w:val="20"/>
                <w:szCs w:val="20"/>
              </w:rPr>
              <w:lastRenderedPageBreak/>
              <w:t>1. măsura în care instituția poate stabili corespondențe între liniile de activitate de bază, respectiv operațiunile critice și persoanele juridice;</w:t>
            </w:r>
          </w:p>
          <w:p w14:paraId="5B9533E8" w14:textId="77777777" w:rsidR="005A52B1" w:rsidRPr="00154588" w:rsidRDefault="005A52B1" w:rsidP="008C12B4">
            <w:pPr>
              <w:jc w:val="both"/>
              <w:rPr>
                <w:bCs/>
                <w:sz w:val="20"/>
                <w:szCs w:val="20"/>
              </w:rPr>
            </w:pPr>
          </w:p>
          <w:p w14:paraId="05F5383B" w14:textId="77777777" w:rsidR="005A52B1" w:rsidRPr="00154588" w:rsidRDefault="005A52B1" w:rsidP="008C12B4">
            <w:pPr>
              <w:jc w:val="both"/>
              <w:rPr>
                <w:bCs/>
                <w:sz w:val="20"/>
                <w:szCs w:val="20"/>
              </w:rPr>
            </w:pPr>
            <w:r w:rsidRPr="00154588">
              <w:rPr>
                <w:bCs/>
                <w:sz w:val="20"/>
                <w:szCs w:val="20"/>
              </w:rPr>
              <w:t>2. măsura în care structurile juridice și corporative sunt armonizate cu liniile de activitate de bază și operațiunile critice;</w:t>
            </w:r>
          </w:p>
          <w:p w14:paraId="2B7AE6F5" w14:textId="77777777" w:rsidR="005A52B1" w:rsidRPr="00154588" w:rsidRDefault="005A52B1" w:rsidP="008C12B4">
            <w:pPr>
              <w:jc w:val="both"/>
              <w:rPr>
                <w:bCs/>
                <w:sz w:val="20"/>
                <w:szCs w:val="20"/>
              </w:rPr>
            </w:pPr>
          </w:p>
          <w:p w14:paraId="24FB0F56" w14:textId="77777777" w:rsidR="005A52B1" w:rsidRPr="00154588" w:rsidRDefault="005A52B1" w:rsidP="008C12B4">
            <w:pPr>
              <w:jc w:val="both"/>
              <w:rPr>
                <w:bCs/>
                <w:sz w:val="20"/>
                <w:szCs w:val="20"/>
              </w:rPr>
            </w:pPr>
            <w:r w:rsidRPr="00154588">
              <w:rPr>
                <w:bCs/>
                <w:sz w:val="20"/>
                <w:szCs w:val="20"/>
              </w:rPr>
              <w:t>3. măsura în care sunt în vigoare mecanisme care vizează asigurarea personalului, a infrastructurii, a finanțării, a lichidităților și a capitalului pentru a sprijini și menține liniile de activitate de bază și operațiunile critice;</w:t>
            </w:r>
          </w:p>
          <w:p w14:paraId="4E8810E9" w14:textId="77777777" w:rsidR="005A52B1" w:rsidRPr="00154588" w:rsidRDefault="005A52B1" w:rsidP="008C12B4">
            <w:pPr>
              <w:jc w:val="both"/>
              <w:rPr>
                <w:bCs/>
                <w:sz w:val="20"/>
                <w:szCs w:val="20"/>
              </w:rPr>
            </w:pPr>
          </w:p>
          <w:p w14:paraId="54FD9D19" w14:textId="77777777" w:rsidR="005A52B1" w:rsidRPr="00154588" w:rsidRDefault="005A52B1" w:rsidP="008C12B4">
            <w:pPr>
              <w:jc w:val="both"/>
              <w:rPr>
                <w:bCs/>
                <w:sz w:val="20"/>
                <w:szCs w:val="20"/>
              </w:rPr>
            </w:pPr>
            <w:r w:rsidRPr="00154588">
              <w:rPr>
                <w:bCs/>
                <w:sz w:val="20"/>
                <w:szCs w:val="20"/>
              </w:rPr>
              <w:t>4. măsura în care acordurile de servicii ale instituției sunt integral executabile în eventualitatea unei rezoluții a instituției;</w:t>
            </w:r>
          </w:p>
          <w:p w14:paraId="2080BBD9" w14:textId="77777777" w:rsidR="005A52B1" w:rsidRPr="00154588" w:rsidRDefault="005A52B1" w:rsidP="008C12B4">
            <w:pPr>
              <w:jc w:val="both"/>
              <w:rPr>
                <w:bCs/>
                <w:sz w:val="20"/>
                <w:szCs w:val="20"/>
              </w:rPr>
            </w:pPr>
          </w:p>
          <w:p w14:paraId="05B33FAA" w14:textId="77777777" w:rsidR="005A52B1" w:rsidRPr="00154588" w:rsidRDefault="005A52B1" w:rsidP="008C12B4">
            <w:pPr>
              <w:jc w:val="both"/>
              <w:rPr>
                <w:bCs/>
                <w:sz w:val="20"/>
                <w:szCs w:val="20"/>
              </w:rPr>
            </w:pPr>
          </w:p>
          <w:p w14:paraId="489E0957" w14:textId="77777777" w:rsidR="005A52B1" w:rsidRPr="00154588" w:rsidRDefault="005A52B1" w:rsidP="008C12B4">
            <w:pPr>
              <w:jc w:val="both"/>
              <w:rPr>
                <w:bCs/>
                <w:sz w:val="20"/>
                <w:szCs w:val="20"/>
              </w:rPr>
            </w:pPr>
          </w:p>
          <w:p w14:paraId="71D92B5D" w14:textId="77777777" w:rsidR="005A52B1" w:rsidRPr="00154588" w:rsidRDefault="005A52B1" w:rsidP="008C12B4">
            <w:pPr>
              <w:jc w:val="both"/>
              <w:rPr>
                <w:bCs/>
                <w:sz w:val="20"/>
                <w:szCs w:val="20"/>
              </w:rPr>
            </w:pPr>
          </w:p>
          <w:p w14:paraId="33618A0B" w14:textId="77777777" w:rsidR="005A52B1" w:rsidRPr="00154588" w:rsidRDefault="005A52B1" w:rsidP="008C12B4">
            <w:pPr>
              <w:jc w:val="both"/>
              <w:rPr>
                <w:bCs/>
                <w:sz w:val="20"/>
                <w:szCs w:val="20"/>
              </w:rPr>
            </w:pPr>
          </w:p>
          <w:p w14:paraId="3FF99A31" w14:textId="77777777" w:rsidR="005A52B1" w:rsidRPr="00154588" w:rsidRDefault="005A52B1" w:rsidP="008C12B4">
            <w:pPr>
              <w:jc w:val="both"/>
              <w:rPr>
                <w:bCs/>
                <w:sz w:val="20"/>
                <w:szCs w:val="20"/>
              </w:rPr>
            </w:pPr>
          </w:p>
          <w:p w14:paraId="659D2D9A" w14:textId="77777777" w:rsidR="005A52B1" w:rsidRPr="00154588" w:rsidRDefault="005A52B1" w:rsidP="008C12B4">
            <w:pPr>
              <w:jc w:val="both"/>
              <w:rPr>
                <w:bCs/>
                <w:sz w:val="20"/>
                <w:szCs w:val="20"/>
              </w:rPr>
            </w:pPr>
          </w:p>
          <w:p w14:paraId="59EB6B0C" w14:textId="77777777" w:rsidR="005A52B1" w:rsidRPr="00154588" w:rsidRDefault="005A52B1" w:rsidP="008C12B4">
            <w:pPr>
              <w:jc w:val="both"/>
              <w:rPr>
                <w:bCs/>
                <w:sz w:val="20"/>
                <w:szCs w:val="20"/>
              </w:rPr>
            </w:pPr>
          </w:p>
          <w:p w14:paraId="3776A019" w14:textId="77777777" w:rsidR="005A52B1" w:rsidRPr="00154588" w:rsidRDefault="005A52B1" w:rsidP="008C12B4">
            <w:pPr>
              <w:jc w:val="both"/>
              <w:rPr>
                <w:bCs/>
                <w:sz w:val="20"/>
                <w:szCs w:val="20"/>
              </w:rPr>
            </w:pPr>
            <w:r w:rsidRPr="00154588">
              <w:rPr>
                <w:bCs/>
                <w:sz w:val="20"/>
                <w:szCs w:val="20"/>
              </w:rPr>
              <w:t>5. măsura în care structura administrativă a instituției este adecvată pentru gestionarea și asigurarea conformității cu politicile interne ale instituției cu privire la acordurile sale privind furnizarea de servicii;</w:t>
            </w:r>
          </w:p>
          <w:p w14:paraId="5CE8B8C5" w14:textId="77777777" w:rsidR="005A52B1" w:rsidRPr="00154588" w:rsidRDefault="005A52B1" w:rsidP="008C12B4">
            <w:pPr>
              <w:jc w:val="both"/>
              <w:rPr>
                <w:bCs/>
                <w:sz w:val="20"/>
                <w:szCs w:val="20"/>
              </w:rPr>
            </w:pPr>
          </w:p>
          <w:p w14:paraId="670547AA" w14:textId="77777777" w:rsidR="005A52B1" w:rsidRPr="00154588" w:rsidRDefault="005A52B1" w:rsidP="008C12B4">
            <w:pPr>
              <w:jc w:val="both"/>
              <w:rPr>
                <w:bCs/>
                <w:sz w:val="20"/>
                <w:szCs w:val="20"/>
              </w:rPr>
            </w:pPr>
            <w:r w:rsidRPr="00154588">
              <w:rPr>
                <w:bCs/>
                <w:sz w:val="20"/>
                <w:szCs w:val="20"/>
              </w:rPr>
              <w:t>6. măsura în care instituția dispune de un proces pentru transferarea treptată către terți a serviciilor furnizate în cadrul contractelor privind furnizarea de servicii în caz de separare a funcțiilor critice sau a liniilor de activitate de bază;</w:t>
            </w:r>
          </w:p>
          <w:p w14:paraId="509B2664" w14:textId="77777777" w:rsidR="005A52B1" w:rsidRPr="00154588" w:rsidRDefault="005A52B1" w:rsidP="008C12B4">
            <w:pPr>
              <w:jc w:val="both"/>
              <w:rPr>
                <w:bCs/>
                <w:sz w:val="20"/>
                <w:szCs w:val="20"/>
              </w:rPr>
            </w:pPr>
          </w:p>
          <w:p w14:paraId="6B1C97CD" w14:textId="77777777" w:rsidR="005A52B1" w:rsidRPr="00154588" w:rsidRDefault="005A52B1" w:rsidP="008C12B4">
            <w:pPr>
              <w:jc w:val="both"/>
              <w:rPr>
                <w:bCs/>
                <w:sz w:val="20"/>
                <w:szCs w:val="20"/>
              </w:rPr>
            </w:pPr>
            <w:r w:rsidRPr="00154588">
              <w:rPr>
                <w:bCs/>
                <w:sz w:val="20"/>
                <w:szCs w:val="20"/>
              </w:rPr>
              <w:t>7. măsura în care există planuri și măsuri de contingență pentru a asigura continuitatea în ceea ce privește accesul la sistemele de plată și decontare;</w:t>
            </w:r>
          </w:p>
          <w:p w14:paraId="42F88CA2" w14:textId="77777777" w:rsidR="005A52B1" w:rsidRPr="00154588" w:rsidRDefault="005A52B1" w:rsidP="008C12B4">
            <w:pPr>
              <w:jc w:val="both"/>
              <w:rPr>
                <w:bCs/>
                <w:sz w:val="20"/>
                <w:szCs w:val="20"/>
              </w:rPr>
            </w:pPr>
          </w:p>
          <w:p w14:paraId="5437F1C0" w14:textId="77777777" w:rsidR="005A52B1" w:rsidRPr="00154588" w:rsidRDefault="005A52B1" w:rsidP="008C12B4">
            <w:pPr>
              <w:jc w:val="both"/>
              <w:rPr>
                <w:bCs/>
                <w:sz w:val="20"/>
                <w:szCs w:val="20"/>
              </w:rPr>
            </w:pPr>
            <w:r w:rsidRPr="00154588">
              <w:rPr>
                <w:bCs/>
                <w:sz w:val="20"/>
                <w:szCs w:val="20"/>
              </w:rPr>
              <w:t>8. capacitatea sistemelor informatice de gestiune de a garanta că autoritățile de rezoluție sunt în măsură să colecteze informații exacte și complete privind liniile de activitate de bază și operațiunile critice, astfel încât să se faciliteze luarea de decizii rapide;</w:t>
            </w:r>
          </w:p>
          <w:p w14:paraId="014236DC" w14:textId="77777777" w:rsidR="005A52B1" w:rsidRPr="00154588" w:rsidRDefault="005A52B1" w:rsidP="008C12B4">
            <w:pPr>
              <w:jc w:val="both"/>
              <w:rPr>
                <w:bCs/>
                <w:sz w:val="20"/>
                <w:szCs w:val="20"/>
              </w:rPr>
            </w:pPr>
          </w:p>
          <w:p w14:paraId="643F3CCF" w14:textId="77777777" w:rsidR="005A52B1" w:rsidRPr="00154588" w:rsidRDefault="005A52B1" w:rsidP="008C12B4">
            <w:pPr>
              <w:jc w:val="both"/>
              <w:rPr>
                <w:bCs/>
                <w:sz w:val="20"/>
                <w:szCs w:val="20"/>
              </w:rPr>
            </w:pPr>
            <w:r w:rsidRPr="00154588">
              <w:rPr>
                <w:bCs/>
                <w:sz w:val="20"/>
                <w:szCs w:val="20"/>
              </w:rPr>
              <w:t>9. capacitatea sistemelor informatice de gestiune de a furniza informațiile esențiale pentru rezoluția eficace a instituției în orice moment, chiar și atunci când condițiile se schimbă rapid;</w:t>
            </w:r>
          </w:p>
          <w:p w14:paraId="690CB574" w14:textId="77777777" w:rsidR="005A52B1" w:rsidRPr="00154588" w:rsidRDefault="005A52B1" w:rsidP="008C12B4">
            <w:pPr>
              <w:jc w:val="both"/>
              <w:rPr>
                <w:bCs/>
                <w:sz w:val="20"/>
                <w:szCs w:val="20"/>
              </w:rPr>
            </w:pPr>
          </w:p>
          <w:p w14:paraId="279A09CB" w14:textId="77777777" w:rsidR="005A52B1" w:rsidRPr="00154588" w:rsidRDefault="005A52B1" w:rsidP="008C12B4">
            <w:pPr>
              <w:jc w:val="both"/>
              <w:rPr>
                <w:bCs/>
                <w:sz w:val="20"/>
                <w:szCs w:val="20"/>
              </w:rPr>
            </w:pPr>
            <w:r w:rsidRPr="00154588">
              <w:rPr>
                <w:bCs/>
                <w:sz w:val="20"/>
                <w:szCs w:val="20"/>
              </w:rPr>
              <w:t>10. măsura în care instituția și-a testat sistemele informatice de gestiune pe baza scenariilor de criză astfel cum sunt definite de autoritatea de rezoluție;</w:t>
            </w:r>
          </w:p>
          <w:p w14:paraId="5B7684BD" w14:textId="77777777" w:rsidR="005A52B1" w:rsidRPr="00154588" w:rsidRDefault="005A52B1" w:rsidP="008C12B4">
            <w:pPr>
              <w:jc w:val="both"/>
              <w:rPr>
                <w:bCs/>
                <w:sz w:val="20"/>
                <w:szCs w:val="20"/>
              </w:rPr>
            </w:pPr>
          </w:p>
          <w:p w14:paraId="6CCF3840" w14:textId="77777777" w:rsidR="005A52B1" w:rsidRPr="00154588" w:rsidRDefault="005A52B1" w:rsidP="008C12B4">
            <w:pPr>
              <w:jc w:val="both"/>
              <w:rPr>
                <w:bCs/>
                <w:sz w:val="20"/>
                <w:szCs w:val="20"/>
              </w:rPr>
            </w:pPr>
            <w:r w:rsidRPr="00154588">
              <w:rPr>
                <w:bCs/>
                <w:sz w:val="20"/>
                <w:szCs w:val="20"/>
              </w:rPr>
              <w:t>11. măsura în care instituția poate asigura continuitatea funcționării sistemelor sale informatice de gestiune, atât pentru instituția afectată, cât și pentru noua instituție în cazul în care operațiunile critice și liniile de activitate de bază sunt separate de restul operațiunilor și liniilor de activitate;</w:t>
            </w:r>
          </w:p>
          <w:p w14:paraId="64ADD72C" w14:textId="77777777" w:rsidR="005A52B1" w:rsidRPr="00154588" w:rsidRDefault="005A52B1" w:rsidP="008C12B4">
            <w:pPr>
              <w:jc w:val="both"/>
              <w:rPr>
                <w:bCs/>
                <w:sz w:val="20"/>
                <w:szCs w:val="20"/>
              </w:rPr>
            </w:pPr>
          </w:p>
          <w:p w14:paraId="7C24B0C9" w14:textId="77777777" w:rsidR="005A52B1" w:rsidRPr="00154588" w:rsidRDefault="005A52B1" w:rsidP="008C12B4">
            <w:pPr>
              <w:jc w:val="both"/>
              <w:rPr>
                <w:bCs/>
                <w:sz w:val="20"/>
                <w:szCs w:val="20"/>
              </w:rPr>
            </w:pPr>
            <w:r w:rsidRPr="00154588">
              <w:rPr>
                <w:bCs/>
                <w:sz w:val="20"/>
                <w:szCs w:val="20"/>
              </w:rPr>
              <w:t>12. măsura în care instituția a elaborat proceduri corespunzătoare pentru a se asigura că oferă autorităților de rezoluție informațiile necesare pentru identificarea deponenților și a sumelor acoperite de schemele de garantare a depozitelor;</w:t>
            </w:r>
          </w:p>
          <w:p w14:paraId="269F0E40" w14:textId="77777777" w:rsidR="005A52B1" w:rsidRPr="00154588" w:rsidRDefault="005A52B1" w:rsidP="008C12B4">
            <w:pPr>
              <w:jc w:val="both"/>
              <w:rPr>
                <w:bCs/>
                <w:sz w:val="20"/>
                <w:szCs w:val="20"/>
              </w:rPr>
            </w:pPr>
          </w:p>
          <w:p w14:paraId="3EF27136" w14:textId="77777777" w:rsidR="005A52B1" w:rsidRPr="00154588" w:rsidRDefault="005A52B1" w:rsidP="008C12B4">
            <w:pPr>
              <w:jc w:val="both"/>
              <w:rPr>
                <w:bCs/>
                <w:sz w:val="20"/>
                <w:szCs w:val="20"/>
              </w:rPr>
            </w:pPr>
            <w:r w:rsidRPr="00154588">
              <w:rPr>
                <w:bCs/>
                <w:sz w:val="20"/>
                <w:szCs w:val="20"/>
              </w:rPr>
              <w:t>13. în cazul în care grupul folosește garanții intragrup, măsura în care garanțiile respective sunt furnizate în condiții de piață, iar sistemele de gestionare a riscurilor aferente acestor garanții sunt solide;</w:t>
            </w:r>
          </w:p>
          <w:p w14:paraId="75EDF4CA" w14:textId="77777777" w:rsidR="005A52B1" w:rsidRPr="00154588" w:rsidRDefault="005A52B1" w:rsidP="008C12B4">
            <w:pPr>
              <w:jc w:val="both"/>
              <w:rPr>
                <w:bCs/>
                <w:sz w:val="20"/>
                <w:szCs w:val="20"/>
              </w:rPr>
            </w:pPr>
          </w:p>
          <w:p w14:paraId="44D4D0DC" w14:textId="77777777" w:rsidR="005A52B1" w:rsidRPr="00154588" w:rsidRDefault="005A52B1" w:rsidP="008C12B4">
            <w:pPr>
              <w:jc w:val="both"/>
              <w:rPr>
                <w:bCs/>
                <w:sz w:val="20"/>
                <w:szCs w:val="20"/>
              </w:rPr>
            </w:pPr>
            <w:r w:rsidRPr="00154588">
              <w:rPr>
                <w:bCs/>
                <w:sz w:val="20"/>
                <w:szCs w:val="20"/>
              </w:rPr>
              <w:t>14. în cazul în care grupul se angajează în tranzacții „back to back”, măsura în care aceste tranzacții sunt efectuate în condiții de piață, iar sistemele de gestionare a riscurilor aferente acestor tranzacțiile sunt solide;</w:t>
            </w:r>
          </w:p>
          <w:p w14:paraId="335D5BEB" w14:textId="77777777" w:rsidR="005A52B1" w:rsidRPr="00154588" w:rsidRDefault="005A52B1" w:rsidP="008C12B4">
            <w:pPr>
              <w:jc w:val="both"/>
              <w:rPr>
                <w:bCs/>
                <w:sz w:val="20"/>
                <w:szCs w:val="20"/>
              </w:rPr>
            </w:pPr>
          </w:p>
          <w:p w14:paraId="1F9C119A" w14:textId="77777777" w:rsidR="005A52B1" w:rsidRPr="00154588" w:rsidRDefault="005A52B1" w:rsidP="008C12B4">
            <w:pPr>
              <w:jc w:val="both"/>
              <w:rPr>
                <w:bCs/>
                <w:sz w:val="20"/>
                <w:szCs w:val="20"/>
              </w:rPr>
            </w:pPr>
            <w:r w:rsidRPr="00154588">
              <w:rPr>
                <w:bCs/>
                <w:sz w:val="20"/>
                <w:szCs w:val="20"/>
              </w:rPr>
              <w:t>15. măsura în care utilizarea garanțiilor intragrup sau a tranzacțiilor de înregistrare „back to back” sporește contaminarea din cadrul grupului;</w:t>
            </w:r>
          </w:p>
          <w:p w14:paraId="415C0282" w14:textId="77777777" w:rsidR="005A52B1" w:rsidRPr="00154588" w:rsidRDefault="005A52B1" w:rsidP="008C12B4">
            <w:pPr>
              <w:jc w:val="both"/>
              <w:rPr>
                <w:bCs/>
                <w:sz w:val="20"/>
                <w:szCs w:val="20"/>
              </w:rPr>
            </w:pPr>
          </w:p>
          <w:p w14:paraId="01D90C99" w14:textId="77777777" w:rsidR="005A52B1" w:rsidRPr="00154588" w:rsidRDefault="005A52B1" w:rsidP="008C12B4">
            <w:pPr>
              <w:jc w:val="both"/>
              <w:rPr>
                <w:bCs/>
                <w:sz w:val="20"/>
                <w:szCs w:val="20"/>
              </w:rPr>
            </w:pPr>
            <w:r w:rsidRPr="00154588">
              <w:rPr>
                <w:bCs/>
                <w:sz w:val="20"/>
                <w:szCs w:val="20"/>
              </w:rPr>
              <w:t>16. măsura în care structura juridică a grupului împiedică aplicarea instrumentelor de rezoluție, ca urmare a numărului de persoane juridice, a complexității structurii grupului sau a dificultății de a stabili corespondențe între liniile de activitate și entitățile din grup;</w:t>
            </w:r>
          </w:p>
          <w:p w14:paraId="7EC4F51D" w14:textId="77777777" w:rsidR="005A52B1" w:rsidRPr="00154588" w:rsidRDefault="005A52B1" w:rsidP="008C12B4">
            <w:pPr>
              <w:jc w:val="both"/>
              <w:rPr>
                <w:bCs/>
                <w:sz w:val="20"/>
                <w:szCs w:val="20"/>
              </w:rPr>
            </w:pPr>
          </w:p>
          <w:p w14:paraId="64FC47D4" w14:textId="77777777" w:rsidR="005A52B1" w:rsidRPr="00154588" w:rsidRDefault="005A52B1" w:rsidP="008C12B4">
            <w:pPr>
              <w:jc w:val="both"/>
              <w:rPr>
                <w:bCs/>
                <w:sz w:val="20"/>
                <w:szCs w:val="20"/>
              </w:rPr>
            </w:pPr>
            <w:r w:rsidRPr="00154588">
              <w:rPr>
                <w:bCs/>
                <w:sz w:val="20"/>
                <w:szCs w:val="20"/>
              </w:rPr>
              <w:lastRenderedPageBreak/>
              <w:t>17. valoarea și tipul pasivelor eligibile ale instituției;</w:t>
            </w:r>
          </w:p>
          <w:p w14:paraId="3D5C8F52" w14:textId="77777777" w:rsidR="005A52B1" w:rsidRPr="00154588" w:rsidRDefault="005A52B1" w:rsidP="008C12B4">
            <w:pPr>
              <w:jc w:val="both"/>
              <w:rPr>
                <w:bCs/>
                <w:sz w:val="20"/>
                <w:szCs w:val="20"/>
              </w:rPr>
            </w:pPr>
          </w:p>
          <w:p w14:paraId="22F30792" w14:textId="77777777" w:rsidR="005A52B1" w:rsidRPr="00154588" w:rsidRDefault="005A52B1" w:rsidP="008C12B4">
            <w:pPr>
              <w:jc w:val="both"/>
              <w:rPr>
                <w:bCs/>
                <w:sz w:val="20"/>
                <w:szCs w:val="20"/>
              </w:rPr>
            </w:pPr>
          </w:p>
          <w:p w14:paraId="60762A27" w14:textId="77777777" w:rsidR="005A52B1" w:rsidRPr="00154588" w:rsidRDefault="005A52B1" w:rsidP="008C12B4">
            <w:pPr>
              <w:jc w:val="both"/>
              <w:rPr>
                <w:bCs/>
                <w:sz w:val="20"/>
                <w:szCs w:val="20"/>
              </w:rPr>
            </w:pPr>
            <w:r w:rsidRPr="00154588">
              <w:rPr>
                <w:bCs/>
                <w:sz w:val="20"/>
                <w:szCs w:val="20"/>
              </w:rPr>
              <w:t>18. în cazul în care evaluarea implică un holding cu activitate mixtă, măsura în care rezoluția entităților din grup care sunt instituții sau instituții financiare ar putea avea un impact negativ asupra părții nefinanciare a grupului;</w:t>
            </w:r>
          </w:p>
          <w:p w14:paraId="303C0A43" w14:textId="77777777" w:rsidR="005A52B1" w:rsidRPr="00154588" w:rsidRDefault="005A52B1" w:rsidP="008C12B4">
            <w:pPr>
              <w:jc w:val="both"/>
              <w:rPr>
                <w:bCs/>
                <w:sz w:val="20"/>
                <w:szCs w:val="20"/>
              </w:rPr>
            </w:pPr>
          </w:p>
          <w:p w14:paraId="0A627BFE" w14:textId="77777777" w:rsidR="005A52B1" w:rsidRPr="00154588" w:rsidRDefault="005A52B1" w:rsidP="008C12B4">
            <w:pPr>
              <w:jc w:val="both"/>
              <w:rPr>
                <w:bCs/>
                <w:sz w:val="20"/>
                <w:szCs w:val="20"/>
              </w:rPr>
            </w:pPr>
          </w:p>
          <w:p w14:paraId="7F3B75F8" w14:textId="77777777" w:rsidR="005A52B1" w:rsidRPr="00154588" w:rsidRDefault="005A52B1" w:rsidP="008C12B4">
            <w:pPr>
              <w:jc w:val="both"/>
              <w:rPr>
                <w:bCs/>
                <w:sz w:val="20"/>
                <w:szCs w:val="20"/>
              </w:rPr>
            </w:pPr>
            <w:r w:rsidRPr="00154588">
              <w:rPr>
                <w:bCs/>
                <w:sz w:val="20"/>
                <w:szCs w:val="20"/>
              </w:rPr>
              <w:t>19. existența și soliditatea acordurilor privind furnizarea de servicii;</w:t>
            </w:r>
          </w:p>
          <w:p w14:paraId="27299BDD" w14:textId="77777777" w:rsidR="005A52B1" w:rsidRPr="00154588" w:rsidRDefault="005A52B1" w:rsidP="008C12B4">
            <w:pPr>
              <w:jc w:val="both"/>
              <w:rPr>
                <w:bCs/>
                <w:sz w:val="20"/>
                <w:szCs w:val="20"/>
              </w:rPr>
            </w:pPr>
          </w:p>
          <w:p w14:paraId="024D2F00" w14:textId="77777777" w:rsidR="005A52B1" w:rsidRPr="00154588" w:rsidRDefault="005A52B1" w:rsidP="008C12B4">
            <w:pPr>
              <w:jc w:val="both"/>
              <w:rPr>
                <w:bCs/>
                <w:sz w:val="20"/>
                <w:szCs w:val="20"/>
              </w:rPr>
            </w:pPr>
            <w:r w:rsidRPr="00154588">
              <w:rPr>
                <w:bCs/>
                <w:sz w:val="20"/>
                <w:szCs w:val="20"/>
              </w:rPr>
              <w:t>20. dacă autoritățile țărilor terțe dispun de instrumentele de rezoluție necesare pentru a sprijini măsurile de rezoluție întreprinse de autoritățile de rezoluție din Uniune, precum și posibilitatea de acțiune coordonată între autoritățile din Uniune și din țările terțe;</w:t>
            </w:r>
          </w:p>
          <w:p w14:paraId="6610D1F0" w14:textId="77777777" w:rsidR="005A52B1" w:rsidRPr="00154588" w:rsidRDefault="005A52B1" w:rsidP="008C12B4">
            <w:pPr>
              <w:jc w:val="both"/>
              <w:rPr>
                <w:bCs/>
                <w:sz w:val="20"/>
                <w:szCs w:val="20"/>
              </w:rPr>
            </w:pPr>
          </w:p>
          <w:p w14:paraId="2E52D436" w14:textId="77777777" w:rsidR="005A52B1" w:rsidRPr="00154588" w:rsidRDefault="005A52B1" w:rsidP="008C12B4">
            <w:pPr>
              <w:jc w:val="both"/>
              <w:rPr>
                <w:bCs/>
                <w:sz w:val="20"/>
                <w:szCs w:val="20"/>
              </w:rPr>
            </w:pPr>
            <w:r w:rsidRPr="00154588">
              <w:rPr>
                <w:bCs/>
                <w:sz w:val="20"/>
                <w:szCs w:val="20"/>
              </w:rPr>
              <w:t>21. fezabilitatea utilizării instrumentelor de rezoluție în conformitate cu obiectivele rezoluției, ținând seama de instrumentele disponibile și de structura instituției;</w:t>
            </w:r>
          </w:p>
          <w:p w14:paraId="3AA3D4F0" w14:textId="77777777" w:rsidR="005A52B1" w:rsidRPr="00154588" w:rsidRDefault="005A52B1" w:rsidP="008C12B4">
            <w:pPr>
              <w:jc w:val="both"/>
              <w:rPr>
                <w:bCs/>
                <w:sz w:val="20"/>
                <w:szCs w:val="20"/>
              </w:rPr>
            </w:pPr>
          </w:p>
          <w:p w14:paraId="3A2CD34E" w14:textId="77777777" w:rsidR="005A52B1" w:rsidRPr="00154588" w:rsidRDefault="005A52B1" w:rsidP="008C12B4">
            <w:pPr>
              <w:jc w:val="both"/>
              <w:rPr>
                <w:bCs/>
                <w:sz w:val="20"/>
                <w:szCs w:val="20"/>
              </w:rPr>
            </w:pPr>
            <w:r w:rsidRPr="00154588">
              <w:rPr>
                <w:bCs/>
                <w:sz w:val="20"/>
                <w:szCs w:val="20"/>
              </w:rPr>
              <w:t>22. măsura în care structura grupului îi permite autorității de rezoluție să procedeze la rezoluția întregului grup sau a uneia sau mai multora dintre entitățile din grup fără să producă un efect negativ semnificativ, direct sau indirect, asupra sistemului financiar, încrederii pieței sau economiei și cu scopul de a maximiza valoarea grupului în ansamblul său;</w:t>
            </w:r>
          </w:p>
          <w:p w14:paraId="64B32230" w14:textId="77777777" w:rsidR="005A52B1" w:rsidRPr="00154588" w:rsidRDefault="005A52B1" w:rsidP="008C12B4">
            <w:pPr>
              <w:jc w:val="both"/>
              <w:rPr>
                <w:bCs/>
                <w:sz w:val="20"/>
                <w:szCs w:val="20"/>
              </w:rPr>
            </w:pPr>
          </w:p>
          <w:p w14:paraId="473376E2" w14:textId="77777777" w:rsidR="005A52B1" w:rsidRPr="00154588" w:rsidRDefault="005A52B1" w:rsidP="008C12B4">
            <w:pPr>
              <w:jc w:val="both"/>
              <w:rPr>
                <w:bCs/>
                <w:sz w:val="20"/>
                <w:szCs w:val="20"/>
              </w:rPr>
            </w:pPr>
            <w:r w:rsidRPr="00154588">
              <w:rPr>
                <w:bCs/>
                <w:sz w:val="20"/>
                <w:szCs w:val="20"/>
              </w:rPr>
              <w:t>23. mecanismele și mijloacele prin care ar putea fi facilitată rezoluția în cazul grupurilor care au filiale stabilite în jurisdicții diferite;</w:t>
            </w:r>
          </w:p>
          <w:p w14:paraId="1C64A813" w14:textId="77777777" w:rsidR="005A52B1" w:rsidRPr="00154588" w:rsidRDefault="005A52B1" w:rsidP="008C12B4">
            <w:pPr>
              <w:jc w:val="both"/>
              <w:rPr>
                <w:bCs/>
                <w:sz w:val="20"/>
                <w:szCs w:val="20"/>
              </w:rPr>
            </w:pPr>
          </w:p>
          <w:p w14:paraId="5C90B0ED" w14:textId="77777777" w:rsidR="005A52B1" w:rsidRPr="00154588" w:rsidRDefault="005A52B1" w:rsidP="008C12B4">
            <w:pPr>
              <w:jc w:val="both"/>
              <w:rPr>
                <w:bCs/>
                <w:sz w:val="20"/>
                <w:szCs w:val="20"/>
              </w:rPr>
            </w:pPr>
            <w:r w:rsidRPr="00154588">
              <w:rPr>
                <w:bCs/>
                <w:sz w:val="20"/>
                <w:szCs w:val="20"/>
              </w:rPr>
              <w:t>24. credibilitatea utilizării instrumentelor de rezoluție în conformitate cu obiectivele rezoluției, ținând cont de impactul posibil asupra creditorilor, contrapărților, clienților și angajaților, precum și de eventualele măsuri pe care le-ar putea lua autoritățile țărilor terțe;</w:t>
            </w:r>
          </w:p>
          <w:p w14:paraId="35E04DA3" w14:textId="77777777" w:rsidR="005A52B1" w:rsidRPr="00154588" w:rsidRDefault="005A52B1" w:rsidP="008C12B4">
            <w:pPr>
              <w:jc w:val="both"/>
              <w:rPr>
                <w:bCs/>
                <w:sz w:val="20"/>
                <w:szCs w:val="20"/>
              </w:rPr>
            </w:pPr>
          </w:p>
          <w:p w14:paraId="790F4260" w14:textId="77777777" w:rsidR="005A52B1" w:rsidRPr="00154588" w:rsidRDefault="005A52B1" w:rsidP="008C12B4">
            <w:pPr>
              <w:jc w:val="both"/>
              <w:rPr>
                <w:bCs/>
                <w:sz w:val="20"/>
                <w:szCs w:val="20"/>
              </w:rPr>
            </w:pPr>
            <w:r w:rsidRPr="00154588">
              <w:rPr>
                <w:bCs/>
                <w:sz w:val="20"/>
                <w:szCs w:val="20"/>
              </w:rPr>
              <w:t>25. măsura în care impactul rezoluției instituției asupra sistemului financiar și asupra încrederii pieței financiare poate fi evaluat în mod adecvat;</w:t>
            </w:r>
          </w:p>
          <w:p w14:paraId="597246BF" w14:textId="77777777" w:rsidR="005A52B1" w:rsidRPr="00154588" w:rsidRDefault="005A52B1" w:rsidP="008C12B4">
            <w:pPr>
              <w:jc w:val="both"/>
              <w:rPr>
                <w:bCs/>
                <w:sz w:val="20"/>
                <w:szCs w:val="20"/>
              </w:rPr>
            </w:pPr>
          </w:p>
          <w:p w14:paraId="1011008E" w14:textId="77777777" w:rsidR="005A52B1" w:rsidRPr="00154588" w:rsidRDefault="005A52B1" w:rsidP="008C12B4">
            <w:pPr>
              <w:jc w:val="both"/>
              <w:rPr>
                <w:bCs/>
                <w:sz w:val="20"/>
                <w:szCs w:val="20"/>
              </w:rPr>
            </w:pPr>
            <w:r w:rsidRPr="00154588">
              <w:rPr>
                <w:bCs/>
                <w:sz w:val="20"/>
                <w:szCs w:val="20"/>
              </w:rPr>
              <w:t>26. măsura în care rezoluția instituției ar putea avea un efect negativ semnificativ, direct sau indirect, asupra sistemului financiar, asupra încrederii pieței sau asupra economiei;</w:t>
            </w:r>
          </w:p>
          <w:p w14:paraId="774F0207" w14:textId="77777777" w:rsidR="005A52B1" w:rsidRPr="00154588" w:rsidRDefault="005A52B1" w:rsidP="008C12B4">
            <w:pPr>
              <w:jc w:val="both"/>
              <w:rPr>
                <w:bCs/>
                <w:sz w:val="20"/>
                <w:szCs w:val="20"/>
              </w:rPr>
            </w:pPr>
          </w:p>
          <w:p w14:paraId="2D0DBA75" w14:textId="77777777" w:rsidR="005A52B1" w:rsidRPr="00154588" w:rsidRDefault="005A52B1" w:rsidP="008C12B4">
            <w:pPr>
              <w:jc w:val="both"/>
              <w:rPr>
                <w:bCs/>
                <w:sz w:val="20"/>
                <w:szCs w:val="20"/>
              </w:rPr>
            </w:pPr>
          </w:p>
          <w:p w14:paraId="02B6F459" w14:textId="77777777" w:rsidR="005A52B1" w:rsidRPr="00154588" w:rsidRDefault="005A52B1" w:rsidP="008C12B4">
            <w:pPr>
              <w:jc w:val="both"/>
              <w:rPr>
                <w:bCs/>
                <w:sz w:val="20"/>
                <w:szCs w:val="20"/>
              </w:rPr>
            </w:pPr>
            <w:r w:rsidRPr="00154588">
              <w:rPr>
                <w:bCs/>
                <w:sz w:val="20"/>
                <w:szCs w:val="20"/>
              </w:rPr>
              <w:t>27. măsura în care contaminarea altor instituții sau a piețelor financiare ar putea fi controlată prin aplicarea instrumentelor și competențelor de rezoluție;</w:t>
            </w:r>
          </w:p>
          <w:p w14:paraId="3FC8A5A4" w14:textId="77777777" w:rsidR="005A52B1" w:rsidRPr="00154588" w:rsidRDefault="005A52B1" w:rsidP="008C12B4">
            <w:pPr>
              <w:jc w:val="both"/>
              <w:rPr>
                <w:bCs/>
                <w:sz w:val="20"/>
                <w:szCs w:val="20"/>
              </w:rPr>
            </w:pPr>
          </w:p>
          <w:p w14:paraId="0F875DF9" w14:textId="77777777" w:rsidR="005A52B1" w:rsidRPr="00154588" w:rsidRDefault="005A52B1" w:rsidP="008C12B4">
            <w:pPr>
              <w:jc w:val="both"/>
              <w:rPr>
                <w:bCs/>
                <w:sz w:val="20"/>
                <w:szCs w:val="20"/>
              </w:rPr>
            </w:pPr>
            <w:r w:rsidRPr="00154588">
              <w:rPr>
                <w:bCs/>
                <w:sz w:val="20"/>
                <w:szCs w:val="20"/>
              </w:rPr>
              <w:t>28. măsura în care rezoluția instituției ar putea avea un efect semnificativ asupra sistemelor de plăți și de decontare.</w:t>
            </w:r>
          </w:p>
        </w:tc>
        <w:tc>
          <w:tcPr>
            <w:tcW w:w="4810" w:type="dxa"/>
          </w:tcPr>
          <w:p w14:paraId="572CD852" w14:textId="77777777" w:rsidR="005A52B1" w:rsidRPr="00154588" w:rsidRDefault="005A52B1" w:rsidP="008C12B4">
            <w:pPr>
              <w:jc w:val="both"/>
              <w:rPr>
                <w:bCs/>
                <w:sz w:val="20"/>
                <w:szCs w:val="20"/>
              </w:rPr>
            </w:pPr>
            <w:r w:rsidRPr="00154588">
              <w:rPr>
                <w:bCs/>
                <w:sz w:val="20"/>
                <w:szCs w:val="20"/>
              </w:rPr>
              <w:lastRenderedPageBreak/>
              <w:t>La evaluarea posibilităţii de soluţionare a unei instituții sau a unui grup, autoritatea de rezoluţie, ţine cont de următoarele aspecte:</w:t>
            </w:r>
          </w:p>
          <w:p w14:paraId="6E73AAD6" w14:textId="77777777" w:rsidR="005A52B1" w:rsidRPr="00154588" w:rsidRDefault="005A52B1" w:rsidP="008C12B4">
            <w:pPr>
              <w:jc w:val="both"/>
              <w:rPr>
                <w:bCs/>
                <w:sz w:val="20"/>
                <w:szCs w:val="20"/>
              </w:rPr>
            </w:pPr>
          </w:p>
          <w:p w14:paraId="666DC6E8" w14:textId="77777777" w:rsidR="005A52B1" w:rsidRPr="00154588" w:rsidRDefault="005A52B1" w:rsidP="008C12B4">
            <w:pPr>
              <w:jc w:val="both"/>
              <w:rPr>
                <w:bCs/>
                <w:sz w:val="20"/>
                <w:szCs w:val="20"/>
              </w:rPr>
            </w:pPr>
          </w:p>
          <w:p w14:paraId="1C74932B" w14:textId="77777777" w:rsidR="005A52B1" w:rsidRPr="00154588" w:rsidRDefault="005A52B1" w:rsidP="008C12B4">
            <w:pPr>
              <w:jc w:val="both"/>
              <w:rPr>
                <w:bCs/>
                <w:sz w:val="20"/>
                <w:szCs w:val="20"/>
              </w:rPr>
            </w:pPr>
          </w:p>
          <w:p w14:paraId="3F3E86C7" w14:textId="77777777" w:rsidR="005A52B1" w:rsidRPr="00154588" w:rsidRDefault="005A52B1" w:rsidP="008C12B4">
            <w:pPr>
              <w:jc w:val="both"/>
              <w:rPr>
                <w:bCs/>
                <w:sz w:val="20"/>
                <w:szCs w:val="20"/>
              </w:rPr>
            </w:pPr>
          </w:p>
          <w:p w14:paraId="5CC555EF" w14:textId="77777777" w:rsidR="005A52B1" w:rsidRPr="00154588" w:rsidRDefault="005A52B1" w:rsidP="008C12B4">
            <w:pPr>
              <w:jc w:val="both"/>
              <w:rPr>
                <w:bCs/>
                <w:sz w:val="20"/>
                <w:szCs w:val="20"/>
              </w:rPr>
            </w:pPr>
          </w:p>
          <w:p w14:paraId="197EA345" w14:textId="77777777" w:rsidR="005A52B1" w:rsidRPr="00154588" w:rsidRDefault="005A52B1" w:rsidP="008C12B4">
            <w:pPr>
              <w:jc w:val="both"/>
              <w:rPr>
                <w:bCs/>
                <w:sz w:val="20"/>
                <w:szCs w:val="20"/>
              </w:rPr>
            </w:pPr>
          </w:p>
          <w:p w14:paraId="2A4A41B2" w14:textId="77777777" w:rsidR="005A52B1" w:rsidRPr="00154588" w:rsidRDefault="005A52B1" w:rsidP="008C12B4">
            <w:pPr>
              <w:jc w:val="both"/>
              <w:rPr>
                <w:bCs/>
                <w:sz w:val="20"/>
                <w:szCs w:val="20"/>
              </w:rPr>
            </w:pPr>
            <w:r w:rsidRPr="00154588">
              <w:rPr>
                <w:bCs/>
                <w:sz w:val="20"/>
                <w:szCs w:val="20"/>
              </w:rPr>
              <w:lastRenderedPageBreak/>
              <w:t>a) măsura în care instituția poate stabili corespondenţe între liniile de activitate de bază, respectiv operatiunile  critice şi persoanele juridice;</w:t>
            </w:r>
          </w:p>
          <w:p w14:paraId="7DC702E8" w14:textId="77777777" w:rsidR="005A52B1" w:rsidRPr="00154588" w:rsidRDefault="005A52B1" w:rsidP="008C12B4">
            <w:pPr>
              <w:jc w:val="both"/>
              <w:rPr>
                <w:bCs/>
                <w:sz w:val="20"/>
                <w:szCs w:val="20"/>
              </w:rPr>
            </w:pPr>
          </w:p>
          <w:p w14:paraId="56C775CA" w14:textId="77777777" w:rsidR="005A52B1" w:rsidRPr="00154588" w:rsidRDefault="005A52B1" w:rsidP="008C12B4">
            <w:pPr>
              <w:jc w:val="both"/>
              <w:rPr>
                <w:bCs/>
                <w:sz w:val="20"/>
                <w:szCs w:val="20"/>
              </w:rPr>
            </w:pPr>
            <w:r w:rsidRPr="00154588">
              <w:rPr>
                <w:bCs/>
                <w:sz w:val="20"/>
                <w:szCs w:val="20"/>
              </w:rPr>
              <w:t>b) măsura în care structurile juridice şi corporative sunt legate de liniile de activitate de bază şi operațiunile critice;</w:t>
            </w:r>
          </w:p>
          <w:p w14:paraId="3CFEBBCC" w14:textId="77777777" w:rsidR="005A52B1" w:rsidRPr="00154588" w:rsidRDefault="005A52B1" w:rsidP="008C12B4">
            <w:pPr>
              <w:jc w:val="both"/>
              <w:rPr>
                <w:bCs/>
                <w:sz w:val="20"/>
                <w:szCs w:val="20"/>
              </w:rPr>
            </w:pPr>
          </w:p>
          <w:p w14:paraId="13774CCA" w14:textId="77777777" w:rsidR="005A52B1" w:rsidRPr="00154588" w:rsidRDefault="005A52B1" w:rsidP="008C12B4">
            <w:pPr>
              <w:jc w:val="both"/>
              <w:rPr>
                <w:bCs/>
                <w:sz w:val="20"/>
                <w:szCs w:val="20"/>
              </w:rPr>
            </w:pPr>
          </w:p>
          <w:p w14:paraId="62C9A664" w14:textId="77777777" w:rsidR="005A52B1" w:rsidRPr="00154588" w:rsidRDefault="005A52B1" w:rsidP="008C12B4">
            <w:pPr>
              <w:jc w:val="both"/>
              <w:rPr>
                <w:bCs/>
                <w:sz w:val="20"/>
                <w:szCs w:val="20"/>
              </w:rPr>
            </w:pPr>
            <w:r w:rsidRPr="00154588">
              <w:rPr>
                <w:bCs/>
                <w:sz w:val="20"/>
                <w:szCs w:val="20"/>
              </w:rPr>
              <w:t>c) măsura în care există mecanisme care vizează asigurarea personalului, a infrastructurii, a finanţări, a lichidităților şi a capitalului pentru a sprijini şi menţine liniile de activitate de bază şi operatiunile critice;</w:t>
            </w:r>
          </w:p>
          <w:p w14:paraId="6D012F54" w14:textId="77777777" w:rsidR="005A52B1" w:rsidRPr="00154588" w:rsidRDefault="005A52B1" w:rsidP="008C12B4">
            <w:pPr>
              <w:jc w:val="both"/>
              <w:rPr>
                <w:bCs/>
                <w:sz w:val="20"/>
                <w:szCs w:val="20"/>
              </w:rPr>
            </w:pPr>
          </w:p>
          <w:p w14:paraId="6181A406" w14:textId="77777777" w:rsidR="005A52B1" w:rsidRPr="00154588" w:rsidRDefault="005A52B1" w:rsidP="008C12B4">
            <w:pPr>
              <w:jc w:val="both"/>
              <w:rPr>
                <w:bCs/>
                <w:sz w:val="20"/>
                <w:szCs w:val="20"/>
              </w:rPr>
            </w:pPr>
            <w:r w:rsidRPr="00154588">
              <w:rPr>
                <w:bCs/>
                <w:sz w:val="20"/>
                <w:szCs w:val="20"/>
              </w:rPr>
              <w:t>d) măsura în care acordurile de servicii ale instituției, inclusiv acorduri contractuale privind utilizarea serviciilor TIC, sunt robuste și integral executabile în eventualitatea unei rezoluţii a instituției;</w:t>
            </w:r>
          </w:p>
          <w:p w14:paraId="457E536B" w14:textId="77777777" w:rsidR="005A52B1" w:rsidRPr="00154588" w:rsidRDefault="005A52B1" w:rsidP="008C12B4">
            <w:pPr>
              <w:jc w:val="both"/>
              <w:rPr>
                <w:bCs/>
                <w:sz w:val="20"/>
                <w:szCs w:val="20"/>
              </w:rPr>
            </w:pPr>
          </w:p>
          <w:p w14:paraId="1A531687" w14:textId="5D18C760" w:rsidR="005A52B1" w:rsidRPr="00154588" w:rsidRDefault="005A52B1" w:rsidP="008C12B4">
            <w:pPr>
              <w:jc w:val="both"/>
              <w:rPr>
                <w:bCs/>
                <w:sz w:val="20"/>
                <w:szCs w:val="20"/>
              </w:rPr>
            </w:pPr>
            <w:r w:rsidRPr="00154588">
              <w:rPr>
                <w:bCs/>
                <w:sz w:val="20"/>
                <w:szCs w:val="20"/>
              </w:rPr>
              <w:t>d1) rezilienţa operaţională digitală a reţelelor și sistemelor informatice care sprijină funcţiile critice și liniile de activitate de bază ale instituţiei, ţinând seama de rapoartele privind incidentele majore legate de TIC și de rezultatele testării rezilienţei operaţionale digitale;</w:t>
            </w:r>
          </w:p>
          <w:p w14:paraId="0093E6AE" w14:textId="77777777" w:rsidR="005A52B1" w:rsidRPr="00154588" w:rsidRDefault="005A52B1" w:rsidP="008C12B4">
            <w:pPr>
              <w:jc w:val="both"/>
              <w:rPr>
                <w:bCs/>
                <w:sz w:val="20"/>
                <w:szCs w:val="20"/>
              </w:rPr>
            </w:pPr>
          </w:p>
          <w:p w14:paraId="45054613" w14:textId="77777777" w:rsidR="005A52B1" w:rsidRPr="00154588" w:rsidRDefault="005A52B1" w:rsidP="008C12B4">
            <w:pPr>
              <w:jc w:val="both"/>
              <w:rPr>
                <w:bCs/>
                <w:sz w:val="20"/>
                <w:szCs w:val="20"/>
              </w:rPr>
            </w:pPr>
            <w:r w:rsidRPr="00154588">
              <w:rPr>
                <w:bCs/>
                <w:sz w:val="20"/>
                <w:szCs w:val="20"/>
              </w:rPr>
              <w:t>e) măsura în care structura administrativă a instituției este adecvată pentru gestionarea şi asigurarea conformării cu politicile interne ale instituției cu privire la acordurile sale privind furnizarea de servicii;</w:t>
            </w:r>
          </w:p>
          <w:p w14:paraId="765E2ED3" w14:textId="77777777" w:rsidR="005A52B1" w:rsidRPr="00154588" w:rsidRDefault="005A52B1" w:rsidP="008C12B4">
            <w:pPr>
              <w:jc w:val="both"/>
              <w:rPr>
                <w:bCs/>
                <w:sz w:val="20"/>
                <w:szCs w:val="20"/>
              </w:rPr>
            </w:pPr>
          </w:p>
          <w:p w14:paraId="16375DD9" w14:textId="77777777" w:rsidR="005A52B1" w:rsidRPr="00154588" w:rsidRDefault="005A52B1" w:rsidP="008C12B4">
            <w:pPr>
              <w:jc w:val="both"/>
              <w:rPr>
                <w:bCs/>
                <w:sz w:val="20"/>
                <w:szCs w:val="20"/>
              </w:rPr>
            </w:pPr>
            <w:r w:rsidRPr="00154588">
              <w:rPr>
                <w:bCs/>
                <w:sz w:val="20"/>
                <w:szCs w:val="20"/>
              </w:rPr>
              <w:t>f) măsura în care instituția dispune de un proces pentru transferarea treptată către terţi a serviciilor care fac obiectul contractelor de furnizare de servicii, în caz de separare a funcţiilor critice sau a liniilor de activitate de bază;</w:t>
            </w:r>
          </w:p>
          <w:p w14:paraId="651817C9" w14:textId="77777777" w:rsidR="005A52B1" w:rsidRPr="00154588" w:rsidRDefault="005A52B1" w:rsidP="008C12B4">
            <w:pPr>
              <w:jc w:val="both"/>
              <w:rPr>
                <w:bCs/>
                <w:sz w:val="20"/>
                <w:szCs w:val="20"/>
              </w:rPr>
            </w:pPr>
          </w:p>
          <w:p w14:paraId="68555E92" w14:textId="77777777" w:rsidR="005A52B1" w:rsidRPr="00154588" w:rsidRDefault="005A52B1" w:rsidP="008C12B4">
            <w:pPr>
              <w:jc w:val="both"/>
              <w:rPr>
                <w:bCs/>
                <w:sz w:val="20"/>
                <w:szCs w:val="20"/>
              </w:rPr>
            </w:pPr>
            <w:r w:rsidRPr="00154588">
              <w:rPr>
                <w:bCs/>
                <w:sz w:val="20"/>
                <w:szCs w:val="20"/>
              </w:rPr>
              <w:t>g) măsura în care există planuri şi măsuri de contingență pentru a asigura continuitatea în ceea ce privește accesul la sistemele de plată şi decontare;</w:t>
            </w:r>
          </w:p>
          <w:p w14:paraId="2E19FE1A" w14:textId="77777777" w:rsidR="005A52B1" w:rsidRPr="00154588" w:rsidRDefault="005A52B1" w:rsidP="008C12B4">
            <w:pPr>
              <w:jc w:val="both"/>
              <w:rPr>
                <w:bCs/>
                <w:sz w:val="20"/>
                <w:szCs w:val="20"/>
              </w:rPr>
            </w:pPr>
          </w:p>
          <w:p w14:paraId="3635F6F9" w14:textId="77777777" w:rsidR="005A52B1" w:rsidRPr="00154588" w:rsidRDefault="005A52B1" w:rsidP="008C12B4">
            <w:pPr>
              <w:jc w:val="both"/>
              <w:rPr>
                <w:bCs/>
                <w:sz w:val="20"/>
                <w:szCs w:val="20"/>
              </w:rPr>
            </w:pPr>
            <w:r w:rsidRPr="00154588">
              <w:rPr>
                <w:bCs/>
                <w:sz w:val="20"/>
                <w:szCs w:val="20"/>
              </w:rPr>
              <w:lastRenderedPageBreak/>
              <w:t>h) capacitatea sistemelor de gestiune a informaţiei de garanta că autoritățile de rezoluție sunt în măsură să colecteze informaţii exacte şi complete privind liniile de activitate de bază şi operatiunile  critice astfel încât să faciliteze luarea de decizii rapide;</w:t>
            </w:r>
          </w:p>
          <w:p w14:paraId="4F508BE4" w14:textId="77777777" w:rsidR="005A52B1" w:rsidRPr="00154588" w:rsidRDefault="005A52B1" w:rsidP="008C12B4">
            <w:pPr>
              <w:jc w:val="both"/>
              <w:rPr>
                <w:bCs/>
                <w:sz w:val="20"/>
                <w:szCs w:val="20"/>
              </w:rPr>
            </w:pPr>
          </w:p>
          <w:p w14:paraId="60139712" w14:textId="77777777" w:rsidR="005A52B1" w:rsidRPr="00154588" w:rsidRDefault="005A52B1" w:rsidP="008C12B4">
            <w:pPr>
              <w:jc w:val="both"/>
              <w:rPr>
                <w:bCs/>
                <w:sz w:val="20"/>
                <w:szCs w:val="20"/>
              </w:rPr>
            </w:pPr>
            <w:r w:rsidRPr="00154588">
              <w:rPr>
                <w:bCs/>
                <w:sz w:val="20"/>
                <w:szCs w:val="20"/>
              </w:rPr>
              <w:t>i) capacitatea sistemelor de gestiune a informaţiei de a furniza informaţiile esenţiale pentru rezoluţia eficace a instituției în orice moment, chiar şi atunci când condiţiile se schimbă rapid;</w:t>
            </w:r>
          </w:p>
          <w:p w14:paraId="6A97874C" w14:textId="77777777" w:rsidR="005A52B1" w:rsidRPr="00154588" w:rsidRDefault="005A52B1" w:rsidP="008C12B4">
            <w:pPr>
              <w:jc w:val="both"/>
              <w:rPr>
                <w:bCs/>
                <w:sz w:val="20"/>
                <w:szCs w:val="20"/>
              </w:rPr>
            </w:pPr>
          </w:p>
          <w:p w14:paraId="522E4ED1" w14:textId="77777777" w:rsidR="005A52B1" w:rsidRPr="00154588" w:rsidRDefault="005A52B1" w:rsidP="008C12B4">
            <w:pPr>
              <w:jc w:val="both"/>
              <w:rPr>
                <w:bCs/>
                <w:sz w:val="20"/>
                <w:szCs w:val="20"/>
              </w:rPr>
            </w:pPr>
            <w:r w:rsidRPr="00154588">
              <w:rPr>
                <w:bCs/>
                <w:sz w:val="20"/>
                <w:szCs w:val="20"/>
              </w:rPr>
              <w:t>j) măsura în care instituția şi-a testat sistemele de gestiune a informaţiei în scenarii de criză, astfel cum sînt acestea definite de autoritatea de rezoluţie;</w:t>
            </w:r>
          </w:p>
          <w:p w14:paraId="55928A75" w14:textId="77777777" w:rsidR="005A52B1" w:rsidRPr="00154588" w:rsidRDefault="005A52B1" w:rsidP="008C12B4">
            <w:pPr>
              <w:jc w:val="both"/>
              <w:rPr>
                <w:bCs/>
                <w:sz w:val="20"/>
                <w:szCs w:val="20"/>
              </w:rPr>
            </w:pPr>
          </w:p>
          <w:p w14:paraId="71D67EDF" w14:textId="77777777" w:rsidR="005A52B1" w:rsidRPr="00154588" w:rsidRDefault="005A52B1" w:rsidP="008C12B4">
            <w:pPr>
              <w:jc w:val="both"/>
              <w:rPr>
                <w:bCs/>
                <w:sz w:val="20"/>
                <w:szCs w:val="20"/>
              </w:rPr>
            </w:pPr>
            <w:r w:rsidRPr="00154588">
              <w:rPr>
                <w:bCs/>
                <w:sz w:val="20"/>
                <w:szCs w:val="20"/>
              </w:rPr>
              <w:t>k) măsura în care instituția poate asigura continuitatea funcţionării sistemelor sale de gestiune a informaţiei, atât pentru instituția afectată, cât şi pentru noua instituție în cazul în care operatiunile critice şi liniile de activitate de bază sunt separate de restul operaţiunilor şi liniilor de activitate;</w:t>
            </w:r>
          </w:p>
          <w:p w14:paraId="4CCE1F15" w14:textId="77777777" w:rsidR="005A52B1" w:rsidRPr="00154588" w:rsidRDefault="005A52B1" w:rsidP="008C12B4">
            <w:pPr>
              <w:jc w:val="both"/>
              <w:rPr>
                <w:bCs/>
                <w:sz w:val="20"/>
                <w:szCs w:val="20"/>
              </w:rPr>
            </w:pPr>
          </w:p>
          <w:p w14:paraId="1A8B3C07" w14:textId="77777777" w:rsidR="005A52B1" w:rsidRPr="00154588" w:rsidRDefault="005A52B1" w:rsidP="008C12B4">
            <w:pPr>
              <w:jc w:val="both"/>
              <w:rPr>
                <w:bCs/>
                <w:sz w:val="20"/>
                <w:szCs w:val="20"/>
              </w:rPr>
            </w:pPr>
            <w:r w:rsidRPr="00154588">
              <w:rPr>
                <w:bCs/>
                <w:sz w:val="20"/>
                <w:szCs w:val="20"/>
              </w:rPr>
              <w:t>l) măsura în care instituția a elaborat proceduri corespunzătoare pentru a se asigura că oferă autorităților de rezoluţie informaţiile necesare pentru identificarea deponenţilor şi a sumelor acoperite de schemele de garantare a depozitelor;</w:t>
            </w:r>
          </w:p>
          <w:p w14:paraId="6A8A9263" w14:textId="77777777" w:rsidR="005A52B1" w:rsidRPr="00154588" w:rsidRDefault="005A52B1" w:rsidP="008C12B4">
            <w:pPr>
              <w:jc w:val="both"/>
              <w:rPr>
                <w:bCs/>
                <w:sz w:val="20"/>
                <w:szCs w:val="20"/>
              </w:rPr>
            </w:pPr>
          </w:p>
          <w:p w14:paraId="611EC27E" w14:textId="77777777" w:rsidR="005A52B1" w:rsidRPr="00154588" w:rsidRDefault="005A52B1" w:rsidP="008C12B4">
            <w:pPr>
              <w:jc w:val="both"/>
              <w:rPr>
                <w:bCs/>
                <w:sz w:val="20"/>
                <w:szCs w:val="20"/>
              </w:rPr>
            </w:pPr>
            <w:r w:rsidRPr="00154588">
              <w:rPr>
                <w:bCs/>
                <w:sz w:val="20"/>
                <w:szCs w:val="20"/>
              </w:rPr>
              <w:t>l1) în cazul în care grupul folosește garanţii intragrup, măsura în care garanţiile respective sunt furnizate în condiții de piaţă, iar sistemele de gestionare a riscurilor aferente acestor garanții sunt solide;</w:t>
            </w:r>
          </w:p>
          <w:p w14:paraId="74185681" w14:textId="77777777" w:rsidR="005A52B1" w:rsidRPr="00154588" w:rsidRDefault="005A52B1" w:rsidP="008C12B4">
            <w:pPr>
              <w:jc w:val="both"/>
              <w:rPr>
                <w:bCs/>
                <w:sz w:val="20"/>
                <w:szCs w:val="20"/>
              </w:rPr>
            </w:pPr>
          </w:p>
          <w:p w14:paraId="64BB80EE" w14:textId="77777777" w:rsidR="005A52B1" w:rsidRPr="00154588" w:rsidRDefault="005A52B1" w:rsidP="008C12B4">
            <w:pPr>
              <w:jc w:val="both"/>
              <w:rPr>
                <w:bCs/>
                <w:sz w:val="20"/>
                <w:szCs w:val="20"/>
              </w:rPr>
            </w:pPr>
            <w:r w:rsidRPr="00154588">
              <w:rPr>
                <w:bCs/>
                <w:sz w:val="20"/>
                <w:szCs w:val="20"/>
              </w:rPr>
              <w:t>l2) în cazul în care grupul se angajează în tranzacții „back to back”, măsura în care aceste tranzacţii sunt efectuate în condiții de piaţă, iar sistemele de gestionare a riscurilor aferente acestor tranzacţiile sunt solide;</w:t>
            </w:r>
          </w:p>
          <w:p w14:paraId="084E2439" w14:textId="77777777" w:rsidR="005A52B1" w:rsidRPr="00154588" w:rsidRDefault="005A52B1" w:rsidP="008C12B4">
            <w:pPr>
              <w:jc w:val="both"/>
              <w:rPr>
                <w:bCs/>
                <w:sz w:val="20"/>
                <w:szCs w:val="20"/>
              </w:rPr>
            </w:pPr>
          </w:p>
          <w:p w14:paraId="38D0588D" w14:textId="77777777" w:rsidR="005A52B1" w:rsidRPr="00154588" w:rsidRDefault="005A52B1" w:rsidP="008C12B4">
            <w:pPr>
              <w:jc w:val="both"/>
              <w:rPr>
                <w:bCs/>
                <w:sz w:val="20"/>
                <w:szCs w:val="20"/>
              </w:rPr>
            </w:pPr>
            <w:r w:rsidRPr="00154588">
              <w:rPr>
                <w:bCs/>
                <w:sz w:val="20"/>
                <w:szCs w:val="20"/>
              </w:rPr>
              <w:t>l3) măsura în care utilizarea garanţiilor intragrup sau a tranzacţiilor de înregistrare „back to back” sporește contaminarea din cadrul grupului;</w:t>
            </w:r>
          </w:p>
          <w:p w14:paraId="2BE1FBC1" w14:textId="77777777" w:rsidR="005A52B1" w:rsidRPr="00154588" w:rsidRDefault="005A52B1" w:rsidP="008C12B4">
            <w:pPr>
              <w:jc w:val="both"/>
              <w:rPr>
                <w:bCs/>
                <w:sz w:val="20"/>
                <w:szCs w:val="20"/>
              </w:rPr>
            </w:pPr>
          </w:p>
          <w:p w14:paraId="1783EF7C" w14:textId="77777777" w:rsidR="005A52B1" w:rsidRPr="00154588" w:rsidRDefault="005A52B1" w:rsidP="008C12B4">
            <w:pPr>
              <w:jc w:val="both"/>
              <w:rPr>
                <w:bCs/>
                <w:sz w:val="20"/>
                <w:szCs w:val="20"/>
              </w:rPr>
            </w:pPr>
            <w:r w:rsidRPr="00154588">
              <w:rPr>
                <w:bCs/>
                <w:sz w:val="20"/>
                <w:szCs w:val="20"/>
              </w:rPr>
              <w:lastRenderedPageBreak/>
              <w:t>l4) măsura în care structura juridică a grupului împiedică aplicarea instrumentelor de rezoluţie, ca urmare a numărului de persoane juridice, a complexității structurii grupului sau a dificultăţii de a stabili corespondenţe între liniile de activitate și entitățile din grup;</w:t>
            </w:r>
          </w:p>
          <w:p w14:paraId="3B872FC1" w14:textId="77777777" w:rsidR="005A52B1" w:rsidRPr="00154588" w:rsidRDefault="005A52B1" w:rsidP="008C12B4">
            <w:pPr>
              <w:jc w:val="both"/>
              <w:rPr>
                <w:bCs/>
                <w:sz w:val="20"/>
                <w:szCs w:val="20"/>
              </w:rPr>
            </w:pPr>
          </w:p>
          <w:p w14:paraId="4C3FD26F" w14:textId="77777777" w:rsidR="005A52B1" w:rsidRPr="00154588" w:rsidRDefault="005A52B1" w:rsidP="008C12B4">
            <w:pPr>
              <w:jc w:val="both"/>
              <w:rPr>
                <w:bCs/>
                <w:sz w:val="20"/>
                <w:szCs w:val="20"/>
              </w:rPr>
            </w:pPr>
            <w:r w:rsidRPr="00154588">
              <w:rPr>
                <w:bCs/>
                <w:sz w:val="20"/>
                <w:szCs w:val="20"/>
              </w:rPr>
              <w:t>m) valoarea și tipul datoriilor care pot face obiectul recapitalizării interne ale instituției;</w:t>
            </w:r>
          </w:p>
          <w:p w14:paraId="4778C590" w14:textId="77777777" w:rsidR="005A52B1" w:rsidRPr="00154588" w:rsidRDefault="005A52B1" w:rsidP="008C12B4">
            <w:pPr>
              <w:jc w:val="both"/>
              <w:rPr>
                <w:bCs/>
                <w:sz w:val="20"/>
                <w:szCs w:val="20"/>
              </w:rPr>
            </w:pPr>
          </w:p>
          <w:p w14:paraId="7F400BF6" w14:textId="77777777" w:rsidR="005A52B1" w:rsidRPr="00154588" w:rsidRDefault="005A52B1" w:rsidP="008C12B4">
            <w:pPr>
              <w:jc w:val="both"/>
              <w:rPr>
                <w:bCs/>
                <w:sz w:val="20"/>
                <w:szCs w:val="20"/>
              </w:rPr>
            </w:pPr>
            <w:r w:rsidRPr="00154588">
              <w:rPr>
                <w:bCs/>
                <w:sz w:val="20"/>
                <w:szCs w:val="20"/>
              </w:rPr>
              <w:t>m1) în cazul în care evaluarea implică un holding cu activitate mixtă, măsura în care rezoluţia entităţilor din grup care sunt instituţii sau instituţii financiare ar putea avea un impact negativ asupra părţii nefinanciare a grupului;</w:t>
            </w:r>
          </w:p>
          <w:p w14:paraId="5717D6B9" w14:textId="77777777" w:rsidR="005A52B1" w:rsidRPr="00154588" w:rsidRDefault="005A52B1" w:rsidP="008C12B4">
            <w:pPr>
              <w:jc w:val="both"/>
              <w:rPr>
                <w:bCs/>
                <w:sz w:val="20"/>
                <w:szCs w:val="20"/>
              </w:rPr>
            </w:pPr>
          </w:p>
          <w:p w14:paraId="489568E0" w14:textId="77777777" w:rsidR="005A52B1" w:rsidRPr="00154588" w:rsidRDefault="005A52B1" w:rsidP="008C12B4">
            <w:pPr>
              <w:jc w:val="both"/>
              <w:rPr>
                <w:bCs/>
                <w:sz w:val="20"/>
                <w:szCs w:val="20"/>
              </w:rPr>
            </w:pPr>
            <w:r w:rsidRPr="00154588">
              <w:rPr>
                <w:bCs/>
                <w:sz w:val="20"/>
                <w:szCs w:val="20"/>
              </w:rPr>
              <w:t>n) existenţa şi soliditatea acordurilor privind furnizarea de servicii;</w:t>
            </w:r>
          </w:p>
          <w:p w14:paraId="26E521E8" w14:textId="77777777" w:rsidR="005A52B1" w:rsidRPr="00154588" w:rsidRDefault="005A52B1" w:rsidP="008C12B4">
            <w:pPr>
              <w:jc w:val="both"/>
              <w:rPr>
                <w:bCs/>
                <w:sz w:val="20"/>
                <w:szCs w:val="20"/>
              </w:rPr>
            </w:pPr>
          </w:p>
          <w:p w14:paraId="3F529487" w14:textId="77777777" w:rsidR="005A52B1" w:rsidRPr="00154588" w:rsidRDefault="005A52B1" w:rsidP="008C12B4">
            <w:pPr>
              <w:jc w:val="both"/>
              <w:rPr>
                <w:bCs/>
                <w:sz w:val="20"/>
                <w:szCs w:val="20"/>
              </w:rPr>
            </w:pPr>
            <w:r w:rsidRPr="00154588">
              <w:rPr>
                <w:bCs/>
                <w:sz w:val="20"/>
                <w:szCs w:val="20"/>
              </w:rPr>
              <w:t>o) dacă autorităţile statelor terțe dispun de instrumentele de rezoluţie necesare pentru a sprijini acţiunile de rezoluţie întreprinse de autorităţile de rezoluţiedin Uniune, precum şi posibilitatea de acţiune coordonată între autorităţile din Uniune și din statele terțe;</w:t>
            </w:r>
          </w:p>
          <w:p w14:paraId="5E18D150" w14:textId="77777777" w:rsidR="005A52B1" w:rsidRPr="00154588" w:rsidRDefault="005A52B1" w:rsidP="008C12B4">
            <w:pPr>
              <w:jc w:val="both"/>
              <w:rPr>
                <w:bCs/>
                <w:sz w:val="20"/>
                <w:szCs w:val="20"/>
              </w:rPr>
            </w:pPr>
          </w:p>
          <w:p w14:paraId="7922D4D5" w14:textId="77777777" w:rsidR="005A52B1" w:rsidRPr="00154588" w:rsidRDefault="005A52B1" w:rsidP="008C12B4">
            <w:pPr>
              <w:jc w:val="both"/>
              <w:rPr>
                <w:bCs/>
                <w:sz w:val="20"/>
                <w:szCs w:val="20"/>
              </w:rPr>
            </w:pPr>
            <w:r w:rsidRPr="00154588">
              <w:rPr>
                <w:bCs/>
                <w:sz w:val="20"/>
                <w:szCs w:val="20"/>
              </w:rPr>
              <w:t>p) fezabilitatea utilizării instrumentelor de rezoluţie conform obiectivelor rezoluţiei, ţinînd seama de instrumentele disponibile şi de structura instituției;</w:t>
            </w:r>
          </w:p>
          <w:p w14:paraId="484BE95D" w14:textId="77777777" w:rsidR="005A52B1" w:rsidRPr="00154588" w:rsidRDefault="005A52B1" w:rsidP="008C12B4">
            <w:pPr>
              <w:jc w:val="both"/>
              <w:rPr>
                <w:bCs/>
                <w:sz w:val="20"/>
                <w:szCs w:val="20"/>
              </w:rPr>
            </w:pPr>
          </w:p>
          <w:p w14:paraId="23446389" w14:textId="77777777" w:rsidR="005A52B1" w:rsidRPr="00154588" w:rsidRDefault="005A52B1" w:rsidP="008C12B4">
            <w:pPr>
              <w:jc w:val="both"/>
              <w:rPr>
                <w:bCs/>
                <w:sz w:val="20"/>
                <w:szCs w:val="20"/>
              </w:rPr>
            </w:pPr>
            <w:r w:rsidRPr="00154588">
              <w:rPr>
                <w:bCs/>
                <w:sz w:val="20"/>
                <w:szCs w:val="20"/>
              </w:rPr>
              <w:t>p1) măsura în care structura grupului îi permite autorităţii de rezoluţie să procedeze la rezoluţia întregului grup sau a uneia sau mai multora dintre entităţile din grup fără să producă un efect negativ semnificativ, direct sau indirect, asupra sistemului financiar, încrederii pieţei sau economiei și cu scopul de a maximiza valoarea grupului în ansamblul său;</w:t>
            </w:r>
          </w:p>
          <w:p w14:paraId="11AB54F1" w14:textId="77777777" w:rsidR="005A52B1" w:rsidRPr="00154588" w:rsidRDefault="005A52B1" w:rsidP="008C12B4">
            <w:pPr>
              <w:jc w:val="both"/>
              <w:rPr>
                <w:bCs/>
                <w:sz w:val="20"/>
                <w:szCs w:val="20"/>
              </w:rPr>
            </w:pPr>
          </w:p>
          <w:p w14:paraId="74E650AE" w14:textId="77777777" w:rsidR="005A52B1" w:rsidRPr="00154588" w:rsidRDefault="005A52B1" w:rsidP="008C12B4">
            <w:pPr>
              <w:jc w:val="both"/>
              <w:rPr>
                <w:bCs/>
                <w:sz w:val="20"/>
                <w:szCs w:val="20"/>
              </w:rPr>
            </w:pPr>
            <w:r w:rsidRPr="00154588">
              <w:rPr>
                <w:bCs/>
                <w:sz w:val="20"/>
                <w:szCs w:val="20"/>
              </w:rPr>
              <w:t>p2) mecanismele și mijloacele prin care ar putea fi facilitată rezoluţia în cazul grupurilor care au filiale stabilite în jurisdicţii diferite;</w:t>
            </w:r>
          </w:p>
          <w:p w14:paraId="42B206B7" w14:textId="77777777" w:rsidR="005A52B1" w:rsidRPr="00154588" w:rsidRDefault="005A52B1" w:rsidP="008C12B4">
            <w:pPr>
              <w:jc w:val="both"/>
              <w:rPr>
                <w:bCs/>
                <w:sz w:val="20"/>
                <w:szCs w:val="20"/>
              </w:rPr>
            </w:pPr>
            <w:r w:rsidRPr="00154588">
              <w:rPr>
                <w:bCs/>
                <w:sz w:val="20"/>
                <w:szCs w:val="20"/>
              </w:rPr>
              <w:t xml:space="preserve">q) credibilitatea utilizării instrumentelor de rezoluţie conform obiectivelor rezoluţiei, ţinînd cont de impactul posibil asupra creditorilor, contrapărţilor, clienţilor şi angajaţilor, precum şi de eventualele </w:t>
            </w:r>
            <w:r w:rsidRPr="00154588">
              <w:rPr>
                <w:bCs/>
                <w:sz w:val="20"/>
                <w:szCs w:val="20"/>
              </w:rPr>
              <w:lastRenderedPageBreak/>
              <w:t>măsuri pe care le-ar putea lua autorităţile statelor terțe;</w:t>
            </w:r>
          </w:p>
          <w:p w14:paraId="42B87CB6" w14:textId="77777777" w:rsidR="005A52B1" w:rsidRPr="00154588" w:rsidRDefault="005A52B1" w:rsidP="008C12B4">
            <w:pPr>
              <w:jc w:val="both"/>
              <w:rPr>
                <w:bCs/>
                <w:sz w:val="20"/>
                <w:szCs w:val="20"/>
              </w:rPr>
            </w:pPr>
          </w:p>
          <w:p w14:paraId="3A9530FA" w14:textId="77777777" w:rsidR="005A52B1" w:rsidRPr="00154588" w:rsidRDefault="005A52B1" w:rsidP="008C12B4">
            <w:pPr>
              <w:jc w:val="both"/>
              <w:rPr>
                <w:bCs/>
                <w:sz w:val="20"/>
                <w:szCs w:val="20"/>
              </w:rPr>
            </w:pPr>
            <w:r w:rsidRPr="00154588">
              <w:rPr>
                <w:bCs/>
                <w:sz w:val="20"/>
                <w:szCs w:val="20"/>
              </w:rPr>
              <w:t>r) măsura în care impactul rezoluţiei instituției asupra sistemului financiar şi asupra încrederii pieţei financiare pot fi evaluate corect;</w:t>
            </w:r>
          </w:p>
          <w:p w14:paraId="0884BF04" w14:textId="77777777" w:rsidR="005A52B1" w:rsidRPr="00154588" w:rsidRDefault="005A52B1" w:rsidP="008C12B4">
            <w:pPr>
              <w:jc w:val="both"/>
              <w:rPr>
                <w:bCs/>
                <w:sz w:val="20"/>
                <w:szCs w:val="20"/>
              </w:rPr>
            </w:pPr>
          </w:p>
          <w:p w14:paraId="67A0A7E9" w14:textId="77777777" w:rsidR="005A52B1" w:rsidRPr="00154588" w:rsidRDefault="005A52B1" w:rsidP="008C12B4">
            <w:pPr>
              <w:jc w:val="both"/>
              <w:rPr>
                <w:bCs/>
                <w:sz w:val="20"/>
                <w:szCs w:val="20"/>
              </w:rPr>
            </w:pPr>
            <w:r w:rsidRPr="00154588">
              <w:rPr>
                <w:bCs/>
                <w:sz w:val="20"/>
                <w:szCs w:val="20"/>
              </w:rPr>
              <w:t>s) măsura în care rezoluţia instituției ar putea avea un efect negativ semnificativ, în mod direct sau indirect, asupra sistemului financiar, asupra încrederii pieţei sau asupra economiei;</w:t>
            </w:r>
          </w:p>
          <w:p w14:paraId="19567CF9" w14:textId="77777777" w:rsidR="005A52B1" w:rsidRPr="00154588" w:rsidRDefault="005A52B1" w:rsidP="008C12B4">
            <w:pPr>
              <w:jc w:val="both"/>
              <w:rPr>
                <w:bCs/>
                <w:sz w:val="20"/>
                <w:szCs w:val="20"/>
              </w:rPr>
            </w:pPr>
          </w:p>
          <w:p w14:paraId="26052271" w14:textId="77777777" w:rsidR="005A52B1" w:rsidRPr="00154588" w:rsidRDefault="005A52B1" w:rsidP="008C12B4">
            <w:pPr>
              <w:jc w:val="both"/>
              <w:rPr>
                <w:bCs/>
                <w:sz w:val="20"/>
                <w:szCs w:val="20"/>
              </w:rPr>
            </w:pPr>
            <w:r w:rsidRPr="00154588">
              <w:rPr>
                <w:bCs/>
                <w:sz w:val="20"/>
                <w:szCs w:val="20"/>
              </w:rPr>
              <w:t>t) măsura în care contaminarea altor instituții sau a pieţelor financiare ar putea fi controlată prin aplicarea instrumentelor şi competenţelor de rezoluţie;</w:t>
            </w:r>
          </w:p>
          <w:p w14:paraId="2E07158E" w14:textId="77777777" w:rsidR="005A52B1" w:rsidRPr="00154588" w:rsidRDefault="005A52B1" w:rsidP="008C12B4">
            <w:pPr>
              <w:jc w:val="both"/>
              <w:rPr>
                <w:bCs/>
                <w:sz w:val="20"/>
                <w:szCs w:val="20"/>
              </w:rPr>
            </w:pPr>
          </w:p>
          <w:p w14:paraId="60D2AD85" w14:textId="77777777" w:rsidR="005A52B1" w:rsidRPr="00154588" w:rsidRDefault="005A52B1" w:rsidP="008C12B4">
            <w:pPr>
              <w:jc w:val="both"/>
              <w:rPr>
                <w:bCs/>
                <w:sz w:val="20"/>
                <w:szCs w:val="20"/>
              </w:rPr>
            </w:pPr>
            <w:r w:rsidRPr="00154588">
              <w:rPr>
                <w:bCs/>
                <w:sz w:val="20"/>
                <w:szCs w:val="20"/>
              </w:rPr>
              <w:t>u) măsura în care rezoluţia instituției ar putea avea un efect semnificativ asupra sistemelor de plăţi şi de decontare.</w:t>
            </w:r>
          </w:p>
          <w:p w14:paraId="0D57A55B" w14:textId="77777777" w:rsidR="005A52B1" w:rsidRPr="00154588" w:rsidRDefault="005A52B1" w:rsidP="008C12B4">
            <w:pPr>
              <w:jc w:val="both"/>
              <w:rPr>
                <w:bCs/>
                <w:sz w:val="20"/>
                <w:szCs w:val="20"/>
              </w:rPr>
            </w:pPr>
          </w:p>
          <w:p w14:paraId="766F45F5" w14:textId="77777777" w:rsidR="005A52B1" w:rsidRPr="00154588" w:rsidRDefault="005A52B1" w:rsidP="008C12B4">
            <w:pPr>
              <w:jc w:val="both"/>
              <w:rPr>
                <w:bCs/>
                <w:sz w:val="20"/>
                <w:szCs w:val="20"/>
              </w:rPr>
            </w:pPr>
            <w:r w:rsidRPr="00154588">
              <w:rPr>
                <w:bCs/>
                <w:sz w:val="20"/>
                <w:szCs w:val="20"/>
              </w:rPr>
              <w:t>La evaluarea posibilității de soluționare a unui grup, referirile la o instituție trebuie să includă orice instituție sau entitate din cadrul unui grup menționată la art. 1 alin.(1) lit. (c) sau (d).</w:t>
            </w:r>
          </w:p>
        </w:tc>
        <w:tc>
          <w:tcPr>
            <w:tcW w:w="2545" w:type="dxa"/>
            <w:gridSpan w:val="2"/>
          </w:tcPr>
          <w:p w14:paraId="25DBC729" w14:textId="77777777" w:rsidR="005A52B1" w:rsidRPr="00154588" w:rsidRDefault="005A52B1" w:rsidP="008C12B4">
            <w:pPr>
              <w:jc w:val="both"/>
              <w:rPr>
                <w:bCs/>
                <w:sz w:val="20"/>
                <w:szCs w:val="20"/>
              </w:rPr>
            </w:pPr>
            <w:r w:rsidRPr="00154588">
              <w:rPr>
                <w:bCs/>
                <w:sz w:val="20"/>
                <w:szCs w:val="20"/>
              </w:rPr>
              <w:lastRenderedPageBreak/>
              <w:t>Compatibil</w:t>
            </w:r>
          </w:p>
        </w:tc>
        <w:tc>
          <w:tcPr>
            <w:tcW w:w="3162" w:type="dxa"/>
            <w:gridSpan w:val="2"/>
          </w:tcPr>
          <w:p w14:paraId="7B742CCF" w14:textId="77777777" w:rsidR="005A52B1" w:rsidRPr="00154588" w:rsidRDefault="005A52B1" w:rsidP="008C12B4">
            <w:pPr>
              <w:jc w:val="both"/>
              <w:rPr>
                <w:bCs/>
                <w:sz w:val="20"/>
                <w:szCs w:val="20"/>
              </w:rPr>
            </w:pPr>
          </w:p>
        </w:tc>
      </w:tr>
    </w:tbl>
    <w:p w14:paraId="07D9BD0B" w14:textId="2A80912D" w:rsidR="005A6C64" w:rsidRPr="00154588" w:rsidRDefault="005A6C64" w:rsidP="008C12B4">
      <w:pPr>
        <w:spacing w:after="0"/>
        <w:ind w:firstLine="851"/>
        <w:jc w:val="both"/>
        <w:rPr>
          <w:bCs/>
          <w:sz w:val="24"/>
          <w:szCs w:val="24"/>
        </w:rPr>
      </w:pPr>
    </w:p>
    <w:p w14:paraId="5AA1A60A" w14:textId="77777777" w:rsidR="005A6C64" w:rsidRPr="00154588" w:rsidRDefault="005A6C64" w:rsidP="008C12B4">
      <w:pPr>
        <w:spacing w:after="0"/>
        <w:jc w:val="both"/>
        <w:rPr>
          <w:sz w:val="24"/>
          <w:szCs w:val="24"/>
        </w:rPr>
      </w:pPr>
    </w:p>
    <w:sectPr w:rsidR="005A6C64" w:rsidRPr="00154588" w:rsidSect="005A6C64">
      <w:pgSz w:w="16838" w:h="11906" w:orient="landscape" w:code="9"/>
      <w:pgMar w:top="720" w:right="720" w:bottom="720"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E80"/>
    <w:multiLevelType w:val="multilevel"/>
    <w:tmpl w:val="43B610C8"/>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A545B"/>
    <w:multiLevelType w:val="hybridMultilevel"/>
    <w:tmpl w:val="F580E9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92799"/>
    <w:multiLevelType w:val="hybridMultilevel"/>
    <w:tmpl w:val="299A7D4A"/>
    <w:lvl w:ilvl="0" w:tplc="0818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DC02CA1"/>
    <w:multiLevelType w:val="hybridMultilevel"/>
    <w:tmpl w:val="23E0C89E"/>
    <w:lvl w:ilvl="0" w:tplc="96B0663A">
      <w:start w:val="1"/>
      <w:numFmt w:val="lowerLetter"/>
      <w:lvlText w:val="%1)"/>
      <w:lvlJc w:val="left"/>
      <w:pPr>
        <w:ind w:left="927" w:hanging="36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4" w15:restartNumberingAfterBreak="0">
    <w:nsid w:val="0F1E194D"/>
    <w:multiLevelType w:val="hybridMultilevel"/>
    <w:tmpl w:val="547EC410"/>
    <w:lvl w:ilvl="0" w:tplc="37C85D58">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10276A0F"/>
    <w:multiLevelType w:val="hybridMultilevel"/>
    <w:tmpl w:val="D7AC8CCC"/>
    <w:lvl w:ilvl="0" w:tplc="8B1C2D9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0E67B8F"/>
    <w:multiLevelType w:val="hybridMultilevel"/>
    <w:tmpl w:val="0396D740"/>
    <w:lvl w:ilvl="0" w:tplc="CB948C68">
      <w:start w:val="1"/>
      <w:numFmt w:val="decimal"/>
      <w:lvlText w:val="(%1)"/>
      <w:lvlJc w:val="left"/>
      <w:pPr>
        <w:ind w:left="36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110C2AED"/>
    <w:multiLevelType w:val="hybridMultilevel"/>
    <w:tmpl w:val="0C4AB9CA"/>
    <w:lvl w:ilvl="0" w:tplc="0D5AADE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11CA2846"/>
    <w:multiLevelType w:val="hybridMultilevel"/>
    <w:tmpl w:val="938CE034"/>
    <w:lvl w:ilvl="0" w:tplc="985A5886">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 w15:restartNumberingAfterBreak="0">
    <w:nsid w:val="13C949A4"/>
    <w:multiLevelType w:val="hybridMultilevel"/>
    <w:tmpl w:val="F580E924"/>
    <w:lvl w:ilvl="0" w:tplc="740C5100">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1BA94B7A"/>
    <w:multiLevelType w:val="hybridMultilevel"/>
    <w:tmpl w:val="894CBB1E"/>
    <w:lvl w:ilvl="0" w:tplc="0E5669CE">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 w15:restartNumberingAfterBreak="0">
    <w:nsid w:val="21515367"/>
    <w:multiLevelType w:val="hybridMultilevel"/>
    <w:tmpl w:val="8F2C0B20"/>
    <w:lvl w:ilvl="0" w:tplc="A958169A">
      <w:start w:val="1"/>
      <w:numFmt w:val="decimal"/>
      <w:lvlText w:val="(%1)"/>
      <w:lvlJc w:val="left"/>
      <w:pPr>
        <w:ind w:left="408" w:hanging="360"/>
      </w:pPr>
      <w:rPr>
        <w:rFonts w:hint="default"/>
      </w:rPr>
    </w:lvl>
    <w:lvl w:ilvl="1" w:tplc="08180019" w:tentative="1">
      <w:start w:val="1"/>
      <w:numFmt w:val="lowerLetter"/>
      <w:lvlText w:val="%2."/>
      <w:lvlJc w:val="left"/>
      <w:pPr>
        <w:ind w:left="1128" w:hanging="360"/>
      </w:pPr>
    </w:lvl>
    <w:lvl w:ilvl="2" w:tplc="0818001B" w:tentative="1">
      <w:start w:val="1"/>
      <w:numFmt w:val="lowerRoman"/>
      <w:lvlText w:val="%3."/>
      <w:lvlJc w:val="right"/>
      <w:pPr>
        <w:ind w:left="1848" w:hanging="180"/>
      </w:pPr>
    </w:lvl>
    <w:lvl w:ilvl="3" w:tplc="0818000F" w:tentative="1">
      <w:start w:val="1"/>
      <w:numFmt w:val="decimal"/>
      <w:lvlText w:val="%4."/>
      <w:lvlJc w:val="left"/>
      <w:pPr>
        <w:ind w:left="2568" w:hanging="360"/>
      </w:pPr>
    </w:lvl>
    <w:lvl w:ilvl="4" w:tplc="08180019" w:tentative="1">
      <w:start w:val="1"/>
      <w:numFmt w:val="lowerLetter"/>
      <w:lvlText w:val="%5."/>
      <w:lvlJc w:val="left"/>
      <w:pPr>
        <w:ind w:left="3288" w:hanging="360"/>
      </w:pPr>
    </w:lvl>
    <w:lvl w:ilvl="5" w:tplc="0818001B" w:tentative="1">
      <w:start w:val="1"/>
      <w:numFmt w:val="lowerRoman"/>
      <w:lvlText w:val="%6."/>
      <w:lvlJc w:val="right"/>
      <w:pPr>
        <w:ind w:left="4008" w:hanging="180"/>
      </w:pPr>
    </w:lvl>
    <w:lvl w:ilvl="6" w:tplc="0818000F" w:tentative="1">
      <w:start w:val="1"/>
      <w:numFmt w:val="decimal"/>
      <w:lvlText w:val="%7."/>
      <w:lvlJc w:val="left"/>
      <w:pPr>
        <w:ind w:left="4728" w:hanging="360"/>
      </w:pPr>
    </w:lvl>
    <w:lvl w:ilvl="7" w:tplc="08180019" w:tentative="1">
      <w:start w:val="1"/>
      <w:numFmt w:val="lowerLetter"/>
      <w:lvlText w:val="%8."/>
      <w:lvlJc w:val="left"/>
      <w:pPr>
        <w:ind w:left="5448" w:hanging="360"/>
      </w:pPr>
    </w:lvl>
    <w:lvl w:ilvl="8" w:tplc="0818001B" w:tentative="1">
      <w:start w:val="1"/>
      <w:numFmt w:val="lowerRoman"/>
      <w:lvlText w:val="%9."/>
      <w:lvlJc w:val="right"/>
      <w:pPr>
        <w:ind w:left="6168" w:hanging="180"/>
      </w:pPr>
    </w:lvl>
  </w:abstractNum>
  <w:abstractNum w:abstractNumId="12" w15:restartNumberingAfterBreak="0">
    <w:nsid w:val="278A0949"/>
    <w:multiLevelType w:val="multilevel"/>
    <w:tmpl w:val="2620F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C81209"/>
    <w:multiLevelType w:val="hybridMultilevel"/>
    <w:tmpl w:val="519E73AA"/>
    <w:lvl w:ilvl="0" w:tplc="F8CC6E48">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 w15:restartNumberingAfterBreak="0">
    <w:nsid w:val="304627BC"/>
    <w:multiLevelType w:val="hybridMultilevel"/>
    <w:tmpl w:val="6A8C0968"/>
    <w:lvl w:ilvl="0" w:tplc="625837A6">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 w15:restartNumberingAfterBreak="0">
    <w:nsid w:val="35E8331D"/>
    <w:multiLevelType w:val="multilevel"/>
    <w:tmpl w:val="43B610C8"/>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5960DB"/>
    <w:multiLevelType w:val="hybridMultilevel"/>
    <w:tmpl w:val="3A403B88"/>
    <w:lvl w:ilvl="0" w:tplc="412205C2">
      <w:start w:val="1"/>
      <w:numFmt w:val="bullet"/>
      <w:lvlText w:val="-"/>
      <w:lvlJc w:val="left"/>
      <w:pPr>
        <w:ind w:left="420" w:hanging="360"/>
      </w:pPr>
      <w:rPr>
        <w:rFonts w:ascii="Arial" w:eastAsia="Times New Roman" w:hAnsi="Arial" w:cs="Arial" w:hint="default"/>
      </w:rPr>
    </w:lvl>
    <w:lvl w:ilvl="1" w:tplc="08180003" w:tentative="1">
      <w:start w:val="1"/>
      <w:numFmt w:val="bullet"/>
      <w:lvlText w:val="o"/>
      <w:lvlJc w:val="left"/>
      <w:pPr>
        <w:ind w:left="1140" w:hanging="360"/>
      </w:pPr>
      <w:rPr>
        <w:rFonts w:ascii="Courier New" w:hAnsi="Courier New" w:cs="Courier New" w:hint="default"/>
      </w:rPr>
    </w:lvl>
    <w:lvl w:ilvl="2" w:tplc="08180005" w:tentative="1">
      <w:start w:val="1"/>
      <w:numFmt w:val="bullet"/>
      <w:lvlText w:val=""/>
      <w:lvlJc w:val="left"/>
      <w:pPr>
        <w:ind w:left="1860" w:hanging="360"/>
      </w:pPr>
      <w:rPr>
        <w:rFonts w:ascii="Wingdings" w:hAnsi="Wingdings" w:hint="default"/>
      </w:rPr>
    </w:lvl>
    <w:lvl w:ilvl="3" w:tplc="08180001" w:tentative="1">
      <w:start w:val="1"/>
      <w:numFmt w:val="bullet"/>
      <w:lvlText w:val=""/>
      <w:lvlJc w:val="left"/>
      <w:pPr>
        <w:ind w:left="2580" w:hanging="360"/>
      </w:pPr>
      <w:rPr>
        <w:rFonts w:ascii="Symbol" w:hAnsi="Symbol" w:hint="default"/>
      </w:rPr>
    </w:lvl>
    <w:lvl w:ilvl="4" w:tplc="08180003" w:tentative="1">
      <w:start w:val="1"/>
      <w:numFmt w:val="bullet"/>
      <w:lvlText w:val="o"/>
      <w:lvlJc w:val="left"/>
      <w:pPr>
        <w:ind w:left="3300" w:hanging="360"/>
      </w:pPr>
      <w:rPr>
        <w:rFonts w:ascii="Courier New" w:hAnsi="Courier New" w:cs="Courier New" w:hint="default"/>
      </w:rPr>
    </w:lvl>
    <w:lvl w:ilvl="5" w:tplc="08180005" w:tentative="1">
      <w:start w:val="1"/>
      <w:numFmt w:val="bullet"/>
      <w:lvlText w:val=""/>
      <w:lvlJc w:val="left"/>
      <w:pPr>
        <w:ind w:left="4020" w:hanging="360"/>
      </w:pPr>
      <w:rPr>
        <w:rFonts w:ascii="Wingdings" w:hAnsi="Wingdings" w:hint="default"/>
      </w:rPr>
    </w:lvl>
    <w:lvl w:ilvl="6" w:tplc="08180001" w:tentative="1">
      <w:start w:val="1"/>
      <w:numFmt w:val="bullet"/>
      <w:lvlText w:val=""/>
      <w:lvlJc w:val="left"/>
      <w:pPr>
        <w:ind w:left="4740" w:hanging="360"/>
      </w:pPr>
      <w:rPr>
        <w:rFonts w:ascii="Symbol" w:hAnsi="Symbol" w:hint="default"/>
      </w:rPr>
    </w:lvl>
    <w:lvl w:ilvl="7" w:tplc="08180003" w:tentative="1">
      <w:start w:val="1"/>
      <w:numFmt w:val="bullet"/>
      <w:lvlText w:val="o"/>
      <w:lvlJc w:val="left"/>
      <w:pPr>
        <w:ind w:left="5460" w:hanging="360"/>
      </w:pPr>
      <w:rPr>
        <w:rFonts w:ascii="Courier New" w:hAnsi="Courier New" w:cs="Courier New" w:hint="default"/>
      </w:rPr>
    </w:lvl>
    <w:lvl w:ilvl="8" w:tplc="08180005" w:tentative="1">
      <w:start w:val="1"/>
      <w:numFmt w:val="bullet"/>
      <w:lvlText w:val=""/>
      <w:lvlJc w:val="left"/>
      <w:pPr>
        <w:ind w:left="6180" w:hanging="360"/>
      </w:pPr>
      <w:rPr>
        <w:rFonts w:ascii="Wingdings" w:hAnsi="Wingdings" w:hint="default"/>
      </w:rPr>
    </w:lvl>
  </w:abstractNum>
  <w:abstractNum w:abstractNumId="17" w15:restartNumberingAfterBreak="0">
    <w:nsid w:val="423B03DF"/>
    <w:multiLevelType w:val="multilevel"/>
    <w:tmpl w:val="43B610C8"/>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FC10B5"/>
    <w:multiLevelType w:val="hybridMultilevel"/>
    <w:tmpl w:val="8F2C0B20"/>
    <w:lvl w:ilvl="0" w:tplc="FFFFFFFF">
      <w:start w:val="1"/>
      <w:numFmt w:val="decimal"/>
      <w:lvlText w:val="(%1)"/>
      <w:lvlJc w:val="left"/>
      <w:pPr>
        <w:ind w:left="408" w:hanging="360"/>
      </w:pPr>
      <w:rPr>
        <w:rFonts w:hint="default"/>
      </w:rPr>
    </w:lvl>
    <w:lvl w:ilvl="1" w:tplc="FFFFFFFF" w:tentative="1">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abstractNum w:abstractNumId="19" w15:restartNumberingAfterBreak="0">
    <w:nsid w:val="48ED6FB6"/>
    <w:multiLevelType w:val="hybridMultilevel"/>
    <w:tmpl w:val="0706C4E6"/>
    <w:lvl w:ilvl="0" w:tplc="96362D8E">
      <w:start w:val="10"/>
      <w:numFmt w:val="bullet"/>
      <w:lvlText w:val="-"/>
      <w:lvlJc w:val="left"/>
      <w:pPr>
        <w:ind w:left="720" w:hanging="360"/>
      </w:pPr>
      <w:rPr>
        <w:rFonts w:ascii="Arial" w:eastAsia="Times New Roman" w:hAnsi="Arial" w:cs="Aria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0" w15:restartNumberingAfterBreak="0">
    <w:nsid w:val="50370E53"/>
    <w:multiLevelType w:val="hybridMultilevel"/>
    <w:tmpl w:val="8E2246C8"/>
    <w:lvl w:ilvl="0" w:tplc="AD5E710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5F30CC9"/>
    <w:multiLevelType w:val="hybridMultilevel"/>
    <w:tmpl w:val="95AA25AA"/>
    <w:lvl w:ilvl="0" w:tplc="62DACBDE">
      <w:start w:val="1"/>
      <w:numFmt w:val="lowerRoman"/>
      <w:lvlText w:val="(%1)"/>
      <w:lvlJc w:val="left"/>
      <w:pPr>
        <w:ind w:left="754" w:hanging="720"/>
      </w:pPr>
      <w:rPr>
        <w:rFonts w:hint="default"/>
      </w:rPr>
    </w:lvl>
    <w:lvl w:ilvl="1" w:tplc="08180019" w:tentative="1">
      <w:start w:val="1"/>
      <w:numFmt w:val="lowerLetter"/>
      <w:lvlText w:val="%2."/>
      <w:lvlJc w:val="left"/>
      <w:pPr>
        <w:ind w:left="1114" w:hanging="360"/>
      </w:pPr>
    </w:lvl>
    <w:lvl w:ilvl="2" w:tplc="0818001B" w:tentative="1">
      <w:start w:val="1"/>
      <w:numFmt w:val="lowerRoman"/>
      <w:lvlText w:val="%3."/>
      <w:lvlJc w:val="right"/>
      <w:pPr>
        <w:ind w:left="1834" w:hanging="180"/>
      </w:pPr>
    </w:lvl>
    <w:lvl w:ilvl="3" w:tplc="0818000F" w:tentative="1">
      <w:start w:val="1"/>
      <w:numFmt w:val="decimal"/>
      <w:lvlText w:val="%4."/>
      <w:lvlJc w:val="left"/>
      <w:pPr>
        <w:ind w:left="2554" w:hanging="360"/>
      </w:pPr>
    </w:lvl>
    <w:lvl w:ilvl="4" w:tplc="08180019" w:tentative="1">
      <w:start w:val="1"/>
      <w:numFmt w:val="lowerLetter"/>
      <w:lvlText w:val="%5."/>
      <w:lvlJc w:val="left"/>
      <w:pPr>
        <w:ind w:left="3274" w:hanging="360"/>
      </w:pPr>
    </w:lvl>
    <w:lvl w:ilvl="5" w:tplc="0818001B" w:tentative="1">
      <w:start w:val="1"/>
      <w:numFmt w:val="lowerRoman"/>
      <w:lvlText w:val="%6."/>
      <w:lvlJc w:val="right"/>
      <w:pPr>
        <w:ind w:left="3994" w:hanging="180"/>
      </w:pPr>
    </w:lvl>
    <w:lvl w:ilvl="6" w:tplc="0818000F" w:tentative="1">
      <w:start w:val="1"/>
      <w:numFmt w:val="decimal"/>
      <w:lvlText w:val="%7."/>
      <w:lvlJc w:val="left"/>
      <w:pPr>
        <w:ind w:left="4714" w:hanging="360"/>
      </w:pPr>
    </w:lvl>
    <w:lvl w:ilvl="7" w:tplc="08180019" w:tentative="1">
      <w:start w:val="1"/>
      <w:numFmt w:val="lowerLetter"/>
      <w:lvlText w:val="%8."/>
      <w:lvlJc w:val="left"/>
      <w:pPr>
        <w:ind w:left="5434" w:hanging="360"/>
      </w:pPr>
    </w:lvl>
    <w:lvl w:ilvl="8" w:tplc="0818001B" w:tentative="1">
      <w:start w:val="1"/>
      <w:numFmt w:val="lowerRoman"/>
      <w:lvlText w:val="%9."/>
      <w:lvlJc w:val="right"/>
      <w:pPr>
        <w:ind w:left="6154" w:hanging="180"/>
      </w:pPr>
    </w:lvl>
  </w:abstractNum>
  <w:abstractNum w:abstractNumId="22" w15:restartNumberingAfterBreak="0">
    <w:nsid w:val="568A4227"/>
    <w:multiLevelType w:val="multilevel"/>
    <w:tmpl w:val="1BFACFFA"/>
    <w:lvl w:ilvl="0">
      <w:start w:val="1"/>
      <w:numFmt w:val="decimal"/>
      <w:lvlText w:val="%1)"/>
      <w:lvlJc w:val="left"/>
      <w:pPr>
        <w:tabs>
          <w:tab w:val="num" w:pos="720"/>
        </w:tabs>
        <w:ind w:left="720" w:hanging="360"/>
      </w:pPr>
      <w:rPr>
        <w:rFonts w:ascii="Arial" w:eastAsia="Times New Roman" w:hAnsi="Arial" w:cs="Arial"/>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E26627"/>
    <w:multiLevelType w:val="hybridMultilevel"/>
    <w:tmpl w:val="8BD61588"/>
    <w:lvl w:ilvl="0" w:tplc="8872F624">
      <w:start w:val="1"/>
      <w:numFmt w:val="decimal"/>
      <w:lvlText w:val="(%1)"/>
      <w:lvlJc w:val="left"/>
      <w:pPr>
        <w:ind w:left="414" w:hanging="360"/>
      </w:pPr>
      <w:rPr>
        <w:rFonts w:hint="default"/>
      </w:rPr>
    </w:lvl>
    <w:lvl w:ilvl="1" w:tplc="04180019" w:tentative="1">
      <w:start w:val="1"/>
      <w:numFmt w:val="lowerLetter"/>
      <w:lvlText w:val="%2."/>
      <w:lvlJc w:val="left"/>
      <w:pPr>
        <w:ind w:left="1134" w:hanging="360"/>
      </w:pPr>
    </w:lvl>
    <w:lvl w:ilvl="2" w:tplc="0418001B" w:tentative="1">
      <w:start w:val="1"/>
      <w:numFmt w:val="lowerRoman"/>
      <w:lvlText w:val="%3."/>
      <w:lvlJc w:val="right"/>
      <w:pPr>
        <w:ind w:left="1854" w:hanging="180"/>
      </w:pPr>
    </w:lvl>
    <w:lvl w:ilvl="3" w:tplc="0418000F" w:tentative="1">
      <w:start w:val="1"/>
      <w:numFmt w:val="decimal"/>
      <w:lvlText w:val="%4."/>
      <w:lvlJc w:val="left"/>
      <w:pPr>
        <w:ind w:left="2574" w:hanging="360"/>
      </w:pPr>
    </w:lvl>
    <w:lvl w:ilvl="4" w:tplc="04180019" w:tentative="1">
      <w:start w:val="1"/>
      <w:numFmt w:val="lowerLetter"/>
      <w:lvlText w:val="%5."/>
      <w:lvlJc w:val="left"/>
      <w:pPr>
        <w:ind w:left="3294" w:hanging="360"/>
      </w:pPr>
    </w:lvl>
    <w:lvl w:ilvl="5" w:tplc="0418001B" w:tentative="1">
      <w:start w:val="1"/>
      <w:numFmt w:val="lowerRoman"/>
      <w:lvlText w:val="%6."/>
      <w:lvlJc w:val="right"/>
      <w:pPr>
        <w:ind w:left="4014" w:hanging="180"/>
      </w:pPr>
    </w:lvl>
    <w:lvl w:ilvl="6" w:tplc="0418000F" w:tentative="1">
      <w:start w:val="1"/>
      <w:numFmt w:val="decimal"/>
      <w:lvlText w:val="%7."/>
      <w:lvlJc w:val="left"/>
      <w:pPr>
        <w:ind w:left="4734" w:hanging="360"/>
      </w:pPr>
    </w:lvl>
    <w:lvl w:ilvl="7" w:tplc="04180019" w:tentative="1">
      <w:start w:val="1"/>
      <w:numFmt w:val="lowerLetter"/>
      <w:lvlText w:val="%8."/>
      <w:lvlJc w:val="left"/>
      <w:pPr>
        <w:ind w:left="5454" w:hanging="360"/>
      </w:pPr>
    </w:lvl>
    <w:lvl w:ilvl="8" w:tplc="0418001B" w:tentative="1">
      <w:start w:val="1"/>
      <w:numFmt w:val="lowerRoman"/>
      <w:lvlText w:val="%9."/>
      <w:lvlJc w:val="right"/>
      <w:pPr>
        <w:ind w:left="6174" w:hanging="180"/>
      </w:pPr>
    </w:lvl>
  </w:abstractNum>
  <w:abstractNum w:abstractNumId="24" w15:restartNumberingAfterBreak="0">
    <w:nsid w:val="576516E8"/>
    <w:multiLevelType w:val="hybridMultilevel"/>
    <w:tmpl w:val="F5488E1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AC862AB"/>
    <w:multiLevelType w:val="hybridMultilevel"/>
    <w:tmpl w:val="09E2A7A8"/>
    <w:lvl w:ilvl="0" w:tplc="044C407A">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6" w15:restartNumberingAfterBreak="0">
    <w:nsid w:val="5B3C4391"/>
    <w:multiLevelType w:val="hybridMultilevel"/>
    <w:tmpl w:val="676E4E46"/>
    <w:lvl w:ilvl="0" w:tplc="B50C0DA8">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2790041"/>
    <w:multiLevelType w:val="hybridMultilevel"/>
    <w:tmpl w:val="F5488E14"/>
    <w:lvl w:ilvl="0" w:tplc="780E11A2">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 w15:restartNumberingAfterBreak="0">
    <w:nsid w:val="652D2B8A"/>
    <w:multiLevelType w:val="hybridMultilevel"/>
    <w:tmpl w:val="F580E9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35F4563"/>
    <w:multiLevelType w:val="hybridMultilevel"/>
    <w:tmpl w:val="5AF830AA"/>
    <w:lvl w:ilvl="0" w:tplc="4FFE4BAC">
      <w:start w:val="1"/>
      <w:numFmt w:val="lowerLetter"/>
      <w:lvlText w:val="(%1)"/>
      <w:lvlJc w:val="left"/>
      <w:pPr>
        <w:ind w:left="720" w:hanging="360"/>
      </w:pPr>
      <w:rPr>
        <w:rFonts w:eastAsia="Calibri"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0" w15:restartNumberingAfterBreak="0">
    <w:nsid w:val="76E346AF"/>
    <w:multiLevelType w:val="hybridMultilevel"/>
    <w:tmpl w:val="05A4E59C"/>
    <w:lvl w:ilvl="0" w:tplc="E932B22E">
      <w:start w:val="10"/>
      <w:numFmt w:val="bullet"/>
      <w:lvlText w:val="-"/>
      <w:lvlJc w:val="left"/>
      <w:pPr>
        <w:ind w:left="720" w:hanging="360"/>
      </w:pPr>
      <w:rPr>
        <w:rFonts w:ascii="Arial" w:eastAsia="Times New Roman" w:hAnsi="Arial" w:cs="Aria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1" w15:restartNumberingAfterBreak="0">
    <w:nsid w:val="78036F83"/>
    <w:multiLevelType w:val="hybridMultilevel"/>
    <w:tmpl w:val="1FEE59AC"/>
    <w:lvl w:ilvl="0" w:tplc="7EBA2E9A">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2" w15:restartNumberingAfterBreak="0">
    <w:nsid w:val="7DE64182"/>
    <w:multiLevelType w:val="hybridMultilevel"/>
    <w:tmpl w:val="8F2C0B20"/>
    <w:lvl w:ilvl="0" w:tplc="FFFFFFFF">
      <w:start w:val="1"/>
      <w:numFmt w:val="decimal"/>
      <w:lvlText w:val="(%1)"/>
      <w:lvlJc w:val="left"/>
      <w:pPr>
        <w:ind w:left="408" w:hanging="360"/>
      </w:pPr>
      <w:rPr>
        <w:rFonts w:hint="default"/>
      </w:rPr>
    </w:lvl>
    <w:lvl w:ilvl="1" w:tplc="FFFFFFFF" w:tentative="1">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num w:numId="1">
    <w:abstractNumId w:val="5"/>
  </w:num>
  <w:num w:numId="2">
    <w:abstractNumId w:val="31"/>
  </w:num>
  <w:num w:numId="3">
    <w:abstractNumId w:val="9"/>
  </w:num>
  <w:num w:numId="4">
    <w:abstractNumId w:val="14"/>
  </w:num>
  <w:num w:numId="5">
    <w:abstractNumId w:val="21"/>
  </w:num>
  <w:num w:numId="6">
    <w:abstractNumId w:val="27"/>
  </w:num>
  <w:num w:numId="7">
    <w:abstractNumId w:val="7"/>
  </w:num>
  <w:num w:numId="8">
    <w:abstractNumId w:val="11"/>
  </w:num>
  <w:num w:numId="9">
    <w:abstractNumId w:val="4"/>
  </w:num>
  <w:num w:numId="10">
    <w:abstractNumId w:val="13"/>
  </w:num>
  <w:num w:numId="11">
    <w:abstractNumId w:val="3"/>
  </w:num>
  <w:num w:numId="12">
    <w:abstractNumId w:val="10"/>
  </w:num>
  <w:num w:numId="13">
    <w:abstractNumId w:val="29"/>
  </w:num>
  <w:num w:numId="14">
    <w:abstractNumId w:val="16"/>
  </w:num>
  <w:num w:numId="15">
    <w:abstractNumId w:val="30"/>
  </w:num>
  <w:num w:numId="16">
    <w:abstractNumId w:val="19"/>
  </w:num>
  <w:num w:numId="17">
    <w:abstractNumId w:val="6"/>
  </w:num>
  <w:num w:numId="18">
    <w:abstractNumId w:val="25"/>
  </w:num>
  <w:num w:numId="19">
    <w:abstractNumId w:val="20"/>
  </w:num>
  <w:num w:numId="20">
    <w:abstractNumId w:val="23"/>
  </w:num>
  <w:num w:numId="21">
    <w:abstractNumId w:val="8"/>
  </w:num>
  <w:num w:numId="22">
    <w:abstractNumId w:val="18"/>
  </w:num>
  <w:num w:numId="23">
    <w:abstractNumId w:val="22"/>
  </w:num>
  <w:num w:numId="24">
    <w:abstractNumId w:val="15"/>
  </w:num>
  <w:num w:numId="25">
    <w:abstractNumId w:val="32"/>
  </w:num>
  <w:num w:numId="26">
    <w:abstractNumId w:val="17"/>
  </w:num>
  <w:num w:numId="27">
    <w:abstractNumId w:val="0"/>
  </w:num>
  <w:num w:numId="28">
    <w:abstractNumId w:val="12"/>
  </w:num>
  <w:num w:numId="29">
    <w:abstractNumId w:val="26"/>
  </w:num>
  <w:num w:numId="30">
    <w:abstractNumId w:val="28"/>
  </w:num>
  <w:num w:numId="31">
    <w:abstractNumId w:val="1"/>
  </w:num>
  <w:num w:numId="32">
    <w:abstractNumId w:val="24"/>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790"/>
    <w:rsid w:val="000010F2"/>
    <w:rsid w:val="0000176B"/>
    <w:rsid w:val="00002273"/>
    <w:rsid w:val="000024ED"/>
    <w:rsid w:val="00006EC6"/>
    <w:rsid w:val="00010854"/>
    <w:rsid w:val="000111E3"/>
    <w:rsid w:val="000121E0"/>
    <w:rsid w:val="0001236C"/>
    <w:rsid w:val="00014F17"/>
    <w:rsid w:val="00015D8D"/>
    <w:rsid w:val="00017603"/>
    <w:rsid w:val="00020AC0"/>
    <w:rsid w:val="00021B6B"/>
    <w:rsid w:val="0002237E"/>
    <w:rsid w:val="00022A57"/>
    <w:rsid w:val="000232EB"/>
    <w:rsid w:val="00030247"/>
    <w:rsid w:val="00030EDE"/>
    <w:rsid w:val="0003174B"/>
    <w:rsid w:val="00031AAA"/>
    <w:rsid w:val="00032F22"/>
    <w:rsid w:val="00033A83"/>
    <w:rsid w:val="00033B7C"/>
    <w:rsid w:val="000348FA"/>
    <w:rsid w:val="00035C07"/>
    <w:rsid w:val="00036389"/>
    <w:rsid w:val="00036D20"/>
    <w:rsid w:val="00037504"/>
    <w:rsid w:val="00037568"/>
    <w:rsid w:val="000376A4"/>
    <w:rsid w:val="000415BA"/>
    <w:rsid w:val="00041EAB"/>
    <w:rsid w:val="00042EE4"/>
    <w:rsid w:val="00052D95"/>
    <w:rsid w:val="00052DC8"/>
    <w:rsid w:val="00053F17"/>
    <w:rsid w:val="000540CF"/>
    <w:rsid w:val="00054E5A"/>
    <w:rsid w:val="000553E6"/>
    <w:rsid w:val="00056435"/>
    <w:rsid w:val="00056709"/>
    <w:rsid w:val="00057A3B"/>
    <w:rsid w:val="00062B62"/>
    <w:rsid w:val="000658E4"/>
    <w:rsid w:val="00065FB8"/>
    <w:rsid w:val="00066A7F"/>
    <w:rsid w:val="000677DE"/>
    <w:rsid w:val="00067C42"/>
    <w:rsid w:val="00073A55"/>
    <w:rsid w:val="00073C77"/>
    <w:rsid w:val="00073CF7"/>
    <w:rsid w:val="000747AA"/>
    <w:rsid w:val="00077017"/>
    <w:rsid w:val="00077F52"/>
    <w:rsid w:val="000837BD"/>
    <w:rsid w:val="00084A72"/>
    <w:rsid w:val="00087B7E"/>
    <w:rsid w:val="0009222C"/>
    <w:rsid w:val="00092B8A"/>
    <w:rsid w:val="00093BD9"/>
    <w:rsid w:val="000945CD"/>
    <w:rsid w:val="00096738"/>
    <w:rsid w:val="00097E9E"/>
    <w:rsid w:val="000A0A3B"/>
    <w:rsid w:val="000A1D0E"/>
    <w:rsid w:val="000A26AE"/>
    <w:rsid w:val="000A2742"/>
    <w:rsid w:val="000A4A29"/>
    <w:rsid w:val="000A563E"/>
    <w:rsid w:val="000A6122"/>
    <w:rsid w:val="000A6524"/>
    <w:rsid w:val="000A6B3F"/>
    <w:rsid w:val="000A762D"/>
    <w:rsid w:val="000B08C9"/>
    <w:rsid w:val="000B52D4"/>
    <w:rsid w:val="000B6729"/>
    <w:rsid w:val="000C0482"/>
    <w:rsid w:val="000C1312"/>
    <w:rsid w:val="000C24F2"/>
    <w:rsid w:val="000C2E26"/>
    <w:rsid w:val="000C392F"/>
    <w:rsid w:val="000C3B42"/>
    <w:rsid w:val="000C6B41"/>
    <w:rsid w:val="000D083E"/>
    <w:rsid w:val="000D3CF9"/>
    <w:rsid w:val="000D5094"/>
    <w:rsid w:val="000D7054"/>
    <w:rsid w:val="000E0A7F"/>
    <w:rsid w:val="000E45E1"/>
    <w:rsid w:val="000E4871"/>
    <w:rsid w:val="000F0E7A"/>
    <w:rsid w:val="000F3E43"/>
    <w:rsid w:val="000F41CD"/>
    <w:rsid w:val="000F492C"/>
    <w:rsid w:val="000F4AB3"/>
    <w:rsid w:val="000F4EC6"/>
    <w:rsid w:val="000F559C"/>
    <w:rsid w:val="000F65F3"/>
    <w:rsid w:val="00102B7C"/>
    <w:rsid w:val="00105A46"/>
    <w:rsid w:val="00105A96"/>
    <w:rsid w:val="00111383"/>
    <w:rsid w:val="001113E3"/>
    <w:rsid w:val="00111431"/>
    <w:rsid w:val="00112ADA"/>
    <w:rsid w:val="00113153"/>
    <w:rsid w:val="001139D1"/>
    <w:rsid w:val="0011718A"/>
    <w:rsid w:val="00117745"/>
    <w:rsid w:val="00117DF2"/>
    <w:rsid w:val="00120686"/>
    <w:rsid w:val="00125AE2"/>
    <w:rsid w:val="00131D51"/>
    <w:rsid w:val="00132F2A"/>
    <w:rsid w:val="0013679B"/>
    <w:rsid w:val="0013714B"/>
    <w:rsid w:val="00140D51"/>
    <w:rsid w:val="00142408"/>
    <w:rsid w:val="0014349E"/>
    <w:rsid w:val="00143963"/>
    <w:rsid w:val="00143FDF"/>
    <w:rsid w:val="00144736"/>
    <w:rsid w:val="0014513F"/>
    <w:rsid w:val="0014533D"/>
    <w:rsid w:val="001457B4"/>
    <w:rsid w:val="00147295"/>
    <w:rsid w:val="001514D4"/>
    <w:rsid w:val="00154588"/>
    <w:rsid w:val="00154AE6"/>
    <w:rsid w:val="00155B51"/>
    <w:rsid w:val="0015679B"/>
    <w:rsid w:val="00156EA0"/>
    <w:rsid w:val="00157364"/>
    <w:rsid w:val="00160006"/>
    <w:rsid w:val="0016310D"/>
    <w:rsid w:val="00164738"/>
    <w:rsid w:val="00166C5B"/>
    <w:rsid w:val="001715CF"/>
    <w:rsid w:val="00174013"/>
    <w:rsid w:val="00174683"/>
    <w:rsid w:val="00174C5E"/>
    <w:rsid w:val="00174C9B"/>
    <w:rsid w:val="001768C0"/>
    <w:rsid w:val="00176DE5"/>
    <w:rsid w:val="00180D25"/>
    <w:rsid w:val="00181B29"/>
    <w:rsid w:val="00182090"/>
    <w:rsid w:val="00191310"/>
    <w:rsid w:val="00191FB4"/>
    <w:rsid w:val="00192D70"/>
    <w:rsid w:val="00193244"/>
    <w:rsid w:val="001937B0"/>
    <w:rsid w:val="00194095"/>
    <w:rsid w:val="00196548"/>
    <w:rsid w:val="001A1944"/>
    <w:rsid w:val="001A225B"/>
    <w:rsid w:val="001A4860"/>
    <w:rsid w:val="001A56D1"/>
    <w:rsid w:val="001A6518"/>
    <w:rsid w:val="001A7500"/>
    <w:rsid w:val="001A75B8"/>
    <w:rsid w:val="001B1D4A"/>
    <w:rsid w:val="001B1DC6"/>
    <w:rsid w:val="001B281A"/>
    <w:rsid w:val="001B2F8A"/>
    <w:rsid w:val="001B3867"/>
    <w:rsid w:val="001B42A1"/>
    <w:rsid w:val="001B67AF"/>
    <w:rsid w:val="001B6A43"/>
    <w:rsid w:val="001C1357"/>
    <w:rsid w:val="001C1C69"/>
    <w:rsid w:val="001C3B07"/>
    <w:rsid w:val="001C48BF"/>
    <w:rsid w:val="001C6D3D"/>
    <w:rsid w:val="001D0BF3"/>
    <w:rsid w:val="001D1287"/>
    <w:rsid w:val="001D2BAD"/>
    <w:rsid w:val="001D4503"/>
    <w:rsid w:val="001D4849"/>
    <w:rsid w:val="001D4BFC"/>
    <w:rsid w:val="001D521F"/>
    <w:rsid w:val="001D7A54"/>
    <w:rsid w:val="001D7DB8"/>
    <w:rsid w:val="001E570F"/>
    <w:rsid w:val="001E71C3"/>
    <w:rsid w:val="001E78F2"/>
    <w:rsid w:val="001E7E4B"/>
    <w:rsid w:val="001E7EB6"/>
    <w:rsid w:val="001F1176"/>
    <w:rsid w:val="001F29C6"/>
    <w:rsid w:val="001F56AB"/>
    <w:rsid w:val="001F57AD"/>
    <w:rsid w:val="001F73A1"/>
    <w:rsid w:val="002000E3"/>
    <w:rsid w:val="00200322"/>
    <w:rsid w:val="00200947"/>
    <w:rsid w:val="00201125"/>
    <w:rsid w:val="00201457"/>
    <w:rsid w:val="002017E8"/>
    <w:rsid w:val="002024E9"/>
    <w:rsid w:val="0020385D"/>
    <w:rsid w:val="00205232"/>
    <w:rsid w:val="0020566B"/>
    <w:rsid w:val="00205AC8"/>
    <w:rsid w:val="00210A39"/>
    <w:rsid w:val="00210ADE"/>
    <w:rsid w:val="00211706"/>
    <w:rsid w:val="0021194D"/>
    <w:rsid w:val="00211D91"/>
    <w:rsid w:val="00212301"/>
    <w:rsid w:val="002151CA"/>
    <w:rsid w:val="00215270"/>
    <w:rsid w:val="00216BBF"/>
    <w:rsid w:val="00216D87"/>
    <w:rsid w:val="00216E62"/>
    <w:rsid w:val="00220D0B"/>
    <w:rsid w:val="0022135A"/>
    <w:rsid w:val="00221F70"/>
    <w:rsid w:val="00224C47"/>
    <w:rsid w:val="00224F46"/>
    <w:rsid w:val="00227F68"/>
    <w:rsid w:val="002318AD"/>
    <w:rsid w:val="00234A54"/>
    <w:rsid w:val="00235239"/>
    <w:rsid w:val="00236DB8"/>
    <w:rsid w:val="00237069"/>
    <w:rsid w:val="00240893"/>
    <w:rsid w:val="00244829"/>
    <w:rsid w:val="00246636"/>
    <w:rsid w:val="00246BF3"/>
    <w:rsid w:val="002479A0"/>
    <w:rsid w:val="0025291F"/>
    <w:rsid w:val="00253759"/>
    <w:rsid w:val="00253AB1"/>
    <w:rsid w:val="00254504"/>
    <w:rsid w:val="00254732"/>
    <w:rsid w:val="002551E0"/>
    <w:rsid w:val="00255692"/>
    <w:rsid w:val="0025749C"/>
    <w:rsid w:val="0026097F"/>
    <w:rsid w:val="00260A14"/>
    <w:rsid w:val="002631F4"/>
    <w:rsid w:val="0026321D"/>
    <w:rsid w:val="00263F98"/>
    <w:rsid w:val="00264C62"/>
    <w:rsid w:val="00266960"/>
    <w:rsid w:val="002708ED"/>
    <w:rsid w:val="00272578"/>
    <w:rsid w:val="002744B0"/>
    <w:rsid w:val="0027547F"/>
    <w:rsid w:val="00280D26"/>
    <w:rsid w:val="00280EB4"/>
    <w:rsid w:val="00281D39"/>
    <w:rsid w:val="002835DE"/>
    <w:rsid w:val="00284ED2"/>
    <w:rsid w:val="00286EFE"/>
    <w:rsid w:val="00287534"/>
    <w:rsid w:val="002902BF"/>
    <w:rsid w:val="00291ADE"/>
    <w:rsid w:val="0029334B"/>
    <w:rsid w:val="002A0A26"/>
    <w:rsid w:val="002A1F96"/>
    <w:rsid w:val="002A356C"/>
    <w:rsid w:val="002A40B4"/>
    <w:rsid w:val="002A6CDC"/>
    <w:rsid w:val="002B03A3"/>
    <w:rsid w:val="002B64D4"/>
    <w:rsid w:val="002B769A"/>
    <w:rsid w:val="002C006A"/>
    <w:rsid w:val="002C0EFD"/>
    <w:rsid w:val="002C620F"/>
    <w:rsid w:val="002C6E66"/>
    <w:rsid w:val="002C7078"/>
    <w:rsid w:val="002D0019"/>
    <w:rsid w:val="002D117E"/>
    <w:rsid w:val="002D16AF"/>
    <w:rsid w:val="002D3DC5"/>
    <w:rsid w:val="002D4F88"/>
    <w:rsid w:val="002D7BCD"/>
    <w:rsid w:val="002E0C2D"/>
    <w:rsid w:val="002E0EFA"/>
    <w:rsid w:val="002E0FDC"/>
    <w:rsid w:val="002E2215"/>
    <w:rsid w:val="002E31CA"/>
    <w:rsid w:val="002E3838"/>
    <w:rsid w:val="002E62D1"/>
    <w:rsid w:val="002E6567"/>
    <w:rsid w:val="002E7046"/>
    <w:rsid w:val="002E7BEF"/>
    <w:rsid w:val="002F0DC3"/>
    <w:rsid w:val="002F42BF"/>
    <w:rsid w:val="002F626B"/>
    <w:rsid w:val="002F741A"/>
    <w:rsid w:val="0030489C"/>
    <w:rsid w:val="00305672"/>
    <w:rsid w:val="00306836"/>
    <w:rsid w:val="00310414"/>
    <w:rsid w:val="0031353C"/>
    <w:rsid w:val="0031375D"/>
    <w:rsid w:val="00313C0F"/>
    <w:rsid w:val="00314EF3"/>
    <w:rsid w:val="003175A2"/>
    <w:rsid w:val="003175F5"/>
    <w:rsid w:val="0032001D"/>
    <w:rsid w:val="0032175C"/>
    <w:rsid w:val="00323539"/>
    <w:rsid w:val="00326E72"/>
    <w:rsid w:val="00327013"/>
    <w:rsid w:val="0032781C"/>
    <w:rsid w:val="00330D1B"/>
    <w:rsid w:val="00332B33"/>
    <w:rsid w:val="003338E1"/>
    <w:rsid w:val="00334B7B"/>
    <w:rsid w:val="00334BC1"/>
    <w:rsid w:val="00336A1B"/>
    <w:rsid w:val="00336A1F"/>
    <w:rsid w:val="0033753C"/>
    <w:rsid w:val="00340550"/>
    <w:rsid w:val="00341535"/>
    <w:rsid w:val="00344EE9"/>
    <w:rsid w:val="0034690B"/>
    <w:rsid w:val="00347BF5"/>
    <w:rsid w:val="00347F37"/>
    <w:rsid w:val="003502BA"/>
    <w:rsid w:val="00350827"/>
    <w:rsid w:val="0035215E"/>
    <w:rsid w:val="0035251F"/>
    <w:rsid w:val="00354502"/>
    <w:rsid w:val="00355729"/>
    <w:rsid w:val="003561E9"/>
    <w:rsid w:val="00356A3F"/>
    <w:rsid w:val="00362E14"/>
    <w:rsid w:val="00362EE1"/>
    <w:rsid w:val="003673E3"/>
    <w:rsid w:val="0037156B"/>
    <w:rsid w:val="0037492E"/>
    <w:rsid w:val="003753CB"/>
    <w:rsid w:val="00376D52"/>
    <w:rsid w:val="0038188A"/>
    <w:rsid w:val="00382041"/>
    <w:rsid w:val="003823E2"/>
    <w:rsid w:val="003843B9"/>
    <w:rsid w:val="003866C8"/>
    <w:rsid w:val="00387C2E"/>
    <w:rsid w:val="00392D28"/>
    <w:rsid w:val="00396EBC"/>
    <w:rsid w:val="003A3306"/>
    <w:rsid w:val="003A378F"/>
    <w:rsid w:val="003A3A9C"/>
    <w:rsid w:val="003A6118"/>
    <w:rsid w:val="003A71B7"/>
    <w:rsid w:val="003B103B"/>
    <w:rsid w:val="003B41F8"/>
    <w:rsid w:val="003B46BE"/>
    <w:rsid w:val="003B7720"/>
    <w:rsid w:val="003B7A7A"/>
    <w:rsid w:val="003C01F8"/>
    <w:rsid w:val="003C2C2C"/>
    <w:rsid w:val="003C73DF"/>
    <w:rsid w:val="003D1C17"/>
    <w:rsid w:val="003D21A2"/>
    <w:rsid w:val="003D2AF4"/>
    <w:rsid w:val="003D310C"/>
    <w:rsid w:val="003D7103"/>
    <w:rsid w:val="003E4705"/>
    <w:rsid w:val="003E4999"/>
    <w:rsid w:val="003E543A"/>
    <w:rsid w:val="003E5ACF"/>
    <w:rsid w:val="003E6D8C"/>
    <w:rsid w:val="003E733F"/>
    <w:rsid w:val="003F0383"/>
    <w:rsid w:val="003F0F89"/>
    <w:rsid w:val="003F1CF1"/>
    <w:rsid w:val="003F2477"/>
    <w:rsid w:val="003F3C04"/>
    <w:rsid w:val="003F3C05"/>
    <w:rsid w:val="003F513D"/>
    <w:rsid w:val="003F65CC"/>
    <w:rsid w:val="003F768D"/>
    <w:rsid w:val="004048C0"/>
    <w:rsid w:val="00404FD4"/>
    <w:rsid w:val="004059EB"/>
    <w:rsid w:val="00405B0C"/>
    <w:rsid w:val="00405EC7"/>
    <w:rsid w:val="00411F80"/>
    <w:rsid w:val="00413327"/>
    <w:rsid w:val="00413EDB"/>
    <w:rsid w:val="00417602"/>
    <w:rsid w:val="004203C4"/>
    <w:rsid w:val="00422676"/>
    <w:rsid w:val="0042303B"/>
    <w:rsid w:val="00424E03"/>
    <w:rsid w:val="004263D8"/>
    <w:rsid w:val="00430211"/>
    <w:rsid w:val="0043334B"/>
    <w:rsid w:val="00436B79"/>
    <w:rsid w:val="00437726"/>
    <w:rsid w:val="00437EBD"/>
    <w:rsid w:val="00437F6D"/>
    <w:rsid w:val="00440CB3"/>
    <w:rsid w:val="00443867"/>
    <w:rsid w:val="00444783"/>
    <w:rsid w:val="00444FCF"/>
    <w:rsid w:val="004467EF"/>
    <w:rsid w:val="00447048"/>
    <w:rsid w:val="00447FF7"/>
    <w:rsid w:val="00451C13"/>
    <w:rsid w:val="0045272F"/>
    <w:rsid w:val="00453793"/>
    <w:rsid w:val="00454676"/>
    <w:rsid w:val="004549B5"/>
    <w:rsid w:val="00455B5C"/>
    <w:rsid w:val="00455FFF"/>
    <w:rsid w:val="00456CF7"/>
    <w:rsid w:val="0045723A"/>
    <w:rsid w:val="004576EF"/>
    <w:rsid w:val="00457D4A"/>
    <w:rsid w:val="00461403"/>
    <w:rsid w:val="00461D67"/>
    <w:rsid w:val="004625D6"/>
    <w:rsid w:val="00463D62"/>
    <w:rsid w:val="00463D82"/>
    <w:rsid w:val="004642F7"/>
    <w:rsid w:val="0046471E"/>
    <w:rsid w:val="0046472D"/>
    <w:rsid w:val="00465021"/>
    <w:rsid w:val="00465427"/>
    <w:rsid w:val="004667CC"/>
    <w:rsid w:val="004700A0"/>
    <w:rsid w:val="004728D7"/>
    <w:rsid w:val="004753EC"/>
    <w:rsid w:val="00475683"/>
    <w:rsid w:val="00476435"/>
    <w:rsid w:val="00476E10"/>
    <w:rsid w:val="004803DB"/>
    <w:rsid w:val="00481C6E"/>
    <w:rsid w:val="00482992"/>
    <w:rsid w:val="00486CE5"/>
    <w:rsid w:val="00492619"/>
    <w:rsid w:val="00494B19"/>
    <w:rsid w:val="004951DA"/>
    <w:rsid w:val="00496771"/>
    <w:rsid w:val="0049679A"/>
    <w:rsid w:val="004976FA"/>
    <w:rsid w:val="004A01F3"/>
    <w:rsid w:val="004A1141"/>
    <w:rsid w:val="004A199C"/>
    <w:rsid w:val="004A3394"/>
    <w:rsid w:val="004A3A83"/>
    <w:rsid w:val="004A5A0C"/>
    <w:rsid w:val="004A5D20"/>
    <w:rsid w:val="004A5D4C"/>
    <w:rsid w:val="004A5E92"/>
    <w:rsid w:val="004A6E65"/>
    <w:rsid w:val="004A779A"/>
    <w:rsid w:val="004B297B"/>
    <w:rsid w:val="004B52E5"/>
    <w:rsid w:val="004B7413"/>
    <w:rsid w:val="004B7C47"/>
    <w:rsid w:val="004C0008"/>
    <w:rsid w:val="004C00E7"/>
    <w:rsid w:val="004C20F5"/>
    <w:rsid w:val="004C3014"/>
    <w:rsid w:val="004C3998"/>
    <w:rsid w:val="004D270D"/>
    <w:rsid w:val="004D2FC8"/>
    <w:rsid w:val="004D3E79"/>
    <w:rsid w:val="004D5158"/>
    <w:rsid w:val="004D51D5"/>
    <w:rsid w:val="004D622F"/>
    <w:rsid w:val="004D66E5"/>
    <w:rsid w:val="004D688E"/>
    <w:rsid w:val="004D6F58"/>
    <w:rsid w:val="004D76CA"/>
    <w:rsid w:val="004D79AF"/>
    <w:rsid w:val="004D7A83"/>
    <w:rsid w:val="004E0B12"/>
    <w:rsid w:val="004E78D6"/>
    <w:rsid w:val="004F0F85"/>
    <w:rsid w:val="004F39A5"/>
    <w:rsid w:val="004F3FCA"/>
    <w:rsid w:val="004F7430"/>
    <w:rsid w:val="004F746E"/>
    <w:rsid w:val="004F774F"/>
    <w:rsid w:val="005002F7"/>
    <w:rsid w:val="00500B8C"/>
    <w:rsid w:val="00500D84"/>
    <w:rsid w:val="00501FCB"/>
    <w:rsid w:val="00502E48"/>
    <w:rsid w:val="00504179"/>
    <w:rsid w:val="00505224"/>
    <w:rsid w:val="00506B95"/>
    <w:rsid w:val="0050720E"/>
    <w:rsid w:val="005078B5"/>
    <w:rsid w:val="00507C0D"/>
    <w:rsid w:val="00511923"/>
    <w:rsid w:val="005130A9"/>
    <w:rsid w:val="00514AEC"/>
    <w:rsid w:val="00514FE3"/>
    <w:rsid w:val="00516342"/>
    <w:rsid w:val="005175A5"/>
    <w:rsid w:val="005178C9"/>
    <w:rsid w:val="005213F3"/>
    <w:rsid w:val="005223BD"/>
    <w:rsid w:val="005237BE"/>
    <w:rsid w:val="00523909"/>
    <w:rsid w:val="005273E8"/>
    <w:rsid w:val="00531666"/>
    <w:rsid w:val="00534E50"/>
    <w:rsid w:val="005354E3"/>
    <w:rsid w:val="005355F8"/>
    <w:rsid w:val="00535AA1"/>
    <w:rsid w:val="005404A2"/>
    <w:rsid w:val="00541915"/>
    <w:rsid w:val="00543315"/>
    <w:rsid w:val="00546959"/>
    <w:rsid w:val="00550022"/>
    <w:rsid w:val="00551C0C"/>
    <w:rsid w:val="00552A29"/>
    <w:rsid w:val="005531B6"/>
    <w:rsid w:val="00556344"/>
    <w:rsid w:val="00560067"/>
    <w:rsid w:val="0056405A"/>
    <w:rsid w:val="00564C21"/>
    <w:rsid w:val="00565A71"/>
    <w:rsid w:val="00566CFF"/>
    <w:rsid w:val="00567279"/>
    <w:rsid w:val="00571121"/>
    <w:rsid w:val="005721B5"/>
    <w:rsid w:val="005767E4"/>
    <w:rsid w:val="00582575"/>
    <w:rsid w:val="005848D1"/>
    <w:rsid w:val="005867FD"/>
    <w:rsid w:val="00590BED"/>
    <w:rsid w:val="0059383C"/>
    <w:rsid w:val="00593EE7"/>
    <w:rsid w:val="005942E4"/>
    <w:rsid w:val="00594C1B"/>
    <w:rsid w:val="00595F71"/>
    <w:rsid w:val="005A0321"/>
    <w:rsid w:val="005A0826"/>
    <w:rsid w:val="005A1B65"/>
    <w:rsid w:val="005A20B1"/>
    <w:rsid w:val="005A318C"/>
    <w:rsid w:val="005A4AB3"/>
    <w:rsid w:val="005A5028"/>
    <w:rsid w:val="005A52B1"/>
    <w:rsid w:val="005A60BC"/>
    <w:rsid w:val="005A6C64"/>
    <w:rsid w:val="005A7199"/>
    <w:rsid w:val="005B17EE"/>
    <w:rsid w:val="005B3D3C"/>
    <w:rsid w:val="005B4C6F"/>
    <w:rsid w:val="005B6492"/>
    <w:rsid w:val="005B68FB"/>
    <w:rsid w:val="005B7675"/>
    <w:rsid w:val="005C25B4"/>
    <w:rsid w:val="005C41B0"/>
    <w:rsid w:val="005C4548"/>
    <w:rsid w:val="005C7710"/>
    <w:rsid w:val="005D0380"/>
    <w:rsid w:val="005D0766"/>
    <w:rsid w:val="005D1091"/>
    <w:rsid w:val="005D25E3"/>
    <w:rsid w:val="005D434E"/>
    <w:rsid w:val="005D639B"/>
    <w:rsid w:val="005D75CB"/>
    <w:rsid w:val="005D78E5"/>
    <w:rsid w:val="005E0361"/>
    <w:rsid w:val="005E1184"/>
    <w:rsid w:val="005E43B3"/>
    <w:rsid w:val="005E506C"/>
    <w:rsid w:val="005E61CF"/>
    <w:rsid w:val="005E6461"/>
    <w:rsid w:val="005E6759"/>
    <w:rsid w:val="005F002A"/>
    <w:rsid w:val="005F1A9E"/>
    <w:rsid w:val="005F1D08"/>
    <w:rsid w:val="005F327D"/>
    <w:rsid w:val="005F4E97"/>
    <w:rsid w:val="005F6F7B"/>
    <w:rsid w:val="0060116F"/>
    <w:rsid w:val="0060179E"/>
    <w:rsid w:val="00601B90"/>
    <w:rsid w:val="006020E6"/>
    <w:rsid w:val="00607998"/>
    <w:rsid w:val="00607D25"/>
    <w:rsid w:val="00610758"/>
    <w:rsid w:val="0061132F"/>
    <w:rsid w:val="00612385"/>
    <w:rsid w:val="00612DDB"/>
    <w:rsid w:val="00613847"/>
    <w:rsid w:val="0061503D"/>
    <w:rsid w:val="00621463"/>
    <w:rsid w:val="006228B6"/>
    <w:rsid w:val="0062386E"/>
    <w:rsid w:val="00625FB5"/>
    <w:rsid w:val="0063161D"/>
    <w:rsid w:val="00631CA3"/>
    <w:rsid w:val="00633D93"/>
    <w:rsid w:val="006344A2"/>
    <w:rsid w:val="00634BC1"/>
    <w:rsid w:val="00634F96"/>
    <w:rsid w:val="0063641E"/>
    <w:rsid w:val="00637B35"/>
    <w:rsid w:val="0064430A"/>
    <w:rsid w:val="006468BA"/>
    <w:rsid w:val="00646EDA"/>
    <w:rsid w:val="00650E89"/>
    <w:rsid w:val="006517D7"/>
    <w:rsid w:val="006518FA"/>
    <w:rsid w:val="00652559"/>
    <w:rsid w:val="006536B9"/>
    <w:rsid w:val="00653ADD"/>
    <w:rsid w:val="00655135"/>
    <w:rsid w:val="0065562E"/>
    <w:rsid w:val="00655F2E"/>
    <w:rsid w:val="006570FB"/>
    <w:rsid w:val="00665573"/>
    <w:rsid w:val="00666CB8"/>
    <w:rsid w:val="00667591"/>
    <w:rsid w:val="00667E8C"/>
    <w:rsid w:val="00670A97"/>
    <w:rsid w:val="0067291D"/>
    <w:rsid w:val="006740E4"/>
    <w:rsid w:val="0067467B"/>
    <w:rsid w:val="00674837"/>
    <w:rsid w:val="00675D88"/>
    <w:rsid w:val="00676032"/>
    <w:rsid w:val="00676E0D"/>
    <w:rsid w:val="006840E9"/>
    <w:rsid w:val="00684A61"/>
    <w:rsid w:val="00684F81"/>
    <w:rsid w:val="006857B9"/>
    <w:rsid w:val="00686541"/>
    <w:rsid w:val="00687A30"/>
    <w:rsid w:val="006920E0"/>
    <w:rsid w:val="006943BC"/>
    <w:rsid w:val="00694F3B"/>
    <w:rsid w:val="00696538"/>
    <w:rsid w:val="00696B25"/>
    <w:rsid w:val="00696EC2"/>
    <w:rsid w:val="00697AB0"/>
    <w:rsid w:val="006A1603"/>
    <w:rsid w:val="006A2A6A"/>
    <w:rsid w:val="006A4803"/>
    <w:rsid w:val="006A7254"/>
    <w:rsid w:val="006B00B0"/>
    <w:rsid w:val="006B164B"/>
    <w:rsid w:val="006B2ECA"/>
    <w:rsid w:val="006B3F3D"/>
    <w:rsid w:val="006B43C9"/>
    <w:rsid w:val="006B44BD"/>
    <w:rsid w:val="006B4FF3"/>
    <w:rsid w:val="006B5D69"/>
    <w:rsid w:val="006B64C4"/>
    <w:rsid w:val="006B6DD3"/>
    <w:rsid w:val="006C0B77"/>
    <w:rsid w:val="006C3B2A"/>
    <w:rsid w:val="006C3EE5"/>
    <w:rsid w:val="006C65A9"/>
    <w:rsid w:val="006C7193"/>
    <w:rsid w:val="006C7B23"/>
    <w:rsid w:val="006D0F43"/>
    <w:rsid w:val="006D2E66"/>
    <w:rsid w:val="006D4061"/>
    <w:rsid w:val="006D4E97"/>
    <w:rsid w:val="006D503F"/>
    <w:rsid w:val="006D5EB0"/>
    <w:rsid w:val="006D6EF9"/>
    <w:rsid w:val="006D713A"/>
    <w:rsid w:val="006D77F2"/>
    <w:rsid w:val="006E2F66"/>
    <w:rsid w:val="006E3DB1"/>
    <w:rsid w:val="006E4EA1"/>
    <w:rsid w:val="006E4F29"/>
    <w:rsid w:val="006E6C5D"/>
    <w:rsid w:val="006F0240"/>
    <w:rsid w:val="006F3790"/>
    <w:rsid w:val="006F5D2B"/>
    <w:rsid w:val="006F5D7F"/>
    <w:rsid w:val="006F682E"/>
    <w:rsid w:val="0070016E"/>
    <w:rsid w:val="007008A3"/>
    <w:rsid w:val="00701769"/>
    <w:rsid w:val="00701FFA"/>
    <w:rsid w:val="00702CF2"/>
    <w:rsid w:val="0070446A"/>
    <w:rsid w:val="00705BFE"/>
    <w:rsid w:val="007105BB"/>
    <w:rsid w:val="0071257E"/>
    <w:rsid w:val="00712AAA"/>
    <w:rsid w:val="00713456"/>
    <w:rsid w:val="00715AA2"/>
    <w:rsid w:val="00716021"/>
    <w:rsid w:val="00723EA6"/>
    <w:rsid w:val="00726177"/>
    <w:rsid w:val="00727956"/>
    <w:rsid w:val="007301E7"/>
    <w:rsid w:val="0073055B"/>
    <w:rsid w:val="00731967"/>
    <w:rsid w:val="007323E6"/>
    <w:rsid w:val="007359A2"/>
    <w:rsid w:val="00736B05"/>
    <w:rsid w:val="007370EA"/>
    <w:rsid w:val="00737E20"/>
    <w:rsid w:val="007403C6"/>
    <w:rsid w:val="00740F00"/>
    <w:rsid w:val="00741176"/>
    <w:rsid w:val="00742527"/>
    <w:rsid w:val="007433EA"/>
    <w:rsid w:val="00743C9C"/>
    <w:rsid w:val="00744880"/>
    <w:rsid w:val="00747977"/>
    <w:rsid w:val="00750ADC"/>
    <w:rsid w:val="00750BA0"/>
    <w:rsid w:val="00750D2E"/>
    <w:rsid w:val="007538DD"/>
    <w:rsid w:val="00761274"/>
    <w:rsid w:val="00763DCA"/>
    <w:rsid w:val="007660B8"/>
    <w:rsid w:val="00771166"/>
    <w:rsid w:val="00771AEF"/>
    <w:rsid w:val="007733EC"/>
    <w:rsid w:val="00773F94"/>
    <w:rsid w:val="007756EA"/>
    <w:rsid w:val="00776C47"/>
    <w:rsid w:val="00777432"/>
    <w:rsid w:val="00780BD2"/>
    <w:rsid w:val="00781FC2"/>
    <w:rsid w:val="0078705B"/>
    <w:rsid w:val="00790C90"/>
    <w:rsid w:val="007915F1"/>
    <w:rsid w:val="00791BCE"/>
    <w:rsid w:val="007922DD"/>
    <w:rsid w:val="0079403E"/>
    <w:rsid w:val="007968BC"/>
    <w:rsid w:val="0079707E"/>
    <w:rsid w:val="0079739A"/>
    <w:rsid w:val="007A0539"/>
    <w:rsid w:val="007A13F0"/>
    <w:rsid w:val="007A220D"/>
    <w:rsid w:val="007A2976"/>
    <w:rsid w:val="007A2DCA"/>
    <w:rsid w:val="007A37E5"/>
    <w:rsid w:val="007A40F4"/>
    <w:rsid w:val="007A515F"/>
    <w:rsid w:val="007A5B49"/>
    <w:rsid w:val="007A5CD6"/>
    <w:rsid w:val="007B0A6D"/>
    <w:rsid w:val="007B2B87"/>
    <w:rsid w:val="007B2EF7"/>
    <w:rsid w:val="007B5833"/>
    <w:rsid w:val="007C0A6D"/>
    <w:rsid w:val="007C0C0B"/>
    <w:rsid w:val="007C1250"/>
    <w:rsid w:val="007C3269"/>
    <w:rsid w:val="007C7483"/>
    <w:rsid w:val="007C78BA"/>
    <w:rsid w:val="007D0325"/>
    <w:rsid w:val="007D47ED"/>
    <w:rsid w:val="007D4A18"/>
    <w:rsid w:val="007D6754"/>
    <w:rsid w:val="007E0185"/>
    <w:rsid w:val="007E1356"/>
    <w:rsid w:val="007E2983"/>
    <w:rsid w:val="007E584C"/>
    <w:rsid w:val="007E765C"/>
    <w:rsid w:val="007F4703"/>
    <w:rsid w:val="007F5746"/>
    <w:rsid w:val="007F5CC6"/>
    <w:rsid w:val="007F6102"/>
    <w:rsid w:val="00800CF1"/>
    <w:rsid w:val="00801413"/>
    <w:rsid w:val="008031B4"/>
    <w:rsid w:val="0080372B"/>
    <w:rsid w:val="00804AC5"/>
    <w:rsid w:val="00804CA1"/>
    <w:rsid w:val="00807BB5"/>
    <w:rsid w:val="008110ED"/>
    <w:rsid w:val="00813960"/>
    <w:rsid w:val="00813ED0"/>
    <w:rsid w:val="0081439D"/>
    <w:rsid w:val="00814C2B"/>
    <w:rsid w:val="0081610F"/>
    <w:rsid w:val="00817E42"/>
    <w:rsid w:val="00822258"/>
    <w:rsid w:val="008240A6"/>
    <w:rsid w:val="008242FF"/>
    <w:rsid w:val="0082480E"/>
    <w:rsid w:val="00824E3C"/>
    <w:rsid w:val="00830850"/>
    <w:rsid w:val="00831A3E"/>
    <w:rsid w:val="00833D52"/>
    <w:rsid w:val="00834565"/>
    <w:rsid w:val="00834BF1"/>
    <w:rsid w:val="008351B4"/>
    <w:rsid w:val="0083569F"/>
    <w:rsid w:val="008375B5"/>
    <w:rsid w:val="0084091C"/>
    <w:rsid w:val="008414E4"/>
    <w:rsid w:val="00842E9C"/>
    <w:rsid w:val="008433DE"/>
    <w:rsid w:val="00844953"/>
    <w:rsid w:val="00844FAA"/>
    <w:rsid w:val="008504B0"/>
    <w:rsid w:val="00850DDB"/>
    <w:rsid w:val="00850E44"/>
    <w:rsid w:val="0085250B"/>
    <w:rsid w:val="00854DB1"/>
    <w:rsid w:val="008566B2"/>
    <w:rsid w:val="008576D2"/>
    <w:rsid w:val="00860225"/>
    <w:rsid w:val="008654F4"/>
    <w:rsid w:val="00866879"/>
    <w:rsid w:val="00866C6D"/>
    <w:rsid w:val="008671F9"/>
    <w:rsid w:val="00870751"/>
    <w:rsid w:val="00871791"/>
    <w:rsid w:val="0087216C"/>
    <w:rsid w:val="008721B8"/>
    <w:rsid w:val="008729B6"/>
    <w:rsid w:val="00872BAC"/>
    <w:rsid w:val="00873130"/>
    <w:rsid w:val="00877D8D"/>
    <w:rsid w:val="008800D5"/>
    <w:rsid w:val="00880290"/>
    <w:rsid w:val="0088106A"/>
    <w:rsid w:val="0088413B"/>
    <w:rsid w:val="00884FC8"/>
    <w:rsid w:val="008852EE"/>
    <w:rsid w:val="0088680B"/>
    <w:rsid w:val="0088695E"/>
    <w:rsid w:val="00886A1D"/>
    <w:rsid w:val="00887369"/>
    <w:rsid w:val="008877A3"/>
    <w:rsid w:val="0089173F"/>
    <w:rsid w:val="00895DEA"/>
    <w:rsid w:val="008961E5"/>
    <w:rsid w:val="008974B3"/>
    <w:rsid w:val="008A0CBA"/>
    <w:rsid w:val="008A0FF8"/>
    <w:rsid w:val="008A13C9"/>
    <w:rsid w:val="008A1E25"/>
    <w:rsid w:val="008A2998"/>
    <w:rsid w:val="008A2A8E"/>
    <w:rsid w:val="008A3BE8"/>
    <w:rsid w:val="008A5296"/>
    <w:rsid w:val="008A7A99"/>
    <w:rsid w:val="008B3619"/>
    <w:rsid w:val="008B4AA1"/>
    <w:rsid w:val="008B4E3D"/>
    <w:rsid w:val="008B4FDD"/>
    <w:rsid w:val="008B53E8"/>
    <w:rsid w:val="008B7D81"/>
    <w:rsid w:val="008C12A9"/>
    <w:rsid w:val="008C12B4"/>
    <w:rsid w:val="008C30C2"/>
    <w:rsid w:val="008C329D"/>
    <w:rsid w:val="008C3722"/>
    <w:rsid w:val="008C3C59"/>
    <w:rsid w:val="008C44C1"/>
    <w:rsid w:val="008C4678"/>
    <w:rsid w:val="008C5F85"/>
    <w:rsid w:val="008C6DDD"/>
    <w:rsid w:val="008C7075"/>
    <w:rsid w:val="008D2108"/>
    <w:rsid w:val="008D2BAD"/>
    <w:rsid w:val="008D3006"/>
    <w:rsid w:val="008D3B54"/>
    <w:rsid w:val="008D3FE9"/>
    <w:rsid w:val="008D4743"/>
    <w:rsid w:val="008D6DDD"/>
    <w:rsid w:val="008E0002"/>
    <w:rsid w:val="008E2667"/>
    <w:rsid w:val="008E33BA"/>
    <w:rsid w:val="008E3AE1"/>
    <w:rsid w:val="008E4813"/>
    <w:rsid w:val="008E5A9F"/>
    <w:rsid w:val="008E7CEB"/>
    <w:rsid w:val="008F08EB"/>
    <w:rsid w:val="008F37CD"/>
    <w:rsid w:val="008F4605"/>
    <w:rsid w:val="00900503"/>
    <w:rsid w:val="00901F60"/>
    <w:rsid w:val="009022D9"/>
    <w:rsid w:val="00902629"/>
    <w:rsid w:val="00903111"/>
    <w:rsid w:val="00903CDA"/>
    <w:rsid w:val="00903D93"/>
    <w:rsid w:val="00906255"/>
    <w:rsid w:val="0090675E"/>
    <w:rsid w:val="009070A7"/>
    <w:rsid w:val="0091329A"/>
    <w:rsid w:val="0091373E"/>
    <w:rsid w:val="00915352"/>
    <w:rsid w:val="009164B2"/>
    <w:rsid w:val="00920438"/>
    <w:rsid w:val="00920EF6"/>
    <w:rsid w:val="009215C5"/>
    <w:rsid w:val="00921E7D"/>
    <w:rsid w:val="00922C48"/>
    <w:rsid w:val="009241A3"/>
    <w:rsid w:val="00924786"/>
    <w:rsid w:val="00925A93"/>
    <w:rsid w:val="00926773"/>
    <w:rsid w:val="00931730"/>
    <w:rsid w:val="00931E4D"/>
    <w:rsid w:val="00931F93"/>
    <w:rsid w:val="009323C0"/>
    <w:rsid w:val="009329D6"/>
    <w:rsid w:val="009350A8"/>
    <w:rsid w:val="009378CE"/>
    <w:rsid w:val="0094082B"/>
    <w:rsid w:val="00941BE2"/>
    <w:rsid w:val="0095169D"/>
    <w:rsid w:val="00951859"/>
    <w:rsid w:val="0095194A"/>
    <w:rsid w:val="009521DE"/>
    <w:rsid w:val="00955A27"/>
    <w:rsid w:val="009560DC"/>
    <w:rsid w:val="009561AA"/>
    <w:rsid w:val="0096005B"/>
    <w:rsid w:val="0096013F"/>
    <w:rsid w:val="0096077B"/>
    <w:rsid w:val="00961467"/>
    <w:rsid w:val="0096165F"/>
    <w:rsid w:val="00964449"/>
    <w:rsid w:val="009644EE"/>
    <w:rsid w:val="00964598"/>
    <w:rsid w:val="009660FB"/>
    <w:rsid w:val="00966170"/>
    <w:rsid w:val="00966C82"/>
    <w:rsid w:val="00966EF8"/>
    <w:rsid w:val="00972072"/>
    <w:rsid w:val="0097276C"/>
    <w:rsid w:val="009733D3"/>
    <w:rsid w:val="00973589"/>
    <w:rsid w:val="0097627A"/>
    <w:rsid w:val="00976604"/>
    <w:rsid w:val="009766E4"/>
    <w:rsid w:val="009768F5"/>
    <w:rsid w:val="00976FBB"/>
    <w:rsid w:val="0097719F"/>
    <w:rsid w:val="00977DB3"/>
    <w:rsid w:val="00982F1F"/>
    <w:rsid w:val="00983AEF"/>
    <w:rsid w:val="00984082"/>
    <w:rsid w:val="00984926"/>
    <w:rsid w:val="0098748C"/>
    <w:rsid w:val="00994011"/>
    <w:rsid w:val="00994EA2"/>
    <w:rsid w:val="009956B2"/>
    <w:rsid w:val="009A0614"/>
    <w:rsid w:val="009A14A9"/>
    <w:rsid w:val="009A2F68"/>
    <w:rsid w:val="009A666C"/>
    <w:rsid w:val="009A6BCE"/>
    <w:rsid w:val="009A732D"/>
    <w:rsid w:val="009A73C2"/>
    <w:rsid w:val="009B0108"/>
    <w:rsid w:val="009B0852"/>
    <w:rsid w:val="009B0A88"/>
    <w:rsid w:val="009B135E"/>
    <w:rsid w:val="009B36D3"/>
    <w:rsid w:val="009B46B8"/>
    <w:rsid w:val="009B6787"/>
    <w:rsid w:val="009C226A"/>
    <w:rsid w:val="009C22F6"/>
    <w:rsid w:val="009C32F4"/>
    <w:rsid w:val="009C345F"/>
    <w:rsid w:val="009C5B19"/>
    <w:rsid w:val="009C5F83"/>
    <w:rsid w:val="009C6E72"/>
    <w:rsid w:val="009D09E8"/>
    <w:rsid w:val="009D1730"/>
    <w:rsid w:val="009D2031"/>
    <w:rsid w:val="009D391E"/>
    <w:rsid w:val="009E106F"/>
    <w:rsid w:val="009E22F4"/>
    <w:rsid w:val="009E2865"/>
    <w:rsid w:val="009E5A3D"/>
    <w:rsid w:val="009E5F6F"/>
    <w:rsid w:val="009E62E1"/>
    <w:rsid w:val="009E6AD6"/>
    <w:rsid w:val="009E7A43"/>
    <w:rsid w:val="009E7CDF"/>
    <w:rsid w:val="009F0443"/>
    <w:rsid w:val="009F1324"/>
    <w:rsid w:val="009F138D"/>
    <w:rsid w:val="009F221C"/>
    <w:rsid w:val="009F2BB4"/>
    <w:rsid w:val="009F6E94"/>
    <w:rsid w:val="009F7160"/>
    <w:rsid w:val="009F7D8F"/>
    <w:rsid w:val="00A00836"/>
    <w:rsid w:val="00A017D2"/>
    <w:rsid w:val="00A02B79"/>
    <w:rsid w:val="00A035D2"/>
    <w:rsid w:val="00A03681"/>
    <w:rsid w:val="00A04C5B"/>
    <w:rsid w:val="00A05254"/>
    <w:rsid w:val="00A05768"/>
    <w:rsid w:val="00A06475"/>
    <w:rsid w:val="00A11494"/>
    <w:rsid w:val="00A11FA8"/>
    <w:rsid w:val="00A13E09"/>
    <w:rsid w:val="00A149A3"/>
    <w:rsid w:val="00A169CC"/>
    <w:rsid w:val="00A20DE4"/>
    <w:rsid w:val="00A21E0B"/>
    <w:rsid w:val="00A2253C"/>
    <w:rsid w:val="00A23B50"/>
    <w:rsid w:val="00A255FB"/>
    <w:rsid w:val="00A26FF8"/>
    <w:rsid w:val="00A302E3"/>
    <w:rsid w:val="00A30FAB"/>
    <w:rsid w:val="00A32399"/>
    <w:rsid w:val="00A339F9"/>
    <w:rsid w:val="00A33BB6"/>
    <w:rsid w:val="00A3463C"/>
    <w:rsid w:val="00A3566D"/>
    <w:rsid w:val="00A359B2"/>
    <w:rsid w:val="00A361CA"/>
    <w:rsid w:val="00A36C57"/>
    <w:rsid w:val="00A37A45"/>
    <w:rsid w:val="00A40368"/>
    <w:rsid w:val="00A40DF6"/>
    <w:rsid w:val="00A428DA"/>
    <w:rsid w:val="00A43AB0"/>
    <w:rsid w:val="00A517D9"/>
    <w:rsid w:val="00A51964"/>
    <w:rsid w:val="00A51FBC"/>
    <w:rsid w:val="00A524C5"/>
    <w:rsid w:val="00A52B9B"/>
    <w:rsid w:val="00A53447"/>
    <w:rsid w:val="00A5584F"/>
    <w:rsid w:val="00A5604D"/>
    <w:rsid w:val="00A567A1"/>
    <w:rsid w:val="00A5741C"/>
    <w:rsid w:val="00A7308B"/>
    <w:rsid w:val="00A75834"/>
    <w:rsid w:val="00A7688D"/>
    <w:rsid w:val="00A7690E"/>
    <w:rsid w:val="00A81105"/>
    <w:rsid w:val="00A832CF"/>
    <w:rsid w:val="00A8438C"/>
    <w:rsid w:val="00A87998"/>
    <w:rsid w:val="00A87E0C"/>
    <w:rsid w:val="00A90EFA"/>
    <w:rsid w:val="00A92F47"/>
    <w:rsid w:val="00AA2949"/>
    <w:rsid w:val="00AA51F2"/>
    <w:rsid w:val="00AA7EBA"/>
    <w:rsid w:val="00AB008A"/>
    <w:rsid w:val="00AB0C5F"/>
    <w:rsid w:val="00AB21B8"/>
    <w:rsid w:val="00AB232B"/>
    <w:rsid w:val="00AB318C"/>
    <w:rsid w:val="00AB668B"/>
    <w:rsid w:val="00AB6A92"/>
    <w:rsid w:val="00AC07CB"/>
    <w:rsid w:val="00AC09D2"/>
    <w:rsid w:val="00AC0BEB"/>
    <w:rsid w:val="00AC2C0A"/>
    <w:rsid w:val="00AC51AD"/>
    <w:rsid w:val="00AC7E52"/>
    <w:rsid w:val="00AD1661"/>
    <w:rsid w:val="00AD2E1D"/>
    <w:rsid w:val="00AD30D9"/>
    <w:rsid w:val="00AD4326"/>
    <w:rsid w:val="00AD4F56"/>
    <w:rsid w:val="00AD5368"/>
    <w:rsid w:val="00AD5DFB"/>
    <w:rsid w:val="00AD66BE"/>
    <w:rsid w:val="00AD7164"/>
    <w:rsid w:val="00AD78C5"/>
    <w:rsid w:val="00AE14E8"/>
    <w:rsid w:val="00AE2D51"/>
    <w:rsid w:val="00AE49BE"/>
    <w:rsid w:val="00AE5853"/>
    <w:rsid w:val="00AE58DA"/>
    <w:rsid w:val="00AE6BF8"/>
    <w:rsid w:val="00AF225C"/>
    <w:rsid w:val="00AF2CCD"/>
    <w:rsid w:val="00AF3834"/>
    <w:rsid w:val="00AF4967"/>
    <w:rsid w:val="00AF5D43"/>
    <w:rsid w:val="00AF62BE"/>
    <w:rsid w:val="00AF73AD"/>
    <w:rsid w:val="00AF7FC2"/>
    <w:rsid w:val="00B01153"/>
    <w:rsid w:val="00B020D8"/>
    <w:rsid w:val="00B03D05"/>
    <w:rsid w:val="00B044DC"/>
    <w:rsid w:val="00B04CB4"/>
    <w:rsid w:val="00B0579A"/>
    <w:rsid w:val="00B060CB"/>
    <w:rsid w:val="00B10FE4"/>
    <w:rsid w:val="00B1286A"/>
    <w:rsid w:val="00B12E5B"/>
    <w:rsid w:val="00B15774"/>
    <w:rsid w:val="00B161BB"/>
    <w:rsid w:val="00B16D89"/>
    <w:rsid w:val="00B17796"/>
    <w:rsid w:val="00B17F0F"/>
    <w:rsid w:val="00B253A1"/>
    <w:rsid w:val="00B259A0"/>
    <w:rsid w:val="00B30106"/>
    <w:rsid w:val="00B30F87"/>
    <w:rsid w:val="00B3146E"/>
    <w:rsid w:val="00B43A1E"/>
    <w:rsid w:val="00B45EE5"/>
    <w:rsid w:val="00B46BF1"/>
    <w:rsid w:val="00B47FD9"/>
    <w:rsid w:val="00B52CF3"/>
    <w:rsid w:val="00B53006"/>
    <w:rsid w:val="00B53D67"/>
    <w:rsid w:val="00B54410"/>
    <w:rsid w:val="00B55CA3"/>
    <w:rsid w:val="00B55CB7"/>
    <w:rsid w:val="00B6081A"/>
    <w:rsid w:val="00B62068"/>
    <w:rsid w:val="00B6492B"/>
    <w:rsid w:val="00B64A36"/>
    <w:rsid w:val="00B702AA"/>
    <w:rsid w:val="00B70CDC"/>
    <w:rsid w:val="00B72B13"/>
    <w:rsid w:val="00B73AC9"/>
    <w:rsid w:val="00B75AD6"/>
    <w:rsid w:val="00B76DF6"/>
    <w:rsid w:val="00B7717C"/>
    <w:rsid w:val="00B7782F"/>
    <w:rsid w:val="00B80665"/>
    <w:rsid w:val="00B81197"/>
    <w:rsid w:val="00B818E4"/>
    <w:rsid w:val="00B829A1"/>
    <w:rsid w:val="00B829D8"/>
    <w:rsid w:val="00B83262"/>
    <w:rsid w:val="00B840E4"/>
    <w:rsid w:val="00B85DB2"/>
    <w:rsid w:val="00B877C8"/>
    <w:rsid w:val="00B9027B"/>
    <w:rsid w:val="00B9081E"/>
    <w:rsid w:val="00B915B7"/>
    <w:rsid w:val="00B92B37"/>
    <w:rsid w:val="00B934E6"/>
    <w:rsid w:val="00B94911"/>
    <w:rsid w:val="00B956E0"/>
    <w:rsid w:val="00BA38FE"/>
    <w:rsid w:val="00BA3EAF"/>
    <w:rsid w:val="00BA4D49"/>
    <w:rsid w:val="00BA564F"/>
    <w:rsid w:val="00BA6AF6"/>
    <w:rsid w:val="00BB184F"/>
    <w:rsid w:val="00BB41B1"/>
    <w:rsid w:val="00BB42FF"/>
    <w:rsid w:val="00BC029A"/>
    <w:rsid w:val="00BC0A5B"/>
    <w:rsid w:val="00BC14B1"/>
    <w:rsid w:val="00BC201E"/>
    <w:rsid w:val="00BC2D63"/>
    <w:rsid w:val="00BC312A"/>
    <w:rsid w:val="00BC6922"/>
    <w:rsid w:val="00BC6A21"/>
    <w:rsid w:val="00BC71A8"/>
    <w:rsid w:val="00BD09D4"/>
    <w:rsid w:val="00BD2D1B"/>
    <w:rsid w:val="00BD34DC"/>
    <w:rsid w:val="00BD3731"/>
    <w:rsid w:val="00BD60A9"/>
    <w:rsid w:val="00BD6D05"/>
    <w:rsid w:val="00BD730D"/>
    <w:rsid w:val="00BD797A"/>
    <w:rsid w:val="00BD7D1A"/>
    <w:rsid w:val="00BE03B7"/>
    <w:rsid w:val="00BE383B"/>
    <w:rsid w:val="00BE3A6F"/>
    <w:rsid w:val="00BE7828"/>
    <w:rsid w:val="00BF081C"/>
    <w:rsid w:val="00BF11F9"/>
    <w:rsid w:val="00BF1227"/>
    <w:rsid w:val="00BF20D7"/>
    <w:rsid w:val="00BF332C"/>
    <w:rsid w:val="00BF3A57"/>
    <w:rsid w:val="00BF6D01"/>
    <w:rsid w:val="00BF7B6D"/>
    <w:rsid w:val="00C0075B"/>
    <w:rsid w:val="00C024E6"/>
    <w:rsid w:val="00C05EFA"/>
    <w:rsid w:val="00C0617C"/>
    <w:rsid w:val="00C06419"/>
    <w:rsid w:val="00C10F39"/>
    <w:rsid w:val="00C116E5"/>
    <w:rsid w:val="00C11A06"/>
    <w:rsid w:val="00C12BCE"/>
    <w:rsid w:val="00C13E76"/>
    <w:rsid w:val="00C1480E"/>
    <w:rsid w:val="00C15D80"/>
    <w:rsid w:val="00C16408"/>
    <w:rsid w:val="00C21762"/>
    <w:rsid w:val="00C2180B"/>
    <w:rsid w:val="00C2250B"/>
    <w:rsid w:val="00C231BE"/>
    <w:rsid w:val="00C25429"/>
    <w:rsid w:val="00C269D7"/>
    <w:rsid w:val="00C27B40"/>
    <w:rsid w:val="00C33A7C"/>
    <w:rsid w:val="00C346E3"/>
    <w:rsid w:val="00C347F8"/>
    <w:rsid w:val="00C35BD0"/>
    <w:rsid w:val="00C36063"/>
    <w:rsid w:val="00C429AB"/>
    <w:rsid w:val="00C4395B"/>
    <w:rsid w:val="00C44500"/>
    <w:rsid w:val="00C46945"/>
    <w:rsid w:val="00C46E21"/>
    <w:rsid w:val="00C47F31"/>
    <w:rsid w:val="00C517E5"/>
    <w:rsid w:val="00C54AE3"/>
    <w:rsid w:val="00C5561C"/>
    <w:rsid w:val="00C57D58"/>
    <w:rsid w:val="00C608A2"/>
    <w:rsid w:val="00C61C7A"/>
    <w:rsid w:val="00C61CA9"/>
    <w:rsid w:val="00C62534"/>
    <w:rsid w:val="00C6659F"/>
    <w:rsid w:val="00C701A9"/>
    <w:rsid w:val="00C7165C"/>
    <w:rsid w:val="00C719C1"/>
    <w:rsid w:val="00C731DE"/>
    <w:rsid w:val="00C7376F"/>
    <w:rsid w:val="00C73A4E"/>
    <w:rsid w:val="00C746CE"/>
    <w:rsid w:val="00C7615D"/>
    <w:rsid w:val="00C776A8"/>
    <w:rsid w:val="00C81151"/>
    <w:rsid w:val="00C8118F"/>
    <w:rsid w:val="00C81CAC"/>
    <w:rsid w:val="00C82183"/>
    <w:rsid w:val="00C82502"/>
    <w:rsid w:val="00C83C94"/>
    <w:rsid w:val="00C83F7F"/>
    <w:rsid w:val="00C90B9A"/>
    <w:rsid w:val="00C9296C"/>
    <w:rsid w:val="00C92E02"/>
    <w:rsid w:val="00C92FBB"/>
    <w:rsid w:val="00C92FC3"/>
    <w:rsid w:val="00C93373"/>
    <w:rsid w:val="00C955D4"/>
    <w:rsid w:val="00C9719F"/>
    <w:rsid w:val="00CA0D03"/>
    <w:rsid w:val="00CA419F"/>
    <w:rsid w:val="00CA701F"/>
    <w:rsid w:val="00CB0E77"/>
    <w:rsid w:val="00CB25D1"/>
    <w:rsid w:val="00CB2966"/>
    <w:rsid w:val="00CB2AD3"/>
    <w:rsid w:val="00CB2D11"/>
    <w:rsid w:val="00CB317C"/>
    <w:rsid w:val="00CB49B4"/>
    <w:rsid w:val="00CB74CD"/>
    <w:rsid w:val="00CB7C7B"/>
    <w:rsid w:val="00CB7E4C"/>
    <w:rsid w:val="00CC1768"/>
    <w:rsid w:val="00CC37EA"/>
    <w:rsid w:val="00CC6573"/>
    <w:rsid w:val="00CC6F8D"/>
    <w:rsid w:val="00CD0E1E"/>
    <w:rsid w:val="00CD124F"/>
    <w:rsid w:val="00CD5AFD"/>
    <w:rsid w:val="00CD61CC"/>
    <w:rsid w:val="00CD7543"/>
    <w:rsid w:val="00CE1B7A"/>
    <w:rsid w:val="00CE22E4"/>
    <w:rsid w:val="00CE3E3A"/>
    <w:rsid w:val="00CE69A6"/>
    <w:rsid w:val="00CF0A0B"/>
    <w:rsid w:val="00CF29A0"/>
    <w:rsid w:val="00CF3412"/>
    <w:rsid w:val="00CF4EA9"/>
    <w:rsid w:val="00CF5D86"/>
    <w:rsid w:val="00CF7B36"/>
    <w:rsid w:val="00D02355"/>
    <w:rsid w:val="00D05343"/>
    <w:rsid w:val="00D05A73"/>
    <w:rsid w:val="00D05FE8"/>
    <w:rsid w:val="00D06926"/>
    <w:rsid w:val="00D06F03"/>
    <w:rsid w:val="00D070F7"/>
    <w:rsid w:val="00D1050B"/>
    <w:rsid w:val="00D11854"/>
    <w:rsid w:val="00D1245C"/>
    <w:rsid w:val="00D13D55"/>
    <w:rsid w:val="00D1468A"/>
    <w:rsid w:val="00D15C1B"/>
    <w:rsid w:val="00D15F88"/>
    <w:rsid w:val="00D17722"/>
    <w:rsid w:val="00D25519"/>
    <w:rsid w:val="00D25C58"/>
    <w:rsid w:val="00D26231"/>
    <w:rsid w:val="00D27EDE"/>
    <w:rsid w:val="00D302A5"/>
    <w:rsid w:val="00D30C5D"/>
    <w:rsid w:val="00D312C8"/>
    <w:rsid w:val="00D33A2B"/>
    <w:rsid w:val="00D33C2E"/>
    <w:rsid w:val="00D34617"/>
    <w:rsid w:val="00D3507A"/>
    <w:rsid w:val="00D3541B"/>
    <w:rsid w:val="00D356DF"/>
    <w:rsid w:val="00D41832"/>
    <w:rsid w:val="00D45B84"/>
    <w:rsid w:val="00D516EC"/>
    <w:rsid w:val="00D537F8"/>
    <w:rsid w:val="00D54B99"/>
    <w:rsid w:val="00D61272"/>
    <w:rsid w:val="00D6293F"/>
    <w:rsid w:val="00D62D35"/>
    <w:rsid w:val="00D714C7"/>
    <w:rsid w:val="00D72C56"/>
    <w:rsid w:val="00D75904"/>
    <w:rsid w:val="00D75ED4"/>
    <w:rsid w:val="00D767DA"/>
    <w:rsid w:val="00D767F3"/>
    <w:rsid w:val="00D775A3"/>
    <w:rsid w:val="00D80250"/>
    <w:rsid w:val="00D818DA"/>
    <w:rsid w:val="00D818E3"/>
    <w:rsid w:val="00D83283"/>
    <w:rsid w:val="00D8504A"/>
    <w:rsid w:val="00D908A6"/>
    <w:rsid w:val="00D91CDC"/>
    <w:rsid w:val="00D94578"/>
    <w:rsid w:val="00D9740E"/>
    <w:rsid w:val="00D97D99"/>
    <w:rsid w:val="00DA051F"/>
    <w:rsid w:val="00DA5071"/>
    <w:rsid w:val="00DA5863"/>
    <w:rsid w:val="00DA665F"/>
    <w:rsid w:val="00DB036B"/>
    <w:rsid w:val="00DB0429"/>
    <w:rsid w:val="00DB25DE"/>
    <w:rsid w:val="00DB30BD"/>
    <w:rsid w:val="00DB3833"/>
    <w:rsid w:val="00DB477E"/>
    <w:rsid w:val="00DB6A16"/>
    <w:rsid w:val="00DB74FE"/>
    <w:rsid w:val="00DC0812"/>
    <w:rsid w:val="00DC11C1"/>
    <w:rsid w:val="00DC31FE"/>
    <w:rsid w:val="00DC5098"/>
    <w:rsid w:val="00DC5D23"/>
    <w:rsid w:val="00DC7B60"/>
    <w:rsid w:val="00DC7E22"/>
    <w:rsid w:val="00DD0280"/>
    <w:rsid w:val="00DD04A4"/>
    <w:rsid w:val="00DD0B8B"/>
    <w:rsid w:val="00DD17BD"/>
    <w:rsid w:val="00DD3646"/>
    <w:rsid w:val="00DD589C"/>
    <w:rsid w:val="00DD73BA"/>
    <w:rsid w:val="00DE236F"/>
    <w:rsid w:val="00DE2720"/>
    <w:rsid w:val="00DE3C06"/>
    <w:rsid w:val="00DE44F6"/>
    <w:rsid w:val="00DE497C"/>
    <w:rsid w:val="00DE4D25"/>
    <w:rsid w:val="00DE5A6C"/>
    <w:rsid w:val="00DE6561"/>
    <w:rsid w:val="00DE7C6D"/>
    <w:rsid w:val="00DF41BB"/>
    <w:rsid w:val="00DF445B"/>
    <w:rsid w:val="00DF63A2"/>
    <w:rsid w:val="00DF6BA3"/>
    <w:rsid w:val="00DF7FE3"/>
    <w:rsid w:val="00E00131"/>
    <w:rsid w:val="00E006CD"/>
    <w:rsid w:val="00E0106D"/>
    <w:rsid w:val="00E01800"/>
    <w:rsid w:val="00E01CFE"/>
    <w:rsid w:val="00E038ED"/>
    <w:rsid w:val="00E0442A"/>
    <w:rsid w:val="00E04D94"/>
    <w:rsid w:val="00E10003"/>
    <w:rsid w:val="00E10F2B"/>
    <w:rsid w:val="00E125A2"/>
    <w:rsid w:val="00E12B1A"/>
    <w:rsid w:val="00E16582"/>
    <w:rsid w:val="00E178D6"/>
    <w:rsid w:val="00E200AC"/>
    <w:rsid w:val="00E22588"/>
    <w:rsid w:val="00E23CB1"/>
    <w:rsid w:val="00E23E29"/>
    <w:rsid w:val="00E23FA4"/>
    <w:rsid w:val="00E25F6E"/>
    <w:rsid w:val="00E26572"/>
    <w:rsid w:val="00E30C76"/>
    <w:rsid w:val="00E313F1"/>
    <w:rsid w:val="00E3179F"/>
    <w:rsid w:val="00E3275E"/>
    <w:rsid w:val="00E32E85"/>
    <w:rsid w:val="00E34914"/>
    <w:rsid w:val="00E34BFE"/>
    <w:rsid w:val="00E35266"/>
    <w:rsid w:val="00E35E3A"/>
    <w:rsid w:val="00E37FB5"/>
    <w:rsid w:val="00E41C8D"/>
    <w:rsid w:val="00E44518"/>
    <w:rsid w:val="00E45396"/>
    <w:rsid w:val="00E454D2"/>
    <w:rsid w:val="00E457B5"/>
    <w:rsid w:val="00E462EA"/>
    <w:rsid w:val="00E46FC4"/>
    <w:rsid w:val="00E50EAA"/>
    <w:rsid w:val="00E52002"/>
    <w:rsid w:val="00E53080"/>
    <w:rsid w:val="00E563E1"/>
    <w:rsid w:val="00E56F3B"/>
    <w:rsid w:val="00E62469"/>
    <w:rsid w:val="00E627DC"/>
    <w:rsid w:val="00E62F12"/>
    <w:rsid w:val="00E63646"/>
    <w:rsid w:val="00E65FB3"/>
    <w:rsid w:val="00E66938"/>
    <w:rsid w:val="00E67704"/>
    <w:rsid w:val="00E67D59"/>
    <w:rsid w:val="00E701CA"/>
    <w:rsid w:val="00E707CA"/>
    <w:rsid w:val="00E72AF4"/>
    <w:rsid w:val="00E72B1E"/>
    <w:rsid w:val="00E73ADE"/>
    <w:rsid w:val="00E740C9"/>
    <w:rsid w:val="00E74FF3"/>
    <w:rsid w:val="00E75CB6"/>
    <w:rsid w:val="00E8020A"/>
    <w:rsid w:val="00E83ACB"/>
    <w:rsid w:val="00E8518D"/>
    <w:rsid w:val="00E85E96"/>
    <w:rsid w:val="00E8704A"/>
    <w:rsid w:val="00E87BA2"/>
    <w:rsid w:val="00E91605"/>
    <w:rsid w:val="00E94B50"/>
    <w:rsid w:val="00E951D6"/>
    <w:rsid w:val="00EA00EC"/>
    <w:rsid w:val="00EA0173"/>
    <w:rsid w:val="00EA09A5"/>
    <w:rsid w:val="00EA35C0"/>
    <w:rsid w:val="00EA38F0"/>
    <w:rsid w:val="00EA468A"/>
    <w:rsid w:val="00EA4D4C"/>
    <w:rsid w:val="00EA59DF"/>
    <w:rsid w:val="00EA70AD"/>
    <w:rsid w:val="00EA7C18"/>
    <w:rsid w:val="00EB18DC"/>
    <w:rsid w:val="00EB19ED"/>
    <w:rsid w:val="00EB1A4E"/>
    <w:rsid w:val="00EB243D"/>
    <w:rsid w:val="00EB31F0"/>
    <w:rsid w:val="00EB456E"/>
    <w:rsid w:val="00EB563B"/>
    <w:rsid w:val="00EB625E"/>
    <w:rsid w:val="00EC2C48"/>
    <w:rsid w:val="00EC2F7C"/>
    <w:rsid w:val="00EC329A"/>
    <w:rsid w:val="00EC33A6"/>
    <w:rsid w:val="00EC3FD5"/>
    <w:rsid w:val="00EC43E7"/>
    <w:rsid w:val="00EC54E0"/>
    <w:rsid w:val="00EC58EB"/>
    <w:rsid w:val="00EC6FAE"/>
    <w:rsid w:val="00ED04E7"/>
    <w:rsid w:val="00ED0DC8"/>
    <w:rsid w:val="00ED5032"/>
    <w:rsid w:val="00ED7A70"/>
    <w:rsid w:val="00EE1275"/>
    <w:rsid w:val="00EE23E8"/>
    <w:rsid w:val="00EE3DD7"/>
    <w:rsid w:val="00EE4070"/>
    <w:rsid w:val="00EE4178"/>
    <w:rsid w:val="00EE5D53"/>
    <w:rsid w:val="00EE69D5"/>
    <w:rsid w:val="00EE76D6"/>
    <w:rsid w:val="00EF0695"/>
    <w:rsid w:val="00EF2EC7"/>
    <w:rsid w:val="00EF5547"/>
    <w:rsid w:val="00EF5E1B"/>
    <w:rsid w:val="00EF63BA"/>
    <w:rsid w:val="00EF79C5"/>
    <w:rsid w:val="00EF7DF6"/>
    <w:rsid w:val="00F004BC"/>
    <w:rsid w:val="00F0139E"/>
    <w:rsid w:val="00F01AF6"/>
    <w:rsid w:val="00F027B8"/>
    <w:rsid w:val="00F02EF9"/>
    <w:rsid w:val="00F039F6"/>
    <w:rsid w:val="00F03CB9"/>
    <w:rsid w:val="00F043CB"/>
    <w:rsid w:val="00F05B23"/>
    <w:rsid w:val="00F05CA2"/>
    <w:rsid w:val="00F10573"/>
    <w:rsid w:val="00F12C76"/>
    <w:rsid w:val="00F1423A"/>
    <w:rsid w:val="00F14854"/>
    <w:rsid w:val="00F14A2F"/>
    <w:rsid w:val="00F15B76"/>
    <w:rsid w:val="00F171FA"/>
    <w:rsid w:val="00F17668"/>
    <w:rsid w:val="00F215FC"/>
    <w:rsid w:val="00F21FE1"/>
    <w:rsid w:val="00F22A3C"/>
    <w:rsid w:val="00F233EA"/>
    <w:rsid w:val="00F23F91"/>
    <w:rsid w:val="00F24E81"/>
    <w:rsid w:val="00F255BA"/>
    <w:rsid w:val="00F259E1"/>
    <w:rsid w:val="00F26895"/>
    <w:rsid w:val="00F2760F"/>
    <w:rsid w:val="00F30E31"/>
    <w:rsid w:val="00F317EA"/>
    <w:rsid w:val="00F350DC"/>
    <w:rsid w:val="00F3665B"/>
    <w:rsid w:val="00F40D0B"/>
    <w:rsid w:val="00F4284C"/>
    <w:rsid w:val="00F4439A"/>
    <w:rsid w:val="00F47911"/>
    <w:rsid w:val="00F53802"/>
    <w:rsid w:val="00F53D91"/>
    <w:rsid w:val="00F54A93"/>
    <w:rsid w:val="00F553F6"/>
    <w:rsid w:val="00F55C2A"/>
    <w:rsid w:val="00F60FD4"/>
    <w:rsid w:val="00F62633"/>
    <w:rsid w:val="00F66137"/>
    <w:rsid w:val="00F66263"/>
    <w:rsid w:val="00F67BC3"/>
    <w:rsid w:val="00F73D9A"/>
    <w:rsid w:val="00F77A4E"/>
    <w:rsid w:val="00F81248"/>
    <w:rsid w:val="00F81308"/>
    <w:rsid w:val="00F83417"/>
    <w:rsid w:val="00F83DCB"/>
    <w:rsid w:val="00F86F6E"/>
    <w:rsid w:val="00F9014A"/>
    <w:rsid w:val="00F90496"/>
    <w:rsid w:val="00F92D00"/>
    <w:rsid w:val="00F97B48"/>
    <w:rsid w:val="00FA0B2B"/>
    <w:rsid w:val="00FA0CA6"/>
    <w:rsid w:val="00FA264B"/>
    <w:rsid w:val="00FA3152"/>
    <w:rsid w:val="00FA34D5"/>
    <w:rsid w:val="00FA4B19"/>
    <w:rsid w:val="00FA7121"/>
    <w:rsid w:val="00FB0FAF"/>
    <w:rsid w:val="00FB10E7"/>
    <w:rsid w:val="00FB47D3"/>
    <w:rsid w:val="00FB4A17"/>
    <w:rsid w:val="00FB5251"/>
    <w:rsid w:val="00FC20E5"/>
    <w:rsid w:val="00FC3A56"/>
    <w:rsid w:val="00FC5886"/>
    <w:rsid w:val="00FC63ED"/>
    <w:rsid w:val="00FC6E38"/>
    <w:rsid w:val="00FD093A"/>
    <w:rsid w:val="00FD39EF"/>
    <w:rsid w:val="00FD74E2"/>
    <w:rsid w:val="00FD7563"/>
    <w:rsid w:val="00FD7E44"/>
    <w:rsid w:val="00FE2366"/>
    <w:rsid w:val="00FE35B8"/>
    <w:rsid w:val="00FE3B74"/>
    <w:rsid w:val="00FE3C5E"/>
    <w:rsid w:val="00FE6724"/>
    <w:rsid w:val="00FE70DF"/>
    <w:rsid w:val="00FF1030"/>
    <w:rsid w:val="00FF366E"/>
    <w:rsid w:val="00FF4910"/>
    <w:rsid w:val="00FF5296"/>
    <w:rsid w:val="00FF7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6A8E8"/>
  <w15:chartTrackingRefBased/>
  <w15:docId w15:val="{FA34FB84-D587-4C86-876E-8FC5DD0C2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7D99"/>
    <w:pPr>
      <w:spacing w:line="240" w:lineRule="auto"/>
    </w:pPr>
    <w:rPr>
      <w:rFonts w:ascii="Times New Roman" w:eastAsia="Times New Roman" w:hAnsi="Times New Roman" w:cs="Times New Roman"/>
      <w:kern w:val="0"/>
      <w:sz w:val="28"/>
      <w:lang w:val="ro-RO"/>
      <w14:ligatures w14:val="none"/>
    </w:rPr>
  </w:style>
  <w:style w:type="paragraph" w:styleId="1">
    <w:name w:val="heading 1"/>
    <w:basedOn w:val="a"/>
    <w:next w:val="a"/>
    <w:link w:val="10"/>
    <w:uiPriority w:val="9"/>
    <w:qFormat/>
    <w:rsid w:val="006F3790"/>
    <w:pPr>
      <w:keepNext/>
      <w:keepLines/>
      <w:spacing w:before="360" w:after="80"/>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6F3790"/>
    <w:pPr>
      <w:keepNext/>
      <w:keepLines/>
      <w:spacing w:before="160" w:after="80"/>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6F3790"/>
    <w:pPr>
      <w:keepNext/>
      <w:keepLines/>
      <w:spacing w:before="160" w:after="80"/>
      <w:outlineLvl w:val="2"/>
    </w:pPr>
    <w:rPr>
      <w:rFonts w:asciiTheme="minorHAnsi" w:eastAsiaTheme="majorEastAsia" w:hAnsiTheme="minorHAnsi" w:cstheme="majorBidi"/>
      <w:color w:val="0F4761" w:themeColor="accent1" w:themeShade="BF"/>
      <w:kern w:val="2"/>
      <w:szCs w:val="28"/>
      <w:lang w:val="ru-RU"/>
      <w14:ligatures w14:val="standardContextual"/>
    </w:rPr>
  </w:style>
  <w:style w:type="paragraph" w:styleId="4">
    <w:name w:val="heading 4"/>
    <w:basedOn w:val="a"/>
    <w:next w:val="a"/>
    <w:link w:val="40"/>
    <w:uiPriority w:val="9"/>
    <w:semiHidden/>
    <w:unhideWhenUsed/>
    <w:qFormat/>
    <w:rsid w:val="006F3790"/>
    <w:pPr>
      <w:keepNext/>
      <w:keepLines/>
      <w:spacing w:before="80" w:after="40"/>
      <w:outlineLvl w:val="3"/>
    </w:pPr>
    <w:rPr>
      <w:rFonts w:asciiTheme="minorHAnsi" w:eastAsiaTheme="majorEastAsia" w:hAnsiTheme="minorHAnsi" w:cstheme="majorBidi"/>
      <w:i/>
      <w:iCs/>
      <w:color w:val="0F4761" w:themeColor="accent1" w:themeShade="BF"/>
      <w:kern w:val="2"/>
      <w:lang w:val="ru-RU"/>
      <w14:ligatures w14:val="standardContextual"/>
    </w:rPr>
  </w:style>
  <w:style w:type="paragraph" w:styleId="5">
    <w:name w:val="heading 5"/>
    <w:basedOn w:val="a"/>
    <w:next w:val="a"/>
    <w:link w:val="50"/>
    <w:uiPriority w:val="9"/>
    <w:semiHidden/>
    <w:unhideWhenUsed/>
    <w:qFormat/>
    <w:rsid w:val="006F3790"/>
    <w:pPr>
      <w:keepNext/>
      <w:keepLines/>
      <w:spacing w:before="80" w:after="40"/>
      <w:outlineLvl w:val="4"/>
    </w:pPr>
    <w:rPr>
      <w:rFonts w:asciiTheme="minorHAnsi" w:eastAsiaTheme="majorEastAsia" w:hAnsiTheme="minorHAnsi" w:cstheme="majorBidi"/>
      <w:color w:val="0F4761" w:themeColor="accent1" w:themeShade="BF"/>
      <w:kern w:val="2"/>
      <w:lang w:val="ru-RU"/>
      <w14:ligatures w14:val="standardContextual"/>
    </w:rPr>
  </w:style>
  <w:style w:type="paragraph" w:styleId="6">
    <w:name w:val="heading 6"/>
    <w:basedOn w:val="a"/>
    <w:next w:val="a"/>
    <w:link w:val="60"/>
    <w:uiPriority w:val="9"/>
    <w:semiHidden/>
    <w:unhideWhenUsed/>
    <w:qFormat/>
    <w:rsid w:val="006F3790"/>
    <w:pPr>
      <w:keepNext/>
      <w:keepLines/>
      <w:spacing w:before="40" w:after="0"/>
      <w:outlineLvl w:val="5"/>
    </w:pPr>
    <w:rPr>
      <w:rFonts w:asciiTheme="minorHAnsi" w:eastAsiaTheme="majorEastAsia" w:hAnsiTheme="minorHAnsi" w:cstheme="majorBidi"/>
      <w:i/>
      <w:iCs/>
      <w:color w:val="595959" w:themeColor="text1" w:themeTint="A6"/>
      <w:kern w:val="2"/>
      <w:lang w:val="ru-RU"/>
      <w14:ligatures w14:val="standardContextual"/>
    </w:rPr>
  </w:style>
  <w:style w:type="paragraph" w:styleId="7">
    <w:name w:val="heading 7"/>
    <w:basedOn w:val="a"/>
    <w:next w:val="a"/>
    <w:link w:val="70"/>
    <w:uiPriority w:val="9"/>
    <w:semiHidden/>
    <w:unhideWhenUsed/>
    <w:qFormat/>
    <w:rsid w:val="006F3790"/>
    <w:pPr>
      <w:keepNext/>
      <w:keepLines/>
      <w:spacing w:before="40" w:after="0"/>
      <w:outlineLvl w:val="6"/>
    </w:pPr>
    <w:rPr>
      <w:rFonts w:asciiTheme="minorHAnsi" w:eastAsiaTheme="majorEastAsia" w:hAnsiTheme="minorHAnsi" w:cstheme="majorBidi"/>
      <w:color w:val="595959" w:themeColor="text1" w:themeTint="A6"/>
      <w:kern w:val="2"/>
      <w:lang w:val="ru-RU"/>
      <w14:ligatures w14:val="standardContextual"/>
    </w:rPr>
  </w:style>
  <w:style w:type="paragraph" w:styleId="8">
    <w:name w:val="heading 8"/>
    <w:basedOn w:val="a"/>
    <w:next w:val="a"/>
    <w:link w:val="80"/>
    <w:uiPriority w:val="9"/>
    <w:semiHidden/>
    <w:unhideWhenUsed/>
    <w:qFormat/>
    <w:rsid w:val="006F3790"/>
    <w:pPr>
      <w:keepNext/>
      <w:keepLines/>
      <w:spacing w:after="0"/>
      <w:outlineLvl w:val="7"/>
    </w:pPr>
    <w:rPr>
      <w:rFonts w:asciiTheme="minorHAnsi" w:eastAsiaTheme="majorEastAsia" w:hAnsiTheme="minorHAnsi" w:cstheme="majorBidi"/>
      <w:i/>
      <w:iCs/>
      <w:color w:val="272727" w:themeColor="text1" w:themeTint="D8"/>
      <w:kern w:val="2"/>
      <w:lang w:val="ru-RU"/>
      <w14:ligatures w14:val="standardContextual"/>
    </w:rPr>
  </w:style>
  <w:style w:type="paragraph" w:styleId="9">
    <w:name w:val="heading 9"/>
    <w:basedOn w:val="a"/>
    <w:next w:val="a"/>
    <w:link w:val="90"/>
    <w:uiPriority w:val="9"/>
    <w:semiHidden/>
    <w:unhideWhenUsed/>
    <w:qFormat/>
    <w:rsid w:val="006F3790"/>
    <w:pPr>
      <w:keepNext/>
      <w:keepLines/>
      <w:spacing w:after="0"/>
      <w:outlineLvl w:val="8"/>
    </w:pPr>
    <w:rPr>
      <w:rFonts w:asciiTheme="minorHAnsi" w:eastAsiaTheme="majorEastAsia" w:hAnsiTheme="minorHAnsi" w:cstheme="majorBidi"/>
      <w:color w:val="272727" w:themeColor="text1" w:themeTint="D8"/>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379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F379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F379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F3790"/>
    <w:rPr>
      <w:rFonts w:eastAsiaTheme="majorEastAsia" w:cstheme="majorBidi"/>
      <w:i/>
      <w:iCs/>
      <w:color w:val="0F4761" w:themeColor="accent1" w:themeShade="BF"/>
      <w:sz w:val="28"/>
    </w:rPr>
  </w:style>
  <w:style w:type="character" w:customStyle="1" w:styleId="50">
    <w:name w:val="Заголовок 5 Знак"/>
    <w:basedOn w:val="a0"/>
    <w:link w:val="5"/>
    <w:uiPriority w:val="9"/>
    <w:semiHidden/>
    <w:rsid w:val="006F3790"/>
    <w:rPr>
      <w:rFonts w:eastAsiaTheme="majorEastAsia" w:cstheme="majorBidi"/>
      <w:color w:val="0F4761" w:themeColor="accent1" w:themeShade="BF"/>
      <w:sz w:val="28"/>
    </w:rPr>
  </w:style>
  <w:style w:type="character" w:customStyle="1" w:styleId="60">
    <w:name w:val="Заголовок 6 Знак"/>
    <w:basedOn w:val="a0"/>
    <w:link w:val="6"/>
    <w:uiPriority w:val="9"/>
    <w:semiHidden/>
    <w:rsid w:val="006F3790"/>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6F3790"/>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6F3790"/>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6F3790"/>
    <w:rPr>
      <w:rFonts w:eastAsiaTheme="majorEastAsia" w:cstheme="majorBidi"/>
      <w:color w:val="272727" w:themeColor="text1" w:themeTint="D8"/>
      <w:sz w:val="28"/>
    </w:rPr>
  </w:style>
  <w:style w:type="paragraph" w:styleId="a3">
    <w:name w:val="Title"/>
    <w:basedOn w:val="a"/>
    <w:next w:val="a"/>
    <w:link w:val="a4"/>
    <w:uiPriority w:val="10"/>
    <w:qFormat/>
    <w:rsid w:val="006F3790"/>
    <w:pPr>
      <w:spacing w:after="80"/>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6F37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3790"/>
    <w:pPr>
      <w:numPr>
        <w:ilvl w:val="1"/>
      </w:numPr>
    </w:pPr>
    <w:rPr>
      <w:rFonts w:asciiTheme="minorHAnsi" w:eastAsiaTheme="majorEastAsia" w:hAnsiTheme="minorHAnsi" w:cstheme="majorBidi"/>
      <w:color w:val="595959" w:themeColor="text1" w:themeTint="A6"/>
      <w:spacing w:val="15"/>
      <w:kern w:val="2"/>
      <w:szCs w:val="28"/>
      <w:lang w:val="ru-RU"/>
      <w14:ligatures w14:val="standardContextual"/>
    </w:rPr>
  </w:style>
  <w:style w:type="character" w:customStyle="1" w:styleId="a6">
    <w:name w:val="Подзаголовок Знак"/>
    <w:basedOn w:val="a0"/>
    <w:link w:val="a5"/>
    <w:uiPriority w:val="11"/>
    <w:rsid w:val="006F37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F3790"/>
    <w:pPr>
      <w:spacing w:before="160"/>
      <w:jc w:val="center"/>
    </w:pPr>
    <w:rPr>
      <w:rFonts w:eastAsiaTheme="minorHAnsi" w:cstheme="minorBidi"/>
      <w:i/>
      <w:iCs/>
      <w:color w:val="404040" w:themeColor="text1" w:themeTint="BF"/>
      <w:kern w:val="2"/>
      <w:lang w:val="ru-RU"/>
      <w14:ligatures w14:val="standardContextual"/>
    </w:rPr>
  </w:style>
  <w:style w:type="character" w:customStyle="1" w:styleId="22">
    <w:name w:val="Цитата 2 Знак"/>
    <w:basedOn w:val="a0"/>
    <w:link w:val="21"/>
    <w:uiPriority w:val="29"/>
    <w:rsid w:val="006F3790"/>
    <w:rPr>
      <w:rFonts w:ascii="Times New Roman" w:hAnsi="Times New Roman"/>
      <w:i/>
      <w:iCs/>
      <w:color w:val="404040" w:themeColor="text1" w:themeTint="BF"/>
      <w:sz w:val="28"/>
    </w:rPr>
  </w:style>
  <w:style w:type="paragraph" w:styleId="a7">
    <w:name w:val="List Paragraph"/>
    <w:basedOn w:val="a"/>
    <w:uiPriority w:val="34"/>
    <w:qFormat/>
    <w:rsid w:val="006F3790"/>
    <w:pPr>
      <w:ind w:left="720"/>
      <w:contextualSpacing/>
    </w:pPr>
    <w:rPr>
      <w:rFonts w:eastAsiaTheme="minorHAnsi" w:cstheme="minorBidi"/>
      <w:kern w:val="2"/>
      <w:lang w:val="ru-RU"/>
      <w14:ligatures w14:val="standardContextual"/>
    </w:rPr>
  </w:style>
  <w:style w:type="character" w:styleId="a8">
    <w:name w:val="Intense Emphasis"/>
    <w:basedOn w:val="a0"/>
    <w:uiPriority w:val="21"/>
    <w:qFormat/>
    <w:rsid w:val="006F3790"/>
    <w:rPr>
      <w:i/>
      <w:iCs/>
      <w:color w:val="0F4761" w:themeColor="accent1" w:themeShade="BF"/>
    </w:rPr>
  </w:style>
  <w:style w:type="paragraph" w:styleId="a9">
    <w:name w:val="Intense Quote"/>
    <w:basedOn w:val="a"/>
    <w:next w:val="a"/>
    <w:link w:val="aa"/>
    <w:uiPriority w:val="30"/>
    <w:qFormat/>
    <w:rsid w:val="006F379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lang w:val="ru-RU"/>
      <w14:ligatures w14:val="standardContextual"/>
    </w:rPr>
  </w:style>
  <w:style w:type="character" w:customStyle="1" w:styleId="aa">
    <w:name w:val="Выделенная цитата Знак"/>
    <w:basedOn w:val="a0"/>
    <w:link w:val="a9"/>
    <w:uiPriority w:val="30"/>
    <w:rsid w:val="006F3790"/>
    <w:rPr>
      <w:rFonts w:ascii="Times New Roman" w:hAnsi="Times New Roman"/>
      <w:i/>
      <w:iCs/>
      <w:color w:val="0F4761" w:themeColor="accent1" w:themeShade="BF"/>
      <w:sz w:val="28"/>
    </w:rPr>
  </w:style>
  <w:style w:type="character" w:styleId="ab">
    <w:name w:val="Intense Reference"/>
    <w:basedOn w:val="a0"/>
    <w:uiPriority w:val="32"/>
    <w:qFormat/>
    <w:rsid w:val="006F3790"/>
    <w:rPr>
      <w:b/>
      <w:bCs/>
      <w:smallCaps/>
      <w:color w:val="0F4761" w:themeColor="accent1" w:themeShade="BF"/>
      <w:spacing w:val="5"/>
    </w:rPr>
  </w:style>
  <w:style w:type="table" w:styleId="ac">
    <w:name w:val="Table Grid"/>
    <w:basedOn w:val="a1"/>
    <w:uiPriority w:val="39"/>
    <w:rsid w:val="005A6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0747AA"/>
    <w:rPr>
      <w:color w:val="666666"/>
    </w:rPr>
  </w:style>
  <w:style w:type="character" w:styleId="ae">
    <w:name w:val="annotation reference"/>
    <w:basedOn w:val="a0"/>
    <w:uiPriority w:val="99"/>
    <w:unhideWhenUsed/>
    <w:rsid w:val="00066A7F"/>
    <w:rPr>
      <w:sz w:val="16"/>
      <w:szCs w:val="16"/>
    </w:rPr>
  </w:style>
  <w:style w:type="paragraph" w:styleId="af">
    <w:name w:val="annotation text"/>
    <w:basedOn w:val="a"/>
    <w:link w:val="af0"/>
    <w:uiPriority w:val="99"/>
    <w:unhideWhenUsed/>
    <w:rsid w:val="00066A7F"/>
    <w:rPr>
      <w:sz w:val="20"/>
      <w:szCs w:val="20"/>
    </w:rPr>
  </w:style>
  <w:style w:type="character" w:customStyle="1" w:styleId="af0">
    <w:name w:val="Текст примечания Знак"/>
    <w:basedOn w:val="a0"/>
    <w:link w:val="af"/>
    <w:uiPriority w:val="99"/>
    <w:rsid w:val="00066A7F"/>
    <w:rPr>
      <w:rFonts w:ascii="Times New Roman" w:eastAsia="Times New Roman" w:hAnsi="Times New Roman" w:cs="Times New Roman"/>
      <w:kern w:val="0"/>
      <w:sz w:val="20"/>
      <w:szCs w:val="20"/>
      <w:lang w:val="ro-RO"/>
      <w14:ligatures w14:val="none"/>
    </w:rPr>
  </w:style>
  <w:style w:type="paragraph" w:styleId="af1">
    <w:name w:val="annotation subject"/>
    <w:basedOn w:val="af"/>
    <w:next w:val="af"/>
    <w:link w:val="af2"/>
    <w:uiPriority w:val="99"/>
    <w:semiHidden/>
    <w:unhideWhenUsed/>
    <w:rsid w:val="00066A7F"/>
    <w:rPr>
      <w:b/>
      <w:bCs/>
    </w:rPr>
  </w:style>
  <w:style w:type="character" w:customStyle="1" w:styleId="af2">
    <w:name w:val="Тема примечания Знак"/>
    <w:basedOn w:val="af0"/>
    <w:link w:val="af1"/>
    <w:uiPriority w:val="99"/>
    <w:semiHidden/>
    <w:rsid w:val="00066A7F"/>
    <w:rPr>
      <w:rFonts w:ascii="Times New Roman" w:eastAsia="Times New Roman" w:hAnsi="Times New Roman" w:cs="Times New Roman"/>
      <w:b/>
      <w:bCs/>
      <w:kern w:val="0"/>
      <w:sz w:val="20"/>
      <w:szCs w:val="20"/>
      <w:lang w:val="ro-RO"/>
      <w14:ligatures w14:val="none"/>
    </w:rPr>
  </w:style>
  <w:style w:type="character" w:customStyle="1" w:styleId="cf11">
    <w:name w:val="cf11"/>
    <w:basedOn w:val="a0"/>
    <w:rsid w:val="00AB008A"/>
    <w:rPr>
      <w:rFonts w:ascii="Segoe UI" w:hAnsi="Segoe UI" w:cs="Segoe UI" w:hint="default"/>
      <w:sz w:val="18"/>
      <w:szCs w:val="18"/>
    </w:rPr>
  </w:style>
  <w:style w:type="character" w:customStyle="1" w:styleId="cf01">
    <w:name w:val="cf01"/>
    <w:basedOn w:val="a0"/>
    <w:rsid w:val="00AB008A"/>
    <w:rPr>
      <w:rFonts w:ascii="Segoe UI" w:hAnsi="Segoe UI" w:cs="Segoe UI" w:hint="default"/>
      <w:sz w:val="18"/>
      <w:szCs w:val="18"/>
    </w:rPr>
  </w:style>
  <w:style w:type="character" w:customStyle="1" w:styleId="cf21">
    <w:name w:val="cf21"/>
    <w:basedOn w:val="a0"/>
    <w:rsid w:val="00AB008A"/>
    <w:rPr>
      <w:rFonts w:ascii="Segoe UI" w:hAnsi="Segoe UI" w:cs="Segoe UI" w:hint="default"/>
      <w:sz w:val="18"/>
      <w:szCs w:val="18"/>
    </w:rPr>
  </w:style>
  <w:style w:type="paragraph" w:styleId="af3">
    <w:name w:val="Normal (Web)"/>
    <w:basedOn w:val="a"/>
    <w:uiPriority w:val="99"/>
    <w:unhideWhenUsed/>
    <w:rsid w:val="00AB008A"/>
    <w:pPr>
      <w:spacing w:before="100" w:beforeAutospacing="1" w:after="100" w:afterAutospacing="1"/>
    </w:pPr>
    <w:rPr>
      <w:sz w:val="24"/>
      <w:szCs w:val="24"/>
      <w:lang w:eastAsia="ro-MD"/>
    </w:rPr>
  </w:style>
  <w:style w:type="character" w:customStyle="1" w:styleId="slitbdy">
    <w:name w:val="s_lit_bdy"/>
    <w:basedOn w:val="a0"/>
    <w:rsid w:val="00DE7C6D"/>
  </w:style>
  <w:style w:type="character" w:customStyle="1" w:styleId="slgi">
    <w:name w:val="s_lgi"/>
    <w:basedOn w:val="a0"/>
    <w:rsid w:val="00DE7C6D"/>
  </w:style>
  <w:style w:type="character" w:customStyle="1" w:styleId="spar">
    <w:name w:val="s_par"/>
    <w:basedOn w:val="a0"/>
    <w:rsid w:val="00DE7C6D"/>
  </w:style>
  <w:style w:type="character" w:customStyle="1" w:styleId="slit">
    <w:name w:val="s_lit"/>
    <w:basedOn w:val="a0"/>
    <w:rsid w:val="00DE7C6D"/>
  </w:style>
  <w:style w:type="character" w:customStyle="1" w:styleId="slitttl">
    <w:name w:val="s_lit_ttl"/>
    <w:basedOn w:val="a0"/>
    <w:rsid w:val="00DE7C6D"/>
  </w:style>
  <w:style w:type="paragraph" w:styleId="af4">
    <w:name w:val="Revision"/>
    <w:hidden/>
    <w:uiPriority w:val="99"/>
    <w:semiHidden/>
    <w:rsid w:val="009C32F4"/>
    <w:pPr>
      <w:spacing w:after="0" w:line="240" w:lineRule="auto"/>
    </w:pPr>
    <w:rPr>
      <w:rFonts w:ascii="Times New Roman" w:eastAsia="Times New Roman" w:hAnsi="Times New Roman" w:cs="Times New Roman"/>
      <w:kern w:val="0"/>
      <w:sz w:val="28"/>
      <w:lang w:val="ro-RO"/>
      <w14:ligatures w14:val="none"/>
    </w:rPr>
  </w:style>
  <w:style w:type="character" w:styleId="af5">
    <w:name w:val="Hyperlink"/>
    <w:basedOn w:val="a0"/>
    <w:uiPriority w:val="99"/>
    <w:unhideWhenUsed/>
    <w:rsid w:val="00A361CA"/>
    <w:rPr>
      <w:color w:val="467886" w:themeColor="hyperlink"/>
      <w:u w:val="single"/>
    </w:rPr>
  </w:style>
  <w:style w:type="character" w:customStyle="1" w:styleId="UnresolvedMention">
    <w:name w:val="Unresolved Mention"/>
    <w:basedOn w:val="a0"/>
    <w:uiPriority w:val="99"/>
    <w:semiHidden/>
    <w:unhideWhenUsed/>
    <w:rsid w:val="00A361CA"/>
    <w:rPr>
      <w:color w:val="605E5C"/>
      <w:shd w:val="clear" w:color="auto" w:fill="E1DFDD"/>
    </w:rPr>
  </w:style>
  <w:style w:type="character" w:styleId="af6">
    <w:name w:val="FollowedHyperlink"/>
    <w:basedOn w:val="a0"/>
    <w:uiPriority w:val="99"/>
    <w:semiHidden/>
    <w:unhideWhenUsed/>
    <w:rsid w:val="003F3C05"/>
    <w:rPr>
      <w:color w:val="96607D" w:themeColor="followedHyperlink"/>
      <w:u w:val="single"/>
    </w:rPr>
  </w:style>
  <w:style w:type="paragraph" w:styleId="af7">
    <w:name w:val="Balloon Text"/>
    <w:basedOn w:val="a"/>
    <w:link w:val="af8"/>
    <w:uiPriority w:val="99"/>
    <w:semiHidden/>
    <w:unhideWhenUsed/>
    <w:rsid w:val="00777432"/>
    <w:pPr>
      <w:spacing w:after="0"/>
    </w:pPr>
    <w:rPr>
      <w:rFonts w:ascii="Segoe UI" w:hAnsi="Segoe UI" w:cs="Segoe UI"/>
      <w:sz w:val="18"/>
      <w:szCs w:val="18"/>
    </w:rPr>
  </w:style>
  <w:style w:type="character" w:customStyle="1" w:styleId="af8">
    <w:name w:val="Текст выноски Знак"/>
    <w:basedOn w:val="a0"/>
    <w:link w:val="af7"/>
    <w:uiPriority w:val="99"/>
    <w:semiHidden/>
    <w:rsid w:val="00777432"/>
    <w:rPr>
      <w:rFonts w:ascii="Segoe UI" w:eastAsia="Times New Roman" w:hAnsi="Segoe UI" w:cs="Segoe UI"/>
      <w:kern w:val="0"/>
      <w:sz w:val="18"/>
      <w:szCs w:val="18"/>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996">
      <w:bodyDiv w:val="1"/>
      <w:marLeft w:val="0"/>
      <w:marRight w:val="0"/>
      <w:marTop w:val="0"/>
      <w:marBottom w:val="0"/>
      <w:divBdr>
        <w:top w:val="none" w:sz="0" w:space="0" w:color="auto"/>
        <w:left w:val="none" w:sz="0" w:space="0" w:color="auto"/>
        <w:bottom w:val="none" w:sz="0" w:space="0" w:color="auto"/>
        <w:right w:val="none" w:sz="0" w:space="0" w:color="auto"/>
      </w:divBdr>
      <w:divsChild>
        <w:div w:id="1727602086">
          <w:marLeft w:val="0"/>
          <w:marRight w:val="0"/>
          <w:marTop w:val="0"/>
          <w:marBottom w:val="0"/>
          <w:divBdr>
            <w:top w:val="none" w:sz="0" w:space="0" w:color="auto"/>
            <w:left w:val="none" w:sz="0" w:space="0" w:color="auto"/>
            <w:bottom w:val="none" w:sz="0" w:space="0" w:color="auto"/>
            <w:right w:val="none" w:sz="0" w:space="0" w:color="auto"/>
          </w:divBdr>
        </w:div>
      </w:divsChild>
    </w:div>
    <w:div w:id="1711973">
      <w:bodyDiv w:val="1"/>
      <w:marLeft w:val="0"/>
      <w:marRight w:val="0"/>
      <w:marTop w:val="0"/>
      <w:marBottom w:val="0"/>
      <w:divBdr>
        <w:top w:val="none" w:sz="0" w:space="0" w:color="auto"/>
        <w:left w:val="none" w:sz="0" w:space="0" w:color="auto"/>
        <w:bottom w:val="none" w:sz="0" w:space="0" w:color="auto"/>
        <w:right w:val="none" w:sz="0" w:space="0" w:color="auto"/>
      </w:divBdr>
      <w:divsChild>
        <w:div w:id="521941636">
          <w:marLeft w:val="0"/>
          <w:marRight w:val="0"/>
          <w:marTop w:val="0"/>
          <w:marBottom w:val="0"/>
          <w:divBdr>
            <w:top w:val="none" w:sz="0" w:space="0" w:color="auto"/>
            <w:left w:val="none" w:sz="0" w:space="0" w:color="auto"/>
            <w:bottom w:val="none" w:sz="0" w:space="0" w:color="auto"/>
            <w:right w:val="none" w:sz="0" w:space="0" w:color="auto"/>
          </w:divBdr>
        </w:div>
      </w:divsChild>
    </w:div>
    <w:div w:id="1905779">
      <w:bodyDiv w:val="1"/>
      <w:marLeft w:val="0"/>
      <w:marRight w:val="0"/>
      <w:marTop w:val="0"/>
      <w:marBottom w:val="0"/>
      <w:divBdr>
        <w:top w:val="none" w:sz="0" w:space="0" w:color="auto"/>
        <w:left w:val="none" w:sz="0" w:space="0" w:color="auto"/>
        <w:bottom w:val="none" w:sz="0" w:space="0" w:color="auto"/>
        <w:right w:val="none" w:sz="0" w:space="0" w:color="auto"/>
      </w:divBdr>
      <w:divsChild>
        <w:div w:id="1421101122">
          <w:marLeft w:val="0"/>
          <w:marRight w:val="0"/>
          <w:marTop w:val="0"/>
          <w:marBottom w:val="0"/>
          <w:divBdr>
            <w:top w:val="none" w:sz="0" w:space="0" w:color="auto"/>
            <w:left w:val="none" w:sz="0" w:space="0" w:color="auto"/>
            <w:bottom w:val="none" w:sz="0" w:space="0" w:color="auto"/>
            <w:right w:val="none" w:sz="0" w:space="0" w:color="auto"/>
          </w:divBdr>
          <w:divsChild>
            <w:div w:id="1615793123">
              <w:marLeft w:val="0"/>
              <w:marRight w:val="0"/>
              <w:marTop w:val="120"/>
              <w:marBottom w:val="0"/>
              <w:divBdr>
                <w:top w:val="none" w:sz="0" w:space="0" w:color="auto"/>
                <w:left w:val="none" w:sz="0" w:space="0" w:color="auto"/>
                <w:bottom w:val="none" w:sz="0" w:space="0" w:color="auto"/>
                <w:right w:val="none" w:sz="0" w:space="0" w:color="auto"/>
              </w:divBdr>
            </w:div>
            <w:div w:id="22217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9130">
      <w:bodyDiv w:val="1"/>
      <w:marLeft w:val="0"/>
      <w:marRight w:val="0"/>
      <w:marTop w:val="0"/>
      <w:marBottom w:val="0"/>
      <w:divBdr>
        <w:top w:val="none" w:sz="0" w:space="0" w:color="auto"/>
        <w:left w:val="none" w:sz="0" w:space="0" w:color="auto"/>
        <w:bottom w:val="none" w:sz="0" w:space="0" w:color="auto"/>
        <w:right w:val="none" w:sz="0" w:space="0" w:color="auto"/>
      </w:divBdr>
      <w:divsChild>
        <w:div w:id="1940335276">
          <w:marLeft w:val="0"/>
          <w:marRight w:val="0"/>
          <w:marTop w:val="120"/>
          <w:marBottom w:val="0"/>
          <w:divBdr>
            <w:top w:val="none" w:sz="0" w:space="0" w:color="auto"/>
            <w:left w:val="none" w:sz="0" w:space="0" w:color="auto"/>
            <w:bottom w:val="none" w:sz="0" w:space="0" w:color="auto"/>
            <w:right w:val="none" w:sz="0" w:space="0" w:color="auto"/>
          </w:divBdr>
        </w:div>
        <w:div w:id="752042933">
          <w:marLeft w:val="0"/>
          <w:marRight w:val="0"/>
          <w:marTop w:val="0"/>
          <w:marBottom w:val="0"/>
          <w:divBdr>
            <w:top w:val="none" w:sz="0" w:space="0" w:color="auto"/>
            <w:left w:val="none" w:sz="0" w:space="0" w:color="auto"/>
            <w:bottom w:val="none" w:sz="0" w:space="0" w:color="auto"/>
            <w:right w:val="none" w:sz="0" w:space="0" w:color="auto"/>
          </w:divBdr>
        </w:div>
      </w:divsChild>
    </w:div>
    <w:div w:id="22830900">
      <w:bodyDiv w:val="1"/>
      <w:marLeft w:val="0"/>
      <w:marRight w:val="0"/>
      <w:marTop w:val="0"/>
      <w:marBottom w:val="0"/>
      <w:divBdr>
        <w:top w:val="none" w:sz="0" w:space="0" w:color="auto"/>
        <w:left w:val="none" w:sz="0" w:space="0" w:color="auto"/>
        <w:bottom w:val="none" w:sz="0" w:space="0" w:color="auto"/>
        <w:right w:val="none" w:sz="0" w:space="0" w:color="auto"/>
      </w:divBdr>
    </w:div>
    <w:div w:id="24648195">
      <w:bodyDiv w:val="1"/>
      <w:marLeft w:val="0"/>
      <w:marRight w:val="0"/>
      <w:marTop w:val="0"/>
      <w:marBottom w:val="0"/>
      <w:divBdr>
        <w:top w:val="none" w:sz="0" w:space="0" w:color="auto"/>
        <w:left w:val="none" w:sz="0" w:space="0" w:color="auto"/>
        <w:bottom w:val="none" w:sz="0" w:space="0" w:color="auto"/>
        <w:right w:val="none" w:sz="0" w:space="0" w:color="auto"/>
      </w:divBdr>
      <w:divsChild>
        <w:div w:id="703168014">
          <w:marLeft w:val="0"/>
          <w:marRight w:val="0"/>
          <w:marTop w:val="0"/>
          <w:marBottom w:val="0"/>
          <w:divBdr>
            <w:top w:val="none" w:sz="0" w:space="0" w:color="auto"/>
            <w:left w:val="none" w:sz="0" w:space="0" w:color="auto"/>
            <w:bottom w:val="none" w:sz="0" w:space="0" w:color="auto"/>
            <w:right w:val="none" w:sz="0" w:space="0" w:color="auto"/>
          </w:divBdr>
          <w:divsChild>
            <w:div w:id="1019042723">
              <w:marLeft w:val="0"/>
              <w:marRight w:val="0"/>
              <w:marTop w:val="0"/>
              <w:marBottom w:val="0"/>
              <w:divBdr>
                <w:top w:val="none" w:sz="0" w:space="0" w:color="auto"/>
                <w:left w:val="none" w:sz="0" w:space="0" w:color="auto"/>
                <w:bottom w:val="none" w:sz="0" w:space="0" w:color="auto"/>
                <w:right w:val="none" w:sz="0" w:space="0" w:color="auto"/>
              </w:divBdr>
              <w:divsChild>
                <w:div w:id="154879882">
                  <w:marLeft w:val="0"/>
                  <w:marRight w:val="0"/>
                  <w:marTop w:val="0"/>
                  <w:marBottom w:val="0"/>
                  <w:divBdr>
                    <w:top w:val="none" w:sz="0" w:space="0" w:color="auto"/>
                    <w:left w:val="none" w:sz="0" w:space="0" w:color="auto"/>
                    <w:bottom w:val="none" w:sz="0" w:space="0" w:color="auto"/>
                    <w:right w:val="none" w:sz="0" w:space="0" w:color="auto"/>
                  </w:divBdr>
                  <w:divsChild>
                    <w:div w:id="1456286658">
                      <w:marLeft w:val="0"/>
                      <w:marRight w:val="0"/>
                      <w:marTop w:val="120"/>
                      <w:marBottom w:val="0"/>
                      <w:divBdr>
                        <w:top w:val="none" w:sz="0" w:space="0" w:color="auto"/>
                        <w:left w:val="none" w:sz="0" w:space="0" w:color="auto"/>
                        <w:bottom w:val="none" w:sz="0" w:space="0" w:color="auto"/>
                        <w:right w:val="none" w:sz="0" w:space="0" w:color="auto"/>
                      </w:divBdr>
                    </w:div>
                    <w:div w:id="1461806454">
                      <w:marLeft w:val="0"/>
                      <w:marRight w:val="0"/>
                      <w:marTop w:val="0"/>
                      <w:marBottom w:val="0"/>
                      <w:divBdr>
                        <w:top w:val="none" w:sz="0" w:space="0" w:color="auto"/>
                        <w:left w:val="none" w:sz="0" w:space="0" w:color="auto"/>
                        <w:bottom w:val="none" w:sz="0" w:space="0" w:color="auto"/>
                        <w:right w:val="none" w:sz="0" w:space="0" w:color="auto"/>
                      </w:divBdr>
                    </w:div>
                  </w:divsChild>
                </w:div>
                <w:div w:id="1997608740">
                  <w:marLeft w:val="0"/>
                  <w:marRight w:val="0"/>
                  <w:marTop w:val="0"/>
                  <w:marBottom w:val="0"/>
                  <w:divBdr>
                    <w:top w:val="none" w:sz="0" w:space="0" w:color="auto"/>
                    <w:left w:val="none" w:sz="0" w:space="0" w:color="auto"/>
                    <w:bottom w:val="none" w:sz="0" w:space="0" w:color="auto"/>
                    <w:right w:val="none" w:sz="0" w:space="0" w:color="auto"/>
                  </w:divBdr>
                  <w:divsChild>
                    <w:div w:id="640231759">
                      <w:marLeft w:val="0"/>
                      <w:marRight w:val="0"/>
                      <w:marTop w:val="120"/>
                      <w:marBottom w:val="0"/>
                      <w:divBdr>
                        <w:top w:val="none" w:sz="0" w:space="0" w:color="auto"/>
                        <w:left w:val="none" w:sz="0" w:space="0" w:color="auto"/>
                        <w:bottom w:val="none" w:sz="0" w:space="0" w:color="auto"/>
                        <w:right w:val="none" w:sz="0" w:space="0" w:color="auto"/>
                      </w:divBdr>
                    </w:div>
                    <w:div w:id="1279292467">
                      <w:marLeft w:val="0"/>
                      <w:marRight w:val="0"/>
                      <w:marTop w:val="0"/>
                      <w:marBottom w:val="0"/>
                      <w:divBdr>
                        <w:top w:val="none" w:sz="0" w:space="0" w:color="auto"/>
                        <w:left w:val="none" w:sz="0" w:space="0" w:color="auto"/>
                        <w:bottom w:val="none" w:sz="0" w:space="0" w:color="auto"/>
                        <w:right w:val="none" w:sz="0" w:space="0" w:color="auto"/>
                      </w:divBdr>
                    </w:div>
                  </w:divsChild>
                </w:div>
                <w:div w:id="1931810294">
                  <w:marLeft w:val="0"/>
                  <w:marRight w:val="0"/>
                  <w:marTop w:val="0"/>
                  <w:marBottom w:val="0"/>
                  <w:divBdr>
                    <w:top w:val="none" w:sz="0" w:space="0" w:color="auto"/>
                    <w:left w:val="none" w:sz="0" w:space="0" w:color="auto"/>
                    <w:bottom w:val="none" w:sz="0" w:space="0" w:color="auto"/>
                    <w:right w:val="none" w:sz="0" w:space="0" w:color="auto"/>
                  </w:divBdr>
                  <w:divsChild>
                    <w:div w:id="1603876107">
                      <w:marLeft w:val="0"/>
                      <w:marRight w:val="0"/>
                      <w:marTop w:val="120"/>
                      <w:marBottom w:val="0"/>
                      <w:divBdr>
                        <w:top w:val="none" w:sz="0" w:space="0" w:color="auto"/>
                        <w:left w:val="none" w:sz="0" w:space="0" w:color="auto"/>
                        <w:bottom w:val="none" w:sz="0" w:space="0" w:color="auto"/>
                        <w:right w:val="none" w:sz="0" w:space="0" w:color="auto"/>
                      </w:divBdr>
                    </w:div>
                    <w:div w:id="1995907484">
                      <w:marLeft w:val="0"/>
                      <w:marRight w:val="0"/>
                      <w:marTop w:val="0"/>
                      <w:marBottom w:val="0"/>
                      <w:divBdr>
                        <w:top w:val="none" w:sz="0" w:space="0" w:color="auto"/>
                        <w:left w:val="none" w:sz="0" w:space="0" w:color="auto"/>
                        <w:bottom w:val="none" w:sz="0" w:space="0" w:color="auto"/>
                        <w:right w:val="none" w:sz="0" w:space="0" w:color="auto"/>
                      </w:divBdr>
                    </w:div>
                  </w:divsChild>
                </w:div>
                <w:div w:id="2090270892">
                  <w:marLeft w:val="0"/>
                  <w:marRight w:val="0"/>
                  <w:marTop w:val="0"/>
                  <w:marBottom w:val="0"/>
                  <w:divBdr>
                    <w:top w:val="none" w:sz="0" w:space="0" w:color="auto"/>
                    <w:left w:val="none" w:sz="0" w:space="0" w:color="auto"/>
                    <w:bottom w:val="none" w:sz="0" w:space="0" w:color="auto"/>
                    <w:right w:val="none" w:sz="0" w:space="0" w:color="auto"/>
                  </w:divBdr>
                  <w:divsChild>
                    <w:div w:id="113332882">
                      <w:marLeft w:val="0"/>
                      <w:marRight w:val="0"/>
                      <w:marTop w:val="120"/>
                      <w:marBottom w:val="0"/>
                      <w:divBdr>
                        <w:top w:val="none" w:sz="0" w:space="0" w:color="auto"/>
                        <w:left w:val="none" w:sz="0" w:space="0" w:color="auto"/>
                        <w:bottom w:val="none" w:sz="0" w:space="0" w:color="auto"/>
                        <w:right w:val="none" w:sz="0" w:space="0" w:color="auto"/>
                      </w:divBdr>
                    </w:div>
                    <w:div w:id="1559052679">
                      <w:marLeft w:val="0"/>
                      <w:marRight w:val="0"/>
                      <w:marTop w:val="0"/>
                      <w:marBottom w:val="0"/>
                      <w:divBdr>
                        <w:top w:val="none" w:sz="0" w:space="0" w:color="auto"/>
                        <w:left w:val="none" w:sz="0" w:space="0" w:color="auto"/>
                        <w:bottom w:val="none" w:sz="0" w:space="0" w:color="auto"/>
                        <w:right w:val="none" w:sz="0" w:space="0" w:color="auto"/>
                      </w:divBdr>
                    </w:div>
                  </w:divsChild>
                </w:div>
                <w:div w:id="1664552105">
                  <w:marLeft w:val="0"/>
                  <w:marRight w:val="0"/>
                  <w:marTop w:val="0"/>
                  <w:marBottom w:val="0"/>
                  <w:divBdr>
                    <w:top w:val="none" w:sz="0" w:space="0" w:color="auto"/>
                    <w:left w:val="none" w:sz="0" w:space="0" w:color="auto"/>
                    <w:bottom w:val="none" w:sz="0" w:space="0" w:color="auto"/>
                    <w:right w:val="none" w:sz="0" w:space="0" w:color="auto"/>
                  </w:divBdr>
                  <w:divsChild>
                    <w:div w:id="1098594958">
                      <w:marLeft w:val="0"/>
                      <w:marRight w:val="0"/>
                      <w:marTop w:val="120"/>
                      <w:marBottom w:val="0"/>
                      <w:divBdr>
                        <w:top w:val="none" w:sz="0" w:space="0" w:color="auto"/>
                        <w:left w:val="none" w:sz="0" w:space="0" w:color="auto"/>
                        <w:bottom w:val="none" w:sz="0" w:space="0" w:color="auto"/>
                        <w:right w:val="none" w:sz="0" w:space="0" w:color="auto"/>
                      </w:divBdr>
                    </w:div>
                    <w:div w:id="1788622988">
                      <w:marLeft w:val="0"/>
                      <w:marRight w:val="0"/>
                      <w:marTop w:val="0"/>
                      <w:marBottom w:val="0"/>
                      <w:divBdr>
                        <w:top w:val="none" w:sz="0" w:space="0" w:color="auto"/>
                        <w:left w:val="none" w:sz="0" w:space="0" w:color="auto"/>
                        <w:bottom w:val="none" w:sz="0" w:space="0" w:color="auto"/>
                        <w:right w:val="none" w:sz="0" w:space="0" w:color="auto"/>
                      </w:divBdr>
                    </w:div>
                  </w:divsChild>
                </w:div>
                <w:div w:id="650602825">
                  <w:marLeft w:val="0"/>
                  <w:marRight w:val="0"/>
                  <w:marTop w:val="0"/>
                  <w:marBottom w:val="0"/>
                  <w:divBdr>
                    <w:top w:val="none" w:sz="0" w:space="0" w:color="auto"/>
                    <w:left w:val="none" w:sz="0" w:space="0" w:color="auto"/>
                    <w:bottom w:val="none" w:sz="0" w:space="0" w:color="auto"/>
                    <w:right w:val="none" w:sz="0" w:space="0" w:color="auto"/>
                  </w:divBdr>
                  <w:divsChild>
                    <w:div w:id="949899283">
                      <w:marLeft w:val="0"/>
                      <w:marRight w:val="0"/>
                      <w:marTop w:val="120"/>
                      <w:marBottom w:val="0"/>
                      <w:divBdr>
                        <w:top w:val="none" w:sz="0" w:space="0" w:color="auto"/>
                        <w:left w:val="none" w:sz="0" w:space="0" w:color="auto"/>
                        <w:bottom w:val="none" w:sz="0" w:space="0" w:color="auto"/>
                        <w:right w:val="none" w:sz="0" w:space="0" w:color="auto"/>
                      </w:divBdr>
                    </w:div>
                    <w:div w:id="41236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68500">
      <w:bodyDiv w:val="1"/>
      <w:marLeft w:val="0"/>
      <w:marRight w:val="0"/>
      <w:marTop w:val="0"/>
      <w:marBottom w:val="0"/>
      <w:divBdr>
        <w:top w:val="none" w:sz="0" w:space="0" w:color="auto"/>
        <w:left w:val="none" w:sz="0" w:space="0" w:color="auto"/>
        <w:bottom w:val="none" w:sz="0" w:space="0" w:color="auto"/>
        <w:right w:val="none" w:sz="0" w:space="0" w:color="auto"/>
      </w:divBdr>
      <w:divsChild>
        <w:div w:id="1277328790">
          <w:marLeft w:val="0"/>
          <w:marRight w:val="0"/>
          <w:marTop w:val="0"/>
          <w:marBottom w:val="0"/>
          <w:divBdr>
            <w:top w:val="none" w:sz="0" w:space="0" w:color="auto"/>
            <w:left w:val="none" w:sz="0" w:space="0" w:color="auto"/>
            <w:bottom w:val="none" w:sz="0" w:space="0" w:color="auto"/>
            <w:right w:val="none" w:sz="0" w:space="0" w:color="auto"/>
          </w:divBdr>
        </w:div>
      </w:divsChild>
    </w:div>
    <w:div w:id="26102616">
      <w:bodyDiv w:val="1"/>
      <w:marLeft w:val="0"/>
      <w:marRight w:val="0"/>
      <w:marTop w:val="0"/>
      <w:marBottom w:val="0"/>
      <w:divBdr>
        <w:top w:val="none" w:sz="0" w:space="0" w:color="auto"/>
        <w:left w:val="none" w:sz="0" w:space="0" w:color="auto"/>
        <w:bottom w:val="none" w:sz="0" w:space="0" w:color="auto"/>
        <w:right w:val="none" w:sz="0" w:space="0" w:color="auto"/>
      </w:divBdr>
      <w:divsChild>
        <w:div w:id="1115632690">
          <w:marLeft w:val="0"/>
          <w:marRight w:val="0"/>
          <w:marTop w:val="0"/>
          <w:marBottom w:val="0"/>
          <w:divBdr>
            <w:top w:val="none" w:sz="0" w:space="0" w:color="auto"/>
            <w:left w:val="none" w:sz="0" w:space="0" w:color="auto"/>
            <w:bottom w:val="none" w:sz="0" w:space="0" w:color="auto"/>
            <w:right w:val="none" w:sz="0" w:space="0" w:color="auto"/>
          </w:divBdr>
        </w:div>
      </w:divsChild>
    </w:div>
    <w:div w:id="28073250">
      <w:bodyDiv w:val="1"/>
      <w:marLeft w:val="0"/>
      <w:marRight w:val="0"/>
      <w:marTop w:val="0"/>
      <w:marBottom w:val="0"/>
      <w:divBdr>
        <w:top w:val="none" w:sz="0" w:space="0" w:color="auto"/>
        <w:left w:val="none" w:sz="0" w:space="0" w:color="auto"/>
        <w:bottom w:val="none" w:sz="0" w:space="0" w:color="auto"/>
        <w:right w:val="none" w:sz="0" w:space="0" w:color="auto"/>
      </w:divBdr>
      <w:divsChild>
        <w:div w:id="1870100905">
          <w:marLeft w:val="0"/>
          <w:marRight w:val="0"/>
          <w:marTop w:val="0"/>
          <w:marBottom w:val="0"/>
          <w:divBdr>
            <w:top w:val="none" w:sz="0" w:space="0" w:color="auto"/>
            <w:left w:val="none" w:sz="0" w:space="0" w:color="auto"/>
            <w:bottom w:val="none" w:sz="0" w:space="0" w:color="auto"/>
            <w:right w:val="none" w:sz="0" w:space="0" w:color="auto"/>
          </w:divBdr>
        </w:div>
      </w:divsChild>
    </w:div>
    <w:div w:id="32002487">
      <w:bodyDiv w:val="1"/>
      <w:marLeft w:val="0"/>
      <w:marRight w:val="0"/>
      <w:marTop w:val="0"/>
      <w:marBottom w:val="0"/>
      <w:divBdr>
        <w:top w:val="none" w:sz="0" w:space="0" w:color="auto"/>
        <w:left w:val="none" w:sz="0" w:space="0" w:color="auto"/>
        <w:bottom w:val="none" w:sz="0" w:space="0" w:color="auto"/>
        <w:right w:val="none" w:sz="0" w:space="0" w:color="auto"/>
      </w:divBdr>
      <w:divsChild>
        <w:div w:id="1389110947">
          <w:marLeft w:val="0"/>
          <w:marRight w:val="0"/>
          <w:marTop w:val="120"/>
          <w:marBottom w:val="0"/>
          <w:divBdr>
            <w:top w:val="none" w:sz="0" w:space="0" w:color="auto"/>
            <w:left w:val="none" w:sz="0" w:space="0" w:color="auto"/>
            <w:bottom w:val="none" w:sz="0" w:space="0" w:color="auto"/>
            <w:right w:val="none" w:sz="0" w:space="0" w:color="auto"/>
          </w:divBdr>
        </w:div>
        <w:div w:id="1363627027">
          <w:marLeft w:val="0"/>
          <w:marRight w:val="0"/>
          <w:marTop w:val="0"/>
          <w:marBottom w:val="0"/>
          <w:divBdr>
            <w:top w:val="none" w:sz="0" w:space="0" w:color="auto"/>
            <w:left w:val="none" w:sz="0" w:space="0" w:color="auto"/>
            <w:bottom w:val="none" w:sz="0" w:space="0" w:color="auto"/>
            <w:right w:val="none" w:sz="0" w:space="0" w:color="auto"/>
          </w:divBdr>
        </w:div>
      </w:divsChild>
    </w:div>
    <w:div w:id="33166462">
      <w:bodyDiv w:val="1"/>
      <w:marLeft w:val="0"/>
      <w:marRight w:val="0"/>
      <w:marTop w:val="0"/>
      <w:marBottom w:val="0"/>
      <w:divBdr>
        <w:top w:val="none" w:sz="0" w:space="0" w:color="auto"/>
        <w:left w:val="none" w:sz="0" w:space="0" w:color="auto"/>
        <w:bottom w:val="none" w:sz="0" w:space="0" w:color="auto"/>
        <w:right w:val="none" w:sz="0" w:space="0" w:color="auto"/>
      </w:divBdr>
      <w:divsChild>
        <w:div w:id="1546597109">
          <w:marLeft w:val="0"/>
          <w:marRight w:val="0"/>
          <w:marTop w:val="0"/>
          <w:marBottom w:val="0"/>
          <w:divBdr>
            <w:top w:val="none" w:sz="0" w:space="0" w:color="auto"/>
            <w:left w:val="none" w:sz="0" w:space="0" w:color="auto"/>
            <w:bottom w:val="none" w:sz="0" w:space="0" w:color="auto"/>
            <w:right w:val="none" w:sz="0" w:space="0" w:color="auto"/>
          </w:divBdr>
        </w:div>
      </w:divsChild>
    </w:div>
    <w:div w:id="34543124">
      <w:bodyDiv w:val="1"/>
      <w:marLeft w:val="0"/>
      <w:marRight w:val="0"/>
      <w:marTop w:val="0"/>
      <w:marBottom w:val="0"/>
      <w:divBdr>
        <w:top w:val="none" w:sz="0" w:space="0" w:color="auto"/>
        <w:left w:val="none" w:sz="0" w:space="0" w:color="auto"/>
        <w:bottom w:val="none" w:sz="0" w:space="0" w:color="auto"/>
        <w:right w:val="none" w:sz="0" w:space="0" w:color="auto"/>
      </w:divBdr>
      <w:divsChild>
        <w:div w:id="1056397277">
          <w:marLeft w:val="0"/>
          <w:marRight w:val="0"/>
          <w:marTop w:val="120"/>
          <w:marBottom w:val="0"/>
          <w:divBdr>
            <w:top w:val="none" w:sz="0" w:space="0" w:color="auto"/>
            <w:left w:val="none" w:sz="0" w:space="0" w:color="auto"/>
            <w:bottom w:val="none" w:sz="0" w:space="0" w:color="auto"/>
            <w:right w:val="none" w:sz="0" w:space="0" w:color="auto"/>
          </w:divBdr>
        </w:div>
        <w:div w:id="1308432422">
          <w:marLeft w:val="0"/>
          <w:marRight w:val="0"/>
          <w:marTop w:val="0"/>
          <w:marBottom w:val="0"/>
          <w:divBdr>
            <w:top w:val="none" w:sz="0" w:space="0" w:color="auto"/>
            <w:left w:val="none" w:sz="0" w:space="0" w:color="auto"/>
            <w:bottom w:val="none" w:sz="0" w:space="0" w:color="auto"/>
            <w:right w:val="none" w:sz="0" w:space="0" w:color="auto"/>
          </w:divBdr>
        </w:div>
      </w:divsChild>
    </w:div>
    <w:div w:id="38433047">
      <w:bodyDiv w:val="1"/>
      <w:marLeft w:val="0"/>
      <w:marRight w:val="0"/>
      <w:marTop w:val="0"/>
      <w:marBottom w:val="0"/>
      <w:divBdr>
        <w:top w:val="none" w:sz="0" w:space="0" w:color="auto"/>
        <w:left w:val="none" w:sz="0" w:space="0" w:color="auto"/>
        <w:bottom w:val="none" w:sz="0" w:space="0" w:color="auto"/>
        <w:right w:val="none" w:sz="0" w:space="0" w:color="auto"/>
      </w:divBdr>
      <w:divsChild>
        <w:div w:id="1032220906">
          <w:marLeft w:val="0"/>
          <w:marRight w:val="0"/>
          <w:marTop w:val="120"/>
          <w:marBottom w:val="0"/>
          <w:divBdr>
            <w:top w:val="none" w:sz="0" w:space="0" w:color="auto"/>
            <w:left w:val="none" w:sz="0" w:space="0" w:color="auto"/>
            <w:bottom w:val="none" w:sz="0" w:space="0" w:color="auto"/>
            <w:right w:val="none" w:sz="0" w:space="0" w:color="auto"/>
          </w:divBdr>
        </w:div>
        <w:div w:id="2109347551">
          <w:marLeft w:val="0"/>
          <w:marRight w:val="0"/>
          <w:marTop w:val="0"/>
          <w:marBottom w:val="0"/>
          <w:divBdr>
            <w:top w:val="none" w:sz="0" w:space="0" w:color="auto"/>
            <w:left w:val="none" w:sz="0" w:space="0" w:color="auto"/>
            <w:bottom w:val="none" w:sz="0" w:space="0" w:color="auto"/>
            <w:right w:val="none" w:sz="0" w:space="0" w:color="auto"/>
          </w:divBdr>
        </w:div>
      </w:divsChild>
    </w:div>
    <w:div w:id="39327936">
      <w:bodyDiv w:val="1"/>
      <w:marLeft w:val="0"/>
      <w:marRight w:val="0"/>
      <w:marTop w:val="0"/>
      <w:marBottom w:val="0"/>
      <w:divBdr>
        <w:top w:val="none" w:sz="0" w:space="0" w:color="auto"/>
        <w:left w:val="none" w:sz="0" w:space="0" w:color="auto"/>
        <w:bottom w:val="none" w:sz="0" w:space="0" w:color="auto"/>
        <w:right w:val="none" w:sz="0" w:space="0" w:color="auto"/>
      </w:divBdr>
      <w:divsChild>
        <w:div w:id="122038083">
          <w:marLeft w:val="0"/>
          <w:marRight w:val="0"/>
          <w:marTop w:val="120"/>
          <w:marBottom w:val="0"/>
          <w:divBdr>
            <w:top w:val="none" w:sz="0" w:space="0" w:color="auto"/>
            <w:left w:val="none" w:sz="0" w:space="0" w:color="auto"/>
            <w:bottom w:val="none" w:sz="0" w:space="0" w:color="auto"/>
            <w:right w:val="none" w:sz="0" w:space="0" w:color="auto"/>
          </w:divBdr>
        </w:div>
        <w:div w:id="1196769271">
          <w:marLeft w:val="0"/>
          <w:marRight w:val="0"/>
          <w:marTop w:val="0"/>
          <w:marBottom w:val="0"/>
          <w:divBdr>
            <w:top w:val="none" w:sz="0" w:space="0" w:color="auto"/>
            <w:left w:val="none" w:sz="0" w:space="0" w:color="auto"/>
            <w:bottom w:val="none" w:sz="0" w:space="0" w:color="auto"/>
            <w:right w:val="none" w:sz="0" w:space="0" w:color="auto"/>
          </w:divBdr>
        </w:div>
      </w:divsChild>
    </w:div>
    <w:div w:id="39550334">
      <w:bodyDiv w:val="1"/>
      <w:marLeft w:val="0"/>
      <w:marRight w:val="0"/>
      <w:marTop w:val="0"/>
      <w:marBottom w:val="0"/>
      <w:divBdr>
        <w:top w:val="none" w:sz="0" w:space="0" w:color="auto"/>
        <w:left w:val="none" w:sz="0" w:space="0" w:color="auto"/>
        <w:bottom w:val="none" w:sz="0" w:space="0" w:color="auto"/>
        <w:right w:val="none" w:sz="0" w:space="0" w:color="auto"/>
      </w:divBdr>
      <w:divsChild>
        <w:div w:id="677317880">
          <w:marLeft w:val="0"/>
          <w:marRight w:val="0"/>
          <w:marTop w:val="120"/>
          <w:marBottom w:val="0"/>
          <w:divBdr>
            <w:top w:val="none" w:sz="0" w:space="0" w:color="auto"/>
            <w:left w:val="none" w:sz="0" w:space="0" w:color="auto"/>
            <w:bottom w:val="none" w:sz="0" w:space="0" w:color="auto"/>
            <w:right w:val="none" w:sz="0" w:space="0" w:color="auto"/>
          </w:divBdr>
        </w:div>
        <w:div w:id="448546077">
          <w:marLeft w:val="0"/>
          <w:marRight w:val="0"/>
          <w:marTop w:val="0"/>
          <w:marBottom w:val="0"/>
          <w:divBdr>
            <w:top w:val="none" w:sz="0" w:space="0" w:color="auto"/>
            <w:left w:val="none" w:sz="0" w:space="0" w:color="auto"/>
            <w:bottom w:val="none" w:sz="0" w:space="0" w:color="auto"/>
            <w:right w:val="none" w:sz="0" w:space="0" w:color="auto"/>
          </w:divBdr>
        </w:div>
      </w:divsChild>
    </w:div>
    <w:div w:id="42407284">
      <w:bodyDiv w:val="1"/>
      <w:marLeft w:val="0"/>
      <w:marRight w:val="0"/>
      <w:marTop w:val="0"/>
      <w:marBottom w:val="0"/>
      <w:divBdr>
        <w:top w:val="none" w:sz="0" w:space="0" w:color="auto"/>
        <w:left w:val="none" w:sz="0" w:space="0" w:color="auto"/>
        <w:bottom w:val="none" w:sz="0" w:space="0" w:color="auto"/>
        <w:right w:val="none" w:sz="0" w:space="0" w:color="auto"/>
      </w:divBdr>
      <w:divsChild>
        <w:div w:id="1136919537">
          <w:marLeft w:val="0"/>
          <w:marRight w:val="0"/>
          <w:marTop w:val="120"/>
          <w:marBottom w:val="0"/>
          <w:divBdr>
            <w:top w:val="none" w:sz="0" w:space="0" w:color="auto"/>
            <w:left w:val="none" w:sz="0" w:space="0" w:color="auto"/>
            <w:bottom w:val="none" w:sz="0" w:space="0" w:color="auto"/>
            <w:right w:val="none" w:sz="0" w:space="0" w:color="auto"/>
          </w:divBdr>
        </w:div>
        <w:div w:id="1313679199">
          <w:marLeft w:val="0"/>
          <w:marRight w:val="0"/>
          <w:marTop w:val="0"/>
          <w:marBottom w:val="0"/>
          <w:divBdr>
            <w:top w:val="none" w:sz="0" w:space="0" w:color="auto"/>
            <w:left w:val="none" w:sz="0" w:space="0" w:color="auto"/>
            <w:bottom w:val="none" w:sz="0" w:space="0" w:color="auto"/>
            <w:right w:val="none" w:sz="0" w:space="0" w:color="auto"/>
          </w:divBdr>
        </w:div>
      </w:divsChild>
    </w:div>
    <w:div w:id="45183584">
      <w:bodyDiv w:val="1"/>
      <w:marLeft w:val="0"/>
      <w:marRight w:val="0"/>
      <w:marTop w:val="0"/>
      <w:marBottom w:val="0"/>
      <w:divBdr>
        <w:top w:val="none" w:sz="0" w:space="0" w:color="auto"/>
        <w:left w:val="none" w:sz="0" w:space="0" w:color="auto"/>
        <w:bottom w:val="none" w:sz="0" w:space="0" w:color="auto"/>
        <w:right w:val="none" w:sz="0" w:space="0" w:color="auto"/>
      </w:divBdr>
      <w:divsChild>
        <w:div w:id="374354380">
          <w:marLeft w:val="0"/>
          <w:marRight w:val="0"/>
          <w:marTop w:val="0"/>
          <w:marBottom w:val="0"/>
          <w:divBdr>
            <w:top w:val="none" w:sz="0" w:space="0" w:color="auto"/>
            <w:left w:val="none" w:sz="0" w:space="0" w:color="auto"/>
            <w:bottom w:val="none" w:sz="0" w:space="0" w:color="auto"/>
            <w:right w:val="none" w:sz="0" w:space="0" w:color="auto"/>
          </w:divBdr>
        </w:div>
      </w:divsChild>
    </w:div>
    <w:div w:id="60714875">
      <w:bodyDiv w:val="1"/>
      <w:marLeft w:val="0"/>
      <w:marRight w:val="0"/>
      <w:marTop w:val="0"/>
      <w:marBottom w:val="0"/>
      <w:divBdr>
        <w:top w:val="none" w:sz="0" w:space="0" w:color="auto"/>
        <w:left w:val="none" w:sz="0" w:space="0" w:color="auto"/>
        <w:bottom w:val="none" w:sz="0" w:space="0" w:color="auto"/>
        <w:right w:val="none" w:sz="0" w:space="0" w:color="auto"/>
      </w:divBdr>
      <w:divsChild>
        <w:div w:id="747768808">
          <w:marLeft w:val="0"/>
          <w:marRight w:val="0"/>
          <w:marTop w:val="120"/>
          <w:marBottom w:val="0"/>
          <w:divBdr>
            <w:top w:val="none" w:sz="0" w:space="0" w:color="auto"/>
            <w:left w:val="none" w:sz="0" w:space="0" w:color="auto"/>
            <w:bottom w:val="none" w:sz="0" w:space="0" w:color="auto"/>
            <w:right w:val="none" w:sz="0" w:space="0" w:color="auto"/>
          </w:divBdr>
        </w:div>
        <w:div w:id="1492942110">
          <w:marLeft w:val="0"/>
          <w:marRight w:val="0"/>
          <w:marTop w:val="0"/>
          <w:marBottom w:val="0"/>
          <w:divBdr>
            <w:top w:val="none" w:sz="0" w:space="0" w:color="auto"/>
            <w:left w:val="none" w:sz="0" w:space="0" w:color="auto"/>
            <w:bottom w:val="none" w:sz="0" w:space="0" w:color="auto"/>
            <w:right w:val="none" w:sz="0" w:space="0" w:color="auto"/>
          </w:divBdr>
        </w:div>
      </w:divsChild>
    </w:div>
    <w:div w:id="62799788">
      <w:bodyDiv w:val="1"/>
      <w:marLeft w:val="0"/>
      <w:marRight w:val="0"/>
      <w:marTop w:val="0"/>
      <w:marBottom w:val="0"/>
      <w:divBdr>
        <w:top w:val="none" w:sz="0" w:space="0" w:color="auto"/>
        <w:left w:val="none" w:sz="0" w:space="0" w:color="auto"/>
        <w:bottom w:val="none" w:sz="0" w:space="0" w:color="auto"/>
        <w:right w:val="none" w:sz="0" w:space="0" w:color="auto"/>
      </w:divBdr>
      <w:divsChild>
        <w:div w:id="1959797212">
          <w:marLeft w:val="0"/>
          <w:marRight w:val="0"/>
          <w:marTop w:val="0"/>
          <w:marBottom w:val="0"/>
          <w:divBdr>
            <w:top w:val="none" w:sz="0" w:space="0" w:color="auto"/>
            <w:left w:val="none" w:sz="0" w:space="0" w:color="auto"/>
            <w:bottom w:val="none" w:sz="0" w:space="0" w:color="auto"/>
            <w:right w:val="none" w:sz="0" w:space="0" w:color="auto"/>
          </w:divBdr>
        </w:div>
      </w:divsChild>
    </w:div>
    <w:div w:id="64113374">
      <w:bodyDiv w:val="1"/>
      <w:marLeft w:val="0"/>
      <w:marRight w:val="0"/>
      <w:marTop w:val="0"/>
      <w:marBottom w:val="0"/>
      <w:divBdr>
        <w:top w:val="none" w:sz="0" w:space="0" w:color="auto"/>
        <w:left w:val="none" w:sz="0" w:space="0" w:color="auto"/>
        <w:bottom w:val="none" w:sz="0" w:space="0" w:color="auto"/>
        <w:right w:val="none" w:sz="0" w:space="0" w:color="auto"/>
      </w:divBdr>
      <w:divsChild>
        <w:div w:id="1187601841">
          <w:marLeft w:val="0"/>
          <w:marRight w:val="0"/>
          <w:marTop w:val="120"/>
          <w:marBottom w:val="0"/>
          <w:divBdr>
            <w:top w:val="none" w:sz="0" w:space="0" w:color="auto"/>
            <w:left w:val="none" w:sz="0" w:space="0" w:color="auto"/>
            <w:bottom w:val="none" w:sz="0" w:space="0" w:color="auto"/>
            <w:right w:val="none" w:sz="0" w:space="0" w:color="auto"/>
          </w:divBdr>
        </w:div>
        <w:div w:id="1856847453">
          <w:marLeft w:val="0"/>
          <w:marRight w:val="0"/>
          <w:marTop w:val="0"/>
          <w:marBottom w:val="0"/>
          <w:divBdr>
            <w:top w:val="none" w:sz="0" w:space="0" w:color="auto"/>
            <w:left w:val="none" w:sz="0" w:space="0" w:color="auto"/>
            <w:bottom w:val="none" w:sz="0" w:space="0" w:color="auto"/>
            <w:right w:val="none" w:sz="0" w:space="0" w:color="auto"/>
          </w:divBdr>
        </w:div>
      </w:divsChild>
    </w:div>
    <w:div w:id="64450576">
      <w:bodyDiv w:val="1"/>
      <w:marLeft w:val="0"/>
      <w:marRight w:val="0"/>
      <w:marTop w:val="0"/>
      <w:marBottom w:val="0"/>
      <w:divBdr>
        <w:top w:val="none" w:sz="0" w:space="0" w:color="auto"/>
        <w:left w:val="none" w:sz="0" w:space="0" w:color="auto"/>
        <w:bottom w:val="none" w:sz="0" w:space="0" w:color="auto"/>
        <w:right w:val="none" w:sz="0" w:space="0" w:color="auto"/>
      </w:divBdr>
      <w:divsChild>
        <w:div w:id="1229801570">
          <w:marLeft w:val="0"/>
          <w:marRight w:val="0"/>
          <w:marTop w:val="0"/>
          <w:marBottom w:val="0"/>
          <w:divBdr>
            <w:top w:val="none" w:sz="0" w:space="0" w:color="auto"/>
            <w:left w:val="none" w:sz="0" w:space="0" w:color="auto"/>
            <w:bottom w:val="none" w:sz="0" w:space="0" w:color="auto"/>
            <w:right w:val="none" w:sz="0" w:space="0" w:color="auto"/>
          </w:divBdr>
        </w:div>
      </w:divsChild>
    </w:div>
    <w:div w:id="68230272">
      <w:bodyDiv w:val="1"/>
      <w:marLeft w:val="0"/>
      <w:marRight w:val="0"/>
      <w:marTop w:val="0"/>
      <w:marBottom w:val="0"/>
      <w:divBdr>
        <w:top w:val="none" w:sz="0" w:space="0" w:color="auto"/>
        <w:left w:val="none" w:sz="0" w:space="0" w:color="auto"/>
        <w:bottom w:val="none" w:sz="0" w:space="0" w:color="auto"/>
        <w:right w:val="none" w:sz="0" w:space="0" w:color="auto"/>
      </w:divBdr>
      <w:divsChild>
        <w:div w:id="1072193296">
          <w:marLeft w:val="0"/>
          <w:marRight w:val="0"/>
          <w:marTop w:val="0"/>
          <w:marBottom w:val="0"/>
          <w:divBdr>
            <w:top w:val="none" w:sz="0" w:space="0" w:color="auto"/>
            <w:left w:val="none" w:sz="0" w:space="0" w:color="auto"/>
            <w:bottom w:val="none" w:sz="0" w:space="0" w:color="auto"/>
            <w:right w:val="none" w:sz="0" w:space="0" w:color="auto"/>
          </w:divBdr>
        </w:div>
      </w:divsChild>
    </w:div>
    <w:div w:id="69546599">
      <w:bodyDiv w:val="1"/>
      <w:marLeft w:val="0"/>
      <w:marRight w:val="0"/>
      <w:marTop w:val="0"/>
      <w:marBottom w:val="0"/>
      <w:divBdr>
        <w:top w:val="none" w:sz="0" w:space="0" w:color="auto"/>
        <w:left w:val="none" w:sz="0" w:space="0" w:color="auto"/>
        <w:bottom w:val="none" w:sz="0" w:space="0" w:color="auto"/>
        <w:right w:val="none" w:sz="0" w:space="0" w:color="auto"/>
      </w:divBdr>
      <w:divsChild>
        <w:div w:id="1190871323">
          <w:marLeft w:val="0"/>
          <w:marRight w:val="0"/>
          <w:marTop w:val="0"/>
          <w:marBottom w:val="0"/>
          <w:divBdr>
            <w:top w:val="none" w:sz="0" w:space="0" w:color="auto"/>
            <w:left w:val="none" w:sz="0" w:space="0" w:color="auto"/>
            <w:bottom w:val="none" w:sz="0" w:space="0" w:color="auto"/>
            <w:right w:val="none" w:sz="0" w:space="0" w:color="auto"/>
          </w:divBdr>
          <w:divsChild>
            <w:div w:id="1167866488">
              <w:marLeft w:val="0"/>
              <w:marRight w:val="0"/>
              <w:marTop w:val="120"/>
              <w:marBottom w:val="0"/>
              <w:divBdr>
                <w:top w:val="none" w:sz="0" w:space="0" w:color="auto"/>
                <w:left w:val="none" w:sz="0" w:space="0" w:color="auto"/>
                <w:bottom w:val="none" w:sz="0" w:space="0" w:color="auto"/>
                <w:right w:val="none" w:sz="0" w:space="0" w:color="auto"/>
              </w:divBdr>
            </w:div>
            <w:div w:id="47048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267">
      <w:bodyDiv w:val="1"/>
      <w:marLeft w:val="0"/>
      <w:marRight w:val="0"/>
      <w:marTop w:val="0"/>
      <w:marBottom w:val="0"/>
      <w:divBdr>
        <w:top w:val="none" w:sz="0" w:space="0" w:color="auto"/>
        <w:left w:val="none" w:sz="0" w:space="0" w:color="auto"/>
        <w:bottom w:val="none" w:sz="0" w:space="0" w:color="auto"/>
        <w:right w:val="none" w:sz="0" w:space="0" w:color="auto"/>
      </w:divBdr>
      <w:divsChild>
        <w:div w:id="1160577841">
          <w:marLeft w:val="0"/>
          <w:marRight w:val="0"/>
          <w:marTop w:val="0"/>
          <w:marBottom w:val="0"/>
          <w:divBdr>
            <w:top w:val="none" w:sz="0" w:space="0" w:color="auto"/>
            <w:left w:val="none" w:sz="0" w:space="0" w:color="auto"/>
            <w:bottom w:val="none" w:sz="0" w:space="0" w:color="auto"/>
            <w:right w:val="none" w:sz="0" w:space="0" w:color="auto"/>
          </w:divBdr>
        </w:div>
      </w:divsChild>
    </w:div>
    <w:div w:id="72706910">
      <w:bodyDiv w:val="1"/>
      <w:marLeft w:val="0"/>
      <w:marRight w:val="0"/>
      <w:marTop w:val="0"/>
      <w:marBottom w:val="0"/>
      <w:divBdr>
        <w:top w:val="none" w:sz="0" w:space="0" w:color="auto"/>
        <w:left w:val="none" w:sz="0" w:space="0" w:color="auto"/>
        <w:bottom w:val="none" w:sz="0" w:space="0" w:color="auto"/>
        <w:right w:val="none" w:sz="0" w:space="0" w:color="auto"/>
      </w:divBdr>
      <w:divsChild>
        <w:div w:id="2107530627">
          <w:marLeft w:val="0"/>
          <w:marRight w:val="0"/>
          <w:marTop w:val="0"/>
          <w:marBottom w:val="0"/>
          <w:divBdr>
            <w:top w:val="none" w:sz="0" w:space="0" w:color="auto"/>
            <w:left w:val="none" w:sz="0" w:space="0" w:color="auto"/>
            <w:bottom w:val="none" w:sz="0" w:space="0" w:color="auto"/>
            <w:right w:val="none" w:sz="0" w:space="0" w:color="auto"/>
          </w:divBdr>
        </w:div>
      </w:divsChild>
    </w:div>
    <w:div w:id="93670664">
      <w:bodyDiv w:val="1"/>
      <w:marLeft w:val="0"/>
      <w:marRight w:val="0"/>
      <w:marTop w:val="0"/>
      <w:marBottom w:val="0"/>
      <w:divBdr>
        <w:top w:val="none" w:sz="0" w:space="0" w:color="auto"/>
        <w:left w:val="none" w:sz="0" w:space="0" w:color="auto"/>
        <w:bottom w:val="none" w:sz="0" w:space="0" w:color="auto"/>
        <w:right w:val="none" w:sz="0" w:space="0" w:color="auto"/>
      </w:divBdr>
      <w:divsChild>
        <w:div w:id="1166088841">
          <w:marLeft w:val="0"/>
          <w:marRight w:val="0"/>
          <w:marTop w:val="0"/>
          <w:marBottom w:val="0"/>
          <w:divBdr>
            <w:top w:val="none" w:sz="0" w:space="0" w:color="auto"/>
            <w:left w:val="none" w:sz="0" w:space="0" w:color="auto"/>
            <w:bottom w:val="none" w:sz="0" w:space="0" w:color="auto"/>
            <w:right w:val="none" w:sz="0" w:space="0" w:color="auto"/>
          </w:divBdr>
        </w:div>
      </w:divsChild>
    </w:div>
    <w:div w:id="101731315">
      <w:bodyDiv w:val="1"/>
      <w:marLeft w:val="0"/>
      <w:marRight w:val="0"/>
      <w:marTop w:val="0"/>
      <w:marBottom w:val="0"/>
      <w:divBdr>
        <w:top w:val="none" w:sz="0" w:space="0" w:color="auto"/>
        <w:left w:val="none" w:sz="0" w:space="0" w:color="auto"/>
        <w:bottom w:val="none" w:sz="0" w:space="0" w:color="auto"/>
        <w:right w:val="none" w:sz="0" w:space="0" w:color="auto"/>
      </w:divBdr>
      <w:divsChild>
        <w:div w:id="212353349">
          <w:marLeft w:val="0"/>
          <w:marRight w:val="0"/>
          <w:marTop w:val="0"/>
          <w:marBottom w:val="0"/>
          <w:divBdr>
            <w:top w:val="none" w:sz="0" w:space="0" w:color="auto"/>
            <w:left w:val="none" w:sz="0" w:space="0" w:color="auto"/>
            <w:bottom w:val="none" w:sz="0" w:space="0" w:color="auto"/>
            <w:right w:val="none" w:sz="0" w:space="0" w:color="auto"/>
          </w:divBdr>
        </w:div>
      </w:divsChild>
    </w:div>
    <w:div w:id="103505210">
      <w:bodyDiv w:val="1"/>
      <w:marLeft w:val="0"/>
      <w:marRight w:val="0"/>
      <w:marTop w:val="0"/>
      <w:marBottom w:val="0"/>
      <w:divBdr>
        <w:top w:val="none" w:sz="0" w:space="0" w:color="auto"/>
        <w:left w:val="none" w:sz="0" w:space="0" w:color="auto"/>
        <w:bottom w:val="none" w:sz="0" w:space="0" w:color="auto"/>
        <w:right w:val="none" w:sz="0" w:space="0" w:color="auto"/>
      </w:divBdr>
      <w:divsChild>
        <w:div w:id="1904556707">
          <w:marLeft w:val="0"/>
          <w:marRight w:val="0"/>
          <w:marTop w:val="0"/>
          <w:marBottom w:val="0"/>
          <w:divBdr>
            <w:top w:val="none" w:sz="0" w:space="0" w:color="auto"/>
            <w:left w:val="none" w:sz="0" w:space="0" w:color="auto"/>
            <w:bottom w:val="none" w:sz="0" w:space="0" w:color="auto"/>
            <w:right w:val="none" w:sz="0" w:space="0" w:color="auto"/>
          </w:divBdr>
        </w:div>
      </w:divsChild>
    </w:div>
    <w:div w:id="107899281">
      <w:bodyDiv w:val="1"/>
      <w:marLeft w:val="0"/>
      <w:marRight w:val="0"/>
      <w:marTop w:val="0"/>
      <w:marBottom w:val="0"/>
      <w:divBdr>
        <w:top w:val="none" w:sz="0" w:space="0" w:color="auto"/>
        <w:left w:val="none" w:sz="0" w:space="0" w:color="auto"/>
        <w:bottom w:val="none" w:sz="0" w:space="0" w:color="auto"/>
        <w:right w:val="none" w:sz="0" w:space="0" w:color="auto"/>
      </w:divBdr>
      <w:divsChild>
        <w:div w:id="1516380583">
          <w:marLeft w:val="0"/>
          <w:marRight w:val="0"/>
          <w:marTop w:val="0"/>
          <w:marBottom w:val="0"/>
          <w:divBdr>
            <w:top w:val="none" w:sz="0" w:space="0" w:color="auto"/>
            <w:left w:val="none" w:sz="0" w:space="0" w:color="auto"/>
            <w:bottom w:val="none" w:sz="0" w:space="0" w:color="auto"/>
            <w:right w:val="none" w:sz="0" w:space="0" w:color="auto"/>
          </w:divBdr>
          <w:divsChild>
            <w:div w:id="35612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433">
      <w:bodyDiv w:val="1"/>
      <w:marLeft w:val="0"/>
      <w:marRight w:val="0"/>
      <w:marTop w:val="0"/>
      <w:marBottom w:val="0"/>
      <w:divBdr>
        <w:top w:val="none" w:sz="0" w:space="0" w:color="auto"/>
        <w:left w:val="none" w:sz="0" w:space="0" w:color="auto"/>
        <w:bottom w:val="none" w:sz="0" w:space="0" w:color="auto"/>
        <w:right w:val="none" w:sz="0" w:space="0" w:color="auto"/>
      </w:divBdr>
      <w:divsChild>
        <w:div w:id="1408725017">
          <w:marLeft w:val="0"/>
          <w:marRight w:val="0"/>
          <w:marTop w:val="0"/>
          <w:marBottom w:val="0"/>
          <w:divBdr>
            <w:top w:val="none" w:sz="0" w:space="0" w:color="auto"/>
            <w:left w:val="none" w:sz="0" w:space="0" w:color="auto"/>
            <w:bottom w:val="none" w:sz="0" w:space="0" w:color="auto"/>
            <w:right w:val="none" w:sz="0" w:space="0" w:color="auto"/>
          </w:divBdr>
        </w:div>
      </w:divsChild>
    </w:div>
    <w:div w:id="118188268">
      <w:bodyDiv w:val="1"/>
      <w:marLeft w:val="0"/>
      <w:marRight w:val="0"/>
      <w:marTop w:val="0"/>
      <w:marBottom w:val="0"/>
      <w:divBdr>
        <w:top w:val="none" w:sz="0" w:space="0" w:color="auto"/>
        <w:left w:val="none" w:sz="0" w:space="0" w:color="auto"/>
        <w:bottom w:val="none" w:sz="0" w:space="0" w:color="auto"/>
        <w:right w:val="none" w:sz="0" w:space="0" w:color="auto"/>
      </w:divBdr>
      <w:divsChild>
        <w:div w:id="1984113161">
          <w:marLeft w:val="0"/>
          <w:marRight w:val="0"/>
          <w:marTop w:val="120"/>
          <w:marBottom w:val="0"/>
          <w:divBdr>
            <w:top w:val="none" w:sz="0" w:space="0" w:color="auto"/>
            <w:left w:val="none" w:sz="0" w:space="0" w:color="auto"/>
            <w:bottom w:val="none" w:sz="0" w:space="0" w:color="auto"/>
            <w:right w:val="none" w:sz="0" w:space="0" w:color="auto"/>
          </w:divBdr>
        </w:div>
        <w:div w:id="800998485">
          <w:marLeft w:val="0"/>
          <w:marRight w:val="0"/>
          <w:marTop w:val="0"/>
          <w:marBottom w:val="0"/>
          <w:divBdr>
            <w:top w:val="none" w:sz="0" w:space="0" w:color="auto"/>
            <w:left w:val="none" w:sz="0" w:space="0" w:color="auto"/>
            <w:bottom w:val="none" w:sz="0" w:space="0" w:color="auto"/>
            <w:right w:val="none" w:sz="0" w:space="0" w:color="auto"/>
          </w:divBdr>
        </w:div>
      </w:divsChild>
    </w:div>
    <w:div w:id="119619340">
      <w:bodyDiv w:val="1"/>
      <w:marLeft w:val="0"/>
      <w:marRight w:val="0"/>
      <w:marTop w:val="0"/>
      <w:marBottom w:val="0"/>
      <w:divBdr>
        <w:top w:val="none" w:sz="0" w:space="0" w:color="auto"/>
        <w:left w:val="none" w:sz="0" w:space="0" w:color="auto"/>
        <w:bottom w:val="none" w:sz="0" w:space="0" w:color="auto"/>
        <w:right w:val="none" w:sz="0" w:space="0" w:color="auto"/>
      </w:divBdr>
      <w:divsChild>
        <w:div w:id="1248535968">
          <w:marLeft w:val="0"/>
          <w:marRight w:val="0"/>
          <w:marTop w:val="0"/>
          <w:marBottom w:val="0"/>
          <w:divBdr>
            <w:top w:val="none" w:sz="0" w:space="0" w:color="auto"/>
            <w:left w:val="none" w:sz="0" w:space="0" w:color="auto"/>
            <w:bottom w:val="none" w:sz="0" w:space="0" w:color="auto"/>
            <w:right w:val="none" w:sz="0" w:space="0" w:color="auto"/>
          </w:divBdr>
          <w:divsChild>
            <w:div w:id="23836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4809">
      <w:bodyDiv w:val="1"/>
      <w:marLeft w:val="0"/>
      <w:marRight w:val="0"/>
      <w:marTop w:val="0"/>
      <w:marBottom w:val="0"/>
      <w:divBdr>
        <w:top w:val="none" w:sz="0" w:space="0" w:color="auto"/>
        <w:left w:val="none" w:sz="0" w:space="0" w:color="auto"/>
        <w:bottom w:val="none" w:sz="0" w:space="0" w:color="auto"/>
        <w:right w:val="none" w:sz="0" w:space="0" w:color="auto"/>
      </w:divBdr>
      <w:divsChild>
        <w:div w:id="39206723">
          <w:marLeft w:val="0"/>
          <w:marRight w:val="0"/>
          <w:marTop w:val="0"/>
          <w:marBottom w:val="0"/>
          <w:divBdr>
            <w:top w:val="none" w:sz="0" w:space="0" w:color="auto"/>
            <w:left w:val="none" w:sz="0" w:space="0" w:color="auto"/>
            <w:bottom w:val="none" w:sz="0" w:space="0" w:color="auto"/>
            <w:right w:val="none" w:sz="0" w:space="0" w:color="auto"/>
          </w:divBdr>
          <w:divsChild>
            <w:div w:id="1651789108">
              <w:marLeft w:val="0"/>
              <w:marRight w:val="0"/>
              <w:marTop w:val="0"/>
              <w:marBottom w:val="0"/>
              <w:divBdr>
                <w:top w:val="none" w:sz="0" w:space="0" w:color="auto"/>
                <w:left w:val="none" w:sz="0" w:space="0" w:color="auto"/>
                <w:bottom w:val="none" w:sz="0" w:space="0" w:color="auto"/>
                <w:right w:val="none" w:sz="0" w:space="0" w:color="auto"/>
              </w:divBdr>
              <w:divsChild>
                <w:div w:id="2075010854">
                  <w:marLeft w:val="0"/>
                  <w:marRight w:val="0"/>
                  <w:marTop w:val="120"/>
                  <w:marBottom w:val="0"/>
                  <w:divBdr>
                    <w:top w:val="none" w:sz="0" w:space="0" w:color="auto"/>
                    <w:left w:val="none" w:sz="0" w:space="0" w:color="auto"/>
                    <w:bottom w:val="none" w:sz="0" w:space="0" w:color="auto"/>
                    <w:right w:val="none" w:sz="0" w:space="0" w:color="auto"/>
                  </w:divBdr>
                </w:div>
                <w:div w:id="1802262560">
                  <w:marLeft w:val="0"/>
                  <w:marRight w:val="0"/>
                  <w:marTop w:val="0"/>
                  <w:marBottom w:val="0"/>
                  <w:divBdr>
                    <w:top w:val="none" w:sz="0" w:space="0" w:color="auto"/>
                    <w:left w:val="none" w:sz="0" w:space="0" w:color="auto"/>
                    <w:bottom w:val="none" w:sz="0" w:space="0" w:color="auto"/>
                    <w:right w:val="none" w:sz="0" w:space="0" w:color="auto"/>
                  </w:divBdr>
                </w:div>
              </w:divsChild>
            </w:div>
            <w:div w:id="1612206134">
              <w:marLeft w:val="0"/>
              <w:marRight w:val="0"/>
              <w:marTop w:val="0"/>
              <w:marBottom w:val="0"/>
              <w:divBdr>
                <w:top w:val="none" w:sz="0" w:space="0" w:color="auto"/>
                <w:left w:val="none" w:sz="0" w:space="0" w:color="auto"/>
                <w:bottom w:val="none" w:sz="0" w:space="0" w:color="auto"/>
                <w:right w:val="none" w:sz="0" w:space="0" w:color="auto"/>
              </w:divBdr>
              <w:divsChild>
                <w:div w:id="1364595236">
                  <w:marLeft w:val="0"/>
                  <w:marRight w:val="0"/>
                  <w:marTop w:val="120"/>
                  <w:marBottom w:val="0"/>
                  <w:divBdr>
                    <w:top w:val="none" w:sz="0" w:space="0" w:color="auto"/>
                    <w:left w:val="none" w:sz="0" w:space="0" w:color="auto"/>
                    <w:bottom w:val="none" w:sz="0" w:space="0" w:color="auto"/>
                    <w:right w:val="none" w:sz="0" w:space="0" w:color="auto"/>
                  </w:divBdr>
                </w:div>
                <w:div w:id="13389588">
                  <w:marLeft w:val="0"/>
                  <w:marRight w:val="0"/>
                  <w:marTop w:val="0"/>
                  <w:marBottom w:val="0"/>
                  <w:divBdr>
                    <w:top w:val="none" w:sz="0" w:space="0" w:color="auto"/>
                    <w:left w:val="none" w:sz="0" w:space="0" w:color="auto"/>
                    <w:bottom w:val="none" w:sz="0" w:space="0" w:color="auto"/>
                    <w:right w:val="none" w:sz="0" w:space="0" w:color="auto"/>
                  </w:divBdr>
                </w:div>
              </w:divsChild>
            </w:div>
            <w:div w:id="1131630971">
              <w:marLeft w:val="0"/>
              <w:marRight w:val="0"/>
              <w:marTop w:val="0"/>
              <w:marBottom w:val="0"/>
              <w:divBdr>
                <w:top w:val="none" w:sz="0" w:space="0" w:color="auto"/>
                <w:left w:val="none" w:sz="0" w:space="0" w:color="auto"/>
                <w:bottom w:val="none" w:sz="0" w:space="0" w:color="auto"/>
                <w:right w:val="none" w:sz="0" w:space="0" w:color="auto"/>
              </w:divBdr>
              <w:divsChild>
                <w:div w:id="1008364656">
                  <w:marLeft w:val="0"/>
                  <w:marRight w:val="0"/>
                  <w:marTop w:val="120"/>
                  <w:marBottom w:val="0"/>
                  <w:divBdr>
                    <w:top w:val="none" w:sz="0" w:space="0" w:color="auto"/>
                    <w:left w:val="none" w:sz="0" w:space="0" w:color="auto"/>
                    <w:bottom w:val="none" w:sz="0" w:space="0" w:color="auto"/>
                    <w:right w:val="none" w:sz="0" w:space="0" w:color="auto"/>
                  </w:divBdr>
                </w:div>
                <w:div w:id="82131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4191">
      <w:bodyDiv w:val="1"/>
      <w:marLeft w:val="0"/>
      <w:marRight w:val="0"/>
      <w:marTop w:val="0"/>
      <w:marBottom w:val="0"/>
      <w:divBdr>
        <w:top w:val="none" w:sz="0" w:space="0" w:color="auto"/>
        <w:left w:val="none" w:sz="0" w:space="0" w:color="auto"/>
        <w:bottom w:val="none" w:sz="0" w:space="0" w:color="auto"/>
        <w:right w:val="none" w:sz="0" w:space="0" w:color="auto"/>
      </w:divBdr>
      <w:divsChild>
        <w:div w:id="166211694">
          <w:marLeft w:val="0"/>
          <w:marRight w:val="0"/>
          <w:marTop w:val="0"/>
          <w:marBottom w:val="0"/>
          <w:divBdr>
            <w:top w:val="none" w:sz="0" w:space="0" w:color="auto"/>
            <w:left w:val="none" w:sz="0" w:space="0" w:color="auto"/>
            <w:bottom w:val="none" w:sz="0" w:space="0" w:color="auto"/>
            <w:right w:val="none" w:sz="0" w:space="0" w:color="auto"/>
          </w:divBdr>
          <w:divsChild>
            <w:div w:id="1802992924">
              <w:marLeft w:val="0"/>
              <w:marRight w:val="0"/>
              <w:marTop w:val="0"/>
              <w:marBottom w:val="0"/>
              <w:divBdr>
                <w:top w:val="none" w:sz="0" w:space="0" w:color="auto"/>
                <w:left w:val="none" w:sz="0" w:space="0" w:color="auto"/>
                <w:bottom w:val="none" w:sz="0" w:space="0" w:color="auto"/>
                <w:right w:val="none" w:sz="0" w:space="0" w:color="auto"/>
              </w:divBdr>
              <w:divsChild>
                <w:div w:id="805898156">
                  <w:marLeft w:val="0"/>
                  <w:marRight w:val="0"/>
                  <w:marTop w:val="120"/>
                  <w:marBottom w:val="0"/>
                  <w:divBdr>
                    <w:top w:val="none" w:sz="0" w:space="0" w:color="auto"/>
                    <w:left w:val="none" w:sz="0" w:space="0" w:color="auto"/>
                    <w:bottom w:val="none" w:sz="0" w:space="0" w:color="auto"/>
                    <w:right w:val="none" w:sz="0" w:space="0" w:color="auto"/>
                  </w:divBdr>
                </w:div>
                <w:div w:id="1542932895">
                  <w:marLeft w:val="0"/>
                  <w:marRight w:val="0"/>
                  <w:marTop w:val="0"/>
                  <w:marBottom w:val="0"/>
                  <w:divBdr>
                    <w:top w:val="none" w:sz="0" w:space="0" w:color="auto"/>
                    <w:left w:val="none" w:sz="0" w:space="0" w:color="auto"/>
                    <w:bottom w:val="none" w:sz="0" w:space="0" w:color="auto"/>
                    <w:right w:val="none" w:sz="0" w:space="0" w:color="auto"/>
                  </w:divBdr>
                </w:div>
              </w:divsChild>
            </w:div>
            <w:div w:id="1908416410">
              <w:marLeft w:val="0"/>
              <w:marRight w:val="0"/>
              <w:marTop w:val="0"/>
              <w:marBottom w:val="0"/>
              <w:divBdr>
                <w:top w:val="none" w:sz="0" w:space="0" w:color="auto"/>
                <w:left w:val="none" w:sz="0" w:space="0" w:color="auto"/>
                <w:bottom w:val="none" w:sz="0" w:space="0" w:color="auto"/>
                <w:right w:val="none" w:sz="0" w:space="0" w:color="auto"/>
              </w:divBdr>
              <w:divsChild>
                <w:div w:id="1233353454">
                  <w:marLeft w:val="0"/>
                  <w:marRight w:val="0"/>
                  <w:marTop w:val="120"/>
                  <w:marBottom w:val="0"/>
                  <w:divBdr>
                    <w:top w:val="none" w:sz="0" w:space="0" w:color="auto"/>
                    <w:left w:val="none" w:sz="0" w:space="0" w:color="auto"/>
                    <w:bottom w:val="none" w:sz="0" w:space="0" w:color="auto"/>
                    <w:right w:val="none" w:sz="0" w:space="0" w:color="auto"/>
                  </w:divBdr>
                </w:div>
                <w:div w:id="440029943">
                  <w:marLeft w:val="0"/>
                  <w:marRight w:val="0"/>
                  <w:marTop w:val="0"/>
                  <w:marBottom w:val="0"/>
                  <w:divBdr>
                    <w:top w:val="none" w:sz="0" w:space="0" w:color="auto"/>
                    <w:left w:val="none" w:sz="0" w:space="0" w:color="auto"/>
                    <w:bottom w:val="none" w:sz="0" w:space="0" w:color="auto"/>
                    <w:right w:val="none" w:sz="0" w:space="0" w:color="auto"/>
                  </w:divBdr>
                </w:div>
              </w:divsChild>
            </w:div>
            <w:div w:id="1855681350">
              <w:marLeft w:val="0"/>
              <w:marRight w:val="0"/>
              <w:marTop w:val="0"/>
              <w:marBottom w:val="0"/>
              <w:divBdr>
                <w:top w:val="none" w:sz="0" w:space="0" w:color="auto"/>
                <w:left w:val="none" w:sz="0" w:space="0" w:color="auto"/>
                <w:bottom w:val="none" w:sz="0" w:space="0" w:color="auto"/>
                <w:right w:val="none" w:sz="0" w:space="0" w:color="auto"/>
              </w:divBdr>
              <w:divsChild>
                <w:div w:id="1984579525">
                  <w:marLeft w:val="0"/>
                  <w:marRight w:val="0"/>
                  <w:marTop w:val="120"/>
                  <w:marBottom w:val="0"/>
                  <w:divBdr>
                    <w:top w:val="none" w:sz="0" w:space="0" w:color="auto"/>
                    <w:left w:val="none" w:sz="0" w:space="0" w:color="auto"/>
                    <w:bottom w:val="none" w:sz="0" w:space="0" w:color="auto"/>
                    <w:right w:val="none" w:sz="0" w:space="0" w:color="auto"/>
                  </w:divBdr>
                </w:div>
                <w:div w:id="2115588405">
                  <w:marLeft w:val="0"/>
                  <w:marRight w:val="0"/>
                  <w:marTop w:val="0"/>
                  <w:marBottom w:val="0"/>
                  <w:divBdr>
                    <w:top w:val="none" w:sz="0" w:space="0" w:color="auto"/>
                    <w:left w:val="none" w:sz="0" w:space="0" w:color="auto"/>
                    <w:bottom w:val="none" w:sz="0" w:space="0" w:color="auto"/>
                    <w:right w:val="none" w:sz="0" w:space="0" w:color="auto"/>
                  </w:divBdr>
                </w:div>
              </w:divsChild>
            </w:div>
            <w:div w:id="1762069800">
              <w:marLeft w:val="0"/>
              <w:marRight w:val="0"/>
              <w:marTop w:val="0"/>
              <w:marBottom w:val="0"/>
              <w:divBdr>
                <w:top w:val="none" w:sz="0" w:space="0" w:color="auto"/>
                <w:left w:val="none" w:sz="0" w:space="0" w:color="auto"/>
                <w:bottom w:val="none" w:sz="0" w:space="0" w:color="auto"/>
                <w:right w:val="none" w:sz="0" w:space="0" w:color="auto"/>
              </w:divBdr>
              <w:divsChild>
                <w:div w:id="2128423366">
                  <w:marLeft w:val="0"/>
                  <w:marRight w:val="0"/>
                  <w:marTop w:val="120"/>
                  <w:marBottom w:val="0"/>
                  <w:divBdr>
                    <w:top w:val="none" w:sz="0" w:space="0" w:color="auto"/>
                    <w:left w:val="none" w:sz="0" w:space="0" w:color="auto"/>
                    <w:bottom w:val="none" w:sz="0" w:space="0" w:color="auto"/>
                    <w:right w:val="none" w:sz="0" w:space="0" w:color="auto"/>
                  </w:divBdr>
                </w:div>
                <w:div w:id="774863576">
                  <w:marLeft w:val="0"/>
                  <w:marRight w:val="0"/>
                  <w:marTop w:val="0"/>
                  <w:marBottom w:val="0"/>
                  <w:divBdr>
                    <w:top w:val="none" w:sz="0" w:space="0" w:color="auto"/>
                    <w:left w:val="none" w:sz="0" w:space="0" w:color="auto"/>
                    <w:bottom w:val="none" w:sz="0" w:space="0" w:color="auto"/>
                    <w:right w:val="none" w:sz="0" w:space="0" w:color="auto"/>
                  </w:divBdr>
                </w:div>
              </w:divsChild>
            </w:div>
            <w:div w:id="1617327995">
              <w:marLeft w:val="0"/>
              <w:marRight w:val="0"/>
              <w:marTop w:val="0"/>
              <w:marBottom w:val="0"/>
              <w:divBdr>
                <w:top w:val="none" w:sz="0" w:space="0" w:color="auto"/>
                <w:left w:val="none" w:sz="0" w:space="0" w:color="auto"/>
                <w:bottom w:val="none" w:sz="0" w:space="0" w:color="auto"/>
                <w:right w:val="none" w:sz="0" w:space="0" w:color="auto"/>
              </w:divBdr>
              <w:divsChild>
                <w:div w:id="928464844">
                  <w:marLeft w:val="0"/>
                  <w:marRight w:val="0"/>
                  <w:marTop w:val="120"/>
                  <w:marBottom w:val="0"/>
                  <w:divBdr>
                    <w:top w:val="none" w:sz="0" w:space="0" w:color="auto"/>
                    <w:left w:val="none" w:sz="0" w:space="0" w:color="auto"/>
                    <w:bottom w:val="none" w:sz="0" w:space="0" w:color="auto"/>
                    <w:right w:val="none" w:sz="0" w:space="0" w:color="auto"/>
                  </w:divBdr>
                </w:div>
                <w:div w:id="356781833">
                  <w:marLeft w:val="0"/>
                  <w:marRight w:val="0"/>
                  <w:marTop w:val="0"/>
                  <w:marBottom w:val="0"/>
                  <w:divBdr>
                    <w:top w:val="none" w:sz="0" w:space="0" w:color="auto"/>
                    <w:left w:val="none" w:sz="0" w:space="0" w:color="auto"/>
                    <w:bottom w:val="none" w:sz="0" w:space="0" w:color="auto"/>
                    <w:right w:val="none" w:sz="0" w:space="0" w:color="auto"/>
                  </w:divBdr>
                </w:div>
              </w:divsChild>
            </w:div>
            <w:div w:id="225264165">
              <w:marLeft w:val="0"/>
              <w:marRight w:val="0"/>
              <w:marTop w:val="0"/>
              <w:marBottom w:val="0"/>
              <w:divBdr>
                <w:top w:val="none" w:sz="0" w:space="0" w:color="auto"/>
                <w:left w:val="none" w:sz="0" w:space="0" w:color="auto"/>
                <w:bottom w:val="none" w:sz="0" w:space="0" w:color="auto"/>
                <w:right w:val="none" w:sz="0" w:space="0" w:color="auto"/>
              </w:divBdr>
              <w:divsChild>
                <w:div w:id="1243366783">
                  <w:marLeft w:val="0"/>
                  <w:marRight w:val="0"/>
                  <w:marTop w:val="120"/>
                  <w:marBottom w:val="0"/>
                  <w:divBdr>
                    <w:top w:val="none" w:sz="0" w:space="0" w:color="auto"/>
                    <w:left w:val="none" w:sz="0" w:space="0" w:color="auto"/>
                    <w:bottom w:val="none" w:sz="0" w:space="0" w:color="auto"/>
                    <w:right w:val="none" w:sz="0" w:space="0" w:color="auto"/>
                  </w:divBdr>
                </w:div>
                <w:div w:id="725488521">
                  <w:marLeft w:val="0"/>
                  <w:marRight w:val="0"/>
                  <w:marTop w:val="0"/>
                  <w:marBottom w:val="0"/>
                  <w:divBdr>
                    <w:top w:val="none" w:sz="0" w:space="0" w:color="auto"/>
                    <w:left w:val="none" w:sz="0" w:space="0" w:color="auto"/>
                    <w:bottom w:val="none" w:sz="0" w:space="0" w:color="auto"/>
                    <w:right w:val="none" w:sz="0" w:space="0" w:color="auto"/>
                  </w:divBdr>
                </w:div>
              </w:divsChild>
            </w:div>
            <w:div w:id="860781108">
              <w:marLeft w:val="0"/>
              <w:marRight w:val="0"/>
              <w:marTop w:val="0"/>
              <w:marBottom w:val="0"/>
              <w:divBdr>
                <w:top w:val="none" w:sz="0" w:space="0" w:color="auto"/>
                <w:left w:val="none" w:sz="0" w:space="0" w:color="auto"/>
                <w:bottom w:val="none" w:sz="0" w:space="0" w:color="auto"/>
                <w:right w:val="none" w:sz="0" w:space="0" w:color="auto"/>
              </w:divBdr>
              <w:divsChild>
                <w:div w:id="411318264">
                  <w:marLeft w:val="0"/>
                  <w:marRight w:val="0"/>
                  <w:marTop w:val="120"/>
                  <w:marBottom w:val="0"/>
                  <w:divBdr>
                    <w:top w:val="none" w:sz="0" w:space="0" w:color="auto"/>
                    <w:left w:val="none" w:sz="0" w:space="0" w:color="auto"/>
                    <w:bottom w:val="none" w:sz="0" w:space="0" w:color="auto"/>
                    <w:right w:val="none" w:sz="0" w:space="0" w:color="auto"/>
                  </w:divBdr>
                </w:div>
                <w:div w:id="1022822292">
                  <w:marLeft w:val="0"/>
                  <w:marRight w:val="0"/>
                  <w:marTop w:val="0"/>
                  <w:marBottom w:val="0"/>
                  <w:divBdr>
                    <w:top w:val="none" w:sz="0" w:space="0" w:color="auto"/>
                    <w:left w:val="none" w:sz="0" w:space="0" w:color="auto"/>
                    <w:bottom w:val="none" w:sz="0" w:space="0" w:color="auto"/>
                    <w:right w:val="none" w:sz="0" w:space="0" w:color="auto"/>
                  </w:divBdr>
                </w:div>
              </w:divsChild>
            </w:div>
            <w:div w:id="385568711">
              <w:marLeft w:val="0"/>
              <w:marRight w:val="0"/>
              <w:marTop w:val="0"/>
              <w:marBottom w:val="0"/>
              <w:divBdr>
                <w:top w:val="none" w:sz="0" w:space="0" w:color="auto"/>
                <w:left w:val="none" w:sz="0" w:space="0" w:color="auto"/>
                <w:bottom w:val="none" w:sz="0" w:space="0" w:color="auto"/>
                <w:right w:val="none" w:sz="0" w:space="0" w:color="auto"/>
              </w:divBdr>
              <w:divsChild>
                <w:div w:id="1521233802">
                  <w:marLeft w:val="0"/>
                  <w:marRight w:val="0"/>
                  <w:marTop w:val="120"/>
                  <w:marBottom w:val="0"/>
                  <w:divBdr>
                    <w:top w:val="none" w:sz="0" w:space="0" w:color="auto"/>
                    <w:left w:val="none" w:sz="0" w:space="0" w:color="auto"/>
                    <w:bottom w:val="none" w:sz="0" w:space="0" w:color="auto"/>
                    <w:right w:val="none" w:sz="0" w:space="0" w:color="auto"/>
                  </w:divBdr>
                </w:div>
                <w:div w:id="1484472278">
                  <w:marLeft w:val="0"/>
                  <w:marRight w:val="0"/>
                  <w:marTop w:val="0"/>
                  <w:marBottom w:val="0"/>
                  <w:divBdr>
                    <w:top w:val="none" w:sz="0" w:space="0" w:color="auto"/>
                    <w:left w:val="none" w:sz="0" w:space="0" w:color="auto"/>
                    <w:bottom w:val="none" w:sz="0" w:space="0" w:color="auto"/>
                    <w:right w:val="none" w:sz="0" w:space="0" w:color="auto"/>
                  </w:divBdr>
                </w:div>
              </w:divsChild>
            </w:div>
            <w:div w:id="1975405230">
              <w:marLeft w:val="0"/>
              <w:marRight w:val="0"/>
              <w:marTop w:val="0"/>
              <w:marBottom w:val="0"/>
              <w:divBdr>
                <w:top w:val="none" w:sz="0" w:space="0" w:color="auto"/>
                <w:left w:val="none" w:sz="0" w:space="0" w:color="auto"/>
                <w:bottom w:val="none" w:sz="0" w:space="0" w:color="auto"/>
                <w:right w:val="none" w:sz="0" w:space="0" w:color="auto"/>
              </w:divBdr>
              <w:divsChild>
                <w:div w:id="869100529">
                  <w:marLeft w:val="0"/>
                  <w:marRight w:val="0"/>
                  <w:marTop w:val="120"/>
                  <w:marBottom w:val="0"/>
                  <w:divBdr>
                    <w:top w:val="none" w:sz="0" w:space="0" w:color="auto"/>
                    <w:left w:val="none" w:sz="0" w:space="0" w:color="auto"/>
                    <w:bottom w:val="none" w:sz="0" w:space="0" w:color="auto"/>
                    <w:right w:val="none" w:sz="0" w:space="0" w:color="auto"/>
                  </w:divBdr>
                </w:div>
                <w:div w:id="57069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0569">
      <w:bodyDiv w:val="1"/>
      <w:marLeft w:val="0"/>
      <w:marRight w:val="0"/>
      <w:marTop w:val="0"/>
      <w:marBottom w:val="0"/>
      <w:divBdr>
        <w:top w:val="none" w:sz="0" w:space="0" w:color="auto"/>
        <w:left w:val="none" w:sz="0" w:space="0" w:color="auto"/>
        <w:bottom w:val="none" w:sz="0" w:space="0" w:color="auto"/>
        <w:right w:val="none" w:sz="0" w:space="0" w:color="auto"/>
      </w:divBdr>
      <w:divsChild>
        <w:div w:id="1468160780">
          <w:marLeft w:val="0"/>
          <w:marRight w:val="0"/>
          <w:marTop w:val="0"/>
          <w:marBottom w:val="0"/>
          <w:divBdr>
            <w:top w:val="none" w:sz="0" w:space="0" w:color="auto"/>
            <w:left w:val="none" w:sz="0" w:space="0" w:color="auto"/>
            <w:bottom w:val="none" w:sz="0" w:space="0" w:color="auto"/>
            <w:right w:val="none" w:sz="0" w:space="0" w:color="auto"/>
          </w:divBdr>
        </w:div>
      </w:divsChild>
    </w:div>
    <w:div w:id="131990077">
      <w:bodyDiv w:val="1"/>
      <w:marLeft w:val="0"/>
      <w:marRight w:val="0"/>
      <w:marTop w:val="0"/>
      <w:marBottom w:val="0"/>
      <w:divBdr>
        <w:top w:val="none" w:sz="0" w:space="0" w:color="auto"/>
        <w:left w:val="none" w:sz="0" w:space="0" w:color="auto"/>
        <w:bottom w:val="none" w:sz="0" w:space="0" w:color="auto"/>
        <w:right w:val="none" w:sz="0" w:space="0" w:color="auto"/>
      </w:divBdr>
      <w:divsChild>
        <w:div w:id="2080400121">
          <w:marLeft w:val="0"/>
          <w:marRight w:val="0"/>
          <w:marTop w:val="0"/>
          <w:marBottom w:val="0"/>
          <w:divBdr>
            <w:top w:val="none" w:sz="0" w:space="0" w:color="auto"/>
            <w:left w:val="none" w:sz="0" w:space="0" w:color="auto"/>
            <w:bottom w:val="none" w:sz="0" w:space="0" w:color="auto"/>
            <w:right w:val="none" w:sz="0" w:space="0" w:color="auto"/>
          </w:divBdr>
        </w:div>
      </w:divsChild>
    </w:div>
    <w:div w:id="135270079">
      <w:bodyDiv w:val="1"/>
      <w:marLeft w:val="0"/>
      <w:marRight w:val="0"/>
      <w:marTop w:val="0"/>
      <w:marBottom w:val="0"/>
      <w:divBdr>
        <w:top w:val="none" w:sz="0" w:space="0" w:color="auto"/>
        <w:left w:val="none" w:sz="0" w:space="0" w:color="auto"/>
        <w:bottom w:val="none" w:sz="0" w:space="0" w:color="auto"/>
        <w:right w:val="none" w:sz="0" w:space="0" w:color="auto"/>
      </w:divBdr>
      <w:divsChild>
        <w:div w:id="52047528">
          <w:marLeft w:val="0"/>
          <w:marRight w:val="0"/>
          <w:marTop w:val="0"/>
          <w:marBottom w:val="0"/>
          <w:divBdr>
            <w:top w:val="none" w:sz="0" w:space="0" w:color="auto"/>
            <w:left w:val="none" w:sz="0" w:space="0" w:color="auto"/>
            <w:bottom w:val="none" w:sz="0" w:space="0" w:color="auto"/>
            <w:right w:val="none" w:sz="0" w:space="0" w:color="auto"/>
          </w:divBdr>
        </w:div>
      </w:divsChild>
    </w:div>
    <w:div w:id="136263910">
      <w:bodyDiv w:val="1"/>
      <w:marLeft w:val="0"/>
      <w:marRight w:val="0"/>
      <w:marTop w:val="0"/>
      <w:marBottom w:val="0"/>
      <w:divBdr>
        <w:top w:val="none" w:sz="0" w:space="0" w:color="auto"/>
        <w:left w:val="none" w:sz="0" w:space="0" w:color="auto"/>
        <w:bottom w:val="none" w:sz="0" w:space="0" w:color="auto"/>
        <w:right w:val="none" w:sz="0" w:space="0" w:color="auto"/>
      </w:divBdr>
      <w:divsChild>
        <w:div w:id="8876896">
          <w:marLeft w:val="0"/>
          <w:marRight w:val="0"/>
          <w:marTop w:val="0"/>
          <w:marBottom w:val="0"/>
          <w:divBdr>
            <w:top w:val="none" w:sz="0" w:space="0" w:color="auto"/>
            <w:left w:val="none" w:sz="0" w:space="0" w:color="auto"/>
            <w:bottom w:val="none" w:sz="0" w:space="0" w:color="auto"/>
            <w:right w:val="none" w:sz="0" w:space="0" w:color="auto"/>
          </w:divBdr>
          <w:divsChild>
            <w:div w:id="1126309917">
              <w:marLeft w:val="0"/>
              <w:marRight w:val="0"/>
              <w:marTop w:val="0"/>
              <w:marBottom w:val="0"/>
              <w:divBdr>
                <w:top w:val="none" w:sz="0" w:space="0" w:color="auto"/>
                <w:left w:val="none" w:sz="0" w:space="0" w:color="auto"/>
                <w:bottom w:val="none" w:sz="0" w:space="0" w:color="auto"/>
                <w:right w:val="none" w:sz="0" w:space="0" w:color="auto"/>
              </w:divBdr>
            </w:div>
          </w:divsChild>
        </w:div>
        <w:div w:id="1527938533">
          <w:marLeft w:val="0"/>
          <w:marRight w:val="0"/>
          <w:marTop w:val="0"/>
          <w:marBottom w:val="0"/>
          <w:divBdr>
            <w:top w:val="none" w:sz="0" w:space="0" w:color="auto"/>
            <w:left w:val="none" w:sz="0" w:space="0" w:color="auto"/>
            <w:bottom w:val="none" w:sz="0" w:space="0" w:color="auto"/>
            <w:right w:val="none" w:sz="0" w:space="0" w:color="auto"/>
          </w:divBdr>
          <w:divsChild>
            <w:div w:id="1109157389">
              <w:marLeft w:val="0"/>
              <w:marRight w:val="0"/>
              <w:marTop w:val="120"/>
              <w:marBottom w:val="0"/>
              <w:divBdr>
                <w:top w:val="none" w:sz="0" w:space="0" w:color="auto"/>
                <w:left w:val="none" w:sz="0" w:space="0" w:color="auto"/>
                <w:bottom w:val="none" w:sz="0" w:space="0" w:color="auto"/>
                <w:right w:val="none" w:sz="0" w:space="0" w:color="auto"/>
              </w:divBdr>
            </w:div>
            <w:div w:id="442727118">
              <w:marLeft w:val="0"/>
              <w:marRight w:val="0"/>
              <w:marTop w:val="0"/>
              <w:marBottom w:val="0"/>
              <w:divBdr>
                <w:top w:val="none" w:sz="0" w:space="0" w:color="auto"/>
                <w:left w:val="none" w:sz="0" w:space="0" w:color="auto"/>
                <w:bottom w:val="none" w:sz="0" w:space="0" w:color="auto"/>
                <w:right w:val="none" w:sz="0" w:space="0" w:color="auto"/>
              </w:divBdr>
            </w:div>
          </w:divsChild>
        </w:div>
        <w:div w:id="971597274">
          <w:marLeft w:val="0"/>
          <w:marRight w:val="0"/>
          <w:marTop w:val="0"/>
          <w:marBottom w:val="0"/>
          <w:divBdr>
            <w:top w:val="none" w:sz="0" w:space="0" w:color="auto"/>
            <w:left w:val="none" w:sz="0" w:space="0" w:color="auto"/>
            <w:bottom w:val="none" w:sz="0" w:space="0" w:color="auto"/>
            <w:right w:val="none" w:sz="0" w:space="0" w:color="auto"/>
          </w:divBdr>
          <w:divsChild>
            <w:div w:id="1459487770">
              <w:marLeft w:val="0"/>
              <w:marRight w:val="0"/>
              <w:marTop w:val="120"/>
              <w:marBottom w:val="0"/>
              <w:divBdr>
                <w:top w:val="none" w:sz="0" w:space="0" w:color="auto"/>
                <w:left w:val="none" w:sz="0" w:space="0" w:color="auto"/>
                <w:bottom w:val="none" w:sz="0" w:space="0" w:color="auto"/>
                <w:right w:val="none" w:sz="0" w:space="0" w:color="auto"/>
              </w:divBdr>
            </w:div>
            <w:div w:id="181784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57246">
      <w:bodyDiv w:val="1"/>
      <w:marLeft w:val="0"/>
      <w:marRight w:val="0"/>
      <w:marTop w:val="0"/>
      <w:marBottom w:val="0"/>
      <w:divBdr>
        <w:top w:val="none" w:sz="0" w:space="0" w:color="auto"/>
        <w:left w:val="none" w:sz="0" w:space="0" w:color="auto"/>
        <w:bottom w:val="none" w:sz="0" w:space="0" w:color="auto"/>
        <w:right w:val="none" w:sz="0" w:space="0" w:color="auto"/>
      </w:divBdr>
      <w:divsChild>
        <w:div w:id="2144808323">
          <w:marLeft w:val="0"/>
          <w:marRight w:val="0"/>
          <w:marTop w:val="120"/>
          <w:marBottom w:val="0"/>
          <w:divBdr>
            <w:top w:val="none" w:sz="0" w:space="0" w:color="auto"/>
            <w:left w:val="none" w:sz="0" w:space="0" w:color="auto"/>
            <w:bottom w:val="none" w:sz="0" w:space="0" w:color="auto"/>
            <w:right w:val="none" w:sz="0" w:space="0" w:color="auto"/>
          </w:divBdr>
        </w:div>
        <w:div w:id="143399578">
          <w:marLeft w:val="0"/>
          <w:marRight w:val="0"/>
          <w:marTop w:val="0"/>
          <w:marBottom w:val="0"/>
          <w:divBdr>
            <w:top w:val="none" w:sz="0" w:space="0" w:color="auto"/>
            <w:left w:val="none" w:sz="0" w:space="0" w:color="auto"/>
            <w:bottom w:val="none" w:sz="0" w:space="0" w:color="auto"/>
            <w:right w:val="none" w:sz="0" w:space="0" w:color="auto"/>
          </w:divBdr>
        </w:div>
      </w:divsChild>
    </w:div>
    <w:div w:id="152722646">
      <w:bodyDiv w:val="1"/>
      <w:marLeft w:val="0"/>
      <w:marRight w:val="0"/>
      <w:marTop w:val="0"/>
      <w:marBottom w:val="0"/>
      <w:divBdr>
        <w:top w:val="none" w:sz="0" w:space="0" w:color="auto"/>
        <w:left w:val="none" w:sz="0" w:space="0" w:color="auto"/>
        <w:bottom w:val="none" w:sz="0" w:space="0" w:color="auto"/>
        <w:right w:val="none" w:sz="0" w:space="0" w:color="auto"/>
      </w:divBdr>
      <w:divsChild>
        <w:div w:id="1078788413">
          <w:marLeft w:val="0"/>
          <w:marRight w:val="0"/>
          <w:marTop w:val="0"/>
          <w:marBottom w:val="0"/>
          <w:divBdr>
            <w:top w:val="none" w:sz="0" w:space="0" w:color="auto"/>
            <w:left w:val="none" w:sz="0" w:space="0" w:color="auto"/>
            <w:bottom w:val="none" w:sz="0" w:space="0" w:color="auto"/>
            <w:right w:val="none" w:sz="0" w:space="0" w:color="auto"/>
          </w:divBdr>
          <w:divsChild>
            <w:div w:id="89203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4841">
      <w:bodyDiv w:val="1"/>
      <w:marLeft w:val="0"/>
      <w:marRight w:val="0"/>
      <w:marTop w:val="0"/>
      <w:marBottom w:val="0"/>
      <w:divBdr>
        <w:top w:val="none" w:sz="0" w:space="0" w:color="auto"/>
        <w:left w:val="none" w:sz="0" w:space="0" w:color="auto"/>
        <w:bottom w:val="none" w:sz="0" w:space="0" w:color="auto"/>
        <w:right w:val="none" w:sz="0" w:space="0" w:color="auto"/>
      </w:divBdr>
      <w:divsChild>
        <w:div w:id="2050181075">
          <w:marLeft w:val="0"/>
          <w:marRight w:val="0"/>
          <w:marTop w:val="0"/>
          <w:marBottom w:val="0"/>
          <w:divBdr>
            <w:top w:val="none" w:sz="0" w:space="0" w:color="auto"/>
            <w:left w:val="none" w:sz="0" w:space="0" w:color="auto"/>
            <w:bottom w:val="none" w:sz="0" w:space="0" w:color="auto"/>
            <w:right w:val="none" w:sz="0" w:space="0" w:color="auto"/>
          </w:divBdr>
          <w:divsChild>
            <w:div w:id="2103256489">
              <w:marLeft w:val="0"/>
              <w:marRight w:val="0"/>
              <w:marTop w:val="0"/>
              <w:marBottom w:val="0"/>
              <w:divBdr>
                <w:top w:val="none" w:sz="0" w:space="0" w:color="auto"/>
                <w:left w:val="none" w:sz="0" w:space="0" w:color="auto"/>
                <w:bottom w:val="none" w:sz="0" w:space="0" w:color="auto"/>
                <w:right w:val="none" w:sz="0" w:space="0" w:color="auto"/>
              </w:divBdr>
              <w:divsChild>
                <w:div w:id="2050033532">
                  <w:marLeft w:val="0"/>
                  <w:marRight w:val="0"/>
                  <w:marTop w:val="120"/>
                  <w:marBottom w:val="0"/>
                  <w:divBdr>
                    <w:top w:val="none" w:sz="0" w:space="0" w:color="auto"/>
                    <w:left w:val="none" w:sz="0" w:space="0" w:color="auto"/>
                    <w:bottom w:val="none" w:sz="0" w:space="0" w:color="auto"/>
                    <w:right w:val="none" w:sz="0" w:space="0" w:color="auto"/>
                  </w:divBdr>
                </w:div>
                <w:div w:id="888222740">
                  <w:marLeft w:val="0"/>
                  <w:marRight w:val="0"/>
                  <w:marTop w:val="0"/>
                  <w:marBottom w:val="0"/>
                  <w:divBdr>
                    <w:top w:val="none" w:sz="0" w:space="0" w:color="auto"/>
                    <w:left w:val="none" w:sz="0" w:space="0" w:color="auto"/>
                    <w:bottom w:val="none" w:sz="0" w:space="0" w:color="auto"/>
                    <w:right w:val="none" w:sz="0" w:space="0" w:color="auto"/>
                  </w:divBdr>
                </w:div>
              </w:divsChild>
            </w:div>
            <w:div w:id="2086567322">
              <w:marLeft w:val="0"/>
              <w:marRight w:val="0"/>
              <w:marTop w:val="0"/>
              <w:marBottom w:val="0"/>
              <w:divBdr>
                <w:top w:val="none" w:sz="0" w:space="0" w:color="auto"/>
                <w:left w:val="none" w:sz="0" w:space="0" w:color="auto"/>
                <w:bottom w:val="none" w:sz="0" w:space="0" w:color="auto"/>
                <w:right w:val="none" w:sz="0" w:space="0" w:color="auto"/>
              </w:divBdr>
              <w:divsChild>
                <w:div w:id="1288584322">
                  <w:marLeft w:val="0"/>
                  <w:marRight w:val="0"/>
                  <w:marTop w:val="120"/>
                  <w:marBottom w:val="0"/>
                  <w:divBdr>
                    <w:top w:val="none" w:sz="0" w:space="0" w:color="auto"/>
                    <w:left w:val="none" w:sz="0" w:space="0" w:color="auto"/>
                    <w:bottom w:val="none" w:sz="0" w:space="0" w:color="auto"/>
                    <w:right w:val="none" w:sz="0" w:space="0" w:color="auto"/>
                  </w:divBdr>
                </w:div>
                <w:div w:id="1536115490">
                  <w:marLeft w:val="0"/>
                  <w:marRight w:val="0"/>
                  <w:marTop w:val="0"/>
                  <w:marBottom w:val="0"/>
                  <w:divBdr>
                    <w:top w:val="none" w:sz="0" w:space="0" w:color="auto"/>
                    <w:left w:val="none" w:sz="0" w:space="0" w:color="auto"/>
                    <w:bottom w:val="none" w:sz="0" w:space="0" w:color="auto"/>
                    <w:right w:val="none" w:sz="0" w:space="0" w:color="auto"/>
                  </w:divBdr>
                </w:div>
              </w:divsChild>
            </w:div>
            <w:div w:id="144392991">
              <w:marLeft w:val="0"/>
              <w:marRight w:val="0"/>
              <w:marTop w:val="0"/>
              <w:marBottom w:val="0"/>
              <w:divBdr>
                <w:top w:val="none" w:sz="0" w:space="0" w:color="auto"/>
                <w:left w:val="none" w:sz="0" w:space="0" w:color="auto"/>
                <w:bottom w:val="none" w:sz="0" w:space="0" w:color="auto"/>
                <w:right w:val="none" w:sz="0" w:space="0" w:color="auto"/>
              </w:divBdr>
              <w:divsChild>
                <w:div w:id="541938586">
                  <w:marLeft w:val="0"/>
                  <w:marRight w:val="0"/>
                  <w:marTop w:val="120"/>
                  <w:marBottom w:val="0"/>
                  <w:divBdr>
                    <w:top w:val="none" w:sz="0" w:space="0" w:color="auto"/>
                    <w:left w:val="none" w:sz="0" w:space="0" w:color="auto"/>
                    <w:bottom w:val="none" w:sz="0" w:space="0" w:color="auto"/>
                    <w:right w:val="none" w:sz="0" w:space="0" w:color="auto"/>
                  </w:divBdr>
                </w:div>
                <w:div w:id="1437095842">
                  <w:marLeft w:val="0"/>
                  <w:marRight w:val="0"/>
                  <w:marTop w:val="0"/>
                  <w:marBottom w:val="0"/>
                  <w:divBdr>
                    <w:top w:val="none" w:sz="0" w:space="0" w:color="auto"/>
                    <w:left w:val="none" w:sz="0" w:space="0" w:color="auto"/>
                    <w:bottom w:val="none" w:sz="0" w:space="0" w:color="auto"/>
                    <w:right w:val="none" w:sz="0" w:space="0" w:color="auto"/>
                  </w:divBdr>
                </w:div>
              </w:divsChild>
            </w:div>
            <w:div w:id="1488938176">
              <w:marLeft w:val="0"/>
              <w:marRight w:val="0"/>
              <w:marTop w:val="0"/>
              <w:marBottom w:val="0"/>
              <w:divBdr>
                <w:top w:val="none" w:sz="0" w:space="0" w:color="auto"/>
                <w:left w:val="none" w:sz="0" w:space="0" w:color="auto"/>
                <w:bottom w:val="none" w:sz="0" w:space="0" w:color="auto"/>
                <w:right w:val="none" w:sz="0" w:space="0" w:color="auto"/>
              </w:divBdr>
              <w:divsChild>
                <w:div w:id="163714117">
                  <w:marLeft w:val="0"/>
                  <w:marRight w:val="0"/>
                  <w:marTop w:val="120"/>
                  <w:marBottom w:val="0"/>
                  <w:divBdr>
                    <w:top w:val="none" w:sz="0" w:space="0" w:color="auto"/>
                    <w:left w:val="none" w:sz="0" w:space="0" w:color="auto"/>
                    <w:bottom w:val="none" w:sz="0" w:space="0" w:color="auto"/>
                    <w:right w:val="none" w:sz="0" w:space="0" w:color="auto"/>
                  </w:divBdr>
                </w:div>
                <w:div w:id="536968360">
                  <w:marLeft w:val="0"/>
                  <w:marRight w:val="0"/>
                  <w:marTop w:val="0"/>
                  <w:marBottom w:val="0"/>
                  <w:divBdr>
                    <w:top w:val="none" w:sz="0" w:space="0" w:color="auto"/>
                    <w:left w:val="none" w:sz="0" w:space="0" w:color="auto"/>
                    <w:bottom w:val="none" w:sz="0" w:space="0" w:color="auto"/>
                    <w:right w:val="none" w:sz="0" w:space="0" w:color="auto"/>
                  </w:divBdr>
                </w:div>
              </w:divsChild>
            </w:div>
            <w:div w:id="2074229404">
              <w:marLeft w:val="0"/>
              <w:marRight w:val="0"/>
              <w:marTop w:val="0"/>
              <w:marBottom w:val="0"/>
              <w:divBdr>
                <w:top w:val="none" w:sz="0" w:space="0" w:color="auto"/>
                <w:left w:val="none" w:sz="0" w:space="0" w:color="auto"/>
                <w:bottom w:val="none" w:sz="0" w:space="0" w:color="auto"/>
                <w:right w:val="none" w:sz="0" w:space="0" w:color="auto"/>
              </w:divBdr>
              <w:divsChild>
                <w:div w:id="973605001">
                  <w:marLeft w:val="0"/>
                  <w:marRight w:val="0"/>
                  <w:marTop w:val="120"/>
                  <w:marBottom w:val="0"/>
                  <w:divBdr>
                    <w:top w:val="none" w:sz="0" w:space="0" w:color="auto"/>
                    <w:left w:val="none" w:sz="0" w:space="0" w:color="auto"/>
                    <w:bottom w:val="none" w:sz="0" w:space="0" w:color="auto"/>
                    <w:right w:val="none" w:sz="0" w:space="0" w:color="auto"/>
                  </w:divBdr>
                </w:div>
                <w:div w:id="5571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7848">
      <w:bodyDiv w:val="1"/>
      <w:marLeft w:val="0"/>
      <w:marRight w:val="0"/>
      <w:marTop w:val="0"/>
      <w:marBottom w:val="0"/>
      <w:divBdr>
        <w:top w:val="none" w:sz="0" w:space="0" w:color="auto"/>
        <w:left w:val="none" w:sz="0" w:space="0" w:color="auto"/>
        <w:bottom w:val="none" w:sz="0" w:space="0" w:color="auto"/>
        <w:right w:val="none" w:sz="0" w:space="0" w:color="auto"/>
      </w:divBdr>
      <w:divsChild>
        <w:div w:id="1351686079">
          <w:marLeft w:val="0"/>
          <w:marRight w:val="0"/>
          <w:marTop w:val="0"/>
          <w:marBottom w:val="0"/>
          <w:divBdr>
            <w:top w:val="none" w:sz="0" w:space="0" w:color="auto"/>
            <w:left w:val="none" w:sz="0" w:space="0" w:color="auto"/>
            <w:bottom w:val="none" w:sz="0" w:space="0" w:color="auto"/>
            <w:right w:val="none" w:sz="0" w:space="0" w:color="auto"/>
          </w:divBdr>
          <w:divsChild>
            <w:div w:id="132956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5870">
      <w:bodyDiv w:val="1"/>
      <w:marLeft w:val="0"/>
      <w:marRight w:val="0"/>
      <w:marTop w:val="0"/>
      <w:marBottom w:val="0"/>
      <w:divBdr>
        <w:top w:val="none" w:sz="0" w:space="0" w:color="auto"/>
        <w:left w:val="none" w:sz="0" w:space="0" w:color="auto"/>
        <w:bottom w:val="none" w:sz="0" w:space="0" w:color="auto"/>
        <w:right w:val="none" w:sz="0" w:space="0" w:color="auto"/>
      </w:divBdr>
      <w:divsChild>
        <w:div w:id="84424321">
          <w:marLeft w:val="0"/>
          <w:marRight w:val="0"/>
          <w:marTop w:val="0"/>
          <w:marBottom w:val="0"/>
          <w:divBdr>
            <w:top w:val="none" w:sz="0" w:space="0" w:color="auto"/>
            <w:left w:val="none" w:sz="0" w:space="0" w:color="auto"/>
            <w:bottom w:val="none" w:sz="0" w:space="0" w:color="auto"/>
            <w:right w:val="none" w:sz="0" w:space="0" w:color="auto"/>
          </w:divBdr>
          <w:divsChild>
            <w:div w:id="2062904481">
              <w:marLeft w:val="0"/>
              <w:marRight w:val="0"/>
              <w:marTop w:val="0"/>
              <w:marBottom w:val="0"/>
              <w:divBdr>
                <w:top w:val="none" w:sz="0" w:space="0" w:color="auto"/>
                <w:left w:val="none" w:sz="0" w:space="0" w:color="auto"/>
                <w:bottom w:val="none" w:sz="0" w:space="0" w:color="auto"/>
                <w:right w:val="none" w:sz="0" w:space="0" w:color="auto"/>
              </w:divBdr>
              <w:divsChild>
                <w:div w:id="1104687417">
                  <w:marLeft w:val="0"/>
                  <w:marRight w:val="0"/>
                  <w:marTop w:val="0"/>
                  <w:marBottom w:val="0"/>
                  <w:divBdr>
                    <w:top w:val="none" w:sz="0" w:space="0" w:color="auto"/>
                    <w:left w:val="none" w:sz="0" w:space="0" w:color="auto"/>
                    <w:bottom w:val="none" w:sz="0" w:space="0" w:color="auto"/>
                    <w:right w:val="none" w:sz="0" w:space="0" w:color="auto"/>
                  </w:divBdr>
                  <w:divsChild>
                    <w:div w:id="77944222">
                      <w:marLeft w:val="0"/>
                      <w:marRight w:val="0"/>
                      <w:marTop w:val="120"/>
                      <w:marBottom w:val="0"/>
                      <w:divBdr>
                        <w:top w:val="none" w:sz="0" w:space="0" w:color="auto"/>
                        <w:left w:val="none" w:sz="0" w:space="0" w:color="auto"/>
                        <w:bottom w:val="none" w:sz="0" w:space="0" w:color="auto"/>
                        <w:right w:val="none" w:sz="0" w:space="0" w:color="auto"/>
                      </w:divBdr>
                    </w:div>
                    <w:div w:id="1059204414">
                      <w:marLeft w:val="0"/>
                      <w:marRight w:val="0"/>
                      <w:marTop w:val="0"/>
                      <w:marBottom w:val="0"/>
                      <w:divBdr>
                        <w:top w:val="none" w:sz="0" w:space="0" w:color="auto"/>
                        <w:left w:val="none" w:sz="0" w:space="0" w:color="auto"/>
                        <w:bottom w:val="none" w:sz="0" w:space="0" w:color="auto"/>
                        <w:right w:val="none" w:sz="0" w:space="0" w:color="auto"/>
                      </w:divBdr>
                    </w:div>
                  </w:divsChild>
                </w:div>
                <w:div w:id="148402923">
                  <w:marLeft w:val="0"/>
                  <w:marRight w:val="0"/>
                  <w:marTop w:val="0"/>
                  <w:marBottom w:val="0"/>
                  <w:divBdr>
                    <w:top w:val="none" w:sz="0" w:space="0" w:color="auto"/>
                    <w:left w:val="none" w:sz="0" w:space="0" w:color="auto"/>
                    <w:bottom w:val="none" w:sz="0" w:space="0" w:color="auto"/>
                    <w:right w:val="none" w:sz="0" w:space="0" w:color="auto"/>
                  </w:divBdr>
                  <w:divsChild>
                    <w:div w:id="1927421873">
                      <w:marLeft w:val="0"/>
                      <w:marRight w:val="0"/>
                      <w:marTop w:val="120"/>
                      <w:marBottom w:val="0"/>
                      <w:divBdr>
                        <w:top w:val="none" w:sz="0" w:space="0" w:color="auto"/>
                        <w:left w:val="none" w:sz="0" w:space="0" w:color="auto"/>
                        <w:bottom w:val="none" w:sz="0" w:space="0" w:color="auto"/>
                        <w:right w:val="none" w:sz="0" w:space="0" w:color="auto"/>
                      </w:divBdr>
                    </w:div>
                    <w:div w:id="1463039207">
                      <w:marLeft w:val="0"/>
                      <w:marRight w:val="0"/>
                      <w:marTop w:val="0"/>
                      <w:marBottom w:val="0"/>
                      <w:divBdr>
                        <w:top w:val="none" w:sz="0" w:space="0" w:color="auto"/>
                        <w:left w:val="none" w:sz="0" w:space="0" w:color="auto"/>
                        <w:bottom w:val="none" w:sz="0" w:space="0" w:color="auto"/>
                        <w:right w:val="none" w:sz="0" w:space="0" w:color="auto"/>
                      </w:divBdr>
                    </w:div>
                  </w:divsChild>
                </w:div>
                <w:div w:id="1434401939">
                  <w:marLeft w:val="0"/>
                  <w:marRight w:val="0"/>
                  <w:marTop w:val="0"/>
                  <w:marBottom w:val="0"/>
                  <w:divBdr>
                    <w:top w:val="none" w:sz="0" w:space="0" w:color="auto"/>
                    <w:left w:val="none" w:sz="0" w:space="0" w:color="auto"/>
                    <w:bottom w:val="none" w:sz="0" w:space="0" w:color="auto"/>
                    <w:right w:val="none" w:sz="0" w:space="0" w:color="auto"/>
                  </w:divBdr>
                  <w:divsChild>
                    <w:div w:id="1276211530">
                      <w:marLeft w:val="0"/>
                      <w:marRight w:val="0"/>
                      <w:marTop w:val="120"/>
                      <w:marBottom w:val="0"/>
                      <w:divBdr>
                        <w:top w:val="none" w:sz="0" w:space="0" w:color="auto"/>
                        <w:left w:val="none" w:sz="0" w:space="0" w:color="auto"/>
                        <w:bottom w:val="none" w:sz="0" w:space="0" w:color="auto"/>
                        <w:right w:val="none" w:sz="0" w:space="0" w:color="auto"/>
                      </w:divBdr>
                    </w:div>
                    <w:div w:id="1010452968">
                      <w:marLeft w:val="0"/>
                      <w:marRight w:val="0"/>
                      <w:marTop w:val="0"/>
                      <w:marBottom w:val="0"/>
                      <w:divBdr>
                        <w:top w:val="none" w:sz="0" w:space="0" w:color="auto"/>
                        <w:left w:val="none" w:sz="0" w:space="0" w:color="auto"/>
                        <w:bottom w:val="none" w:sz="0" w:space="0" w:color="auto"/>
                        <w:right w:val="none" w:sz="0" w:space="0" w:color="auto"/>
                      </w:divBdr>
                    </w:div>
                  </w:divsChild>
                </w:div>
                <w:div w:id="1092120441">
                  <w:marLeft w:val="0"/>
                  <w:marRight w:val="0"/>
                  <w:marTop w:val="0"/>
                  <w:marBottom w:val="0"/>
                  <w:divBdr>
                    <w:top w:val="none" w:sz="0" w:space="0" w:color="auto"/>
                    <w:left w:val="none" w:sz="0" w:space="0" w:color="auto"/>
                    <w:bottom w:val="none" w:sz="0" w:space="0" w:color="auto"/>
                    <w:right w:val="none" w:sz="0" w:space="0" w:color="auto"/>
                  </w:divBdr>
                  <w:divsChild>
                    <w:div w:id="1873110040">
                      <w:marLeft w:val="0"/>
                      <w:marRight w:val="0"/>
                      <w:marTop w:val="120"/>
                      <w:marBottom w:val="0"/>
                      <w:divBdr>
                        <w:top w:val="none" w:sz="0" w:space="0" w:color="auto"/>
                        <w:left w:val="none" w:sz="0" w:space="0" w:color="auto"/>
                        <w:bottom w:val="none" w:sz="0" w:space="0" w:color="auto"/>
                        <w:right w:val="none" w:sz="0" w:space="0" w:color="auto"/>
                      </w:divBdr>
                    </w:div>
                    <w:div w:id="37241095">
                      <w:marLeft w:val="0"/>
                      <w:marRight w:val="0"/>
                      <w:marTop w:val="0"/>
                      <w:marBottom w:val="0"/>
                      <w:divBdr>
                        <w:top w:val="none" w:sz="0" w:space="0" w:color="auto"/>
                        <w:left w:val="none" w:sz="0" w:space="0" w:color="auto"/>
                        <w:bottom w:val="none" w:sz="0" w:space="0" w:color="auto"/>
                        <w:right w:val="none" w:sz="0" w:space="0" w:color="auto"/>
                      </w:divBdr>
                    </w:div>
                  </w:divsChild>
                </w:div>
                <w:div w:id="2092501109">
                  <w:marLeft w:val="0"/>
                  <w:marRight w:val="0"/>
                  <w:marTop w:val="0"/>
                  <w:marBottom w:val="0"/>
                  <w:divBdr>
                    <w:top w:val="none" w:sz="0" w:space="0" w:color="auto"/>
                    <w:left w:val="none" w:sz="0" w:space="0" w:color="auto"/>
                    <w:bottom w:val="none" w:sz="0" w:space="0" w:color="auto"/>
                    <w:right w:val="none" w:sz="0" w:space="0" w:color="auto"/>
                  </w:divBdr>
                  <w:divsChild>
                    <w:div w:id="631011561">
                      <w:marLeft w:val="0"/>
                      <w:marRight w:val="0"/>
                      <w:marTop w:val="120"/>
                      <w:marBottom w:val="0"/>
                      <w:divBdr>
                        <w:top w:val="none" w:sz="0" w:space="0" w:color="auto"/>
                        <w:left w:val="none" w:sz="0" w:space="0" w:color="auto"/>
                        <w:bottom w:val="none" w:sz="0" w:space="0" w:color="auto"/>
                        <w:right w:val="none" w:sz="0" w:space="0" w:color="auto"/>
                      </w:divBdr>
                    </w:div>
                    <w:div w:id="11004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314869">
      <w:bodyDiv w:val="1"/>
      <w:marLeft w:val="0"/>
      <w:marRight w:val="0"/>
      <w:marTop w:val="0"/>
      <w:marBottom w:val="0"/>
      <w:divBdr>
        <w:top w:val="none" w:sz="0" w:space="0" w:color="auto"/>
        <w:left w:val="none" w:sz="0" w:space="0" w:color="auto"/>
        <w:bottom w:val="none" w:sz="0" w:space="0" w:color="auto"/>
        <w:right w:val="none" w:sz="0" w:space="0" w:color="auto"/>
      </w:divBdr>
      <w:divsChild>
        <w:div w:id="1902014011">
          <w:marLeft w:val="0"/>
          <w:marRight w:val="0"/>
          <w:marTop w:val="120"/>
          <w:marBottom w:val="0"/>
          <w:divBdr>
            <w:top w:val="none" w:sz="0" w:space="0" w:color="auto"/>
            <w:left w:val="none" w:sz="0" w:space="0" w:color="auto"/>
            <w:bottom w:val="none" w:sz="0" w:space="0" w:color="auto"/>
            <w:right w:val="none" w:sz="0" w:space="0" w:color="auto"/>
          </w:divBdr>
        </w:div>
        <w:div w:id="1706326819">
          <w:marLeft w:val="0"/>
          <w:marRight w:val="0"/>
          <w:marTop w:val="0"/>
          <w:marBottom w:val="0"/>
          <w:divBdr>
            <w:top w:val="none" w:sz="0" w:space="0" w:color="auto"/>
            <w:left w:val="none" w:sz="0" w:space="0" w:color="auto"/>
            <w:bottom w:val="none" w:sz="0" w:space="0" w:color="auto"/>
            <w:right w:val="none" w:sz="0" w:space="0" w:color="auto"/>
          </w:divBdr>
        </w:div>
      </w:divsChild>
    </w:div>
    <w:div w:id="222834481">
      <w:bodyDiv w:val="1"/>
      <w:marLeft w:val="0"/>
      <w:marRight w:val="0"/>
      <w:marTop w:val="0"/>
      <w:marBottom w:val="0"/>
      <w:divBdr>
        <w:top w:val="none" w:sz="0" w:space="0" w:color="auto"/>
        <w:left w:val="none" w:sz="0" w:space="0" w:color="auto"/>
        <w:bottom w:val="none" w:sz="0" w:space="0" w:color="auto"/>
        <w:right w:val="none" w:sz="0" w:space="0" w:color="auto"/>
      </w:divBdr>
      <w:divsChild>
        <w:div w:id="807671409">
          <w:marLeft w:val="0"/>
          <w:marRight w:val="0"/>
          <w:marTop w:val="0"/>
          <w:marBottom w:val="0"/>
          <w:divBdr>
            <w:top w:val="none" w:sz="0" w:space="0" w:color="auto"/>
            <w:left w:val="none" w:sz="0" w:space="0" w:color="auto"/>
            <w:bottom w:val="none" w:sz="0" w:space="0" w:color="auto"/>
            <w:right w:val="none" w:sz="0" w:space="0" w:color="auto"/>
          </w:divBdr>
          <w:divsChild>
            <w:div w:id="192225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15345">
      <w:bodyDiv w:val="1"/>
      <w:marLeft w:val="0"/>
      <w:marRight w:val="0"/>
      <w:marTop w:val="0"/>
      <w:marBottom w:val="0"/>
      <w:divBdr>
        <w:top w:val="none" w:sz="0" w:space="0" w:color="auto"/>
        <w:left w:val="none" w:sz="0" w:space="0" w:color="auto"/>
        <w:bottom w:val="none" w:sz="0" w:space="0" w:color="auto"/>
        <w:right w:val="none" w:sz="0" w:space="0" w:color="auto"/>
      </w:divBdr>
      <w:divsChild>
        <w:div w:id="506794753">
          <w:marLeft w:val="0"/>
          <w:marRight w:val="0"/>
          <w:marTop w:val="0"/>
          <w:marBottom w:val="0"/>
          <w:divBdr>
            <w:top w:val="none" w:sz="0" w:space="0" w:color="auto"/>
            <w:left w:val="none" w:sz="0" w:space="0" w:color="auto"/>
            <w:bottom w:val="none" w:sz="0" w:space="0" w:color="auto"/>
            <w:right w:val="none" w:sz="0" w:space="0" w:color="auto"/>
          </w:divBdr>
        </w:div>
      </w:divsChild>
    </w:div>
    <w:div w:id="233245350">
      <w:bodyDiv w:val="1"/>
      <w:marLeft w:val="0"/>
      <w:marRight w:val="0"/>
      <w:marTop w:val="0"/>
      <w:marBottom w:val="0"/>
      <w:divBdr>
        <w:top w:val="none" w:sz="0" w:space="0" w:color="auto"/>
        <w:left w:val="none" w:sz="0" w:space="0" w:color="auto"/>
        <w:bottom w:val="none" w:sz="0" w:space="0" w:color="auto"/>
        <w:right w:val="none" w:sz="0" w:space="0" w:color="auto"/>
      </w:divBdr>
      <w:divsChild>
        <w:div w:id="626200351">
          <w:marLeft w:val="0"/>
          <w:marRight w:val="0"/>
          <w:marTop w:val="120"/>
          <w:marBottom w:val="0"/>
          <w:divBdr>
            <w:top w:val="none" w:sz="0" w:space="0" w:color="auto"/>
            <w:left w:val="none" w:sz="0" w:space="0" w:color="auto"/>
            <w:bottom w:val="none" w:sz="0" w:space="0" w:color="auto"/>
            <w:right w:val="none" w:sz="0" w:space="0" w:color="auto"/>
          </w:divBdr>
        </w:div>
        <w:div w:id="729576523">
          <w:marLeft w:val="0"/>
          <w:marRight w:val="0"/>
          <w:marTop w:val="0"/>
          <w:marBottom w:val="0"/>
          <w:divBdr>
            <w:top w:val="none" w:sz="0" w:space="0" w:color="auto"/>
            <w:left w:val="none" w:sz="0" w:space="0" w:color="auto"/>
            <w:bottom w:val="none" w:sz="0" w:space="0" w:color="auto"/>
            <w:right w:val="none" w:sz="0" w:space="0" w:color="auto"/>
          </w:divBdr>
        </w:div>
      </w:divsChild>
    </w:div>
    <w:div w:id="250628100">
      <w:bodyDiv w:val="1"/>
      <w:marLeft w:val="0"/>
      <w:marRight w:val="0"/>
      <w:marTop w:val="0"/>
      <w:marBottom w:val="0"/>
      <w:divBdr>
        <w:top w:val="none" w:sz="0" w:space="0" w:color="auto"/>
        <w:left w:val="none" w:sz="0" w:space="0" w:color="auto"/>
        <w:bottom w:val="none" w:sz="0" w:space="0" w:color="auto"/>
        <w:right w:val="none" w:sz="0" w:space="0" w:color="auto"/>
      </w:divBdr>
      <w:divsChild>
        <w:div w:id="1179079729">
          <w:marLeft w:val="0"/>
          <w:marRight w:val="0"/>
          <w:marTop w:val="0"/>
          <w:marBottom w:val="0"/>
          <w:divBdr>
            <w:top w:val="none" w:sz="0" w:space="0" w:color="auto"/>
            <w:left w:val="none" w:sz="0" w:space="0" w:color="auto"/>
            <w:bottom w:val="none" w:sz="0" w:space="0" w:color="auto"/>
            <w:right w:val="none" w:sz="0" w:space="0" w:color="auto"/>
          </w:divBdr>
        </w:div>
      </w:divsChild>
    </w:div>
    <w:div w:id="255677094">
      <w:bodyDiv w:val="1"/>
      <w:marLeft w:val="0"/>
      <w:marRight w:val="0"/>
      <w:marTop w:val="0"/>
      <w:marBottom w:val="0"/>
      <w:divBdr>
        <w:top w:val="none" w:sz="0" w:space="0" w:color="auto"/>
        <w:left w:val="none" w:sz="0" w:space="0" w:color="auto"/>
        <w:bottom w:val="none" w:sz="0" w:space="0" w:color="auto"/>
        <w:right w:val="none" w:sz="0" w:space="0" w:color="auto"/>
      </w:divBdr>
      <w:divsChild>
        <w:div w:id="1132286809">
          <w:marLeft w:val="0"/>
          <w:marRight w:val="0"/>
          <w:marTop w:val="0"/>
          <w:marBottom w:val="0"/>
          <w:divBdr>
            <w:top w:val="none" w:sz="0" w:space="0" w:color="auto"/>
            <w:left w:val="none" w:sz="0" w:space="0" w:color="auto"/>
            <w:bottom w:val="none" w:sz="0" w:space="0" w:color="auto"/>
            <w:right w:val="none" w:sz="0" w:space="0" w:color="auto"/>
          </w:divBdr>
          <w:divsChild>
            <w:div w:id="1281179297">
              <w:marLeft w:val="0"/>
              <w:marRight w:val="0"/>
              <w:marTop w:val="0"/>
              <w:marBottom w:val="0"/>
              <w:divBdr>
                <w:top w:val="none" w:sz="0" w:space="0" w:color="auto"/>
                <w:left w:val="none" w:sz="0" w:space="0" w:color="auto"/>
                <w:bottom w:val="none" w:sz="0" w:space="0" w:color="auto"/>
                <w:right w:val="none" w:sz="0" w:space="0" w:color="auto"/>
              </w:divBdr>
              <w:divsChild>
                <w:div w:id="1812674355">
                  <w:marLeft w:val="0"/>
                  <w:marRight w:val="0"/>
                  <w:marTop w:val="0"/>
                  <w:marBottom w:val="0"/>
                  <w:divBdr>
                    <w:top w:val="none" w:sz="0" w:space="0" w:color="auto"/>
                    <w:left w:val="none" w:sz="0" w:space="0" w:color="auto"/>
                    <w:bottom w:val="none" w:sz="0" w:space="0" w:color="auto"/>
                    <w:right w:val="none" w:sz="0" w:space="0" w:color="auto"/>
                  </w:divBdr>
                  <w:divsChild>
                    <w:div w:id="1519344583">
                      <w:marLeft w:val="0"/>
                      <w:marRight w:val="0"/>
                      <w:marTop w:val="120"/>
                      <w:marBottom w:val="0"/>
                      <w:divBdr>
                        <w:top w:val="none" w:sz="0" w:space="0" w:color="auto"/>
                        <w:left w:val="none" w:sz="0" w:space="0" w:color="auto"/>
                        <w:bottom w:val="none" w:sz="0" w:space="0" w:color="auto"/>
                        <w:right w:val="none" w:sz="0" w:space="0" w:color="auto"/>
                      </w:divBdr>
                    </w:div>
                    <w:div w:id="309948140">
                      <w:marLeft w:val="0"/>
                      <w:marRight w:val="0"/>
                      <w:marTop w:val="0"/>
                      <w:marBottom w:val="0"/>
                      <w:divBdr>
                        <w:top w:val="none" w:sz="0" w:space="0" w:color="auto"/>
                        <w:left w:val="none" w:sz="0" w:space="0" w:color="auto"/>
                        <w:bottom w:val="none" w:sz="0" w:space="0" w:color="auto"/>
                        <w:right w:val="none" w:sz="0" w:space="0" w:color="auto"/>
                      </w:divBdr>
                    </w:div>
                  </w:divsChild>
                </w:div>
                <w:div w:id="1495023964">
                  <w:marLeft w:val="0"/>
                  <w:marRight w:val="0"/>
                  <w:marTop w:val="0"/>
                  <w:marBottom w:val="0"/>
                  <w:divBdr>
                    <w:top w:val="none" w:sz="0" w:space="0" w:color="auto"/>
                    <w:left w:val="none" w:sz="0" w:space="0" w:color="auto"/>
                    <w:bottom w:val="none" w:sz="0" w:space="0" w:color="auto"/>
                    <w:right w:val="none" w:sz="0" w:space="0" w:color="auto"/>
                  </w:divBdr>
                  <w:divsChild>
                    <w:div w:id="1157066672">
                      <w:marLeft w:val="0"/>
                      <w:marRight w:val="0"/>
                      <w:marTop w:val="120"/>
                      <w:marBottom w:val="0"/>
                      <w:divBdr>
                        <w:top w:val="none" w:sz="0" w:space="0" w:color="auto"/>
                        <w:left w:val="none" w:sz="0" w:space="0" w:color="auto"/>
                        <w:bottom w:val="none" w:sz="0" w:space="0" w:color="auto"/>
                        <w:right w:val="none" w:sz="0" w:space="0" w:color="auto"/>
                      </w:divBdr>
                    </w:div>
                    <w:div w:id="1238129372">
                      <w:marLeft w:val="0"/>
                      <w:marRight w:val="0"/>
                      <w:marTop w:val="0"/>
                      <w:marBottom w:val="0"/>
                      <w:divBdr>
                        <w:top w:val="none" w:sz="0" w:space="0" w:color="auto"/>
                        <w:left w:val="none" w:sz="0" w:space="0" w:color="auto"/>
                        <w:bottom w:val="none" w:sz="0" w:space="0" w:color="auto"/>
                        <w:right w:val="none" w:sz="0" w:space="0" w:color="auto"/>
                      </w:divBdr>
                    </w:div>
                  </w:divsChild>
                </w:div>
                <w:div w:id="73747109">
                  <w:marLeft w:val="0"/>
                  <w:marRight w:val="0"/>
                  <w:marTop w:val="0"/>
                  <w:marBottom w:val="0"/>
                  <w:divBdr>
                    <w:top w:val="none" w:sz="0" w:space="0" w:color="auto"/>
                    <w:left w:val="none" w:sz="0" w:space="0" w:color="auto"/>
                    <w:bottom w:val="none" w:sz="0" w:space="0" w:color="auto"/>
                    <w:right w:val="none" w:sz="0" w:space="0" w:color="auto"/>
                  </w:divBdr>
                  <w:divsChild>
                    <w:div w:id="1902595638">
                      <w:marLeft w:val="0"/>
                      <w:marRight w:val="0"/>
                      <w:marTop w:val="120"/>
                      <w:marBottom w:val="0"/>
                      <w:divBdr>
                        <w:top w:val="none" w:sz="0" w:space="0" w:color="auto"/>
                        <w:left w:val="none" w:sz="0" w:space="0" w:color="auto"/>
                        <w:bottom w:val="none" w:sz="0" w:space="0" w:color="auto"/>
                        <w:right w:val="none" w:sz="0" w:space="0" w:color="auto"/>
                      </w:divBdr>
                    </w:div>
                    <w:div w:id="479881500">
                      <w:marLeft w:val="0"/>
                      <w:marRight w:val="0"/>
                      <w:marTop w:val="0"/>
                      <w:marBottom w:val="0"/>
                      <w:divBdr>
                        <w:top w:val="none" w:sz="0" w:space="0" w:color="auto"/>
                        <w:left w:val="none" w:sz="0" w:space="0" w:color="auto"/>
                        <w:bottom w:val="none" w:sz="0" w:space="0" w:color="auto"/>
                        <w:right w:val="none" w:sz="0" w:space="0" w:color="auto"/>
                      </w:divBdr>
                    </w:div>
                  </w:divsChild>
                </w:div>
                <w:div w:id="261453047">
                  <w:marLeft w:val="0"/>
                  <w:marRight w:val="0"/>
                  <w:marTop w:val="0"/>
                  <w:marBottom w:val="0"/>
                  <w:divBdr>
                    <w:top w:val="none" w:sz="0" w:space="0" w:color="auto"/>
                    <w:left w:val="none" w:sz="0" w:space="0" w:color="auto"/>
                    <w:bottom w:val="none" w:sz="0" w:space="0" w:color="auto"/>
                    <w:right w:val="none" w:sz="0" w:space="0" w:color="auto"/>
                  </w:divBdr>
                  <w:divsChild>
                    <w:div w:id="1027022421">
                      <w:marLeft w:val="0"/>
                      <w:marRight w:val="0"/>
                      <w:marTop w:val="120"/>
                      <w:marBottom w:val="0"/>
                      <w:divBdr>
                        <w:top w:val="none" w:sz="0" w:space="0" w:color="auto"/>
                        <w:left w:val="none" w:sz="0" w:space="0" w:color="auto"/>
                        <w:bottom w:val="none" w:sz="0" w:space="0" w:color="auto"/>
                        <w:right w:val="none" w:sz="0" w:space="0" w:color="auto"/>
                      </w:divBdr>
                    </w:div>
                    <w:div w:id="1655795600">
                      <w:marLeft w:val="0"/>
                      <w:marRight w:val="0"/>
                      <w:marTop w:val="0"/>
                      <w:marBottom w:val="0"/>
                      <w:divBdr>
                        <w:top w:val="none" w:sz="0" w:space="0" w:color="auto"/>
                        <w:left w:val="none" w:sz="0" w:space="0" w:color="auto"/>
                        <w:bottom w:val="none" w:sz="0" w:space="0" w:color="auto"/>
                        <w:right w:val="none" w:sz="0" w:space="0" w:color="auto"/>
                      </w:divBdr>
                      <w:divsChild>
                        <w:div w:id="1015768803">
                          <w:marLeft w:val="0"/>
                          <w:marRight w:val="0"/>
                          <w:marTop w:val="0"/>
                          <w:marBottom w:val="0"/>
                          <w:divBdr>
                            <w:top w:val="none" w:sz="0" w:space="0" w:color="auto"/>
                            <w:left w:val="none" w:sz="0" w:space="0" w:color="auto"/>
                            <w:bottom w:val="none" w:sz="0" w:space="0" w:color="auto"/>
                            <w:right w:val="none" w:sz="0" w:space="0" w:color="auto"/>
                          </w:divBdr>
                          <w:divsChild>
                            <w:div w:id="768085606">
                              <w:marLeft w:val="0"/>
                              <w:marRight w:val="0"/>
                              <w:marTop w:val="120"/>
                              <w:marBottom w:val="0"/>
                              <w:divBdr>
                                <w:top w:val="none" w:sz="0" w:space="0" w:color="auto"/>
                                <w:left w:val="none" w:sz="0" w:space="0" w:color="auto"/>
                                <w:bottom w:val="none" w:sz="0" w:space="0" w:color="auto"/>
                                <w:right w:val="none" w:sz="0" w:space="0" w:color="auto"/>
                              </w:divBdr>
                            </w:div>
                            <w:div w:id="1959526852">
                              <w:marLeft w:val="0"/>
                              <w:marRight w:val="0"/>
                              <w:marTop w:val="0"/>
                              <w:marBottom w:val="0"/>
                              <w:divBdr>
                                <w:top w:val="none" w:sz="0" w:space="0" w:color="auto"/>
                                <w:left w:val="none" w:sz="0" w:space="0" w:color="auto"/>
                                <w:bottom w:val="none" w:sz="0" w:space="0" w:color="auto"/>
                                <w:right w:val="none" w:sz="0" w:space="0" w:color="auto"/>
                              </w:divBdr>
                            </w:div>
                          </w:divsChild>
                        </w:div>
                        <w:div w:id="258493539">
                          <w:marLeft w:val="0"/>
                          <w:marRight w:val="0"/>
                          <w:marTop w:val="0"/>
                          <w:marBottom w:val="0"/>
                          <w:divBdr>
                            <w:top w:val="none" w:sz="0" w:space="0" w:color="auto"/>
                            <w:left w:val="none" w:sz="0" w:space="0" w:color="auto"/>
                            <w:bottom w:val="none" w:sz="0" w:space="0" w:color="auto"/>
                            <w:right w:val="none" w:sz="0" w:space="0" w:color="auto"/>
                          </w:divBdr>
                          <w:divsChild>
                            <w:div w:id="775825929">
                              <w:marLeft w:val="0"/>
                              <w:marRight w:val="0"/>
                              <w:marTop w:val="120"/>
                              <w:marBottom w:val="0"/>
                              <w:divBdr>
                                <w:top w:val="none" w:sz="0" w:space="0" w:color="auto"/>
                                <w:left w:val="none" w:sz="0" w:space="0" w:color="auto"/>
                                <w:bottom w:val="none" w:sz="0" w:space="0" w:color="auto"/>
                                <w:right w:val="none" w:sz="0" w:space="0" w:color="auto"/>
                              </w:divBdr>
                            </w:div>
                            <w:div w:id="1105731850">
                              <w:marLeft w:val="0"/>
                              <w:marRight w:val="0"/>
                              <w:marTop w:val="0"/>
                              <w:marBottom w:val="0"/>
                              <w:divBdr>
                                <w:top w:val="none" w:sz="0" w:space="0" w:color="auto"/>
                                <w:left w:val="none" w:sz="0" w:space="0" w:color="auto"/>
                                <w:bottom w:val="none" w:sz="0" w:space="0" w:color="auto"/>
                                <w:right w:val="none" w:sz="0" w:space="0" w:color="auto"/>
                              </w:divBdr>
                            </w:div>
                          </w:divsChild>
                        </w:div>
                        <w:div w:id="1808276958">
                          <w:marLeft w:val="0"/>
                          <w:marRight w:val="0"/>
                          <w:marTop w:val="0"/>
                          <w:marBottom w:val="0"/>
                          <w:divBdr>
                            <w:top w:val="none" w:sz="0" w:space="0" w:color="auto"/>
                            <w:left w:val="none" w:sz="0" w:space="0" w:color="auto"/>
                            <w:bottom w:val="none" w:sz="0" w:space="0" w:color="auto"/>
                            <w:right w:val="none" w:sz="0" w:space="0" w:color="auto"/>
                          </w:divBdr>
                          <w:divsChild>
                            <w:div w:id="248849903">
                              <w:marLeft w:val="0"/>
                              <w:marRight w:val="0"/>
                              <w:marTop w:val="120"/>
                              <w:marBottom w:val="0"/>
                              <w:divBdr>
                                <w:top w:val="none" w:sz="0" w:space="0" w:color="auto"/>
                                <w:left w:val="none" w:sz="0" w:space="0" w:color="auto"/>
                                <w:bottom w:val="none" w:sz="0" w:space="0" w:color="auto"/>
                                <w:right w:val="none" w:sz="0" w:space="0" w:color="auto"/>
                              </w:divBdr>
                            </w:div>
                            <w:div w:id="170128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368142">
      <w:bodyDiv w:val="1"/>
      <w:marLeft w:val="0"/>
      <w:marRight w:val="0"/>
      <w:marTop w:val="0"/>
      <w:marBottom w:val="0"/>
      <w:divBdr>
        <w:top w:val="none" w:sz="0" w:space="0" w:color="auto"/>
        <w:left w:val="none" w:sz="0" w:space="0" w:color="auto"/>
        <w:bottom w:val="none" w:sz="0" w:space="0" w:color="auto"/>
        <w:right w:val="none" w:sz="0" w:space="0" w:color="auto"/>
      </w:divBdr>
      <w:divsChild>
        <w:div w:id="1256209432">
          <w:marLeft w:val="0"/>
          <w:marRight w:val="0"/>
          <w:marTop w:val="0"/>
          <w:marBottom w:val="0"/>
          <w:divBdr>
            <w:top w:val="none" w:sz="0" w:space="0" w:color="auto"/>
            <w:left w:val="none" w:sz="0" w:space="0" w:color="auto"/>
            <w:bottom w:val="none" w:sz="0" w:space="0" w:color="auto"/>
            <w:right w:val="none" w:sz="0" w:space="0" w:color="auto"/>
          </w:divBdr>
          <w:divsChild>
            <w:div w:id="1892186803">
              <w:marLeft w:val="0"/>
              <w:marRight w:val="0"/>
              <w:marTop w:val="0"/>
              <w:marBottom w:val="0"/>
              <w:divBdr>
                <w:top w:val="none" w:sz="0" w:space="0" w:color="auto"/>
                <w:left w:val="none" w:sz="0" w:space="0" w:color="auto"/>
                <w:bottom w:val="none" w:sz="0" w:space="0" w:color="auto"/>
                <w:right w:val="none" w:sz="0" w:space="0" w:color="auto"/>
              </w:divBdr>
              <w:divsChild>
                <w:div w:id="1867524696">
                  <w:marLeft w:val="0"/>
                  <w:marRight w:val="0"/>
                  <w:marTop w:val="0"/>
                  <w:marBottom w:val="0"/>
                  <w:divBdr>
                    <w:top w:val="none" w:sz="0" w:space="0" w:color="auto"/>
                    <w:left w:val="none" w:sz="0" w:space="0" w:color="auto"/>
                    <w:bottom w:val="none" w:sz="0" w:space="0" w:color="auto"/>
                    <w:right w:val="none" w:sz="0" w:space="0" w:color="auto"/>
                  </w:divBdr>
                  <w:divsChild>
                    <w:div w:id="915282086">
                      <w:marLeft w:val="0"/>
                      <w:marRight w:val="0"/>
                      <w:marTop w:val="120"/>
                      <w:marBottom w:val="0"/>
                      <w:divBdr>
                        <w:top w:val="none" w:sz="0" w:space="0" w:color="auto"/>
                        <w:left w:val="none" w:sz="0" w:space="0" w:color="auto"/>
                        <w:bottom w:val="none" w:sz="0" w:space="0" w:color="auto"/>
                        <w:right w:val="none" w:sz="0" w:space="0" w:color="auto"/>
                      </w:divBdr>
                    </w:div>
                    <w:div w:id="346441245">
                      <w:marLeft w:val="0"/>
                      <w:marRight w:val="0"/>
                      <w:marTop w:val="0"/>
                      <w:marBottom w:val="0"/>
                      <w:divBdr>
                        <w:top w:val="none" w:sz="0" w:space="0" w:color="auto"/>
                        <w:left w:val="none" w:sz="0" w:space="0" w:color="auto"/>
                        <w:bottom w:val="none" w:sz="0" w:space="0" w:color="auto"/>
                        <w:right w:val="none" w:sz="0" w:space="0" w:color="auto"/>
                      </w:divBdr>
                    </w:div>
                  </w:divsChild>
                </w:div>
                <w:div w:id="1592422415">
                  <w:marLeft w:val="0"/>
                  <w:marRight w:val="0"/>
                  <w:marTop w:val="0"/>
                  <w:marBottom w:val="0"/>
                  <w:divBdr>
                    <w:top w:val="none" w:sz="0" w:space="0" w:color="auto"/>
                    <w:left w:val="none" w:sz="0" w:space="0" w:color="auto"/>
                    <w:bottom w:val="none" w:sz="0" w:space="0" w:color="auto"/>
                    <w:right w:val="none" w:sz="0" w:space="0" w:color="auto"/>
                  </w:divBdr>
                  <w:divsChild>
                    <w:div w:id="1960795983">
                      <w:marLeft w:val="0"/>
                      <w:marRight w:val="0"/>
                      <w:marTop w:val="120"/>
                      <w:marBottom w:val="0"/>
                      <w:divBdr>
                        <w:top w:val="none" w:sz="0" w:space="0" w:color="auto"/>
                        <w:left w:val="none" w:sz="0" w:space="0" w:color="auto"/>
                        <w:bottom w:val="none" w:sz="0" w:space="0" w:color="auto"/>
                        <w:right w:val="none" w:sz="0" w:space="0" w:color="auto"/>
                      </w:divBdr>
                    </w:div>
                    <w:div w:id="1843080247">
                      <w:marLeft w:val="0"/>
                      <w:marRight w:val="0"/>
                      <w:marTop w:val="0"/>
                      <w:marBottom w:val="0"/>
                      <w:divBdr>
                        <w:top w:val="none" w:sz="0" w:space="0" w:color="auto"/>
                        <w:left w:val="none" w:sz="0" w:space="0" w:color="auto"/>
                        <w:bottom w:val="none" w:sz="0" w:space="0" w:color="auto"/>
                        <w:right w:val="none" w:sz="0" w:space="0" w:color="auto"/>
                      </w:divBdr>
                    </w:div>
                  </w:divsChild>
                </w:div>
                <w:div w:id="359625744">
                  <w:marLeft w:val="0"/>
                  <w:marRight w:val="0"/>
                  <w:marTop w:val="0"/>
                  <w:marBottom w:val="0"/>
                  <w:divBdr>
                    <w:top w:val="none" w:sz="0" w:space="0" w:color="auto"/>
                    <w:left w:val="none" w:sz="0" w:space="0" w:color="auto"/>
                    <w:bottom w:val="none" w:sz="0" w:space="0" w:color="auto"/>
                    <w:right w:val="none" w:sz="0" w:space="0" w:color="auto"/>
                  </w:divBdr>
                  <w:divsChild>
                    <w:div w:id="172955567">
                      <w:marLeft w:val="0"/>
                      <w:marRight w:val="0"/>
                      <w:marTop w:val="120"/>
                      <w:marBottom w:val="0"/>
                      <w:divBdr>
                        <w:top w:val="none" w:sz="0" w:space="0" w:color="auto"/>
                        <w:left w:val="none" w:sz="0" w:space="0" w:color="auto"/>
                        <w:bottom w:val="none" w:sz="0" w:space="0" w:color="auto"/>
                        <w:right w:val="none" w:sz="0" w:space="0" w:color="auto"/>
                      </w:divBdr>
                    </w:div>
                    <w:div w:id="322780108">
                      <w:marLeft w:val="0"/>
                      <w:marRight w:val="0"/>
                      <w:marTop w:val="0"/>
                      <w:marBottom w:val="0"/>
                      <w:divBdr>
                        <w:top w:val="none" w:sz="0" w:space="0" w:color="auto"/>
                        <w:left w:val="none" w:sz="0" w:space="0" w:color="auto"/>
                        <w:bottom w:val="none" w:sz="0" w:space="0" w:color="auto"/>
                        <w:right w:val="none" w:sz="0" w:space="0" w:color="auto"/>
                      </w:divBdr>
                    </w:div>
                  </w:divsChild>
                </w:div>
                <w:div w:id="1048337397">
                  <w:marLeft w:val="0"/>
                  <w:marRight w:val="0"/>
                  <w:marTop w:val="0"/>
                  <w:marBottom w:val="0"/>
                  <w:divBdr>
                    <w:top w:val="none" w:sz="0" w:space="0" w:color="auto"/>
                    <w:left w:val="none" w:sz="0" w:space="0" w:color="auto"/>
                    <w:bottom w:val="none" w:sz="0" w:space="0" w:color="auto"/>
                    <w:right w:val="none" w:sz="0" w:space="0" w:color="auto"/>
                  </w:divBdr>
                  <w:divsChild>
                    <w:div w:id="570821566">
                      <w:marLeft w:val="0"/>
                      <w:marRight w:val="0"/>
                      <w:marTop w:val="120"/>
                      <w:marBottom w:val="0"/>
                      <w:divBdr>
                        <w:top w:val="none" w:sz="0" w:space="0" w:color="auto"/>
                        <w:left w:val="none" w:sz="0" w:space="0" w:color="auto"/>
                        <w:bottom w:val="none" w:sz="0" w:space="0" w:color="auto"/>
                        <w:right w:val="none" w:sz="0" w:space="0" w:color="auto"/>
                      </w:divBdr>
                    </w:div>
                    <w:div w:id="189079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412263">
      <w:bodyDiv w:val="1"/>
      <w:marLeft w:val="0"/>
      <w:marRight w:val="0"/>
      <w:marTop w:val="0"/>
      <w:marBottom w:val="0"/>
      <w:divBdr>
        <w:top w:val="none" w:sz="0" w:space="0" w:color="auto"/>
        <w:left w:val="none" w:sz="0" w:space="0" w:color="auto"/>
        <w:bottom w:val="none" w:sz="0" w:space="0" w:color="auto"/>
        <w:right w:val="none" w:sz="0" w:space="0" w:color="auto"/>
      </w:divBdr>
      <w:divsChild>
        <w:div w:id="899247839">
          <w:marLeft w:val="0"/>
          <w:marRight w:val="0"/>
          <w:marTop w:val="0"/>
          <w:marBottom w:val="0"/>
          <w:divBdr>
            <w:top w:val="none" w:sz="0" w:space="0" w:color="auto"/>
            <w:left w:val="none" w:sz="0" w:space="0" w:color="auto"/>
            <w:bottom w:val="none" w:sz="0" w:space="0" w:color="auto"/>
            <w:right w:val="none" w:sz="0" w:space="0" w:color="auto"/>
          </w:divBdr>
          <w:divsChild>
            <w:div w:id="14108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764581">
      <w:bodyDiv w:val="1"/>
      <w:marLeft w:val="0"/>
      <w:marRight w:val="0"/>
      <w:marTop w:val="0"/>
      <w:marBottom w:val="0"/>
      <w:divBdr>
        <w:top w:val="none" w:sz="0" w:space="0" w:color="auto"/>
        <w:left w:val="none" w:sz="0" w:space="0" w:color="auto"/>
        <w:bottom w:val="none" w:sz="0" w:space="0" w:color="auto"/>
        <w:right w:val="none" w:sz="0" w:space="0" w:color="auto"/>
      </w:divBdr>
      <w:divsChild>
        <w:div w:id="107086869">
          <w:marLeft w:val="0"/>
          <w:marRight w:val="0"/>
          <w:marTop w:val="0"/>
          <w:marBottom w:val="0"/>
          <w:divBdr>
            <w:top w:val="none" w:sz="0" w:space="0" w:color="auto"/>
            <w:left w:val="none" w:sz="0" w:space="0" w:color="auto"/>
            <w:bottom w:val="none" w:sz="0" w:space="0" w:color="auto"/>
            <w:right w:val="none" w:sz="0" w:space="0" w:color="auto"/>
          </w:divBdr>
        </w:div>
      </w:divsChild>
    </w:div>
    <w:div w:id="271592880">
      <w:bodyDiv w:val="1"/>
      <w:marLeft w:val="0"/>
      <w:marRight w:val="0"/>
      <w:marTop w:val="0"/>
      <w:marBottom w:val="0"/>
      <w:divBdr>
        <w:top w:val="none" w:sz="0" w:space="0" w:color="auto"/>
        <w:left w:val="none" w:sz="0" w:space="0" w:color="auto"/>
        <w:bottom w:val="none" w:sz="0" w:space="0" w:color="auto"/>
        <w:right w:val="none" w:sz="0" w:space="0" w:color="auto"/>
      </w:divBdr>
      <w:divsChild>
        <w:div w:id="1704941457">
          <w:marLeft w:val="0"/>
          <w:marRight w:val="0"/>
          <w:marTop w:val="0"/>
          <w:marBottom w:val="0"/>
          <w:divBdr>
            <w:top w:val="none" w:sz="0" w:space="0" w:color="auto"/>
            <w:left w:val="none" w:sz="0" w:space="0" w:color="auto"/>
            <w:bottom w:val="none" w:sz="0" w:space="0" w:color="auto"/>
            <w:right w:val="none" w:sz="0" w:space="0" w:color="auto"/>
          </w:divBdr>
          <w:divsChild>
            <w:div w:id="1675525902">
              <w:marLeft w:val="0"/>
              <w:marRight w:val="0"/>
              <w:marTop w:val="0"/>
              <w:marBottom w:val="0"/>
              <w:divBdr>
                <w:top w:val="none" w:sz="0" w:space="0" w:color="auto"/>
                <w:left w:val="none" w:sz="0" w:space="0" w:color="auto"/>
                <w:bottom w:val="none" w:sz="0" w:space="0" w:color="auto"/>
                <w:right w:val="none" w:sz="0" w:space="0" w:color="auto"/>
              </w:divBdr>
            </w:div>
          </w:divsChild>
        </w:div>
        <w:div w:id="2121608019">
          <w:marLeft w:val="0"/>
          <w:marRight w:val="0"/>
          <w:marTop w:val="0"/>
          <w:marBottom w:val="0"/>
          <w:divBdr>
            <w:top w:val="none" w:sz="0" w:space="0" w:color="auto"/>
            <w:left w:val="none" w:sz="0" w:space="0" w:color="auto"/>
            <w:bottom w:val="none" w:sz="0" w:space="0" w:color="auto"/>
            <w:right w:val="none" w:sz="0" w:space="0" w:color="auto"/>
          </w:divBdr>
          <w:divsChild>
            <w:div w:id="58359723">
              <w:marLeft w:val="0"/>
              <w:marRight w:val="0"/>
              <w:marTop w:val="120"/>
              <w:marBottom w:val="0"/>
              <w:divBdr>
                <w:top w:val="none" w:sz="0" w:space="0" w:color="auto"/>
                <w:left w:val="none" w:sz="0" w:space="0" w:color="auto"/>
                <w:bottom w:val="none" w:sz="0" w:space="0" w:color="auto"/>
                <w:right w:val="none" w:sz="0" w:space="0" w:color="auto"/>
              </w:divBdr>
            </w:div>
            <w:div w:id="2044549917">
              <w:marLeft w:val="0"/>
              <w:marRight w:val="0"/>
              <w:marTop w:val="0"/>
              <w:marBottom w:val="0"/>
              <w:divBdr>
                <w:top w:val="none" w:sz="0" w:space="0" w:color="auto"/>
                <w:left w:val="none" w:sz="0" w:space="0" w:color="auto"/>
                <w:bottom w:val="none" w:sz="0" w:space="0" w:color="auto"/>
                <w:right w:val="none" w:sz="0" w:space="0" w:color="auto"/>
              </w:divBdr>
            </w:div>
          </w:divsChild>
        </w:div>
        <w:div w:id="241334365">
          <w:marLeft w:val="0"/>
          <w:marRight w:val="0"/>
          <w:marTop w:val="0"/>
          <w:marBottom w:val="0"/>
          <w:divBdr>
            <w:top w:val="none" w:sz="0" w:space="0" w:color="auto"/>
            <w:left w:val="none" w:sz="0" w:space="0" w:color="auto"/>
            <w:bottom w:val="none" w:sz="0" w:space="0" w:color="auto"/>
            <w:right w:val="none" w:sz="0" w:space="0" w:color="auto"/>
          </w:divBdr>
          <w:divsChild>
            <w:div w:id="406153553">
              <w:marLeft w:val="0"/>
              <w:marRight w:val="0"/>
              <w:marTop w:val="120"/>
              <w:marBottom w:val="0"/>
              <w:divBdr>
                <w:top w:val="none" w:sz="0" w:space="0" w:color="auto"/>
                <w:left w:val="none" w:sz="0" w:space="0" w:color="auto"/>
                <w:bottom w:val="none" w:sz="0" w:space="0" w:color="auto"/>
                <w:right w:val="none" w:sz="0" w:space="0" w:color="auto"/>
              </w:divBdr>
            </w:div>
            <w:div w:id="2060203062">
              <w:marLeft w:val="0"/>
              <w:marRight w:val="0"/>
              <w:marTop w:val="0"/>
              <w:marBottom w:val="0"/>
              <w:divBdr>
                <w:top w:val="none" w:sz="0" w:space="0" w:color="auto"/>
                <w:left w:val="none" w:sz="0" w:space="0" w:color="auto"/>
                <w:bottom w:val="none" w:sz="0" w:space="0" w:color="auto"/>
                <w:right w:val="none" w:sz="0" w:space="0" w:color="auto"/>
              </w:divBdr>
            </w:div>
          </w:divsChild>
        </w:div>
        <w:div w:id="859702763">
          <w:marLeft w:val="0"/>
          <w:marRight w:val="0"/>
          <w:marTop w:val="0"/>
          <w:marBottom w:val="0"/>
          <w:divBdr>
            <w:top w:val="none" w:sz="0" w:space="0" w:color="auto"/>
            <w:left w:val="none" w:sz="0" w:space="0" w:color="auto"/>
            <w:bottom w:val="none" w:sz="0" w:space="0" w:color="auto"/>
            <w:right w:val="none" w:sz="0" w:space="0" w:color="auto"/>
          </w:divBdr>
          <w:divsChild>
            <w:div w:id="1152067021">
              <w:marLeft w:val="0"/>
              <w:marRight w:val="0"/>
              <w:marTop w:val="120"/>
              <w:marBottom w:val="0"/>
              <w:divBdr>
                <w:top w:val="none" w:sz="0" w:space="0" w:color="auto"/>
                <w:left w:val="none" w:sz="0" w:space="0" w:color="auto"/>
                <w:bottom w:val="none" w:sz="0" w:space="0" w:color="auto"/>
                <w:right w:val="none" w:sz="0" w:space="0" w:color="auto"/>
              </w:divBdr>
            </w:div>
            <w:div w:id="866410234">
              <w:marLeft w:val="0"/>
              <w:marRight w:val="0"/>
              <w:marTop w:val="0"/>
              <w:marBottom w:val="0"/>
              <w:divBdr>
                <w:top w:val="none" w:sz="0" w:space="0" w:color="auto"/>
                <w:left w:val="none" w:sz="0" w:space="0" w:color="auto"/>
                <w:bottom w:val="none" w:sz="0" w:space="0" w:color="auto"/>
                <w:right w:val="none" w:sz="0" w:space="0" w:color="auto"/>
              </w:divBdr>
            </w:div>
          </w:divsChild>
        </w:div>
        <w:div w:id="976450619">
          <w:marLeft w:val="0"/>
          <w:marRight w:val="0"/>
          <w:marTop w:val="0"/>
          <w:marBottom w:val="0"/>
          <w:divBdr>
            <w:top w:val="none" w:sz="0" w:space="0" w:color="auto"/>
            <w:left w:val="none" w:sz="0" w:space="0" w:color="auto"/>
            <w:bottom w:val="none" w:sz="0" w:space="0" w:color="auto"/>
            <w:right w:val="none" w:sz="0" w:space="0" w:color="auto"/>
          </w:divBdr>
          <w:divsChild>
            <w:div w:id="531264898">
              <w:marLeft w:val="0"/>
              <w:marRight w:val="0"/>
              <w:marTop w:val="120"/>
              <w:marBottom w:val="0"/>
              <w:divBdr>
                <w:top w:val="none" w:sz="0" w:space="0" w:color="auto"/>
                <w:left w:val="none" w:sz="0" w:space="0" w:color="auto"/>
                <w:bottom w:val="none" w:sz="0" w:space="0" w:color="auto"/>
                <w:right w:val="none" w:sz="0" w:space="0" w:color="auto"/>
              </w:divBdr>
            </w:div>
            <w:div w:id="750351103">
              <w:marLeft w:val="0"/>
              <w:marRight w:val="0"/>
              <w:marTop w:val="0"/>
              <w:marBottom w:val="0"/>
              <w:divBdr>
                <w:top w:val="none" w:sz="0" w:space="0" w:color="auto"/>
                <w:left w:val="none" w:sz="0" w:space="0" w:color="auto"/>
                <w:bottom w:val="none" w:sz="0" w:space="0" w:color="auto"/>
                <w:right w:val="none" w:sz="0" w:space="0" w:color="auto"/>
              </w:divBdr>
            </w:div>
          </w:divsChild>
        </w:div>
        <w:div w:id="127280901">
          <w:marLeft w:val="0"/>
          <w:marRight w:val="0"/>
          <w:marTop w:val="0"/>
          <w:marBottom w:val="0"/>
          <w:divBdr>
            <w:top w:val="none" w:sz="0" w:space="0" w:color="auto"/>
            <w:left w:val="none" w:sz="0" w:space="0" w:color="auto"/>
            <w:bottom w:val="none" w:sz="0" w:space="0" w:color="auto"/>
            <w:right w:val="none" w:sz="0" w:space="0" w:color="auto"/>
          </w:divBdr>
          <w:divsChild>
            <w:div w:id="881480157">
              <w:marLeft w:val="0"/>
              <w:marRight w:val="0"/>
              <w:marTop w:val="120"/>
              <w:marBottom w:val="0"/>
              <w:divBdr>
                <w:top w:val="none" w:sz="0" w:space="0" w:color="auto"/>
                <w:left w:val="none" w:sz="0" w:space="0" w:color="auto"/>
                <w:bottom w:val="none" w:sz="0" w:space="0" w:color="auto"/>
                <w:right w:val="none" w:sz="0" w:space="0" w:color="auto"/>
              </w:divBdr>
            </w:div>
            <w:div w:id="50177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392">
      <w:bodyDiv w:val="1"/>
      <w:marLeft w:val="0"/>
      <w:marRight w:val="0"/>
      <w:marTop w:val="0"/>
      <w:marBottom w:val="0"/>
      <w:divBdr>
        <w:top w:val="none" w:sz="0" w:space="0" w:color="auto"/>
        <w:left w:val="none" w:sz="0" w:space="0" w:color="auto"/>
        <w:bottom w:val="none" w:sz="0" w:space="0" w:color="auto"/>
        <w:right w:val="none" w:sz="0" w:space="0" w:color="auto"/>
      </w:divBdr>
      <w:divsChild>
        <w:div w:id="221253340">
          <w:marLeft w:val="0"/>
          <w:marRight w:val="0"/>
          <w:marTop w:val="0"/>
          <w:marBottom w:val="0"/>
          <w:divBdr>
            <w:top w:val="none" w:sz="0" w:space="0" w:color="auto"/>
            <w:left w:val="none" w:sz="0" w:space="0" w:color="auto"/>
            <w:bottom w:val="none" w:sz="0" w:space="0" w:color="auto"/>
            <w:right w:val="none" w:sz="0" w:space="0" w:color="auto"/>
          </w:divBdr>
        </w:div>
      </w:divsChild>
    </w:div>
    <w:div w:id="278075992">
      <w:bodyDiv w:val="1"/>
      <w:marLeft w:val="0"/>
      <w:marRight w:val="0"/>
      <w:marTop w:val="0"/>
      <w:marBottom w:val="0"/>
      <w:divBdr>
        <w:top w:val="none" w:sz="0" w:space="0" w:color="auto"/>
        <w:left w:val="none" w:sz="0" w:space="0" w:color="auto"/>
        <w:bottom w:val="none" w:sz="0" w:space="0" w:color="auto"/>
        <w:right w:val="none" w:sz="0" w:space="0" w:color="auto"/>
      </w:divBdr>
      <w:divsChild>
        <w:div w:id="2093888809">
          <w:marLeft w:val="0"/>
          <w:marRight w:val="0"/>
          <w:marTop w:val="0"/>
          <w:marBottom w:val="0"/>
          <w:divBdr>
            <w:top w:val="none" w:sz="0" w:space="0" w:color="auto"/>
            <w:left w:val="none" w:sz="0" w:space="0" w:color="auto"/>
            <w:bottom w:val="none" w:sz="0" w:space="0" w:color="auto"/>
            <w:right w:val="none" w:sz="0" w:space="0" w:color="auto"/>
          </w:divBdr>
        </w:div>
      </w:divsChild>
    </w:div>
    <w:div w:id="278295066">
      <w:bodyDiv w:val="1"/>
      <w:marLeft w:val="0"/>
      <w:marRight w:val="0"/>
      <w:marTop w:val="0"/>
      <w:marBottom w:val="0"/>
      <w:divBdr>
        <w:top w:val="none" w:sz="0" w:space="0" w:color="auto"/>
        <w:left w:val="none" w:sz="0" w:space="0" w:color="auto"/>
        <w:bottom w:val="none" w:sz="0" w:space="0" w:color="auto"/>
        <w:right w:val="none" w:sz="0" w:space="0" w:color="auto"/>
      </w:divBdr>
      <w:divsChild>
        <w:div w:id="384258728">
          <w:marLeft w:val="0"/>
          <w:marRight w:val="0"/>
          <w:marTop w:val="120"/>
          <w:marBottom w:val="0"/>
          <w:divBdr>
            <w:top w:val="none" w:sz="0" w:space="0" w:color="auto"/>
            <w:left w:val="none" w:sz="0" w:space="0" w:color="auto"/>
            <w:bottom w:val="none" w:sz="0" w:space="0" w:color="auto"/>
            <w:right w:val="none" w:sz="0" w:space="0" w:color="auto"/>
          </w:divBdr>
        </w:div>
        <w:div w:id="400955551">
          <w:marLeft w:val="0"/>
          <w:marRight w:val="0"/>
          <w:marTop w:val="0"/>
          <w:marBottom w:val="0"/>
          <w:divBdr>
            <w:top w:val="none" w:sz="0" w:space="0" w:color="auto"/>
            <w:left w:val="none" w:sz="0" w:space="0" w:color="auto"/>
            <w:bottom w:val="none" w:sz="0" w:space="0" w:color="auto"/>
            <w:right w:val="none" w:sz="0" w:space="0" w:color="auto"/>
          </w:divBdr>
        </w:div>
      </w:divsChild>
    </w:div>
    <w:div w:id="284195784">
      <w:bodyDiv w:val="1"/>
      <w:marLeft w:val="0"/>
      <w:marRight w:val="0"/>
      <w:marTop w:val="0"/>
      <w:marBottom w:val="0"/>
      <w:divBdr>
        <w:top w:val="none" w:sz="0" w:space="0" w:color="auto"/>
        <w:left w:val="none" w:sz="0" w:space="0" w:color="auto"/>
        <w:bottom w:val="none" w:sz="0" w:space="0" w:color="auto"/>
        <w:right w:val="none" w:sz="0" w:space="0" w:color="auto"/>
      </w:divBdr>
    </w:div>
    <w:div w:id="295378798">
      <w:bodyDiv w:val="1"/>
      <w:marLeft w:val="0"/>
      <w:marRight w:val="0"/>
      <w:marTop w:val="0"/>
      <w:marBottom w:val="0"/>
      <w:divBdr>
        <w:top w:val="none" w:sz="0" w:space="0" w:color="auto"/>
        <w:left w:val="none" w:sz="0" w:space="0" w:color="auto"/>
        <w:bottom w:val="none" w:sz="0" w:space="0" w:color="auto"/>
        <w:right w:val="none" w:sz="0" w:space="0" w:color="auto"/>
      </w:divBdr>
      <w:divsChild>
        <w:div w:id="1779370605">
          <w:marLeft w:val="0"/>
          <w:marRight w:val="0"/>
          <w:marTop w:val="0"/>
          <w:marBottom w:val="0"/>
          <w:divBdr>
            <w:top w:val="none" w:sz="0" w:space="0" w:color="auto"/>
            <w:left w:val="none" w:sz="0" w:space="0" w:color="auto"/>
            <w:bottom w:val="none" w:sz="0" w:space="0" w:color="auto"/>
            <w:right w:val="none" w:sz="0" w:space="0" w:color="auto"/>
          </w:divBdr>
        </w:div>
      </w:divsChild>
    </w:div>
    <w:div w:id="301544823">
      <w:bodyDiv w:val="1"/>
      <w:marLeft w:val="0"/>
      <w:marRight w:val="0"/>
      <w:marTop w:val="0"/>
      <w:marBottom w:val="0"/>
      <w:divBdr>
        <w:top w:val="none" w:sz="0" w:space="0" w:color="auto"/>
        <w:left w:val="none" w:sz="0" w:space="0" w:color="auto"/>
        <w:bottom w:val="none" w:sz="0" w:space="0" w:color="auto"/>
        <w:right w:val="none" w:sz="0" w:space="0" w:color="auto"/>
      </w:divBdr>
      <w:divsChild>
        <w:div w:id="2095861712">
          <w:marLeft w:val="0"/>
          <w:marRight w:val="0"/>
          <w:marTop w:val="120"/>
          <w:marBottom w:val="0"/>
          <w:divBdr>
            <w:top w:val="none" w:sz="0" w:space="0" w:color="auto"/>
            <w:left w:val="none" w:sz="0" w:space="0" w:color="auto"/>
            <w:bottom w:val="none" w:sz="0" w:space="0" w:color="auto"/>
            <w:right w:val="none" w:sz="0" w:space="0" w:color="auto"/>
          </w:divBdr>
        </w:div>
        <w:div w:id="18244625">
          <w:marLeft w:val="0"/>
          <w:marRight w:val="0"/>
          <w:marTop w:val="0"/>
          <w:marBottom w:val="0"/>
          <w:divBdr>
            <w:top w:val="none" w:sz="0" w:space="0" w:color="auto"/>
            <w:left w:val="none" w:sz="0" w:space="0" w:color="auto"/>
            <w:bottom w:val="none" w:sz="0" w:space="0" w:color="auto"/>
            <w:right w:val="none" w:sz="0" w:space="0" w:color="auto"/>
          </w:divBdr>
        </w:div>
      </w:divsChild>
    </w:div>
    <w:div w:id="312225282">
      <w:bodyDiv w:val="1"/>
      <w:marLeft w:val="0"/>
      <w:marRight w:val="0"/>
      <w:marTop w:val="0"/>
      <w:marBottom w:val="0"/>
      <w:divBdr>
        <w:top w:val="none" w:sz="0" w:space="0" w:color="auto"/>
        <w:left w:val="none" w:sz="0" w:space="0" w:color="auto"/>
        <w:bottom w:val="none" w:sz="0" w:space="0" w:color="auto"/>
        <w:right w:val="none" w:sz="0" w:space="0" w:color="auto"/>
      </w:divBdr>
      <w:divsChild>
        <w:div w:id="1190950717">
          <w:marLeft w:val="0"/>
          <w:marRight w:val="0"/>
          <w:marTop w:val="0"/>
          <w:marBottom w:val="0"/>
          <w:divBdr>
            <w:top w:val="none" w:sz="0" w:space="0" w:color="auto"/>
            <w:left w:val="none" w:sz="0" w:space="0" w:color="auto"/>
            <w:bottom w:val="none" w:sz="0" w:space="0" w:color="auto"/>
            <w:right w:val="none" w:sz="0" w:space="0" w:color="auto"/>
          </w:divBdr>
        </w:div>
      </w:divsChild>
    </w:div>
    <w:div w:id="312564352">
      <w:bodyDiv w:val="1"/>
      <w:marLeft w:val="0"/>
      <w:marRight w:val="0"/>
      <w:marTop w:val="0"/>
      <w:marBottom w:val="0"/>
      <w:divBdr>
        <w:top w:val="none" w:sz="0" w:space="0" w:color="auto"/>
        <w:left w:val="none" w:sz="0" w:space="0" w:color="auto"/>
        <w:bottom w:val="none" w:sz="0" w:space="0" w:color="auto"/>
        <w:right w:val="none" w:sz="0" w:space="0" w:color="auto"/>
      </w:divBdr>
      <w:divsChild>
        <w:div w:id="2071029147">
          <w:marLeft w:val="0"/>
          <w:marRight w:val="0"/>
          <w:marTop w:val="0"/>
          <w:marBottom w:val="0"/>
          <w:divBdr>
            <w:top w:val="none" w:sz="0" w:space="0" w:color="auto"/>
            <w:left w:val="none" w:sz="0" w:space="0" w:color="auto"/>
            <w:bottom w:val="none" w:sz="0" w:space="0" w:color="auto"/>
            <w:right w:val="none" w:sz="0" w:space="0" w:color="auto"/>
          </w:divBdr>
        </w:div>
      </w:divsChild>
    </w:div>
    <w:div w:id="315836783">
      <w:bodyDiv w:val="1"/>
      <w:marLeft w:val="0"/>
      <w:marRight w:val="0"/>
      <w:marTop w:val="0"/>
      <w:marBottom w:val="0"/>
      <w:divBdr>
        <w:top w:val="none" w:sz="0" w:space="0" w:color="auto"/>
        <w:left w:val="none" w:sz="0" w:space="0" w:color="auto"/>
        <w:bottom w:val="none" w:sz="0" w:space="0" w:color="auto"/>
        <w:right w:val="none" w:sz="0" w:space="0" w:color="auto"/>
      </w:divBdr>
      <w:divsChild>
        <w:div w:id="449784272">
          <w:marLeft w:val="0"/>
          <w:marRight w:val="0"/>
          <w:marTop w:val="0"/>
          <w:marBottom w:val="0"/>
          <w:divBdr>
            <w:top w:val="none" w:sz="0" w:space="0" w:color="auto"/>
            <w:left w:val="none" w:sz="0" w:space="0" w:color="auto"/>
            <w:bottom w:val="none" w:sz="0" w:space="0" w:color="auto"/>
            <w:right w:val="none" w:sz="0" w:space="0" w:color="auto"/>
          </w:divBdr>
          <w:divsChild>
            <w:div w:id="2628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81520">
      <w:bodyDiv w:val="1"/>
      <w:marLeft w:val="0"/>
      <w:marRight w:val="0"/>
      <w:marTop w:val="0"/>
      <w:marBottom w:val="0"/>
      <w:divBdr>
        <w:top w:val="none" w:sz="0" w:space="0" w:color="auto"/>
        <w:left w:val="none" w:sz="0" w:space="0" w:color="auto"/>
        <w:bottom w:val="none" w:sz="0" w:space="0" w:color="auto"/>
        <w:right w:val="none" w:sz="0" w:space="0" w:color="auto"/>
      </w:divBdr>
      <w:divsChild>
        <w:div w:id="1911192668">
          <w:marLeft w:val="0"/>
          <w:marRight w:val="0"/>
          <w:marTop w:val="0"/>
          <w:marBottom w:val="0"/>
          <w:divBdr>
            <w:top w:val="none" w:sz="0" w:space="0" w:color="auto"/>
            <w:left w:val="none" w:sz="0" w:space="0" w:color="auto"/>
            <w:bottom w:val="none" w:sz="0" w:space="0" w:color="auto"/>
            <w:right w:val="none" w:sz="0" w:space="0" w:color="auto"/>
          </w:divBdr>
        </w:div>
      </w:divsChild>
    </w:div>
    <w:div w:id="320545257">
      <w:bodyDiv w:val="1"/>
      <w:marLeft w:val="0"/>
      <w:marRight w:val="0"/>
      <w:marTop w:val="0"/>
      <w:marBottom w:val="0"/>
      <w:divBdr>
        <w:top w:val="none" w:sz="0" w:space="0" w:color="auto"/>
        <w:left w:val="none" w:sz="0" w:space="0" w:color="auto"/>
        <w:bottom w:val="none" w:sz="0" w:space="0" w:color="auto"/>
        <w:right w:val="none" w:sz="0" w:space="0" w:color="auto"/>
      </w:divBdr>
      <w:divsChild>
        <w:div w:id="1688754146">
          <w:marLeft w:val="0"/>
          <w:marRight w:val="0"/>
          <w:marTop w:val="0"/>
          <w:marBottom w:val="0"/>
          <w:divBdr>
            <w:top w:val="none" w:sz="0" w:space="0" w:color="auto"/>
            <w:left w:val="none" w:sz="0" w:space="0" w:color="auto"/>
            <w:bottom w:val="none" w:sz="0" w:space="0" w:color="auto"/>
            <w:right w:val="none" w:sz="0" w:space="0" w:color="auto"/>
          </w:divBdr>
        </w:div>
      </w:divsChild>
    </w:div>
    <w:div w:id="322317532">
      <w:bodyDiv w:val="1"/>
      <w:marLeft w:val="0"/>
      <w:marRight w:val="0"/>
      <w:marTop w:val="0"/>
      <w:marBottom w:val="0"/>
      <w:divBdr>
        <w:top w:val="none" w:sz="0" w:space="0" w:color="auto"/>
        <w:left w:val="none" w:sz="0" w:space="0" w:color="auto"/>
        <w:bottom w:val="none" w:sz="0" w:space="0" w:color="auto"/>
        <w:right w:val="none" w:sz="0" w:space="0" w:color="auto"/>
      </w:divBdr>
      <w:divsChild>
        <w:div w:id="1283537401">
          <w:marLeft w:val="0"/>
          <w:marRight w:val="0"/>
          <w:marTop w:val="0"/>
          <w:marBottom w:val="0"/>
          <w:divBdr>
            <w:top w:val="none" w:sz="0" w:space="0" w:color="auto"/>
            <w:left w:val="none" w:sz="0" w:space="0" w:color="auto"/>
            <w:bottom w:val="none" w:sz="0" w:space="0" w:color="auto"/>
            <w:right w:val="none" w:sz="0" w:space="0" w:color="auto"/>
          </w:divBdr>
        </w:div>
      </w:divsChild>
    </w:div>
    <w:div w:id="326785658">
      <w:bodyDiv w:val="1"/>
      <w:marLeft w:val="0"/>
      <w:marRight w:val="0"/>
      <w:marTop w:val="0"/>
      <w:marBottom w:val="0"/>
      <w:divBdr>
        <w:top w:val="none" w:sz="0" w:space="0" w:color="auto"/>
        <w:left w:val="none" w:sz="0" w:space="0" w:color="auto"/>
        <w:bottom w:val="none" w:sz="0" w:space="0" w:color="auto"/>
        <w:right w:val="none" w:sz="0" w:space="0" w:color="auto"/>
      </w:divBdr>
      <w:divsChild>
        <w:div w:id="1118332281">
          <w:marLeft w:val="0"/>
          <w:marRight w:val="0"/>
          <w:marTop w:val="120"/>
          <w:marBottom w:val="0"/>
          <w:divBdr>
            <w:top w:val="none" w:sz="0" w:space="0" w:color="auto"/>
            <w:left w:val="none" w:sz="0" w:space="0" w:color="auto"/>
            <w:bottom w:val="none" w:sz="0" w:space="0" w:color="auto"/>
            <w:right w:val="none" w:sz="0" w:space="0" w:color="auto"/>
          </w:divBdr>
        </w:div>
        <w:div w:id="1740327531">
          <w:marLeft w:val="0"/>
          <w:marRight w:val="0"/>
          <w:marTop w:val="0"/>
          <w:marBottom w:val="0"/>
          <w:divBdr>
            <w:top w:val="none" w:sz="0" w:space="0" w:color="auto"/>
            <w:left w:val="none" w:sz="0" w:space="0" w:color="auto"/>
            <w:bottom w:val="none" w:sz="0" w:space="0" w:color="auto"/>
            <w:right w:val="none" w:sz="0" w:space="0" w:color="auto"/>
          </w:divBdr>
        </w:div>
      </w:divsChild>
    </w:div>
    <w:div w:id="328141592">
      <w:bodyDiv w:val="1"/>
      <w:marLeft w:val="0"/>
      <w:marRight w:val="0"/>
      <w:marTop w:val="0"/>
      <w:marBottom w:val="0"/>
      <w:divBdr>
        <w:top w:val="none" w:sz="0" w:space="0" w:color="auto"/>
        <w:left w:val="none" w:sz="0" w:space="0" w:color="auto"/>
        <w:bottom w:val="none" w:sz="0" w:space="0" w:color="auto"/>
        <w:right w:val="none" w:sz="0" w:space="0" w:color="auto"/>
      </w:divBdr>
      <w:divsChild>
        <w:div w:id="2079404229">
          <w:marLeft w:val="0"/>
          <w:marRight w:val="0"/>
          <w:marTop w:val="120"/>
          <w:marBottom w:val="0"/>
          <w:divBdr>
            <w:top w:val="none" w:sz="0" w:space="0" w:color="auto"/>
            <w:left w:val="none" w:sz="0" w:space="0" w:color="auto"/>
            <w:bottom w:val="none" w:sz="0" w:space="0" w:color="auto"/>
            <w:right w:val="none" w:sz="0" w:space="0" w:color="auto"/>
          </w:divBdr>
        </w:div>
        <w:div w:id="375668370">
          <w:marLeft w:val="0"/>
          <w:marRight w:val="0"/>
          <w:marTop w:val="0"/>
          <w:marBottom w:val="0"/>
          <w:divBdr>
            <w:top w:val="none" w:sz="0" w:space="0" w:color="auto"/>
            <w:left w:val="none" w:sz="0" w:space="0" w:color="auto"/>
            <w:bottom w:val="none" w:sz="0" w:space="0" w:color="auto"/>
            <w:right w:val="none" w:sz="0" w:space="0" w:color="auto"/>
          </w:divBdr>
          <w:divsChild>
            <w:div w:id="779253654">
              <w:marLeft w:val="0"/>
              <w:marRight w:val="0"/>
              <w:marTop w:val="0"/>
              <w:marBottom w:val="0"/>
              <w:divBdr>
                <w:top w:val="none" w:sz="0" w:space="0" w:color="auto"/>
                <w:left w:val="none" w:sz="0" w:space="0" w:color="auto"/>
                <w:bottom w:val="none" w:sz="0" w:space="0" w:color="auto"/>
                <w:right w:val="none" w:sz="0" w:space="0" w:color="auto"/>
              </w:divBdr>
              <w:divsChild>
                <w:div w:id="513610058">
                  <w:marLeft w:val="0"/>
                  <w:marRight w:val="0"/>
                  <w:marTop w:val="120"/>
                  <w:marBottom w:val="0"/>
                  <w:divBdr>
                    <w:top w:val="none" w:sz="0" w:space="0" w:color="auto"/>
                    <w:left w:val="none" w:sz="0" w:space="0" w:color="auto"/>
                    <w:bottom w:val="none" w:sz="0" w:space="0" w:color="auto"/>
                    <w:right w:val="none" w:sz="0" w:space="0" w:color="auto"/>
                  </w:divBdr>
                </w:div>
                <w:div w:id="636030604">
                  <w:marLeft w:val="0"/>
                  <w:marRight w:val="0"/>
                  <w:marTop w:val="0"/>
                  <w:marBottom w:val="0"/>
                  <w:divBdr>
                    <w:top w:val="none" w:sz="0" w:space="0" w:color="auto"/>
                    <w:left w:val="none" w:sz="0" w:space="0" w:color="auto"/>
                    <w:bottom w:val="none" w:sz="0" w:space="0" w:color="auto"/>
                    <w:right w:val="none" w:sz="0" w:space="0" w:color="auto"/>
                  </w:divBdr>
                  <w:divsChild>
                    <w:div w:id="1257860026">
                      <w:marLeft w:val="0"/>
                      <w:marRight w:val="0"/>
                      <w:marTop w:val="0"/>
                      <w:marBottom w:val="0"/>
                      <w:divBdr>
                        <w:top w:val="none" w:sz="0" w:space="0" w:color="auto"/>
                        <w:left w:val="none" w:sz="0" w:space="0" w:color="auto"/>
                        <w:bottom w:val="none" w:sz="0" w:space="0" w:color="auto"/>
                        <w:right w:val="none" w:sz="0" w:space="0" w:color="auto"/>
                      </w:divBdr>
                      <w:divsChild>
                        <w:div w:id="1565406621">
                          <w:marLeft w:val="0"/>
                          <w:marRight w:val="0"/>
                          <w:marTop w:val="120"/>
                          <w:marBottom w:val="0"/>
                          <w:divBdr>
                            <w:top w:val="none" w:sz="0" w:space="0" w:color="auto"/>
                            <w:left w:val="none" w:sz="0" w:space="0" w:color="auto"/>
                            <w:bottom w:val="none" w:sz="0" w:space="0" w:color="auto"/>
                            <w:right w:val="none" w:sz="0" w:space="0" w:color="auto"/>
                          </w:divBdr>
                        </w:div>
                        <w:div w:id="1410080545">
                          <w:marLeft w:val="0"/>
                          <w:marRight w:val="0"/>
                          <w:marTop w:val="0"/>
                          <w:marBottom w:val="0"/>
                          <w:divBdr>
                            <w:top w:val="none" w:sz="0" w:space="0" w:color="auto"/>
                            <w:left w:val="none" w:sz="0" w:space="0" w:color="auto"/>
                            <w:bottom w:val="none" w:sz="0" w:space="0" w:color="auto"/>
                            <w:right w:val="none" w:sz="0" w:space="0" w:color="auto"/>
                          </w:divBdr>
                        </w:div>
                      </w:divsChild>
                    </w:div>
                    <w:div w:id="1487238990">
                      <w:marLeft w:val="0"/>
                      <w:marRight w:val="0"/>
                      <w:marTop w:val="0"/>
                      <w:marBottom w:val="0"/>
                      <w:divBdr>
                        <w:top w:val="none" w:sz="0" w:space="0" w:color="auto"/>
                        <w:left w:val="none" w:sz="0" w:space="0" w:color="auto"/>
                        <w:bottom w:val="none" w:sz="0" w:space="0" w:color="auto"/>
                        <w:right w:val="none" w:sz="0" w:space="0" w:color="auto"/>
                      </w:divBdr>
                      <w:divsChild>
                        <w:div w:id="1580285578">
                          <w:marLeft w:val="0"/>
                          <w:marRight w:val="0"/>
                          <w:marTop w:val="120"/>
                          <w:marBottom w:val="0"/>
                          <w:divBdr>
                            <w:top w:val="none" w:sz="0" w:space="0" w:color="auto"/>
                            <w:left w:val="none" w:sz="0" w:space="0" w:color="auto"/>
                            <w:bottom w:val="none" w:sz="0" w:space="0" w:color="auto"/>
                            <w:right w:val="none" w:sz="0" w:space="0" w:color="auto"/>
                          </w:divBdr>
                        </w:div>
                        <w:div w:id="1008673303">
                          <w:marLeft w:val="0"/>
                          <w:marRight w:val="0"/>
                          <w:marTop w:val="0"/>
                          <w:marBottom w:val="0"/>
                          <w:divBdr>
                            <w:top w:val="none" w:sz="0" w:space="0" w:color="auto"/>
                            <w:left w:val="none" w:sz="0" w:space="0" w:color="auto"/>
                            <w:bottom w:val="none" w:sz="0" w:space="0" w:color="auto"/>
                            <w:right w:val="none" w:sz="0" w:space="0" w:color="auto"/>
                          </w:divBdr>
                        </w:div>
                      </w:divsChild>
                    </w:div>
                    <w:div w:id="1485514682">
                      <w:marLeft w:val="0"/>
                      <w:marRight w:val="0"/>
                      <w:marTop w:val="0"/>
                      <w:marBottom w:val="0"/>
                      <w:divBdr>
                        <w:top w:val="none" w:sz="0" w:space="0" w:color="auto"/>
                        <w:left w:val="none" w:sz="0" w:space="0" w:color="auto"/>
                        <w:bottom w:val="none" w:sz="0" w:space="0" w:color="auto"/>
                        <w:right w:val="none" w:sz="0" w:space="0" w:color="auto"/>
                      </w:divBdr>
                      <w:divsChild>
                        <w:div w:id="184710919">
                          <w:marLeft w:val="0"/>
                          <w:marRight w:val="0"/>
                          <w:marTop w:val="120"/>
                          <w:marBottom w:val="0"/>
                          <w:divBdr>
                            <w:top w:val="none" w:sz="0" w:space="0" w:color="auto"/>
                            <w:left w:val="none" w:sz="0" w:space="0" w:color="auto"/>
                            <w:bottom w:val="none" w:sz="0" w:space="0" w:color="auto"/>
                            <w:right w:val="none" w:sz="0" w:space="0" w:color="auto"/>
                          </w:divBdr>
                        </w:div>
                        <w:div w:id="207547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810292">
              <w:marLeft w:val="0"/>
              <w:marRight w:val="0"/>
              <w:marTop w:val="0"/>
              <w:marBottom w:val="0"/>
              <w:divBdr>
                <w:top w:val="none" w:sz="0" w:space="0" w:color="auto"/>
                <w:left w:val="none" w:sz="0" w:space="0" w:color="auto"/>
                <w:bottom w:val="none" w:sz="0" w:space="0" w:color="auto"/>
                <w:right w:val="none" w:sz="0" w:space="0" w:color="auto"/>
              </w:divBdr>
              <w:divsChild>
                <w:div w:id="1783451385">
                  <w:marLeft w:val="0"/>
                  <w:marRight w:val="0"/>
                  <w:marTop w:val="120"/>
                  <w:marBottom w:val="0"/>
                  <w:divBdr>
                    <w:top w:val="none" w:sz="0" w:space="0" w:color="auto"/>
                    <w:left w:val="none" w:sz="0" w:space="0" w:color="auto"/>
                    <w:bottom w:val="none" w:sz="0" w:space="0" w:color="auto"/>
                    <w:right w:val="none" w:sz="0" w:space="0" w:color="auto"/>
                  </w:divBdr>
                </w:div>
                <w:div w:id="132593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6511">
      <w:bodyDiv w:val="1"/>
      <w:marLeft w:val="0"/>
      <w:marRight w:val="0"/>
      <w:marTop w:val="0"/>
      <w:marBottom w:val="0"/>
      <w:divBdr>
        <w:top w:val="none" w:sz="0" w:space="0" w:color="auto"/>
        <w:left w:val="none" w:sz="0" w:space="0" w:color="auto"/>
        <w:bottom w:val="none" w:sz="0" w:space="0" w:color="auto"/>
        <w:right w:val="none" w:sz="0" w:space="0" w:color="auto"/>
      </w:divBdr>
      <w:divsChild>
        <w:div w:id="736710556">
          <w:marLeft w:val="0"/>
          <w:marRight w:val="0"/>
          <w:marTop w:val="120"/>
          <w:marBottom w:val="0"/>
          <w:divBdr>
            <w:top w:val="none" w:sz="0" w:space="0" w:color="auto"/>
            <w:left w:val="none" w:sz="0" w:space="0" w:color="auto"/>
            <w:bottom w:val="none" w:sz="0" w:space="0" w:color="auto"/>
            <w:right w:val="none" w:sz="0" w:space="0" w:color="auto"/>
          </w:divBdr>
        </w:div>
        <w:div w:id="798188068">
          <w:marLeft w:val="0"/>
          <w:marRight w:val="0"/>
          <w:marTop w:val="0"/>
          <w:marBottom w:val="0"/>
          <w:divBdr>
            <w:top w:val="none" w:sz="0" w:space="0" w:color="auto"/>
            <w:left w:val="none" w:sz="0" w:space="0" w:color="auto"/>
            <w:bottom w:val="none" w:sz="0" w:space="0" w:color="auto"/>
            <w:right w:val="none" w:sz="0" w:space="0" w:color="auto"/>
          </w:divBdr>
        </w:div>
      </w:divsChild>
    </w:div>
    <w:div w:id="333149265">
      <w:bodyDiv w:val="1"/>
      <w:marLeft w:val="0"/>
      <w:marRight w:val="0"/>
      <w:marTop w:val="0"/>
      <w:marBottom w:val="0"/>
      <w:divBdr>
        <w:top w:val="none" w:sz="0" w:space="0" w:color="auto"/>
        <w:left w:val="none" w:sz="0" w:space="0" w:color="auto"/>
        <w:bottom w:val="none" w:sz="0" w:space="0" w:color="auto"/>
        <w:right w:val="none" w:sz="0" w:space="0" w:color="auto"/>
      </w:divBdr>
      <w:divsChild>
        <w:div w:id="427892772">
          <w:marLeft w:val="0"/>
          <w:marRight w:val="0"/>
          <w:marTop w:val="0"/>
          <w:marBottom w:val="0"/>
          <w:divBdr>
            <w:top w:val="none" w:sz="0" w:space="0" w:color="auto"/>
            <w:left w:val="none" w:sz="0" w:space="0" w:color="auto"/>
            <w:bottom w:val="none" w:sz="0" w:space="0" w:color="auto"/>
            <w:right w:val="none" w:sz="0" w:space="0" w:color="auto"/>
          </w:divBdr>
        </w:div>
      </w:divsChild>
    </w:div>
    <w:div w:id="340279025">
      <w:bodyDiv w:val="1"/>
      <w:marLeft w:val="0"/>
      <w:marRight w:val="0"/>
      <w:marTop w:val="0"/>
      <w:marBottom w:val="0"/>
      <w:divBdr>
        <w:top w:val="none" w:sz="0" w:space="0" w:color="auto"/>
        <w:left w:val="none" w:sz="0" w:space="0" w:color="auto"/>
        <w:bottom w:val="none" w:sz="0" w:space="0" w:color="auto"/>
        <w:right w:val="none" w:sz="0" w:space="0" w:color="auto"/>
      </w:divBdr>
      <w:divsChild>
        <w:div w:id="1059401688">
          <w:marLeft w:val="0"/>
          <w:marRight w:val="0"/>
          <w:marTop w:val="0"/>
          <w:marBottom w:val="0"/>
          <w:divBdr>
            <w:top w:val="none" w:sz="0" w:space="0" w:color="auto"/>
            <w:left w:val="none" w:sz="0" w:space="0" w:color="auto"/>
            <w:bottom w:val="none" w:sz="0" w:space="0" w:color="auto"/>
            <w:right w:val="none" w:sz="0" w:space="0" w:color="auto"/>
          </w:divBdr>
          <w:divsChild>
            <w:div w:id="1767920447">
              <w:marLeft w:val="0"/>
              <w:marRight w:val="0"/>
              <w:marTop w:val="0"/>
              <w:marBottom w:val="0"/>
              <w:divBdr>
                <w:top w:val="none" w:sz="0" w:space="0" w:color="auto"/>
                <w:left w:val="none" w:sz="0" w:space="0" w:color="auto"/>
                <w:bottom w:val="none" w:sz="0" w:space="0" w:color="auto"/>
                <w:right w:val="none" w:sz="0" w:space="0" w:color="auto"/>
              </w:divBdr>
              <w:divsChild>
                <w:div w:id="651059143">
                  <w:marLeft w:val="0"/>
                  <w:marRight w:val="0"/>
                  <w:marTop w:val="120"/>
                  <w:marBottom w:val="0"/>
                  <w:divBdr>
                    <w:top w:val="none" w:sz="0" w:space="0" w:color="auto"/>
                    <w:left w:val="none" w:sz="0" w:space="0" w:color="auto"/>
                    <w:bottom w:val="none" w:sz="0" w:space="0" w:color="auto"/>
                    <w:right w:val="none" w:sz="0" w:space="0" w:color="auto"/>
                  </w:divBdr>
                </w:div>
                <w:div w:id="1890218328">
                  <w:marLeft w:val="0"/>
                  <w:marRight w:val="0"/>
                  <w:marTop w:val="0"/>
                  <w:marBottom w:val="0"/>
                  <w:divBdr>
                    <w:top w:val="none" w:sz="0" w:space="0" w:color="auto"/>
                    <w:left w:val="none" w:sz="0" w:space="0" w:color="auto"/>
                    <w:bottom w:val="none" w:sz="0" w:space="0" w:color="auto"/>
                    <w:right w:val="none" w:sz="0" w:space="0" w:color="auto"/>
                  </w:divBdr>
                </w:div>
              </w:divsChild>
            </w:div>
            <w:div w:id="1858956832">
              <w:marLeft w:val="0"/>
              <w:marRight w:val="0"/>
              <w:marTop w:val="0"/>
              <w:marBottom w:val="0"/>
              <w:divBdr>
                <w:top w:val="none" w:sz="0" w:space="0" w:color="auto"/>
                <w:left w:val="none" w:sz="0" w:space="0" w:color="auto"/>
                <w:bottom w:val="none" w:sz="0" w:space="0" w:color="auto"/>
                <w:right w:val="none" w:sz="0" w:space="0" w:color="auto"/>
              </w:divBdr>
              <w:divsChild>
                <w:div w:id="752896004">
                  <w:marLeft w:val="0"/>
                  <w:marRight w:val="0"/>
                  <w:marTop w:val="120"/>
                  <w:marBottom w:val="0"/>
                  <w:divBdr>
                    <w:top w:val="none" w:sz="0" w:space="0" w:color="auto"/>
                    <w:left w:val="none" w:sz="0" w:space="0" w:color="auto"/>
                    <w:bottom w:val="none" w:sz="0" w:space="0" w:color="auto"/>
                    <w:right w:val="none" w:sz="0" w:space="0" w:color="auto"/>
                  </w:divBdr>
                </w:div>
                <w:div w:id="1591356132">
                  <w:marLeft w:val="0"/>
                  <w:marRight w:val="0"/>
                  <w:marTop w:val="0"/>
                  <w:marBottom w:val="0"/>
                  <w:divBdr>
                    <w:top w:val="none" w:sz="0" w:space="0" w:color="auto"/>
                    <w:left w:val="none" w:sz="0" w:space="0" w:color="auto"/>
                    <w:bottom w:val="none" w:sz="0" w:space="0" w:color="auto"/>
                    <w:right w:val="none" w:sz="0" w:space="0" w:color="auto"/>
                  </w:divBdr>
                </w:div>
              </w:divsChild>
            </w:div>
            <w:div w:id="896626116">
              <w:marLeft w:val="0"/>
              <w:marRight w:val="0"/>
              <w:marTop w:val="0"/>
              <w:marBottom w:val="0"/>
              <w:divBdr>
                <w:top w:val="none" w:sz="0" w:space="0" w:color="auto"/>
                <w:left w:val="none" w:sz="0" w:space="0" w:color="auto"/>
                <w:bottom w:val="none" w:sz="0" w:space="0" w:color="auto"/>
                <w:right w:val="none" w:sz="0" w:space="0" w:color="auto"/>
              </w:divBdr>
              <w:divsChild>
                <w:div w:id="1864392290">
                  <w:marLeft w:val="0"/>
                  <w:marRight w:val="0"/>
                  <w:marTop w:val="120"/>
                  <w:marBottom w:val="0"/>
                  <w:divBdr>
                    <w:top w:val="none" w:sz="0" w:space="0" w:color="auto"/>
                    <w:left w:val="none" w:sz="0" w:space="0" w:color="auto"/>
                    <w:bottom w:val="none" w:sz="0" w:space="0" w:color="auto"/>
                    <w:right w:val="none" w:sz="0" w:space="0" w:color="auto"/>
                  </w:divBdr>
                </w:div>
                <w:div w:id="2106031281">
                  <w:marLeft w:val="0"/>
                  <w:marRight w:val="0"/>
                  <w:marTop w:val="0"/>
                  <w:marBottom w:val="0"/>
                  <w:divBdr>
                    <w:top w:val="none" w:sz="0" w:space="0" w:color="auto"/>
                    <w:left w:val="none" w:sz="0" w:space="0" w:color="auto"/>
                    <w:bottom w:val="none" w:sz="0" w:space="0" w:color="auto"/>
                    <w:right w:val="none" w:sz="0" w:space="0" w:color="auto"/>
                  </w:divBdr>
                </w:div>
              </w:divsChild>
            </w:div>
            <w:div w:id="1671056059">
              <w:marLeft w:val="0"/>
              <w:marRight w:val="0"/>
              <w:marTop w:val="0"/>
              <w:marBottom w:val="0"/>
              <w:divBdr>
                <w:top w:val="none" w:sz="0" w:space="0" w:color="auto"/>
                <w:left w:val="none" w:sz="0" w:space="0" w:color="auto"/>
                <w:bottom w:val="none" w:sz="0" w:space="0" w:color="auto"/>
                <w:right w:val="none" w:sz="0" w:space="0" w:color="auto"/>
              </w:divBdr>
              <w:divsChild>
                <w:div w:id="655915794">
                  <w:marLeft w:val="0"/>
                  <w:marRight w:val="0"/>
                  <w:marTop w:val="120"/>
                  <w:marBottom w:val="0"/>
                  <w:divBdr>
                    <w:top w:val="none" w:sz="0" w:space="0" w:color="auto"/>
                    <w:left w:val="none" w:sz="0" w:space="0" w:color="auto"/>
                    <w:bottom w:val="none" w:sz="0" w:space="0" w:color="auto"/>
                    <w:right w:val="none" w:sz="0" w:space="0" w:color="auto"/>
                  </w:divBdr>
                </w:div>
                <w:div w:id="29649950">
                  <w:marLeft w:val="0"/>
                  <w:marRight w:val="0"/>
                  <w:marTop w:val="0"/>
                  <w:marBottom w:val="0"/>
                  <w:divBdr>
                    <w:top w:val="none" w:sz="0" w:space="0" w:color="auto"/>
                    <w:left w:val="none" w:sz="0" w:space="0" w:color="auto"/>
                    <w:bottom w:val="none" w:sz="0" w:space="0" w:color="auto"/>
                    <w:right w:val="none" w:sz="0" w:space="0" w:color="auto"/>
                  </w:divBdr>
                </w:div>
              </w:divsChild>
            </w:div>
            <w:div w:id="581185523">
              <w:marLeft w:val="0"/>
              <w:marRight w:val="0"/>
              <w:marTop w:val="0"/>
              <w:marBottom w:val="0"/>
              <w:divBdr>
                <w:top w:val="none" w:sz="0" w:space="0" w:color="auto"/>
                <w:left w:val="none" w:sz="0" w:space="0" w:color="auto"/>
                <w:bottom w:val="none" w:sz="0" w:space="0" w:color="auto"/>
                <w:right w:val="none" w:sz="0" w:space="0" w:color="auto"/>
              </w:divBdr>
              <w:divsChild>
                <w:div w:id="2082751038">
                  <w:marLeft w:val="0"/>
                  <w:marRight w:val="0"/>
                  <w:marTop w:val="120"/>
                  <w:marBottom w:val="0"/>
                  <w:divBdr>
                    <w:top w:val="none" w:sz="0" w:space="0" w:color="auto"/>
                    <w:left w:val="none" w:sz="0" w:space="0" w:color="auto"/>
                    <w:bottom w:val="none" w:sz="0" w:space="0" w:color="auto"/>
                    <w:right w:val="none" w:sz="0" w:space="0" w:color="auto"/>
                  </w:divBdr>
                </w:div>
                <w:div w:id="1923291712">
                  <w:marLeft w:val="0"/>
                  <w:marRight w:val="0"/>
                  <w:marTop w:val="0"/>
                  <w:marBottom w:val="0"/>
                  <w:divBdr>
                    <w:top w:val="none" w:sz="0" w:space="0" w:color="auto"/>
                    <w:left w:val="none" w:sz="0" w:space="0" w:color="auto"/>
                    <w:bottom w:val="none" w:sz="0" w:space="0" w:color="auto"/>
                    <w:right w:val="none" w:sz="0" w:space="0" w:color="auto"/>
                  </w:divBdr>
                </w:div>
              </w:divsChild>
            </w:div>
            <w:div w:id="1188718293">
              <w:marLeft w:val="0"/>
              <w:marRight w:val="0"/>
              <w:marTop w:val="0"/>
              <w:marBottom w:val="0"/>
              <w:divBdr>
                <w:top w:val="none" w:sz="0" w:space="0" w:color="auto"/>
                <w:left w:val="none" w:sz="0" w:space="0" w:color="auto"/>
                <w:bottom w:val="none" w:sz="0" w:space="0" w:color="auto"/>
                <w:right w:val="none" w:sz="0" w:space="0" w:color="auto"/>
              </w:divBdr>
              <w:divsChild>
                <w:div w:id="338511334">
                  <w:marLeft w:val="0"/>
                  <w:marRight w:val="0"/>
                  <w:marTop w:val="120"/>
                  <w:marBottom w:val="0"/>
                  <w:divBdr>
                    <w:top w:val="none" w:sz="0" w:space="0" w:color="auto"/>
                    <w:left w:val="none" w:sz="0" w:space="0" w:color="auto"/>
                    <w:bottom w:val="none" w:sz="0" w:space="0" w:color="auto"/>
                    <w:right w:val="none" w:sz="0" w:space="0" w:color="auto"/>
                  </w:divBdr>
                </w:div>
                <w:div w:id="451751491">
                  <w:marLeft w:val="0"/>
                  <w:marRight w:val="0"/>
                  <w:marTop w:val="0"/>
                  <w:marBottom w:val="0"/>
                  <w:divBdr>
                    <w:top w:val="none" w:sz="0" w:space="0" w:color="auto"/>
                    <w:left w:val="none" w:sz="0" w:space="0" w:color="auto"/>
                    <w:bottom w:val="none" w:sz="0" w:space="0" w:color="auto"/>
                    <w:right w:val="none" w:sz="0" w:space="0" w:color="auto"/>
                  </w:divBdr>
                </w:div>
              </w:divsChild>
            </w:div>
            <w:div w:id="582374746">
              <w:marLeft w:val="0"/>
              <w:marRight w:val="0"/>
              <w:marTop w:val="0"/>
              <w:marBottom w:val="0"/>
              <w:divBdr>
                <w:top w:val="none" w:sz="0" w:space="0" w:color="auto"/>
                <w:left w:val="none" w:sz="0" w:space="0" w:color="auto"/>
                <w:bottom w:val="none" w:sz="0" w:space="0" w:color="auto"/>
                <w:right w:val="none" w:sz="0" w:space="0" w:color="auto"/>
              </w:divBdr>
              <w:divsChild>
                <w:div w:id="581064478">
                  <w:marLeft w:val="0"/>
                  <w:marRight w:val="0"/>
                  <w:marTop w:val="120"/>
                  <w:marBottom w:val="0"/>
                  <w:divBdr>
                    <w:top w:val="none" w:sz="0" w:space="0" w:color="auto"/>
                    <w:left w:val="none" w:sz="0" w:space="0" w:color="auto"/>
                    <w:bottom w:val="none" w:sz="0" w:space="0" w:color="auto"/>
                    <w:right w:val="none" w:sz="0" w:space="0" w:color="auto"/>
                  </w:divBdr>
                </w:div>
                <w:div w:id="997349006">
                  <w:marLeft w:val="0"/>
                  <w:marRight w:val="0"/>
                  <w:marTop w:val="0"/>
                  <w:marBottom w:val="0"/>
                  <w:divBdr>
                    <w:top w:val="none" w:sz="0" w:space="0" w:color="auto"/>
                    <w:left w:val="none" w:sz="0" w:space="0" w:color="auto"/>
                    <w:bottom w:val="none" w:sz="0" w:space="0" w:color="auto"/>
                    <w:right w:val="none" w:sz="0" w:space="0" w:color="auto"/>
                  </w:divBdr>
                </w:div>
              </w:divsChild>
            </w:div>
            <w:div w:id="580673952">
              <w:marLeft w:val="0"/>
              <w:marRight w:val="0"/>
              <w:marTop w:val="0"/>
              <w:marBottom w:val="0"/>
              <w:divBdr>
                <w:top w:val="none" w:sz="0" w:space="0" w:color="auto"/>
                <w:left w:val="none" w:sz="0" w:space="0" w:color="auto"/>
                <w:bottom w:val="none" w:sz="0" w:space="0" w:color="auto"/>
                <w:right w:val="none" w:sz="0" w:space="0" w:color="auto"/>
              </w:divBdr>
              <w:divsChild>
                <w:div w:id="1981567478">
                  <w:marLeft w:val="0"/>
                  <w:marRight w:val="0"/>
                  <w:marTop w:val="120"/>
                  <w:marBottom w:val="0"/>
                  <w:divBdr>
                    <w:top w:val="none" w:sz="0" w:space="0" w:color="auto"/>
                    <w:left w:val="none" w:sz="0" w:space="0" w:color="auto"/>
                    <w:bottom w:val="none" w:sz="0" w:space="0" w:color="auto"/>
                    <w:right w:val="none" w:sz="0" w:space="0" w:color="auto"/>
                  </w:divBdr>
                </w:div>
                <w:div w:id="1487085961">
                  <w:marLeft w:val="0"/>
                  <w:marRight w:val="0"/>
                  <w:marTop w:val="0"/>
                  <w:marBottom w:val="0"/>
                  <w:divBdr>
                    <w:top w:val="none" w:sz="0" w:space="0" w:color="auto"/>
                    <w:left w:val="none" w:sz="0" w:space="0" w:color="auto"/>
                    <w:bottom w:val="none" w:sz="0" w:space="0" w:color="auto"/>
                    <w:right w:val="none" w:sz="0" w:space="0" w:color="auto"/>
                  </w:divBdr>
                </w:div>
              </w:divsChild>
            </w:div>
            <w:div w:id="2030639714">
              <w:marLeft w:val="0"/>
              <w:marRight w:val="0"/>
              <w:marTop w:val="0"/>
              <w:marBottom w:val="0"/>
              <w:divBdr>
                <w:top w:val="none" w:sz="0" w:space="0" w:color="auto"/>
                <w:left w:val="none" w:sz="0" w:space="0" w:color="auto"/>
                <w:bottom w:val="none" w:sz="0" w:space="0" w:color="auto"/>
                <w:right w:val="none" w:sz="0" w:space="0" w:color="auto"/>
              </w:divBdr>
              <w:divsChild>
                <w:div w:id="1357198180">
                  <w:marLeft w:val="0"/>
                  <w:marRight w:val="0"/>
                  <w:marTop w:val="120"/>
                  <w:marBottom w:val="0"/>
                  <w:divBdr>
                    <w:top w:val="none" w:sz="0" w:space="0" w:color="auto"/>
                    <w:left w:val="none" w:sz="0" w:space="0" w:color="auto"/>
                    <w:bottom w:val="none" w:sz="0" w:space="0" w:color="auto"/>
                    <w:right w:val="none" w:sz="0" w:space="0" w:color="auto"/>
                  </w:divBdr>
                </w:div>
                <w:div w:id="6757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863000">
      <w:bodyDiv w:val="1"/>
      <w:marLeft w:val="0"/>
      <w:marRight w:val="0"/>
      <w:marTop w:val="0"/>
      <w:marBottom w:val="0"/>
      <w:divBdr>
        <w:top w:val="none" w:sz="0" w:space="0" w:color="auto"/>
        <w:left w:val="none" w:sz="0" w:space="0" w:color="auto"/>
        <w:bottom w:val="none" w:sz="0" w:space="0" w:color="auto"/>
        <w:right w:val="none" w:sz="0" w:space="0" w:color="auto"/>
      </w:divBdr>
      <w:divsChild>
        <w:div w:id="1610315067">
          <w:marLeft w:val="0"/>
          <w:marRight w:val="0"/>
          <w:marTop w:val="0"/>
          <w:marBottom w:val="0"/>
          <w:divBdr>
            <w:top w:val="none" w:sz="0" w:space="0" w:color="auto"/>
            <w:left w:val="none" w:sz="0" w:space="0" w:color="auto"/>
            <w:bottom w:val="none" w:sz="0" w:space="0" w:color="auto"/>
            <w:right w:val="none" w:sz="0" w:space="0" w:color="auto"/>
          </w:divBdr>
        </w:div>
      </w:divsChild>
    </w:div>
    <w:div w:id="346639330">
      <w:bodyDiv w:val="1"/>
      <w:marLeft w:val="0"/>
      <w:marRight w:val="0"/>
      <w:marTop w:val="0"/>
      <w:marBottom w:val="0"/>
      <w:divBdr>
        <w:top w:val="none" w:sz="0" w:space="0" w:color="auto"/>
        <w:left w:val="none" w:sz="0" w:space="0" w:color="auto"/>
        <w:bottom w:val="none" w:sz="0" w:space="0" w:color="auto"/>
        <w:right w:val="none" w:sz="0" w:space="0" w:color="auto"/>
      </w:divBdr>
      <w:divsChild>
        <w:div w:id="367875699">
          <w:marLeft w:val="0"/>
          <w:marRight w:val="0"/>
          <w:marTop w:val="0"/>
          <w:marBottom w:val="0"/>
          <w:divBdr>
            <w:top w:val="none" w:sz="0" w:space="0" w:color="auto"/>
            <w:left w:val="none" w:sz="0" w:space="0" w:color="auto"/>
            <w:bottom w:val="none" w:sz="0" w:space="0" w:color="auto"/>
            <w:right w:val="none" w:sz="0" w:space="0" w:color="auto"/>
          </w:divBdr>
          <w:divsChild>
            <w:div w:id="1251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063517">
      <w:bodyDiv w:val="1"/>
      <w:marLeft w:val="0"/>
      <w:marRight w:val="0"/>
      <w:marTop w:val="0"/>
      <w:marBottom w:val="0"/>
      <w:divBdr>
        <w:top w:val="none" w:sz="0" w:space="0" w:color="auto"/>
        <w:left w:val="none" w:sz="0" w:space="0" w:color="auto"/>
        <w:bottom w:val="none" w:sz="0" w:space="0" w:color="auto"/>
        <w:right w:val="none" w:sz="0" w:space="0" w:color="auto"/>
      </w:divBdr>
      <w:divsChild>
        <w:div w:id="1110471311">
          <w:marLeft w:val="0"/>
          <w:marRight w:val="0"/>
          <w:marTop w:val="0"/>
          <w:marBottom w:val="0"/>
          <w:divBdr>
            <w:top w:val="none" w:sz="0" w:space="0" w:color="auto"/>
            <w:left w:val="none" w:sz="0" w:space="0" w:color="auto"/>
            <w:bottom w:val="none" w:sz="0" w:space="0" w:color="auto"/>
            <w:right w:val="none" w:sz="0" w:space="0" w:color="auto"/>
          </w:divBdr>
          <w:divsChild>
            <w:div w:id="885096352">
              <w:marLeft w:val="0"/>
              <w:marRight w:val="0"/>
              <w:marTop w:val="0"/>
              <w:marBottom w:val="0"/>
              <w:divBdr>
                <w:top w:val="none" w:sz="0" w:space="0" w:color="auto"/>
                <w:left w:val="none" w:sz="0" w:space="0" w:color="auto"/>
                <w:bottom w:val="none" w:sz="0" w:space="0" w:color="auto"/>
                <w:right w:val="none" w:sz="0" w:space="0" w:color="auto"/>
              </w:divBdr>
            </w:div>
          </w:divsChild>
        </w:div>
        <w:div w:id="1863516297">
          <w:marLeft w:val="0"/>
          <w:marRight w:val="0"/>
          <w:marTop w:val="0"/>
          <w:marBottom w:val="0"/>
          <w:divBdr>
            <w:top w:val="none" w:sz="0" w:space="0" w:color="auto"/>
            <w:left w:val="none" w:sz="0" w:space="0" w:color="auto"/>
            <w:bottom w:val="none" w:sz="0" w:space="0" w:color="auto"/>
            <w:right w:val="none" w:sz="0" w:space="0" w:color="auto"/>
          </w:divBdr>
          <w:divsChild>
            <w:div w:id="683434544">
              <w:marLeft w:val="0"/>
              <w:marRight w:val="0"/>
              <w:marTop w:val="0"/>
              <w:marBottom w:val="0"/>
              <w:divBdr>
                <w:top w:val="none" w:sz="0" w:space="0" w:color="auto"/>
                <w:left w:val="none" w:sz="0" w:space="0" w:color="auto"/>
                <w:bottom w:val="none" w:sz="0" w:space="0" w:color="auto"/>
                <w:right w:val="none" w:sz="0" w:space="0" w:color="auto"/>
              </w:divBdr>
              <w:divsChild>
                <w:div w:id="1228147347">
                  <w:marLeft w:val="0"/>
                  <w:marRight w:val="0"/>
                  <w:marTop w:val="0"/>
                  <w:marBottom w:val="0"/>
                  <w:divBdr>
                    <w:top w:val="none" w:sz="0" w:space="0" w:color="auto"/>
                    <w:left w:val="none" w:sz="0" w:space="0" w:color="auto"/>
                    <w:bottom w:val="none" w:sz="0" w:space="0" w:color="auto"/>
                    <w:right w:val="none" w:sz="0" w:space="0" w:color="auto"/>
                  </w:divBdr>
                  <w:divsChild>
                    <w:div w:id="2108891639">
                      <w:marLeft w:val="0"/>
                      <w:marRight w:val="0"/>
                      <w:marTop w:val="120"/>
                      <w:marBottom w:val="0"/>
                      <w:divBdr>
                        <w:top w:val="none" w:sz="0" w:space="0" w:color="auto"/>
                        <w:left w:val="none" w:sz="0" w:space="0" w:color="auto"/>
                        <w:bottom w:val="none" w:sz="0" w:space="0" w:color="auto"/>
                        <w:right w:val="none" w:sz="0" w:space="0" w:color="auto"/>
                      </w:divBdr>
                    </w:div>
                    <w:div w:id="381176319">
                      <w:marLeft w:val="0"/>
                      <w:marRight w:val="0"/>
                      <w:marTop w:val="0"/>
                      <w:marBottom w:val="0"/>
                      <w:divBdr>
                        <w:top w:val="none" w:sz="0" w:space="0" w:color="auto"/>
                        <w:left w:val="none" w:sz="0" w:space="0" w:color="auto"/>
                        <w:bottom w:val="none" w:sz="0" w:space="0" w:color="auto"/>
                        <w:right w:val="none" w:sz="0" w:space="0" w:color="auto"/>
                      </w:divBdr>
                    </w:div>
                  </w:divsChild>
                </w:div>
                <w:div w:id="1494375955">
                  <w:marLeft w:val="0"/>
                  <w:marRight w:val="0"/>
                  <w:marTop w:val="0"/>
                  <w:marBottom w:val="0"/>
                  <w:divBdr>
                    <w:top w:val="none" w:sz="0" w:space="0" w:color="auto"/>
                    <w:left w:val="none" w:sz="0" w:space="0" w:color="auto"/>
                    <w:bottom w:val="none" w:sz="0" w:space="0" w:color="auto"/>
                    <w:right w:val="none" w:sz="0" w:space="0" w:color="auto"/>
                  </w:divBdr>
                  <w:divsChild>
                    <w:div w:id="875240261">
                      <w:marLeft w:val="0"/>
                      <w:marRight w:val="0"/>
                      <w:marTop w:val="120"/>
                      <w:marBottom w:val="0"/>
                      <w:divBdr>
                        <w:top w:val="none" w:sz="0" w:space="0" w:color="auto"/>
                        <w:left w:val="none" w:sz="0" w:space="0" w:color="auto"/>
                        <w:bottom w:val="none" w:sz="0" w:space="0" w:color="auto"/>
                        <w:right w:val="none" w:sz="0" w:space="0" w:color="auto"/>
                      </w:divBdr>
                    </w:div>
                    <w:div w:id="68763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585099">
      <w:bodyDiv w:val="1"/>
      <w:marLeft w:val="0"/>
      <w:marRight w:val="0"/>
      <w:marTop w:val="0"/>
      <w:marBottom w:val="0"/>
      <w:divBdr>
        <w:top w:val="none" w:sz="0" w:space="0" w:color="auto"/>
        <w:left w:val="none" w:sz="0" w:space="0" w:color="auto"/>
        <w:bottom w:val="none" w:sz="0" w:space="0" w:color="auto"/>
        <w:right w:val="none" w:sz="0" w:space="0" w:color="auto"/>
      </w:divBdr>
    </w:div>
    <w:div w:id="377358146">
      <w:bodyDiv w:val="1"/>
      <w:marLeft w:val="0"/>
      <w:marRight w:val="0"/>
      <w:marTop w:val="0"/>
      <w:marBottom w:val="0"/>
      <w:divBdr>
        <w:top w:val="none" w:sz="0" w:space="0" w:color="auto"/>
        <w:left w:val="none" w:sz="0" w:space="0" w:color="auto"/>
        <w:bottom w:val="none" w:sz="0" w:space="0" w:color="auto"/>
        <w:right w:val="none" w:sz="0" w:space="0" w:color="auto"/>
      </w:divBdr>
      <w:divsChild>
        <w:div w:id="1627076308">
          <w:marLeft w:val="0"/>
          <w:marRight w:val="0"/>
          <w:marTop w:val="120"/>
          <w:marBottom w:val="0"/>
          <w:divBdr>
            <w:top w:val="none" w:sz="0" w:space="0" w:color="auto"/>
            <w:left w:val="none" w:sz="0" w:space="0" w:color="auto"/>
            <w:bottom w:val="none" w:sz="0" w:space="0" w:color="auto"/>
            <w:right w:val="none" w:sz="0" w:space="0" w:color="auto"/>
          </w:divBdr>
        </w:div>
        <w:div w:id="1752659263">
          <w:marLeft w:val="0"/>
          <w:marRight w:val="0"/>
          <w:marTop w:val="0"/>
          <w:marBottom w:val="0"/>
          <w:divBdr>
            <w:top w:val="none" w:sz="0" w:space="0" w:color="auto"/>
            <w:left w:val="none" w:sz="0" w:space="0" w:color="auto"/>
            <w:bottom w:val="none" w:sz="0" w:space="0" w:color="auto"/>
            <w:right w:val="none" w:sz="0" w:space="0" w:color="auto"/>
          </w:divBdr>
        </w:div>
      </w:divsChild>
    </w:div>
    <w:div w:id="379978701">
      <w:bodyDiv w:val="1"/>
      <w:marLeft w:val="0"/>
      <w:marRight w:val="0"/>
      <w:marTop w:val="0"/>
      <w:marBottom w:val="0"/>
      <w:divBdr>
        <w:top w:val="none" w:sz="0" w:space="0" w:color="auto"/>
        <w:left w:val="none" w:sz="0" w:space="0" w:color="auto"/>
        <w:bottom w:val="none" w:sz="0" w:space="0" w:color="auto"/>
        <w:right w:val="none" w:sz="0" w:space="0" w:color="auto"/>
      </w:divBdr>
      <w:divsChild>
        <w:div w:id="1800798235">
          <w:marLeft w:val="0"/>
          <w:marRight w:val="0"/>
          <w:marTop w:val="0"/>
          <w:marBottom w:val="0"/>
          <w:divBdr>
            <w:top w:val="none" w:sz="0" w:space="0" w:color="auto"/>
            <w:left w:val="none" w:sz="0" w:space="0" w:color="auto"/>
            <w:bottom w:val="none" w:sz="0" w:space="0" w:color="auto"/>
            <w:right w:val="none" w:sz="0" w:space="0" w:color="auto"/>
          </w:divBdr>
          <w:divsChild>
            <w:div w:id="58387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58654">
      <w:bodyDiv w:val="1"/>
      <w:marLeft w:val="0"/>
      <w:marRight w:val="0"/>
      <w:marTop w:val="0"/>
      <w:marBottom w:val="0"/>
      <w:divBdr>
        <w:top w:val="none" w:sz="0" w:space="0" w:color="auto"/>
        <w:left w:val="none" w:sz="0" w:space="0" w:color="auto"/>
        <w:bottom w:val="none" w:sz="0" w:space="0" w:color="auto"/>
        <w:right w:val="none" w:sz="0" w:space="0" w:color="auto"/>
      </w:divBdr>
      <w:divsChild>
        <w:div w:id="1229002955">
          <w:marLeft w:val="0"/>
          <w:marRight w:val="0"/>
          <w:marTop w:val="120"/>
          <w:marBottom w:val="0"/>
          <w:divBdr>
            <w:top w:val="none" w:sz="0" w:space="0" w:color="auto"/>
            <w:left w:val="none" w:sz="0" w:space="0" w:color="auto"/>
            <w:bottom w:val="none" w:sz="0" w:space="0" w:color="auto"/>
            <w:right w:val="none" w:sz="0" w:space="0" w:color="auto"/>
          </w:divBdr>
        </w:div>
        <w:div w:id="975181729">
          <w:marLeft w:val="0"/>
          <w:marRight w:val="0"/>
          <w:marTop w:val="0"/>
          <w:marBottom w:val="0"/>
          <w:divBdr>
            <w:top w:val="none" w:sz="0" w:space="0" w:color="auto"/>
            <w:left w:val="none" w:sz="0" w:space="0" w:color="auto"/>
            <w:bottom w:val="none" w:sz="0" w:space="0" w:color="auto"/>
            <w:right w:val="none" w:sz="0" w:space="0" w:color="auto"/>
          </w:divBdr>
        </w:div>
      </w:divsChild>
    </w:div>
    <w:div w:id="385301482">
      <w:bodyDiv w:val="1"/>
      <w:marLeft w:val="0"/>
      <w:marRight w:val="0"/>
      <w:marTop w:val="0"/>
      <w:marBottom w:val="0"/>
      <w:divBdr>
        <w:top w:val="none" w:sz="0" w:space="0" w:color="auto"/>
        <w:left w:val="none" w:sz="0" w:space="0" w:color="auto"/>
        <w:bottom w:val="none" w:sz="0" w:space="0" w:color="auto"/>
        <w:right w:val="none" w:sz="0" w:space="0" w:color="auto"/>
      </w:divBdr>
      <w:divsChild>
        <w:div w:id="1951622505">
          <w:marLeft w:val="0"/>
          <w:marRight w:val="0"/>
          <w:marTop w:val="0"/>
          <w:marBottom w:val="0"/>
          <w:divBdr>
            <w:top w:val="none" w:sz="0" w:space="0" w:color="auto"/>
            <w:left w:val="none" w:sz="0" w:space="0" w:color="auto"/>
            <w:bottom w:val="none" w:sz="0" w:space="0" w:color="auto"/>
            <w:right w:val="none" w:sz="0" w:space="0" w:color="auto"/>
          </w:divBdr>
        </w:div>
      </w:divsChild>
    </w:div>
    <w:div w:id="387076835">
      <w:bodyDiv w:val="1"/>
      <w:marLeft w:val="0"/>
      <w:marRight w:val="0"/>
      <w:marTop w:val="0"/>
      <w:marBottom w:val="0"/>
      <w:divBdr>
        <w:top w:val="none" w:sz="0" w:space="0" w:color="auto"/>
        <w:left w:val="none" w:sz="0" w:space="0" w:color="auto"/>
        <w:bottom w:val="none" w:sz="0" w:space="0" w:color="auto"/>
        <w:right w:val="none" w:sz="0" w:space="0" w:color="auto"/>
      </w:divBdr>
      <w:divsChild>
        <w:div w:id="1890803562">
          <w:marLeft w:val="0"/>
          <w:marRight w:val="0"/>
          <w:marTop w:val="0"/>
          <w:marBottom w:val="0"/>
          <w:divBdr>
            <w:top w:val="none" w:sz="0" w:space="0" w:color="auto"/>
            <w:left w:val="none" w:sz="0" w:space="0" w:color="auto"/>
            <w:bottom w:val="none" w:sz="0" w:space="0" w:color="auto"/>
            <w:right w:val="none" w:sz="0" w:space="0" w:color="auto"/>
          </w:divBdr>
        </w:div>
      </w:divsChild>
    </w:div>
    <w:div w:id="387150996">
      <w:bodyDiv w:val="1"/>
      <w:marLeft w:val="0"/>
      <w:marRight w:val="0"/>
      <w:marTop w:val="0"/>
      <w:marBottom w:val="0"/>
      <w:divBdr>
        <w:top w:val="none" w:sz="0" w:space="0" w:color="auto"/>
        <w:left w:val="none" w:sz="0" w:space="0" w:color="auto"/>
        <w:bottom w:val="none" w:sz="0" w:space="0" w:color="auto"/>
        <w:right w:val="none" w:sz="0" w:space="0" w:color="auto"/>
      </w:divBdr>
      <w:divsChild>
        <w:div w:id="916212868">
          <w:marLeft w:val="0"/>
          <w:marRight w:val="0"/>
          <w:marTop w:val="120"/>
          <w:marBottom w:val="0"/>
          <w:divBdr>
            <w:top w:val="none" w:sz="0" w:space="0" w:color="auto"/>
            <w:left w:val="none" w:sz="0" w:space="0" w:color="auto"/>
            <w:bottom w:val="none" w:sz="0" w:space="0" w:color="auto"/>
            <w:right w:val="none" w:sz="0" w:space="0" w:color="auto"/>
          </w:divBdr>
        </w:div>
        <w:div w:id="12153521">
          <w:marLeft w:val="0"/>
          <w:marRight w:val="0"/>
          <w:marTop w:val="0"/>
          <w:marBottom w:val="0"/>
          <w:divBdr>
            <w:top w:val="none" w:sz="0" w:space="0" w:color="auto"/>
            <w:left w:val="none" w:sz="0" w:space="0" w:color="auto"/>
            <w:bottom w:val="none" w:sz="0" w:space="0" w:color="auto"/>
            <w:right w:val="none" w:sz="0" w:space="0" w:color="auto"/>
          </w:divBdr>
        </w:div>
      </w:divsChild>
    </w:div>
    <w:div w:id="391730712">
      <w:bodyDiv w:val="1"/>
      <w:marLeft w:val="0"/>
      <w:marRight w:val="0"/>
      <w:marTop w:val="0"/>
      <w:marBottom w:val="0"/>
      <w:divBdr>
        <w:top w:val="none" w:sz="0" w:space="0" w:color="auto"/>
        <w:left w:val="none" w:sz="0" w:space="0" w:color="auto"/>
        <w:bottom w:val="none" w:sz="0" w:space="0" w:color="auto"/>
        <w:right w:val="none" w:sz="0" w:space="0" w:color="auto"/>
      </w:divBdr>
    </w:div>
    <w:div w:id="397094515">
      <w:bodyDiv w:val="1"/>
      <w:marLeft w:val="0"/>
      <w:marRight w:val="0"/>
      <w:marTop w:val="0"/>
      <w:marBottom w:val="0"/>
      <w:divBdr>
        <w:top w:val="none" w:sz="0" w:space="0" w:color="auto"/>
        <w:left w:val="none" w:sz="0" w:space="0" w:color="auto"/>
        <w:bottom w:val="none" w:sz="0" w:space="0" w:color="auto"/>
        <w:right w:val="none" w:sz="0" w:space="0" w:color="auto"/>
      </w:divBdr>
    </w:div>
    <w:div w:id="400955752">
      <w:bodyDiv w:val="1"/>
      <w:marLeft w:val="0"/>
      <w:marRight w:val="0"/>
      <w:marTop w:val="0"/>
      <w:marBottom w:val="0"/>
      <w:divBdr>
        <w:top w:val="none" w:sz="0" w:space="0" w:color="auto"/>
        <w:left w:val="none" w:sz="0" w:space="0" w:color="auto"/>
        <w:bottom w:val="none" w:sz="0" w:space="0" w:color="auto"/>
        <w:right w:val="none" w:sz="0" w:space="0" w:color="auto"/>
      </w:divBdr>
      <w:divsChild>
        <w:div w:id="1470591156">
          <w:marLeft w:val="0"/>
          <w:marRight w:val="0"/>
          <w:marTop w:val="120"/>
          <w:marBottom w:val="0"/>
          <w:divBdr>
            <w:top w:val="none" w:sz="0" w:space="0" w:color="auto"/>
            <w:left w:val="none" w:sz="0" w:space="0" w:color="auto"/>
            <w:bottom w:val="none" w:sz="0" w:space="0" w:color="auto"/>
            <w:right w:val="none" w:sz="0" w:space="0" w:color="auto"/>
          </w:divBdr>
        </w:div>
        <w:div w:id="1513302453">
          <w:marLeft w:val="0"/>
          <w:marRight w:val="0"/>
          <w:marTop w:val="0"/>
          <w:marBottom w:val="0"/>
          <w:divBdr>
            <w:top w:val="none" w:sz="0" w:space="0" w:color="auto"/>
            <w:left w:val="none" w:sz="0" w:space="0" w:color="auto"/>
            <w:bottom w:val="none" w:sz="0" w:space="0" w:color="auto"/>
            <w:right w:val="none" w:sz="0" w:space="0" w:color="auto"/>
          </w:divBdr>
        </w:div>
      </w:divsChild>
    </w:div>
    <w:div w:id="402607184">
      <w:bodyDiv w:val="1"/>
      <w:marLeft w:val="0"/>
      <w:marRight w:val="0"/>
      <w:marTop w:val="0"/>
      <w:marBottom w:val="0"/>
      <w:divBdr>
        <w:top w:val="none" w:sz="0" w:space="0" w:color="auto"/>
        <w:left w:val="none" w:sz="0" w:space="0" w:color="auto"/>
        <w:bottom w:val="none" w:sz="0" w:space="0" w:color="auto"/>
        <w:right w:val="none" w:sz="0" w:space="0" w:color="auto"/>
      </w:divBdr>
      <w:divsChild>
        <w:div w:id="2084522013">
          <w:marLeft w:val="0"/>
          <w:marRight w:val="0"/>
          <w:marTop w:val="0"/>
          <w:marBottom w:val="0"/>
          <w:divBdr>
            <w:top w:val="none" w:sz="0" w:space="0" w:color="auto"/>
            <w:left w:val="none" w:sz="0" w:space="0" w:color="auto"/>
            <w:bottom w:val="none" w:sz="0" w:space="0" w:color="auto"/>
            <w:right w:val="none" w:sz="0" w:space="0" w:color="auto"/>
          </w:divBdr>
        </w:div>
      </w:divsChild>
    </w:div>
    <w:div w:id="408620751">
      <w:bodyDiv w:val="1"/>
      <w:marLeft w:val="0"/>
      <w:marRight w:val="0"/>
      <w:marTop w:val="0"/>
      <w:marBottom w:val="0"/>
      <w:divBdr>
        <w:top w:val="none" w:sz="0" w:space="0" w:color="auto"/>
        <w:left w:val="none" w:sz="0" w:space="0" w:color="auto"/>
        <w:bottom w:val="none" w:sz="0" w:space="0" w:color="auto"/>
        <w:right w:val="none" w:sz="0" w:space="0" w:color="auto"/>
      </w:divBdr>
      <w:divsChild>
        <w:div w:id="766197985">
          <w:marLeft w:val="0"/>
          <w:marRight w:val="0"/>
          <w:marTop w:val="0"/>
          <w:marBottom w:val="0"/>
          <w:divBdr>
            <w:top w:val="none" w:sz="0" w:space="0" w:color="auto"/>
            <w:left w:val="none" w:sz="0" w:space="0" w:color="auto"/>
            <w:bottom w:val="none" w:sz="0" w:space="0" w:color="auto"/>
            <w:right w:val="none" w:sz="0" w:space="0" w:color="auto"/>
          </w:divBdr>
          <w:divsChild>
            <w:div w:id="2134866412">
              <w:marLeft w:val="0"/>
              <w:marRight w:val="0"/>
              <w:marTop w:val="120"/>
              <w:marBottom w:val="0"/>
              <w:divBdr>
                <w:top w:val="none" w:sz="0" w:space="0" w:color="auto"/>
                <w:left w:val="none" w:sz="0" w:space="0" w:color="auto"/>
                <w:bottom w:val="none" w:sz="0" w:space="0" w:color="auto"/>
                <w:right w:val="none" w:sz="0" w:space="0" w:color="auto"/>
              </w:divBdr>
            </w:div>
            <w:div w:id="209879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290">
      <w:bodyDiv w:val="1"/>
      <w:marLeft w:val="0"/>
      <w:marRight w:val="0"/>
      <w:marTop w:val="0"/>
      <w:marBottom w:val="0"/>
      <w:divBdr>
        <w:top w:val="none" w:sz="0" w:space="0" w:color="auto"/>
        <w:left w:val="none" w:sz="0" w:space="0" w:color="auto"/>
        <w:bottom w:val="none" w:sz="0" w:space="0" w:color="auto"/>
        <w:right w:val="none" w:sz="0" w:space="0" w:color="auto"/>
      </w:divBdr>
      <w:divsChild>
        <w:div w:id="2027243282">
          <w:marLeft w:val="0"/>
          <w:marRight w:val="0"/>
          <w:marTop w:val="0"/>
          <w:marBottom w:val="0"/>
          <w:divBdr>
            <w:top w:val="none" w:sz="0" w:space="0" w:color="auto"/>
            <w:left w:val="none" w:sz="0" w:space="0" w:color="auto"/>
            <w:bottom w:val="none" w:sz="0" w:space="0" w:color="auto"/>
            <w:right w:val="none" w:sz="0" w:space="0" w:color="auto"/>
          </w:divBdr>
        </w:div>
      </w:divsChild>
    </w:div>
    <w:div w:id="413160984">
      <w:bodyDiv w:val="1"/>
      <w:marLeft w:val="0"/>
      <w:marRight w:val="0"/>
      <w:marTop w:val="0"/>
      <w:marBottom w:val="0"/>
      <w:divBdr>
        <w:top w:val="none" w:sz="0" w:space="0" w:color="auto"/>
        <w:left w:val="none" w:sz="0" w:space="0" w:color="auto"/>
        <w:bottom w:val="none" w:sz="0" w:space="0" w:color="auto"/>
        <w:right w:val="none" w:sz="0" w:space="0" w:color="auto"/>
      </w:divBdr>
      <w:divsChild>
        <w:div w:id="1777094245">
          <w:marLeft w:val="0"/>
          <w:marRight w:val="0"/>
          <w:marTop w:val="0"/>
          <w:marBottom w:val="0"/>
          <w:divBdr>
            <w:top w:val="none" w:sz="0" w:space="0" w:color="auto"/>
            <w:left w:val="none" w:sz="0" w:space="0" w:color="auto"/>
            <w:bottom w:val="none" w:sz="0" w:space="0" w:color="auto"/>
            <w:right w:val="none" w:sz="0" w:space="0" w:color="auto"/>
          </w:divBdr>
        </w:div>
      </w:divsChild>
    </w:div>
    <w:div w:id="423041216">
      <w:bodyDiv w:val="1"/>
      <w:marLeft w:val="0"/>
      <w:marRight w:val="0"/>
      <w:marTop w:val="0"/>
      <w:marBottom w:val="0"/>
      <w:divBdr>
        <w:top w:val="none" w:sz="0" w:space="0" w:color="auto"/>
        <w:left w:val="none" w:sz="0" w:space="0" w:color="auto"/>
        <w:bottom w:val="none" w:sz="0" w:space="0" w:color="auto"/>
        <w:right w:val="none" w:sz="0" w:space="0" w:color="auto"/>
      </w:divBdr>
      <w:divsChild>
        <w:div w:id="134563999">
          <w:marLeft w:val="0"/>
          <w:marRight w:val="0"/>
          <w:marTop w:val="0"/>
          <w:marBottom w:val="0"/>
          <w:divBdr>
            <w:top w:val="none" w:sz="0" w:space="0" w:color="auto"/>
            <w:left w:val="none" w:sz="0" w:space="0" w:color="auto"/>
            <w:bottom w:val="none" w:sz="0" w:space="0" w:color="auto"/>
            <w:right w:val="none" w:sz="0" w:space="0" w:color="auto"/>
          </w:divBdr>
        </w:div>
      </w:divsChild>
    </w:div>
    <w:div w:id="423720545">
      <w:bodyDiv w:val="1"/>
      <w:marLeft w:val="0"/>
      <w:marRight w:val="0"/>
      <w:marTop w:val="0"/>
      <w:marBottom w:val="0"/>
      <w:divBdr>
        <w:top w:val="none" w:sz="0" w:space="0" w:color="auto"/>
        <w:left w:val="none" w:sz="0" w:space="0" w:color="auto"/>
        <w:bottom w:val="none" w:sz="0" w:space="0" w:color="auto"/>
        <w:right w:val="none" w:sz="0" w:space="0" w:color="auto"/>
      </w:divBdr>
      <w:divsChild>
        <w:div w:id="76290924">
          <w:marLeft w:val="0"/>
          <w:marRight w:val="0"/>
          <w:marTop w:val="0"/>
          <w:marBottom w:val="0"/>
          <w:divBdr>
            <w:top w:val="none" w:sz="0" w:space="0" w:color="auto"/>
            <w:left w:val="none" w:sz="0" w:space="0" w:color="auto"/>
            <w:bottom w:val="none" w:sz="0" w:space="0" w:color="auto"/>
            <w:right w:val="none" w:sz="0" w:space="0" w:color="auto"/>
          </w:divBdr>
        </w:div>
      </w:divsChild>
    </w:div>
    <w:div w:id="431441889">
      <w:bodyDiv w:val="1"/>
      <w:marLeft w:val="0"/>
      <w:marRight w:val="0"/>
      <w:marTop w:val="0"/>
      <w:marBottom w:val="0"/>
      <w:divBdr>
        <w:top w:val="none" w:sz="0" w:space="0" w:color="auto"/>
        <w:left w:val="none" w:sz="0" w:space="0" w:color="auto"/>
        <w:bottom w:val="none" w:sz="0" w:space="0" w:color="auto"/>
        <w:right w:val="none" w:sz="0" w:space="0" w:color="auto"/>
      </w:divBdr>
    </w:div>
    <w:div w:id="431587177">
      <w:bodyDiv w:val="1"/>
      <w:marLeft w:val="0"/>
      <w:marRight w:val="0"/>
      <w:marTop w:val="0"/>
      <w:marBottom w:val="0"/>
      <w:divBdr>
        <w:top w:val="none" w:sz="0" w:space="0" w:color="auto"/>
        <w:left w:val="none" w:sz="0" w:space="0" w:color="auto"/>
        <w:bottom w:val="none" w:sz="0" w:space="0" w:color="auto"/>
        <w:right w:val="none" w:sz="0" w:space="0" w:color="auto"/>
      </w:divBdr>
      <w:divsChild>
        <w:div w:id="622272738">
          <w:marLeft w:val="0"/>
          <w:marRight w:val="0"/>
          <w:marTop w:val="0"/>
          <w:marBottom w:val="0"/>
          <w:divBdr>
            <w:top w:val="none" w:sz="0" w:space="0" w:color="auto"/>
            <w:left w:val="none" w:sz="0" w:space="0" w:color="auto"/>
            <w:bottom w:val="none" w:sz="0" w:space="0" w:color="auto"/>
            <w:right w:val="none" w:sz="0" w:space="0" w:color="auto"/>
          </w:divBdr>
        </w:div>
      </w:divsChild>
    </w:div>
    <w:div w:id="437992321">
      <w:bodyDiv w:val="1"/>
      <w:marLeft w:val="0"/>
      <w:marRight w:val="0"/>
      <w:marTop w:val="0"/>
      <w:marBottom w:val="0"/>
      <w:divBdr>
        <w:top w:val="none" w:sz="0" w:space="0" w:color="auto"/>
        <w:left w:val="none" w:sz="0" w:space="0" w:color="auto"/>
        <w:bottom w:val="none" w:sz="0" w:space="0" w:color="auto"/>
        <w:right w:val="none" w:sz="0" w:space="0" w:color="auto"/>
      </w:divBdr>
      <w:divsChild>
        <w:div w:id="334038019">
          <w:marLeft w:val="0"/>
          <w:marRight w:val="0"/>
          <w:marTop w:val="0"/>
          <w:marBottom w:val="0"/>
          <w:divBdr>
            <w:top w:val="none" w:sz="0" w:space="0" w:color="auto"/>
            <w:left w:val="none" w:sz="0" w:space="0" w:color="auto"/>
            <w:bottom w:val="none" w:sz="0" w:space="0" w:color="auto"/>
            <w:right w:val="none" w:sz="0" w:space="0" w:color="auto"/>
          </w:divBdr>
          <w:divsChild>
            <w:div w:id="67382920">
              <w:marLeft w:val="0"/>
              <w:marRight w:val="0"/>
              <w:marTop w:val="120"/>
              <w:marBottom w:val="0"/>
              <w:divBdr>
                <w:top w:val="none" w:sz="0" w:space="0" w:color="auto"/>
                <w:left w:val="none" w:sz="0" w:space="0" w:color="auto"/>
                <w:bottom w:val="none" w:sz="0" w:space="0" w:color="auto"/>
                <w:right w:val="none" w:sz="0" w:space="0" w:color="auto"/>
              </w:divBdr>
            </w:div>
            <w:div w:id="828446145">
              <w:marLeft w:val="0"/>
              <w:marRight w:val="0"/>
              <w:marTop w:val="0"/>
              <w:marBottom w:val="0"/>
              <w:divBdr>
                <w:top w:val="none" w:sz="0" w:space="0" w:color="auto"/>
                <w:left w:val="none" w:sz="0" w:space="0" w:color="auto"/>
                <w:bottom w:val="none" w:sz="0" w:space="0" w:color="auto"/>
                <w:right w:val="none" w:sz="0" w:space="0" w:color="auto"/>
              </w:divBdr>
            </w:div>
          </w:divsChild>
        </w:div>
        <w:div w:id="1091243396">
          <w:marLeft w:val="0"/>
          <w:marRight w:val="0"/>
          <w:marTop w:val="0"/>
          <w:marBottom w:val="0"/>
          <w:divBdr>
            <w:top w:val="none" w:sz="0" w:space="0" w:color="auto"/>
            <w:left w:val="none" w:sz="0" w:space="0" w:color="auto"/>
            <w:bottom w:val="none" w:sz="0" w:space="0" w:color="auto"/>
            <w:right w:val="none" w:sz="0" w:space="0" w:color="auto"/>
          </w:divBdr>
          <w:divsChild>
            <w:div w:id="2006086994">
              <w:marLeft w:val="0"/>
              <w:marRight w:val="0"/>
              <w:marTop w:val="120"/>
              <w:marBottom w:val="0"/>
              <w:divBdr>
                <w:top w:val="none" w:sz="0" w:space="0" w:color="auto"/>
                <w:left w:val="none" w:sz="0" w:space="0" w:color="auto"/>
                <w:bottom w:val="none" w:sz="0" w:space="0" w:color="auto"/>
                <w:right w:val="none" w:sz="0" w:space="0" w:color="auto"/>
              </w:divBdr>
            </w:div>
            <w:div w:id="169654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06246">
      <w:bodyDiv w:val="1"/>
      <w:marLeft w:val="0"/>
      <w:marRight w:val="0"/>
      <w:marTop w:val="0"/>
      <w:marBottom w:val="0"/>
      <w:divBdr>
        <w:top w:val="none" w:sz="0" w:space="0" w:color="auto"/>
        <w:left w:val="none" w:sz="0" w:space="0" w:color="auto"/>
        <w:bottom w:val="none" w:sz="0" w:space="0" w:color="auto"/>
        <w:right w:val="none" w:sz="0" w:space="0" w:color="auto"/>
      </w:divBdr>
      <w:divsChild>
        <w:div w:id="1409300575">
          <w:marLeft w:val="0"/>
          <w:marRight w:val="0"/>
          <w:marTop w:val="0"/>
          <w:marBottom w:val="0"/>
          <w:divBdr>
            <w:top w:val="none" w:sz="0" w:space="0" w:color="auto"/>
            <w:left w:val="none" w:sz="0" w:space="0" w:color="auto"/>
            <w:bottom w:val="none" w:sz="0" w:space="0" w:color="auto"/>
            <w:right w:val="none" w:sz="0" w:space="0" w:color="auto"/>
          </w:divBdr>
        </w:div>
      </w:divsChild>
    </w:div>
    <w:div w:id="450511182">
      <w:bodyDiv w:val="1"/>
      <w:marLeft w:val="0"/>
      <w:marRight w:val="0"/>
      <w:marTop w:val="0"/>
      <w:marBottom w:val="0"/>
      <w:divBdr>
        <w:top w:val="none" w:sz="0" w:space="0" w:color="auto"/>
        <w:left w:val="none" w:sz="0" w:space="0" w:color="auto"/>
        <w:bottom w:val="none" w:sz="0" w:space="0" w:color="auto"/>
        <w:right w:val="none" w:sz="0" w:space="0" w:color="auto"/>
      </w:divBdr>
      <w:divsChild>
        <w:div w:id="1326471494">
          <w:marLeft w:val="0"/>
          <w:marRight w:val="0"/>
          <w:marTop w:val="120"/>
          <w:marBottom w:val="0"/>
          <w:divBdr>
            <w:top w:val="none" w:sz="0" w:space="0" w:color="auto"/>
            <w:left w:val="none" w:sz="0" w:space="0" w:color="auto"/>
            <w:bottom w:val="none" w:sz="0" w:space="0" w:color="auto"/>
            <w:right w:val="none" w:sz="0" w:space="0" w:color="auto"/>
          </w:divBdr>
        </w:div>
        <w:div w:id="1759323723">
          <w:marLeft w:val="0"/>
          <w:marRight w:val="0"/>
          <w:marTop w:val="0"/>
          <w:marBottom w:val="0"/>
          <w:divBdr>
            <w:top w:val="none" w:sz="0" w:space="0" w:color="auto"/>
            <w:left w:val="none" w:sz="0" w:space="0" w:color="auto"/>
            <w:bottom w:val="none" w:sz="0" w:space="0" w:color="auto"/>
            <w:right w:val="none" w:sz="0" w:space="0" w:color="auto"/>
          </w:divBdr>
        </w:div>
      </w:divsChild>
    </w:div>
    <w:div w:id="455100816">
      <w:bodyDiv w:val="1"/>
      <w:marLeft w:val="0"/>
      <w:marRight w:val="0"/>
      <w:marTop w:val="0"/>
      <w:marBottom w:val="0"/>
      <w:divBdr>
        <w:top w:val="none" w:sz="0" w:space="0" w:color="auto"/>
        <w:left w:val="none" w:sz="0" w:space="0" w:color="auto"/>
        <w:bottom w:val="none" w:sz="0" w:space="0" w:color="auto"/>
        <w:right w:val="none" w:sz="0" w:space="0" w:color="auto"/>
      </w:divBdr>
      <w:divsChild>
        <w:div w:id="346561635">
          <w:marLeft w:val="0"/>
          <w:marRight w:val="0"/>
          <w:marTop w:val="0"/>
          <w:marBottom w:val="0"/>
          <w:divBdr>
            <w:top w:val="none" w:sz="0" w:space="0" w:color="auto"/>
            <w:left w:val="none" w:sz="0" w:space="0" w:color="auto"/>
            <w:bottom w:val="none" w:sz="0" w:space="0" w:color="auto"/>
            <w:right w:val="none" w:sz="0" w:space="0" w:color="auto"/>
          </w:divBdr>
        </w:div>
      </w:divsChild>
    </w:div>
    <w:div w:id="457450974">
      <w:bodyDiv w:val="1"/>
      <w:marLeft w:val="0"/>
      <w:marRight w:val="0"/>
      <w:marTop w:val="0"/>
      <w:marBottom w:val="0"/>
      <w:divBdr>
        <w:top w:val="none" w:sz="0" w:space="0" w:color="auto"/>
        <w:left w:val="none" w:sz="0" w:space="0" w:color="auto"/>
        <w:bottom w:val="none" w:sz="0" w:space="0" w:color="auto"/>
        <w:right w:val="none" w:sz="0" w:space="0" w:color="auto"/>
      </w:divBdr>
      <w:divsChild>
        <w:div w:id="1815902174">
          <w:marLeft w:val="0"/>
          <w:marRight w:val="0"/>
          <w:marTop w:val="0"/>
          <w:marBottom w:val="0"/>
          <w:divBdr>
            <w:top w:val="none" w:sz="0" w:space="0" w:color="auto"/>
            <w:left w:val="none" w:sz="0" w:space="0" w:color="auto"/>
            <w:bottom w:val="none" w:sz="0" w:space="0" w:color="auto"/>
            <w:right w:val="none" w:sz="0" w:space="0" w:color="auto"/>
          </w:divBdr>
        </w:div>
      </w:divsChild>
    </w:div>
    <w:div w:id="460274405">
      <w:bodyDiv w:val="1"/>
      <w:marLeft w:val="0"/>
      <w:marRight w:val="0"/>
      <w:marTop w:val="0"/>
      <w:marBottom w:val="0"/>
      <w:divBdr>
        <w:top w:val="none" w:sz="0" w:space="0" w:color="auto"/>
        <w:left w:val="none" w:sz="0" w:space="0" w:color="auto"/>
        <w:bottom w:val="none" w:sz="0" w:space="0" w:color="auto"/>
        <w:right w:val="none" w:sz="0" w:space="0" w:color="auto"/>
      </w:divBdr>
      <w:divsChild>
        <w:div w:id="812989896">
          <w:marLeft w:val="0"/>
          <w:marRight w:val="0"/>
          <w:marTop w:val="120"/>
          <w:marBottom w:val="0"/>
          <w:divBdr>
            <w:top w:val="none" w:sz="0" w:space="0" w:color="auto"/>
            <w:left w:val="none" w:sz="0" w:space="0" w:color="auto"/>
            <w:bottom w:val="none" w:sz="0" w:space="0" w:color="auto"/>
            <w:right w:val="none" w:sz="0" w:space="0" w:color="auto"/>
          </w:divBdr>
        </w:div>
        <w:div w:id="775952486">
          <w:marLeft w:val="0"/>
          <w:marRight w:val="0"/>
          <w:marTop w:val="0"/>
          <w:marBottom w:val="0"/>
          <w:divBdr>
            <w:top w:val="none" w:sz="0" w:space="0" w:color="auto"/>
            <w:left w:val="none" w:sz="0" w:space="0" w:color="auto"/>
            <w:bottom w:val="none" w:sz="0" w:space="0" w:color="auto"/>
            <w:right w:val="none" w:sz="0" w:space="0" w:color="auto"/>
          </w:divBdr>
        </w:div>
      </w:divsChild>
    </w:div>
    <w:div w:id="465006662">
      <w:bodyDiv w:val="1"/>
      <w:marLeft w:val="0"/>
      <w:marRight w:val="0"/>
      <w:marTop w:val="0"/>
      <w:marBottom w:val="0"/>
      <w:divBdr>
        <w:top w:val="none" w:sz="0" w:space="0" w:color="auto"/>
        <w:left w:val="none" w:sz="0" w:space="0" w:color="auto"/>
        <w:bottom w:val="none" w:sz="0" w:space="0" w:color="auto"/>
        <w:right w:val="none" w:sz="0" w:space="0" w:color="auto"/>
      </w:divBdr>
      <w:divsChild>
        <w:div w:id="2083216434">
          <w:marLeft w:val="0"/>
          <w:marRight w:val="0"/>
          <w:marTop w:val="0"/>
          <w:marBottom w:val="0"/>
          <w:divBdr>
            <w:top w:val="none" w:sz="0" w:space="0" w:color="auto"/>
            <w:left w:val="none" w:sz="0" w:space="0" w:color="auto"/>
            <w:bottom w:val="none" w:sz="0" w:space="0" w:color="auto"/>
            <w:right w:val="none" w:sz="0" w:space="0" w:color="auto"/>
          </w:divBdr>
        </w:div>
      </w:divsChild>
    </w:div>
    <w:div w:id="469833787">
      <w:bodyDiv w:val="1"/>
      <w:marLeft w:val="0"/>
      <w:marRight w:val="0"/>
      <w:marTop w:val="0"/>
      <w:marBottom w:val="0"/>
      <w:divBdr>
        <w:top w:val="none" w:sz="0" w:space="0" w:color="auto"/>
        <w:left w:val="none" w:sz="0" w:space="0" w:color="auto"/>
        <w:bottom w:val="none" w:sz="0" w:space="0" w:color="auto"/>
        <w:right w:val="none" w:sz="0" w:space="0" w:color="auto"/>
      </w:divBdr>
      <w:divsChild>
        <w:div w:id="640378915">
          <w:marLeft w:val="0"/>
          <w:marRight w:val="0"/>
          <w:marTop w:val="0"/>
          <w:marBottom w:val="0"/>
          <w:divBdr>
            <w:top w:val="none" w:sz="0" w:space="0" w:color="auto"/>
            <w:left w:val="none" w:sz="0" w:space="0" w:color="auto"/>
            <w:bottom w:val="none" w:sz="0" w:space="0" w:color="auto"/>
            <w:right w:val="none" w:sz="0" w:space="0" w:color="auto"/>
          </w:divBdr>
        </w:div>
      </w:divsChild>
    </w:div>
    <w:div w:id="479269268">
      <w:bodyDiv w:val="1"/>
      <w:marLeft w:val="0"/>
      <w:marRight w:val="0"/>
      <w:marTop w:val="0"/>
      <w:marBottom w:val="0"/>
      <w:divBdr>
        <w:top w:val="none" w:sz="0" w:space="0" w:color="auto"/>
        <w:left w:val="none" w:sz="0" w:space="0" w:color="auto"/>
        <w:bottom w:val="none" w:sz="0" w:space="0" w:color="auto"/>
        <w:right w:val="none" w:sz="0" w:space="0" w:color="auto"/>
      </w:divBdr>
      <w:divsChild>
        <w:div w:id="1865485063">
          <w:marLeft w:val="0"/>
          <w:marRight w:val="0"/>
          <w:marTop w:val="0"/>
          <w:marBottom w:val="0"/>
          <w:divBdr>
            <w:top w:val="none" w:sz="0" w:space="0" w:color="auto"/>
            <w:left w:val="none" w:sz="0" w:space="0" w:color="auto"/>
            <w:bottom w:val="none" w:sz="0" w:space="0" w:color="auto"/>
            <w:right w:val="none" w:sz="0" w:space="0" w:color="auto"/>
          </w:divBdr>
          <w:divsChild>
            <w:div w:id="1662005840">
              <w:marLeft w:val="0"/>
              <w:marRight w:val="0"/>
              <w:marTop w:val="0"/>
              <w:marBottom w:val="0"/>
              <w:divBdr>
                <w:top w:val="none" w:sz="0" w:space="0" w:color="auto"/>
                <w:left w:val="none" w:sz="0" w:space="0" w:color="auto"/>
                <w:bottom w:val="none" w:sz="0" w:space="0" w:color="auto"/>
                <w:right w:val="none" w:sz="0" w:space="0" w:color="auto"/>
              </w:divBdr>
              <w:divsChild>
                <w:div w:id="319650458">
                  <w:marLeft w:val="0"/>
                  <w:marRight w:val="0"/>
                  <w:marTop w:val="120"/>
                  <w:marBottom w:val="0"/>
                  <w:divBdr>
                    <w:top w:val="none" w:sz="0" w:space="0" w:color="auto"/>
                    <w:left w:val="none" w:sz="0" w:space="0" w:color="auto"/>
                    <w:bottom w:val="none" w:sz="0" w:space="0" w:color="auto"/>
                    <w:right w:val="none" w:sz="0" w:space="0" w:color="auto"/>
                  </w:divBdr>
                </w:div>
                <w:div w:id="353533420">
                  <w:marLeft w:val="0"/>
                  <w:marRight w:val="0"/>
                  <w:marTop w:val="0"/>
                  <w:marBottom w:val="0"/>
                  <w:divBdr>
                    <w:top w:val="none" w:sz="0" w:space="0" w:color="auto"/>
                    <w:left w:val="none" w:sz="0" w:space="0" w:color="auto"/>
                    <w:bottom w:val="none" w:sz="0" w:space="0" w:color="auto"/>
                    <w:right w:val="none" w:sz="0" w:space="0" w:color="auto"/>
                  </w:divBdr>
                </w:div>
              </w:divsChild>
            </w:div>
            <w:div w:id="241137852">
              <w:marLeft w:val="0"/>
              <w:marRight w:val="0"/>
              <w:marTop w:val="0"/>
              <w:marBottom w:val="0"/>
              <w:divBdr>
                <w:top w:val="none" w:sz="0" w:space="0" w:color="auto"/>
                <w:left w:val="none" w:sz="0" w:space="0" w:color="auto"/>
                <w:bottom w:val="none" w:sz="0" w:space="0" w:color="auto"/>
                <w:right w:val="none" w:sz="0" w:space="0" w:color="auto"/>
              </w:divBdr>
              <w:divsChild>
                <w:div w:id="921452288">
                  <w:marLeft w:val="0"/>
                  <w:marRight w:val="0"/>
                  <w:marTop w:val="120"/>
                  <w:marBottom w:val="0"/>
                  <w:divBdr>
                    <w:top w:val="none" w:sz="0" w:space="0" w:color="auto"/>
                    <w:left w:val="none" w:sz="0" w:space="0" w:color="auto"/>
                    <w:bottom w:val="none" w:sz="0" w:space="0" w:color="auto"/>
                    <w:right w:val="none" w:sz="0" w:space="0" w:color="auto"/>
                  </w:divBdr>
                </w:div>
                <w:div w:id="2280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743024">
      <w:bodyDiv w:val="1"/>
      <w:marLeft w:val="0"/>
      <w:marRight w:val="0"/>
      <w:marTop w:val="0"/>
      <w:marBottom w:val="0"/>
      <w:divBdr>
        <w:top w:val="none" w:sz="0" w:space="0" w:color="auto"/>
        <w:left w:val="none" w:sz="0" w:space="0" w:color="auto"/>
        <w:bottom w:val="none" w:sz="0" w:space="0" w:color="auto"/>
        <w:right w:val="none" w:sz="0" w:space="0" w:color="auto"/>
      </w:divBdr>
      <w:divsChild>
        <w:div w:id="128279449">
          <w:marLeft w:val="0"/>
          <w:marRight w:val="0"/>
          <w:marTop w:val="0"/>
          <w:marBottom w:val="0"/>
          <w:divBdr>
            <w:top w:val="none" w:sz="0" w:space="0" w:color="auto"/>
            <w:left w:val="none" w:sz="0" w:space="0" w:color="auto"/>
            <w:bottom w:val="none" w:sz="0" w:space="0" w:color="auto"/>
            <w:right w:val="none" w:sz="0" w:space="0" w:color="auto"/>
          </w:divBdr>
        </w:div>
      </w:divsChild>
    </w:div>
    <w:div w:id="488133479">
      <w:bodyDiv w:val="1"/>
      <w:marLeft w:val="0"/>
      <w:marRight w:val="0"/>
      <w:marTop w:val="0"/>
      <w:marBottom w:val="0"/>
      <w:divBdr>
        <w:top w:val="none" w:sz="0" w:space="0" w:color="auto"/>
        <w:left w:val="none" w:sz="0" w:space="0" w:color="auto"/>
        <w:bottom w:val="none" w:sz="0" w:space="0" w:color="auto"/>
        <w:right w:val="none" w:sz="0" w:space="0" w:color="auto"/>
      </w:divBdr>
      <w:divsChild>
        <w:div w:id="162474458">
          <w:marLeft w:val="0"/>
          <w:marRight w:val="0"/>
          <w:marTop w:val="0"/>
          <w:marBottom w:val="0"/>
          <w:divBdr>
            <w:top w:val="none" w:sz="0" w:space="0" w:color="auto"/>
            <w:left w:val="none" w:sz="0" w:space="0" w:color="auto"/>
            <w:bottom w:val="none" w:sz="0" w:space="0" w:color="auto"/>
            <w:right w:val="none" w:sz="0" w:space="0" w:color="auto"/>
          </w:divBdr>
          <w:divsChild>
            <w:div w:id="1928994742">
              <w:marLeft w:val="0"/>
              <w:marRight w:val="0"/>
              <w:marTop w:val="0"/>
              <w:marBottom w:val="0"/>
              <w:divBdr>
                <w:top w:val="none" w:sz="0" w:space="0" w:color="auto"/>
                <w:left w:val="none" w:sz="0" w:space="0" w:color="auto"/>
                <w:bottom w:val="none" w:sz="0" w:space="0" w:color="auto"/>
                <w:right w:val="none" w:sz="0" w:space="0" w:color="auto"/>
              </w:divBdr>
              <w:divsChild>
                <w:div w:id="1264998132">
                  <w:marLeft w:val="0"/>
                  <w:marRight w:val="0"/>
                  <w:marTop w:val="0"/>
                  <w:marBottom w:val="0"/>
                  <w:divBdr>
                    <w:top w:val="none" w:sz="0" w:space="0" w:color="auto"/>
                    <w:left w:val="none" w:sz="0" w:space="0" w:color="auto"/>
                    <w:bottom w:val="none" w:sz="0" w:space="0" w:color="auto"/>
                    <w:right w:val="none" w:sz="0" w:space="0" w:color="auto"/>
                  </w:divBdr>
                  <w:divsChild>
                    <w:div w:id="1265655197">
                      <w:marLeft w:val="0"/>
                      <w:marRight w:val="0"/>
                      <w:marTop w:val="120"/>
                      <w:marBottom w:val="0"/>
                      <w:divBdr>
                        <w:top w:val="none" w:sz="0" w:space="0" w:color="auto"/>
                        <w:left w:val="none" w:sz="0" w:space="0" w:color="auto"/>
                        <w:bottom w:val="none" w:sz="0" w:space="0" w:color="auto"/>
                        <w:right w:val="none" w:sz="0" w:space="0" w:color="auto"/>
                      </w:divBdr>
                    </w:div>
                    <w:div w:id="1693915116">
                      <w:marLeft w:val="0"/>
                      <w:marRight w:val="0"/>
                      <w:marTop w:val="0"/>
                      <w:marBottom w:val="0"/>
                      <w:divBdr>
                        <w:top w:val="none" w:sz="0" w:space="0" w:color="auto"/>
                        <w:left w:val="none" w:sz="0" w:space="0" w:color="auto"/>
                        <w:bottom w:val="none" w:sz="0" w:space="0" w:color="auto"/>
                        <w:right w:val="none" w:sz="0" w:space="0" w:color="auto"/>
                      </w:divBdr>
                      <w:divsChild>
                        <w:div w:id="615327890">
                          <w:marLeft w:val="0"/>
                          <w:marRight w:val="0"/>
                          <w:marTop w:val="0"/>
                          <w:marBottom w:val="0"/>
                          <w:divBdr>
                            <w:top w:val="none" w:sz="0" w:space="0" w:color="auto"/>
                            <w:left w:val="none" w:sz="0" w:space="0" w:color="auto"/>
                            <w:bottom w:val="none" w:sz="0" w:space="0" w:color="auto"/>
                            <w:right w:val="none" w:sz="0" w:space="0" w:color="auto"/>
                          </w:divBdr>
                          <w:divsChild>
                            <w:div w:id="1670525288">
                              <w:marLeft w:val="0"/>
                              <w:marRight w:val="0"/>
                              <w:marTop w:val="120"/>
                              <w:marBottom w:val="0"/>
                              <w:divBdr>
                                <w:top w:val="none" w:sz="0" w:space="0" w:color="auto"/>
                                <w:left w:val="none" w:sz="0" w:space="0" w:color="auto"/>
                                <w:bottom w:val="none" w:sz="0" w:space="0" w:color="auto"/>
                                <w:right w:val="none" w:sz="0" w:space="0" w:color="auto"/>
                              </w:divBdr>
                            </w:div>
                            <w:div w:id="1869249052">
                              <w:marLeft w:val="0"/>
                              <w:marRight w:val="0"/>
                              <w:marTop w:val="0"/>
                              <w:marBottom w:val="0"/>
                              <w:divBdr>
                                <w:top w:val="none" w:sz="0" w:space="0" w:color="auto"/>
                                <w:left w:val="none" w:sz="0" w:space="0" w:color="auto"/>
                                <w:bottom w:val="none" w:sz="0" w:space="0" w:color="auto"/>
                                <w:right w:val="none" w:sz="0" w:space="0" w:color="auto"/>
                              </w:divBdr>
                            </w:div>
                          </w:divsChild>
                        </w:div>
                        <w:div w:id="718210795">
                          <w:marLeft w:val="0"/>
                          <w:marRight w:val="0"/>
                          <w:marTop w:val="0"/>
                          <w:marBottom w:val="0"/>
                          <w:divBdr>
                            <w:top w:val="none" w:sz="0" w:space="0" w:color="auto"/>
                            <w:left w:val="none" w:sz="0" w:space="0" w:color="auto"/>
                            <w:bottom w:val="none" w:sz="0" w:space="0" w:color="auto"/>
                            <w:right w:val="none" w:sz="0" w:space="0" w:color="auto"/>
                          </w:divBdr>
                          <w:divsChild>
                            <w:div w:id="103113603">
                              <w:marLeft w:val="0"/>
                              <w:marRight w:val="0"/>
                              <w:marTop w:val="120"/>
                              <w:marBottom w:val="0"/>
                              <w:divBdr>
                                <w:top w:val="none" w:sz="0" w:space="0" w:color="auto"/>
                                <w:left w:val="none" w:sz="0" w:space="0" w:color="auto"/>
                                <w:bottom w:val="none" w:sz="0" w:space="0" w:color="auto"/>
                                <w:right w:val="none" w:sz="0" w:space="0" w:color="auto"/>
                              </w:divBdr>
                            </w:div>
                            <w:div w:id="1309507454">
                              <w:marLeft w:val="0"/>
                              <w:marRight w:val="0"/>
                              <w:marTop w:val="0"/>
                              <w:marBottom w:val="0"/>
                              <w:divBdr>
                                <w:top w:val="none" w:sz="0" w:space="0" w:color="auto"/>
                                <w:left w:val="none" w:sz="0" w:space="0" w:color="auto"/>
                                <w:bottom w:val="none" w:sz="0" w:space="0" w:color="auto"/>
                                <w:right w:val="none" w:sz="0" w:space="0" w:color="auto"/>
                              </w:divBdr>
                            </w:div>
                          </w:divsChild>
                        </w:div>
                        <w:div w:id="2031755295">
                          <w:marLeft w:val="0"/>
                          <w:marRight w:val="0"/>
                          <w:marTop w:val="0"/>
                          <w:marBottom w:val="0"/>
                          <w:divBdr>
                            <w:top w:val="none" w:sz="0" w:space="0" w:color="auto"/>
                            <w:left w:val="none" w:sz="0" w:space="0" w:color="auto"/>
                            <w:bottom w:val="none" w:sz="0" w:space="0" w:color="auto"/>
                            <w:right w:val="none" w:sz="0" w:space="0" w:color="auto"/>
                          </w:divBdr>
                          <w:divsChild>
                            <w:div w:id="1890607307">
                              <w:marLeft w:val="0"/>
                              <w:marRight w:val="0"/>
                              <w:marTop w:val="120"/>
                              <w:marBottom w:val="0"/>
                              <w:divBdr>
                                <w:top w:val="none" w:sz="0" w:space="0" w:color="auto"/>
                                <w:left w:val="none" w:sz="0" w:space="0" w:color="auto"/>
                                <w:bottom w:val="none" w:sz="0" w:space="0" w:color="auto"/>
                                <w:right w:val="none" w:sz="0" w:space="0" w:color="auto"/>
                              </w:divBdr>
                            </w:div>
                            <w:div w:id="180585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923094">
      <w:bodyDiv w:val="1"/>
      <w:marLeft w:val="0"/>
      <w:marRight w:val="0"/>
      <w:marTop w:val="0"/>
      <w:marBottom w:val="0"/>
      <w:divBdr>
        <w:top w:val="none" w:sz="0" w:space="0" w:color="auto"/>
        <w:left w:val="none" w:sz="0" w:space="0" w:color="auto"/>
        <w:bottom w:val="none" w:sz="0" w:space="0" w:color="auto"/>
        <w:right w:val="none" w:sz="0" w:space="0" w:color="auto"/>
      </w:divBdr>
      <w:divsChild>
        <w:div w:id="1020426890">
          <w:marLeft w:val="0"/>
          <w:marRight w:val="0"/>
          <w:marTop w:val="120"/>
          <w:marBottom w:val="0"/>
          <w:divBdr>
            <w:top w:val="none" w:sz="0" w:space="0" w:color="auto"/>
            <w:left w:val="none" w:sz="0" w:space="0" w:color="auto"/>
            <w:bottom w:val="none" w:sz="0" w:space="0" w:color="auto"/>
            <w:right w:val="none" w:sz="0" w:space="0" w:color="auto"/>
          </w:divBdr>
        </w:div>
        <w:div w:id="767696972">
          <w:marLeft w:val="0"/>
          <w:marRight w:val="0"/>
          <w:marTop w:val="0"/>
          <w:marBottom w:val="0"/>
          <w:divBdr>
            <w:top w:val="none" w:sz="0" w:space="0" w:color="auto"/>
            <w:left w:val="none" w:sz="0" w:space="0" w:color="auto"/>
            <w:bottom w:val="none" w:sz="0" w:space="0" w:color="auto"/>
            <w:right w:val="none" w:sz="0" w:space="0" w:color="auto"/>
          </w:divBdr>
        </w:div>
      </w:divsChild>
    </w:div>
    <w:div w:id="501940774">
      <w:bodyDiv w:val="1"/>
      <w:marLeft w:val="0"/>
      <w:marRight w:val="0"/>
      <w:marTop w:val="0"/>
      <w:marBottom w:val="0"/>
      <w:divBdr>
        <w:top w:val="none" w:sz="0" w:space="0" w:color="auto"/>
        <w:left w:val="none" w:sz="0" w:space="0" w:color="auto"/>
        <w:bottom w:val="none" w:sz="0" w:space="0" w:color="auto"/>
        <w:right w:val="none" w:sz="0" w:space="0" w:color="auto"/>
      </w:divBdr>
      <w:divsChild>
        <w:div w:id="202405533">
          <w:marLeft w:val="0"/>
          <w:marRight w:val="0"/>
          <w:marTop w:val="0"/>
          <w:marBottom w:val="0"/>
          <w:divBdr>
            <w:top w:val="none" w:sz="0" w:space="0" w:color="auto"/>
            <w:left w:val="none" w:sz="0" w:space="0" w:color="auto"/>
            <w:bottom w:val="none" w:sz="0" w:space="0" w:color="auto"/>
            <w:right w:val="none" w:sz="0" w:space="0" w:color="auto"/>
          </w:divBdr>
        </w:div>
      </w:divsChild>
    </w:div>
    <w:div w:id="502669483">
      <w:bodyDiv w:val="1"/>
      <w:marLeft w:val="0"/>
      <w:marRight w:val="0"/>
      <w:marTop w:val="0"/>
      <w:marBottom w:val="0"/>
      <w:divBdr>
        <w:top w:val="none" w:sz="0" w:space="0" w:color="auto"/>
        <w:left w:val="none" w:sz="0" w:space="0" w:color="auto"/>
        <w:bottom w:val="none" w:sz="0" w:space="0" w:color="auto"/>
        <w:right w:val="none" w:sz="0" w:space="0" w:color="auto"/>
      </w:divBdr>
      <w:divsChild>
        <w:div w:id="1230270469">
          <w:marLeft w:val="0"/>
          <w:marRight w:val="0"/>
          <w:marTop w:val="0"/>
          <w:marBottom w:val="0"/>
          <w:divBdr>
            <w:top w:val="none" w:sz="0" w:space="0" w:color="auto"/>
            <w:left w:val="none" w:sz="0" w:space="0" w:color="auto"/>
            <w:bottom w:val="none" w:sz="0" w:space="0" w:color="auto"/>
            <w:right w:val="none" w:sz="0" w:space="0" w:color="auto"/>
          </w:divBdr>
        </w:div>
      </w:divsChild>
    </w:div>
    <w:div w:id="506140083">
      <w:bodyDiv w:val="1"/>
      <w:marLeft w:val="0"/>
      <w:marRight w:val="0"/>
      <w:marTop w:val="0"/>
      <w:marBottom w:val="0"/>
      <w:divBdr>
        <w:top w:val="none" w:sz="0" w:space="0" w:color="auto"/>
        <w:left w:val="none" w:sz="0" w:space="0" w:color="auto"/>
        <w:bottom w:val="none" w:sz="0" w:space="0" w:color="auto"/>
        <w:right w:val="none" w:sz="0" w:space="0" w:color="auto"/>
      </w:divBdr>
      <w:divsChild>
        <w:div w:id="378212480">
          <w:marLeft w:val="0"/>
          <w:marRight w:val="0"/>
          <w:marTop w:val="120"/>
          <w:marBottom w:val="0"/>
          <w:divBdr>
            <w:top w:val="none" w:sz="0" w:space="0" w:color="auto"/>
            <w:left w:val="none" w:sz="0" w:space="0" w:color="auto"/>
            <w:bottom w:val="none" w:sz="0" w:space="0" w:color="auto"/>
            <w:right w:val="none" w:sz="0" w:space="0" w:color="auto"/>
          </w:divBdr>
        </w:div>
        <w:div w:id="149443097">
          <w:marLeft w:val="0"/>
          <w:marRight w:val="0"/>
          <w:marTop w:val="0"/>
          <w:marBottom w:val="0"/>
          <w:divBdr>
            <w:top w:val="none" w:sz="0" w:space="0" w:color="auto"/>
            <w:left w:val="none" w:sz="0" w:space="0" w:color="auto"/>
            <w:bottom w:val="none" w:sz="0" w:space="0" w:color="auto"/>
            <w:right w:val="none" w:sz="0" w:space="0" w:color="auto"/>
          </w:divBdr>
        </w:div>
      </w:divsChild>
    </w:div>
    <w:div w:id="506411434">
      <w:bodyDiv w:val="1"/>
      <w:marLeft w:val="0"/>
      <w:marRight w:val="0"/>
      <w:marTop w:val="0"/>
      <w:marBottom w:val="0"/>
      <w:divBdr>
        <w:top w:val="none" w:sz="0" w:space="0" w:color="auto"/>
        <w:left w:val="none" w:sz="0" w:space="0" w:color="auto"/>
        <w:bottom w:val="none" w:sz="0" w:space="0" w:color="auto"/>
        <w:right w:val="none" w:sz="0" w:space="0" w:color="auto"/>
      </w:divBdr>
      <w:divsChild>
        <w:div w:id="1329140728">
          <w:marLeft w:val="0"/>
          <w:marRight w:val="0"/>
          <w:marTop w:val="120"/>
          <w:marBottom w:val="0"/>
          <w:divBdr>
            <w:top w:val="none" w:sz="0" w:space="0" w:color="auto"/>
            <w:left w:val="none" w:sz="0" w:space="0" w:color="auto"/>
            <w:bottom w:val="none" w:sz="0" w:space="0" w:color="auto"/>
            <w:right w:val="none" w:sz="0" w:space="0" w:color="auto"/>
          </w:divBdr>
        </w:div>
        <w:div w:id="406726406">
          <w:marLeft w:val="0"/>
          <w:marRight w:val="0"/>
          <w:marTop w:val="0"/>
          <w:marBottom w:val="0"/>
          <w:divBdr>
            <w:top w:val="none" w:sz="0" w:space="0" w:color="auto"/>
            <w:left w:val="none" w:sz="0" w:space="0" w:color="auto"/>
            <w:bottom w:val="none" w:sz="0" w:space="0" w:color="auto"/>
            <w:right w:val="none" w:sz="0" w:space="0" w:color="auto"/>
          </w:divBdr>
        </w:div>
      </w:divsChild>
    </w:div>
    <w:div w:id="512763562">
      <w:bodyDiv w:val="1"/>
      <w:marLeft w:val="0"/>
      <w:marRight w:val="0"/>
      <w:marTop w:val="0"/>
      <w:marBottom w:val="0"/>
      <w:divBdr>
        <w:top w:val="none" w:sz="0" w:space="0" w:color="auto"/>
        <w:left w:val="none" w:sz="0" w:space="0" w:color="auto"/>
        <w:bottom w:val="none" w:sz="0" w:space="0" w:color="auto"/>
        <w:right w:val="none" w:sz="0" w:space="0" w:color="auto"/>
      </w:divBdr>
      <w:divsChild>
        <w:div w:id="1448621007">
          <w:marLeft w:val="0"/>
          <w:marRight w:val="0"/>
          <w:marTop w:val="0"/>
          <w:marBottom w:val="0"/>
          <w:divBdr>
            <w:top w:val="none" w:sz="0" w:space="0" w:color="auto"/>
            <w:left w:val="none" w:sz="0" w:space="0" w:color="auto"/>
            <w:bottom w:val="none" w:sz="0" w:space="0" w:color="auto"/>
            <w:right w:val="none" w:sz="0" w:space="0" w:color="auto"/>
          </w:divBdr>
        </w:div>
      </w:divsChild>
    </w:div>
    <w:div w:id="514618991">
      <w:bodyDiv w:val="1"/>
      <w:marLeft w:val="0"/>
      <w:marRight w:val="0"/>
      <w:marTop w:val="0"/>
      <w:marBottom w:val="0"/>
      <w:divBdr>
        <w:top w:val="none" w:sz="0" w:space="0" w:color="auto"/>
        <w:left w:val="none" w:sz="0" w:space="0" w:color="auto"/>
        <w:bottom w:val="none" w:sz="0" w:space="0" w:color="auto"/>
        <w:right w:val="none" w:sz="0" w:space="0" w:color="auto"/>
      </w:divBdr>
      <w:divsChild>
        <w:div w:id="1297442904">
          <w:marLeft w:val="0"/>
          <w:marRight w:val="0"/>
          <w:marTop w:val="0"/>
          <w:marBottom w:val="0"/>
          <w:divBdr>
            <w:top w:val="none" w:sz="0" w:space="0" w:color="auto"/>
            <w:left w:val="none" w:sz="0" w:space="0" w:color="auto"/>
            <w:bottom w:val="none" w:sz="0" w:space="0" w:color="auto"/>
            <w:right w:val="none" w:sz="0" w:space="0" w:color="auto"/>
          </w:divBdr>
        </w:div>
      </w:divsChild>
    </w:div>
    <w:div w:id="527793577">
      <w:bodyDiv w:val="1"/>
      <w:marLeft w:val="0"/>
      <w:marRight w:val="0"/>
      <w:marTop w:val="0"/>
      <w:marBottom w:val="0"/>
      <w:divBdr>
        <w:top w:val="none" w:sz="0" w:space="0" w:color="auto"/>
        <w:left w:val="none" w:sz="0" w:space="0" w:color="auto"/>
        <w:bottom w:val="none" w:sz="0" w:space="0" w:color="auto"/>
        <w:right w:val="none" w:sz="0" w:space="0" w:color="auto"/>
      </w:divBdr>
      <w:divsChild>
        <w:div w:id="156000007">
          <w:marLeft w:val="0"/>
          <w:marRight w:val="0"/>
          <w:marTop w:val="120"/>
          <w:marBottom w:val="0"/>
          <w:divBdr>
            <w:top w:val="none" w:sz="0" w:space="0" w:color="auto"/>
            <w:left w:val="none" w:sz="0" w:space="0" w:color="auto"/>
            <w:bottom w:val="none" w:sz="0" w:space="0" w:color="auto"/>
            <w:right w:val="none" w:sz="0" w:space="0" w:color="auto"/>
          </w:divBdr>
        </w:div>
        <w:div w:id="854685512">
          <w:marLeft w:val="0"/>
          <w:marRight w:val="0"/>
          <w:marTop w:val="0"/>
          <w:marBottom w:val="0"/>
          <w:divBdr>
            <w:top w:val="none" w:sz="0" w:space="0" w:color="auto"/>
            <w:left w:val="none" w:sz="0" w:space="0" w:color="auto"/>
            <w:bottom w:val="none" w:sz="0" w:space="0" w:color="auto"/>
            <w:right w:val="none" w:sz="0" w:space="0" w:color="auto"/>
          </w:divBdr>
        </w:div>
      </w:divsChild>
    </w:div>
    <w:div w:id="535121318">
      <w:bodyDiv w:val="1"/>
      <w:marLeft w:val="0"/>
      <w:marRight w:val="0"/>
      <w:marTop w:val="0"/>
      <w:marBottom w:val="0"/>
      <w:divBdr>
        <w:top w:val="none" w:sz="0" w:space="0" w:color="auto"/>
        <w:left w:val="none" w:sz="0" w:space="0" w:color="auto"/>
        <w:bottom w:val="none" w:sz="0" w:space="0" w:color="auto"/>
        <w:right w:val="none" w:sz="0" w:space="0" w:color="auto"/>
      </w:divBdr>
      <w:divsChild>
        <w:div w:id="482549595">
          <w:marLeft w:val="0"/>
          <w:marRight w:val="0"/>
          <w:marTop w:val="120"/>
          <w:marBottom w:val="0"/>
          <w:divBdr>
            <w:top w:val="none" w:sz="0" w:space="0" w:color="auto"/>
            <w:left w:val="none" w:sz="0" w:space="0" w:color="auto"/>
            <w:bottom w:val="none" w:sz="0" w:space="0" w:color="auto"/>
            <w:right w:val="none" w:sz="0" w:space="0" w:color="auto"/>
          </w:divBdr>
        </w:div>
        <w:div w:id="1848015468">
          <w:marLeft w:val="0"/>
          <w:marRight w:val="0"/>
          <w:marTop w:val="0"/>
          <w:marBottom w:val="0"/>
          <w:divBdr>
            <w:top w:val="none" w:sz="0" w:space="0" w:color="auto"/>
            <w:left w:val="none" w:sz="0" w:space="0" w:color="auto"/>
            <w:bottom w:val="none" w:sz="0" w:space="0" w:color="auto"/>
            <w:right w:val="none" w:sz="0" w:space="0" w:color="auto"/>
          </w:divBdr>
        </w:div>
      </w:divsChild>
    </w:div>
    <w:div w:id="537012510">
      <w:bodyDiv w:val="1"/>
      <w:marLeft w:val="0"/>
      <w:marRight w:val="0"/>
      <w:marTop w:val="0"/>
      <w:marBottom w:val="0"/>
      <w:divBdr>
        <w:top w:val="none" w:sz="0" w:space="0" w:color="auto"/>
        <w:left w:val="none" w:sz="0" w:space="0" w:color="auto"/>
        <w:bottom w:val="none" w:sz="0" w:space="0" w:color="auto"/>
        <w:right w:val="none" w:sz="0" w:space="0" w:color="auto"/>
      </w:divBdr>
    </w:div>
    <w:div w:id="545604611">
      <w:bodyDiv w:val="1"/>
      <w:marLeft w:val="0"/>
      <w:marRight w:val="0"/>
      <w:marTop w:val="0"/>
      <w:marBottom w:val="0"/>
      <w:divBdr>
        <w:top w:val="none" w:sz="0" w:space="0" w:color="auto"/>
        <w:left w:val="none" w:sz="0" w:space="0" w:color="auto"/>
        <w:bottom w:val="none" w:sz="0" w:space="0" w:color="auto"/>
        <w:right w:val="none" w:sz="0" w:space="0" w:color="auto"/>
      </w:divBdr>
      <w:divsChild>
        <w:div w:id="1901594956">
          <w:marLeft w:val="0"/>
          <w:marRight w:val="0"/>
          <w:marTop w:val="120"/>
          <w:marBottom w:val="0"/>
          <w:divBdr>
            <w:top w:val="none" w:sz="0" w:space="0" w:color="auto"/>
            <w:left w:val="none" w:sz="0" w:space="0" w:color="auto"/>
            <w:bottom w:val="none" w:sz="0" w:space="0" w:color="auto"/>
            <w:right w:val="none" w:sz="0" w:space="0" w:color="auto"/>
          </w:divBdr>
        </w:div>
        <w:div w:id="1156804106">
          <w:marLeft w:val="0"/>
          <w:marRight w:val="0"/>
          <w:marTop w:val="0"/>
          <w:marBottom w:val="0"/>
          <w:divBdr>
            <w:top w:val="none" w:sz="0" w:space="0" w:color="auto"/>
            <w:left w:val="none" w:sz="0" w:space="0" w:color="auto"/>
            <w:bottom w:val="none" w:sz="0" w:space="0" w:color="auto"/>
            <w:right w:val="none" w:sz="0" w:space="0" w:color="auto"/>
          </w:divBdr>
        </w:div>
      </w:divsChild>
    </w:div>
    <w:div w:id="554242783">
      <w:bodyDiv w:val="1"/>
      <w:marLeft w:val="0"/>
      <w:marRight w:val="0"/>
      <w:marTop w:val="0"/>
      <w:marBottom w:val="0"/>
      <w:divBdr>
        <w:top w:val="none" w:sz="0" w:space="0" w:color="auto"/>
        <w:left w:val="none" w:sz="0" w:space="0" w:color="auto"/>
        <w:bottom w:val="none" w:sz="0" w:space="0" w:color="auto"/>
        <w:right w:val="none" w:sz="0" w:space="0" w:color="auto"/>
      </w:divBdr>
      <w:divsChild>
        <w:div w:id="604731102">
          <w:marLeft w:val="0"/>
          <w:marRight w:val="0"/>
          <w:marTop w:val="120"/>
          <w:marBottom w:val="0"/>
          <w:divBdr>
            <w:top w:val="none" w:sz="0" w:space="0" w:color="auto"/>
            <w:left w:val="none" w:sz="0" w:space="0" w:color="auto"/>
            <w:bottom w:val="none" w:sz="0" w:space="0" w:color="auto"/>
            <w:right w:val="none" w:sz="0" w:space="0" w:color="auto"/>
          </w:divBdr>
        </w:div>
        <w:div w:id="1170296855">
          <w:marLeft w:val="0"/>
          <w:marRight w:val="0"/>
          <w:marTop w:val="0"/>
          <w:marBottom w:val="0"/>
          <w:divBdr>
            <w:top w:val="none" w:sz="0" w:space="0" w:color="auto"/>
            <w:left w:val="none" w:sz="0" w:space="0" w:color="auto"/>
            <w:bottom w:val="none" w:sz="0" w:space="0" w:color="auto"/>
            <w:right w:val="none" w:sz="0" w:space="0" w:color="auto"/>
          </w:divBdr>
        </w:div>
      </w:divsChild>
    </w:div>
    <w:div w:id="567766838">
      <w:bodyDiv w:val="1"/>
      <w:marLeft w:val="0"/>
      <w:marRight w:val="0"/>
      <w:marTop w:val="0"/>
      <w:marBottom w:val="0"/>
      <w:divBdr>
        <w:top w:val="none" w:sz="0" w:space="0" w:color="auto"/>
        <w:left w:val="none" w:sz="0" w:space="0" w:color="auto"/>
        <w:bottom w:val="none" w:sz="0" w:space="0" w:color="auto"/>
        <w:right w:val="none" w:sz="0" w:space="0" w:color="auto"/>
      </w:divBdr>
      <w:divsChild>
        <w:div w:id="1549805451">
          <w:marLeft w:val="0"/>
          <w:marRight w:val="0"/>
          <w:marTop w:val="0"/>
          <w:marBottom w:val="0"/>
          <w:divBdr>
            <w:top w:val="none" w:sz="0" w:space="0" w:color="auto"/>
            <w:left w:val="none" w:sz="0" w:space="0" w:color="auto"/>
            <w:bottom w:val="none" w:sz="0" w:space="0" w:color="auto"/>
            <w:right w:val="none" w:sz="0" w:space="0" w:color="auto"/>
          </w:divBdr>
        </w:div>
      </w:divsChild>
    </w:div>
    <w:div w:id="569267053">
      <w:bodyDiv w:val="1"/>
      <w:marLeft w:val="0"/>
      <w:marRight w:val="0"/>
      <w:marTop w:val="0"/>
      <w:marBottom w:val="0"/>
      <w:divBdr>
        <w:top w:val="none" w:sz="0" w:space="0" w:color="auto"/>
        <w:left w:val="none" w:sz="0" w:space="0" w:color="auto"/>
        <w:bottom w:val="none" w:sz="0" w:space="0" w:color="auto"/>
        <w:right w:val="none" w:sz="0" w:space="0" w:color="auto"/>
      </w:divBdr>
      <w:divsChild>
        <w:div w:id="2121682804">
          <w:marLeft w:val="0"/>
          <w:marRight w:val="0"/>
          <w:marTop w:val="0"/>
          <w:marBottom w:val="0"/>
          <w:divBdr>
            <w:top w:val="none" w:sz="0" w:space="0" w:color="auto"/>
            <w:left w:val="none" w:sz="0" w:space="0" w:color="auto"/>
            <w:bottom w:val="none" w:sz="0" w:space="0" w:color="auto"/>
            <w:right w:val="none" w:sz="0" w:space="0" w:color="auto"/>
          </w:divBdr>
        </w:div>
      </w:divsChild>
    </w:div>
    <w:div w:id="581530790">
      <w:bodyDiv w:val="1"/>
      <w:marLeft w:val="0"/>
      <w:marRight w:val="0"/>
      <w:marTop w:val="0"/>
      <w:marBottom w:val="0"/>
      <w:divBdr>
        <w:top w:val="none" w:sz="0" w:space="0" w:color="auto"/>
        <w:left w:val="none" w:sz="0" w:space="0" w:color="auto"/>
        <w:bottom w:val="none" w:sz="0" w:space="0" w:color="auto"/>
        <w:right w:val="none" w:sz="0" w:space="0" w:color="auto"/>
      </w:divBdr>
      <w:divsChild>
        <w:div w:id="1386028530">
          <w:marLeft w:val="0"/>
          <w:marRight w:val="0"/>
          <w:marTop w:val="0"/>
          <w:marBottom w:val="0"/>
          <w:divBdr>
            <w:top w:val="none" w:sz="0" w:space="0" w:color="auto"/>
            <w:left w:val="none" w:sz="0" w:space="0" w:color="auto"/>
            <w:bottom w:val="none" w:sz="0" w:space="0" w:color="auto"/>
            <w:right w:val="none" w:sz="0" w:space="0" w:color="auto"/>
          </w:divBdr>
          <w:divsChild>
            <w:div w:id="1815367786">
              <w:marLeft w:val="0"/>
              <w:marRight w:val="0"/>
              <w:marTop w:val="120"/>
              <w:marBottom w:val="0"/>
              <w:divBdr>
                <w:top w:val="none" w:sz="0" w:space="0" w:color="auto"/>
                <w:left w:val="none" w:sz="0" w:space="0" w:color="auto"/>
                <w:bottom w:val="none" w:sz="0" w:space="0" w:color="auto"/>
                <w:right w:val="none" w:sz="0" w:space="0" w:color="auto"/>
              </w:divBdr>
            </w:div>
            <w:div w:id="151604598">
              <w:marLeft w:val="0"/>
              <w:marRight w:val="0"/>
              <w:marTop w:val="0"/>
              <w:marBottom w:val="0"/>
              <w:divBdr>
                <w:top w:val="none" w:sz="0" w:space="0" w:color="auto"/>
                <w:left w:val="none" w:sz="0" w:space="0" w:color="auto"/>
                <w:bottom w:val="none" w:sz="0" w:space="0" w:color="auto"/>
                <w:right w:val="none" w:sz="0" w:space="0" w:color="auto"/>
              </w:divBdr>
            </w:div>
          </w:divsChild>
        </w:div>
        <w:div w:id="78598033">
          <w:marLeft w:val="0"/>
          <w:marRight w:val="0"/>
          <w:marTop w:val="0"/>
          <w:marBottom w:val="0"/>
          <w:divBdr>
            <w:top w:val="none" w:sz="0" w:space="0" w:color="auto"/>
            <w:left w:val="none" w:sz="0" w:space="0" w:color="auto"/>
            <w:bottom w:val="none" w:sz="0" w:space="0" w:color="auto"/>
            <w:right w:val="none" w:sz="0" w:space="0" w:color="auto"/>
          </w:divBdr>
          <w:divsChild>
            <w:div w:id="1789544249">
              <w:marLeft w:val="0"/>
              <w:marRight w:val="0"/>
              <w:marTop w:val="120"/>
              <w:marBottom w:val="0"/>
              <w:divBdr>
                <w:top w:val="none" w:sz="0" w:space="0" w:color="auto"/>
                <w:left w:val="none" w:sz="0" w:space="0" w:color="auto"/>
                <w:bottom w:val="none" w:sz="0" w:space="0" w:color="auto"/>
                <w:right w:val="none" w:sz="0" w:space="0" w:color="auto"/>
              </w:divBdr>
            </w:div>
            <w:div w:id="2066679381">
              <w:marLeft w:val="0"/>
              <w:marRight w:val="0"/>
              <w:marTop w:val="0"/>
              <w:marBottom w:val="0"/>
              <w:divBdr>
                <w:top w:val="none" w:sz="0" w:space="0" w:color="auto"/>
                <w:left w:val="none" w:sz="0" w:space="0" w:color="auto"/>
                <w:bottom w:val="none" w:sz="0" w:space="0" w:color="auto"/>
                <w:right w:val="none" w:sz="0" w:space="0" w:color="auto"/>
              </w:divBdr>
            </w:div>
          </w:divsChild>
        </w:div>
        <w:div w:id="1588536502">
          <w:marLeft w:val="0"/>
          <w:marRight w:val="0"/>
          <w:marTop w:val="0"/>
          <w:marBottom w:val="0"/>
          <w:divBdr>
            <w:top w:val="none" w:sz="0" w:space="0" w:color="auto"/>
            <w:left w:val="none" w:sz="0" w:space="0" w:color="auto"/>
            <w:bottom w:val="none" w:sz="0" w:space="0" w:color="auto"/>
            <w:right w:val="none" w:sz="0" w:space="0" w:color="auto"/>
          </w:divBdr>
          <w:divsChild>
            <w:div w:id="77600201">
              <w:marLeft w:val="0"/>
              <w:marRight w:val="0"/>
              <w:marTop w:val="120"/>
              <w:marBottom w:val="0"/>
              <w:divBdr>
                <w:top w:val="none" w:sz="0" w:space="0" w:color="auto"/>
                <w:left w:val="none" w:sz="0" w:space="0" w:color="auto"/>
                <w:bottom w:val="none" w:sz="0" w:space="0" w:color="auto"/>
                <w:right w:val="none" w:sz="0" w:space="0" w:color="auto"/>
              </w:divBdr>
            </w:div>
            <w:div w:id="698748354">
              <w:marLeft w:val="0"/>
              <w:marRight w:val="0"/>
              <w:marTop w:val="0"/>
              <w:marBottom w:val="0"/>
              <w:divBdr>
                <w:top w:val="none" w:sz="0" w:space="0" w:color="auto"/>
                <w:left w:val="none" w:sz="0" w:space="0" w:color="auto"/>
                <w:bottom w:val="none" w:sz="0" w:space="0" w:color="auto"/>
                <w:right w:val="none" w:sz="0" w:space="0" w:color="auto"/>
              </w:divBdr>
              <w:divsChild>
                <w:div w:id="1199199508">
                  <w:marLeft w:val="0"/>
                  <w:marRight w:val="0"/>
                  <w:marTop w:val="0"/>
                  <w:marBottom w:val="0"/>
                  <w:divBdr>
                    <w:top w:val="none" w:sz="0" w:space="0" w:color="auto"/>
                    <w:left w:val="none" w:sz="0" w:space="0" w:color="auto"/>
                    <w:bottom w:val="none" w:sz="0" w:space="0" w:color="auto"/>
                    <w:right w:val="none" w:sz="0" w:space="0" w:color="auto"/>
                  </w:divBdr>
                  <w:divsChild>
                    <w:div w:id="1586186273">
                      <w:marLeft w:val="0"/>
                      <w:marRight w:val="0"/>
                      <w:marTop w:val="120"/>
                      <w:marBottom w:val="0"/>
                      <w:divBdr>
                        <w:top w:val="none" w:sz="0" w:space="0" w:color="auto"/>
                        <w:left w:val="none" w:sz="0" w:space="0" w:color="auto"/>
                        <w:bottom w:val="none" w:sz="0" w:space="0" w:color="auto"/>
                        <w:right w:val="none" w:sz="0" w:space="0" w:color="auto"/>
                      </w:divBdr>
                    </w:div>
                    <w:div w:id="1164782427">
                      <w:marLeft w:val="0"/>
                      <w:marRight w:val="0"/>
                      <w:marTop w:val="0"/>
                      <w:marBottom w:val="0"/>
                      <w:divBdr>
                        <w:top w:val="none" w:sz="0" w:space="0" w:color="auto"/>
                        <w:left w:val="none" w:sz="0" w:space="0" w:color="auto"/>
                        <w:bottom w:val="none" w:sz="0" w:space="0" w:color="auto"/>
                        <w:right w:val="none" w:sz="0" w:space="0" w:color="auto"/>
                      </w:divBdr>
                    </w:div>
                  </w:divsChild>
                </w:div>
                <w:div w:id="1121730786">
                  <w:marLeft w:val="0"/>
                  <w:marRight w:val="0"/>
                  <w:marTop w:val="0"/>
                  <w:marBottom w:val="0"/>
                  <w:divBdr>
                    <w:top w:val="none" w:sz="0" w:space="0" w:color="auto"/>
                    <w:left w:val="none" w:sz="0" w:space="0" w:color="auto"/>
                    <w:bottom w:val="none" w:sz="0" w:space="0" w:color="auto"/>
                    <w:right w:val="none" w:sz="0" w:space="0" w:color="auto"/>
                  </w:divBdr>
                  <w:divsChild>
                    <w:div w:id="200363700">
                      <w:marLeft w:val="0"/>
                      <w:marRight w:val="0"/>
                      <w:marTop w:val="120"/>
                      <w:marBottom w:val="0"/>
                      <w:divBdr>
                        <w:top w:val="none" w:sz="0" w:space="0" w:color="auto"/>
                        <w:left w:val="none" w:sz="0" w:space="0" w:color="auto"/>
                        <w:bottom w:val="none" w:sz="0" w:space="0" w:color="auto"/>
                        <w:right w:val="none" w:sz="0" w:space="0" w:color="auto"/>
                      </w:divBdr>
                    </w:div>
                    <w:div w:id="20994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22400">
          <w:marLeft w:val="0"/>
          <w:marRight w:val="0"/>
          <w:marTop w:val="0"/>
          <w:marBottom w:val="0"/>
          <w:divBdr>
            <w:top w:val="none" w:sz="0" w:space="0" w:color="auto"/>
            <w:left w:val="none" w:sz="0" w:space="0" w:color="auto"/>
            <w:bottom w:val="none" w:sz="0" w:space="0" w:color="auto"/>
            <w:right w:val="none" w:sz="0" w:space="0" w:color="auto"/>
          </w:divBdr>
          <w:divsChild>
            <w:div w:id="1977224596">
              <w:marLeft w:val="0"/>
              <w:marRight w:val="0"/>
              <w:marTop w:val="120"/>
              <w:marBottom w:val="0"/>
              <w:divBdr>
                <w:top w:val="none" w:sz="0" w:space="0" w:color="auto"/>
                <w:left w:val="none" w:sz="0" w:space="0" w:color="auto"/>
                <w:bottom w:val="none" w:sz="0" w:space="0" w:color="auto"/>
                <w:right w:val="none" w:sz="0" w:space="0" w:color="auto"/>
              </w:divBdr>
            </w:div>
            <w:div w:id="195227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9628">
      <w:bodyDiv w:val="1"/>
      <w:marLeft w:val="0"/>
      <w:marRight w:val="0"/>
      <w:marTop w:val="0"/>
      <w:marBottom w:val="0"/>
      <w:divBdr>
        <w:top w:val="none" w:sz="0" w:space="0" w:color="auto"/>
        <w:left w:val="none" w:sz="0" w:space="0" w:color="auto"/>
        <w:bottom w:val="none" w:sz="0" w:space="0" w:color="auto"/>
        <w:right w:val="none" w:sz="0" w:space="0" w:color="auto"/>
      </w:divBdr>
      <w:divsChild>
        <w:div w:id="107706671">
          <w:marLeft w:val="0"/>
          <w:marRight w:val="0"/>
          <w:marTop w:val="0"/>
          <w:marBottom w:val="0"/>
          <w:divBdr>
            <w:top w:val="none" w:sz="0" w:space="0" w:color="auto"/>
            <w:left w:val="none" w:sz="0" w:space="0" w:color="auto"/>
            <w:bottom w:val="none" w:sz="0" w:space="0" w:color="auto"/>
            <w:right w:val="none" w:sz="0" w:space="0" w:color="auto"/>
          </w:divBdr>
        </w:div>
      </w:divsChild>
    </w:div>
    <w:div w:id="583074623">
      <w:bodyDiv w:val="1"/>
      <w:marLeft w:val="0"/>
      <w:marRight w:val="0"/>
      <w:marTop w:val="0"/>
      <w:marBottom w:val="0"/>
      <w:divBdr>
        <w:top w:val="none" w:sz="0" w:space="0" w:color="auto"/>
        <w:left w:val="none" w:sz="0" w:space="0" w:color="auto"/>
        <w:bottom w:val="none" w:sz="0" w:space="0" w:color="auto"/>
        <w:right w:val="none" w:sz="0" w:space="0" w:color="auto"/>
      </w:divBdr>
      <w:divsChild>
        <w:div w:id="820854649">
          <w:marLeft w:val="0"/>
          <w:marRight w:val="0"/>
          <w:marTop w:val="120"/>
          <w:marBottom w:val="0"/>
          <w:divBdr>
            <w:top w:val="none" w:sz="0" w:space="0" w:color="auto"/>
            <w:left w:val="none" w:sz="0" w:space="0" w:color="auto"/>
            <w:bottom w:val="none" w:sz="0" w:space="0" w:color="auto"/>
            <w:right w:val="none" w:sz="0" w:space="0" w:color="auto"/>
          </w:divBdr>
        </w:div>
        <w:div w:id="268633653">
          <w:marLeft w:val="0"/>
          <w:marRight w:val="0"/>
          <w:marTop w:val="0"/>
          <w:marBottom w:val="0"/>
          <w:divBdr>
            <w:top w:val="none" w:sz="0" w:space="0" w:color="auto"/>
            <w:left w:val="none" w:sz="0" w:space="0" w:color="auto"/>
            <w:bottom w:val="none" w:sz="0" w:space="0" w:color="auto"/>
            <w:right w:val="none" w:sz="0" w:space="0" w:color="auto"/>
          </w:divBdr>
        </w:div>
      </w:divsChild>
    </w:div>
    <w:div w:id="584455615">
      <w:bodyDiv w:val="1"/>
      <w:marLeft w:val="0"/>
      <w:marRight w:val="0"/>
      <w:marTop w:val="0"/>
      <w:marBottom w:val="0"/>
      <w:divBdr>
        <w:top w:val="none" w:sz="0" w:space="0" w:color="auto"/>
        <w:left w:val="none" w:sz="0" w:space="0" w:color="auto"/>
        <w:bottom w:val="none" w:sz="0" w:space="0" w:color="auto"/>
        <w:right w:val="none" w:sz="0" w:space="0" w:color="auto"/>
      </w:divBdr>
      <w:divsChild>
        <w:div w:id="200438746">
          <w:marLeft w:val="0"/>
          <w:marRight w:val="0"/>
          <w:marTop w:val="0"/>
          <w:marBottom w:val="0"/>
          <w:divBdr>
            <w:top w:val="none" w:sz="0" w:space="0" w:color="auto"/>
            <w:left w:val="none" w:sz="0" w:space="0" w:color="auto"/>
            <w:bottom w:val="none" w:sz="0" w:space="0" w:color="auto"/>
            <w:right w:val="none" w:sz="0" w:space="0" w:color="auto"/>
          </w:divBdr>
          <w:divsChild>
            <w:div w:id="17727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386338">
      <w:bodyDiv w:val="1"/>
      <w:marLeft w:val="0"/>
      <w:marRight w:val="0"/>
      <w:marTop w:val="0"/>
      <w:marBottom w:val="0"/>
      <w:divBdr>
        <w:top w:val="none" w:sz="0" w:space="0" w:color="auto"/>
        <w:left w:val="none" w:sz="0" w:space="0" w:color="auto"/>
        <w:bottom w:val="none" w:sz="0" w:space="0" w:color="auto"/>
        <w:right w:val="none" w:sz="0" w:space="0" w:color="auto"/>
      </w:divBdr>
      <w:divsChild>
        <w:div w:id="2143765486">
          <w:marLeft w:val="0"/>
          <w:marRight w:val="0"/>
          <w:marTop w:val="0"/>
          <w:marBottom w:val="0"/>
          <w:divBdr>
            <w:top w:val="none" w:sz="0" w:space="0" w:color="auto"/>
            <w:left w:val="none" w:sz="0" w:space="0" w:color="auto"/>
            <w:bottom w:val="none" w:sz="0" w:space="0" w:color="auto"/>
            <w:right w:val="none" w:sz="0" w:space="0" w:color="auto"/>
          </w:divBdr>
        </w:div>
      </w:divsChild>
    </w:div>
    <w:div w:id="589510503">
      <w:bodyDiv w:val="1"/>
      <w:marLeft w:val="0"/>
      <w:marRight w:val="0"/>
      <w:marTop w:val="0"/>
      <w:marBottom w:val="0"/>
      <w:divBdr>
        <w:top w:val="none" w:sz="0" w:space="0" w:color="auto"/>
        <w:left w:val="none" w:sz="0" w:space="0" w:color="auto"/>
        <w:bottom w:val="none" w:sz="0" w:space="0" w:color="auto"/>
        <w:right w:val="none" w:sz="0" w:space="0" w:color="auto"/>
      </w:divBdr>
      <w:divsChild>
        <w:div w:id="1270120424">
          <w:marLeft w:val="0"/>
          <w:marRight w:val="0"/>
          <w:marTop w:val="0"/>
          <w:marBottom w:val="0"/>
          <w:divBdr>
            <w:top w:val="none" w:sz="0" w:space="0" w:color="auto"/>
            <w:left w:val="none" w:sz="0" w:space="0" w:color="auto"/>
            <w:bottom w:val="none" w:sz="0" w:space="0" w:color="auto"/>
            <w:right w:val="none" w:sz="0" w:space="0" w:color="auto"/>
          </w:divBdr>
        </w:div>
      </w:divsChild>
    </w:div>
    <w:div w:id="597912106">
      <w:bodyDiv w:val="1"/>
      <w:marLeft w:val="0"/>
      <w:marRight w:val="0"/>
      <w:marTop w:val="0"/>
      <w:marBottom w:val="0"/>
      <w:divBdr>
        <w:top w:val="none" w:sz="0" w:space="0" w:color="auto"/>
        <w:left w:val="none" w:sz="0" w:space="0" w:color="auto"/>
        <w:bottom w:val="none" w:sz="0" w:space="0" w:color="auto"/>
        <w:right w:val="none" w:sz="0" w:space="0" w:color="auto"/>
      </w:divBdr>
      <w:divsChild>
        <w:div w:id="1849832242">
          <w:marLeft w:val="0"/>
          <w:marRight w:val="0"/>
          <w:marTop w:val="0"/>
          <w:marBottom w:val="0"/>
          <w:divBdr>
            <w:top w:val="none" w:sz="0" w:space="0" w:color="auto"/>
            <w:left w:val="none" w:sz="0" w:space="0" w:color="auto"/>
            <w:bottom w:val="none" w:sz="0" w:space="0" w:color="auto"/>
            <w:right w:val="none" w:sz="0" w:space="0" w:color="auto"/>
          </w:divBdr>
          <w:divsChild>
            <w:div w:id="19975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659342">
      <w:bodyDiv w:val="1"/>
      <w:marLeft w:val="0"/>
      <w:marRight w:val="0"/>
      <w:marTop w:val="0"/>
      <w:marBottom w:val="0"/>
      <w:divBdr>
        <w:top w:val="none" w:sz="0" w:space="0" w:color="auto"/>
        <w:left w:val="none" w:sz="0" w:space="0" w:color="auto"/>
        <w:bottom w:val="none" w:sz="0" w:space="0" w:color="auto"/>
        <w:right w:val="none" w:sz="0" w:space="0" w:color="auto"/>
      </w:divBdr>
      <w:divsChild>
        <w:div w:id="1625116388">
          <w:marLeft w:val="0"/>
          <w:marRight w:val="0"/>
          <w:marTop w:val="0"/>
          <w:marBottom w:val="0"/>
          <w:divBdr>
            <w:top w:val="none" w:sz="0" w:space="0" w:color="auto"/>
            <w:left w:val="none" w:sz="0" w:space="0" w:color="auto"/>
            <w:bottom w:val="none" w:sz="0" w:space="0" w:color="auto"/>
            <w:right w:val="none" w:sz="0" w:space="0" w:color="auto"/>
          </w:divBdr>
        </w:div>
      </w:divsChild>
    </w:div>
    <w:div w:id="621572549">
      <w:bodyDiv w:val="1"/>
      <w:marLeft w:val="0"/>
      <w:marRight w:val="0"/>
      <w:marTop w:val="0"/>
      <w:marBottom w:val="0"/>
      <w:divBdr>
        <w:top w:val="none" w:sz="0" w:space="0" w:color="auto"/>
        <w:left w:val="none" w:sz="0" w:space="0" w:color="auto"/>
        <w:bottom w:val="none" w:sz="0" w:space="0" w:color="auto"/>
        <w:right w:val="none" w:sz="0" w:space="0" w:color="auto"/>
      </w:divBdr>
      <w:divsChild>
        <w:div w:id="1608387419">
          <w:marLeft w:val="0"/>
          <w:marRight w:val="0"/>
          <w:marTop w:val="0"/>
          <w:marBottom w:val="0"/>
          <w:divBdr>
            <w:top w:val="none" w:sz="0" w:space="0" w:color="auto"/>
            <w:left w:val="none" w:sz="0" w:space="0" w:color="auto"/>
            <w:bottom w:val="none" w:sz="0" w:space="0" w:color="auto"/>
            <w:right w:val="none" w:sz="0" w:space="0" w:color="auto"/>
          </w:divBdr>
        </w:div>
      </w:divsChild>
    </w:div>
    <w:div w:id="628586702">
      <w:bodyDiv w:val="1"/>
      <w:marLeft w:val="0"/>
      <w:marRight w:val="0"/>
      <w:marTop w:val="0"/>
      <w:marBottom w:val="0"/>
      <w:divBdr>
        <w:top w:val="none" w:sz="0" w:space="0" w:color="auto"/>
        <w:left w:val="none" w:sz="0" w:space="0" w:color="auto"/>
        <w:bottom w:val="none" w:sz="0" w:space="0" w:color="auto"/>
        <w:right w:val="none" w:sz="0" w:space="0" w:color="auto"/>
      </w:divBdr>
      <w:divsChild>
        <w:div w:id="1508325904">
          <w:marLeft w:val="0"/>
          <w:marRight w:val="0"/>
          <w:marTop w:val="120"/>
          <w:marBottom w:val="0"/>
          <w:divBdr>
            <w:top w:val="none" w:sz="0" w:space="0" w:color="auto"/>
            <w:left w:val="none" w:sz="0" w:space="0" w:color="auto"/>
            <w:bottom w:val="none" w:sz="0" w:space="0" w:color="auto"/>
            <w:right w:val="none" w:sz="0" w:space="0" w:color="auto"/>
          </w:divBdr>
        </w:div>
        <w:div w:id="535893661">
          <w:marLeft w:val="0"/>
          <w:marRight w:val="0"/>
          <w:marTop w:val="0"/>
          <w:marBottom w:val="0"/>
          <w:divBdr>
            <w:top w:val="none" w:sz="0" w:space="0" w:color="auto"/>
            <w:left w:val="none" w:sz="0" w:space="0" w:color="auto"/>
            <w:bottom w:val="none" w:sz="0" w:space="0" w:color="auto"/>
            <w:right w:val="none" w:sz="0" w:space="0" w:color="auto"/>
          </w:divBdr>
        </w:div>
      </w:divsChild>
    </w:div>
    <w:div w:id="630064340">
      <w:bodyDiv w:val="1"/>
      <w:marLeft w:val="0"/>
      <w:marRight w:val="0"/>
      <w:marTop w:val="0"/>
      <w:marBottom w:val="0"/>
      <w:divBdr>
        <w:top w:val="none" w:sz="0" w:space="0" w:color="auto"/>
        <w:left w:val="none" w:sz="0" w:space="0" w:color="auto"/>
        <w:bottom w:val="none" w:sz="0" w:space="0" w:color="auto"/>
        <w:right w:val="none" w:sz="0" w:space="0" w:color="auto"/>
      </w:divBdr>
      <w:divsChild>
        <w:div w:id="1021204040">
          <w:marLeft w:val="0"/>
          <w:marRight w:val="0"/>
          <w:marTop w:val="120"/>
          <w:marBottom w:val="0"/>
          <w:divBdr>
            <w:top w:val="none" w:sz="0" w:space="0" w:color="auto"/>
            <w:left w:val="none" w:sz="0" w:space="0" w:color="auto"/>
            <w:bottom w:val="none" w:sz="0" w:space="0" w:color="auto"/>
            <w:right w:val="none" w:sz="0" w:space="0" w:color="auto"/>
          </w:divBdr>
        </w:div>
        <w:div w:id="942415118">
          <w:marLeft w:val="0"/>
          <w:marRight w:val="0"/>
          <w:marTop w:val="0"/>
          <w:marBottom w:val="0"/>
          <w:divBdr>
            <w:top w:val="none" w:sz="0" w:space="0" w:color="auto"/>
            <w:left w:val="none" w:sz="0" w:space="0" w:color="auto"/>
            <w:bottom w:val="none" w:sz="0" w:space="0" w:color="auto"/>
            <w:right w:val="none" w:sz="0" w:space="0" w:color="auto"/>
          </w:divBdr>
        </w:div>
      </w:divsChild>
    </w:div>
    <w:div w:id="634798785">
      <w:bodyDiv w:val="1"/>
      <w:marLeft w:val="0"/>
      <w:marRight w:val="0"/>
      <w:marTop w:val="0"/>
      <w:marBottom w:val="0"/>
      <w:divBdr>
        <w:top w:val="none" w:sz="0" w:space="0" w:color="auto"/>
        <w:left w:val="none" w:sz="0" w:space="0" w:color="auto"/>
        <w:bottom w:val="none" w:sz="0" w:space="0" w:color="auto"/>
        <w:right w:val="none" w:sz="0" w:space="0" w:color="auto"/>
      </w:divBdr>
      <w:divsChild>
        <w:div w:id="181824015">
          <w:marLeft w:val="0"/>
          <w:marRight w:val="0"/>
          <w:marTop w:val="120"/>
          <w:marBottom w:val="0"/>
          <w:divBdr>
            <w:top w:val="none" w:sz="0" w:space="0" w:color="auto"/>
            <w:left w:val="none" w:sz="0" w:space="0" w:color="auto"/>
            <w:bottom w:val="none" w:sz="0" w:space="0" w:color="auto"/>
            <w:right w:val="none" w:sz="0" w:space="0" w:color="auto"/>
          </w:divBdr>
        </w:div>
        <w:div w:id="1612322585">
          <w:marLeft w:val="0"/>
          <w:marRight w:val="0"/>
          <w:marTop w:val="0"/>
          <w:marBottom w:val="0"/>
          <w:divBdr>
            <w:top w:val="none" w:sz="0" w:space="0" w:color="auto"/>
            <w:left w:val="none" w:sz="0" w:space="0" w:color="auto"/>
            <w:bottom w:val="none" w:sz="0" w:space="0" w:color="auto"/>
            <w:right w:val="none" w:sz="0" w:space="0" w:color="auto"/>
          </w:divBdr>
        </w:div>
      </w:divsChild>
    </w:div>
    <w:div w:id="637495528">
      <w:bodyDiv w:val="1"/>
      <w:marLeft w:val="0"/>
      <w:marRight w:val="0"/>
      <w:marTop w:val="0"/>
      <w:marBottom w:val="0"/>
      <w:divBdr>
        <w:top w:val="none" w:sz="0" w:space="0" w:color="auto"/>
        <w:left w:val="none" w:sz="0" w:space="0" w:color="auto"/>
        <w:bottom w:val="none" w:sz="0" w:space="0" w:color="auto"/>
        <w:right w:val="none" w:sz="0" w:space="0" w:color="auto"/>
      </w:divBdr>
      <w:divsChild>
        <w:div w:id="926696917">
          <w:marLeft w:val="0"/>
          <w:marRight w:val="0"/>
          <w:marTop w:val="0"/>
          <w:marBottom w:val="0"/>
          <w:divBdr>
            <w:top w:val="none" w:sz="0" w:space="0" w:color="auto"/>
            <w:left w:val="none" w:sz="0" w:space="0" w:color="auto"/>
            <w:bottom w:val="none" w:sz="0" w:space="0" w:color="auto"/>
            <w:right w:val="none" w:sz="0" w:space="0" w:color="auto"/>
          </w:divBdr>
        </w:div>
      </w:divsChild>
    </w:div>
    <w:div w:id="641036878">
      <w:bodyDiv w:val="1"/>
      <w:marLeft w:val="0"/>
      <w:marRight w:val="0"/>
      <w:marTop w:val="0"/>
      <w:marBottom w:val="0"/>
      <w:divBdr>
        <w:top w:val="none" w:sz="0" w:space="0" w:color="auto"/>
        <w:left w:val="none" w:sz="0" w:space="0" w:color="auto"/>
        <w:bottom w:val="none" w:sz="0" w:space="0" w:color="auto"/>
        <w:right w:val="none" w:sz="0" w:space="0" w:color="auto"/>
      </w:divBdr>
      <w:divsChild>
        <w:div w:id="1012561552">
          <w:marLeft w:val="0"/>
          <w:marRight w:val="0"/>
          <w:marTop w:val="0"/>
          <w:marBottom w:val="0"/>
          <w:divBdr>
            <w:top w:val="none" w:sz="0" w:space="0" w:color="auto"/>
            <w:left w:val="none" w:sz="0" w:space="0" w:color="auto"/>
            <w:bottom w:val="none" w:sz="0" w:space="0" w:color="auto"/>
            <w:right w:val="none" w:sz="0" w:space="0" w:color="auto"/>
          </w:divBdr>
          <w:divsChild>
            <w:div w:id="1697198276">
              <w:marLeft w:val="0"/>
              <w:marRight w:val="0"/>
              <w:marTop w:val="0"/>
              <w:marBottom w:val="0"/>
              <w:divBdr>
                <w:top w:val="none" w:sz="0" w:space="0" w:color="auto"/>
                <w:left w:val="none" w:sz="0" w:space="0" w:color="auto"/>
                <w:bottom w:val="none" w:sz="0" w:space="0" w:color="auto"/>
                <w:right w:val="none" w:sz="0" w:space="0" w:color="auto"/>
              </w:divBdr>
              <w:divsChild>
                <w:div w:id="1718160213">
                  <w:marLeft w:val="0"/>
                  <w:marRight w:val="0"/>
                  <w:marTop w:val="120"/>
                  <w:marBottom w:val="0"/>
                  <w:divBdr>
                    <w:top w:val="none" w:sz="0" w:space="0" w:color="auto"/>
                    <w:left w:val="none" w:sz="0" w:space="0" w:color="auto"/>
                    <w:bottom w:val="none" w:sz="0" w:space="0" w:color="auto"/>
                    <w:right w:val="none" w:sz="0" w:space="0" w:color="auto"/>
                  </w:divBdr>
                </w:div>
                <w:div w:id="1326975780">
                  <w:marLeft w:val="0"/>
                  <w:marRight w:val="0"/>
                  <w:marTop w:val="0"/>
                  <w:marBottom w:val="0"/>
                  <w:divBdr>
                    <w:top w:val="none" w:sz="0" w:space="0" w:color="auto"/>
                    <w:left w:val="none" w:sz="0" w:space="0" w:color="auto"/>
                    <w:bottom w:val="none" w:sz="0" w:space="0" w:color="auto"/>
                    <w:right w:val="none" w:sz="0" w:space="0" w:color="auto"/>
                  </w:divBdr>
                </w:div>
              </w:divsChild>
            </w:div>
            <w:div w:id="901794314">
              <w:marLeft w:val="0"/>
              <w:marRight w:val="0"/>
              <w:marTop w:val="0"/>
              <w:marBottom w:val="0"/>
              <w:divBdr>
                <w:top w:val="none" w:sz="0" w:space="0" w:color="auto"/>
                <w:left w:val="none" w:sz="0" w:space="0" w:color="auto"/>
                <w:bottom w:val="none" w:sz="0" w:space="0" w:color="auto"/>
                <w:right w:val="none" w:sz="0" w:space="0" w:color="auto"/>
              </w:divBdr>
              <w:divsChild>
                <w:div w:id="1723669433">
                  <w:marLeft w:val="0"/>
                  <w:marRight w:val="0"/>
                  <w:marTop w:val="120"/>
                  <w:marBottom w:val="0"/>
                  <w:divBdr>
                    <w:top w:val="none" w:sz="0" w:space="0" w:color="auto"/>
                    <w:left w:val="none" w:sz="0" w:space="0" w:color="auto"/>
                    <w:bottom w:val="none" w:sz="0" w:space="0" w:color="auto"/>
                    <w:right w:val="none" w:sz="0" w:space="0" w:color="auto"/>
                  </w:divBdr>
                </w:div>
                <w:div w:id="635530632">
                  <w:marLeft w:val="0"/>
                  <w:marRight w:val="0"/>
                  <w:marTop w:val="0"/>
                  <w:marBottom w:val="0"/>
                  <w:divBdr>
                    <w:top w:val="none" w:sz="0" w:space="0" w:color="auto"/>
                    <w:left w:val="none" w:sz="0" w:space="0" w:color="auto"/>
                    <w:bottom w:val="none" w:sz="0" w:space="0" w:color="auto"/>
                    <w:right w:val="none" w:sz="0" w:space="0" w:color="auto"/>
                  </w:divBdr>
                </w:div>
              </w:divsChild>
            </w:div>
            <w:div w:id="594287882">
              <w:marLeft w:val="0"/>
              <w:marRight w:val="0"/>
              <w:marTop w:val="0"/>
              <w:marBottom w:val="0"/>
              <w:divBdr>
                <w:top w:val="none" w:sz="0" w:space="0" w:color="auto"/>
                <w:left w:val="none" w:sz="0" w:space="0" w:color="auto"/>
                <w:bottom w:val="none" w:sz="0" w:space="0" w:color="auto"/>
                <w:right w:val="none" w:sz="0" w:space="0" w:color="auto"/>
              </w:divBdr>
              <w:divsChild>
                <w:div w:id="2091465012">
                  <w:marLeft w:val="0"/>
                  <w:marRight w:val="0"/>
                  <w:marTop w:val="120"/>
                  <w:marBottom w:val="0"/>
                  <w:divBdr>
                    <w:top w:val="none" w:sz="0" w:space="0" w:color="auto"/>
                    <w:left w:val="none" w:sz="0" w:space="0" w:color="auto"/>
                    <w:bottom w:val="none" w:sz="0" w:space="0" w:color="auto"/>
                    <w:right w:val="none" w:sz="0" w:space="0" w:color="auto"/>
                  </w:divBdr>
                </w:div>
                <w:div w:id="625965075">
                  <w:marLeft w:val="0"/>
                  <w:marRight w:val="0"/>
                  <w:marTop w:val="0"/>
                  <w:marBottom w:val="0"/>
                  <w:divBdr>
                    <w:top w:val="none" w:sz="0" w:space="0" w:color="auto"/>
                    <w:left w:val="none" w:sz="0" w:space="0" w:color="auto"/>
                    <w:bottom w:val="none" w:sz="0" w:space="0" w:color="auto"/>
                    <w:right w:val="none" w:sz="0" w:space="0" w:color="auto"/>
                  </w:divBdr>
                </w:div>
              </w:divsChild>
            </w:div>
            <w:div w:id="903681267">
              <w:marLeft w:val="0"/>
              <w:marRight w:val="0"/>
              <w:marTop w:val="0"/>
              <w:marBottom w:val="0"/>
              <w:divBdr>
                <w:top w:val="none" w:sz="0" w:space="0" w:color="auto"/>
                <w:left w:val="none" w:sz="0" w:space="0" w:color="auto"/>
                <w:bottom w:val="none" w:sz="0" w:space="0" w:color="auto"/>
                <w:right w:val="none" w:sz="0" w:space="0" w:color="auto"/>
              </w:divBdr>
              <w:divsChild>
                <w:div w:id="653073888">
                  <w:marLeft w:val="0"/>
                  <w:marRight w:val="0"/>
                  <w:marTop w:val="120"/>
                  <w:marBottom w:val="0"/>
                  <w:divBdr>
                    <w:top w:val="none" w:sz="0" w:space="0" w:color="auto"/>
                    <w:left w:val="none" w:sz="0" w:space="0" w:color="auto"/>
                    <w:bottom w:val="none" w:sz="0" w:space="0" w:color="auto"/>
                    <w:right w:val="none" w:sz="0" w:space="0" w:color="auto"/>
                  </w:divBdr>
                </w:div>
                <w:div w:id="351030922">
                  <w:marLeft w:val="0"/>
                  <w:marRight w:val="0"/>
                  <w:marTop w:val="0"/>
                  <w:marBottom w:val="0"/>
                  <w:divBdr>
                    <w:top w:val="none" w:sz="0" w:space="0" w:color="auto"/>
                    <w:left w:val="none" w:sz="0" w:space="0" w:color="auto"/>
                    <w:bottom w:val="none" w:sz="0" w:space="0" w:color="auto"/>
                    <w:right w:val="none" w:sz="0" w:space="0" w:color="auto"/>
                  </w:divBdr>
                  <w:divsChild>
                    <w:div w:id="661355075">
                      <w:marLeft w:val="0"/>
                      <w:marRight w:val="0"/>
                      <w:marTop w:val="0"/>
                      <w:marBottom w:val="0"/>
                      <w:divBdr>
                        <w:top w:val="none" w:sz="0" w:space="0" w:color="auto"/>
                        <w:left w:val="none" w:sz="0" w:space="0" w:color="auto"/>
                        <w:bottom w:val="none" w:sz="0" w:space="0" w:color="auto"/>
                        <w:right w:val="none" w:sz="0" w:space="0" w:color="auto"/>
                      </w:divBdr>
                      <w:divsChild>
                        <w:div w:id="554901371">
                          <w:marLeft w:val="0"/>
                          <w:marRight w:val="0"/>
                          <w:marTop w:val="120"/>
                          <w:marBottom w:val="0"/>
                          <w:divBdr>
                            <w:top w:val="none" w:sz="0" w:space="0" w:color="auto"/>
                            <w:left w:val="none" w:sz="0" w:space="0" w:color="auto"/>
                            <w:bottom w:val="none" w:sz="0" w:space="0" w:color="auto"/>
                            <w:right w:val="none" w:sz="0" w:space="0" w:color="auto"/>
                          </w:divBdr>
                        </w:div>
                        <w:div w:id="856311217">
                          <w:marLeft w:val="0"/>
                          <w:marRight w:val="0"/>
                          <w:marTop w:val="0"/>
                          <w:marBottom w:val="0"/>
                          <w:divBdr>
                            <w:top w:val="none" w:sz="0" w:space="0" w:color="auto"/>
                            <w:left w:val="none" w:sz="0" w:space="0" w:color="auto"/>
                            <w:bottom w:val="none" w:sz="0" w:space="0" w:color="auto"/>
                            <w:right w:val="none" w:sz="0" w:space="0" w:color="auto"/>
                          </w:divBdr>
                        </w:div>
                      </w:divsChild>
                    </w:div>
                    <w:div w:id="1381128949">
                      <w:marLeft w:val="0"/>
                      <w:marRight w:val="0"/>
                      <w:marTop w:val="0"/>
                      <w:marBottom w:val="0"/>
                      <w:divBdr>
                        <w:top w:val="none" w:sz="0" w:space="0" w:color="auto"/>
                        <w:left w:val="none" w:sz="0" w:space="0" w:color="auto"/>
                        <w:bottom w:val="none" w:sz="0" w:space="0" w:color="auto"/>
                        <w:right w:val="none" w:sz="0" w:space="0" w:color="auto"/>
                      </w:divBdr>
                      <w:divsChild>
                        <w:div w:id="240915417">
                          <w:marLeft w:val="0"/>
                          <w:marRight w:val="0"/>
                          <w:marTop w:val="120"/>
                          <w:marBottom w:val="0"/>
                          <w:divBdr>
                            <w:top w:val="none" w:sz="0" w:space="0" w:color="auto"/>
                            <w:left w:val="none" w:sz="0" w:space="0" w:color="auto"/>
                            <w:bottom w:val="none" w:sz="0" w:space="0" w:color="auto"/>
                            <w:right w:val="none" w:sz="0" w:space="0" w:color="auto"/>
                          </w:divBdr>
                        </w:div>
                        <w:div w:id="17766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436950">
      <w:bodyDiv w:val="1"/>
      <w:marLeft w:val="0"/>
      <w:marRight w:val="0"/>
      <w:marTop w:val="0"/>
      <w:marBottom w:val="0"/>
      <w:divBdr>
        <w:top w:val="none" w:sz="0" w:space="0" w:color="auto"/>
        <w:left w:val="none" w:sz="0" w:space="0" w:color="auto"/>
        <w:bottom w:val="none" w:sz="0" w:space="0" w:color="auto"/>
        <w:right w:val="none" w:sz="0" w:space="0" w:color="auto"/>
      </w:divBdr>
      <w:divsChild>
        <w:div w:id="309484711">
          <w:marLeft w:val="0"/>
          <w:marRight w:val="0"/>
          <w:marTop w:val="0"/>
          <w:marBottom w:val="0"/>
          <w:divBdr>
            <w:top w:val="none" w:sz="0" w:space="0" w:color="auto"/>
            <w:left w:val="none" w:sz="0" w:space="0" w:color="auto"/>
            <w:bottom w:val="none" w:sz="0" w:space="0" w:color="auto"/>
            <w:right w:val="none" w:sz="0" w:space="0" w:color="auto"/>
          </w:divBdr>
        </w:div>
      </w:divsChild>
    </w:div>
    <w:div w:id="646592495">
      <w:bodyDiv w:val="1"/>
      <w:marLeft w:val="0"/>
      <w:marRight w:val="0"/>
      <w:marTop w:val="0"/>
      <w:marBottom w:val="0"/>
      <w:divBdr>
        <w:top w:val="none" w:sz="0" w:space="0" w:color="auto"/>
        <w:left w:val="none" w:sz="0" w:space="0" w:color="auto"/>
        <w:bottom w:val="none" w:sz="0" w:space="0" w:color="auto"/>
        <w:right w:val="none" w:sz="0" w:space="0" w:color="auto"/>
      </w:divBdr>
      <w:divsChild>
        <w:div w:id="2048944624">
          <w:marLeft w:val="0"/>
          <w:marRight w:val="0"/>
          <w:marTop w:val="120"/>
          <w:marBottom w:val="0"/>
          <w:divBdr>
            <w:top w:val="none" w:sz="0" w:space="0" w:color="auto"/>
            <w:left w:val="none" w:sz="0" w:space="0" w:color="auto"/>
            <w:bottom w:val="none" w:sz="0" w:space="0" w:color="auto"/>
            <w:right w:val="none" w:sz="0" w:space="0" w:color="auto"/>
          </w:divBdr>
        </w:div>
        <w:div w:id="1307004034">
          <w:marLeft w:val="0"/>
          <w:marRight w:val="0"/>
          <w:marTop w:val="0"/>
          <w:marBottom w:val="0"/>
          <w:divBdr>
            <w:top w:val="none" w:sz="0" w:space="0" w:color="auto"/>
            <w:left w:val="none" w:sz="0" w:space="0" w:color="auto"/>
            <w:bottom w:val="none" w:sz="0" w:space="0" w:color="auto"/>
            <w:right w:val="none" w:sz="0" w:space="0" w:color="auto"/>
          </w:divBdr>
        </w:div>
      </w:divsChild>
    </w:div>
    <w:div w:id="654799424">
      <w:bodyDiv w:val="1"/>
      <w:marLeft w:val="0"/>
      <w:marRight w:val="0"/>
      <w:marTop w:val="0"/>
      <w:marBottom w:val="0"/>
      <w:divBdr>
        <w:top w:val="none" w:sz="0" w:space="0" w:color="auto"/>
        <w:left w:val="none" w:sz="0" w:space="0" w:color="auto"/>
        <w:bottom w:val="none" w:sz="0" w:space="0" w:color="auto"/>
        <w:right w:val="none" w:sz="0" w:space="0" w:color="auto"/>
      </w:divBdr>
      <w:divsChild>
        <w:div w:id="1077635867">
          <w:marLeft w:val="0"/>
          <w:marRight w:val="0"/>
          <w:marTop w:val="0"/>
          <w:marBottom w:val="0"/>
          <w:divBdr>
            <w:top w:val="none" w:sz="0" w:space="0" w:color="auto"/>
            <w:left w:val="none" w:sz="0" w:space="0" w:color="auto"/>
            <w:bottom w:val="none" w:sz="0" w:space="0" w:color="auto"/>
            <w:right w:val="none" w:sz="0" w:space="0" w:color="auto"/>
          </w:divBdr>
          <w:divsChild>
            <w:div w:id="1271090667">
              <w:marLeft w:val="0"/>
              <w:marRight w:val="0"/>
              <w:marTop w:val="0"/>
              <w:marBottom w:val="0"/>
              <w:divBdr>
                <w:top w:val="none" w:sz="0" w:space="0" w:color="auto"/>
                <w:left w:val="none" w:sz="0" w:space="0" w:color="auto"/>
                <w:bottom w:val="none" w:sz="0" w:space="0" w:color="auto"/>
                <w:right w:val="none" w:sz="0" w:space="0" w:color="auto"/>
              </w:divBdr>
            </w:div>
          </w:divsChild>
        </w:div>
        <w:div w:id="2023823001">
          <w:marLeft w:val="0"/>
          <w:marRight w:val="0"/>
          <w:marTop w:val="0"/>
          <w:marBottom w:val="0"/>
          <w:divBdr>
            <w:top w:val="none" w:sz="0" w:space="0" w:color="auto"/>
            <w:left w:val="none" w:sz="0" w:space="0" w:color="auto"/>
            <w:bottom w:val="none" w:sz="0" w:space="0" w:color="auto"/>
            <w:right w:val="none" w:sz="0" w:space="0" w:color="auto"/>
          </w:divBdr>
          <w:divsChild>
            <w:div w:id="125321923">
              <w:marLeft w:val="0"/>
              <w:marRight w:val="0"/>
              <w:marTop w:val="120"/>
              <w:marBottom w:val="0"/>
              <w:divBdr>
                <w:top w:val="none" w:sz="0" w:space="0" w:color="auto"/>
                <w:left w:val="none" w:sz="0" w:space="0" w:color="auto"/>
                <w:bottom w:val="none" w:sz="0" w:space="0" w:color="auto"/>
                <w:right w:val="none" w:sz="0" w:space="0" w:color="auto"/>
              </w:divBdr>
            </w:div>
            <w:div w:id="1154300098">
              <w:marLeft w:val="0"/>
              <w:marRight w:val="0"/>
              <w:marTop w:val="0"/>
              <w:marBottom w:val="0"/>
              <w:divBdr>
                <w:top w:val="none" w:sz="0" w:space="0" w:color="auto"/>
                <w:left w:val="none" w:sz="0" w:space="0" w:color="auto"/>
                <w:bottom w:val="none" w:sz="0" w:space="0" w:color="auto"/>
                <w:right w:val="none" w:sz="0" w:space="0" w:color="auto"/>
              </w:divBdr>
            </w:div>
          </w:divsChild>
        </w:div>
        <w:div w:id="911936580">
          <w:marLeft w:val="0"/>
          <w:marRight w:val="0"/>
          <w:marTop w:val="0"/>
          <w:marBottom w:val="0"/>
          <w:divBdr>
            <w:top w:val="none" w:sz="0" w:space="0" w:color="auto"/>
            <w:left w:val="none" w:sz="0" w:space="0" w:color="auto"/>
            <w:bottom w:val="none" w:sz="0" w:space="0" w:color="auto"/>
            <w:right w:val="none" w:sz="0" w:space="0" w:color="auto"/>
          </w:divBdr>
          <w:divsChild>
            <w:div w:id="1909532066">
              <w:marLeft w:val="0"/>
              <w:marRight w:val="0"/>
              <w:marTop w:val="120"/>
              <w:marBottom w:val="0"/>
              <w:divBdr>
                <w:top w:val="none" w:sz="0" w:space="0" w:color="auto"/>
                <w:left w:val="none" w:sz="0" w:space="0" w:color="auto"/>
                <w:bottom w:val="none" w:sz="0" w:space="0" w:color="auto"/>
                <w:right w:val="none" w:sz="0" w:space="0" w:color="auto"/>
              </w:divBdr>
            </w:div>
            <w:div w:id="121565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12956">
      <w:bodyDiv w:val="1"/>
      <w:marLeft w:val="0"/>
      <w:marRight w:val="0"/>
      <w:marTop w:val="0"/>
      <w:marBottom w:val="0"/>
      <w:divBdr>
        <w:top w:val="none" w:sz="0" w:space="0" w:color="auto"/>
        <w:left w:val="none" w:sz="0" w:space="0" w:color="auto"/>
        <w:bottom w:val="none" w:sz="0" w:space="0" w:color="auto"/>
        <w:right w:val="none" w:sz="0" w:space="0" w:color="auto"/>
      </w:divBdr>
      <w:divsChild>
        <w:div w:id="813911009">
          <w:marLeft w:val="0"/>
          <w:marRight w:val="0"/>
          <w:marTop w:val="0"/>
          <w:marBottom w:val="0"/>
          <w:divBdr>
            <w:top w:val="none" w:sz="0" w:space="0" w:color="auto"/>
            <w:left w:val="none" w:sz="0" w:space="0" w:color="auto"/>
            <w:bottom w:val="none" w:sz="0" w:space="0" w:color="auto"/>
            <w:right w:val="none" w:sz="0" w:space="0" w:color="auto"/>
          </w:divBdr>
        </w:div>
      </w:divsChild>
    </w:div>
    <w:div w:id="684288666">
      <w:bodyDiv w:val="1"/>
      <w:marLeft w:val="0"/>
      <w:marRight w:val="0"/>
      <w:marTop w:val="0"/>
      <w:marBottom w:val="0"/>
      <w:divBdr>
        <w:top w:val="none" w:sz="0" w:space="0" w:color="auto"/>
        <w:left w:val="none" w:sz="0" w:space="0" w:color="auto"/>
        <w:bottom w:val="none" w:sz="0" w:space="0" w:color="auto"/>
        <w:right w:val="none" w:sz="0" w:space="0" w:color="auto"/>
      </w:divBdr>
      <w:divsChild>
        <w:div w:id="989945216">
          <w:marLeft w:val="0"/>
          <w:marRight w:val="0"/>
          <w:marTop w:val="120"/>
          <w:marBottom w:val="0"/>
          <w:divBdr>
            <w:top w:val="none" w:sz="0" w:space="0" w:color="auto"/>
            <w:left w:val="none" w:sz="0" w:space="0" w:color="auto"/>
            <w:bottom w:val="none" w:sz="0" w:space="0" w:color="auto"/>
            <w:right w:val="none" w:sz="0" w:space="0" w:color="auto"/>
          </w:divBdr>
        </w:div>
        <w:div w:id="666175062">
          <w:marLeft w:val="0"/>
          <w:marRight w:val="0"/>
          <w:marTop w:val="0"/>
          <w:marBottom w:val="0"/>
          <w:divBdr>
            <w:top w:val="none" w:sz="0" w:space="0" w:color="auto"/>
            <w:left w:val="none" w:sz="0" w:space="0" w:color="auto"/>
            <w:bottom w:val="none" w:sz="0" w:space="0" w:color="auto"/>
            <w:right w:val="none" w:sz="0" w:space="0" w:color="auto"/>
          </w:divBdr>
        </w:div>
      </w:divsChild>
    </w:div>
    <w:div w:id="688722593">
      <w:bodyDiv w:val="1"/>
      <w:marLeft w:val="0"/>
      <w:marRight w:val="0"/>
      <w:marTop w:val="0"/>
      <w:marBottom w:val="0"/>
      <w:divBdr>
        <w:top w:val="none" w:sz="0" w:space="0" w:color="auto"/>
        <w:left w:val="none" w:sz="0" w:space="0" w:color="auto"/>
        <w:bottom w:val="none" w:sz="0" w:space="0" w:color="auto"/>
        <w:right w:val="none" w:sz="0" w:space="0" w:color="auto"/>
      </w:divBdr>
      <w:divsChild>
        <w:div w:id="880508748">
          <w:marLeft w:val="0"/>
          <w:marRight w:val="0"/>
          <w:marTop w:val="0"/>
          <w:marBottom w:val="0"/>
          <w:divBdr>
            <w:top w:val="none" w:sz="0" w:space="0" w:color="auto"/>
            <w:left w:val="none" w:sz="0" w:space="0" w:color="auto"/>
            <w:bottom w:val="none" w:sz="0" w:space="0" w:color="auto"/>
            <w:right w:val="none" w:sz="0" w:space="0" w:color="auto"/>
          </w:divBdr>
          <w:divsChild>
            <w:div w:id="13672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42630">
      <w:bodyDiv w:val="1"/>
      <w:marLeft w:val="0"/>
      <w:marRight w:val="0"/>
      <w:marTop w:val="0"/>
      <w:marBottom w:val="0"/>
      <w:divBdr>
        <w:top w:val="none" w:sz="0" w:space="0" w:color="auto"/>
        <w:left w:val="none" w:sz="0" w:space="0" w:color="auto"/>
        <w:bottom w:val="none" w:sz="0" w:space="0" w:color="auto"/>
        <w:right w:val="none" w:sz="0" w:space="0" w:color="auto"/>
      </w:divBdr>
    </w:div>
    <w:div w:id="691300431">
      <w:bodyDiv w:val="1"/>
      <w:marLeft w:val="0"/>
      <w:marRight w:val="0"/>
      <w:marTop w:val="0"/>
      <w:marBottom w:val="0"/>
      <w:divBdr>
        <w:top w:val="none" w:sz="0" w:space="0" w:color="auto"/>
        <w:left w:val="none" w:sz="0" w:space="0" w:color="auto"/>
        <w:bottom w:val="none" w:sz="0" w:space="0" w:color="auto"/>
        <w:right w:val="none" w:sz="0" w:space="0" w:color="auto"/>
      </w:divBdr>
      <w:divsChild>
        <w:div w:id="1421020095">
          <w:marLeft w:val="0"/>
          <w:marRight w:val="0"/>
          <w:marTop w:val="120"/>
          <w:marBottom w:val="0"/>
          <w:divBdr>
            <w:top w:val="none" w:sz="0" w:space="0" w:color="auto"/>
            <w:left w:val="none" w:sz="0" w:space="0" w:color="auto"/>
            <w:bottom w:val="none" w:sz="0" w:space="0" w:color="auto"/>
            <w:right w:val="none" w:sz="0" w:space="0" w:color="auto"/>
          </w:divBdr>
        </w:div>
        <w:div w:id="633172294">
          <w:marLeft w:val="0"/>
          <w:marRight w:val="0"/>
          <w:marTop w:val="0"/>
          <w:marBottom w:val="0"/>
          <w:divBdr>
            <w:top w:val="none" w:sz="0" w:space="0" w:color="auto"/>
            <w:left w:val="none" w:sz="0" w:space="0" w:color="auto"/>
            <w:bottom w:val="none" w:sz="0" w:space="0" w:color="auto"/>
            <w:right w:val="none" w:sz="0" w:space="0" w:color="auto"/>
          </w:divBdr>
        </w:div>
      </w:divsChild>
    </w:div>
    <w:div w:id="697896052">
      <w:bodyDiv w:val="1"/>
      <w:marLeft w:val="0"/>
      <w:marRight w:val="0"/>
      <w:marTop w:val="0"/>
      <w:marBottom w:val="0"/>
      <w:divBdr>
        <w:top w:val="none" w:sz="0" w:space="0" w:color="auto"/>
        <w:left w:val="none" w:sz="0" w:space="0" w:color="auto"/>
        <w:bottom w:val="none" w:sz="0" w:space="0" w:color="auto"/>
        <w:right w:val="none" w:sz="0" w:space="0" w:color="auto"/>
      </w:divBdr>
      <w:divsChild>
        <w:div w:id="741175205">
          <w:marLeft w:val="0"/>
          <w:marRight w:val="0"/>
          <w:marTop w:val="120"/>
          <w:marBottom w:val="0"/>
          <w:divBdr>
            <w:top w:val="none" w:sz="0" w:space="0" w:color="auto"/>
            <w:left w:val="none" w:sz="0" w:space="0" w:color="auto"/>
            <w:bottom w:val="none" w:sz="0" w:space="0" w:color="auto"/>
            <w:right w:val="none" w:sz="0" w:space="0" w:color="auto"/>
          </w:divBdr>
        </w:div>
        <w:div w:id="823282234">
          <w:marLeft w:val="0"/>
          <w:marRight w:val="0"/>
          <w:marTop w:val="0"/>
          <w:marBottom w:val="0"/>
          <w:divBdr>
            <w:top w:val="none" w:sz="0" w:space="0" w:color="auto"/>
            <w:left w:val="none" w:sz="0" w:space="0" w:color="auto"/>
            <w:bottom w:val="none" w:sz="0" w:space="0" w:color="auto"/>
            <w:right w:val="none" w:sz="0" w:space="0" w:color="auto"/>
          </w:divBdr>
        </w:div>
      </w:divsChild>
    </w:div>
    <w:div w:id="698973460">
      <w:bodyDiv w:val="1"/>
      <w:marLeft w:val="0"/>
      <w:marRight w:val="0"/>
      <w:marTop w:val="0"/>
      <w:marBottom w:val="0"/>
      <w:divBdr>
        <w:top w:val="none" w:sz="0" w:space="0" w:color="auto"/>
        <w:left w:val="none" w:sz="0" w:space="0" w:color="auto"/>
        <w:bottom w:val="none" w:sz="0" w:space="0" w:color="auto"/>
        <w:right w:val="none" w:sz="0" w:space="0" w:color="auto"/>
      </w:divBdr>
      <w:divsChild>
        <w:div w:id="2034572741">
          <w:marLeft w:val="0"/>
          <w:marRight w:val="0"/>
          <w:marTop w:val="0"/>
          <w:marBottom w:val="0"/>
          <w:divBdr>
            <w:top w:val="none" w:sz="0" w:space="0" w:color="auto"/>
            <w:left w:val="none" w:sz="0" w:space="0" w:color="auto"/>
            <w:bottom w:val="none" w:sz="0" w:space="0" w:color="auto"/>
            <w:right w:val="none" w:sz="0" w:space="0" w:color="auto"/>
          </w:divBdr>
          <w:divsChild>
            <w:div w:id="185252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16118">
      <w:bodyDiv w:val="1"/>
      <w:marLeft w:val="0"/>
      <w:marRight w:val="0"/>
      <w:marTop w:val="0"/>
      <w:marBottom w:val="0"/>
      <w:divBdr>
        <w:top w:val="none" w:sz="0" w:space="0" w:color="auto"/>
        <w:left w:val="none" w:sz="0" w:space="0" w:color="auto"/>
        <w:bottom w:val="none" w:sz="0" w:space="0" w:color="auto"/>
        <w:right w:val="none" w:sz="0" w:space="0" w:color="auto"/>
      </w:divBdr>
      <w:divsChild>
        <w:div w:id="1852185773">
          <w:marLeft w:val="0"/>
          <w:marRight w:val="0"/>
          <w:marTop w:val="0"/>
          <w:marBottom w:val="0"/>
          <w:divBdr>
            <w:top w:val="none" w:sz="0" w:space="0" w:color="auto"/>
            <w:left w:val="none" w:sz="0" w:space="0" w:color="auto"/>
            <w:bottom w:val="none" w:sz="0" w:space="0" w:color="auto"/>
            <w:right w:val="none" w:sz="0" w:space="0" w:color="auto"/>
          </w:divBdr>
          <w:divsChild>
            <w:div w:id="1626883050">
              <w:marLeft w:val="0"/>
              <w:marRight w:val="0"/>
              <w:marTop w:val="0"/>
              <w:marBottom w:val="0"/>
              <w:divBdr>
                <w:top w:val="none" w:sz="0" w:space="0" w:color="auto"/>
                <w:left w:val="none" w:sz="0" w:space="0" w:color="auto"/>
                <w:bottom w:val="none" w:sz="0" w:space="0" w:color="auto"/>
                <w:right w:val="none" w:sz="0" w:space="0" w:color="auto"/>
              </w:divBdr>
              <w:divsChild>
                <w:div w:id="1356882974">
                  <w:marLeft w:val="0"/>
                  <w:marRight w:val="0"/>
                  <w:marTop w:val="120"/>
                  <w:marBottom w:val="0"/>
                  <w:divBdr>
                    <w:top w:val="none" w:sz="0" w:space="0" w:color="auto"/>
                    <w:left w:val="none" w:sz="0" w:space="0" w:color="auto"/>
                    <w:bottom w:val="none" w:sz="0" w:space="0" w:color="auto"/>
                    <w:right w:val="none" w:sz="0" w:space="0" w:color="auto"/>
                  </w:divBdr>
                </w:div>
                <w:div w:id="19362596">
                  <w:marLeft w:val="0"/>
                  <w:marRight w:val="0"/>
                  <w:marTop w:val="0"/>
                  <w:marBottom w:val="0"/>
                  <w:divBdr>
                    <w:top w:val="none" w:sz="0" w:space="0" w:color="auto"/>
                    <w:left w:val="none" w:sz="0" w:space="0" w:color="auto"/>
                    <w:bottom w:val="none" w:sz="0" w:space="0" w:color="auto"/>
                    <w:right w:val="none" w:sz="0" w:space="0" w:color="auto"/>
                  </w:divBdr>
                </w:div>
              </w:divsChild>
            </w:div>
            <w:div w:id="1721972506">
              <w:marLeft w:val="0"/>
              <w:marRight w:val="0"/>
              <w:marTop w:val="0"/>
              <w:marBottom w:val="0"/>
              <w:divBdr>
                <w:top w:val="none" w:sz="0" w:space="0" w:color="auto"/>
                <w:left w:val="none" w:sz="0" w:space="0" w:color="auto"/>
                <w:bottom w:val="none" w:sz="0" w:space="0" w:color="auto"/>
                <w:right w:val="none" w:sz="0" w:space="0" w:color="auto"/>
              </w:divBdr>
              <w:divsChild>
                <w:div w:id="173307126">
                  <w:marLeft w:val="0"/>
                  <w:marRight w:val="0"/>
                  <w:marTop w:val="120"/>
                  <w:marBottom w:val="0"/>
                  <w:divBdr>
                    <w:top w:val="none" w:sz="0" w:space="0" w:color="auto"/>
                    <w:left w:val="none" w:sz="0" w:space="0" w:color="auto"/>
                    <w:bottom w:val="none" w:sz="0" w:space="0" w:color="auto"/>
                    <w:right w:val="none" w:sz="0" w:space="0" w:color="auto"/>
                  </w:divBdr>
                </w:div>
                <w:div w:id="106116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824025">
      <w:bodyDiv w:val="1"/>
      <w:marLeft w:val="0"/>
      <w:marRight w:val="0"/>
      <w:marTop w:val="0"/>
      <w:marBottom w:val="0"/>
      <w:divBdr>
        <w:top w:val="none" w:sz="0" w:space="0" w:color="auto"/>
        <w:left w:val="none" w:sz="0" w:space="0" w:color="auto"/>
        <w:bottom w:val="none" w:sz="0" w:space="0" w:color="auto"/>
        <w:right w:val="none" w:sz="0" w:space="0" w:color="auto"/>
      </w:divBdr>
      <w:divsChild>
        <w:div w:id="1653100704">
          <w:marLeft w:val="0"/>
          <w:marRight w:val="0"/>
          <w:marTop w:val="0"/>
          <w:marBottom w:val="0"/>
          <w:divBdr>
            <w:top w:val="none" w:sz="0" w:space="0" w:color="auto"/>
            <w:left w:val="none" w:sz="0" w:space="0" w:color="auto"/>
            <w:bottom w:val="none" w:sz="0" w:space="0" w:color="auto"/>
            <w:right w:val="none" w:sz="0" w:space="0" w:color="auto"/>
          </w:divBdr>
        </w:div>
      </w:divsChild>
    </w:div>
    <w:div w:id="718820582">
      <w:bodyDiv w:val="1"/>
      <w:marLeft w:val="0"/>
      <w:marRight w:val="0"/>
      <w:marTop w:val="0"/>
      <w:marBottom w:val="0"/>
      <w:divBdr>
        <w:top w:val="none" w:sz="0" w:space="0" w:color="auto"/>
        <w:left w:val="none" w:sz="0" w:space="0" w:color="auto"/>
        <w:bottom w:val="none" w:sz="0" w:space="0" w:color="auto"/>
        <w:right w:val="none" w:sz="0" w:space="0" w:color="auto"/>
      </w:divBdr>
    </w:div>
    <w:div w:id="720862092">
      <w:bodyDiv w:val="1"/>
      <w:marLeft w:val="0"/>
      <w:marRight w:val="0"/>
      <w:marTop w:val="0"/>
      <w:marBottom w:val="0"/>
      <w:divBdr>
        <w:top w:val="none" w:sz="0" w:space="0" w:color="auto"/>
        <w:left w:val="none" w:sz="0" w:space="0" w:color="auto"/>
        <w:bottom w:val="none" w:sz="0" w:space="0" w:color="auto"/>
        <w:right w:val="none" w:sz="0" w:space="0" w:color="auto"/>
      </w:divBdr>
      <w:divsChild>
        <w:div w:id="1849174665">
          <w:marLeft w:val="0"/>
          <w:marRight w:val="0"/>
          <w:marTop w:val="120"/>
          <w:marBottom w:val="0"/>
          <w:divBdr>
            <w:top w:val="none" w:sz="0" w:space="0" w:color="auto"/>
            <w:left w:val="none" w:sz="0" w:space="0" w:color="auto"/>
            <w:bottom w:val="none" w:sz="0" w:space="0" w:color="auto"/>
            <w:right w:val="none" w:sz="0" w:space="0" w:color="auto"/>
          </w:divBdr>
        </w:div>
        <w:div w:id="1381856899">
          <w:marLeft w:val="0"/>
          <w:marRight w:val="0"/>
          <w:marTop w:val="0"/>
          <w:marBottom w:val="0"/>
          <w:divBdr>
            <w:top w:val="none" w:sz="0" w:space="0" w:color="auto"/>
            <w:left w:val="none" w:sz="0" w:space="0" w:color="auto"/>
            <w:bottom w:val="none" w:sz="0" w:space="0" w:color="auto"/>
            <w:right w:val="none" w:sz="0" w:space="0" w:color="auto"/>
          </w:divBdr>
        </w:div>
      </w:divsChild>
    </w:div>
    <w:div w:id="731120975">
      <w:bodyDiv w:val="1"/>
      <w:marLeft w:val="0"/>
      <w:marRight w:val="0"/>
      <w:marTop w:val="0"/>
      <w:marBottom w:val="0"/>
      <w:divBdr>
        <w:top w:val="none" w:sz="0" w:space="0" w:color="auto"/>
        <w:left w:val="none" w:sz="0" w:space="0" w:color="auto"/>
        <w:bottom w:val="none" w:sz="0" w:space="0" w:color="auto"/>
        <w:right w:val="none" w:sz="0" w:space="0" w:color="auto"/>
      </w:divBdr>
      <w:divsChild>
        <w:div w:id="1610118510">
          <w:marLeft w:val="0"/>
          <w:marRight w:val="0"/>
          <w:marTop w:val="0"/>
          <w:marBottom w:val="0"/>
          <w:divBdr>
            <w:top w:val="none" w:sz="0" w:space="0" w:color="auto"/>
            <w:left w:val="none" w:sz="0" w:space="0" w:color="auto"/>
            <w:bottom w:val="none" w:sz="0" w:space="0" w:color="auto"/>
            <w:right w:val="none" w:sz="0" w:space="0" w:color="auto"/>
          </w:divBdr>
        </w:div>
      </w:divsChild>
    </w:div>
    <w:div w:id="731806911">
      <w:bodyDiv w:val="1"/>
      <w:marLeft w:val="0"/>
      <w:marRight w:val="0"/>
      <w:marTop w:val="0"/>
      <w:marBottom w:val="0"/>
      <w:divBdr>
        <w:top w:val="none" w:sz="0" w:space="0" w:color="auto"/>
        <w:left w:val="none" w:sz="0" w:space="0" w:color="auto"/>
        <w:bottom w:val="none" w:sz="0" w:space="0" w:color="auto"/>
        <w:right w:val="none" w:sz="0" w:space="0" w:color="auto"/>
      </w:divBdr>
      <w:divsChild>
        <w:div w:id="1608610623">
          <w:marLeft w:val="0"/>
          <w:marRight w:val="0"/>
          <w:marTop w:val="0"/>
          <w:marBottom w:val="0"/>
          <w:divBdr>
            <w:top w:val="none" w:sz="0" w:space="0" w:color="auto"/>
            <w:left w:val="none" w:sz="0" w:space="0" w:color="auto"/>
            <w:bottom w:val="none" w:sz="0" w:space="0" w:color="auto"/>
            <w:right w:val="none" w:sz="0" w:space="0" w:color="auto"/>
          </w:divBdr>
          <w:divsChild>
            <w:div w:id="309141268">
              <w:marLeft w:val="0"/>
              <w:marRight w:val="0"/>
              <w:marTop w:val="120"/>
              <w:marBottom w:val="0"/>
              <w:divBdr>
                <w:top w:val="none" w:sz="0" w:space="0" w:color="auto"/>
                <w:left w:val="none" w:sz="0" w:space="0" w:color="auto"/>
                <w:bottom w:val="none" w:sz="0" w:space="0" w:color="auto"/>
                <w:right w:val="none" w:sz="0" w:space="0" w:color="auto"/>
              </w:divBdr>
            </w:div>
            <w:div w:id="1211117614">
              <w:marLeft w:val="0"/>
              <w:marRight w:val="0"/>
              <w:marTop w:val="0"/>
              <w:marBottom w:val="0"/>
              <w:divBdr>
                <w:top w:val="none" w:sz="0" w:space="0" w:color="auto"/>
                <w:left w:val="none" w:sz="0" w:space="0" w:color="auto"/>
                <w:bottom w:val="none" w:sz="0" w:space="0" w:color="auto"/>
                <w:right w:val="none" w:sz="0" w:space="0" w:color="auto"/>
              </w:divBdr>
            </w:div>
          </w:divsChild>
        </w:div>
        <w:div w:id="787819764">
          <w:marLeft w:val="0"/>
          <w:marRight w:val="0"/>
          <w:marTop w:val="0"/>
          <w:marBottom w:val="0"/>
          <w:divBdr>
            <w:top w:val="none" w:sz="0" w:space="0" w:color="auto"/>
            <w:left w:val="none" w:sz="0" w:space="0" w:color="auto"/>
            <w:bottom w:val="none" w:sz="0" w:space="0" w:color="auto"/>
            <w:right w:val="none" w:sz="0" w:space="0" w:color="auto"/>
          </w:divBdr>
          <w:divsChild>
            <w:div w:id="1831873417">
              <w:marLeft w:val="0"/>
              <w:marRight w:val="0"/>
              <w:marTop w:val="120"/>
              <w:marBottom w:val="0"/>
              <w:divBdr>
                <w:top w:val="none" w:sz="0" w:space="0" w:color="auto"/>
                <w:left w:val="none" w:sz="0" w:space="0" w:color="auto"/>
                <w:bottom w:val="none" w:sz="0" w:space="0" w:color="auto"/>
                <w:right w:val="none" w:sz="0" w:space="0" w:color="auto"/>
              </w:divBdr>
            </w:div>
            <w:div w:id="1119179403">
              <w:marLeft w:val="0"/>
              <w:marRight w:val="0"/>
              <w:marTop w:val="0"/>
              <w:marBottom w:val="0"/>
              <w:divBdr>
                <w:top w:val="none" w:sz="0" w:space="0" w:color="auto"/>
                <w:left w:val="none" w:sz="0" w:space="0" w:color="auto"/>
                <w:bottom w:val="none" w:sz="0" w:space="0" w:color="auto"/>
                <w:right w:val="none" w:sz="0" w:space="0" w:color="auto"/>
              </w:divBdr>
            </w:div>
          </w:divsChild>
        </w:div>
        <w:div w:id="281425622">
          <w:marLeft w:val="0"/>
          <w:marRight w:val="0"/>
          <w:marTop w:val="0"/>
          <w:marBottom w:val="0"/>
          <w:divBdr>
            <w:top w:val="none" w:sz="0" w:space="0" w:color="auto"/>
            <w:left w:val="none" w:sz="0" w:space="0" w:color="auto"/>
            <w:bottom w:val="none" w:sz="0" w:space="0" w:color="auto"/>
            <w:right w:val="none" w:sz="0" w:space="0" w:color="auto"/>
          </w:divBdr>
          <w:divsChild>
            <w:div w:id="747002981">
              <w:marLeft w:val="0"/>
              <w:marRight w:val="0"/>
              <w:marTop w:val="120"/>
              <w:marBottom w:val="0"/>
              <w:divBdr>
                <w:top w:val="none" w:sz="0" w:space="0" w:color="auto"/>
                <w:left w:val="none" w:sz="0" w:space="0" w:color="auto"/>
                <w:bottom w:val="none" w:sz="0" w:space="0" w:color="auto"/>
                <w:right w:val="none" w:sz="0" w:space="0" w:color="auto"/>
              </w:divBdr>
            </w:div>
            <w:div w:id="775684633">
              <w:marLeft w:val="0"/>
              <w:marRight w:val="0"/>
              <w:marTop w:val="0"/>
              <w:marBottom w:val="0"/>
              <w:divBdr>
                <w:top w:val="none" w:sz="0" w:space="0" w:color="auto"/>
                <w:left w:val="none" w:sz="0" w:space="0" w:color="auto"/>
                <w:bottom w:val="none" w:sz="0" w:space="0" w:color="auto"/>
                <w:right w:val="none" w:sz="0" w:space="0" w:color="auto"/>
              </w:divBdr>
            </w:div>
          </w:divsChild>
        </w:div>
        <w:div w:id="687102315">
          <w:marLeft w:val="0"/>
          <w:marRight w:val="0"/>
          <w:marTop w:val="0"/>
          <w:marBottom w:val="0"/>
          <w:divBdr>
            <w:top w:val="none" w:sz="0" w:space="0" w:color="auto"/>
            <w:left w:val="none" w:sz="0" w:space="0" w:color="auto"/>
            <w:bottom w:val="none" w:sz="0" w:space="0" w:color="auto"/>
            <w:right w:val="none" w:sz="0" w:space="0" w:color="auto"/>
          </w:divBdr>
          <w:divsChild>
            <w:div w:id="1116800916">
              <w:marLeft w:val="0"/>
              <w:marRight w:val="0"/>
              <w:marTop w:val="120"/>
              <w:marBottom w:val="0"/>
              <w:divBdr>
                <w:top w:val="none" w:sz="0" w:space="0" w:color="auto"/>
                <w:left w:val="none" w:sz="0" w:space="0" w:color="auto"/>
                <w:bottom w:val="none" w:sz="0" w:space="0" w:color="auto"/>
                <w:right w:val="none" w:sz="0" w:space="0" w:color="auto"/>
              </w:divBdr>
            </w:div>
            <w:div w:id="1194609113">
              <w:marLeft w:val="0"/>
              <w:marRight w:val="0"/>
              <w:marTop w:val="0"/>
              <w:marBottom w:val="0"/>
              <w:divBdr>
                <w:top w:val="none" w:sz="0" w:space="0" w:color="auto"/>
                <w:left w:val="none" w:sz="0" w:space="0" w:color="auto"/>
                <w:bottom w:val="none" w:sz="0" w:space="0" w:color="auto"/>
                <w:right w:val="none" w:sz="0" w:space="0" w:color="auto"/>
              </w:divBdr>
            </w:div>
          </w:divsChild>
        </w:div>
        <w:div w:id="20591822">
          <w:marLeft w:val="0"/>
          <w:marRight w:val="0"/>
          <w:marTop w:val="0"/>
          <w:marBottom w:val="0"/>
          <w:divBdr>
            <w:top w:val="none" w:sz="0" w:space="0" w:color="auto"/>
            <w:left w:val="none" w:sz="0" w:space="0" w:color="auto"/>
            <w:bottom w:val="none" w:sz="0" w:space="0" w:color="auto"/>
            <w:right w:val="none" w:sz="0" w:space="0" w:color="auto"/>
          </w:divBdr>
          <w:divsChild>
            <w:div w:id="237399106">
              <w:marLeft w:val="0"/>
              <w:marRight w:val="0"/>
              <w:marTop w:val="120"/>
              <w:marBottom w:val="0"/>
              <w:divBdr>
                <w:top w:val="none" w:sz="0" w:space="0" w:color="auto"/>
                <w:left w:val="none" w:sz="0" w:space="0" w:color="auto"/>
                <w:bottom w:val="none" w:sz="0" w:space="0" w:color="auto"/>
                <w:right w:val="none" w:sz="0" w:space="0" w:color="auto"/>
              </w:divBdr>
            </w:div>
            <w:div w:id="994338343">
              <w:marLeft w:val="0"/>
              <w:marRight w:val="0"/>
              <w:marTop w:val="0"/>
              <w:marBottom w:val="0"/>
              <w:divBdr>
                <w:top w:val="none" w:sz="0" w:space="0" w:color="auto"/>
                <w:left w:val="none" w:sz="0" w:space="0" w:color="auto"/>
                <w:bottom w:val="none" w:sz="0" w:space="0" w:color="auto"/>
                <w:right w:val="none" w:sz="0" w:space="0" w:color="auto"/>
              </w:divBdr>
            </w:div>
          </w:divsChild>
        </w:div>
        <w:div w:id="973027429">
          <w:marLeft w:val="0"/>
          <w:marRight w:val="0"/>
          <w:marTop w:val="0"/>
          <w:marBottom w:val="0"/>
          <w:divBdr>
            <w:top w:val="none" w:sz="0" w:space="0" w:color="auto"/>
            <w:left w:val="none" w:sz="0" w:space="0" w:color="auto"/>
            <w:bottom w:val="none" w:sz="0" w:space="0" w:color="auto"/>
            <w:right w:val="none" w:sz="0" w:space="0" w:color="auto"/>
          </w:divBdr>
          <w:divsChild>
            <w:div w:id="1420828320">
              <w:marLeft w:val="0"/>
              <w:marRight w:val="0"/>
              <w:marTop w:val="120"/>
              <w:marBottom w:val="0"/>
              <w:divBdr>
                <w:top w:val="none" w:sz="0" w:space="0" w:color="auto"/>
                <w:left w:val="none" w:sz="0" w:space="0" w:color="auto"/>
                <w:bottom w:val="none" w:sz="0" w:space="0" w:color="auto"/>
                <w:right w:val="none" w:sz="0" w:space="0" w:color="auto"/>
              </w:divBdr>
            </w:div>
            <w:div w:id="1883204173">
              <w:marLeft w:val="0"/>
              <w:marRight w:val="0"/>
              <w:marTop w:val="0"/>
              <w:marBottom w:val="0"/>
              <w:divBdr>
                <w:top w:val="none" w:sz="0" w:space="0" w:color="auto"/>
                <w:left w:val="none" w:sz="0" w:space="0" w:color="auto"/>
                <w:bottom w:val="none" w:sz="0" w:space="0" w:color="auto"/>
                <w:right w:val="none" w:sz="0" w:space="0" w:color="auto"/>
              </w:divBdr>
              <w:divsChild>
                <w:div w:id="1000815414">
                  <w:marLeft w:val="0"/>
                  <w:marRight w:val="0"/>
                  <w:marTop w:val="0"/>
                  <w:marBottom w:val="0"/>
                  <w:divBdr>
                    <w:top w:val="none" w:sz="0" w:space="0" w:color="auto"/>
                    <w:left w:val="none" w:sz="0" w:space="0" w:color="auto"/>
                    <w:bottom w:val="none" w:sz="0" w:space="0" w:color="auto"/>
                    <w:right w:val="none" w:sz="0" w:space="0" w:color="auto"/>
                  </w:divBdr>
                  <w:divsChild>
                    <w:div w:id="1956058384">
                      <w:marLeft w:val="0"/>
                      <w:marRight w:val="0"/>
                      <w:marTop w:val="120"/>
                      <w:marBottom w:val="0"/>
                      <w:divBdr>
                        <w:top w:val="none" w:sz="0" w:space="0" w:color="auto"/>
                        <w:left w:val="none" w:sz="0" w:space="0" w:color="auto"/>
                        <w:bottom w:val="none" w:sz="0" w:space="0" w:color="auto"/>
                        <w:right w:val="none" w:sz="0" w:space="0" w:color="auto"/>
                      </w:divBdr>
                    </w:div>
                    <w:div w:id="165559208">
                      <w:marLeft w:val="0"/>
                      <w:marRight w:val="0"/>
                      <w:marTop w:val="0"/>
                      <w:marBottom w:val="0"/>
                      <w:divBdr>
                        <w:top w:val="none" w:sz="0" w:space="0" w:color="auto"/>
                        <w:left w:val="none" w:sz="0" w:space="0" w:color="auto"/>
                        <w:bottom w:val="none" w:sz="0" w:space="0" w:color="auto"/>
                        <w:right w:val="none" w:sz="0" w:space="0" w:color="auto"/>
                      </w:divBdr>
                    </w:div>
                  </w:divsChild>
                </w:div>
                <w:div w:id="164826838">
                  <w:marLeft w:val="0"/>
                  <w:marRight w:val="0"/>
                  <w:marTop w:val="0"/>
                  <w:marBottom w:val="0"/>
                  <w:divBdr>
                    <w:top w:val="none" w:sz="0" w:space="0" w:color="auto"/>
                    <w:left w:val="none" w:sz="0" w:space="0" w:color="auto"/>
                    <w:bottom w:val="none" w:sz="0" w:space="0" w:color="auto"/>
                    <w:right w:val="none" w:sz="0" w:space="0" w:color="auto"/>
                  </w:divBdr>
                  <w:divsChild>
                    <w:div w:id="427506356">
                      <w:marLeft w:val="0"/>
                      <w:marRight w:val="0"/>
                      <w:marTop w:val="120"/>
                      <w:marBottom w:val="0"/>
                      <w:divBdr>
                        <w:top w:val="none" w:sz="0" w:space="0" w:color="auto"/>
                        <w:left w:val="none" w:sz="0" w:space="0" w:color="auto"/>
                        <w:bottom w:val="none" w:sz="0" w:space="0" w:color="auto"/>
                        <w:right w:val="none" w:sz="0" w:space="0" w:color="auto"/>
                      </w:divBdr>
                    </w:div>
                    <w:div w:id="831990243">
                      <w:marLeft w:val="0"/>
                      <w:marRight w:val="0"/>
                      <w:marTop w:val="0"/>
                      <w:marBottom w:val="0"/>
                      <w:divBdr>
                        <w:top w:val="none" w:sz="0" w:space="0" w:color="auto"/>
                        <w:left w:val="none" w:sz="0" w:space="0" w:color="auto"/>
                        <w:bottom w:val="none" w:sz="0" w:space="0" w:color="auto"/>
                        <w:right w:val="none" w:sz="0" w:space="0" w:color="auto"/>
                      </w:divBdr>
                    </w:div>
                  </w:divsChild>
                </w:div>
                <w:div w:id="1257519161">
                  <w:marLeft w:val="0"/>
                  <w:marRight w:val="0"/>
                  <w:marTop w:val="0"/>
                  <w:marBottom w:val="0"/>
                  <w:divBdr>
                    <w:top w:val="none" w:sz="0" w:space="0" w:color="auto"/>
                    <w:left w:val="none" w:sz="0" w:space="0" w:color="auto"/>
                    <w:bottom w:val="none" w:sz="0" w:space="0" w:color="auto"/>
                    <w:right w:val="none" w:sz="0" w:space="0" w:color="auto"/>
                  </w:divBdr>
                  <w:divsChild>
                    <w:div w:id="1126654376">
                      <w:marLeft w:val="0"/>
                      <w:marRight w:val="0"/>
                      <w:marTop w:val="120"/>
                      <w:marBottom w:val="0"/>
                      <w:divBdr>
                        <w:top w:val="none" w:sz="0" w:space="0" w:color="auto"/>
                        <w:left w:val="none" w:sz="0" w:space="0" w:color="auto"/>
                        <w:bottom w:val="none" w:sz="0" w:space="0" w:color="auto"/>
                        <w:right w:val="none" w:sz="0" w:space="0" w:color="auto"/>
                      </w:divBdr>
                    </w:div>
                    <w:div w:id="25698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607210">
          <w:marLeft w:val="0"/>
          <w:marRight w:val="0"/>
          <w:marTop w:val="0"/>
          <w:marBottom w:val="0"/>
          <w:divBdr>
            <w:top w:val="none" w:sz="0" w:space="0" w:color="auto"/>
            <w:left w:val="none" w:sz="0" w:space="0" w:color="auto"/>
            <w:bottom w:val="none" w:sz="0" w:space="0" w:color="auto"/>
            <w:right w:val="none" w:sz="0" w:space="0" w:color="auto"/>
          </w:divBdr>
          <w:divsChild>
            <w:div w:id="182792736">
              <w:marLeft w:val="0"/>
              <w:marRight w:val="0"/>
              <w:marTop w:val="120"/>
              <w:marBottom w:val="0"/>
              <w:divBdr>
                <w:top w:val="none" w:sz="0" w:space="0" w:color="auto"/>
                <w:left w:val="none" w:sz="0" w:space="0" w:color="auto"/>
                <w:bottom w:val="none" w:sz="0" w:space="0" w:color="auto"/>
                <w:right w:val="none" w:sz="0" w:space="0" w:color="auto"/>
              </w:divBdr>
            </w:div>
            <w:div w:id="496923764">
              <w:marLeft w:val="0"/>
              <w:marRight w:val="0"/>
              <w:marTop w:val="0"/>
              <w:marBottom w:val="0"/>
              <w:divBdr>
                <w:top w:val="none" w:sz="0" w:space="0" w:color="auto"/>
                <w:left w:val="none" w:sz="0" w:space="0" w:color="auto"/>
                <w:bottom w:val="none" w:sz="0" w:space="0" w:color="auto"/>
                <w:right w:val="none" w:sz="0" w:space="0" w:color="auto"/>
              </w:divBdr>
            </w:div>
          </w:divsChild>
        </w:div>
        <w:div w:id="978654536">
          <w:marLeft w:val="0"/>
          <w:marRight w:val="0"/>
          <w:marTop w:val="0"/>
          <w:marBottom w:val="0"/>
          <w:divBdr>
            <w:top w:val="none" w:sz="0" w:space="0" w:color="auto"/>
            <w:left w:val="none" w:sz="0" w:space="0" w:color="auto"/>
            <w:bottom w:val="none" w:sz="0" w:space="0" w:color="auto"/>
            <w:right w:val="none" w:sz="0" w:space="0" w:color="auto"/>
          </w:divBdr>
          <w:divsChild>
            <w:div w:id="1045760014">
              <w:marLeft w:val="0"/>
              <w:marRight w:val="0"/>
              <w:marTop w:val="120"/>
              <w:marBottom w:val="0"/>
              <w:divBdr>
                <w:top w:val="none" w:sz="0" w:space="0" w:color="auto"/>
                <w:left w:val="none" w:sz="0" w:space="0" w:color="auto"/>
                <w:bottom w:val="none" w:sz="0" w:space="0" w:color="auto"/>
                <w:right w:val="none" w:sz="0" w:space="0" w:color="auto"/>
              </w:divBdr>
            </w:div>
            <w:div w:id="2086032271">
              <w:marLeft w:val="0"/>
              <w:marRight w:val="0"/>
              <w:marTop w:val="0"/>
              <w:marBottom w:val="0"/>
              <w:divBdr>
                <w:top w:val="none" w:sz="0" w:space="0" w:color="auto"/>
                <w:left w:val="none" w:sz="0" w:space="0" w:color="auto"/>
                <w:bottom w:val="none" w:sz="0" w:space="0" w:color="auto"/>
                <w:right w:val="none" w:sz="0" w:space="0" w:color="auto"/>
              </w:divBdr>
            </w:div>
          </w:divsChild>
        </w:div>
        <w:div w:id="1599216620">
          <w:marLeft w:val="0"/>
          <w:marRight w:val="0"/>
          <w:marTop w:val="0"/>
          <w:marBottom w:val="0"/>
          <w:divBdr>
            <w:top w:val="none" w:sz="0" w:space="0" w:color="auto"/>
            <w:left w:val="none" w:sz="0" w:space="0" w:color="auto"/>
            <w:bottom w:val="none" w:sz="0" w:space="0" w:color="auto"/>
            <w:right w:val="none" w:sz="0" w:space="0" w:color="auto"/>
          </w:divBdr>
          <w:divsChild>
            <w:div w:id="2029477034">
              <w:marLeft w:val="0"/>
              <w:marRight w:val="0"/>
              <w:marTop w:val="120"/>
              <w:marBottom w:val="0"/>
              <w:divBdr>
                <w:top w:val="none" w:sz="0" w:space="0" w:color="auto"/>
                <w:left w:val="none" w:sz="0" w:space="0" w:color="auto"/>
                <w:bottom w:val="none" w:sz="0" w:space="0" w:color="auto"/>
                <w:right w:val="none" w:sz="0" w:space="0" w:color="auto"/>
              </w:divBdr>
            </w:div>
            <w:div w:id="34547430">
              <w:marLeft w:val="0"/>
              <w:marRight w:val="0"/>
              <w:marTop w:val="0"/>
              <w:marBottom w:val="0"/>
              <w:divBdr>
                <w:top w:val="none" w:sz="0" w:space="0" w:color="auto"/>
                <w:left w:val="none" w:sz="0" w:space="0" w:color="auto"/>
                <w:bottom w:val="none" w:sz="0" w:space="0" w:color="auto"/>
                <w:right w:val="none" w:sz="0" w:space="0" w:color="auto"/>
              </w:divBdr>
            </w:div>
          </w:divsChild>
        </w:div>
        <w:div w:id="1097403528">
          <w:marLeft w:val="0"/>
          <w:marRight w:val="0"/>
          <w:marTop w:val="0"/>
          <w:marBottom w:val="0"/>
          <w:divBdr>
            <w:top w:val="none" w:sz="0" w:space="0" w:color="auto"/>
            <w:left w:val="none" w:sz="0" w:space="0" w:color="auto"/>
            <w:bottom w:val="none" w:sz="0" w:space="0" w:color="auto"/>
            <w:right w:val="none" w:sz="0" w:space="0" w:color="auto"/>
          </w:divBdr>
          <w:divsChild>
            <w:div w:id="858087710">
              <w:marLeft w:val="0"/>
              <w:marRight w:val="0"/>
              <w:marTop w:val="120"/>
              <w:marBottom w:val="0"/>
              <w:divBdr>
                <w:top w:val="none" w:sz="0" w:space="0" w:color="auto"/>
                <w:left w:val="none" w:sz="0" w:space="0" w:color="auto"/>
                <w:bottom w:val="none" w:sz="0" w:space="0" w:color="auto"/>
                <w:right w:val="none" w:sz="0" w:space="0" w:color="auto"/>
              </w:divBdr>
            </w:div>
            <w:div w:id="1828396826">
              <w:marLeft w:val="0"/>
              <w:marRight w:val="0"/>
              <w:marTop w:val="0"/>
              <w:marBottom w:val="0"/>
              <w:divBdr>
                <w:top w:val="none" w:sz="0" w:space="0" w:color="auto"/>
                <w:left w:val="none" w:sz="0" w:space="0" w:color="auto"/>
                <w:bottom w:val="none" w:sz="0" w:space="0" w:color="auto"/>
                <w:right w:val="none" w:sz="0" w:space="0" w:color="auto"/>
              </w:divBdr>
            </w:div>
          </w:divsChild>
        </w:div>
        <w:div w:id="1277828349">
          <w:marLeft w:val="0"/>
          <w:marRight w:val="0"/>
          <w:marTop w:val="0"/>
          <w:marBottom w:val="0"/>
          <w:divBdr>
            <w:top w:val="none" w:sz="0" w:space="0" w:color="auto"/>
            <w:left w:val="none" w:sz="0" w:space="0" w:color="auto"/>
            <w:bottom w:val="none" w:sz="0" w:space="0" w:color="auto"/>
            <w:right w:val="none" w:sz="0" w:space="0" w:color="auto"/>
          </w:divBdr>
          <w:divsChild>
            <w:div w:id="1290628412">
              <w:marLeft w:val="0"/>
              <w:marRight w:val="0"/>
              <w:marTop w:val="120"/>
              <w:marBottom w:val="0"/>
              <w:divBdr>
                <w:top w:val="none" w:sz="0" w:space="0" w:color="auto"/>
                <w:left w:val="none" w:sz="0" w:space="0" w:color="auto"/>
                <w:bottom w:val="none" w:sz="0" w:space="0" w:color="auto"/>
                <w:right w:val="none" w:sz="0" w:space="0" w:color="auto"/>
              </w:divBdr>
            </w:div>
            <w:div w:id="13173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19191">
      <w:bodyDiv w:val="1"/>
      <w:marLeft w:val="0"/>
      <w:marRight w:val="0"/>
      <w:marTop w:val="0"/>
      <w:marBottom w:val="0"/>
      <w:divBdr>
        <w:top w:val="none" w:sz="0" w:space="0" w:color="auto"/>
        <w:left w:val="none" w:sz="0" w:space="0" w:color="auto"/>
        <w:bottom w:val="none" w:sz="0" w:space="0" w:color="auto"/>
        <w:right w:val="none" w:sz="0" w:space="0" w:color="auto"/>
      </w:divBdr>
      <w:divsChild>
        <w:div w:id="378940430">
          <w:marLeft w:val="0"/>
          <w:marRight w:val="0"/>
          <w:marTop w:val="0"/>
          <w:marBottom w:val="0"/>
          <w:divBdr>
            <w:top w:val="none" w:sz="0" w:space="0" w:color="auto"/>
            <w:left w:val="none" w:sz="0" w:space="0" w:color="auto"/>
            <w:bottom w:val="none" w:sz="0" w:space="0" w:color="auto"/>
            <w:right w:val="none" w:sz="0" w:space="0" w:color="auto"/>
          </w:divBdr>
        </w:div>
      </w:divsChild>
    </w:div>
    <w:div w:id="741290337">
      <w:bodyDiv w:val="1"/>
      <w:marLeft w:val="0"/>
      <w:marRight w:val="0"/>
      <w:marTop w:val="0"/>
      <w:marBottom w:val="0"/>
      <w:divBdr>
        <w:top w:val="none" w:sz="0" w:space="0" w:color="auto"/>
        <w:left w:val="none" w:sz="0" w:space="0" w:color="auto"/>
        <w:bottom w:val="none" w:sz="0" w:space="0" w:color="auto"/>
        <w:right w:val="none" w:sz="0" w:space="0" w:color="auto"/>
      </w:divBdr>
      <w:divsChild>
        <w:div w:id="1267730540">
          <w:marLeft w:val="0"/>
          <w:marRight w:val="0"/>
          <w:marTop w:val="0"/>
          <w:marBottom w:val="0"/>
          <w:divBdr>
            <w:top w:val="none" w:sz="0" w:space="0" w:color="auto"/>
            <w:left w:val="none" w:sz="0" w:space="0" w:color="auto"/>
            <w:bottom w:val="none" w:sz="0" w:space="0" w:color="auto"/>
            <w:right w:val="none" w:sz="0" w:space="0" w:color="auto"/>
          </w:divBdr>
        </w:div>
      </w:divsChild>
    </w:div>
    <w:div w:id="749698208">
      <w:bodyDiv w:val="1"/>
      <w:marLeft w:val="0"/>
      <w:marRight w:val="0"/>
      <w:marTop w:val="0"/>
      <w:marBottom w:val="0"/>
      <w:divBdr>
        <w:top w:val="none" w:sz="0" w:space="0" w:color="auto"/>
        <w:left w:val="none" w:sz="0" w:space="0" w:color="auto"/>
        <w:bottom w:val="none" w:sz="0" w:space="0" w:color="auto"/>
        <w:right w:val="none" w:sz="0" w:space="0" w:color="auto"/>
      </w:divBdr>
      <w:divsChild>
        <w:div w:id="2000188572">
          <w:marLeft w:val="0"/>
          <w:marRight w:val="0"/>
          <w:marTop w:val="0"/>
          <w:marBottom w:val="0"/>
          <w:divBdr>
            <w:top w:val="none" w:sz="0" w:space="0" w:color="auto"/>
            <w:left w:val="none" w:sz="0" w:space="0" w:color="auto"/>
            <w:bottom w:val="none" w:sz="0" w:space="0" w:color="auto"/>
            <w:right w:val="none" w:sz="0" w:space="0" w:color="auto"/>
          </w:divBdr>
        </w:div>
      </w:divsChild>
    </w:div>
    <w:div w:id="751396565">
      <w:bodyDiv w:val="1"/>
      <w:marLeft w:val="0"/>
      <w:marRight w:val="0"/>
      <w:marTop w:val="0"/>
      <w:marBottom w:val="0"/>
      <w:divBdr>
        <w:top w:val="none" w:sz="0" w:space="0" w:color="auto"/>
        <w:left w:val="none" w:sz="0" w:space="0" w:color="auto"/>
        <w:bottom w:val="none" w:sz="0" w:space="0" w:color="auto"/>
        <w:right w:val="none" w:sz="0" w:space="0" w:color="auto"/>
      </w:divBdr>
    </w:div>
    <w:div w:id="755326918">
      <w:bodyDiv w:val="1"/>
      <w:marLeft w:val="0"/>
      <w:marRight w:val="0"/>
      <w:marTop w:val="0"/>
      <w:marBottom w:val="0"/>
      <w:divBdr>
        <w:top w:val="none" w:sz="0" w:space="0" w:color="auto"/>
        <w:left w:val="none" w:sz="0" w:space="0" w:color="auto"/>
        <w:bottom w:val="none" w:sz="0" w:space="0" w:color="auto"/>
        <w:right w:val="none" w:sz="0" w:space="0" w:color="auto"/>
      </w:divBdr>
      <w:divsChild>
        <w:div w:id="627126730">
          <w:marLeft w:val="0"/>
          <w:marRight w:val="0"/>
          <w:marTop w:val="0"/>
          <w:marBottom w:val="0"/>
          <w:divBdr>
            <w:top w:val="none" w:sz="0" w:space="0" w:color="auto"/>
            <w:left w:val="none" w:sz="0" w:space="0" w:color="auto"/>
            <w:bottom w:val="none" w:sz="0" w:space="0" w:color="auto"/>
            <w:right w:val="none" w:sz="0" w:space="0" w:color="auto"/>
          </w:divBdr>
        </w:div>
      </w:divsChild>
    </w:div>
    <w:div w:id="757097074">
      <w:bodyDiv w:val="1"/>
      <w:marLeft w:val="0"/>
      <w:marRight w:val="0"/>
      <w:marTop w:val="0"/>
      <w:marBottom w:val="0"/>
      <w:divBdr>
        <w:top w:val="none" w:sz="0" w:space="0" w:color="auto"/>
        <w:left w:val="none" w:sz="0" w:space="0" w:color="auto"/>
        <w:bottom w:val="none" w:sz="0" w:space="0" w:color="auto"/>
        <w:right w:val="none" w:sz="0" w:space="0" w:color="auto"/>
      </w:divBdr>
      <w:divsChild>
        <w:div w:id="103690545">
          <w:marLeft w:val="0"/>
          <w:marRight w:val="0"/>
          <w:marTop w:val="0"/>
          <w:marBottom w:val="0"/>
          <w:divBdr>
            <w:top w:val="none" w:sz="0" w:space="0" w:color="auto"/>
            <w:left w:val="none" w:sz="0" w:space="0" w:color="auto"/>
            <w:bottom w:val="none" w:sz="0" w:space="0" w:color="auto"/>
            <w:right w:val="none" w:sz="0" w:space="0" w:color="auto"/>
          </w:divBdr>
          <w:divsChild>
            <w:div w:id="200942795">
              <w:marLeft w:val="0"/>
              <w:marRight w:val="0"/>
              <w:marTop w:val="0"/>
              <w:marBottom w:val="0"/>
              <w:divBdr>
                <w:top w:val="none" w:sz="0" w:space="0" w:color="auto"/>
                <w:left w:val="none" w:sz="0" w:space="0" w:color="auto"/>
                <w:bottom w:val="none" w:sz="0" w:space="0" w:color="auto"/>
                <w:right w:val="none" w:sz="0" w:space="0" w:color="auto"/>
              </w:divBdr>
              <w:divsChild>
                <w:div w:id="654459023">
                  <w:marLeft w:val="0"/>
                  <w:marRight w:val="0"/>
                  <w:marTop w:val="0"/>
                  <w:marBottom w:val="0"/>
                  <w:divBdr>
                    <w:top w:val="none" w:sz="0" w:space="0" w:color="auto"/>
                    <w:left w:val="none" w:sz="0" w:space="0" w:color="auto"/>
                    <w:bottom w:val="none" w:sz="0" w:space="0" w:color="auto"/>
                    <w:right w:val="none" w:sz="0" w:space="0" w:color="auto"/>
                  </w:divBdr>
                  <w:divsChild>
                    <w:div w:id="1634798166">
                      <w:marLeft w:val="0"/>
                      <w:marRight w:val="0"/>
                      <w:marTop w:val="120"/>
                      <w:marBottom w:val="0"/>
                      <w:divBdr>
                        <w:top w:val="none" w:sz="0" w:space="0" w:color="auto"/>
                        <w:left w:val="none" w:sz="0" w:space="0" w:color="auto"/>
                        <w:bottom w:val="none" w:sz="0" w:space="0" w:color="auto"/>
                        <w:right w:val="none" w:sz="0" w:space="0" w:color="auto"/>
                      </w:divBdr>
                    </w:div>
                    <w:div w:id="408817679">
                      <w:marLeft w:val="0"/>
                      <w:marRight w:val="0"/>
                      <w:marTop w:val="0"/>
                      <w:marBottom w:val="0"/>
                      <w:divBdr>
                        <w:top w:val="none" w:sz="0" w:space="0" w:color="auto"/>
                        <w:left w:val="none" w:sz="0" w:space="0" w:color="auto"/>
                        <w:bottom w:val="none" w:sz="0" w:space="0" w:color="auto"/>
                        <w:right w:val="none" w:sz="0" w:space="0" w:color="auto"/>
                      </w:divBdr>
                    </w:div>
                  </w:divsChild>
                </w:div>
                <w:div w:id="2111389038">
                  <w:marLeft w:val="0"/>
                  <w:marRight w:val="0"/>
                  <w:marTop w:val="0"/>
                  <w:marBottom w:val="0"/>
                  <w:divBdr>
                    <w:top w:val="none" w:sz="0" w:space="0" w:color="auto"/>
                    <w:left w:val="none" w:sz="0" w:space="0" w:color="auto"/>
                    <w:bottom w:val="none" w:sz="0" w:space="0" w:color="auto"/>
                    <w:right w:val="none" w:sz="0" w:space="0" w:color="auto"/>
                  </w:divBdr>
                  <w:divsChild>
                    <w:div w:id="1445416258">
                      <w:marLeft w:val="0"/>
                      <w:marRight w:val="0"/>
                      <w:marTop w:val="120"/>
                      <w:marBottom w:val="0"/>
                      <w:divBdr>
                        <w:top w:val="none" w:sz="0" w:space="0" w:color="auto"/>
                        <w:left w:val="none" w:sz="0" w:space="0" w:color="auto"/>
                        <w:bottom w:val="none" w:sz="0" w:space="0" w:color="auto"/>
                        <w:right w:val="none" w:sz="0" w:space="0" w:color="auto"/>
                      </w:divBdr>
                    </w:div>
                    <w:div w:id="139812607">
                      <w:marLeft w:val="0"/>
                      <w:marRight w:val="0"/>
                      <w:marTop w:val="0"/>
                      <w:marBottom w:val="0"/>
                      <w:divBdr>
                        <w:top w:val="none" w:sz="0" w:space="0" w:color="auto"/>
                        <w:left w:val="none" w:sz="0" w:space="0" w:color="auto"/>
                        <w:bottom w:val="none" w:sz="0" w:space="0" w:color="auto"/>
                        <w:right w:val="none" w:sz="0" w:space="0" w:color="auto"/>
                      </w:divBdr>
                    </w:div>
                  </w:divsChild>
                </w:div>
                <w:div w:id="490173823">
                  <w:marLeft w:val="0"/>
                  <w:marRight w:val="0"/>
                  <w:marTop w:val="0"/>
                  <w:marBottom w:val="0"/>
                  <w:divBdr>
                    <w:top w:val="none" w:sz="0" w:space="0" w:color="auto"/>
                    <w:left w:val="none" w:sz="0" w:space="0" w:color="auto"/>
                    <w:bottom w:val="none" w:sz="0" w:space="0" w:color="auto"/>
                    <w:right w:val="none" w:sz="0" w:space="0" w:color="auto"/>
                  </w:divBdr>
                  <w:divsChild>
                    <w:div w:id="1301770220">
                      <w:marLeft w:val="0"/>
                      <w:marRight w:val="0"/>
                      <w:marTop w:val="120"/>
                      <w:marBottom w:val="0"/>
                      <w:divBdr>
                        <w:top w:val="none" w:sz="0" w:space="0" w:color="auto"/>
                        <w:left w:val="none" w:sz="0" w:space="0" w:color="auto"/>
                        <w:bottom w:val="none" w:sz="0" w:space="0" w:color="auto"/>
                        <w:right w:val="none" w:sz="0" w:space="0" w:color="auto"/>
                      </w:divBdr>
                    </w:div>
                    <w:div w:id="1205823279">
                      <w:marLeft w:val="0"/>
                      <w:marRight w:val="0"/>
                      <w:marTop w:val="0"/>
                      <w:marBottom w:val="0"/>
                      <w:divBdr>
                        <w:top w:val="none" w:sz="0" w:space="0" w:color="auto"/>
                        <w:left w:val="none" w:sz="0" w:space="0" w:color="auto"/>
                        <w:bottom w:val="none" w:sz="0" w:space="0" w:color="auto"/>
                        <w:right w:val="none" w:sz="0" w:space="0" w:color="auto"/>
                      </w:divBdr>
                    </w:div>
                  </w:divsChild>
                </w:div>
                <w:div w:id="2094742492">
                  <w:marLeft w:val="0"/>
                  <w:marRight w:val="0"/>
                  <w:marTop w:val="0"/>
                  <w:marBottom w:val="0"/>
                  <w:divBdr>
                    <w:top w:val="none" w:sz="0" w:space="0" w:color="auto"/>
                    <w:left w:val="none" w:sz="0" w:space="0" w:color="auto"/>
                    <w:bottom w:val="none" w:sz="0" w:space="0" w:color="auto"/>
                    <w:right w:val="none" w:sz="0" w:space="0" w:color="auto"/>
                  </w:divBdr>
                  <w:divsChild>
                    <w:div w:id="707879729">
                      <w:marLeft w:val="0"/>
                      <w:marRight w:val="0"/>
                      <w:marTop w:val="120"/>
                      <w:marBottom w:val="0"/>
                      <w:divBdr>
                        <w:top w:val="none" w:sz="0" w:space="0" w:color="auto"/>
                        <w:left w:val="none" w:sz="0" w:space="0" w:color="auto"/>
                        <w:bottom w:val="none" w:sz="0" w:space="0" w:color="auto"/>
                        <w:right w:val="none" w:sz="0" w:space="0" w:color="auto"/>
                      </w:divBdr>
                    </w:div>
                    <w:div w:id="1646354362">
                      <w:marLeft w:val="0"/>
                      <w:marRight w:val="0"/>
                      <w:marTop w:val="0"/>
                      <w:marBottom w:val="0"/>
                      <w:divBdr>
                        <w:top w:val="none" w:sz="0" w:space="0" w:color="auto"/>
                        <w:left w:val="none" w:sz="0" w:space="0" w:color="auto"/>
                        <w:bottom w:val="none" w:sz="0" w:space="0" w:color="auto"/>
                        <w:right w:val="none" w:sz="0" w:space="0" w:color="auto"/>
                      </w:divBdr>
                    </w:div>
                  </w:divsChild>
                </w:div>
                <w:div w:id="1313369812">
                  <w:marLeft w:val="0"/>
                  <w:marRight w:val="0"/>
                  <w:marTop w:val="0"/>
                  <w:marBottom w:val="0"/>
                  <w:divBdr>
                    <w:top w:val="none" w:sz="0" w:space="0" w:color="auto"/>
                    <w:left w:val="none" w:sz="0" w:space="0" w:color="auto"/>
                    <w:bottom w:val="none" w:sz="0" w:space="0" w:color="auto"/>
                    <w:right w:val="none" w:sz="0" w:space="0" w:color="auto"/>
                  </w:divBdr>
                  <w:divsChild>
                    <w:div w:id="198669818">
                      <w:marLeft w:val="0"/>
                      <w:marRight w:val="0"/>
                      <w:marTop w:val="120"/>
                      <w:marBottom w:val="0"/>
                      <w:divBdr>
                        <w:top w:val="none" w:sz="0" w:space="0" w:color="auto"/>
                        <w:left w:val="none" w:sz="0" w:space="0" w:color="auto"/>
                        <w:bottom w:val="none" w:sz="0" w:space="0" w:color="auto"/>
                        <w:right w:val="none" w:sz="0" w:space="0" w:color="auto"/>
                      </w:divBdr>
                    </w:div>
                    <w:div w:id="404839676">
                      <w:marLeft w:val="0"/>
                      <w:marRight w:val="0"/>
                      <w:marTop w:val="0"/>
                      <w:marBottom w:val="0"/>
                      <w:divBdr>
                        <w:top w:val="none" w:sz="0" w:space="0" w:color="auto"/>
                        <w:left w:val="none" w:sz="0" w:space="0" w:color="auto"/>
                        <w:bottom w:val="none" w:sz="0" w:space="0" w:color="auto"/>
                        <w:right w:val="none" w:sz="0" w:space="0" w:color="auto"/>
                      </w:divBdr>
                    </w:div>
                  </w:divsChild>
                </w:div>
                <w:div w:id="1178346541">
                  <w:marLeft w:val="0"/>
                  <w:marRight w:val="0"/>
                  <w:marTop w:val="0"/>
                  <w:marBottom w:val="0"/>
                  <w:divBdr>
                    <w:top w:val="none" w:sz="0" w:space="0" w:color="auto"/>
                    <w:left w:val="none" w:sz="0" w:space="0" w:color="auto"/>
                    <w:bottom w:val="none" w:sz="0" w:space="0" w:color="auto"/>
                    <w:right w:val="none" w:sz="0" w:space="0" w:color="auto"/>
                  </w:divBdr>
                  <w:divsChild>
                    <w:div w:id="1798990271">
                      <w:marLeft w:val="0"/>
                      <w:marRight w:val="0"/>
                      <w:marTop w:val="120"/>
                      <w:marBottom w:val="0"/>
                      <w:divBdr>
                        <w:top w:val="none" w:sz="0" w:space="0" w:color="auto"/>
                        <w:left w:val="none" w:sz="0" w:space="0" w:color="auto"/>
                        <w:bottom w:val="none" w:sz="0" w:space="0" w:color="auto"/>
                        <w:right w:val="none" w:sz="0" w:space="0" w:color="auto"/>
                      </w:divBdr>
                    </w:div>
                    <w:div w:id="2054309184">
                      <w:marLeft w:val="0"/>
                      <w:marRight w:val="0"/>
                      <w:marTop w:val="0"/>
                      <w:marBottom w:val="0"/>
                      <w:divBdr>
                        <w:top w:val="none" w:sz="0" w:space="0" w:color="auto"/>
                        <w:left w:val="none" w:sz="0" w:space="0" w:color="auto"/>
                        <w:bottom w:val="none" w:sz="0" w:space="0" w:color="auto"/>
                        <w:right w:val="none" w:sz="0" w:space="0" w:color="auto"/>
                      </w:divBdr>
                    </w:div>
                  </w:divsChild>
                </w:div>
                <w:div w:id="244850210">
                  <w:marLeft w:val="0"/>
                  <w:marRight w:val="0"/>
                  <w:marTop w:val="0"/>
                  <w:marBottom w:val="0"/>
                  <w:divBdr>
                    <w:top w:val="none" w:sz="0" w:space="0" w:color="auto"/>
                    <w:left w:val="none" w:sz="0" w:space="0" w:color="auto"/>
                    <w:bottom w:val="none" w:sz="0" w:space="0" w:color="auto"/>
                    <w:right w:val="none" w:sz="0" w:space="0" w:color="auto"/>
                  </w:divBdr>
                  <w:divsChild>
                    <w:div w:id="1559173454">
                      <w:marLeft w:val="0"/>
                      <w:marRight w:val="0"/>
                      <w:marTop w:val="120"/>
                      <w:marBottom w:val="0"/>
                      <w:divBdr>
                        <w:top w:val="none" w:sz="0" w:space="0" w:color="auto"/>
                        <w:left w:val="none" w:sz="0" w:space="0" w:color="auto"/>
                        <w:bottom w:val="none" w:sz="0" w:space="0" w:color="auto"/>
                        <w:right w:val="none" w:sz="0" w:space="0" w:color="auto"/>
                      </w:divBdr>
                    </w:div>
                    <w:div w:id="161023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494025">
      <w:bodyDiv w:val="1"/>
      <w:marLeft w:val="0"/>
      <w:marRight w:val="0"/>
      <w:marTop w:val="0"/>
      <w:marBottom w:val="0"/>
      <w:divBdr>
        <w:top w:val="none" w:sz="0" w:space="0" w:color="auto"/>
        <w:left w:val="none" w:sz="0" w:space="0" w:color="auto"/>
        <w:bottom w:val="none" w:sz="0" w:space="0" w:color="auto"/>
        <w:right w:val="none" w:sz="0" w:space="0" w:color="auto"/>
      </w:divBdr>
      <w:divsChild>
        <w:div w:id="1355350194">
          <w:marLeft w:val="0"/>
          <w:marRight w:val="0"/>
          <w:marTop w:val="0"/>
          <w:marBottom w:val="0"/>
          <w:divBdr>
            <w:top w:val="none" w:sz="0" w:space="0" w:color="auto"/>
            <w:left w:val="none" w:sz="0" w:space="0" w:color="auto"/>
            <w:bottom w:val="none" w:sz="0" w:space="0" w:color="auto"/>
            <w:right w:val="none" w:sz="0" w:space="0" w:color="auto"/>
          </w:divBdr>
        </w:div>
      </w:divsChild>
    </w:div>
    <w:div w:id="764809162">
      <w:bodyDiv w:val="1"/>
      <w:marLeft w:val="0"/>
      <w:marRight w:val="0"/>
      <w:marTop w:val="0"/>
      <w:marBottom w:val="0"/>
      <w:divBdr>
        <w:top w:val="none" w:sz="0" w:space="0" w:color="auto"/>
        <w:left w:val="none" w:sz="0" w:space="0" w:color="auto"/>
        <w:bottom w:val="none" w:sz="0" w:space="0" w:color="auto"/>
        <w:right w:val="none" w:sz="0" w:space="0" w:color="auto"/>
      </w:divBdr>
      <w:divsChild>
        <w:div w:id="1827698357">
          <w:marLeft w:val="0"/>
          <w:marRight w:val="0"/>
          <w:marTop w:val="0"/>
          <w:marBottom w:val="0"/>
          <w:divBdr>
            <w:top w:val="none" w:sz="0" w:space="0" w:color="auto"/>
            <w:left w:val="none" w:sz="0" w:space="0" w:color="auto"/>
            <w:bottom w:val="none" w:sz="0" w:space="0" w:color="auto"/>
            <w:right w:val="none" w:sz="0" w:space="0" w:color="auto"/>
          </w:divBdr>
        </w:div>
      </w:divsChild>
    </w:div>
    <w:div w:id="768039348">
      <w:bodyDiv w:val="1"/>
      <w:marLeft w:val="0"/>
      <w:marRight w:val="0"/>
      <w:marTop w:val="0"/>
      <w:marBottom w:val="0"/>
      <w:divBdr>
        <w:top w:val="none" w:sz="0" w:space="0" w:color="auto"/>
        <w:left w:val="none" w:sz="0" w:space="0" w:color="auto"/>
        <w:bottom w:val="none" w:sz="0" w:space="0" w:color="auto"/>
        <w:right w:val="none" w:sz="0" w:space="0" w:color="auto"/>
      </w:divBdr>
      <w:divsChild>
        <w:div w:id="130252320">
          <w:marLeft w:val="0"/>
          <w:marRight w:val="0"/>
          <w:marTop w:val="0"/>
          <w:marBottom w:val="0"/>
          <w:divBdr>
            <w:top w:val="none" w:sz="0" w:space="0" w:color="auto"/>
            <w:left w:val="none" w:sz="0" w:space="0" w:color="auto"/>
            <w:bottom w:val="none" w:sz="0" w:space="0" w:color="auto"/>
            <w:right w:val="none" w:sz="0" w:space="0" w:color="auto"/>
          </w:divBdr>
        </w:div>
      </w:divsChild>
    </w:div>
    <w:div w:id="768425075">
      <w:bodyDiv w:val="1"/>
      <w:marLeft w:val="0"/>
      <w:marRight w:val="0"/>
      <w:marTop w:val="0"/>
      <w:marBottom w:val="0"/>
      <w:divBdr>
        <w:top w:val="none" w:sz="0" w:space="0" w:color="auto"/>
        <w:left w:val="none" w:sz="0" w:space="0" w:color="auto"/>
        <w:bottom w:val="none" w:sz="0" w:space="0" w:color="auto"/>
        <w:right w:val="none" w:sz="0" w:space="0" w:color="auto"/>
      </w:divBdr>
      <w:divsChild>
        <w:div w:id="2011984929">
          <w:marLeft w:val="0"/>
          <w:marRight w:val="0"/>
          <w:marTop w:val="120"/>
          <w:marBottom w:val="0"/>
          <w:divBdr>
            <w:top w:val="none" w:sz="0" w:space="0" w:color="auto"/>
            <w:left w:val="none" w:sz="0" w:space="0" w:color="auto"/>
            <w:bottom w:val="none" w:sz="0" w:space="0" w:color="auto"/>
            <w:right w:val="none" w:sz="0" w:space="0" w:color="auto"/>
          </w:divBdr>
        </w:div>
        <w:div w:id="1145127555">
          <w:marLeft w:val="0"/>
          <w:marRight w:val="0"/>
          <w:marTop w:val="0"/>
          <w:marBottom w:val="0"/>
          <w:divBdr>
            <w:top w:val="none" w:sz="0" w:space="0" w:color="auto"/>
            <w:left w:val="none" w:sz="0" w:space="0" w:color="auto"/>
            <w:bottom w:val="none" w:sz="0" w:space="0" w:color="auto"/>
            <w:right w:val="none" w:sz="0" w:space="0" w:color="auto"/>
          </w:divBdr>
        </w:div>
      </w:divsChild>
    </w:div>
    <w:div w:id="779567830">
      <w:bodyDiv w:val="1"/>
      <w:marLeft w:val="0"/>
      <w:marRight w:val="0"/>
      <w:marTop w:val="0"/>
      <w:marBottom w:val="0"/>
      <w:divBdr>
        <w:top w:val="none" w:sz="0" w:space="0" w:color="auto"/>
        <w:left w:val="none" w:sz="0" w:space="0" w:color="auto"/>
        <w:bottom w:val="none" w:sz="0" w:space="0" w:color="auto"/>
        <w:right w:val="none" w:sz="0" w:space="0" w:color="auto"/>
      </w:divBdr>
      <w:divsChild>
        <w:div w:id="1301809784">
          <w:marLeft w:val="0"/>
          <w:marRight w:val="0"/>
          <w:marTop w:val="0"/>
          <w:marBottom w:val="0"/>
          <w:divBdr>
            <w:top w:val="none" w:sz="0" w:space="0" w:color="auto"/>
            <w:left w:val="none" w:sz="0" w:space="0" w:color="auto"/>
            <w:bottom w:val="none" w:sz="0" w:space="0" w:color="auto"/>
            <w:right w:val="none" w:sz="0" w:space="0" w:color="auto"/>
          </w:divBdr>
        </w:div>
      </w:divsChild>
    </w:div>
    <w:div w:id="781417275">
      <w:bodyDiv w:val="1"/>
      <w:marLeft w:val="0"/>
      <w:marRight w:val="0"/>
      <w:marTop w:val="0"/>
      <w:marBottom w:val="0"/>
      <w:divBdr>
        <w:top w:val="none" w:sz="0" w:space="0" w:color="auto"/>
        <w:left w:val="none" w:sz="0" w:space="0" w:color="auto"/>
        <w:bottom w:val="none" w:sz="0" w:space="0" w:color="auto"/>
        <w:right w:val="none" w:sz="0" w:space="0" w:color="auto"/>
      </w:divBdr>
      <w:divsChild>
        <w:div w:id="2083867227">
          <w:marLeft w:val="0"/>
          <w:marRight w:val="0"/>
          <w:marTop w:val="0"/>
          <w:marBottom w:val="0"/>
          <w:divBdr>
            <w:top w:val="none" w:sz="0" w:space="0" w:color="auto"/>
            <w:left w:val="none" w:sz="0" w:space="0" w:color="auto"/>
            <w:bottom w:val="none" w:sz="0" w:space="0" w:color="auto"/>
            <w:right w:val="none" w:sz="0" w:space="0" w:color="auto"/>
          </w:divBdr>
          <w:divsChild>
            <w:div w:id="1903132380">
              <w:marLeft w:val="0"/>
              <w:marRight w:val="0"/>
              <w:marTop w:val="0"/>
              <w:marBottom w:val="0"/>
              <w:divBdr>
                <w:top w:val="none" w:sz="0" w:space="0" w:color="auto"/>
                <w:left w:val="none" w:sz="0" w:space="0" w:color="auto"/>
                <w:bottom w:val="none" w:sz="0" w:space="0" w:color="auto"/>
                <w:right w:val="none" w:sz="0" w:space="0" w:color="auto"/>
              </w:divBdr>
            </w:div>
          </w:divsChild>
        </w:div>
        <w:div w:id="140000371">
          <w:marLeft w:val="0"/>
          <w:marRight w:val="0"/>
          <w:marTop w:val="0"/>
          <w:marBottom w:val="0"/>
          <w:divBdr>
            <w:top w:val="none" w:sz="0" w:space="0" w:color="auto"/>
            <w:left w:val="none" w:sz="0" w:space="0" w:color="auto"/>
            <w:bottom w:val="none" w:sz="0" w:space="0" w:color="auto"/>
            <w:right w:val="none" w:sz="0" w:space="0" w:color="auto"/>
          </w:divBdr>
          <w:divsChild>
            <w:div w:id="2053722732">
              <w:marLeft w:val="0"/>
              <w:marRight w:val="0"/>
              <w:marTop w:val="0"/>
              <w:marBottom w:val="0"/>
              <w:divBdr>
                <w:top w:val="none" w:sz="0" w:space="0" w:color="auto"/>
                <w:left w:val="none" w:sz="0" w:space="0" w:color="auto"/>
                <w:bottom w:val="none" w:sz="0" w:space="0" w:color="auto"/>
                <w:right w:val="none" w:sz="0" w:space="0" w:color="auto"/>
              </w:divBdr>
              <w:divsChild>
                <w:div w:id="1408728050">
                  <w:marLeft w:val="0"/>
                  <w:marRight w:val="0"/>
                  <w:marTop w:val="0"/>
                  <w:marBottom w:val="0"/>
                  <w:divBdr>
                    <w:top w:val="none" w:sz="0" w:space="0" w:color="auto"/>
                    <w:left w:val="none" w:sz="0" w:space="0" w:color="auto"/>
                    <w:bottom w:val="none" w:sz="0" w:space="0" w:color="auto"/>
                    <w:right w:val="none" w:sz="0" w:space="0" w:color="auto"/>
                  </w:divBdr>
                  <w:divsChild>
                    <w:div w:id="624625692">
                      <w:marLeft w:val="0"/>
                      <w:marRight w:val="0"/>
                      <w:marTop w:val="120"/>
                      <w:marBottom w:val="0"/>
                      <w:divBdr>
                        <w:top w:val="none" w:sz="0" w:space="0" w:color="auto"/>
                        <w:left w:val="none" w:sz="0" w:space="0" w:color="auto"/>
                        <w:bottom w:val="none" w:sz="0" w:space="0" w:color="auto"/>
                        <w:right w:val="none" w:sz="0" w:space="0" w:color="auto"/>
                      </w:divBdr>
                    </w:div>
                    <w:div w:id="529490009">
                      <w:marLeft w:val="0"/>
                      <w:marRight w:val="0"/>
                      <w:marTop w:val="0"/>
                      <w:marBottom w:val="0"/>
                      <w:divBdr>
                        <w:top w:val="none" w:sz="0" w:space="0" w:color="auto"/>
                        <w:left w:val="none" w:sz="0" w:space="0" w:color="auto"/>
                        <w:bottom w:val="none" w:sz="0" w:space="0" w:color="auto"/>
                        <w:right w:val="none" w:sz="0" w:space="0" w:color="auto"/>
                      </w:divBdr>
                    </w:div>
                  </w:divsChild>
                </w:div>
                <w:div w:id="1655647321">
                  <w:marLeft w:val="0"/>
                  <w:marRight w:val="0"/>
                  <w:marTop w:val="0"/>
                  <w:marBottom w:val="0"/>
                  <w:divBdr>
                    <w:top w:val="none" w:sz="0" w:space="0" w:color="auto"/>
                    <w:left w:val="none" w:sz="0" w:space="0" w:color="auto"/>
                    <w:bottom w:val="none" w:sz="0" w:space="0" w:color="auto"/>
                    <w:right w:val="none" w:sz="0" w:space="0" w:color="auto"/>
                  </w:divBdr>
                  <w:divsChild>
                    <w:div w:id="262030725">
                      <w:marLeft w:val="0"/>
                      <w:marRight w:val="0"/>
                      <w:marTop w:val="120"/>
                      <w:marBottom w:val="0"/>
                      <w:divBdr>
                        <w:top w:val="none" w:sz="0" w:space="0" w:color="auto"/>
                        <w:left w:val="none" w:sz="0" w:space="0" w:color="auto"/>
                        <w:bottom w:val="none" w:sz="0" w:space="0" w:color="auto"/>
                        <w:right w:val="none" w:sz="0" w:space="0" w:color="auto"/>
                      </w:divBdr>
                    </w:div>
                    <w:div w:id="1618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01108">
      <w:bodyDiv w:val="1"/>
      <w:marLeft w:val="0"/>
      <w:marRight w:val="0"/>
      <w:marTop w:val="0"/>
      <w:marBottom w:val="0"/>
      <w:divBdr>
        <w:top w:val="none" w:sz="0" w:space="0" w:color="auto"/>
        <w:left w:val="none" w:sz="0" w:space="0" w:color="auto"/>
        <w:bottom w:val="none" w:sz="0" w:space="0" w:color="auto"/>
        <w:right w:val="none" w:sz="0" w:space="0" w:color="auto"/>
      </w:divBdr>
      <w:divsChild>
        <w:div w:id="235362104">
          <w:marLeft w:val="0"/>
          <w:marRight w:val="0"/>
          <w:marTop w:val="0"/>
          <w:marBottom w:val="0"/>
          <w:divBdr>
            <w:top w:val="none" w:sz="0" w:space="0" w:color="auto"/>
            <w:left w:val="none" w:sz="0" w:space="0" w:color="auto"/>
            <w:bottom w:val="none" w:sz="0" w:space="0" w:color="auto"/>
            <w:right w:val="none" w:sz="0" w:space="0" w:color="auto"/>
          </w:divBdr>
          <w:divsChild>
            <w:div w:id="130750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18927">
      <w:bodyDiv w:val="1"/>
      <w:marLeft w:val="0"/>
      <w:marRight w:val="0"/>
      <w:marTop w:val="0"/>
      <w:marBottom w:val="0"/>
      <w:divBdr>
        <w:top w:val="none" w:sz="0" w:space="0" w:color="auto"/>
        <w:left w:val="none" w:sz="0" w:space="0" w:color="auto"/>
        <w:bottom w:val="none" w:sz="0" w:space="0" w:color="auto"/>
        <w:right w:val="none" w:sz="0" w:space="0" w:color="auto"/>
      </w:divBdr>
      <w:divsChild>
        <w:div w:id="515506401">
          <w:marLeft w:val="0"/>
          <w:marRight w:val="0"/>
          <w:marTop w:val="0"/>
          <w:marBottom w:val="0"/>
          <w:divBdr>
            <w:top w:val="none" w:sz="0" w:space="0" w:color="auto"/>
            <w:left w:val="none" w:sz="0" w:space="0" w:color="auto"/>
            <w:bottom w:val="none" w:sz="0" w:space="0" w:color="auto"/>
            <w:right w:val="none" w:sz="0" w:space="0" w:color="auto"/>
          </w:divBdr>
        </w:div>
      </w:divsChild>
    </w:div>
    <w:div w:id="787774013">
      <w:bodyDiv w:val="1"/>
      <w:marLeft w:val="0"/>
      <w:marRight w:val="0"/>
      <w:marTop w:val="0"/>
      <w:marBottom w:val="0"/>
      <w:divBdr>
        <w:top w:val="none" w:sz="0" w:space="0" w:color="auto"/>
        <w:left w:val="none" w:sz="0" w:space="0" w:color="auto"/>
        <w:bottom w:val="none" w:sz="0" w:space="0" w:color="auto"/>
        <w:right w:val="none" w:sz="0" w:space="0" w:color="auto"/>
      </w:divBdr>
      <w:divsChild>
        <w:div w:id="1855652338">
          <w:marLeft w:val="0"/>
          <w:marRight w:val="0"/>
          <w:marTop w:val="0"/>
          <w:marBottom w:val="0"/>
          <w:divBdr>
            <w:top w:val="none" w:sz="0" w:space="0" w:color="auto"/>
            <w:left w:val="none" w:sz="0" w:space="0" w:color="auto"/>
            <w:bottom w:val="none" w:sz="0" w:space="0" w:color="auto"/>
            <w:right w:val="none" w:sz="0" w:space="0" w:color="auto"/>
          </w:divBdr>
        </w:div>
      </w:divsChild>
    </w:div>
    <w:div w:id="787813977">
      <w:bodyDiv w:val="1"/>
      <w:marLeft w:val="0"/>
      <w:marRight w:val="0"/>
      <w:marTop w:val="0"/>
      <w:marBottom w:val="0"/>
      <w:divBdr>
        <w:top w:val="none" w:sz="0" w:space="0" w:color="auto"/>
        <w:left w:val="none" w:sz="0" w:space="0" w:color="auto"/>
        <w:bottom w:val="none" w:sz="0" w:space="0" w:color="auto"/>
        <w:right w:val="none" w:sz="0" w:space="0" w:color="auto"/>
      </w:divBdr>
      <w:divsChild>
        <w:div w:id="1553928431">
          <w:marLeft w:val="0"/>
          <w:marRight w:val="0"/>
          <w:marTop w:val="120"/>
          <w:marBottom w:val="0"/>
          <w:divBdr>
            <w:top w:val="none" w:sz="0" w:space="0" w:color="auto"/>
            <w:left w:val="none" w:sz="0" w:space="0" w:color="auto"/>
            <w:bottom w:val="none" w:sz="0" w:space="0" w:color="auto"/>
            <w:right w:val="none" w:sz="0" w:space="0" w:color="auto"/>
          </w:divBdr>
        </w:div>
        <w:div w:id="515651399">
          <w:marLeft w:val="0"/>
          <w:marRight w:val="0"/>
          <w:marTop w:val="0"/>
          <w:marBottom w:val="0"/>
          <w:divBdr>
            <w:top w:val="none" w:sz="0" w:space="0" w:color="auto"/>
            <w:left w:val="none" w:sz="0" w:space="0" w:color="auto"/>
            <w:bottom w:val="none" w:sz="0" w:space="0" w:color="auto"/>
            <w:right w:val="none" w:sz="0" w:space="0" w:color="auto"/>
          </w:divBdr>
        </w:div>
      </w:divsChild>
    </w:div>
    <w:div w:id="805242867">
      <w:bodyDiv w:val="1"/>
      <w:marLeft w:val="0"/>
      <w:marRight w:val="0"/>
      <w:marTop w:val="0"/>
      <w:marBottom w:val="0"/>
      <w:divBdr>
        <w:top w:val="none" w:sz="0" w:space="0" w:color="auto"/>
        <w:left w:val="none" w:sz="0" w:space="0" w:color="auto"/>
        <w:bottom w:val="none" w:sz="0" w:space="0" w:color="auto"/>
        <w:right w:val="none" w:sz="0" w:space="0" w:color="auto"/>
      </w:divBdr>
      <w:divsChild>
        <w:div w:id="1145007376">
          <w:marLeft w:val="0"/>
          <w:marRight w:val="0"/>
          <w:marTop w:val="0"/>
          <w:marBottom w:val="0"/>
          <w:divBdr>
            <w:top w:val="none" w:sz="0" w:space="0" w:color="auto"/>
            <w:left w:val="none" w:sz="0" w:space="0" w:color="auto"/>
            <w:bottom w:val="none" w:sz="0" w:space="0" w:color="auto"/>
            <w:right w:val="none" w:sz="0" w:space="0" w:color="auto"/>
          </w:divBdr>
          <w:divsChild>
            <w:div w:id="732393659">
              <w:marLeft w:val="0"/>
              <w:marRight w:val="0"/>
              <w:marTop w:val="0"/>
              <w:marBottom w:val="0"/>
              <w:divBdr>
                <w:top w:val="none" w:sz="0" w:space="0" w:color="auto"/>
                <w:left w:val="none" w:sz="0" w:space="0" w:color="auto"/>
                <w:bottom w:val="none" w:sz="0" w:space="0" w:color="auto"/>
                <w:right w:val="none" w:sz="0" w:space="0" w:color="auto"/>
              </w:divBdr>
              <w:divsChild>
                <w:div w:id="1091271944">
                  <w:marLeft w:val="0"/>
                  <w:marRight w:val="0"/>
                  <w:marTop w:val="120"/>
                  <w:marBottom w:val="0"/>
                  <w:divBdr>
                    <w:top w:val="none" w:sz="0" w:space="0" w:color="auto"/>
                    <w:left w:val="none" w:sz="0" w:space="0" w:color="auto"/>
                    <w:bottom w:val="none" w:sz="0" w:space="0" w:color="auto"/>
                    <w:right w:val="none" w:sz="0" w:space="0" w:color="auto"/>
                  </w:divBdr>
                </w:div>
                <w:div w:id="1466892522">
                  <w:marLeft w:val="0"/>
                  <w:marRight w:val="0"/>
                  <w:marTop w:val="0"/>
                  <w:marBottom w:val="0"/>
                  <w:divBdr>
                    <w:top w:val="none" w:sz="0" w:space="0" w:color="auto"/>
                    <w:left w:val="none" w:sz="0" w:space="0" w:color="auto"/>
                    <w:bottom w:val="none" w:sz="0" w:space="0" w:color="auto"/>
                    <w:right w:val="none" w:sz="0" w:space="0" w:color="auto"/>
                  </w:divBdr>
                </w:div>
              </w:divsChild>
            </w:div>
            <w:div w:id="1228762128">
              <w:marLeft w:val="0"/>
              <w:marRight w:val="0"/>
              <w:marTop w:val="0"/>
              <w:marBottom w:val="0"/>
              <w:divBdr>
                <w:top w:val="none" w:sz="0" w:space="0" w:color="auto"/>
                <w:left w:val="none" w:sz="0" w:space="0" w:color="auto"/>
                <w:bottom w:val="none" w:sz="0" w:space="0" w:color="auto"/>
                <w:right w:val="none" w:sz="0" w:space="0" w:color="auto"/>
              </w:divBdr>
              <w:divsChild>
                <w:div w:id="1732728764">
                  <w:marLeft w:val="0"/>
                  <w:marRight w:val="0"/>
                  <w:marTop w:val="120"/>
                  <w:marBottom w:val="0"/>
                  <w:divBdr>
                    <w:top w:val="none" w:sz="0" w:space="0" w:color="auto"/>
                    <w:left w:val="none" w:sz="0" w:space="0" w:color="auto"/>
                    <w:bottom w:val="none" w:sz="0" w:space="0" w:color="auto"/>
                    <w:right w:val="none" w:sz="0" w:space="0" w:color="auto"/>
                  </w:divBdr>
                </w:div>
                <w:div w:id="163741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42492">
      <w:bodyDiv w:val="1"/>
      <w:marLeft w:val="0"/>
      <w:marRight w:val="0"/>
      <w:marTop w:val="0"/>
      <w:marBottom w:val="0"/>
      <w:divBdr>
        <w:top w:val="none" w:sz="0" w:space="0" w:color="auto"/>
        <w:left w:val="none" w:sz="0" w:space="0" w:color="auto"/>
        <w:bottom w:val="none" w:sz="0" w:space="0" w:color="auto"/>
        <w:right w:val="none" w:sz="0" w:space="0" w:color="auto"/>
      </w:divBdr>
      <w:divsChild>
        <w:div w:id="575013356">
          <w:marLeft w:val="0"/>
          <w:marRight w:val="0"/>
          <w:marTop w:val="0"/>
          <w:marBottom w:val="0"/>
          <w:divBdr>
            <w:top w:val="none" w:sz="0" w:space="0" w:color="auto"/>
            <w:left w:val="none" w:sz="0" w:space="0" w:color="auto"/>
            <w:bottom w:val="none" w:sz="0" w:space="0" w:color="auto"/>
            <w:right w:val="none" w:sz="0" w:space="0" w:color="auto"/>
          </w:divBdr>
        </w:div>
      </w:divsChild>
    </w:div>
    <w:div w:id="809633273">
      <w:bodyDiv w:val="1"/>
      <w:marLeft w:val="0"/>
      <w:marRight w:val="0"/>
      <w:marTop w:val="0"/>
      <w:marBottom w:val="0"/>
      <w:divBdr>
        <w:top w:val="none" w:sz="0" w:space="0" w:color="auto"/>
        <w:left w:val="none" w:sz="0" w:space="0" w:color="auto"/>
        <w:bottom w:val="none" w:sz="0" w:space="0" w:color="auto"/>
        <w:right w:val="none" w:sz="0" w:space="0" w:color="auto"/>
      </w:divBdr>
      <w:divsChild>
        <w:div w:id="870605982">
          <w:marLeft w:val="0"/>
          <w:marRight w:val="0"/>
          <w:marTop w:val="0"/>
          <w:marBottom w:val="0"/>
          <w:divBdr>
            <w:top w:val="none" w:sz="0" w:space="0" w:color="auto"/>
            <w:left w:val="none" w:sz="0" w:space="0" w:color="auto"/>
            <w:bottom w:val="none" w:sz="0" w:space="0" w:color="auto"/>
            <w:right w:val="none" w:sz="0" w:space="0" w:color="auto"/>
          </w:divBdr>
        </w:div>
      </w:divsChild>
    </w:div>
    <w:div w:id="811748979">
      <w:bodyDiv w:val="1"/>
      <w:marLeft w:val="0"/>
      <w:marRight w:val="0"/>
      <w:marTop w:val="0"/>
      <w:marBottom w:val="0"/>
      <w:divBdr>
        <w:top w:val="none" w:sz="0" w:space="0" w:color="auto"/>
        <w:left w:val="none" w:sz="0" w:space="0" w:color="auto"/>
        <w:bottom w:val="none" w:sz="0" w:space="0" w:color="auto"/>
        <w:right w:val="none" w:sz="0" w:space="0" w:color="auto"/>
      </w:divBdr>
      <w:divsChild>
        <w:div w:id="958996900">
          <w:marLeft w:val="0"/>
          <w:marRight w:val="0"/>
          <w:marTop w:val="120"/>
          <w:marBottom w:val="0"/>
          <w:divBdr>
            <w:top w:val="none" w:sz="0" w:space="0" w:color="auto"/>
            <w:left w:val="none" w:sz="0" w:space="0" w:color="auto"/>
            <w:bottom w:val="none" w:sz="0" w:space="0" w:color="auto"/>
            <w:right w:val="none" w:sz="0" w:space="0" w:color="auto"/>
          </w:divBdr>
        </w:div>
        <w:div w:id="584149581">
          <w:marLeft w:val="0"/>
          <w:marRight w:val="0"/>
          <w:marTop w:val="0"/>
          <w:marBottom w:val="0"/>
          <w:divBdr>
            <w:top w:val="none" w:sz="0" w:space="0" w:color="auto"/>
            <w:left w:val="none" w:sz="0" w:space="0" w:color="auto"/>
            <w:bottom w:val="none" w:sz="0" w:space="0" w:color="auto"/>
            <w:right w:val="none" w:sz="0" w:space="0" w:color="auto"/>
          </w:divBdr>
        </w:div>
      </w:divsChild>
    </w:div>
    <w:div w:id="828713336">
      <w:bodyDiv w:val="1"/>
      <w:marLeft w:val="0"/>
      <w:marRight w:val="0"/>
      <w:marTop w:val="0"/>
      <w:marBottom w:val="0"/>
      <w:divBdr>
        <w:top w:val="none" w:sz="0" w:space="0" w:color="auto"/>
        <w:left w:val="none" w:sz="0" w:space="0" w:color="auto"/>
        <w:bottom w:val="none" w:sz="0" w:space="0" w:color="auto"/>
        <w:right w:val="none" w:sz="0" w:space="0" w:color="auto"/>
      </w:divBdr>
    </w:div>
    <w:div w:id="831288899">
      <w:bodyDiv w:val="1"/>
      <w:marLeft w:val="0"/>
      <w:marRight w:val="0"/>
      <w:marTop w:val="0"/>
      <w:marBottom w:val="0"/>
      <w:divBdr>
        <w:top w:val="none" w:sz="0" w:space="0" w:color="auto"/>
        <w:left w:val="none" w:sz="0" w:space="0" w:color="auto"/>
        <w:bottom w:val="none" w:sz="0" w:space="0" w:color="auto"/>
        <w:right w:val="none" w:sz="0" w:space="0" w:color="auto"/>
      </w:divBdr>
      <w:divsChild>
        <w:div w:id="1155341318">
          <w:marLeft w:val="0"/>
          <w:marRight w:val="0"/>
          <w:marTop w:val="120"/>
          <w:marBottom w:val="0"/>
          <w:divBdr>
            <w:top w:val="none" w:sz="0" w:space="0" w:color="auto"/>
            <w:left w:val="none" w:sz="0" w:space="0" w:color="auto"/>
            <w:bottom w:val="none" w:sz="0" w:space="0" w:color="auto"/>
            <w:right w:val="none" w:sz="0" w:space="0" w:color="auto"/>
          </w:divBdr>
        </w:div>
        <w:div w:id="859468946">
          <w:marLeft w:val="0"/>
          <w:marRight w:val="0"/>
          <w:marTop w:val="0"/>
          <w:marBottom w:val="0"/>
          <w:divBdr>
            <w:top w:val="none" w:sz="0" w:space="0" w:color="auto"/>
            <w:left w:val="none" w:sz="0" w:space="0" w:color="auto"/>
            <w:bottom w:val="none" w:sz="0" w:space="0" w:color="auto"/>
            <w:right w:val="none" w:sz="0" w:space="0" w:color="auto"/>
          </w:divBdr>
        </w:div>
      </w:divsChild>
    </w:div>
    <w:div w:id="835531399">
      <w:bodyDiv w:val="1"/>
      <w:marLeft w:val="0"/>
      <w:marRight w:val="0"/>
      <w:marTop w:val="0"/>
      <w:marBottom w:val="0"/>
      <w:divBdr>
        <w:top w:val="none" w:sz="0" w:space="0" w:color="auto"/>
        <w:left w:val="none" w:sz="0" w:space="0" w:color="auto"/>
        <w:bottom w:val="none" w:sz="0" w:space="0" w:color="auto"/>
        <w:right w:val="none" w:sz="0" w:space="0" w:color="auto"/>
      </w:divBdr>
      <w:divsChild>
        <w:div w:id="283512000">
          <w:marLeft w:val="0"/>
          <w:marRight w:val="0"/>
          <w:marTop w:val="0"/>
          <w:marBottom w:val="0"/>
          <w:divBdr>
            <w:top w:val="none" w:sz="0" w:space="0" w:color="auto"/>
            <w:left w:val="none" w:sz="0" w:space="0" w:color="auto"/>
            <w:bottom w:val="none" w:sz="0" w:space="0" w:color="auto"/>
            <w:right w:val="none" w:sz="0" w:space="0" w:color="auto"/>
          </w:divBdr>
          <w:divsChild>
            <w:div w:id="1583683866">
              <w:marLeft w:val="0"/>
              <w:marRight w:val="0"/>
              <w:marTop w:val="0"/>
              <w:marBottom w:val="0"/>
              <w:divBdr>
                <w:top w:val="none" w:sz="0" w:space="0" w:color="auto"/>
                <w:left w:val="none" w:sz="0" w:space="0" w:color="auto"/>
                <w:bottom w:val="none" w:sz="0" w:space="0" w:color="auto"/>
                <w:right w:val="none" w:sz="0" w:space="0" w:color="auto"/>
              </w:divBdr>
              <w:divsChild>
                <w:div w:id="1450080962">
                  <w:marLeft w:val="0"/>
                  <w:marRight w:val="0"/>
                  <w:marTop w:val="0"/>
                  <w:marBottom w:val="0"/>
                  <w:divBdr>
                    <w:top w:val="none" w:sz="0" w:space="0" w:color="auto"/>
                    <w:left w:val="none" w:sz="0" w:space="0" w:color="auto"/>
                    <w:bottom w:val="none" w:sz="0" w:space="0" w:color="auto"/>
                    <w:right w:val="none" w:sz="0" w:space="0" w:color="auto"/>
                  </w:divBdr>
                  <w:divsChild>
                    <w:div w:id="95487297">
                      <w:marLeft w:val="0"/>
                      <w:marRight w:val="0"/>
                      <w:marTop w:val="120"/>
                      <w:marBottom w:val="0"/>
                      <w:divBdr>
                        <w:top w:val="none" w:sz="0" w:space="0" w:color="auto"/>
                        <w:left w:val="none" w:sz="0" w:space="0" w:color="auto"/>
                        <w:bottom w:val="none" w:sz="0" w:space="0" w:color="auto"/>
                        <w:right w:val="none" w:sz="0" w:space="0" w:color="auto"/>
                      </w:divBdr>
                    </w:div>
                    <w:div w:id="309679726">
                      <w:marLeft w:val="0"/>
                      <w:marRight w:val="0"/>
                      <w:marTop w:val="0"/>
                      <w:marBottom w:val="0"/>
                      <w:divBdr>
                        <w:top w:val="none" w:sz="0" w:space="0" w:color="auto"/>
                        <w:left w:val="none" w:sz="0" w:space="0" w:color="auto"/>
                        <w:bottom w:val="none" w:sz="0" w:space="0" w:color="auto"/>
                        <w:right w:val="none" w:sz="0" w:space="0" w:color="auto"/>
                      </w:divBdr>
                    </w:div>
                  </w:divsChild>
                </w:div>
                <w:div w:id="2000108066">
                  <w:marLeft w:val="0"/>
                  <w:marRight w:val="0"/>
                  <w:marTop w:val="0"/>
                  <w:marBottom w:val="0"/>
                  <w:divBdr>
                    <w:top w:val="none" w:sz="0" w:space="0" w:color="auto"/>
                    <w:left w:val="none" w:sz="0" w:space="0" w:color="auto"/>
                    <w:bottom w:val="none" w:sz="0" w:space="0" w:color="auto"/>
                    <w:right w:val="none" w:sz="0" w:space="0" w:color="auto"/>
                  </w:divBdr>
                  <w:divsChild>
                    <w:div w:id="155077746">
                      <w:marLeft w:val="0"/>
                      <w:marRight w:val="0"/>
                      <w:marTop w:val="120"/>
                      <w:marBottom w:val="0"/>
                      <w:divBdr>
                        <w:top w:val="none" w:sz="0" w:space="0" w:color="auto"/>
                        <w:left w:val="none" w:sz="0" w:space="0" w:color="auto"/>
                        <w:bottom w:val="none" w:sz="0" w:space="0" w:color="auto"/>
                        <w:right w:val="none" w:sz="0" w:space="0" w:color="auto"/>
                      </w:divBdr>
                    </w:div>
                    <w:div w:id="1388525995">
                      <w:marLeft w:val="0"/>
                      <w:marRight w:val="0"/>
                      <w:marTop w:val="0"/>
                      <w:marBottom w:val="0"/>
                      <w:divBdr>
                        <w:top w:val="none" w:sz="0" w:space="0" w:color="auto"/>
                        <w:left w:val="none" w:sz="0" w:space="0" w:color="auto"/>
                        <w:bottom w:val="none" w:sz="0" w:space="0" w:color="auto"/>
                        <w:right w:val="none" w:sz="0" w:space="0" w:color="auto"/>
                      </w:divBdr>
                    </w:div>
                  </w:divsChild>
                </w:div>
                <w:div w:id="968434142">
                  <w:marLeft w:val="0"/>
                  <w:marRight w:val="0"/>
                  <w:marTop w:val="0"/>
                  <w:marBottom w:val="0"/>
                  <w:divBdr>
                    <w:top w:val="none" w:sz="0" w:space="0" w:color="auto"/>
                    <w:left w:val="none" w:sz="0" w:space="0" w:color="auto"/>
                    <w:bottom w:val="none" w:sz="0" w:space="0" w:color="auto"/>
                    <w:right w:val="none" w:sz="0" w:space="0" w:color="auto"/>
                  </w:divBdr>
                  <w:divsChild>
                    <w:div w:id="1038311235">
                      <w:marLeft w:val="0"/>
                      <w:marRight w:val="0"/>
                      <w:marTop w:val="120"/>
                      <w:marBottom w:val="0"/>
                      <w:divBdr>
                        <w:top w:val="none" w:sz="0" w:space="0" w:color="auto"/>
                        <w:left w:val="none" w:sz="0" w:space="0" w:color="auto"/>
                        <w:bottom w:val="none" w:sz="0" w:space="0" w:color="auto"/>
                        <w:right w:val="none" w:sz="0" w:space="0" w:color="auto"/>
                      </w:divBdr>
                    </w:div>
                    <w:div w:id="61617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455733">
      <w:bodyDiv w:val="1"/>
      <w:marLeft w:val="0"/>
      <w:marRight w:val="0"/>
      <w:marTop w:val="0"/>
      <w:marBottom w:val="0"/>
      <w:divBdr>
        <w:top w:val="none" w:sz="0" w:space="0" w:color="auto"/>
        <w:left w:val="none" w:sz="0" w:space="0" w:color="auto"/>
        <w:bottom w:val="none" w:sz="0" w:space="0" w:color="auto"/>
        <w:right w:val="none" w:sz="0" w:space="0" w:color="auto"/>
      </w:divBdr>
      <w:divsChild>
        <w:div w:id="230895233">
          <w:marLeft w:val="0"/>
          <w:marRight w:val="0"/>
          <w:marTop w:val="0"/>
          <w:marBottom w:val="0"/>
          <w:divBdr>
            <w:top w:val="none" w:sz="0" w:space="0" w:color="auto"/>
            <w:left w:val="none" w:sz="0" w:space="0" w:color="auto"/>
            <w:bottom w:val="none" w:sz="0" w:space="0" w:color="auto"/>
            <w:right w:val="none" w:sz="0" w:space="0" w:color="auto"/>
          </w:divBdr>
        </w:div>
      </w:divsChild>
    </w:div>
    <w:div w:id="837038905">
      <w:bodyDiv w:val="1"/>
      <w:marLeft w:val="0"/>
      <w:marRight w:val="0"/>
      <w:marTop w:val="0"/>
      <w:marBottom w:val="0"/>
      <w:divBdr>
        <w:top w:val="none" w:sz="0" w:space="0" w:color="auto"/>
        <w:left w:val="none" w:sz="0" w:space="0" w:color="auto"/>
        <w:bottom w:val="none" w:sz="0" w:space="0" w:color="auto"/>
        <w:right w:val="none" w:sz="0" w:space="0" w:color="auto"/>
      </w:divBdr>
      <w:divsChild>
        <w:div w:id="1211187920">
          <w:marLeft w:val="0"/>
          <w:marRight w:val="0"/>
          <w:marTop w:val="0"/>
          <w:marBottom w:val="0"/>
          <w:divBdr>
            <w:top w:val="none" w:sz="0" w:space="0" w:color="auto"/>
            <w:left w:val="none" w:sz="0" w:space="0" w:color="auto"/>
            <w:bottom w:val="none" w:sz="0" w:space="0" w:color="auto"/>
            <w:right w:val="none" w:sz="0" w:space="0" w:color="auto"/>
          </w:divBdr>
        </w:div>
      </w:divsChild>
    </w:div>
    <w:div w:id="840313490">
      <w:bodyDiv w:val="1"/>
      <w:marLeft w:val="0"/>
      <w:marRight w:val="0"/>
      <w:marTop w:val="0"/>
      <w:marBottom w:val="0"/>
      <w:divBdr>
        <w:top w:val="none" w:sz="0" w:space="0" w:color="auto"/>
        <w:left w:val="none" w:sz="0" w:space="0" w:color="auto"/>
        <w:bottom w:val="none" w:sz="0" w:space="0" w:color="auto"/>
        <w:right w:val="none" w:sz="0" w:space="0" w:color="auto"/>
      </w:divBdr>
      <w:divsChild>
        <w:div w:id="1804541378">
          <w:marLeft w:val="0"/>
          <w:marRight w:val="0"/>
          <w:marTop w:val="0"/>
          <w:marBottom w:val="0"/>
          <w:divBdr>
            <w:top w:val="none" w:sz="0" w:space="0" w:color="auto"/>
            <w:left w:val="none" w:sz="0" w:space="0" w:color="auto"/>
            <w:bottom w:val="none" w:sz="0" w:space="0" w:color="auto"/>
            <w:right w:val="none" w:sz="0" w:space="0" w:color="auto"/>
          </w:divBdr>
        </w:div>
      </w:divsChild>
    </w:div>
    <w:div w:id="846747745">
      <w:bodyDiv w:val="1"/>
      <w:marLeft w:val="0"/>
      <w:marRight w:val="0"/>
      <w:marTop w:val="0"/>
      <w:marBottom w:val="0"/>
      <w:divBdr>
        <w:top w:val="none" w:sz="0" w:space="0" w:color="auto"/>
        <w:left w:val="none" w:sz="0" w:space="0" w:color="auto"/>
        <w:bottom w:val="none" w:sz="0" w:space="0" w:color="auto"/>
        <w:right w:val="none" w:sz="0" w:space="0" w:color="auto"/>
      </w:divBdr>
      <w:divsChild>
        <w:div w:id="672029166">
          <w:marLeft w:val="0"/>
          <w:marRight w:val="0"/>
          <w:marTop w:val="0"/>
          <w:marBottom w:val="0"/>
          <w:divBdr>
            <w:top w:val="none" w:sz="0" w:space="0" w:color="auto"/>
            <w:left w:val="none" w:sz="0" w:space="0" w:color="auto"/>
            <w:bottom w:val="none" w:sz="0" w:space="0" w:color="auto"/>
            <w:right w:val="none" w:sz="0" w:space="0" w:color="auto"/>
          </w:divBdr>
          <w:divsChild>
            <w:div w:id="259801760">
              <w:marLeft w:val="0"/>
              <w:marRight w:val="0"/>
              <w:marTop w:val="0"/>
              <w:marBottom w:val="0"/>
              <w:divBdr>
                <w:top w:val="none" w:sz="0" w:space="0" w:color="auto"/>
                <w:left w:val="none" w:sz="0" w:space="0" w:color="auto"/>
                <w:bottom w:val="none" w:sz="0" w:space="0" w:color="auto"/>
                <w:right w:val="none" w:sz="0" w:space="0" w:color="auto"/>
              </w:divBdr>
              <w:divsChild>
                <w:div w:id="1458066882">
                  <w:marLeft w:val="0"/>
                  <w:marRight w:val="0"/>
                  <w:marTop w:val="120"/>
                  <w:marBottom w:val="0"/>
                  <w:divBdr>
                    <w:top w:val="none" w:sz="0" w:space="0" w:color="auto"/>
                    <w:left w:val="none" w:sz="0" w:space="0" w:color="auto"/>
                    <w:bottom w:val="none" w:sz="0" w:space="0" w:color="auto"/>
                    <w:right w:val="none" w:sz="0" w:space="0" w:color="auto"/>
                  </w:divBdr>
                </w:div>
                <w:div w:id="263614038">
                  <w:marLeft w:val="0"/>
                  <w:marRight w:val="0"/>
                  <w:marTop w:val="0"/>
                  <w:marBottom w:val="0"/>
                  <w:divBdr>
                    <w:top w:val="none" w:sz="0" w:space="0" w:color="auto"/>
                    <w:left w:val="none" w:sz="0" w:space="0" w:color="auto"/>
                    <w:bottom w:val="none" w:sz="0" w:space="0" w:color="auto"/>
                    <w:right w:val="none" w:sz="0" w:space="0" w:color="auto"/>
                  </w:divBdr>
                </w:div>
              </w:divsChild>
            </w:div>
            <w:div w:id="1550262130">
              <w:marLeft w:val="0"/>
              <w:marRight w:val="0"/>
              <w:marTop w:val="0"/>
              <w:marBottom w:val="0"/>
              <w:divBdr>
                <w:top w:val="none" w:sz="0" w:space="0" w:color="auto"/>
                <w:left w:val="none" w:sz="0" w:space="0" w:color="auto"/>
                <w:bottom w:val="none" w:sz="0" w:space="0" w:color="auto"/>
                <w:right w:val="none" w:sz="0" w:space="0" w:color="auto"/>
              </w:divBdr>
              <w:divsChild>
                <w:div w:id="2106877793">
                  <w:marLeft w:val="0"/>
                  <w:marRight w:val="0"/>
                  <w:marTop w:val="120"/>
                  <w:marBottom w:val="0"/>
                  <w:divBdr>
                    <w:top w:val="none" w:sz="0" w:space="0" w:color="auto"/>
                    <w:left w:val="none" w:sz="0" w:space="0" w:color="auto"/>
                    <w:bottom w:val="none" w:sz="0" w:space="0" w:color="auto"/>
                    <w:right w:val="none" w:sz="0" w:space="0" w:color="auto"/>
                  </w:divBdr>
                </w:div>
                <w:div w:id="215967443">
                  <w:marLeft w:val="0"/>
                  <w:marRight w:val="0"/>
                  <w:marTop w:val="0"/>
                  <w:marBottom w:val="0"/>
                  <w:divBdr>
                    <w:top w:val="none" w:sz="0" w:space="0" w:color="auto"/>
                    <w:left w:val="none" w:sz="0" w:space="0" w:color="auto"/>
                    <w:bottom w:val="none" w:sz="0" w:space="0" w:color="auto"/>
                    <w:right w:val="none" w:sz="0" w:space="0" w:color="auto"/>
                  </w:divBdr>
                </w:div>
              </w:divsChild>
            </w:div>
            <w:div w:id="163133975">
              <w:marLeft w:val="0"/>
              <w:marRight w:val="0"/>
              <w:marTop w:val="0"/>
              <w:marBottom w:val="0"/>
              <w:divBdr>
                <w:top w:val="none" w:sz="0" w:space="0" w:color="auto"/>
                <w:left w:val="none" w:sz="0" w:space="0" w:color="auto"/>
                <w:bottom w:val="none" w:sz="0" w:space="0" w:color="auto"/>
                <w:right w:val="none" w:sz="0" w:space="0" w:color="auto"/>
              </w:divBdr>
              <w:divsChild>
                <w:div w:id="2078746605">
                  <w:marLeft w:val="0"/>
                  <w:marRight w:val="0"/>
                  <w:marTop w:val="120"/>
                  <w:marBottom w:val="0"/>
                  <w:divBdr>
                    <w:top w:val="none" w:sz="0" w:space="0" w:color="auto"/>
                    <w:left w:val="none" w:sz="0" w:space="0" w:color="auto"/>
                    <w:bottom w:val="none" w:sz="0" w:space="0" w:color="auto"/>
                    <w:right w:val="none" w:sz="0" w:space="0" w:color="auto"/>
                  </w:divBdr>
                </w:div>
                <w:div w:id="1138109463">
                  <w:marLeft w:val="0"/>
                  <w:marRight w:val="0"/>
                  <w:marTop w:val="0"/>
                  <w:marBottom w:val="0"/>
                  <w:divBdr>
                    <w:top w:val="none" w:sz="0" w:space="0" w:color="auto"/>
                    <w:left w:val="none" w:sz="0" w:space="0" w:color="auto"/>
                    <w:bottom w:val="none" w:sz="0" w:space="0" w:color="auto"/>
                    <w:right w:val="none" w:sz="0" w:space="0" w:color="auto"/>
                  </w:divBdr>
                </w:div>
              </w:divsChild>
            </w:div>
            <w:div w:id="1963880483">
              <w:marLeft w:val="0"/>
              <w:marRight w:val="0"/>
              <w:marTop w:val="0"/>
              <w:marBottom w:val="0"/>
              <w:divBdr>
                <w:top w:val="none" w:sz="0" w:space="0" w:color="auto"/>
                <w:left w:val="none" w:sz="0" w:space="0" w:color="auto"/>
                <w:bottom w:val="none" w:sz="0" w:space="0" w:color="auto"/>
                <w:right w:val="none" w:sz="0" w:space="0" w:color="auto"/>
              </w:divBdr>
              <w:divsChild>
                <w:div w:id="578444883">
                  <w:marLeft w:val="0"/>
                  <w:marRight w:val="0"/>
                  <w:marTop w:val="120"/>
                  <w:marBottom w:val="0"/>
                  <w:divBdr>
                    <w:top w:val="none" w:sz="0" w:space="0" w:color="auto"/>
                    <w:left w:val="none" w:sz="0" w:space="0" w:color="auto"/>
                    <w:bottom w:val="none" w:sz="0" w:space="0" w:color="auto"/>
                    <w:right w:val="none" w:sz="0" w:space="0" w:color="auto"/>
                  </w:divBdr>
                </w:div>
                <w:div w:id="824130834">
                  <w:marLeft w:val="0"/>
                  <w:marRight w:val="0"/>
                  <w:marTop w:val="0"/>
                  <w:marBottom w:val="0"/>
                  <w:divBdr>
                    <w:top w:val="none" w:sz="0" w:space="0" w:color="auto"/>
                    <w:left w:val="none" w:sz="0" w:space="0" w:color="auto"/>
                    <w:bottom w:val="none" w:sz="0" w:space="0" w:color="auto"/>
                    <w:right w:val="none" w:sz="0" w:space="0" w:color="auto"/>
                  </w:divBdr>
                </w:div>
              </w:divsChild>
            </w:div>
            <w:div w:id="281496132">
              <w:marLeft w:val="0"/>
              <w:marRight w:val="0"/>
              <w:marTop w:val="0"/>
              <w:marBottom w:val="0"/>
              <w:divBdr>
                <w:top w:val="none" w:sz="0" w:space="0" w:color="auto"/>
                <w:left w:val="none" w:sz="0" w:space="0" w:color="auto"/>
                <w:bottom w:val="none" w:sz="0" w:space="0" w:color="auto"/>
                <w:right w:val="none" w:sz="0" w:space="0" w:color="auto"/>
              </w:divBdr>
              <w:divsChild>
                <w:div w:id="340545375">
                  <w:marLeft w:val="0"/>
                  <w:marRight w:val="0"/>
                  <w:marTop w:val="120"/>
                  <w:marBottom w:val="0"/>
                  <w:divBdr>
                    <w:top w:val="none" w:sz="0" w:space="0" w:color="auto"/>
                    <w:left w:val="none" w:sz="0" w:space="0" w:color="auto"/>
                    <w:bottom w:val="none" w:sz="0" w:space="0" w:color="auto"/>
                    <w:right w:val="none" w:sz="0" w:space="0" w:color="auto"/>
                  </w:divBdr>
                </w:div>
                <w:div w:id="3431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45436">
      <w:bodyDiv w:val="1"/>
      <w:marLeft w:val="0"/>
      <w:marRight w:val="0"/>
      <w:marTop w:val="0"/>
      <w:marBottom w:val="0"/>
      <w:divBdr>
        <w:top w:val="none" w:sz="0" w:space="0" w:color="auto"/>
        <w:left w:val="none" w:sz="0" w:space="0" w:color="auto"/>
        <w:bottom w:val="none" w:sz="0" w:space="0" w:color="auto"/>
        <w:right w:val="none" w:sz="0" w:space="0" w:color="auto"/>
      </w:divBdr>
      <w:divsChild>
        <w:div w:id="323633197">
          <w:marLeft w:val="0"/>
          <w:marRight w:val="0"/>
          <w:marTop w:val="120"/>
          <w:marBottom w:val="0"/>
          <w:divBdr>
            <w:top w:val="none" w:sz="0" w:space="0" w:color="auto"/>
            <w:left w:val="none" w:sz="0" w:space="0" w:color="auto"/>
            <w:bottom w:val="none" w:sz="0" w:space="0" w:color="auto"/>
            <w:right w:val="none" w:sz="0" w:space="0" w:color="auto"/>
          </w:divBdr>
        </w:div>
        <w:div w:id="176232698">
          <w:marLeft w:val="0"/>
          <w:marRight w:val="0"/>
          <w:marTop w:val="0"/>
          <w:marBottom w:val="0"/>
          <w:divBdr>
            <w:top w:val="none" w:sz="0" w:space="0" w:color="auto"/>
            <w:left w:val="none" w:sz="0" w:space="0" w:color="auto"/>
            <w:bottom w:val="none" w:sz="0" w:space="0" w:color="auto"/>
            <w:right w:val="none" w:sz="0" w:space="0" w:color="auto"/>
          </w:divBdr>
        </w:div>
      </w:divsChild>
    </w:div>
    <w:div w:id="848911537">
      <w:bodyDiv w:val="1"/>
      <w:marLeft w:val="0"/>
      <w:marRight w:val="0"/>
      <w:marTop w:val="0"/>
      <w:marBottom w:val="0"/>
      <w:divBdr>
        <w:top w:val="none" w:sz="0" w:space="0" w:color="auto"/>
        <w:left w:val="none" w:sz="0" w:space="0" w:color="auto"/>
        <w:bottom w:val="none" w:sz="0" w:space="0" w:color="auto"/>
        <w:right w:val="none" w:sz="0" w:space="0" w:color="auto"/>
      </w:divBdr>
      <w:divsChild>
        <w:div w:id="174810941">
          <w:marLeft w:val="0"/>
          <w:marRight w:val="0"/>
          <w:marTop w:val="0"/>
          <w:marBottom w:val="0"/>
          <w:divBdr>
            <w:top w:val="none" w:sz="0" w:space="0" w:color="auto"/>
            <w:left w:val="none" w:sz="0" w:space="0" w:color="auto"/>
            <w:bottom w:val="none" w:sz="0" w:space="0" w:color="auto"/>
            <w:right w:val="none" w:sz="0" w:space="0" w:color="auto"/>
          </w:divBdr>
          <w:divsChild>
            <w:div w:id="311524292">
              <w:marLeft w:val="0"/>
              <w:marRight w:val="0"/>
              <w:marTop w:val="0"/>
              <w:marBottom w:val="0"/>
              <w:divBdr>
                <w:top w:val="none" w:sz="0" w:space="0" w:color="auto"/>
                <w:left w:val="none" w:sz="0" w:space="0" w:color="auto"/>
                <w:bottom w:val="none" w:sz="0" w:space="0" w:color="auto"/>
                <w:right w:val="none" w:sz="0" w:space="0" w:color="auto"/>
              </w:divBdr>
              <w:divsChild>
                <w:div w:id="2007590439">
                  <w:marLeft w:val="0"/>
                  <w:marRight w:val="0"/>
                  <w:marTop w:val="120"/>
                  <w:marBottom w:val="0"/>
                  <w:divBdr>
                    <w:top w:val="none" w:sz="0" w:space="0" w:color="auto"/>
                    <w:left w:val="none" w:sz="0" w:space="0" w:color="auto"/>
                    <w:bottom w:val="none" w:sz="0" w:space="0" w:color="auto"/>
                    <w:right w:val="none" w:sz="0" w:space="0" w:color="auto"/>
                  </w:divBdr>
                </w:div>
                <w:div w:id="124738593">
                  <w:marLeft w:val="0"/>
                  <w:marRight w:val="0"/>
                  <w:marTop w:val="0"/>
                  <w:marBottom w:val="0"/>
                  <w:divBdr>
                    <w:top w:val="none" w:sz="0" w:space="0" w:color="auto"/>
                    <w:left w:val="none" w:sz="0" w:space="0" w:color="auto"/>
                    <w:bottom w:val="none" w:sz="0" w:space="0" w:color="auto"/>
                    <w:right w:val="none" w:sz="0" w:space="0" w:color="auto"/>
                  </w:divBdr>
                </w:div>
              </w:divsChild>
            </w:div>
            <w:div w:id="474686826">
              <w:marLeft w:val="0"/>
              <w:marRight w:val="0"/>
              <w:marTop w:val="0"/>
              <w:marBottom w:val="0"/>
              <w:divBdr>
                <w:top w:val="none" w:sz="0" w:space="0" w:color="auto"/>
                <w:left w:val="none" w:sz="0" w:space="0" w:color="auto"/>
                <w:bottom w:val="none" w:sz="0" w:space="0" w:color="auto"/>
                <w:right w:val="none" w:sz="0" w:space="0" w:color="auto"/>
              </w:divBdr>
              <w:divsChild>
                <w:div w:id="1156720633">
                  <w:marLeft w:val="0"/>
                  <w:marRight w:val="0"/>
                  <w:marTop w:val="120"/>
                  <w:marBottom w:val="0"/>
                  <w:divBdr>
                    <w:top w:val="none" w:sz="0" w:space="0" w:color="auto"/>
                    <w:left w:val="none" w:sz="0" w:space="0" w:color="auto"/>
                    <w:bottom w:val="none" w:sz="0" w:space="0" w:color="auto"/>
                    <w:right w:val="none" w:sz="0" w:space="0" w:color="auto"/>
                  </w:divBdr>
                </w:div>
                <w:div w:id="111948524">
                  <w:marLeft w:val="0"/>
                  <w:marRight w:val="0"/>
                  <w:marTop w:val="0"/>
                  <w:marBottom w:val="0"/>
                  <w:divBdr>
                    <w:top w:val="none" w:sz="0" w:space="0" w:color="auto"/>
                    <w:left w:val="none" w:sz="0" w:space="0" w:color="auto"/>
                    <w:bottom w:val="none" w:sz="0" w:space="0" w:color="auto"/>
                    <w:right w:val="none" w:sz="0" w:space="0" w:color="auto"/>
                  </w:divBdr>
                </w:div>
              </w:divsChild>
            </w:div>
            <w:div w:id="1464154903">
              <w:marLeft w:val="0"/>
              <w:marRight w:val="0"/>
              <w:marTop w:val="0"/>
              <w:marBottom w:val="0"/>
              <w:divBdr>
                <w:top w:val="none" w:sz="0" w:space="0" w:color="auto"/>
                <w:left w:val="none" w:sz="0" w:space="0" w:color="auto"/>
                <w:bottom w:val="none" w:sz="0" w:space="0" w:color="auto"/>
                <w:right w:val="none" w:sz="0" w:space="0" w:color="auto"/>
              </w:divBdr>
              <w:divsChild>
                <w:div w:id="1920551780">
                  <w:marLeft w:val="0"/>
                  <w:marRight w:val="0"/>
                  <w:marTop w:val="120"/>
                  <w:marBottom w:val="0"/>
                  <w:divBdr>
                    <w:top w:val="none" w:sz="0" w:space="0" w:color="auto"/>
                    <w:left w:val="none" w:sz="0" w:space="0" w:color="auto"/>
                    <w:bottom w:val="none" w:sz="0" w:space="0" w:color="auto"/>
                    <w:right w:val="none" w:sz="0" w:space="0" w:color="auto"/>
                  </w:divBdr>
                </w:div>
                <w:div w:id="122626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550">
      <w:bodyDiv w:val="1"/>
      <w:marLeft w:val="0"/>
      <w:marRight w:val="0"/>
      <w:marTop w:val="0"/>
      <w:marBottom w:val="0"/>
      <w:divBdr>
        <w:top w:val="none" w:sz="0" w:space="0" w:color="auto"/>
        <w:left w:val="none" w:sz="0" w:space="0" w:color="auto"/>
        <w:bottom w:val="none" w:sz="0" w:space="0" w:color="auto"/>
        <w:right w:val="none" w:sz="0" w:space="0" w:color="auto"/>
      </w:divBdr>
      <w:divsChild>
        <w:div w:id="53898446">
          <w:marLeft w:val="0"/>
          <w:marRight w:val="0"/>
          <w:marTop w:val="0"/>
          <w:marBottom w:val="0"/>
          <w:divBdr>
            <w:top w:val="none" w:sz="0" w:space="0" w:color="auto"/>
            <w:left w:val="none" w:sz="0" w:space="0" w:color="auto"/>
            <w:bottom w:val="none" w:sz="0" w:space="0" w:color="auto"/>
            <w:right w:val="none" w:sz="0" w:space="0" w:color="auto"/>
          </w:divBdr>
          <w:divsChild>
            <w:div w:id="1401713020">
              <w:marLeft w:val="0"/>
              <w:marRight w:val="0"/>
              <w:marTop w:val="0"/>
              <w:marBottom w:val="0"/>
              <w:divBdr>
                <w:top w:val="none" w:sz="0" w:space="0" w:color="auto"/>
                <w:left w:val="none" w:sz="0" w:space="0" w:color="auto"/>
                <w:bottom w:val="none" w:sz="0" w:space="0" w:color="auto"/>
                <w:right w:val="none" w:sz="0" w:space="0" w:color="auto"/>
              </w:divBdr>
              <w:divsChild>
                <w:div w:id="451829813">
                  <w:marLeft w:val="0"/>
                  <w:marRight w:val="0"/>
                  <w:marTop w:val="120"/>
                  <w:marBottom w:val="0"/>
                  <w:divBdr>
                    <w:top w:val="none" w:sz="0" w:space="0" w:color="auto"/>
                    <w:left w:val="none" w:sz="0" w:space="0" w:color="auto"/>
                    <w:bottom w:val="none" w:sz="0" w:space="0" w:color="auto"/>
                    <w:right w:val="none" w:sz="0" w:space="0" w:color="auto"/>
                  </w:divBdr>
                </w:div>
                <w:div w:id="87653974">
                  <w:marLeft w:val="0"/>
                  <w:marRight w:val="0"/>
                  <w:marTop w:val="0"/>
                  <w:marBottom w:val="0"/>
                  <w:divBdr>
                    <w:top w:val="none" w:sz="0" w:space="0" w:color="auto"/>
                    <w:left w:val="none" w:sz="0" w:space="0" w:color="auto"/>
                    <w:bottom w:val="none" w:sz="0" w:space="0" w:color="auto"/>
                    <w:right w:val="none" w:sz="0" w:space="0" w:color="auto"/>
                  </w:divBdr>
                </w:div>
              </w:divsChild>
            </w:div>
            <w:div w:id="495147470">
              <w:marLeft w:val="0"/>
              <w:marRight w:val="0"/>
              <w:marTop w:val="0"/>
              <w:marBottom w:val="0"/>
              <w:divBdr>
                <w:top w:val="none" w:sz="0" w:space="0" w:color="auto"/>
                <w:left w:val="none" w:sz="0" w:space="0" w:color="auto"/>
                <w:bottom w:val="none" w:sz="0" w:space="0" w:color="auto"/>
                <w:right w:val="none" w:sz="0" w:space="0" w:color="auto"/>
              </w:divBdr>
              <w:divsChild>
                <w:div w:id="1176925625">
                  <w:marLeft w:val="0"/>
                  <w:marRight w:val="0"/>
                  <w:marTop w:val="120"/>
                  <w:marBottom w:val="0"/>
                  <w:divBdr>
                    <w:top w:val="none" w:sz="0" w:space="0" w:color="auto"/>
                    <w:left w:val="none" w:sz="0" w:space="0" w:color="auto"/>
                    <w:bottom w:val="none" w:sz="0" w:space="0" w:color="auto"/>
                    <w:right w:val="none" w:sz="0" w:space="0" w:color="auto"/>
                  </w:divBdr>
                </w:div>
                <w:div w:id="1403867840">
                  <w:marLeft w:val="0"/>
                  <w:marRight w:val="0"/>
                  <w:marTop w:val="0"/>
                  <w:marBottom w:val="0"/>
                  <w:divBdr>
                    <w:top w:val="none" w:sz="0" w:space="0" w:color="auto"/>
                    <w:left w:val="none" w:sz="0" w:space="0" w:color="auto"/>
                    <w:bottom w:val="none" w:sz="0" w:space="0" w:color="auto"/>
                    <w:right w:val="none" w:sz="0" w:space="0" w:color="auto"/>
                  </w:divBdr>
                </w:div>
              </w:divsChild>
            </w:div>
            <w:div w:id="1327435842">
              <w:marLeft w:val="0"/>
              <w:marRight w:val="0"/>
              <w:marTop w:val="0"/>
              <w:marBottom w:val="0"/>
              <w:divBdr>
                <w:top w:val="none" w:sz="0" w:space="0" w:color="auto"/>
                <w:left w:val="none" w:sz="0" w:space="0" w:color="auto"/>
                <w:bottom w:val="none" w:sz="0" w:space="0" w:color="auto"/>
                <w:right w:val="none" w:sz="0" w:space="0" w:color="auto"/>
              </w:divBdr>
              <w:divsChild>
                <w:div w:id="1752503986">
                  <w:marLeft w:val="0"/>
                  <w:marRight w:val="0"/>
                  <w:marTop w:val="120"/>
                  <w:marBottom w:val="0"/>
                  <w:divBdr>
                    <w:top w:val="none" w:sz="0" w:space="0" w:color="auto"/>
                    <w:left w:val="none" w:sz="0" w:space="0" w:color="auto"/>
                    <w:bottom w:val="none" w:sz="0" w:space="0" w:color="auto"/>
                    <w:right w:val="none" w:sz="0" w:space="0" w:color="auto"/>
                  </w:divBdr>
                </w:div>
                <w:div w:id="642932301">
                  <w:marLeft w:val="0"/>
                  <w:marRight w:val="0"/>
                  <w:marTop w:val="0"/>
                  <w:marBottom w:val="0"/>
                  <w:divBdr>
                    <w:top w:val="none" w:sz="0" w:space="0" w:color="auto"/>
                    <w:left w:val="none" w:sz="0" w:space="0" w:color="auto"/>
                    <w:bottom w:val="none" w:sz="0" w:space="0" w:color="auto"/>
                    <w:right w:val="none" w:sz="0" w:space="0" w:color="auto"/>
                  </w:divBdr>
                </w:div>
              </w:divsChild>
            </w:div>
            <w:div w:id="2011441090">
              <w:marLeft w:val="0"/>
              <w:marRight w:val="0"/>
              <w:marTop w:val="0"/>
              <w:marBottom w:val="0"/>
              <w:divBdr>
                <w:top w:val="none" w:sz="0" w:space="0" w:color="auto"/>
                <w:left w:val="none" w:sz="0" w:space="0" w:color="auto"/>
                <w:bottom w:val="none" w:sz="0" w:space="0" w:color="auto"/>
                <w:right w:val="none" w:sz="0" w:space="0" w:color="auto"/>
              </w:divBdr>
              <w:divsChild>
                <w:div w:id="1400788270">
                  <w:marLeft w:val="0"/>
                  <w:marRight w:val="0"/>
                  <w:marTop w:val="120"/>
                  <w:marBottom w:val="0"/>
                  <w:divBdr>
                    <w:top w:val="none" w:sz="0" w:space="0" w:color="auto"/>
                    <w:left w:val="none" w:sz="0" w:space="0" w:color="auto"/>
                    <w:bottom w:val="none" w:sz="0" w:space="0" w:color="auto"/>
                    <w:right w:val="none" w:sz="0" w:space="0" w:color="auto"/>
                  </w:divBdr>
                </w:div>
                <w:div w:id="1433284237">
                  <w:marLeft w:val="0"/>
                  <w:marRight w:val="0"/>
                  <w:marTop w:val="0"/>
                  <w:marBottom w:val="0"/>
                  <w:divBdr>
                    <w:top w:val="none" w:sz="0" w:space="0" w:color="auto"/>
                    <w:left w:val="none" w:sz="0" w:space="0" w:color="auto"/>
                    <w:bottom w:val="none" w:sz="0" w:space="0" w:color="auto"/>
                    <w:right w:val="none" w:sz="0" w:space="0" w:color="auto"/>
                  </w:divBdr>
                </w:div>
              </w:divsChild>
            </w:div>
            <w:div w:id="2129622937">
              <w:marLeft w:val="0"/>
              <w:marRight w:val="0"/>
              <w:marTop w:val="0"/>
              <w:marBottom w:val="0"/>
              <w:divBdr>
                <w:top w:val="none" w:sz="0" w:space="0" w:color="auto"/>
                <w:left w:val="none" w:sz="0" w:space="0" w:color="auto"/>
                <w:bottom w:val="none" w:sz="0" w:space="0" w:color="auto"/>
                <w:right w:val="none" w:sz="0" w:space="0" w:color="auto"/>
              </w:divBdr>
              <w:divsChild>
                <w:div w:id="1168179597">
                  <w:marLeft w:val="0"/>
                  <w:marRight w:val="0"/>
                  <w:marTop w:val="120"/>
                  <w:marBottom w:val="0"/>
                  <w:divBdr>
                    <w:top w:val="none" w:sz="0" w:space="0" w:color="auto"/>
                    <w:left w:val="none" w:sz="0" w:space="0" w:color="auto"/>
                    <w:bottom w:val="none" w:sz="0" w:space="0" w:color="auto"/>
                    <w:right w:val="none" w:sz="0" w:space="0" w:color="auto"/>
                  </w:divBdr>
                </w:div>
                <w:div w:id="323121310">
                  <w:marLeft w:val="0"/>
                  <w:marRight w:val="0"/>
                  <w:marTop w:val="0"/>
                  <w:marBottom w:val="0"/>
                  <w:divBdr>
                    <w:top w:val="none" w:sz="0" w:space="0" w:color="auto"/>
                    <w:left w:val="none" w:sz="0" w:space="0" w:color="auto"/>
                    <w:bottom w:val="none" w:sz="0" w:space="0" w:color="auto"/>
                    <w:right w:val="none" w:sz="0" w:space="0" w:color="auto"/>
                  </w:divBdr>
                </w:div>
              </w:divsChild>
            </w:div>
            <w:div w:id="234701663">
              <w:marLeft w:val="0"/>
              <w:marRight w:val="0"/>
              <w:marTop w:val="0"/>
              <w:marBottom w:val="0"/>
              <w:divBdr>
                <w:top w:val="none" w:sz="0" w:space="0" w:color="auto"/>
                <w:left w:val="none" w:sz="0" w:space="0" w:color="auto"/>
                <w:bottom w:val="none" w:sz="0" w:space="0" w:color="auto"/>
                <w:right w:val="none" w:sz="0" w:space="0" w:color="auto"/>
              </w:divBdr>
              <w:divsChild>
                <w:div w:id="1383483861">
                  <w:marLeft w:val="0"/>
                  <w:marRight w:val="0"/>
                  <w:marTop w:val="120"/>
                  <w:marBottom w:val="0"/>
                  <w:divBdr>
                    <w:top w:val="none" w:sz="0" w:space="0" w:color="auto"/>
                    <w:left w:val="none" w:sz="0" w:space="0" w:color="auto"/>
                    <w:bottom w:val="none" w:sz="0" w:space="0" w:color="auto"/>
                    <w:right w:val="none" w:sz="0" w:space="0" w:color="auto"/>
                  </w:divBdr>
                </w:div>
                <w:div w:id="551625017">
                  <w:marLeft w:val="0"/>
                  <w:marRight w:val="0"/>
                  <w:marTop w:val="0"/>
                  <w:marBottom w:val="0"/>
                  <w:divBdr>
                    <w:top w:val="none" w:sz="0" w:space="0" w:color="auto"/>
                    <w:left w:val="none" w:sz="0" w:space="0" w:color="auto"/>
                    <w:bottom w:val="none" w:sz="0" w:space="0" w:color="auto"/>
                    <w:right w:val="none" w:sz="0" w:space="0" w:color="auto"/>
                  </w:divBdr>
                </w:div>
              </w:divsChild>
            </w:div>
            <w:div w:id="273826690">
              <w:marLeft w:val="0"/>
              <w:marRight w:val="0"/>
              <w:marTop w:val="0"/>
              <w:marBottom w:val="0"/>
              <w:divBdr>
                <w:top w:val="none" w:sz="0" w:space="0" w:color="auto"/>
                <w:left w:val="none" w:sz="0" w:space="0" w:color="auto"/>
                <w:bottom w:val="none" w:sz="0" w:space="0" w:color="auto"/>
                <w:right w:val="none" w:sz="0" w:space="0" w:color="auto"/>
              </w:divBdr>
              <w:divsChild>
                <w:div w:id="531192050">
                  <w:marLeft w:val="0"/>
                  <w:marRight w:val="0"/>
                  <w:marTop w:val="120"/>
                  <w:marBottom w:val="0"/>
                  <w:divBdr>
                    <w:top w:val="none" w:sz="0" w:space="0" w:color="auto"/>
                    <w:left w:val="none" w:sz="0" w:space="0" w:color="auto"/>
                    <w:bottom w:val="none" w:sz="0" w:space="0" w:color="auto"/>
                    <w:right w:val="none" w:sz="0" w:space="0" w:color="auto"/>
                  </w:divBdr>
                </w:div>
                <w:div w:id="1705330363">
                  <w:marLeft w:val="0"/>
                  <w:marRight w:val="0"/>
                  <w:marTop w:val="0"/>
                  <w:marBottom w:val="0"/>
                  <w:divBdr>
                    <w:top w:val="none" w:sz="0" w:space="0" w:color="auto"/>
                    <w:left w:val="none" w:sz="0" w:space="0" w:color="auto"/>
                    <w:bottom w:val="none" w:sz="0" w:space="0" w:color="auto"/>
                    <w:right w:val="none" w:sz="0" w:space="0" w:color="auto"/>
                  </w:divBdr>
                </w:div>
              </w:divsChild>
            </w:div>
            <w:div w:id="1977638248">
              <w:marLeft w:val="0"/>
              <w:marRight w:val="0"/>
              <w:marTop w:val="0"/>
              <w:marBottom w:val="0"/>
              <w:divBdr>
                <w:top w:val="none" w:sz="0" w:space="0" w:color="auto"/>
                <w:left w:val="none" w:sz="0" w:space="0" w:color="auto"/>
                <w:bottom w:val="none" w:sz="0" w:space="0" w:color="auto"/>
                <w:right w:val="none" w:sz="0" w:space="0" w:color="auto"/>
              </w:divBdr>
              <w:divsChild>
                <w:div w:id="1857495405">
                  <w:marLeft w:val="0"/>
                  <w:marRight w:val="0"/>
                  <w:marTop w:val="120"/>
                  <w:marBottom w:val="0"/>
                  <w:divBdr>
                    <w:top w:val="none" w:sz="0" w:space="0" w:color="auto"/>
                    <w:left w:val="none" w:sz="0" w:space="0" w:color="auto"/>
                    <w:bottom w:val="none" w:sz="0" w:space="0" w:color="auto"/>
                    <w:right w:val="none" w:sz="0" w:space="0" w:color="auto"/>
                  </w:divBdr>
                </w:div>
                <w:div w:id="181163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644440">
      <w:bodyDiv w:val="1"/>
      <w:marLeft w:val="0"/>
      <w:marRight w:val="0"/>
      <w:marTop w:val="0"/>
      <w:marBottom w:val="0"/>
      <w:divBdr>
        <w:top w:val="none" w:sz="0" w:space="0" w:color="auto"/>
        <w:left w:val="none" w:sz="0" w:space="0" w:color="auto"/>
        <w:bottom w:val="none" w:sz="0" w:space="0" w:color="auto"/>
        <w:right w:val="none" w:sz="0" w:space="0" w:color="auto"/>
      </w:divBdr>
      <w:divsChild>
        <w:div w:id="1860896606">
          <w:marLeft w:val="0"/>
          <w:marRight w:val="0"/>
          <w:marTop w:val="0"/>
          <w:marBottom w:val="0"/>
          <w:divBdr>
            <w:top w:val="none" w:sz="0" w:space="0" w:color="auto"/>
            <w:left w:val="none" w:sz="0" w:space="0" w:color="auto"/>
            <w:bottom w:val="none" w:sz="0" w:space="0" w:color="auto"/>
            <w:right w:val="none" w:sz="0" w:space="0" w:color="auto"/>
          </w:divBdr>
        </w:div>
      </w:divsChild>
    </w:div>
    <w:div w:id="860750934">
      <w:bodyDiv w:val="1"/>
      <w:marLeft w:val="0"/>
      <w:marRight w:val="0"/>
      <w:marTop w:val="0"/>
      <w:marBottom w:val="0"/>
      <w:divBdr>
        <w:top w:val="none" w:sz="0" w:space="0" w:color="auto"/>
        <w:left w:val="none" w:sz="0" w:space="0" w:color="auto"/>
        <w:bottom w:val="none" w:sz="0" w:space="0" w:color="auto"/>
        <w:right w:val="none" w:sz="0" w:space="0" w:color="auto"/>
      </w:divBdr>
      <w:divsChild>
        <w:div w:id="1578782600">
          <w:marLeft w:val="0"/>
          <w:marRight w:val="0"/>
          <w:marTop w:val="120"/>
          <w:marBottom w:val="0"/>
          <w:divBdr>
            <w:top w:val="none" w:sz="0" w:space="0" w:color="auto"/>
            <w:left w:val="none" w:sz="0" w:space="0" w:color="auto"/>
            <w:bottom w:val="none" w:sz="0" w:space="0" w:color="auto"/>
            <w:right w:val="none" w:sz="0" w:space="0" w:color="auto"/>
          </w:divBdr>
        </w:div>
        <w:div w:id="693306780">
          <w:marLeft w:val="0"/>
          <w:marRight w:val="0"/>
          <w:marTop w:val="0"/>
          <w:marBottom w:val="0"/>
          <w:divBdr>
            <w:top w:val="none" w:sz="0" w:space="0" w:color="auto"/>
            <w:left w:val="none" w:sz="0" w:space="0" w:color="auto"/>
            <w:bottom w:val="none" w:sz="0" w:space="0" w:color="auto"/>
            <w:right w:val="none" w:sz="0" w:space="0" w:color="auto"/>
          </w:divBdr>
        </w:div>
      </w:divsChild>
    </w:div>
    <w:div w:id="862979155">
      <w:bodyDiv w:val="1"/>
      <w:marLeft w:val="0"/>
      <w:marRight w:val="0"/>
      <w:marTop w:val="0"/>
      <w:marBottom w:val="0"/>
      <w:divBdr>
        <w:top w:val="none" w:sz="0" w:space="0" w:color="auto"/>
        <w:left w:val="none" w:sz="0" w:space="0" w:color="auto"/>
        <w:bottom w:val="none" w:sz="0" w:space="0" w:color="auto"/>
        <w:right w:val="none" w:sz="0" w:space="0" w:color="auto"/>
      </w:divBdr>
      <w:divsChild>
        <w:div w:id="506166352">
          <w:marLeft w:val="0"/>
          <w:marRight w:val="0"/>
          <w:marTop w:val="0"/>
          <w:marBottom w:val="0"/>
          <w:divBdr>
            <w:top w:val="none" w:sz="0" w:space="0" w:color="auto"/>
            <w:left w:val="none" w:sz="0" w:space="0" w:color="auto"/>
            <w:bottom w:val="none" w:sz="0" w:space="0" w:color="auto"/>
            <w:right w:val="none" w:sz="0" w:space="0" w:color="auto"/>
          </w:divBdr>
        </w:div>
      </w:divsChild>
    </w:div>
    <w:div w:id="870604496">
      <w:bodyDiv w:val="1"/>
      <w:marLeft w:val="0"/>
      <w:marRight w:val="0"/>
      <w:marTop w:val="0"/>
      <w:marBottom w:val="0"/>
      <w:divBdr>
        <w:top w:val="none" w:sz="0" w:space="0" w:color="auto"/>
        <w:left w:val="none" w:sz="0" w:space="0" w:color="auto"/>
        <w:bottom w:val="none" w:sz="0" w:space="0" w:color="auto"/>
        <w:right w:val="none" w:sz="0" w:space="0" w:color="auto"/>
      </w:divBdr>
      <w:divsChild>
        <w:div w:id="2054764833">
          <w:marLeft w:val="0"/>
          <w:marRight w:val="0"/>
          <w:marTop w:val="0"/>
          <w:marBottom w:val="0"/>
          <w:divBdr>
            <w:top w:val="none" w:sz="0" w:space="0" w:color="auto"/>
            <w:left w:val="none" w:sz="0" w:space="0" w:color="auto"/>
            <w:bottom w:val="none" w:sz="0" w:space="0" w:color="auto"/>
            <w:right w:val="none" w:sz="0" w:space="0" w:color="auto"/>
          </w:divBdr>
          <w:divsChild>
            <w:div w:id="402798936">
              <w:marLeft w:val="0"/>
              <w:marRight w:val="0"/>
              <w:marTop w:val="0"/>
              <w:marBottom w:val="0"/>
              <w:divBdr>
                <w:top w:val="none" w:sz="0" w:space="0" w:color="auto"/>
                <w:left w:val="none" w:sz="0" w:space="0" w:color="auto"/>
                <w:bottom w:val="none" w:sz="0" w:space="0" w:color="auto"/>
                <w:right w:val="none" w:sz="0" w:space="0" w:color="auto"/>
              </w:divBdr>
              <w:divsChild>
                <w:div w:id="1278682671">
                  <w:marLeft w:val="0"/>
                  <w:marRight w:val="0"/>
                  <w:marTop w:val="0"/>
                  <w:marBottom w:val="0"/>
                  <w:divBdr>
                    <w:top w:val="none" w:sz="0" w:space="0" w:color="auto"/>
                    <w:left w:val="none" w:sz="0" w:space="0" w:color="auto"/>
                    <w:bottom w:val="none" w:sz="0" w:space="0" w:color="auto"/>
                    <w:right w:val="none" w:sz="0" w:space="0" w:color="auto"/>
                  </w:divBdr>
                  <w:divsChild>
                    <w:div w:id="1735857494">
                      <w:marLeft w:val="0"/>
                      <w:marRight w:val="0"/>
                      <w:marTop w:val="120"/>
                      <w:marBottom w:val="0"/>
                      <w:divBdr>
                        <w:top w:val="none" w:sz="0" w:space="0" w:color="auto"/>
                        <w:left w:val="none" w:sz="0" w:space="0" w:color="auto"/>
                        <w:bottom w:val="none" w:sz="0" w:space="0" w:color="auto"/>
                        <w:right w:val="none" w:sz="0" w:space="0" w:color="auto"/>
                      </w:divBdr>
                    </w:div>
                    <w:div w:id="446855745">
                      <w:marLeft w:val="0"/>
                      <w:marRight w:val="0"/>
                      <w:marTop w:val="0"/>
                      <w:marBottom w:val="0"/>
                      <w:divBdr>
                        <w:top w:val="none" w:sz="0" w:space="0" w:color="auto"/>
                        <w:left w:val="none" w:sz="0" w:space="0" w:color="auto"/>
                        <w:bottom w:val="none" w:sz="0" w:space="0" w:color="auto"/>
                        <w:right w:val="none" w:sz="0" w:space="0" w:color="auto"/>
                      </w:divBdr>
                    </w:div>
                  </w:divsChild>
                </w:div>
                <w:div w:id="2140486464">
                  <w:marLeft w:val="0"/>
                  <w:marRight w:val="0"/>
                  <w:marTop w:val="0"/>
                  <w:marBottom w:val="0"/>
                  <w:divBdr>
                    <w:top w:val="none" w:sz="0" w:space="0" w:color="auto"/>
                    <w:left w:val="none" w:sz="0" w:space="0" w:color="auto"/>
                    <w:bottom w:val="none" w:sz="0" w:space="0" w:color="auto"/>
                    <w:right w:val="none" w:sz="0" w:space="0" w:color="auto"/>
                  </w:divBdr>
                  <w:divsChild>
                    <w:div w:id="1596397339">
                      <w:marLeft w:val="0"/>
                      <w:marRight w:val="0"/>
                      <w:marTop w:val="120"/>
                      <w:marBottom w:val="0"/>
                      <w:divBdr>
                        <w:top w:val="none" w:sz="0" w:space="0" w:color="auto"/>
                        <w:left w:val="none" w:sz="0" w:space="0" w:color="auto"/>
                        <w:bottom w:val="none" w:sz="0" w:space="0" w:color="auto"/>
                        <w:right w:val="none" w:sz="0" w:space="0" w:color="auto"/>
                      </w:divBdr>
                    </w:div>
                    <w:div w:id="1129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737752">
      <w:bodyDiv w:val="1"/>
      <w:marLeft w:val="0"/>
      <w:marRight w:val="0"/>
      <w:marTop w:val="0"/>
      <w:marBottom w:val="0"/>
      <w:divBdr>
        <w:top w:val="none" w:sz="0" w:space="0" w:color="auto"/>
        <w:left w:val="none" w:sz="0" w:space="0" w:color="auto"/>
        <w:bottom w:val="none" w:sz="0" w:space="0" w:color="auto"/>
        <w:right w:val="none" w:sz="0" w:space="0" w:color="auto"/>
      </w:divBdr>
      <w:divsChild>
        <w:div w:id="1540125292">
          <w:marLeft w:val="0"/>
          <w:marRight w:val="0"/>
          <w:marTop w:val="0"/>
          <w:marBottom w:val="0"/>
          <w:divBdr>
            <w:top w:val="none" w:sz="0" w:space="0" w:color="auto"/>
            <w:left w:val="none" w:sz="0" w:space="0" w:color="auto"/>
            <w:bottom w:val="none" w:sz="0" w:space="0" w:color="auto"/>
            <w:right w:val="none" w:sz="0" w:space="0" w:color="auto"/>
          </w:divBdr>
          <w:divsChild>
            <w:div w:id="649753981">
              <w:marLeft w:val="0"/>
              <w:marRight w:val="0"/>
              <w:marTop w:val="0"/>
              <w:marBottom w:val="0"/>
              <w:divBdr>
                <w:top w:val="none" w:sz="0" w:space="0" w:color="auto"/>
                <w:left w:val="none" w:sz="0" w:space="0" w:color="auto"/>
                <w:bottom w:val="none" w:sz="0" w:space="0" w:color="auto"/>
                <w:right w:val="none" w:sz="0" w:space="0" w:color="auto"/>
              </w:divBdr>
              <w:divsChild>
                <w:div w:id="2045203271">
                  <w:marLeft w:val="0"/>
                  <w:marRight w:val="0"/>
                  <w:marTop w:val="120"/>
                  <w:marBottom w:val="0"/>
                  <w:divBdr>
                    <w:top w:val="none" w:sz="0" w:space="0" w:color="auto"/>
                    <w:left w:val="none" w:sz="0" w:space="0" w:color="auto"/>
                    <w:bottom w:val="none" w:sz="0" w:space="0" w:color="auto"/>
                    <w:right w:val="none" w:sz="0" w:space="0" w:color="auto"/>
                  </w:divBdr>
                </w:div>
                <w:div w:id="1632245919">
                  <w:marLeft w:val="0"/>
                  <w:marRight w:val="0"/>
                  <w:marTop w:val="0"/>
                  <w:marBottom w:val="0"/>
                  <w:divBdr>
                    <w:top w:val="none" w:sz="0" w:space="0" w:color="auto"/>
                    <w:left w:val="none" w:sz="0" w:space="0" w:color="auto"/>
                    <w:bottom w:val="none" w:sz="0" w:space="0" w:color="auto"/>
                    <w:right w:val="none" w:sz="0" w:space="0" w:color="auto"/>
                  </w:divBdr>
                </w:div>
              </w:divsChild>
            </w:div>
            <w:div w:id="262110121">
              <w:marLeft w:val="0"/>
              <w:marRight w:val="0"/>
              <w:marTop w:val="0"/>
              <w:marBottom w:val="0"/>
              <w:divBdr>
                <w:top w:val="none" w:sz="0" w:space="0" w:color="auto"/>
                <w:left w:val="none" w:sz="0" w:space="0" w:color="auto"/>
                <w:bottom w:val="none" w:sz="0" w:space="0" w:color="auto"/>
                <w:right w:val="none" w:sz="0" w:space="0" w:color="auto"/>
              </w:divBdr>
              <w:divsChild>
                <w:div w:id="1509902072">
                  <w:marLeft w:val="0"/>
                  <w:marRight w:val="0"/>
                  <w:marTop w:val="120"/>
                  <w:marBottom w:val="0"/>
                  <w:divBdr>
                    <w:top w:val="none" w:sz="0" w:space="0" w:color="auto"/>
                    <w:left w:val="none" w:sz="0" w:space="0" w:color="auto"/>
                    <w:bottom w:val="none" w:sz="0" w:space="0" w:color="auto"/>
                    <w:right w:val="none" w:sz="0" w:space="0" w:color="auto"/>
                  </w:divBdr>
                </w:div>
                <w:div w:id="1012343664">
                  <w:marLeft w:val="0"/>
                  <w:marRight w:val="0"/>
                  <w:marTop w:val="0"/>
                  <w:marBottom w:val="0"/>
                  <w:divBdr>
                    <w:top w:val="none" w:sz="0" w:space="0" w:color="auto"/>
                    <w:left w:val="none" w:sz="0" w:space="0" w:color="auto"/>
                    <w:bottom w:val="none" w:sz="0" w:space="0" w:color="auto"/>
                    <w:right w:val="none" w:sz="0" w:space="0" w:color="auto"/>
                  </w:divBdr>
                </w:div>
              </w:divsChild>
            </w:div>
            <w:div w:id="1492599998">
              <w:marLeft w:val="0"/>
              <w:marRight w:val="0"/>
              <w:marTop w:val="0"/>
              <w:marBottom w:val="0"/>
              <w:divBdr>
                <w:top w:val="none" w:sz="0" w:space="0" w:color="auto"/>
                <w:left w:val="none" w:sz="0" w:space="0" w:color="auto"/>
                <w:bottom w:val="none" w:sz="0" w:space="0" w:color="auto"/>
                <w:right w:val="none" w:sz="0" w:space="0" w:color="auto"/>
              </w:divBdr>
              <w:divsChild>
                <w:div w:id="981539491">
                  <w:marLeft w:val="0"/>
                  <w:marRight w:val="0"/>
                  <w:marTop w:val="120"/>
                  <w:marBottom w:val="0"/>
                  <w:divBdr>
                    <w:top w:val="none" w:sz="0" w:space="0" w:color="auto"/>
                    <w:left w:val="none" w:sz="0" w:space="0" w:color="auto"/>
                    <w:bottom w:val="none" w:sz="0" w:space="0" w:color="auto"/>
                    <w:right w:val="none" w:sz="0" w:space="0" w:color="auto"/>
                  </w:divBdr>
                </w:div>
                <w:div w:id="185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774894">
      <w:bodyDiv w:val="1"/>
      <w:marLeft w:val="0"/>
      <w:marRight w:val="0"/>
      <w:marTop w:val="0"/>
      <w:marBottom w:val="0"/>
      <w:divBdr>
        <w:top w:val="none" w:sz="0" w:space="0" w:color="auto"/>
        <w:left w:val="none" w:sz="0" w:space="0" w:color="auto"/>
        <w:bottom w:val="none" w:sz="0" w:space="0" w:color="auto"/>
        <w:right w:val="none" w:sz="0" w:space="0" w:color="auto"/>
      </w:divBdr>
      <w:divsChild>
        <w:div w:id="365445222">
          <w:marLeft w:val="0"/>
          <w:marRight w:val="0"/>
          <w:marTop w:val="120"/>
          <w:marBottom w:val="0"/>
          <w:divBdr>
            <w:top w:val="none" w:sz="0" w:space="0" w:color="auto"/>
            <w:left w:val="none" w:sz="0" w:space="0" w:color="auto"/>
            <w:bottom w:val="none" w:sz="0" w:space="0" w:color="auto"/>
            <w:right w:val="none" w:sz="0" w:space="0" w:color="auto"/>
          </w:divBdr>
        </w:div>
        <w:div w:id="382799544">
          <w:marLeft w:val="0"/>
          <w:marRight w:val="0"/>
          <w:marTop w:val="0"/>
          <w:marBottom w:val="0"/>
          <w:divBdr>
            <w:top w:val="none" w:sz="0" w:space="0" w:color="auto"/>
            <w:left w:val="none" w:sz="0" w:space="0" w:color="auto"/>
            <w:bottom w:val="none" w:sz="0" w:space="0" w:color="auto"/>
            <w:right w:val="none" w:sz="0" w:space="0" w:color="auto"/>
          </w:divBdr>
        </w:div>
      </w:divsChild>
    </w:div>
    <w:div w:id="879197823">
      <w:bodyDiv w:val="1"/>
      <w:marLeft w:val="0"/>
      <w:marRight w:val="0"/>
      <w:marTop w:val="0"/>
      <w:marBottom w:val="0"/>
      <w:divBdr>
        <w:top w:val="none" w:sz="0" w:space="0" w:color="auto"/>
        <w:left w:val="none" w:sz="0" w:space="0" w:color="auto"/>
        <w:bottom w:val="none" w:sz="0" w:space="0" w:color="auto"/>
        <w:right w:val="none" w:sz="0" w:space="0" w:color="auto"/>
      </w:divBdr>
      <w:divsChild>
        <w:div w:id="1235237639">
          <w:marLeft w:val="0"/>
          <w:marRight w:val="0"/>
          <w:marTop w:val="120"/>
          <w:marBottom w:val="0"/>
          <w:divBdr>
            <w:top w:val="none" w:sz="0" w:space="0" w:color="auto"/>
            <w:left w:val="none" w:sz="0" w:space="0" w:color="auto"/>
            <w:bottom w:val="none" w:sz="0" w:space="0" w:color="auto"/>
            <w:right w:val="none" w:sz="0" w:space="0" w:color="auto"/>
          </w:divBdr>
        </w:div>
        <w:div w:id="497498537">
          <w:marLeft w:val="0"/>
          <w:marRight w:val="0"/>
          <w:marTop w:val="0"/>
          <w:marBottom w:val="0"/>
          <w:divBdr>
            <w:top w:val="none" w:sz="0" w:space="0" w:color="auto"/>
            <w:left w:val="none" w:sz="0" w:space="0" w:color="auto"/>
            <w:bottom w:val="none" w:sz="0" w:space="0" w:color="auto"/>
            <w:right w:val="none" w:sz="0" w:space="0" w:color="auto"/>
          </w:divBdr>
        </w:div>
      </w:divsChild>
    </w:div>
    <w:div w:id="889339177">
      <w:bodyDiv w:val="1"/>
      <w:marLeft w:val="0"/>
      <w:marRight w:val="0"/>
      <w:marTop w:val="0"/>
      <w:marBottom w:val="0"/>
      <w:divBdr>
        <w:top w:val="none" w:sz="0" w:space="0" w:color="auto"/>
        <w:left w:val="none" w:sz="0" w:space="0" w:color="auto"/>
        <w:bottom w:val="none" w:sz="0" w:space="0" w:color="auto"/>
        <w:right w:val="none" w:sz="0" w:space="0" w:color="auto"/>
      </w:divBdr>
      <w:divsChild>
        <w:div w:id="1672023452">
          <w:marLeft w:val="0"/>
          <w:marRight w:val="0"/>
          <w:marTop w:val="120"/>
          <w:marBottom w:val="0"/>
          <w:divBdr>
            <w:top w:val="none" w:sz="0" w:space="0" w:color="auto"/>
            <w:left w:val="none" w:sz="0" w:space="0" w:color="auto"/>
            <w:bottom w:val="none" w:sz="0" w:space="0" w:color="auto"/>
            <w:right w:val="none" w:sz="0" w:space="0" w:color="auto"/>
          </w:divBdr>
        </w:div>
        <w:div w:id="323509463">
          <w:marLeft w:val="0"/>
          <w:marRight w:val="0"/>
          <w:marTop w:val="0"/>
          <w:marBottom w:val="0"/>
          <w:divBdr>
            <w:top w:val="none" w:sz="0" w:space="0" w:color="auto"/>
            <w:left w:val="none" w:sz="0" w:space="0" w:color="auto"/>
            <w:bottom w:val="none" w:sz="0" w:space="0" w:color="auto"/>
            <w:right w:val="none" w:sz="0" w:space="0" w:color="auto"/>
          </w:divBdr>
        </w:div>
      </w:divsChild>
    </w:div>
    <w:div w:id="891379488">
      <w:bodyDiv w:val="1"/>
      <w:marLeft w:val="0"/>
      <w:marRight w:val="0"/>
      <w:marTop w:val="0"/>
      <w:marBottom w:val="0"/>
      <w:divBdr>
        <w:top w:val="none" w:sz="0" w:space="0" w:color="auto"/>
        <w:left w:val="none" w:sz="0" w:space="0" w:color="auto"/>
        <w:bottom w:val="none" w:sz="0" w:space="0" w:color="auto"/>
        <w:right w:val="none" w:sz="0" w:space="0" w:color="auto"/>
      </w:divBdr>
      <w:divsChild>
        <w:div w:id="526409356">
          <w:marLeft w:val="0"/>
          <w:marRight w:val="0"/>
          <w:marTop w:val="0"/>
          <w:marBottom w:val="0"/>
          <w:divBdr>
            <w:top w:val="none" w:sz="0" w:space="0" w:color="auto"/>
            <w:left w:val="none" w:sz="0" w:space="0" w:color="auto"/>
            <w:bottom w:val="none" w:sz="0" w:space="0" w:color="auto"/>
            <w:right w:val="none" w:sz="0" w:space="0" w:color="auto"/>
          </w:divBdr>
          <w:divsChild>
            <w:div w:id="177609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82076">
      <w:bodyDiv w:val="1"/>
      <w:marLeft w:val="0"/>
      <w:marRight w:val="0"/>
      <w:marTop w:val="0"/>
      <w:marBottom w:val="0"/>
      <w:divBdr>
        <w:top w:val="none" w:sz="0" w:space="0" w:color="auto"/>
        <w:left w:val="none" w:sz="0" w:space="0" w:color="auto"/>
        <w:bottom w:val="none" w:sz="0" w:space="0" w:color="auto"/>
        <w:right w:val="none" w:sz="0" w:space="0" w:color="auto"/>
      </w:divBdr>
    </w:div>
    <w:div w:id="894894851">
      <w:bodyDiv w:val="1"/>
      <w:marLeft w:val="0"/>
      <w:marRight w:val="0"/>
      <w:marTop w:val="0"/>
      <w:marBottom w:val="0"/>
      <w:divBdr>
        <w:top w:val="none" w:sz="0" w:space="0" w:color="auto"/>
        <w:left w:val="none" w:sz="0" w:space="0" w:color="auto"/>
        <w:bottom w:val="none" w:sz="0" w:space="0" w:color="auto"/>
        <w:right w:val="none" w:sz="0" w:space="0" w:color="auto"/>
      </w:divBdr>
      <w:divsChild>
        <w:div w:id="521013567">
          <w:marLeft w:val="0"/>
          <w:marRight w:val="0"/>
          <w:marTop w:val="0"/>
          <w:marBottom w:val="0"/>
          <w:divBdr>
            <w:top w:val="none" w:sz="0" w:space="0" w:color="auto"/>
            <w:left w:val="none" w:sz="0" w:space="0" w:color="auto"/>
            <w:bottom w:val="none" w:sz="0" w:space="0" w:color="auto"/>
            <w:right w:val="none" w:sz="0" w:space="0" w:color="auto"/>
          </w:divBdr>
          <w:divsChild>
            <w:div w:id="2104300489">
              <w:marLeft w:val="0"/>
              <w:marRight w:val="0"/>
              <w:marTop w:val="0"/>
              <w:marBottom w:val="0"/>
              <w:divBdr>
                <w:top w:val="none" w:sz="0" w:space="0" w:color="auto"/>
                <w:left w:val="none" w:sz="0" w:space="0" w:color="auto"/>
                <w:bottom w:val="none" w:sz="0" w:space="0" w:color="auto"/>
                <w:right w:val="none" w:sz="0" w:space="0" w:color="auto"/>
              </w:divBdr>
              <w:divsChild>
                <w:div w:id="1363432922">
                  <w:marLeft w:val="0"/>
                  <w:marRight w:val="0"/>
                  <w:marTop w:val="120"/>
                  <w:marBottom w:val="0"/>
                  <w:divBdr>
                    <w:top w:val="none" w:sz="0" w:space="0" w:color="auto"/>
                    <w:left w:val="none" w:sz="0" w:space="0" w:color="auto"/>
                    <w:bottom w:val="none" w:sz="0" w:space="0" w:color="auto"/>
                    <w:right w:val="none" w:sz="0" w:space="0" w:color="auto"/>
                  </w:divBdr>
                </w:div>
                <w:div w:id="731460908">
                  <w:marLeft w:val="0"/>
                  <w:marRight w:val="0"/>
                  <w:marTop w:val="0"/>
                  <w:marBottom w:val="0"/>
                  <w:divBdr>
                    <w:top w:val="none" w:sz="0" w:space="0" w:color="auto"/>
                    <w:left w:val="none" w:sz="0" w:space="0" w:color="auto"/>
                    <w:bottom w:val="none" w:sz="0" w:space="0" w:color="auto"/>
                    <w:right w:val="none" w:sz="0" w:space="0" w:color="auto"/>
                  </w:divBdr>
                </w:div>
              </w:divsChild>
            </w:div>
            <w:div w:id="2146657005">
              <w:marLeft w:val="0"/>
              <w:marRight w:val="0"/>
              <w:marTop w:val="0"/>
              <w:marBottom w:val="0"/>
              <w:divBdr>
                <w:top w:val="none" w:sz="0" w:space="0" w:color="auto"/>
                <w:left w:val="none" w:sz="0" w:space="0" w:color="auto"/>
                <w:bottom w:val="none" w:sz="0" w:space="0" w:color="auto"/>
                <w:right w:val="none" w:sz="0" w:space="0" w:color="auto"/>
              </w:divBdr>
              <w:divsChild>
                <w:div w:id="203761303">
                  <w:marLeft w:val="0"/>
                  <w:marRight w:val="0"/>
                  <w:marTop w:val="120"/>
                  <w:marBottom w:val="0"/>
                  <w:divBdr>
                    <w:top w:val="none" w:sz="0" w:space="0" w:color="auto"/>
                    <w:left w:val="none" w:sz="0" w:space="0" w:color="auto"/>
                    <w:bottom w:val="none" w:sz="0" w:space="0" w:color="auto"/>
                    <w:right w:val="none" w:sz="0" w:space="0" w:color="auto"/>
                  </w:divBdr>
                </w:div>
                <w:div w:id="2085640919">
                  <w:marLeft w:val="0"/>
                  <w:marRight w:val="0"/>
                  <w:marTop w:val="0"/>
                  <w:marBottom w:val="0"/>
                  <w:divBdr>
                    <w:top w:val="none" w:sz="0" w:space="0" w:color="auto"/>
                    <w:left w:val="none" w:sz="0" w:space="0" w:color="auto"/>
                    <w:bottom w:val="none" w:sz="0" w:space="0" w:color="auto"/>
                    <w:right w:val="none" w:sz="0" w:space="0" w:color="auto"/>
                  </w:divBdr>
                </w:div>
              </w:divsChild>
            </w:div>
            <w:div w:id="999775302">
              <w:marLeft w:val="0"/>
              <w:marRight w:val="0"/>
              <w:marTop w:val="0"/>
              <w:marBottom w:val="0"/>
              <w:divBdr>
                <w:top w:val="none" w:sz="0" w:space="0" w:color="auto"/>
                <w:left w:val="none" w:sz="0" w:space="0" w:color="auto"/>
                <w:bottom w:val="none" w:sz="0" w:space="0" w:color="auto"/>
                <w:right w:val="none" w:sz="0" w:space="0" w:color="auto"/>
              </w:divBdr>
              <w:divsChild>
                <w:div w:id="1427385903">
                  <w:marLeft w:val="0"/>
                  <w:marRight w:val="0"/>
                  <w:marTop w:val="120"/>
                  <w:marBottom w:val="0"/>
                  <w:divBdr>
                    <w:top w:val="none" w:sz="0" w:space="0" w:color="auto"/>
                    <w:left w:val="none" w:sz="0" w:space="0" w:color="auto"/>
                    <w:bottom w:val="none" w:sz="0" w:space="0" w:color="auto"/>
                    <w:right w:val="none" w:sz="0" w:space="0" w:color="auto"/>
                  </w:divBdr>
                </w:div>
                <w:div w:id="1518421102">
                  <w:marLeft w:val="0"/>
                  <w:marRight w:val="0"/>
                  <w:marTop w:val="0"/>
                  <w:marBottom w:val="0"/>
                  <w:divBdr>
                    <w:top w:val="none" w:sz="0" w:space="0" w:color="auto"/>
                    <w:left w:val="none" w:sz="0" w:space="0" w:color="auto"/>
                    <w:bottom w:val="none" w:sz="0" w:space="0" w:color="auto"/>
                    <w:right w:val="none" w:sz="0" w:space="0" w:color="auto"/>
                  </w:divBdr>
                </w:div>
              </w:divsChild>
            </w:div>
            <w:div w:id="154805815">
              <w:marLeft w:val="0"/>
              <w:marRight w:val="0"/>
              <w:marTop w:val="0"/>
              <w:marBottom w:val="0"/>
              <w:divBdr>
                <w:top w:val="none" w:sz="0" w:space="0" w:color="auto"/>
                <w:left w:val="none" w:sz="0" w:space="0" w:color="auto"/>
                <w:bottom w:val="none" w:sz="0" w:space="0" w:color="auto"/>
                <w:right w:val="none" w:sz="0" w:space="0" w:color="auto"/>
              </w:divBdr>
              <w:divsChild>
                <w:div w:id="474957191">
                  <w:marLeft w:val="0"/>
                  <w:marRight w:val="0"/>
                  <w:marTop w:val="120"/>
                  <w:marBottom w:val="0"/>
                  <w:divBdr>
                    <w:top w:val="none" w:sz="0" w:space="0" w:color="auto"/>
                    <w:left w:val="none" w:sz="0" w:space="0" w:color="auto"/>
                    <w:bottom w:val="none" w:sz="0" w:space="0" w:color="auto"/>
                    <w:right w:val="none" w:sz="0" w:space="0" w:color="auto"/>
                  </w:divBdr>
                </w:div>
                <w:div w:id="173076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92394">
      <w:bodyDiv w:val="1"/>
      <w:marLeft w:val="0"/>
      <w:marRight w:val="0"/>
      <w:marTop w:val="0"/>
      <w:marBottom w:val="0"/>
      <w:divBdr>
        <w:top w:val="none" w:sz="0" w:space="0" w:color="auto"/>
        <w:left w:val="none" w:sz="0" w:space="0" w:color="auto"/>
        <w:bottom w:val="none" w:sz="0" w:space="0" w:color="auto"/>
        <w:right w:val="none" w:sz="0" w:space="0" w:color="auto"/>
      </w:divBdr>
      <w:divsChild>
        <w:div w:id="1436827603">
          <w:marLeft w:val="0"/>
          <w:marRight w:val="0"/>
          <w:marTop w:val="0"/>
          <w:marBottom w:val="0"/>
          <w:divBdr>
            <w:top w:val="none" w:sz="0" w:space="0" w:color="auto"/>
            <w:left w:val="none" w:sz="0" w:space="0" w:color="auto"/>
            <w:bottom w:val="none" w:sz="0" w:space="0" w:color="auto"/>
            <w:right w:val="none" w:sz="0" w:space="0" w:color="auto"/>
          </w:divBdr>
          <w:divsChild>
            <w:div w:id="479616078">
              <w:marLeft w:val="0"/>
              <w:marRight w:val="0"/>
              <w:marTop w:val="120"/>
              <w:marBottom w:val="0"/>
              <w:divBdr>
                <w:top w:val="none" w:sz="0" w:space="0" w:color="auto"/>
                <w:left w:val="none" w:sz="0" w:space="0" w:color="auto"/>
                <w:bottom w:val="none" w:sz="0" w:space="0" w:color="auto"/>
                <w:right w:val="none" w:sz="0" w:space="0" w:color="auto"/>
              </w:divBdr>
            </w:div>
            <w:div w:id="1153838706">
              <w:marLeft w:val="0"/>
              <w:marRight w:val="0"/>
              <w:marTop w:val="0"/>
              <w:marBottom w:val="0"/>
              <w:divBdr>
                <w:top w:val="none" w:sz="0" w:space="0" w:color="auto"/>
                <w:left w:val="none" w:sz="0" w:space="0" w:color="auto"/>
                <w:bottom w:val="none" w:sz="0" w:space="0" w:color="auto"/>
                <w:right w:val="none" w:sz="0" w:space="0" w:color="auto"/>
              </w:divBdr>
            </w:div>
          </w:divsChild>
        </w:div>
        <w:div w:id="1506480951">
          <w:marLeft w:val="0"/>
          <w:marRight w:val="0"/>
          <w:marTop w:val="0"/>
          <w:marBottom w:val="0"/>
          <w:divBdr>
            <w:top w:val="none" w:sz="0" w:space="0" w:color="auto"/>
            <w:left w:val="none" w:sz="0" w:space="0" w:color="auto"/>
            <w:bottom w:val="none" w:sz="0" w:space="0" w:color="auto"/>
            <w:right w:val="none" w:sz="0" w:space="0" w:color="auto"/>
          </w:divBdr>
          <w:divsChild>
            <w:div w:id="678695867">
              <w:marLeft w:val="0"/>
              <w:marRight w:val="0"/>
              <w:marTop w:val="120"/>
              <w:marBottom w:val="0"/>
              <w:divBdr>
                <w:top w:val="none" w:sz="0" w:space="0" w:color="auto"/>
                <w:left w:val="none" w:sz="0" w:space="0" w:color="auto"/>
                <w:bottom w:val="none" w:sz="0" w:space="0" w:color="auto"/>
                <w:right w:val="none" w:sz="0" w:space="0" w:color="auto"/>
              </w:divBdr>
            </w:div>
            <w:div w:id="7911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4926">
      <w:bodyDiv w:val="1"/>
      <w:marLeft w:val="0"/>
      <w:marRight w:val="0"/>
      <w:marTop w:val="0"/>
      <w:marBottom w:val="0"/>
      <w:divBdr>
        <w:top w:val="none" w:sz="0" w:space="0" w:color="auto"/>
        <w:left w:val="none" w:sz="0" w:space="0" w:color="auto"/>
        <w:bottom w:val="none" w:sz="0" w:space="0" w:color="auto"/>
        <w:right w:val="none" w:sz="0" w:space="0" w:color="auto"/>
      </w:divBdr>
      <w:divsChild>
        <w:div w:id="1155218030">
          <w:marLeft w:val="0"/>
          <w:marRight w:val="0"/>
          <w:marTop w:val="0"/>
          <w:marBottom w:val="0"/>
          <w:divBdr>
            <w:top w:val="none" w:sz="0" w:space="0" w:color="auto"/>
            <w:left w:val="none" w:sz="0" w:space="0" w:color="auto"/>
            <w:bottom w:val="none" w:sz="0" w:space="0" w:color="auto"/>
            <w:right w:val="none" w:sz="0" w:space="0" w:color="auto"/>
          </w:divBdr>
          <w:divsChild>
            <w:div w:id="100192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530615">
      <w:bodyDiv w:val="1"/>
      <w:marLeft w:val="0"/>
      <w:marRight w:val="0"/>
      <w:marTop w:val="0"/>
      <w:marBottom w:val="0"/>
      <w:divBdr>
        <w:top w:val="none" w:sz="0" w:space="0" w:color="auto"/>
        <w:left w:val="none" w:sz="0" w:space="0" w:color="auto"/>
        <w:bottom w:val="none" w:sz="0" w:space="0" w:color="auto"/>
        <w:right w:val="none" w:sz="0" w:space="0" w:color="auto"/>
      </w:divBdr>
      <w:divsChild>
        <w:div w:id="1454906093">
          <w:marLeft w:val="0"/>
          <w:marRight w:val="0"/>
          <w:marTop w:val="120"/>
          <w:marBottom w:val="0"/>
          <w:divBdr>
            <w:top w:val="none" w:sz="0" w:space="0" w:color="auto"/>
            <w:left w:val="none" w:sz="0" w:space="0" w:color="auto"/>
            <w:bottom w:val="none" w:sz="0" w:space="0" w:color="auto"/>
            <w:right w:val="none" w:sz="0" w:space="0" w:color="auto"/>
          </w:divBdr>
        </w:div>
        <w:div w:id="210698308">
          <w:marLeft w:val="0"/>
          <w:marRight w:val="0"/>
          <w:marTop w:val="0"/>
          <w:marBottom w:val="0"/>
          <w:divBdr>
            <w:top w:val="none" w:sz="0" w:space="0" w:color="auto"/>
            <w:left w:val="none" w:sz="0" w:space="0" w:color="auto"/>
            <w:bottom w:val="none" w:sz="0" w:space="0" w:color="auto"/>
            <w:right w:val="none" w:sz="0" w:space="0" w:color="auto"/>
          </w:divBdr>
        </w:div>
      </w:divsChild>
    </w:div>
    <w:div w:id="907032870">
      <w:bodyDiv w:val="1"/>
      <w:marLeft w:val="0"/>
      <w:marRight w:val="0"/>
      <w:marTop w:val="0"/>
      <w:marBottom w:val="0"/>
      <w:divBdr>
        <w:top w:val="none" w:sz="0" w:space="0" w:color="auto"/>
        <w:left w:val="none" w:sz="0" w:space="0" w:color="auto"/>
        <w:bottom w:val="none" w:sz="0" w:space="0" w:color="auto"/>
        <w:right w:val="none" w:sz="0" w:space="0" w:color="auto"/>
      </w:divBdr>
      <w:divsChild>
        <w:div w:id="91707380">
          <w:marLeft w:val="0"/>
          <w:marRight w:val="0"/>
          <w:marTop w:val="120"/>
          <w:marBottom w:val="0"/>
          <w:divBdr>
            <w:top w:val="none" w:sz="0" w:space="0" w:color="auto"/>
            <w:left w:val="none" w:sz="0" w:space="0" w:color="auto"/>
            <w:bottom w:val="none" w:sz="0" w:space="0" w:color="auto"/>
            <w:right w:val="none" w:sz="0" w:space="0" w:color="auto"/>
          </w:divBdr>
        </w:div>
        <w:div w:id="1531264983">
          <w:marLeft w:val="0"/>
          <w:marRight w:val="0"/>
          <w:marTop w:val="0"/>
          <w:marBottom w:val="0"/>
          <w:divBdr>
            <w:top w:val="none" w:sz="0" w:space="0" w:color="auto"/>
            <w:left w:val="none" w:sz="0" w:space="0" w:color="auto"/>
            <w:bottom w:val="none" w:sz="0" w:space="0" w:color="auto"/>
            <w:right w:val="none" w:sz="0" w:space="0" w:color="auto"/>
          </w:divBdr>
        </w:div>
      </w:divsChild>
    </w:div>
    <w:div w:id="907425166">
      <w:bodyDiv w:val="1"/>
      <w:marLeft w:val="0"/>
      <w:marRight w:val="0"/>
      <w:marTop w:val="0"/>
      <w:marBottom w:val="0"/>
      <w:divBdr>
        <w:top w:val="none" w:sz="0" w:space="0" w:color="auto"/>
        <w:left w:val="none" w:sz="0" w:space="0" w:color="auto"/>
        <w:bottom w:val="none" w:sz="0" w:space="0" w:color="auto"/>
        <w:right w:val="none" w:sz="0" w:space="0" w:color="auto"/>
      </w:divBdr>
      <w:divsChild>
        <w:div w:id="1602444669">
          <w:marLeft w:val="0"/>
          <w:marRight w:val="0"/>
          <w:marTop w:val="0"/>
          <w:marBottom w:val="0"/>
          <w:divBdr>
            <w:top w:val="none" w:sz="0" w:space="0" w:color="auto"/>
            <w:left w:val="none" w:sz="0" w:space="0" w:color="auto"/>
            <w:bottom w:val="none" w:sz="0" w:space="0" w:color="auto"/>
            <w:right w:val="none" w:sz="0" w:space="0" w:color="auto"/>
          </w:divBdr>
          <w:divsChild>
            <w:div w:id="1239829849">
              <w:marLeft w:val="0"/>
              <w:marRight w:val="0"/>
              <w:marTop w:val="0"/>
              <w:marBottom w:val="0"/>
              <w:divBdr>
                <w:top w:val="none" w:sz="0" w:space="0" w:color="auto"/>
                <w:left w:val="none" w:sz="0" w:space="0" w:color="auto"/>
                <w:bottom w:val="none" w:sz="0" w:space="0" w:color="auto"/>
                <w:right w:val="none" w:sz="0" w:space="0" w:color="auto"/>
              </w:divBdr>
              <w:divsChild>
                <w:div w:id="1023171490">
                  <w:marLeft w:val="0"/>
                  <w:marRight w:val="0"/>
                  <w:marTop w:val="0"/>
                  <w:marBottom w:val="0"/>
                  <w:divBdr>
                    <w:top w:val="none" w:sz="0" w:space="0" w:color="auto"/>
                    <w:left w:val="none" w:sz="0" w:space="0" w:color="auto"/>
                    <w:bottom w:val="none" w:sz="0" w:space="0" w:color="auto"/>
                    <w:right w:val="none" w:sz="0" w:space="0" w:color="auto"/>
                  </w:divBdr>
                  <w:divsChild>
                    <w:div w:id="423571092">
                      <w:marLeft w:val="0"/>
                      <w:marRight w:val="0"/>
                      <w:marTop w:val="120"/>
                      <w:marBottom w:val="0"/>
                      <w:divBdr>
                        <w:top w:val="none" w:sz="0" w:space="0" w:color="auto"/>
                        <w:left w:val="none" w:sz="0" w:space="0" w:color="auto"/>
                        <w:bottom w:val="none" w:sz="0" w:space="0" w:color="auto"/>
                        <w:right w:val="none" w:sz="0" w:space="0" w:color="auto"/>
                      </w:divBdr>
                    </w:div>
                    <w:div w:id="2116318421">
                      <w:marLeft w:val="0"/>
                      <w:marRight w:val="0"/>
                      <w:marTop w:val="0"/>
                      <w:marBottom w:val="0"/>
                      <w:divBdr>
                        <w:top w:val="none" w:sz="0" w:space="0" w:color="auto"/>
                        <w:left w:val="none" w:sz="0" w:space="0" w:color="auto"/>
                        <w:bottom w:val="none" w:sz="0" w:space="0" w:color="auto"/>
                        <w:right w:val="none" w:sz="0" w:space="0" w:color="auto"/>
                      </w:divBdr>
                    </w:div>
                  </w:divsChild>
                </w:div>
                <w:div w:id="1525481811">
                  <w:marLeft w:val="0"/>
                  <w:marRight w:val="0"/>
                  <w:marTop w:val="0"/>
                  <w:marBottom w:val="0"/>
                  <w:divBdr>
                    <w:top w:val="none" w:sz="0" w:space="0" w:color="auto"/>
                    <w:left w:val="none" w:sz="0" w:space="0" w:color="auto"/>
                    <w:bottom w:val="none" w:sz="0" w:space="0" w:color="auto"/>
                    <w:right w:val="none" w:sz="0" w:space="0" w:color="auto"/>
                  </w:divBdr>
                  <w:divsChild>
                    <w:div w:id="1848598984">
                      <w:marLeft w:val="0"/>
                      <w:marRight w:val="0"/>
                      <w:marTop w:val="120"/>
                      <w:marBottom w:val="0"/>
                      <w:divBdr>
                        <w:top w:val="none" w:sz="0" w:space="0" w:color="auto"/>
                        <w:left w:val="none" w:sz="0" w:space="0" w:color="auto"/>
                        <w:bottom w:val="none" w:sz="0" w:space="0" w:color="auto"/>
                        <w:right w:val="none" w:sz="0" w:space="0" w:color="auto"/>
                      </w:divBdr>
                    </w:div>
                    <w:div w:id="12875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5878">
      <w:bodyDiv w:val="1"/>
      <w:marLeft w:val="0"/>
      <w:marRight w:val="0"/>
      <w:marTop w:val="0"/>
      <w:marBottom w:val="0"/>
      <w:divBdr>
        <w:top w:val="none" w:sz="0" w:space="0" w:color="auto"/>
        <w:left w:val="none" w:sz="0" w:space="0" w:color="auto"/>
        <w:bottom w:val="none" w:sz="0" w:space="0" w:color="auto"/>
        <w:right w:val="none" w:sz="0" w:space="0" w:color="auto"/>
      </w:divBdr>
      <w:divsChild>
        <w:div w:id="1562323445">
          <w:marLeft w:val="0"/>
          <w:marRight w:val="0"/>
          <w:marTop w:val="0"/>
          <w:marBottom w:val="0"/>
          <w:divBdr>
            <w:top w:val="none" w:sz="0" w:space="0" w:color="auto"/>
            <w:left w:val="none" w:sz="0" w:space="0" w:color="auto"/>
            <w:bottom w:val="none" w:sz="0" w:space="0" w:color="auto"/>
            <w:right w:val="none" w:sz="0" w:space="0" w:color="auto"/>
          </w:divBdr>
          <w:divsChild>
            <w:div w:id="15688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5317">
      <w:bodyDiv w:val="1"/>
      <w:marLeft w:val="0"/>
      <w:marRight w:val="0"/>
      <w:marTop w:val="0"/>
      <w:marBottom w:val="0"/>
      <w:divBdr>
        <w:top w:val="none" w:sz="0" w:space="0" w:color="auto"/>
        <w:left w:val="none" w:sz="0" w:space="0" w:color="auto"/>
        <w:bottom w:val="none" w:sz="0" w:space="0" w:color="auto"/>
        <w:right w:val="none" w:sz="0" w:space="0" w:color="auto"/>
      </w:divBdr>
      <w:divsChild>
        <w:div w:id="1810004788">
          <w:marLeft w:val="0"/>
          <w:marRight w:val="0"/>
          <w:marTop w:val="0"/>
          <w:marBottom w:val="0"/>
          <w:divBdr>
            <w:top w:val="none" w:sz="0" w:space="0" w:color="auto"/>
            <w:left w:val="none" w:sz="0" w:space="0" w:color="auto"/>
            <w:bottom w:val="none" w:sz="0" w:space="0" w:color="auto"/>
            <w:right w:val="none" w:sz="0" w:space="0" w:color="auto"/>
          </w:divBdr>
          <w:divsChild>
            <w:div w:id="1872722161">
              <w:marLeft w:val="0"/>
              <w:marRight w:val="0"/>
              <w:marTop w:val="0"/>
              <w:marBottom w:val="0"/>
              <w:divBdr>
                <w:top w:val="none" w:sz="0" w:space="0" w:color="auto"/>
                <w:left w:val="none" w:sz="0" w:space="0" w:color="auto"/>
                <w:bottom w:val="none" w:sz="0" w:space="0" w:color="auto"/>
                <w:right w:val="none" w:sz="0" w:space="0" w:color="auto"/>
              </w:divBdr>
              <w:divsChild>
                <w:div w:id="1752460007">
                  <w:marLeft w:val="0"/>
                  <w:marRight w:val="0"/>
                  <w:marTop w:val="0"/>
                  <w:marBottom w:val="0"/>
                  <w:divBdr>
                    <w:top w:val="none" w:sz="0" w:space="0" w:color="auto"/>
                    <w:left w:val="none" w:sz="0" w:space="0" w:color="auto"/>
                    <w:bottom w:val="none" w:sz="0" w:space="0" w:color="auto"/>
                    <w:right w:val="none" w:sz="0" w:space="0" w:color="auto"/>
                  </w:divBdr>
                  <w:divsChild>
                    <w:div w:id="590235122">
                      <w:marLeft w:val="0"/>
                      <w:marRight w:val="0"/>
                      <w:marTop w:val="120"/>
                      <w:marBottom w:val="0"/>
                      <w:divBdr>
                        <w:top w:val="none" w:sz="0" w:space="0" w:color="auto"/>
                        <w:left w:val="none" w:sz="0" w:space="0" w:color="auto"/>
                        <w:bottom w:val="none" w:sz="0" w:space="0" w:color="auto"/>
                        <w:right w:val="none" w:sz="0" w:space="0" w:color="auto"/>
                      </w:divBdr>
                    </w:div>
                    <w:div w:id="1695880329">
                      <w:marLeft w:val="0"/>
                      <w:marRight w:val="0"/>
                      <w:marTop w:val="0"/>
                      <w:marBottom w:val="0"/>
                      <w:divBdr>
                        <w:top w:val="none" w:sz="0" w:space="0" w:color="auto"/>
                        <w:left w:val="none" w:sz="0" w:space="0" w:color="auto"/>
                        <w:bottom w:val="none" w:sz="0" w:space="0" w:color="auto"/>
                        <w:right w:val="none" w:sz="0" w:space="0" w:color="auto"/>
                      </w:divBdr>
                    </w:div>
                  </w:divsChild>
                </w:div>
                <w:div w:id="1061369866">
                  <w:marLeft w:val="0"/>
                  <w:marRight w:val="0"/>
                  <w:marTop w:val="0"/>
                  <w:marBottom w:val="0"/>
                  <w:divBdr>
                    <w:top w:val="none" w:sz="0" w:space="0" w:color="auto"/>
                    <w:left w:val="none" w:sz="0" w:space="0" w:color="auto"/>
                    <w:bottom w:val="none" w:sz="0" w:space="0" w:color="auto"/>
                    <w:right w:val="none" w:sz="0" w:space="0" w:color="auto"/>
                  </w:divBdr>
                  <w:divsChild>
                    <w:div w:id="1359429436">
                      <w:marLeft w:val="0"/>
                      <w:marRight w:val="0"/>
                      <w:marTop w:val="120"/>
                      <w:marBottom w:val="0"/>
                      <w:divBdr>
                        <w:top w:val="none" w:sz="0" w:space="0" w:color="auto"/>
                        <w:left w:val="none" w:sz="0" w:space="0" w:color="auto"/>
                        <w:bottom w:val="none" w:sz="0" w:space="0" w:color="auto"/>
                        <w:right w:val="none" w:sz="0" w:space="0" w:color="auto"/>
                      </w:divBdr>
                    </w:div>
                    <w:div w:id="1996571644">
                      <w:marLeft w:val="0"/>
                      <w:marRight w:val="0"/>
                      <w:marTop w:val="0"/>
                      <w:marBottom w:val="0"/>
                      <w:divBdr>
                        <w:top w:val="none" w:sz="0" w:space="0" w:color="auto"/>
                        <w:left w:val="none" w:sz="0" w:space="0" w:color="auto"/>
                        <w:bottom w:val="none" w:sz="0" w:space="0" w:color="auto"/>
                        <w:right w:val="none" w:sz="0" w:space="0" w:color="auto"/>
                      </w:divBdr>
                    </w:div>
                  </w:divsChild>
                </w:div>
                <w:div w:id="1897007873">
                  <w:marLeft w:val="0"/>
                  <w:marRight w:val="0"/>
                  <w:marTop w:val="0"/>
                  <w:marBottom w:val="0"/>
                  <w:divBdr>
                    <w:top w:val="none" w:sz="0" w:space="0" w:color="auto"/>
                    <w:left w:val="none" w:sz="0" w:space="0" w:color="auto"/>
                    <w:bottom w:val="none" w:sz="0" w:space="0" w:color="auto"/>
                    <w:right w:val="none" w:sz="0" w:space="0" w:color="auto"/>
                  </w:divBdr>
                  <w:divsChild>
                    <w:div w:id="1670910434">
                      <w:marLeft w:val="0"/>
                      <w:marRight w:val="0"/>
                      <w:marTop w:val="120"/>
                      <w:marBottom w:val="0"/>
                      <w:divBdr>
                        <w:top w:val="none" w:sz="0" w:space="0" w:color="auto"/>
                        <w:left w:val="none" w:sz="0" w:space="0" w:color="auto"/>
                        <w:bottom w:val="none" w:sz="0" w:space="0" w:color="auto"/>
                        <w:right w:val="none" w:sz="0" w:space="0" w:color="auto"/>
                      </w:divBdr>
                    </w:div>
                    <w:div w:id="373434197">
                      <w:marLeft w:val="0"/>
                      <w:marRight w:val="0"/>
                      <w:marTop w:val="0"/>
                      <w:marBottom w:val="0"/>
                      <w:divBdr>
                        <w:top w:val="none" w:sz="0" w:space="0" w:color="auto"/>
                        <w:left w:val="none" w:sz="0" w:space="0" w:color="auto"/>
                        <w:bottom w:val="none" w:sz="0" w:space="0" w:color="auto"/>
                        <w:right w:val="none" w:sz="0" w:space="0" w:color="auto"/>
                      </w:divBdr>
                    </w:div>
                  </w:divsChild>
                </w:div>
                <w:div w:id="1732188220">
                  <w:marLeft w:val="0"/>
                  <w:marRight w:val="0"/>
                  <w:marTop w:val="0"/>
                  <w:marBottom w:val="0"/>
                  <w:divBdr>
                    <w:top w:val="none" w:sz="0" w:space="0" w:color="auto"/>
                    <w:left w:val="none" w:sz="0" w:space="0" w:color="auto"/>
                    <w:bottom w:val="none" w:sz="0" w:space="0" w:color="auto"/>
                    <w:right w:val="none" w:sz="0" w:space="0" w:color="auto"/>
                  </w:divBdr>
                  <w:divsChild>
                    <w:div w:id="556362083">
                      <w:marLeft w:val="0"/>
                      <w:marRight w:val="0"/>
                      <w:marTop w:val="120"/>
                      <w:marBottom w:val="0"/>
                      <w:divBdr>
                        <w:top w:val="none" w:sz="0" w:space="0" w:color="auto"/>
                        <w:left w:val="none" w:sz="0" w:space="0" w:color="auto"/>
                        <w:bottom w:val="none" w:sz="0" w:space="0" w:color="auto"/>
                        <w:right w:val="none" w:sz="0" w:space="0" w:color="auto"/>
                      </w:divBdr>
                    </w:div>
                    <w:div w:id="563611711">
                      <w:marLeft w:val="0"/>
                      <w:marRight w:val="0"/>
                      <w:marTop w:val="0"/>
                      <w:marBottom w:val="0"/>
                      <w:divBdr>
                        <w:top w:val="none" w:sz="0" w:space="0" w:color="auto"/>
                        <w:left w:val="none" w:sz="0" w:space="0" w:color="auto"/>
                        <w:bottom w:val="none" w:sz="0" w:space="0" w:color="auto"/>
                        <w:right w:val="none" w:sz="0" w:space="0" w:color="auto"/>
                      </w:divBdr>
                    </w:div>
                  </w:divsChild>
                </w:div>
                <w:div w:id="756093589">
                  <w:marLeft w:val="0"/>
                  <w:marRight w:val="0"/>
                  <w:marTop w:val="0"/>
                  <w:marBottom w:val="0"/>
                  <w:divBdr>
                    <w:top w:val="none" w:sz="0" w:space="0" w:color="auto"/>
                    <w:left w:val="none" w:sz="0" w:space="0" w:color="auto"/>
                    <w:bottom w:val="none" w:sz="0" w:space="0" w:color="auto"/>
                    <w:right w:val="none" w:sz="0" w:space="0" w:color="auto"/>
                  </w:divBdr>
                  <w:divsChild>
                    <w:div w:id="953252868">
                      <w:marLeft w:val="0"/>
                      <w:marRight w:val="0"/>
                      <w:marTop w:val="120"/>
                      <w:marBottom w:val="0"/>
                      <w:divBdr>
                        <w:top w:val="none" w:sz="0" w:space="0" w:color="auto"/>
                        <w:left w:val="none" w:sz="0" w:space="0" w:color="auto"/>
                        <w:bottom w:val="none" w:sz="0" w:space="0" w:color="auto"/>
                        <w:right w:val="none" w:sz="0" w:space="0" w:color="auto"/>
                      </w:divBdr>
                    </w:div>
                    <w:div w:id="1538928528">
                      <w:marLeft w:val="0"/>
                      <w:marRight w:val="0"/>
                      <w:marTop w:val="0"/>
                      <w:marBottom w:val="0"/>
                      <w:divBdr>
                        <w:top w:val="none" w:sz="0" w:space="0" w:color="auto"/>
                        <w:left w:val="none" w:sz="0" w:space="0" w:color="auto"/>
                        <w:bottom w:val="none" w:sz="0" w:space="0" w:color="auto"/>
                        <w:right w:val="none" w:sz="0" w:space="0" w:color="auto"/>
                      </w:divBdr>
                    </w:div>
                  </w:divsChild>
                </w:div>
                <w:div w:id="1868250945">
                  <w:marLeft w:val="0"/>
                  <w:marRight w:val="0"/>
                  <w:marTop w:val="0"/>
                  <w:marBottom w:val="0"/>
                  <w:divBdr>
                    <w:top w:val="none" w:sz="0" w:space="0" w:color="auto"/>
                    <w:left w:val="none" w:sz="0" w:space="0" w:color="auto"/>
                    <w:bottom w:val="none" w:sz="0" w:space="0" w:color="auto"/>
                    <w:right w:val="none" w:sz="0" w:space="0" w:color="auto"/>
                  </w:divBdr>
                  <w:divsChild>
                    <w:div w:id="2057774924">
                      <w:marLeft w:val="0"/>
                      <w:marRight w:val="0"/>
                      <w:marTop w:val="120"/>
                      <w:marBottom w:val="0"/>
                      <w:divBdr>
                        <w:top w:val="none" w:sz="0" w:space="0" w:color="auto"/>
                        <w:left w:val="none" w:sz="0" w:space="0" w:color="auto"/>
                        <w:bottom w:val="none" w:sz="0" w:space="0" w:color="auto"/>
                        <w:right w:val="none" w:sz="0" w:space="0" w:color="auto"/>
                      </w:divBdr>
                    </w:div>
                    <w:div w:id="356004663">
                      <w:marLeft w:val="0"/>
                      <w:marRight w:val="0"/>
                      <w:marTop w:val="0"/>
                      <w:marBottom w:val="0"/>
                      <w:divBdr>
                        <w:top w:val="none" w:sz="0" w:space="0" w:color="auto"/>
                        <w:left w:val="none" w:sz="0" w:space="0" w:color="auto"/>
                        <w:bottom w:val="none" w:sz="0" w:space="0" w:color="auto"/>
                        <w:right w:val="none" w:sz="0" w:space="0" w:color="auto"/>
                      </w:divBdr>
                    </w:div>
                  </w:divsChild>
                </w:div>
                <w:div w:id="1752042257">
                  <w:marLeft w:val="0"/>
                  <w:marRight w:val="0"/>
                  <w:marTop w:val="0"/>
                  <w:marBottom w:val="0"/>
                  <w:divBdr>
                    <w:top w:val="none" w:sz="0" w:space="0" w:color="auto"/>
                    <w:left w:val="none" w:sz="0" w:space="0" w:color="auto"/>
                    <w:bottom w:val="none" w:sz="0" w:space="0" w:color="auto"/>
                    <w:right w:val="none" w:sz="0" w:space="0" w:color="auto"/>
                  </w:divBdr>
                  <w:divsChild>
                    <w:div w:id="812525083">
                      <w:marLeft w:val="0"/>
                      <w:marRight w:val="0"/>
                      <w:marTop w:val="120"/>
                      <w:marBottom w:val="0"/>
                      <w:divBdr>
                        <w:top w:val="none" w:sz="0" w:space="0" w:color="auto"/>
                        <w:left w:val="none" w:sz="0" w:space="0" w:color="auto"/>
                        <w:bottom w:val="none" w:sz="0" w:space="0" w:color="auto"/>
                        <w:right w:val="none" w:sz="0" w:space="0" w:color="auto"/>
                      </w:divBdr>
                    </w:div>
                    <w:div w:id="2074110706">
                      <w:marLeft w:val="0"/>
                      <w:marRight w:val="0"/>
                      <w:marTop w:val="0"/>
                      <w:marBottom w:val="0"/>
                      <w:divBdr>
                        <w:top w:val="none" w:sz="0" w:space="0" w:color="auto"/>
                        <w:left w:val="none" w:sz="0" w:space="0" w:color="auto"/>
                        <w:bottom w:val="none" w:sz="0" w:space="0" w:color="auto"/>
                        <w:right w:val="none" w:sz="0" w:space="0" w:color="auto"/>
                      </w:divBdr>
                    </w:div>
                  </w:divsChild>
                </w:div>
                <w:div w:id="818040310">
                  <w:marLeft w:val="0"/>
                  <w:marRight w:val="0"/>
                  <w:marTop w:val="0"/>
                  <w:marBottom w:val="0"/>
                  <w:divBdr>
                    <w:top w:val="none" w:sz="0" w:space="0" w:color="auto"/>
                    <w:left w:val="none" w:sz="0" w:space="0" w:color="auto"/>
                    <w:bottom w:val="none" w:sz="0" w:space="0" w:color="auto"/>
                    <w:right w:val="none" w:sz="0" w:space="0" w:color="auto"/>
                  </w:divBdr>
                  <w:divsChild>
                    <w:div w:id="483081434">
                      <w:marLeft w:val="0"/>
                      <w:marRight w:val="0"/>
                      <w:marTop w:val="120"/>
                      <w:marBottom w:val="0"/>
                      <w:divBdr>
                        <w:top w:val="none" w:sz="0" w:space="0" w:color="auto"/>
                        <w:left w:val="none" w:sz="0" w:space="0" w:color="auto"/>
                        <w:bottom w:val="none" w:sz="0" w:space="0" w:color="auto"/>
                        <w:right w:val="none" w:sz="0" w:space="0" w:color="auto"/>
                      </w:divBdr>
                    </w:div>
                    <w:div w:id="347411335">
                      <w:marLeft w:val="0"/>
                      <w:marRight w:val="0"/>
                      <w:marTop w:val="0"/>
                      <w:marBottom w:val="0"/>
                      <w:divBdr>
                        <w:top w:val="none" w:sz="0" w:space="0" w:color="auto"/>
                        <w:left w:val="none" w:sz="0" w:space="0" w:color="auto"/>
                        <w:bottom w:val="none" w:sz="0" w:space="0" w:color="auto"/>
                        <w:right w:val="none" w:sz="0" w:space="0" w:color="auto"/>
                      </w:divBdr>
                    </w:div>
                  </w:divsChild>
                </w:div>
                <w:div w:id="1342656829">
                  <w:marLeft w:val="0"/>
                  <w:marRight w:val="0"/>
                  <w:marTop w:val="0"/>
                  <w:marBottom w:val="0"/>
                  <w:divBdr>
                    <w:top w:val="none" w:sz="0" w:space="0" w:color="auto"/>
                    <w:left w:val="none" w:sz="0" w:space="0" w:color="auto"/>
                    <w:bottom w:val="none" w:sz="0" w:space="0" w:color="auto"/>
                    <w:right w:val="none" w:sz="0" w:space="0" w:color="auto"/>
                  </w:divBdr>
                  <w:divsChild>
                    <w:div w:id="2064912085">
                      <w:marLeft w:val="0"/>
                      <w:marRight w:val="0"/>
                      <w:marTop w:val="120"/>
                      <w:marBottom w:val="0"/>
                      <w:divBdr>
                        <w:top w:val="none" w:sz="0" w:space="0" w:color="auto"/>
                        <w:left w:val="none" w:sz="0" w:space="0" w:color="auto"/>
                        <w:bottom w:val="none" w:sz="0" w:space="0" w:color="auto"/>
                        <w:right w:val="none" w:sz="0" w:space="0" w:color="auto"/>
                      </w:divBdr>
                    </w:div>
                    <w:div w:id="460152854">
                      <w:marLeft w:val="0"/>
                      <w:marRight w:val="0"/>
                      <w:marTop w:val="0"/>
                      <w:marBottom w:val="0"/>
                      <w:divBdr>
                        <w:top w:val="none" w:sz="0" w:space="0" w:color="auto"/>
                        <w:left w:val="none" w:sz="0" w:space="0" w:color="auto"/>
                        <w:bottom w:val="none" w:sz="0" w:space="0" w:color="auto"/>
                        <w:right w:val="none" w:sz="0" w:space="0" w:color="auto"/>
                      </w:divBdr>
                    </w:div>
                  </w:divsChild>
                </w:div>
                <w:div w:id="1256480113">
                  <w:marLeft w:val="0"/>
                  <w:marRight w:val="0"/>
                  <w:marTop w:val="0"/>
                  <w:marBottom w:val="0"/>
                  <w:divBdr>
                    <w:top w:val="none" w:sz="0" w:space="0" w:color="auto"/>
                    <w:left w:val="none" w:sz="0" w:space="0" w:color="auto"/>
                    <w:bottom w:val="none" w:sz="0" w:space="0" w:color="auto"/>
                    <w:right w:val="none" w:sz="0" w:space="0" w:color="auto"/>
                  </w:divBdr>
                  <w:divsChild>
                    <w:div w:id="690180269">
                      <w:marLeft w:val="0"/>
                      <w:marRight w:val="0"/>
                      <w:marTop w:val="120"/>
                      <w:marBottom w:val="0"/>
                      <w:divBdr>
                        <w:top w:val="none" w:sz="0" w:space="0" w:color="auto"/>
                        <w:left w:val="none" w:sz="0" w:space="0" w:color="auto"/>
                        <w:bottom w:val="none" w:sz="0" w:space="0" w:color="auto"/>
                        <w:right w:val="none" w:sz="0" w:space="0" w:color="auto"/>
                      </w:divBdr>
                    </w:div>
                    <w:div w:id="507401651">
                      <w:marLeft w:val="0"/>
                      <w:marRight w:val="0"/>
                      <w:marTop w:val="0"/>
                      <w:marBottom w:val="0"/>
                      <w:divBdr>
                        <w:top w:val="none" w:sz="0" w:space="0" w:color="auto"/>
                        <w:left w:val="none" w:sz="0" w:space="0" w:color="auto"/>
                        <w:bottom w:val="none" w:sz="0" w:space="0" w:color="auto"/>
                        <w:right w:val="none" w:sz="0" w:space="0" w:color="auto"/>
                      </w:divBdr>
                    </w:div>
                  </w:divsChild>
                </w:div>
                <w:div w:id="2000304959">
                  <w:marLeft w:val="0"/>
                  <w:marRight w:val="0"/>
                  <w:marTop w:val="0"/>
                  <w:marBottom w:val="0"/>
                  <w:divBdr>
                    <w:top w:val="none" w:sz="0" w:space="0" w:color="auto"/>
                    <w:left w:val="none" w:sz="0" w:space="0" w:color="auto"/>
                    <w:bottom w:val="none" w:sz="0" w:space="0" w:color="auto"/>
                    <w:right w:val="none" w:sz="0" w:space="0" w:color="auto"/>
                  </w:divBdr>
                  <w:divsChild>
                    <w:div w:id="1374885494">
                      <w:marLeft w:val="0"/>
                      <w:marRight w:val="0"/>
                      <w:marTop w:val="120"/>
                      <w:marBottom w:val="0"/>
                      <w:divBdr>
                        <w:top w:val="none" w:sz="0" w:space="0" w:color="auto"/>
                        <w:left w:val="none" w:sz="0" w:space="0" w:color="auto"/>
                        <w:bottom w:val="none" w:sz="0" w:space="0" w:color="auto"/>
                        <w:right w:val="none" w:sz="0" w:space="0" w:color="auto"/>
                      </w:divBdr>
                    </w:div>
                    <w:div w:id="824204341">
                      <w:marLeft w:val="0"/>
                      <w:marRight w:val="0"/>
                      <w:marTop w:val="0"/>
                      <w:marBottom w:val="0"/>
                      <w:divBdr>
                        <w:top w:val="none" w:sz="0" w:space="0" w:color="auto"/>
                        <w:left w:val="none" w:sz="0" w:space="0" w:color="auto"/>
                        <w:bottom w:val="none" w:sz="0" w:space="0" w:color="auto"/>
                        <w:right w:val="none" w:sz="0" w:space="0" w:color="auto"/>
                      </w:divBdr>
                    </w:div>
                  </w:divsChild>
                </w:div>
                <w:div w:id="962880900">
                  <w:marLeft w:val="0"/>
                  <w:marRight w:val="0"/>
                  <w:marTop w:val="0"/>
                  <w:marBottom w:val="0"/>
                  <w:divBdr>
                    <w:top w:val="none" w:sz="0" w:space="0" w:color="auto"/>
                    <w:left w:val="none" w:sz="0" w:space="0" w:color="auto"/>
                    <w:bottom w:val="none" w:sz="0" w:space="0" w:color="auto"/>
                    <w:right w:val="none" w:sz="0" w:space="0" w:color="auto"/>
                  </w:divBdr>
                  <w:divsChild>
                    <w:div w:id="167600665">
                      <w:marLeft w:val="0"/>
                      <w:marRight w:val="0"/>
                      <w:marTop w:val="120"/>
                      <w:marBottom w:val="0"/>
                      <w:divBdr>
                        <w:top w:val="none" w:sz="0" w:space="0" w:color="auto"/>
                        <w:left w:val="none" w:sz="0" w:space="0" w:color="auto"/>
                        <w:bottom w:val="none" w:sz="0" w:space="0" w:color="auto"/>
                        <w:right w:val="none" w:sz="0" w:space="0" w:color="auto"/>
                      </w:divBdr>
                    </w:div>
                    <w:div w:id="1798373494">
                      <w:marLeft w:val="0"/>
                      <w:marRight w:val="0"/>
                      <w:marTop w:val="0"/>
                      <w:marBottom w:val="0"/>
                      <w:divBdr>
                        <w:top w:val="none" w:sz="0" w:space="0" w:color="auto"/>
                        <w:left w:val="none" w:sz="0" w:space="0" w:color="auto"/>
                        <w:bottom w:val="none" w:sz="0" w:space="0" w:color="auto"/>
                        <w:right w:val="none" w:sz="0" w:space="0" w:color="auto"/>
                      </w:divBdr>
                    </w:div>
                  </w:divsChild>
                </w:div>
                <w:div w:id="1865482954">
                  <w:marLeft w:val="0"/>
                  <w:marRight w:val="0"/>
                  <w:marTop w:val="0"/>
                  <w:marBottom w:val="0"/>
                  <w:divBdr>
                    <w:top w:val="none" w:sz="0" w:space="0" w:color="auto"/>
                    <w:left w:val="none" w:sz="0" w:space="0" w:color="auto"/>
                    <w:bottom w:val="none" w:sz="0" w:space="0" w:color="auto"/>
                    <w:right w:val="none" w:sz="0" w:space="0" w:color="auto"/>
                  </w:divBdr>
                  <w:divsChild>
                    <w:div w:id="443840345">
                      <w:marLeft w:val="0"/>
                      <w:marRight w:val="0"/>
                      <w:marTop w:val="120"/>
                      <w:marBottom w:val="0"/>
                      <w:divBdr>
                        <w:top w:val="none" w:sz="0" w:space="0" w:color="auto"/>
                        <w:left w:val="none" w:sz="0" w:space="0" w:color="auto"/>
                        <w:bottom w:val="none" w:sz="0" w:space="0" w:color="auto"/>
                        <w:right w:val="none" w:sz="0" w:space="0" w:color="auto"/>
                      </w:divBdr>
                    </w:div>
                    <w:div w:id="907154386">
                      <w:marLeft w:val="0"/>
                      <w:marRight w:val="0"/>
                      <w:marTop w:val="0"/>
                      <w:marBottom w:val="0"/>
                      <w:divBdr>
                        <w:top w:val="none" w:sz="0" w:space="0" w:color="auto"/>
                        <w:left w:val="none" w:sz="0" w:space="0" w:color="auto"/>
                        <w:bottom w:val="none" w:sz="0" w:space="0" w:color="auto"/>
                        <w:right w:val="none" w:sz="0" w:space="0" w:color="auto"/>
                      </w:divBdr>
                    </w:div>
                  </w:divsChild>
                </w:div>
                <w:div w:id="970482936">
                  <w:marLeft w:val="0"/>
                  <w:marRight w:val="0"/>
                  <w:marTop w:val="0"/>
                  <w:marBottom w:val="0"/>
                  <w:divBdr>
                    <w:top w:val="none" w:sz="0" w:space="0" w:color="auto"/>
                    <w:left w:val="none" w:sz="0" w:space="0" w:color="auto"/>
                    <w:bottom w:val="none" w:sz="0" w:space="0" w:color="auto"/>
                    <w:right w:val="none" w:sz="0" w:space="0" w:color="auto"/>
                  </w:divBdr>
                  <w:divsChild>
                    <w:div w:id="435054663">
                      <w:marLeft w:val="0"/>
                      <w:marRight w:val="0"/>
                      <w:marTop w:val="120"/>
                      <w:marBottom w:val="0"/>
                      <w:divBdr>
                        <w:top w:val="none" w:sz="0" w:space="0" w:color="auto"/>
                        <w:left w:val="none" w:sz="0" w:space="0" w:color="auto"/>
                        <w:bottom w:val="none" w:sz="0" w:space="0" w:color="auto"/>
                        <w:right w:val="none" w:sz="0" w:space="0" w:color="auto"/>
                      </w:divBdr>
                    </w:div>
                    <w:div w:id="370232070">
                      <w:marLeft w:val="0"/>
                      <w:marRight w:val="0"/>
                      <w:marTop w:val="0"/>
                      <w:marBottom w:val="0"/>
                      <w:divBdr>
                        <w:top w:val="none" w:sz="0" w:space="0" w:color="auto"/>
                        <w:left w:val="none" w:sz="0" w:space="0" w:color="auto"/>
                        <w:bottom w:val="none" w:sz="0" w:space="0" w:color="auto"/>
                        <w:right w:val="none" w:sz="0" w:space="0" w:color="auto"/>
                      </w:divBdr>
                    </w:div>
                  </w:divsChild>
                </w:div>
                <w:div w:id="1685864716">
                  <w:marLeft w:val="0"/>
                  <w:marRight w:val="0"/>
                  <w:marTop w:val="0"/>
                  <w:marBottom w:val="0"/>
                  <w:divBdr>
                    <w:top w:val="none" w:sz="0" w:space="0" w:color="auto"/>
                    <w:left w:val="none" w:sz="0" w:space="0" w:color="auto"/>
                    <w:bottom w:val="none" w:sz="0" w:space="0" w:color="auto"/>
                    <w:right w:val="none" w:sz="0" w:space="0" w:color="auto"/>
                  </w:divBdr>
                  <w:divsChild>
                    <w:div w:id="447896581">
                      <w:marLeft w:val="0"/>
                      <w:marRight w:val="0"/>
                      <w:marTop w:val="120"/>
                      <w:marBottom w:val="0"/>
                      <w:divBdr>
                        <w:top w:val="none" w:sz="0" w:space="0" w:color="auto"/>
                        <w:left w:val="none" w:sz="0" w:space="0" w:color="auto"/>
                        <w:bottom w:val="none" w:sz="0" w:space="0" w:color="auto"/>
                        <w:right w:val="none" w:sz="0" w:space="0" w:color="auto"/>
                      </w:divBdr>
                    </w:div>
                    <w:div w:id="1494175805">
                      <w:marLeft w:val="0"/>
                      <w:marRight w:val="0"/>
                      <w:marTop w:val="0"/>
                      <w:marBottom w:val="0"/>
                      <w:divBdr>
                        <w:top w:val="none" w:sz="0" w:space="0" w:color="auto"/>
                        <w:left w:val="none" w:sz="0" w:space="0" w:color="auto"/>
                        <w:bottom w:val="none" w:sz="0" w:space="0" w:color="auto"/>
                        <w:right w:val="none" w:sz="0" w:space="0" w:color="auto"/>
                      </w:divBdr>
                    </w:div>
                  </w:divsChild>
                </w:div>
                <w:div w:id="1555387653">
                  <w:marLeft w:val="0"/>
                  <w:marRight w:val="0"/>
                  <w:marTop w:val="0"/>
                  <w:marBottom w:val="0"/>
                  <w:divBdr>
                    <w:top w:val="none" w:sz="0" w:space="0" w:color="auto"/>
                    <w:left w:val="none" w:sz="0" w:space="0" w:color="auto"/>
                    <w:bottom w:val="none" w:sz="0" w:space="0" w:color="auto"/>
                    <w:right w:val="none" w:sz="0" w:space="0" w:color="auto"/>
                  </w:divBdr>
                  <w:divsChild>
                    <w:div w:id="218906092">
                      <w:marLeft w:val="0"/>
                      <w:marRight w:val="0"/>
                      <w:marTop w:val="120"/>
                      <w:marBottom w:val="0"/>
                      <w:divBdr>
                        <w:top w:val="none" w:sz="0" w:space="0" w:color="auto"/>
                        <w:left w:val="none" w:sz="0" w:space="0" w:color="auto"/>
                        <w:bottom w:val="none" w:sz="0" w:space="0" w:color="auto"/>
                        <w:right w:val="none" w:sz="0" w:space="0" w:color="auto"/>
                      </w:divBdr>
                    </w:div>
                    <w:div w:id="556819986">
                      <w:marLeft w:val="0"/>
                      <w:marRight w:val="0"/>
                      <w:marTop w:val="0"/>
                      <w:marBottom w:val="0"/>
                      <w:divBdr>
                        <w:top w:val="none" w:sz="0" w:space="0" w:color="auto"/>
                        <w:left w:val="none" w:sz="0" w:space="0" w:color="auto"/>
                        <w:bottom w:val="none" w:sz="0" w:space="0" w:color="auto"/>
                        <w:right w:val="none" w:sz="0" w:space="0" w:color="auto"/>
                      </w:divBdr>
                    </w:div>
                  </w:divsChild>
                </w:div>
                <w:div w:id="1239246925">
                  <w:marLeft w:val="0"/>
                  <w:marRight w:val="0"/>
                  <w:marTop w:val="0"/>
                  <w:marBottom w:val="0"/>
                  <w:divBdr>
                    <w:top w:val="none" w:sz="0" w:space="0" w:color="auto"/>
                    <w:left w:val="none" w:sz="0" w:space="0" w:color="auto"/>
                    <w:bottom w:val="none" w:sz="0" w:space="0" w:color="auto"/>
                    <w:right w:val="none" w:sz="0" w:space="0" w:color="auto"/>
                  </w:divBdr>
                  <w:divsChild>
                    <w:div w:id="1180662494">
                      <w:marLeft w:val="0"/>
                      <w:marRight w:val="0"/>
                      <w:marTop w:val="120"/>
                      <w:marBottom w:val="0"/>
                      <w:divBdr>
                        <w:top w:val="none" w:sz="0" w:space="0" w:color="auto"/>
                        <w:left w:val="none" w:sz="0" w:space="0" w:color="auto"/>
                        <w:bottom w:val="none" w:sz="0" w:space="0" w:color="auto"/>
                        <w:right w:val="none" w:sz="0" w:space="0" w:color="auto"/>
                      </w:divBdr>
                    </w:div>
                    <w:div w:id="922759323">
                      <w:marLeft w:val="0"/>
                      <w:marRight w:val="0"/>
                      <w:marTop w:val="0"/>
                      <w:marBottom w:val="0"/>
                      <w:divBdr>
                        <w:top w:val="none" w:sz="0" w:space="0" w:color="auto"/>
                        <w:left w:val="none" w:sz="0" w:space="0" w:color="auto"/>
                        <w:bottom w:val="none" w:sz="0" w:space="0" w:color="auto"/>
                        <w:right w:val="none" w:sz="0" w:space="0" w:color="auto"/>
                      </w:divBdr>
                    </w:div>
                  </w:divsChild>
                </w:div>
                <w:div w:id="2051294357">
                  <w:marLeft w:val="0"/>
                  <w:marRight w:val="0"/>
                  <w:marTop w:val="0"/>
                  <w:marBottom w:val="0"/>
                  <w:divBdr>
                    <w:top w:val="none" w:sz="0" w:space="0" w:color="auto"/>
                    <w:left w:val="none" w:sz="0" w:space="0" w:color="auto"/>
                    <w:bottom w:val="none" w:sz="0" w:space="0" w:color="auto"/>
                    <w:right w:val="none" w:sz="0" w:space="0" w:color="auto"/>
                  </w:divBdr>
                  <w:divsChild>
                    <w:div w:id="2007439080">
                      <w:marLeft w:val="0"/>
                      <w:marRight w:val="0"/>
                      <w:marTop w:val="120"/>
                      <w:marBottom w:val="0"/>
                      <w:divBdr>
                        <w:top w:val="none" w:sz="0" w:space="0" w:color="auto"/>
                        <w:left w:val="none" w:sz="0" w:space="0" w:color="auto"/>
                        <w:bottom w:val="none" w:sz="0" w:space="0" w:color="auto"/>
                        <w:right w:val="none" w:sz="0" w:space="0" w:color="auto"/>
                      </w:divBdr>
                    </w:div>
                    <w:div w:id="1525090691">
                      <w:marLeft w:val="0"/>
                      <w:marRight w:val="0"/>
                      <w:marTop w:val="0"/>
                      <w:marBottom w:val="0"/>
                      <w:divBdr>
                        <w:top w:val="none" w:sz="0" w:space="0" w:color="auto"/>
                        <w:left w:val="none" w:sz="0" w:space="0" w:color="auto"/>
                        <w:bottom w:val="none" w:sz="0" w:space="0" w:color="auto"/>
                        <w:right w:val="none" w:sz="0" w:space="0" w:color="auto"/>
                      </w:divBdr>
                    </w:div>
                  </w:divsChild>
                </w:div>
                <w:div w:id="1883782577">
                  <w:marLeft w:val="0"/>
                  <w:marRight w:val="0"/>
                  <w:marTop w:val="0"/>
                  <w:marBottom w:val="0"/>
                  <w:divBdr>
                    <w:top w:val="none" w:sz="0" w:space="0" w:color="auto"/>
                    <w:left w:val="none" w:sz="0" w:space="0" w:color="auto"/>
                    <w:bottom w:val="none" w:sz="0" w:space="0" w:color="auto"/>
                    <w:right w:val="none" w:sz="0" w:space="0" w:color="auto"/>
                  </w:divBdr>
                  <w:divsChild>
                    <w:div w:id="780075730">
                      <w:marLeft w:val="0"/>
                      <w:marRight w:val="0"/>
                      <w:marTop w:val="120"/>
                      <w:marBottom w:val="0"/>
                      <w:divBdr>
                        <w:top w:val="none" w:sz="0" w:space="0" w:color="auto"/>
                        <w:left w:val="none" w:sz="0" w:space="0" w:color="auto"/>
                        <w:bottom w:val="none" w:sz="0" w:space="0" w:color="auto"/>
                        <w:right w:val="none" w:sz="0" w:space="0" w:color="auto"/>
                      </w:divBdr>
                    </w:div>
                    <w:div w:id="674188019">
                      <w:marLeft w:val="0"/>
                      <w:marRight w:val="0"/>
                      <w:marTop w:val="0"/>
                      <w:marBottom w:val="0"/>
                      <w:divBdr>
                        <w:top w:val="none" w:sz="0" w:space="0" w:color="auto"/>
                        <w:left w:val="none" w:sz="0" w:space="0" w:color="auto"/>
                        <w:bottom w:val="none" w:sz="0" w:space="0" w:color="auto"/>
                        <w:right w:val="none" w:sz="0" w:space="0" w:color="auto"/>
                      </w:divBdr>
                    </w:div>
                  </w:divsChild>
                </w:div>
                <w:div w:id="323432733">
                  <w:marLeft w:val="0"/>
                  <w:marRight w:val="0"/>
                  <w:marTop w:val="0"/>
                  <w:marBottom w:val="0"/>
                  <w:divBdr>
                    <w:top w:val="none" w:sz="0" w:space="0" w:color="auto"/>
                    <w:left w:val="none" w:sz="0" w:space="0" w:color="auto"/>
                    <w:bottom w:val="none" w:sz="0" w:space="0" w:color="auto"/>
                    <w:right w:val="none" w:sz="0" w:space="0" w:color="auto"/>
                  </w:divBdr>
                  <w:divsChild>
                    <w:div w:id="1527406404">
                      <w:marLeft w:val="0"/>
                      <w:marRight w:val="0"/>
                      <w:marTop w:val="120"/>
                      <w:marBottom w:val="0"/>
                      <w:divBdr>
                        <w:top w:val="none" w:sz="0" w:space="0" w:color="auto"/>
                        <w:left w:val="none" w:sz="0" w:space="0" w:color="auto"/>
                        <w:bottom w:val="none" w:sz="0" w:space="0" w:color="auto"/>
                        <w:right w:val="none" w:sz="0" w:space="0" w:color="auto"/>
                      </w:divBdr>
                    </w:div>
                    <w:div w:id="1321347652">
                      <w:marLeft w:val="0"/>
                      <w:marRight w:val="0"/>
                      <w:marTop w:val="0"/>
                      <w:marBottom w:val="0"/>
                      <w:divBdr>
                        <w:top w:val="none" w:sz="0" w:space="0" w:color="auto"/>
                        <w:left w:val="none" w:sz="0" w:space="0" w:color="auto"/>
                        <w:bottom w:val="none" w:sz="0" w:space="0" w:color="auto"/>
                        <w:right w:val="none" w:sz="0" w:space="0" w:color="auto"/>
                      </w:divBdr>
                    </w:div>
                  </w:divsChild>
                </w:div>
                <w:div w:id="2011371010">
                  <w:marLeft w:val="0"/>
                  <w:marRight w:val="0"/>
                  <w:marTop w:val="0"/>
                  <w:marBottom w:val="0"/>
                  <w:divBdr>
                    <w:top w:val="none" w:sz="0" w:space="0" w:color="auto"/>
                    <w:left w:val="none" w:sz="0" w:space="0" w:color="auto"/>
                    <w:bottom w:val="none" w:sz="0" w:space="0" w:color="auto"/>
                    <w:right w:val="none" w:sz="0" w:space="0" w:color="auto"/>
                  </w:divBdr>
                  <w:divsChild>
                    <w:div w:id="1275596650">
                      <w:marLeft w:val="0"/>
                      <w:marRight w:val="0"/>
                      <w:marTop w:val="120"/>
                      <w:marBottom w:val="0"/>
                      <w:divBdr>
                        <w:top w:val="none" w:sz="0" w:space="0" w:color="auto"/>
                        <w:left w:val="none" w:sz="0" w:space="0" w:color="auto"/>
                        <w:bottom w:val="none" w:sz="0" w:space="0" w:color="auto"/>
                        <w:right w:val="none" w:sz="0" w:space="0" w:color="auto"/>
                      </w:divBdr>
                    </w:div>
                    <w:div w:id="244456266">
                      <w:marLeft w:val="0"/>
                      <w:marRight w:val="0"/>
                      <w:marTop w:val="0"/>
                      <w:marBottom w:val="0"/>
                      <w:divBdr>
                        <w:top w:val="none" w:sz="0" w:space="0" w:color="auto"/>
                        <w:left w:val="none" w:sz="0" w:space="0" w:color="auto"/>
                        <w:bottom w:val="none" w:sz="0" w:space="0" w:color="auto"/>
                        <w:right w:val="none" w:sz="0" w:space="0" w:color="auto"/>
                      </w:divBdr>
                      <w:divsChild>
                        <w:div w:id="949974352">
                          <w:marLeft w:val="0"/>
                          <w:marRight w:val="0"/>
                          <w:marTop w:val="0"/>
                          <w:marBottom w:val="0"/>
                          <w:divBdr>
                            <w:top w:val="none" w:sz="0" w:space="0" w:color="auto"/>
                            <w:left w:val="none" w:sz="0" w:space="0" w:color="auto"/>
                            <w:bottom w:val="none" w:sz="0" w:space="0" w:color="auto"/>
                            <w:right w:val="none" w:sz="0" w:space="0" w:color="auto"/>
                          </w:divBdr>
                          <w:divsChild>
                            <w:div w:id="1413046561">
                              <w:marLeft w:val="0"/>
                              <w:marRight w:val="0"/>
                              <w:marTop w:val="120"/>
                              <w:marBottom w:val="0"/>
                              <w:divBdr>
                                <w:top w:val="none" w:sz="0" w:space="0" w:color="auto"/>
                                <w:left w:val="none" w:sz="0" w:space="0" w:color="auto"/>
                                <w:bottom w:val="none" w:sz="0" w:space="0" w:color="auto"/>
                                <w:right w:val="none" w:sz="0" w:space="0" w:color="auto"/>
                              </w:divBdr>
                            </w:div>
                            <w:div w:id="1719430416">
                              <w:marLeft w:val="0"/>
                              <w:marRight w:val="0"/>
                              <w:marTop w:val="0"/>
                              <w:marBottom w:val="0"/>
                              <w:divBdr>
                                <w:top w:val="none" w:sz="0" w:space="0" w:color="auto"/>
                                <w:left w:val="none" w:sz="0" w:space="0" w:color="auto"/>
                                <w:bottom w:val="none" w:sz="0" w:space="0" w:color="auto"/>
                                <w:right w:val="none" w:sz="0" w:space="0" w:color="auto"/>
                              </w:divBdr>
                            </w:div>
                          </w:divsChild>
                        </w:div>
                        <w:div w:id="1498109004">
                          <w:marLeft w:val="0"/>
                          <w:marRight w:val="0"/>
                          <w:marTop w:val="0"/>
                          <w:marBottom w:val="0"/>
                          <w:divBdr>
                            <w:top w:val="none" w:sz="0" w:space="0" w:color="auto"/>
                            <w:left w:val="none" w:sz="0" w:space="0" w:color="auto"/>
                            <w:bottom w:val="none" w:sz="0" w:space="0" w:color="auto"/>
                            <w:right w:val="none" w:sz="0" w:space="0" w:color="auto"/>
                          </w:divBdr>
                          <w:divsChild>
                            <w:div w:id="925772586">
                              <w:marLeft w:val="0"/>
                              <w:marRight w:val="0"/>
                              <w:marTop w:val="120"/>
                              <w:marBottom w:val="0"/>
                              <w:divBdr>
                                <w:top w:val="none" w:sz="0" w:space="0" w:color="auto"/>
                                <w:left w:val="none" w:sz="0" w:space="0" w:color="auto"/>
                                <w:bottom w:val="none" w:sz="0" w:space="0" w:color="auto"/>
                                <w:right w:val="none" w:sz="0" w:space="0" w:color="auto"/>
                              </w:divBdr>
                            </w:div>
                            <w:div w:id="2977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75417">
                  <w:marLeft w:val="0"/>
                  <w:marRight w:val="0"/>
                  <w:marTop w:val="0"/>
                  <w:marBottom w:val="0"/>
                  <w:divBdr>
                    <w:top w:val="none" w:sz="0" w:space="0" w:color="auto"/>
                    <w:left w:val="none" w:sz="0" w:space="0" w:color="auto"/>
                    <w:bottom w:val="none" w:sz="0" w:space="0" w:color="auto"/>
                    <w:right w:val="none" w:sz="0" w:space="0" w:color="auto"/>
                  </w:divBdr>
                  <w:divsChild>
                    <w:div w:id="1203249519">
                      <w:marLeft w:val="0"/>
                      <w:marRight w:val="0"/>
                      <w:marTop w:val="120"/>
                      <w:marBottom w:val="0"/>
                      <w:divBdr>
                        <w:top w:val="none" w:sz="0" w:space="0" w:color="auto"/>
                        <w:left w:val="none" w:sz="0" w:space="0" w:color="auto"/>
                        <w:bottom w:val="none" w:sz="0" w:space="0" w:color="auto"/>
                        <w:right w:val="none" w:sz="0" w:space="0" w:color="auto"/>
                      </w:divBdr>
                    </w:div>
                    <w:div w:id="865406888">
                      <w:marLeft w:val="0"/>
                      <w:marRight w:val="0"/>
                      <w:marTop w:val="0"/>
                      <w:marBottom w:val="0"/>
                      <w:divBdr>
                        <w:top w:val="none" w:sz="0" w:space="0" w:color="auto"/>
                        <w:left w:val="none" w:sz="0" w:space="0" w:color="auto"/>
                        <w:bottom w:val="none" w:sz="0" w:space="0" w:color="auto"/>
                        <w:right w:val="none" w:sz="0" w:space="0" w:color="auto"/>
                      </w:divBdr>
                    </w:div>
                  </w:divsChild>
                </w:div>
                <w:div w:id="473761324">
                  <w:marLeft w:val="0"/>
                  <w:marRight w:val="0"/>
                  <w:marTop w:val="0"/>
                  <w:marBottom w:val="0"/>
                  <w:divBdr>
                    <w:top w:val="none" w:sz="0" w:space="0" w:color="auto"/>
                    <w:left w:val="none" w:sz="0" w:space="0" w:color="auto"/>
                    <w:bottom w:val="none" w:sz="0" w:space="0" w:color="auto"/>
                    <w:right w:val="none" w:sz="0" w:space="0" w:color="auto"/>
                  </w:divBdr>
                  <w:divsChild>
                    <w:div w:id="506871688">
                      <w:marLeft w:val="0"/>
                      <w:marRight w:val="0"/>
                      <w:marTop w:val="120"/>
                      <w:marBottom w:val="0"/>
                      <w:divBdr>
                        <w:top w:val="none" w:sz="0" w:space="0" w:color="auto"/>
                        <w:left w:val="none" w:sz="0" w:space="0" w:color="auto"/>
                        <w:bottom w:val="none" w:sz="0" w:space="0" w:color="auto"/>
                        <w:right w:val="none" w:sz="0" w:space="0" w:color="auto"/>
                      </w:divBdr>
                    </w:div>
                    <w:div w:id="1183662362">
                      <w:marLeft w:val="0"/>
                      <w:marRight w:val="0"/>
                      <w:marTop w:val="0"/>
                      <w:marBottom w:val="0"/>
                      <w:divBdr>
                        <w:top w:val="none" w:sz="0" w:space="0" w:color="auto"/>
                        <w:left w:val="none" w:sz="0" w:space="0" w:color="auto"/>
                        <w:bottom w:val="none" w:sz="0" w:space="0" w:color="auto"/>
                        <w:right w:val="none" w:sz="0" w:space="0" w:color="auto"/>
                      </w:divBdr>
                      <w:divsChild>
                        <w:div w:id="121921826">
                          <w:marLeft w:val="0"/>
                          <w:marRight w:val="0"/>
                          <w:marTop w:val="0"/>
                          <w:marBottom w:val="0"/>
                          <w:divBdr>
                            <w:top w:val="none" w:sz="0" w:space="0" w:color="auto"/>
                            <w:left w:val="none" w:sz="0" w:space="0" w:color="auto"/>
                            <w:bottom w:val="none" w:sz="0" w:space="0" w:color="auto"/>
                            <w:right w:val="none" w:sz="0" w:space="0" w:color="auto"/>
                          </w:divBdr>
                          <w:divsChild>
                            <w:div w:id="1849099417">
                              <w:marLeft w:val="0"/>
                              <w:marRight w:val="0"/>
                              <w:marTop w:val="120"/>
                              <w:marBottom w:val="0"/>
                              <w:divBdr>
                                <w:top w:val="none" w:sz="0" w:space="0" w:color="auto"/>
                                <w:left w:val="none" w:sz="0" w:space="0" w:color="auto"/>
                                <w:bottom w:val="none" w:sz="0" w:space="0" w:color="auto"/>
                                <w:right w:val="none" w:sz="0" w:space="0" w:color="auto"/>
                              </w:divBdr>
                            </w:div>
                            <w:div w:id="1093432408">
                              <w:marLeft w:val="0"/>
                              <w:marRight w:val="0"/>
                              <w:marTop w:val="0"/>
                              <w:marBottom w:val="0"/>
                              <w:divBdr>
                                <w:top w:val="none" w:sz="0" w:space="0" w:color="auto"/>
                                <w:left w:val="none" w:sz="0" w:space="0" w:color="auto"/>
                                <w:bottom w:val="none" w:sz="0" w:space="0" w:color="auto"/>
                                <w:right w:val="none" w:sz="0" w:space="0" w:color="auto"/>
                              </w:divBdr>
                              <w:divsChild>
                                <w:div w:id="792478961">
                                  <w:marLeft w:val="0"/>
                                  <w:marRight w:val="0"/>
                                  <w:marTop w:val="0"/>
                                  <w:marBottom w:val="0"/>
                                  <w:divBdr>
                                    <w:top w:val="none" w:sz="0" w:space="0" w:color="auto"/>
                                    <w:left w:val="none" w:sz="0" w:space="0" w:color="auto"/>
                                    <w:bottom w:val="none" w:sz="0" w:space="0" w:color="auto"/>
                                    <w:right w:val="none" w:sz="0" w:space="0" w:color="auto"/>
                                  </w:divBdr>
                                  <w:divsChild>
                                    <w:div w:id="2021810706">
                                      <w:marLeft w:val="0"/>
                                      <w:marRight w:val="0"/>
                                      <w:marTop w:val="120"/>
                                      <w:marBottom w:val="0"/>
                                      <w:divBdr>
                                        <w:top w:val="none" w:sz="0" w:space="0" w:color="auto"/>
                                        <w:left w:val="none" w:sz="0" w:space="0" w:color="auto"/>
                                        <w:bottom w:val="none" w:sz="0" w:space="0" w:color="auto"/>
                                        <w:right w:val="none" w:sz="0" w:space="0" w:color="auto"/>
                                      </w:divBdr>
                                    </w:div>
                                    <w:div w:id="1695229702">
                                      <w:marLeft w:val="0"/>
                                      <w:marRight w:val="0"/>
                                      <w:marTop w:val="0"/>
                                      <w:marBottom w:val="0"/>
                                      <w:divBdr>
                                        <w:top w:val="none" w:sz="0" w:space="0" w:color="auto"/>
                                        <w:left w:val="none" w:sz="0" w:space="0" w:color="auto"/>
                                        <w:bottom w:val="none" w:sz="0" w:space="0" w:color="auto"/>
                                        <w:right w:val="none" w:sz="0" w:space="0" w:color="auto"/>
                                      </w:divBdr>
                                    </w:div>
                                  </w:divsChild>
                                </w:div>
                                <w:div w:id="448866021">
                                  <w:marLeft w:val="0"/>
                                  <w:marRight w:val="0"/>
                                  <w:marTop w:val="0"/>
                                  <w:marBottom w:val="0"/>
                                  <w:divBdr>
                                    <w:top w:val="none" w:sz="0" w:space="0" w:color="auto"/>
                                    <w:left w:val="none" w:sz="0" w:space="0" w:color="auto"/>
                                    <w:bottom w:val="none" w:sz="0" w:space="0" w:color="auto"/>
                                    <w:right w:val="none" w:sz="0" w:space="0" w:color="auto"/>
                                  </w:divBdr>
                                  <w:divsChild>
                                    <w:div w:id="2107312217">
                                      <w:marLeft w:val="0"/>
                                      <w:marRight w:val="0"/>
                                      <w:marTop w:val="120"/>
                                      <w:marBottom w:val="0"/>
                                      <w:divBdr>
                                        <w:top w:val="none" w:sz="0" w:space="0" w:color="auto"/>
                                        <w:left w:val="none" w:sz="0" w:space="0" w:color="auto"/>
                                        <w:bottom w:val="none" w:sz="0" w:space="0" w:color="auto"/>
                                        <w:right w:val="none" w:sz="0" w:space="0" w:color="auto"/>
                                      </w:divBdr>
                                    </w:div>
                                    <w:div w:id="1516575369">
                                      <w:marLeft w:val="0"/>
                                      <w:marRight w:val="0"/>
                                      <w:marTop w:val="0"/>
                                      <w:marBottom w:val="0"/>
                                      <w:divBdr>
                                        <w:top w:val="none" w:sz="0" w:space="0" w:color="auto"/>
                                        <w:left w:val="none" w:sz="0" w:space="0" w:color="auto"/>
                                        <w:bottom w:val="none" w:sz="0" w:space="0" w:color="auto"/>
                                        <w:right w:val="none" w:sz="0" w:space="0" w:color="auto"/>
                                      </w:divBdr>
                                    </w:div>
                                  </w:divsChild>
                                </w:div>
                                <w:div w:id="1385064207">
                                  <w:marLeft w:val="0"/>
                                  <w:marRight w:val="0"/>
                                  <w:marTop w:val="0"/>
                                  <w:marBottom w:val="0"/>
                                  <w:divBdr>
                                    <w:top w:val="none" w:sz="0" w:space="0" w:color="auto"/>
                                    <w:left w:val="none" w:sz="0" w:space="0" w:color="auto"/>
                                    <w:bottom w:val="none" w:sz="0" w:space="0" w:color="auto"/>
                                    <w:right w:val="none" w:sz="0" w:space="0" w:color="auto"/>
                                  </w:divBdr>
                                  <w:divsChild>
                                    <w:div w:id="989021815">
                                      <w:marLeft w:val="0"/>
                                      <w:marRight w:val="0"/>
                                      <w:marTop w:val="120"/>
                                      <w:marBottom w:val="0"/>
                                      <w:divBdr>
                                        <w:top w:val="none" w:sz="0" w:space="0" w:color="auto"/>
                                        <w:left w:val="none" w:sz="0" w:space="0" w:color="auto"/>
                                        <w:bottom w:val="none" w:sz="0" w:space="0" w:color="auto"/>
                                        <w:right w:val="none" w:sz="0" w:space="0" w:color="auto"/>
                                      </w:divBdr>
                                    </w:div>
                                    <w:div w:id="163768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94615">
                          <w:marLeft w:val="0"/>
                          <w:marRight w:val="0"/>
                          <w:marTop w:val="0"/>
                          <w:marBottom w:val="0"/>
                          <w:divBdr>
                            <w:top w:val="none" w:sz="0" w:space="0" w:color="auto"/>
                            <w:left w:val="none" w:sz="0" w:space="0" w:color="auto"/>
                            <w:bottom w:val="none" w:sz="0" w:space="0" w:color="auto"/>
                            <w:right w:val="none" w:sz="0" w:space="0" w:color="auto"/>
                          </w:divBdr>
                          <w:divsChild>
                            <w:div w:id="1817066064">
                              <w:marLeft w:val="0"/>
                              <w:marRight w:val="0"/>
                              <w:marTop w:val="120"/>
                              <w:marBottom w:val="0"/>
                              <w:divBdr>
                                <w:top w:val="none" w:sz="0" w:space="0" w:color="auto"/>
                                <w:left w:val="none" w:sz="0" w:space="0" w:color="auto"/>
                                <w:bottom w:val="none" w:sz="0" w:space="0" w:color="auto"/>
                                <w:right w:val="none" w:sz="0" w:space="0" w:color="auto"/>
                              </w:divBdr>
                            </w:div>
                            <w:div w:id="7166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37003">
                  <w:marLeft w:val="0"/>
                  <w:marRight w:val="0"/>
                  <w:marTop w:val="0"/>
                  <w:marBottom w:val="0"/>
                  <w:divBdr>
                    <w:top w:val="none" w:sz="0" w:space="0" w:color="auto"/>
                    <w:left w:val="none" w:sz="0" w:space="0" w:color="auto"/>
                    <w:bottom w:val="none" w:sz="0" w:space="0" w:color="auto"/>
                    <w:right w:val="none" w:sz="0" w:space="0" w:color="auto"/>
                  </w:divBdr>
                  <w:divsChild>
                    <w:div w:id="1335377565">
                      <w:marLeft w:val="0"/>
                      <w:marRight w:val="0"/>
                      <w:marTop w:val="120"/>
                      <w:marBottom w:val="0"/>
                      <w:divBdr>
                        <w:top w:val="none" w:sz="0" w:space="0" w:color="auto"/>
                        <w:left w:val="none" w:sz="0" w:space="0" w:color="auto"/>
                        <w:bottom w:val="none" w:sz="0" w:space="0" w:color="auto"/>
                        <w:right w:val="none" w:sz="0" w:space="0" w:color="auto"/>
                      </w:divBdr>
                    </w:div>
                    <w:div w:id="960038696">
                      <w:marLeft w:val="0"/>
                      <w:marRight w:val="0"/>
                      <w:marTop w:val="0"/>
                      <w:marBottom w:val="0"/>
                      <w:divBdr>
                        <w:top w:val="none" w:sz="0" w:space="0" w:color="auto"/>
                        <w:left w:val="none" w:sz="0" w:space="0" w:color="auto"/>
                        <w:bottom w:val="none" w:sz="0" w:space="0" w:color="auto"/>
                        <w:right w:val="none" w:sz="0" w:space="0" w:color="auto"/>
                      </w:divBdr>
                    </w:div>
                  </w:divsChild>
                </w:div>
                <w:div w:id="973559915">
                  <w:marLeft w:val="0"/>
                  <w:marRight w:val="0"/>
                  <w:marTop w:val="0"/>
                  <w:marBottom w:val="0"/>
                  <w:divBdr>
                    <w:top w:val="none" w:sz="0" w:space="0" w:color="auto"/>
                    <w:left w:val="none" w:sz="0" w:space="0" w:color="auto"/>
                    <w:bottom w:val="none" w:sz="0" w:space="0" w:color="auto"/>
                    <w:right w:val="none" w:sz="0" w:space="0" w:color="auto"/>
                  </w:divBdr>
                  <w:divsChild>
                    <w:div w:id="690450485">
                      <w:marLeft w:val="0"/>
                      <w:marRight w:val="0"/>
                      <w:marTop w:val="120"/>
                      <w:marBottom w:val="0"/>
                      <w:divBdr>
                        <w:top w:val="none" w:sz="0" w:space="0" w:color="auto"/>
                        <w:left w:val="none" w:sz="0" w:space="0" w:color="auto"/>
                        <w:bottom w:val="none" w:sz="0" w:space="0" w:color="auto"/>
                        <w:right w:val="none" w:sz="0" w:space="0" w:color="auto"/>
                      </w:divBdr>
                    </w:div>
                    <w:div w:id="1377924476">
                      <w:marLeft w:val="0"/>
                      <w:marRight w:val="0"/>
                      <w:marTop w:val="0"/>
                      <w:marBottom w:val="0"/>
                      <w:divBdr>
                        <w:top w:val="none" w:sz="0" w:space="0" w:color="auto"/>
                        <w:left w:val="none" w:sz="0" w:space="0" w:color="auto"/>
                        <w:bottom w:val="none" w:sz="0" w:space="0" w:color="auto"/>
                        <w:right w:val="none" w:sz="0" w:space="0" w:color="auto"/>
                      </w:divBdr>
                    </w:div>
                  </w:divsChild>
                </w:div>
                <w:div w:id="1313753885">
                  <w:marLeft w:val="0"/>
                  <w:marRight w:val="0"/>
                  <w:marTop w:val="0"/>
                  <w:marBottom w:val="0"/>
                  <w:divBdr>
                    <w:top w:val="none" w:sz="0" w:space="0" w:color="auto"/>
                    <w:left w:val="none" w:sz="0" w:space="0" w:color="auto"/>
                    <w:bottom w:val="none" w:sz="0" w:space="0" w:color="auto"/>
                    <w:right w:val="none" w:sz="0" w:space="0" w:color="auto"/>
                  </w:divBdr>
                  <w:divsChild>
                    <w:div w:id="614098243">
                      <w:marLeft w:val="0"/>
                      <w:marRight w:val="0"/>
                      <w:marTop w:val="120"/>
                      <w:marBottom w:val="0"/>
                      <w:divBdr>
                        <w:top w:val="none" w:sz="0" w:space="0" w:color="auto"/>
                        <w:left w:val="none" w:sz="0" w:space="0" w:color="auto"/>
                        <w:bottom w:val="none" w:sz="0" w:space="0" w:color="auto"/>
                        <w:right w:val="none" w:sz="0" w:space="0" w:color="auto"/>
                      </w:divBdr>
                    </w:div>
                    <w:div w:id="1471633196">
                      <w:marLeft w:val="0"/>
                      <w:marRight w:val="0"/>
                      <w:marTop w:val="0"/>
                      <w:marBottom w:val="0"/>
                      <w:divBdr>
                        <w:top w:val="none" w:sz="0" w:space="0" w:color="auto"/>
                        <w:left w:val="none" w:sz="0" w:space="0" w:color="auto"/>
                        <w:bottom w:val="none" w:sz="0" w:space="0" w:color="auto"/>
                        <w:right w:val="none" w:sz="0" w:space="0" w:color="auto"/>
                      </w:divBdr>
                    </w:div>
                  </w:divsChild>
                </w:div>
                <w:div w:id="146676208">
                  <w:marLeft w:val="0"/>
                  <w:marRight w:val="0"/>
                  <w:marTop w:val="0"/>
                  <w:marBottom w:val="0"/>
                  <w:divBdr>
                    <w:top w:val="none" w:sz="0" w:space="0" w:color="auto"/>
                    <w:left w:val="none" w:sz="0" w:space="0" w:color="auto"/>
                    <w:bottom w:val="none" w:sz="0" w:space="0" w:color="auto"/>
                    <w:right w:val="none" w:sz="0" w:space="0" w:color="auto"/>
                  </w:divBdr>
                  <w:divsChild>
                    <w:div w:id="1020427983">
                      <w:marLeft w:val="0"/>
                      <w:marRight w:val="0"/>
                      <w:marTop w:val="120"/>
                      <w:marBottom w:val="0"/>
                      <w:divBdr>
                        <w:top w:val="none" w:sz="0" w:space="0" w:color="auto"/>
                        <w:left w:val="none" w:sz="0" w:space="0" w:color="auto"/>
                        <w:bottom w:val="none" w:sz="0" w:space="0" w:color="auto"/>
                        <w:right w:val="none" w:sz="0" w:space="0" w:color="auto"/>
                      </w:divBdr>
                    </w:div>
                    <w:div w:id="2014186777">
                      <w:marLeft w:val="0"/>
                      <w:marRight w:val="0"/>
                      <w:marTop w:val="0"/>
                      <w:marBottom w:val="0"/>
                      <w:divBdr>
                        <w:top w:val="none" w:sz="0" w:space="0" w:color="auto"/>
                        <w:left w:val="none" w:sz="0" w:space="0" w:color="auto"/>
                        <w:bottom w:val="none" w:sz="0" w:space="0" w:color="auto"/>
                        <w:right w:val="none" w:sz="0" w:space="0" w:color="auto"/>
                      </w:divBdr>
                    </w:div>
                  </w:divsChild>
                </w:div>
                <w:div w:id="629939539">
                  <w:marLeft w:val="0"/>
                  <w:marRight w:val="0"/>
                  <w:marTop w:val="0"/>
                  <w:marBottom w:val="0"/>
                  <w:divBdr>
                    <w:top w:val="none" w:sz="0" w:space="0" w:color="auto"/>
                    <w:left w:val="none" w:sz="0" w:space="0" w:color="auto"/>
                    <w:bottom w:val="none" w:sz="0" w:space="0" w:color="auto"/>
                    <w:right w:val="none" w:sz="0" w:space="0" w:color="auto"/>
                  </w:divBdr>
                  <w:divsChild>
                    <w:div w:id="604771389">
                      <w:marLeft w:val="0"/>
                      <w:marRight w:val="0"/>
                      <w:marTop w:val="120"/>
                      <w:marBottom w:val="0"/>
                      <w:divBdr>
                        <w:top w:val="none" w:sz="0" w:space="0" w:color="auto"/>
                        <w:left w:val="none" w:sz="0" w:space="0" w:color="auto"/>
                        <w:bottom w:val="none" w:sz="0" w:space="0" w:color="auto"/>
                        <w:right w:val="none" w:sz="0" w:space="0" w:color="auto"/>
                      </w:divBdr>
                    </w:div>
                    <w:div w:id="2126652399">
                      <w:marLeft w:val="0"/>
                      <w:marRight w:val="0"/>
                      <w:marTop w:val="0"/>
                      <w:marBottom w:val="0"/>
                      <w:divBdr>
                        <w:top w:val="none" w:sz="0" w:space="0" w:color="auto"/>
                        <w:left w:val="none" w:sz="0" w:space="0" w:color="auto"/>
                        <w:bottom w:val="none" w:sz="0" w:space="0" w:color="auto"/>
                        <w:right w:val="none" w:sz="0" w:space="0" w:color="auto"/>
                      </w:divBdr>
                    </w:div>
                  </w:divsChild>
                </w:div>
                <w:div w:id="579412504">
                  <w:marLeft w:val="0"/>
                  <w:marRight w:val="0"/>
                  <w:marTop w:val="0"/>
                  <w:marBottom w:val="0"/>
                  <w:divBdr>
                    <w:top w:val="none" w:sz="0" w:space="0" w:color="auto"/>
                    <w:left w:val="none" w:sz="0" w:space="0" w:color="auto"/>
                    <w:bottom w:val="none" w:sz="0" w:space="0" w:color="auto"/>
                    <w:right w:val="none" w:sz="0" w:space="0" w:color="auto"/>
                  </w:divBdr>
                  <w:divsChild>
                    <w:div w:id="32391464">
                      <w:marLeft w:val="0"/>
                      <w:marRight w:val="0"/>
                      <w:marTop w:val="120"/>
                      <w:marBottom w:val="0"/>
                      <w:divBdr>
                        <w:top w:val="none" w:sz="0" w:space="0" w:color="auto"/>
                        <w:left w:val="none" w:sz="0" w:space="0" w:color="auto"/>
                        <w:bottom w:val="none" w:sz="0" w:space="0" w:color="auto"/>
                        <w:right w:val="none" w:sz="0" w:space="0" w:color="auto"/>
                      </w:divBdr>
                    </w:div>
                    <w:div w:id="716392110">
                      <w:marLeft w:val="0"/>
                      <w:marRight w:val="0"/>
                      <w:marTop w:val="0"/>
                      <w:marBottom w:val="0"/>
                      <w:divBdr>
                        <w:top w:val="none" w:sz="0" w:space="0" w:color="auto"/>
                        <w:left w:val="none" w:sz="0" w:space="0" w:color="auto"/>
                        <w:bottom w:val="none" w:sz="0" w:space="0" w:color="auto"/>
                        <w:right w:val="none" w:sz="0" w:space="0" w:color="auto"/>
                      </w:divBdr>
                    </w:div>
                  </w:divsChild>
                </w:div>
                <w:div w:id="1715889707">
                  <w:marLeft w:val="0"/>
                  <w:marRight w:val="0"/>
                  <w:marTop w:val="0"/>
                  <w:marBottom w:val="0"/>
                  <w:divBdr>
                    <w:top w:val="none" w:sz="0" w:space="0" w:color="auto"/>
                    <w:left w:val="none" w:sz="0" w:space="0" w:color="auto"/>
                    <w:bottom w:val="none" w:sz="0" w:space="0" w:color="auto"/>
                    <w:right w:val="none" w:sz="0" w:space="0" w:color="auto"/>
                  </w:divBdr>
                  <w:divsChild>
                    <w:div w:id="142505032">
                      <w:marLeft w:val="0"/>
                      <w:marRight w:val="0"/>
                      <w:marTop w:val="120"/>
                      <w:marBottom w:val="0"/>
                      <w:divBdr>
                        <w:top w:val="none" w:sz="0" w:space="0" w:color="auto"/>
                        <w:left w:val="none" w:sz="0" w:space="0" w:color="auto"/>
                        <w:bottom w:val="none" w:sz="0" w:space="0" w:color="auto"/>
                        <w:right w:val="none" w:sz="0" w:space="0" w:color="auto"/>
                      </w:divBdr>
                    </w:div>
                    <w:div w:id="387462183">
                      <w:marLeft w:val="0"/>
                      <w:marRight w:val="0"/>
                      <w:marTop w:val="0"/>
                      <w:marBottom w:val="0"/>
                      <w:divBdr>
                        <w:top w:val="none" w:sz="0" w:space="0" w:color="auto"/>
                        <w:left w:val="none" w:sz="0" w:space="0" w:color="auto"/>
                        <w:bottom w:val="none" w:sz="0" w:space="0" w:color="auto"/>
                        <w:right w:val="none" w:sz="0" w:space="0" w:color="auto"/>
                      </w:divBdr>
                    </w:div>
                  </w:divsChild>
                </w:div>
                <w:div w:id="1224027643">
                  <w:marLeft w:val="0"/>
                  <w:marRight w:val="0"/>
                  <w:marTop w:val="0"/>
                  <w:marBottom w:val="0"/>
                  <w:divBdr>
                    <w:top w:val="none" w:sz="0" w:space="0" w:color="auto"/>
                    <w:left w:val="none" w:sz="0" w:space="0" w:color="auto"/>
                    <w:bottom w:val="none" w:sz="0" w:space="0" w:color="auto"/>
                    <w:right w:val="none" w:sz="0" w:space="0" w:color="auto"/>
                  </w:divBdr>
                  <w:divsChild>
                    <w:div w:id="374502239">
                      <w:marLeft w:val="0"/>
                      <w:marRight w:val="0"/>
                      <w:marTop w:val="120"/>
                      <w:marBottom w:val="0"/>
                      <w:divBdr>
                        <w:top w:val="none" w:sz="0" w:space="0" w:color="auto"/>
                        <w:left w:val="none" w:sz="0" w:space="0" w:color="auto"/>
                        <w:bottom w:val="none" w:sz="0" w:space="0" w:color="auto"/>
                        <w:right w:val="none" w:sz="0" w:space="0" w:color="auto"/>
                      </w:divBdr>
                    </w:div>
                    <w:div w:id="836313092">
                      <w:marLeft w:val="0"/>
                      <w:marRight w:val="0"/>
                      <w:marTop w:val="0"/>
                      <w:marBottom w:val="0"/>
                      <w:divBdr>
                        <w:top w:val="none" w:sz="0" w:space="0" w:color="auto"/>
                        <w:left w:val="none" w:sz="0" w:space="0" w:color="auto"/>
                        <w:bottom w:val="none" w:sz="0" w:space="0" w:color="auto"/>
                        <w:right w:val="none" w:sz="0" w:space="0" w:color="auto"/>
                      </w:divBdr>
                    </w:div>
                  </w:divsChild>
                </w:div>
                <w:div w:id="1749227740">
                  <w:marLeft w:val="0"/>
                  <w:marRight w:val="0"/>
                  <w:marTop w:val="0"/>
                  <w:marBottom w:val="0"/>
                  <w:divBdr>
                    <w:top w:val="none" w:sz="0" w:space="0" w:color="auto"/>
                    <w:left w:val="none" w:sz="0" w:space="0" w:color="auto"/>
                    <w:bottom w:val="none" w:sz="0" w:space="0" w:color="auto"/>
                    <w:right w:val="none" w:sz="0" w:space="0" w:color="auto"/>
                  </w:divBdr>
                  <w:divsChild>
                    <w:div w:id="2078699102">
                      <w:marLeft w:val="0"/>
                      <w:marRight w:val="0"/>
                      <w:marTop w:val="120"/>
                      <w:marBottom w:val="0"/>
                      <w:divBdr>
                        <w:top w:val="none" w:sz="0" w:space="0" w:color="auto"/>
                        <w:left w:val="none" w:sz="0" w:space="0" w:color="auto"/>
                        <w:bottom w:val="none" w:sz="0" w:space="0" w:color="auto"/>
                        <w:right w:val="none" w:sz="0" w:space="0" w:color="auto"/>
                      </w:divBdr>
                    </w:div>
                    <w:div w:id="1211304947">
                      <w:marLeft w:val="0"/>
                      <w:marRight w:val="0"/>
                      <w:marTop w:val="0"/>
                      <w:marBottom w:val="0"/>
                      <w:divBdr>
                        <w:top w:val="none" w:sz="0" w:space="0" w:color="auto"/>
                        <w:left w:val="none" w:sz="0" w:space="0" w:color="auto"/>
                        <w:bottom w:val="none" w:sz="0" w:space="0" w:color="auto"/>
                        <w:right w:val="none" w:sz="0" w:space="0" w:color="auto"/>
                      </w:divBdr>
                    </w:div>
                  </w:divsChild>
                </w:div>
                <w:div w:id="1397237853">
                  <w:marLeft w:val="0"/>
                  <w:marRight w:val="0"/>
                  <w:marTop w:val="0"/>
                  <w:marBottom w:val="0"/>
                  <w:divBdr>
                    <w:top w:val="none" w:sz="0" w:space="0" w:color="auto"/>
                    <w:left w:val="none" w:sz="0" w:space="0" w:color="auto"/>
                    <w:bottom w:val="none" w:sz="0" w:space="0" w:color="auto"/>
                    <w:right w:val="none" w:sz="0" w:space="0" w:color="auto"/>
                  </w:divBdr>
                  <w:divsChild>
                    <w:div w:id="973682235">
                      <w:marLeft w:val="0"/>
                      <w:marRight w:val="0"/>
                      <w:marTop w:val="120"/>
                      <w:marBottom w:val="0"/>
                      <w:divBdr>
                        <w:top w:val="none" w:sz="0" w:space="0" w:color="auto"/>
                        <w:left w:val="none" w:sz="0" w:space="0" w:color="auto"/>
                        <w:bottom w:val="none" w:sz="0" w:space="0" w:color="auto"/>
                        <w:right w:val="none" w:sz="0" w:space="0" w:color="auto"/>
                      </w:divBdr>
                    </w:div>
                    <w:div w:id="114444695">
                      <w:marLeft w:val="0"/>
                      <w:marRight w:val="0"/>
                      <w:marTop w:val="0"/>
                      <w:marBottom w:val="0"/>
                      <w:divBdr>
                        <w:top w:val="none" w:sz="0" w:space="0" w:color="auto"/>
                        <w:left w:val="none" w:sz="0" w:space="0" w:color="auto"/>
                        <w:bottom w:val="none" w:sz="0" w:space="0" w:color="auto"/>
                        <w:right w:val="none" w:sz="0" w:space="0" w:color="auto"/>
                      </w:divBdr>
                    </w:div>
                  </w:divsChild>
                </w:div>
                <w:div w:id="121385625">
                  <w:marLeft w:val="0"/>
                  <w:marRight w:val="0"/>
                  <w:marTop w:val="0"/>
                  <w:marBottom w:val="0"/>
                  <w:divBdr>
                    <w:top w:val="none" w:sz="0" w:space="0" w:color="auto"/>
                    <w:left w:val="none" w:sz="0" w:space="0" w:color="auto"/>
                    <w:bottom w:val="none" w:sz="0" w:space="0" w:color="auto"/>
                    <w:right w:val="none" w:sz="0" w:space="0" w:color="auto"/>
                  </w:divBdr>
                  <w:divsChild>
                    <w:div w:id="405568082">
                      <w:marLeft w:val="0"/>
                      <w:marRight w:val="0"/>
                      <w:marTop w:val="120"/>
                      <w:marBottom w:val="0"/>
                      <w:divBdr>
                        <w:top w:val="none" w:sz="0" w:space="0" w:color="auto"/>
                        <w:left w:val="none" w:sz="0" w:space="0" w:color="auto"/>
                        <w:bottom w:val="none" w:sz="0" w:space="0" w:color="auto"/>
                        <w:right w:val="none" w:sz="0" w:space="0" w:color="auto"/>
                      </w:divBdr>
                    </w:div>
                    <w:div w:id="1460952891">
                      <w:marLeft w:val="0"/>
                      <w:marRight w:val="0"/>
                      <w:marTop w:val="0"/>
                      <w:marBottom w:val="0"/>
                      <w:divBdr>
                        <w:top w:val="none" w:sz="0" w:space="0" w:color="auto"/>
                        <w:left w:val="none" w:sz="0" w:space="0" w:color="auto"/>
                        <w:bottom w:val="none" w:sz="0" w:space="0" w:color="auto"/>
                        <w:right w:val="none" w:sz="0" w:space="0" w:color="auto"/>
                      </w:divBdr>
                    </w:div>
                  </w:divsChild>
                </w:div>
                <w:div w:id="613824153">
                  <w:marLeft w:val="0"/>
                  <w:marRight w:val="0"/>
                  <w:marTop w:val="0"/>
                  <w:marBottom w:val="0"/>
                  <w:divBdr>
                    <w:top w:val="none" w:sz="0" w:space="0" w:color="auto"/>
                    <w:left w:val="none" w:sz="0" w:space="0" w:color="auto"/>
                    <w:bottom w:val="none" w:sz="0" w:space="0" w:color="auto"/>
                    <w:right w:val="none" w:sz="0" w:space="0" w:color="auto"/>
                  </w:divBdr>
                  <w:divsChild>
                    <w:div w:id="946934218">
                      <w:marLeft w:val="0"/>
                      <w:marRight w:val="0"/>
                      <w:marTop w:val="120"/>
                      <w:marBottom w:val="0"/>
                      <w:divBdr>
                        <w:top w:val="none" w:sz="0" w:space="0" w:color="auto"/>
                        <w:left w:val="none" w:sz="0" w:space="0" w:color="auto"/>
                        <w:bottom w:val="none" w:sz="0" w:space="0" w:color="auto"/>
                        <w:right w:val="none" w:sz="0" w:space="0" w:color="auto"/>
                      </w:divBdr>
                    </w:div>
                    <w:div w:id="88477941">
                      <w:marLeft w:val="0"/>
                      <w:marRight w:val="0"/>
                      <w:marTop w:val="0"/>
                      <w:marBottom w:val="0"/>
                      <w:divBdr>
                        <w:top w:val="none" w:sz="0" w:space="0" w:color="auto"/>
                        <w:left w:val="none" w:sz="0" w:space="0" w:color="auto"/>
                        <w:bottom w:val="none" w:sz="0" w:space="0" w:color="auto"/>
                        <w:right w:val="none" w:sz="0" w:space="0" w:color="auto"/>
                      </w:divBdr>
                    </w:div>
                  </w:divsChild>
                </w:div>
                <w:div w:id="1211386102">
                  <w:marLeft w:val="0"/>
                  <w:marRight w:val="0"/>
                  <w:marTop w:val="0"/>
                  <w:marBottom w:val="0"/>
                  <w:divBdr>
                    <w:top w:val="none" w:sz="0" w:space="0" w:color="auto"/>
                    <w:left w:val="none" w:sz="0" w:space="0" w:color="auto"/>
                    <w:bottom w:val="none" w:sz="0" w:space="0" w:color="auto"/>
                    <w:right w:val="none" w:sz="0" w:space="0" w:color="auto"/>
                  </w:divBdr>
                  <w:divsChild>
                    <w:div w:id="619533870">
                      <w:marLeft w:val="0"/>
                      <w:marRight w:val="0"/>
                      <w:marTop w:val="120"/>
                      <w:marBottom w:val="0"/>
                      <w:divBdr>
                        <w:top w:val="none" w:sz="0" w:space="0" w:color="auto"/>
                        <w:left w:val="none" w:sz="0" w:space="0" w:color="auto"/>
                        <w:bottom w:val="none" w:sz="0" w:space="0" w:color="auto"/>
                        <w:right w:val="none" w:sz="0" w:space="0" w:color="auto"/>
                      </w:divBdr>
                    </w:div>
                    <w:div w:id="1307515631">
                      <w:marLeft w:val="0"/>
                      <w:marRight w:val="0"/>
                      <w:marTop w:val="0"/>
                      <w:marBottom w:val="0"/>
                      <w:divBdr>
                        <w:top w:val="none" w:sz="0" w:space="0" w:color="auto"/>
                        <w:left w:val="none" w:sz="0" w:space="0" w:color="auto"/>
                        <w:bottom w:val="none" w:sz="0" w:space="0" w:color="auto"/>
                        <w:right w:val="none" w:sz="0" w:space="0" w:color="auto"/>
                      </w:divBdr>
                    </w:div>
                  </w:divsChild>
                </w:div>
                <w:div w:id="1346205860">
                  <w:marLeft w:val="0"/>
                  <w:marRight w:val="0"/>
                  <w:marTop w:val="0"/>
                  <w:marBottom w:val="0"/>
                  <w:divBdr>
                    <w:top w:val="none" w:sz="0" w:space="0" w:color="auto"/>
                    <w:left w:val="none" w:sz="0" w:space="0" w:color="auto"/>
                    <w:bottom w:val="none" w:sz="0" w:space="0" w:color="auto"/>
                    <w:right w:val="none" w:sz="0" w:space="0" w:color="auto"/>
                  </w:divBdr>
                  <w:divsChild>
                    <w:div w:id="804197876">
                      <w:marLeft w:val="0"/>
                      <w:marRight w:val="0"/>
                      <w:marTop w:val="120"/>
                      <w:marBottom w:val="0"/>
                      <w:divBdr>
                        <w:top w:val="none" w:sz="0" w:space="0" w:color="auto"/>
                        <w:left w:val="none" w:sz="0" w:space="0" w:color="auto"/>
                        <w:bottom w:val="none" w:sz="0" w:space="0" w:color="auto"/>
                        <w:right w:val="none" w:sz="0" w:space="0" w:color="auto"/>
                      </w:divBdr>
                    </w:div>
                    <w:div w:id="833690204">
                      <w:marLeft w:val="0"/>
                      <w:marRight w:val="0"/>
                      <w:marTop w:val="0"/>
                      <w:marBottom w:val="0"/>
                      <w:divBdr>
                        <w:top w:val="none" w:sz="0" w:space="0" w:color="auto"/>
                        <w:left w:val="none" w:sz="0" w:space="0" w:color="auto"/>
                        <w:bottom w:val="none" w:sz="0" w:space="0" w:color="auto"/>
                        <w:right w:val="none" w:sz="0" w:space="0" w:color="auto"/>
                      </w:divBdr>
                    </w:div>
                  </w:divsChild>
                </w:div>
                <w:div w:id="1909612546">
                  <w:marLeft w:val="0"/>
                  <w:marRight w:val="0"/>
                  <w:marTop w:val="0"/>
                  <w:marBottom w:val="0"/>
                  <w:divBdr>
                    <w:top w:val="none" w:sz="0" w:space="0" w:color="auto"/>
                    <w:left w:val="none" w:sz="0" w:space="0" w:color="auto"/>
                    <w:bottom w:val="none" w:sz="0" w:space="0" w:color="auto"/>
                    <w:right w:val="none" w:sz="0" w:space="0" w:color="auto"/>
                  </w:divBdr>
                  <w:divsChild>
                    <w:div w:id="1385984641">
                      <w:marLeft w:val="0"/>
                      <w:marRight w:val="0"/>
                      <w:marTop w:val="120"/>
                      <w:marBottom w:val="0"/>
                      <w:divBdr>
                        <w:top w:val="none" w:sz="0" w:space="0" w:color="auto"/>
                        <w:left w:val="none" w:sz="0" w:space="0" w:color="auto"/>
                        <w:bottom w:val="none" w:sz="0" w:space="0" w:color="auto"/>
                        <w:right w:val="none" w:sz="0" w:space="0" w:color="auto"/>
                      </w:divBdr>
                    </w:div>
                    <w:div w:id="1892034522">
                      <w:marLeft w:val="0"/>
                      <w:marRight w:val="0"/>
                      <w:marTop w:val="0"/>
                      <w:marBottom w:val="0"/>
                      <w:divBdr>
                        <w:top w:val="none" w:sz="0" w:space="0" w:color="auto"/>
                        <w:left w:val="none" w:sz="0" w:space="0" w:color="auto"/>
                        <w:bottom w:val="none" w:sz="0" w:space="0" w:color="auto"/>
                        <w:right w:val="none" w:sz="0" w:space="0" w:color="auto"/>
                      </w:divBdr>
                    </w:div>
                  </w:divsChild>
                </w:div>
                <w:div w:id="1089354846">
                  <w:marLeft w:val="0"/>
                  <w:marRight w:val="0"/>
                  <w:marTop w:val="0"/>
                  <w:marBottom w:val="0"/>
                  <w:divBdr>
                    <w:top w:val="none" w:sz="0" w:space="0" w:color="auto"/>
                    <w:left w:val="none" w:sz="0" w:space="0" w:color="auto"/>
                    <w:bottom w:val="none" w:sz="0" w:space="0" w:color="auto"/>
                    <w:right w:val="none" w:sz="0" w:space="0" w:color="auto"/>
                  </w:divBdr>
                  <w:divsChild>
                    <w:div w:id="1543395894">
                      <w:marLeft w:val="0"/>
                      <w:marRight w:val="0"/>
                      <w:marTop w:val="120"/>
                      <w:marBottom w:val="0"/>
                      <w:divBdr>
                        <w:top w:val="none" w:sz="0" w:space="0" w:color="auto"/>
                        <w:left w:val="none" w:sz="0" w:space="0" w:color="auto"/>
                        <w:bottom w:val="none" w:sz="0" w:space="0" w:color="auto"/>
                        <w:right w:val="none" w:sz="0" w:space="0" w:color="auto"/>
                      </w:divBdr>
                    </w:div>
                    <w:div w:id="1787002597">
                      <w:marLeft w:val="0"/>
                      <w:marRight w:val="0"/>
                      <w:marTop w:val="0"/>
                      <w:marBottom w:val="0"/>
                      <w:divBdr>
                        <w:top w:val="none" w:sz="0" w:space="0" w:color="auto"/>
                        <w:left w:val="none" w:sz="0" w:space="0" w:color="auto"/>
                        <w:bottom w:val="none" w:sz="0" w:space="0" w:color="auto"/>
                        <w:right w:val="none" w:sz="0" w:space="0" w:color="auto"/>
                      </w:divBdr>
                    </w:div>
                  </w:divsChild>
                </w:div>
                <w:div w:id="1512060603">
                  <w:marLeft w:val="0"/>
                  <w:marRight w:val="0"/>
                  <w:marTop w:val="0"/>
                  <w:marBottom w:val="0"/>
                  <w:divBdr>
                    <w:top w:val="none" w:sz="0" w:space="0" w:color="auto"/>
                    <w:left w:val="none" w:sz="0" w:space="0" w:color="auto"/>
                    <w:bottom w:val="none" w:sz="0" w:space="0" w:color="auto"/>
                    <w:right w:val="none" w:sz="0" w:space="0" w:color="auto"/>
                  </w:divBdr>
                  <w:divsChild>
                    <w:div w:id="2037851073">
                      <w:marLeft w:val="0"/>
                      <w:marRight w:val="0"/>
                      <w:marTop w:val="120"/>
                      <w:marBottom w:val="0"/>
                      <w:divBdr>
                        <w:top w:val="none" w:sz="0" w:space="0" w:color="auto"/>
                        <w:left w:val="none" w:sz="0" w:space="0" w:color="auto"/>
                        <w:bottom w:val="none" w:sz="0" w:space="0" w:color="auto"/>
                        <w:right w:val="none" w:sz="0" w:space="0" w:color="auto"/>
                      </w:divBdr>
                    </w:div>
                    <w:div w:id="707485381">
                      <w:marLeft w:val="0"/>
                      <w:marRight w:val="0"/>
                      <w:marTop w:val="0"/>
                      <w:marBottom w:val="0"/>
                      <w:divBdr>
                        <w:top w:val="none" w:sz="0" w:space="0" w:color="auto"/>
                        <w:left w:val="none" w:sz="0" w:space="0" w:color="auto"/>
                        <w:bottom w:val="none" w:sz="0" w:space="0" w:color="auto"/>
                        <w:right w:val="none" w:sz="0" w:space="0" w:color="auto"/>
                      </w:divBdr>
                    </w:div>
                  </w:divsChild>
                </w:div>
                <w:div w:id="1076443299">
                  <w:marLeft w:val="0"/>
                  <w:marRight w:val="0"/>
                  <w:marTop w:val="0"/>
                  <w:marBottom w:val="0"/>
                  <w:divBdr>
                    <w:top w:val="none" w:sz="0" w:space="0" w:color="auto"/>
                    <w:left w:val="none" w:sz="0" w:space="0" w:color="auto"/>
                    <w:bottom w:val="none" w:sz="0" w:space="0" w:color="auto"/>
                    <w:right w:val="none" w:sz="0" w:space="0" w:color="auto"/>
                  </w:divBdr>
                  <w:divsChild>
                    <w:div w:id="825052856">
                      <w:marLeft w:val="0"/>
                      <w:marRight w:val="0"/>
                      <w:marTop w:val="120"/>
                      <w:marBottom w:val="0"/>
                      <w:divBdr>
                        <w:top w:val="none" w:sz="0" w:space="0" w:color="auto"/>
                        <w:left w:val="none" w:sz="0" w:space="0" w:color="auto"/>
                        <w:bottom w:val="none" w:sz="0" w:space="0" w:color="auto"/>
                        <w:right w:val="none" w:sz="0" w:space="0" w:color="auto"/>
                      </w:divBdr>
                    </w:div>
                    <w:div w:id="1266696415">
                      <w:marLeft w:val="0"/>
                      <w:marRight w:val="0"/>
                      <w:marTop w:val="0"/>
                      <w:marBottom w:val="0"/>
                      <w:divBdr>
                        <w:top w:val="none" w:sz="0" w:space="0" w:color="auto"/>
                        <w:left w:val="none" w:sz="0" w:space="0" w:color="auto"/>
                        <w:bottom w:val="none" w:sz="0" w:space="0" w:color="auto"/>
                        <w:right w:val="none" w:sz="0" w:space="0" w:color="auto"/>
                      </w:divBdr>
                      <w:divsChild>
                        <w:div w:id="1409572779">
                          <w:marLeft w:val="0"/>
                          <w:marRight w:val="0"/>
                          <w:marTop w:val="0"/>
                          <w:marBottom w:val="0"/>
                          <w:divBdr>
                            <w:top w:val="none" w:sz="0" w:space="0" w:color="auto"/>
                            <w:left w:val="none" w:sz="0" w:space="0" w:color="auto"/>
                            <w:bottom w:val="none" w:sz="0" w:space="0" w:color="auto"/>
                            <w:right w:val="none" w:sz="0" w:space="0" w:color="auto"/>
                          </w:divBdr>
                          <w:divsChild>
                            <w:div w:id="28186936">
                              <w:marLeft w:val="0"/>
                              <w:marRight w:val="0"/>
                              <w:marTop w:val="120"/>
                              <w:marBottom w:val="0"/>
                              <w:divBdr>
                                <w:top w:val="none" w:sz="0" w:space="0" w:color="auto"/>
                                <w:left w:val="none" w:sz="0" w:space="0" w:color="auto"/>
                                <w:bottom w:val="none" w:sz="0" w:space="0" w:color="auto"/>
                                <w:right w:val="none" w:sz="0" w:space="0" w:color="auto"/>
                              </w:divBdr>
                            </w:div>
                            <w:div w:id="2037198269">
                              <w:marLeft w:val="0"/>
                              <w:marRight w:val="0"/>
                              <w:marTop w:val="0"/>
                              <w:marBottom w:val="0"/>
                              <w:divBdr>
                                <w:top w:val="none" w:sz="0" w:space="0" w:color="auto"/>
                                <w:left w:val="none" w:sz="0" w:space="0" w:color="auto"/>
                                <w:bottom w:val="none" w:sz="0" w:space="0" w:color="auto"/>
                                <w:right w:val="none" w:sz="0" w:space="0" w:color="auto"/>
                              </w:divBdr>
                              <w:divsChild>
                                <w:div w:id="347560847">
                                  <w:marLeft w:val="0"/>
                                  <w:marRight w:val="0"/>
                                  <w:marTop w:val="0"/>
                                  <w:marBottom w:val="0"/>
                                  <w:divBdr>
                                    <w:top w:val="none" w:sz="0" w:space="0" w:color="auto"/>
                                    <w:left w:val="none" w:sz="0" w:space="0" w:color="auto"/>
                                    <w:bottom w:val="none" w:sz="0" w:space="0" w:color="auto"/>
                                    <w:right w:val="none" w:sz="0" w:space="0" w:color="auto"/>
                                  </w:divBdr>
                                  <w:divsChild>
                                    <w:div w:id="422144446">
                                      <w:marLeft w:val="0"/>
                                      <w:marRight w:val="0"/>
                                      <w:marTop w:val="120"/>
                                      <w:marBottom w:val="0"/>
                                      <w:divBdr>
                                        <w:top w:val="none" w:sz="0" w:space="0" w:color="auto"/>
                                        <w:left w:val="none" w:sz="0" w:space="0" w:color="auto"/>
                                        <w:bottom w:val="none" w:sz="0" w:space="0" w:color="auto"/>
                                        <w:right w:val="none" w:sz="0" w:space="0" w:color="auto"/>
                                      </w:divBdr>
                                    </w:div>
                                    <w:div w:id="1152335360">
                                      <w:marLeft w:val="0"/>
                                      <w:marRight w:val="0"/>
                                      <w:marTop w:val="0"/>
                                      <w:marBottom w:val="0"/>
                                      <w:divBdr>
                                        <w:top w:val="none" w:sz="0" w:space="0" w:color="auto"/>
                                        <w:left w:val="none" w:sz="0" w:space="0" w:color="auto"/>
                                        <w:bottom w:val="none" w:sz="0" w:space="0" w:color="auto"/>
                                        <w:right w:val="none" w:sz="0" w:space="0" w:color="auto"/>
                                      </w:divBdr>
                                    </w:div>
                                  </w:divsChild>
                                </w:div>
                                <w:div w:id="683632978">
                                  <w:marLeft w:val="0"/>
                                  <w:marRight w:val="0"/>
                                  <w:marTop w:val="0"/>
                                  <w:marBottom w:val="0"/>
                                  <w:divBdr>
                                    <w:top w:val="none" w:sz="0" w:space="0" w:color="auto"/>
                                    <w:left w:val="none" w:sz="0" w:space="0" w:color="auto"/>
                                    <w:bottom w:val="none" w:sz="0" w:space="0" w:color="auto"/>
                                    <w:right w:val="none" w:sz="0" w:space="0" w:color="auto"/>
                                  </w:divBdr>
                                  <w:divsChild>
                                    <w:div w:id="698629198">
                                      <w:marLeft w:val="0"/>
                                      <w:marRight w:val="0"/>
                                      <w:marTop w:val="120"/>
                                      <w:marBottom w:val="0"/>
                                      <w:divBdr>
                                        <w:top w:val="none" w:sz="0" w:space="0" w:color="auto"/>
                                        <w:left w:val="none" w:sz="0" w:space="0" w:color="auto"/>
                                        <w:bottom w:val="none" w:sz="0" w:space="0" w:color="auto"/>
                                        <w:right w:val="none" w:sz="0" w:space="0" w:color="auto"/>
                                      </w:divBdr>
                                    </w:div>
                                    <w:div w:id="271983886">
                                      <w:marLeft w:val="0"/>
                                      <w:marRight w:val="0"/>
                                      <w:marTop w:val="0"/>
                                      <w:marBottom w:val="0"/>
                                      <w:divBdr>
                                        <w:top w:val="none" w:sz="0" w:space="0" w:color="auto"/>
                                        <w:left w:val="none" w:sz="0" w:space="0" w:color="auto"/>
                                        <w:bottom w:val="none" w:sz="0" w:space="0" w:color="auto"/>
                                        <w:right w:val="none" w:sz="0" w:space="0" w:color="auto"/>
                                      </w:divBdr>
                                    </w:div>
                                  </w:divsChild>
                                </w:div>
                                <w:div w:id="1761948805">
                                  <w:marLeft w:val="0"/>
                                  <w:marRight w:val="0"/>
                                  <w:marTop w:val="0"/>
                                  <w:marBottom w:val="0"/>
                                  <w:divBdr>
                                    <w:top w:val="none" w:sz="0" w:space="0" w:color="auto"/>
                                    <w:left w:val="none" w:sz="0" w:space="0" w:color="auto"/>
                                    <w:bottom w:val="none" w:sz="0" w:space="0" w:color="auto"/>
                                    <w:right w:val="none" w:sz="0" w:space="0" w:color="auto"/>
                                  </w:divBdr>
                                  <w:divsChild>
                                    <w:div w:id="273682181">
                                      <w:marLeft w:val="0"/>
                                      <w:marRight w:val="0"/>
                                      <w:marTop w:val="120"/>
                                      <w:marBottom w:val="0"/>
                                      <w:divBdr>
                                        <w:top w:val="none" w:sz="0" w:space="0" w:color="auto"/>
                                        <w:left w:val="none" w:sz="0" w:space="0" w:color="auto"/>
                                        <w:bottom w:val="none" w:sz="0" w:space="0" w:color="auto"/>
                                        <w:right w:val="none" w:sz="0" w:space="0" w:color="auto"/>
                                      </w:divBdr>
                                    </w:div>
                                    <w:div w:id="115398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630652">
                          <w:marLeft w:val="0"/>
                          <w:marRight w:val="0"/>
                          <w:marTop w:val="0"/>
                          <w:marBottom w:val="0"/>
                          <w:divBdr>
                            <w:top w:val="none" w:sz="0" w:space="0" w:color="auto"/>
                            <w:left w:val="none" w:sz="0" w:space="0" w:color="auto"/>
                            <w:bottom w:val="none" w:sz="0" w:space="0" w:color="auto"/>
                            <w:right w:val="none" w:sz="0" w:space="0" w:color="auto"/>
                          </w:divBdr>
                          <w:divsChild>
                            <w:div w:id="953445821">
                              <w:marLeft w:val="0"/>
                              <w:marRight w:val="0"/>
                              <w:marTop w:val="120"/>
                              <w:marBottom w:val="0"/>
                              <w:divBdr>
                                <w:top w:val="none" w:sz="0" w:space="0" w:color="auto"/>
                                <w:left w:val="none" w:sz="0" w:space="0" w:color="auto"/>
                                <w:bottom w:val="none" w:sz="0" w:space="0" w:color="auto"/>
                                <w:right w:val="none" w:sz="0" w:space="0" w:color="auto"/>
                              </w:divBdr>
                            </w:div>
                            <w:div w:id="776098881">
                              <w:marLeft w:val="0"/>
                              <w:marRight w:val="0"/>
                              <w:marTop w:val="0"/>
                              <w:marBottom w:val="0"/>
                              <w:divBdr>
                                <w:top w:val="none" w:sz="0" w:space="0" w:color="auto"/>
                                <w:left w:val="none" w:sz="0" w:space="0" w:color="auto"/>
                                <w:bottom w:val="none" w:sz="0" w:space="0" w:color="auto"/>
                                <w:right w:val="none" w:sz="0" w:space="0" w:color="auto"/>
                              </w:divBdr>
                              <w:divsChild>
                                <w:div w:id="675809677">
                                  <w:marLeft w:val="0"/>
                                  <w:marRight w:val="0"/>
                                  <w:marTop w:val="0"/>
                                  <w:marBottom w:val="0"/>
                                  <w:divBdr>
                                    <w:top w:val="none" w:sz="0" w:space="0" w:color="auto"/>
                                    <w:left w:val="none" w:sz="0" w:space="0" w:color="auto"/>
                                    <w:bottom w:val="none" w:sz="0" w:space="0" w:color="auto"/>
                                    <w:right w:val="none" w:sz="0" w:space="0" w:color="auto"/>
                                  </w:divBdr>
                                  <w:divsChild>
                                    <w:div w:id="22293868">
                                      <w:marLeft w:val="0"/>
                                      <w:marRight w:val="0"/>
                                      <w:marTop w:val="120"/>
                                      <w:marBottom w:val="0"/>
                                      <w:divBdr>
                                        <w:top w:val="none" w:sz="0" w:space="0" w:color="auto"/>
                                        <w:left w:val="none" w:sz="0" w:space="0" w:color="auto"/>
                                        <w:bottom w:val="none" w:sz="0" w:space="0" w:color="auto"/>
                                        <w:right w:val="none" w:sz="0" w:space="0" w:color="auto"/>
                                      </w:divBdr>
                                    </w:div>
                                    <w:div w:id="525368783">
                                      <w:marLeft w:val="0"/>
                                      <w:marRight w:val="0"/>
                                      <w:marTop w:val="0"/>
                                      <w:marBottom w:val="0"/>
                                      <w:divBdr>
                                        <w:top w:val="none" w:sz="0" w:space="0" w:color="auto"/>
                                        <w:left w:val="none" w:sz="0" w:space="0" w:color="auto"/>
                                        <w:bottom w:val="none" w:sz="0" w:space="0" w:color="auto"/>
                                        <w:right w:val="none" w:sz="0" w:space="0" w:color="auto"/>
                                      </w:divBdr>
                                    </w:div>
                                  </w:divsChild>
                                </w:div>
                                <w:div w:id="1911190985">
                                  <w:marLeft w:val="0"/>
                                  <w:marRight w:val="0"/>
                                  <w:marTop w:val="0"/>
                                  <w:marBottom w:val="0"/>
                                  <w:divBdr>
                                    <w:top w:val="none" w:sz="0" w:space="0" w:color="auto"/>
                                    <w:left w:val="none" w:sz="0" w:space="0" w:color="auto"/>
                                    <w:bottom w:val="none" w:sz="0" w:space="0" w:color="auto"/>
                                    <w:right w:val="none" w:sz="0" w:space="0" w:color="auto"/>
                                  </w:divBdr>
                                  <w:divsChild>
                                    <w:div w:id="1665863217">
                                      <w:marLeft w:val="0"/>
                                      <w:marRight w:val="0"/>
                                      <w:marTop w:val="120"/>
                                      <w:marBottom w:val="0"/>
                                      <w:divBdr>
                                        <w:top w:val="none" w:sz="0" w:space="0" w:color="auto"/>
                                        <w:left w:val="none" w:sz="0" w:space="0" w:color="auto"/>
                                        <w:bottom w:val="none" w:sz="0" w:space="0" w:color="auto"/>
                                        <w:right w:val="none" w:sz="0" w:space="0" w:color="auto"/>
                                      </w:divBdr>
                                    </w:div>
                                    <w:div w:id="98454870">
                                      <w:marLeft w:val="0"/>
                                      <w:marRight w:val="0"/>
                                      <w:marTop w:val="0"/>
                                      <w:marBottom w:val="0"/>
                                      <w:divBdr>
                                        <w:top w:val="none" w:sz="0" w:space="0" w:color="auto"/>
                                        <w:left w:val="none" w:sz="0" w:space="0" w:color="auto"/>
                                        <w:bottom w:val="none" w:sz="0" w:space="0" w:color="auto"/>
                                        <w:right w:val="none" w:sz="0" w:space="0" w:color="auto"/>
                                      </w:divBdr>
                                    </w:div>
                                  </w:divsChild>
                                </w:div>
                                <w:div w:id="884095972">
                                  <w:marLeft w:val="0"/>
                                  <w:marRight w:val="0"/>
                                  <w:marTop w:val="0"/>
                                  <w:marBottom w:val="0"/>
                                  <w:divBdr>
                                    <w:top w:val="none" w:sz="0" w:space="0" w:color="auto"/>
                                    <w:left w:val="none" w:sz="0" w:space="0" w:color="auto"/>
                                    <w:bottom w:val="none" w:sz="0" w:space="0" w:color="auto"/>
                                    <w:right w:val="none" w:sz="0" w:space="0" w:color="auto"/>
                                  </w:divBdr>
                                  <w:divsChild>
                                    <w:div w:id="1120564481">
                                      <w:marLeft w:val="0"/>
                                      <w:marRight w:val="0"/>
                                      <w:marTop w:val="120"/>
                                      <w:marBottom w:val="0"/>
                                      <w:divBdr>
                                        <w:top w:val="none" w:sz="0" w:space="0" w:color="auto"/>
                                        <w:left w:val="none" w:sz="0" w:space="0" w:color="auto"/>
                                        <w:bottom w:val="none" w:sz="0" w:space="0" w:color="auto"/>
                                        <w:right w:val="none" w:sz="0" w:space="0" w:color="auto"/>
                                      </w:divBdr>
                                    </w:div>
                                    <w:div w:id="11791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189772">
                          <w:marLeft w:val="0"/>
                          <w:marRight w:val="0"/>
                          <w:marTop w:val="0"/>
                          <w:marBottom w:val="0"/>
                          <w:divBdr>
                            <w:top w:val="none" w:sz="0" w:space="0" w:color="auto"/>
                            <w:left w:val="none" w:sz="0" w:space="0" w:color="auto"/>
                            <w:bottom w:val="none" w:sz="0" w:space="0" w:color="auto"/>
                            <w:right w:val="none" w:sz="0" w:space="0" w:color="auto"/>
                          </w:divBdr>
                          <w:divsChild>
                            <w:div w:id="522017913">
                              <w:marLeft w:val="0"/>
                              <w:marRight w:val="0"/>
                              <w:marTop w:val="120"/>
                              <w:marBottom w:val="0"/>
                              <w:divBdr>
                                <w:top w:val="none" w:sz="0" w:space="0" w:color="auto"/>
                                <w:left w:val="none" w:sz="0" w:space="0" w:color="auto"/>
                                <w:bottom w:val="none" w:sz="0" w:space="0" w:color="auto"/>
                                <w:right w:val="none" w:sz="0" w:space="0" w:color="auto"/>
                              </w:divBdr>
                            </w:div>
                            <w:div w:id="1056588019">
                              <w:marLeft w:val="0"/>
                              <w:marRight w:val="0"/>
                              <w:marTop w:val="0"/>
                              <w:marBottom w:val="0"/>
                              <w:divBdr>
                                <w:top w:val="none" w:sz="0" w:space="0" w:color="auto"/>
                                <w:left w:val="none" w:sz="0" w:space="0" w:color="auto"/>
                                <w:bottom w:val="none" w:sz="0" w:space="0" w:color="auto"/>
                                <w:right w:val="none" w:sz="0" w:space="0" w:color="auto"/>
                              </w:divBdr>
                            </w:div>
                          </w:divsChild>
                        </w:div>
                        <w:div w:id="239675292">
                          <w:marLeft w:val="0"/>
                          <w:marRight w:val="0"/>
                          <w:marTop w:val="0"/>
                          <w:marBottom w:val="0"/>
                          <w:divBdr>
                            <w:top w:val="none" w:sz="0" w:space="0" w:color="auto"/>
                            <w:left w:val="none" w:sz="0" w:space="0" w:color="auto"/>
                            <w:bottom w:val="none" w:sz="0" w:space="0" w:color="auto"/>
                            <w:right w:val="none" w:sz="0" w:space="0" w:color="auto"/>
                          </w:divBdr>
                          <w:divsChild>
                            <w:div w:id="1645891973">
                              <w:marLeft w:val="0"/>
                              <w:marRight w:val="0"/>
                              <w:marTop w:val="120"/>
                              <w:marBottom w:val="0"/>
                              <w:divBdr>
                                <w:top w:val="none" w:sz="0" w:space="0" w:color="auto"/>
                                <w:left w:val="none" w:sz="0" w:space="0" w:color="auto"/>
                                <w:bottom w:val="none" w:sz="0" w:space="0" w:color="auto"/>
                                <w:right w:val="none" w:sz="0" w:space="0" w:color="auto"/>
                              </w:divBdr>
                            </w:div>
                            <w:div w:id="708800183">
                              <w:marLeft w:val="0"/>
                              <w:marRight w:val="0"/>
                              <w:marTop w:val="0"/>
                              <w:marBottom w:val="0"/>
                              <w:divBdr>
                                <w:top w:val="none" w:sz="0" w:space="0" w:color="auto"/>
                                <w:left w:val="none" w:sz="0" w:space="0" w:color="auto"/>
                                <w:bottom w:val="none" w:sz="0" w:space="0" w:color="auto"/>
                                <w:right w:val="none" w:sz="0" w:space="0" w:color="auto"/>
                              </w:divBdr>
                              <w:divsChild>
                                <w:div w:id="1098597496">
                                  <w:marLeft w:val="0"/>
                                  <w:marRight w:val="0"/>
                                  <w:marTop w:val="0"/>
                                  <w:marBottom w:val="0"/>
                                  <w:divBdr>
                                    <w:top w:val="none" w:sz="0" w:space="0" w:color="auto"/>
                                    <w:left w:val="none" w:sz="0" w:space="0" w:color="auto"/>
                                    <w:bottom w:val="none" w:sz="0" w:space="0" w:color="auto"/>
                                    <w:right w:val="none" w:sz="0" w:space="0" w:color="auto"/>
                                  </w:divBdr>
                                  <w:divsChild>
                                    <w:div w:id="1818692642">
                                      <w:marLeft w:val="0"/>
                                      <w:marRight w:val="0"/>
                                      <w:marTop w:val="120"/>
                                      <w:marBottom w:val="0"/>
                                      <w:divBdr>
                                        <w:top w:val="none" w:sz="0" w:space="0" w:color="auto"/>
                                        <w:left w:val="none" w:sz="0" w:space="0" w:color="auto"/>
                                        <w:bottom w:val="none" w:sz="0" w:space="0" w:color="auto"/>
                                        <w:right w:val="none" w:sz="0" w:space="0" w:color="auto"/>
                                      </w:divBdr>
                                    </w:div>
                                    <w:div w:id="92824024">
                                      <w:marLeft w:val="0"/>
                                      <w:marRight w:val="0"/>
                                      <w:marTop w:val="0"/>
                                      <w:marBottom w:val="0"/>
                                      <w:divBdr>
                                        <w:top w:val="none" w:sz="0" w:space="0" w:color="auto"/>
                                        <w:left w:val="none" w:sz="0" w:space="0" w:color="auto"/>
                                        <w:bottom w:val="none" w:sz="0" w:space="0" w:color="auto"/>
                                        <w:right w:val="none" w:sz="0" w:space="0" w:color="auto"/>
                                      </w:divBdr>
                                    </w:div>
                                  </w:divsChild>
                                </w:div>
                                <w:div w:id="314454911">
                                  <w:marLeft w:val="0"/>
                                  <w:marRight w:val="0"/>
                                  <w:marTop w:val="0"/>
                                  <w:marBottom w:val="0"/>
                                  <w:divBdr>
                                    <w:top w:val="none" w:sz="0" w:space="0" w:color="auto"/>
                                    <w:left w:val="none" w:sz="0" w:space="0" w:color="auto"/>
                                    <w:bottom w:val="none" w:sz="0" w:space="0" w:color="auto"/>
                                    <w:right w:val="none" w:sz="0" w:space="0" w:color="auto"/>
                                  </w:divBdr>
                                  <w:divsChild>
                                    <w:div w:id="1176532932">
                                      <w:marLeft w:val="0"/>
                                      <w:marRight w:val="0"/>
                                      <w:marTop w:val="120"/>
                                      <w:marBottom w:val="0"/>
                                      <w:divBdr>
                                        <w:top w:val="none" w:sz="0" w:space="0" w:color="auto"/>
                                        <w:left w:val="none" w:sz="0" w:space="0" w:color="auto"/>
                                        <w:bottom w:val="none" w:sz="0" w:space="0" w:color="auto"/>
                                        <w:right w:val="none" w:sz="0" w:space="0" w:color="auto"/>
                                      </w:divBdr>
                                    </w:div>
                                    <w:div w:id="1222060736">
                                      <w:marLeft w:val="0"/>
                                      <w:marRight w:val="0"/>
                                      <w:marTop w:val="0"/>
                                      <w:marBottom w:val="0"/>
                                      <w:divBdr>
                                        <w:top w:val="none" w:sz="0" w:space="0" w:color="auto"/>
                                        <w:left w:val="none" w:sz="0" w:space="0" w:color="auto"/>
                                        <w:bottom w:val="none" w:sz="0" w:space="0" w:color="auto"/>
                                        <w:right w:val="none" w:sz="0" w:space="0" w:color="auto"/>
                                      </w:divBdr>
                                    </w:div>
                                  </w:divsChild>
                                </w:div>
                                <w:div w:id="1275863921">
                                  <w:marLeft w:val="0"/>
                                  <w:marRight w:val="0"/>
                                  <w:marTop w:val="0"/>
                                  <w:marBottom w:val="0"/>
                                  <w:divBdr>
                                    <w:top w:val="none" w:sz="0" w:space="0" w:color="auto"/>
                                    <w:left w:val="none" w:sz="0" w:space="0" w:color="auto"/>
                                    <w:bottom w:val="none" w:sz="0" w:space="0" w:color="auto"/>
                                    <w:right w:val="none" w:sz="0" w:space="0" w:color="auto"/>
                                  </w:divBdr>
                                  <w:divsChild>
                                    <w:div w:id="444465279">
                                      <w:marLeft w:val="0"/>
                                      <w:marRight w:val="0"/>
                                      <w:marTop w:val="120"/>
                                      <w:marBottom w:val="0"/>
                                      <w:divBdr>
                                        <w:top w:val="none" w:sz="0" w:space="0" w:color="auto"/>
                                        <w:left w:val="none" w:sz="0" w:space="0" w:color="auto"/>
                                        <w:bottom w:val="none" w:sz="0" w:space="0" w:color="auto"/>
                                        <w:right w:val="none" w:sz="0" w:space="0" w:color="auto"/>
                                      </w:divBdr>
                                    </w:div>
                                    <w:div w:id="58518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434626">
                          <w:marLeft w:val="0"/>
                          <w:marRight w:val="0"/>
                          <w:marTop w:val="0"/>
                          <w:marBottom w:val="0"/>
                          <w:divBdr>
                            <w:top w:val="none" w:sz="0" w:space="0" w:color="auto"/>
                            <w:left w:val="none" w:sz="0" w:space="0" w:color="auto"/>
                            <w:bottom w:val="none" w:sz="0" w:space="0" w:color="auto"/>
                            <w:right w:val="none" w:sz="0" w:space="0" w:color="auto"/>
                          </w:divBdr>
                          <w:divsChild>
                            <w:div w:id="519390327">
                              <w:marLeft w:val="0"/>
                              <w:marRight w:val="0"/>
                              <w:marTop w:val="120"/>
                              <w:marBottom w:val="0"/>
                              <w:divBdr>
                                <w:top w:val="none" w:sz="0" w:space="0" w:color="auto"/>
                                <w:left w:val="none" w:sz="0" w:space="0" w:color="auto"/>
                                <w:bottom w:val="none" w:sz="0" w:space="0" w:color="auto"/>
                                <w:right w:val="none" w:sz="0" w:space="0" w:color="auto"/>
                              </w:divBdr>
                            </w:div>
                            <w:div w:id="420882270">
                              <w:marLeft w:val="0"/>
                              <w:marRight w:val="0"/>
                              <w:marTop w:val="0"/>
                              <w:marBottom w:val="0"/>
                              <w:divBdr>
                                <w:top w:val="none" w:sz="0" w:space="0" w:color="auto"/>
                                <w:left w:val="none" w:sz="0" w:space="0" w:color="auto"/>
                                <w:bottom w:val="none" w:sz="0" w:space="0" w:color="auto"/>
                                <w:right w:val="none" w:sz="0" w:space="0" w:color="auto"/>
                              </w:divBdr>
                            </w:div>
                          </w:divsChild>
                        </w:div>
                        <w:div w:id="1311323288">
                          <w:marLeft w:val="0"/>
                          <w:marRight w:val="0"/>
                          <w:marTop w:val="0"/>
                          <w:marBottom w:val="0"/>
                          <w:divBdr>
                            <w:top w:val="none" w:sz="0" w:space="0" w:color="auto"/>
                            <w:left w:val="none" w:sz="0" w:space="0" w:color="auto"/>
                            <w:bottom w:val="none" w:sz="0" w:space="0" w:color="auto"/>
                            <w:right w:val="none" w:sz="0" w:space="0" w:color="auto"/>
                          </w:divBdr>
                          <w:divsChild>
                            <w:div w:id="866674750">
                              <w:marLeft w:val="0"/>
                              <w:marRight w:val="0"/>
                              <w:marTop w:val="120"/>
                              <w:marBottom w:val="0"/>
                              <w:divBdr>
                                <w:top w:val="none" w:sz="0" w:space="0" w:color="auto"/>
                                <w:left w:val="none" w:sz="0" w:space="0" w:color="auto"/>
                                <w:bottom w:val="none" w:sz="0" w:space="0" w:color="auto"/>
                                <w:right w:val="none" w:sz="0" w:space="0" w:color="auto"/>
                              </w:divBdr>
                            </w:div>
                            <w:div w:id="12562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961559">
                  <w:marLeft w:val="0"/>
                  <w:marRight w:val="0"/>
                  <w:marTop w:val="0"/>
                  <w:marBottom w:val="0"/>
                  <w:divBdr>
                    <w:top w:val="none" w:sz="0" w:space="0" w:color="auto"/>
                    <w:left w:val="none" w:sz="0" w:space="0" w:color="auto"/>
                    <w:bottom w:val="none" w:sz="0" w:space="0" w:color="auto"/>
                    <w:right w:val="none" w:sz="0" w:space="0" w:color="auto"/>
                  </w:divBdr>
                  <w:divsChild>
                    <w:div w:id="1400178366">
                      <w:marLeft w:val="0"/>
                      <w:marRight w:val="0"/>
                      <w:marTop w:val="120"/>
                      <w:marBottom w:val="0"/>
                      <w:divBdr>
                        <w:top w:val="none" w:sz="0" w:space="0" w:color="auto"/>
                        <w:left w:val="none" w:sz="0" w:space="0" w:color="auto"/>
                        <w:bottom w:val="none" w:sz="0" w:space="0" w:color="auto"/>
                        <w:right w:val="none" w:sz="0" w:space="0" w:color="auto"/>
                      </w:divBdr>
                    </w:div>
                    <w:div w:id="991761428">
                      <w:marLeft w:val="0"/>
                      <w:marRight w:val="0"/>
                      <w:marTop w:val="0"/>
                      <w:marBottom w:val="0"/>
                      <w:divBdr>
                        <w:top w:val="none" w:sz="0" w:space="0" w:color="auto"/>
                        <w:left w:val="none" w:sz="0" w:space="0" w:color="auto"/>
                        <w:bottom w:val="none" w:sz="0" w:space="0" w:color="auto"/>
                        <w:right w:val="none" w:sz="0" w:space="0" w:color="auto"/>
                      </w:divBdr>
                    </w:div>
                  </w:divsChild>
                </w:div>
                <w:div w:id="1825466390">
                  <w:marLeft w:val="0"/>
                  <w:marRight w:val="0"/>
                  <w:marTop w:val="0"/>
                  <w:marBottom w:val="0"/>
                  <w:divBdr>
                    <w:top w:val="none" w:sz="0" w:space="0" w:color="auto"/>
                    <w:left w:val="none" w:sz="0" w:space="0" w:color="auto"/>
                    <w:bottom w:val="none" w:sz="0" w:space="0" w:color="auto"/>
                    <w:right w:val="none" w:sz="0" w:space="0" w:color="auto"/>
                  </w:divBdr>
                  <w:divsChild>
                    <w:div w:id="1916040360">
                      <w:marLeft w:val="0"/>
                      <w:marRight w:val="0"/>
                      <w:marTop w:val="120"/>
                      <w:marBottom w:val="0"/>
                      <w:divBdr>
                        <w:top w:val="none" w:sz="0" w:space="0" w:color="auto"/>
                        <w:left w:val="none" w:sz="0" w:space="0" w:color="auto"/>
                        <w:bottom w:val="none" w:sz="0" w:space="0" w:color="auto"/>
                        <w:right w:val="none" w:sz="0" w:space="0" w:color="auto"/>
                      </w:divBdr>
                    </w:div>
                    <w:div w:id="1789858286">
                      <w:marLeft w:val="0"/>
                      <w:marRight w:val="0"/>
                      <w:marTop w:val="0"/>
                      <w:marBottom w:val="0"/>
                      <w:divBdr>
                        <w:top w:val="none" w:sz="0" w:space="0" w:color="auto"/>
                        <w:left w:val="none" w:sz="0" w:space="0" w:color="auto"/>
                        <w:bottom w:val="none" w:sz="0" w:space="0" w:color="auto"/>
                        <w:right w:val="none" w:sz="0" w:space="0" w:color="auto"/>
                      </w:divBdr>
                    </w:div>
                  </w:divsChild>
                </w:div>
                <w:div w:id="988947995">
                  <w:marLeft w:val="0"/>
                  <w:marRight w:val="0"/>
                  <w:marTop w:val="0"/>
                  <w:marBottom w:val="0"/>
                  <w:divBdr>
                    <w:top w:val="none" w:sz="0" w:space="0" w:color="auto"/>
                    <w:left w:val="none" w:sz="0" w:space="0" w:color="auto"/>
                    <w:bottom w:val="none" w:sz="0" w:space="0" w:color="auto"/>
                    <w:right w:val="none" w:sz="0" w:space="0" w:color="auto"/>
                  </w:divBdr>
                  <w:divsChild>
                    <w:div w:id="891232491">
                      <w:marLeft w:val="0"/>
                      <w:marRight w:val="0"/>
                      <w:marTop w:val="120"/>
                      <w:marBottom w:val="0"/>
                      <w:divBdr>
                        <w:top w:val="none" w:sz="0" w:space="0" w:color="auto"/>
                        <w:left w:val="none" w:sz="0" w:space="0" w:color="auto"/>
                        <w:bottom w:val="none" w:sz="0" w:space="0" w:color="auto"/>
                        <w:right w:val="none" w:sz="0" w:space="0" w:color="auto"/>
                      </w:divBdr>
                    </w:div>
                    <w:div w:id="1464154735">
                      <w:marLeft w:val="0"/>
                      <w:marRight w:val="0"/>
                      <w:marTop w:val="0"/>
                      <w:marBottom w:val="0"/>
                      <w:divBdr>
                        <w:top w:val="none" w:sz="0" w:space="0" w:color="auto"/>
                        <w:left w:val="none" w:sz="0" w:space="0" w:color="auto"/>
                        <w:bottom w:val="none" w:sz="0" w:space="0" w:color="auto"/>
                        <w:right w:val="none" w:sz="0" w:space="0" w:color="auto"/>
                      </w:divBdr>
                    </w:div>
                  </w:divsChild>
                </w:div>
                <w:div w:id="789276855">
                  <w:marLeft w:val="0"/>
                  <w:marRight w:val="0"/>
                  <w:marTop w:val="0"/>
                  <w:marBottom w:val="0"/>
                  <w:divBdr>
                    <w:top w:val="none" w:sz="0" w:space="0" w:color="auto"/>
                    <w:left w:val="none" w:sz="0" w:space="0" w:color="auto"/>
                    <w:bottom w:val="none" w:sz="0" w:space="0" w:color="auto"/>
                    <w:right w:val="none" w:sz="0" w:space="0" w:color="auto"/>
                  </w:divBdr>
                  <w:divsChild>
                    <w:div w:id="1592156244">
                      <w:marLeft w:val="0"/>
                      <w:marRight w:val="0"/>
                      <w:marTop w:val="120"/>
                      <w:marBottom w:val="0"/>
                      <w:divBdr>
                        <w:top w:val="none" w:sz="0" w:space="0" w:color="auto"/>
                        <w:left w:val="none" w:sz="0" w:space="0" w:color="auto"/>
                        <w:bottom w:val="none" w:sz="0" w:space="0" w:color="auto"/>
                        <w:right w:val="none" w:sz="0" w:space="0" w:color="auto"/>
                      </w:divBdr>
                    </w:div>
                    <w:div w:id="533661624">
                      <w:marLeft w:val="0"/>
                      <w:marRight w:val="0"/>
                      <w:marTop w:val="0"/>
                      <w:marBottom w:val="0"/>
                      <w:divBdr>
                        <w:top w:val="none" w:sz="0" w:space="0" w:color="auto"/>
                        <w:left w:val="none" w:sz="0" w:space="0" w:color="auto"/>
                        <w:bottom w:val="none" w:sz="0" w:space="0" w:color="auto"/>
                        <w:right w:val="none" w:sz="0" w:space="0" w:color="auto"/>
                      </w:divBdr>
                    </w:div>
                  </w:divsChild>
                </w:div>
                <w:div w:id="2095125996">
                  <w:marLeft w:val="0"/>
                  <w:marRight w:val="0"/>
                  <w:marTop w:val="0"/>
                  <w:marBottom w:val="0"/>
                  <w:divBdr>
                    <w:top w:val="none" w:sz="0" w:space="0" w:color="auto"/>
                    <w:left w:val="none" w:sz="0" w:space="0" w:color="auto"/>
                    <w:bottom w:val="none" w:sz="0" w:space="0" w:color="auto"/>
                    <w:right w:val="none" w:sz="0" w:space="0" w:color="auto"/>
                  </w:divBdr>
                  <w:divsChild>
                    <w:div w:id="1426418637">
                      <w:marLeft w:val="0"/>
                      <w:marRight w:val="0"/>
                      <w:marTop w:val="120"/>
                      <w:marBottom w:val="0"/>
                      <w:divBdr>
                        <w:top w:val="none" w:sz="0" w:space="0" w:color="auto"/>
                        <w:left w:val="none" w:sz="0" w:space="0" w:color="auto"/>
                        <w:bottom w:val="none" w:sz="0" w:space="0" w:color="auto"/>
                        <w:right w:val="none" w:sz="0" w:space="0" w:color="auto"/>
                      </w:divBdr>
                    </w:div>
                    <w:div w:id="1287076698">
                      <w:marLeft w:val="0"/>
                      <w:marRight w:val="0"/>
                      <w:marTop w:val="0"/>
                      <w:marBottom w:val="0"/>
                      <w:divBdr>
                        <w:top w:val="none" w:sz="0" w:space="0" w:color="auto"/>
                        <w:left w:val="none" w:sz="0" w:space="0" w:color="auto"/>
                        <w:bottom w:val="none" w:sz="0" w:space="0" w:color="auto"/>
                        <w:right w:val="none" w:sz="0" w:space="0" w:color="auto"/>
                      </w:divBdr>
                    </w:div>
                  </w:divsChild>
                </w:div>
                <w:div w:id="1540585740">
                  <w:marLeft w:val="0"/>
                  <w:marRight w:val="0"/>
                  <w:marTop w:val="0"/>
                  <w:marBottom w:val="0"/>
                  <w:divBdr>
                    <w:top w:val="none" w:sz="0" w:space="0" w:color="auto"/>
                    <w:left w:val="none" w:sz="0" w:space="0" w:color="auto"/>
                    <w:bottom w:val="none" w:sz="0" w:space="0" w:color="auto"/>
                    <w:right w:val="none" w:sz="0" w:space="0" w:color="auto"/>
                  </w:divBdr>
                  <w:divsChild>
                    <w:div w:id="510802719">
                      <w:marLeft w:val="0"/>
                      <w:marRight w:val="0"/>
                      <w:marTop w:val="120"/>
                      <w:marBottom w:val="0"/>
                      <w:divBdr>
                        <w:top w:val="none" w:sz="0" w:space="0" w:color="auto"/>
                        <w:left w:val="none" w:sz="0" w:space="0" w:color="auto"/>
                        <w:bottom w:val="none" w:sz="0" w:space="0" w:color="auto"/>
                        <w:right w:val="none" w:sz="0" w:space="0" w:color="auto"/>
                      </w:divBdr>
                    </w:div>
                    <w:div w:id="537163880">
                      <w:marLeft w:val="0"/>
                      <w:marRight w:val="0"/>
                      <w:marTop w:val="0"/>
                      <w:marBottom w:val="0"/>
                      <w:divBdr>
                        <w:top w:val="none" w:sz="0" w:space="0" w:color="auto"/>
                        <w:left w:val="none" w:sz="0" w:space="0" w:color="auto"/>
                        <w:bottom w:val="none" w:sz="0" w:space="0" w:color="auto"/>
                        <w:right w:val="none" w:sz="0" w:space="0" w:color="auto"/>
                      </w:divBdr>
                    </w:div>
                  </w:divsChild>
                </w:div>
                <w:div w:id="155192869">
                  <w:marLeft w:val="0"/>
                  <w:marRight w:val="0"/>
                  <w:marTop w:val="0"/>
                  <w:marBottom w:val="0"/>
                  <w:divBdr>
                    <w:top w:val="none" w:sz="0" w:space="0" w:color="auto"/>
                    <w:left w:val="none" w:sz="0" w:space="0" w:color="auto"/>
                    <w:bottom w:val="none" w:sz="0" w:space="0" w:color="auto"/>
                    <w:right w:val="none" w:sz="0" w:space="0" w:color="auto"/>
                  </w:divBdr>
                  <w:divsChild>
                    <w:div w:id="2128742348">
                      <w:marLeft w:val="0"/>
                      <w:marRight w:val="0"/>
                      <w:marTop w:val="120"/>
                      <w:marBottom w:val="0"/>
                      <w:divBdr>
                        <w:top w:val="none" w:sz="0" w:space="0" w:color="auto"/>
                        <w:left w:val="none" w:sz="0" w:space="0" w:color="auto"/>
                        <w:bottom w:val="none" w:sz="0" w:space="0" w:color="auto"/>
                        <w:right w:val="none" w:sz="0" w:space="0" w:color="auto"/>
                      </w:divBdr>
                    </w:div>
                    <w:div w:id="820466520">
                      <w:marLeft w:val="0"/>
                      <w:marRight w:val="0"/>
                      <w:marTop w:val="0"/>
                      <w:marBottom w:val="0"/>
                      <w:divBdr>
                        <w:top w:val="none" w:sz="0" w:space="0" w:color="auto"/>
                        <w:left w:val="none" w:sz="0" w:space="0" w:color="auto"/>
                        <w:bottom w:val="none" w:sz="0" w:space="0" w:color="auto"/>
                        <w:right w:val="none" w:sz="0" w:space="0" w:color="auto"/>
                      </w:divBdr>
                    </w:div>
                  </w:divsChild>
                </w:div>
                <w:div w:id="730427040">
                  <w:marLeft w:val="0"/>
                  <w:marRight w:val="0"/>
                  <w:marTop w:val="0"/>
                  <w:marBottom w:val="0"/>
                  <w:divBdr>
                    <w:top w:val="none" w:sz="0" w:space="0" w:color="auto"/>
                    <w:left w:val="none" w:sz="0" w:space="0" w:color="auto"/>
                    <w:bottom w:val="none" w:sz="0" w:space="0" w:color="auto"/>
                    <w:right w:val="none" w:sz="0" w:space="0" w:color="auto"/>
                  </w:divBdr>
                  <w:divsChild>
                    <w:div w:id="912543231">
                      <w:marLeft w:val="0"/>
                      <w:marRight w:val="0"/>
                      <w:marTop w:val="120"/>
                      <w:marBottom w:val="0"/>
                      <w:divBdr>
                        <w:top w:val="none" w:sz="0" w:space="0" w:color="auto"/>
                        <w:left w:val="none" w:sz="0" w:space="0" w:color="auto"/>
                        <w:bottom w:val="none" w:sz="0" w:space="0" w:color="auto"/>
                        <w:right w:val="none" w:sz="0" w:space="0" w:color="auto"/>
                      </w:divBdr>
                    </w:div>
                    <w:div w:id="1259413427">
                      <w:marLeft w:val="0"/>
                      <w:marRight w:val="0"/>
                      <w:marTop w:val="0"/>
                      <w:marBottom w:val="0"/>
                      <w:divBdr>
                        <w:top w:val="none" w:sz="0" w:space="0" w:color="auto"/>
                        <w:left w:val="none" w:sz="0" w:space="0" w:color="auto"/>
                        <w:bottom w:val="none" w:sz="0" w:space="0" w:color="auto"/>
                        <w:right w:val="none" w:sz="0" w:space="0" w:color="auto"/>
                      </w:divBdr>
                    </w:div>
                  </w:divsChild>
                </w:div>
                <w:div w:id="525368702">
                  <w:marLeft w:val="0"/>
                  <w:marRight w:val="0"/>
                  <w:marTop w:val="0"/>
                  <w:marBottom w:val="0"/>
                  <w:divBdr>
                    <w:top w:val="none" w:sz="0" w:space="0" w:color="auto"/>
                    <w:left w:val="none" w:sz="0" w:space="0" w:color="auto"/>
                    <w:bottom w:val="none" w:sz="0" w:space="0" w:color="auto"/>
                    <w:right w:val="none" w:sz="0" w:space="0" w:color="auto"/>
                  </w:divBdr>
                  <w:divsChild>
                    <w:div w:id="692266479">
                      <w:marLeft w:val="0"/>
                      <w:marRight w:val="0"/>
                      <w:marTop w:val="120"/>
                      <w:marBottom w:val="0"/>
                      <w:divBdr>
                        <w:top w:val="none" w:sz="0" w:space="0" w:color="auto"/>
                        <w:left w:val="none" w:sz="0" w:space="0" w:color="auto"/>
                        <w:bottom w:val="none" w:sz="0" w:space="0" w:color="auto"/>
                        <w:right w:val="none" w:sz="0" w:space="0" w:color="auto"/>
                      </w:divBdr>
                    </w:div>
                    <w:div w:id="124159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884402">
          <w:marLeft w:val="0"/>
          <w:marRight w:val="0"/>
          <w:marTop w:val="0"/>
          <w:marBottom w:val="0"/>
          <w:divBdr>
            <w:top w:val="none" w:sz="0" w:space="0" w:color="auto"/>
            <w:left w:val="none" w:sz="0" w:space="0" w:color="auto"/>
            <w:bottom w:val="none" w:sz="0" w:space="0" w:color="auto"/>
            <w:right w:val="none" w:sz="0" w:space="0" w:color="auto"/>
          </w:divBdr>
          <w:divsChild>
            <w:div w:id="7920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05112">
      <w:bodyDiv w:val="1"/>
      <w:marLeft w:val="0"/>
      <w:marRight w:val="0"/>
      <w:marTop w:val="0"/>
      <w:marBottom w:val="0"/>
      <w:divBdr>
        <w:top w:val="none" w:sz="0" w:space="0" w:color="auto"/>
        <w:left w:val="none" w:sz="0" w:space="0" w:color="auto"/>
        <w:bottom w:val="none" w:sz="0" w:space="0" w:color="auto"/>
        <w:right w:val="none" w:sz="0" w:space="0" w:color="auto"/>
      </w:divBdr>
      <w:divsChild>
        <w:div w:id="115030299">
          <w:marLeft w:val="0"/>
          <w:marRight w:val="0"/>
          <w:marTop w:val="120"/>
          <w:marBottom w:val="0"/>
          <w:divBdr>
            <w:top w:val="none" w:sz="0" w:space="0" w:color="auto"/>
            <w:left w:val="none" w:sz="0" w:space="0" w:color="auto"/>
            <w:bottom w:val="none" w:sz="0" w:space="0" w:color="auto"/>
            <w:right w:val="none" w:sz="0" w:space="0" w:color="auto"/>
          </w:divBdr>
        </w:div>
        <w:div w:id="1639342452">
          <w:marLeft w:val="0"/>
          <w:marRight w:val="0"/>
          <w:marTop w:val="0"/>
          <w:marBottom w:val="0"/>
          <w:divBdr>
            <w:top w:val="none" w:sz="0" w:space="0" w:color="auto"/>
            <w:left w:val="none" w:sz="0" w:space="0" w:color="auto"/>
            <w:bottom w:val="none" w:sz="0" w:space="0" w:color="auto"/>
            <w:right w:val="none" w:sz="0" w:space="0" w:color="auto"/>
          </w:divBdr>
        </w:div>
      </w:divsChild>
    </w:div>
    <w:div w:id="926112511">
      <w:bodyDiv w:val="1"/>
      <w:marLeft w:val="0"/>
      <w:marRight w:val="0"/>
      <w:marTop w:val="0"/>
      <w:marBottom w:val="0"/>
      <w:divBdr>
        <w:top w:val="none" w:sz="0" w:space="0" w:color="auto"/>
        <w:left w:val="none" w:sz="0" w:space="0" w:color="auto"/>
        <w:bottom w:val="none" w:sz="0" w:space="0" w:color="auto"/>
        <w:right w:val="none" w:sz="0" w:space="0" w:color="auto"/>
      </w:divBdr>
      <w:divsChild>
        <w:div w:id="1263147174">
          <w:marLeft w:val="0"/>
          <w:marRight w:val="0"/>
          <w:marTop w:val="120"/>
          <w:marBottom w:val="0"/>
          <w:divBdr>
            <w:top w:val="none" w:sz="0" w:space="0" w:color="auto"/>
            <w:left w:val="none" w:sz="0" w:space="0" w:color="auto"/>
            <w:bottom w:val="none" w:sz="0" w:space="0" w:color="auto"/>
            <w:right w:val="none" w:sz="0" w:space="0" w:color="auto"/>
          </w:divBdr>
        </w:div>
        <w:div w:id="959335921">
          <w:marLeft w:val="0"/>
          <w:marRight w:val="0"/>
          <w:marTop w:val="0"/>
          <w:marBottom w:val="0"/>
          <w:divBdr>
            <w:top w:val="none" w:sz="0" w:space="0" w:color="auto"/>
            <w:left w:val="none" w:sz="0" w:space="0" w:color="auto"/>
            <w:bottom w:val="none" w:sz="0" w:space="0" w:color="auto"/>
            <w:right w:val="none" w:sz="0" w:space="0" w:color="auto"/>
          </w:divBdr>
        </w:div>
      </w:divsChild>
    </w:div>
    <w:div w:id="928732277">
      <w:bodyDiv w:val="1"/>
      <w:marLeft w:val="0"/>
      <w:marRight w:val="0"/>
      <w:marTop w:val="0"/>
      <w:marBottom w:val="0"/>
      <w:divBdr>
        <w:top w:val="none" w:sz="0" w:space="0" w:color="auto"/>
        <w:left w:val="none" w:sz="0" w:space="0" w:color="auto"/>
        <w:bottom w:val="none" w:sz="0" w:space="0" w:color="auto"/>
        <w:right w:val="none" w:sz="0" w:space="0" w:color="auto"/>
      </w:divBdr>
      <w:divsChild>
        <w:div w:id="1155414168">
          <w:marLeft w:val="0"/>
          <w:marRight w:val="0"/>
          <w:marTop w:val="120"/>
          <w:marBottom w:val="0"/>
          <w:divBdr>
            <w:top w:val="none" w:sz="0" w:space="0" w:color="auto"/>
            <w:left w:val="none" w:sz="0" w:space="0" w:color="auto"/>
            <w:bottom w:val="none" w:sz="0" w:space="0" w:color="auto"/>
            <w:right w:val="none" w:sz="0" w:space="0" w:color="auto"/>
          </w:divBdr>
        </w:div>
        <w:div w:id="1137918435">
          <w:marLeft w:val="0"/>
          <w:marRight w:val="0"/>
          <w:marTop w:val="0"/>
          <w:marBottom w:val="0"/>
          <w:divBdr>
            <w:top w:val="none" w:sz="0" w:space="0" w:color="auto"/>
            <w:left w:val="none" w:sz="0" w:space="0" w:color="auto"/>
            <w:bottom w:val="none" w:sz="0" w:space="0" w:color="auto"/>
            <w:right w:val="none" w:sz="0" w:space="0" w:color="auto"/>
          </w:divBdr>
        </w:div>
      </w:divsChild>
    </w:div>
    <w:div w:id="931939662">
      <w:bodyDiv w:val="1"/>
      <w:marLeft w:val="0"/>
      <w:marRight w:val="0"/>
      <w:marTop w:val="0"/>
      <w:marBottom w:val="0"/>
      <w:divBdr>
        <w:top w:val="none" w:sz="0" w:space="0" w:color="auto"/>
        <w:left w:val="none" w:sz="0" w:space="0" w:color="auto"/>
        <w:bottom w:val="none" w:sz="0" w:space="0" w:color="auto"/>
        <w:right w:val="none" w:sz="0" w:space="0" w:color="auto"/>
      </w:divBdr>
      <w:divsChild>
        <w:div w:id="1185709340">
          <w:marLeft w:val="0"/>
          <w:marRight w:val="0"/>
          <w:marTop w:val="0"/>
          <w:marBottom w:val="0"/>
          <w:divBdr>
            <w:top w:val="none" w:sz="0" w:space="0" w:color="auto"/>
            <w:left w:val="none" w:sz="0" w:space="0" w:color="auto"/>
            <w:bottom w:val="none" w:sz="0" w:space="0" w:color="auto"/>
            <w:right w:val="none" w:sz="0" w:space="0" w:color="auto"/>
          </w:divBdr>
          <w:divsChild>
            <w:div w:id="609554798">
              <w:marLeft w:val="0"/>
              <w:marRight w:val="0"/>
              <w:marTop w:val="0"/>
              <w:marBottom w:val="0"/>
              <w:divBdr>
                <w:top w:val="none" w:sz="0" w:space="0" w:color="auto"/>
                <w:left w:val="none" w:sz="0" w:space="0" w:color="auto"/>
                <w:bottom w:val="none" w:sz="0" w:space="0" w:color="auto"/>
                <w:right w:val="none" w:sz="0" w:space="0" w:color="auto"/>
              </w:divBdr>
              <w:divsChild>
                <w:div w:id="1258490174">
                  <w:marLeft w:val="0"/>
                  <w:marRight w:val="0"/>
                  <w:marTop w:val="0"/>
                  <w:marBottom w:val="0"/>
                  <w:divBdr>
                    <w:top w:val="none" w:sz="0" w:space="0" w:color="auto"/>
                    <w:left w:val="none" w:sz="0" w:space="0" w:color="auto"/>
                    <w:bottom w:val="none" w:sz="0" w:space="0" w:color="auto"/>
                    <w:right w:val="none" w:sz="0" w:space="0" w:color="auto"/>
                  </w:divBdr>
                  <w:divsChild>
                    <w:div w:id="1436554985">
                      <w:marLeft w:val="0"/>
                      <w:marRight w:val="0"/>
                      <w:marTop w:val="120"/>
                      <w:marBottom w:val="0"/>
                      <w:divBdr>
                        <w:top w:val="none" w:sz="0" w:space="0" w:color="auto"/>
                        <w:left w:val="none" w:sz="0" w:space="0" w:color="auto"/>
                        <w:bottom w:val="none" w:sz="0" w:space="0" w:color="auto"/>
                        <w:right w:val="none" w:sz="0" w:space="0" w:color="auto"/>
                      </w:divBdr>
                    </w:div>
                    <w:div w:id="1823960073">
                      <w:marLeft w:val="0"/>
                      <w:marRight w:val="0"/>
                      <w:marTop w:val="0"/>
                      <w:marBottom w:val="0"/>
                      <w:divBdr>
                        <w:top w:val="none" w:sz="0" w:space="0" w:color="auto"/>
                        <w:left w:val="none" w:sz="0" w:space="0" w:color="auto"/>
                        <w:bottom w:val="none" w:sz="0" w:space="0" w:color="auto"/>
                        <w:right w:val="none" w:sz="0" w:space="0" w:color="auto"/>
                      </w:divBdr>
                    </w:div>
                  </w:divsChild>
                </w:div>
                <w:div w:id="483737375">
                  <w:marLeft w:val="0"/>
                  <w:marRight w:val="0"/>
                  <w:marTop w:val="0"/>
                  <w:marBottom w:val="0"/>
                  <w:divBdr>
                    <w:top w:val="none" w:sz="0" w:space="0" w:color="auto"/>
                    <w:left w:val="none" w:sz="0" w:space="0" w:color="auto"/>
                    <w:bottom w:val="none" w:sz="0" w:space="0" w:color="auto"/>
                    <w:right w:val="none" w:sz="0" w:space="0" w:color="auto"/>
                  </w:divBdr>
                  <w:divsChild>
                    <w:div w:id="510341151">
                      <w:marLeft w:val="0"/>
                      <w:marRight w:val="0"/>
                      <w:marTop w:val="120"/>
                      <w:marBottom w:val="0"/>
                      <w:divBdr>
                        <w:top w:val="none" w:sz="0" w:space="0" w:color="auto"/>
                        <w:left w:val="none" w:sz="0" w:space="0" w:color="auto"/>
                        <w:bottom w:val="none" w:sz="0" w:space="0" w:color="auto"/>
                        <w:right w:val="none" w:sz="0" w:space="0" w:color="auto"/>
                      </w:divBdr>
                    </w:div>
                    <w:div w:id="692539588">
                      <w:marLeft w:val="0"/>
                      <w:marRight w:val="0"/>
                      <w:marTop w:val="0"/>
                      <w:marBottom w:val="0"/>
                      <w:divBdr>
                        <w:top w:val="none" w:sz="0" w:space="0" w:color="auto"/>
                        <w:left w:val="none" w:sz="0" w:space="0" w:color="auto"/>
                        <w:bottom w:val="none" w:sz="0" w:space="0" w:color="auto"/>
                        <w:right w:val="none" w:sz="0" w:space="0" w:color="auto"/>
                      </w:divBdr>
                    </w:div>
                  </w:divsChild>
                </w:div>
                <w:div w:id="1009066574">
                  <w:marLeft w:val="0"/>
                  <w:marRight w:val="0"/>
                  <w:marTop w:val="0"/>
                  <w:marBottom w:val="0"/>
                  <w:divBdr>
                    <w:top w:val="none" w:sz="0" w:space="0" w:color="auto"/>
                    <w:left w:val="none" w:sz="0" w:space="0" w:color="auto"/>
                    <w:bottom w:val="none" w:sz="0" w:space="0" w:color="auto"/>
                    <w:right w:val="none" w:sz="0" w:space="0" w:color="auto"/>
                  </w:divBdr>
                  <w:divsChild>
                    <w:div w:id="806818229">
                      <w:marLeft w:val="0"/>
                      <w:marRight w:val="0"/>
                      <w:marTop w:val="120"/>
                      <w:marBottom w:val="0"/>
                      <w:divBdr>
                        <w:top w:val="none" w:sz="0" w:space="0" w:color="auto"/>
                        <w:left w:val="none" w:sz="0" w:space="0" w:color="auto"/>
                        <w:bottom w:val="none" w:sz="0" w:space="0" w:color="auto"/>
                        <w:right w:val="none" w:sz="0" w:space="0" w:color="auto"/>
                      </w:divBdr>
                    </w:div>
                    <w:div w:id="164103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288773">
      <w:bodyDiv w:val="1"/>
      <w:marLeft w:val="0"/>
      <w:marRight w:val="0"/>
      <w:marTop w:val="0"/>
      <w:marBottom w:val="0"/>
      <w:divBdr>
        <w:top w:val="none" w:sz="0" w:space="0" w:color="auto"/>
        <w:left w:val="none" w:sz="0" w:space="0" w:color="auto"/>
        <w:bottom w:val="none" w:sz="0" w:space="0" w:color="auto"/>
        <w:right w:val="none" w:sz="0" w:space="0" w:color="auto"/>
      </w:divBdr>
      <w:divsChild>
        <w:div w:id="963464345">
          <w:marLeft w:val="0"/>
          <w:marRight w:val="0"/>
          <w:marTop w:val="0"/>
          <w:marBottom w:val="0"/>
          <w:divBdr>
            <w:top w:val="none" w:sz="0" w:space="0" w:color="auto"/>
            <w:left w:val="none" w:sz="0" w:space="0" w:color="auto"/>
            <w:bottom w:val="none" w:sz="0" w:space="0" w:color="auto"/>
            <w:right w:val="none" w:sz="0" w:space="0" w:color="auto"/>
          </w:divBdr>
        </w:div>
      </w:divsChild>
    </w:div>
    <w:div w:id="937951576">
      <w:bodyDiv w:val="1"/>
      <w:marLeft w:val="0"/>
      <w:marRight w:val="0"/>
      <w:marTop w:val="0"/>
      <w:marBottom w:val="0"/>
      <w:divBdr>
        <w:top w:val="none" w:sz="0" w:space="0" w:color="auto"/>
        <w:left w:val="none" w:sz="0" w:space="0" w:color="auto"/>
        <w:bottom w:val="none" w:sz="0" w:space="0" w:color="auto"/>
        <w:right w:val="none" w:sz="0" w:space="0" w:color="auto"/>
      </w:divBdr>
      <w:divsChild>
        <w:div w:id="1155293339">
          <w:marLeft w:val="0"/>
          <w:marRight w:val="0"/>
          <w:marTop w:val="0"/>
          <w:marBottom w:val="0"/>
          <w:divBdr>
            <w:top w:val="none" w:sz="0" w:space="0" w:color="auto"/>
            <w:left w:val="none" w:sz="0" w:space="0" w:color="auto"/>
            <w:bottom w:val="none" w:sz="0" w:space="0" w:color="auto"/>
            <w:right w:val="none" w:sz="0" w:space="0" w:color="auto"/>
          </w:divBdr>
          <w:divsChild>
            <w:div w:id="1760523451">
              <w:marLeft w:val="0"/>
              <w:marRight w:val="0"/>
              <w:marTop w:val="0"/>
              <w:marBottom w:val="0"/>
              <w:divBdr>
                <w:top w:val="none" w:sz="0" w:space="0" w:color="auto"/>
                <w:left w:val="none" w:sz="0" w:space="0" w:color="auto"/>
                <w:bottom w:val="none" w:sz="0" w:space="0" w:color="auto"/>
                <w:right w:val="none" w:sz="0" w:space="0" w:color="auto"/>
              </w:divBdr>
              <w:divsChild>
                <w:div w:id="218832190">
                  <w:marLeft w:val="0"/>
                  <w:marRight w:val="0"/>
                  <w:marTop w:val="0"/>
                  <w:marBottom w:val="0"/>
                  <w:divBdr>
                    <w:top w:val="none" w:sz="0" w:space="0" w:color="auto"/>
                    <w:left w:val="none" w:sz="0" w:space="0" w:color="auto"/>
                    <w:bottom w:val="none" w:sz="0" w:space="0" w:color="auto"/>
                    <w:right w:val="none" w:sz="0" w:space="0" w:color="auto"/>
                  </w:divBdr>
                  <w:divsChild>
                    <w:div w:id="922180291">
                      <w:marLeft w:val="0"/>
                      <w:marRight w:val="0"/>
                      <w:marTop w:val="120"/>
                      <w:marBottom w:val="0"/>
                      <w:divBdr>
                        <w:top w:val="none" w:sz="0" w:space="0" w:color="auto"/>
                        <w:left w:val="none" w:sz="0" w:space="0" w:color="auto"/>
                        <w:bottom w:val="none" w:sz="0" w:space="0" w:color="auto"/>
                        <w:right w:val="none" w:sz="0" w:space="0" w:color="auto"/>
                      </w:divBdr>
                    </w:div>
                    <w:div w:id="350684064">
                      <w:marLeft w:val="0"/>
                      <w:marRight w:val="0"/>
                      <w:marTop w:val="0"/>
                      <w:marBottom w:val="0"/>
                      <w:divBdr>
                        <w:top w:val="none" w:sz="0" w:space="0" w:color="auto"/>
                        <w:left w:val="none" w:sz="0" w:space="0" w:color="auto"/>
                        <w:bottom w:val="none" w:sz="0" w:space="0" w:color="auto"/>
                        <w:right w:val="none" w:sz="0" w:space="0" w:color="auto"/>
                      </w:divBdr>
                    </w:div>
                  </w:divsChild>
                </w:div>
                <w:div w:id="1715078140">
                  <w:marLeft w:val="0"/>
                  <w:marRight w:val="0"/>
                  <w:marTop w:val="0"/>
                  <w:marBottom w:val="0"/>
                  <w:divBdr>
                    <w:top w:val="none" w:sz="0" w:space="0" w:color="auto"/>
                    <w:left w:val="none" w:sz="0" w:space="0" w:color="auto"/>
                    <w:bottom w:val="none" w:sz="0" w:space="0" w:color="auto"/>
                    <w:right w:val="none" w:sz="0" w:space="0" w:color="auto"/>
                  </w:divBdr>
                  <w:divsChild>
                    <w:div w:id="1750229902">
                      <w:marLeft w:val="0"/>
                      <w:marRight w:val="0"/>
                      <w:marTop w:val="120"/>
                      <w:marBottom w:val="0"/>
                      <w:divBdr>
                        <w:top w:val="none" w:sz="0" w:space="0" w:color="auto"/>
                        <w:left w:val="none" w:sz="0" w:space="0" w:color="auto"/>
                        <w:bottom w:val="none" w:sz="0" w:space="0" w:color="auto"/>
                        <w:right w:val="none" w:sz="0" w:space="0" w:color="auto"/>
                      </w:divBdr>
                    </w:div>
                    <w:div w:id="140387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945079">
      <w:bodyDiv w:val="1"/>
      <w:marLeft w:val="0"/>
      <w:marRight w:val="0"/>
      <w:marTop w:val="0"/>
      <w:marBottom w:val="0"/>
      <w:divBdr>
        <w:top w:val="none" w:sz="0" w:space="0" w:color="auto"/>
        <w:left w:val="none" w:sz="0" w:space="0" w:color="auto"/>
        <w:bottom w:val="none" w:sz="0" w:space="0" w:color="auto"/>
        <w:right w:val="none" w:sz="0" w:space="0" w:color="auto"/>
      </w:divBdr>
      <w:divsChild>
        <w:div w:id="576091823">
          <w:marLeft w:val="0"/>
          <w:marRight w:val="0"/>
          <w:marTop w:val="0"/>
          <w:marBottom w:val="0"/>
          <w:divBdr>
            <w:top w:val="none" w:sz="0" w:space="0" w:color="auto"/>
            <w:left w:val="none" w:sz="0" w:space="0" w:color="auto"/>
            <w:bottom w:val="none" w:sz="0" w:space="0" w:color="auto"/>
            <w:right w:val="none" w:sz="0" w:space="0" w:color="auto"/>
          </w:divBdr>
        </w:div>
      </w:divsChild>
    </w:div>
    <w:div w:id="944580827">
      <w:bodyDiv w:val="1"/>
      <w:marLeft w:val="0"/>
      <w:marRight w:val="0"/>
      <w:marTop w:val="0"/>
      <w:marBottom w:val="0"/>
      <w:divBdr>
        <w:top w:val="none" w:sz="0" w:space="0" w:color="auto"/>
        <w:left w:val="none" w:sz="0" w:space="0" w:color="auto"/>
        <w:bottom w:val="none" w:sz="0" w:space="0" w:color="auto"/>
        <w:right w:val="none" w:sz="0" w:space="0" w:color="auto"/>
      </w:divBdr>
      <w:divsChild>
        <w:div w:id="1776248677">
          <w:marLeft w:val="0"/>
          <w:marRight w:val="0"/>
          <w:marTop w:val="120"/>
          <w:marBottom w:val="0"/>
          <w:divBdr>
            <w:top w:val="none" w:sz="0" w:space="0" w:color="auto"/>
            <w:left w:val="none" w:sz="0" w:space="0" w:color="auto"/>
            <w:bottom w:val="none" w:sz="0" w:space="0" w:color="auto"/>
            <w:right w:val="none" w:sz="0" w:space="0" w:color="auto"/>
          </w:divBdr>
        </w:div>
        <w:div w:id="850486517">
          <w:marLeft w:val="0"/>
          <w:marRight w:val="0"/>
          <w:marTop w:val="0"/>
          <w:marBottom w:val="0"/>
          <w:divBdr>
            <w:top w:val="none" w:sz="0" w:space="0" w:color="auto"/>
            <w:left w:val="none" w:sz="0" w:space="0" w:color="auto"/>
            <w:bottom w:val="none" w:sz="0" w:space="0" w:color="auto"/>
            <w:right w:val="none" w:sz="0" w:space="0" w:color="auto"/>
          </w:divBdr>
        </w:div>
      </w:divsChild>
    </w:div>
    <w:div w:id="948317510">
      <w:bodyDiv w:val="1"/>
      <w:marLeft w:val="0"/>
      <w:marRight w:val="0"/>
      <w:marTop w:val="0"/>
      <w:marBottom w:val="0"/>
      <w:divBdr>
        <w:top w:val="none" w:sz="0" w:space="0" w:color="auto"/>
        <w:left w:val="none" w:sz="0" w:space="0" w:color="auto"/>
        <w:bottom w:val="none" w:sz="0" w:space="0" w:color="auto"/>
        <w:right w:val="none" w:sz="0" w:space="0" w:color="auto"/>
      </w:divBdr>
      <w:divsChild>
        <w:div w:id="648481787">
          <w:marLeft w:val="0"/>
          <w:marRight w:val="0"/>
          <w:marTop w:val="0"/>
          <w:marBottom w:val="0"/>
          <w:divBdr>
            <w:top w:val="none" w:sz="0" w:space="0" w:color="auto"/>
            <w:left w:val="none" w:sz="0" w:space="0" w:color="auto"/>
            <w:bottom w:val="none" w:sz="0" w:space="0" w:color="auto"/>
            <w:right w:val="none" w:sz="0" w:space="0" w:color="auto"/>
          </w:divBdr>
        </w:div>
      </w:divsChild>
    </w:div>
    <w:div w:id="950672294">
      <w:bodyDiv w:val="1"/>
      <w:marLeft w:val="0"/>
      <w:marRight w:val="0"/>
      <w:marTop w:val="0"/>
      <w:marBottom w:val="0"/>
      <w:divBdr>
        <w:top w:val="none" w:sz="0" w:space="0" w:color="auto"/>
        <w:left w:val="none" w:sz="0" w:space="0" w:color="auto"/>
        <w:bottom w:val="none" w:sz="0" w:space="0" w:color="auto"/>
        <w:right w:val="none" w:sz="0" w:space="0" w:color="auto"/>
      </w:divBdr>
      <w:divsChild>
        <w:div w:id="646125397">
          <w:marLeft w:val="0"/>
          <w:marRight w:val="0"/>
          <w:marTop w:val="0"/>
          <w:marBottom w:val="0"/>
          <w:divBdr>
            <w:top w:val="none" w:sz="0" w:space="0" w:color="auto"/>
            <w:left w:val="none" w:sz="0" w:space="0" w:color="auto"/>
            <w:bottom w:val="none" w:sz="0" w:space="0" w:color="auto"/>
            <w:right w:val="none" w:sz="0" w:space="0" w:color="auto"/>
          </w:divBdr>
        </w:div>
      </w:divsChild>
    </w:div>
    <w:div w:id="956912093">
      <w:bodyDiv w:val="1"/>
      <w:marLeft w:val="0"/>
      <w:marRight w:val="0"/>
      <w:marTop w:val="0"/>
      <w:marBottom w:val="0"/>
      <w:divBdr>
        <w:top w:val="none" w:sz="0" w:space="0" w:color="auto"/>
        <w:left w:val="none" w:sz="0" w:space="0" w:color="auto"/>
        <w:bottom w:val="none" w:sz="0" w:space="0" w:color="auto"/>
        <w:right w:val="none" w:sz="0" w:space="0" w:color="auto"/>
      </w:divBdr>
    </w:div>
    <w:div w:id="959847163">
      <w:bodyDiv w:val="1"/>
      <w:marLeft w:val="0"/>
      <w:marRight w:val="0"/>
      <w:marTop w:val="0"/>
      <w:marBottom w:val="0"/>
      <w:divBdr>
        <w:top w:val="none" w:sz="0" w:space="0" w:color="auto"/>
        <w:left w:val="none" w:sz="0" w:space="0" w:color="auto"/>
        <w:bottom w:val="none" w:sz="0" w:space="0" w:color="auto"/>
        <w:right w:val="none" w:sz="0" w:space="0" w:color="auto"/>
      </w:divBdr>
      <w:divsChild>
        <w:div w:id="1184587534">
          <w:marLeft w:val="0"/>
          <w:marRight w:val="0"/>
          <w:marTop w:val="0"/>
          <w:marBottom w:val="0"/>
          <w:divBdr>
            <w:top w:val="none" w:sz="0" w:space="0" w:color="auto"/>
            <w:left w:val="none" w:sz="0" w:space="0" w:color="auto"/>
            <w:bottom w:val="none" w:sz="0" w:space="0" w:color="auto"/>
            <w:right w:val="none" w:sz="0" w:space="0" w:color="auto"/>
          </w:divBdr>
          <w:divsChild>
            <w:div w:id="1491407341">
              <w:marLeft w:val="0"/>
              <w:marRight w:val="0"/>
              <w:marTop w:val="0"/>
              <w:marBottom w:val="0"/>
              <w:divBdr>
                <w:top w:val="none" w:sz="0" w:space="0" w:color="auto"/>
                <w:left w:val="none" w:sz="0" w:space="0" w:color="auto"/>
                <w:bottom w:val="none" w:sz="0" w:space="0" w:color="auto"/>
                <w:right w:val="none" w:sz="0" w:space="0" w:color="auto"/>
              </w:divBdr>
              <w:divsChild>
                <w:div w:id="753473452">
                  <w:marLeft w:val="0"/>
                  <w:marRight w:val="0"/>
                  <w:marTop w:val="0"/>
                  <w:marBottom w:val="0"/>
                  <w:divBdr>
                    <w:top w:val="none" w:sz="0" w:space="0" w:color="auto"/>
                    <w:left w:val="none" w:sz="0" w:space="0" w:color="auto"/>
                    <w:bottom w:val="none" w:sz="0" w:space="0" w:color="auto"/>
                    <w:right w:val="none" w:sz="0" w:space="0" w:color="auto"/>
                  </w:divBdr>
                  <w:divsChild>
                    <w:div w:id="417288233">
                      <w:marLeft w:val="0"/>
                      <w:marRight w:val="0"/>
                      <w:marTop w:val="120"/>
                      <w:marBottom w:val="0"/>
                      <w:divBdr>
                        <w:top w:val="none" w:sz="0" w:space="0" w:color="auto"/>
                        <w:left w:val="none" w:sz="0" w:space="0" w:color="auto"/>
                        <w:bottom w:val="none" w:sz="0" w:space="0" w:color="auto"/>
                        <w:right w:val="none" w:sz="0" w:space="0" w:color="auto"/>
                      </w:divBdr>
                    </w:div>
                    <w:div w:id="1633630146">
                      <w:marLeft w:val="0"/>
                      <w:marRight w:val="0"/>
                      <w:marTop w:val="0"/>
                      <w:marBottom w:val="0"/>
                      <w:divBdr>
                        <w:top w:val="none" w:sz="0" w:space="0" w:color="auto"/>
                        <w:left w:val="none" w:sz="0" w:space="0" w:color="auto"/>
                        <w:bottom w:val="none" w:sz="0" w:space="0" w:color="auto"/>
                        <w:right w:val="none" w:sz="0" w:space="0" w:color="auto"/>
                      </w:divBdr>
                    </w:div>
                  </w:divsChild>
                </w:div>
                <w:div w:id="2092966245">
                  <w:marLeft w:val="0"/>
                  <w:marRight w:val="0"/>
                  <w:marTop w:val="0"/>
                  <w:marBottom w:val="0"/>
                  <w:divBdr>
                    <w:top w:val="none" w:sz="0" w:space="0" w:color="auto"/>
                    <w:left w:val="none" w:sz="0" w:space="0" w:color="auto"/>
                    <w:bottom w:val="none" w:sz="0" w:space="0" w:color="auto"/>
                    <w:right w:val="none" w:sz="0" w:space="0" w:color="auto"/>
                  </w:divBdr>
                  <w:divsChild>
                    <w:div w:id="730737151">
                      <w:marLeft w:val="0"/>
                      <w:marRight w:val="0"/>
                      <w:marTop w:val="120"/>
                      <w:marBottom w:val="0"/>
                      <w:divBdr>
                        <w:top w:val="none" w:sz="0" w:space="0" w:color="auto"/>
                        <w:left w:val="none" w:sz="0" w:space="0" w:color="auto"/>
                        <w:bottom w:val="none" w:sz="0" w:space="0" w:color="auto"/>
                        <w:right w:val="none" w:sz="0" w:space="0" w:color="auto"/>
                      </w:divBdr>
                    </w:div>
                    <w:div w:id="884484259">
                      <w:marLeft w:val="0"/>
                      <w:marRight w:val="0"/>
                      <w:marTop w:val="0"/>
                      <w:marBottom w:val="0"/>
                      <w:divBdr>
                        <w:top w:val="none" w:sz="0" w:space="0" w:color="auto"/>
                        <w:left w:val="none" w:sz="0" w:space="0" w:color="auto"/>
                        <w:bottom w:val="none" w:sz="0" w:space="0" w:color="auto"/>
                        <w:right w:val="none" w:sz="0" w:space="0" w:color="auto"/>
                      </w:divBdr>
                    </w:div>
                  </w:divsChild>
                </w:div>
                <w:div w:id="1765413571">
                  <w:marLeft w:val="0"/>
                  <w:marRight w:val="0"/>
                  <w:marTop w:val="0"/>
                  <w:marBottom w:val="0"/>
                  <w:divBdr>
                    <w:top w:val="none" w:sz="0" w:space="0" w:color="auto"/>
                    <w:left w:val="none" w:sz="0" w:space="0" w:color="auto"/>
                    <w:bottom w:val="none" w:sz="0" w:space="0" w:color="auto"/>
                    <w:right w:val="none" w:sz="0" w:space="0" w:color="auto"/>
                  </w:divBdr>
                  <w:divsChild>
                    <w:div w:id="1030033330">
                      <w:marLeft w:val="0"/>
                      <w:marRight w:val="0"/>
                      <w:marTop w:val="120"/>
                      <w:marBottom w:val="0"/>
                      <w:divBdr>
                        <w:top w:val="none" w:sz="0" w:space="0" w:color="auto"/>
                        <w:left w:val="none" w:sz="0" w:space="0" w:color="auto"/>
                        <w:bottom w:val="none" w:sz="0" w:space="0" w:color="auto"/>
                        <w:right w:val="none" w:sz="0" w:space="0" w:color="auto"/>
                      </w:divBdr>
                    </w:div>
                    <w:div w:id="54718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8749">
      <w:bodyDiv w:val="1"/>
      <w:marLeft w:val="0"/>
      <w:marRight w:val="0"/>
      <w:marTop w:val="0"/>
      <w:marBottom w:val="0"/>
      <w:divBdr>
        <w:top w:val="none" w:sz="0" w:space="0" w:color="auto"/>
        <w:left w:val="none" w:sz="0" w:space="0" w:color="auto"/>
        <w:bottom w:val="none" w:sz="0" w:space="0" w:color="auto"/>
        <w:right w:val="none" w:sz="0" w:space="0" w:color="auto"/>
      </w:divBdr>
      <w:divsChild>
        <w:div w:id="1528828394">
          <w:marLeft w:val="0"/>
          <w:marRight w:val="0"/>
          <w:marTop w:val="0"/>
          <w:marBottom w:val="0"/>
          <w:divBdr>
            <w:top w:val="none" w:sz="0" w:space="0" w:color="auto"/>
            <w:left w:val="none" w:sz="0" w:space="0" w:color="auto"/>
            <w:bottom w:val="none" w:sz="0" w:space="0" w:color="auto"/>
            <w:right w:val="none" w:sz="0" w:space="0" w:color="auto"/>
          </w:divBdr>
        </w:div>
      </w:divsChild>
    </w:div>
    <w:div w:id="967778693">
      <w:bodyDiv w:val="1"/>
      <w:marLeft w:val="0"/>
      <w:marRight w:val="0"/>
      <w:marTop w:val="0"/>
      <w:marBottom w:val="0"/>
      <w:divBdr>
        <w:top w:val="none" w:sz="0" w:space="0" w:color="auto"/>
        <w:left w:val="none" w:sz="0" w:space="0" w:color="auto"/>
        <w:bottom w:val="none" w:sz="0" w:space="0" w:color="auto"/>
        <w:right w:val="none" w:sz="0" w:space="0" w:color="auto"/>
      </w:divBdr>
      <w:divsChild>
        <w:div w:id="1175803214">
          <w:marLeft w:val="0"/>
          <w:marRight w:val="0"/>
          <w:marTop w:val="0"/>
          <w:marBottom w:val="0"/>
          <w:divBdr>
            <w:top w:val="none" w:sz="0" w:space="0" w:color="auto"/>
            <w:left w:val="none" w:sz="0" w:space="0" w:color="auto"/>
            <w:bottom w:val="none" w:sz="0" w:space="0" w:color="auto"/>
            <w:right w:val="none" w:sz="0" w:space="0" w:color="auto"/>
          </w:divBdr>
        </w:div>
      </w:divsChild>
    </w:div>
    <w:div w:id="981499708">
      <w:bodyDiv w:val="1"/>
      <w:marLeft w:val="0"/>
      <w:marRight w:val="0"/>
      <w:marTop w:val="0"/>
      <w:marBottom w:val="0"/>
      <w:divBdr>
        <w:top w:val="none" w:sz="0" w:space="0" w:color="auto"/>
        <w:left w:val="none" w:sz="0" w:space="0" w:color="auto"/>
        <w:bottom w:val="none" w:sz="0" w:space="0" w:color="auto"/>
        <w:right w:val="none" w:sz="0" w:space="0" w:color="auto"/>
      </w:divBdr>
      <w:divsChild>
        <w:div w:id="59596248">
          <w:marLeft w:val="0"/>
          <w:marRight w:val="0"/>
          <w:marTop w:val="0"/>
          <w:marBottom w:val="0"/>
          <w:divBdr>
            <w:top w:val="none" w:sz="0" w:space="0" w:color="auto"/>
            <w:left w:val="none" w:sz="0" w:space="0" w:color="auto"/>
            <w:bottom w:val="none" w:sz="0" w:space="0" w:color="auto"/>
            <w:right w:val="none" w:sz="0" w:space="0" w:color="auto"/>
          </w:divBdr>
        </w:div>
      </w:divsChild>
    </w:div>
    <w:div w:id="982276681">
      <w:bodyDiv w:val="1"/>
      <w:marLeft w:val="0"/>
      <w:marRight w:val="0"/>
      <w:marTop w:val="0"/>
      <w:marBottom w:val="0"/>
      <w:divBdr>
        <w:top w:val="none" w:sz="0" w:space="0" w:color="auto"/>
        <w:left w:val="none" w:sz="0" w:space="0" w:color="auto"/>
        <w:bottom w:val="none" w:sz="0" w:space="0" w:color="auto"/>
        <w:right w:val="none" w:sz="0" w:space="0" w:color="auto"/>
      </w:divBdr>
      <w:divsChild>
        <w:div w:id="302739125">
          <w:marLeft w:val="0"/>
          <w:marRight w:val="0"/>
          <w:marTop w:val="0"/>
          <w:marBottom w:val="0"/>
          <w:divBdr>
            <w:top w:val="none" w:sz="0" w:space="0" w:color="auto"/>
            <w:left w:val="none" w:sz="0" w:space="0" w:color="auto"/>
            <w:bottom w:val="none" w:sz="0" w:space="0" w:color="auto"/>
            <w:right w:val="none" w:sz="0" w:space="0" w:color="auto"/>
          </w:divBdr>
          <w:divsChild>
            <w:div w:id="1124229850">
              <w:marLeft w:val="0"/>
              <w:marRight w:val="0"/>
              <w:marTop w:val="0"/>
              <w:marBottom w:val="0"/>
              <w:divBdr>
                <w:top w:val="none" w:sz="0" w:space="0" w:color="auto"/>
                <w:left w:val="none" w:sz="0" w:space="0" w:color="auto"/>
                <w:bottom w:val="none" w:sz="0" w:space="0" w:color="auto"/>
                <w:right w:val="none" w:sz="0" w:space="0" w:color="auto"/>
              </w:divBdr>
              <w:divsChild>
                <w:div w:id="1544322376">
                  <w:marLeft w:val="0"/>
                  <w:marRight w:val="0"/>
                  <w:marTop w:val="120"/>
                  <w:marBottom w:val="0"/>
                  <w:divBdr>
                    <w:top w:val="none" w:sz="0" w:space="0" w:color="auto"/>
                    <w:left w:val="none" w:sz="0" w:space="0" w:color="auto"/>
                    <w:bottom w:val="none" w:sz="0" w:space="0" w:color="auto"/>
                    <w:right w:val="none" w:sz="0" w:space="0" w:color="auto"/>
                  </w:divBdr>
                </w:div>
                <w:div w:id="1557011226">
                  <w:marLeft w:val="0"/>
                  <w:marRight w:val="0"/>
                  <w:marTop w:val="0"/>
                  <w:marBottom w:val="0"/>
                  <w:divBdr>
                    <w:top w:val="none" w:sz="0" w:space="0" w:color="auto"/>
                    <w:left w:val="none" w:sz="0" w:space="0" w:color="auto"/>
                    <w:bottom w:val="none" w:sz="0" w:space="0" w:color="auto"/>
                    <w:right w:val="none" w:sz="0" w:space="0" w:color="auto"/>
                  </w:divBdr>
                </w:div>
              </w:divsChild>
            </w:div>
            <w:div w:id="1044133438">
              <w:marLeft w:val="0"/>
              <w:marRight w:val="0"/>
              <w:marTop w:val="0"/>
              <w:marBottom w:val="0"/>
              <w:divBdr>
                <w:top w:val="none" w:sz="0" w:space="0" w:color="auto"/>
                <w:left w:val="none" w:sz="0" w:space="0" w:color="auto"/>
                <w:bottom w:val="none" w:sz="0" w:space="0" w:color="auto"/>
                <w:right w:val="none" w:sz="0" w:space="0" w:color="auto"/>
              </w:divBdr>
              <w:divsChild>
                <w:div w:id="2014842334">
                  <w:marLeft w:val="0"/>
                  <w:marRight w:val="0"/>
                  <w:marTop w:val="120"/>
                  <w:marBottom w:val="0"/>
                  <w:divBdr>
                    <w:top w:val="none" w:sz="0" w:space="0" w:color="auto"/>
                    <w:left w:val="none" w:sz="0" w:space="0" w:color="auto"/>
                    <w:bottom w:val="none" w:sz="0" w:space="0" w:color="auto"/>
                    <w:right w:val="none" w:sz="0" w:space="0" w:color="auto"/>
                  </w:divBdr>
                </w:div>
                <w:div w:id="293800705">
                  <w:marLeft w:val="0"/>
                  <w:marRight w:val="0"/>
                  <w:marTop w:val="0"/>
                  <w:marBottom w:val="0"/>
                  <w:divBdr>
                    <w:top w:val="none" w:sz="0" w:space="0" w:color="auto"/>
                    <w:left w:val="none" w:sz="0" w:space="0" w:color="auto"/>
                    <w:bottom w:val="none" w:sz="0" w:space="0" w:color="auto"/>
                    <w:right w:val="none" w:sz="0" w:space="0" w:color="auto"/>
                  </w:divBdr>
                </w:div>
              </w:divsChild>
            </w:div>
            <w:div w:id="466241841">
              <w:marLeft w:val="0"/>
              <w:marRight w:val="0"/>
              <w:marTop w:val="0"/>
              <w:marBottom w:val="0"/>
              <w:divBdr>
                <w:top w:val="none" w:sz="0" w:space="0" w:color="auto"/>
                <w:left w:val="none" w:sz="0" w:space="0" w:color="auto"/>
                <w:bottom w:val="none" w:sz="0" w:space="0" w:color="auto"/>
                <w:right w:val="none" w:sz="0" w:space="0" w:color="auto"/>
              </w:divBdr>
              <w:divsChild>
                <w:div w:id="327514952">
                  <w:marLeft w:val="0"/>
                  <w:marRight w:val="0"/>
                  <w:marTop w:val="120"/>
                  <w:marBottom w:val="0"/>
                  <w:divBdr>
                    <w:top w:val="none" w:sz="0" w:space="0" w:color="auto"/>
                    <w:left w:val="none" w:sz="0" w:space="0" w:color="auto"/>
                    <w:bottom w:val="none" w:sz="0" w:space="0" w:color="auto"/>
                    <w:right w:val="none" w:sz="0" w:space="0" w:color="auto"/>
                  </w:divBdr>
                </w:div>
                <w:div w:id="409087380">
                  <w:marLeft w:val="0"/>
                  <w:marRight w:val="0"/>
                  <w:marTop w:val="0"/>
                  <w:marBottom w:val="0"/>
                  <w:divBdr>
                    <w:top w:val="none" w:sz="0" w:space="0" w:color="auto"/>
                    <w:left w:val="none" w:sz="0" w:space="0" w:color="auto"/>
                    <w:bottom w:val="none" w:sz="0" w:space="0" w:color="auto"/>
                    <w:right w:val="none" w:sz="0" w:space="0" w:color="auto"/>
                  </w:divBdr>
                </w:div>
              </w:divsChild>
            </w:div>
            <w:div w:id="632952367">
              <w:marLeft w:val="0"/>
              <w:marRight w:val="0"/>
              <w:marTop w:val="0"/>
              <w:marBottom w:val="0"/>
              <w:divBdr>
                <w:top w:val="none" w:sz="0" w:space="0" w:color="auto"/>
                <w:left w:val="none" w:sz="0" w:space="0" w:color="auto"/>
                <w:bottom w:val="none" w:sz="0" w:space="0" w:color="auto"/>
                <w:right w:val="none" w:sz="0" w:space="0" w:color="auto"/>
              </w:divBdr>
              <w:divsChild>
                <w:div w:id="2036273872">
                  <w:marLeft w:val="0"/>
                  <w:marRight w:val="0"/>
                  <w:marTop w:val="120"/>
                  <w:marBottom w:val="0"/>
                  <w:divBdr>
                    <w:top w:val="none" w:sz="0" w:space="0" w:color="auto"/>
                    <w:left w:val="none" w:sz="0" w:space="0" w:color="auto"/>
                    <w:bottom w:val="none" w:sz="0" w:space="0" w:color="auto"/>
                    <w:right w:val="none" w:sz="0" w:space="0" w:color="auto"/>
                  </w:divBdr>
                </w:div>
                <w:div w:id="815148049">
                  <w:marLeft w:val="0"/>
                  <w:marRight w:val="0"/>
                  <w:marTop w:val="0"/>
                  <w:marBottom w:val="0"/>
                  <w:divBdr>
                    <w:top w:val="none" w:sz="0" w:space="0" w:color="auto"/>
                    <w:left w:val="none" w:sz="0" w:space="0" w:color="auto"/>
                    <w:bottom w:val="none" w:sz="0" w:space="0" w:color="auto"/>
                    <w:right w:val="none" w:sz="0" w:space="0" w:color="auto"/>
                  </w:divBdr>
                </w:div>
              </w:divsChild>
            </w:div>
            <w:div w:id="1476407322">
              <w:marLeft w:val="0"/>
              <w:marRight w:val="0"/>
              <w:marTop w:val="0"/>
              <w:marBottom w:val="0"/>
              <w:divBdr>
                <w:top w:val="none" w:sz="0" w:space="0" w:color="auto"/>
                <w:left w:val="none" w:sz="0" w:space="0" w:color="auto"/>
                <w:bottom w:val="none" w:sz="0" w:space="0" w:color="auto"/>
                <w:right w:val="none" w:sz="0" w:space="0" w:color="auto"/>
              </w:divBdr>
              <w:divsChild>
                <w:div w:id="323515522">
                  <w:marLeft w:val="0"/>
                  <w:marRight w:val="0"/>
                  <w:marTop w:val="120"/>
                  <w:marBottom w:val="0"/>
                  <w:divBdr>
                    <w:top w:val="none" w:sz="0" w:space="0" w:color="auto"/>
                    <w:left w:val="none" w:sz="0" w:space="0" w:color="auto"/>
                    <w:bottom w:val="none" w:sz="0" w:space="0" w:color="auto"/>
                    <w:right w:val="none" w:sz="0" w:space="0" w:color="auto"/>
                  </w:divBdr>
                </w:div>
                <w:div w:id="1326132236">
                  <w:marLeft w:val="0"/>
                  <w:marRight w:val="0"/>
                  <w:marTop w:val="0"/>
                  <w:marBottom w:val="0"/>
                  <w:divBdr>
                    <w:top w:val="none" w:sz="0" w:space="0" w:color="auto"/>
                    <w:left w:val="none" w:sz="0" w:space="0" w:color="auto"/>
                    <w:bottom w:val="none" w:sz="0" w:space="0" w:color="auto"/>
                    <w:right w:val="none" w:sz="0" w:space="0" w:color="auto"/>
                  </w:divBdr>
                </w:div>
              </w:divsChild>
            </w:div>
            <w:div w:id="1286426908">
              <w:marLeft w:val="0"/>
              <w:marRight w:val="0"/>
              <w:marTop w:val="0"/>
              <w:marBottom w:val="0"/>
              <w:divBdr>
                <w:top w:val="none" w:sz="0" w:space="0" w:color="auto"/>
                <w:left w:val="none" w:sz="0" w:space="0" w:color="auto"/>
                <w:bottom w:val="none" w:sz="0" w:space="0" w:color="auto"/>
                <w:right w:val="none" w:sz="0" w:space="0" w:color="auto"/>
              </w:divBdr>
              <w:divsChild>
                <w:div w:id="1927958688">
                  <w:marLeft w:val="0"/>
                  <w:marRight w:val="0"/>
                  <w:marTop w:val="120"/>
                  <w:marBottom w:val="0"/>
                  <w:divBdr>
                    <w:top w:val="none" w:sz="0" w:space="0" w:color="auto"/>
                    <w:left w:val="none" w:sz="0" w:space="0" w:color="auto"/>
                    <w:bottom w:val="none" w:sz="0" w:space="0" w:color="auto"/>
                    <w:right w:val="none" w:sz="0" w:space="0" w:color="auto"/>
                  </w:divBdr>
                </w:div>
                <w:div w:id="920871595">
                  <w:marLeft w:val="0"/>
                  <w:marRight w:val="0"/>
                  <w:marTop w:val="0"/>
                  <w:marBottom w:val="0"/>
                  <w:divBdr>
                    <w:top w:val="none" w:sz="0" w:space="0" w:color="auto"/>
                    <w:left w:val="none" w:sz="0" w:space="0" w:color="auto"/>
                    <w:bottom w:val="none" w:sz="0" w:space="0" w:color="auto"/>
                    <w:right w:val="none" w:sz="0" w:space="0" w:color="auto"/>
                  </w:divBdr>
                </w:div>
              </w:divsChild>
            </w:div>
            <w:div w:id="1492873458">
              <w:marLeft w:val="0"/>
              <w:marRight w:val="0"/>
              <w:marTop w:val="0"/>
              <w:marBottom w:val="0"/>
              <w:divBdr>
                <w:top w:val="none" w:sz="0" w:space="0" w:color="auto"/>
                <w:left w:val="none" w:sz="0" w:space="0" w:color="auto"/>
                <w:bottom w:val="none" w:sz="0" w:space="0" w:color="auto"/>
                <w:right w:val="none" w:sz="0" w:space="0" w:color="auto"/>
              </w:divBdr>
              <w:divsChild>
                <w:div w:id="892233944">
                  <w:marLeft w:val="0"/>
                  <w:marRight w:val="0"/>
                  <w:marTop w:val="120"/>
                  <w:marBottom w:val="0"/>
                  <w:divBdr>
                    <w:top w:val="none" w:sz="0" w:space="0" w:color="auto"/>
                    <w:left w:val="none" w:sz="0" w:space="0" w:color="auto"/>
                    <w:bottom w:val="none" w:sz="0" w:space="0" w:color="auto"/>
                    <w:right w:val="none" w:sz="0" w:space="0" w:color="auto"/>
                  </w:divBdr>
                </w:div>
                <w:div w:id="1143960630">
                  <w:marLeft w:val="0"/>
                  <w:marRight w:val="0"/>
                  <w:marTop w:val="0"/>
                  <w:marBottom w:val="0"/>
                  <w:divBdr>
                    <w:top w:val="none" w:sz="0" w:space="0" w:color="auto"/>
                    <w:left w:val="none" w:sz="0" w:space="0" w:color="auto"/>
                    <w:bottom w:val="none" w:sz="0" w:space="0" w:color="auto"/>
                    <w:right w:val="none" w:sz="0" w:space="0" w:color="auto"/>
                  </w:divBdr>
                </w:div>
              </w:divsChild>
            </w:div>
            <w:div w:id="936716371">
              <w:marLeft w:val="0"/>
              <w:marRight w:val="0"/>
              <w:marTop w:val="0"/>
              <w:marBottom w:val="0"/>
              <w:divBdr>
                <w:top w:val="none" w:sz="0" w:space="0" w:color="auto"/>
                <w:left w:val="none" w:sz="0" w:space="0" w:color="auto"/>
                <w:bottom w:val="none" w:sz="0" w:space="0" w:color="auto"/>
                <w:right w:val="none" w:sz="0" w:space="0" w:color="auto"/>
              </w:divBdr>
              <w:divsChild>
                <w:div w:id="516507861">
                  <w:marLeft w:val="0"/>
                  <w:marRight w:val="0"/>
                  <w:marTop w:val="120"/>
                  <w:marBottom w:val="0"/>
                  <w:divBdr>
                    <w:top w:val="none" w:sz="0" w:space="0" w:color="auto"/>
                    <w:left w:val="none" w:sz="0" w:space="0" w:color="auto"/>
                    <w:bottom w:val="none" w:sz="0" w:space="0" w:color="auto"/>
                    <w:right w:val="none" w:sz="0" w:space="0" w:color="auto"/>
                  </w:divBdr>
                </w:div>
                <w:div w:id="85839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010131">
      <w:bodyDiv w:val="1"/>
      <w:marLeft w:val="0"/>
      <w:marRight w:val="0"/>
      <w:marTop w:val="0"/>
      <w:marBottom w:val="0"/>
      <w:divBdr>
        <w:top w:val="none" w:sz="0" w:space="0" w:color="auto"/>
        <w:left w:val="none" w:sz="0" w:space="0" w:color="auto"/>
        <w:bottom w:val="none" w:sz="0" w:space="0" w:color="auto"/>
        <w:right w:val="none" w:sz="0" w:space="0" w:color="auto"/>
      </w:divBdr>
      <w:divsChild>
        <w:div w:id="447624771">
          <w:marLeft w:val="0"/>
          <w:marRight w:val="0"/>
          <w:marTop w:val="0"/>
          <w:marBottom w:val="0"/>
          <w:divBdr>
            <w:top w:val="none" w:sz="0" w:space="0" w:color="auto"/>
            <w:left w:val="none" w:sz="0" w:space="0" w:color="auto"/>
            <w:bottom w:val="none" w:sz="0" w:space="0" w:color="auto"/>
            <w:right w:val="none" w:sz="0" w:space="0" w:color="auto"/>
          </w:divBdr>
        </w:div>
      </w:divsChild>
    </w:div>
    <w:div w:id="993607648">
      <w:bodyDiv w:val="1"/>
      <w:marLeft w:val="0"/>
      <w:marRight w:val="0"/>
      <w:marTop w:val="0"/>
      <w:marBottom w:val="0"/>
      <w:divBdr>
        <w:top w:val="none" w:sz="0" w:space="0" w:color="auto"/>
        <w:left w:val="none" w:sz="0" w:space="0" w:color="auto"/>
        <w:bottom w:val="none" w:sz="0" w:space="0" w:color="auto"/>
        <w:right w:val="none" w:sz="0" w:space="0" w:color="auto"/>
      </w:divBdr>
      <w:divsChild>
        <w:div w:id="1214077803">
          <w:marLeft w:val="0"/>
          <w:marRight w:val="0"/>
          <w:marTop w:val="0"/>
          <w:marBottom w:val="0"/>
          <w:divBdr>
            <w:top w:val="none" w:sz="0" w:space="0" w:color="auto"/>
            <w:left w:val="none" w:sz="0" w:space="0" w:color="auto"/>
            <w:bottom w:val="none" w:sz="0" w:space="0" w:color="auto"/>
            <w:right w:val="none" w:sz="0" w:space="0" w:color="auto"/>
          </w:divBdr>
        </w:div>
      </w:divsChild>
    </w:div>
    <w:div w:id="993878105">
      <w:bodyDiv w:val="1"/>
      <w:marLeft w:val="0"/>
      <w:marRight w:val="0"/>
      <w:marTop w:val="0"/>
      <w:marBottom w:val="0"/>
      <w:divBdr>
        <w:top w:val="none" w:sz="0" w:space="0" w:color="auto"/>
        <w:left w:val="none" w:sz="0" w:space="0" w:color="auto"/>
        <w:bottom w:val="none" w:sz="0" w:space="0" w:color="auto"/>
        <w:right w:val="none" w:sz="0" w:space="0" w:color="auto"/>
      </w:divBdr>
      <w:divsChild>
        <w:div w:id="1616281220">
          <w:marLeft w:val="0"/>
          <w:marRight w:val="0"/>
          <w:marTop w:val="0"/>
          <w:marBottom w:val="0"/>
          <w:divBdr>
            <w:top w:val="none" w:sz="0" w:space="0" w:color="auto"/>
            <w:left w:val="none" w:sz="0" w:space="0" w:color="auto"/>
            <w:bottom w:val="none" w:sz="0" w:space="0" w:color="auto"/>
            <w:right w:val="none" w:sz="0" w:space="0" w:color="auto"/>
          </w:divBdr>
        </w:div>
      </w:divsChild>
    </w:div>
    <w:div w:id="1001078666">
      <w:bodyDiv w:val="1"/>
      <w:marLeft w:val="0"/>
      <w:marRight w:val="0"/>
      <w:marTop w:val="0"/>
      <w:marBottom w:val="0"/>
      <w:divBdr>
        <w:top w:val="none" w:sz="0" w:space="0" w:color="auto"/>
        <w:left w:val="none" w:sz="0" w:space="0" w:color="auto"/>
        <w:bottom w:val="none" w:sz="0" w:space="0" w:color="auto"/>
        <w:right w:val="none" w:sz="0" w:space="0" w:color="auto"/>
      </w:divBdr>
      <w:divsChild>
        <w:div w:id="1356226184">
          <w:marLeft w:val="0"/>
          <w:marRight w:val="0"/>
          <w:marTop w:val="0"/>
          <w:marBottom w:val="0"/>
          <w:divBdr>
            <w:top w:val="none" w:sz="0" w:space="0" w:color="auto"/>
            <w:left w:val="none" w:sz="0" w:space="0" w:color="auto"/>
            <w:bottom w:val="none" w:sz="0" w:space="0" w:color="auto"/>
            <w:right w:val="none" w:sz="0" w:space="0" w:color="auto"/>
          </w:divBdr>
        </w:div>
      </w:divsChild>
    </w:div>
    <w:div w:id="1001155742">
      <w:bodyDiv w:val="1"/>
      <w:marLeft w:val="0"/>
      <w:marRight w:val="0"/>
      <w:marTop w:val="0"/>
      <w:marBottom w:val="0"/>
      <w:divBdr>
        <w:top w:val="none" w:sz="0" w:space="0" w:color="auto"/>
        <w:left w:val="none" w:sz="0" w:space="0" w:color="auto"/>
        <w:bottom w:val="none" w:sz="0" w:space="0" w:color="auto"/>
        <w:right w:val="none" w:sz="0" w:space="0" w:color="auto"/>
      </w:divBdr>
      <w:divsChild>
        <w:div w:id="847254387">
          <w:marLeft w:val="0"/>
          <w:marRight w:val="0"/>
          <w:marTop w:val="0"/>
          <w:marBottom w:val="0"/>
          <w:divBdr>
            <w:top w:val="none" w:sz="0" w:space="0" w:color="auto"/>
            <w:left w:val="none" w:sz="0" w:space="0" w:color="auto"/>
            <w:bottom w:val="none" w:sz="0" w:space="0" w:color="auto"/>
            <w:right w:val="none" w:sz="0" w:space="0" w:color="auto"/>
          </w:divBdr>
        </w:div>
      </w:divsChild>
    </w:div>
    <w:div w:id="1003708067">
      <w:bodyDiv w:val="1"/>
      <w:marLeft w:val="0"/>
      <w:marRight w:val="0"/>
      <w:marTop w:val="0"/>
      <w:marBottom w:val="0"/>
      <w:divBdr>
        <w:top w:val="none" w:sz="0" w:space="0" w:color="auto"/>
        <w:left w:val="none" w:sz="0" w:space="0" w:color="auto"/>
        <w:bottom w:val="none" w:sz="0" w:space="0" w:color="auto"/>
        <w:right w:val="none" w:sz="0" w:space="0" w:color="auto"/>
      </w:divBdr>
      <w:divsChild>
        <w:div w:id="634414939">
          <w:marLeft w:val="0"/>
          <w:marRight w:val="0"/>
          <w:marTop w:val="0"/>
          <w:marBottom w:val="0"/>
          <w:divBdr>
            <w:top w:val="none" w:sz="0" w:space="0" w:color="auto"/>
            <w:left w:val="none" w:sz="0" w:space="0" w:color="auto"/>
            <w:bottom w:val="none" w:sz="0" w:space="0" w:color="auto"/>
            <w:right w:val="none" w:sz="0" w:space="0" w:color="auto"/>
          </w:divBdr>
        </w:div>
      </w:divsChild>
    </w:div>
    <w:div w:id="1012882175">
      <w:bodyDiv w:val="1"/>
      <w:marLeft w:val="0"/>
      <w:marRight w:val="0"/>
      <w:marTop w:val="0"/>
      <w:marBottom w:val="0"/>
      <w:divBdr>
        <w:top w:val="none" w:sz="0" w:space="0" w:color="auto"/>
        <w:left w:val="none" w:sz="0" w:space="0" w:color="auto"/>
        <w:bottom w:val="none" w:sz="0" w:space="0" w:color="auto"/>
        <w:right w:val="none" w:sz="0" w:space="0" w:color="auto"/>
      </w:divBdr>
      <w:divsChild>
        <w:div w:id="243148287">
          <w:marLeft w:val="0"/>
          <w:marRight w:val="0"/>
          <w:marTop w:val="120"/>
          <w:marBottom w:val="0"/>
          <w:divBdr>
            <w:top w:val="none" w:sz="0" w:space="0" w:color="auto"/>
            <w:left w:val="none" w:sz="0" w:space="0" w:color="auto"/>
            <w:bottom w:val="none" w:sz="0" w:space="0" w:color="auto"/>
            <w:right w:val="none" w:sz="0" w:space="0" w:color="auto"/>
          </w:divBdr>
        </w:div>
        <w:div w:id="979194774">
          <w:marLeft w:val="0"/>
          <w:marRight w:val="0"/>
          <w:marTop w:val="0"/>
          <w:marBottom w:val="0"/>
          <w:divBdr>
            <w:top w:val="none" w:sz="0" w:space="0" w:color="auto"/>
            <w:left w:val="none" w:sz="0" w:space="0" w:color="auto"/>
            <w:bottom w:val="none" w:sz="0" w:space="0" w:color="auto"/>
            <w:right w:val="none" w:sz="0" w:space="0" w:color="auto"/>
          </w:divBdr>
        </w:div>
      </w:divsChild>
    </w:div>
    <w:div w:id="1013798162">
      <w:bodyDiv w:val="1"/>
      <w:marLeft w:val="0"/>
      <w:marRight w:val="0"/>
      <w:marTop w:val="0"/>
      <w:marBottom w:val="0"/>
      <w:divBdr>
        <w:top w:val="none" w:sz="0" w:space="0" w:color="auto"/>
        <w:left w:val="none" w:sz="0" w:space="0" w:color="auto"/>
        <w:bottom w:val="none" w:sz="0" w:space="0" w:color="auto"/>
        <w:right w:val="none" w:sz="0" w:space="0" w:color="auto"/>
      </w:divBdr>
      <w:divsChild>
        <w:div w:id="1961374215">
          <w:marLeft w:val="0"/>
          <w:marRight w:val="0"/>
          <w:marTop w:val="120"/>
          <w:marBottom w:val="0"/>
          <w:divBdr>
            <w:top w:val="none" w:sz="0" w:space="0" w:color="auto"/>
            <w:left w:val="none" w:sz="0" w:space="0" w:color="auto"/>
            <w:bottom w:val="none" w:sz="0" w:space="0" w:color="auto"/>
            <w:right w:val="none" w:sz="0" w:space="0" w:color="auto"/>
          </w:divBdr>
        </w:div>
        <w:div w:id="1497726846">
          <w:marLeft w:val="0"/>
          <w:marRight w:val="0"/>
          <w:marTop w:val="0"/>
          <w:marBottom w:val="0"/>
          <w:divBdr>
            <w:top w:val="none" w:sz="0" w:space="0" w:color="auto"/>
            <w:left w:val="none" w:sz="0" w:space="0" w:color="auto"/>
            <w:bottom w:val="none" w:sz="0" w:space="0" w:color="auto"/>
            <w:right w:val="none" w:sz="0" w:space="0" w:color="auto"/>
          </w:divBdr>
        </w:div>
      </w:divsChild>
    </w:div>
    <w:div w:id="1016929907">
      <w:bodyDiv w:val="1"/>
      <w:marLeft w:val="0"/>
      <w:marRight w:val="0"/>
      <w:marTop w:val="0"/>
      <w:marBottom w:val="0"/>
      <w:divBdr>
        <w:top w:val="none" w:sz="0" w:space="0" w:color="auto"/>
        <w:left w:val="none" w:sz="0" w:space="0" w:color="auto"/>
        <w:bottom w:val="none" w:sz="0" w:space="0" w:color="auto"/>
        <w:right w:val="none" w:sz="0" w:space="0" w:color="auto"/>
      </w:divBdr>
    </w:div>
    <w:div w:id="1018383648">
      <w:bodyDiv w:val="1"/>
      <w:marLeft w:val="0"/>
      <w:marRight w:val="0"/>
      <w:marTop w:val="0"/>
      <w:marBottom w:val="0"/>
      <w:divBdr>
        <w:top w:val="none" w:sz="0" w:space="0" w:color="auto"/>
        <w:left w:val="none" w:sz="0" w:space="0" w:color="auto"/>
        <w:bottom w:val="none" w:sz="0" w:space="0" w:color="auto"/>
        <w:right w:val="none" w:sz="0" w:space="0" w:color="auto"/>
      </w:divBdr>
      <w:divsChild>
        <w:div w:id="287977170">
          <w:marLeft w:val="0"/>
          <w:marRight w:val="0"/>
          <w:marTop w:val="0"/>
          <w:marBottom w:val="0"/>
          <w:divBdr>
            <w:top w:val="none" w:sz="0" w:space="0" w:color="auto"/>
            <w:left w:val="none" w:sz="0" w:space="0" w:color="auto"/>
            <w:bottom w:val="none" w:sz="0" w:space="0" w:color="auto"/>
            <w:right w:val="none" w:sz="0" w:space="0" w:color="auto"/>
          </w:divBdr>
        </w:div>
      </w:divsChild>
    </w:div>
    <w:div w:id="1019624748">
      <w:bodyDiv w:val="1"/>
      <w:marLeft w:val="0"/>
      <w:marRight w:val="0"/>
      <w:marTop w:val="0"/>
      <w:marBottom w:val="0"/>
      <w:divBdr>
        <w:top w:val="none" w:sz="0" w:space="0" w:color="auto"/>
        <w:left w:val="none" w:sz="0" w:space="0" w:color="auto"/>
        <w:bottom w:val="none" w:sz="0" w:space="0" w:color="auto"/>
        <w:right w:val="none" w:sz="0" w:space="0" w:color="auto"/>
      </w:divBdr>
      <w:divsChild>
        <w:div w:id="1493139221">
          <w:marLeft w:val="0"/>
          <w:marRight w:val="0"/>
          <w:marTop w:val="120"/>
          <w:marBottom w:val="0"/>
          <w:divBdr>
            <w:top w:val="none" w:sz="0" w:space="0" w:color="auto"/>
            <w:left w:val="none" w:sz="0" w:space="0" w:color="auto"/>
            <w:bottom w:val="none" w:sz="0" w:space="0" w:color="auto"/>
            <w:right w:val="none" w:sz="0" w:space="0" w:color="auto"/>
          </w:divBdr>
        </w:div>
        <w:div w:id="1973050656">
          <w:marLeft w:val="0"/>
          <w:marRight w:val="0"/>
          <w:marTop w:val="0"/>
          <w:marBottom w:val="0"/>
          <w:divBdr>
            <w:top w:val="none" w:sz="0" w:space="0" w:color="auto"/>
            <w:left w:val="none" w:sz="0" w:space="0" w:color="auto"/>
            <w:bottom w:val="none" w:sz="0" w:space="0" w:color="auto"/>
            <w:right w:val="none" w:sz="0" w:space="0" w:color="auto"/>
          </w:divBdr>
        </w:div>
      </w:divsChild>
    </w:div>
    <w:div w:id="1020472056">
      <w:bodyDiv w:val="1"/>
      <w:marLeft w:val="0"/>
      <w:marRight w:val="0"/>
      <w:marTop w:val="0"/>
      <w:marBottom w:val="0"/>
      <w:divBdr>
        <w:top w:val="none" w:sz="0" w:space="0" w:color="auto"/>
        <w:left w:val="none" w:sz="0" w:space="0" w:color="auto"/>
        <w:bottom w:val="none" w:sz="0" w:space="0" w:color="auto"/>
        <w:right w:val="none" w:sz="0" w:space="0" w:color="auto"/>
      </w:divBdr>
      <w:divsChild>
        <w:div w:id="1456293249">
          <w:marLeft w:val="0"/>
          <w:marRight w:val="0"/>
          <w:marTop w:val="120"/>
          <w:marBottom w:val="0"/>
          <w:divBdr>
            <w:top w:val="none" w:sz="0" w:space="0" w:color="auto"/>
            <w:left w:val="none" w:sz="0" w:space="0" w:color="auto"/>
            <w:bottom w:val="none" w:sz="0" w:space="0" w:color="auto"/>
            <w:right w:val="none" w:sz="0" w:space="0" w:color="auto"/>
          </w:divBdr>
        </w:div>
        <w:div w:id="2090156709">
          <w:marLeft w:val="0"/>
          <w:marRight w:val="0"/>
          <w:marTop w:val="0"/>
          <w:marBottom w:val="0"/>
          <w:divBdr>
            <w:top w:val="none" w:sz="0" w:space="0" w:color="auto"/>
            <w:left w:val="none" w:sz="0" w:space="0" w:color="auto"/>
            <w:bottom w:val="none" w:sz="0" w:space="0" w:color="auto"/>
            <w:right w:val="none" w:sz="0" w:space="0" w:color="auto"/>
          </w:divBdr>
        </w:div>
      </w:divsChild>
    </w:div>
    <w:div w:id="1020622555">
      <w:bodyDiv w:val="1"/>
      <w:marLeft w:val="0"/>
      <w:marRight w:val="0"/>
      <w:marTop w:val="0"/>
      <w:marBottom w:val="0"/>
      <w:divBdr>
        <w:top w:val="none" w:sz="0" w:space="0" w:color="auto"/>
        <w:left w:val="none" w:sz="0" w:space="0" w:color="auto"/>
        <w:bottom w:val="none" w:sz="0" w:space="0" w:color="auto"/>
        <w:right w:val="none" w:sz="0" w:space="0" w:color="auto"/>
      </w:divBdr>
      <w:divsChild>
        <w:div w:id="770276973">
          <w:marLeft w:val="0"/>
          <w:marRight w:val="0"/>
          <w:marTop w:val="0"/>
          <w:marBottom w:val="0"/>
          <w:divBdr>
            <w:top w:val="none" w:sz="0" w:space="0" w:color="auto"/>
            <w:left w:val="none" w:sz="0" w:space="0" w:color="auto"/>
            <w:bottom w:val="none" w:sz="0" w:space="0" w:color="auto"/>
            <w:right w:val="none" w:sz="0" w:space="0" w:color="auto"/>
          </w:divBdr>
        </w:div>
      </w:divsChild>
    </w:div>
    <w:div w:id="1021517167">
      <w:bodyDiv w:val="1"/>
      <w:marLeft w:val="0"/>
      <w:marRight w:val="0"/>
      <w:marTop w:val="0"/>
      <w:marBottom w:val="0"/>
      <w:divBdr>
        <w:top w:val="none" w:sz="0" w:space="0" w:color="auto"/>
        <w:left w:val="none" w:sz="0" w:space="0" w:color="auto"/>
        <w:bottom w:val="none" w:sz="0" w:space="0" w:color="auto"/>
        <w:right w:val="none" w:sz="0" w:space="0" w:color="auto"/>
      </w:divBdr>
      <w:divsChild>
        <w:div w:id="1904900683">
          <w:marLeft w:val="0"/>
          <w:marRight w:val="0"/>
          <w:marTop w:val="0"/>
          <w:marBottom w:val="0"/>
          <w:divBdr>
            <w:top w:val="none" w:sz="0" w:space="0" w:color="auto"/>
            <w:left w:val="none" w:sz="0" w:space="0" w:color="auto"/>
            <w:bottom w:val="none" w:sz="0" w:space="0" w:color="auto"/>
            <w:right w:val="none" w:sz="0" w:space="0" w:color="auto"/>
          </w:divBdr>
        </w:div>
      </w:divsChild>
    </w:div>
    <w:div w:id="1021738816">
      <w:bodyDiv w:val="1"/>
      <w:marLeft w:val="0"/>
      <w:marRight w:val="0"/>
      <w:marTop w:val="0"/>
      <w:marBottom w:val="0"/>
      <w:divBdr>
        <w:top w:val="none" w:sz="0" w:space="0" w:color="auto"/>
        <w:left w:val="none" w:sz="0" w:space="0" w:color="auto"/>
        <w:bottom w:val="none" w:sz="0" w:space="0" w:color="auto"/>
        <w:right w:val="none" w:sz="0" w:space="0" w:color="auto"/>
      </w:divBdr>
    </w:div>
    <w:div w:id="1030029357">
      <w:bodyDiv w:val="1"/>
      <w:marLeft w:val="0"/>
      <w:marRight w:val="0"/>
      <w:marTop w:val="0"/>
      <w:marBottom w:val="0"/>
      <w:divBdr>
        <w:top w:val="none" w:sz="0" w:space="0" w:color="auto"/>
        <w:left w:val="none" w:sz="0" w:space="0" w:color="auto"/>
        <w:bottom w:val="none" w:sz="0" w:space="0" w:color="auto"/>
        <w:right w:val="none" w:sz="0" w:space="0" w:color="auto"/>
      </w:divBdr>
      <w:divsChild>
        <w:div w:id="1677028578">
          <w:marLeft w:val="0"/>
          <w:marRight w:val="0"/>
          <w:marTop w:val="0"/>
          <w:marBottom w:val="0"/>
          <w:divBdr>
            <w:top w:val="none" w:sz="0" w:space="0" w:color="auto"/>
            <w:left w:val="none" w:sz="0" w:space="0" w:color="auto"/>
            <w:bottom w:val="none" w:sz="0" w:space="0" w:color="auto"/>
            <w:right w:val="none" w:sz="0" w:space="0" w:color="auto"/>
          </w:divBdr>
          <w:divsChild>
            <w:div w:id="960569591">
              <w:marLeft w:val="0"/>
              <w:marRight w:val="0"/>
              <w:marTop w:val="0"/>
              <w:marBottom w:val="0"/>
              <w:divBdr>
                <w:top w:val="none" w:sz="0" w:space="0" w:color="auto"/>
                <w:left w:val="none" w:sz="0" w:space="0" w:color="auto"/>
                <w:bottom w:val="none" w:sz="0" w:space="0" w:color="auto"/>
                <w:right w:val="none" w:sz="0" w:space="0" w:color="auto"/>
              </w:divBdr>
              <w:divsChild>
                <w:div w:id="425345520">
                  <w:marLeft w:val="0"/>
                  <w:marRight w:val="0"/>
                  <w:marTop w:val="0"/>
                  <w:marBottom w:val="0"/>
                  <w:divBdr>
                    <w:top w:val="none" w:sz="0" w:space="0" w:color="auto"/>
                    <w:left w:val="none" w:sz="0" w:space="0" w:color="auto"/>
                    <w:bottom w:val="none" w:sz="0" w:space="0" w:color="auto"/>
                    <w:right w:val="none" w:sz="0" w:space="0" w:color="auto"/>
                  </w:divBdr>
                  <w:divsChild>
                    <w:div w:id="677122046">
                      <w:marLeft w:val="0"/>
                      <w:marRight w:val="0"/>
                      <w:marTop w:val="0"/>
                      <w:marBottom w:val="0"/>
                      <w:divBdr>
                        <w:top w:val="none" w:sz="0" w:space="0" w:color="auto"/>
                        <w:left w:val="none" w:sz="0" w:space="0" w:color="auto"/>
                        <w:bottom w:val="none" w:sz="0" w:space="0" w:color="auto"/>
                        <w:right w:val="none" w:sz="0" w:space="0" w:color="auto"/>
                      </w:divBdr>
                      <w:divsChild>
                        <w:div w:id="915090091">
                          <w:marLeft w:val="0"/>
                          <w:marRight w:val="0"/>
                          <w:marTop w:val="0"/>
                          <w:marBottom w:val="0"/>
                          <w:divBdr>
                            <w:top w:val="none" w:sz="0" w:space="0" w:color="auto"/>
                            <w:left w:val="none" w:sz="0" w:space="0" w:color="auto"/>
                            <w:bottom w:val="none" w:sz="0" w:space="0" w:color="auto"/>
                            <w:right w:val="none" w:sz="0" w:space="0" w:color="auto"/>
                          </w:divBdr>
                          <w:divsChild>
                            <w:div w:id="1683046196">
                              <w:marLeft w:val="0"/>
                              <w:marRight w:val="0"/>
                              <w:marTop w:val="0"/>
                              <w:marBottom w:val="0"/>
                              <w:divBdr>
                                <w:top w:val="none" w:sz="0" w:space="0" w:color="auto"/>
                                <w:left w:val="none" w:sz="0" w:space="0" w:color="auto"/>
                                <w:bottom w:val="none" w:sz="0" w:space="0" w:color="auto"/>
                                <w:right w:val="none" w:sz="0" w:space="0" w:color="auto"/>
                              </w:divBdr>
                              <w:divsChild>
                                <w:div w:id="1557935850">
                                  <w:marLeft w:val="0"/>
                                  <w:marRight w:val="0"/>
                                  <w:marTop w:val="0"/>
                                  <w:marBottom w:val="0"/>
                                  <w:divBdr>
                                    <w:top w:val="none" w:sz="0" w:space="0" w:color="auto"/>
                                    <w:left w:val="none" w:sz="0" w:space="0" w:color="auto"/>
                                    <w:bottom w:val="none" w:sz="0" w:space="0" w:color="auto"/>
                                    <w:right w:val="none" w:sz="0" w:space="0" w:color="auto"/>
                                  </w:divBdr>
                                  <w:divsChild>
                                    <w:div w:id="234440405">
                                      <w:marLeft w:val="0"/>
                                      <w:marRight w:val="0"/>
                                      <w:marTop w:val="120"/>
                                      <w:marBottom w:val="0"/>
                                      <w:divBdr>
                                        <w:top w:val="none" w:sz="0" w:space="0" w:color="auto"/>
                                        <w:left w:val="none" w:sz="0" w:space="0" w:color="auto"/>
                                        <w:bottom w:val="none" w:sz="0" w:space="0" w:color="auto"/>
                                        <w:right w:val="none" w:sz="0" w:space="0" w:color="auto"/>
                                      </w:divBdr>
                                    </w:div>
                                    <w:div w:id="2071494203">
                                      <w:marLeft w:val="0"/>
                                      <w:marRight w:val="0"/>
                                      <w:marTop w:val="0"/>
                                      <w:marBottom w:val="0"/>
                                      <w:divBdr>
                                        <w:top w:val="none" w:sz="0" w:space="0" w:color="auto"/>
                                        <w:left w:val="none" w:sz="0" w:space="0" w:color="auto"/>
                                        <w:bottom w:val="none" w:sz="0" w:space="0" w:color="auto"/>
                                        <w:right w:val="none" w:sz="0" w:space="0" w:color="auto"/>
                                      </w:divBdr>
                                    </w:div>
                                  </w:divsChild>
                                </w:div>
                                <w:div w:id="302082741">
                                  <w:marLeft w:val="0"/>
                                  <w:marRight w:val="0"/>
                                  <w:marTop w:val="0"/>
                                  <w:marBottom w:val="0"/>
                                  <w:divBdr>
                                    <w:top w:val="none" w:sz="0" w:space="0" w:color="auto"/>
                                    <w:left w:val="none" w:sz="0" w:space="0" w:color="auto"/>
                                    <w:bottom w:val="none" w:sz="0" w:space="0" w:color="auto"/>
                                    <w:right w:val="none" w:sz="0" w:space="0" w:color="auto"/>
                                  </w:divBdr>
                                  <w:divsChild>
                                    <w:div w:id="1485661063">
                                      <w:marLeft w:val="0"/>
                                      <w:marRight w:val="0"/>
                                      <w:marTop w:val="120"/>
                                      <w:marBottom w:val="0"/>
                                      <w:divBdr>
                                        <w:top w:val="none" w:sz="0" w:space="0" w:color="auto"/>
                                        <w:left w:val="none" w:sz="0" w:space="0" w:color="auto"/>
                                        <w:bottom w:val="none" w:sz="0" w:space="0" w:color="auto"/>
                                        <w:right w:val="none" w:sz="0" w:space="0" w:color="auto"/>
                                      </w:divBdr>
                                    </w:div>
                                    <w:div w:id="1241408903">
                                      <w:marLeft w:val="0"/>
                                      <w:marRight w:val="0"/>
                                      <w:marTop w:val="0"/>
                                      <w:marBottom w:val="0"/>
                                      <w:divBdr>
                                        <w:top w:val="none" w:sz="0" w:space="0" w:color="auto"/>
                                        <w:left w:val="none" w:sz="0" w:space="0" w:color="auto"/>
                                        <w:bottom w:val="none" w:sz="0" w:space="0" w:color="auto"/>
                                        <w:right w:val="none" w:sz="0" w:space="0" w:color="auto"/>
                                      </w:divBdr>
                                    </w:div>
                                  </w:divsChild>
                                </w:div>
                                <w:div w:id="622813208">
                                  <w:marLeft w:val="0"/>
                                  <w:marRight w:val="0"/>
                                  <w:marTop w:val="0"/>
                                  <w:marBottom w:val="0"/>
                                  <w:divBdr>
                                    <w:top w:val="none" w:sz="0" w:space="0" w:color="auto"/>
                                    <w:left w:val="none" w:sz="0" w:space="0" w:color="auto"/>
                                    <w:bottom w:val="none" w:sz="0" w:space="0" w:color="auto"/>
                                    <w:right w:val="none" w:sz="0" w:space="0" w:color="auto"/>
                                  </w:divBdr>
                                  <w:divsChild>
                                    <w:div w:id="939685047">
                                      <w:marLeft w:val="0"/>
                                      <w:marRight w:val="0"/>
                                      <w:marTop w:val="120"/>
                                      <w:marBottom w:val="0"/>
                                      <w:divBdr>
                                        <w:top w:val="none" w:sz="0" w:space="0" w:color="auto"/>
                                        <w:left w:val="none" w:sz="0" w:space="0" w:color="auto"/>
                                        <w:bottom w:val="none" w:sz="0" w:space="0" w:color="auto"/>
                                        <w:right w:val="none" w:sz="0" w:space="0" w:color="auto"/>
                                      </w:divBdr>
                                    </w:div>
                                    <w:div w:id="1295595525">
                                      <w:marLeft w:val="0"/>
                                      <w:marRight w:val="0"/>
                                      <w:marTop w:val="0"/>
                                      <w:marBottom w:val="0"/>
                                      <w:divBdr>
                                        <w:top w:val="none" w:sz="0" w:space="0" w:color="auto"/>
                                        <w:left w:val="none" w:sz="0" w:space="0" w:color="auto"/>
                                        <w:bottom w:val="none" w:sz="0" w:space="0" w:color="auto"/>
                                        <w:right w:val="none" w:sz="0" w:space="0" w:color="auto"/>
                                      </w:divBdr>
                                    </w:div>
                                  </w:divsChild>
                                </w:div>
                                <w:div w:id="1123768485">
                                  <w:marLeft w:val="0"/>
                                  <w:marRight w:val="0"/>
                                  <w:marTop w:val="0"/>
                                  <w:marBottom w:val="0"/>
                                  <w:divBdr>
                                    <w:top w:val="none" w:sz="0" w:space="0" w:color="auto"/>
                                    <w:left w:val="none" w:sz="0" w:space="0" w:color="auto"/>
                                    <w:bottom w:val="none" w:sz="0" w:space="0" w:color="auto"/>
                                    <w:right w:val="none" w:sz="0" w:space="0" w:color="auto"/>
                                  </w:divBdr>
                                  <w:divsChild>
                                    <w:div w:id="274143977">
                                      <w:marLeft w:val="0"/>
                                      <w:marRight w:val="0"/>
                                      <w:marTop w:val="120"/>
                                      <w:marBottom w:val="0"/>
                                      <w:divBdr>
                                        <w:top w:val="none" w:sz="0" w:space="0" w:color="auto"/>
                                        <w:left w:val="none" w:sz="0" w:space="0" w:color="auto"/>
                                        <w:bottom w:val="none" w:sz="0" w:space="0" w:color="auto"/>
                                        <w:right w:val="none" w:sz="0" w:space="0" w:color="auto"/>
                                      </w:divBdr>
                                    </w:div>
                                    <w:div w:id="1809081459">
                                      <w:marLeft w:val="0"/>
                                      <w:marRight w:val="0"/>
                                      <w:marTop w:val="0"/>
                                      <w:marBottom w:val="0"/>
                                      <w:divBdr>
                                        <w:top w:val="none" w:sz="0" w:space="0" w:color="auto"/>
                                        <w:left w:val="none" w:sz="0" w:space="0" w:color="auto"/>
                                        <w:bottom w:val="none" w:sz="0" w:space="0" w:color="auto"/>
                                        <w:right w:val="none" w:sz="0" w:space="0" w:color="auto"/>
                                      </w:divBdr>
                                    </w:div>
                                  </w:divsChild>
                                </w:div>
                                <w:div w:id="769466495">
                                  <w:marLeft w:val="0"/>
                                  <w:marRight w:val="0"/>
                                  <w:marTop w:val="0"/>
                                  <w:marBottom w:val="0"/>
                                  <w:divBdr>
                                    <w:top w:val="none" w:sz="0" w:space="0" w:color="auto"/>
                                    <w:left w:val="none" w:sz="0" w:space="0" w:color="auto"/>
                                    <w:bottom w:val="none" w:sz="0" w:space="0" w:color="auto"/>
                                    <w:right w:val="none" w:sz="0" w:space="0" w:color="auto"/>
                                  </w:divBdr>
                                  <w:divsChild>
                                    <w:div w:id="1166700961">
                                      <w:marLeft w:val="0"/>
                                      <w:marRight w:val="0"/>
                                      <w:marTop w:val="120"/>
                                      <w:marBottom w:val="0"/>
                                      <w:divBdr>
                                        <w:top w:val="none" w:sz="0" w:space="0" w:color="auto"/>
                                        <w:left w:val="none" w:sz="0" w:space="0" w:color="auto"/>
                                        <w:bottom w:val="none" w:sz="0" w:space="0" w:color="auto"/>
                                        <w:right w:val="none" w:sz="0" w:space="0" w:color="auto"/>
                                      </w:divBdr>
                                    </w:div>
                                    <w:div w:id="1382436734">
                                      <w:marLeft w:val="0"/>
                                      <w:marRight w:val="0"/>
                                      <w:marTop w:val="0"/>
                                      <w:marBottom w:val="0"/>
                                      <w:divBdr>
                                        <w:top w:val="none" w:sz="0" w:space="0" w:color="auto"/>
                                        <w:left w:val="none" w:sz="0" w:space="0" w:color="auto"/>
                                        <w:bottom w:val="none" w:sz="0" w:space="0" w:color="auto"/>
                                        <w:right w:val="none" w:sz="0" w:space="0" w:color="auto"/>
                                      </w:divBdr>
                                    </w:div>
                                  </w:divsChild>
                                </w:div>
                                <w:div w:id="1207373753">
                                  <w:marLeft w:val="0"/>
                                  <w:marRight w:val="0"/>
                                  <w:marTop w:val="0"/>
                                  <w:marBottom w:val="0"/>
                                  <w:divBdr>
                                    <w:top w:val="none" w:sz="0" w:space="0" w:color="auto"/>
                                    <w:left w:val="none" w:sz="0" w:space="0" w:color="auto"/>
                                    <w:bottom w:val="none" w:sz="0" w:space="0" w:color="auto"/>
                                    <w:right w:val="none" w:sz="0" w:space="0" w:color="auto"/>
                                  </w:divBdr>
                                  <w:divsChild>
                                    <w:div w:id="998770494">
                                      <w:marLeft w:val="0"/>
                                      <w:marRight w:val="0"/>
                                      <w:marTop w:val="120"/>
                                      <w:marBottom w:val="0"/>
                                      <w:divBdr>
                                        <w:top w:val="none" w:sz="0" w:space="0" w:color="auto"/>
                                        <w:left w:val="none" w:sz="0" w:space="0" w:color="auto"/>
                                        <w:bottom w:val="none" w:sz="0" w:space="0" w:color="auto"/>
                                        <w:right w:val="none" w:sz="0" w:space="0" w:color="auto"/>
                                      </w:divBdr>
                                    </w:div>
                                    <w:div w:id="1527400808">
                                      <w:marLeft w:val="0"/>
                                      <w:marRight w:val="0"/>
                                      <w:marTop w:val="0"/>
                                      <w:marBottom w:val="0"/>
                                      <w:divBdr>
                                        <w:top w:val="none" w:sz="0" w:space="0" w:color="auto"/>
                                        <w:left w:val="none" w:sz="0" w:space="0" w:color="auto"/>
                                        <w:bottom w:val="none" w:sz="0" w:space="0" w:color="auto"/>
                                        <w:right w:val="none" w:sz="0" w:space="0" w:color="auto"/>
                                      </w:divBdr>
                                    </w:div>
                                  </w:divsChild>
                                </w:div>
                                <w:div w:id="2092850582">
                                  <w:marLeft w:val="0"/>
                                  <w:marRight w:val="0"/>
                                  <w:marTop w:val="0"/>
                                  <w:marBottom w:val="0"/>
                                  <w:divBdr>
                                    <w:top w:val="none" w:sz="0" w:space="0" w:color="auto"/>
                                    <w:left w:val="none" w:sz="0" w:space="0" w:color="auto"/>
                                    <w:bottom w:val="none" w:sz="0" w:space="0" w:color="auto"/>
                                    <w:right w:val="none" w:sz="0" w:space="0" w:color="auto"/>
                                  </w:divBdr>
                                  <w:divsChild>
                                    <w:div w:id="848370337">
                                      <w:marLeft w:val="0"/>
                                      <w:marRight w:val="0"/>
                                      <w:marTop w:val="120"/>
                                      <w:marBottom w:val="0"/>
                                      <w:divBdr>
                                        <w:top w:val="none" w:sz="0" w:space="0" w:color="auto"/>
                                        <w:left w:val="none" w:sz="0" w:space="0" w:color="auto"/>
                                        <w:bottom w:val="none" w:sz="0" w:space="0" w:color="auto"/>
                                        <w:right w:val="none" w:sz="0" w:space="0" w:color="auto"/>
                                      </w:divBdr>
                                    </w:div>
                                    <w:div w:id="361631154">
                                      <w:marLeft w:val="0"/>
                                      <w:marRight w:val="0"/>
                                      <w:marTop w:val="0"/>
                                      <w:marBottom w:val="0"/>
                                      <w:divBdr>
                                        <w:top w:val="none" w:sz="0" w:space="0" w:color="auto"/>
                                        <w:left w:val="none" w:sz="0" w:space="0" w:color="auto"/>
                                        <w:bottom w:val="none" w:sz="0" w:space="0" w:color="auto"/>
                                        <w:right w:val="none" w:sz="0" w:space="0" w:color="auto"/>
                                      </w:divBdr>
                                    </w:div>
                                  </w:divsChild>
                                </w:div>
                                <w:div w:id="2128117250">
                                  <w:marLeft w:val="0"/>
                                  <w:marRight w:val="0"/>
                                  <w:marTop w:val="0"/>
                                  <w:marBottom w:val="0"/>
                                  <w:divBdr>
                                    <w:top w:val="none" w:sz="0" w:space="0" w:color="auto"/>
                                    <w:left w:val="none" w:sz="0" w:space="0" w:color="auto"/>
                                    <w:bottom w:val="none" w:sz="0" w:space="0" w:color="auto"/>
                                    <w:right w:val="none" w:sz="0" w:space="0" w:color="auto"/>
                                  </w:divBdr>
                                  <w:divsChild>
                                    <w:div w:id="1623224664">
                                      <w:marLeft w:val="0"/>
                                      <w:marRight w:val="0"/>
                                      <w:marTop w:val="120"/>
                                      <w:marBottom w:val="0"/>
                                      <w:divBdr>
                                        <w:top w:val="none" w:sz="0" w:space="0" w:color="auto"/>
                                        <w:left w:val="none" w:sz="0" w:space="0" w:color="auto"/>
                                        <w:bottom w:val="none" w:sz="0" w:space="0" w:color="auto"/>
                                        <w:right w:val="none" w:sz="0" w:space="0" w:color="auto"/>
                                      </w:divBdr>
                                    </w:div>
                                    <w:div w:id="1953825191">
                                      <w:marLeft w:val="0"/>
                                      <w:marRight w:val="0"/>
                                      <w:marTop w:val="0"/>
                                      <w:marBottom w:val="0"/>
                                      <w:divBdr>
                                        <w:top w:val="none" w:sz="0" w:space="0" w:color="auto"/>
                                        <w:left w:val="none" w:sz="0" w:space="0" w:color="auto"/>
                                        <w:bottom w:val="none" w:sz="0" w:space="0" w:color="auto"/>
                                        <w:right w:val="none" w:sz="0" w:space="0" w:color="auto"/>
                                      </w:divBdr>
                                    </w:div>
                                  </w:divsChild>
                                </w:div>
                                <w:div w:id="1912495736">
                                  <w:marLeft w:val="0"/>
                                  <w:marRight w:val="0"/>
                                  <w:marTop w:val="0"/>
                                  <w:marBottom w:val="0"/>
                                  <w:divBdr>
                                    <w:top w:val="none" w:sz="0" w:space="0" w:color="auto"/>
                                    <w:left w:val="none" w:sz="0" w:space="0" w:color="auto"/>
                                    <w:bottom w:val="none" w:sz="0" w:space="0" w:color="auto"/>
                                    <w:right w:val="none" w:sz="0" w:space="0" w:color="auto"/>
                                  </w:divBdr>
                                  <w:divsChild>
                                    <w:div w:id="1295409224">
                                      <w:marLeft w:val="0"/>
                                      <w:marRight w:val="0"/>
                                      <w:marTop w:val="120"/>
                                      <w:marBottom w:val="0"/>
                                      <w:divBdr>
                                        <w:top w:val="none" w:sz="0" w:space="0" w:color="auto"/>
                                        <w:left w:val="none" w:sz="0" w:space="0" w:color="auto"/>
                                        <w:bottom w:val="none" w:sz="0" w:space="0" w:color="auto"/>
                                        <w:right w:val="none" w:sz="0" w:space="0" w:color="auto"/>
                                      </w:divBdr>
                                    </w:div>
                                    <w:div w:id="1104299713">
                                      <w:marLeft w:val="0"/>
                                      <w:marRight w:val="0"/>
                                      <w:marTop w:val="0"/>
                                      <w:marBottom w:val="0"/>
                                      <w:divBdr>
                                        <w:top w:val="none" w:sz="0" w:space="0" w:color="auto"/>
                                        <w:left w:val="none" w:sz="0" w:space="0" w:color="auto"/>
                                        <w:bottom w:val="none" w:sz="0" w:space="0" w:color="auto"/>
                                        <w:right w:val="none" w:sz="0" w:space="0" w:color="auto"/>
                                      </w:divBdr>
                                    </w:div>
                                  </w:divsChild>
                                </w:div>
                                <w:div w:id="1341859854">
                                  <w:marLeft w:val="0"/>
                                  <w:marRight w:val="0"/>
                                  <w:marTop w:val="0"/>
                                  <w:marBottom w:val="0"/>
                                  <w:divBdr>
                                    <w:top w:val="none" w:sz="0" w:space="0" w:color="auto"/>
                                    <w:left w:val="none" w:sz="0" w:space="0" w:color="auto"/>
                                    <w:bottom w:val="none" w:sz="0" w:space="0" w:color="auto"/>
                                    <w:right w:val="none" w:sz="0" w:space="0" w:color="auto"/>
                                  </w:divBdr>
                                  <w:divsChild>
                                    <w:div w:id="1036660363">
                                      <w:marLeft w:val="0"/>
                                      <w:marRight w:val="0"/>
                                      <w:marTop w:val="120"/>
                                      <w:marBottom w:val="0"/>
                                      <w:divBdr>
                                        <w:top w:val="none" w:sz="0" w:space="0" w:color="auto"/>
                                        <w:left w:val="none" w:sz="0" w:space="0" w:color="auto"/>
                                        <w:bottom w:val="none" w:sz="0" w:space="0" w:color="auto"/>
                                        <w:right w:val="none" w:sz="0" w:space="0" w:color="auto"/>
                                      </w:divBdr>
                                    </w:div>
                                    <w:div w:id="293173942">
                                      <w:marLeft w:val="0"/>
                                      <w:marRight w:val="0"/>
                                      <w:marTop w:val="0"/>
                                      <w:marBottom w:val="0"/>
                                      <w:divBdr>
                                        <w:top w:val="none" w:sz="0" w:space="0" w:color="auto"/>
                                        <w:left w:val="none" w:sz="0" w:space="0" w:color="auto"/>
                                        <w:bottom w:val="none" w:sz="0" w:space="0" w:color="auto"/>
                                        <w:right w:val="none" w:sz="0" w:space="0" w:color="auto"/>
                                      </w:divBdr>
                                    </w:div>
                                  </w:divsChild>
                                </w:div>
                                <w:div w:id="1029648115">
                                  <w:marLeft w:val="0"/>
                                  <w:marRight w:val="0"/>
                                  <w:marTop w:val="0"/>
                                  <w:marBottom w:val="0"/>
                                  <w:divBdr>
                                    <w:top w:val="none" w:sz="0" w:space="0" w:color="auto"/>
                                    <w:left w:val="none" w:sz="0" w:space="0" w:color="auto"/>
                                    <w:bottom w:val="none" w:sz="0" w:space="0" w:color="auto"/>
                                    <w:right w:val="none" w:sz="0" w:space="0" w:color="auto"/>
                                  </w:divBdr>
                                  <w:divsChild>
                                    <w:div w:id="806432896">
                                      <w:marLeft w:val="0"/>
                                      <w:marRight w:val="0"/>
                                      <w:marTop w:val="120"/>
                                      <w:marBottom w:val="0"/>
                                      <w:divBdr>
                                        <w:top w:val="none" w:sz="0" w:space="0" w:color="auto"/>
                                        <w:left w:val="none" w:sz="0" w:space="0" w:color="auto"/>
                                        <w:bottom w:val="none" w:sz="0" w:space="0" w:color="auto"/>
                                        <w:right w:val="none" w:sz="0" w:space="0" w:color="auto"/>
                                      </w:divBdr>
                                    </w:div>
                                    <w:div w:id="757215761">
                                      <w:marLeft w:val="0"/>
                                      <w:marRight w:val="0"/>
                                      <w:marTop w:val="0"/>
                                      <w:marBottom w:val="0"/>
                                      <w:divBdr>
                                        <w:top w:val="none" w:sz="0" w:space="0" w:color="auto"/>
                                        <w:left w:val="none" w:sz="0" w:space="0" w:color="auto"/>
                                        <w:bottom w:val="none" w:sz="0" w:space="0" w:color="auto"/>
                                        <w:right w:val="none" w:sz="0" w:space="0" w:color="auto"/>
                                      </w:divBdr>
                                    </w:div>
                                  </w:divsChild>
                                </w:div>
                                <w:div w:id="800415521">
                                  <w:marLeft w:val="0"/>
                                  <w:marRight w:val="0"/>
                                  <w:marTop w:val="0"/>
                                  <w:marBottom w:val="0"/>
                                  <w:divBdr>
                                    <w:top w:val="none" w:sz="0" w:space="0" w:color="auto"/>
                                    <w:left w:val="none" w:sz="0" w:space="0" w:color="auto"/>
                                    <w:bottom w:val="none" w:sz="0" w:space="0" w:color="auto"/>
                                    <w:right w:val="none" w:sz="0" w:space="0" w:color="auto"/>
                                  </w:divBdr>
                                  <w:divsChild>
                                    <w:div w:id="1082290322">
                                      <w:marLeft w:val="0"/>
                                      <w:marRight w:val="0"/>
                                      <w:marTop w:val="120"/>
                                      <w:marBottom w:val="0"/>
                                      <w:divBdr>
                                        <w:top w:val="none" w:sz="0" w:space="0" w:color="auto"/>
                                        <w:left w:val="none" w:sz="0" w:space="0" w:color="auto"/>
                                        <w:bottom w:val="none" w:sz="0" w:space="0" w:color="auto"/>
                                        <w:right w:val="none" w:sz="0" w:space="0" w:color="auto"/>
                                      </w:divBdr>
                                    </w:div>
                                    <w:div w:id="665783925">
                                      <w:marLeft w:val="0"/>
                                      <w:marRight w:val="0"/>
                                      <w:marTop w:val="0"/>
                                      <w:marBottom w:val="0"/>
                                      <w:divBdr>
                                        <w:top w:val="none" w:sz="0" w:space="0" w:color="auto"/>
                                        <w:left w:val="none" w:sz="0" w:space="0" w:color="auto"/>
                                        <w:bottom w:val="none" w:sz="0" w:space="0" w:color="auto"/>
                                        <w:right w:val="none" w:sz="0" w:space="0" w:color="auto"/>
                                      </w:divBdr>
                                    </w:div>
                                  </w:divsChild>
                                </w:div>
                                <w:div w:id="1865441406">
                                  <w:marLeft w:val="0"/>
                                  <w:marRight w:val="0"/>
                                  <w:marTop w:val="0"/>
                                  <w:marBottom w:val="0"/>
                                  <w:divBdr>
                                    <w:top w:val="none" w:sz="0" w:space="0" w:color="auto"/>
                                    <w:left w:val="none" w:sz="0" w:space="0" w:color="auto"/>
                                    <w:bottom w:val="none" w:sz="0" w:space="0" w:color="auto"/>
                                    <w:right w:val="none" w:sz="0" w:space="0" w:color="auto"/>
                                  </w:divBdr>
                                  <w:divsChild>
                                    <w:div w:id="714810848">
                                      <w:marLeft w:val="0"/>
                                      <w:marRight w:val="0"/>
                                      <w:marTop w:val="120"/>
                                      <w:marBottom w:val="0"/>
                                      <w:divBdr>
                                        <w:top w:val="none" w:sz="0" w:space="0" w:color="auto"/>
                                        <w:left w:val="none" w:sz="0" w:space="0" w:color="auto"/>
                                        <w:bottom w:val="none" w:sz="0" w:space="0" w:color="auto"/>
                                        <w:right w:val="none" w:sz="0" w:space="0" w:color="auto"/>
                                      </w:divBdr>
                                    </w:div>
                                    <w:div w:id="391121336">
                                      <w:marLeft w:val="0"/>
                                      <w:marRight w:val="0"/>
                                      <w:marTop w:val="0"/>
                                      <w:marBottom w:val="0"/>
                                      <w:divBdr>
                                        <w:top w:val="none" w:sz="0" w:space="0" w:color="auto"/>
                                        <w:left w:val="none" w:sz="0" w:space="0" w:color="auto"/>
                                        <w:bottom w:val="none" w:sz="0" w:space="0" w:color="auto"/>
                                        <w:right w:val="none" w:sz="0" w:space="0" w:color="auto"/>
                                      </w:divBdr>
                                    </w:div>
                                  </w:divsChild>
                                </w:div>
                                <w:div w:id="1258097456">
                                  <w:marLeft w:val="0"/>
                                  <w:marRight w:val="0"/>
                                  <w:marTop w:val="0"/>
                                  <w:marBottom w:val="0"/>
                                  <w:divBdr>
                                    <w:top w:val="none" w:sz="0" w:space="0" w:color="auto"/>
                                    <w:left w:val="none" w:sz="0" w:space="0" w:color="auto"/>
                                    <w:bottom w:val="none" w:sz="0" w:space="0" w:color="auto"/>
                                    <w:right w:val="none" w:sz="0" w:space="0" w:color="auto"/>
                                  </w:divBdr>
                                  <w:divsChild>
                                    <w:div w:id="1900167667">
                                      <w:marLeft w:val="0"/>
                                      <w:marRight w:val="0"/>
                                      <w:marTop w:val="120"/>
                                      <w:marBottom w:val="0"/>
                                      <w:divBdr>
                                        <w:top w:val="none" w:sz="0" w:space="0" w:color="auto"/>
                                        <w:left w:val="none" w:sz="0" w:space="0" w:color="auto"/>
                                        <w:bottom w:val="none" w:sz="0" w:space="0" w:color="auto"/>
                                        <w:right w:val="none" w:sz="0" w:space="0" w:color="auto"/>
                                      </w:divBdr>
                                    </w:div>
                                    <w:div w:id="579338308">
                                      <w:marLeft w:val="0"/>
                                      <w:marRight w:val="0"/>
                                      <w:marTop w:val="0"/>
                                      <w:marBottom w:val="0"/>
                                      <w:divBdr>
                                        <w:top w:val="none" w:sz="0" w:space="0" w:color="auto"/>
                                        <w:left w:val="none" w:sz="0" w:space="0" w:color="auto"/>
                                        <w:bottom w:val="none" w:sz="0" w:space="0" w:color="auto"/>
                                        <w:right w:val="none" w:sz="0" w:space="0" w:color="auto"/>
                                      </w:divBdr>
                                    </w:div>
                                  </w:divsChild>
                                </w:div>
                                <w:div w:id="413480891">
                                  <w:marLeft w:val="0"/>
                                  <w:marRight w:val="0"/>
                                  <w:marTop w:val="0"/>
                                  <w:marBottom w:val="0"/>
                                  <w:divBdr>
                                    <w:top w:val="none" w:sz="0" w:space="0" w:color="auto"/>
                                    <w:left w:val="none" w:sz="0" w:space="0" w:color="auto"/>
                                    <w:bottom w:val="none" w:sz="0" w:space="0" w:color="auto"/>
                                    <w:right w:val="none" w:sz="0" w:space="0" w:color="auto"/>
                                  </w:divBdr>
                                  <w:divsChild>
                                    <w:div w:id="1284535843">
                                      <w:marLeft w:val="0"/>
                                      <w:marRight w:val="0"/>
                                      <w:marTop w:val="120"/>
                                      <w:marBottom w:val="0"/>
                                      <w:divBdr>
                                        <w:top w:val="none" w:sz="0" w:space="0" w:color="auto"/>
                                        <w:left w:val="none" w:sz="0" w:space="0" w:color="auto"/>
                                        <w:bottom w:val="none" w:sz="0" w:space="0" w:color="auto"/>
                                        <w:right w:val="none" w:sz="0" w:space="0" w:color="auto"/>
                                      </w:divBdr>
                                    </w:div>
                                    <w:div w:id="1282881714">
                                      <w:marLeft w:val="0"/>
                                      <w:marRight w:val="0"/>
                                      <w:marTop w:val="0"/>
                                      <w:marBottom w:val="0"/>
                                      <w:divBdr>
                                        <w:top w:val="none" w:sz="0" w:space="0" w:color="auto"/>
                                        <w:left w:val="none" w:sz="0" w:space="0" w:color="auto"/>
                                        <w:bottom w:val="none" w:sz="0" w:space="0" w:color="auto"/>
                                        <w:right w:val="none" w:sz="0" w:space="0" w:color="auto"/>
                                      </w:divBdr>
                                    </w:div>
                                  </w:divsChild>
                                </w:div>
                                <w:div w:id="111479611">
                                  <w:marLeft w:val="0"/>
                                  <w:marRight w:val="0"/>
                                  <w:marTop w:val="0"/>
                                  <w:marBottom w:val="0"/>
                                  <w:divBdr>
                                    <w:top w:val="none" w:sz="0" w:space="0" w:color="auto"/>
                                    <w:left w:val="none" w:sz="0" w:space="0" w:color="auto"/>
                                    <w:bottom w:val="none" w:sz="0" w:space="0" w:color="auto"/>
                                    <w:right w:val="none" w:sz="0" w:space="0" w:color="auto"/>
                                  </w:divBdr>
                                  <w:divsChild>
                                    <w:div w:id="544488388">
                                      <w:marLeft w:val="0"/>
                                      <w:marRight w:val="0"/>
                                      <w:marTop w:val="120"/>
                                      <w:marBottom w:val="0"/>
                                      <w:divBdr>
                                        <w:top w:val="none" w:sz="0" w:space="0" w:color="auto"/>
                                        <w:left w:val="none" w:sz="0" w:space="0" w:color="auto"/>
                                        <w:bottom w:val="none" w:sz="0" w:space="0" w:color="auto"/>
                                        <w:right w:val="none" w:sz="0" w:space="0" w:color="auto"/>
                                      </w:divBdr>
                                    </w:div>
                                    <w:div w:id="1652363065">
                                      <w:marLeft w:val="0"/>
                                      <w:marRight w:val="0"/>
                                      <w:marTop w:val="0"/>
                                      <w:marBottom w:val="0"/>
                                      <w:divBdr>
                                        <w:top w:val="none" w:sz="0" w:space="0" w:color="auto"/>
                                        <w:left w:val="none" w:sz="0" w:space="0" w:color="auto"/>
                                        <w:bottom w:val="none" w:sz="0" w:space="0" w:color="auto"/>
                                        <w:right w:val="none" w:sz="0" w:space="0" w:color="auto"/>
                                      </w:divBdr>
                                    </w:div>
                                  </w:divsChild>
                                </w:div>
                                <w:div w:id="630870353">
                                  <w:marLeft w:val="0"/>
                                  <w:marRight w:val="0"/>
                                  <w:marTop w:val="0"/>
                                  <w:marBottom w:val="0"/>
                                  <w:divBdr>
                                    <w:top w:val="none" w:sz="0" w:space="0" w:color="auto"/>
                                    <w:left w:val="none" w:sz="0" w:space="0" w:color="auto"/>
                                    <w:bottom w:val="none" w:sz="0" w:space="0" w:color="auto"/>
                                    <w:right w:val="none" w:sz="0" w:space="0" w:color="auto"/>
                                  </w:divBdr>
                                  <w:divsChild>
                                    <w:div w:id="1458259821">
                                      <w:marLeft w:val="0"/>
                                      <w:marRight w:val="0"/>
                                      <w:marTop w:val="120"/>
                                      <w:marBottom w:val="0"/>
                                      <w:divBdr>
                                        <w:top w:val="none" w:sz="0" w:space="0" w:color="auto"/>
                                        <w:left w:val="none" w:sz="0" w:space="0" w:color="auto"/>
                                        <w:bottom w:val="none" w:sz="0" w:space="0" w:color="auto"/>
                                        <w:right w:val="none" w:sz="0" w:space="0" w:color="auto"/>
                                      </w:divBdr>
                                    </w:div>
                                    <w:div w:id="1005404756">
                                      <w:marLeft w:val="0"/>
                                      <w:marRight w:val="0"/>
                                      <w:marTop w:val="0"/>
                                      <w:marBottom w:val="0"/>
                                      <w:divBdr>
                                        <w:top w:val="none" w:sz="0" w:space="0" w:color="auto"/>
                                        <w:left w:val="none" w:sz="0" w:space="0" w:color="auto"/>
                                        <w:bottom w:val="none" w:sz="0" w:space="0" w:color="auto"/>
                                        <w:right w:val="none" w:sz="0" w:space="0" w:color="auto"/>
                                      </w:divBdr>
                                    </w:div>
                                  </w:divsChild>
                                </w:div>
                                <w:div w:id="2018723693">
                                  <w:marLeft w:val="0"/>
                                  <w:marRight w:val="0"/>
                                  <w:marTop w:val="0"/>
                                  <w:marBottom w:val="0"/>
                                  <w:divBdr>
                                    <w:top w:val="none" w:sz="0" w:space="0" w:color="auto"/>
                                    <w:left w:val="none" w:sz="0" w:space="0" w:color="auto"/>
                                    <w:bottom w:val="none" w:sz="0" w:space="0" w:color="auto"/>
                                    <w:right w:val="none" w:sz="0" w:space="0" w:color="auto"/>
                                  </w:divBdr>
                                  <w:divsChild>
                                    <w:div w:id="641732823">
                                      <w:marLeft w:val="0"/>
                                      <w:marRight w:val="0"/>
                                      <w:marTop w:val="120"/>
                                      <w:marBottom w:val="0"/>
                                      <w:divBdr>
                                        <w:top w:val="none" w:sz="0" w:space="0" w:color="auto"/>
                                        <w:left w:val="none" w:sz="0" w:space="0" w:color="auto"/>
                                        <w:bottom w:val="none" w:sz="0" w:space="0" w:color="auto"/>
                                        <w:right w:val="none" w:sz="0" w:space="0" w:color="auto"/>
                                      </w:divBdr>
                                    </w:div>
                                    <w:div w:id="509683114">
                                      <w:marLeft w:val="0"/>
                                      <w:marRight w:val="0"/>
                                      <w:marTop w:val="0"/>
                                      <w:marBottom w:val="0"/>
                                      <w:divBdr>
                                        <w:top w:val="none" w:sz="0" w:space="0" w:color="auto"/>
                                        <w:left w:val="none" w:sz="0" w:space="0" w:color="auto"/>
                                        <w:bottom w:val="none" w:sz="0" w:space="0" w:color="auto"/>
                                        <w:right w:val="none" w:sz="0" w:space="0" w:color="auto"/>
                                      </w:divBdr>
                                    </w:div>
                                  </w:divsChild>
                                </w:div>
                                <w:div w:id="1306591504">
                                  <w:marLeft w:val="0"/>
                                  <w:marRight w:val="0"/>
                                  <w:marTop w:val="0"/>
                                  <w:marBottom w:val="0"/>
                                  <w:divBdr>
                                    <w:top w:val="none" w:sz="0" w:space="0" w:color="auto"/>
                                    <w:left w:val="none" w:sz="0" w:space="0" w:color="auto"/>
                                    <w:bottom w:val="none" w:sz="0" w:space="0" w:color="auto"/>
                                    <w:right w:val="none" w:sz="0" w:space="0" w:color="auto"/>
                                  </w:divBdr>
                                  <w:divsChild>
                                    <w:div w:id="1157694415">
                                      <w:marLeft w:val="0"/>
                                      <w:marRight w:val="0"/>
                                      <w:marTop w:val="120"/>
                                      <w:marBottom w:val="0"/>
                                      <w:divBdr>
                                        <w:top w:val="none" w:sz="0" w:space="0" w:color="auto"/>
                                        <w:left w:val="none" w:sz="0" w:space="0" w:color="auto"/>
                                        <w:bottom w:val="none" w:sz="0" w:space="0" w:color="auto"/>
                                        <w:right w:val="none" w:sz="0" w:space="0" w:color="auto"/>
                                      </w:divBdr>
                                    </w:div>
                                    <w:div w:id="529073715">
                                      <w:marLeft w:val="0"/>
                                      <w:marRight w:val="0"/>
                                      <w:marTop w:val="0"/>
                                      <w:marBottom w:val="0"/>
                                      <w:divBdr>
                                        <w:top w:val="none" w:sz="0" w:space="0" w:color="auto"/>
                                        <w:left w:val="none" w:sz="0" w:space="0" w:color="auto"/>
                                        <w:bottom w:val="none" w:sz="0" w:space="0" w:color="auto"/>
                                        <w:right w:val="none" w:sz="0" w:space="0" w:color="auto"/>
                                      </w:divBdr>
                                    </w:div>
                                  </w:divsChild>
                                </w:div>
                                <w:div w:id="11226174">
                                  <w:marLeft w:val="0"/>
                                  <w:marRight w:val="0"/>
                                  <w:marTop w:val="0"/>
                                  <w:marBottom w:val="0"/>
                                  <w:divBdr>
                                    <w:top w:val="none" w:sz="0" w:space="0" w:color="auto"/>
                                    <w:left w:val="none" w:sz="0" w:space="0" w:color="auto"/>
                                    <w:bottom w:val="none" w:sz="0" w:space="0" w:color="auto"/>
                                    <w:right w:val="none" w:sz="0" w:space="0" w:color="auto"/>
                                  </w:divBdr>
                                  <w:divsChild>
                                    <w:div w:id="1521972038">
                                      <w:marLeft w:val="0"/>
                                      <w:marRight w:val="0"/>
                                      <w:marTop w:val="120"/>
                                      <w:marBottom w:val="0"/>
                                      <w:divBdr>
                                        <w:top w:val="none" w:sz="0" w:space="0" w:color="auto"/>
                                        <w:left w:val="none" w:sz="0" w:space="0" w:color="auto"/>
                                        <w:bottom w:val="none" w:sz="0" w:space="0" w:color="auto"/>
                                        <w:right w:val="none" w:sz="0" w:space="0" w:color="auto"/>
                                      </w:divBdr>
                                    </w:div>
                                    <w:div w:id="1709451764">
                                      <w:marLeft w:val="0"/>
                                      <w:marRight w:val="0"/>
                                      <w:marTop w:val="0"/>
                                      <w:marBottom w:val="0"/>
                                      <w:divBdr>
                                        <w:top w:val="none" w:sz="0" w:space="0" w:color="auto"/>
                                        <w:left w:val="none" w:sz="0" w:space="0" w:color="auto"/>
                                        <w:bottom w:val="none" w:sz="0" w:space="0" w:color="auto"/>
                                        <w:right w:val="none" w:sz="0" w:space="0" w:color="auto"/>
                                      </w:divBdr>
                                    </w:div>
                                  </w:divsChild>
                                </w:div>
                                <w:div w:id="1584142112">
                                  <w:marLeft w:val="0"/>
                                  <w:marRight w:val="0"/>
                                  <w:marTop w:val="0"/>
                                  <w:marBottom w:val="0"/>
                                  <w:divBdr>
                                    <w:top w:val="none" w:sz="0" w:space="0" w:color="auto"/>
                                    <w:left w:val="none" w:sz="0" w:space="0" w:color="auto"/>
                                    <w:bottom w:val="none" w:sz="0" w:space="0" w:color="auto"/>
                                    <w:right w:val="none" w:sz="0" w:space="0" w:color="auto"/>
                                  </w:divBdr>
                                  <w:divsChild>
                                    <w:div w:id="28143315">
                                      <w:marLeft w:val="0"/>
                                      <w:marRight w:val="0"/>
                                      <w:marTop w:val="120"/>
                                      <w:marBottom w:val="0"/>
                                      <w:divBdr>
                                        <w:top w:val="none" w:sz="0" w:space="0" w:color="auto"/>
                                        <w:left w:val="none" w:sz="0" w:space="0" w:color="auto"/>
                                        <w:bottom w:val="none" w:sz="0" w:space="0" w:color="auto"/>
                                        <w:right w:val="none" w:sz="0" w:space="0" w:color="auto"/>
                                      </w:divBdr>
                                    </w:div>
                                    <w:div w:id="935527293">
                                      <w:marLeft w:val="0"/>
                                      <w:marRight w:val="0"/>
                                      <w:marTop w:val="0"/>
                                      <w:marBottom w:val="0"/>
                                      <w:divBdr>
                                        <w:top w:val="none" w:sz="0" w:space="0" w:color="auto"/>
                                        <w:left w:val="none" w:sz="0" w:space="0" w:color="auto"/>
                                        <w:bottom w:val="none" w:sz="0" w:space="0" w:color="auto"/>
                                        <w:right w:val="none" w:sz="0" w:space="0" w:color="auto"/>
                                      </w:divBdr>
                                    </w:div>
                                  </w:divsChild>
                                </w:div>
                                <w:div w:id="1233346164">
                                  <w:marLeft w:val="0"/>
                                  <w:marRight w:val="0"/>
                                  <w:marTop w:val="0"/>
                                  <w:marBottom w:val="0"/>
                                  <w:divBdr>
                                    <w:top w:val="none" w:sz="0" w:space="0" w:color="auto"/>
                                    <w:left w:val="none" w:sz="0" w:space="0" w:color="auto"/>
                                    <w:bottom w:val="none" w:sz="0" w:space="0" w:color="auto"/>
                                    <w:right w:val="none" w:sz="0" w:space="0" w:color="auto"/>
                                  </w:divBdr>
                                  <w:divsChild>
                                    <w:div w:id="987519151">
                                      <w:marLeft w:val="0"/>
                                      <w:marRight w:val="0"/>
                                      <w:marTop w:val="120"/>
                                      <w:marBottom w:val="0"/>
                                      <w:divBdr>
                                        <w:top w:val="none" w:sz="0" w:space="0" w:color="auto"/>
                                        <w:left w:val="none" w:sz="0" w:space="0" w:color="auto"/>
                                        <w:bottom w:val="none" w:sz="0" w:space="0" w:color="auto"/>
                                        <w:right w:val="none" w:sz="0" w:space="0" w:color="auto"/>
                                      </w:divBdr>
                                    </w:div>
                                    <w:div w:id="1139570491">
                                      <w:marLeft w:val="0"/>
                                      <w:marRight w:val="0"/>
                                      <w:marTop w:val="0"/>
                                      <w:marBottom w:val="0"/>
                                      <w:divBdr>
                                        <w:top w:val="none" w:sz="0" w:space="0" w:color="auto"/>
                                        <w:left w:val="none" w:sz="0" w:space="0" w:color="auto"/>
                                        <w:bottom w:val="none" w:sz="0" w:space="0" w:color="auto"/>
                                        <w:right w:val="none" w:sz="0" w:space="0" w:color="auto"/>
                                      </w:divBdr>
                                    </w:div>
                                  </w:divsChild>
                                </w:div>
                                <w:div w:id="1858883493">
                                  <w:marLeft w:val="0"/>
                                  <w:marRight w:val="0"/>
                                  <w:marTop w:val="0"/>
                                  <w:marBottom w:val="0"/>
                                  <w:divBdr>
                                    <w:top w:val="none" w:sz="0" w:space="0" w:color="auto"/>
                                    <w:left w:val="none" w:sz="0" w:space="0" w:color="auto"/>
                                    <w:bottom w:val="none" w:sz="0" w:space="0" w:color="auto"/>
                                    <w:right w:val="none" w:sz="0" w:space="0" w:color="auto"/>
                                  </w:divBdr>
                                  <w:divsChild>
                                    <w:div w:id="864367693">
                                      <w:marLeft w:val="0"/>
                                      <w:marRight w:val="0"/>
                                      <w:marTop w:val="120"/>
                                      <w:marBottom w:val="0"/>
                                      <w:divBdr>
                                        <w:top w:val="none" w:sz="0" w:space="0" w:color="auto"/>
                                        <w:left w:val="none" w:sz="0" w:space="0" w:color="auto"/>
                                        <w:bottom w:val="none" w:sz="0" w:space="0" w:color="auto"/>
                                        <w:right w:val="none" w:sz="0" w:space="0" w:color="auto"/>
                                      </w:divBdr>
                                    </w:div>
                                    <w:div w:id="126096475">
                                      <w:marLeft w:val="0"/>
                                      <w:marRight w:val="0"/>
                                      <w:marTop w:val="0"/>
                                      <w:marBottom w:val="0"/>
                                      <w:divBdr>
                                        <w:top w:val="none" w:sz="0" w:space="0" w:color="auto"/>
                                        <w:left w:val="none" w:sz="0" w:space="0" w:color="auto"/>
                                        <w:bottom w:val="none" w:sz="0" w:space="0" w:color="auto"/>
                                        <w:right w:val="none" w:sz="0" w:space="0" w:color="auto"/>
                                      </w:divBdr>
                                    </w:div>
                                  </w:divsChild>
                                </w:div>
                                <w:div w:id="860052324">
                                  <w:marLeft w:val="0"/>
                                  <w:marRight w:val="0"/>
                                  <w:marTop w:val="0"/>
                                  <w:marBottom w:val="0"/>
                                  <w:divBdr>
                                    <w:top w:val="none" w:sz="0" w:space="0" w:color="auto"/>
                                    <w:left w:val="none" w:sz="0" w:space="0" w:color="auto"/>
                                    <w:bottom w:val="none" w:sz="0" w:space="0" w:color="auto"/>
                                    <w:right w:val="none" w:sz="0" w:space="0" w:color="auto"/>
                                  </w:divBdr>
                                  <w:divsChild>
                                    <w:div w:id="170990035">
                                      <w:marLeft w:val="0"/>
                                      <w:marRight w:val="0"/>
                                      <w:marTop w:val="120"/>
                                      <w:marBottom w:val="0"/>
                                      <w:divBdr>
                                        <w:top w:val="none" w:sz="0" w:space="0" w:color="auto"/>
                                        <w:left w:val="none" w:sz="0" w:space="0" w:color="auto"/>
                                        <w:bottom w:val="none" w:sz="0" w:space="0" w:color="auto"/>
                                        <w:right w:val="none" w:sz="0" w:space="0" w:color="auto"/>
                                      </w:divBdr>
                                    </w:div>
                                    <w:div w:id="936714514">
                                      <w:marLeft w:val="0"/>
                                      <w:marRight w:val="0"/>
                                      <w:marTop w:val="0"/>
                                      <w:marBottom w:val="0"/>
                                      <w:divBdr>
                                        <w:top w:val="none" w:sz="0" w:space="0" w:color="auto"/>
                                        <w:left w:val="none" w:sz="0" w:space="0" w:color="auto"/>
                                        <w:bottom w:val="none" w:sz="0" w:space="0" w:color="auto"/>
                                        <w:right w:val="none" w:sz="0" w:space="0" w:color="auto"/>
                                      </w:divBdr>
                                    </w:div>
                                  </w:divsChild>
                                </w:div>
                                <w:div w:id="972827794">
                                  <w:marLeft w:val="0"/>
                                  <w:marRight w:val="0"/>
                                  <w:marTop w:val="0"/>
                                  <w:marBottom w:val="0"/>
                                  <w:divBdr>
                                    <w:top w:val="none" w:sz="0" w:space="0" w:color="auto"/>
                                    <w:left w:val="none" w:sz="0" w:space="0" w:color="auto"/>
                                    <w:bottom w:val="none" w:sz="0" w:space="0" w:color="auto"/>
                                    <w:right w:val="none" w:sz="0" w:space="0" w:color="auto"/>
                                  </w:divBdr>
                                  <w:divsChild>
                                    <w:div w:id="896354820">
                                      <w:marLeft w:val="0"/>
                                      <w:marRight w:val="0"/>
                                      <w:marTop w:val="120"/>
                                      <w:marBottom w:val="0"/>
                                      <w:divBdr>
                                        <w:top w:val="none" w:sz="0" w:space="0" w:color="auto"/>
                                        <w:left w:val="none" w:sz="0" w:space="0" w:color="auto"/>
                                        <w:bottom w:val="none" w:sz="0" w:space="0" w:color="auto"/>
                                        <w:right w:val="none" w:sz="0" w:space="0" w:color="auto"/>
                                      </w:divBdr>
                                    </w:div>
                                    <w:div w:id="366371154">
                                      <w:marLeft w:val="0"/>
                                      <w:marRight w:val="0"/>
                                      <w:marTop w:val="0"/>
                                      <w:marBottom w:val="0"/>
                                      <w:divBdr>
                                        <w:top w:val="none" w:sz="0" w:space="0" w:color="auto"/>
                                        <w:left w:val="none" w:sz="0" w:space="0" w:color="auto"/>
                                        <w:bottom w:val="none" w:sz="0" w:space="0" w:color="auto"/>
                                        <w:right w:val="none" w:sz="0" w:space="0" w:color="auto"/>
                                      </w:divBdr>
                                    </w:div>
                                  </w:divsChild>
                                </w:div>
                                <w:div w:id="138570949">
                                  <w:marLeft w:val="0"/>
                                  <w:marRight w:val="0"/>
                                  <w:marTop w:val="0"/>
                                  <w:marBottom w:val="0"/>
                                  <w:divBdr>
                                    <w:top w:val="none" w:sz="0" w:space="0" w:color="auto"/>
                                    <w:left w:val="none" w:sz="0" w:space="0" w:color="auto"/>
                                    <w:bottom w:val="none" w:sz="0" w:space="0" w:color="auto"/>
                                    <w:right w:val="none" w:sz="0" w:space="0" w:color="auto"/>
                                  </w:divBdr>
                                  <w:divsChild>
                                    <w:div w:id="1765222645">
                                      <w:marLeft w:val="0"/>
                                      <w:marRight w:val="0"/>
                                      <w:marTop w:val="120"/>
                                      <w:marBottom w:val="0"/>
                                      <w:divBdr>
                                        <w:top w:val="none" w:sz="0" w:space="0" w:color="auto"/>
                                        <w:left w:val="none" w:sz="0" w:space="0" w:color="auto"/>
                                        <w:bottom w:val="none" w:sz="0" w:space="0" w:color="auto"/>
                                        <w:right w:val="none" w:sz="0" w:space="0" w:color="auto"/>
                                      </w:divBdr>
                                    </w:div>
                                    <w:div w:id="1203059102">
                                      <w:marLeft w:val="0"/>
                                      <w:marRight w:val="0"/>
                                      <w:marTop w:val="0"/>
                                      <w:marBottom w:val="0"/>
                                      <w:divBdr>
                                        <w:top w:val="none" w:sz="0" w:space="0" w:color="auto"/>
                                        <w:left w:val="none" w:sz="0" w:space="0" w:color="auto"/>
                                        <w:bottom w:val="none" w:sz="0" w:space="0" w:color="auto"/>
                                        <w:right w:val="none" w:sz="0" w:space="0" w:color="auto"/>
                                      </w:divBdr>
                                    </w:div>
                                  </w:divsChild>
                                </w:div>
                                <w:div w:id="1030841725">
                                  <w:marLeft w:val="0"/>
                                  <w:marRight w:val="0"/>
                                  <w:marTop w:val="0"/>
                                  <w:marBottom w:val="0"/>
                                  <w:divBdr>
                                    <w:top w:val="none" w:sz="0" w:space="0" w:color="auto"/>
                                    <w:left w:val="none" w:sz="0" w:space="0" w:color="auto"/>
                                    <w:bottom w:val="none" w:sz="0" w:space="0" w:color="auto"/>
                                    <w:right w:val="none" w:sz="0" w:space="0" w:color="auto"/>
                                  </w:divBdr>
                                  <w:divsChild>
                                    <w:div w:id="1731075228">
                                      <w:marLeft w:val="0"/>
                                      <w:marRight w:val="0"/>
                                      <w:marTop w:val="120"/>
                                      <w:marBottom w:val="0"/>
                                      <w:divBdr>
                                        <w:top w:val="none" w:sz="0" w:space="0" w:color="auto"/>
                                        <w:left w:val="none" w:sz="0" w:space="0" w:color="auto"/>
                                        <w:bottom w:val="none" w:sz="0" w:space="0" w:color="auto"/>
                                        <w:right w:val="none" w:sz="0" w:space="0" w:color="auto"/>
                                      </w:divBdr>
                                    </w:div>
                                    <w:div w:id="524290837">
                                      <w:marLeft w:val="0"/>
                                      <w:marRight w:val="0"/>
                                      <w:marTop w:val="0"/>
                                      <w:marBottom w:val="0"/>
                                      <w:divBdr>
                                        <w:top w:val="none" w:sz="0" w:space="0" w:color="auto"/>
                                        <w:left w:val="none" w:sz="0" w:space="0" w:color="auto"/>
                                        <w:bottom w:val="none" w:sz="0" w:space="0" w:color="auto"/>
                                        <w:right w:val="none" w:sz="0" w:space="0" w:color="auto"/>
                                      </w:divBdr>
                                    </w:div>
                                  </w:divsChild>
                                </w:div>
                                <w:div w:id="1719817823">
                                  <w:marLeft w:val="0"/>
                                  <w:marRight w:val="0"/>
                                  <w:marTop w:val="0"/>
                                  <w:marBottom w:val="0"/>
                                  <w:divBdr>
                                    <w:top w:val="none" w:sz="0" w:space="0" w:color="auto"/>
                                    <w:left w:val="none" w:sz="0" w:space="0" w:color="auto"/>
                                    <w:bottom w:val="none" w:sz="0" w:space="0" w:color="auto"/>
                                    <w:right w:val="none" w:sz="0" w:space="0" w:color="auto"/>
                                  </w:divBdr>
                                  <w:divsChild>
                                    <w:div w:id="586043385">
                                      <w:marLeft w:val="0"/>
                                      <w:marRight w:val="0"/>
                                      <w:marTop w:val="120"/>
                                      <w:marBottom w:val="0"/>
                                      <w:divBdr>
                                        <w:top w:val="none" w:sz="0" w:space="0" w:color="auto"/>
                                        <w:left w:val="none" w:sz="0" w:space="0" w:color="auto"/>
                                        <w:bottom w:val="none" w:sz="0" w:space="0" w:color="auto"/>
                                        <w:right w:val="none" w:sz="0" w:space="0" w:color="auto"/>
                                      </w:divBdr>
                                    </w:div>
                                    <w:div w:id="242490803">
                                      <w:marLeft w:val="0"/>
                                      <w:marRight w:val="0"/>
                                      <w:marTop w:val="0"/>
                                      <w:marBottom w:val="0"/>
                                      <w:divBdr>
                                        <w:top w:val="none" w:sz="0" w:space="0" w:color="auto"/>
                                        <w:left w:val="none" w:sz="0" w:space="0" w:color="auto"/>
                                        <w:bottom w:val="none" w:sz="0" w:space="0" w:color="auto"/>
                                        <w:right w:val="none" w:sz="0" w:space="0" w:color="auto"/>
                                      </w:divBdr>
                                      <w:divsChild>
                                        <w:div w:id="1793472413">
                                          <w:marLeft w:val="0"/>
                                          <w:marRight w:val="0"/>
                                          <w:marTop w:val="0"/>
                                          <w:marBottom w:val="0"/>
                                          <w:divBdr>
                                            <w:top w:val="none" w:sz="0" w:space="0" w:color="auto"/>
                                            <w:left w:val="none" w:sz="0" w:space="0" w:color="auto"/>
                                            <w:bottom w:val="none" w:sz="0" w:space="0" w:color="auto"/>
                                            <w:right w:val="none" w:sz="0" w:space="0" w:color="auto"/>
                                          </w:divBdr>
                                          <w:divsChild>
                                            <w:div w:id="742526972">
                                              <w:marLeft w:val="0"/>
                                              <w:marRight w:val="0"/>
                                              <w:marTop w:val="120"/>
                                              <w:marBottom w:val="0"/>
                                              <w:divBdr>
                                                <w:top w:val="none" w:sz="0" w:space="0" w:color="auto"/>
                                                <w:left w:val="none" w:sz="0" w:space="0" w:color="auto"/>
                                                <w:bottom w:val="none" w:sz="0" w:space="0" w:color="auto"/>
                                                <w:right w:val="none" w:sz="0" w:space="0" w:color="auto"/>
                                              </w:divBdr>
                                            </w:div>
                                            <w:div w:id="1395591578">
                                              <w:marLeft w:val="0"/>
                                              <w:marRight w:val="0"/>
                                              <w:marTop w:val="0"/>
                                              <w:marBottom w:val="0"/>
                                              <w:divBdr>
                                                <w:top w:val="none" w:sz="0" w:space="0" w:color="auto"/>
                                                <w:left w:val="none" w:sz="0" w:space="0" w:color="auto"/>
                                                <w:bottom w:val="none" w:sz="0" w:space="0" w:color="auto"/>
                                                <w:right w:val="none" w:sz="0" w:space="0" w:color="auto"/>
                                              </w:divBdr>
                                            </w:div>
                                          </w:divsChild>
                                        </w:div>
                                        <w:div w:id="753088826">
                                          <w:marLeft w:val="0"/>
                                          <w:marRight w:val="0"/>
                                          <w:marTop w:val="0"/>
                                          <w:marBottom w:val="0"/>
                                          <w:divBdr>
                                            <w:top w:val="none" w:sz="0" w:space="0" w:color="auto"/>
                                            <w:left w:val="none" w:sz="0" w:space="0" w:color="auto"/>
                                            <w:bottom w:val="none" w:sz="0" w:space="0" w:color="auto"/>
                                            <w:right w:val="none" w:sz="0" w:space="0" w:color="auto"/>
                                          </w:divBdr>
                                          <w:divsChild>
                                            <w:div w:id="652612233">
                                              <w:marLeft w:val="0"/>
                                              <w:marRight w:val="0"/>
                                              <w:marTop w:val="120"/>
                                              <w:marBottom w:val="0"/>
                                              <w:divBdr>
                                                <w:top w:val="none" w:sz="0" w:space="0" w:color="auto"/>
                                                <w:left w:val="none" w:sz="0" w:space="0" w:color="auto"/>
                                                <w:bottom w:val="none" w:sz="0" w:space="0" w:color="auto"/>
                                                <w:right w:val="none" w:sz="0" w:space="0" w:color="auto"/>
                                              </w:divBdr>
                                            </w:div>
                                            <w:div w:id="53713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8812">
                                  <w:marLeft w:val="0"/>
                                  <w:marRight w:val="0"/>
                                  <w:marTop w:val="0"/>
                                  <w:marBottom w:val="0"/>
                                  <w:divBdr>
                                    <w:top w:val="none" w:sz="0" w:space="0" w:color="auto"/>
                                    <w:left w:val="none" w:sz="0" w:space="0" w:color="auto"/>
                                    <w:bottom w:val="none" w:sz="0" w:space="0" w:color="auto"/>
                                    <w:right w:val="none" w:sz="0" w:space="0" w:color="auto"/>
                                  </w:divBdr>
                                  <w:divsChild>
                                    <w:div w:id="381833896">
                                      <w:marLeft w:val="0"/>
                                      <w:marRight w:val="0"/>
                                      <w:marTop w:val="120"/>
                                      <w:marBottom w:val="0"/>
                                      <w:divBdr>
                                        <w:top w:val="none" w:sz="0" w:space="0" w:color="auto"/>
                                        <w:left w:val="none" w:sz="0" w:space="0" w:color="auto"/>
                                        <w:bottom w:val="none" w:sz="0" w:space="0" w:color="auto"/>
                                        <w:right w:val="none" w:sz="0" w:space="0" w:color="auto"/>
                                      </w:divBdr>
                                    </w:div>
                                    <w:div w:id="591550801">
                                      <w:marLeft w:val="0"/>
                                      <w:marRight w:val="0"/>
                                      <w:marTop w:val="0"/>
                                      <w:marBottom w:val="0"/>
                                      <w:divBdr>
                                        <w:top w:val="none" w:sz="0" w:space="0" w:color="auto"/>
                                        <w:left w:val="none" w:sz="0" w:space="0" w:color="auto"/>
                                        <w:bottom w:val="none" w:sz="0" w:space="0" w:color="auto"/>
                                        <w:right w:val="none" w:sz="0" w:space="0" w:color="auto"/>
                                      </w:divBdr>
                                    </w:div>
                                  </w:divsChild>
                                </w:div>
                                <w:div w:id="1367438890">
                                  <w:marLeft w:val="0"/>
                                  <w:marRight w:val="0"/>
                                  <w:marTop w:val="0"/>
                                  <w:marBottom w:val="0"/>
                                  <w:divBdr>
                                    <w:top w:val="none" w:sz="0" w:space="0" w:color="auto"/>
                                    <w:left w:val="none" w:sz="0" w:space="0" w:color="auto"/>
                                    <w:bottom w:val="none" w:sz="0" w:space="0" w:color="auto"/>
                                    <w:right w:val="none" w:sz="0" w:space="0" w:color="auto"/>
                                  </w:divBdr>
                                  <w:divsChild>
                                    <w:div w:id="1775401272">
                                      <w:marLeft w:val="0"/>
                                      <w:marRight w:val="0"/>
                                      <w:marTop w:val="120"/>
                                      <w:marBottom w:val="0"/>
                                      <w:divBdr>
                                        <w:top w:val="none" w:sz="0" w:space="0" w:color="auto"/>
                                        <w:left w:val="none" w:sz="0" w:space="0" w:color="auto"/>
                                        <w:bottom w:val="none" w:sz="0" w:space="0" w:color="auto"/>
                                        <w:right w:val="none" w:sz="0" w:space="0" w:color="auto"/>
                                      </w:divBdr>
                                    </w:div>
                                    <w:div w:id="1355498166">
                                      <w:marLeft w:val="0"/>
                                      <w:marRight w:val="0"/>
                                      <w:marTop w:val="0"/>
                                      <w:marBottom w:val="0"/>
                                      <w:divBdr>
                                        <w:top w:val="none" w:sz="0" w:space="0" w:color="auto"/>
                                        <w:left w:val="none" w:sz="0" w:space="0" w:color="auto"/>
                                        <w:bottom w:val="none" w:sz="0" w:space="0" w:color="auto"/>
                                        <w:right w:val="none" w:sz="0" w:space="0" w:color="auto"/>
                                      </w:divBdr>
                                      <w:divsChild>
                                        <w:div w:id="1377967312">
                                          <w:marLeft w:val="0"/>
                                          <w:marRight w:val="0"/>
                                          <w:marTop w:val="0"/>
                                          <w:marBottom w:val="0"/>
                                          <w:divBdr>
                                            <w:top w:val="none" w:sz="0" w:space="0" w:color="auto"/>
                                            <w:left w:val="none" w:sz="0" w:space="0" w:color="auto"/>
                                            <w:bottom w:val="none" w:sz="0" w:space="0" w:color="auto"/>
                                            <w:right w:val="none" w:sz="0" w:space="0" w:color="auto"/>
                                          </w:divBdr>
                                          <w:divsChild>
                                            <w:div w:id="1957710799">
                                              <w:marLeft w:val="0"/>
                                              <w:marRight w:val="0"/>
                                              <w:marTop w:val="120"/>
                                              <w:marBottom w:val="0"/>
                                              <w:divBdr>
                                                <w:top w:val="none" w:sz="0" w:space="0" w:color="auto"/>
                                                <w:left w:val="none" w:sz="0" w:space="0" w:color="auto"/>
                                                <w:bottom w:val="none" w:sz="0" w:space="0" w:color="auto"/>
                                                <w:right w:val="none" w:sz="0" w:space="0" w:color="auto"/>
                                              </w:divBdr>
                                            </w:div>
                                            <w:div w:id="2130121745">
                                              <w:marLeft w:val="0"/>
                                              <w:marRight w:val="0"/>
                                              <w:marTop w:val="0"/>
                                              <w:marBottom w:val="0"/>
                                              <w:divBdr>
                                                <w:top w:val="none" w:sz="0" w:space="0" w:color="auto"/>
                                                <w:left w:val="none" w:sz="0" w:space="0" w:color="auto"/>
                                                <w:bottom w:val="none" w:sz="0" w:space="0" w:color="auto"/>
                                                <w:right w:val="none" w:sz="0" w:space="0" w:color="auto"/>
                                              </w:divBdr>
                                              <w:divsChild>
                                                <w:div w:id="665939841">
                                                  <w:marLeft w:val="0"/>
                                                  <w:marRight w:val="0"/>
                                                  <w:marTop w:val="0"/>
                                                  <w:marBottom w:val="0"/>
                                                  <w:divBdr>
                                                    <w:top w:val="none" w:sz="0" w:space="0" w:color="auto"/>
                                                    <w:left w:val="none" w:sz="0" w:space="0" w:color="auto"/>
                                                    <w:bottom w:val="none" w:sz="0" w:space="0" w:color="auto"/>
                                                    <w:right w:val="none" w:sz="0" w:space="0" w:color="auto"/>
                                                  </w:divBdr>
                                                  <w:divsChild>
                                                    <w:div w:id="1531720421">
                                                      <w:marLeft w:val="0"/>
                                                      <w:marRight w:val="0"/>
                                                      <w:marTop w:val="120"/>
                                                      <w:marBottom w:val="0"/>
                                                      <w:divBdr>
                                                        <w:top w:val="none" w:sz="0" w:space="0" w:color="auto"/>
                                                        <w:left w:val="none" w:sz="0" w:space="0" w:color="auto"/>
                                                        <w:bottom w:val="none" w:sz="0" w:space="0" w:color="auto"/>
                                                        <w:right w:val="none" w:sz="0" w:space="0" w:color="auto"/>
                                                      </w:divBdr>
                                                    </w:div>
                                                    <w:div w:id="627248370">
                                                      <w:marLeft w:val="0"/>
                                                      <w:marRight w:val="0"/>
                                                      <w:marTop w:val="0"/>
                                                      <w:marBottom w:val="0"/>
                                                      <w:divBdr>
                                                        <w:top w:val="none" w:sz="0" w:space="0" w:color="auto"/>
                                                        <w:left w:val="none" w:sz="0" w:space="0" w:color="auto"/>
                                                        <w:bottom w:val="none" w:sz="0" w:space="0" w:color="auto"/>
                                                        <w:right w:val="none" w:sz="0" w:space="0" w:color="auto"/>
                                                      </w:divBdr>
                                                    </w:div>
                                                  </w:divsChild>
                                                </w:div>
                                                <w:div w:id="677080775">
                                                  <w:marLeft w:val="0"/>
                                                  <w:marRight w:val="0"/>
                                                  <w:marTop w:val="0"/>
                                                  <w:marBottom w:val="0"/>
                                                  <w:divBdr>
                                                    <w:top w:val="none" w:sz="0" w:space="0" w:color="auto"/>
                                                    <w:left w:val="none" w:sz="0" w:space="0" w:color="auto"/>
                                                    <w:bottom w:val="none" w:sz="0" w:space="0" w:color="auto"/>
                                                    <w:right w:val="none" w:sz="0" w:space="0" w:color="auto"/>
                                                  </w:divBdr>
                                                  <w:divsChild>
                                                    <w:div w:id="1342850102">
                                                      <w:marLeft w:val="0"/>
                                                      <w:marRight w:val="0"/>
                                                      <w:marTop w:val="120"/>
                                                      <w:marBottom w:val="0"/>
                                                      <w:divBdr>
                                                        <w:top w:val="none" w:sz="0" w:space="0" w:color="auto"/>
                                                        <w:left w:val="none" w:sz="0" w:space="0" w:color="auto"/>
                                                        <w:bottom w:val="none" w:sz="0" w:space="0" w:color="auto"/>
                                                        <w:right w:val="none" w:sz="0" w:space="0" w:color="auto"/>
                                                      </w:divBdr>
                                                    </w:div>
                                                    <w:div w:id="1799913148">
                                                      <w:marLeft w:val="0"/>
                                                      <w:marRight w:val="0"/>
                                                      <w:marTop w:val="0"/>
                                                      <w:marBottom w:val="0"/>
                                                      <w:divBdr>
                                                        <w:top w:val="none" w:sz="0" w:space="0" w:color="auto"/>
                                                        <w:left w:val="none" w:sz="0" w:space="0" w:color="auto"/>
                                                        <w:bottom w:val="none" w:sz="0" w:space="0" w:color="auto"/>
                                                        <w:right w:val="none" w:sz="0" w:space="0" w:color="auto"/>
                                                      </w:divBdr>
                                                    </w:div>
                                                  </w:divsChild>
                                                </w:div>
                                                <w:div w:id="408310643">
                                                  <w:marLeft w:val="0"/>
                                                  <w:marRight w:val="0"/>
                                                  <w:marTop w:val="0"/>
                                                  <w:marBottom w:val="0"/>
                                                  <w:divBdr>
                                                    <w:top w:val="none" w:sz="0" w:space="0" w:color="auto"/>
                                                    <w:left w:val="none" w:sz="0" w:space="0" w:color="auto"/>
                                                    <w:bottom w:val="none" w:sz="0" w:space="0" w:color="auto"/>
                                                    <w:right w:val="none" w:sz="0" w:space="0" w:color="auto"/>
                                                  </w:divBdr>
                                                  <w:divsChild>
                                                    <w:div w:id="1667827866">
                                                      <w:marLeft w:val="0"/>
                                                      <w:marRight w:val="0"/>
                                                      <w:marTop w:val="120"/>
                                                      <w:marBottom w:val="0"/>
                                                      <w:divBdr>
                                                        <w:top w:val="none" w:sz="0" w:space="0" w:color="auto"/>
                                                        <w:left w:val="none" w:sz="0" w:space="0" w:color="auto"/>
                                                        <w:bottom w:val="none" w:sz="0" w:space="0" w:color="auto"/>
                                                        <w:right w:val="none" w:sz="0" w:space="0" w:color="auto"/>
                                                      </w:divBdr>
                                                    </w:div>
                                                    <w:div w:id="7578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02583">
                                          <w:marLeft w:val="0"/>
                                          <w:marRight w:val="0"/>
                                          <w:marTop w:val="0"/>
                                          <w:marBottom w:val="0"/>
                                          <w:divBdr>
                                            <w:top w:val="none" w:sz="0" w:space="0" w:color="auto"/>
                                            <w:left w:val="none" w:sz="0" w:space="0" w:color="auto"/>
                                            <w:bottom w:val="none" w:sz="0" w:space="0" w:color="auto"/>
                                            <w:right w:val="none" w:sz="0" w:space="0" w:color="auto"/>
                                          </w:divBdr>
                                          <w:divsChild>
                                            <w:div w:id="1757827142">
                                              <w:marLeft w:val="0"/>
                                              <w:marRight w:val="0"/>
                                              <w:marTop w:val="120"/>
                                              <w:marBottom w:val="0"/>
                                              <w:divBdr>
                                                <w:top w:val="none" w:sz="0" w:space="0" w:color="auto"/>
                                                <w:left w:val="none" w:sz="0" w:space="0" w:color="auto"/>
                                                <w:bottom w:val="none" w:sz="0" w:space="0" w:color="auto"/>
                                                <w:right w:val="none" w:sz="0" w:space="0" w:color="auto"/>
                                              </w:divBdr>
                                            </w:div>
                                            <w:div w:id="6517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676364">
                                  <w:marLeft w:val="0"/>
                                  <w:marRight w:val="0"/>
                                  <w:marTop w:val="0"/>
                                  <w:marBottom w:val="0"/>
                                  <w:divBdr>
                                    <w:top w:val="none" w:sz="0" w:space="0" w:color="auto"/>
                                    <w:left w:val="none" w:sz="0" w:space="0" w:color="auto"/>
                                    <w:bottom w:val="none" w:sz="0" w:space="0" w:color="auto"/>
                                    <w:right w:val="none" w:sz="0" w:space="0" w:color="auto"/>
                                  </w:divBdr>
                                  <w:divsChild>
                                    <w:div w:id="1444763418">
                                      <w:marLeft w:val="0"/>
                                      <w:marRight w:val="0"/>
                                      <w:marTop w:val="120"/>
                                      <w:marBottom w:val="0"/>
                                      <w:divBdr>
                                        <w:top w:val="none" w:sz="0" w:space="0" w:color="auto"/>
                                        <w:left w:val="none" w:sz="0" w:space="0" w:color="auto"/>
                                        <w:bottom w:val="none" w:sz="0" w:space="0" w:color="auto"/>
                                        <w:right w:val="none" w:sz="0" w:space="0" w:color="auto"/>
                                      </w:divBdr>
                                    </w:div>
                                    <w:div w:id="759835563">
                                      <w:marLeft w:val="0"/>
                                      <w:marRight w:val="0"/>
                                      <w:marTop w:val="0"/>
                                      <w:marBottom w:val="0"/>
                                      <w:divBdr>
                                        <w:top w:val="none" w:sz="0" w:space="0" w:color="auto"/>
                                        <w:left w:val="none" w:sz="0" w:space="0" w:color="auto"/>
                                        <w:bottom w:val="none" w:sz="0" w:space="0" w:color="auto"/>
                                        <w:right w:val="none" w:sz="0" w:space="0" w:color="auto"/>
                                      </w:divBdr>
                                    </w:div>
                                  </w:divsChild>
                                </w:div>
                                <w:div w:id="646862296">
                                  <w:marLeft w:val="0"/>
                                  <w:marRight w:val="0"/>
                                  <w:marTop w:val="0"/>
                                  <w:marBottom w:val="0"/>
                                  <w:divBdr>
                                    <w:top w:val="none" w:sz="0" w:space="0" w:color="auto"/>
                                    <w:left w:val="none" w:sz="0" w:space="0" w:color="auto"/>
                                    <w:bottom w:val="none" w:sz="0" w:space="0" w:color="auto"/>
                                    <w:right w:val="none" w:sz="0" w:space="0" w:color="auto"/>
                                  </w:divBdr>
                                  <w:divsChild>
                                    <w:div w:id="1300109853">
                                      <w:marLeft w:val="0"/>
                                      <w:marRight w:val="0"/>
                                      <w:marTop w:val="120"/>
                                      <w:marBottom w:val="0"/>
                                      <w:divBdr>
                                        <w:top w:val="none" w:sz="0" w:space="0" w:color="auto"/>
                                        <w:left w:val="none" w:sz="0" w:space="0" w:color="auto"/>
                                        <w:bottom w:val="none" w:sz="0" w:space="0" w:color="auto"/>
                                        <w:right w:val="none" w:sz="0" w:space="0" w:color="auto"/>
                                      </w:divBdr>
                                    </w:div>
                                    <w:div w:id="1661545913">
                                      <w:marLeft w:val="0"/>
                                      <w:marRight w:val="0"/>
                                      <w:marTop w:val="0"/>
                                      <w:marBottom w:val="0"/>
                                      <w:divBdr>
                                        <w:top w:val="none" w:sz="0" w:space="0" w:color="auto"/>
                                        <w:left w:val="none" w:sz="0" w:space="0" w:color="auto"/>
                                        <w:bottom w:val="none" w:sz="0" w:space="0" w:color="auto"/>
                                        <w:right w:val="none" w:sz="0" w:space="0" w:color="auto"/>
                                      </w:divBdr>
                                    </w:div>
                                  </w:divsChild>
                                </w:div>
                                <w:div w:id="870610734">
                                  <w:marLeft w:val="0"/>
                                  <w:marRight w:val="0"/>
                                  <w:marTop w:val="0"/>
                                  <w:marBottom w:val="0"/>
                                  <w:divBdr>
                                    <w:top w:val="none" w:sz="0" w:space="0" w:color="auto"/>
                                    <w:left w:val="none" w:sz="0" w:space="0" w:color="auto"/>
                                    <w:bottom w:val="none" w:sz="0" w:space="0" w:color="auto"/>
                                    <w:right w:val="none" w:sz="0" w:space="0" w:color="auto"/>
                                  </w:divBdr>
                                  <w:divsChild>
                                    <w:div w:id="1918784057">
                                      <w:marLeft w:val="0"/>
                                      <w:marRight w:val="0"/>
                                      <w:marTop w:val="120"/>
                                      <w:marBottom w:val="0"/>
                                      <w:divBdr>
                                        <w:top w:val="none" w:sz="0" w:space="0" w:color="auto"/>
                                        <w:left w:val="none" w:sz="0" w:space="0" w:color="auto"/>
                                        <w:bottom w:val="none" w:sz="0" w:space="0" w:color="auto"/>
                                        <w:right w:val="none" w:sz="0" w:space="0" w:color="auto"/>
                                      </w:divBdr>
                                    </w:div>
                                    <w:div w:id="88435314">
                                      <w:marLeft w:val="0"/>
                                      <w:marRight w:val="0"/>
                                      <w:marTop w:val="0"/>
                                      <w:marBottom w:val="0"/>
                                      <w:divBdr>
                                        <w:top w:val="none" w:sz="0" w:space="0" w:color="auto"/>
                                        <w:left w:val="none" w:sz="0" w:space="0" w:color="auto"/>
                                        <w:bottom w:val="none" w:sz="0" w:space="0" w:color="auto"/>
                                        <w:right w:val="none" w:sz="0" w:space="0" w:color="auto"/>
                                      </w:divBdr>
                                    </w:div>
                                  </w:divsChild>
                                </w:div>
                                <w:div w:id="1006908858">
                                  <w:marLeft w:val="0"/>
                                  <w:marRight w:val="0"/>
                                  <w:marTop w:val="0"/>
                                  <w:marBottom w:val="0"/>
                                  <w:divBdr>
                                    <w:top w:val="none" w:sz="0" w:space="0" w:color="auto"/>
                                    <w:left w:val="none" w:sz="0" w:space="0" w:color="auto"/>
                                    <w:bottom w:val="none" w:sz="0" w:space="0" w:color="auto"/>
                                    <w:right w:val="none" w:sz="0" w:space="0" w:color="auto"/>
                                  </w:divBdr>
                                  <w:divsChild>
                                    <w:div w:id="1450050215">
                                      <w:marLeft w:val="0"/>
                                      <w:marRight w:val="0"/>
                                      <w:marTop w:val="120"/>
                                      <w:marBottom w:val="0"/>
                                      <w:divBdr>
                                        <w:top w:val="none" w:sz="0" w:space="0" w:color="auto"/>
                                        <w:left w:val="none" w:sz="0" w:space="0" w:color="auto"/>
                                        <w:bottom w:val="none" w:sz="0" w:space="0" w:color="auto"/>
                                        <w:right w:val="none" w:sz="0" w:space="0" w:color="auto"/>
                                      </w:divBdr>
                                    </w:div>
                                    <w:div w:id="949896055">
                                      <w:marLeft w:val="0"/>
                                      <w:marRight w:val="0"/>
                                      <w:marTop w:val="0"/>
                                      <w:marBottom w:val="0"/>
                                      <w:divBdr>
                                        <w:top w:val="none" w:sz="0" w:space="0" w:color="auto"/>
                                        <w:left w:val="none" w:sz="0" w:space="0" w:color="auto"/>
                                        <w:bottom w:val="none" w:sz="0" w:space="0" w:color="auto"/>
                                        <w:right w:val="none" w:sz="0" w:space="0" w:color="auto"/>
                                      </w:divBdr>
                                    </w:div>
                                  </w:divsChild>
                                </w:div>
                                <w:div w:id="1903177104">
                                  <w:marLeft w:val="0"/>
                                  <w:marRight w:val="0"/>
                                  <w:marTop w:val="0"/>
                                  <w:marBottom w:val="0"/>
                                  <w:divBdr>
                                    <w:top w:val="none" w:sz="0" w:space="0" w:color="auto"/>
                                    <w:left w:val="none" w:sz="0" w:space="0" w:color="auto"/>
                                    <w:bottom w:val="none" w:sz="0" w:space="0" w:color="auto"/>
                                    <w:right w:val="none" w:sz="0" w:space="0" w:color="auto"/>
                                  </w:divBdr>
                                  <w:divsChild>
                                    <w:div w:id="1153914534">
                                      <w:marLeft w:val="0"/>
                                      <w:marRight w:val="0"/>
                                      <w:marTop w:val="120"/>
                                      <w:marBottom w:val="0"/>
                                      <w:divBdr>
                                        <w:top w:val="none" w:sz="0" w:space="0" w:color="auto"/>
                                        <w:left w:val="none" w:sz="0" w:space="0" w:color="auto"/>
                                        <w:bottom w:val="none" w:sz="0" w:space="0" w:color="auto"/>
                                        <w:right w:val="none" w:sz="0" w:space="0" w:color="auto"/>
                                      </w:divBdr>
                                    </w:div>
                                    <w:div w:id="1272131910">
                                      <w:marLeft w:val="0"/>
                                      <w:marRight w:val="0"/>
                                      <w:marTop w:val="0"/>
                                      <w:marBottom w:val="0"/>
                                      <w:divBdr>
                                        <w:top w:val="none" w:sz="0" w:space="0" w:color="auto"/>
                                        <w:left w:val="none" w:sz="0" w:space="0" w:color="auto"/>
                                        <w:bottom w:val="none" w:sz="0" w:space="0" w:color="auto"/>
                                        <w:right w:val="none" w:sz="0" w:space="0" w:color="auto"/>
                                      </w:divBdr>
                                    </w:div>
                                  </w:divsChild>
                                </w:div>
                                <w:div w:id="2013752676">
                                  <w:marLeft w:val="0"/>
                                  <w:marRight w:val="0"/>
                                  <w:marTop w:val="0"/>
                                  <w:marBottom w:val="0"/>
                                  <w:divBdr>
                                    <w:top w:val="none" w:sz="0" w:space="0" w:color="auto"/>
                                    <w:left w:val="none" w:sz="0" w:space="0" w:color="auto"/>
                                    <w:bottom w:val="none" w:sz="0" w:space="0" w:color="auto"/>
                                    <w:right w:val="none" w:sz="0" w:space="0" w:color="auto"/>
                                  </w:divBdr>
                                  <w:divsChild>
                                    <w:div w:id="207618955">
                                      <w:marLeft w:val="0"/>
                                      <w:marRight w:val="0"/>
                                      <w:marTop w:val="120"/>
                                      <w:marBottom w:val="0"/>
                                      <w:divBdr>
                                        <w:top w:val="none" w:sz="0" w:space="0" w:color="auto"/>
                                        <w:left w:val="none" w:sz="0" w:space="0" w:color="auto"/>
                                        <w:bottom w:val="none" w:sz="0" w:space="0" w:color="auto"/>
                                        <w:right w:val="none" w:sz="0" w:space="0" w:color="auto"/>
                                      </w:divBdr>
                                    </w:div>
                                    <w:div w:id="1705978506">
                                      <w:marLeft w:val="0"/>
                                      <w:marRight w:val="0"/>
                                      <w:marTop w:val="0"/>
                                      <w:marBottom w:val="0"/>
                                      <w:divBdr>
                                        <w:top w:val="none" w:sz="0" w:space="0" w:color="auto"/>
                                        <w:left w:val="none" w:sz="0" w:space="0" w:color="auto"/>
                                        <w:bottom w:val="none" w:sz="0" w:space="0" w:color="auto"/>
                                        <w:right w:val="none" w:sz="0" w:space="0" w:color="auto"/>
                                      </w:divBdr>
                                    </w:div>
                                  </w:divsChild>
                                </w:div>
                                <w:div w:id="1578830951">
                                  <w:marLeft w:val="0"/>
                                  <w:marRight w:val="0"/>
                                  <w:marTop w:val="0"/>
                                  <w:marBottom w:val="0"/>
                                  <w:divBdr>
                                    <w:top w:val="none" w:sz="0" w:space="0" w:color="auto"/>
                                    <w:left w:val="none" w:sz="0" w:space="0" w:color="auto"/>
                                    <w:bottom w:val="none" w:sz="0" w:space="0" w:color="auto"/>
                                    <w:right w:val="none" w:sz="0" w:space="0" w:color="auto"/>
                                  </w:divBdr>
                                  <w:divsChild>
                                    <w:div w:id="1026247797">
                                      <w:marLeft w:val="0"/>
                                      <w:marRight w:val="0"/>
                                      <w:marTop w:val="120"/>
                                      <w:marBottom w:val="0"/>
                                      <w:divBdr>
                                        <w:top w:val="none" w:sz="0" w:space="0" w:color="auto"/>
                                        <w:left w:val="none" w:sz="0" w:space="0" w:color="auto"/>
                                        <w:bottom w:val="none" w:sz="0" w:space="0" w:color="auto"/>
                                        <w:right w:val="none" w:sz="0" w:space="0" w:color="auto"/>
                                      </w:divBdr>
                                    </w:div>
                                    <w:div w:id="859898766">
                                      <w:marLeft w:val="0"/>
                                      <w:marRight w:val="0"/>
                                      <w:marTop w:val="0"/>
                                      <w:marBottom w:val="0"/>
                                      <w:divBdr>
                                        <w:top w:val="none" w:sz="0" w:space="0" w:color="auto"/>
                                        <w:left w:val="none" w:sz="0" w:space="0" w:color="auto"/>
                                        <w:bottom w:val="none" w:sz="0" w:space="0" w:color="auto"/>
                                        <w:right w:val="none" w:sz="0" w:space="0" w:color="auto"/>
                                      </w:divBdr>
                                    </w:div>
                                  </w:divsChild>
                                </w:div>
                                <w:div w:id="1067412889">
                                  <w:marLeft w:val="0"/>
                                  <w:marRight w:val="0"/>
                                  <w:marTop w:val="0"/>
                                  <w:marBottom w:val="0"/>
                                  <w:divBdr>
                                    <w:top w:val="none" w:sz="0" w:space="0" w:color="auto"/>
                                    <w:left w:val="none" w:sz="0" w:space="0" w:color="auto"/>
                                    <w:bottom w:val="none" w:sz="0" w:space="0" w:color="auto"/>
                                    <w:right w:val="none" w:sz="0" w:space="0" w:color="auto"/>
                                  </w:divBdr>
                                  <w:divsChild>
                                    <w:div w:id="1361316882">
                                      <w:marLeft w:val="0"/>
                                      <w:marRight w:val="0"/>
                                      <w:marTop w:val="120"/>
                                      <w:marBottom w:val="0"/>
                                      <w:divBdr>
                                        <w:top w:val="none" w:sz="0" w:space="0" w:color="auto"/>
                                        <w:left w:val="none" w:sz="0" w:space="0" w:color="auto"/>
                                        <w:bottom w:val="none" w:sz="0" w:space="0" w:color="auto"/>
                                        <w:right w:val="none" w:sz="0" w:space="0" w:color="auto"/>
                                      </w:divBdr>
                                    </w:div>
                                    <w:div w:id="556286478">
                                      <w:marLeft w:val="0"/>
                                      <w:marRight w:val="0"/>
                                      <w:marTop w:val="0"/>
                                      <w:marBottom w:val="0"/>
                                      <w:divBdr>
                                        <w:top w:val="none" w:sz="0" w:space="0" w:color="auto"/>
                                        <w:left w:val="none" w:sz="0" w:space="0" w:color="auto"/>
                                        <w:bottom w:val="none" w:sz="0" w:space="0" w:color="auto"/>
                                        <w:right w:val="none" w:sz="0" w:space="0" w:color="auto"/>
                                      </w:divBdr>
                                    </w:div>
                                  </w:divsChild>
                                </w:div>
                                <w:div w:id="723482339">
                                  <w:marLeft w:val="0"/>
                                  <w:marRight w:val="0"/>
                                  <w:marTop w:val="0"/>
                                  <w:marBottom w:val="0"/>
                                  <w:divBdr>
                                    <w:top w:val="none" w:sz="0" w:space="0" w:color="auto"/>
                                    <w:left w:val="none" w:sz="0" w:space="0" w:color="auto"/>
                                    <w:bottom w:val="none" w:sz="0" w:space="0" w:color="auto"/>
                                    <w:right w:val="none" w:sz="0" w:space="0" w:color="auto"/>
                                  </w:divBdr>
                                  <w:divsChild>
                                    <w:div w:id="520975909">
                                      <w:marLeft w:val="0"/>
                                      <w:marRight w:val="0"/>
                                      <w:marTop w:val="120"/>
                                      <w:marBottom w:val="0"/>
                                      <w:divBdr>
                                        <w:top w:val="none" w:sz="0" w:space="0" w:color="auto"/>
                                        <w:left w:val="none" w:sz="0" w:space="0" w:color="auto"/>
                                        <w:bottom w:val="none" w:sz="0" w:space="0" w:color="auto"/>
                                        <w:right w:val="none" w:sz="0" w:space="0" w:color="auto"/>
                                      </w:divBdr>
                                    </w:div>
                                    <w:div w:id="519008655">
                                      <w:marLeft w:val="0"/>
                                      <w:marRight w:val="0"/>
                                      <w:marTop w:val="0"/>
                                      <w:marBottom w:val="0"/>
                                      <w:divBdr>
                                        <w:top w:val="none" w:sz="0" w:space="0" w:color="auto"/>
                                        <w:left w:val="none" w:sz="0" w:space="0" w:color="auto"/>
                                        <w:bottom w:val="none" w:sz="0" w:space="0" w:color="auto"/>
                                        <w:right w:val="none" w:sz="0" w:space="0" w:color="auto"/>
                                      </w:divBdr>
                                    </w:div>
                                  </w:divsChild>
                                </w:div>
                                <w:div w:id="1063408164">
                                  <w:marLeft w:val="0"/>
                                  <w:marRight w:val="0"/>
                                  <w:marTop w:val="0"/>
                                  <w:marBottom w:val="0"/>
                                  <w:divBdr>
                                    <w:top w:val="none" w:sz="0" w:space="0" w:color="auto"/>
                                    <w:left w:val="none" w:sz="0" w:space="0" w:color="auto"/>
                                    <w:bottom w:val="none" w:sz="0" w:space="0" w:color="auto"/>
                                    <w:right w:val="none" w:sz="0" w:space="0" w:color="auto"/>
                                  </w:divBdr>
                                  <w:divsChild>
                                    <w:div w:id="100614983">
                                      <w:marLeft w:val="0"/>
                                      <w:marRight w:val="0"/>
                                      <w:marTop w:val="120"/>
                                      <w:marBottom w:val="0"/>
                                      <w:divBdr>
                                        <w:top w:val="none" w:sz="0" w:space="0" w:color="auto"/>
                                        <w:left w:val="none" w:sz="0" w:space="0" w:color="auto"/>
                                        <w:bottom w:val="none" w:sz="0" w:space="0" w:color="auto"/>
                                        <w:right w:val="none" w:sz="0" w:space="0" w:color="auto"/>
                                      </w:divBdr>
                                    </w:div>
                                    <w:div w:id="132453492">
                                      <w:marLeft w:val="0"/>
                                      <w:marRight w:val="0"/>
                                      <w:marTop w:val="0"/>
                                      <w:marBottom w:val="0"/>
                                      <w:divBdr>
                                        <w:top w:val="none" w:sz="0" w:space="0" w:color="auto"/>
                                        <w:left w:val="none" w:sz="0" w:space="0" w:color="auto"/>
                                        <w:bottom w:val="none" w:sz="0" w:space="0" w:color="auto"/>
                                        <w:right w:val="none" w:sz="0" w:space="0" w:color="auto"/>
                                      </w:divBdr>
                                    </w:div>
                                  </w:divsChild>
                                </w:div>
                                <w:div w:id="1475953472">
                                  <w:marLeft w:val="0"/>
                                  <w:marRight w:val="0"/>
                                  <w:marTop w:val="0"/>
                                  <w:marBottom w:val="0"/>
                                  <w:divBdr>
                                    <w:top w:val="none" w:sz="0" w:space="0" w:color="auto"/>
                                    <w:left w:val="none" w:sz="0" w:space="0" w:color="auto"/>
                                    <w:bottom w:val="none" w:sz="0" w:space="0" w:color="auto"/>
                                    <w:right w:val="none" w:sz="0" w:space="0" w:color="auto"/>
                                  </w:divBdr>
                                  <w:divsChild>
                                    <w:div w:id="1232081860">
                                      <w:marLeft w:val="0"/>
                                      <w:marRight w:val="0"/>
                                      <w:marTop w:val="120"/>
                                      <w:marBottom w:val="0"/>
                                      <w:divBdr>
                                        <w:top w:val="none" w:sz="0" w:space="0" w:color="auto"/>
                                        <w:left w:val="none" w:sz="0" w:space="0" w:color="auto"/>
                                        <w:bottom w:val="none" w:sz="0" w:space="0" w:color="auto"/>
                                        <w:right w:val="none" w:sz="0" w:space="0" w:color="auto"/>
                                      </w:divBdr>
                                    </w:div>
                                    <w:div w:id="1504971415">
                                      <w:marLeft w:val="0"/>
                                      <w:marRight w:val="0"/>
                                      <w:marTop w:val="0"/>
                                      <w:marBottom w:val="0"/>
                                      <w:divBdr>
                                        <w:top w:val="none" w:sz="0" w:space="0" w:color="auto"/>
                                        <w:left w:val="none" w:sz="0" w:space="0" w:color="auto"/>
                                        <w:bottom w:val="none" w:sz="0" w:space="0" w:color="auto"/>
                                        <w:right w:val="none" w:sz="0" w:space="0" w:color="auto"/>
                                      </w:divBdr>
                                    </w:div>
                                  </w:divsChild>
                                </w:div>
                                <w:div w:id="1484856214">
                                  <w:marLeft w:val="0"/>
                                  <w:marRight w:val="0"/>
                                  <w:marTop w:val="0"/>
                                  <w:marBottom w:val="0"/>
                                  <w:divBdr>
                                    <w:top w:val="none" w:sz="0" w:space="0" w:color="auto"/>
                                    <w:left w:val="none" w:sz="0" w:space="0" w:color="auto"/>
                                    <w:bottom w:val="none" w:sz="0" w:space="0" w:color="auto"/>
                                    <w:right w:val="none" w:sz="0" w:space="0" w:color="auto"/>
                                  </w:divBdr>
                                  <w:divsChild>
                                    <w:div w:id="22102436">
                                      <w:marLeft w:val="0"/>
                                      <w:marRight w:val="0"/>
                                      <w:marTop w:val="120"/>
                                      <w:marBottom w:val="0"/>
                                      <w:divBdr>
                                        <w:top w:val="none" w:sz="0" w:space="0" w:color="auto"/>
                                        <w:left w:val="none" w:sz="0" w:space="0" w:color="auto"/>
                                        <w:bottom w:val="none" w:sz="0" w:space="0" w:color="auto"/>
                                        <w:right w:val="none" w:sz="0" w:space="0" w:color="auto"/>
                                      </w:divBdr>
                                    </w:div>
                                    <w:div w:id="1079136474">
                                      <w:marLeft w:val="0"/>
                                      <w:marRight w:val="0"/>
                                      <w:marTop w:val="0"/>
                                      <w:marBottom w:val="0"/>
                                      <w:divBdr>
                                        <w:top w:val="none" w:sz="0" w:space="0" w:color="auto"/>
                                        <w:left w:val="none" w:sz="0" w:space="0" w:color="auto"/>
                                        <w:bottom w:val="none" w:sz="0" w:space="0" w:color="auto"/>
                                        <w:right w:val="none" w:sz="0" w:space="0" w:color="auto"/>
                                      </w:divBdr>
                                    </w:div>
                                  </w:divsChild>
                                </w:div>
                                <w:div w:id="83645724">
                                  <w:marLeft w:val="0"/>
                                  <w:marRight w:val="0"/>
                                  <w:marTop w:val="0"/>
                                  <w:marBottom w:val="0"/>
                                  <w:divBdr>
                                    <w:top w:val="none" w:sz="0" w:space="0" w:color="auto"/>
                                    <w:left w:val="none" w:sz="0" w:space="0" w:color="auto"/>
                                    <w:bottom w:val="none" w:sz="0" w:space="0" w:color="auto"/>
                                    <w:right w:val="none" w:sz="0" w:space="0" w:color="auto"/>
                                  </w:divBdr>
                                  <w:divsChild>
                                    <w:div w:id="1308902757">
                                      <w:marLeft w:val="0"/>
                                      <w:marRight w:val="0"/>
                                      <w:marTop w:val="120"/>
                                      <w:marBottom w:val="0"/>
                                      <w:divBdr>
                                        <w:top w:val="none" w:sz="0" w:space="0" w:color="auto"/>
                                        <w:left w:val="none" w:sz="0" w:space="0" w:color="auto"/>
                                        <w:bottom w:val="none" w:sz="0" w:space="0" w:color="auto"/>
                                        <w:right w:val="none" w:sz="0" w:space="0" w:color="auto"/>
                                      </w:divBdr>
                                    </w:div>
                                    <w:div w:id="1500151490">
                                      <w:marLeft w:val="0"/>
                                      <w:marRight w:val="0"/>
                                      <w:marTop w:val="0"/>
                                      <w:marBottom w:val="0"/>
                                      <w:divBdr>
                                        <w:top w:val="none" w:sz="0" w:space="0" w:color="auto"/>
                                        <w:left w:val="none" w:sz="0" w:space="0" w:color="auto"/>
                                        <w:bottom w:val="none" w:sz="0" w:space="0" w:color="auto"/>
                                        <w:right w:val="none" w:sz="0" w:space="0" w:color="auto"/>
                                      </w:divBdr>
                                    </w:div>
                                  </w:divsChild>
                                </w:div>
                                <w:div w:id="1144931163">
                                  <w:marLeft w:val="0"/>
                                  <w:marRight w:val="0"/>
                                  <w:marTop w:val="0"/>
                                  <w:marBottom w:val="0"/>
                                  <w:divBdr>
                                    <w:top w:val="none" w:sz="0" w:space="0" w:color="auto"/>
                                    <w:left w:val="none" w:sz="0" w:space="0" w:color="auto"/>
                                    <w:bottom w:val="none" w:sz="0" w:space="0" w:color="auto"/>
                                    <w:right w:val="none" w:sz="0" w:space="0" w:color="auto"/>
                                  </w:divBdr>
                                  <w:divsChild>
                                    <w:div w:id="792871430">
                                      <w:marLeft w:val="0"/>
                                      <w:marRight w:val="0"/>
                                      <w:marTop w:val="120"/>
                                      <w:marBottom w:val="0"/>
                                      <w:divBdr>
                                        <w:top w:val="none" w:sz="0" w:space="0" w:color="auto"/>
                                        <w:left w:val="none" w:sz="0" w:space="0" w:color="auto"/>
                                        <w:bottom w:val="none" w:sz="0" w:space="0" w:color="auto"/>
                                        <w:right w:val="none" w:sz="0" w:space="0" w:color="auto"/>
                                      </w:divBdr>
                                    </w:div>
                                    <w:div w:id="42096931">
                                      <w:marLeft w:val="0"/>
                                      <w:marRight w:val="0"/>
                                      <w:marTop w:val="0"/>
                                      <w:marBottom w:val="0"/>
                                      <w:divBdr>
                                        <w:top w:val="none" w:sz="0" w:space="0" w:color="auto"/>
                                        <w:left w:val="none" w:sz="0" w:space="0" w:color="auto"/>
                                        <w:bottom w:val="none" w:sz="0" w:space="0" w:color="auto"/>
                                        <w:right w:val="none" w:sz="0" w:space="0" w:color="auto"/>
                                      </w:divBdr>
                                    </w:div>
                                  </w:divsChild>
                                </w:div>
                                <w:div w:id="1991133633">
                                  <w:marLeft w:val="0"/>
                                  <w:marRight w:val="0"/>
                                  <w:marTop w:val="0"/>
                                  <w:marBottom w:val="0"/>
                                  <w:divBdr>
                                    <w:top w:val="none" w:sz="0" w:space="0" w:color="auto"/>
                                    <w:left w:val="none" w:sz="0" w:space="0" w:color="auto"/>
                                    <w:bottom w:val="none" w:sz="0" w:space="0" w:color="auto"/>
                                    <w:right w:val="none" w:sz="0" w:space="0" w:color="auto"/>
                                  </w:divBdr>
                                  <w:divsChild>
                                    <w:div w:id="306326121">
                                      <w:marLeft w:val="0"/>
                                      <w:marRight w:val="0"/>
                                      <w:marTop w:val="120"/>
                                      <w:marBottom w:val="0"/>
                                      <w:divBdr>
                                        <w:top w:val="none" w:sz="0" w:space="0" w:color="auto"/>
                                        <w:left w:val="none" w:sz="0" w:space="0" w:color="auto"/>
                                        <w:bottom w:val="none" w:sz="0" w:space="0" w:color="auto"/>
                                        <w:right w:val="none" w:sz="0" w:space="0" w:color="auto"/>
                                      </w:divBdr>
                                    </w:div>
                                    <w:div w:id="157304453">
                                      <w:marLeft w:val="0"/>
                                      <w:marRight w:val="0"/>
                                      <w:marTop w:val="0"/>
                                      <w:marBottom w:val="0"/>
                                      <w:divBdr>
                                        <w:top w:val="none" w:sz="0" w:space="0" w:color="auto"/>
                                        <w:left w:val="none" w:sz="0" w:space="0" w:color="auto"/>
                                        <w:bottom w:val="none" w:sz="0" w:space="0" w:color="auto"/>
                                        <w:right w:val="none" w:sz="0" w:space="0" w:color="auto"/>
                                      </w:divBdr>
                                    </w:div>
                                  </w:divsChild>
                                </w:div>
                                <w:div w:id="659574511">
                                  <w:marLeft w:val="0"/>
                                  <w:marRight w:val="0"/>
                                  <w:marTop w:val="0"/>
                                  <w:marBottom w:val="0"/>
                                  <w:divBdr>
                                    <w:top w:val="none" w:sz="0" w:space="0" w:color="auto"/>
                                    <w:left w:val="none" w:sz="0" w:space="0" w:color="auto"/>
                                    <w:bottom w:val="none" w:sz="0" w:space="0" w:color="auto"/>
                                    <w:right w:val="none" w:sz="0" w:space="0" w:color="auto"/>
                                  </w:divBdr>
                                  <w:divsChild>
                                    <w:div w:id="2107918459">
                                      <w:marLeft w:val="0"/>
                                      <w:marRight w:val="0"/>
                                      <w:marTop w:val="120"/>
                                      <w:marBottom w:val="0"/>
                                      <w:divBdr>
                                        <w:top w:val="none" w:sz="0" w:space="0" w:color="auto"/>
                                        <w:left w:val="none" w:sz="0" w:space="0" w:color="auto"/>
                                        <w:bottom w:val="none" w:sz="0" w:space="0" w:color="auto"/>
                                        <w:right w:val="none" w:sz="0" w:space="0" w:color="auto"/>
                                      </w:divBdr>
                                    </w:div>
                                    <w:div w:id="940918016">
                                      <w:marLeft w:val="0"/>
                                      <w:marRight w:val="0"/>
                                      <w:marTop w:val="0"/>
                                      <w:marBottom w:val="0"/>
                                      <w:divBdr>
                                        <w:top w:val="none" w:sz="0" w:space="0" w:color="auto"/>
                                        <w:left w:val="none" w:sz="0" w:space="0" w:color="auto"/>
                                        <w:bottom w:val="none" w:sz="0" w:space="0" w:color="auto"/>
                                        <w:right w:val="none" w:sz="0" w:space="0" w:color="auto"/>
                                      </w:divBdr>
                                    </w:div>
                                  </w:divsChild>
                                </w:div>
                                <w:div w:id="1069616881">
                                  <w:marLeft w:val="0"/>
                                  <w:marRight w:val="0"/>
                                  <w:marTop w:val="0"/>
                                  <w:marBottom w:val="0"/>
                                  <w:divBdr>
                                    <w:top w:val="none" w:sz="0" w:space="0" w:color="auto"/>
                                    <w:left w:val="none" w:sz="0" w:space="0" w:color="auto"/>
                                    <w:bottom w:val="none" w:sz="0" w:space="0" w:color="auto"/>
                                    <w:right w:val="none" w:sz="0" w:space="0" w:color="auto"/>
                                  </w:divBdr>
                                  <w:divsChild>
                                    <w:div w:id="1403334368">
                                      <w:marLeft w:val="0"/>
                                      <w:marRight w:val="0"/>
                                      <w:marTop w:val="120"/>
                                      <w:marBottom w:val="0"/>
                                      <w:divBdr>
                                        <w:top w:val="none" w:sz="0" w:space="0" w:color="auto"/>
                                        <w:left w:val="none" w:sz="0" w:space="0" w:color="auto"/>
                                        <w:bottom w:val="none" w:sz="0" w:space="0" w:color="auto"/>
                                        <w:right w:val="none" w:sz="0" w:space="0" w:color="auto"/>
                                      </w:divBdr>
                                    </w:div>
                                    <w:div w:id="1825585778">
                                      <w:marLeft w:val="0"/>
                                      <w:marRight w:val="0"/>
                                      <w:marTop w:val="0"/>
                                      <w:marBottom w:val="0"/>
                                      <w:divBdr>
                                        <w:top w:val="none" w:sz="0" w:space="0" w:color="auto"/>
                                        <w:left w:val="none" w:sz="0" w:space="0" w:color="auto"/>
                                        <w:bottom w:val="none" w:sz="0" w:space="0" w:color="auto"/>
                                        <w:right w:val="none" w:sz="0" w:space="0" w:color="auto"/>
                                      </w:divBdr>
                                    </w:div>
                                  </w:divsChild>
                                </w:div>
                                <w:div w:id="1156992733">
                                  <w:marLeft w:val="0"/>
                                  <w:marRight w:val="0"/>
                                  <w:marTop w:val="0"/>
                                  <w:marBottom w:val="0"/>
                                  <w:divBdr>
                                    <w:top w:val="none" w:sz="0" w:space="0" w:color="auto"/>
                                    <w:left w:val="none" w:sz="0" w:space="0" w:color="auto"/>
                                    <w:bottom w:val="none" w:sz="0" w:space="0" w:color="auto"/>
                                    <w:right w:val="none" w:sz="0" w:space="0" w:color="auto"/>
                                  </w:divBdr>
                                  <w:divsChild>
                                    <w:div w:id="1189298401">
                                      <w:marLeft w:val="0"/>
                                      <w:marRight w:val="0"/>
                                      <w:marTop w:val="120"/>
                                      <w:marBottom w:val="0"/>
                                      <w:divBdr>
                                        <w:top w:val="none" w:sz="0" w:space="0" w:color="auto"/>
                                        <w:left w:val="none" w:sz="0" w:space="0" w:color="auto"/>
                                        <w:bottom w:val="none" w:sz="0" w:space="0" w:color="auto"/>
                                        <w:right w:val="none" w:sz="0" w:space="0" w:color="auto"/>
                                      </w:divBdr>
                                    </w:div>
                                    <w:div w:id="1901668707">
                                      <w:marLeft w:val="0"/>
                                      <w:marRight w:val="0"/>
                                      <w:marTop w:val="0"/>
                                      <w:marBottom w:val="0"/>
                                      <w:divBdr>
                                        <w:top w:val="none" w:sz="0" w:space="0" w:color="auto"/>
                                        <w:left w:val="none" w:sz="0" w:space="0" w:color="auto"/>
                                        <w:bottom w:val="none" w:sz="0" w:space="0" w:color="auto"/>
                                        <w:right w:val="none" w:sz="0" w:space="0" w:color="auto"/>
                                      </w:divBdr>
                                      <w:divsChild>
                                        <w:div w:id="406222404">
                                          <w:marLeft w:val="0"/>
                                          <w:marRight w:val="0"/>
                                          <w:marTop w:val="0"/>
                                          <w:marBottom w:val="0"/>
                                          <w:divBdr>
                                            <w:top w:val="none" w:sz="0" w:space="0" w:color="auto"/>
                                            <w:left w:val="none" w:sz="0" w:space="0" w:color="auto"/>
                                            <w:bottom w:val="none" w:sz="0" w:space="0" w:color="auto"/>
                                            <w:right w:val="none" w:sz="0" w:space="0" w:color="auto"/>
                                          </w:divBdr>
                                          <w:divsChild>
                                            <w:div w:id="246161465">
                                              <w:marLeft w:val="0"/>
                                              <w:marRight w:val="0"/>
                                              <w:marTop w:val="120"/>
                                              <w:marBottom w:val="0"/>
                                              <w:divBdr>
                                                <w:top w:val="none" w:sz="0" w:space="0" w:color="auto"/>
                                                <w:left w:val="none" w:sz="0" w:space="0" w:color="auto"/>
                                                <w:bottom w:val="none" w:sz="0" w:space="0" w:color="auto"/>
                                                <w:right w:val="none" w:sz="0" w:space="0" w:color="auto"/>
                                              </w:divBdr>
                                            </w:div>
                                            <w:div w:id="2125077326">
                                              <w:marLeft w:val="0"/>
                                              <w:marRight w:val="0"/>
                                              <w:marTop w:val="0"/>
                                              <w:marBottom w:val="0"/>
                                              <w:divBdr>
                                                <w:top w:val="none" w:sz="0" w:space="0" w:color="auto"/>
                                                <w:left w:val="none" w:sz="0" w:space="0" w:color="auto"/>
                                                <w:bottom w:val="none" w:sz="0" w:space="0" w:color="auto"/>
                                                <w:right w:val="none" w:sz="0" w:space="0" w:color="auto"/>
                                              </w:divBdr>
                                              <w:divsChild>
                                                <w:div w:id="1341465260">
                                                  <w:marLeft w:val="0"/>
                                                  <w:marRight w:val="0"/>
                                                  <w:marTop w:val="0"/>
                                                  <w:marBottom w:val="0"/>
                                                  <w:divBdr>
                                                    <w:top w:val="none" w:sz="0" w:space="0" w:color="auto"/>
                                                    <w:left w:val="none" w:sz="0" w:space="0" w:color="auto"/>
                                                    <w:bottom w:val="none" w:sz="0" w:space="0" w:color="auto"/>
                                                    <w:right w:val="none" w:sz="0" w:space="0" w:color="auto"/>
                                                  </w:divBdr>
                                                  <w:divsChild>
                                                    <w:div w:id="836575199">
                                                      <w:marLeft w:val="0"/>
                                                      <w:marRight w:val="0"/>
                                                      <w:marTop w:val="120"/>
                                                      <w:marBottom w:val="0"/>
                                                      <w:divBdr>
                                                        <w:top w:val="none" w:sz="0" w:space="0" w:color="auto"/>
                                                        <w:left w:val="none" w:sz="0" w:space="0" w:color="auto"/>
                                                        <w:bottom w:val="none" w:sz="0" w:space="0" w:color="auto"/>
                                                        <w:right w:val="none" w:sz="0" w:space="0" w:color="auto"/>
                                                      </w:divBdr>
                                                    </w:div>
                                                    <w:div w:id="1359699920">
                                                      <w:marLeft w:val="0"/>
                                                      <w:marRight w:val="0"/>
                                                      <w:marTop w:val="0"/>
                                                      <w:marBottom w:val="0"/>
                                                      <w:divBdr>
                                                        <w:top w:val="none" w:sz="0" w:space="0" w:color="auto"/>
                                                        <w:left w:val="none" w:sz="0" w:space="0" w:color="auto"/>
                                                        <w:bottom w:val="none" w:sz="0" w:space="0" w:color="auto"/>
                                                        <w:right w:val="none" w:sz="0" w:space="0" w:color="auto"/>
                                                      </w:divBdr>
                                                    </w:div>
                                                  </w:divsChild>
                                                </w:div>
                                                <w:div w:id="1622567812">
                                                  <w:marLeft w:val="0"/>
                                                  <w:marRight w:val="0"/>
                                                  <w:marTop w:val="0"/>
                                                  <w:marBottom w:val="0"/>
                                                  <w:divBdr>
                                                    <w:top w:val="none" w:sz="0" w:space="0" w:color="auto"/>
                                                    <w:left w:val="none" w:sz="0" w:space="0" w:color="auto"/>
                                                    <w:bottom w:val="none" w:sz="0" w:space="0" w:color="auto"/>
                                                    <w:right w:val="none" w:sz="0" w:space="0" w:color="auto"/>
                                                  </w:divBdr>
                                                  <w:divsChild>
                                                    <w:div w:id="1007758212">
                                                      <w:marLeft w:val="0"/>
                                                      <w:marRight w:val="0"/>
                                                      <w:marTop w:val="120"/>
                                                      <w:marBottom w:val="0"/>
                                                      <w:divBdr>
                                                        <w:top w:val="none" w:sz="0" w:space="0" w:color="auto"/>
                                                        <w:left w:val="none" w:sz="0" w:space="0" w:color="auto"/>
                                                        <w:bottom w:val="none" w:sz="0" w:space="0" w:color="auto"/>
                                                        <w:right w:val="none" w:sz="0" w:space="0" w:color="auto"/>
                                                      </w:divBdr>
                                                    </w:div>
                                                    <w:div w:id="2081322582">
                                                      <w:marLeft w:val="0"/>
                                                      <w:marRight w:val="0"/>
                                                      <w:marTop w:val="0"/>
                                                      <w:marBottom w:val="0"/>
                                                      <w:divBdr>
                                                        <w:top w:val="none" w:sz="0" w:space="0" w:color="auto"/>
                                                        <w:left w:val="none" w:sz="0" w:space="0" w:color="auto"/>
                                                        <w:bottom w:val="none" w:sz="0" w:space="0" w:color="auto"/>
                                                        <w:right w:val="none" w:sz="0" w:space="0" w:color="auto"/>
                                                      </w:divBdr>
                                                    </w:div>
                                                  </w:divsChild>
                                                </w:div>
                                                <w:div w:id="1701735114">
                                                  <w:marLeft w:val="0"/>
                                                  <w:marRight w:val="0"/>
                                                  <w:marTop w:val="0"/>
                                                  <w:marBottom w:val="0"/>
                                                  <w:divBdr>
                                                    <w:top w:val="none" w:sz="0" w:space="0" w:color="auto"/>
                                                    <w:left w:val="none" w:sz="0" w:space="0" w:color="auto"/>
                                                    <w:bottom w:val="none" w:sz="0" w:space="0" w:color="auto"/>
                                                    <w:right w:val="none" w:sz="0" w:space="0" w:color="auto"/>
                                                  </w:divBdr>
                                                  <w:divsChild>
                                                    <w:div w:id="1498038883">
                                                      <w:marLeft w:val="0"/>
                                                      <w:marRight w:val="0"/>
                                                      <w:marTop w:val="120"/>
                                                      <w:marBottom w:val="0"/>
                                                      <w:divBdr>
                                                        <w:top w:val="none" w:sz="0" w:space="0" w:color="auto"/>
                                                        <w:left w:val="none" w:sz="0" w:space="0" w:color="auto"/>
                                                        <w:bottom w:val="none" w:sz="0" w:space="0" w:color="auto"/>
                                                        <w:right w:val="none" w:sz="0" w:space="0" w:color="auto"/>
                                                      </w:divBdr>
                                                    </w:div>
                                                    <w:div w:id="20563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832949">
                                          <w:marLeft w:val="0"/>
                                          <w:marRight w:val="0"/>
                                          <w:marTop w:val="0"/>
                                          <w:marBottom w:val="0"/>
                                          <w:divBdr>
                                            <w:top w:val="none" w:sz="0" w:space="0" w:color="auto"/>
                                            <w:left w:val="none" w:sz="0" w:space="0" w:color="auto"/>
                                            <w:bottom w:val="none" w:sz="0" w:space="0" w:color="auto"/>
                                            <w:right w:val="none" w:sz="0" w:space="0" w:color="auto"/>
                                          </w:divBdr>
                                          <w:divsChild>
                                            <w:div w:id="1003241586">
                                              <w:marLeft w:val="0"/>
                                              <w:marRight w:val="0"/>
                                              <w:marTop w:val="120"/>
                                              <w:marBottom w:val="0"/>
                                              <w:divBdr>
                                                <w:top w:val="none" w:sz="0" w:space="0" w:color="auto"/>
                                                <w:left w:val="none" w:sz="0" w:space="0" w:color="auto"/>
                                                <w:bottom w:val="none" w:sz="0" w:space="0" w:color="auto"/>
                                                <w:right w:val="none" w:sz="0" w:space="0" w:color="auto"/>
                                              </w:divBdr>
                                            </w:div>
                                            <w:div w:id="615871370">
                                              <w:marLeft w:val="0"/>
                                              <w:marRight w:val="0"/>
                                              <w:marTop w:val="0"/>
                                              <w:marBottom w:val="0"/>
                                              <w:divBdr>
                                                <w:top w:val="none" w:sz="0" w:space="0" w:color="auto"/>
                                                <w:left w:val="none" w:sz="0" w:space="0" w:color="auto"/>
                                                <w:bottom w:val="none" w:sz="0" w:space="0" w:color="auto"/>
                                                <w:right w:val="none" w:sz="0" w:space="0" w:color="auto"/>
                                              </w:divBdr>
                                              <w:divsChild>
                                                <w:div w:id="82655888">
                                                  <w:marLeft w:val="0"/>
                                                  <w:marRight w:val="0"/>
                                                  <w:marTop w:val="0"/>
                                                  <w:marBottom w:val="0"/>
                                                  <w:divBdr>
                                                    <w:top w:val="none" w:sz="0" w:space="0" w:color="auto"/>
                                                    <w:left w:val="none" w:sz="0" w:space="0" w:color="auto"/>
                                                    <w:bottom w:val="none" w:sz="0" w:space="0" w:color="auto"/>
                                                    <w:right w:val="none" w:sz="0" w:space="0" w:color="auto"/>
                                                  </w:divBdr>
                                                  <w:divsChild>
                                                    <w:div w:id="2117362813">
                                                      <w:marLeft w:val="0"/>
                                                      <w:marRight w:val="0"/>
                                                      <w:marTop w:val="120"/>
                                                      <w:marBottom w:val="0"/>
                                                      <w:divBdr>
                                                        <w:top w:val="none" w:sz="0" w:space="0" w:color="auto"/>
                                                        <w:left w:val="none" w:sz="0" w:space="0" w:color="auto"/>
                                                        <w:bottom w:val="none" w:sz="0" w:space="0" w:color="auto"/>
                                                        <w:right w:val="none" w:sz="0" w:space="0" w:color="auto"/>
                                                      </w:divBdr>
                                                    </w:div>
                                                    <w:div w:id="1110201563">
                                                      <w:marLeft w:val="0"/>
                                                      <w:marRight w:val="0"/>
                                                      <w:marTop w:val="0"/>
                                                      <w:marBottom w:val="0"/>
                                                      <w:divBdr>
                                                        <w:top w:val="none" w:sz="0" w:space="0" w:color="auto"/>
                                                        <w:left w:val="none" w:sz="0" w:space="0" w:color="auto"/>
                                                        <w:bottom w:val="none" w:sz="0" w:space="0" w:color="auto"/>
                                                        <w:right w:val="none" w:sz="0" w:space="0" w:color="auto"/>
                                                      </w:divBdr>
                                                    </w:div>
                                                  </w:divsChild>
                                                </w:div>
                                                <w:div w:id="1191607389">
                                                  <w:marLeft w:val="0"/>
                                                  <w:marRight w:val="0"/>
                                                  <w:marTop w:val="0"/>
                                                  <w:marBottom w:val="0"/>
                                                  <w:divBdr>
                                                    <w:top w:val="none" w:sz="0" w:space="0" w:color="auto"/>
                                                    <w:left w:val="none" w:sz="0" w:space="0" w:color="auto"/>
                                                    <w:bottom w:val="none" w:sz="0" w:space="0" w:color="auto"/>
                                                    <w:right w:val="none" w:sz="0" w:space="0" w:color="auto"/>
                                                  </w:divBdr>
                                                  <w:divsChild>
                                                    <w:div w:id="1217545599">
                                                      <w:marLeft w:val="0"/>
                                                      <w:marRight w:val="0"/>
                                                      <w:marTop w:val="120"/>
                                                      <w:marBottom w:val="0"/>
                                                      <w:divBdr>
                                                        <w:top w:val="none" w:sz="0" w:space="0" w:color="auto"/>
                                                        <w:left w:val="none" w:sz="0" w:space="0" w:color="auto"/>
                                                        <w:bottom w:val="none" w:sz="0" w:space="0" w:color="auto"/>
                                                        <w:right w:val="none" w:sz="0" w:space="0" w:color="auto"/>
                                                      </w:divBdr>
                                                    </w:div>
                                                    <w:div w:id="649334243">
                                                      <w:marLeft w:val="0"/>
                                                      <w:marRight w:val="0"/>
                                                      <w:marTop w:val="0"/>
                                                      <w:marBottom w:val="0"/>
                                                      <w:divBdr>
                                                        <w:top w:val="none" w:sz="0" w:space="0" w:color="auto"/>
                                                        <w:left w:val="none" w:sz="0" w:space="0" w:color="auto"/>
                                                        <w:bottom w:val="none" w:sz="0" w:space="0" w:color="auto"/>
                                                        <w:right w:val="none" w:sz="0" w:space="0" w:color="auto"/>
                                                      </w:divBdr>
                                                    </w:div>
                                                  </w:divsChild>
                                                </w:div>
                                                <w:div w:id="390495558">
                                                  <w:marLeft w:val="0"/>
                                                  <w:marRight w:val="0"/>
                                                  <w:marTop w:val="0"/>
                                                  <w:marBottom w:val="0"/>
                                                  <w:divBdr>
                                                    <w:top w:val="none" w:sz="0" w:space="0" w:color="auto"/>
                                                    <w:left w:val="none" w:sz="0" w:space="0" w:color="auto"/>
                                                    <w:bottom w:val="none" w:sz="0" w:space="0" w:color="auto"/>
                                                    <w:right w:val="none" w:sz="0" w:space="0" w:color="auto"/>
                                                  </w:divBdr>
                                                  <w:divsChild>
                                                    <w:div w:id="997197709">
                                                      <w:marLeft w:val="0"/>
                                                      <w:marRight w:val="0"/>
                                                      <w:marTop w:val="120"/>
                                                      <w:marBottom w:val="0"/>
                                                      <w:divBdr>
                                                        <w:top w:val="none" w:sz="0" w:space="0" w:color="auto"/>
                                                        <w:left w:val="none" w:sz="0" w:space="0" w:color="auto"/>
                                                        <w:bottom w:val="none" w:sz="0" w:space="0" w:color="auto"/>
                                                        <w:right w:val="none" w:sz="0" w:space="0" w:color="auto"/>
                                                      </w:divBdr>
                                                    </w:div>
                                                    <w:div w:id="11384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631140">
                                          <w:marLeft w:val="0"/>
                                          <w:marRight w:val="0"/>
                                          <w:marTop w:val="0"/>
                                          <w:marBottom w:val="0"/>
                                          <w:divBdr>
                                            <w:top w:val="none" w:sz="0" w:space="0" w:color="auto"/>
                                            <w:left w:val="none" w:sz="0" w:space="0" w:color="auto"/>
                                            <w:bottom w:val="none" w:sz="0" w:space="0" w:color="auto"/>
                                            <w:right w:val="none" w:sz="0" w:space="0" w:color="auto"/>
                                          </w:divBdr>
                                          <w:divsChild>
                                            <w:div w:id="1954700626">
                                              <w:marLeft w:val="0"/>
                                              <w:marRight w:val="0"/>
                                              <w:marTop w:val="120"/>
                                              <w:marBottom w:val="0"/>
                                              <w:divBdr>
                                                <w:top w:val="none" w:sz="0" w:space="0" w:color="auto"/>
                                                <w:left w:val="none" w:sz="0" w:space="0" w:color="auto"/>
                                                <w:bottom w:val="none" w:sz="0" w:space="0" w:color="auto"/>
                                                <w:right w:val="none" w:sz="0" w:space="0" w:color="auto"/>
                                              </w:divBdr>
                                            </w:div>
                                            <w:div w:id="1174958660">
                                              <w:marLeft w:val="0"/>
                                              <w:marRight w:val="0"/>
                                              <w:marTop w:val="0"/>
                                              <w:marBottom w:val="0"/>
                                              <w:divBdr>
                                                <w:top w:val="none" w:sz="0" w:space="0" w:color="auto"/>
                                                <w:left w:val="none" w:sz="0" w:space="0" w:color="auto"/>
                                                <w:bottom w:val="none" w:sz="0" w:space="0" w:color="auto"/>
                                                <w:right w:val="none" w:sz="0" w:space="0" w:color="auto"/>
                                              </w:divBdr>
                                            </w:div>
                                          </w:divsChild>
                                        </w:div>
                                        <w:div w:id="1485968183">
                                          <w:marLeft w:val="0"/>
                                          <w:marRight w:val="0"/>
                                          <w:marTop w:val="0"/>
                                          <w:marBottom w:val="0"/>
                                          <w:divBdr>
                                            <w:top w:val="none" w:sz="0" w:space="0" w:color="auto"/>
                                            <w:left w:val="none" w:sz="0" w:space="0" w:color="auto"/>
                                            <w:bottom w:val="none" w:sz="0" w:space="0" w:color="auto"/>
                                            <w:right w:val="none" w:sz="0" w:space="0" w:color="auto"/>
                                          </w:divBdr>
                                          <w:divsChild>
                                            <w:div w:id="1149907219">
                                              <w:marLeft w:val="0"/>
                                              <w:marRight w:val="0"/>
                                              <w:marTop w:val="120"/>
                                              <w:marBottom w:val="0"/>
                                              <w:divBdr>
                                                <w:top w:val="none" w:sz="0" w:space="0" w:color="auto"/>
                                                <w:left w:val="none" w:sz="0" w:space="0" w:color="auto"/>
                                                <w:bottom w:val="none" w:sz="0" w:space="0" w:color="auto"/>
                                                <w:right w:val="none" w:sz="0" w:space="0" w:color="auto"/>
                                              </w:divBdr>
                                            </w:div>
                                            <w:div w:id="270403667">
                                              <w:marLeft w:val="0"/>
                                              <w:marRight w:val="0"/>
                                              <w:marTop w:val="0"/>
                                              <w:marBottom w:val="0"/>
                                              <w:divBdr>
                                                <w:top w:val="none" w:sz="0" w:space="0" w:color="auto"/>
                                                <w:left w:val="none" w:sz="0" w:space="0" w:color="auto"/>
                                                <w:bottom w:val="none" w:sz="0" w:space="0" w:color="auto"/>
                                                <w:right w:val="none" w:sz="0" w:space="0" w:color="auto"/>
                                              </w:divBdr>
                                              <w:divsChild>
                                                <w:div w:id="98333515">
                                                  <w:marLeft w:val="0"/>
                                                  <w:marRight w:val="0"/>
                                                  <w:marTop w:val="0"/>
                                                  <w:marBottom w:val="0"/>
                                                  <w:divBdr>
                                                    <w:top w:val="none" w:sz="0" w:space="0" w:color="auto"/>
                                                    <w:left w:val="none" w:sz="0" w:space="0" w:color="auto"/>
                                                    <w:bottom w:val="none" w:sz="0" w:space="0" w:color="auto"/>
                                                    <w:right w:val="none" w:sz="0" w:space="0" w:color="auto"/>
                                                  </w:divBdr>
                                                  <w:divsChild>
                                                    <w:div w:id="983388637">
                                                      <w:marLeft w:val="0"/>
                                                      <w:marRight w:val="0"/>
                                                      <w:marTop w:val="120"/>
                                                      <w:marBottom w:val="0"/>
                                                      <w:divBdr>
                                                        <w:top w:val="none" w:sz="0" w:space="0" w:color="auto"/>
                                                        <w:left w:val="none" w:sz="0" w:space="0" w:color="auto"/>
                                                        <w:bottom w:val="none" w:sz="0" w:space="0" w:color="auto"/>
                                                        <w:right w:val="none" w:sz="0" w:space="0" w:color="auto"/>
                                                      </w:divBdr>
                                                    </w:div>
                                                    <w:div w:id="764497015">
                                                      <w:marLeft w:val="0"/>
                                                      <w:marRight w:val="0"/>
                                                      <w:marTop w:val="0"/>
                                                      <w:marBottom w:val="0"/>
                                                      <w:divBdr>
                                                        <w:top w:val="none" w:sz="0" w:space="0" w:color="auto"/>
                                                        <w:left w:val="none" w:sz="0" w:space="0" w:color="auto"/>
                                                        <w:bottom w:val="none" w:sz="0" w:space="0" w:color="auto"/>
                                                        <w:right w:val="none" w:sz="0" w:space="0" w:color="auto"/>
                                                      </w:divBdr>
                                                    </w:div>
                                                  </w:divsChild>
                                                </w:div>
                                                <w:div w:id="752824176">
                                                  <w:marLeft w:val="0"/>
                                                  <w:marRight w:val="0"/>
                                                  <w:marTop w:val="0"/>
                                                  <w:marBottom w:val="0"/>
                                                  <w:divBdr>
                                                    <w:top w:val="none" w:sz="0" w:space="0" w:color="auto"/>
                                                    <w:left w:val="none" w:sz="0" w:space="0" w:color="auto"/>
                                                    <w:bottom w:val="none" w:sz="0" w:space="0" w:color="auto"/>
                                                    <w:right w:val="none" w:sz="0" w:space="0" w:color="auto"/>
                                                  </w:divBdr>
                                                  <w:divsChild>
                                                    <w:div w:id="901477673">
                                                      <w:marLeft w:val="0"/>
                                                      <w:marRight w:val="0"/>
                                                      <w:marTop w:val="120"/>
                                                      <w:marBottom w:val="0"/>
                                                      <w:divBdr>
                                                        <w:top w:val="none" w:sz="0" w:space="0" w:color="auto"/>
                                                        <w:left w:val="none" w:sz="0" w:space="0" w:color="auto"/>
                                                        <w:bottom w:val="none" w:sz="0" w:space="0" w:color="auto"/>
                                                        <w:right w:val="none" w:sz="0" w:space="0" w:color="auto"/>
                                                      </w:divBdr>
                                                    </w:div>
                                                    <w:div w:id="1240140088">
                                                      <w:marLeft w:val="0"/>
                                                      <w:marRight w:val="0"/>
                                                      <w:marTop w:val="0"/>
                                                      <w:marBottom w:val="0"/>
                                                      <w:divBdr>
                                                        <w:top w:val="none" w:sz="0" w:space="0" w:color="auto"/>
                                                        <w:left w:val="none" w:sz="0" w:space="0" w:color="auto"/>
                                                        <w:bottom w:val="none" w:sz="0" w:space="0" w:color="auto"/>
                                                        <w:right w:val="none" w:sz="0" w:space="0" w:color="auto"/>
                                                      </w:divBdr>
                                                    </w:div>
                                                  </w:divsChild>
                                                </w:div>
                                                <w:div w:id="928973381">
                                                  <w:marLeft w:val="0"/>
                                                  <w:marRight w:val="0"/>
                                                  <w:marTop w:val="0"/>
                                                  <w:marBottom w:val="0"/>
                                                  <w:divBdr>
                                                    <w:top w:val="none" w:sz="0" w:space="0" w:color="auto"/>
                                                    <w:left w:val="none" w:sz="0" w:space="0" w:color="auto"/>
                                                    <w:bottom w:val="none" w:sz="0" w:space="0" w:color="auto"/>
                                                    <w:right w:val="none" w:sz="0" w:space="0" w:color="auto"/>
                                                  </w:divBdr>
                                                  <w:divsChild>
                                                    <w:div w:id="1760519833">
                                                      <w:marLeft w:val="0"/>
                                                      <w:marRight w:val="0"/>
                                                      <w:marTop w:val="120"/>
                                                      <w:marBottom w:val="0"/>
                                                      <w:divBdr>
                                                        <w:top w:val="none" w:sz="0" w:space="0" w:color="auto"/>
                                                        <w:left w:val="none" w:sz="0" w:space="0" w:color="auto"/>
                                                        <w:bottom w:val="none" w:sz="0" w:space="0" w:color="auto"/>
                                                        <w:right w:val="none" w:sz="0" w:space="0" w:color="auto"/>
                                                      </w:divBdr>
                                                    </w:div>
                                                    <w:div w:id="29815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494450">
                                          <w:marLeft w:val="0"/>
                                          <w:marRight w:val="0"/>
                                          <w:marTop w:val="0"/>
                                          <w:marBottom w:val="0"/>
                                          <w:divBdr>
                                            <w:top w:val="none" w:sz="0" w:space="0" w:color="auto"/>
                                            <w:left w:val="none" w:sz="0" w:space="0" w:color="auto"/>
                                            <w:bottom w:val="none" w:sz="0" w:space="0" w:color="auto"/>
                                            <w:right w:val="none" w:sz="0" w:space="0" w:color="auto"/>
                                          </w:divBdr>
                                          <w:divsChild>
                                            <w:div w:id="783768497">
                                              <w:marLeft w:val="0"/>
                                              <w:marRight w:val="0"/>
                                              <w:marTop w:val="120"/>
                                              <w:marBottom w:val="0"/>
                                              <w:divBdr>
                                                <w:top w:val="none" w:sz="0" w:space="0" w:color="auto"/>
                                                <w:left w:val="none" w:sz="0" w:space="0" w:color="auto"/>
                                                <w:bottom w:val="none" w:sz="0" w:space="0" w:color="auto"/>
                                                <w:right w:val="none" w:sz="0" w:space="0" w:color="auto"/>
                                              </w:divBdr>
                                            </w:div>
                                            <w:div w:id="710299051">
                                              <w:marLeft w:val="0"/>
                                              <w:marRight w:val="0"/>
                                              <w:marTop w:val="0"/>
                                              <w:marBottom w:val="0"/>
                                              <w:divBdr>
                                                <w:top w:val="none" w:sz="0" w:space="0" w:color="auto"/>
                                                <w:left w:val="none" w:sz="0" w:space="0" w:color="auto"/>
                                                <w:bottom w:val="none" w:sz="0" w:space="0" w:color="auto"/>
                                                <w:right w:val="none" w:sz="0" w:space="0" w:color="auto"/>
                                              </w:divBdr>
                                            </w:div>
                                          </w:divsChild>
                                        </w:div>
                                        <w:div w:id="1267276278">
                                          <w:marLeft w:val="0"/>
                                          <w:marRight w:val="0"/>
                                          <w:marTop w:val="0"/>
                                          <w:marBottom w:val="0"/>
                                          <w:divBdr>
                                            <w:top w:val="none" w:sz="0" w:space="0" w:color="auto"/>
                                            <w:left w:val="none" w:sz="0" w:space="0" w:color="auto"/>
                                            <w:bottom w:val="none" w:sz="0" w:space="0" w:color="auto"/>
                                            <w:right w:val="none" w:sz="0" w:space="0" w:color="auto"/>
                                          </w:divBdr>
                                          <w:divsChild>
                                            <w:div w:id="39787196">
                                              <w:marLeft w:val="0"/>
                                              <w:marRight w:val="0"/>
                                              <w:marTop w:val="120"/>
                                              <w:marBottom w:val="0"/>
                                              <w:divBdr>
                                                <w:top w:val="none" w:sz="0" w:space="0" w:color="auto"/>
                                                <w:left w:val="none" w:sz="0" w:space="0" w:color="auto"/>
                                                <w:bottom w:val="none" w:sz="0" w:space="0" w:color="auto"/>
                                                <w:right w:val="none" w:sz="0" w:space="0" w:color="auto"/>
                                              </w:divBdr>
                                            </w:div>
                                            <w:div w:id="82647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31773">
                                  <w:marLeft w:val="0"/>
                                  <w:marRight w:val="0"/>
                                  <w:marTop w:val="0"/>
                                  <w:marBottom w:val="0"/>
                                  <w:divBdr>
                                    <w:top w:val="none" w:sz="0" w:space="0" w:color="auto"/>
                                    <w:left w:val="none" w:sz="0" w:space="0" w:color="auto"/>
                                    <w:bottom w:val="none" w:sz="0" w:space="0" w:color="auto"/>
                                    <w:right w:val="none" w:sz="0" w:space="0" w:color="auto"/>
                                  </w:divBdr>
                                  <w:divsChild>
                                    <w:div w:id="423765467">
                                      <w:marLeft w:val="0"/>
                                      <w:marRight w:val="0"/>
                                      <w:marTop w:val="120"/>
                                      <w:marBottom w:val="0"/>
                                      <w:divBdr>
                                        <w:top w:val="none" w:sz="0" w:space="0" w:color="auto"/>
                                        <w:left w:val="none" w:sz="0" w:space="0" w:color="auto"/>
                                        <w:bottom w:val="none" w:sz="0" w:space="0" w:color="auto"/>
                                        <w:right w:val="none" w:sz="0" w:space="0" w:color="auto"/>
                                      </w:divBdr>
                                    </w:div>
                                    <w:div w:id="1591500520">
                                      <w:marLeft w:val="0"/>
                                      <w:marRight w:val="0"/>
                                      <w:marTop w:val="0"/>
                                      <w:marBottom w:val="0"/>
                                      <w:divBdr>
                                        <w:top w:val="none" w:sz="0" w:space="0" w:color="auto"/>
                                        <w:left w:val="none" w:sz="0" w:space="0" w:color="auto"/>
                                        <w:bottom w:val="none" w:sz="0" w:space="0" w:color="auto"/>
                                        <w:right w:val="none" w:sz="0" w:space="0" w:color="auto"/>
                                      </w:divBdr>
                                    </w:div>
                                  </w:divsChild>
                                </w:div>
                                <w:div w:id="1286618778">
                                  <w:marLeft w:val="0"/>
                                  <w:marRight w:val="0"/>
                                  <w:marTop w:val="0"/>
                                  <w:marBottom w:val="0"/>
                                  <w:divBdr>
                                    <w:top w:val="none" w:sz="0" w:space="0" w:color="auto"/>
                                    <w:left w:val="none" w:sz="0" w:space="0" w:color="auto"/>
                                    <w:bottom w:val="none" w:sz="0" w:space="0" w:color="auto"/>
                                    <w:right w:val="none" w:sz="0" w:space="0" w:color="auto"/>
                                  </w:divBdr>
                                  <w:divsChild>
                                    <w:div w:id="2068262789">
                                      <w:marLeft w:val="0"/>
                                      <w:marRight w:val="0"/>
                                      <w:marTop w:val="120"/>
                                      <w:marBottom w:val="0"/>
                                      <w:divBdr>
                                        <w:top w:val="none" w:sz="0" w:space="0" w:color="auto"/>
                                        <w:left w:val="none" w:sz="0" w:space="0" w:color="auto"/>
                                        <w:bottom w:val="none" w:sz="0" w:space="0" w:color="auto"/>
                                        <w:right w:val="none" w:sz="0" w:space="0" w:color="auto"/>
                                      </w:divBdr>
                                    </w:div>
                                    <w:div w:id="696854749">
                                      <w:marLeft w:val="0"/>
                                      <w:marRight w:val="0"/>
                                      <w:marTop w:val="0"/>
                                      <w:marBottom w:val="0"/>
                                      <w:divBdr>
                                        <w:top w:val="none" w:sz="0" w:space="0" w:color="auto"/>
                                        <w:left w:val="none" w:sz="0" w:space="0" w:color="auto"/>
                                        <w:bottom w:val="none" w:sz="0" w:space="0" w:color="auto"/>
                                        <w:right w:val="none" w:sz="0" w:space="0" w:color="auto"/>
                                      </w:divBdr>
                                    </w:div>
                                  </w:divsChild>
                                </w:div>
                                <w:div w:id="711854123">
                                  <w:marLeft w:val="0"/>
                                  <w:marRight w:val="0"/>
                                  <w:marTop w:val="0"/>
                                  <w:marBottom w:val="0"/>
                                  <w:divBdr>
                                    <w:top w:val="none" w:sz="0" w:space="0" w:color="auto"/>
                                    <w:left w:val="none" w:sz="0" w:space="0" w:color="auto"/>
                                    <w:bottom w:val="none" w:sz="0" w:space="0" w:color="auto"/>
                                    <w:right w:val="none" w:sz="0" w:space="0" w:color="auto"/>
                                  </w:divBdr>
                                  <w:divsChild>
                                    <w:div w:id="1106802844">
                                      <w:marLeft w:val="0"/>
                                      <w:marRight w:val="0"/>
                                      <w:marTop w:val="120"/>
                                      <w:marBottom w:val="0"/>
                                      <w:divBdr>
                                        <w:top w:val="none" w:sz="0" w:space="0" w:color="auto"/>
                                        <w:left w:val="none" w:sz="0" w:space="0" w:color="auto"/>
                                        <w:bottom w:val="none" w:sz="0" w:space="0" w:color="auto"/>
                                        <w:right w:val="none" w:sz="0" w:space="0" w:color="auto"/>
                                      </w:divBdr>
                                    </w:div>
                                    <w:div w:id="698747065">
                                      <w:marLeft w:val="0"/>
                                      <w:marRight w:val="0"/>
                                      <w:marTop w:val="0"/>
                                      <w:marBottom w:val="0"/>
                                      <w:divBdr>
                                        <w:top w:val="none" w:sz="0" w:space="0" w:color="auto"/>
                                        <w:left w:val="none" w:sz="0" w:space="0" w:color="auto"/>
                                        <w:bottom w:val="none" w:sz="0" w:space="0" w:color="auto"/>
                                        <w:right w:val="none" w:sz="0" w:space="0" w:color="auto"/>
                                      </w:divBdr>
                                    </w:div>
                                  </w:divsChild>
                                </w:div>
                                <w:div w:id="384570478">
                                  <w:marLeft w:val="0"/>
                                  <w:marRight w:val="0"/>
                                  <w:marTop w:val="0"/>
                                  <w:marBottom w:val="0"/>
                                  <w:divBdr>
                                    <w:top w:val="none" w:sz="0" w:space="0" w:color="auto"/>
                                    <w:left w:val="none" w:sz="0" w:space="0" w:color="auto"/>
                                    <w:bottom w:val="none" w:sz="0" w:space="0" w:color="auto"/>
                                    <w:right w:val="none" w:sz="0" w:space="0" w:color="auto"/>
                                  </w:divBdr>
                                  <w:divsChild>
                                    <w:div w:id="1834375565">
                                      <w:marLeft w:val="0"/>
                                      <w:marRight w:val="0"/>
                                      <w:marTop w:val="120"/>
                                      <w:marBottom w:val="0"/>
                                      <w:divBdr>
                                        <w:top w:val="none" w:sz="0" w:space="0" w:color="auto"/>
                                        <w:left w:val="none" w:sz="0" w:space="0" w:color="auto"/>
                                        <w:bottom w:val="none" w:sz="0" w:space="0" w:color="auto"/>
                                        <w:right w:val="none" w:sz="0" w:space="0" w:color="auto"/>
                                      </w:divBdr>
                                    </w:div>
                                    <w:div w:id="724837909">
                                      <w:marLeft w:val="0"/>
                                      <w:marRight w:val="0"/>
                                      <w:marTop w:val="0"/>
                                      <w:marBottom w:val="0"/>
                                      <w:divBdr>
                                        <w:top w:val="none" w:sz="0" w:space="0" w:color="auto"/>
                                        <w:left w:val="none" w:sz="0" w:space="0" w:color="auto"/>
                                        <w:bottom w:val="none" w:sz="0" w:space="0" w:color="auto"/>
                                        <w:right w:val="none" w:sz="0" w:space="0" w:color="auto"/>
                                      </w:divBdr>
                                    </w:div>
                                  </w:divsChild>
                                </w:div>
                                <w:div w:id="573390762">
                                  <w:marLeft w:val="0"/>
                                  <w:marRight w:val="0"/>
                                  <w:marTop w:val="0"/>
                                  <w:marBottom w:val="0"/>
                                  <w:divBdr>
                                    <w:top w:val="none" w:sz="0" w:space="0" w:color="auto"/>
                                    <w:left w:val="none" w:sz="0" w:space="0" w:color="auto"/>
                                    <w:bottom w:val="none" w:sz="0" w:space="0" w:color="auto"/>
                                    <w:right w:val="none" w:sz="0" w:space="0" w:color="auto"/>
                                  </w:divBdr>
                                  <w:divsChild>
                                    <w:div w:id="1159493364">
                                      <w:marLeft w:val="0"/>
                                      <w:marRight w:val="0"/>
                                      <w:marTop w:val="120"/>
                                      <w:marBottom w:val="0"/>
                                      <w:divBdr>
                                        <w:top w:val="none" w:sz="0" w:space="0" w:color="auto"/>
                                        <w:left w:val="none" w:sz="0" w:space="0" w:color="auto"/>
                                        <w:bottom w:val="none" w:sz="0" w:space="0" w:color="auto"/>
                                        <w:right w:val="none" w:sz="0" w:space="0" w:color="auto"/>
                                      </w:divBdr>
                                    </w:div>
                                    <w:div w:id="745540553">
                                      <w:marLeft w:val="0"/>
                                      <w:marRight w:val="0"/>
                                      <w:marTop w:val="0"/>
                                      <w:marBottom w:val="0"/>
                                      <w:divBdr>
                                        <w:top w:val="none" w:sz="0" w:space="0" w:color="auto"/>
                                        <w:left w:val="none" w:sz="0" w:space="0" w:color="auto"/>
                                        <w:bottom w:val="none" w:sz="0" w:space="0" w:color="auto"/>
                                        <w:right w:val="none" w:sz="0" w:space="0" w:color="auto"/>
                                      </w:divBdr>
                                    </w:div>
                                  </w:divsChild>
                                </w:div>
                                <w:div w:id="1389106295">
                                  <w:marLeft w:val="0"/>
                                  <w:marRight w:val="0"/>
                                  <w:marTop w:val="0"/>
                                  <w:marBottom w:val="0"/>
                                  <w:divBdr>
                                    <w:top w:val="none" w:sz="0" w:space="0" w:color="auto"/>
                                    <w:left w:val="none" w:sz="0" w:space="0" w:color="auto"/>
                                    <w:bottom w:val="none" w:sz="0" w:space="0" w:color="auto"/>
                                    <w:right w:val="none" w:sz="0" w:space="0" w:color="auto"/>
                                  </w:divBdr>
                                  <w:divsChild>
                                    <w:div w:id="1845627644">
                                      <w:marLeft w:val="0"/>
                                      <w:marRight w:val="0"/>
                                      <w:marTop w:val="120"/>
                                      <w:marBottom w:val="0"/>
                                      <w:divBdr>
                                        <w:top w:val="none" w:sz="0" w:space="0" w:color="auto"/>
                                        <w:left w:val="none" w:sz="0" w:space="0" w:color="auto"/>
                                        <w:bottom w:val="none" w:sz="0" w:space="0" w:color="auto"/>
                                        <w:right w:val="none" w:sz="0" w:space="0" w:color="auto"/>
                                      </w:divBdr>
                                    </w:div>
                                    <w:div w:id="1820415254">
                                      <w:marLeft w:val="0"/>
                                      <w:marRight w:val="0"/>
                                      <w:marTop w:val="0"/>
                                      <w:marBottom w:val="0"/>
                                      <w:divBdr>
                                        <w:top w:val="none" w:sz="0" w:space="0" w:color="auto"/>
                                        <w:left w:val="none" w:sz="0" w:space="0" w:color="auto"/>
                                        <w:bottom w:val="none" w:sz="0" w:space="0" w:color="auto"/>
                                        <w:right w:val="none" w:sz="0" w:space="0" w:color="auto"/>
                                      </w:divBdr>
                                    </w:div>
                                  </w:divsChild>
                                </w:div>
                                <w:div w:id="1173181166">
                                  <w:marLeft w:val="0"/>
                                  <w:marRight w:val="0"/>
                                  <w:marTop w:val="0"/>
                                  <w:marBottom w:val="0"/>
                                  <w:divBdr>
                                    <w:top w:val="none" w:sz="0" w:space="0" w:color="auto"/>
                                    <w:left w:val="none" w:sz="0" w:space="0" w:color="auto"/>
                                    <w:bottom w:val="none" w:sz="0" w:space="0" w:color="auto"/>
                                    <w:right w:val="none" w:sz="0" w:space="0" w:color="auto"/>
                                  </w:divBdr>
                                  <w:divsChild>
                                    <w:div w:id="960306772">
                                      <w:marLeft w:val="0"/>
                                      <w:marRight w:val="0"/>
                                      <w:marTop w:val="120"/>
                                      <w:marBottom w:val="0"/>
                                      <w:divBdr>
                                        <w:top w:val="none" w:sz="0" w:space="0" w:color="auto"/>
                                        <w:left w:val="none" w:sz="0" w:space="0" w:color="auto"/>
                                        <w:bottom w:val="none" w:sz="0" w:space="0" w:color="auto"/>
                                        <w:right w:val="none" w:sz="0" w:space="0" w:color="auto"/>
                                      </w:divBdr>
                                    </w:div>
                                    <w:div w:id="189415090">
                                      <w:marLeft w:val="0"/>
                                      <w:marRight w:val="0"/>
                                      <w:marTop w:val="0"/>
                                      <w:marBottom w:val="0"/>
                                      <w:divBdr>
                                        <w:top w:val="none" w:sz="0" w:space="0" w:color="auto"/>
                                        <w:left w:val="none" w:sz="0" w:space="0" w:color="auto"/>
                                        <w:bottom w:val="none" w:sz="0" w:space="0" w:color="auto"/>
                                        <w:right w:val="none" w:sz="0" w:space="0" w:color="auto"/>
                                      </w:divBdr>
                                    </w:div>
                                  </w:divsChild>
                                </w:div>
                                <w:div w:id="2102986018">
                                  <w:marLeft w:val="0"/>
                                  <w:marRight w:val="0"/>
                                  <w:marTop w:val="0"/>
                                  <w:marBottom w:val="0"/>
                                  <w:divBdr>
                                    <w:top w:val="none" w:sz="0" w:space="0" w:color="auto"/>
                                    <w:left w:val="none" w:sz="0" w:space="0" w:color="auto"/>
                                    <w:bottom w:val="none" w:sz="0" w:space="0" w:color="auto"/>
                                    <w:right w:val="none" w:sz="0" w:space="0" w:color="auto"/>
                                  </w:divBdr>
                                  <w:divsChild>
                                    <w:div w:id="538668137">
                                      <w:marLeft w:val="0"/>
                                      <w:marRight w:val="0"/>
                                      <w:marTop w:val="120"/>
                                      <w:marBottom w:val="0"/>
                                      <w:divBdr>
                                        <w:top w:val="none" w:sz="0" w:space="0" w:color="auto"/>
                                        <w:left w:val="none" w:sz="0" w:space="0" w:color="auto"/>
                                        <w:bottom w:val="none" w:sz="0" w:space="0" w:color="auto"/>
                                        <w:right w:val="none" w:sz="0" w:space="0" w:color="auto"/>
                                      </w:divBdr>
                                    </w:div>
                                    <w:div w:id="576405728">
                                      <w:marLeft w:val="0"/>
                                      <w:marRight w:val="0"/>
                                      <w:marTop w:val="0"/>
                                      <w:marBottom w:val="0"/>
                                      <w:divBdr>
                                        <w:top w:val="none" w:sz="0" w:space="0" w:color="auto"/>
                                        <w:left w:val="none" w:sz="0" w:space="0" w:color="auto"/>
                                        <w:bottom w:val="none" w:sz="0" w:space="0" w:color="auto"/>
                                        <w:right w:val="none" w:sz="0" w:space="0" w:color="auto"/>
                                      </w:divBdr>
                                    </w:div>
                                  </w:divsChild>
                                </w:div>
                                <w:div w:id="900334251">
                                  <w:marLeft w:val="0"/>
                                  <w:marRight w:val="0"/>
                                  <w:marTop w:val="0"/>
                                  <w:marBottom w:val="0"/>
                                  <w:divBdr>
                                    <w:top w:val="none" w:sz="0" w:space="0" w:color="auto"/>
                                    <w:left w:val="none" w:sz="0" w:space="0" w:color="auto"/>
                                    <w:bottom w:val="none" w:sz="0" w:space="0" w:color="auto"/>
                                    <w:right w:val="none" w:sz="0" w:space="0" w:color="auto"/>
                                  </w:divBdr>
                                  <w:divsChild>
                                    <w:div w:id="1611742987">
                                      <w:marLeft w:val="0"/>
                                      <w:marRight w:val="0"/>
                                      <w:marTop w:val="120"/>
                                      <w:marBottom w:val="0"/>
                                      <w:divBdr>
                                        <w:top w:val="none" w:sz="0" w:space="0" w:color="auto"/>
                                        <w:left w:val="none" w:sz="0" w:space="0" w:color="auto"/>
                                        <w:bottom w:val="none" w:sz="0" w:space="0" w:color="auto"/>
                                        <w:right w:val="none" w:sz="0" w:space="0" w:color="auto"/>
                                      </w:divBdr>
                                    </w:div>
                                    <w:div w:id="8042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699613">
                          <w:marLeft w:val="0"/>
                          <w:marRight w:val="0"/>
                          <w:marTop w:val="0"/>
                          <w:marBottom w:val="0"/>
                          <w:divBdr>
                            <w:top w:val="none" w:sz="0" w:space="0" w:color="auto"/>
                            <w:left w:val="none" w:sz="0" w:space="0" w:color="auto"/>
                            <w:bottom w:val="none" w:sz="0" w:space="0" w:color="auto"/>
                            <w:right w:val="none" w:sz="0" w:space="0" w:color="auto"/>
                          </w:divBdr>
                          <w:divsChild>
                            <w:div w:id="169175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3547">
                      <w:marLeft w:val="0"/>
                      <w:marRight w:val="0"/>
                      <w:marTop w:val="0"/>
                      <w:marBottom w:val="0"/>
                      <w:divBdr>
                        <w:top w:val="none" w:sz="0" w:space="0" w:color="auto"/>
                        <w:left w:val="none" w:sz="0" w:space="0" w:color="auto"/>
                        <w:bottom w:val="none" w:sz="0" w:space="0" w:color="auto"/>
                        <w:right w:val="none" w:sz="0" w:space="0" w:color="auto"/>
                      </w:divBdr>
                      <w:divsChild>
                        <w:div w:id="571425206">
                          <w:marLeft w:val="0"/>
                          <w:marRight w:val="0"/>
                          <w:marTop w:val="0"/>
                          <w:marBottom w:val="0"/>
                          <w:divBdr>
                            <w:top w:val="none" w:sz="0" w:space="0" w:color="auto"/>
                            <w:left w:val="none" w:sz="0" w:space="0" w:color="auto"/>
                            <w:bottom w:val="none" w:sz="0" w:space="0" w:color="auto"/>
                            <w:right w:val="none" w:sz="0" w:space="0" w:color="auto"/>
                          </w:divBdr>
                        </w:div>
                        <w:div w:id="434131886">
                          <w:marLeft w:val="0"/>
                          <w:marRight w:val="0"/>
                          <w:marTop w:val="0"/>
                          <w:marBottom w:val="0"/>
                          <w:divBdr>
                            <w:top w:val="none" w:sz="0" w:space="0" w:color="auto"/>
                            <w:left w:val="none" w:sz="0" w:space="0" w:color="auto"/>
                            <w:bottom w:val="none" w:sz="0" w:space="0" w:color="auto"/>
                            <w:right w:val="none" w:sz="0" w:space="0" w:color="auto"/>
                          </w:divBdr>
                          <w:divsChild>
                            <w:div w:id="269746674">
                              <w:marLeft w:val="0"/>
                              <w:marRight w:val="0"/>
                              <w:marTop w:val="0"/>
                              <w:marBottom w:val="0"/>
                              <w:divBdr>
                                <w:top w:val="none" w:sz="0" w:space="0" w:color="auto"/>
                                <w:left w:val="none" w:sz="0" w:space="0" w:color="auto"/>
                                <w:bottom w:val="none" w:sz="0" w:space="0" w:color="auto"/>
                                <w:right w:val="none" w:sz="0" w:space="0" w:color="auto"/>
                              </w:divBdr>
                            </w:div>
                          </w:divsChild>
                        </w:div>
                        <w:div w:id="599023957">
                          <w:marLeft w:val="0"/>
                          <w:marRight w:val="0"/>
                          <w:marTop w:val="0"/>
                          <w:marBottom w:val="0"/>
                          <w:divBdr>
                            <w:top w:val="none" w:sz="0" w:space="0" w:color="auto"/>
                            <w:left w:val="none" w:sz="0" w:space="0" w:color="auto"/>
                            <w:bottom w:val="none" w:sz="0" w:space="0" w:color="auto"/>
                            <w:right w:val="none" w:sz="0" w:space="0" w:color="auto"/>
                          </w:divBdr>
                          <w:divsChild>
                            <w:div w:id="1786079877">
                              <w:marLeft w:val="0"/>
                              <w:marRight w:val="0"/>
                              <w:marTop w:val="0"/>
                              <w:marBottom w:val="0"/>
                              <w:divBdr>
                                <w:top w:val="none" w:sz="0" w:space="0" w:color="auto"/>
                                <w:left w:val="none" w:sz="0" w:space="0" w:color="auto"/>
                                <w:bottom w:val="none" w:sz="0" w:space="0" w:color="auto"/>
                                <w:right w:val="none" w:sz="0" w:space="0" w:color="auto"/>
                              </w:divBdr>
                            </w:div>
                          </w:divsChild>
                        </w:div>
                        <w:div w:id="1158689966">
                          <w:marLeft w:val="0"/>
                          <w:marRight w:val="0"/>
                          <w:marTop w:val="0"/>
                          <w:marBottom w:val="0"/>
                          <w:divBdr>
                            <w:top w:val="none" w:sz="0" w:space="0" w:color="auto"/>
                            <w:left w:val="none" w:sz="0" w:space="0" w:color="auto"/>
                            <w:bottom w:val="none" w:sz="0" w:space="0" w:color="auto"/>
                            <w:right w:val="none" w:sz="0" w:space="0" w:color="auto"/>
                          </w:divBdr>
                          <w:divsChild>
                            <w:div w:id="223836550">
                              <w:marLeft w:val="0"/>
                              <w:marRight w:val="0"/>
                              <w:marTop w:val="0"/>
                              <w:marBottom w:val="0"/>
                              <w:divBdr>
                                <w:top w:val="none" w:sz="0" w:space="0" w:color="auto"/>
                                <w:left w:val="none" w:sz="0" w:space="0" w:color="auto"/>
                                <w:bottom w:val="none" w:sz="0" w:space="0" w:color="auto"/>
                                <w:right w:val="none" w:sz="0" w:space="0" w:color="auto"/>
                              </w:divBdr>
                            </w:div>
                          </w:divsChild>
                        </w:div>
                        <w:div w:id="1733456244">
                          <w:marLeft w:val="0"/>
                          <w:marRight w:val="0"/>
                          <w:marTop w:val="0"/>
                          <w:marBottom w:val="0"/>
                          <w:divBdr>
                            <w:top w:val="none" w:sz="0" w:space="0" w:color="auto"/>
                            <w:left w:val="none" w:sz="0" w:space="0" w:color="auto"/>
                            <w:bottom w:val="none" w:sz="0" w:space="0" w:color="auto"/>
                            <w:right w:val="none" w:sz="0" w:space="0" w:color="auto"/>
                          </w:divBdr>
                          <w:divsChild>
                            <w:div w:id="54597046">
                              <w:marLeft w:val="0"/>
                              <w:marRight w:val="0"/>
                              <w:marTop w:val="0"/>
                              <w:marBottom w:val="0"/>
                              <w:divBdr>
                                <w:top w:val="none" w:sz="0" w:space="0" w:color="auto"/>
                                <w:left w:val="none" w:sz="0" w:space="0" w:color="auto"/>
                                <w:bottom w:val="none" w:sz="0" w:space="0" w:color="auto"/>
                                <w:right w:val="none" w:sz="0" w:space="0" w:color="auto"/>
                              </w:divBdr>
                            </w:div>
                          </w:divsChild>
                        </w:div>
                        <w:div w:id="299267775">
                          <w:marLeft w:val="0"/>
                          <w:marRight w:val="0"/>
                          <w:marTop w:val="0"/>
                          <w:marBottom w:val="0"/>
                          <w:divBdr>
                            <w:top w:val="none" w:sz="0" w:space="0" w:color="auto"/>
                            <w:left w:val="none" w:sz="0" w:space="0" w:color="auto"/>
                            <w:bottom w:val="none" w:sz="0" w:space="0" w:color="auto"/>
                            <w:right w:val="none" w:sz="0" w:space="0" w:color="auto"/>
                          </w:divBdr>
                          <w:divsChild>
                            <w:div w:id="705908095">
                              <w:marLeft w:val="0"/>
                              <w:marRight w:val="0"/>
                              <w:marTop w:val="0"/>
                              <w:marBottom w:val="0"/>
                              <w:divBdr>
                                <w:top w:val="none" w:sz="0" w:space="0" w:color="auto"/>
                                <w:left w:val="none" w:sz="0" w:space="0" w:color="auto"/>
                                <w:bottom w:val="none" w:sz="0" w:space="0" w:color="auto"/>
                                <w:right w:val="none" w:sz="0" w:space="0" w:color="auto"/>
                              </w:divBdr>
                            </w:div>
                          </w:divsChild>
                        </w:div>
                        <w:div w:id="173687292">
                          <w:marLeft w:val="0"/>
                          <w:marRight w:val="0"/>
                          <w:marTop w:val="0"/>
                          <w:marBottom w:val="0"/>
                          <w:divBdr>
                            <w:top w:val="none" w:sz="0" w:space="0" w:color="auto"/>
                            <w:left w:val="none" w:sz="0" w:space="0" w:color="auto"/>
                            <w:bottom w:val="none" w:sz="0" w:space="0" w:color="auto"/>
                            <w:right w:val="none" w:sz="0" w:space="0" w:color="auto"/>
                          </w:divBdr>
                          <w:divsChild>
                            <w:div w:id="456872245">
                              <w:marLeft w:val="0"/>
                              <w:marRight w:val="0"/>
                              <w:marTop w:val="0"/>
                              <w:marBottom w:val="0"/>
                              <w:divBdr>
                                <w:top w:val="none" w:sz="0" w:space="0" w:color="auto"/>
                                <w:left w:val="none" w:sz="0" w:space="0" w:color="auto"/>
                                <w:bottom w:val="none" w:sz="0" w:space="0" w:color="auto"/>
                                <w:right w:val="none" w:sz="0" w:space="0" w:color="auto"/>
                              </w:divBdr>
                            </w:div>
                          </w:divsChild>
                        </w:div>
                        <w:div w:id="13388942">
                          <w:marLeft w:val="0"/>
                          <w:marRight w:val="0"/>
                          <w:marTop w:val="0"/>
                          <w:marBottom w:val="0"/>
                          <w:divBdr>
                            <w:top w:val="none" w:sz="0" w:space="0" w:color="auto"/>
                            <w:left w:val="none" w:sz="0" w:space="0" w:color="auto"/>
                            <w:bottom w:val="none" w:sz="0" w:space="0" w:color="auto"/>
                            <w:right w:val="none" w:sz="0" w:space="0" w:color="auto"/>
                          </w:divBdr>
                          <w:divsChild>
                            <w:div w:id="5716175">
                              <w:marLeft w:val="0"/>
                              <w:marRight w:val="0"/>
                              <w:marTop w:val="0"/>
                              <w:marBottom w:val="0"/>
                              <w:divBdr>
                                <w:top w:val="none" w:sz="0" w:space="0" w:color="auto"/>
                                <w:left w:val="none" w:sz="0" w:space="0" w:color="auto"/>
                                <w:bottom w:val="none" w:sz="0" w:space="0" w:color="auto"/>
                                <w:right w:val="none" w:sz="0" w:space="0" w:color="auto"/>
                              </w:divBdr>
                            </w:div>
                          </w:divsChild>
                        </w:div>
                        <w:div w:id="616565926">
                          <w:marLeft w:val="0"/>
                          <w:marRight w:val="0"/>
                          <w:marTop w:val="0"/>
                          <w:marBottom w:val="0"/>
                          <w:divBdr>
                            <w:top w:val="none" w:sz="0" w:space="0" w:color="auto"/>
                            <w:left w:val="none" w:sz="0" w:space="0" w:color="auto"/>
                            <w:bottom w:val="none" w:sz="0" w:space="0" w:color="auto"/>
                            <w:right w:val="none" w:sz="0" w:space="0" w:color="auto"/>
                          </w:divBdr>
                          <w:divsChild>
                            <w:div w:id="236985590">
                              <w:marLeft w:val="0"/>
                              <w:marRight w:val="0"/>
                              <w:marTop w:val="0"/>
                              <w:marBottom w:val="0"/>
                              <w:divBdr>
                                <w:top w:val="none" w:sz="0" w:space="0" w:color="auto"/>
                                <w:left w:val="none" w:sz="0" w:space="0" w:color="auto"/>
                                <w:bottom w:val="none" w:sz="0" w:space="0" w:color="auto"/>
                                <w:right w:val="none" w:sz="0" w:space="0" w:color="auto"/>
                              </w:divBdr>
                            </w:div>
                          </w:divsChild>
                        </w:div>
                        <w:div w:id="320542280">
                          <w:marLeft w:val="0"/>
                          <w:marRight w:val="0"/>
                          <w:marTop w:val="0"/>
                          <w:marBottom w:val="0"/>
                          <w:divBdr>
                            <w:top w:val="none" w:sz="0" w:space="0" w:color="auto"/>
                            <w:left w:val="none" w:sz="0" w:space="0" w:color="auto"/>
                            <w:bottom w:val="none" w:sz="0" w:space="0" w:color="auto"/>
                            <w:right w:val="none" w:sz="0" w:space="0" w:color="auto"/>
                          </w:divBdr>
                          <w:divsChild>
                            <w:div w:id="1034649272">
                              <w:marLeft w:val="0"/>
                              <w:marRight w:val="0"/>
                              <w:marTop w:val="0"/>
                              <w:marBottom w:val="0"/>
                              <w:divBdr>
                                <w:top w:val="none" w:sz="0" w:space="0" w:color="auto"/>
                                <w:left w:val="none" w:sz="0" w:space="0" w:color="auto"/>
                                <w:bottom w:val="none" w:sz="0" w:space="0" w:color="auto"/>
                                <w:right w:val="none" w:sz="0" w:space="0" w:color="auto"/>
                              </w:divBdr>
                            </w:div>
                          </w:divsChild>
                        </w:div>
                        <w:div w:id="156269323">
                          <w:marLeft w:val="0"/>
                          <w:marRight w:val="0"/>
                          <w:marTop w:val="0"/>
                          <w:marBottom w:val="0"/>
                          <w:divBdr>
                            <w:top w:val="none" w:sz="0" w:space="0" w:color="auto"/>
                            <w:left w:val="none" w:sz="0" w:space="0" w:color="auto"/>
                            <w:bottom w:val="none" w:sz="0" w:space="0" w:color="auto"/>
                            <w:right w:val="none" w:sz="0" w:space="0" w:color="auto"/>
                          </w:divBdr>
                          <w:divsChild>
                            <w:div w:id="1363045497">
                              <w:marLeft w:val="0"/>
                              <w:marRight w:val="0"/>
                              <w:marTop w:val="0"/>
                              <w:marBottom w:val="0"/>
                              <w:divBdr>
                                <w:top w:val="none" w:sz="0" w:space="0" w:color="auto"/>
                                <w:left w:val="none" w:sz="0" w:space="0" w:color="auto"/>
                                <w:bottom w:val="none" w:sz="0" w:space="0" w:color="auto"/>
                                <w:right w:val="none" w:sz="0" w:space="0" w:color="auto"/>
                              </w:divBdr>
                            </w:div>
                          </w:divsChild>
                        </w:div>
                        <w:div w:id="2048096377">
                          <w:marLeft w:val="0"/>
                          <w:marRight w:val="0"/>
                          <w:marTop w:val="0"/>
                          <w:marBottom w:val="0"/>
                          <w:divBdr>
                            <w:top w:val="none" w:sz="0" w:space="0" w:color="auto"/>
                            <w:left w:val="none" w:sz="0" w:space="0" w:color="auto"/>
                            <w:bottom w:val="none" w:sz="0" w:space="0" w:color="auto"/>
                            <w:right w:val="none" w:sz="0" w:space="0" w:color="auto"/>
                          </w:divBdr>
                          <w:divsChild>
                            <w:div w:id="270863674">
                              <w:marLeft w:val="0"/>
                              <w:marRight w:val="0"/>
                              <w:marTop w:val="0"/>
                              <w:marBottom w:val="0"/>
                              <w:divBdr>
                                <w:top w:val="none" w:sz="0" w:space="0" w:color="auto"/>
                                <w:left w:val="none" w:sz="0" w:space="0" w:color="auto"/>
                                <w:bottom w:val="none" w:sz="0" w:space="0" w:color="auto"/>
                                <w:right w:val="none" w:sz="0" w:space="0" w:color="auto"/>
                              </w:divBdr>
                            </w:div>
                          </w:divsChild>
                        </w:div>
                        <w:div w:id="1480342275">
                          <w:marLeft w:val="0"/>
                          <w:marRight w:val="0"/>
                          <w:marTop w:val="0"/>
                          <w:marBottom w:val="0"/>
                          <w:divBdr>
                            <w:top w:val="none" w:sz="0" w:space="0" w:color="auto"/>
                            <w:left w:val="none" w:sz="0" w:space="0" w:color="auto"/>
                            <w:bottom w:val="none" w:sz="0" w:space="0" w:color="auto"/>
                            <w:right w:val="none" w:sz="0" w:space="0" w:color="auto"/>
                          </w:divBdr>
                          <w:divsChild>
                            <w:div w:id="179918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84538">
                  <w:marLeft w:val="0"/>
                  <w:marRight w:val="0"/>
                  <w:marTop w:val="0"/>
                  <w:marBottom w:val="0"/>
                  <w:divBdr>
                    <w:top w:val="none" w:sz="0" w:space="0" w:color="auto"/>
                    <w:left w:val="none" w:sz="0" w:space="0" w:color="auto"/>
                    <w:bottom w:val="none" w:sz="0" w:space="0" w:color="auto"/>
                    <w:right w:val="none" w:sz="0" w:space="0" w:color="auto"/>
                  </w:divBdr>
                  <w:divsChild>
                    <w:div w:id="1574243872">
                      <w:marLeft w:val="0"/>
                      <w:marRight w:val="0"/>
                      <w:marTop w:val="0"/>
                      <w:marBottom w:val="0"/>
                      <w:divBdr>
                        <w:top w:val="none" w:sz="0" w:space="0" w:color="auto"/>
                        <w:left w:val="none" w:sz="0" w:space="0" w:color="auto"/>
                        <w:bottom w:val="none" w:sz="0" w:space="0" w:color="auto"/>
                        <w:right w:val="none" w:sz="0" w:space="0" w:color="auto"/>
                      </w:divBdr>
                      <w:divsChild>
                        <w:div w:id="1145390879">
                          <w:marLeft w:val="0"/>
                          <w:marRight w:val="0"/>
                          <w:marTop w:val="0"/>
                          <w:marBottom w:val="0"/>
                          <w:divBdr>
                            <w:top w:val="none" w:sz="0" w:space="0" w:color="auto"/>
                            <w:left w:val="none" w:sz="0" w:space="0" w:color="auto"/>
                            <w:bottom w:val="none" w:sz="0" w:space="0" w:color="auto"/>
                            <w:right w:val="none" w:sz="0" w:space="0" w:color="auto"/>
                          </w:divBdr>
                          <w:divsChild>
                            <w:div w:id="1570339904">
                              <w:marLeft w:val="0"/>
                              <w:marRight w:val="0"/>
                              <w:marTop w:val="0"/>
                              <w:marBottom w:val="0"/>
                              <w:divBdr>
                                <w:top w:val="none" w:sz="0" w:space="0" w:color="auto"/>
                                <w:left w:val="none" w:sz="0" w:space="0" w:color="auto"/>
                                <w:bottom w:val="none" w:sz="0" w:space="0" w:color="auto"/>
                                <w:right w:val="none" w:sz="0" w:space="0" w:color="auto"/>
                              </w:divBdr>
                              <w:divsChild>
                                <w:div w:id="627592745">
                                  <w:marLeft w:val="0"/>
                                  <w:marRight w:val="0"/>
                                  <w:marTop w:val="0"/>
                                  <w:marBottom w:val="0"/>
                                  <w:divBdr>
                                    <w:top w:val="none" w:sz="0" w:space="0" w:color="auto"/>
                                    <w:left w:val="none" w:sz="0" w:space="0" w:color="auto"/>
                                    <w:bottom w:val="none" w:sz="0" w:space="0" w:color="auto"/>
                                    <w:right w:val="none" w:sz="0" w:space="0" w:color="auto"/>
                                  </w:divBdr>
                                </w:div>
                                <w:div w:id="131027876">
                                  <w:marLeft w:val="0"/>
                                  <w:marRight w:val="0"/>
                                  <w:marTop w:val="0"/>
                                  <w:marBottom w:val="0"/>
                                  <w:divBdr>
                                    <w:top w:val="none" w:sz="0" w:space="0" w:color="auto"/>
                                    <w:left w:val="none" w:sz="0" w:space="0" w:color="auto"/>
                                    <w:bottom w:val="none" w:sz="0" w:space="0" w:color="auto"/>
                                    <w:right w:val="none" w:sz="0" w:space="0" w:color="auto"/>
                                  </w:divBdr>
                                  <w:divsChild>
                                    <w:div w:id="79913534">
                                      <w:marLeft w:val="0"/>
                                      <w:marRight w:val="0"/>
                                      <w:marTop w:val="0"/>
                                      <w:marBottom w:val="0"/>
                                      <w:divBdr>
                                        <w:top w:val="none" w:sz="0" w:space="0" w:color="auto"/>
                                        <w:left w:val="none" w:sz="0" w:space="0" w:color="auto"/>
                                        <w:bottom w:val="none" w:sz="0" w:space="0" w:color="auto"/>
                                        <w:right w:val="none" w:sz="0" w:space="0" w:color="auto"/>
                                      </w:divBdr>
                                      <w:divsChild>
                                        <w:div w:id="1358114282">
                                          <w:marLeft w:val="0"/>
                                          <w:marRight w:val="0"/>
                                          <w:marTop w:val="0"/>
                                          <w:marBottom w:val="0"/>
                                          <w:divBdr>
                                            <w:top w:val="none" w:sz="0" w:space="0" w:color="auto"/>
                                            <w:left w:val="none" w:sz="0" w:space="0" w:color="auto"/>
                                            <w:bottom w:val="none" w:sz="0" w:space="0" w:color="auto"/>
                                            <w:right w:val="none" w:sz="0" w:space="0" w:color="auto"/>
                                          </w:divBdr>
                                          <w:divsChild>
                                            <w:div w:id="174274058">
                                              <w:marLeft w:val="0"/>
                                              <w:marRight w:val="0"/>
                                              <w:marTop w:val="120"/>
                                              <w:marBottom w:val="0"/>
                                              <w:divBdr>
                                                <w:top w:val="none" w:sz="0" w:space="0" w:color="auto"/>
                                                <w:left w:val="none" w:sz="0" w:space="0" w:color="auto"/>
                                                <w:bottom w:val="none" w:sz="0" w:space="0" w:color="auto"/>
                                                <w:right w:val="none" w:sz="0" w:space="0" w:color="auto"/>
                                              </w:divBdr>
                                            </w:div>
                                            <w:div w:id="794758254">
                                              <w:marLeft w:val="0"/>
                                              <w:marRight w:val="0"/>
                                              <w:marTop w:val="0"/>
                                              <w:marBottom w:val="0"/>
                                              <w:divBdr>
                                                <w:top w:val="none" w:sz="0" w:space="0" w:color="auto"/>
                                                <w:left w:val="none" w:sz="0" w:space="0" w:color="auto"/>
                                                <w:bottom w:val="none" w:sz="0" w:space="0" w:color="auto"/>
                                                <w:right w:val="none" w:sz="0" w:space="0" w:color="auto"/>
                                              </w:divBdr>
                                            </w:div>
                                          </w:divsChild>
                                        </w:div>
                                        <w:div w:id="1525094878">
                                          <w:marLeft w:val="0"/>
                                          <w:marRight w:val="0"/>
                                          <w:marTop w:val="0"/>
                                          <w:marBottom w:val="0"/>
                                          <w:divBdr>
                                            <w:top w:val="none" w:sz="0" w:space="0" w:color="auto"/>
                                            <w:left w:val="none" w:sz="0" w:space="0" w:color="auto"/>
                                            <w:bottom w:val="none" w:sz="0" w:space="0" w:color="auto"/>
                                            <w:right w:val="none" w:sz="0" w:space="0" w:color="auto"/>
                                          </w:divBdr>
                                          <w:divsChild>
                                            <w:div w:id="204487621">
                                              <w:marLeft w:val="0"/>
                                              <w:marRight w:val="0"/>
                                              <w:marTop w:val="120"/>
                                              <w:marBottom w:val="0"/>
                                              <w:divBdr>
                                                <w:top w:val="none" w:sz="0" w:space="0" w:color="auto"/>
                                                <w:left w:val="none" w:sz="0" w:space="0" w:color="auto"/>
                                                <w:bottom w:val="none" w:sz="0" w:space="0" w:color="auto"/>
                                                <w:right w:val="none" w:sz="0" w:space="0" w:color="auto"/>
                                              </w:divBdr>
                                            </w:div>
                                            <w:div w:id="2122409386">
                                              <w:marLeft w:val="0"/>
                                              <w:marRight w:val="0"/>
                                              <w:marTop w:val="0"/>
                                              <w:marBottom w:val="0"/>
                                              <w:divBdr>
                                                <w:top w:val="none" w:sz="0" w:space="0" w:color="auto"/>
                                                <w:left w:val="none" w:sz="0" w:space="0" w:color="auto"/>
                                                <w:bottom w:val="none" w:sz="0" w:space="0" w:color="auto"/>
                                                <w:right w:val="none" w:sz="0" w:space="0" w:color="auto"/>
                                              </w:divBdr>
                                            </w:div>
                                          </w:divsChild>
                                        </w:div>
                                        <w:div w:id="603995507">
                                          <w:marLeft w:val="0"/>
                                          <w:marRight w:val="0"/>
                                          <w:marTop w:val="0"/>
                                          <w:marBottom w:val="0"/>
                                          <w:divBdr>
                                            <w:top w:val="none" w:sz="0" w:space="0" w:color="auto"/>
                                            <w:left w:val="none" w:sz="0" w:space="0" w:color="auto"/>
                                            <w:bottom w:val="none" w:sz="0" w:space="0" w:color="auto"/>
                                            <w:right w:val="none" w:sz="0" w:space="0" w:color="auto"/>
                                          </w:divBdr>
                                          <w:divsChild>
                                            <w:div w:id="2040279703">
                                              <w:marLeft w:val="0"/>
                                              <w:marRight w:val="0"/>
                                              <w:marTop w:val="120"/>
                                              <w:marBottom w:val="0"/>
                                              <w:divBdr>
                                                <w:top w:val="none" w:sz="0" w:space="0" w:color="auto"/>
                                                <w:left w:val="none" w:sz="0" w:space="0" w:color="auto"/>
                                                <w:bottom w:val="none" w:sz="0" w:space="0" w:color="auto"/>
                                                <w:right w:val="none" w:sz="0" w:space="0" w:color="auto"/>
                                              </w:divBdr>
                                            </w:div>
                                            <w:div w:id="1595942275">
                                              <w:marLeft w:val="0"/>
                                              <w:marRight w:val="0"/>
                                              <w:marTop w:val="0"/>
                                              <w:marBottom w:val="0"/>
                                              <w:divBdr>
                                                <w:top w:val="none" w:sz="0" w:space="0" w:color="auto"/>
                                                <w:left w:val="none" w:sz="0" w:space="0" w:color="auto"/>
                                                <w:bottom w:val="none" w:sz="0" w:space="0" w:color="auto"/>
                                                <w:right w:val="none" w:sz="0" w:space="0" w:color="auto"/>
                                              </w:divBdr>
                                            </w:div>
                                          </w:divsChild>
                                        </w:div>
                                        <w:div w:id="596330468">
                                          <w:marLeft w:val="0"/>
                                          <w:marRight w:val="0"/>
                                          <w:marTop w:val="0"/>
                                          <w:marBottom w:val="0"/>
                                          <w:divBdr>
                                            <w:top w:val="none" w:sz="0" w:space="0" w:color="auto"/>
                                            <w:left w:val="none" w:sz="0" w:space="0" w:color="auto"/>
                                            <w:bottom w:val="none" w:sz="0" w:space="0" w:color="auto"/>
                                            <w:right w:val="none" w:sz="0" w:space="0" w:color="auto"/>
                                          </w:divBdr>
                                          <w:divsChild>
                                            <w:div w:id="2126192955">
                                              <w:marLeft w:val="0"/>
                                              <w:marRight w:val="0"/>
                                              <w:marTop w:val="120"/>
                                              <w:marBottom w:val="0"/>
                                              <w:divBdr>
                                                <w:top w:val="none" w:sz="0" w:space="0" w:color="auto"/>
                                                <w:left w:val="none" w:sz="0" w:space="0" w:color="auto"/>
                                                <w:bottom w:val="none" w:sz="0" w:space="0" w:color="auto"/>
                                                <w:right w:val="none" w:sz="0" w:space="0" w:color="auto"/>
                                              </w:divBdr>
                                            </w:div>
                                            <w:div w:id="186844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699793">
                                  <w:marLeft w:val="0"/>
                                  <w:marRight w:val="0"/>
                                  <w:marTop w:val="0"/>
                                  <w:marBottom w:val="0"/>
                                  <w:divBdr>
                                    <w:top w:val="none" w:sz="0" w:space="0" w:color="auto"/>
                                    <w:left w:val="none" w:sz="0" w:space="0" w:color="auto"/>
                                    <w:bottom w:val="none" w:sz="0" w:space="0" w:color="auto"/>
                                    <w:right w:val="none" w:sz="0" w:space="0" w:color="auto"/>
                                  </w:divBdr>
                                  <w:divsChild>
                                    <w:div w:id="1370644429">
                                      <w:marLeft w:val="0"/>
                                      <w:marRight w:val="0"/>
                                      <w:marTop w:val="0"/>
                                      <w:marBottom w:val="0"/>
                                      <w:divBdr>
                                        <w:top w:val="none" w:sz="0" w:space="0" w:color="auto"/>
                                        <w:left w:val="none" w:sz="0" w:space="0" w:color="auto"/>
                                        <w:bottom w:val="none" w:sz="0" w:space="0" w:color="auto"/>
                                        <w:right w:val="none" w:sz="0" w:space="0" w:color="auto"/>
                                      </w:divBdr>
                                    </w:div>
                                  </w:divsChild>
                                </w:div>
                                <w:div w:id="1853061472">
                                  <w:marLeft w:val="0"/>
                                  <w:marRight w:val="0"/>
                                  <w:marTop w:val="0"/>
                                  <w:marBottom w:val="0"/>
                                  <w:divBdr>
                                    <w:top w:val="none" w:sz="0" w:space="0" w:color="auto"/>
                                    <w:left w:val="none" w:sz="0" w:space="0" w:color="auto"/>
                                    <w:bottom w:val="none" w:sz="0" w:space="0" w:color="auto"/>
                                    <w:right w:val="none" w:sz="0" w:space="0" w:color="auto"/>
                                  </w:divBdr>
                                  <w:divsChild>
                                    <w:div w:id="540826463">
                                      <w:marLeft w:val="0"/>
                                      <w:marRight w:val="0"/>
                                      <w:marTop w:val="0"/>
                                      <w:marBottom w:val="0"/>
                                      <w:divBdr>
                                        <w:top w:val="none" w:sz="0" w:space="0" w:color="auto"/>
                                        <w:left w:val="none" w:sz="0" w:space="0" w:color="auto"/>
                                        <w:bottom w:val="none" w:sz="0" w:space="0" w:color="auto"/>
                                        <w:right w:val="none" w:sz="0" w:space="0" w:color="auto"/>
                                      </w:divBdr>
                                    </w:div>
                                  </w:divsChild>
                                </w:div>
                                <w:div w:id="595331085">
                                  <w:marLeft w:val="0"/>
                                  <w:marRight w:val="0"/>
                                  <w:marTop w:val="0"/>
                                  <w:marBottom w:val="0"/>
                                  <w:divBdr>
                                    <w:top w:val="none" w:sz="0" w:space="0" w:color="auto"/>
                                    <w:left w:val="none" w:sz="0" w:space="0" w:color="auto"/>
                                    <w:bottom w:val="none" w:sz="0" w:space="0" w:color="auto"/>
                                    <w:right w:val="none" w:sz="0" w:space="0" w:color="auto"/>
                                  </w:divBdr>
                                  <w:divsChild>
                                    <w:div w:id="230576912">
                                      <w:marLeft w:val="0"/>
                                      <w:marRight w:val="0"/>
                                      <w:marTop w:val="0"/>
                                      <w:marBottom w:val="0"/>
                                      <w:divBdr>
                                        <w:top w:val="none" w:sz="0" w:space="0" w:color="auto"/>
                                        <w:left w:val="none" w:sz="0" w:space="0" w:color="auto"/>
                                        <w:bottom w:val="none" w:sz="0" w:space="0" w:color="auto"/>
                                        <w:right w:val="none" w:sz="0" w:space="0" w:color="auto"/>
                                      </w:divBdr>
                                    </w:div>
                                  </w:divsChild>
                                </w:div>
                                <w:div w:id="1701202522">
                                  <w:marLeft w:val="0"/>
                                  <w:marRight w:val="0"/>
                                  <w:marTop w:val="0"/>
                                  <w:marBottom w:val="0"/>
                                  <w:divBdr>
                                    <w:top w:val="none" w:sz="0" w:space="0" w:color="auto"/>
                                    <w:left w:val="none" w:sz="0" w:space="0" w:color="auto"/>
                                    <w:bottom w:val="none" w:sz="0" w:space="0" w:color="auto"/>
                                    <w:right w:val="none" w:sz="0" w:space="0" w:color="auto"/>
                                  </w:divBdr>
                                  <w:divsChild>
                                    <w:div w:id="1715888758">
                                      <w:marLeft w:val="0"/>
                                      <w:marRight w:val="0"/>
                                      <w:marTop w:val="0"/>
                                      <w:marBottom w:val="0"/>
                                      <w:divBdr>
                                        <w:top w:val="none" w:sz="0" w:space="0" w:color="auto"/>
                                        <w:left w:val="none" w:sz="0" w:space="0" w:color="auto"/>
                                        <w:bottom w:val="none" w:sz="0" w:space="0" w:color="auto"/>
                                        <w:right w:val="none" w:sz="0" w:space="0" w:color="auto"/>
                                      </w:divBdr>
                                    </w:div>
                                  </w:divsChild>
                                </w:div>
                                <w:div w:id="1997762034">
                                  <w:marLeft w:val="0"/>
                                  <w:marRight w:val="0"/>
                                  <w:marTop w:val="0"/>
                                  <w:marBottom w:val="0"/>
                                  <w:divBdr>
                                    <w:top w:val="none" w:sz="0" w:space="0" w:color="auto"/>
                                    <w:left w:val="none" w:sz="0" w:space="0" w:color="auto"/>
                                    <w:bottom w:val="none" w:sz="0" w:space="0" w:color="auto"/>
                                    <w:right w:val="none" w:sz="0" w:space="0" w:color="auto"/>
                                  </w:divBdr>
                                  <w:divsChild>
                                    <w:div w:id="17392697">
                                      <w:marLeft w:val="0"/>
                                      <w:marRight w:val="0"/>
                                      <w:marTop w:val="0"/>
                                      <w:marBottom w:val="0"/>
                                      <w:divBdr>
                                        <w:top w:val="none" w:sz="0" w:space="0" w:color="auto"/>
                                        <w:left w:val="none" w:sz="0" w:space="0" w:color="auto"/>
                                        <w:bottom w:val="none" w:sz="0" w:space="0" w:color="auto"/>
                                        <w:right w:val="none" w:sz="0" w:space="0" w:color="auto"/>
                                      </w:divBdr>
                                    </w:div>
                                  </w:divsChild>
                                </w:div>
                                <w:div w:id="1681350105">
                                  <w:marLeft w:val="0"/>
                                  <w:marRight w:val="0"/>
                                  <w:marTop w:val="0"/>
                                  <w:marBottom w:val="0"/>
                                  <w:divBdr>
                                    <w:top w:val="none" w:sz="0" w:space="0" w:color="auto"/>
                                    <w:left w:val="none" w:sz="0" w:space="0" w:color="auto"/>
                                    <w:bottom w:val="none" w:sz="0" w:space="0" w:color="auto"/>
                                    <w:right w:val="none" w:sz="0" w:space="0" w:color="auto"/>
                                  </w:divBdr>
                                  <w:divsChild>
                                    <w:div w:id="2146043864">
                                      <w:marLeft w:val="0"/>
                                      <w:marRight w:val="0"/>
                                      <w:marTop w:val="0"/>
                                      <w:marBottom w:val="0"/>
                                      <w:divBdr>
                                        <w:top w:val="none" w:sz="0" w:space="0" w:color="auto"/>
                                        <w:left w:val="none" w:sz="0" w:space="0" w:color="auto"/>
                                        <w:bottom w:val="none" w:sz="0" w:space="0" w:color="auto"/>
                                        <w:right w:val="none" w:sz="0" w:space="0" w:color="auto"/>
                                      </w:divBdr>
                                    </w:div>
                                  </w:divsChild>
                                </w:div>
                                <w:div w:id="1995990018">
                                  <w:marLeft w:val="0"/>
                                  <w:marRight w:val="0"/>
                                  <w:marTop w:val="0"/>
                                  <w:marBottom w:val="0"/>
                                  <w:divBdr>
                                    <w:top w:val="none" w:sz="0" w:space="0" w:color="auto"/>
                                    <w:left w:val="none" w:sz="0" w:space="0" w:color="auto"/>
                                    <w:bottom w:val="none" w:sz="0" w:space="0" w:color="auto"/>
                                    <w:right w:val="none" w:sz="0" w:space="0" w:color="auto"/>
                                  </w:divBdr>
                                  <w:divsChild>
                                    <w:div w:id="1462383916">
                                      <w:marLeft w:val="0"/>
                                      <w:marRight w:val="0"/>
                                      <w:marTop w:val="0"/>
                                      <w:marBottom w:val="0"/>
                                      <w:divBdr>
                                        <w:top w:val="none" w:sz="0" w:space="0" w:color="auto"/>
                                        <w:left w:val="none" w:sz="0" w:space="0" w:color="auto"/>
                                        <w:bottom w:val="none" w:sz="0" w:space="0" w:color="auto"/>
                                        <w:right w:val="none" w:sz="0" w:space="0" w:color="auto"/>
                                      </w:divBdr>
                                      <w:divsChild>
                                        <w:div w:id="1380859090">
                                          <w:marLeft w:val="0"/>
                                          <w:marRight w:val="0"/>
                                          <w:marTop w:val="0"/>
                                          <w:marBottom w:val="0"/>
                                          <w:divBdr>
                                            <w:top w:val="none" w:sz="0" w:space="0" w:color="auto"/>
                                            <w:left w:val="none" w:sz="0" w:space="0" w:color="auto"/>
                                            <w:bottom w:val="none" w:sz="0" w:space="0" w:color="auto"/>
                                            <w:right w:val="none" w:sz="0" w:space="0" w:color="auto"/>
                                          </w:divBdr>
                                          <w:divsChild>
                                            <w:div w:id="1693874319">
                                              <w:marLeft w:val="0"/>
                                              <w:marRight w:val="0"/>
                                              <w:marTop w:val="120"/>
                                              <w:marBottom w:val="0"/>
                                              <w:divBdr>
                                                <w:top w:val="none" w:sz="0" w:space="0" w:color="auto"/>
                                                <w:left w:val="none" w:sz="0" w:space="0" w:color="auto"/>
                                                <w:bottom w:val="none" w:sz="0" w:space="0" w:color="auto"/>
                                                <w:right w:val="none" w:sz="0" w:space="0" w:color="auto"/>
                                              </w:divBdr>
                                            </w:div>
                                            <w:div w:id="1053121631">
                                              <w:marLeft w:val="0"/>
                                              <w:marRight w:val="0"/>
                                              <w:marTop w:val="0"/>
                                              <w:marBottom w:val="0"/>
                                              <w:divBdr>
                                                <w:top w:val="none" w:sz="0" w:space="0" w:color="auto"/>
                                                <w:left w:val="none" w:sz="0" w:space="0" w:color="auto"/>
                                                <w:bottom w:val="none" w:sz="0" w:space="0" w:color="auto"/>
                                                <w:right w:val="none" w:sz="0" w:space="0" w:color="auto"/>
                                              </w:divBdr>
                                            </w:div>
                                          </w:divsChild>
                                        </w:div>
                                        <w:div w:id="1128863711">
                                          <w:marLeft w:val="0"/>
                                          <w:marRight w:val="0"/>
                                          <w:marTop w:val="0"/>
                                          <w:marBottom w:val="0"/>
                                          <w:divBdr>
                                            <w:top w:val="none" w:sz="0" w:space="0" w:color="auto"/>
                                            <w:left w:val="none" w:sz="0" w:space="0" w:color="auto"/>
                                            <w:bottom w:val="none" w:sz="0" w:space="0" w:color="auto"/>
                                            <w:right w:val="none" w:sz="0" w:space="0" w:color="auto"/>
                                          </w:divBdr>
                                          <w:divsChild>
                                            <w:div w:id="1636443764">
                                              <w:marLeft w:val="0"/>
                                              <w:marRight w:val="0"/>
                                              <w:marTop w:val="120"/>
                                              <w:marBottom w:val="0"/>
                                              <w:divBdr>
                                                <w:top w:val="none" w:sz="0" w:space="0" w:color="auto"/>
                                                <w:left w:val="none" w:sz="0" w:space="0" w:color="auto"/>
                                                <w:bottom w:val="none" w:sz="0" w:space="0" w:color="auto"/>
                                                <w:right w:val="none" w:sz="0" w:space="0" w:color="auto"/>
                                              </w:divBdr>
                                            </w:div>
                                            <w:div w:id="81141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12565">
                                  <w:marLeft w:val="0"/>
                                  <w:marRight w:val="0"/>
                                  <w:marTop w:val="0"/>
                                  <w:marBottom w:val="0"/>
                                  <w:divBdr>
                                    <w:top w:val="none" w:sz="0" w:space="0" w:color="auto"/>
                                    <w:left w:val="none" w:sz="0" w:space="0" w:color="auto"/>
                                    <w:bottom w:val="none" w:sz="0" w:space="0" w:color="auto"/>
                                    <w:right w:val="none" w:sz="0" w:space="0" w:color="auto"/>
                                  </w:divBdr>
                                  <w:divsChild>
                                    <w:div w:id="943420572">
                                      <w:marLeft w:val="0"/>
                                      <w:marRight w:val="0"/>
                                      <w:marTop w:val="0"/>
                                      <w:marBottom w:val="0"/>
                                      <w:divBdr>
                                        <w:top w:val="none" w:sz="0" w:space="0" w:color="auto"/>
                                        <w:left w:val="none" w:sz="0" w:space="0" w:color="auto"/>
                                        <w:bottom w:val="none" w:sz="0" w:space="0" w:color="auto"/>
                                        <w:right w:val="none" w:sz="0" w:space="0" w:color="auto"/>
                                      </w:divBdr>
                                      <w:divsChild>
                                        <w:div w:id="1193306816">
                                          <w:marLeft w:val="0"/>
                                          <w:marRight w:val="0"/>
                                          <w:marTop w:val="0"/>
                                          <w:marBottom w:val="0"/>
                                          <w:divBdr>
                                            <w:top w:val="none" w:sz="0" w:space="0" w:color="auto"/>
                                            <w:left w:val="none" w:sz="0" w:space="0" w:color="auto"/>
                                            <w:bottom w:val="none" w:sz="0" w:space="0" w:color="auto"/>
                                            <w:right w:val="none" w:sz="0" w:space="0" w:color="auto"/>
                                          </w:divBdr>
                                          <w:divsChild>
                                            <w:div w:id="1226257273">
                                              <w:marLeft w:val="0"/>
                                              <w:marRight w:val="0"/>
                                              <w:marTop w:val="120"/>
                                              <w:marBottom w:val="0"/>
                                              <w:divBdr>
                                                <w:top w:val="none" w:sz="0" w:space="0" w:color="auto"/>
                                                <w:left w:val="none" w:sz="0" w:space="0" w:color="auto"/>
                                                <w:bottom w:val="none" w:sz="0" w:space="0" w:color="auto"/>
                                                <w:right w:val="none" w:sz="0" w:space="0" w:color="auto"/>
                                              </w:divBdr>
                                            </w:div>
                                            <w:div w:id="776144925">
                                              <w:marLeft w:val="0"/>
                                              <w:marRight w:val="0"/>
                                              <w:marTop w:val="0"/>
                                              <w:marBottom w:val="0"/>
                                              <w:divBdr>
                                                <w:top w:val="none" w:sz="0" w:space="0" w:color="auto"/>
                                                <w:left w:val="none" w:sz="0" w:space="0" w:color="auto"/>
                                                <w:bottom w:val="none" w:sz="0" w:space="0" w:color="auto"/>
                                                <w:right w:val="none" w:sz="0" w:space="0" w:color="auto"/>
                                              </w:divBdr>
                                            </w:div>
                                          </w:divsChild>
                                        </w:div>
                                        <w:div w:id="917404522">
                                          <w:marLeft w:val="0"/>
                                          <w:marRight w:val="0"/>
                                          <w:marTop w:val="0"/>
                                          <w:marBottom w:val="0"/>
                                          <w:divBdr>
                                            <w:top w:val="none" w:sz="0" w:space="0" w:color="auto"/>
                                            <w:left w:val="none" w:sz="0" w:space="0" w:color="auto"/>
                                            <w:bottom w:val="none" w:sz="0" w:space="0" w:color="auto"/>
                                            <w:right w:val="none" w:sz="0" w:space="0" w:color="auto"/>
                                          </w:divBdr>
                                          <w:divsChild>
                                            <w:div w:id="30421013">
                                              <w:marLeft w:val="0"/>
                                              <w:marRight w:val="0"/>
                                              <w:marTop w:val="120"/>
                                              <w:marBottom w:val="0"/>
                                              <w:divBdr>
                                                <w:top w:val="none" w:sz="0" w:space="0" w:color="auto"/>
                                                <w:left w:val="none" w:sz="0" w:space="0" w:color="auto"/>
                                                <w:bottom w:val="none" w:sz="0" w:space="0" w:color="auto"/>
                                                <w:right w:val="none" w:sz="0" w:space="0" w:color="auto"/>
                                              </w:divBdr>
                                            </w:div>
                                            <w:div w:id="8971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0847">
                                  <w:marLeft w:val="0"/>
                                  <w:marRight w:val="0"/>
                                  <w:marTop w:val="0"/>
                                  <w:marBottom w:val="0"/>
                                  <w:divBdr>
                                    <w:top w:val="none" w:sz="0" w:space="0" w:color="auto"/>
                                    <w:left w:val="none" w:sz="0" w:space="0" w:color="auto"/>
                                    <w:bottom w:val="none" w:sz="0" w:space="0" w:color="auto"/>
                                    <w:right w:val="none" w:sz="0" w:space="0" w:color="auto"/>
                                  </w:divBdr>
                                  <w:divsChild>
                                    <w:div w:id="1356422257">
                                      <w:marLeft w:val="0"/>
                                      <w:marRight w:val="0"/>
                                      <w:marTop w:val="0"/>
                                      <w:marBottom w:val="0"/>
                                      <w:divBdr>
                                        <w:top w:val="none" w:sz="0" w:space="0" w:color="auto"/>
                                        <w:left w:val="none" w:sz="0" w:space="0" w:color="auto"/>
                                        <w:bottom w:val="none" w:sz="0" w:space="0" w:color="auto"/>
                                        <w:right w:val="none" w:sz="0" w:space="0" w:color="auto"/>
                                      </w:divBdr>
                                    </w:div>
                                  </w:divsChild>
                                </w:div>
                                <w:div w:id="837888707">
                                  <w:marLeft w:val="0"/>
                                  <w:marRight w:val="0"/>
                                  <w:marTop w:val="0"/>
                                  <w:marBottom w:val="0"/>
                                  <w:divBdr>
                                    <w:top w:val="none" w:sz="0" w:space="0" w:color="auto"/>
                                    <w:left w:val="none" w:sz="0" w:space="0" w:color="auto"/>
                                    <w:bottom w:val="none" w:sz="0" w:space="0" w:color="auto"/>
                                    <w:right w:val="none" w:sz="0" w:space="0" w:color="auto"/>
                                  </w:divBdr>
                                  <w:divsChild>
                                    <w:div w:id="575827728">
                                      <w:marLeft w:val="0"/>
                                      <w:marRight w:val="0"/>
                                      <w:marTop w:val="120"/>
                                      <w:marBottom w:val="0"/>
                                      <w:divBdr>
                                        <w:top w:val="none" w:sz="0" w:space="0" w:color="auto"/>
                                        <w:left w:val="none" w:sz="0" w:space="0" w:color="auto"/>
                                        <w:bottom w:val="none" w:sz="0" w:space="0" w:color="auto"/>
                                        <w:right w:val="none" w:sz="0" w:space="0" w:color="auto"/>
                                      </w:divBdr>
                                    </w:div>
                                    <w:div w:id="1808081200">
                                      <w:marLeft w:val="0"/>
                                      <w:marRight w:val="0"/>
                                      <w:marTop w:val="0"/>
                                      <w:marBottom w:val="0"/>
                                      <w:divBdr>
                                        <w:top w:val="none" w:sz="0" w:space="0" w:color="auto"/>
                                        <w:left w:val="none" w:sz="0" w:space="0" w:color="auto"/>
                                        <w:bottom w:val="none" w:sz="0" w:space="0" w:color="auto"/>
                                        <w:right w:val="none" w:sz="0" w:space="0" w:color="auto"/>
                                      </w:divBdr>
                                    </w:div>
                                  </w:divsChild>
                                </w:div>
                                <w:div w:id="684407862">
                                  <w:marLeft w:val="0"/>
                                  <w:marRight w:val="0"/>
                                  <w:marTop w:val="0"/>
                                  <w:marBottom w:val="0"/>
                                  <w:divBdr>
                                    <w:top w:val="none" w:sz="0" w:space="0" w:color="auto"/>
                                    <w:left w:val="none" w:sz="0" w:space="0" w:color="auto"/>
                                    <w:bottom w:val="none" w:sz="0" w:space="0" w:color="auto"/>
                                    <w:right w:val="none" w:sz="0" w:space="0" w:color="auto"/>
                                  </w:divBdr>
                                  <w:divsChild>
                                    <w:div w:id="522205729">
                                      <w:marLeft w:val="0"/>
                                      <w:marRight w:val="0"/>
                                      <w:marTop w:val="120"/>
                                      <w:marBottom w:val="0"/>
                                      <w:divBdr>
                                        <w:top w:val="none" w:sz="0" w:space="0" w:color="auto"/>
                                        <w:left w:val="none" w:sz="0" w:space="0" w:color="auto"/>
                                        <w:bottom w:val="none" w:sz="0" w:space="0" w:color="auto"/>
                                        <w:right w:val="none" w:sz="0" w:space="0" w:color="auto"/>
                                      </w:divBdr>
                                    </w:div>
                                    <w:div w:id="758671859">
                                      <w:marLeft w:val="0"/>
                                      <w:marRight w:val="0"/>
                                      <w:marTop w:val="0"/>
                                      <w:marBottom w:val="0"/>
                                      <w:divBdr>
                                        <w:top w:val="none" w:sz="0" w:space="0" w:color="auto"/>
                                        <w:left w:val="none" w:sz="0" w:space="0" w:color="auto"/>
                                        <w:bottom w:val="none" w:sz="0" w:space="0" w:color="auto"/>
                                        <w:right w:val="none" w:sz="0" w:space="0" w:color="auto"/>
                                      </w:divBdr>
                                    </w:div>
                                  </w:divsChild>
                                </w:div>
                                <w:div w:id="737634517">
                                  <w:marLeft w:val="0"/>
                                  <w:marRight w:val="0"/>
                                  <w:marTop w:val="0"/>
                                  <w:marBottom w:val="0"/>
                                  <w:divBdr>
                                    <w:top w:val="none" w:sz="0" w:space="0" w:color="auto"/>
                                    <w:left w:val="none" w:sz="0" w:space="0" w:color="auto"/>
                                    <w:bottom w:val="none" w:sz="0" w:space="0" w:color="auto"/>
                                    <w:right w:val="none" w:sz="0" w:space="0" w:color="auto"/>
                                  </w:divBdr>
                                  <w:divsChild>
                                    <w:div w:id="6503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038371">
                          <w:marLeft w:val="0"/>
                          <w:marRight w:val="0"/>
                          <w:marTop w:val="0"/>
                          <w:marBottom w:val="0"/>
                          <w:divBdr>
                            <w:top w:val="none" w:sz="0" w:space="0" w:color="auto"/>
                            <w:left w:val="none" w:sz="0" w:space="0" w:color="auto"/>
                            <w:bottom w:val="none" w:sz="0" w:space="0" w:color="auto"/>
                            <w:right w:val="none" w:sz="0" w:space="0" w:color="auto"/>
                          </w:divBdr>
                          <w:divsChild>
                            <w:div w:id="646478107">
                              <w:marLeft w:val="0"/>
                              <w:marRight w:val="0"/>
                              <w:marTop w:val="0"/>
                              <w:marBottom w:val="0"/>
                              <w:divBdr>
                                <w:top w:val="none" w:sz="0" w:space="0" w:color="auto"/>
                                <w:left w:val="none" w:sz="0" w:space="0" w:color="auto"/>
                                <w:bottom w:val="none" w:sz="0" w:space="0" w:color="auto"/>
                                <w:right w:val="none" w:sz="0" w:space="0" w:color="auto"/>
                              </w:divBdr>
                              <w:divsChild>
                                <w:div w:id="226764963">
                                  <w:marLeft w:val="0"/>
                                  <w:marRight w:val="0"/>
                                  <w:marTop w:val="0"/>
                                  <w:marBottom w:val="0"/>
                                  <w:divBdr>
                                    <w:top w:val="none" w:sz="0" w:space="0" w:color="auto"/>
                                    <w:left w:val="none" w:sz="0" w:space="0" w:color="auto"/>
                                    <w:bottom w:val="none" w:sz="0" w:space="0" w:color="auto"/>
                                    <w:right w:val="none" w:sz="0" w:space="0" w:color="auto"/>
                                  </w:divBdr>
                                </w:div>
                                <w:div w:id="143549359">
                                  <w:marLeft w:val="0"/>
                                  <w:marRight w:val="0"/>
                                  <w:marTop w:val="0"/>
                                  <w:marBottom w:val="0"/>
                                  <w:divBdr>
                                    <w:top w:val="none" w:sz="0" w:space="0" w:color="auto"/>
                                    <w:left w:val="none" w:sz="0" w:space="0" w:color="auto"/>
                                    <w:bottom w:val="none" w:sz="0" w:space="0" w:color="auto"/>
                                    <w:right w:val="none" w:sz="0" w:space="0" w:color="auto"/>
                                  </w:divBdr>
                                  <w:divsChild>
                                    <w:div w:id="245960852">
                                      <w:marLeft w:val="0"/>
                                      <w:marRight w:val="0"/>
                                      <w:marTop w:val="0"/>
                                      <w:marBottom w:val="0"/>
                                      <w:divBdr>
                                        <w:top w:val="none" w:sz="0" w:space="0" w:color="auto"/>
                                        <w:left w:val="none" w:sz="0" w:space="0" w:color="auto"/>
                                        <w:bottom w:val="none" w:sz="0" w:space="0" w:color="auto"/>
                                        <w:right w:val="none" w:sz="0" w:space="0" w:color="auto"/>
                                      </w:divBdr>
                                    </w:div>
                                  </w:divsChild>
                                </w:div>
                                <w:div w:id="1943754935">
                                  <w:marLeft w:val="0"/>
                                  <w:marRight w:val="0"/>
                                  <w:marTop w:val="0"/>
                                  <w:marBottom w:val="0"/>
                                  <w:divBdr>
                                    <w:top w:val="none" w:sz="0" w:space="0" w:color="auto"/>
                                    <w:left w:val="none" w:sz="0" w:space="0" w:color="auto"/>
                                    <w:bottom w:val="none" w:sz="0" w:space="0" w:color="auto"/>
                                    <w:right w:val="none" w:sz="0" w:space="0" w:color="auto"/>
                                  </w:divBdr>
                                  <w:divsChild>
                                    <w:div w:id="1705982396">
                                      <w:marLeft w:val="0"/>
                                      <w:marRight w:val="0"/>
                                      <w:marTop w:val="0"/>
                                      <w:marBottom w:val="0"/>
                                      <w:divBdr>
                                        <w:top w:val="none" w:sz="0" w:space="0" w:color="auto"/>
                                        <w:left w:val="none" w:sz="0" w:space="0" w:color="auto"/>
                                        <w:bottom w:val="none" w:sz="0" w:space="0" w:color="auto"/>
                                        <w:right w:val="none" w:sz="0" w:space="0" w:color="auto"/>
                                      </w:divBdr>
                                    </w:div>
                                  </w:divsChild>
                                </w:div>
                                <w:div w:id="275674293">
                                  <w:marLeft w:val="0"/>
                                  <w:marRight w:val="0"/>
                                  <w:marTop w:val="0"/>
                                  <w:marBottom w:val="0"/>
                                  <w:divBdr>
                                    <w:top w:val="none" w:sz="0" w:space="0" w:color="auto"/>
                                    <w:left w:val="none" w:sz="0" w:space="0" w:color="auto"/>
                                    <w:bottom w:val="none" w:sz="0" w:space="0" w:color="auto"/>
                                    <w:right w:val="none" w:sz="0" w:space="0" w:color="auto"/>
                                  </w:divBdr>
                                  <w:divsChild>
                                    <w:div w:id="398986525">
                                      <w:marLeft w:val="0"/>
                                      <w:marRight w:val="0"/>
                                      <w:marTop w:val="0"/>
                                      <w:marBottom w:val="0"/>
                                      <w:divBdr>
                                        <w:top w:val="none" w:sz="0" w:space="0" w:color="auto"/>
                                        <w:left w:val="none" w:sz="0" w:space="0" w:color="auto"/>
                                        <w:bottom w:val="none" w:sz="0" w:space="0" w:color="auto"/>
                                        <w:right w:val="none" w:sz="0" w:space="0" w:color="auto"/>
                                      </w:divBdr>
                                    </w:div>
                                  </w:divsChild>
                                </w:div>
                                <w:div w:id="790784966">
                                  <w:marLeft w:val="0"/>
                                  <w:marRight w:val="0"/>
                                  <w:marTop w:val="0"/>
                                  <w:marBottom w:val="0"/>
                                  <w:divBdr>
                                    <w:top w:val="none" w:sz="0" w:space="0" w:color="auto"/>
                                    <w:left w:val="none" w:sz="0" w:space="0" w:color="auto"/>
                                    <w:bottom w:val="none" w:sz="0" w:space="0" w:color="auto"/>
                                    <w:right w:val="none" w:sz="0" w:space="0" w:color="auto"/>
                                  </w:divBdr>
                                  <w:divsChild>
                                    <w:div w:id="2054423824">
                                      <w:marLeft w:val="0"/>
                                      <w:marRight w:val="0"/>
                                      <w:marTop w:val="0"/>
                                      <w:marBottom w:val="0"/>
                                      <w:divBdr>
                                        <w:top w:val="none" w:sz="0" w:space="0" w:color="auto"/>
                                        <w:left w:val="none" w:sz="0" w:space="0" w:color="auto"/>
                                        <w:bottom w:val="none" w:sz="0" w:space="0" w:color="auto"/>
                                        <w:right w:val="none" w:sz="0" w:space="0" w:color="auto"/>
                                      </w:divBdr>
                                    </w:div>
                                  </w:divsChild>
                                </w:div>
                                <w:div w:id="717586319">
                                  <w:marLeft w:val="0"/>
                                  <w:marRight w:val="0"/>
                                  <w:marTop w:val="0"/>
                                  <w:marBottom w:val="0"/>
                                  <w:divBdr>
                                    <w:top w:val="none" w:sz="0" w:space="0" w:color="auto"/>
                                    <w:left w:val="none" w:sz="0" w:space="0" w:color="auto"/>
                                    <w:bottom w:val="none" w:sz="0" w:space="0" w:color="auto"/>
                                    <w:right w:val="none" w:sz="0" w:space="0" w:color="auto"/>
                                  </w:divBdr>
                                  <w:divsChild>
                                    <w:div w:id="801846430">
                                      <w:marLeft w:val="0"/>
                                      <w:marRight w:val="0"/>
                                      <w:marTop w:val="0"/>
                                      <w:marBottom w:val="0"/>
                                      <w:divBdr>
                                        <w:top w:val="none" w:sz="0" w:space="0" w:color="auto"/>
                                        <w:left w:val="none" w:sz="0" w:space="0" w:color="auto"/>
                                        <w:bottom w:val="none" w:sz="0" w:space="0" w:color="auto"/>
                                        <w:right w:val="none" w:sz="0" w:space="0" w:color="auto"/>
                                      </w:divBdr>
                                    </w:div>
                                  </w:divsChild>
                                </w:div>
                                <w:div w:id="1349217521">
                                  <w:marLeft w:val="0"/>
                                  <w:marRight w:val="0"/>
                                  <w:marTop w:val="0"/>
                                  <w:marBottom w:val="0"/>
                                  <w:divBdr>
                                    <w:top w:val="none" w:sz="0" w:space="0" w:color="auto"/>
                                    <w:left w:val="none" w:sz="0" w:space="0" w:color="auto"/>
                                    <w:bottom w:val="none" w:sz="0" w:space="0" w:color="auto"/>
                                    <w:right w:val="none" w:sz="0" w:space="0" w:color="auto"/>
                                  </w:divBdr>
                                  <w:divsChild>
                                    <w:div w:id="1294016967">
                                      <w:marLeft w:val="0"/>
                                      <w:marRight w:val="0"/>
                                      <w:marTop w:val="0"/>
                                      <w:marBottom w:val="0"/>
                                      <w:divBdr>
                                        <w:top w:val="none" w:sz="0" w:space="0" w:color="auto"/>
                                        <w:left w:val="none" w:sz="0" w:space="0" w:color="auto"/>
                                        <w:bottom w:val="none" w:sz="0" w:space="0" w:color="auto"/>
                                        <w:right w:val="none" w:sz="0" w:space="0" w:color="auto"/>
                                      </w:divBdr>
                                    </w:div>
                                  </w:divsChild>
                                </w:div>
                                <w:div w:id="887885373">
                                  <w:marLeft w:val="0"/>
                                  <w:marRight w:val="0"/>
                                  <w:marTop w:val="0"/>
                                  <w:marBottom w:val="0"/>
                                  <w:divBdr>
                                    <w:top w:val="none" w:sz="0" w:space="0" w:color="auto"/>
                                    <w:left w:val="none" w:sz="0" w:space="0" w:color="auto"/>
                                    <w:bottom w:val="none" w:sz="0" w:space="0" w:color="auto"/>
                                    <w:right w:val="none" w:sz="0" w:space="0" w:color="auto"/>
                                  </w:divBdr>
                                  <w:divsChild>
                                    <w:div w:id="2022706585">
                                      <w:marLeft w:val="0"/>
                                      <w:marRight w:val="0"/>
                                      <w:marTop w:val="0"/>
                                      <w:marBottom w:val="0"/>
                                      <w:divBdr>
                                        <w:top w:val="none" w:sz="0" w:space="0" w:color="auto"/>
                                        <w:left w:val="none" w:sz="0" w:space="0" w:color="auto"/>
                                        <w:bottom w:val="none" w:sz="0" w:space="0" w:color="auto"/>
                                        <w:right w:val="none" w:sz="0" w:space="0" w:color="auto"/>
                                      </w:divBdr>
                                    </w:div>
                                  </w:divsChild>
                                </w:div>
                                <w:div w:id="1529023545">
                                  <w:marLeft w:val="0"/>
                                  <w:marRight w:val="0"/>
                                  <w:marTop w:val="0"/>
                                  <w:marBottom w:val="0"/>
                                  <w:divBdr>
                                    <w:top w:val="none" w:sz="0" w:space="0" w:color="auto"/>
                                    <w:left w:val="none" w:sz="0" w:space="0" w:color="auto"/>
                                    <w:bottom w:val="none" w:sz="0" w:space="0" w:color="auto"/>
                                    <w:right w:val="none" w:sz="0" w:space="0" w:color="auto"/>
                                  </w:divBdr>
                                  <w:divsChild>
                                    <w:div w:id="1285817610">
                                      <w:marLeft w:val="0"/>
                                      <w:marRight w:val="0"/>
                                      <w:marTop w:val="0"/>
                                      <w:marBottom w:val="0"/>
                                      <w:divBdr>
                                        <w:top w:val="none" w:sz="0" w:space="0" w:color="auto"/>
                                        <w:left w:val="none" w:sz="0" w:space="0" w:color="auto"/>
                                        <w:bottom w:val="none" w:sz="0" w:space="0" w:color="auto"/>
                                        <w:right w:val="none" w:sz="0" w:space="0" w:color="auto"/>
                                      </w:divBdr>
                                    </w:div>
                                  </w:divsChild>
                                </w:div>
                                <w:div w:id="929199313">
                                  <w:marLeft w:val="0"/>
                                  <w:marRight w:val="0"/>
                                  <w:marTop w:val="0"/>
                                  <w:marBottom w:val="0"/>
                                  <w:divBdr>
                                    <w:top w:val="none" w:sz="0" w:space="0" w:color="auto"/>
                                    <w:left w:val="none" w:sz="0" w:space="0" w:color="auto"/>
                                    <w:bottom w:val="none" w:sz="0" w:space="0" w:color="auto"/>
                                    <w:right w:val="none" w:sz="0" w:space="0" w:color="auto"/>
                                  </w:divBdr>
                                  <w:divsChild>
                                    <w:div w:id="2069987325">
                                      <w:marLeft w:val="0"/>
                                      <w:marRight w:val="0"/>
                                      <w:marTop w:val="0"/>
                                      <w:marBottom w:val="0"/>
                                      <w:divBdr>
                                        <w:top w:val="none" w:sz="0" w:space="0" w:color="auto"/>
                                        <w:left w:val="none" w:sz="0" w:space="0" w:color="auto"/>
                                        <w:bottom w:val="none" w:sz="0" w:space="0" w:color="auto"/>
                                        <w:right w:val="none" w:sz="0" w:space="0" w:color="auto"/>
                                      </w:divBdr>
                                    </w:div>
                                  </w:divsChild>
                                </w:div>
                                <w:div w:id="1618946445">
                                  <w:marLeft w:val="0"/>
                                  <w:marRight w:val="0"/>
                                  <w:marTop w:val="0"/>
                                  <w:marBottom w:val="0"/>
                                  <w:divBdr>
                                    <w:top w:val="none" w:sz="0" w:space="0" w:color="auto"/>
                                    <w:left w:val="none" w:sz="0" w:space="0" w:color="auto"/>
                                    <w:bottom w:val="none" w:sz="0" w:space="0" w:color="auto"/>
                                    <w:right w:val="none" w:sz="0" w:space="0" w:color="auto"/>
                                  </w:divBdr>
                                  <w:divsChild>
                                    <w:div w:id="4531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8241">
                              <w:marLeft w:val="0"/>
                              <w:marRight w:val="0"/>
                              <w:marTop w:val="0"/>
                              <w:marBottom w:val="0"/>
                              <w:divBdr>
                                <w:top w:val="none" w:sz="0" w:space="0" w:color="auto"/>
                                <w:left w:val="none" w:sz="0" w:space="0" w:color="auto"/>
                                <w:bottom w:val="none" w:sz="0" w:space="0" w:color="auto"/>
                                <w:right w:val="none" w:sz="0" w:space="0" w:color="auto"/>
                              </w:divBdr>
                              <w:divsChild>
                                <w:div w:id="676154707">
                                  <w:marLeft w:val="0"/>
                                  <w:marRight w:val="0"/>
                                  <w:marTop w:val="0"/>
                                  <w:marBottom w:val="0"/>
                                  <w:divBdr>
                                    <w:top w:val="none" w:sz="0" w:space="0" w:color="auto"/>
                                    <w:left w:val="none" w:sz="0" w:space="0" w:color="auto"/>
                                    <w:bottom w:val="none" w:sz="0" w:space="0" w:color="auto"/>
                                    <w:right w:val="none" w:sz="0" w:space="0" w:color="auto"/>
                                  </w:divBdr>
                                </w:div>
                                <w:div w:id="1934051714">
                                  <w:marLeft w:val="0"/>
                                  <w:marRight w:val="0"/>
                                  <w:marTop w:val="0"/>
                                  <w:marBottom w:val="0"/>
                                  <w:divBdr>
                                    <w:top w:val="none" w:sz="0" w:space="0" w:color="auto"/>
                                    <w:left w:val="none" w:sz="0" w:space="0" w:color="auto"/>
                                    <w:bottom w:val="none" w:sz="0" w:space="0" w:color="auto"/>
                                    <w:right w:val="none" w:sz="0" w:space="0" w:color="auto"/>
                                  </w:divBdr>
                                  <w:divsChild>
                                    <w:div w:id="1970086517">
                                      <w:marLeft w:val="0"/>
                                      <w:marRight w:val="0"/>
                                      <w:marTop w:val="0"/>
                                      <w:marBottom w:val="0"/>
                                      <w:divBdr>
                                        <w:top w:val="none" w:sz="0" w:space="0" w:color="auto"/>
                                        <w:left w:val="none" w:sz="0" w:space="0" w:color="auto"/>
                                        <w:bottom w:val="none" w:sz="0" w:space="0" w:color="auto"/>
                                        <w:right w:val="none" w:sz="0" w:space="0" w:color="auto"/>
                                      </w:divBdr>
                                    </w:div>
                                  </w:divsChild>
                                </w:div>
                                <w:div w:id="334961468">
                                  <w:marLeft w:val="0"/>
                                  <w:marRight w:val="0"/>
                                  <w:marTop w:val="0"/>
                                  <w:marBottom w:val="0"/>
                                  <w:divBdr>
                                    <w:top w:val="none" w:sz="0" w:space="0" w:color="auto"/>
                                    <w:left w:val="none" w:sz="0" w:space="0" w:color="auto"/>
                                    <w:bottom w:val="none" w:sz="0" w:space="0" w:color="auto"/>
                                    <w:right w:val="none" w:sz="0" w:space="0" w:color="auto"/>
                                  </w:divBdr>
                                  <w:divsChild>
                                    <w:div w:id="1494179216">
                                      <w:marLeft w:val="0"/>
                                      <w:marRight w:val="0"/>
                                      <w:marTop w:val="0"/>
                                      <w:marBottom w:val="0"/>
                                      <w:divBdr>
                                        <w:top w:val="none" w:sz="0" w:space="0" w:color="auto"/>
                                        <w:left w:val="none" w:sz="0" w:space="0" w:color="auto"/>
                                        <w:bottom w:val="none" w:sz="0" w:space="0" w:color="auto"/>
                                        <w:right w:val="none" w:sz="0" w:space="0" w:color="auto"/>
                                      </w:divBdr>
                                      <w:divsChild>
                                        <w:div w:id="1467698711">
                                          <w:marLeft w:val="0"/>
                                          <w:marRight w:val="0"/>
                                          <w:marTop w:val="0"/>
                                          <w:marBottom w:val="0"/>
                                          <w:divBdr>
                                            <w:top w:val="none" w:sz="0" w:space="0" w:color="auto"/>
                                            <w:left w:val="none" w:sz="0" w:space="0" w:color="auto"/>
                                            <w:bottom w:val="none" w:sz="0" w:space="0" w:color="auto"/>
                                            <w:right w:val="none" w:sz="0" w:space="0" w:color="auto"/>
                                          </w:divBdr>
                                          <w:divsChild>
                                            <w:div w:id="562062334">
                                              <w:marLeft w:val="0"/>
                                              <w:marRight w:val="0"/>
                                              <w:marTop w:val="120"/>
                                              <w:marBottom w:val="0"/>
                                              <w:divBdr>
                                                <w:top w:val="none" w:sz="0" w:space="0" w:color="auto"/>
                                                <w:left w:val="none" w:sz="0" w:space="0" w:color="auto"/>
                                                <w:bottom w:val="none" w:sz="0" w:space="0" w:color="auto"/>
                                                <w:right w:val="none" w:sz="0" w:space="0" w:color="auto"/>
                                              </w:divBdr>
                                            </w:div>
                                            <w:div w:id="1076321339">
                                              <w:marLeft w:val="0"/>
                                              <w:marRight w:val="0"/>
                                              <w:marTop w:val="0"/>
                                              <w:marBottom w:val="0"/>
                                              <w:divBdr>
                                                <w:top w:val="none" w:sz="0" w:space="0" w:color="auto"/>
                                                <w:left w:val="none" w:sz="0" w:space="0" w:color="auto"/>
                                                <w:bottom w:val="none" w:sz="0" w:space="0" w:color="auto"/>
                                                <w:right w:val="none" w:sz="0" w:space="0" w:color="auto"/>
                                              </w:divBdr>
                                            </w:div>
                                          </w:divsChild>
                                        </w:div>
                                        <w:div w:id="249431643">
                                          <w:marLeft w:val="0"/>
                                          <w:marRight w:val="0"/>
                                          <w:marTop w:val="0"/>
                                          <w:marBottom w:val="0"/>
                                          <w:divBdr>
                                            <w:top w:val="none" w:sz="0" w:space="0" w:color="auto"/>
                                            <w:left w:val="none" w:sz="0" w:space="0" w:color="auto"/>
                                            <w:bottom w:val="none" w:sz="0" w:space="0" w:color="auto"/>
                                            <w:right w:val="none" w:sz="0" w:space="0" w:color="auto"/>
                                          </w:divBdr>
                                          <w:divsChild>
                                            <w:div w:id="1643122719">
                                              <w:marLeft w:val="0"/>
                                              <w:marRight w:val="0"/>
                                              <w:marTop w:val="120"/>
                                              <w:marBottom w:val="0"/>
                                              <w:divBdr>
                                                <w:top w:val="none" w:sz="0" w:space="0" w:color="auto"/>
                                                <w:left w:val="none" w:sz="0" w:space="0" w:color="auto"/>
                                                <w:bottom w:val="none" w:sz="0" w:space="0" w:color="auto"/>
                                                <w:right w:val="none" w:sz="0" w:space="0" w:color="auto"/>
                                              </w:divBdr>
                                            </w:div>
                                            <w:div w:id="22087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400818">
                                  <w:marLeft w:val="0"/>
                                  <w:marRight w:val="0"/>
                                  <w:marTop w:val="0"/>
                                  <w:marBottom w:val="0"/>
                                  <w:divBdr>
                                    <w:top w:val="none" w:sz="0" w:space="0" w:color="auto"/>
                                    <w:left w:val="none" w:sz="0" w:space="0" w:color="auto"/>
                                    <w:bottom w:val="none" w:sz="0" w:space="0" w:color="auto"/>
                                    <w:right w:val="none" w:sz="0" w:space="0" w:color="auto"/>
                                  </w:divBdr>
                                  <w:divsChild>
                                    <w:div w:id="1751732459">
                                      <w:marLeft w:val="0"/>
                                      <w:marRight w:val="0"/>
                                      <w:marTop w:val="0"/>
                                      <w:marBottom w:val="0"/>
                                      <w:divBdr>
                                        <w:top w:val="none" w:sz="0" w:space="0" w:color="auto"/>
                                        <w:left w:val="none" w:sz="0" w:space="0" w:color="auto"/>
                                        <w:bottom w:val="none" w:sz="0" w:space="0" w:color="auto"/>
                                        <w:right w:val="none" w:sz="0" w:space="0" w:color="auto"/>
                                      </w:divBdr>
                                    </w:div>
                                  </w:divsChild>
                                </w:div>
                                <w:div w:id="959991499">
                                  <w:marLeft w:val="0"/>
                                  <w:marRight w:val="0"/>
                                  <w:marTop w:val="0"/>
                                  <w:marBottom w:val="0"/>
                                  <w:divBdr>
                                    <w:top w:val="none" w:sz="0" w:space="0" w:color="auto"/>
                                    <w:left w:val="none" w:sz="0" w:space="0" w:color="auto"/>
                                    <w:bottom w:val="none" w:sz="0" w:space="0" w:color="auto"/>
                                    <w:right w:val="none" w:sz="0" w:space="0" w:color="auto"/>
                                  </w:divBdr>
                                  <w:divsChild>
                                    <w:div w:id="1265454667">
                                      <w:marLeft w:val="0"/>
                                      <w:marRight w:val="0"/>
                                      <w:marTop w:val="0"/>
                                      <w:marBottom w:val="0"/>
                                      <w:divBdr>
                                        <w:top w:val="none" w:sz="0" w:space="0" w:color="auto"/>
                                        <w:left w:val="none" w:sz="0" w:space="0" w:color="auto"/>
                                        <w:bottom w:val="none" w:sz="0" w:space="0" w:color="auto"/>
                                        <w:right w:val="none" w:sz="0" w:space="0" w:color="auto"/>
                                      </w:divBdr>
                                    </w:div>
                                  </w:divsChild>
                                </w:div>
                                <w:div w:id="1420637042">
                                  <w:marLeft w:val="0"/>
                                  <w:marRight w:val="0"/>
                                  <w:marTop w:val="0"/>
                                  <w:marBottom w:val="0"/>
                                  <w:divBdr>
                                    <w:top w:val="none" w:sz="0" w:space="0" w:color="auto"/>
                                    <w:left w:val="none" w:sz="0" w:space="0" w:color="auto"/>
                                    <w:bottom w:val="none" w:sz="0" w:space="0" w:color="auto"/>
                                    <w:right w:val="none" w:sz="0" w:space="0" w:color="auto"/>
                                  </w:divBdr>
                                  <w:divsChild>
                                    <w:div w:id="1664501830">
                                      <w:marLeft w:val="0"/>
                                      <w:marRight w:val="0"/>
                                      <w:marTop w:val="0"/>
                                      <w:marBottom w:val="0"/>
                                      <w:divBdr>
                                        <w:top w:val="none" w:sz="0" w:space="0" w:color="auto"/>
                                        <w:left w:val="none" w:sz="0" w:space="0" w:color="auto"/>
                                        <w:bottom w:val="none" w:sz="0" w:space="0" w:color="auto"/>
                                        <w:right w:val="none" w:sz="0" w:space="0" w:color="auto"/>
                                      </w:divBdr>
                                    </w:div>
                                  </w:divsChild>
                                </w:div>
                                <w:div w:id="291326845">
                                  <w:marLeft w:val="0"/>
                                  <w:marRight w:val="0"/>
                                  <w:marTop w:val="0"/>
                                  <w:marBottom w:val="0"/>
                                  <w:divBdr>
                                    <w:top w:val="none" w:sz="0" w:space="0" w:color="auto"/>
                                    <w:left w:val="none" w:sz="0" w:space="0" w:color="auto"/>
                                    <w:bottom w:val="none" w:sz="0" w:space="0" w:color="auto"/>
                                    <w:right w:val="none" w:sz="0" w:space="0" w:color="auto"/>
                                  </w:divBdr>
                                  <w:divsChild>
                                    <w:div w:id="649211467">
                                      <w:marLeft w:val="0"/>
                                      <w:marRight w:val="0"/>
                                      <w:marTop w:val="0"/>
                                      <w:marBottom w:val="0"/>
                                      <w:divBdr>
                                        <w:top w:val="none" w:sz="0" w:space="0" w:color="auto"/>
                                        <w:left w:val="none" w:sz="0" w:space="0" w:color="auto"/>
                                        <w:bottom w:val="none" w:sz="0" w:space="0" w:color="auto"/>
                                        <w:right w:val="none" w:sz="0" w:space="0" w:color="auto"/>
                                      </w:divBdr>
                                    </w:div>
                                  </w:divsChild>
                                </w:div>
                                <w:div w:id="278804307">
                                  <w:marLeft w:val="0"/>
                                  <w:marRight w:val="0"/>
                                  <w:marTop w:val="0"/>
                                  <w:marBottom w:val="0"/>
                                  <w:divBdr>
                                    <w:top w:val="none" w:sz="0" w:space="0" w:color="auto"/>
                                    <w:left w:val="none" w:sz="0" w:space="0" w:color="auto"/>
                                    <w:bottom w:val="none" w:sz="0" w:space="0" w:color="auto"/>
                                    <w:right w:val="none" w:sz="0" w:space="0" w:color="auto"/>
                                  </w:divBdr>
                                  <w:divsChild>
                                    <w:div w:id="647905528">
                                      <w:marLeft w:val="0"/>
                                      <w:marRight w:val="0"/>
                                      <w:marTop w:val="120"/>
                                      <w:marBottom w:val="0"/>
                                      <w:divBdr>
                                        <w:top w:val="none" w:sz="0" w:space="0" w:color="auto"/>
                                        <w:left w:val="none" w:sz="0" w:space="0" w:color="auto"/>
                                        <w:bottom w:val="none" w:sz="0" w:space="0" w:color="auto"/>
                                        <w:right w:val="none" w:sz="0" w:space="0" w:color="auto"/>
                                      </w:divBdr>
                                    </w:div>
                                    <w:div w:id="410276687">
                                      <w:marLeft w:val="0"/>
                                      <w:marRight w:val="0"/>
                                      <w:marTop w:val="0"/>
                                      <w:marBottom w:val="0"/>
                                      <w:divBdr>
                                        <w:top w:val="none" w:sz="0" w:space="0" w:color="auto"/>
                                        <w:left w:val="none" w:sz="0" w:space="0" w:color="auto"/>
                                        <w:bottom w:val="none" w:sz="0" w:space="0" w:color="auto"/>
                                        <w:right w:val="none" w:sz="0" w:space="0" w:color="auto"/>
                                      </w:divBdr>
                                    </w:div>
                                  </w:divsChild>
                                </w:div>
                                <w:div w:id="1436171438">
                                  <w:marLeft w:val="0"/>
                                  <w:marRight w:val="0"/>
                                  <w:marTop w:val="0"/>
                                  <w:marBottom w:val="0"/>
                                  <w:divBdr>
                                    <w:top w:val="none" w:sz="0" w:space="0" w:color="auto"/>
                                    <w:left w:val="none" w:sz="0" w:space="0" w:color="auto"/>
                                    <w:bottom w:val="none" w:sz="0" w:space="0" w:color="auto"/>
                                    <w:right w:val="none" w:sz="0" w:space="0" w:color="auto"/>
                                  </w:divBdr>
                                  <w:divsChild>
                                    <w:div w:id="2007660074">
                                      <w:marLeft w:val="0"/>
                                      <w:marRight w:val="0"/>
                                      <w:marTop w:val="120"/>
                                      <w:marBottom w:val="0"/>
                                      <w:divBdr>
                                        <w:top w:val="none" w:sz="0" w:space="0" w:color="auto"/>
                                        <w:left w:val="none" w:sz="0" w:space="0" w:color="auto"/>
                                        <w:bottom w:val="none" w:sz="0" w:space="0" w:color="auto"/>
                                        <w:right w:val="none" w:sz="0" w:space="0" w:color="auto"/>
                                      </w:divBdr>
                                    </w:div>
                                    <w:div w:id="1575050148">
                                      <w:marLeft w:val="0"/>
                                      <w:marRight w:val="0"/>
                                      <w:marTop w:val="0"/>
                                      <w:marBottom w:val="0"/>
                                      <w:divBdr>
                                        <w:top w:val="none" w:sz="0" w:space="0" w:color="auto"/>
                                        <w:left w:val="none" w:sz="0" w:space="0" w:color="auto"/>
                                        <w:bottom w:val="none" w:sz="0" w:space="0" w:color="auto"/>
                                        <w:right w:val="none" w:sz="0" w:space="0" w:color="auto"/>
                                      </w:divBdr>
                                    </w:div>
                                  </w:divsChild>
                                </w:div>
                                <w:div w:id="787360703">
                                  <w:marLeft w:val="0"/>
                                  <w:marRight w:val="0"/>
                                  <w:marTop w:val="0"/>
                                  <w:marBottom w:val="0"/>
                                  <w:divBdr>
                                    <w:top w:val="none" w:sz="0" w:space="0" w:color="auto"/>
                                    <w:left w:val="none" w:sz="0" w:space="0" w:color="auto"/>
                                    <w:bottom w:val="none" w:sz="0" w:space="0" w:color="auto"/>
                                    <w:right w:val="none" w:sz="0" w:space="0" w:color="auto"/>
                                  </w:divBdr>
                                  <w:divsChild>
                                    <w:div w:id="1757897951">
                                      <w:marLeft w:val="0"/>
                                      <w:marRight w:val="0"/>
                                      <w:marTop w:val="120"/>
                                      <w:marBottom w:val="0"/>
                                      <w:divBdr>
                                        <w:top w:val="none" w:sz="0" w:space="0" w:color="auto"/>
                                        <w:left w:val="none" w:sz="0" w:space="0" w:color="auto"/>
                                        <w:bottom w:val="none" w:sz="0" w:space="0" w:color="auto"/>
                                        <w:right w:val="none" w:sz="0" w:space="0" w:color="auto"/>
                                      </w:divBdr>
                                    </w:div>
                                    <w:div w:id="1610432024">
                                      <w:marLeft w:val="0"/>
                                      <w:marRight w:val="0"/>
                                      <w:marTop w:val="0"/>
                                      <w:marBottom w:val="0"/>
                                      <w:divBdr>
                                        <w:top w:val="none" w:sz="0" w:space="0" w:color="auto"/>
                                        <w:left w:val="none" w:sz="0" w:space="0" w:color="auto"/>
                                        <w:bottom w:val="none" w:sz="0" w:space="0" w:color="auto"/>
                                        <w:right w:val="none" w:sz="0" w:space="0" w:color="auto"/>
                                      </w:divBdr>
                                    </w:div>
                                  </w:divsChild>
                                </w:div>
                                <w:div w:id="84425755">
                                  <w:marLeft w:val="0"/>
                                  <w:marRight w:val="0"/>
                                  <w:marTop w:val="0"/>
                                  <w:marBottom w:val="0"/>
                                  <w:divBdr>
                                    <w:top w:val="none" w:sz="0" w:space="0" w:color="auto"/>
                                    <w:left w:val="none" w:sz="0" w:space="0" w:color="auto"/>
                                    <w:bottom w:val="none" w:sz="0" w:space="0" w:color="auto"/>
                                    <w:right w:val="none" w:sz="0" w:space="0" w:color="auto"/>
                                  </w:divBdr>
                                  <w:divsChild>
                                    <w:div w:id="1310479465">
                                      <w:marLeft w:val="0"/>
                                      <w:marRight w:val="0"/>
                                      <w:marTop w:val="120"/>
                                      <w:marBottom w:val="0"/>
                                      <w:divBdr>
                                        <w:top w:val="none" w:sz="0" w:space="0" w:color="auto"/>
                                        <w:left w:val="none" w:sz="0" w:space="0" w:color="auto"/>
                                        <w:bottom w:val="none" w:sz="0" w:space="0" w:color="auto"/>
                                        <w:right w:val="none" w:sz="0" w:space="0" w:color="auto"/>
                                      </w:divBdr>
                                    </w:div>
                                    <w:div w:id="1633749900">
                                      <w:marLeft w:val="0"/>
                                      <w:marRight w:val="0"/>
                                      <w:marTop w:val="0"/>
                                      <w:marBottom w:val="0"/>
                                      <w:divBdr>
                                        <w:top w:val="none" w:sz="0" w:space="0" w:color="auto"/>
                                        <w:left w:val="none" w:sz="0" w:space="0" w:color="auto"/>
                                        <w:bottom w:val="none" w:sz="0" w:space="0" w:color="auto"/>
                                        <w:right w:val="none" w:sz="0" w:space="0" w:color="auto"/>
                                      </w:divBdr>
                                    </w:div>
                                  </w:divsChild>
                                </w:div>
                                <w:div w:id="569658488">
                                  <w:marLeft w:val="0"/>
                                  <w:marRight w:val="0"/>
                                  <w:marTop w:val="0"/>
                                  <w:marBottom w:val="0"/>
                                  <w:divBdr>
                                    <w:top w:val="none" w:sz="0" w:space="0" w:color="auto"/>
                                    <w:left w:val="none" w:sz="0" w:space="0" w:color="auto"/>
                                    <w:bottom w:val="none" w:sz="0" w:space="0" w:color="auto"/>
                                    <w:right w:val="none" w:sz="0" w:space="0" w:color="auto"/>
                                  </w:divBdr>
                                  <w:divsChild>
                                    <w:div w:id="3096201">
                                      <w:marLeft w:val="0"/>
                                      <w:marRight w:val="0"/>
                                      <w:marTop w:val="120"/>
                                      <w:marBottom w:val="0"/>
                                      <w:divBdr>
                                        <w:top w:val="none" w:sz="0" w:space="0" w:color="auto"/>
                                        <w:left w:val="none" w:sz="0" w:space="0" w:color="auto"/>
                                        <w:bottom w:val="none" w:sz="0" w:space="0" w:color="auto"/>
                                        <w:right w:val="none" w:sz="0" w:space="0" w:color="auto"/>
                                      </w:divBdr>
                                    </w:div>
                                    <w:div w:id="536551987">
                                      <w:marLeft w:val="0"/>
                                      <w:marRight w:val="0"/>
                                      <w:marTop w:val="0"/>
                                      <w:marBottom w:val="0"/>
                                      <w:divBdr>
                                        <w:top w:val="none" w:sz="0" w:space="0" w:color="auto"/>
                                        <w:left w:val="none" w:sz="0" w:space="0" w:color="auto"/>
                                        <w:bottom w:val="none" w:sz="0" w:space="0" w:color="auto"/>
                                        <w:right w:val="none" w:sz="0" w:space="0" w:color="auto"/>
                                      </w:divBdr>
                                    </w:div>
                                  </w:divsChild>
                                </w:div>
                                <w:div w:id="1981882343">
                                  <w:marLeft w:val="0"/>
                                  <w:marRight w:val="0"/>
                                  <w:marTop w:val="0"/>
                                  <w:marBottom w:val="0"/>
                                  <w:divBdr>
                                    <w:top w:val="none" w:sz="0" w:space="0" w:color="auto"/>
                                    <w:left w:val="none" w:sz="0" w:space="0" w:color="auto"/>
                                    <w:bottom w:val="none" w:sz="0" w:space="0" w:color="auto"/>
                                    <w:right w:val="none" w:sz="0" w:space="0" w:color="auto"/>
                                  </w:divBdr>
                                  <w:divsChild>
                                    <w:div w:id="1232042459">
                                      <w:marLeft w:val="0"/>
                                      <w:marRight w:val="0"/>
                                      <w:marTop w:val="0"/>
                                      <w:marBottom w:val="0"/>
                                      <w:divBdr>
                                        <w:top w:val="none" w:sz="0" w:space="0" w:color="auto"/>
                                        <w:left w:val="none" w:sz="0" w:space="0" w:color="auto"/>
                                        <w:bottom w:val="none" w:sz="0" w:space="0" w:color="auto"/>
                                        <w:right w:val="none" w:sz="0" w:space="0" w:color="auto"/>
                                      </w:divBdr>
                                    </w:div>
                                  </w:divsChild>
                                </w:div>
                                <w:div w:id="1652325112">
                                  <w:marLeft w:val="0"/>
                                  <w:marRight w:val="0"/>
                                  <w:marTop w:val="0"/>
                                  <w:marBottom w:val="0"/>
                                  <w:divBdr>
                                    <w:top w:val="none" w:sz="0" w:space="0" w:color="auto"/>
                                    <w:left w:val="none" w:sz="0" w:space="0" w:color="auto"/>
                                    <w:bottom w:val="none" w:sz="0" w:space="0" w:color="auto"/>
                                    <w:right w:val="none" w:sz="0" w:space="0" w:color="auto"/>
                                  </w:divBdr>
                                  <w:divsChild>
                                    <w:div w:id="6534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6347">
                              <w:marLeft w:val="0"/>
                              <w:marRight w:val="0"/>
                              <w:marTop w:val="0"/>
                              <w:marBottom w:val="0"/>
                              <w:divBdr>
                                <w:top w:val="none" w:sz="0" w:space="0" w:color="auto"/>
                                <w:left w:val="none" w:sz="0" w:space="0" w:color="auto"/>
                                <w:bottom w:val="none" w:sz="0" w:space="0" w:color="auto"/>
                                <w:right w:val="none" w:sz="0" w:space="0" w:color="auto"/>
                              </w:divBdr>
                              <w:divsChild>
                                <w:div w:id="519972266">
                                  <w:marLeft w:val="0"/>
                                  <w:marRight w:val="0"/>
                                  <w:marTop w:val="0"/>
                                  <w:marBottom w:val="0"/>
                                  <w:divBdr>
                                    <w:top w:val="none" w:sz="0" w:space="0" w:color="auto"/>
                                    <w:left w:val="none" w:sz="0" w:space="0" w:color="auto"/>
                                    <w:bottom w:val="none" w:sz="0" w:space="0" w:color="auto"/>
                                    <w:right w:val="none" w:sz="0" w:space="0" w:color="auto"/>
                                  </w:divBdr>
                                </w:div>
                                <w:div w:id="83579290">
                                  <w:marLeft w:val="0"/>
                                  <w:marRight w:val="0"/>
                                  <w:marTop w:val="0"/>
                                  <w:marBottom w:val="0"/>
                                  <w:divBdr>
                                    <w:top w:val="none" w:sz="0" w:space="0" w:color="auto"/>
                                    <w:left w:val="none" w:sz="0" w:space="0" w:color="auto"/>
                                    <w:bottom w:val="none" w:sz="0" w:space="0" w:color="auto"/>
                                    <w:right w:val="none" w:sz="0" w:space="0" w:color="auto"/>
                                  </w:divBdr>
                                  <w:divsChild>
                                    <w:div w:id="2124417121">
                                      <w:marLeft w:val="0"/>
                                      <w:marRight w:val="0"/>
                                      <w:marTop w:val="0"/>
                                      <w:marBottom w:val="0"/>
                                      <w:divBdr>
                                        <w:top w:val="none" w:sz="0" w:space="0" w:color="auto"/>
                                        <w:left w:val="none" w:sz="0" w:space="0" w:color="auto"/>
                                        <w:bottom w:val="none" w:sz="0" w:space="0" w:color="auto"/>
                                        <w:right w:val="none" w:sz="0" w:space="0" w:color="auto"/>
                                      </w:divBdr>
                                    </w:div>
                                  </w:divsChild>
                                </w:div>
                                <w:div w:id="505904139">
                                  <w:marLeft w:val="0"/>
                                  <w:marRight w:val="0"/>
                                  <w:marTop w:val="0"/>
                                  <w:marBottom w:val="0"/>
                                  <w:divBdr>
                                    <w:top w:val="none" w:sz="0" w:space="0" w:color="auto"/>
                                    <w:left w:val="none" w:sz="0" w:space="0" w:color="auto"/>
                                    <w:bottom w:val="none" w:sz="0" w:space="0" w:color="auto"/>
                                    <w:right w:val="none" w:sz="0" w:space="0" w:color="auto"/>
                                  </w:divBdr>
                                  <w:divsChild>
                                    <w:div w:id="481821563">
                                      <w:marLeft w:val="0"/>
                                      <w:marRight w:val="0"/>
                                      <w:marTop w:val="0"/>
                                      <w:marBottom w:val="0"/>
                                      <w:divBdr>
                                        <w:top w:val="none" w:sz="0" w:space="0" w:color="auto"/>
                                        <w:left w:val="none" w:sz="0" w:space="0" w:color="auto"/>
                                        <w:bottom w:val="none" w:sz="0" w:space="0" w:color="auto"/>
                                        <w:right w:val="none" w:sz="0" w:space="0" w:color="auto"/>
                                      </w:divBdr>
                                    </w:div>
                                  </w:divsChild>
                                </w:div>
                                <w:div w:id="127673246">
                                  <w:marLeft w:val="0"/>
                                  <w:marRight w:val="0"/>
                                  <w:marTop w:val="0"/>
                                  <w:marBottom w:val="0"/>
                                  <w:divBdr>
                                    <w:top w:val="none" w:sz="0" w:space="0" w:color="auto"/>
                                    <w:left w:val="none" w:sz="0" w:space="0" w:color="auto"/>
                                    <w:bottom w:val="none" w:sz="0" w:space="0" w:color="auto"/>
                                    <w:right w:val="none" w:sz="0" w:space="0" w:color="auto"/>
                                  </w:divBdr>
                                  <w:divsChild>
                                    <w:div w:id="955328278">
                                      <w:marLeft w:val="0"/>
                                      <w:marRight w:val="0"/>
                                      <w:marTop w:val="0"/>
                                      <w:marBottom w:val="0"/>
                                      <w:divBdr>
                                        <w:top w:val="none" w:sz="0" w:space="0" w:color="auto"/>
                                        <w:left w:val="none" w:sz="0" w:space="0" w:color="auto"/>
                                        <w:bottom w:val="none" w:sz="0" w:space="0" w:color="auto"/>
                                        <w:right w:val="none" w:sz="0" w:space="0" w:color="auto"/>
                                      </w:divBdr>
                                      <w:divsChild>
                                        <w:div w:id="1758479445">
                                          <w:marLeft w:val="0"/>
                                          <w:marRight w:val="0"/>
                                          <w:marTop w:val="0"/>
                                          <w:marBottom w:val="0"/>
                                          <w:divBdr>
                                            <w:top w:val="none" w:sz="0" w:space="0" w:color="auto"/>
                                            <w:left w:val="none" w:sz="0" w:space="0" w:color="auto"/>
                                            <w:bottom w:val="none" w:sz="0" w:space="0" w:color="auto"/>
                                            <w:right w:val="none" w:sz="0" w:space="0" w:color="auto"/>
                                          </w:divBdr>
                                          <w:divsChild>
                                            <w:div w:id="1407799398">
                                              <w:marLeft w:val="0"/>
                                              <w:marRight w:val="0"/>
                                              <w:marTop w:val="120"/>
                                              <w:marBottom w:val="0"/>
                                              <w:divBdr>
                                                <w:top w:val="none" w:sz="0" w:space="0" w:color="auto"/>
                                                <w:left w:val="none" w:sz="0" w:space="0" w:color="auto"/>
                                                <w:bottom w:val="none" w:sz="0" w:space="0" w:color="auto"/>
                                                <w:right w:val="none" w:sz="0" w:space="0" w:color="auto"/>
                                              </w:divBdr>
                                            </w:div>
                                            <w:div w:id="79108354">
                                              <w:marLeft w:val="0"/>
                                              <w:marRight w:val="0"/>
                                              <w:marTop w:val="0"/>
                                              <w:marBottom w:val="0"/>
                                              <w:divBdr>
                                                <w:top w:val="none" w:sz="0" w:space="0" w:color="auto"/>
                                                <w:left w:val="none" w:sz="0" w:space="0" w:color="auto"/>
                                                <w:bottom w:val="none" w:sz="0" w:space="0" w:color="auto"/>
                                                <w:right w:val="none" w:sz="0" w:space="0" w:color="auto"/>
                                              </w:divBdr>
                                            </w:div>
                                          </w:divsChild>
                                        </w:div>
                                        <w:div w:id="224145968">
                                          <w:marLeft w:val="0"/>
                                          <w:marRight w:val="0"/>
                                          <w:marTop w:val="0"/>
                                          <w:marBottom w:val="0"/>
                                          <w:divBdr>
                                            <w:top w:val="none" w:sz="0" w:space="0" w:color="auto"/>
                                            <w:left w:val="none" w:sz="0" w:space="0" w:color="auto"/>
                                            <w:bottom w:val="none" w:sz="0" w:space="0" w:color="auto"/>
                                            <w:right w:val="none" w:sz="0" w:space="0" w:color="auto"/>
                                          </w:divBdr>
                                          <w:divsChild>
                                            <w:div w:id="2111464284">
                                              <w:marLeft w:val="0"/>
                                              <w:marRight w:val="0"/>
                                              <w:marTop w:val="120"/>
                                              <w:marBottom w:val="0"/>
                                              <w:divBdr>
                                                <w:top w:val="none" w:sz="0" w:space="0" w:color="auto"/>
                                                <w:left w:val="none" w:sz="0" w:space="0" w:color="auto"/>
                                                <w:bottom w:val="none" w:sz="0" w:space="0" w:color="auto"/>
                                                <w:right w:val="none" w:sz="0" w:space="0" w:color="auto"/>
                                              </w:divBdr>
                                            </w:div>
                                            <w:div w:id="1779370665">
                                              <w:marLeft w:val="0"/>
                                              <w:marRight w:val="0"/>
                                              <w:marTop w:val="0"/>
                                              <w:marBottom w:val="0"/>
                                              <w:divBdr>
                                                <w:top w:val="none" w:sz="0" w:space="0" w:color="auto"/>
                                                <w:left w:val="none" w:sz="0" w:space="0" w:color="auto"/>
                                                <w:bottom w:val="none" w:sz="0" w:space="0" w:color="auto"/>
                                                <w:right w:val="none" w:sz="0" w:space="0" w:color="auto"/>
                                              </w:divBdr>
                                            </w:div>
                                          </w:divsChild>
                                        </w:div>
                                        <w:div w:id="20791055">
                                          <w:marLeft w:val="0"/>
                                          <w:marRight w:val="0"/>
                                          <w:marTop w:val="0"/>
                                          <w:marBottom w:val="0"/>
                                          <w:divBdr>
                                            <w:top w:val="none" w:sz="0" w:space="0" w:color="auto"/>
                                            <w:left w:val="none" w:sz="0" w:space="0" w:color="auto"/>
                                            <w:bottom w:val="none" w:sz="0" w:space="0" w:color="auto"/>
                                            <w:right w:val="none" w:sz="0" w:space="0" w:color="auto"/>
                                          </w:divBdr>
                                          <w:divsChild>
                                            <w:div w:id="2127582690">
                                              <w:marLeft w:val="0"/>
                                              <w:marRight w:val="0"/>
                                              <w:marTop w:val="120"/>
                                              <w:marBottom w:val="0"/>
                                              <w:divBdr>
                                                <w:top w:val="none" w:sz="0" w:space="0" w:color="auto"/>
                                                <w:left w:val="none" w:sz="0" w:space="0" w:color="auto"/>
                                                <w:bottom w:val="none" w:sz="0" w:space="0" w:color="auto"/>
                                                <w:right w:val="none" w:sz="0" w:space="0" w:color="auto"/>
                                              </w:divBdr>
                                            </w:div>
                                            <w:div w:id="1493376616">
                                              <w:marLeft w:val="0"/>
                                              <w:marRight w:val="0"/>
                                              <w:marTop w:val="0"/>
                                              <w:marBottom w:val="0"/>
                                              <w:divBdr>
                                                <w:top w:val="none" w:sz="0" w:space="0" w:color="auto"/>
                                                <w:left w:val="none" w:sz="0" w:space="0" w:color="auto"/>
                                                <w:bottom w:val="none" w:sz="0" w:space="0" w:color="auto"/>
                                                <w:right w:val="none" w:sz="0" w:space="0" w:color="auto"/>
                                              </w:divBdr>
                                            </w:div>
                                          </w:divsChild>
                                        </w:div>
                                        <w:div w:id="1309436713">
                                          <w:marLeft w:val="0"/>
                                          <w:marRight w:val="0"/>
                                          <w:marTop w:val="0"/>
                                          <w:marBottom w:val="0"/>
                                          <w:divBdr>
                                            <w:top w:val="none" w:sz="0" w:space="0" w:color="auto"/>
                                            <w:left w:val="none" w:sz="0" w:space="0" w:color="auto"/>
                                            <w:bottom w:val="none" w:sz="0" w:space="0" w:color="auto"/>
                                            <w:right w:val="none" w:sz="0" w:space="0" w:color="auto"/>
                                          </w:divBdr>
                                          <w:divsChild>
                                            <w:div w:id="772551582">
                                              <w:marLeft w:val="0"/>
                                              <w:marRight w:val="0"/>
                                              <w:marTop w:val="120"/>
                                              <w:marBottom w:val="0"/>
                                              <w:divBdr>
                                                <w:top w:val="none" w:sz="0" w:space="0" w:color="auto"/>
                                                <w:left w:val="none" w:sz="0" w:space="0" w:color="auto"/>
                                                <w:bottom w:val="none" w:sz="0" w:space="0" w:color="auto"/>
                                                <w:right w:val="none" w:sz="0" w:space="0" w:color="auto"/>
                                              </w:divBdr>
                                            </w:div>
                                            <w:div w:id="113726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2756">
                                  <w:marLeft w:val="0"/>
                                  <w:marRight w:val="0"/>
                                  <w:marTop w:val="0"/>
                                  <w:marBottom w:val="0"/>
                                  <w:divBdr>
                                    <w:top w:val="none" w:sz="0" w:space="0" w:color="auto"/>
                                    <w:left w:val="none" w:sz="0" w:space="0" w:color="auto"/>
                                    <w:bottom w:val="none" w:sz="0" w:space="0" w:color="auto"/>
                                    <w:right w:val="none" w:sz="0" w:space="0" w:color="auto"/>
                                  </w:divBdr>
                                  <w:divsChild>
                                    <w:div w:id="1862355636">
                                      <w:marLeft w:val="0"/>
                                      <w:marRight w:val="0"/>
                                      <w:marTop w:val="0"/>
                                      <w:marBottom w:val="0"/>
                                      <w:divBdr>
                                        <w:top w:val="none" w:sz="0" w:space="0" w:color="auto"/>
                                        <w:left w:val="none" w:sz="0" w:space="0" w:color="auto"/>
                                        <w:bottom w:val="none" w:sz="0" w:space="0" w:color="auto"/>
                                        <w:right w:val="none" w:sz="0" w:space="0" w:color="auto"/>
                                      </w:divBdr>
                                    </w:div>
                                  </w:divsChild>
                                </w:div>
                                <w:div w:id="925461900">
                                  <w:marLeft w:val="0"/>
                                  <w:marRight w:val="0"/>
                                  <w:marTop w:val="0"/>
                                  <w:marBottom w:val="0"/>
                                  <w:divBdr>
                                    <w:top w:val="none" w:sz="0" w:space="0" w:color="auto"/>
                                    <w:left w:val="none" w:sz="0" w:space="0" w:color="auto"/>
                                    <w:bottom w:val="none" w:sz="0" w:space="0" w:color="auto"/>
                                    <w:right w:val="none" w:sz="0" w:space="0" w:color="auto"/>
                                  </w:divBdr>
                                  <w:divsChild>
                                    <w:div w:id="339547943">
                                      <w:marLeft w:val="0"/>
                                      <w:marRight w:val="0"/>
                                      <w:marTop w:val="0"/>
                                      <w:marBottom w:val="0"/>
                                      <w:divBdr>
                                        <w:top w:val="none" w:sz="0" w:space="0" w:color="auto"/>
                                        <w:left w:val="none" w:sz="0" w:space="0" w:color="auto"/>
                                        <w:bottom w:val="none" w:sz="0" w:space="0" w:color="auto"/>
                                        <w:right w:val="none" w:sz="0" w:space="0" w:color="auto"/>
                                      </w:divBdr>
                                    </w:div>
                                  </w:divsChild>
                                </w:div>
                                <w:div w:id="2085638707">
                                  <w:marLeft w:val="0"/>
                                  <w:marRight w:val="0"/>
                                  <w:marTop w:val="0"/>
                                  <w:marBottom w:val="0"/>
                                  <w:divBdr>
                                    <w:top w:val="none" w:sz="0" w:space="0" w:color="auto"/>
                                    <w:left w:val="none" w:sz="0" w:space="0" w:color="auto"/>
                                    <w:bottom w:val="none" w:sz="0" w:space="0" w:color="auto"/>
                                    <w:right w:val="none" w:sz="0" w:space="0" w:color="auto"/>
                                  </w:divBdr>
                                  <w:divsChild>
                                    <w:div w:id="714042662">
                                      <w:marLeft w:val="0"/>
                                      <w:marRight w:val="0"/>
                                      <w:marTop w:val="0"/>
                                      <w:marBottom w:val="0"/>
                                      <w:divBdr>
                                        <w:top w:val="none" w:sz="0" w:space="0" w:color="auto"/>
                                        <w:left w:val="none" w:sz="0" w:space="0" w:color="auto"/>
                                        <w:bottom w:val="none" w:sz="0" w:space="0" w:color="auto"/>
                                        <w:right w:val="none" w:sz="0" w:space="0" w:color="auto"/>
                                      </w:divBdr>
                                    </w:div>
                                  </w:divsChild>
                                </w:div>
                                <w:div w:id="270362264">
                                  <w:marLeft w:val="0"/>
                                  <w:marRight w:val="0"/>
                                  <w:marTop w:val="0"/>
                                  <w:marBottom w:val="0"/>
                                  <w:divBdr>
                                    <w:top w:val="none" w:sz="0" w:space="0" w:color="auto"/>
                                    <w:left w:val="none" w:sz="0" w:space="0" w:color="auto"/>
                                    <w:bottom w:val="none" w:sz="0" w:space="0" w:color="auto"/>
                                    <w:right w:val="none" w:sz="0" w:space="0" w:color="auto"/>
                                  </w:divBdr>
                                  <w:divsChild>
                                    <w:div w:id="209401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34854">
                              <w:marLeft w:val="0"/>
                              <w:marRight w:val="0"/>
                              <w:marTop w:val="0"/>
                              <w:marBottom w:val="0"/>
                              <w:divBdr>
                                <w:top w:val="none" w:sz="0" w:space="0" w:color="auto"/>
                                <w:left w:val="none" w:sz="0" w:space="0" w:color="auto"/>
                                <w:bottom w:val="none" w:sz="0" w:space="0" w:color="auto"/>
                                <w:right w:val="none" w:sz="0" w:space="0" w:color="auto"/>
                              </w:divBdr>
                              <w:divsChild>
                                <w:div w:id="96946023">
                                  <w:marLeft w:val="0"/>
                                  <w:marRight w:val="0"/>
                                  <w:marTop w:val="0"/>
                                  <w:marBottom w:val="0"/>
                                  <w:divBdr>
                                    <w:top w:val="none" w:sz="0" w:space="0" w:color="auto"/>
                                    <w:left w:val="none" w:sz="0" w:space="0" w:color="auto"/>
                                    <w:bottom w:val="none" w:sz="0" w:space="0" w:color="auto"/>
                                    <w:right w:val="none" w:sz="0" w:space="0" w:color="auto"/>
                                  </w:divBdr>
                                </w:div>
                                <w:div w:id="1288269825">
                                  <w:marLeft w:val="0"/>
                                  <w:marRight w:val="0"/>
                                  <w:marTop w:val="0"/>
                                  <w:marBottom w:val="0"/>
                                  <w:divBdr>
                                    <w:top w:val="none" w:sz="0" w:space="0" w:color="auto"/>
                                    <w:left w:val="none" w:sz="0" w:space="0" w:color="auto"/>
                                    <w:bottom w:val="none" w:sz="0" w:space="0" w:color="auto"/>
                                    <w:right w:val="none" w:sz="0" w:space="0" w:color="auto"/>
                                  </w:divBdr>
                                  <w:divsChild>
                                    <w:div w:id="1574310822">
                                      <w:marLeft w:val="0"/>
                                      <w:marRight w:val="0"/>
                                      <w:marTop w:val="0"/>
                                      <w:marBottom w:val="0"/>
                                      <w:divBdr>
                                        <w:top w:val="none" w:sz="0" w:space="0" w:color="auto"/>
                                        <w:left w:val="none" w:sz="0" w:space="0" w:color="auto"/>
                                        <w:bottom w:val="none" w:sz="0" w:space="0" w:color="auto"/>
                                        <w:right w:val="none" w:sz="0" w:space="0" w:color="auto"/>
                                      </w:divBdr>
                                    </w:div>
                                  </w:divsChild>
                                </w:div>
                                <w:div w:id="1997756262">
                                  <w:marLeft w:val="0"/>
                                  <w:marRight w:val="0"/>
                                  <w:marTop w:val="0"/>
                                  <w:marBottom w:val="0"/>
                                  <w:divBdr>
                                    <w:top w:val="none" w:sz="0" w:space="0" w:color="auto"/>
                                    <w:left w:val="none" w:sz="0" w:space="0" w:color="auto"/>
                                    <w:bottom w:val="none" w:sz="0" w:space="0" w:color="auto"/>
                                    <w:right w:val="none" w:sz="0" w:space="0" w:color="auto"/>
                                  </w:divBdr>
                                  <w:divsChild>
                                    <w:div w:id="1337417748">
                                      <w:marLeft w:val="0"/>
                                      <w:marRight w:val="0"/>
                                      <w:marTop w:val="0"/>
                                      <w:marBottom w:val="0"/>
                                      <w:divBdr>
                                        <w:top w:val="none" w:sz="0" w:space="0" w:color="auto"/>
                                        <w:left w:val="none" w:sz="0" w:space="0" w:color="auto"/>
                                        <w:bottom w:val="none" w:sz="0" w:space="0" w:color="auto"/>
                                        <w:right w:val="none" w:sz="0" w:space="0" w:color="auto"/>
                                      </w:divBdr>
                                      <w:divsChild>
                                        <w:div w:id="1977181282">
                                          <w:marLeft w:val="0"/>
                                          <w:marRight w:val="0"/>
                                          <w:marTop w:val="0"/>
                                          <w:marBottom w:val="0"/>
                                          <w:divBdr>
                                            <w:top w:val="none" w:sz="0" w:space="0" w:color="auto"/>
                                            <w:left w:val="none" w:sz="0" w:space="0" w:color="auto"/>
                                            <w:bottom w:val="none" w:sz="0" w:space="0" w:color="auto"/>
                                            <w:right w:val="none" w:sz="0" w:space="0" w:color="auto"/>
                                          </w:divBdr>
                                          <w:divsChild>
                                            <w:div w:id="7683473">
                                              <w:marLeft w:val="0"/>
                                              <w:marRight w:val="0"/>
                                              <w:marTop w:val="120"/>
                                              <w:marBottom w:val="0"/>
                                              <w:divBdr>
                                                <w:top w:val="none" w:sz="0" w:space="0" w:color="auto"/>
                                                <w:left w:val="none" w:sz="0" w:space="0" w:color="auto"/>
                                                <w:bottom w:val="none" w:sz="0" w:space="0" w:color="auto"/>
                                                <w:right w:val="none" w:sz="0" w:space="0" w:color="auto"/>
                                              </w:divBdr>
                                            </w:div>
                                            <w:div w:id="226307582">
                                              <w:marLeft w:val="0"/>
                                              <w:marRight w:val="0"/>
                                              <w:marTop w:val="0"/>
                                              <w:marBottom w:val="0"/>
                                              <w:divBdr>
                                                <w:top w:val="none" w:sz="0" w:space="0" w:color="auto"/>
                                                <w:left w:val="none" w:sz="0" w:space="0" w:color="auto"/>
                                                <w:bottom w:val="none" w:sz="0" w:space="0" w:color="auto"/>
                                                <w:right w:val="none" w:sz="0" w:space="0" w:color="auto"/>
                                              </w:divBdr>
                                            </w:div>
                                          </w:divsChild>
                                        </w:div>
                                        <w:div w:id="764113257">
                                          <w:marLeft w:val="0"/>
                                          <w:marRight w:val="0"/>
                                          <w:marTop w:val="0"/>
                                          <w:marBottom w:val="0"/>
                                          <w:divBdr>
                                            <w:top w:val="none" w:sz="0" w:space="0" w:color="auto"/>
                                            <w:left w:val="none" w:sz="0" w:space="0" w:color="auto"/>
                                            <w:bottom w:val="none" w:sz="0" w:space="0" w:color="auto"/>
                                            <w:right w:val="none" w:sz="0" w:space="0" w:color="auto"/>
                                          </w:divBdr>
                                          <w:divsChild>
                                            <w:div w:id="588005042">
                                              <w:marLeft w:val="0"/>
                                              <w:marRight w:val="0"/>
                                              <w:marTop w:val="120"/>
                                              <w:marBottom w:val="0"/>
                                              <w:divBdr>
                                                <w:top w:val="none" w:sz="0" w:space="0" w:color="auto"/>
                                                <w:left w:val="none" w:sz="0" w:space="0" w:color="auto"/>
                                                <w:bottom w:val="none" w:sz="0" w:space="0" w:color="auto"/>
                                                <w:right w:val="none" w:sz="0" w:space="0" w:color="auto"/>
                                              </w:divBdr>
                                            </w:div>
                                            <w:div w:id="1249466826">
                                              <w:marLeft w:val="0"/>
                                              <w:marRight w:val="0"/>
                                              <w:marTop w:val="0"/>
                                              <w:marBottom w:val="0"/>
                                              <w:divBdr>
                                                <w:top w:val="none" w:sz="0" w:space="0" w:color="auto"/>
                                                <w:left w:val="none" w:sz="0" w:space="0" w:color="auto"/>
                                                <w:bottom w:val="none" w:sz="0" w:space="0" w:color="auto"/>
                                                <w:right w:val="none" w:sz="0" w:space="0" w:color="auto"/>
                                              </w:divBdr>
                                            </w:div>
                                          </w:divsChild>
                                        </w:div>
                                        <w:div w:id="89855660">
                                          <w:marLeft w:val="0"/>
                                          <w:marRight w:val="0"/>
                                          <w:marTop w:val="0"/>
                                          <w:marBottom w:val="0"/>
                                          <w:divBdr>
                                            <w:top w:val="none" w:sz="0" w:space="0" w:color="auto"/>
                                            <w:left w:val="none" w:sz="0" w:space="0" w:color="auto"/>
                                            <w:bottom w:val="none" w:sz="0" w:space="0" w:color="auto"/>
                                            <w:right w:val="none" w:sz="0" w:space="0" w:color="auto"/>
                                          </w:divBdr>
                                          <w:divsChild>
                                            <w:div w:id="1864318429">
                                              <w:marLeft w:val="0"/>
                                              <w:marRight w:val="0"/>
                                              <w:marTop w:val="120"/>
                                              <w:marBottom w:val="0"/>
                                              <w:divBdr>
                                                <w:top w:val="none" w:sz="0" w:space="0" w:color="auto"/>
                                                <w:left w:val="none" w:sz="0" w:space="0" w:color="auto"/>
                                                <w:bottom w:val="none" w:sz="0" w:space="0" w:color="auto"/>
                                                <w:right w:val="none" w:sz="0" w:space="0" w:color="auto"/>
                                              </w:divBdr>
                                            </w:div>
                                            <w:div w:id="154671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7296">
                                  <w:marLeft w:val="0"/>
                                  <w:marRight w:val="0"/>
                                  <w:marTop w:val="0"/>
                                  <w:marBottom w:val="0"/>
                                  <w:divBdr>
                                    <w:top w:val="none" w:sz="0" w:space="0" w:color="auto"/>
                                    <w:left w:val="none" w:sz="0" w:space="0" w:color="auto"/>
                                    <w:bottom w:val="none" w:sz="0" w:space="0" w:color="auto"/>
                                    <w:right w:val="none" w:sz="0" w:space="0" w:color="auto"/>
                                  </w:divBdr>
                                  <w:divsChild>
                                    <w:div w:id="1967855267">
                                      <w:marLeft w:val="0"/>
                                      <w:marRight w:val="0"/>
                                      <w:marTop w:val="0"/>
                                      <w:marBottom w:val="0"/>
                                      <w:divBdr>
                                        <w:top w:val="none" w:sz="0" w:space="0" w:color="auto"/>
                                        <w:left w:val="none" w:sz="0" w:space="0" w:color="auto"/>
                                        <w:bottom w:val="none" w:sz="0" w:space="0" w:color="auto"/>
                                        <w:right w:val="none" w:sz="0" w:space="0" w:color="auto"/>
                                      </w:divBdr>
                                    </w:div>
                                  </w:divsChild>
                                </w:div>
                                <w:div w:id="1751465136">
                                  <w:marLeft w:val="0"/>
                                  <w:marRight w:val="0"/>
                                  <w:marTop w:val="0"/>
                                  <w:marBottom w:val="0"/>
                                  <w:divBdr>
                                    <w:top w:val="none" w:sz="0" w:space="0" w:color="auto"/>
                                    <w:left w:val="none" w:sz="0" w:space="0" w:color="auto"/>
                                    <w:bottom w:val="none" w:sz="0" w:space="0" w:color="auto"/>
                                    <w:right w:val="none" w:sz="0" w:space="0" w:color="auto"/>
                                  </w:divBdr>
                                  <w:divsChild>
                                    <w:div w:id="164328686">
                                      <w:marLeft w:val="0"/>
                                      <w:marRight w:val="0"/>
                                      <w:marTop w:val="0"/>
                                      <w:marBottom w:val="0"/>
                                      <w:divBdr>
                                        <w:top w:val="none" w:sz="0" w:space="0" w:color="auto"/>
                                        <w:left w:val="none" w:sz="0" w:space="0" w:color="auto"/>
                                        <w:bottom w:val="none" w:sz="0" w:space="0" w:color="auto"/>
                                        <w:right w:val="none" w:sz="0" w:space="0" w:color="auto"/>
                                      </w:divBdr>
                                      <w:divsChild>
                                        <w:div w:id="119030815">
                                          <w:marLeft w:val="0"/>
                                          <w:marRight w:val="0"/>
                                          <w:marTop w:val="0"/>
                                          <w:marBottom w:val="0"/>
                                          <w:divBdr>
                                            <w:top w:val="none" w:sz="0" w:space="0" w:color="auto"/>
                                            <w:left w:val="none" w:sz="0" w:space="0" w:color="auto"/>
                                            <w:bottom w:val="none" w:sz="0" w:space="0" w:color="auto"/>
                                            <w:right w:val="none" w:sz="0" w:space="0" w:color="auto"/>
                                          </w:divBdr>
                                          <w:divsChild>
                                            <w:div w:id="453525682">
                                              <w:marLeft w:val="0"/>
                                              <w:marRight w:val="0"/>
                                              <w:marTop w:val="120"/>
                                              <w:marBottom w:val="0"/>
                                              <w:divBdr>
                                                <w:top w:val="none" w:sz="0" w:space="0" w:color="auto"/>
                                                <w:left w:val="none" w:sz="0" w:space="0" w:color="auto"/>
                                                <w:bottom w:val="none" w:sz="0" w:space="0" w:color="auto"/>
                                                <w:right w:val="none" w:sz="0" w:space="0" w:color="auto"/>
                                              </w:divBdr>
                                            </w:div>
                                            <w:div w:id="217016658">
                                              <w:marLeft w:val="0"/>
                                              <w:marRight w:val="0"/>
                                              <w:marTop w:val="0"/>
                                              <w:marBottom w:val="0"/>
                                              <w:divBdr>
                                                <w:top w:val="none" w:sz="0" w:space="0" w:color="auto"/>
                                                <w:left w:val="none" w:sz="0" w:space="0" w:color="auto"/>
                                                <w:bottom w:val="none" w:sz="0" w:space="0" w:color="auto"/>
                                                <w:right w:val="none" w:sz="0" w:space="0" w:color="auto"/>
                                              </w:divBdr>
                                            </w:div>
                                          </w:divsChild>
                                        </w:div>
                                        <w:div w:id="1190297292">
                                          <w:marLeft w:val="0"/>
                                          <w:marRight w:val="0"/>
                                          <w:marTop w:val="0"/>
                                          <w:marBottom w:val="0"/>
                                          <w:divBdr>
                                            <w:top w:val="none" w:sz="0" w:space="0" w:color="auto"/>
                                            <w:left w:val="none" w:sz="0" w:space="0" w:color="auto"/>
                                            <w:bottom w:val="none" w:sz="0" w:space="0" w:color="auto"/>
                                            <w:right w:val="none" w:sz="0" w:space="0" w:color="auto"/>
                                          </w:divBdr>
                                          <w:divsChild>
                                            <w:div w:id="2110157090">
                                              <w:marLeft w:val="0"/>
                                              <w:marRight w:val="0"/>
                                              <w:marTop w:val="120"/>
                                              <w:marBottom w:val="0"/>
                                              <w:divBdr>
                                                <w:top w:val="none" w:sz="0" w:space="0" w:color="auto"/>
                                                <w:left w:val="none" w:sz="0" w:space="0" w:color="auto"/>
                                                <w:bottom w:val="none" w:sz="0" w:space="0" w:color="auto"/>
                                                <w:right w:val="none" w:sz="0" w:space="0" w:color="auto"/>
                                              </w:divBdr>
                                            </w:div>
                                            <w:div w:id="144785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2566">
                                  <w:marLeft w:val="0"/>
                                  <w:marRight w:val="0"/>
                                  <w:marTop w:val="0"/>
                                  <w:marBottom w:val="0"/>
                                  <w:divBdr>
                                    <w:top w:val="none" w:sz="0" w:space="0" w:color="auto"/>
                                    <w:left w:val="none" w:sz="0" w:space="0" w:color="auto"/>
                                    <w:bottom w:val="none" w:sz="0" w:space="0" w:color="auto"/>
                                    <w:right w:val="none" w:sz="0" w:space="0" w:color="auto"/>
                                  </w:divBdr>
                                  <w:divsChild>
                                    <w:div w:id="1127312809">
                                      <w:marLeft w:val="0"/>
                                      <w:marRight w:val="0"/>
                                      <w:marTop w:val="0"/>
                                      <w:marBottom w:val="0"/>
                                      <w:divBdr>
                                        <w:top w:val="none" w:sz="0" w:space="0" w:color="auto"/>
                                        <w:left w:val="none" w:sz="0" w:space="0" w:color="auto"/>
                                        <w:bottom w:val="none" w:sz="0" w:space="0" w:color="auto"/>
                                        <w:right w:val="none" w:sz="0" w:space="0" w:color="auto"/>
                                      </w:divBdr>
                                    </w:div>
                                  </w:divsChild>
                                </w:div>
                                <w:div w:id="2143769906">
                                  <w:marLeft w:val="0"/>
                                  <w:marRight w:val="0"/>
                                  <w:marTop w:val="0"/>
                                  <w:marBottom w:val="0"/>
                                  <w:divBdr>
                                    <w:top w:val="none" w:sz="0" w:space="0" w:color="auto"/>
                                    <w:left w:val="none" w:sz="0" w:space="0" w:color="auto"/>
                                    <w:bottom w:val="none" w:sz="0" w:space="0" w:color="auto"/>
                                    <w:right w:val="none" w:sz="0" w:space="0" w:color="auto"/>
                                  </w:divBdr>
                                  <w:divsChild>
                                    <w:div w:id="307321429">
                                      <w:marLeft w:val="0"/>
                                      <w:marRight w:val="0"/>
                                      <w:marTop w:val="0"/>
                                      <w:marBottom w:val="0"/>
                                      <w:divBdr>
                                        <w:top w:val="none" w:sz="0" w:space="0" w:color="auto"/>
                                        <w:left w:val="none" w:sz="0" w:space="0" w:color="auto"/>
                                        <w:bottom w:val="none" w:sz="0" w:space="0" w:color="auto"/>
                                        <w:right w:val="none" w:sz="0" w:space="0" w:color="auto"/>
                                      </w:divBdr>
                                    </w:div>
                                  </w:divsChild>
                                </w:div>
                                <w:div w:id="268777814">
                                  <w:marLeft w:val="0"/>
                                  <w:marRight w:val="0"/>
                                  <w:marTop w:val="0"/>
                                  <w:marBottom w:val="0"/>
                                  <w:divBdr>
                                    <w:top w:val="none" w:sz="0" w:space="0" w:color="auto"/>
                                    <w:left w:val="none" w:sz="0" w:space="0" w:color="auto"/>
                                    <w:bottom w:val="none" w:sz="0" w:space="0" w:color="auto"/>
                                    <w:right w:val="none" w:sz="0" w:space="0" w:color="auto"/>
                                  </w:divBdr>
                                  <w:divsChild>
                                    <w:div w:id="6507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01577">
                              <w:marLeft w:val="0"/>
                              <w:marRight w:val="0"/>
                              <w:marTop w:val="0"/>
                              <w:marBottom w:val="0"/>
                              <w:divBdr>
                                <w:top w:val="none" w:sz="0" w:space="0" w:color="auto"/>
                                <w:left w:val="none" w:sz="0" w:space="0" w:color="auto"/>
                                <w:bottom w:val="none" w:sz="0" w:space="0" w:color="auto"/>
                                <w:right w:val="none" w:sz="0" w:space="0" w:color="auto"/>
                              </w:divBdr>
                              <w:divsChild>
                                <w:div w:id="132411473">
                                  <w:marLeft w:val="0"/>
                                  <w:marRight w:val="0"/>
                                  <w:marTop w:val="0"/>
                                  <w:marBottom w:val="0"/>
                                  <w:divBdr>
                                    <w:top w:val="none" w:sz="0" w:space="0" w:color="auto"/>
                                    <w:left w:val="none" w:sz="0" w:space="0" w:color="auto"/>
                                    <w:bottom w:val="none" w:sz="0" w:space="0" w:color="auto"/>
                                    <w:right w:val="none" w:sz="0" w:space="0" w:color="auto"/>
                                  </w:divBdr>
                                </w:div>
                                <w:div w:id="936979767">
                                  <w:marLeft w:val="0"/>
                                  <w:marRight w:val="0"/>
                                  <w:marTop w:val="0"/>
                                  <w:marBottom w:val="0"/>
                                  <w:divBdr>
                                    <w:top w:val="none" w:sz="0" w:space="0" w:color="auto"/>
                                    <w:left w:val="none" w:sz="0" w:space="0" w:color="auto"/>
                                    <w:bottom w:val="none" w:sz="0" w:space="0" w:color="auto"/>
                                    <w:right w:val="none" w:sz="0" w:space="0" w:color="auto"/>
                                  </w:divBdr>
                                  <w:divsChild>
                                    <w:div w:id="1907908012">
                                      <w:marLeft w:val="0"/>
                                      <w:marRight w:val="0"/>
                                      <w:marTop w:val="0"/>
                                      <w:marBottom w:val="0"/>
                                      <w:divBdr>
                                        <w:top w:val="none" w:sz="0" w:space="0" w:color="auto"/>
                                        <w:left w:val="none" w:sz="0" w:space="0" w:color="auto"/>
                                        <w:bottom w:val="none" w:sz="0" w:space="0" w:color="auto"/>
                                        <w:right w:val="none" w:sz="0" w:space="0" w:color="auto"/>
                                      </w:divBdr>
                                    </w:div>
                                  </w:divsChild>
                                </w:div>
                                <w:div w:id="677999528">
                                  <w:marLeft w:val="0"/>
                                  <w:marRight w:val="0"/>
                                  <w:marTop w:val="0"/>
                                  <w:marBottom w:val="0"/>
                                  <w:divBdr>
                                    <w:top w:val="none" w:sz="0" w:space="0" w:color="auto"/>
                                    <w:left w:val="none" w:sz="0" w:space="0" w:color="auto"/>
                                    <w:bottom w:val="none" w:sz="0" w:space="0" w:color="auto"/>
                                    <w:right w:val="none" w:sz="0" w:space="0" w:color="auto"/>
                                  </w:divBdr>
                                  <w:divsChild>
                                    <w:div w:id="901208779">
                                      <w:marLeft w:val="0"/>
                                      <w:marRight w:val="0"/>
                                      <w:marTop w:val="120"/>
                                      <w:marBottom w:val="0"/>
                                      <w:divBdr>
                                        <w:top w:val="none" w:sz="0" w:space="0" w:color="auto"/>
                                        <w:left w:val="none" w:sz="0" w:space="0" w:color="auto"/>
                                        <w:bottom w:val="none" w:sz="0" w:space="0" w:color="auto"/>
                                        <w:right w:val="none" w:sz="0" w:space="0" w:color="auto"/>
                                      </w:divBdr>
                                    </w:div>
                                    <w:div w:id="1228103748">
                                      <w:marLeft w:val="0"/>
                                      <w:marRight w:val="0"/>
                                      <w:marTop w:val="0"/>
                                      <w:marBottom w:val="0"/>
                                      <w:divBdr>
                                        <w:top w:val="none" w:sz="0" w:space="0" w:color="auto"/>
                                        <w:left w:val="none" w:sz="0" w:space="0" w:color="auto"/>
                                        <w:bottom w:val="none" w:sz="0" w:space="0" w:color="auto"/>
                                        <w:right w:val="none" w:sz="0" w:space="0" w:color="auto"/>
                                      </w:divBdr>
                                    </w:div>
                                  </w:divsChild>
                                </w:div>
                                <w:div w:id="493762859">
                                  <w:marLeft w:val="0"/>
                                  <w:marRight w:val="0"/>
                                  <w:marTop w:val="0"/>
                                  <w:marBottom w:val="0"/>
                                  <w:divBdr>
                                    <w:top w:val="none" w:sz="0" w:space="0" w:color="auto"/>
                                    <w:left w:val="none" w:sz="0" w:space="0" w:color="auto"/>
                                    <w:bottom w:val="none" w:sz="0" w:space="0" w:color="auto"/>
                                    <w:right w:val="none" w:sz="0" w:space="0" w:color="auto"/>
                                  </w:divBdr>
                                  <w:divsChild>
                                    <w:div w:id="828518856">
                                      <w:marLeft w:val="0"/>
                                      <w:marRight w:val="0"/>
                                      <w:marTop w:val="120"/>
                                      <w:marBottom w:val="0"/>
                                      <w:divBdr>
                                        <w:top w:val="none" w:sz="0" w:space="0" w:color="auto"/>
                                        <w:left w:val="none" w:sz="0" w:space="0" w:color="auto"/>
                                        <w:bottom w:val="none" w:sz="0" w:space="0" w:color="auto"/>
                                        <w:right w:val="none" w:sz="0" w:space="0" w:color="auto"/>
                                      </w:divBdr>
                                    </w:div>
                                    <w:div w:id="1604846529">
                                      <w:marLeft w:val="0"/>
                                      <w:marRight w:val="0"/>
                                      <w:marTop w:val="0"/>
                                      <w:marBottom w:val="0"/>
                                      <w:divBdr>
                                        <w:top w:val="none" w:sz="0" w:space="0" w:color="auto"/>
                                        <w:left w:val="none" w:sz="0" w:space="0" w:color="auto"/>
                                        <w:bottom w:val="none" w:sz="0" w:space="0" w:color="auto"/>
                                        <w:right w:val="none" w:sz="0" w:space="0" w:color="auto"/>
                                      </w:divBdr>
                                    </w:div>
                                  </w:divsChild>
                                </w:div>
                                <w:div w:id="1238784818">
                                  <w:marLeft w:val="0"/>
                                  <w:marRight w:val="0"/>
                                  <w:marTop w:val="0"/>
                                  <w:marBottom w:val="0"/>
                                  <w:divBdr>
                                    <w:top w:val="none" w:sz="0" w:space="0" w:color="auto"/>
                                    <w:left w:val="none" w:sz="0" w:space="0" w:color="auto"/>
                                    <w:bottom w:val="none" w:sz="0" w:space="0" w:color="auto"/>
                                    <w:right w:val="none" w:sz="0" w:space="0" w:color="auto"/>
                                  </w:divBdr>
                                  <w:divsChild>
                                    <w:div w:id="132258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586596">
                          <w:marLeft w:val="0"/>
                          <w:marRight w:val="0"/>
                          <w:marTop w:val="0"/>
                          <w:marBottom w:val="0"/>
                          <w:divBdr>
                            <w:top w:val="none" w:sz="0" w:space="0" w:color="auto"/>
                            <w:left w:val="none" w:sz="0" w:space="0" w:color="auto"/>
                            <w:bottom w:val="none" w:sz="0" w:space="0" w:color="auto"/>
                            <w:right w:val="none" w:sz="0" w:space="0" w:color="auto"/>
                          </w:divBdr>
                          <w:divsChild>
                            <w:div w:id="1434587960">
                              <w:marLeft w:val="0"/>
                              <w:marRight w:val="0"/>
                              <w:marTop w:val="0"/>
                              <w:marBottom w:val="0"/>
                              <w:divBdr>
                                <w:top w:val="none" w:sz="0" w:space="0" w:color="auto"/>
                                <w:left w:val="none" w:sz="0" w:space="0" w:color="auto"/>
                                <w:bottom w:val="none" w:sz="0" w:space="0" w:color="auto"/>
                                <w:right w:val="none" w:sz="0" w:space="0" w:color="auto"/>
                              </w:divBdr>
                              <w:divsChild>
                                <w:div w:id="1041586882">
                                  <w:marLeft w:val="0"/>
                                  <w:marRight w:val="0"/>
                                  <w:marTop w:val="0"/>
                                  <w:marBottom w:val="0"/>
                                  <w:divBdr>
                                    <w:top w:val="none" w:sz="0" w:space="0" w:color="auto"/>
                                    <w:left w:val="none" w:sz="0" w:space="0" w:color="auto"/>
                                    <w:bottom w:val="none" w:sz="0" w:space="0" w:color="auto"/>
                                    <w:right w:val="none" w:sz="0" w:space="0" w:color="auto"/>
                                  </w:divBdr>
                                </w:div>
                                <w:div w:id="714504763">
                                  <w:marLeft w:val="0"/>
                                  <w:marRight w:val="0"/>
                                  <w:marTop w:val="0"/>
                                  <w:marBottom w:val="0"/>
                                  <w:divBdr>
                                    <w:top w:val="none" w:sz="0" w:space="0" w:color="auto"/>
                                    <w:left w:val="none" w:sz="0" w:space="0" w:color="auto"/>
                                    <w:bottom w:val="none" w:sz="0" w:space="0" w:color="auto"/>
                                    <w:right w:val="none" w:sz="0" w:space="0" w:color="auto"/>
                                  </w:divBdr>
                                  <w:divsChild>
                                    <w:div w:id="1718049075">
                                      <w:marLeft w:val="0"/>
                                      <w:marRight w:val="0"/>
                                      <w:marTop w:val="0"/>
                                      <w:marBottom w:val="0"/>
                                      <w:divBdr>
                                        <w:top w:val="none" w:sz="0" w:space="0" w:color="auto"/>
                                        <w:left w:val="none" w:sz="0" w:space="0" w:color="auto"/>
                                        <w:bottom w:val="none" w:sz="0" w:space="0" w:color="auto"/>
                                        <w:right w:val="none" w:sz="0" w:space="0" w:color="auto"/>
                                      </w:divBdr>
                                    </w:div>
                                  </w:divsChild>
                                </w:div>
                                <w:div w:id="1423642839">
                                  <w:marLeft w:val="0"/>
                                  <w:marRight w:val="0"/>
                                  <w:marTop w:val="0"/>
                                  <w:marBottom w:val="0"/>
                                  <w:divBdr>
                                    <w:top w:val="none" w:sz="0" w:space="0" w:color="auto"/>
                                    <w:left w:val="none" w:sz="0" w:space="0" w:color="auto"/>
                                    <w:bottom w:val="none" w:sz="0" w:space="0" w:color="auto"/>
                                    <w:right w:val="none" w:sz="0" w:space="0" w:color="auto"/>
                                  </w:divBdr>
                                  <w:divsChild>
                                    <w:div w:id="1258097824">
                                      <w:marLeft w:val="0"/>
                                      <w:marRight w:val="0"/>
                                      <w:marTop w:val="0"/>
                                      <w:marBottom w:val="0"/>
                                      <w:divBdr>
                                        <w:top w:val="none" w:sz="0" w:space="0" w:color="auto"/>
                                        <w:left w:val="none" w:sz="0" w:space="0" w:color="auto"/>
                                        <w:bottom w:val="none" w:sz="0" w:space="0" w:color="auto"/>
                                        <w:right w:val="none" w:sz="0" w:space="0" w:color="auto"/>
                                      </w:divBdr>
                                    </w:div>
                                  </w:divsChild>
                                </w:div>
                                <w:div w:id="1323042072">
                                  <w:marLeft w:val="0"/>
                                  <w:marRight w:val="0"/>
                                  <w:marTop w:val="0"/>
                                  <w:marBottom w:val="0"/>
                                  <w:divBdr>
                                    <w:top w:val="none" w:sz="0" w:space="0" w:color="auto"/>
                                    <w:left w:val="none" w:sz="0" w:space="0" w:color="auto"/>
                                    <w:bottom w:val="none" w:sz="0" w:space="0" w:color="auto"/>
                                    <w:right w:val="none" w:sz="0" w:space="0" w:color="auto"/>
                                  </w:divBdr>
                                  <w:divsChild>
                                    <w:div w:id="698051130">
                                      <w:marLeft w:val="0"/>
                                      <w:marRight w:val="0"/>
                                      <w:marTop w:val="0"/>
                                      <w:marBottom w:val="0"/>
                                      <w:divBdr>
                                        <w:top w:val="none" w:sz="0" w:space="0" w:color="auto"/>
                                        <w:left w:val="none" w:sz="0" w:space="0" w:color="auto"/>
                                        <w:bottom w:val="none" w:sz="0" w:space="0" w:color="auto"/>
                                        <w:right w:val="none" w:sz="0" w:space="0" w:color="auto"/>
                                      </w:divBdr>
                                      <w:divsChild>
                                        <w:div w:id="709114228">
                                          <w:marLeft w:val="0"/>
                                          <w:marRight w:val="0"/>
                                          <w:marTop w:val="0"/>
                                          <w:marBottom w:val="0"/>
                                          <w:divBdr>
                                            <w:top w:val="none" w:sz="0" w:space="0" w:color="auto"/>
                                            <w:left w:val="none" w:sz="0" w:space="0" w:color="auto"/>
                                            <w:bottom w:val="none" w:sz="0" w:space="0" w:color="auto"/>
                                            <w:right w:val="none" w:sz="0" w:space="0" w:color="auto"/>
                                          </w:divBdr>
                                          <w:divsChild>
                                            <w:div w:id="109666966">
                                              <w:marLeft w:val="0"/>
                                              <w:marRight w:val="0"/>
                                              <w:marTop w:val="120"/>
                                              <w:marBottom w:val="0"/>
                                              <w:divBdr>
                                                <w:top w:val="none" w:sz="0" w:space="0" w:color="auto"/>
                                                <w:left w:val="none" w:sz="0" w:space="0" w:color="auto"/>
                                                <w:bottom w:val="none" w:sz="0" w:space="0" w:color="auto"/>
                                                <w:right w:val="none" w:sz="0" w:space="0" w:color="auto"/>
                                              </w:divBdr>
                                            </w:div>
                                            <w:div w:id="1155535694">
                                              <w:marLeft w:val="0"/>
                                              <w:marRight w:val="0"/>
                                              <w:marTop w:val="0"/>
                                              <w:marBottom w:val="0"/>
                                              <w:divBdr>
                                                <w:top w:val="none" w:sz="0" w:space="0" w:color="auto"/>
                                                <w:left w:val="none" w:sz="0" w:space="0" w:color="auto"/>
                                                <w:bottom w:val="none" w:sz="0" w:space="0" w:color="auto"/>
                                                <w:right w:val="none" w:sz="0" w:space="0" w:color="auto"/>
                                              </w:divBdr>
                                            </w:div>
                                          </w:divsChild>
                                        </w:div>
                                        <w:div w:id="1940024329">
                                          <w:marLeft w:val="0"/>
                                          <w:marRight w:val="0"/>
                                          <w:marTop w:val="0"/>
                                          <w:marBottom w:val="0"/>
                                          <w:divBdr>
                                            <w:top w:val="none" w:sz="0" w:space="0" w:color="auto"/>
                                            <w:left w:val="none" w:sz="0" w:space="0" w:color="auto"/>
                                            <w:bottom w:val="none" w:sz="0" w:space="0" w:color="auto"/>
                                            <w:right w:val="none" w:sz="0" w:space="0" w:color="auto"/>
                                          </w:divBdr>
                                          <w:divsChild>
                                            <w:div w:id="755831371">
                                              <w:marLeft w:val="0"/>
                                              <w:marRight w:val="0"/>
                                              <w:marTop w:val="120"/>
                                              <w:marBottom w:val="0"/>
                                              <w:divBdr>
                                                <w:top w:val="none" w:sz="0" w:space="0" w:color="auto"/>
                                                <w:left w:val="none" w:sz="0" w:space="0" w:color="auto"/>
                                                <w:bottom w:val="none" w:sz="0" w:space="0" w:color="auto"/>
                                                <w:right w:val="none" w:sz="0" w:space="0" w:color="auto"/>
                                              </w:divBdr>
                                            </w:div>
                                            <w:div w:id="1449398826">
                                              <w:marLeft w:val="0"/>
                                              <w:marRight w:val="0"/>
                                              <w:marTop w:val="0"/>
                                              <w:marBottom w:val="0"/>
                                              <w:divBdr>
                                                <w:top w:val="none" w:sz="0" w:space="0" w:color="auto"/>
                                                <w:left w:val="none" w:sz="0" w:space="0" w:color="auto"/>
                                                <w:bottom w:val="none" w:sz="0" w:space="0" w:color="auto"/>
                                                <w:right w:val="none" w:sz="0" w:space="0" w:color="auto"/>
                                              </w:divBdr>
                                            </w:div>
                                          </w:divsChild>
                                        </w:div>
                                        <w:div w:id="227959843">
                                          <w:marLeft w:val="0"/>
                                          <w:marRight w:val="0"/>
                                          <w:marTop w:val="0"/>
                                          <w:marBottom w:val="0"/>
                                          <w:divBdr>
                                            <w:top w:val="none" w:sz="0" w:space="0" w:color="auto"/>
                                            <w:left w:val="none" w:sz="0" w:space="0" w:color="auto"/>
                                            <w:bottom w:val="none" w:sz="0" w:space="0" w:color="auto"/>
                                            <w:right w:val="none" w:sz="0" w:space="0" w:color="auto"/>
                                          </w:divBdr>
                                          <w:divsChild>
                                            <w:div w:id="743380861">
                                              <w:marLeft w:val="0"/>
                                              <w:marRight w:val="0"/>
                                              <w:marTop w:val="120"/>
                                              <w:marBottom w:val="0"/>
                                              <w:divBdr>
                                                <w:top w:val="none" w:sz="0" w:space="0" w:color="auto"/>
                                                <w:left w:val="none" w:sz="0" w:space="0" w:color="auto"/>
                                                <w:bottom w:val="none" w:sz="0" w:space="0" w:color="auto"/>
                                                <w:right w:val="none" w:sz="0" w:space="0" w:color="auto"/>
                                              </w:divBdr>
                                            </w:div>
                                            <w:div w:id="88290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131539">
                                  <w:marLeft w:val="0"/>
                                  <w:marRight w:val="0"/>
                                  <w:marTop w:val="0"/>
                                  <w:marBottom w:val="0"/>
                                  <w:divBdr>
                                    <w:top w:val="none" w:sz="0" w:space="0" w:color="auto"/>
                                    <w:left w:val="none" w:sz="0" w:space="0" w:color="auto"/>
                                    <w:bottom w:val="none" w:sz="0" w:space="0" w:color="auto"/>
                                    <w:right w:val="none" w:sz="0" w:space="0" w:color="auto"/>
                                  </w:divBdr>
                                  <w:divsChild>
                                    <w:div w:id="1750930449">
                                      <w:marLeft w:val="0"/>
                                      <w:marRight w:val="0"/>
                                      <w:marTop w:val="0"/>
                                      <w:marBottom w:val="0"/>
                                      <w:divBdr>
                                        <w:top w:val="none" w:sz="0" w:space="0" w:color="auto"/>
                                        <w:left w:val="none" w:sz="0" w:space="0" w:color="auto"/>
                                        <w:bottom w:val="none" w:sz="0" w:space="0" w:color="auto"/>
                                        <w:right w:val="none" w:sz="0" w:space="0" w:color="auto"/>
                                      </w:divBdr>
                                    </w:div>
                                  </w:divsChild>
                                </w:div>
                                <w:div w:id="1307902887">
                                  <w:marLeft w:val="0"/>
                                  <w:marRight w:val="0"/>
                                  <w:marTop w:val="0"/>
                                  <w:marBottom w:val="0"/>
                                  <w:divBdr>
                                    <w:top w:val="none" w:sz="0" w:space="0" w:color="auto"/>
                                    <w:left w:val="none" w:sz="0" w:space="0" w:color="auto"/>
                                    <w:bottom w:val="none" w:sz="0" w:space="0" w:color="auto"/>
                                    <w:right w:val="none" w:sz="0" w:space="0" w:color="auto"/>
                                  </w:divBdr>
                                  <w:divsChild>
                                    <w:div w:id="1566380993">
                                      <w:marLeft w:val="0"/>
                                      <w:marRight w:val="0"/>
                                      <w:marTop w:val="0"/>
                                      <w:marBottom w:val="0"/>
                                      <w:divBdr>
                                        <w:top w:val="none" w:sz="0" w:space="0" w:color="auto"/>
                                        <w:left w:val="none" w:sz="0" w:space="0" w:color="auto"/>
                                        <w:bottom w:val="none" w:sz="0" w:space="0" w:color="auto"/>
                                        <w:right w:val="none" w:sz="0" w:space="0" w:color="auto"/>
                                      </w:divBdr>
                                    </w:div>
                                  </w:divsChild>
                                </w:div>
                                <w:div w:id="1576276657">
                                  <w:marLeft w:val="0"/>
                                  <w:marRight w:val="0"/>
                                  <w:marTop w:val="0"/>
                                  <w:marBottom w:val="0"/>
                                  <w:divBdr>
                                    <w:top w:val="none" w:sz="0" w:space="0" w:color="auto"/>
                                    <w:left w:val="none" w:sz="0" w:space="0" w:color="auto"/>
                                    <w:bottom w:val="none" w:sz="0" w:space="0" w:color="auto"/>
                                    <w:right w:val="none" w:sz="0" w:space="0" w:color="auto"/>
                                  </w:divBdr>
                                  <w:divsChild>
                                    <w:div w:id="885868922">
                                      <w:marLeft w:val="0"/>
                                      <w:marRight w:val="0"/>
                                      <w:marTop w:val="0"/>
                                      <w:marBottom w:val="0"/>
                                      <w:divBdr>
                                        <w:top w:val="none" w:sz="0" w:space="0" w:color="auto"/>
                                        <w:left w:val="none" w:sz="0" w:space="0" w:color="auto"/>
                                        <w:bottom w:val="none" w:sz="0" w:space="0" w:color="auto"/>
                                        <w:right w:val="none" w:sz="0" w:space="0" w:color="auto"/>
                                      </w:divBdr>
                                    </w:div>
                                  </w:divsChild>
                                </w:div>
                                <w:div w:id="2038583606">
                                  <w:marLeft w:val="0"/>
                                  <w:marRight w:val="0"/>
                                  <w:marTop w:val="0"/>
                                  <w:marBottom w:val="0"/>
                                  <w:divBdr>
                                    <w:top w:val="none" w:sz="0" w:space="0" w:color="auto"/>
                                    <w:left w:val="none" w:sz="0" w:space="0" w:color="auto"/>
                                    <w:bottom w:val="none" w:sz="0" w:space="0" w:color="auto"/>
                                    <w:right w:val="none" w:sz="0" w:space="0" w:color="auto"/>
                                  </w:divBdr>
                                  <w:divsChild>
                                    <w:div w:id="106505478">
                                      <w:marLeft w:val="0"/>
                                      <w:marRight w:val="0"/>
                                      <w:marTop w:val="0"/>
                                      <w:marBottom w:val="0"/>
                                      <w:divBdr>
                                        <w:top w:val="none" w:sz="0" w:space="0" w:color="auto"/>
                                        <w:left w:val="none" w:sz="0" w:space="0" w:color="auto"/>
                                        <w:bottom w:val="none" w:sz="0" w:space="0" w:color="auto"/>
                                        <w:right w:val="none" w:sz="0" w:space="0" w:color="auto"/>
                                      </w:divBdr>
                                      <w:divsChild>
                                        <w:div w:id="1458373858">
                                          <w:marLeft w:val="0"/>
                                          <w:marRight w:val="0"/>
                                          <w:marTop w:val="0"/>
                                          <w:marBottom w:val="0"/>
                                          <w:divBdr>
                                            <w:top w:val="none" w:sz="0" w:space="0" w:color="auto"/>
                                            <w:left w:val="none" w:sz="0" w:space="0" w:color="auto"/>
                                            <w:bottom w:val="none" w:sz="0" w:space="0" w:color="auto"/>
                                            <w:right w:val="none" w:sz="0" w:space="0" w:color="auto"/>
                                          </w:divBdr>
                                          <w:divsChild>
                                            <w:div w:id="722563245">
                                              <w:marLeft w:val="0"/>
                                              <w:marRight w:val="0"/>
                                              <w:marTop w:val="120"/>
                                              <w:marBottom w:val="0"/>
                                              <w:divBdr>
                                                <w:top w:val="none" w:sz="0" w:space="0" w:color="auto"/>
                                                <w:left w:val="none" w:sz="0" w:space="0" w:color="auto"/>
                                                <w:bottom w:val="none" w:sz="0" w:space="0" w:color="auto"/>
                                                <w:right w:val="none" w:sz="0" w:space="0" w:color="auto"/>
                                              </w:divBdr>
                                            </w:div>
                                            <w:div w:id="906038465">
                                              <w:marLeft w:val="0"/>
                                              <w:marRight w:val="0"/>
                                              <w:marTop w:val="0"/>
                                              <w:marBottom w:val="0"/>
                                              <w:divBdr>
                                                <w:top w:val="none" w:sz="0" w:space="0" w:color="auto"/>
                                                <w:left w:val="none" w:sz="0" w:space="0" w:color="auto"/>
                                                <w:bottom w:val="none" w:sz="0" w:space="0" w:color="auto"/>
                                                <w:right w:val="none" w:sz="0" w:space="0" w:color="auto"/>
                                              </w:divBdr>
                                            </w:div>
                                          </w:divsChild>
                                        </w:div>
                                        <w:div w:id="1714231840">
                                          <w:marLeft w:val="0"/>
                                          <w:marRight w:val="0"/>
                                          <w:marTop w:val="0"/>
                                          <w:marBottom w:val="0"/>
                                          <w:divBdr>
                                            <w:top w:val="none" w:sz="0" w:space="0" w:color="auto"/>
                                            <w:left w:val="none" w:sz="0" w:space="0" w:color="auto"/>
                                            <w:bottom w:val="none" w:sz="0" w:space="0" w:color="auto"/>
                                            <w:right w:val="none" w:sz="0" w:space="0" w:color="auto"/>
                                          </w:divBdr>
                                          <w:divsChild>
                                            <w:div w:id="1505315908">
                                              <w:marLeft w:val="0"/>
                                              <w:marRight w:val="0"/>
                                              <w:marTop w:val="12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sChild>
                                        </w:div>
                                        <w:div w:id="1542941874">
                                          <w:marLeft w:val="0"/>
                                          <w:marRight w:val="0"/>
                                          <w:marTop w:val="0"/>
                                          <w:marBottom w:val="0"/>
                                          <w:divBdr>
                                            <w:top w:val="none" w:sz="0" w:space="0" w:color="auto"/>
                                            <w:left w:val="none" w:sz="0" w:space="0" w:color="auto"/>
                                            <w:bottom w:val="none" w:sz="0" w:space="0" w:color="auto"/>
                                            <w:right w:val="none" w:sz="0" w:space="0" w:color="auto"/>
                                          </w:divBdr>
                                          <w:divsChild>
                                            <w:div w:id="1042091526">
                                              <w:marLeft w:val="0"/>
                                              <w:marRight w:val="0"/>
                                              <w:marTop w:val="120"/>
                                              <w:marBottom w:val="0"/>
                                              <w:divBdr>
                                                <w:top w:val="none" w:sz="0" w:space="0" w:color="auto"/>
                                                <w:left w:val="none" w:sz="0" w:space="0" w:color="auto"/>
                                                <w:bottom w:val="none" w:sz="0" w:space="0" w:color="auto"/>
                                                <w:right w:val="none" w:sz="0" w:space="0" w:color="auto"/>
                                              </w:divBdr>
                                            </w:div>
                                            <w:div w:id="123693322">
                                              <w:marLeft w:val="0"/>
                                              <w:marRight w:val="0"/>
                                              <w:marTop w:val="0"/>
                                              <w:marBottom w:val="0"/>
                                              <w:divBdr>
                                                <w:top w:val="none" w:sz="0" w:space="0" w:color="auto"/>
                                                <w:left w:val="none" w:sz="0" w:space="0" w:color="auto"/>
                                                <w:bottom w:val="none" w:sz="0" w:space="0" w:color="auto"/>
                                                <w:right w:val="none" w:sz="0" w:space="0" w:color="auto"/>
                                              </w:divBdr>
                                            </w:div>
                                          </w:divsChild>
                                        </w:div>
                                        <w:div w:id="272130316">
                                          <w:marLeft w:val="0"/>
                                          <w:marRight w:val="0"/>
                                          <w:marTop w:val="0"/>
                                          <w:marBottom w:val="0"/>
                                          <w:divBdr>
                                            <w:top w:val="none" w:sz="0" w:space="0" w:color="auto"/>
                                            <w:left w:val="none" w:sz="0" w:space="0" w:color="auto"/>
                                            <w:bottom w:val="none" w:sz="0" w:space="0" w:color="auto"/>
                                            <w:right w:val="none" w:sz="0" w:space="0" w:color="auto"/>
                                          </w:divBdr>
                                          <w:divsChild>
                                            <w:div w:id="191840654">
                                              <w:marLeft w:val="0"/>
                                              <w:marRight w:val="0"/>
                                              <w:marTop w:val="120"/>
                                              <w:marBottom w:val="0"/>
                                              <w:divBdr>
                                                <w:top w:val="none" w:sz="0" w:space="0" w:color="auto"/>
                                                <w:left w:val="none" w:sz="0" w:space="0" w:color="auto"/>
                                                <w:bottom w:val="none" w:sz="0" w:space="0" w:color="auto"/>
                                                <w:right w:val="none" w:sz="0" w:space="0" w:color="auto"/>
                                              </w:divBdr>
                                            </w:div>
                                            <w:div w:id="114981066">
                                              <w:marLeft w:val="0"/>
                                              <w:marRight w:val="0"/>
                                              <w:marTop w:val="0"/>
                                              <w:marBottom w:val="0"/>
                                              <w:divBdr>
                                                <w:top w:val="none" w:sz="0" w:space="0" w:color="auto"/>
                                                <w:left w:val="none" w:sz="0" w:space="0" w:color="auto"/>
                                                <w:bottom w:val="none" w:sz="0" w:space="0" w:color="auto"/>
                                                <w:right w:val="none" w:sz="0" w:space="0" w:color="auto"/>
                                              </w:divBdr>
                                            </w:div>
                                          </w:divsChild>
                                        </w:div>
                                        <w:div w:id="819271510">
                                          <w:marLeft w:val="0"/>
                                          <w:marRight w:val="0"/>
                                          <w:marTop w:val="0"/>
                                          <w:marBottom w:val="0"/>
                                          <w:divBdr>
                                            <w:top w:val="none" w:sz="0" w:space="0" w:color="auto"/>
                                            <w:left w:val="none" w:sz="0" w:space="0" w:color="auto"/>
                                            <w:bottom w:val="none" w:sz="0" w:space="0" w:color="auto"/>
                                            <w:right w:val="none" w:sz="0" w:space="0" w:color="auto"/>
                                          </w:divBdr>
                                          <w:divsChild>
                                            <w:div w:id="680471056">
                                              <w:marLeft w:val="0"/>
                                              <w:marRight w:val="0"/>
                                              <w:marTop w:val="120"/>
                                              <w:marBottom w:val="0"/>
                                              <w:divBdr>
                                                <w:top w:val="none" w:sz="0" w:space="0" w:color="auto"/>
                                                <w:left w:val="none" w:sz="0" w:space="0" w:color="auto"/>
                                                <w:bottom w:val="none" w:sz="0" w:space="0" w:color="auto"/>
                                                <w:right w:val="none" w:sz="0" w:space="0" w:color="auto"/>
                                              </w:divBdr>
                                            </w:div>
                                            <w:div w:id="1188179796">
                                              <w:marLeft w:val="0"/>
                                              <w:marRight w:val="0"/>
                                              <w:marTop w:val="0"/>
                                              <w:marBottom w:val="0"/>
                                              <w:divBdr>
                                                <w:top w:val="none" w:sz="0" w:space="0" w:color="auto"/>
                                                <w:left w:val="none" w:sz="0" w:space="0" w:color="auto"/>
                                                <w:bottom w:val="none" w:sz="0" w:space="0" w:color="auto"/>
                                                <w:right w:val="none" w:sz="0" w:space="0" w:color="auto"/>
                                              </w:divBdr>
                                            </w:div>
                                          </w:divsChild>
                                        </w:div>
                                        <w:div w:id="419571751">
                                          <w:marLeft w:val="0"/>
                                          <w:marRight w:val="0"/>
                                          <w:marTop w:val="0"/>
                                          <w:marBottom w:val="0"/>
                                          <w:divBdr>
                                            <w:top w:val="none" w:sz="0" w:space="0" w:color="auto"/>
                                            <w:left w:val="none" w:sz="0" w:space="0" w:color="auto"/>
                                            <w:bottom w:val="none" w:sz="0" w:space="0" w:color="auto"/>
                                            <w:right w:val="none" w:sz="0" w:space="0" w:color="auto"/>
                                          </w:divBdr>
                                          <w:divsChild>
                                            <w:div w:id="1488860771">
                                              <w:marLeft w:val="0"/>
                                              <w:marRight w:val="0"/>
                                              <w:marTop w:val="120"/>
                                              <w:marBottom w:val="0"/>
                                              <w:divBdr>
                                                <w:top w:val="none" w:sz="0" w:space="0" w:color="auto"/>
                                                <w:left w:val="none" w:sz="0" w:space="0" w:color="auto"/>
                                                <w:bottom w:val="none" w:sz="0" w:space="0" w:color="auto"/>
                                                <w:right w:val="none" w:sz="0" w:space="0" w:color="auto"/>
                                              </w:divBdr>
                                            </w:div>
                                            <w:div w:id="219442915">
                                              <w:marLeft w:val="0"/>
                                              <w:marRight w:val="0"/>
                                              <w:marTop w:val="0"/>
                                              <w:marBottom w:val="0"/>
                                              <w:divBdr>
                                                <w:top w:val="none" w:sz="0" w:space="0" w:color="auto"/>
                                                <w:left w:val="none" w:sz="0" w:space="0" w:color="auto"/>
                                                <w:bottom w:val="none" w:sz="0" w:space="0" w:color="auto"/>
                                                <w:right w:val="none" w:sz="0" w:space="0" w:color="auto"/>
                                              </w:divBdr>
                                            </w:div>
                                          </w:divsChild>
                                        </w:div>
                                        <w:div w:id="1728146707">
                                          <w:marLeft w:val="0"/>
                                          <w:marRight w:val="0"/>
                                          <w:marTop w:val="0"/>
                                          <w:marBottom w:val="0"/>
                                          <w:divBdr>
                                            <w:top w:val="none" w:sz="0" w:space="0" w:color="auto"/>
                                            <w:left w:val="none" w:sz="0" w:space="0" w:color="auto"/>
                                            <w:bottom w:val="none" w:sz="0" w:space="0" w:color="auto"/>
                                            <w:right w:val="none" w:sz="0" w:space="0" w:color="auto"/>
                                          </w:divBdr>
                                          <w:divsChild>
                                            <w:div w:id="2064986015">
                                              <w:marLeft w:val="0"/>
                                              <w:marRight w:val="0"/>
                                              <w:marTop w:val="120"/>
                                              <w:marBottom w:val="0"/>
                                              <w:divBdr>
                                                <w:top w:val="none" w:sz="0" w:space="0" w:color="auto"/>
                                                <w:left w:val="none" w:sz="0" w:space="0" w:color="auto"/>
                                                <w:bottom w:val="none" w:sz="0" w:space="0" w:color="auto"/>
                                                <w:right w:val="none" w:sz="0" w:space="0" w:color="auto"/>
                                              </w:divBdr>
                                            </w:div>
                                            <w:div w:id="204757024">
                                              <w:marLeft w:val="0"/>
                                              <w:marRight w:val="0"/>
                                              <w:marTop w:val="0"/>
                                              <w:marBottom w:val="0"/>
                                              <w:divBdr>
                                                <w:top w:val="none" w:sz="0" w:space="0" w:color="auto"/>
                                                <w:left w:val="none" w:sz="0" w:space="0" w:color="auto"/>
                                                <w:bottom w:val="none" w:sz="0" w:space="0" w:color="auto"/>
                                                <w:right w:val="none" w:sz="0" w:space="0" w:color="auto"/>
                                              </w:divBdr>
                                            </w:div>
                                          </w:divsChild>
                                        </w:div>
                                        <w:div w:id="1926567542">
                                          <w:marLeft w:val="0"/>
                                          <w:marRight w:val="0"/>
                                          <w:marTop w:val="0"/>
                                          <w:marBottom w:val="0"/>
                                          <w:divBdr>
                                            <w:top w:val="none" w:sz="0" w:space="0" w:color="auto"/>
                                            <w:left w:val="none" w:sz="0" w:space="0" w:color="auto"/>
                                            <w:bottom w:val="none" w:sz="0" w:space="0" w:color="auto"/>
                                            <w:right w:val="none" w:sz="0" w:space="0" w:color="auto"/>
                                          </w:divBdr>
                                          <w:divsChild>
                                            <w:div w:id="462965582">
                                              <w:marLeft w:val="0"/>
                                              <w:marRight w:val="0"/>
                                              <w:marTop w:val="120"/>
                                              <w:marBottom w:val="0"/>
                                              <w:divBdr>
                                                <w:top w:val="none" w:sz="0" w:space="0" w:color="auto"/>
                                                <w:left w:val="none" w:sz="0" w:space="0" w:color="auto"/>
                                                <w:bottom w:val="none" w:sz="0" w:space="0" w:color="auto"/>
                                                <w:right w:val="none" w:sz="0" w:space="0" w:color="auto"/>
                                              </w:divBdr>
                                            </w:div>
                                            <w:div w:id="2103792725">
                                              <w:marLeft w:val="0"/>
                                              <w:marRight w:val="0"/>
                                              <w:marTop w:val="0"/>
                                              <w:marBottom w:val="0"/>
                                              <w:divBdr>
                                                <w:top w:val="none" w:sz="0" w:space="0" w:color="auto"/>
                                                <w:left w:val="none" w:sz="0" w:space="0" w:color="auto"/>
                                                <w:bottom w:val="none" w:sz="0" w:space="0" w:color="auto"/>
                                                <w:right w:val="none" w:sz="0" w:space="0" w:color="auto"/>
                                              </w:divBdr>
                                            </w:div>
                                          </w:divsChild>
                                        </w:div>
                                        <w:div w:id="440996053">
                                          <w:marLeft w:val="0"/>
                                          <w:marRight w:val="0"/>
                                          <w:marTop w:val="0"/>
                                          <w:marBottom w:val="0"/>
                                          <w:divBdr>
                                            <w:top w:val="none" w:sz="0" w:space="0" w:color="auto"/>
                                            <w:left w:val="none" w:sz="0" w:space="0" w:color="auto"/>
                                            <w:bottom w:val="none" w:sz="0" w:space="0" w:color="auto"/>
                                            <w:right w:val="none" w:sz="0" w:space="0" w:color="auto"/>
                                          </w:divBdr>
                                          <w:divsChild>
                                            <w:div w:id="814836744">
                                              <w:marLeft w:val="0"/>
                                              <w:marRight w:val="0"/>
                                              <w:marTop w:val="120"/>
                                              <w:marBottom w:val="0"/>
                                              <w:divBdr>
                                                <w:top w:val="none" w:sz="0" w:space="0" w:color="auto"/>
                                                <w:left w:val="none" w:sz="0" w:space="0" w:color="auto"/>
                                                <w:bottom w:val="none" w:sz="0" w:space="0" w:color="auto"/>
                                                <w:right w:val="none" w:sz="0" w:space="0" w:color="auto"/>
                                              </w:divBdr>
                                            </w:div>
                                            <w:div w:id="706682509">
                                              <w:marLeft w:val="0"/>
                                              <w:marRight w:val="0"/>
                                              <w:marTop w:val="0"/>
                                              <w:marBottom w:val="0"/>
                                              <w:divBdr>
                                                <w:top w:val="none" w:sz="0" w:space="0" w:color="auto"/>
                                                <w:left w:val="none" w:sz="0" w:space="0" w:color="auto"/>
                                                <w:bottom w:val="none" w:sz="0" w:space="0" w:color="auto"/>
                                                <w:right w:val="none" w:sz="0" w:space="0" w:color="auto"/>
                                              </w:divBdr>
                                              <w:divsChild>
                                                <w:div w:id="1323630">
                                                  <w:marLeft w:val="0"/>
                                                  <w:marRight w:val="0"/>
                                                  <w:marTop w:val="0"/>
                                                  <w:marBottom w:val="0"/>
                                                  <w:divBdr>
                                                    <w:top w:val="none" w:sz="0" w:space="0" w:color="auto"/>
                                                    <w:left w:val="none" w:sz="0" w:space="0" w:color="auto"/>
                                                    <w:bottom w:val="none" w:sz="0" w:space="0" w:color="auto"/>
                                                    <w:right w:val="none" w:sz="0" w:space="0" w:color="auto"/>
                                                  </w:divBdr>
                                                  <w:divsChild>
                                                    <w:div w:id="417679591">
                                                      <w:marLeft w:val="0"/>
                                                      <w:marRight w:val="0"/>
                                                      <w:marTop w:val="120"/>
                                                      <w:marBottom w:val="0"/>
                                                      <w:divBdr>
                                                        <w:top w:val="none" w:sz="0" w:space="0" w:color="auto"/>
                                                        <w:left w:val="none" w:sz="0" w:space="0" w:color="auto"/>
                                                        <w:bottom w:val="none" w:sz="0" w:space="0" w:color="auto"/>
                                                        <w:right w:val="none" w:sz="0" w:space="0" w:color="auto"/>
                                                      </w:divBdr>
                                                    </w:div>
                                                    <w:div w:id="1631781961">
                                                      <w:marLeft w:val="0"/>
                                                      <w:marRight w:val="0"/>
                                                      <w:marTop w:val="0"/>
                                                      <w:marBottom w:val="0"/>
                                                      <w:divBdr>
                                                        <w:top w:val="none" w:sz="0" w:space="0" w:color="auto"/>
                                                        <w:left w:val="none" w:sz="0" w:space="0" w:color="auto"/>
                                                        <w:bottom w:val="none" w:sz="0" w:space="0" w:color="auto"/>
                                                        <w:right w:val="none" w:sz="0" w:space="0" w:color="auto"/>
                                                      </w:divBdr>
                                                    </w:div>
                                                  </w:divsChild>
                                                </w:div>
                                                <w:div w:id="428087426">
                                                  <w:marLeft w:val="0"/>
                                                  <w:marRight w:val="0"/>
                                                  <w:marTop w:val="0"/>
                                                  <w:marBottom w:val="0"/>
                                                  <w:divBdr>
                                                    <w:top w:val="none" w:sz="0" w:space="0" w:color="auto"/>
                                                    <w:left w:val="none" w:sz="0" w:space="0" w:color="auto"/>
                                                    <w:bottom w:val="none" w:sz="0" w:space="0" w:color="auto"/>
                                                    <w:right w:val="none" w:sz="0" w:space="0" w:color="auto"/>
                                                  </w:divBdr>
                                                  <w:divsChild>
                                                    <w:div w:id="1266765423">
                                                      <w:marLeft w:val="0"/>
                                                      <w:marRight w:val="0"/>
                                                      <w:marTop w:val="120"/>
                                                      <w:marBottom w:val="0"/>
                                                      <w:divBdr>
                                                        <w:top w:val="none" w:sz="0" w:space="0" w:color="auto"/>
                                                        <w:left w:val="none" w:sz="0" w:space="0" w:color="auto"/>
                                                        <w:bottom w:val="none" w:sz="0" w:space="0" w:color="auto"/>
                                                        <w:right w:val="none" w:sz="0" w:space="0" w:color="auto"/>
                                                      </w:divBdr>
                                                    </w:div>
                                                    <w:div w:id="389155985">
                                                      <w:marLeft w:val="0"/>
                                                      <w:marRight w:val="0"/>
                                                      <w:marTop w:val="0"/>
                                                      <w:marBottom w:val="0"/>
                                                      <w:divBdr>
                                                        <w:top w:val="none" w:sz="0" w:space="0" w:color="auto"/>
                                                        <w:left w:val="none" w:sz="0" w:space="0" w:color="auto"/>
                                                        <w:bottom w:val="none" w:sz="0" w:space="0" w:color="auto"/>
                                                        <w:right w:val="none" w:sz="0" w:space="0" w:color="auto"/>
                                                      </w:divBdr>
                                                    </w:div>
                                                  </w:divsChild>
                                                </w:div>
                                                <w:div w:id="644239030">
                                                  <w:marLeft w:val="0"/>
                                                  <w:marRight w:val="0"/>
                                                  <w:marTop w:val="0"/>
                                                  <w:marBottom w:val="0"/>
                                                  <w:divBdr>
                                                    <w:top w:val="none" w:sz="0" w:space="0" w:color="auto"/>
                                                    <w:left w:val="none" w:sz="0" w:space="0" w:color="auto"/>
                                                    <w:bottom w:val="none" w:sz="0" w:space="0" w:color="auto"/>
                                                    <w:right w:val="none" w:sz="0" w:space="0" w:color="auto"/>
                                                  </w:divBdr>
                                                  <w:divsChild>
                                                    <w:div w:id="987904581">
                                                      <w:marLeft w:val="0"/>
                                                      <w:marRight w:val="0"/>
                                                      <w:marTop w:val="120"/>
                                                      <w:marBottom w:val="0"/>
                                                      <w:divBdr>
                                                        <w:top w:val="none" w:sz="0" w:space="0" w:color="auto"/>
                                                        <w:left w:val="none" w:sz="0" w:space="0" w:color="auto"/>
                                                        <w:bottom w:val="none" w:sz="0" w:space="0" w:color="auto"/>
                                                        <w:right w:val="none" w:sz="0" w:space="0" w:color="auto"/>
                                                      </w:divBdr>
                                                    </w:div>
                                                    <w:div w:id="34887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202536">
                                          <w:marLeft w:val="0"/>
                                          <w:marRight w:val="0"/>
                                          <w:marTop w:val="0"/>
                                          <w:marBottom w:val="0"/>
                                          <w:divBdr>
                                            <w:top w:val="none" w:sz="0" w:space="0" w:color="auto"/>
                                            <w:left w:val="none" w:sz="0" w:space="0" w:color="auto"/>
                                            <w:bottom w:val="none" w:sz="0" w:space="0" w:color="auto"/>
                                            <w:right w:val="none" w:sz="0" w:space="0" w:color="auto"/>
                                          </w:divBdr>
                                          <w:divsChild>
                                            <w:div w:id="1309483369">
                                              <w:marLeft w:val="0"/>
                                              <w:marRight w:val="0"/>
                                              <w:marTop w:val="120"/>
                                              <w:marBottom w:val="0"/>
                                              <w:divBdr>
                                                <w:top w:val="none" w:sz="0" w:space="0" w:color="auto"/>
                                                <w:left w:val="none" w:sz="0" w:space="0" w:color="auto"/>
                                                <w:bottom w:val="none" w:sz="0" w:space="0" w:color="auto"/>
                                                <w:right w:val="none" w:sz="0" w:space="0" w:color="auto"/>
                                              </w:divBdr>
                                            </w:div>
                                            <w:div w:id="1557158088">
                                              <w:marLeft w:val="0"/>
                                              <w:marRight w:val="0"/>
                                              <w:marTop w:val="0"/>
                                              <w:marBottom w:val="0"/>
                                              <w:divBdr>
                                                <w:top w:val="none" w:sz="0" w:space="0" w:color="auto"/>
                                                <w:left w:val="none" w:sz="0" w:space="0" w:color="auto"/>
                                                <w:bottom w:val="none" w:sz="0" w:space="0" w:color="auto"/>
                                                <w:right w:val="none" w:sz="0" w:space="0" w:color="auto"/>
                                              </w:divBdr>
                                            </w:div>
                                          </w:divsChild>
                                        </w:div>
                                        <w:div w:id="488054899">
                                          <w:marLeft w:val="0"/>
                                          <w:marRight w:val="0"/>
                                          <w:marTop w:val="0"/>
                                          <w:marBottom w:val="0"/>
                                          <w:divBdr>
                                            <w:top w:val="none" w:sz="0" w:space="0" w:color="auto"/>
                                            <w:left w:val="none" w:sz="0" w:space="0" w:color="auto"/>
                                            <w:bottom w:val="none" w:sz="0" w:space="0" w:color="auto"/>
                                            <w:right w:val="none" w:sz="0" w:space="0" w:color="auto"/>
                                          </w:divBdr>
                                          <w:divsChild>
                                            <w:div w:id="104077859">
                                              <w:marLeft w:val="0"/>
                                              <w:marRight w:val="0"/>
                                              <w:marTop w:val="120"/>
                                              <w:marBottom w:val="0"/>
                                              <w:divBdr>
                                                <w:top w:val="none" w:sz="0" w:space="0" w:color="auto"/>
                                                <w:left w:val="none" w:sz="0" w:space="0" w:color="auto"/>
                                                <w:bottom w:val="none" w:sz="0" w:space="0" w:color="auto"/>
                                                <w:right w:val="none" w:sz="0" w:space="0" w:color="auto"/>
                                              </w:divBdr>
                                            </w:div>
                                            <w:div w:id="1322008201">
                                              <w:marLeft w:val="0"/>
                                              <w:marRight w:val="0"/>
                                              <w:marTop w:val="0"/>
                                              <w:marBottom w:val="0"/>
                                              <w:divBdr>
                                                <w:top w:val="none" w:sz="0" w:space="0" w:color="auto"/>
                                                <w:left w:val="none" w:sz="0" w:space="0" w:color="auto"/>
                                                <w:bottom w:val="none" w:sz="0" w:space="0" w:color="auto"/>
                                                <w:right w:val="none" w:sz="0" w:space="0" w:color="auto"/>
                                              </w:divBdr>
                                            </w:div>
                                          </w:divsChild>
                                        </w:div>
                                        <w:div w:id="464393508">
                                          <w:marLeft w:val="0"/>
                                          <w:marRight w:val="0"/>
                                          <w:marTop w:val="0"/>
                                          <w:marBottom w:val="0"/>
                                          <w:divBdr>
                                            <w:top w:val="none" w:sz="0" w:space="0" w:color="auto"/>
                                            <w:left w:val="none" w:sz="0" w:space="0" w:color="auto"/>
                                            <w:bottom w:val="none" w:sz="0" w:space="0" w:color="auto"/>
                                            <w:right w:val="none" w:sz="0" w:space="0" w:color="auto"/>
                                          </w:divBdr>
                                          <w:divsChild>
                                            <w:div w:id="2122188119">
                                              <w:marLeft w:val="0"/>
                                              <w:marRight w:val="0"/>
                                              <w:marTop w:val="120"/>
                                              <w:marBottom w:val="0"/>
                                              <w:divBdr>
                                                <w:top w:val="none" w:sz="0" w:space="0" w:color="auto"/>
                                                <w:left w:val="none" w:sz="0" w:space="0" w:color="auto"/>
                                                <w:bottom w:val="none" w:sz="0" w:space="0" w:color="auto"/>
                                                <w:right w:val="none" w:sz="0" w:space="0" w:color="auto"/>
                                              </w:divBdr>
                                            </w:div>
                                            <w:div w:id="1872495597">
                                              <w:marLeft w:val="0"/>
                                              <w:marRight w:val="0"/>
                                              <w:marTop w:val="0"/>
                                              <w:marBottom w:val="0"/>
                                              <w:divBdr>
                                                <w:top w:val="none" w:sz="0" w:space="0" w:color="auto"/>
                                                <w:left w:val="none" w:sz="0" w:space="0" w:color="auto"/>
                                                <w:bottom w:val="none" w:sz="0" w:space="0" w:color="auto"/>
                                                <w:right w:val="none" w:sz="0" w:space="0" w:color="auto"/>
                                              </w:divBdr>
                                            </w:div>
                                          </w:divsChild>
                                        </w:div>
                                        <w:div w:id="111558198">
                                          <w:marLeft w:val="0"/>
                                          <w:marRight w:val="0"/>
                                          <w:marTop w:val="0"/>
                                          <w:marBottom w:val="0"/>
                                          <w:divBdr>
                                            <w:top w:val="none" w:sz="0" w:space="0" w:color="auto"/>
                                            <w:left w:val="none" w:sz="0" w:space="0" w:color="auto"/>
                                            <w:bottom w:val="none" w:sz="0" w:space="0" w:color="auto"/>
                                            <w:right w:val="none" w:sz="0" w:space="0" w:color="auto"/>
                                          </w:divBdr>
                                          <w:divsChild>
                                            <w:div w:id="480386670">
                                              <w:marLeft w:val="0"/>
                                              <w:marRight w:val="0"/>
                                              <w:marTop w:val="120"/>
                                              <w:marBottom w:val="0"/>
                                              <w:divBdr>
                                                <w:top w:val="none" w:sz="0" w:space="0" w:color="auto"/>
                                                <w:left w:val="none" w:sz="0" w:space="0" w:color="auto"/>
                                                <w:bottom w:val="none" w:sz="0" w:space="0" w:color="auto"/>
                                                <w:right w:val="none" w:sz="0" w:space="0" w:color="auto"/>
                                              </w:divBdr>
                                            </w:div>
                                            <w:div w:id="1608124196">
                                              <w:marLeft w:val="0"/>
                                              <w:marRight w:val="0"/>
                                              <w:marTop w:val="0"/>
                                              <w:marBottom w:val="0"/>
                                              <w:divBdr>
                                                <w:top w:val="none" w:sz="0" w:space="0" w:color="auto"/>
                                                <w:left w:val="none" w:sz="0" w:space="0" w:color="auto"/>
                                                <w:bottom w:val="none" w:sz="0" w:space="0" w:color="auto"/>
                                                <w:right w:val="none" w:sz="0" w:space="0" w:color="auto"/>
                                              </w:divBdr>
                                            </w:div>
                                          </w:divsChild>
                                        </w:div>
                                        <w:div w:id="65764470">
                                          <w:marLeft w:val="0"/>
                                          <w:marRight w:val="0"/>
                                          <w:marTop w:val="0"/>
                                          <w:marBottom w:val="0"/>
                                          <w:divBdr>
                                            <w:top w:val="none" w:sz="0" w:space="0" w:color="auto"/>
                                            <w:left w:val="none" w:sz="0" w:space="0" w:color="auto"/>
                                            <w:bottom w:val="none" w:sz="0" w:space="0" w:color="auto"/>
                                            <w:right w:val="none" w:sz="0" w:space="0" w:color="auto"/>
                                          </w:divBdr>
                                          <w:divsChild>
                                            <w:div w:id="719790598">
                                              <w:marLeft w:val="0"/>
                                              <w:marRight w:val="0"/>
                                              <w:marTop w:val="120"/>
                                              <w:marBottom w:val="0"/>
                                              <w:divBdr>
                                                <w:top w:val="none" w:sz="0" w:space="0" w:color="auto"/>
                                                <w:left w:val="none" w:sz="0" w:space="0" w:color="auto"/>
                                                <w:bottom w:val="none" w:sz="0" w:space="0" w:color="auto"/>
                                                <w:right w:val="none" w:sz="0" w:space="0" w:color="auto"/>
                                              </w:divBdr>
                                            </w:div>
                                            <w:div w:id="1699966310">
                                              <w:marLeft w:val="0"/>
                                              <w:marRight w:val="0"/>
                                              <w:marTop w:val="0"/>
                                              <w:marBottom w:val="0"/>
                                              <w:divBdr>
                                                <w:top w:val="none" w:sz="0" w:space="0" w:color="auto"/>
                                                <w:left w:val="none" w:sz="0" w:space="0" w:color="auto"/>
                                                <w:bottom w:val="none" w:sz="0" w:space="0" w:color="auto"/>
                                                <w:right w:val="none" w:sz="0" w:space="0" w:color="auto"/>
                                              </w:divBdr>
                                            </w:div>
                                          </w:divsChild>
                                        </w:div>
                                        <w:div w:id="1499808840">
                                          <w:marLeft w:val="0"/>
                                          <w:marRight w:val="0"/>
                                          <w:marTop w:val="0"/>
                                          <w:marBottom w:val="0"/>
                                          <w:divBdr>
                                            <w:top w:val="none" w:sz="0" w:space="0" w:color="auto"/>
                                            <w:left w:val="none" w:sz="0" w:space="0" w:color="auto"/>
                                            <w:bottom w:val="none" w:sz="0" w:space="0" w:color="auto"/>
                                            <w:right w:val="none" w:sz="0" w:space="0" w:color="auto"/>
                                          </w:divBdr>
                                          <w:divsChild>
                                            <w:div w:id="1519151760">
                                              <w:marLeft w:val="0"/>
                                              <w:marRight w:val="0"/>
                                              <w:marTop w:val="120"/>
                                              <w:marBottom w:val="0"/>
                                              <w:divBdr>
                                                <w:top w:val="none" w:sz="0" w:space="0" w:color="auto"/>
                                                <w:left w:val="none" w:sz="0" w:space="0" w:color="auto"/>
                                                <w:bottom w:val="none" w:sz="0" w:space="0" w:color="auto"/>
                                                <w:right w:val="none" w:sz="0" w:space="0" w:color="auto"/>
                                              </w:divBdr>
                                            </w:div>
                                            <w:div w:id="1069425569">
                                              <w:marLeft w:val="0"/>
                                              <w:marRight w:val="0"/>
                                              <w:marTop w:val="0"/>
                                              <w:marBottom w:val="0"/>
                                              <w:divBdr>
                                                <w:top w:val="none" w:sz="0" w:space="0" w:color="auto"/>
                                                <w:left w:val="none" w:sz="0" w:space="0" w:color="auto"/>
                                                <w:bottom w:val="none" w:sz="0" w:space="0" w:color="auto"/>
                                                <w:right w:val="none" w:sz="0" w:space="0" w:color="auto"/>
                                              </w:divBdr>
                                            </w:div>
                                          </w:divsChild>
                                        </w:div>
                                        <w:div w:id="1529491033">
                                          <w:marLeft w:val="0"/>
                                          <w:marRight w:val="0"/>
                                          <w:marTop w:val="0"/>
                                          <w:marBottom w:val="0"/>
                                          <w:divBdr>
                                            <w:top w:val="none" w:sz="0" w:space="0" w:color="auto"/>
                                            <w:left w:val="none" w:sz="0" w:space="0" w:color="auto"/>
                                            <w:bottom w:val="none" w:sz="0" w:space="0" w:color="auto"/>
                                            <w:right w:val="none" w:sz="0" w:space="0" w:color="auto"/>
                                          </w:divBdr>
                                          <w:divsChild>
                                            <w:div w:id="738790121">
                                              <w:marLeft w:val="0"/>
                                              <w:marRight w:val="0"/>
                                              <w:marTop w:val="120"/>
                                              <w:marBottom w:val="0"/>
                                              <w:divBdr>
                                                <w:top w:val="none" w:sz="0" w:space="0" w:color="auto"/>
                                                <w:left w:val="none" w:sz="0" w:space="0" w:color="auto"/>
                                                <w:bottom w:val="none" w:sz="0" w:space="0" w:color="auto"/>
                                                <w:right w:val="none" w:sz="0" w:space="0" w:color="auto"/>
                                              </w:divBdr>
                                            </w:div>
                                            <w:div w:id="501284966">
                                              <w:marLeft w:val="0"/>
                                              <w:marRight w:val="0"/>
                                              <w:marTop w:val="0"/>
                                              <w:marBottom w:val="0"/>
                                              <w:divBdr>
                                                <w:top w:val="none" w:sz="0" w:space="0" w:color="auto"/>
                                                <w:left w:val="none" w:sz="0" w:space="0" w:color="auto"/>
                                                <w:bottom w:val="none" w:sz="0" w:space="0" w:color="auto"/>
                                                <w:right w:val="none" w:sz="0" w:space="0" w:color="auto"/>
                                              </w:divBdr>
                                            </w:div>
                                          </w:divsChild>
                                        </w:div>
                                        <w:div w:id="742216250">
                                          <w:marLeft w:val="0"/>
                                          <w:marRight w:val="0"/>
                                          <w:marTop w:val="0"/>
                                          <w:marBottom w:val="0"/>
                                          <w:divBdr>
                                            <w:top w:val="none" w:sz="0" w:space="0" w:color="auto"/>
                                            <w:left w:val="none" w:sz="0" w:space="0" w:color="auto"/>
                                            <w:bottom w:val="none" w:sz="0" w:space="0" w:color="auto"/>
                                            <w:right w:val="none" w:sz="0" w:space="0" w:color="auto"/>
                                          </w:divBdr>
                                          <w:divsChild>
                                            <w:div w:id="644552568">
                                              <w:marLeft w:val="0"/>
                                              <w:marRight w:val="0"/>
                                              <w:marTop w:val="120"/>
                                              <w:marBottom w:val="0"/>
                                              <w:divBdr>
                                                <w:top w:val="none" w:sz="0" w:space="0" w:color="auto"/>
                                                <w:left w:val="none" w:sz="0" w:space="0" w:color="auto"/>
                                                <w:bottom w:val="none" w:sz="0" w:space="0" w:color="auto"/>
                                                <w:right w:val="none" w:sz="0" w:space="0" w:color="auto"/>
                                              </w:divBdr>
                                            </w:div>
                                            <w:div w:id="1983459196">
                                              <w:marLeft w:val="0"/>
                                              <w:marRight w:val="0"/>
                                              <w:marTop w:val="0"/>
                                              <w:marBottom w:val="0"/>
                                              <w:divBdr>
                                                <w:top w:val="none" w:sz="0" w:space="0" w:color="auto"/>
                                                <w:left w:val="none" w:sz="0" w:space="0" w:color="auto"/>
                                                <w:bottom w:val="none" w:sz="0" w:space="0" w:color="auto"/>
                                                <w:right w:val="none" w:sz="0" w:space="0" w:color="auto"/>
                                              </w:divBdr>
                                            </w:div>
                                          </w:divsChild>
                                        </w:div>
                                        <w:div w:id="1380469558">
                                          <w:marLeft w:val="0"/>
                                          <w:marRight w:val="0"/>
                                          <w:marTop w:val="0"/>
                                          <w:marBottom w:val="0"/>
                                          <w:divBdr>
                                            <w:top w:val="none" w:sz="0" w:space="0" w:color="auto"/>
                                            <w:left w:val="none" w:sz="0" w:space="0" w:color="auto"/>
                                            <w:bottom w:val="none" w:sz="0" w:space="0" w:color="auto"/>
                                            <w:right w:val="none" w:sz="0" w:space="0" w:color="auto"/>
                                          </w:divBdr>
                                          <w:divsChild>
                                            <w:div w:id="597635568">
                                              <w:marLeft w:val="0"/>
                                              <w:marRight w:val="0"/>
                                              <w:marTop w:val="120"/>
                                              <w:marBottom w:val="0"/>
                                              <w:divBdr>
                                                <w:top w:val="none" w:sz="0" w:space="0" w:color="auto"/>
                                                <w:left w:val="none" w:sz="0" w:space="0" w:color="auto"/>
                                                <w:bottom w:val="none" w:sz="0" w:space="0" w:color="auto"/>
                                                <w:right w:val="none" w:sz="0" w:space="0" w:color="auto"/>
                                              </w:divBdr>
                                            </w:div>
                                            <w:div w:id="161548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743480">
                                  <w:marLeft w:val="0"/>
                                  <w:marRight w:val="0"/>
                                  <w:marTop w:val="0"/>
                                  <w:marBottom w:val="0"/>
                                  <w:divBdr>
                                    <w:top w:val="none" w:sz="0" w:space="0" w:color="auto"/>
                                    <w:left w:val="none" w:sz="0" w:space="0" w:color="auto"/>
                                    <w:bottom w:val="none" w:sz="0" w:space="0" w:color="auto"/>
                                    <w:right w:val="none" w:sz="0" w:space="0" w:color="auto"/>
                                  </w:divBdr>
                                  <w:divsChild>
                                    <w:div w:id="490875069">
                                      <w:marLeft w:val="0"/>
                                      <w:marRight w:val="0"/>
                                      <w:marTop w:val="0"/>
                                      <w:marBottom w:val="0"/>
                                      <w:divBdr>
                                        <w:top w:val="none" w:sz="0" w:space="0" w:color="auto"/>
                                        <w:left w:val="none" w:sz="0" w:space="0" w:color="auto"/>
                                        <w:bottom w:val="none" w:sz="0" w:space="0" w:color="auto"/>
                                        <w:right w:val="none" w:sz="0" w:space="0" w:color="auto"/>
                                      </w:divBdr>
                                    </w:div>
                                  </w:divsChild>
                                </w:div>
                                <w:div w:id="250428379">
                                  <w:marLeft w:val="0"/>
                                  <w:marRight w:val="0"/>
                                  <w:marTop w:val="0"/>
                                  <w:marBottom w:val="0"/>
                                  <w:divBdr>
                                    <w:top w:val="none" w:sz="0" w:space="0" w:color="auto"/>
                                    <w:left w:val="none" w:sz="0" w:space="0" w:color="auto"/>
                                    <w:bottom w:val="none" w:sz="0" w:space="0" w:color="auto"/>
                                    <w:right w:val="none" w:sz="0" w:space="0" w:color="auto"/>
                                  </w:divBdr>
                                  <w:divsChild>
                                    <w:div w:id="105666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4674">
                              <w:marLeft w:val="0"/>
                              <w:marRight w:val="0"/>
                              <w:marTop w:val="0"/>
                              <w:marBottom w:val="0"/>
                              <w:divBdr>
                                <w:top w:val="none" w:sz="0" w:space="0" w:color="auto"/>
                                <w:left w:val="none" w:sz="0" w:space="0" w:color="auto"/>
                                <w:bottom w:val="none" w:sz="0" w:space="0" w:color="auto"/>
                                <w:right w:val="none" w:sz="0" w:space="0" w:color="auto"/>
                              </w:divBdr>
                              <w:divsChild>
                                <w:div w:id="1628076933">
                                  <w:marLeft w:val="0"/>
                                  <w:marRight w:val="0"/>
                                  <w:marTop w:val="0"/>
                                  <w:marBottom w:val="0"/>
                                  <w:divBdr>
                                    <w:top w:val="none" w:sz="0" w:space="0" w:color="auto"/>
                                    <w:left w:val="none" w:sz="0" w:space="0" w:color="auto"/>
                                    <w:bottom w:val="none" w:sz="0" w:space="0" w:color="auto"/>
                                    <w:right w:val="none" w:sz="0" w:space="0" w:color="auto"/>
                                  </w:divBdr>
                                </w:div>
                                <w:div w:id="1619724802">
                                  <w:marLeft w:val="0"/>
                                  <w:marRight w:val="0"/>
                                  <w:marTop w:val="0"/>
                                  <w:marBottom w:val="0"/>
                                  <w:divBdr>
                                    <w:top w:val="none" w:sz="0" w:space="0" w:color="auto"/>
                                    <w:left w:val="none" w:sz="0" w:space="0" w:color="auto"/>
                                    <w:bottom w:val="none" w:sz="0" w:space="0" w:color="auto"/>
                                    <w:right w:val="none" w:sz="0" w:space="0" w:color="auto"/>
                                  </w:divBdr>
                                  <w:divsChild>
                                    <w:div w:id="2090614237">
                                      <w:marLeft w:val="0"/>
                                      <w:marRight w:val="0"/>
                                      <w:marTop w:val="0"/>
                                      <w:marBottom w:val="0"/>
                                      <w:divBdr>
                                        <w:top w:val="none" w:sz="0" w:space="0" w:color="auto"/>
                                        <w:left w:val="none" w:sz="0" w:space="0" w:color="auto"/>
                                        <w:bottom w:val="none" w:sz="0" w:space="0" w:color="auto"/>
                                        <w:right w:val="none" w:sz="0" w:space="0" w:color="auto"/>
                                      </w:divBdr>
                                      <w:divsChild>
                                        <w:div w:id="1519856559">
                                          <w:marLeft w:val="0"/>
                                          <w:marRight w:val="0"/>
                                          <w:marTop w:val="0"/>
                                          <w:marBottom w:val="0"/>
                                          <w:divBdr>
                                            <w:top w:val="none" w:sz="0" w:space="0" w:color="auto"/>
                                            <w:left w:val="none" w:sz="0" w:space="0" w:color="auto"/>
                                            <w:bottom w:val="none" w:sz="0" w:space="0" w:color="auto"/>
                                            <w:right w:val="none" w:sz="0" w:space="0" w:color="auto"/>
                                          </w:divBdr>
                                          <w:divsChild>
                                            <w:div w:id="1325431716">
                                              <w:marLeft w:val="0"/>
                                              <w:marRight w:val="0"/>
                                              <w:marTop w:val="120"/>
                                              <w:marBottom w:val="0"/>
                                              <w:divBdr>
                                                <w:top w:val="none" w:sz="0" w:space="0" w:color="auto"/>
                                                <w:left w:val="none" w:sz="0" w:space="0" w:color="auto"/>
                                                <w:bottom w:val="none" w:sz="0" w:space="0" w:color="auto"/>
                                                <w:right w:val="none" w:sz="0" w:space="0" w:color="auto"/>
                                              </w:divBdr>
                                            </w:div>
                                            <w:div w:id="1664167371">
                                              <w:marLeft w:val="0"/>
                                              <w:marRight w:val="0"/>
                                              <w:marTop w:val="0"/>
                                              <w:marBottom w:val="0"/>
                                              <w:divBdr>
                                                <w:top w:val="none" w:sz="0" w:space="0" w:color="auto"/>
                                                <w:left w:val="none" w:sz="0" w:space="0" w:color="auto"/>
                                                <w:bottom w:val="none" w:sz="0" w:space="0" w:color="auto"/>
                                                <w:right w:val="none" w:sz="0" w:space="0" w:color="auto"/>
                                              </w:divBdr>
                                            </w:div>
                                          </w:divsChild>
                                        </w:div>
                                        <w:div w:id="1183863950">
                                          <w:marLeft w:val="0"/>
                                          <w:marRight w:val="0"/>
                                          <w:marTop w:val="0"/>
                                          <w:marBottom w:val="0"/>
                                          <w:divBdr>
                                            <w:top w:val="none" w:sz="0" w:space="0" w:color="auto"/>
                                            <w:left w:val="none" w:sz="0" w:space="0" w:color="auto"/>
                                            <w:bottom w:val="none" w:sz="0" w:space="0" w:color="auto"/>
                                            <w:right w:val="none" w:sz="0" w:space="0" w:color="auto"/>
                                          </w:divBdr>
                                          <w:divsChild>
                                            <w:div w:id="2075080890">
                                              <w:marLeft w:val="0"/>
                                              <w:marRight w:val="0"/>
                                              <w:marTop w:val="120"/>
                                              <w:marBottom w:val="0"/>
                                              <w:divBdr>
                                                <w:top w:val="none" w:sz="0" w:space="0" w:color="auto"/>
                                                <w:left w:val="none" w:sz="0" w:space="0" w:color="auto"/>
                                                <w:bottom w:val="none" w:sz="0" w:space="0" w:color="auto"/>
                                                <w:right w:val="none" w:sz="0" w:space="0" w:color="auto"/>
                                              </w:divBdr>
                                            </w:div>
                                            <w:div w:id="13027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347413">
                                  <w:marLeft w:val="0"/>
                                  <w:marRight w:val="0"/>
                                  <w:marTop w:val="0"/>
                                  <w:marBottom w:val="0"/>
                                  <w:divBdr>
                                    <w:top w:val="none" w:sz="0" w:space="0" w:color="auto"/>
                                    <w:left w:val="none" w:sz="0" w:space="0" w:color="auto"/>
                                    <w:bottom w:val="none" w:sz="0" w:space="0" w:color="auto"/>
                                    <w:right w:val="none" w:sz="0" w:space="0" w:color="auto"/>
                                  </w:divBdr>
                                  <w:divsChild>
                                    <w:div w:id="1806002095">
                                      <w:marLeft w:val="0"/>
                                      <w:marRight w:val="0"/>
                                      <w:marTop w:val="0"/>
                                      <w:marBottom w:val="0"/>
                                      <w:divBdr>
                                        <w:top w:val="none" w:sz="0" w:space="0" w:color="auto"/>
                                        <w:left w:val="none" w:sz="0" w:space="0" w:color="auto"/>
                                        <w:bottom w:val="none" w:sz="0" w:space="0" w:color="auto"/>
                                        <w:right w:val="none" w:sz="0" w:space="0" w:color="auto"/>
                                      </w:divBdr>
                                    </w:div>
                                  </w:divsChild>
                                </w:div>
                                <w:div w:id="1591886704">
                                  <w:marLeft w:val="0"/>
                                  <w:marRight w:val="0"/>
                                  <w:marTop w:val="0"/>
                                  <w:marBottom w:val="0"/>
                                  <w:divBdr>
                                    <w:top w:val="none" w:sz="0" w:space="0" w:color="auto"/>
                                    <w:left w:val="none" w:sz="0" w:space="0" w:color="auto"/>
                                    <w:bottom w:val="none" w:sz="0" w:space="0" w:color="auto"/>
                                    <w:right w:val="none" w:sz="0" w:space="0" w:color="auto"/>
                                  </w:divBdr>
                                  <w:divsChild>
                                    <w:div w:id="194518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54354">
                              <w:marLeft w:val="0"/>
                              <w:marRight w:val="0"/>
                              <w:marTop w:val="0"/>
                              <w:marBottom w:val="0"/>
                              <w:divBdr>
                                <w:top w:val="none" w:sz="0" w:space="0" w:color="auto"/>
                                <w:left w:val="none" w:sz="0" w:space="0" w:color="auto"/>
                                <w:bottom w:val="none" w:sz="0" w:space="0" w:color="auto"/>
                                <w:right w:val="none" w:sz="0" w:space="0" w:color="auto"/>
                              </w:divBdr>
                              <w:divsChild>
                                <w:div w:id="154927526">
                                  <w:marLeft w:val="0"/>
                                  <w:marRight w:val="0"/>
                                  <w:marTop w:val="0"/>
                                  <w:marBottom w:val="0"/>
                                  <w:divBdr>
                                    <w:top w:val="none" w:sz="0" w:space="0" w:color="auto"/>
                                    <w:left w:val="none" w:sz="0" w:space="0" w:color="auto"/>
                                    <w:bottom w:val="none" w:sz="0" w:space="0" w:color="auto"/>
                                    <w:right w:val="none" w:sz="0" w:space="0" w:color="auto"/>
                                  </w:divBdr>
                                </w:div>
                                <w:div w:id="2035687964">
                                  <w:marLeft w:val="0"/>
                                  <w:marRight w:val="0"/>
                                  <w:marTop w:val="0"/>
                                  <w:marBottom w:val="0"/>
                                  <w:divBdr>
                                    <w:top w:val="none" w:sz="0" w:space="0" w:color="auto"/>
                                    <w:left w:val="none" w:sz="0" w:space="0" w:color="auto"/>
                                    <w:bottom w:val="none" w:sz="0" w:space="0" w:color="auto"/>
                                    <w:right w:val="none" w:sz="0" w:space="0" w:color="auto"/>
                                  </w:divBdr>
                                  <w:divsChild>
                                    <w:div w:id="1034116236">
                                      <w:marLeft w:val="0"/>
                                      <w:marRight w:val="0"/>
                                      <w:marTop w:val="0"/>
                                      <w:marBottom w:val="0"/>
                                      <w:divBdr>
                                        <w:top w:val="none" w:sz="0" w:space="0" w:color="auto"/>
                                        <w:left w:val="none" w:sz="0" w:space="0" w:color="auto"/>
                                        <w:bottom w:val="none" w:sz="0" w:space="0" w:color="auto"/>
                                        <w:right w:val="none" w:sz="0" w:space="0" w:color="auto"/>
                                      </w:divBdr>
                                      <w:divsChild>
                                        <w:div w:id="1267810378">
                                          <w:marLeft w:val="0"/>
                                          <w:marRight w:val="0"/>
                                          <w:marTop w:val="0"/>
                                          <w:marBottom w:val="0"/>
                                          <w:divBdr>
                                            <w:top w:val="none" w:sz="0" w:space="0" w:color="auto"/>
                                            <w:left w:val="none" w:sz="0" w:space="0" w:color="auto"/>
                                            <w:bottom w:val="none" w:sz="0" w:space="0" w:color="auto"/>
                                            <w:right w:val="none" w:sz="0" w:space="0" w:color="auto"/>
                                          </w:divBdr>
                                          <w:divsChild>
                                            <w:div w:id="931426295">
                                              <w:marLeft w:val="0"/>
                                              <w:marRight w:val="0"/>
                                              <w:marTop w:val="120"/>
                                              <w:marBottom w:val="0"/>
                                              <w:divBdr>
                                                <w:top w:val="none" w:sz="0" w:space="0" w:color="auto"/>
                                                <w:left w:val="none" w:sz="0" w:space="0" w:color="auto"/>
                                                <w:bottom w:val="none" w:sz="0" w:space="0" w:color="auto"/>
                                                <w:right w:val="none" w:sz="0" w:space="0" w:color="auto"/>
                                              </w:divBdr>
                                            </w:div>
                                            <w:div w:id="81533949">
                                              <w:marLeft w:val="0"/>
                                              <w:marRight w:val="0"/>
                                              <w:marTop w:val="0"/>
                                              <w:marBottom w:val="0"/>
                                              <w:divBdr>
                                                <w:top w:val="none" w:sz="0" w:space="0" w:color="auto"/>
                                                <w:left w:val="none" w:sz="0" w:space="0" w:color="auto"/>
                                                <w:bottom w:val="none" w:sz="0" w:space="0" w:color="auto"/>
                                                <w:right w:val="none" w:sz="0" w:space="0" w:color="auto"/>
                                              </w:divBdr>
                                            </w:div>
                                          </w:divsChild>
                                        </w:div>
                                        <w:div w:id="1370689882">
                                          <w:marLeft w:val="0"/>
                                          <w:marRight w:val="0"/>
                                          <w:marTop w:val="0"/>
                                          <w:marBottom w:val="0"/>
                                          <w:divBdr>
                                            <w:top w:val="none" w:sz="0" w:space="0" w:color="auto"/>
                                            <w:left w:val="none" w:sz="0" w:space="0" w:color="auto"/>
                                            <w:bottom w:val="none" w:sz="0" w:space="0" w:color="auto"/>
                                            <w:right w:val="none" w:sz="0" w:space="0" w:color="auto"/>
                                          </w:divBdr>
                                          <w:divsChild>
                                            <w:div w:id="48381614">
                                              <w:marLeft w:val="0"/>
                                              <w:marRight w:val="0"/>
                                              <w:marTop w:val="120"/>
                                              <w:marBottom w:val="0"/>
                                              <w:divBdr>
                                                <w:top w:val="none" w:sz="0" w:space="0" w:color="auto"/>
                                                <w:left w:val="none" w:sz="0" w:space="0" w:color="auto"/>
                                                <w:bottom w:val="none" w:sz="0" w:space="0" w:color="auto"/>
                                                <w:right w:val="none" w:sz="0" w:space="0" w:color="auto"/>
                                              </w:divBdr>
                                            </w:div>
                                            <w:div w:id="1118451504">
                                              <w:marLeft w:val="0"/>
                                              <w:marRight w:val="0"/>
                                              <w:marTop w:val="0"/>
                                              <w:marBottom w:val="0"/>
                                              <w:divBdr>
                                                <w:top w:val="none" w:sz="0" w:space="0" w:color="auto"/>
                                                <w:left w:val="none" w:sz="0" w:space="0" w:color="auto"/>
                                                <w:bottom w:val="none" w:sz="0" w:space="0" w:color="auto"/>
                                                <w:right w:val="none" w:sz="0" w:space="0" w:color="auto"/>
                                              </w:divBdr>
                                            </w:div>
                                          </w:divsChild>
                                        </w:div>
                                        <w:div w:id="1236545538">
                                          <w:marLeft w:val="0"/>
                                          <w:marRight w:val="0"/>
                                          <w:marTop w:val="0"/>
                                          <w:marBottom w:val="0"/>
                                          <w:divBdr>
                                            <w:top w:val="none" w:sz="0" w:space="0" w:color="auto"/>
                                            <w:left w:val="none" w:sz="0" w:space="0" w:color="auto"/>
                                            <w:bottom w:val="none" w:sz="0" w:space="0" w:color="auto"/>
                                            <w:right w:val="none" w:sz="0" w:space="0" w:color="auto"/>
                                          </w:divBdr>
                                          <w:divsChild>
                                            <w:div w:id="779648261">
                                              <w:marLeft w:val="0"/>
                                              <w:marRight w:val="0"/>
                                              <w:marTop w:val="120"/>
                                              <w:marBottom w:val="0"/>
                                              <w:divBdr>
                                                <w:top w:val="none" w:sz="0" w:space="0" w:color="auto"/>
                                                <w:left w:val="none" w:sz="0" w:space="0" w:color="auto"/>
                                                <w:bottom w:val="none" w:sz="0" w:space="0" w:color="auto"/>
                                                <w:right w:val="none" w:sz="0" w:space="0" w:color="auto"/>
                                              </w:divBdr>
                                            </w:div>
                                            <w:div w:id="1484587427">
                                              <w:marLeft w:val="0"/>
                                              <w:marRight w:val="0"/>
                                              <w:marTop w:val="0"/>
                                              <w:marBottom w:val="0"/>
                                              <w:divBdr>
                                                <w:top w:val="none" w:sz="0" w:space="0" w:color="auto"/>
                                                <w:left w:val="none" w:sz="0" w:space="0" w:color="auto"/>
                                                <w:bottom w:val="none" w:sz="0" w:space="0" w:color="auto"/>
                                                <w:right w:val="none" w:sz="0" w:space="0" w:color="auto"/>
                                              </w:divBdr>
                                            </w:div>
                                          </w:divsChild>
                                        </w:div>
                                        <w:div w:id="1462307539">
                                          <w:marLeft w:val="0"/>
                                          <w:marRight w:val="0"/>
                                          <w:marTop w:val="0"/>
                                          <w:marBottom w:val="0"/>
                                          <w:divBdr>
                                            <w:top w:val="none" w:sz="0" w:space="0" w:color="auto"/>
                                            <w:left w:val="none" w:sz="0" w:space="0" w:color="auto"/>
                                            <w:bottom w:val="none" w:sz="0" w:space="0" w:color="auto"/>
                                            <w:right w:val="none" w:sz="0" w:space="0" w:color="auto"/>
                                          </w:divBdr>
                                          <w:divsChild>
                                            <w:div w:id="1373194812">
                                              <w:marLeft w:val="0"/>
                                              <w:marRight w:val="0"/>
                                              <w:marTop w:val="120"/>
                                              <w:marBottom w:val="0"/>
                                              <w:divBdr>
                                                <w:top w:val="none" w:sz="0" w:space="0" w:color="auto"/>
                                                <w:left w:val="none" w:sz="0" w:space="0" w:color="auto"/>
                                                <w:bottom w:val="none" w:sz="0" w:space="0" w:color="auto"/>
                                                <w:right w:val="none" w:sz="0" w:space="0" w:color="auto"/>
                                              </w:divBdr>
                                            </w:div>
                                            <w:div w:id="1874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038928">
                                  <w:marLeft w:val="0"/>
                                  <w:marRight w:val="0"/>
                                  <w:marTop w:val="0"/>
                                  <w:marBottom w:val="0"/>
                                  <w:divBdr>
                                    <w:top w:val="none" w:sz="0" w:space="0" w:color="auto"/>
                                    <w:left w:val="none" w:sz="0" w:space="0" w:color="auto"/>
                                    <w:bottom w:val="none" w:sz="0" w:space="0" w:color="auto"/>
                                    <w:right w:val="none" w:sz="0" w:space="0" w:color="auto"/>
                                  </w:divBdr>
                                  <w:divsChild>
                                    <w:div w:id="620262012">
                                      <w:marLeft w:val="0"/>
                                      <w:marRight w:val="0"/>
                                      <w:marTop w:val="0"/>
                                      <w:marBottom w:val="0"/>
                                      <w:divBdr>
                                        <w:top w:val="none" w:sz="0" w:space="0" w:color="auto"/>
                                        <w:left w:val="none" w:sz="0" w:space="0" w:color="auto"/>
                                        <w:bottom w:val="none" w:sz="0" w:space="0" w:color="auto"/>
                                        <w:right w:val="none" w:sz="0" w:space="0" w:color="auto"/>
                                      </w:divBdr>
                                    </w:div>
                                  </w:divsChild>
                                </w:div>
                                <w:div w:id="151869258">
                                  <w:marLeft w:val="0"/>
                                  <w:marRight w:val="0"/>
                                  <w:marTop w:val="0"/>
                                  <w:marBottom w:val="0"/>
                                  <w:divBdr>
                                    <w:top w:val="none" w:sz="0" w:space="0" w:color="auto"/>
                                    <w:left w:val="none" w:sz="0" w:space="0" w:color="auto"/>
                                    <w:bottom w:val="none" w:sz="0" w:space="0" w:color="auto"/>
                                    <w:right w:val="none" w:sz="0" w:space="0" w:color="auto"/>
                                  </w:divBdr>
                                  <w:divsChild>
                                    <w:div w:id="580721342">
                                      <w:marLeft w:val="0"/>
                                      <w:marRight w:val="0"/>
                                      <w:marTop w:val="0"/>
                                      <w:marBottom w:val="0"/>
                                      <w:divBdr>
                                        <w:top w:val="none" w:sz="0" w:space="0" w:color="auto"/>
                                        <w:left w:val="none" w:sz="0" w:space="0" w:color="auto"/>
                                        <w:bottom w:val="none" w:sz="0" w:space="0" w:color="auto"/>
                                        <w:right w:val="none" w:sz="0" w:space="0" w:color="auto"/>
                                      </w:divBdr>
                                      <w:divsChild>
                                        <w:div w:id="956108181">
                                          <w:marLeft w:val="0"/>
                                          <w:marRight w:val="0"/>
                                          <w:marTop w:val="0"/>
                                          <w:marBottom w:val="0"/>
                                          <w:divBdr>
                                            <w:top w:val="none" w:sz="0" w:space="0" w:color="auto"/>
                                            <w:left w:val="none" w:sz="0" w:space="0" w:color="auto"/>
                                            <w:bottom w:val="none" w:sz="0" w:space="0" w:color="auto"/>
                                            <w:right w:val="none" w:sz="0" w:space="0" w:color="auto"/>
                                          </w:divBdr>
                                          <w:divsChild>
                                            <w:div w:id="132257729">
                                              <w:marLeft w:val="0"/>
                                              <w:marRight w:val="0"/>
                                              <w:marTop w:val="120"/>
                                              <w:marBottom w:val="0"/>
                                              <w:divBdr>
                                                <w:top w:val="none" w:sz="0" w:space="0" w:color="auto"/>
                                                <w:left w:val="none" w:sz="0" w:space="0" w:color="auto"/>
                                                <w:bottom w:val="none" w:sz="0" w:space="0" w:color="auto"/>
                                                <w:right w:val="none" w:sz="0" w:space="0" w:color="auto"/>
                                              </w:divBdr>
                                            </w:div>
                                            <w:div w:id="1467896632">
                                              <w:marLeft w:val="0"/>
                                              <w:marRight w:val="0"/>
                                              <w:marTop w:val="0"/>
                                              <w:marBottom w:val="0"/>
                                              <w:divBdr>
                                                <w:top w:val="none" w:sz="0" w:space="0" w:color="auto"/>
                                                <w:left w:val="none" w:sz="0" w:space="0" w:color="auto"/>
                                                <w:bottom w:val="none" w:sz="0" w:space="0" w:color="auto"/>
                                                <w:right w:val="none" w:sz="0" w:space="0" w:color="auto"/>
                                              </w:divBdr>
                                            </w:div>
                                          </w:divsChild>
                                        </w:div>
                                        <w:div w:id="1568228366">
                                          <w:marLeft w:val="0"/>
                                          <w:marRight w:val="0"/>
                                          <w:marTop w:val="0"/>
                                          <w:marBottom w:val="0"/>
                                          <w:divBdr>
                                            <w:top w:val="none" w:sz="0" w:space="0" w:color="auto"/>
                                            <w:left w:val="none" w:sz="0" w:space="0" w:color="auto"/>
                                            <w:bottom w:val="none" w:sz="0" w:space="0" w:color="auto"/>
                                            <w:right w:val="none" w:sz="0" w:space="0" w:color="auto"/>
                                          </w:divBdr>
                                          <w:divsChild>
                                            <w:div w:id="392628261">
                                              <w:marLeft w:val="0"/>
                                              <w:marRight w:val="0"/>
                                              <w:marTop w:val="120"/>
                                              <w:marBottom w:val="0"/>
                                              <w:divBdr>
                                                <w:top w:val="none" w:sz="0" w:space="0" w:color="auto"/>
                                                <w:left w:val="none" w:sz="0" w:space="0" w:color="auto"/>
                                                <w:bottom w:val="none" w:sz="0" w:space="0" w:color="auto"/>
                                                <w:right w:val="none" w:sz="0" w:space="0" w:color="auto"/>
                                              </w:divBdr>
                                            </w:div>
                                            <w:div w:id="178541533">
                                              <w:marLeft w:val="0"/>
                                              <w:marRight w:val="0"/>
                                              <w:marTop w:val="0"/>
                                              <w:marBottom w:val="0"/>
                                              <w:divBdr>
                                                <w:top w:val="none" w:sz="0" w:space="0" w:color="auto"/>
                                                <w:left w:val="none" w:sz="0" w:space="0" w:color="auto"/>
                                                <w:bottom w:val="none" w:sz="0" w:space="0" w:color="auto"/>
                                                <w:right w:val="none" w:sz="0" w:space="0" w:color="auto"/>
                                              </w:divBdr>
                                              <w:divsChild>
                                                <w:div w:id="1330980344">
                                                  <w:marLeft w:val="0"/>
                                                  <w:marRight w:val="0"/>
                                                  <w:marTop w:val="0"/>
                                                  <w:marBottom w:val="0"/>
                                                  <w:divBdr>
                                                    <w:top w:val="none" w:sz="0" w:space="0" w:color="auto"/>
                                                    <w:left w:val="none" w:sz="0" w:space="0" w:color="auto"/>
                                                    <w:bottom w:val="none" w:sz="0" w:space="0" w:color="auto"/>
                                                    <w:right w:val="none" w:sz="0" w:space="0" w:color="auto"/>
                                                  </w:divBdr>
                                                  <w:divsChild>
                                                    <w:div w:id="132187174">
                                                      <w:marLeft w:val="0"/>
                                                      <w:marRight w:val="0"/>
                                                      <w:marTop w:val="120"/>
                                                      <w:marBottom w:val="0"/>
                                                      <w:divBdr>
                                                        <w:top w:val="none" w:sz="0" w:space="0" w:color="auto"/>
                                                        <w:left w:val="none" w:sz="0" w:space="0" w:color="auto"/>
                                                        <w:bottom w:val="none" w:sz="0" w:space="0" w:color="auto"/>
                                                        <w:right w:val="none" w:sz="0" w:space="0" w:color="auto"/>
                                                      </w:divBdr>
                                                    </w:div>
                                                    <w:div w:id="684018689">
                                                      <w:marLeft w:val="0"/>
                                                      <w:marRight w:val="0"/>
                                                      <w:marTop w:val="0"/>
                                                      <w:marBottom w:val="0"/>
                                                      <w:divBdr>
                                                        <w:top w:val="none" w:sz="0" w:space="0" w:color="auto"/>
                                                        <w:left w:val="none" w:sz="0" w:space="0" w:color="auto"/>
                                                        <w:bottom w:val="none" w:sz="0" w:space="0" w:color="auto"/>
                                                        <w:right w:val="none" w:sz="0" w:space="0" w:color="auto"/>
                                                      </w:divBdr>
                                                    </w:div>
                                                  </w:divsChild>
                                                </w:div>
                                                <w:div w:id="1028874417">
                                                  <w:marLeft w:val="0"/>
                                                  <w:marRight w:val="0"/>
                                                  <w:marTop w:val="0"/>
                                                  <w:marBottom w:val="0"/>
                                                  <w:divBdr>
                                                    <w:top w:val="none" w:sz="0" w:space="0" w:color="auto"/>
                                                    <w:left w:val="none" w:sz="0" w:space="0" w:color="auto"/>
                                                    <w:bottom w:val="none" w:sz="0" w:space="0" w:color="auto"/>
                                                    <w:right w:val="none" w:sz="0" w:space="0" w:color="auto"/>
                                                  </w:divBdr>
                                                  <w:divsChild>
                                                    <w:div w:id="576600016">
                                                      <w:marLeft w:val="0"/>
                                                      <w:marRight w:val="0"/>
                                                      <w:marTop w:val="120"/>
                                                      <w:marBottom w:val="0"/>
                                                      <w:divBdr>
                                                        <w:top w:val="none" w:sz="0" w:space="0" w:color="auto"/>
                                                        <w:left w:val="none" w:sz="0" w:space="0" w:color="auto"/>
                                                        <w:bottom w:val="none" w:sz="0" w:space="0" w:color="auto"/>
                                                        <w:right w:val="none" w:sz="0" w:space="0" w:color="auto"/>
                                                      </w:divBdr>
                                                    </w:div>
                                                    <w:div w:id="106537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609965">
                                          <w:marLeft w:val="0"/>
                                          <w:marRight w:val="0"/>
                                          <w:marTop w:val="0"/>
                                          <w:marBottom w:val="0"/>
                                          <w:divBdr>
                                            <w:top w:val="none" w:sz="0" w:space="0" w:color="auto"/>
                                            <w:left w:val="none" w:sz="0" w:space="0" w:color="auto"/>
                                            <w:bottom w:val="none" w:sz="0" w:space="0" w:color="auto"/>
                                            <w:right w:val="none" w:sz="0" w:space="0" w:color="auto"/>
                                          </w:divBdr>
                                          <w:divsChild>
                                            <w:div w:id="1490249007">
                                              <w:marLeft w:val="0"/>
                                              <w:marRight w:val="0"/>
                                              <w:marTop w:val="120"/>
                                              <w:marBottom w:val="0"/>
                                              <w:divBdr>
                                                <w:top w:val="none" w:sz="0" w:space="0" w:color="auto"/>
                                                <w:left w:val="none" w:sz="0" w:space="0" w:color="auto"/>
                                                <w:bottom w:val="none" w:sz="0" w:space="0" w:color="auto"/>
                                                <w:right w:val="none" w:sz="0" w:space="0" w:color="auto"/>
                                              </w:divBdr>
                                            </w:div>
                                            <w:div w:id="1830632401">
                                              <w:marLeft w:val="0"/>
                                              <w:marRight w:val="0"/>
                                              <w:marTop w:val="0"/>
                                              <w:marBottom w:val="0"/>
                                              <w:divBdr>
                                                <w:top w:val="none" w:sz="0" w:space="0" w:color="auto"/>
                                                <w:left w:val="none" w:sz="0" w:space="0" w:color="auto"/>
                                                <w:bottom w:val="none" w:sz="0" w:space="0" w:color="auto"/>
                                                <w:right w:val="none" w:sz="0" w:space="0" w:color="auto"/>
                                              </w:divBdr>
                                            </w:div>
                                          </w:divsChild>
                                        </w:div>
                                        <w:div w:id="930160726">
                                          <w:marLeft w:val="0"/>
                                          <w:marRight w:val="0"/>
                                          <w:marTop w:val="0"/>
                                          <w:marBottom w:val="0"/>
                                          <w:divBdr>
                                            <w:top w:val="none" w:sz="0" w:space="0" w:color="auto"/>
                                            <w:left w:val="none" w:sz="0" w:space="0" w:color="auto"/>
                                            <w:bottom w:val="none" w:sz="0" w:space="0" w:color="auto"/>
                                            <w:right w:val="none" w:sz="0" w:space="0" w:color="auto"/>
                                          </w:divBdr>
                                          <w:divsChild>
                                            <w:div w:id="137382257">
                                              <w:marLeft w:val="0"/>
                                              <w:marRight w:val="0"/>
                                              <w:marTop w:val="120"/>
                                              <w:marBottom w:val="0"/>
                                              <w:divBdr>
                                                <w:top w:val="none" w:sz="0" w:space="0" w:color="auto"/>
                                                <w:left w:val="none" w:sz="0" w:space="0" w:color="auto"/>
                                                <w:bottom w:val="none" w:sz="0" w:space="0" w:color="auto"/>
                                                <w:right w:val="none" w:sz="0" w:space="0" w:color="auto"/>
                                              </w:divBdr>
                                            </w:div>
                                            <w:div w:id="236284820">
                                              <w:marLeft w:val="0"/>
                                              <w:marRight w:val="0"/>
                                              <w:marTop w:val="0"/>
                                              <w:marBottom w:val="0"/>
                                              <w:divBdr>
                                                <w:top w:val="none" w:sz="0" w:space="0" w:color="auto"/>
                                                <w:left w:val="none" w:sz="0" w:space="0" w:color="auto"/>
                                                <w:bottom w:val="none" w:sz="0" w:space="0" w:color="auto"/>
                                                <w:right w:val="none" w:sz="0" w:space="0" w:color="auto"/>
                                              </w:divBdr>
                                            </w:div>
                                          </w:divsChild>
                                        </w:div>
                                        <w:div w:id="1833450602">
                                          <w:marLeft w:val="0"/>
                                          <w:marRight w:val="0"/>
                                          <w:marTop w:val="0"/>
                                          <w:marBottom w:val="0"/>
                                          <w:divBdr>
                                            <w:top w:val="none" w:sz="0" w:space="0" w:color="auto"/>
                                            <w:left w:val="none" w:sz="0" w:space="0" w:color="auto"/>
                                            <w:bottom w:val="none" w:sz="0" w:space="0" w:color="auto"/>
                                            <w:right w:val="none" w:sz="0" w:space="0" w:color="auto"/>
                                          </w:divBdr>
                                          <w:divsChild>
                                            <w:div w:id="126360204">
                                              <w:marLeft w:val="0"/>
                                              <w:marRight w:val="0"/>
                                              <w:marTop w:val="120"/>
                                              <w:marBottom w:val="0"/>
                                              <w:divBdr>
                                                <w:top w:val="none" w:sz="0" w:space="0" w:color="auto"/>
                                                <w:left w:val="none" w:sz="0" w:space="0" w:color="auto"/>
                                                <w:bottom w:val="none" w:sz="0" w:space="0" w:color="auto"/>
                                                <w:right w:val="none" w:sz="0" w:space="0" w:color="auto"/>
                                              </w:divBdr>
                                            </w:div>
                                            <w:div w:id="1799910064">
                                              <w:marLeft w:val="0"/>
                                              <w:marRight w:val="0"/>
                                              <w:marTop w:val="0"/>
                                              <w:marBottom w:val="0"/>
                                              <w:divBdr>
                                                <w:top w:val="none" w:sz="0" w:space="0" w:color="auto"/>
                                                <w:left w:val="none" w:sz="0" w:space="0" w:color="auto"/>
                                                <w:bottom w:val="none" w:sz="0" w:space="0" w:color="auto"/>
                                                <w:right w:val="none" w:sz="0" w:space="0" w:color="auto"/>
                                              </w:divBdr>
                                            </w:div>
                                          </w:divsChild>
                                        </w:div>
                                        <w:div w:id="1714648990">
                                          <w:marLeft w:val="0"/>
                                          <w:marRight w:val="0"/>
                                          <w:marTop w:val="0"/>
                                          <w:marBottom w:val="0"/>
                                          <w:divBdr>
                                            <w:top w:val="none" w:sz="0" w:space="0" w:color="auto"/>
                                            <w:left w:val="none" w:sz="0" w:space="0" w:color="auto"/>
                                            <w:bottom w:val="none" w:sz="0" w:space="0" w:color="auto"/>
                                            <w:right w:val="none" w:sz="0" w:space="0" w:color="auto"/>
                                          </w:divBdr>
                                          <w:divsChild>
                                            <w:div w:id="1251041697">
                                              <w:marLeft w:val="0"/>
                                              <w:marRight w:val="0"/>
                                              <w:marTop w:val="120"/>
                                              <w:marBottom w:val="0"/>
                                              <w:divBdr>
                                                <w:top w:val="none" w:sz="0" w:space="0" w:color="auto"/>
                                                <w:left w:val="none" w:sz="0" w:space="0" w:color="auto"/>
                                                <w:bottom w:val="none" w:sz="0" w:space="0" w:color="auto"/>
                                                <w:right w:val="none" w:sz="0" w:space="0" w:color="auto"/>
                                              </w:divBdr>
                                            </w:div>
                                            <w:div w:id="1971352990">
                                              <w:marLeft w:val="0"/>
                                              <w:marRight w:val="0"/>
                                              <w:marTop w:val="0"/>
                                              <w:marBottom w:val="0"/>
                                              <w:divBdr>
                                                <w:top w:val="none" w:sz="0" w:space="0" w:color="auto"/>
                                                <w:left w:val="none" w:sz="0" w:space="0" w:color="auto"/>
                                                <w:bottom w:val="none" w:sz="0" w:space="0" w:color="auto"/>
                                                <w:right w:val="none" w:sz="0" w:space="0" w:color="auto"/>
                                              </w:divBdr>
                                            </w:div>
                                          </w:divsChild>
                                        </w:div>
                                        <w:div w:id="1616477100">
                                          <w:marLeft w:val="0"/>
                                          <w:marRight w:val="0"/>
                                          <w:marTop w:val="0"/>
                                          <w:marBottom w:val="0"/>
                                          <w:divBdr>
                                            <w:top w:val="none" w:sz="0" w:space="0" w:color="auto"/>
                                            <w:left w:val="none" w:sz="0" w:space="0" w:color="auto"/>
                                            <w:bottom w:val="none" w:sz="0" w:space="0" w:color="auto"/>
                                            <w:right w:val="none" w:sz="0" w:space="0" w:color="auto"/>
                                          </w:divBdr>
                                          <w:divsChild>
                                            <w:div w:id="312872862">
                                              <w:marLeft w:val="0"/>
                                              <w:marRight w:val="0"/>
                                              <w:marTop w:val="120"/>
                                              <w:marBottom w:val="0"/>
                                              <w:divBdr>
                                                <w:top w:val="none" w:sz="0" w:space="0" w:color="auto"/>
                                                <w:left w:val="none" w:sz="0" w:space="0" w:color="auto"/>
                                                <w:bottom w:val="none" w:sz="0" w:space="0" w:color="auto"/>
                                                <w:right w:val="none" w:sz="0" w:space="0" w:color="auto"/>
                                              </w:divBdr>
                                            </w:div>
                                            <w:div w:id="108739641">
                                              <w:marLeft w:val="0"/>
                                              <w:marRight w:val="0"/>
                                              <w:marTop w:val="0"/>
                                              <w:marBottom w:val="0"/>
                                              <w:divBdr>
                                                <w:top w:val="none" w:sz="0" w:space="0" w:color="auto"/>
                                                <w:left w:val="none" w:sz="0" w:space="0" w:color="auto"/>
                                                <w:bottom w:val="none" w:sz="0" w:space="0" w:color="auto"/>
                                                <w:right w:val="none" w:sz="0" w:space="0" w:color="auto"/>
                                              </w:divBdr>
                                              <w:divsChild>
                                                <w:div w:id="143859386">
                                                  <w:marLeft w:val="0"/>
                                                  <w:marRight w:val="0"/>
                                                  <w:marTop w:val="0"/>
                                                  <w:marBottom w:val="0"/>
                                                  <w:divBdr>
                                                    <w:top w:val="none" w:sz="0" w:space="0" w:color="auto"/>
                                                    <w:left w:val="none" w:sz="0" w:space="0" w:color="auto"/>
                                                    <w:bottom w:val="none" w:sz="0" w:space="0" w:color="auto"/>
                                                    <w:right w:val="none" w:sz="0" w:space="0" w:color="auto"/>
                                                  </w:divBdr>
                                                  <w:divsChild>
                                                    <w:div w:id="629937814">
                                                      <w:marLeft w:val="0"/>
                                                      <w:marRight w:val="0"/>
                                                      <w:marTop w:val="120"/>
                                                      <w:marBottom w:val="0"/>
                                                      <w:divBdr>
                                                        <w:top w:val="none" w:sz="0" w:space="0" w:color="auto"/>
                                                        <w:left w:val="none" w:sz="0" w:space="0" w:color="auto"/>
                                                        <w:bottom w:val="none" w:sz="0" w:space="0" w:color="auto"/>
                                                        <w:right w:val="none" w:sz="0" w:space="0" w:color="auto"/>
                                                      </w:divBdr>
                                                    </w:div>
                                                    <w:div w:id="1952974952">
                                                      <w:marLeft w:val="0"/>
                                                      <w:marRight w:val="0"/>
                                                      <w:marTop w:val="0"/>
                                                      <w:marBottom w:val="0"/>
                                                      <w:divBdr>
                                                        <w:top w:val="none" w:sz="0" w:space="0" w:color="auto"/>
                                                        <w:left w:val="none" w:sz="0" w:space="0" w:color="auto"/>
                                                        <w:bottom w:val="none" w:sz="0" w:space="0" w:color="auto"/>
                                                        <w:right w:val="none" w:sz="0" w:space="0" w:color="auto"/>
                                                      </w:divBdr>
                                                    </w:div>
                                                  </w:divsChild>
                                                </w:div>
                                                <w:div w:id="1604142483">
                                                  <w:marLeft w:val="0"/>
                                                  <w:marRight w:val="0"/>
                                                  <w:marTop w:val="0"/>
                                                  <w:marBottom w:val="0"/>
                                                  <w:divBdr>
                                                    <w:top w:val="none" w:sz="0" w:space="0" w:color="auto"/>
                                                    <w:left w:val="none" w:sz="0" w:space="0" w:color="auto"/>
                                                    <w:bottom w:val="none" w:sz="0" w:space="0" w:color="auto"/>
                                                    <w:right w:val="none" w:sz="0" w:space="0" w:color="auto"/>
                                                  </w:divBdr>
                                                  <w:divsChild>
                                                    <w:div w:id="1166172781">
                                                      <w:marLeft w:val="0"/>
                                                      <w:marRight w:val="0"/>
                                                      <w:marTop w:val="120"/>
                                                      <w:marBottom w:val="0"/>
                                                      <w:divBdr>
                                                        <w:top w:val="none" w:sz="0" w:space="0" w:color="auto"/>
                                                        <w:left w:val="none" w:sz="0" w:space="0" w:color="auto"/>
                                                        <w:bottom w:val="none" w:sz="0" w:space="0" w:color="auto"/>
                                                        <w:right w:val="none" w:sz="0" w:space="0" w:color="auto"/>
                                                      </w:divBdr>
                                                    </w:div>
                                                    <w:div w:id="72625971">
                                                      <w:marLeft w:val="0"/>
                                                      <w:marRight w:val="0"/>
                                                      <w:marTop w:val="0"/>
                                                      <w:marBottom w:val="0"/>
                                                      <w:divBdr>
                                                        <w:top w:val="none" w:sz="0" w:space="0" w:color="auto"/>
                                                        <w:left w:val="none" w:sz="0" w:space="0" w:color="auto"/>
                                                        <w:bottom w:val="none" w:sz="0" w:space="0" w:color="auto"/>
                                                        <w:right w:val="none" w:sz="0" w:space="0" w:color="auto"/>
                                                      </w:divBdr>
                                                    </w:div>
                                                  </w:divsChild>
                                                </w:div>
                                                <w:div w:id="1458915096">
                                                  <w:marLeft w:val="0"/>
                                                  <w:marRight w:val="0"/>
                                                  <w:marTop w:val="0"/>
                                                  <w:marBottom w:val="0"/>
                                                  <w:divBdr>
                                                    <w:top w:val="none" w:sz="0" w:space="0" w:color="auto"/>
                                                    <w:left w:val="none" w:sz="0" w:space="0" w:color="auto"/>
                                                    <w:bottom w:val="none" w:sz="0" w:space="0" w:color="auto"/>
                                                    <w:right w:val="none" w:sz="0" w:space="0" w:color="auto"/>
                                                  </w:divBdr>
                                                  <w:divsChild>
                                                    <w:div w:id="705448039">
                                                      <w:marLeft w:val="0"/>
                                                      <w:marRight w:val="0"/>
                                                      <w:marTop w:val="120"/>
                                                      <w:marBottom w:val="0"/>
                                                      <w:divBdr>
                                                        <w:top w:val="none" w:sz="0" w:space="0" w:color="auto"/>
                                                        <w:left w:val="none" w:sz="0" w:space="0" w:color="auto"/>
                                                        <w:bottom w:val="none" w:sz="0" w:space="0" w:color="auto"/>
                                                        <w:right w:val="none" w:sz="0" w:space="0" w:color="auto"/>
                                                      </w:divBdr>
                                                    </w:div>
                                                    <w:div w:id="111386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894740">
                                  <w:marLeft w:val="0"/>
                                  <w:marRight w:val="0"/>
                                  <w:marTop w:val="0"/>
                                  <w:marBottom w:val="0"/>
                                  <w:divBdr>
                                    <w:top w:val="none" w:sz="0" w:space="0" w:color="auto"/>
                                    <w:left w:val="none" w:sz="0" w:space="0" w:color="auto"/>
                                    <w:bottom w:val="none" w:sz="0" w:space="0" w:color="auto"/>
                                    <w:right w:val="none" w:sz="0" w:space="0" w:color="auto"/>
                                  </w:divBdr>
                                  <w:divsChild>
                                    <w:div w:id="1339772626">
                                      <w:marLeft w:val="0"/>
                                      <w:marRight w:val="0"/>
                                      <w:marTop w:val="0"/>
                                      <w:marBottom w:val="0"/>
                                      <w:divBdr>
                                        <w:top w:val="none" w:sz="0" w:space="0" w:color="auto"/>
                                        <w:left w:val="none" w:sz="0" w:space="0" w:color="auto"/>
                                        <w:bottom w:val="none" w:sz="0" w:space="0" w:color="auto"/>
                                        <w:right w:val="none" w:sz="0" w:space="0" w:color="auto"/>
                                      </w:divBdr>
                                    </w:div>
                                  </w:divsChild>
                                </w:div>
                                <w:div w:id="1694112930">
                                  <w:marLeft w:val="0"/>
                                  <w:marRight w:val="0"/>
                                  <w:marTop w:val="0"/>
                                  <w:marBottom w:val="0"/>
                                  <w:divBdr>
                                    <w:top w:val="none" w:sz="0" w:space="0" w:color="auto"/>
                                    <w:left w:val="none" w:sz="0" w:space="0" w:color="auto"/>
                                    <w:bottom w:val="none" w:sz="0" w:space="0" w:color="auto"/>
                                    <w:right w:val="none" w:sz="0" w:space="0" w:color="auto"/>
                                  </w:divBdr>
                                  <w:divsChild>
                                    <w:div w:id="1177114459">
                                      <w:marLeft w:val="0"/>
                                      <w:marRight w:val="0"/>
                                      <w:marTop w:val="0"/>
                                      <w:marBottom w:val="0"/>
                                      <w:divBdr>
                                        <w:top w:val="none" w:sz="0" w:space="0" w:color="auto"/>
                                        <w:left w:val="none" w:sz="0" w:space="0" w:color="auto"/>
                                        <w:bottom w:val="none" w:sz="0" w:space="0" w:color="auto"/>
                                        <w:right w:val="none" w:sz="0" w:space="0" w:color="auto"/>
                                      </w:divBdr>
                                    </w:div>
                                  </w:divsChild>
                                </w:div>
                                <w:div w:id="458188305">
                                  <w:marLeft w:val="0"/>
                                  <w:marRight w:val="0"/>
                                  <w:marTop w:val="0"/>
                                  <w:marBottom w:val="0"/>
                                  <w:divBdr>
                                    <w:top w:val="none" w:sz="0" w:space="0" w:color="auto"/>
                                    <w:left w:val="none" w:sz="0" w:space="0" w:color="auto"/>
                                    <w:bottom w:val="none" w:sz="0" w:space="0" w:color="auto"/>
                                    <w:right w:val="none" w:sz="0" w:space="0" w:color="auto"/>
                                  </w:divBdr>
                                  <w:divsChild>
                                    <w:div w:id="194649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6616">
                              <w:marLeft w:val="0"/>
                              <w:marRight w:val="0"/>
                              <w:marTop w:val="0"/>
                              <w:marBottom w:val="0"/>
                              <w:divBdr>
                                <w:top w:val="none" w:sz="0" w:space="0" w:color="auto"/>
                                <w:left w:val="none" w:sz="0" w:space="0" w:color="auto"/>
                                <w:bottom w:val="none" w:sz="0" w:space="0" w:color="auto"/>
                                <w:right w:val="none" w:sz="0" w:space="0" w:color="auto"/>
                              </w:divBdr>
                              <w:divsChild>
                                <w:div w:id="211550582">
                                  <w:marLeft w:val="0"/>
                                  <w:marRight w:val="0"/>
                                  <w:marTop w:val="0"/>
                                  <w:marBottom w:val="0"/>
                                  <w:divBdr>
                                    <w:top w:val="none" w:sz="0" w:space="0" w:color="auto"/>
                                    <w:left w:val="none" w:sz="0" w:space="0" w:color="auto"/>
                                    <w:bottom w:val="none" w:sz="0" w:space="0" w:color="auto"/>
                                    <w:right w:val="none" w:sz="0" w:space="0" w:color="auto"/>
                                  </w:divBdr>
                                </w:div>
                                <w:div w:id="973677019">
                                  <w:marLeft w:val="0"/>
                                  <w:marRight w:val="0"/>
                                  <w:marTop w:val="0"/>
                                  <w:marBottom w:val="0"/>
                                  <w:divBdr>
                                    <w:top w:val="none" w:sz="0" w:space="0" w:color="auto"/>
                                    <w:left w:val="none" w:sz="0" w:space="0" w:color="auto"/>
                                    <w:bottom w:val="none" w:sz="0" w:space="0" w:color="auto"/>
                                    <w:right w:val="none" w:sz="0" w:space="0" w:color="auto"/>
                                  </w:divBdr>
                                  <w:divsChild>
                                    <w:div w:id="538934879">
                                      <w:marLeft w:val="0"/>
                                      <w:marRight w:val="0"/>
                                      <w:marTop w:val="0"/>
                                      <w:marBottom w:val="0"/>
                                      <w:divBdr>
                                        <w:top w:val="none" w:sz="0" w:space="0" w:color="auto"/>
                                        <w:left w:val="none" w:sz="0" w:space="0" w:color="auto"/>
                                        <w:bottom w:val="none" w:sz="0" w:space="0" w:color="auto"/>
                                        <w:right w:val="none" w:sz="0" w:space="0" w:color="auto"/>
                                      </w:divBdr>
                                    </w:div>
                                  </w:divsChild>
                                </w:div>
                                <w:div w:id="2045447630">
                                  <w:marLeft w:val="0"/>
                                  <w:marRight w:val="0"/>
                                  <w:marTop w:val="0"/>
                                  <w:marBottom w:val="0"/>
                                  <w:divBdr>
                                    <w:top w:val="none" w:sz="0" w:space="0" w:color="auto"/>
                                    <w:left w:val="none" w:sz="0" w:space="0" w:color="auto"/>
                                    <w:bottom w:val="none" w:sz="0" w:space="0" w:color="auto"/>
                                    <w:right w:val="none" w:sz="0" w:space="0" w:color="auto"/>
                                  </w:divBdr>
                                  <w:divsChild>
                                    <w:div w:id="1712029264">
                                      <w:marLeft w:val="0"/>
                                      <w:marRight w:val="0"/>
                                      <w:marTop w:val="120"/>
                                      <w:marBottom w:val="0"/>
                                      <w:divBdr>
                                        <w:top w:val="none" w:sz="0" w:space="0" w:color="auto"/>
                                        <w:left w:val="none" w:sz="0" w:space="0" w:color="auto"/>
                                        <w:bottom w:val="none" w:sz="0" w:space="0" w:color="auto"/>
                                        <w:right w:val="none" w:sz="0" w:space="0" w:color="auto"/>
                                      </w:divBdr>
                                    </w:div>
                                    <w:div w:id="39668754">
                                      <w:marLeft w:val="0"/>
                                      <w:marRight w:val="0"/>
                                      <w:marTop w:val="0"/>
                                      <w:marBottom w:val="0"/>
                                      <w:divBdr>
                                        <w:top w:val="none" w:sz="0" w:space="0" w:color="auto"/>
                                        <w:left w:val="none" w:sz="0" w:space="0" w:color="auto"/>
                                        <w:bottom w:val="none" w:sz="0" w:space="0" w:color="auto"/>
                                        <w:right w:val="none" w:sz="0" w:space="0" w:color="auto"/>
                                      </w:divBdr>
                                    </w:div>
                                  </w:divsChild>
                                </w:div>
                                <w:div w:id="695665645">
                                  <w:marLeft w:val="0"/>
                                  <w:marRight w:val="0"/>
                                  <w:marTop w:val="0"/>
                                  <w:marBottom w:val="0"/>
                                  <w:divBdr>
                                    <w:top w:val="none" w:sz="0" w:space="0" w:color="auto"/>
                                    <w:left w:val="none" w:sz="0" w:space="0" w:color="auto"/>
                                    <w:bottom w:val="none" w:sz="0" w:space="0" w:color="auto"/>
                                    <w:right w:val="none" w:sz="0" w:space="0" w:color="auto"/>
                                  </w:divBdr>
                                  <w:divsChild>
                                    <w:div w:id="854223194">
                                      <w:marLeft w:val="0"/>
                                      <w:marRight w:val="0"/>
                                      <w:marTop w:val="120"/>
                                      <w:marBottom w:val="0"/>
                                      <w:divBdr>
                                        <w:top w:val="none" w:sz="0" w:space="0" w:color="auto"/>
                                        <w:left w:val="none" w:sz="0" w:space="0" w:color="auto"/>
                                        <w:bottom w:val="none" w:sz="0" w:space="0" w:color="auto"/>
                                        <w:right w:val="none" w:sz="0" w:space="0" w:color="auto"/>
                                      </w:divBdr>
                                    </w:div>
                                    <w:div w:id="1445658752">
                                      <w:marLeft w:val="0"/>
                                      <w:marRight w:val="0"/>
                                      <w:marTop w:val="0"/>
                                      <w:marBottom w:val="0"/>
                                      <w:divBdr>
                                        <w:top w:val="none" w:sz="0" w:space="0" w:color="auto"/>
                                        <w:left w:val="none" w:sz="0" w:space="0" w:color="auto"/>
                                        <w:bottom w:val="none" w:sz="0" w:space="0" w:color="auto"/>
                                        <w:right w:val="none" w:sz="0" w:space="0" w:color="auto"/>
                                      </w:divBdr>
                                    </w:div>
                                  </w:divsChild>
                                </w:div>
                                <w:div w:id="1852797240">
                                  <w:marLeft w:val="0"/>
                                  <w:marRight w:val="0"/>
                                  <w:marTop w:val="0"/>
                                  <w:marBottom w:val="0"/>
                                  <w:divBdr>
                                    <w:top w:val="none" w:sz="0" w:space="0" w:color="auto"/>
                                    <w:left w:val="none" w:sz="0" w:space="0" w:color="auto"/>
                                    <w:bottom w:val="none" w:sz="0" w:space="0" w:color="auto"/>
                                    <w:right w:val="none" w:sz="0" w:space="0" w:color="auto"/>
                                  </w:divBdr>
                                  <w:divsChild>
                                    <w:div w:id="483591387">
                                      <w:marLeft w:val="0"/>
                                      <w:marRight w:val="0"/>
                                      <w:marTop w:val="120"/>
                                      <w:marBottom w:val="0"/>
                                      <w:divBdr>
                                        <w:top w:val="none" w:sz="0" w:space="0" w:color="auto"/>
                                        <w:left w:val="none" w:sz="0" w:space="0" w:color="auto"/>
                                        <w:bottom w:val="none" w:sz="0" w:space="0" w:color="auto"/>
                                        <w:right w:val="none" w:sz="0" w:space="0" w:color="auto"/>
                                      </w:divBdr>
                                    </w:div>
                                    <w:div w:id="1235623404">
                                      <w:marLeft w:val="0"/>
                                      <w:marRight w:val="0"/>
                                      <w:marTop w:val="0"/>
                                      <w:marBottom w:val="0"/>
                                      <w:divBdr>
                                        <w:top w:val="none" w:sz="0" w:space="0" w:color="auto"/>
                                        <w:left w:val="none" w:sz="0" w:space="0" w:color="auto"/>
                                        <w:bottom w:val="none" w:sz="0" w:space="0" w:color="auto"/>
                                        <w:right w:val="none" w:sz="0" w:space="0" w:color="auto"/>
                                      </w:divBdr>
                                    </w:div>
                                  </w:divsChild>
                                </w:div>
                                <w:div w:id="106974971">
                                  <w:marLeft w:val="0"/>
                                  <w:marRight w:val="0"/>
                                  <w:marTop w:val="0"/>
                                  <w:marBottom w:val="0"/>
                                  <w:divBdr>
                                    <w:top w:val="none" w:sz="0" w:space="0" w:color="auto"/>
                                    <w:left w:val="none" w:sz="0" w:space="0" w:color="auto"/>
                                    <w:bottom w:val="none" w:sz="0" w:space="0" w:color="auto"/>
                                    <w:right w:val="none" w:sz="0" w:space="0" w:color="auto"/>
                                  </w:divBdr>
                                  <w:divsChild>
                                    <w:div w:id="231276600">
                                      <w:marLeft w:val="0"/>
                                      <w:marRight w:val="0"/>
                                      <w:marTop w:val="120"/>
                                      <w:marBottom w:val="0"/>
                                      <w:divBdr>
                                        <w:top w:val="none" w:sz="0" w:space="0" w:color="auto"/>
                                        <w:left w:val="none" w:sz="0" w:space="0" w:color="auto"/>
                                        <w:bottom w:val="none" w:sz="0" w:space="0" w:color="auto"/>
                                        <w:right w:val="none" w:sz="0" w:space="0" w:color="auto"/>
                                      </w:divBdr>
                                    </w:div>
                                    <w:div w:id="2019690540">
                                      <w:marLeft w:val="0"/>
                                      <w:marRight w:val="0"/>
                                      <w:marTop w:val="0"/>
                                      <w:marBottom w:val="0"/>
                                      <w:divBdr>
                                        <w:top w:val="none" w:sz="0" w:space="0" w:color="auto"/>
                                        <w:left w:val="none" w:sz="0" w:space="0" w:color="auto"/>
                                        <w:bottom w:val="none" w:sz="0" w:space="0" w:color="auto"/>
                                        <w:right w:val="none" w:sz="0" w:space="0" w:color="auto"/>
                                      </w:divBdr>
                                    </w:div>
                                  </w:divsChild>
                                </w:div>
                                <w:div w:id="445733069">
                                  <w:marLeft w:val="0"/>
                                  <w:marRight w:val="0"/>
                                  <w:marTop w:val="0"/>
                                  <w:marBottom w:val="0"/>
                                  <w:divBdr>
                                    <w:top w:val="none" w:sz="0" w:space="0" w:color="auto"/>
                                    <w:left w:val="none" w:sz="0" w:space="0" w:color="auto"/>
                                    <w:bottom w:val="none" w:sz="0" w:space="0" w:color="auto"/>
                                    <w:right w:val="none" w:sz="0" w:space="0" w:color="auto"/>
                                  </w:divBdr>
                                  <w:divsChild>
                                    <w:div w:id="126166512">
                                      <w:marLeft w:val="0"/>
                                      <w:marRight w:val="0"/>
                                      <w:marTop w:val="120"/>
                                      <w:marBottom w:val="0"/>
                                      <w:divBdr>
                                        <w:top w:val="none" w:sz="0" w:space="0" w:color="auto"/>
                                        <w:left w:val="none" w:sz="0" w:space="0" w:color="auto"/>
                                        <w:bottom w:val="none" w:sz="0" w:space="0" w:color="auto"/>
                                        <w:right w:val="none" w:sz="0" w:space="0" w:color="auto"/>
                                      </w:divBdr>
                                    </w:div>
                                    <w:div w:id="1917546808">
                                      <w:marLeft w:val="0"/>
                                      <w:marRight w:val="0"/>
                                      <w:marTop w:val="0"/>
                                      <w:marBottom w:val="0"/>
                                      <w:divBdr>
                                        <w:top w:val="none" w:sz="0" w:space="0" w:color="auto"/>
                                        <w:left w:val="none" w:sz="0" w:space="0" w:color="auto"/>
                                        <w:bottom w:val="none" w:sz="0" w:space="0" w:color="auto"/>
                                        <w:right w:val="none" w:sz="0" w:space="0" w:color="auto"/>
                                      </w:divBdr>
                                    </w:div>
                                  </w:divsChild>
                                </w:div>
                                <w:div w:id="1667129482">
                                  <w:marLeft w:val="0"/>
                                  <w:marRight w:val="0"/>
                                  <w:marTop w:val="0"/>
                                  <w:marBottom w:val="0"/>
                                  <w:divBdr>
                                    <w:top w:val="none" w:sz="0" w:space="0" w:color="auto"/>
                                    <w:left w:val="none" w:sz="0" w:space="0" w:color="auto"/>
                                    <w:bottom w:val="none" w:sz="0" w:space="0" w:color="auto"/>
                                    <w:right w:val="none" w:sz="0" w:space="0" w:color="auto"/>
                                  </w:divBdr>
                                  <w:divsChild>
                                    <w:div w:id="1224560521">
                                      <w:marLeft w:val="0"/>
                                      <w:marRight w:val="0"/>
                                      <w:marTop w:val="0"/>
                                      <w:marBottom w:val="0"/>
                                      <w:divBdr>
                                        <w:top w:val="none" w:sz="0" w:space="0" w:color="auto"/>
                                        <w:left w:val="none" w:sz="0" w:space="0" w:color="auto"/>
                                        <w:bottom w:val="none" w:sz="0" w:space="0" w:color="auto"/>
                                        <w:right w:val="none" w:sz="0" w:space="0" w:color="auto"/>
                                      </w:divBdr>
                                    </w:div>
                                  </w:divsChild>
                                </w:div>
                                <w:div w:id="1471635044">
                                  <w:marLeft w:val="0"/>
                                  <w:marRight w:val="0"/>
                                  <w:marTop w:val="0"/>
                                  <w:marBottom w:val="0"/>
                                  <w:divBdr>
                                    <w:top w:val="none" w:sz="0" w:space="0" w:color="auto"/>
                                    <w:left w:val="none" w:sz="0" w:space="0" w:color="auto"/>
                                    <w:bottom w:val="none" w:sz="0" w:space="0" w:color="auto"/>
                                    <w:right w:val="none" w:sz="0" w:space="0" w:color="auto"/>
                                  </w:divBdr>
                                  <w:divsChild>
                                    <w:div w:id="820467800">
                                      <w:marLeft w:val="0"/>
                                      <w:marRight w:val="0"/>
                                      <w:marTop w:val="0"/>
                                      <w:marBottom w:val="0"/>
                                      <w:divBdr>
                                        <w:top w:val="none" w:sz="0" w:space="0" w:color="auto"/>
                                        <w:left w:val="none" w:sz="0" w:space="0" w:color="auto"/>
                                        <w:bottom w:val="none" w:sz="0" w:space="0" w:color="auto"/>
                                        <w:right w:val="none" w:sz="0" w:space="0" w:color="auto"/>
                                      </w:divBdr>
                                    </w:div>
                                  </w:divsChild>
                                </w:div>
                                <w:div w:id="467936517">
                                  <w:marLeft w:val="0"/>
                                  <w:marRight w:val="0"/>
                                  <w:marTop w:val="0"/>
                                  <w:marBottom w:val="0"/>
                                  <w:divBdr>
                                    <w:top w:val="none" w:sz="0" w:space="0" w:color="auto"/>
                                    <w:left w:val="none" w:sz="0" w:space="0" w:color="auto"/>
                                    <w:bottom w:val="none" w:sz="0" w:space="0" w:color="auto"/>
                                    <w:right w:val="none" w:sz="0" w:space="0" w:color="auto"/>
                                  </w:divBdr>
                                  <w:divsChild>
                                    <w:div w:id="1011449422">
                                      <w:marLeft w:val="0"/>
                                      <w:marRight w:val="0"/>
                                      <w:marTop w:val="0"/>
                                      <w:marBottom w:val="0"/>
                                      <w:divBdr>
                                        <w:top w:val="none" w:sz="0" w:space="0" w:color="auto"/>
                                        <w:left w:val="none" w:sz="0" w:space="0" w:color="auto"/>
                                        <w:bottom w:val="none" w:sz="0" w:space="0" w:color="auto"/>
                                        <w:right w:val="none" w:sz="0" w:space="0" w:color="auto"/>
                                      </w:divBdr>
                                    </w:div>
                                  </w:divsChild>
                                </w:div>
                                <w:div w:id="1792091705">
                                  <w:marLeft w:val="0"/>
                                  <w:marRight w:val="0"/>
                                  <w:marTop w:val="0"/>
                                  <w:marBottom w:val="0"/>
                                  <w:divBdr>
                                    <w:top w:val="none" w:sz="0" w:space="0" w:color="auto"/>
                                    <w:left w:val="none" w:sz="0" w:space="0" w:color="auto"/>
                                    <w:bottom w:val="none" w:sz="0" w:space="0" w:color="auto"/>
                                    <w:right w:val="none" w:sz="0" w:space="0" w:color="auto"/>
                                  </w:divBdr>
                                  <w:divsChild>
                                    <w:div w:id="989863807">
                                      <w:marLeft w:val="0"/>
                                      <w:marRight w:val="0"/>
                                      <w:marTop w:val="0"/>
                                      <w:marBottom w:val="0"/>
                                      <w:divBdr>
                                        <w:top w:val="none" w:sz="0" w:space="0" w:color="auto"/>
                                        <w:left w:val="none" w:sz="0" w:space="0" w:color="auto"/>
                                        <w:bottom w:val="none" w:sz="0" w:space="0" w:color="auto"/>
                                        <w:right w:val="none" w:sz="0" w:space="0" w:color="auto"/>
                                      </w:divBdr>
                                    </w:div>
                                  </w:divsChild>
                                </w:div>
                                <w:div w:id="1219437269">
                                  <w:marLeft w:val="0"/>
                                  <w:marRight w:val="0"/>
                                  <w:marTop w:val="0"/>
                                  <w:marBottom w:val="0"/>
                                  <w:divBdr>
                                    <w:top w:val="none" w:sz="0" w:space="0" w:color="auto"/>
                                    <w:left w:val="none" w:sz="0" w:space="0" w:color="auto"/>
                                    <w:bottom w:val="none" w:sz="0" w:space="0" w:color="auto"/>
                                    <w:right w:val="none" w:sz="0" w:space="0" w:color="auto"/>
                                  </w:divBdr>
                                  <w:divsChild>
                                    <w:div w:id="2069373222">
                                      <w:marLeft w:val="0"/>
                                      <w:marRight w:val="0"/>
                                      <w:marTop w:val="0"/>
                                      <w:marBottom w:val="0"/>
                                      <w:divBdr>
                                        <w:top w:val="none" w:sz="0" w:space="0" w:color="auto"/>
                                        <w:left w:val="none" w:sz="0" w:space="0" w:color="auto"/>
                                        <w:bottom w:val="none" w:sz="0" w:space="0" w:color="auto"/>
                                        <w:right w:val="none" w:sz="0" w:space="0" w:color="auto"/>
                                      </w:divBdr>
                                    </w:div>
                                  </w:divsChild>
                                </w:div>
                                <w:div w:id="218397152">
                                  <w:marLeft w:val="0"/>
                                  <w:marRight w:val="0"/>
                                  <w:marTop w:val="0"/>
                                  <w:marBottom w:val="0"/>
                                  <w:divBdr>
                                    <w:top w:val="none" w:sz="0" w:space="0" w:color="auto"/>
                                    <w:left w:val="none" w:sz="0" w:space="0" w:color="auto"/>
                                    <w:bottom w:val="none" w:sz="0" w:space="0" w:color="auto"/>
                                    <w:right w:val="none" w:sz="0" w:space="0" w:color="auto"/>
                                  </w:divBdr>
                                  <w:divsChild>
                                    <w:div w:id="1741636276">
                                      <w:marLeft w:val="0"/>
                                      <w:marRight w:val="0"/>
                                      <w:marTop w:val="0"/>
                                      <w:marBottom w:val="0"/>
                                      <w:divBdr>
                                        <w:top w:val="none" w:sz="0" w:space="0" w:color="auto"/>
                                        <w:left w:val="none" w:sz="0" w:space="0" w:color="auto"/>
                                        <w:bottom w:val="none" w:sz="0" w:space="0" w:color="auto"/>
                                        <w:right w:val="none" w:sz="0" w:space="0" w:color="auto"/>
                                      </w:divBdr>
                                    </w:div>
                                  </w:divsChild>
                                </w:div>
                                <w:div w:id="1318916234">
                                  <w:marLeft w:val="0"/>
                                  <w:marRight w:val="0"/>
                                  <w:marTop w:val="0"/>
                                  <w:marBottom w:val="0"/>
                                  <w:divBdr>
                                    <w:top w:val="none" w:sz="0" w:space="0" w:color="auto"/>
                                    <w:left w:val="none" w:sz="0" w:space="0" w:color="auto"/>
                                    <w:bottom w:val="none" w:sz="0" w:space="0" w:color="auto"/>
                                    <w:right w:val="none" w:sz="0" w:space="0" w:color="auto"/>
                                  </w:divBdr>
                                  <w:divsChild>
                                    <w:div w:id="589434426">
                                      <w:marLeft w:val="0"/>
                                      <w:marRight w:val="0"/>
                                      <w:marTop w:val="0"/>
                                      <w:marBottom w:val="0"/>
                                      <w:divBdr>
                                        <w:top w:val="none" w:sz="0" w:space="0" w:color="auto"/>
                                        <w:left w:val="none" w:sz="0" w:space="0" w:color="auto"/>
                                        <w:bottom w:val="none" w:sz="0" w:space="0" w:color="auto"/>
                                        <w:right w:val="none" w:sz="0" w:space="0" w:color="auto"/>
                                      </w:divBdr>
                                    </w:div>
                                  </w:divsChild>
                                </w:div>
                                <w:div w:id="436218991">
                                  <w:marLeft w:val="0"/>
                                  <w:marRight w:val="0"/>
                                  <w:marTop w:val="0"/>
                                  <w:marBottom w:val="0"/>
                                  <w:divBdr>
                                    <w:top w:val="none" w:sz="0" w:space="0" w:color="auto"/>
                                    <w:left w:val="none" w:sz="0" w:space="0" w:color="auto"/>
                                    <w:bottom w:val="none" w:sz="0" w:space="0" w:color="auto"/>
                                    <w:right w:val="none" w:sz="0" w:space="0" w:color="auto"/>
                                  </w:divBdr>
                                  <w:divsChild>
                                    <w:div w:id="427851735">
                                      <w:marLeft w:val="0"/>
                                      <w:marRight w:val="0"/>
                                      <w:marTop w:val="0"/>
                                      <w:marBottom w:val="0"/>
                                      <w:divBdr>
                                        <w:top w:val="none" w:sz="0" w:space="0" w:color="auto"/>
                                        <w:left w:val="none" w:sz="0" w:space="0" w:color="auto"/>
                                        <w:bottom w:val="none" w:sz="0" w:space="0" w:color="auto"/>
                                        <w:right w:val="none" w:sz="0" w:space="0" w:color="auto"/>
                                      </w:divBdr>
                                    </w:div>
                                  </w:divsChild>
                                </w:div>
                                <w:div w:id="1708141049">
                                  <w:marLeft w:val="0"/>
                                  <w:marRight w:val="0"/>
                                  <w:marTop w:val="0"/>
                                  <w:marBottom w:val="0"/>
                                  <w:divBdr>
                                    <w:top w:val="none" w:sz="0" w:space="0" w:color="auto"/>
                                    <w:left w:val="none" w:sz="0" w:space="0" w:color="auto"/>
                                    <w:bottom w:val="none" w:sz="0" w:space="0" w:color="auto"/>
                                    <w:right w:val="none" w:sz="0" w:space="0" w:color="auto"/>
                                  </w:divBdr>
                                  <w:divsChild>
                                    <w:div w:id="8614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335572">
                              <w:marLeft w:val="0"/>
                              <w:marRight w:val="0"/>
                              <w:marTop w:val="0"/>
                              <w:marBottom w:val="0"/>
                              <w:divBdr>
                                <w:top w:val="none" w:sz="0" w:space="0" w:color="auto"/>
                                <w:left w:val="none" w:sz="0" w:space="0" w:color="auto"/>
                                <w:bottom w:val="none" w:sz="0" w:space="0" w:color="auto"/>
                                <w:right w:val="none" w:sz="0" w:space="0" w:color="auto"/>
                              </w:divBdr>
                              <w:divsChild>
                                <w:div w:id="1555850868">
                                  <w:marLeft w:val="0"/>
                                  <w:marRight w:val="0"/>
                                  <w:marTop w:val="0"/>
                                  <w:marBottom w:val="0"/>
                                  <w:divBdr>
                                    <w:top w:val="none" w:sz="0" w:space="0" w:color="auto"/>
                                    <w:left w:val="none" w:sz="0" w:space="0" w:color="auto"/>
                                    <w:bottom w:val="none" w:sz="0" w:space="0" w:color="auto"/>
                                    <w:right w:val="none" w:sz="0" w:space="0" w:color="auto"/>
                                  </w:divBdr>
                                </w:div>
                                <w:div w:id="1441952065">
                                  <w:marLeft w:val="0"/>
                                  <w:marRight w:val="0"/>
                                  <w:marTop w:val="0"/>
                                  <w:marBottom w:val="0"/>
                                  <w:divBdr>
                                    <w:top w:val="none" w:sz="0" w:space="0" w:color="auto"/>
                                    <w:left w:val="none" w:sz="0" w:space="0" w:color="auto"/>
                                    <w:bottom w:val="none" w:sz="0" w:space="0" w:color="auto"/>
                                    <w:right w:val="none" w:sz="0" w:space="0" w:color="auto"/>
                                  </w:divBdr>
                                  <w:divsChild>
                                    <w:div w:id="127548666">
                                      <w:marLeft w:val="0"/>
                                      <w:marRight w:val="0"/>
                                      <w:marTop w:val="0"/>
                                      <w:marBottom w:val="0"/>
                                      <w:divBdr>
                                        <w:top w:val="none" w:sz="0" w:space="0" w:color="auto"/>
                                        <w:left w:val="none" w:sz="0" w:space="0" w:color="auto"/>
                                        <w:bottom w:val="none" w:sz="0" w:space="0" w:color="auto"/>
                                        <w:right w:val="none" w:sz="0" w:space="0" w:color="auto"/>
                                      </w:divBdr>
                                    </w:div>
                                  </w:divsChild>
                                </w:div>
                                <w:div w:id="900601583">
                                  <w:marLeft w:val="0"/>
                                  <w:marRight w:val="0"/>
                                  <w:marTop w:val="0"/>
                                  <w:marBottom w:val="0"/>
                                  <w:divBdr>
                                    <w:top w:val="none" w:sz="0" w:space="0" w:color="auto"/>
                                    <w:left w:val="none" w:sz="0" w:space="0" w:color="auto"/>
                                    <w:bottom w:val="none" w:sz="0" w:space="0" w:color="auto"/>
                                    <w:right w:val="none" w:sz="0" w:space="0" w:color="auto"/>
                                  </w:divBdr>
                                  <w:divsChild>
                                    <w:div w:id="19081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824087">
                      <w:marLeft w:val="0"/>
                      <w:marRight w:val="0"/>
                      <w:marTop w:val="0"/>
                      <w:marBottom w:val="0"/>
                      <w:divBdr>
                        <w:top w:val="none" w:sz="0" w:space="0" w:color="auto"/>
                        <w:left w:val="none" w:sz="0" w:space="0" w:color="auto"/>
                        <w:bottom w:val="none" w:sz="0" w:space="0" w:color="auto"/>
                        <w:right w:val="none" w:sz="0" w:space="0" w:color="auto"/>
                      </w:divBdr>
                      <w:divsChild>
                        <w:div w:id="1633100313">
                          <w:marLeft w:val="0"/>
                          <w:marRight w:val="0"/>
                          <w:marTop w:val="0"/>
                          <w:marBottom w:val="0"/>
                          <w:divBdr>
                            <w:top w:val="none" w:sz="0" w:space="0" w:color="auto"/>
                            <w:left w:val="none" w:sz="0" w:space="0" w:color="auto"/>
                            <w:bottom w:val="none" w:sz="0" w:space="0" w:color="auto"/>
                            <w:right w:val="none" w:sz="0" w:space="0" w:color="auto"/>
                          </w:divBdr>
                          <w:divsChild>
                            <w:div w:id="2067561160">
                              <w:marLeft w:val="0"/>
                              <w:marRight w:val="0"/>
                              <w:marTop w:val="0"/>
                              <w:marBottom w:val="0"/>
                              <w:divBdr>
                                <w:top w:val="none" w:sz="0" w:space="0" w:color="auto"/>
                                <w:left w:val="none" w:sz="0" w:space="0" w:color="auto"/>
                                <w:bottom w:val="none" w:sz="0" w:space="0" w:color="auto"/>
                                <w:right w:val="none" w:sz="0" w:space="0" w:color="auto"/>
                              </w:divBdr>
                            </w:div>
                            <w:div w:id="1007445269">
                              <w:marLeft w:val="0"/>
                              <w:marRight w:val="0"/>
                              <w:marTop w:val="0"/>
                              <w:marBottom w:val="0"/>
                              <w:divBdr>
                                <w:top w:val="none" w:sz="0" w:space="0" w:color="auto"/>
                                <w:left w:val="none" w:sz="0" w:space="0" w:color="auto"/>
                                <w:bottom w:val="none" w:sz="0" w:space="0" w:color="auto"/>
                                <w:right w:val="none" w:sz="0" w:space="0" w:color="auto"/>
                              </w:divBdr>
                              <w:divsChild>
                                <w:div w:id="1752652965">
                                  <w:marLeft w:val="0"/>
                                  <w:marRight w:val="0"/>
                                  <w:marTop w:val="0"/>
                                  <w:marBottom w:val="0"/>
                                  <w:divBdr>
                                    <w:top w:val="none" w:sz="0" w:space="0" w:color="auto"/>
                                    <w:left w:val="none" w:sz="0" w:space="0" w:color="auto"/>
                                    <w:bottom w:val="none" w:sz="0" w:space="0" w:color="auto"/>
                                    <w:right w:val="none" w:sz="0" w:space="0" w:color="auto"/>
                                  </w:divBdr>
                                  <w:divsChild>
                                    <w:div w:id="864290902">
                                      <w:marLeft w:val="0"/>
                                      <w:marRight w:val="0"/>
                                      <w:marTop w:val="0"/>
                                      <w:marBottom w:val="0"/>
                                      <w:divBdr>
                                        <w:top w:val="none" w:sz="0" w:space="0" w:color="auto"/>
                                        <w:left w:val="none" w:sz="0" w:space="0" w:color="auto"/>
                                        <w:bottom w:val="none" w:sz="0" w:space="0" w:color="auto"/>
                                        <w:right w:val="none" w:sz="0" w:space="0" w:color="auto"/>
                                      </w:divBdr>
                                      <w:divsChild>
                                        <w:div w:id="1843741510">
                                          <w:marLeft w:val="0"/>
                                          <w:marRight w:val="0"/>
                                          <w:marTop w:val="120"/>
                                          <w:marBottom w:val="0"/>
                                          <w:divBdr>
                                            <w:top w:val="none" w:sz="0" w:space="0" w:color="auto"/>
                                            <w:left w:val="none" w:sz="0" w:space="0" w:color="auto"/>
                                            <w:bottom w:val="none" w:sz="0" w:space="0" w:color="auto"/>
                                            <w:right w:val="none" w:sz="0" w:space="0" w:color="auto"/>
                                          </w:divBdr>
                                        </w:div>
                                        <w:div w:id="1636138351">
                                          <w:marLeft w:val="0"/>
                                          <w:marRight w:val="0"/>
                                          <w:marTop w:val="0"/>
                                          <w:marBottom w:val="0"/>
                                          <w:divBdr>
                                            <w:top w:val="none" w:sz="0" w:space="0" w:color="auto"/>
                                            <w:left w:val="none" w:sz="0" w:space="0" w:color="auto"/>
                                            <w:bottom w:val="none" w:sz="0" w:space="0" w:color="auto"/>
                                            <w:right w:val="none" w:sz="0" w:space="0" w:color="auto"/>
                                          </w:divBdr>
                                        </w:div>
                                      </w:divsChild>
                                    </w:div>
                                    <w:div w:id="1007755959">
                                      <w:marLeft w:val="0"/>
                                      <w:marRight w:val="0"/>
                                      <w:marTop w:val="0"/>
                                      <w:marBottom w:val="0"/>
                                      <w:divBdr>
                                        <w:top w:val="none" w:sz="0" w:space="0" w:color="auto"/>
                                        <w:left w:val="none" w:sz="0" w:space="0" w:color="auto"/>
                                        <w:bottom w:val="none" w:sz="0" w:space="0" w:color="auto"/>
                                        <w:right w:val="none" w:sz="0" w:space="0" w:color="auto"/>
                                      </w:divBdr>
                                      <w:divsChild>
                                        <w:div w:id="1233662834">
                                          <w:marLeft w:val="0"/>
                                          <w:marRight w:val="0"/>
                                          <w:marTop w:val="120"/>
                                          <w:marBottom w:val="0"/>
                                          <w:divBdr>
                                            <w:top w:val="none" w:sz="0" w:space="0" w:color="auto"/>
                                            <w:left w:val="none" w:sz="0" w:space="0" w:color="auto"/>
                                            <w:bottom w:val="none" w:sz="0" w:space="0" w:color="auto"/>
                                            <w:right w:val="none" w:sz="0" w:space="0" w:color="auto"/>
                                          </w:divBdr>
                                        </w:div>
                                        <w:div w:id="1086462202">
                                          <w:marLeft w:val="0"/>
                                          <w:marRight w:val="0"/>
                                          <w:marTop w:val="0"/>
                                          <w:marBottom w:val="0"/>
                                          <w:divBdr>
                                            <w:top w:val="none" w:sz="0" w:space="0" w:color="auto"/>
                                            <w:left w:val="none" w:sz="0" w:space="0" w:color="auto"/>
                                            <w:bottom w:val="none" w:sz="0" w:space="0" w:color="auto"/>
                                            <w:right w:val="none" w:sz="0" w:space="0" w:color="auto"/>
                                          </w:divBdr>
                                        </w:div>
                                      </w:divsChild>
                                    </w:div>
                                    <w:div w:id="1461151353">
                                      <w:marLeft w:val="0"/>
                                      <w:marRight w:val="0"/>
                                      <w:marTop w:val="0"/>
                                      <w:marBottom w:val="0"/>
                                      <w:divBdr>
                                        <w:top w:val="none" w:sz="0" w:space="0" w:color="auto"/>
                                        <w:left w:val="none" w:sz="0" w:space="0" w:color="auto"/>
                                        <w:bottom w:val="none" w:sz="0" w:space="0" w:color="auto"/>
                                        <w:right w:val="none" w:sz="0" w:space="0" w:color="auto"/>
                                      </w:divBdr>
                                      <w:divsChild>
                                        <w:div w:id="1648321905">
                                          <w:marLeft w:val="0"/>
                                          <w:marRight w:val="0"/>
                                          <w:marTop w:val="120"/>
                                          <w:marBottom w:val="0"/>
                                          <w:divBdr>
                                            <w:top w:val="none" w:sz="0" w:space="0" w:color="auto"/>
                                            <w:left w:val="none" w:sz="0" w:space="0" w:color="auto"/>
                                            <w:bottom w:val="none" w:sz="0" w:space="0" w:color="auto"/>
                                            <w:right w:val="none" w:sz="0" w:space="0" w:color="auto"/>
                                          </w:divBdr>
                                        </w:div>
                                        <w:div w:id="13285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929335">
                              <w:marLeft w:val="0"/>
                              <w:marRight w:val="0"/>
                              <w:marTop w:val="0"/>
                              <w:marBottom w:val="0"/>
                              <w:divBdr>
                                <w:top w:val="none" w:sz="0" w:space="0" w:color="auto"/>
                                <w:left w:val="none" w:sz="0" w:space="0" w:color="auto"/>
                                <w:bottom w:val="none" w:sz="0" w:space="0" w:color="auto"/>
                                <w:right w:val="none" w:sz="0" w:space="0" w:color="auto"/>
                              </w:divBdr>
                              <w:divsChild>
                                <w:div w:id="1819109822">
                                  <w:marLeft w:val="0"/>
                                  <w:marRight w:val="0"/>
                                  <w:marTop w:val="0"/>
                                  <w:marBottom w:val="0"/>
                                  <w:divBdr>
                                    <w:top w:val="none" w:sz="0" w:space="0" w:color="auto"/>
                                    <w:left w:val="none" w:sz="0" w:space="0" w:color="auto"/>
                                    <w:bottom w:val="none" w:sz="0" w:space="0" w:color="auto"/>
                                    <w:right w:val="none" w:sz="0" w:space="0" w:color="auto"/>
                                  </w:divBdr>
                                </w:div>
                              </w:divsChild>
                            </w:div>
                            <w:div w:id="835268863">
                              <w:marLeft w:val="0"/>
                              <w:marRight w:val="0"/>
                              <w:marTop w:val="0"/>
                              <w:marBottom w:val="0"/>
                              <w:divBdr>
                                <w:top w:val="none" w:sz="0" w:space="0" w:color="auto"/>
                                <w:left w:val="none" w:sz="0" w:space="0" w:color="auto"/>
                                <w:bottom w:val="none" w:sz="0" w:space="0" w:color="auto"/>
                                <w:right w:val="none" w:sz="0" w:space="0" w:color="auto"/>
                              </w:divBdr>
                              <w:divsChild>
                                <w:div w:id="637565048">
                                  <w:marLeft w:val="0"/>
                                  <w:marRight w:val="0"/>
                                  <w:marTop w:val="0"/>
                                  <w:marBottom w:val="0"/>
                                  <w:divBdr>
                                    <w:top w:val="none" w:sz="0" w:space="0" w:color="auto"/>
                                    <w:left w:val="none" w:sz="0" w:space="0" w:color="auto"/>
                                    <w:bottom w:val="none" w:sz="0" w:space="0" w:color="auto"/>
                                    <w:right w:val="none" w:sz="0" w:space="0" w:color="auto"/>
                                  </w:divBdr>
                                </w:div>
                              </w:divsChild>
                            </w:div>
                            <w:div w:id="1965188019">
                              <w:marLeft w:val="0"/>
                              <w:marRight w:val="0"/>
                              <w:marTop w:val="0"/>
                              <w:marBottom w:val="0"/>
                              <w:divBdr>
                                <w:top w:val="none" w:sz="0" w:space="0" w:color="auto"/>
                                <w:left w:val="none" w:sz="0" w:space="0" w:color="auto"/>
                                <w:bottom w:val="none" w:sz="0" w:space="0" w:color="auto"/>
                                <w:right w:val="none" w:sz="0" w:space="0" w:color="auto"/>
                              </w:divBdr>
                              <w:divsChild>
                                <w:div w:id="12800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656246">
                          <w:marLeft w:val="0"/>
                          <w:marRight w:val="0"/>
                          <w:marTop w:val="0"/>
                          <w:marBottom w:val="0"/>
                          <w:divBdr>
                            <w:top w:val="none" w:sz="0" w:space="0" w:color="auto"/>
                            <w:left w:val="none" w:sz="0" w:space="0" w:color="auto"/>
                            <w:bottom w:val="none" w:sz="0" w:space="0" w:color="auto"/>
                            <w:right w:val="none" w:sz="0" w:space="0" w:color="auto"/>
                          </w:divBdr>
                          <w:divsChild>
                            <w:div w:id="1029795076">
                              <w:marLeft w:val="0"/>
                              <w:marRight w:val="0"/>
                              <w:marTop w:val="0"/>
                              <w:marBottom w:val="0"/>
                              <w:divBdr>
                                <w:top w:val="none" w:sz="0" w:space="0" w:color="auto"/>
                                <w:left w:val="none" w:sz="0" w:space="0" w:color="auto"/>
                                <w:bottom w:val="none" w:sz="0" w:space="0" w:color="auto"/>
                                <w:right w:val="none" w:sz="0" w:space="0" w:color="auto"/>
                              </w:divBdr>
                            </w:div>
                            <w:div w:id="1888639678">
                              <w:marLeft w:val="0"/>
                              <w:marRight w:val="0"/>
                              <w:marTop w:val="0"/>
                              <w:marBottom w:val="0"/>
                              <w:divBdr>
                                <w:top w:val="none" w:sz="0" w:space="0" w:color="auto"/>
                                <w:left w:val="none" w:sz="0" w:space="0" w:color="auto"/>
                                <w:bottom w:val="none" w:sz="0" w:space="0" w:color="auto"/>
                                <w:right w:val="none" w:sz="0" w:space="0" w:color="auto"/>
                              </w:divBdr>
                              <w:divsChild>
                                <w:div w:id="447360066">
                                  <w:marLeft w:val="0"/>
                                  <w:marRight w:val="0"/>
                                  <w:marTop w:val="0"/>
                                  <w:marBottom w:val="0"/>
                                  <w:divBdr>
                                    <w:top w:val="none" w:sz="0" w:space="0" w:color="auto"/>
                                    <w:left w:val="none" w:sz="0" w:space="0" w:color="auto"/>
                                    <w:bottom w:val="none" w:sz="0" w:space="0" w:color="auto"/>
                                    <w:right w:val="none" w:sz="0" w:space="0" w:color="auto"/>
                                  </w:divBdr>
                                  <w:divsChild>
                                    <w:div w:id="1179462647">
                                      <w:marLeft w:val="0"/>
                                      <w:marRight w:val="0"/>
                                      <w:marTop w:val="0"/>
                                      <w:marBottom w:val="0"/>
                                      <w:divBdr>
                                        <w:top w:val="none" w:sz="0" w:space="0" w:color="auto"/>
                                        <w:left w:val="none" w:sz="0" w:space="0" w:color="auto"/>
                                        <w:bottom w:val="none" w:sz="0" w:space="0" w:color="auto"/>
                                        <w:right w:val="none" w:sz="0" w:space="0" w:color="auto"/>
                                      </w:divBdr>
                                      <w:divsChild>
                                        <w:div w:id="1464075287">
                                          <w:marLeft w:val="0"/>
                                          <w:marRight w:val="0"/>
                                          <w:marTop w:val="120"/>
                                          <w:marBottom w:val="0"/>
                                          <w:divBdr>
                                            <w:top w:val="none" w:sz="0" w:space="0" w:color="auto"/>
                                            <w:left w:val="none" w:sz="0" w:space="0" w:color="auto"/>
                                            <w:bottom w:val="none" w:sz="0" w:space="0" w:color="auto"/>
                                            <w:right w:val="none" w:sz="0" w:space="0" w:color="auto"/>
                                          </w:divBdr>
                                        </w:div>
                                        <w:div w:id="1708335001">
                                          <w:marLeft w:val="0"/>
                                          <w:marRight w:val="0"/>
                                          <w:marTop w:val="0"/>
                                          <w:marBottom w:val="0"/>
                                          <w:divBdr>
                                            <w:top w:val="none" w:sz="0" w:space="0" w:color="auto"/>
                                            <w:left w:val="none" w:sz="0" w:space="0" w:color="auto"/>
                                            <w:bottom w:val="none" w:sz="0" w:space="0" w:color="auto"/>
                                            <w:right w:val="none" w:sz="0" w:space="0" w:color="auto"/>
                                          </w:divBdr>
                                        </w:div>
                                      </w:divsChild>
                                    </w:div>
                                    <w:div w:id="204568657">
                                      <w:marLeft w:val="0"/>
                                      <w:marRight w:val="0"/>
                                      <w:marTop w:val="0"/>
                                      <w:marBottom w:val="0"/>
                                      <w:divBdr>
                                        <w:top w:val="none" w:sz="0" w:space="0" w:color="auto"/>
                                        <w:left w:val="none" w:sz="0" w:space="0" w:color="auto"/>
                                        <w:bottom w:val="none" w:sz="0" w:space="0" w:color="auto"/>
                                        <w:right w:val="none" w:sz="0" w:space="0" w:color="auto"/>
                                      </w:divBdr>
                                      <w:divsChild>
                                        <w:div w:id="778647144">
                                          <w:marLeft w:val="0"/>
                                          <w:marRight w:val="0"/>
                                          <w:marTop w:val="120"/>
                                          <w:marBottom w:val="0"/>
                                          <w:divBdr>
                                            <w:top w:val="none" w:sz="0" w:space="0" w:color="auto"/>
                                            <w:left w:val="none" w:sz="0" w:space="0" w:color="auto"/>
                                            <w:bottom w:val="none" w:sz="0" w:space="0" w:color="auto"/>
                                            <w:right w:val="none" w:sz="0" w:space="0" w:color="auto"/>
                                          </w:divBdr>
                                        </w:div>
                                        <w:div w:id="952714755">
                                          <w:marLeft w:val="0"/>
                                          <w:marRight w:val="0"/>
                                          <w:marTop w:val="0"/>
                                          <w:marBottom w:val="0"/>
                                          <w:divBdr>
                                            <w:top w:val="none" w:sz="0" w:space="0" w:color="auto"/>
                                            <w:left w:val="none" w:sz="0" w:space="0" w:color="auto"/>
                                            <w:bottom w:val="none" w:sz="0" w:space="0" w:color="auto"/>
                                            <w:right w:val="none" w:sz="0" w:space="0" w:color="auto"/>
                                          </w:divBdr>
                                        </w:div>
                                      </w:divsChild>
                                    </w:div>
                                    <w:div w:id="1203594881">
                                      <w:marLeft w:val="0"/>
                                      <w:marRight w:val="0"/>
                                      <w:marTop w:val="0"/>
                                      <w:marBottom w:val="0"/>
                                      <w:divBdr>
                                        <w:top w:val="none" w:sz="0" w:space="0" w:color="auto"/>
                                        <w:left w:val="none" w:sz="0" w:space="0" w:color="auto"/>
                                        <w:bottom w:val="none" w:sz="0" w:space="0" w:color="auto"/>
                                        <w:right w:val="none" w:sz="0" w:space="0" w:color="auto"/>
                                      </w:divBdr>
                                      <w:divsChild>
                                        <w:div w:id="1455640974">
                                          <w:marLeft w:val="0"/>
                                          <w:marRight w:val="0"/>
                                          <w:marTop w:val="120"/>
                                          <w:marBottom w:val="0"/>
                                          <w:divBdr>
                                            <w:top w:val="none" w:sz="0" w:space="0" w:color="auto"/>
                                            <w:left w:val="none" w:sz="0" w:space="0" w:color="auto"/>
                                            <w:bottom w:val="none" w:sz="0" w:space="0" w:color="auto"/>
                                            <w:right w:val="none" w:sz="0" w:space="0" w:color="auto"/>
                                          </w:divBdr>
                                        </w:div>
                                        <w:div w:id="125652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93749">
                              <w:marLeft w:val="0"/>
                              <w:marRight w:val="0"/>
                              <w:marTop w:val="0"/>
                              <w:marBottom w:val="0"/>
                              <w:divBdr>
                                <w:top w:val="none" w:sz="0" w:space="0" w:color="auto"/>
                                <w:left w:val="none" w:sz="0" w:space="0" w:color="auto"/>
                                <w:bottom w:val="none" w:sz="0" w:space="0" w:color="auto"/>
                                <w:right w:val="none" w:sz="0" w:space="0" w:color="auto"/>
                              </w:divBdr>
                              <w:divsChild>
                                <w:div w:id="1097367092">
                                  <w:marLeft w:val="0"/>
                                  <w:marRight w:val="0"/>
                                  <w:marTop w:val="0"/>
                                  <w:marBottom w:val="0"/>
                                  <w:divBdr>
                                    <w:top w:val="none" w:sz="0" w:space="0" w:color="auto"/>
                                    <w:left w:val="none" w:sz="0" w:space="0" w:color="auto"/>
                                    <w:bottom w:val="none" w:sz="0" w:space="0" w:color="auto"/>
                                    <w:right w:val="none" w:sz="0" w:space="0" w:color="auto"/>
                                  </w:divBdr>
                                </w:div>
                              </w:divsChild>
                            </w:div>
                            <w:div w:id="1952937241">
                              <w:marLeft w:val="0"/>
                              <w:marRight w:val="0"/>
                              <w:marTop w:val="0"/>
                              <w:marBottom w:val="0"/>
                              <w:divBdr>
                                <w:top w:val="none" w:sz="0" w:space="0" w:color="auto"/>
                                <w:left w:val="none" w:sz="0" w:space="0" w:color="auto"/>
                                <w:bottom w:val="none" w:sz="0" w:space="0" w:color="auto"/>
                                <w:right w:val="none" w:sz="0" w:space="0" w:color="auto"/>
                              </w:divBdr>
                              <w:divsChild>
                                <w:div w:id="767967950">
                                  <w:marLeft w:val="0"/>
                                  <w:marRight w:val="0"/>
                                  <w:marTop w:val="0"/>
                                  <w:marBottom w:val="0"/>
                                  <w:divBdr>
                                    <w:top w:val="none" w:sz="0" w:space="0" w:color="auto"/>
                                    <w:left w:val="none" w:sz="0" w:space="0" w:color="auto"/>
                                    <w:bottom w:val="none" w:sz="0" w:space="0" w:color="auto"/>
                                    <w:right w:val="none" w:sz="0" w:space="0" w:color="auto"/>
                                  </w:divBdr>
                                </w:div>
                              </w:divsChild>
                            </w:div>
                            <w:div w:id="1084449672">
                              <w:marLeft w:val="0"/>
                              <w:marRight w:val="0"/>
                              <w:marTop w:val="0"/>
                              <w:marBottom w:val="0"/>
                              <w:divBdr>
                                <w:top w:val="none" w:sz="0" w:space="0" w:color="auto"/>
                                <w:left w:val="none" w:sz="0" w:space="0" w:color="auto"/>
                                <w:bottom w:val="none" w:sz="0" w:space="0" w:color="auto"/>
                                <w:right w:val="none" w:sz="0" w:space="0" w:color="auto"/>
                              </w:divBdr>
                              <w:divsChild>
                                <w:div w:id="199788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2133">
                          <w:marLeft w:val="0"/>
                          <w:marRight w:val="0"/>
                          <w:marTop w:val="0"/>
                          <w:marBottom w:val="0"/>
                          <w:divBdr>
                            <w:top w:val="none" w:sz="0" w:space="0" w:color="auto"/>
                            <w:left w:val="none" w:sz="0" w:space="0" w:color="auto"/>
                            <w:bottom w:val="none" w:sz="0" w:space="0" w:color="auto"/>
                            <w:right w:val="none" w:sz="0" w:space="0" w:color="auto"/>
                          </w:divBdr>
                          <w:divsChild>
                            <w:div w:id="439884673">
                              <w:marLeft w:val="0"/>
                              <w:marRight w:val="0"/>
                              <w:marTop w:val="0"/>
                              <w:marBottom w:val="0"/>
                              <w:divBdr>
                                <w:top w:val="none" w:sz="0" w:space="0" w:color="auto"/>
                                <w:left w:val="none" w:sz="0" w:space="0" w:color="auto"/>
                                <w:bottom w:val="none" w:sz="0" w:space="0" w:color="auto"/>
                                <w:right w:val="none" w:sz="0" w:space="0" w:color="auto"/>
                              </w:divBdr>
                            </w:div>
                            <w:div w:id="750741728">
                              <w:marLeft w:val="0"/>
                              <w:marRight w:val="0"/>
                              <w:marTop w:val="0"/>
                              <w:marBottom w:val="0"/>
                              <w:divBdr>
                                <w:top w:val="none" w:sz="0" w:space="0" w:color="auto"/>
                                <w:left w:val="none" w:sz="0" w:space="0" w:color="auto"/>
                                <w:bottom w:val="none" w:sz="0" w:space="0" w:color="auto"/>
                                <w:right w:val="none" w:sz="0" w:space="0" w:color="auto"/>
                              </w:divBdr>
                              <w:divsChild>
                                <w:div w:id="779304568">
                                  <w:marLeft w:val="0"/>
                                  <w:marRight w:val="0"/>
                                  <w:marTop w:val="0"/>
                                  <w:marBottom w:val="0"/>
                                  <w:divBdr>
                                    <w:top w:val="none" w:sz="0" w:space="0" w:color="auto"/>
                                    <w:left w:val="none" w:sz="0" w:space="0" w:color="auto"/>
                                    <w:bottom w:val="none" w:sz="0" w:space="0" w:color="auto"/>
                                    <w:right w:val="none" w:sz="0" w:space="0" w:color="auto"/>
                                  </w:divBdr>
                                  <w:divsChild>
                                    <w:div w:id="829758940">
                                      <w:marLeft w:val="0"/>
                                      <w:marRight w:val="0"/>
                                      <w:marTop w:val="0"/>
                                      <w:marBottom w:val="0"/>
                                      <w:divBdr>
                                        <w:top w:val="none" w:sz="0" w:space="0" w:color="auto"/>
                                        <w:left w:val="none" w:sz="0" w:space="0" w:color="auto"/>
                                        <w:bottom w:val="none" w:sz="0" w:space="0" w:color="auto"/>
                                        <w:right w:val="none" w:sz="0" w:space="0" w:color="auto"/>
                                      </w:divBdr>
                                      <w:divsChild>
                                        <w:div w:id="1148740337">
                                          <w:marLeft w:val="0"/>
                                          <w:marRight w:val="0"/>
                                          <w:marTop w:val="120"/>
                                          <w:marBottom w:val="0"/>
                                          <w:divBdr>
                                            <w:top w:val="none" w:sz="0" w:space="0" w:color="auto"/>
                                            <w:left w:val="none" w:sz="0" w:space="0" w:color="auto"/>
                                            <w:bottom w:val="none" w:sz="0" w:space="0" w:color="auto"/>
                                            <w:right w:val="none" w:sz="0" w:space="0" w:color="auto"/>
                                          </w:divBdr>
                                        </w:div>
                                        <w:div w:id="1565532657">
                                          <w:marLeft w:val="0"/>
                                          <w:marRight w:val="0"/>
                                          <w:marTop w:val="0"/>
                                          <w:marBottom w:val="0"/>
                                          <w:divBdr>
                                            <w:top w:val="none" w:sz="0" w:space="0" w:color="auto"/>
                                            <w:left w:val="none" w:sz="0" w:space="0" w:color="auto"/>
                                            <w:bottom w:val="none" w:sz="0" w:space="0" w:color="auto"/>
                                            <w:right w:val="none" w:sz="0" w:space="0" w:color="auto"/>
                                          </w:divBdr>
                                        </w:div>
                                      </w:divsChild>
                                    </w:div>
                                    <w:div w:id="1510682629">
                                      <w:marLeft w:val="0"/>
                                      <w:marRight w:val="0"/>
                                      <w:marTop w:val="0"/>
                                      <w:marBottom w:val="0"/>
                                      <w:divBdr>
                                        <w:top w:val="none" w:sz="0" w:space="0" w:color="auto"/>
                                        <w:left w:val="none" w:sz="0" w:space="0" w:color="auto"/>
                                        <w:bottom w:val="none" w:sz="0" w:space="0" w:color="auto"/>
                                        <w:right w:val="none" w:sz="0" w:space="0" w:color="auto"/>
                                      </w:divBdr>
                                      <w:divsChild>
                                        <w:div w:id="135101471">
                                          <w:marLeft w:val="0"/>
                                          <w:marRight w:val="0"/>
                                          <w:marTop w:val="120"/>
                                          <w:marBottom w:val="0"/>
                                          <w:divBdr>
                                            <w:top w:val="none" w:sz="0" w:space="0" w:color="auto"/>
                                            <w:left w:val="none" w:sz="0" w:space="0" w:color="auto"/>
                                            <w:bottom w:val="none" w:sz="0" w:space="0" w:color="auto"/>
                                            <w:right w:val="none" w:sz="0" w:space="0" w:color="auto"/>
                                          </w:divBdr>
                                        </w:div>
                                        <w:div w:id="1459447067">
                                          <w:marLeft w:val="0"/>
                                          <w:marRight w:val="0"/>
                                          <w:marTop w:val="0"/>
                                          <w:marBottom w:val="0"/>
                                          <w:divBdr>
                                            <w:top w:val="none" w:sz="0" w:space="0" w:color="auto"/>
                                            <w:left w:val="none" w:sz="0" w:space="0" w:color="auto"/>
                                            <w:bottom w:val="none" w:sz="0" w:space="0" w:color="auto"/>
                                            <w:right w:val="none" w:sz="0" w:space="0" w:color="auto"/>
                                          </w:divBdr>
                                        </w:div>
                                      </w:divsChild>
                                    </w:div>
                                    <w:div w:id="630986955">
                                      <w:marLeft w:val="0"/>
                                      <w:marRight w:val="0"/>
                                      <w:marTop w:val="0"/>
                                      <w:marBottom w:val="0"/>
                                      <w:divBdr>
                                        <w:top w:val="none" w:sz="0" w:space="0" w:color="auto"/>
                                        <w:left w:val="none" w:sz="0" w:space="0" w:color="auto"/>
                                        <w:bottom w:val="none" w:sz="0" w:space="0" w:color="auto"/>
                                        <w:right w:val="none" w:sz="0" w:space="0" w:color="auto"/>
                                      </w:divBdr>
                                      <w:divsChild>
                                        <w:div w:id="1039355956">
                                          <w:marLeft w:val="0"/>
                                          <w:marRight w:val="0"/>
                                          <w:marTop w:val="120"/>
                                          <w:marBottom w:val="0"/>
                                          <w:divBdr>
                                            <w:top w:val="none" w:sz="0" w:space="0" w:color="auto"/>
                                            <w:left w:val="none" w:sz="0" w:space="0" w:color="auto"/>
                                            <w:bottom w:val="none" w:sz="0" w:space="0" w:color="auto"/>
                                            <w:right w:val="none" w:sz="0" w:space="0" w:color="auto"/>
                                          </w:divBdr>
                                        </w:div>
                                        <w:div w:id="4379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8991">
                              <w:marLeft w:val="0"/>
                              <w:marRight w:val="0"/>
                              <w:marTop w:val="0"/>
                              <w:marBottom w:val="0"/>
                              <w:divBdr>
                                <w:top w:val="none" w:sz="0" w:space="0" w:color="auto"/>
                                <w:left w:val="none" w:sz="0" w:space="0" w:color="auto"/>
                                <w:bottom w:val="none" w:sz="0" w:space="0" w:color="auto"/>
                                <w:right w:val="none" w:sz="0" w:space="0" w:color="auto"/>
                              </w:divBdr>
                              <w:divsChild>
                                <w:div w:id="1788545171">
                                  <w:marLeft w:val="0"/>
                                  <w:marRight w:val="0"/>
                                  <w:marTop w:val="0"/>
                                  <w:marBottom w:val="0"/>
                                  <w:divBdr>
                                    <w:top w:val="none" w:sz="0" w:space="0" w:color="auto"/>
                                    <w:left w:val="none" w:sz="0" w:space="0" w:color="auto"/>
                                    <w:bottom w:val="none" w:sz="0" w:space="0" w:color="auto"/>
                                    <w:right w:val="none" w:sz="0" w:space="0" w:color="auto"/>
                                  </w:divBdr>
                                  <w:divsChild>
                                    <w:div w:id="1941715066">
                                      <w:marLeft w:val="0"/>
                                      <w:marRight w:val="0"/>
                                      <w:marTop w:val="0"/>
                                      <w:marBottom w:val="0"/>
                                      <w:divBdr>
                                        <w:top w:val="none" w:sz="0" w:space="0" w:color="auto"/>
                                        <w:left w:val="none" w:sz="0" w:space="0" w:color="auto"/>
                                        <w:bottom w:val="none" w:sz="0" w:space="0" w:color="auto"/>
                                        <w:right w:val="none" w:sz="0" w:space="0" w:color="auto"/>
                                      </w:divBdr>
                                      <w:divsChild>
                                        <w:div w:id="2140487580">
                                          <w:marLeft w:val="0"/>
                                          <w:marRight w:val="0"/>
                                          <w:marTop w:val="120"/>
                                          <w:marBottom w:val="0"/>
                                          <w:divBdr>
                                            <w:top w:val="none" w:sz="0" w:space="0" w:color="auto"/>
                                            <w:left w:val="none" w:sz="0" w:space="0" w:color="auto"/>
                                            <w:bottom w:val="none" w:sz="0" w:space="0" w:color="auto"/>
                                            <w:right w:val="none" w:sz="0" w:space="0" w:color="auto"/>
                                          </w:divBdr>
                                        </w:div>
                                        <w:div w:id="1831290434">
                                          <w:marLeft w:val="0"/>
                                          <w:marRight w:val="0"/>
                                          <w:marTop w:val="0"/>
                                          <w:marBottom w:val="0"/>
                                          <w:divBdr>
                                            <w:top w:val="none" w:sz="0" w:space="0" w:color="auto"/>
                                            <w:left w:val="none" w:sz="0" w:space="0" w:color="auto"/>
                                            <w:bottom w:val="none" w:sz="0" w:space="0" w:color="auto"/>
                                            <w:right w:val="none" w:sz="0" w:space="0" w:color="auto"/>
                                          </w:divBdr>
                                        </w:div>
                                      </w:divsChild>
                                    </w:div>
                                    <w:div w:id="1191332976">
                                      <w:marLeft w:val="0"/>
                                      <w:marRight w:val="0"/>
                                      <w:marTop w:val="0"/>
                                      <w:marBottom w:val="0"/>
                                      <w:divBdr>
                                        <w:top w:val="none" w:sz="0" w:space="0" w:color="auto"/>
                                        <w:left w:val="none" w:sz="0" w:space="0" w:color="auto"/>
                                        <w:bottom w:val="none" w:sz="0" w:space="0" w:color="auto"/>
                                        <w:right w:val="none" w:sz="0" w:space="0" w:color="auto"/>
                                      </w:divBdr>
                                      <w:divsChild>
                                        <w:div w:id="792401356">
                                          <w:marLeft w:val="0"/>
                                          <w:marRight w:val="0"/>
                                          <w:marTop w:val="120"/>
                                          <w:marBottom w:val="0"/>
                                          <w:divBdr>
                                            <w:top w:val="none" w:sz="0" w:space="0" w:color="auto"/>
                                            <w:left w:val="none" w:sz="0" w:space="0" w:color="auto"/>
                                            <w:bottom w:val="none" w:sz="0" w:space="0" w:color="auto"/>
                                            <w:right w:val="none" w:sz="0" w:space="0" w:color="auto"/>
                                          </w:divBdr>
                                        </w:div>
                                        <w:div w:id="843085971">
                                          <w:marLeft w:val="0"/>
                                          <w:marRight w:val="0"/>
                                          <w:marTop w:val="0"/>
                                          <w:marBottom w:val="0"/>
                                          <w:divBdr>
                                            <w:top w:val="none" w:sz="0" w:space="0" w:color="auto"/>
                                            <w:left w:val="none" w:sz="0" w:space="0" w:color="auto"/>
                                            <w:bottom w:val="none" w:sz="0" w:space="0" w:color="auto"/>
                                            <w:right w:val="none" w:sz="0" w:space="0" w:color="auto"/>
                                          </w:divBdr>
                                        </w:div>
                                      </w:divsChild>
                                    </w:div>
                                    <w:div w:id="732388151">
                                      <w:marLeft w:val="0"/>
                                      <w:marRight w:val="0"/>
                                      <w:marTop w:val="0"/>
                                      <w:marBottom w:val="0"/>
                                      <w:divBdr>
                                        <w:top w:val="none" w:sz="0" w:space="0" w:color="auto"/>
                                        <w:left w:val="none" w:sz="0" w:space="0" w:color="auto"/>
                                        <w:bottom w:val="none" w:sz="0" w:space="0" w:color="auto"/>
                                        <w:right w:val="none" w:sz="0" w:space="0" w:color="auto"/>
                                      </w:divBdr>
                                      <w:divsChild>
                                        <w:div w:id="1891916077">
                                          <w:marLeft w:val="0"/>
                                          <w:marRight w:val="0"/>
                                          <w:marTop w:val="120"/>
                                          <w:marBottom w:val="0"/>
                                          <w:divBdr>
                                            <w:top w:val="none" w:sz="0" w:space="0" w:color="auto"/>
                                            <w:left w:val="none" w:sz="0" w:space="0" w:color="auto"/>
                                            <w:bottom w:val="none" w:sz="0" w:space="0" w:color="auto"/>
                                            <w:right w:val="none" w:sz="0" w:space="0" w:color="auto"/>
                                          </w:divBdr>
                                        </w:div>
                                        <w:div w:id="692730595">
                                          <w:marLeft w:val="0"/>
                                          <w:marRight w:val="0"/>
                                          <w:marTop w:val="0"/>
                                          <w:marBottom w:val="0"/>
                                          <w:divBdr>
                                            <w:top w:val="none" w:sz="0" w:space="0" w:color="auto"/>
                                            <w:left w:val="none" w:sz="0" w:space="0" w:color="auto"/>
                                            <w:bottom w:val="none" w:sz="0" w:space="0" w:color="auto"/>
                                            <w:right w:val="none" w:sz="0" w:space="0" w:color="auto"/>
                                          </w:divBdr>
                                        </w:div>
                                      </w:divsChild>
                                    </w:div>
                                    <w:div w:id="767191364">
                                      <w:marLeft w:val="0"/>
                                      <w:marRight w:val="0"/>
                                      <w:marTop w:val="0"/>
                                      <w:marBottom w:val="0"/>
                                      <w:divBdr>
                                        <w:top w:val="none" w:sz="0" w:space="0" w:color="auto"/>
                                        <w:left w:val="none" w:sz="0" w:space="0" w:color="auto"/>
                                        <w:bottom w:val="none" w:sz="0" w:space="0" w:color="auto"/>
                                        <w:right w:val="none" w:sz="0" w:space="0" w:color="auto"/>
                                      </w:divBdr>
                                      <w:divsChild>
                                        <w:div w:id="1835222595">
                                          <w:marLeft w:val="0"/>
                                          <w:marRight w:val="0"/>
                                          <w:marTop w:val="120"/>
                                          <w:marBottom w:val="0"/>
                                          <w:divBdr>
                                            <w:top w:val="none" w:sz="0" w:space="0" w:color="auto"/>
                                            <w:left w:val="none" w:sz="0" w:space="0" w:color="auto"/>
                                            <w:bottom w:val="none" w:sz="0" w:space="0" w:color="auto"/>
                                            <w:right w:val="none" w:sz="0" w:space="0" w:color="auto"/>
                                          </w:divBdr>
                                        </w:div>
                                        <w:div w:id="526599224">
                                          <w:marLeft w:val="0"/>
                                          <w:marRight w:val="0"/>
                                          <w:marTop w:val="0"/>
                                          <w:marBottom w:val="0"/>
                                          <w:divBdr>
                                            <w:top w:val="none" w:sz="0" w:space="0" w:color="auto"/>
                                            <w:left w:val="none" w:sz="0" w:space="0" w:color="auto"/>
                                            <w:bottom w:val="none" w:sz="0" w:space="0" w:color="auto"/>
                                            <w:right w:val="none" w:sz="0" w:space="0" w:color="auto"/>
                                          </w:divBdr>
                                        </w:div>
                                      </w:divsChild>
                                    </w:div>
                                    <w:div w:id="1731465777">
                                      <w:marLeft w:val="0"/>
                                      <w:marRight w:val="0"/>
                                      <w:marTop w:val="0"/>
                                      <w:marBottom w:val="0"/>
                                      <w:divBdr>
                                        <w:top w:val="none" w:sz="0" w:space="0" w:color="auto"/>
                                        <w:left w:val="none" w:sz="0" w:space="0" w:color="auto"/>
                                        <w:bottom w:val="none" w:sz="0" w:space="0" w:color="auto"/>
                                        <w:right w:val="none" w:sz="0" w:space="0" w:color="auto"/>
                                      </w:divBdr>
                                      <w:divsChild>
                                        <w:div w:id="2090032408">
                                          <w:marLeft w:val="0"/>
                                          <w:marRight w:val="0"/>
                                          <w:marTop w:val="120"/>
                                          <w:marBottom w:val="0"/>
                                          <w:divBdr>
                                            <w:top w:val="none" w:sz="0" w:space="0" w:color="auto"/>
                                            <w:left w:val="none" w:sz="0" w:space="0" w:color="auto"/>
                                            <w:bottom w:val="none" w:sz="0" w:space="0" w:color="auto"/>
                                            <w:right w:val="none" w:sz="0" w:space="0" w:color="auto"/>
                                          </w:divBdr>
                                        </w:div>
                                        <w:div w:id="36576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95324">
                              <w:marLeft w:val="0"/>
                              <w:marRight w:val="0"/>
                              <w:marTop w:val="0"/>
                              <w:marBottom w:val="0"/>
                              <w:divBdr>
                                <w:top w:val="none" w:sz="0" w:space="0" w:color="auto"/>
                                <w:left w:val="none" w:sz="0" w:space="0" w:color="auto"/>
                                <w:bottom w:val="none" w:sz="0" w:space="0" w:color="auto"/>
                                <w:right w:val="none" w:sz="0" w:space="0" w:color="auto"/>
                              </w:divBdr>
                              <w:divsChild>
                                <w:div w:id="1233195216">
                                  <w:marLeft w:val="0"/>
                                  <w:marRight w:val="0"/>
                                  <w:marTop w:val="0"/>
                                  <w:marBottom w:val="0"/>
                                  <w:divBdr>
                                    <w:top w:val="none" w:sz="0" w:space="0" w:color="auto"/>
                                    <w:left w:val="none" w:sz="0" w:space="0" w:color="auto"/>
                                    <w:bottom w:val="none" w:sz="0" w:space="0" w:color="auto"/>
                                    <w:right w:val="none" w:sz="0" w:space="0" w:color="auto"/>
                                  </w:divBdr>
                                  <w:divsChild>
                                    <w:div w:id="386494993">
                                      <w:marLeft w:val="0"/>
                                      <w:marRight w:val="0"/>
                                      <w:marTop w:val="0"/>
                                      <w:marBottom w:val="0"/>
                                      <w:divBdr>
                                        <w:top w:val="none" w:sz="0" w:space="0" w:color="auto"/>
                                        <w:left w:val="none" w:sz="0" w:space="0" w:color="auto"/>
                                        <w:bottom w:val="none" w:sz="0" w:space="0" w:color="auto"/>
                                        <w:right w:val="none" w:sz="0" w:space="0" w:color="auto"/>
                                      </w:divBdr>
                                      <w:divsChild>
                                        <w:div w:id="1709450108">
                                          <w:marLeft w:val="0"/>
                                          <w:marRight w:val="0"/>
                                          <w:marTop w:val="120"/>
                                          <w:marBottom w:val="0"/>
                                          <w:divBdr>
                                            <w:top w:val="none" w:sz="0" w:space="0" w:color="auto"/>
                                            <w:left w:val="none" w:sz="0" w:space="0" w:color="auto"/>
                                            <w:bottom w:val="none" w:sz="0" w:space="0" w:color="auto"/>
                                            <w:right w:val="none" w:sz="0" w:space="0" w:color="auto"/>
                                          </w:divBdr>
                                        </w:div>
                                        <w:div w:id="1523782401">
                                          <w:marLeft w:val="0"/>
                                          <w:marRight w:val="0"/>
                                          <w:marTop w:val="0"/>
                                          <w:marBottom w:val="0"/>
                                          <w:divBdr>
                                            <w:top w:val="none" w:sz="0" w:space="0" w:color="auto"/>
                                            <w:left w:val="none" w:sz="0" w:space="0" w:color="auto"/>
                                            <w:bottom w:val="none" w:sz="0" w:space="0" w:color="auto"/>
                                            <w:right w:val="none" w:sz="0" w:space="0" w:color="auto"/>
                                          </w:divBdr>
                                        </w:div>
                                      </w:divsChild>
                                    </w:div>
                                    <w:div w:id="1637834943">
                                      <w:marLeft w:val="0"/>
                                      <w:marRight w:val="0"/>
                                      <w:marTop w:val="0"/>
                                      <w:marBottom w:val="0"/>
                                      <w:divBdr>
                                        <w:top w:val="none" w:sz="0" w:space="0" w:color="auto"/>
                                        <w:left w:val="none" w:sz="0" w:space="0" w:color="auto"/>
                                        <w:bottom w:val="none" w:sz="0" w:space="0" w:color="auto"/>
                                        <w:right w:val="none" w:sz="0" w:space="0" w:color="auto"/>
                                      </w:divBdr>
                                      <w:divsChild>
                                        <w:div w:id="532113058">
                                          <w:marLeft w:val="0"/>
                                          <w:marRight w:val="0"/>
                                          <w:marTop w:val="120"/>
                                          <w:marBottom w:val="0"/>
                                          <w:divBdr>
                                            <w:top w:val="none" w:sz="0" w:space="0" w:color="auto"/>
                                            <w:left w:val="none" w:sz="0" w:space="0" w:color="auto"/>
                                            <w:bottom w:val="none" w:sz="0" w:space="0" w:color="auto"/>
                                            <w:right w:val="none" w:sz="0" w:space="0" w:color="auto"/>
                                          </w:divBdr>
                                        </w:div>
                                        <w:div w:id="217399566">
                                          <w:marLeft w:val="0"/>
                                          <w:marRight w:val="0"/>
                                          <w:marTop w:val="0"/>
                                          <w:marBottom w:val="0"/>
                                          <w:divBdr>
                                            <w:top w:val="none" w:sz="0" w:space="0" w:color="auto"/>
                                            <w:left w:val="none" w:sz="0" w:space="0" w:color="auto"/>
                                            <w:bottom w:val="none" w:sz="0" w:space="0" w:color="auto"/>
                                            <w:right w:val="none" w:sz="0" w:space="0" w:color="auto"/>
                                          </w:divBdr>
                                        </w:div>
                                      </w:divsChild>
                                    </w:div>
                                    <w:div w:id="488599459">
                                      <w:marLeft w:val="0"/>
                                      <w:marRight w:val="0"/>
                                      <w:marTop w:val="0"/>
                                      <w:marBottom w:val="0"/>
                                      <w:divBdr>
                                        <w:top w:val="none" w:sz="0" w:space="0" w:color="auto"/>
                                        <w:left w:val="none" w:sz="0" w:space="0" w:color="auto"/>
                                        <w:bottom w:val="none" w:sz="0" w:space="0" w:color="auto"/>
                                        <w:right w:val="none" w:sz="0" w:space="0" w:color="auto"/>
                                      </w:divBdr>
                                      <w:divsChild>
                                        <w:div w:id="383137479">
                                          <w:marLeft w:val="0"/>
                                          <w:marRight w:val="0"/>
                                          <w:marTop w:val="120"/>
                                          <w:marBottom w:val="0"/>
                                          <w:divBdr>
                                            <w:top w:val="none" w:sz="0" w:space="0" w:color="auto"/>
                                            <w:left w:val="none" w:sz="0" w:space="0" w:color="auto"/>
                                            <w:bottom w:val="none" w:sz="0" w:space="0" w:color="auto"/>
                                            <w:right w:val="none" w:sz="0" w:space="0" w:color="auto"/>
                                          </w:divBdr>
                                        </w:div>
                                        <w:div w:id="2058697996">
                                          <w:marLeft w:val="0"/>
                                          <w:marRight w:val="0"/>
                                          <w:marTop w:val="0"/>
                                          <w:marBottom w:val="0"/>
                                          <w:divBdr>
                                            <w:top w:val="none" w:sz="0" w:space="0" w:color="auto"/>
                                            <w:left w:val="none" w:sz="0" w:space="0" w:color="auto"/>
                                            <w:bottom w:val="none" w:sz="0" w:space="0" w:color="auto"/>
                                            <w:right w:val="none" w:sz="0" w:space="0" w:color="auto"/>
                                          </w:divBdr>
                                        </w:div>
                                      </w:divsChild>
                                    </w:div>
                                    <w:div w:id="1312178404">
                                      <w:marLeft w:val="0"/>
                                      <w:marRight w:val="0"/>
                                      <w:marTop w:val="0"/>
                                      <w:marBottom w:val="0"/>
                                      <w:divBdr>
                                        <w:top w:val="none" w:sz="0" w:space="0" w:color="auto"/>
                                        <w:left w:val="none" w:sz="0" w:space="0" w:color="auto"/>
                                        <w:bottom w:val="none" w:sz="0" w:space="0" w:color="auto"/>
                                        <w:right w:val="none" w:sz="0" w:space="0" w:color="auto"/>
                                      </w:divBdr>
                                      <w:divsChild>
                                        <w:div w:id="1531065425">
                                          <w:marLeft w:val="0"/>
                                          <w:marRight w:val="0"/>
                                          <w:marTop w:val="120"/>
                                          <w:marBottom w:val="0"/>
                                          <w:divBdr>
                                            <w:top w:val="none" w:sz="0" w:space="0" w:color="auto"/>
                                            <w:left w:val="none" w:sz="0" w:space="0" w:color="auto"/>
                                            <w:bottom w:val="none" w:sz="0" w:space="0" w:color="auto"/>
                                            <w:right w:val="none" w:sz="0" w:space="0" w:color="auto"/>
                                          </w:divBdr>
                                        </w:div>
                                        <w:div w:id="316155011">
                                          <w:marLeft w:val="0"/>
                                          <w:marRight w:val="0"/>
                                          <w:marTop w:val="0"/>
                                          <w:marBottom w:val="0"/>
                                          <w:divBdr>
                                            <w:top w:val="none" w:sz="0" w:space="0" w:color="auto"/>
                                            <w:left w:val="none" w:sz="0" w:space="0" w:color="auto"/>
                                            <w:bottom w:val="none" w:sz="0" w:space="0" w:color="auto"/>
                                            <w:right w:val="none" w:sz="0" w:space="0" w:color="auto"/>
                                          </w:divBdr>
                                        </w:div>
                                      </w:divsChild>
                                    </w:div>
                                    <w:div w:id="395130308">
                                      <w:marLeft w:val="0"/>
                                      <w:marRight w:val="0"/>
                                      <w:marTop w:val="0"/>
                                      <w:marBottom w:val="0"/>
                                      <w:divBdr>
                                        <w:top w:val="none" w:sz="0" w:space="0" w:color="auto"/>
                                        <w:left w:val="none" w:sz="0" w:space="0" w:color="auto"/>
                                        <w:bottom w:val="none" w:sz="0" w:space="0" w:color="auto"/>
                                        <w:right w:val="none" w:sz="0" w:space="0" w:color="auto"/>
                                      </w:divBdr>
                                      <w:divsChild>
                                        <w:div w:id="2102866913">
                                          <w:marLeft w:val="0"/>
                                          <w:marRight w:val="0"/>
                                          <w:marTop w:val="120"/>
                                          <w:marBottom w:val="0"/>
                                          <w:divBdr>
                                            <w:top w:val="none" w:sz="0" w:space="0" w:color="auto"/>
                                            <w:left w:val="none" w:sz="0" w:space="0" w:color="auto"/>
                                            <w:bottom w:val="none" w:sz="0" w:space="0" w:color="auto"/>
                                            <w:right w:val="none" w:sz="0" w:space="0" w:color="auto"/>
                                          </w:divBdr>
                                        </w:div>
                                        <w:div w:id="13737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241470">
                              <w:marLeft w:val="0"/>
                              <w:marRight w:val="0"/>
                              <w:marTop w:val="0"/>
                              <w:marBottom w:val="0"/>
                              <w:divBdr>
                                <w:top w:val="none" w:sz="0" w:space="0" w:color="auto"/>
                                <w:left w:val="none" w:sz="0" w:space="0" w:color="auto"/>
                                <w:bottom w:val="none" w:sz="0" w:space="0" w:color="auto"/>
                                <w:right w:val="none" w:sz="0" w:space="0" w:color="auto"/>
                              </w:divBdr>
                              <w:divsChild>
                                <w:div w:id="1466461300">
                                  <w:marLeft w:val="0"/>
                                  <w:marRight w:val="0"/>
                                  <w:marTop w:val="0"/>
                                  <w:marBottom w:val="0"/>
                                  <w:divBdr>
                                    <w:top w:val="none" w:sz="0" w:space="0" w:color="auto"/>
                                    <w:left w:val="none" w:sz="0" w:space="0" w:color="auto"/>
                                    <w:bottom w:val="none" w:sz="0" w:space="0" w:color="auto"/>
                                    <w:right w:val="none" w:sz="0" w:space="0" w:color="auto"/>
                                  </w:divBdr>
                                </w:div>
                              </w:divsChild>
                            </w:div>
                            <w:div w:id="625433560">
                              <w:marLeft w:val="0"/>
                              <w:marRight w:val="0"/>
                              <w:marTop w:val="0"/>
                              <w:marBottom w:val="0"/>
                              <w:divBdr>
                                <w:top w:val="none" w:sz="0" w:space="0" w:color="auto"/>
                                <w:left w:val="none" w:sz="0" w:space="0" w:color="auto"/>
                                <w:bottom w:val="none" w:sz="0" w:space="0" w:color="auto"/>
                                <w:right w:val="none" w:sz="0" w:space="0" w:color="auto"/>
                              </w:divBdr>
                              <w:divsChild>
                                <w:div w:id="1206285498">
                                  <w:marLeft w:val="0"/>
                                  <w:marRight w:val="0"/>
                                  <w:marTop w:val="0"/>
                                  <w:marBottom w:val="0"/>
                                  <w:divBdr>
                                    <w:top w:val="none" w:sz="0" w:space="0" w:color="auto"/>
                                    <w:left w:val="none" w:sz="0" w:space="0" w:color="auto"/>
                                    <w:bottom w:val="none" w:sz="0" w:space="0" w:color="auto"/>
                                    <w:right w:val="none" w:sz="0" w:space="0" w:color="auto"/>
                                  </w:divBdr>
                                  <w:divsChild>
                                    <w:div w:id="1134834483">
                                      <w:marLeft w:val="0"/>
                                      <w:marRight w:val="0"/>
                                      <w:marTop w:val="0"/>
                                      <w:marBottom w:val="0"/>
                                      <w:divBdr>
                                        <w:top w:val="none" w:sz="0" w:space="0" w:color="auto"/>
                                        <w:left w:val="none" w:sz="0" w:space="0" w:color="auto"/>
                                        <w:bottom w:val="none" w:sz="0" w:space="0" w:color="auto"/>
                                        <w:right w:val="none" w:sz="0" w:space="0" w:color="auto"/>
                                      </w:divBdr>
                                      <w:divsChild>
                                        <w:div w:id="1653678950">
                                          <w:marLeft w:val="0"/>
                                          <w:marRight w:val="0"/>
                                          <w:marTop w:val="120"/>
                                          <w:marBottom w:val="0"/>
                                          <w:divBdr>
                                            <w:top w:val="none" w:sz="0" w:space="0" w:color="auto"/>
                                            <w:left w:val="none" w:sz="0" w:space="0" w:color="auto"/>
                                            <w:bottom w:val="none" w:sz="0" w:space="0" w:color="auto"/>
                                            <w:right w:val="none" w:sz="0" w:space="0" w:color="auto"/>
                                          </w:divBdr>
                                        </w:div>
                                        <w:div w:id="248856789">
                                          <w:marLeft w:val="0"/>
                                          <w:marRight w:val="0"/>
                                          <w:marTop w:val="0"/>
                                          <w:marBottom w:val="0"/>
                                          <w:divBdr>
                                            <w:top w:val="none" w:sz="0" w:space="0" w:color="auto"/>
                                            <w:left w:val="none" w:sz="0" w:space="0" w:color="auto"/>
                                            <w:bottom w:val="none" w:sz="0" w:space="0" w:color="auto"/>
                                            <w:right w:val="none" w:sz="0" w:space="0" w:color="auto"/>
                                          </w:divBdr>
                                        </w:div>
                                      </w:divsChild>
                                    </w:div>
                                    <w:div w:id="849954035">
                                      <w:marLeft w:val="0"/>
                                      <w:marRight w:val="0"/>
                                      <w:marTop w:val="0"/>
                                      <w:marBottom w:val="0"/>
                                      <w:divBdr>
                                        <w:top w:val="none" w:sz="0" w:space="0" w:color="auto"/>
                                        <w:left w:val="none" w:sz="0" w:space="0" w:color="auto"/>
                                        <w:bottom w:val="none" w:sz="0" w:space="0" w:color="auto"/>
                                        <w:right w:val="none" w:sz="0" w:space="0" w:color="auto"/>
                                      </w:divBdr>
                                      <w:divsChild>
                                        <w:div w:id="893390190">
                                          <w:marLeft w:val="0"/>
                                          <w:marRight w:val="0"/>
                                          <w:marTop w:val="120"/>
                                          <w:marBottom w:val="0"/>
                                          <w:divBdr>
                                            <w:top w:val="none" w:sz="0" w:space="0" w:color="auto"/>
                                            <w:left w:val="none" w:sz="0" w:space="0" w:color="auto"/>
                                            <w:bottom w:val="none" w:sz="0" w:space="0" w:color="auto"/>
                                            <w:right w:val="none" w:sz="0" w:space="0" w:color="auto"/>
                                          </w:divBdr>
                                        </w:div>
                                        <w:div w:id="909582560">
                                          <w:marLeft w:val="0"/>
                                          <w:marRight w:val="0"/>
                                          <w:marTop w:val="0"/>
                                          <w:marBottom w:val="0"/>
                                          <w:divBdr>
                                            <w:top w:val="none" w:sz="0" w:space="0" w:color="auto"/>
                                            <w:left w:val="none" w:sz="0" w:space="0" w:color="auto"/>
                                            <w:bottom w:val="none" w:sz="0" w:space="0" w:color="auto"/>
                                            <w:right w:val="none" w:sz="0" w:space="0" w:color="auto"/>
                                          </w:divBdr>
                                        </w:div>
                                      </w:divsChild>
                                    </w:div>
                                    <w:div w:id="1419212717">
                                      <w:marLeft w:val="0"/>
                                      <w:marRight w:val="0"/>
                                      <w:marTop w:val="0"/>
                                      <w:marBottom w:val="0"/>
                                      <w:divBdr>
                                        <w:top w:val="none" w:sz="0" w:space="0" w:color="auto"/>
                                        <w:left w:val="none" w:sz="0" w:space="0" w:color="auto"/>
                                        <w:bottom w:val="none" w:sz="0" w:space="0" w:color="auto"/>
                                        <w:right w:val="none" w:sz="0" w:space="0" w:color="auto"/>
                                      </w:divBdr>
                                      <w:divsChild>
                                        <w:div w:id="1058747291">
                                          <w:marLeft w:val="0"/>
                                          <w:marRight w:val="0"/>
                                          <w:marTop w:val="120"/>
                                          <w:marBottom w:val="0"/>
                                          <w:divBdr>
                                            <w:top w:val="none" w:sz="0" w:space="0" w:color="auto"/>
                                            <w:left w:val="none" w:sz="0" w:space="0" w:color="auto"/>
                                            <w:bottom w:val="none" w:sz="0" w:space="0" w:color="auto"/>
                                            <w:right w:val="none" w:sz="0" w:space="0" w:color="auto"/>
                                          </w:divBdr>
                                        </w:div>
                                        <w:div w:id="130018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598720">
                              <w:marLeft w:val="0"/>
                              <w:marRight w:val="0"/>
                              <w:marTop w:val="0"/>
                              <w:marBottom w:val="0"/>
                              <w:divBdr>
                                <w:top w:val="none" w:sz="0" w:space="0" w:color="auto"/>
                                <w:left w:val="none" w:sz="0" w:space="0" w:color="auto"/>
                                <w:bottom w:val="none" w:sz="0" w:space="0" w:color="auto"/>
                                <w:right w:val="none" w:sz="0" w:space="0" w:color="auto"/>
                              </w:divBdr>
                              <w:divsChild>
                                <w:div w:id="1095325402">
                                  <w:marLeft w:val="0"/>
                                  <w:marRight w:val="0"/>
                                  <w:marTop w:val="0"/>
                                  <w:marBottom w:val="0"/>
                                  <w:divBdr>
                                    <w:top w:val="none" w:sz="0" w:space="0" w:color="auto"/>
                                    <w:left w:val="none" w:sz="0" w:space="0" w:color="auto"/>
                                    <w:bottom w:val="none" w:sz="0" w:space="0" w:color="auto"/>
                                    <w:right w:val="none" w:sz="0" w:space="0" w:color="auto"/>
                                  </w:divBdr>
                                  <w:divsChild>
                                    <w:div w:id="1555235533">
                                      <w:marLeft w:val="0"/>
                                      <w:marRight w:val="0"/>
                                      <w:marTop w:val="0"/>
                                      <w:marBottom w:val="0"/>
                                      <w:divBdr>
                                        <w:top w:val="none" w:sz="0" w:space="0" w:color="auto"/>
                                        <w:left w:val="none" w:sz="0" w:space="0" w:color="auto"/>
                                        <w:bottom w:val="none" w:sz="0" w:space="0" w:color="auto"/>
                                        <w:right w:val="none" w:sz="0" w:space="0" w:color="auto"/>
                                      </w:divBdr>
                                      <w:divsChild>
                                        <w:div w:id="247732408">
                                          <w:marLeft w:val="0"/>
                                          <w:marRight w:val="0"/>
                                          <w:marTop w:val="120"/>
                                          <w:marBottom w:val="0"/>
                                          <w:divBdr>
                                            <w:top w:val="none" w:sz="0" w:space="0" w:color="auto"/>
                                            <w:left w:val="none" w:sz="0" w:space="0" w:color="auto"/>
                                            <w:bottom w:val="none" w:sz="0" w:space="0" w:color="auto"/>
                                            <w:right w:val="none" w:sz="0" w:space="0" w:color="auto"/>
                                          </w:divBdr>
                                        </w:div>
                                        <w:div w:id="1381594449">
                                          <w:marLeft w:val="0"/>
                                          <w:marRight w:val="0"/>
                                          <w:marTop w:val="0"/>
                                          <w:marBottom w:val="0"/>
                                          <w:divBdr>
                                            <w:top w:val="none" w:sz="0" w:space="0" w:color="auto"/>
                                            <w:left w:val="none" w:sz="0" w:space="0" w:color="auto"/>
                                            <w:bottom w:val="none" w:sz="0" w:space="0" w:color="auto"/>
                                            <w:right w:val="none" w:sz="0" w:space="0" w:color="auto"/>
                                          </w:divBdr>
                                        </w:div>
                                      </w:divsChild>
                                    </w:div>
                                    <w:div w:id="1887139353">
                                      <w:marLeft w:val="0"/>
                                      <w:marRight w:val="0"/>
                                      <w:marTop w:val="0"/>
                                      <w:marBottom w:val="0"/>
                                      <w:divBdr>
                                        <w:top w:val="none" w:sz="0" w:space="0" w:color="auto"/>
                                        <w:left w:val="none" w:sz="0" w:space="0" w:color="auto"/>
                                        <w:bottom w:val="none" w:sz="0" w:space="0" w:color="auto"/>
                                        <w:right w:val="none" w:sz="0" w:space="0" w:color="auto"/>
                                      </w:divBdr>
                                      <w:divsChild>
                                        <w:div w:id="1882277524">
                                          <w:marLeft w:val="0"/>
                                          <w:marRight w:val="0"/>
                                          <w:marTop w:val="120"/>
                                          <w:marBottom w:val="0"/>
                                          <w:divBdr>
                                            <w:top w:val="none" w:sz="0" w:space="0" w:color="auto"/>
                                            <w:left w:val="none" w:sz="0" w:space="0" w:color="auto"/>
                                            <w:bottom w:val="none" w:sz="0" w:space="0" w:color="auto"/>
                                            <w:right w:val="none" w:sz="0" w:space="0" w:color="auto"/>
                                          </w:divBdr>
                                        </w:div>
                                        <w:div w:id="681126184">
                                          <w:marLeft w:val="0"/>
                                          <w:marRight w:val="0"/>
                                          <w:marTop w:val="0"/>
                                          <w:marBottom w:val="0"/>
                                          <w:divBdr>
                                            <w:top w:val="none" w:sz="0" w:space="0" w:color="auto"/>
                                            <w:left w:val="none" w:sz="0" w:space="0" w:color="auto"/>
                                            <w:bottom w:val="none" w:sz="0" w:space="0" w:color="auto"/>
                                            <w:right w:val="none" w:sz="0" w:space="0" w:color="auto"/>
                                          </w:divBdr>
                                        </w:div>
                                      </w:divsChild>
                                    </w:div>
                                    <w:div w:id="615793550">
                                      <w:marLeft w:val="0"/>
                                      <w:marRight w:val="0"/>
                                      <w:marTop w:val="0"/>
                                      <w:marBottom w:val="0"/>
                                      <w:divBdr>
                                        <w:top w:val="none" w:sz="0" w:space="0" w:color="auto"/>
                                        <w:left w:val="none" w:sz="0" w:space="0" w:color="auto"/>
                                        <w:bottom w:val="none" w:sz="0" w:space="0" w:color="auto"/>
                                        <w:right w:val="none" w:sz="0" w:space="0" w:color="auto"/>
                                      </w:divBdr>
                                      <w:divsChild>
                                        <w:div w:id="935402749">
                                          <w:marLeft w:val="0"/>
                                          <w:marRight w:val="0"/>
                                          <w:marTop w:val="120"/>
                                          <w:marBottom w:val="0"/>
                                          <w:divBdr>
                                            <w:top w:val="none" w:sz="0" w:space="0" w:color="auto"/>
                                            <w:left w:val="none" w:sz="0" w:space="0" w:color="auto"/>
                                            <w:bottom w:val="none" w:sz="0" w:space="0" w:color="auto"/>
                                            <w:right w:val="none" w:sz="0" w:space="0" w:color="auto"/>
                                          </w:divBdr>
                                        </w:div>
                                        <w:div w:id="710616698">
                                          <w:marLeft w:val="0"/>
                                          <w:marRight w:val="0"/>
                                          <w:marTop w:val="0"/>
                                          <w:marBottom w:val="0"/>
                                          <w:divBdr>
                                            <w:top w:val="none" w:sz="0" w:space="0" w:color="auto"/>
                                            <w:left w:val="none" w:sz="0" w:space="0" w:color="auto"/>
                                            <w:bottom w:val="none" w:sz="0" w:space="0" w:color="auto"/>
                                            <w:right w:val="none" w:sz="0" w:space="0" w:color="auto"/>
                                          </w:divBdr>
                                        </w:div>
                                      </w:divsChild>
                                    </w:div>
                                    <w:div w:id="216474608">
                                      <w:marLeft w:val="0"/>
                                      <w:marRight w:val="0"/>
                                      <w:marTop w:val="0"/>
                                      <w:marBottom w:val="0"/>
                                      <w:divBdr>
                                        <w:top w:val="none" w:sz="0" w:space="0" w:color="auto"/>
                                        <w:left w:val="none" w:sz="0" w:space="0" w:color="auto"/>
                                        <w:bottom w:val="none" w:sz="0" w:space="0" w:color="auto"/>
                                        <w:right w:val="none" w:sz="0" w:space="0" w:color="auto"/>
                                      </w:divBdr>
                                      <w:divsChild>
                                        <w:div w:id="755132661">
                                          <w:marLeft w:val="0"/>
                                          <w:marRight w:val="0"/>
                                          <w:marTop w:val="120"/>
                                          <w:marBottom w:val="0"/>
                                          <w:divBdr>
                                            <w:top w:val="none" w:sz="0" w:space="0" w:color="auto"/>
                                            <w:left w:val="none" w:sz="0" w:space="0" w:color="auto"/>
                                            <w:bottom w:val="none" w:sz="0" w:space="0" w:color="auto"/>
                                            <w:right w:val="none" w:sz="0" w:space="0" w:color="auto"/>
                                          </w:divBdr>
                                        </w:div>
                                        <w:div w:id="80585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115362">
                          <w:marLeft w:val="0"/>
                          <w:marRight w:val="0"/>
                          <w:marTop w:val="0"/>
                          <w:marBottom w:val="0"/>
                          <w:divBdr>
                            <w:top w:val="none" w:sz="0" w:space="0" w:color="auto"/>
                            <w:left w:val="none" w:sz="0" w:space="0" w:color="auto"/>
                            <w:bottom w:val="none" w:sz="0" w:space="0" w:color="auto"/>
                            <w:right w:val="none" w:sz="0" w:space="0" w:color="auto"/>
                          </w:divBdr>
                          <w:divsChild>
                            <w:div w:id="2113625060">
                              <w:marLeft w:val="0"/>
                              <w:marRight w:val="0"/>
                              <w:marTop w:val="0"/>
                              <w:marBottom w:val="0"/>
                              <w:divBdr>
                                <w:top w:val="none" w:sz="0" w:space="0" w:color="auto"/>
                                <w:left w:val="none" w:sz="0" w:space="0" w:color="auto"/>
                                <w:bottom w:val="none" w:sz="0" w:space="0" w:color="auto"/>
                                <w:right w:val="none" w:sz="0" w:space="0" w:color="auto"/>
                              </w:divBdr>
                            </w:div>
                            <w:div w:id="1136021761">
                              <w:marLeft w:val="0"/>
                              <w:marRight w:val="0"/>
                              <w:marTop w:val="0"/>
                              <w:marBottom w:val="0"/>
                              <w:divBdr>
                                <w:top w:val="none" w:sz="0" w:space="0" w:color="auto"/>
                                <w:left w:val="none" w:sz="0" w:space="0" w:color="auto"/>
                                <w:bottom w:val="none" w:sz="0" w:space="0" w:color="auto"/>
                                <w:right w:val="none" w:sz="0" w:space="0" w:color="auto"/>
                              </w:divBdr>
                              <w:divsChild>
                                <w:div w:id="1329334304">
                                  <w:marLeft w:val="0"/>
                                  <w:marRight w:val="0"/>
                                  <w:marTop w:val="0"/>
                                  <w:marBottom w:val="0"/>
                                  <w:divBdr>
                                    <w:top w:val="none" w:sz="0" w:space="0" w:color="auto"/>
                                    <w:left w:val="none" w:sz="0" w:space="0" w:color="auto"/>
                                    <w:bottom w:val="none" w:sz="0" w:space="0" w:color="auto"/>
                                    <w:right w:val="none" w:sz="0" w:space="0" w:color="auto"/>
                                  </w:divBdr>
                                </w:div>
                              </w:divsChild>
                            </w:div>
                            <w:div w:id="273052842">
                              <w:marLeft w:val="0"/>
                              <w:marRight w:val="0"/>
                              <w:marTop w:val="0"/>
                              <w:marBottom w:val="0"/>
                              <w:divBdr>
                                <w:top w:val="none" w:sz="0" w:space="0" w:color="auto"/>
                                <w:left w:val="none" w:sz="0" w:space="0" w:color="auto"/>
                                <w:bottom w:val="none" w:sz="0" w:space="0" w:color="auto"/>
                                <w:right w:val="none" w:sz="0" w:space="0" w:color="auto"/>
                              </w:divBdr>
                              <w:divsChild>
                                <w:div w:id="691346244">
                                  <w:marLeft w:val="0"/>
                                  <w:marRight w:val="0"/>
                                  <w:marTop w:val="0"/>
                                  <w:marBottom w:val="0"/>
                                  <w:divBdr>
                                    <w:top w:val="none" w:sz="0" w:space="0" w:color="auto"/>
                                    <w:left w:val="none" w:sz="0" w:space="0" w:color="auto"/>
                                    <w:bottom w:val="none" w:sz="0" w:space="0" w:color="auto"/>
                                    <w:right w:val="none" w:sz="0" w:space="0" w:color="auto"/>
                                  </w:divBdr>
                                </w:div>
                              </w:divsChild>
                            </w:div>
                            <w:div w:id="1336570219">
                              <w:marLeft w:val="0"/>
                              <w:marRight w:val="0"/>
                              <w:marTop w:val="0"/>
                              <w:marBottom w:val="0"/>
                              <w:divBdr>
                                <w:top w:val="none" w:sz="0" w:space="0" w:color="auto"/>
                                <w:left w:val="none" w:sz="0" w:space="0" w:color="auto"/>
                                <w:bottom w:val="none" w:sz="0" w:space="0" w:color="auto"/>
                                <w:right w:val="none" w:sz="0" w:space="0" w:color="auto"/>
                              </w:divBdr>
                              <w:divsChild>
                                <w:div w:id="1538738160">
                                  <w:marLeft w:val="0"/>
                                  <w:marRight w:val="0"/>
                                  <w:marTop w:val="0"/>
                                  <w:marBottom w:val="0"/>
                                  <w:divBdr>
                                    <w:top w:val="none" w:sz="0" w:space="0" w:color="auto"/>
                                    <w:left w:val="none" w:sz="0" w:space="0" w:color="auto"/>
                                    <w:bottom w:val="none" w:sz="0" w:space="0" w:color="auto"/>
                                    <w:right w:val="none" w:sz="0" w:space="0" w:color="auto"/>
                                  </w:divBdr>
                                </w:div>
                              </w:divsChild>
                            </w:div>
                            <w:div w:id="1793400864">
                              <w:marLeft w:val="0"/>
                              <w:marRight w:val="0"/>
                              <w:marTop w:val="0"/>
                              <w:marBottom w:val="0"/>
                              <w:divBdr>
                                <w:top w:val="none" w:sz="0" w:space="0" w:color="auto"/>
                                <w:left w:val="none" w:sz="0" w:space="0" w:color="auto"/>
                                <w:bottom w:val="none" w:sz="0" w:space="0" w:color="auto"/>
                                <w:right w:val="none" w:sz="0" w:space="0" w:color="auto"/>
                              </w:divBdr>
                              <w:divsChild>
                                <w:div w:id="1110078676">
                                  <w:marLeft w:val="0"/>
                                  <w:marRight w:val="0"/>
                                  <w:marTop w:val="120"/>
                                  <w:marBottom w:val="0"/>
                                  <w:divBdr>
                                    <w:top w:val="none" w:sz="0" w:space="0" w:color="auto"/>
                                    <w:left w:val="none" w:sz="0" w:space="0" w:color="auto"/>
                                    <w:bottom w:val="none" w:sz="0" w:space="0" w:color="auto"/>
                                    <w:right w:val="none" w:sz="0" w:space="0" w:color="auto"/>
                                  </w:divBdr>
                                </w:div>
                                <w:div w:id="564922825">
                                  <w:marLeft w:val="0"/>
                                  <w:marRight w:val="0"/>
                                  <w:marTop w:val="0"/>
                                  <w:marBottom w:val="0"/>
                                  <w:divBdr>
                                    <w:top w:val="none" w:sz="0" w:space="0" w:color="auto"/>
                                    <w:left w:val="none" w:sz="0" w:space="0" w:color="auto"/>
                                    <w:bottom w:val="none" w:sz="0" w:space="0" w:color="auto"/>
                                    <w:right w:val="none" w:sz="0" w:space="0" w:color="auto"/>
                                  </w:divBdr>
                                </w:div>
                              </w:divsChild>
                            </w:div>
                            <w:div w:id="1721586784">
                              <w:marLeft w:val="0"/>
                              <w:marRight w:val="0"/>
                              <w:marTop w:val="0"/>
                              <w:marBottom w:val="0"/>
                              <w:divBdr>
                                <w:top w:val="none" w:sz="0" w:space="0" w:color="auto"/>
                                <w:left w:val="none" w:sz="0" w:space="0" w:color="auto"/>
                                <w:bottom w:val="none" w:sz="0" w:space="0" w:color="auto"/>
                                <w:right w:val="none" w:sz="0" w:space="0" w:color="auto"/>
                              </w:divBdr>
                              <w:divsChild>
                                <w:div w:id="2104572122">
                                  <w:marLeft w:val="0"/>
                                  <w:marRight w:val="0"/>
                                  <w:marTop w:val="120"/>
                                  <w:marBottom w:val="0"/>
                                  <w:divBdr>
                                    <w:top w:val="none" w:sz="0" w:space="0" w:color="auto"/>
                                    <w:left w:val="none" w:sz="0" w:space="0" w:color="auto"/>
                                    <w:bottom w:val="none" w:sz="0" w:space="0" w:color="auto"/>
                                    <w:right w:val="none" w:sz="0" w:space="0" w:color="auto"/>
                                  </w:divBdr>
                                </w:div>
                                <w:div w:id="493037130">
                                  <w:marLeft w:val="0"/>
                                  <w:marRight w:val="0"/>
                                  <w:marTop w:val="0"/>
                                  <w:marBottom w:val="0"/>
                                  <w:divBdr>
                                    <w:top w:val="none" w:sz="0" w:space="0" w:color="auto"/>
                                    <w:left w:val="none" w:sz="0" w:space="0" w:color="auto"/>
                                    <w:bottom w:val="none" w:sz="0" w:space="0" w:color="auto"/>
                                    <w:right w:val="none" w:sz="0" w:space="0" w:color="auto"/>
                                  </w:divBdr>
                                </w:div>
                              </w:divsChild>
                            </w:div>
                            <w:div w:id="1540627458">
                              <w:marLeft w:val="0"/>
                              <w:marRight w:val="0"/>
                              <w:marTop w:val="0"/>
                              <w:marBottom w:val="0"/>
                              <w:divBdr>
                                <w:top w:val="none" w:sz="0" w:space="0" w:color="auto"/>
                                <w:left w:val="none" w:sz="0" w:space="0" w:color="auto"/>
                                <w:bottom w:val="none" w:sz="0" w:space="0" w:color="auto"/>
                                <w:right w:val="none" w:sz="0" w:space="0" w:color="auto"/>
                              </w:divBdr>
                              <w:divsChild>
                                <w:div w:id="438911316">
                                  <w:marLeft w:val="0"/>
                                  <w:marRight w:val="0"/>
                                  <w:marTop w:val="0"/>
                                  <w:marBottom w:val="0"/>
                                  <w:divBdr>
                                    <w:top w:val="none" w:sz="0" w:space="0" w:color="auto"/>
                                    <w:left w:val="none" w:sz="0" w:space="0" w:color="auto"/>
                                    <w:bottom w:val="none" w:sz="0" w:space="0" w:color="auto"/>
                                    <w:right w:val="none" w:sz="0" w:space="0" w:color="auto"/>
                                  </w:divBdr>
                                </w:div>
                              </w:divsChild>
                            </w:div>
                            <w:div w:id="586961411">
                              <w:marLeft w:val="0"/>
                              <w:marRight w:val="0"/>
                              <w:marTop w:val="0"/>
                              <w:marBottom w:val="0"/>
                              <w:divBdr>
                                <w:top w:val="none" w:sz="0" w:space="0" w:color="auto"/>
                                <w:left w:val="none" w:sz="0" w:space="0" w:color="auto"/>
                                <w:bottom w:val="none" w:sz="0" w:space="0" w:color="auto"/>
                                <w:right w:val="none" w:sz="0" w:space="0" w:color="auto"/>
                              </w:divBdr>
                              <w:divsChild>
                                <w:div w:id="1742215250">
                                  <w:marLeft w:val="0"/>
                                  <w:marRight w:val="0"/>
                                  <w:marTop w:val="0"/>
                                  <w:marBottom w:val="0"/>
                                  <w:divBdr>
                                    <w:top w:val="none" w:sz="0" w:space="0" w:color="auto"/>
                                    <w:left w:val="none" w:sz="0" w:space="0" w:color="auto"/>
                                    <w:bottom w:val="none" w:sz="0" w:space="0" w:color="auto"/>
                                    <w:right w:val="none" w:sz="0" w:space="0" w:color="auto"/>
                                  </w:divBdr>
                                  <w:divsChild>
                                    <w:div w:id="319891390">
                                      <w:marLeft w:val="0"/>
                                      <w:marRight w:val="0"/>
                                      <w:marTop w:val="0"/>
                                      <w:marBottom w:val="0"/>
                                      <w:divBdr>
                                        <w:top w:val="none" w:sz="0" w:space="0" w:color="auto"/>
                                        <w:left w:val="none" w:sz="0" w:space="0" w:color="auto"/>
                                        <w:bottom w:val="none" w:sz="0" w:space="0" w:color="auto"/>
                                        <w:right w:val="none" w:sz="0" w:space="0" w:color="auto"/>
                                      </w:divBdr>
                                      <w:divsChild>
                                        <w:div w:id="387653399">
                                          <w:marLeft w:val="0"/>
                                          <w:marRight w:val="0"/>
                                          <w:marTop w:val="120"/>
                                          <w:marBottom w:val="0"/>
                                          <w:divBdr>
                                            <w:top w:val="none" w:sz="0" w:space="0" w:color="auto"/>
                                            <w:left w:val="none" w:sz="0" w:space="0" w:color="auto"/>
                                            <w:bottom w:val="none" w:sz="0" w:space="0" w:color="auto"/>
                                            <w:right w:val="none" w:sz="0" w:space="0" w:color="auto"/>
                                          </w:divBdr>
                                        </w:div>
                                        <w:div w:id="1187909643">
                                          <w:marLeft w:val="0"/>
                                          <w:marRight w:val="0"/>
                                          <w:marTop w:val="0"/>
                                          <w:marBottom w:val="0"/>
                                          <w:divBdr>
                                            <w:top w:val="none" w:sz="0" w:space="0" w:color="auto"/>
                                            <w:left w:val="none" w:sz="0" w:space="0" w:color="auto"/>
                                            <w:bottom w:val="none" w:sz="0" w:space="0" w:color="auto"/>
                                            <w:right w:val="none" w:sz="0" w:space="0" w:color="auto"/>
                                          </w:divBdr>
                                        </w:div>
                                      </w:divsChild>
                                    </w:div>
                                    <w:div w:id="652292275">
                                      <w:marLeft w:val="0"/>
                                      <w:marRight w:val="0"/>
                                      <w:marTop w:val="0"/>
                                      <w:marBottom w:val="0"/>
                                      <w:divBdr>
                                        <w:top w:val="none" w:sz="0" w:space="0" w:color="auto"/>
                                        <w:left w:val="none" w:sz="0" w:space="0" w:color="auto"/>
                                        <w:bottom w:val="none" w:sz="0" w:space="0" w:color="auto"/>
                                        <w:right w:val="none" w:sz="0" w:space="0" w:color="auto"/>
                                      </w:divBdr>
                                      <w:divsChild>
                                        <w:div w:id="817040247">
                                          <w:marLeft w:val="0"/>
                                          <w:marRight w:val="0"/>
                                          <w:marTop w:val="120"/>
                                          <w:marBottom w:val="0"/>
                                          <w:divBdr>
                                            <w:top w:val="none" w:sz="0" w:space="0" w:color="auto"/>
                                            <w:left w:val="none" w:sz="0" w:space="0" w:color="auto"/>
                                            <w:bottom w:val="none" w:sz="0" w:space="0" w:color="auto"/>
                                            <w:right w:val="none" w:sz="0" w:space="0" w:color="auto"/>
                                          </w:divBdr>
                                        </w:div>
                                        <w:div w:id="1534686177">
                                          <w:marLeft w:val="0"/>
                                          <w:marRight w:val="0"/>
                                          <w:marTop w:val="0"/>
                                          <w:marBottom w:val="0"/>
                                          <w:divBdr>
                                            <w:top w:val="none" w:sz="0" w:space="0" w:color="auto"/>
                                            <w:left w:val="none" w:sz="0" w:space="0" w:color="auto"/>
                                            <w:bottom w:val="none" w:sz="0" w:space="0" w:color="auto"/>
                                            <w:right w:val="none" w:sz="0" w:space="0" w:color="auto"/>
                                          </w:divBdr>
                                        </w:div>
                                      </w:divsChild>
                                    </w:div>
                                    <w:div w:id="1025325007">
                                      <w:marLeft w:val="0"/>
                                      <w:marRight w:val="0"/>
                                      <w:marTop w:val="0"/>
                                      <w:marBottom w:val="0"/>
                                      <w:divBdr>
                                        <w:top w:val="none" w:sz="0" w:space="0" w:color="auto"/>
                                        <w:left w:val="none" w:sz="0" w:space="0" w:color="auto"/>
                                        <w:bottom w:val="none" w:sz="0" w:space="0" w:color="auto"/>
                                        <w:right w:val="none" w:sz="0" w:space="0" w:color="auto"/>
                                      </w:divBdr>
                                      <w:divsChild>
                                        <w:div w:id="1473446247">
                                          <w:marLeft w:val="0"/>
                                          <w:marRight w:val="0"/>
                                          <w:marTop w:val="120"/>
                                          <w:marBottom w:val="0"/>
                                          <w:divBdr>
                                            <w:top w:val="none" w:sz="0" w:space="0" w:color="auto"/>
                                            <w:left w:val="none" w:sz="0" w:space="0" w:color="auto"/>
                                            <w:bottom w:val="none" w:sz="0" w:space="0" w:color="auto"/>
                                            <w:right w:val="none" w:sz="0" w:space="0" w:color="auto"/>
                                          </w:divBdr>
                                        </w:div>
                                        <w:div w:id="1604147932">
                                          <w:marLeft w:val="0"/>
                                          <w:marRight w:val="0"/>
                                          <w:marTop w:val="0"/>
                                          <w:marBottom w:val="0"/>
                                          <w:divBdr>
                                            <w:top w:val="none" w:sz="0" w:space="0" w:color="auto"/>
                                            <w:left w:val="none" w:sz="0" w:space="0" w:color="auto"/>
                                            <w:bottom w:val="none" w:sz="0" w:space="0" w:color="auto"/>
                                            <w:right w:val="none" w:sz="0" w:space="0" w:color="auto"/>
                                          </w:divBdr>
                                        </w:div>
                                      </w:divsChild>
                                    </w:div>
                                    <w:div w:id="1598909012">
                                      <w:marLeft w:val="0"/>
                                      <w:marRight w:val="0"/>
                                      <w:marTop w:val="0"/>
                                      <w:marBottom w:val="0"/>
                                      <w:divBdr>
                                        <w:top w:val="none" w:sz="0" w:space="0" w:color="auto"/>
                                        <w:left w:val="none" w:sz="0" w:space="0" w:color="auto"/>
                                        <w:bottom w:val="none" w:sz="0" w:space="0" w:color="auto"/>
                                        <w:right w:val="none" w:sz="0" w:space="0" w:color="auto"/>
                                      </w:divBdr>
                                      <w:divsChild>
                                        <w:div w:id="676419405">
                                          <w:marLeft w:val="0"/>
                                          <w:marRight w:val="0"/>
                                          <w:marTop w:val="120"/>
                                          <w:marBottom w:val="0"/>
                                          <w:divBdr>
                                            <w:top w:val="none" w:sz="0" w:space="0" w:color="auto"/>
                                            <w:left w:val="none" w:sz="0" w:space="0" w:color="auto"/>
                                            <w:bottom w:val="none" w:sz="0" w:space="0" w:color="auto"/>
                                            <w:right w:val="none" w:sz="0" w:space="0" w:color="auto"/>
                                          </w:divBdr>
                                        </w:div>
                                        <w:div w:id="1332559322">
                                          <w:marLeft w:val="0"/>
                                          <w:marRight w:val="0"/>
                                          <w:marTop w:val="0"/>
                                          <w:marBottom w:val="0"/>
                                          <w:divBdr>
                                            <w:top w:val="none" w:sz="0" w:space="0" w:color="auto"/>
                                            <w:left w:val="none" w:sz="0" w:space="0" w:color="auto"/>
                                            <w:bottom w:val="none" w:sz="0" w:space="0" w:color="auto"/>
                                            <w:right w:val="none" w:sz="0" w:space="0" w:color="auto"/>
                                          </w:divBdr>
                                        </w:div>
                                      </w:divsChild>
                                    </w:div>
                                    <w:div w:id="1131751894">
                                      <w:marLeft w:val="0"/>
                                      <w:marRight w:val="0"/>
                                      <w:marTop w:val="0"/>
                                      <w:marBottom w:val="0"/>
                                      <w:divBdr>
                                        <w:top w:val="none" w:sz="0" w:space="0" w:color="auto"/>
                                        <w:left w:val="none" w:sz="0" w:space="0" w:color="auto"/>
                                        <w:bottom w:val="none" w:sz="0" w:space="0" w:color="auto"/>
                                        <w:right w:val="none" w:sz="0" w:space="0" w:color="auto"/>
                                      </w:divBdr>
                                      <w:divsChild>
                                        <w:div w:id="1278610291">
                                          <w:marLeft w:val="0"/>
                                          <w:marRight w:val="0"/>
                                          <w:marTop w:val="120"/>
                                          <w:marBottom w:val="0"/>
                                          <w:divBdr>
                                            <w:top w:val="none" w:sz="0" w:space="0" w:color="auto"/>
                                            <w:left w:val="none" w:sz="0" w:space="0" w:color="auto"/>
                                            <w:bottom w:val="none" w:sz="0" w:space="0" w:color="auto"/>
                                            <w:right w:val="none" w:sz="0" w:space="0" w:color="auto"/>
                                          </w:divBdr>
                                        </w:div>
                                        <w:div w:id="1326517320">
                                          <w:marLeft w:val="0"/>
                                          <w:marRight w:val="0"/>
                                          <w:marTop w:val="0"/>
                                          <w:marBottom w:val="0"/>
                                          <w:divBdr>
                                            <w:top w:val="none" w:sz="0" w:space="0" w:color="auto"/>
                                            <w:left w:val="none" w:sz="0" w:space="0" w:color="auto"/>
                                            <w:bottom w:val="none" w:sz="0" w:space="0" w:color="auto"/>
                                            <w:right w:val="none" w:sz="0" w:space="0" w:color="auto"/>
                                          </w:divBdr>
                                        </w:div>
                                      </w:divsChild>
                                    </w:div>
                                    <w:div w:id="628511033">
                                      <w:marLeft w:val="0"/>
                                      <w:marRight w:val="0"/>
                                      <w:marTop w:val="0"/>
                                      <w:marBottom w:val="0"/>
                                      <w:divBdr>
                                        <w:top w:val="none" w:sz="0" w:space="0" w:color="auto"/>
                                        <w:left w:val="none" w:sz="0" w:space="0" w:color="auto"/>
                                        <w:bottom w:val="none" w:sz="0" w:space="0" w:color="auto"/>
                                        <w:right w:val="none" w:sz="0" w:space="0" w:color="auto"/>
                                      </w:divBdr>
                                      <w:divsChild>
                                        <w:div w:id="338655932">
                                          <w:marLeft w:val="0"/>
                                          <w:marRight w:val="0"/>
                                          <w:marTop w:val="120"/>
                                          <w:marBottom w:val="0"/>
                                          <w:divBdr>
                                            <w:top w:val="none" w:sz="0" w:space="0" w:color="auto"/>
                                            <w:left w:val="none" w:sz="0" w:space="0" w:color="auto"/>
                                            <w:bottom w:val="none" w:sz="0" w:space="0" w:color="auto"/>
                                            <w:right w:val="none" w:sz="0" w:space="0" w:color="auto"/>
                                          </w:divBdr>
                                        </w:div>
                                        <w:div w:id="461579985">
                                          <w:marLeft w:val="0"/>
                                          <w:marRight w:val="0"/>
                                          <w:marTop w:val="0"/>
                                          <w:marBottom w:val="0"/>
                                          <w:divBdr>
                                            <w:top w:val="none" w:sz="0" w:space="0" w:color="auto"/>
                                            <w:left w:val="none" w:sz="0" w:space="0" w:color="auto"/>
                                            <w:bottom w:val="none" w:sz="0" w:space="0" w:color="auto"/>
                                            <w:right w:val="none" w:sz="0" w:space="0" w:color="auto"/>
                                          </w:divBdr>
                                        </w:div>
                                      </w:divsChild>
                                    </w:div>
                                    <w:div w:id="1783451600">
                                      <w:marLeft w:val="0"/>
                                      <w:marRight w:val="0"/>
                                      <w:marTop w:val="0"/>
                                      <w:marBottom w:val="0"/>
                                      <w:divBdr>
                                        <w:top w:val="none" w:sz="0" w:space="0" w:color="auto"/>
                                        <w:left w:val="none" w:sz="0" w:space="0" w:color="auto"/>
                                        <w:bottom w:val="none" w:sz="0" w:space="0" w:color="auto"/>
                                        <w:right w:val="none" w:sz="0" w:space="0" w:color="auto"/>
                                      </w:divBdr>
                                      <w:divsChild>
                                        <w:div w:id="164512269">
                                          <w:marLeft w:val="0"/>
                                          <w:marRight w:val="0"/>
                                          <w:marTop w:val="120"/>
                                          <w:marBottom w:val="0"/>
                                          <w:divBdr>
                                            <w:top w:val="none" w:sz="0" w:space="0" w:color="auto"/>
                                            <w:left w:val="none" w:sz="0" w:space="0" w:color="auto"/>
                                            <w:bottom w:val="none" w:sz="0" w:space="0" w:color="auto"/>
                                            <w:right w:val="none" w:sz="0" w:space="0" w:color="auto"/>
                                          </w:divBdr>
                                        </w:div>
                                        <w:div w:id="2005473481">
                                          <w:marLeft w:val="0"/>
                                          <w:marRight w:val="0"/>
                                          <w:marTop w:val="0"/>
                                          <w:marBottom w:val="0"/>
                                          <w:divBdr>
                                            <w:top w:val="none" w:sz="0" w:space="0" w:color="auto"/>
                                            <w:left w:val="none" w:sz="0" w:space="0" w:color="auto"/>
                                            <w:bottom w:val="none" w:sz="0" w:space="0" w:color="auto"/>
                                            <w:right w:val="none" w:sz="0" w:space="0" w:color="auto"/>
                                          </w:divBdr>
                                        </w:div>
                                      </w:divsChild>
                                    </w:div>
                                    <w:div w:id="1950966812">
                                      <w:marLeft w:val="0"/>
                                      <w:marRight w:val="0"/>
                                      <w:marTop w:val="0"/>
                                      <w:marBottom w:val="0"/>
                                      <w:divBdr>
                                        <w:top w:val="none" w:sz="0" w:space="0" w:color="auto"/>
                                        <w:left w:val="none" w:sz="0" w:space="0" w:color="auto"/>
                                        <w:bottom w:val="none" w:sz="0" w:space="0" w:color="auto"/>
                                        <w:right w:val="none" w:sz="0" w:space="0" w:color="auto"/>
                                      </w:divBdr>
                                      <w:divsChild>
                                        <w:div w:id="74593304">
                                          <w:marLeft w:val="0"/>
                                          <w:marRight w:val="0"/>
                                          <w:marTop w:val="120"/>
                                          <w:marBottom w:val="0"/>
                                          <w:divBdr>
                                            <w:top w:val="none" w:sz="0" w:space="0" w:color="auto"/>
                                            <w:left w:val="none" w:sz="0" w:space="0" w:color="auto"/>
                                            <w:bottom w:val="none" w:sz="0" w:space="0" w:color="auto"/>
                                            <w:right w:val="none" w:sz="0" w:space="0" w:color="auto"/>
                                          </w:divBdr>
                                        </w:div>
                                        <w:div w:id="382487240">
                                          <w:marLeft w:val="0"/>
                                          <w:marRight w:val="0"/>
                                          <w:marTop w:val="0"/>
                                          <w:marBottom w:val="0"/>
                                          <w:divBdr>
                                            <w:top w:val="none" w:sz="0" w:space="0" w:color="auto"/>
                                            <w:left w:val="none" w:sz="0" w:space="0" w:color="auto"/>
                                            <w:bottom w:val="none" w:sz="0" w:space="0" w:color="auto"/>
                                            <w:right w:val="none" w:sz="0" w:space="0" w:color="auto"/>
                                          </w:divBdr>
                                        </w:div>
                                      </w:divsChild>
                                    </w:div>
                                    <w:div w:id="146939918">
                                      <w:marLeft w:val="0"/>
                                      <w:marRight w:val="0"/>
                                      <w:marTop w:val="0"/>
                                      <w:marBottom w:val="0"/>
                                      <w:divBdr>
                                        <w:top w:val="none" w:sz="0" w:space="0" w:color="auto"/>
                                        <w:left w:val="none" w:sz="0" w:space="0" w:color="auto"/>
                                        <w:bottom w:val="none" w:sz="0" w:space="0" w:color="auto"/>
                                        <w:right w:val="none" w:sz="0" w:space="0" w:color="auto"/>
                                      </w:divBdr>
                                      <w:divsChild>
                                        <w:div w:id="725568885">
                                          <w:marLeft w:val="0"/>
                                          <w:marRight w:val="0"/>
                                          <w:marTop w:val="120"/>
                                          <w:marBottom w:val="0"/>
                                          <w:divBdr>
                                            <w:top w:val="none" w:sz="0" w:space="0" w:color="auto"/>
                                            <w:left w:val="none" w:sz="0" w:space="0" w:color="auto"/>
                                            <w:bottom w:val="none" w:sz="0" w:space="0" w:color="auto"/>
                                            <w:right w:val="none" w:sz="0" w:space="0" w:color="auto"/>
                                          </w:divBdr>
                                        </w:div>
                                        <w:div w:id="257566216">
                                          <w:marLeft w:val="0"/>
                                          <w:marRight w:val="0"/>
                                          <w:marTop w:val="0"/>
                                          <w:marBottom w:val="0"/>
                                          <w:divBdr>
                                            <w:top w:val="none" w:sz="0" w:space="0" w:color="auto"/>
                                            <w:left w:val="none" w:sz="0" w:space="0" w:color="auto"/>
                                            <w:bottom w:val="none" w:sz="0" w:space="0" w:color="auto"/>
                                            <w:right w:val="none" w:sz="0" w:space="0" w:color="auto"/>
                                          </w:divBdr>
                                        </w:div>
                                      </w:divsChild>
                                    </w:div>
                                    <w:div w:id="1340888471">
                                      <w:marLeft w:val="0"/>
                                      <w:marRight w:val="0"/>
                                      <w:marTop w:val="0"/>
                                      <w:marBottom w:val="0"/>
                                      <w:divBdr>
                                        <w:top w:val="none" w:sz="0" w:space="0" w:color="auto"/>
                                        <w:left w:val="none" w:sz="0" w:space="0" w:color="auto"/>
                                        <w:bottom w:val="none" w:sz="0" w:space="0" w:color="auto"/>
                                        <w:right w:val="none" w:sz="0" w:space="0" w:color="auto"/>
                                      </w:divBdr>
                                      <w:divsChild>
                                        <w:div w:id="1029449863">
                                          <w:marLeft w:val="0"/>
                                          <w:marRight w:val="0"/>
                                          <w:marTop w:val="120"/>
                                          <w:marBottom w:val="0"/>
                                          <w:divBdr>
                                            <w:top w:val="none" w:sz="0" w:space="0" w:color="auto"/>
                                            <w:left w:val="none" w:sz="0" w:space="0" w:color="auto"/>
                                            <w:bottom w:val="none" w:sz="0" w:space="0" w:color="auto"/>
                                            <w:right w:val="none" w:sz="0" w:space="0" w:color="auto"/>
                                          </w:divBdr>
                                        </w:div>
                                        <w:div w:id="1208177265">
                                          <w:marLeft w:val="0"/>
                                          <w:marRight w:val="0"/>
                                          <w:marTop w:val="0"/>
                                          <w:marBottom w:val="0"/>
                                          <w:divBdr>
                                            <w:top w:val="none" w:sz="0" w:space="0" w:color="auto"/>
                                            <w:left w:val="none" w:sz="0" w:space="0" w:color="auto"/>
                                            <w:bottom w:val="none" w:sz="0" w:space="0" w:color="auto"/>
                                            <w:right w:val="none" w:sz="0" w:space="0" w:color="auto"/>
                                          </w:divBdr>
                                        </w:div>
                                      </w:divsChild>
                                    </w:div>
                                    <w:div w:id="667975431">
                                      <w:marLeft w:val="0"/>
                                      <w:marRight w:val="0"/>
                                      <w:marTop w:val="0"/>
                                      <w:marBottom w:val="0"/>
                                      <w:divBdr>
                                        <w:top w:val="none" w:sz="0" w:space="0" w:color="auto"/>
                                        <w:left w:val="none" w:sz="0" w:space="0" w:color="auto"/>
                                        <w:bottom w:val="none" w:sz="0" w:space="0" w:color="auto"/>
                                        <w:right w:val="none" w:sz="0" w:space="0" w:color="auto"/>
                                      </w:divBdr>
                                      <w:divsChild>
                                        <w:div w:id="354380384">
                                          <w:marLeft w:val="0"/>
                                          <w:marRight w:val="0"/>
                                          <w:marTop w:val="120"/>
                                          <w:marBottom w:val="0"/>
                                          <w:divBdr>
                                            <w:top w:val="none" w:sz="0" w:space="0" w:color="auto"/>
                                            <w:left w:val="none" w:sz="0" w:space="0" w:color="auto"/>
                                            <w:bottom w:val="none" w:sz="0" w:space="0" w:color="auto"/>
                                            <w:right w:val="none" w:sz="0" w:space="0" w:color="auto"/>
                                          </w:divBdr>
                                        </w:div>
                                        <w:div w:id="71975431">
                                          <w:marLeft w:val="0"/>
                                          <w:marRight w:val="0"/>
                                          <w:marTop w:val="0"/>
                                          <w:marBottom w:val="0"/>
                                          <w:divBdr>
                                            <w:top w:val="none" w:sz="0" w:space="0" w:color="auto"/>
                                            <w:left w:val="none" w:sz="0" w:space="0" w:color="auto"/>
                                            <w:bottom w:val="none" w:sz="0" w:space="0" w:color="auto"/>
                                            <w:right w:val="none" w:sz="0" w:space="0" w:color="auto"/>
                                          </w:divBdr>
                                        </w:div>
                                      </w:divsChild>
                                    </w:div>
                                    <w:div w:id="1277131435">
                                      <w:marLeft w:val="0"/>
                                      <w:marRight w:val="0"/>
                                      <w:marTop w:val="0"/>
                                      <w:marBottom w:val="0"/>
                                      <w:divBdr>
                                        <w:top w:val="none" w:sz="0" w:space="0" w:color="auto"/>
                                        <w:left w:val="none" w:sz="0" w:space="0" w:color="auto"/>
                                        <w:bottom w:val="none" w:sz="0" w:space="0" w:color="auto"/>
                                        <w:right w:val="none" w:sz="0" w:space="0" w:color="auto"/>
                                      </w:divBdr>
                                      <w:divsChild>
                                        <w:div w:id="1717853138">
                                          <w:marLeft w:val="0"/>
                                          <w:marRight w:val="0"/>
                                          <w:marTop w:val="120"/>
                                          <w:marBottom w:val="0"/>
                                          <w:divBdr>
                                            <w:top w:val="none" w:sz="0" w:space="0" w:color="auto"/>
                                            <w:left w:val="none" w:sz="0" w:space="0" w:color="auto"/>
                                            <w:bottom w:val="none" w:sz="0" w:space="0" w:color="auto"/>
                                            <w:right w:val="none" w:sz="0" w:space="0" w:color="auto"/>
                                          </w:divBdr>
                                        </w:div>
                                        <w:div w:id="876041384">
                                          <w:marLeft w:val="0"/>
                                          <w:marRight w:val="0"/>
                                          <w:marTop w:val="0"/>
                                          <w:marBottom w:val="0"/>
                                          <w:divBdr>
                                            <w:top w:val="none" w:sz="0" w:space="0" w:color="auto"/>
                                            <w:left w:val="none" w:sz="0" w:space="0" w:color="auto"/>
                                            <w:bottom w:val="none" w:sz="0" w:space="0" w:color="auto"/>
                                            <w:right w:val="none" w:sz="0" w:space="0" w:color="auto"/>
                                          </w:divBdr>
                                          <w:divsChild>
                                            <w:div w:id="682976624">
                                              <w:marLeft w:val="0"/>
                                              <w:marRight w:val="0"/>
                                              <w:marTop w:val="0"/>
                                              <w:marBottom w:val="0"/>
                                              <w:divBdr>
                                                <w:top w:val="none" w:sz="0" w:space="0" w:color="auto"/>
                                                <w:left w:val="none" w:sz="0" w:space="0" w:color="auto"/>
                                                <w:bottom w:val="none" w:sz="0" w:space="0" w:color="auto"/>
                                                <w:right w:val="none" w:sz="0" w:space="0" w:color="auto"/>
                                              </w:divBdr>
                                              <w:divsChild>
                                                <w:div w:id="724836961">
                                                  <w:marLeft w:val="0"/>
                                                  <w:marRight w:val="0"/>
                                                  <w:marTop w:val="120"/>
                                                  <w:marBottom w:val="0"/>
                                                  <w:divBdr>
                                                    <w:top w:val="none" w:sz="0" w:space="0" w:color="auto"/>
                                                    <w:left w:val="none" w:sz="0" w:space="0" w:color="auto"/>
                                                    <w:bottom w:val="none" w:sz="0" w:space="0" w:color="auto"/>
                                                    <w:right w:val="none" w:sz="0" w:space="0" w:color="auto"/>
                                                  </w:divBdr>
                                                </w:div>
                                                <w:div w:id="1719815625">
                                                  <w:marLeft w:val="0"/>
                                                  <w:marRight w:val="0"/>
                                                  <w:marTop w:val="0"/>
                                                  <w:marBottom w:val="0"/>
                                                  <w:divBdr>
                                                    <w:top w:val="none" w:sz="0" w:space="0" w:color="auto"/>
                                                    <w:left w:val="none" w:sz="0" w:space="0" w:color="auto"/>
                                                    <w:bottom w:val="none" w:sz="0" w:space="0" w:color="auto"/>
                                                    <w:right w:val="none" w:sz="0" w:space="0" w:color="auto"/>
                                                  </w:divBdr>
                                                </w:div>
                                              </w:divsChild>
                                            </w:div>
                                            <w:div w:id="268322162">
                                              <w:marLeft w:val="0"/>
                                              <w:marRight w:val="0"/>
                                              <w:marTop w:val="0"/>
                                              <w:marBottom w:val="0"/>
                                              <w:divBdr>
                                                <w:top w:val="none" w:sz="0" w:space="0" w:color="auto"/>
                                                <w:left w:val="none" w:sz="0" w:space="0" w:color="auto"/>
                                                <w:bottom w:val="none" w:sz="0" w:space="0" w:color="auto"/>
                                                <w:right w:val="none" w:sz="0" w:space="0" w:color="auto"/>
                                              </w:divBdr>
                                              <w:divsChild>
                                                <w:div w:id="344869619">
                                                  <w:marLeft w:val="0"/>
                                                  <w:marRight w:val="0"/>
                                                  <w:marTop w:val="120"/>
                                                  <w:marBottom w:val="0"/>
                                                  <w:divBdr>
                                                    <w:top w:val="none" w:sz="0" w:space="0" w:color="auto"/>
                                                    <w:left w:val="none" w:sz="0" w:space="0" w:color="auto"/>
                                                    <w:bottom w:val="none" w:sz="0" w:space="0" w:color="auto"/>
                                                    <w:right w:val="none" w:sz="0" w:space="0" w:color="auto"/>
                                                  </w:divBdr>
                                                </w:div>
                                                <w:div w:id="15571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167341">
                                      <w:marLeft w:val="0"/>
                                      <w:marRight w:val="0"/>
                                      <w:marTop w:val="0"/>
                                      <w:marBottom w:val="0"/>
                                      <w:divBdr>
                                        <w:top w:val="none" w:sz="0" w:space="0" w:color="auto"/>
                                        <w:left w:val="none" w:sz="0" w:space="0" w:color="auto"/>
                                        <w:bottom w:val="none" w:sz="0" w:space="0" w:color="auto"/>
                                        <w:right w:val="none" w:sz="0" w:space="0" w:color="auto"/>
                                      </w:divBdr>
                                      <w:divsChild>
                                        <w:div w:id="614943901">
                                          <w:marLeft w:val="0"/>
                                          <w:marRight w:val="0"/>
                                          <w:marTop w:val="120"/>
                                          <w:marBottom w:val="0"/>
                                          <w:divBdr>
                                            <w:top w:val="none" w:sz="0" w:space="0" w:color="auto"/>
                                            <w:left w:val="none" w:sz="0" w:space="0" w:color="auto"/>
                                            <w:bottom w:val="none" w:sz="0" w:space="0" w:color="auto"/>
                                            <w:right w:val="none" w:sz="0" w:space="0" w:color="auto"/>
                                          </w:divBdr>
                                        </w:div>
                                        <w:div w:id="104159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394138">
                              <w:marLeft w:val="0"/>
                              <w:marRight w:val="0"/>
                              <w:marTop w:val="0"/>
                              <w:marBottom w:val="0"/>
                              <w:divBdr>
                                <w:top w:val="none" w:sz="0" w:space="0" w:color="auto"/>
                                <w:left w:val="none" w:sz="0" w:space="0" w:color="auto"/>
                                <w:bottom w:val="none" w:sz="0" w:space="0" w:color="auto"/>
                                <w:right w:val="none" w:sz="0" w:space="0" w:color="auto"/>
                              </w:divBdr>
                              <w:divsChild>
                                <w:div w:id="2085299008">
                                  <w:marLeft w:val="0"/>
                                  <w:marRight w:val="0"/>
                                  <w:marTop w:val="0"/>
                                  <w:marBottom w:val="0"/>
                                  <w:divBdr>
                                    <w:top w:val="none" w:sz="0" w:space="0" w:color="auto"/>
                                    <w:left w:val="none" w:sz="0" w:space="0" w:color="auto"/>
                                    <w:bottom w:val="none" w:sz="0" w:space="0" w:color="auto"/>
                                    <w:right w:val="none" w:sz="0" w:space="0" w:color="auto"/>
                                  </w:divBdr>
                                  <w:divsChild>
                                    <w:div w:id="1746756050">
                                      <w:marLeft w:val="0"/>
                                      <w:marRight w:val="0"/>
                                      <w:marTop w:val="0"/>
                                      <w:marBottom w:val="0"/>
                                      <w:divBdr>
                                        <w:top w:val="none" w:sz="0" w:space="0" w:color="auto"/>
                                        <w:left w:val="none" w:sz="0" w:space="0" w:color="auto"/>
                                        <w:bottom w:val="none" w:sz="0" w:space="0" w:color="auto"/>
                                        <w:right w:val="none" w:sz="0" w:space="0" w:color="auto"/>
                                      </w:divBdr>
                                      <w:divsChild>
                                        <w:div w:id="1384672854">
                                          <w:marLeft w:val="0"/>
                                          <w:marRight w:val="0"/>
                                          <w:marTop w:val="120"/>
                                          <w:marBottom w:val="0"/>
                                          <w:divBdr>
                                            <w:top w:val="none" w:sz="0" w:space="0" w:color="auto"/>
                                            <w:left w:val="none" w:sz="0" w:space="0" w:color="auto"/>
                                            <w:bottom w:val="none" w:sz="0" w:space="0" w:color="auto"/>
                                            <w:right w:val="none" w:sz="0" w:space="0" w:color="auto"/>
                                          </w:divBdr>
                                        </w:div>
                                        <w:div w:id="107968820">
                                          <w:marLeft w:val="0"/>
                                          <w:marRight w:val="0"/>
                                          <w:marTop w:val="0"/>
                                          <w:marBottom w:val="0"/>
                                          <w:divBdr>
                                            <w:top w:val="none" w:sz="0" w:space="0" w:color="auto"/>
                                            <w:left w:val="none" w:sz="0" w:space="0" w:color="auto"/>
                                            <w:bottom w:val="none" w:sz="0" w:space="0" w:color="auto"/>
                                            <w:right w:val="none" w:sz="0" w:space="0" w:color="auto"/>
                                          </w:divBdr>
                                        </w:div>
                                      </w:divsChild>
                                    </w:div>
                                    <w:div w:id="1043945593">
                                      <w:marLeft w:val="0"/>
                                      <w:marRight w:val="0"/>
                                      <w:marTop w:val="0"/>
                                      <w:marBottom w:val="0"/>
                                      <w:divBdr>
                                        <w:top w:val="none" w:sz="0" w:space="0" w:color="auto"/>
                                        <w:left w:val="none" w:sz="0" w:space="0" w:color="auto"/>
                                        <w:bottom w:val="none" w:sz="0" w:space="0" w:color="auto"/>
                                        <w:right w:val="none" w:sz="0" w:space="0" w:color="auto"/>
                                      </w:divBdr>
                                      <w:divsChild>
                                        <w:div w:id="1645159770">
                                          <w:marLeft w:val="0"/>
                                          <w:marRight w:val="0"/>
                                          <w:marTop w:val="120"/>
                                          <w:marBottom w:val="0"/>
                                          <w:divBdr>
                                            <w:top w:val="none" w:sz="0" w:space="0" w:color="auto"/>
                                            <w:left w:val="none" w:sz="0" w:space="0" w:color="auto"/>
                                            <w:bottom w:val="none" w:sz="0" w:space="0" w:color="auto"/>
                                            <w:right w:val="none" w:sz="0" w:space="0" w:color="auto"/>
                                          </w:divBdr>
                                        </w:div>
                                        <w:div w:id="1924296053">
                                          <w:marLeft w:val="0"/>
                                          <w:marRight w:val="0"/>
                                          <w:marTop w:val="0"/>
                                          <w:marBottom w:val="0"/>
                                          <w:divBdr>
                                            <w:top w:val="none" w:sz="0" w:space="0" w:color="auto"/>
                                            <w:left w:val="none" w:sz="0" w:space="0" w:color="auto"/>
                                            <w:bottom w:val="none" w:sz="0" w:space="0" w:color="auto"/>
                                            <w:right w:val="none" w:sz="0" w:space="0" w:color="auto"/>
                                          </w:divBdr>
                                        </w:div>
                                      </w:divsChild>
                                    </w:div>
                                    <w:div w:id="1426460563">
                                      <w:marLeft w:val="0"/>
                                      <w:marRight w:val="0"/>
                                      <w:marTop w:val="0"/>
                                      <w:marBottom w:val="0"/>
                                      <w:divBdr>
                                        <w:top w:val="none" w:sz="0" w:space="0" w:color="auto"/>
                                        <w:left w:val="none" w:sz="0" w:space="0" w:color="auto"/>
                                        <w:bottom w:val="none" w:sz="0" w:space="0" w:color="auto"/>
                                        <w:right w:val="none" w:sz="0" w:space="0" w:color="auto"/>
                                      </w:divBdr>
                                      <w:divsChild>
                                        <w:div w:id="954558831">
                                          <w:marLeft w:val="0"/>
                                          <w:marRight w:val="0"/>
                                          <w:marTop w:val="120"/>
                                          <w:marBottom w:val="0"/>
                                          <w:divBdr>
                                            <w:top w:val="none" w:sz="0" w:space="0" w:color="auto"/>
                                            <w:left w:val="none" w:sz="0" w:space="0" w:color="auto"/>
                                            <w:bottom w:val="none" w:sz="0" w:space="0" w:color="auto"/>
                                            <w:right w:val="none" w:sz="0" w:space="0" w:color="auto"/>
                                          </w:divBdr>
                                        </w:div>
                                        <w:div w:id="177860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464513">
                              <w:marLeft w:val="0"/>
                              <w:marRight w:val="0"/>
                              <w:marTop w:val="0"/>
                              <w:marBottom w:val="0"/>
                              <w:divBdr>
                                <w:top w:val="none" w:sz="0" w:space="0" w:color="auto"/>
                                <w:left w:val="none" w:sz="0" w:space="0" w:color="auto"/>
                                <w:bottom w:val="none" w:sz="0" w:space="0" w:color="auto"/>
                                <w:right w:val="none" w:sz="0" w:space="0" w:color="auto"/>
                              </w:divBdr>
                              <w:divsChild>
                                <w:div w:id="1194686536">
                                  <w:marLeft w:val="0"/>
                                  <w:marRight w:val="0"/>
                                  <w:marTop w:val="0"/>
                                  <w:marBottom w:val="0"/>
                                  <w:divBdr>
                                    <w:top w:val="none" w:sz="0" w:space="0" w:color="auto"/>
                                    <w:left w:val="none" w:sz="0" w:space="0" w:color="auto"/>
                                    <w:bottom w:val="none" w:sz="0" w:space="0" w:color="auto"/>
                                    <w:right w:val="none" w:sz="0" w:space="0" w:color="auto"/>
                                  </w:divBdr>
                                </w:div>
                              </w:divsChild>
                            </w:div>
                            <w:div w:id="2138333198">
                              <w:marLeft w:val="0"/>
                              <w:marRight w:val="0"/>
                              <w:marTop w:val="0"/>
                              <w:marBottom w:val="0"/>
                              <w:divBdr>
                                <w:top w:val="none" w:sz="0" w:space="0" w:color="auto"/>
                                <w:left w:val="none" w:sz="0" w:space="0" w:color="auto"/>
                                <w:bottom w:val="none" w:sz="0" w:space="0" w:color="auto"/>
                                <w:right w:val="none" w:sz="0" w:space="0" w:color="auto"/>
                              </w:divBdr>
                              <w:divsChild>
                                <w:div w:id="416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45952">
                          <w:marLeft w:val="0"/>
                          <w:marRight w:val="0"/>
                          <w:marTop w:val="0"/>
                          <w:marBottom w:val="0"/>
                          <w:divBdr>
                            <w:top w:val="none" w:sz="0" w:space="0" w:color="auto"/>
                            <w:left w:val="none" w:sz="0" w:space="0" w:color="auto"/>
                            <w:bottom w:val="none" w:sz="0" w:space="0" w:color="auto"/>
                            <w:right w:val="none" w:sz="0" w:space="0" w:color="auto"/>
                          </w:divBdr>
                          <w:divsChild>
                            <w:div w:id="1986932763">
                              <w:marLeft w:val="0"/>
                              <w:marRight w:val="0"/>
                              <w:marTop w:val="0"/>
                              <w:marBottom w:val="0"/>
                              <w:divBdr>
                                <w:top w:val="none" w:sz="0" w:space="0" w:color="auto"/>
                                <w:left w:val="none" w:sz="0" w:space="0" w:color="auto"/>
                                <w:bottom w:val="none" w:sz="0" w:space="0" w:color="auto"/>
                                <w:right w:val="none" w:sz="0" w:space="0" w:color="auto"/>
                              </w:divBdr>
                            </w:div>
                            <w:div w:id="1604075657">
                              <w:marLeft w:val="0"/>
                              <w:marRight w:val="0"/>
                              <w:marTop w:val="0"/>
                              <w:marBottom w:val="0"/>
                              <w:divBdr>
                                <w:top w:val="none" w:sz="0" w:space="0" w:color="auto"/>
                                <w:left w:val="none" w:sz="0" w:space="0" w:color="auto"/>
                                <w:bottom w:val="none" w:sz="0" w:space="0" w:color="auto"/>
                                <w:right w:val="none" w:sz="0" w:space="0" w:color="auto"/>
                              </w:divBdr>
                              <w:divsChild>
                                <w:div w:id="516424763">
                                  <w:marLeft w:val="0"/>
                                  <w:marRight w:val="0"/>
                                  <w:marTop w:val="0"/>
                                  <w:marBottom w:val="0"/>
                                  <w:divBdr>
                                    <w:top w:val="none" w:sz="0" w:space="0" w:color="auto"/>
                                    <w:left w:val="none" w:sz="0" w:space="0" w:color="auto"/>
                                    <w:bottom w:val="none" w:sz="0" w:space="0" w:color="auto"/>
                                    <w:right w:val="none" w:sz="0" w:space="0" w:color="auto"/>
                                  </w:divBdr>
                                </w:div>
                              </w:divsChild>
                            </w:div>
                            <w:div w:id="932670455">
                              <w:marLeft w:val="0"/>
                              <w:marRight w:val="0"/>
                              <w:marTop w:val="0"/>
                              <w:marBottom w:val="0"/>
                              <w:divBdr>
                                <w:top w:val="none" w:sz="0" w:space="0" w:color="auto"/>
                                <w:left w:val="none" w:sz="0" w:space="0" w:color="auto"/>
                                <w:bottom w:val="none" w:sz="0" w:space="0" w:color="auto"/>
                                <w:right w:val="none" w:sz="0" w:space="0" w:color="auto"/>
                              </w:divBdr>
                              <w:divsChild>
                                <w:div w:id="1756779884">
                                  <w:marLeft w:val="0"/>
                                  <w:marRight w:val="0"/>
                                  <w:marTop w:val="0"/>
                                  <w:marBottom w:val="0"/>
                                  <w:divBdr>
                                    <w:top w:val="none" w:sz="0" w:space="0" w:color="auto"/>
                                    <w:left w:val="none" w:sz="0" w:space="0" w:color="auto"/>
                                    <w:bottom w:val="none" w:sz="0" w:space="0" w:color="auto"/>
                                    <w:right w:val="none" w:sz="0" w:space="0" w:color="auto"/>
                                  </w:divBdr>
                                </w:div>
                              </w:divsChild>
                            </w:div>
                            <w:div w:id="429207556">
                              <w:marLeft w:val="0"/>
                              <w:marRight w:val="0"/>
                              <w:marTop w:val="0"/>
                              <w:marBottom w:val="0"/>
                              <w:divBdr>
                                <w:top w:val="none" w:sz="0" w:space="0" w:color="auto"/>
                                <w:left w:val="none" w:sz="0" w:space="0" w:color="auto"/>
                                <w:bottom w:val="none" w:sz="0" w:space="0" w:color="auto"/>
                                <w:right w:val="none" w:sz="0" w:space="0" w:color="auto"/>
                              </w:divBdr>
                              <w:divsChild>
                                <w:div w:id="342779275">
                                  <w:marLeft w:val="0"/>
                                  <w:marRight w:val="0"/>
                                  <w:marTop w:val="0"/>
                                  <w:marBottom w:val="0"/>
                                  <w:divBdr>
                                    <w:top w:val="none" w:sz="0" w:space="0" w:color="auto"/>
                                    <w:left w:val="none" w:sz="0" w:space="0" w:color="auto"/>
                                    <w:bottom w:val="none" w:sz="0" w:space="0" w:color="auto"/>
                                    <w:right w:val="none" w:sz="0" w:space="0" w:color="auto"/>
                                  </w:divBdr>
                                </w:div>
                              </w:divsChild>
                            </w:div>
                            <w:div w:id="1125853389">
                              <w:marLeft w:val="0"/>
                              <w:marRight w:val="0"/>
                              <w:marTop w:val="0"/>
                              <w:marBottom w:val="0"/>
                              <w:divBdr>
                                <w:top w:val="none" w:sz="0" w:space="0" w:color="auto"/>
                                <w:left w:val="none" w:sz="0" w:space="0" w:color="auto"/>
                                <w:bottom w:val="none" w:sz="0" w:space="0" w:color="auto"/>
                                <w:right w:val="none" w:sz="0" w:space="0" w:color="auto"/>
                              </w:divBdr>
                              <w:divsChild>
                                <w:div w:id="751001128">
                                  <w:marLeft w:val="0"/>
                                  <w:marRight w:val="0"/>
                                  <w:marTop w:val="0"/>
                                  <w:marBottom w:val="0"/>
                                  <w:divBdr>
                                    <w:top w:val="none" w:sz="0" w:space="0" w:color="auto"/>
                                    <w:left w:val="none" w:sz="0" w:space="0" w:color="auto"/>
                                    <w:bottom w:val="none" w:sz="0" w:space="0" w:color="auto"/>
                                    <w:right w:val="none" w:sz="0" w:space="0" w:color="auto"/>
                                  </w:divBdr>
                                </w:div>
                              </w:divsChild>
                            </w:div>
                            <w:div w:id="1803963564">
                              <w:marLeft w:val="0"/>
                              <w:marRight w:val="0"/>
                              <w:marTop w:val="0"/>
                              <w:marBottom w:val="0"/>
                              <w:divBdr>
                                <w:top w:val="none" w:sz="0" w:space="0" w:color="auto"/>
                                <w:left w:val="none" w:sz="0" w:space="0" w:color="auto"/>
                                <w:bottom w:val="none" w:sz="0" w:space="0" w:color="auto"/>
                                <w:right w:val="none" w:sz="0" w:space="0" w:color="auto"/>
                              </w:divBdr>
                              <w:divsChild>
                                <w:div w:id="1186753603">
                                  <w:marLeft w:val="0"/>
                                  <w:marRight w:val="0"/>
                                  <w:marTop w:val="0"/>
                                  <w:marBottom w:val="0"/>
                                  <w:divBdr>
                                    <w:top w:val="none" w:sz="0" w:space="0" w:color="auto"/>
                                    <w:left w:val="none" w:sz="0" w:space="0" w:color="auto"/>
                                    <w:bottom w:val="none" w:sz="0" w:space="0" w:color="auto"/>
                                    <w:right w:val="none" w:sz="0" w:space="0" w:color="auto"/>
                                  </w:divBdr>
                                </w:div>
                              </w:divsChild>
                            </w:div>
                            <w:div w:id="1459837467">
                              <w:marLeft w:val="0"/>
                              <w:marRight w:val="0"/>
                              <w:marTop w:val="0"/>
                              <w:marBottom w:val="0"/>
                              <w:divBdr>
                                <w:top w:val="none" w:sz="0" w:space="0" w:color="auto"/>
                                <w:left w:val="none" w:sz="0" w:space="0" w:color="auto"/>
                                <w:bottom w:val="none" w:sz="0" w:space="0" w:color="auto"/>
                                <w:right w:val="none" w:sz="0" w:space="0" w:color="auto"/>
                              </w:divBdr>
                              <w:divsChild>
                                <w:div w:id="1925794306">
                                  <w:marLeft w:val="0"/>
                                  <w:marRight w:val="0"/>
                                  <w:marTop w:val="0"/>
                                  <w:marBottom w:val="0"/>
                                  <w:divBdr>
                                    <w:top w:val="none" w:sz="0" w:space="0" w:color="auto"/>
                                    <w:left w:val="none" w:sz="0" w:space="0" w:color="auto"/>
                                    <w:bottom w:val="none" w:sz="0" w:space="0" w:color="auto"/>
                                    <w:right w:val="none" w:sz="0" w:space="0" w:color="auto"/>
                                  </w:divBdr>
                                </w:div>
                              </w:divsChild>
                            </w:div>
                            <w:div w:id="582571672">
                              <w:marLeft w:val="0"/>
                              <w:marRight w:val="0"/>
                              <w:marTop w:val="0"/>
                              <w:marBottom w:val="0"/>
                              <w:divBdr>
                                <w:top w:val="none" w:sz="0" w:space="0" w:color="auto"/>
                                <w:left w:val="none" w:sz="0" w:space="0" w:color="auto"/>
                                <w:bottom w:val="none" w:sz="0" w:space="0" w:color="auto"/>
                                <w:right w:val="none" w:sz="0" w:space="0" w:color="auto"/>
                              </w:divBdr>
                              <w:divsChild>
                                <w:div w:id="1322006152">
                                  <w:marLeft w:val="0"/>
                                  <w:marRight w:val="0"/>
                                  <w:marTop w:val="0"/>
                                  <w:marBottom w:val="0"/>
                                  <w:divBdr>
                                    <w:top w:val="none" w:sz="0" w:space="0" w:color="auto"/>
                                    <w:left w:val="none" w:sz="0" w:space="0" w:color="auto"/>
                                    <w:bottom w:val="none" w:sz="0" w:space="0" w:color="auto"/>
                                    <w:right w:val="none" w:sz="0" w:space="0" w:color="auto"/>
                                  </w:divBdr>
                                </w:div>
                              </w:divsChild>
                            </w:div>
                            <w:div w:id="1223061554">
                              <w:marLeft w:val="0"/>
                              <w:marRight w:val="0"/>
                              <w:marTop w:val="0"/>
                              <w:marBottom w:val="0"/>
                              <w:divBdr>
                                <w:top w:val="none" w:sz="0" w:space="0" w:color="auto"/>
                                <w:left w:val="none" w:sz="0" w:space="0" w:color="auto"/>
                                <w:bottom w:val="none" w:sz="0" w:space="0" w:color="auto"/>
                                <w:right w:val="none" w:sz="0" w:space="0" w:color="auto"/>
                              </w:divBdr>
                              <w:divsChild>
                                <w:div w:id="600574121">
                                  <w:marLeft w:val="0"/>
                                  <w:marRight w:val="0"/>
                                  <w:marTop w:val="0"/>
                                  <w:marBottom w:val="0"/>
                                  <w:divBdr>
                                    <w:top w:val="none" w:sz="0" w:space="0" w:color="auto"/>
                                    <w:left w:val="none" w:sz="0" w:space="0" w:color="auto"/>
                                    <w:bottom w:val="none" w:sz="0" w:space="0" w:color="auto"/>
                                    <w:right w:val="none" w:sz="0" w:space="0" w:color="auto"/>
                                  </w:divBdr>
                                </w:div>
                              </w:divsChild>
                            </w:div>
                            <w:div w:id="1130901823">
                              <w:marLeft w:val="0"/>
                              <w:marRight w:val="0"/>
                              <w:marTop w:val="0"/>
                              <w:marBottom w:val="0"/>
                              <w:divBdr>
                                <w:top w:val="none" w:sz="0" w:space="0" w:color="auto"/>
                                <w:left w:val="none" w:sz="0" w:space="0" w:color="auto"/>
                                <w:bottom w:val="none" w:sz="0" w:space="0" w:color="auto"/>
                                <w:right w:val="none" w:sz="0" w:space="0" w:color="auto"/>
                              </w:divBdr>
                              <w:divsChild>
                                <w:div w:id="1198397253">
                                  <w:marLeft w:val="0"/>
                                  <w:marRight w:val="0"/>
                                  <w:marTop w:val="0"/>
                                  <w:marBottom w:val="0"/>
                                  <w:divBdr>
                                    <w:top w:val="none" w:sz="0" w:space="0" w:color="auto"/>
                                    <w:left w:val="none" w:sz="0" w:space="0" w:color="auto"/>
                                    <w:bottom w:val="none" w:sz="0" w:space="0" w:color="auto"/>
                                    <w:right w:val="none" w:sz="0" w:space="0" w:color="auto"/>
                                  </w:divBdr>
                                </w:div>
                              </w:divsChild>
                            </w:div>
                            <w:div w:id="849757825">
                              <w:marLeft w:val="0"/>
                              <w:marRight w:val="0"/>
                              <w:marTop w:val="0"/>
                              <w:marBottom w:val="0"/>
                              <w:divBdr>
                                <w:top w:val="none" w:sz="0" w:space="0" w:color="auto"/>
                                <w:left w:val="none" w:sz="0" w:space="0" w:color="auto"/>
                                <w:bottom w:val="none" w:sz="0" w:space="0" w:color="auto"/>
                                <w:right w:val="none" w:sz="0" w:space="0" w:color="auto"/>
                              </w:divBdr>
                              <w:divsChild>
                                <w:div w:id="113752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217091">
                      <w:marLeft w:val="0"/>
                      <w:marRight w:val="0"/>
                      <w:marTop w:val="0"/>
                      <w:marBottom w:val="0"/>
                      <w:divBdr>
                        <w:top w:val="none" w:sz="0" w:space="0" w:color="auto"/>
                        <w:left w:val="none" w:sz="0" w:space="0" w:color="auto"/>
                        <w:bottom w:val="none" w:sz="0" w:space="0" w:color="auto"/>
                        <w:right w:val="none" w:sz="0" w:space="0" w:color="auto"/>
                      </w:divBdr>
                      <w:divsChild>
                        <w:div w:id="2062509983">
                          <w:marLeft w:val="0"/>
                          <w:marRight w:val="0"/>
                          <w:marTop w:val="0"/>
                          <w:marBottom w:val="0"/>
                          <w:divBdr>
                            <w:top w:val="none" w:sz="0" w:space="0" w:color="auto"/>
                            <w:left w:val="none" w:sz="0" w:space="0" w:color="auto"/>
                            <w:bottom w:val="none" w:sz="0" w:space="0" w:color="auto"/>
                            <w:right w:val="none" w:sz="0" w:space="0" w:color="auto"/>
                          </w:divBdr>
                          <w:divsChild>
                            <w:div w:id="1778795524">
                              <w:marLeft w:val="0"/>
                              <w:marRight w:val="0"/>
                              <w:marTop w:val="0"/>
                              <w:marBottom w:val="0"/>
                              <w:divBdr>
                                <w:top w:val="none" w:sz="0" w:space="0" w:color="auto"/>
                                <w:left w:val="none" w:sz="0" w:space="0" w:color="auto"/>
                                <w:bottom w:val="none" w:sz="0" w:space="0" w:color="auto"/>
                                <w:right w:val="none" w:sz="0" w:space="0" w:color="auto"/>
                              </w:divBdr>
                            </w:div>
                            <w:div w:id="23948765">
                              <w:marLeft w:val="0"/>
                              <w:marRight w:val="0"/>
                              <w:marTop w:val="0"/>
                              <w:marBottom w:val="0"/>
                              <w:divBdr>
                                <w:top w:val="none" w:sz="0" w:space="0" w:color="auto"/>
                                <w:left w:val="none" w:sz="0" w:space="0" w:color="auto"/>
                                <w:bottom w:val="none" w:sz="0" w:space="0" w:color="auto"/>
                                <w:right w:val="none" w:sz="0" w:space="0" w:color="auto"/>
                              </w:divBdr>
                              <w:divsChild>
                                <w:div w:id="1669941250">
                                  <w:marLeft w:val="0"/>
                                  <w:marRight w:val="0"/>
                                  <w:marTop w:val="0"/>
                                  <w:marBottom w:val="0"/>
                                  <w:divBdr>
                                    <w:top w:val="none" w:sz="0" w:space="0" w:color="auto"/>
                                    <w:left w:val="none" w:sz="0" w:space="0" w:color="auto"/>
                                    <w:bottom w:val="none" w:sz="0" w:space="0" w:color="auto"/>
                                    <w:right w:val="none" w:sz="0" w:space="0" w:color="auto"/>
                                  </w:divBdr>
                                </w:div>
                              </w:divsChild>
                            </w:div>
                            <w:div w:id="1618103818">
                              <w:marLeft w:val="0"/>
                              <w:marRight w:val="0"/>
                              <w:marTop w:val="0"/>
                              <w:marBottom w:val="0"/>
                              <w:divBdr>
                                <w:top w:val="none" w:sz="0" w:space="0" w:color="auto"/>
                                <w:left w:val="none" w:sz="0" w:space="0" w:color="auto"/>
                                <w:bottom w:val="none" w:sz="0" w:space="0" w:color="auto"/>
                                <w:right w:val="none" w:sz="0" w:space="0" w:color="auto"/>
                              </w:divBdr>
                              <w:divsChild>
                                <w:div w:id="1925260737">
                                  <w:marLeft w:val="0"/>
                                  <w:marRight w:val="0"/>
                                  <w:marTop w:val="0"/>
                                  <w:marBottom w:val="0"/>
                                  <w:divBdr>
                                    <w:top w:val="none" w:sz="0" w:space="0" w:color="auto"/>
                                    <w:left w:val="none" w:sz="0" w:space="0" w:color="auto"/>
                                    <w:bottom w:val="none" w:sz="0" w:space="0" w:color="auto"/>
                                    <w:right w:val="none" w:sz="0" w:space="0" w:color="auto"/>
                                  </w:divBdr>
                                </w:div>
                              </w:divsChild>
                            </w:div>
                            <w:div w:id="223376092">
                              <w:marLeft w:val="0"/>
                              <w:marRight w:val="0"/>
                              <w:marTop w:val="0"/>
                              <w:marBottom w:val="0"/>
                              <w:divBdr>
                                <w:top w:val="none" w:sz="0" w:space="0" w:color="auto"/>
                                <w:left w:val="none" w:sz="0" w:space="0" w:color="auto"/>
                                <w:bottom w:val="none" w:sz="0" w:space="0" w:color="auto"/>
                                <w:right w:val="none" w:sz="0" w:space="0" w:color="auto"/>
                              </w:divBdr>
                              <w:divsChild>
                                <w:div w:id="2048599837">
                                  <w:marLeft w:val="0"/>
                                  <w:marRight w:val="0"/>
                                  <w:marTop w:val="0"/>
                                  <w:marBottom w:val="0"/>
                                  <w:divBdr>
                                    <w:top w:val="none" w:sz="0" w:space="0" w:color="auto"/>
                                    <w:left w:val="none" w:sz="0" w:space="0" w:color="auto"/>
                                    <w:bottom w:val="none" w:sz="0" w:space="0" w:color="auto"/>
                                    <w:right w:val="none" w:sz="0" w:space="0" w:color="auto"/>
                                  </w:divBdr>
                                  <w:divsChild>
                                    <w:div w:id="177893238">
                                      <w:marLeft w:val="0"/>
                                      <w:marRight w:val="0"/>
                                      <w:marTop w:val="0"/>
                                      <w:marBottom w:val="0"/>
                                      <w:divBdr>
                                        <w:top w:val="none" w:sz="0" w:space="0" w:color="auto"/>
                                        <w:left w:val="none" w:sz="0" w:space="0" w:color="auto"/>
                                        <w:bottom w:val="none" w:sz="0" w:space="0" w:color="auto"/>
                                        <w:right w:val="none" w:sz="0" w:space="0" w:color="auto"/>
                                      </w:divBdr>
                                      <w:divsChild>
                                        <w:div w:id="120197731">
                                          <w:marLeft w:val="0"/>
                                          <w:marRight w:val="0"/>
                                          <w:marTop w:val="120"/>
                                          <w:marBottom w:val="0"/>
                                          <w:divBdr>
                                            <w:top w:val="none" w:sz="0" w:space="0" w:color="auto"/>
                                            <w:left w:val="none" w:sz="0" w:space="0" w:color="auto"/>
                                            <w:bottom w:val="none" w:sz="0" w:space="0" w:color="auto"/>
                                            <w:right w:val="none" w:sz="0" w:space="0" w:color="auto"/>
                                          </w:divBdr>
                                        </w:div>
                                        <w:div w:id="1595088371">
                                          <w:marLeft w:val="0"/>
                                          <w:marRight w:val="0"/>
                                          <w:marTop w:val="0"/>
                                          <w:marBottom w:val="0"/>
                                          <w:divBdr>
                                            <w:top w:val="none" w:sz="0" w:space="0" w:color="auto"/>
                                            <w:left w:val="none" w:sz="0" w:space="0" w:color="auto"/>
                                            <w:bottom w:val="none" w:sz="0" w:space="0" w:color="auto"/>
                                            <w:right w:val="none" w:sz="0" w:space="0" w:color="auto"/>
                                          </w:divBdr>
                                        </w:div>
                                      </w:divsChild>
                                    </w:div>
                                    <w:div w:id="569080970">
                                      <w:marLeft w:val="0"/>
                                      <w:marRight w:val="0"/>
                                      <w:marTop w:val="0"/>
                                      <w:marBottom w:val="0"/>
                                      <w:divBdr>
                                        <w:top w:val="none" w:sz="0" w:space="0" w:color="auto"/>
                                        <w:left w:val="none" w:sz="0" w:space="0" w:color="auto"/>
                                        <w:bottom w:val="none" w:sz="0" w:space="0" w:color="auto"/>
                                        <w:right w:val="none" w:sz="0" w:space="0" w:color="auto"/>
                                      </w:divBdr>
                                      <w:divsChild>
                                        <w:div w:id="865946811">
                                          <w:marLeft w:val="0"/>
                                          <w:marRight w:val="0"/>
                                          <w:marTop w:val="120"/>
                                          <w:marBottom w:val="0"/>
                                          <w:divBdr>
                                            <w:top w:val="none" w:sz="0" w:space="0" w:color="auto"/>
                                            <w:left w:val="none" w:sz="0" w:space="0" w:color="auto"/>
                                            <w:bottom w:val="none" w:sz="0" w:space="0" w:color="auto"/>
                                            <w:right w:val="none" w:sz="0" w:space="0" w:color="auto"/>
                                          </w:divBdr>
                                        </w:div>
                                        <w:div w:id="132986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586679">
                              <w:marLeft w:val="0"/>
                              <w:marRight w:val="0"/>
                              <w:marTop w:val="0"/>
                              <w:marBottom w:val="0"/>
                              <w:divBdr>
                                <w:top w:val="none" w:sz="0" w:space="0" w:color="auto"/>
                                <w:left w:val="none" w:sz="0" w:space="0" w:color="auto"/>
                                <w:bottom w:val="none" w:sz="0" w:space="0" w:color="auto"/>
                                <w:right w:val="none" w:sz="0" w:space="0" w:color="auto"/>
                              </w:divBdr>
                              <w:divsChild>
                                <w:div w:id="2061787899">
                                  <w:marLeft w:val="0"/>
                                  <w:marRight w:val="0"/>
                                  <w:marTop w:val="0"/>
                                  <w:marBottom w:val="0"/>
                                  <w:divBdr>
                                    <w:top w:val="none" w:sz="0" w:space="0" w:color="auto"/>
                                    <w:left w:val="none" w:sz="0" w:space="0" w:color="auto"/>
                                    <w:bottom w:val="none" w:sz="0" w:space="0" w:color="auto"/>
                                    <w:right w:val="none" w:sz="0" w:space="0" w:color="auto"/>
                                  </w:divBdr>
                                </w:div>
                              </w:divsChild>
                            </w:div>
                            <w:div w:id="314458843">
                              <w:marLeft w:val="0"/>
                              <w:marRight w:val="0"/>
                              <w:marTop w:val="0"/>
                              <w:marBottom w:val="0"/>
                              <w:divBdr>
                                <w:top w:val="none" w:sz="0" w:space="0" w:color="auto"/>
                                <w:left w:val="none" w:sz="0" w:space="0" w:color="auto"/>
                                <w:bottom w:val="none" w:sz="0" w:space="0" w:color="auto"/>
                                <w:right w:val="none" w:sz="0" w:space="0" w:color="auto"/>
                              </w:divBdr>
                              <w:divsChild>
                                <w:div w:id="1500198669">
                                  <w:marLeft w:val="0"/>
                                  <w:marRight w:val="0"/>
                                  <w:marTop w:val="0"/>
                                  <w:marBottom w:val="0"/>
                                  <w:divBdr>
                                    <w:top w:val="none" w:sz="0" w:space="0" w:color="auto"/>
                                    <w:left w:val="none" w:sz="0" w:space="0" w:color="auto"/>
                                    <w:bottom w:val="none" w:sz="0" w:space="0" w:color="auto"/>
                                    <w:right w:val="none" w:sz="0" w:space="0" w:color="auto"/>
                                  </w:divBdr>
                                  <w:divsChild>
                                    <w:div w:id="1958559640">
                                      <w:marLeft w:val="0"/>
                                      <w:marRight w:val="0"/>
                                      <w:marTop w:val="0"/>
                                      <w:marBottom w:val="0"/>
                                      <w:divBdr>
                                        <w:top w:val="none" w:sz="0" w:space="0" w:color="auto"/>
                                        <w:left w:val="none" w:sz="0" w:space="0" w:color="auto"/>
                                        <w:bottom w:val="none" w:sz="0" w:space="0" w:color="auto"/>
                                        <w:right w:val="none" w:sz="0" w:space="0" w:color="auto"/>
                                      </w:divBdr>
                                      <w:divsChild>
                                        <w:div w:id="1242063651">
                                          <w:marLeft w:val="0"/>
                                          <w:marRight w:val="0"/>
                                          <w:marTop w:val="120"/>
                                          <w:marBottom w:val="0"/>
                                          <w:divBdr>
                                            <w:top w:val="none" w:sz="0" w:space="0" w:color="auto"/>
                                            <w:left w:val="none" w:sz="0" w:space="0" w:color="auto"/>
                                            <w:bottom w:val="none" w:sz="0" w:space="0" w:color="auto"/>
                                            <w:right w:val="none" w:sz="0" w:space="0" w:color="auto"/>
                                          </w:divBdr>
                                        </w:div>
                                        <w:div w:id="1367755587">
                                          <w:marLeft w:val="0"/>
                                          <w:marRight w:val="0"/>
                                          <w:marTop w:val="0"/>
                                          <w:marBottom w:val="0"/>
                                          <w:divBdr>
                                            <w:top w:val="none" w:sz="0" w:space="0" w:color="auto"/>
                                            <w:left w:val="none" w:sz="0" w:space="0" w:color="auto"/>
                                            <w:bottom w:val="none" w:sz="0" w:space="0" w:color="auto"/>
                                            <w:right w:val="none" w:sz="0" w:space="0" w:color="auto"/>
                                          </w:divBdr>
                                        </w:div>
                                      </w:divsChild>
                                    </w:div>
                                    <w:div w:id="552691731">
                                      <w:marLeft w:val="0"/>
                                      <w:marRight w:val="0"/>
                                      <w:marTop w:val="0"/>
                                      <w:marBottom w:val="0"/>
                                      <w:divBdr>
                                        <w:top w:val="none" w:sz="0" w:space="0" w:color="auto"/>
                                        <w:left w:val="none" w:sz="0" w:space="0" w:color="auto"/>
                                        <w:bottom w:val="none" w:sz="0" w:space="0" w:color="auto"/>
                                        <w:right w:val="none" w:sz="0" w:space="0" w:color="auto"/>
                                      </w:divBdr>
                                      <w:divsChild>
                                        <w:div w:id="1006514665">
                                          <w:marLeft w:val="0"/>
                                          <w:marRight w:val="0"/>
                                          <w:marTop w:val="120"/>
                                          <w:marBottom w:val="0"/>
                                          <w:divBdr>
                                            <w:top w:val="none" w:sz="0" w:space="0" w:color="auto"/>
                                            <w:left w:val="none" w:sz="0" w:space="0" w:color="auto"/>
                                            <w:bottom w:val="none" w:sz="0" w:space="0" w:color="auto"/>
                                            <w:right w:val="none" w:sz="0" w:space="0" w:color="auto"/>
                                          </w:divBdr>
                                        </w:div>
                                        <w:div w:id="125262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323707">
                              <w:marLeft w:val="0"/>
                              <w:marRight w:val="0"/>
                              <w:marTop w:val="0"/>
                              <w:marBottom w:val="0"/>
                              <w:divBdr>
                                <w:top w:val="none" w:sz="0" w:space="0" w:color="auto"/>
                                <w:left w:val="none" w:sz="0" w:space="0" w:color="auto"/>
                                <w:bottom w:val="none" w:sz="0" w:space="0" w:color="auto"/>
                                <w:right w:val="none" w:sz="0" w:space="0" w:color="auto"/>
                              </w:divBdr>
                              <w:divsChild>
                                <w:div w:id="1459564554">
                                  <w:marLeft w:val="0"/>
                                  <w:marRight w:val="0"/>
                                  <w:marTop w:val="0"/>
                                  <w:marBottom w:val="0"/>
                                  <w:divBdr>
                                    <w:top w:val="none" w:sz="0" w:space="0" w:color="auto"/>
                                    <w:left w:val="none" w:sz="0" w:space="0" w:color="auto"/>
                                    <w:bottom w:val="none" w:sz="0" w:space="0" w:color="auto"/>
                                    <w:right w:val="none" w:sz="0" w:space="0" w:color="auto"/>
                                  </w:divBdr>
                                </w:div>
                              </w:divsChild>
                            </w:div>
                            <w:div w:id="2075471045">
                              <w:marLeft w:val="0"/>
                              <w:marRight w:val="0"/>
                              <w:marTop w:val="0"/>
                              <w:marBottom w:val="0"/>
                              <w:divBdr>
                                <w:top w:val="none" w:sz="0" w:space="0" w:color="auto"/>
                                <w:left w:val="none" w:sz="0" w:space="0" w:color="auto"/>
                                <w:bottom w:val="none" w:sz="0" w:space="0" w:color="auto"/>
                                <w:right w:val="none" w:sz="0" w:space="0" w:color="auto"/>
                              </w:divBdr>
                              <w:divsChild>
                                <w:div w:id="7223843">
                                  <w:marLeft w:val="0"/>
                                  <w:marRight w:val="0"/>
                                  <w:marTop w:val="0"/>
                                  <w:marBottom w:val="0"/>
                                  <w:divBdr>
                                    <w:top w:val="none" w:sz="0" w:space="0" w:color="auto"/>
                                    <w:left w:val="none" w:sz="0" w:space="0" w:color="auto"/>
                                    <w:bottom w:val="none" w:sz="0" w:space="0" w:color="auto"/>
                                    <w:right w:val="none" w:sz="0" w:space="0" w:color="auto"/>
                                  </w:divBdr>
                                  <w:divsChild>
                                    <w:div w:id="195892396">
                                      <w:marLeft w:val="0"/>
                                      <w:marRight w:val="0"/>
                                      <w:marTop w:val="0"/>
                                      <w:marBottom w:val="0"/>
                                      <w:divBdr>
                                        <w:top w:val="none" w:sz="0" w:space="0" w:color="auto"/>
                                        <w:left w:val="none" w:sz="0" w:space="0" w:color="auto"/>
                                        <w:bottom w:val="none" w:sz="0" w:space="0" w:color="auto"/>
                                        <w:right w:val="none" w:sz="0" w:space="0" w:color="auto"/>
                                      </w:divBdr>
                                      <w:divsChild>
                                        <w:div w:id="541941896">
                                          <w:marLeft w:val="0"/>
                                          <w:marRight w:val="0"/>
                                          <w:marTop w:val="120"/>
                                          <w:marBottom w:val="0"/>
                                          <w:divBdr>
                                            <w:top w:val="none" w:sz="0" w:space="0" w:color="auto"/>
                                            <w:left w:val="none" w:sz="0" w:space="0" w:color="auto"/>
                                            <w:bottom w:val="none" w:sz="0" w:space="0" w:color="auto"/>
                                            <w:right w:val="none" w:sz="0" w:space="0" w:color="auto"/>
                                          </w:divBdr>
                                        </w:div>
                                        <w:div w:id="1934436965">
                                          <w:marLeft w:val="0"/>
                                          <w:marRight w:val="0"/>
                                          <w:marTop w:val="0"/>
                                          <w:marBottom w:val="0"/>
                                          <w:divBdr>
                                            <w:top w:val="none" w:sz="0" w:space="0" w:color="auto"/>
                                            <w:left w:val="none" w:sz="0" w:space="0" w:color="auto"/>
                                            <w:bottom w:val="none" w:sz="0" w:space="0" w:color="auto"/>
                                            <w:right w:val="none" w:sz="0" w:space="0" w:color="auto"/>
                                          </w:divBdr>
                                        </w:div>
                                      </w:divsChild>
                                    </w:div>
                                    <w:div w:id="1409573699">
                                      <w:marLeft w:val="0"/>
                                      <w:marRight w:val="0"/>
                                      <w:marTop w:val="0"/>
                                      <w:marBottom w:val="0"/>
                                      <w:divBdr>
                                        <w:top w:val="none" w:sz="0" w:space="0" w:color="auto"/>
                                        <w:left w:val="none" w:sz="0" w:space="0" w:color="auto"/>
                                        <w:bottom w:val="none" w:sz="0" w:space="0" w:color="auto"/>
                                        <w:right w:val="none" w:sz="0" w:space="0" w:color="auto"/>
                                      </w:divBdr>
                                      <w:divsChild>
                                        <w:div w:id="518736068">
                                          <w:marLeft w:val="0"/>
                                          <w:marRight w:val="0"/>
                                          <w:marTop w:val="120"/>
                                          <w:marBottom w:val="0"/>
                                          <w:divBdr>
                                            <w:top w:val="none" w:sz="0" w:space="0" w:color="auto"/>
                                            <w:left w:val="none" w:sz="0" w:space="0" w:color="auto"/>
                                            <w:bottom w:val="none" w:sz="0" w:space="0" w:color="auto"/>
                                            <w:right w:val="none" w:sz="0" w:space="0" w:color="auto"/>
                                          </w:divBdr>
                                        </w:div>
                                        <w:div w:id="712118615">
                                          <w:marLeft w:val="0"/>
                                          <w:marRight w:val="0"/>
                                          <w:marTop w:val="0"/>
                                          <w:marBottom w:val="0"/>
                                          <w:divBdr>
                                            <w:top w:val="none" w:sz="0" w:space="0" w:color="auto"/>
                                            <w:left w:val="none" w:sz="0" w:space="0" w:color="auto"/>
                                            <w:bottom w:val="none" w:sz="0" w:space="0" w:color="auto"/>
                                            <w:right w:val="none" w:sz="0" w:space="0" w:color="auto"/>
                                          </w:divBdr>
                                        </w:div>
                                      </w:divsChild>
                                    </w:div>
                                    <w:div w:id="1146698437">
                                      <w:marLeft w:val="0"/>
                                      <w:marRight w:val="0"/>
                                      <w:marTop w:val="0"/>
                                      <w:marBottom w:val="0"/>
                                      <w:divBdr>
                                        <w:top w:val="none" w:sz="0" w:space="0" w:color="auto"/>
                                        <w:left w:val="none" w:sz="0" w:space="0" w:color="auto"/>
                                        <w:bottom w:val="none" w:sz="0" w:space="0" w:color="auto"/>
                                        <w:right w:val="none" w:sz="0" w:space="0" w:color="auto"/>
                                      </w:divBdr>
                                      <w:divsChild>
                                        <w:div w:id="597257336">
                                          <w:marLeft w:val="0"/>
                                          <w:marRight w:val="0"/>
                                          <w:marTop w:val="120"/>
                                          <w:marBottom w:val="0"/>
                                          <w:divBdr>
                                            <w:top w:val="none" w:sz="0" w:space="0" w:color="auto"/>
                                            <w:left w:val="none" w:sz="0" w:space="0" w:color="auto"/>
                                            <w:bottom w:val="none" w:sz="0" w:space="0" w:color="auto"/>
                                            <w:right w:val="none" w:sz="0" w:space="0" w:color="auto"/>
                                          </w:divBdr>
                                        </w:div>
                                        <w:div w:id="1312057980">
                                          <w:marLeft w:val="0"/>
                                          <w:marRight w:val="0"/>
                                          <w:marTop w:val="0"/>
                                          <w:marBottom w:val="0"/>
                                          <w:divBdr>
                                            <w:top w:val="none" w:sz="0" w:space="0" w:color="auto"/>
                                            <w:left w:val="none" w:sz="0" w:space="0" w:color="auto"/>
                                            <w:bottom w:val="none" w:sz="0" w:space="0" w:color="auto"/>
                                            <w:right w:val="none" w:sz="0" w:space="0" w:color="auto"/>
                                          </w:divBdr>
                                        </w:div>
                                      </w:divsChild>
                                    </w:div>
                                    <w:div w:id="1008211226">
                                      <w:marLeft w:val="0"/>
                                      <w:marRight w:val="0"/>
                                      <w:marTop w:val="0"/>
                                      <w:marBottom w:val="0"/>
                                      <w:divBdr>
                                        <w:top w:val="none" w:sz="0" w:space="0" w:color="auto"/>
                                        <w:left w:val="none" w:sz="0" w:space="0" w:color="auto"/>
                                        <w:bottom w:val="none" w:sz="0" w:space="0" w:color="auto"/>
                                        <w:right w:val="none" w:sz="0" w:space="0" w:color="auto"/>
                                      </w:divBdr>
                                      <w:divsChild>
                                        <w:div w:id="1123035927">
                                          <w:marLeft w:val="0"/>
                                          <w:marRight w:val="0"/>
                                          <w:marTop w:val="120"/>
                                          <w:marBottom w:val="0"/>
                                          <w:divBdr>
                                            <w:top w:val="none" w:sz="0" w:space="0" w:color="auto"/>
                                            <w:left w:val="none" w:sz="0" w:space="0" w:color="auto"/>
                                            <w:bottom w:val="none" w:sz="0" w:space="0" w:color="auto"/>
                                            <w:right w:val="none" w:sz="0" w:space="0" w:color="auto"/>
                                          </w:divBdr>
                                        </w:div>
                                        <w:div w:id="353381257">
                                          <w:marLeft w:val="0"/>
                                          <w:marRight w:val="0"/>
                                          <w:marTop w:val="0"/>
                                          <w:marBottom w:val="0"/>
                                          <w:divBdr>
                                            <w:top w:val="none" w:sz="0" w:space="0" w:color="auto"/>
                                            <w:left w:val="none" w:sz="0" w:space="0" w:color="auto"/>
                                            <w:bottom w:val="none" w:sz="0" w:space="0" w:color="auto"/>
                                            <w:right w:val="none" w:sz="0" w:space="0" w:color="auto"/>
                                          </w:divBdr>
                                        </w:div>
                                      </w:divsChild>
                                    </w:div>
                                    <w:div w:id="1206913722">
                                      <w:marLeft w:val="0"/>
                                      <w:marRight w:val="0"/>
                                      <w:marTop w:val="0"/>
                                      <w:marBottom w:val="0"/>
                                      <w:divBdr>
                                        <w:top w:val="none" w:sz="0" w:space="0" w:color="auto"/>
                                        <w:left w:val="none" w:sz="0" w:space="0" w:color="auto"/>
                                        <w:bottom w:val="none" w:sz="0" w:space="0" w:color="auto"/>
                                        <w:right w:val="none" w:sz="0" w:space="0" w:color="auto"/>
                                      </w:divBdr>
                                      <w:divsChild>
                                        <w:div w:id="457257117">
                                          <w:marLeft w:val="0"/>
                                          <w:marRight w:val="0"/>
                                          <w:marTop w:val="120"/>
                                          <w:marBottom w:val="0"/>
                                          <w:divBdr>
                                            <w:top w:val="none" w:sz="0" w:space="0" w:color="auto"/>
                                            <w:left w:val="none" w:sz="0" w:space="0" w:color="auto"/>
                                            <w:bottom w:val="none" w:sz="0" w:space="0" w:color="auto"/>
                                            <w:right w:val="none" w:sz="0" w:space="0" w:color="auto"/>
                                          </w:divBdr>
                                        </w:div>
                                        <w:div w:id="28785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912295">
                              <w:marLeft w:val="0"/>
                              <w:marRight w:val="0"/>
                              <w:marTop w:val="0"/>
                              <w:marBottom w:val="0"/>
                              <w:divBdr>
                                <w:top w:val="none" w:sz="0" w:space="0" w:color="auto"/>
                                <w:left w:val="none" w:sz="0" w:space="0" w:color="auto"/>
                                <w:bottom w:val="none" w:sz="0" w:space="0" w:color="auto"/>
                                <w:right w:val="none" w:sz="0" w:space="0" w:color="auto"/>
                              </w:divBdr>
                              <w:divsChild>
                                <w:div w:id="147403045">
                                  <w:marLeft w:val="0"/>
                                  <w:marRight w:val="0"/>
                                  <w:marTop w:val="0"/>
                                  <w:marBottom w:val="0"/>
                                  <w:divBdr>
                                    <w:top w:val="none" w:sz="0" w:space="0" w:color="auto"/>
                                    <w:left w:val="none" w:sz="0" w:space="0" w:color="auto"/>
                                    <w:bottom w:val="none" w:sz="0" w:space="0" w:color="auto"/>
                                    <w:right w:val="none" w:sz="0" w:space="0" w:color="auto"/>
                                  </w:divBdr>
                                </w:div>
                              </w:divsChild>
                            </w:div>
                            <w:div w:id="2098359250">
                              <w:marLeft w:val="0"/>
                              <w:marRight w:val="0"/>
                              <w:marTop w:val="0"/>
                              <w:marBottom w:val="0"/>
                              <w:divBdr>
                                <w:top w:val="none" w:sz="0" w:space="0" w:color="auto"/>
                                <w:left w:val="none" w:sz="0" w:space="0" w:color="auto"/>
                                <w:bottom w:val="none" w:sz="0" w:space="0" w:color="auto"/>
                                <w:right w:val="none" w:sz="0" w:space="0" w:color="auto"/>
                              </w:divBdr>
                              <w:divsChild>
                                <w:div w:id="3192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65853">
                          <w:marLeft w:val="0"/>
                          <w:marRight w:val="0"/>
                          <w:marTop w:val="0"/>
                          <w:marBottom w:val="0"/>
                          <w:divBdr>
                            <w:top w:val="none" w:sz="0" w:space="0" w:color="auto"/>
                            <w:left w:val="none" w:sz="0" w:space="0" w:color="auto"/>
                            <w:bottom w:val="none" w:sz="0" w:space="0" w:color="auto"/>
                            <w:right w:val="none" w:sz="0" w:space="0" w:color="auto"/>
                          </w:divBdr>
                          <w:divsChild>
                            <w:div w:id="1535919228">
                              <w:marLeft w:val="0"/>
                              <w:marRight w:val="0"/>
                              <w:marTop w:val="0"/>
                              <w:marBottom w:val="0"/>
                              <w:divBdr>
                                <w:top w:val="none" w:sz="0" w:space="0" w:color="auto"/>
                                <w:left w:val="none" w:sz="0" w:space="0" w:color="auto"/>
                                <w:bottom w:val="none" w:sz="0" w:space="0" w:color="auto"/>
                                <w:right w:val="none" w:sz="0" w:space="0" w:color="auto"/>
                              </w:divBdr>
                            </w:div>
                            <w:div w:id="1688218450">
                              <w:marLeft w:val="0"/>
                              <w:marRight w:val="0"/>
                              <w:marTop w:val="0"/>
                              <w:marBottom w:val="0"/>
                              <w:divBdr>
                                <w:top w:val="none" w:sz="0" w:space="0" w:color="auto"/>
                                <w:left w:val="none" w:sz="0" w:space="0" w:color="auto"/>
                                <w:bottom w:val="none" w:sz="0" w:space="0" w:color="auto"/>
                                <w:right w:val="none" w:sz="0" w:space="0" w:color="auto"/>
                              </w:divBdr>
                              <w:divsChild>
                                <w:div w:id="1904825049">
                                  <w:marLeft w:val="0"/>
                                  <w:marRight w:val="0"/>
                                  <w:marTop w:val="0"/>
                                  <w:marBottom w:val="0"/>
                                  <w:divBdr>
                                    <w:top w:val="none" w:sz="0" w:space="0" w:color="auto"/>
                                    <w:left w:val="none" w:sz="0" w:space="0" w:color="auto"/>
                                    <w:bottom w:val="none" w:sz="0" w:space="0" w:color="auto"/>
                                    <w:right w:val="none" w:sz="0" w:space="0" w:color="auto"/>
                                  </w:divBdr>
                                </w:div>
                              </w:divsChild>
                            </w:div>
                            <w:div w:id="1946965022">
                              <w:marLeft w:val="0"/>
                              <w:marRight w:val="0"/>
                              <w:marTop w:val="0"/>
                              <w:marBottom w:val="0"/>
                              <w:divBdr>
                                <w:top w:val="none" w:sz="0" w:space="0" w:color="auto"/>
                                <w:left w:val="none" w:sz="0" w:space="0" w:color="auto"/>
                                <w:bottom w:val="none" w:sz="0" w:space="0" w:color="auto"/>
                                <w:right w:val="none" w:sz="0" w:space="0" w:color="auto"/>
                              </w:divBdr>
                              <w:divsChild>
                                <w:div w:id="2100323778">
                                  <w:marLeft w:val="0"/>
                                  <w:marRight w:val="0"/>
                                  <w:marTop w:val="0"/>
                                  <w:marBottom w:val="0"/>
                                  <w:divBdr>
                                    <w:top w:val="none" w:sz="0" w:space="0" w:color="auto"/>
                                    <w:left w:val="none" w:sz="0" w:space="0" w:color="auto"/>
                                    <w:bottom w:val="none" w:sz="0" w:space="0" w:color="auto"/>
                                    <w:right w:val="none" w:sz="0" w:space="0" w:color="auto"/>
                                  </w:divBdr>
                                </w:div>
                              </w:divsChild>
                            </w:div>
                            <w:div w:id="1238007478">
                              <w:marLeft w:val="0"/>
                              <w:marRight w:val="0"/>
                              <w:marTop w:val="0"/>
                              <w:marBottom w:val="0"/>
                              <w:divBdr>
                                <w:top w:val="none" w:sz="0" w:space="0" w:color="auto"/>
                                <w:left w:val="none" w:sz="0" w:space="0" w:color="auto"/>
                                <w:bottom w:val="none" w:sz="0" w:space="0" w:color="auto"/>
                                <w:right w:val="none" w:sz="0" w:space="0" w:color="auto"/>
                              </w:divBdr>
                              <w:divsChild>
                                <w:div w:id="717053493">
                                  <w:marLeft w:val="0"/>
                                  <w:marRight w:val="0"/>
                                  <w:marTop w:val="0"/>
                                  <w:marBottom w:val="0"/>
                                  <w:divBdr>
                                    <w:top w:val="none" w:sz="0" w:space="0" w:color="auto"/>
                                    <w:left w:val="none" w:sz="0" w:space="0" w:color="auto"/>
                                    <w:bottom w:val="none" w:sz="0" w:space="0" w:color="auto"/>
                                    <w:right w:val="none" w:sz="0" w:space="0" w:color="auto"/>
                                  </w:divBdr>
                                </w:div>
                              </w:divsChild>
                            </w:div>
                            <w:div w:id="1194609552">
                              <w:marLeft w:val="0"/>
                              <w:marRight w:val="0"/>
                              <w:marTop w:val="0"/>
                              <w:marBottom w:val="0"/>
                              <w:divBdr>
                                <w:top w:val="none" w:sz="0" w:space="0" w:color="auto"/>
                                <w:left w:val="none" w:sz="0" w:space="0" w:color="auto"/>
                                <w:bottom w:val="none" w:sz="0" w:space="0" w:color="auto"/>
                                <w:right w:val="none" w:sz="0" w:space="0" w:color="auto"/>
                              </w:divBdr>
                              <w:divsChild>
                                <w:div w:id="1005746583">
                                  <w:marLeft w:val="0"/>
                                  <w:marRight w:val="0"/>
                                  <w:marTop w:val="0"/>
                                  <w:marBottom w:val="0"/>
                                  <w:divBdr>
                                    <w:top w:val="none" w:sz="0" w:space="0" w:color="auto"/>
                                    <w:left w:val="none" w:sz="0" w:space="0" w:color="auto"/>
                                    <w:bottom w:val="none" w:sz="0" w:space="0" w:color="auto"/>
                                    <w:right w:val="none" w:sz="0" w:space="0" w:color="auto"/>
                                  </w:divBdr>
                                </w:div>
                              </w:divsChild>
                            </w:div>
                            <w:div w:id="1497530055">
                              <w:marLeft w:val="0"/>
                              <w:marRight w:val="0"/>
                              <w:marTop w:val="0"/>
                              <w:marBottom w:val="0"/>
                              <w:divBdr>
                                <w:top w:val="none" w:sz="0" w:space="0" w:color="auto"/>
                                <w:left w:val="none" w:sz="0" w:space="0" w:color="auto"/>
                                <w:bottom w:val="none" w:sz="0" w:space="0" w:color="auto"/>
                                <w:right w:val="none" w:sz="0" w:space="0" w:color="auto"/>
                              </w:divBdr>
                              <w:divsChild>
                                <w:div w:id="1889800833">
                                  <w:marLeft w:val="0"/>
                                  <w:marRight w:val="0"/>
                                  <w:marTop w:val="0"/>
                                  <w:marBottom w:val="0"/>
                                  <w:divBdr>
                                    <w:top w:val="none" w:sz="0" w:space="0" w:color="auto"/>
                                    <w:left w:val="none" w:sz="0" w:space="0" w:color="auto"/>
                                    <w:bottom w:val="none" w:sz="0" w:space="0" w:color="auto"/>
                                    <w:right w:val="none" w:sz="0" w:space="0" w:color="auto"/>
                                  </w:divBdr>
                                </w:div>
                              </w:divsChild>
                            </w:div>
                            <w:div w:id="800419425">
                              <w:marLeft w:val="0"/>
                              <w:marRight w:val="0"/>
                              <w:marTop w:val="0"/>
                              <w:marBottom w:val="0"/>
                              <w:divBdr>
                                <w:top w:val="none" w:sz="0" w:space="0" w:color="auto"/>
                                <w:left w:val="none" w:sz="0" w:space="0" w:color="auto"/>
                                <w:bottom w:val="none" w:sz="0" w:space="0" w:color="auto"/>
                                <w:right w:val="none" w:sz="0" w:space="0" w:color="auto"/>
                              </w:divBdr>
                              <w:divsChild>
                                <w:div w:id="1350644984">
                                  <w:marLeft w:val="0"/>
                                  <w:marRight w:val="0"/>
                                  <w:marTop w:val="0"/>
                                  <w:marBottom w:val="0"/>
                                  <w:divBdr>
                                    <w:top w:val="none" w:sz="0" w:space="0" w:color="auto"/>
                                    <w:left w:val="none" w:sz="0" w:space="0" w:color="auto"/>
                                    <w:bottom w:val="none" w:sz="0" w:space="0" w:color="auto"/>
                                    <w:right w:val="none" w:sz="0" w:space="0" w:color="auto"/>
                                  </w:divBdr>
                                </w:div>
                              </w:divsChild>
                            </w:div>
                            <w:div w:id="1599554734">
                              <w:marLeft w:val="0"/>
                              <w:marRight w:val="0"/>
                              <w:marTop w:val="0"/>
                              <w:marBottom w:val="0"/>
                              <w:divBdr>
                                <w:top w:val="none" w:sz="0" w:space="0" w:color="auto"/>
                                <w:left w:val="none" w:sz="0" w:space="0" w:color="auto"/>
                                <w:bottom w:val="none" w:sz="0" w:space="0" w:color="auto"/>
                                <w:right w:val="none" w:sz="0" w:space="0" w:color="auto"/>
                              </w:divBdr>
                              <w:divsChild>
                                <w:div w:id="5054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6072">
                          <w:marLeft w:val="0"/>
                          <w:marRight w:val="0"/>
                          <w:marTop w:val="0"/>
                          <w:marBottom w:val="0"/>
                          <w:divBdr>
                            <w:top w:val="none" w:sz="0" w:space="0" w:color="auto"/>
                            <w:left w:val="none" w:sz="0" w:space="0" w:color="auto"/>
                            <w:bottom w:val="none" w:sz="0" w:space="0" w:color="auto"/>
                            <w:right w:val="none" w:sz="0" w:space="0" w:color="auto"/>
                          </w:divBdr>
                          <w:divsChild>
                            <w:div w:id="458958880">
                              <w:marLeft w:val="0"/>
                              <w:marRight w:val="0"/>
                              <w:marTop w:val="0"/>
                              <w:marBottom w:val="0"/>
                              <w:divBdr>
                                <w:top w:val="none" w:sz="0" w:space="0" w:color="auto"/>
                                <w:left w:val="none" w:sz="0" w:space="0" w:color="auto"/>
                                <w:bottom w:val="none" w:sz="0" w:space="0" w:color="auto"/>
                                <w:right w:val="none" w:sz="0" w:space="0" w:color="auto"/>
                              </w:divBdr>
                            </w:div>
                            <w:div w:id="1169365496">
                              <w:marLeft w:val="0"/>
                              <w:marRight w:val="0"/>
                              <w:marTop w:val="0"/>
                              <w:marBottom w:val="0"/>
                              <w:divBdr>
                                <w:top w:val="none" w:sz="0" w:space="0" w:color="auto"/>
                                <w:left w:val="none" w:sz="0" w:space="0" w:color="auto"/>
                                <w:bottom w:val="none" w:sz="0" w:space="0" w:color="auto"/>
                                <w:right w:val="none" w:sz="0" w:space="0" w:color="auto"/>
                              </w:divBdr>
                              <w:divsChild>
                                <w:div w:id="1512527663">
                                  <w:marLeft w:val="0"/>
                                  <w:marRight w:val="0"/>
                                  <w:marTop w:val="0"/>
                                  <w:marBottom w:val="0"/>
                                  <w:divBdr>
                                    <w:top w:val="none" w:sz="0" w:space="0" w:color="auto"/>
                                    <w:left w:val="none" w:sz="0" w:space="0" w:color="auto"/>
                                    <w:bottom w:val="none" w:sz="0" w:space="0" w:color="auto"/>
                                    <w:right w:val="none" w:sz="0" w:space="0" w:color="auto"/>
                                  </w:divBdr>
                                </w:div>
                              </w:divsChild>
                            </w:div>
                            <w:div w:id="1293634502">
                              <w:marLeft w:val="0"/>
                              <w:marRight w:val="0"/>
                              <w:marTop w:val="0"/>
                              <w:marBottom w:val="0"/>
                              <w:divBdr>
                                <w:top w:val="none" w:sz="0" w:space="0" w:color="auto"/>
                                <w:left w:val="none" w:sz="0" w:space="0" w:color="auto"/>
                                <w:bottom w:val="none" w:sz="0" w:space="0" w:color="auto"/>
                                <w:right w:val="none" w:sz="0" w:space="0" w:color="auto"/>
                              </w:divBdr>
                              <w:divsChild>
                                <w:div w:id="1118183979">
                                  <w:marLeft w:val="0"/>
                                  <w:marRight w:val="0"/>
                                  <w:marTop w:val="0"/>
                                  <w:marBottom w:val="0"/>
                                  <w:divBdr>
                                    <w:top w:val="none" w:sz="0" w:space="0" w:color="auto"/>
                                    <w:left w:val="none" w:sz="0" w:space="0" w:color="auto"/>
                                    <w:bottom w:val="none" w:sz="0" w:space="0" w:color="auto"/>
                                    <w:right w:val="none" w:sz="0" w:space="0" w:color="auto"/>
                                  </w:divBdr>
                                </w:div>
                              </w:divsChild>
                            </w:div>
                            <w:div w:id="1134640739">
                              <w:marLeft w:val="0"/>
                              <w:marRight w:val="0"/>
                              <w:marTop w:val="0"/>
                              <w:marBottom w:val="0"/>
                              <w:divBdr>
                                <w:top w:val="none" w:sz="0" w:space="0" w:color="auto"/>
                                <w:left w:val="none" w:sz="0" w:space="0" w:color="auto"/>
                                <w:bottom w:val="none" w:sz="0" w:space="0" w:color="auto"/>
                                <w:right w:val="none" w:sz="0" w:space="0" w:color="auto"/>
                              </w:divBdr>
                              <w:divsChild>
                                <w:div w:id="369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47744">
                          <w:marLeft w:val="0"/>
                          <w:marRight w:val="0"/>
                          <w:marTop w:val="0"/>
                          <w:marBottom w:val="0"/>
                          <w:divBdr>
                            <w:top w:val="none" w:sz="0" w:space="0" w:color="auto"/>
                            <w:left w:val="none" w:sz="0" w:space="0" w:color="auto"/>
                            <w:bottom w:val="none" w:sz="0" w:space="0" w:color="auto"/>
                            <w:right w:val="none" w:sz="0" w:space="0" w:color="auto"/>
                          </w:divBdr>
                          <w:divsChild>
                            <w:div w:id="30306147">
                              <w:marLeft w:val="0"/>
                              <w:marRight w:val="0"/>
                              <w:marTop w:val="0"/>
                              <w:marBottom w:val="0"/>
                              <w:divBdr>
                                <w:top w:val="none" w:sz="0" w:space="0" w:color="auto"/>
                                <w:left w:val="none" w:sz="0" w:space="0" w:color="auto"/>
                                <w:bottom w:val="none" w:sz="0" w:space="0" w:color="auto"/>
                                <w:right w:val="none" w:sz="0" w:space="0" w:color="auto"/>
                              </w:divBdr>
                            </w:div>
                          </w:divsChild>
                        </w:div>
                        <w:div w:id="38941586">
                          <w:marLeft w:val="0"/>
                          <w:marRight w:val="0"/>
                          <w:marTop w:val="0"/>
                          <w:marBottom w:val="0"/>
                          <w:divBdr>
                            <w:top w:val="none" w:sz="0" w:space="0" w:color="auto"/>
                            <w:left w:val="none" w:sz="0" w:space="0" w:color="auto"/>
                            <w:bottom w:val="none" w:sz="0" w:space="0" w:color="auto"/>
                            <w:right w:val="none" w:sz="0" w:space="0" w:color="auto"/>
                          </w:divBdr>
                          <w:divsChild>
                            <w:div w:id="1761171147">
                              <w:marLeft w:val="0"/>
                              <w:marRight w:val="0"/>
                              <w:marTop w:val="0"/>
                              <w:marBottom w:val="0"/>
                              <w:divBdr>
                                <w:top w:val="none" w:sz="0" w:space="0" w:color="auto"/>
                                <w:left w:val="none" w:sz="0" w:space="0" w:color="auto"/>
                                <w:bottom w:val="none" w:sz="0" w:space="0" w:color="auto"/>
                                <w:right w:val="none" w:sz="0" w:space="0" w:color="auto"/>
                              </w:divBdr>
                            </w:div>
                            <w:div w:id="707023153">
                              <w:marLeft w:val="0"/>
                              <w:marRight w:val="0"/>
                              <w:marTop w:val="0"/>
                              <w:marBottom w:val="0"/>
                              <w:divBdr>
                                <w:top w:val="none" w:sz="0" w:space="0" w:color="auto"/>
                                <w:left w:val="none" w:sz="0" w:space="0" w:color="auto"/>
                                <w:bottom w:val="none" w:sz="0" w:space="0" w:color="auto"/>
                                <w:right w:val="none" w:sz="0" w:space="0" w:color="auto"/>
                              </w:divBdr>
                              <w:divsChild>
                                <w:div w:id="561872846">
                                  <w:marLeft w:val="0"/>
                                  <w:marRight w:val="0"/>
                                  <w:marTop w:val="0"/>
                                  <w:marBottom w:val="0"/>
                                  <w:divBdr>
                                    <w:top w:val="none" w:sz="0" w:space="0" w:color="auto"/>
                                    <w:left w:val="none" w:sz="0" w:space="0" w:color="auto"/>
                                    <w:bottom w:val="none" w:sz="0" w:space="0" w:color="auto"/>
                                    <w:right w:val="none" w:sz="0" w:space="0" w:color="auto"/>
                                  </w:divBdr>
                                  <w:divsChild>
                                    <w:div w:id="1297373026">
                                      <w:marLeft w:val="0"/>
                                      <w:marRight w:val="0"/>
                                      <w:marTop w:val="0"/>
                                      <w:marBottom w:val="0"/>
                                      <w:divBdr>
                                        <w:top w:val="none" w:sz="0" w:space="0" w:color="auto"/>
                                        <w:left w:val="none" w:sz="0" w:space="0" w:color="auto"/>
                                        <w:bottom w:val="none" w:sz="0" w:space="0" w:color="auto"/>
                                        <w:right w:val="none" w:sz="0" w:space="0" w:color="auto"/>
                                      </w:divBdr>
                                      <w:divsChild>
                                        <w:div w:id="973290065">
                                          <w:marLeft w:val="0"/>
                                          <w:marRight w:val="0"/>
                                          <w:marTop w:val="120"/>
                                          <w:marBottom w:val="0"/>
                                          <w:divBdr>
                                            <w:top w:val="none" w:sz="0" w:space="0" w:color="auto"/>
                                            <w:left w:val="none" w:sz="0" w:space="0" w:color="auto"/>
                                            <w:bottom w:val="none" w:sz="0" w:space="0" w:color="auto"/>
                                            <w:right w:val="none" w:sz="0" w:space="0" w:color="auto"/>
                                          </w:divBdr>
                                        </w:div>
                                        <w:div w:id="1371566270">
                                          <w:marLeft w:val="0"/>
                                          <w:marRight w:val="0"/>
                                          <w:marTop w:val="0"/>
                                          <w:marBottom w:val="0"/>
                                          <w:divBdr>
                                            <w:top w:val="none" w:sz="0" w:space="0" w:color="auto"/>
                                            <w:left w:val="none" w:sz="0" w:space="0" w:color="auto"/>
                                            <w:bottom w:val="none" w:sz="0" w:space="0" w:color="auto"/>
                                            <w:right w:val="none" w:sz="0" w:space="0" w:color="auto"/>
                                          </w:divBdr>
                                        </w:div>
                                      </w:divsChild>
                                    </w:div>
                                    <w:div w:id="1845242717">
                                      <w:marLeft w:val="0"/>
                                      <w:marRight w:val="0"/>
                                      <w:marTop w:val="0"/>
                                      <w:marBottom w:val="0"/>
                                      <w:divBdr>
                                        <w:top w:val="none" w:sz="0" w:space="0" w:color="auto"/>
                                        <w:left w:val="none" w:sz="0" w:space="0" w:color="auto"/>
                                        <w:bottom w:val="none" w:sz="0" w:space="0" w:color="auto"/>
                                        <w:right w:val="none" w:sz="0" w:space="0" w:color="auto"/>
                                      </w:divBdr>
                                      <w:divsChild>
                                        <w:div w:id="1923679703">
                                          <w:marLeft w:val="0"/>
                                          <w:marRight w:val="0"/>
                                          <w:marTop w:val="120"/>
                                          <w:marBottom w:val="0"/>
                                          <w:divBdr>
                                            <w:top w:val="none" w:sz="0" w:space="0" w:color="auto"/>
                                            <w:left w:val="none" w:sz="0" w:space="0" w:color="auto"/>
                                            <w:bottom w:val="none" w:sz="0" w:space="0" w:color="auto"/>
                                            <w:right w:val="none" w:sz="0" w:space="0" w:color="auto"/>
                                          </w:divBdr>
                                        </w:div>
                                        <w:div w:id="47460345">
                                          <w:marLeft w:val="0"/>
                                          <w:marRight w:val="0"/>
                                          <w:marTop w:val="0"/>
                                          <w:marBottom w:val="0"/>
                                          <w:divBdr>
                                            <w:top w:val="none" w:sz="0" w:space="0" w:color="auto"/>
                                            <w:left w:val="none" w:sz="0" w:space="0" w:color="auto"/>
                                            <w:bottom w:val="none" w:sz="0" w:space="0" w:color="auto"/>
                                            <w:right w:val="none" w:sz="0" w:space="0" w:color="auto"/>
                                          </w:divBdr>
                                        </w:div>
                                      </w:divsChild>
                                    </w:div>
                                    <w:div w:id="1849368514">
                                      <w:marLeft w:val="0"/>
                                      <w:marRight w:val="0"/>
                                      <w:marTop w:val="0"/>
                                      <w:marBottom w:val="0"/>
                                      <w:divBdr>
                                        <w:top w:val="none" w:sz="0" w:space="0" w:color="auto"/>
                                        <w:left w:val="none" w:sz="0" w:space="0" w:color="auto"/>
                                        <w:bottom w:val="none" w:sz="0" w:space="0" w:color="auto"/>
                                        <w:right w:val="none" w:sz="0" w:space="0" w:color="auto"/>
                                      </w:divBdr>
                                      <w:divsChild>
                                        <w:div w:id="595018862">
                                          <w:marLeft w:val="0"/>
                                          <w:marRight w:val="0"/>
                                          <w:marTop w:val="120"/>
                                          <w:marBottom w:val="0"/>
                                          <w:divBdr>
                                            <w:top w:val="none" w:sz="0" w:space="0" w:color="auto"/>
                                            <w:left w:val="none" w:sz="0" w:space="0" w:color="auto"/>
                                            <w:bottom w:val="none" w:sz="0" w:space="0" w:color="auto"/>
                                            <w:right w:val="none" w:sz="0" w:space="0" w:color="auto"/>
                                          </w:divBdr>
                                        </w:div>
                                        <w:div w:id="1033112896">
                                          <w:marLeft w:val="0"/>
                                          <w:marRight w:val="0"/>
                                          <w:marTop w:val="0"/>
                                          <w:marBottom w:val="0"/>
                                          <w:divBdr>
                                            <w:top w:val="none" w:sz="0" w:space="0" w:color="auto"/>
                                            <w:left w:val="none" w:sz="0" w:space="0" w:color="auto"/>
                                            <w:bottom w:val="none" w:sz="0" w:space="0" w:color="auto"/>
                                            <w:right w:val="none" w:sz="0" w:space="0" w:color="auto"/>
                                          </w:divBdr>
                                        </w:div>
                                      </w:divsChild>
                                    </w:div>
                                    <w:div w:id="921836649">
                                      <w:marLeft w:val="0"/>
                                      <w:marRight w:val="0"/>
                                      <w:marTop w:val="0"/>
                                      <w:marBottom w:val="0"/>
                                      <w:divBdr>
                                        <w:top w:val="none" w:sz="0" w:space="0" w:color="auto"/>
                                        <w:left w:val="none" w:sz="0" w:space="0" w:color="auto"/>
                                        <w:bottom w:val="none" w:sz="0" w:space="0" w:color="auto"/>
                                        <w:right w:val="none" w:sz="0" w:space="0" w:color="auto"/>
                                      </w:divBdr>
                                      <w:divsChild>
                                        <w:div w:id="1488593308">
                                          <w:marLeft w:val="0"/>
                                          <w:marRight w:val="0"/>
                                          <w:marTop w:val="120"/>
                                          <w:marBottom w:val="0"/>
                                          <w:divBdr>
                                            <w:top w:val="none" w:sz="0" w:space="0" w:color="auto"/>
                                            <w:left w:val="none" w:sz="0" w:space="0" w:color="auto"/>
                                            <w:bottom w:val="none" w:sz="0" w:space="0" w:color="auto"/>
                                            <w:right w:val="none" w:sz="0" w:space="0" w:color="auto"/>
                                          </w:divBdr>
                                        </w:div>
                                        <w:div w:id="1696038061">
                                          <w:marLeft w:val="0"/>
                                          <w:marRight w:val="0"/>
                                          <w:marTop w:val="0"/>
                                          <w:marBottom w:val="0"/>
                                          <w:divBdr>
                                            <w:top w:val="none" w:sz="0" w:space="0" w:color="auto"/>
                                            <w:left w:val="none" w:sz="0" w:space="0" w:color="auto"/>
                                            <w:bottom w:val="none" w:sz="0" w:space="0" w:color="auto"/>
                                            <w:right w:val="none" w:sz="0" w:space="0" w:color="auto"/>
                                          </w:divBdr>
                                        </w:div>
                                      </w:divsChild>
                                    </w:div>
                                    <w:div w:id="123084263">
                                      <w:marLeft w:val="0"/>
                                      <w:marRight w:val="0"/>
                                      <w:marTop w:val="0"/>
                                      <w:marBottom w:val="0"/>
                                      <w:divBdr>
                                        <w:top w:val="none" w:sz="0" w:space="0" w:color="auto"/>
                                        <w:left w:val="none" w:sz="0" w:space="0" w:color="auto"/>
                                        <w:bottom w:val="none" w:sz="0" w:space="0" w:color="auto"/>
                                        <w:right w:val="none" w:sz="0" w:space="0" w:color="auto"/>
                                      </w:divBdr>
                                      <w:divsChild>
                                        <w:div w:id="1923297144">
                                          <w:marLeft w:val="0"/>
                                          <w:marRight w:val="0"/>
                                          <w:marTop w:val="120"/>
                                          <w:marBottom w:val="0"/>
                                          <w:divBdr>
                                            <w:top w:val="none" w:sz="0" w:space="0" w:color="auto"/>
                                            <w:left w:val="none" w:sz="0" w:space="0" w:color="auto"/>
                                            <w:bottom w:val="none" w:sz="0" w:space="0" w:color="auto"/>
                                            <w:right w:val="none" w:sz="0" w:space="0" w:color="auto"/>
                                          </w:divBdr>
                                        </w:div>
                                        <w:div w:id="363022998">
                                          <w:marLeft w:val="0"/>
                                          <w:marRight w:val="0"/>
                                          <w:marTop w:val="0"/>
                                          <w:marBottom w:val="0"/>
                                          <w:divBdr>
                                            <w:top w:val="none" w:sz="0" w:space="0" w:color="auto"/>
                                            <w:left w:val="none" w:sz="0" w:space="0" w:color="auto"/>
                                            <w:bottom w:val="none" w:sz="0" w:space="0" w:color="auto"/>
                                            <w:right w:val="none" w:sz="0" w:space="0" w:color="auto"/>
                                          </w:divBdr>
                                        </w:div>
                                      </w:divsChild>
                                    </w:div>
                                    <w:div w:id="2124615000">
                                      <w:marLeft w:val="0"/>
                                      <w:marRight w:val="0"/>
                                      <w:marTop w:val="0"/>
                                      <w:marBottom w:val="0"/>
                                      <w:divBdr>
                                        <w:top w:val="none" w:sz="0" w:space="0" w:color="auto"/>
                                        <w:left w:val="none" w:sz="0" w:space="0" w:color="auto"/>
                                        <w:bottom w:val="none" w:sz="0" w:space="0" w:color="auto"/>
                                        <w:right w:val="none" w:sz="0" w:space="0" w:color="auto"/>
                                      </w:divBdr>
                                      <w:divsChild>
                                        <w:div w:id="1098066409">
                                          <w:marLeft w:val="0"/>
                                          <w:marRight w:val="0"/>
                                          <w:marTop w:val="120"/>
                                          <w:marBottom w:val="0"/>
                                          <w:divBdr>
                                            <w:top w:val="none" w:sz="0" w:space="0" w:color="auto"/>
                                            <w:left w:val="none" w:sz="0" w:space="0" w:color="auto"/>
                                            <w:bottom w:val="none" w:sz="0" w:space="0" w:color="auto"/>
                                            <w:right w:val="none" w:sz="0" w:space="0" w:color="auto"/>
                                          </w:divBdr>
                                        </w:div>
                                        <w:div w:id="1781679516">
                                          <w:marLeft w:val="0"/>
                                          <w:marRight w:val="0"/>
                                          <w:marTop w:val="0"/>
                                          <w:marBottom w:val="0"/>
                                          <w:divBdr>
                                            <w:top w:val="none" w:sz="0" w:space="0" w:color="auto"/>
                                            <w:left w:val="none" w:sz="0" w:space="0" w:color="auto"/>
                                            <w:bottom w:val="none" w:sz="0" w:space="0" w:color="auto"/>
                                            <w:right w:val="none" w:sz="0" w:space="0" w:color="auto"/>
                                          </w:divBdr>
                                        </w:div>
                                      </w:divsChild>
                                    </w:div>
                                    <w:div w:id="1657763864">
                                      <w:marLeft w:val="0"/>
                                      <w:marRight w:val="0"/>
                                      <w:marTop w:val="0"/>
                                      <w:marBottom w:val="0"/>
                                      <w:divBdr>
                                        <w:top w:val="none" w:sz="0" w:space="0" w:color="auto"/>
                                        <w:left w:val="none" w:sz="0" w:space="0" w:color="auto"/>
                                        <w:bottom w:val="none" w:sz="0" w:space="0" w:color="auto"/>
                                        <w:right w:val="none" w:sz="0" w:space="0" w:color="auto"/>
                                      </w:divBdr>
                                      <w:divsChild>
                                        <w:div w:id="1869951398">
                                          <w:marLeft w:val="0"/>
                                          <w:marRight w:val="0"/>
                                          <w:marTop w:val="120"/>
                                          <w:marBottom w:val="0"/>
                                          <w:divBdr>
                                            <w:top w:val="none" w:sz="0" w:space="0" w:color="auto"/>
                                            <w:left w:val="none" w:sz="0" w:space="0" w:color="auto"/>
                                            <w:bottom w:val="none" w:sz="0" w:space="0" w:color="auto"/>
                                            <w:right w:val="none" w:sz="0" w:space="0" w:color="auto"/>
                                          </w:divBdr>
                                        </w:div>
                                        <w:div w:id="1274090296">
                                          <w:marLeft w:val="0"/>
                                          <w:marRight w:val="0"/>
                                          <w:marTop w:val="0"/>
                                          <w:marBottom w:val="0"/>
                                          <w:divBdr>
                                            <w:top w:val="none" w:sz="0" w:space="0" w:color="auto"/>
                                            <w:left w:val="none" w:sz="0" w:space="0" w:color="auto"/>
                                            <w:bottom w:val="none" w:sz="0" w:space="0" w:color="auto"/>
                                            <w:right w:val="none" w:sz="0" w:space="0" w:color="auto"/>
                                          </w:divBdr>
                                        </w:div>
                                      </w:divsChild>
                                    </w:div>
                                    <w:div w:id="2145921914">
                                      <w:marLeft w:val="0"/>
                                      <w:marRight w:val="0"/>
                                      <w:marTop w:val="0"/>
                                      <w:marBottom w:val="0"/>
                                      <w:divBdr>
                                        <w:top w:val="none" w:sz="0" w:space="0" w:color="auto"/>
                                        <w:left w:val="none" w:sz="0" w:space="0" w:color="auto"/>
                                        <w:bottom w:val="none" w:sz="0" w:space="0" w:color="auto"/>
                                        <w:right w:val="none" w:sz="0" w:space="0" w:color="auto"/>
                                      </w:divBdr>
                                      <w:divsChild>
                                        <w:div w:id="1299605378">
                                          <w:marLeft w:val="0"/>
                                          <w:marRight w:val="0"/>
                                          <w:marTop w:val="120"/>
                                          <w:marBottom w:val="0"/>
                                          <w:divBdr>
                                            <w:top w:val="none" w:sz="0" w:space="0" w:color="auto"/>
                                            <w:left w:val="none" w:sz="0" w:space="0" w:color="auto"/>
                                            <w:bottom w:val="none" w:sz="0" w:space="0" w:color="auto"/>
                                            <w:right w:val="none" w:sz="0" w:space="0" w:color="auto"/>
                                          </w:divBdr>
                                        </w:div>
                                        <w:div w:id="92828853">
                                          <w:marLeft w:val="0"/>
                                          <w:marRight w:val="0"/>
                                          <w:marTop w:val="0"/>
                                          <w:marBottom w:val="0"/>
                                          <w:divBdr>
                                            <w:top w:val="none" w:sz="0" w:space="0" w:color="auto"/>
                                            <w:left w:val="none" w:sz="0" w:space="0" w:color="auto"/>
                                            <w:bottom w:val="none" w:sz="0" w:space="0" w:color="auto"/>
                                            <w:right w:val="none" w:sz="0" w:space="0" w:color="auto"/>
                                          </w:divBdr>
                                        </w:div>
                                      </w:divsChild>
                                    </w:div>
                                    <w:div w:id="421025802">
                                      <w:marLeft w:val="0"/>
                                      <w:marRight w:val="0"/>
                                      <w:marTop w:val="0"/>
                                      <w:marBottom w:val="0"/>
                                      <w:divBdr>
                                        <w:top w:val="none" w:sz="0" w:space="0" w:color="auto"/>
                                        <w:left w:val="none" w:sz="0" w:space="0" w:color="auto"/>
                                        <w:bottom w:val="none" w:sz="0" w:space="0" w:color="auto"/>
                                        <w:right w:val="none" w:sz="0" w:space="0" w:color="auto"/>
                                      </w:divBdr>
                                      <w:divsChild>
                                        <w:div w:id="73548551">
                                          <w:marLeft w:val="0"/>
                                          <w:marRight w:val="0"/>
                                          <w:marTop w:val="120"/>
                                          <w:marBottom w:val="0"/>
                                          <w:divBdr>
                                            <w:top w:val="none" w:sz="0" w:space="0" w:color="auto"/>
                                            <w:left w:val="none" w:sz="0" w:space="0" w:color="auto"/>
                                            <w:bottom w:val="none" w:sz="0" w:space="0" w:color="auto"/>
                                            <w:right w:val="none" w:sz="0" w:space="0" w:color="auto"/>
                                          </w:divBdr>
                                        </w:div>
                                        <w:div w:id="182041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89379">
                              <w:marLeft w:val="0"/>
                              <w:marRight w:val="0"/>
                              <w:marTop w:val="0"/>
                              <w:marBottom w:val="0"/>
                              <w:divBdr>
                                <w:top w:val="none" w:sz="0" w:space="0" w:color="auto"/>
                                <w:left w:val="none" w:sz="0" w:space="0" w:color="auto"/>
                                <w:bottom w:val="none" w:sz="0" w:space="0" w:color="auto"/>
                                <w:right w:val="none" w:sz="0" w:space="0" w:color="auto"/>
                              </w:divBdr>
                              <w:divsChild>
                                <w:div w:id="2015646929">
                                  <w:marLeft w:val="0"/>
                                  <w:marRight w:val="0"/>
                                  <w:marTop w:val="0"/>
                                  <w:marBottom w:val="0"/>
                                  <w:divBdr>
                                    <w:top w:val="none" w:sz="0" w:space="0" w:color="auto"/>
                                    <w:left w:val="none" w:sz="0" w:space="0" w:color="auto"/>
                                    <w:bottom w:val="none" w:sz="0" w:space="0" w:color="auto"/>
                                    <w:right w:val="none" w:sz="0" w:space="0" w:color="auto"/>
                                  </w:divBdr>
                                </w:div>
                              </w:divsChild>
                            </w:div>
                            <w:div w:id="1858273497">
                              <w:marLeft w:val="0"/>
                              <w:marRight w:val="0"/>
                              <w:marTop w:val="0"/>
                              <w:marBottom w:val="0"/>
                              <w:divBdr>
                                <w:top w:val="none" w:sz="0" w:space="0" w:color="auto"/>
                                <w:left w:val="none" w:sz="0" w:space="0" w:color="auto"/>
                                <w:bottom w:val="none" w:sz="0" w:space="0" w:color="auto"/>
                                <w:right w:val="none" w:sz="0" w:space="0" w:color="auto"/>
                              </w:divBdr>
                              <w:divsChild>
                                <w:div w:id="20835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4508">
                          <w:marLeft w:val="0"/>
                          <w:marRight w:val="0"/>
                          <w:marTop w:val="0"/>
                          <w:marBottom w:val="0"/>
                          <w:divBdr>
                            <w:top w:val="none" w:sz="0" w:space="0" w:color="auto"/>
                            <w:left w:val="none" w:sz="0" w:space="0" w:color="auto"/>
                            <w:bottom w:val="none" w:sz="0" w:space="0" w:color="auto"/>
                            <w:right w:val="none" w:sz="0" w:space="0" w:color="auto"/>
                          </w:divBdr>
                          <w:divsChild>
                            <w:div w:id="1885680003">
                              <w:marLeft w:val="0"/>
                              <w:marRight w:val="0"/>
                              <w:marTop w:val="0"/>
                              <w:marBottom w:val="0"/>
                              <w:divBdr>
                                <w:top w:val="none" w:sz="0" w:space="0" w:color="auto"/>
                                <w:left w:val="none" w:sz="0" w:space="0" w:color="auto"/>
                                <w:bottom w:val="none" w:sz="0" w:space="0" w:color="auto"/>
                                <w:right w:val="none" w:sz="0" w:space="0" w:color="auto"/>
                              </w:divBdr>
                            </w:div>
                          </w:divsChild>
                        </w:div>
                        <w:div w:id="1259366070">
                          <w:marLeft w:val="0"/>
                          <w:marRight w:val="0"/>
                          <w:marTop w:val="0"/>
                          <w:marBottom w:val="0"/>
                          <w:divBdr>
                            <w:top w:val="none" w:sz="0" w:space="0" w:color="auto"/>
                            <w:left w:val="none" w:sz="0" w:space="0" w:color="auto"/>
                            <w:bottom w:val="none" w:sz="0" w:space="0" w:color="auto"/>
                            <w:right w:val="none" w:sz="0" w:space="0" w:color="auto"/>
                          </w:divBdr>
                          <w:divsChild>
                            <w:div w:id="1770004824">
                              <w:marLeft w:val="0"/>
                              <w:marRight w:val="0"/>
                              <w:marTop w:val="0"/>
                              <w:marBottom w:val="0"/>
                              <w:divBdr>
                                <w:top w:val="none" w:sz="0" w:space="0" w:color="auto"/>
                                <w:left w:val="none" w:sz="0" w:space="0" w:color="auto"/>
                                <w:bottom w:val="none" w:sz="0" w:space="0" w:color="auto"/>
                                <w:right w:val="none" w:sz="0" w:space="0" w:color="auto"/>
                              </w:divBdr>
                            </w:div>
                            <w:div w:id="441611248">
                              <w:marLeft w:val="0"/>
                              <w:marRight w:val="0"/>
                              <w:marTop w:val="0"/>
                              <w:marBottom w:val="0"/>
                              <w:divBdr>
                                <w:top w:val="none" w:sz="0" w:space="0" w:color="auto"/>
                                <w:left w:val="none" w:sz="0" w:space="0" w:color="auto"/>
                                <w:bottom w:val="none" w:sz="0" w:space="0" w:color="auto"/>
                                <w:right w:val="none" w:sz="0" w:space="0" w:color="auto"/>
                              </w:divBdr>
                              <w:divsChild>
                                <w:div w:id="1112630506">
                                  <w:marLeft w:val="0"/>
                                  <w:marRight w:val="0"/>
                                  <w:marTop w:val="0"/>
                                  <w:marBottom w:val="0"/>
                                  <w:divBdr>
                                    <w:top w:val="none" w:sz="0" w:space="0" w:color="auto"/>
                                    <w:left w:val="none" w:sz="0" w:space="0" w:color="auto"/>
                                    <w:bottom w:val="none" w:sz="0" w:space="0" w:color="auto"/>
                                    <w:right w:val="none" w:sz="0" w:space="0" w:color="auto"/>
                                  </w:divBdr>
                                  <w:divsChild>
                                    <w:div w:id="1592933567">
                                      <w:marLeft w:val="0"/>
                                      <w:marRight w:val="0"/>
                                      <w:marTop w:val="0"/>
                                      <w:marBottom w:val="0"/>
                                      <w:divBdr>
                                        <w:top w:val="none" w:sz="0" w:space="0" w:color="auto"/>
                                        <w:left w:val="none" w:sz="0" w:space="0" w:color="auto"/>
                                        <w:bottom w:val="none" w:sz="0" w:space="0" w:color="auto"/>
                                        <w:right w:val="none" w:sz="0" w:space="0" w:color="auto"/>
                                      </w:divBdr>
                                      <w:divsChild>
                                        <w:div w:id="856232189">
                                          <w:marLeft w:val="0"/>
                                          <w:marRight w:val="0"/>
                                          <w:marTop w:val="120"/>
                                          <w:marBottom w:val="0"/>
                                          <w:divBdr>
                                            <w:top w:val="none" w:sz="0" w:space="0" w:color="auto"/>
                                            <w:left w:val="none" w:sz="0" w:space="0" w:color="auto"/>
                                            <w:bottom w:val="none" w:sz="0" w:space="0" w:color="auto"/>
                                            <w:right w:val="none" w:sz="0" w:space="0" w:color="auto"/>
                                          </w:divBdr>
                                        </w:div>
                                        <w:div w:id="1383409476">
                                          <w:marLeft w:val="0"/>
                                          <w:marRight w:val="0"/>
                                          <w:marTop w:val="0"/>
                                          <w:marBottom w:val="0"/>
                                          <w:divBdr>
                                            <w:top w:val="none" w:sz="0" w:space="0" w:color="auto"/>
                                            <w:left w:val="none" w:sz="0" w:space="0" w:color="auto"/>
                                            <w:bottom w:val="none" w:sz="0" w:space="0" w:color="auto"/>
                                            <w:right w:val="none" w:sz="0" w:space="0" w:color="auto"/>
                                          </w:divBdr>
                                        </w:div>
                                      </w:divsChild>
                                    </w:div>
                                    <w:div w:id="1249195616">
                                      <w:marLeft w:val="0"/>
                                      <w:marRight w:val="0"/>
                                      <w:marTop w:val="0"/>
                                      <w:marBottom w:val="0"/>
                                      <w:divBdr>
                                        <w:top w:val="none" w:sz="0" w:space="0" w:color="auto"/>
                                        <w:left w:val="none" w:sz="0" w:space="0" w:color="auto"/>
                                        <w:bottom w:val="none" w:sz="0" w:space="0" w:color="auto"/>
                                        <w:right w:val="none" w:sz="0" w:space="0" w:color="auto"/>
                                      </w:divBdr>
                                      <w:divsChild>
                                        <w:div w:id="2123332176">
                                          <w:marLeft w:val="0"/>
                                          <w:marRight w:val="0"/>
                                          <w:marTop w:val="120"/>
                                          <w:marBottom w:val="0"/>
                                          <w:divBdr>
                                            <w:top w:val="none" w:sz="0" w:space="0" w:color="auto"/>
                                            <w:left w:val="none" w:sz="0" w:space="0" w:color="auto"/>
                                            <w:bottom w:val="none" w:sz="0" w:space="0" w:color="auto"/>
                                            <w:right w:val="none" w:sz="0" w:space="0" w:color="auto"/>
                                          </w:divBdr>
                                        </w:div>
                                        <w:div w:id="2099935079">
                                          <w:marLeft w:val="0"/>
                                          <w:marRight w:val="0"/>
                                          <w:marTop w:val="0"/>
                                          <w:marBottom w:val="0"/>
                                          <w:divBdr>
                                            <w:top w:val="none" w:sz="0" w:space="0" w:color="auto"/>
                                            <w:left w:val="none" w:sz="0" w:space="0" w:color="auto"/>
                                            <w:bottom w:val="none" w:sz="0" w:space="0" w:color="auto"/>
                                            <w:right w:val="none" w:sz="0" w:space="0" w:color="auto"/>
                                          </w:divBdr>
                                        </w:div>
                                      </w:divsChild>
                                    </w:div>
                                    <w:div w:id="1813867686">
                                      <w:marLeft w:val="0"/>
                                      <w:marRight w:val="0"/>
                                      <w:marTop w:val="0"/>
                                      <w:marBottom w:val="0"/>
                                      <w:divBdr>
                                        <w:top w:val="none" w:sz="0" w:space="0" w:color="auto"/>
                                        <w:left w:val="none" w:sz="0" w:space="0" w:color="auto"/>
                                        <w:bottom w:val="none" w:sz="0" w:space="0" w:color="auto"/>
                                        <w:right w:val="none" w:sz="0" w:space="0" w:color="auto"/>
                                      </w:divBdr>
                                      <w:divsChild>
                                        <w:div w:id="674846414">
                                          <w:marLeft w:val="0"/>
                                          <w:marRight w:val="0"/>
                                          <w:marTop w:val="120"/>
                                          <w:marBottom w:val="0"/>
                                          <w:divBdr>
                                            <w:top w:val="none" w:sz="0" w:space="0" w:color="auto"/>
                                            <w:left w:val="none" w:sz="0" w:space="0" w:color="auto"/>
                                            <w:bottom w:val="none" w:sz="0" w:space="0" w:color="auto"/>
                                            <w:right w:val="none" w:sz="0" w:space="0" w:color="auto"/>
                                          </w:divBdr>
                                        </w:div>
                                        <w:div w:id="1232234463">
                                          <w:marLeft w:val="0"/>
                                          <w:marRight w:val="0"/>
                                          <w:marTop w:val="0"/>
                                          <w:marBottom w:val="0"/>
                                          <w:divBdr>
                                            <w:top w:val="none" w:sz="0" w:space="0" w:color="auto"/>
                                            <w:left w:val="none" w:sz="0" w:space="0" w:color="auto"/>
                                            <w:bottom w:val="none" w:sz="0" w:space="0" w:color="auto"/>
                                            <w:right w:val="none" w:sz="0" w:space="0" w:color="auto"/>
                                          </w:divBdr>
                                        </w:div>
                                      </w:divsChild>
                                    </w:div>
                                    <w:div w:id="984971928">
                                      <w:marLeft w:val="0"/>
                                      <w:marRight w:val="0"/>
                                      <w:marTop w:val="0"/>
                                      <w:marBottom w:val="0"/>
                                      <w:divBdr>
                                        <w:top w:val="none" w:sz="0" w:space="0" w:color="auto"/>
                                        <w:left w:val="none" w:sz="0" w:space="0" w:color="auto"/>
                                        <w:bottom w:val="none" w:sz="0" w:space="0" w:color="auto"/>
                                        <w:right w:val="none" w:sz="0" w:space="0" w:color="auto"/>
                                      </w:divBdr>
                                      <w:divsChild>
                                        <w:div w:id="1138915346">
                                          <w:marLeft w:val="0"/>
                                          <w:marRight w:val="0"/>
                                          <w:marTop w:val="120"/>
                                          <w:marBottom w:val="0"/>
                                          <w:divBdr>
                                            <w:top w:val="none" w:sz="0" w:space="0" w:color="auto"/>
                                            <w:left w:val="none" w:sz="0" w:space="0" w:color="auto"/>
                                            <w:bottom w:val="none" w:sz="0" w:space="0" w:color="auto"/>
                                            <w:right w:val="none" w:sz="0" w:space="0" w:color="auto"/>
                                          </w:divBdr>
                                        </w:div>
                                        <w:div w:id="7189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9702">
                              <w:marLeft w:val="0"/>
                              <w:marRight w:val="0"/>
                              <w:marTop w:val="0"/>
                              <w:marBottom w:val="0"/>
                              <w:divBdr>
                                <w:top w:val="none" w:sz="0" w:space="0" w:color="auto"/>
                                <w:left w:val="none" w:sz="0" w:space="0" w:color="auto"/>
                                <w:bottom w:val="none" w:sz="0" w:space="0" w:color="auto"/>
                                <w:right w:val="none" w:sz="0" w:space="0" w:color="auto"/>
                              </w:divBdr>
                              <w:divsChild>
                                <w:div w:id="1698041653">
                                  <w:marLeft w:val="0"/>
                                  <w:marRight w:val="0"/>
                                  <w:marTop w:val="0"/>
                                  <w:marBottom w:val="0"/>
                                  <w:divBdr>
                                    <w:top w:val="none" w:sz="0" w:space="0" w:color="auto"/>
                                    <w:left w:val="none" w:sz="0" w:space="0" w:color="auto"/>
                                    <w:bottom w:val="none" w:sz="0" w:space="0" w:color="auto"/>
                                    <w:right w:val="none" w:sz="0" w:space="0" w:color="auto"/>
                                  </w:divBdr>
                                </w:div>
                              </w:divsChild>
                            </w:div>
                            <w:div w:id="322927033">
                              <w:marLeft w:val="0"/>
                              <w:marRight w:val="0"/>
                              <w:marTop w:val="0"/>
                              <w:marBottom w:val="0"/>
                              <w:divBdr>
                                <w:top w:val="none" w:sz="0" w:space="0" w:color="auto"/>
                                <w:left w:val="none" w:sz="0" w:space="0" w:color="auto"/>
                                <w:bottom w:val="none" w:sz="0" w:space="0" w:color="auto"/>
                                <w:right w:val="none" w:sz="0" w:space="0" w:color="auto"/>
                              </w:divBdr>
                              <w:divsChild>
                                <w:div w:id="1552225218">
                                  <w:marLeft w:val="0"/>
                                  <w:marRight w:val="0"/>
                                  <w:marTop w:val="0"/>
                                  <w:marBottom w:val="0"/>
                                  <w:divBdr>
                                    <w:top w:val="none" w:sz="0" w:space="0" w:color="auto"/>
                                    <w:left w:val="none" w:sz="0" w:space="0" w:color="auto"/>
                                    <w:bottom w:val="none" w:sz="0" w:space="0" w:color="auto"/>
                                    <w:right w:val="none" w:sz="0" w:space="0" w:color="auto"/>
                                  </w:divBdr>
                                  <w:divsChild>
                                    <w:div w:id="1789008879">
                                      <w:marLeft w:val="0"/>
                                      <w:marRight w:val="0"/>
                                      <w:marTop w:val="0"/>
                                      <w:marBottom w:val="0"/>
                                      <w:divBdr>
                                        <w:top w:val="none" w:sz="0" w:space="0" w:color="auto"/>
                                        <w:left w:val="none" w:sz="0" w:space="0" w:color="auto"/>
                                        <w:bottom w:val="none" w:sz="0" w:space="0" w:color="auto"/>
                                        <w:right w:val="none" w:sz="0" w:space="0" w:color="auto"/>
                                      </w:divBdr>
                                      <w:divsChild>
                                        <w:div w:id="475494408">
                                          <w:marLeft w:val="0"/>
                                          <w:marRight w:val="0"/>
                                          <w:marTop w:val="120"/>
                                          <w:marBottom w:val="0"/>
                                          <w:divBdr>
                                            <w:top w:val="none" w:sz="0" w:space="0" w:color="auto"/>
                                            <w:left w:val="none" w:sz="0" w:space="0" w:color="auto"/>
                                            <w:bottom w:val="none" w:sz="0" w:space="0" w:color="auto"/>
                                            <w:right w:val="none" w:sz="0" w:space="0" w:color="auto"/>
                                          </w:divBdr>
                                        </w:div>
                                        <w:div w:id="1760827380">
                                          <w:marLeft w:val="0"/>
                                          <w:marRight w:val="0"/>
                                          <w:marTop w:val="0"/>
                                          <w:marBottom w:val="0"/>
                                          <w:divBdr>
                                            <w:top w:val="none" w:sz="0" w:space="0" w:color="auto"/>
                                            <w:left w:val="none" w:sz="0" w:space="0" w:color="auto"/>
                                            <w:bottom w:val="none" w:sz="0" w:space="0" w:color="auto"/>
                                            <w:right w:val="none" w:sz="0" w:space="0" w:color="auto"/>
                                          </w:divBdr>
                                        </w:div>
                                      </w:divsChild>
                                    </w:div>
                                    <w:div w:id="1391272938">
                                      <w:marLeft w:val="0"/>
                                      <w:marRight w:val="0"/>
                                      <w:marTop w:val="0"/>
                                      <w:marBottom w:val="0"/>
                                      <w:divBdr>
                                        <w:top w:val="none" w:sz="0" w:space="0" w:color="auto"/>
                                        <w:left w:val="none" w:sz="0" w:space="0" w:color="auto"/>
                                        <w:bottom w:val="none" w:sz="0" w:space="0" w:color="auto"/>
                                        <w:right w:val="none" w:sz="0" w:space="0" w:color="auto"/>
                                      </w:divBdr>
                                      <w:divsChild>
                                        <w:div w:id="692608135">
                                          <w:marLeft w:val="0"/>
                                          <w:marRight w:val="0"/>
                                          <w:marTop w:val="120"/>
                                          <w:marBottom w:val="0"/>
                                          <w:divBdr>
                                            <w:top w:val="none" w:sz="0" w:space="0" w:color="auto"/>
                                            <w:left w:val="none" w:sz="0" w:space="0" w:color="auto"/>
                                            <w:bottom w:val="none" w:sz="0" w:space="0" w:color="auto"/>
                                            <w:right w:val="none" w:sz="0" w:space="0" w:color="auto"/>
                                          </w:divBdr>
                                        </w:div>
                                        <w:div w:id="1138765359">
                                          <w:marLeft w:val="0"/>
                                          <w:marRight w:val="0"/>
                                          <w:marTop w:val="0"/>
                                          <w:marBottom w:val="0"/>
                                          <w:divBdr>
                                            <w:top w:val="none" w:sz="0" w:space="0" w:color="auto"/>
                                            <w:left w:val="none" w:sz="0" w:space="0" w:color="auto"/>
                                            <w:bottom w:val="none" w:sz="0" w:space="0" w:color="auto"/>
                                            <w:right w:val="none" w:sz="0" w:space="0" w:color="auto"/>
                                          </w:divBdr>
                                        </w:div>
                                      </w:divsChild>
                                    </w:div>
                                    <w:div w:id="1485396150">
                                      <w:marLeft w:val="0"/>
                                      <w:marRight w:val="0"/>
                                      <w:marTop w:val="0"/>
                                      <w:marBottom w:val="0"/>
                                      <w:divBdr>
                                        <w:top w:val="none" w:sz="0" w:space="0" w:color="auto"/>
                                        <w:left w:val="none" w:sz="0" w:space="0" w:color="auto"/>
                                        <w:bottom w:val="none" w:sz="0" w:space="0" w:color="auto"/>
                                        <w:right w:val="none" w:sz="0" w:space="0" w:color="auto"/>
                                      </w:divBdr>
                                      <w:divsChild>
                                        <w:div w:id="1380595003">
                                          <w:marLeft w:val="0"/>
                                          <w:marRight w:val="0"/>
                                          <w:marTop w:val="120"/>
                                          <w:marBottom w:val="0"/>
                                          <w:divBdr>
                                            <w:top w:val="none" w:sz="0" w:space="0" w:color="auto"/>
                                            <w:left w:val="none" w:sz="0" w:space="0" w:color="auto"/>
                                            <w:bottom w:val="none" w:sz="0" w:space="0" w:color="auto"/>
                                            <w:right w:val="none" w:sz="0" w:space="0" w:color="auto"/>
                                          </w:divBdr>
                                        </w:div>
                                        <w:div w:id="109408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22313">
                              <w:marLeft w:val="0"/>
                              <w:marRight w:val="0"/>
                              <w:marTop w:val="0"/>
                              <w:marBottom w:val="0"/>
                              <w:divBdr>
                                <w:top w:val="none" w:sz="0" w:space="0" w:color="auto"/>
                                <w:left w:val="none" w:sz="0" w:space="0" w:color="auto"/>
                                <w:bottom w:val="none" w:sz="0" w:space="0" w:color="auto"/>
                                <w:right w:val="none" w:sz="0" w:space="0" w:color="auto"/>
                              </w:divBdr>
                              <w:divsChild>
                                <w:div w:id="1749619549">
                                  <w:marLeft w:val="0"/>
                                  <w:marRight w:val="0"/>
                                  <w:marTop w:val="0"/>
                                  <w:marBottom w:val="0"/>
                                  <w:divBdr>
                                    <w:top w:val="none" w:sz="0" w:space="0" w:color="auto"/>
                                    <w:left w:val="none" w:sz="0" w:space="0" w:color="auto"/>
                                    <w:bottom w:val="none" w:sz="0" w:space="0" w:color="auto"/>
                                    <w:right w:val="none" w:sz="0" w:space="0" w:color="auto"/>
                                  </w:divBdr>
                                </w:div>
                              </w:divsChild>
                            </w:div>
                            <w:div w:id="2066560559">
                              <w:marLeft w:val="0"/>
                              <w:marRight w:val="0"/>
                              <w:marTop w:val="0"/>
                              <w:marBottom w:val="0"/>
                              <w:divBdr>
                                <w:top w:val="none" w:sz="0" w:space="0" w:color="auto"/>
                                <w:left w:val="none" w:sz="0" w:space="0" w:color="auto"/>
                                <w:bottom w:val="none" w:sz="0" w:space="0" w:color="auto"/>
                                <w:right w:val="none" w:sz="0" w:space="0" w:color="auto"/>
                              </w:divBdr>
                              <w:divsChild>
                                <w:div w:id="577252728">
                                  <w:marLeft w:val="0"/>
                                  <w:marRight w:val="0"/>
                                  <w:marTop w:val="0"/>
                                  <w:marBottom w:val="0"/>
                                  <w:divBdr>
                                    <w:top w:val="none" w:sz="0" w:space="0" w:color="auto"/>
                                    <w:left w:val="none" w:sz="0" w:space="0" w:color="auto"/>
                                    <w:bottom w:val="none" w:sz="0" w:space="0" w:color="auto"/>
                                    <w:right w:val="none" w:sz="0" w:space="0" w:color="auto"/>
                                  </w:divBdr>
                                </w:div>
                              </w:divsChild>
                            </w:div>
                            <w:div w:id="664479920">
                              <w:marLeft w:val="0"/>
                              <w:marRight w:val="0"/>
                              <w:marTop w:val="0"/>
                              <w:marBottom w:val="0"/>
                              <w:divBdr>
                                <w:top w:val="none" w:sz="0" w:space="0" w:color="auto"/>
                                <w:left w:val="none" w:sz="0" w:space="0" w:color="auto"/>
                                <w:bottom w:val="none" w:sz="0" w:space="0" w:color="auto"/>
                                <w:right w:val="none" w:sz="0" w:space="0" w:color="auto"/>
                              </w:divBdr>
                              <w:divsChild>
                                <w:div w:id="1485586124">
                                  <w:marLeft w:val="0"/>
                                  <w:marRight w:val="0"/>
                                  <w:marTop w:val="0"/>
                                  <w:marBottom w:val="0"/>
                                  <w:divBdr>
                                    <w:top w:val="none" w:sz="0" w:space="0" w:color="auto"/>
                                    <w:left w:val="none" w:sz="0" w:space="0" w:color="auto"/>
                                    <w:bottom w:val="none" w:sz="0" w:space="0" w:color="auto"/>
                                    <w:right w:val="none" w:sz="0" w:space="0" w:color="auto"/>
                                  </w:divBdr>
                                  <w:divsChild>
                                    <w:div w:id="25571887">
                                      <w:marLeft w:val="0"/>
                                      <w:marRight w:val="0"/>
                                      <w:marTop w:val="0"/>
                                      <w:marBottom w:val="0"/>
                                      <w:divBdr>
                                        <w:top w:val="none" w:sz="0" w:space="0" w:color="auto"/>
                                        <w:left w:val="none" w:sz="0" w:space="0" w:color="auto"/>
                                        <w:bottom w:val="none" w:sz="0" w:space="0" w:color="auto"/>
                                        <w:right w:val="none" w:sz="0" w:space="0" w:color="auto"/>
                                      </w:divBdr>
                                      <w:divsChild>
                                        <w:div w:id="846754104">
                                          <w:marLeft w:val="0"/>
                                          <w:marRight w:val="0"/>
                                          <w:marTop w:val="120"/>
                                          <w:marBottom w:val="0"/>
                                          <w:divBdr>
                                            <w:top w:val="none" w:sz="0" w:space="0" w:color="auto"/>
                                            <w:left w:val="none" w:sz="0" w:space="0" w:color="auto"/>
                                            <w:bottom w:val="none" w:sz="0" w:space="0" w:color="auto"/>
                                            <w:right w:val="none" w:sz="0" w:space="0" w:color="auto"/>
                                          </w:divBdr>
                                        </w:div>
                                        <w:div w:id="643124977">
                                          <w:marLeft w:val="0"/>
                                          <w:marRight w:val="0"/>
                                          <w:marTop w:val="0"/>
                                          <w:marBottom w:val="0"/>
                                          <w:divBdr>
                                            <w:top w:val="none" w:sz="0" w:space="0" w:color="auto"/>
                                            <w:left w:val="none" w:sz="0" w:space="0" w:color="auto"/>
                                            <w:bottom w:val="none" w:sz="0" w:space="0" w:color="auto"/>
                                            <w:right w:val="none" w:sz="0" w:space="0" w:color="auto"/>
                                          </w:divBdr>
                                        </w:div>
                                      </w:divsChild>
                                    </w:div>
                                    <w:div w:id="1930843683">
                                      <w:marLeft w:val="0"/>
                                      <w:marRight w:val="0"/>
                                      <w:marTop w:val="0"/>
                                      <w:marBottom w:val="0"/>
                                      <w:divBdr>
                                        <w:top w:val="none" w:sz="0" w:space="0" w:color="auto"/>
                                        <w:left w:val="none" w:sz="0" w:space="0" w:color="auto"/>
                                        <w:bottom w:val="none" w:sz="0" w:space="0" w:color="auto"/>
                                        <w:right w:val="none" w:sz="0" w:space="0" w:color="auto"/>
                                      </w:divBdr>
                                      <w:divsChild>
                                        <w:div w:id="1463381709">
                                          <w:marLeft w:val="0"/>
                                          <w:marRight w:val="0"/>
                                          <w:marTop w:val="120"/>
                                          <w:marBottom w:val="0"/>
                                          <w:divBdr>
                                            <w:top w:val="none" w:sz="0" w:space="0" w:color="auto"/>
                                            <w:left w:val="none" w:sz="0" w:space="0" w:color="auto"/>
                                            <w:bottom w:val="none" w:sz="0" w:space="0" w:color="auto"/>
                                            <w:right w:val="none" w:sz="0" w:space="0" w:color="auto"/>
                                          </w:divBdr>
                                        </w:div>
                                        <w:div w:id="1766152181">
                                          <w:marLeft w:val="0"/>
                                          <w:marRight w:val="0"/>
                                          <w:marTop w:val="0"/>
                                          <w:marBottom w:val="0"/>
                                          <w:divBdr>
                                            <w:top w:val="none" w:sz="0" w:space="0" w:color="auto"/>
                                            <w:left w:val="none" w:sz="0" w:space="0" w:color="auto"/>
                                            <w:bottom w:val="none" w:sz="0" w:space="0" w:color="auto"/>
                                            <w:right w:val="none" w:sz="0" w:space="0" w:color="auto"/>
                                          </w:divBdr>
                                        </w:div>
                                      </w:divsChild>
                                    </w:div>
                                    <w:div w:id="618142414">
                                      <w:marLeft w:val="0"/>
                                      <w:marRight w:val="0"/>
                                      <w:marTop w:val="0"/>
                                      <w:marBottom w:val="0"/>
                                      <w:divBdr>
                                        <w:top w:val="none" w:sz="0" w:space="0" w:color="auto"/>
                                        <w:left w:val="none" w:sz="0" w:space="0" w:color="auto"/>
                                        <w:bottom w:val="none" w:sz="0" w:space="0" w:color="auto"/>
                                        <w:right w:val="none" w:sz="0" w:space="0" w:color="auto"/>
                                      </w:divBdr>
                                      <w:divsChild>
                                        <w:div w:id="396972828">
                                          <w:marLeft w:val="0"/>
                                          <w:marRight w:val="0"/>
                                          <w:marTop w:val="120"/>
                                          <w:marBottom w:val="0"/>
                                          <w:divBdr>
                                            <w:top w:val="none" w:sz="0" w:space="0" w:color="auto"/>
                                            <w:left w:val="none" w:sz="0" w:space="0" w:color="auto"/>
                                            <w:bottom w:val="none" w:sz="0" w:space="0" w:color="auto"/>
                                            <w:right w:val="none" w:sz="0" w:space="0" w:color="auto"/>
                                          </w:divBdr>
                                        </w:div>
                                        <w:div w:id="143401670">
                                          <w:marLeft w:val="0"/>
                                          <w:marRight w:val="0"/>
                                          <w:marTop w:val="0"/>
                                          <w:marBottom w:val="0"/>
                                          <w:divBdr>
                                            <w:top w:val="none" w:sz="0" w:space="0" w:color="auto"/>
                                            <w:left w:val="none" w:sz="0" w:space="0" w:color="auto"/>
                                            <w:bottom w:val="none" w:sz="0" w:space="0" w:color="auto"/>
                                            <w:right w:val="none" w:sz="0" w:space="0" w:color="auto"/>
                                          </w:divBdr>
                                        </w:div>
                                      </w:divsChild>
                                    </w:div>
                                    <w:div w:id="643973971">
                                      <w:marLeft w:val="0"/>
                                      <w:marRight w:val="0"/>
                                      <w:marTop w:val="0"/>
                                      <w:marBottom w:val="0"/>
                                      <w:divBdr>
                                        <w:top w:val="none" w:sz="0" w:space="0" w:color="auto"/>
                                        <w:left w:val="none" w:sz="0" w:space="0" w:color="auto"/>
                                        <w:bottom w:val="none" w:sz="0" w:space="0" w:color="auto"/>
                                        <w:right w:val="none" w:sz="0" w:space="0" w:color="auto"/>
                                      </w:divBdr>
                                      <w:divsChild>
                                        <w:div w:id="1331130638">
                                          <w:marLeft w:val="0"/>
                                          <w:marRight w:val="0"/>
                                          <w:marTop w:val="120"/>
                                          <w:marBottom w:val="0"/>
                                          <w:divBdr>
                                            <w:top w:val="none" w:sz="0" w:space="0" w:color="auto"/>
                                            <w:left w:val="none" w:sz="0" w:space="0" w:color="auto"/>
                                            <w:bottom w:val="none" w:sz="0" w:space="0" w:color="auto"/>
                                            <w:right w:val="none" w:sz="0" w:space="0" w:color="auto"/>
                                          </w:divBdr>
                                        </w:div>
                                        <w:div w:id="112106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442390">
                              <w:marLeft w:val="0"/>
                              <w:marRight w:val="0"/>
                              <w:marTop w:val="0"/>
                              <w:marBottom w:val="0"/>
                              <w:divBdr>
                                <w:top w:val="none" w:sz="0" w:space="0" w:color="auto"/>
                                <w:left w:val="none" w:sz="0" w:space="0" w:color="auto"/>
                                <w:bottom w:val="none" w:sz="0" w:space="0" w:color="auto"/>
                                <w:right w:val="none" w:sz="0" w:space="0" w:color="auto"/>
                              </w:divBdr>
                              <w:divsChild>
                                <w:div w:id="198365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677569">
                          <w:marLeft w:val="0"/>
                          <w:marRight w:val="0"/>
                          <w:marTop w:val="0"/>
                          <w:marBottom w:val="0"/>
                          <w:divBdr>
                            <w:top w:val="none" w:sz="0" w:space="0" w:color="auto"/>
                            <w:left w:val="none" w:sz="0" w:space="0" w:color="auto"/>
                            <w:bottom w:val="none" w:sz="0" w:space="0" w:color="auto"/>
                            <w:right w:val="none" w:sz="0" w:space="0" w:color="auto"/>
                          </w:divBdr>
                          <w:divsChild>
                            <w:div w:id="1744520767">
                              <w:marLeft w:val="0"/>
                              <w:marRight w:val="0"/>
                              <w:marTop w:val="0"/>
                              <w:marBottom w:val="0"/>
                              <w:divBdr>
                                <w:top w:val="none" w:sz="0" w:space="0" w:color="auto"/>
                                <w:left w:val="none" w:sz="0" w:space="0" w:color="auto"/>
                                <w:bottom w:val="none" w:sz="0" w:space="0" w:color="auto"/>
                                <w:right w:val="none" w:sz="0" w:space="0" w:color="auto"/>
                              </w:divBdr>
                            </w:div>
                            <w:div w:id="1104689945">
                              <w:marLeft w:val="0"/>
                              <w:marRight w:val="0"/>
                              <w:marTop w:val="0"/>
                              <w:marBottom w:val="0"/>
                              <w:divBdr>
                                <w:top w:val="none" w:sz="0" w:space="0" w:color="auto"/>
                                <w:left w:val="none" w:sz="0" w:space="0" w:color="auto"/>
                                <w:bottom w:val="none" w:sz="0" w:space="0" w:color="auto"/>
                                <w:right w:val="none" w:sz="0" w:space="0" w:color="auto"/>
                              </w:divBdr>
                              <w:divsChild>
                                <w:div w:id="216206185">
                                  <w:marLeft w:val="0"/>
                                  <w:marRight w:val="0"/>
                                  <w:marTop w:val="0"/>
                                  <w:marBottom w:val="0"/>
                                  <w:divBdr>
                                    <w:top w:val="none" w:sz="0" w:space="0" w:color="auto"/>
                                    <w:left w:val="none" w:sz="0" w:space="0" w:color="auto"/>
                                    <w:bottom w:val="none" w:sz="0" w:space="0" w:color="auto"/>
                                    <w:right w:val="none" w:sz="0" w:space="0" w:color="auto"/>
                                  </w:divBdr>
                                </w:div>
                              </w:divsChild>
                            </w:div>
                            <w:div w:id="983001785">
                              <w:marLeft w:val="0"/>
                              <w:marRight w:val="0"/>
                              <w:marTop w:val="0"/>
                              <w:marBottom w:val="0"/>
                              <w:divBdr>
                                <w:top w:val="none" w:sz="0" w:space="0" w:color="auto"/>
                                <w:left w:val="none" w:sz="0" w:space="0" w:color="auto"/>
                                <w:bottom w:val="none" w:sz="0" w:space="0" w:color="auto"/>
                                <w:right w:val="none" w:sz="0" w:space="0" w:color="auto"/>
                              </w:divBdr>
                              <w:divsChild>
                                <w:div w:id="92310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290330">
                  <w:marLeft w:val="0"/>
                  <w:marRight w:val="0"/>
                  <w:marTop w:val="0"/>
                  <w:marBottom w:val="0"/>
                  <w:divBdr>
                    <w:top w:val="none" w:sz="0" w:space="0" w:color="auto"/>
                    <w:left w:val="none" w:sz="0" w:space="0" w:color="auto"/>
                    <w:bottom w:val="none" w:sz="0" w:space="0" w:color="auto"/>
                    <w:right w:val="none" w:sz="0" w:space="0" w:color="auto"/>
                  </w:divBdr>
                  <w:divsChild>
                    <w:div w:id="574583522">
                      <w:marLeft w:val="0"/>
                      <w:marRight w:val="0"/>
                      <w:marTop w:val="0"/>
                      <w:marBottom w:val="0"/>
                      <w:divBdr>
                        <w:top w:val="none" w:sz="0" w:space="0" w:color="auto"/>
                        <w:left w:val="none" w:sz="0" w:space="0" w:color="auto"/>
                        <w:bottom w:val="none" w:sz="0" w:space="0" w:color="auto"/>
                        <w:right w:val="none" w:sz="0" w:space="0" w:color="auto"/>
                      </w:divBdr>
                      <w:divsChild>
                        <w:div w:id="478305587">
                          <w:marLeft w:val="0"/>
                          <w:marRight w:val="0"/>
                          <w:marTop w:val="0"/>
                          <w:marBottom w:val="0"/>
                          <w:divBdr>
                            <w:top w:val="none" w:sz="0" w:space="0" w:color="auto"/>
                            <w:left w:val="none" w:sz="0" w:space="0" w:color="auto"/>
                            <w:bottom w:val="none" w:sz="0" w:space="0" w:color="auto"/>
                            <w:right w:val="none" w:sz="0" w:space="0" w:color="auto"/>
                          </w:divBdr>
                        </w:div>
                        <w:div w:id="1990477727">
                          <w:marLeft w:val="0"/>
                          <w:marRight w:val="0"/>
                          <w:marTop w:val="0"/>
                          <w:marBottom w:val="0"/>
                          <w:divBdr>
                            <w:top w:val="none" w:sz="0" w:space="0" w:color="auto"/>
                            <w:left w:val="none" w:sz="0" w:space="0" w:color="auto"/>
                            <w:bottom w:val="none" w:sz="0" w:space="0" w:color="auto"/>
                            <w:right w:val="none" w:sz="0" w:space="0" w:color="auto"/>
                          </w:divBdr>
                          <w:divsChild>
                            <w:div w:id="860315084">
                              <w:marLeft w:val="0"/>
                              <w:marRight w:val="0"/>
                              <w:marTop w:val="0"/>
                              <w:marBottom w:val="0"/>
                              <w:divBdr>
                                <w:top w:val="none" w:sz="0" w:space="0" w:color="auto"/>
                                <w:left w:val="none" w:sz="0" w:space="0" w:color="auto"/>
                                <w:bottom w:val="none" w:sz="0" w:space="0" w:color="auto"/>
                                <w:right w:val="none" w:sz="0" w:space="0" w:color="auto"/>
                              </w:divBdr>
                              <w:divsChild>
                                <w:div w:id="971055322">
                                  <w:marLeft w:val="0"/>
                                  <w:marRight w:val="0"/>
                                  <w:marTop w:val="0"/>
                                  <w:marBottom w:val="0"/>
                                  <w:divBdr>
                                    <w:top w:val="none" w:sz="0" w:space="0" w:color="auto"/>
                                    <w:left w:val="none" w:sz="0" w:space="0" w:color="auto"/>
                                    <w:bottom w:val="none" w:sz="0" w:space="0" w:color="auto"/>
                                    <w:right w:val="none" w:sz="0" w:space="0" w:color="auto"/>
                                  </w:divBdr>
                                  <w:divsChild>
                                    <w:div w:id="213396261">
                                      <w:marLeft w:val="0"/>
                                      <w:marRight w:val="0"/>
                                      <w:marTop w:val="120"/>
                                      <w:marBottom w:val="0"/>
                                      <w:divBdr>
                                        <w:top w:val="none" w:sz="0" w:space="0" w:color="auto"/>
                                        <w:left w:val="none" w:sz="0" w:space="0" w:color="auto"/>
                                        <w:bottom w:val="none" w:sz="0" w:space="0" w:color="auto"/>
                                        <w:right w:val="none" w:sz="0" w:space="0" w:color="auto"/>
                                      </w:divBdr>
                                    </w:div>
                                    <w:div w:id="1286084754">
                                      <w:marLeft w:val="0"/>
                                      <w:marRight w:val="0"/>
                                      <w:marTop w:val="0"/>
                                      <w:marBottom w:val="0"/>
                                      <w:divBdr>
                                        <w:top w:val="none" w:sz="0" w:space="0" w:color="auto"/>
                                        <w:left w:val="none" w:sz="0" w:space="0" w:color="auto"/>
                                        <w:bottom w:val="none" w:sz="0" w:space="0" w:color="auto"/>
                                        <w:right w:val="none" w:sz="0" w:space="0" w:color="auto"/>
                                      </w:divBdr>
                                    </w:div>
                                  </w:divsChild>
                                </w:div>
                                <w:div w:id="1331248365">
                                  <w:marLeft w:val="0"/>
                                  <w:marRight w:val="0"/>
                                  <w:marTop w:val="0"/>
                                  <w:marBottom w:val="0"/>
                                  <w:divBdr>
                                    <w:top w:val="none" w:sz="0" w:space="0" w:color="auto"/>
                                    <w:left w:val="none" w:sz="0" w:space="0" w:color="auto"/>
                                    <w:bottom w:val="none" w:sz="0" w:space="0" w:color="auto"/>
                                    <w:right w:val="none" w:sz="0" w:space="0" w:color="auto"/>
                                  </w:divBdr>
                                  <w:divsChild>
                                    <w:div w:id="1512797478">
                                      <w:marLeft w:val="0"/>
                                      <w:marRight w:val="0"/>
                                      <w:marTop w:val="120"/>
                                      <w:marBottom w:val="0"/>
                                      <w:divBdr>
                                        <w:top w:val="none" w:sz="0" w:space="0" w:color="auto"/>
                                        <w:left w:val="none" w:sz="0" w:space="0" w:color="auto"/>
                                        <w:bottom w:val="none" w:sz="0" w:space="0" w:color="auto"/>
                                        <w:right w:val="none" w:sz="0" w:space="0" w:color="auto"/>
                                      </w:divBdr>
                                    </w:div>
                                    <w:div w:id="1830248206">
                                      <w:marLeft w:val="0"/>
                                      <w:marRight w:val="0"/>
                                      <w:marTop w:val="0"/>
                                      <w:marBottom w:val="0"/>
                                      <w:divBdr>
                                        <w:top w:val="none" w:sz="0" w:space="0" w:color="auto"/>
                                        <w:left w:val="none" w:sz="0" w:space="0" w:color="auto"/>
                                        <w:bottom w:val="none" w:sz="0" w:space="0" w:color="auto"/>
                                        <w:right w:val="none" w:sz="0" w:space="0" w:color="auto"/>
                                      </w:divBdr>
                                    </w:div>
                                  </w:divsChild>
                                </w:div>
                                <w:div w:id="294524461">
                                  <w:marLeft w:val="0"/>
                                  <w:marRight w:val="0"/>
                                  <w:marTop w:val="0"/>
                                  <w:marBottom w:val="0"/>
                                  <w:divBdr>
                                    <w:top w:val="none" w:sz="0" w:space="0" w:color="auto"/>
                                    <w:left w:val="none" w:sz="0" w:space="0" w:color="auto"/>
                                    <w:bottom w:val="none" w:sz="0" w:space="0" w:color="auto"/>
                                    <w:right w:val="none" w:sz="0" w:space="0" w:color="auto"/>
                                  </w:divBdr>
                                  <w:divsChild>
                                    <w:div w:id="1662271049">
                                      <w:marLeft w:val="0"/>
                                      <w:marRight w:val="0"/>
                                      <w:marTop w:val="120"/>
                                      <w:marBottom w:val="0"/>
                                      <w:divBdr>
                                        <w:top w:val="none" w:sz="0" w:space="0" w:color="auto"/>
                                        <w:left w:val="none" w:sz="0" w:space="0" w:color="auto"/>
                                        <w:bottom w:val="none" w:sz="0" w:space="0" w:color="auto"/>
                                        <w:right w:val="none" w:sz="0" w:space="0" w:color="auto"/>
                                      </w:divBdr>
                                    </w:div>
                                    <w:div w:id="453063460">
                                      <w:marLeft w:val="0"/>
                                      <w:marRight w:val="0"/>
                                      <w:marTop w:val="0"/>
                                      <w:marBottom w:val="0"/>
                                      <w:divBdr>
                                        <w:top w:val="none" w:sz="0" w:space="0" w:color="auto"/>
                                        <w:left w:val="none" w:sz="0" w:space="0" w:color="auto"/>
                                        <w:bottom w:val="none" w:sz="0" w:space="0" w:color="auto"/>
                                        <w:right w:val="none" w:sz="0" w:space="0" w:color="auto"/>
                                      </w:divBdr>
                                    </w:div>
                                  </w:divsChild>
                                </w:div>
                                <w:div w:id="1104036272">
                                  <w:marLeft w:val="0"/>
                                  <w:marRight w:val="0"/>
                                  <w:marTop w:val="0"/>
                                  <w:marBottom w:val="0"/>
                                  <w:divBdr>
                                    <w:top w:val="none" w:sz="0" w:space="0" w:color="auto"/>
                                    <w:left w:val="none" w:sz="0" w:space="0" w:color="auto"/>
                                    <w:bottom w:val="none" w:sz="0" w:space="0" w:color="auto"/>
                                    <w:right w:val="none" w:sz="0" w:space="0" w:color="auto"/>
                                  </w:divBdr>
                                  <w:divsChild>
                                    <w:div w:id="1393623718">
                                      <w:marLeft w:val="0"/>
                                      <w:marRight w:val="0"/>
                                      <w:marTop w:val="120"/>
                                      <w:marBottom w:val="0"/>
                                      <w:divBdr>
                                        <w:top w:val="none" w:sz="0" w:space="0" w:color="auto"/>
                                        <w:left w:val="none" w:sz="0" w:space="0" w:color="auto"/>
                                        <w:bottom w:val="none" w:sz="0" w:space="0" w:color="auto"/>
                                        <w:right w:val="none" w:sz="0" w:space="0" w:color="auto"/>
                                      </w:divBdr>
                                    </w:div>
                                    <w:div w:id="498229707">
                                      <w:marLeft w:val="0"/>
                                      <w:marRight w:val="0"/>
                                      <w:marTop w:val="0"/>
                                      <w:marBottom w:val="0"/>
                                      <w:divBdr>
                                        <w:top w:val="none" w:sz="0" w:space="0" w:color="auto"/>
                                        <w:left w:val="none" w:sz="0" w:space="0" w:color="auto"/>
                                        <w:bottom w:val="none" w:sz="0" w:space="0" w:color="auto"/>
                                        <w:right w:val="none" w:sz="0" w:space="0" w:color="auto"/>
                                      </w:divBdr>
                                    </w:div>
                                  </w:divsChild>
                                </w:div>
                                <w:div w:id="948388528">
                                  <w:marLeft w:val="0"/>
                                  <w:marRight w:val="0"/>
                                  <w:marTop w:val="0"/>
                                  <w:marBottom w:val="0"/>
                                  <w:divBdr>
                                    <w:top w:val="none" w:sz="0" w:space="0" w:color="auto"/>
                                    <w:left w:val="none" w:sz="0" w:space="0" w:color="auto"/>
                                    <w:bottom w:val="none" w:sz="0" w:space="0" w:color="auto"/>
                                    <w:right w:val="none" w:sz="0" w:space="0" w:color="auto"/>
                                  </w:divBdr>
                                  <w:divsChild>
                                    <w:div w:id="447360415">
                                      <w:marLeft w:val="0"/>
                                      <w:marRight w:val="0"/>
                                      <w:marTop w:val="120"/>
                                      <w:marBottom w:val="0"/>
                                      <w:divBdr>
                                        <w:top w:val="none" w:sz="0" w:space="0" w:color="auto"/>
                                        <w:left w:val="none" w:sz="0" w:space="0" w:color="auto"/>
                                        <w:bottom w:val="none" w:sz="0" w:space="0" w:color="auto"/>
                                        <w:right w:val="none" w:sz="0" w:space="0" w:color="auto"/>
                                      </w:divBdr>
                                    </w:div>
                                    <w:div w:id="841090957">
                                      <w:marLeft w:val="0"/>
                                      <w:marRight w:val="0"/>
                                      <w:marTop w:val="0"/>
                                      <w:marBottom w:val="0"/>
                                      <w:divBdr>
                                        <w:top w:val="none" w:sz="0" w:space="0" w:color="auto"/>
                                        <w:left w:val="none" w:sz="0" w:space="0" w:color="auto"/>
                                        <w:bottom w:val="none" w:sz="0" w:space="0" w:color="auto"/>
                                        <w:right w:val="none" w:sz="0" w:space="0" w:color="auto"/>
                                      </w:divBdr>
                                    </w:div>
                                  </w:divsChild>
                                </w:div>
                                <w:div w:id="563218304">
                                  <w:marLeft w:val="0"/>
                                  <w:marRight w:val="0"/>
                                  <w:marTop w:val="0"/>
                                  <w:marBottom w:val="0"/>
                                  <w:divBdr>
                                    <w:top w:val="none" w:sz="0" w:space="0" w:color="auto"/>
                                    <w:left w:val="none" w:sz="0" w:space="0" w:color="auto"/>
                                    <w:bottom w:val="none" w:sz="0" w:space="0" w:color="auto"/>
                                    <w:right w:val="none" w:sz="0" w:space="0" w:color="auto"/>
                                  </w:divBdr>
                                  <w:divsChild>
                                    <w:div w:id="1765567401">
                                      <w:marLeft w:val="0"/>
                                      <w:marRight w:val="0"/>
                                      <w:marTop w:val="120"/>
                                      <w:marBottom w:val="0"/>
                                      <w:divBdr>
                                        <w:top w:val="none" w:sz="0" w:space="0" w:color="auto"/>
                                        <w:left w:val="none" w:sz="0" w:space="0" w:color="auto"/>
                                        <w:bottom w:val="none" w:sz="0" w:space="0" w:color="auto"/>
                                        <w:right w:val="none" w:sz="0" w:space="0" w:color="auto"/>
                                      </w:divBdr>
                                    </w:div>
                                    <w:div w:id="1425804006">
                                      <w:marLeft w:val="0"/>
                                      <w:marRight w:val="0"/>
                                      <w:marTop w:val="0"/>
                                      <w:marBottom w:val="0"/>
                                      <w:divBdr>
                                        <w:top w:val="none" w:sz="0" w:space="0" w:color="auto"/>
                                        <w:left w:val="none" w:sz="0" w:space="0" w:color="auto"/>
                                        <w:bottom w:val="none" w:sz="0" w:space="0" w:color="auto"/>
                                        <w:right w:val="none" w:sz="0" w:space="0" w:color="auto"/>
                                      </w:divBdr>
                                    </w:div>
                                  </w:divsChild>
                                </w:div>
                                <w:div w:id="883251866">
                                  <w:marLeft w:val="0"/>
                                  <w:marRight w:val="0"/>
                                  <w:marTop w:val="0"/>
                                  <w:marBottom w:val="0"/>
                                  <w:divBdr>
                                    <w:top w:val="none" w:sz="0" w:space="0" w:color="auto"/>
                                    <w:left w:val="none" w:sz="0" w:space="0" w:color="auto"/>
                                    <w:bottom w:val="none" w:sz="0" w:space="0" w:color="auto"/>
                                    <w:right w:val="none" w:sz="0" w:space="0" w:color="auto"/>
                                  </w:divBdr>
                                  <w:divsChild>
                                    <w:div w:id="1009679409">
                                      <w:marLeft w:val="0"/>
                                      <w:marRight w:val="0"/>
                                      <w:marTop w:val="120"/>
                                      <w:marBottom w:val="0"/>
                                      <w:divBdr>
                                        <w:top w:val="none" w:sz="0" w:space="0" w:color="auto"/>
                                        <w:left w:val="none" w:sz="0" w:space="0" w:color="auto"/>
                                        <w:bottom w:val="none" w:sz="0" w:space="0" w:color="auto"/>
                                        <w:right w:val="none" w:sz="0" w:space="0" w:color="auto"/>
                                      </w:divBdr>
                                    </w:div>
                                    <w:div w:id="169760619">
                                      <w:marLeft w:val="0"/>
                                      <w:marRight w:val="0"/>
                                      <w:marTop w:val="0"/>
                                      <w:marBottom w:val="0"/>
                                      <w:divBdr>
                                        <w:top w:val="none" w:sz="0" w:space="0" w:color="auto"/>
                                        <w:left w:val="none" w:sz="0" w:space="0" w:color="auto"/>
                                        <w:bottom w:val="none" w:sz="0" w:space="0" w:color="auto"/>
                                        <w:right w:val="none" w:sz="0" w:space="0" w:color="auto"/>
                                      </w:divBdr>
                                    </w:div>
                                  </w:divsChild>
                                </w:div>
                                <w:div w:id="1401900873">
                                  <w:marLeft w:val="0"/>
                                  <w:marRight w:val="0"/>
                                  <w:marTop w:val="0"/>
                                  <w:marBottom w:val="0"/>
                                  <w:divBdr>
                                    <w:top w:val="none" w:sz="0" w:space="0" w:color="auto"/>
                                    <w:left w:val="none" w:sz="0" w:space="0" w:color="auto"/>
                                    <w:bottom w:val="none" w:sz="0" w:space="0" w:color="auto"/>
                                    <w:right w:val="none" w:sz="0" w:space="0" w:color="auto"/>
                                  </w:divBdr>
                                  <w:divsChild>
                                    <w:div w:id="1511065517">
                                      <w:marLeft w:val="0"/>
                                      <w:marRight w:val="0"/>
                                      <w:marTop w:val="120"/>
                                      <w:marBottom w:val="0"/>
                                      <w:divBdr>
                                        <w:top w:val="none" w:sz="0" w:space="0" w:color="auto"/>
                                        <w:left w:val="none" w:sz="0" w:space="0" w:color="auto"/>
                                        <w:bottom w:val="none" w:sz="0" w:space="0" w:color="auto"/>
                                        <w:right w:val="none" w:sz="0" w:space="0" w:color="auto"/>
                                      </w:divBdr>
                                    </w:div>
                                    <w:div w:id="19720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00254">
                          <w:marLeft w:val="0"/>
                          <w:marRight w:val="0"/>
                          <w:marTop w:val="0"/>
                          <w:marBottom w:val="0"/>
                          <w:divBdr>
                            <w:top w:val="none" w:sz="0" w:space="0" w:color="auto"/>
                            <w:left w:val="none" w:sz="0" w:space="0" w:color="auto"/>
                            <w:bottom w:val="none" w:sz="0" w:space="0" w:color="auto"/>
                            <w:right w:val="none" w:sz="0" w:space="0" w:color="auto"/>
                          </w:divBdr>
                          <w:divsChild>
                            <w:div w:id="993295861">
                              <w:marLeft w:val="0"/>
                              <w:marRight w:val="0"/>
                              <w:marTop w:val="0"/>
                              <w:marBottom w:val="0"/>
                              <w:divBdr>
                                <w:top w:val="none" w:sz="0" w:space="0" w:color="auto"/>
                                <w:left w:val="none" w:sz="0" w:space="0" w:color="auto"/>
                                <w:bottom w:val="none" w:sz="0" w:space="0" w:color="auto"/>
                                <w:right w:val="none" w:sz="0" w:space="0" w:color="auto"/>
                              </w:divBdr>
                            </w:div>
                          </w:divsChild>
                        </w:div>
                        <w:div w:id="1308045749">
                          <w:marLeft w:val="0"/>
                          <w:marRight w:val="0"/>
                          <w:marTop w:val="0"/>
                          <w:marBottom w:val="0"/>
                          <w:divBdr>
                            <w:top w:val="none" w:sz="0" w:space="0" w:color="auto"/>
                            <w:left w:val="none" w:sz="0" w:space="0" w:color="auto"/>
                            <w:bottom w:val="none" w:sz="0" w:space="0" w:color="auto"/>
                            <w:right w:val="none" w:sz="0" w:space="0" w:color="auto"/>
                          </w:divBdr>
                          <w:divsChild>
                            <w:div w:id="1742291961">
                              <w:marLeft w:val="0"/>
                              <w:marRight w:val="0"/>
                              <w:marTop w:val="0"/>
                              <w:marBottom w:val="0"/>
                              <w:divBdr>
                                <w:top w:val="none" w:sz="0" w:space="0" w:color="auto"/>
                                <w:left w:val="none" w:sz="0" w:space="0" w:color="auto"/>
                                <w:bottom w:val="none" w:sz="0" w:space="0" w:color="auto"/>
                                <w:right w:val="none" w:sz="0" w:space="0" w:color="auto"/>
                              </w:divBdr>
                            </w:div>
                          </w:divsChild>
                        </w:div>
                        <w:div w:id="953639108">
                          <w:marLeft w:val="0"/>
                          <w:marRight w:val="0"/>
                          <w:marTop w:val="0"/>
                          <w:marBottom w:val="0"/>
                          <w:divBdr>
                            <w:top w:val="none" w:sz="0" w:space="0" w:color="auto"/>
                            <w:left w:val="none" w:sz="0" w:space="0" w:color="auto"/>
                            <w:bottom w:val="none" w:sz="0" w:space="0" w:color="auto"/>
                            <w:right w:val="none" w:sz="0" w:space="0" w:color="auto"/>
                          </w:divBdr>
                          <w:divsChild>
                            <w:div w:id="2102795548">
                              <w:marLeft w:val="0"/>
                              <w:marRight w:val="0"/>
                              <w:marTop w:val="0"/>
                              <w:marBottom w:val="0"/>
                              <w:divBdr>
                                <w:top w:val="none" w:sz="0" w:space="0" w:color="auto"/>
                                <w:left w:val="none" w:sz="0" w:space="0" w:color="auto"/>
                                <w:bottom w:val="none" w:sz="0" w:space="0" w:color="auto"/>
                                <w:right w:val="none" w:sz="0" w:space="0" w:color="auto"/>
                              </w:divBdr>
                            </w:div>
                          </w:divsChild>
                        </w:div>
                        <w:div w:id="1309899081">
                          <w:marLeft w:val="0"/>
                          <w:marRight w:val="0"/>
                          <w:marTop w:val="0"/>
                          <w:marBottom w:val="0"/>
                          <w:divBdr>
                            <w:top w:val="none" w:sz="0" w:space="0" w:color="auto"/>
                            <w:left w:val="none" w:sz="0" w:space="0" w:color="auto"/>
                            <w:bottom w:val="none" w:sz="0" w:space="0" w:color="auto"/>
                            <w:right w:val="none" w:sz="0" w:space="0" w:color="auto"/>
                          </w:divBdr>
                          <w:divsChild>
                            <w:div w:id="160276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2810">
                      <w:marLeft w:val="0"/>
                      <w:marRight w:val="0"/>
                      <w:marTop w:val="0"/>
                      <w:marBottom w:val="0"/>
                      <w:divBdr>
                        <w:top w:val="none" w:sz="0" w:space="0" w:color="auto"/>
                        <w:left w:val="none" w:sz="0" w:space="0" w:color="auto"/>
                        <w:bottom w:val="none" w:sz="0" w:space="0" w:color="auto"/>
                        <w:right w:val="none" w:sz="0" w:space="0" w:color="auto"/>
                      </w:divBdr>
                      <w:divsChild>
                        <w:div w:id="1969165756">
                          <w:marLeft w:val="0"/>
                          <w:marRight w:val="0"/>
                          <w:marTop w:val="0"/>
                          <w:marBottom w:val="0"/>
                          <w:divBdr>
                            <w:top w:val="none" w:sz="0" w:space="0" w:color="auto"/>
                            <w:left w:val="none" w:sz="0" w:space="0" w:color="auto"/>
                            <w:bottom w:val="none" w:sz="0" w:space="0" w:color="auto"/>
                            <w:right w:val="none" w:sz="0" w:space="0" w:color="auto"/>
                          </w:divBdr>
                        </w:div>
                      </w:divsChild>
                    </w:div>
                    <w:div w:id="392235699">
                      <w:marLeft w:val="0"/>
                      <w:marRight w:val="0"/>
                      <w:marTop w:val="0"/>
                      <w:marBottom w:val="0"/>
                      <w:divBdr>
                        <w:top w:val="none" w:sz="0" w:space="0" w:color="auto"/>
                        <w:left w:val="none" w:sz="0" w:space="0" w:color="auto"/>
                        <w:bottom w:val="none" w:sz="0" w:space="0" w:color="auto"/>
                        <w:right w:val="none" w:sz="0" w:space="0" w:color="auto"/>
                      </w:divBdr>
                      <w:divsChild>
                        <w:div w:id="987124141">
                          <w:marLeft w:val="0"/>
                          <w:marRight w:val="0"/>
                          <w:marTop w:val="0"/>
                          <w:marBottom w:val="0"/>
                          <w:divBdr>
                            <w:top w:val="none" w:sz="0" w:space="0" w:color="auto"/>
                            <w:left w:val="none" w:sz="0" w:space="0" w:color="auto"/>
                            <w:bottom w:val="none" w:sz="0" w:space="0" w:color="auto"/>
                            <w:right w:val="none" w:sz="0" w:space="0" w:color="auto"/>
                          </w:divBdr>
                        </w:div>
                        <w:div w:id="925920174">
                          <w:marLeft w:val="0"/>
                          <w:marRight w:val="0"/>
                          <w:marTop w:val="0"/>
                          <w:marBottom w:val="0"/>
                          <w:divBdr>
                            <w:top w:val="none" w:sz="0" w:space="0" w:color="auto"/>
                            <w:left w:val="none" w:sz="0" w:space="0" w:color="auto"/>
                            <w:bottom w:val="none" w:sz="0" w:space="0" w:color="auto"/>
                            <w:right w:val="none" w:sz="0" w:space="0" w:color="auto"/>
                          </w:divBdr>
                          <w:divsChild>
                            <w:div w:id="180243182">
                              <w:marLeft w:val="0"/>
                              <w:marRight w:val="0"/>
                              <w:marTop w:val="0"/>
                              <w:marBottom w:val="0"/>
                              <w:divBdr>
                                <w:top w:val="none" w:sz="0" w:space="0" w:color="auto"/>
                                <w:left w:val="none" w:sz="0" w:space="0" w:color="auto"/>
                                <w:bottom w:val="none" w:sz="0" w:space="0" w:color="auto"/>
                                <w:right w:val="none" w:sz="0" w:space="0" w:color="auto"/>
                              </w:divBdr>
                            </w:div>
                          </w:divsChild>
                        </w:div>
                        <w:div w:id="1906722621">
                          <w:marLeft w:val="0"/>
                          <w:marRight w:val="0"/>
                          <w:marTop w:val="0"/>
                          <w:marBottom w:val="0"/>
                          <w:divBdr>
                            <w:top w:val="none" w:sz="0" w:space="0" w:color="auto"/>
                            <w:left w:val="none" w:sz="0" w:space="0" w:color="auto"/>
                            <w:bottom w:val="none" w:sz="0" w:space="0" w:color="auto"/>
                            <w:right w:val="none" w:sz="0" w:space="0" w:color="auto"/>
                          </w:divBdr>
                          <w:divsChild>
                            <w:div w:id="747191036">
                              <w:marLeft w:val="0"/>
                              <w:marRight w:val="0"/>
                              <w:marTop w:val="0"/>
                              <w:marBottom w:val="0"/>
                              <w:divBdr>
                                <w:top w:val="none" w:sz="0" w:space="0" w:color="auto"/>
                                <w:left w:val="none" w:sz="0" w:space="0" w:color="auto"/>
                                <w:bottom w:val="none" w:sz="0" w:space="0" w:color="auto"/>
                                <w:right w:val="none" w:sz="0" w:space="0" w:color="auto"/>
                              </w:divBdr>
                            </w:div>
                          </w:divsChild>
                        </w:div>
                        <w:div w:id="774446646">
                          <w:marLeft w:val="0"/>
                          <w:marRight w:val="0"/>
                          <w:marTop w:val="0"/>
                          <w:marBottom w:val="0"/>
                          <w:divBdr>
                            <w:top w:val="none" w:sz="0" w:space="0" w:color="auto"/>
                            <w:left w:val="none" w:sz="0" w:space="0" w:color="auto"/>
                            <w:bottom w:val="none" w:sz="0" w:space="0" w:color="auto"/>
                            <w:right w:val="none" w:sz="0" w:space="0" w:color="auto"/>
                          </w:divBdr>
                          <w:divsChild>
                            <w:div w:id="2071611935">
                              <w:marLeft w:val="0"/>
                              <w:marRight w:val="0"/>
                              <w:marTop w:val="0"/>
                              <w:marBottom w:val="0"/>
                              <w:divBdr>
                                <w:top w:val="none" w:sz="0" w:space="0" w:color="auto"/>
                                <w:left w:val="none" w:sz="0" w:space="0" w:color="auto"/>
                                <w:bottom w:val="none" w:sz="0" w:space="0" w:color="auto"/>
                                <w:right w:val="none" w:sz="0" w:space="0" w:color="auto"/>
                              </w:divBdr>
                            </w:div>
                          </w:divsChild>
                        </w:div>
                        <w:div w:id="245530505">
                          <w:marLeft w:val="0"/>
                          <w:marRight w:val="0"/>
                          <w:marTop w:val="0"/>
                          <w:marBottom w:val="0"/>
                          <w:divBdr>
                            <w:top w:val="none" w:sz="0" w:space="0" w:color="auto"/>
                            <w:left w:val="none" w:sz="0" w:space="0" w:color="auto"/>
                            <w:bottom w:val="none" w:sz="0" w:space="0" w:color="auto"/>
                            <w:right w:val="none" w:sz="0" w:space="0" w:color="auto"/>
                          </w:divBdr>
                          <w:divsChild>
                            <w:div w:id="396349">
                              <w:marLeft w:val="0"/>
                              <w:marRight w:val="0"/>
                              <w:marTop w:val="0"/>
                              <w:marBottom w:val="0"/>
                              <w:divBdr>
                                <w:top w:val="none" w:sz="0" w:space="0" w:color="auto"/>
                                <w:left w:val="none" w:sz="0" w:space="0" w:color="auto"/>
                                <w:bottom w:val="none" w:sz="0" w:space="0" w:color="auto"/>
                                <w:right w:val="none" w:sz="0" w:space="0" w:color="auto"/>
                              </w:divBdr>
                            </w:div>
                          </w:divsChild>
                        </w:div>
                        <w:div w:id="1183787022">
                          <w:marLeft w:val="0"/>
                          <w:marRight w:val="0"/>
                          <w:marTop w:val="0"/>
                          <w:marBottom w:val="0"/>
                          <w:divBdr>
                            <w:top w:val="none" w:sz="0" w:space="0" w:color="auto"/>
                            <w:left w:val="none" w:sz="0" w:space="0" w:color="auto"/>
                            <w:bottom w:val="none" w:sz="0" w:space="0" w:color="auto"/>
                            <w:right w:val="none" w:sz="0" w:space="0" w:color="auto"/>
                          </w:divBdr>
                          <w:divsChild>
                            <w:div w:id="1189248201">
                              <w:marLeft w:val="0"/>
                              <w:marRight w:val="0"/>
                              <w:marTop w:val="0"/>
                              <w:marBottom w:val="0"/>
                              <w:divBdr>
                                <w:top w:val="none" w:sz="0" w:space="0" w:color="auto"/>
                                <w:left w:val="none" w:sz="0" w:space="0" w:color="auto"/>
                                <w:bottom w:val="none" w:sz="0" w:space="0" w:color="auto"/>
                                <w:right w:val="none" w:sz="0" w:space="0" w:color="auto"/>
                              </w:divBdr>
                            </w:div>
                          </w:divsChild>
                        </w:div>
                        <w:div w:id="1443842625">
                          <w:marLeft w:val="0"/>
                          <w:marRight w:val="0"/>
                          <w:marTop w:val="0"/>
                          <w:marBottom w:val="0"/>
                          <w:divBdr>
                            <w:top w:val="none" w:sz="0" w:space="0" w:color="auto"/>
                            <w:left w:val="none" w:sz="0" w:space="0" w:color="auto"/>
                            <w:bottom w:val="none" w:sz="0" w:space="0" w:color="auto"/>
                            <w:right w:val="none" w:sz="0" w:space="0" w:color="auto"/>
                          </w:divBdr>
                          <w:divsChild>
                            <w:div w:id="707409559">
                              <w:marLeft w:val="0"/>
                              <w:marRight w:val="0"/>
                              <w:marTop w:val="0"/>
                              <w:marBottom w:val="0"/>
                              <w:divBdr>
                                <w:top w:val="none" w:sz="0" w:space="0" w:color="auto"/>
                                <w:left w:val="none" w:sz="0" w:space="0" w:color="auto"/>
                                <w:bottom w:val="none" w:sz="0" w:space="0" w:color="auto"/>
                                <w:right w:val="none" w:sz="0" w:space="0" w:color="auto"/>
                              </w:divBdr>
                            </w:div>
                          </w:divsChild>
                        </w:div>
                        <w:div w:id="931816364">
                          <w:marLeft w:val="0"/>
                          <w:marRight w:val="0"/>
                          <w:marTop w:val="0"/>
                          <w:marBottom w:val="0"/>
                          <w:divBdr>
                            <w:top w:val="none" w:sz="0" w:space="0" w:color="auto"/>
                            <w:left w:val="none" w:sz="0" w:space="0" w:color="auto"/>
                            <w:bottom w:val="none" w:sz="0" w:space="0" w:color="auto"/>
                            <w:right w:val="none" w:sz="0" w:space="0" w:color="auto"/>
                          </w:divBdr>
                          <w:divsChild>
                            <w:div w:id="890700448">
                              <w:marLeft w:val="0"/>
                              <w:marRight w:val="0"/>
                              <w:marTop w:val="0"/>
                              <w:marBottom w:val="0"/>
                              <w:divBdr>
                                <w:top w:val="none" w:sz="0" w:space="0" w:color="auto"/>
                                <w:left w:val="none" w:sz="0" w:space="0" w:color="auto"/>
                                <w:bottom w:val="none" w:sz="0" w:space="0" w:color="auto"/>
                                <w:right w:val="none" w:sz="0" w:space="0" w:color="auto"/>
                              </w:divBdr>
                            </w:div>
                          </w:divsChild>
                        </w:div>
                        <w:div w:id="756171375">
                          <w:marLeft w:val="0"/>
                          <w:marRight w:val="0"/>
                          <w:marTop w:val="0"/>
                          <w:marBottom w:val="0"/>
                          <w:divBdr>
                            <w:top w:val="none" w:sz="0" w:space="0" w:color="auto"/>
                            <w:left w:val="none" w:sz="0" w:space="0" w:color="auto"/>
                            <w:bottom w:val="none" w:sz="0" w:space="0" w:color="auto"/>
                            <w:right w:val="none" w:sz="0" w:space="0" w:color="auto"/>
                          </w:divBdr>
                          <w:divsChild>
                            <w:div w:id="1529640262">
                              <w:marLeft w:val="0"/>
                              <w:marRight w:val="0"/>
                              <w:marTop w:val="0"/>
                              <w:marBottom w:val="0"/>
                              <w:divBdr>
                                <w:top w:val="none" w:sz="0" w:space="0" w:color="auto"/>
                                <w:left w:val="none" w:sz="0" w:space="0" w:color="auto"/>
                                <w:bottom w:val="none" w:sz="0" w:space="0" w:color="auto"/>
                                <w:right w:val="none" w:sz="0" w:space="0" w:color="auto"/>
                              </w:divBdr>
                            </w:div>
                          </w:divsChild>
                        </w:div>
                        <w:div w:id="831146110">
                          <w:marLeft w:val="0"/>
                          <w:marRight w:val="0"/>
                          <w:marTop w:val="0"/>
                          <w:marBottom w:val="0"/>
                          <w:divBdr>
                            <w:top w:val="none" w:sz="0" w:space="0" w:color="auto"/>
                            <w:left w:val="none" w:sz="0" w:space="0" w:color="auto"/>
                            <w:bottom w:val="none" w:sz="0" w:space="0" w:color="auto"/>
                            <w:right w:val="none" w:sz="0" w:space="0" w:color="auto"/>
                          </w:divBdr>
                          <w:divsChild>
                            <w:div w:id="1246844128">
                              <w:marLeft w:val="0"/>
                              <w:marRight w:val="0"/>
                              <w:marTop w:val="0"/>
                              <w:marBottom w:val="0"/>
                              <w:divBdr>
                                <w:top w:val="none" w:sz="0" w:space="0" w:color="auto"/>
                                <w:left w:val="none" w:sz="0" w:space="0" w:color="auto"/>
                                <w:bottom w:val="none" w:sz="0" w:space="0" w:color="auto"/>
                                <w:right w:val="none" w:sz="0" w:space="0" w:color="auto"/>
                              </w:divBdr>
                            </w:div>
                          </w:divsChild>
                        </w:div>
                        <w:div w:id="237911955">
                          <w:marLeft w:val="0"/>
                          <w:marRight w:val="0"/>
                          <w:marTop w:val="0"/>
                          <w:marBottom w:val="0"/>
                          <w:divBdr>
                            <w:top w:val="none" w:sz="0" w:space="0" w:color="auto"/>
                            <w:left w:val="none" w:sz="0" w:space="0" w:color="auto"/>
                            <w:bottom w:val="none" w:sz="0" w:space="0" w:color="auto"/>
                            <w:right w:val="none" w:sz="0" w:space="0" w:color="auto"/>
                          </w:divBdr>
                          <w:divsChild>
                            <w:div w:id="8209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44699">
                      <w:marLeft w:val="0"/>
                      <w:marRight w:val="0"/>
                      <w:marTop w:val="0"/>
                      <w:marBottom w:val="0"/>
                      <w:divBdr>
                        <w:top w:val="none" w:sz="0" w:space="0" w:color="auto"/>
                        <w:left w:val="none" w:sz="0" w:space="0" w:color="auto"/>
                        <w:bottom w:val="none" w:sz="0" w:space="0" w:color="auto"/>
                        <w:right w:val="none" w:sz="0" w:space="0" w:color="auto"/>
                      </w:divBdr>
                      <w:divsChild>
                        <w:div w:id="233903643">
                          <w:marLeft w:val="0"/>
                          <w:marRight w:val="0"/>
                          <w:marTop w:val="0"/>
                          <w:marBottom w:val="0"/>
                          <w:divBdr>
                            <w:top w:val="none" w:sz="0" w:space="0" w:color="auto"/>
                            <w:left w:val="none" w:sz="0" w:space="0" w:color="auto"/>
                            <w:bottom w:val="none" w:sz="0" w:space="0" w:color="auto"/>
                            <w:right w:val="none" w:sz="0" w:space="0" w:color="auto"/>
                          </w:divBdr>
                        </w:div>
                        <w:div w:id="1447308537">
                          <w:marLeft w:val="0"/>
                          <w:marRight w:val="0"/>
                          <w:marTop w:val="0"/>
                          <w:marBottom w:val="0"/>
                          <w:divBdr>
                            <w:top w:val="none" w:sz="0" w:space="0" w:color="auto"/>
                            <w:left w:val="none" w:sz="0" w:space="0" w:color="auto"/>
                            <w:bottom w:val="none" w:sz="0" w:space="0" w:color="auto"/>
                            <w:right w:val="none" w:sz="0" w:space="0" w:color="auto"/>
                          </w:divBdr>
                          <w:divsChild>
                            <w:div w:id="676270831">
                              <w:marLeft w:val="0"/>
                              <w:marRight w:val="0"/>
                              <w:marTop w:val="0"/>
                              <w:marBottom w:val="0"/>
                              <w:divBdr>
                                <w:top w:val="none" w:sz="0" w:space="0" w:color="auto"/>
                                <w:left w:val="none" w:sz="0" w:space="0" w:color="auto"/>
                                <w:bottom w:val="none" w:sz="0" w:space="0" w:color="auto"/>
                                <w:right w:val="none" w:sz="0" w:space="0" w:color="auto"/>
                              </w:divBdr>
                            </w:div>
                          </w:divsChild>
                        </w:div>
                        <w:div w:id="1034236545">
                          <w:marLeft w:val="0"/>
                          <w:marRight w:val="0"/>
                          <w:marTop w:val="0"/>
                          <w:marBottom w:val="0"/>
                          <w:divBdr>
                            <w:top w:val="none" w:sz="0" w:space="0" w:color="auto"/>
                            <w:left w:val="none" w:sz="0" w:space="0" w:color="auto"/>
                            <w:bottom w:val="none" w:sz="0" w:space="0" w:color="auto"/>
                            <w:right w:val="none" w:sz="0" w:space="0" w:color="auto"/>
                          </w:divBdr>
                          <w:divsChild>
                            <w:div w:id="1918249118">
                              <w:marLeft w:val="0"/>
                              <w:marRight w:val="0"/>
                              <w:marTop w:val="0"/>
                              <w:marBottom w:val="0"/>
                              <w:divBdr>
                                <w:top w:val="none" w:sz="0" w:space="0" w:color="auto"/>
                                <w:left w:val="none" w:sz="0" w:space="0" w:color="auto"/>
                                <w:bottom w:val="none" w:sz="0" w:space="0" w:color="auto"/>
                                <w:right w:val="none" w:sz="0" w:space="0" w:color="auto"/>
                              </w:divBdr>
                            </w:div>
                          </w:divsChild>
                        </w:div>
                        <w:div w:id="1227766931">
                          <w:marLeft w:val="0"/>
                          <w:marRight w:val="0"/>
                          <w:marTop w:val="0"/>
                          <w:marBottom w:val="0"/>
                          <w:divBdr>
                            <w:top w:val="none" w:sz="0" w:space="0" w:color="auto"/>
                            <w:left w:val="none" w:sz="0" w:space="0" w:color="auto"/>
                            <w:bottom w:val="none" w:sz="0" w:space="0" w:color="auto"/>
                            <w:right w:val="none" w:sz="0" w:space="0" w:color="auto"/>
                          </w:divBdr>
                          <w:divsChild>
                            <w:div w:id="558202013">
                              <w:marLeft w:val="0"/>
                              <w:marRight w:val="0"/>
                              <w:marTop w:val="0"/>
                              <w:marBottom w:val="0"/>
                              <w:divBdr>
                                <w:top w:val="none" w:sz="0" w:space="0" w:color="auto"/>
                                <w:left w:val="none" w:sz="0" w:space="0" w:color="auto"/>
                                <w:bottom w:val="none" w:sz="0" w:space="0" w:color="auto"/>
                                <w:right w:val="none" w:sz="0" w:space="0" w:color="auto"/>
                              </w:divBdr>
                            </w:div>
                          </w:divsChild>
                        </w:div>
                        <w:div w:id="1585607692">
                          <w:marLeft w:val="0"/>
                          <w:marRight w:val="0"/>
                          <w:marTop w:val="0"/>
                          <w:marBottom w:val="0"/>
                          <w:divBdr>
                            <w:top w:val="none" w:sz="0" w:space="0" w:color="auto"/>
                            <w:left w:val="none" w:sz="0" w:space="0" w:color="auto"/>
                            <w:bottom w:val="none" w:sz="0" w:space="0" w:color="auto"/>
                            <w:right w:val="none" w:sz="0" w:space="0" w:color="auto"/>
                          </w:divBdr>
                          <w:divsChild>
                            <w:div w:id="1916474118">
                              <w:marLeft w:val="0"/>
                              <w:marRight w:val="0"/>
                              <w:marTop w:val="0"/>
                              <w:marBottom w:val="0"/>
                              <w:divBdr>
                                <w:top w:val="none" w:sz="0" w:space="0" w:color="auto"/>
                                <w:left w:val="none" w:sz="0" w:space="0" w:color="auto"/>
                                <w:bottom w:val="none" w:sz="0" w:space="0" w:color="auto"/>
                                <w:right w:val="none" w:sz="0" w:space="0" w:color="auto"/>
                              </w:divBdr>
                            </w:div>
                          </w:divsChild>
                        </w:div>
                        <w:div w:id="972751639">
                          <w:marLeft w:val="0"/>
                          <w:marRight w:val="0"/>
                          <w:marTop w:val="0"/>
                          <w:marBottom w:val="0"/>
                          <w:divBdr>
                            <w:top w:val="none" w:sz="0" w:space="0" w:color="auto"/>
                            <w:left w:val="none" w:sz="0" w:space="0" w:color="auto"/>
                            <w:bottom w:val="none" w:sz="0" w:space="0" w:color="auto"/>
                            <w:right w:val="none" w:sz="0" w:space="0" w:color="auto"/>
                          </w:divBdr>
                          <w:divsChild>
                            <w:div w:id="420568162">
                              <w:marLeft w:val="0"/>
                              <w:marRight w:val="0"/>
                              <w:marTop w:val="0"/>
                              <w:marBottom w:val="0"/>
                              <w:divBdr>
                                <w:top w:val="none" w:sz="0" w:space="0" w:color="auto"/>
                                <w:left w:val="none" w:sz="0" w:space="0" w:color="auto"/>
                                <w:bottom w:val="none" w:sz="0" w:space="0" w:color="auto"/>
                                <w:right w:val="none" w:sz="0" w:space="0" w:color="auto"/>
                              </w:divBdr>
                            </w:div>
                          </w:divsChild>
                        </w:div>
                        <w:div w:id="690497054">
                          <w:marLeft w:val="0"/>
                          <w:marRight w:val="0"/>
                          <w:marTop w:val="0"/>
                          <w:marBottom w:val="0"/>
                          <w:divBdr>
                            <w:top w:val="none" w:sz="0" w:space="0" w:color="auto"/>
                            <w:left w:val="none" w:sz="0" w:space="0" w:color="auto"/>
                            <w:bottom w:val="none" w:sz="0" w:space="0" w:color="auto"/>
                            <w:right w:val="none" w:sz="0" w:space="0" w:color="auto"/>
                          </w:divBdr>
                          <w:divsChild>
                            <w:div w:id="100222865">
                              <w:marLeft w:val="0"/>
                              <w:marRight w:val="0"/>
                              <w:marTop w:val="0"/>
                              <w:marBottom w:val="0"/>
                              <w:divBdr>
                                <w:top w:val="none" w:sz="0" w:space="0" w:color="auto"/>
                                <w:left w:val="none" w:sz="0" w:space="0" w:color="auto"/>
                                <w:bottom w:val="none" w:sz="0" w:space="0" w:color="auto"/>
                                <w:right w:val="none" w:sz="0" w:space="0" w:color="auto"/>
                              </w:divBdr>
                            </w:div>
                          </w:divsChild>
                        </w:div>
                        <w:div w:id="1690401602">
                          <w:marLeft w:val="0"/>
                          <w:marRight w:val="0"/>
                          <w:marTop w:val="0"/>
                          <w:marBottom w:val="0"/>
                          <w:divBdr>
                            <w:top w:val="none" w:sz="0" w:space="0" w:color="auto"/>
                            <w:left w:val="none" w:sz="0" w:space="0" w:color="auto"/>
                            <w:bottom w:val="none" w:sz="0" w:space="0" w:color="auto"/>
                            <w:right w:val="none" w:sz="0" w:space="0" w:color="auto"/>
                          </w:divBdr>
                          <w:divsChild>
                            <w:div w:id="1761173340">
                              <w:marLeft w:val="0"/>
                              <w:marRight w:val="0"/>
                              <w:marTop w:val="0"/>
                              <w:marBottom w:val="0"/>
                              <w:divBdr>
                                <w:top w:val="none" w:sz="0" w:space="0" w:color="auto"/>
                                <w:left w:val="none" w:sz="0" w:space="0" w:color="auto"/>
                                <w:bottom w:val="none" w:sz="0" w:space="0" w:color="auto"/>
                                <w:right w:val="none" w:sz="0" w:space="0" w:color="auto"/>
                              </w:divBdr>
                            </w:div>
                          </w:divsChild>
                        </w:div>
                        <w:div w:id="1547528518">
                          <w:marLeft w:val="0"/>
                          <w:marRight w:val="0"/>
                          <w:marTop w:val="0"/>
                          <w:marBottom w:val="0"/>
                          <w:divBdr>
                            <w:top w:val="none" w:sz="0" w:space="0" w:color="auto"/>
                            <w:left w:val="none" w:sz="0" w:space="0" w:color="auto"/>
                            <w:bottom w:val="none" w:sz="0" w:space="0" w:color="auto"/>
                            <w:right w:val="none" w:sz="0" w:space="0" w:color="auto"/>
                          </w:divBdr>
                          <w:divsChild>
                            <w:div w:id="12301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34555">
                  <w:marLeft w:val="0"/>
                  <w:marRight w:val="0"/>
                  <w:marTop w:val="0"/>
                  <w:marBottom w:val="0"/>
                  <w:divBdr>
                    <w:top w:val="none" w:sz="0" w:space="0" w:color="auto"/>
                    <w:left w:val="none" w:sz="0" w:space="0" w:color="auto"/>
                    <w:bottom w:val="none" w:sz="0" w:space="0" w:color="auto"/>
                    <w:right w:val="none" w:sz="0" w:space="0" w:color="auto"/>
                  </w:divBdr>
                  <w:divsChild>
                    <w:div w:id="129521187">
                      <w:marLeft w:val="0"/>
                      <w:marRight w:val="0"/>
                      <w:marTop w:val="0"/>
                      <w:marBottom w:val="0"/>
                      <w:divBdr>
                        <w:top w:val="none" w:sz="0" w:space="0" w:color="auto"/>
                        <w:left w:val="none" w:sz="0" w:space="0" w:color="auto"/>
                        <w:bottom w:val="none" w:sz="0" w:space="0" w:color="auto"/>
                        <w:right w:val="none" w:sz="0" w:space="0" w:color="auto"/>
                      </w:divBdr>
                      <w:divsChild>
                        <w:div w:id="706414742">
                          <w:marLeft w:val="0"/>
                          <w:marRight w:val="0"/>
                          <w:marTop w:val="0"/>
                          <w:marBottom w:val="0"/>
                          <w:divBdr>
                            <w:top w:val="none" w:sz="0" w:space="0" w:color="auto"/>
                            <w:left w:val="none" w:sz="0" w:space="0" w:color="auto"/>
                            <w:bottom w:val="none" w:sz="0" w:space="0" w:color="auto"/>
                            <w:right w:val="none" w:sz="0" w:space="0" w:color="auto"/>
                          </w:divBdr>
                          <w:divsChild>
                            <w:div w:id="44572534">
                              <w:marLeft w:val="0"/>
                              <w:marRight w:val="0"/>
                              <w:marTop w:val="0"/>
                              <w:marBottom w:val="0"/>
                              <w:divBdr>
                                <w:top w:val="none" w:sz="0" w:space="0" w:color="auto"/>
                                <w:left w:val="none" w:sz="0" w:space="0" w:color="auto"/>
                                <w:bottom w:val="none" w:sz="0" w:space="0" w:color="auto"/>
                                <w:right w:val="none" w:sz="0" w:space="0" w:color="auto"/>
                              </w:divBdr>
                            </w:div>
                            <w:div w:id="1869564924">
                              <w:marLeft w:val="0"/>
                              <w:marRight w:val="0"/>
                              <w:marTop w:val="0"/>
                              <w:marBottom w:val="0"/>
                              <w:divBdr>
                                <w:top w:val="none" w:sz="0" w:space="0" w:color="auto"/>
                                <w:left w:val="none" w:sz="0" w:space="0" w:color="auto"/>
                                <w:bottom w:val="none" w:sz="0" w:space="0" w:color="auto"/>
                                <w:right w:val="none" w:sz="0" w:space="0" w:color="auto"/>
                              </w:divBdr>
                              <w:divsChild>
                                <w:div w:id="2030182845">
                                  <w:marLeft w:val="0"/>
                                  <w:marRight w:val="0"/>
                                  <w:marTop w:val="0"/>
                                  <w:marBottom w:val="0"/>
                                  <w:divBdr>
                                    <w:top w:val="none" w:sz="0" w:space="0" w:color="auto"/>
                                    <w:left w:val="none" w:sz="0" w:space="0" w:color="auto"/>
                                    <w:bottom w:val="none" w:sz="0" w:space="0" w:color="auto"/>
                                    <w:right w:val="none" w:sz="0" w:space="0" w:color="auto"/>
                                  </w:divBdr>
                                </w:div>
                              </w:divsChild>
                            </w:div>
                            <w:div w:id="1536966492">
                              <w:marLeft w:val="0"/>
                              <w:marRight w:val="0"/>
                              <w:marTop w:val="0"/>
                              <w:marBottom w:val="0"/>
                              <w:divBdr>
                                <w:top w:val="none" w:sz="0" w:space="0" w:color="auto"/>
                                <w:left w:val="none" w:sz="0" w:space="0" w:color="auto"/>
                                <w:bottom w:val="none" w:sz="0" w:space="0" w:color="auto"/>
                                <w:right w:val="none" w:sz="0" w:space="0" w:color="auto"/>
                              </w:divBdr>
                              <w:divsChild>
                                <w:div w:id="1568224479">
                                  <w:marLeft w:val="0"/>
                                  <w:marRight w:val="0"/>
                                  <w:marTop w:val="0"/>
                                  <w:marBottom w:val="0"/>
                                  <w:divBdr>
                                    <w:top w:val="none" w:sz="0" w:space="0" w:color="auto"/>
                                    <w:left w:val="none" w:sz="0" w:space="0" w:color="auto"/>
                                    <w:bottom w:val="none" w:sz="0" w:space="0" w:color="auto"/>
                                    <w:right w:val="none" w:sz="0" w:space="0" w:color="auto"/>
                                  </w:divBdr>
                                  <w:divsChild>
                                    <w:div w:id="1510294335">
                                      <w:marLeft w:val="0"/>
                                      <w:marRight w:val="0"/>
                                      <w:marTop w:val="0"/>
                                      <w:marBottom w:val="0"/>
                                      <w:divBdr>
                                        <w:top w:val="none" w:sz="0" w:space="0" w:color="auto"/>
                                        <w:left w:val="none" w:sz="0" w:space="0" w:color="auto"/>
                                        <w:bottom w:val="none" w:sz="0" w:space="0" w:color="auto"/>
                                        <w:right w:val="none" w:sz="0" w:space="0" w:color="auto"/>
                                      </w:divBdr>
                                      <w:divsChild>
                                        <w:div w:id="626937918">
                                          <w:marLeft w:val="0"/>
                                          <w:marRight w:val="0"/>
                                          <w:marTop w:val="120"/>
                                          <w:marBottom w:val="0"/>
                                          <w:divBdr>
                                            <w:top w:val="none" w:sz="0" w:space="0" w:color="auto"/>
                                            <w:left w:val="none" w:sz="0" w:space="0" w:color="auto"/>
                                            <w:bottom w:val="none" w:sz="0" w:space="0" w:color="auto"/>
                                            <w:right w:val="none" w:sz="0" w:space="0" w:color="auto"/>
                                          </w:divBdr>
                                        </w:div>
                                        <w:div w:id="1996104792">
                                          <w:marLeft w:val="0"/>
                                          <w:marRight w:val="0"/>
                                          <w:marTop w:val="0"/>
                                          <w:marBottom w:val="0"/>
                                          <w:divBdr>
                                            <w:top w:val="none" w:sz="0" w:space="0" w:color="auto"/>
                                            <w:left w:val="none" w:sz="0" w:space="0" w:color="auto"/>
                                            <w:bottom w:val="none" w:sz="0" w:space="0" w:color="auto"/>
                                            <w:right w:val="none" w:sz="0" w:space="0" w:color="auto"/>
                                          </w:divBdr>
                                        </w:div>
                                      </w:divsChild>
                                    </w:div>
                                    <w:div w:id="1547646601">
                                      <w:marLeft w:val="0"/>
                                      <w:marRight w:val="0"/>
                                      <w:marTop w:val="0"/>
                                      <w:marBottom w:val="0"/>
                                      <w:divBdr>
                                        <w:top w:val="none" w:sz="0" w:space="0" w:color="auto"/>
                                        <w:left w:val="none" w:sz="0" w:space="0" w:color="auto"/>
                                        <w:bottom w:val="none" w:sz="0" w:space="0" w:color="auto"/>
                                        <w:right w:val="none" w:sz="0" w:space="0" w:color="auto"/>
                                      </w:divBdr>
                                      <w:divsChild>
                                        <w:div w:id="1943151392">
                                          <w:marLeft w:val="0"/>
                                          <w:marRight w:val="0"/>
                                          <w:marTop w:val="120"/>
                                          <w:marBottom w:val="0"/>
                                          <w:divBdr>
                                            <w:top w:val="none" w:sz="0" w:space="0" w:color="auto"/>
                                            <w:left w:val="none" w:sz="0" w:space="0" w:color="auto"/>
                                            <w:bottom w:val="none" w:sz="0" w:space="0" w:color="auto"/>
                                            <w:right w:val="none" w:sz="0" w:space="0" w:color="auto"/>
                                          </w:divBdr>
                                        </w:div>
                                        <w:div w:id="70857514">
                                          <w:marLeft w:val="0"/>
                                          <w:marRight w:val="0"/>
                                          <w:marTop w:val="0"/>
                                          <w:marBottom w:val="0"/>
                                          <w:divBdr>
                                            <w:top w:val="none" w:sz="0" w:space="0" w:color="auto"/>
                                            <w:left w:val="none" w:sz="0" w:space="0" w:color="auto"/>
                                            <w:bottom w:val="none" w:sz="0" w:space="0" w:color="auto"/>
                                            <w:right w:val="none" w:sz="0" w:space="0" w:color="auto"/>
                                          </w:divBdr>
                                        </w:div>
                                      </w:divsChild>
                                    </w:div>
                                    <w:div w:id="1905070119">
                                      <w:marLeft w:val="0"/>
                                      <w:marRight w:val="0"/>
                                      <w:marTop w:val="0"/>
                                      <w:marBottom w:val="0"/>
                                      <w:divBdr>
                                        <w:top w:val="none" w:sz="0" w:space="0" w:color="auto"/>
                                        <w:left w:val="none" w:sz="0" w:space="0" w:color="auto"/>
                                        <w:bottom w:val="none" w:sz="0" w:space="0" w:color="auto"/>
                                        <w:right w:val="none" w:sz="0" w:space="0" w:color="auto"/>
                                      </w:divBdr>
                                      <w:divsChild>
                                        <w:div w:id="1212380862">
                                          <w:marLeft w:val="0"/>
                                          <w:marRight w:val="0"/>
                                          <w:marTop w:val="120"/>
                                          <w:marBottom w:val="0"/>
                                          <w:divBdr>
                                            <w:top w:val="none" w:sz="0" w:space="0" w:color="auto"/>
                                            <w:left w:val="none" w:sz="0" w:space="0" w:color="auto"/>
                                            <w:bottom w:val="none" w:sz="0" w:space="0" w:color="auto"/>
                                            <w:right w:val="none" w:sz="0" w:space="0" w:color="auto"/>
                                          </w:divBdr>
                                        </w:div>
                                        <w:div w:id="236983113">
                                          <w:marLeft w:val="0"/>
                                          <w:marRight w:val="0"/>
                                          <w:marTop w:val="0"/>
                                          <w:marBottom w:val="0"/>
                                          <w:divBdr>
                                            <w:top w:val="none" w:sz="0" w:space="0" w:color="auto"/>
                                            <w:left w:val="none" w:sz="0" w:space="0" w:color="auto"/>
                                            <w:bottom w:val="none" w:sz="0" w:space="0" w:color="auto"/>
                                            <w:right w:val="none" w:sz="0" w:space="0" w:color="auto"/>
                                          </w:divBdr>
                                        </w:div>
                                      </w:divsChild>
                                    </w:div>
                                    <w:div w:id="522090201">
                                      <w:marLeft w:val="0"/>
                                      <w:marRight w:val="0"/>
                                      <w:marTop w:val="0"/>
                                      <w:marBottom w:val="0"/>
                                      <w:divBdr>
                                        <w:top w:val="none" w:sz="0" w:space="0" w:color="auto"/>
                                        <w:left w:val="none" w:sz="0" w:space="0" w:color="auto"/>
                                        <w:bottom w:val="none" w:sz="0" w:space="0" w:color="auto"/>
                                        <w:right w:val="none" w:sz="0" w:space="0" w:color="auto"/>
                                      </w:divBdr>
                                      <w:divsChild>
                                        <w:div w:id="988555655">
                                          <w:marLeft w:val="0"/>
                                          <w:marRight w:val="0"/>
                                          <w:marTop w:val="120"/>
                                          <w:marBottom w:val="0"/>
                                          <w:divBdr>
                                            <w:top w:val="none" w:sz="0" w:space="0" w:color="auto"/>
                                            <w:left w:val="none" w:sz="0" w:space="0" w:color="auto"/>
                                            <w:bottom w:val="none" w:sz="0" w:space="0" w:color="auto"/>
                                            <w:right w:val="none" w:sz="0" w:space="0" w:color="auto"/>
                                          </w:divBdr>
                                        </w:div>
                                        <w:div w:id="826552231">
                                          <w:marLeft w:val="0"/>
                                          <w:marRight w:val="0"/>
                                          <w:marTop w:val="0"/>
                                          <w:marBottom w:val="0"/>
                                          <w:divBdr>
                                            <w:top w:val="none" w:sz="0" w:space="0" w:color="auto"/>
                                            <w:left w:val="none" w:sz="0" w:space="0" w:color="auto"/>
                                            <w:bottom w:val="none" w:sz="0" w:space="0" w:color="auto"/>
                                            <w:right w:val="none" w:sz="0" w:space="0" w:color="auto"/>
                                          </w:divBdr>
                                        </w:div>
                                      </w:divsChild>
                                    </w:div>
                                    <w:div w:id="1332760344">
                                      <w:marLeft w:val="0"/>
                                      <w:marRight w:val="0"/>
                                      <w:marTop w:val="0"/>
                                      <w:marBottom w:val="0"/>
                                      <w:divBdr>
                                        <w:top w:val="none" w:sz="0" w:space="0" w:color="auto"/>
                                        <w:left w:val="none" w:sz="0" w:space="0" w:color="auto"/>
                                        <w:bottom w:val="none" w:sz="0" w:space="0" w:color="auto"/>
                                        <w:right w:val="none" w:sz="0" w:space="0" w:color="auto"/>
                                      </w:divBdr>
                                      <w:divsChild>
                                        <w:div w:id="94327950">
                                          <w:marLeft w:val="0"/>
                                          <w:marRight w:val="0"/>
                                          <w:marTop w:val="120"/>
                                          <w:marBottom w:val="0"/>
                                          <w:divBdr>
                                            <w:top w:val="none" w:sz="0" w:space="0" w:color="auto"/>
                                            <w:left w:val="none" w:sz="0" w:space="0" w:color="auto"/>
                                            <w:bottom w:val="none" w:sz="0" w:space="0" w:color="auto"/>
                                            <w:right w:val="none" w:sz="0" w:space="0" w:color="auto"/>
                                          </w:divBdr>
                                        </w:div>
                                        <w:div w:id="187199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78029">
                              <w:marLeft w:val="0"/>
                              <w:marRight w:val="0"/>
                              <w:marTop w:val="0"/>
                              <w:marBottom w:val="0"/>
                              <w:divBdr>
                                <w:top w:val="none" w:sz="0" w:space="0" w:color="auto"/>
                                <w:left w:val="none" w:sz="0" w:space="0" w:color="auto"/>
                                <w:bottom w:val="none" w:sz="0" w:space="0" w:color="auto"/>
                                <w:right w:val="none" w:sz="0" w:space="0" w:color="auto"/>
                              </w:divBdr>
                              <w:divsChild>
                                <w:div w:id="147412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0207">
                          <w:marLeft w:val="0"/>
                          <w:marRight w:val="0"/>
                          <w:marTop w:val="0"/>
                          <w:marBottom w:val="0"/>
                          <w:divBdr>
                            <w:top w:val="none" w:sz="0" w:space="0" w:color="auto"/>
                            <w:left w:val="none" w:sz="0" w:space="0" w:color="auto"/>
                            <w:bottom w:val="none" w:sz="0" w:space="0" w:color="auto"/>
                            <w:right w:val="none" w:sz="0" w:space="0" w:color="auto"/>
                          </w:divBdr>
                          <w:divsChild>
                            <w:div w:id="1589803136">
                              <w:marLeft w:val="0"/>
                              <w:marRight w:val="0"/>
                              <w:marTop w:val="0"/>
                              <w:marBottom w:val="0"/>
                              <w:divBdr>
                                <w:top w:val="none" w:sz="0" w:space="0" w:color="auto"/>
                                <w:left w:val="none" w:sz="0" w:space="0" w:color="auto"/>
                                <w:bottom w:val="none" w:sz="0" w:space="0" w:color="auto"/>
                                <w:right w:val="none" w:sz="0" w:space="0" w:color="auto"/>
                              </w:divBdr>
                            </w:div>
                            <w:div w:id="340621642">
                              <w:marLeft w:val="0"/>
                              <w:marRight w:val="0"/>
                              <w:marTop w:val="0"/>
                              <w:marBottom w:val="0"/>
                              <w:divBdr>
                                <w:top w:val="none" w:sz="0" w:space="0" w:color="auto"/>
                                <w:left w:val="none" w:sz="0" w:space="0" w:color="auto"/>
                                <w:bottom w:val="none" w:sz="0" w:space="0" w:color="auto"/>
                                <w:right w:val="none" w:sz="0" w:space="0" w:color="auto"/>
                              </w:divBdr>
                              <w:divsChild>
                                <w:div w:id="1330979586">
                                  <w:marLeft w:val="0"/>
                                  <w:marRight w:val="0"/>
                                  <w:marTop w:val="0"/>
                                  <w:marBottom w:val="0"/>
                                  <w:divBdr>
                                    <w:top w:val="none" w:sz="0" w:space="0" w:color="auto"/>
                                    <w:left w:val="none" w:sz="0" w:space="0" w:color="auto"/>
                                    <w:bottom w:val="none" w:sz="0" w:space="0" w:color="auto"/>
                                    <w:right w:val="none" w:sz="0" w:space="0" w:color="auto"/>
                                  </w:divBdr>
                                  <w:divsChild>
                                    <w:div w:id="1596591450">
                                      <w:marLeft w:val="0"/>
                                      <w:marRight w:val="0"/>
                                      <w:marTop w:val="0"/>
                                      <w:marBottom w:val="0"/>
                                      <w:divBdr>
                                        <w:top w:val="none" w:sz="0" w:space="0" w:color="auto"/>
                                        <w:left w:val="none" w:sz="0" w:space="0" w:color="auto"/>
                                        <w:bottom w:val="none" w:sz="0" w:space="0" w:color="auto"/>
                                        <w:right w:val="none" w:sz="0" w:space="0" w:color="auto"/>
                                      </w:divBdr>
                                      <w:divsChild>
                                        <w:div w:id="2050716358">
                                          <w:marLeft w:val="0"/>
                                          <w:marRight w:val="0"/>
                                          <w:marTop w:val="120"/>
                                          <w:marBottom w:val="0"/>
                                          <w:divBdr>
                                            <w:top w:val="none" w:sz="0" w:space="0" w:color="auto"/>
                                            <w:left w:val="none" w:sz="0" w:space="0" w:color="auto"/>
                                            <w:bottom w:val="none" w:sz="0" w:space="0" w:color="auto"/>
                                            <w:right w:val="none" w:sz="0" w:space="0" w:color="auto"/>
                                          </w:divBdr>
                                        </w:div>
                                        <w:div w:id="1186552040">
                                          <w:marLeft w:val="0"/>
                                          <w:marRight w:val="0"/>
                                          <w:marTop w:val="0"/>
                                          <w:marBottom w:val="0"/>
                                          <w:divBdr>
                                            <w:top w:val="none" w:sz="0" w:space="0" w:color="auto"/>
                                            <w:left w:val="none" w:sz="0" w:space="0" w:color="auto"/>
                                            <w:bottom w:val="none" w:sz="0" w:space="0" w:color="auto"/>
                                            <w:right w:val="none" w:sz="0" w:space="0" w:color="auto"/>
                                          </w:divBdr>
                                        </w:div>
                                      </w:divsChild>
                                    </w:div>
                                    <w:div w:id="319619553">
                                      <w:marLeft w:val="0"/>
                                      <w:marRight w:val="0"/>
                                      <w:marTop w:val="0"/>
                                      <w:marBottom w:val="0"/>
                                      <w:divBdr>
                                        <w:top w:val="none" w:sz="0" w:space="0" w:color="auto"/>
                                        <w:left w:val="none" w:sz="0" w:space="0" w:color="auto"/>
                                        <w:bottom w:val="none" w:sz="0" w:space="0" w:color="auto"/>
                                        <w:right w:val="none" w:sz="0" w:space="0" w:color="auto"/>
                                      </w:divBdr>
                                      <w:divsChild>
                                        <w:div w:id="1351839815">
                                          <w:marLeft w:val="0"/>
                                          <w:marRight w:val="0"/>
                                          <w:marTop w:val="120"/>
                                          <w:marBottom w:val="0"/>
                                          <w:divBdr>
                                            <w:top w:val="none" w:sz="0" w:space="0" w:color="auto"/>
                                            <w:left w:val="none" w:sz="0" w:space="0" w:color="auto"/>
                                            <w:bottom w:val="none" w:sz="0" w:space="0" w:color="auto"/>
                                            <w:right w:val="none" w:sz="0" w:space="0" w:color="auto"/>
                                          </w:divBdr>
                                        </w:div>
                                        <w:div w:id="1956210475">
                                          <w:marLeft w:val="0"/>
                                          <w:marRight w:val="0"/>
                                          <w:marTop w:val="0"/>
                                          <w:marBottom w:val="0"/>
                                          <w:divBdr>
                                            <w:top w:val="none" w:sz="0" w:space="0" w:color="auto"/>
                                            <w:left w:val="none" w:sz="0" w:space="0" w:color="auto"/>
                                            <w:bottom w:val="none" w:sz="0" w:space="0" w:color="auto"/>
                                            <w:right w:val="none" w:sz="0" w:space="0" w:color="auto"/>
                                          </w:divBdr>
                                        </w:div>
                                      </w:divsChild>
                                    </w:div>
                                    <w:div w:id="1593393092">
                                      <w:marLeft w:val="0"/>
                                      <w:marRight w:val="0"/>
                                      <w:marTop w:val="0"/>
                                      <w:marBottom w:val="0"/>
                                      <w:divBdr>
                                        <w:top w:val="none" w:sz="0" w:space="0" w:color="auto"/>
                                        <w:left w:val="none" w:sz="0" w:space="0" w:color="auto"/>
                                        <w:bottom w:val="none" w:sz="0" w:space="0" w:color="auto"/>
                                        <w:right w:val="none" w:sz="0" w:space="0" w:color="auto"/>
                                      </w:divBdr>
                                      <w:divsChild>
                                        <w:div w:id="172456992">
                                          <w:marLeft w:val="0"/>
                                          <w:marRight w:val="0"/>
                                          <w:marTop w:val="120"/>
                                          <w:marBottom w:val="0"/>
                                          <w:divBdr>
                                            <w:top w:val="none" w:sz="0" w:space="0" w:color="auto"/>
                                            <w:left w:val="none" w:sz="0" w:space="0" w:color="auto"/>
                                            <w:bottom w:val="none" w:sz="0" w:space="0" w:color="auto"/>
                                            <w:right w:val="none" w:sz="0" w:space="0" w:color="auto"/>
                                          </w:divBdr>
                                        </w:div>
                                        <w:div w:id="1358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522798">
                              <w:marLeft w:val="0"/>
                              <w:marRight w:val="0"/>
                              <w:marTop w:val="0"/>
                              <w:marBottom w:val="0"/>
                              <w:divBdr>
                                <w:top w:val="none" w:sz="0" w:space="0" w:color="auto"/>
                                <w:left w:val="none" w:sz="0" w:space="0" w:color="auto"/>
                                <w:bottom w:val="none" w:sz="0" w:space="0" w:color="auto"/>
                                <w:right w:val="none" w:sz="0" w:space="0" w:color="auto"/>
                              </w:divBdr>
                              <w:divsChild>
                                <w:div w:id="975257310">
                                  <w:marLeft w:val="0"/>
                                  <w:marRight w:val="0"/>
                                  <w:marTop w:val="0"/>
                                  <w:marBottom w:val="0"/>
                                  <w:divBdr>
                                    <w:top w:val="none" w:sz="0" w:space="0" w:color="auto"/>
                                    <w:left w:val="none" w:sz="0" w:space="0" w:color="auto"/>
                                    <w:bottom w:val="none" w:sz="0" w:space="0" w:color="auto"/>
                                    <w:right w:val="none" w:sz="0" w:space="0" w:color="auto"/>
                                  </w:divBdr>
                                </w:div>
                              </w:divsChild>
                            </w:div>
                            <w:div w:id="1964846497">
                              <w:marLeft w:val="0"/>
                              <w:marRight w:val="0"/>
                              <w:marTop w:val="0"/>
                              <w:marBottom w:val="0"/>
                              <w:divBdr>
                                <w:top w:val="none" w:sz="0" w:space="0" w:color="auto"/>
                                <w:left w:val="none" w:sz="0" w:space="0" w:color="auto"/>
                                <w:bottom w:val="none" w:sz="0" w:space="0" w:color="auto"/>
                                <w:right w:val="none" w:sz="0" w:space="0" w:color="auto"/>
                              </w:divBdr>
                              <w:divsChild>
                                <w:div w:id="1696954056">
                                  <w:marLeft w:val="0"/>
                                  <w:marRight w:val="0"/>
                                  <w:marTop w:val="0"/>
                                  <w:marBottom w:val="0"/>
                                  <w:divBdr>
                                    <w:top w:val="none" w:sz="0" w:space="0" w:color="auto"/>
                                    <w:left w:val="none" w:sz="0" w:space="0" w:color="auto"/>
                                    <w:bottom w:val="none" w:sz="0" w:space="0" w:color="auto"/>
                                    <w:right w:val="none" w:sz="0" w:space="0" w:color="auto"/>
                                  </w:divBdr>
                                </w:div>
                              </w:divsChild>
                            </w:div>
                            <w:div w:id="1489133739">
                              <w:marLeft w:val="0"/>
                              <w:marRight w:val="0"/>
                              <w:marTop w:val="0"/>
                              <w:marBottom w:val="0"/>
                              <w:divBdr>
                                <w:top w:val="none" w:sz="0" w:space="0" w:color="auto"/>
                                <w:left w:val="none" w:sz="0" w:space="0" w:color="auto"/>
                                <w:bottom w:val="none" w:sz="0" w:space="0" w:color="auto"/>
                                <w:right w:val="none" w:sz="0" w:space="0" w:color="auto"/>
                              </w:divBdr>
                              <w:divsChild>
                                <w:div w:id="1156652523">
                                  <w:marLeft w:val="0"/>
                                  <w:marRight w:val="0"/>
                                  <w:marTop w:val="0"/>
                                  <w:marBottom w:val="0"/>
                                  <w:divBdr>
                                    <w:top w:val="none" w:sz="0" w:space="0" w:color="auto"/>
                                    <w:left w:val="none" w:sz="0" w:space="0" w:color="auto"/>
                                    <w:bottom w:val="none" w:sz="0" w:space="0" w:color="auto"/>
                                    <w:right w:val="none" w:sz="0" w:space="0" w:color="auto"/>
                                  </w:divBdr>
                                  <w:divsChild>
                                    <w:div w:id="841235760">
                                      <w:marLeft w:val="0"/>
                                      <w:marRight w:val="0"/>
                                      <w:marTop w:val="0"/>
                                      <w:marBottom w:val="0"/>
                                      <w:divBdr>
                                        <w:top w:val="none" w:sz="0" w:space="0" w:color="auto"/>
                                        <w:left w:val="none" w:sz="0" w:space="0" w:color="auto"/>
                                        <w:bottom w:val="none" w:sz="0" w:space="0" w:color="auto"/>
                                        <w:right w:val="none" w:sz="0" w:space="0" w:color="auto"/>
                                      </w:divBdr>
                                      <w:divsChild>
                                        <w:div w:id="250352840">
                                          <w:marLeft w:val="0"/>
                                          <w:marRight w:val="0"/>
                                          <w:marTop w:val="120"/>
                                          <w:marBottom w:val="0"/>
                                          <w:divBdr>
                                            <w:top w:val="none" w:sz="0" w:space="0" w:color="auto"/>
                                            <w:left w:val="none" w:sz="0" w:space="0" w:color="auto"/>
                                            <w:bottom w:val="none" w:sz="0" w:space="0" w:color="auto"/>
                                            <w:right w:val="none" w:sz="0" w:space="0" w:color="auto"/>
                                          </w:divBdr>
                                        </w:div>
                                        <w:div w:id="1358458272">
                                          <w:marLeft w:val="0"/>
                                          <w:marRight w:val="0"/>
                                          <w:marTop w:val="0"/>
                                          <w:marBottom w:val="0"/>
                                          <w:divBdr>
                                            <w:top w:val="none" w:sz="0" w:space="0" w:color="auto"/>
                                            <w:left w:val="none" w:sz="0" w:space="0" w:color="auto"/>
                                            <w:bottom w:val="none" w:sz="0" w:space="0" w:color="auto"/>
                                            <w:right w:val="none" w:sz="0" w:space="0" w:color="auto"/>
                                          </w:divBdr>
                                        </w:div>
                                      </w:divsChild>
                                    </w:div>
                                    <w:div w:id="118377317">
                                      <w:marLeft w:val="0"/>
                                      <w:marRight w:val="0"/>
                                      <w:marTop w:val="0"/>
                                      <w:marBottom w:val="0"/>
                                      <w:divBdr>
                                        <w:top w:val="none" w:sz="0" w:space="0" w:color="auto"/>
                                        <w:left w:val="none" w:sz="0" w:space="0" w:color="auto"/>
                                        <w:bottom w:val="none" w:sz="0" w:space="0" w:color="auto"/>
                                        <w:right w:val="none" w:sz="0" w:space="0" w:color="auto"/>
                                      </w:divBdr>
                                      <w:divsChild>
                                        <w:div w:id="1887715646">
                                          <w:marLeft w:val="0"/>
                                          <w:marRight w:val="0"/>
                                          <w:marTop w:val="120"/>
                                          <w:marBottom w:val="0"/>
                                          <w:divBdr>
                                            <w:top w:val="none" w:sz="0" w:space="0" w:color="auto"/>
                                            <w:left w:val="none" w:sz="0" w:space="0" w:color="auto"/>
                                            <w:bottom w:val="none" w:sz="0" w:space="0" w:color="auto"/>
                                            <w:right w:val="none" w:sz="0" w:space="0" w:color="auto"/>
                                          </w:divBdr>
                                        </w:div>
                                        <w:div w:id="2093816240">
                                          <w:marLeft w:val="0"/>
                                          <w:marRight w:val="0"/>
                                          <w:marTop w:val="0"/>
                                          <w:marBottom w:val="0"/>
                                          <w:divBdr>
                                            <w:top w:val="none" w:sz="0" w:space="0" w:color="auto"/>
                                            <w:left w:val="none" w:sz="0" w:space="0" w:color="auto"/>
                                            <w:bottom w:val="none" w:sz="0" w:space="0" w:color="auto"/>
                                            <w:right w:val="none" w:sz="0" w:space="0" w:color="auto"/>
                                          </w:divBdr>
                                        </w:div>
                                      </w:divsChild>
                                    </w:div>
                                    <w:div w:id="1917323844">
                                      <w:marLeft w:val="0"/>
                                      <w:marRight w:val="0"/>
                                      <w:marTop w:val="0"/>
                                      <w:marBottom w:val="0"/>
                                      <w:divBdr>
                                        <w:top w:val="none" w:sz="0" w:space="0" w:color="auto"/>
                                        <w:left w:val="none" w:sz="0" w:space="0" w:color="auto"/>
                                        <w:bottom w:val="none" w:sz="0" w:space="0" w:color="auto"/>
                                        <w:right w:val="none" w:sz="0" w:space="0" w:color="auto"/>
                                      </w:divBdr>
                                      <w:divsChild>
                                        <w:div w:id="2036541394">
                                          <w:marLeft w:val="0"/>
                                          <w:marRight w:val="0"/>
                                          <w:marTop w:val="120"/>
                                          <w:marBottom w:val="0"/>
                                          <w:divBdr>
                                            <w:top w:val="none" w:sz="0" w:space="0" w:color="auto"/>
                                            <w:left w:val="none" w:sz="0" w:space="0" w:color="auto"/>
                                            <w:bottom w:val="none" w:sz="0" w:space="0" w:color="auto"/>
                                            <w:right w:val="none" w:sz="0" w:space="0" w:color="auto"/>
                                          </w:divBdr>
                                        </w:div>
                                        <w:div w:id="744842990">
                                          <w:marLeft w:val="0"/>
                                          <w:marRight w:val="0"/>
                                          <w:marTop w:val="0"/>
                                          <w:marBottom w:val="0"/>
                                          <w:divBdr>
                                            <w:top w:val="none" w:sz="0" w:space="0" w:color="auto"/>
                                            <w:left w:val="none" w:sz="0" w:space="0" w:color="auto"/>
                                            <w:bottom w:val="none" w:sz="0" w:space="0" w:color="auto"/>
                                            <w:right w:val="none" w:sz="0" w:space="0" w:color="auto"/>
                                          </w:divBdr>
                                        </w:div>
                                      </w:divsChild>
                                    </w:div>
                                    <w:div w:id="139425098">
                                      <w:marLeft w:val="0"/>
                                      <w:marRight w:val="0"/>
                                      <w:marTop w:val="0"/>
                                      <w:marBottom w:val="0"/>
                                      <w:divBdr>
                                        <w:top w:val="none" w:sz="0" w:space="0" w:color="auto"/>
                                        <w:left w:val="none" w:sz="0" w:space="0" w:color="auto"/>
                                        <w:bottom w:val="none" w:sz="0" w:space="0" w:color="auto"/>
                                        <w:right w:val="none" w:sz="0" w:space="0" w:color="auto"/>
                                      </w:divBdr>
                                      <w:divsChild>
                                        <w:div w:id="1867448812">
                                          <w:marLeft w:val="0"/>
                                          <w:marRight w:val="0"/>
                                          <w:marTop w:val="120"/>
                                          <w:marBottom w:val="0"/>
                                          <w:divBdr>
                                            <w:top w:val="none" w:sz="0" w:space="0" w:color="auto"/>
                                            <w:left w:val="none" w:sz="0" w:space="0" w:color="auto"/>
                                            <w:bottom w:val="none" w:sz="0" w:space="0" w:color="auto"/>
                                            <w:right w:val="none" w:sz="0" w:space="0" w:color="auto"/>
                                          </w:divBdr>
                                        </w:div>
                                        <w:div w:id="759448230">
                                          <w:marLeft w:val="0"/>
                                          <w:marRight w:val="0"/>
                                          <w:marTop w:val="0"/>
                                          <w:marBottom w:val="0"/>
                                          <w:divBdr>
                                            <w:top w:val="none" w:sz="0" w:space="0" w:color="auto"/>
                                            <w:left w:val="none" w:sz="0" w:space="0" w:color="auto"/>
                                            <w:bottom w:val="none" w:sz="0" w:space="0" w:color="auto"/>
                                            <w:right w:val="none" w:sz="0" w:space="0" w:color="auto"/>
                                          </w:divBdr>
                                          <w:divsChild>
                                            <w:div w:id="1037506236">
                                              <w:marLeft w:val="0"/>
                                              <w:marRight w:val="0"/>
                                              <w:marTop w:val="0"/>
                                              <w:marBottom w:val="0"/>
                                              <w:divBdr>
                                                <w:top w:val="none" w:sz="0" w:space="0" w:color="auto"/>
                                                <w:left w:val="none" w:sz="0" w:space="0" w:color="auto"/>
                                                <w:bottom w:val="none" w:sz="0" w:space="0" w:color="auto"/>
                                                <w:right w:val="none" w:sz="0" w:space="0" w:color="auto"/>
                                              </w:divBdr>
                                              <w:divsChild>
                                                <w:div w:id="1062481399">
                                                  <w:marLeft w:val="0"/>
                                                  <w:marRight w:val="0"/>
                                                  <w:marTop w:val="120"/>
                                                  <w:marBottom w:val="0"/>
                                                  <w:divBdr>
                                                    <w:top w:val="none" w:sz="0" w:space="0" w:color="auto"/>
                                                    <w:left w:val="none" w:sz="0" w:space="0" w:color="auto"/>
                                                    <w:bottom w:val="none" w:sz="0" w:space="0" w:color="auto"/>
                                                    <w:right w:val="none" w:sz="0" w:space="0" w:color="auto"/>
                                                  </w:divBdr>
                                                </w:div>
                                                <w:div w:id="1902584">
                                                  <w:marLeft w:val="0"/>
                                                  <w:marRight w:val="0"/>
                                                  <w:marTop w:val="0"/>
                                                  <w:marBottom w:val="0"/>
                                                  <w:divBdr>
                                                    <w:top w:val="none" w:sz="0" w:space="0" w:color="auto"/>
                                                    <w:left w:val="none" w:sz="0" w:space="0" w:color="auto"/>
                                                    <w:bottom w:val="none" w:sz="0" w:space="0" w:color="auto"/>
                                                    <w:right w:val="none" w:sz="0" w:space="0" w:color="auto"/>
                                                  </w:divBdr>
                                                </w:div>
                                              </w:divsChild>
                                            </w:div>
                                            <w:div w:id="1707830112">
                                              <w:marLeft w:val="0"/>
                                              <w:marRight w:val="0"/>
                                              <w:marTop w:val="0"/>
                                              <w:marBottom w:val="0"/>
                                              <w:divBdr>
                                                <w:top w:val="none" w:sz="0" w:space="0" w:color="auto"/>
                                                <w:left w:val="none" w:sz="0" w:space="0" w:color="auto"/>
                                                <w:bottom w:val="none" w:sz="0" w:space="0" w:color="auto"/>
                                                <w:right w:val="none" w:sz="0" w:space="0" w:color="auto"/>
                                              </w:divBdr>
                                              <w:divsChild>
                                                <w:div w:id="913970320">
                                                  <w:marLeft w:val="0"/>
                                                  <w:marRight w:val="0"/>
                                                  <w:marTop w:val="120"/>
                                                  <w:marBottom w:val="0"/>
                                                  <w:divBdr>
                                                    <w:top w:val="none" w:sz="0" w:space="0" w:color="auto"/>
                                                    <w:left w:val="none" w:sz="0" w:space="0" w:color="auto"/>
                                                    <w:bottom w:val="none" w:sz="0" w:space="0" w:color="auto"/>
                                                    <w:right w:val="none" w:sz="0" w:space="0" w:color="auto"/>
                                                  </w:divBdr>
                                                </w:div>
                                                <w:div w:id="1928074581">
                                                  <w:marLeft w:val="0"/>
                                                  <w:marRight w:val="0"/>
                                                  <w:marTop w:val="0"/>
                                                  <w:marBottom w:val="0"/>
                                                  <w:divBdr>
                                                    <w:top w:val="none" w:sz="0" w:space="0" w:color="auto"/>
                                                    <w:left w:val="none" w:sz="0" w:space="0" w:color="auto"/>
                                                    <w:bottom w:val="none" w:sz="0" w:space="0" w:color="auto"/>
                                                    <w:right w:val="none" w:sz="0" w:space="0" w:color="auto"/>
                                                  </w:divBdr>
                                                </w:div>
                                              </w:divsChild>
                                            </w:div>
                                            <w:div w:id="54087720">
                                              <w:marLeft w:val="0"/>
                                              <w:marRight w:val="0"/>
                                              <w:marTop w:val="0"/>
                                              <w:marBottom w:val="0"/>
                                              <w:divBdr>
                                                <w:top w:val="none" w:sz="0" w:space="0" w:color="auto"/>
                                                <w:left w:val="none" w:sz="0" w:space="0" w:color="auto"/>
                                                <w:bottom w:val="none" w:sz="0" w:space="0" w:color="auto"/>
                                                <w:right w:val="none" w:sz="0" w:space="0" w:color="auto"/>
                                              </w:divBdr>
                                              <w:divsChild>
                                                <w:div w:id="2005164315">
                                                  <w:marLeft w:val="0"/>
                                                  <w:marRight w:val="0"/>
                                                  <w:marTop w:val="120"/>
                                                  <w:marBottom w:val="0"/>
                                                  <w:divBdr>
                                                    <w:top w:val="none" w:sz="0" w:space="0" w:color="auto"/>
                                                    <w:left w:val="none" w:sz="0" w:space="0" w:color="auto"/>
                                                    <w:bottom w:val="none" w:sz="0" w:space="0" w:color="auto"/>
                                                    <w:right w:val="none" w:sz="0" w:space="0" w:color="auto"/>
                                                  </w:divBdr>
                                                </w:div>
                                                <w:div w:id="183240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178919">
                              <w:marLeft w:val="0"/>
                              <w:marRight w:val="0"/>
                              <w:marTop w:val="0"/>
                              <w:marBottom w:val="0"/>
                              <w:divBdr>
                                <w:top w:val="none" w:sz="0" w:space="0" w:color="auto"/>
                                <w:left w:val="none" w:sz="0" w:space="0" w:color="auto"/>
                                <w:bottom w:val="none" w:sz="0" w:space="0" w:color="auto"/>
                                <w:right w:val="none" w:sz="0" w:space="0" w:color="auto"/>
                              </w:divBdr>
                              <w:divsChild>
                                <w:div w:id="588317243">
                                  <w:marLeft w:val="0"/>
                                  <w:marRight w:val="0"/>
                                  <w:marTop w:val="0"/>
                                  <w:marBottom w:val="0"/>
                                  <w:divBdr>
                                    <w:top w:val="none" w:sz="0" w:space="0" w:color="auto"/>
                                    <w:left w:val="none" w:sz="0" w:space="0" w:color="auto"/>
                                    <w:bottom w:val="none" w:sz="0" w:space="0" w:color="auto"/>
                                    <w:right w:val="none" w:sz="0" w:space="0" w:color="auto"/>
                                  </w:divBdr>
                                </w:div>
                              </w:divsChild>
                            </w:div>
                            <w:div w:id="1379354323">
                              <w:marLeft w:val="0"/>
                              <w:marRight w:val="0"/>
                              <w:marTop w:val="0"/>
                              <w:marBottom w:val="0"/>
                              <w:divBdr>
                                <w:top w:val="none" w:sz="0" w:space="0" w:color="auto"/>
                                <w:left w:val="none" w:sz="0" w:space="0" w:color="auto"/>
                                <w:bottom w:val="none" w:sz="0" w:space="0" w:color="auto"/>
                                <w:right w:val="none" w:sz="0" w:space="0" w:color="auto"/>
                              </w:divBdr>
                              <w:divsChild>
                                <w:div w:id="5957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47872">
                          <w:marLeft w:val="0"/>
                          <w:marRight w:val="0"/>
                          <w:marTop w:val="0"/>
                          <w:marBottom w:val="0"/>
                          <w:divBdr>
                            <w:top w:val="none" w:sz="0" w:space="0" w:color="auto"/>
                            <w:left w:val="none" w:sz="0" w:space="0" w:color="auto"/>
                            <w:bottom w:val="none" w:sz="0" w:space="0" w:color="auto"/>
                            <w:right w:val="none" w:sz="0" w:space="0" w:color="auto"/>
                          </w:divBdr>
                          <w:divsChild>
                            <w:div w:id="1908882620">
                              <w:marLeft w:val="0"/>
                              <w:marRight w:val="0"/>
                              <w:marTop w:val="0"/>
                              <w:marBottom w:val="0"/>
                              <w:divBdr>
                                <w:top w:val="none" w:sz="0" w:space="0" w:color="auto"/>
                                <w:left w:val="none" w:sz="0" w:space="0" w:color="auto"/>
                                <w:bottom w:val="none" w:sz="0" w:space="0" w:color="auto"/>
                                <w:right w:val="none" w:sz="0" w:space="0" w:color="auto"/>
                              </w:divBdr>
                            </w:div>
                          </w:divsChild>
                        </w:div>
                        <w:div w:id="1984652278">
                          <w:marLeft w:val="0"/>
                          <w:marRight w:val="0"/>
                          <w:marTop w:val="0"/>
                          <w:marBottom w:val="0"/>
                          <w:divBdr>
                            <w:top w:val="none" w:sz="0" w:space="0" w:color="auto"/>
                            <w:left w:val="none" w:sz="0" w:space="0" w:color="auto"/>
                            <w:bottom w:val="none" w:sz="0" w:space="0" w:color="auto"/>
                            <w:right w:val="none" w:sz="0" w:space="0" w:color="auto"/>
                          </w:divBdr>
                          <w:divsChild>
                            <w:div w:id="1896743766">
                              <w:marLeft w:val="0"/>
                              <w:marRight w:val="0"/>
                              <w:marTop w:val="0"/>
                              <w:marBottom w:val="0"/>
                              <w:divBdr>
                                <w:top w:val="none" w:sz="0" w:space="0" w:color="auto"/>
                                <w:left w:val="none" w:sz="0" w:space="0" w:color="auto"/>
                                <w:bottom w:val="none" w:sz="0" w:space="0" w:color="auto"/>
                                <w:right w:val="none" w:sz="0" w:space="0" w:color="auto"/>
                              </w:divBdr>
                            </w:div>
                          </w:divsChild>
                        </w:div>
                        <w:div w:id="109204848">
                          <w:marLeft w:val="0"/>
                          <w:marRight w:val="0"/>
                          <w:marTop w:val="0"/>
                          <w:marBottom w:val="0"/>
                          <w:divBdr>
                            <w:top w:val="none" w:sz="0" w:space="0" w:color="auto"/>
                            <w:left w:val="none" w:sz="0" w:space="0" w:color="auto"/>
                            <w:bottom w:val="none" w:sz="0" w:space="0" w:color="auto"/>
                            <w:right w:val="none" w:sz="0" w:space="0" w:color="auto"/>
                          </w:divBdr>
                          <w:divsChild>
                            <w:div w:id="80378386">
                              <w:marLeft w:val="0"/>
                              <w:marRight w:val="0"/>
                              <w:marTop w:val="0"/>
                              <w:marBottom w:val="0"/>
                              <w:divBdr>
                                <w:top w:val="none" w:sz="0" w:space="0" w:color="auto"/>
                                <w:left w:val="none" w:sz="0" w:space="0" w:color="auto"/>
                                <w:bottom w:val="none" w:sz="0" w:space="0" w:color="auto"/>
                                <w:right w:val="none" w:sz="0" w:space="0" w:color="auto"/>
                              </w:divBdr>
                            </w:div>
                            <w:div w:id="171455456">
                              <w:marLeft w:val="0"/>
                              <w:marRight w:val="0"/>
                              <w:marTop w:val="0"/>
                              <w:marBottom w:val="0"/>
                              <w:divBdr>
                                <w:top w:val="none" w:sz="0" w:space="0" w:color="auto"/>
                                <w:left w:val="none" w:sz="0" w:space="0" w:color="auto"/>
                                <w:bottom w:val="none" w:sz="0" w:space="0" w:color="auto"/>
                                <w:right w:val="none" w:sz="0" w:space="0" w:color="auto"/>
                              </w:divBdr>
                              <w:divsChild>
                                <w:div w:id="1012101942">
                                  <w:marLeft w:val="0"/>
                                  <w:marRight w:val="0"/>
                                  <w:marTop w:val="0"/>
                                  <w:marBottom w:val="0"/>
                                  <w:divBdr>
                                    <w:top w:val="none" w:sz="0" w:space="0" w:color="auto"/>
                                    <w:left w:val="none" w:sz="0" w:space="0" w:color="auto"/>
                                    <w:bottom w:val="none" w:sz="0" w:space="0" w:color="auto"/>
                                    <w:right w:val="none" w:sz="0" w:space="0" w:color="auto"/>
                                  </w:divBdr>
                                </w:div>
                              </w:divsChild>
                            </w:div>
                            <w:div w:id="954218500">
                              <w:marLeft w:val="0"/>
                              <w:marRight w:val="0"/>
                              <w:marTop w:val="0"/>
                              <w:marBottom w:val="0"/>
                              <w:divBdr>
                                <w:top w:val="none" w:sz="0" w:space="0" w:color="auto"/>
                                <w:left w:val="none" w:sz="0" w:space="0" w:color="auto"/>
                                <w:bottom w:val="none" w:sz="0" w:space="0" w:color="auto"/>
                                <w:right w:val="none" w:sz="0" w:space="0" w:color="auto"/>
                              </w:divBdr>
                              <w:divsChild>
                                <w:div w:id="1097555863">
                                  <w:marLeft w:val="0"/>
                                  <w:marRight w:val="0"/>
                                  <w:marTop w:val="0"/>
                                  <w:marBottom w:val="0"/>
                                  <w:divBdr>
                                    <w:top w:val="none" w:sz="0" w:space="0" w:color="auto"/>
                                    <w:left w:val="none" w:sz="0" w:space="0" w:color="auto"/>
                                    <w:bottom w:val="none" w:sz="0" w:space="0" w:color="auto"/>
                                    <w:right w:val="none" w:sz="0" w:space="0" w:color="auto"/>
                                  </w:divBdr>
                                </w:div>
                              </w:divsChild>
                            </w:div>
                            <w:div w:id="1278369933">
                              <w:marLeft w:val="0"/>
                              <w:marRight w:val="0"/>
                              <w:marTop w:val="0"/>
                              <w:marBottom w:val="0"/>
                              <w:divBdr>
                                <w:top w:val="none" w:sz="0" w:space="0" w:color="auto"/>
                                <w:left w:val="none" w:sz="0" w:space="0" w:color="auto"/>
                                <w:bottom w:val="none" w:sz="0" w:space="0" w:color="auto"/>
                                <w:right w:val="none" w:sz="0" w:space="0" w:color="auto"/>
                              </w:divBdr>
                              <w:divsChild>
                                <w:div w:id="276446101">
                                  <w:marLeft w:val="0"/>
                                  <w:marRight w:val="0"/>
                                  <w:marTop w:val="0"/>
                                  <w:marBottom w:val="0"/>
                                  <w:divBdr>
                                    <w:top w:val="none" w:sz="0" w:space="0" w:color="auto"/>
                                    <w:left w:val="none" w:sz="0" w:space="0" w:color="auto"/>
                                    <w:bottom w:val="none" w:sz="0" w:space="0" w:color="auto"/>
                                    <w:right w:val="none" w:sz="0" w:space="0" w:color="auto"/>
                                  </w:divBdr>
                                </w:div>
                              </w:divsChild>
                            </w:div>
                            <w:div w:id="1875848532">
                              <w:marLeft w:val="0"/>
                              <w:marRight w:val="0"/>
                              <w:marTop w:val="0"/>
                              <w:marBottom w:val="0"/>
                              <w:divBdr>
                                <w:top w:val="none" w:sz="0" w:space="0" w:color="auto"/>
                                <w:left w:val="none" w:sz="0" w:space="0" w:color="auto"/>
                                <w:bottom w:val="none" w:sz="0" w:space="0" w:color="auto"/>
                                <w:right w:val="none" w:sz="0" w:space="0" w:color="auto"/>
                              </w:divBdr>
                              <w:divsChild>
                                <w:div w:id="980424648">
                                  <w:marLeft w:val="0"/>
                                  <w:marRight w:val="0"/>
                                  <w:marTop w:val="0"/>
                                  <w:marBottom w:val="0"/>
                                  <w:divBdr>
                                    <w:top w:val="none" w:sz="0" w:space="0" w:color="auto"/>
                                    <w:left w:val="none" w:sz="0" w:space="0" w:color="auto"/>
                                    <w:bottom w:val="none" w:sz="0" w:space="0" w:color="auto"/>
                                    <w:right w:val="none" w:sz="0" w:space="0" w:color="auto"/>
                                  </w:divBdr>
                                  <w:divsChild>
                                    <w:div w:id="864945258">
                                      <w:marLeft w:val="0"/>
                                      <w:marRight w:val="0"/>
                                      <w:marTop w:val="0"/>
                                      <w:marBottom w:val="0"/>
                                      <w:divBdr>
                                        <w:top w:val="none" w:sz="0" w:space="0" w:color="auto"/>
                                        <w:left w:val="none" w:sz="0" w:space="0" w:color="auto"/>
                                        <w:bottom w:val="none" w:sz="0" w:space="0" w:color="auto"/>
                                        <w:right w:val="none" w:sz="0" w:space="0" w:color="auto"/>
                                      </w:divBdr>
                                      <w:divsChild>
                                        <w:div w:id="809326191">
                                          <w:marLeft w:val="0"/>
                                          <w:marRight w:val="0"/>
                                          <w:marTop w:val="120"/>
                                          <w:marBottom w:val="0"/>
                                          <w:divBdr>
                                            <w:top w:val="none" w:sz="0" w:space="0" w:color="auto"/>
                                            <w:left w:val="none" w:sz="0" w:space="0" w:color="auto"/>
                                            <w:bottom w:val="none" w:sz="0" w:space="0" w:color="auto"/>
                                            <w:right w:val="none" w:sz="0" w:space="0" w:color="auto"/>
                                          </w:divBdr>
                                        </w:div>
                                        <w:div w:id="186988072">
                                          <w:marLeft w:val="0"/>
                                          <w:marRight w:val="0"/>
                                          <w:marTop w:val="0"/>
                                          <w:marBottom w:val="0"/>
                                          <w:divBdr>
                                            <w:top w:val="none" w:sz="0" w:space="0" w:color="auto"/>
                                            <w:left w:val="none" w:sz="0" w:space="0" w:color="auto"/>
                                            <w:bottom w:val="none" w:sz="0" w:space="0" w:color="auto"/>
                                            <w:right w:val="none" w:sz="0" w:space="0" w:color="auto"/>
                                          </w:divBdr>
                                        </w:div>
                                      </w:divsChild>
                                    </w:div>
                                    <w:div w:id="972710199">
                                      <w:marLeft w:val="0"/>
                                      <w:marRight w:val="0"/>
                                      <w:marTop w:val="0"/>
                                      <w:marBottom w:val="0"/>
                                      <w:divBdr>
                                        <w:top w:val="none" w:sz="0" w:space="0" w:color="auto"/>
                                        <w:left w:val="none" w:sz="0" w:space="0" w:color="auto"/>
                                        <w:bottom w:val="none" w:sz="0" w:space="0" w:color="auto"/>
                                        <w:right w:val="none" w:sz="0" w:space="0" w:color="auto"/>
                                      </w:divBdr>
                                      <w:divsChild>
                                        <w:div w:id="1605459121">
                                          <w:marLeft w:val="0"/>
                                          <w:marRight w:val="0"/>
                                          <w:marTop w:val="120"/>
                                          <w:marBottom w:val="0"/>
                                          <w:divBdr>
                                            <w:top w:val="none" w:sz="0" w:space="0" w:color="auto"/>
                                            <w:left w:val="none" w:sz="0" w:space="0" w:color="auto"/>
                                            <w:bottom w:val="none" w:sz="0" w:space="0" w:color="auto"/>
                                            <w:right w:val="none" w:sz="0" w:space="0" w:color="auto"/>
                                          </w:divBdr>
                                        </w:div>
                                        <w:div w:id="324168463">
                                          <w:marLeft w:val="0"/>
                                          <w:marRight w:val="0"/>
                                          <w:marTop w:val="0"/>
                                          <w:marBottom w:val="0"/>
                                          <w:divBdr>
                                            <w:top w:val="none" w:sz="0" w:space="0" w:color="auto"/>
                                            <w:left w:val="none" w:sz="0" w:space="0" w:color="auto"/>
                                            <w:bottom w:val="none" w:sz="0" w:space="0" w:color="auto"/>
                                            <w:right w:val="none" w:sz="0" w:space="0" w:color="auto"/>
                                          </w:divBdr>
                                        </w:div>
                                      </w:divsChild>
                                    </w:div>
                                    <w:div w:id="672804148">
                                      <w:marLeft w:val="0"/>
                                      <w:marRight w:val="0"/>
                                      <w:marTop w:val="0"/>
                                      <w:marBottom w:val="0"/>
                                      <w:divBdr>
                                        <w:top w:val="none" w:sz="0" w:space="0" w:color="auto"/>
                                        <w:left w:val="none" w:sz="0" w:space="0" w:color="auto"/>
                                        <w:bottom w:val="none" w:sz="0" w:space="0" w:color="auto"/>
                                        <w:right w:val="none" w:sz="0" w:space="0" w:color="auto"/>
                                      </w:divBdr>
                                      <w:divsChild>
                                        <w:div w:id="840125816">
                                          <w:marLeft w:val="0"/>
                                          <w:marRight w:val="0"/>
                                          <w:marTop w:val="120"/>
                                          <w:marBottom w:val="0"/>
                                          <w:divBdr>
                                            <w:top w:val="none" w:sz="0" w:space="0" w:color="auto"/>
                                            <w:left w:val="none" w:sz="0" w:space="0" w:color="auto"/>
                                            <w:bottom w:val="none" w:sz="0" w:space="0" w:color="auto"/>
                                            <w:right w:val="none" w:sz="0" w:space="0" w:color="auto"/>
                                          </w:divBdr>
                                        </w:div>
                                        <w:div w:id="37809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5270">
                          <w:marLeft w:val="0"/>
                          <w:marRight w:val="0"/>
                          <w:marTop w:val="0"/>
                          <w:marBottom w:val="0"/>
                          <w:divBdr>
                            <w:top w:val="none" w:sz="0" w:space="0" w:color="auto"/>
                            <w:left w:val="none" w:sz="0" w:space="0" w:color="auto"/>
                            <w:bottom w:val="none" w:sz="0" w:space="0" w:color="auto"/>
                            <w:right w:val="none" w:sz="0" w:space="0" w:color="auto"/>
                          </w:divBdr>
                          <w:divsChild>
                            <w:div w:id="1410544002">
                              <w:marLeft w:val="0"/>
                              <w:marRight w:val="0"/>
                              <w:marTop w:val="0"/>
                              <w:marBottom w:val="0"/>
                              <w:divBdr>
                                <w:top w:val="none" w:sz="0" w:space="0" w:color="auto"/>
                                <w:left w:val="none" w:sz="0" w:space="0" w:color="auto"/>
                                <w:bottom w:val="none" w:sz="0" w:space="0" w:color="auto"/>
                                <w:right w:val="none" w:sz="0" w:space="0" w:color="auto"/>
                              </w:divBdr>
                            </w:div>
                            <w:div w:id="1879974910">
                              <w:marLeft w:val="0"/>
                              <w:marRight w:val="0"/>
                              <w:marTop w:val="0"/>
                              <w:marBottom w:val="0"/>
                              <w:divBdr>
                                <w:top w:val="none" w:sz="0" w:space="0" w:color="auto"/>
                                <w:left w:val="none" w:sz="0" w:space="0" w:color="auto"/>
                                <w:bottom w:val="none" w:sz="0" w:space="0" w:color="auto"/>
                                <w:right w:val="none" w:sz="0" w:space="0" w:color="auto"/>
                              </w:divBdr>
                              <w:divsChild>
                                <w:div w:id="1897620333">
                                  <w:marLeft w:val="0"/>
                                  <w:marRight w:val="0"/>
                                  <w:marTop w:val="0"/>
                                  <w:marBottom w:val="0"/>
                                  <w:divBdr>
                                    <w:top w:val="none" w:sz="0" w:space="0" w:color="auto"/>
                                    <w:left w:val="none" w:sz="0" w:space="0" w:color="auto"/>
                                    <w:bottom w:val="none" w:sz="0" w:space="0" w:color="auto"/>
                                    <w:right w:val="none" w:sz="0" w:space="0" w:color="auto"/>
                                  </w:divBdr>
                                  <w:divsChild>
                                    <w:div w:id="1431007425">
                                      <w:marLeft w:val="0"/>
                                      <w:marRight w:val="0"/>
                                      <w:marTop w:val="0"/>
                                      <w:marBottom w:val="0"/>
                                      <w:divBdr>
                                        <w:top w:val="none" w:sz="0" w:space="0" w:color="auto"/>
                                        <w:left w:val="none" w:sz="0" w:space="0" w:color="auto"/>
                                        <w:bottom w:val="none" w:sz="0" w:space="0" w:color="auto"/>
                                        <w:right w:val="none" w:sz="0" w:space="0" w:color="auto"/>
                                      </w:divBdr>
                                      <w:divsChild>
                                        <w:div w:id="1514875398">
                                          <w:marLeft w:val="0"/>
                                          <w:marRight w:val="0"/>
                                          <w:marTop w:val="120"/>
                                          <w:marBottom w:val="0"/>
                                          <w:divBdr>
                                            <w:top w:val="none" w:sz="0" w:space="0" w:color="auto"/>
                                            <w:left w:val="none" w:sz="0" w:space="0" w:color="auto"/>
                                            <w:bottom w:val="none" w:sz="0" w:space="0" w:color="auto"/>
                                            <w:right w:val="none" w:sz="0" w:space="0" w:color="auto"/>
                                          </w:divBdr>
                                        </w:div>
                                        <w:div w:id="950744784">
                                          <w:marLeft w:val="0"/>
                                          <w:marRight w:val="0"/>
                                          <w:marTop w:val="0"/>
                                          <w:marBottom w:val="0"/>
                                          <w:divBdr>
                                            <w:top w:val="none" w:sz="0" w:space="0" w:color="auto"/>
                                            <w:left w:val="none" w:sz="0" w:space="0" w:color="auto"/>
                                            <w:bottom w:val="none" w:sz="0" w:space="0" w:color="auto"/>
                                            <w:right w:val="none" w:sz="0" w:space="0" w:color="auto"/>
                                          </w:divBdr>
                                        </w:div>
                                      </w:divsChild>
                                    </w:div>
                                    <w:div w:id="1660189312">
                                      <w:marLeft w:val="0"/>
                                      <w:marRight w:val="0"/>
                                      <w:marTop w:val="0"/>
                                      <w:marBottom w:val="0"/>
                                      <w:divBdr>
                                        <w:top w:val="none" w:sz="0" w:space="0" w:color="auto"/>
                                        <w:left w:val="none" w:sz="0" w:space="0" w:color="auto"/>
                                        <w:bottom w:val="none" w:sz="0" w:space="0" w:color="auto"/>
                                        <w:right w:val="none" w:sz="0" w:space="0" w:color="auto"/>
                                      </w:divBdr>
                                      <w:divsChild>
                                        <w:div w:id="1389691346">
                                          <w:marLeft w:val="0"/>
                                          <w:marRight w:val="0"/>
                                          <w:marTop w:val="120"/>
                                          <w:marBottom w:val="0"/>
                                          <w:divBdr>
                                            <w:top w:val="none" w:sz="0" w:space="0" w:color="auto"/>
                                            <w:left w:val="none" w:sz="0" w:space="0" w:color="auto"/>
                                            <w:bottom w:val="none" w:sz="0" w:space="0" w:color="auto"/>
                                            <w:right w:val="none" w:sz="0" w:space="0" w:color="auto"/>
                                          </w:divBdr>
                                        </w:div>
                                        <w:div w:id="1348171530">
                                          <w:marLeft w:val="0"/>
                                          <w:marRight w:val="0"/>
                                          <w:marTop w:val="0"/>
                                          <w:marBottom w:val="0"/>
                                          <w:divBdr>
                                            <w:top w:val="none" w:sz="0" w:space="0" w:color="auto"/>
                                            <w:left w:val="none" w:sz="0" w:space="0" w:color="auto"/>
                                            <w:bottom w:val="none" w:sz="0" w:space="0" w:color="auto"/>
                                            <w:right w:val="none" w:sz="0" w:space="0" w:color="auto"/>
                                          </w:divBdr>
                                        </w:div>
                                      </w:divsChild>
                                    </w:div>
                                    <w:div w:id="816647902">
                                      <w:marLeft w:val="0"/>
                                      <w:marRight w:val="0"/>
                                      <w:marTop w:val="0"/>
                                      <w:marBottom w:val="0"/>
                                      <w:divBdr>
                                        <w:top w:val="none" w:sz="0" w:space="0" w:color="auto"/>
                                        <w:left w:val="none" w:sz="0" w:space="0" w:color="auto"/>
                                        <w:bottom w:val="none" w:sz="0" w:space="0" w:color="auto"/>
                                        <w:right w:val="none" w:sz="0" w:space="0" w:color="auto"/>
                                      </w:divBdr>
                                      <w:divsChild>
                                        <w:div w:id="804008148">
                                          <w:marLeft w:val="0"/>
                                          <w:marRight w:val="0"/>
                                          <w:marTop w:val="120"/>
                                          <w:marBottom w:val="0"/>
                                          <w:divBdr>
                                            <w:top w:val="none" w:sz="0" w:space="0" w:color="auto"/>
                                            <w:left w:val="none" w:sz="0" w:space="0" w:color="auto"/>
                                            <w:bottom w:val="none" w:sz="0" w:space="0" w:color="auto"/>
                                            <w:right w:val="none" w:sz="0" w:space="0" w:color="auto"/>
                                          </w:divBdr>
                                        </w:div>
                                        <w:div w:id="1025524612">
                                          <w:marLeft w:val="0"/>
                                          <w:marRight w:val="0"/>
                                          <w:marTop w:val="0"/>
                                          <w:marBottom w:val="0"/>
                                          <w:divBdr>
                                            <w:top w:val="none" w:sz="0" w:space="0" w:color="auto"/>
                                            <w:left w:val="none" w:sz="0" w:space="0" w:color="auto"/>
                                            <w:bottom w:val="none" w:sz="0" w:space="0" w:color="auto"/>
                                            <w:right w:val="none" w:sz="0" w:space="0" w:color="auto"/>
                                          </w:divBdr>
                                        </w:div>
                                      </w:divsChild>
                                    </w:div>
                                    <w:div w:id="966857672">
                                      <w:marLeft w:val="0"/>
                                      <w:marRight w:val="0"/>
                                      <w:marTop w:val="0"/>
                                      <w:marBottom w:val="0"/>
                                      <w:divBdr>
                                        <w:top w:val="none" w:sz="0" w:space="0" w:color="auto"/>
                                        <w:left w:val="none" w:sz="0" w:space="0" w:color="auto"/>
                                        <w:bottom w:val="none" w:sz="0" w:space="0" w:color="auto"/>
                                        <w:right w:val="none" w:sz="0" w:space="0" w:color="auto"/>
                                      </w:divBdr>
                                      <w:divsChild>
                                        <w:div w:id="1415590463">
                                          <w:marLeft w:val="0"/>
                                          <w:marRight w:val="0"/>
                                          <w:marTop w:val="120"/>
                                          <w:marBottom w:val="0"/>
                                          <w:divBdr>
                                            <w:top w:val="none" w:sz="0" w:space="0" w:color="auto"/>
                                            <w:left w:val="none" w:sz="0" w:space="0" w:color="auto"/>
                                            <w:bottom w:val="none" w:sz="0" w:space="0" w:color="auto"/>
                                            <w:right w:val="none" w:sz="0" w:space="0" w:color="auto"/>
                                          </w:divBdr>
                                        </w:div>
                                        <w:div w:id="2071810132">
                                          <w:marLeft w:val="0"/>
                                          <w:marRight w:val="0"/>
                                          <w:marTop w:val="0"/>
                                          <w:marBottom w:val="0"/>
                                          <w:divBdr>
                                            <w:top w:val="none" w:sz="0" w:space="0" w:color="auto"/>
                                            <w:left w:val="none" w:sz="0" w:space="0" w:color="auto"/>
                                            <w:bottom w:val="none" w:sz="0" w:space="0" w:color="auto"/>
                                            <w:right w:val="none" w:sz="0" w:space="0" w:color="auto"/>
                                          </w:divBdr>
                                          <w:divsChild>
                                            <w:div w:id="1744449723">
                                              <w:marLeft w:val="0"/>
                                              <w:marRight w:val="0"/>
                                              <w:marTop w:val="0"/>
                                              <w:marBottom w:val="0"/>
                                              <w:divBdr>
                                                <w:top w:val="none" w:sz="0" w:space="0" w:color="auto"/>
                                                <w:left w:val="none" w:sz="0" w:space="0" w:color="auto"/>
                                                <w:bottom w:val="none" w:sz="0" w:space="0" w:color="auto"/>
                                                <w:right w:val="none" w:sz="0" w:space="0" w:color="auto"/>
                                              </w:divBdr>
                                              <w:divsChild>
                                                <w:div w:id="602418639">
                                                  <w:marLeft w:val="0"/>
                                                  <w:marRight w:val="0"/>
                                                  <w:marTop w:val="120"/>
                                                  <w:marBottom w:val="0"/>
                                                  <w:divBdr>
                                                    <w:top w:val="none" w:sz="0" w:space="0" w:color="auto"/>
                                                    <w:left w:val="none" w:sz="0" w:space="0" w:color="auto"/>
                                                    <w:bottom w:val="none" w:sz="0" w:space="0" w:color="auto"/>
                                                    <w:right w:val="none" w:sz="0" w:space="0" w:color="auto"/>
                                                  </w:divBdr>
                                                </w:div>
                                                <w:div w:id="2115248163">
                                                  <w:marLeft w:val="0"/>
                                                  <w:marRight w:val="0"/>
                                                  <w:marTop w:val="0"/>
                                                  <w:marBottom w:val="0"/>
                                                  <w:divBdr>
                                                    <w:top w:val="none" w:sz="0" w:space="0" w:color="auto"/>
                                                    <w:left w:val="none" w:sz="0" w:space="0" w:color="auto"/>
                                                    <w:bottom w:val="none" w:sz="0" w:space="0" w:color="auto"/>
                                                    <w:right w:val="none" w:sz="0" w:space="0" w:color="auto"/>
                                                  </w:divBdr>
                                                </w:div>
                                              </w:divsChild>
                                            </w:div>
                                            <w:div w:id="1085494147">
                                              <w:marLeft w:val="0"/>
                                              <w:marRight w:val="0"/>
                                              <w:marTop w:val="0"/>
                                              <w:marBottom w:val="0"/>
                                              <w:divBdr>
                                                <w:top w:val="none" w:sz="0" w:space="0" w:color="auto"/>
                                                <w:left w:val="none" w:sz="0" w:space="0" w:color="auto"/>
                                                <w:bottom w:val="none" w:sz="0" w:space="0" w:color="auto"/>
                                                <w:right w:val="none" w:sz="0" w:space="0" w:color="auto"/>
                                              </w:divBdr>
                                              <w:divsChild>
                                                <w:div w:id="421604823">
                                                  <w:marLeft w:val="0"/>
                                                  <w:marRight w:val="0"/>
                                                  <w:marTop w:val="120"/>
                                                  <w:marBottom w:val="0"/>
                                                  <w:divBdr>
                                                    <w:top w:val="none" w:sz="0" w:space="0" w:color="auto"/>
                                                    <w:left w:val="none" w:sz="0" w:space="0" w:color="auto"/>
                                                    <w:bottom w:val="none" w:sz="0" w:space="0" w:color="auto"/>
                                                    <w:right w:val="none" w:sz="0" w:space="0" w:color="auto"/>
                                                  </w:divBdr>
                                                </w:div>
                                                <w:div w:id="6646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072261">
                              <w:marLeft w:val="0"/>
                              <w:marRight w:val="0"/>
                              <w:marTop w:val="0"/>
                              <w:marBottom w:val="0"/>
                              <w:divBdr>
                                <w:top w:val="none" w:sz="0" w:space="0" w:color="auto"/>
                                <w:left w:val="none" w:sz="0" w:space="0" w:color="auto"/>
                                <w:bottom w:val="none" w:sz="0" w:space="0" w:color="auto"/>
                                <w:right w:val="none" w:sz="0" w:space="0" w:color="auto"/>
                              </w:divBdr>
                              <w:divsChild>
                                <w:div w:id="1824199357">
                                  <w:marLeft w:val="0"/>
                                  <w:marRight w:val="0"/>
                                  <w:marTop w:val="0"/>
                                  <w:marBottom w:val="0"/>
                                  <w:divBdr>
                                    <w:top w:val="none" w:sz="0" w:space="0" w:color="auto"/>
                                    <w:left w:val="none" w:sz="0" w:space="0" w:color="auto"/>
                                    <w:bottom w:val="none" w:sz="0" w:space="0" w:color="auto"/>
                                    <w:right w:val="none" w:sz="0" w:space="0" w:color="auto"/>
                                  </w:divBdr>
                                  <w:divsChild>
                                    <w:div w:id="370152388">
                                      <w:marLeft w:val="0"/>
                                      <w:marRight w:val="0"/>
                                      <w:marTop w:val="0"/>
                                      <w:marBottom w:val="0"/>
                                      <w:divBdr>
                                        <w:top w:val="none" w:sz="0" w:space="0" w:color="auto"/>
                                        <w:left w:val="none" w:sz="0" w:space="0" w:color="auto"/>
                                        <w:bottom w:val="none" w:sz="0" w:space="0" w:color="auto"/>
                                        <w:right w:val="none" w:sz="0" w:space="0" w:color="auto"/>
                                      </w:divBdr>
                                      <w:divsChild>
                                        <w:div w:id="1262184553">
                                          <w:marLeft w:val="0"/>
                                          <w:marRight w:val="0"/>
                                          <w:marTop w:val="120"/>
                                          <w:marBottom w:val="0"/>
                                          <w:divBdr>
                                            <w:top w:val="none" w:sz="0" w:space="0" w:color="auto"/>
                                            <w:left w:val="none" w:sz="0" w:space="0" w:color="auto"/>
                                            <w:bottom w:val="none" w:sz="0" w:space="0" w:color="auto"/>
                                            <w:right w:val="none" w:sz="0" w:space="0" w:color="auto"/>
                                          </w:divBdr>
                                        </w:div>
                                        <w:div w:id="990526005">
                                          <w:marLeft w:val="0"/>
                                          <w:marRight w:val="0"/>
                                          <w:marTop w:val="0"/>
                                          <w:marBottom w:val="0"/>
                                          <w:divBdr>
                                            <w:top w:val="none" w:sz="0" w:space="0" w:color="auto"/>
                                            <w:left w:val="none" w:sz="0" w:space="0" w:color="auto"/>
                                            <w:bottom w:val="none" w:sz="0" w:space="0" w:color="auto"/>
                                            <w:right w:val="none" w:sz="0" w:space="0" w:color="auto"/>
                                          </w:divBdr>
                                        </w:div>
                                      </w:divsChild>
                                    </w:div>
                                    <w:div w:id="216168086">
                                      <w:marLeft w:val="0"/>
                                      <w:marRight w:val="0"/>
                                      <w:marTop w:val="0"/>
                                      <w:marBottom w:val="0"/>
                                      <w:divBdr>
                                        <w:top w:val="none" w:sz="0" w:space="0" w:color="auto"/>
                                        <w:left w:val="none" w:sz="0" w:space="0" w:color="auto"/>
                                        <w:bottom w:val="none" w:sz="0" w:space="0" w:color="auto"/>
                                        <w:right w:val="none" w:sz="0" w:space="0" w:color="auto"/>
                                      </w:divBdr>
                                      <w:divsChild>
                                        <w:div w:id="1324357788">
                                          <w:marLeft w:val="0"/>
                                          <w:marRight w:val="0"/>
                                          <w:marTop w:val="120"/>
                                          <w:marBottom w:val="0"/>
                                          <w:divBdr>
                                            <w:top w:val="none" w:sz="0" w:space="0" w:color="auto"/>
                                            <w:left w:val="none" w:sz="0" w:space="0" w:color="auto"/>
                                            <w:bottom w:val="none" w:sz="0" w:space="0" w:color="auto"/>
                                            <w:right w:val="none" w:sz="0" w:space="0" w:color="auto"/>
                                          </w:divBdr>
                                        </w:div>
                                        <w:div w:id="467867440">
                                          <w:marLeft w:val="0"/>
                                          <w:marRight w:val="0"/>
                                          <w:marTop w:val="0"/>
                                          <w:marBottom w:val="0"/>
                                          <w:divBdr>
                                            <w:top w:val="none" w:sz="0" w:space="0" w:color="auto"/>
                                            <w:left w:val="none" w:sz="0" w:space="0" w:color="auto"/>
                                            <w:bottom w:val="none" w:sz="0" w:space="0" w:color="auto"/>
                                            <w:right w:val="none" w:sz="0" w:space="0" w:color="auto"/>
                                          </w:divBdr>
                                        </w:div>
                                      </w:divsChild>
                                    </w:div>
                                    <w:div w:id="332421416">
                                      <w:marLeft w:val="0"/>
                                      <w:marRight w:val="0"/>
                                      <w:marTop w:val="0"/>
                                      <w:marBottom w:val="0"/>
                                      <w:divBdr>
                                        <w:top w:val="none" w:sz="0" w:space="0" w:color="auto"/>
                                        <w:left w:val="none" w:sz="0" w:space="0" w:color="auto"/>
                                        <w:bottom w:val="none" w:sz="0" w:space="0" w:color="auto"/>
                                        <w:right w:val="none" w:sz="0" w:space="0" w:color="auto"/>
                                      </w:divBdr>
                                      <w:divsChild>
                                        <w:div w:id="2010983899">
                                          <w:marLeft w:val="0"/>
                                          <w:marRight w:val="0"/>
                                          <w:marTop w:val="120"/>
                                          <w:marBottom w:val="0"/>
                                          <w:divBdr>
                                            <w:top w:val="none" w:sz="0" w:space="0" w:color="auto"/>
                                            <w:left w:val="none" w:sz="0" w:space="0" w:color="auto"/>
                                            <w:bottom w:val="none" w:sz="0" w:space="0" w:color="auto"/>
                                            <w:right w:val="none" w:sz="0" w:space="0" w:color="auto"/>
                                          </w:divBdr>
                                        </w:div>
                                        <w:div w:id="121577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78650">
                              <w:marLeft w:val="0"/>
                              <w:marRight w:val="0"/>
                              <w:marTop w:val="0"/>
                              <w:marBottom w:val="0"/>
                              <w:divBdr>
                                <w:top w:val="none" w:sz="0" w:space="0" w:color="auto"/>
                                <w:left w:val="none" w:sz="0" w:space="0" w:color="auto"/>
                                <w:bottom w:val="none" w:sz="0" w:space="0" w:color="auto"/>
                                <w:right w:val="none" w:sz="0" w:space="0" w:color="auto"/>
                              </w:divBdr>
                              <w:divsChild>
                                <w:div w:id="1011949647">
                                  <w:marLeft w:val="0"/>
                                  <w:marRight w:val="0"/>
                                  <w:marTop w:val="0"/>
                                  <w:marBottom w:val="0"/>
                                  <w:divBdr>
                                    <w:top w:val="none" w:sz="0" w:space="0" w:color="auto"/>
                                    <w:left w:val="none" w:sz="0" w:space="0" w:color="auto"/>
                                    <w:bottom w:val="none" w:sz="0" w:space="0" w:color="auto"/>
                                    <w:right w:val="none" w:sz="0" w:space="0" w:color="auto"/>
                                  </w:divBdr>
                                </w:div>
                              </w:divsChild>
                            </w:div>
                            <w:div w:id="2020499775">
                              <w:marLeft w:val="0"/>
                              <w:marRight w:val="0"/>
                              <w:marTop w:val="0"/>
                              <w:marBottom w:val="0"/>
                              <w:divBdr>
                                <w:top w:val="none" w:sz="0" w:space="0" w:color="auto"/>
                                <w:left w:val="none" w:sz="0" w:space="0" w:color="auto"/>
                                <w:bottom w:val="none" w:sz="0" w:space="0" w:color="auto"/>
                                <w:right w:val="none" w:sz="0" w:space="0" w:color="auto"/>
                              </w:divBdr>
                              <w:divsChild>
                                <w:div w:id="546375567">
                                  <w:marLeft w:val="0"/>
                                  <w:marRight w:val="0"/>
                                  <w:marTop w:val="0"/>
                                  <w:marBottom w:val="0"/>
                                  <w:divBdr>
                                    <w:top w:val="none" w:sz="0" w:space="0" w:color="auto"/>
                                    <w:left w:val="none" w:sz="0" w:space="0" w:color="auto"/>
                                    <w:bottom w:val="none" w:sz="0" w:space="0" w:color="auto"/>
                                    <w:right w:val="none" w:sz="0" w:space="0" w:color="auto"/>
                                  </w:divBdr>
                                </w:div>
                              </w:divsChild>
                            </w:div>
                            <w:div w:id="1166628070">
                              <w:marLeft w:val="0"/>
                              <w:marRight w:val="0"/>
                              <w:marTop w:val="0"/>
                              <w:marBottom w:val="0"/>
                              <w:divBdr>
                                <w:top w:val="none" w:sz="0" w:space="0" w:color="auto"/>
                                <w:left w:val="none" w:sz="0" w:space="0" w:color="auto"/>
                                <w:bottom w:val="none" w:sz="0" w:space="0" w:color="auto"/>
                                <w:right w:val="none" w:sz="0" w:space="0" w:color="auto"/>
                              </w:divBdr>
                              <w:divsChild>
                                <w:div w:id="1338001612">
                                  <w:marLeft w:val="0"/>
                                  <w:marRight w:val="0"/>
                                  <w:marTop w:val="0"/>
                                  <w:marBottom w:val="0"/>
                                  <w:divBdr>
                                    <w:top w:val="none" w:sz="0" w:space="0" w:color="auto"/>
                                    <w:left w:val="none" w:sz="0" w:space="0" w:color="auto"/>
                                    <w:bottom w:val="none" w:sz="0" w:space="0" w:color="auto"/>
                                    <w:right w:val="none" w:sz="0" w:space="0" w:color="auto"/>
                                  </w:divBdr>
                                </w:div>
                              </w:divsChild>
                            </w:div>
                            <w:div w:id="1733384342">
                              <w:marLeft w:val="0"/>
                              <w:marRight w:val="0"/>
                              <w:marTop w:val="0"/>
                              <w:marBottom w:val="0"/>
                              <w:divBdr>
                                <w:top w:val="none" w:sz="0" w:space="0" w:color="auto"/>
                                <w:left w:val="none" w:sz="0" w:space="0" w:color="auto"/>
                                <w:bottom w:val="none" w:sz="0" w:space="0" w:color="auto"/>
                                <w:right w:val="none" w:sz="0" w:space="0" w:color="auto"/>
                              </w:divBdr>
                              <w:divsChild>
                                <w:div w:id="608245914">
                                  <w:marLeft w:val="0"/>
                                  <w:marRight w:val="0"/>
                                  <w:marTop w:val="0"/>
                                  <w:marBottom w:val="0"/>
                                  <w:divBdr>
                                    <w:top w:val="none" w:sz="0" w:space="0" w:color="auto"/>
                                    <w:left w:val="none" w:sz="0" w:space="0" w:color="auto"/>
                                    <w:bottom w:val="none" w:sz="0" w:space="0" w:color="auto"/>
                                    <w:right w:val="none" w:sz="0" w:space="0" w:color="auto"/>
                                  </w:divBdr>
                                </w:div>
                              </w:divsChild>
                            </w:div>
                            <w:div w:id="1003361927">
                              <w:marLeft w:val="0"/>
                              <w:marRight w:val="0"/>
                              <w:marTop w:val="0"/>
                              <w:marBottom w:val="0"/>
                              <w:divBdr>
                                <w:top w:val="none" w:sz="0" w:space="0" w:color="auto"/>
                                <w:left w:val="none" w:sz="0" w:space="0" w:color="auto"/>
                                <w:bottom w:val="none" w:sz="0" w:space="0" w:color="auto"/>
                                <w:right w:val="none" w:sz="0" w:space="0" w:color="auto"/>
                              </w:divBdr>
                              <w:divsChild>
                                <w:div w:id="41684931">
                                  <w:marLeft w:val="0"/>
                                  <w:marRight w:val="0"/>
                                  <w:marTop w:val="0"/>
                                  <w:marBottom w:val="0"/>
                                  <w:divBdr>
                                    <w:top w:val="none" w:sz="0" w:space="0" w:color="auto"/>
                                    <w:left w:val="none" w:sz="0" w:space="0" w:color="auto"/>
                                    <w:bottom w:val="none" w:sz="0" w:space="0" w:color="auto"/>
                                    <w:right w:val="none" w:sz="0" w:space="0" w:color="auto"/>
                                  </w:divBdr>
                                </w:div>
                              </w:divsChild>
                            </w:div>
                            <w:div w:id="1911965191">
                              <w:marLeft w:val="0"/>
                              <w:marRight w:val="0"/>
                              <w:marTop w:val="0"/>
                              <w:marBottom w:val="0"/>
                              <w:divBdr>
                                <w:top w:val="none" w:sz="0" w:space="0" w:color="auto"/>
                                <w:left w:val="none" w:sz="0" w:space="0" w:color="auto"/>
                                <w:bottom w:val="none" w:sz="0" w:space="0" w:color="auto"/>
                                <w:right w:val="none" w:sz="0" w:space="0" w:color="auto"/>
                              </w:divBdr>
                              <w:divsChild>
                                <w:div w:id="943653894">
                                  <w:marLeft w:val="0"/>
                                  <w:marRight w:val="0"/>
                                  <w:marTop w:val="0"/>
                                  <w:marBottom w:val="0"/>
                                  <w:divBdr>
                                    <w:top w:val="none" w:sz="0" w:space="0" w:color="auto"/>
                                    <w:left w:val="none" w:sz="0" w:space="0" w:color="auto"/>
                                    <w:bottom w:val="none" w:sz="0" w:space="0" w:color="auto"/>
                                    <w:right w:val="none" w:sz="0" w:space="0" w:color="auto"/>
                                  </w:divBdr>
                                </w:div>
                              </w:divsChild>
                            </w:div>
                            <w:div w:id="1915116604">
                              <w:marLeft w:val="0"/>
                              <w:marRight w:val="0"/>
                              <w:marTop w:val="0"/>
                              <w:marBottom w:val="0"/>
                              <w:divBdr>
                                <w:top w:val="none" w:sz="0" w:space="0" w:color="auto"/>
                                <w:left w:val="none" w:sz="0" w:space="0" w:color="auto"/>
                                <w:bottom w:val="none" w:sz="0" w:space="0" w:color="auto"/>
                                <w:right w:val="none" w:sz="0" w:space="0" w:color="auto"/>
                              </w:divBdr>
                              <w:divsChild>
                                <w:div w:id="516122978">
                                  <w:marLeft w:val="0"/>
                                  <w:marRight w:val="0"/>
                                  <w:marTop w:val="0"/>
                                  <w:marBottom w:val="0"/>
                                  <w:divBdr>
                                    <w:top w:val="none" w:sz="0" w:space="0" w:color="auto"/>
                                    <w:left w:val="none" w:sz="0" w:space="0" w:color="auto"/>
                                    <w:bottom w:val="none" w:sz="0" w:space="0" w:color="auto"/>
                                    <w:right w:val="none" w:sz="0" w:space="0" w:color="auto"/>
                                  </w:divBdr>
                                </w:div>
                              </w:divsChild>
                            </w:div>
                            <w:div w:id="1562672196">
                              <w:marLeft w:val="0"/>
                              <w:marRight w:val="0"/>
                              <w:marTop w:val="0"/>
                              <w:marBottom w:val="0"/>
                              <w:divBdr>
                                <w:top w:val="none" w:sz="0" w:space="0" w:color="auto"/>
                                <w:left w:val="none" w:sz="0" w:space="0" w:color="auto"/>
                                <w:bottom w:val="none" w:sz="0" w:space="0" w:color="auto"/>
                                <w:right w:val="none" w:sz="0" w:space="0" w:color="auto"/>
                              </w:divBdr>
                              <w:divsChild>
                                <w:div w:id="1795516242">
                                  <w:marLeft w:val="0"/>
                                  <w:marRight w:val="0"/>
                                  <w:marTop w:val="0"/>
                                  <w:marBottom w:val="0"/>
                                  <w:divBdr>
                                    <w:top w:val="none" w:sz="0" w:space="0" w:color="auto"/>
                                    <w:left w:val="none" w:sz="0" w:space="0" w:color="auto"/>
                                    <w:bottom w:val="none" w:sz="0" w:space="0" w:color="auto"/>
                                    <w:right w:val="none" w:sz="0" w:space="0" w:color="auto"/>
                                  </w:divBdr>
                                  <w:divsChild>
                                    <w:div w:id="1649089103">
                                      <w:marLeft w:val="0"/>
                                      <w:marRight w:val="0"/>
                                      <w:marTop w:val="0"/>
                                      <w:marBottom w:val="0"/>
                                      <w:divBdr>
                                        <w:top w:val="none" w:sz="0" w:space="0" w:color="auto"/>
                                        <w:left w:val="none" w:sz="0" w:space="0" w:color="auto"/>
                                        <w:bottom w:val="none" w:sz="0" w:space="0" w:color="auto"/>
                                        <w:right w:val="none" w:sz="0" w:space="0" w:color="auto"/>
                                      </w:divBdr>
                                      <w:divsChild>
                                        <w:div w:id="255141021">
                                          <w:marLeft w:val="0"/>
                                          <w:marRight w:val="0"/>
                                          <w:marTop w:val="120"/>
                                          <w:marBottom w:val="0"/>
                                          <w:divBdr>
                                            <w:top w:val="none" w:sz="0" w:space="0" w:color="auto"/>
                                            <w:left w:val="none" w:sz="0" w:space="0" w:color="auto"/>
                                            <w:bottom w:val="none" w:sz="0" w:space="0" w:color="auto"/>
                                            <w:right w:val="none" w:sz="0" w:space="0" w:color="auto"/>
                                          </w:divBdr>
                                        </w:div>
                                        <w:div w:id="646593499">
                                          <w:marLeft w:val="0"/>
                                          <w:marRight w:val="0"/>
                                          <w:marTop w:val="0"/>
                                          <w:marBottom w:val="0"/>
                                          <w:divBdr>
                                            <w:top w:val="none" w:sz="0" w:space="0" w:color="auto"/>
                                            <w:left w:val="none" w:sz="0" w:space="0" w:color="auto"/>
                                            <w:bottom w:val="none" w:sz="0" w:space="0" w:color="auto"/>
                                            <w:right w:val="none" w:sz="0" w:space="0" w:color="auto"/>
                                          </w:divBdr>
                                        </w:div>
                                      </w:divsChild>
                                    </w:div>
                                    <w:div w:id="426075669">
                                      <w:marLeft w:val="0"/>
                                      <w:marRight w:val="0"/>
                                      <w:marTop w:val="0"/>
                                      <w:marBottom w:val="0"/>
                                      <w:divBdr>
                                        <w:top w:val="none" w:sz="0" w:space="0" w:color="auto"/>
                                        <w:left w:val="none" w:sz="0" w:space="0" w:color="auto"/>
                                        <w:bottom w:val="none" w:sz="0" w:space="0" w:color="auto"/>
                                        <w:right w:val="none" w:sz="0" w:space="0" w:color="auto"/>
                                      </w:divBdr>
                                      <w:divsChild>
                                        <w:div w:id="1760173981">
                                          <w:marLeft w:val="0"/>
                                          <w:marRight w:val="0"/>
                                          <w:marTop w:val="120"/>
                                          <w:marBottom w:val="0"/>
                                          <w:divBdr>
                                            <w:top w:val="none" w:sz="0" w:space="0" w:color="auto"/>
                                            <w:left w:val="none" w:sz="0" w:space="0" w:color="auto"/>
                                            <w:bottom w:val="none" w:sz="0" w:space="0" w:color="auto"/>
                                            <w:right w:val="none" w:sz="0" w:space="0" w:color="auto"/>
                                          </w:divBdr>
                                        </w:div>
                                        <w:div w:id="178437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57224">
                              <w:marLeft w:val="0"/>
                              <w:marRight w:val="0"/>
                              <w:marTop w:val="0"/>
                              <w:marBottom w:val="0"/>
                              <w:divBdr>
                                <w:top w:val="none" w:sz="0" w:space="0" w:color="auto"/>
                                <w:left w:val="none" w:sz="0" w:space="0" w:color="auto"/>
                                <w:bottom w:val="none" w:sz="0" w:space="0" w:color="auto"/>
                                <w:right w:val="none" w:sz="0" w:space="0" w:color="auto"/>
                              </w:divBdr>
                              <w:divsChild>
                                <w:div w:id="198581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8568">
                          <w:marLeft w:val="0"/>
                          <w:marRight w:val="0"/>
                          <w:marTop w:val="0"/>
                          <w:marBottom w:val="0"/>
                          <w:divBdr>
                            <w:top w:val="none" w:sz="0" w:space="0" w:color="auto"/>
                            <w:left w:val="none" w:sz="0" w:space="0" w:color="auto"/>
                            <w:bottom w:val="none" w:sz="0" w:space="0" w:color="auto"/>
                            <w:right w:val="none" w:sz="0" w:space="0" w:color="auto"/>
                          </w:divBdr>
                          <w:divsChild>
                            <w:div w:id="1665468578">
                              <w:marLeft w:val="0"/>
                              <w:marRight w:val="0"/>
                              <w:marTop w:val="0"/>
                              <w:marBottom w:val="0"/>
                              <w:divBdr>
                                <w:top w:val="none" w:sz="0" w:space="0" w:color="auto"/>
                                <w:left w:val="none" w:sz="0" w:space="0" w:color="auto"/>
                                <w:bottom w:val="none" w:sz="0" w:space="0" w:color="auto"/>
                                <w:right w:val="none" w:sz="0" w:space="0" w:color="auto"/>
                              </w:divBdr>
                            </w:div>
                            <w:div w:id="757480707">
                              <w:marLeft w:val="0"/>
                              <w:marRight w:val="0"/>
                              <w:marTop w:val="0"/>
                              <w:marBottom w:val="0"/>
                              <w:divBdr>
                                <w:top w:val="none" w:sz="0" w:space="0" w:color="auto"/>
                                <w:left w:val="none" w:sz="0" w:space="0" w:color="auto"/>
                                <w:bottom w:val="none" w:sz="0" w:space="0" w:color="auto"/>
                                <w:right w:val="none" w:sz="0" w:space="0" w:color="auto"/>
                              </w:divBdr>
                              <w:divsChild>
                                <w:div w:id="111871504">
                                  <w:marLeft w:val="0"/>
                                  <w:marRight w:val="0"/>
                                  <w:marTop w:val="0"/>
                                  <w:marBottom w:val="0"/>
                                  <w:divBdr>
                                    <w:top w:val="none" w:sz="0" w:space="0" w:color="auto"/>
                                    <w:left w:val="none" w:sz="0" w:space="0" w:color="auto"/>
                                    <w:bottom w:val="none" w:sz="0" w:space="0" w:color="auto"/>
                                    <w:right w:val="none" w:sz="0" w:space="0" w:color="auto"/>
                                  </w:divBdr>
                                  <w:divsChild>
                                    <w:div w:id="9336574">
                                      <w:marLeft w:val="0"/>
                                      <w:marRight w:val="0"/>
                                      <w:marTop w:val="0"/>
                                      <w:marBottom w:val="0"/>
                                      <w:divBdr>
                                        <w:top w:val="none" w:sz="0" w:space="0" w:color="auto"/>
                                        <w:left w:val="none" w:sz="0" w:space="0" w:color="auto"/>
                                        <w:bottom w:val="none" w:sz="0" w:space="0" w:color="auto"/>
                                        <w:right w:val="none" w:sz="0" w:space="0" w:color="auto"/>
                                      </w:divBdr>
                                      <w:divsChild>
                                        <w:div w:id="998536620">
                                          <w:marLeft w:val="0"/>
                                          <w:marRight w:val="0"/>
                                          <w:marTop w:val="120"/>
                                          <w:marBottom w:val="0"/>
                                          <w:divBdr>
                                            <w:top w:val="none" w:sz="0" w:space="0" w:color="auto"/>
                                            <w:left w:val="none" w:sz="0" w:space="0" w:color="auto"/>
                                            <w:bottom w:val="none" w:sz="0" w:space="0" w:color="auto"/>
                                            <w:right w:val="none" w:sz="0" w:space="0" w:color="auto"/>
                                          </w:divBdr>
                                        </w:div>
                                        <w:div w:id="1958025127">
                                          <w:marLeft w:val="0"/>
                                          <w:marRight w:val="0"/>
                                          <w:marTop w:val="0"/>
                                          <w:marBottom w:val="0"/>
                                          <w:divBdr>
                                            <w:top w:val="none" w:sz="0" w:space="0" w:color="auto"/>
                                            <w:left w:val="none" w:sz="0" w:space="0" w:color="auto"/>
                                            <w:bottom w:val="none" w:sz="0" w:space="0" w:color="auto"/>
                                            <w:right w:val="none" w:sz="0" w:space="0" w:color="auto"/>
                                          </w:divBdr>
                                        </w:div>
                                      </w:divsChild>
                                    </w:div>
                                    <w:div w:id="428543509">
                                      <w:marLeft w:val="0"/>
                                      <w:marRight w:val="0"/>
                                      <w:marTop w:val="0"/>
                                      <w:marBottom w:val="0"/>
                                      <w:divBdr>
                                        <w:top w:val="none" w:sz="0" w:space="0" w:color="auto"/>
                                        <w:left w:val="none" w:sz="0" w:space="0" w:color="auto"/>
                                        <w:bottom w:val="none" w:sz="0" w:space="0" w:color="auto"/>
                                        <w:right w:val="none" w:sz="0" w:space="0" w:color="auto"/>
                                      </w:divBdr>
                                      <w:divsChild>
                                        <w:div w:id="651715639">
                                          <w:marLeft w:val="0"/>
                                          <w:marRight w:val="0"/>
                                          <w:marTop w:val="120"/>
                                          <w:marBottom w:val="0"/>
                                          <w:divBdr>
                                            <w:top w:val="none" w:sz="0" w:space="0" w:color="auto"/>
                                            <w:left w:val="none" w:sz="0" w:space="0" w:color="auto"/>
                                            <w:bottom w:val="none" w:sz="0" w:space="0" w:color="auto"/>
                                            <w:right w:val="none" w:sz="0" w:space="0" w:color="auto"/>
                                          </w:divBdr>
                                        </w:div>
                                        <w:div w:id="1251353233">
                                          <w:marLeft w:val="0"/>
                                          <w:marRight w:val="0"/>
                                          <w:marTop w:val="0"/>
                                          <w:marBottom w:val="0"/>
                                          <w:divBdr>
                                            <w:top w:val="none" w:sz="0" w:space="0" w:color="auto"/>
                                            <w:left w:val="none" w:sz="0" w:space="0" w:color="auto"/>
                                            <w:bottom w:val="none" w:sz="0" w:space="0" w:color="auto"/>
                                            <w:right w:val="none" w:sz="0" w:space="0" w:color="auto"/>
                                          </w:divBdr>
                                        </w:div>
                                      </w:divsChild>
                                    </w:div>
                                    <w:div w:id="406077339">
                                      <w:marLeft w:val="0"/>
                                      <w:marRight w:val="0"/>
                                      <w:marTop w:val="0"/>
                                      <w:marBottom w:val="0"/>
                                      <w:divBdr>
                                        <w:top w:val="none" w:sz="0" w:space="0" w:color="auto"/>
                                        <w:left w:val="none" w:sz="0" w:space="0" w:color="auto"/>
                                        <w:bottom w:val="none" w:sz="0" w:space="0" w:color="auto"/>
                                        <w:right w:val="none" w:sz="0" w:space="0" w:color="auto"/>
                                      </w:divBdr>
                                      <w:divsChild>
                                        <w:div w:id="1123616235">
                                          <w:marLeft w:val="0"/>
                                          <w:marRight w:val="0"/>
                                          <w:marTop w:val="120"/>
                                          <w:marBottom w:val="0"/>
                                          <w:divBdr>
                                            <w:top w:val="none" w:sz="0" w:space="0" w:color="auto"/>
                                            <w:left w:val="none" w:sz="0" w:space="0" w:color="auto"/>
                                            <w:bottom w:val="none" w:sz="0" w:space="0" w:color="auto"/>
                                            <w:right w:val="none" w:sz="0" w:space="0" w:color="auto"/>
                                          </w:divBdr>
                                        </w:div>
                                        <w:div w:id="546719019">
                                          <w:marLeft w:val="0"/>
                                          <w:marRight w:val="0"/>
                                          <w:marTop w:val="0"/>
                                          <w:marBottom w:val="0"/>
                                          <w:divBdr>
                                            <w:top w:val="none" w:sz="0" w:space="0" w:color="auto"/>
                                            <w:left w:val="none" w:sz="0" w:space="0" w:color="auto"/>
                                            <w:bottom w:val="none" w:sz="0" w:space="0" w:color="auto"/>
                                            <w:right w:val="none" w:sz="0" w:space="0" w:color="auto"/>
                                          </w:divBdr>
                                        </w:div>
                                      </w:divsChild>
                                    </w:div>
                                    <w:div w:id="1967391358">
                                      <w:marLeft w:val="0"/>
                                      <w:marRight w:val="0"/>
                                      <w:marTop w:val="0"/>
                                      <w:marBottom w:val="0"/>
                                      <w:divBdr>
                                        <w:top w:val="none" w:sz="0" w:space="0" w:color="auto"/>
                                        <w:left w:val="none" w:sz="0" w:space="0" w:color="auto"/>
                                        <w:bottom w:val="none" w:sz="0" w:space="0" w:color="auto"/>
                                        <w:right w:val="none" w:sz="0" w:space="0" w:color="auto"/>
                                      </w:divBdr>
                                      <w:divsChild>
                                        <w:div w:id="1020661061">
                                          <w:marLeft w:val="0"/>
                                          <w:marRight w:val="0"/>
                                          <w:marTop w:val="120"/>
                                          <w:marBottom w:val="0"/>
                                          <w:divBdr>
                                            <w:top w:val="none" w:sz="0" w:space="0" w:color="auto"/>
                                            <w:left w:val="none" w:sz="0" w:space="0" w:color="auto"/>
                                            <w:bottom w:val="none" w:sz="0" w:space="0" w:color="auto"/>
                                            <w:right w:val="none" w:sz="0" w:space="0" w:color="auto"/>
                                          </w:divBdr>
                                        </w:div>
                                        <w:div w:id="772214788">
                                          <w:marLeft w:val="0"/>
                                          <w:marRight w:val="0"/>
                                          <w:marTop w:val="0"/>
                                          <w:marBottom w:val="0"/>
                                          <w:divBdr>
                                            <w:top w:val="none" w:sz="0" w:space="0" w:color="auto"/>
                                            <w:left w:val="none" w:sz="0" w:space="0" w:color="auto"/>
                                            <w:bottom w:val="none" w:sz="0" w:space="0" w:color="auto"/>
                                            <w:right w:val="none" w:sz="0" w:space="0" w:color="auto"/>
                                          </w:divBdr>
                                        </w:div>
                                      </w:divsChild>
                                    </w:div>
                                    <w:div w:id="1447387129">
                                      <w:marLeft w:val="0"/>
                                      <w:marRight w:val="0"/>
                                      <w:marTop w:val="0"/>
                                      <w:marBottom w:val="0"/>
                                      <w:divBdr>
                                        <w:top w:val="none" w:sz="0" w:space="0" w:color="auto"/>
                                        <w:left w:val="none" w:sz="0" w:space="0" w:color="auto"/>
                                        <w:bottom w:val="none" w:sz="0" w:space="0" w:color="auto"/>
                                        <w:right w:val="none" w:sz="0" w:space="0" w:color="auto"/>
                                      </w:divBdr>
                                      <w:divsChild>
                                        <w:div w:id="390733994">
                                          <w:marLeft w:val="0"/>
                                          <w:marRight w:val="0"/>
                                          <w:marTop w:val="120"/>
                                          <w:marBottom w:val="0"/>
                                          <w:divBdr>
                                            <w:top w:val="none" w:sz="0" w:space="0" w:color="auto"/>
                                            <w:left w:val="none" w:sz="0" w:space="0" w:color="auto"/>
                                            <w:bottom w:val="none" w:sz="0" w:space="0" w:color="auto"/>
                                            <w:right w:val="none" w:sz="0" w:space="0" w:color="auto"/>
                                          </w:divBdr>
                                        </w:div>
                                        <w:div w:id="1005278416">
                                          <w:marLeft w:val="0"/>
                                          <w:marRight w:val="0"/>
                                          <w:marTop w:val="0"/>
                                          <w:marBottom w:val="0"/>
                                          <w:divBdr>
                                            <w:top w:val="none" w:sz="0" w:space="0" w:color="auto"/>
                                            <w:left w:val="none" w:sz="0" w:space="0" w:color="auto"/>
                                            <w:bottom w:val="none" w:sz="0" w:space="0" w:color="auto"/>
                                            <w:right w:val="none" w:sz="0" w:space="0" w:color="auto"/>
                                          </w:divBdr>
                                        </w:div>
                                      </w:divsChild>
                                    </w:div>
                                    <w:div w:id="237400006">
                                      <w:marLeft w:val="0"/>
                                      <w:marRight w:val="0"/>
                                      <w:marTop w:val="0"/>
                                      <w:marBottom w:val="0"/>
                                      <w:divBdr>
                                        <w:top w:val="none" w:sz="0" w:space="0" w:color="auto"/>
                                        <w:left w:val="none" w:sz="0" w:space="0" w:color="auto"/>
                                        <w:bottom w:val="none" w:sz="0" w:space="0" w:color="auto"/>
                                        <w:right w:val="none" w:sz="0" w:space="0" w:color="auto"/>
                                      </w:divBdr>
                                      <w:divsChild>
                                        <w:div w:id="166486692">
                                          <w:marLeft w:val="0"/>
                                          <w:marRight w:val="0"/>
                                          <w:marTop w:val="120"/>
                                          <w:marBottom w:val="0"/>
                                          <w:divBdr>
                                            <w:top w:val="none" w:sz="0" w:space="0" w:color="auto"/>
                                            <w:left w:val="none" w:sz="0" w:space="0" w:color="auto"/>
                                            <w:bottom w:val="none" w:sz="0" w:space="0" w:color="auto"/>
                                            <w:right w:val="none" w:sz="0" w:space="0" w:color="auto"/>
                                          </w:divBdr>
                                        </w:div>
                                        <w:div w:id="1408067154">
                                          <w:marLeft w:val="0"/>
                                          <w:marRight w:val="0"/>
                                          <w:marTop w:val="0"/>
                                          <w:marBottom w:val="0"/>
                                          <w:divBdr>
                                            <w:top w:val="none" w:sz="0" w:space="0" w:color="auto"/>
                                            <w:left w:val="none" w:sz="0" w:space="0" w:color="auto"/>
                                            <w:bottom w:val="none" w:sz="0" w:space="0" w:color="auto"/>
                                            <w:right w:val="none" w:sz="0" w:space="0" w:color="auto"/>
                                          </w:divBdr>
                                        </w:div>
                                      </w:divsChild>
                                    </w:div>
                                    <w:div w:id="686096919">
                                      <w:marLeft w:val="0"/>
                                      <w:marRight w:val="0"/>
                                      <w:marTop w:val="0"/>
                                      <w:marBottom w:val="0"/>
                                      <w:divBdr>
                                        <w:top w:val="none" w:sz="0" w:space="0" w:color="auto"/>
                                        <w:left w:val="none" w:sz="0" w:space="0" w:color="auto"/>
                                        <w:bottom w:val="none" w:sz="0" w:space="0" w:color="auto"/>
                                        <w:right w:val="none" w:sz="0" w:space="0" w:color="auto"/>
                                      </w:divBdr>
                                      <w:divsChild>
                                        <w:div w:id="740522347">
                                          <w:marLeft w:val="0"/>
                                          <w:marRight w:val="0"/>
                                          <w:marTop w:val="120"/>
                                          <w:marBottom w:val="0"/>
                                          <w:divBdr>
                                            <w:top w:val="none" w:sz="0" w:space="0" w:color="auto"/>
                                            <w:left w:val="none" w:sz="0" w:space="0" w:color="auto"/>
                                            <w:bottom w:val="none" w:sz="0" w:space="0" w:color="auto"/>
                                            <w:right w:val="none" w:sz="0" w:space="0" w:color="auto"/>
                                          </w:divBdr>
                                        </w:div>
                                        <w:div w:id="552080930">
                                          <w:marLeft w:val="0"/>
                                          <w:marRight w:val="0"/>
                                          <w:marTop w:val="0"/>
                                          <w:marBottom w:val="0"/>
                                          <w:divBdr>
                                            <w:top w:val="none" w:sz="0" w:space="0" w:color="auto"/>
                                            <w:left w:val="none" w:sz="0" w:space="0" w:color="auto"/>
                                            <w:bottom w:val="none" w:sz="0" w:space="0" w:color="auto"/>
                                            <w:right w:val="none" w:sz="0" w:space="0" w:color="auto"/>
                                          </w:divBdr>
                                        </w:div>
                                      </w:divsChild>
                                    </w:div>
                                    <w:div w:id="653679526">
                                      <w:marLeft w:val="0"/>
                                      <w:marRight w:val="0"/>
                                      <w:marTop w:val="0"/>
                                      <w:marBottom w:val="0"/>
                                      <w:divBdr>
                                        <w:top w:val="none" w:sz="0" w:space="0" w:color="auto"/>
                                        <w:left w:val="none" w:sz="0" w:space="0" w:color="auto"/>
                                        <w:bottom w:val="none" w:sz="0" w:space="0" w:color="auto"/>
                                        <w:right w:val="none" w:sz="0" w:space="0" w:color="auto"/>
                                      </w:divBdr>
                                      <w:divsChild>
                                        <w:div w:id="1090274533">
                                          <w:marLeft w:val="0"/>
                                          <w:marRight w:val="0"/>
                                          <w:marTop w:val="120"/>
                                          <w:marBottom w:val="0"/>
                                          <w:divBdr>
                                            <w:top w:val="none" w:sz="0" w:space="0" w:color="auto"/>
                                            <w:left w:val="none" w:sz="0" w:space="0" w:color="auto"/>
                                            <w:bottom w:val="none" w:sz="0" w:space="0" w:color="auto"/>
                                            <w:right w:val="none" w:sz="0" w:space="0" w:color="auto"/>
                                          </w:divBdr>
                                        </w:div>
                                        <w:div w:id="412974116">
                                          <w:marLeft w:val="0"/>
                                          <w:marRight w:val="0"/>
                                          <w:marTop w:val="0"/>
                                          <w:marBottom w:val="0"/>
                                          <w:divBdr>
                                            <w:top w:val="none" w:sz="0" w:space="0" w:color="auto"/>
                                            <w:left w:val="none" w:sz="0" w:space="0" w:color="auto"/>
                                            <w:bottom w:val="none" w:sz="0" w:space="0" w:color="auto"/>
                                            <w:right w:val="none" w:sz="0" w:space="0" w:color="auto"/>
                                          </w:divBdr>
                                        </w:div>
                                      </w:divsChild>
                                    </w:div>
                                    <w:div w:id="1833373587">
                                      <w:marLeft w:val="0"/>
                                      <w:marRight w:val="0"/>
                                      <w:marTop w:val="0"/>
                                      <w:marBottom w:val="0"/>
                                      <w:divBdr>
                                        <w:top w:val="none" w:sz="0" w:space="0" w:color="auto"/>
                                        <w:left w:val="none" w:sz="0" w:space="0" w:color="auto"/>
                                        <w:bottom w:val="none" w:sz="0" w:space="0" w:color="auto"/>
                                        <w:right w:val="none" w:sz="0" w:space="0" w:color="auto"/>
                                      </w:divBdr>
                                      <w:divsChild>
                                        <w:div w:id="364328116">
                                          <w:marLeft w:val="0"/>
                                          <w:marRight w:val="0"/>
                                          <w:marTop w:val="120"/>
                                          <w:marBottom w:val="0"/>
                                          <w:divBdr>
                                            <w:top w:val="none" w:sz="0" w:space="0" w:color="auto"/>
                                            <w:left w:val="none" w:sz="0" w:space="0" w:color="auto"/>
                                            <w:bottom w:val="none" w:sz="0" w:space="0" w:color="auto"/>
                                            <w:right w:val="none" w:sz="0" w:space="0" w:color="auto"/>
                                          </w:divBdr>
                                        </w:div>
                                        <w:div w:id="169622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24245">
                              <w:marLeft w:val="0"/>
                              <w:marRight w:val="0"/>
                              <w:marTop w:val="0"/>
                              <w:marBottom w:val="0"/>
                              <w:divBdr>
                                <w:top w:val="none" w:sz="0" w:space="0" w:color="auto"/>
                                <w:left w:val="none" w:sz="0" w:space="0" w:color="auto"/>
                                <w:bottom w:val="none" w:sz="0" w:space="0" w:color="auto"/>
                                <w:right w:val="none" w:sz="0" w:space="0" w:color="auto"/>
                              </w:divBdr>
                              <w:divsChild>
                                <w:div w:id="785461961">
                                  <w:marLeft w:val="0"/>
                                  <w:marRight w:val="0"/>
                                  <w:marTop w:val="0"/>
                                  <w:marBottom w:val="0"/>
                                  <w:divBdr>
                                    <w:top w:val="none" w:sz="0" w:space="0" w:color="auto"/>
                                    <w:left w:val="none" w:sz="0" w:space="0" w:color="auto"/>
                                    <w:bottom w:val="none" w:sz="0" w:space="0" w:color="auto"/>
                                    <w:right w:val="none" w:sz="0" w:space="0" w:color="auto"/>
                                  </w:divBdr>
                                </w:div>
                              </w:divsChild>
                            </w:div>
                            <w:div w:id="198860195">
                              <w:marLeft w:val="0"/>
                              <w:marRight w:val="0"/>
                              <w:marTop w:val="0"/>
                              <w:marBottom w:val="0"/>
                              <w:divBdr>
                                <w:top w:val="none" w:sz="0" w:space="0" w:color="auto"/>
                                <w:left w:val="none" w:sz="0" w:space="0" w:color="auto"/>
                                <w:bottom w:val="none" w:sz="0" w:space="0" w:color="auto"/>
                                <w:right w:val="none" w:sz="0" w:space="0" w:color="auto"/>
                              </w:divBdr>
                              <w:divsChild>
                                <w:div w:id="219366305">
                                  <w:marLeft w:val="0"/>
                                  <w:marRight w:val="0"/>
                                  <w:marTop w:val="0"/>
                                  <w:marBottom w:val="0"/>
                                  <w:divBdr>
                                    <w:top w:val="none" w:sz="0" w:space="0" w:color="auto"/>
                                    <w:left w:val="none" w:sz="0" w:space="0" w:color="auto"/>
                                    <w:bottom w:val="none" w:sz="0" w:space="0" w:color="auto"/>
                                    <w:right w:val="none" w:sz="0" w:space="0" w:color="auto"/>
                                  </w:divBdr>
                                </w:div>
                              </w:divsChild>
                            </w:div>
                            <w:div w:id="2018918740">
                              <w:marLeft w:val="0"/>
                              <w:marRight w:val="0"/>
                              <w:marTop w:val="0"/>
                              <w:marBottom w:val="0"/>
                              <w:divBdr>
                                <w:top w:val="none" w:sz="0" w:space="0" w:color="auto"/>
                                <w:left w:val="none" w:sz="0" w:space="0" w:color="auto"/>
                                <w:bottom w:val="none" w:sz="0" w:space="0" w:color="auto"/>
                                <w:right w:val="none" w:sz="0" w:space="0" w:color="auto"/>
                              </w:divBdr>
                              <w:divsChild>
                                <w:div w:id="1794206033">
                                  <w:marLeft w:val="0"/>
                                  <w:marRight w:val="0"/>
                                  <w:marTop w:val="0"/>
                                  <w:marBottom w:val="0"/>
                                  <w:divBdr>
                                    <w:top w:val="none" w:sz="0" w:space="0" w:color="auto"/>
                                    <w:left w:val="none" w:sz="0" w:space="0" w:color="auto"/>
                                    <w:bottom w:val="none" w:sz="0" w:space="0" w:color="auto"/>
                                    <w:right w:val="none" w:sz="0" w:space="0" w:color="auto"/>
                                  </w:divBdr>
                                </w:div>
                              </w:divsChild>
                            </w:div>
                            <w:div w:id="620457632">
                              <w:marLeft w:val="0"/>
                              <w:marRight w:val="0"/>
                              <w:marTop w:val="0"/>
                              <w:marBottom w:val="0"/>
                              <w:divBdr>
                                <w:top w:val="none" w:sz="0" w:space="0" w:color="auto"/>
                                <w:left w:val="none" w:sz="0" w:space="0" w:color="auto"/>
                                <w:bottom w:val="none" w:sz="0" w:space="0" w:color="auto"/>
                                <w:right w:val="none" w:sz="0" w:space="0" w:color="auto"/>
                              </w:divBdr>
                              <w:divsChild>
                                <w:div w:id="1550872408">
                                  <w:marLeft w:val="0"/>
                                  <w:marRight w:val="0"/>
                                  <w:marTop w:val="0"/>
                                  <w:marBottom w:val="0"/>
                                  <w:divBdr>
                                    <w:top w:val="none" w:sz="0" w:space="0" w:color="auto"/>
                                    <w:left w:val="none" w:sz="0" w:space="0" w:color="auto"/>
                                    <w:bottom w:val="none" w:sz="0" w:space="0" w:color="auto"/>
                                    <w:right w:val="none" w:sz="0" w:space="0" w:color="auto"/>
                                  </w:divBdr>
                                </w:div>
                              </w:divsChild>
                            </w:div>
                            <w:div w:id="917061595">
                              <w:marLeft w:val="0"/>
                              <w:marRight w:val="0"/>
                              <w:marTop w:val="0"/>
                              <w:marBottom w:val="0"/>
                              <w:divBdr>
                                <w:top w:val="none" w:sz="0" w:space="0" w:color="auto"/>
                                <w:left w:val="none" w:sz="0" w:space="0" w:color="auto"/>
                                <w:bottom w:val="none" w:sz="0" w:space="0" w:color="auto"/>
                                <w:right w:val="none" w:sz="0" w:space="0" w:color="auto"/>
                              </w:divBdr>
                              <w:divsChild>
                                <w:div w:id="24681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552722">
                      <w:marLeft w:val="0"/>
                      <w:marRight w:val="0"/>
                      <w:marTop w:val="0"/>
                      <w:marBottom w:val="0"/>
                      <w:divBdr>
                        <w:top w:val="none" w:sz="0" w:space="0" w:color="auto"/>
                        <w:left w:val="none" w:sz="0" w:space="0" w:color="auto"/>
                        <w:bottom w:val="none" w:sz="0" w:space="0" w:color="auto"/>
                        <w:right w:val="none" w:sz="0" w:space="0" w:color="auto"/>
                      </w:divBdr>
                      <w:divsChild>
                        <w:div w:id="992023255">
                          <w:marLeft w:val="0"/>
                          <w:marRight w:val="0"/>
                          <w:marTop w:val="0"/>
                          <w:marBottom w:val="0"/>
                          <w:divBdr>
                            <w:top w:val="none" w:sz="0" w:space="0" w:color="auto"/>
                            <w:left w:val="none" w:sz="0" w:space="0" w:color="auto"/>
                            <w:bottom w:val="none" w:sz="0" w:space="0" w:color="auto"/>
                            <w:right w:val="none" w:sz="0" w:space="0" w:color="auto"/>
                          </w:divBdr>
                          <w:divsChild>
                            <w:div w:id="587924411">
                              <w:marLeft w:val="0"/>
                              <w:marRight w:val="0"/>
                              <w:marTop w:val="0"/>
                              <w:marBottom w:val="0"/>
                              <w:divBdr>
                                <w:top w:val="none" w:sz="0" w:space="0" w:color="auto"/>
                                <w:left w:val="none" w:sz="0" w:space="0" w:color="auto"/>
                                <w:bottom w:val="none" w:sz="0" w:space="0" w:color="auto"/>
                                <w:right w:val="none" w:sz="0" w:space="0" w:color="auto"/>
                              </w:divBdr>
                            </w:div>
                            <w:div w:id="1293094877">
                              <w:marLeft w:val="0"/>
                              <w:marRight w:val="0"/>
                              <w:marTop w:val="0"/>
                              <w:marBottom w:val="0"/>
                              <w:divBdr>
                                <w:top w:val="none" w:sz="0" w:space="0" w:color="auto"/>
                                <w:left w:val="none" w:sz="0" w:space="0" w:color="auto"/>
                                <w:bottom w:val="none" w:sz="0" w:space="0" w:color="auto"/>
                                <w:right w:val="none" w:sz="0" w:space="0" w:color="auto"/>
                              </w:divBdr>
                              <w:divsChild>
                                <w:div w:id="787168002">
                                  <w:marLeft w:val="0"/>
                                  <w:marRight w:val="0"/>
                                  <w:marTop w:val="0"/>
                                  <w:marBottom w:val="0"/>
                                  <w:divBdr>
                                    <w:top w:val="none" w:sz="0" w:space="0" w:color="auto"/>
                                    <w:left w:val="none" w:sz="0" w:space="0" w:color="auto"/>
                                    <w:bottom w:val="none" w:sz="0" w:space="0" w:color="auto"/>
                                    <w:right w:val="none" w:sz="0" w:space="0" w:color="auto"/>
                                  </w:divBdr>
                                </w:div>
                              </w:divsChild>
                            </w:div>
                            <w:div w:id="32310829">
                              <w:marLeft w:val="0"/>
                              <w:marRight w:val="0"/>
                              <w:marTop w:val="0"/>
                              <w:marBottom w:val="0"/>
                              <w:divBdr>
                                <w:top w:val="none" w:sz="0" w:space="0" w:color="auto"/>
                                <w:left w:val="none" w:sz="0" w:space="0" w:color="auto"/>
                                <w:bottom w:val="none" w:sz="0" w:space="0" w:color="auto"/>
                                <w:right w:val="none" w:sz="0" w:space="0" w:color="auto"/>
                              </w:divBdr>
                              <w:divsChild>
                                <w:div w:id="447548076">
                                  <w:marLeft w:val="0"/>
                                  <w:marRight w:val="0"/>
                                  <w:marTop w:val="0"/>
                                  <w:marBottom w:val="0"/>
                                  <w:divBdr>
                                    <w:top w:val="none" w:sz="0" w:space="0" w:color="auto"/>
                                    <w:left w:val="none" w:sz="0" w:space="0" w:color="auto"/>
                                    <w:bottom w:val="none" w:sz="0" w:space="0" w:color="auto"/>
                                    <w:right w:val="none" w:sz="0" w:space="0" w:color="auto"/>
                                  </w:divBdr>
                                </w:div>
                              </w:divsChild>
                            </w:div>
                            <w:div w:id="1998458271">
                              <w:marLeft w:val="0"/>
                              <w:marRight w:val="0"/>
                              <w:marTop w:val="0"/>
                              <w:marBottom w:val="0"/>
                              <w:divBdr>
                                <w:top w:val="none" w:sz="0" w:space="0" w:color="auto"/>
                                <w:left w:val="none" w:sz="0" w:space="0" w:color="auto"/>
                                <w:bottom w:val="none" w:sz="0" w:space="0" w:color="auto"/>
                                <w:right w:val="none" w:sz="0" w:space="0" w:color="auto"/>
                              </w:divBdr>
                              <w:divsChild>
                                <w:div w:id="57679280">
                                  <w:marLeft w:val="0"/>
                                  <w:marRight w:val="0"/>
                                  <w:marTop w:val="0"/>
                                  <w:marBottom w:val="0"/>
                                  <w:divBdr>
                                    <w:top w:val="none" w:sz="0" w:space="0" w:color="auto"/>
                                    <w:left w:val="none" w:sz="0" w:space="0" w:color="auto"/>
                                    <w:bottom w:val="none" w:sz="0" w:space="0" w:color="auto"/>
                                    <w:right w:val="none" w:sz="0" w:space="0" w:color="auto"/>
                                  </w:divBdr>
                                </w:div>
                              </w:divsChild>
                            </w:div>
                            <w:div w:id="983509520">
                              <w:marLeft w:val="0"/>
                              <w:marRight w:val="0"/>
                              <w:marTop w:val="0"/>
                              <w:marBottom w:val="0"/>
                              <w:divBdr>
                                <w:top w:val="none" w:sz="0" w:space="0" w:color="auto"/>
                                <w:left w:val="none" w:sz="0" w:space="0" w:color="auto"/>
                                <w:bottom w:val="none" w:sz="0" w:space="0" w:color="auto"/>
                                <w:right w:val="none" w:sz="0" w:space="0" w:color="auto"/>
                              </w:divBdr>
                              <w:divsChild>
                                <w:div w:id="697466764">
                                  <w:marLeft w:val="0"/>
                                  <w:marRight w:val="0"/>
                                  <w:marTop w:val="0"/>
                                  <w:marBottom w:val="0"/>
                                  <w:divBdr>
                                    <w:top w:val="none" w:sz="0" w:space="0" w:color="auto"/>
                                    <w:left w:val="none" w:sz="0" w:space="0" w:color="auto"/>
                                    <w:bottom w:val="none" w:sz="0" w:space="0" w:color="auto"/>
                                    <w:right w:val="none" w:sz="0" w:space="0" w:color="auto"/>
                                  </w:divBdr>
                                </w:div>
                              </w:divsChild>
                            </w:div>
                            <w:div w:id="604849031">
                              <w:marLeft w:val="0"/>
                              <w:marRight w:val="0"/>
                              <w:marTop w:val="0"/>
                              <w:marBottom w:val="0"/>
                              <w:divBdr>
                                <w:top w:val="none" w:sz="0" w:space="0" w:color="auto"/>
                                <w:left w:val="none" w:sz="0" w:space="0" w:color="auto"/>
                                <w:bottom w:val="none" w:sz="0" w:space="0" w:color="auto"/>
                                <w:right w:val="none" w:sz="0" w:space="0" w:color="auto"/>
                              </w:divBdr>
                              <w:divsChild>
                                <w:div w:id="1135486092">
                                  <w:marLeft w:val="0"/>
                                  <w:marRight w:val="0"/>
                                  <w:marTop w:val="0"/>
                                  <w:marBottom w:val="0"/>
                                  <w:divBdr>
                                    <w:top w:val="none" w:sz="0" w:space="0" w:color="auto"/>
                                    <w:left w:val="none" w:sz="0" w:space="0" w:color="auto"/>
                                    <w:bottom w:val="none" w:sz="0" w:space="0" w:color="auto"/>
                                    <w:right w:val="none" w:sz="0" w:space="0" w:color="auto"/>
                                  </w:divBdr>
                                </w:div>
                              </w:divsChild>
                            </w:div>
                            <w:div w:id="1066562744">
                              <w:marLeft w:val="0"/>
                              <w:marRight w:val="0"/>
                              <w:marTop w:val="0"/>
                              <w:marBottom w:val="0"/>
                              <w:divBdr>
                                <w:top w:val="none" w:sz="0" w:space="0" w:color="auto"/>
                                <w:left w:val="none" w:sz="0" w:space="0" w:color="auto"/>
                                <w:bottom w:val="none" w:sz="0" w:space="0" w:color="auto"/>
                                <w:right w:val="none" w:sz="0" w:space="0" w:color="auto"/>
                              </w:divBdr>
                              <w:divsChild>
                                <w:div w:id="893083753">
                                  <w:marLeft w:val="0"/>
                                  <w:marRight w:val="0"/>
                                  <w:marTop w:val="0"/>
                                  <w:marBottom w:val="0"/>
                                  <w:divBdr>
                                    <w:top w:val="none" w:sz="0" w:space="0" w:color="auto"/>
                                    <w:left w:val="none" w:sz="0" w:space="0" w:color="auto"/>
                                    <w:bottom w:val="none" w:sz="0" w:space="0" w:color="auto"/>
                                    <w:right w:val="none" w:sz="0" w:space="0" w:color="auto"/>
                                  </w:divBdr>
                                </w:div>
                              </w:divsChild>
                            </w:div>
                            <w:div w:id="377240543">
                              <w:marLeft w:val="0"/>
                              <w:marRight w:val="0"/>
                              <w:marTop w:val="0"/>
                              <w:marBottom w:val="0"/>
                              <w:divBdr>
                                <w:top w:val="none" w:sz="0" w:space="0" w:color="auto"/>
                                <w:left w:val="none" w:sz="0" w:space="0" w:color="auto"/>
                                <w:bottom w:val="none" w:sz="0" w:space="0" w:color="auto"/>
                                <w:right w:val="none" w:sz="0" w:space="0" w:color="auto"/>
                              </w:divBdr>
                              <w:divsChild>
                                <w:div w:id="1844200023">
                                  <w:marLeft w:val="0"/>
                                  <w:marRight w:val="0"/>
                                  <w:marTop w:val="0"/>
                                  <w:marBottom w:val="0"/>
                                  <w:divBdr>
                                    <w:top w:val="none" w:sz="0" w:space="0" w:color="auto"/>
                                    <w:left w:val="none" w:sz="0" w:space="0" w:color="auto"/>
                                    <w:bottom w:val="none" w:sz="0" w:space="0" w:color="auto"/>
                                    <w:right w:val="none" w:sz="0" w:space="0" w:color="auto"/>
                                  </w:divBdr>
                                </w:div>
                              </w:divsChild>
                            </w:div>
                            <w:div w:id="2069986084">
                              <w:marLeft w:val="0"/>
                              <w:marRight w:val="0"/>
                              <w:marTop w:val="0"/>
                              <w:marBottom w:val="0"/>
                              <w:divBdr>
                                <w:top w:val="none" w:sz="0" w:space="0" w:color="auto"/>
                                <w:left w:val="none" w:sz="0" w:space="0" w:color="auto"/>
                                <w:bottom w:val="none" w:sz="0" w:space="0" w:color="auto"/>
                                <w:right w:val="none" w:sz="0" w:space="0" w:color="auto"/>
                              </w:divBdr>
                              <w:divsChild>
                                <w:div w:id="181934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14870">
                      <w:marLeft w:val="0"/>
                      <w:marRight w:val="0"/>
                      <w:marTop w:val="0"/>
                      <w:marBottom w:val="0"/>
                      <w:divBdr>
                        <w:top w:val="none" w:sz="0" w:space="0" w:color="auto"/>
                        <w:left w:val="none" w:sz="0" w:space="0" w:color="auto"/>
                        <w:bottom w:val="none" w:sz="0" w:space="0" w:color="auto"/>
                        <w:right w:val="none" w:sz="0" w:space="0" w:color="auto"/>
                      </w:divBdr>
                      <w:divsChild>
                        <w:div w:id="1966035439">
                          <w:marLeft w:val="0"/>
                          <w:marRight w:val="0"/>
                          <w:marTop w:val="0"/>
                          <w:marBottom w:val="0"/>
                          <w:divBdr>
                            <w:top w:val="none" w:sz="0" w:space="0" w:color="auto"/>
                            <w:left w:val="none" w:sz="0" w:space="0" w:color="auto"/>
                            <w:bottom w:val="none" w:sz="0" w:space="0" w:color="auto"/>
                            <w:right w:val="none" w:sz="0" w:space="0" w:color="auto"/>
                          </w:divBdr>
                          <w:divsChild>
                            <w:div w:id="1540701473">
                              <w:marLeft w:val="0"/>
                              <w:marRight w:val="0"/>
                              <w:marTop w:val="0"/>
                              <w:marBottom w:val="0"/>
                              <w:divBdr>
                                <w:top w:val="none" w:sz="0" w:space="0" w:color="auto"/>
                                <w:left w:val="none" w:sz="0" w:space="0" w:color="auto"/>
                                <w:bottom w:val="none" w:sz="0" w:space="0" w:color="auto"/>
                                <w:right w:val="none" w:sz="0" w:space="0" w:color="auto"/>
                              </w:divBdr>
                            </w:div>
                            <w:div w:id="1284456712">
                              <w:marLeft w:val="0"/>
                              <w:marRight w:val="0"/>
                              <w:marTop w:val="0"/>
                              <w:marBottom w:val="0"/>
                              <w:divBdr>
                                <w:top w:val="none" w:sz="0" w:space="0" w:color="auto"/>
                                <w:left w:val="none" w:sz="0" w:space="0" w:color="auto"/>
                                <w:bottom w:val="none" w:sz="0" w:space="0" w:color="auto"/>
                                <w:right w:val="none" w:sz="0" w:space="0" w:color="auto"/>
                              </w:divBdr>
                              <w:divsChild>
                                <w:div w:id="875898418">
                                  <w:marLeft w:val="0"/>
                                  <w:marRight w:val="0"/>
                                  <w:marTop w:val="0"/>
                                  <w:marBottom w:val="0"/>
                                  <w:divBdr>
                                    <w:top w:val="none" w:sz="0" w:space="0" w:color="auto"/>
                                    <w:left w:val="none" w:sz="0" w:space="0" w:color="auto"/>
                                    <w:bottom w:val="none" w:sz="0" w:space="0" w:color="auto"/>
                                    <w:right w:val="none" w:sz="0" w:space="0" w:color="auto"/>
                                  </w:divBdr>
                                </w:div>
                              </w:divsChild>
                            </w:div>
                            <w:div w:id="790824371">
                              <w:marLeft w:val="0"/>
                              <w:marRight w:val="0"/>
                              <w:marTop w:val="0"/>
                              <w:marBottom w:val="0"/>
                              <w:divBdr>
                                <w:top w:val="none" w:sz="0" w:space="0" w:color="auto"/>
                                <w:left w:val="none" w:sz="0" w:space="0" w:color="auto"/>
                                <w:bottom w:val="none" w:sz="0" w:space="0" w:color="auto"/>
                                <w:right w:val="none" w:sz="0" w:space="0" w:color="auto"/>
                              </w:divBdr>
                              <w:divsChild>
                                <w:div w:id="1742098879">
                                  <w:marLeft w:val="0"/>
                                  <w:marRight w:val="0"/>
                                  <w:marTop w:val="0"/>
                                  <w:marBottom w:val="0"/>
                                  <w:divBdr>
                                    <w:top w:val="none" w:sz="0" w:space="0" w:color="auto"/>
                                    <w:left w:val="none" w:sz="0" w:space="0" w:color="auto"/>
                                    <w:bottom w:val="none" w:sz="0" w:space="0" w:color="auto"/>
                                    <w:right w:val="none" w:sz="0" w:space="0" w:color="auto"/>
                                  </w:divBdr>
                                </w:div>
                              </w:divsChild>
                            </w:div>
                            <w:div w:id="1701053957">
                              <w:marLeft w:val="0"/>
                              <w:marRight w:val="0"/>
                              <w:marTop w:val="0"/>
                              <w:marBottom w:val="0"/>
                              <w:divBdr>
                                <w:top w:val="none" w:sz="0" w:space="0" w:color="auto"/>
                                <w:left w:val="none" w:sz="0" w:space="0" w:color="auto"/>
                                <w:bottom w:val="none" w:sz="0" w:space="0" w:color="auto"/>
                                <w:right w:val="none" w:sz="0" w:space="0" w:color="auto"/>
                              </w:divBdr>
                              <w:divsChild>
                                <w:div w:id="691029847">
                                  <w:marLeft w:val="0"/>
                                  <w:marRight w:val="0"/>
                                  <w:marTop w:val="0"/>
                                  <w:marBottom w:val="0"/>
                                  <w:divBdr>
                                    <w:top w:val="none" w:sz="0" w:space="0" w:color="auto"/>
                                    <w:left w:val="none" w:sz="0" w:space="0" w:color="auto"/>
                                    <w:bottom w:val="none" w:sz="0" w:space="0" w:color="auto"/>
                                    <w:right w:val="none" w:sz="0" w:space="0" w:color="auto"/>
                                  </w:divBdr>
                                </w:div>
                              </w:divsChild>
                            </w:div>
                            <w:div w:id="736590150">
                              <w:marLeft w:val="0"/>
                              <w:marRight w:val="0"/>
                              <w:marTop w:val="0"/>
                              <w:marBottom w:val="0"/>
                              <w:divBdr>
                                <w:top w:val="none" w:sz="0" w:space="0" w:color="auto"/>
                                <w:left w:val="none" w:sz="0" w:space="0" w:color="auto"/>
                                <w:bottom w:val="none" w:sz="0" w:space="0" w:color="auto"/>
                                <w:right w:val="none" w:sz="0" w:space="0" w:color="auto"/>
                              </w:divBdr>
                              <w:divsChild>
                                <w:div w:id="1249538844">
                                  <w:marLeft w:val="0"/>
                                  <w:marRight w:val="0"/>
                                  <w:marTop w:val="0"/>
                                  <w:marBottom w:val="0"/>
                                  <w:divBdr>
                                    <w:top w:val="none" w:sz="0" w:space="0" w:color="auto"/>
                                    <w:left w:val="none" w:sz="0" w:space="0" w:color="auto"/>
                                    <w:bottom w:val="none" w:sz="0" w:space="0" w:color="auto"/>
                                    <w:right w:val="none" w:sz="0" w:space="0" w:color="auto"/>
                                  </w:divBdr>
                                  <w:divsChild>
                                    <w:div w:id="1829899568">
                                      <w:marLeft w:val="0"/>
                                      <w:marRight w:val="0"/>
                                      <w:marTop w:val="0"/>
                                      <w:marBottom w:val="0"/>
                                      <w:divBdr>
                                        <w:top w:val="none" w:sz="0" w:space="0" w:color="auto"/>
                                        <w:left w:val="none" w:sz="0" w:space="0" w:color="auto"/>
                                        <w:bottom w:val="none" w:sz="0" w:space="0" w:color="auto"/>
                                        <w:right w:val="none" w:sz="0" w:space="0" w:color="auto"/>
                                      </w:divBdr>
                                      <w:divsChild>
                                        <w:div w:id="1736511722">
                                          <w:marLeft w:val="0"/>
                                          <w:marRight w:val="0"/>
                                          <w:marTop w:val="120"/>
                                          <w:marBottom w:val="0"/>
                                          <w:divBdr>
                                            <w:top w:val="none" w:sz="0" w:space="0" w:color="auto"/>
                                            <w:left w:val="none" w:sz="0" w:space="0" w:color="auto"/>
                                            <w:bottom w:val="none" w:sz="0" w:space="0" w:color="auto"/>
                                            <w:right w:val="none" w:sz="0" w:space="0" w:color="auto"/>
                                          </w:divBdr>
                                        </w:div>
                                        <w:div w:id="2103410596">
                                          <w:marLeft w:val="0"/>
                                          <w:marRight w:val="0"/>
                                          <w:marTop w:val="0"/>
                                          <w:marBottom w:val="0"/>
                                          <w:divBdr>
                                            <w:top w:val="none" w:sz="0" w:space="0" w:color="auto"/>
                                            <w:left w:val="none" w:sz="0" w:space="0" w:color="auto"/>
                                            <w:bottom w:val="none" w:sz="0" w:space="0" w:color="auto"/>
                                            <w:right w:val="none" w:sz="0" w:space="0" w:color="auto"/>
                                          </w:divBdr>
                                        </w:div>
                                      </w:divsChild>
                                    </w:div>
                                    <w:div w:id="1431387742">
                                      <w:marLeft w:val="0"/>
                                      <w:marRight w:val="0"/>
                                      <w:marTop w:val="0"/>
                                      <w:marBottom w:val="0"/>
                                      <w:divBdr>
                                        <w:top w:val="none" w:sz="0" w:space="0" w:color="auto"/>
                                        <w:left w:val="none" w:sz="0" w:space="0" w:color="auto"/>
                                        <w:bottom w:val="none" w:sz="0" w:space="0" w:color="auto"/>
                                        <w:right w:val="none" w:sz="0" w:space="0" w:color="auto"/>
                                      </w:divBdr>
                                      <w:divsChild>
                                        <w:div w:id="1762990273">
                                          <w:marLeft w:val="0"/>
                                          <w:marRight w:val="0"/>
                                          <w:marTop w:val="120"/>
                                          <w:marBottom w:val="0"/>
                                          <w:divBdr>
                                            <w:top w:val="none" w:sz="0" w:space="0" w:color="auto"/>
                                            <w:left w:val="none" w:sz="0" w:space="0" w:color="auto"/>
                                            <w:bottom w:val="none" w:sz="0" w:space="0" w:color="auto"/>
                                            <w:right w:val="none" w:sz="0" w:space="0" w:color="auto"/>
                                          </w:divBdr>
                                        </w:div>
                                        <w:div w:id="578947268">
                                          <w:marLeft w:val="0"/>
                                          <w:marRight w:val="0"/>
                                          <w:marTop w:val="0"/>
                                          <w:marBottom w:val="0"/>
                                          <w:divBdr>
                                            <w:top w:val="none" w:sz="0" w:space="0" w:color="auto"/>
                                            <w:left w:val="none" w:sz="0" w:space="0" w:color="auto"/>
                                            <w:bottom w:val="none" w:sz="0" w:space="0" w:color="auto"/>
                                            <w:right w:val="none" w:sz="0" w:space="0" w:color="auto"/>
                                          </w:divBdr>
                                        </w:div>
                                      </w:divsChild>
                                    </w:div>
                                    <w:div w:id="1047141077">
                                      <w:marLeft w:val="0"/>
                                      <w:marRight w:val="0"/>
                                      <w:marTop w:val="0"/>
                                      <w:marBottom w:val="0"/>
                                      <w:divBdr>
                                        <w:top w:val="none" w:sz="0" w:space="0" w:color="auto"/>
                                        <w:left w:val="none" w:sz="0" w:space="0" w:color="auto"/>
                                        <w:bottom w:val="none" w:sz="0" w:space="0" w:color="auto"/>
                                        <w:right w:val="none" w:sz="0" w:space="0" w:color="auto"/>
                                      </w:divBdr>
                                      <w:divsChild>
                                        <w:div w:id="745610044">
                                          <w:marLeft w:val="0"/>
                                          <w:marRight w:val="0"/>
                                          <w:marTop w:val="120"/>
                                          <w:marBottom w:val="0"/>
                                          <w:divBdr>
                                            <w:top w:val="none" w:sz="0" w:space="0" w:color="auto"/>
                                            <w:left w:val="none" w:sz="0" w:space="0" w:color="auto"/>
                                            <w:bottom w:val="none" w:sz="0" w:space="0" w:color="auto"/>
                                            <w:right w:val="none" w:sz="0" w:space="0" w:color="auto"/>
                                          </w:divBdr>
                                        </w:div>
                                        <w:div w:id="1615558973">
                                          <w:marLeft w:val="0"/>
                                          <w:marRight w:val="0"/>
                                          <w:marTop w:val="0"/>
                                          <w:marBottom w:val="0"/>
                                          <w:divBdr>
                                            <w:top w:val="none" w:sz="0" w:space="0" w:color="auto"/>
                                            <w:left w:val="none" w:sz="0" w:space="0" w:color="auto"/>
                                            <w:bottom w:val="none" w:sz="0" w:space="0" w:color="auto"/>
                                            <w:right w:val="none" w:sz="0" w:space="0" w:color="auto"/>
                                          </w:divBdr>
                                        </w:div>
                                      </w:divsChild>
                                    </w:div>
                                    <w:div w:id="1485050388">
                                      <w:marLeft w:val="0"/>
                                      <w:marRight w:val="0"/>
                                      <w:marTop w:val="0"/>
                                      <w:marBottom w:val="0"/>
                                      <w:divBdr>
                                        <w:top w:val="none" w:sz="0" w:space="0" w:color="auto"/>
                                        <w:left w:val="none" w:sz="0" w:space="0" w:color="auto"/>
                                        <w:bottom w:val="none" w:sz="0" w:space="0" w:color="auto"/>
                                        <w:right w:val="none" w:sz="0" w:space="0" w:color="auto"/>
                                      </w:divBdr>
                                      <w:divsChild>
                                        <w:div w:id="1709144307">
                                          <w:marLeft w:val="0"/>
                                          <w:marRight w:val="0"/>
                                          <w:marTop w:val="120"/>
                                          <w:marBottom w:val="0"/>
                                          <w:divBdr>
                                            <w:top w:val="none" w:sz="0" w:space="0" w:color="auto"/>
                                            <w:left w:val="none" w:sz="0" w:space="0" w:color="auto"/>
                                            <w:bottom w:val="none" w:sz="0" w:space="0" w:color="auto"/>
                                            <w:right w:val="none" w:sz="0" w:space="0" w:color="auto"/>
                                          </w:divBdr>
                                        </w:div>
                                        <w:div w:id="638337825">
                                          <w:marLeft w:val="0"/>
                                          <w:marRight w:val="0"/>
                                          <w:marTop w:val="0"/>
                                          <w:marBottom w:val="0"/>
                                          <w:divBdr>
                                            <w:top w:val="none" w:sz="0" w:space="0" w:color="auto"/>
                                            <w:left w:val="none" w:sz="0" w:space="0" w:color="auto"/>
                                            <w:bottom w:val="none" w:sz="0" w:space="0" w:color="auto"/>
                                            <w:right w:val="none" w:sz="0" w:space="0" w:color="auto"/>
                                          </w:divBdr>
                                        </w:div>
                                      </w:divsChild>
                                    </w:div>
                                    <w:div w:id="113208699">
                                      <w:marLeft w:val="0"/>
                                      <w:marRight w:val="0"/>
                                      <w:marTop w:val="0"/>
                                      <w:marBottom w:val="0"/>
                                      <w:divBdr>
                                        <w:top w:val="none" w:sz="0" w:space="0" w:color="auto"/>
                                        <w:left w:val="none" w:sz="0" w:space="0" w:color="auto"/>
                                        <w:bottom w:val="none" w:sz="0" w:space="0" w:color="auto"/>
                                        <w:right w:val="none" w:sz="0" w:space="0" w:color="auto"/>
                                      </w:divBdr>
                                      <w:divsChild>
                                        <w:div w:id="252934794">
                                          <w:marLeft w:val="0"/>
                                          <w:marRight w:val="0"/>
                                          <w:marTop w:val="120"/>
                                          <w:marBottom w:val="0"/>
                                          <w:divBdr>
                                            <w:top w:val="none" w:sz="0" w:space="0" w:color="auto"/>
                                            <w:left w:val="none" w:sz="0" w:space="0" w:color="auto"/>
                                            <w:bottom w:val="none" w:sz="0" w:space="0" w:color="auto"/>
                                            <w:right w:val="none" w:sz="0" w:space="0" w:color="auto"/>
                                          </w:divBdr>
                                        </w:div>
                                        <w:div w:id="500586115">
                                          <w:marLeft w:val="0"/>
                                          <w:marRight w:val="0"/>
                                          <w:marTop w:val="0"/>
                                          <w:marBottom w:val="0"/>
                                          <w:divBdr>
                                            <w:top w:val="none" w:sz="0" w:space="0" w:color="auto"/>
                                            <w:left w:val="none" w:sz="0" w:space="0" w:color="auto"/>
                                            <w:bottom w:val="none" w:sz="0" w:space="0" w:color="auto"/>
                                            <w:right w:val="none" w:sz="0" w:space="0" w:color="auto"/>
                                          </w:divBdr>
                                        </w:div>
                                      </w:divsChild>
                                    </w:div>
                                    <w:div w:id="432870045">
                                      <w:marLeft w:val="0"/>
                                      <w:marRight w:val="0"/>
                                      <w:marTop w:val="0"/>
                                      <w:marBottom w:val="0"/>
                                      <w:divBdr>
                                        <w:top w:val="none" w:sz="0" w:space="0" w:color="auto"/>
                                        <w:left w:val="none" w:sz="0" w:space="0" w:color="auto"/>
                                        <w:bottom w:val="none" w:sz="0" w:space="0" w:color="auto"/>
                                        <w:right w:val="none" w:sz="0" w:space="0" w:color="auto"/>
                                      </w:divBdr>
                                      <w:divsChild>
                                        <w:div w:id="680204244">
                                          <w:marLeft w:val="0"/>
                                          <w:marRight w:val="0"/>
                                          <w:marTop w:val="120"/>
                                          <w:marBottom w:val="0"/>
                                          <w:divBdr>
                                            <w:top w:val="none" w:sz="0" w:space="0" w:color="auto"/>
                                            <w:left w:val="none" w:sz="0" w:space="0" w:color="auto"/>
                                            <w:bottom w:val="none" w:sz="0" w:space="0" w:color="auto"/>
                                            <w:right w:val="none" w:sz="0" w:space="0" w:color="auto"/>
                                          </w:divBdr>
                                        </w:div>
                                        <w:div w:id="978412665">
                                          <w:marLeft w:val="0"/>
                                          <w:marRight w:val="0"/>
                                          <w:marTop w:val="0"/>
                                          <w:marBottom w:val="0"/>
                                          <w:divBdr>
                                            <w:top w:val="none" w:sz="0" w:space="0" w:color="auto"/>
                                            <w:left w:val="none" w:sz="0" w:space="0" w:color="auto"/>
                                            <w:bottom w:val="none" w:sz="0" w:space="0" w:color="auto"/>
                                            <w:right w:val="none" w:sz="0" w:space="0" w:color="auto"/>
                                          </w:divBdr>
                                        </w:div>
                                      </w:divsChild>
                                    </w:div>
                                    <w:div w:id="1504515906">
                                      <w:marLeft w:val="0"/>
                                      <w:marRight w:val="0"/>
                                      <w:marTop w:val="0"/>
                                      <w:marBottom w:val="0"/>
                                      <w:divBdr>
                                        <w:top w:val="none" w:sz="0" w:space="0" w:color="auto"/>
                                        <w:left w:val="none" w:sz="0" w:space="0" w:color="auto"/>
                                        <w:bottom w:val="none" w:sz="0" w:space="0" w:color="auto"/>
                                        <w:right w:val="none" w:sz="0" w:space="0" w:color="auto"/>
                                      </w:divBdr>
                                      <w:divsChild>
                                        <w:div w:id="339822158">
                                          <w:marLeft w:val="0"/>
                                          <w:marRight w:val="0"/>
                                          <w:marTop w:val="120"/>
                                          <w:marBottom w:val="0"/>
                                          <w:divBdr>
                                            <w:top w:val="none" w:sz="0" w:space="0" w:color="auto"/>
                                            <w:left w:val="none" w:sz="0" w:space="0" w:color="auto"/>
                                            <w:bottom w:val="none" w:sz="0" w:space="0" w:color="auto"/>
                                            <w:right w:val="none" w:sz="0" w:space="0" w:color="auto"/>
                                          </w:divBdr>
                                        </w:div>
                                        <w:div w:id="74515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64296">
                              <w:marLeft w:val="0"/>
                              <w:marRight w:val="0"/>
                              <w:marTop w:val="0"/>
                              <w:marBottom w:val="0"/>
                              <w:divBdr>
                                <w:top w:val="none" w:sz="0" w:space="0" w:color="auto"/>
                                <w:left w:val="none" w:sz="0" w:space="0" w:color="auto"/>
                                <w:bottom w:val="none" w:sz="0" w:space="0" w:color="auto"/>
                                <w:right w:val="none" w:sz="0" w:space="0" w:color="auto"/>
                              </w:divBdr>
                              <w:divsChild>
                                <w:div w:id="1249803401">
                                  <w:marLeft w:val="0"/>
                                  <w:marRight w:val="0"/>
                                  <w:marTop w:val="0"/>
                                  <w:marBottom w:val="0"/>
                                  <w:divBdr>
                                    <w:top w:val="none" w:sz="0" w:space="0" w:color="auto"/>
                                    <w:left w:val="none" w:sz="0" w:space="0" w:color="auto"/>
                                    <w:bottom w:val="none" w:sz="0" w:space="0" w:color="auto"/>
                                    <w:right w:val="none" w:sz="0" w:space="0" w:color="auto"/>
                                  </w:divBdr>
                                  <w:divsChild>
                                    <w:div w:id="1486363423">
                                      <w:marLeft w:val="0"/>
                                      <w:marRight w:val="0"/>
                                      <w:marTop w:val="0"/>
                                      <w:marBottom w:val="0"/>
                                      <w:divBdr>
                                        <w:top w:val="none" w:sz="0" w:space="0" w:color="auto"/>
                                        <w:left w:val="none" w:sz="0" w:space="0" w:color="auto"/>
                                        <w:bottom w:val="none" w:sz="0" w:space="0" w:color="auto"/>
                                        <w:right w:val="none" w:sz="0" w:space="0" w:color="auto"/>
                                      </w:divBdr>
                                      <w:divsChild>
                                        <w:div w:id="712926231">
                                          <w:marLeft w:val="0"/>
                                          <w:marRight w:val="0"/>
                                          <w:marTop w:val="120"/>
                                          <w:marBottom w:val="0"/>
                                          <w:divBdr>
                                            <w:top w:val="none" w:sz="0" w:space="0" w:color="auto"/>
                                            <w:left w:val="none" w:sz="0" w:space="0" w:color="auto"/>
                                            <w:bottom w:val="none" w:sz="0" w:space="0" w:color="auto"/>
                                            <w:right w:val="none" w:sz="0" w:space="0" w:color="auto"/>
                                          </w:divBdr>
                                        </w:div>
                                        <w:div w:id="1695037119">
                                          <w:marLeft w:val="0"/>
                                          <w:marRight w:val="0"/>
                                          <w:marTop w:val="0"/>
                                          <w:marBottom w:val="0"/>
                                          <w:divBdr>
                                            <w:top w:val="none" w:sz="0" w:space="0" w:color="auto"/>
                                            <w:left w:val="none" w:sz="0" w:space="0" w:color="auto"/>
                                            <w:bottom w:val="none" w:sz="0" w:space="0" w:color="auto"/>
                                            <w:right w:val="none" w:sz="0" w:space="0" w:color="auto"/>
                                          </w:divBdr>
                                        </w:div>
                                      </w:divsChild>
                                    </w:div>
                                    <w:div w:id="2054570481">
                                      <w:marLeft w:val="0"/>
                                      <w:marRight w:val="0"/>
                                      <w:marTop w:val="0"/>
                                      <w:marBottom w:val="0"/>
                                      <w:divBdr>
                                        <w:top w:val="none" w:sz="0" w:space="0" w:color="auto"/>
                                        <w:left w:val="none" w:sz="0" w:space="0" w:color="auto"/>
                                        <w:bottom w:val="none" w:sz="0" w:space="0" w:color="auto"/>
                                        <w:right w:val="none" w:sz="0" w:space="0" w:color="auto"/>
                                      </w:divBdr>
                                      <w:divsChild>
                                        <w:div w:id="276379310">
                                          <w:marLeft w:val="0"/>
                                          <w:marRight w:val="0"/>
                                          <w:marTop w:val="120"/>
                                          <w:marBottom w:val="0"/>
                                          <w:divBdr>
                                            <w:top w:val="none" w:sz="0" w:space="0" w:color="auto"/>
                                            <w:left w:val="none" w:sz="0" w:space="0" w:color="auto"/>
                                            <w:bottom w:val="none" w:sz="0" w:space="0" w:color="auto"/>
                                            <w:right w:val="none" w:sz="0" w:space="0" w:color="auto"/>
                                          </w:divBdr>
                                        </w:div>
                                        <w:div w:id="143540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154790">
                              <w:marLeft w:val="0"/>
                              <w:marRight w:val="0"/>
                              <w:marTop w:val="0"/>
                              <w:marBottom w:val="0"/>
                              <w:divBdr>
                                <w:top w:val="none" w:sz="0" w:space="0" w:color="auto"/>
                                <w:left w:val="none" w:sz="0" w:space="0" w:color="auto"/>
                                <w:bottom w:val="none" w:sz="0" w:space="0" w:color="auto"/>
                                <w:right w:val="none" w:sz="0" w:space="0" w:color="auto"/>
                              </w:divBdr>
                              <w:divsChild>
                                <w:div w:id="411632663">
                                  <w:marLeft w:val="0"/>
                                  <w:marRight w:val="0"/>
                                  <w:marTop w:val="0"/>
                                  <w:marBottom w:val="0"/>
                                  <w:divBdr>
                                    <w:top w:val="none" w:sz="0" w:space="0" w:color="auto"/>
                                    <w:left w:val="none" w:sz="0" w:space="0" w:color="auto"/>
                                    <w:bottom w:val="none" w:sz="0" w:space="0" w:color="auto"/>
                                    <w:right w:val="none" w:sz="0" w:space="0" w:color="auto"/>
                                  </w:divBdr>
                                  <w:divsChild>
                                    <w:div w:id="927809263">
                                      <w:marLeft w:val="0"/>
                                      <w:marRight w:val="0"/>
                                      <w:marTop w:val="0"/>
                                      <w:marBottom w:val="0"/>
                                      <w:divBdr>
                                        <w:top w:val="none" w:sz="0" w:space="0" w:color="auto"/>
                                        <w:left w:val="none" w:sz="0" w:space="0" w:color="auto"/>
                                        <w:bottom w:val="none" w:sz="0" w:space="0" w:color="auto"/>
                                        <w:right w:val="none" w:sz="0" w:space="0" w:color="auto"/>
                                      </w:divBdr>
                                      <w:divsChild>
                                        <w:div w:id="994337941">
                                          <w:marLeft w:val="0"/>
                                          <w:marRight w:val="0"/>
                                          <w:marTop w:val="120"/>
                                          <w:marBottom w:val="0"/>
                                          <w:divBdr>
                                            <w:top w:val="none" w:sz="0" w:space="0" w:color="auto"/>
                                            <w:left w:val="none" w:sz="0" w:space="0" w:color="auto"/>
                                            <w:bottom w:val="none" w:sz="0" w:space="0" w:color="auto"/>
                                            <w:right w:val="none" w:sz="0" w:space="0" w:color="auto"/>
                                          </w:divBdr>
                                        </w:div>
                                        <w:div w:id="1150823669">
                                          <w:marLeft w:val="0"/>
                                          <w:marRight w:val="0"/>
                                          <w:marTop w:val="0"/>
                                          <w:marBottom w:val="0"/>
                                          <w:divBdr>
                                            <w:top w:val="none" w:sz="0" w:space="0" w:color="auto"/>
                                            <w:left w:val="none" w:sz="0" w:space="0" w:color="auto"/>
                                            <w:bottom w:val="none" w:sz="0" w:space="0" w:color="auto"/>
                                            <w:right w:val="none" w:sz="0" w:space="0" w:color="auto"/>
                                          </w:divBdr>
                                        </w:div>
                                      </w:divsChild>
                                    </w:div>
                                    <w:div w:id="1871332587">
                                      <w:marLeft w:val="0"/>
                                      <w:marRight w:val="0"/>
                                      <w:marTop w:val="0"/>
                                      <w:marBottom w:val="0"/>
                                      <w:divBdr>
                                        <w:top w:val="none" w:sz="0" w:space="0" w:color="auto"/>
                                        <w:left w:val="none" w:sz="0" w:space="0" w:color="auto"/>
                                        <w:bottom w:val="none" w:sz="0" w:space="0" w:color="auto"/>
                                        <w:right w:val="none" w:sz="0" w:space="0" w:color="auto"/>
                                      </w:divBdr>
                                      <w:divsChild>
                                        <w:div w:id="1601524302">
                                          <w:marLeft w:val="0"/>
                                          <w:marRight w:val="0"/>
                                          <w:marTop w:val="120"/>
                                          <w:marBottom w:val="0"/>
                                          <w:divBdr>
                                            <w:top w:val="none" w:sz="0" w:space="0" w:color="auto"/>
                                            <w:left w:val="none" w:sz="0" w:space="0" w:color="auto"/>
                                            <w:bottom w:val="none" w:sz="0" w:space="0" w:color="auto"/>
                                            <w:right w:val="none" w:sz="0" w:space="0" w:color="auto"/>
                                          </w:divBdr>
                                        </w:div>
                                        <w:div w:id="254174735">
                                          <w:marLeft w:val="0"/>
                                          <w:marRight w:val="0"/>
                                          <w:marTop w:val="0"/>
                                          <w:marBottom w:val="0"/>
                                          <w:divBdr>
                                            <w:top w:val="none" w:sz="0" w:space="0" w:color="auto"/>
                                            <w:left w:val="none" w:sz="0" w:space="0" w:color="auto"/>
                                            <w:bottom w:val="none" w:sz="0" w:space="0" w:color="auto"/>
                                            <w:right w:val="none" w:sz="0" w:space="0" w:color="auto"/>
                                          </w:divBdr>
                                        </w:div>
                                      </w:divsChild>
                                    </w:div>
                                    <w:div w:id="1577086954">
                                      <w:marLeft w:val="0"/>
                                      <w:marRight w:val="0"/>
                                      <w:marTop w:val="0"/>
                                      <w:marBottom w:val="0"/>
                                      <w:divBdr>
                                        <w:top w:val="none" w:sz="0" w:space="0" w:color="auto"/>
                                        <w:left w:val="none" w:sz="0" w:space="0" w:color="auto"/>
                                        <w:bottom w:val="none" w:sz="0" w:space="0" w:color="auto"/>
                                        <w:right w:val="none" w:sz="0" w:space="0" w:color="auto"/>
                                      </w:divBdr>
                                      <w:divsChild>
                                        <w:div w:id="211769946">
                                          <w:marLeft w:val="0"/>
                                          <w:marRight w:val="0"/>
                                          <w:marTop w:val="120"/>
                                          <w:marBottom w:val="0"/>
                                          <w:divBdr>
                                            <w:top w:val="none" w:sz="0" w:space="0" w:color="auto"/>
                                            <w:left w:val="none" w:sz="0" w:space="0" w:color="auto"/>
                                            <w:bottom w:val="none" w:sz="0" w:space="0" w:color="auto"/>
                                            <w:right w:val="none" w:sz="0" w:space="0" w:color="auto"/>
                                          </w:divBdr>
                                        </w:div>
                                        <w:div w:id="124310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84185">
                              <w:marLeft w:val="0"/>
                              <w:marRight w:val="0"/>
                              <w:marTop w:val="0"/>
                              <w:marBottom w:val="0"/>
                              <w:divBdr>
                                <w:top w:val="none" w:sz="0" w:space="0" w:color="auto"/>
                                <w:left w:val="none" w:sz="0" w:space="0" w:color="auto"/>
                                <w:bottom w:val="none" w:sz="0" w:space="0" w:color="auto"/>
                                <w:right w:val="none" w:sz="0" w:space="0" w:color="auto"/>
                              </w:divBdr>
                              <w:divsChild>
                                <w:div w:id="1966236191">
                                  <w:marLeft w:val="0"/>
                                  <w:marRight w:val="0"/>
                                  <w:marTop w:val="0"/>
                                  <w:marBottom w:val="0"/>
                                  <w:divBdr>
                                    <w:top w:val="none" w:sz="0" w:space="0" w:color="auto"/>
                                    <w:left w:val="none" w:sz="0" w:space="0" w:color="auto"/>
                                    <w:bottom w:val="none" w:sz="0" w:space="0" w:color="auto"/>
                                    <w:right w:val="none" w:sz="0" w:space="0" w:color="auto"/>
                                  </w:divBdr>
                                </w:div>
                              </w:divsChild>
                            </w:div>
                            <w:div w:id="1963342854">
                              <w:marLeft w:val="0"/>
                              <w:marRight w:val="0"/>
                              <w:marTop w:val="0"/>
                              <w:marBottom w:val="0"/>
                              <w:divBdr>
                                <w:top w:val="none" w:sz="0" w:space="0" w:color="auto"/>
                                <w:left w:val="none" w:sz="0" w:space="0" w:color="auto"/>
                                <w:bottom w:val="none" w:sz="0" w:space="0" w:color="auto"/>
                                <w:right w:val="none" w:sz="0" w:space="0" w:color="auto"/>
                              </w:divBdr>
                              <w:divsChild>
                                <w:div w:id="172646079">
                                  <w:marLeft w:val="0"/>
                                  <w:marRight w:val="0"/>
                                  <w:marTop w:val="0"/>
                                  <w:marBottom w:val="0"/>
                                  <w:divBdr>
                                    <w:top w:val="none" w:sz="0" w:space="0" w:color="auto"/>
                                    <w:left w:val="none" w:sz="0" w:space="0" w:color="auto"/>
                                    <w:bottom w:val="none" w:sz="0" w:space="0" w:color="auto"/>
                                    <w:right w:val="none" w:sz="0" w:space="0" w:color="auto"/>
                                  </w:divBdr>
                                </w:div>
                              </w:divsChild>
                            </w:div>
                            <w:div w:id="1462723579">
                              <w:marLeft w:val="0"/>
                              <w:marRight w:val="0"/>
                              <w:marTop w:val="0"/>
                              <w:marBottom w:val="0"/>
                              <w:divBdr>
                                <w:top w:val="none" w:sz="0" w:space="0" w:color="auto"/>
                                <w:left w:val="none" w:sz="0" w:space="0" w:color="auto"/>
                                <w:bottom w:val="none" w:sz="0" w:space="0" w:color="auto"/>
                                <w:right w:val="none" w:sz="0" w:space="0" w:color="auto"/>
                              </w:divBdr>
                              <w:divsChild>
                                <w:div w:id="985158130">
                                  <w:marLeft w:val="0"/>
                                  <w:marRight w:val="0"/>
                                  <w:marTop w:val="0"/>
                                  <w:marBottom w:val="0"/>
                                  <w:divBdr>
                                    <w:top w:val="none" w:sz="0" w:space="0" w:color="auto"/>
                                    <w:left w:val="none" w:sz="0" w:space="0" w:color="auto"/>
                                    <w:bottom w:val="none" w:sz="0" w:space="0" w:color="auto"/>
                                    <w:right w:val="none" w:sz="0" w:space="0" w:color="auto"/>
                                  </w:divBdr>
                                </w:div>
                              </w:divsChild>
                            </w:div>
                            <w:div w:id="1936936887">
                              <w:marLeft w:val="0"/>
                              <w:marRight w:val="0"/>
                              <w:marTop w:val="0"/>
                              <w:marBottom w:val="0"/>
                              <w:divBdr>
                                <w:top w:val="none" w:sz="0" w:space="0" w:color="auto"/>
                                <w:left w:val="none" w:sz="0" w:space="0" w:color="auto"/>
                                <w:bottom w:val="none" w:sz="0" w:space="0" w:color="auto"/>
                                <w:right w:val="none" w:sz="0" w:space="0" w:color="auto"/>
                              </w:divBdr>
                              <w:divsChild>
                                <w:div w:id="1266183939">
                                  <w:marLeft w:val="0"/>
                                  <w:marRight w:val="0"/>
                                  <w:marTop w:val="0"/>
                                  <w:marBottom w:val="0"/>
                                  <w:divBdr>
                                    <w:top w:val="none" w:sz="0" w:space="0" w:color="auto"/>
                                    <w:left w:val="none" w:sz="0" w:space="0" w:color="auto"/>
                                    <w:bottom w:val="none" w:sz="0" w:space="0" w:color="auto"/>
                                    <w:right w:val="none" w:sz="0" w:space="0" w:color="auto"/>
                                  </w:divBdr>
                                </w:div>
                              </w:divsChild>
                            </w:div>
                            <w:div w:id="335765506">
                              <w:marLeft w:val="0"/>
                              <w:marRight w:val="0"/>
                              <w:marTop w:val="0"/>
                              <w:marBottom w:val="0"/>
                              <w:divBdr>
                                <w:top w:val="none" w:sz="0" w:space="0" w:color="auto"/>
                                <w:left w:val="none" w:sz="0" w:space="0" w:color="auto"/>
                                <w:bottom w:val="none" w:sz="0" w:space="0" w:color="auto"/>
                                <w:right w:val="none" w:sz="0" w:space="0" w:color="auto"/>
                              </w:divBdr>
                              <w:divsChild>
                                <w:div w:id="903876462">
                                  <w:marLeft w:val="0"/>
                                  <w:marRight w:val="0"/>
                                  <w:marTop w:val="120"/>
                                  <w:marBottom w:val="0"/>
                                  <w:divBdr>
                                    <w:top w:val="none" w:sz="0" w:space="0" w:color="auto"/>
                                    <w:left w:val="none" w:sz="0" w:space="0" w:color="auto"/>
                                    <w:bottom w:val="none" w:sz="0" w:space="0" w:color="auto"/>
                                    <w:right w:val="none" w:sz="0" w:space="0" w:color="auto"/>
                                  </w:divBdr>
                                </w:div>
                                <w:div w:id="2134858832">
                                  <w:marLeft w:val="0"/>
                                  <w:marRight w:val="0"/>
                                  <w:marTop w:val="0"/>
                                  <w:marBottom w:val="0"/>
                                  <w:divBdr>
                                    <w:top w:val="none" w:sz="0" w:space="0" w:color="auto"/>
                                    <w:left w:val="none" w:sz="0" w:space="0" w:color="auto"/>
                                    <w:bottom w:val="none" w:sz="0" w:space="0" w:color="auto"/>
                                    <w:right w:val="none" w:sz="0" w:space="0" w:color="auto"/>
                                  </w:divBdr>
                                </w:div>
                              </w:divsChild>
                            </w:div>
                            <w:div w:id="1570574116">
                              <w:marLeft w:val="0"/>
                              <w:marRight w:val="0"/>
                              <w:marTop w:val="0"/>
                              <w:marBottom w:val="0"/>
                              <w:divBdr>
                                <w:top w:val="none" w:sz="0" w:space="0" w:color="auto"/>
                                <w:left w:val="none" w:sz="0" w:space="0" w:color="auto"/>
                                <w:bottom w:val="none" w:sz="0" w:space="0" w:color="auto"/>
                                <w:right w:val="none" w:sz="0" w:space="0" w:color="auto"/>
                              </w:divBdr>
                              <w:divsChild>
                                <w:div w:id="1646932204">
                                  <w:marLeft w:val="0"/>
                                  <w:marRight w:val="0"/>
                                  <w:marTop w:val="120"/>
                                  <w:marBottom w:val="0"/>
                                  <w:divBdr>
                                    <w:top w:val="none" w:sz="0" w:space="0" w:color="auto"/>
                                    <w:left w:val="none" w:sz="0" w:space="0" w:color="auto"/>
                                    <w:bottom w:val="none" w:sz="0" w:space="0" w:color="auto"/>
                                    <w:right w:val="none" w:sz="0" w:space="0" w:color="auto"/>
                                  </w:divBdr>
                                </w:div>
                                <w:div w:id="1485972054">
                                  <w:marLeft w:val="0"/>
                                  <w:marRight w:val="0"/>
                                  <w:marTop w:val="0"/>
                                  <w:marBottom w:val="0"/>
                                  <w:divBdr>
                                    <w:top w:val="none" w:sz="0" w:space="0" w:color="auto"/>
                                    <w:left w:val="none" w:sz="0" w:space="0" w:color="auto"/>
                                    <w:bottom w:val="none" w:sz="0" w:space="0" w:color="auto"/>
                                    <w:right w:val="none" w:sz="0" w:space="0" w:color="auto"/>
                                  </w:divBdr>
                                </w:div>
                              </w:divsChild>
                            </w:div>
                            <w:div w:id="503713084">
                              <w:marLeft w:val="0"/>
                              <w:marRight w:val="0"/>
                              <w:marTop w:val="0"/>
                              <w:marBottom w:val="0"/>
                              <w:divBdr>
                                <w:top w:val="none" w:sz="0" w:space="0" w:color="auto"/>
                                <w:left w:val="none" w:sz="0" w:space="0" w:color="auto"/>
                                <w:bottom w:val="none" w:sz="0" w:space="0" w:color="auto"/>
                                <w:right w:val="none" w:sz="0" w:space="0" w:color="auto"/>
                              </w:divBdr>
                              <w:divsChild>
                                <w:div w:id="1322269707">
                                  <w:marLeft w:val="0"/>
                                  <w:marRight w:val="0"/>
                                  <w:marTop w:val="0"/>
                                  <w:marBottom w:val="0"/>
                                  <w:divBdr>
                                    <w:top w:val="none" w:sz="0" w:space="0" w:color="auto"/>
                                    <w:left w:val="none" w:sz="0" w:space="0" w:color="auto"/>
                                    <w:bottom w:val="none" w:sz="0" w:space="0" w:color="auto"/>
                                    <w:right w:val="none" w:sz="0" w:space="0" w:color="auto"/>
                                  </w:divBdr>
                                  <w:divsChild>
                                    <w:div w:id="2089881447">
                                      <w:marLeft w:val="0"/>
                                      <w:marRight w:val="0"/>
                                      <w:marTop w:val="0"/>
                                      <w:marBottom w:val="0"/>
                                      <w:divBdr>
                                        <w:top w:val="none" w:sz="0" w:space="0" w:color="auto"/>
                                        <w:left w:val="none" w:sz="0" w:space="0" w:color="auto"/>
                                        <w:bottom w:val="none" w:sz="0" w:space="0" w:color="auto"/>
                                        <w:right w:val="none" w:sz="0" w:space="0" w:color="auto"/>
                                      </w:divBdr>
                                      <w:divsChild>
                                        <w:div w:id="1889756386">
                                          <w:marLeft w:val="0"/>
                                          <w:marRight w:val="0"/>
                                          <w:marTop w:val="120"/>
                                          <w:marBottom w:val="0"/>
                                          <w:divBdr>
                                            <w:top w:val="none" w:sz="0" w:space="0" w:color="auto"/>
                                            <w:left w:val="none" w:sz="0" w:space="0" w:color="auto"/>
                                            <w:bottom w:val="none" w:sz="0" w:space="0" w:color="auto"/>
                                            <w:right w:val="none" w:sz="0" w:space="0" w:color="auto"/>
                                          </w:divBdr>
                                        </w:div>
                                        <w:div w:id="1481339785">
                                          <w:marLeft w:val="0"/>
                                          <w:marRight w:val="0"/>
                                          <w:marTop w:val="0"/>
                                          <w:marBottom w:val="0"/>
                                          <w:divBdr>
                                            <w:top w:val="none" w:sz="0" w:space="0" w:color="auto"/>
                                            <w:left w:val="none" w:sz="0" w:space="0" w:color="auto"/>
                                            <w:bottom w:val="none" w:sz="0" w:space="0" w:color="auto"/>
                                            <w:right w:val="none" w:sz="0" w:space="0" w:color="auto"/>
                                          </w:divBdr>
                                        </w:div>
                                      </w:divsChild>
                                    </w:div>
                                    <w:div w:id="1540389992">
                                      <w:marLeft w:val="0"/>
                                      <w:marRight w:val="0"/>
                                      <w:marTop w:val="0"/>
                                      <w:marBottom w:val="0"/>
                                      <w:divBdr>
                                        <w:top w:val="none" w:sz="0" w:space="0" w:color="auto"/>
                                        <w:left w:val="none" w:sz="0" w:space="0" w:color="auto"/>
                                        <w:bottom w:val="none" w:sz="0" w:space="0" w:color="auto"/>
                                        <w:right w:val="none" w:sz="0" w:space="0" w:color="auto"/>
                                      </w:divBdr>
                                      <w:divsChild>
                                        <w:div w:id="1626617146">
                                          <w:marLeft w:val="0"/>
                                          <w:marRight w:val="0"/>
                                          <w:marTop w:val="120"/>
                                          <w:marBottom w:val="0"/>
                                          <w:divBdr>
                                            <w:top w:val="none" w:sz="0" w:space="0" w:color="auto"/>
                                            <w:left w:val="none" w:sz="0" w:space="0" w:color="auto"/>
                                            <w:bottom w:val="none" w:sz="0" w:space="0" w:color="auto"/>
                                            <w:right w:val="none" w:sz="0" w:space="0" w:color="auto"/>
                                          </w:divBdr>
                                        </w:div>
                                        <w:div w:id="3873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744672">
                              <w:marLeft w:val="0"/>
                              <w:marRight w:val="0"/>
                              <w:marTop w:val="0"/>
                              <w:marBottom w:val="0"/>
                              <w:divBdr>
                                <w:top w:val="none" w:sz="0" w:space="0" w:color="auto"/>
                                <w:left w:val="none" w:sz="0" w:space="0" w:color="auto"/>
                                <w:bottom w:val="none" w:sz="0" w:space="0" w:color="auto"/>
                                <w:right w:val="none" w:sz="0" w:space="0" w:color="auto"/>
                              </w:divBdr>
                              <w:divsChild>
                                <w:div w:id="1278174464">
                                  <w:marLeft w:val="0"/>
                                  <w:marRight w:val="0"/>
                                  <w:marTop w:val="0"/>
                                  <w:marBottom w:val="0"/>
                                  <w:divBdr>
                                    <w:top w:val="none" w:sz="0" w:space="0" w:color="auto"/>
                                    <w:left w:val="none" w:sz="0" w:space="0" w:color="auto"/>
                                    <w:bottom w:val="none" w:sz="0" w:space="0" w:color="auto"/>
                                    <w:right w:val="none" w:sz="0" w:space="0" w:color="auto"/>
                                  </w:divBdr>
                                </w:div>
                              </w:divsChild>
                            </w:div>
                            <w:div w:id="2037391737">
                              <w:marLeft w:val="0"/>
                              <w:marRight w:val="0"/>
                              <w:marTop w:val="0"/>
                              <w:marBottom w:val="0"/>
                              <w:divBdr>
                                <w:top w:val="none" w:sz="0" w:space="0" w:color="auto"/>
                                <w:left w:val="none" w:sz="0" w:space="0" w:color="auto"/>
                                <w:bottom w:val="none" w:sz="0" w:space="0" w:color="auto"/>
                                <w:right w:val="none" w:sz="0" w:space="0" w:color="auto"/>
                              </w:divBdr>
                              <w:divsChild>
                                <w:div w:id="393966933">
                                  <w:marLeft w:val="0"/>
                                  <w:marRight w:val="0"/>
                                  <w:marTop w:val="0"/>
                                  <w:marBottom w:val="0"/>
                                  <w:divBdr>
                                    <w:top w:val="none" w:sz="0" w:space="0" w:color="auto"/>
                                    <w:left w:val="none" w:sz="0" w:space="0" w:color="auto"/>
                                    <w:bottom w:val="none" w:sz="0" w:space="0" w:color="auto"/>
                                    <w:right w:val="none" w:sz="0" w:space="0" w:color="auto"/>
                                  </w:divBdr>
                                </w:div>
                              </w:divsChild>
                            </w:div>
                            <w:div w:id="789973113">
                              <w:marLeft w:val="0"/>
                              <w:marRight w:val="0"/>
                              <w:marTop w:val="0"/>
                              <w:marBottom w:val="0"/>
                              <w:divBdr>
                                <w:top w:val="none" w:sz="0" w:space="0" w:color="auto"/>
                                <w:left w:val="none" w:sz="0" w:space="0" w:color="auto"/>
                                <w:bottom w:val="none" w:sz="0" w:space="0" w:color="auto"/>
                                <w:right w:val="none" w:sz="0" w:space="0" w:color="auto"/>
                              </w:divBdr>
                              <w:divsChild>
                                <w:div w:id="801387825">
                                  <w:marLeft w:val="0"/>
                                  <w:marRight w:val="0"/>
                                  <w:marTop w:val="0"/>
                                  <w:marBottom w:val="0"/>
                                  <w:divBdr>
                                    <w:top w:val="none" w:sz="0" w:space="0" w:color="auto"/>
                                    <w:left w:val="none" w:sz="0" w:space="0" w:color="auto"/>
                                    <w:bottom w:val="none" w:sz="0" w:space="0" w:color="auto"/>
                                    <w:right w:val="none" w:sz="0" w:space="0" w:color="auto"/>
                                  </w:divBdr>
                                </w:div>
                              </w:divsChild>
                            </w:div>
                            <w:div w:id="1130592619">
                              <w:marLeft w:val="0"/>
                              <w:marRight w:val="0"/>
                              <w:marTop w:val="0"/>
                              <w:marBottom w:val="0"/>
                              <w:divBdr>
                                <w:top w:val="none" w:sz="0" w:space="0" w:color="auto"/>
                                <w:left w:val="none" w:sz="0" w:space="0" w:color="auto"/>
                                <w:bottom w:val="none" w:sz="0" w:space="0" w:color="auto"/>
                                <w:right w:val="none" w:sz="0" w:space="0" w:color="auto"/>
                              </w:divBdr>
                              <w:divsChild>
                                <w:div w:id="925960428">
                                  <w:marLeft w:val="0"/>
                                  <w:marRight w:val="0"/>
                                  <w:marTop w:val="0"/>
                                  <w:marBottom w:val="0"/>
                                  <w:divBdr>
                                    <w:top w:val="none" w:sz="0" w:space="0" w:color="auto"/>
                                    <w:left w:val="none" w:sz="0" w:space="0" w:color="auto"/>
                                    <w:bottom w:val="none" w:sz="0" w:space="0" w:color="auto"/>
                                    <w:right w:val="none" w:sz="0" w:space="0" w:color="auto"/>
                                  </w:divBdr>
                                  <w:divsChild>
                                    <w:div w:id="654647176">
                                      <w:marLeft w:val="0"/>
                                      <w:marRight w:val="0"/>
                                      <w:marTop w:val="0"/>
                                      <w:marBottom w:val="0"/>
                                      <w:divBdr>
                                        <w:top w:val="none" w:sz="0" w:space="0" w:color="auto"/>
                                        <w:left w:val="none" w:sz="0" w:space="0" w:color="auto"/>
                                        <w:bottom w:val="none" w:sz="0" w:space="0" w:color="auto"/>
                                        <w:right w:val="none" w:sz="0" w:space="0" w:color="auto"/>
                                      </w:divBdr>
                                      <w:divsChild>
                                        <w:div w:id="574512565">
                                          <w:marLeft w:val="0"/>
                                          <w:marRight w:val="0"/>
                                          <w:marTop w:val="120"/>
                                          <w:marBottom w:val="0"/>
                                          <w:divBdr>
                                            <w:top w:val="none" w:sz="0" w:space="0" w:color="auto"/>
                                            <w:left w:val="none" w:sz="0" w:space="0" w:color="auto"/>
                                            <w:bottom w:val="none" w:sz="0" w:space="0" w:color="auto"/>
                                            <w:right w:val="none" w:sz="0" w:space="0" w:color="auto"/>
                                          </w:divBdr>
                                        </w:div>
                                        <w:div w:id="232352373">
                                          <w:marLeft w:val="0"/>
                                          <w:marRight w:val="0"/>
                                          <w:marTop w:val="0"/>
                                          <w:marBottom w:val="0"/>
                                          <w:divBdr>
                                            <w:top w:val="none" w:sz="0" w:space="0" w:color="auto"/>
                                            <w:left w:val="none" w:sz="0" w:space="0" w:color="auto"/>
                                            <w:bottom w:val="none" w:sz="0" w:space="0" w:color="auto"/>
                                            <w:right w:val="none" w:sz="0" w:space="0" w:color="auto"/>
                                          </w:divBdr>
                                        </w:div>
                                      </w:divsChild>
                                    </w:div>
                                    <w:div w:id="591162075">
                                      <w:marLeft w:val="0"/>
                                      <w:marRight w:val="0"/>
                                      <w:marTop w:val="0"/>
                                      <w:marBottom w:val="0"/>
                                      <w:divBdr>
                                        <w:top w:val="none" w:sz="0" w:space="0" w:color="auto"/>
                                        <w:left w:val="none" w:sz="0" w:space="0" w:color="auto"/>
                                        <w:bottom w:val="none" w:sz="0" w:space="0" w:color="auto"/>
                                        <w:right w:val="none" w:sz="0" w:space="0" w:color="auto"/>
                                      </w:divBdr>
                                      <w:divsChild>
                                        <w:div w:id="878005545">
                                          <w:marLeft w:val="0"/>
                                          <w:marRight w:val="0"/>
                                          <w:marTop w:val="120"/>
                                          <w:marBottom w:val="0"/>
                                          <w:divBdr>
                                            <w:top w:val="none" w:sz="0" w:space="0" w:color="auto"/>
                                            <w:left w:val="none" w:sz="0" w:space="0" w:color="auto"/>
                                            <w:bottom w:val="none" w:sz="0" w:space="0" w:color="auto"/>
                                            <w:right w:val="none" w:sz="0" w:space="0" w:color="auto"/>
                                          </w:divBdr>
                                        </w:div>
                                        <w:div w:id="776676706">
                                          <w:marLeft w:val="0"/>
                                          <w:marRight w:val="0"/>
                                          <w:marTop w:val="0"/>
                                          <w:marBottom w:val="0"/>
                                          <w:divBdr>
                                            <w:top w:val="none" w:sz="0" w:space="0" w:color="auto"/>
                                            <w:left w:val="none" w:sz="0" w:space="0" w:color="auto"/>
                                            <w:bottom w:val="none" w:sz="0" w:space="0" w:color="auto"/>
                                            <w:right w:val="none" w:sz="0" w:space="0" w:color="auto"/>
                                          </w:divBdr>
                                        </w:div>
                                      </w:divsChild>
                                    </w:div>
                                    <w:div w:id="1739281198">
                                      <w:marLeft w:val="0"/>
                                      <w:marRight w:val="0"/>
                                      <w:marTop w:val="0"/>
                                      <w:marBottom w:val="0"/>
                                      <w:divBdr>
                                        <w:top w:val="none" w:sz="0" w:space="0" w:color="auto"/>
                                        <w:left w:val="none" w:sz="0" w:space="0" w:color="auto"/>
                                        <w:bottom w:val="none" w:sz="0" w:space="0" w:color="auto"/>
                                        <w:right w:val="none" w:sz="0" w:space="0" w:color="auto"/>
                                      </w:divBdr>
                                      <w:divsChild>
                                        <w:div w:id="2077320038">
                                          <w:marLeft w:val="0"/>
                                          <w:marRight w:val="0"/>
                                          <w:marTop w:val="120"/>
                                          <w:marBottom w:val="0"/>
                                          <w:divBdr>
                                            <w:top w:val="none" w:sz="0" w:space="0" w:color="auto"/>
                                            <w:left w:val="none" w:sz="0" w:space="0" w:color="auto"/>
                                            <w:bottom w:val="none" w:sz="0" w:space="0" w:color="auto"/>
                                            <w:right w:val="none" w:sz="0" w:space="0" w:color="auto"/>
                                          </w:divBdr>
                                        </w:div>
                                        <w:div w:id="17277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3071">
                              <w:marLeft w:val="0"/>
                              <w:marRight w:val="0"/>
                              <w:marTop w:val="0"/>
                              <w:marBottom w:val="0"/>
                              <w:divBdr>
                                <w:top w:val="none" w:sz="0" w:space="0" w:color="auto"/>
                                <w:left w:val="none" w:sz="0" w:space="0" w:color="auto"/>
                                <w:bottom w:val="none" w:sz="0" w:space="0" w:color="auto"/>
                                <w:right w:val="none" w:sz="0" w:space="0" w:color="auto"/>
                              </w:divBdr>
                              <w:divsChild>
                                <w:div w:id="64716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102854">
                      <w:marLeft w:val="0"/>
                      <w:marRight w:val="0"/>
                      <w:marTop w:val="0"/>
                      <w:marBottom w:val="0"/>
                      <w:divBdr>
                        <w:top w:val="none" w:sz="0" w:space="0" w:color="auto"/>
                        <w:left w:val="none" w:sz="0" w:space="0" w:color="auto"/>
                        <w:bottom w:val="none" w:sz="0" w:space="0" w:color="auto"/>
                        <w:right w:val="none" w:sz="0" w:space="0" w:color="auto"/>
                      </w:divBdr>
                      <w:divsChild>
                        <w:div w:id="88815252">
                          <w:marLeft w:val="0"/>
                          <w:marRight w:val="0"/>
                          <w:marTop w:val="0"/>
                          <w:marBottom w:val="0"/>
                          <w:divBdr>
                            <w:top w:val="none" w:sz="0" w:space="0" w:color="auto"/>
                            <w:left w:val="none" w:sz="0" w:space="0" w:color="auto"/>
                            <w:bottom w:val="none" w:sz="0" w:space="0" w:color="auto"/>
                            <w:right w:val="none" w:sz="0" w:space="0" w:color="auto"/>
                          </w:divBdr>
                          <w:divsChild>
                            <w:div w:id="2145200251">
                              <w:marLeft w:val="0"/>
                              <w:marRight w:val="0"/>
                              <w:marTop w:val="0"/>
                              <w:marBottom w:val="0"/>
                              <w:divBdr>
                                <w:top w:val="none" w:sz="0" w:space="0" w:color="auto"/>
                                <w:left w:val="none" w:sz="0" w:space="0" w:color="auto"/>
                                <w:bottom w:val="none" w:sz="0" w:space="0" w:color="auto"/>
                                <w:right w:val="none" w:sz="0" w:space="0" w:color="auto"/>
                              </w:divBdr>
                              <w:divsChild>
                                <w:div w:id="707219867">
                                  <w:marLeft w:val="0"/>
                                  <w:marRight w:val="0"/>
                                  <w:marTop w:val="0"/>
                                  <w:marBottom w:val="0"/>
                                  <w:divBdr>
                                    <w:top w:val="none" w:sz="0" w:space="0" w:color="auto"/>
                                    <w:left w:val="none" w:sz="0" w:space="0" w:color="auto"/>
                                    <w:bottom w:val="none" w:sz="0" w:space="0" w:color="auto"/>
                                    <w:right w:val="none" w:sz="0" w:space="0" w:color="auto"/>
                                  </w:divBdr>
                                </w:div>
                                <w:div w:id="203491697">
                                  <w:marLeft w:val="0"/>
                                  <w:marRight w:val="0"/>
                                  <w:marTop w:val="0"/>
                                  <w:marBottom w:val="0"/>
                                  <w:divBdr>
                                    <w:top w:val="none" w:sz="0" w:space="0" w:color="auto"/>
                                    <w:left w:val="none" w:sz="0" w:space="0" w:color="auto"/>
                                    <w:bottom w:val="none" w:sz="0" w:space="0" w:color="auto"/>
                                    <w:right w:val="none" w:sz="0" w:space="0" w:color="auto"/>
                                  </w:divBdr>
                                  <w:divsChild>
                                    <w:div w:id="1328174803">
                                      <w:marLeft w:val="0"/>
                                      <w:marRight w:val="0"/>
                                      <w:marTop w:val="0"/>
                                      <w:marBottom w:val="0"/>
                                      <w:divBdr>
                                        <w:top w:val="none" w:sz="0" w:space="0" w:color="auto"/>
                                        <w:left w:val="none" w:sz="0" w:space="0" w:color="auto"/>
                                        <w:bottom w:val="none" w:sz="0" w:space="0" w:color="auto"/>
                                        <w:right w:val="none" w:sz="0" w:space="0" w:color="auto"/>
                                      </w:divBdr>
                                    </w:div>
                                  </w:divsChild>
                                </w:div>
                                <w:div w:id="1503660962">
                                  <w:marLeft w:val="0"/>
                                  <w:marRight w:val="0"/>
                                  <w:marTop w:val="0"/>
                                  <w:marBottom w:val="0"/>
                                  <w:divBdr>
                                    <w:top w:val="none" w:sz="0" w:space="0" w:color="auto"/>
                                    <w:left w:val="none" w:sz="0" w:space="0" w:color="auto"/>
                                    <w:bottom w:val="none" w:sz="0" w:space="0" w:color="auto"/>
                                    <w:right w:val="none" w:sz="0" w:space="0" w:color="auto"/>
                                  </w:divBdr>
                                  <w:divsChild>
                                    <w:div w:id="796529734">
                                      <w:marLeft w:val="0"/>
                                      <w:marRight w:val="0"/>
                                      <w:marTop w:val="0"/>
                                      <w:marBottom w:val="0"/>
                                      <w:divBdr>
                                        <w:top w:val="none" w:sz="0" w:space="0" w:color="auto"/>
                                        <w:left w:val="none" w:sz="0" w:space="0" w:color="auto"/>
                                        <w:bottom w:val="none" w:sz="0" w:space="0" w:color="auto"/>
                                        <w:right w:val="none" w:sz="0" w:space="0" w:color="auto"/>
                                      </w:divBdr>
                                    </w:div>
                                  </w:divsChild>
                                </w:div>
                                <w:div w:id="1263419856">
                                  <w:marLeft w:val="0"/>
                                  <w:marRight w:val="0"/>
                                  <w:marTop w:val="0"/>
                                  <w:marBottom w:val="0"/>
                                  <w:divBdr>
                                    <w:top w:val="none" w:sz="0" w:space="0" w:color="auto"/>
                                    <w:left w:val="none" w:sz="0" w:space="0" w:color="auto"/>
                                    <w:bottom w:val="none" w:sz="0" w:space="0" w:color="auto"/>
                                    <w:right w:val="none" w:sz="0" w:space="0" w:color="auto"/>
                                  </w:divBdr>
                                  <w:divsChild>
                                    <w:div w:id="371659225">
                                      <w:marLeft w:val="0"/>
                                      <w:marRight w:val="0"/>
                                      <w:marTop w:val="0"/>
                                      <w:marBottom w:val="0"/>
                                      <w:divBdr>
                                        <w:top w:val="none" w:sz="0" w:space="0" w:color="auto"/>
                                        <w:left w:val="none" w:sz="0" w:space="0" w:color="auto"/>
                                        <w:bottom w:val="none" w:sz="0" w:space="0" w:color="auto"/>
                                        <w:right w:val="none" w:sz="0" w:space="0" w:color="auto"/>
                                      </w:divBdr>
                                      <w:divsChild>
                                        <w:div w:id="730270650">
                                          <w:marLeft w:val="0"/>
                                          <w:marRight w:val="0"/>
                                          <w:marTop w:val="0"/>
                                          <w:marBottom w:val="0"/>
                                          <w:divBdr>
                                            <w:top w:val="none" w:sz="0" w:space="0" w:color="auto"/>
                                            <w:left w:val="none" w:sz="0" w:space="0" w:color="auto"/>
                                            <w:bottom w:val="none" w:sz="0" w:space="0" w:color="auto"/>
                                            <w:right w:val="none" w:sz="0" w:space="0" w:color="auto"/>
                                          </w:divBdr>
                                          <w:divsChild>
                                            <w:div w:id="1342665947">
                                              <w:marLeft w:val="0"/>
                                              <w:marRight w:val="0"/>
                                              <w:marTop w:val="120"/>
                                              <w:marBottom w:val="0"/>
                                              <w:divBdr>
                                                <w:top w:val="none" w:sz="0" w:space="0" w:color="auto"/>
                                                <w:left w:val="none" w:sz="0" w:space="0" w:color="auto"/>
                                                <w:bottom w:val="none" w:sz="0" w:space="0" w:color="auto"/>
                                                <w:right w:val="none" w:sz="0" w:space="0" w:color="auto"/>
                                              </w:divBdr>
                                            </w:div>
                                            <w:div w:id="701054604">
                                              <w:marLeft w:val="0"/>
                                              <w:marRight w:val="0"/>
                                              <w:marTop w:val="0"/>
                                              <w:marBottom w:val="0"/>
                                              <w:divBdr>
                                                <w:top w:val="none" w:sz="0" w:space="0" w:color="auto"/>
                                                <w:left w:val="none" w:sz="0" w:space="0" w:color="auto"/>
                                                <w:bottom w:val="none" w:sz="0" w:space="0" w:color="auto"/>
                                                <w:right w:val="none" w:sz="0" w:space="0" w:color="auto"/>
                                              </w:divBdr>
                                            </w:div>
                                          </w:divsChild>
                                        </w:div>
                                        <w:div w:id="656571080">
                                          <w:marLeft w:val="0"/>
                                          <w:marRight w:val="0"/>
                                          <w:marTop w:val="0"/>
                                          <w:marBottom w:val="0"/>
                                          <w:divBdr>
                                            <w:top w:val="none" w:sz="0" w:space="0" w:color="auto"/>
                                            <w:left w:val="none" w:sz="0" w:space="0" w:color="auto"/>
                                            <w:bottom w:val="none" w:sz="0" w:space="0" w:color="auto"/>
                                            <w:right w:val="none" w:sz="0" w:space="0" w:color="auto"/>
                                          </w:divBdr>
                                          <w:divsChild>
                                            <w:div w:id="1680236699">
                                              <w:marLeft w:val="0"/>
                                              <w:marRight w:val="0"/>
                                              <w:marTop w:val="120"/>
                                              <w:marBottom w:val="0"/>
                                              <w:divBdr>
                                                <w:top w:val="none" w:sz="0" w:space="0" w:color="auto"/>
                                                <w:left w:val="none" w:sz="0" w:space="0" w:color="auto"/>
                                                <w:bottom w:val="none" w:sz="0" w:space="0" w:color="auto"/>
                                                <w:right w:val="none" w:sz="0" w:space="0" w:color="auto"/>
                                              </w:divBdr>
                                            </w:div>
                                            <w:div w:id="1323704577">
                                              <w:marLeft w:val="0"/>
                                              <w:marRight w:val="0"/>
                                              <w:marTop w:val="0"/>
                                              <w:marBottom w:val="0"/>
                                              <w:divBdr>
                                                <w:top w:val="none" w:sz="0" w:space="0" w:color="auto"/>
                                                <w:left w:val="none" w:sz="0" w:space="0" w:color="auto"/>
                                                <w:bottom w:val="none" w:sz="0" w:space="0" w:color="auto"/>
                                                <w:right w:val="none" w:sz="0" w:space="0" w:color="auto"/>
                                              </w:divBdr>
                                            </w:div>
                                          </w:divsChild>
                                        </w:div>
                                        <w:div w:id="225796561">
                                          <w:marLeft w:val="0"/>
                                          <w:marRight w:val="0"/>
                                          <w:marTop w:val="0"/>
                                          <w:marBottom w:val="0"/>
                                          <w:divBdr>
                                            <w:top w:val="none" w:sz="0" w:space="0" w:color="auto"/>
                                            <w:left w:val="none" w:sz="0" w:space="0" w:color="auto"/>
                                            <w:bottom w:val="none" w:sz="0" w:space="0" w:color="auto"/>
                                            <w:right w:val="none" w:sz="0" w:space="0" w:color="auto"/>
                                          </w:divBdr>
                                          <w:divsChild>
                                            <w:div w:id="133643172">
                                              <w:marLeft w:val="0"/>
                                              <w:marRight w:val="0"/>
                                              <w:marTop w:val="120"/>
                                              <w:marBottom w:val="0"/>
                                              <w:divBdr>
                                                <w:top w:val="none" w:sz="0" w:space="0" w:color="auto"/>
                                                <w:left w:val="none" w:sz="0" w:space="0" w:color="auto"/>
                                                <w:bottom w:val="none" w:sz="0" w:space="0" w:color="auto"/>
                                                <w:right w:val="none" w:sz="0" w:space="0" w:color="auto"/>
                                              </w:divBdr>
                                            </w:div>
                                            <w:div w:id="629283522">
                                              <w:marLeft w:val="0"/>
                                              <w:marRight w:val="0"/>
                                              <w:marTop w:val="0"/>
                                              <w:marBottom w:val="0"/>
                                              <w:divBdr>
                                                <w:top w:val="none" w:sz="0" w:space="0" w:color="auto"/>
                                                <w:left w:val="none" w:sz="0" w:space="0" w:color="auto"/>
                                                <w:bottom w:val="none" w:sz="0" w:space="0" w:color="auto"/>
                                                <w:right w:val="none" w:sz="0" w:space="0" w:color="auto"/>
                                              </w:divBdr>
                                            </w:div>
                                          </w:divsChild>
                                        </w:div>
                                        <w:div w:id="1371150732">
                                          <w:marLeft w:val="0"/>
                                          <w:marRight w:val="0"/>
                                          <w:marTop w:val="0"/>
                                          <w:marBottom w:val="0"/>
                                          <w:divBdr>
                                            <w:top w:val="none" w:sz="0" w:space="0" w:color="auto"/>
                                            <w:left w:val="none" w:sz="0" w:space="0" w:color="auto"/>
                                            <w:bottom w:val="none" w:sz="0" w:space="0" w:color="auto"/>
                                            <w:right w:val="none" w:sz="0" w:space="0" w:color="auto"/>
                                          </w:divBdr>
                                          <w:divsChild>
                                            <w:div w:id="1158158266">
                                              <w:marLeft w:val="0"/>
                                              <w:marRight w:val="0"/>
                                              <w:marTop w:val="120"/>
                                              <w:marBottom w:val="0"/>
                                              <w:divBdr>
                                                <w:top w:val="none" w:sz="0" w:space="0" w:color="auto"/>
                                                <w:left w:val="none" w:sz="0" w:space="0" w:color="auto"/>
                                                <w:bottom w:val="none" w:sz="0" w:space="0" w:color="auto"/>
                                                <w:right w:val="none" w:sz="0" w:space="0" w:color="auto"/>
                                              </w:divBdr>
                                            </w:div>
                                            <w:div w:id="107617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62756">
                                  <w:marLeft w:val="0"/>
                                  <w:marRight w:val="0"/>
                                  <w:marTop w:val="0"/>
                                  <w:marBottom w:val="0"/>
                                  <w:divBdr>
                                    <w:top w:val="none" w:sz="0" w:space="0" w:color="auto"/>
                                    <w:left w:val="none" w:sz="0" w:space="0" w:color="auto"/>
                                    <w:bottom w:val="none" w:sz="0" w:space="0" w:color="auto"/>
                                    <w:right w:val="none" w:sz="0" w:space="0" w:color="auto"/>
                                  </w:divBdr>
                                  <w:divsChild>
                                    <w:div w:id="1701006738">
                                      <w:marLeft w:val="0"/>
                                      <w:marRight w:val="0"/>
                                      <w:marTop w:val="0"/>
                                      <w:marBottom w:val="0"/>
                                      <w:divBdr>
                                        <w:top w:val="none" w:sz="0" w:space="0" w:color="auto"/>
                                        <w:left w:val="none" w:sz="0" w:space="0" w:color="auto"/>
                                        <w:bottom w:val="none" w:sz="0" w:space="0" w:color="auto"/>
                                        <w:right w:val="none" w:sz="0" w:space="0" w:color="auto"/>
                                      </w:divBdr>
                                    </w:div>
                                  </w:divsChild>
                                </w:div>
                                <w:div w:id="85462778">
                                  <w:marLeft w:val="0"/>
                                  <w:marRight w:val="0"/>
                                  <w:marTop w:val="0"/>
                                  <w:marBottom w:val="0"/>
                                  <w:divBdr>
                                    <w:top w:val="none" w:sz="0" w:space="0" w:color="auto"/>
                                    <w:left w:val="none" w:sz="0" w:space="0" w:color="auto"/>
                                    <w:bottom w:val="none" w:sz="0" w:space="0" w:color="auto"/>
                                    <w:right w:val="none" w:sz="0" w:space="0" w:color="auto"/>
                                  </w:divBdr>
                                  <w:divsChild>
                                    <w:div w:id="510069817">
                                      <w:marLeft w:val="0"/>
                                      <w:marRight w:val="0"/>
                                      <w:marTop w:val="0"/>
                                      <w:marBottom w:val="0"/>
                                      <w:divBdr>
                                        <w:top w:val="none" w:sz="0" w:space="0" w:color="auto"/>
                                        <w:left w:val="none" w:sz="0" w:space="0" w:color="auto"/>
                                        <w:bottom w:val="none" w:sz="0" w:space="0" w:color="auto"/>
                                        <w:right w:val="none" w:sz="0" w:space="0" w:color="auto"/>
                                      </w:divBdr>
                                    </w:div>
                                  </w:divsChild>
                                </w:div>
                                <w:div w:id="1757358574">
                                  <w:marLeft w:val="0"/>
                                  <w:marRight w:val="0"/>
                                  <w:marTop w:val="0"/>
                                  <w:marBottom w:val="0"/>
                                  <w:divBdr>
                                    <w:top w:val="none" w:sz="0" w:space="0" w:color="auto"/>
                                    <w:left w:val="none" w:sz="0" w:space="0" w:color="auto"/>
                                    <w:bottom w:val="none" w:sz="0" w:space="0" w:color="auto"/>
                                    <w:right w:val="none" w:sz="0" w:space="0" w:color="auto"/>
                                  </w:divBdr>
                                  <w:divsChild>
                                    <w:div w:id="526451425">
                                      <w:marLeft w:val="0"/>
                                      <w:marRight w:val="0"/>
                                      <w:marTop w:val="0"/>
                                      <w:marBottom w:val="0"/>
                                      <w:divBdr>
                                        <w:top w:val="none" w:sz="0" w:space="0" w:color="auto"/>
                                        <w:left w:val="none" w:sz="0" w:space="0" w:color="auto"/>
                                        <w:bottom w:val="none" w:sz="0" w:space="0" w:color="auto"/>
                                        <w:right w:val="none" w:sz="0" w:space="0" w:color="auto"/>
                                      </w:divBdr>
                                    </w:div>
                                  </w:divsChild>
                                </w:div>
                                <w:div w:id="1197616292">
                                  <w:marLeft w:val="0"/>
                                  <w:marRight w:val="0"/>
                                  <w:marTop w:val="0"/>
                                  <w:marBottom w:val="0"/>
                                  <w:divBdr>
                                    <w:top w:val="none" w:sz="0" w:space="0" w:color="auto"/>
                                    <w:left w:val="none" w:sz="0" w:space="0" w:color="auto"/>
                                    <w:bottom w:val="none" w:sz="0" w:space="0" w:color="auto"/>
                                    <w:right w:val="none" w:sz="0" w:space="0" w:color="auto"/>
                                  </w:divBdr>
                                  <w:divsChild>
                                    <w:div w:id="1505321285">
                                      <w:marLeft w:val="0"/>
                                      <w:marRight w:val="0"/>
                                      <w:marTop w:val="0"/>
                                      <w:marBottom w:val="0"/>
                                      <w:divBdr>
                                        <w:top w:val="none" w:sz="0" w:space="0" w:color="auto"/>
                                        <w:left w:val="none" w:sz="0" w:space="0" w:color="auto"/>
                                        <w:bottom w:val="none" w:sz="0" w:space="0" w:color="auto"/>
                                        <w:right w:val="none" w:sz="0" w:space="0" w:color="auto"/>
                                      </w:divBdr>
                                      <w:divsChild>
                                        <w:div w:id="1652100457">
                                          <w:marLeft w:val="0"/>
                                          <w:marRight w:val="0"/>
                                          <w:marTop w:val="0"/>
                                          <w:marBottom w:val="0"/>
                                          <w:divBdr>
                                            <w:top w:val="none" w:sz="0" w:space="0" w:color="auto"/>
                                            <w:left w:val="none" w:sz="0" w:space="0" w:color="auto"/>
                                            <w:bottom w:val="none" w:sz="0" w:space="0" w:color="auto"/>
                                            <w:right w:val="none" w:sz="0" w:space="0" w:color="auto"/>
                                          </w:divBdr>
                                          <w:divsChild>
                                            <w:div w:id="532960556">
                                              <w:marLeft w:val="0"/>
                                              <w:marRight w:val="0"/>
                                              <w:marTop w:val="120"/>
                                              <w:marBottom w:val="0"/>
                                              <w:divBdr>
                                                <w:top w:val="none" w:sz="0" w:space="0" w:color="auto"/>
                                                <w:left w:val="none" w:sz="0" w:space="0" w:color="auto"/>
                                                <w:bottom w:val="none" w:sz="0" w:space="0" w:color="auto"/>
                                                <w:right w:val="none" w:sz="0" w:space="0" w:color="auto"/>
                                              </w:divBdr>
                                            </w:div>
                                            <w:div w:id="496924990">
                                              <w:marLeft w:val="0"/>
                                              <w:marRight w:val="0"/>
                                              <w:marTop w:val="0"/>
                                              <w:marBottom w:val="0"/>
                                              <w:divBdr>
                                                <w:top w:val="none" w:sz="0" w:space="0" w:color="auto"/>
                                                <w:left w:val="none" w:sz="0" w:space="0" w:color="auto"/>
                                                <w:bottom w:val="none" w:sz="0" w:space="0" w:color="auto"/>
                                                <w:right w:val="none" w:sz="0" w:space="0" w:color="auto"/>
                                              </w:divBdr>
                                            </w:div>
                                          </w:divsChild>
                                        </w:div>
                                        <w:div w:id="171772261">
                                          <w:marLeft w:val="0"/>
                                          <w:marRight w:val="0"/>
                                          <w:marTop w:val="0"/>
                                          <w:marBottom w:val="0"/>
                                          <w:divBdr>
                                            <w:top w:val="none" w:sz="0" w:space="0" w:color="auto"/>
                                            <w:left w:val="none" w:sz="0" w:space="0" w:color="auto"/>
                                            <w:bottom w:val="none" w:sz="0" w:space="0" w:color="auto"/>
                                            <w:right w:val="none" w:sz="0" w:space="0" w:color="auto"/>
                                          </w:divBdr>
                                          <w:divsChild>
                                            <w:div w:id="1906259796">
                                              <w:marLeft w:val="0"/>
                                              <w:marRight w:val="0"/>
                                              <w:marTop w:val="120"/>
                                              <w:marBottom w:val="0"/>
                                              <w:divBdr>
                                                <w:top w:val="none" w:sz="0" w:space="0" w:color="auto"/>
                                                <w:left w:val="none" w:sz="0" w:space="0" w:color="auto"/>
                                                <w:bottom w:val="none" w:sz="0" w:space="0" w:color="auto"/>
                                                <w:right w:val="none" w:sz="0" w:space="0" w:color="auto"/>
                                              </w:divBdr>
                                            </w:div>
                                            <w:div w:id="1021512875">
                                              <w:marLeft w:val="0"/>
                                              <w:marRight w:val="0"/>
                                              <w:marTop w:val="0"/>
                                              <w:marBottom w:val="0"/>
                                              <w:divBdr>
                                                <w:top w:val="none" w:sz="0" w:space="0" w:color="auto"/>
                                                <w:left w:val="none" w:sz="0" w:space="0" w:color="auto"/>
                                                <w:bottom w:val="none" w:sz="0" w:space="0" w:color="auto"/>
                                                <w:right w:val="none" w:sz="0" w:space="0" w:color="auto"/>
                                              </w:divBdr>
                                            </w:div>
                                          </w:divsChild>
                                        </w:div>
                                        <w:div w:id="1298028282">
                                          <w:marLeft w:val="0"/>
                                          <w:marRight w:val="0"/>
                                          <w:marTop w:val="0"/>
                                          <w:marBottom w:val="0"/>
                                          <w:divBdr>
                                            <w:top w:val="none" w:sz="0" w:space="0" w:color="auto"/>
                                            <w:left w:val="none" w:sz="0" w:space="0" w:color="auto"/>
                                            <w:bottom w:val="none" w:sz="0" w:space="0" w:color="auto"/>
                                            <w:right w:val="none" w:sz="0" w:space="0" w:color="auto"/>
                                          </w:divBdr>
                                          <w:divsChild>
                                            <w:div w:id="1598515444">
                                              <w:marLeft w:val="0"/>
                                              <w:marRight w:val="0"/>
                                              <w:marTop w:val="120"/>
                                              <w:marBottom w:val="0"/>
                                              <w:divBdr>
                                                <w:top w:val="none" w:sz="0" w:space="0" w:color="auto"/>
                                                <w:left w:val="none" w:sz="0" w:space="0" w:color="auto"/>
                                                <w:bottom w:val="none" w:sz="0" w:space="0" w:color="auto"/>
                                                <w:right w:val="none" w:sz="0" w:space="0" w:color="auto"/>
                                              </w:divBdr>
                                            </w:div>
                                            <w:div w:id="604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562568">
                                  <w:marLeft w:val="0"/>
                                  <w:marRight w:val="0"/>
                                  <w:marTop w:val="0"/>
                                  <w:marBottom w:val="0"/>
                                  <w:divBdr>
                                    <w:top w:val="none" w:sz="0" w:space="0" w:color="auto"/>
                                    <w:left w:val="none" w:sz="0" w:space="0" w:color="auto"/>
                                    <w:bottom w:val="none" w:sz="0" w:space="0" w:color="auto"/>
                                    <w:right w:val="none" w:sz="0" w:space="0" w:color="auto"/>
                                  </w:divBdr>
                                  <w:divsChild>
                                    <w:div w:id="680206775">
                                      <w:marLeft w:val="0"/>
                                      <w:marRight w:val="0"/>
                                      <w:marTop w:val="0"/>
                                      <w:marBottom w:val="0"/>
                                      <w:divBdr>
                                        <w:top w:val="none" w:sz="0" w:space="0" w:color="auto"/>
                                        <w:left w:val="none" w:sz="0" w:space="0" w:color="auto"/>
                                        <w:bottom w:val="none" w:sz="0" w:space="0" w:color="auto"/>
                                        <w:right w:val="none" w:sz="0" w:space="0" w:color="auto"/>
                                      </w:divBdr>
                                    </w:div>
                                  </w:divsChild>
                                </w:div>
                                <w:div w:id="442653300">
                                  <w:marLeft w:val="0"/>
                                  <w:marRight w:val="0"/>
                                  <w:marTop w:val="0"/>
                                  <w:marBottom w:val="0"/>
                                  <w:divBdr>
                                    <w:top w:val="none" w:sz="0" w:space="0" w:color="auto"/>
                                    <w:left w:val="none" w:sz="0" w:space="0" w:color="auto"/>
                                    <w:bottom w:val="none" w:sz="0" w:space="0" w:color="auto"/>
                                    <w:right w:val="none" w:sz="0" w:space="0" w:color="auto"/>
                                  </w:divBdr>
                                  <w:divsChild>
                                    <w:div w:id="860512350">
                                      <w:marLeft w:val="0"/>
                                      <w:marRight w:val="0"/>
                                      <w:marTop w:val="0"/>
                                      <w:marBottom w:val="0"/>
                                      <w:divBdr>
                                        <w:top w:val="none" w:sz="0" w:space="0" w:color="auto"/>
                                        <w:left w:val="none" w:sz="0" w:space="0" w:color="auto"/>
                                        <w:bottom w:val="none" w:sz="0" w:space="0" w:color="auto"/>
                                        <w:right w:val="none" w:sz="0" w:space="0" w:color="auto"/>
                                      </w:divBdr>
                                      <w:divsChild>
                                        <w:div w:id="1480685517">
                                          <w:marLeft w:val="0"/>
                                          <w:marRight w:val="0"/>
                                          <w:marTop w:val="0"/>
                                          <w:marBottom w:val="0"/>
                                          <w:divBdr>
                                            <w:top w:val="none" w:sz="0" w:space="0" w:color="auto"/>
                                            <w:left w:val="none" w:sz="0" w:space="0" w:color="auto"/>
                                            <w:bottom w:val="none" w:sz="0" w:space="0" w:color="auto"/>
                                            <w:right w:val="none" w:sz="0" w:space="0" w:color="auto"/>
                                          </w:divBdr>
                                          <w:divsChild>
                                            <w:div w:id="1291789614">
                                              <w:marLeft w:val="0"/>
                                              <w:marRight w:val="0"/>
                                              <w:marTop w:val="120"/>
                                              <w:marBottom w:val="0"/>
                                              <w:divBdr>
                                                <w:top w:val="none" w:sz="0" w:space="0" w:color="auto"/>
                                                <w:left w:val="none" w:sz="0" w:space="0" w:color="auto"/>
                                                <w:bottom w:val="none" w:sz="0" w:space="0" w:color="auto"/>
                                                <w:right w:val="none" w:sz="0" w:space="0" w:color="auto"/>
                                              </w:divBdr>
                                            </w:div>
                                            <w:div w:id="2066951684">
                                              <w:marLeft w:val="0"/>
                                              <w:marRight w:val="0"/>
                                              <w:marTop w:val="0"/>
                                              <w:marBottom w:val="0"/>
                                              <w:divBdr>
                                                <w:top w:val="none" w:sz="0" w:space="0" w:color="auto"/>
                                                <w:left w:val="none" w:sz="0" w:space="0" w:color="auto"/>
                                                <w:bottom w:val="none" w:sz="0" w:space="0" w:color="auto"/>
                                                <w:right w:val="none" w:sz="0" w:space="0" w:color="auto"/>
                                              </w:divBdr>
                                            </w:div>
                                          </w:divsChild>
                                        </w:div>
                                        <w:div w:id="667101555">
                                          <w:marLeft w:val="0"/>
                                          <w:marRight w:val="0"/>
                                          <w:marTop w:val="0"/>
                                          <w:marBottom w:val="0"/>
                                          <w:divBdr>
                                            <w:top w:val="none" w:sz="0" w:space="0" w:color="auto"/>
                                            <w:left w:val="none" w:sz="0" w:space="0" w:color="auto"/>
                                            <w:bottom w:val="none" w:sz="0" w:space="0" w:color="auto"/>
                                            <w:right w:val="none" w:sz="0" w:space="0" w:color="auto"/>
                                          </w:divBdr>
                                          <w:divsChild>
                                            <w:div w:id="212891282">
                                              <w:marLeft w:val="0"/>
                                              <w:marRight w:val="0"/>
                                              <w:marTop w:val="120"/>
                                              <w:marBottom w:val="0"/>
                                              <w:divBdr>
                                                <w:top w:val="none" w:sz="0" w:space="0" w:color="auto"/>
                                                <w:left w:val="none" w:sz="0" w:space="0" w:color="auto"/>
                                                <w:bottom w:val="none" w:sz="0" w:space="0" w:color="auto"/>
                                                <w:right w:val="none" w:sz="0" w:space="0" w:color="auto"/>
                                              </w:divBdr>
                                            </w:div>
                                            <w:div w:id="17752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268752">
                                  <w:marLeft w:val="0"/>
                                  <w:marRight w:val="0"/>
                                  <w:marTop w:val="0"/>
                                  <w:marBottom w:val="0"/>
                                  <w:divBdr>
                                    <w:top w:val="none" w:sz="0" w:space="0" w:color="auto"/>
                                    <w:left w:val="none" w:sz="0" w:space="0" w:color="auto"/>
                                    <w:bottom w:val="none" w:sz="0" w:space="0" w:color="auto"/>
                                    <w:right w:val="none" w:sz="0" w:space="0" w:color="auto"/>
                                  </w:divBdr>
                                  <w:divsChild>
                                    <w:div w:id="823085841">
                                      <w:marLeft w:val="0"/>
                                      <w:marRight w:val="0"/>
                                      <w:marTop w:val="0"/>
                                      <w:marBottom w:val="0"/>
                                      <w:divBdr>
                                        <w:top w:val="none" w:sz="0" w:space="0" w:color="auto"/>
                                        <w:left w:val="none" w:sz="0" w:space="0" w:color="auto"/>
                                        <w:bottom w:val="none" w:sz="0" w:space="0" w:color="auto"/>
                                        <w:right w:val="none" w:sz="0" w:space="0" w:color="auto"/>
                                      </w:divBdr>
                                      <w:divsChild>
                                        <w:div w:id="1438409198">
                                          <w:marLeft w:val="0"/>
                                          <w:marRight w:val="0"/>
                                          <w:marTop w:val="0"/>
                                          <w:marBottom w:val="0"/>
                                          <w:divBdr>
                                            <w:top w:val="none" w:sz="0" w:space="0" w:color="auto"/>
                                            <w:left w:val="none" w:sz="0" w:space="0" w:color="auto"/>
                                            <w:bottom w:val="none" w:sz="0" w:space="0" w:color="auto"/>
                                            <w:right w:val="none" w:sz="0" w:space="0" w:color="auto"/>
                                          </w:divBdr>
                                          <w:divsChild>
                                            <w:div w:id="1166287764">
                                              <w:marLeft w:val="0"/>
                                              <w:marRight w:val="0"/>
                                              <w:marTop w:val="120"/>
                                              <w:marBottom w:val="0"/>
                                              <w:divBdr>
                                                <w:top w:val="none" w:sz="0" w:space="0" w:color="auto"/>
                                                <w:left w:val="none" w:sz="0" w:space="0" w:color="auto"/>
                                                <w:bottom w:val="none" w:sz="0" w:space="0" w:color="auto"/>
                                                <w:right w:val="none" w:sz="0" w:space="0" w:color="auto"/>
                                              </w:divBdr>
                                            </w:div>
                                            <w:div w:id="1683774709">
                                              <w:marLeft w:val="0"/>
                                              <w:marRight w:val="0"/>
                                              <w:marTop w:val="0"/>
                                              <w:marBottom w:val="0"/>
                                              <w:divBdr>
                                                <w:top w:val="none" w:sz="0" w:space="0" w:color="auto"/>
                                                <w:left w:val="none" w:sz="0" w:space="0" w:color="auto"/>
                                                <w:bottom w:val="none" w:sz="0" w:space="0" w:color="auto"/>
                                                <w:right w:val="none" w:sz="0" w:space="0" w:color="auto"/>
                                              </w:divBdr>
                                            </w:div>
                                          </w:divsChild>
                                        </w:div>
                                        <w:div w:id="1547643791">
                                          <w:marLeft w:val="0"/>
                                          <w:marRight w:val="0"/>
                                          <w:marTop w:val="0"/>
                                          <w:marBottom w:val="0"/>
                                          <w:divBdr>
                                            <w:top w:val="none" w:sz="0" w:space="0" w:color="auto"/>
                                            <w:left w:val="none" w:sz="0" w:space="0" w:color="auto"/>
                                            <w:bottom w:val="none" w:sz="0" w:space="0" w:color="auto"/>
                                            <w:right w:val="none" w:sz="0" w:space="0" w:color="auto"/>
                                          </w:divBdr>
                                          <w:divsChild>
                                            <w:div w:id="308288305">
                                              <w:marLeft w:val="0"/>
                                              <w:marRight w:val="0"/>
                                              <w:marTop w:val="120"/>
                                              <w:marBottom w:val="0"/>
                                              <w:divBdr>
                                                <w:top w:val="none" w:sz="0" w:space="0" w:color="auto"/>
                                                <w:left w:val="none" w:sz="0" w:space="0" w:color="auto"/>
                                                <w:bottom w:val="none" w:sz="0" w:space="0" w:color="auto"/>
                                                <w:right w:val="none" w:sz="0" w:space="0" w:color="auto"/>
                                              </w:divBdr>
                                            </w:div>
                                            <w:div w:id="85002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011760">
                          <w:marLeft w:val="0"/>
                          <w:marRight w:val="0"/>
                          <w:marTop w:val="0"/>
                          <w:marBottom w:val="0"/>
                          <w:divBdr>
                            <w:top w:val="none" w:sz="0" w:space="0" w:color="auto"/>
                            <w:left w:val="none" w:sz="0" w:space="0" w:color="auto"/>
                            <w:bottom w:val="none" w:sz="0" w:space="0" w:color="auto"/>
                            <w:right w:val="none" w:sz="0" w:space="0" w:color="auto"/>
                          </w:divBdr>
                          <w:divsChild>
                            <w:div w:id="1060785533">
                              <w:marLeft w:val="0"/>
                              <w:marRight w:val="0"/>
                              <w:marTop w:val="0"/>
                              <w:marBottom w:val="0"/>
                              <w:divBdr>
                                <w:top w:val="none" w:sz="0" w:space="0" w:color="auto"/>
                                <w:left w:val="none" w:sz="0" w:space="0" w:color="auto"/>
                                <w:bottom w:val="none" w:sz="0" w:space="0" w:color="auto"/>
                                <w:right w:val="none" w:sz="0" w:space="0" w:color="auto"/>
                              </w:divBdr>
                              <w:divsChild>
                                <w:div w:id="1602882732">
                                  <w:marLeft w:val="0"/>
                                  <w:marRight w:val="0"/>
                                  <w:marTop w:val="0"/>
                                  <w:marBottom w:val="0"/>
                                  <w:divBdr>
                                    <w:top w:val="none" w:sz="0" w:space="0" w:color="auto"/>
                                    <w:left w:val="none" w:sz="0" w:space="0" w:color="auto"/>
                                    <w:bottom w:val="none" w:sz="0" w:space="0" w:color="auto"/>
                                    <w:right w:val="none" w:sz="0" w:space="0" w:color="auto"/>
                                  </w:divBdr>
                                </w:div>
                                <w:div w:id="387071239">
                                  <w:marLeft w:val="0"/>
                                  <w:marRight w:val="0"/>
                                  <w:marTop w:val="0"/>
                                  <w:marBottom w:val="0"/>
                                  <w:divBdr>
                                    <w:top w:val="none" w:sz="0" w:space="0" w:color="auto"/>
                                    <w:left w:val="none" w:sz="0" w:space="0" w:color="auto"/>
                                    <w:bottom w:val="none" w:sz="0" w:space="0" w:color="auto"/>
                                    <w:right w:val="none" w:sz="0" w:space="0" w:color="auto"/>
                                  </w:divBdr>
                                  <w:divsChild>
                                    <w:div w:id="1065958161">
                                      <w:marLeft w:val="0"/>
                                      <w:marRight w:val="0"/>
                                      <w:marTop w:val="0"/>
                                      <w:marBottom w:val="0"/>
                                      <w:divBdr>
                                        <w:top w:val="none" w:sz="0" w:space="0" w:color="auto"/>
                                        <w:left w:val="none" w:sz="0" w:space="0" w:color="auto"/>
                                        <w:bottom w:val="none" w:sz="0" w:space="0" w:color="auto"/>
                                        <w:right w:val="none" w:sz="0" w:space="0" w:color="auto"/>
                                      </w:divBdr>
                                      <w:divsChild>
                                        <w:div w:id="1113861706">
                                          <w:marLeft w:val="0"/>
                                          <w:marRight w:val="0"/>
                                          <w:marTop w:val="0"/>
                                          <w:marBottom w:val="0"/>
                                          <w:divBdr>
                                            <w:top w:val="none" w:sz="0" w:space="0" w:color="auto"/>
                                            <w:left w:val="none" w:sz="0" w:space="0" w:color="auto"/>
                                            <w:bottom w:val="none" w:sz="0" w:space="0" w:color="auto"/>
                                            <w:right w:val="none" w:sz="0" w:space="0" w:color="auto"/>
                                          </w:divBdr>
                                          <w:divsChild>
                                            <w:div w:id="704675829">
                                              <w:marLeft w:val="0"/>
                                              <w:marRight w:val="0"/>
                                              <w:marTop w:val="120"/>
                                              <w:marBottom w:val="0"/>
                                              <w:divBdr>
                                                <w:top w:val="none" w:sz="0" w:space="0" w:color="auto"/>
                                                <w:left w:val="none" w:sz="0" w:space="0" w:color="auto"/>
                                                <w:bottom w:val="none" w:sz="0" w:space="0" w:color="auto"/>
                                                <w:right w:val="none" w:sz="0" w:space="0" w:color="auto"/>
                                              </w:divBdr>
                                            </w:div>
                                            <w:div w:id="295795228">
                                              <w:marLeft w:val="0"/>
                                              <w:marRight w:val="0"/>
                                              <w:marTop w:val="0"/>
                                              <w:marBottom w:val="0"/>
                                              <w:divBdr>
                                                <w:top w:val="none" w:sz="0" w:space="0" w:color="auto"/>
                                                <w:left w:val="none" w:sz="0" w:space="0" w:color="auto"/>
                                                <w:bottom w:val="none" w:sz="0" w:space="0" w:color="auto"/>
                                                <w:right w:val="none" w:sz="0" w:space="0" w:color="auto"/>
                                              </w:divBdr>
                                            </w:div>
                                          </w:divsChild>
                                        </w:div>
                                        <w:div w:id="362480875">
                                          <w:marLeft w:val="0"/>
                                          <w:marRight w:val="0"/>
                                          <w:marTop w:val="0"/>
                                          <w:marBottom w:val="0"/>
                                          <w:divBdr>
                                            <w:top w:val="none" w:sz="0" w:space="0" w:color="auto"/>
                                            <w:left w:val="none" w:sz="0" w:space="0" w:color="auto"/>
                                            <w:bottom w:val="none" w:sz="0" w:space="0" w:color="auto"/>
                                            <w:right w:val="none" w:sz="0" w:space="0" w:color="auto"/>
                                          </w:divBdr>
                                          <w:divsChild>
                                            <w:div w:id="1776709267">
                                              <w:marLeft w:val="0"/>
                                              <w:marRight w:val="0"/>
                                              <w:marTop w:val="120"/>
                                              <w:marBottom w:val="0"/>
                                              <w:divBdr>
                                                <w:top w:val="none" w:sz="0" w:space="0" w:color="auto"/>
                                                <w:left w:val="none" w:sz="0" w:space="0" w:color="auto"/>
                                                <w:bottom w:val="none" w:sz="0" w:space="0" w:color="auto"/>
                                                <w:right w:val="none" w:sz="0" w:space="0" w:color="auto"/>
                                              </w:divBdr>
                                            </w:div>
                                            <w:div w:id="78932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8324">
                                  <w:marLeft w:val="0"/>
                                  <w:marRight w:val="0"/>
                                  <w:marTop w:val="0"/>
                                  <w:marBottom w:val="0"/>
                                  <w:divBdr>
                                    <w:top w:val="none" w:sz="0" w:space="0" w:color="auto"/>
                                    <w:left w:val="none" w:sz="0" w:space="0" w:color="auto"/>
                                    <w:bottom w:val="none" w:sz="0" w:space="0" w:color="auto"/>
                                    <w:right w:val="none" w:sz="0" w:space="0" w:color="auto"/>
                                  </w:divBdr>
                                  <w:divsChild>
                                    <w:div w:id="1032533942">
                                      <w:marLeft w:val="0"/>
                                      <w:marRight w:val="0"/>
                                      <w:marTop w:val="0"/>
                                      <w:marBottom w:val="0"/>
                                      <w:divBdr>
                                        <w:top w:val="none" w:sz="0" w:space="0" w:color="auto"/>
                                        <w:left w:val="none" w:sz="0" w:space="0" w:color="auto"/>
                                        <w:bottom w:val="none" w:sz="0" w:space="0" w:color="auto"/>
                                        <w:right w:val="none" w:sz="0" w:space="0" w:color="auto"/>
                                      </w:divBdr>
                                    </w:div>
                                  </w:divsChild>
                                </w:div>
                                <w:div w:id="1804228959">
                                  <w:marLeft w:val="0"/>
                                  <w:marRight w:val="0"/>
                                  <w:marTop w:val="0"/>
                                  <w:marBottom w:val="0"/>
                                  <w:divBdr>
                                    <w:top w:val="none" w:sz="0" w:space="0" w:color="auto"/>
                                    <w:left w:val="none" w:sz="0" w:space="0" w:color="auto"/>
                                    <w:bottom w:val="none" w:sz="0" w:space="0" w:color="auto"/>
                                    <w:right w:val="none" w:sz="0" w:space="0" w:color="auto"/>
                                  </w:divBdr>
                                  <w:divsChild>
                                    <w:div w:id="2045255074">
                                      <w:marLeft w:val="0"/>
                                      <w:marRight w:val="0"/>
                                      <w:marTop w:val="0"/>
                                      <w:marBottom w:val="0"/>
                                      <w:divBdr>
                                        <w:top w:val="none" w:sz="0" w:space="0" w:color="auto"/>
                                        <w:left w:val="none" w:sz="0" w:space="0" w:color="auto"/>
                                        <w:bottom w:val="none" w:sz="0" w:space="0" w:color="auto"/>
                                        <w:right w:val="none" w:sz="0" w:space="0" w:color="auto"/>
                                      </w:divBdr>
                                    </w:div>
                                  </w:divsChild>
                                </w:div>
                                <w:div w:id="1362979160">
                                  <w:marLeft w:val="0"/>
                                  <w:marRight w:val="0"/>
                                  <w:marTop w:val="0"/>
                                  <w:marBottom w:val="0"/>
                                  <w:divBdr>
                                    <w:top w:val="none" w:sz="0" w:space="0" w:color="auto"/>
                                    <w:left w:val="none" w:sz="0" w:space="0" w:color="auto"/>
                                    <w:bottom w:val="none" w:sz="0" w:space="0" w:color="auto"/>
                                    <w:right w:val="none" w:sz="0" w:space="0" w:color="auto"/>
                                  </w:divBdr>
                                  <w:divsChild>
                                    <w:div w:id="239220198">
                                      <w:marLeft w:val="0"/>
                                      <w:marRight w:val="0"/>
                                      <w:marTop w:val="0"/>
                                      <w:marBottom w:val="0"/>
                                      <w:divBdr>
                                        <w:top w:val="none" w:sz="0" w:space="0" w:color="auto"/>
                                        <w:left w:val="none" w:sz="0" w:space="0" w:color="auto"/>
                                        <w:bottom w:val="none" w:sz="0" w:space="0" w:color="auto"/>
                                        <w:right w:val="none" w:sz="0" w:space="0" w:color="auto"/>
                                      </w:divBdr>
                                      <w:divsChild>
                                        <w:div w:id="148329340">
                                          <w:marLeft w:val="0"/>
                                          <w:marRight w:val="0"/>
                                          <w:marTop w:val="0"/>
                                          <w:marBottom w:val="0"/>
                                          <w:divBdr>
                                            <w:top w:val="none" w:sz="0" w:space="0" w:color="auto"/>
                                            <w:left w:val="none" w:sz="0" w:space="0" w:color="auto"/>
                                            <w:bottom w:val="none" w:sz="0" w:space="0" w:color="auto"/>
                                            <w:right w:val="none" w:sz="0" w:space="0" w:color="auto"/>
                                          </w:divBdr>
                                          <w:divsChild>
                                            <w:div w:id="1109664209">
                                              <w:marLeft w:val="0"/>
                                              <w:marRight w:val="0"/>
                                              <w:marTop w:val="120"/>
                                              <w:marBottom w:val="0"/>
                                              <w:divBdr>
                                                <w:top w:val="none" w:sz="0" w:space="0" w:color="auto"/>
                                                <w:left w:val="none" w:sz="0" w:space="0" w:color="auto"/>
                                                <w:bottom w:val="none" w:sz="0" w:space="0" w:color="auto"/>
                                                <w:right w:val="none" w:sz="0" w:space="0" w:color="auto"/>
                                              </w:divBdr>
                                            </w:div>
                                            <w:div w:id="1410615531">
                                              <w:marLeft w:val="0"/>
                                              <w:marRight w:val="0"/>
                                              <w:marTop w:val="0"/>
                                              <w:marBottom w:val="0"/>
                                              <w:divBdr>
                                                <w:top w:val="none" w:sz="0" w:space="0" w:color="auto"/>
                                                <w:left w:val="none" w:sz="0" w:space="0" w:color="auto"/>
                                                <w:bottom w:val="none" w:sz="0" w:space="0" w:color="auto"/>
                                                <w:right w:val="none" w:sz="0" w:space="0" w:color="auto"/>
                                              </w:divBdr>
                                            </w:div>
                                          </w:divsChild>
                                        </w:div>
                                        <w:div w:id="247614570">
                                          <w:marLeft w:val="0"/>
                                          <w:marRight w:val="0"/>
                                          <w:marTop w:val="0"/>
                                          <w:marBottom w:val="0"/>
                                          <w:divBdr>
                                            <w:top w:val="none" w:sz="0" w:space="0" w:color="auto"/>
                                            <w:left w:val="none" w:sz="0" w:space="0" w:color="auto"/>
                                            <w:bottom w:val="none" w:sz="0" w:space="0" w:color="auto"/>
                                            <w:right w:val="none" w:sz="0" w:space="0" w:color="auto"/>
                                          </w:divBdr>
                                          <w:divsChild>
                                            <w:div w:id="1699045515">
                                              <w:marLeft w:val="0"/>
                                              <w:marRight w:val="0"/>
                                              <w:marTop w:val="120"/>
                                              <w:marBottom w:val="0"/>
                                              <w:divBdr>
                                                <w:top w:val="none" w:sz="0" w:space="0" w:color="auto"/>
                                                <w:left w:val="none" w:sz="0" w:space="0" w:color="auto"/>
                                                <w:bottom w:val="none" w:sz="0" w:space="0" w:color="auto"/>
                                                <w:right w:val="none" w:sz="0" w:space="0" w:color="auto"/>
                                              </w:divBdr>
                                            </w:div>
                                            <w:div w:id="145570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958544">
                                  <w:marLeft w:val="0"/>
                                  <w:marRight w:val="0"/>
                                  <w:marTop w:val="0"/>
                                  <w:marBottom w:val="0"/>
                                  <w:divBdr>
                                    <w:top w:val="none" w:sz="0" w:space="0" w:color="auto"/>
                                    <w:left w:val="none" w:sz="0" w:space="0" w:color="auto"/>
                                    <w:bottom w:val="none" w:sz="0" w:space="0" w:color="auto"/>
                                    <w:right w:val="none" w:sz="0" w:space="0" w:color="auto"/>
                                  </w:divBdr>
                                  <w:divsChild>
                                    <w:div w:id="1921524183">
                                      <w:marLeft w:val="0"/>
                                      <w:marRight w:val="0"/>
                                      <w:marTop w:val="0"/>
                                      <w:marBottom w:val="0"/>
                                      <w:divBdr>
                                        <w:top w:val="none" w:sz="0" w:space="0" w:color="auto"/>
                                        <w:left w:val="none" w:sz="0" w:space="0" w:color="auto"/>
                                        <w:bottom w:val="none" w:sz="0" w:space="0" w:color="auto"/>
                                        <w:right w:val="none" w:sz="0" w:space="0" w:color="auto"/>
                                      </w:divBdr>
                                    </w:div>
                                  </w:divsChild>
                                </w:div>
                                <w:div w:id="424959906">
                                  <w:marLeft w:val="0"/>
                                  <w:marRight w:val="0"/>
                                  <w:marTop w:val="0"/>
                                  <w:marBottom w:val="0"/>
                                  <w:divBdr>
                                    <w:top w:val="none" w:sz="0" w:space="0" w:color="auto"/>
                                    <w:left w:val="none" w:sz="0" w:space="0" w:color="auto"/>
                                    <w:bottom w:val="none" w:sz="0" w:space="0" w:color="auto"/>
                                    <w:right w:val="none" w:sz="0" w:space="0" w:color="auto"/>
                                  </w:divBdr>
                                  <w:divsChild>
                                    <w:div w:id="930042730">
                                      <w:marLeft w:val="0"/>
                                      <w:marRight w:val="0"/>
                                      <w:marTop w:val="0"/>
                                      <w:marBottom w:val="0"/>
                                      <w:divBdr>
                                        <w:top w:val="none" w:sz="0" w:space="0" w:color="auto"/>
                                        <w:left w:val="none" w:sz="0" w:space="0" w:color="auto"/>
                                        <w:bottom w:val="none" w:sz="0" w:space="0" w:color="auto"/>
                                        <w:right w:val="none" w:sz="0" w:space="0" w:color="auto"/>
                                      </w:divBdr>
                                    </w:div>
                                  </w:divsChild>
                                </w:div>
                                <w:div w:id="1071272322">
                                  <w:marLeft w:val="0"/>
                                  <w:marRight w:val="0"/>
                                  <w:marTop w:val="0"/>
                                  <w:marBottom w:val="0"/>
                                  <w:divBdr>
                                    <w:top w:val="none" w:sz="0" w:space="0" w:color="auto"/>
                                    <w:left w:val="none" w:sz="0" w:space="0" w:color="auto"/>
                                    <w:bottom w:val="none" w:sz="0" w:space="0" w:color="auto"/>
                                    <w:right w:val="none" w:sz="0" w:space="0" w:color="auto"/>
                                  </w:divBdr>
                                  <w:divsChild>
                                    <w:div w:id="9796081">
                                      <w:marLeft w:val="0"/>
                                      <w:marRight w:val="0"/>
                                      <w:marTop w:val="0"/>
                                      <w:marBottom w:val="0"/>
                                      <w:divBdr>
                                        <w:top w:val="none" w:sz="0" w:space="0" w:color="auto"/>
                                        <w:left w:val="none" w:sz="0" w:space="0" w:color="auto"/>
                                        <w:bottom w:val="none" w:sz="0" w:space="0" w:color="auto"/>
                                        <w:right w:val="none" w:sz="0" w:space="0" w:color="auto"/>
                                      </w:divBdr>
                                    </w:div>
                                  </w:divsChild>
                                </w:div>
                                <w:div w:id="1438329046">
                                  <w:marLeft w:val="0"/>
                                  <w:marRight w:val="0"/>
                                  <w:marTop w:val="0"/>
                                  <w:marBottom w:val="0"/>
                                  <w:divBdr>
                                    <w:top w:val="none" w:sz="0" w:space="0" w:color="auto"/>
                                    <w:left w:val="none" w:sz="0" w:space="0" w:color="auto"/>
                                    <w:bottom w:val="none" w:sz="0" w:space="0" w:color="auto"/>
                                    <w:right w:val="none" w:sz="0" w:space="0" w:color="auto"/>
                                  </w:divBdr>
                                  <w:divsChild>
                                    <w:div w:id="374622552">
                                      <w:marLeft w:val="0"/>
                                      <w:marRight w:val="0"/>
                                      <w:marTop w:val="0"/>
                                      <w:marBottom w:val="0"/>
                                      <w:divBdr>
                                        <w:top w:val="none" w:sz="0" w:space="0" w:color="auto"/>
                                        <w:left w:val="none" w:sz="0" w:space="0" w:color="auto"/>
                                        <w:bottom w:val="none" w:sz="0" w:space="0" w:color="auto"/>
                                        <w:right w:val="none" w:sz="0" w:space="0" w:color="auto"/>
                                      </w:divBdr>
                                    </w:div>
                                  </w:divsChild>
                                </w:div>
                                <w:div w:id="1695568174">
                                  <w:marLeft w:val="0"/>
                                  <w:marRight w:val="0"/>
                                  <w:marTop w:val="0"/>
                                  <w:marBottom w:val="0"/>
                                  <w:divBdr>
                                    <w:top w:val="none" w:sz="0" w:space="0" w:color="auto"/>
                                    <w:left w:val="none" w:sz="0" w:space="0" w:color="auto"/>
                                    <w:bottom w:val="none" w:sz="0" w:space="0" w:color="auto"/>
                                    <w:right w:val="none" w:sz="0" w:space="0" w:color="auto"/>
                                  </w:divBdr>
                                  <w:divsChild>
                                    <w:div w:id="1157571876">
                                      <w:marLeft w:val="0"/>
                                      <w:marRight w:val="0"/>
                                      <w:marTop w:val="0"/>
                                      <w:marBottom w:val="0"/>
                                      <w:divBdr>
                                        <w:top w:val="none" w:sz="0" w:space="0" w:color="auto"/>
                                        <w:left w:val="none" w:sz="0" w:space="0" w:color="auto"/>
                                        <w:bottom w:val="none" w:sz="0" w:space="0" w:color="auto"/>
                                        <w:right w:val="none" w:sz="0" w:space="0" w:color="auto"/>
                                      </w:divBdr>
                                      <w:divsChild>
                                        <w:div w:id="1247153281">
                                          <w:marLeft w:val="0"/>
                                          <w:marRight w:val="0"/>
                                          <w:marTop w:val="0"/>
                                          <w:marBottom w:val="0"/>
                                          <w:divBdr>
                                            <w:top w:val="none" w:sz="0" w:space="0" w:color="auto"/>
                                            <w:left w:val="none" w:sz="0" w:space="0" w:color="auto"/>
                                            <w:bottom w:val="none" w:sz="0" w:space="0" w:color="auto"/>
                                            <w:right w:val="none" w:sz="0" w:space="0" w:color="auto"/>
                                          </w:divBdr>
                                          <w:divsChild>
                                            <w:div w:id="618491181">
                                              <w:marLeft w:val="0"/>
                                              <w:marRight w:val="0"/>
                                              <w:marTop w:val="120"/>
                                              <w:marBottom w:val="0"/>
                                              <w:divBdr>
                                                <w:top w:val="none" w:sz="0" w:space="0" w:color="auto"/>
                                                <w:left w:val="none" w:sz="0" w:space="0" w:color="auto"/>
                                                <w:bottom w:val="none" w:sz="0" w:space="0" w:color="auto"/>
                                                <w:right w:val="none" w:sz="0" w:space="0" w:color="auto"/>
                                              </w:divBdr>
                                            </w:div>
                                            <w:div w:id="199249187">
                                              <w:marLeft w:val="0"/>
                                              <w:marRight w:val="0"/>
                                              <w:marTop w:val="0"/>
                                              <w:marBottom w:val="0"/>
                                              <w:divBdr>
                                                <w:top w:val="none" w:sz="0" w:space="0" w:color="auto"/>
                                                <w:left w:val="none" w:sz="0" w:space="0" w:color="auto"/>
                                                <w:bottom w:val="none" w:sz="0" w:space="0" w:color="auto"/>
                                                <w:right w:val="none" w:sz="0" w:space="0" w:color="auto"/>
                                              </w:divBdr>
                                            </w:div>
                                          </w:divsChild>
                                        </w:div>
                                        <w:div w:id="1284581498">
                                          <w:marLeft w:val="0"/>
                                          <w:marRight w:val="0"/>
                                          <w:marTop w:val="0"/>
                                          <w:marBottom w:val="0"/>
                                          <w:divBdr>
                                            <w:top w:val="none" w:sz="0" w:space="0" w:color="auto"/>
                                            <w:left w:val="none" w:sz="0" w:space="0" w:color="auto"/>
                                            <w:bottom w:val="none" w:sz="0" w:space="0" w:color="auto"/>
                                            <w:right w:val="none" w:sz="0" w:space="0" w:color="auto"/>
                                          </w:divBdr>
                                          <w:divsChild>
                                            <w:div w:id="917520245">
                                              <w:marLeft w:val="0"/>
                                              <w:marRight w:val="0"/>
                                              <w:marTop w:val="120"/>
                                              <w:marBottom w:val="0"/>
                                              <w:divBdr>
                                                <w:top w:val="none" w:sz="0" w:space="0" w:color="auto"/>
                                                <w:left w:val="none" w:sz="0" w:space="0" w:color="auto"/>
                                                <w:bottom w:val="none" w:sz="0" w:space="0" w:color="auto"/>
                                                <w:right w:val="none" w:sz="0" w:space="0" w:color="auto"/>
                                              </w:divBdr>
                                            </w:div>
                                            <w:div w:id="2138791864">
                                              <w:marLeft w:val="0"/>
                                              <w:marRight w:val="0"/>
                                              <w:marTop w:val="0"/>
                                              <w:marBottom w:val="0"/>
                                              <w:divBdr>
                                                <w:top w:val="none" w:sz="0" w:space="0" w:color="auto"/>
                                                <w:left w:val="none" w:sz="0" w:space="0" w:color="auto"/>
                                                <w:bottom w:val="none" w:sz="0" w:space="0" w:color="auto"/>
                                                <w:right w:val="none" w:sz="0" w:space="0" w:color="auto"/>
                                              </w:divBdr>
                                            </w:div>
                                          </w:divsChild>
                                        </w:div>
                                        <w:div w:id="704136379">
                                          <w:marLeft w:val="0"/>
                                          <w:marRight w:val="0"/>
                                          <w:marTop w:val="0"/>
                                          <w:marBottom w:val="0"/>
                                          <w:divBdr>
                                            <w:top w:val="none" w:sz="0" w:space="0" w:color="auto"/>
                                            <w:left w:val="none" w:sz="0" w:space="0" w:color="auto"/>
                                            <w:bottom w:val="none" w:sz="0" w:space="0" w:color="auto"/>
                                            <w:right w:val="none" w:sz="0" w:space="0" w:color="auto"/>
                                          </w:divBdr>
                                          <w:divsChild>
                                            <w:div w:id="1446652983">
                                              <w:marLeft w:val="0"/>
                                              <w:marRight w:val="0"/>
                                              <w:marTop w:val="120"/>
                                              <w:marBottom w:val="0"/>
                                              <w:divBdr>
                                                <w:top w:val="none" w:sz="0" w:space="0" w:color="auto"/>
                                                <w:left w:val="none" w:sz="0" w:space="0" w:color="auto"/>
                                                <w:bottom w:val="none" w:sz="0" w:space="0" w:color="auto"/>
                                                <w:right w:val="none" w:sz="0" w:space="0" w:color="auto"/>
                                              </w:divBdr>
                                            </w:div>
                                            <w:div w:id="1356806666">
                                              <w:marLeft w:val="0"/>
                                              <w:marRight w:val="0"/>
                                              <w:marTop w:val="0"/>
                                              <w:marBottom w:val="0"/>
                                              <w:divBdr>
                                                <w:top w:val="none" w:sz="0" w:space="0" w:color="auto"/>
                                                <w:left w:val="none" w:sz="0" w:space="0" w:color="auto"/>
                                                <w:bottom w:val="none" w:sz="0" w:space="0" w:color="auto"/>
                                                <w:right w:val="none" w:sz="0" w:space="0" w:color="auto"/>
                                              </w:divBdr>
                                            </w:div>
                                          </w:divsChild>
                                        </w:div>
                                        <w:div w:id="651643314">
                                          <w:marLeft w:val="0"/>
                                          <w:marRight w:val="0"/>
                                          <w:marTop w:val="0"/>
                                          <w:marBottom w:val="0"/>
                                          <w:divBdr>
                                            <w:top w:val="none" w:sz="0" w:space="0" w:color="auto"/>
                                            <w:left w:val="none" w:sz="0" w:space="0" w:color="auto"/>
                                            <w:bottom w:val="none" w:sz="0" w:space="0" w:color="auto"/>
                                            <w:right w:val="none" w:sz="0" w:space="0" w:color="auto"/>
                                          </w:divBdr>
                                          <w:divsChild>
                                            <w:div w:id="1736859390">
                                              <w:marLeft w:val="0"/>
                                              <w:marRight w:val="0"/>
                                              <w:marTop w:val="120"/>
                                              <w:marBottom w:val="0"/>
                                              <w:divBdr>
                                                <w:top w:val="none" w:sz="0" w:space="0" w:color="auto"/>
                                                <w:left w:val="none" w:sz="0" w:space="0" w:color="auto"/>
                                                <w:bottom w:val="none" w:sz="0" w:space="0" w:color="auto"/>
                                                <w:right w:val="none" w:sz="0" w:space="0" w:color="auto"/>
                                              </w:divBdr>
                                            </w:div>
                                            <w:div w:id="1504589518">
                                              <w:marLeft w:val="0"/>
                                              <w:marRight w:val="0"/>
                                              <w:marTop w:val="0"/>
                                              <w:marBottom w:val="0"/>
                                              <w:divBdr>
                                                <w:top w:val="none" w:sz="0" w:space="0" w:color="auto"/>
                                                <w:left w:val="none" w:sz="0" w:space="0" w:color="auto"/>
                                                <w:bottom w:val="none" w:sz="0" w:space="0" w:color="auto"/>
                                                <w:right w:val="none" w:sz="0" w:space="0" w:color="auto"/>
                                              </w:divBdr>
                                            </w:div>
                                          </w:divsChild>
                                        </w:div>
                                        <w:div w:id="52320221">
                                          <w:marLeft w:val="0"/>
                                          <w:marRight w:val="0"/>
                                          <w:marTop w:val="0"/>
                                          <w:marBottom w:val="0"/>
                                          <w:divBdr>
                                            <w:top w:val="none" w:sz="0" w:space="0" w:color="auto"/>
                                            <w:left w:val="none" w:sz="0" w:space="0" w:color="auto"/>
                                            <w:bottom w:val="none" w:sz="0" w:space="0" w:color="auto"/>
                                            <w:right w:val="none" w:sz="0" w:space="0" w:color="auto"/>
                                          </w:divBdr>
                                          <w:divsChild>
                                            <w:div w:id="1563054238">
                                              <w:marLeft w:val="0"/>
                                              <w:marRight w:val="0"/>
                                              <w:marTop w:val="120"/>
                                              <w:marBottom w:val="0"/>
                                              <w:divBdr>
                                                <w:top w:val="none" w:sz="0" w:space="0" w:color="auto"/>
                                                <w:left w:val="none" w:sz="0" w:space="0" w:color="auto"/>
                                                <w:bottom w:val="none" w:sz="0" w:space="0" w:color="auto"/>
                                                <w:right w:val="none" w:sz="0" w:space="0" w:color="auto"/>
                                              </w:divBdr>
                                            </w:div>
                                            <w:div w:id="1772164698">
                                              <w:marLeft w:val="0"/>
                                              <w:marRight w:val="0"/>
                                              <w:marTop w:val="0"/>
                                              <w:marBottom w:val="0"/>
                                              <w:divBdr>
                                                <w:top w:val="none" w:sz="0" w:space="0" w:color="auto"/>
                                                <w:left w:val="none" w:sz="0" w:space="0" w:color="auto"/>
                                                <w:bottom w:val="none" w:sz="0" w:space="0" w:color="auto"/>
                                                <w:right w:val="none" w:sz="0" w:space="0" w:color="auto"/>
                                              </w:divBdr>
                                            </w:div>
                                          </w:divsChild>
                                        </w:div>
                                        <w:div w:id="845172553">
                                          <w:marLeft w:val="0"/>
                                          <w:marRight w:val="0"/>
                                          <w:marTop w:val="0"/>
                                          <w:marBottom w:val="0"/>
                                          <w:divBdr>
                                            <w:top w:val="none" w:sz="0" w:space="0" w:color="auto"/>
                                            <w:left w:val="none" w:sz="0" w:space="0" w:color="auto"/>
                                            <w:bottom w:val="none" w:sz="0" w:space="0" w:color="auto"/>
                                            <w:right w:val="none" w:sz="0" w:space="0" w:color="auto"/>
                                          </w:divBdr>
                                          <w:divsChild>
                                            <w:div w:id="1500929510">
                                              <w:marLeft w:val="0"/>
                                              <w:marRight w:val="0"/>
                                              <w:marTop w:val="120"/>
                                              <w:marBottom w:val="0"/>
                                              <w:divBdr>
                                                <w:top w:val="none" w:sz="0" w:space="0" w:color="auto"/>
                                                <w:left w:val="none" w:sz="0" w:space="0" w:color="auto"/>
                                                <w:bottom w:val="none" w:sz="0" w:space="0" w:color="auto"/>
                                                <w:right w:val="none" w:sz="0" w:space="0" w:color="auto"/>
                                              </w:divBdr>
                                            </w:div>
                                            <w:div w:id="763844866">
                                              <w:marLeft w:val="0"/>
                                              <w:marRight w:val="0"/>
                                              <w:marTop w:val="0"/>
                                              <w:marBottom w:val="0"/>
                                              <w:divBdr>
                                                <w:top w:val="none" w:sz="0" w:space="0" w:color="auto"/>
                                                <w:left w:val="none" w:sz="0" w:space="0" w:color="auto"/>
                                                <w:bottom w:val="none" w:sz="0" w:space="0" w:color="auto"/>
                                                <w:right w:val="none" w:sz="0" w:space="0" w:color="auto"/>
                                              </w:divBdr>
                                              <w:divsChild>
                                                <w:div w:id="1528830750">
                                                  <w:marLeft w:val="0"/>
                                                  <w:marRight w:val="0"/>
                                                  <w:marTop w:val="0"/>
                                                  <w:marBottom w:val="0"/>
                                                  <w:divBdr>
                                                    <w:top w:val="none" w:sz="0" w:space="0" w:color="auto"/>
                                                    <w:left w:val="none" w:sz="0" w:space="0" w:color="auto"/>
                                                    <w:bottom w:val="none" w:sz="0" w:space="0" w:color="auto"/>
                                                    <w:right w:val="none" w:sz="0" w:space="0" w:color="auto"/>
                                                  </w:divBdr>
                                                  <w:divsChild>
                                                    <w:div w:id="1609774634">
                                                      <w:marLeft w:val="0"/>
                                                      <w:marRight w:val="0"/>
                                                      <w:marTop w:val="120"/>
                                                      <w:marBottom w:val="0"/>
                                                      <w:divBdr>
                                                        <w:top w:val="none" w:sz="0" w:space="0" w:color="auto"/>
                                                        <w:left w:val="none" w:sz="0" w:space="0" w:color="auto"/>
                                                        <w:bottom w:val="none" w:sz="0" w:space="0" w:color="auto"/>
                                                        <w:right w:val="none" w:sz="0" w:space="0" w:color="auto"/>
                                                      </w:divBdr>
                                                    </w:div>
                                                    <w:div w:id="2135326464">
                                                      <w:marLeft w:val="0"/>
                                                      <w:marRight w:val="0"/>
                                                      <w:marTop w:val="0"/>
                                                      <w:marBottom w:val="0"/>
                                                      <w:divBdr>
                                                        <w:top w:val="none" w:sz="0" w:space="0" w:color="auto"/>
                                                        <w:left w:val="none" w:sz="0" w:space="0" w:color="auto"/>
                                                        <w:bottom w:val="none" w:sz="0" w:space="0" w:color="auto"/>
                                                        <w:right w:val="none" w:sz="0" w:space="0" w:color="auto"/>
                                                      </w:divBdr>
                                                    </w:div>
                                                  </w:divsChild>
                                                </w:div>
                                                <w:div w:id="2040278227">
                                                  <w:marLeft w:val="0"/>
                                                  <w:marRight w:val="0"/>
                                                  <w:marTop w:val="0"/>
                                                  <w:marBottom w:val="0"/>
                                                  <w:divBdr>
                                                    <w:top w:val="none" w:sz="0" w:space="0" w:color="auto"/>
                                                    <w:left w:val="none" w:sz="0" w:space="0" w:color="auto"/>
                                                    <w:bottom w:val="none" w:sz="0" w:space="0" w:color="auto"/>
                                                    <w:right w:val="none" w:sz="0" w:space="0" w:color="auto"/>
                                                  </w:divBdr>
                                                  <w:divsChild>
                                                    <w:div w:id="1339507370">
                                                      <w:marLeft w:val="0"/>
                                                      <w:marRight w:val="0"/>
                                                      <w:marTop w:val="120"/>
                                                      <w:marBottom w:val="0"/>
                                                      <w:divBdr>
                                                        <w:top w:val="none" w:sz="0" w:space="0" w:color="auto"/>
                                                        <w:left w:val="none" w:sz="0" w:space="0" w:color="auto"/>
                                                        <w:bottom w:val="none" w:sz="0" w:space="0" w:color="auto"/>
                                                        <w:right w:val="none" w:sz="0" w:space="0" w:color="auto"/>
                                                      </w:divBdr>
                                                    </w:div>
                                                    <w:div w:id="64036466">
                                                      <w:marLeft w:val="0"/>
                                                      <w:marRight w:val="0"/>
                                                      <w:marTop w:val="0"/>
                                                      <w:marBottom w:val="0"/>
                                                      <w:divBdr>
                                                        <w:top w:val="none" w:sz="0" w:space="0" w:color="auto"/>
                                                        <w:left w:val="none" w:sz="0" w:space="0" w:color="auto"/>
                                                        <w:bottom w:val="none" w:sz="0" w:space="0" w:color="auto"/>
                                                        <w:right w:val="none" w:sz="0" w:space="0" w:color="auto"/>
                                                      </w:divBdr>
                                                    </w:div>
                                                  </w:divsChild>
                                                </w:div>
                                                <w:div w:id="563880360">
                                                  <w:marLeft w:val="0"/>
                                                  <w:marRight w:val="0"/>
                                                  <w:marTop w:val="0"/>
                                                  <w:marBottom w:val="0"/>
                                                  <w:divBdr>
                                                    <w:top w:val="none" w:sz="0" w:space="0" w:color="auto"/>
                                                    <w:left w:val="none" w:sz="0" w:space="0" w:color="auto"/>
                                                    <w:bottom w:val="none" w:sz="0" w:space="0" w:color="auto"/>
                                                    <w:right w:val="none" w:sz="0" w:space="0" w:color="auto"/>
                                                  </w:divBdr>
                                                  <w:divsChild>
                                                    <w:div w:id="554245281">
                                                      <w:marLeft w:val="0"/>
                                                      <w:marRight w:val="0"/>
                                                      <w:marTop w:val="120"/>
                                                      <w:marBottom w:val="0"/>
                                                      <w:divBdr>
                                                        <w:top w:val="none" w:sz="0" w:space="0" w:color="auto"/>
                                                        <w:left w:val="none" w:sz="0" w:space="0" w:color="auto"/>
                                                        <w:bottom w:val="none" w:sz="0" w:space="0" w:color="auto"/>
                                                        <w:right w:val="none" w:sz="0" w:space="0" w:color="auto"/>
                                                      </w:divBdr>
                                                    </w:div>
                                                    <w:div w:id="183718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738485">
                                  <w:marLeft w:val="0"/>
                                  <w:marRight w:val="0"/>
                                  <w:marTop w:val="0"/>
                                  <w:marBottom w:val="0"/>
                                  <w:divBdr>
                                    <w:top w:val="none" w:sz="0" w:space="0" w:color="auto"/>
                                    <w:left w:val="none" w:sz="0" w:space="0" w:color="auto"/>
                                    <w:bottom w:val="none" w:sz="0" w:space="0" w:color="auto"/>
                                    <w:right w:val="none" w:sz="0" w:space="0" w:color="auto"/>
                                  </w:divBdr>
                                  <w:divsChild>
                                    <w:div w:id="2019892994">
                                      <w:marLeft w:val="0"/>
                                      <w:marRight w:val="0"/>
                                      <w:marTop w:val="0"/>
                                      <w:marBottom w:val="0"/>
                                      <w:divBdr>
                                        <w:top w:val="none" w:sz="0" w:space="0" w:color="auto"/>
                                        <w:left w:val="none" w:sz="0" w:space="0" w:color="auto"/>
                                        <w:bottom w:val="none" w:sz="0" w:space="0" w:color="auto"/>
                                        <w:right w:val="none" w:sz="0" w:space="0" w:color="auto"/>
                                      </w:divBdr>
                                    </w:div>
                                  </w:divsChild>
                                </w:div>
                                <w:div w:id="782187315">
                                  <w:marLeft w:val="0"/>
                                  <w:marRight w:val="0"/>
                                  <w:marTop w:val="0"/>
                                  <w:marBottom w:val="0"/>
                                  <w:divBdr>
                                    <w:top w:val="none" w:sz="0" w:space="0" w:color="auto"/>
                                    <w:left w:val="none" w:sz="0" w:space="0" w:color="auto"/>
                                    <w:bottom w:val="none" w:sz="0" w:space="0" w:color="auto"/>
                                    <w:right w:val="none" w:sz="0" w:space="0" w:color="auto"/>
                                  </w:divBdr>
                                  <w:divsChild>
                                    <w:div w:id="1323585172">
                                      <w:marLeft w:val="0"/>
                                      <w:marRight w:val="0"/>
                                      <w:marTop w:val="0"/>
                                      <w:marBottom w:val="0"/>
                                      <w:divBdr>
                                        <w:top w:val="none" w:sz="0" w:space="0" w:color="auto"/>
                                        <w:left w:val="none" w:sz="0" w:space="0" w:color="auto"/>
                                        <w:bottom w:val="none" w:sz="0" w:space="0" w:color="auto"/>
                                        <w:right w:val="none" w:sz="0" w:space="0" w:color="auto"/>
                                      </w:divBdr>
                                    </w:div>
                                  </w:divsChild>
                                </w:div>
                                <w:div w:id="529270522">
                                  <w:marLeft w:val="0"/>
                                  <w:marRight w:val="0"/>
                                  <w:marTop w:val="0"/>
                                  <w:marBottom w:val="0"/>
                                  <w:divBdr>
                                    <w:top w:val="none" w:sz="0" w:space="0" w:color="auto"/>
                                    <w:left w:val="none" w:sz="0" w:space="0" w:color="auto"/>
                                    <w:bottom w:val="none" w:sz="0" w:space="0" w:color="auto"/>
                                    <w:right w:val="none" w:sz="0" w:space="0" w:color="auto"/>
                                  </w:divBdr>
                                  <w:divsChild>
                                    <w:div w:id="606811364">
                                      <w:marLeft w:val="0"/>
                                      <w:marRight w:val="0"/>
                                      <w:marTop w:val="0"/>
                                      <w:marBottom w:val="0"/>
                                      <w:divBdr>
                                        <w:top w:val="none" w:sz="0" w:space="0" w:color="auto"/>
                                        <w:left w:val="none" w:sz="0" w:space="0" w:color="auto"/>
                                        <w:bottom w:val="none" w:sz="0" w:space="0" w:color="auto"/>
                                        <w:right w:val="none" w:sz="0" w:space="0" w:color="auto"/>
                                      </w:divBdr>
                                    </w:div>
                                  </w:divsChild>
                                </w:div>
                                <w:div w:id="423764588">
                                  <w:marLeft w:val="0"/>
                                  <w:marRight w:val="0"/>
                                  <w:marTop w:val="0"/>
                                  <w:marBottom w:val="0"/>
                                  <w:divBdr>
                                    <w:top w:val="none" w:sz="0" w:space="0" w:color="auto"/>
                                    <w:left w:val="none" w:sz="0" w:space="0" w:color="auto"/>
                                    <w:bottom w:val="none" w:sz="0" w:space="0" w:color="auto"/>
                                    <w:right w:val="none" w:sz="0" w:space="0" w:color="auto"/>
                                  </w:divBdr>
                                  <w:divsChild>
                                    <w:div w:id="941495652">
                                      <w:marLeft w:val="0"/>
                                      <w:marRight w:val="0"/>
                                      <w:marTop w:val="120"/>
                                      <w:marBottom w:val="0"/>
                                      <w:divBdr>
                                        <w:top w:val="none" w:sz="0" w:space="0" w:color="auto"/>
                                        <w:left w:val="none" w:sz="0" w:space="0" w:color="auto"/>
                                        <w:bottom w:val="none" w:sz="0" w:space="0" w:color="auto"/>
                                        <w:right w:val="none" w:sz="0" w:space="0" w:color="auto"/>
                                      </w:divBdr>
                                    </w:div>
                                    <w:div w:id="861556485">
                                      <w:marLeft w:val="0"/>
                                      <w:marRight w:val="0"/>
                                      <w:marTop w:val="0"/>
                                      <w:marBottom w:val="0"/>
                                      <w:divBdr>
                                        <w:top w:val="none" w:sz="0" w:space="0" w:color="auto"/>
                                        <w:left w:val="none" w:sz="0" w:space="0" w:color="auto"/>
                                        <w:bottom w:val="none" w:sz="0" w:space="0" w:color="auto"/>
                                        <w:right w:val="none" w:sz="0" w:space="0" w:color="auto"/>
                                      </w:divBdr>
                                    </w:div>
                                  </w:divsChild>
                                </w:div>
                                <w:div w:id="1326283228">
                                  <w:marLeft w:val="0"/>
                                  <w:marRight w:val="0"/>
                                  <w:marTop w:val="0"/>
                                  <w:marBottom w:val="0"/>
                                  <w:divBdr>
                                    <w:top w:val="none" w:sz="0" w:space="0" w:color="auto"/>
                                    <w:left w:val="none" w:sz="0" w:space="0" w:color="auto"/>
                                    <w:bottom w:val="none" w:sz="0" w:space="0" w:color="auto"/>
                                    <w:right w:val="none" w:sz="0" w:space="0" w:color="auto"/>
                                  </w:divBdr>
                                  <w:divsChild>
                                    <w:div w:id="745763476">
                                      <w:marLeft w:val="0"/>
                                      <w:marRight w:val="0"/>
                                      <w:marTop w:val="120"/>
                                      <w:marBottom w:val="0"/>
                                      <w:divBdr>
                                        <w:top w:val="none" w:sz="0" w:space="0" w:color="auto"/>
                                        <w:left w:val="none" w:sz="0" w:space="0" w:color="auto"/>
                                        <w:bottom w:val="none" w:sz="0" w:space="0" w:color="auto"/>
                                        <w:right w:val="none" w:sz="0" w:space="0" w:color="auto"/>
                                      </w:divBdr>
                                    </w:div>
                                    <w:div w:id="1402212695">
                                      <w:marLeft w:val="0"/>
                                      <w:marRight w:val="0"/>
                                      <w:marTop w:val="0"/>
                                      <w:marBottom w:val="0"/>
                                      <w:divBdr>
                                        <w:top w:val="none" w:sz="0" w:space="0" w:color="auto"/>
                                        <w:left w:val="none" w:sz="0" w:space="0" w:color="auto"/>
                                        <w:bottom w:val="none" w:sz="0" w:space="0" w:color="auto"/>
                                        <w:right w:val="none" w:sz="0" w:space="0" w:color="auto"/>
                                      </w:divBdr>
                                    </w:div>
                                  </w:divsChild>
                                </w:div>
                                <w:div w:id="2037077246">
                                  <w:marLeft w:val="0"/>
                                  <w:marRight w:val="0"/>
                                  <w:marTop w:val="0"/>
                                  <w:marBottom w:val="0"/>
                                  <w:divBdr>
                                    <w:top w:val="none" w:sz="0" w:space="0" w:color="auto"/>
                                    <w:left w:val="none" w:sz="0" w:space="0" w:color="auto"/>
                                    <w:bottom w:val="none" w:sz="0" w:space="0" w:color="auto"/>
                                    <w:right w:val="none" w:sz="0" w:space="0" w:color="auto"/>
                                  </w:divBdr>
                                  <w:divsChild>
                                    <w:div w:id="23567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67549">
                              <w:marLeft w:val="0"/>
                              <w:marRight w:val="0"/>
                              <w:marTop w:val="0"/>
                              <w:marBottom w:val="0"/>
                              <w:divBdr>
                                <w:top w:val="none" w:sz="0" w:space="0" w:color="auto"/>
                                <w:left w:val="none" w:sz="0" w:space="0" w:color="auto"/>
                                <w:bottom w:val="none" w:sz="0" w:space="0" w:color="auto"/>
                                <w:right w:val="none" w:sz="0" w:space="0" w:color="auto"/>
                              </w:divBdr>
                              <w:divsChild>
                                <w:div w:id="1635330940">
                                  <w:marLeft w:val="0"/>
                                  <w:marRight w:val="0"/>
                                  <w:marTop w:val="0"/>
                                  <w:marBottom w:val="0"/>
                                  <w:divBdr>
                                    <w:top w:val="none" w:sz="0" w:space="0" w:color="auto"/>
                                    <w:left w:val="none" w:sz="0" w:space="0" w:color="auto"/>
                                    <w:bottom w:val="none" w:sz="0" w:space="0" w:color="auto"/>
                                    <w:right w:val="none" w:sz="0" w:space="0" w:color="auto"/>
                                  </w:divBdr>
                                </w:div>
                                <w:div w:id="334455232">
                                  <w:marLeft w:val="0"/>
                                  <w:marRight w:val="0"/>
                                  <w:marTop w:val="0"/>
                                  <w:marBottom w:val="0"/>
                                  <w:divBdr>
                                    <w:top w:val="none" w:sz="0" w:space="0" w:color="auto"/>
                                    <w:left w:val="none" w:sz="0" w:space="0" w:color="auto"/>
                                    <w:bottom w:val="none" w:sz="0" w:space="0" w:color="auto"/>
                                    <w:right w:val="none" w:sz="0" w:space="0" w:color="auto"/>
                                  </w:divBdr>
                                  <w:divsChild>
                                    <w:div w:id="1534532373">
                                      <w:marLeft w:val="0"/>
                                      <w:marRight w:val="0"/>
                                      <w:marTop w:val="0"/>
                                      <w:marBottom w:val="0"/>
                                      <w:divBdr>
                                        <w:top w:val="none" w:sz="0" w:space="0" w:color="auto"/>
                                        <w:left w:val="none" w:sz="0" w:space="0" w:color="auto"/>
                                        <w:bottom w:val="none" w:sz="0" w:space="0" w:color="auto"/>
                                        <w:right w:val="none" w:sz="0" w:space="0" w:color="auto"/>
                                      </w:divBdr>
                                    </w:div>
                                  </w:divsChild>
                                </w:div>
                                <w:div w:id="360479490">
                                  <w:marLeft w:val="0"/>
                                  <w:marRight w:val="0"/>
                                  <w:marTop w:val="0"/>
                                  <w:marBottom w:val="0"/>
                                  <w:divBdr>
                                    <w:top w:val="none" w:sz="0" w:space="0" w:color="auto"/>
                                    <w:left w:val="none" w:sz="0" w:space="0" w:color="auto"/>
                                    <w:bottom w:val="none" w:sz="0" w:space="0" w:color="auto"/>
                                    <w:right w:val="none" w:sz="0" w:space="0" w:color="auto"/>
                                  </w:divBdr>
                                  <w:divsChild>
                                    <w:div w:id="1576472724">
                                      <w:marLeft w:val="0"/>
                                      <w:marRight w:val="0"/>
                                      <w:marTop w:val="0"/>
                                      <w:marBottom w:val="0"/>
                                      <w:divBdr>
                                        <w:top w:val="none" w:sz="0" w:space="0" w:color="auto"/>
                                        <w:left w:val="none" w:sz="0" w:space="0" w:color="auto"/>
                                        <w:bottom w:val="none" w:sz="0" w:space="0" w:color="auto"/>
                                        <w:right w:val="none" w:sz="0" w:space="0" w:color="auto"/>
                                      </w:divBdr>
                                      <w:divsChild>
                                        <w:div w:id="1297294425">
                                          <w:marLeft w:val="0"/>
                                          <w:marRight w:val="0"/>
                                          <w:marTop w:val="0"/>
                                          <w:marBottom w:val="0"/>
                                          <w:divBdr>
                                            <w:top w:val="none" w:sz="0" w:space="0" w:color="auto"/>
                                            <w:left w:val="none" w:sz="0" w:space="0" w:color="auto"/>
                                            <w:bottom w:val="none" w:sz="0" w:space="0" w:color="auto"/>
                                            <w:right w:val="none" w:sz="0" w:space="0" w:color="auto"/>
                                          </w:divBdr>
                                          <w:divsChild>
                                            <w:div w:id="715354960">
                                              <w:marLeft w:val="0"/>
                                              <w:marRight w:val="0"/>
                                              <w:marTop w:val="120"/>
                                              <w:marBottom w:val="0"/>
                                              <w:divBdr>
                                                <w:top w:val="none" w:sz="0" w:space="0" w:color="auto"/>
                                                <w:left w:val="none" w:sz="0" w:space="0" w:color="auto"/>
                                                <w:bottom w:val="none" w:sz="0" w:space="0" w:color="auto"/>
                                                <w:right w:val="none" w:sz="0" w:space="0" w:color="auto"/>
                                              </w:divBdr>
                                            </w:div>
                                            <w:div w:id="24527141">
                                              <w:marLeft w:val="0"/>
                                              <w:marRight w:val="0"/>
                                              <w:marTop w:val="0"/>
                                              <w:marBottom w:val="0"/>
                                              <w:divBdr>
                                                <w:top w:val="none" w:sz="0" w:space="0" w:color="auto"/>
                                                <w:left w:val="none" w:sz="0" w:space="0" w:color="auto"/>
                                                <w:bottom w:val="none" w:sz="0" w:space="0" w:color="auto"/>
                                                <w:right w:val="none" w:sz="0" w:space="0" w:color="auto"/>
                                              </w:divBdr>
                                            </w:div>
                                          </w:divsChild>
                                        </w:div>
                                        <w:div w:id="1158109060">
                                          <w:marLeft w:val="0"/>
                                          <w:marRight w:val="0"/>
                                          <w:marTop w:val="0"/>
                                          <w:marBottom w:val="0"/>
                                          <w:divBdr>
                                            <w:top w:val="none" w:sz="0" w:space="0" w:color="auto"/>
                                            <w:left w:val="none" w:sz="0" w:space="0" w:color="auto"/>
                                            <w:bottom w:val="none" w:sz="0" w:space="0" w:color="auto"/>
                                            <w:right w:val="none" w:sz="0" w:space="0" w:color="auto"/>
                                          </w:divBdr>
                                          <w:divsChild>
                                            <w:div w:id="1919948199">
                                              <w:marLeft w:val="0"/>
                                              <w:marRight w:val="0"/>
                                              <w:marTop w:val="120"/>
                                              <w:marBottom w:val="0"/>
                                              <w:divBdr>
                                                <w:top w:val="none" w:sz="0" w:space="0" w:color="auto"/>
                                                <w:left w:val="none" w:sz="0" w:space="0" w:color="auto"/>
                                                <w:bottom w:val="none" w:sz="0" w:space="0" w:color="auto"/>
                                                <w:right w:val="none" w:sz="0" w:space="0" w:color="auto"/>
                                              </w:divBdr>
                                            </w:div>
                                            <w:div w:id="607544535">
                                              <w:marLeft w:val="0"/>
                                              <w:marRight w:val="0"/>
                                              <w:marTop w:val="0"/>
                                              <w:marBottom w:val="0"/>
                                              <w:divBdr>
                                                <w:top w:val="none" w:sz="0" w:space="0" w:color="auto"/>
                                                <w:left w:val="none" w:sz="0" w:space="0" w:color="auto"/>
                                                <w:bottom w:val="none" w:sz="0" w:space="0" w:color="auto"/>
                                                <w:right w:val="none" w:sz="0" w:space="0" w:color="auto"/>
                                              </w:divBdr>
                                            </w:div>
                                          </w:divsChild>
                                        </w:div>
                                        <w:div w:id="335769888">
                                          <w:marLeft w:val="0"/>
                                          <w:marRight w:val="0"/>
                                          <w:marTop w:val="0"/>
                                          <w:marBottom w:val="0"/>
                                          <w:divBdr>
                                            <w:top w:val="none" w:sz="0" w:space="0" w:color="auto"/>
                                            <w:left w:val="none" w:sz="0" w:space="0" w:color="auto"/>
                                            <w:bottom w:val="none" w:sz="0" w:space="0" w:color="auto"/>
                                            <w:right w:val="none" w:sz="0" w:space="0" w:color="auto"/>
                                          </w:divBdr>
                                          <w:divsChild>
                                            <w:div w:id="1975871924">
                                              <w:marLeft w:val="0"/>
                                              <w:marRight w:val="0"/>
                                              <w:marTop w:val="120"/>
                                              <w:marBottom w:val="0"/>
                                              <w:divBdr>
                                                <w:top w:val="none" w:sz="0" w:space="0" w:color="auto"/>
                                                <w:left w:val="none" w:sz="0" w:space="0" w:color="auto"/>
                                                <w:bottom w:val="none" w:sz="0" w:space="0" w:color="auto"/>
                                                <w:right w:val="none" w:sz="0" w:space="0" w:color="auto"/>
                                              </w:divBdr>
                                            </w:div>
                                            <w:div w:id="1457722130">
                                              <w:marLeft w:val="0"/>
                                              <w:marRight w:val="0"/>
                                              <w:marTop w:val="0"/>
                                              <w:marBottom w:val="0"/>
                                              <w:divBdr>
                                                <w:top w:val="none" w:sz="0" w:space="0" w:color="auto"/>
                                                <w:left w:val="none" w:sz="0" w:space="0" w:color="auto"/>
                                                <w:bottom w:val="none" w:sz="0" w:space="0" w:color="auto"/>
                                                <w:right w:val="none" w:sz="0" w:space="0" w:color="auto"/>
                                              </w:divBdr>
                                            </w:div>
                                          </w:divsChild>
                                        </w:div>
                                        <w:div w:id="19204163">
                                          <w:marLeft w:val="0"/>
                                          <w:marRight w:val="0"/>
                                          <w:marTop w:val="0"/>
                                          <w:marBottom w:val="0"/>
                                          <w:divBdr>
                                            <w:top w:val="none" w:sz="0" w:space="0" w:color="auto"/>
                                            <w:left w:val="none" w:sz="0" w:space="0" w:color="auto"/>
                                            <w:bottom w:val="none" w:sz="0" w:space="0" w:color="auto"/>
                                            <w:right w:val="none" w:sz="0" w:space="0" w:color="auto"/>
                                          </w:divBdr>
                                          <w:divsChild>
                                            <w:div w:id="2114279329">
                                              <w:marLeft w:val="0"/>
                                              <w:marRight w:val="0"/>
                                              <w:marTop w:val="120"/>
                                              <w:marBottom w:val="0"/>
                                              <w:divBdr>
                                                <w:top w:val="none" w:sz="0" w:space="0" w:color="auto"/>
                                                <w:left w:val="none" w:sz="0" w:space="0" w:color="auto"/>
                                                <w:bottom w:val="none" w:sz="0" w:space="0" w:color="auto"/>
                                                <w:right w:val="none" w:sz="0" w:space="0" w:color="auto"/>
                                              </w:divBdr>
                                            </w:div>
                                            <w:div w:id="1267689910">
                                              <w:marLeft w:val="0"/>
                                              <w:marRight w:val="0"/>
                                              <w:marTop w:val="0"/>
                                              <w:marBottom w:val="0"/>
                                              <w:divBdr>
                                                <w:top w:val="none" w:sz="0" w:space="0" w:color="auto"/>
                                                <w:left w:val="none" w:sz="0" w:space="0" w:color="auto"/>
                                                <w:bottom w:val="none" w:sz="0" w:space="0" w:color="auto"/>
                                                <w:right w:val="none" w:sz="0" w:space="0" w:color="auto"/>
                                              </w:divBdr>
                                            </w:div>
                                          </w:divsChild>
                                        </w:div>
                                        <w:div w:id="326203470">
                                          <w:marLeft w:val="0"/>
                                          <w:marRight w:val="0"/>
                                          <w:marTop w:val="0"/>
                                          <w:marBottom w:val="0"/>
                                          <w:divBdr>
                                            <w:top w:val="none" w:sz="0" w:space="0" w:color="auto"/>
                                            <w:left w:val="none" w:sz="0" w:space="0" w:color="auto"/>
                                            <w:bottom w:val="none" w:sz="0" w:space="0" w:color="auto"/>
                                            <w:right w:val="none" w:sz="0" w:space="0" w:color="auto"/>
                                          </w:divBdr>
                                          <w:divsChild>
                                            <w:div w:id="81924311">
                                              <w:marLeft w:val="0"/>
                                              <w:marRight w:val="0"/>
                                              <w:marTop w:val="120"/>
                                              <w:marBottom w:val="0"/>
                                              <w:divBdr>
                                                <w:top w:val="none" w:sz="0" w:space="0" w:color="auto"/>
                                                <w:left w:val="none" w:sz="0" w:space="0" w:color="auto"/>
                                                <w:bottom w:val="none" w:sz="0" w:space="0" w:color="auto"/>
                                                <w:right w:val="none" w:sz="0" w:space="0" w:color="auto"/>
                                              </w:divBdr>
                                            </w:div>
                                            <w:div w:id="441804507">
                                              <w:marLeft w:val="0"/>
                                              <w:marRight w:val="0"/>
                                              <w:marTop w:val="0"/>
                                              <w:marBottom w:val="0"/>
                                              <w:divBdr>
                                                <w:top w:val="none" w:sz="0" w:space="0" w:color="auto"/>
                                                <w:left w:val="none" w:sz="0" w:space="0" w:color="auto"/>
                                                <w:bottom w:val="none" w:sz="0" w:space="0" w:color="auto"/>
                                                <w:right w:val="none" w:sz="0" w:space="0" w:color="auto"/>
                                              </w:divBdr>
                                            </w:div>
                                          </w:divsChild>
                                        </w:div>
                                        <w:div w:id="1423993179">
                                          <w:marLeft w:val="0"/>
                                          <w:marRight w:val="0"/>
                                          <w:marTop w:val="0"/>
                                          <w:marBottom w:val="0"/>
                                          <w:divBdr>
                                            <w:top w:val="none" w:sz="0" w:space="0" w:color="auto"/>
                                            <w:left w:val="none" w:sz="0" w:space="0" w:color="auto"/>
                                            <w:bottom w:val="none" w:sz="0" w:space="0" w:color="auto"/>
                                            <w:right w:val="none" w:sz="0" w:space="0" w:color="auto"/>
                                          </w:divBdr>
                                          <w:divsChild>
                                            <w:div w:id="2117358608">
                                              <w:marLeft w:val="0"/>
                                              <w:marRight w:val="0"/>
                                              <w:marTop w:val="120"/>
                                              <w:marBottom w:val="0"/>
                                              <w:divBdr>
                                                <w:top w:val="none" w:sz="0" w:space="0" w:color="auto"/>
                                                <w:left w:val="none" w:sz="0" w:space="0" w:color="auto"/>
                                                <w:bottom w:val="none" w:sz="0" w:space="0" w:color="auto"/>
                                                <w:right w:val="none" w:sz="0" w:space="0" w:color="auto"/>
                                              </w:divBdr>
                                            </w:div>
                                            <w:div w:id="3069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70381">
                                  <w:marLeft w:val="0"/>
                                  <w:marRight w:val="0"/>
                                  <w:marTop w:val="0"/>
                                  <w:marBottom w:val="0"/>
                                  <w:divBdr>
                                    <w:top w:val="none" w:sz="0" w:space="0" w:color="auto"/>
                                    <w:left w:val="none" w:sz="0" w:space="0" w:color="auto"/>
                                    <w:bottom w:val="none" w:sz="0" w:space="0" w:color="auto"/>
                                    <w:right w:val="none" w:sz="0" w:space="0" w:color="auto"/>
                                  </w:divBdr>
                                  <w:divsChild>
                                    <w:div w:id="1385908348">
                                      <w:marLeft w:val="0"/>
                                      <w:marRight w:val="0"/>
                                      <w:marTop w:val="0"/>
                                      <w:marBottom w:val="0"/>
                                      <w:divBdr>
                                        <w:top w:val="none" w:sz="0" w:space="0" w:color="auto"/>
                                        <w:left w:val="none" w:sz="0" w:space="0" w:color="auto"/>
                                        <w:bottom w:val="none" w:sz="0" w:space="0" w:color="auto"/>
                                        <w:right w:val="none" w:sz="0" w:space="0" w:color="auto"/>
                                      </w:divBdr>
                                      <w:divsChild>
                                        <w:div w:id="497770654">
                                          <w:marLeft w:val="0"/>
                                          <w:marRight w:val="0"/>
                                          <w:marTop w:val="0"/>
                                          <w:marBottom w:val="0"/>
                                          <w:divBdr>
                                            <w:top w:val="none" w:sz="0" w:space="0" w:color="auto"/>
                                            <w:left w:val="none" w:sz="0" w:space="0" w:color="auto"/>
                                            <w:bottom w:val="none" w:sz="0" w:space="0" w:color="auto"/>
                                            <w:right w:val="none" w:sz="0" w:space="0" w:color="auto"/>
                                          </w:divBdr>
                                          <w:divsChild>
                                            <w:div w:id="865631225">
                                              <w:marLeft w:val="0"/>
                                              <w:marRight w:val="0"/>
                                              <w:marTop w:val="120"/>
                                              <w:marBottom w:val="0"/>
                                              <w:divBdr>
                                                <w:top w:val="none" w:sz="0" w:space="0" w:color="auto"/>
                                                <w:left w:val="none" w:sz="0" w:space="0" w:color="auto"/>
                                                <w:bottom w:val="none" w:sz="0" w:space="0" w:color="auto"/>
                                                <w:right w:val="none" w:sz="0" w:space="0" w:color="auto"/>
                                              </w:divBdr>
                                            </w:div>
                                            <w:div w:id="833565947">
                                              <w:marLeft w:val="0"/>
                                              <w:marRight w:val="0"/>
                                              <w:marTop w:val="0"/>
                                              <w:marBottom w:val="0"/>
                                              <w:divBdr>
                                                <w:top w:val="none" w:sz="0" w:space="0" w:color="auto"/>
                                                <w:left w:val="none" w:sz="0" w:space="0" w:color="auto"/>
                                                <w:bottom w:val="none" w:sz="0" w:space="0" w:color="auto"/>
                                                <w:right w:val="none" w:sz="0" w:space="0" w:color="auto"/>
                                              </w:divBdr>
                                            </w:div>
                                          </w:divsChild>
                                        </w:div>
                                        <w:div w:id="130830247">
                                          <w:marLeft w:val="0"/>
                                          <w:marRight w:val="0"/>
                                          <w:marTop w:val="0"/>
                                          <w:marBottom w:val="0"/>
                                          <w:divBdr>
                                            <w:top w:val="none" w:sz="0" w:space="0" w:color="auto"/>
                                            <w:left w:val="none" w:sz="0" w:space="0" w:color="auto"/>
                                            <w:bottom w:val="none" w:sz="0" w:space="0" w:color="auto"/>
                                            <w:right w:val="none" w:sz="0" w:space="0" w:color="auto"/>
                                          </w:divBdr>
                                          <w:divsChild>
                                            <w:div w:id="690036109">
                                              <w:marLeft w:val="0"/>
                                              <w:marRight w:val="0"/>
                                              <w:marTop w:val="120"/>
                                              <w:marBottom w:val="0"/>
                                              <w:divBdr>
                                                <w:top w:val="none" w:sz="0" w:space="0" w:color="auto"/>
                                                <w:left w:val="none" w:sz="0" w:space="0" w:color="auto"/>
                                                <w:bottom w:val="none" w:sz="0" w:space="0" w:color="auto"/>
                                                <w:right w:val="none" w:sz="0" w:space="0" w:color="auto"/>
                                              </w:divBdr>
                                            </w:div>
                                            <w:div w:id="129540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304525">
                                  <w:marLeft w:val="0"/>
                                  <w:marRight w:val="0"/>
                                  <w:marTop w:val="0"/>
                                  <w:marBottom w:val="0"/>
                                  <w:divBdr>
                                    <w:top w:val="none" w:sz="0" w:space="0" w:color="auto"/>
                                    <w:left w:val="none" w:sz="0" w:space="0" w:color="auto"/>
                                    <w:bottom w:val="none" w:sz="0" w:space="0" w:color="auto"/>
                                    <w:right w:val="none" w:sz="0" w:space="0" w:color="auto"/>
                                  </w:divBdr>
                                  <w:divsChild>
                                    <w:div w:id="121215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051931">
                          <w:marLeft w:val="0"/>
                          <w:marRight w:val="0"/>
                          <w:marTop w:val="0"/>
                          <w:marBottom w:val="0"/>
                          <w:divBdr>
                            <w:top w:val="none" w:sz="0" w:space="0" w:color="auto"/>
                            <w:left w:val="none" w:sz="0" w:space="0" w:color="auto"/>
                            <w:bottom w:val="none" w:sz="0" w:space="0" w:color="auto"/>
                            <w:right w:val="none" w:sz="0" w:space="0" w:color="auto"/>
                          </w:divBdr>
                          <w:divsChild>
                            <w:div w:id="1848515777">
                              <w:marLeft w:val="0"/>
                              <w:marRight w:val="0"/>
                              <w:marTop w:val="0"/>
                              <w:marBottom w:val="0"/>
                              <w:divBdr>
                                <w:top w:val="none" w:sz="0" w:space="0" w:color="auto"/>
                                <w:left w:val="none" w:sz="0" w:space="0" w:color="auto"/>
                                <w:bottom w:val="none" w:sz="0" w:space="0" w:color="auto"/>
                                <w:right w:val="none" w:sz="0" w:space="0" w:color="auto"/>
                              </w:divBdr>
                              <w:divsChild>
                                <w:div w:id="1426658499">
                                  <w:marLeft w:val="0"/>
                                  <w:marRight w:val="0"/>
                                  <w:marTop w:val="0"/>
                                  <w:marBottom w:val="0"/>
                                  <w:divBdr>
                                    <w:top w:val="none" w:sz="0" w:space="0" w:color="auto"/>
                                    <w:left w:val="none" w:sz="0" w:space="0" w:color="auto"/>
                                    <w:bottom w:val="none" w:sz="0" w:space="0" w:color="auto"/>
                                    <w:right w:val="none" w:sz="0" w:space="0" w:color="auto"/>
                                  </w:divBdr>
                                </w:div>
                                <w:div w:id="1988776154">
                                  <w:marLeft w:val="0"/>
                                  <w:marRight w:val="0"/>
                                  <w:marTop w:val="0"/>
                                  <w:marBottom w:val="0"/>
                                  <w:divBdr>
                                    <w:top w:val="none" w:sz="0" w:space="0" w:color="auto"/>
                                    <w:left w:val="none" w:sz="0" w:space="0" w:color="auto"/>
                                    <w:bottom w:val="none" w:sz="0" w:space="0" w:color="auto"/>
                                    <w:right w:val="none" w:sz="0" w:space="0" w:color="auto"/>
                                  </w:divBdr>
                                  <w:divsChild>
                                    <w:div w:id="252982178">
                                      <w:marLeft w:val="0"/>
                                      <w:marRight w:val="0"/>
                                      <w:marTop w:val="0"/>
                                      <w:marBottom w:val="0"/>
                                      <w:divBdr>
                                        <w:top w:val="none" w:sz="0" w:space="0" w:color="auto"/>
                                        <w:left w:val="none" w:sz="0" w:space="0" w:color="auto"/>
                                        <w:bottom w:val="none" w:sz="0" w:space="0" w:color="auto"/>
                                        <w:right w:val="none" w:sz="0" w:space="0" w:color="auto"/>
                                      </w:divBdr>
                                      <w:divsChild>
                                        <w:div w:id="787163559">
                                          <w:marLeft w:val="0"/>
                                          <w:marRight w:val="0"/>
                                          <w:marTop w:val="0"/>
                                          <w:marBottom w:val="0"/>
                                          <w:divBdr>
                                            <w:top w:val="none" w:sz="0" w:space="0" w:color="auto"/>
                                            <w:left w:val="none" w:sz="0" w:space="0" w:color="auto"/>
                                            <w:bottom w:val="none" w:sz="0" w:space="0" w:color="auto"/>
                                            <w:right w:val="none" w:sz="0" w:space="0" w:color="auto"/>
                                          </w:divBdr>
                                          <w:divsChild>
                                            <w:div w:id="340396415">
                                              <w:marLeft w:val="0"/>
                                              <w:marRight w:val="0"/>
                                              <w:marTop w:val="120"/>
                                              <w:marBottom w:val="0"/>
                                              <w:divBdr>
                                                <w:top w:val="none" w:sz="0" w:space="0" w:color="auto"/>
                                                <w:left w:val="none" w:sz="0" w:space="0" w:color="auto"/>
                                                <w:bottom w:val="none" w:sz="0" w:space="0" w:color="auto"/>
                                                <w:right w:val="none" w:sz="0" w:space="0" w:color="auto"/>
                                              </w:divBdr>
                                            </w:div>
                                            <w:div w:id="1651638920">
                                              <w:marLeft w:val="0"/>
                                              <w:marRight w:val="0"/>
                                              <w:marTop w:val="0"/>
                                              <w:marBottom w:val="0"/>
                                              <w:divBdr>
                                                <w:top w:val="none" w:sz="0" w:space="0" w:color="auto"/>
                                                <w:left w:val="none" w:sz="0" w:space="0" w:color="auto"/>
                                                <w:bottom w:val="none" w:sz="0" w:space="0" w:color="auto"/>
                                                <w:right w:val="none" w:sz="0" w:space="0" w:color="auto"/>
                                              </w:divBdr>
                                            </w:div>
                                          </w:divsChild>
                                        </w:div>
                                        <w:div w:id="502669084">
                                          <w:marLeft w:val="0"/>
                                          <w:marRight w:val="0"/>
                                          <w:marTop w:val="0"/>
                                          <w:marBottom w:val="0"/>
                                          <w:divBdr>
                                            <w:top w:val="none" w:sz="0" w:space="0" w:color="auto"/>
                                            <w:left w:val="none" w:sz="0" w:space="0" w:color="auto"/>
                                            <w:bottom w:val="none" w:sz="0" w:space="0" w:color="auto"/>
                                            <w:right w:val="none" w:sz="0" w:space="0" w:color="auto"/>
                                          </w:divBdr>
                                          <w:divsChild>
                                            <w:div w:id="1963341136">
                                              <w:marLeft w:val="0"/>
                                              <w:marRight w:val="0"/>
                                              <w:marTop w:val="120"/>
                                              <w:marBottom w:val="0"/>
                                              <w:divBdr>
                                                <w:top w:val="none" w:sz="0" w:space="0" w:color="auto"/>
                                                <w:left w:val="none" w:sz="0" w:space="0" w:color="auto"/>
                                                <w:bottom w:val="none" w:sz="0" w:space="0" w:color="auto"/>
                                                <w:right w:val="none" w:sz="0" w:space="0" w:color="auto"/>
                                              </w:divBdr>
                                            </w:div>
                                            <w:div w:id="130095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525160">
                                  <w:marLeft w:val="0"/>
                                  <w:marRight w:val="0"/>
                                  <w:marTop w:val="0"/>
                                  <w:marBottom w:val="0"/>
                                  <w:divBdr>
                                    <w:top w:val="none" w:sz="0" w:space="0" w:color="auto"/>
                                    <w:left w:val="none" w:sz="0" w:space="0" w:color="auto"/>
                                    <w:bottom w:val="none" w:sz="0" w:space="0" w:color="auto"/>
                                    <w:right w:val="none" w:sz="0" w:space="0" w:color="auto"/>
                                  </w:divBdr>
                                  <w:divsChild>
                                    <w:div w:id="1721172149">
                                      <w:marLeft w:val="0"/>
                                      <w:marRight w:val="0"/>
                                      <w:marTop w:val="0"/>
                                      <w:marBottom w:val="0"/>
                                      <w:divBdr>
                                        <w:top w:val="none" w:sz="0" w:space="0" w:color="auto"/>
                                        <w:left w:val="none" w:sz="0" w:space="0" w:color="auto"/>
                                        <w:bottom w:val="none" w:sz="0" w:space="0" w:color="auto"/>
                                        <w:right w:val="none" w:sz="0" w:space="0" w:color="auto"/>
                                      </w:divBdr>
                                      <w:divsChild>
                                        <w:div w:id="1732657039">
                                          <w:marLeft w:val="0"/>
                                          <w:marRight w:val="0"/>
                                          <w:marTop w:val="0"/>
                                          <w:marBottom w:val="0"/>
                                          <w:divBdr>
                                            <w:top w:val="none" w:sz="0" w:space="0" w:color="auto"/>
                                            <w:left w:val="none" w:sz="0" w:space="0" w:color="auto"/>
                                            <w:bottom w:val="none" w:sz="0" w:space="0" w:color="auto"/>
                                            <w:right w:val="none" w:sz="0" w:space="0" w:color="auto"/>
                                          </w:divBdr>
                                          <w:divsChild>
                                            <w:div w:id="1310862429">
                                              <w:marLeft w:val="0"/>
                                              <w:marRight w:val="0"/>
                                              <w:marTop w:val="120"/>
                                              <w:marBottom w:val="0"/>
                                              <w:divBdr>
                                                <w:top w:val="none" w:sz="0" w:space="0" w:color="auto"/>
                                                <w:left w:val="none" w:sz="0" w:space="0" w:color="auto"/>
                                                <w:bottom w:val="none" w:sz="0" w:space="0" w:color="auto"/>
                                                <w:right w:val="none" w:sz="0" w:space="0" w:color="auto"/>
                                              </w:divBdr>
                                            </w:div>
                                            <w:div w:id="71051156">
                                              <w:marLeft w:val="0"/>
                                              <w:marRight w:val="0"/>
                                              <w:marTop w:val="0"/>
                                              <w:marBottom w:val="0"/>
                                              <w:divBdr>
                                                <w:top w:val="none" w:sz="0" w:space="0" w:color="auto"/>
                                                <w:left w:val="none" w:sz="0" w:space="0" w:color="auto"/>
                                                <w:bottom w:val="none" w:sz="0" w:space="0" w:color="auto"/>
                                                <w:right w:val="none" w:sz="0" w:space="0" w:color="auto"/>
                                              </w:divBdr>
                                            </w:div>
                                          </w:divsChild>
                                        </w:div>
                                        <w:div w:id="2131777705">
                                          <w:marLeft w:val="0"/>
                                          <w:marRight w:val="0"/>
                                          <w:marTop w:val="0"/>
                                          <w:marBottom w:val="0"/>
                                          <w:divBdr>
                                            <w:top w:val="none" w:sz="0" w:space="0" w:color="auto"/>
                                            <w:left w:val="none" w:sz="0" w:space="0" w:color="auto"/>
                                            <w:bottom w:val="none" w:sz="0" w:space="0" w:color="auto"/>
                                            <w:right w:val="none" w:sz="0" w:space="0" w:color="auto"/>
                                          </w:divBdr>
                                          <w:divsChild>
                                            <w:div w:id="1542136024">
                                              <w:marLeft w:val="0"/>
                                              <w:marRight w:val="0"/>
                                              <w:marTop w:val="120"/>
                                              <w:marBottom w:val="0"/>
                                              <w:divBdr>
                                                <w:top w:val="none" w:sz="0" w:space="0" w:color="auto"/>
                                                <w:left w:val="none" w:sz="0" w:space="0" w:color="auto"/>
                                                <w:bottom w:val="none" w:sz="0" w:space="0" w:color="auto"/>
                                                <w:right w:val="none" w:sz="0" w:space="0" w:color="auto"/>
                                              </w:divBdr>
                                            </w:div>
                                            <w:div w:id="38452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001624">
                                  <w:marLeft w:val="0"/>
                                  <w:marRight w:val="0"/>
                                  <w:marTop w:val="0"/>
                                  <w:marBottom w:val="0"/>
                                  <w:divBdr>
                                    <w:top w:val="none" w:sz="0" w:space="0" w:color="auto"/>
                                    <w:left w:val="none" w:sz="0" w:space="0" w:color="auto"/>
                                    <w:bottom w:val="none" w:sz="0" w:space="0" w:color="auto"/>
                                    <w:right w:val="none" w:sz="0" w:space="0" w:color="auto"/>
                                  </w:divBdr>
                                  <w:divsChild>
                                    <w:div w:id="49349584">
                                      <w:marLeft w:val="0"/>
                                      <w:marRight w:val="0"/>
                                      <w:marTop w:val="0"/>
                                      <w:marBottom w:val="0"/>
                                      <w:divBdr>
                                        <w:top w:val="none" w:sz="0" w:space="0" w:color="auto"/>
                                        <w:left w:val="none" w:sz="0" w:space="0" w:color="auto"/>
                                        <w:bottom w:val="none" w:sz="0" w:space="0" w:color="auto"/>
                                        <w:right w:val="none" w:sz="0" w:space="0" w:color="auto"/>
                                      </w:divBdr>
                                    </w:div>
                                  </w:divsChild>
                                </w:div>
                                <w:div w:id="1974869752">
                                  <w:marLeft w:val="0"/>
                                  <w:marRight w:val="0"/>
                                  <w:marTop w:val="0"/>
                                  <w:marBottom w:val="0"/>
                                  <w:divBdr>
                                    <w:top w:val="none" w:sz="0" w:space="0" w:color="auto"/>
                                    <w:left w:val="none" w:sz="0" w:space="0" w:color="auto"/>
                                    <w:bottom w:val="none" w:sz="0" w:space="0" w:color="auto"/>
                                    <w:right w:val="none" w:sz="0" w:space="0" w:color="auto"/>
                                  </w:divBdr>
                                  <w:divsChild>
                                    <w:div w:id="1352293439">
                                      <w:marLeft w:val="0"/>
                                      <w:marRight w:val="0"/>
                                      <w:marTop w:val="0"/>
                                      <w:marBottom w:val="0"/>
                                      <w:divBdr>
                                        <w:top w:val="none" w:sz="0" w:space="0" w:color="auto"/>
                                        <w:left w:val="none" w:sz="0" w:space="0" w:color="auto"/>
                                        <w:bottom w:val="none" w:sz="0" w:space="0" w:color="auto"/>
                                        <w:right w:val="none" w:sz="0" w:space="0" w:color="auto"/>
                                      </w:divBdr>
                                      <w:divsChild>
                                        <w:div w:id="405883615">
                                          <w:marLeft w:val="0"/>
                                          <w:marRight w:val="0"/>
                                          <w:marTop w:val="0"/>
                                          <w:marBottom w:val="0"/>
                                          <w:divBdr>
                                            <w:top w:val="none" w:sz="0" w:space="0" w:color="auto"/>
                                            <w:left w:val="none" w:sz="0" w:space="0" w:color="auto"/>
                                            <w:bottom w:val="none" w:sz="0" w:space="0" w:color="auto"/>
                                            <w:right w:val="none" w:sz="0" w:space="0" w:color="auto"/>
                                          </w:divBdr>
                                          <w:divsChild>
                                            <w:div w:id="1732194020">
                                              <w:marLeft w:val="0"/>
                                              <w:marRight w:val="0"/>
                                              <w:marTop w:val="120"/>
                                              <w:marBottom w:val="0"/>
                                              <w:divBdr>
                                                <w:top w:val="none" w:sz="0" w:space="0" w:color="auto"/>
                                                <w:left w:val="none" w:sz="0" w:space="0" w:color="auto"/>
                                                <w:bottom w:val="none" w:sz="0" w:space="0" w:color="auto"/>
                                                <w:right w:val="none" w:sz="0" w:space="0" w:color="auto"/>
                                              </w:divBdr>
                                            </w:div>
                                            <w:div w:id="2028211328">
                                              <w:marLeft w:val="0"/>
                                              <w:marRight w:val="0"/>
                                              <w:marTop w:val="0"/>
                                              <w:marBottom w:val="0"/>
                                              <w:divBdr>
                                                <w:top w:val="none" w:sz="0" w:space="0" w:color="auto"/>
                                                <w:left w:val="none" w:sz="0" w:space="0" w:color="auto"/>
                                                <w:bottom w:val="none" w:sz="0" w:space="0" w:color="auto"/>
                                                <w:right w:val="none" w:sz="0" w:space="0" w:color="auto"/>
                                              </w:divBdr>
                                            </w:div>
                                          </w:divsChild>
                                        </w:div>
                                        <w:div w:id="797574129">
                                          <w:marLeft w:val="0"/>
                                          <w:marRight w:val="0"/>
                                          <w:marTop w:val="0"/>
                                          <w:marBottom w:val="0"/>
                                          <w:divBdr>
                                            <w:top w:val="none" w:sz="0" w:space="0" w:color="auto"/>
                                            <w:left w:val="none" w:sz="0" w:space="0" w:color="auto"/>
                                            <w:bottom w:val="none" w:sz="0" w:space="0" w:color="auto"/>
                                            <w:right w:val="none" w:sz="0" w:space="0" w:color="auto"/>
                                          </w:divBdr>
                                          <w:divsChild>
                                            <w:div w:id="2116634997">
                                              <w:marLeft w:val="0"/>
                                              <w:marRight w:val="0"/>
                                              <w:marTop w:val="120"/>
                                              <w:marBottom w:val="0"/>
                                              <w:divBdr>
                                                <w:top w:val="none" w:sz="0" w:space="0" w:color="auto"/>
                                                <w:left w:val="none" w:sz="0" w:space="0" w:color="auto"/>
                                                <w:bottom w:val="none" w:sz="0" w:space="0" w:color="auto"/>
                                                <w:right w:val="none" w:sz="0" w:space="0" w:color="auto"/>
                                              </w:divBdr>
                                            </w:div>
                                            <w:div w:id="59671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5254">
                                  <w:marLeft w:val="0"/>
                                  <w:marRight w:val="0"/>
                                  <w:marTop w:val="0"/>
                                  <w:marBottom w:val="0"/>
                                  <w:divBdr>
                                    <w:top w:val="none" w:sz="0" w:space="0" w:color="auto"/>
                                    <w:left w:val="none" w:sz="0" w:space="0" w:color="auto"/>
                                    <w:bottom w:val="none" w:sz="0" w:space="0" w:color="auto"/>
                                    <w:right w:val="none" w:sz="0" w:space="0" w:color="auto"/>
                                  </w:divBdr>
                                  <w:divsChild>
                                    <w:div w:id="688289821">
                                      <w:marLeft w:val="0"/>
                                      <w:marRight w:val="0"/>
                                      <w:marTop w:val="0"/>
                                      <w:marBottom w:val="0"/>
                                      <w:divBdr>
                                        <w:top w:val="none" w:sz="0" w:space="0" w:color="auto"/>
                                        <w:left w:val="none" w:sz="0" w:space="0" w:color="auto"/>
                                        <w:bottom w:val="none" w:sz="0" w:space="0" w:color="auto"/>
                                        <w:right w:val="none" w:sz="0" w:space="0" w:color="auto"/>
                                      </w:divBdr>
                                    </w:div>
                                  </w:divsChild>
                                </w:div>
                                <w:div w:id="1275864291">
                                  <w:marLeft w:val="0"/>
                                  <w:marRight w:val="0"/>
                                  <w:marTop w:val="0"/>
                                  <w:marBottom w:val="0"/>
                                  <w:divBdr>
                                    <w:top w:val="none" w:sz="0" w:space="0" w:color="auto"/>
                                    <w:left w:val="none" w:sz="0" w:space="0" w:color="auto"/>
                                    <w:bottom w:val="none" w:sz="0" w:space="0" w:color="auto"/>
                                    <w:right w:val="none" w:sz="0" w:space="0" w:color="auto"/>
                                  </w:divBdr>
                                  <w:divsChild>
                                    <w:div w:id="1253196196">
                                      <w:marLeft w:val="0"/>
                                      <w:marRight w:val="0"/>
                                      <w:marTop w:val="0"/>
                                      <w:marBottom w:val="0"/>
                                      <w:divBdr>
                                        <w:top w:val="none" w:sz="0" w:space="0" w:color="auto"/>
                                        <w:left w:val="none" w:sz="0" w:space="0" w:color="auto"/>
                                        <w:bottom w:val="none" w:sz="0" w:space="0" w:color="auto"/>
                                        <w:right w:val="none" w:sz="0" w:space="0" w:color="auto"/>
                                      </w:divBdr>
                                      <w:divsChild>
                                        <w:div w:id="691567314">
                                          <w:marLeft w:val="0"/>
                                          <w:marRight w:val="0"/>
                                          <w:marTop w:val="0"/>
                                          <w:marBottom w:val="0"/>
                                          <w:divBdr>
                                            <w:top w:val="none" w:sz="0" w:space="0" w:color="auto"/>
                                            <w:left w:val="none" w:sz="0" w:space="0" w:color="auto"/>
                                            <w:bottom w:val="none" w:sz="0" w:space="0" w:color="auto"/>
                                            <w:right w:val="none" w:sz="0" w:space="0" w:color="auto"/>
                                          </w:divBdr>
                                          <w:divsChild>
                                            <w:div w:id="782115503">
                                              <w:marLeft w:val="0"/>
                                              <w:marRight w:val="0"/>
                                              <w:marTop w:val="120"/>
                                              <w:marBottom w:val="0"/>
                                              <w:divBdr>
                                                <w:top w:val="none" w:sz="0" w:space="0" w:color="auto"/>
                                                <w:left w:val="none" w:sz="0" w:space="0" w:color="auto"/>
                                                <w:bottom w:val="none" w:sz="0" w:space="0" w:color="auto"/>
                                                <w:right w:val="none" w:sz="0" w:space="0" w:color="auto"/>
                                              </w:divBdr>
                                            </w:div>
                                            <w:div w:id="799112682">
                                              <w:marLeft w:val="0"/>
                                              <w:marRight w:val="0"/>
                                              <w:marTop w:val="0"/>
                                              <w:marBottom w:val="0"/>
                                              <w:divBdr>
                                                <w:top w:val="none" w:sz="0" w:space="0" w:color="auto"/>
                                                <w:left w:val="none" w:sz="0" w:space="0" w:color="auto"/>
                                                <w:bottom w:val="none" w:sz="0" w:space="0" w:color="auto"/>
                                                <w:right w:val="none" w:sz="0" w:space="0" w:color="auto"/>
                                              </w:divBdr>
                                            </w:div>
                                          </w:divsChild>
                                        </w:div>
                                        <w:div w:id="1369599015">
                                          <w:marLeft w:val="0"/>
                                          <w:marRight w:val="0"/>
                                          <w:marTop w:val="0"/>
                                          <w:marBottom w:val="0"/>
                                          <w:divBdr>
                                            <w:top w:val="none" w:sz="0" w:space="0" w:color="auto"/>
                                            <w:left w:val="none" w:sz="0" w:space="0" w:color="auto"/>
                                            <w:bottom w:val="none" w:sz="0" w:space="0" w:color="auto"/>
                                            <w:right w:val="none" w:sz="0" w:space="0" w:color="auto"/>
                                          </w:divBdr>
                                          <w:divsChild>
                                            <w:div w:id="1775512152">
                                              <w:marLeft w:val="0"/>
                                              <w:marRight w:val="0"/>
                                              <w:marTop w:val="120"/>
                                              <w:marBottom w:val="0"/>
                                              <w:divBdr>
                                                <w:top w:val="none" w:sz="0" w:space="0" w:color="auto"/>
                                                <w:left w:val="none" w:sz="0" w:space="0" w:color="auto"/>
                                                <w:bottom w:val="none" w:sz="0" w:space="0" w:color="auto"/>
                                                <w:right w:val="none" w:sz="0" w:space="0" w:color="auto"/>
                                              </w:divBdr>
                                            </w:div>
                                            <w:div w:id="14937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61300">
                                  <w:marLeft w:val="0"/>
                                  <w:marRight w:val="0"/>
                                  <w:marTop w:val="0"/>
                                  <w:marBottom w:val="0"/>
                                  <w:divBdr>
                                    <w:top w:val="none" w:sz="0" w:space="0" w:color="auto"/>
                                    <w:left w:val="none" w:sz="0" w:space="0" w:color="auto"/>
                                    <w:bottom w:val="none" w:sz="0" w:space="0" w:color="auto"/>
                                    <w:right w:val="none" w:sz="0" w:space="0" w:color="auto"/>
                                  </w:divBdr>
                                  <w:divsChild>
                                    <w:div w:id="1422992379">
                                      <w:marLeft w:val="0"/>
                                      <w:marRight w:val="0"/>
                                      <w:marTop w:val="0"/>
                                      <w:marBottom w:val="0"/>
                                      <w:divBdr>
                                        <w:top w:val="none" w:sz="0" w:space="0" w:color="auto"/>
                                        <w:left w:val="none" w:sz="0" w:space="0" w:color="auto"/>
                                        <w:bottom w:val="none" w:sz="0" w:space="0" w:color="auto"/>
                                        <w:right w:val="none" w:sz="0" w:space="0" w:color="auto"/>
                                      </w:divBdr>
                                      <w:divsChild>
                                        <w:div w:id="1152674738">
                                          <w:marLeft w:val="0"/>
                                          <w:marRight w:val="0"/>
                                          <w:marTop w:val="0"/>
                                          <w:marBottom w:val="0"/>
                                          <w:divBdr>
                                            <w:top w:val="none" w:sz="0" w:space="0" w:color="auto"/>
                                            <w:left w:val="none" w:sz="0" w:space="0" w:color="auto"/>
                                            <w:bottom w:val="none" w:sz="0" w:space="0" w:color="auto"/>
                                            <w:right w:val="none" w:sz="0" w:space="0" w:color="auto"/>
                                          </w:divBdr>
                                          <w:divsChild>
                                            <w:div w:id="896622116">
                                              <w:marLeft w:val="0"/>
                                              <w:marRight w:val="0"/>
                                              <w:marTop w:val="120"/>
                                              <w:marBottom w:val="0"/>
                                              <w:divBdr>
                                                <w:top w:val="none" w:sz="0" w:space="0" w:color="auto"/>
                                                <w:left w:val="none" w:sz="0" w:space="0" w:color="auto"/>
                                                <w:bottom w:val="none" w:sz="0" w:space="0" w:color="auto"/>
                                                <w:right w:val="none" w:sz="0" w:space="0" w:color="auto"/>
                                              </w:divBdr>
                                            </w:div>
                                            <w:div w:id="778380109">
                                              <w:marLeft w:val="0"/>
                                              <w:marRight w:val="0"/>
                                              <w:marTop w:val="0"/>
                                              <w:marBottom w:val="0"/>
                                              <w:divBdr>
                                                <w:top w:val="none" w:sz="0" w:space="0" w:color="auto"/>
                                                <w:left w:val="none" w:sz="0" w:space="0" w:color="auto"/>
                                                <w:bottom w:val="none" w:sz="0" w:space="0" w:color="auto"/>
                                                <w:right w:val="none" w:sz="0" w:space="0" w:color="auto"/>
                                              </w:divBdr>
                                            </w:div>
                                          </w:divsChild>
                                        </w:div>
                                        <w:div w:id="1920939080">
                                          <w:marLeft w:val="0"/>
                                          <w:marRight w:val="0"/>
                                          <w:marTop w:val="0"/>
                                          <w:marBottom w:val="0"/>
                                          <w:divBdr>
                                            <w:top w:val="none" w:sz="0" w:space="0" w:color="auto"/>
                                            <w:left w:val="none" w:sz="0" w:space="0" w:color="auto"/>
                                            <w:bottom w:val="none" w:sz="0" w:space="0" w:color="auto"/>
                                            <w:right w:val="none" w:sz="0" w:space="0" w:color="auto"/>
                                          </w:divBdr>
                                          <w:divsChild>
                                            <w:div w:id="709912392">
                                              <w:marLeft w:val="0"/>
                                              <w:marRight w:val="0"/>
                                              <w:marTop w:val="120"/>
                                              <w:marBottom w:val="0"/>
                                              <w:divBdr>
                                                <w:top w:val="none" w:sz="0" w:space="0" w:color="auto"/>
                                                <w:left w:val="none" w:sz="0" w:space="0" w:color="auto"/>
                                                <w:bottom w:val="none" w:sz="0" w:space="0" w:color="auto"/>
                                                <w:right w:val="none" w:sz="0" w:space="0" w:color="auto"/>
                                              </w:divBdr>
                                            </w:div>
                                            <w:div w:id="134840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04045">
                                  <w:marLeft w:val="0"/>
                                  <w:marRight w:val="0"/>
                                  <w:marTop w:val="0"/>
                                  <w:marBottom w:val="0"/>
                                  <w:divBdr>
                                    <w:top w:val="none" w:sz="0" w:space="0" w:color="auto"/>
                                    <w:left w:val="none" w:sz="0" w:space="0" w:color="auto"/>
                                    <w:bottom w:val="none" w:sz="0" w:space="0" w:color="auto"/>
                                    <w:right w:val="none" w:sz="0" w:space="0" w:color="auto"/>
                                  </w:divBdr>
                                  <w:divsChild>
                                    <w:div w:id="215316350">
                                      <w:marLeft w:val="0"/>
                                      <w:marRight w:val="0"/>
                                      <w:marTop w:val="0"/>
                                      <w:marBottom w:val="0"/>
                                      <w:divBdr>
                                        <w:top w:val="none" w:sz="0" w:space="0" w:color="auto"/>
                                        <w:left w:val="none" w:sz="0" w:space="0" w:color="auto"/>
                                        <w:bottom w:val="none" w:sz="0" w:space="0" w:color="auto"/>
                                        <w:right w:val="none" w:sz="0" w:space="0" w:color="auto"/>
                                      </w:divBdr>
                                    </w:div>
                                  </w:divsChild>
                                </w:div>
                                <w:div w:id="675038705">
                                  <w:marLeft w:val="0"/>
                                  <w:marRight w:val="0"/>
                                  <w:marTop w:val="0"/>
                                  <w:marBottom w:val="0"/>
                                  <w:divBdr>
                                    <w:top w:val="none" w:sz="0" w:space="0" w:color="auto"/>
                                    <w:left w:val="none" w:sz="0" w:space="0" w:color="auto"/>
                                    <w:bottom w:val="none" w:sz="0" w:space="0" w:color="auto"/>
                                    <w:right w:val="none" w:sz="0" w:space="0" w:color="auto"/>
                                  </w:divBdr>
                                  <w:divsChild>
                                    <w:div w:id="1771198985">
                                      <w:marLeft w:val="0"/>
                                      <w:marRight w:val="0"/>
                                      <w:marTop w:val="0"/>
                                      <w:marBottom w:val="0"/>
                                      <w:divBdr>
                                        <w:top w:val="none" w:sz="0" w:space="0" w:color="auto"/>
                                        <w:left w:val="none" w:sz="0" w:space="0" w:color="auto"/>
                                        <w:bottom w:val="none" w:sz="0" w:space="0" w:color="auto"/>
                                        <w:right w:val="none" w:sz="0" w:space="0" w:color="auto"/>
                                      </w:divBdr>
                                    </w:div>
                                  </w:divsChild>
                                </w:div>
                                <w:div w:id="524054601">
                                  <w:marLeft w:val="0"/>
                                  <w:marRight w:val="0"/>
                                  <w:marTop w:val="0"/>
                                  <w:marBottom w:val="0"/>
                                  <w:divBdr>
                                    <w:top w:val="none" w:sz="0" w:space="0" w:color="auto"/>
                                    <w:left w:val="none" w:sz="0" w:space="0" w:color="auto"/>
                                    <w:bottom w:val="none" w:sz="0" w:space="0" w:color="auto"/>
                                    <w:right w:val="none" w:sz="0" w:space="0" w:color="auto"/>
                                  </w:divBdr>
                                  <w:divsChild>
                                    <w:div w:id="1126267686">
                                      <w:marLeft w:val="0"/>
                                      <w:marRight w:val="0"/>
                                      <w:marTop w:val="0"/>
                                      <w:marBottom w:val="0"/>
                                      <w:divBdr>
                                        <w:top w:val="none" w:sz="0" w:space="0" w:color="auto"/>
                                        <w:left w:val="none" w:sz="0" w:space="0" w:color="auto"/>
                                        <w:bottom w:val="none" w:sz="0" w:space="0" w:color="auto"/>
                                        <w:right w:val="none" w:sz="0" w:space="0" w:color="auto"/>
                                      </w:divBdr>
                                    </w:div>
                                  </w:divsChild>
                                </w:div>
                                <w:div w:id="1348942996">
                                  <w:marLeft w:val="0"/>
                                  <w:marRight w:val="0"/>
                                  <w:marTop w:val="0"/>
                                  <w:marBottom w:val="0"/>
                                  <w:divBdr>
                                    <w:top w:val="none" w:sz="0" w:space="0" w:color="auto"/>
                                    <w:left w:val="none" w:sz="0" w:space="0" w:color="auto"/>
                                    <w:bottom w:val="none" w:sz="0" w:space="0" w:color="auto"/>
                                    <w:right w:val="none" w:sz="0" w:space="0" w:color="auto"/>
                                  </w:divBdr>
                                  <w:divsChild>
                                    <w:div w:id="1307859343">
                                      <w:marLeft w:val="0"/>
                                      <w:marRight w:val="0"/>
                                      <w:marTop w:val="120"/>
                                      <w:marBottom w:val="0"/>
                                      <w:divBdr>
                                        <w:top w:val="none" w:sz="0" w:space="0" w:color="auto"/>
                                        <w:left w:val="none" w:sz="0" w:space="0" w:color="auto"/>
                                        <w:bottom w:val="none" w:sz="0" w:space="0" w:color="auto"/>
                                        <w:right w:val="none" w:sz="0" w:space="0" w:color="auto"/>
                                      </w:divBdr>
                                    </w:div>
                                    <w:div w:id="1786801976">
                                      <w:marLeft w:val="0"/>
                                      <w:marRight w:val="0"/>
                                      <w:marTop w:val="0"/>
                                      <w:marBottom w:val="0"/>
                                      <w:divBdr>
                                        <w:top w:val="none" w:sz="0" w:space="0" w:color="auto"/>
                                        <w:left w:val="none" w:sz="0" w:space="0" w:color="auto"/>
                                        <w:bottom w:val="none" w:sz="0" w:space="0" w:color="auto"/>
                                        <w:right w:val="none" w:sz="0" w:space="0" w:color="auto"/>
                                      </w:divBdr>
                                    </w:div>
                                  </w:divsChild>
                                </w:div>
                                <w:div w:id="1421490904">
                                  <w:marLeft w:val="0"/>
                                  <w:marRight w:val="0"/>
                                  <w:marTop w:val="0"/>
                                  <w:marBottom w:val="0"/>
                                  <w:divBdr>
                                    <w:top w:val="none" w:sz="0" w:space="0" w:color="auto"/>
                                    <w:left w:val="none" w:sz="0" w:space="0" w:color="auto"/>
                                    <w:bottom w:val="none" w:sz="0" w:space="0" w:color="auto"/>
                                    <w:right w:val="none" w:sz="0" w:space="0" w:color="auto"/>
                                  </w:divBdr>
                                  <w:divsChild>
                                    <w:div w:id="484902369">
                                      <w:marLeft w:val="0"/>
                                      <w:marRight w:val="0"/>
                                      <w:marTop w:val="120"/>
                                      <w:marBottom w:val="0"/>
                                      <w:divBdr>
                                        <w:top w:val="none" w:sz="0" w:space="0" w:color="auto"/>
                                        <w:left w:val="none" w:sz="0" w:space="0" w:color="auto"/>
                                        <w:bottom w:val="none" w:sz="0" w:space="0" w:color="auto"/>
                                        <w:right w:val="none" w:sz="0" w:space="0" w:color="auto"/>
                                      </w:divBdr>
                                    </w:div>
                                    <w:div w:id="566231556">
                                      <w:marLeft w:val="0"/>
                                      <w:marRight w:val="0"/>
                                      <w:marTop w:val="0"/>
                                      <w:marBottom w:val="0"/>
                                      <w:divBdr>
                                        <w:top w:val="none" w:sz="0" w:space="0" w:color="auto"/>
                                        <w:left w:val="none" w:sz="0" w:space="0" w:color="auto"/>
                                        <w:bottom w:val="none" w:sz="0" w:space="0" w:color="auto"/>
                                        <w:right w:val="none" w:sz="0" w:space="0" w:color="auto"/>
                                      </w:divBdr>
                                    </w:div>
                                  </w:divsChild>
                                </w:div>
                                <w:div w:id="1173299362">
                                  <w:marLeft w:val="0"/>
                                  <w:marRight w:val="0"/>
                                  <w:marTop w:val="0"/>
                                  <w:marBottom w:val="0"/>
                                  <w:divBdr>
                                    <w:top w:val="none" w:sz="0" w:space="0" w:color="auto"/>
                                    <w:left w:val="none" w:sz="0" w:space="0" w:color="auto"/>
                                    <w:bottom w:val="none" w:sz="0" w:space="0" w:color="auto"/>
                                    <w:right w:val="none" w:sz="0" w:space="0" w:color="auto"/>
                                  </w:divBdr>
                                  <w:divsChild>
                                    <w:div w:id="110591300">
                                      <w:marLeft w:val="0"/>
                                      <w:marRight w:val="0"/>
                                      <w:marTop w:val="0"/>
                                      <w:marBottom w:val="0"/>
                                      <w:divBdr>
                                        <w:top w:val="none" w:sz="0" w:space="0" w:color="auto"/>
                                        <w:left w:val="none" w:sz="0" w:space="0" w:color="auto"/>
                                        <w:bottom w:val="none" w:sz="0" w:space="0" w:color="auto"/>
                                        <w:right w:val="none" w:sz="0" w:space="0" w:color="auto"/>
                                      </w:divBdr>
                                    </w:div>
                                  </w:divsChild>
                                </w:div>
                                <w:div w:id="2015911528">
                                  <w:marLeft w:val="0"/>
                                  <w:marRight w:val="0"/>
                                  <w:marTop w:val="0"/>
                                  <w:marBottom w:val="0"/>
                                  <w:divBdr>
                                    <w:top w:val="none" w:sz="0" w:space="0" w:color="auto"/>
                                    <w:left w:val="none" w:sz="0" w:space="0" w:color="auto"/>
                                    <w:bottom w:val="none" w:sz="0" w:space="0" w:color="auto"/>
                                    <w:right w:val="none" w:sz="0" w:space="0" w:color="auto"/>
                                  </w:divBdr>
                                  <w:divsChild>
                                    <w:div w:id="174622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1981">
                              <w:marLeft w:val="0"/>
                              <w:marRight w:val="0"/>
                              <w:marTop w:val="0"/>
                              <w:marBottom w:val="0"/>
                              <w:divBdr>
                                <w:top w:val="none" w:sz="0" w:space="0" w:color="auto"/>
                                <w:left w:val="none" w:sz="0" w:space="0" w:color="auto"/>
                                <w:bottom w:val="none" w:sz="0" w:space="0" w:color="auto"/>
                                <w:right w:val="none" w:sz="0" w:space="0" w:color="auto"/>
                              </w:divBdr>
                              <w:divsChild>
                                <w:div w:id="430198081">
                                  <w:marLeft w:val="0"/>
                                  <w:marRight w:val="0"/>
                                  <w:marTop w:val="0"/>
                                  <w:marBottom w:val="0"/>
                                  <w:divBdr>
                                    <w:top w:val="none" w:sz="0" w:space="0" w:color="auto"/>
                                    <w:left w:val="none" w:sz="0" w:space="0" w:color="auto"/>
                                    <w:bottom w:val="none" w:sz="0" w:space="0" w:color="auto"/>
                                    <w:right w:val="none" w:sz="0" w:space="0" w:color="auto"/>
                                  </w:divBdr>
                                </w:div>
                                <w:div w:id="2120562181">
                                  <w:marLeft w:val="0"/>
                                  <w:marRight w:val="0"/>
                                  <w:marTop w:val="0"/>
                                  <w:marBottom w:val="0"/>
                                  <w:divBdr>
                                    <w:top w:val="none" w:sz="0" w:space="0" w:color="auto"/>
                                    <w:left w:val="none" w:sz="0" w:space="0" w:color="auto"/>
                                    <w:bottom w:val="none" w:sz="0" w:space="0" w:color="auto"/>
                                    <w:right w:val="none" w:sz="0" w:space="0" w:color="auto"/>
                                  </w:divBdr>
                                  <w:divsChild>
                                    <w:div w:id="1732532237">
                                      <w:marLeft w:val="0"/>
                                      <w:marRight w:val="0"/>
                                      <w:marTop w:val="0"/>
                                      <w:marBottom w:val="0"/>
                                      <w:divBdr>
                                        <w:top w:val="none" w:sz="0" w:space="0" w:color="auto"/>
                                        <w:left w:val="none" w:sz="0" w:space="0" w:color="auto"/>
                                        <w:bottom w:val="none" w:sz="0" w:space="0" w:color="auto"/>
                                        <w:right w:val="none" w:sz="0" w:space="0" w:color="auto"/>
                                      </w:divBdr>
                                      <w:divsChild>
                                        <w:div w:id="1686402509">
                                          <w:marLeft w:val="0"/>
                                          <w:marRight w:val="0"/>
                                          <w:marTop w:val="0"/>
                                          <w:marBottom w:val="0"/>
                                          <w:divBdr>
                                            <w:top w:val="none" w:sz="0" w:space="0" w:color="auto"/>
                                            <w:left w:val="none" w:sz="0" w:space="0" w:color="auto"/>
                                            <w:bottom w:val="none" w:sz="0" w:space="0" w:color="auto"/>
                                            <w:right w:val="none" w:sz="0" w:space="0" w:color="auto"/>
                                          </w:divBdr>
                                          <w:divsChild>
                                            <w:div w:id="1584489055">
                                              <w:marLeft w:val="0"/>
                                              <w:marRight w:val="0"/>
                                              <w:marTop w:val="120"/>
                                              <w:marBottom w:val="0"/>
                                              <w:divBdr>
                                                <w:top w:val="none" w:sz="0" w:space="0" w:color="auto"/>
                                                <w:left w:val="none" w:sz="0" w:space="0" w:color="auto"/>
                                                <w:bottom w:val="none" w:sz="0" w:space="0" w:color="auto"/>
                                                <w:right w:val="none" w:sz="0" w:space="0" w:color="auto"/>
                                              </w:divBdr>
                                            </w:div>
                                            <w:div w:id="1821917168">
                                              <w:marLeft w:val="0"/>
                                              <w:marRight w:val="0"/>
                                              <w:marTop w:val="0"/>
                                              <w:marBottom w:val="0"/>
                                              <w:divBdr>
                                                <w:top w:val="none" w:sz="0" w:space="0" w:color="auto"/>
                                                <w:left w:val="none" w:sz="0" w:space="0" w:color="auto"/>
                                                <w:bottom w:val="none" w:sz="0" w:space="0" w:color="auto"/>
                                                <w:right w:val="none" w:sz="0" w:space="0" w:color="auto"/>
                                              </w:divBdr>
                                            </w:div>
                                          </w:divsChild>
                                        </w:div>
                                        <w:div w:id="1413698839">
                                          <w:marLeft w:val="0"/>
                                          <w:marRight w:val="0"/>
                                          <w:marTop w:val="0"/>
                                          <w:marBottom w:val="0"/>
                                          <w:divBdr>
                                            <w:top w:val="none" w:sz="0" w:space="0" w:color="auto"/>
                                            <w:left w:val="none" w:sz="0" w:space="0" w:color="auto"/>
                                            <w:bottom w:val="none" w:sz="0" w:space="0" w:color="auto"/>
                                            <w:right w:val="none" w:sz="0" w:space="0" w:color="auto"/>
                                          </w:divBdr>
                                          <w:divsChild>
                                            <w:div w:id="1594047959">
                                              <w:marLeft w:val="0"/>
                                              <w:marRight w:val="0"/>
                                              <w:marTop w:val="120"/>
                                              <w:marBottom w:val="0"/>
                                              <w:divBdr>
                                                <w:top w:val="none" w:sz="0" w:space="0" w:color="auto"/>
                                                <w:left w:val="none" w:sz="0" w:space="0" w:color="auto"/>
                                                <w:bottom w:val="none" w:sz="0" w:space="0" w:color="auto"/>
                                                <w:right w:val="none" w:sz="0" w:space="0" w:color="auto"/>
                                              </w:divBdr>
                                            </w:div>
                                            <w:div w:id="1796368563">
                                              <w:marLeft w:val="0"/>
                                              <w:marRight w:val="0"/>
                                              <w:marTop w:val="0"/>
                                              <w:marBottom w:val="0"/>
                                              <w:divBdr>
                                                <w:top w:val="none" w:sz="0" w:space="0" w:color="auto"/>
                                                <w:left w:val="none" w:sz="0" w:space="0" w:color="auto"/>
                                                <w:bottom w:val="none" w:sz="0" w:space="0" w:color="auto"/>
                                                <w:right w:val="none" w:sz="0" w:space="0" w:color="auto"/>
                                              </w:divBdr>
                                            </w:div>
                                          </w:divsChild>
                                        </w:div>
                                        <w:div w:id="703140887">
                                          <w:marLeft w:val="0"/>
                                          <w:marRight w:val="0"/>
                                          <w:marTop w:val="0"/>
                                          <w:marBottom w:val="0"/>
                                          <w:divBdr>
                                            <w:top w:val="none" w:sz="0" w:space="0" w:color="auto"/>
                                            <w:left w:val="none" w:sz="0" w:space="0" w:color="auto"/>
                                            <w:bottom w:val="none" w:sz="0" w:space="0" w:color="auto"/>
                                            <w:right w:val="none" w:sz="0" w:space="0" w:color="auto"/>
                                          </w:divBdr>
                                          <w:divsChild>
                                            <w:div w:id="1775637581">
                                              <w:marLeft w:val="0"/>
                                              <w:marRight w:val="0"/>
                                              <w:marTop w:val="120"/>
                                              <w:marBottom w:val="0"/>
                                              <w:divBdr>
                                                <w:top w:val="none" w:sz="0" w:space="0" w:color="auto"/>
                                                <w:left w:val="none" w:sz="0" w:space="0" w:color="auto"/>
                                                <w:bottom w:val="none" w:sz="0" w:space="0" w:color="auto"/>
                                                <w:right w:val="none" w:sz="0" w:space="0" w:color="auto"/>
                                              </w:divBdr>
                                            </w:div>
                                            <w:div w:id="1623656776">
                                              <w:marLeft w:val="0"/>
                                              <w:marRight w:val="0"/>
                                              <w:marTop w:val="0"/>
                                              <w:marBottom w:val="0"/>
                                              <w:divBdr>
                                                <w:top w:val="none" w:sz="0" w:space="0" w:color="auto"/>
                                                <w:left w:val="none" w:sz="0" w:space="0" w:color="auto"/>
                                                <w:bottom w:val="none" w:sz="0" w:space="0" w:color="auto"/>
                                                <w:right w:val="none" w:sz="0" w:space="0" w:color="auto"/>
                                              </w:divBdr>
                                            </w:div>
                                          </w:divsChild>
                                        </w:div>
                                        <w:div w:id="1801146679">
                                          <w:marLeft w:val="0"/>
                                          <w:marRight w:val="0"/>
                                          <w:marTop w:val="0"/>
                                          <w:marBottom w:val="0"/>
                                          <w:divBdr>
                                            <w:top w:val="none" w:sz="0" w:space="0" w:color="auto"/>
                                            <w:left w:val="none" w:sz="0" w:space="0" w:color="auto"/>
                                            <w:bottom w:val="none" w:sz="0" w:space="0" w:color="auto"/>
                                            <w:right w:val="none" w:sz="0" w:space="0" w:color="auto"/>
                                          </w:divBdr>
                                          <w:divsChild>
                                            <w:div w:id="835607423">
                                              <w:marLeft w:val="0"/>
                                              <w:marRight w:val="0"/>
                                              <w:marTop w:val="120"/>
                                              <w:marBottom w:val="0"/>
                                              <w:divBdr>
                                                <w:top w:val="none" w:sz="0" w:space="0" w:color="auto"/>
                                                <w:left w:val="none" w:sz="0" w:space="0" w:color="auto"/>
                                                <w:bottom w:val="none" w:sz="0" w:space="0" w:color="auto"/>
                                                <w:right w:val="none" w:sz="0" w:space="0" w:color="auto"/>
                                              </w:divBdr>
                                            </w:div>
                                            <w:div w:id="834107226">
                                              <w:marLeft w:val="0"/>
                                              <w:marRight w:val="0"/>
                                              <w:marTop w:val="0"/>
                                              <w:marBottom w:val="0"/>
                                              <w:divBdr>
                                                <w:top w:val="none" w:sz="0" w:space="0" w:color="auto"/>
                                                <w:left w:val="none" w:sz="0" w:space="0" w:color="auto"/>
                                                <w:bottom w:val="none" w:sz="0" w:space="0" w:color="auto"/>
                                                <w:right w:val="none" w:sz="0" w:space="0" w:color="auto"/>
                                              </w:divBdr>
                                            </w:div>
                                          </w:divsChild>
                                        </w:div>
                                        <w:div w:id="2107731225">
                                          <w:marLeft w:val="0"/>
                                          <w:marRight w:val="0"/>
                                          <w:marTop w:val="0"/>
                                          <w:marBottom w:val="0"/>
                                          <w:divBdr>
                                            <w:top w:val="none" w:sz="0" w:space="0" w:color="auto"/>
                                            <w:left w:val="none" w:sz="0" w:space="0" w:color="auto"/>
                                            <w:bottom w:val="none" w:sz="0" w:space="0" w:color="auto"/>
                                            <w:right w:val="none" w:sz="0" w:space="0" w:color="auto"/>
                                          </w:divBdr>
                                          <w:divsChild>
                                            <w:div w:id="1173908427">
                                              <w:marLeft w:val="0"/>
                                              <w:marRight w:val="0"/>
                                              <w:marTop w:val="120"/>
                                              <w:marBottom w:val="0"/>
                                              <w:divBdr>
                                                <w:top w:val="none" w:sz="0" w:space="0" w:color="auto"/>
                                                <w:left w:val="none" w:sz="0" w:space="0" w:color="auto"/>
                                                <w:bottom w:val="none" w:sz="0" w:space="0" w:color="auto"/>
                                                <w:right w:val="none" w:sz="0" w:space="0" w:color="auto"/>
                                              </w:divBdr>
                                            </w:div>
                                            <w:div w:id="46078367">
                                              <w:marLeft w:val="0"/>
                                              <w:marRight w:val="0"/>
                                              <w:marTop w:val="0"/>
                                              <w:marBottom w:val="0"/>
                                              <w:divBdr>
                                                <w:top w:val="none" w:sz="0" w:space="0" w:color="auto"/>
                                                <w:left w:val="none" w:sz="0" w:space="0" w:color="auto"/>
                                                <w:bottom w:val="none" w:sz="0" w:space="0" w:color="auto"/>
                                                <w:right w:val="none" w:sz="0" w:space="0" w:color="auto"/>
                                              </w:divBdr>
                                            </w:div>
                                          </w:divsChild>
                                        </w:div>
                                        <w:div w:id="655888294">
                                          <w:marLeft w:val="0"/>
                                          <w:marRight w:val="0"/>
                                          <w:marTop w:val="0"/>
                                          <w:marBottom w:val="0"/>
                                          <w:divBdr>
                                            <w:top w:val="none" w:sz="0" w:space="0" w:color="auto"/>
                                            <w:left w:val="none" w:sz="0" w:space="0" w:color="auto"/>
                                            <w:bottom w:val="none" w:sz="0" w:space="0" w:color="auto"/>
                                            <w:right w:val="none" w:sz="0" w:space="0" w:color="auto"/>
                                          </w:divBdr>
                                          <w:divsChild>
                                            <w:div w:id="1972664923">
                                              <w:marLeft w:val="0"/>
                                              <w:marRight w:val="0"/>
                                              <w:marTop w:val="120"/>
                                              <w:marBottom w:val="0"/>
                                              <w:divBdr>
                                                <w:top w:val="none" w:sz="0" w:space="0" w:color="auto"/>
                                                <w:left w:val="none" w:sz="0" w:space="0" w:color="auto"/>
                                                <w:bottom w:val="none" w:sz="0" w:space="0" w:color="auto"/>
                                                <w:right w:val="none" w:sz="0" w:space="0" w:color="auto"/>
                                              </w:divBdr>
                                            </w:div>
                                            <w:div w:id="242111041">
                                              <w:marLeft w:val="0"/>
                                              <w:marRight w:val="0"/>
                                              <w:marTop w:val="0"/>
                                              <w:marBottom w:val="0"/>
                                              <w:divBdr>
                                                <w:top w:val="none" w:sz="0" w:space="0" w:color="auto"/>
                                                <w:left w:val="none" w:sz="0" w:space="0" w:color="auto"/>
                                                <w:bottom w:val="none" w:sz="0" w:space="0" w:color="auto"/>
                                                <w:right w:val="none" w:sz="0" w:space="0" w:color="auto"/>
                                              </w:divBdr>
                                            </w:div>
                                          </w:divsChild>
                                        </w:div>
                                        <w:div w:id="145363455">
                                          <w:marLeft w:val="0"/>
                                          <w:marRight w:val="0"/>
                                          <w:marTop w:val="0"/>
                                          <w:marBottom w:val="0"/>
                                          <w:divBdr>
                                            <w:top w:val="none" w:sz="0" w:space="0" w:color="auto"/>
                                            <w:left w:val="none" w:sz="0" w:space="0" w:color="auto"/>
                                            <w:bottom w:val="none" w:sz="0" w:space="0" w:color="auto"/>
                                            <w:right w:val="none" w:sz="0" w:space="0" w:color="auto"/>
                                          </w:divBdr>
                                          <w:divsChild>
                                            <w:div w:id="1375303085">
                                              <w:marLeft w:val="0"/>
                                              <w:marRight w:val="0"/>
                                              <w:marTop w:val="120"/>
                                              <w:marBottom w:val="0"/>
                                              <w:divBdr>
                                                <w:top w:val="none" w:sz="0" w:space="0" w:color="auto"/>
                                                <w:left w:val="none" w:sz="0" w:space="0" w:color="auto"/>
                                                <w:bottom w:val="none" w:sz="0" w:space="0" w:color="auto"/>
                                                <w:right w:val="none" w:sz="0" w:space="0" w:color="auto"/>
                                              </w:divBdr>
                                            </w:div>
                                            <w:div w:id="3150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2175">
                                  <w:marLeft w:val="0"/>
                                  <w:marRight w:val="0"/>
                                  <w:marTop w:val="0"/>
                                  <w:marBottom w:val="0"/>
                                  <w:divBdr>
                                    <w:top w:val="none" w:sz="0" w:space="0" w:color="auto"/>
                                    <w:left w:val="none" w:sz="0" w:space="0" w:color="auto"/>
                                    <w:bottom w:val="none" w:sz="0" w:space="0" w:color="auto"/>
                                    <w:right w:val="none" w:sz="0" w:space="0" w:color="auto"/>
                                  </w:divBdr>
                                  <w:divsChild>
                                    <w:div w:id="2112046579">
                                      <w:marLeft w:val="0"/>
                                      <w:marRight w:val="0"/>
                                      <w:marTop w:val="0"/>
                                      <w:marBottom w:val="0"/>
                                      <w:divBdr>
                                        <w:top w:val="none" w:sz="0" w:space="0" w:color="auto"/>
                                        <w:left w:val="none" w:sz="0" w:space="0" w:color="auto"/>
                                        <w:bottom w:val="none" w:sz="0" w:space="0" w:color="auto"/>
                                        <w:right w:val="none" w:sz="0" w:space="0" w:color="auto"/>
                                      </w:divBdr>
                                    </w:div>
                                  </w:divsChild>
                                </w:div>
                                <w:div w:id="1063485284">
                                  <w:marLeft w:val="0"/>
                                  <w:marRight w:val="0"/>
                                  <w:marTop w:val="0"/>
                                  <w:marBottom w:val="0"/>
                                  <w:divBdr>
                                    <w:top w:val="none" w:sz="0" w:space="0" w:color="auto"/>
                                    <w:left w:val="none" w:sz="0" w:space="0" w:color="auto"/>
                                    <w:bottom w:val="none" w:sz="0" w:space="0" w:color="auto"/>
                                    <w:right w:val="none" w:sz="0" w:space="0" w:color="auto"/>
                                  </w:divBdr>
                                  <w:divsChild>
                                    <w:div w:id="1768192637">
                                      <w:marLeft w:val="0"/>
                                      <w:marRight w:val="0"/>
                                      <w:marTop w:val="0"/>
                                      <w:marBottom w:val="0"/>
                                      <w:divBdr>
                                        <w:top w:val="none" w:sz="0" w:space="0" w:color="auto"/>
                                        <w:left w:val="none" w:sz="0" w:space="0" w:color="auto"/>
                                        <w:bottom w:val="none" w:sz="0" w:space="0" w:color="auto"/>
                                        <w:right w:val="none" w:sz="0" w:space="0" w:color="auto"/>
                                      </w:divBdr>
                                      <w:divsChild>
                                        <w:div w:id="1749616290">
                                          <w:marLeft w:val="0"/>
                                          <w:marRight w:val="0"/>
                                          <w:marTop w:val="0"/>
                                          <w:marBottom w:val="0"/>
                                          <w:divBdr>
                                            <w:top w:val="none" w:sz="0" w:space="0" w:color="auto"/>
                                            <w:left w:val="none" w:sz="0" w:space="0" w:color="auto"/>
                                            <w:bottom w:val="none" w:sz="0" w:space="0" w:color="auto"/>
                                            <w:right w:val="none" w:sz="0" w:space="0" w:color="auto"/>
                                          </w:divBdr>
                                          <w:divsChild>
                                            <w:div w:id="1769737282">
                                              <w:marLeft w:val="0"/>
                                              <w:marRight w:val="0"/>
                                              <w:marTop w:val="120"/>
                                              <w:marBottom w:val="0"/>
                                              <w:divBdr>
                                                <w:top w:val="none" w:sz="0" w:space="0" w:color="auto"/>
                                                <w:left w:val="none" w:sz="0" w:space="0" w:color="auto"/>
                                                <w:bottom w:val="none" w:sz="0" w:space="0" w:color="auto"/>
                                                <w:right w:val="none" w:sz="0" w:space="0" w:color="auto"/>
                                              </w:divBdr>
                                            </w:div>
                                            <w:div w:id="1350449706">
                                              <w:marLeft w:val="0"/>
                                              <w:marRight w:val="0"/>
                                              <w:marTop w:val="0"/>
                                              <w:marBottom w:val="0"/>
                                              <w:divBdr>
                                                <w:top w:val="none" w:sz="0" w:space="0" w:color="auto"/>
                                                <w:left w:val="none" w:sz="0" w:space="0" w:color="auto"/>
                                                <w:bottom w:val="none" w:sz="0" w:space="0" w:color="auto"/>
                                                <w:right w:val="none" w:sz="0" w:space="0" w:color="auto"/>
                                              </w:divBdr>
                                            </w:div>
                                          </w:divsChild>
                                        </w:div>
                                        <w:div w:id="330642807">
                                          <w:marLeft w:val="0"/>
                                          <w:marRight w:val="0"/>
                                          <w:marTop w:val="0"/>
                                          <w:marBottom w:val="0"/>
                                          <w:divBdr>
                                            <w:top w:val="none" w:sz="0" w:space="0" w:color="auto"/>
                                            <w:left w:val="none" w:sz="0" w:space="0" w:color="auto"/>
                                            <w:bottom w:val="none" w:sz="0" w:space="0" w:color="auto"/>
                                            <w:right w:val="none" w:sz="0" w:space="0" w:color="auto"/>
                                          </w:divBdr>
                                          <w:divsChild>
                                            <w:div w:id="1833985089">
                                              <w:marLeft w:val="0"/>
                                              <w:marRight w:val="0"/>
                                              <w:marTop w:val="120"/>
                                              <w:marBottom w:val="0"/>
                                              <w:divBdr>
                                                <w:top w:val="none" w:sz="0" w:space="0" w:color="auto"/>
                                                <w:left w:val="none" w:sz="0" w:space="0" w:color="auto"/>
                                                <w:bottom w:val="none" w:sz="0" w:space="0" w:color="auto"/>
                                                <w:right w:val="none" w:sz="0" w:space="0" w:color="auto"/>
                                              </w:divBdr>
                                            </w:div>
                                            <w:div w:id="1071391196">
                                              <w:marLeft w:val="0"/>
                                              <w:marRight w:val="0"/>
                                              <w:marTop w:val="0"/>
                                              <w:marBottom w:val="0"/>
                                              <w:divBdr>
                                                <w:top w:val="none" w:sz="0" w:space="0" w:color="auto"/>
                                                <w:left w:val="none" w:sz="0" w:space="0" w:color="auto"/>
                                                <w:bottom w:val="none" w:sz="0" w:space="0" w:color="auto"/>
                                                <w:right w:val="none" w:sz="0" w:space="0" w:color="auto"/>
                                              </w:divBdr>
                                            </w:div>
                                          </w:divsChild>
                                        </w:div>
                                        <w:div w:id="1546797271">
                                          <w:marLeft w:val="0"/>
                                          <w:marRight w:val="0"/>
                                          <w:marTop w:val="0"/>
                                          <w:marBottom w:val="0"/>
                                          <w:divBdr>
                                            <w:top w:val="none" w:sz="0" w:space="0" w:color="auto"/>
                                            <w:left w:val="none" w:sz="0" w:space="0" w:color="auto"/>
                                            <w:bottom w:val="none" w:sz="0" w:space="0" w:color="auto"/>
                                            <w:right w:val="none" w:sz="0" w:space="0" w:color="auto"/>
                                          </w:divBdr>
                                          <w:divsChild>
                                            <w:div w:id="457920331">
                                              <w:marLeft w:val="0"/>
                                              <w:marRight w:val="0"/>
                                              <w:marTop w:val="120"/>
                                              <w:marBottom w:val="0"/>
                                              <w:divBdr>
                                                <w:top w:val="none" w:sz="0" w:space="0" w:color="auto"/>
                                                <w:left w:val="none" w:sz="0" w:space="0" w:color="auto"/>
                                                <w:bottom w:val="none" w:sz="0" w:space="0" w:color="auto"/>
                                                <w:right w:val="none" w:sz="0" w:space="0" w:color="auto"/>
                                              </w:divBdr>
                                            </w:div>
                                            <w:div w:id="151603111">
                                              <w:marLeft w:val="0"/>
                                              <w:marRight w:val="0"/>
                                              <w:marTop w:val="0"/>
                                              <w:marBottom w:val="0"/>
                                              <w:divBdr>
                                                <w:top w:val="none" w:sz="0" w:space="0" w:color="auto"/>
                                                <w:left w:val="none" w:sz="0" w:space="0" w:color="auto"/>
                                                <w:bottom w:val="none" w:sz="0" w:space="0" w:color="auto"/>
                                                <w:right w:val="none" w:sz="0" w:space="0" w:color="auto"/>
                                              </w:divBdr>
                                            </w:div>
                                          </w:divsChild>
                                        </w:div>
                                        <w:div w:id="1157378244">
                                          <w:marLeft w:val="0"/>
                                          <w:marRight w:val="0"/>
                                          <w:marTop w:val="0"/>
                                          <w:marBottom w:val="0"/>
                                          <w:divBdr>
                                            <w:top w:val="none" w:sz="0" w:space="0" w:color="auto"/>
                                            <w:left w:val="none" w:sz="0" w:space="0" w:color="auto"/>
                                            <w:bottom w:val="none" w:sz="0" w:space="0" w:color="auto"/>
                                            <w:right w:val="none" w:sz="0" w:space="0" w:color="auto"/>
                                          </w:divBdr>
                                          <w:divsChild>
                                            <w:div w:id="250896819">
                                              <w:marLeft w:val="0"/>
                                              <w:marRight w:val="0"/>
                                              <w:marTop w:val="120"/>
                                              <w:marBottom w:val="0"/>
                                              <w:divBdr>
                                                <w:top w:val="none" w:sz="0" w:space="0" w:color="auto"/>
                                                <w:left w:val="none" w:sz="0" w:space="0" w:color="auto"/>
                                                <w:bottom w:val="none" w:sz="0" w:space="0" w:color="auto"/>
                                                <w:right w:val="none" w:sz="0" w:space="0" w:color="auto"/>
                                              </w:divBdr>
                                            </w:div>
                                            <w:div w:id="783040174">
                                              <w:marLeft w:val="0"/>
                                              <w:marRight w:val="0"/>
                                              <w:marTop w:val="0"/>
                                              <w:marBottom w:val="0"/>
                                              <w:divBdr>
                                                <w:top w:val="none" w:sz="0" w:space="0" w:color="auto"/>
                                                <w:left w:val="none" w:sz="0" w:space="0" w:color="auto"/>
                                                <w:bottom w:val="none" w:sz="0" w:space="0" w:color="auto"/>
                                                <w:right w:val="none" w:sz="0" w:space="0" w:color="auto"/>
                                              </w:divBdr>
                                            </w:div>
                                          </w:divsChild>
                                        </w:div>
                                        <w:div w:id="791947696">
                                          <w:marLeft w:val="0"/>
                                          <w:marRight w:val="0"/>
                                          <w:marTop w:val="0"/>
                                          <w:marBottom w:val="0"/>
                                          <w:divBdr>
                                            <w:top w:val="none" w:sz="0" w:space="0" w:color="auto"/>
                                            <w:left w:val="none" w:sz="0" w:space="0" w:color="auto"/>
                                            <w:bottom w:val="none" w:sz="0" w:space="0" w:color="auto"/>
                                            <w:right w:val="none" w:sz="0" w:space="0" w:color="auto"/>
                                          </w:divBdr>
                                          <w:divsChild>
                                            <w:div w:id="1473449094">
                                              <w:marLeft w:val="0"/>
                                              <w:marRight w:val="0"/>
                                              <w:marTop w:val="120"/>
                                              <w:marBottom w:val="0"/>
                                              <w:divBdr>
                                                <w:top w:val="none" w:sz="0" w:space="0" w:color="auto"/>
                                                <w:left w:val="none" w:sz="0" w:space="0" w:color="auto"/>
                                                <w:bottom w:val="none" w:sz="0" w:space="0" w:color="auto"/>
                                                <w:right w:val="none" w:sz="0" w:space="0" w:color="auto"/>
                                              </w:divBdr>
                                            </w:div>
                                            <w:div w:id="192422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661870">
                                  <w:marLeft w:val="0"/>
                                  <w:marRight w:val="0"/>
                                  <w:marTop w:val="0"/>
                                  <w:marBottom w:val="0"/>
                                  <w:divBdr>
                                    <w:top w:val="none" w:sz="0" w:space="0" w:color="auto"/>
                                    <w:left w:val="none" w:sz="0" w:space="0" w:color="auto"/>
                                    <w:bottom w:val="none" w:sz="0" w:space="0" w:color="auto"/>
                                    <w:right w:val="none" w:sz="0" w:space="0" w:color="auto"/>
                                  </w:divBdr>
                                  <w:divsChild>
                                    <w:div w:id="1491097052">
                                      <w:marLeft w:val="0"/>
                                      <w:marRight w:val="0"/>
                                      <w:marTop w:val="0"/>
                                      <w:marBottom w:val="0"/>
                                      <w:divBdr>
                                        <w:top w:val="none" w:sz="0" w:space="0" w:color="auto"/>
                                        <w:left w:val="none" w:sz="0" w:space="0" w:color="auto"/>
                                        <w:bottom w:val="none" w:sz="0" w:space="0" w:color="auto"/>
                                        <w:right w:val="none" w:sz="0" w:space="0" w:color="auto"/>
                                      </w:divBdr>
                                    </w:div>
                                  </w:divsChild>
                                </w:div>
                                <w:div w:id="2144300126">
                                  <w:marLeft w:val="0"/>
                                  <w:marRight w:val="0"/>
                                  <w:marTop w:val="0"/>
                                  <w:marBottom w:val="0"/>
                                  <w:divBdr>
                                    <w:top w:val="none" w:sz="0" w:space="0" w:color="auto"/>
                                    <w:left w:val="none" w:sz="0" w:space="0" w:color="auto"/>
                                    <w:bottom w:val="none" w:sz="0" w:space="0" w:color="auto"/>
                                    <w:right w:val="none" w:sz="0" w:space="0" w:color="auto"/>
                                  </w:divBdr>
                                  <w:divsChild>
                                    <w:div w:id="277225758">
                                      <w:marLeft w:val="0"/>
                                      <w:marRight w:val="0"/>
                                      <w:marTop w:val="0"/>
                                      <w:marBottom w:val="0"/>
                                      <w:divBdr>
                                        <w:top w:val="none" w:sz="0" w:space="0" w:color="auto"/>
                                        <w:left w:val="none" w:sz="0" w:space="0" w:color="auto"/>
                                        <w:bottom w:val="none" w:sz="0" w:space="0" w:color="auto"/>
                                        <w:right w:val="none" w:sz="0" w:space="0" w:color="auto"/>
                                      </w:divBdr>
                                    </w:div>
                                  </w:divsChild>
                                </w:div>
                                <w:div w:id="17581433">
                                  <w:marLeft w:val="0"/>
                                  <w:marRight w:val="0"/>
                                  <w:marTop w:val="0"/>
                                  <w:marBottom w:val="0"/>
                                  <w:divBdr>
                                    <w:top w:val="none" w:sz="0" w:space="0" w:color="auto"/>
                                    <w:left w:val="none" w:sz="0" w:space="0" w:color="auto"/>
                                    <w:bottom w:val="none" w:sz="0" w:space="0" w:color="auto"/>
                                    <w:right w:val="none" w:sz="0" w:space="0" w:color="auto"/>
                                  </w:divBdr>
                                  <w:divsChild>
                                    <w:div w:id="137116386">
                                      <w:marLeft w:val="0"/>
                                      <w:marRight w:val="0"/>
                                      <w:marTop w:val="0"/>
                                      <w:marBottom w:val="0"/>
                                      <w:divBdr>
                                        <w:top w:val="none" w:sz="0" w:space="0" w:color="auto"/>
                                        <w:left w:val="none" w:sz="0" w:space="0" w:color="auto"/>
                                        <w:bottom w:val="none" w:sz="0" w:space="0" w:color="auto"/>
                                        <w:right w:val="none" w:sz="0" w:space="0" w:color="auto"/>
                                      </w:divBdr>
                                      <w:divsChild>
                                        <w:div w:id="1720203262">
                                          <w:marLeft w:val="0"/>
                                          <w:marRight w:val="0"/>
                                          <w:marTop w:val="0"/>
                                          <w:marBottom w:val="0"/>
                                          <w:divBdr>
                                            <w:top w:val="none" w:sz="0" w:space="0" w:color="auto"/>
                                            <w:left w:val="none" w:sz="0" w:space="0" w:color="auto"/>
                                            <w:bottom w:val="none" w:sz="0" w:space="0" w:color="auto"/>
                                            <w:right w:val="none" w:sz="0" w:space="0" w:color="auto"/>
                                          </w:divBdr>
                                          <w:divsChild>
                                            <w:div w:id="124859886">
                                              <w:marLeft w:val="0"/>
                                              <w:marRight w:val="0"/>
                                              <w:marTop w:val="120"/>
                                              <w:marBottom w:val="0"/>
                                              <w:divBdr>
                                                <w:top w:val="none" w:sz="0" w:space="0" w:color="auto"/>
                                                <w:left w:val="none" w:sz="0" w:space="0" w:color="auto"/>
                                                <w:bottom w:val="none" w:sz="0" w:space="0" w:color="auto"/>
                                                <w:right w:val="none" w:sz="0" w:space="0" w:color="auto"/>
                                              </w:divBdr>
                                            </w:div>
                                            <w:div w:id="2031251643">
                                              <w:marLeft w:val="0"/>
                                              <w:marRight w:val="0"/>
                                              <w:marTop w:val="0"/>
                                              <w:marBottom w:val="0"/>
                                              <w:divBdr>
                                                <w:top w:val="none" w:sz="0" w:space="0" w:color="auto"/>
                                                <w:left w:val="none" w:sz="0" w:space="0" w:color="auto"/>
                                                <w:bottom w:val="none" w:sz="0" w:space="0" w:color="auto"/>
                                                <w:right w:val="none" w:sz="0" w:space="0" w:color="auto"/>
                                              </w:divBdr>
                                            </w:div>
                                          </w:divsChild>
                                        </w:div>
                                        <w:div w:id="720055993">
                                          <w:marLeft w:val="0"/>
                                          <w:marRight w:val="0"/>
                                          <w:marTop w:val="0"/>
                                          <w:marBottom w:val="0"/>
                                          <w:divBdr>
                                            <w:top w:val="none" w:sz="0" w:space="0" w:color="auto"/>
                                            <w:left w:val="none" w:sz="0" w:space="0" w:color="auto"/>
                                            <w:bottom w:val="none" w:sz="0" w:space="0" w:color="auto"/>
                                            <w:right w:val="none" w:sz="0" w:space="0" w:color="auto"/>
                                          </w:divBdr>
                                          <w:divsChild>
                                            <w:div w:id="304701614">
                                              <w:marLeft w:val="0"/>
                                              <w:marRight w:val="0"/>
                                              <w:marTop w:val="120"/>
                                              <w:marBottom w:val="0"/>
                                              <w:divBdr>
                                                <w:top w:val="none" w:sz="0" w:space="0" w:color="auto"/>
                                                <w:left w:val="none" w:sz="0" w:space="0" w:color="auto"/>
                                                <w:bottom w:val="none" w:sz="0" w:space="0" w:color="auto"/>
                                                <w:right w:val="none" w:sz="0" w:space="0" w:color="auto"/>
                                              </w:divBdr>
                                            </w:div>
                                            <w:div w:id="11240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442498">
                                  <w:marLeft w:val="0"/>
                                  <w:marRight w:val="0"/>
                                  <w:marTop w:val="0"/>
                                  <w:marBottom w:val="0"/>
                                  <w:divBdr>
                                    <w:top w:val="none" w:sz="0" w:space="0" w:color="auto"/>
                                    <w:left w:val="none" w:sz="0" w:space="0" w:color="auto"/>
                                    <w:bottom w:val="none" w:sz="0" w:space="0" w:color="auto"/>
                                    <w:right w:val="none" w:sz="0" w:space="0" w:color="auto"/>
                                  </w:divBdr>
                                  <w:divsChild>
                                    <w:div w:id="1527448098">
                                      <w:marLeft w:val="0"/>
                                      <w:marRight w:val="0"/>
                                      <w:marTop w:val="0"/>
                                      <w:marBottom w:val="0"/>
                                      <w:divBdr>
                                        <w:top w:val="none" w:sz="0" w:space="0" w:color="auto"/>
                                        <w:left w:val="none" w:sz="0" w:space="0" w:color="auto"/>
                                        <w:bottom w:val="none" w:sz="0" w:space="0" w:color="auto"/>
                                        <w:right w:val="none" w:sz="0" w:space="0" w:color="auto"/>
                                      </w:divBdr>
                                    </w:div>
                                  </w:divsChild>
                                </w:div>
                                <w:div w:id="742871549">
                                  <w:marLeft w:val="0"/>
                                  <w:marRight w:val="0"/>
                                  <w:marTop w:val="0"/>
                                  <w:marBottom w:val="0"/>
                                  <w:divBdr>
                                    <w:top w:val="none" w:sz="0" w:space="0" w:color="auto"/>
                                    <w:left w:val="none" w:sz="0" w:space="0" w:color="auto"/>
                                    <w:bottom w:val="none" w:sz="0" w:space="0" w:color="auto"/>
                                    <w:right w:val="none" w:sz="0" w:space="0" w:color="auto"/>
                                  </w:divBdr>
                                  <w:divsChild>
                                    <w:div w:id="1414888014">
                                      <w:marLeft w:val="0"/>
                                      <w:marRight w:val="0"/>
                                      <w:marTop w:val="0"/>
                                      <w:marBottom w:val="0"/>
                                      <w:divBdr>
                                        <w:top w:val="none" w:sz="0" w:space="0" w:color="auto"/>
                                        <w:left w:val="none" w:sz="0" w:space="0" w:color="auto"/>
                                        <w:bottom w:val="none" w:sz="0" w:space="0" w:color="auto"/>
                                        <w:right w:val="none" w:sz="0" w:space="0" w:color="auto"/>
                                      </w:divBdr>
                                    </w:div>
                                  </w:divsChild>
                                </w:div>
                                <w:div w:id="1822231438">
                                  <w:marLeft w:val="0"/>
                                  <w:marRight w:val="0"/>
                                  <w:marTop w:val="0"/>
                                  <w:marBottom w:val="0"/>
                                  <w:divBdr>
                                    <w:top w:val="none" w:sz="0" w:space="0" w:color="auto"/>
                                    <w:left w:val="none" w:sz="0" w:space="0" w:color="auto"/>
                                    <w:bottom w:val="none" w:sz="0" w:space="0" w:color="auto"/>
                                    <w:right w:val="none" w:sz="0" w:space="0" w:color="auto"/>
                                  </w:divBdr>
                                  <w:divsChild>
                                    <w:div w:id="17207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625904">
                          <w:marLeft w:val="0"/>
                          <w:marRight w:val="0"/>
                          <w:marTop w:val="0"/>
                          <w:marBottom w:val="0"/>
                          <w:divBdr>
                            <w:top w:val="none" w:sz="0" w:space="0" w:color="auto"/>
                            <w:left w:val="none" w:sz="0" w:space="0" w:color="auto"/>
                            <w:bottom w:val="none" w:sz="0" w:space="0" w:color="auto"/>
                            <w:right w:val="none" w:sz="0" w:space="0" w:color="auto"/>
                          </w:divBdr>
                          <w:divsChild>
                            <w:div w:id="1805200035">
                              <w:marLeft w:val="0"/>
                              <w:marRight w:val="0"/>
                              <w:marTop w:val="0"/>
                              <w:marBottom w:val="0"/>
                              <w:divBdr>
                                <w:top w:val="none" w:sz="0" w:space="0" w:color="auto"/>
                                <w:left w:val="none" w:sz="0" w:space="0" w:color="auto"/>
                                <w:bottom w:val="none" w:sz="0" w:space="0" w:color="auto"/>
                                <w:right w:val="none" w:sz="0" w:space="0" w:color="auto"/>
                              </w:divBdr>
                              <w:divsChild>
                                <w:div w:id="1609238533">
                                  <w:marLeft w:val="0"/>
                                  <w:marRight w:val="0"/>
                                  <w:marTop w:val="0"/>
                                  <w:marBottom w:val="0"/>
                                  <w:divBdr>
                                    <w:top w:val="none" w:sz="0" w:space="0" w:color="auto"/>
                                    <w:left w:val="none" w:sz="0" w:space="0" w:color="auto"/>
                                    <w:bottom w:val="none" w:sz="0" w:space="0" w:color="auto"/>
                                    <w:right w:val="none" w:sz="0" w:space="0" w:color="auto"/>
                                  </w:divBdr>
                                </w:div>
                                <w:div w:id="375200401">
                                  <w:marLeft w:val="0"/>
                                  <w:marRight w:val="0"/>
                                  <w:marTop w:val="0"/>
                                  <w:marBottom w:val="0"/>
                                  <w:divBdr>
                                    <w:top w:val="none" w:sz="0" w:space="0" w:color="auto"/>
                                    <w:left w:val="none" w:sz="0" w:space="0" w:color="auto"/>
                                    <w:bottom w:val="none" w:sz="0" w:space="0" w:color="auto"/>
                                    <w:right w:val="none" w:sz="0" w:space="0" w:color="auto"/>
                                  </w:divBdr>
                                  <w:divsChild>
                                    <w:div w:id="892233859">
                                      <w:marLeft w:val="0"/>
                                      <w:marRight w:val="0"/>
                                      <w:marTop w:val="0"/>
                                      <w:marBottom w:val="0"/>
                                      <w:divBdr>
                                        <w:top w:val="none" w:sz="0" w:space="0" w:color="auto"/>
                                        <w:left w:val="none" w:sz="0" w:space="0" w:color="auto"/>
                                        <w:bottom w:val="none" w:sz="0" w:space="0" w:color="auto"/>
                                        <w:right w:val="none" w:sz="0" w:space="0" w:color="auto"/>
                                      </w:divBdr>
                                    </w:div>
                                  </w:divsChild>
                                </w:div>
                                <w:div w:id="1832286124">
                                  <w:marLeft w:val="0"/>
                                  <w:marRight w:val="0"/>
                                  <w:marTop w:val="0"/>
                                  <w:marBottom w:val="0"/>
                                  <w:divBdr>
                                    <w:top w:val="none" w:sz="0" w:space="0" w:color="auto"/>
                                    <w:left w:val="none" w:sz="0" w:space="0" w:color="auto"/>
                                    <w:bottom w:val="none" w:sz="0" w:space="0" w:color="auto"/>
                                    <w:right w:val="none" w:sz="0" w:space="0" w:color="auto"/>
                                  </w:divBdr>
                                  <w:divsChild>
                                    <w:div w:id="931620447">
                                      <w:marLeft w:val="0"/>
                                      <w:marRight w:val="0"/>
                                      <w:marTop w:val="0"/>
                                      <w:marBottom w:val="0"/>
                                      <w:divBdr>
                                        <w:top w:val="none" w:sz="0" w:space="0" w:color="auto"/>
                                        <w:left w:val="none" w:sz="0" w:space="0" w:color="auto"/>
                                        <w:bottom w:val="none" w:sz="0" w:space="0" w:color="auto"/>
                                        <w:right w:val="none" w:sz="0" w:space="0" w:color="auto"/>
                                      </w:divBdr>
                                      <w:divsChild>
                                        <w:div w:id="292103084">
                                          <w:marLeft w:val="0"/>
                                          <w:marRight w:val="0"/>
                                          <w:marTop w:val="0"/>
                                          <w:marBottom w:val="0"/>
                                          <w:divBdr>
                                            <w:top w:val="none" w:sz="0" w:space="0" w:color="auto"/>
                                            <w:left w:val="none" w:sz="0" w:space="0" w:color="auto"/>
                                            <w:bottom w:val="none" w:sz="0" w:space="0" w:color="auto"/>
                                            <w:right w:val="none" w:sz="0" w:space="0" w:color="auto"/>
                                          </w:divBdr>
                                          <w:divsChild>
                                            <w:div w:id="865102396">
                                              <w:marLeft w:val="0"/>
                                              <w:marRight w:val="0"/>
                                              <w:marTop w:val="120"/>
                                              <w:marBottom w:val="0"/>
                                              <w:divBdr>
                                                <w:top w:val="none" w:sz="0" w:space="0" w:color="auto"/>
                                                <w:left w:val="none" w:sz="0" w:space="0" w:color="auto"/>
                                                <w:bottom w:val="none" w:sz="0" w:space="0" w:color="auto"/>
                                                <w:right w:val="none" w:sz="0" w:space="0" w:color="auto"/>
                                              </w:divBdr>
                                            </w:div>
                                            <w:div w:id="525678950">
                                              <w:marLeft w:val="0"/>
                                              <w:marRight w:val="0"/>
                                              <w:marTop w:val="0"/>
                                              <w:marBottom w:val="0"/>
                                              <w:divBdr>
                                                <w:top w:val="none" w:sz="0" w:space="0" w:color="auto"/>
                                                <w:left w:val="none" w:sz="0" w:space="0" w:color="auto"/>
                                                <w:bottom w:val="none" w:sz="0" w:space="0" w:color="auto"/>
                                                <w:right w:val="none" w:sz="0" w:space="0" w:color="auto"/>
                                              </w:divBdr>
                                            </w:div>
                                          </w:divsChild>
                                        </w:div>
                                        <w:div w:id="818570492">
                                          <w:marLeft w:val="0"/>
                                          <w:marRight w:val="0"/>
                                          <w:marTop w:val="0"/>
                                          <w:marBottom w:val="0"/>
                                          <w:divBdr>
                                            <w:top w:val="none" w:sz="0" w:space="0" w:color="auto"/>
                                            <w:left w:val="none" w:sz="0" w:space="0" w:color="auto"/>
                                            <w:bottom w:val="none" w:sz="0" w:space="0" w:color="auto"/>
                                            <w:right w:val="none" w:sz="0" w:space="0" w:color="auto"/>
                                          </w:divBdr>
                                          <w:divsChild>
                                            <w:div w:id="512958779">
                                              <w:marLeft w:val="0"/>
                                              <w:marRight w:val="0"/>
                                              <w:marTop w:val="120"/>
                                              <w:marBottom w:val="0"/>
                                              <w:divBdr>
                                                <w:top w:val="none" w:sz="0" w:space="0" w:color="auto"/>
                                                <w:left w:val="none" w:sz="0" w:space="0" w:color="auto"/>
                                                <w:bottom w:val="none" w:sz="0" w:space="0" w:color="auto"/>
                                                <w:right w:val="none" w:sz="0" w:space="0" w:color="auto"/>
                                              </w:divBdr>
                                            </w:div>
                                            <w:div w:id="16189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709145">
                                  <w:marLeft w:val="0"/>
                                  <w:marRight w:val="0"/>
                                  <w:marTop w:val="0"/>
                                  <w:marBottom w:val="0"/>
                                  <w:divBdr>
                                    <w:top w:val="none" w:sz="0" w:space="0" w:color="auto"/>
                                    <w:left w:val="none" w:sz="0" w:space="0" w:color="auto"/>
                                    <w:bottom w:val="none" w:sz="0" w:space="0" w:color="auto"/>
                                    <w:right w:val="none" w:sz="0" w:space="0" w:color="auto"/>
                                  </w:divBdr>
                                  <w:divsChild>
                                    <w:div w:id="886843674">
                                      <w:marLeft w:val="0"/>
                                      <w:marRight w:val="0"/>
                                      <w:marTop w:val="0"/>
                                      <w:marBottom w:val="0"/>
                                      <w:divBdr>
                                        <w:top w:val="none" w:sz="0" w:space="0" w:color="auto"/>
                                        <w:left w:val="none" w:sz="0" w:space="0" w:color="auto"/>
                                        <w:bottom w:val="none" w:sz="0" w:space="0" w:color="auto"/>
                                        <w:right w:val="none" w:sz="0" w:space="0" w:color="auto"/>
                                      </w:divBdr>
                                    </w:div>
                                  </w:divsChild>
                                </w:div>
                                <w:div w:id="1939409978">
                                  <w:marLeft w:val="0"/>
                                  <w:marRight w:val="0"/>
                                  <w:marTop w:val="0"/>
                                  <w:marBottom w:val="0"/>
                                  <w:divBdr>
                                    <w:top w:val="none" w:sz="0" w:space="0" w:color="auto"/>
                                    <w:left w:val="none" w:sz="0" w:space="0" w:color="auto"/>
                                    <w:bottom w:val="none" w:sz="0" w:space="0" w:color="auto"/>
                                    <w:right w:val="none" w:sz="0" w:space="0" w:color="auto"/>
                                  </w:divBdr>
                                  <w:divsChild>
                                    <w:div w:id="1153448433">
                                      <w:marLeft w:val="0"/>
                                      <w:marRight w:val="0"/>
                                      <w:marTop w:val="0"/>
                                      <w:marBottom w:val="0"/>
                                      <w:divBdr>
                                        <w:top w:val="none" w:sz="0" w:space="0" w:color="auto"/>
                                        <w:left w:val="none" w:sz="0" w:space="0" w:color="auto"/>
                                        <w:bottom w:val="none" w:sz="0" w:space="0" w:color="auto"/>
                                        <w:right w:val="none" w:sz="0" w:space="0" w:color="auto"/>
                                      </w:divBdr>
                                      <w:divsChild>
                                        <w:div w:id="552693855">
                                          <w:marLeft w:val="0"/>
                                          <w:marRight w:val="0"/>
                                          <w:marTop w:val="0"/>
                                          <w:marBottom w:val="0"/>
                                          <w:divBdr>
                                            <w:top w:val="none" w:sz="0" w:space="0" w:color="auto"/>
                                            <w:left w:val="none" w:sz="0" w:space="0" w:color="auto"/>
                                            <w:bottom w:val="none" w:sz="0" w:space="0" w:color="auto"/>
                                            <w:right w:val="none" w:sz="0" w:space="0" w:color="auto"/>
                                          </w:divBdr>
                                          <w:divsChild>
                                            <w:div w:id="1403791950">
                                              <w:marLeft w:val="0"/>
                                              <w:marRight w:val="0"/>
                                              <w:marTop w:val="120"/>
                                              <w:marBottom w:val="0"/>
                                              <w:divBdr>
                                                <w:top w:val="none" w:sz="0" w:space="0" w:color="auto"/>
                                                <w:left w:val="none" w:sz="0" w:space="0" w:color="auto"/>
                                                <w:bottom w:val="none" w:sz="0" w:space="0" w:color="auto"/>
                                                <w:right w:val="none" w:sz="0" w:space="0" w:color="auto"/>
                                              </w:divBdr>
                                            </w:div>
                                            <w:div w:id="148597538">
                                              <w:marLeft w:val="0"/>
                                              <w:marRight w:val="0"/>
                                              <w:marTop w:val="0"/>
                                              <w:marBottom w:val="0"/>
                                              <w:divBdr>
                                                <w:top w:val="none" w:sz="0" w:space="0" w:color="auto"/>
                                                <w:left w:val="none" w:sz="0" w:space="0" w:color="auto"/>
                                                <w:bottom w:val="none" w:sz="0" w:space="0" w:color="auto"/>
                                                <w:right w:val="none" w:sz="0" w:space="0" w:color="auto"/>
                                              </w:divBdr>
                                            </w:div>
                                          </w:divsChild>
                                        </w:div>
                                        <w:div w:id="888683426">
                                          <w:marLeft w:val="0"/>
                                          <w:marRight w:val="0"/>
                                          <w:marTop w:val="0"/>
                                          <w:marBottom w:val="0"/>
                                          <w:divBdr>
                                            <w:top w:val="none" w:sz="0" w:space="0" w:color="auto"/>
                                            <w:left w:val="none" w:sz="0" w:space="0" w:color="auto"/>
                                            <w:bottom w:val="none" w:sz="0" w:space="0" w:color="auto"/>
                                            <w:right w:val="none" w:sz="0" w:space="0" w:color="auto"/>
                                          </w:divBdr>
                                          <w:divsChild>
                                            <w:div w:id="618418605">
                                              <w:marLeft w:val="0"/>
                                              <w:marRight w:val="0"/>
                                              <w:marTop w:val="120"/>
                                              <w:marBottom w:val="0"/>
                                              <w:divBdr>
                                                <w:top w:val="none" w:sz="0" w:space="0" w:color="auto"/>
                                                <w:left w:val="none" w:sz="0" w:space="0" w:color="auto"/>
                                                <w:bottom w:val="none" w:sz="0" w:space="0" w:color="auto"/>
                                                <w:right w:val="none" w:sz="0" w:space="0" w:color="auto"/>
                                              </w:divBdr>
                                            </w:div>
                                            <w:div w:id="1866168026">
                                              <w:marLeft w:val="0"/>
                                              <w:marRight w:val="0"/>
                                              <w:marTop w:val="0"/>
                                              <w:marBottom w:val="0"/>
                                              <w:divBdr>
                                                <w:top w:val="none" w:sz="0" w:space="0" w:color="auto"/>
                                                <w:left w:val="none" w:sz="0" w:space="0" w:color="auto"/>
                                                <w:bottom w:val="none" w:sz="0" w:space="0" w:color="auto"/>
                                                <w:right w:val="none" w:sz="0" w:space="0" w:color="auto"/>
                                              </w:divBdr>
                                            </w:div>
                                          </w:divsChild>
                                        </w:div>
                                        <w:div w:id="585771203">
                                          <w:marLeft w:val="0"/>
                                          <w:marRight w:val="0"/>
                                          <w:marTop w:val="0"/>
                                          <w:marBottom w:val="0"/>
                                          <w:divBdr>
                                            <w:top w:val="none" w:sz="0" w:space="0" w:color="auto"/>
                                            <w:left w:val="none" w:sz="0" w:space="0" w:color="auto"/>
                                            <w:bottom w:val="none" w:sz="0" w:space="0" w:color="auto"/>
                                            <w:right w:val="none" w:sz="0" w:space="0" w:color="auto"/>
                                          </w:divBdr>
                                          <w:divsChild>
                                            <w:div w:id="1386489010">
                                              <w:marLeft w:val="0"/>
                                              <w:marRight w:val="0"/>
                                              <w:marTop w:val="120"/>
                                              <w:marBottom w:val="0"/>
                                              <w:divBdr>
                                                <w:top w:val="none" w:sz="0" w:space="0" w:color="auto"/>
                                                <w:left w:val="none" w:sz="0" w:space="0" w:color="auto"/>
                                                <w:bottom w:val="none" w:sz="0" w:space="0" w:color="auto"/>
                                                <w:right w:val="none" w:sz="0" w:space="0" w:color="auto"/>
                                              </w:divBdr>
                                            </w:div>
                                            <w:div w:id="1498380130">
                                              <w:marLeft w:val="0"/>
                                              <w:marRight w:val="0"/>
                                              <w:marTop w:val="0"/>
                                              <w:marBottom w:val="0"/>
                                              <w:divBdr>
                                                <w:top w:val="none" w:sz="0" w:space="0" w:color="auto"/>
                                                <w:left w:val="none" w:sz="0" w:space="0" w:color="auto"/>
                                                <w:bottom w:val="none" w:sz="0" w:space="0" w:color="auto"/>
                                                <w:right w:val="none" w:sz="0" w:space="0" w:color="auto"/>
                                              </w:divBdr>
                                            </w:div>
                                          </w:divsChild>
                                        </w:div>
                                        <w:div w:id="1536574811">
                                          <w:marLeft w:val="0"/>
                                          <w:marRight w:val="0"/>
                                          <w:marTop w:val="0"/>
                                          <w:marBottom w:val="0"/>
                                          <w:divBdr>
                                            <w:top w:val="none" w:sz="0" w:space="0" w:color="auto"/>
                                            <w:left w:val="none" w:sz="0" w:space="0" w:color="auto"/>
                                            <w:bottom w:val="none" w:sz="0" w:space="0" w:color="auto"/>
                                            <w:right w:val="none" w:sz="0" w:space="0" w:color="auto"/>
                                          </w:divBdr>
                                          <w:divsChild>
                                            <w:div w:id="1217082360">
                                              <w:marLeft w:val="0"/>
                                              <w:marRight w:val="0"/>
                                              <w:marTop w:val="120"/>
                                              <w:marBottom w:val="0"/>
                                              <w:divBdr>
                                                <w:top w:val="none" w:sz="0" w:space="0" w:color="auto"/>
                                                <w:left w:val="none" w:sz="0" w:space="0" w:color="auto"/>
                                                <w:bottom w:val="none" w:sz="0" w:space="0" w:color="auto"/>
                                                <w:right w:val="none" w:sz="0" w:space="0" w:color="auto"/>
                                              </w:divBdr>
                                            </w:div>
                                            <w:div w:id="11576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26308">
                                  <w:marLeft w:val="0"/>
                                  <w:marRight w:val="0"/>
                                  <w:marTop w:val="0"/>
                                  <w:marBottom w:val="0"/>
                                  <w:divBdr>
                                    <w:top w:val="none" w:sz="0" w:space="0" w:color="auto"/>
                                    <w:left w:val="none" w:sz="0" w:space="0" w:color="auto"/>
                                    <w:bottom w:val="none" w:sz="0" w:space="0" w:color="auto"/>
                                    <w:right w:val="none" w:sz="0" w:space="0" w:color="auto"/>
                                  </w:divBdr>
                                  <w:divsChild>
                                    <w:div w:id="1927034845">
                                      <w:marLeft w:val="0"/>
                                      <w:marRight w:val="0"/>
                                      <w:marTop w:val="0"/>
                                      <w:marBottom w:val="0"/>
                                      <w:divBdr>
                                        <w:top w:val="none" w:sz="0" w:space="0" w:color="auto"/>
                                        <w:left w:val="none" w:sz="0" w:space="0" w:color="auto"/>
                                        <w:bottom w:val="none" w:sz="0" w:space="0" w:color="auto"/>
                                        <w:right w:val="none" w:sz="0" w:space="0" w:color="auto"/>
                                      </w:divBdr>
                                      <w:divsChild>
                                        <w:div w:id="906304308">
                                          <w:marLeft w:val="0"/>
                                          <w:marRight w:val="0"/>
                                          <w:marTop w:val="0"/>
                                          <w:marBottom w:val="0"/>
                                          <w:divBdr>
                                            <w:top w:val="none" w:sz="0" w:space="0" w:color="auto"/>
                                            <w:left w:val="none" w:sz="0" w:space="0" w:color="auto"/>
                                            <w:bottom w:val="none" w:sz="0" w:space="0" w:color="auto"/>
                                            <w:right w:val="none" w:sz="0" w:space="0" w:color="auto"/>
                                          </w:divBdr>
                                          <w:divsChild>
                                            <w:div w:id="99685283">
                                              <w:marLeft w:val="0"/>
                                              <w:marRight w:val="0"/>
                                              <w:marTop w:val="120"/>
                                              <w:marBottom w:val="0"/>
                                              <w:divBdr>
                                                <w:top w:val="none" w:sz="0" w:space="0" w:color="auto"/>
                                                <w:left w:val="none" w:sz="0" w:space="0" w:color="auto"/>
                                                <w:bottom w:val="none" w:sz="0" w:space="0" w:color="auto"/>
                                                <w:right w:val="none" w:sz="0" w:space="0" w:color="auto"/>
                                              </w:divBdr>
                                            </w:div>
                                            <w:div w:id="1783263858">
                                              <w:marLeft w:val="0"/>
                                              <w:marRight w:val="0"/>
                                              <w:marTop w:val="0"/>
                                              <w:marBottom w:val="0"/>
                                              <w:divBdr>
                                                <w:top w:val="none" w:sz="0" w:space="0" w:color="auto"/>
                                                <w:left w:val="none" w:sz="0" w:space="0" w:color="auto"/>
                                                <w:bottom w:val="none" w:sz="0" w:space="0" w:color="auto"/>
                                                <w:right w:val="none" w:sz="0" w:space="0" w:color="auto"/>
                                              </w:divBdr>
                                            </w:div>
                                          </w:divsChild>
                                        </w:div>
                                        <w:div w:id="1175727943">
                                          <w:marLeft w:val="0"/>
                                          <w:marRight w:val="0"/>
                                          <w:marTop w:val="0"/>
                                          <w:marBottom w:val="0"/>
                                          <w:divBdr>
                                            <w:top w:val="none" w:sz="0" w:space="0" w:color="auto"/>
                                            <w:left w:val="none" w:sz="0" w:space="0" w:color="auto"/>
                                            <w:bottom w:val="none" w:sz="0" w:space="0" w:color="auto"/>
                                            <w:right w:val="none" w:sz="0" w:space="0" w:color="auto"/>
                                          </w:divBdr>
                                          <w:divsChild>
                                            <w:div w:id="661278174">
                                              <w:marLeft w:val="0"/>
                                              <w:marRight w:val="0"/>
                                              <w:marTop w:val="120"/>
                                              <w:marBottom w:val="0"/>
                                              <w:divBdr>
                                                <w:top w:val="none" w:sz="0" w:space="0" w:color="auto"/>
                                                <w:left w:val="none" w:sz="0" w:space="0" w:color="auto"/>
                                                <w:bottom w:val="none" w:sz="0" w:space="0" w:color="auto"/>
                                                <w:right w:val="none" w:sz="0" w:space="0" w:color="auto"/>
                                              </w:divBdr>
                                            </w:div>
                                            <w:div w:id="1443761902">
                                              <w:marLeft w:val="0"/>
                                              <w:marRight w:val="0"/>
                                              <w:marTop w:val="0"/>
                                              <w:marBottom w:val="0"/>
                                              <w:divBdr>
                                                <w:top w:val="none" w:sz="0" w:space="0" w:color="auto"/>
                                                <w:left w:val="none" w:sz="0" w:space="0" w:color="auto"/>
                                                <w:bottom w:val="none" w:sz="0" w:space="0" w:color="auto"/>
                                                <w:right w:val="none" w:sz="0" w:space="0" w:color="auto"/>
                                              </w:divBdr>
                                            </w:div>
                                          </w:divsChild>
                                        </w:div>
                                        <w:div w:id="1202091573">
                                          <w:marLeft w:val="0"/>
                                          <w:marRight w:val="0"/>
                                          <w:marTop w:val="0"/>
                                          <w:marBottom w:val="0"/>
                                          <w:divBdr>
                                            <w:top w:val="none" w:sz="0" w:space="0" w:color="auto"/>
                                            <w:left w:val="none" w:sz="0" w:space="0" w:color="auto"/>
                                            <w:bottom w:val="none" w:sz="0" w:space="0" w:color="auto"/>
                                            <w:right w:val="none" w:sz="0" w:space="0" w:color="auto"/>
                                          </w:divBdr>
                                          <w:divsChild>
                                            <w:div w:id="1225876248">
                                              <w:marLeft w:val="0"/>
                                              <w:marRight w:val="0"/>
                                              <w:marTop w:val="120"/>
                                              <w:marBottom w:val="0"/>
                                              <w:divBdr>
                                                <w:top w:val="none" w:sz="0" w:space="0" w:color="auto"/>
                                                <w:left w:val="none" w:sz="0" w:space="0" w:color="auto"/>
                                                <w:bottom w:val="none" w:sz="0" w:space="0" w:color="auto"/>
                                                <w:right w:val="none" w:sz="0" w:space="0" w:color="auto"/>
                                              </w:divBdr>
                                            </w:div>
                                            <w:div w:id="109131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359472">
                                  <w:marLeft w:val="0"/>
                                  <w:marRight w:val="0"/>
                                  <w:marTop w:val="0"/>
                                  <w:marBottom w:val="0"/>
                                  <w:divBdr>
                                    <w:top w:val="none" w:sz="0" w:space="0" w:color="auto"/>
                                    <w:left w:val="none" w:sz="0" w:space="0" w:color="auto"/>
                                    <w:bottom w:val="none" w:sz="0" w:space="0" w:color="auto"/>
                                    <w:right w:val="none" w:sz="0" w:space="0" w:color="auto"/>
                                  </w:divBdr>
                                  <w:divsChild>
                                    <w:div w:id="725686775">
                                      <w:marLeft w:val="0"/>
                                      <w:marRight w:val="0"/>
                                      <w:marTop w:val="0"/>
                                      <w:marBottom w:val="0"/>
                                      <w:divBdr>
                                        <w:top w:val="none" w:sz="0" w:space="0" w:color="auto"/>
                                        <w:left w:val="none" w:sz="0" w:space="0" w:color="auto"/>
                                        <w:bottom w:val="none" w:sz="0" w:space="0" w:color="auto"/>
                                        <w:right w:val="none" w:sz="0" w:space="0" w:color="auto"/>
                                      </w:divBdr>
                                    </w:div>
                                  </w:divsChild>
                                </w:div>
                                <w:div w:id="232811419">
                                  <w:marLeft w:val="0"/>
                                  <w:marRight w:val="0"/>
                                  <w:marTop w:val="0"/>
                                  <w:marBottom w:val="0"/>
                                  <w:divBdr>
                                    <w:top w:val="none" w:sz="0" w:space="0" w:color="auto"/>
                                    <w:left w:val="none" w:sz="0" w:space="0" w:color="auto"/>
                                    <w:bottom w:val="none" w:sz="0" w:space="0" w:color="auto"/>
                                    <w:right w:val="none" w:sz="0" w:space="0" w:color="auto"/>
                                  </w:divBdr>
                                  <w:divsChild>
                                    <w:div w:id="1616983174">
                                      <w:marLeft w:val="0"/>
                                      <w:marRight w:val="0"/>
                                      <w:marTop w:val="0"/>
                                      <w:marBottom w:val="0"/>
                                      <w:divBdr>
                                        <w:top w:val="none" w:sz="0" w:space="0" w:color="auto"/>
                                        <w:left w:val="none" w:sz="0" w:space="0" w:color="auto"/>
                                        <w:bottom w:val="none" w:sz="0" w:space="0" w:color="auto"/>
                                        <w:right w:val="none" w:sz="0" w:space="0" w:color="auto"/>
                                      </w:divBdr>
                                    </w:div>
                                  </w:divsChild>
                                </w:div>
                                <w:div w:id="63920714">
                                  <w:marLeft w:val="0"/>
                                  <w:marRight w:val="0"/>
                                  <w:marTop w:val="0"/>
                                  <w:marBottom w:val="0"/>
                                  <w:divBdr>
                                    <w:top w:val="none" w:sz="0" w:space="0" w:color="auto"/>
                                    <w:left w:val="none" w:sz="0" w:space="0" w:color="auto"/>
                                    <w:bottom w:val="none" w:sz="0" w:space="0" w:color="auto"/>
                                    <w:right w:val="none" w:sz="0" w:space="0" w:color="auto"/>
                                  </w:divBdr>
                                  <w:divsChild>
                                    <w:div w:id="1265722108">
                                      <w:marLeft w:val="0"/>
                                      <w:marRight w:val="0"/>
                                      <w:marTop w:val="0"/>
                                      <w:marBottom w:val="0"/>
                                      <w:divBdr>
                                        <w:top w:val="none" w:sz="0" w:space="0" w:color="auto"/>
                                        <w:left w:val="none" w:sz="0" w:space="0" w:color="auto"/>
                                        <w:bottom w:val="none" w:sz="0" w:space="0" w:color="auto"/>
                                        <w:right w:val="none" w:sz="0" w:space="0" w:color="auto"/>
                                      </w:divBdr>
                                    </w:div>
                                  </w:divsChild>
                                </w:div>
                                <w:div w:id="279916184">
                                  <w:marLeft w:val="0"/>
                                  <w:marRight w:val="0"/>
                                  <w:marTop w:val="0"/>
                                  <w:marBottom w:val="0"/>
                                  <w:divBdr>
                                    <w:top w:val="none" w:sz="0" w:space="0" w:color="auto"/>
                                    <w:left w:val="none" w:sz="0" w:space="0" w:color="auto"/>
                                    <w:bottom w:val="none" w:sz="0" w:space="0" w:color="auto"/>
                                    <w:right w:val="none" w:sz="0" w:space="0" w:color="auto"/>
                                  </w:divBdr>
                                  <w:divsChild>
                                    <w:div w:id="1872759562">
                                      <w:marLeft w:val="0"/>
                                      <w:marRight w:val="0"/>
                                      <w:marTop w:val="0"/>
                                      <w:marBottom w:val="0"/>
                                      <w:divBdr>
                                        <w:top w:val="none" w:sz="0" w:space="0" w:color="auto"/>
                                        <w:left w:val="none" w:sz="0" w:space="0" w:color="auto"/>
                                        <w:bottom w:val="none" w:sz="0" w:space="0" w:color="auto"/>
                                        <w:right w:val="none" w:sz="0" w:space="0" w:color="auto"/>
                                      </w:divBdr>
                                    </w:div>
                                  </w:divsChild>
                                </w:div>
                                <w:div w:id="2069181092">
                                  <w:marLeft w:val="0"/>
                                  <w:marRight w:val="0"/>
                                  <w:marTop w:val="0"/>
                                  <w:marBottom w:val="0"/>
                                  <w:divBdr>
                                    <w:top w:val="none" w:sz="0" w:space="0" w:color="auto"/>
                                    <w:left w:val="none" w:sz="0" w:space="0" w:color="auto"/>
                                    <w:bottom w:val="none" w:sz="0" w:space="0" w:color="auto"/>
                                    <w:right w:val="none" w:sz="0" w:space="0" w:color="auto"/>
                                  </w:divBdr>
                                  <w:divsChild>
                                    <w:div w:id="232662722">
                                      <w:marLeft w:val="0"/>
                                      <w:marRight w:val="0"/>
                                      <w:marTop w:val="0"/>
                                      <w:marBottom w:val="0"/>
                                      <w:divBdr>
                                        <w:top w:val="none" w:sz="0" w:space="0" w:color="auto"/>
                                        <w:left w:val="none" w:sz="0" w:space="0" w:color="auto"/>
                                        <w:bottom w:val="none" w:sz="0" w:space="0" w:color="auto"/>
                                        <w:right w:val="none" w:sz="0" w:space="0" w:color="auto"/>
                                      </w:divBdr>
                                      <w:divsChild>
                                        <w:div w:id="1982809895">
                                          <w:marLeft w:val="0"/>
                                          <w:marRight w:val="0"/>
                                          <w:marTop w:val="0"/>
                                          <w:marBottom w:val="0"/>
                                          <w:divBdr>
                                            <w:top w:val="none" w:sz="0" w:space="0" w:color="auto"/>
                                            <w:left w:val="none" w:sz="0" w:space="0" w:color="auto"/>
                                            <w:bottom w:val="none" w:sz="0" w:space="0" w:color="auto"/>
                                            <w:right w:val="none" w:sz="0" w:space="0" w:color="auto"/>
                                          </w:divBdr>
                                          <w:divsChild>
                                            <w:div w:id="476413774">
                                              <w:marLeft w:val="0"/>
                                              <w:marRight w:val="0"/>
                                              <w:marTop w:val="120"/>
                                              <w:marBottom w:val="0"/>
                                              <w:divBdr>
                                                <w:top w:val="none" w:sz="0" w:space="0" w:color="auto"/>
                                                <w:left w:val="none" w:sz="0" w:space="0" w:color="auto"/>
                                                <w:bottom w:val="none" w:sz="0" w:space="0" w:color="auto"/>
                                                <w:right w:val="none" w:sz="0" w:space="0" w:color="auto"/>
                                              </w:divBdr>
                                            </w:div>
                                            <w:div w:id="342636004">
                                              <w:marLeft w:val="0"/>
                                              <w:marRight w:val="0"/>
                                              <w:marTop w:val="0"/>
                                              <w:marBottom w:val="0"/>
                                              <w:divBdr>
                                                <w:top w:val="none" w:sz="0" w:space="0" w:color="auto"/>
                                                <w:left w:val="none" w:sz="0" w:space="0" w:color="auto"/>
                                                <w:bottom w:val="none" w:sz="0" w:space="0" w:color="auto"/>
                                                <w:right w:val="none" w:sz="0" w:space="0" w:color="auto"/>
                                              </w:divBdr>
                                            </w:div>
                                          </w:divsChild>
                                        </w:div>
                                        <w:div w:id="146475986">
                                          <w:marLeft w:val="0"/>
                                          <w:marRight w:val="0"/>
                                          <w:marTop w:val="0"/>
                                          <w:marBottom w:val="0"/>
                                          <w:divBdr>
                                            <w:top w:val="none" w:sz="0" w:space="0" w:color="auto"/>
                                            <w:left w:val="none" w:sz="0" w:space="0" w:color="auto"/>
                                            <w:bottom w:val="none" w:sz="0" w:space="0" w:color="auto"/>
                                            <w:right w:val="none" w:sz="0" w:space="0" w:color="auto"/>
                                          </w:divBdr>
                                          <w:divsChild>
                                            <w:div w:id="1285959364">
                                              <w:marLeft w:val="0"/>
                                              <w:marRight w:val="0"/>
                                              <w:marTop w:val="120"/>
                                              <w:marBottom w:val="0"/>
                                              <w:divBdr>
                                                <w:top w:val="none" w:sz="0" w:space="0" w:color="auto"/>
                                                <w:left w:val="none" w:sz="0" w:space="0" w:color="auto"/>
                                                <w:bottom w:val="none" w:sz="0" w:space="0" w:color="auto"/>
                                                <w:right w:val="none" w:sz="0" w:space="0" w:color="auto"/>
                                              </w:divBdr>
                                            </w:div>
                                            <w:div w:id="95938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97975">
                                  <w:marLeft w:val="0"/>
                                  <w:marRight w:val="0"/>
                                  <w:marTop w:val="0"/>
                                  <w:marBottom w:val="0"/>
                                  <w:divBdr>
                                    <w:top w:val="none" w:sz="0" w:space="0" w:color="auto"/>
                                    <w:left w:val="none" w:sz="0" w:space="0" w:color="auto"/>
                                    <w:bottom w:val="none" w:sz="0" w:space="0" w:color="auto"/>
                                    <w:right w:val="none" w:sz="0" w:space="0" w:color="auto"/>
                                  </w:divBdr>
                                  <w:divsChild>
                                    <w:div w:id="1130437182">
                                      <w:marLeft w:val="0"/>
                                      <w:marRight w:val="0"/>
                                      <w:marTop w:val="0"/>
                                      <w:marBottom w:val="0"/>
                                      <w:divBdr>
                                        <w:top w:val="none" w:sz="0" w:space="0" w:color="auto"/>
                                        <w:left w:val="none" w:sz="0" w:space="0" w:color="auto"/>
                                        <w:bottom w:val="none" w:sz="0" w:space="0" w:color="auto"/>
                                        <w:right w:val="none" w:sz="0" w:space="0" w:color="auto"/>
                                      </w:divBdr>
                                    </w:div>
                                  </w:divsChild>
                                </w:div>
                                <w:div w:id="384647603">
                                  <w:marLeft w:val="0"/>
                                  <w:marRight w:val="0"/>
                                  <w:marTop w:val="0"/>
                                  <w:marBottom w:val="0"/>
                                  <w:divBdr>
                                    <w:top w:val="none" w:sz="0" w:space="0" w:color="auto"/>
                                    <w:left w:val="none" w:sz="0" w:space="0" w:color="auto"/>
                                    <w:bottom w:val="none" w:sz="0" w:space="0" w:color="auto"/>
                                    <w:right w:val="none" w:sz="0" w:space="0" w:color="auto"/>
                                  </w:divBdr>
                                  <w:divsChild>
                                    <w:div w:id="885457343">
                                      <w:marLeft w:val="0"/>
                                      <w:marRight w:val="0"/>
                                      <w:marTop w:val="0"/>
                                      <w:marBottom w:val="0"/>
                                      <w:divBdr>
                                        <w:top w:val="none" w:sz="0" w:space="0" w:color="auto"/>
                                        <w:left w:val="none" w:sz="0" w:space="0" w:color="auto"/>
                                        <w:bottom w:val="none" w:sz="0" w:space="0" w:color="auto"/>
                                        <w:right w:val="none" w:sz="0" w:space="0" w:color="auto"/>
                                      </w:divBdr>
                                    </w:div>
                                  </w:divsChild>
                                </w:div>
                                <w:div w:id="1281375206">
                                  <w:marLeft w:val="0"/>
                                  <w:marRight w:val="0"/>
                                  <w:marTop w:val="0"/>
                                  <w:marBottom w:val="0"/>
                                  <w:divBdr>
                                    <w:top w:val="none" w:sz="0" w:space="0" w:color="auto"/>
                                    <w:left w:val="none" w:sz="0" w:space="0" w:color="auto"/>
                                    <w:bottom w:val="none" w:sz="0" w:space="0" w:color="auto"/>
                                    <w:right w:val="none" w:sz="0" w:space="0" w:color="auto"/>
                                  </w:divBdr>
                                  <w:divsChild>
                                    <w:div w:id="394207226">
                                      <w:marLeft w:val="0"/>
                                      <w:marRight w:val="0"/>
                                      <w:marTop w:val="0"/>
                                      <w:marBottom w:val="0"/>
                                      <w:divBdr>
                                        <w:top w:val="none" w:sz="0" w:space="0" w:color="auto"/>
                                        <w:left w:val="none" w:sz="0" w:space="0" w:color="auto"/>
                                        <w:bottom w:val="none" w:sz="0" w:space="0" w:color="auto"/>
                                        <w:right w:val="none" w:sz="0" w:space="0" w:color="auto"/>
                                      </w:divBdr>
                                    </w:div>
                                  </w:divsChild>
                                </w:div>
                                <w:div w:id="526911765">
                                  <w:marLeft w:val="0"/>
                                  <w:marRight w:val="0"/>
                                  <w:marTop w:val="0"/>
                                  <w:marBottom w:val="0"/>
                                  <w:divBdr>
                                    <w:top w:val="none" w:sz="0" w:space="0" w:color="auto"/>
                                    <w:left w:val="none" w:sz="0" w:space="0" w:color="auto"/>
                                    <w:bottom w:val="none" w:sz="0" w:space="0" w:color="auto"/>
                                    <w:right w:val="none" w:sz="0" w:space="0" w:color="auto"/>
                                  </w:divBdr>
                                  <w:divsChild>
                                    <w:div w:id="185213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29966">
                          <w:marLeft w:val="0"/>
                          <w:marRight w:val="0"/>
                          <w:marTop w:val="0"/>
                          <w:marBottom w:val="0"/>
                          <w:divBdr>
                            <w:top w:val="none" w:sz="0" w:space="0" w:color="auto"/>
                            <w:left w:val="none" w:sz="0" w:space="0" w:color="auto"/>
                            <w:bottom w:val="none" w:sz="0" w:space="0" w:color="auto"/>
                            <w:right w:val="none" w:sz="0" w:space="0" w:color="auto"/>
                          </w:divBdr>
                          <w:divsChild>
                            <w:div w:id="1479373847">
                              <w:marLeft w:val="0"/>
                              <w:marRight w:val="0"/>
                              <w:marTop w:val="0"/>
                              <w:marBottom w:val="0"/>
                              <w:divBdr>
                                <w:top w:val="none" w:sz="0" w:space="0" w:color="auto"/>
                                <w:left w:val="none" w:sz="0" w:space="0" w:color="auto"/>
                                <w:bottom w:val="none" w:sz="0" w:space="0" w:color="auto"/>
                                <w:right w:val="none" w:sz="0" w:space="0" w:color="auto"/>
                              </w:divBdr>
                              <w:divsChild>
                                <w:div w:id="560754214">
                                  <w:marLeft w:val="0"/>
                                  <w:marRight w:val="0"/>
                                  <w:marTop w:val="0"/>
                                  <w:marBottom w:val="0"/>
                                  <w:divBdr>
                                    <w:top w:val="none" w:sz="0" w:space="0" w:color="auto"/>
                                    <w:left w:val="none" w:sz="0" w:space="0" w:color="auto"/>
                                    <w:bottom w:val="none" w:sz="0" w:space="0" w:color="auto"/>
                                    <w:right w:val="none" w:sz="0" w:space="0" w:color="auto"/>
                                  </w:divBdr>
                                  <w:divsChild>
                                    <w:div w:id="152991481">
                                      <w:marLeft w:val="0"/>
                                      <w:marRight w:val="0"/>
                                      <w:marTop w:val="0"/>
                                      <w:marBottom w:val="0"/>
                                      <w:divBdr>
                                        <w:top w:val="none" w:sz="0" w:space="0" w:color="auto"/>
                                        <w:left w:val="none" w:sz="0" w:space="0" w:color="auto"/>
                                        <w:bottom w:val="none" w:sz="0" w:space="0" w:color="auto"/>
                                        <w:right w:val="none" w:sz="0" w:space="0" w:color="auto"/>
                                      </w:divBdr>
                                    </w:div>
                                    <w:div w:id="764040529">
                                      <w:marLeft w:val="0"/>
                                      <w:marRight w:val="0"/>
                                      <w:marTop w:val="0"/>
                                      <w:marBottom w:val="0"/>
                                      <w:divBdr>
                                        <w:top w:val="none" w:sz="0" w:space="0" w:color="auto"/>
                                        <w:left w:val="none" w:sz="0" w:space="0" w:color="auto"/>
                                        <w:bottom w:val="none" w:sz="0" w:space="0" w:color="auto"/>
                                        <w:right w:val="none" w:sz="0" w:space="0" w:color="auto"/>
                                      </w:divBdr>
                                      <w:divsChild>
                                        <w:div w:id="1417677766">
                                          <w:marLeft w:val="0"/>
                                          <w:marRight w:val="0"/>
                                          <w:marTop w:val="0"/>
                                          <w:marBottom w:val="0"/>
                                          <w:divBdr>
                                            <w:top w:val="none" w:sz="0" w:space="0" w:color="auto"/>
                                            <w:left w:val="none" w:sz="0" w:space="0" w:color="auto"/>
                                            <w:bottom w:val="none" w:sz="0" w:space="0" w:color="auto"/>
                                            <w:right w:val="none" w:sz="0" w:space="0" w:color="auto"/>
                                          </w:divBdr>
                                        </w:div>
                                      </w:divsChild>
                                    </w:div>
                                    <w:div w:id="1052072471">
                                      <w:marLeft w:val="0"/>
                                      <w:marRight w:val="0"/>
                                      <w:marTop w:val="0"/>
                                      <w:marBottom w:val="0"/>
                                      <w:divBdr>
                                        <w:top w:val="none" w:sz="0" w:space="0" w:color="auto"/>
                                        <w:left w:val="none" w:sz="0" w:space="0" w:color="auto"/>
                                        <w:bottom w:val="none" w:sz="0" w:space="0" w:color="auto"/>
                                        <w:right w:val="none" w:sz="0" w:space="0" w:color="auto"/>
                                      </w:divBdr>
                                      <w:divsChild>
                                        <w:div w:id="1297180727">
                                          <w:marLeft w:val="0"/>
                                          <w:marRight w:val="0"/>
                                          <w:marTop w:val="0"/>
                                          <w:marBottom w:val="0"/>
                                          <w:divBdr>
                                            <w:top w:val="none" w:sz="0" w:space="0" w:color="auto"/>
                                            <w:left w:val="none" w:sz="0" w:space="0" w:color="auto"/>
                                            <w:bottom w:val="none" w:sz="0" w:space="0" w:color="auto"/>
                                            <w:right w:val="none" w:sz="0" w:space="0" w:color="auto"/>
                                          </w:divBdr>
                                          <w:divsChild>
                                            <w:div w:id="1406297467">
                                              <w:marLeft w:val="0"/>
                                              <w:marRight w:val="0"/>
                                              <w:marTop w:val="0"/>
                                              <w:marBottom w:val="0"/>
                                              <w:divBdr>
                                                <w:top w:val="none" w:sz="0" w:space="0" w:color="auto"/>
                                                <w:left w:val="none" w:sz="0" w:space="0" w:color="auto"/>
                                                <w:bottom w:val="none" w:sz="0" w:space="0" w:color="auto"/>
                                                <w:right w:val="none" w:sz="0" w:space="0" w:color="auto"/>
                                              </w:divBdr>
                                              <w:divsChild>
                                                <w:div w:id="843402145">
                                                  <w:marLeft w:val="0"/>
                                                  <w:marRight w:val="0"/>
                                                  <w:marTop w:val="120"/>
                                                  <w:marBottom w:val="0"/>
                                                  <w:divBdr>
                                                    <w:top w:val="none" w:sz="0" w:space="0" w:color="auto"/>
                                                    <w:left w:val="none" w:sz="0" w:space="0" w:color="auto"/>
                                                    <w:bottom w:val="none" w:sz="0" w:space="0" w:color="auto"/>
                                                    <w:right w:val="none" w:sz="0" w:space="0" w:color="auto"/>
                                                  </w:divBdr>
                                                </w:div>
                                                <w:div w:id="2111660765">
                                                  <w:marLeft w:val="0"/>
                                                  <w:marRight w:val="0"/>
                                                  <w:marTop w:val="0"/>
                                                  <w:marBottom w:val="0"/>
                                                  <w:divBdr>
                                                    <w:top w:val="none" w:sz="0" w:space="0" w:color="auto"/>
                                                    <w:left w:val="none" w:sz="0" w:space="0" w:color="auto"/>
                                                    <w:bottom w:val="none" w:sz="0" w:space="0" w:color="auto"/>
                                                    <w:right w:val="none" w:sz="0" w:space="0" w:color="auto"/>
                                                  </w:divBdr>
                                                </w:div>
                                              </w:divsChild>
                                            </w:div>
                                            <w:div w:id="1730153191">
                                              <w:marLeft w:val="0"/>
                                              <w:marRight w:val="0"/>
                                              <w:marTop w:val="0"/>
                                              <w:marBottom w:val="0"/>
                                              <w:divBdr>
                                                <w:top w:val="none" w:sz="0" w:space="0" w:color="auto"/>
                                                <w:left w:val="none" w:sz="0" w:space="0" w:color="auto"/>
                                                <w:bottom w:val="none" w:sz="0" w:space="0" w:color="auto"/>
                                                <w:right w:val="none" w:sz="0" w:space="0" w:color="auto"/>
                                              </w:divBdr>
                                              <w:divsChild>
                                                <w:div w:id="1241795715">
                                                  <w:marLeft w:val="0"/>
                                                  <w:marRight w:val="0"/>
                                                  <w:marTop w:val="120"/>
                                                  <w:marBottom w:val="0"/>
                                                  <w:divBdr>
                                                    <w:top w:val="none" w:sz="0" w:space="0" w:color="auto"/>
                                                    <w:left w:val="none" w:sz="0" w:space="0" w:color="auto"/>
                                                    <w:bottom w:val="none" w:sz="0" w:space="0" w:color="auto"/>
                                                    <w:right w:val="none" w:sz="0" w:space="0" w:color="auto"/>
                                                  </w:divBdr>
                                                </w:div>
                                                <w:div w:id="1013843137">
                                                  <w:marLeft w:val="0"/>
                                                  <w:marRight w:val="0"/>
                                                  <w:marTop w:val="0"/>
                                                  <w:marBottom w:val="0"/>
                                                  <w:divBdr>
                                                    <w:top w:val="none" w:sz="0" w:space="0" w:color="auto"/>
                                                    <w:left w:val="none" w:sz="0" w:space="0" w:color="auto"/>
                                                    <w:bottom w:val="none" w:sz="0" w:space="0" w:color="auto"/>
                                                    <w:right w:val="none" w:sz="0" w:space="0" w:color="auto"/>
                                                  </w:divBdr>
                                                  <w:divsChild>
                                                    <w:div w:id="813133685">
                                                      <w:marLeft w:val="0"/>
                                                      <w:marRight w:val="0"/>
                                                      <w:marTop w:val="0"/>
                                                      <w:marBottom w:val="0"/>
                                                      <w:divBdr>
                                                        <w:top w:val="none" w:sz="0" w:space="0" w:color="auto"/>
                                                        <w:left w:val="none" w:sz="0" w:space="0" w:color="auto"/>
                                                        <w:bottom w:val="none" w:sz="0" w:space="0" w:color="auto"/>
                                                        <w:right w:val="none" w:sz="0" w:space="0" w:color="auto"/>
                                                      </w:divBdr>
                                                      <w:divsChild>
                                                        <w:div w:id="1866359588">
                                                          <w:marLeft w:val="0"/>
                                                          <w:marRight w:val="0"/>
                                                          <w:marTop w:val="120"/>
                                                          <w:marBottom w:val="0"/>
                                                          <w:divBdr>
                                                            <w:top w:val="none" w:sz="0" w:space="0" w:color="auto"/>
                                                            <w:left w:val="none" w:sz="0" w:space="0" w:color="auto"/>
                                                            <w:bottom w:val="none" w:sz="0" w:space="0" w:color="auto"/>
                                                            <w:right w:val="none" w:sz="0" w:space="0" w:color="auto"/>
                                                          </w:divBdr>
                                                        </w:div>
                                                        <w:div w:id="69236419">
                                                          <w:marLeft w:val="0"/>
                                                          <w:marRight w:val="0"/>
                                                          <w:marTop w:val="0"/>
                                                          <w:marBottom w:val="0"/>
                                                          <w:divBdr>
                                                            <w:top w:val="none" w:sz="0" w:space="0" w:color="auto"/>
                                                            <w:left w:val="none" w:sz="0" w:space="0" w:color="auto"/>
                                                            <w:bottom w:val="none" w:sz="0" w:space="0" w:color="auto"/>
                                                            <w:right w:val="none" w:sz="0" w:space="0" w:color="auto"/>
                                                          </w:divBdr>
                                                        </w:div>
                                                      </w:divsChild>
                                                    </w:div>
                                                    <w:div w:id="1998071562">
                                                      <w:marLeft w:val="0"/>
                                                      <w:marRight w:val="0"/>
                                                      <w:marTop w:val="0"/>
                                                      <w:marBottom w:val="0"/>
                                                      <w:divBdr>
                                                        <w:top w:val="none" w:sz="0" w:space="0" w:color="auto"/>
                                                        <w:left w:val="none" w:sz="0" w:space="0" w:color="auto"/>
                                                        <w:bottom w:val="none" w:sz="0" w:space="0" w:color="auto"/>
                                                        <w:right w:val="none" w:sz="0" w:space="0" w:color="auto"/>
                                                      </w:divBdr>
                                                      <w:divsChild>
                                                        <w:div w:id="271859269">
                                                          <w:marLeft w:val="0"/>
                                                          <w:marRight w:val="0"/>
                                                          <w:marTop w:val="120"/>
                                                          <w:marBottom w:val="0"/>
                                                          <w:divBdr>
                                                            <w:top w:val="none" w:sz="0" w:space="0" w:color="auto"/>
                                                            <w:left w:val="none" w:sz="0" w:space="0" w:color="auto"/>
                                                            <w:bottom w:val="none" w:sz="0" w:space="0" w:color="auto"/>
                                                            <w:right w:val="none" w:sz="0" w:space="0" w:color="auto"/>
                                                          </w:divBdr>
                                                        </w:div>
                                                        <w:div w:id="1442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088489">
                                      <w:marLeft w:val="0"/>
                                      <w:marRight w:val="0"/>
                                      <w:marTop w:val="0"/>
                                      <w:marBottom w:val="0"/>
                                      <w:divBdr>
                                        <w:top w:val="none" w:sz="0" w:space="0" w:color="auto"/>
                                        <w:left w:val="none" w:sz="0" w:space="0" w:color="auto"/>
                                        <w:bottom w:val="none" w:sz="0" w:space="0" w:color="auto"/>
                                        <w:right w:val="none" w:sz="0" w:space="0" w:color="auto"/>
                                      </w:divBdr>
                                      <w:divsChild>
                                        <w:div w:id="960068919">
                                          <w:marLeft w:val="0"/>
                                          <w:marRight w:val="0"/>
                                          <w:marTop w:val="0"/>
                                          <w:marBottom w:val="0"/>
                                          <w:divBdr>
                                            <w:top w:val="none" w:sz="0" w:space="0" w:color="auto"/>
                                            <w:left w:val="none" w:sz="0" w:space="0" w:color="auto"/>
                                            <w:bottom w:val="none" w:sz="0" w:space="0" w:color="auto"/>
                                            <w:right w:val="none" w:sz="0" w:space="0" w:color="auto"/>
                                          </w:divBdr>
                                        </w:div>
                                      </w:divsChild>
                                    </w:div>
                                    <w:div w:id="1555850264">
                                      <w:marLeft w:val="0"/>
                                      <w:marRight w:val="0"/>
                                      <w:marTop w:val="0"/>
                                      <w:marBottom w:val="0"/>
                                      <w:divBdr>
                                        <w:top w:val="none" w:sz="0" w:space="0" w:color="auto"/>
                                        <w:left w:val="none" w:sz="0" w:space="0" w:color="auto"/>
                                        <w:bottom w:val="none" w:sz="0" w:space="0" w:color="auto"/>
                                        <w:right w:val="none" w:sz="0" w:space="0" w:color="auto"/>
                                      </w:divBdr>
                                      <w:divsChild>
                                        <w:div w:id="8503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09373">
                                  <w:marLeft w:val="0"/>
                                  <w:marRight w:val="0"/>
                                  <w:marTop w:val="0"/>
                                  <w:marBottom w:val="0"/>
                                  <w:divBdr>
                                    <w:top w:val="none" w:sz="0" w:space="0" w:color="auto"/>
                                    <w:left w:val="none" w:sz="0" w:space="0" w:color="auto"/>
                                    <w:bottom w:val="none" w:sz="0" w:space="0" w:color="auto"/>
                                    <w:right w:val="none" w:sz="0" w:space="0" w:color="auto"/>
                                  </w:divBdr>
                                  <w:divsChild>
                                    <w:div w:id="1204059502">
                                      <w:marLeft w:val="0"/>
                                      <w:marRight w:val="0"/>
                                      <w:marTop w:val="0"/>
                                      <w:marBottom w:val="0"/>
                                      <w:divBdr>
                                        <w:top w:val="none" w:sz="0" w:space="0" w:color="auto"/>
                                        <w:left w:val="none" w:sz="0" w:space="0" w:color="auto"/>
                                        <w:bottom w:val="none" w:sz="0" w:space="0" w:color="auto"/>
                                        <w:right w:val="none" w:sz="0" w:space="0" w:color="auto"/>
                                      </w:divBdr>
                                    </w:div>
                                    <w:div w:id="957370766">
                                      <w:marLeft w:val="0"/>
                                      <w:marRight w:val="0"/>
                                      <w:marTop w:val="0"/>
                                      <w:marBottom w:val="0"/>
                                      <w:divBdr>
                                        <w:top w:val="none" w:sz="0" w:space="0" w:color="auto"/>
                                        <w:left w:val="none" w:sz="0" w:space="0" w:color="auto"/>
                                        <w:bottom w:val="none" w:sz="0" w:space="0" w:color="auto"/>
                                        <w:right w:val="none" w:sz="0" w:space="0" w:color="auto"/>
                                      </w:divBdr>
                                      <w:divsChild>
                                        <w:div w:id="87042709">
                                          <w:marLeft w:val="0"/>
                                          <w:marRight w:val="0"/>
                                          <w:marTop w:val="0"/>
                                          <w:marBottom w:val="0"/>
                                          <w:divBdr>
                                            <w:top w:val="none" w:sz="0" w:space="0" w:color="auto"/>
                                            <w:left w:val="none" w:sz="0" w:space="0" w:color="auto"/>
                                            <w:bottom w:val="none" w:sz="0" w:space="0" w:color="auto"/>
                                            <w:right w:val="none" w:sz="0" w:space="0" w:color="auto"/>
                                          </w:divBdr>
                                        </w:div>
                                      </w:divsChild>
                                    </w:div>
                                    <w:div w:id="1237741626">
                                      <w:marLeft w:val="0"/>
                                      <w:marRight w:val="0"/>
                                      <w:marTop w:val="0"/>
                                      <w:marBottom w:val="0"/>
                                      <w:divBdr>
                                        <w:top w:val="none" w:sz="0" w:space="0" w:color="auto"/>
                                        <w:left w:val="none" w:sz="0" w:space="0" w:color="auto"/>
                                        <w:bottom w:val="none" w:sz="0" w:space="0" w:color="auto"/>
                                        <w:right w:val="none" w:sz="0" w:space="0" w:color="auto"/>
                                      </w:divBdr>
                                      <w:divsChild>
                                        <w:div w:id="1422143460">
                                          <w:marLeft w:val="0"/>
                                          <w:marRight w:val="0"/>
                                          <w:marTop w:val="0"/>
                                          <w:marBottom w:val="0"/>
                                          <w:divBdr>
                                            <w:top w:val="none" w:sz="0" w:space="0" w:color="auto"/>
                                            <w:left w:val="none" w:sz="0" w:space="0" w:color="auto"/>
                                            <w:bottom w:val="none" w:sz="0" w:space="0" w:color="auto"/>
                                            <w:right w:val="none" w:sz="0" w:space="0" w:color="auto"/>
                                          </w:divBdr>
                                          <w:divsChild>
                                            <w:div w:id="86275393">
                                              <w:marLeft w:val="0"/>
                                              <w:marRight w:val="0"/>
                                              <w:marTop w:val="0"/>
                                              <w:marBottom w:val="0"/>
                                              <w:divBdr>
                                                <w:top w:val="none" w:sz="0" w:space="0" w:color="auto"/>
                                                <w:left w:val="none" w:sz="0" w:space="0" w:color="auto"/>
                                                <w:bottom w:val="none" w:sz="0" w:space="0" w:color="auto"/>
                                                <w:right w:val="none" w:sz="0" w:space="0" w:color="auto"/>
                                              </w:divBdr>
                                              <w:divsChild>
                                                <w:div w:id="1293245462">
                                                  <w:marLeft w:val="0"/>
                                                  <w:marRight w:val="0"/>
                                                  <w:marTop w:val="120"/>
                                                  <w:marBottom w:val="0"/>
                                                  <w:divBdr>
                                                    <w:top w:val="none" w:sz="0" w:space="0" w:color="auto"/>
                                                    <w:left w:val="none" w:sz="0" w:space="0" w:color="auto"/>
                                                    <w:bottom w:val="none" w:sz="0" w:space="0" w:color="auto"/>
                                                    <w:right w:val="none" w:sz="0" w:space="0" w:color="auto"/>
                                                  </w:divBdr>
                                                </w:div>
                                                <w:div w:id="1548178998">
                                                  <w:marLeft w:val="0"/>
                                                  <w:marRight w:val="0"/>
                                                  <w:marTop w:val="0"/>
                                                  <w:marBottom w:val="0"/>
                                                  <w:divBdr>
                                                    <w:top w:val="none" w:sz="0" w:space="0" w:color="auto"/>
                                                    <w:left w:val="none" w:sz="0" w:space="0" w:color="auto"/>
                                                    <w:bottom w:val="none" w:sz="0" w:space="0" w:color="auto"/>
                                                    <w:right w:val="none" w:sz="0" w:space="0" w:color="auto"/>
                                                  </w:divBdr>
                                                </w:div>
                                              </w:divsChild>
                                            </w:div>
                                            <w:div w:id="770390828">
                                              <w:marLeft w:val="0"/>
                                              <w:marRight w:val="0"/>
                                              <w:marTop w:val="0"/>
                                              <w:marBottom w:val="0"/>
                                              <w:divBdr>
                                                <w:top w:val="none" w:sz="0" w:space="0" w:color="auto"/>
                                                <w:left w:val="none" w:sz="0" w:space="0" w:color="auto"/>
                                                <w:bottom w:val="none" w:sz="0" w:space="0" w:color="auto"/>
                                                <w:right w:val="none" w:sz="0" w:space="0" w:color="auto"/>
                                              </w:divBdr>
                                              <w:divsChild>
                                                <w:div w:id="1453548241">
                                                  <w:marLeft w:val="0"/>
                                                  <w:marRight w:val="0"/>
                                                  <w:marTop w:val="120"/>
                                                  <w:marBottom w:val="0"/>
                                                  <w:divBdr>
                                                    <w:top w:val="none" w:sz="0" w:space="0" w:color="auto"/>
                                                    <w:left w:val="none" w:sz="0" w:space="0" w:color="auto"/>
                                                    <w:bottom w:val="none" w:sz="0" w:space="0" w:color="auto"/>
                                                    <w:right w:val="none" w:sz="0" w:space="0" w:color="auto"/>
                                                  </w:divBdr>
                                                </w:div>
                                                <w:div w:id="503324382">
                                                  <w:marLeft w:val="0"/>
                                                  <w:marRight w:val="0"/>
                                                  <w:marTop w:val="0"/>
                                                  <w:marBottom w:val="0"/>
                                                  <w:divBdr>
                                                    <w:top w:val="none" w:sz="0" w:space="0" w:color="auto"/>
                                                    <w:left w:val="none" w:sz="0" w:space="0" w:color="auto"/>
                                                    <w:bottom w:val="none" w:sz="0" w:space="0" w:color="auto"/>
                                                    <w:right w:val="none" w:sz="0" w:space="0" w:color="auto"/>
                                                  </w:divBdr>
                                                </w:div>
                                              </w:divsChild>
                                            </w:div>
                                            <w:div w:id="975142012">
                                              <w:marLeft w:val="0"/>
                                              <w:marRight w:val="0"/>
                                              <w:marTop w:val="0"/>
                                              <w:marBottom w:val="0"/>
                                              <w:divBdr>
                                                <w:top w:val="none" w:sz="0" w:space="0" w:color="auto"/>
                                                <w:left w:val="none" w:sz="0" w:space="0" w:color="auto"/>
                                                <w:bottom w:val="none" w:sz="0" w:space="0" w:color="auto"/>
                                                <w:right w:val="none" w:sz="0" w:space="0" w:color="auto"/>
                                              </w:divBdr>
                                              <w:divsChild>
                                                <w:div w:id="338511014">
                                                  <w:marLeft w:val="0"/>
                                                  <w:marRight w:val="0"/>
                                                  <w:marTop w:val="120"/>
                                                  <w:marBottom w:val="0"/>
                                                  <w:divBdr>
                                                    <w:top w:val="none" w:sz="0" w:space="0" w:color="auto"/>
                                                    <w:left w:val="none" w:sz="0" w:space="0" w:color="auto"/>
                                                    <w:bottom w:val="none" w:sz="0" w:space="0" w:color="auto"/>
                                                    <w:right w:val="none" w:sz="0" w:space="0" w:color="auto"/>
                                                  </w:divBdr>
                                                </w:div>
                                                <w:div w:id="989675212">
                                                  <w:marLeft w:val="0"/>
                                                  <w:marRight w:val="0"/>
                                                  <w:marTop w:val="0"/>
                                                  <w:marBottom w:val="0"/>
                                                  <w:divBdr>
                                                    <w:top w:val="none" w:sz="0" w:space="0" w:color="auto"/>
                                                    <w:left w:val="none" w:sz="0" w:space="0" w:color="auto"/>
                                                    <w:bottom w:val="none" w:sz="0" w:space="0" w:color="auto"/>
                                                    <w:right w:val="none" w:sz="0" w:space="0" w:color="auto"/>
                                                  </w:divBdr>
                                                </w:div>
                                              </w:divsChild>
                                            </w:div>
                                            <w:div w:id="1970698774">
                                              <w:marLeft w:val="0"/>
                                              <w:marRight w:val="0"/>
                                              <w:marTop w:val="0"/>
                                              <w:marBottom w:val="0"/>
                                              <w:divBdr>
                                                <w:top w:val="none" w:sz="0" w:space="0" w:color="auto"/>
                                                <w:left w:val="none" w:sz="0" w:space="0" w:color="auto"/>
                                                <w:bottom w:val="none" w:sz="0" w:space="0" w:color="auto"/>
                                                <w:right w:val="none" w:sz="0" w:space="0" w:color="auto"/>
                                              </w:divBdr>
                                              <w:divsChild>
                                                <w:div w:id="1083451421">
                                                  <w:marLeft w:val="0"/>
                                                  <w:marRight w:val="0"/>
                                                  <w:marTop w:val="120"/>
                                                  <w:marBottom w:val="0"/>
                                                  <w:divBdr>
                                                    <w:top w:val="none" w:sz="0" w:space="0" w:color="auto"/>
                                                    <w:left w:val="none" w:sz="0" w:space="0" w:color="auto"/>
                                                    <w:bottom w:val="none" w:sz="0" w:space="0" w:color="auto"/>
                                                    <w:right w:val="none" w:sz="0" w:space="0" w:color="auto"/>
                                                  </w:divBdr>
                                                </w:div>
                                                <w:div w:id="1663580257">
                                                  <w:marLeft w:val="0"/>
                                                  <w:marRight w:val="0"/>
                                                  <w:marTop w:val="0"/>
                                                  <w:marBottom w:val="0"/>
                                                  <w:divBdr>
                                                    <w:top w:val="none" w:sz="0" w:space="0" w:color="auto"/>
                                                    <w:left w:val="none" w:sz="0" w:space="0" w:color="auto"/>
                                                    <w:bottom w:val="none" w:sz="0" w:space="0" w:color="auto"/>
                                                    <w:right w:val="none" w:sz="0" w:space="0" w:color="auto"/>
                                                  </w:divBdr>
                                                </w:div>
                                              </w:divsChild>
                                            </w:div>
                                            <w:div w:id="1026364860">
                                              <w:marLeft w:val="0"/>
                                              <w:marRight w:val="0"/>
                                              <w:marTop w:val="0"/>
                                              <w:marBottom w:val="0"/>
                                              <w:divBdr>
                                                <w:top w:val="none" w:sz="0" w:space="0" w:color="auto"/>
                                                <w:left w:val="none" w:sz="0" w:space="0" w:color="auto"/>
                                                <w:bottom w:val="none" w:sz="0" w:space="0" w:color="auto"/>
                                                <w:right w:val="none" w:sz="0" w:space="0" w:color="auto"/>
                                              </w:divBdr>
                                              <w:divsChild>
                                                <w:div w:id="1539703390">
                                                  <w:marLeft w:val="0"/>
                                                  <w:marRight w:val="0"/>
                                                  <w:marTop w:val="120"/>
                                                  <w:marBottom w:val="0"/>
                                                  <w:divBdr>
                                                    <w:top w:val="none" w:sz="0" w:space="0" w:color="auto"/>
                                                    <w:left w:val="none" w:sz="0" w:space="0" w:color="auto"/>
                                                    <w:bottom w:val="none" w:sz="0" w:space="0" w:color="auto"/>
                                                    <w:right w:val="none" w:sz="0" w:space="0" w:color="auto"/>
                                                  </w:divBdr>
                                                </w:div>
                                                <w:div w:id="1664503692">
                                                  <w:marLeft w:val="0"/>
                                                  <w:marRight w:val="0"/>
                                                  <w:marTop w:val="0"/>
                                                  <w:marBottom w:val="0"/>
                                                  <w:divBdr>
                                                    <w:top w:val="none" w:sz="0" w:space="0" w:color="auto"/>
                                                    <w:left w:val="none" w:sz="0" w:space="0" w:color="auto"/>
                                                    <w:bottom w:val="none" w:sz="0" w:space="0" w:color="auto"/>
                                                    <w:right w:val="none" w:sz="0" w:space="0" w:color="auto"/>
                                                  </w:divBdr>
                                                </w:div>
                                              </w:divsChild>
                                            </w:div>
                                            <w:div w:id="1053503283">
                                              <w:marLeft w:val="0"/>
                                              <w:marRight w:val="0"/>
                                              <w:marTop w:val="0"/>
                                              <w:marBottom w:val="0"/>
                                              <w:divBdr>
                                                <w:top w:val="none" w:sz="0" w:space="0" w:color="auto"/>
                                                <w:left w:val="none" w:sz="0" w:space="0" w:color="auto"/>
                                                <w:bottom w:val="none" w:sz="0" w:space="0" w:color="auto"/>
                                                <w:right w:val="none" w:sz="0" w:space="0" w:color="auto"/>
                                              </w:divBdr>
                                              <w:divsChild>
                                                <w:div w:id="1836073731">
                                                  <w:marLeft w:val="0"/>
                                                  <w:marRight w:val="0"/>
                                                  <w:marTop w:val="120"/>
                                                  <w:marBottom w:val="0"/>
                                                  <w:divBdr>
                                                    <w:top w:val="none" w:sz="0" w:space="0" w:color="auto"/>
                                                    <w:left w:val="none" w:sz="0" w:space="0" w:color="auto"/>
                                                    <w:bottom w:val="none" w:sz="0" w:space="0" w:color="auto"/>
                                                    <w:right w:val="none" w:sz="0" w:space="0" w:color="auto"/>
                                                  </w:divBdr>
                                                </w:div>
                                                <w:div w:id="1522625281">
                                                  <w:marLeft w:val="0"/>
                                                  <w:marRight w:val="0"/>
                                                  <w:marTop w:val="0"/>
                                                  <w:marBottom w:val="0"/>
                                                  <w:divBdr>
                                                    <w:top w:val="none" w:sz="0" w:space="0" w:color="auto"/>
                                                    <w:left w:val="none" w:sz="0" w:space="0" w:color="auto"/>
                                                    <w:bottom w:val="none" w:sz="0" w:space="0" w:color="auto"/>
                                                    <w:right w:val="none" w:sz="0" w:space="0" w:color="auto"/>
                                                  </w:divBdr>
                                                </w:div>
                                              </w:divsChild>
                                            </w:div>
                                            <w:div w:id="1180924189">
                                              <w:marLeft w:val="0"/>
                                              <w:marRight w:val="0"/>
                                              <w:marTop w:val="0"/>
                                              <w:marBottom w:val="0"/>
                                              <w:divBdr>
                                                <w:top w:val="none" w:sz="0" w:space="0" w:color="auto"/>
                                                <w:left w:val="none" w:sz="0" w:space="0" w:color="auto"/>
                                                <w:bottom w:val="none" w:sz="0" w:space="0" w:color="auto"/>
                                                <w:right w:val="none" w:sz="0" w:space="0" w:color="auto"/>
                                              </w:divBdr>
                                              <w:divsChild>
                                                <w:div w:id="1224372645">
                                                  <w:marLeft w:val="0"/>
                                                  <w:marRight w:val="0"/>
                                                  <w:marTop w:val="120"/>
                                                  <w:marBottom w:val="0"/>
                                                  <w:divBdr>
                                                    <w:top w:val="none" w:sz="0" w:space="0" w:color="auto"/>
                                                    <w:left w:val="none" w:sz="0" w:space="0" w:color="auto"/>
                                                    <w:bottom w:val="none" w:sz="0" w:space="0" w:color="auto"/>
                                                    <w:right w:val="none" w:sz="0" w:space="0" w:color="auto"/>
                                                  </w:divBdr>
                                                </w:div>
                                                <w:div w:id="432824762">
                                                  <w:marLeft w:val="0"/>
                                                  <w:marRight w:val="0"/>
                                                  <w:marTop w:val="0"/>
                                                  <w:marBottom w:val="0"/>
                                                  <w:divBdr>
                                                    <w:top w:val="none" w:sz="0" w:space="0" w:color="auto"/>
                                                    <w:left w:val="none" w:sz="0" w:space="0" w:color="auto"/>
                                                    <w:bottom w:val="none" w:sz="0" w:space="0" w:color="auto"/>
                                                    <w:right w:val="none" w:sz="0" w:space="0" w:color="auto"/>
                                                  </w:divBdr>
                                                  <w:divsChild>
                                                    <w:div w:id="208080511">
                                                      <w:marLeft w:val="0"/>
                                                      <w:marRight w:val="0"/>
                                                      <w:marTop w:val="0"/>
                                                      <w:marBottom w:val="0"/>
                                                      <w:divBdr>
                                                        <w:top w:val="none" w:sz="0" w:space="0" w:color="auto"/>
                                                        <w:left w:val="none" w:sz="0" w:space="0" w:color="auto"/>
                                                        <w:bottom w:val="none" w:sz="0" w:space="0" w:color="auto"/>
                                                        <w:right w:val="none" w:sz="0" w:space="0" w:color="auto"/>
                                                      </w:divBdr>
                                                      <w:divsChild>
                                                        <w:div w:id="1949728321">
                                                          <w:marLeft w:val="0"/>
                                                          <w:marRight w:val="0"/>
                                                          <w:marTop w:val="120"/>
                                                          <w:marBottom w:val="0"/>
                                                          <w:divBdr>
                                                            <w:top w:val="none" w:sz="0" w:space="0" w:color="auto"/>
                                                            <w:left w:val="none" w:sz="0" w:space="0" w:color="auto"/>
                                                            <w:bottom w:val="none" w:sz="0" w:space="0" w:color="auto"/>
                                                            <w:right w:val="none" w:sz="0" w:space="0" w:color="auto"/>
                                                          </w:divBdr>
                                                        </w:div>
                                                        <w:div w:id="781655656">
                                                          <w:marLeft w:val="0"/>
                                                          <w:marRight w:val="0"/>
                                                          <w:marTop w:val="0"/>
                                                          <w:marBottom w:val="0"/>
                                                          <w:divBdr>
                                                            <w:top w:val="none" w:sz="0" w:space="0" w:color="auto"/>
                                                            <w:left w:val="none" w:sz="0" w:space="0" w:color="auto"/>
                                                            <w:bottom w:val="none" w:sz="0" w:space="0" w:color="auto"/>
                                                            <w:right w:val="none" w:sz="0" w:space="0" w:color="auto"/>
                                                          </w:divBdr>
                                                        </w:div>
                                                      </w:divsChild>
                                                    </w:div>
                                                    <w:div w:id="184754403">
                                                      <w:marLeft w:val="0"/>
                                                      <w:marRight w:val="0"/>
                                                      <w:marTop w:val="0"/>
                                                      <w:marBottom w:val="0"/>
                                                      <w:divBdr>
                                                        <w:top w:val="none" w:sz="0" w:space="0" w:color="auto"/>
                                                        <w:left w:val="none" w:sz="0" w:space="0" w:color="auto"/>
                                                        <w:bottom w:val="none" w:sz="0" w:space="0" w:color="auto"/>
                                                        <w:right w:val="none" w:sz="0" w:space="0" w:color="auto"/>
                                                      </w:divBdr>
                                                      <w:divsChild>
                                                        <w:div w:id="537623723">
                                                          <w:marLeft w:val="0"/>
                                                          <w:marRight w:val="0"/>
                                                          <w:marTop w:val="120"/>
                                                          <w:marBottom w:val="0"/>
                                                          <w:divBdr>
                                                            <w:top w:val="none" w:sz="0" w:space="0" w:color="auto"/>
                                                            <w:left w:val="none" w:sz="0" w:space="0" w:color="auto"/>
                                                            <w:bottom w:val="none" w:sz="0" w:space="0" w:color="auto"/>
                                                            <w:right w:val="none" w:sz="0" w:space="0" w:color="auto"/>
                                                          </w:divBdr>
                                                        </w:div>
                                                        <w:div w:id="1501001283">
                                                          <w:marLeft w:val="0"/>
                                                          <w:marRight w:val="0"/>
                                                          <w:marTop w:val="0"/>
                                                          <w:marBottom w:val="0"/>
                                                          <w:divBdr>
                                                            <w:top w:val="none" w:sz="0" w:space="0" w:color="auto"/>
                                                            <w:left w:val="none" w:sz="0" w:space="0" w:color="auto"/>
                                                            <w:bottom w:val="none" w:sz="0" w:space="0" w:color="auto"/>
                                                            <w:right w:val="none" w:sz="0" w:space="0" w:color="auto"/>
                                                          </w:divBdr>
                                                        </w:div>
                                                      </w:divsChild>
                                                    </w:div>
                                                    <w:div w:id="216361903">
                                                      <w:marLeft w:val="0"/>
                                                      <w:marRight w:val="0"/>
                                                      <w:marTop w:val="0"/>
                                                      <w:marBottom w:val="0"/>
                                                      <w:divBdr>
                                                        <w:top w:val="none" w:sz="0" w:space="0" w:color="auto"/>
                                                        <w:left w:val="none" w:sz="0" w:space="0" w:color="auto"/>
                                                        <w:bottom w:val="none" w:sz="0" w:space="0" w:color="auto"/>
                                                        <w:right w:val="none" w:sz="0" w:space="0" w:color="auto"/>
                                                      </w:divBdr>
                                                      <w:divsChild>
                                                        <w:div w:id="700859967">
                                                          <w:marLeft w:val="0"/>
                                                          <w:marRight w:val="0"/>
                                                          <w:marTop w:val="120"/>
                                                          <w:marBottom w:val="0"/>
                                                          <w:divBdr>
                                                            <w:top w:val="none" w:sz="0" w:space="0" w:color="auto"/>
                                                            <w:left w:val="none" w:sz="0" w:space="0" w:color="auto"/>
                                                            <w:bottom w:val="none" w:sz="0" w:space="0" w:color="auto"/>
                                                            <w:right w:val="none" w:sz="0" w:space="0" w:color="auto"/>
                                                          </w:divBdr>
                                                        </w:div>
                                                        <w:div w:id="2010987474">
                                                          <w:marLeft w:val="0"/>
                                                          <w:marRight w:val="0"/>
                                                          <w:marTop w:val="0"/>
                                                          <w:marBottom w:val="0"/>
                                                          <w:divBdr>
                                                            <w:top w:val="none" w:sz="0" w:space="0" w:color="auto"/>
                                                            <w:left w:val="none" w:sz="0" w:space="0" w:color="auto"/>
                                                            <w:bottom w:val="none" w:sz="0" w:space="0" w:color="auto"/>
                                                            <w:right w:val="none" w:sz="0" w:space="0" w:color="auto"/>
                                                          </w:divBdr>
                                                        </w:div>
                                                      </w:divsChild>
                                                    </w:div>
                                                    <w:div w:id="1326013884">
                                                      <w:marLeft w:val="0"/>
                                                      <w:marRight w:val="0"/>
                                                      <w:marTop w:val="0"/>
                                                      <w:marBottom w:val="0"/>
                                                      <w:divBdr>
                                                        <w:top w:val="none" w:sz="0" w:space="0" w:color="auto"/>
                                                        <w:left w:val="none" w:sz="0" w:space="0" w:color="auto"/>
                                                        <w:bottom w:val="none" w:sz="0" w:space="0" w:color="auto"/>
                                                        <w:right w:val="none" w:sz="0" w:space="0" w:color="auto"/>
                                                      </w:divBdr>
                                                      <w:divsChild>
                                                        <w:div w:id="1110004237">
                                                          <w:marLeft w:val="0"/>
                                                          <w:marRight w:val="0"/>
                                                          <w:marTop w:val="120"/>
                                                          <w:marBottom w:val="0"/>
                                                          <w:divBdr>
                                                            <w:top w:val="none" w:sz="0" w:space="0" w:color="auto"/>
                                                            <w:left w:val="none" w:sz="0" w:space="0" w:color="auto"/>
                                                            <w:bottom w:val="none" w:sz="0" w:space="0" w:color="auto"/>
                                                            <w:right w:val="none" w:sz="0" w:space="0" w:color="auto"/>
                                                          </w:divBdr>
                                                        </w:div>
                                                        <w:div w:id="13760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934324">
                                              <w:marLeft w:val="0"/>
                                              <w:marRight w:val="0"/>
                                              <w:marTop w:val="0"/>
                                              <w:marBottom w:val="0"/>
                                              <w:divBdr>
                                                <w:top w:val="none" w:sz="0" w:space="0" w:color="auto"/>
                                                <w:left w:val="none" w:sz="0" w:space="0" w:color="auto"/>
                                                <w:bottom w:val="none" w:sz="0" w:space="0" w:color="auto"/>
                                                <w:right w:val="none" w:sz="0" w:space="0" w:color="auto"/>
                                              </w:divBdr>
                                              <w:divsChild>
                                                <w:div w:id="1948610464">
                                                  <w:marLeft w:val="0"/>
                                                  <w:marRight w:val="0"/>
                                                  <w:marTop w:val="120"/>
                                                  <w:marBottom w:val="0"/>
                                                  <w:divBdr>
                                                    <w:top w:val="none" w:sz="0" w:space="0" w:color="auto"/>
                                                    <w:left w:val="none" w:sz="0" w:space="0" w:color="auto"/>
                                                    <w:bottom w:val="none" w:sz="0" w:space="0" w:color="auto"/>
                                                    <w:right w:val="none" w:sz="0" w:space="0" w:color="auto"/>
                                                  </w:divBdr>
                                                </w:div>
                                                <w:div w:id="213196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3266">
                                      <w:marLeft w:val="0"/>
                                      <w:marRight w:val="0"/>
                                      <w:marTop w:val="0"/>
                                      <w:marBottom w:val="0"/>
                                      <w:divBdr>
                                        <w:top w:val="none" w:sz="0" w:space="0" w:color="auto"/>
                                        <w:left w:val="none" w:sz="0" w:space="0" w:color="auto"/>
                                        <w:bottom w:val="none" w:sz="0" w:space="0" w:color="auto"/>
                                        <w:right w:val="none" w:sz="0" w:space="0" w:color="auto"/>
                                      </w:divBdr>
                                      <w:divsChild>
                                        <w:div w:id="1106581976">
                                          <w:marLeft w:val="0"/>
                                          <w:marRight w:val="0"/>
                                          <w:marTop w:val="0"/>
                                          <w:marBottom w:val="0"/>
                                          <w:divBdr>
                                            <w:top w:val="none" w:sz="0" w:space="0" w:color="auto"/>
                                            <w:left w:val="none" w:sz="0" w:space="0" w:color="auto"/>
                                            <w:bottom w:val="none" w:sz="0" w:space="0" w:color="auto"/>
                                            <w:right w:val="none" w:sz="0" w:space="0" w:color="auto"/>
                                          </w:divBdr>
                                          <w:divsChild>
                                            <w:div w:id="815031352">
                                              <w:marLeft w:val="0"/>
                                              <w:marRight w:val="0"/>
                                              <w:marTop w:val="0"/>
                                              <w:marBottom w:val="0"/>
                                              <w:divBdr>
                                                <w:top w:val="none" w:sz="0" w:space="0" w:color="auto"/>
                                                <w:left w:val="none" w:sz="0" w:space="0" w:color="auto"/>
                                                <w:bottom w:val="none" w:sz="0" w:space="0" w:color="auto"/>
                                                <w:right w:val="none" w:sz="0" w:space="0" w:color="auto"/>
                                              </w:divBdr>
                                              <w:divsChild>
                                                <w:div w:id="196167613">
                                                  <w:marLeft w:val="0"/>
                                                  <w:marRight w:val="0"/>
                                                  <w:marTop w:val="120"/>
                                                  <w:marBottom w:val="0"/>
                                                  <w:divBdr>
                                                    <w:top w:val="none" w:sz="0" w:space="0" w:color="auto"/>
                                                    <w:left w:val="none" w:sz="0" w:space="0" w:color="auto"/>
                                                    <w:bottom w:val="none" w:sz="0" w:space="0" w:color="auto"/>
                                                    <w:right w:val="none" w:sz="0" w:space="0" w:color="auto"/>
                                                  </w:divBdr>
                                                </w:div>
                                                <w:div w:id="805856755">
                                                  <w:marLeft w:val="0"/>
                                                  <w:marRight w:val="0"/>
                                                  <w:marTop w:val="0"/>
                                                  <w:marBottom w:val="0"/>
                                                  <w:divBdr>
                                                    <w:top w:val="none" w:sz="0" w:space="0" w:color="auto"/>
                                                    <w:left w:val="none" w:sz="0" w:space="0" w:color="auto"/>
                                                    <w:bottom w:val="none" w:sz="0" w:space="0" w:color="auto"/>
                                                    <w:right w:val="none" w:sz="0" w:space="0" w:color="auto"/>
                                                  </w:divBdr>
                                                </w:div>
                                              </w:divsChild>
                                            </w:div>
                                            <w:div w:id="1750230658">
                                              <w:marLeft w:val="0"/>
                                              <w:marRight w:val="0"/>
                                              <w:marTop w:val="0"/>
                                              <w:marBottom w:val="0"/>
                                              <w:divBdr>
                                                <w:top w:val="none" w:sz="0" w:space="0" w:color="auto"/>
                                                <w:left w:val="none" w:sz="0" w:space="0" w:color="auto"/>
                                                <w:bottom w:val="none" w:sz="0" w:space="0" w:color="auto"/>
                                                <w:right w:val="none" w:sz="0" w:space="0" w:color="auto"/>
                                              </w:divBdr>
                                              <w:divsChild>
                                                <w:div w:id="1367097392">
                                                  <w:marLeft w:val="0"/>
                                                  <w:marRight w:val="0"/>
                                                  <w:marTop w:val="120"/>
                                                  <w:marBottom w:val="0"/>
                                                  <w:divBdr>
                                                    <w:top w:val="none" w:sz="0" w:space="0" w:color="auto"/>
                                                    <w:left w:val="none" w:sz="0" w:space="0" w:color="auto"/>
                                                    <w:bottom w:val="none" w:sz="0" w:space="0" w:color="auto"/>
                                                    <w:right w:val="none" w:sz="0" w:space="0" w:color="auto"/>
                                                  </w:divBdr>
                                                </w:div>
                                                <w:div w:id="480314651">
                                                  <w:marLeft w:val="0"/>
                                                  <w:marRight w:val="0"/>
                                                  <w:marTop w:val="0"/>
                                                  <w:marBottom w:val="0"/>
                                                  <w:divBdr>
                                                    <w:top w:val="none" w:sz="0" w:space="0" w:color="auto"/>
                                                    <w:left w:val="none" w:sz="0" w:space="0" w:color="auto"/>
                                                    <w:bottom w:val="none" w:sz="0" w:space="0" w:color="auto"/>
                                                    <w:right w:val="none" w:sz="0" w:space="0" w:color="auto"/>
                                                  </w:divBdr>
                                                </w:div>
                                              </w:divsChild>
                                            </w:div>
                                            <w:div w:id="2099330835">
                                              <w:marLeft w:val="0"/>
                                              <w:marRight w:val="0"/>
                                              <w:marTop w:val="0"/>
                                              <w:marBottom w:val="0"/>
                                              <w:divBdr>
                                                <w:top w:val="none" w:sz="0" w:space="0" w:color="auto"/>
                                                <w:left w:val="none" w:sz="0" w:space="0" w:color="auto"/>
                                                <w:bottom w:val="none" w:sz="0" w:space="0" w:color="auto"/>
                                                <w:right w:val="none" w:sz="0" w:space="0" w:color="auto"/>
                                              </w:divBdr>
                                              <w:divsChild>
                                                <w:div w:id="545993352">
                                                  <w:marLeft w:val="0"/>
                                                  <w:marRight w:val="0"/>
                                                  <w:marTop w:val="120"/>
                                                  <w:marBottom w:val="0"/>
                                                  <w:divBdr>
                                                    <w:top w:val="none" w:sz="0" w:space="0" w:color="auto"/>
                                                    <w:left w:val="none" w:sz="0" w:space="0" w:color="auto"/>
                                                    <w:bottom w:val="none" w:sz="0" w:space="0" w:color="auto"/>
                                                    <w:right w:val="none" w:sz="0" w:space="0" w:color="auto"/>
                                                  </w:divBdr>
                                                </w:div>
                                                <w:div w:id="462043240">
                                                  <w:marLeft w:val="0"/>
                                                  <w:marRight w:val="0"/>
                                                  <w:marTop w:val="0"/>
                                                  <w:marBottom w:val="0"/>
                                                  <w:divBdr>
                                                    <w:top w:val="none" w:sz="0" w:space="0" w:color="auto"/>
                                                    <w:left w:val="none" w:sz="0" w:space="0" w:color="auto"/>
                                                    <w:bottom w:val="none" w:sz="0" w:space="0" w:color="auto"/>
                                                    <w:right w:val="none" w:sz="0" w:space="0" w:color="auto"/>
                                                  </w:divBdr>
                                                </w:div>
                                              </w:divsChild>
                                            </w:div>
                                            <w:div w:id="798845301">
                                              <w:marLeft w:val="0"/>
                                              <w:marRight w:val="0"/>
                                              <w:marTop w:val="0"/>
                                              <w:marBottom w:val="0"/>
                                              <w:divBdr>
                                                <w:top w:val="none" w:sz="0" w:space="0" w:color="auto"/>
                                                <w:left w:val="none" w:sz="0" w:space="0" w:color="auto"/>
                                                <w:bottom w:val="none" w:sz="0" w:space="0" w:color="auto"/>
                                                <w:right w:val="none" w:sz="0" w:space="0" w:color="auto"/>
                                              </w:divBdr>
                                              <w:divsChild>
                                                <w:div w:id="1158881555">
                                                  <w:marLeft w:val="0"/>
                                                  <w:marRight w:val="0"/>
                                                  <w:marTop w:val="120"/>
                                                  <w:marBottom w:val="0"/>
                                                  <w:divBdr>
                                                    <w:top w:val="none" w:sz="0" w:space="0" w:color="auto"/>
                                                    <w:left w:val="none" w:sz="0" w:space="0" w:color="auto"/>
                                                    <w:bottom w:val="none" w:sz="0" w:space="0" w:color="auto"/>
                                                    <w:right w:val="none" w:sz="0" w:space="0" w:color="auto"/>
                                                  </w:divBdr>
                                                </w:div>
                                                <w:div w:id="188097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34612">
                                      <w:marLeft w:val="0"/>
                                      <w:marRight w:val="0"/>
                                      <w:marTop w:val="0"/>
                                      <w:marBottom w:val="0"/>
                                      <w:divBdr>
                                        <w:top w:val="none" w:sz="0" w:space="0" w:color="auto"/>
                                        <w:left w:val="none" w:sz="0" w:space="0" w:color="auto"/>
                                        <w:bottom w:val="none" w:sz="0" w:space="0" w:color="auto"/>
                                        <w:right w:val="none" w:sz="0" w:space="0" w:color="auto"/>
                                      </w:divBdr>
                                      <w:divsChild>
                                        <w:div w:id="2133013526">
                                          <w:marLeft w:val="0"/>
                                          <w:marRight w:val="0"/>
                                          <w:marTop w:val="0"/>
                                          <w:marBottom w:val="0"/>
                                          <w:divBdr>
                                            <w:top w:val="none" w:sz="0" w:space="0" w:color="auto"/>
                                            <w:left w:val="none" w:sz="0" w:space="0" w:color="auto"/>
                                            <w:bottom w:val="none" w:sz="0" w:space="0" w:color="auto"/>
                                            <w:right w:val="none" w:sz="0" w:space="0" w:color="auto"/>
                                          </w:divBdr>
                                          <w:divsChild>
                                            <w:div w:id="1831366392">
                                              <w:marLeft w:val="0"/>
                                              <w:marRight w:val="0"/>
                                              <w:marTop w:val="0"/>
                                              <w:marBottom w:val="0"/>
                                              <w:divBdr>
                                                <w:top w:val="none" w:sz="0" w:space="0" w:color="auto"/>
                                                <w:left w:val="none" w:sz="0" w:space="0" w:color="auto"/>
                                                <w:bottom w:val="none" w:sz="0" w:space="0" w:color="auto"/>
                                                <w:right w:val="none" w:sz="0" w:space="0" w:color="auto"/>
                                              </w:divBdr>
                                              <w:divsChild>
                                                <w:div w:id="918175632">
                                                  <w:marLeft w:val="0"/>
                                                  <w:marRight w:val="0"/>
                                                  <w:marTop w:val="120"/>
                                                  <w:marBottom w:val="0"/>
                                                  <w:divBdr>
                                                    <w:top w:val="none" w:sz="0" w:space="0" w:color="auto"/>
                                                    <w:left w:val="none" w:sz="0" w:space="0" w:color="auto"/>
                                                    <w:bottom w:val="none" w:sz="0" w:space="0" w:color="auto"/>
                                                    <w:right w:val="none" w:sz="0" w:space="0" w:color="auto"/>
                                                  </w:divBdr>
                                                </w:div>
                                                <w:div w:id="577132116">
                                                  <w:marLeft w:val="0"/>
                                                  <w:marRight w:val="0"/>
                                                  <w:marTop w:val="0"/>
                                                  <w:marBottom w:val="0"/>
                                                  <w:divBdr>
                                                    <w:top w:val="none" w:sz="0" w:space="0" w:color="auto"/>
                                                    <w:left w:val="none" w:sz="0" w:space="0" w:color="auto"/>
                                                    <w:bottom w:val="none" w:sz="0" w:space="0" w:color="auto"/>
                                                    <w:right w:val="none" w:sz="0" w:space="0" w:color="auto"/>
                                                  </w:divBdr>
                                                </w:div>
                                              </w:divsChild>
                                            </w:div>
                                            <w:div w:id="1763529904">
                                              <w:marLeft w:val="0"/>
                                              <w:marRight w:val="0"/>
                                              <w:marTop w:val="0"/>
                                              <w:marBottom w:val="0"/>
                                              <w:divBdr>
                                                <w:top w:val="none" w:sz="0" w:space="0" w:color="auto"/>
                                                <w:left w:val="none" w:sz="0" w:space="0" w:color="auto"/>
                                                <w:bottom w:val="none" w:sz="0" w:space="0" w:color="auto"/>
                                                <w:right w:val="none" w:sz="0" w:space="0" w:color="auto"/>
                                              </w:divBdr>
                                              <w:divsChild>
                                                <w:div w:id="1127502729">
                                                  <w:marLeft w:val="0"/>
                                                  <w:marRight w:val="0"/>
                                                  <w:marTop w:val="120"/>
                                                  <w:marBottom w:val="0"/>
                                                  <w:divBdr>
                                                    <w:top w:val="none" w:sz="0" w:space="0" w:color="auto"/>
                                                    <w:left w:val="none" w:sz="0" w:space="0" w:color="auto"/>
                                                    <w:bottom w:val="none" w:sz="0" w:space="0" w:color="auto"/>
                                                    <w:right w:val="none" w:sz="0" w:space="0" w:color="auto"/>
                                                  </w:divBdr>
                                                </w:div>
                                                <w:div w:id="115371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771460">
                                      <w:marLeft w:val="0"/>
                                      <w:marRight w:val="0"/>
                                      <w:marTop w:val="0"/>
                                      <w:marBottom w:val="0"/>
                                      <w:divBdr>
                                        <w:top w:val="none" w:sz="0" w:space="0" w:color="auto"/>
                                        <w:left w:val="none" w:sz="0" w:space="0" w:color="auto"/>
                                        <w:bottom w:val="none" w:sz="0" w:space="0" w:color="auto"/>
                                        <w:right w:val="none" w:sz="0" w:space="0" w:color="auto"/>
                                      </w:divBdr>
                                      <w:divsChild>
                                        <w:div w:id="684329519">
                                          <w:marLeft w:val="0"/>
                                          <w:marRight w:val="0"/>
                                          <w:marTop w:val="0"/>
                                          <w:marBottom w:val="0"/>
                                          <w:divBdr>
                                            <w:top w:val="none" w:sz="0" w:space="0" w:color="auto"/>
                                            <w:left w:val="none" w:sz="0" w:space="0" w:color="auto"/>
                                            <w:bottom w:val="none" w:sz="0" w:space="0" w:color="auto"/>
                                            <w:right w:val="none" w:sz="0" w:space="0" w:color="auto"/>
                                          </w:divBdr>
                                          <w:divsChild>
                                            <w:div w:id="1754426420">
                                              <w:marLeft w:val="0"/>
                                              <w:marRight w:val="0"/>
                                              <w:marTop w:val="0"/>
                                              <w:marBottom w:val="0"/>
                                              <w:divBdr>
                                                <w:top w:val="none" w:sz="0" w:space="0" w:color="auto"/>
                                                <w:left w:val="none" w:sz="0" w:space="0" w:color="auto"/>
                                                <w:bottom w:val="none" w:sz="0" w:space="0" w:color="auto"/>
                                                <w:right w:val="none" w:sz="0" w:space="0" w:color="auto"/>
                                              </w:divBdr>
                                              <w:divsChild>
                                                <w:div w:id="292827492">
                                                  <w:marLeft w:val="0"/>
                                                  <w:marRight w:val="0"/>
                                                  <w:marTop w:val="120"/>
                                                  <w:marBottom w:val="0"/>
                                                  <w:divBdr>
                                                    <w:top w:val="none" w:sz="0" w:space="0" w:color="auto"/>
                                                    <w:left w:val="none" w:sz="0" w:space="0" w:color="auto"/>
                                                    <w:bottom w:val="none" w:sz="0" w:space="0" w:color="auto"/>
                                                    <w:right w:val="none" w:sz="0" w:space="0" w:color="auto"/>
                                                  </w:divBdr>
                                                </w:div>
                                                <w:div w:id="1882016389">
                                                  <w:marLeft w:val="0"/>
                                                  <w:marRight w:val="0"/>
                                                  <w:marTop w:val="0"/>
                                                  <w:marBottom w:val="0"/>
                                                  <w:divBdr>
                                                    <w:top w:val="none" w:sz="0" w:space="0" w:color="auto"/>
                                                    <w:left w:val="none" w:sz="0" w:space="0" w:color="auto"/>
                                                    <w:bottom w:val="none" w:sz="0" w:space="0" w:color="auto"/>
                                                    <w:right w:val="none" w:sz="0" w:space="0" w:color="auto"/>
                                                  </w:divBdr>
                                                </w:div>
                                              </w:divsChild>
                                            </w:div>
                                            <w:div w:id="1931699742">
                                              <w:marLeft w:val="0"/>
                                              <w:marRight w:val="0"/>
                                              <w:marTop w:val="0"/>
                                              <w:marBottom w:val="0"/>
                                              <w:divBdr>
                                                <w:top w:val="none" w:sz="0" w:space="0" w:color="auto"/>
                                                <w:left w:val="none" w:sz="0" w:space="0" w:color="auto"/>
                                                <w:bottom w:val="none" w:sz="0" w:space="0" w:color="auto"/>
                                                <w:right w:val="none" w:sz="0" w:space="0" w:color="auto"/>
                                              </w:divBdr>
                                              <w:divsChild>
                                                <w:div w:id="647134036">
                                                  <w:marLeft w:val="0"/>
                                                  <w:marRight w:val="0"/>
                                                  <w:marTop w:val="120"/>
                                                  <w:marBottom w:val="0"/>
                                                  <w:divBdr>
                                                    <w:top w:val="none" w:sz="0" w:space="0" w:color="auto"/>
                                                    <w:left w:val="none" w:sz="0" w:space="0" w:color="auto"/>
                                                    <w:bottom w:val="none" w:sz="0" w:space="0" w:color="auto"/>
                                                    <w:right w:val="none" w:sz="0" w:space="0" w:color="auto"/>
                                                  </w:divBdr>
                                                </w:div>
                                                <w:div w:id="184104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843279">
                                      <w:marLeft w:val="0"/>
                                      <w:marRight w:val="0"/>
                                      <w:marTop w:val="0"/>
                                      <w:marBottom w:val="0"/>
                                      <w:divBdr>
                                        <w:top w:val="none" w:sz="0" w:space="0" w:color="auto"/>
                                        <w:left w:val="none" w:sz="0" w:space="0" w:color="auto"/>
                                        <w:bottom w:val="none" w:sz="0" w:space="0" w:color="auto"/>
                                        <w:right w:val="none" w:sz="0" w:space="0" w:color="auto"/>
                                      </w:divBdr>
                                      <w:divsChild>
                                        <w:div w:id="1989824090">
                                          <w:marLeft w:val="0"/>
                                          <w:marRight w:val="0"/>
                                          <w:marTop w:val="0"/>
                                          <w:marBottom w:val="0"/>
                                          <w:divBdr>
                                            <w:top w:val="none" w:sz="0" w:space="0" w:color="auto"/>
                                            <w:left w:val="none" w:sz="0" w:space="0" w:color="auto"/>
                                            <w:bottom w:val="none" w:sz="0" w:space="0" w:color="auto"/>
                                            <w:right w:val="none" w:sz="0" w:space="0" w:color="auto"/>
                                          </w:divBdr>
                                          <w:divsChild>
                                            <w:div w:id="1464621103">
                                              <w:marLeft w:val="0"/>
                                              <w:marRight w:val="0"/>
                                              <w:marTop w:val="0"/>
                                              <w:marBottom w:val="0"/>
                                              <w:divBdr>
                                                <w:top w:val="none" w:sz="0" w:space="0" w:color="auto"/>
                                                <w:left w:val="none" w:sz="0" w:space="0" w:color="auto"/>
                                                <w:bottom w:val="none" w:sz="0" w:space="0" w:color="auto"/>
                                                <w:right w:val="none" w:sz="0" w:space="0" w:color="auto"/>
                                              </w:divBdr>
                                              <w:divsChild>
                                                <w:div w:id="162015784">
                                                  <w:marLeft w:val="0"/>
                                                  <w:marRight w:val="0"/>
                                                  <w:marTop w:val="120"/>
                                                  <w:marBottom w:val="0"/>
                                                  <w:divBdr>
                                                    <w:top w:val="none" w:sz="0" w:space="0" w:color="auto"/>
                                                    <w:left w:val="none" w:sz="0" w:space="0" w:color="auto"/>
                                                    <w:bottom w:val="none" w:sz="0" w:space="0" w:color="auto"/>
                                                    <w:right w:val="none" w:sz="0" w:space="0" w:color="auto"/>
                                                  </w:divBdr>
                                                </w:div>
                                                <w:div w:id="1663238963">
                                                  <w:marLeft w:val="0"/>
                                                  <w:marRight w:val="0"/>
                                                  <w:marTop w:val="0"/>
                                                  <w:marBottom w:val="0"/>
                                                  <w:divBdr>
                                                    <w:top w:val="none" w:sz="0" w:space="0" w:color="auto"/>
                                                    <w:left w:val="none" w:sz="0" w:space="0" w:color="auto"/>
                                                    <w:bottom w:val="none" w:sz="0" w:space="0" w:color="auto"/>
                                                    <w:right w:val="none" w:sz="0" w:space="0" w:color="auto"/>
                                                  </w:divBdr>
                                                </w:div>
                                              </w:divsChild>
                                            </w:div>
                                            <w:div w:id="307705742">
                                              <w:marLeft w:val="0"/>
                                              <w:marRight w:val="0"/>
                                              <w:marTop w:val="0"/>
                                              <w:marBottom w:val="0"/>
                                              <w:divBdr>
                                                <w:top w:val="none" w:sz="0" w:space="0" w:color="auto"/>
                                                <w:left w:val="none" w:sz="0" w:space="0" w:color="auto"/>
                                                <w:bottom w:val="none" w:sz="0" w:space="0" w:color="auto"/>
                                                <w:right w:val="none" w:sz="0" w:space="0" w:color="auto"/>
                                              </w:divBdr>
                                              <w:divsChild>
                                                <w:div w:id="323096001">
                                                  <w:marLeft w:val="0"/>
                                                  <w:marRight w:val="0"/>
                                                  <w:marTop w:val="120"/>
                                                  <w:marBottom w:val="0"/>
                                                  <w:divBdr>
                                                    <w:top w:val="none" w:sz="0" w:space="0" w:color="auto"/>
                                                    <w:left w:val="none" w:sz="0" w:space="0" w:color="auto"/>
                                                    <w:bottom w:val="none" w:sz="0" w:space="0" w:color="auto"/>
                                                    <w:right w:val="none" w:sz="0" w:space="0" w:color="auto"/>
                                                  </w:divBdr>
                                                </w:div>
                                                <w:div w:id="702873830">
                                                  <w:marLeft w:val="0"/>
                                                  <w:marRight w:val="0"/>
                                                  <w:marTop w:val="0"/>
                                                  <w:marBottom w:val="0"/>
                                                  <w:divBdr>
                                                    <w:top w:val="none" w:sz="0" w:space="0" w:color="auto"/>
                                                    <w:left w:val="none" w:sz="0" w:space="0" w:color="auto"/>
                                                    <w:bottom w:val="none" w:sz="0" w:space="0" w:color="auto"/>
                                                    <w:right w:val="none" w:sz="0" w:space="0" w:color="auto"/>
                                                  </w:divBdr>
                                                </w:div>
                                              </w:divsChild>
                                            </w:div>
                                            <w:div w:id="521364817">
                                              <w:marLeft w:val="0"/>
                                              <w:marRight w:val="0"/>
                                              <w:marTop w:val="0"/>
                                              <w:marBottom w:val="0"/>
                                              <w:divBdr>
                                                <w:top w:val="none" w:sz="0" w:space="0" w:color="auto"/>
                                                <w:left w:val="none" w:sz="0" w:space="0" w:color="auto"/>
                                                <w:bottom w:val="none" w:sz="0" w:space="0" w:color="auto"/>
                                                <w:right w:val="none" w:sz="0" w:space="0" w:color="auto"/>
                                              </w:divBdr>
                                              <w:divsChild>
                                                <w:div w:id="1542091122">
                                                  <w:marLeft w:val="0"/>
                                                  <w:marRight w:val="0"/>
                                                  <w:marTop w:val="120"/>
                                                  <w:marBottom w:val="0"/>
                                                  <w:divBdr>
                                                    <w:top w:val="none" w:sz="0" w:space="0" w:color="auto"/>
                                                    <w:left w:val="none" w:sz="0" w:space="0" w:color="auto"/>
                                                    <w:bottom w:val="none" w:sz="0" w:space="0" w:color="auto"/>
                                                    <w:right w:val="none" w:sz="0" w:space="0" w:color="auto"/>
                                                  </w:divBdr>
                                                </w:div>
                                                <w:div w:id="152490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6531">
                                      <w:marLeft w:val="0"/>
                                      <w:marRight w:val="0"/>
                                      <w:marTop w:val="0"/>
                                      <w:marBottom w:val="0"/>
                                      <w:divBdr>
                                        <w:top w:val="none" w:sz="0" w:space="0" w:color="auto"/>
                                        <w:left w:val="none" w:sz="0" w:space="0" w:color="auto"/>
                                        <w:bottom w:val="none" w:sz="0" w:space="0" w:color="auto"/>
                                        <w:right w:val="none" w:sz="0" w:space="0" w:color="auto"/>
                                      </w:divBdr>
                                      <w:divsChild>
                                        <w:div w:id="825975118">
                                          <w:marLeft w:val="0"/>
                                          <w:marRight w:val="0"/>
                                          <w:marTop w:val="0"/>
                                          <w:marBottom w:val="0"/>
                                          <w:divBdr>
                                            <w:top w:val="none" w:sz="0" w:space="0" w:color="auto"/>
                                            <w:left w:val="none" w:sz="0" w:space="0" w:color="auto"/>
                                            <w:bottom w:val="none" w:sz="0" w:space="0" w:color="auto"/>
                                            <w:right w:val="none" w:sz="0" w:space="0" w:color="auto"/>
                                          </w:divBdr>
                                          <w:divsChild>
                                            <w:div w:id="1976716306">
                                              <w:marLeft w:val="0"/>
                                              <w:marRight w:val="0"/>
                                              <w:marTop w:val="0"/>
                                              <w:marBottom w:val="0"/>
                                              <w:divBdr>
                                                <w:top w:val="none" w:sz="0" w:space="0" w:color="auto"/>
                                                <w:left w:val="none" w:sz="0" w:space="0" w:color="auto"/>
                                                <w:bottom w:val="none" w:sz="0" w:space="0" w:color="auto"/>
                                                <w:right w:val="none" w:sz="0" w:space="0" w:color="auto"/>
                                              </w:divBdr>
                                              <w:divsChild>
                                                <w:div w:id="19595431">
                                                  <w:marLeft w:val="0"/>
                                                  <w:marRight w:val="0"/>
                                                  <w:marTop w:val="120"/>
                                                  <w:marBottom w:val="0"/>
                                                  <w:divBdr>
                                                    <w:top w:val="none" w:sz="0" w:space="0" w:color="auto"/>
                                                    <w:left w:val="none" w:sz="0" w:space="0" w:color="auto"/>
                                                    <w:bottom w:val="none" w:sz="0" w:space="0" w:color="auto"/>
                                                    <w:right w:val="none" w:sz="0" w:space="0" w:color="auto"/>
                                                  </w:divBdr>
                                                </w:div>
                                                <w:div w:id="560142364">
                                                  <w:marLeft w:val="0"/>
                                                  <w:marRight w:val="0"/>
                                                  <w:marTop w:val="0"/>
                                                  <w:marBottom w:val="0"/>
                                                  <w:divBdr>
                                                    <w:top w:val="none" w:sz="0" w:space="0" w:color="auto"/>
                                                    <w:left w:val="none" w:sz="0" w:space="0" w:color="auto"/>
                                                    <w:bottom w:val="none" w:sz="0" w:space="0" w:color="auto"/>
                                                    <w:right w:val="none" w:sz="0" w:space="0" w:color="auto"/>
                                                  </w:divBdr>
                                                </w:div>
                                              </w:divsChild>
                                            </w:div>
                                            <w:div w:id="988705808">
                                              <w:marLeft w:val="0"/>
                                              <w:marRight w:val="0"/>
                                              <w:marTop w:val="0"/>
                                              <w:marBottom w:val="0"/>
                                              <w:divBdr>
                                                <w:top w:val="none" w:sz="0" w:space="0" w:color="auto"/>
                                                <w:left w:val="none" w:sz="0" w:space="0" w:color="auto"/>
                                                <w:bottom w:val="none" w:sz="0" w:space="0" w:color="auto"/>
                                                <w:right w:val="none" w:sz="0" w:space="0" w:color="auto"/>
                                              </w:divBdr>
                                              <w:divsChild>
                                                <w:div w:id="1782725218">
                                                  <w:marLeft w:val="0"/>
                                                  <w:marRight w:val="0"/>
                                                  <w:marTop w:val="120"/>
                                                  <w:marBottom w:val="0"/>
                                                  <w:divBdr>
                                                    <w:top w:val="none" w:sz="0" w:space="0" w:color="auto"/>
                                                    <w:left w:val="none" w:sz="0" w:space="0" w:color="auto"/>
                                                    <w:bottom w:val="none" w:sz="0" w:space="0" w:color="auto"/>
                                                    <w:right w:val="none" w:sz="0" w:space="0" w:color="auto"/>
                                                  </w:divBdr>
                                                </w:div>
                                                <w:div w:id="148177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4819">
                                      <w:marLeft w:val="0"/>
                                      <w:marRight w:val="0"/>
                                      <w:marTop w:val="0"/>
                                      <w:marBottom w:val="0"/>
                                      <w:divBdr>
                                        <w:top w:val="none" w:sz="0" w:space="0" w:color="auto"/>
                                        <w:left w:val="none" w:sz="0" w:space="0" w:color="auto"/>
                                        <w:bottom w:val="none" w:sz="0" w:space="0" w:color="auto"/>
                                        <w:right w:val="none" w:sz="0" w:space="0" w:color="auto"/>
                                      </w:divBdr>
                                      <w:divsChild>
                                        <w:div w:id="592207719">
                                          <w:marLeft w:val="0"/>
                                          <w:marRight w:val="0"/>
                                          <w:marTop w:val="0"/>
                                          <w:marBottom w:val="0"/>
                                          <w:divBdr>
                                            <w:top w:val="none" w:sz="0" w:space="0" w:color="auto"/>
                                            <w:left w:val="none" w:sz="0" w:space="0" w:color="auto"/>
                                            <w:bottom w:val="none" w:sz="0" w:space="0" w:color="auto"/>
                                            <w:right w:val="none" w:sz="0" w:space="0" w:color="auto"/>
                                          </w:divBdr>
                                          <w:divsChild>
                                            <w:div w:id="1114786497">
                                              <w:marLeft w:val="0"/>
                                              <w:marRight w:val="0"/>
                                              <w:marTop w:val="0"/>
                                              <w:marBottom w:val="0"/>
                                              <w:divBdr>
                                                <w:top w:val="none" w:sz="0" w:space="0" w:color="auto"/>
                                                <w:left w:val="none" w:sz="0" w:space="0" w:color="auto"/>
                                                <w:bottom w:val="none" w:sz="0" w:space="0" w:color="auto"/>
                                                <w:right w:val="none" w:sz="0" w:space="0" w:color="auto"/>
                                              </w:divBdr>
                                              <w:divsChild>
                                                <w:div w:id="1874224770">
                                                  <w:marLeft w:val="0"/>
                                                  <w:marRight w:val="0"/>
                                                  <w:marTop w:val="120"/>
                                                  <w:marBottom w:val="0"/>
                                                  <w:divBdr>
                                                    <w:top w:val="none" w:sz="0" w:space="0" w:color="auto"/>
                                                    <w:left w:val="none" w:sz="0" w:space="0" w:color="auto"/>
                                                    <w:bottom w:val="none" w:sz="0" w:space="0" w:color="auto"/>
                                                    <w:right w:val="none" w:sz="0" w:space="0" w:color="auto"/>
                                                  </w:divBdr>
                                                </w:div>
                                                <w:div w:id="551885517">
                                                  <w:marLeft w:val="0"/>
                                                  <w:marRight w:val="0"/>
                                                  <w:marTop w:val="0"/>
                                                  <w:marBottom w:val="0"/>
                                                  <w:divBdr>
                                                    <w:top w:val="none" w:sz="0" w:space="0" w:color="auto"/>
                                                    <w:left w:val="none" w:sz="0" w:space="0" w:color="auto"/>
                                                    <w:bottom w:val="none" w:sz="0" w:space="0" w:color="auto"/>
                                                    <w:right w:val="none" w:sz="0" w:space="0" w:color="auto"/>
                                                  </w:divBdr>
                                                </w:div>
                                              </w:divsChild>
                                            </w:div>
                                            <w:div w:id="1436487483">
                                              <w:marLeft w:val="0"/>
                                              <w:marRight w:val="0"/>
                                              <w:marTop w:val="0"/>
                                              <w:marBottom w:val="0"/>
                                              <w:divBdr>
                                                <w:top w:val="none" w:sz="0" w:space="0" w:color="auto"/>
                                                <w:left w:val="none" w:sz="0" w:space="0" w:color="auto"/>
                                                <w:bottom w:val="none" w:sz="0" w:space="0" w:color="auto"/>
                                                <w:right w:val="none" w:sz="0" w:space="0" w:color="auto"/>
                                              </w:divBdr>
                                              <w:divsChild>
                                                <w:div w:id="1921601414">
                                                  <w:marLeft w:val="0"/>
                                                  <w:marRight w:val="0"/>
                                                  <w:marTop w:val="120"/>
                                                  <w:marBottom w:val="0"/>
                                                  <w:divBdr>
                                                    <w:top w:val="none" w:sz="0" w:space="0" w:color="auto"/>
                                                    <w:left w:val="none" w:sz="0" w:space="0" w:color="auto"/>
                                                    <w:bottom w:val="none" w:sz="0" w:space="0" w:color="auto"/>
                                                    <w:right w:val="none" w:sz="0" w:space="0" w:color="auto"/>
                                                  </w:divBdr>
                                                </w:div>
                                                <w:div w:id="1462728514">
                                                  <w:marLeft w:val="0"/>
                                                  <w:marRight w:val="0"/>
                                                  <w:marTop w:val="0"/>
                                                  <w:marBottom w:val="0"/>
                                                  <w:divBdr>
                                                    <w:top w:val="none" w:sz="0" w:space="0" w:color="auto"/>
                                                    <w:left w:val="none" w:sz="0" w:space="0" w:color="auto"/>
                                                    <w:bottom w:val="none" w:sz="0" w:space="0" w:color="auto"/>
                                                    <w:right w:val="none" w:sz="0" w:space="0" w:color="auto"/>
                                                  </w:divBdr>
                                                </w:div>
                                              </w:divsChild>
                                            </w:div>
                                            <w:div w:id="444545356">
                                              <w:marLeft w:val="0"/>
                                              <w:marRight w:val="0"/>
                                              <w:marTop w:val="0"/>
                                              <w:marBottom w:val="0"/>
                                              <w:divBdr>
                                                <w:top w:val="none" w:sz="0" w:space="0" w:color="auto"/>
                                                <w:left w:val="none" w:sz="0" w:space="0" w:color="auto"/>
                                                <w:bottom w:val="none" w:sz="0" w:space="0" w:color="auto"/>
                                                <w:right w:val="none" w:sz="0" w:space="0" w:color="auto"/>
                                              </w:divBdr>
                                              <w:divsChild>
                                                <w:div w:id="1431663769">
                                                  <w:marLeft w:val="0"/>
                                                  <w:marRight w:val="0"/>
                                                  <w:marTop w:val="120"/>
                                                  <w:marBottom w:val="0"/>
                                                  <w:divBdr>
                                                    <w:top w:val="none" w:sz="0" w:space="0" w:color="auto"/>
                                                    <w:left w:val="none" w:sz="0" w:space="0" w:color="auto"/>
                                                    <w:bottom w:val="none" w:sz="0" w:space="0" w:color="auto"/>
                                                    <w:right w:val="none" w:sz="0" w:space="0" w:color="auto"/>
                                                  </w:divBdr>
                                                </w:div>
                                                <w:div w:id="93795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124147">
                                      <w:marLeft w:val="0"/>
                                      <w:marRight w:val="0"/>
                                      <w:marTop w:val="0"/>
                                      <w:marBottom w:val="0"/>
                                      <w:divBdr>
                                        <w:top w:val="none" w:sz="0" w:space="0" w:color="auto"/>
                                        <w:left w:val="none" w:sz="0" w:space="0" w:color="auto"/>
                                        <w:bottom w:val="none" w:sz="0" w:space="0" w:color="auto"/>
                                        <w:right w:val="none" w:sz="0" w:space="0" w:color="auto"/>
                                      </w:divBdr>
                                      <w:divsChild>
                                        <w:div w:id="1494906109">
                                          <w:marLeft w:val="0"/>
                                          <w:marRight w:val="0"/>
                                          <w:marTop w:val="0"/>
                                          <w:marBottom w:val="0"/>
                                          <w:divBdr>
                                            <w:top w:val="none" w:sz="0" w:space="0" w:color="auto"/>
                                            <w:left w:val="none" w:sz="0" w:space="0" w:color="auto"/>
                                            <w:bottom w:val="none" w:sz="0" w:space="0" w:color="auto"/>
                                            <w:right w:val="none" w:sz="0" w:space="0" w:color="auto"/>
                                          </w:divBdr>
                                          <w:divsChild>
                                            <w:div w:id="1545480305">
                                              <w:marLeft w:val="0"/>
                                              <w:marRight w:val="0"/>
                                              <w:marTop w:val="0"/>
                                              <w:marBottom w:val="0"/>
                                              <w:divBdr>
                                                <w:top w:val="none" w:sz="0" w:space="0" w:color="auto"/>
                                                <w:left w:val="none" w:sz="0" w:space="0" w:color="auto"/>
                                                <w:bottom w:val="none" w:sz="0" w:space="0" w:color="auto"/>
                                                <w:right w:val="none" w:sz="0" w:space="0" w:color="auto"/>
                                              </w:divBdr>
                                              <w:divsChild>
                                                <w:div w:id="1116291070">
                                                  <w:marLeft w:val="0"/>
                                                  <w:marRight w:val="0"/>
                                                  <w:marTop w:val="120"/>
                                                  <w:marBottom w:val="0"/>
                                                  <w:divBdr>
                                                    <w:top w:val="none" w:sz="0" w:space="0" w:color="auto"/>
                                                    <w:left w:val="none" w:sz="0" w:space="0" w:color="auto"/>
                                                    <w:bottom w:val="none" w:sz="0" w:space="0" w:color="auto"/>
                                                    <w:right w:val="none" w:sz="0" w:space="0" w:color="auto"/>
                                                  </w:divBdr>
                                                </w:div>
                                                <w:div w:id="66267515">
                                                  <w:marLeft w:val="0"/>
                                                  <w:marRight w:val="0"/>
                                                  <w:marTop w:val="0"/>
                                                  <w:marBottom w:val="0"/>
                                                  <w:divBdr>
                                                    <w:top w:val="none" w:sz="0" w:space="0" w:color="auto"/>
                                                    <w:left w:val="none" w:sz="0" w:space="0" w:color="auto"/>
                                                    <w:bottom w:val="none" w:sz="0" w:space="0" w:color="auto"/>
                                                    <w:right w:val="none" w:sz="0" w:space="0" w:color="auto"/>
                                                  </w:divBdr>
                                                </w:div>
                                              </w:divsChild>
                                            </w:div>
                                            <w:div w:id="1784498023">
                                              <w:marLeft w:val="0"/>
                                              <w:marRight w:val="0"/>
                                              <w:marTop w:val="0"/>
                                              <w:marBottom w:val="0"/>
                                              <w:divBdr>
                                                <w:top w:val="none" w:sz="0" w:space="0" w:color="auto"/>
                                                <w:left w:val="none" w:sz="0" w:space="0" w:color="auto"/>
                                                <w:bottom w:val="none" w:sz="0" w:space="0" w:color="auto"/>
                                                <w:right w:val="none" w:sz="0" w:space="0" w:color="auto"/>
                                              </w:divBdr>
                                              <w:divsChild>
                                                <w:div w:id="403258599">
                                                  <w:marLeft w:val="0"/>
                                                  <w:marRight w:val="0"/>
                                                  <w:marTop w:val="120"/>
                                                  <w:marBottom w:val="0"/>
                                                  <w:divBdr>
                                                    <w:top w:val="none" w:sz="0" w:space="0" w:color="auto"/>
                                                    <w:left w:val="none" w:sz="0" w:space="0" w:color="auto"/>
                                                    <w:bottom w:val="none" w:sz="0" w:space="0" w:color="auto"/>
                                                    <w:right w:val="none" w:sz="0" w:space="0" w:color="auto"/>
                                                  </w:divBdr>
                                                </w:div>
                                                <w:div w:id="2121336578">
                                                  <w:marLeft w:val="0"/>
                                                  <w:marRight w:val="0"/>
                                                  <w:marTop w:val="0"/>
                                                  <w:marBottom w:val="0"/>
                                                  <w:divBdr>
                                                    <w:top w:val="none" w:sz="0" w:space="0" w:color="auto"/>
                                                    <w:left w:val="none" w:sz="0" w:space="0" w:color="auto"/>
                                                    <w:bottom w:val="none" w:sz="0" w:space="0" w:color="auto"/>
                                                    <w:right w:val="none" w:sz="0" w:space="0" w:color="auto"/>
                                                  </w:divBdr>
                                                </w:div>
                                              </w:divsChild>
                                            </w:div>
                                            <w:div w:id="859976660">
                                              <w:marLeft w:val="0"/>
                                              <w:marRight w:val="0"/>
                                              <w:marTop w:val="0"/>
                                              <w:marBottom w:val="0"/>
                                              <w:divBdr>
                                                <w:top w:val="none" w:sz="0" w:space="0" w:color="auto"/>
                                                <w:left w:val="none" w:sz="0" w:space="0" w:color="auto"/>
                                                <w:bottom w:val="none" w:sz="0" w:space="0" w:color="auto"/>
                                                <w:right w:val="none" w:sz="0" w:space="0" w:color="auto"/>
                                              </w:divBdr>
                                              <w:divsChild>
                                                <w:div w:id="1287078298">
                                                  <w:marLeft w:val="0"/>
                                                  <w:marRight w:val="0"/>
                                                  <w:marTop w:val="120"/>
                                                  <w:marBottom w:val="0"/>
                                                  <w:divBdr>
                                                    <w:top w:val="none" w:sz="0" w:space="0" w:color="auto"/>
                                                    <w:left w:val="none" w:sz="0" w:space="0" w:color="auto"/>
                                                    <w:bottom w:val="none" w:sz="0" w:space="0" w:color="auto"/>
                                                    <w:right w:val="none" w:sz="0" w:space="0" w:color="auto"/>
                                                  </w:divBdr>
                                                </w:div>
                                                <w:div w:id="12527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5624">
                                      <w:marLeft w:val="0"/>
                                      <w:marRight w:val="0"/>
                                      <w:marTop w:val="0"/>
                                      <w:marBottom w:val="0"/>
                                      <w:divBdr>
                                        <w:top w:val="none" w:sz="0" w:space="0" w:color="auto"/>
                                        <w:left w:val="none" w:sz="0" w:space="0" w:color="auto"/>
                                        <w:bottom w:val="none" w:sz="0" w:space="0" w:color="auto"/>
                                        <w:right w:val="none" w:sz="0" w:space="0" w:color="auto"/>
                                      </w:divBdr>
                                      <w:divsChild>
                                        <w:div w:id="1935480295">
                                          <w:marLeft w:val="0"/>
                                          <w:marRight w:val="0"/>
                                          <w:marTop w:val="0"/>
                                          <w:marBottom w:val="0"/>
                                          <w:divBdr>
                                            <w:top w:val="none" w:sz="0" w:space="0" w:color="auto"/>
                                            <w:left w:val="none" w:sz="0" w:space="0" w:color="auto"/>
                                            <w:bottom w:val="none" w:sz="0" w:space="0" w:color="auto"/>
                                            <w:right w:val="none" w:sz="0" w:space="0" w:color="auto"/>
                                          </w:divBdr>
                                        </w:div>
                                      </w:divsChild>
                                    </w:div>
                                    <w:div w:id="822428271">
                                      <w:marLeft w:val="0"/>
                                      <w:marRight w:val="0"/>
                                      <w:marTop w:val="0"/>
                                      <w:marBottom w:val="0"/>
                                      <w:divBdr>
                                        <w:top w:val="none" w:sz="0" w:space="0" w:color="auto"/>
                                        <w:left w:val="none" w:sz="0" w:space="0" w:color="auto"/>
                                        <w:bottom w:val="none" w:sz="0" w:space="0" w:color="auto"/>
                                        <w:right w:val="none" w:sz="0" w:space="0" w:color="auto"/>
                                      </w:divBdr>
                                      <w:divsChild>
                                        <w:div w:id="2114352711">
                                          <w:marLeft w:val="0"/>
                                          <w:marRight w:val="0"/>
                                          <w:marTop w:val="0"/>
                                          <w:marBottom w:val="0"/>
                                          <w:divBdr>
                                            <w:top w:val="none" w:sz="0" w:space="0" w:color="auto"/>
                                            <w:left w:val="none" w:sz="0" w:space="0" w:color="auto"/>
                                            <w:bottom w:val="none" w:sz="0" w:space="0" w:color="auto"/>
                                            <w:right w:val="none" w:sz="0" w:space="0" w:color="auto"/>
                                          </w:divBdr>
                                        </w:div>
                                      </w:divsChild>
                                    </w:div>
                                    <w:div w:id="709259902">
                                      <w:marLeft w:val="0"/>
                                      <w:marRight w:val="0"/>
                                      <w:marTop w:val="0"/>
                                      <w:marBottom w:val="0"/>
                                      <w:divBdr>
                                        <w:top w:val="none" w:sz="0" w:space="0" w:color="auto"/>
                                        <w:left w:val="none" w:sz="0" w:space="0" w:color="auto"/>
                                        <w:bottom w:val="none" w:sz="0" w:space="0" w:color="auto"/>
                                        <w:right w:val="none" w:sz="0" w:space="0" w:color="auto"/>
                                      </w:divBdr>
                                      <w:divsChild>
                                        <w:div w:id="7051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34771">
                                  <w:marLeft w:val="0"/>
                                  <w:marRight w:val="0"/>
                                  <w:marTop w:val="0"/>
                                  <w:marBottom w:val="0"/>
                                  <w:divBdr>
                                    <w:top w:val="none" w:sz="0" w:space="0" w:color="auto"/>
                                    <w:left w:val="none" w:sz="0" w:space="0" w:color="auto"/>
                                    <w:bottom w:val="none" w:sz="0" w:space="0" w:color="auto"/>
                                    <w:right w:val="none" w:sz="0" w:space="0" w:color="auto"/>
                                  </w:divBdr>
                                  <w:divsChild>
                                    <w:div w:id="795758807">
                                      <w:marLeft w:val="0"/>
                                      <w:marRight w:val="0"/>
                                      <w:marTop w:val="0"/>
                                      <w:marBottom w:val="0"/>
                                      <w:divBdr>
                                        <w:top w:val="none" w:sz="0" w:space="0" w:color="auto"/>
                                        <w:left w:val="none" w:sz="0" w:space="0" w:color="auto"/>
                                        <w:bottom w:val="none" w:sz="0" w:space="0" w:color="auto"/>
                                        <w:right w:val="none" w:sz="0" w:space="0" w:color="auto"/>
                                      </w:divBdr>
                                    </w:div>
                                    <w:div w:id="1003313494">
                                      <w:marLeft w:val="0"/>
                                      <w:marRight w:val="0"/>
                                      <w:marTop w:val="0"/>
                                      <w:marBottom w:val="0"/>
                                      <w:divBdr>
                                        <w:top w:val="none" w:sz="0" w:space="0" w:color="auto"/>
                                        <w:left w:val="none" w:sz="0" w:space="0" w:color="auto"/>
                                        <w:bottom w:val="none" w:sz="0" w:space="0" w:color="auto"/>
                                        <w:right w:val="none" w:sz="0" w:space="0" w:color="auto"/>
                                      </w:divBdr>
                                      <w:divsChild>
                                        <w:div w:id="1577126537">
                                          <w:marLeft w:val="0"/>
                                          <w:marRight w:val="0"/>
                                          <w:marTop w:val="0"/>
                                          <w:marBottom w:val="0"/>
                                          <w:divBdr>
                                            <w:top w:val="none" w:sz="0" w:space="0" w:color="auto"/>
                                            <w:left w:val="none" w:sz="0" w:space="0" w:color="auto"/>
                                            <w:bottom w:val="none" w:sz="0" w:space="0" w:color="auto"/>
                                            <w:right w:val="none" w:sz="0" w:space="0" w:color="auto"/>
                                          </w:divBdr>
                                          <w:divsChild>
                                            <w:div w:id="1244027831">
                                              <w:marLeft w:val="0"/>
                                              <w:marRight w:val="0"/>
                                              <w:marTop w:val="0"/>
                                              <w:marBottom w:val="0"/>
                                              <w:divBdr>
                                                <w:top w:val="none" w:sz="0" w:space="0" w:color="auto"/>
                                                <w:left w:val="none" w:sz="0" w:space="0" w:color="auto"/>
                                                <w:bottom w:val="none" w:sz="0" w:space="0" w:color="auto"/>
                                                <w:right w:val="none" w:sz="0" w:space="0" w:color="auto"/>
                                              </w:divBdr>
                                              <w:divsChild>
                                                <w:div w:id="1865093553">
                                                  <w:marLeft w:val="0"/>
                                                  <w:marRight w:val="0"/>
                                                  <w:marTop w:val="120"/>
                                                  <w:marBottom w:val="0"/>
                                                  <w:divBdr>
                                                    <w:top w:val="none" w:sz="0" w:space="0" w:color="auto"/>
                                                    <w:left w:val="none" w:sz="0" w:space="0" w:color="auto"/>
                                                    <w:bottom w:val="none" w:sz="0" w:space="0" w:color="auto"/>
                                                    <w:right w:val="none" w:sz="0" w:space="0" w:color="auto"/>
                                                  </w:divBdr>
                                                </w:div>
                                                <w:div w:id="1106539977">
                                                  <w:marLeft w:val="0"/>
                                                  <w:marRight w:val="0"/>
                                                  <w:marTop w:val="0"/>
                                                  <w:marBottom w:val="0"/>
                                                  <w:divBdr>
                                                    <w:top w:val="none" w:sz="0" w:space="0" w:color="auto"/>
                                                    <w:left w:val="none" w:sz="0" w:space="0" w:color="auto"/>
                                                    <w:bottom w:val="none" w:sz="0" w:space="0" w:color="auto"/>
                                                    <w:right w:val="none" w:sz="0" w:space="0" w:color="auto"/>
                                                  </w:divBdr>
                                                </w:div>
                                              </w:divsChild>
                                            </w:div>
                                            <w:div w:id="1146900728">
                                              <w:marLeft w:val="0"/>
                                              <w:marRight w:val="0"/>
                                              <w:marTop w:val="0"/>
                                              <w:marBottom w:val="0"/>
                                              <w:divBdr>
                                                <w:top w:val="none" w:sz="0" w:space="0" w:color="auto"/>
                                                <w:left w:val="none" w:sz="0" w:space="0" w:color="auto"/>
                                                <w:bottom w:val="none" w:sz="0" w:space="0" w:color="auto"/>
                                                <w:right w:val="none" w:sz="0" w:space="0" w:color="auto"/>
                                              </w:divBdr>
                                              <w:divsChild>
                                                <w:div w:id="701637893">
                                                  <w:marLeft w:val="0"/>
                                                  <w:marRight w:val="0"/>
                                                  <w:marTop w:val="120"/>
                                                  <w:marBottom w:val="0"/>
                                                  <w:divBdr>
                                                    <w:top w:val="none" w:sz="0" w:space="0" w:color="auto"/>
                                                    <w:left w:val="none" w:sz="0" w:space="0" w:color="auto"/>
                                                    <w:bottom w:val="none" w:sz="0" w:space="0" w:color="auto"/>
                                                    <w:right w:val="none" w:sz="0" w:space="0" w:color="auto"/>
                                                  </w:divBdr>
                                                </w:div>
                                                <w:div w:id="1281033848">
                                                  <w:marLeft w:val="0"/>
                                                  <w:marRight w:val="0"/>
                                                  <w:marTop w:val="0"/>
                                                  <w:marBottom w:val="0"/>
                                                  <w:divBdr>
                                                    <w:top w:val="none" w:sz="0" w:space="0" w:color="auto"/>
                                                    <w:left w:val="none" w:sz="0" w:space="0" w:color="auto"/>
                                                    <w:bottom w:val="none" w:sz="0" w:space="0" w:color="auto"/>
                                                    <w:right w:val="none" w:sz="0" w:space="0" w:color="auto"/>
                                                  </w:divBdr>
                                                </w:div>
                                              </w:divsChild>
                                            </w:div>
                                            <w:div w:id="891767652">
                                              <w:marLeft w:val="0"/>
                                              <w:marRight w:val="0"/>
                                              <w:marTop w:val="0"/>
                                              <w:marBottom w:val="0"/>
                                              <w:divBdr>
                                                <w:top w:val="none" w:sz="0" w:space="0" w:color="auto"/>
                                                <w:left w:val="none" w:sz="0" w:space="0" w:color="auto"/>
                                                <w:bottom w:val="none" w:sz="0" w:space="0" w:color="auto"/>
                                                <w:right w:val="none" w:sz="0" w:space="0" w:color="auto"/>
                                              </w:divBdr>
                                              <w:divsChild>
                                                <w:div w:id="1392197924">
                                                  <w:marLeft w:val="0"/>
                                                  <w:marRight w:val="0"/>
                                                  <w:marTop w:val="120"/>
                                                  <w:marBottom w:val="0"/>
                                                  <w:divBdr>
                                                    <w:top w:val="none" w:sz="0" w:space="0" w:color="auto"/>
                                                    <w:left w:val="none" w:sz="0" w:space="0" w:color="auto"/>
                                                    <w:bottom w:val="none" w:sz="0" w:space="0" w:color="auto"/>
                                                    <w:right w:val="none" w:sz="0" w:space="0" w:color="auto"/>
                                                  </w:divBdr>
                                                </w:div>
                                                <w:div w:id="23713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51201">
                                      <w:marLeft w:val="0"/>
                                      <w:marRight w:val="0"/>
                                      <w:marTop w:val="0"/>
                                      <w:marBottom w:val="0"/>
                                      <w:divBdr>
                                        <w:top w:val="none" w:sz="0" w:space="0" w:color="auto"/>
                                        <w:left w:val="none" w:sz="0" w:space="0" w:color="auto"/>
                                        <w:bottom w:val="none" w:sz="0" w:space="0" w:color="auto"/>
                                        <w:right w:val="none" w:sz="0" w:space="0" w:color="auto"/>
                                      </w:divBdr>
                                      <w:divsChild>
                                        <w:div w:id="1746026517">
                                          <w:marLeft w:val="0"/>
                                          <w:marRight w:val="0"/>
                                          <w:marTop w:val="0"/>
                                          <w:marBottom w:val="0"/>
                                          <w:divBdr>
                                            <w:top w:val="none" w:sz="0" w:space="0" w:color="auto"/>
                                            <w:left w:val="none" w:sz="0" w:space="0" w:color="auto"/>
                                            <w:bottom w:val="none" w:sz="0" w:space="0" w:color="auto"/>
                                            <w:right w:val="none" w:sz="0" w:space="0" w:color="auto"/>
                                          </w:divBdr>
                                          <w:divsChild>
                                            <w:div w:id="1604337348">
                                              <w:marLeft w:val="0"/>
                                              <w:marRight w:val="0"/>
                                              <w:marTop w:val="0"/>
                                              <w:marBottom w:val="0"/>
                                              <w:divBdr>
                                                <w:top w:val="none" w:sz="0" w:space="0" w:color="auto"/>
                                                <w:left w:val="none" w:sz="0" w:space="0" w:color="auto"/>
                                                <w:bottom w:val="none" w:sz="0" w:space="0" w:color="auto"/>
                                                <w:right w:val="none" w:sz="0" w:space="0" w:color="auto"/>
                                              </w:divBdr>
                                              <w:divsChild>
                                                <w:div w:id="1741444760">
                                                  <w:marLeft w:val="0"/>
                                                  <w:marRight w:val="0"/>
                                                  <w:marTop w:val="120"/>
                                                  <w:marBottom w:val="0"/>
                                                  <w:divBdr>
                                                    <w:top w:val="none" w:sz="0" w:space="0" w:color="auto"/>
                                                    <w:left w:val="none" w:sz="0" w:space="0" w:color="auto"/>
                                                    <w:bottom w:val="none" w:sz="0" w:space="0" w:color="auto"/>
                                                    <w:right w:val="none" w:sz="0" w:space="0" w:color="auto"/>
                                                  </w:divBdr>
                                                </w:div>
                                                <w:div w:id="817766995">
                                                  <w:marLeft w:val="0"/>
                                                  <w:marRight w:val="0"/>
                                                  <w:marTop w:val="0"/>
                                                  <w:marBottom w:val="0"/>
                                                  <w:divBdr>
                                                    <w:top w:val="none" w:sz="0" w:space="0" w:color="auto"/>
                                                    <w:left w:val="none" w:sz="0" w:space="0" w:color="auto"/>
                                                    <w:bottom w:val="none" w:sz="0" w:space="0" w:color="auto"/>
                                                    <w:right w:val="none" w:sz="0" w:space="0" w:color="auto"/>
                                                  </w:divBdr>
                                                </w:div>
                                              </w:divsChild>
                                            </w:div>
                                            <w:div w:id="751850428">
                                              <w:marLeft w:val="0"/>
                                              <w:marRight w:val="0"/>
                                              <w:marTop w:val="0"/>
                                              <w:marBottom w:val="0"/>
                                              <w:divBdr>
                                                <w:top w:val="none" w:sz="0" w:space="0" w:color="auto"/>
                                                <w:left w:val="none" w:sz="0" w:space="0" w:color="auto"/>
                                                <w:bottom w:val="none" w:sz="0" w:space="0" w:color="auto"/>
                                                <w:right w:val="none" w:sz="0" w:space="0" w:color="auto"/>
                                              </w:divBdr>
                                              <w:divsChild>
                                                <w:div w:id="308634155">
                                                  <w:marLeft w:val="0"/>
                                                  <w:marRight w:val="0"/>
                                                  <w:marTop w:val="120"/>
                                                  <w:marBottom w:val="0"/>
                                                  <w:divBdr>
                                                    <w:top w:val="none" w:sz="0" w:space="0" w:color="auto"/>
                                                    <w:left w:val="none" w:sz="0" w:space="0" w:color="auto"/>
                                                    <w:bottom w:val="none" w:sz="0" w:space="0" w:color="auto"/>
                                                    <w:right w:val="none" w:sz="0" w:space="0" w:color="auto"/>
                                                  </w:divBdr>
                                                </w:div>
                                                <w:div w:id="9877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176922">
                                      <w:marLeft w:val="0"/>
                                      <w:marRight w:val="0"/>
                                      <w:marTop w:val="0"/>
                                      <w:marBottom w:val="0"/>
                                      <w:divBdr>
                                        <w:top w:val="none" w:sz="0" w:space="0" w:color="auto"/>
                                        <w:left w:val="none" w:sz="0" w:space="0" w:color="auto"/>
                                        <w:bottom w:val="none" w:sz="0" w:space="0" w:color="auto"/>
                                        <w:right w:val="none" w:sz="0" w:space="0" w:color="auto"/>
                                      </w:divBdr>
                                      <w:divsChild>
                                        <w:div w:id="1835951815">
                                          <w:marLeft w:val="0"/>
                                          <w:marRight w:val="0"/>
                                          <w:marTop w:val="0"/>
                                          <w:marBottom w:val="0"/>
                                          <w:divBdr>
                                            <w:top w:val="none" w:sz="0" w:space="0" w:color="auto"/>
                                            <w:left w:val="none" w:sz="0" w:space="0" w:color="auto"/>
                                            <w:bottom w:val="none" w:sz="0" w:space="0" w:color="auto"/>
                                            <w:right w:val="none" w:sz="0" w:space="0" w:color="auto"/>
                                          </w:divBdr>
                                        </w:div>
                                      </w:divsChild>
                                    </w:div>
                                    <w:div w:id="1655793401">
                                      <w:marLeft w:val="0"/>
                                      <w:marRight w:val="0"/>
                                      <w:marTop w:val="0"/>
                                      <w:marBottom w:val="0"/>
                                      <w:divBdr>
                                        <w:top w:val="none" w:sz="0" w:space="0" w:color="auto"/>
                                        <w:left w:val="none" w:sz="0" w:space="0" w:color="auto"/>
                                        <w:bottom w:val="none" w:sz="0" w:space="0" w:color="auto"/>
                                        <w:right w:val="none" w:sz="0" w:space="0" w:color="auto"/>
                                      </w:divBdr>
                                      <w:divsChild>
                                        <w:div w:id="616985694">
                                          <w:marLeft w:val="0"/>
                                          <w:marRight w:val="0"/>
                                          <w:marTop w:val="0"/>
                                          <w:marBottom w:val="0"/>
                                          <w:divBdr>
                                            <w:top w:val="none" w:sz="0" w:space="0" w:color="auto"/>
                                            <w:left w:val="none" w:sz="0" w:space="0" w:color="auto"/>
                                            <w:bottom w:val="none" w:sz="0" w:space="0" w:color="auto"/>
                                            <w:right w:val="none" w:sz="0" w:space="0" w:color="auto"/>
                                          </w:divBdr>
                                        </w:div>
                                      </w:divsChild>
                                    </w:div>
                                    <w:div w:id="371998295">
                                      <w:marLeft w:val="0"/>
                                      <w:marRight w:val="0"/>
                                      <w:marTop w:val="0"/>
                                      <w:marBottom w:val="0"/>
                                      <w:divBdr>
                                        <w:top w:val="none" w:sz="0" w:space="0" w:color="auto"/>
                                        <w:left w:val="none" w:sz="0" w:space="0" w:color="auto"/>
                                        <w:bottom w:val="none" w:sz="0" w:space="0" w:color="auto"/>
                                        <w:right w:val="none" w:sz="0" w:space="0" w:color="auto"/>
                                      </w:divBdr>
                                      <w:divsChild>
                                        <w:div w:id="253245468">
                                          <w:marLeft w:val="0"/>
                                          <w:marRight w:val="0"/>
                                          <w:marTop w:val="0"/>
                                          <w:marBottom w:val="0"/>
                                          <w:divBdr>
                                            <w:top w:val="none" w:sz="0" w:space="0" w:color="auto"/>
                                            <w:left w:val="none" w:sz="0" w:space="0" w:color="auto"/>
                                            <w:bottom w:val="none" w:sz="0" w:space="0" w:color="auto"/>
                                            <w:right w:val="none" w:sz="0" w:space="0" w:color="auto"/>
                                          </w:divBdr>
                                        </w:div>
                                      </w:divsChild>
                                    </w:div>
                                    <w:div w:id="2054578161">
                                      <w:marLeft w:val="0"/>
                                      <w:marRight w:val="0"/>
                                      <w:marTop w:val="0"/>
                                      <w:marBottom w:val="0"/>
                                      <w:divBdr>
                                        <w:top w:val="none" w:sz="0" w:space="0" w:color="auto"/>
                                        <w:left w:val="none" w:sz="0" w:space="0" w:color="auto"/>
                                        <w:bottom w:val="none" w:sz="0" w:space="0" w:color="auto"/>
                                        <w:right w:val="none" w:sz="0" w:space="0" w:color="auto"/>
                                      </w:divBdr>
                                      <w:divsChild>
                                        <w:div w:id="489909786">
                                          <w:marLeft w:val="0"/>
                                          <w:marRight w:val="0"/>
                                          <w:marTop w:val="0"/>
                                          <w:marBottom w:val="0"/>
                                          <w:divBdr>
                                            <w:top w:val="none" w:sz="0" w:space="0" w:color="auto"/>
                                            <w:left w:val="none" w:sz="0" w:space="0" w:color="auto"/>
                                            <w:bottom w:val="none" w:sz="0" w:space="0" w:color="auto"/>
                                            <w:right w:val="none" w:sz="0" w:space="0" w:color="auto"/>
                                          </w:divBdr>
                                        </w:div>
                                      </w:divsChild>
                                    </w:div>
                                    <w:div w:id="1521358924">
                                      <w:marLeft w:val="0"/>
                                      <w:marRight w:val="0"/>
                                      <w:marTop w:val="0"/>
                                      <w:marBottom w:val="0"/>
                                      <w:divBdr>
                                        <w:top w:val="none" w:sz="0" w:space="0" w:color="auto"/>
                                        <w:left w:val="none" w:sz="0" w:space="0" w:color="auto"/>
                                        <w:bottom w:val="none" w:sz="0" w:space="0" w:color="auto"/>
                                        <w:right w:val="none" w:sz="0" w:space="0" w:color="auto"/>
                                      </w:divBdr>
                                      <w:divsChild>
                                        <w:div w:id="134882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76343">
                              <w:marLeft w:val="0"/>
                              <w:marRight w:val="0"/>
                              <w:marTop w:val="0"/>
                              <w:marBottom w:val="0"/>
                              <w:divBdr>
                                <w:top w:val="none" w:sz="0" w:space="0" w:color="auto"/>
                                <w:left w:val="none" w:sz="0" w:space="0" w:color="auto"/>
                                <w:bottom w:val="none" w:sz="0" w:space="0" w:color="auto"/>
                                <w:right w:val="none" w:sz="0" w:space="0" w:color="auto"/>
                              </w:divBdr>
                              <w:divsChild>
                                <w:div w:id="816141328">
                                  <w:marLeft w:val="0"/>
                                  <w:marRight w:val="0"/>
                                  <w:marTop w:val="0"/>
                                  <w:marBottom w:val="0"/>
                                  <w:divBdr>
                                    <w:top w:val="none" w:sz="0" w:space="0" w:color="auto"/>
                                    <w:left w:val="none" w:sz="0" w:space="0" w:color="auto"/>
                                    <w:bottom w:val="none" w:sz="0" w:space="0" w:color="auto"/>
                                    <w:right w:val="none" w:sz="0" w:space="0" w:color="auto"/>
                                  </w:divBdr>
                                  <w:divsChild>
                                    <w:div w:id="932664435">
                                      <w:marLeft w:val="0"/>
                                      <w:marRight w:val="0"/>
                                      <w:marTop w:val="0"/>
                                      <w:marBottom w:val="0"/>
                                      <w:divBdr>
                                        <w:top w:val="none" w:sz="0" w:space="0" w:color="auto"/>
                                        <w:left w:val="none" w:sz="0" w:space="0" w:color="auto"/>
                                        <w:bottom w:val="none" w:sz="0" w:space="0" w:color="auto"/>
                                        <w:right w:val="none" w:sz="0" w:space="0" w:color="auto"/>
                                      </w:divBdr>
                                    </w:div>
                                    <w:div w:id="1403330460">
                                      <w:marLeft w:val="0"/>
                                      <w:marRight w:val="0"/>
                                      <w:marTop w:val="0"/>
                                      <w:marBottom w:val="0"/>
                                      <w:divBdr>
                                        <w:top w:val="none" w:sz="0" w:space="0" w:color="auto"/>
                                        <w:left w:val="none" w:sz="0" w:space="0" w:color="auto"/>
                                        <w:bottom w:val="none" w:sz="0" w:space="0" w:color="auto"/>
                                        <w:right w:val="none" w:sz="0" w:space="0" w:color="auto"/>
                                      </w:divBdr>
                                      <w:divsChild>
                                        <w:div w:id="1947689539">
                                          <w:marLeft w:val="0"/>
                                          <w:marRight w:val="0"/>
                                          <w:marTop w:val="0"/>
                                          <w:marBottom w:val="0"/>
                                          <w:divBdr>
                                            <w:top w:val="none" w:sz="0" w:space="0" w:color="auto"/>
                                            <w:left w:val="none" w:sz="0" w:space="0" w:color="auto"/>
                                            <w:bottom w:val="none" w:sz="0" w:space="0" w:color="auto"/>
                                            <w:right w:val="none" w:sz="0" w:space="0" w:color="auto"/>
                                          </w:divBdr>
                                        </w:div>
                                      </w:divsChild>
                                    </w:div>
                                    <w:div w:id="1166747937">
                                      <w:marLeft w:val="0"/>
                                      <w:marRight w:val="0"/>
                                      <w:marTop w:val="0"/>
                                      <w:marBottom w:val="0"/>
                                      <w:divBdr>
                                        <w:top w:val="none" w:sz="0" w:space="0" w:color="auto"/>
                                        <w:left w:val="none" w:sz="0" w:space="0" w:color="auto"/>
                                        <w:bottom w:val="none" w:sz="0" w:space="0" w:color="auto"/>
                                        <w:right w:val="none" w:sz="0" w:space="0" w:color="auto"/>
                                      </w:divBdr>
                                      <w:divsChild>
                                        <w:div w:id="5058515">
                                          <w:marLeft w:val="0"/>
                                          <w:marRight w:val="0"/>
                                          <w:marTop w:val="0"/>
                                          <w:marBottom w:val="0"/>
                                          <w:divBdr>
                                            <w:top w:val="none" w:sz="0" w:space="0" w:color="auto"/>
                                            <w:left w:val="none" w:sz="0" w:space="0" w:color="auto"/>
                                            <w:bottom w:val="none" w:sz="0" w:space="0" w:color="auto"/>
                                            <w:right w:val="none" w:sz="0" w:space="0" w:color="auto"/>
                                          </w:divBdr>
                                          <w:divsChild>
                                            <w:div w:id="1511750918">
                                              <w:marLeft w:val="0"/>
                                              <w:marRight w:val="0"/>
                                              <w:marTop w:val="0"/>
                                              <w:marBottom w:val="0"/>
                                              <w:divBdr>
                                                <w:top w:val="none" w:sz="0" w:space="0" w:color="auto"/>
                                                <w:left w:val="none" w:sz="0" w:space="0" w:color="auto"/>
                                                <w:bottom w:val="none" w:sz="0" w:space="0" w:color="auto"/>
                                                <w:right w:val="none" w:sz="0" w:space="0" w:color="auto"/>
                                              </w:divBdr>
                                              <w:divsChild>
                                                <w:div w:id="714239686">
                                                  <w:marLeft w:val="0"/>
                                                  <w:marRight w:val="0"/>
                                                  <w:marTop w:val="120"/>
                                                  <w:marBottom w:val="0"/>
                                                  <w:divBdr>
                                                    <w:top w:val="none" w:sz="0" w:space="0" w:color="auto"/>
                                                    <w:left w:val="none" w:sz="0" w:space="0" w:color="auto"/>
                                                    <w:bottom w:val="none" w:sz="0" w:space="0" w:color="auto"/>
                                                    <w:right w:val="none" w:sz="0" w:space="0" w:color="auto"/>
                                                  </w:divBdr>
                                                </w:div>
                                                <w:div w:id="1236937019">
                                                  <w:marLeft w:val="0"/>
                                                  <w:marRight w:val="0"/>
                                                  <w:marTop w:val="0"/>
                                                  <w:marBottom w:val="0"/>
                                                  <w:divBdr>
                                                    <w:top w:val="none" w:sz="0" w:space="0" w:color="auto"/>
                                                    <w:left w:val="none" w:sz="0" w:space="0" w:color="auto"/>
                                                    <w:bottom w:val="none" w:sz="0" w:space="0" w:color="auto"/>
                                                    <w:right w:val="none" w:sz="0" w:space="0" w:color="auto"/>
                                                  </w:divBdr>
                                                </w:div>
                                              </w:divsChild>
                                            </w:div>
                                            <w:div w:id="1564637009">
                                              <w:marLeft w:val="0"/>
                                              <w:marRight w:val="0"/>
                                              <w:marTop w:val="0"/>
                                              <w:marBottom w:val="0"/>
                                              <w:divBdr>
                                                <w:top w:val="none" w:sz="0" w:space="0" w:color="auto"/>
                                                <w:left w:val="none" w:sz="0" w:space="0" w:color="auto"/>
                                                <w:bottom w:val="none" w:sz="0" w:space="0" w:color="auto"/>
                                                <w:right w:val="none" w:sz="0" w:space="0" w:color="auto"/>
                                              </w:divBdr>
                                              <w:divsChild>
                                                <w:div w:id="1922447364">
                                                  <w:marLeft w:val="0"/>
                                                  <w:marRight w:val="0"/>
                                                  <w:marTop w:val="120"/>
                                                  <w:marBottom w:val="0"/>
                                                  <w:divBdr>
                                                    <w:top w:val="none" w:sz="0" w:space="0" w:color="auto"/>
                                                    <w:left w:val="none" w:sz="0" w:space="0" w:color="auto"/>
                                                    <w:bottom w:val="none" w:sz="0" w:space="0" w:color="auto"/>
                                                    <w:right w:val="none" w:sz="0" w:space="0" w:color="auto"/>
                                                  </w:divBdr>
                                                </w:div>
                                                <w:div w:id="3987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748886">
                                      <w:marLeft w:val="0"/>
                                      <w:marRight w:val="0"/>
                                      <w:marTop w:val="0"/>
                                      <w:marBottom w:val="0"/>
                                      <w:divBdr>
                                        <w:top w:val="none" w:sz="0" w:space="0" w:color="auto"/>
                                        <w:left w:val="none" w:sz="0" w:space="0" w:color="auto"/>
                                        <w:bottom w:val="none" w:sz="0" w:space="0" w:color="auto"/>
                                        <w:right w:val="none" w:sz="0" w:space="0" w:color="auto"/>
                                      </w:divBdr>
                                      <w:divsChild>
                                        <w:div w:id="1583905563">
                                          <w:marLeft w:val="0"/>
                                          <w:marRight w:val="0"/>
                                          <w:marTop w:val="0"/>
                                          <w:marBottom w:val="0"/>
                                          <w:divBdr>
                                            <w:top w:val="none" w:sz="0" w:space="0" w:color="auto"/>
                                            <w:left w:val="none" w:sz="0" w:space="0" w:color="auto"/>
                                            <w:bottom w:val="none" w:sz="0" w:space="0" w:color="auto"/>
                                            <w:right w:val="none" w:sz="0" w:space="0" w:color="auto"/>
                                          </w:divBdr>
                                          <w:divsChild>
                                            <w:div w:id="1692103943">
                                              <w:marLeft w:val="0"/>
                                              <w:marRight w:val="0"/>
                                              <w:marTop w:val="0"/>
                                              <w:marBottom w:val="0"/>
                                              <w:divBdr>
                                                <w:top w:val="none" w:sz="0" w:space="0" w:color="auto"/>
                                                <w:left w:val="none" w:sz="0" w:space="0" w:color="auto"/>
                                                <w:bottom w:val="none" w:sz="0" w:space="0" w:color="auto"/>
                                                <w:right w:val="none" w:sz="0" w:space="0" w:color="auto"/>
                                              </w:divBdr>
                                              <w:divsChild>
                                                <w:div w:id="1731534101">
                                                  <w:marLeft w:val="0"/>
                                                  <w:marRight w:val="0"/>
                                                  <w:marTop w:val="120"/>
                                                  <w:marBottom w:val="0"/>
                                                  <w:divBdr>
                                                    <w:top w:val="none" w:sz="0" w:space="0" w:color="auto"/>
                                                    <w:left w:val="none" w:sz="0" w:space="0" w:color="auto"/>
                                                    <w:bottom w:val="none" w:sz="0" w:space="0" w:color="auto"/>
                                                    <w:right w:val="none" w:sz="0" w:space="0" w:color="auto"/>
                                                  </w:divBdr>
                                                </w:div>
                                                <w:div w:id="1218862883">
                                                  <w:marLeft w:val="0"/>
                                                  <w:marRight w:val="0"/>
                                                  <w:marTop w:val="0"/>
                                                  <w:marBottom w:val="0"/>
                                                  <w:divBdr>
                                                    <w:top w:val="none" w:sz="0" w:space="0" w:color="auto"/>
                                                    <w:left w:val="none" w:sz="0" w:space="0" w:color="auto"/>
                                                    <w:bottom w:val="none" w:sz="0" w:space="0" w:color="auto"/>
                                                    <w:right w:val="none" w:sz="0" w:space="0" w:color="auto"/>
                                                  </w:divBdr>
                                                </w:div>
                                              </w:divsChild>
                                            </w:div>
                                            <w:div w:id="2075008154">
                                              <w:marLeft w:val="0"/>
                                              <w:marRight w:val="0"/>
                                              <w:marTop w:val="0"/>
                                              <w:marBottom w:val="0"/>
                                              <w:divBdr>
                                                <w:top w:val="none" w:sz="0" w:space="0" w:color="auto"/>
                                                <w:left w:val="none" w:sz="0" w:space="0" w:color="auto"/>
                                                <w:bottom w:val="none" w:sz="0" w:space="0" w:color="auto"/>
                                                <w:right w:val="none" w:sz="0" w:space="0" w:color="auto"/>
                                              </w:divBdr>
                                              <w:divsChild>
                                                <w:div w:id="741025833">
                                                  <w:marLeft w:val="0"/>
                                                  <w:marRight w:val="0"/>
                                                  <w:marTop w:val="120"/>
                                                  <w:marBottom w:val="0"/>
                                                  <w:divBdr>
                                                    <w:top w:val="none" w:sz="0" w:space="0" w:color="auto"/>
                                                    <w:left w:val="none" w:sz="0" w:space="0" w:color="auto"/>
                                                    <w:bottom w:val="none" w:sz="0" w:space="0" w:color="auto"/>
                                                    <w:right w:val="none" w:sz="0" w:space="0" w:color="auto"/>
                                                  </w:divBdr>
                                                </w:div>
                                                <w:div w:id="12301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15356">
                                  <w:marLeft w:val="0"/>
                                  <w:marRight w:val="0"/>
                                  <w:marTop w:val="0"/>
                                  <w:marBottom w:val="0"/>
                                  <w:divBdr>
                                    <w:top w:val="none" w:sz="0" w:space="0" w:color="auto"/>
                                    <w:left w:val="none" w:sz="0" w:space="0" w:color="auto"/>
                                    <w:bottom w:val="none" w:sz="0" w:space="0" w:color="auto"/>
                                    <w:right w:val="none" w:sz="0" w:space="0" w:color="auto"/>
                                  </w:divBdr>
                                  <w:divsChild>
                                    <w:div w:id="2064476528">
                                      <w:marLeft w:val="0"/>
                                      <w:marRight w:val="0"/>
                                      <w:marTop w:val="0"/>
                                      <w:marBottom w:val="0"/>
                                      <w:divBdr>
                                        <w:top w:val="none" w:sz="0" w:space="0" w:color="auto"/>
                                        <w:left w:val="none" w:sz="0" w:space="0" w:color="auto"/>
                                        <w:bottom w:val="none" w:sz="0" w:space="0" w:color="auto"/>
                                        <w:right w:val="none" w:sz="0" w:space="0" w:color="auto"/>
                                      </w:divBdr>
                                    </w:div>
                                    <w:div w:id="531261458">
                                      <w:marLeft w:val="0"/>
                                      <w:marRight w:val="0"/>
                                      <w:marTop w:val="0"/>
                                      <w:marBottom w:val="0"/>
                                      <w:divBdr>
                                        <w:top w:val="none" w:sz="0" w:space="0" w:color="auto"/>
                                        <w:left w:val="none" w:sz="0" w:space="0" w:color="auto"/>
                                        <w:bottom w:val="none" w:sz="0" w:space="0" w:color="auto"/>
                                        <w:right w:val="none" w:sz="0" w:space="0" w:color="auto"/>
                                      </w:divBdr>
                                      <w:divsChild>
                                        <w:div w:id="1311330193">
                                          <w:marLeft w:val="0"/>
                                          <w:marRight w:val="0"/>
                                          <w:marTop w:val="0"/>
                                          <w:marBottom w:val="0"/>
                                          <w:divBdr>
                                            <w:top w:val="none" w:sz="0" w:space="0" w:color="auto"/>
                                            <w:left w:val="none" w:sz="0" w:space="0" w:color="auto"/>
                                            <w:bottom w:val="none" w:sz="0" w:space="0" w:color="auto"/>
                                            <w:right w:val="none" w:sz="0" w:space="0" w:color="auto"/>
                                          </w:divBdr>
                                          <w:divsChild>
                                            <w:div w:id="1649674069">
                                              <w:marLeft w:val="0"/>
                                              <w:marRight w:val="0"/>
                                              <w:marTop w:val="0"/>
                                              <w:marBottom w:val="0"/>
                                              <w:divBdr>
                                                <w:top w:val="none" w:sz="0" w:space="0" w:color="auto"/>
                                                <w:left w:val="none" w:sz="0" w:space="0" w:color="auto"/>
                                                <w:bottom w:val="none" w:sz="0" w:space="0" w:color="auto"/>
                                                <w:right w:val="none" w:sz="0" w:space="0" w:color="auto"/>
                                              </w:divBdr>
                                              <w:divsChild>
                                                <w:div w:id="100686474">
                                                  <w:marLeft w:val="0"/>
                                                  <w:marRight w:val="0"/>
                                                  <w:marTop w:val="120"/>
                                                  <w:marBottom w:val="0"/>
                                                  <w:divBdr>
                                                    <w:top w:val="none" w:sz="0" w:space="0" w:color="auto"/>
                                                    <w:left w:val="none" w:sz="0" w:space="0" w:color="auto"/>
                                                    <w:bottom w:val="none" w:sz="0" w:space="0" w:color="auto"/>
                                                    <w:right w:val="none" w:sz="0" w:space="0" w:color="auto"/>
                                                  </w:divBdr>
                                                </w:div>
                                                <w:div w:id="2065830088">
                                                  <w:marLeft w:val="0"/>
                                                  <w:marRight w:val="0"/>
                                                  <w:marTop w:val="0"/>
                                                  <w:marBottom w:val="0"/>
                                                  <w:divBdr>
                                                    <w:top w:val="none" w:sz="0" w:space="0" w:color="auto"/>
                                                    <w:left w:val="none" w:sz="0" w:space="0" w:color="auto"/>
                                                    <w:bottom w:val="none" w:sz="0" w:space="0" w:color="auto"/>
                                                    <w:right w:val="none" w:sz="0" w:space="0" w:color="auto"/>
                                                  </w:divBdr>
                                                </w:div>
                                              </w:divsChild>
                                            </w:div>
                                            <w:div w:id="1195458303">
                                              <w:marLeft w:val="0"/>
                                              <w:marRight w:val="0"/>
                                              <w:marTop w:val="0"/>
                                              <w:marBottom w:val="0"/>
                                              <w:divBdr>
                                                <w:top w:val="none" w:sz="0" w:space="0" w:color="auto"/>
                                                <w:left w:val="none" w:sz="0" w:space="0" w:color="auto"/>
                                                <w:bottom w:val="none" w:sz="0" w:space="0" w:color="auto"/>
                                                <w:right w:val="none" w:sz="0" w:space="0" w:color="auto"/>
                                              </w:divBdr>
                                              <w:divsChild>
                                                <w:div w:id="1466854548">
                                                  <w:marLeft w:val="0"/>
                                                  <w:marRight w:val="0"/>
                                                  <w:marTop w:val="120"/>
                                                  <w:marBottom w:val="0"/>
                                                  <w:divBdr>
                                                    <w:top w:val="none" w:sz="0" w:space="0" w:color="auto"/>
                                                    <w:left w:val="none" w:sz="0" w:space="0" w:color="auto"/>
                                                    <w:bottom w:val="none" w:sz="0" w:space="0" w:color="auto"/>
                                                    <w:right w:val="none" w:sz="0" w:space="0" w:color="auto"/>
                                                  </w:divBdr>
                                                </w:div>
                                                <w:div w:id="4399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426679">
                                      <w:marLeft w:val="0"/>
                                      <w:marRight w:val="0"/>
                                      <w:marTop w:val="0"/>
                                      <w:marBottom w:val="0"/>
                                      <w:divBdr>
                                        <w:top w:val="none" w:sz="0" w:space="0" w:color="auto"/>
                                        <w:left w:val="none" w:sz="0" w:space="0" w:color="auto"/>
                                        <w:bottom w:val="none" w:sz="0" w:space="0" w:color="auto"/>
                                        <w:right w:val="none" w:sz="0" w:space="0" w:color="auto"/>
                                      </w:divBdr>
                                      <w:divsChild>
                                        <w:div w:id="65931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786543">
                                  <w:marLeft w:val="0"/>
                                  <w:marRight w:val="0"/>
                                  <w:marTop w:val="0"/>
                                  <w:marBottom w:val="0"/>
                                  <w:divBdr>
                                    <w:top w:val="none" w:sz="0" w:space="0" w:color="auto"/>
                                    <w:left w:val="none" w:sz="0" w:space="0" w:color="auto"/>
                                    <w:bottom w:val="none" w:sz="0" w:space="0" w:color="auto"/>
                                    <w:right w:val="none" w:sz="0" w:space="0" w:color="auto"/>
                                  </w:divBdr>
                                  <w:divsChild>
                                    <w:div w:id="837039895">
                                      <w:marLeft w:val="0"/>
                                      <w:marRight w:val="0"/>
                                      <w:marTop w:val="0"/>
                                      <w:marBottom w:val="0"/>
                                      <w:divBdr>
                                        <w:top w:val="none" w:sz="0" w:space="0" w:color="auto"/>
                                        <w:left w:val="none" w:sz="0" w:space="0" w:color="auto"/>
                                        <w:bottom w:val="none" w:sz="0" w:space="0" w:color="auto"/>
                                        <w:right w:val="none" w:sz="0" w:space="0" w:color="auto"/>
                                      </w:divBdr>
                                    </w:div>
                                    <w:div w:id="1467626341">
                                      <w:marLeft w:val="0"/>
                                      <w:marRight w:val="0"/>
                                      <w:marTop w:val="0"/>
                                      <w:marBottom w:val="0"/>
                                      <w:divBdr>
                                        <w:top w:val="none" w:sz="0" w:space="0" w:color="auto"/>
                                        <w:left w:val="none" w:sz="0" w:space="0" w:color="auto"/>
                                        <w:bottom w:val="none" w:sz="0" w:space="0" w:color="auto"/>
                                        <w:right w:val="none" w:sz="0" w:space="0" w:color="auto"/>
                                      </w:divBdr>
                                      <w:divsChild>
                                        <w:div w:id="500589233">
                                          <w:marLeft w:val="0"/>
                                          <w:marRight w:val="0"/>
                                          <w:marTop w:val="0"/>
                                          <w:marBottom w:val="0"/>
                                          <w:divBdr>
                                            <w:top w:val="none" w:sz="0" w:space="0" w:color="auto"/>
                                            <w:left w:val="none" w:sz="0" w:space="0" w:color="auto"/>
                                            <w:bottom w:val="none" w:sz="0" w:space="0" w:color="auto"/>
                                            <w:right w:val="none" w:sz="0" w:space="0" w:color="auto"/>
                                          </w:divBdr>
                                          <w:divsChild>
                                            <w:div w:id="1781144420">
                                              <w:marLeft w:val="0"/>
                                              <w:marRight w:val="0"/>
                                              <w:marTop w:val="0"/>
                                              <w:marBottom w:val="0"/>
                                              <w:divBdr>
                                                <w:top w:val="none" w:sz="0" w:space="0" w:color="auto"/>
                                                <w:left w:val="none" w:sz="0" w:space="0" w:color="auto"/>
                                                <w:bottom w:val="none" w:sz="0" w:space="0" w:color="auto"/>
                                                <w:right w:val="none" w:sz="0" w:space="0" w:color="auto"/>
                                              </w:divBdr>
                                              <w:divsChild>
                                                <w:div w:id="366953728">
                                                  <w:marLeft w:val="0"/>
                                                  <w:marRight w:val="0"/>
                                                  <w:marTop w:val="120"/>
                                                  <w:marBottom w:val="0"/>
                                                  <w:divBdr>
                                                    <w:top w:val="none" w:sz="0" w:space="0" w:color="auto"/>
                                                    <w:left w:val="none" w:sz="0" w:space="0" w:color="auto"/>
                                                    <w:bottom w:val="none" w:sz="0" w:space="0" w:color="auto"/>
                                                    <w:right w:val="none" w:sz="0" w:space="0" w:color="auto"/>
                                                  </w:divBdr>
                                                </w:div>
                                                <w:div w:id="825974823">
                                                  <w:marLeft w:val="0"/>
                                                  <w:marRight w:val="0"/>
                                                  <w:marTop w:val="0"/>
                                                  <w:marBottom w:val="0"/>
                                                  <w:divBdr>
                                                    <w:top w:val="none" w:sz="0" w:space="0" w:color="auto"/>
                                                    <w:left w:val="none" w:sz="0" w:space="0" w:color="auto"/>
                                                    <w:bottom w:val="none" w:sz="0" w:space="0" w:color="auto"/>
                                                    <w:right w:val="none" w:sz="0" w:space="0" w:color="auto"/>
                                                  </w:divBdr>
                                                </w:div>
                                              </w:divsChild>
                                            </w:div>
                                            <w:div w:id="566721466">
                                              <w:marLeft w:val="0"/>
                                              <w:marRight w:val="0"/>
                                              <w:marTop w:val="0"/>
                                              <w:marBottom w:val="0"/>
                                              <w:divBdr>
                                                <w:top w:val="none" w:sz="0" w:space="0" w:color="auto"/>
                                                <w:left w:val="none" w:sz="0" w:space="0" w:color="auto"/>
                                                <w:bottom w:val="none" w:sz="0" w:space="0" w:color="auto"/>
                                                <w:right w:val="none" w:sz="0" w:space="0" w:color="auto"/>
                                              </w:divBdr>
                                              <w:divsChild>
                                                <w:div w:id="1520122187">
                                                  <w:marLeft w:val="0"/>
                                                  <w:marRight w:val="0"/>
                                                  <w:marTop w:val="120"/>
                                                  <w:marBottom w:val="0"/>
                                                  <w:divBdr>
                                                    <w:top w:val="none" w:sz="0" w:space="0" w:color="auto"/>
                                                    <w:left w:val="none" w:sz="0" w:space="0" w:color="auto"/>
                                                    <w:bottom w:val="none" w:sz="0" w:space="0" w:color="auto"/>
                                                    <w:right w:val="none" w:sz="0" w:space="0" w:color="auto"/>
                                                  </w:divBdr>
                                                </w:div>
                                                <w:div w:id="313919189">
                                                  <w:marLeft w:val="0"/>
                                                  <w:marRight w:val="0"/>
                                                  <w:marTop w:val="0"/>
                                                  <w:marBottom w:val="0"/>
                                                  <w:divBdr>
                                                    <w:top w:val="none" w:sz="0" w:space="0" w:color="auto"/>
                                                    <w:left w:val="none" w:sz="0" w:space="0" w:color="auto"/>
                                                    <w:bottom w:val="none" w:sz="0" w:space="0" w:color="auto"/>
                                                    <w:right w:val="none" w:sz="0" w:space="0" w:color="auto"/>
                                                  </w:divBdr>
                                                </w:div>
                                              </w:divsChild>
                                            </w:div>
                                            <w:div w:id="1976252884">
                                              <w:marLeft w:val="0"/>
                                              <w:marRight w:val="0"/>
                                              <w:marTop w:val="0"/>
                                              <w:marBottom w:val="0"/>
                                              <w:divBdr>
                                                <w:top w:val="none" w:sz="0" w:space="0" w:color="auto"/>
                                                <w:left w:val="none" w:sz="0" w:space="0" w:color="auto"/>
                                                <w:bottom w:val="none" w:sz="0" w:space="0" w:color="auto"/>
                                                <w:right w:val="none" w:sz="0" w:space="0" w:color="auto"/>
                                              </w:divBdr>
                                              <w:divsChild>
                                                <w:div w:id="1073701334">
                                                  <w:marLeft w:val="0"/>
                                                  <w:marRight w:val="0"/>
                                                  <w:marTop w:val="120"/>
                                                  <w:marBottom w:val="0"/>
                                                  <w:divBdr>
                                                    <w:top w:val="none" w:sz="0" w:space="0" w:color="auto"/>
                                                    <w:left w:val="none" w:sz="0" w:space="0" w:color="auto"/>
                                                    <w:bottom w:val="none" w:sz="0" w:space="0" w:color="auto"/>
                                                    <w:right w:val="none" w:sz="0" w:space="0" w:color="auto"/>
                                                  </w:divBdr>
                                                </w:div>
                                                <w:div w:id="174614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02636">
                                      <w:marLeft w:val="0"/>
                                      <w:marRight w:val="0"/>
                                      <w:marTop w:val="0"/>
                                      <w:marBottom w:val="0"/>
                                      <w:divBdr>
                                        <w:top w:val="none" w:sz="0" w:space="0" w:color="auto"/>
                                        <w:left w:val="none" w:sz="0" w:space="0" w:color="auto"/>
                                        <w:bottom w:val="none" w:sz="0" w:space="0" w:color="auto"/>
                                        <w:right w:val="none" w:sz="0" w:space="0" w:color="auto"/>
                                      </w:divBdr>
                                      <w:divsChild>
                                        <w:div w:id="1528711276">
                                          <w:marLeft w:val="0"/>
                                          <w:marRight w:val="0"/>
                                          <w:marTop w:val="0"/>
                                          <w:marBottom w:val="0"/>
                                          <w:divBdr>
                                            <w:top w:val="none" w:sz="0" w:space="0" w:color="auto"/>
                                            <w:left w:val="none" w:sz="0" w:space="0" w:color="auto"/>
                                            <w:bottom w:val="none" w:sz="0" w:space="0" w:color="auto"/>
                                            <w:right w:val="none" w:sz="0" w:space="0" w:color="auto"/>
                                          </w:divBdr>
                                          <w:divsChild>
                                            <w:div w:id="1944846816">
                                              <w:marLeft w:val="0"/>
                                              <w:marRight w:val="0"/>
                                              <w:marTop w:val="0"/>
                                              <w:marBottom w:val="0"/>
                                              <w:divBdr>
                                                <w:top w:val="none" w:sz="0" w:space="0" w:color="auto"/>
                                                <w:left w:val="none" w:sz="0" w:space="0" w:color="auto"/>
                                                <w:bottom w:val="none" w:sz="0" w:space="0" w:color="auto"/>
                                                <w:right w:val="none" w:sz="0" w:space="0" w:color="auto"/>
                                              </w:divBdr>
                                              <w:divsChild>
                                                <w:div w:id="1031683813">
                                                  <w:marLeft w:val="0"/>
                                                  <w:marRight w:val="0"/>
                                                  <w:marTop w:val="120"/>
                                                  <w:marBottom w:val="0"/>
                                                  <w:divBdr>
                                                    <w:top w:val="none" w:sz="0" w:space="0" w:color="auto"/>
                                                    <w:left w:val="none" w:sz="0" w:space="0" w:color="auto"/>
                                                    <w:bottom w:val="none" w:sz="0" w:space="0" w:color="auto"/>
                                                    <w:right w:val="none" w:sz="0" w:space="0" w:color="auto"/>
                                                  </w:divBdr>
                                                </w:div>
                                                <w:div w:id="47342232">
                                                  <w:marLeft w:val="0"/>
                                                  <w:marRight w:val="0"/>
                                                  <w:marTop w:val="0"/>
                                                  <w:marBottom w:val="0"/>
                                                  <w:divBdr>
                                                    <w:top w:val="none" w:sz="0" w:space="0" w:color="auto"/>
                                                    <w:left w:val="none" w:sz="0" w:space="0" w:color="auto"/>
                                                    <w:bottom w:val="none" w:sz="0" w:space="0" w:color="auto"/>
                                                    <w:right w:val="none" w:sz="0" w:space="0" w:color="auto"/>
                                                  </w:divBdr>
                                                </w:div>
                                              </w:divsChild>
                                            </w:div>
                                            <w:div w:id="847790460">
                                              <w:marLeft w:val="0"/>
                                              <w:marRight w:val="0"/>
                                              <w:marTop w:val="0"/>
                                              <w:marBottom w:val="0"/>
                                              <w:divBdr>
                                                <w:top w:val="none" w:sz="0" w:space="0" w:color="auto"/>
                                                <w:left w:val="none" w:sz="0" w:space="0" w:color="auto"/>
                                                <w:bottom w:val="none" w:sz="0" w:space="0" w:color="auto"/>
                                                <w:right w:val="none" w:sz="0" w:space="0" w:color="auto"/>
                                              </w:divBdr>
                                              <w:divsChild>
                                                <w:div w:id="1778714987">
                                                  <w:marLeft w:val="0"/>
                                                  <w:marRight w:val="0"/>
                                                  <w:marTop w:val="120"/>
                                                  <w:marBottom w:val="0"/>
                                                  <w:divBdr>
                                                    <w:top w:val="none" w:sz="0" w:space="0" w:color="auto"/>
                                                    <w:left w:val="none" w:sz="0" w:space="0" w:color="auto"/>
                                                    <w:bottom w:val="none" w:sz="0" w:space="0" w:color="auto"/>
                                                    <w:right w:val="none" w:sz="0" w:space="0" w:color="auto"/>
                                                  </w:divBdr>
                                                </w:div>
                                                <w:div w:id="134894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42422">
                                      <w:marLeft w:val="0"/>
                                      <w:marRight w:val="0"/>
                                      <w:marTop w:val="0"/>
                                      <w:marBottom w:val="0"/>
                                      <w:divBdr>
                                        <w:top w:val="none" w:sz="0" w:space="0" w:color="auto"/>
                                        <w:left w:val="none" w:sz="0" w:space="0" w:color="auto"/>
                                        <w:bottom w:val="none" w:sz="0" w:space="0" w:color="auto"/>
                                        <w:right w:val="none" w:sz="0" w:space="0" w:color="auto"/>
                                      </w:divBdr>
                                      <w:divsChild>
                                        <w:div w:id="1324703572">
                                          <w:marLeft w:val="0"/>
                                          <w:marRight w:val="0"/>
                                          <w:marTop w:val="0"/>
                                          <w:marBottom w:val="0"/>
                                          <w:divBdr>
                                            <w:top w:val="none" w:sz="0" w:space="0" w:color="auto"/>
                                            <w:left w:val="none" w:sz="0" w:space="0" w:color="auto"/>
                                            <w:bottom w:val="none" w:sz="0" w:space="0" w:color="auto"/>
                                            <w:right w:val="none" w:sz="0" w:space="0" w:color="auto"/>
                                          </w:divBdr>
                                          <w:divsChild>
                                            <w:div w:id="1557551013">
                                              <w:marLeft w:val="0"/>
                                              <w:marRight w:val="0"/>
                                              <w:marTop w:val="0"/>
                                              <w:marBottom w:val="0"/>
                                              <w:divBdr>
                                                <w:top w:val="none" w:sz="0" w:space="0" w:color="auto"/>
                                                <w:left w:val="none" w:sz="0" w:space="0" w:color="auto"/>
                                                <w:bottom w:val="none" w:sz="0" w:space="0" w:color="auto"/>
                                                <w:right w:val="none" w:sz="0" w:space="0" w:color="auto"/>
                                              </w:divBdr>
                                              <w:divsChild>
                                                <w:div w:id="1362779657">
                                                  <w:marLeft w:val="0"/>
                                                  <w:marRight w:val="0"/>
                                                  <w:marTop w:val="120"/>
                                                  <w:marBottom w:val="0"/>
                                                  <w:divBdr>
                                                    <w:top w:val="none" w:sz="0" w:space="0" w:color="auto"/>
                                                    <w:left w:val="none" w:sz="0" w:space="0" w:color="auto"/>
                                                    <w:bottom w:val="none" w:sz="0" w:space="0" w:color="auto"/>
                                                    <w:right w:val="none" w:sz="0" w:space="0" w:color="auto"/>
                                                  </w:divBdr>
                                                </w:div>
                                                <w:div w:id="279579598">
                                                  <w:marLeft w:val="0"/>
                                                  <w:marRight w:val="0"/>
                                                  <w:marTop w:val="0"/>
                                                  <w:marBottom w:val="0"/>
                                                  <w:divBdr>
                                                    <w:top w:val="none" w:sz="0" w:space="0" w:color="auto"/>
                                                    <w:left w:val="none" w:sz="0" w:space="0" w:color="auto"/>
                                                    <w:bottom w:val="none" w:sz="0" w:space="0" w:color="auto"/>
                                                    <w:right w:val="none" w:sz="0" w:space="0" w:color="auto"/>
                                                  </w:divBdr>
                                                </w:div>
                                              </w:divsChild>
                                            </w:div>
                                            <w:div w:id="536162981">
                                              <w:marLeft w:val="0"/>
                                              <w:marRight w:val="0"/>
                                              <w:marTop w:val="0"/>
                                              <w:marBottom w:val="0"/>
                                              <w:divBdr>
                                                <w:top w:val="none" w:sz="0" w:space="0" w:color="auto"/>
                                                <w:left w:val="none" w:sz="0" w:space="0" w:color="auto"/>
                                                <w:bottom w:val="none" w:sz="0" w:space="0" w:color="auto"/>
                                                <w:right w:val="none" w:sz="0" w:space="0" w:color="auto"/>
                                              </w:divBdr>
                                              <w:divsChild>
                                                <w:div w:id="154535081">
                                                  <w:marLeft w:val="0"/>
                                                  <w:marRight w:val="0"/>
                                                  <w:marTop w:val="120"/>
                                                  <w:marBottom w:val="0"/>
                                                  <w:divBdr>
                                                    <w:top w:val="none" w:sz="0" w:space="0" w:color="auto"/>
                                                    <w:left w:val="none" w:sz="0" w:space="0" w:color="auto"/>
                                                    <w:bottom w:val="none" w:sz="0" w:space="0" w:color="auto"/>
                                                    <w:right w:val="none" w:sz="0" w:space="0" w:color="auto"/>
                                                  </w:divBdr>
                                                </w:div>
                                                <w:div w:id="1170604760">
                                                  <w:marLeft w:val="0"/>
                                                  <w:marRight w:val="0"/>
                                                  <w:marTop w:val="0"/>
                                                  <w:marBottom w:val="0"/>
                                                  <w:divBdr>
                                                    <w:top w:val="none" w:sz="0" w:space="0" w:color="auto"/>
                                                    <w:left w:val="none" w:sz="0" w:space="0" w:color="auto"/>
                                                    <w:bottom w:val="none" w:sz="0" w:space="0" w:color="auto"/>
                                                    <w:right w:val="none" w:sz="0" w:space="0" w:color="auto"/>
                                                  </w:divBdr>
                                                </w:div>
                                              </w:divsChild>
                                            </w:div>
                                            <w:div w:id="1483159648">
                                              <w:marLeft w:val="0"/>
                                              <w:marRight w:val="0"/>
                                              <w:marTop w:val="0"/>
                                              <w:marBottom w:val="0"/>
                                              <w:divBdr>
                                                <w:top w:val="none" w:sz="0" w:space="0" w:color="auto"/>
                                                <w:left w:val="none" w:sz="0" w:space="0" w:color="auto"/>
                                                <w:bottom w:val="none" w:sz="0" w:space="0" w:color="auto"/>
                                                <w:right w:val="none" w:sz="0" w:space="0" w:color="auto"/>
                                              </w:divBdr>
                                              <w:divsChild>
                                                <w:div w:id="2012246746">
                                                  <w:marLeft w:val="0"/>
                                                  <w:marRight w:val="0"/>
                                                  <w:marTop w:val="120"/>
                                                  <w:marBottom w:val="0"/>
                                                  <w:divBdr>
                                                    <w:top w:val="none" w:sz="0" w:space="0" w:color="auto"/>
                                                    <w:left w:val="none" w:sz="0" w:space="0" w:color="auto"/>
                                                    <w:bottom w:val="none" w:sz="0" w:space="0" w:color="auto"/>
                                                    <w:right w:val="none" w:sz="0" w:space="0" w:color="auto"/>
                                                  </w:divBdr>
                                                </w:div>
                                                <w:div w:id="468983112">
                                                  <w:marLeft w:val="0"/>
                                                  <w:marRight w:val="0"/>
                                                  <w:marTop w:val="0"/>
                                                  <w:marBottom w:val="0"/>
                                                  <w:divBdr>
                                                    <w:top w:val="none" w:sz="0" w:space="0" w:color="auto"/>
                                                    <w:left w:val="none" w:sz="0" w:space="0" w:color="auto"/>
                                                    <w:bottom w:val="none" w:sz="0" w:space="0" w:color="auto"/>
                                                    <w:right w:val="none" w:sz="0" w:space="0" w:color="auto"/>
                                                  </w:divBdr>
                                                  <w:divsChild>
                                                    <w:div w:id="994335477">
                                                      <w:marLeft w:val="0"/>
                                                      <w:marRight w:val="0"/>
                                                      <w:marTop w:val="0"/>
                                                      <w:marBottom w:val="0"/>
                                                      <w:divBdr>
                                                        <w:top w:val="none" w:sz="0" w:space="0" w:color="auto"/>
                                                        <w:left w:val="none" w:sz="0" w:space="0" w:color="auto"/>
                                                        <w:bottom w:val="none" w:sz="0" w:space="0" w:color="auto"/>
                                                        <w:right w:val="none" w:sz="0" w:space="0" w:color="auto"/>
                                                      </w:divBdr>
                                                      <w:divsChild>
                                                        <w:div w:id="933707788">
                                                          <w:marLeft w:val="0"/>
                                                          <w:marRight w:val="0"/>
                                                          <w:marTop w:val="120"/>
                                                          <w:marBottom w:val="0"/>
                                                          <w:divBdr>
                                                            <w:top w:val="none" w:sz="0" w:space="0" w:color="auto"/>
                                                            <w:left w:val="none" w:sz="0" w:space="0" w:color="auto"/>
                                                            <w:bottom w:val="none" w:sz="0" w:space="0" w:color="auto"/>
                                                            <w:right w:val="none" w:sz="0" w:space="0" w:color="auto"/>
                                                          </w:divBdr>
                                                        </w:div>
                                                        <w:div w:id="845629023">
                                                          <w:marLeft w:val="0"/>
                                                          <w:marRight w:val="0"/>
                                                          <w:marTop w:val="0"/>
                                                          <w:marBottom w:val="0"/>
                                                          <w:divBdr>
                                                            <w:top w:val="none" w:sz="0" w:space="0" w:color="auto"/>
                                                            <w:left w:val="none" w:sz="0" w:space="0" w:color="auto"/>
                                                            <w:bottom w:val="none" w:sz="0" w:space="0" w:color="auto"/>
                                                            <w:right w:val="none" w:sz="0" w:space="0" w:color="auto"/>
                                                          </w:divBdr>
                                                        </w:div>
                                                      </w:divsChild>
                                                    </w:div>
                                                    <w:div w:id="1589539085">
                                                      <w:marLeft w:val="0"/>
                                                      <w:marRight w:val="0"/>
                                                      <w:marTop w:val="0"/>
                                                      <w:marBottom w:val="0"/>
                                                      <w:divBdr>
                                                        <w:top w:val="none" w:sz="0" w:space="0" w:color="auto"/>
                                                        <w:left w:val="none" w:sz="0" w:space="0" w:color="auto"/>
                                                        <w:bottom w:val="none" w:sz="0" w:space="0" w:color="auto"/>
                                                        <w:right w:val="none" w:sz="0" w:space="0" w:color="auto"/>
                                                      </w:divBdr>
                                                      <w:divsChild>
                                                        <w:div w:id="397940530">
                                                          <w:marLeft w:val="0"/>
                                                          <w:marRight w:val="0"/>
                                                          <w:marTop w:val="120"/>
                                                          <w:marBottom w:val="0"/>
                                                          <w:divBdr>
                                                            <w:top w:val="none" w:sz="0" w:space="0" w:color="auto"/>
                                                            <w:left w:val="none" w:sz="0" w:space="0" w:color="auto"/>
                                                            <w:bottom w:val="none" w:sz="0" w:space="0" w:color="auto"/>
                                                            <w:right w:val="none" w:sz="0" w:space="0" w:color="auto"/>
                                                          </w:divBdr>
                                                        </w:div>
                                                        <w:div w:id="174634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275200">
                                      <w:marLeft w:val="0"/>
                                      <w:marRight w:val="0"/>
                                      <w:marTop w:val="0"/>
                                      <w:marBottom w:val="0"/>
                                      <w:divBdr>
                                        <w:top w:val="none" w:sz="0" w:space="0" w:color="auto"/>
                                        <w:left w:val="none" w:sz="0" w:space="0" w:color="auto"/>
                                        <w:bottom w:val="none" w:sz="0" w:space="0" w:color="auto"/>
                                        <w:right w:val="none" w:sz="0" w:space="0" w:color="auto"/>
                                      </w:divBdr>
                                      <w:divsChild>
                                        <w:div w:id="525799460">
                                          <w:marLeft w:val="0"/>
                                          <w:marRight w:val="0"/>
                                          <w:marTop w:val="0"/>
                                          <w:marBottom w:val="0"/>
                                          <w:divBdr>
                                            <w:top w:val="none" w:sz="0" w:space="0" w:color="auto"/>
                                            <w:left w:val="none" w:sz="0" w:space="0" w:color="auto"/>
                                            <w:bottom w:val="none" w:sz="0" w:space="0" w:color="auto"/>
                                            <w:right w:val="none" w:sz="0" w:space="0" w:color="auto"/>
                                          </w:divBdr>
                                          <w:divsChild>
                                            <w:div w:id="1202397619">
                                              <w:marLeft w:val="0"/>
                                              <w:marRight w:val="0"/>
                                              <w:marTop w:val="120"/>
                                              <w:marBottom w:val="0"/>
                                              <w:divBdr>
                                                <w:top w:val="none" w:sz="0" w:space="0" w:color="auto"/>
                                                <w:left w:val="none" w:sz="0" w:space="0" w:color="auto"/>
                                                <w:bottom w:val="none" w:sz="0" w:space="0" w:color="auto"/>
                                                <w:right w:val="none" w:sz="0" w:space="0" w:color="auto"/>
                                              </w:divBdr>
                                            </w:div>
                                            <w:div w:id="162457993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85342911">
                                      <w:marLeft w:val="0"/>
                                      <w:marRight w:val="0"/>
                                      <w:marTop w:val="0"/>
                                      <w:marBottom w:val="0"/>
                                      <w:divBdr>
                                        <w:top w:val="none" w:sz="0" w:space="0" w:color="auto"/>
                                        <w:left w:val="none" w:sz="0" w:space="0" w:color="auto"/>
                                        <w:bottom w:val="none" w:sz="0" w:space="0" w:color="auto"/>
                                        <w:right w:val="none" w:sz="0" w:space="0" w:color="auto"/>
                                      </w:divBdr>
                                      <w:divsChild>
                                        <w:div w:id="2139298696">
                                          <w:marLeft w:val="0"/>
                                          <w:marRight w:val="0"/>
                                          <w:marTop w:val="120"/>
                                          <w:marBottom w:val="0"/>
                                          <w:divBdr>
                                            <w:top w:val="none" w:sz="0" w:space="0" w:color="auto"/>
                                            <w:left w:val="none" w:sz="0" w:space="0" w:color="auto"/>
                                            <w:bottom w:val="none" w:sz="0" w:space="0" w:color="auto"/>
                                            <w:right w:val="none" w:sz="0" w:space="0" w:color="auto"/>
                                          </w:divBdr>
                                        </w:div>
                                        <w:div w:id="1233157671">
                                          <w:marLeft w:val="0"/>
                                          <w:marRight w:val="0"/>
                                          <w:marTop w:val="0"/>
                                          <w:marBottom w:val="0"/>
                                          <w:divBdr>
                                            <w:top w:val="none" w:sz="0" w:space="0" w:color="auto"/>
                                            <w:left w:val="none" w:sz="0" w:space="0" w:color="auto"/>
                                            <w:bottom w:val="none" w:sz="0" w:space="0" w:color="auto"/>
                                            <w:right w:val="none" w:sz="0" w:space="0" w:color="auto"/>
                                          </w:divBdr>
                                        </w:div>
                                      </w:divsChild>
                                    </w:div>
                                    <w:div w:id="611977084">
                                      <w:marLeft w:val="0"/>
                                      <w:marRight w:val="0"/>
                                      <w:marTop w:val="0"/>
                                      <w:marBottom w:val="0"/>
                                      <w:divBdr>
                                        <w:top w:val="none" w:sz="0" w:space="0" w:color="auto"/>
                                        <w:left w:val="none" w:sz="0" w:space="0" w:color="auto"/>
                                        <w:bottom w:val="none" w:sz="0" w:space="0" w:color="auto"/>
                                        <w:right w:val="none" w:sz="0" w:space="0" w:color="auto"/>
                                      </w:divBdr>
                                      <w:divsChild>
                                        <w:div w:id="741562162">
                                          <w:marLeft w:val="0"/>
                                          <w:marRight w:val="0"/>
                                          <w:marTop w:val="120"/>
                                          <w:marBottom w:val="0"/>
                                          <w:divBdr>
                                            <w:top w:val="none" w:sz="0" w:space="0" w:color="auto"/>
                                            <w:left w:val="none" w:sz="0" w:space="0" w:color="auto"/>
                                            <w:bottom w:val="none" w:sz="0" w:space="0" w:color="auto"/>
                                            <w:right w:val="none" w:sz="0" w:space="0" w:color="auto"/>
                                          </w:divBdr>
                                        </w:div>
                                        <w:div w:id="1030842680">
                                          <w:marLeft w:val="0"/>
                                          <w:marRight w:val="0"/>
                                          <w:marTop w:val="0"/>
                                          <w:marBottom w:val="0"/>
                                          <w:divBdr>
                                            <w:top w:val="none" w:sz="0" w:space="0" w:color="auto"/>
                                            <w:left w:val="none" w:sz="0" w:space="0" w:color="auto"/>
                                            <w:bottom w:val="none" w:sz="0" w:space="0" w:color="auto"/>
                                            <w:right w:val="none" w:sz="0" w:space="0" w:color="auto"/>
                                          </w:divBdr>
                                        </w:div>
                                      </w:divsChild>
                                    </w:div>
                                    <w:div w:id="315039960">
                                      <w:marLeft w:val="0"/>
                                      <w:marRight w:val="0"/>
                                      <w:marTop w:val="0"/>
                                      <w:marBottom w:val="0"/>
                                      <w:divBdr>
                                        <w:top w:val="none" w:sz="0" w:space="0" w:color="auto"/>
                                        <w:left w:val="none" w:sz="0" w:space="0" w:color="auto"/>
                                        <w:bottom w:val="none" w:sz="0" w:space="0" w:color="auto"/>
                                        <w:right w:val="none" w:sz="0" w:space="0" w:color="auto"/>
                                      </w:divBdr>
                                      <w:divsChild>
                                        <w:div w:id="1367485477">
                                          <w:marLeft w:val="0"/>
                                          <w:marRight w:val="0"/>
                                          <w:marTop w:val="0"/>
                                          <w:marBottom w:val="0"/>
                                          <w:divBdr>
                                            <w:top w:val="none" w:sz="0" w:space="0" w:color="auto"/>
                                            <w:left w:val="none" w:sz="0" w:space="0" w:color="auto"/>
                                            <w:bottom w:val="none" w:sz="0" w:space="0" w:color="auto"/>
                                            <w:right w:val="none" w:sz="0" w:space="0" w:color="auto"/>
                                          </w:divBdr>
                                          <w:divsChild>
                                            <w:div w:id="800272213">
                                              <w:marLeft w:val="0"/>
                                              <w:marRight w:val="0"/>
                                              <w:marTop w:val="0"/>
                                              <w:marBottom w:val="0"/>
                                              <w:divBdr>
                                                <w:top w:val="none" w:sz="0" w:space="0" w:color="auto"/>
                                                <w:left w:val="none" w:sz="0" w:space="0" w:color="auto"/>
                                                <w:bottom w:val="none" w:sz="0" w:space="0" w:color="auto"/>
                                                <w:right w:val="none" w:sz="0" w:space="0" w:color="auto"/>
                                              </w:divBdr>
                                              <w:divsChild>
                                                <w:div w:id="1002397014">
                                                  <w:marLeft w:val="0"/>
                                                  <w:marRight w:val="0"/>
                                                  <w:marTop w:val="120"/>
                                                  <w:marBottom w:val="0"/>
                                                  <w:divBdr>
                                                    <w:top w:val="none" w:sz="0" w:space="0" w:color="auto"/>
                                                    <w:left w:val="none" w:sz="0" w:space="0" w:color="auto"/>
                                                    <w:bottom w:val="none" w:sz="0" w:space="0" w:color="auto"/>
                                                    <w:right w:val="none" w:sz="0" w:space="0" w:color="auto"/>
                                                  </w:divBdr>
                                                </w:div>
                                                <w:div w:id="1123773215">
                                                  <w:marLeft w:val="0"/>
                                                  <w:marRight w:val="0"/>
                                                  <w:marTop w:val="0"/>
                                                  <w:marBottom w:val="0"/>
                                                  <w:divBdr>
                                                    <w:top w:val="none" w:sz="0" w:space="0" w:color="auto"/>
                                                    <w:left w:val="none" w:sz="0" w:space="0" w:color="auto"/>
                                                    <w:bottom w:val="none" w:sz="0" w:space="0" w:color="auto"/>
                                                    <w:right w:val="none" w:sz="0" w:space="0" w:color="auto"/>
                                                  </w:divBdr>
                                                </w:div>
                                              </w:divsChild>
                                            </w:div>
                                            <w:div w:id="110780901">
                                              <w:marLeft w:val="0"/>
                                              <w:marRight w:val="0"/>
                                              <w:marTop w:val="0"/>
                                              <w:marBottom w:val="0"/>
                                              <w:divBdr>
                                                <w:top w:val="none" w:sz="0" w:space="0" w:color="auto"/>
                                                <w:left w:val="none" w:sz="0" w:space="0" w:color="auto"/>
                                                <w:bottom w:val="none" w:sz="0" w:space="0" w:color="auto"/>
                                                <w:right w:val="none" w:sz="0" w:space="0" w:color="auto"/>
                                              </w:divBdr>
                                              <w:divsChild>
                                                <w:div w:id="1541090490">
                                                  <w:marLeft w:val="0"/>
                                                  <w:marRight w:val="0"/>
                                                  <w:marTop w:val="120"/>
                                                  <w:marBottom w:val="0"/>
                                                  <w:divBdr>
                                                    <w:top w:val="none" w:sz="0" w:space="0" w:color="auto"/>
                                                    <w:left w:val="none" w:sz="0" w:space="0" w:color="auto"/>
                                                    <w:bottom w:val="none" w:sz="0" w:space="0" w:color="auto"/>
                                                    <w:right w:val="none" w:sz="0" w:space="0" w:color="auto"/>
                                                  </w:divBdr>
                                                </w:div>
                                                <w:div w:id="2082680972">
                                                  <w:marLeft w:val="0"/>
                                                  <w:marRight w:val="0"/>
                                                  <w:marTop w:val="0"/>
                                                  <w:marBottom w:val="0"/>
                                                  <w:divBdr>
                                                    <w:top w:val="none" w:sz="0" w:space="0" w:color="auto"/>
                                                    <w:left w:val="none" w:sz="0" w:space="0" w:color="auto"/>
                                                    <w:bottom w:val="none" w:sz="0" w:space="0" w:color="auto"/>
                                                    <w:right w:val="none" w:sz="0" w:space="0" w:color="auto"/>
                                                  </w:divBdr>
                                                </w:div>
                                              </w:divsChild>
                                            </w:div>
                                            <w:div w:id="1949656887">
                                              <w:marLeft w:val="0"/>
                                              <w:marRight w:val="0"/>
                                              <w:marTop w:val="0"/>
                                              <w:marBottom w:val="0"/>
                                              <w:divBdr>
                                                <w:top w:val="none" w:sz="0" w:space="0" w:color="auto"/>
                                                <w:left w:val="none" w:sz="0" w:space="0" w:color="auto"/>
                                                <w:bottom w:val="none" w:sz="0" w:space="0" w:color="auto"/>
                                                <w:right w:val="none" w:sz="0" w:space="0" w:color="auto"/>
                                              </w:divBdr>
                                              <w:divsChild>
                                                <w:div w:id="943727563">
                                                  <w:marLeft w:val="0"/>
                                                  <w:marRight w:val="0"/>
                                                  <w:marTop w:val="120"/>
                                                  <w:marBottom w:val="0"/>
                                                  <w:divBdr>
                                                    <w:top w:val="none" w:sz="0" w:space="0" w:color="auto"/>
                                                    <w:left w:val="none" w:sz="0" w:space="0" w:color="auto"/>
                                                    <w:bottom w:val="none" w:sz="0" w:space="0" w:color="auto"/>
                                                    <w:right w:val="none" w:sz="0" w:space="0" w:color="auto"/>
                                                  </w:divBdr>
                                                </w:div>
                                                <w:div w:id="67765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9809">
                                      <w:marLeft w:val="0"/>
                                      <w:marRight w:val="0"/>
                                      <w:marTop w:val="0"/>
                                      <w:marBottom w:val="0"/>
                                      <w:divBdr>
                                        <w:top w:val="none" w:sz="0" w:space="0" w:color="auto"/>
                                        <w:left w:val="none" w:sz="0" w:space="0" w:color="auto"/>
                                        <w:bottom w:val="none" w:sz="0" w:space="0" w:color="auto"/>
                                        <w:right w:val="none" w:sz="0" w:space="0" w:color="auto"/>
                                      </w:divBdr>
                                      <w:divsChild>
                                        <w:div w:id="218909091">
                                          <w:marLeft w:val="0"/>
                                          <w:marRight w:val="0"/>
                                          <w:marTop w:val="0"/>
                                          <w:marBottom w:val="0"/>
                                          <w:divBdr>
                                            <w:top w:val="none" w:sz="0" w:space="0" w:color="auto"/>
                                            <w:left w:val="none" w:sz="0" w:space="0" w:color="auto"/>
                                            <w:bottom w:val="none" w:sz="0" w:space="0" w:color="auto"/>
                                            <w:right w:val="none" w:sz="0" w:space="0" w:color="auto"/>
                                          </w:divBdr>
                                        </w:div>
                                      </w:divsChild>
                                    </w:div>
                                    <w:div w:id="2016493128">
                                      <w:marLeft w:val="0"/>
                                      <w:marRight w:val="0"/>
                                      <w:marTop w:val="0"/>
                                      <w:marBottom w:val="0"/>
                                      <w:divBdr>
                                        <w:top w:val="none" w:sz="0" w:space="0" w:color="auto"/>
                                        <w:left w:val="none" w:sz="0" w:space="0" w:color="auto"/>
                                        <w:bottom w:val="none" w:sz="0" w:space="0" w:color="auto"/>
                                        <w:right w:val="none" w:sz="0" w:space="0" w:color="auto"/>
                                      </w:divBdr>
                                      <w:divsChild>
                                        <w:div w:id="578908411">
                                          <w:marLeft w:val="0"/>
                                          <w:marRight w:val="0"/>
                                          <w:marTop w:val="0"/>
                                          <w:marBottom w:val="0"/>
                                          <w:divBdr>
                                            <w:top w:val="none" w:sz="0" w:space="0" w:color="auto"/>
                                            <w:left w:val="none" w:sz="0" w:space="0" w:color="auto"/>
                                            <w:bottom w:val="none" w:sz="0" w:space="0" w:color="auto"/>
                                            <w:right w:val="none" w:sz="0" w:space="0" w:color="auto"/>
                                          </w:divBdr>
                                          <w:divsChild>
                                            <w:div w:id="1750888033">
                                              <w:marLeft w:val="0"/>
                                              <w:marRight w:val="0"/>
                                              <w:marTop w:val="0"/>
                                              <w:marBottom w:val="0"/>
                                              <w:divBdr>
                                                <w:top w:val="none" w:sz="0" w:space="0" w:color="auto"/>
                                                <w:left w:val="none" w:sz="0" w:space="0" w:color="auto"/>
                                                <w:bottom w:val="none" w:sz="0" w:space="0" w:color="auto"/>
                                                <w:right w:val="none" w:sz="0" w:space="0" w:color="auto"/>
                                              </w:divBdr>
                                              <w:divsChild>
                                                <w:div w:id="586427622">
                                                  <w:marLeft w:val="0"/>
                                                  <w:marRight w:val="0"/>
                                                  <w:marTop w:val="120"/>
                                                  <w:marBottom w:val="0"/>
                                                  <w:divBdr>
                                                    <w:top w:val="none" w:sz="0" w:space="0" w:color="auto"/>
                                                    <w:left w:val="none" w:sz="0" w:space="0" w:color="auto"/>
                                                    <w:bottom w:val="none" w:sz="0" w:space="0" w:color="auto"/>
                                                    <w:right w:val="none" w:sz="0" w:space="0" w:color="auto"/>
                                                  </w:divBdr>
                                                </w:div>
                                                <w:div w:id="41561944">
                                                  <w:marLeft w:val="0"/>
                                                  <w:marRight w:val="0"/>
                                                  <w:marTop w:val="0"/>
                                                  <w:marBottom w:val="0"/>
                                                  <w:divBdr>
                                                    <w:top w:val="none" w:sz="0" w:space="0" w:color="auto"/>
                                                    <w:left w:val="none" w:sz="0" w:space="0" w:color="auto"/>
                                                    <w:bottom w:val="none" w:sz="0" w:space="0" w:color="auto"/>
                                                    <w:right w:val="none" w:sz="0" w:space="0" w:color="auto"/>
                                                  </w:divBdr>
                                                </w:div>
                                              </w:divsChild>
                                            </w:div>
                                            <w:div w:id="1131169638">
                                              <w:marLeft w:val="0"/>
                                              <w:marRight w:val="0"/>
                                              <w:marTop w:val="0"/>
                                              <w:marBottom w:val="0"/>
                                              <w:divBdr>
                                                <w:top w:val="none" w:sz="0" w:space="0" w:color="auto"/>
                                                <w:left w:val="none" w:sz="0" w:space="0" w:color="auto"/>
                                                <w:bottom w:val="none" w:sz="0" w:space="0" w:color="auto"/>
                                                <w:right w:val="none" w:sz="0" w:space="0" w:color="auto"/>
                                              </w:divBdr>
                                              <w:divsChild>
                                                <w:div w:id="459035390">
                                                  <w:marLeft w:val="0"/>
                                                  <w:marRight w:val="0"/>
                                                  <w:marTop w:val="120"/>
                                                  <w:marBottom w:val="0"/>
                                                  <w:divBdr>
                                                    <w:top w:val="none" w:sz="0" w:space="0" w:color="auto"/>
                                                    <w:left w:val="none" w:sz="0" w:space="0" w:color="auto"/>
                                                    <w:bottom w:val="none" w:sz="0" w:space="0" w:color="auto"/>
                                                    <w:right w:val="none" w:sz="0" w:space="0" w:color="auto"/>
                                                  </w:divBdr>
                                                </w:div>
                                                <w:div w:id="228924790">
                                                  <w:marLeft w:val="0"/>
                                                  <w:marRight w:val="0"/>
                                                  <w:marTop w:val="0"/>
                                                  <w:marBottom w:val="0"/>
                                                  <w:divBdr>
                                                    <w:top w:val="none" w:sz="0" w:space="0" w:color="auto"/>
                                                    <w:left w:val="none" w:sz="0" w:space="0" w:color="auto"/>
                                                    <w:bottom w:val="none" w:sz="0" w:space="0" w:color="auto"/>
                                                    <w:right w:val="none" w:sz="0" w:space="0" w:color="auto"/>
                                                  </w:divBdr>
                                                  <w:divsChild>
                                                    <w:div w:id="2062974054">
                                                      <w:marLeft w:val="0"/>
                                                      <w:marRight w:val="0"/>
                                                      <w:marTop w:val="120"/>
                                                      <w:marBottom w:val="0"/>
                                                      <w:divBdr>
                                                        <w:top w:val="none" w:sz="0" w:space="0" w:color="auto"/>
                                                        <w:left w:val="none" w:sz="0" w:space="0" w:color="auto"/>
                                                        <w:bottom w:val="none" w:sz="0" w:space="0" w:color="auto"/>
                                                        <w:right w:val="none" w:sz="0" w:space="0" w:color="auto"/>
                                                      </w:divBdr>
                                                    </w:div>
                                                    <w:div w:id="2123959308">
                                                      <w:marLeft w:val="0"/>
                                                      <w:marRight w:val="0"/>
                                                      <w:marTop w:val="120"/>
                                                      <w:marBottom w:val="0"/>
                                                      <w:divBdr>
                                                        <w:top w:val="none" w:sz="0" w:space="0" w:color="auto"/>
                                                        <w:left w:val="none" w:sz="0" w:space="0" w:color="auto"/>
                                                        <w:bottom w:val="none" w:sz="0" w:space="0" w:color="auto"/>
                                                        <w:right w:val="none" w:sz="0" w:space="0" w:color="auto"/>
                                                      </w:divBdr>
                                                    </w:div>
                                                    <w:div w:id="9105041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52920318">
                                      <w:marLeft w:val="0"/>
                                      <w:marRight w:val="0"/>
                                      <w:marTop w:val="0"/>
                                      <w:marBottom w:val="0"/>
                                      <w:divBdr>
                                        <w:top w:val="none" w:sz="0" w:space="0" w:color="auto"/>
                                        <w:left w:val="none" w:sz="0" w:space="0" w:color="auto"/>
                                        <w:bottom w:val="none" w:sz="0" w:space="0" w:color="auto"/>
                                        <w:right w:val="none" w:sz="0" w:space="0" w:color="auto"/>
                                      </w:divBdr>
                                      <w:divsChild>
                                        <w:div w:id="1707484216">
                                          <w:marLeft w:val="0"/>
                                          <w:marRight w:val="0"/>
                                          <w:marTop w:val="0"/>
                                          <w:marBottom w:val="0"/>
                                          <w:divBdr>
                                            <w:top w:val="none" w:sz="0" w:space="0" w:color="auto"/>
                                            <w:left w:val="none" w:sz="0" w:space="0" w:color="auto"/>
                                            <w:bottom w:val="none" w:sz="0" w:space="0" w:color="auto"/>
                                            <w:right w:val="none" w:sz="0" w:space="0" w:color="auto"/>
                                          </w:divBdr>
                                        </w:div>
                                      </w:divsChild>
                                    </w:div>
                                    <w:div w:id="1478106063">
                                      <w:marLeft w:val="0"/>
                                      <w:marRight w:val="0"/>
                                      <w:marTop w:val="0"/>
                                      <w:marBottom w:val="0"/>
                                      <w:divBdr>
                                        <w:top w:val="none" w:sz="0" w:space="0" w:color="auto"/>
                                        <w:left w:val="none" w:sz="0" w:space="0" w:color="auto"/>
                                        <w:bottom w:val="none" w:sz="0" w:space="0" w:color="auto"/>
                                        <w:right w:val="none" w:sz="0" w:space="0" w:color="auto"/>
                                      </w:divBdr>
                                      <w:divsChild>
                                        <w:div w:id="585531157">
                                          <w:marLeft w:val="0"/>
                                          <w:marRight w:val="0"/>
                                          <w:marTop w:val="120"/>
                                          <w:marBottom w:val="0"/>
                                          <w:divBdr>
                                            <w:top w:val="none" w:sz="0" w:space="0" w:color="auto"/>
                                            <w:left w:val="none" w:sz="0" w:space="0" w:color="auto"/>
                                            <w:bottom w:val="none" w:sz="0" w:space="0" w:color="auto"/>
                                            <w:right w:val="none" w:sz="0" w:space="0" w:color="auto"/>
                                          </w:divBdr>
                                        </w:div>
                                        <w:div w:id="257829967">
                                          <w:marLeft w:val="0"/>
                                          <w:marRight w:val="0"/>
                                          <w:marTop w:val="0"/>
                                          <w:marBottom w:val="0"/>
                                          <w:divBdr>
                                            <w:top w:val="none" w:sz="0" w:space="0" w:color="auto"/>
                                            <w:left w:val="none" w:sz="0" w:space="0" w:color="auto"/>
                                            <w:bottom w:val="none" w:sz="0" w:space="0" w:color="auto"/>
                                            <w:right w:val="none" w:sz="0" w:space="0" w:color="auto"/>
                                          </w:divBdr>
                                          <w:divsChild>
                                            <w:div w:id="1788624132">
                                              <w:marLeft w:val="0"/>
                                              <w:marRight w:val="0"/>
                                              <w:marTop w:val="0"/>
                                              <w:marBottom w:val="0"/>
                                              <w:divBdr>
                                                <w:top w:val="none" w:sz="0" w:space="0" w:color="auto"/>
                                                <w:left w:val="none" w:sz="0" w:space="0" w:color="auto"/>
                                                <w:bottom w:val="none" w:sz="0" w:space="0" w:color="auto"/>
                                                <w:right w:val="none" w:sz="0" w:space="0" w:color="auto"/>
                                              </w:divBdr>
                                              <w:divsChild>
                                                <w:div w:id="1768698686">
                                                  <w:marLeft w:val="0"/>
                                                  <w:marRight w:val="0"/>
                                                  <w:marTop w:val="120"/>
                                                  <w:marBottom w:val="0"/>
                                                  <w:divBdr>
                                                    <w:top w:val="none" w:sz="0" w:space="0" w:color="auto"/>
                                                    <w:left w:val="none" w:sz="0" w:space="0" w:color="auto"/>
                                                    <w:bottom w:val="none" w:sz="0" w:space="0" w:color="auto"/>
                                                    <w:right w:val="none" w:sz="0" w:space="0" w:color="auto"/>
                                                  </w:divBdr>
                                                </w:div>
                                                <w:div w:id="1720208732">
                                                  <w:marLeft w:val="0"/>
                                                  <w:marRight w:val="0"/>
                                                  <w:marTop w:val="0"/>
                                                  <w:marBottom w:val="0"/>
                                                  <w:divBdr>
                                                    <w:top w:val="none" w:sz="0" w:space="0" w:color="auto"/>
                                                    <w:left w:val="none" w:sz="0" w:space="0" w:color="auto"/>
                                                    <w:bottom w:val="none" w:sz="0" w:space="0" w:color="auto"/>
                                                    <w:right w:val="none" w:sz="0" w:space="0" w:color="auto"/>
                                                  </w:divBdr>
                                                </w:div>
                                              </w:divsChild>
                                            </w:div>
                                            <w:div w:id="1662999355">
                                              <w:marLeft w:val="0"/>
                                              <w:marRight w:val="0"/>
                                              <w:marTop w:val="0"/>
                                              <w:marBottom w:val="0"/>
                                              <w:divBdr>
                                                <w:top w:val="none" w:sz="0" w:space="0" w:color="auto"/>
                                                <w:left w:val="none" w:sz="0" w:space="0" w:color="auto"/>
                                                <w:bottom w:val="none" w:sz="0" w:space="0" w:color="auto"/>
                                                <w:right w:val="none" w:sz="0" w:space="0" w:color="auto"/>
                                              </w:divBdr>
                                              <w:divsChild>
                                                <w:div w:id="1322856006">
                                                  <w:marLeft w:val="0"/>
                                                  <w:marRight w:val="0"/>
                                                  <w:marTop w:val="120"/>
                                                  <w:marBottom w:val="0"/>
                                                  <w:divBdr>
                                                    <w:top w:val="none" w:sz="0" w:space="0" w:color="auto"/>
                                                    <w:left w:val="none" w:sz="0" w:space="0" w:color="auto"/>
                                                    <w:bottom w:val="none" w:sz="0" w:space="0" w:color="auto"/>
                                                    <w:right w:val="none" w:sz="0" w:space="0" w:color="auto"/>
                                                  </w:divBdr>
                                                </w:div>
                                                <w:div w:id="14036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7461">
                                      <w:marLeft w:val="0"/>
                                      <w:marRight w:val="0"/>
                                      <w:marTop w:val="0"/>
                                      <w:marBottom w:val="0"/>
                                      <w:divBdr>
                                        <w:top w:val="none" w:sz="0" w:space="0" w:color="auto"/>
                                        <w:left w:val="none" w:sz="0" w:space="0" w:color="auto"/>
                                        <w:bottom w:val="none" w:sz="0" w:space="0" w:color="auto"/>
                                        <w:right w:val="none" w:sz="0" w:space="0" w:color="auto"/>
                                      </w:divBdr>
                                      <w:divsChild>
                                        <w:div w:id="1618758340">
                                          <w:marLeft w:val="0"/>
                                          <w:marRight w:val="0"/>
                                          <w:marTop w:val="120"/>
                                          <w:marBottom w:val="0"/>
                                          <w:divBdr>
                                            <w:top w:val="none" w:sz="0" w:space="0" w:color="auto"/>
                                            <w:left w:val="none" w:sz="0" w:space="0" w:color="auto"/>
                                            <w:bottom w:val="none" w:sz="0" w:space="0" w:color="auto"/>
                                            <w:right w:val="none" w:sz="0" w:space="0" w:color="auto"/>
                                          </w:divBdr>
                                        </w:div>
                                        <w:div w:id="1618877946">
                                          <w:marLeft w:val="0"/>
                                          <w:marRight w:val="0"/>
                                          <w:marTop w:val="0"/>
                                          <w:marBottom w:val="0"/>
                                          <w:divBdr>
                                            <w:top w:val="none" w:sz="0" w:space="0" w:color="auto"/>
                                            <w:left w:val="none" w:sz="0" w:space="0" w:color="auto"/>
                                            <w:bottom w:val="none" w:sz="0" w:space="0" w:color="auto"/>
                                            <w:right w:val="none" w:sz="0" w:space="0" w:color="auto"/>
                                          </w:divBdr>
                                        </w:div>
                                      </w:divsChild>
                                    </w:div>
                                    <w:div w:id="526135845">
                                      <w:marLeft w:val="0"/>
                                      <w:marRight w:val="0"/>
                                      <w:marTop w:val="0"/>
                                      <w:marBottom w:val="0"/>
                                      <w:divBdr>
                                        <w:top w:val="none" w:sz="0" w:space="0" w:color="auto"/>
                                        <w:left w:val="none" w:sz="0" w:space="0" w:color="auto"/>
                                        <w:bottom w:val="none" w:sz="0" w:space="0" w:color="auto"/>
                                        <w:right w:val="none" w:sz="0" w:space="0" w:color="auto"/>
                                      </w:divBdr>
                                      <w:divsChild>
                                        <w:div w:id="1059478172">
                                          <w:marLeft w:val="0"/>
                                          <w:marRight w:val="0"/>
                                          <w:marTop w:val="120"/>
                                          <w:marBottom w:val="0"/>
                                          <w:divBdr>
                                            <w:top w:val="none" w:sz="0" w:space="0" w:color="auto"/>
                                            <w:left w:val="none" w:sz="0" w:space="0" w:color="auto"/>
                                            <w:bottom w:val="none" w:sz="0" w:space="0" w:color="auto"/>
                                            <w:right w:val="none" w:sz="0" w:space="0" w:color="auto"/>
                                          </w:divBdr>
                                        </w:div>
                                        <w:div w:id="1205211511">
                                          <w:marLeft w:val="0"/>
                                          <w:marRight w:val="0"/>
                                          <w:marTop w:val="0"/>
                                          <w:marBottom w:val="0"/>
                                          <w:divBdr>
                                            <w:top w:val="none" w:sz="0" w:space="0" w:color="auto"/>
                                            <w:left w:val="none" w:sz="0" w:space="0" w:color="auto"/>
                                            <w:bottom w:val="none" w:sz="0" w:space="0" w:color="auto"/>
                                            <w:right w:val="none" w:sz="0" w:space="0" w:color="auto"/>
                                          </w:divBdr>
                                        </w:div>
                                      </w:divsChild>
                                    </w:div>
                                    <w:div w:id="786970416">
                                      <w:marLeft w:val="0"/>
                                      <w:marRight w:val="0"/>
                                      <w:marTop w:val="0"/>
                                      <w:marBottom w:val="0"/>
                                      <w:divBdr>
                                        <w:top w:val="none" w:sz="0" w:space="0" w:color="auto"/>
                                        <w:left w:val="none" w:sz="0" w:space="0" w:color="auto"/>
                                        <w:bottom w:val="none" w:sz="0" w:space="0" w:color="auto"/>
                                        <w:right w:val="none" w:sz="0" w:space="0" w:color="auto"/>
                                      </w:divBdr>
                                      <w:divsChild>
                                        <w:div w:id="1046831312">
                                          <w:marLeft w:val="0"/>
                                          <w:marRight w:val="0"/>
                                          <w:marTop w:val="0"/>
                                          <w:marBottom w:val="0"/>
                                          <w:divBdr>
                                            <w:top w:val="none" w:sz="0" w:space="0" w:color="auto"/>
                                            <w:left w:val="none" w:sz="0" w:space="0" w:color="auto"/>
                                            <w:bottom w:val="none" w:sz="0" w:space="0" w:color="auto"/>
                                            <w:right w:val="none" w:sz="0" w:space="0" w:color="auto"/>
                                          </w:divBdr>
                                        </w:div>
                                      </w:divsChild>
                                    </w:div>
                                    <w:div w:id="69278887">
                                      <w:marLeft w:val="0"/>
                                      <w:marRight w:val="0"/>
                                      <w:marTop w:val="0"/>
                                      <w:marBottom w:val="0"/>
                                      <w:divBdr>
                                        <w:top w:val="none" w:sz="0" w:space="0" w:color="auto"/>
                                        <w:left w:val="none" w:sz="0" w:space="0" w:color="auto"/>
                                        <w:bottom w:val="none" w:sz="0" w:space="0" w:color="auto"/>
                                        <w:right w:val="none" w:sz="0" w:space="0" w:color="auto"/>
                                      </w:divBdr>
                                      <w:divsChild>
                                        <w:div w:id="1152136133">
                                          <w:marLeft w:val="0"/>
                                          <w:marRight w:val="0"/>
                                          <w:marTop w:val="120"/>
                                          <w:marBottom w:val="0"/>
                                          <w:divBdr>
                                            <w:top w:val="none" w:sz="0" w:space="0" w:color="auto"/>
                                            <w:left w:val="none" w:sz="0" w:space="0" w:color="auto"/>
                                            <w:bottom w:val="none" w:sz="0" w:space="0" w:color="auto"/>
                                            <w:right w:val="none" w:sz="0" w:space="0" w:color="auto"/>
                                          </w:divBdr>
                                        </w:div>
                                        <w:div w:id="388043824">
                                          <w:marLeft w:val="0"/>
                                          <w:marRight w:val="0"/>
                                          <w:marTop w:val="0"/>
                                          <w:marBottom w:val="0"/>
                                          <w:divBdr>
                                            <w:top w:val="none" w:sz="0" w:space="0" w:color="auto"/>
                                            <w:left w:val="none" w:sz="0" w:space="0" w:color="auto"/>
                                            <w:bottom w:val="none" w:sz="0" w:space="0" w:color="auto"/>
                                            <w:right w:val="none" w:sz="0" w:space="0" w:color="auto"/>
                                          </w:divBdr>
                                        </w:div>
                                      </w:divsChild>
                                    </w:div>
                                    <w:div w:id="480997744">
                                      <w:marLeft w:val="0"/>
                                      <w:marRight w:val="0"/>
                                      <w:marTop w:val="0"/>
                                      <w:marBottom w:val="0"/>
                                      <w:divBdr>
                                        <w:top w:val="none" w:sz="0" w:space="0" w:color="auto"/>
                                        <w:left w:val="none" w:sz="0" w:space="0" w:color="auto"/>
                                        <w:bottom w:val="none" w:sz="0" w:space="0" w:color="auto"/>
                                        <w:right w:val="none" w:sz="0" w:space="0" w:color="auto"/>
                                      </w:divBdr>
                                      <w:divsChild>
                                        <w:div w:id="1171724827">
                                          <w:marLeft w:val="0"/>
                                          <w:marRight w:val="0"/>
                                          <w:marTop w:val="120"/>
                                          <w:marBottom w:val="0"/>
                                          <w:divBdr>
                                            <w:top w:val="none" w:sz="0" w:space="0" w:color="auto"/>
                                            <w:left w:val="none" w:sz="0" w:space="0" w:color="auto"/>
                                            <w:bottom w:val="none" w:sz="0" w:space="0" w:color="auto"/>
                                            <w:right w:val="none" w:sz="0" w:space="0" w:color="auto"/>
                                          </w:divBdr>
                                        </w:div>
                                        <w:div w:id="187453206">
                                          <w:marLeft w:val="0"/>
                                          <w:marRight w:val="0"/>
                                          <w:marTop w:val="0"/>
                                          <w:marBottom w:val="0"/>
                                          <w:divBdr>
                                            <w:top w:val="none" w:sz="0" w:space="0" w:color="auto"/>
                                            <w:left w:val="none" w:sz="0" w:space="0" w:color="auto"/>
                                            <w:bottom w:val="none" w:sz="0" w:space="0" w:color="auto"/>
                                            <w:right w:val="none" w:sz="0" w:space="0" w:color="auto"/>
                                          </w:divBdr>
                                        </w:div>
                                      </w:divsChild>
                                    </w:div>
                                    <w:div w:id="848983746">
                                      <w:marLeft w:val="0"/>
                                      <w:marRight w:val="0"/>
                                      <w:marTop w:val="0"/>
                                      <w:marBottom w:val="0"/>
                                      <w:divBdr>
                                        <w:top w:val="none" w:sz="0" w:space="0" w:color="auto"/>
                                        <w:left w:val="none" w:sz="0" w:space="0" w:color="auto"/>
                                        <w:bottom w:val="none" w:sz="0" w:space="0" w:color="auto"/>
                                        <w:right w:val="none" w:sz="0" w:space="0" w:color="auto"/>
                                      </w:divBdr>
                                      <w:divsChild>
                                        <w:div w:id="1831602611">
                                          <w:marLeft w:val="0"/>
                                          <w:marRight w:val="0"/>
                                          <w:marTop w:val="120"/>
                                          <w:marBottom w:val="0"/>
                                          <w:divBdr>
                                            <w:top w:val="none" w:sz="0" w:space="0" w:color="auto"/>
                                            <w:left w:val="none" w:sz="0" w:space="0" w:color="auto"/>
                                            <w:bottom w:val="none" w:sz="0" w:space="0" w:color="auto"/>
                                            <w:right w:val="none" w:sz="0" w:space="0" w:color="auto"/>
                                          </w:divBdr>
                                        </w:div>
                                        <w:div w:id="887372772">
                                          <w:marLeft w:val="0"/>
                                          <w:marRight w:val="0"/>
                                          <w:marTop w:val="0"/>
                                          <w:marBottom w:val="0"/>
                                          <w:divBdr>
                                            <w:top w:val="none" w:sz="0" w:space="0" w:color="auto"/>
                                            <w:left w:val="none" w:sz="0" w:space="0" w:color="auto"/>
                                            <w:bottom w:val="none" w:sz="0" w:space="0" w:color="auto"/>
                                            <w:right w:val="none" w:sz="0" w:space="0" w:color="auto"/>
                                          </w:divBdr>
                                        </w:div>
                                      </w:divsChild>
                                    </w:div>
                                    <w:div w:id="19598558">
                                      <w:marLeft w:val="0"/>
                                      <w:marRight w:val="0"/>
                                      <w:marTop w:val="0"/>
                                      <w:marBottom w:val="0"/>
                                      <w:divBdr>
                                        <w:top w:val="none" w:sz="0" w:space="0" w:color="auto"/>
                                        <w:left w:val="none" w:sz="0" w:space="0" w:color="auto"/>
                                        <w:bottom w:val="none" w:sz="0" w:space="0" w:color="auto"/>
                                        <w:right w:val="none" w:sz="0" w:space="0" w:color="auto"/>
                                      </w:divBdr>
                                      <w:divsChild>
                                        <w:div w:id="372972677">
                                          <w:marLeft w:val="0"/>
                                          <w:marRight w:val="0"/>
                                          <w:marTop w:val="120"/>
                                          <w:marBottom w:val="0"/>
                                          <w:divBdr>
                                            <w:top w:val="none" w:sz="0" w:space="0" w:color="auto"/>
                                            <w:left w:val="none" w:sz="0" w:space="0" w:color="auto"/>
                                            <w:bottom w:val="none" w:sz="0" w:space="0" w:color="auto"/>
                                            <w:right w:val="none" w:sz="0" w:space="0" w:color="auto"/>
                                          </w:divBdr>
                                        </w:div>
                                        <w:div w:id="834104518">
                                          <w:marLeft w:val="0"/>
                                          <w:marRight w:val="0"/>
                                          <w:marTop w:val="0"/>
                                          <w:marBottom w:val="0"/>
                                          <w:divBdr>
                                            <w:top w:val="none" w:sz="0" w:space="0" w:color="auto"/>
                                            <w:left w:val="none" w:sz="0" w:space="0" w:color="auto"/>
                                            <w:bottom w:val="none" w:sz="0" w:space="0" w:color="auto"/>
                                            <w:right w:val="none" w:sz="0" w:space="0" w:color="auto"/>
                                          </w:divBdr>
                                        </w:div>
                                      </w:divsChild>
                                    </w:div>
                                    <w:div w:id="2091539454">
                                      <w:marLeft w:val="0"/>
                                      <w:marRight w:val="0"/>
                                      <w:marTop w:val="0"/>
                                      <w:marBottom w:val="0"/>
                                      <w:divBdr>
                                        <w:top w:val="none" w:sz="0" w:space="0" w:color="auto"/>
                                        <w:left w:val="none" w:sz="0" w:space="0" w:color="auto"/>
                                        <w:bottom w:val="none" w:sz="0" w:space="0" w:color="auto"/>
                                        <w:right w:val="none" w:sz="0" w:space="0" w:color="auto"/>
                                      </w:divBdr>
                                      <w:divsChild>
                                        <w:div w:id="529345491">
                                          <w:marLeft w:val="0"/>
                                          <w:marRight w:val="0"/>
                                          <w:marTop w:val="120"/>
                                          <w:marBottom w:val="0"/>
                                          <w:divBdr>
                                            <w:top w:val="none" w:sz="0" w:space="0" w:color="auto"/>
                                            <w:left w:val="none" w:sz="0" w:space="0" w:color="auto"/>
                                            <w:bottom w:val="none" w:sz="0" w:space="0" w:color="auto"/>
                                            <w:right w:val="none" w:sz="0" w:space="0" w:color="auto"/>
                                          </w:divBdr>
                                        </w:div>
                                        <w:div w:id="1681589999">
                                          <w:marLeft w:val="0"/>
                                          <w:marRight w:val="0"/>
                                          <w:marTop w:val="0"/>
                                          <w:marBottom w:val="0"/>
                                          <w:divBdr>
                                            <w:top w:val="none" w:sz="0" w:space="0" w:color="auto"/>
                                            <w:left w:val="none" w:sz="0" w:space="0" w:color="auto"/>
                                            <w:bottom w:val="none" w:sz="0" w:space="0" w:color="auto"/>
                                            <w:right w:val="none" w:sz="0" w:space="0" w:color="auto"/>
                                          </w:divBdr>
                                        </w:div>
                                      </w:divsChild>
                                    </w:div>
                                    <w:div w:id="1590001017">
                                      <w:marLeft w:val="0"/>
                                      <w:marRight w:val="0"/>
                                      <w:marTop w:val="0"/>
                                      <w:marBottom w:val="0"/>
                                      <w:divBdr>
                                        <w:top w:val="none" w:sz="0" w:space="0" w:color="auto"/>
                                        <w:left w:val="none" w:sz="0" w:space="0" w:color="auto"/>
                                        <w:bottom w:val="none" w:sz="0" w:space="0" w:color="auto"/>
                                        <w:right w:val="none" w:sz="0" w:space="0" w:color="auto"/>
                                      </w:divBdr>
                                      <w:divsChild>
                                        <w:div w:id="1344086871">
                                          <w:marLeft w:val="0"/>
                                          <w:marRight w:val="0"/>
                                          <w:marTop w:val="120"/>
                                          <w:marBottom w:val="0"/>
                                          <w:divBdr>
                                            <w:top w:val="none" w:sz="0" w:space="0" w:color="auto"/>
                                            <w:left w:val="none" w:sz="0" w:space="0" w:color="auto"/>
                                            <w:bottom w:val="none" w:sz="0" w:space="0" w:color="auto"/>
                                            <w:right w:val="none" w:sz="0" w:space="0" w:color="auto"/>
                                          </w:divBdr>
                                        </w:div>
                                        <w:div w:id="142981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9170">
                                  <w:marLeft w:val="0"/>
                                  <w:marRight w:val="0"/>
                                  <w:marTop w:val="0"/>
                                  <w:marBottom w:val="0"/>
                                  <w:divBdr>
                                    <w:top w:val="none" w:sz="0" w:space="0" w:color="auto"/>
                                    <w:left w:val="none" w:sz="0" w:space="0" w:color="auto"/>
                                    <w:bottom w:val="none" w:sz="0" w:space="0" w:color="auto"/>
                                    <w:right w:val="none" w:sz="0" w:space="0" w:color="auto"/>
                                  </w:divBdr>
                                  <w:divsChild>
                                    <w:div w:id="1550072523">
                                      <w:marLeft w:val="0"/>
                                      <w:marRight w:val="0"/>
                                      <w:marTop w:val="0"/>
                                      <w:marBottom w:val="0"/>
                                      <w:divBdr>
                                        <w:top w:val="none" w:sz="0" w:space="0" w:color="auto"/>
                                        <w:left w:val="none" w:sz="0" w:space="0" w:color="auto"/>
                                        <w:bottom w:val="none" w:sz="0" w:space="0" w:color="auto"/>
                                        <w:right w:val="none" w:sz="0" w:space="0" w:color="auto"/>
                                      </w:divBdr>
                                    </w:div>
                                    <w:div w:id="1883711408">
                                      <w:marLeft w:val="0"/>
                                      <w:marRight w:val="0"/>
                                      <w:marTop w:val="0"/>
                                      <w:marBottom w:val="0"/>
                                      <w:divBdr>
                                        <w:top w:val="none" w:sz="0" w:space="0" w:color="auto"/>
                                        <w:left w:val="none" w:sz="0" w:space="0" w:color="auto"/>
                                        <w:bottom w:val="none" w:sz="0" w:space="0" w:color="auto"/>
                                        <w:right w:val="none" w:sz="0" w:space="0" w:color="auto"/>
                                      </w:divBdr>
                                      <w:divsChild>
                                        <w:div w:id="755589840">
                                          <w:marLeft w:val="0"/>
                                          <w:marRight w:val="0"/>
                                          <w:marTop w:val="0"/>
                                          <w:marBottom w:val="0"/>
                                          <w:divBdr>
                                            <w:top w:val="none" w:sz="0" w:space="0" w:color="auto"/>
                                            <w:left w:val="none" w:sz="0" w:space="0" w:color="auto"/>
                                            <w:bottom w:val="none" w:sz="0" w:space="0" w:color="auto"/>
                                            <w:right w:val="none" w:sz="0" w:space="0" w:color="auto"/>
                                          </w:divBdr>
                                          <w:divsChild>
                                            <w:div w:id="2085952846">
                                              <w:marLeft w:val="0"/>
                                              <w:marRight w:val="0"/>
                                              <w:marTop w:val="0"/>
                                              <w:marBottom w:val="0"/>
                                              <w:divBdr>
                                                <w:top w:val="none" w:sz="0" w:space="0" w:color="auto"/>
                                                <w:left w:val="none" w:sz="0" w:space="0" w:color="auto"/>
                                                <w:bottom w:val="none" w:sz="0" w:space="0" w:color="auto"/>
                                                <w:right w:val="none" w:sz="0" w:space="0" w:color="auto"/>
                                              </w:divBdr>
                                              <w:divsChild>
                                                <w:div w:id="303005495">
                                                  <w:marLeft w:val="0"/>
                                                  <w:marRight w:val="0"/>
                                                  <w:marTop w:val="120"/>
                                                  <w:marBottom w:val="0"/>
                                                  <w:divBdr>
                                                    <w:top w:val="none" w:sz="0" w:space="0" w:color="auto"/>
                                                    <w:left w:val="none" w:sz="0" w:space="0" w:color="auto"/>
                                                    <w:bottom w:val="none" w:sz="0" w:space="0" w:color="auto"/>
                                                    <w:right w:val="none" w:sz="0" w:space="0" w:color="auto"/>
                                                  </w:divBdr>
                                                </w:div>
                                                <w:div w:id="15665910">
                                                  <w:marLeft w:val="0"/>
                                                  <w:marRight w:val="0"/>
                                                  <w:marTop w:val="0"/>
                                                  <w:marBottom w:val="0"/>
                                                  <w:divBdr>
                                                    <w:top w:val="none" w:sz="0" w:space="0" w:color="auto"/>
                                                    <w:left w:val="none" w:sz="0" w:space="0" w:color="auto"/>
                                                    <w:bottom w:val="none" w:sz="0" w:space="0" w:color="auto"/>
                                                    <w:right w:val="none" w:sz="0" w:space="0" w:color="auto"/>
                                                  </w:divBdr>
                                                </w:div>
                                              </w:divsChild>
                                            </w:div>
                                            <w:div w:id="829296354">
                                              <w:marLeft w:val="0"/>
                                              <w:marRight w:val="0"/>
                                              <w:marTop w:val="0"/>
                                              <w:marBottom w:val="0"/>
                                              <w:divBdr>
                                                <w:top w:val="none" w:sz="0" w:space="0" w:color="auto"/>
                                                <w:left w:val="none" w:sz="0" w:space="0" w:color="auto"/>
                                                <w:bottom w:val="none" w:sz="0" w:space="0" w:color="auto"/>
                                                <w:right w:val="none" w:sz="0" w:space="0" w:color="auto"/>
                                              </w:divBdr>
                                              <w:divsChild>
                                                <w:div w:id="976423069">
                                                  <w:marLeft w:val="0"/>
                                                  <w:marRight w:val="0"/>
                                                  <w:marTop w:val="120"/>
                                                  <w:marBottom w:val="0"/>
                                                  <w:divBdr>
                                                    <w:top w:val="none" w:sz="0" w:space="0" w:color="auto"/>
                                                    <w:left w:val="none" w:sz="0" w:space="0" w:color="auto"/>
                                                    <w:bottom w:val="none" w:sz="0" w:space="0" w:color="auto"/>
                                                    <w:right w:val="none" w:sz="0" w:space="0" w:color="auto"/>
                                                  </w:divBdr>
                                                </w:div>
                                                <w:div w:id="143085992">
                                                  <w:marLeft w:val="0"/>
                                                  <w:marRight w:val="0"/>
                                                  <w:marTop w:val="0"/>
                                                  <w:marBottom w:val="0"/>
                                                  <w:divBdr>
                                                    <w:top w:val="none" w:sz="0" w:space="0" w:color="auto"/>
                                                    <w:left w:val="none" w:sz="0" w:space="0" w:color="auto"/>
                                                    <w:bottom w:val="none" w:sz="0" w:space="0" w:color="auto"/>
                                                    <w:right w:val="none" w:sz="0" w:space="0" w:color="auto"/>
                                                  </w:divBdr>
                                                </w:div>
                                              </w:divsChild>
                                            </w:div>
                                            <w:div w:id="719014222">
                                              <w:marLeft w:val="0"/>
                                              <w:marRight w:val="0"/>
                                              <w:marTop w:val="0"/>
                                              <w:marBottom w:val="0"/>
                                              <w:divBdr>
                                                <w:top w:val="none" w:sz="0" w:space="0" w:color="auto"/>
                                                <w:left w:val="none" w:sz="0" w:space="0" w:color="auto"/>
                                                <w:bottom w:val="none" w:sz="0" w:space="0" w:color="auto"/>
                                                <w:right w:val="none" w:sz="0" w:space="0" w:color="auto"/>
                                              </w:divBdr>
                                              <w:divsChild>
                                                <w:div w:id="86729468">
                                                  <w:marLeft w:val="0"/>
                                                  <w:marRight w:val="0"/>
                                                  <w:marTop w:val="120"/>
                                                  <w:marBottom w:val="0"/>
                                                  <w:divBdr>
                                                    <w:top w:val="none" w:sz="0" w:space="0" w:color="auto"/>
                                                    <w:left w:val="none" w:sz="0" w:space="0" w:color="auto"/>
                                                    <w:bottom w:val="none" w:sz="0" w:space="0" w:color="auto"/>
                                                    <w:right w:val="none" w:sz="0" w:space="0" w:color="auto"/>
                                                  </w:divBdr>
                                                </w:div>
                                                <w:div w:id="2034727665">
                                                  <w:marLeft w:val="0"/>
                                                  <w:marRight w:val="0"/>
                                                  <w:marTop w:val="0"/>
                                                  <w:marBottom w:val="0"/>
                                                  <w:divBdr>
                                                    <w:top w:val="none" w:sz="0" w:space="0" w:color="auto"/>
                                                    <w:left w:val="none" w:sz="0" w:space="0" w:color="auto"/>
                                                    <w:bottom w:val="none" w:sz="0" w:space="0" w:color="auto"/>
                                                    <w:right w:val="none" w:sz="0" w:space="0" w:color="auto"/>
                                                  </w:divBdr>
                                                </w:div>
                                              </w:divsChild>
                                            </w:div>
                                            <w:div w:id="1587300062">
                                              <w:marLeft w:val="0"/>
                                              <w:marRight w:val="0"/>
                                              <w:marTop w:val="0"/>
                                              <w:marBottom w:val="0"/>
                                              <w:divBdr>
                                                <w:top w:val="none" w:sz="0" w:space="0" w:color="auto"/>
                                                <w:left w:val="none" w:sz="0" w:space="0" w:color="auto"/>
                                                <w:bottom w:val="none" w:sz="0" w:space="0" w:color="auto"/>
                                                <w:right w:val="none" w:sz="0" w:space="0" w:color="auto"/>
                                              </w:divBdr>
                                              <w:divsChild>
                                                <w:div w:id="1585919636">
                                                  <w:marLeft w:val="0"/>
                                                  <w:marRight w:val="0"/>
                                                  <w:marTop w:val="120"/>
                                                  <w:marBottom w:val="0"/>
                                                  <w:divBdr>
                                                    <w:top w:val="none" w:sz="0" w:space="0" w:color="auto"/>
                                                    <w:left w:val="none" w:sz="0" w:space="0" w:color="auto"/>
                                                    <w:bottom w:val="none" w:sz="0" w:space="0" w:color="auto"/>
                                                    <w:right w:val="none" w:sz="0" w:space="0" w:color="auto"/>
                                                  </w:divBdr>
                                                </w:div>
                                                <w:div w:id="1405420974">
                                                  <w:marLeft w:val="0"/>
                                                  <w:marRight w:val="0"/>
                                                  <w:marTop w:val="0"/>
                                                  <w:marBottom w:val="0"/>
                                                  <w:divBdr>
                                                    <w:top w:val="none" w:sz="0" w:space="0" w:color="auto"/>
                                                    <w:left w:val="none" w:sz="0" w:space="0" w:color="auto"/>
                                                    <w:bottom w:val="none" w:sz="0" w:space="0" w:color="auto"/>
                                                    <w:right w:val="none" w:sz="0" w:space="0" w:color="auto"/>
                                                  </w:divBdr>
                                                </w:div>
                                              </w:divsChild>
                                            </w:div>
                                            <w:div w:id="1677534375">
                                              <w:marLeft w:val="0"/>
                                              <w:marRight w:val="0"/>
                                              <w:marTop w:val="0"/>
                                              <w:marBottom w:val="0"/>
                                              <w:divBdr>
                                                <w:top w:val="none" w:sz="0" w:space="0" w:color="auto"/>
                                                <w:left w:val="none" w:sz="0" w:space="0" w:color="auto"/>
                                                <w:bottom w:val="none" w:sz="0" w:space="0" w:color="auto"/>
                                                <w:right w:val="none" w:sz="0" w:space="0" w:color="auto"/>
                                              </w:divBdr>
                                              <w:divsChild>
                                                <w:div w:id="1085762627">
                                                  <w:marLeft w:val="0"/>
                                                  <w:marRight w:val="0"/>
                                                  <w:marTop w:val="120"/>
                                                  <w:marBottom w:val="0"/>
                                                  <w:divBdr>
                                                    <w:top w:val="none" w:sz="0" w:space="0" w:color="auto"/>
                                                    <w:left w:val="none" w:sz="0" w:space="0" w:color="auto"/>
                                                    <w:bottom w:val="none" w:sz="0" w:space="0" w:color="auto"/>
                                                    <w:right w:val="none" w:sz="0" w:space="0" w:color="auto"/>
                                                  </w:divBdr>
                                                </w:div>
                                                <w:div w:id="166207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386117">
                                      <w:marLeft w:val="0"/>
                                      <w:marRight w:val="0"/>
                                      <w:marTop w:val="0"/>
                                      <w:marBottom w:val="0"/>
                                      <w:divBdr>
                                        <w:top w:val="none" w:sz="0" w:space="0" w:color="auto"/>
                                        <w:left w:val="none" w:sz="0" w:space="0" w:color="auto"/>
                                        <w:bottom w:val="none" w:sz="0" w:space="0" w:color="auto"/>
                                        <w:right w:val="none" w:sz="0" w:space="0" w:color="auto"/>
                                      </w:divBdr>
                                      <w:divsChild>
                                        <w:div w:id="485241977">
                                          <w:marLeft w:val="0"/>
                                          <w:marRight w:val="0"/>
                                          <w:marTop w:val="0"/>
                                          <w:marBottom w:val="0"/>
                                          <w:divBdr>
                                            <w:top w:val="none" w:sz="0" w:space="0" w:color="auto"/>
                                            <w:left w:val="none" w:sz="0" w:space="0" w:color="auto"/>
                                            <w:bottom w:val="none" w:sz="0" w:space="0" w:color="auto"/>
                                            <w:right w:val="none" w:sz="0" w:space="0" w:color="auto"/>
                                          </w:divBdr>
                                          <w:divsChild>
                                            <w:div w:id="1335104766">
                                              <w:marLeft w:val="0"/>
                                              <w:marRight w:val="0"/>
                                              <w:marTop w:val="0"/>
                                              <w:marBottom w:val="0"/>
                                              <w:divBdr>
                                                <w:top w:val="none" w:sz="0" w:space="0" w:color="auto"/>
                                                <w:left w:val="none" w:sz="0" w:space="0" w:color="auto"/>
                                                <w:bottom w:val="none" w:sz="0" w:space="0" w:color="auto"/>
                                                <w:right w:val="none" w:sz="0" w:space="0" w:color="auto"/>
                                              </w:divBdr>
                                              <w:divsChild>
                                                <w:div w:id="276450354">
                                                  <w:marLeft w:val="0"/>
                                                  <w:marRight w:val="0"/>
                                                  <w:marTop w:val="120"/>
                                                  <w:marBottom w:val="0"/>
                                                  <w:divBdr>
                                                    <w:top w:val="none" w:sz="0" w:space="0" w:color="auto"/>
                                                    <w:left w:val="none" w:sz="0" w:space="0" w:color="auto"/>
                                                    <w:bottom w:val="none" w:sz="0" w:space="0" w:color="auto"/>
                                                    <w:right w:val="none" w:sz="0" w:space="0" w:color="auto"/>
                                                  </w:divBdr>
                                                </w:div>
                                                <w:div w:id="765467005">
                                                  <w:marLeft w:val="0"/>
                                                  <w:marRight w:val="0"/>
                                                  <w:marTop w:val="0"/>
                                                  <w:marBottom w:val="0"/>
                                                  <w:divBdr>
                                                    <w:top w:val="none" w:sz="0" w:space="0" w:color="auto"/>
                                                    <w:left w:val="none" w:sz="0" w:space="0" w:color="auto"/>
                                                    <w:bottom w:val="none" w:sz="0" w:space="0" w:color="auto"/>
                                                    <w:right w:val="none" w:sz="0" w:space="0" w:color="auto"/>
                                                  </w:divBdr>
                                                </w:div>
                                              </w:divsChild>
                                            </w:div>
                                            <w:div w:id="1454591512">
                                              <w:marLeft w:val="0"/>
                                              <w:marRight w:val="0"/>
                                              <w:marTop w:val="0"/>
                                              <w:marBottom w:val="0"/>
                                              <w:divBdr>
                                                <w:top w:val="none" w:sz="0" w:space="0" w:color="auto"/>
                                                <w:left w:val="none" w:sz="0" w:space="0" w:color="auto"/>
                                                <w:bottom w:val="none" w:sz="0" w:space="0" w:color="auto"/>
                                                <w:right w:val="none" w:sz="0" w:space="0" w:color="auto"/>
                                              </w:divBdr>
                                              <w:divsChild>
                                                <w:div w:id="1471747583">
                                                  <w:marLeft w:val="0"/>
                                                  <w:marRight w:val="0"/>
                                                  <w:marTop w:val="120"/>
                                                  <w:marBottom w:val="0"/>
                                                  <w:divBdr>
                                                    <w:top w:val="none" w:sz="0" w:space="0" w:color="auto"/>
                                                    <w:left w:val="none" w:sz="0" w:space="0" w:color="auto"/>
                                                    <w:bottom w:val="none" w:sz="0" w:space="0" w:color="auto"/>
                                                    <w:right w:val="none" w:sz="0" w:space="0" w:color="auto"/>
                                                  </w:divBdr>
                                                </w:div>
                                                <w:div w:id="181706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26385">
                                      <w:marLeft w:val="0"/>
                                      <w:marRight w:val="0"/>
                                      <w:marTop w:val="0"/>
                                      <w:marBottom w:val="0"/>
                                      <w:divBdr>
                                        <w:top w:val="none" w:sz="0" w:space="0" w:color="auto"/>
                                        <w:left w:val="none" w:sz="0" w:space="0" w:color="auto"/>
                                        <w:bottom w:val="none" w:sz="0" w:space="0" w:color="auto"/>
                                        <w:right w:val="none" w:sz="0" w:space="0" w:color="auto"/>
                                      </w:divBdr>
                                      <w:divsChild>
                                        <w:div w:id="1624462695">
                                          <w:marLeft w:val="0"/>
                                          <w:marRight w:val="0"/>
                                          <w:marTop w:val="0"/>
                                          <w:marBottom w:val="0"/>
                                          <w:divBdr>
                                            <w:top w:val="none" w:sz="0" w:space="0" w:color="auto"/>
                                            <w:left w:val="none" w:sz="0" w:space="0" w:color="auto"/>
                                            <w:bottom w:val="none" w:sz="0" w:space="0" w:color="auto"/>
                                            <w:right w:val="none" w:sz="0" w:space="0" w:color="auto"/>
                                          </w:divBdr>
                                        </w:div>
                                      </w:divsChild>
                                    </w:div>
                                    <w:div w:id="2028290286">
                                      <w:marLeft w:val="0"/>
                                      <w:marRight w:val="0"/>
                                      <w:marTop w:val="0"/>
                                      <w:marBottom w:val="0"/>
                                      <w:divBdr>
                                        <w:top w:val="none" w:sz="0" w:space="0" w:color="auto"/>
                                        <w:left w:val="none" w:sz="0" w:space="0" w:color="auto"/>
                                        <w:bottom w:val="none" w:sz="0" w:space="0" w:color="auto"/>
                                        <w:right w:val="none" w:sz="0" w:space="0" w:color="auto"/>
                                      </w:divBdr>
                                      <w:divsChild>
                                        <w:div w:id="214969545">
                                          <w:marLeft w:val="0"/>
                                          <w:marRight w:val="0"/>
                                          <w:marTop w:val="120"/>
                                          <w:marBottom w:val="0"/>
                                          <w:divBdr>
                                            <w:top w:val="none" w:sz="0" w:space="0" w:color="auto"/>
                                            <w:left w:val="none" w:sz="0" w:space="0" w:color="auto"/>
                                            <w:bottom w:val="none" w:sz="0" w:space="0" w:color="auto"/>
                                            <w:right w:val="none" w:sz="0" w:space="0" w:color="auto"/>
                                          </w:divBdr>
                                        </w:div>
                                        <w:div w:id="1084643557">
                                          <w:marLeft w:val="0"/>
                                          <w:marRight w:val="0"/>
                                          <w:marTop w:val="0"/>
                                          <w:marBottom w:val="0"/>
                                          <w:divBdr>
                                            <w:top w:val="none" w:sz="0" w:space="0" w:color="auto"/>
                                            <w:left w:val="none" w:sz="0" w:space="0" w:color="auto"/>
                                            <w:bottom w:val="none" w:sz="0" w:space="0" w:color="auto"/>
                                            <w:right w:val="none" w:sz="0" w:space="0" w:color="auto"/>
                                          </w:divBdr>
                                        </w:div>
                                      </w:divsChild>
                                    </w:div>
                                    <w:div w:id="1812137493">
                                      <w:marLeft w:val="0"/>
                                      <w:marRight w:val="0"/>
                                      <w:marTop w:val="0"/>
                                      <w:marBottom w:val="0"/>
                                      <w:divBdr>
                                        <w:top w:val="none" w:sz="0" w:space="0" w:color="auto"/>
                                        <w:left w:val="none" w:sz="0" w:space="0" w:color="auto"/>
                                        <w:bottom w:val="none" w:sz="0" w:space="0" w:color="auto"/>
                                        <w:right w:val="none" w:sz="0" w:space="0" w:color="auto"/>
                                      </w:divBdr>
                                      <w:divsChild>
                                        <w:div w:id="1947299853">
                                          <w:marLeft w:val="0"/>
                                          <w:marRight w:val="0"/>
                                          <w:marTop w:val="120"/>
                                          <w:marBottom w:val="0"/>
                                          <w:divBdr>
                                            <w:top w:val="none" w:sz="0" w:space="0" w:color="auto"/>
                                            <w:left w:val="none" w:sz="0" w:space="0" w:color="auto"/>
                                            <w:bottom w:val="none" w:sz="0" w:space="0" w:color="auto"/>
                                            <w:right w:val="none" w:sz="0" w:space="0" w:color="auto"/>
                                          </w:divBdr>
                                        </w:div>
                                        <w:div w:id="1519737375">
                                          <w:marLeft w:val="0"/>
                                          <w:marRight w:val="0"/>
                                          <w:marTop w:val="0"/>
                                          <w:marBottom w:val="0"/>
                                          <w:divBdr>
                                            <w:top w:val="none" w:sz="0" w:space="0" w:color="auto"/>
                                            <w:left w:val="none" w:sz="0" w:space="0" w:color="auto"/>
                                            <w:bottom w:val="none" w:sz="0" w:space="0" w:color="auto"/>
                                            <w:right w:val="none" w:sz="0" w:space="0" w:color="auto"/>
                                          </w:divBdr>
                                        </w:div>
                                      </w:divsChild>
                                    </w:div>
                                    <w:div w:id="896891562">
                                      <w:marLeft w:val="0"/>
                                      <w:marRight w:val="0"/>
                                      <w:marTop w:val="0"/>
                                      <w:marBottom w:val="0"/>
                                      <w:divBdr>
                                        <w:top w:val="none" w:sz="0" w:space="0" w:color="auto"/>
                                        <w:left w:val="none" w:sz="0" w:space="0" w:color="auto"/>
                                        <w:bottom w:val="none" w:sz="0" w:space="0" w:color="auto"/>
                                        <w:right w:val="none" w:sz="0" w:space="0" w:color="auto"/>
                                      </w:divBdr>
                                      <w:divsChild>
                                        <w:div w:id="1259366607">
                                          <w:marLeft w:val="0"/>
                                          <w:marRight w:val="0"/>
                                          <w:marTop w:val="120"/>
                                          <w:marBottom w:val="0"/>
                                          <w:divBdr>
                                            <w:top w:val="none" w:sz="0" w:space="0" w:color="auto"/>
                                            <w:left w:val="none" w:sz="0" w:space="0" w:color="auto"/>
                                            <w:bottom w:val="none" w:sz="0" w:space="0" w:color="auto"/>
                                            <w:right w:val="none" w:sz="0" w:space="0" w:color="auto"/>
                                          </w:divBdr>
                                        </w:div>
                                        <w:div w:id="1842895259">
                                          <w:marLeft w:val="0"/>
                                          <w:marRight w:val="0"/>
                                          <w:marTop w:val="0"/>
                                          <w:marBottom w:val="0"/>
                                          <w:divBdr>
                                            <w:top w:val="none" w:sz="0" w:space="0" w:color="auto"/>
                                            <w:left w:val="none" w:sz="0" w:space="0" w:color="auto"/>
                                            <w:bottom w:val="none" w:sz="0" w:space="0" w:color="auto"/>
                                            <w:right w:val="none" w:sz="0" w:space="0" w:color="auto"/>
                                          </w:divBdr>
                                        </w:div>
                                      </w:divsChild>
                                    </w:div>
                                    <w:div w:id="2010521162">
                                      <w:marLeft w:val="0"/>
                                      <w:marRight w:val="0"/>
                                      <w:marTop w:val="0"/>
                                      <w:marBottom w:val="0"/>
                                      <w:divBdr>
                                        <w:top w:val="none" w:sz="0" w:space="0" w:color="auto"/>
                                        <w:left w:val="none" w:sz="0" w:space="0" w:color="auto"/>
                                        <w:bottom w:val="none" w:sz="0" w:space="0" w:color="auto"/>
                                        <w:right w:val="none" w:sz="0" w:space="0" w:color="auto"/>
                                      </w:divBdr>
                                      <w:divsChild>
                                        <w:div w:id="419565188">
                                          <w:marLeft w:val="0"/>
                                          <w:marRight w:val="0"/>
                                          <w:marTop w:val="0"/>
                                          <w:marBottom w:val="0"/>
                                          <w:divBdr>
                                            <w:top w:val="none" w:sz="0" w:space="0" w:color="auto"/>
                                            <w:left w:val="none" w:sz="0" w:space="0" w:color="auto"/>
                                            <w:bottom w:val="none" w:sz="0" w:space="0" w:color="auto"/>
                                            <w:right w:val="none" w:sz="0" w:space="0" w:color="auto"/>
                                          </w:divBdr>
                                          <w:divsChild>
                                            <w:div w:id="77406589">
                                              <w:marLeft w:val="0"/>
                                              <w:marRight w:val="0"/>
                                              <w:marTop w:val="0"/>
                                              <w:marBottom w:val="0"/>
                                              <w:divBdr>
                                                <w:top w:val="none" w:sz="0" w:space="0" w:color="auto"/>
                                                <w:left w:val="none" w:sz="0" w:space="0" w:color="auto"/>
                                                <w:bottom w:val="none" w:sz="0" w:space="0" w:color="auto"/>
                                                <w:right w:val="none" w:sz="0" w:space="0" w:color="auto"/>
                                              </w:divBdr>
                                              <w:divsChild>
                                                <w:div w:id="1766918531">
                                                  <w:marLeft w:val="0"/>
                                                  <w:marRight w:val="0"/>
                                                  <w:marTop w:val="120"/>
                                                  <w:marBottom w:val="0"/>
                                                  <w:divBdr>
                                                    <w:top w:val="none" w:sz="0" w:space="0" w:color="auto"/>
                                                    <w:left w:val="none" w:sz="0" w:space="0" w:color="auto"/>
                                                    <w:bottom w:val="none" w:sz="0" w:space="0" w:color="auto"/>
                                                    <w:right w:val="none" w:sz="0" w:space="0" w:color="auto"/>
                                                  </w:divBdr>
                                                </w:div>
                                                <w:div w:id="1144422255">
                                                  <w:marLeft w:val="0"/>
                                                  <w:marRight w:val="0"/>
                                                  <w:marTop w:val="0"/>
                                                  <w:marBottom w:val="0"/>
                                                  <w:divBdr>
                                                    <w:top w:val="none" w:sz="0" w:space="0" w:color="auto"/>
                                                    <w:left w:val="none" w:sz="0" w:space="0" w:color="auto"/>
                                                    <w:bottom w:val="none" w:sz="0" w:space="0" w:color="auto"/>
                                                    <w:right w:val="none" w:sz="0" w:space="0" w:color="auto"/>
                                                  </w:divBdr>
                                                  <w:divsChild>
                                                    <w:div w:id="728500337">
                                                      <w:marLeft w:val="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120"/>
                                                          <w:marBottom w:val="0"/>
                                                          <w:divBdr>
                                                            <w:top w:val="none" w:sz="0" w:space="0" w:color="auto"/>
                                                            <w:left w:val="none" w:sz="0" w:space="0" w:color="auto"/>
                                                            <w:bottom w:val="none" w:sz="0" w:space="0" w:color="auto"/>
                                                            <w:right w:val="none" w:sz="0" w:space="0" w:color="auto"/>
                                                          </w:divBdr>
                                                        </w:div>
                                                        <w:div w:id="1843275813">
                                                          <w:marLeft w:val="0"/>
                                                          <w:marRight w:val="0"/>
                                                          <w:marTop w:val="0"/>
                                                          <w:marBottom w:val="0"/>
                                                          <w:divBdr>
                                                            <w:top w:val="none" w:sz="0" w:space="0" w:color="auto"/>
                                                            <w:left w:val="none" w:sz="0" w:space="0" w:color="auto"/>
                                                            <w:bottom w:val="none" w:sz="0" w:space="0" w:color="auto"/>
                                                            <w:right w:val="none" w:sz="0" w:space="0" w:color="auto"/>
                                                          </w:divBdr>
                                                        </w:div>
                                                      </w:divsChild>
                                                    </w:div>
                                                    <w:div w:id="998577098">
                                                      <w:marLeft w:val="0"/>
                                                      <w:marRight w:val="0"/>
                                                      <w:marTop w:val="0"/>
                                                      <w:marBottom w:val="0"/>
                                                      <w:divBdr>
                                                        <w:top w:val="none" w:sz="0" w:space="0" w:color="auto"/>
                                                        <w:left w:val="none" w:sz="0" w:space="0" w:color="auto"/>
                                                        <w:bottom w:val="none" w:sz="0" w:space="0" w:color="auto"/>
                                                        <w:right w:val="none" w:sz="0" w:space="0" w:color="auto"/>
                                                      </w:divBdr>
                                                      <w:divsChild>
                                                        <w:div w:id="1491752747">
                                                          <w:marLeft w:val="0"/>
                                                          <w:marRight w:val="0"/>
                                                          <w:marTop w:val="120"/>
                                                          <w:marBottom w:val="0"/>
                                                          <w:divBdr>
                                                            <w:top w:val="none" w:sz="0" w:space="0" w:color="auto"/>
                                                            <w:left w:val="none" w:sz="0" w:space="0" w:color="auto"/>
                                                            <w:bottom w:val="none" w:sz="0" w:space="0" w:color="auto"/>
                                                            <w:right w:val="none" w:sz="0" w:space="0" w:color="auto"/>
                                                          </w:divBdr>
                                                        </w:div>
                                                        <w:div w:id="52475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489497">
                                              <w:marLeft w:val="0"/>
                                              <w:marRight w:val="0"/>
                                              <w:marTop w:val="0"/>
                                              <w:marBottom w:val="0"/>
                                              <w:divBdr>
                                                <w:top w:val="none" w:sz="0" w:space="0" w:color="auto"/>
                                                <w:left w:val="none" w:sz="0" w:space="0" w:color="auto"/>
                                                <w:bottom w:val="none" w:sz="0" w:space="0" w:color="auto"/>
                                                <w:right w:val="none" w:sz="0" w:space="0" w:color="auto"/>
                                              </w:divBdr>
                                              <w:divsChild>
                                                <w:div w:id="944314745">
                                                  <w:marLeft w:val="0"/>
                                                  <w:marRight w:val="0"/>
                                                  <w:marTop w:val="120"/>
                                                  <w:marBottom w:val="0"/>
                                                  <w:divBdr>
                                                    <w:top w:val="none" w:sz="0" w:space="0" w:color="auto"/>
                                                    <w:left w:val="none" w:sz="0" w:space="0" w:color="auto"/>
                                                    <w:bottom w:val="none" w:sz="0" w:space="0" w:color="auto"/>
                                                    <w:right w:val="none" w:sz="0" w:space="0" w:color="auto"/>
                                                  </w:divBdr>
                                                </w:div>
                                                <w:div w:id="1239289091">
                                                  <w:marLeft w:val="0"/>
                                                  <w:marRight w:val="0"/>
                                                  <w:marTop w:val="0"/>
                                                  <w:marBottom w:val="0"/>
                                                  <w:divBdr>
                                                    <w:top w:val="none" w:sz="0" w:space="0" w:color="auto"/>
                                                    <w:left w:val="none" w:sz="0" w:space="0" w:color="auto"/>
                                                    <w:bottom w:val="none" w:sz="0" w:space="0" w:color="auto"/>
                                                    <w:right w:val="none" w:sz="0" w:space="0" w:color="auto"/>
                                                  </w:divBdr>
                                                  <w:divsChild>
                                                    <w:div w:id="1830755870">
                                                      <w:marLeft w:val="0"/>
                                                      <w:marRight w:val="0"/>
                                                      <w:marTop w:val="0"/>
                                                      <w:marBottom w:val="0"/>
                                                      <w:divBdr>
                                                        <w:top w:val="none" w:sz="0" w:space="0" w:color="auto"/>
                                                        <w:left w:val="none" w:sz="0" w:space="0" w:color="auto"/>
                                                        <w:bottom w:val="none" w:sz="0" w:space="0" w:color="auto"/>
                                                        <w:right w:val="none" w:sz="0" w:space="0" w:color="auto"/>
                                                      </w:divBdr>
                                                      <w:divsChild>
                                                        <w:div w:id="933174098">
                                                          <w:marLeft w:val="0"/>
                                                          <w:marRight w:val="0"/>
                                                          <w:marTop w:val="120"/>
                                                          <w:marBottom w:val="0"/>
                                                          <w:divBdr>
                                                            <w:top w:val="none" w:sz="0" w:space="0" w:color="auto"/>
                                                            <w:left w:val="none" w:sz="0" w:space="0" w:color="auto"/>
                                                            <w:bottom w:val="none" w:sz="0" w:space="0" w:color="auto"/>
                                                            <w:right w:val="none" w:sz="0" w:space="0" w:color="auto"/>
                                                          </w:divBdr>
                                                        </w:div>
                                                        <w:div w:id="617958214">
                                                          <w:marLeft w:val="0"/>
                                                          <w:marRight w:val="0"/>
                                                          <w:marTop w:val="0"/>
                                                          <w:marBottom w:val="0"/>
                                                          <w:divBdr>
                                                            <w:top w:val="none" w:sz="0" w:space="0" w:color="auto"/>
                                                            <w:left w:val="none" w:sz="0" w:space="0" w:color="auto"/>
                                                            <w:bottom w:val="none" w:sz="0" w:space="0" w:color="auto"/>
                                                            <w:right w:val="none" w:sz="0" w:space="0" w:color="auto"/>
                                                          </w:divBdr>
                                                        </w:div>
                                                      </w:divsChild>
                                                    </w:div>
                                                    <w:div w:id="1461222994">
                                                      <w:marLeft w:val="0"/>
                                                      <w:marRight w:val="0"/>
                                                      <w:marTop w:val="0"/>
                                                      <w:marBottom w:val="0"/>
                                                      <w:divBdr>
                                                        <w:top w:val="none" w:sz="0" w:space="0" w:color="auto"/>
                                                        <w:left w:val="none" w:sz="0" w:space="0" w:color="auto"/>
                                                        <w:bottom w:val="none" w:sz="0" w:space="0" w:color="auto"/>
                                                        <w:right w:val="none" w:sz="0" w:space="0" w:color="auto"/>
                                                      </w:divBdr>
                                                      <w:divsChild>
                                                        <w:div w:id="81683804">
                                                          <w:marLeft w:val="0"/>
                                                          <w:marRight w:val="0"/>
                                                          <w:marTop w:val="120"/>
                                                          <w:marBottom w:val="0"/>
                                                          <w:divBdr>
                                                            <w:top w:val="none" w:sz="0" w:space="0" w:color="auto"/>
                                                            <w:left w:val="none" w:sz="0" w:space="0" w:color="auto"/>
                                                            <w:bottom w:val="none" w:sz="0" w:space="0" w:color="auto"/>
                                                            <w:right w:val="none" w:sz="0" w:space="0" w:color="auto"/>
                                                          </w:divBdr>
                                                        </w:div>
                                                        <w:div w:id="38614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508866">
                                      <w:marLeft w:val="0"/>
                                      <w:marRight w:val="0"/>
                                      <w:marTop w:val="0"/>
                                      <w:marBottom w:val="0"/>
                                      <w:divBdr>
                                        <w:top w:val="none" w:sz="0" w:space="0" w:color="auto"/>
                                        <w:left w:val="none" w:sz="0" w:space="0" w:color="auto"/>
                                        <w:bottom w:val="none" w:sz="0" w:space="0" w:color="auto"/>
                                        <w:right w:val="none" w:sz="0" w:space="0" w:color="auto"/>
                                      </w:divBdr>
                                      <w:divsChild>
                                        <w:div w:id="2136216142">
                                          <w:marLeft w:val="0"/>
                                          <w:marRight w:val="0"/>
                                          <w:marTop w:val="120"/>
                                          <w:marBottom w:val="0"/>
                                          <w:divBdr>
                                            <w:top w:val="none" w:sz="0" w:space="0" w:color="auto"/>
                                            <w:left w:val="none" w:sz="0" w:space="0" w:color="auto"/>
                                            <w:bottom w:val="none" w:sz="0" w:space="0" w:color="auto"/>
                                            <w:right w:val="none" w:sz="0" w:space="0" w:color="auto"/>
                                          </w:divBdr>
                                        </w:div>
                                        <w:div w:id="1194228612">
                                          <w:marLeft w:val="0"/>
                                          <w:marRight w:val="0"/>
                                          <w:marTop w:val="0"/>
                                          <w:marBottom w:val="0"/>
                                          <w:divBdr>
                                            <w:top w:val="none" w:sz="0" w:space="0" w:color="auto"/>
                                            <w:left w:val="none" w:sz="0" w:space="0" w:color="auto"/>
                                            <w:bottom w:val="none" w:sz="0" w:space="0" w:color="auto"/>
                                            <w:right w:val="none" w:sz="0" w:space="0" w:color="auto"/>
                                          </w:divBdr>
                                        </w:div>
                                      </w:divsChild>
                                    </w:div>
                                    <w:div w:id="708991658">
                                      <w:marLeft w:val="0"/>
                                      <w:marRight w:val="0"/>
                                      <w:marTop w:val="0"/>
                                      <w:marBottom w:val="0"/>
                                      <w:divBdr>
                                        <w:top w:val="none" w:sz="0" w:space="0" w:color="auto"/>
                                        <w:left w:val="none" w:sz="0" w:space="0" w:color="auto"/>
                                        <w:bottom w:val="none" w:sz="0" w:space="0" w:color="auto"/>
                                        <w:right w:val="none" w:sz="0" w:space="0" w:color="auto"/>
                                      </w:divBdr>
                                      <w:divsChild>
                                        <w:div w:id="784084200">
                                          <w:marLeft w:val="0"/>
                                          <w:marRight w:val="0"/>
                                          <w:marTop w:val="120"/>
                                          <w:marBottom w:val="0"/>
                                          <w:divBdr>
                                            <w:top w:val="none" w:sz="0" w:space="0" w:color="auto"/>
                                            <w:left w:val="none" w:sz="0" w:space="0" w:color="auto"/>
                                            <w:bottom w:val="none" w:sz="0" w:space="0" w:color="auto"/>
                                            <w:right w:val="none" w:sz="0" w:space="0" w:color="auto"/>
                                          </w:divBdr>
                                        </w:div>
                                        <w:div w:id="1604873875">
                                          <w:marLeft w:val="0"/>
                                          <w:marRight w:val="0"/>
                                          <w:marTop w:val="0"/>
                                          <w:marBottom w:val="0"/>
                                          <w:divBdr>
                                            <w:top w:val="none" w:sz="0" w:space="0" w:color="auto"/>
                                            <w:left w:val="none" w:sz="0" w:space="0" w:color="auto"/>
                                            <w:bottom w:val="none" w:sz="0" w:space="0" w:color="auto"/>
                                            <w:right w:val="none" w:sz="0" w:space="0" w:color="auto"/>
                                          </w:divBdr>
                                        </w:div>
                                      </w:divsChild>
                                    </w:div>
                                    <w:div w:id="1801340652">
                                      <w:marLeft w:val="0"/>
                                      <w:marRight w:val="0"/>
                                      <w:marTop w:val="0"/>
                                      <w:marBottom w:val="0"/>
                                      <w:divBdr>
                                        <w:top w:val="none" w:sz="0" w:space="0" w:color="auto"/>
                                        <w:left w:val="none" w:sz="0" w:space="0" w:color="auto"/>
                                        <w:bottom w:val="none" w:sz="0" w:space="0" w:color="auto"/>
                                        <w:right w:val="none" w:sz="0" w:space="0" w:color="auto"/>
                                      </w:divBdr>
                                      <w:divsChild>
                                        <w:div w:id="1347369587">
                                          <w:marLeft w:val="0"/>
                                          <w:marRight w:val="0"/>
                                          <w:marTop w:val="0"/>
                                          <w:marBottom w:val="0"/>
                                          <w:divBdr>
                                            <w:top w:val="none" w:sz="0" w:space="0" w:color="auto"/>
                                            <w:left w:val="none" w:sz="0" w:space="0" w:color="auto"/>
                                            <w:bottom w:val="none" w:sz="0" w:space="0" w:color="auto"/>
                                            <w:right w:val="none" w:sz="0" w:space="0" w:color="auto"/>
                                          </w:divBdr>
                                        </w:div>
                                      </w:divsChild>
                                    </w:div>
                                    <w:div w:id="503713534">
                                      <w:marLeft w:val="0"/>
                                      <w:marRight w:val="0"/>
                                      <w:marTop w:val="0"/>
                                      <w:marBottom w:val="0"/>
                                      <w:divBdr>
                                        <w:top w:val="none" w:sz="0" w:space="0" w:color="auto"/>
                                        <w:left w:val="none" w:sz="0" w:space="0" w:color="auto"/>
                                        <w:bottom w:val="none" w:sz="0" w:space="0" w:color="auto"/>
                                        <w:right w:val="none" w:sz="0" w:space="0" w:color="auto"/>
                                      </w:divBdr>
                                      <w:divsChild>
                                        <w:div w:id="783620265">
                                          <w:marLeft w:val="0"/>
                                          <w:marRight w:val="0"/>
                                          <w:marTop w:val="0"/>
                                          <w:marBottom w:val="0"/>
                                          <w:divBdr>
                                            <w:top w:val="none" w:sz="0" w:space="0" w:color="auto"/>
                                            <w:left w:val="none" w:sz="0" w:space="0" w:color="auto"/>
                                            <w:bottom w:val="none" w:sz="0" w:space="0" w:color="auto"/>
                                            <w:right w:val="none" w:sz="0" w:space="0" w:color="auto"/>
                                          </w:divBdr>
                                          <w:divsChild>
                                            <w:div w:id="2127892285">
                                              <w:marLeft w:val="0"/>
                                              <w:marRight w:val="0"/>
                                              <w:marTop w:val="0"/>
                                              <w:marBottom w:val="0"/>
                                              <w:divBdr>
                                                <w:top w:val="none" w:sz="0" w:space="0" w:color="auto"/>
                                                <w:left w:val="none" w:sz="0" w:space="0" w:color="auto"/>
                                                <w:bottom w:val="none" w:sz="0" w:space="0" w:color="auto"/>
                                                <w:right w:val="none" w:sz="0" w:space="0" w:color="auto"/>
                                              </w:divBdr>
                                              <w:divsChild>
                                                <w:div w:id="1485586231">
                                                  <w:marLeft w:val="0"/>
                                                  <w:marRight w:val="0"/>
                                                  <w:marTop w:val="120"/>
                                                  <w:marBottom w:val="0"/>
                                                  <w:divBdr>
                                                    <w:top w:val="none" w:sz="0" w:space="0" w:color="auto"/>
                                                    <w:left w:val="none" w:sz="0" w:space="0" w:color="auto"/>
                                                    <w:bottom w:val="none" w:sz="0" w:space="0" w:color="auto"/>
                                                    <w:right w:val="none" w:sz="0" w:space="0" w:color="auto"/>
                                                  </w:divBdr>
                                                </w:div>
                                                <w:div w:id="780304236">
                                                  <w:marLeft w:val="0"/>
                                                  <w:marRight w:val="0"/>
                                                  <w:marTop w:val="0"/>
                                                  <w:marBottom w:val="0"/>
                                                  <w:divBdr>
                                                    <w:top w:val="none" w:sz="0" w:space="0" w:color="auto"/>
                                                    <w:left w:val="none" w:sz="0" w:space="0" w:color="auto"/>
                                                    <w:bottom w:val="none" w:sz="0" w:space="0" w:color="auto"/>
                                                    <w:right w:val="none" w:sz="0" w:space="0" w:color="auto"/>
                                                  </w:divBdr>
                                                </w:div>
                                              </w:divsChild>
                                            </w:div>
                                            <w:div w:id="1553149196">
                                              <w:marLeft w:val="0"/>
                                              <w:marRight w:val="0"/>
                                              <w:marTop w:val="0"/>
                                              <w:marBottom w:val="0"/>
                                              <w:divBdr>
                                                <w:top w:val="none" w:sz="0" w:space="0" w:color="auto"/>
                                                <w:left w:val="none" w:sz="0" w:space="0" w:color="auto"/>
                                                <w:bottom w:val="none" w:sz="0" w:space="0" w:color="auto"/>
                                                <w:right w:val="none" w:sz="0" w:space="0" w:color="auto"/>
                                              </w:divBdr>
                                              <w:divsChild>
                                                <w:div w:id="801463024">
                                                  <w:marLeft w:val="0"/>
                                                  <w:marRight w:val="0"/>
                                                  <w:marTop w:val="120"/>
                                                  <w:marBottom w:val="0"/>
                                                  <w:divBdr>
                                                    <w:top w:val="none" w:sz="0" w:space="0" w:color="auto"/>
                                                    <w:left w:val="none" w:sz="0" w:space="0" w:color="auto"/>
                                                    <w:bottom w:val="none" w:sz="0" w:space="0" w:color="auto"/>
                                                    <w:right w:val="none" w:sz="0" w:space="0" w:color="auto"/>
                                                  </w:divBdr>
                                                </w:div>
                                                <w:div w:id="120332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11167">
                                      <w:marLeft w:val="0"/>
                                      <w:marRight w:val="0"/>
                                      <w:marTop w:val="0"/>
                                      <w:marBottom w:val="0"/>
                                      <w:divBdr>
                                        <w:top w:val="none" w:sz="0" w:space="0" w:color="auto"/>
                                        <w:left w:val="none" w:sz="0" w:space="0" w:color="auto"/>
                                        <w:bottom w:val="none" w:sz="0" w:space="0" w:color="auto"/>
                                        <w:right w:val="none" w:sz="0" w:space="0" w:color="auto"/>
                                      </w:divBdr>
                                      <w:divsChild>
                                        <w:div w:id="819150775">
                                          <w:marLeft w:val="0"/>
                                          <w:marRight w:val="0"/>
                                          <w:marTop w:val="0"/>
                                          <w:marBottom w:val="0"/>
                                          <w:divBdr>
                                            <w:top w:val="none" w:sz="0" w:space="0" w:color="auto"/>
                                            <w:left w:val="none" w:sz="0" w:space="0" w:color="auto"/>
                                            <w:bottom w:val="none" w:sz="0" w:space="0" w:color="auto"/>
                                            <w:right w:val="none" w:sz="0" w:space="0" w:color="auto"/>
                                          </w:divBdr>
                                        </w:div>
                                      </w:divsChild>
                                    </w:div>
                                    <w:div w:id="33240013">
                                      <w:marLeft w:val="0"/>
                                      <w:marRight w:val="0"/>
                                      <w:marTop w:val="0"/>
                                      <w:marBottom w:val="0"/>
                                      <w:divBdr>
                                        <w:top w:val="none" w:sz="0" w:space="0" w:color="auto"/>
                                        <w:left w:val="none" w:sz="0" w:space="0" w:color="auto"/>
                                        <w:bottom w:val="none" w:sz="0" w:space="0" w:color="auto"/>
                                        <w:right w:val="none" w:sz="0" w:space="0" w:color="auto"/>
                                      </w:divBdr>
                                      <w:divsChild>
                                        <w:div w:id="693311722">
                                          <w:marLeft w:val="0"/>
                                          <w:marRight w:val="0"/>
                                          <w:marTop w:val="120"/>
                                          <w:marBottom w:val="0"/>
                                          <w:divBdr>
                                            <w:top w:val="none" w:sz="0" w:space="0" w:color="auto"/>
                                            <w:left w:val="none" w:sz="0" w:space="0" w:color="auto"/>
                                            <w:bottom w:val="none" w:sz="0" w:space="0" w:color="auto"/>
                                            <w:right w:val="none" w:sz="0" w:space="0" w:color="auto"/>
                                          </w:divBdr>
                                        </w:div>
                                        <w:div w:id="1288438070">
                                          <w:marLeft w:val="0"/>
                                          <w:marRight w:val="0"/>
                                          <w:marTop w:val="0"/>
                                          <w:marBottom w:val="0"/>
                                          <w:divBdr>
                                            <w:top w:val="none" w:sz="0" w:space="0" w:color="auto"/>
                                            <w:left w:val="none" w:sz="0" w:space="0" w:color="auto"/>
                                            <w:bottom w:val="none" w:sz="0" w:space="0" w:color="auto"/>
                                            <w:right w:val="none" w:sz="0" w:space="0" w:color="auto"/>
                                          </w:divBdr>
                                        </w:div>
                                      </w:divsChild>
                                    </w:div>
                                    <w:div w:id="589048117">
                                      <w:marLeft w:val="0"/>
                                      <w:marRight w:val="0"/>
                                      <w:marTop w:val="0"/>
                                      <w:marBottom w:val="0"/>
                                      <w:divBdr>
                                        <w:top w:val="none" w:sz="0" w:space="0" w:color="auto"/>
                                        <w:left w:val="none" w:sz="0" w:space="0" w:color="auto"/>
                                        <w:bottom w:val="none" w:sz="0" w:space="0" w:color="auto"/>
                                        <w:right w:val="none" w:sz="0" w:space="0" w:color="auto"/>
                                      </w:divBdr>
                                      <w:divsChild>
                                        <w:div w:id="1599289970">
                                          <w:marLeft w:val="0"/>
                                          <w:marRight w:val="0"/>
                                          <w:marTop w:val="120"/>
                                          <w:marBottom w:val="0"/>
                                          <w:divBdr>
                                            <w:top w:val="none" w:sz="0" w:space="0" w:color="auto"/>
                                            <w:left w:val="none" w:sz="0" w:space="0" w:color="auto"/>
                                            <w:bottom w:val="none" w:sz="0" w:space="0" w:color="auto"/>
                                            <w:right w:val="none" w:sz="0" w:space="0" w:color="auto"/>
                                          </w:divBdr>
                                        </w:div>
                                        <w:div w:id="1338193174">
                                          <w:marLeft w:val="0"/>
                                          <w:marRight w:val="0"/>
                                          <w:marTop w:val="0"/>
                                          <w:marBottom w:val="0"/>
                                          <w:divBdr>
                                            <w:top w:val="none" w:sz="0" w:space="0" w:color="auto"/>
                                            <w:left w:val="none" w:sz="0" w:space="0" w:color="auto"/>
                                            <w:bottom w:val="none" w:sz="0" w:space="0" w:color="auto"/>
                                            <w:right w:val="none" w:sz="0" w:space="0" w:color="auto"/>
                                          </w:divBdr>
                                        </w:div>
                                      </w:divsChild>
                                    </w:div>
                                    <w:div w:id="159546873">
                                      <w:marLeft w:val="0"/>
                                      <w:marRight w:val="0"/>
                                      <w:marTop w:val="0"/>
                                      <w:marBottom w:val="0"/>
                                      <w:divBdr>
                                        <w:top w:val="none" w:sz="0" w:space="0" w:color="auto"/>
                                        <w:left w:val="none" w:sz="0" w:space="0" w:color="auto"/>
                                        <w:bottom w:val="none" w:sz="0" w:space="0" w:color="auto"/>
                                        <w:right w:val="none" w:sz="0" w:space="0" w:color="auto"/>
                                      </w:divBdr>
                                      <w:divsChild>
                                        <w:div w:id="2065568681">
                                          <w:marLeft w:val="0"/>
                                          <w:marRight w:val="0"/>
                                          <w:marTop w:val="120"/>
                                          <w:marBottom w:val="0"/>
                                          <w:divBdr>
                                            <w:top w:val="none" w:sz="0" w:space="0" w:color="auto"/>
                                            <w:left w:val="none" w:sz="0" w:space="0" w:color="auto"/>
                                            <w:bottom w:val="none" w:sz="0" w:space="0" w:color="auto"/>
                                            <w:right w:val="none" w:sz="0" w:space="0" w:color="auto"/>
                                          </w:divBdr>
                                        </w:div>
                                        <w:div w:id="1225217103">
                                          <w:marLeft w:val="0"/>
                                          <w:marRight w:val="0"/>
                                          <w:marTop w:val="0"/>
                                          <w:marBottom w:val="0"/>
                                          <w:divBdr>
                                            <w:top w:val="none" w:sz="0" w:space="0" w:color="auto"/>
                                            <w:left w:val="none" w:sz="0" w:space="0" w:color="auto"/>
                                            <w:bottom w:val="none" w:sz="0" w:space="0" w:color="auto"/>
                                            <w:right w:val="none" w:sz="0" w:space="0" w:color="auto"/>
                                          </w:divBdr>
                                        </w:div>
                                      </w:divsChild>
                                    </w:div>
                                    <w:div w:id="1316103043">
                                      <w:marLeft w:val="0"/>
                                      <w:marRight w:val="0"/>
                                      <w:marTop w:val="0"/>
                                      <w:marBottom w:val="0"/>
                                      <w:divBdr>
                                        <w:top w:val="none" w:sz="0" w:space="0" w:color="auto"/>
                                        <w:left w:val="none" w:sz="0" w:space="0" w:color="auto"/>
                                        <w:bottom w:val="none" w:sz="0" w:space="0" w:color="auto"/>
                                        <w:right w:val="none" w:sz="0" w:space="0" w:color="auto"/>
                                      </w:divBdr>
                                      <w:divsChild>
                                        <w:div w:id="55780537">
                                          <w:marLeft w:val="0"/>
                                          <w:marRight w:val="0"/>
                                          <w:marTop w:val="0"/>
                                          <w:marBottom w:val="0"/>
                                          <w:divBdr>
                                            <w:top w:val="none" w:sz="0" w:space="0" w:color="auto"/>
                                            <w:left w:val="none" w:sz="0" w:space="0" w:color="auto"/>
                                            <w:bottom w:val="none" w:sz="0" w:space="0" w:color="auto"/>
                                            <w:right w:val="none" w:sz="0" w:space="0" w:color="auto"/>
                                          </w:divBdr>
                                          <w:divsChild>
                                            <w:div w:id="449016637">
                                              <w:marLeft w:val="0"/>
                                              <w:marRight w:val="0"/>
                                              <w:marTop w:val="0"/>
                                              <w:marBottom w:val="0"/>
                                              <w:divBdr>
                                                <w:top w:val="none" w:sz="0" w:space="0" w:color="auto"/>
                                                <w:left w:val="none" w:sz="0" w:space="0" w:color="auto"/>
                                                <w:bottom w:val="none" w:sz="0" w:space="0" w:color="auto"/>
                                                <w:right w:val="none" w:sz="0" w:space="0" w:color="auto"/>
                                              </w:divBdr>
                                              <w:divsChild>
                                                <w:div w:id="1718628525">
                                                  <w:marLeft w:val="0"/>
                                                  <w:marRight w:val="0"/>
                                                  <w:marTop w:val="120"/>
                                                  <w:marBottom w:val="0"/>
                                                  <w:divBdr>
                                                    <w:top w:val="none" w:sz="0" w:space="0" w:color="auto"/>
                                                    <w:left w:val="none" w:sz="0" w:space="0" w:color="auto"/>
                                                    <w:bottom w:val="none" w:sz="0" w:space="0" w:color="auto"/>
                                                    <w:right w:val="none" w:sz="0" w:space="0" w:color="auto"/>
                                                  </w:divBdr>
                                                </w:div>
                                                <w:div w:id="1218934710">
                                                  <w:marLeft w:val="0"/>
                                                  <w:marRight w:val="0"/>
                                                  <w:marTop w:val="0"/>
                                                  <w:marBottom w:val="0"/>
                                                  <w:divBdr>
                                                    <w:top w:val="none" w:sz="0" w:space="0" w:color="auto"/>
                                                    <w:left w:val="none" w:sz="0" w:space="0" w:color="auto"/>
                                                    <w:bottom w:val="none" w:sz="0" w:space="0" w:color="auto"/>
                                                    <w:right w:val="none" w:sz="0" w:space="0" w:color="auto"/>
                                                  </w:divBdr>
                                                  <w:divsChild>
                                                    <w:div w:id="921255357">
                                                      <w:marLeft w:val="0"/>
                                                      <w:marRight w:val="0"/>
                                                      <w:marTop w:val="0"/>
                                                      <w:marBottom w:val="0"/>
                                                      <w:divBdr>
                                                        <w:top w:val="none" w:sz="0" w:space="0" w:color="auto"/>
                                                        <w:left w:val="none" w:sz="0" w:space="0" w:color="auto"/>
                                                        <w:bottom w:val="none" w:sz="0" w:space="0" w:color="auto"/>
                                                        <w:right w:val="none" w:sz="0" w:space="0" w:color="auto"/>
                                                      </w:divBdr>
                                                      <w:divsChild>
                                                        <w:div w:id="1826822585">
                                                          <w:marLeft w:val="0"/>
                                                          <w:marRight w:val="0"/>
                                                          <w:marTop w:val="120"/>
                                                          <w:marBottom w:val="0"/>
                                                          <w:divBdr>
                                                            <w:top w:val="none" w:sz="0" w:space="0" w:color="auto"/>
                                                            <w:left w:val="none" w:sz="0" w:space="0" w:color="auto"/>
                                                            <w:bottom w:val="none" w:sz="0" w:space="0" w:color="auto"/>
                                                            <w:right w:val="none" w:sz="0" w:space="0" w:color="auto"/>
                                                          </w:divBdr>
                                                        </w:div>
                                                        <w:div w:id="1617829558">
                                                          <w:marLeft w:val="0"/>
                                                          <w:marRight w:val="0"/>
                                                          <w:marTop w:val="0"/>
                                                          <w:marBottom w:val="0"/>
                                                          <w:divBdr>
                                                            <w:top w:val="none" w:sz="0" w:space="0" w:color="auto"/>
                                                            <w:left w:val="none" w:sz="0" w:space="0" w:color="auto"/>
                                                            <w:bottom w:val="none" w:sz="0" w:space="0" w:color="auto"/>
                                                            <w:right w:val="none" w:sz="0" w:space="0" w:color="auto"/>
                                                          </w:divBdr>
                                                        </w:div>
                                                      </w:divsChild>
                                                    </w:div>
                                                    <w:div w:id="1705792026">
                                                      <w:marLeft w:val="0"/>
                                                      <w:marRight w:val="0"/>
                                                      <w:marTop w:val="0"/>
                                                      <w:marBottom w:val="0"/>
                                                      <w:divBdr>
                                                        <w:top w:val="none" w:sz="0" w:space="0" w:color="auto"/>
                                                        <w:left w:val="none" w:sz="0" w:space="0" w:color="auto"/>
                                                        <w:bottom w:val="none" w:sz="0" w:space="0" w:color="auto"/>
                                                        <w:right w:val="none" w:sz="0" w:space="0" w:color="auto"/>
                                                      </w:divBdr>
                                                      <w:divsChild>
                                                        <w:div w:id="241834324">
                                                          <w:marLeft w:val="0"/>
                                                          <w:marRight w:val="0"/>
                                                          <w:marTop w:val="120"/>
                                                          <w:marBottom w:val="0"/>
                                                          <w:divBdr>
                                                            <w:top w:val="none" w:sz="0" w:space="0" w:color="auto"/>
                                                            <w:left w:val="none" w:sz="0" w:space="0" w:color="auto"/>
                                                            <w:bottom w:val="none" w:sz="0" w:space="0" w:color="auto"/>
                                                            <w:right w:val="none" w:sz="0" w:space="0" w:color="auto"/>
                                                          </w:divBdr>
                                                        </w:div>
                                                        <w:div w:id="109852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9982">
                                              <w:marLeft w:val="0"/>
                                              <w:marRight w:val="0"/>
                                              <w:marTop w:val="0"/>
                                              <w:marBottom w:val="0"/>
                                              <w:divBdr>
                                                <w:top w:val="none" w:sz="0" w:space="0" w:color="auto"/>
                                                <w:left w:val="none" w:sz="0" w:space="0" w:color="auto"/>
                                                <w:bottom w:val="none" w:sz="0" w:space="0" w:color="auto"/>
                                                <w:right w:val="none" w:sz="0" w:space="0" w:color="auto"/>
                                              </w:divBdr>
                                              <w:divsChild>
                                                <w:div w:id="381713682">
                                                  <w:marLeft w:val="0"/>
                                                  <w:marRight w:val="0"/>
                                                  <w:marTop w:val="120"/>
                                                  <w:marBottom w:val="0"/>
                                                  <w:divBdr>
                                                    <w:top w:val="none" w:sz="0" w:space="0" w:color="auto"/>
                                                    <w:left w:val="none" w:sz="0" w:space="0" w:color="auto"/>
                                                    <w:bottom w:val="none" w:sz="0" w:space="0" w:color="auto"/>
                                                    <w:right w:val="none" w:sz="0" w:space="0" w:color="auto"/>
                                                  </w:divBdr>
                                                </w:div>
                                                <w:div w:id="93552059">
                                                  <w:marLeft w:val="0"/>
                                                  <w:marRight w:val="0"/>
                                                  <w:marTop w:val="0"/>
                                                  <w:marBottom w:val="0"/>
                                                  <w:divBdr>
                                                    <w:top w:val="none" w:sz="0" w:space="0" w:color="auto"/>
                                                    <w:left w:val="none" w:sz="0" w:space="0" w:color="auto"/>
                                                    <w:bottom w:val="none" w:sz="0" w:space="0" w:color="auto"/>
                                                    <w:right w:val="none" w:sz="0" w:space="0" w:color="auto"/>
                                                  </w:divBdr>
                                                  <w:divsChild>
                                                    <w:div w:id="116142567">
                                                      <w:marLeft w:val="0"/>
                                                      <w:marRight w:val="0"/>
                                                      <w:marTop w:val="0"/>
                                                      <w:marBottom w:val="0"/>
                                                      <w:divBdr>
                                                        <w:top w:val="none" w:sz="0" w:space="0" w:color="auto"/>
                                                        <w:left w:val="none" w:sz="0" w:space="0" w:color="auto"/>
                                                        <w:bottom w:val="none" w:sz="0" w:space="0" w:color="auto"/>
                                                        <w:right w:val="none" w:sz="0" w:space="0" w:color="auto"/>
                                                      </w:divBdr>
                                                      <w:divsChild>
                                                        <w:div w:id="923807692">
                                                          <w:marLeft w:val="0"/>
                                                          <w:marRight w:val="0"/>
                                                          <w:marTop w:val="120"/>
                                                          <w:marBottom w:val="0"/>
                                                          <w:divBdr>
                                                            <w:top w:val="none" w:sz="0" w:space="0" w:color="auto"/>
                                                            <w:left w:val="none" w:sz="0" w:space="0" w:color="auto"/>
                                                            <w:bottom w:val="none" w:sz="0" w:space="0" w:color="auto"/>
                                                            <w:right w:val="none" w:sz="0" w:space="0" w:color="auto"/>
                                                          </w:divBdr>
                                                        </w:div>
                                                        <w:div w:id="790981179">
                                                          <w:marLeft w:val="0"/>
                                                          <w:marRight w:val="0"/>
                                                          <w:marTop w:val="0"/>
                                                          <w:marBottom w:val="0"/>
                                                          <w:divBdr>
                                                            <w:top w:val="none" w:sz="0" w:space="0" w:color="auto"/>
                                                            <w:left w:val="none" w:sz="0" w:space="0" w:color="auto"/>
                                                            <w:bottom w:val="none" w:sz="0" w:space="0" w:color="auto"/>
                                                            <w:right w:val="none" w:sz="0" w:space="0" w:color="auto"/>
                                                          </w:divBdr>
                                                        </w:div>
                                                      </w:divsChild>
                                                    </w:div>
                                                    <w:div w:id="117114730">
                                                      <w:marLeft w:val="0"/>
                                                      <w:marRight w:val="0"/>
                                                      <w:marTop w:val="0"/>
                                                      <w:marBottom w:val="0"/>
                                                      <w:divBdr>
                                                        <w:top w:val="none" w:sz="0" w:space="0" w:color="auto"/>
                                                        <w:left w:val="none" w:sz="0" w:space="0" w:color="auto"/>
                                                        <w:bottom w:val="none" w:sz="0" w:space="0" w:color="auto"/>
                                                        <w:right w:val="none" w:sz="0" w:space="0" w:color="auto"/>
                                                      </w:divBdr>
                                                      <w:divsChild>
                                                        <w:div w:id="2112312210">
                                                          <w:marLeft w:val="0"/>
                                                          <w:marRight w:val="0"/>
                                                          <w:marTop w:val="120"/>
                                                          <w:marBottom w:val="0"/>
                                                          <w:divBdr>
                                                            <w:top w:val="none" w:sz="0" w:space="0" w:color="auto"/>
                                                            <w:left w:val="none" w:sz="0" w:space="0" w:color="auto"/>
                                                            <w:bottom w:val="none" w:sz="0" w:space="0" w:color="auto"/>
                                                            <w:right w:val="none" w:sz="0" w:space="0" w:color="auto"/>
                                                          </w:divBdr>
                                                        </w:div>
                                                        <w:div w:id="38699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952202">
                                      <w:marLeft w:val="0"/>
                                      <w:marRight w:val="0"/>
                                      <w:marTop w:val="0"/>
                                      <w:marBottom w:val="0"/>
                                      <w:divBdr>
                                        <w:top w:val="none" w:sz="0" w:space="0" w:color="auto"/>
                                        <w:left w:val="none" w:sz="0" w:space="0" w:color="auto"/>
                                        <w:bottom w:val="none" w:sz="0" w:space="0" w:color="auto"/>
                                        <w:right w:val="none" w:sz="0" w:space="0" w:color="auto"/>
                                      </w:divBdr>
                                      <w:divsChild>
                                        <w:div w:id="1713534200">
                                          <w:marLeft w:val="0"/>
                                          <w:marRight w:val="0"/>
                                          <w:marTop w:val="120"/>
                                          <w:marBottom w:val="0"/>
                                          <w:divBdr>
                                            <w:top w:val="none" w:sz="0" w:space="0" w:color="auto"/>
                                            <w:left w:val="none" w:sz="0" w:space="0" w:color="auto"/>
                                            <w:bottom w:val="none" w:sz="0" w:space="0" w:color="auto"/>
                                            <w:right w:val="none" w:sz="0" w:space="0" w:color="auto"/>
                                          </w:divBdr>
                                        </w:div>
                                        <w:div w:id="2108035695">
                                          <w:marLeft w:val="0"/>
                                          <w:marRight w:val="0"/>
                                          <w:marTop w:val="0"/>
                                          <w:marBottom w:val="0"/>
                                          <w:divBdr>
                                            <w:top w:val="none" w:sz="0" w:space="0" w:color="auto"/>
                                            <w:left w:val="none" w:sz="0" w:space="0" w:color="auto"/>
                                            <w:bottom w:val="none" w:sz="0" w:space="0" w:color="auto"/>
                                            <w:right w:val="none" w:sz="0" w:space="0" w:color="auto"/>
                                          </w:divBdr>
                                        </w:div>
                                      </w:divsChild>
                                    </w:div>
                                    <w:div w:id="107358976">
                                      <w:marLeft w:val="0"/>
                                      <w:marRight w:val="0"/>
                                      <w:marTop w:val="0"/>
                                      <w:marBottom w:val="0"/>
                                      <w:divBdr>
                                        <w:top w:val="none" w:sz="0" w:space="0" w:color="auto"/>
                                        <w:left w:val="none" w:sz="0" w:space="0" w:color="auto"/>
                                        <w:bottom w:val="none" w:sz="0" w:space="0" w:color="auto"/>
                                        <w:right w:val="none" w:sz="0" w:space="0" w:color="auto"/>
                                      </w:divBdr>
                                      <w:divsChild>
                                        <w:div w:id="616762753">
                                          <w:marLeft w:val="0"/>
                                          <w:marRight w:val="0"/>
                                          <w:marTop w:val="120"/>
                                          <w:marBottom w:val="0"/>
                                          <w:divBdr>
                                            <w:top w:val="none" w:sz="0" w:space="0" w:color="auto"/>
                                            <w:left w:val="none" w:sz="0" w:space="0" w:color="auto"/>
                                            <w:bottom w:val="none" w:sz="0" w:space="0" w:color="auto"/>
                                            <w:right w:val="none" w:sz="0" w:space="0" w:color="auto"/>
                                          </w:divBdr>
                                        </w:div>
                                        <w:div w:id="580649554">
                                          <w:marLeft w:val="0"/>
                                          <w:marRight w:val="0"/>
                                          <w:marTop w:val="0"/>
                                          <w:marBottom w:val="0"/>
                                          <w:divBdr>
                                            <w:top w:val="none" w:sz="0" w:space="0" w:color="auto"/>
                                            <w:left w:val="none" w:sz="0" w:space="0" w:color="auto"/>
                                            <w:bottom w:val="none" w:sz="0" w:space="0" w:color="auto"/>
                                            <w:right w:val="none" w:sz="0" w:space="0" w:color="auto"/>
                                          </w:divBdr>
                                        </w:div>
                                      </w:divsChild>
                                    </w:div>
                                    <w:div w:id="1281955798">
                                      <w:marLeft w:val="0"/>
                                      <w:marRight w:val="0"/>
                                      <w:marTop w:val="0"/>
                                      <w:marBottom w:val="0"/>
                                      <w:divBdr>
                                        <w:top w:val="none" w:sz="0" w:space="0" w:color="auto"/>
                                        <w:left w:val="none" w:sz="0" w:space="0" w:color="auto"/>
                                        <w:bottom w:val="none" w:sz="0" w:space="0" w:color="auto"/>
                                        <w:right w:val="none" w:sz="0" w:space="0" w:color="auto"/>
                                      </w:divBdr>
                                      <w:divsChild>
                                        <w:div w:id="300038076">
                                          <w:marLeft w:val="0"/>
                                          <w:marRight w:val="0"/>
                                          <w:marTop w:val="0"/>
                                          <w:marBottom w:val="0"/>
                                          <w:divBdr>
                                            <w:top w:val="none" w:sz="0" w:space="0" w:color="auto"/>
                                            <w:left w:val="none" w:sz="0" w:space="0" w:color="auto"/>
                                            <w:bottom w:val="none" w:sz="0" w:space="0" w:color="auto"/>
                                            <w:right w:val="none" w:sz="0" w:space="0" w:color="auto"/>
                                          </w:divBdr>
                                          <w:divsChild>
                                            <w:div w:id="190454520">
                                              <w:marLeft w:val="0"/>
                                              <w:marRight w:val="0"/>
                                              <w:marTop w:val="0"/>
                                              <w:marBottom w:val="0"/>
                                              <w:divBdr>
                                                <w:top w:val="none" w:sz="0" w:space="0" w:color="auto"/>
                                                <w:left w:val="none" w:sz="0" w:space="0" w:color="auto"/>
                                                <w:bottom w:val="none" w:sz="0" w:space="0" w:color="auto"/>
                                                <w:right w:val="none" w:sz="0" w:space="0" w:color="auto"/>
                                              </w:divBdr>
                                              <w:divsChild>
                                                <w:div w:id="842354615">
                                                  <w:marLeft w:val="0"/>
                                                  <w:marRight w:val="0"/>
                                                  <w:marTop w:val="120"/>
                                                  <w:marBottom w:val="0"/>
                                                  <w:divBdr>
                                                    <w:top w:val="none" w:sz="0" w:space="0" w:color="auto"/>
                                                    <w:left w:val="none" w:sz="0" w:space="0" w:color="auto"/>
                                                    <w:bottom w:val="none" w:sz="0" w:space="0" w:color="auto"/>
                                                    <w:right w:val="none" w:sz="0" w:space="0" w:color="auto"/>
                                                  </w:divBdr>
                                                </w:div>
                                                <w:div w:id="1003780835">
                                                  <w:marLeft w:val="0"/>
                                                  <w:marRight w:val="0"/>
                                                  <w:marTop w:val="0"/>
                                                  <w:marBottom w:val="0"/>
                                                  <w:divBdr>
                                                    <w:top w:val="none" w:sz="0" w:space="0" w:color="auto"/>
                                                    <w:left w:val="none" w:sz="0" w:space="0" w:color="auto"/>
                                                    <w:bottom w:val="none" w:sz="0" w:space="0" w:color="auto"/>
                                                    <w:right w:val="none" w:sz="0" w:space="0" w:color="auto"/>
                                                  </w:divBdr>
                                                </w:div>
                                              </w:divsChild>
                                            </w:div>
                                            <w:div w:id="1234389321">
                                              <w:marLeft w:val="0"/>
                                              <w:marRight w:val="0"/>
                                              <w:marTop w:val="0"/>
                                              <w:marBottom w:val="0"/>
                                              <w:divBdr>
                                                <w:top w:val="none" w:sz="0" w:space="0" w:color="auto"/>
                                                <w:left w:val="none" w:sz="0" w:space="0" w:color="auto"/>
                                                <w:bottom w:val="none" w:sz="0" w:space="0" w:color="auto"/>
                                                <w:right w:val="none" w:sz="0" w:space="0" w:color="auto"/>
                                              </w:divBdr>
                                              <w:divsChild>
                                                <w:div w:id="725761665">
                                                  <w:marLeft w:val="0"/>
                                                  <w:marRight w:val="0"/>
                                                  <w:marTop w:val="120"/>
                                                  <w:marBottom w:val="0"/>
                                                  <w:divBdr>
                                                    <w:top w:val="none" w:sz="0" w:space="0" w:color="auto"/>
                                                    <w:left w:val="none" w:sz="0" w:space="0" w:color="auto"/>
                                                    <w:bottom w:val="none" w:sz="0" w:space="0" w:color="auto"/>
                                                    <w:right w:val="none" w:sz="0" w:space="0" w:color="auto"/>
                                                  </w:divBdr>
                                                </w:div>
                                                <w:div w:id="13999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71890">
                                      <w:marLeft w:val="0"/>
                                      <w:marRight w:val="0"/>
                                      <w:marTop w:val="0"/>
                                      <w:marBottom w:val="0"/>
                                      <w:divBdr>
                                        <w:top w:val="none" w:sz="0" w:space="0" w:color="auto"/>
                                        <w:left w:val="none" w:sz="0" w:space="0" w:color="auto"/>
                                        <w:bottom w:val="none" w:sz="0" w:space="0" w:color="auto"/>
                                        <w:right w:val="none" w:sz="0" w:space="0" w:color="auto"/>
                                      </w:divBdr>
                                      <w:divsChild>
                                        <w:div w:id="82798038">
                                          <w:marLeft w:val="0"/>
                                          <w:marRight w:val="0"/>
                                          <w:marTop w:val="0"/>
                                          <w:marBottom w:val="0"/>
                                          <w:divBdr>
                                            <w:top w:val="none" w:sz="0" w:space="0" w:color="auto"/>
                                            <w:left w:val="none" w:sz="0" w:space="0" w:color="auto"/>
                                            <w:bottom w:val="none" w:sz="0" w:space="0" w:color="auto"/>
                                            <w:right w:val="none" w:sz="0" w:space="0" w:color="auto"/>
                                          </w:divBdr>
                                        </w:div>
                                      </w:divsChild>
                                    </w:div>
                                    <w:div w:id="104084527">
                                      <w:marLeft w:val="0"/>
                                      <w:marRight w:val="0"/>
                                      <w:marTop w:val="0"/>
                                      <w:marBottom w:val="0"/>
                                      <w:divBdr>
                                        <w:top w:val="none" w:sz="0" w:space="0" w:color="auto"/>
                                        <w:left w:val="none" w:sz="0" w:space="0" w:color="auto"/>
                                        <w:bottom w:val="none" w:sz="0" w:space="0" w:color="auto"/>
                                        <w:right w:val="none" w:sz="0" w:space="0" w:color="auto"/>
                                      </w:divBdr>
                                      <w:divsChild>
                                        <w:div w:id="153003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81108">
                                  <w:marLeft w:val="0"/>
                                  <w:marRight w:val="0"/>
                                  <w:marTop w:val="0"/>
                                  <w:marBottom w:val="0"/>
                                  <w:divBdr>
                                    <w:top w:val="none" w:sz="0" w:space="0" w:color="auto"/>
                                    <w:left w:val="none" w:sz="0" w:space="0" w:color="auto"/>
                                    <w:bottom w:val="none" w:sz="0" w:space="0" w:color="auto"/>
                                    <w:right w:val="none" w:sz="0" w:space="0" w:color="auto"/>
                                  </w:divBdr>
                                  <w:divsChild>
                                    <w:div w:id="503518053">
                                      <w:marLeft w:val="0"/>
                                      <w:marRight w:val="0"/>
                                      <w:marTop w:val="0"/>
                                      <w:marBottom w:val="0"/>
                                      <w:divBdr>
                                        <w:top w:val="none" w:sz="0" w:space="0" w:color="auto"/>
                                        <w:left w:val="none" w:sz="0" w:space="0" w:color="auto"/>
                                        <w:bottom w:val="none" w:sz="0" w:space="0" w:color="auto"/>
                                        <w:right w:val="none" w:sz="0" w:space="0" w:color="auto"/>
                                      </w:divBdr>
                                    </w:div>
                                    <w:div w:id="1882285132">
                                      <w:marLeft w:val="0"/>
                                      <w:marRight w:val="0"/>
                                      <w:marTop w:val="0"/>
                                      <w:marBottom w:val="0"/>
                                      <w:divBdr>
                                        <w:top w:val="none" w:sz="0" w:space="0" w:color="auto"/>
                                        <w:left w:val="none" w:sz="0" w:space="0" w:color="auto"/>
                                        <w:bottom w:val="none" w:sz="0" w:space="0" w:color="auto"/>
                                        <w:right w:val="none" w:sz="0" w:space="0" w:color="auto"/>
                                      </w:divBdr>
                                      <w:divsChild>
                                        <w:div w:id="960376134">
                                          <w:marLeft w:val="0"/>
                                          <w:marRight w:val="0"/>
                                          <w:marTop w:val="0"/>
                                          <w:marBottom w:val="0"/>
                                          <w:divBdr>
                                            <w:top w:val="none" w:sz="0" w:space="0" w:color="auto"/>
                                            <w:left w:val="none" w:sz="0" w:space="0" w:color="auto"/>
                                            <w:bottom w:val="none" w:sz="0" w:space="0" w:color="auto"/>
                                            <w:right w:val="none" w:sz="0" w:space="0" w:color="auto"/>
                                          </w:divBdr>
                                          <w:divsChild>
                                            <w:div w:id="1285962166">
                                              <w:marLeft w:val="0"/>
                                              <w:marRight w:val="0"/>
                                              <w:marTop w:val="0"/>
                                              <w:marBottom w:val="0"/>
                                              <w:divBdr>
                                                <w:top w:val="none" w:sz="0" w:space="0" w:color="auto"/>
                                                <w:left w:val="none" w:sz="0" w:space="0" w:color="auto"/>
                                                <w:bottom w:val="none" w:sz="0" w:space="0" w:color="auto"/>
                                                <w:right w:val="none" w:sz="0" w:space="0" w:color="auto"/>
                                              </w:divBdr>
                                              <w:divsChild>
                                                <w:div w:id="665789133">
                                                  <w:marLeft w:val="0"/>
                                                  <w:marRight w:val="0"/>
                                                  <w:marTop w:val="120"/>
                                                  <w:marBottom w:val="0"/>
                                                  <w:divBdr>
                                                    <w:top w:val="none" w:sz="0" w:space="0" w:color="auto"/>
                                                    <w:left w:val="none" w:sz="0" w:space="0" w:color="auto"/>
                                                    <w:bottom w:val="none" w:sz="0" w:space="0" w:color="auto"/>
                                                    <w:right w:val="none" w:sz="0" w:space="0" w:color="auto"/>
                                                  </w:divBdr>
                                                </w:div>
                                                <w:div w:id="510068411">
                                                  <w:marLeft w:val="0"/>
                                                  <w:marRight w:val="0"/>
                                                  <w:marTop w:val="0"/>
                                                  <w:marBottom w:val="0"/>
                                                  <w:divBdr>
                                                    <w:top w:val="none" w:sz="0" w:space="0" w:color="auto"/>
                                                    <w:left w:val="none" w:sz="0" w:space="0" w:color="auto"/>
                                                    <w:bottom w:val="none" w:sz="0" w:space="0" w:color="auto"/>
                                                    <w:right w:val="none" w:sz="0" w:space="0" w:color="auto"/>
                                                  </w:divBdr>
                                                </w:div>
                                              </w:divsChild>
                                            </w:div>
                                            <w:div w:id="1502695014">
                                              <w:marLeft w:val="0"/>
                                              <w:marRight w:val="0"/>
                                              <w:marTop w:val="0"/>
                                              <w:marBottom w:val="0"/>
                                              <w:divBdr>
                                                <w:top w:val="none" w:sz="0" w:space="0" w:color="auto"/>
                                                <w:left w:val="none" w:sz="0" w:space="0" w:color="auto"/>
                                                <w:bottom w:val="none" w:sz="0" w:space="0" w:color="auto"/>
                                                <w:right w:val="none" w:sz="0" w:space="0" w:color="auto"/>
                                              </w:divBdr>
                                              <w:divsChild>
                                                <w:div w:id="347683764">
                                                  <w:marLeft w:val="0"/>
                                                  <w:marRight w:val="0"/>
                                                  <w:marTop w:val="120"/>
                                                  <w:marBottom w:val="0"/>
                                                  <w:divBdr>
                                                    <w:top w:val="none" w:sz="0" w:space="0" w:color="auto"/>
                                                    <w:left w:val="none" w:sz="0" w:space="0" w:color="auto"/>
                                                    <w:bottom w:val="none" w:sz="0" w:space="0" w:color="auto"/>
                                                    <w:right w:val="none" w:sz="0" w:space="0" w:color="auto"/>
                                                  </w:divBdr>
                                                </w:div>
                                                <w:div w:id="14551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92964">
                                      <w:marLeft w:val="0"/>
                                      <w:marRight w:val="0"/>
                                      <w:marTop w:val="0"/>
                                      <w:marBottom w:val="0"/>
                                      <w:divBdr>
                                        <w:top w:val="none" w:sz="0" w:space="0" w:color="auto"/>
                                        <w:left w:val="none" w:sz="0" w:space="0" w:color="auto"/>
                                        <w:bottom w:val="none" w:sz="0" w:space="0" w:color="auto"/>
                                        <w:right w:val="none" w:sz="0" w:space="0" w:color="auto"/>
                                      </w:divBdr>
                                      <w:divsChild>
                                        <w:div w:id="467162651">
                                          <w:marLeft w:val="0"/>
                                          <w:marRight w:val="0"/>
                                          <w:marTop w:val="0"/>
                                          <w:marBottom w:val="0"/>
                                          <w:divBdr>
                                            <w:top w:val="none" w:sz="0" w:space="0" w:color="auto"/>
                                            <w:left w:val="none" w:sz="0" w:space="0" w:color="auto"/>
                                            <w:bottom w:val="none" w:sz="0" w:space="0" w:color="auto"/>
                                            <w:right w:val="none" w:sz="0" w:space="0" w:color="auto"/>
                                          </w:divBdr>
                                          <w:divsChild>
                                            <w:div w:id="1141267994">
                                              <w:marLeft w:val="0"/>
                                              <w:marRight w:val="0"/>
                                              <w:marTop w:val="0"/>
                                              <w:marBottom w:val="0"/>
                                              <w:divBdr>
                                                <w:top w:val="none" w:sz="0" w:space="0" w:color="auto"/>
                                                <w:left w:val="none" w:sz="0" w:space="0" w:color="auto"/>
                                                <w:bottom w:val="none" w:sz="0" w:space="0" w:color="auto"/>
                                                <w:right w:val="none" w:sz="0" w:space="0" w:color="auto"/>
                                              </w:divBdr>
                                              <w:divsChild>
                                                <w:div w:id="1867401602">
                                                  <w:marLeft w:val="0"/>
                                                  <w:marRight w:val="0"/>
                                                  <w:marTop w:val="120"/>
                                                  <w:marBottom w:val="0"/>
                                                  <w:divBdr>
                                                    <w:top w:val="none" w:sz="0" w:space="0" w:color="auto"/>
                                                    <w:left w:val="none" w:sz="0" w:space="0" w:color="auto"/>
                                                    <w:bottom w:val="none" w:sz="0" w:space="0" w:color="auto"/>
                                                    <w:right w:val="none" w:sz="0" w:space="0" w:color="auto"/>
                                                  </w:divBdr>
                                                </w:div>
                                                <w:div w:id="424888580">
                                                  <w:marLeft w:val="0"/>
                                                  <w:marRight w:val="0"/>
                                                  <w:marTop w:val="0"/>
                                                  <w:marBottom w:val="0"/>
                                                  <w:divBdr>
                                                    <w:top w:val="none" w:sz="0" w:space="0" w:color="auto"/>
                                                    <w:left w:val="none" w:sz="0" w:space="0" w:color="auto"/>
                                                    <w:bottom w:val="none" w:sz="0" w:space="0" w:color="auto"/>
                                                    <w:right w:val="none" w:sz="0" w:space="0" w:color="auto"/>
                                                  </w:divBdr>
                                                </w:div>
                                              </w:divsChild>
                                            </w:div>
                                            <w:div w:id="1536235596">
                                              <w:marLeft w:val="0"/>
                                              <w:marRight w:val="0"/>
                                              <w:marTop w:val="0"/>
                                              <w:marBottom w:val="0"/>
                                              <w:divBdr>
                                                <w:top w:val="none" w:sz="0" w:space="0" w:color="auto"/>
                                                <w:left w:val="none" w:sz="0" w:space="0" w:color="auto"/>
                                                <w:bottom w:val="none" w:sz="0" w:space="0" w:color="auto"/>
                                                <w:right w:val="none" w:sz="0" w:space="0" w:color="auto"/>
                                              </w:divBdr>
                                              <w:divsChild>
                                                <w:div w:id="593512861">
                                                  <w:marLeft w:val="0"/>
                                                  <w:marRight w:val="0"/>
                                                  <w:marTop w:val="120"/>
                                                  <w:marBottom w:val="0"/>
                                                  <w:divBdr>
                                                    <w:top w:val="none" w:sz="0" w:space="0" w:color="auto"/>
                                                    <w:left w:val="none" w:sz="0" w:space="0" w:color="auto"/>
                                                    <w:bottom w:val="none" w:sz="0" w:space="0" w:color="auto"/>
                                                    <w:right w:val="none" w:sz="0" w:space="0" w:color="auto"/>
                                                  </w:divBdr>
                                                </w:div>
                                                <w:div w:id="49638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647838">
                                      <w:marLeft w:val="0"/>
                                      <w:marRight w:val="0"/>
                                      <w:marTop w:val="0"/>
                                      <w:marBottom w:val="0"/>
                                      <w:divBdr>
                                        <w:top w:val="none" w:sz="0" w:space="0" w:color="auto"/>
                                        <w:left w:val="none" w:sz="0" w:space="0" w:color="auto"/>
                                        <w:bottom w:val="none" w:sz="0" w:space="0" w:color="auto"/>
                                        <w:right w:val="none" w:sz="0" w:space="0" w:color="auto"/>
                                      </w:divBdr>
                                      <w:divsChild>
                                        <w:div w:id="229270245">
                                          <w:marLeft w:val="0"/>
                                          <w:marRight w:val="0"/>
                                          <w:marTop w:val="0"/>
                                          <w:marBottom w:val="0"/>
                                          <w:divBdr>
                                            <w:top w:val="none" w:sz="0" w:space="0" w:color="auto"/>
                                            <w:left w:val="none" w:sz="0" w:space="0" w:color="auto"/>
                                            <w:bottom w:val="none" w:sz="0" w:space="0" w:color="auto"/>
                                            <w:right w:val="none" w:sz="0" w:space="0" w:color="auto"/>
                                          </w:divBdr>
                                          <w:divsChild>
                                            <w:div w:id="233008219">
                                              <w:marLeft w:val="0"/>
                                              <w:marRight w:val="0"/>
                                              <w:marTop w:val="0"/>
                                              <w:marBottom w:val="0"/>
                                              <w:divBdr>
                                                <w:top w:val="none" w:sz="0" w:space="0" w:color="auto"/>
                                                <w:left w:val="none" w:sz="0" w:space="0" w:color="auto"/>
                                                <w:bottom w:val="none" w:sz="0" w:space="0" w:color="auto"/>
                                                <w:right w:val="none" w:sz="0" w:space="0" w:color="auto"/>
                                              </w:divBdr>
                                              <w:divsChild>
                                                <w:div w:id="742603781">
                                                  <w:marLeft w:val="0"/>
                                                  <w:marRight w:val="0"/>
                                                  <w:marTop w:val="120"/>
                                                  <w:marBottom w:val="0"/>
                                                  <w:divBdr>
                                                    <w:top w:val="none" w:sz="0" w:space="0" w:color="auto"/>
                                                    <w:left w:val="none" w:sz="0" w:space="0" w:color="auto"/>
                                                    <w:bottom w:val="none" w:sz="0" w:space="0" w:color="auto"/>
                                                    <w:right w:val="none" w:sz="0" w:space="0" w:color="auto"/>
                                                  </w:divBdr>
                                                </w:div>
                                                <w:div w:id="940839694">
                                                  <w:marLeft w:val="0"/>
                                                  <w:marRight w:val="0"/>
                                                  <w:marTop w:val="0"/>
                                                  <w:marBottom w:val="0"/>
                                                  <w:divBdr>
                                                    <w:top w:val="none" w:sz="0" w:space="0" w:color="auto"/>
                                                    <w:left w:val="none" w:sz="0" w:space="0" w:color="auto"/>
                                                    <w:bottom w:val="none" w:sz="0" w:space="0" w:color="auto"/>
                                                    <w:right w:val="none" w:sz="0" w:space="0" w:color="auto"/>
                                                  </w:divBdr>
                                                </w:div>
                                              </w:divsChild>
                                            </w:div>
                                            <w:div w:id="1021056315">
                                              <w:marLeft w:val="0"/>
                                              <w:marRight w:val="0"/>
                                              <w:marTop w:val="0"/>
                                              <w:marBottom w:val="0"/>
                                              <w:divBdr>
                                                <w:top w:val="none" w:sz="0" w:space="0" w:color="auto"/>
                                                <w:left w:val="none" w:sz="0" w:space="0" w:color="auto"/>
                                                <w:bottom w:val="none" w:sz="0" w:space="0" w:color="auto"/>
                                                <w:right w:val="none" w:sz="0" w:space="0" w:color="auto"/>
                                              </w:divBdr>
                                              <w:divsChild>
                                                <w:div w:id="91898770">
                                                  <w:marLeft w:val="0"/>
                                                  <w:marRight w:val="0"/>
                                                  <w:marTop w:val="120"/>
                                                  <w:marBottom w:val="0"/>
                                                  <w:divBdr>
                                                    <w:top w:val="none" w:sz="0" w:space="0" w:color="auto"/>
                                                    <w:left w:val="none" w:sz="0" w:space="0" w:color="auto"/>
                                                    <w:bottom w:val="none" w:sz="0" w:space="0" w:color="auto"/>
                                                    <w:right w:val="none" w:sz="0" w:space="0" w:color="auto"/>
                                                  </w:divBdr>
                                                </w:div>
                                                <w:div w:id="14152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720">
                                      <w:marLeft w:val="0"/>
                                      <w:marRight w:val="0"/>
                                      <w:marTop w:val="0"/>
                                      <w:marBottom w:val="0"/>
                                      <w:divBdr>
                                        <w:top w:val="none" w:sz="0" w:space="0" w:color="auto"/>
                                        <w:left w:val="none" w:sz="0" w:space="0" w:color="auto"/>
                                        <w:bottom w:val="none" w:sz="0" w:space="0" w:color="auto"/>
                                        <w:right w:val="none" w:sz="0" w:space="0" w:color="auto"/>
                                      </w:divBdr>
                                      <w:divsChild>
                                        <w:div w:id="166796878">
                                          <w:marLeft w:val="0"/>
                                          <w:marRight w:val="0"/>
                                          <w:marTop w:val="0"/>
                                          <w:marBottom w:val="0"/>
                                          <w:divBdr>
                                            <w:top w:val="none" w:sz="0" w:space="0" w:color="auto"/>
                                            <w:left w:val="none" w:sz="0" w:space="0" w:color="auto"/>
                                            <w:bottom w:val="none" w:sz="0" w:space="0" w:color="auto"/>
                                            <w:right w:val="none" w:sz="0" w:space="0" w:color="auto"/>
                                          </w:divBdr>
                                          <w:divsChild>
                                            <w:div w:id="387337214">
                                              <w:marLeft w:val="0"/>
                                              <w:marRight w:val="0"/>
                                              <w:marTop w:val="0"/>
                                              <w:marBottom w:val="0"/>
                                              <w:divBdr>
                                                <w:top w:val="none" w:sz="0" w:space="0" w:color="auto"/>
                                                <w:left w:val="none" w:sz="0" w:space="0" w:color="auto"/>
                                                <w:bottom w:val="none" w:sz="0" w:space="0" w:color="auto"/>
                                                <w:right w:val="none" w:sz="0" w:space="0" w:color="auto"/>
                                              </w:divBdr>
                                              <w:divsChild>
                                                <w:div w:id="2129011487">
                                                  <w:marLeft w:val="0"/>
                                                  <w:marRight w:val="0"/>
                                                  <w:marTop w:val="120"/>
                                                  <w:marBottom w:val="0"/>
                                                  <w:divBdr>
                                                    <w:top w:val="none" w:sz="0" w:space="0" w:color="auto"/>
                                                    <w:left w:val="none" w:sz="0" w:space="0" w:color="auto"/>
                                                    <w:bottom w:val="none" w:sz="0" w:space="0" w:color="auto"/>
                                                    <w:right w:val="none" w:sz="0" w:space="0" w:color="auto"/>
                                                  </w:divBdr>
                                                </w:div>
                                                <w:div w:id="1564297575">
                                                  <w:marLeft w:val="0"/>
                                                  <w:marRight w:val="0"/>
                                                  <w:marTop w:val="0"/>
                                                  <w:marBottom w:val="0"/>
                                                  <w:divBdr>
                                                    <w:top w:val="none" w:sz="0" w:space="0" w:color="auto"/>
                                                    <w:left w:val="none" w:sz="0" w:space="0" w:color="auto"/>
                                                    <w:bottom w:val="none" w:sz="0" w:space="0" w:color="auto"/>
                                                    <w:right w:val="none" w:sz="0" w:space="0" w:color="auto"/>
                                                  </w:divBdr>
                                                </w:div>
                                              </w:divsChild>
                                            </w:div>
                                            <w:div w:id="1399131527">
                                              <w:marLeft w:val="0"/>
                                              <w:marRight w:val="0"/>
                                              <w:marTop w:val="0"/>
                                              <w:marBottom w:val="0"/>
                                              <w:divBdr>
                                                <w:top w:val="none" w:sz="0" w:space="0" w:color="auto"/>
                                                <w:left w:val="none" w:sz="0" w:space="0" w:color="auto"/>
                                                <w:bottom w:val="none" w:sz="0" w:space="0" w:color="auto"/>
                                                <w:right w:val="none" w:sz="0" w:space="0" w:color="auto"/>
                                              </w:divBdr>
                                              <w:divsChild>
                                                <w:div w:id="1606419595">
                                                  <w:marLeft w:val="0"/>
                                                  <w:marRight w:val="0"/>
                                                  <w:marTop w:val="120"/>
                                                  <w:marBottom w:val="0"/>
                                                  <w:divBdr>
                                                    <w:top w:val="none" w:sz="0" w:space="0" w:color="auto"/>
                                                    <w:left w:val="none" w:sz="0" w:space="0" w:color="auto"/>
                                                    <w:bottom w:val="none" w:sz="0" w:space="0" w:color="auto"/>
                                                    <w:right w:val="none" w:sz="0" w:space="0" w:color="auto"/>
                                                  </w:divBdr>
                                                </w:div>
                                                <w:div w:id="12898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502484">
                                      <w:marLeft w:val="0"/>
                                      <w:marRight w:val="0"/>
                                      <w:marTop w:val="0"/>
                                      <w:marBottom w:val="0"/>
                                      <w:divBdr>
                                        <w:top w:val="none" w:sz="0" w:space="0" w:color="auto"/>
                                        <w:left w:val="none" w:sz="0" w:space="0" w:color="auto"/>
                                        <w:bottom w:val="none" w:sz="0" w:space="0" w:color="auto"/>
                                        <w:right w:val="none" w:sz="0" w:space="0" w:color="auto"/>
                                      </w:divBdr>
                                      <w:divsChild>
                                        <w:div w:id="178260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74026">
                                  <w:marLeft w:val="0"/>
                                  <w:marRight w:val="0"/>
                                  <w:marTop w:val="0"/>
                                  <w:marBottom w:val="0"/>
                                  <w:divBdr>
                                    <w:top w:val="none" w:sz="0" w:space="0" w:color="auto"/>
                                    <w:left w:val="none" w:sz="0" w:space="0" w:color="auto"/>
                                    <w:bottom w:val="none" w:sz="0" w:space="0" w:color="auto"/>
                                    <w:right w:val="none" w:sz="0" w:space="0" w:color="auto"/>
                                  </w:divBdr>
                                  <w:divsChild>
                                    <w:div w:id="1599480489">
                                      <w:marLeft w:val="0"/>
                                      <w:marRight w:val="0"/>
                                      <w:marTop w:val="0"/>
                                      <w:marBottom w:val="0"/>
                                      <w:divBdr>
                                        <w:top w:val="none" w:sz="0" w:space="0" w:color="auto"/>
                                        <w:left w:val="none" w:sz="0" w:space="0" w:color="auto"/>
                                        <w:bottom w:val="none" w:sz="0" w:space="0" w:color="auto"/>
                                        <w:right w:val="none" w:sz="0" w:space="0" w:color="auto"/>
                                      </w:divBdr>
                                    </w:div>
                                    <w:div w:id="1349678242">
                                      <w:marLeft w:val="0"/>
                                      <w:marRight w:val="0"/>
                                      <w:marTop w:val="0"/>
                                      <w:marBottom w:val="0"/>
                                      <w:divBdr>
                                        <w:top w:val="none" w:sz="0" w:space="0" w:color="auto"/>
                                        <w:left w:val="none" w:sz="0" w:space="0" w:color="auto"/>
                                        <w:bottom w:val="none" w:sz="0" w:space="0" w:color="auto"/>
                                        <w:right w:val="none" w:sz="0" w:space="0" w:color="auto"/>
                                      </w:divBdr>
                                      <w:divsChild>
                                        <w:div w:id="1073431345">
                                          <w:marLeft w:val="0"/>
                                          <w:marRight w:val="0"/>
                                          <w:marTop w:val="0"/>
                                          <w:marBottom w:val="0"/>
                                          <w:divBdr>
                                            <w:top w:val="none" w:sz="0" w:space="0" w:color="auto"/>
                                            <w:left w:val="none" w:sz="0" w:space="0" w:color="auto"/>
                                            <w:bottom w:val="none" w:sz="0" w:space="0" w:color="auto"/>
                                            <w:right w:val="none" w:sz="0" w:space="0" w:color="auto"/>
                                          </w:divBdr>
                                        </w:div>
                                      </w:divsChild>
                                    </w:div>
                                    <w:div w:id="1198548031">
                                      <w:marLeft w:val="0"/>
                                      <w:marRight w:val="0"/>
                                      <w:marTop w:val="0"/>
                                      <w:marBottom w:val="0"/>
                                      <w:divBdr>
                                        <w:top w:val="none" w:sz="0" w:space="0" w:color="auto"/>
                                        <w:left w:val="none" w:sz="0" w:space="0" w:color="auto"/>
                                        <w:bottom w:val="none" w:sz="0" w:space="0" w:color="auto"/>
                                        <w:right w:val="none" w:sz="0" w:space="0" w:color="auto"/>
                                      </w:divBdr>
                                      <w:divsChild>
                                        <w:div w:id="524175223">
                                          <w:marLeft w:val="0"/>
                                          <w:marRight w:val="0"/>
                                          <w:marTop w:val="0"/>
                                          <w:marBottom w:val="0"/>
                                          <w:divBdr>
                                            <w:top w:val="none" w:sz="0" w:space="0" w:color="auto"/>
                                            <w:left w:val="none" w:sz="0" w:space="0" w:color="auto"/>
                                            <w:bottom w:val="none" w:sz="0" w:space="0" w:color="auto"/>
                                            <w:right w:val="none" w:sz="0" w:space="0" w:color="auto"/>
                                          </w:divBdr>
                                        </w:div>
                                      </w:divsChild>
                                    </w:div>
                                    <w:div w:id="1037702838">
                                      <w:marLeft w:val="0"/>
                                      <w:marRight w:val="0"/>
                                      <w:marTop w:val="0"/>
                                      <w:marBottom w:val="0"/>
                                      <w:divBdr>
                                        <w:top w:val="none" w:sz="0" w:space="0" w:color="auto"/>
                                        <w:left w:val="none" w:sz="0" w:space="0" w:color="auto"/>
                                        <w:bottom w:val="none" w:sz="0" w:space="0" w:color="auto"/>
                                        <w:right w:val="none" w:sz="0" w:space="0" w:color="auto"/>
                                      </w:divBdr>
                                      <w:divsChild>
                                        <w:div w:id="163081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637539">
                                  <w:marLeft w:val="0"/>
                                  <w:marRight w:val="0"/>
                                  <w:marTop w:val="0"/>
                                  <w:marBottom w:val="0"/>
                                  <w:divBdr>
                                    <w:top w:val="none" w:sz="0" w:space="0" w:color="auto"/>
                                    <w:left w:val="none" w:sz="0" w:space="0" w:color="auto"/>
                                    <w:bottom w:val="none" w:sz="0" w:space="0" w:color="auto"/>
                                    <w:right w:val="none" w:sz="0" w:space="0" w:color="auto"/>
                                  </w:divBdr>
                                  <w:divsChild>
                                    <w:div w:id="1330985762">
                                      <w:marLeft w:val="0"/>
                                      <w:marRight w:val="0"/>
                                      <w:marTop w:val="0"/>
                                      <w:marBottom w:val="0"/>
                                      <w:divBdr>
                                        <w:top w:val="none" w:sz="0" w:space="0" w:color="auto"/>
                                        <w:left w:val="none" w:sz="0" w:space="0" w:color="auto"/>
                                        <w:bottom w:val="none" w:sz="0" w:space="0" w:color="auto"/>
                                        <w:right w:val="none" w:sz="0" w:space="0" w:color="auto"/>
                                      </w:divBdr>
                                    </w:div>
                                    <w:div w:id="1924989179">
                                      <w:marLeft w:val="0"/>
                                      <w:marRight w:val="0"/>
                                      <w:marTop w:val="0"/>
                                      <w:marBottom w:val="0"/>
                                      <w:divBdr>
                                        <w:top w:val="none" w:sz="0" w:space="0" w:color="auto"/>
                                        <w:left w:val="none" w:sz="0" w:space="0" w:color="auto"/>
                                        <w:bottom w:val="none" w:sz="0" w:space="0" w:color="auto"/>
                                        <w:right w:val="none" w:sz="0" w:space="0" w:color="auto"/>
                                      </w:divBdr>
                                      <w:divsChild>
                                        <w:div w:id="238104275">
                                          <w:marLeft w:val="0"/>
                                          <w:marRight w:val="0"/>
                                          <w:marTop w:val="0"/>
                                          <w:marBottom w:val="0"/>
                                          <w:divBdr>
                                            <w:top w:val="none" w:sz="0" w:space="0" w:color="auto"/>
                                            <w:left w:val="none" w:sz="0" w:space="0" w:color="auto"/>
                                            <w:bottom w:val="none" w:sz="0" w:space="0" w:color="auto"/>
                                            <w:right w:val="none" w:sz="0" w:space="0" w:color="auto"/>
                                          </w:divBdr>
                                        </w:div>
                                      </w:divsChild>
                                    </w:div>
                                    <w:div w:id="1885867813">
                                      <w:marLeft w:val="0"/>
                                      <w:marRight w:val="0"/>
                                      <w:marTop w:val="0"/>
                                      <w:marBottom w:val="0"/>
                                      <w:divBdr>
                                        <w:top w:val="none" w:sz="0" w:space="0" w:color="auto"/>
                                        <w:left w:val="none" w:sz="0" w:space="0" w:color="auto"/>
                                        <w:bottom w:val="none" w:sz="0" w:space="0" w:color="auto"/>
                                        <w:right w:val="none" w:sz="0" w:space="0" w:color="auto"/>
                                      </w:divBdr>
                                      <w:divsChild>
                                        <w:div w:id="481890796">
                                          <w:marLeft w:val="0"/>
                                          <w:marRight w:val="0"/>
                                          <w:marTop w:val="120"/>
                                          <w:marBottom w:val="0"/>
                                          <w:divBdr>
                                            <w:top w:val="none" w:sz="0" w:space="0" w:color="auto"/>
                                            <w:left w:val="none" w:sz="0" w:space="0" w:color="auto"/>
                                            <w:bottom w:val="none" w:sz="0" w:space="0" w:color="auto"/>
                                            <w:right w:val="none" w:sz="0" w:space="0" w:color="auto"/>
                                          </w:divBdr>
                                        </w:div>
                                        <w:div w:id="1430814425">
                                          <w:marLeft w:val="0"/>
                                          <w:marRight w:val="0"/>
                                          <w:marTop w:val="0"/>
                                          <w:marBottom w:val="0"/>
                                          <w:divBdr>
                                            <w:top w:val="none" w:sz="0" w:space="0" w:color="auto"/>
                                            <w:left w:val="none" w:sz="0" w:space="0" w:color="auto"/>
                                            <w:bottom w:val="none" w:sz="0" w:space="0" w:color="auto"/>
                                            <w:right w:val="none" w:sz="0" w:space="0" w:color="auto"/>
                                          </w:divBdr>
                                          <w:divsChild>
                                            <w:div w:id="1725373803">
                                              <w:marLeft w:val="0"/>
                                              <w:marRight w:val="0"/>
                                              <w:marTop w:val="0"/>
                                              <w:marBottom w:val="0"/>
                                              <w:divBdr>
                                                <w:top w:val="none" w:sz="0" w:space="0" w:color="auto"/>
                                                <w:left w:val="none" w:sz="0" w:space="0" w:color="auto"/>
                                                <w:bottom w:val="none" w:sz="0" w:space="0" w:color="auto"/>
                                                <w:right w:val="none" w:sz="0" w:space="0" w:color="auto"/>
                                              </w:divBdr>
                                              <w:divsChild>
                                                <w:div w:id="153305132">
                                                  <w:marLeft w:val="0"/>
                                                  <w:marRight w:val="0"/>
                                                  <w:marTop w:val="120"/>
                                                  <w:marBottom w:val="0"/>
                                                  <w:divBdr>
                                                    <w:top w:val="none" w:sz="0" w:space="0" w:color="auto"/>
                                                    <w:left w:val="none" w:sz="0" w:space="0" w:color="auto"/>
                                                    <w:bottom w:val="none" w:sz="0" w:space="0" w:color="auto"/>
                                                    <w:right w:val="none" w:sz="0" w:space="0" w:color="auto"/>
                                                  </w:divBdr>
                                                </w:div>
                                                <w:div w:id="347607224">
                                                  <w:marLeft w:val="0"/>
                                                  <w:marRight w:val="0"/>
                                                  <w:marTop w:val="0"/>
                                                  <w:marBottom w:val="0"/>
                                                  <w:divBdr>
                                                    <w:top w:val="none" w:sz="0" w:space="0" w:color="auto"/>
                                                    <w:left w:val="none" w:sz="0" w:space="0" w:color="auto"/>
                                                    <w:bottom w:val="none" w:sz="0" w:space="0" w:color="auto"/>
                                                    <w:right w:val="none" w:sz="0" w:space="0" w:color="auto"/>
                                                  </w:divBdr>
                                                  <w:divsChild>
                                                    <w:div w:id="2076707334">
                                                      <w:marLeft w:val="0"/>
                                                      <w:marRight w:val="0"/>
                                                      <w:marTop w:val="0"/>
                                                      <w:marBottom w:val="0"/>
                                                      <w:divBdr>
                                                        <w:top w:val="none" w:sz="0" w:space="0" w:color="auto"/>
                                                        <w:left w:val="none" w:sz="0" w:space="0" w:color="auto"/>
                                                        <w:bottom w:val="none" w:sz="0" w:space="0" w:color="auto"/>
                                                        <w:right w:val="none" w:sz="0" w:space="0" w:color="auto"/>
                                                      </w:divBdr>
                                                      <w:divsChild>
                                                        <w:div w:id="1847557048">
                                                          <w:marLeft w:val="0"/>
                                                          <w:marRight w:val="0"/>
                                                          <w:marTop w:val="120"/>
                                                          <w:marBottom w:val="0"/>
                                                          <w:divBdr>
                                                            <w:top w:val="none" w:sz="0" w:space="0" w:color="auto"/>
                                                            <w:left w:val="none" w:sz="0" w:space="0" w:color="auto"/>
                                                            <w:bottom w:val="none" w:sz="0" w:space="0" w:color="auto"/>
                                                            <w:right w:val="none" w:sz="0" w:space="0" w:color="auto"/>
                                                          </w:divBdr>
                                                        </w:div>
                                                        <w:div w:id="138352748">
                                                          <w:marLeft w:val="0"/>
                                                          <w:marRight w:val="0"/>
                                                          <w:marTop w:val="0"/>
                                                          <w:marBottom w:val="0"/>
                                                          <w:divBdr>
                                                            <w:top w:val="none" w:sz="0" w:space="0" w:color="auto"/>
                                                            <w:left w:val="none" w:sz="0" w:space="0" w:color="auto"/>
                                                            <w:bottom w:val="none" w:sz="0" w:space="0" w:color="auto"/>
                                                            <w:right w:val="none" w:sz="0" w:space="0" w:color="auto"/>
                                                          </w:divBdr>
                                                          <w:divsChild>
                                                            <w:div w:id="17869195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4537066">
                                                      <w:marLeft w:val="0"/>
                                                      <w:marRight w:val="0"/>
                                                      <w:marTop w:val="0"/>
                                                      <w:marBottom w:val="0"/>
                                                      <w:divBdr>
                                                        <w:top w:val="none" w:sz="0" w:space="0" w:color="auto"/>
                                                        <w:left w:val="none" w:sz="0" w:space="0" w:color="auto"/>
                                                        <w:bottom w:val="none" w:sz="0" w:space="0" w:color="auto"/>
                                                        <w:right w:val="none" w:sz="0" w:space="0" w:color="auto"/>
                                                      </w:divBdr>
                                                      <w:divsChild>
                                                        <w:div w:id="308899717">
                                                          <w:marLeft w:val="0"/>
                                                          <w:marRight w:val="0"/>
                                                          <w:marTop w:val="120"/>
                                                          <w:marBottom w:val="0"/>
                                                          <w:divBdr>
                                                            <w:top w:val="none" w:sz="0" w:space="0" w:color="auto"/>
                                                            <w:left w:val="none" w:sz="0" w:space="0" w:color="auto"/>
                                                            <w:bottom w:val="none" w:sz="0" w:space="0" w:color="auto"/>
                                                            <w:right w:val="none" w:sz="0" w:space="0" w:color="auto"/>
                                                          </w:divBdr>
                                                        </w:div>
                                                        <w:div w:id="1477337254">
                                                          <w:marLeft w:val="0"/>
                                                          <w:marRight w:val="0"/>
                                                          <w:marTop w:val="0"/>
                                                          <w:marBottom w:val="0"/>
                                                          <w:divBdr>
                                                            <w:top w:val="none" w:sz="0" w:space="0" w:color="auto"/>
                                                            <w:left w:val="none" w:sz="0" w:space="0" w:color="auto"/>
                                                            <w:bottom w:val="none" w:sz="0" w:space="0" w:color="auto"/>
                                                            <w:right w:val="none" w:sz="0" w:space="0" w:color="auto"/>
                                                          </w:divBdr>
                                                          <w:divsChild>
                                                            <w:div w:id="16167103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55529745">
                                                      <w:marLeft w:val="0"/>
                                                      <w:marRight w:val="0"/>
                                                      <w:marTop w:val="0"/>
                                                      <w:marBottom w:val="0"/>
                                                      <w:divBdr>
                                                        <w:top w:val="none" w:sz="0" w:space="0" w:color="auto"/>
                                                        <w:left w:val="none" w:sz="0" w:space="0" w:color="auto"/>
                                                        <w:bottom w:val="none" w:sz="0" w:space="0" w:color="auto"/>
                                                        <w:right w:val="none" w:sz="0" w:space="0" w:color="auto"/>
                                                      </w:divBdr>
                                                      <w:divsChild>
                                                        <w:div w:id="641423138">
                                                          <w:marLeft w:val="0"/>
                                                          <w:marRight w:val="0"/>
                                                          <w:marTop w:val="120"/>
                                                          <w:marBottom w:val="0"/>
                                                          <w:divBdr>
                                                            <w:top w:val="none" w:sz="0" w:space="0" w:color="auto"/>
                                                            <w:left w:val="none" w:sz="0" w:space="0" w:color="auto"/>
                                                            <w:bottom w:val="none" w:sz="0" w:space="0" w:color="auto"/>
                                                            <w:right w:val="none" w:sz="0" w:space="0" w:color="auto"/>
                                                          </w:divBdr>
                                                        </w:div>
                                                        <w:div w:id="88039190">
                                                          <w:marLeft w:val="0"/>
                                                          <w:marRight w:val="0"/>
                                                          <w:marTop w:val="0"/>
                                                          <w:marBottom w:val="0"/>
                                                          <w:divBdr>
                                                            <w:top w:val="none" w:sz="0" w:space="0" w:color="auto"/>
                                                            <w:left w:val="none" w:sz="0" w:space="0" w:color="auto"/>
                                                            <w:bottom w:val="none" w:sz="0" w:space="0" w:color="auto"/>
                                                            <w:right w:val="none" w:sz="0" w:space="0" w:color="auto"/>
                                                          </w:divBdr>
                                                          <w:divsChild>
                                                            <w:div w:id="17308102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68991544">
                                                      <w:marLeft w:val="0"/>
                                                      <w:marRight w:val="0"/>
                                                      <w:marTop w:val="0"/>
                                                      <w:marBottom w:val="0"/>
                                                      <w:divBdr>
                                                        <w:top w:val="none" w:sz="0" w:space="0" w:color="auto"/>
                                                        <w:left w:val="none" w:sz="0" w:space="0" w:color="auto"/>
                                                        <w:bottom w:val="none" w:sz="0" w:space="0" w:color="auto"/>
                                                        <w:right w:val="none" w:sz="0" w:space="0" w:color="auto"/>
                                                      </w:divBdr>
                                                      <w:divsChild>
                                                        <w:div w:id="2082437892">
                                                          <w:marLeft w:val="0"/>
                                                          <w:marRight w:val="0"/>
                                                          <w:marTop w:val="120"/>
                                                          <w:marBottom w:val="0"/>
                                                          <w:divBdr>
                                                            <w:top w:val="none" w:sz="0" w:space="0" w:color="auto"/>
                                                            <w:left w:val="none" w:sz="0" w:space="0" w:color="auto"/>
                                                            <w:bottom w:val="none" w:sz="0" w:space="0" w:color="auto"/>
                                                            <w:right w:val="none" w:sz="0" w:space="0" w:color="auto"/>
                                                          </w:divBdr>
                                                        </w:div>
                                                        <w:div w:id="1295527788">
                                                          <w:marLeft w:val="0"/>
                                                          <w:marRight w:val="0"/>
                                                          <w:marTop w:val="0"/>
                                                          <w:marBottom w:val="0"/>
                                                          <w:divBdr>
                                                            <w:top w:val="none" w:sz="0" w:space="0" w:color="auto"/>
                                                            <w:left w:val="none" w:sz="0" w:space="0" w:color="auto"/>
                                                            <w:bottom w:val="none" w:sz="0" w:space="0" w:color="auto"/>
                                                            <w:right w:val="none" w:sz="0" w:space="0" w:color="auto"/>
                                                          </w:divBdr>
                                                          <w:divsChild>
                                                            <w:div w:id="16521732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51932603">
                                              <w:marLeft w:val="0"/>
                                              <w:marRight w:val="0"/>
                                              <w:marTop w:val="0"/>
                                              <w:marBottom w:val="0"/>
                                              <w:divBdr>
                                                <w:top w:val="none" w:sz="0" w:space="0" w:color="auto"/>
                                                <w:left w:val="none" w:sz="0" w:space="0" w:color="auto"/>
                                                <w:bottom w:val="none" w:sz="0" w:space="0" w:color="auto"/>
                                                <w:right w:val="none" w:sz="0" w:space="0" w:color="auto"/>
                                              </w:divBdr>
                                              <w:divsChild>
                                                <w:div w:id="818617728">
                                                  <w:marLeft w:val="0"/>
                                                  <w:marRight w:val="0"/>
                                                  <w:marTop w:val="120"/>
                                                  <w:marBottom w:val="0"/>
                                                  <w:divBdr>
                                                    <w:top w:val="none" w:sz="0" w:space="0" w:color="auto"/>
                                                    <w:left w:val="none" w:sz="0" w:space="0" w:color="auto"/>
                                                    <w:bottom w:val="none" w:sz="0" w:space="0" w:color="auto"/>
                                                    <w:right w:val="none" w:sz="0" w:space="0" w:color="auto"/>
                                                  </w:divBdr>
                                                </w:div>
                                                <w:div w:id="10858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189178">
                                      <w:marLeft w:val="0"/>
                                      <w:marRight w:val="0"/>
                                      <w:marTop w:val="0"/>
                                      <w:marBottom w:val="0"/>
                                      <w:divBdr>
                                        <w:top w:val="none" w:sz="0" w:space="0" w:color="auto"/>
                                        <w:left w:val="none" w:sz="0" w:space="0" w:color="auto"/>
                                        <w:bottom w:val="none" w:sz="0" w:space="0" w:color="auto"/>
                                        <w:right w:val="none" w:sz="0" w:space="0" w:color="auto"/>
                                      </w:divBdr>
                                      <w:divsChild>
                                        <w:div w:id="2139688436">
                                          <w:marLeft w:val="0"/>
                                          <w:marRight w:val="0"/>
                                          <w:marTop w:val="120"/>
                                          <w:marBottom w:val="0"/>
                                          <w:divBdr>
                                            <w:top w:val="none" w:sz="0" w:space="0" w:color="auto"/>
                                            <w:left w:val="none" w:sz="0" w:space="0" w:color="auto"/>
                                            <w:bottom w:val="none" w:sz="0" w:space="0" w:color="auto"/>
                                            <w:right w:val="none" w:sz="0" w:space="0" w:color="auto"/>
                                          </w:divBdr>
                                        </w:div>
                                        <w:div w:id="922955607">
                                          <w:marLeft w:val="0"/>
                                          <w:marRight w:val="0"/>
                                          <w:marTop w:val="0"/>
                                          <w:marBottom w:val="0"/>
                                          <w:divBdr>
                                            <w:top w:val="none" w:sz="0" w:space="0" w:color="auto"/>
                                            <w:left w:val="none" w:sz="0" w:space="0" w:color="auto"/>
                                            <w:bottom w:val="none" w:sz="0" w:space="0" w:color="auto"/>
                                            <w:right w:val="none" w:sz="0" w:space="0" w:color="auto"/>
                                          </w:divBdr>
                                          <w:divsChild>
                                            <w:div w:id="988287593">
                                              <w:marLeft w:val="0"/>
                                              <w:marRight w:val="0"/>
                                              <w:marTop w:val="0"/>
                                              <w:marBottom w:val="0"/>
                                              <w:divBdr>
                                                <w:top w:val="none" w:sz="0" w:space="0" w:color="auto"/>
                                                <w:left w:val="none" w:sz="0" w:space="0" w:color="auto"/>
                                                <w:bottom w:val="none" w:sz="0" w:space="0" w:color="auto"/>
                                                <w:right w:val="none" w:sz="0" w:space="0" w:color="auto"/>
                                              </w:divBdr>
                                              <w:divsChild>
                                                <w:div w:id="1436048811">
                                                  <w:marLeft w:val="0"/>
                                                  <w:marRight w:val="0"/>
                                                  <w:marTop w:val="120"/>
                                                  <w:marBottom w:val="0"/>
                                                  <w:divBdr>
                                                    <w:top w:val="none" w:sz="0" w:space="0" w:color="auto"/>
                                                    <w:left w:val="none" w:sz="0" w:space="0" w:color="auto"/>
                                                    <w:bottom w:val="none" w:sz="0" w:space="0" w:color="auto"/>
                                                    <w:right w:val="none" w:sz="0" w:space="0" w:color="auto"/>
                                                  </w:divBdr>
                                                </w:div>
                                                <w:div w:id="3751495">
                                                  <w:marLeft w:val="0"/>
                                                  <w:marRight w:val="0"/>
                                                  <w:marTop w:val="0"/>
                                                  <w:marBottom w:val="0"/>
                                                  <w:divBdr>
                                                    <w:top w:val="none" w:sz="0" w:space="0" w:color="auto"/>
                                                    <w:left w:val="none" w:sz="0" w:space="0" w:color="auto"/>
                                                    <w:bottom w:val="none" w:sz="0" w:space="0" w:color="auto"/>
                                                    <w:right w:val="none" w:sz="0" w:space="0" w:color="auto"/>
                                                  </w:divBdr>
                                                </w:div>
                                              </w:divsChild>
                                            </w:div>
                                            <w:div w:id="1832285254">
                                              <w:marLeft w:val="0"/>
                                              <w:marRight w:val="0"/>
                                              <w:marTop w:val="0"/>
                                              <w:marBottom w:val="0"/>
                                              <w:divBdr>
                                                <w:top w:val="none" w:sz="0" w:space="0" w:color="auto"/>
                                                <w:left w:val="none" w:sz="0" w:space="0" w:color="auto"/>
                                                <w:bottom w:val="none" w:sz="0" w:space="0" w:color="auto"/>
                                                <w:right w:val="none" w:sz="0" w:space="0" w:color="auto"/>
                                              </w:divBdr>
                                              <w:divsChild>
                                                <w:div w:id="1703285546">
                                                  <w:marLeft w:val="0"/>
                                                  <w:marRight w:val="0"/>
                                                  <w:marTop w:val="120"/>
                                                  <w:marBottom w:val="0"/>
                                                  <w:divBdr>
                                                    <w:top w:val="none" w:sz="0" w:space="0" w:color="auto"/>
                                                    <w:left w:val="none" w:sz="0" w:space="0" w:color="auto"/>
                                                    <w:bottom w:val="none" w:sz="0" w:space="0" w:color="auto"/>
                                                    <w:right w:val="none" w:sz="0" w:space="0" w:color="auto"/>
                                                  </w:divBdr>
                                                </w:div>
                                                <w:div w:id="1098139662">
                                                  <w:marLeft w:val="0"/>
                                                  <w:marRight w:val="0"/>
                                                  <w:marTop w:val="0"/>
                                                  <w:marBottom w:val="0"/>
                                                  <w:divBdr>
                                                    <w:top w:val="none" w:sz="0" w:space="0" w:color="auto"/>
                                                    <w:left w:val="none" w:sz="0" w:space="0" w:color="auto"/>
                                                    <w:bottom w:val="none" w:sz="0" w:space="0" w:color="auto"/>
                                                    <w:right w:val="none" w:sz="0" w:space="0" w:color="auto"/>
                                                  </w:divBdr>
                                                </w:div>
                                              </w:divsChild>
                                            </w:div>
                                            <w:div w:id="1464890167">
                                              <w:marLeft w:val="0"/>
                                              <w:marRight w:val="0"/>
                                              <w:marTop w:val="0"/>
                                              <w:marBottom w:val="0"/>
                                              <w:divBdr>
                                                <w:top w:val="none" w:sz="0" w:space="0" w:color="auto"/>
                                                <w:left w:val="none" w:sz="0" w:space="0" w:color="auto"/>
                                                <w:bottom w:val="none" w:sz="0" w:space="0" w:color="auto"/>
                                                <w:right w:val="none" w:sz="0" w:space="0" w:color="auto"/>
                                              </w:divBdr>
                                              <w:divsChild>
                                                <w:div w:id="1471828152">
                                                  <w:marLeft w:val="0"/>
                                                  <w:marRight w:val="0"/>
                                                  <w:marTop w:val="120"/>
                                                  <w:marBottom w:val="0"/>
                                                  <w:divBdr>
                                                    <w:top w:val="none" w:sz="0" w:space="0" w:color="auto"/>
                                                    <w:left w:val="none" w:sz="0" w:space="0" w:color="auto"/>
                                                    <w:bottom w:val="none" w:sz="0" w:space="0" w:color="auto"/>
                                                    <w:right w:val="none" w:sz="0" w:space="0" w:color="auto"/>
                                                  </w:divBdr>
                                                </w:div>
                                                <w:div w:id="112651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37407">
                                      <w:marLeft w:val="0"/>
                                      <w:marRight w:val="0"/>
                                      <w:marTop w:val="0"/>
                                      <w:marBottom w:val="0"/>
                                      <w:divBdr>
                                        <w:top w:val="none" w:sz="0" w:space="0" w:color="auto"/>
                                        <w:left w:val="none" w:sz="0" w:space="0" w:color="auto"/>
                                        <w:bottom w:val="none" w:sz="0" w:space="0" w:color="auto"/>
                                        <w:right w:val="none" w:sz="0" w:space="0" w:color="auto"/>
                                      </w:divBdr>
                                      <w:divsChild>
                                        <w:div w:id="351956912">
                                          <w:marLeft w:val="0"/>
                                          <w:marRight w:val="0"/>
                                          <w:marTop w:val="0"/>
                                          <w:marBottom w:val="0"/>
                                          <w:divBdr>
                                            <w:top w:val="none" w:sz="0" w:space="0" w:color="auto"/>
                                            <w:left w:val="none" w:sz="0" w:space="0" w:color="auto"/>
                                            <w:bottom w:val="none" w:sz="0" w:space="0" w:color="auto"/>
                                            <w:right w:val="none" w:sz="0" w:space="0" w:color="auto"/>
                                          </w:divBdr>
                                          <w:divsChild>
                                            <w:div w:id="1650283555">
                                              <w:marLeft w:val="0"/>
                                              <w:marRight w:val="0"/>
                                              <w:marTop w:val="0"/>
                                              <w:marBottom w:val="0"/>
                                              <w:divBdr>
                                                <w:top w:val="none" w:sz="0" w:space="0" w:color="auto"/>
                                                <w:left w:val="none" w:sz="0" w:space="0" w:color="auto"/>
                                                <w:bottom w:val="none" w:sz="0" w:space="0" w:color="auto"/>
                                                <w:right w:val="none" w:sz="0" w:space="0" w:color="auto"/>
                                              </w:divBdr>
                                              <w:divsChild>
                                                <w:div w:id="1906717035">
                                                  <w:marLeft w:val="0"/>
                                                  <w:marRight w:val="0"/>
                                                  <w:marTop w:val="120"/>
                                                  <w:marBottom w:val="0"/>
                                                  <w:divBdr>
                                                    <w:top w:val="none" w:sz="0" w:space="0" w:color="auto"/>
                                                    <w:left w:val="none" w:sz="0" w:space="0" w:color="auto"/>
                                                    <w:bottom w:val="none" w:sz="0" w:space="0" w:color="auto"/>
                                                    <w:right w:val="none" w:sz="0" w:space="0" w:color="auto"/>
                                                  </w:divBdr>
                                                </w:div>
                                                <w:div w:id="796684388">
                                                  <w:marLeft w:val="0"/>
                                                  <w:marRight w:val="0"/>
                                                  <w:marTop w:val="0"/>
                                                  <w:marBottom w:val="0"/>
                                                  <w:divBdr>
                                                    <w:top w:val="none" w:sz="0" w:space="0" w:color="auto"/>
                                                    <w:left w:val="none" w:sz="0" w:space="0" w:color="auto"/>
                                                    <w:bottom w:val="none" w:sz="0" w:space="0" w:color="auto"/>
                                                    <w:right w:val="none" w:sz="0" w:space="0" w:color="auto"/>
                                                  </w:divBdr>
                                                  <w:divsChild>
                                                    <w:div w:id="121273523">
                                                      <w:marLeft w:val="0"/>
                                                      <w:marRight w:val="0"/>
                                                      <w:marTop w:val="0"/>
                                                      <w:marBottom w:val="0"/>
                                                      <w:divBdr>
                                                        <w:top w:val="none" w:sz="0" w:space="0" w:color="auto"/>
                                                        <w:left w:val="none" w:sz="0" w:space="0" w:color="auto"/>
                                                        <w:bottom w:val="none" w:sz="0" w:space="0" w:color="auto"/>
                                                        <w:right w:val="none" w:sz="0" w:space="0" w:color="auto"/>
                                                      </w:divBdr>
                                                      <w:divsChild>
                                                        <w:div w:id="1750497680">
                                                          <w:marLeft w:val="0"/>
                                                          <w:marRight w:val="0"/>
                                                          <w:marTop w:val="120"/>
                                                          <w:marBottom w:val="0"/>
                                                          <w:divBdr>
                                                            <w:top w:val="none" w:sz="0" w:space="0" w:color="auto"/>
                                                            <w:left w:val="none" w:sz="0" w:space="0" w:color="auto"/>
                                                            <w:bottom w:val="none" w:sz="0" w:space="0" w:color="auto"/>
                                                            <w:right w:val="none" w:sz="0" w:space="0" w:color="auto"/>
                                                          </w:divBdr>
                                                        </w:div>
                                                        <w:div w:id="960038239">
                                                          <w:marLeft w:val="0"/>
                                                          <w:marRight w:val="0"/>
                                                          <w:marTop w:val="0"/>
                                                          <w:marBottom w:val="0"/>
                                                          <w:divBdr>
                                                            <w:top w:val="none" w:sz="0" w:space="0" w:color="auto"/>
                                                            <w:left w:val="none" w:sz="0" w:space="0" w:color="auto"/>
                                                            <w:bottom w:val="none" w:sz="0" w:space="0" w:color="auto"/>
                                                            <w:right w:val="none" w:sz="0" w:space="0" w:color="auto"/>
                                                          </w:divBdr>
                                                        </w:div>
                                                      </w:divsChild>
                                                    </w:div>
                                                    <w:div w:id="1205487996">
                                                      <w:marLeft w:val="0"/>
                                                      <w:marRight w:val="0"/>
                                                      <w:marTop w:val="0"/>
                                                      <w:marBottom w:val="0"/>
                                                      <w:divBdr>
                                                        <w:top w:val="none" w:sz="0" w:space="0" w:color="auto"/>
                                                        <w:left w:val="none" w:sz="0" w:space="0" w:color="auto"/>
                                                        <w:bottom w:val="none" w:sz="0" w:space="0" w:color="auto"/>
                                                        <w:right w:val="none" w:sz="0" w:space="0" w:color="auto"/>
                                                      </w:divBdr>
                                                      <w:divsChild>
                                                        <w:div w:id="506361249">
                                                          <w:marLeft w:val="0"/>
                                                          <w:marRight w:val="0"/>
                                                          <w:marTop w:val="120"/>
                                                          <w:marBottom w:val="0"/>
                                                          <w:divBdr>
                                                            <w:top w:val="none" w:sz="0" w:space="0" w:color="auto"/>
                                                            <w:left w:val="none" w:sz="0" w:space="0" w:color="auto"/>
                                                            <w:bottom w:val="none" w:sz="0" w:space="0" w:color="auto"/>
                                                            <w:right w:val="none" w:sz="0" w:space="0" w:color="auto"/>
                                                          </w:divBdr>
                                                        </w:div>
                                                        <w:div w:id="1257517812">
                                                          <w:marLeft w:val="0"/>
                                                          <w:marRight w:val="0"/>
                                                          <w:marTop w:val="0"/>
                                                          <w:marBottom w:val="0"/>
                                                          <w:divBdr>
                                                            <w:top w:val="none" w:sz="0" w:space="0" w:color="auto"/>
                                                            <w:left w:val="none" w:sz="0" w:space="0" w:color="auto"/>
                                                            <w:bottom w:val="none" w:sz="0" w:space="0" w:color="auto"/>
                                                            <w:right w:val="none" w:sz="0" w:space="0" w:color="auto"/>
                                                          </w:divBdr>
                                                        </w:div>
                                                      </w:divsChild>
                                                    </w:div>
                                                    <w:div w:id="2068986773">
                                                      <w:marLeft w:val="0"/>
                                                      <w:marRight w:val="0"/>
                                                      <w:marTop w:val="0"/>
                                                      <w:marBottom w:val="0"/>
                                                      <w:divBdr>
                                                        <w:top w:val="none" w:sz="0" w:space="0" w:color="auto"/>
                                                        <w:left w:val="none" w:sz="0" w:space="0" w:color="auto"/>
                                                        <w:bottom w:val="none" w:sz="0" w:space="0" w:color="auto"/>
                                                        <w:right w:val="none" w:sz="0" w:space="0" w:color="auto"/>
                                                      </w:divBdr>
                                                      <w:divsChild>
                                                        <w:div w:id="1154028679">
                                                          <w:marLeft w:val="0"/>
                                                          <w:marRight w:val="0"/>
                                                          <w:marTop w:val="120"/>
                                                          <w:marBottom w:val="0"/>
                                                          <w:divBdr>
                                                            <w:top w:val="none" w:sz="0" w:space="0" w:color="auto"/>
                                                            <w:left w:val="none" w:sz="0" w:space="0" w:color="auto"/>
                                                            <w:bottom w:val="none" w:sz="0" w:space="0" w:color="auto"/>
                                                            <w:right w:val="none" w:sz="0" w:space="0" w:color="auto"/>
                                                          </w:divBdr>
                                                        </w:div>
                                                        <w:div w:id="2044941144">
                                                          <w:marLeft w:val="0"/>
                                                          <w:marRight w:val="0"/>
                                                          <w:marTop w:val="0"/>
                                                          <w:marBottom w:val="0"/>
                                                          <w:divBdr>
                                                            <w:top w:val="none" w:sz="0" w:space="0" w:color="auto"/>
                                                            <w:left w:val="none" w:sz="0" w:space="0" w:color="auto"/>
                                                            <w:bottom w:val="none" w:sz="0" w:space="0" w:color="auto"/>
                                                            <w:right w:val="none" w:sz="0" w:space="0" w:color="auto"/>
                                                          </w:divBdr>
                                                        </w:div>
                                                      </w:divsChild>
                                                    </w:div>
                                                    <w:div w:id="1932347089">
                                                      <w:marLeft w:val="0"/>
                                                      <w:marRight w:val="0"/>
                                                      <w:marTop w:val="0"/>
                                                      <w:marBottom w:val="0"/>
                                                      <w:divBdr>
                                                        <w:top w:val="none" w:sz="0" w:space="0" w:color="auto"/>
                                                        <w:left w:val="none" w:sz="0" w:space="0" w:color="auto"/>
                                                        <w:bottom w:val="none" w:sz="0" w:space="0" w:color="auto"/>
                                                        <w:right w:val="none" w:sz="0" w:space="0" w:color="auto"/>
                                                      </w:divBdr>
                                                      <w:divsChild>
                                                        <w:div w:id="1245413126">
                                                          <w:marLeft w:val="0"/>
                                                          <w:marRight w:val="0"/>
                                                          <w:marTop w:val="120"/>
                                                          <w:marBottom w:val="0"/>
                                                          <w:divBdr>
                                                            <w:top w:val="none" w:sz="0" w:space="0" w:color="auto"/>
                                                            <w:left w:val="none" w:sz="0" w:space="0" w:color="auto"/>
                                                            <w:bottom w:val="none" w:sz="0" w:space="0" w:color="auto"/>
                                                            <w:right w:val="none" w:sz="0" w:space="0" w:color="auto"/>
                                                          </w:divBdr>
                                                        </w:div>
                                                        <w:div w:id="837615766">
                                                          <w:marLeft w:val="0"/>
                                                          <w:marRight w:val="0"/>
                                                          <w:marTop w:val="0"/>
                                                          <w:marBottom w:val="0"/>
                                                          <w:divBdr>
                                                            <w:top w:val="none" w:sz="0" w:space="0" w:color="auto"/>
                                                            <w:left w:val="none" w:sz="0" w:space="0" w:color="auto"/>
                                                            <w:bottom w:val="none" w:sz="0" w:space="0" w:color="auto"/>
                                                            <w:right w:val="none" w:sz="0" w:space="0" w:color="auto"/>
                                                          </w:divBdr>
                                                        </w:div>
                                                      </w:divsChild>
                                                    </w:div>
                                                    <w:div w:id="723649854">
                                                      <w:marLeft w:val="0"/>
                                                      <w:marRight w:val="0"/>
                                                      <w:marTop w:val="0"/>
                                                      <w:marBottom w:val="0"/>
                                                      <w:divBdr>
                                                        <w:top w:val="none" w:sz="0" w:space="0" w:color="auto"/>
                                                        <w:left w:val="none" w:sz="0" w:space="0" w:color="auto"/>
                                                        <w:bottom w:val="none" w:sz="0" w:space="0" w:color="auto"/>
                                                        <w:right w:val="none" w:sz="0" w:space="0" w:color="auto"/>
                                                      </w:divBdr>
                                                      <w:divsChild>
                                                        <w:div w:id="1568881301">
                                                          <w:marLeft w:val="0"/>
                                                          <w:marRight w:val="0"/>
                                                          <w:marTop w:val="120"/>
                                                          <w:marBottom w:val="0"/>
                                                          <w:divBdr>
                                                            <w:top w:val="none" w:sz="0" w:space="0" w:color="auto"/>
                                                            <w:left w:val="none" w:sz="0" w:space="0" w:color="auto"/>
                                                            <w:bottom w:val="none" w:sz="0" w:space="0" w:color="auto"/>
                                                            <w:right w:val="none" w:sz="0" w:space="0" w:color="auto"/>
                                                          </w:divBdr>
                                                        </w:div>
                                                        <w:div w:id="219290430">
                                                          <w:marLeft w:val="0"/>
                                                          <w:marRight w:val="0"/>
                                                          <w:marTop w:val="0"/>
                                                          <w:marBottom w:val="0"/>
                                                          <w:divBdr>
                                                            <w:top w:val="none" w:sz="0" w:space="0" w:color="auto"/>
                                                            <w:left w:val="none" w:sz="0" w:space="0" w:color="auto"/>
                                                            <w:bottom w:val="none" w:sz="0" w:space="0" w:color="auto"/>
                                                            <w:right w:val="none" w:sz="0" w:space="0" w:color="auto"/>
                                                          </w:divBdr>
                                                        </w:div>
                                                      </w:divsChild>
                                                    </w:div>
                                                    <w:div w:id="860824609">
                                                      <w:marLeft w:val="0"/>
                                                      <w:marRight w:val="0"/>
                                                      <w:marTop w:val="0"/>
                                                      <w:marBottom w:val="0"/>
                                                      <w:divBdr>
                                                        <w:top w:val="none" w:sz="0" w:space="0" w:color="auto"/>
                                                        <w:left w:val="none" w:sz="0" w:space="0" w:color="auto"/>
                                                        <w:bottom w:val="none" w:sz="0" w:space="0" w:color="auto"/>
                                                        <w:right w:val="none" w:sz="0" w:space="0" w:color="auto"/>
                                                      </w:divBdr>
                                                      <w:divsChild>
                                                        <w:div w:id="790898189">
                                                          <w:marLeft w:val="0"/>
                                                          <w:marRight w:val="0"/>
                                                          <w:marTop w:val="120"/>
                                                          <w:marBottom w:val="0"/>
                                                          <w:divBdr>
                                                            <w:top w:val="none" w:sz="0" w:space="0" w:color="auto"/>
                                                            <w:left w:val="none" w:sz="0" w:space="0" w:color="auto"/>
                                                            <w:bottom w:val="none" w:sz="0" w:space="0" w:color="auto"/>
                                                            <w:right w:val="none" w:sz="0" w:space="0" w:color="auto"/>
                                                          </w:divBdr>
                                                        </w:div>
                                                        <w:div w:id="1430662065">
                                                          <w:marLeft w:val="0"/>
                                                          <w:marRight w:val="0"/>
                                                          <w:marTop w:val="0"/>
                                                          <w:marBottom w:val="0"/>
                                                          <w:divBdr>
                                                            <w:top w:val="none" w:sz="0" w:space="0" w:color="auto"/>
                                                            <w:left w:val="none" w:sz="0" w:space="0" w:color="auto"/>
                                                            <w:bottom w:val="none" w:sz="0" w:space="0" w:color="auto"/>
                                                            <w:right w:val="none" w:sz="0" w:space="0" w:color="auto"/>
                                                          </w:divBdr>
                                                        </w:div>
                                                      </w:divsChild>
                                                    </w:div>
                                                    <w:div w:id="1671642473">
                                                      <w:marLeft w:val="0"/>
                                                      <w:marRight w:val="0"/>
                                                      <w:marTop w:val="0"/>
                                                      <w:marBottom w:val="0"/>
                                                      <w:divBdr>
                                                        <w:top w:val="none" w:sz="0" w:space="0" w:color="auto"/>
                                                        <w:left w:val="none" w:sz="0" w:space="0" w:color="auto"/>
                                                        <w:bottom w:val="none" w:sz="0" w:space="0" w:color="auto"/>
                                                        <w:right w:val="none" w:sz="0" w:space="0" w:color="auto"/>
                                                      </w:divBdr>
                                                      <w:divsChild>
                                                        <w:div w:id="399596080">
                                                          <w:marLeft w:val="0"/>
                                                          <w:marRight w:val="0"/>
                                                          <w:marTop w:val="120"/>
                                                          <w:marBottom w:val="0"/>
                                                          <w:divBdr>
                                                            <w:top w:val="none" w:sz="0" w:space="0" w:color="auto"/>
                                                            <w:left w:val="none" w:sz="0" w:space="0" w:color="auto"/>
                                                            <w:bottom w:val="none" w:sz="0" w:space="0" w:color="auto"/>
                                                            <w:right w:val="none" w:sz="0" w:space="0" w:color="auto"/>
                                                          </w:divBdr>
                                                        </w:div>
                                                        <w:div w:id="372653400">
                                                          <w:marLeft w:val="0"/>
                                                          <w:marRight w:val="0"/>
                                                          <w:marTop w:val="0"/>
                                                          <w:marBottom w:val="0"/>
                                                          <w:divBdr>
                                                            <w:top w:val="none" w:sz="0" w:space="0" w:color="auto"/>
                                                            <w:left w:val="none" w:sz="0" w:space="0" w:color="auto"/>
                                                            <w:bottom w:val="none" w:sz="0" w:space="0" w:color="auto"/>
                                                            <w:right w:val="none" w:sz="0" w:space="0" w:color="auto"/>
                                                          </w:divBdr>
                                                        </w:div>
                                                      </w:divsChild>
                                                    </w:div>
                                                    <w:div w:id="1041252057">
                                                      <w:marLeft w:val="0"/>
                                                      <w:marRight w:val="0"/>
                                                      <w:marTop w:val="0"/>
                                                      <w:marBottom w:val="0"/>
                                                      <w:divBdr>
                                                        <w:top w:val="none" w:sz="0" w:space="0" w:color="auto"/>
                                                        <w:left w:val="none" w:sz="0" w:space="0" w:color="auto"/>
                                                        <w:bottom w:val="none" w:sz="0" w:space="0" w:color="auto"/>
                                                        <w:right w:val="none" w:sz="0" w:space="0" w:color="auto"/>
                                                      </w:divBdr>
                                                      <w:divsChild>
                                                        <w:div w:id="2080713865">
                                                          <w:marLeft w:val="0"/>
                                                          <w:marRight w:val="0"/>
                                                          <w:marTop w:val="120"/>
                                                          <w:marBottom w:val="0"/>
                                                          <w:divBdr>
                                                            <w:top w:val="none" w:sz="0" w:space="0" w:color="auto"/>
                                                            <w:left w:val="none" w:sz="0" w:space="0" w:color="auto"/>
                                                            <w:bottom w:val="none" w:sz="0" w:space="0" w:color="auto"/>
                                                            <w:right w:val="none" w:sz="0" w:space="0" w:color="auto"/>
                                                          </w:divBdr>
                                                        </w:div>
                                                        <w:div w:id="23868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59514">
                                              <w:marLeft w:val="0"/>
                                              <w:marRight w:val="0"/>
                                              <w:marTop w:val="0"/>
                                              <w:marBottom w:val="0"/>
                                              <w:divBdr>
                                                <w:top w:val="none" w:sz="0" w:space="0" w:color="auto"/>
                                                <w:left w:val="none" w:sz="0" w:space="0" w:color="auto"/>
                                                <w:bottom w:val="none" w:sz="0" w:space="0" w:color="auto"/>
                                                <w:right w:val="none" w:sz="0" w:space="0" w:color="auto"/>
                                              </w:divBdr>
                                              <w:divsChild>
                                                <w:div w:id="1369800353">
                                                  <w:marLeft w:val="0"/>
                                                  <w:marRight w:val="0"/>
                                                  <w:marTop w:val="120"/>
                                                  <w:marBottom w:val="0"/>
                                                  <w:divBdr>
                                                    <w:top w:val="none" w:sz="0" w:space="0" w:color="auto"/>
                                                    <w:left w:val="none" w:sz="0" w:space="0" w:color="auto"/>
                                                    <w:bottom w:val="none" w:sz="0" w:space="0" w:color="auto"/>
                                                    <w:right w:val="none" w:sz="0" w:space="0" w:color="auto"/>
                                                  </w:divBdr>
                                                </w:div>
                                                <w:div w:id="509029695">
                                                  <w:marLeft w:val="0"/>
                                                  <w:marRight w:val="0"/>
                                                  <w:marTop w:val="0"/>
                                                  <w:marBottom w:val="0"/>
                                                  <w:divBdr>
                                                    <w:top w:val="none" w:sz="0" w:space="0" w:color="auto"/>
                                                    <w:left w:val="none" w:sz="0" w:space="0" w:color="auto"/>
                                                    <w:bottom w:val="none" w:sz="0" w:space="0" w:color="auto"/>
                                                    <w:right w:val="none" w:sz="0" w:space="0" w:color="auto"/>
                                                  </w:divBdr>
                                                  <w:divsChild>
                                                    <w:div w:id="1113209219">
                                                      <w:marLeft w:val="0"/>
                                                      <w:marRight w:val="0"/>
                                                      <w:marTop w:val="0"/>
                                                      <w:marBottom w:val="0"/>
                                                      <w:divBdr>
                                                        <w:top w:val="none" w:sz="0" w:space="0" w:color="auto"/>
                                                        <w:left w:val="none" w:sz="0" w:space="0" w:color="auto"/>
                                                        <w:bottom w:val="none" w:sz="0" w:space="0" w:color="auto"/>
                                                        <w:right w:val="none" w:sz="0" w:space="0" w:color="auto"/>
                                                      </w:divBdr>
                                                      <w:divsChild>
                                                        <w:div w:id="523402973">
                                                          <w:marLeft w:val="0"/>
                                                          <w:marRight w:val="0"/>
                                                          <w:marTop w:val="120"/>
                                                          <w:marBottom w:val="0"/>
                                                          <w:divBdr>
                                                            <w:top w:val="none" w:sz="0" w:space="0" w:color="auto"/>
                                                            <w:left w:val="none" w:sz="0" w:space="0" w:color="auto"/>
                                                            <w:bottom w:val="none" w:sz="0" w:space="0" w:color="auto"/>
                                                            <w:right w:val="none" w:sz="0" w:space="0" w:color="auto"/>
                                                          </w:divBdr>
                                                        </w:div>
                                                        <w:div w:id="99883251">
                                                          <w:marLeft w:val="0"/>
                                                          <w:marRight w:val="0"/>
                                                          <w:marTop w:val="0"/>
                                                          <w:marBottom w:val="0"/>
                                                          <w:divBdr>
                                                            <w:top w:val="none" w:sz="0" w:space="0" w:color="auto"/>
                                                            <w:left w:val="none" w:sz="0" w:space="0" w:color="auto"/>
                                                            <w:bottom w:val="none" w:sz="0" w:space="0" w:color="auto"/>
                                                            <w:right w:val="none" w:sz="0" w:space="0" w:color="auto"/>
                                                          </w:divBdr>
                                                        </w:div>
                                                      </w:divsChild>
                                                    </w:div>
                                                    <w:div w:id="490677305">
                                                      <w:marLeft w:val="0"/>
                                                      <w:marRight w:val="0"/>
                                                      <w:marTop w:val="0"/>
                                                      <w:marBottom w:val="0"/>
                                                      <w:divBdr>
                                                        <w:top w:val="none" w:sz="0" w:space="0" w:color="auto"/>
                                                        <w:left w:val="none" w:sz="0" w:space="0" w:color="auto"/>
                                                        <w:bottom w:val="none" w:sz="0" w:space="0" w:color="auto"/>
                                                        <w:right w:val="none" w:sz="0" w:space="0" w:color="auto"/>
                                                      </w:divBdr>
                                                      <w:divsChild>
                                                        <w:div w:id="2111660749">
                                                          <w:marLeft w:val="0"/>
                                                          <w:marRight w:val="0"/>
                                                          <w:marTop w:val="120"/>
                                                          <w:marBottom w:val="0"/>
                                                          <w:divBdr>
                                                            <w:top w:val="none" w:sz="0" w:space="0" w:color="auto"/>
                                                            <w:left w:val="none" w:sz="0" w:space="0" w:color="auto"/>
                                                            <w:bottom w:val="none" w:sz="0" w:space="0" w:color="auto"/>
                                                            <w:right w:val="none" w:sz="0" w:space="0" w:color="auto"/>
                                                          </w:divBdr>
                                                        </w:div>
                                                        <w:div w:id="1878925595">
                                                          <w:marLeft w:val="0"/>
                                                          <w:marRight w:val="0"/>
                                                          <w:marTop w:val="0"/>
                                                          <w:marBottom w:val="0"/>
                                                          <w:divBdr>
                                                            <w:top w:val="none" w:sz="0" w:space="0" w:color="auto"/>
                                                            <w:left w:val="none" w:sz="0" w:space="0" w:color="auto"/>
                                                            <w:bottom w:val="none" w:sz="0" w:space="0" w:color="auto"/>
                                                            <w:right w:val="none" w:sz="0" w:space="0" w:color="auto"/>
                                                          </w:divBdr>
                                                          <w:divsChild>
                                                            <w:div w:id="244656755">
                                                              <w:marLeft w:val="0"/>
                                                              <w:marRight w:val="0"/>
                                                              <w:marTop w:val="0"/>
                                                              <w:marBottom w:val="0"/>
                                                              <w:divBdr>
                                                                <w:top w:val="none" w:sz="0" w:space="0" w:color="auto"/>
                                                                <w:left w:val="none" w:sz="0" w:space="0" w:color="auto"/>
                                                                <w:bottom w:val="none" w:sz="0" w:space="0" w:color="auto"/>
                                                                <w:right w:val="none" w:sz="0" w:space="0" w:color="auto"/>
                                                              </w:divBdr>
                                                              <w:divsChild>
                                                                <w:div w:id="1804081385">
                                                                  <w:marLeft w:val="0"/>
                                                                  <w:marRight w:val="0"/>
                                                                  <w:marTop w:val="120"/>
                                                                  <w:marBottom w:val="0"/>
                                                                  <w:divBdr>
                                                                    <w:top w:val="none" w:sz="0" w:space="0" w:color="auto"/>
                                                                    <w:left w:val="none" w:sz="0" w:space="0" w:color="auto"/>
                                                                    <w:bottom w:val="none" w:sz="0" w:space="0" w:color="auto"/>
                                                                    <w:right w:val="none" w:sz="0" w:space="0" w:color="auto"/>
                                                                  </w:divBdr>
                                                                </w:div>
                                                                <w:div w:id="1998456536">
                                                                  <w:marLeft w:val="0"/>
                                                                  <w:marRight w:val="0"/>
                                                                  <w:marTop w:val="0"/>
                                                                  <w:marBottom w:val="0"/>
                                                                  <w:divBdr>
                                                                    <w:top w:val="none" w:sz="0" w:space="0" w:color="auto"/>
                                                                    <w:left w:val="none" w:sz="0" w:space="0" w:color="auto"/>
                                                                    <w:bottom w:val="none" w:sz="0" w:space="0" w:color="auto"/>
                                                                    <w:right w:val="none" w:sz="0" w:space="0" w:color="auto"/>
                                                                  </w:divBdr>
                                                                  <w:divsChild>
                                                                    <w:div w:id="7812680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63576914">
                                                              <w:marLeft w:val="0"/>
                                                              <w:marRight w:val="0"/>
                                                              <w:marTop w:val="0"/>
                                                              <w:marBottom w:val="0"/>
                                                              <w:divBdr>
                                                                <w:top w:val="none" w:sz="0" w:space="0" w:color="auto"/>
                                                                <w:left w:val="none" w:sz="0" w:space="0" w:color="auto"/>
                                                                <w:bottom w:val="none" w:sz="0" w:space="0" w:color="auto"/>
                                                                <w:right w:val="none" w:sz="0" w:space="0" w:color="auto"/>
                                                              </w:divBdr>
                                                              <w:divsChild>
                                                                <w:div w:id="538933944">
                                                                  <w:marLeft w:val="0"/>
                                                                  <w:marRight w:val="0"/>
                                                                  <w:marTop w:val="120"/>
                                                                  <w:marBottom w:val="0"/>
                                                                  <w:divBdr>
                                                                    <w:top w:val="none" w:sz="0" w:space="0" w:color="auto"/>
                                                                    <w:left w:val="none" w:sz="0" w:space="0" w:color="auto"/>
                                                                    <w:bottom w:val="none" w:sz="0" w:space="0" w:color="auto"/>
                                                                    <w:right w:val="none" w:sz="0" w:space="0" w:color="auto"/>
                                                                  </w:divBdr>
                                                                </w:div>
                                                                <w:div w:id="367527998">
                                                                  <w:marLeft w:val="0"/>
                                                                  <w:marRight w:val="0"/>
                                                                  <w:marTop w:val="0"/>
                                                                  <w:marBottom w:val="0"/>
                                                                  <w:divBdr>
                                                                    <w:top w:val="none" w:sz="0" w:space="0" w:color="auto"/>
                                                                    <w:left w:val="none" w:sz="0" w:space="0" w:color="auto"/>
                                                                    <w:bottom w:val="none" w:sz="0" w:space="0" w:color="auto"/>
                                                                    <w:right w:val="none" w:sz="0" w:space="0" w:color="auto"/>
                                                                  </w:divBdr>
                                                                  <w:divsChild>
                                                                    <w:div w:id="1536865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163968">
                                      <w:marLeft w:val="0"/>
                                      <w:marRight w:val="0"/>
                                      <w:marTop w:val="0"/>
                                      <w:marBottom w:val="0"/>
                                      <w:divBdr>
                                        <w:top w:val="none" w:sz="0" w:space="0" w:color="auto"/>
                                        <w:left w:val="none" w:sz="0" w:space="0" w:color="auto"/>
                                        <w:bottom w:val="none" w:sz="0" w:space="0" w:color="auto"/>
                                        <w:right w:val="none" w:sz="0" w:space="0" w:color="auto"/>
                                      </w:divBdr>
                                      <w:divsChild>
                                        <w:div w:id="1777676342">
                                          <w:marLeft w:val="0"/>
                                          <w:marRight w:val="0"/>
                                          <w:marTop w:val="0"/>
                                          <w:marBottom w:val="0"/>
                                          <w:divBdr>
                                            <w:top w:val="none" w:sz="0" w:space="0" w:color="auto"/>
                                            <w:left w:val="none" w:sz="0" w:space="0" w:color="auto"/>
                                            <w:bottom w:val="none" w:sz="0" w:space="0" w:color="auto"/>
                                            <w:right w:val="none" w:sz="0" w:space="0" w:color="auto"/>
                                          </w:divBdr>
                                          <w:divsChild>
                                            <w:div w:id="464084812">
                                              <w:marLeft w:val="0"/>
                                              <w:marRight w:val="0"/>
                                              <w:marTop w:val="0"/>
                                              <w:marBottom w:val="0"/>
                                              <w:divBdr>
                                                <w:top w:val="none" w:sz="0" w:space="0" w:color="auto"/>
                                                <w:left w:val="none" w:sz="0" w:space="0" w:color="auto"/>
                                                <w:bottom w:val="none" w:sz="0" w:space="0" w:color="auto"/>
                                                <w:right w:val="none" w:sz="0" w:space="0" w:color="auto"/>
                                              </w:divBdr>
                                              <w:divsChild>
                                                <w:div w:id="229968119">
                                                  <w:marLeft w:val="0"/>
                                                  <w:marRight w:val="0"/>
                                                  <w:marTop w:val="120"/>
                                                  <w:marBottom w:val="0"/>
                                                  <w:divBdr>
                                                    <w:top w:val="none" w:sz="0" w:space="0" w:color="auto"/>
                                                    <w:left w:val="none" w:sz="0" w:space="0" w:color="auto"/>
                                                    <w:bottom w:val="none" w:sz="0" w:space="0" w:color="auto"/>
                                                    <w:right w:val="none" w:sz="0" w:space="0" w:color="auto"/>
                                                  </w:divBdr>
                                                </w:div>
                                                <w:div w:id="125707310">
                                                  <w:marLeft w:val="0"/>
                                                  <w:marRight w:val="0"/>
                                                  <w:marTop w:val="0"/>
                                                  <w:marBottom w:val="0"/>
                                                  <w:divBdr>
                                                    <w:top w:val="none" w:sz="0" w:space="0" w:color="auto"/>
                                                    <w:left w:val="none" w:sz="0" w:space="0" w:color="auto"/>
                                                    <w:bottom w:val="none" w:sz="0" w:space="0" w:color="auto"/>
                                                    <w:right w:val="none" w:sz="0" w:space="0" w:color="auto"/>
                                                  </w:divBdr>
                                                </w:div>
                                              </w:divsChild>
                                            </w:div>
                                            <w:div w:id="1870069886">
                                              <w:marLeft w:val="0"/>
                                              <w:marRight w:val="0"/>
                                              <w:marTop w:val="0"/>
                                              <w:marBottom w:val="0"/>
                                              <w:divBdr>
                                                <w:top w:val="none" w:sz="0" w:space="0" w:color="auto"/>
                                                <w:left w:val="none" w:sz="0" w:space="0" w:color="auto"/>
                                                <w:bottom w:val="none" w:sz="0" w:space="0" w:color="auto"/>
                                                <w:right w:val="none" w:sz="0" w:space="0" w:color="auto"/>
                                              </w:divBdr>
                                              <w:divsChild>
                                                <w:div w:id="2096321401">
                                                  <w:marLeft w:val="0"/>
                                                  <w:marRight w:val="0"/>
                                                  <w:marTop w:val="120"/>
                                                  <w:marBottom w:val="0"/>
                                                  <w:divBdr>
                                                    <w:top w:val="none" w:sz="0" w:space="0" w:color="auto"/>
                                                    <w:left w:val="none" w:sz="0" w:space="0" w:color="auto"/>
                                                    <w:bottom w:val="none" w:sz="0" w:space="0" w:color="auto"/>
                                                    <w:right w:val="none" w:sz="0" w:space="0" w:color="auto"/>
                                                  </w:divBdr>
                                                </w:div>
                                                <w:div w:id="147660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29026">
                                      <w:marLeft w:val="0"/>
                                      <w:marRight w:val="0"/>
                                      <w:marTop w:val="0"/>
                                      <w:marBottom w:val="0"/>
                                      <w:divBdr>
                                        <w:top w:val="none" w:sz="0" w:space="0" w:color="auto"/>
                                        <w:left w:val="none" w:sz="0" w:space="0" w:color="auto"/>
                                        <w:bottom w:val="none" w:sz="0" w:space="0" w:color="auto"/>
                                        <w:right w:val="none" w:sz="0" w:space="0" w:color="auto"/>
                                      </w:divBdr>
                                      <w:divsChild>
                                        <w:div w:id="2071803921">
                                          <w:marLeft w:val="0"/>
                                          <w:marRight w:val="0"/>
                                          <w:marTop w:val="0"/>
                                          <w:marBottom w:val="0"/>
                                          <w:divBdr>
                                            <w:top w:val="none" w:sz="0" w:space="0" w:color="auto"/>
                                            <w:left w:val="none" w:sz="0" w:space="0" w:color="auto"/>
                                            <w:bottom w:val="none" w:sz="0" w:space="0" w:color="auto"/>
                                            <w:right w:val="none" w:sz="0" w:space="0" w:color="auto"/>
                                          </w:divBdr>
                                          <w:divsChild>
                                            <w:div w:id="1274166398">
                                              <w:marLeft w:val="0"/>
                                              <w:marRight w:val="0"/>
                                              <w:marTop w:val="0"/>
                                              <w:marBottom w:val="0"/>
                                              <w:divBdr>
                                                <w:top w:val="none" w:sz="0" w:space="0" w:color="auto"/>
                                                <w:left w:val="none" w:sz="0" w:space="0" w:color="auto"/>
                                                <w:bottom w:val="none" w:sz="0" w:space="0" w:color="auto"/>
                                                <w:right w:val="none" w:sz="0" w:space="0" w:color="auto"/>
                                              </w:divBdr>
                                              <w:divsChild>
                                                <w:div w:id="1574584996">
                                                  <w:marLeft w:val="0"/>
                                                  <w:marRight w:val="0"/>
                                                  <w:marTop w:val="120"/>
                                                  <w:marBottom w:val="0"/>
                                                  <w:divBdr>
                                                    <w:top w:val="none" w:sz="0" w:space="0" w:color="auto"/>
                                                    <w:left w:val="none" w:sz="0" w:space="0" w:color="auto"/>
                                                    <w:bottom w:val="none" w:sz="0" w:space="0" w:color="auto"/>
                                                    <w:right w:val="none" w:sz="0" w:space="0" w:color="auto"/>
                                                  </w:divBdr>
                                                </w:div>
                                                <w:div w:id="741871556">
                                                  <w:marLeft w:val="0"/>
                                                  <w:marRight w:val="0"/>
                                                  <w:marTop w:val="0"/>
                                                  <w:marBottom w:val="0"/>
                                                  <w:divBdr>
                                                    <w:top w:val="none" w:sz="0" w:space="0" w:color="auto"/>
                                                    <w:left w:val="none" w:sz="0" w:space="0" w:color="auto"/>
                                                    <w:bottom w:val="none" w:sz="0" w:space="0" w:color="auto"/>
                                                    <w:right w:val="none" w:sz="0" w:space="0" w:color="auto"/>
                                                  </w:divBdr>
                                                </w:div>
                                              </w:divsChild>
                                            </w:div>
                                            <w:div w:id="1311595309">
                                              <w:marLeft w:val="0"/>
                                              <w:marRight w:val="0"/>
                                              <w:marTop w:val="0"/>
                                              <w:marBottom w:val="0"/>
                                              <w:divBdr>
                                                <w:top w:val="none" w:sz="0" w:space="0" w:color="auto"/>
                                                <w:left w:val="none" w:sz="0" w:space="0" w:color="auto"/>
                                                <w:bottom w:val="none" w:sz="0" w:space="0" w:color="auto"/>
                                                <w:right w:val="none" w:sz="0" w:space="0" w:color="auto"/>
                                              </w:divBdr>
                                              <w:divsChild>
                                                <w:div w:id="1335302967">
                                                  <w:marLeft w:val="0"/>
                                                  <w:marRight w:val="0"/>
                                                  <w:marTop w:val="120"/>
                                                  <w:marBottom w:val="0"/>
                                                  <w:divBdr>
                                                    <w:top w:val="none" w:sz="0" w:space="0" w:color="auto"/>
                                                    <w:left w:val="none" w:sz="0" w:space="0" w:color="auto"/>
                                                    <w:bottom w:val="none" w:sz="0" w:space="0" w:color="auto"/>
                                                    <w:right w:val="none" w:sz="0" w:space="0" w:color="auto"/>
                                                  </w:divBdr>
                                                </w:div>
                                                <w:div w:id="23429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4397">
                                      <w:marLeft w:val="0"/>
                                      <w:marRight w:val="0"/>
                                      <w:marTop w:val="0"/>
                                      <w:marBottom w:val="0"/>
                                      <w:divBdr>
                                        <w:top w:val="none" w:sz="0" w:space="0" w:color="auto"/>
                                        <w:left w:val="none" w:sz="0" w:space="0" w:color="auto"/>
                                        <w:bottom w:val="none" w:sz="0" w:space="0" w:color="auto"/>
                                        <w:right w:val="none" w:sz="0" w:space="0" w:color="auto"/>
                                      </w:divBdr>
                                      <w:divsChild>
                                        <w:div w:id="998000535">
                                          <w:marLeft w:val="0"/>
                                          <w:marRight w:val="0"/>
                                          <w:marTop w:val="0"/>
                                          <w:marBottom w:val="0"/>
                                          <w:divBdr>
                                            <w:top w:val="none" w:sz="0" w:space="0" w:color="auto"/>
                                            <w:left w:val="none" w:sz="0" w:space="0" w:color="auto"/>
                                            <w:bottom w:val="none" w:sz="0" w:space="0" w:color="auto"/>
                                            <w:right w:val="none" w:sz="0" w:space="0" w:color="auto"/>
                                          </w:divBdr>
                                          <w:divsChild>
                                            <w:div w:id="533999368">
                                              <w:marLeft w:val="0"/>
                                              <w:marRight w:val="0"/>
                                              <w:marTop w:val="0"/>
                                              <w:marBottom w:val="0"/>
                                              <w:divBdr>
                                                <w:top w:val="none" w:sz="0" w:space="0" w:color="auto"/>
                                                <w:left w:val="none" w:sz="0" w:space="0" w:color="auto"/>
                                                <w:bottom w:val="none" w:sz="0" w:space="0" w:color="auto"/>
                                                <w:right w:val="none" w:sz="0" w:space="0" w:color="auto"/>
                                              </w:divBdr>
                                              <w:divsChild>
                                                <w:div w:id="156768768">
                                                  <w:marLeft w:val="0"/>
                                                  <w:marRight w:val="0"/>
                                                  <w:marTop w:val="120"/>
                                                  <w:marBottom w:val="0"/>
                                                  <w:divBdr>
                                                    <w:top w:val="none" w:sz="0" w:space="0" w:color="auto"/>
                                                    <w:left w:val="none" w:sz="0" w:space="0" w:color="auto"/>
                                                    <w:bottom w:val="none" w:sz="0" w:space="0" w:color="auto"/>
                                                    <w:right w:val="none" w:sz="0" w:space="0" w:color="auto"/>
                                                  </w:divBdr>
                                                </w:div>
                                                <w:div w:id="1128563">
                                                  <w:marLeft w:val="0"/>
                                                  <w:marRight w:val="0"/>
                                                  <w:marTop w:val="0"/>
                                                  <w:marBottom w:val="0"/>
                                                  <w:divBdr>
                                                    <w:top w:val="none" w:sz="0" w:space="0" w:color="auto"/>
                                                    <w:left w:val="none" w:sz="0" w:space="0" w:color="auto"/>
                                                    <w:bottom w:val="none" w:sz="0" w:space="0" w:color="auto"/>
                                                    <w:right w:val="none" w:sz="0" w:space="0" w:color="auto"/>
                                                  </w:divBdr>
                                                </w:div>
                                              </w:divsChild>
                                            </w:div>
                                            <w:div w:id="1769614967">
                                              <w:marLeft w:val="0"/>
                                              <w:marRight w:val="0"/>
                                              <w:marTop w:val="0"/>
                                              <w:marBottom w:val="0"/>
                                              <w:divBdr>
                                                <w:top w:val="none" w:sz="0" w:space="0" w:color="auto"/>
                                                <w:left w:val="none" w:sz="0" w:space="0" w:color="auto"/>
                                                <w:bottom w:val="none" w:sz="0" w:space="0" w:color="auto"/>
                                                <w:right w:val="none" w:sz="0" w:space="0" w:color="auto"/>
                                              </w:divBdr>
                                              <w:divsChild>
                                                <w:div w:id="1473790351">
                                                  <w:marLeft w:val="0"/>
                                                  <w:marRight w:val="0"/>
                                                  <w:marTop w:val="120"/>
                                                  <w:marBottom w:val="0"/>
                                                  <w:divBdr>
                                                    <w:top w:val="none" w:sz="0" w:space="0" w:color="auto"/>
                                                    <w:left w:val="none" w:sz="0" w:space="0" w:color="auto"/>
                                                    <w:bottom w:val="none" w:sz="0" w:space="0" w:color="auto"/>
                                                    <w:right w:val="none" w:sz="0" w:space="0" w:color="auto"/>
                                                  </w:divBdr>
                                                </w:div>
                                                <w:div w:id="852186294">
                                                  <w:marLeft w:val="0"/>
                                                  <w:marRight w:val="0"/>
                                                  <w:marTop w:val="0"/>
                                                  <w:marBottom w:val="0"/>
                                                  <w:divBdr>
                                                    <w:top w:val="none" w:sz="0" w:space="0" w:color="auto"/>
                                                    <w:left w:val="none" w:sz="0" w:space="0" w:color="auto"/>
                                                    <w:bottom w:val="none" w:sz="0" w:space="0" w:color="auto"/>
                                                    <w:right w:val="none" w:sz="0" w:space="0" w:color="auto"/>
                                                  </w:divBdr>
                                                </w:div>
                                              </w:divsChild>
                                            </w:div>
                                            <w:div w:id="1732534225">
                                              <w:marLeft w:val="0"/>
                                              <w:marRight w:val="0"/>
                                              <w:marTop w:val="0"/>
                                              <w:marBottom w:val="0"/>
                                              <w:divBdr>
                                                <w:top w:val="none" w:sz="0" w:space="0" w:color="auto"/>
                                                <w:left w:val="none" w:sz="0" w:space="0" w:color="auto"/>
                                                <w:bottom w:val="none" w:sz="0" w:space="0" w:color="auto"/>
                                                <w:right w:val="none" w:sz="0" w:space="0" w:color="auto"/>
                                              </w:divBdr>
                                              <w:divsChild>
                                                <w:div w:id="401679843">
                                                  <w:marLeft w:val="0"/>
                                                  <w:marRight w:val="0"/>
                                                  <w:marTop w:val="120"/>
                                                  <w:marBottom w:val="0"/>
                                                  <w:divBdr>
                                                    <w:top w:val="none" w:sz="0" w:space="0" w:color="auto"/>
                                                    <w:left w:val="none" w:sz="0" w:space="0" w:color="auto"/>
                                                    <w:bottom w:val="none" w:sz="0" w:space="0" w:color="auto"/>
                                                    <w:right w:val="none" w:sz="0" w:space="0" w:color="auto"/>
                                                  </w:divBdr>
                                                </w:div>
                                                <w:div w:id="385838807">
                                                  <w:marLeft w:val="0"/>
                                                  <w:marRight w:val="0"/>
                                                  <w:marTop w:val="0"/>
                                                  <w:marBottom w:val="0"/>
                                                  <w:divBdr>
                                                    <w:top w:val="none" w:sz="0" w:space="0" w:color="auto"/>
                                                    <w:left w:val="none" w:sz="0" w:space="0" w:color="auto"/>
                                                    <w:bottom w:val="none" w:sz="0" w:space="0" w:color="auto"/>
                                                    <w:right w:val="none" w:sz="0" w:space="0" w:color="auto"/>
                                                  </w:divBdr>
                                                </w:div>
                                              </w:divsChild>
                                            </w:div>
                                            <w:div w:id="1684360325">
                                              <w:marLeft w:val="0"/>
                                              <w:marRight w:val="0"/>
                                              <w:marTop w:val="0"/>
                                              <w:marBottom w:val="0"/>
                                              <w:divBdr>
                                                <w:top w:val="none" w:sz="0" w:space="0" w:color="auto"/>
                                                <w:left w:val="none" w:sz="0" w:space="0" w:color="auto"/>
                                                <w:bottom w:val="none" w:sz="0" w:space="0" w:color="auto"/>
                                                <w:right w:val="none" w:sz="0" w:space="0" w:color="auto"/>
                                              </w:divBdr>
                                              <w:divsChild>
                                                <w:div w:id="81144532">
                                                  <w:marLeft w:val="0"/>
                                                  <w:marRight w:val="0"/>
                                                  <w:marTop w:val="120"/>
                                                  <w:marBottom w:val="0"/>
                                                  <w:divBdr>
                                                    <w:top w:val="none" w:sz="0" w:space="0" w:color="auto"/>
                                                    <w:left w:val="none" w:sz="0" w:space="0" w:color="auto"/>
                                                    <w:bottom w:val="none" w:sz="0" w:space="0" w:color="auto"/>
                                                    <w:right w:val="none" w:sz="0" w:space="0" w:color="auto"/>
                                                  </w:divBdr>
                                                </w:div>
                                                <w:div w:id="713969846">
                                                  <w:marLeft w:val="0"/>
                                                  <w:marRight w:val="0"/>
                                                  <w:marTop w:val="0"/>
                                                  <w:marBottom w:val="0"/>
                                                  <w:divBdr>
                                                    <w:top w:val="none" w:sz="0" w:space="0" w:color="auto"/>
                                                    <w:left w:val="none" w:sz="0" w:space="0" w:color="auto"/>
                                                    <w:bottom w:val="none" w:sz="0" w:space="0" w:color="auto"/>
                                                    <w:right w:val="none" w:sz="0" w:space="0" w:color="auto"/>
                                                  </w:divBdr>
                                                </w:div>
                                              </w:divsChild>
                                            </w:div>
                                            <w:div w:id="1527600073">
                                              <w:marLeft w:val="0"/>
                                              <w:marRight w:val="0"/>
                                              <w:marTop w:val="0"/>
                                              <w:marBottom w:val="0"/>
                                              <w:divBdr>
                                                <w:top w:val="none" w:sz="0" w:space="0" w:color="auto"/>
                                                <w:left w:val="none" w:sz="0" w:space="0" w:color="auto"/>
                                                <w:bottom w:val="none" w:sz="0" w:space="0" w:color="auto"/>
                                                <w:right w:val="none" w:sz="0" w:space="0" w:color="auto"/>
                                              </w:divBdr>
                                              <w:divsChild>
                                                <w:div w:id="850946448">
                                                  <w:marLeft w:val="0"/>
                                                  <w:marRight w:val="0"/>
                                                  <w:marTop w:val="120"/>
                                                  <w:marBottom w:val="0"/>
                                                  <w:divBdr>
                                                    <w:top w:val="none" w:sz="0" w:space="0" w:color="auto"/>
                                                    <w:left w:val="none" w:sz="0" w:space="0" w:color="auto"/>
                                                    <w:bottom w:val="none" w:sz="0" w:space="0" w:color="auto"/>
                                                    <w:right w:val="none" w:sz="0" w:space="0" w:color="auto"/>
                                                  </w:divBdr>
                                                </w:div>
                                                <w:div w:id="1731268918">
                                                  <w:marLeft w:val="0"/>
                                                  <w:marRight w:val="0"/>
                                                  <w:marTop w:val="0"/>
                                                  <w:marBottom w:val="0"/>
                                                  <w:divBdr>
                                                    <w:top w:val="none" w:sz="0" w:space="0" w:color="auto"/>
                                                    <w:left w:val="none" w:sz="0" w:space="0" w:color="auto"/>
                                                    <w:bottom w:val="none" w:sz="0" w:space="0" w:color="auto"/>
                                                    <w:right w:val="none" w:sz="0" w:space="0" w:color="auto"/>
                                                  </w:divBdr>
                                                </w:div>
                                              </w:divsChild>
                                            </w:div>
                                            <w:div w:id="638998739">
                                              <w:marLeft w:val="0"/>
                                              <w:marRight w:val="0"/>
                                              <w:marTop w:val="0"/>
                                              <w:marBottom w:val="0"/>
                                              <w:divBdr>
                                                <w:top w:val="none" w:sz="0" w:space="0" w:color="auto"/>
                                                <w:left w:val="none" w:sz="0" w:space="0" w:color="auto"/>
                                                <w:bottom w:val="none" w:sz="0" w:space="0" w:color="auto"/>
                                                <w:right w:val="none" w:sz="0" w:space="0" w:color="auto"/>
                                              </w:divBdr>
                                              <w:divsChild>
                                                <w:div w:id="1557279638">
                                                  <w:marLeft w:val="0"/>
                                                  <w:marRight w:val="0"/>
                                                  <w:marTop w:val="120"/>
                                                  <w:marBottom w:val="0"/>
                                                  <w:divBdr>
                                                    <w:top w:val="none" w:sz="0" w:space="0" w:color="auto"/>
                                                    <w:left w:val="none" w:sz="0" w:space="0" w:color="auto"/>
                                                    <w:bottom w:val="none" w:sz="0" w:space="0" w:color="auto"/>
                                                    <w:right w:val="none" w:sz="0" w:space="0" w:color="auto"/>
                                                  </w:divBdr>
                                                </w:div>
                                                <w:div w:id="17007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011671">
                                      <w:marLeft w:val="0"/>
                                      <w:marRight w:val="0"/>
                                      <w:marTop w:val="0"/>
                                      <w:marBottom w:val="0"/>
                                      <w:divBdr>
                                        <w:top w:val="none" w:sz="0" w:space="0" w:color="auto"/>
                                        <w:left w:val="none" w:sz="0" w:space="0" w:color="auto"/>
                                        <w:bottom w:val="none" w:sz="0" w:space="0" w:color="auto"/>
                                        <w:right w:val="none" w:sz="0" w:space="0" w:color="auto"/>
                                      </w:divBdr>
                                      <w:divsChild>
                                        <w:div w:id="1696155082">
                                          <w:marLeft w:val="0"/>
                                          <w:marRight w:val="0"/>
                                          <w:marTop w:val="0"/>
                                          <w:marBottom w:val="0"/>
                                          <w:divBdr>
                                            <w:top w:val="none" w:sz="0" w:space="0" w:color="auto"/>
                                            <w:left w:val="none" w:sz="0" w:space="0" w:color="auto"/>
                                            <w:bottom w:val="none" w:sz="0" w:space="0" w:color="auto"/>
                                            <w:right w:val="none" w:sz="0" w:space="0" w:color="auto"/>
                                          </w:divBdr>
                                          <w:divsChild>
                                            <w:div w:id="1369143875">
                                              <w:marLeft w:val="0"/>
                                              <w:marRight w:val="0"/>
                                              <w:marTop w:val="0"/>
                                              <w:marBottom w:val="0"/>
                                              <w:divBdr>
                                                <w:top w:val="none" w:sz="0" w:space="0" w:color="auto"/>
                                                <w:left w:val="none" w:sz="0" w:space="0" w:color="auto"/>
                                                <w:bottom w:val="none" w:sz="0" w:space="0" w:color="auto"/>
                                                <w:right w:val="none" w:sz="0" w:space="0" w:color="auto"/>
                                              </w:divBdr>
                                              <w:divsChild>
                                                <w:div w:id="556480911">
                                                  <w:marLeft w:val="0"/>
                                                  <w:marRight w:val="0"/>
                                                  <w:marTop w:val="120"/>
                                                  <w:marBottom w:val="0"/>
                                                  <w:divBdr>
                                                    <w:top w:val="none" w:sz="0" w:space="0" w:color="auto"/>
                                                    <w:left w:val="none" w:sz="0" w:space="0" w:color="auto"/>
                                                    <w:bottom w:val="none" w:sz="0" w:space="0" w:color="auto"/>
                                                    <w:right w:val="none" w:sz="0" w:space="0" w:color="auto"/>
                                                  </w:divBdr>
                                                </w:div>
                                                <w:div w:id="1195508328">
                                                  <w:marLeft w:val="0"/>
                                                  <w:marRight w:val="0"/>
                                                  <w:marTop w:val="0"/>
                                                  <w:marBottom w:val="0"/>
                                                  <w:divBdr>
                                                    <w:top w:val="none" w:sz="0" w:space="0" w:color="auto"/>
                                                    <w:left w:val="none" w:sz="0" w:space="0" w:color="auto"/>
                                                    <w:bottom w:val="none" w:sz="0" w:space="0" w:color="auto"/>
                                                    <w:right w:val="none" w:sz="0" w:space="0" w:color="auto"/>
                                                  </w:divBdr>
                                                </w:div>
                                              </w:divsChild>
                                            </w:div>
                                            <w:div w:id="724065201">
                                              <w:marLeft w:val="0"/>
                                              <w:marRight w:val="0"/>
                                              <w:marTop w:val="0"/>
                                              <w:marBottom w:val="0"/>
                                              <w:divBdr>
                                                <w:top w:val="none" w:sz="0" w:space="0" w:color="auto"/>
                                                <w:left w:val="none" w:sz="0" w:space="0" w:color="auto"/>
                                                <w:bottom w:val="none" w:sz="0" w:space="0" w:color="auto"/>
                                                <w:right w:val="none" w:sz="0" w:space="0" w:color="auto"/>
                                              </w:divBdr>
                                              <w:divsChild>
                                                <w:div w:id="2132046477">
                                                  <w:marLeft w:val="0"/>
                                                  <w:marRight w:val="0"/>
                                                  <w:marTop w:val="120"/>
                                                  <w:marBottom w:val="0"/>
                                                  <w:divBdr>
                                                    <w:top w:val="none" w:sz="0" w:space="0" w:color="auto"/>
                                                    <w:left w:val="none" w:sz="0" w:space="0" w:color="auto"/>
                                                    <w:bottom w:val="none" w:sz="0" w:space="0" w:color="auto"/>
                                                    <w:right w:val="none" w:sz="0" w:space="0" w:color="auto"/>
                                                  </w:divBdr>
                                                </w:div>
                                                <w:div w:id="937710178">
                                                  <w:marLeft w:val="0"/>
                                                  <w:marRight w:val="0"/>
                                                  <w:marTop w:val="0"/>
                                                  <w:marBottom w:val="0"/>
                                                  <w:divBdr>
                                                    <w:top w:val="none" w:sz="0" w:space="0" w:color="auto"/>
                                                    <w:left w:val="none" w:sz="0" w:space="0" w:color="auto"/>
                                                    <w:bottom w:val="none" w:sz="0" w:space="0" w:color="auto"/>
                                                    <w:right w:val="none" w:sz="0" w:space="0" w:color="auto"/>
                                                  </w:divBdr>
                                                </w:div>
                                              </w:divsChild>
                                            </w:div>
                                            <w:div w:id="1445732575">
                                              <w:marLeft w:val="0"/>
                                              <w:marRight w:val="0"/>
                                              <w:marTop w:val="0"/>
                                              <w:marBottom w:val="0"/>
                                              <w:divBdr>
                                                <w:top w:val="none" w:sz="0" w:space="0" w:color="auto"/>
                                                <w:left w:val="none" w:sz="0" w:space="0" w:color="auto"/>
                                                <w:bottom w:val="none" w:sz="0" w:space="0" w:color="auto"/>
                                                <w:right w:val="none" w:sz="0" w:space="0" w:color="auto"/>
                                              </w:divBdr>
                                              <w:divsChild>
                                                <w:div w:id="1261109703">
                                                  <w:marLeft w:val="0"/>
                                                  <w:marRight w:val="0"/>
                                                  <w:marTop w:val="120"/>
                                                  <w:marBottom w:val="0"/>
                                                  <w:divBdr>
                                                    <w:top w:val="none" w:sz="0" w:space="0" w:color="auto"/>
                                                    <w:left w:val="none" w:sz="0" w:space="0" w:color="auto"/>
                                                    <w:bottom w:val="none" w:sz="0" w:space="0" w:color="auto"/>
                                                    <w:right w:val="none" w:sz="0" w:space="0" w:color="auto"/>
                                                  </w:divBdr>
                                                </w:div>
                                                <w:div w:id="665397570">
                                                  <w:marLeft w:val="0"/>
                                                  <w:marRight w:val="0"/>
                                                  <w:marTop w:val="0"/>
                                                  <w:marBottom w:val="0"/>
                                                  <w:divBdr>
                                                    <w:top w:val="none" w:sz="0" w:space="0" w:color="auto"/>
                                                    <w:left w:val="none" w:sz="0" w:space="0" w:color="auto"/>
                                                    <w:bottom w:val="none" w:sz="0" w:space="0" w:color="auto"/>
                                                    <w:right w:val="none" w:sz="0" w:space="0" w:color="auto"/>
                                                  </w:divBdr>
                                                </w:div>
                                              </w:divsChild>
                                            </w:div>
                                            <w:div w:id="1011374837">
                                              <w:marLeft w:val="0"/>
                                              <w:marRight w:val="0"/>
                                              <w:marTop w:val="0"/>
                                              <w:marBottom w:val="0"/>
                                              <w:divBdr>
                                                <w:top w:val="none" w:sz="0" w:space="0" w:color="auto"/>
                                                <w:left w:val="none" w:sz="0" w:space="0" w:color="auto"/>
                                                <w:bottom w:val="none" w:sz="0" w:space="0" w:color="auto"/>
                                                <w:right w:val="none" w:sz="0" w:space="0" w:color="auto"/>
                                              </w:divBdr>
                                              <w:divsChild>
                                                <w:div w:id="359355932">
                                                  <w:marLeft w:val="0"/>
                                                  <w:marRight w:val="0"/>
                                                  <w:marTop w:val="120"/>
                                                  <w:marBottom w:val="0"/>
                                                  <w:divBdr>
                                                    <w:top w:val="none" w:sz="0" w:space="0" w:color="auto"/>
                                                    <w:left w:val="none" w:sz="0" w:space="0" w:color="auto"/>
                                                    <w:bottom w:val="none" w:sz="0" w:space="0" w:color="auto"/>
                                                    <w:right w:val="none" w:sz="0" w:space="0" w:color="auto"/>
                                                  </w:divBdr>
                                                </w:div>
                                                <w:div w:id="224070341">
                                                  <w:marLeft w:val="0"/>
                                                  <w:marRight w:val="0"/>
                                                  <w:marTop w:val="0"/>
                                                  <w:marBottom w:val="0"/>
                                                  <w:divBdr>
                                                    <w:top w:val="none" w:sz="0" w:space="0" w:color="auto"/>
                                                    <w:left w:val="none" w:sz="0" w:space="0" w:color="auto"/>
                                                    <w:bottom w:val="none" w:sz="0" w:space="0" w:color="auto"/>
                                                    <w:right w:val="none" w:sz="0" w:space="0" w:color="auto"/>
                                                  </w:divBdr>
                                                </w:div>
                                              </w:divsChild>
                                            </w:div>
                                            <w:div w:id="1538589085">
                                              <w:marLeft w:val="0"/>
                                              <w:marRight w:val="0"/>
                                              <w:marTop w:val="0"/>
                                              <w:marBottom w:val="0"/>
                                              <w:divBdr>
                                                <w:top w:val="none" w:sz="0" w:space="0" w:color="auto"/>
                                                <w:left w:val="none" w:sz="0" w:space="0" w:color="auto"/>
                                                <w:bottom w:val="none" w:sz="0" w:space="0" w:color="auto"/>
                                                <w:right w:val="none" w:sz="0" w:space="0" w:color="auto"/>
                                              </w:divBdr>
                                              <w:divsChild>
                                                <w:div w:id="421226025">
                                                  <w:marLeft w:val="0"/>
                                                  <w:marRight w:val="0"/>
                                                  <w:marTop w:val="120"/>
                                                  <w:marBottom w:val="0"/>
                                                  <w:divBdr>
                                                    <w:top w:val="none" w:sz="0" w:space="0" w:color="auto"/>
                                                    <w:left w:val="none" w:sz="0" w:space="0" w:color="auto"/>
                                                    <w:bottom w:val="none" w:sz="0" w:space="0" w:color="auto"/>
                                                    <w:right w:val="none" w:sz="0" w:space="0" w:color="auto"/>
                                                  </w:divBdr>
                                                </w:div>
                                                <w:div w:id="1514220659">
                                                  <w:marLeft w:val="0"/>
                                                  <w:marRight w:val="0"/>
                                                  <w:marTop w:val="0"/>
                                                  <w:marBottom w:val="0"/>
                                                  <w:divBdr>
                                                    <w:top w:val="none" w:sz="0" w:space="0" w:color="auto"/>
                                                    <w:left w:val="none" w:sz="0" w:space="0" w:color="auto"/>
                                                    <w:bottom w:val="none" w:sz="0" w:space="0" w:color="auto"/>
                                                    <w:right w:val="none" w:sz="0" w:space="0" w:color="auto"/>
                                                  </w:divBdr>
                                                </w:div>
                                              </w:divsChild>
                                            </w:div>
                                            <w:div w:id="268044915">
                                              <w:marLeft w:val="0"/>
                                              <w:marRight w:val="0"/>
                                              <w:marTop w:val="0"/>
                                              <w:marBottom w:val="0"/>
                                              <w:divBdr>
                                                <w:top w:val="none" w:sz="0" w:space="0" w:color="auto"/>
                                                <w:left w:val="none" w:sz="0" w:space="0" w:color="auto"/>
                                                <w:bottom w:val="none" w:sz="0" w:space="0" w:color="auto"/>
                                                <w:right w:val="none" w:sz="0" w:space="0" w:color="auto"/>
                                              </w:divBdr>
                                              <w:divsChild>
                                                <w:div w:id="1755396935">
                                                  <w:marLeft w:val="0"/>
                                                  <w:marRight w:val="0"/>
                                                  <w:marTop w:val="120"/>
                                                  <w:marBottom w:val="0"/>
                                                  <w:divBdr>
                                                    <w:top w:val="none" w:sz="0" w:space="0" w:color="auto"/>
                                                    <w:left w:val="none" w:sz="0" w:space="0" w:color="auto"/>
                                                    <w:bottom w:val="none" w:sz="0" w:space="0" w:color="auto"/>
                                                    <w:right w:val="none" w:sz="0" w:space="0" w:color="auto"/>
                                                  </w:divBdr>
                                                </w:div>
                                                <w:div w:id="83488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40730">
                                      <w:marLeft w:val="0"/>
                                      <w:marRight w:val="0"/>
                                      <w:marTop w:val="0"/>
                                      <w:marBottom w:val="0"/>
                                      <w:divBdr>
                                        <w:top w:val="none" w:sz="0" w:space="0" w:color="auto"/>
                                        <w:left w:val="none" w:sz="0" w:space="0" w:color="auto"/>
                                        <w:bottom w:val="none" w:sz="0" w:space="0" w:color="auto"/>
                                        <w:right w:val="none" w:sz="0" w:space="0" w:color="auto"/>
                                      </w:divBdr>
                                      <w:divsChild>
                                        <w:div w:id="255137662">
                                          <w:marLeft w:val="0"/>
                                          <w:marRight w:val="0"/>
                                          <w:marTop w:val="0"/>
                                          <w:marBottom w:val="0"/>
                                          <w:divBdr>
                                            <w:top w:val="none" w:sz="0" w:space="0" w:color="auto"/>
                                            <w:left w:val="none" w:sz="0" w:space="0" w:color="auto"/>
                                            <w:bottom w:val="none" w:sz="0" w:space="0" w:color="auto"/>
                                            <w:right w:val="none" w:sz="0" w:space="0" w:color="auto"/>
                                          </w:divBdr>
                                          <w:divsChild>
                                            <w:div w:id="1340544328">
                                              <w:marLeft w:val="0"/>
                                              <w:marRight w:val="0"/>
                                              <w:marTop w:val="0"/>
                                              <w:marBottom w:val="0"/>
                                              <w:divBdr>
                                                <w:top w:val="none" w:sz="0" w:space="0" w:color="auto"/>
                                                <w:left w:val="none" w:sz="0" w:space="0" w:color="auto"/>
                                                <w:bottom w:val="none" w:sz="0" w:space="0" w:color="auto"/>
                                                <w:right w:val="none" w:sz="0" w:space="0" w:color="auto"/>
                                              </w:divBdr>
                                              <w:divsChild>
                                                <w:div w:id="72048085">
                                                  <w:marLeft w:val="0"/>
                                                  <w:marRight w:val="0"/>
                                                  <w:marTop w:val="120"/>
                                                  <w:marBottom w:val="0"/>
                                                  <w:divBdr>
                                                    <w:top w:val="none" w:sz="0" w:space="0" w:color="auto"/>
                                                    <w:left w:val="none" w:sz="0" w:space="0" w:color="auto"/>
                                                    <w:bottom w:val="none" w:sz="0" w:space="0" w:color="auto"/>
                                                    <w:right w:val="none" w:sz="0" w:space="0" w:color="auto"/>
                                                  </w:divBdr>
                                                </w:div>
                                                <w:div w:id="1521047957">
                                                  <w:marLeft w:val="0"/>
                                                  <w:marRight w:val="0"/>
                                                  <w:marTop w:val="0"/>
                                                  <w:marBottom w:val="0"/>
                                                  <w:divBdr>
                                                    <w:top w:val="none" w:sz="0" w:space="0" w:color="auto"/>
                                                    <w:left w:val="none" w:sz="0" w:space="0" w:color="auto"/>
                                                    <w:bottom w:val="none" w:sz="0" w:space="0" w:color="auto"/>
                                                    <w:right w:val="none" w:sz="0" w:space="0" w:color="auto"/>
                                                  </w:divBdr>
                                                </w:div>
                                              </w:divsChild>
                                            </w:div>
                                            <w:div w:id="1200510992">
                                              <w:marLeft w:val="0"/>
                                              <w:marRight w:val="0"/>
                                              <w:marTop w:val="0"/>
                                              <w:marBottom w:val="0"/>
                                              <w:divBdr>
                                                <w:top w:val="none" w:sz="0" w:space="0" w:color="auto"/>
                                                <w:left w:val="none" w:sz="0" w:space="0" w:color="auto"/>
                                                <w:bottom w:val="none" w:sz="0" w:space="0" w:color="auto"/>
                                                <w:right w:val="none" w:sz="0" w:space="0" w:color="auto"/>
                                              </w:divBdr>
                                              <w:divsChild>
                                                <w:div w:id="1796100059">
                                                  <w:marLeft w:val="0"/>
                                                  <w:marRight w:val="0"/>
                                                  <w:marTop w:val="120"/>
                                                  <w:marBottom w:val="0"/>
                                                  <w:divBdr>
                                                    <w:top w:val="none" w:sz="0" w:space="0" w:color="auto"/>
                                                    <w:left w:val="none" w:sz="0" w:space="0" w:color="auto"/>
                                                    <w:bottom w:val="none" w:sz="0" w:space="0" w:color="auto"/>
                                                    <w:right w:val="none" w:sz="0" w:space="0" w:color="auto"/>
                                                  </w:divBdr>
                                                </w:div>
                                                <w:div w:id="706952715">
                                                  <w:marLeft w:val="0"/>
                                                  <w:marRight w:val="0"/>
                                                  <w:marTop w:val="0"/>
                                                  <w:marBottom w:val="0"/>
                                                  <w:divBdr>
                                                    <w:top w:val="none" w:sz="0" w:space="0" w:color="auto"/>
                                                    <w:left w:val="none" w:sz="0" w:space="0" w:color="auto"/>
                                                    <w:bottom w:val="none" w:sz="0" w:space="0" w:color="auto"/>
                                                    <w:right w:val="none" w:sz="0" w:space="0" w:color="auto"/>
                                                  </w:divBdr>
                                                </w:div>
                                              </w:divsChild>
                                            </w:div>
                                            <w:div w:id="90316297">
                                              <w:marLeft w:val="0"/>
                                              <w:marRight w:val="0"/>
                                              <w:marTop w:val="0"/>
                                              <w:marBottom w:val="0"/>
                                              <w:divBdr>
                                                <w:top w:val="none" w:sz="0" w:space="0" w:color="auto"/>
                                                <w:left w:val="none" w:sz="0" w:space="0" w:color="auto"/>
                                                <w:bottom w:val="none" w:sz="0" w:space="0" w:color="auto"/>
                                                <w:right w:val="none" w:sz="0" w:space="0" w:color="auto"/>
                                              </w:divBdr>
                                              <w:divsChild>
                                                <w:div w:id="250087172">
                                                  <w:marLeft w:val="0"/>
                                                  <w:marRight w:val="0"/>
                                                  <w:marTop w:val="120"/>
                                                  <w:marBottom w:val="0"/>
                                                  <w:divBdr>
                                                    <w:top w:val="none" w:sz="0" w:space="0" w:color="auto"/>
                                                    <w:left w:val="none" w:sz="0" w:space="0" w:color="auto"/>
                                                    <w:bottom w:val="none" w:sz="0" w:space="0" w:color="auto"/>
                                                    <w:right w:val="none" w:sz="0" w:space="0" w:color="auto"/>
                                                  </w:divBdr>
                                                </w:div>
                                                <w:div w:id="1081945591">
                                                  <w:marLeft w:val="0"/>
                                                  <w:marRight w:val="0"/>
                                                  <w:marTop w:val="0"/>
                                                  <w:marBottom w:val="0"/>
                                                  <w:divBdr>
                                                    <w:top w:val="none" w:sz="0" w:space="0" w:color="auto"/>
                                                    <w:left w:val="none" w:sz="0" w:space="0" w:color="auto"/>
                                                    <w:bottom w:val="none" w:sz="0" w:space="0" w:color="auto"/>
                                                    <w:right w:val="none" w:sz="0" w:space="0" w:color="auto"/>
                                                  </w:divBdr>
                                                </w:div>
                                              </w:divsChild>
                                            </w:div>
                                            <w:div w:id="770903330">
                                              <w:marLeft w:val="0"/>
                                              <w:marRight w:val="0"/>
                                              <w:marTop w:val="0"/>
                                              <w:marBottom w:val="0"/>
                                              <w:divBdr>
                                                <w:top w:val="none" w:sz="0" w:space="0" w:color="auto"/>
                                                <w:left w:val="none" w:sz="0" w:space="0" w:color="auto"/>
                                                <w:bottom w:val="none" w:sz="0" w:space="0" w:color="auto"/>
                                                <w:right w:val="none" w:sz="0" w:space="0" w:color="auto"/>
                                              </w:divBdr>
                                              <w:divsChild>
                                                <w:div w:id="1573127539">
                                                  <w:marLeft w:val="0"/>
                                                  <w:marRight w:val="0"/>
                                                  <w:marTop w:val="120"/>
                                                  <w:marBottom w:val="0"/>
                                                  <w:divBdr>
                                                    <w:top w:val="none" w:sz="0" w:space="0" w:color="auto"/>
                                                    <w:left w:val="none" w:sz="0" w:space="0" w:color="auto"/>
                                                    <w:bottom w:val="none" w:sz="0" w:space="0" w:color="auto"/>
                                                    <w:right w:val="none" w:sz="0" w:space="0" w:color="auto"/>
                                                  </w:divBdr>
                                                </w:div>
                                                <w:div w:id="383021729">
                                                  <w:marLeft w:val="0"/>
                                                  <w:marRight w:val="0"/>
                                                  <w:marTop w:val="0"/>
                                                  <w:marBottom w:val="0"/>
                                                  <w:divBdr>
                                                    <w:top w:val="none" w:sz="0" w:space="0" w:color="auto"/>
                                                    <w:left w:val="none" w:sz="0" w:space="0" w:color="auto"/>
                                                    <w:bottom w:val="none" w:sz="0" w:space="0" w:color="auto"/>
                                                    <w:right w:val="none" w:sz="0" w:space="0" w:color="auto"/>
                                                  </w:divBdr>
                                                </w:div>
                                              </w:divsChild>
                                            </w:div>
                                            <w:div w:id="609316855">
                                              <w:marLeft w:val="0"/>
                                              <w:marRight w:val="0"/>
                                              <w:marTop w:val="0"/>
                                              <w:marBottom w:val="0"/>
                                              <w:divBdr>
                                                <w:top w:val="none" w:sz="0" w:space="0" w:color="auto"/>
                                                <w:left w:val="none" w:sz="0" w:space="0" w:color="auto"/>
                                                <w:bottom w:val="none" w:sz="0" w:space="0" w:color="auto"/>
                                                <w:right w:val="none" w:sz="0" w:space="0" w:color="auto"/>
                                              </w:divBdr>
                                              <w:divsChild>
                                                <w:div w:id="1297031145">
                                                  <w:marLeft w:val="0"/>
                                                  <w:marRight w:val="0"/>
                                                  <w:marTop w:val="120"/>
                                                  <w:marBottom w:val="0"/>
                                                  <w:divBdr>
                                                    <w:top w:val="none" w:sz="0" w:space="0" w:color="auto"/>
                                                    <w:left w:val="none" w:sz="0" w:space="0" w:color="auto"/>
                                                    <w:bottom w:val="none" w:sz="0" w:space="0" w:color="auto"/>
                                                    <w:right w:val="none" w:sz="0" w:space="0" w:color="auto"/>
                                                  </w:divBdr>
                                                </w:div>
                                                <w:div w:id="1231699069">
                                                  <w:marLeft w:val="0"/>
                                                  <w:marRight w:val="0"/>
                                                  <w:marTop w:val="0"/>
                                                  <w:marBottom w:val="0"/>
                                                  <w:divBdr>
                                                    <w:top w:val="none" w:sz="0" w:space="0" w:color="auto"/>
                                                    <w:left w:val="none" w:sz="0" w:space="0" w:color="auto"/>
                                                    <w:bottom w:val="none" w:sz="0" w:space="0" w:color="auto"/>
                                                    <w:right w:val="none" w:sz="0" w:space="0" w:color="auto"/>
                                                  </w:divBdr>
                                                </w:div>
                                              </w:divsChild>
                                            </w:div>
                                            <w:div w:id="1897084843">
                                              <w:marLeft w:val="0"/>
                                              <w:marRight w:val="0"/>
                                              <w:marTop w:val="0"/>
                                              <w:marBottom w:val="0"/>
                                              <w:divBdr>
                                                <w:top w:val="none" w:sz="0" w:space="0" w:color="auto"/>
                                                <w:left w:val="none" w:sz="0" w:space="0" w:color="auto"/>
                                                <w:bottom w:val="none" w:sz="0" w:space="0" w:color="auto"/>
                                                <w:right w:val="none" w:sz="0" w:space="0" w:color="auto"/>
                                              </w:divBdr>
                                              <w:divsChild>
                                                <w:div w:id="284888775">
                                                  <w:marLeft w:val="0"/>
                                                  <w:marRight w:val="0"/>
                                                  <w:marTop w:val="120"/>
                                                  <w:marBottom w:val="0"/>
                                                  <w:divBdr>
                                                    <w:top w:val="none" w:sz="0" w:space="0" w:color="auto"/>
                                                    <w:left w:val="none" w:sz="0" w:space="0" w:color="auto"/>
                                                    <w:bottom w:val="none" w:sz="0" w:space="0" w:color="auto"/>
                                                    <w:right w:val="none" w:sz="0" w:space="0" w:color="auto"/>
                                                  </w:divBdr>
                                                </w:div>
                                                <w:div w:id="4289507">
                                                  <w:marLeft w:val="0"/>
                                                  <w:marRight w:val="0"/>
                                                  <w:marTop w:val="0"/>
                                                  <w:marBottom w:val="0"/>
                                                  <w:divBdr>
                                                    <w:top w:val="none" w:sz="0" w:space="0" w:color="auto"/>
                                                    <w:left w:val="none" w:sz="0" w:space="0" w:color="auto"/>
                                                    <w:bottom w:val="none" w:sz="0" w:space="0" w:color="auto"/>
                                                    <w:right w:val="none" w:sz="0" w:space="0" w:color="auto"/>
                                                  </w:divBdr>
                                                </w:div>
                                              </w:divsChild>
                                            </w:div>
                                            <w:div w:id="1451627281">
                                              <w:marLeft w:val="0"/>
                                              <w:marRight w:val="0"/>
                                              <w:marTop w:val="0"/>
                                              <w:marBottom w:val="0"/>
                                              <w:divBdr>
                                                <w:top w:val="none" w:sz="0" w:space="0" w:color="auto"/>
                                                <w:left w:val="none" w:sz="0" w:space="0" w:color="auto"/>
                                                <w:bottom w:val="none" w:sz="0" w:space="0" w:color="auto"/>
                                                <w:right w:val="none" w:sz="0" w:space="0" w:color="auto"/>
                                              </w:divBdr>
                                              <w:divsChild>
                                                <w:div w:id="1048528100">
                                                  <w:marLeft w:val="0"/>
                                                  <w:marRight w:val="0"/>
                                                  <w:marTop w:val="120"/>
                                                  <w:marBottom w:val="0"/>
                                                  <w:divBdr>
                                                    <w:top w:val="none" w:sz="0" w:space="0" w:color="auto"/>
                                                    <w:left w:val="none" w:sz="0" w:space="0" w:color="auto"/>
                                                    <w:bottom w:val="none" w:sz="0" w:space="0" w:color="auto"/>
                                                    <w:right w:val="none" w:sz="0" w:space="0" w:color="auto"/>
                                                  </w:divBdr>
                                                </w:div>
                                                <w:div w:id="7132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138698">
                                  <w:marLeft w:val="0"/>
                                  <w:marRight w:val="0"/>
                                  <w:marTop w:val="0"/>
                                  <w:marBottom w:val="0"/>
                                  <w:divBdr>
                                    <w:top w:val="none" w:sz="0" w:space="0" w:color="auto"/>
                                    <w:left w:val="none" w:sz="0" w:space="0" w:color="auto"/>
                                    <w:bottom w:val="none" w:sz="0" w:space="0" w:color="auto"/>
                                    <w:right w:val="none" w:sz="0" w:space="0" w:color="auto"/>
                                  </w:divBdr>
                                  <w:divsChild>
                                    <w:div w:id="316763029">
                                      <w:marLeft w:val="0"/>
                                      <w:marRight w:val="0"/>
                                      <w:marTop w:val="0"/>
                                      <w:marBottom w:val="0"/>
                                      <w:divBdr>
                                        <w:top w:val="none" w:sz="0" w:space="0" w:color="auto"/>
                                        <w:left w:val="none" w:sz="0" w:space="0" w:color="auto"/>
                                        <w:bottom w:val="none" w:sz="0" w:space="0" w:color="auto"/>
                                        <w:right w:val="none" w:sz="0" w:space="0" w:color="auto"/>
                                      </w:divBdr>
                                    </w:div>
                                    <w:div w:id="430980333">
                                      <w:marLeft w:val="0"/>
                                      <w:marRight w:val="0"/>
                                      <w:marTop w:val="0"/>
                                      <w:marBottom w:val="0"/>
                                      <w:divBdr>
                                        <w:top w:val="none" w:sz="0" w:space="0" w:color="auto"/>
                                        <w:left w:val="none" w:sz="0" w:space="0" w:color="auto"/>
                                        <w:bottom w:val="none" w:sz="0" w:space="0" w:color="auto"/>
                                        <w:right w:val="none" w:sz="0" w:space="0" w:color="auto"/>
                                      </w:divBdr>
                                      <w:divsChild>
                                        <w:div w:id="1774470826">
                                          <w:marLeft w:val="0"/>
                                          <w:marRight w:val="0"/>
                                          <w:marTop w:val="120"/>
                                          <w:marBottom w:val="0"/>
                                          <w:divBdr>
                                            <w:top w:val="none" w:sz="0" w:space="0" w:color="auto"/>
                                            <w:left w:val="none" w:sz="0" w:space="0" w:color="auto"/>
                                            <w:bottom w:val="none" w:sz="0" w:space="0" w:color="auto"/>
                                            <w:right w:val="none" w:sz="0" w:space="0" w:color="auto"/>
                                          </w:divBdr>
                                        </w:div>
                                        <w:div w:id="360131684">
                                          <w:marLeft w:val="0"/>
                                          <w:marRight w:val="0"/>
                                          <w:marTop w:val="0"/>
                                          <w:marBottom w:val="0"/>
                                          <w:divBdr>
                                            <w:top w:val="none" w:sz="0" w:space="0" w:color="auto"/>
                                            <w:left w:val="none" w:sz="0" w:space="0" w:color="auto"/>
                                            <w:bottom w:val="none" w:sz="0" w:space="0" w:color="auto"/>
                                            <w:right w:val="none" w:sz="0" w:space="0" w:color="auto"/>
                                          </w:divBdr>
                                        </w:div>
                                      </w:divsChild>
                                    </w:div>
                                    <w:div w:id="1945963081">
                                      <w:marLeft w:val="0"/>
                                      <w:marRight w:val="0"/>
                                      <w:marTop w:val="0"/>
                                      <w:marBottom w:val="0"/>
                                      <w:divBdr>
                                        <w:top w:val="none" w:sz="0" w:space="0" w:color="auto"/>
                                        <w:left w:val="none" w:sz="0" w:space="0" w:color="auto"/>
                                        <w:bottom w:val="none" w:sz="0" w:space="0" w:color="auto"/>
                                        <w:right w:val="none" w:sz="0" w:space="0" w:color="auto"/>
                                      </w:divBdr>
                                      <w:divsChild>
                                        <w:div w:id="1787046326">
                                          <w:marLeft w:val="0"/>
                                          <w:marRight w:val="0"/>
                                          <w:marTop w:val="120"/>
                                          <w:marBottom w:val="0"/>
                                          <w:divBdr>
                                            <w:top w:val="none" w:sz="0" w:space="0" w:color="auto"/>
                                            <w:left w:val="none" w:sz="0" w:space="0" w:color="auto"/>
                                            <w:bottom w:val="none" w:sz="0" w:space="0" w:color="auto"/>
                                            <w:right w:val="none" w:sz="0" w:space="0" w:color="auto"/>
                                          </w:divBdr>
                                        </w:div>
                                        <w:div w:id="1021398708">
                                          <w:marLeft w:val="0"/>
                                          <w:marRight w:val="0"/>
                                          <w:marTop w:val="0"/>
                                          <w:marBottom w:val="0"/>
                                          <w:divBdr>
                                            <w:top w:val="none" w:sz="0" w:space="0" w:color="auto"/>
                                            <w:left w:val="none" w:sz="0" w:space="0" w:color="auto"/>
                                            <w:bottom w:val="none" w:sz="0" w:space="0" w:color="auto"/>
                                            <w:right w:val="none" w:sz="0" w:space="0" w:color="auto"/>
                                          </w:divBdr>
                                        </w:div>
                                      </w:divsChild>
                                    </w:div>
                                    <w:div w:id="2039238645">
                                      <w:marLeft w:val="0"/>
                                      <w:marRight w:val="0"/>
                                      <w:marTop w:val="0"/>
                                      <w:marBottom w:val="0"/>
                                      <w:divBdr>
                                        <w:top w:val="none" w:sz="0" w:space="0" w:color="auto"/>
                                        <w:left w:val="none" w:sz="0" w:space="0" w:color="auto"/>
                                        <w:bottom w:val="none" w:sz="0" w:space="0" w:color="auto"/>
                                        <w:right w:val="none" w:sz="0" w:space="0" w:color="auto"/>
                                      </w:divBdr>
                                      <w:divsChild>
                                        <w:div w:id="507981874">
                                          <w:marLeft w:val="0"/>
                                          <w:marRight w:val="0"/>
                                          <w:marTop w:val="120"/>
                                          <w:marBottom w:val="0"/>
                                          <w:divBdr>
                                            <w:top w:val="none" w:sz="0" w:space="0" w:color="auto"/>
                                            <w:left w:val="none" w:sz="0" w:space="0" w:color="auto"/>
                                            <w:bottom w:val="none" w:sz="0" w:space="0" w:color="auto"/>
                                            <w:right w:val="none" w:sz="0" w:space="0" w:color="auto"/>
                                          </w:divBdr>
                                        </w:div>
                                        <w:div w:id="234248448">
                                          <w:marLeft w:val="0"/>
                                          <w:marRight w:val="0"/>
                                          <w:marTop w:val="0"/>
                                          <w:marBottom w:val="0"/>
                                          <w:divBdr>
                                            <w:top w:val="none" w:sz="0" w:space="0" w:color="auto"/>
                                            <w:left w:val="none" w:sz="0" w:space="0" w:color="auto"/>
                                            <w:bottom w:val="none" w:sz="0" w:space="0" w:color="auto"/>
                                            <w:right w:val="none" w:sz="0" w:space="0" w:color="auto"/>
                                          </w:divBdr>
                                        </w:div>
                                      </w:divsChild>
                                    </w:div>
                                    <w:div w:id="151529973">
                                      <w:marLeft w:val="0"/>
                                      <w:marRight w:val="0"/>
                                      <w:marTop w:val="0"/>
                                      <w:marBottom w:val="0"/>
                                      <w:divBdr>
                                        <w:top w:val="none" w:sz="0" w:space="0" w:color="auto"/>
                                        <w:left w:val="none" w:sz="0" w:space="0" w:color="auto"/>
                                        <w:bottom w:val="none" w:sz="0" w:space="0" w:color="auto"/>
                                        <w:right w:val="none" w:sz="0" w:space="0" w:color="auto"/>
                                      </w:divBdr>
                                      <w:divsChild>
                                        <w:div w:id="2143300464">
                                          <w:marLeft w:val="0"/>
                                          <w:marRight w:val="0"/>
                                          <w:marTop w:val="120"/>
                                          <w:marBottom w:val="0"/>
                                          <w:divBdr>
                                            <w:top w:val="none" w:sz="0" w:space="0" w:color="auto"/>
                                            <w:left w:val="none" w:sz="0" w:space="0" w:color="auto"/>
                                            <w:bottom w:val="none" w:sz="0" w:space="0" w:color="auto"/>
                                            <w:right w:val="none" w:sz="0" w:space="0" w:color="auto"/>
                                          </w:divBdr>
                                        </w:div>
                                        <w:div w:id="2020421652">
                                          <w:marLeft w:val="0"/>
                                          <w:marRight w:val="0"/>
                                          <w:marTop w:val="0"/>
                                          <w:marBottom w:val="0"/>
                                          <w:divBdr>
                                            <w:top w:val="none" w:sz="0" w:space="0" w:color="auto"/>
                                            <w:left w:val="none" w:sz="0" w:space="0" w:color="auto"/>
                                            <w:bottom w:val="none" w:sz="0" w:space="0" w:color="auto"/>
                                            <w:right w:val="none" w:sz="0" w:space="0" w:color="auto"/>
                                          </w:divBdr>
                                        </w:div>
                                      </w:divsChild>
                                    </w:div>
                                    <w:div w:id="631054329">
                                      <w:marLeft w:val="0"/>
                                      <w:marRight w:val="0"/>
                                      <w:marTop w:val="0"/>
                                      <w:marBottom w:val="0"/>
                                      <w:divBdr>
                                        <w:top w:val="none" w:sz="0" w:space="0" w:color="auto"/>
                                        <w:left w:val="none" w:sz="0" w:space="0" w:color="auto"/>
                                        <w:bottom w:val="none" w:sz="0" w:space="0" w:color="auto"/>
                                        <w:right w:val="none" w:sz="0" w:space="0" w:color="auto"/>
                                      </w:divBdr>
                                      <w:divsChild>
                                        <w:div w:id="557204776">
                                          <w:marLeft w:val="0"/>
                                          <w:marRight w:val="0"/>
                                          <w:marTop w:val="120"/>
                                          <w:marBottom w:val="0"/>
                                          <w:divBdr>
                                            <w:top w:val="none" w:sz="0" w:space="0" w:color="auto"/>
                                            <w:left w:val="none" w:sz="0" w:space="0" w:color="auto"/>
                                            <w:bottom w:val="none" w:sz="0" w:space="0" w:color="auto"/>
                                            <w:right w:val="none" w:sz="0" w:space="0" w:color="auto"/>
                                          </w:divBdr>
                                        </w:div>
                                        <w:div w:id="818575132">
                                          <w:marLeft w:val="0"/>
                                          <w:marRight w:val="0"/>
                                          <w:marTop w:val="0"/>
                                          <w:marBottom w:val="0"/>
                                          <w:divBdr>
                                            <w:top w:val="none" w:sz="0" w:space="0" w:color="auto"/>
                                            <w:left w:val="none" w:sz="0" w:space="0" w:color="auto"/>
                                            <w:bottom w:val="none" w:sz="0" w:space="0" w:color="auto"/>
                                            <w:right w:val="none" w:sz="0" w:space="0" w:color="auto"/>
                                          </w:divBdr>
                                        </w:div>
                                      </w:divsChild>
                                    </w:div>
                                    <w:div w:id="1891920963">
                                      <w:marLeft w:val="0"/>
                                      <w:marRight w:val="0"/>
                                      <w:marTop w:val="0"/>
                                      <w:marBottom w:val="0"/>
                                      <w:divBdr>
                                        <w:top w:val="none" w:sz="0" w:space="0" w:color="auto"/>
                                        <w:left w:val="none" w:sz="0" w:space="0" w:color="auto"/>
                                        <w:bottom w:val="none" w:sz="0" w:space="0" w:color="auto"/>
                                        <w:right w:val="none" w:sz="0" w:space="0" w:color="auto"/>
                                      </w:divBdr>
                                      <w:divsChild>
                                        <w:div w:id="712459503">
                                          <w:marLeft w:val="0"/>
                                          <w:marRight w:val="0"/>
                                          <w:marTop w:val="120"/>
                                          <w:marBottom w:val="0"/>
                                          <w:divBdr>
                                            <w:top w:val="none" w:sz="0" w:space="0" w:color="auto"/>
                                            <w:left w:val="none" w:sz="0" w:space="0" w:color="auto"/>
                                            <w:bottom w:val="none" w:sz="0" w:space="0" w:color="auto"/>
                                            <w:right w:val="none" w:sz="0" w:space="0" w:color="auto"/>
                                          </w:divBdr>
                                        </w:div>
                                        <w:div w:id="24769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3130">
                                  <w:marLeft w:val="0"/>
                                  <w:marRight w:val="0"/>
                                  <w:marTop w:val="0"/>
                                  <w:marBottom w:val="0"/>
                                  <w:divBdr>
                                    <w:top w:val="none" w:sz="0" w:space="0" w:color="auto"/>
                                    <w:left w:val="none" w:sz="0" w:space="0" w:color="auto"/>
                                    <w:bottom w:val="none" w:sz="0" w:space="0" w:color="auto"/>
                                    <w:right w:val="none" w:sz="0" w:space="0" w:color="auto"/>
                                  </w:divBdr>
                                  <w:divsChild>
                                    <w:div w:id="1837917100">
                                      <w:marLeft w:val="0"/>
                                      <w:marRight w:val="0"/>
                                      <w:marTop w:val="0"/>
                                      <w:marBottom w:val="0"/>
                                      <w:divBdr>
                                        <w:top w:val="none" w:sz="0" w:space="0" w:color="auto"/>
                                        <w:left w:val="none" w:sz="0" w:space="0" w:color="auto"/>
                                        <w:bottom w:val="none" w:sz="0" w:space="0" w:color="auto"/>
                                        <w:right w:val="none" w:sz="0" w:space="0" w:color="auto"/>
                                      </w:divBdr>
                                    </w:div>
                                    <w:div w:id="1246065891">
                                      <w:marLeft w:val="0"/>
                                      <w:marRight w:val="0"/>
                                      <w:marTop w:val="0"/>
                                      <w:marBottom w:val="0"/>
                                      <w:divBdr>
                                        <w:top w:val="none" w:sz="0" w:space="0" w:color="auto"/>
                                        <w:left w:val="none" w:sz="0" w:space="0" w:color="auto"/>
                                        <w:bottom w:val="none" w:sz="0" w:space="0" w:color="auto"/>
                                        <w:right w:val="none" w:sz="0" w:space="0" w:color="auto"/>
                                      </w:divBdr>
                                      <w:divsChild>
                                        <w:div w:id="1424759311">
                                          <w:marLeft w:val="0"/>
                                          <w:marRight w:val="0"/>
                                          <w:marTop w:val="0"/>
                                          <w:marBottom w:val="0"/>
                                          <w:divBdr>
                                            <w:top w:val="none" w:sz="0" w:space="0" w:color="auto"/>
                                            <w:left w:val="none" w:sz="0" w:space="0" w:color="auto"/>
                                            <w:bottom w:val="none" w:sz="0" w:space="0" w:color="auto"/>
                                            <w:right w:val="none" w:sz="0" w:space="0" w:color="auto"/>
                                          </w:divBdr>
                                          <w:divsChild>
                                            <w:div w:id="1998341244">
                                              <w:marLeft w:val="0"/>
                                              <w:marRight w:val="0"/>
                                              <w:marTop w:val="0"/>
                                              <w:marBottom w:val="0"/>
                                              <w:divBdr>
                                                <w:top w:val="none" w:sz="0" w:space="0" w:color="auto"/>
                                                <w:left w:val="none" w:sz="0" w:space="0" w:color="auto"/>
                                                <w:bottom w:val="none" w:sz="0" w:space="0" w:color="auto"/>
                                                <w:right w:val="none" w:sz="0" w:space="0" w:color="auto"/>
                                              </w:divBdr>
                                              <w:divsChild>
                                                <w:div w:id="1583219748">
                                                  <w:marLeft w:val="0"/>
                                                  <w:marRight w:val="0"/>
                                                  <w:marTop w:val="120"/>
                                                  <w:marBottom w:val="0"/>
                                                  <w:divBdr>
                                                    <w:top w:val="none" w:sz="0" w:space="0" w:color="auto"/>
                                                    <w:left w:val="none" w:sz="0" w:space="0" w:color="auto"/>
                                                    <w:bottom w:val="none" w:sz="0" w:space="0" w:color="auto"/>
                                                    <w:right w:val="none" w:sz="0" w:space="0" w:color="auto"/>
                                                  </w:divBdr>
                                                </w:div>
                                                <w:div w:id="1742289270">
                                                  <w:marLeft w:val="0"/>
                                                  <w:marRight w:val="0"/>
                                                  <w:marTop w:val="0"/>
                                                  <w:marBottom w:val="0"/>
                                                  <w:divBdr>
                                                    <w:top w:val="none" w:sz="0" w:space="0" w:color="auto"/>
                                                    <w:left w:val="none" w:sz="0" w:space="0" w:color="auto"/>
                                                    <w:bottom w:val="none" w:sz="0" w:space="0" w:color="auto"/>
                                                    <w:right w:val="none" w:sz="0" w:space="0" w:color="auto"/>
                                                  </w:divBdr>
                                                </w:div>
                                              </w:divsChild>
                                            </w:div>
                                            <w:div w:id="1038428115">
                                              <w:marLeft w:val="0"/>
                                              <w:marRight w:val="0"/>
                                              <w:marTop w:val="0"/>
                                              <w:marBottom w:val="0"/>
                                              <w:divBdr>
                                                <w:top w:val="none" w:sz="0" w:space="0" w:color="auto"/>
                                                <w:left w:val="none" w:sz="0" w:space="0" w:color="auto"/>
                                                <w:bottom w:val="none" w:sz="0" w:space="0" w:color="auto"/>
                                                <w:right w:val="none" w:sz="0" w:space="0" w:color="auto"/>
                                              </w:divBdr>
                                              <w:divsChild>
                                                <w:div w:id="1464543338">
                                                  <w:marLeft w:val="0"/>
                                                  <w:marRight w:val="0"/>
                                                  <w:marTop w:val="120"/>
                                                  <w:marBottom w:val="0"/>
                                                  <w:divBdr>
                                                    <w:top w:val="none" w:sz="0" w:space="0" w:color="auto"/>
                                                    <w:left w:val="none" w:sz="0" w:space="0" w:color="auto"/>
                                                    <w:bottom w:val="none" w:sz="0" w:space="0" w:color="auto"/>
                                                    <w:right w:val="none" w:sz="0" w:space="0" w:color="auto"/>
                                                  </w:divBdr>
                                                </w:div>
                                                <w:div w:id="11629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272633">
                                      <w:marLeft w:val="0"/>
                                      <w:marRight w:val="0"/>
                                      <w:marTop w:val="0"/>
                                      <w:marBottom w:val="0"/>
                                      <w:divBdr>
                                        <w:top w:val="none" w:sz="0" w:space="0" w:color="auto"/>
                                        <w:left w:val="none" w:sz="0" w:space="0" w:color="auto"/>
                                        <w:bottom w:val="none" w:sz="0" w:space="0" w:color="auto"/>
                                        <w:right w:val="none" w:sz="0" w:space="0" w:color="auto"/>
                                      </w:divBdr>
                                      <w:divsChild>
                                        <w:div w:id="1169322308">
                                          <w:marLeft w:val="0"/>
                                          <w:marRight w:val="0"/>
                                          <w:marTop w:val="120"/>
                                          <w:marBottom w:val="0"/>
                                          <w:divBdr>
                                            <w:top w:val="none" w:sz="0" w:space="0" w:color="auto"/>
                                            <w:left w:val="none" w:sz="0" w:space="0" w:color="auto"/>
                                            <w:bottom w:val="none" w:sz="0" w:space="0" w:color="auto"/>
                                            <w:right w:val="none" w:sz="0" w:space="0" w:color="auto"/>
                                          </w:divBdr>
                                        </w:div>
                                        <w:div w:id="1829058995">
                                          <w:marLeft w:val="0"/>
                                          <w:marRight w:val="0"/>
                                          <w:marTop w:val="0"/>
                                          <w:marBottom w:val="0"/>
                                          <w:divBdr>
                                            <w:top w:val="none" w:sz="0" w:space="0" w:color="auto"/>
                                            <w:left w:val="none" w:sz="0" w:space="0" w:color="auto"/>
                                            <w:bottom w:val="none" w:sz="0" w:space="0" w:color="auto"/>
                                            <w:right w:val="none" w:sz="0" w:space="0" w:color="auto"/>
                                          </w:divBdr>
                                        </w:div>
                                      </w:divsChild>
                                    </w:div>
                                    <w:div w:id="1563906883">
                                      <w:marLeft w:val="0"/>
                                      <w:marRight w:val="0"/>
                                      <w:marTop w:val="0"/>
                                      <w:marBottom w:val="0"/>
                                      <w:divBdr>
                                        <w:top w:val="none" w:sz="0" w:space="0" w:color="auto"/>
                                        <w:left w:val="none" w:sz="0" w:space="0" w:color="auto"/>
                                        <w:bottom w:val="none" w:sz="0" w:space="0" w:color="auto"/>
                                        <w:right w:val="none" w:sz="0" w:space="0" w:color="auto"/>
                                      </w:divBdr>
                                      <w:divsChild>
                                        <w:div w:id="651757692">
                                          <w:marLeft w:val="0"/>
                                          <w:marRight w:val="0"/>
                                          <w:marTop w:val="120"/>
                                          <w:marBottom w:val="0"/>
                                          <w:divBdr>
                                            <w:top w:val="none" w:sz="0" w:space="0" w:color="auto"/>
                                            <w:left w:val="none" w:sz="0" w:space="0" w:color="auto"/>
                                            <w:bottom w:val="none" w:sz="0" w:space="0" w:color="auto"/>
                                            <w:right w:val="none" w:sz="0" w:space="0" w:color="auto"/>
                                          </w:divBdr>
                                        </w:div>
                                        <w:div w:id="2087411237">
                                          <w:marLeft w:val="0"/>
                                          <w:marRight w:val="0"/>
                                          <w:marTop w:val="0"/>
                                          <w:marBottom w:val="0"/>
                                          <w:divBdr>
                                            <w:top w:val="none" w:sz="0" w:space="0" w:color="auto"/>
                                            <w:left w:val="none" w:sz="0" w:space="0" w:color="auto"/>
                                            <w:bottom w:val="none" w:sz="0" w:space="0" w:color="auto"/>
                                            <w:right w:val="none" w:sz="0" w:space="0" w:color="auto"/>
                                          </w:divBdr>
                                        </w:div>
                                      </w:divsChild>
                                    </w:div>
                                    <w:div w:id="1553737674">
                                      <w:marLeft w:val="0"/>
                                      <w:marRight w:val="0"/>
                                      <w:marTop w:val="0"/>
                                      <w:marBottom w:val="0"/>
                                      <w:divBdr>
                                        <w:top w:val="none" w:sz="0" w:space="0" w:color="auto"/>
                                        <w:left w:val="none" w:sz="0" w:space="0" w:color="auto"/>
                                        <w:bottom w:val="none" w:sz="0" w:space="0" w:color="auto"/>
                                        <w:right w:val="none" w:sz="0" w:space="0" w:color="auto"/>
                                      </w:divBdr>
                                      <w:divsChild>
                                        <w:div w:id="1546747352">
                                          <w:marLeft w:val="0"/>
                                          <w:marRight w:val="0"/>
                                          <w:marTop w:val="120"/>
                                          <w:marBottom w:val="0"/>
                                          <w:divBdr>
                                            <w:top w:val="none" w:sz="0" w:space="0" w:color="auto"/>
                                            <w:left w:val="none" w:sz="0" w:space="0" w:color="auto"/>
                                            <w:bottom w:val="none" w:sz="0" w:space="0" w:color="auto"/>
                                            <w:right w:val="none" w:sz="0" w:space="0" w:color="auto"/>
                                          </w:divBdr>
                                        </w:div>
                                        <w:div w:id="1857113292">
                                          <w:marLeft w:val="0"/>
                                          <w:marRight w:val="0"/>
                                          <w:marTop w:val="0"/>
                                          <w:marBottom w:val="0"/>
                                          <w:divBdr>
                                            <w:top w:val="none" w:sz="0" w:space="0" w:color="auto"/>
                                            <w:left w:val="none" w:sz="0" w:space="0" w:color="auto"/>
                                            <w:bottom w:val="none" w:sz="0" w:space="0" w:color="auto"/>
                                            <w:right w:val="none" w:sz="0" w:space="0" w:color="auto"/>
                                          </w:divBdr>
                                        </w:div>
                                      </w:divsChild>
                                    </w:div>
                                    <w:div w:id="36858372">
                                      <w:marLeft w:val="0"/>
                                      <w:marRight w:val="0"/>
                                      <w:marTop w:val="0"/>
                                      <w:marBottom w:val="0"/>
                                      <w:divBdr>
                                        <w:top w:val="none" w:sz="0" w:space="0" w:color="auto"/>
                                        <w:left w:val="none" w:sz="0" w:space="0" w:color="auto"/>
                                        <w:bottom w:val="none" w:sz="0" w:space="0" w:color="auto"/>
                                        <w:right w:val="none" w:sz="0" w:space="0" w:color="auto"/>
                                      </w:divBdr>
                                      <w:divsChild>
                                        <w:div w:id="2017343772">
                                          <w:marLeft w:val="0"/>
                                          <w:marRight w:val="0"/>
                                          <w:marTop w:val="0"/>
                                          <w:marBottom w:val="0"/>
                                          <w:divBdr>
                                            <w:top w:val="none" w:sz="0" w:space="0" w:color="auto"/>
                                            <w:left w:val="none" w:sz="0" w:space="0" w:color="auto"/>
                                            <w:bottom w:val="none" w:sz="0" w:space="0" w:color="auto"/>
                                            <w:right w:val="none" w:sz="0" w:space="0" w:color="auto"/>
                                          </w:divBdr>
                                        </w:div>
                                      </w:divsChild>
                                    </w:div>
                                    <w:div w:id="1156072527">
                                      <w:marLeft w:val="0"/>
                                      <w:marRight w:val="0"/>
                                      <w:marTop w:val="0"/>
                                      <w:marBottom w:val="0"/>
                                      <w:divBdr>
                                        <w:top w:val="none" w:sz="0" w:space="0" w:color="auto"/>
                                        <w:left w:val="none" w:sz="0" w:space="0" w:color="auto"/>
                                        <w:bottom w:val="none" w:sz="0" w:space="0" w:color="auto"/>
                                        <w:right w:val="none" w:sz="0" w:space="0" w:color="auto"/>
                                      </w:divBdr>
                                      <w:divsChild>
                                        <w:div w:id="1344866182">
                                          <w:marLeft w:val="0"/>
                                          <w:marRight w:val="0"/>
                                          <w:marTop w:val="120"/>
                                          <w:marBottom w:val="0"/>
                                          <w:divBdr>
                                            <w:top w:val="none" w:sz="0" w:space="0" w:color="auto"/>
                                            <w:left w:val="none" w:sz="0" w:space="0" w:color="auto"/>
                                            <w:bottom w:val="none" w:sz="0" w:space="0" w:color="auto"/>
                                            <w:right w:val="none" w:sz="0" w:space="0" w:color="auto"/>
                                          </w:divBdr>
                                        </w:div>
                                        <w:div w:id="737556152">
                                          <w:marLeft w:val="0"/>
                                          <w:marRight w:val="0"/>
                                          <w:marTop w:val="0"/>
                                          <w:marBottom w:val="0"/>
                                          <w:divBdr>
                                            <w:top w:val="none" w:sz="0" w:space="0" w:color="auto"/>
                                            <w:left w:val="none" w:sz="0" w:space="0" w:color="auto"/>
                                            <w:bottom w:val="none" w:sz="0" w:space="0" w:color="auto"/>
                                            <w:right w:val="none" w:sz="0" w:space="0" w:color="auto"/>
                                          </w:divBdr>
                                        </w:div>
                                      </w:divsChild>
                                    </w:div>
                                    <w:div w:id="1809938520">
                                      <w:marLeft w:val="0"/>
                                      <w:marRight w:val="0"/>
                                      <w:marTop w:val="0"/>
                                      <w:marBottom w:val="0"/>
                                      <w:divBdr>
                                        <w:top w:val="none" w:sz="0" w:space="0" w:color="auto"/>
                                        <w:left w:val="none" w:sz="0" w:space="0" w:color="auto"/>
                                        <w:bottom w:val="none" w:sz="0" w:space="0" w:color="auto"/>
                                        <w:right w:val="none" w:sz="0" w:space="0" w:color="auto"/>
                                      </w:divBdr>
                                      <w:divsChild>
                                        <w:div w:id="369494631">
                                          <w:marLeft w:val="0"/>
                                          <w:marRight w:val="0"/>
                                          <w:marTop w:val="120"/>
                                          <w:marBottom w:val="0"/>
                                          <w:divBdr>
                                            <w:top w:val="none" w:sz="0" w:space="0" w:color="auto"/>
                                            <w:left w:val="none" w:sz="0" w:space="0" w:color="auto"/>
                                            <w:bottom w:val="none" w:sz="0" w:space="0" w:color="auto"/>
                                            <w:right w:val="none" w:sz="0" w:space="0" w:color="auto"/>
                                          </w:divBdr>
                                        </w:div>
                                        <w:div w:id="162009152">
                                          <w:marLeft w:val="0"/>
                                          <w:marRight w:val="0"/>
                                          <w:marTop w:val="0"/>
                                          <w:marBottom w:val="0"/>
                                          <w:divBdr>
                                            <w:top w:val="none" w:sz="0" w:space="0" w:color="auto"/>
                                            <w:left w:val="none" w:sz="0" w:space="0" w:color="auto"/>
                                            <w:bottom w:val="none" w:sz="0" w:space="0" w:color="auto"/>
                                            <w:right w:val="none" w:sz="0" w:space="0" w:color="auto"/>
                                          </w:divBdr>
                                        </w:div>
                                      </w:divsChild>
                                    </w:div>
                                    <w:div w:id="697783186">
                                      <w:marLeft w:val="0"/>
                                      <w:marRight w:val="0"/>
                                      <w:marTop w:val="0"/>
                                      <w:marBottom w:val="0"/>
                                      <w:divBdr>
                                        <w:top w:val="none" w:sz="0" w:space="0" w:color="auto"/>
                                        <w:left w:val="none" w:sz="0" w:space="0" w:color="auto"/>
                                        <w:bottom w:val="none" w:sz="0" w:space="0" w:color="auto"/>
                                        <w:right w:val="none" w:sz="0" w:space="0" w:color="auto"/>
                                      </w:divBdr>
                                      <w:divsChild>
                                        <w:div w:id="1839298893">
                                          <w:marLeft w:val="0"/>
                                          <w:marRight w:val="0"/>
                                          <w:marTop w:val="0"/>
                                          <w:marBottom w:val="0"/>
                                          <w:divBdr>
                                            <w:top w:val="none" w:sz="0" w:space="0" w:color="auto"/>
                                            <w:left w:val="none" w:sz="0" w:space="0" w:color="auto"/>
                                            <w:bottom w:val="none" w:sz="0" w:space="0" w:color="auto"/>
                                            <w:right w:val="none" w:sz="0" w:space="0" w:color="auto"/>
                                          </w:divBdr>
                                        </w:div>
                                      </w:divsChild>
                                    </w:div>
                                    <w:div w:id="2142570050">
                                      <w:marLeft w:val="0"/>
                                      <w:marRight w:val="0"/>
                                      <w:marTop w:val="0"/>
                                      <w:marBottom w:val="0"/>
                                      <w:divBdr>
                                        <w:top w:val="none" w:sz="0" w:space="0" w:color="auto"/>
                                        <w:left w:val="none" w:sz="0" w:space="0" w:color="auto"/>
                                        <w:bottom w:val="none" w:sz="0" w:space="0" w:color="auto"/>
                                        <w:right w:val="none" w:sz="0" w:space="0" w:color="auto"/>
                                      </w:divBdr>
                                      <w:divsChild>
                                        <w:div w:id="592203301">
                                          <w:marLeft w:val="0"/>
                                          <w:marRight w:val="0"/>
                                          <w:marTop w:val="0"/>
                                          <w:marBottom w:val="0"/>
                                          <w:divBdr>
                                            <w:top w:val="none" w:sz="0" w:space="0" w:color="auto"/>
                                            <w:left w:val="none" w:sz="0" w:space="0" w:color="auto"/>
                                            <w:bottom w:val="none" w:sz="0" w:space="0" w:color="auto"/>
                                            <w:right w:val="none" w:sz="0" w:space="0" w:color="auto"/>
                                          </w:divBdr>
                                          <w:divsChild>
                                            <w:div w:id="1166558578">
                                              <w:marLeft w:val="0"/>
                                              <w:marRight w:val="0"/>
                                              <w:marTop w:val="0"/>
                                              <w:marBottom w:val="0"/>
                                              <w:divBdr>
                                                <w:top w:val="none" w:sz="0" w:space="0" w:color="auto"/>
                                                <w:left w:val="none" w:sz="0" w:space="0" w:color="auto"/>
                                                <w:bottom w:val="none" w:sz="0" w:space="0" w:color="auto"/>
                                                <w:right w:val="none" w:sz="0" w:space="0" w:color="auto"/>
                                              </w:divBdr>
                                              <w:divsChild>
                                                <w:div w:id="905535602">
                                                  <w:marLeft w:val="0"/>
                                                  <w:marRight w:val="0"/>
                                                  <w:marTop w:val="120"/>
                                                  <w:marBottom w:val="0"/>
                                                  <w:divBdr>
                                                    <w:top w:val="none" w:sz="0" w:space="0" w:color="auto"/>
                                                    <w:left w:val="none" w:sz="0" w:space="0" w:color="auto"/>
                                                    <w:bottom w:val="none" w:sz="0" w:space="0" w:color="auto"/>
                                                    <w:right w:val="none" w:sz="0" w:space="0" w:color="auto"/>
                                                  </w:divBdr>
                                                </w:div>
                                                <w:div w:id="398332821">
                                                  <w:marLeft w:val="0"/>
                                                  <w:marRight w:val="0"/>
                                                  <w:marTop w:val="0"/>
                                                  <w:marBottom w:val="0"/>
                                                  <w:divBdr>
                                                    <w:top w:val="none" w:sz="0" w:space="0" w:color="auto"/>
                                                    <w:left w:val="none" w:sz="0" w:space="0" w:color="auto"/>
                                                    <w:bottom w:val="none" w:sz="0" w:space="0" w:color="auto"/>
                                                    <w:right w:val="none" w:sz="0" w:space="0" w:color="auto"/>
                                                  </w:divBdr>
                                                </w:div>
                                              </w:divsChild>
                                            </w:div>
                                            <w:div w:id="1815218691">
                                              <w:marLeft w:val="0"/>
                                              <w:marRight w:val="0"/>
                                              <w:marTop w:val="0"/>
                                              <w:marBottom w:val="0"/>
                                              <w:divBdr>
                                                <w:top w:val="none" w:sz="0" w:space="0" w:color="auto"/>
                                                <w:left w:val="none" w:sz="0" w:space="0" w:color="auto"/>
                                                <w:bottom w:val="none" w:sz="0" w:space="0" w:color="auto"/>
                                                <w:right w:val="none" w:sz="0" w:space="0" w:color="auto"/>
                                              </w:divBdr>
                                              <w:divsChild>
                                                <w:div w:id="1201892347">
                                                  <w:marLeft w:val="0"/>
                                                  <w:marRight w:val="0"/>
                                                  <w:marTop w:val="120"/>
                                                  <w:marBottom w:val="0"/>
                                                  <w:divBdr>
                                                    <w:top w:val="none" w:sz="0" w:space="0" w:color="auto"/>
                                                    <w:left w:val="none" w:sz="0" w:space="0" w:color="auto"/>
                                                    <w:bottom w:val="none" w:sz="0" w:space="0" w:color="auto"/>
                                                    <w:right w:val="none" w:sz="0" w:space="0" w:color="auto"/>
                                                  </w:divBdr>
                                                </w:div>
                                                <w:div w:id="42411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231113">
                                      <w:marLeft w:val="0"/>
                                      <w:marRight w:val="0"/>
                                      <w:marTop w:val="0"/>
                                      <w:marBottom w:val="0"/>
                                      <w:divBdr>
                                        <w:top w:val="none" w:sz="0" w:space="0" w:color="auto"/>
                                        <w:left w:val="none" w:sz="0" w:space="0" w:color="auto"/>
                                        <w:bottom w:val="none" w:sz="0" w:space="0" w:color="auto"/>
                                        <w:right w:val="none" w:sz="0" w:space="0" w:color="auto"/>
                                      </w:divBdr>
                                      <w:divsChild>
                                        <w:div w:id="1043361209">
                                          <w:marLeft w:val="0"/>
                                          <w:marRight w:val="0"/>
                                          <w:marTop w:val="0"/>
                                          <w:marBottom w:val="0"/>
                                          <w:divBdr>
                                            <w:top w:val="none" w:sz="0" w:space="0" w:color="auto"/>
                                            <w:left w:val="none" w:sz="0" w:space="0" w:color="auto"/>
                                            <w:bottom w:val="none" w:sz="0" w:space="0" w:color="auto"/>
                                            <w:right w:val="none" w:sz="0" w:space="0" w:color="auto"/>
                                          </w:divBdr>
                                          <w:divsChild>
                                            <w:div w:id="911744502">
                                              <w:marLeft w:val="0"/>
                                              <w:marRight w:val="0"/>
                                              <w:marTop w:val="0"/>
                                              <w:marBottom w:val="0"/>
                                              <w:divBdr>
                                                <w:top w:val="none" w:sz="0" w:space="0" w:color="auto"/>
                                                <w:left w:val="none" w:sz="0" w:space="0" w:color="auto"/>
                                                <w:bottom w:val="none" w:sz="0" w:space="0" w:color="auto"/>
                                                <w:right w:val="none" w:sz="0" w:space="0" w:color="auto"/>
                                              </w:divBdr>
                                              <w:divsChild>
                                                <w:div w:id="465008509">
                                                  <w:marLeft w:val="0"/>
                                                  <w:marRight w:val="0"/>
                                                  <w:marTop w:val="120"/>
                                                  <w:marBottom w:val="0"/>
                                                  <w:divBdr>
                                                    <w:top w:val="none" w:sz="0" w:space="0" w:color="auto"/>
                                                    <w:left w:val="none" w:sz="0" w:space="0" w:color="auto"/>
                                                    <w:bottom w:val="none" w:sz="0" w:space="0" w:color="auto"/>
                                                    <w:right w:val="none" w:sz="0" w:space="0" w:color="auto"/>
                                                  </w:divBdr>
                                                </w:div>
                                                <w:div w:id="770007418">
                                                  <w:marLeft w:val="0"/>
                                                  <w:marRight w:val="0"/>
                                                  <w:marTop w:val="0"/>
                                                  <w:marBottom w:val="0"/>
                                                  <w:divBdr>
                                                    <w:top w:val="none" w:sz="0" w:space="0" w:color="auto"/>
                                                    <w:left w:val="none" w:sz="0" w:space="0" w:color="auto"/>
                                                    <w:bottom w:val="none" w:sz="0" w:space="0" w:color="auto"/>
                                                    <w:right w:val="none" w:sz="0" w:space="0" w:color="auto"/>
                                                  </w:divBdr>
                                                </w:div>
                                              </w:divsChild>
                                            </w:div>
                                            <w:div w:id="839782056">
                                              <w:marLeft w:val="0"/>
                                              <w:marRight w:val="0"/>
                                              <w:marTop w:val="0"/>
                                              <w:marBottom w:val="0"/>
                                              <w:divBdr>
                                                <w:top w:val="none" w:sz="0" w:space="0" w:color="auto"/>
                                                <w:left w:val="none" w:sz="0" w:space="0" w:color="auto"/>
                                                <w:bottom w:val="none" w:sz="0" w:space="0" w:color="auto"/>
                                                <w:right w:val="none" w:sz="0" w:space="0" w:color="auto"/>
                                              </w:divBdr>
                                              <w:divsChild>
                                                <w:div w:id="1773742530">
                                                  <w:marLeft w:val="0"/>
                                                  <w:marRight w:val="0"/>
                                                  <w:marTop w:val="120"/>
                                                  <w:marBottom w:val="0"/>
                                                  <w:divBdr>
                                                    <w:top w:val="none" w:sz="0" w:space="0" w:color="auto"/>
                                                    <w:left w:val="none" w:sz="0" w:space="0" w:color="auto"/>
                                                    <w:bottom w:val="none" w:sz="0" w:space="0" w:color="auto"/>
                                                    <w:right w:val="none" w:sz="0" w:space="0" w:color="auto"/>
                                                  </w:divBdr>
                                                </w:div>
                                                <w:div w:id="2744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81333">
                                      <w:marLeft w:val="0"/>
                                      <w:marRight w:val="0"/>
                                      <w:marTop w:val="0"/>
                                      <w:marBottom w:val="0"/>
                                      <w:divBdr>
                                        <w:top w:val="none" w:sz="0" w:space="0" w:color="auto"/>
                                        <w:left w:val="none" w:sz="0" w:space="0" w:color="auto"/>
                                        <w:bottom w:val="none" w:sz="0" w:space="0" w:color="auto"/>
                                        <w:right w:val="none" w:sz="0" w:space="0" w:color="auto"/>
                                      </w:divBdr>
                                      <w:divsChild>
                                        <w:div w:id="85463654">
                                          <w:marLeft w:val="0"/>
                                          <w:marRight w:val="0"/>
                                          <w:marTop w:val="120"/>
                                          <w:marBottom w:val="0"/>
                                          <w:divBdr>
                                            <w:top w:val="none" w:sz="0" w:space="0" w:color="auto"/>
                                            <w:left w:val="none" w:sz="0" w:space="0" w:color="auto"/>
                                            <w:bottom w:val="none" w:sz="0" w:space="0" w:color="auto"/>
                                            <w:right w:val="none" w:sz="0" w:space="0" w:color="auto"/>
                                          </w:divBdr>
                                        </w:div>
                                        <w:div w:id="1477797862">
                                          <w:marLeft w:val="0"/>
                                          <w:marRight w:val="0"/>
                                          <w:marTop w:val="0"/>
                                          <w:marBottom w:val="0"/>
                                          <w:divBdr>
                                            <w:top w:val="none" w:sz="0" w:space="0" w:color="auto"/>
                                            <w:left w:val="none" w:sz="0" w:space="0" w:color="auto"/>
                                            <w:bottom w:val="none" w:sz="0" w:space="0" w:color="auto"/>
                                            <w:right w:val="none" w:sz="0" w:space="0" w:color="auto"/>
                                          </w:divBdr>
                                        </w:div>
                                      </w:divsChild>
                                    </w:div>
                                    <w:div w:id="1573075370">
                                      <w:marLeft w:val="0"/>
                                      <w:marRight w:val="0"/>
                                      <w:marTop w:val="0"/>
                                      <w:marBottom w:val="0"/>
                                      <w:divBdr>
                                        <w:top w:val="none" w:sz="0" w:space="0" w:color="auto"/>
                                        <w:left w:val="none" w:sz="0" w:space="0" w:color="auto"/>
                                        <w:bottom w:val="none" w:sz="0" w:space="0" w:color="auto"/>
                                        <w:right w:val="none" w:sz="0" w:space="0" w:color="auto"/>
                                      </w:divBdr>
                                      <w:divsChild>
                                        <w:div w:id="1782921750">
                                          <w:marLeft w:val="0"/>
                                          <w:marRight w:val="0"/>
                                          <w:marTop w:val="120"/>
                                          <w:marBottom w:val="0"/>
                                          <w:divBdr>
                                            <w:top w:val="none" w:sz="0" w:space="0" w:color="auto"/>
                                            <w:left w:val="none" w:sz="0" w:space="0" w:color="auto"/>
                                            <w:bottom w:val="none" w:sz="0" w:space="0" w:color="auto"/>
                                            <w:right w:val="none" w:sz="0" w:space="0" w:color="auto"/>
                                          </w:divBdr>
                                        </w:div>
                                        <w:div w:id="1766070483">
                                          <w:marLeft w:val="0"/>
                                          <w:marRight w:val="0"/>
                                          <w:marTop w:val="0"/>
                                          <w:marBottom w:val="0"/>
                                          <w:divBdr>
                                            <w:top w:val="none" w:sz="0" w:space="0" w:color="auto"/>
                                            <w:left w:val="none" w:sz="0" w:space="0" w:color="auto"/>
                                            <w:bottom w:val="none" w:sz="0" w:space="0" w:color="auto"/>
                                            <w:right w:val="none" w:sz="0" w:space="0" w:color="auto"/>
                                          </w:divBdr>
                                        </w:div>
                                      </w:divsChild>
                                    </w:div>
                                    <w:div w:id="1929465140">
                                      <w:marLeft w:val="0"/>
                                      <w:marRight w:val="0"/>
                                      <w:marTop w:val="0"/>
                                      <w:marBottom w:val="0"/>
                                      <w:divBdr>
                                        <w:top w:val="none" w:sz="0" w:space="0" w:color="auto"/>
                                        <w:left w:val="none" w:sz="0" w:space="0" w:color="auto"/>
                                        <w:bottom w:val="none" w:sz="0" w:space="0" w:color="auto"/>
                                        <w:right w:val="none" w:sz="0" w:space="0" w:color="auto"/>
                                      </w:divBdr>
                                      <w:divsChild>
                                        <w:div w:id="466749523">
                                          <w:marLeft w:val="0"/>
                                          <w:marRight w:val="0"/>
                                          <w:marTop w:val="0"/>
                                          <w:marBottom w:val="0"/>
                                          <w:divBdr>
                                            <w:top w:val="none" w:sz="0" w:space="0" w:color="auto"/>
                                            <w:left w:val="none" w:sz="0" w:space="0" w:color="auto"/>
                                            <w:bottom w:val="none" w:sz="0" w:space="0" w:color="auto"/>
                                            <w:right w:val="none" w:sz="0" w:space="0" w:color="auto"/>
                                          </w:divBdr>
                                          <w:divsChild>
                                            <w:div w:id="1707682444">
                                              <w:marLeft w:val="0"/>
                                              <w:marRight w:val="0"/>
                                              <w:marTop w:val="0"/>
                                              <w:marBottom w:val="0"/>
                                              <w:divBdr>
                                                <w:top w:val="none" w:sz="0" w:space="0" w:color="auto"/>
                                                <w:left w:val="none" w:sz="0" w:space="0" w:color="auto"/>
                                                <w:bottom w:val="none" w:sz="0" w:space="0" w:color="auto"/>
                                                <w:right w:val="none" w:sz="0" w:space="0" w:color="auto"/>
                                              </w:divBdr>
                                              <w:divsChild>
                                                <w:div w:id="1012682404">
                                                  <w:marLeft w:val="0"/>
                                                  <w:marRight w:val="0"/>
                                                  <w:marTop w:val="120"/>
                                                  <w:marBottom w:val="0"/>
                                                  <w:divBdr>
                                                    <w:top w:val="none" w:sz="0" w:space="0" w:color="auto"/>
                                                    <w:left w:val="none" w:sz="0" w:space="0" w:color="auto"/>
                                                    <w:bottom w:val="none" w:sz="0" w:space="0" w:color="auto"/>
                                                    <w:right w:val="none" w:sz="0" w:space="0" w:color="auto"/>
                                                  </w:divBdr>
                                                </w:div>
                                                <w:div w:id="2052918108">
                                                  <w:marLeft w:val="0"/>
                                                  <w:marRight w:val="0"/>
                                                  <w:marTop w:val="0"/>
                                                  <w:marBottom w:val="0"/>
                                                  <w:divBdr>
                                                    <w:top w:val="none" w:sz="0" w:space="0" w:color="auto"/>
                                                    <w:left w:val="none" w:sz="0" w:space="0" w:color="auto"/>
                                                    <w:bottom w:val="none" w:sz="0" w:space="0" w:color="auto"/>
                                                    <w:right w:val="none" w:sz="0" w:space="0" w:color="auto"/>
                                                  </w:divBdr>
                                                </w:div>
                                              </w:divsChild>
                                            </w:div>
                                            <w:div w:id="638221862">
                                              <w:marLeft w:val="0"/>
                                              <w:marRight w:val="0"/>
                                              <w:marTop w:val="0"/>
                                              <w:marBottom w:val="0"/>
                                              <w:divBdr>
                                                <w:top w:val="none" w:sz="0" w:space="0" w:color="auto"/>
                                                <w:left w:val="none" w:sz="0" w:space="0" w:color="auto"/>
                                                <w:bottom w:val="none" w:sz="0" w:space="0" w:color="auto"/>
                                                <w:right w:val="none" w:sz="0" w:space="0" w:color="auto"/>
                                              </w:divBdr>
                                              <w:divsChild>
                                                <w:div w:id="1614946250">
                                                  <w:marLeft w:val="0"/>
                                                  <w:marRight w:val="0"/>
                                                  <w:marTop w:val="120"/>
                                                  <w:marBottom w:val="0"/>
                                                  <w:divBdr>
                                                    <w:top w:val="none" w:sz="0" w:space="0" w:color="auto"/>
                                                    <w:left w:val="none" w:sz="0" w:space="0" w:color="auto"/>
                                                    <w:bottom w:val="none" w:sz="0" w:space="0" w:color="auto"/>
                                                    <w:right w:val="none" w:sz="0" w:space="0" w:color="auto"/>
                                                  </w:divBdr>
                                                </w:div>
                                                <w:div w:id="75354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59877">
                                      <w:marLeft w:val="0"/>
                                      <w:marRight w:val="0"/>
                                      <w:marTop w:val="0"/>
                                      <w:marBottom w:val="0"/>
                                      <w:divBdr>
                                        <w:top w:val="none" w:sz="0" w:space="0" w:color="auto"/>
                                        <w:left w:val="none" w:sz="0" w:space="0" w:color="auto"/>
                                        <w:bottom w:val="none" w:sz="0" w:space="0" w:color="auto"/>
                                        <w:right w:val="none" w:sz="0" w:space="0" w:color="auto"/>
                                      </w:divBdr>
                                      <w:divsChild>
                                        <w:div w:id="1540512501">
                                          <w:marLeft w:val="0"/>
                                          <w:marRight w:val="0"/>
                                          <w:marTop w:val="0"/>
                                          <w:marBottom w:val="0"/>
                                          <w:divBdr>
                                            <w:top w:val="none" w:sz="0" w:space="0" w:color="auto"/>
                                            <w:left w:val="none" w:sz="0" w:space="0" w:color="auto"/>
                                            <w:bottom w:val="none" w:sz="0" w:space="0" w:color="auto"/>
                                            <w:right w:val="none" w:sz="0" w:space="0" w:color="auto"/>
                                          </w:divBdr>
                                        </w:div>
                                      </w:divsChild>
                                    </w:div>
                                    <w:div w:id="1113287014">
                                      <w:marLeft w:val="0"/>
                                      <w:marRight w:val="0"/>
                                      <w:marTop w:val="0"/>
                                      <w:marBottom w:val="0"/>
                                      <w:divBdr>
                                        <w:top w:val="none" w:sz="0" w:space="0" w:color="auto"/>
                                        <w:left w:val="none" w:sz="0" w:space="0" w:color="auto"/>
                                        <w:bottom w:val="none" w:sz="0" w:space="0" w:color="auto"/>
                                        <w:right w:val="none" w:sz="0" w:space="0" w:color="auto"/>
                                      </w:divBdr>
                                      <w:divsChild>
                                        <w:div w:id="69049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03917">
                                  <w:marLeft w:val="0"/>
                                  <w:marRight w:val="0"/>
                                  <w:marTop w:val="0"/>
                                  <w:marBottom w:val="0"/>
                                  <w:divBdr>
                                    <w:top w:val="none" w:sz="0" w:space="0" w:color="auto"/>
                                    <w:left w:val="none" w:sz="0" w:space="0" w:color="auto"/>
                                    <w:bottom w:val="none" w:sz="0" w:space="0" w:color="auto"/>
                                    <w:right w:val="none" w:sz="0" w:space="0" w:color="auto"/>
                                  </w:divBdr>
                                  <w:divsChild>
                                    <w:div w:id="182324243">
                                      <w:marLeft w:val="0"/>
                                      <w:marRight w:val="0"/>
                                      <w:marTop w:val="0"/>
                                      <w:marBottom w:val="0"/>
                                      <w:divBdr>
                                        <w:top w:val="none" w:sz="0" w:space="0" w:color="auto"/>
                                        <w:left w:val="none" w:sz="0" w:space="0" w:color="auto"/>
                                        <w:bottom w:val="none" w:sz="0" w:space="0" w:color="auto"/>
                                        <w:right w:val="none" w:sz="0" w:space="0" w:color="auto"/>
                                      </w:divBdr>
                                    </w:div>
                                    <w:div w:id="714701863">
                                      <w:marLeft w:val="0"/>
                                      <w:marRight w:val="0"/>
                                      <w:marTop w:val="0"/>
                                      <w:marBottom w:val="0"/>
                                      <w:divBdr>
                                        <w:top w:val="none" w:sz="0" w:space="0" w:color="auto"/>
                                        <w:left w:val="none" w:sz="0" w:space="0" w:color="auto"/>
                                        <w:bottom w:val="none" w:sz="0" w:space="0" w:color="auto"/>
                                        <w:right w:val="none" w:sz="0" w:space="0" w:color="auto"/>
                                      </w:divBdr>
                                      <w:divsChild>
                                        <w:div w:id="922225786">
                                          <w:marLeft w:val="0"/>
                                          <w:marRight w:val="0"/>
                                          <w:marTop w:val="0"/>
                                          <w:marBottom w:val="0"/>
                                          <w:divBdr>
                                            <w:top w:val="none" w:sz="0" w:space="0" w:color="auto"/>
                                            <w:left w:val="none" w:sz="0" w:space="0" w:color="auto"/>
                                            <w:bottom w:val="none" w:sz="0" w:space="0" w:color="auto"/>
                                            <w:right w:val="none" w:sz="0" w:space="0" w:color="auto"/>
                                          </w:divBdr>
                                          <w:divsChild>
                                            <w:div w:id="1631862929">
                                              <w:marLeft w:val="0"/>
                                              <w:marRight w:val="0"/>
                                              <w:marTop w:val="0"/>
                                              <w:marBottom w:val="0"/>
                                              <w:divBdr>
                                                <w:top w:val="none" w:sz="0" w:space="0" w:color="auto"/>
                                                <w:left w:val="none" w:sz="0" w:space="0" w:color="auto"/>
                                                <w:bottom w:val="none" w:sz="0" w:space="0" w:color="auto"/>
                                                <w:right w:val="none" w:sz="0" w:space="0" w:color="auto"/>
                                              </w:divBdr>
                                              <w:divsChild>
                                                <w:div w:id="804278958">
                                                  <w:marLeft w:val="0"/>
                                                  <w:marRight w:val="0"/>
                                                  <w:marTop w:val="120"/>
                                                  <w:marBottom w:val="0"/>
                                                  <w:divBdr>
                                                    <w:top w:val="none" w:sz="0" w:space="0" w:color="auto"/>
                                                    <w:left w:val="none" w:sz="0" w:space="0" w:color="auto"/>
                                                    <w:bottom w:val="none" w:sz="0" w:space="0" w:color="auto"/>
                                                    <w:right w:val="none" w:sz="0" w:space="0" w:color="auto"/>
                                                  </w:divBdr>
                                                </w:div>
                                                <w:div w:id="79955974">
                                                  <w:marLeft w:val="0"/>
                                                  <w:marRight w:val="0"/>
                                                  <w:marTop w:val="0"/>
                                                  <w:marBottom w:val="0"/>
                                                  <w:divBdr>
                                                    <w:top w:val="none" w:sz="0" w:space="0" w:color="auto"/>
                                                    <w:left w:val="none" w:sz="0" w:space="0" w:color="auto"/>
                                                    <w:bottom w:val="none" w:sz="0" w:space="0" w:color="auto"/>
                                                    <w:right w:val="none" w:sz="0" w:space="0" w:color="auto"/>
                                                  </w:divBdr>
                                                </w:div>
                                              </w:divsChild>
                                            </w:div>
                                            <w:div w:id="550000990">
                                              <w:marLeft w:val="0"/>
                                              <w:marRight w:val="0"/>
                                              <w:marTop w:val="0"/>
                                              <w:marBottom w:val="0"/>
                                              <w:divBdr>
                                                <w:top w:val="none" w:sz="0" w:space="0" w:color="auto"/>
                                                <w:left w:val="none" w:sz="0" w:space="0" w:color="auto"/>
                                                <w:bottom w:val="none" w:sz="0" w:space="0" w:color="auto"/>
                                                <w:right w:val="none" w:sz="0" w:space="0" w:color="auto"/>
                                              </w:divBdr>
                                              <w:divsChild>
                                                <w:div w:id="625964680">
                                                  <w:marLeft w:val="0"/>
                                                  <w:marRight w:val="0"/>
                                                  <w:marTop w:val="120"/>
                                                  <w:marBottom w:val="0"/>
                                                  <w:divBdr>
                                                    <w:top w:val="none" w:sz="0" w:space="0" w:color="auto"/>
                                                    <w:left w:val="none" w:sz="0" w:space="0" w:color="auto"/>
                                                    <w:bottom w:val="none" w:sz="0" w:space="0" w:color="auto"/>
                                                    <w:right w:val="none" w:sz="0" w:space="0" w:color="auto"/>
                                                  </w:divBdr>
                                                </w:div>
                                                <w:div w:id="1824857788">
                                                  <w:marLeft w:val="0"/>
                                                  <w:marRight w:val="0"/>
                                                  <w:marTop w:val="0"/>
                                                  <w:marBottom w:val="0"/>
                                                  <w:divBdr>
                                                    <w:top w:val="none" w:sz="0" w:space="0" w:color="auto"/>
                                                    <w:left w:val="none" w:sz="0" w:space="0" w:color="auto"/>
                                                    <w:bottom w:val="none" w:sz="0" w:space="0" w:color="auto"/>
                                                    <w:right w:val="none" w:sz="0" w:space="0" w:color="auto"/>
                                                  </w:divBdr>
                                                </w:div>
                                              </w:divsChild>
                                            </w:div>
                                            <w:div w:id="1438985898">
                                              <w:marLeft w:val="0"/>
                                              <w:marRight w:val="0"/>
                                              <w:marTop w:val="0"/>
                                              <w:marBottom w:val="0"/>
                                              <w:divBdr>
                                                <w:top w:val="none" w:sz="0" w:space="0" w:color="auto"/>
                                                <w:left w:val="none" w:sz="0" w:space="0" w:color="auto"/>
                                                <w:bottom w:val="none" w:sz="0" w:space="0" w:color="auto"/>
                                                <w:right w:val="none" w:sz="0" w:space="0" w:color="auto"/>
                                              </w:divBdr>
                                              <w:divsChild>
                                                <w:div w:id="68890232">
                                                  <w:marLeft w:val="0"/>
                                                  <w:marRight w:val="0"/>
                                                  <w:marTop w:val="120"/>
                                                  <w:marBottom w:val="0"/>
                                                  <w:divBdr>
                                                    <w:top w:val="none" w:sz="0" w:space="0" w:color="auto"/>
                                                    <w:left w:val="none" w:sz="0" w:space="0" w:color="auto"/>
                                                    <w:bottom w:val="none" w:sz="0" w:space="0" w:color="auto"/>
                                                    <w:right w:val="none" w:sz="0" w:space="0" w:color="auto"/>
                                                  </w:divBdr>
                                                </w:div>
                                                <w:div w:id="1073165368">
                                                  <w:marLeft w:val="0"/>
                                                  <w:marRight w:val="0"/>
                                                  <w:marTop w:val="0"/>
                                                  <w:marBottom w:val="0"/>
                                                  <w:divBdr>
                                                    <w:top w:val="none" w:sz="0" w:space="0" w:color="auto"/>
                                                    <w:left w:val="none" w:sz="0" w:space="0" w:color="auto"/>
                                                    <w:bottom w:val="none" w:sz="0" w:space="0" w:color="auto"/>
                                                    <w:right w:val="none" w:sz="0" w:space="0" w:color="auto"/>
                                                  </w:divBdr>
                                                  <w:divsChild>
                                                    <w:div w:id="1908294988">
                                                      <w:marLeft w:val="0"/>
                                                      <w:marRight w:val="0"/>
                                                      <w:marTop w:val="0"/>
                                                      <w:marBottom w:val="0"/>
                                                      <w:divBdr>
                                                        <w:top w:val="none" w:sz="0" w:space="0" w:color="auto"/>
                                                        <w:left w:val="none" w:sz="0" w:space="0" w:color="auto"/>
                                                        <w:bottom w:val="none" w:sz="0" w:space="0" w:color="auto"/>
                                                        <w:right w:val="none" w:sz="0" w:space="0" w:color="auto"/>
                                                      </w:divBdr>
                                                      <w:divsChild>
                                                        <w:div w:id="1359308376">
                                                          <w:marLeft w:val="0"/>
                                                          <w:marRight w:val="0"/>
                                                          <w:marTop w:val="120"/>
                                                          <w:marBottom w:val="0"/>
                                                          <w:divBdr>
                                                            <w:top w:val="none" w:sz="0" w:space="0" w:color="auto"/>
                                                            <w:left w:val="none" w:sz="0" w:space="0" w:color="auto"/>
                                                            <w:bottom w:val="none" w:sz="0" w:space="0" w:color="auto"/>
                                                            <w:right w:val="none" w:sz="0" w:space="0" w:color="auto"/>
                                                          </w:divBdr>
                                                        </w:div>
                                                        <w:div w:id="1575159638">
                                                          <w:marLeft w:val="0"/>
                                                          <w:marRight w:val="0"/>
                                                          <w:marTop w:val="0"/>
                                                          <w:marBottom w:val="0"/>
                                                          <w:divBdr>
                                                            <w:top w:val="none" w:sz="0" w:space="0" w:color="auto"/>
                                                            <w:left w:val="none" w:sz="0" w:space="0" w:color="auto"/>
                                                            <w:bottom w:val="none" w:sz="0" w:space="0" w:color="auto"/>
                                                            <w:right w:val="none" w:sz="0" w:space="0" w:color="auto"/>
                                                          </w:divBdr>
                                                        </w:div>
                                                      </w:divsChild>
                                                    </w:div>
                                                    <w:div w:id="293101720">
                                                      <w:marLeft w:val="0"/>
                                                      <w:marRight w:val="0"/>
                                                      <w:marTop w:val="0"/>
                                                      <w:marBottom w:val="0"/>
                                                      <w:divBdr>
                                                        <w:top w:val="none" w:sz="0" w:space="0" w:color="auto"/>
                                                        <w:left w:val="none" w:sz="0" w:space="0" w:color="auto"/>
                                                        <w:bottom w:val="none" w:sz="0" w:space="0" w:color="auto"/>
                                                        <w:right w:val="none" w:sz="0" w:space="0" w:color="auto"/>
                                                      </w:divBdr>
                                                      <w:divsChild>
                                                        <w:div w:id="590238164">
                                                          <w:marLeft w:val="0"/>
                                                          <w:marRight w:val="0"/>
                                                          <w:marTop w:val="120"/>
                                                          <w:marBottom w:val="0"/>
                                                          <w:divBdr>
                                                            <w:top w:val="none" w:sz="0" w:space="0" w:color="auto"/>
                                                            <w:left w:val="none" w:sz="0" w:space="0" w:color="auto"/>
                                                            <w:bottom w:val="none" w:sz="0" w:space="0" w:color="auto"/>
                                                            <w:right w:val="none" w:sz="0" w:space="0" w:color="auto"/>
                                                          </w:divBdr>
                                                        </w:div>
                                                        <w:div w:id="1676833830">
                                                          <w:marLeft w:val="0"/>
                                                          <w:marRight w:val="0"/>
                                                          <w:marTop w:val="0"/>
                                                          <w:marBottom w:val="0"/>
                                                          <w:divBdr>
                                                            <w:top w:val="none" w:sz="0" w:space="0" w:color="auto"/>
                                                            <w:left w:val="none" w:sz="0" w:space="0" w:color="auto"/>
                                                            <w:bottom w:val="none" w:sz="0" w:space="0" w:color="auto"/>
                                                            <w:right w:val="none" w:sz="0" w:space="0" w:color="auto"/>
                                                          </w:divBdr>
                                                        </w:div>
                                                      </w:divsChild>
                                                    </w:div>
                                                    <w:div w:id="564876412">
                                                      <w:marLeft w:val="0"/>
                                                      <w:marRight w:val="0"/>
                                                      <w:marTop w:val="0"/>
                                                      <w:marBottom w:val="0"/>
                                                      <w:divBdr>
                                                        <w:top w:val="none" w:sz="0" w:space="0" w:color="auto"/>
                                                        <w:left w:val="none" w:sz="0" w:space="0" w:color="auto"/>
                                                        <w:bottom w:val="none" w:sz="0" w:space="0" w:color="auto"/>
                                                        <w:right w:val="none" w:sz="0" w:space="0" w:color="auto"/>
                                                      </w:divBdr>
                                                      <w:divsChild>
                                                        <w:div w:id="1417944644">
                                                          <w:marLeft w:val="0"/>
                                                          <w:marRight w:val="0"/>
                                                          <w:marTop w:val="120"/>
                                                          <w:marBottom w:val="0"/>
                                                          <w:divBdr>
                                                            <w:top w:val="none" w:sz="0" w:space="0" w:color="auto"/>
                                                            <w:left w:val="none" w:sz="0" w:space="0" w:color="auto"/>
                                                            <w:bottom w:val="none" w:sz="0" w:space="0" w:color="auto"/>
                                                            <w:right w:val="none" w:sz="0" w:space="0" w:color="auto"/>
                                                          </w:divBdr>
                                                        </w:div>
                                                        <w:div w:id="5950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757505">
                                      <w:marLeft w:val="0"/>
                                      <w:marRight w:val="0"/>
                                      <w:marTop w:val="0"/>
                                      <w:marBottom w:val="0"/>
                                      <w:divBdr>
                                        <w:top w:val="none" w:sz="0" w:space="0" w:color="auto"/>
                                        <w:left w:val="none" w:sz="0" w:space="0" w:color="auto"/>
                                        <w:bottom w:val="none" w:sz="0" w:space="0" w:color="auto"/>
                                        <w:right w:val="none" w:sz="0" w:space="0" w:color="auto"/>
                                      </w:divBdr>
                                      <w:divsChild>
                                        <w:div w:id="180554277">
                                          <w:marLeft w:val="0"/>
                                          <w:marRight w:val="0"/>
                                          <w:marTop w:val="0"/>
                                          <w:marBottom w:val="0"/>
                                          <w:divBdr>
                                            <w:top w:val="none" w:sz="0" w:space="0" w:color="auto"/>
                                            <w:left w:val="none" w:sz="0" w:space="0" w:color="auto"/>
                                            <w:bottom w:val="none" w:sz="0" w:space="0" w:color="auto"/>
                                            <w:right w:val="none" w:sz="0" w:space="0" w:color="auto"/>
                                          </w:divBdr>
                                          <w:divsChild>
                                            <w:div w:id="354889405">
                                              <w:marLeft w:val="0"/>
                                              <w:marRight w:val="0"/>
                                              <w:marTop w:val="0"/>
                                              <w:marBottom w:val="0"/>
                                              <w:divBdr>
                                                <w:top w:val="none" w:sz="0" w:space="0" w:color="auto"/>
                                                <w:left w:val="none" w:sz="0" w:space="0" w:color="auto"/>
                                                <w:bottom w:val="none" w:sz="0" w:space="0" w:color="auto"/>
                                                <w:right w:val="none" w:sz="0" w:space="0" w:color="auto"/>
                                              </w:divBdr>
                                              <w:divsChild>
                                                <w:div w:id="214050980">
                                                  <w:marLeft w:val="0"/>
                                                  <w:marRight w:val="0"/>
                                                  <w:marTop w:val="120"/>
                                                  <w:marBottom w:val="0"/>
                                                  <w:divBdr>
                                                    <w:top w:val="none" w:sz="0" w:space="0" w:color="auto"/>
                                                    <w:left w:val="none" w:sz="0" w:space="0" w:color="auto"/>
                                                    <w:bottom w:val="none" w:sz="0" w:space="0" w:color="auto"/>
                                                    <w:right w:val="none" w:sz="0" w:space="0" w:color="auto"/>
                                                  </w:divBdr>
                                                </w:div>
                                                <w:div w:id="780295322">
                                                  <w:marLeft w:val="0"/>
                                                  <w:marRight w:val="0"/>
                                                  <w:marTop w:val="0"/>
                                                  <w:marBottom w:val="0"/>
                                                  <w:divBdr>
                                                    <w:top w:val="none" w:sz="0" w:space="0" w:color="auto"/>
                                                    <w:left w:val="none" w:sz="0" w:space="0" w:color="auto"/>
                                                    <w:bottom w:val="none" w:sz="0" w:space="0" w:color="auto"/>
                                                    <w:right w:val="none" w:sz="0" w:space="0" w:color="auto"/>
                                                  </w:divBdr>
                                                </w:div>
                                              </w:divsChild>
                                            </w:div>
                                            <w:div w:id="580483714">
                                              <w:marLeft w:val="0"/>
                                              <w:marRight w:val="0"/>
                                              <w:marTop w:val="0"/>
                                              <w:marBottom w:val="0"/>
                                              <w:divBdr>
                                                <w:top w:val="none" w:sz="0" w:space="0" w:color="auto"/>
                                                <w:left w:val="none" w:sz="0" w:space="0" w:color="auto"/>
                                                <w:bottom w:val="none" w:sz="0" w:space="0" w:color="auto"/>
                                                <w:right w:val="none" w:sz="0" w:space="0" w:color="auto"/>
                                              </w:divBdr>
                                              <w:divsChild>
                                                <w:div w:id="524290479">
                                                  <w:marLeft w:val="0"/>
                                                  <w:marRight w:val="0"/>
                                                  <w:marTop w:val="120"/>
                                                  <w:marBottom w:val="0"/>
                                                  <w:divBdr>
                                                    <w:top w:val="none" w:sz="0" w:space="0" w:color="auto"/>
                                                    <w:left w:val="none" w:sz="0" w:space="0" w:color="auto"/>
                                                    <w:bottom w:val="none" w:sz="0" w:space="0" w:color="auto"/>
                                                    <w:right w:val="none" w:sz="0" w:space="0" w:color="auto"/>
                                                  </w:divBdr>
                                                </w:div>
                                                <w:div w:id="3703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970663">
                                      <w:marLeft w:val="0"/>
                                      <w:marRight w:val="0"/>
                                      <w:marTop w:val="0"/>
                                      <w:marBottom w:val="0"/>
                                      <w:divBdr>
                                        <w:top w:val="none" w:sz="0" w:space="0" w:color="auto"/>
                                        <w:left w:val="none" w:sz="0" w:space="0" w:color="auto"/>
                                        <w:bottom w:val="none" w:sz="0" w:space="0" w:color="auto"/>
                                        <w:right w:val="none" w:sz="0" w:space="0" w:color="auto"/>
                                      </w:divBdr>
                                      <w:divsChild>
                                        <w:div w:id="1739865673">
                                          <w:marLeft w:val="0"/>
                                          <w:marRight w:val="0"/>
                                          <w:marTop w:val="0"/>
                                          <w:marBottom w:val="0"/>
                                          <w:divBdr>
                                            <w:top w:val="none" w:sz="0" w:space="0" w:color="auto"/>
                                            <w:left w:val="none" w:sz="0" w:space="0" w:color="auto"/>
                                            <w:bottom w:val="none" w:sz="0" w:space="0" w:color="auto"/>
                                            <w:right w:val="none" w:sz="0" w:space="0" w:color="auto"/>
                                          </w:divBdr>
                                          <w:divsChild>
                                            <w:div w:id="15735400">
                                              <w:marLeft w:val="0"/>
                                              <w:marRight w:val="0"/>
                                              <w:marTop w:val="0"/>
                                              <w:marBottom w:val="0"/>
                                              <w:divBdr>
                                                <w:top w:val="none" w:sz="0" w:space="0" w:color="auto"/>
                                                <w:left w:val="none" w:sz="0" w:space="0" w:color="auto"/>
                                                <w:bottom w:val="none" w:sz="0" w:space="0" w:color="auto"/>
                                                <w:right w:val="none" w:sz="0" w:space="0" w:color="auto"/>
                                              </w:divBdr>
                                              <w:divsChild>
                                                <w:div w:id="831604210">
                                                  <w:marLeft w:val="0"/>
                                                  <w:marRight w:val="0"/>
                                                  <w:marTop w:val="120"/>
                                                  <w:marBottom w:val="0"/>
                                                  <w:divBdr>
                                                    <w:top w:val="none" w:sz="0" w:space="0" w:color="auto"/>
                                                    <w:left w:val="none" w:sz="0" w:space="0" w:color="auto"/>
                                                    <w:bottom w:val="none" w:sz="0" w:space="0" w:color="auto"/>
                                                    <w:right w:val="none" w:sz="0" w:space="0" w:color="auto"/>
                                                  </w:divBdr>
                                                </w:div>
                                                <w:div w:id="1829783227">
                                                  <w:marLeft w:val="0"/>
                                                  <w:marRight w:val="0"/>
                                                  <w:marTop w:val="0"/>
                                                  <w:marBottom w:val="0"/>
                                                  <w:divBdr>
                                                    <w:top w:val="none" w:sz="0" w:space="0" w:color="auto"/>
                                                    <w:left w:val="none" w:sz="0" w:space="0" w:color="auto"/>
                                                    <w:bottom w:val="none" w:sz="0" w:space="0" w:color="auto"/>
                                                    <w:right w:val="none" w:sz="0" w:space="0" w:color="auto"/>
                                                  </w:divBdr>
                                                </w:div>
                                              </w:divsChild>
                                            </w:div>
                                            <w:div w:id="1645769526">
                                              <w:marLeft w:val="0"/>
                                              <w:marRight w:val="0"/>
                                              <w:marTop w:val="0"/>
                                              <w:marBottom w:val="0"/>
                                              <w:divBdr>
                                                <w:top w:val="none" w:sz="0" w:space="0" w:color="auto"/>
                                                <w:left w:val="none" w:sz="0" w:space="0" w:color="auto"/>
                                                <w:bottom w:val="none" w:sz="0" w:space="0" w:color="auto"/>
                                                <w:right w:val="none" w:sz="0" w:space="0" w:color="auto"/>
                                              </w:divBdr>
                                              <w:divsChild>
                                                <w:div w:id="696664089">
                                                  <w:marLeft w:val="0"/>
                                                  <w:marRight w:val="0"/>
                                                  <w:marTop w:val="120"/>
                                                  <w:marBottom w:val="0"/>
                                                  <w:divBdr>
                                                    <w:top w:val="none" w:sz="0" w:space="0" w:color="auto"/>
                                                    <w:left w:val="none" w:sz="0" w:space="0" w:color="auto"/>
                                                    <w:bottom w:val="none" w:sz="0" w:space="0" w:color="auto"/>
                                                    <w:right w:val="none" w:sz="0" w:space="0" w:color="auto"/>
                                                  </w:divBdr>
                                                </w:div>
                                                <w:div w:id="487787773">
                                                  <w:marLeft w:val="0"/>
                                                  <w:marRight w:val="0"/>
                                                  <w:marTop w:val="0"/>
                                                  <w:marBottom w:val="0"/>
                                                  <w:divBdr>
                                                    <w:top w:val="none" w:sz="0" w:space="0" w:color="auto"/>
                                                    <w:left w:val="none" w:sz="0" w:space="0" w:color="auto"/>
                                                    <w:bottom w:val="none" w:sz="0" w:space="0" w:color="auto"/>
                                                    <w:right w:val="none" w:sz="0" w:space="0" w:color="auto"/>
                                                  </w:divBdr>
                                                </w:div>
                                              </w:divsChild>
                                            </w:div>
                                            <w:div w:id="1562521606">
                                              <w:marLeft w:val="0"/>
                                              <w:marRight w:val="0"/>
                                              <w:marTop w:val="0"/>
                                              <w:marBottom w:val="0"/>
                                              <w:divBdr>
                                                <w:top w:val="none" w:sz="0" w:space="0" w:color="auto"/>
                                                <w:left w:val="none" w:sz="0" w:space="0" w:color="auto"/>
                                                <w:bottom w:val="none" w:sz="0" w:space="0" w:color="auto"/>
                                                <w:right w:val="none" w:sz="0" w:space="0" w:color="auto"/>
                                              </w:divBdr>
                                              <w:divsChild>
                                                <w:div w:id="2131119546">
                                                  <w:marLeft w:val="0"/>
                                                  <w:marRight w:val="0"/>
                                                  <w:marTop w:val="120"/>
                                                  <w:marBottom w:val="0"/>
                                                  <w:divBdr>
                                                    <w:top w:val="none" w:sz="0" w:space="0" w:color="auto"/>
                                                    <w:left w:val="none" w:sz="0" w:space="0" w:color="auto"/>
                                                    <w:bottom w:val="none" w:sz="0" w:space="0" w:color="auto"/>
                                                    <w:right w:val="none" w:sz="0" w:space="0" w:color="auto"/>
                                                  </w:divBdr>
                                                </w:div>
                                                <w:div w:id="187966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19711">
                                      <w:marLeft w:val="0"/>
                                      <w:marRight w:val="0"/>
                                      <w:marTop w:val="0"/>
                                      <w:marBottom w:val="0"/>
                                      <w:divBdr>
                                        <w:top w:val="none" w:sz="0" w:space="0" w:color="auto"/>
                                        <w:left w:val="none" w:sz="0" w:space="0" w:color="auto"/>
                                        <w:bottom w:val="none" w:sz="0" w:space="0" w:color="auto"/>
                                        <w:right w:val="none" w:sz="0" w:space="0" w:color="auto"/>
                                      </w:divBdr>
                                      <w:divsChild>
                                        <w:div w:id="2028868852">
                                          <w:marLeft w:val="0"/>
                                          <w:marRight w:val="0"/>
                                          <w:marTop w:val="0"/>
                                          <w:marBottom w:val="0"/>
                                          <w:divBdr>
                                            <w:top w:val="none" w:sz="0" w:space="0" w:color="auto"/>
                                            <w:left w:val="none" w:sz="0" w:space="0" w:color="auto"/>
                                            <w:bottom w:val="none" w:sz="0" w:space="0" w:color="auto"/>
                                            <w:right w:val="none" w:sz="0" w:space="0" w:color="auto"/>
                                          </w:divBdr>
                                        </w:div>
                                      </w:divsChild>
                                    </w:div>
                                    <w:div w:id="540244766">
                                      <w:marLeft w:val="0"/>
                                      <w:marRight w:val="0"/>
                                      <w:marTop w:val="0"/>
                                      <w:marBottom w:val="0"/>
                                      <w:divBdr>
                                        <w:top w:val="none" w:sz="0" w:space="0" w:color="auto"/>
                                        <w:left w:val="none" w:sz="0" w:space="0" w:color="auto"/>
                                        <w:bottom w:val="none" w:sz="0" w:space="0" w:color="auto"/>
                                        <w:right w:val="none" w:sz="0" w:space="0" w:color="auto"/>
                                      </w:divBdr>
                                      <w:divsChild>
                                        <w:div w:id="1727754279">
                                          <w:marLeft w:val="0"/>
                                          <w:marRight w:val="0"/>
                                          <w:marTop w:val="0"/>
                                          <w:marBottom w:val="0"/>
                                          <w:divBdr>
                                            <w:top w:val="none" w:sz="0" w:space="0" w:color="auto"/>
                                            <w:left w:val="none" w:sz="0" w:space="0" w:color="auto"/>
                                            <w:bottom w:val="none" w:sz="0" w:space="0" w:color="auto"/>
                                            <w:right w:val="none" w:sz="0" w:space="0" w:color="auto"/>
                                          </w:divBdr>
                                        </w:div>
                                      </w:divsChild>
                                    </w:div>
                                    <w:div w:id="1880429197">
                                      <w:marLeft w:val="0"/>
                                      <w:marRight w:val="0"/>
                                      <w:marTop w:val="0"/>
                                      <w:marBottom w:val="0"/>
                                      <w:divBdr>
                                        <w:top w:val="none" w:sz="0" w:space="0" w:color="auto"/>
                                        <w:left w:val="none" w:sz="0" w:space="0" w:color="auto"/>
                                        <w:bottom w:val="none" w:sz="0" w:space="0" w:color="auto"/>
                                        <w:right w:val="none" w:sz="0" w:space="0" w:color="auto"/>
                                      </w:divBdr>
                                      <w:divsChild>
                                        <w:div w:id="1428844401">
                                          <w:marLeft w:val="0"/>
                                          <w:marRight w:val="0"/>
                                          <w:marTop w:val="0"/>
                                          <w:marBottom w:val="0"/>
                                          <w:divBdr>
                                            <w:top w:val="none" w:sz="0" w:space="0" w:color="auto"/>
                                            <w:left w:val="none" w:sz="0" w:space="0" w:color="auto"/>
                                            <w:bottom w:val="none" w:sz="0" w:space="0" w:color="auto"/>
                                            <w:right w:val="none" w:sz="0" w:space="0" w:color="auto"/>
                                          </w:divBdr>
                                        </w:div>
                                      </w:divsChild>
                                    </w:div>
                                    <w:div w:id="771978186">
                                      <w:marLeft w:val="0"/>
                                      <w:marRight w:val="0"/>
                                      <w:marTop w:val="0"/>
                                      <w:marBottom w:val="0"/>
                                      <w:divBdr>
                                        <w:top w:val="none" w:sz="0" w:space="0" w:color="auto"/>
                                        <w:left w:val="none" w:sz="0" w:space="0" w:color="auto"/>
                                        <w:bottom w:val="none" w:sz="0" w:space="0" w:color="auto"/>
                                        <w:right w:val="none" w:sz="0" w:space="0" w:color="auto"/>
                                      </w:divBdr>
                                      <w:divsChild>
                                        <w:div w:id="124545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39878">
                                  <w:marLeft w:val="0"/>
                                  <w:marRight w:val="0"/>
                                  <w:marTop w:val="0"/>
                                  <w:marBottom w:val="0"/>
                                  <w:divBdr>
                                    <w:top w:val="none" w:sz="0" w:space="0" w:color="auto"/>
                                    <w:left w:val="none" w:sz="0" w:space="0" w:color="auto"/>
                                    <w:bottom w:val="none" w:sz="0" w:space="0" w:color="auto"/>
                                    <w:right w:val="none" w:sz="0" w:space="0" w:color="auto"/>
                                  </w:divBdr>
                                  <w:divsChild>
                                    <w:div w:id="1241868475">
                                      <w:marLeft w:val="0"/>
                                      <w:marRight w:val="0"/>
                                      <w:marTop w:val="0"/>
                                      <w:marBottom w:val="0"/>
                                      <w:divBdr>
                                        <w:top w:val="none" w:sz="0" w:space="0" w:color="auto"/>
                                        <w:left w:val="none" w:sz="0" w:space="0" w:color="auto"/>
                                        <w:bottom w:val="none" w:sz="0" w:space="0" w:color="auto"/>
                                        <w:right w:val="none" w:sz="0" w:space="0" w:color="auto"/>
                                      </w:divBdr>
                                    </w:div>
                                    <w:div w:id="1482960460">
                                      <w:marLeft w:val="0"/>
                                      <w:marRight w:val="0"/>
                                      <w:marTop w:val="0"/>
                                      <w:marBottom w:val="0"/>
                                      <w:divBdr>
                                        <w:top w:val="none" w:sz="0" w:space="0" w:color="auto"/>
                                        <w:left w:val="none" w:sz="0" w:space="0" w:color="auto"/>
                                        <w:bottom w:val="none" w:sz="0" w:space="0" w:color="auto"/>
                                        <w:right w:val="none" w:sz="0" w:space="0" w:color="auto"/>
                                      </w:divBdr>
                                      <w:divsChild>
                                        <w:div w:id="1868523740">
                                          <w:marLeft w:val="0"/>
                                          <w:marRight w:val="0"/>
                                          <w:marTop w:val="0"/>
                                          <w:marBottom w:val="0"/>
                                          <w:divBdr>
                                            <w:top w:val="none" w:sz="0" w:space="0" w:color="auto"/>
                                            <w:left w:val="none" w:sz="0" w:space="0" w:color="auto"/>
                                            <w:bottom w:val="none" w:sz="0" w:space="0" w:color="auto"/>
                                            <w:right w:val="none" w:sz="0" w:space="0" w:color="auto"/>
                                          </w:divBdr>
                                        </w:div>
                                      </w:divsChild>
                                    </w:div>
                                    <w:div w:id="417101361">
                                      <w:marLeft w:val="0"/>
                                      <w:marRight w:val="0"/>
                                      <w:marTop w:val="0"/>
                                      <w:marBottom w:val="0"/>
                                      <w:divBdr>
                                        <w:top w:val="none" w:sz="0" w:space="0" w:color="auto"/>
                                        <w:left w:val="none" w:sz="0" w:space="0" w:color="auto"/>
                                        <w:bottom w:val="none" w:sz="0" w:space="0" w:color="auto"/>
                                        <w:right w:val="none" w:sz="0" w:space="0" w:color="auto"/>
                                      </w:divBdr>
                                      <w:divsChild>
                                        <w:div w:id="78997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8413">
                                  <w:marLeft w:val="0"/>
                                  <w:marRight w:val="0"/>
                                  <w:marTop w:val="0"/>
                                  <w:marBottom w:val="0"/>
                                  <w:divBdr>
                                    <w:top w:val="none" w:sz="0" w:space="0" w:color="auto"/>
                                    <w:left w:val="none" w:sz="0" w:space="0" w:color="auto"/>
                                    <w:bottom w:val="none" w:sz="0" w:space="0" w:color="auto"/>
                                    <w:right w:val="none" w:sz="0" w:space="0" w:color="auto"/>
                                  </w:divBdr>
                                  <w:divsChild>
                                    <w:div w:id="797720461">
                                      <w:marLeft w:val="0"/>
                                      <w:marRight w:val="0"/>
                                      <w:marTop w:val="0"/>
                                      <w:marBottom w:val="0"/>
                                      <w:divBdr>
                                        <w:top w:val="none" w:sz="0" w:space="0" w:color="auto"/>
                                        <w:left w:val="none" w:sz="0" w:space="0" w:color="auto"/>
                                        <w:bottom w:val="none" w:sz="0" w:space="0" w:color="auto"/>
                                        <w:right w:val="none" w:sz="0" w:space="0" w:color="auto"/>
                                      </w:divBdr>
                                    </w:div>
                                    <w:div w:id="914513914">
                                      <w:marLeft w:val="0"/>
                                      <w:marRight w:val="0"/>
                                      <w:marTop w:val="0"/>
                                      <w:marBottom w:val="0"/>
                                      <w:divBdr>
                                        <w:top w:val="none" w:sz="0" w:space="0" w:color="auto"/>
                                        <w:left w:val="none" w:sz="0" w:space="0" w:color="auto"/>
                                        <w:bottom w:val="none" w:sz="0" w:space="0" w:color="auto"/>
                                        <w:right w:val="none" w:sz="0" w:space="0" w:color="auto"/>
                                      </w:divBdr>
                                      <w:divsChild>
                                        <w:div w:id="2075813436">
                                          <w:marLeft w:val="0"/>
                                          <w:marRight w:val="0"/>
                                          <w:marTop w:val="0"/>
                                          <w:marBottom w:val="0"/>
                                          <w:divBdr>
                                            <w:top w:val="none" w:sz="0" w:space="0" w:color="auto"/>
                                            <w:left w:val="none" w:sz="0" w:space="0" w:color="auto"/>
                                            <w:bottom w:val="none" w:sz="0" w:space="0" w:color="auto"/>
                                            <w:right w:val="none" w:sz="0" w:space="0" w:color="auto"/>
                                          </w:divBdr>
                                          <w:divsChild>
                                            <w:div w:id="72631418">
                                              <w:marLeft w:val="0"/>
                                              <w:marRight w:val="0"/>
                                              <w:marTop w:val="0"/>
                                              <w:marBottom w:val="0"/>
                                              <w:divBdr>
                                                <w:top w:val="none" w:sz="0" w:space="0" w:color="auto"/>
                                                <w:left w:val="none" w:sz="0" w:space="0" w:color="auto"/>
                                                <w:bottom w:val="none" w:sz="0" w:space="0" w:color="auto"/>
                                                <w:right w:val="none" w:sz="0" w:space="0" w:color="auto"/>
                                              </w:divBdr>
                                              <w:divsChild>
                                                <w:div w:id="579100041">
                                                  <w:marLeft w:val="0"/>
                                                  <w:marRight w:val="0"/>
                                                  <w:marTop w:val="120"/>
                                                  <w:marBottom w:val="0"/>
                                                  <w:divBdr>
                                                    <w:top w:val="none" w:sz="0" w:space="0" w:color="auto"/>
                                                    <w:left w:val="none" w:sz="0" w:space="0" w:color="auto"/>
                                                    <w:bottom w:val="none" w:sz="0" w:space="0" w:color="auto"/>
                                                    <w:right w:val="none" w:sz="0" w:space="0" w:color="auto"/>
                                                  </w:divBdr>
                                                </w:div>
                                                <w:div w:id="2097245585">
                                                  <w:marLeft w:val="0"/>
                                                  <w:marRight w:val="0"/>
                                                  <w:marTop w:val="0"/>
                                                  <w:marBottom w:val="0"/>
                                                  <w:divBdr>
                                                    <w:top w:val="none" w:sz="0" w:space="0" w:color="auto"/>
                                                    <w:left w:val="none" w:sz="0" w:space="0" w:color="auto"/>
                                                    <w:bottom w:val="none" w:sz="0" w:space="0" w:color="auto"/>
                                                    <w:right w:val="none" w:sz="0" w:space="0" w:color="auto"/>
                                                  </w:divBdr>
                                                </w:div>
                                              </w:divsChild>
                                            </w:div>
                                            <w:div w:id="1678653558">
                                              <w:marLeft w:val="0"/>
                                              <w:marRight w:val="0"/>
                                              <w:marTop w:val="0"/>
                                              <w:marBottom w:val="0"/>
                                              <w:divBdr>
                                                <w:top w:val="none" w:sz="0" w:space="0" w:color="auto"/>
                                                <w:left w:val="none" w:sz="0" w:space="0" w:color="auto"/>
                                                <w:bottom w:val="none" w:sz="0" w:space="0" w:color="auto"/>
                                                <w:right w:val="none" w:sz="0" w:space="0" w:color="auto"/>
                                              </w:divBdr>
                                              <w:divsChild>
                                                <w:div w:id="210852333">
                                                  <w:marLeft w:val="0"/>
                                                  <w:marRight w:val="0"/>
                                                  <w:marTop w:val="120"/>
                                                  <w:marBottom w:val="0"/>
                                                  <w:divBdr>
                                                    <w:top w:val="none" w:sz="0" w:space="0" w:color="auto"/>
                                                    <w:left w:val="none" w:sz="0" w:space="0" w:color="auto"/>
                                                    <w:bottom w:val="none" w:sz="0" w:space="0" w:color="auto"/>
                                                    <w:right w:val="none" w:sz="0" w:space="0" w:color="auto"/>
                                                  </w:divBdr>
                                                </w:div>
                                                <w:div w:id="2130274180">
                                                  <w:marLeft w:val="0"/>
                                                  <w:marRight w:val="0"/>
                                                  <w:marTop w:val="0"/>
                                                  <w:marBottom w:val="0"/>
                                                  <w:divBdr>
                                                    <w:top w:val="none" w:sz="0" w:space="0" w:color="auto"/>
                                                    <w:left w:val="none" w:sz="0" w:space="0" w:color="auto"/>
                                                    <w:bottom w:val="none" w:sz="0" w:space="0" w:color="auto"/>
                                                    <w:right w:val="none" w:sz="0" w:space="0" w:color="auto"/>
                                                  </w:divBdr>
                                                </w:div>
                                              </w:divsChild>
                                            </w:div>
                                            <w:div w:id="861553895">
                                              <w:marLeft w:val="0"/>
                                              <w:marRight w:val="0"/>
                                              <w:marTop w:val="0"/>
                                              <w:marBottom w:val="0"/>
                                              <w:divBdr>
                                                <w:top w:val="none" w:sz="0" w:space="0" w:color="auto"/>
                                                <w:left w:val="none" w:sz="0" w:space="0" w:color="auto"/>
                                                <w:bottom w:val="none" w:sz="0" w:space="0" w:color="auto"/>
                                                <w:right w:val="none" w:sz="0" w:space="0" w:color="auto"/>
                                              </w:divBdr>
                                              <w:divsChild>
                                                <w:div w:id="533735447">
                                                  <w:marLeft w:val="0"/>
                                                  <w:marRight w:val="0"/>
                                                  <w:marTop w:val="120"/>
                                                  <w:marBottom w:val="0"/>
                                                  <w:divBdr>
                                                    <w:top w:val="none" w:sz="0" w:space="0" w:color="auto"/>
                                                    <w:left w:val="none" w:sz="0" w:space="0" w:color="auto"/>
                                                    <w:bottom w:val="none" w:sz="0" w:space="0" w:color="auto"/>
                                                    <w:right w:val="none" w:sz="0" w:space="0" w:color="auto"/>
                                                  </w:divBdr>
                                                </w:div>
                                                <w:div w:id="393354236">
                                                  <w:marLeft w:val="0"/>
                                                  <w:marRight w:val="0"/>
                                                  <w:marTop w:val="0"/>
                                                  <w:marBottom w:val="0"/>
                                                  <w:divBdr>
                                                    <w:top w:val="none" w:sz="0" w:space="0" w:color="auto"/>
                                                    <w:left w:val="none" w:sz="0" w:space="0" w:color="auto"/>
                                                    <w:bottom w:val="none" w:sz="0" w:space="0" w:color="auto"/>
                                                    <w:right w:val="none" w:sz="0" w:space="0" w:color="auto"/>
                                                  </w:divBdr>
                                                </w:div>
                                              </w:divsChild>
                                            </w:div>
                                            <w:div w:id="1011102317">
                                              <w:marLeft w:val="0"/>
                                              <w:marRight w:val="0"/>
                                              <w:marTop w:val="0"/>
                                              <w:marBottom w:val="0"/>
                                              <w:divBdr>
                                                <w:top w:val="none" w:sz="0" w:space="0" w:color="auto"/>
                                                <w:left w:val="none" w:sz="0" w:space="0" w:color="auto"/>
                                                <w:bottom w:val="none" w:sz="0" w:space="0" w:color="auto"/>
                                                <w:right w:val="none" w:sz="0" w:space="0" w:color="auto"/>
                                              </w:divBdr>
                                              <w:divsChild>
                                                <w:div w:id="5719305">
                                                  <w:marLeft w:val="0"/>
                                                  <w:marRight w:val="0"/>
                                                  <w:marTop w:val="120"/>
                                                  <w:marBottom w:val="0"/>
                                                  <w:divBdr>
                                                    <w:top w:val="none" w:sz="0" w:space="0" w:color="auto"/>
                                                    <w:left w:val="none" w:sz="0" w:space="0" w:color="auto"/>
                                                    <w:bottom w:val="none" w:sz="0" w:space="0" w:color="auto"/>
                                                    <w:right w:val="none" w:sz="0" w:space="0" w:color="auto"/>
                                                  </w:divBdr>
                                                </w:div>
                                                <w:div w:id="2040623931">
                                                  <w:marLeft w:val="0"/>
                                                  <w:marRight w:val="0"/>
                                                  <w:marTop w:val="0"/>
                                                  <w:marBottom w:val="0"/>
                                                  <w:divBdr>
                                                    <w:top w:val="none" w:sz="0" w:space="0" w:color="auto"/>
                                                    <w:left w:val="none" w:sz="0" w:space="0" w:color="auto"/>
                                                    <w:bottom w:val="none" w:sz="0" w:space="0" w:color="auto"/>
                                                    <w:right w:val="none" w:sz="0" w:space="0" w:color="auto"/>
                                                  </w:divBdr>
                                                </w:div>
                                              </w:divsChild>
                                            </w:div>
                                            <w:div w:id="1774402184">
                                              <w:marLeft w:val="0"/>
                                              <w:marRight w:val="0"/>
                                              <w:marTop w:val="0"/>
                                              <w:marBottom w:val="0"/>
                                              <w:divBdr>
                                                <w:top w:val="none" w:sz="0" w:space="0" w:color="auto"/>
                                                <w:left w:val="none" w:sz="0" w:space="0" w:color="auto"/>
                                                <w:bottom w:val="none" w:sz="0" w:space="0" w:color="auto"/>
                                                <w:right w:val="none" w:sz="0" w:space="0" w:color="auto"/>
                                              </w:divBdr>
                                              <w:divsChild>
                                                <w:div w:id="128211732">
                                                  <w:marLeft w:val="0"/>
                                                  <w:marRight w:val="0"/>
                                                  <w:marTop w:val="120"/>
                                                  <w:marBottom w:val="0"/>
                                                  <w:divBdr>
                                                    <w:top w:val="none" w:sz="0" w:space="0" w:color="auto"/>
                                                    <w:left w:val="none" w:sz="0" w:space="0" w:color="auto"/>
                                                    <w:bottom w:val="none" w:sz="0" w:space="0" w:color="auto"/>
                                                    <w:right w:val="none" w:sz="0" w:space="0" w:color="auto"/>
                                                  </w:divBdr>
                                                </w:div>
                                                <w:div w:id="64559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161515">
                                      <w:marLeft w:val="0"/>
                                      <w:marRight w:val="0"/>
                                      <w:marTop w:val="0"/>
                                      <w:marBottom w:val="0"/>
                                      <w:divBdr>
                                        <w:top w:val="none" w:sz="0" w:space="0" w:color="auto"/>
                                        <w:left w:val="none" w:sz="0" w:space="0" w:color="auto"/>
                                        <w:bottom w:val="none" w:sz="0" w:space="0" w:color="auto"/>
                                        <w:right w:val="none" w:sz="0" w:space="0" w:color="auto"/>
                                      </w:divBdr>
                                      <w:divsChild>
                                        <w:div w:id="43486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04685">
                                  <w:marLeft w:val="0"/>
                                  <w:marRight w:val="0"/>
                                  <w:marTop w:val="0"/>
                                  <w:marBottom w:val="0"/>
                                  <w:divBdr>
                                    <w:top w:val="none" w:sz="0" w:space="0" w:color="auto"/>
                                    <w:left w:val="none" w:sz="0" w:space="0" w:color="auto"/>
                                    <w:bottom w:val="none" w:sz="0" w:space="0" w:color="auto"/>
                                    <w:right w:val="none" w:sz="0" w:space="0" w:color="auto"/>
                                  </w:divBdr>
                                  <w:divsChild>
                                    <w:div w:id="292367126">
                                      <w:marLeft w:val="0"/>
                                      <w:marRight w:val="0"/>
                                      <w:marTop w:val="0"/>
                                      <w:marBottom w:val="0"/>
                                      <w:divBdr>
                                        <w:top w:val="none" w:sz="0" w:space="0" w:color="auto"/>
                                        <w:left w:val="none" w:sz="0" w:space="0" w:color="auto"/>
                                        <w:bottom w:val="none" w:sz="0" w:space="0" w:color="auto"/>
                                        <w:right w:val="none" w:sz="0" w:space="0" w:color="auto"/>
                                      </w:divBdr>
                                    </w:div>
                                    <w:div w:id="791436679">
                                      <w:marLeft w:val="0"/>
                                      <w:marRight w:val="0"/>
                                      <w:marTop w:val="0"/>
                                      <w:marBottom w:val="0"/>
                                      <w:divBdr>
                                        <w:top w:val="none" w:sz="0" w:space="0" w:color="auto"/>
                                        <w:left w:val="none" w:sz="0" w:space="0" w:color="auto"/>
                                        <w:bottom w:val="none" w:sz="0" w:space="0" w:color="auto"/>
                                        <w:right w:val="none" w:sz="0" w:space="0" w:color="auto"/>
                                      </w:divBdr>
                                      <w:divsChild>
                                        <w:div w:id="878512063">
                                          <w:marLeft w:val="0"/>
                                          <w:marRight w:val="0"/>
                                          <w:marTop w:val="0"/>
                                          <w:marBottom w:val="0"/>
                                          <w:divBdr>
                                            <w:top w:val="none" w:sz="0" w:space="0" w:color="auto"/>
                                            <w:left w:val="none" w:sz="0" w:space="0" w:color="auto"/>
                                            <w:bottom w:val="none" w:sz="0" w:space="0" w:color="auto"/>
                                            <w:right w:val="none" w:sz="0" w:space="0" w:color="auto"/>
                                          </w:divBdr>
                                          <w:divsChild>
                                            <w:div w:id="1823496714">
                                              <w:marLeft w:val="0"/>
                                              <w:marRight w:val="0"/>
                                              <w:marTop w:val="0"/>
                                              <w:marBottom w:val="0"/>
                                              <w:divBdr>
                                                <w:top w:val="none" w:sz="0" w:space="0" w:color="auto"/>
                                                <w:left w:val="none" w:sz="0" w:space="0" w:color="auto"/>
                                                <w:bottom w:val="none" w:sz="0" w:space="0" w:color="auto"/>
                                                <w:right w:val="none" w:sz="0" w:space="0" w:color="auto"/>
                                              </w:divBdr>
                                              <w:divsChild>
                                                <w:div w:id="64374083">
                                                  <w:marLeft w:val="0"/>
                                                  <w:marRight w:val="0"/>
                                                  <w:marTop w:val="120"/>
                                                  <w:marBottom w:val="0"/>
                                                  <w:divBdr>
                                                    <w:top w:val="none" w:sz="0" w:space="0" w:color="auto"/>
                                                    <w:left w:val="none" w:sz="0" w:space="0" w:color="auto"/>
                                                    <w:bottom w:val="none" w:sz="0" w:space="0" w:color="auto"/>
                                                    <w:right w:val="none" w:sz="0" w:space="0" w:color="auto"/>
                                                  </w:divBdr>
                                                </w:div>
                                                <w:div w:id="982735080">
                                                  <w:marLeft w:val="0"/>
                                                  <w:marRight w:val="0"/>
                                                  <w:marTop w:val="0"/>
                                                  <w:marBottom w:val="0"/>
                                                  <w:divBdr>
                                                    <w:top w:val="none" w:sz="0" w:space="0" w:color="auto"/>
                                                    <w:left w:val="none" w:sz="0" w:space="0" w:color="auto"/>
                                                    <w:bottom w:val="none" w:sz="0" w:space="0" w:color="auto"/>
                                                    <w:right w:val="none" w:sz="0" w:space="0" w:color="auto"/>
                                                  </w:divBdr>
                                                </w:div>
                                              </w:divsChild>
                                            </w:div>
                                            <w:div w:id="287394575">
                                              <w:marLeft w:val="0"/>
                                              <w:marRight w:val="0"/>
                                              <w:marTop w:val="0"/>
                                              <w:marBottom w:val="0"/>
                                              <w:divBdr>
                                                <w:top w:val="none" w:sz="0" w:space="0" w:color="auto"/>
                                                <w:left w:val="none" w:sz="0" w:space="0" w:color="auto"/>
                                                <w:bottom w:val="none" w:sz="0" w:space="0" w:color="auto"/>
                                                <w:right w:val="none" w:sz="0" w:space="0" w:color="auto"/>
                                              </w:divBdr>
                                              <w:divsChild>
                                                <w:div w:id="1218593053">
                                                  <w:marLeft w:val="0"/>
                                                  <w:marRight w:val="0"/>
                                                  <w:marTop w:val="120"/>
                                                  <w:marBottom w:val="0"/>
                                                  <w:divBdr>
                                                    <w:top w:val="none" w:sz="0" w:space="0" w:color="auto"/>
                                                    <w:left w:val="none" w:sz="0" w:space="0" w:color="auto"/>
                                                    <w:bottom w:val="none" w:sz="0" w:space="0" w:color="auto"/>
                                                    <w:right w:val="none" w:sz="0" w:space="0" w:color="auto"/>
                                                  </w:divBdr>
                                                </w:div>
                                                <w:div w:id="591011139">
                                                  <w:marLeft w:val="0"/>
                                                  <w:marRight w:val="0"/>
                                                  <w:marTop w:val="0"/>
                                                  <w:marBottom w:val="0"/>
                                                  <w:divBdr>
                                                    <w:top w:val="none" w:sz="0" w:space="0" w:color="auto"/>
                                                    <w:left w:val="none" w:sz="0" w:space="0" w:color="auto"/>
                                                    <w:bottom w:val="none" w:sz="0" w:space="0" w:color="auto"/>
                                                    <w:right w:val="none" w:sz="0" w:space="0" w:color="auto"/>
                                                  </w:divBdr>
                                                </w:div>
                                              </w:divsChild>
                                            </w:div>
                                            <w:div w:id="795803976">
                                              <w:marLeft w:val="0"/>
                                              <w:marRight w:val="0"/>
                                              <w:marTop w:val="0"/>
                                              <w:marBottom w:val="0"/>
                                              <w:divBdr>
                                                <w:top w:val="none" w:sz="0" w:space="0" w:color="auto"/>
                                                <w:left w:val="none" w:sz="0" w:space="0" w:color="auto"/>
                                                <w:bottom w:val="none" w:sz="0" w:space="0" w:color="auto"/>
                                                <w:right w:val="none" w:sz="0" w:space="0" w:color="auto"/>
                                              </w:divBdr>
                                              <w:divsChild>
                                                <w:div w:id="606736689">
                                                  <w:marLeft w:val="0"/>
                                                  <w:marRight w:val="0"/>
                                                  <w:marTop w:val="120"/>
                                                  <w:marBottom w:val="0"/>
                                                  <w:divBdr>
                                                    <w:top w:val="none" w:sz="0" w:space="0" w:color="auto"/>
                                                    <w:left w:val="none" w:sz="0" w:space="0" w:color="auto"/>
                                                    <w:bottom w:val="none" w:sz="0" w:space="0" w:color="auto"/>
                                                    <w:right w:val="none" w:sz="0" w:space="0" w:color="auto"/>
                                                  </w:divBdr>
                                                </w:div>
                                                <w:div w:id="12650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6807">
                                      <w:marLeft w:val="0"/>
                                      <w:marRight w:val="0"/>
                                      <w:marTop w:val="0"/>
                                      <w:marBottom w:val="0"/>
                                      <w:divBdr>
                                        <w:top w:val="none" w:sz="0" w:space="0" w:color="auto"/>
                                        <w:left w:val="none" w:sz="0" w:space="0" w:color="auto"/>
                                        <w:bottom w:val="none" w:sz="0" w:space="0" w:color="auto"/>
                                        <w:right w:val="none" w:sz="0" w:space="0" w:color="auto"/>
                                      </w:divBdr>
                                      <w:divsChild>
                                        <w:div w:id="385377764">
                                          <w:marLeft w:val="0"/>
                                          <w:marRight w:val="0"/>
                                          <w:marTop w:val="0"/>
                                          <w:marBottom w:val="0"/>
                                          <w:divBdr>
                                            <w:top w:val="none" w:sz="0" w:space="0" w:color="auto"/>
                                            <w:left w:val="none" w:sz="0" w:space="0" w:color="auto"/>
                                            <w:bottom w:val="none" w:sz="0" w:space="0" w:color="auto"/>
                                            <w:right w:val="none" w:sz="0" w:space="0" w:color="auto"/>
                                          </w:divBdr>
                                          <w:divsChild>
                                            <w:div w:id="1974556925">
                                              <w:marLeft w:val="0"/>
                                              <w:marRight w:val="0"/>
                                              <w:marTop w:val="0"/>
                                              <w:marBottom w:val="0"/>
                                              <w:divBdr>
                                                <w:top w:val="none" w:sz="0" w:space="0" w:color="auto"/>
                                                <w:left w:val="none" w:sz="0" w:space="0" w:color="auto"/>
                                                <w:bottom w:val="none" w:sz="0" w:space="0" w:color="auto"/>
                                                <w:right w:val="none" w:sz="0" w:space="0" w:color="auto"/>
                                              </w:divBdr>
                                              <w:divsChild>
                                                <w:div w:id="387648607">
                                                  <w:marLeft w:val="0"/>
                                                  <w:marRight w:val="0"/>
                                                  <w:marTop w:val="120"/>
                                                  <w:marBottom w:val="0"/>
                                                  <w:divBdr>
                                                    <w:top w:val="none" w:sz="0" w:space="0" w:color="auto"/>
                                                    <w:left w:val="none" w:sz="0" w:space="0" w:color="auto"/>
                                                    <w:bottom w:val="none" w:sz="0" w:space="0" w:color="auto"/>
                                                    <w:right w:val="none" w:sz="0" w:space="0" w:color="auto"/>
                                                  </w:divBdr>
                                                </w:div>
                                                <w:div w:id="571088137">
                                                  <w:marLeft w:val="0"/>
                                                  <w:marRight w:val="0"/>
                                                  <w:marTop w:val="0"/>
                                                  <w:marBottom w:val="0"/>
                                                  <w:divBdr>
                                                    <w:top w:val="none" w:sz="0" w:space="0" w:color="auto"/>
                                                    <w:left w:val="none" w:sz="0" w:space="0" w:color="auto"/>
                                                    <w:bottom w:val="none" w:sz="0" w:space="0" w:color="auto"/>
                                                    <w:right w:val="none" w:sz="0" w:space="0" w:color="auto"/>
                                                  </w:divBdr>
                                                  <w:divsChild>
                                                    <w:div w:id="1130123506">
                                                      <w:marLeft w:val="0"/>
                                                      <w:marRight w:val="0"/>
                                                      <w:marTop w:val="0"/>
                                                      <w:marBottom w:val="0"/>
                                                      <w:divBdr>
                                                        <w:top w:val="none" w:sz="0" w:space="0" w:color="auto"/>
                                                        <w:left w:val="none" w:sz="0" w:space="0" w:color="auto"/>
                                                        <w:bottom w:val="none" w:sz="0" w:space="0" w:color="auto"/>
                                                        <w:right w:val="none" w:sz="0" w:space="0" w:color="auto"/>
                                                      </w:divBdr>
                                                      <w:divsChild>
                                                        <w:div w:id="294260169">
                                                          <w:marLeft w:val="0"/>
                                                          <w:marRight w:val="0"/>
                                                          <w:marTop w:val="120"/>
                                                          <w:marBottom w:val="0"/>
                                                          <w:divBdr>
                                                            <w:top w:val="none" w:sz="0" w:space="0" w:color="auto"/>
                                                            <w:left w:val="none" w:sz="0" w:space="0" w:color="auto"/>
                                                            <w:bottom w:val="none" w:sz="0" w:space="0" w:color="auto"/>
                                                            <w:right w:val="none" w:sz="0" w:space="0" w:color="auto"/>
                                                          </w:divBdr>
                                                        </w:div>
                                                        <w:div w:id="1428696866">
                                                          <w:marLeft w:val="0"/>
                                                          <w:marRight w:val="0"/>
                                                          <w:marTop w:val="0"/>
                                                          <w:marBottom w:val="0"/>
                                                          <w:divBdr>
                                                            <w:top w:val="none" w:sz="0" w:space="0" w:color="auto"/>
                                                            <w:left w:val="none" w:sz="0" w:space="0" w:color="auto"/>
                                                            <w:bottom w:val="none" w:sz="0" w:space="0" w:color="auto"/>
                                                            <w:right w:val="none" w:sz="0" w:space="0" w:color="auto"/>
                                                          </w:divBdr>
                                                        </w:div>
                                                      </w:divsChild>
                                                    </w:div>
                                                    <w:div w:id="1149441318">
                                                      <w:marLeft w:val="0"/>
                                                      <w:marRight w:val="0"/>
                                                      <w:marTop w:val="0"/>
                                                      <w:marBottom w:val="0"/>
                                                      <w:divBdr>
                                                        <w:top w:val="none" w:sz="0" w:space="0" w:color="auto"/>
                                                        <w:left w:val="none" w:sz="0" w:space="0" w:color="auto"/>
                                                        <w:bottom w:val="none" w:sz="0" w:space="0" w:color="auto"/>
                                                        <w:right w:val="none" w:sz="0" w:space="0" w:color="auto"/>
                                                      </w:divBdr>
                                                      <w:divsChild>
                                                        <w:div w:id="1827625238">
                                                          <w:marLeft w:val="0"/>
                                                          <w:marRight w:val="0"/>
                                                          <w:marTop w:val="120"/>
                                                          <w:marBottom w:val="0"/>
                                                          <w:divBdr>
                                                            <w:top w:val="none" w:sz="0" w:space="0" w:color="auto"/>
                                                            <w:left w:val="none" w:sz="0" w:space="0" w:color="auto"/>
                                                            <w:bottom w:val="none" w:sz="0" w:space="0" w:color="auto"/>
                                                            <w:right w:val="none" w:sz="0" w:space="0" w:color="auto"/>
                                                          </w:divBdr>
                                                        </w:div>
                                                        <w:div w:id="1275284954">
                                                          <w:marLeft w:val="0"/>
                                                          <w:marRight w:val="0"/>
                                                          <w:marTop w:val="0"/>
                                                          <w:marBottom w:val="0"/>
                                                          <w:divBdr>
                                                            <w:top w:val="none" w:sz="0" w:space="0" w:color="auto"/>
                                                            <w:left w:val="none" w:sz="0" w:space="0" w:color="auto"/>
                                                            <w:bottom w:val="none" w:sz="0" w:space="0" w:color="auto"/>
                                                            <w:right w:val="none" w:sz="0" w:space="0" w:color="auto"/>
                                                          </w:divBdr>
                                                        </w:div>
                                                      </w:divsChild>
                                                    </w:div>
                                                    <w:div w:id="411389696">
                                                      <w:marLeft w:val="0"/>
                                                      <w:marRight w:val="0"/>
                                                      <w:marTop w:val="0"/>
                                                      <w:marBottom w:val="0"/>
                                                      <w:divBdr>
                                                        <w:top w:val="none" w:sz="0" w:space="0" w:color="auto"/>
                                                        <w:left w:val="none" w:sz="0" w:space="0" w:color="auto"/>
                                                        <w:bottom w:val="none" w:sz="0" w:space="0" w:color="auto"/>
                                                        <w:right w:val="none" w:sz="0" w:space="0" w:color="auto"/>
                                                      </w:divBdr>
                                                      <w:divsChild>
                                                        <w:div w:id="1893617897">
                                                          <w:marLeft w:val="0"/>
                                                          <w:marRight w:val="0"/>
                                                          <w:marTop w:val="120"/>
                                                          <w:marBottom w:val="0"/>
                                                          <w:divBdr>
                                                            <w:top w:val="none" w:sz="0" w:space="0" w:color="auto"/>
                                                            <w:left w:val="none" w:sz="0" w:space="0" w:color="auto"/>
                                                            <w:bottom w:val="none" w:sz="0" w:space="0" w:color="auto"/>
                                                            <w:right w:val="none" w:sz="0" w:space="0" w:color="auto"/>
                                                          </w:divBdr>
                                                        </w:div>
                                                        <w:div w:id="644898947">
                                                          <w:marLeft w:val="0"/>
                                                          <w:marRight w:val="0"/>
                                                          <w:marTop w:val="0"/>
                                                          <w:marBottom w:val="0"/>
                                                          <w:divBdr>
                                                            <w:top w:val="none" w:sz="0" w:space="0" w:color="auto"/>
                                                            <w:left w:val="none" w:sz="0" w:space="0" w:color="auto"/>
                                                            <w:bottom w:val="none" w:sz="0" w:space="0" w:color="auto"/>
                                                            <w:right w:val="none" w:sz="0" w:space="0" w:color="auto"/>
                                                          </w:divBdr>
                                                        </w:div>
                                                      </w:divsChild>
                                                    </w:div>
                                                    <w:div w:id="1476558032">
                                                      <w:marLeft w:val="0"/>
                                                      <w:marRight w:val="0"/>
                                                      <w:marTop w:val="0"/>
                                                      <w:marBottom w:val="0"/>
                                                      <w:divBdr>
                                                        <w:top w:val="none" w:sz="0" w:space="0" w:color="auto"/>
                                                        <w:left w:val="none" w:sz="0" w:space="0" w:color="auto"/>
                                                        <w:bottom w:val="none" w:sz="0" w:space="0" w:color="auto"/>
                                                        <w:right w:val="none" w:sz="0" w:space="0" w:color="auto"/>
                                                      </w:divBdr>
                                                      <w:divsChild>
                                                        <w:div w:id="1100026472">
                                                          <w:marLeft w:val="0"/>
                                                          <w:marRight w:val="0"/>
                                                          <w:marTop w:val="120"/>
                                                          <w:marBottom w:val="0"/>
                                                          <w:divBdr>
                                                            <w:top w:val="none" w:sz="0" w:space="0" w:color="auto"/>
                                                            <w:left w:val="none" w:sz="0" w:space="0" w:color="auto"/>
                                                            <w:bottom w:val="none" w:sz="0" w:space="0" w:color="auto"/>
                                                            <w:right w:val="none" w:sz="0" w:space="0" w:color="auto"/>
                                                          </w:divBdr>
                                                        </w:div>
                                                        <w:div w:id="966815587">
                                                          <w:marLeft w:val="0"/>
                                                          <w:marRight w:val="0"/>
                                                          <w:marTop w:val="0"/>
                                                          <w:marBottom w:val="0"/>
                                                          <w:divBdr>
                                                            <w:top w:val="none" w:sz="0" w:space="0" w:color="auto"/>
                                                            <w:left w:val="none" w:sz="0" w:space="0" w:color="auto"/>
                                                            <w:bottom w:val="none" w:sz="0" w:space="0" w:color="auto"/>
                                                            <w:right w:val="none" w:sz="0" w:space="0" w:color="auto"/>
                                                          </w:divBdr>
                                                        </w:div>
                                                      </w:divsChild>
                                                    </w:div>
                                                    <w:div w:id="1116682447">
                                                      <w:marLeft w:val="0"/>
                                                      <w:marRight w:val="0"/>
                                                      <w:marTop w:val="0"/>
                                                      <w:marBottom w:val="0"/>
                                                      <w:divBdr>
                                                        <w:top w:val="none" w:sz="0" w:space="0" w:color="auto"/>
                                                        <w:left w:val="none" w:sz="0" w:space="0" w:color="auto"/>
                                                        <w:bottom w:val="none" w:sz="0" w:space="0" w:color="auto"/>
                                                        <w:right w:val="none" w:sz="0" w:space="0" w:color="auto"/>
                                                      </w:divBdr>
                                                      <w:divsChild>
                                                        <w:div w:id="1812482329">
                                                          <w:marLeft w:val="0"/>
                                                          <w:marRight w:val="0"/>
                                                          <w:marTop w:val="120"/>
                                                          <w:marBottom w:val="0"/>
                                                          <w:divBdr>
                                                            <w:top w:val="none" w:sz="0" w:space="0" w:color="auto"/>
                                                            <w:left w:val="none" w:sz="0" w:space="0" w:color="auto"/>
                                                            <w:bottom w:val="none" w:sz="0" w:space="0" w:color="auto"/>
                                                            <w:right w:val="none" w:sz="0" w:space="0" w:color="auto"/>
                                                          </w:divBdr>
                                                        </w:div>
                                                        <w:div w:id="1497065891">
                                                          <w:marLeft w:val="0"/>
                                                          <w:marRight w:val="0"/>
                                                          <w:marTop w:val="0"/>
                                                          <w:marBottom w:val="0"/>
                                                          <w:divBdr>
                                                            <w:top w:val="none" w:sz="0" w:space="0" w:color="auto"/>
                                                            <w:left w:val="none" w:sz="0" w:space="0" w:color="auto"/>
                                                            <w:bottom w:val="none" w:sz="0" w:space="0" w:color="auto"/>
                                                            <w:right w:val="none" w:sz="0" w:space="0" w:color="auto"/>
                                                          </w:divBdr>
                                                        </w:div>
                                                      </w:divsChild>
                                                    </w:div>
                                                    <w:div w:id="1120225498">
                                                      <w:marLeft w:val="0"/>
                                                      <w:marRight w:val="0"/>
                                                      <w:marTop w:val="0"/>
                                                      <w:marBottom w:val="0"/>
                                                      <w:divBdr>
                                                        <w:top w:val="none" w:sz="0" w:space="0" w:color="auto"/>
                                                        <w:left w:val="none" w:sz="0" w:space="0" w:color="auto"/>
                                                        <w:bottom w:val="none" w:sz="0" w:space="0" w:color="auto"/>
                                                        <w:right w:val="none" w:sz="0" w:space="0" w:color="auto"/>
                                                      </w:divBdr>
                                                      <w:divsChild>
                                                        <w:div w:id="2044094470">
                                                          <w:marLeft w:val="0"/>
                                                          <w:marRight w:val="0"/>
                                                          <w:marTop w:val="120"/>
                                                          <w:marBottom w:val="0"/>
                                                          <w:divBdr>
                                                            <w:top w:val="none" w:sz="0" w:space="0" w:color="auto"/>
                                                            <w:left w:val="none" w:sz="0" w:space="0" w:color="auto"/>
                                                            <w:bottom w:val="none" w:sz="0" w:space="0" w:color="auto"/>
                                                            <w:right w:val="none" w:sz="0" w:space="0" w:color="auto"/>
                                                          </w:divBdr>
                                                        </w:div>
                                                        <w:div w:id="1678385906">
                                                          <w:marLeft w:val="0"/>
                                                          <w:marRight w:val="0"/>
                                                          <w:marTop w:val="0"/>
                                                          <w:marBottom w:val="0"/>
                                                          <w:divBdr>
                                                            <w:top w:val="none" w:sz="0" w:space="0" w:color="auto"/>
                                                            <w:left w:val="none" w:sz="0" w:space="0" w:color="auto"/>
                                                            <w:bottom w:val="none" w:sz="0" w:space="0" w:color="auto"/>
                                                            <w:right w:val="none" w:sz="0" w:space="0" w:color="auto"/>
                                                          </w:divBdr>
                                                        </w:div>
                                                      </w:divsChild>
                                                    </w:div>
                                                    <w:div w:id="945233381">
                                                      <w:marLeft w:val="0"/>
                                                      <w:marRight w:val="0"/>
                                                      <w:marTop w:val="0"/>
                                                      <w:marBottom w:val="0"/>
                                                      <w:divBdr>
                                                        <w:top w:val="none" w:sz="0" w:space="0" w:color="auto"/>
                                                        <w:left w:val="none" w:sz="0" w:space="0" w:color="auto"/>
                                                        <w:bottom w:val="none" w:sz="0" w:space="0" w:color="auto"/>
                                                        <w:right w:val="none" w:sz="0" w:space="0" w:color="auto"/>
                                                      </w:divBdr>
                                                      <w:divsChild>
                                                        <w:div w:id="46075575">
                                                          <w:marLeft w:val="0"/>
                                                          <w:marRight w:val="0"/>
                                                          <w:marTop w:val="120"/>
                                                          <w:marBottom w:val="0"/>
                                                          <w:divBdr>
                                                            <w:top w:val="none" w:sz="0" w:space="0" w:color="auto"/>
                                                            <w:left w:val="none" w:sz="0" w:space="0" w:color="auto"/>
                                                            <w:bottom w:val="none" w:sz="0" w:space="0" w:color="auto"/>
                                                            <w:right w:val="none" w:sz="0" w:space="0" w:color="auto"/>
                                                          </w:divBdr>
                                                        </w:div>
                                                        <w:div w:id="113985436">
                                                          <w:marLeft w:val="0"/>
                                                          <w:marRight w:val="0"/>
                                                          <w:marTop w:val="0"/>
                                                          <w:marBottom w:val="0"/>
                                                          <w:divBdr>
                                                            <w:top w:val="none" w:sz="0" w:space="0" w:color="auto"/>
                                                            <w:left w:val="none" w:sz="0" w:space="0" w:color="auto"/>
                                                            <w:bottom w:val="none" w:sz="0" w:space="0" w:color="auto"/>
                                                            <w:right w:val="none" w:sz="0" w:space="0" w:color="auto"/>
                                                          </w:divBdr>
                                                        </w:div>
                                                      </w:divsChild>
                                                    </w:div>
                                                    <w:div w:id="2059088739">
                                                      <w:marLeft w:val="0"/>
                                                      <w:marRight w:val="0"/>
                                                      <w:marTop w:val="0"/>
                                                      <w:marBottom w:val="0"/>
                                                      <w:divBdr>
                                                        <w:top w:val="none" w:sz="0" w:space="0" w:color="auto"/>
                                                        <w:left w:val="none" w:sz="0" w:space="0" w:color="auto"/>
                                                        <w:bottom w:val="none" w:sz="0" w:space="0" w:color="auto"/>
                                                        <w:right w:val="none" w:sz="0" w:space="0" w:color="auto"/>
                                                      </w:divBdr>
                                                      <w:divsChild>
                                                        <w:div w:id="1875071403">
                                                          <w:marLeft w:val="0"/>
                                                          <w:marRight w:val="0"/>
                                                          <w:marTop w:val="120"/>
                                                          <w:marBottom w:val="0"/>
                                                          <w:divBdr>
                                                            <w:top w:val="none" w:sz="0" w:space="0" w:color="auto"/>
                                                            <w:left w:val="none" w:sz="0" w:space="0" w:color="auto"/>
                                                            <w:bottom w:val="none" w:sz="0" w:space="0" w:color="auto"/>
                                                            <w:right w:val="none" w:sz="0" w:space="0" w:color="auto"/>
                                                          </w:divBdr>
                                                        </w:div>
                                                        <w:div w:id="1082407853">
                                                          <w:marLeft w:val="0"/>
                                                          <w:marRight w:val="0"/>
                                                          <w:marTop w:val="0"/>
                                                          <w:marBottom w:val="0"/>
                                                          <w:divBdr>
                                                            <w:top w:val="none" w:sz="0" w:space="0" w:color="auto"/>
                                                            <w:left w:val="none" w:sz="0" w:space="0" w:color="auto"/>
                                                            <w:bottom w:val="none" w:sz="0" w:space="0" w:color="auto"/>
                                                            <w:right w:val="none" w:sz="0" w:space="0" w:color="auto"/>
                                                          </w:divBdr>
                                                        </w:div>
                                                      </w:divsChild>
                                                    </w:div>
                                                    <w:div w:id="860511717">
                                                      <w:marLeft w:val="0"/>
                                                      <w:marRight w:val="0"/>
                                                      <w:marTop w:val="0"/>
                                                      <w:marBottom w:val="0"/>
                                                      <w:divBdr>
                                                        <w:top w:val="none" w:sz="0" w:space="0" w:color="auto"/>
                                                        <w:left w:val="none" w:sz="0" w:space="0" w:color="auto"/>
                                                        <w:bottom w:val="none" w:sz="0" w:space="0" w:color="auto"/>
                                                        <w:right w:val="none" w:sz="0" w:space="0" w:color="auto"/>
                                                      </w:divBdr>
                                                      <w:divsChild>
                                                        <w:div w:id="35929076">
                                                          <w:marLeft w:val="0"/>
                                                          <w:marRight w:val="0"/>
                                                          <w:marTop w:val="120"/>
                                                          <w:marBottom w:val="0"/>
                                                          <w:divBdr>
                                                            <w:top w:val="none" w:sz="0" w:space="0" w:color="auto"/>
                                                            <w:left w:val="none" w:sz="0" w:space="0" w:color="auto"/>
                                                            <w:bottom w:val="none" w:sz="0" w:space="0" w:color="auto"/>
                                                            <w:right w:val="none" w:sz="0" w:space="0" w:color="auto"/>
                                                          </w:divBdr>
                                                        </w:div>
                                                        <w:div w:id="609246372">
                                                          <w:marLeft w:val="0"/>
                                                          <w:marRight w:val="0"/>
                                                          <w:marTop w:val="0"/>
                                                          <w:marBottom w:val="0"/>
                                                          <w:divBdr>
                                                            <w:top w:val="none" w:sz="0" w:space="0" w:color="auto"/>
                                                            <w:left w:val="none" w:sz="0" w:space="0" w:color="auto"/>
                                                            <w:bottom w:val="none" w:sz="0" w:space="0" w:color="auto"/>
                                                            <w:right w:val="none" w:sz="0" w:space="0" w:color="auto"/>
                                                          </w:divBdr>
                                                        </w:div>
                                                      </w:divsChild>
                                                    </w:div>
                                                    <w:div w:id="1334605049">
                                                      <w:marLeft w:val="0"/>
                                                      <w:marRight w:val="0"/>
                                                      <w:marTop w:val="0"/>
                                                      <w:marBottom w:val="0"/>
                                                      <w:divBdr>
                                                        <w:top w:val="none" w:sz="0" w:space="0" w:color="auto"/>
                                                        <w:left w:val="none" w:sz="0" w:space="0" w:color="auto"/>
                                                        <w:bottom w:val="none" w:sz="0" w:space="0" w:color="auto"/>
                                                        <w:right w:val="none" w:sz="0" w:space="0" w:color="auto"/>
                                                      </w:divBdr>
                                                      <w:divsChild>
                                                        <w:div w:id="807357477">
                                                          <w:marLeft w:val="0"/>
                                                          <w:marRight w:val="0"/>
                                                          <w:marTop w:val="120"/>
                                                          <w:marBottom w:val="0"/>
                                                          <w:divBdr>
                                                            <w:top w:val="none" w:sz="0" w:space="0" w:color="auto"/>
                                                            <w:left w:val="none" w:sz="0" w:space="0" w:color="auto"/>
                                                            <w:bottom w:val="none" w:sz="0" w:space="0" w:color="auto"/>
                                                            <w:right w:val="none" w:sz="0" w:space="0" w:color="auto"/>
                                                          </w:divBdr>
                                                        </w:div>
                                                        <w:div w:id="112553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4423">
                                              <w:marLeft w:val="0"/>
                                              <w:marRight w:val="0"/>
                                              <w:marTop w:val="0"/>
                                              <w:marBottom w:val="0"/>
                                              <w:divBdr>
                                                <w:top w:val="none" w:sz="0" w:space="0" w:color="auto"/>
                                                <w:left w:val="none" w:sz="0" w:space="0" w:color="auto"/>
                                                <w:bottom w:val="none" w:sz="0" w:space="0" w:color="auto"/>
                                                <w:right w:val="none" w:sz="0" w:space="0" w:color="auto"/>
                                              </w:divBdr>
                                              <w:divsChild>
                                                <w:div w:id="366373495">
                                                  <w:marLeft w:val="0"/>
                                                  <w:marRight w:val="0"/>
                                                  <w:marTop w:val="120"/>
                                                  <w:marBottom w:val="0"/>
                                                  <w:divBdr>
                                                    <w:top w:val="none" w:sz="0" w:space="0" w:color="auto"/>
                                                    <w:left w:val="none" w:sz="0" w:space="0" w:color="auto"/>
                                                    <w:bottom w:val="none" w:sz="0" w:space="0" w:color="auto"/>
                                                    <w:right w:val="none" w:sz="0" w:space="0" w:color="auto"/>
                                                  </w:divBdr>
                                                </w:div>
                                                <w:div w:id="49547635">
                                                  <w:marLeft w:val="0"/>
                                                  <w:marRight w:val="0"/>
                                                  <w:marTop w:val="0"/>
                                                  <w:marBottom w:val="0"/>
                                                  <w:divBdr>
                                                    <w:top w:val="none" w:sz="0" w:space="0" w:color="auto"/>
                                                    <w:left w:val="none" w:sz="0" w:space="0" w:color="auto"/>
                                                    <w:bottom w:val="none" w:sz="0" w:space="0" w:color="auto"/>
                                                    <w:right w:val="none" w:sz="0" w:space="0" w:color="auto"/>
                                                  </w:divBdr>
                                                </w:div>
                                              </w:divsChild>
                                            </w:div>
                                            <w:div w:id="193081538">
                                              <w:marLeft w:val="0"/>
                                              <w:marRight w:val="0"/>
                                              <w:marTop w:val="0"/>
                                              <w:marBottom w:val="0"/>
                                              <w:divBdr>
                                                <w:top w:val="none" w:sz="0" w:space="0" w:color="auto"/>
                                                <w:left w:val="none" w:sz="0" w:space="0" w:color="auto"/>
                                                <w:bottom w:val="none" w:sz="0" w:space="0" w:color="auto"/>
                                                <w:right w:val="none" w:sz="0" w:space="0" w:color="auto"/>
                                              </w:divBdr>
                                              <w:divsChild>
                                                <w:div w:id="2116363205">
                                                  <w:marLeft w:val="0"/>
                                                  <w:marRight w:val="0"/>
                                                  <w:marTop w:val="120"/>
                                                  <w:marBottom w:val="0"/>
                                                  <w:divBdr>
                                                    <w:top w:val="none" w:sz="0" w:space="0" w:color="auto"/>
                                                    <w:left w:val="none" w:sz="0" w:space="0" w:color="auto"/>
                                                    <w:bottom w:val="none" w:sz="0" w:space="0" w:color="auto"/>
                                                    <w:right w:val="none" w:sz="0" w:space="0" w:color="auto"/>
                                                  </w:divBdr>
                                                </w:div>
                                                <w:div w:id="134108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4371">
                                      <w:marLeft w:val="0"/>
                                      <w:marRight w:val="0"/>
                                      <w:marTop w:val="0"/>
                                      <w:marBottom w:val="0"/>
                                      <w:divBdr>
                                        <w:top w:val="none" w:sz="0" w:space="0" w:color="auto"/>
                                        <w:left w:val="none" w:sz="0" w:space="0" w:color="auto"/>
                                        <w:bottom w:val="none" w:sz="0" w:space="0" w:color="auto"/>
                                        <w:right w:val="none" w:sz="0" w:space="0" w:color="auto"/>
                                      </w:divBdr>
                                      <w:divsChild>
                                        <w:div w:id="149633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038">
                                  <w:marLeft w:val="0"/>
                                  <w:marRight w:val="0"/>
                                  <w:marTop w:val="0"/>
                                  <w:marBottom w:val="0"/>
                                  <w:divBdr>
                                    <w:top w:val="none" w:sz="0" w:space="0" w:color="auto"/>
                                    <w:left w:val="none" w:sz="0" w:space="0" w:color="auto"/>
                                    <w:bottom w:val="none" w:sz="0" w:space="0" w:color="auto"/>
                                    <w:right w:val="none" w:sz="0" w:space="0" w:color="auto"/>
                                  </w:divBdr>
                                  <w:divsChild>
                                    <w:div w:id="823282468">
                                      <w:marLeft w:val="0"/>
                                      <w:marRight w:val="0"/>
                                      <w:marTop w:val="0"/>
                                      <w:marBottom w:val="0"/>
                                      <w:divBdr>
                                        <w:top w:val="none" w:sz="0" w:space="0" w:color="auto"/>
                                        <w:left w:val="none" w:sz="0" w:space="0" w:color="auto"/>
                                        <w:bottom w:val="none" w:sz="0" w:space="0" w:color="auto"/>
                                        <w:right w:val="none" w:sz="0" w:space="0" w:color="auto"/>
                                      </w:divBdr>
                                    </w:div>
                                    <w:div w:id="2135057618">
                                      <w:marLeft w:val="0"/>
                                      <w:marRight w:val="0"/>
                                      <w:marTop w:val="0"/>
                                      <w:marBottom w:val="0"/>
                                      <w:divBdr>
                                        <w:top w:val="none" w:sz="0" w:space="0" w:color="auto"/>
                                        <w:left w:val="none" w:sz="0" w:space="0" w:color="auto"/>
                                        <w:bottom w:val="none" w:sz="0" w:space="0" w:color="auto"/>
                                        <w:right w:val="none" w:sz="0" w:space="0" w:color="auto"/>
                                      </w:divBdr>
                                      <w:divsChild>
                                        <w:div w:id="825635633">
                                          <w:marLeft w:val="0"/>
                                          <w:marRight w:val="0"/>
                                          <w:marTop w:val="0"/>
                                          <w:marBottom w:val="0"/>
                                          <w:divBdr>
                                            <w:top w:val="none" w:sz="0" w:space="0" w:color="auto"/>
                                            <w:left w:val="none" w:sz="0" w:space="0" w:color="auto"/>
                                            <w:bottom w:val="none" w:sz="0" w:space="0" w:color="auto"/>
                                            <w:right w:val="none" w:sz="0" w:space="0" w:color="auto"/>
                                          </w:divBdr>
                                        </w:div>
                                      </w:divsChild>
                                    </w:div>
                                    <w:div w:id="1084569743">
                                      <w:marLeft w:val="0"/>
                                      <w:marRight w:val="0"/>
                                      <w:marTop w:val="0"/>
                                      <w:marBottom w:val="0"/>
                                      <w:divBdr>
                                        <w:top w:val="none" w:sz="0" w:space="0" w:color="auto"/>
                                        <w:left w:val="none" w:sz="0" w:space="0" w:color="auto"/>
                                        <w:bottom w:val="none" w:sz="0" w:space="0" w:color="auto"/>
                                        <w:right w:val="none" w:sz="0" w:space="0" w:color="auto"/>
                                      </w:divBdr>
                                      <w:divsChild>
                                        <w:div w:id="40134778">
                                          <w:marLeft w:val="0"/>
                                          <w:marRight w:val="0"/>
                                          <w:marTop w:val="120"/>
                                          <w:marBottom w:val="0"/>
                                          <w:divBdr>
                                            <w:top w:val="none" w:sz="0" w:space="0" w:color="auto"/>
                                            <w:left w:val="none" w:sz="0" w:space="0" w:color="auto"/>
                                            <w:bottom w:val="none" w:sz="0" w:space="0" w:color="auto"/>
                                            <w:right w:val="none" w:sz="0" w:space="0" w:color="auto"/>
                                          </w:divBdr>
                                        </w:div>
                                        <w:div w:id="1085494069">
                                          <w:marLeft w:val="0"/>
                                          <w:marRight w:val="0"/>
                                          <w:marTop w:val="0"/>
                                          <w:marBottom w:val="0"/>
                                          <w:divBdr>
                                            <w:top w:val="none" w:sz="0" w:space="0" w:color="auto"/>
                                            <w:left w:val="none" w:sz="0" w:space="0" w:color="auto"/>
                                            <w:bottom w:val="none" w:sz="0" w:space="0" w:color="auto"/>
                                            <w:right w:val="none" w:sz="0" w:space="0" w:color="auto"/>
                                          </w:divBdr>
                                        </w:div>
                                      </w:divsChild>
                                    </w:div>
                                    <w:div w:id="195192382">
                                      <w:marLeft w:val="0"/>
                                      <w:marRight w:val="0"/>
                                      <w:marTop w:val="0"/>
                                      <w:marBottom w:val="0"/>
                                      <w:divBdr>
                                        <w:top w:val="none" w:sz="0" w:space="0" w:color="auto"/>
                                        <w:left w:val="none" w:sz="0" w:space="0" w:color="auto"/>
                                        <w:bottom w:val="none" w:sz="0" w:space="0" w:color="auto"/>
                                        <w:right w:val="none" w:sz="0" w:space="0" w:color="auto"/>
                                      </w:divBdr>
                                      <w:divsChild>
                                        <w:div w:id="1539658382">
                                          <w:marLeft w:val="0"/>
                                          <w:marRight w:val="0"/>
                                          <w:marTop w:val="120"/>
                                          <w:marBottom w:val="0"/>
                                          <w:divBdr>
                                            <w:top w:val="none" w:sz="0" w:space="0" w:color="auto"/>
                                            <w:left w:val="none" w:sz="0" w:space="0" w:color="auto"/>
                                            <w:bottom w:val="none" w:sz="0" w:space="0" w:color="auto"/>
                                            <w:right w:val="none" w:sz="0" w:space="0" w:color="auto"/>
                                          </w:divBdr>
                                        </w:div>
                                        <w:div w:id="764115266">
                                          <w:marLeft w:val="0"/>
                                          <w:marRight w:val="0"/>
                                          <w:marTop w:val="0"/>
                                          <w:marBottom w:val="0"/>
                                          <w:divBdr>
                                            <w:top w:val="none" w:sz="0" w:space="0" w:color="auto"/>
                                            <w:left w:val="none" w:sz="0" w:space="0" w:color="auto"/>
                                            <w:bottom w:val="none" w:sz="0" w:space="0" w:color="auto"/>
                                            <w:right w:val="none" w:sz="0" w:space="0" w:color="auto"/>
                                          </w:divBdr>
                                        </w:div>
                                      </w:divsChild>
                                    </w:div>
                                    <w:div w:id="714542125">
                                      <w:marLeft w:val="0"/>
                                      <w:marRight w:val="0"/>
                                      <w:marTop w:val="0"/>
                                      <w:marBottom w:val="0"/>
                                      <w:divBdr>
                                        <w:top w:val="none" w:sz="0" w:space="0" w:color="auto"/>
                                        <w:left w:val="none" w:sz="0" w:space="0" w:color="auto"/>
                                        <w:bottom w:val="none" w:sz="0" w:space="0" w:color="auto"/>
                                        <w:right w:val="none" w:sz="0" w:space="0" w:color="auto"/>
                                      </w:divBdr>
                                      <w:divsChild>
                                        <w:div w:id="150564586">
                                          <w:marLeft w:val="0"/>
                                          <w:marRight w:val="0"/>
                                          <w:marTop w:val="120"/>
                                          <w:marBottom w:val="0"/>
                                          <w:divBdr>
                                            <w:top w:val="none" w:sz="0" w:space="0" w:color="auto"/>
                                            <w:left w:val="none" w:sz="0" w:space="0" w:color="auto"/>
                                            <w:bottom w:val="none" w:sz="0" w:space="0" w:color="auto"/>
                                            <w:right w:val="none" w:sz="0" w:space="0" w:color="auto"/>
                                          </w:divBdr>
                                        </w:div>
                                        <w:div w:id="894707906">
                                          <w:marLeft w:val="0"/>
                                          <w:marRight w:val="0"/>
                                          <w:marTop w:val="0"/>
                                          <w:marBottom w:val="0"/>
                                          <w:divBdr>
                                            <w:top w:val="none" w:sz="0" w:space="0" w:color="auto"/>
                                            <w:left w:val="none" w:sz="0" w:space="0" w:color="auto"/>
                                            <w:bottom w:val="none" w:sz="0" w:space="0" w:color="auto"/>
                                            <w:right w:val="none" w:sz="0" w:space="0" w:color="auto"/>
                                          </w:divBdr>
                                        </w:div>
                                      </w:divsChild>
                                    </w:div>
                                    <w:div w:id="455104011">
                                      <w:marLeft w:val="0"/>
                                      <w:marRight w:val="0"/>
                                      <w:marTop w:val="0"/>
                                      <w:marBottom w:val="0"/>
                                      <w:divBdr>
                                        <w:top w:val="none" w:sz="0" w:space="0" w:color="auto"/>
                                        <w:left w:val="none" w:sz="0" w:space="0" w:color="auto"/>
                                        <w:bottom w:val="none" w:sz="0" w:space="0" w:color="auto"/>
                                        <w:right w:val="none" w:sz="0" w:space="0" w:color="auto"/>
                                      </w:divBdr>
                                      <w:divsChild>
                                        <w:div w:id="498690903">
                                          <w:marLeft w:val="0"/>
                                          <w:marRight w:val="0"/>
                                          <w:marTop w:val="0"/>
                                          <w:marBottom w:val="0"/>
                                          <w:divBdr>
                                            <w:top w:val="none" w:sz="0" w:space="0" w:color="auto"/>
                                            <w:left w:val="none" w:sz="0" w:space="0" w:color="auto"/>
                                            <w:bottom w:val="none" w:sz="0" w:space="0" w:color="auto"/>
                                            <w:right w:val="none" w:sz="0" w:space="0" w:color="auto"/>
                                          </w:divBdr>
                                        </w:div>
                                      </w:divsChild>
                                    </w:div>
                                    <w:div w:id="1418400324">
                                      <w:marLeft w:val="0"/>
                                      <w:marRight w:val="0"/>
                                      <w:marTop w:val="0"/>
                                      <w:marBottom w:val="0"/>
                                      <w:divBdr>
                                        <w:top w:val="none" w:sz="0" w:space="0" w:color="auto"/>
                                        <w:left w:val="none" w:sz="0" w:space="0" w:color="auto"/>
                                        <w:bottom w:val="none" w:sz="0" w:space="0" w:color="auto"/>
                                        <w:right w:val="none" w:sz="0" w:space="0" w:color="auto"/>
                                      </w:divBdr>
                                      <w:divsChild>
                                        <w:div w:id="1804730907">
                                          <w:marLeft w:val="0"/>
                                          <w:marRight w:val="0"/>
                                          <w:marTop w:val="0"/>
                                          <w:marBottom w:val="0"/>
                                          <w:divBdr>
                                            <w:top w:val="none" w:sz="0" w:space="0" w:color="auto"/>
                                            <w:left w:val="none" w:sz="0" w:space="0" w:color="auto"/>
                                            <w:bottom w:val="none" w:sz="0" w:space="0" w:color="auto"/>
                                            <w:right w:val="none" w:sz="0" w:space="0" w:color="auto"/>
                                          </w:divBdr>
                                          <w:divsChild>
                                            <w:div w:id="106242231">
                                              <w:marLeft w:val="0"/>
                                              <w:marRight w:val="0"/>
                                              <w:marTop w:val="0"/>
                                              <w:marBottom w:val="0"/>
                                              <w:divBdr>
                                                <w:top w:val="none" w:sz="0" w:space="0" w:color="auto"/>
                                                <w:left w:val="none" w:sz="0" w:space="0" w:color="auto"/>
                                                <w:bottom w:val="none" w:sz="0" w:space="0" w:color="auto"/>
                                                <w:right w:val="none" w:sz="0" w:space="0" w:color="auto"/>
                                              </w:divBdr>
                                              <w:divsChild>
                                                <w:div w:id="307318319">
                                                  <w:marLeft w:val="0"/>
                                                  <w:marRight w:val="0"/>
                                                  <w:marTop w:val="120"/>
                                                  <w:marBottom w:val="0"/>
                                                  <w:divBdr>
                                                    <w:top w:val="none" w:sz="0" w:space="0" w:color="auto"/>
                                                    <w:left w:val="none" w:sz="0" w:space="0" w:color="auto"/>
                                                    <w:bottom w:val="none" w:sz="0" w:space="0" w:color="auto"/>
                                                    <w:right w:val="none" w:sz="0" w:space="0" w:color="auto"/>
                                                  </w:divBdr>
                                                </w:div>
                                                <w:div w:id="1854759916">
                                                  <w:marLeft w:val="0"/>
                                                  <w:marRight w:val="0"/>
                                                  <w:marTop w:val="0"/>
                                                  <w:marBottom w:val="0"/>
                                                  <w:divBdr>
                                                    <w:top w:val="none" w:sz="0" w:space="0" w:color="auto"/>
                                                    <w:left w:val="none" w:sz="0" w:space="0" w:color="auto"/>
                                                    <w:bottom w:val="none" w:sz="0" w:space="0" w:color="auto"/>
                                                    <w:right w:val="none" w:sz="0" w:space="0" w:color="auto"/>
                                                  </w:divBdr>
                                                </w:div>
                                              </w:divsChild>
                                            </w:div>
                                            <w:div w:id="2042238553">
                                              <w:marLeft w:val="0"/>
                                              <w:marRight w:val="0"/>
                                              <w:marTop w:val="0"/>
                                              <w:marBottom w:val="0"/>
                                              <w:divBdr>
                                                <w:top w:val="none" w:sz="0" w:space="0" w:color="auto"/>
                                                <w:left w:val="none" w:sz="0" w:space="0" w:color="auto"/>
                                                <w:bottom w:val="none" w:sz="0" w:space="0" w:color="auto"/>
                                                <w:right w:val="none" w:sz="0" w:space="0" w:color="auto"/>
                                              </w:divBdr>
                                              <w:divsChild>
                                                <w:div w:id="639269554">
                                                  <w:marLeft w:val="0"/>
                                                  <w:marRight w:val="0"/>
                                                  <w:marTop w:val="120"/>
                                                  <w:marBottom w:val="0"/>
                                                  <w:divBdr>
                                                    <w:top w:val="none" w:sz="0" w:space="0" w:color="auto"/>
                                                    <w:left w:val="none" w:sz="0" w:space="0" w:color="auto"/>
                                                    <w:bottom w:val="none" w:sz="0" w:space="0" w:color="auto"/>
                                                    <w:right w:val="none" w:sz="0" w:space="0" w:color="auto"/>
                                                  </w:divBdr>
                                                </w:div>
                                                <w:div w:id="48837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260326">
                                      <w:marLeft w:val="0"/>
                                      <w:marRight w:val="0"/>
                                      <w:marTop w:val="0"/>
                                      <w:marBottom w:val="0"/>
                                      <w:divBdr>
                                        <w:top w:val="none" w:sz="0" w:space="0" w:color="auto"/>
                                        <w:left w:val="none" w:sz="0" w:space="0" w:color="auto"/>
                                        <w:bottom w:val="none" w:sz="0" w:space="0" w:color="auto"/>
                                        <w:right w:val="none" w:sz="0" w:space="0" w:color="auto"/>
                                      </w:divBdr>
                                      <w:divsChild>
                                        <w:div w:id="984360481">
                                          <w:marLeft w:val="0"/>
                                          <w:marRight w:val="0"/>
                                          <w:marTop w:val="0"/>
                                          <w:marBottom w:val="0"/>
                                          <w:divBdr>
                                            <w:top w:val="none" w:sz="0" w:space="0" w:color="auto"/>
                                            <w:left w:val="none" w:sz="0" w:space="0" w:color="auto"/>
                                            <w:bottom w:val="none" w:sz="0" w:space="0" w:color="auto"/>
                                            <w:right w:val="none" w:sz="0" w:space="0" w:color="auto"/>
                                          </w:divBdr>
                                        </w:div>
                                      </w:divsChild>
                                    </w:div>
                                    <w:div w:id="757216819">
                                      <w:marLeft w:val="0"/>
                                      <w:marRight w:val="0"/>
                                      <w:marTop w:val="0"/>
                                      <w:marBottom w:val="0"/>
                                      <w:divBdr>
                                        <w:top w:val="none" w:sz="0" w:space="0" w:color="auto"/>
                                        <w:left w:val="none" w:sz="0" w:space="0" w:color="auto"/>
                                        <w:bottom w:val="none" w:sz="0" w:space="0" w:color="auto"/>
                                        <w:right w:val="none" w:sz="0" w:space="0" w:color="auto"/>
                                      </w:divBdr>
                                      <w:divsChild>
                                        <w:div w:id="647052303">
                                          <w:marLeft w:val="0"/>
                                          <w:marRight w:val="0"/>
                                          <w:marTop w:val="0"/>
                                          <w:marBottom w:val="0"/>
                                          <w:divBdr>
                                            <w:top w:val="none" w:sz="0" w:space="0" w:color="auto"/>
                                            <w:left w:val="none" w:sz="0" w:space="0" w:color="auto"/>
                                            <w:bottom w:val="none" w:sz="0" w:space="0" w:color="auto"/>
                                            <w:right w:val="none" w:sz="0" w:space="0" w:color="auto"/>
                                          </w:divBdr>
                                        </w:div>
                                      </w:divsChild>
                                    </w:div>
                                    <w:div w:id="1718510636">
                                      <w:marLeft w:val="0"/>
                                      <w:marRight w:val="0"/>
                                      <w:marTop w:val="0"/>
                                      <w:marBottom w:val="0"/>
                                      <w:divBdr>
                                        <w:top w:val="none" w:sz="0" w:space="0" w:color="auto"/>
                                        <w:left w:val="none" w:sz="0" w:space="0" w:color="auto"/>
                                        <w:bottom w:val="none" w:sz="0" w:space="0" w:color="auto"/>
                                        <w:right w:val="none" w:sz="0" w:space="0" w:color="auto"/>
                                      </w:divBdr>
                                      <w:divsChild>
                                        <w:div w:id="1323698716">
                                          <w:marLeft w:val="0"/>
                                          <w:marRight w:val="0"/>
                                          <w:marTop w:val="0"/>
                                          <w:marBottom w:val="0"/>
                                          <w:divBdr>
                                            <w:top w:val="none" w:sz="0" w:space="0" w:color="auto"/>
                                            <w:left w:val="none" w:sz="0" w:space="0" w:color="auto"/>
                                            <w:bottom w:val="none" w:sz="0" w:space="0" w:color="auto"/>
                                            <w:right w:val="none" w:sz="0" w:space="0" w:color="auto"/>
                                          </w:divBdr>
                                        </w:div>
                                      </w:divsChild>
                                    </w:div>
                                    <w:div w:id="87822757">
                                      <w:marLeft w:val="0"/>
                                      <w:marRight w:val="0"/>
                                      <w:marTop w:val="0"/>
                                      <w:marBottom w:val="0"/>
                                      <w:divBdr>
                                        <w:top w:val="none" w:sz="0" w:space="0" w:color="auto"/>
                                        <w:left w:val="none" w:sz="0" w:space="0" w:color="auto"/>
                                        <w:bottom w:val="none" w:sz="0" w:space="0" w:color="auto"/>
                                        <w:right w:val="none" w:sz="0" w:space="0" w:color="auto"/>
                                      </w:divBdr>
                                      <w:divsChild>
                                        <w:div w:id="1579286905">
                                          <w:marLeft w:val="0"/>
                                          <w:marRight w:val="0"/>
                                          <w:marTop w:val="0"/>
                                          <w:marBottom w:val="0"/>
                                          <w:divBdr>
                                            <w:top w:val="none" w:sz="0" w:space="0" w:color="auto"/>
                                            <w:left w:val="none" w:sz="0" w:space="0" w:color="auto"/>
                                            <w:bottom w:val="none" w:sz="0" w:space="0" w:color="auto"/>
                                            <w:right w:val="none" w:sz="0" w:space="0" w:color="auto"/>
                                          </w:divBdr>
                                          <w:divsChild>
                                            <w:div w:id="158234677">
                                              <w:marLeft w:val="0"/>
                                              <w:marRight w:val="0"/>
                                              <w:marTop w:val="0"/>
                                              <w:marBottom w:val="0"/>
                                              <w:divBdr>
                                                <w:top w:val="none" w:sz="0" w:space="0" w:color="auto"/>
                                                <w:left w:val="none" w:sz="0" w:space="0" w:color="auto"/>
                                                <w:bottom w:val="none" w:sz="0" w:space="0" w:color="auto"/>
                                                <w:right w:val="none" w:sz="0" w:space="0" w:color="auto"/>
                                              </w:divBdr>
                                              <w:divsChild>
                                                <w:div w:id="189883860">
                                                  <w:marLeft w:val="0"/>
                                                  <w:marRight w:val="0"/>
                                                  <w:marTop w:val="120"/>
                                                  <w:marBottom w:val="0"/>
                                                  <w:divBdr>
                                                    <w:top w:val="none" w:sz="0" w:space="0" w:color="auto"/>
                                                    <w:left w:val="none" w:sz="0" w:space="0" w:color="auto"/>
                                                    <w:bottom w:val="none" w:sz="0" w:space="0" w:color="auto"/>
                                                    <w:right w:val="none" w:sz="0" w:space="0" w:color="auto"/>
                                                  </w:divBdr>
                                                </w:div>
                                                <w:div w:id="274413776">
                                                  <w:marLeft w:val="0"/>
                                                  <w:marRight w:val="0"/>
                                                  <w:marTop w:val="0"/>
                                                  <w:marBottom w:val="0"/>
                                                  <w:divBdr>
                                                    <w:top w:val="none" w:sz="0" w:space="0" w:color="auto"/>
                                                    <w:left w:val="none" w:sz="0" w:space="0" w:color="auto"/>
                                                    <w:bottom w:val="none" w:sz="0" w:space="0" w:color="auto"/>
                                                    <w:right w:val="none" w:sz="0" w:space="0" w:color="auto"/>
                                                  </w:divBdr>
                                                </w:div>
                                              </w:divsChild>
                                            </w:div>
                                            <w:div w:id="1647973664">
                                              <w:marLeft w:val="0"/>
                                              <w:marRight w:val="0"/>
                                              <w:marTop w:val="0"/>
                                              <w:marBottom w:val="0"/>
                                              <w:divBdr>
                                                <w:top w:val="none" w:sz="0" w:space="0" w:color="auto"/>
                                                <w:left w:val="none" w:sz="0" w:space="0" w:color="auto"/>
                                                <w:bottom w:val="none" w:sz="0" w:space="0" w:color="auto"/>
                                                <w:right w:val="none" w:sz="0" w:space="0" w:color="auto"/>
                                              </w:divBdr>
                                              <w:divsChild>
                                                <w:div w:id="1118649320">
                                                  <w:marLeft w:val="0"/>
                                                  <w:marRight w:val="0"/>
                                                  <w:marTop w:val="120"/>
                                                  <w:marBottom w:val="0"/>
                                                  <w:divBdr>
                                                    <w:top w:val="none" w:sz="0" w:space="0" w:color="auto"/>
                                                    <w:left w:val="none" w:sz="0" w:space="0" w:color="auto"/>
                                                    <w:bottom w:val="none" w:sz="0" w:space="0" w:color="auto"/>
                                                    <w:right w:val="none" w:sz="0" w:space="0" w:color="auto"/>
                                                  </w:divBdr>
                                                </w:div>
                                                <w:div w:id="1002053650">
                                                  <w:marLeft w:val="0"/>
                                                  <w:marRight w:val="0"/>
                                                  <w:marTop w:val="0"/>
                                                  <w:marBottom w:val="0"/>
                                                  <w:divBdr>
                                                    <w:top w:val="none" w:sz="0" w:space="0" w:color="auto"/>
                                                    <w:left w:val="none" w:sz="0" w:space="0" w:color="auto"/>
                                                    <w:bottom w:val="none" w:sz="0" w:space="0" w:color="auto"/>
                                                    <w:right w:val="none" w:sz="0" w:space="0" w:color="auto"/>
                                                  </w:divBdr>
                                                </w:div>
                                              </w:divsChild>
                                            </w:div>
                                            <w:div w:id="705325890">
                                              <w:marLeft w:val="0"/>
                                              <w:marRight w:val="0"/>
                                              <w:marTop w:val="0"/>
                                              <w:marBottom w:val="0"/>
                                              <w:divBdr>
                                                <w:top w:val="none" w:sz="0" w:space="0" w:color="auto"/>
                                                <w:left w:val="none" w:sz="0" w:space="0" w:color="auto"/>
                                                <w:bottom w:val="none" w:sz="0" w:space="0" w:color="auto"/>
                                                <w:right w:val="none" w:sz="0" w:space="0" w:color="auto"/>
                                              </w:divBdr>
                                              <w:divsChild>
                                                <w:div w:id="2143305712">
                                                  <w:marLeft w:val="0"/>
                                                  <w:marRight w:val="0"/>
                                                  <w:marTop w:val="120"/>
                                                  <w:marBottom w:val="0"/>
                                                  <w:divBdr>
                                                    <w:top w:val="none" w:sz="0" w:space="0" w:color="auto"/>
                                                    <w:left w:val="none" w:sz="0" w:space="0" w:color="auto"/>
                                                    <w:bottom w:val="none" w:sz="0" w:space="0" w:color="auto"/>
                                                    <w:right w:val="none" w:sz="0" w:space="0" w:color="auto"/>
                                                  </w:divBdr>
                                                </w:div>
                                                <w:div w:id="20162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52004">
                                      <w:marLeft w:val="0"/>
                                      <w:marRight w:val="0"/>
                                      <w:marTop w:val="0"/>
                                      <w:marBottom w:val="0"/>
                                      <w:divBdr>
                                        <w:top w:val="none" w:sz="0" w:space="0" w:color="auto"/>
                                        <w:left w:val="none" w:sz="0" w:space="0" w:color="auto"/>
                                        <w:bottom w:val="none" w:sz="0" w:space="0" w:color="auto"/>
                                        <w:right w:val="none" w:sz="0" w:space="0" w:color="auto"/>
                                      </w:divBdr>
                                      <w:divsChild>
                                        <w:div w:id="594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415997">
                              <w:marLeft w:val="0"/>
                              <w:marRight w:val="0"/>
                              <w:marTop w:val="0"/>
                              <w:marBottom w:val="0"/>
                              <w:divBdr>
                                <w:top w:val="none" w:sz="0" w:space="0" w:color="auto"/>
                                <w:left w:val="none" w:sz="0" w:space="0" w:color="auto"/>
                                <w:bottom w:val="none" w:sz="0" w:space="0" w:color="auto"/>
                                <w:right w:val="none" w:sz="0" w:space="0" w:color="auto"/>
                              </w:divBdr>
                              <w:divsChild>
                                <w:div w:id="1250507040">
                                  <w:marLeft w:val="0"/>
                                  <w:marRight w:val="0"/>
                                  <w:marTop w:val="0"/>
                                  <w:marBottom w:val="0"/>
                                  <w:divBdr>
                                    <w:top w:val="none" w:sz="0" w:space="0" w:color="auto"/>
                                    <w:left w:val="none" w:sz="0" w:space="0" w:color="auto"/>
                                    <w:bottom w:val="none" w:sz="0" w:space="0" w:color="auto"/>
                                    <w:right w:val="none" w:sz="0" w:space="0" w:color="auto"/>
                                  </w:divBdr>
                                  <w:divsChild>
                                    <w:div w:id="1070885790">
                                      <w:marLeft w:val="0"/>
                                      <w:marRight w:val="0"/>
                                      <w:marTop w:val="0"/>
                                      <w:marBottom w:val="0"/>
                                      <w:divBdr>
                                        <w:top w:val="none" w:sz="0" w:space="0" w:color="auto"/>
                                        <w:left w:val="none" w:sz="0" w:space="0" w:color="auto"/>
                                        <w:bottom w:val="none" w:sz="0" w:space="0" w:color="auto"/>
                                        <w:right w:val="none" w:sz="0" w:space="0" w:color="auto"/>
                                      </w:divBdr>
                                    </w:div>
                                    <w:div w:id="1018892266">
                                      <w:marLeft w:val="0"/>
                                      <w:marRight w:val="0"/>
                                      <w:marTop w:val="0"/>
                                      <w:marBottom w:val="0"/>
                                      <w:divBdr>
                                        <w:top w:val="none" w:sz="0" w:space="0" w:color="auto"/>
                                        <w:left w:val="none" w:sz="0" w:space="0" w:color="auto"/>
                                        <w:bottom w:val="none" w:sz="0" w:space="0" w:color="auto"/>
                                        <w:right w:val="none" w:sz="0" w:space="0" w:color="auto"/>
                                      </w:divBdr>
                                      <w:divsChild>
                                        <w:div w:id="1582565658">
                                          <w:marLeft w:val="0"/>
                                          <w:marRight w:val="0"/>
                                          <w:marTop w:val="0"/>
                                          <w:marBottom w:val="0"/>
                                          <w:divBdr>
                                            <w:top w:val="none" w:sz="0" w:space="0" w:color="auto"/>
                                            <w:left w:val="none" w:sz="0" w:space="0" w:color="auto"/>
                                            <w:bottom w:val="none" w:sz="0" w:space="0" w:color="auto"/>
                                            <w:right w:val="none" w:sz="0" w:space="0" w:color="auto"/>
                                          </w:divBdr>
                                          <w:divsChild>
                                            <w:div w:id="693773360">
                                              <w:marLeft w:val="0"/>
                                              <w:marRight w:val="0"/>
                                              <w:marTop w:val="0"/>
                                              <w:marBottom w:val="0"/>
                                              <w:divBdr>
                                                <w:top w:val="none" w:sz="0" w:space="0" w:color="auto"/>
                                                <w:left w:val="none" w:sz="0" w:space="0" w:color="auto"/>
                                                <w:bottom w:val="none" w:sz="0" w:space="0" w:color="auto"/>
                                                <w:right w:val="none" w:sz="0" w:space="0" w:color="auto"/>
                                              </w:divBdr>
                                              <w:divsChild>
                                                <w:div w:id="735935999">
                                                  <w:marLeft w:val="0"/>
                                                  <w:marRight w:val="0"/>
                                                  <w:marTop w:val="120"/>
                                                  <w:marBottom w:val="0"/>
                                                  <w:divBdr>
                                                    <w:top w:val="none" w:sz="0" w:space="0" w:color="auto"/>
                                                    <w:left w:val="none" w:sz="0" w:space="0" w:color="auto"/>
                                                    <w:bottom w:val="none" w:sz="0" w:space="0" w:color="auto"/>
                                                    <w:right w:val="none" w:sz="0" w:space="0" w:color="auto"/>
                                                  </w:divBdr>
                                                </w:div>
                                                <w:div w:id="1495536963">
                                                  <w:marLeft w:val="0"/>
                                                  <w:marRight w:val="0"/>
                                                  <w:marTop w:val="0"/>
                                                  <w:marBottom w:val="0"/>
                                                  <w:divBdr>
                                                    <w:top w:val="none" w:sz="0" w:space="0" w:color="auto"/>
                                                    <w:left w:val="none" w:sz="0" w:space="0" w:color="auto"/>
                                                    <w:bottom w:val="none" w:sz="0" w:space="0" w:color="auto"/>
                                                    <w:right w:val="none" w:sz="0" w:space="0" w:color="auto"/>
                                                  </w:divBdr>
                                                </w:div>
                                              </w:divsChild>
                                            </w:div>
                                            <w:div w:id="1282496257">
                                              <w:marLeft w:val="0"/>
                                              <w:marRight w:val="0"/>
                                              <w:marTop w:val="0"/>
                                              <w:marBottom w:val="0"/>
                                              <w:divBdr>
                                                <w:top w:val="none" w:sz="0" w:space="0" w:color="auto"/>
                                                <w:left w:val="none" w:sz="0" w:space="0" w:color="auto"/>
                                                <w:bottom w:val="none" w:sz="0" w:space="0" w:color="auto"/>
                                                <w:right w:val="none" w:sz="0" w:space="0" w:color="auto"/>
                                              </w:divBdr>
                                              <w:divsChild>
                                                <w:div w:id="1626814218">
                                                  <w:marLeft w:val="0"/>
                                                  <w:marRight w:val="0"/>
                                                  <w:marTop w:val="120"/>
                                                  <w:marBottom w:val="0"/>
                                                  <w:divBdr>
                                                    <w:top w:val="none" w:sz="0" w:space="0" w:color="auto"/>
                                                    <w:left w:val="none" w:sz="0" w:space="0" w:color="auto"/>
                                                    <w:bottom w:val="none" w:sz="0" w:space="0" w:color="auto"/>
                                                    <w:right w:val="none" w:sz="0" w:space="0" w:color="auto"/>
                                                  </w:divBdr>
                                                </w:div>
                                                <w:div w:id="1319917573">
                                                  <w:marLeft w:val="0"/>
                                                  <w:marRight w:val="0"/>
                                                  <w:marTop w:val="0"/>
                                                  <w:marBottom w:val="0"/>
                                                  <w:divBdr>
                                                    <w:top w:val="none" w:sz="0" w:space="0" w:color="auto"/>
                                                    <w:left w:val="none" w:sz="0" w:space="0" w:color="auto"/>
                                                    <w:bottom w:val="none" w:sz="0" w:space="0" w:color="auto"/>
                                                    <w:right w:val="none" w:sz="0" w:space="0" w:color="auto"/>
                                                  </w:divBdr>
                                                  <w:divsChild>
                                                    <w:div w:id="1455296021">
                                                      <w:marLeft w:val="0"/>
                                                      <w:marRight w:val="0"/>
                                                      <w:marTop w:val="0"/>
                                                      <w:marBottom w:val="0"/>
                                                      <w:divBdr>
                                                        <w:top w:val="none" w:sz="0" w:space="0" w:color="auto"/>
                                                        <w:left w:val="none" w:sz="0" w:space="0" w:color="auto"/>
                                                        <w:bottom w:val="none" w:sz="0" w:space="0" w:color="auto"/>
                                                        <w:right w:val="none" w:sz="0" w:space="0" w:color="auto"/>
                                                      </w:divBdr>
                                                      <w:divsChild>
                                                        <w:div w:id="611715724">
                                                          <w:marLeft w:val="0"/>
                                                          <w:marRight w:val="0"/>
                                                          <w:marTop w:val="120"/>
                                                          <w:marBottom w:val="0"/>
                                                          <w:divBdr>
                                                            <w:top w:val="none" w:sz="0" w:space="0" w:color="auto"/>
                                                            <w:left w:val="none" w:sz="0" w:space="0" w:color="auto"/>
                                                            <w:bottom w:val="none" w:sz="0" w:space="0" w:color="auto"/>
                                                            <w:right w:val="none" w:sz="0" w:space="0" w:color="auto"/>
                                                          </w:divBdr>
                                                        </w:div>
                                                        <w:div w:id="802624849">
                                                          <w:marLeft w:val="0"/>
                                                          <w:marRight w:val="0"/>
                                                          <w:marTop w:val="0"/>
                                                          <w:marBottom w:val="0"/>
                                                          <w:divBdr>
                                                            <w:top w:val="none" w:sz="0" w:space="0" w:color="auto"/>
                                                            <w:left w:val="none" w:sz="0" w:space="0" w:color="auto"/>
                                                            <w:bottom w:val="none" w:sz="0" w:space="0" w:color="auto"/>
                                                            <w:right w:val="none" w:sz="0" w:space="0" w:color="auto"/>
                                                          </w:divBdr>
                                                        </w:div>
                                                      </w:divsChild>
                                                    </w:div>
                                                    <w:div w:id="2065135399">
                                                      <w:marLeft w:val="0"/>
                                                      <w:marRight w:val="0"/>
                                                      <w:marTop w:val="0"/>
                                                      <w:marBottom w:val="0"/>
                                                      <w:divBdr>
                                                        <w:top w:val="none" w:sz="0" w:space="0" w:color="auto"/>
                                                        <w:left w:val="none" w:sz="0" w:space="0" w:color="auto"/>
                                                        <w:bottom w:val="none" w:sz="0" w:space="0" w:color="auto"/>
                                                        <w:right w:val="none" w:sz="0" w:space="0" w:color="auto"/>
                                                      </w:divBdr>
                                                      <w:divsChild>
                                                        <w:div w:id="1044643993">
                                                          <w:marLeft w:val="0"/>
                                                          <w:marRight w:val="0"/>
                                                          <w:marTop w:val="120"/>
                                                          <w:marBottom w:val="0"/>
                                                          <w:divBdr>
                                                            <w:top w:val="none" w:sz="0" w:space="0" w:color="auto"/>
                                                            <w:left w:val="none" w:sz="0" w:space="0" w:color="auto"/>
                                                            <w:bottom w:val="none" w:sz="0" w:space="0" w:color="auto"/>
                                                            <w:right w:val="none" w:sz="0" w:space="0" w:color="auto"/>
                                                          </w:divBdr>
                                                        </w:div>
                                                        <w:div w:id="4896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523731">
                                      <w:marLeft w:val="0"/>
                                      <w:marRight w:val="0"/>
                                      <w:marTop w:val="0"/>
                                      <w:marBottom w:val="0"/>
                                      <w:divBdr>
                                        <w:top w:val="none" w:sz="0" w:space="0" w:color="auto"/>
                                        <w:left w:val="none" w:sz="0" w:space="0" w:color="auto"/>
                                        <w:bottom w:val="none" w:sz="0" w:space="0" w:color="auto"/>
                                        <w:right w:val="none" w:sz="0" w:space="0" w:color="auto"/>
                                      </w:divBdr>
                                      <w:divsChild>
                                        <w:div w:id="553156379">
                                          <w:marLeft w:val="0"/>
                                          <w:marRight w:val="0"/>
                                          <w:marTop w:val="0"/>
                                          <w:marBottom w:val="0"/>
                                          <w:divBdr>
                                            <w:top w:val="none" w:sz="0" w:space="0" w:color="auto"/>
                                            <w:left w:val="none" w:sz="0" w:space="0" w:color="auto"/>
                                            <w:bottom w:val="none" w:sz="0" w:space="0" w:color="auto"/>
                                            <w:right w:val="none" w:sz="0" w:space="0" w:color="auto"/>
                                          </w:divBdr>
                                        </w:div>
                                      </w:divsChild>
                                    </w:div>
                                    <w:div w:id="1528250778">
                                      <w:marLeft w:val="0"/>
                                      <w:marRight w:val="0"/>
                                      <w:marTop w:val="0"/>
                                      <w:marBottom w:val="0"/>
                                      <w:divBdr>
                                        <w:top w:val="none" w:sz="0" w:space="0" w:color="auto"/>
                                        <w:left w:val="none" w:sz="0" w:space="0" w:color="auto"/>
                                        <w:bottom w:val="none" w:sz="0" w:space="0" w:color="auto"/>
                                        <w:right w:val="none" w:sz="0" w:space="0" w:color="auto"/>
                                      </w:divBdr>
                                      <w:divsChild>
                                        <w:div w:id="453796466">
                                          <w:marLeft w:val="0"/>
                                          <w:marRight w:val="0"/>
                                          <w:marTop w:val="0"/>
                                          <w:marBottom w:val="0"/>
                                          <w:divBdr>
                                            <w:top w:val="none" w:sz="0" w:space="0" w:color="auto"/>
                                            <w:left w:val="none" w:sz="0" w:space="0" w:color="auto"/>
                                            <w:bottom w:val="none" w:sz="0" w:space="0" w:color="auto"/>
                                            <w:right w:val="none" w:sz="0" w:space="0" w:color="auto"/>
                                          </w:divBdr>
                                        </w:div>
                                      </w:divsChild>
                                    </w:div>
                                    <w:div w:id="694312028">
                                      <w:marLeft w:val="0"/>
                                      <w:marRight w:val="0"/>
                                      <w:marTop w:val="0"/>
                                      <w:marBottom w:val="0"/>
                                      <w:divBdr>
                                        <w:top w:val="none" w:sz="0" w:space="0" w:color="auto"/>
                                        <w:left w:val="none" w:sz="0" w:space="0" w:color="auto"/>
                                        <w:bottom w:val="none" w:sz="0" w:space="0" w:color="auto"/>
                                        <w:right w:val="none" w:sz="0" w:space="0" w:color="auto"/>
                                      </w:divBdr>
                                      <w:divsChild>
                                        <w:div w:id="12610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1629">
                                  <w:marLeft w:val="0"/>
                                  <w:marRight w:val="0"/>
                                  <w:marTop w:val="0"/>
                                  <w:marBottom w:val="0"/>
                                  <w:divBdr>
                                    <w:top w:val="none" w:sz="0" w:space="0" w:color="auto"/>
                                    <w:left w:val="none" w:sz="0" w:space="0" w:color="auto"/>
                                    <w:bottom w:val="none" w:sz="0" w:space="0" w:color="auto"/>
                                    <w:right w:val="none" w:sz="0" w:space="0" w:color="auto"/>
                                  </w:divBdr>
                                  <w:divsChild>
                                    <w:div w:id="398332927">
                                      <w:marLeft w:val="0"/>
                                      <w:marRight w:val="0"/>
                                      <w:marTop w:val="0"/>
                                      <w:marBottom w:val="0"/>
                                      <w:divBdr>
                                        <w:top w:val="none" w:sz="0" w:space="0" w:color="auto"/>
                                        <w:left w:val="none" w:sz="0" w:space="0" w:color="auto"/>
                                        <w:bottom w:val="none" w:sz="0" w:space="0" w:color="auto"/>
                                        <w:right w:val="none" w:sz="0" w:space="0" w:color="auto"/>
                                      </w:divBdr>
                                    </w:div>
                                    <w:div w:id="1515607512">
                                      <w:marLeft w:val="0"/>
                                      <w:marRight w:val="0"/>
                                      <w:marTop w:val="0"/>
                                      <w:marBottom w:val="0"/>
                                      <w:divBdr>
                                        <w:top w:val="none" w:sz="0" w:space="0" w:color="auto"/>
                                        <w:left w:val="none" w:sz="0" w:space="0" w:color="auto"/>
                                        <w:bottom w:val="none" w:sz="0" w:space="0" w:color="auto"/>
                                        <w:right w:val="none" w:sz="0" w:space="0" w:color="auto"/>
                                      </w:divBdr>
                                      <w:divsChild>
                                        <w:div w:id="1904179217">
                                          <w:marLeft w:val="0"/>
                                          <w:marRight w:val="0"/>
                                          <w:marTop w:val="0"/>
                                          <w:marBottom w:val="0"/>
                                          <w:divBdr>
                                            <w:top w:val="none" w:sz="0" w:space="0" w:color="auto"/>
                                            <w:left w:val="none" w:sz="0" w:space="0" w:color="auto"/>
                                            <w:bottom w:val="none" w:sz="0" w:space="0" w:color="auto"/>
                                            <w:right w:val="none" w:sz="0" w:space="0" w:color="auto"/>
                                          </w:divBdr>
                                          <w:divsChild>
                                            <w:div w:id="303891836">
                                              <w:marLeft w:val="0"/>
                                              <w:marRight w:val="0"/>
                                              <w:marTop w:val="0"/>
                                              <w:marBottom w:val="0"/>
                                              <w:divBdr>
                                                <w:top w:val="none" w:sz="0" w:space="0" w:color="auto"/>
                                                <w:left w:val="none" w:sz="0" w:space="0" w:color="auto"/>
                                                <w:bottom w:val="none" w:sz="0" w:space="0" w:color="auto"/>
                                                <w:right w:val="none" w:sz="0" w:space="0" w:color="auto"/>
                                              </w:divBdr>
                                              <w:divsChild>
                                                <w:div w:id="889265190">
                                                  <w:marLeft w:val="0"/>
                                                  <w:marRight w:val="0"/>
                                                  <w:marTop w:val="120"/>
                                                  <w:marBottom w:val="0"/>
                                                  <w:divBdr>
                                                    <w:top w:val="none" w:sz="0" w:space="0" w:color="auto"/>
                                                    <w:left w:val="none" w:sz="0" w:space="0" w:color="auto"/>
                                                    <w:bottom w:val="none" w:sz="0" w:space="0" w:color="auto"/>
                                                    <w:right w:val="none" w:sz="0" w:space="0" w:color="auto"/>
                                                  </w:divBdr>
                                                </w:div>
                                                <w:div w:id="1830437166">
                                                  <w:marLeft w:val="0"/>
                                                  <w:marRight w:val="0"/>
                                                  <w:marTop w:val="0"/>
                                                  <w:marBottom w:val="0"/>
                                                  <w:divBdr>
                                                    <w:top w:val="none" w:sz="0" w:space="0" w:color="auto"/>
                                                    <w:left w:val="none" w:sz="0" w:space="0" w:color="auto"/>
                                                    <w:bottom w:val="none" w:sz="0" w:space="0" w:color="auto"/>
                                                    <w:right w:val="none" w:sz="0" w:space="0" w:color="auto"/>
                                                  </w:divBdr>
                                                </w:div>
                                              </w:divsChild>
                                            </w:div>
                                            <w:div w:id="1912427939">
                                              <w:marLeft w:val="0"/>
                                              <w:marRight w:val="0"/>
                                              <w:marTop w:val="0"/>
                                              <w:marBottom w:val="0"/>
                                              <w:divBdr>
                                                <w:top w:val="none" w:sz="0" w:space="0" w:color="auto"/>
                                                <w:left w:val="none" w:sz="0" w:space="0" w:color="auto"/>
                                                <w:bottom w:val="none" w:sz="0" w:space="0" w:color="auto"/>
                                                <w:right w:val="none" w:sz="0" w:space="0" w:color="auto"/>
                                              </w:divBdr>
                                              <w:divsChild>
                                                <w:div w:id="1728724279">
                                                  <w:marLeft w:val="0"/>
                                                  <w:marRight w:val="0"/>
                                                  <w:marTop w:val="120"/>
                                                  <w:marBottom w:val="0"/>
                                                  <w:divBdr>
                                                    <w:top w:val="none" w:sz="0" w:space="0" w:color="auto"/>
                                                    <w:left w:val="none" w:sz="0" w:space="0" w:color="auto"/>
                                                    <w:bottom w:val="none" w:sz="0" w:space="0" w:color="auto"/>
                                                    <w:right w:val="none" w:sz="0" w:space="0" w:color="auto"/>
                                                  </w:divBdr>
                                                </w:div>
                                                <w:div w:id="1412892735">
                                                  <w:marLeft w:val="0"/>
                                                  <w:marRight w:val="0"/>
                                                  <w:marTop w:val="0"/>
                                                  <w:marBottom w:val="0"/>
                                                  <w:divBdr>
                                                    <w:top w:val="none" w:sz="0" w:space="0" w:color="auto"/>
                                                    <w:left w:val="none" w:sz="0" w:space="0" w:color="auto"/>
                                                    <w:bottom w:val="none" w:sz="0" w:space="0" w:color="auto"/>
                                                    <w:right w:val="none" w:sz="0" w:space="0" w:color="auto"/>
                                                  </w:divBdr>
                                                  <w:divsChild>
                                                    <w:div w:id="54548131">
                                                      <w:marLeft w:val="0"/>
                                                      <w:marRight w:val="0"/>
                                                      <w:marTop w:val="0"/>
                                                      <w:marBottom w:val="0"/>
                                                      <w:divBdr>
                                                        <w:top w:val="none" w:sz="0" w:space="0" w:color="auto"/>
                                                        <w:left w:val="none" w:sz="0" w:space="0" w:color="auto"/>
                                                        <w:bottom w:val="none" w:sz="0" w:space="0" w:color="auto"/>
                                                        <w:right w:val="none" w:sz="0" w:space="0" w:color="auto"/>
                                                      </w:divBdr>
                                                      <w:divsChild>
                                                        <w:div w:id="20709471">
                                                          <w:marLeft w:val="0"/>
                                                          <w:marRight w:val="0"/>
                                                          <w:marTop w:val="120"/>
                                                          <w:marBottom w:val="0"/>
                                                          <w:divBdr>
                                                            <w:top w:val="none" w:sz="0" w:space="0" w:color="auto"/>
                                                            <w:left w:val="none" w:sz="0" w:space="0" w:color="auto"/>
                                                            <w:bottom w:val="none" w:sz="0" w:space="0" w:color="auto"/>
                                                            <w:right w:val="none" w:sz="0" w:space="0" w:color="auto"/>
                                                          </w:divBdr>
                                                        </w:div>
                                                        <w:div w:id="1303272214">
                                                          <w:marLeft w:val="0"/>
                                                          <w:marRight w:val="0"/>
                                                          <w:marTop w:val="0"/>
                                                          <w:marBottom w:val="0"/>
                                                          <w:divBdr>
                                                            <w:top w:val="none" w:sz="0" w:space="0" w:color="auto"/>
                                                            <w:left w:val="none" w:sz="0" w:space="0" w:color="auto"/>
                                                            <w:bottom w:val="none" w:sz="0" w:space="0" w:color="auto"/>
                                                            <w:right w:val="none" w:sz="0" w:space="0" w:color="auto"/>
                                                          </w:divBdr>
                                                        </w:div>
                                                      </w:divsChild>
                                                    </w:div>
                                                    <w:div w:id="741565286">
                                                      <w:marLeft w:val="0"/>
                                                      <w:marRight w:val="0"/>
                                                      <w:marTop w:val="0"/>
                                                      <w:marBottom w:val="0"/>
                                                      <w:divBdr>
                                                        <w:top w:val="none" w:sz="0" w:space="0" w:color="auto"/>
                                                        <w:left w:val="none" w:sz="0" w:space="0" w:color="auto"/>
                                                        <w:bottom w:val="none" w:sz="0" w:space="0" w:color="auto"/>
                                                        <w:right w:val="none" w:sz="0" w:space="0" w:color="auto"/>
                                                      </w:divBdr>
                                                      <w:divsChild>
                                                        <w:div w:id="1531262378">
                                                          <w:marLeft w:val="0"/>
                                                          <w:marRight w:val="0"/>
                                                          <w:marTop w:val="120"/>
                                                          <w:marBottom w:val="0"/>
                                                          <w:divBdr>
                                                            <w:top w:val="none" w:sz="0" w:space="0" w:color="auto"/>
                                                            <w:left w:val="none" w:sz="0" w:space="0" w:color="auto"/>
                                                            <w:bottom w:val="none" w:sz="0" w:space="0" w:color="auto"/>
                                                            <w:right w:val="none" w:sz="0" w:space="0" w:color="auto"/>
                                                          </w:divBdr>
                                                        </w:div>
                                                        <w:div w:id="114153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964153">
                                      <w:marLeft w:val="0"/>
                                      <w:marRight w:val="0"/>
                                      <w:marTop w:val="0"/>
                                      <w:marBottom w:val="0"/>
                                      <w:divBdr>
                                        <w:top w:val="none" w:sz="0" w:space="0" w:color="auto"/>
                                        <w:left w:val="none" w:sz="0" w:space="0" w:color="auto"/>
                                        <w:bottom w:val="none" w:sz="0" w:space="0" w:color="auto"/>
                                        <w:right w:val="none" w:sz="0" w:space="0" w:color="auto"/>
                                      </w:divBdr>
                                      <w:divsChild>
                                        <w:div w:id="18435259">
                                          <w:marLeft w:val="0"/>
                                          <w:marRight w:val="0"/>
                                          <w:marTop w:val="0"/>
                                          <w:marBottom w:val="0"/>
                                          <w:divBdr>
                                            <w:top w:val="none" w:sz="0" w:space="0" w:color="auto"/>
                                            <w:left w:val="none" w:sz="0" w:space="0" w:color="auto"/>
                                            <w:bottom w:val="none" w:sz="0" w:space="0" w:color="auto"/>
                                            <w:right w:val="none" w:sz="0" w:space="0" w:color="auto"/>
                                          </w:divBdr>
                                          <w:divsChild>
                                            <w:div w:id="1060902471">
                                              <w:marLeft w:val="0"/>
                                              <w:marRight w:val="0"/>
                                              <w:marTop w:val="0"/>
                                              <w:marBottom w:val="0"/>
                                              <w:divBdr>
                                                <w:top w:val="none" w:sz="0" w:space="0" w:color="auto"/>
                                                <w:left w:val="none" w:sz="0" w:space="0" w:color="auto"/>
                                                <w:bottom w:val="none" w:sz="0" w:space="0" w:color="auto"/>
                                                <w:right w:val="none" w:sz="0" w:space="0" w:color="auto"/>
                                              </w:divBdr>
                                              <w:divsChild>
                                                <w:div w:id="1529030102">
                                                  <w:marLeft w:val="0"/>
                                                  <w:marRight w:val="0"/>
                                                  <w:marTop w:val="120"/>
                                                  <w:marBottom w:val="0"/>
                                                  <w:divBdr>
                                                    <w:top w:val="none" w:sz="0" w:space="0" w:color="auto"/>
                                                    <w:left w:val="none" w:sz="0" w:space="0" w:color="auto"/>
                                                    <w:bottom w:val="none" w:sz="0" w:space="0" w:color="auto"/>
                                                    <w:right w:val="none" w:sz="0" w:space="0" w:color="auto"/>
                                                  </w:divBdr>
                                                </w:div>
                                                <w:div w:id="360205272">
                                                  <w:marLeft w:val="0"/>
                                                  <w:marRight w:val="0"/>
                                                  <w:marTop w:val="0"/>
                                                  <w:marBottom w:val="0"/>
                                                  <w:divBdr>
                                                    <w:top w:val="none" w:sz="0" w:space="0" w:color="auto"/>
                                                    <w:left w:val="none" w:sz="0" w:space="0" w:color="auto"/>
                                                    <w:bottom w:val="none" w:sz="0" w:space="0" w:color="auto"/>
                                                    <w:right w:val="none" w:sz="0" w:space="0" w:color="auto"/>
                                                  </w:divBdr>
                                                </w:div>
                                              </w:divsChild>
                                            </w:div>
                                            <w:div w:id="177890501">
                                              <w:marLeft w:val="0"/>
                                              <w:marRight w:val="0"/>
                                              <w:marTop w:val="0"/>
                                              <w:marBottom w:val="0"/>
                                              <w:divBdr>
                                                <w:top w:val="none" w:sz="0" w:space="0" w:color="auto"/>
                                                <w:left w:val="none" w:sz="0" w:space="0" w:color="auto"/>
                                                <w:bottom w:val="none" w:sz="0" w:space="0" w:color="auto"/>
                                                <w:right w:val="none" w:sz="0" w:space="0" w:color="auto"/>
                                              </w:divBdr>
                                              <w:divsChild>
                                                <w:div w:id="739443815">
                                                  <w:marLeft w:val="0"/>
                                                  <w:marRight w:val="0"/>
                                                  <w:marTop w:val="120"/>
                                                  <w:marBottom w:val="0"/>
                                                  <w:divBdr>
                                                    <w:top w:val="none" w:sz="0" w:space="0" w:color="auto"/>
                                                    <w:left w:val="none" w:sz="0" w:space="0" w:color="auto"/>
                                                    <w:bottom w:val="none" w:sz="0" w:space="0" w:color="auto"/>
                                                    <w:right w:val="none" w:sz="0" w:space="0" w:color="auto"/>
                                                  </w:divBdr>
                                                </w:div>
                                                <w:div w:id="164924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177897">
                                      <w:marLeft w:val="0"/>
                                      <w:marRight w:val="0"/>
                                      <w:marTop w:val="0"/>
                                      <w:marBottom w:val="0"/>
                                      <w:divBdr>
                                        <w:top w:val="none" w:sz="0" w:space="0" w:color="auto"/>
                                        <w:left w:val="none" w:sz="0" w:space="0" w:color="auto"/>
                                        <w:bottom w:val="none" w:sz="0" w:space="0" w:color="auto"/>
                                        <w:right w:val="none" w:sz="0" w:space="0" w:color="auto"/>
                                      </w:divBdr>
                                      <w:divsChild>
                                        <w:div w:id="1469084495">
                                          <w:marLeft w:val="0"/>
                                          <w:marRight w:val="0"/>
                                          <w:marTop w:val="0"/>
                                          <w:marBottom w:val="0"/>
                                          <w:divBdr>
                                            <w:top w:val="none" w:sz="0" w:space="0" w:color="auto"/>
                                            <w:left w:val="none" w:sz="0" w:space="0" w:color="auto"/>
                                            <w:bottom w:val="none" w:sz="0" w:space="0" w:color="auto"/>
                                            <w:right w:val="none" w:sz="0" w:space="0" w:color="auto"/>
                                          </w:divBdr>
                                          <w:divsChild>
                                            <w:div w:id="627787343">
                                              <w:marLeft w:val="0"/>
                                              <w:marRight w:val="0"/>
                                              <w:marTop w:val="0"/>
                                              <w:marBottom w:val="0"/>
                                              <w:divBdr>
                                                <w:top w:val="none" w:sz="0" w:space="0" w:color="auto"/>
                                                <w:left w:val="none" w:sz="0" w:space="0" w:color="auto"/>
                                                <w:bottom w:val="none" w:sz="0" w:space="0" w:color="auto"/>
                                                <w:right w:val="none" w:sz="0" w:space="0" w:color="auto"/>
                                              </w:divBdr>
                                              <w:divsChild>
                                                <w:div w:id="1734035908">
                                                  <w:marLeft w:val="0"/>
                                                  <w:marRight w:val="0"/>
                                                  <w:marTop w:val="120"/>
                                                  <w:marBottom w:val="0"/>
                                                  <w:divBdr>
                                                    <w:top w:val="none" w:sz="0" w:space="0" w:color="auto"/>
                                                    <w:left w:val="none" w:sz="0" w:space="0" w:color="auto"/>
                                                    <w:bottom w:val="none" w:sz="0" w:space="0" w:color="auto"/>
                                                    <w:right w:val="none" w:sz="0" w:space="0" w:color="auto"/>
                                                  </w:divBdr>
                                                </w:div>
                                                <w:div w:id="25645656">
                                                  <w:marLeft w:val="0"/>
                                                  <w:marRight w:val="0"/>
                                                  <w:marTop w:val="0"/>
                                                  <w:marBottom w:val="0"/>
                                                  <w:divBdr>
                                                    <w:top w:val="none" w:sz="0" w:space="0" w:color="auto"/>
                                                    <w:left w:val="none" w:sz="0" w:space="0" w:color="auto"/>
                                                    <w:bottom w:val="none" w:sz="0" w:space="0" w:color="auto"/>
                                                    <w:right w:val="none" w:sz="0" w:space="0" w:color="auto"/>
                                                  </w:divBdr>
                                                </w:div>
                                              </w:divsChild>
                                            </w:div>
                                            <w:div w:id="2047487411">
                                              <w:marLeft w:val="0"/>
                                              <w:marRight w:val="0"/>
                                              <w:marTop w:val="0"/>
                                              <w:marBottom w:val="0"/>
                                              <w:divBdr>
                                                <w:top w:val="none" w:sz="0" w:space="0" w:color="auto"/>
                                                <w:left w:val="none" w:sz="0" w:space="0" w:color="auto"/>
                                                <w:bottom w:val="none" w:sz="0" w:space="0" w:color="auto"/>
                                                <w:right w:val="none" w:sz="0" w:space="0" w:color="auto"/>
                                              </w:divBdr>
                                              <w:divsChild>
                                                <w:div w:id="1739788923">
                                                  <w:marLeft w:val="0"/>
                                                  <w:marRight w:val="0"/>
                                                  <w:marTop w:val="120"/>
                                                  <w:marBottom w:val="0"/>
                                                  <w:divBdr>
                                                    <w:top w:val="none" w:sz="0" w:space="0" w:color="auto"/>
                                                    <w:left w:val="none" w:sz="0" w:space="0" w:color="auto"/>
                                                    <w:bottom w:val="none" w:sz="0" w:space="0" w:color="auto"/>
                                                    <w:right w:val="none" w:sz="0" w:space="0" w:color="auto"/>
                                                  </w:divBdr>
                                                </w:div>
                                                <w:div w:id="1998992354">
                                                  <w:marLeft w:val="0"/>
                                                  <w:marRight w:val="0"/>
                                                  <w:marTop w:val="0"/>
                                                  <w:marBottom w:val="0"/>
                                                  <w:divBdr>
                                                    <w:top w:val="none" w:sz="0" w:space="0" w:color="auto"/>
                                                    <w:left w:val="none" w:sz="0" w:space="0" w:color="auto"/>
                                                    <w:bottom w:val="none" w:sz="0" w:space="0" w:color="auto"/>
                                                    <w:right w:val="none" w:sz="0" w:space="0" w:color="auto"/>
                                                  </w:divBdr>
                                                </w:div>
                                              </w:divsChild>
                                            </w:div>
                                            <w:div w:id="1926528838">
                                              <w:marLeft w:val="0"/>
                                              <w:marRight w:val="0"/>
                                              <w:marTop w:val="0"/>
                                              <w:marBottom w:val="0"/>
                                              <w:divBdr>
                                                <w:top w:val="none" w:sz="0" w:space="0" w:color="auto"/>
                                                <w:left w:val="none" w:sz="0" w:space="0" w:color="auto"/>
                                                <w:bottom w:val="none" w:sz="0" w:space="0" w:color="auto"/>
                                                <w:right w:val="none" w:sz="0" w:space="0" w:color="auto"/>
                                              </w:divBdr>
                                              <w:divsChild>
                                                <w:div w:id="1109083922">
                                                  <w:marLeft w:val="0"/>
                                                  <w:marRight w:val="0"/>
                                                  <w:marTop w:val="120"/>
                                                  <w:marBottom w:val="0"/>
                                                  <w:divBdr>
                                                    <w:top w:val="none" w:sz="0" w:space="0" w:color="auto"/>
                                                    <w:left w:val="none" w:sz="0" w:space="0" w:color="auto"/>
                                                    <w:bottom w:val="none" w:sz="0" w:space="0" w:color="auto"/>
                                                    <w:right w:val="none" w:sz="0" w:space="0" w:color="auto"/>
                                                  </w:divBdr>
                                                </w:div>
                                                <w:div w:id="14597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259995">
                                      <w:marLeft w:val="0"/>
                                      <w:marRight w:val="0"/>
                                      <w:marTop w:val="0"/>
                                      <w:marBottom w:val="0"/>
                                      <w:divBdr>
                                        <w:top w:val="none" w:sz="0" w:space="0" w:color="auto"/>
                                        <w:left w:val="none" w:sz="0" w:space="0" w:color="auto"/>
                                        <w:bottom w:val="none" w:sz="0" w:space="0" w:color="auto"/>
                                        <w:right w:val="none" w:sz="0" w:space="0" w:color="auto"/>
                                      </w:divBdr>
                                      <w:divsChild>
                                        <w:div w:id="2076851727">
                                          <w:marLeft w:val="0"/>
                                          <w:marRight w:val="0"/>
                                          <w:marTop w:val="0"/>
                                          <w:marBottom w:val="0"/>
                                          <w:divBdr>
                                            <w:top w:val="none" w:sz="0" w:space="0" w:color="auto"/>
                                            <w:left w:val="none" w:sz="0" w:space="0" w:color="auto"/>
                                            <w:bottom w:val="none" w:sz="0" w:space="0" w:color="auto"/>
                                            <w:right w:val="none" w:sz="0" w:space="0" w:color="auto"/>
                                          </w:divBdr>
                                        </w:div>
                                      </w:divsChild>
                                    </w:div>
                                    <w:div w:id="128475864">
                                      <w:marLeft w:val="0"/>
                                      <w:marRight w:val="0"/>
                                      <w:marTop w:val="0"/>
                                      <w:marBottom w:val="0"/>
                                      <w:divBdr>
                                        <w:top w:val="none" w:sz="0" w:space="0" w:color="auto"/>
                                        <w:left w:val="none" w:sz="0" w:space="0" w:color="auto"/>
                                        <w:bottom w:val="none" w:sz="0" w:space="0" w:color="auto"/>
                                        <w:right w:val="none" w:sz="0" w:space="0" w:color="auto"/>
                                      </w:divBdr>
                                      <w:divsChild>
                                        <w:div w:id="667559125">
                                          <w:marLeft w:val="0"/>
                                          <w:marRight w:val="0"/>
                                          <w:marTop w:val="0"/>
                                          <w:marBottom w:val="0"/>
                                          <w:divBdr>
                                            <w:top w:val="none" w:sz="0" w:space="0" w:color="auto"/>
                                            <w:left w:val="none" w:sz="0" w:space="0" w:color="auto"/>
                                            <w:bottom w:val="none" w:sz="0" w:space="0" w:color="auto"/>
                                            <w:right w:val="none" w:sz="0" w:space="0" w:color="auto"/>
                                          </w:divBdr>
                                        </w:div>
                                      </w:divsChild>
                                    </w:div>
                                    <w:div w:id="548108522">
                                      <w:marLeft w:val="0"/>
                                      <w:marRight w:val="0"/>
                                      <w:marTop w:val="0"/>
                                      <w:marBottom w:val="0"/>
                                      <w:divBdr>
                                        <w:top w:val="none" w:sz="0" w:space="0" w:color="auto"/>
                                        <w:left w:val="none" w:sz="0" w:space="0" w:color="auto"/>
                                        <w:bottom w:val="none" w:sz="0" w:space="0" w:color="auto"/>
                                        <w:right w:val="none" w:sz="0" w:space="0" w:color="auto"/>
                                      </w:divBdr>
                                      <w:divsChild>
                                        <w:div w:id="67321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593937">
                                  <w:marLeft w:val="0"/>
                                  <w:marRight w:val="0"/>
                                  <w:marTop w:val="0"/>
                                  <w:marBottom w:val="0"/>
                                  <w:divBdr>
                                    <w:top w:val="none" w:sz="0" w:space="0" w:color="auto"/>
                                    <w:left w:val="none" w:sz="0" w:space="0" w:color="auto"/>
                                    <w:bottom w:val="none" w:sz="0" w:space="0" w:color="auto"/>
                                    <w:right w:val="none" w:sz="0" w:space="0" w:color="auto"/>
                                  </w:divBdr>
                                  <w:divsChild>
                                    <w:div w:id="1750080971">
                                      <w:marLeft w:val="0"/>
                                      <w:marRight w:val="0"/>
                                      <w:marTop w:val="0"/>
                                      <w:marBottom w:val="0"/>
                                      <w:divBdr>
                                        <w:top w:val="none" w:sz="0" w:space="0" w:color="auto"/>
                                        <w:left w:val="none" w:sz="0" w:space="0" w:color="auto"/>
                                        <w:bottom w:val="none" w:sz="0" w:space="0" w:color="auto"/>
                                        <w:right w:val="none" w:sz="0" w:space="0" w:color="auto"/>
                                      </w:divBdr>
                                    </w:div>
                                    <w:div w:id="1068189364">
                                      <w:marLeft w:val="0"/>
                                      <w:marRight w:val="0"/>
                                      <w:marTop w:val="0"/>
                                      <w:marBottom w:val="0"/>
                                      <w:divBdr>
                                        <w:top w:val="none" w:sz="0" w:space="0" w:color="auto"/>
                                        <w:left w:val="none" w:sz="0" w:space="0" w:color="auto"/>
                                        <w:bottom w:val="none" w:sz="0" w:space="0" w:color="auto"/>
                                        <w:right w:val="none" w:sz="0" w:space="0" w:color="auto"/>
                                      </w:divBdr>
                                      <w:divsChild>
                                        <w:div w:id="34164490">
                                          <w:marLeft w:val="0"/>
                                          <w:marRight w:val="0"/>
                                          <w:marTop w:val="0"/>
                                          <w:marBottom w:val="0"/>
                                          <w:divBdr>
                                            <w:top w:val="none" w:sz="0" w:space="0" w:color="auto"/>
                                            <w:left w:val="none" w:sz="0" w:space="0" w:color="auto"/>
                                            <w:bottom w:val="none" w:sz="0" w:space="0" w:color="auto"/>
                                            <w:right w:val="none" w:sz="0" w:space="0" w:color="auto"/>
                                          </w:divBdr>
                                          <w:divsChild>
                                            <w:div w:id="1261527189">
                                              <w:marLeft w:val="0"/>
                                              <w:marRight w:val="0"/>
                                              <w:marTop w:val="0"/>
                                              <w:marBottom w:val="0"/>
                                              <w:divBdr>
                                                <w:top w:val="none" w:sz="0" w:space="0" w:color="auto"/>
                                                <w:left w:val="none" w:sz="0" w:space="0" w:color="auto"/>
                                                <w:bottom w:val="none" w:sz="0" w:space="0" w:color="auto"/>
                                                <w:right w:val="none" w:sz="0" w:space="0" w:color="auto"/>
                                              </w:divBdr>
                                              <w:divsChild>
                                                <w:div w:id="137916548">
                                                  <w:marLeft w:val="0"/>
                                                  <w:marRight w:val="0"/>
                                                  <w:marTop w:val="120"/>
                                                  <w:marBottom w:val="0"/>
                                                  <w:divBdr>
                                                    <w:top w:val="none" w:sz="0" w:space="0" w:color="auto"/>
                                                    <w:left w:val="none" w:sz="0" w:space="0" w:color="auto"/>
                                                    <w:bottom w:val="none" w:sz="0" w:space="0" w:color="auto"/>
                                                    <w:right w:val="none" w:sz="0" w:space="0" w:color="auto"/>
                                                  </w:divBdr>
                                                </w:div>
                                                <w:div w:id="324211892">
                                                  <w:marLeft w:val="0"/>
                                                  <w:marRight w:val="0"/>
                                                  <w:marTop w:val="0"/>
                                                  <w:marBottom w:val="0"/>
                                                  <w:divBdr>
                                                    <w:top w:val="none" w:sz="0" w:space="0" w:color="auto"/>
                                                    <w:left w:val="none" w:sz="0" w:space="0" w:color="auto"/>
                                                    <w:bottom w:val="none" w:sz="0" w:space="0" w:color="auto"/>
                                                    <w:right w:val="none" w:sz="0" w:space="0" w:color="auto"/>
                                                  </w:divBdr>
                                                </w:div>
                                              </w:divsChild>
                                            </w:div>
                                            <w:div w:id="290481063">
                                              <w:marLeft w:val="0"/>
                                              <w:marRight w:val="0"/>
                                              <w:marTop w:val="0"/>
                                              <w:marBottom w:val="0"/>
                                              <w:divBdr>
                                                <w:top w:val="none" w:sz="0" w:space="0" w:color="auto"/>
                                                <w:left w:val="none" w:sz="0" w:space="0" w:color="auto"/>
                                                <w:bottom w:val="none" w:sz="0" w:space="0" w:color="auto"/>
                                                <w:right w:val="none" w:sz="0" w:space="0" w:color="auto"/>
                                              </w:divBdr>
                                              <w:divsChild>
                                                <w:div w:id="1786265866">
                                                  <w:marLeft w:val="0"/>
                                                  <w:marRight w:val="0"/>
                                                  <w:marTop w:val="120"/>
                                                  <w:marBottom w:val="0"/>
                                                  <w:divBdr>
                                                    <w:top w:val="none" w:sz="0" w:space="0" w:color="auto"/>
                                                    <w:left w:val="none" w:sz="0" w:space="0" w:color="auto"/>
                                                    <w:bottom w:val="none" w:sz="0" w:space="0" w:color="auto"/>
                                                    <w:right w:val="none" w:sz="0" w:space="0" w:color="auto"/>
                                                  </w:divBdr>
                                                </w:div>
                                                <w:div w:id="1170485285">
                                                  <w:marLeft w:val="0"/>
                                                  <w:marRight w:val="0"/>
                                                  <w:marTop w:val="0"/>
                                                  <w:marBottom w:val="0"/>
                                                  <w:divBdr>
                                                    <w:top w:val="none" w:sz="0" w:space="0" w:color="auto"/>
                                                    <w:left w:val="none" w:sz="0" w:space="0" w:color="auto"/>
                                                    <w:bottom w:val="none" w:sz="0" w:space="0" w:color="auto"/>
                                                    <w:right w:val="none" w:sz="0" w:space="0" w:color="auto"/>
                                                  </w:divBdr>
                                                </w:div>
                                              </w:divsChild>
                                            </w:div>
                                            <w:div w:id="985359346">
                                              <w:marLeft w:val="0"/>
                                              <w:marRight w:val="0"/>
                                              <w:marTop w:val="0"/>
                                              <w:marBottom w:val="0"/>
                                              <w:divBdr>
                                                <w:top w:val="none" w:sz="0" w:space="0" w:color="auto"/>
                                                <w:left w:val="none" w:sz="0" w:space="0" w:color="auto"/>
                                                <w:bottom w:val="none" w:sz="0" w:space="0" w:color="auto"/>
                                                <w:right w:val="none" w:sz="0" w:space="0" w:color="auto"/>
                                              </w:divBdr>
                                              <w:divsChild>
                                                <w:div w:id="275521593">
                                                  <w:marLeft w:val="0"/>
                                                  <w:marRight w:val="0"/>
                                                  <w:marTop w:val="120"/>
                                                  <w:marBottom w:val="0"/>
                                                  <w:divBdr>
                                                    <w:top w:val="none" w:sz="0" w:space="0" w:color="auto"/>
                                                    <w:left w:val="none" w:sz="0" w:space="0" w:color="auto"/>
                                                    <w:bottom w:val="none" w:sz="0" w:space="0" w:color="auto"/>
                                                    <w:right w:val="none" w:sz="0" w:space="0" w:color="auto"/>
                                                  </w:divBdr>
                                                </w:div>
                                                <w:div w:id="1160537510">
                                                  <w:marLeft w:val="0"/>
                                                  <w:marRight w:val="0"/>
                                                  <w:marTop w:val="0"/>
                                                  <w:marBottom w:val="0"/>
                                                  <w:divBdr>
                                                    <w:top w:val="none" w:sz="0" w:space="0" w:color="auto"/>
                                                    <w:left w:val="none" w:sz="0" w:space="0" w:color="auto"/>
                                                    <w:bottom w:val="none" w:sz="0" w:space="0" w:color="auto"/>
                                                    <w:right w:val="none" w:sz="0" w:space="0" w:color="auto"/>
                                                  </w:divBdr>
                                                </w:div>
                                              </w:divsChild>
                                            </w:div>
                                            <w:div w:id="462508052">
                                              <w:marLeft w:val="0"/>
                                              <w:marRight w:val="0"/>
                                              <w:marTop w:val="0"/>
                                              <w:marBottom w:val="0"/>
                                              <w:divBdr>
                                                <w:top w:val="none" w:sz="0" w:space="0" w:color="auto"/>
                                                <w:left w:val="none" w:sz="0" w:space="0" w:color="auto"/>
                                                <w:bottom w:val="none" w:sz="0" w:space="0" w:color="auto"/>
                                                <w:right w:val="none" w:sz="0" w:space="0" w:color="auto"/>
                                              </w:divBdr>
                                              <w:divsChild>
                                                <w:div w:id="1360012747">
                                                  <w:marLeft w:val="0"/>
                                                  <w:marRight w:val="0"/>
                                                  <w:marTop w:val="120"/>
                                                  <w:marBottom w:val="0"/>
                                                  <w:divBdr>
                                                    <w:top w:val="none" w:sz="0" w:space="0" w:color="auto"/>
                                                    <w:left w:val="none" w:sz="0" w:space="0" w:color="auto"/>
                                                    <w:bottom w:val="none" w:sz="0" w:space="0" w:color="auto"/>
                                                    <w:right w:val="none" w:sz="0" w:space="0" w:color="auto"/>
                                                  </w:divBdr>
                                                </w:div>
                                                <w:div w:id="2071345176">
                                                  <w:marLeft w:val="0"/>
                                                  <w:marRight w:val="0"/>
                                                  <w:marTop w:val="0"/>
                                                  <w:marBottom w:val="0"/>
                                                  <w:divBdr>
                                                    <w:top w:val="none" w:sz="0" w:space="0" w:color="auto"/>
                                                    <w:left w:val="none" w:sz="0" w:space="0" w:color="auto"/>
                                                    <w:bottom w:val="none" w:sz="0" w:space="0" w:color="auto"/>
                                                    <w:right w:val="none" w:sz="0" w:space="0" w:color="auto"/>
                                                  </w:divBdr>
                                                </w:div>
                                              </w:divsChild>
                                            </w:div>
                                            <w:div w:id="124661146">
                                              <w:marLeft w:val="0"/>
                                              <w:marRight w:val="0"/>
                                              <w:marTop w:val="0"/>
                                              <w:marBottom w:val="0"/>
                                              <w:divBdr>
                                                <w:top w:val="none" w:sz="0" w:space="0" w:color="auto"/>
                                                <w:left w:val="none" w:sz="0" w:space="0" w:color="auto"/>
                                                <w:bottom w:val="none" w:sz="0" w:space="0" w:color="auto"/>
                                                <w:right w:val="none" w:sz="0" w:space="0" w:color="auto"/>
                                              </w:divBdr>
                                              <w:divsChild>
                                                <w:div w:id="701856587">
                                                  <w:marLeft w:val="0"/>
                                                  <w:marRight w:val="0"/>
                                                  <w:marTop w:val="120"/>
                                                  <w:marBottom w:val="0"/>
                                                  <w:divBdr>
                                                    <w:top w:val="none" w:sz="0" w:space="0" w:color="auto"/>
                                                    <w:left w:val="none" w:sz="0" w:space="0" w:color="auto"/>
                                                    <w:bottom w:val="none" w:sz="0" w:space="0" w:color="auto"/>
                                                    <w:right w:val="none" w:sz="0" w:space="0" w:color="auto"/>
                                                  </w:divBdr>
                                                </w:div>
                                                <w:div w:id="71612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03200">
                                      <w:marLeft w:val="0"/>
                                      <w:marRight w:val="0"/>
                                      <w:marTop w:val="0"/>
                                      <w:marBottom w:val="0"/>
                                      <w:divBdr>
                                        <w:top w:val="none" w:sz="0" w:space="0" w:color="auto"/>
                                        <w:left w:val="none" w:sz="0" w:space="0" w:color="auto"/>
                                        <w:bottom w:val="none" w:sz="0" w:space="0" w:color="auto"/>
                                        <w:right w:val="none" w:sz="0" w:space="0" w:color="auto"/>
                                      </w:divBdr>
                                      <w:divsChild>
                                        <w:div w:id="121656343">
                                          <w:marLeft w:val="0"/>
                                          <w:marRight w:val="0"/>
                                          <w:marTop w:val="0"/>
                                          <w:marBottom w:val="0"/>
                                          <w:divBdr>
                                            <w:top w:val="none" w:sz="0" w:space="0" w:color="auto"/>
                                            <w:left w:val="none" w:sz="0" w:space="0" w:color="auto"/>
                                            <w:bottom w:val="none" w:sz="0" w:space="0" w:color="auto"/>
                                            <w:right w:val="none" w:sz="0" w:space="0" w:color="auto"/>
                                          </w:divBdr>
                                        </w:div>
                                      </w:divsChild>
                                    </w:div>
                                    <w:div w:id="1190293377">
                                      <w:marLeft w:val="0"/>
                                      <w:marRight w:val="0"/>
                                      <w:marTop w:val="0"/>
                                      <w:marBottom w:val="0"/>
                                      <w:divBdr>
                                        <w:top w:val="none" w:sz="0" w:space="0" w:color="auto"/>
                                        <w:left w:val="none" w:sz="0" w:space="0" w:color="auto"/>
                                        <w:bottom w:val="none" w:sz="0" w:space="0" w:color="auto"/>
                                        <w:right w:val="none" w:sz="0" w:space="0" w:color="auto"/>
                                      </w:divBdr>
                                      <w:divsChild>
                                        <w:div w:id="1356080896">
                                          <w:marLeft w:val="0"/>
                                          <w:marRight w:val="0"/>
                                          <w:marTop w:val="0"/>
                                          <w:marBottom w:val="0"/>
                                          <w:divBdr>
                                            <w:top w:val="none" w:sz="0" w:space="0" w:color="auto"/>
                                            <w:left w:val="none" w:sz="0" w:space="0" w:color="auto"/>
                                            <w:bottom w:val="none" w:sz="0" w:space="0" w:color="auto"/>
                                            <w:right w:val="none" w:sz="0" w:space="0" w:color="auto"/>
                                          </w:divBdr>
                                          <w:divsChild>
                                            <w:div w:id="1508865983">
                                              <w:marLeft w:val="0"/>
                                              <w:marRight w:val="0"/>
                                              <w:marTop w:val="0"/>
                                              <w:marBottom w:val="0"/>
                                              <w:divBdr>
                                                <w:top w:val="none" w:sz="0" w:space="0" w:color="auto"/>
                                                <w:left w:val="none" w:sz="0" w:space="0" w:color="auto"/>
                                                <w:bottom w:val="none" w:sz="0" w:space="0" w:color="auto"/>
                                                <w:right w:val="none" w:sz="0" w:space="0" w:color="auto"/>
                                              </w:divBdr>
                                              <w:divsChild>
                                                <w:div w:id="2014643542">
                                                  <w:marLeft w:val="0"/>
                                                  <w:marRight w:val="0"/>
                                                  <w:marTop w:val="120"/>
                                                  <w:marBottom w:val="0"/>
                                                  <w:divBdr>
                                                    <w:top w:val="none" w:sz="0" w:space="0" w:color="auto"/>
                                                    <w:left w:val="none" w:sz="0" w:space="0" w:color="auto"/>
                                                    <w:bottom w:val="none" w:sz="0" w:space="0" w:color="auto"/>
                                                    <w:right w:val="none" w:sz="0" w:space="0" w:color="auto"/>
                                                  </w:divBdr>
                                                </w:div>
                                                <w:div w:id="1256674259">
                                                  <w:marLeft w:val="0"/>
                                                  <w:marRight w:val="0"/>
                                                  <w:marTop w:val="0"/>
                                                  <w:marBottom w:val="0"/>
                                                  <w:divBdr>
                                                    <w:top w:val="none" w:sz="0" w:space="0" w:color="auto"/>
                                                    <w:left w:val="none" w:sz="0" w:space="0" w:color="auto"/>
                                                    <w:bottom w:val="none" w:sz="0" w:space="0" w:color="auto"/>
                                                    <w:right w:val="none" w:sz="0" w:space="0" w:color="auto"/>
                                                  </w:divBdr>
                                                </w:div>
                                              </w:divsChild>
                                            </w:div>
                                            <w:div w:id="999849391">
                                              <w:marLeft w:val="0"/>
                                              <w:marRight w:val="0"/>
                                              <w:marTop w:val="0"/>
                                              <w:marBottom w:val="0"/>
                                              <w:divBdr>
                                                <w:top w:val="none" w:sz="0" w:space="0" w:color="auto"/>
                                                <w:left w:val="none" w:sz="0" w:space="0" w:color="auto"/>
                                                <w:bottom w:val="none" w:sz="0" w:space="0" w:color="auto"/>
                                                <w:right w:val="none" w:sz="0" w:space="0" w:color="auto"/>
                                              </w:divBdr>
                                              <w:divsChild>
                                                <w:div w:id="333799215">
                                                  <w:marLeft w:val="0"/>
                                                  <w:marRight w:val="0"/>
                                                  <w:marTop w:val="120"/>
                                                  <w:marBottom w:val="0"/>
                                                  <w:divBdr>
                                                    <w:top w:val="none" w:sz="0" w:space="0" w:color="auto"/>
                                                    <w:left w:val="none" w:sz="0" w:space="0" w:color="auto"/>
                                                    <w:bottom w:val="none" w:sz="0" w:space="0" w:color="auto"/>
                                                    <w:right w:val="none" w:sz="0" w:space="0" w:color="auto"/>
                                                  </w:divBdr>
                                                </w:div>
                                                <w:div w:id="11664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0364">
                                      <w:marLeft w:val="0"/>
                                      <w:marRight w:val="0"/>
                                      <w:marTop w:val="0"/>
                                      <w:marBottom w:val="0"/>
                                      <w:divBdr>
                                        <w:top w:val="none" w:sz="0" w:space="0" w:color="auto"/>
                                        <w:left w:val="none" w:sz="0" w:space="0" w:color="auto"/>
                                        <w:bottom w:val="none" w:sz="0" w:space="0" w:color="auto"/>
                                        <w:right w:val="none" w:sz="0" w:space="0" w:color="auto"/>
                                      </w:divBdr>
                                      <w:divsChild>
                                        <w:div w:id="1399940506">
                                          <w:marLeft w:val="0"/>
                                          <w:marRight w:val="0"/>
                                          <w:marTop w:val="0"/>
                                          <w:marBottom w:val="0"/>
                                          <w:divBdr>
                                            <w:top w:val="none" w:sz="0" w:space="0" w:color="auto"/>
                                            <w:left w:val="none" w:sz="0" w:space="0" w:color="auto"/>
                                            <w:bottom w:val="none" w:sz="0" w:space="0" w:color="auto"/>
                                            <w:right w:val="none" w:sz="0" w:space="0" w:color="auto"/>
                                          </w:divBdr>
                                        </w:div>
                                      </w:divsChild>
                                    </w:div>
                                    <w:div w:id="79913179">
                                      <w:marLeft w:val="0"/>
                                      <w:marRight w:val="0"/>
                                      <w:marTop w:val="0"/>
                                      <w:marBottom w:val="0"/>
                                      <w:divBdr>
                                        <w:top w:val="none" w:sz="0" w:space="0" w:color="auto"/>
                                        <w:left w:val="none" w:sz="0" w:space="0" w:color="auto"/>
                                        <w:bottom w:val="none" w:sz="0" w:space="0" w:color="auto"/>
                                        <w:right w:val="none" w:sz="0" w:space="0" w:color="auto"/>
                                      </w:divBdr>
                                      <w:divsChild>
                                        <w:div w:id="59640716">
                                          <w:marLeft w:val="0"/>
                                          <w:marRight w:val="0"/>
                                          <w:marTop w:val="0"/>
                                          <w:marBottom w:val="0"/>
                                          <w:divBdr>
                                            <w:top w:val="none" w:sz="0" w:space="0" w:color="auto"/>
                                            <w:left w:val="none" w:sz="0" w:space="0" w:color="auto"/>
                                            <w:bottom w:val="none" w:sz="0" w:space="0" w:color="auto"/>
                                            <w:right w:val="none" w:sz="0" w:space="0" w:color="auto"/>
                                          </w:divBdr>
                                        </w:div>
                                      </w:divsChild>
                                    </w:div>
                                    <w:div w:id="508101345">
                                      <w:marLeft w:val="0"/>
                                      <w:marRight w:val="0"/>
                                      <w:marTop w:val="0"/>
                                      <w:marBottom w:val="0"/>
                                      <w:divBdr>
                                        <w:top w:val="none" w:sz="0" w:space="0" w:color="auto"/>
                                        <w:left w:val="none" w:sz="0" w:space="0" w:color="auto"/>
                                        <w:bottom w:val="none" w:sz="0" w:space="0" w:color="auto"/>
                                        <w:right w:val="none" w:sz="0" w:space="0" w:color="auto"/>
                                      </w:divBdr>
                                      <w:divsChild>
                                        <w:div w:id="1529367051">
                                          <w:marLeft w:val="0"/>
                                          <w:marRight w:val="0"/>
                                          <w:marTop w:val="0"/>
                                          <w:marBottom w:val="0"/>
                                          <w:divBdr>
                                            <w:top w:val="none" w:sz="0" w:space="0" w:color="auto"/>
                                            <w:left w:val="none" w:sz="0" w:space="0" w:color="auto"/>
                                            <w:bottom w:val="none" w:sz="0" w:space="0" w:color="auto"/>
                                            <w:right w:val="none" w:sz="0" w:space="0" w:color="auto"/>
                                          </w:divBdr>
                                        </w:div>
                                      </w:divsChild>
                                    </w:div>
                                    <w:div w:id="224221799">
                                      <w:marLeft w:val="0"/>
                                      <w:marRight w:val="0"/>
                                      <w:marTop w:val="0"/>
                                      <w:marBottom w:val="0"/>
                                      <w:divBdr>
                                        <w:top w:val="none" w:sz="0" w:space="0" w:color="auto"/>
                                        <w:left w:val="none" w:sz="0" w:space="0" w:color="auto"/>
                                        <w:bottom w:val="none" w:sz="0" w:space="0" w:color="auto"/>
                                        <w:right w:val="none" w:sz="0" w:space="0" w:color="auto"/>
                                      </w:divBdr>
                                      <w:divsChild>
                                        <w:div w:id="18071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78112">
                                  <w:marLeft w:val="0"/>
                                  <w:marRight w:val="0"/>
                                  <w:marTop w:val="0"/>
                                  <w:marBottom w:val="0"/>
                                  <w:divBdr>
                                    <w:top w:val="none" w:sz="0" w:space="0" w:color="auto"/>
                                    <w:left w:val="none" w:sz="0" w:space="0" w:color="auto"/>
                                    <w:bottom w:val="none" w:sz="0" w:space="0" w:color="auto"/>
                                    <w:right w:val="none" w:sz="0" w:space="0" w:color="auto"/>
                                  </w:divBdr>
                                  <w:divsChild>
                                    <w:div w:id="63066853">
                                      <w:marLeft w:val="0"/>
                                      <w:marRight w:val="0"/>
                                      <w:marTop w:val="0"/>
                                      <w:marBottom w:val="0"/>
                                      <w:divBdr>
                                        <w:top w:val="none" w:sz="0" w:space="0" w:color="auto"/>
                                        <w:left w:val="none" w:sz="0" w:space="0" w:color="auto"/>
                                        <w:bottom w:val="none" w:sz="0" w:space="0" w:color="auto"/>
                                        <w:right w:val="none" w:sz="0" w:space="0" w:color="auto"/>
                                      </w:divBdr>
                                    </w:div>
                                    <w:div w:id="1391615350">
                                      <w:marLeft w:val="0"/>
                                      <w:marRight w:val="0"/>
                                      <w:marTop w:val="0"/>
                                      <w:marBottom w:val="0"/>
                                      <w:divBdr>
                                        <w:top w:val="none" w:sz="0" w:space="0" w:color="auto"/>
                                        <w:left w:val="none" w:sz="0" w:space="0" w:color="auto"/>
                                        <w:bottom w:val="none" w:sz="0" w:space="0" w:color="auto"/>
                                        <w:right w:val="none" w:sz="0" w:space="0" w:color="auto"/>
                                      </w:divBdr>
                                      <w:divsChild>
                                        <w:div w:id="1195658221">
                                          <w:marLeft w:val="0"/>
                                          <w:marRight w:val="0"/>
                                          <w:marTop w:val="0"/>
                                          <w:marBottom w:val="0"/>
                                          <w:divBdr>
                                            <w:top w:val="none" w:sz="0" w:space="0" w:color="auto"/>
                                            <w:left w:val="none" w:sz="0" w:space="0" w:color="auto"/>
                                            <w:bottom w:val="none" w:sz="0" w:space="0" w:color="auto"/>
                                            <w:right w:val="none" w:sz="0" w:space="0" w:color="auto"/>
                                          </w:divBdr>
                                        </w:div>
                                      </w:divsChild>
                                    </w:div>
                                    <w:div w:id="2170785">
                                      <w:marLeft w:val="0"/>
                                      <w:marRight w:val="0"/>
                                      <w:marTop w:val="0"/>
                                      <w:marBottom w:val="0"/>
                                      <w:divBdr>
                                        <w:top w:val="none" w:sz="0" w:space="0" w:color="auto"/>
                                        <w:left w:val="none" w:sz="0" w:space="0" w:color="auto"/>
                                        <w:bottom w:val="none" w:sz="0" w:space="0" w:color="auto"/>
                                        <w:right w:val="none" w:sz="0" w:space="0" w:color="auto"/>
                                      </w:divBdr>
                                      <w:divsChild>
                                        <w:div w:id="658778235">
                                          <w:marLeft w:val="0"/>
                                          <w:marRight w:val="0"/>
                                          <w:marTop w:val="0"/>
                                          <w:marBottom w:val="0"/>
                                          <w:divBdr>
                                            <w:top w:val="none" w:sz="0" w:space="0" w:color="auto"/>
                                            <w:left w:val="none" w:sz="0" w:space="0" w:color="auto"/>
                                            <w:bottom w:val="none" w:sz="0" w:space="0" w:color="auto"/>
                                            <w:right w:val="none" w:sz="0" w:space="0" w:color="auto"/>
                                          </w:divBdr>
                                        </w:div>
                                      </w:divsChild>
                                    </w:div>
                                    <w:div w:id="2111196552">
                                      <w:marLeft w:val="0"/>
                                      <w:marRight w:val="0"/>
                                      <w:marTop w:val="0"/>
                                      <w:marBottom w:val="0"/>
                                      <w:divBdr>
                                        <w:top w:val="none" w:sz="0" w:space="0" w:color="auto"/>
                                        <w:left w:val="none" w:sz="0" w:space="0" w:color="auto"/>
                                        <w:bottom w:val="none" w:sz="0" w:space="0" w:color="auto"/>
                                        <w:right w:val="none" w:sz="0" w:space="0" w:color="auto"/>
                                      </w:divBdr>
                                      <w:divsChild>
                                        <w:div w:id="1776943648">
                                          <w:marLeft w:val="0"/>
                                          <w:marRight w:val="0"/>
                                          <w:marTop w:val="0"/>
                                          <w:marBottom w:val="0"/>
                                          <w:divBdr>
                                            <w:top w:val="none" w:sz="0" w:space="0" w:color="auto"/>
                                            <w:left w:val="none" w:sz="0" w:space="0" w:color="auto"/>
                                            <w:bottom w:val="none" w:sz="0" w:space="0" w:color="auto"/>
                                            <w:right w:val="none" w:sz="0" w:space="0" w:color="auto"/>
                                          </w:divBdr>
                                        </w:div>
                                      </w:divsChild>
                                    </w:div>
                                    <w:div w:id="1163397599">
                                      <w:marLeft w:val="0"/>
                                      <w:marRight w:val="0"/>
                                      <w:marTop w:val="0"/>
                                      <w:marBottom w:val="0"/>
                                      <w:divBdr>
                                        <w:top w:val="none" w:sz="0" w:space="0" w:color="auto"/>
                                        <w:left w:val="none" w:sz="0" w:space="0" w:color="auto"/>
                                        <w:bottom w:val="none" w:sz="0" w:space="0" w:color="auto"/>
                                        <w:right w:val="none" w:sz="0" w:space="0" w:color="auto"/>
                                      </w:divBdr>
                                      <w:divsChild>
                                        <w:div w:id="699937554">
                                          <w:marLeft w:val="0"/>
                                          <w:marRight w:val="0"/>
                                          <w:marTop w:val="0"/>
                                          <w:marBottom w:val="0"/>
                                          <w:divBdr>
                                            <w:top w:val="none" w:sz="0" w:space="0" w:color="auto"/>
                                            <w:left w:val="none" w:sz="0" w:space="0" w:color="auto"/>
                                            <w:bottom w:val="none" w:sz="0" w:space="0" w:color="auto"/>
                                            <w:right w:val="none" w:sz="0" w:space="0" w:color="auto"/>
                                          </w:divBdr>
                                          <w:divsChild>
                                            <w:div w:id="709888058">
                                              <w:marLeft w:val="0"/>
                                              <w:marRight w:val="0"/>
                                              <w:marTop w:val="0"/>
                                              <w:marBottom w:val="0"/>
                                              <w:divBdr>
                                                <w:top w:val="none" w:sz="0" w:space="0" w:color="auto"/>
                                                <w:left w:val="none" w:sz="0" w:space="0" w:color="auto"/>
                                                <w:bottom w:val="none" w:sz="0" w:space="0" w:color="auto"/>
                                                <w:right w:val="none" w:sz="0" w:space="0" w:color="auto"/>
                                              </w:divBdr>
                                              <w:divsChild>
                                                <w:div w:id="69229874">
                                                  <w:marLeft w:val="0"/>
                                                  <w:marRight w:val="0"/>
                                                  <w:marTop w:val="120"/>
                                                  <w:marBottom w:val="0"/>
                                                  <w:divBdr>
                                                    <w:top w:val="none" w:sz="0" w:space="0" w:color="auto"/>
                                                    <w:left w:val="none" w:sz="0" w:space="0" w:color="auto"/>
                                                    <w:bottom w:val="none" w:sz="0" w:space="0" w:color="auto"/>
                                                    <w:right w:val="none" w:sz="0" w:space="0" w:color="auto"/>
                                                  </w:divBdr>
                                                </w:div>
                                                <w:div w:id="1575050161">
                                                  <w:marLeft w:val="0"/>
                                                  <w:marRight w:val="0"/>
                                                  <w:marTop w:val="0"/>
                                                  <w:marBottom w:val="0"/>
                                                  <w:divBdr>
                                                    <w:top w:val="none" w:sz="0" w:space="0" w:color="auto"/>
                                                    <w:left w:val="none" w:sz="0" w:space="0" w:color="auto"/>
                                                    <w:bottom w:val="none" w:sz="0" w:space="0" w:color="auto"/>
                                                    <w:right w:val="none" w:sz="0" w:space="0" w:color="auto"/>
                                                  </w:divBdr>
                                                </w:div>
                                              </w:divsChild>
                                            </w:div>
                                            <w:div w:id="267665281">
                                              <w:marLeft w:val="0"/>
                                              <w:marRight w:val="0"/>
                                              <w:marTop w:val="0"/>
                                              <w:marBottom w:val="0"/>
                                              <w:divBdr>
                                                <w:top w:val="none" w:sz="0" w:space="0" w:color="auto"/>
                                                <w:left w:val="none" w:sz="0" w:space="0" w:color="auto"/>
                                                <w:bottom w:val="none" w:sz="0" w:space="0" w:color="auto"/>
                                                <w:right w:val="none" w:sz="0" w:space="0" w:color="auto"/>
                                              </w:divBdr>
                                              <w:divsChild>
                                                <w:div w:id="827404653">
                                                  <w:marLeft w:val="0"/>
                                                  <w:marRight w:val="0"/>
                                                  <w:marTop w:val="120"/>
                                                  <w:marBottom w:val="0"/>
                                                  <w:divBdr>
                                                    <w:top w:val="none" w:sz="0" w:space="0" w:color="auto"/>
                                                    <w:left w:val="none" w:sz="0" w:space="0" w:color="auto"/>
                                                    <w:bottom w:val="none" w:sz="0" w:space="0" w:color="auto"/>
                                                    <w:right w:val="none" w:sz="0" w:space="0" w:color="auto"/>
                                                  </w:divBdr>
                                                </w:div>
                                                <w:div w:id="982854312">
                                                  <w:marLeft w:val="0"/>
                                                  <w:marRight w:val="0"/>
                                                  <w:marTop w:val="0"/>
                                                  <w:marBottom w:val="0"/>
                                                  <w:divBdr>
                                                    <w:top w:val="none" w:sz="0" w:space="0" w:color="auto"/>
                                                    <w:left w:val="none" w:sz="0" w:space="0" w:color="auto"/>
                                                    <w:bottom w:val="none" w:sz="0" w:space="0" w:color="auto"/>
                                                    <w:right w:val="none" w:sz="0" w:space="0" w:color="auto"/>
                                                  </w:divBdr>
                                                </w:div>
                                              </w:divsChild>
                                            </w:div>
                                            <w:div w:id="835846352">
                                              <w:marLeft w:val="0"/>
                                              <w:marRight w:val="0"/>
                                              <w:marTop w:val="0"/>
                                              <w:marBottom w:val="0"/>
                                              <w:divBdr>
                                                <w:top w:val="none" w:sz="0" w:space="0" w:color="auto"/>
                                                <w:left w:val="none" w:sz="0" w:space="0" w:color="auto"/>
                                                <w:bottom w:val="none" w:sz="0" w:space="0" w:color="auto"/>
                                                <w:right w:val="none" w:sz="0" w:space="0" w:color="auto"/>
                                              </w:divBdr>
                                              <w:divsChild>
                                                <w:div w:id="1529827863">
                                                  <w:marLeft w:val="0"/>
                                                  <w:marRight w:val="0"/>
                                                  <w:marTop w:val="120"/>
                                                  <w:marBottom w:val="0"/>
                                                  <w:divBdr>
                                                    <w:top w:val="none" w:sz="0" w:space="0" w:color="auto"/>
                                                    <w:left w:val="none" w:sz="0" w:space="0" w:color="auto"/>
                                                    <w:bottom w:val="none" w:sz="0" w:space="0" w:color="auto"/>
                                                    <w:right w:val="none" w:sz="0" w:space="0" w:color="auto"/>
                                                  </w:divBdr>
                                                </w:div>
                                                <w:div w:id="170937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8507">
                                      <w:marLeft w:val="0"/>
                                      <w:marRight w:val="0"/>
                                      <w:marTop w:val="0"/>
                                      <w:marBottom w:val="0"/>
                                      <w:divBdr>
                                        <w:top w:val="none" w:sz="0" w:space="0" w:color="auto"/>
                                        <w:left w:val="none" w:sz="0" w:space="0" w:color="auto"/>
                                        <w:bottom w:val="none" w:sz="0" w:space="0" w:color="auto"/>
                                        <w:right w:val="none" w:sz="0" w:space="0" w:color="auto"/>
                                      </w:divBdr>
                                      <w:divsChild>
                                        <w:div w:id="88749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41631">
                                  <w:marLeft w:val="0"/>
                                  <w:marRight w:val="0"/>
                                  <w:marTop w:val="0"/>
                                  <w:marBottom w:val="0"/>
                                  <w:divBdr>
                                    <w:top w:val="none" w:sz="0" w:space="0" w:color="auto"/>
                                    <w:left w:val="none" w:sz="0" w:space="0" w:color="auto"/>
                                    <w:bottom w:val="none" w:sz="0" w:space="0" w:color="auto"/>
                                    <w:right w:val="none" w:sz="0" w:space="0" w:color="auto"/>
                                  </w:divBdr>
                                  <w:divsChild>
                                    <w:div w:id="700663235">
                                      <w:marLeft w:val="0"/>
                                      <w:marRight w:val="0"/>
                                      <w:marTop w:val="0"/>
                                      <w:marBottom w:val="0"/>
                                      <w:divBdr>
                                        <w:top w:val="none" w:sz="0" w:space="0" w:color="auto"/>
                                        <w:left w:val="none" w:sz="0" w:space="0" w:color="auto"/>
                                        <w:bottom w:val="none" w:sz="0" w:space="0" w:color="auto"/>
                                        <w:right w:val="none" w:sz="0" w:space="0" w:color="auto"/>
                                      </w:divBdr>
                                    </w:div>
                                    <w:div w:id="523134116">
                                      <w:marLeft w:val="0"/>
                                      <w:marRight w:val="0"/>
                                      <w:marTop w:val="0"/>
                                      <w:marBottom w:val="0"/>
                                      <w:divBdr>
                                        <w:top w:val="none" w:sz="0" w:space="0" w:color="auto"/>
                                        <w:left w:val="none" w:sz="0" w:space="0" w:color="auto"/>
                                        <w:bottom w:val="none" w:sz="0" w:space="0" w:color="auto"/>
                                        <w:right w:val="none" w:sz="0" w:space="0" w:color="auto"/>
                                      </w:divBdr>
                                      <w:divsChild>
                                        <w:div w:id="1821537779">
                                          <w:marLeft w:val="0"/>
                                          <w:marRight w:val="0"/>
                                          <w:marTop w:val="0"/>
                                          <w:marBottom w:val="0"/>
                                          <w:divBdr>
                                            <w:top w:val="none" w:sz="0" w:space="0" w:color="auto"/>
                                            <w:left w:val="none" w:sz="0" w:space="0" w:color="auto"/>
                                            <w:bottom w:val="none" w:sz="0" w:space="0" w:color="auto"/>
                                            <w:right w:val="none" w:sz="0" w:space="0" w:color="auto"/>
                                          </w:divBdr>
                                        </w:div>
                                      </w:divsChild>
                                    </w:div>
                                    <w:div w:id="1034499026">
                                      <w:marLeft w:val="0"/>
                                      <w:marRight w:val="0"/>
                                      <w:marTop w:val="0"/>
                                      <w:marBottom w:val="0"/>
                                      <w:divBdr>
                                        <w:top w:val="none" w:sz="0" w:space="0" w:color="auto"/>
                                        <w:left w:val="none" w:sz="0" w:space="0" w:color="auto"/>
                                        <w:bottom w:val="none" w:sz="0" w:space="0" w:color="auto"/>
                                        <w:right w:val="none" w:sz="0" w:space="0" w:color="auto"/>
                                      </w:divBdr>
                                      <w:divsChild>
                                        <w:div w:id="80639449">
                                          <w:marLeft w:val="0"/>
                                          <w:marRight w:val="0"/>
                                          <w:marTop w:val="0"/>
                                          <w:marBottom w:val="0"/>
                                          <w:divBdr>
                                            <w:top w:val="none" w:sz="0" w:space="0" w:color="auto"/>
                                            <w:left w:val="none" w:sz="0" w:space="0" w:color="auto"/>
                                            <w:bottom w:val="none" w:sz="0" w:space="0" w:color="auto"/>
                                            <w:right w:val="none" w:sz="0" w:space="0" w:color="auto"/>
                                          </w:divBdr>
                                        </w:div>
                                      </w:divsChild>
                                    </w:div>
                                    <w:div w:id="1793669563">
                                      <w:marLeft w:val="0"/>
                                      <w:marRight w:val="0"/>
                                      <w:marTop w:val="0"/>
                                      <w:marBottom w:val="0"/>
                                      <w:divBdr>
                                        <w:top w:val="none" w:sz="0" w:space="0" w:color="auto"/>
                                        <w:left w:val="none" w:sz="0" w:space="0" w:color="auto"/>
                                        <w:bottom w:val="none" w:sz="0" w:space="0" w:color="auto"/>
                                        <w:right w:val="none" w:sz="0" w:space="0" w:color="auto"/>
                                      </w:divBdr>
                                      <w:divsChild>
                                        <w:div w:id="155146906">
                                          <w:marLeft w:val="0"/>
                                          <w:marRight w:val="0"/>
                                          <w:marTop w:val="0"/>
                                          <w:marBottom w:val="0"/>
                                          <w:divBdr>
                                            <w:top w:val="none" w:sz="0" w:space="0" w:color="auto"/>
                                            <w:left w:val="none" w:sz="0" w:space="0" w:color="auto"/>
                                            <w:bottom w:val="none" w:sz="0" w:space="0" w:color="auto"/>
                                            <w:right w:val="none" w:sz="0" w:space="0" w:color="auto"/>
                                          </w:divBdr>
                                        </w:div>
                                      </w:divsChild>
                                    </w:div>
                                    <w:div w:id="183984004">
                                      <w:marLeft w:val="0"/>
                                      <w:marRight w:val="0"/>
                                      <w:marTop w:val="0"/>
                                      <w:marBottom w:val="0"/>
                                      <w:divBdr>
                                        <w:top w:val="none" w:sz="0" w:space="0" w:color="auto"/>
                                        <w:left w:val="none" w:sz="0" w:space="0" w:color="auto"/>
                                        <w:bottom w:val="none" w:sz="0" w:space="0" w:color="auto"/>
                                        <w:right w:val="none" w:sz="0" w:space="0" w:color="auto"/>
                                      </w:divBdr>
                                      <w:divsChild>
                                        <w:div w:id="12241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80501">
                                  <w:marLeft w:val="0"/>
                                  <w:marRight w:val="0"/>
                                  <w:marTop w:val="0"/>
                                  <w:marBottom w:val="0"/>
                                  <w:divBdr>
                                    <w:top w:val="none" w:sz="0" w:space="0" w:color="auto"/>
                                    <w:left w:val="none" w:sz="0" w:space="0" w:color="auto"/>
                                    <w:bottom w:val="none" w:sz="0" w:space="0" w:color="auto"/>
                                    <w:right w:val="none" w:sz="0" w:space="0" w:color="auto"/>
                                  </w:divBdr>
                                  <w:divsChild>
                                    <w:div w:id="1091656160">
                                      <w:marLeft w:val="0"/>
                                      <w:marRight w:val="0"/>
                                      <w:marTop w:val="0"/>
                                      <w:marBottom w:val="0"/>
                                      <w:divBdr>
                                        <w:top w:val="none" w:sz="0" w:space="0" w:color="auto"/>
                                        <w:left w:val="none" w:sz="0" w:space="0" w:color="auto"/>
                                        <w:bottom w:val="none" w:sz="0" w:space="0" w:color="auto"/>
                                        <w:right w:val="none" w:sz="0" w:space="0" w:color="auto"/>
                                      </w:divBdr>
                                    </w:div>
                                    <w:div w:id="260913064">
                                      <w:marLeft w:val="0"/>
                                      <w:marRight w:val="0"/>
                                      <w:marTop w:val="0"/>
                                      <w:marBottom w:val="0"/>
                                      <w:divBdr>
                                        <w:top w:val="none" w:sz="0" w:space="0" w:color="auto"/>
                                        <w:left w:val="none" w:sz="0" w:space="0" w:color="auto"/>
                                        <w:bottom w:val="none" w:sz="0" w:space="0" w:color="auto"/>
                                        <w:right w:val="none" w:sz="0" w:space="0" w:color="auto"/>
                                      </w:divBdr>
                                      <w:divsChild>
                                        <w:div w:id="319771611">
                                          <w:marLeft w:val="0"/>
                                          <w:marRight w:val="0"/>
                                          <w:marTop w:val="0"/>
                                          <w:marBottom w:val="0"/>
                                          <w:divBdr>
                                            <w:top w:val="none" w:sz="0" w:space="0" w:color="auto"/>
                                            <w:left w:val="none" w:sz="0" w:space="0" w:color="auto"/>
                                            <w:bottom w:val="none" w:sz="0" w:space="0" w:color="auto"/>
                                            <w:right w:val="none" w:sz="0" w:space="0" w:color="auto"/>
                                          </w:divBdr>
                                        </w:div>
                                      </w:divsChild>
                                    </w:div>
                                    <w:div w:id="1777628372">
                                      <w:marLeft w:val="0"/>
                                      <w:marRight w:val="0"/>
                                      <w:marTop w:val="0"/>
                                      <w:marBottom w:val="0"/>
                                      <w:divBdr>
                                        <w:top w:val="none" w:sz="0" w:space="0" w:color="auto"/>
                                        <w:left w:val="none" w:sz="0" w:space="0" w:color="auto"/>
                                        <w:bottom w:val="none" w:sz="0" w:space="0" w:color="auto"/>
                                        <w:right w:val="none" w:sz="0" w:space="0" w:color="auto"/>
                                      </w:divBdr>
                                      <w:divsChild>
                                        <w:div w:id="83252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9344">
                                  <w:marLeft w:val="0"/>
                                  <w:marRight w:val="0"/>
                                  <w:marTop w:val="0"/>
                                  <w:marBottom w:val="0"/>
                                  <w:divBdr>
                                    <w:top w:val="none" w:sz="0" w:space="0" w:color="auto"/>
                                    <w:left w:val="none" w:sz="0" w:space="0" w:color="auto"/>
                                    <w:bottom w:val="none" w:sz="0" w:space="0" w:color="auto"/>
                                    <w:right w:val="none" w:sz="0" w:space="0" w:color="auto"/>
                                  </w:divBdr>
                                  <w:divsChild>
                                    <w:div w:id="1634945020">
                                      <w:marLeft w:val="0"/>
                                      <w:marRight w:val="0"/>
                                      <w:marTop w:val="0"/>
                                      <w:marBottom w:val="0"/>
                                      <w:divBdr>
                                        <w:top w:val="none" w:sz="0" w:space="0" w:color="auto"/>
                                        <w:left w:val="none" w:sz="0" w:space="0" w:color="auto"/>
                                        <w:bottom w:val="none" w:sz="0" w:space="0" w:color="auto"/>
                                        <w:right w:val="none" w:sz="0" w:space="0" w:color="auto"/>
                                      </w:divBdr>
                                    </w:div>
                                    <w:div w:id="472990191">
                                      <w:marLeft w:val="0"/>
                                      <w:marRight w:val="0"/>
                                      <w:marTop w:val="0"/>
                                      <w:marBottom w:val="0"/>
                                      <w:divBdr>
                                        <w:top w:val="none" w:sz="0" w:space="0" w:color="auto"/>
                                        <w:left w:val="none" w:sz="0" w:space="0" w:color="auto"/>
                                        <w:bottom w:val="none" w:sz="0" w:space="0" w:color="auto"/>
                                        <w:right w:val="none" w:sz="0" w:space="0" w:color="auto"/>
                                      </w:divBdr>
                                      <w:divsChild>
                                        <w:div w:id="1036733239">
                                          <w:marLeft w:val="0"/>
                                          <w:marRight w:val="0"/>
                                          <w:marTop w:val="0"/>
                                          <w:marBottom w:val="0"/>
                                          <w:divBdr>
                                            <w:top w:val="none" w:sz="0" w:space="0" w:color="auto"/>
                                            <w:left w:val="none" w:sz="0" w:space="0" w:color="auto"/>
                                            <w:bottom w:val="none" w:sz="0" w:space="0" w:color="auto"/>
                                            <w:right w:val="none" w:sz="0" w:space="0" w:color="auto"/>
                                          </w:divBdr>
                                        </w:div>
                                      </w:divsChild>
                                    </w:div>
                                    <w:div w:id="184711247">
                                      <w:marLeft w:val="0"/>
                                      <w:marRight w:val="0"/>
                                      <w:marTop w:val="0"/>
                                      <w:marBottom w:val="0"/>
                                      <w:divBdr>
                                        <w:top w:val="none" w:sz="0" w:space="0" w:color="auto"/>
                                        <w:left w:val="none" w:sz="0" w:space="0" w:color="auto"/>
                                        <w:bottom w:val="none" w:sz="0" w:space="0" w:color="auto"/>
                                        <w:right w:val="none" w:sz="0" w:space="0" w:color="auto"/>
                                      </w:divBdr>
                                      <w:divsChild>
                                        <w:div w:id="2118989017">
                                          <w:marLeft w:val="0"/>
                                          <w:marRight w:val="0"/>
                                          <w:marTop w:val="0"/>
                                          <w:marBottom w:val="0"/>
                                          <w:divBdr>
                                            <w:top w:val="none" w:sz="0" w:space="0" w:color="auto"/>
                                            <w:left w:val="none" w:sz="0" w:space="0" w:color="auto"/>
                                            <w:bottom w:val="none" w:sz="0" w:space="0" w:color="auto"/>
                                            <w:right w:val="none" w:sz="0" w:space="0" w:color="auto"/>
                                          </w:divBdr>
                                        </w:div>
                                      </w:divsChild>
                                    </w:div>
                                    <w:div w:id="1307587224">
                                      <w:marLeft w:val="0"/>
                                      <w:marRight w:val="0"/>
                                      <w:marTop w:val="0"/>
                                      <w:marBottom w:val="0"/>
                                      <w:divBdr>
                                        <w:top w:val="none" w:sz="0" w:space="0" w:color="auto"/>
                                        <w:left w:val="none" w:sz="0" w:space="0" w:color="auto"/>
                                        <w:bottom w:val="none" w:sz="0" w:space="0" w:color="auto"/>
                                        <w:right w:val="none" w:sz="0" w:space="0" w:color="auto"/>
                                      </w:divBdr>
                                      <w:divsChild>
                                        <w:div w:id="716124923">
                                          <w:marLeft w:val="0"/>
                                          <w:marRight w:val="0"/>
                                          <w:marTop w:val="0"/>
                                          <w:marBottom w:val="0"/>
                                          <w:divBdr>
                                            <w:top w:val="none" w:sz="0" w:space="0" w:color="auto"/>
                                            <w:left w:val="none" w:sz="0" w:space="0" w:color="auto"/>
                                            <w:bottom w:val="none" w:sz="0" w:space="0" w:color="auto"/>
                                            <w:right w:val="none" w:sz="0" w:space="0" w:color="auto"/>
                                          </w:divBdr>
                                        </w:div>
                                      </w:divsChild>
                                    </w:div>
                                    <w:div w:id="1958833649">
                                      <w:marLeft w:val="0"/>
                                      <w:marRight w:val="0"/>
                                      <w:marTop w:val="0"/>
                                      <w:marBottom w:val="0"/>
                                      <w:divBdr>
                                        <w:top w:val="none" w:sz="0" w:space="0" w:color="auto"/>
                                        <w:left w:val="none" w:sz="0" w:space="0" w:color="auto"/>
                                        <w:bottom w:val="none" w:sz="0" w:space="0" w:color="auto"/>
                                        <w:right w:val="none" w:sz="0" w:space="0" w:color="auto"/>
                                      </w:divBdr>
                                      <w:divsChild>
                                        <w:div w:id="359555125">
                                          <w:marLeft w:val="0"/>
                                          <w:marRight w:val="0"/>
                                          <w:marTop w:val="0"/>
                                          <w:marBottom w:val="0"/>
                                          <w:divBdr>
                                            <w:top w:val="none" w:sz="0" w:space="0" w:color="auto"/>
                                            <w:left w:val="none" w:sz="0" w:space="0" w:color="auto"/>
                                            <w:bottom w:val="none" w:sz="0" w:space="0" w:color="auto"/>
                                            <w:right w:val="none" w:sz="0" w:space="0" w:color="auto"/>
                                          </w:divBdr>
                                        </w:div>
                                      </w:divsChild>
                                    </w:div>
                                    <w:div w:id="311061571">
                                      <w:marLeft w:val="0"/>
                                      <w:marRight w:val="0"/>
                                      <w:marTop w:val="0"/>
                                      <w:marBottom w:val="0"/>
                                      <w:divBdr>
                                        <w:top w:val="none" w:sz="0" w:space="0" w:color="auto"/>
                                        <w:left w:val="none" w:sz="0" w:space="0" w:color="auto"/>
                                        <w:bottom w:val="none" w:sz="0" w:space="0" w:color="auto"/>
                                        <w:right w:val="none" w:sz="0" w:space="0" w:color="auto"/>
                                      </w:divBdr>
                                      <w:divsChild>
                                        <w:div w:id="62218481">
                                          <w:marLeft w:val="0"/>
                                          <w:marRight w:val="0"/>
                                          <w:marTop w:val="0"/>
                                          <w:marBottom w:val="0"/>
                                          <w:divBdr>
                                            <w:top w:val="none" w:sz="0" w:space="0" w:color="auto"/>
                                            <w:left w:val="none" w:sz="0" w:space="0" w:color="auto"/>
                                            <w:bottom w:val="none" w:sz="0" w:space="0" w:color="auto"/>
                                            <w:right w:val="none" w:sz="0" w:space="0" w:color="auto"/>
                                          </w:divBdr>
                                          <w:divsChild>
                                            <w:div w:id="1670670845">
                                              <w:marLeft w:val="0"/>
                                              <w:marRight w:val="0"/>
                                              <w:marTop w:val="0"/>
                                              <w:marBottom w:val="0"/>
                                              <w:divBdr>
                                                <w:top w:val="none" w:sz="0" w:space="0" w:color="auto"/>
                                                <w:left w:val="none" w:sz="0" w:space="0" w:color="auto"/>
                                                <w:bottom w:val="none" w:sz="0" w:space="0" w:color="auto"/>
                                                <w:right w:val="none" w:sz="0" w:space="0" w:color="auto"/>
                                              </w:divBdr>
                                              <w:divsChild>
                                                <w:div w:id="1308314019">
                                                  <w:marLeft w:val="0"/>
                                                  <w:marRight w:val="0"/>
                                                  <w:marTop w:val="120"/>
                                                  <w:marBottom w:val="0"/>
                                                  <w:divBdr>
                                                    <w:top w:val="none" w:sz="0" w:space="0" w:color="auto"/>
                                                    <w:left w:val="none" w:sz="0" w:space="0" w:color="auto"/>
                                                    <w:bottom w:val="none" w:sz="0" w:space="0" w:color="auto"/>
                                                    <w:right w:val="none" w:sz="0" w:space="0" w:color="auto"/>
                                                  </w:divBdr>
                                                </w:div>
                                                <w:div w:id="70007147">
                                                  <w:marLeft w:val="0"/>
                                                  <w:marRight w:val="0"/>
                                                  <w:marTop w:val="0"/>
                                                  <w:marBottom w:val="0"/>
                                                  <w:divBdr>
                                                    <w:top w:val="none" w:sz="0" w:space="0" w:color="auto"/>
                                                    <w:left w:val="none" w:sz="0" w:space="0" w:color="auto"/>
                                                    <w:bottom w:val="none" w:sz="0" w:space="0" w:color="auto"/>
                                                    <w:right w:val="none" w:sz="0" w:space="0" w:color="auto"/>
                                                  </w:divBdr>
                                                </w:div>
                                              </w:divsChild>
                                            </w:div>
                                            <w:div w:id="1850559849">
                                              <w:marLeft w:val="0"/>
                                              <w:marRight w:val="0"/>
                                              <w:marTop w:val="0"/>
                                              <w:marBottom w:val="0"/>
                                              <w:divBdr>
                                                <w:top w:val="none" w:sz="0" w:space="0" w:color="auto"/>
                                                <w:left w:val="none" w:sz="0" w:space="0" w:color="auto"/>
                                                <w:bottom w:val="none" w:sz="0" w:space="0" w:color="auto"/>
                                                <w:right w:val="none" w:sz="0" w:space="0" w:color="auto"/>
                                              </w:divBdr>
                                              <w:divsChild>
                                                <w:div w:id="913314620">
                                                  <w:marLeft w:val="0"/>
                                                  <w:marRight w:val="0"/>
                                                  <w:marTop w:val="120"/>
                                                  <w:marBottom w:val="0"/>
                                                  <w:divBdr>
                                                    <w:top w:val="none" w:sz="0" w:space="0" w:color="auto"/>
                                                    <w:left w:val="none" w:sz="0" w:space="0" w:color="auto"/>
                                                    <w:bottom w:val="none" w:sz="0" w:space="0" w:color="auto"/>
                                                    <w:right w:val="none" w:sz="0" w:space="0" w:color="auto"/>
                                                  </w:divBdr>
                                                </w:div>
                                                <w:div w:id="2062316808">
                                                  <w:marLeft w:val="0"/>
                                                  <w:marRight w:val="0"/>
                                                  <w:marTop w:val="0"/>
                                                  <w:marBottom w:val="0"/>
                                                  <w:divBdr>
                                                    <w:top w:val="none" w:sz="0" w:space="0" w:color="auto"/>
                                                    <w:left w:val="none" w:sz="0" w:space="0" w:color="auto"/>
                                                    <w:bottom w:val="none" w:sz="0" w:space="0" w:color="auto"/>
                                                    <w:right w:val="none" w:sz="0" w:space="0" w:color="auto"/>
                                                  </w:divBdr>
                                                </w:div>
                                              </w:divsChild>
                                            </w:div>
                                            <w:div w:id="473916440">
                                              <w:marLeft w:val="0"/>
                                              <w:marRight w:val="0"/>
                                              <w:marTop w:val="0"/>
                                              <w:marBottom w:val="0"/>
                                              <w:divBdr>
                                                <w:top w:val="none" w:sz="0" w:space="0" w:color="auto"/>
                                                <w:left w:val="none" w:sz="0" w:space="0" w:color="auto"/>
                                                <w:bottom w:val="none" w:sz="0" w:space="0" w:color="auto"/>
                                                <w:right w:val="none" w:sz="0" w:space="0" w:color="auto"/>
                                              </w:divBdr>
                                              <w:divsChild>
                                                <w:div w:id="1480420464">
                                                  <w:marLeft w:val="0"/>
                                                  <w:marRight w:val="0"/>
                                                  <w:marTop w:val="120"/>
                                                  <w:marBottom w:val="0"/>
                                                  <w:divBdr>
                                                    <w:top w:val="none" w:sz="0" w:space="0" w:color="auto"/>
                                                    <w:left w:val="none" w:sz="0" w:space="0" w:color="auto"/>
                                                    <w:bottom w:val="none" w:sz="0" w:space="0" w:color="auto"/>
                                                    <w:right w:val="none" w:sz="0" w:space="0" w:color="auto"/>
                                                  </w:divBdr>
                                                </w:div>
                                                <w:div w:id="94673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23221">
                                      <w:marLeft w:val="0"/>
                                      <w:marRight w:val="0"/>
                                      <w:marTop w:val="0"/>
                                      <w:marBottom w:val="0"/>
                                      <w:divBdr>
                                        <w:top w:val="none" w:sz="0" w:space="0" w:color="auto"/>
                                        <w:left w:val="none" w:sz="0" w:space="0" w:color="auto"/>
                                        <w:bottom w:val="none" w:sz="0" w:space="0" w:color="auto"/>
                                        <w:right w:val="none" w:sz="0" w:space="0" w:color="auto"/>
                                      </w:divBdr>
                                      <w:divsChild>
                                        <w:div w:id="360208733">
                                          <w:marLeft w:val="0"/>
                                          <w:marRight w:val="0"/>
                                          <w:marTop w:val="0"/>
                                          <w:marBottom w:val="0"/>
                                          <w:divBdr>
                                            <w:top w:val="none" w:sz="0" w:space="0" w:color="auto"/>
                                            <w:left w:val="none" w:sz="0" w:space="0" w:color="auto"/>
                                            <w:bottom w:val="none" w:sz="0" w:space="0" w:color="auto"/>
                                            <w:right w:val="none" w:sz="0" w:space="0" w:color="auto"/>
                                          </w:divBdr>
                                          <w:divsChild>
                                            <w:div w:id="566065242">
                                              <w:marLeft w:val="0"/>
                                              <w:marRight w:val="0"/>
                                              <w:marTop w:val="0"/>
                                              <w:marBottom w:val="0"/>
                                              <w:divBdr>
                                                <w:top w:val="none" w:sz="0" w:space="0" w:color="auto"/>
                                                <w:left w:val="none" w:sz="0" w:space="0" w:color="auto"/>
                                                <w:bottom w:val="none" w:sz="0" w:space="0" w:color="auto"/>
                                                <w:right w:val="none" w:sz="0" w:space="0" w:color="auto"/>
                                              </w:divBdr>
                                              <w:divsChild>
                                                <w:div w:id="1540193871">
                                                  <w:marLeft w:val="0"/>
                                                  <w:marRight w:val="0"/>
                                                  <w:marTop w:val="120"/>
                                                  <w:marBottom w:val="0"/>
                                                  <w:divBdr>
                                                    <w:top w:val="none" w:sz="0" w:space="0" w:color="auto"/>
                                                    <w:left w:val="none" w:sz="0" w:space="0" w:color="auto"/>
                                                    <w:bottom w:val="none" w:sz="0" w:space="0" w:color="auto"/>
                                                    <w:right w:val="none" w:sz="0" w:space="0" w:color="auto"/>
                                                  </w:divBdr>
                                                </w:div>
                                                <w:div w:id="1345281235">
                                                  <w:marLeft w:val="0"/>
                                                  <w:marRight w:val="0"/>
                                                  <w:marTop w:val="0"/>
                                                  <w:marBottom w:val="0"/>
                                                  <w:divBdr>
                                                    <w:top w:val="none" w:sz="0" w:space="0" w:color="auto"/>
                                                    <w:left w:val="none" w:sz="0" w:space="0" w:color="auto"/>
                                                    <w:bottom w:val="none" w:sz="0" w:space="0" w:color="auto"/>
                                                    <w:right w:val="none" w:sz="0" w:space="0" w:color="auto"/>
                                                  </w:divBdr>
                                                </w:div>
                                              </w:divsChild>
                                            </w:div>
                                            <w:div w:id="1128352511">
                                              <w:marLeft w:val="0"/>
                                              <w:marRight w:val="0"/>
                                              <w:marTop w:val="0"/>
                                              <w:marBottom w:val="0"/>
                                              <w:divBdr>
                                                <w:top w:val="none" w:sz="0" w:space="0" w:color="auto"/>
                                                <w:left w:val="none" w:sz="0" w:space="0" w:color="auto"/>
                                                <w:bottom w:val="none" w:sz="0" w:space="0" w:color="auto"/>
                                                <w:right w:val="none" w:sz="0" w:space="0" w:color="auto"/>
                                              </w:divBdr>
                                              <w:divsChild>
                                                <w:div w:id="1128820324">
                                                  <w:marLeft w:val="0"/>
                                                  <w:marRight w:val="0"/>
                                                  <w:marTop w:val="120"/>
                                                  <w:marBottom w:val="0"/>
                                                  <w:divBdr>
                                                    <w:top w:val="none" w:sz="0" w:space="0" w:color="auto"/>
                                                    <w:left w:val="none" w:sz="0" w:space="0" w:color="auto"/>
                                                    <w:bottom w:val="none" w:sz="0" w:space="0" w:color="auto"/>
                                                    <w:right w:val="none" w:sz="0" w:space="0" w:color="auto"/>
                                                  </w:divBdr>
                                                </w:div>
                                                <w:div w:id="242178863">
                                                  <w:marLeft w:val="0"/>
                                                  <w:marRight w:val="0"/>
                                                  <w:marTop w:val="0"/>
                                                  <w:marBottom w:val="0"/>
                                                  <w:divBdr>
                                                    <w:top w:val="none" w:sz="0" w:space="0" w:color="auto"/>
                                                    <w:left w:val="none" w:sz="0" w:space="0" w:color="auto"/>
                                                    <w:bottom w:val="none" w:sz="0" w:space="0" w:color="auto"/>
                                                    <w:right w:val="none" w:sz="0" w:space="0" w:color="auto"/>
                                                  </w:divBdr>
                                                </w:div>
                                              </w:divsChild>
                                            </w:div>
                                            <w:div w:id="1736197449">
                                              <w:marLeft w:val="0"/>
                                              <w:marRight w:val="0"/>
                                              <w:marTop w:val="0"/>
                                              <w:marBottom w:val="0"/>
                                              <w:divBdr>
                                                <w:top w:val="none" w:sz="0" w:space="0" w:color="auto"/>
                                                <w:left w:val="none" w:sz="0" w:space="0" w:color="auto"/>
                                                <w:bottom w:val="none" w:sz="0" w:space="0" w:color="auto"/>
                                                <w:right w:val="none" w:sz="0" w:space="0" w:color="auto"/>
                                              </w:divBdr>
                                              <w:divsChild>
                                                <w:div w:id="920673006">
                                                  <w:marLeft w:val="0"/>
                                                  <w:marRight w:val="0"/>
                                                  <w:marTop w:val="120"/>
                                                  <w:marBottom w:val="0"/>
                                                  <w:divBdr>
                                                    <w:top w:val="none" w:sz="0" w:space="0" w:color="auto"/>
                                                    <w:left w:val="none" w:sz="0" w:space="0" w:color="auto"/>
                                                    <w:bottom w:val="none" w:sz="0" w:space="0" w:color="auto"/>
                                                    <w:right w:val="none" w:sz="0" w:space="0" w:color="auto"/>
                                                  </w:divBdr>
                                                </w:div>
                                                <w:div w:id="1897661259">
                                                  <w:marLeft w:val="0"/>
                                                  <w:marRight w:val="0"/>
                                                  <w:marTop w:val="0"/>
                                                  <w:marBottom w:val="0"/>
                                                  <w:divBdr>
                                                    <w:top w:val="none" w:sz="0" w:space="0" w:color="auto"/>
                                                    <w:left w:val="none" w:sz="0" w:space="0" w:color="auto"/>
                                                    <w:bottom w:val="none" w:sz="0" w:space="0" w:color="auto"/>
                                                    <w:right w:val="none" w:sz="0" w:space="0" w:color="auto"/>
                                                  </w:divBdr>
                                                </w:div>
                                              </w:divsChild>
                                            </w:div>
                                            <w:div w:id="2140759772">
                                              <w:marLeft w:val="0"/>
                                              <w:marRight w:val="0"/>
                                              <w:marTop w:val="0"/>
                                              <w:marBottom w:val="0"/>
                                              <w:divBdr>
                                                <w:top w:val="none" w:sz="0" w:space="0" w:color="auto"/>
                                                <w:left w:val="none" w:sz="0" w:space="0" w:color="auto"/>
                                                <w:bottom w:val="none" w:sz="0" w:space="0" w:color="auto"/>
                                                <w:right w:val="none" w:sz="0" w:space="0" w:color="auto"/>
                                              </w:divBdr>
                                              <w:divsChild>
                                                <w:div w:id="772433277">
                                                  <w:marLeft w:val="0"/>
                                                  <w:marRight w:val="0"/>
                                                  <w:marTop w:val="120"/>
                                                  <w:marBottom w:val="0"/>
                                                  <w:divBdr>
                                                    <w:top w:val="none" w:sz="0" w:space="0" w:color="auto"/>
                                                    <w:left w:val="none" w:sz="0" w:space="0" w:color="auto"/>
                                                    <w:bottom w:val="none" w:sz="0" w:space="0" w:color="auto"/>
                                                    <w:right w:val="none" w:sz="0" w:space="0" w:color="auto"/>
                                                  </w:divBdr>
                                                </w:div>
                                                <w:div w:id="222184212">
                                                  <w:marLeft w:val="0"/>
                                                  <w:marRight w:val="0"/>
                                                  <w:marTop w:val="0"/>
                                                  <w:marBottom w:val="0"/>
                                                  <w:divBdr>
                                                    <w:top w:val="none" w:sz="0" w:space="0" w:color="auto"/>
                                                    <w:left w:val="none" w:sz="0" w:space="0" w:color="auto"/>
                                                    <w:bottom w:val="none" w:sz="0" w:space="0" w:color="auto"/>
                                                    <w:right w:val="none" w:sz="0" w:space="0" w:color="auto"/>
                                                  </w:divBdr>
                                                </w:div>
                                              </w:divsChild>
                                            </w:div>
                                            <w:div w:id="1036661167">
                                              <w:marLeft w:val="0"/>
                                              <w:marRight w:val="0"/>
                                              <w:marTop w:val="0"/>
                                              <w:marBottom w:val="0"/>
                                              <w:divBdr>
                                                <w:top w:val="none" w:sz="0" w:space="0" w:color="auto"/>
                                                <w:left w:val="none" w:sz="0" w:space="0" w:color="auto"/>
                                                <w:bottom w:val="none" w:sz="0" w:space="0" w:color="auto"/>
                                                <w:right w:val="none" w:sz="0" w:space="0" w:color="auto"/>
                                              </w:divBdr>
                                              <w:divsChild>
                                                <w:div w:id="768282513">
                                                  <w:marLeft w:val="0"/>
                                                  <w:marRight w:val="0"/>
                                                  <w:marTop w:val="120"/>
                                                  <w:marBottom w:val="0"/>
                                                  <w:divBdr>
                                                    <w:top w:val="none" w:sz="0" w:space="0" w:color="auto"/>
                                                    <w:left w:val="none" w:sz="0" w:space="0" w:color="auto"/>
                                                    <w:bottom w:val="none" w:sz="0" w:space="0" w:color="auto"/>
                                                    <w:right w:val="none" w:sz="0" w:space="0" w:color="auto"/>
                                                  </w:divBdr>
                                                </w:div>
                                                <w:div w:id="12182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4903">
                                      <w:marLeft w:val="0"/>
                                      <w:marRight w:val="0"/>
                                      <w:marTop w:val="0"/>
                                      <w:marBottom w:val="0"/>
                                      <w:divBdr>
                                        <w:top w:val="none" w:sz="0" w:space="0" w:color="auto"/>
                                        <w:left w:val="none" w:sz="0" w:space="0" w:color="auto"/>
                                        <w:bottom w:val="none" w:sz="0" w:space="0" w:color="auto"/>
                                        <w:right w:val="none" w:sz="0" w:space="0" w:color="auto"/>
                                      </w:divBdr>
                                      <w:divsChild>
                                        <w:div w:id="885140166">
                                          <w:marLeft w:val="0"/>
                                          <w:marRight w:val="0"/>
                                          <w:marTop w:val="0"/>
                                          <w:marBottom w:val="0"/>
                                          <w:divBdr>
                                            <w:top w:val="none" w:sz="0" w:space="0" w:color="auto"/>
                                            <w:left w:val="none" w:sz="0" w:space="0" w:color="auto"/>
                                            <w:bottom w:val="none" w:sz="0" w:space="0" w:color="auto"/>
                                            <w:right w:val="none" w:sz="0" w:space="0" w:color="auto"/>
                                          </w:divBdr>
                                        </w:div>
                                      </w:divsChild>
                                    </w:div>
                                    <w:div w:id="1316110553">
                                      <w:marLeft w:val="0"/>
                                      <w:marRight w:val="0"/>
                                      <w:marTop w:val="0"/>
                                      <w:marBottom w:val="0"/>
                                      <w:divBdr>
                                        <w:top w:val="none" w:sz="0" w:space="0" w:color="auto"/>
                                        <w:left w:val="none" w:sz="0" w:space="0" w:color="auto"/>
                                        <w:bottom w:val="none" w:sz="0" w:space="0" w:color="auto"/>
                                        <w:right w:val="none" w:sz="0" w:space="0" w:color="auto"/>
                                      </w:divBdr>
                                      <w:divsChild>
                                        <w:div w:id="1077091155">
                                          <w:marLeft w:val="0"/>
                                          <w:marRight w:val="0"/>
                                          <w:marTop w:val="0"/>
                                          <w:marBottom w:val="0"/>
                                          <w:divBdr>
                                            <w:top w:val="none" w:sz="0" w:space="0" w:color="auto"/>
                                            <w:left w:val="none" w:sz="0" w:space="0" w:color="auto"/>
                                            <w:bottom w:val="none" w:sz="0" w:space="0" w:color="auto"/>
                                            <w:right w:val="none" w:sz="0" w:space="0" w:color="auto"/>
                                          </w:divBdr>
                                        </w:div>
                                      </w:divsChild>
                                    </w:div>
                                    <w:div w:id="1800143330">
                                      <w:marLeft w:val="0"/>
                                      <w:marRight w:val="0"/>
                                      <w:marTop w:val="0"/>
                                      <w:marBottom w:val="0"/>
                                      <w:divBdr>
                                        <w:top w:val="none" w:sz="0" w:space="0" w:color="auto"/>
                                        <w:left w:val="none" w:sz="0" w:space="0" w:color="auto"/>
                                        <w:bottom w:val="none" w:sz="0" w:space="0" w:color="auto"/>
                                        <w:right w:val="none" w:sz="0" w:space="0" w:color="auto"/>
                                      </w:divBdr>
                                      <w:divsChild>
                                        <w:div w:id="1918854461">
                                          <w:marLeft w:val="0"/>
                                          <w:marRight w:val="0"/>
                                          <w:marTop w:val="0"/>
                                          <w:marBottom w:val="0"/>
                                          <w:divBdr>
                                            <w:top w:val="none" w:sz="0" w:space="0" w:color="auto"/>
                                            <w:left w:val="none" w:sz="0" w:space="0" w:color="auto"/>
                                            <w:bottom w:val="none" w:sz="0" w:space="0" w:color="auto"/>
                                            <w:right w:val="none" w:sz="0" w:space="0" w:color="auto"/>
                                          </w:divBdr>
                                        </w:div>
                                      </w:divsChild>
                                    </w:div>
                                    <w:div w:id="1777944304">
                                      <w:marLeft w:val="0"/>
                                      <w:marRight w:val="0"/>
                                      <w:marTop w:val="0"/>
                                      <w:marBottom w:val="0"/>
                                      <w:divBdr>
                                        <w:top w:val="none" w:sz="0" w:space="0" w:color="auto"/>
                                        <w:left w:val="none" w:sz="0" w:space="0" w:color="auto"/>
                                        <w:bottom w:val="none" w:sz="0" w:space="0" w:color="auto"/>
                                        <w:right w:val="none" w:sz="0" w:space="0" w:color="auto"/>
                                      </w:divBdr>
                                      <w:divsChild>
                                        <w:div w:id="1307199916">
                                          <w:marLeft w:val="0"/>
                                          <w:marRight w:val="0"/>
                                          <w:marTop w:val="0"/>
                                          <w:marBottom w:val="0"/>
                                          <w:divBdr>
                                            <w:top w:val="none" w:sz="0" w:space="0" w:color="auto"/>
                                            <w:left w:val="none" w:sz="0" w:space="0" w:color="auto"/>
                                            <w:bottom w:val="none" w:sz="0" w:space="0" w:color="auto"/>
                                            <w:right w:val="none" w:sz="0" w:space="0" w:color="auto"/>
                                          </w:divBdr>
                                        </w:div>
                                      </w:divsChild>
                                    </w:div>
                                    <w:div w:id="978611181">
                                      <w:marLeft w:val="0"/>
                                      <w:marRight w:val="0"/>
                                      <w:marTop w:val="0"/>
                                      <w:marBottom w:val="0"/>
                                      <w:divBdr>
                                        <w:top w:val="none" w:sz="0" w:space="0" w:color="auto"/>
                                        <w:left w:val="none" w:sz="0" w:space="0" w:color="auto"/>
                                        <w:bottom w:val="none" w:sz="0" w:space="0" w:color="auto"/>
                                        <w:right w:val="none" w:sz="0" w:space="0" w:color="auto"/>
                                      </w:divBdr>
                                      <w:divsChild>
                                        <w:div w:id="1934630755">
                                          <w:marLeft w:val="0"/>
                                          <w:marRight w:val="0"/>
                                          <w:marTop w:val="0"/>
                                          <w:marBottom w:val="0"/>
                                          <w:divBdr>
                                            <w:top w:val="none" w:sz="0" w:space="0" w:color="auto"/>
                                            <w:left w:val="none" w:sz="0" w:space="0" w:color="auto"/>
                                            <w:bottom w:val="none" w:sz="0" w:space="0" w:color="auto"/>
                                            <w:right w:val="none" w:sz="0" w:space="0" w:color="auto"/>
                                          </w:divBdr>
                                        </w:div>
                                      </w:divsChild>
                                    </w:div>
                                    <w:div w:id="1636062500">
                                      <w:marLeft w:val="0"/>
                                      <w:marRight w:val="0"/>
                                      <w:marTop w:val="0"/>
                                      <w:marBottom w:val="0"/>
                                      <w:divBdr>
                                        <w:top w:val="none" w:sz="0" w:space="0" w:color="auto"/>
                                        <w:left w:val="none" w:sz="0" w:space="0" w:color="auto"/>
                                        <w:bottom w:val="none" w:sz="0" w:space="0" w:color="auto"/>
                                        <w:right w:val="none" w:sz="0" w:space="0" w:color="auto"/>
                                      </w:divBdr>
                                      <w:divsChild>
                                        <w:div w:id="446892225">
                                          <w:marLeft w:val="0"/>
                                          <w:marRight w:val="0"/>
                                          <w:marTop w:val="0"/>
                                          <w:marBottom w:val="0"/>
                                          <w:divBdr>
                                            <w:top w:val="none" w:sz="0" w:space="0" w:color="auto"/>
                                            <w:left w:val="none" w:sz="0" w:space="0" w:color="auto"/>
                                            <w:bottom w:val="none" w:sz="0" w:space="0" w:color="auto"/>
                                            <w:right w:val="none" w:sz="0" w:space="0" w:color="auto"/>
                                          </w:divBdr>
                                          <w:divsChild>
                                            <w:div w:id="1176194696">
                                              <w:marLeft w:val="0"/>
                                              <w:marRight w:val="0"/>
                                              <w:marTop w:val="0"/>
                                              <w:marBottom w:val="0"/>
                                              <w:divBdr>
                                                <w:top w:val="none" w:sz="0" w:space="0" w:color="auto"/>
                                                <w:left w:val="none" w:sz="0" w:space="0" w:color="auto"/>
                                                <w:bottom w:val="none" w:sz="0" w:space="0" w:color="auto"/>
                                                <w:right w:val="none" w:sz="0" w:space="0" w:color="auto"/>
                                              </w:divBdr>
                                              <w:divsChild>
                                                <w:div w:id="186869983">
                                                  <w:marLeft w:val="0"/>
                                                  <w:marRight w:val="0"/>
                                                  <w:marTop w:val="120"/>
                                                  <w:marBottom w:val="0"/>
                                                  <w:divBdr>
                                                    <w:top w:val="none" w:sz="0" w:space="0" w:color="auto"/>
                                                    <w:left w:val="none" w:sz="0" w:space="0" w:color="auto"/>
                                                    <w:bottom w:val="none" w:sz="0" w:space="0" w:color="auto"/>
                                                    <w:right w:val="none" w:sz="0" w:space="0" w:color="auto"/>
                                                  </w:divBdr>
                                                </w:div>
                                                <w:div w:id="1601839578">
                                                  <w:marLeft w:val="0"/>
                                                  <w:marRight w:val="0"/>
                                                  <w:marTop w:val="0"/>
                                                  <w:marBottom w:val="0"/>
                                                  <w:divBdr>
                                                    <w:top w:val="none" w:sz="0" w:space="0" w:color="auto"/>
                                                    <w:left w:val="none" w:sz="0" w:space="0" w:color="auto"/>
                                                    <w:bottom w:val="none" w:sz="0" w:space="0" w:color="auto"/>
                                                    <w:right w:val="none" w:sz="0" w:space="0" w:color="auto"/>
                                                  </w:divBdr>
                                                </w:div>
                                              </w:divsChild>
                                            </w:div>
                                            <w:div w:id="2130657699">
                                              <w:marLeft w:val="0"/>
                                              <w:marRight w:val="0"/>
                                              <w:marTop w:val="0"/>
                                              <w:marBottom w:val="0"/>
                                              <w:divBdr>
                                                <w:top w:val="none" w:sz="0" w:space="0" w:color="auto"/>
                                                <w:left w:val="none" w:sz="0" w:space="0" w:color="auto"/>
                                                <w:bottom w:val="none" w:sz="0" w:space="0" w:color="auto"/>
                                                <w:right w:val="none" w:sz="0" w:space="0" w:color="auto"/>
                                              </w:divBdr>
                                              <w:divsChild>
                                                <w:div w:id="1360551257">
                                                  <w:marLeft w:val="0"/>
                                                  <w:marRight w:val="0"/>
                                                  <w:marTop w:val="120"/>
                                                  <w:marBottom w:val="0"/>
                                                  <w:divBdr>
                                                    <w:top w:val="none" w:sz="0" w:space="0" w:color="auto"/>
                                                    <w:left w:val="none" w:sz="0" w:space="0" w:color="auto"/>
                                                    <w:bottom w:val="none" w:sz="0" w:space="0" w:color="auto"/>
                                                    <w:right w:val="none" w:sz="0" w:space="0" w:color="auto"/>
                                                  </w:divBdr>
                                                </w:div>
                                                <w:div w:id="12270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268133">
                                      <w:marLeft w:val="0"/>
                                      <w:marRight w:val="0"/>
                                      <w:marTop w:val="0"/>
                                      <w:marBottom w:val="0"/>
                                      <w:divBdr>
                                        <w:top w:val="none" w:sz="0" w:space="0" w:color="auto"/>
                                        <w:left w:val="none" w:sz="0" w:space="0" w:color="auto"/>
                                        <w:bottom w:val="none" w:sz="0" w:space="0" w:color="auto"/>
                                        <w:right w:val="none" w:sz="0" w:space="0" w:color="auto"/>
                                      </w:divBdr>
                                      <w:divsChild>
                                        <w:div w:id="1532911162">
                                          <w:marLeft w:val="0"/>
                                          <w:marRight w:val="0"/>
                                          <w:marTop w:val="0"/>
                                          <w:marBottom w:val="0"/>
                                          <w:divBdr>
                                            <w:top w:val="none" w:sz="0" w:space="0" w:color="auto"/>
                                            <w:left w:val="none" w:sz="0" w:space="0" w:color="auto"/>
                                            <w:bottom w:val="none" w:sz="0" w:space="0" w:color="auto"/>
                                            <w:right w:val="none" w:sz="0" w:space="0" w:color="auto"/>
                                          </w:divBdr>
                                        </w:div>
                                      </w:divsChild>
                                    </w:div>
                                    <w:div w:id="1485052765">
                                      <w:marLeft w:val="0"/>
                                      <w:marRight w:val="0"/>
                                      <w:marTop w:val="0"/>
                                      <w:marBottom w:val="0"/>
                                      <w:divBdr>
                                        <w:top w:val="none" w:sz="0" w:space="0" w:color="auto"/>
                                        <w:left w:val="none" w:sz="0" w:space="0" w:color="auto"/>
                                        <w:bottom w:val="none" w:sz="0" w:space="0" w:color="auto"/>
                                        <w:right w:val="none" w:sz="0" w:space="0" w:color="auto"/>
                                      </w:divBdr>
                                      <w:divsChild>
                                        <w:div w:id="132153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988999">
                              <w:marLeft w:val="0"/>
                              <w:marRight w:val="0"/>
                              <w:marTop w:val="0"/>
                              <w:marBottom w:val="0"/>
                              <w:divBdr>
                                <w:top w:val="none" w:sz="0" w:space="0" w:color="auto"/>
                                <w:left w:val="none" w:sz="0" w:space="0" w:color="auto"/>
                                <w:bottom w:val="none" w:sz="0" w:space="0" w:color="auto"/>
                                <w:right w:val="none" w:sz="0" w:space="0" w:color="auto"/>
                              </w:divBdr>
                              <w:divsChild>
                                <w:div w:id="1236622537">
                                  <w:marLeft w:val="0"/>
                                  <w:marRight w:val="0"/>
                                  <w:marTop w:val="0"/>
                                  <w:marBottom w:val="0"/>
                                  <w:divBdr>
                                    <w:top w:val="none" w:sz="0" w:space="0" w:color="auto"/>
                                    <w:left w:val="none" w:sz="0" w:space="0" w:color="auto"/>
                                    <w:bottom w:val="none" w:sz="0" w:space="0" w:color="auto"/>
                                    <w:right w:val="none" w:sz="0" w:space="0" w:color="auto"/>
                                  </w:divBdr>
                                  <w:divsChild>
                                    <w:div w:id="1746685246">
                                      <w:marLeft w:val="0"/>
                                      <w:marRight w:val="0"/>
                                      <w:marTop w:val="0"/>
                                      <w:marBottom w:val="0"/>
                                      <w:divBdr>
                                        <w:top w:val="none" w:sz="0" w:space="0" w:color="auto"/>
                                        <w:left w:val="none" w:sz="0" w:space="0" w:color="auto"/>
                                        <w:bottom w:val="none" w:sz="0" w:space="0" w:color="auto"/>
                                        <w:right w:val="none" w:sz="0" w:space="0" w:color="auto"/>
                                      </w:divBdr>
                                    </w:div>
                                    <w:div w:id="1304626147">
                                      <w:marLeft w:val="0"/>
                                      <w:marRight w:val="0"/>
                                      <w:marTop w:val="0"/>
                                      <w:marBottom w:val="0"/>
                                      <w:divBdr>
                                        <w:top w:val="none" w:sz="0" w:space="0" w:color="auto"/>
                                        <w:left w:val="none" w:sz="0" w:space="0" w:color="auto"/>
                                        <w:bottom w:val="none" w:sz="0" w:space="0" w:color="auto"/>
                                        <w:right w:val="none" w:sz="0" w:space="0" w:color="auto"/>
                                      </w:divBdr>
                                      <w:divsChild>
                                        <w:div w:id="1796869269">
                                          <w:marLeft w:val="0"/>
                                          <w:marRight w:val="0"/>
                                          <w:marTop w:val="0"/>
                                          <w:marBottom w:val="0"/>
                                          <w:divBdr>
                                            <w:top w:val="none" w:sz="0" w:space="0" w:color="auto"/>
                                            <w:left w:val="none" w:sz="0" w:space="0" w:color="auto"/>
                                            <w:bottom w:val="none" w:sz="0" w:space="0" w:color="auto"/>
                                            <w:right w:val="none" w:sz="0" w:space="0" w:color="auto"/>
                                          </w:divBdr>
                                        </w:div>
                                      </w:divsChild>
                                    </w:div>
                                    <w:div w:id="353464291">
                                      <w:marLeft w:val="0"/>
                                      <w:marRight w:val="0"/>
                                      <w:marTop w:val="0"/>
                                      <w:marBottom w:val="0"/>
                                      <w:divBdr>
                                        <w:top w:val="none" w:sz="0" w:space="0" w:color="auto"/>
                                        <w:left w:val="none" w:sz="0" w:space="0" w:color="auto"/>
                                        <w:bottom w:val="none" w:sz="0" w:space="0" w:color="auto"/>
                                        <w:right w:val="none" w:sz="0" w:space="0" w:color="auto"/>
                                      </w:divBdr>
                                      <w:divsChild>
                                        <w:div w:id="605163385">
                                          <w:marLeft w:val="0"/>
                                          <w:marRight w:val="0"/>
                                          <w:marTop w:val="0"/>
                                          <w:marBottom w:val="0"/>
                                          <w:divBdr>
                                            <w:top w:val="none" w:sz="0" w:space="0" w:color="auto"/>
                                            <w:left w:val="none" w:sz="0" w:space="0" w:color="auto"/>
                                            <w:bottom w:val="none" w:sz="0" w:space="0" w:color="auto"/>
                                            <w:right w:val="none" w:sz="0" w:space="0" w:color="auto"/>
                                          </w:divBdr>
                                          <w:divsChild>
                                            <w:div w:id="408041542">
                                              <w:marLeft w:val="0"/>
                                              <w:marRight w:val="0"/>
                                              <w:marTop w:val="0"/>
                                              <w:marBottom w:val="0"/>
                                              <w:divBdr>
                                                <w:top w:val="none" w:sz="0" w:space="0" w:color="auto"/>
                                                <w:left w:val="none" w:sz="0" w:space="0" w:color="auto"/>
                                                <w:bottom w:val="none" w:sz="0" w:space="0" w:color="auto"/>
                                                <w:right w:val="none" w:sz="0" w:space="0" w:color="auto"/>
                                              </w:divBdr>
                                              <w:divsChild>
                                                <w:div w:id="757365391">
                                                  <w:marLeft w:val="0"/>
                                                  <w:marRight w:val="0"/>
                                                  <w:marTop w:val="120"/>
                                                  <w:marBottom w:val="0"/>
                                                  <w:divBdr>
                                                    <w:top w:val="none" w:sz="0" w:space="0" w:color="auto"/>
                                                    <w:left w:val="none" w:sz="0" w:space="0" w:color="auto"/>
                                                    <w:bottom w:val="none" w:sz="0" w:space="0" w:color="auto"/>
                                                    <w:right w:val="none" w:sz="0" w:space="0" w:color="auto"/>
                                                  </w:divBdr>
                                                </w:div>
                                                <w:div w:id="2007779297">
                                                  <w:marLeft w:val="0"/>
                                                  <w:marRight w:val="0"/>
                                                  <w:marTop w:val="0"/>
                                                  <w:marBottom w:val="0"/>
                                                  <w:divBdr>
                                                    <w:top w:val="none" w:sz="0" w:space="0" w:color="auto"/>
                                                    <w:left w:val="none" w:sz="0" w:space="0" w:color="auto"/>
                                                    <w:bottom w:val="none" w:sz="0" w:space="0" w:color="auto"/>
                                                    <w:right w:val="none" w:sz="0" w:space="0" w:color="auto"/>
                                                  </w:divBdr>
                                                </w:div>
                                              </w:divsChild>
                                            </w:div>
                                            <w:div w:id="37096445">
                                              <w:marLeft w:val="0"/>
                                              <w:marRight w:val="0"/>
                                              <w:marTop w:val="0"/>
                                              <w:marBottom w:val="0"/>
                                              <w:divBdr>
                                                <w:top w:val="none" w:sz="0" w:space="0" w:color="auto"/>
                                                <w:left w:val="none" w:sz="0" w:space="0" w:color="auto"/>
                                                <w:bottom w:val="none" w:sz="0" w:space="0" w:color="auto"/>
                                                <w:right w:val="none" w:sz="0" w:space="0" w:color="auto"/>
                                              </w:divBdr>
                                              <w:divsChild>
                                                <w:div w:id="1740396393">
                                                  <w:marLeft w:val="0"/>
                                                  <w:marRight w:val="0"/>
                                                  <w:marTop w:val="120"/>
                                                  <w:marBottom w:val="0"/>
                                                  <w:divBdr>
                                                    <w:top w:val="none" w:sz="0" w:space="0" w:color="auto"/>
                                                    <w:left w:val="none" w:sz="0" w:space="0" w:color="auto"/>
                                                    <w:bottom w:val="none" w:sz="0" w:space="0" w:color="auto"/>
                                                    <w:right w:val="none" w:sz="0" w:space="0" w:color="auto"/>
                                                  </w:divBdr>
                                                </w:div>
                                                <w:div w:id="2043821591">
                                                  <w:marLeft w:val="0"/>
                                                  <w:marRight w:val="0"/>
                                                  <w:marTop w:val="0"/>
                                                  <w:marBottom w:val="0"/>
                                                  <w:divBdr>
                                                    <w:top w:val="none" w:sz="0" w:space="0" w:color="auto"/>
                                                    <w:left w:val="none" w:sz="0" w:space="0" w:color="auto"/>
                                                    <w:bottom w:val="none" w:sz="0" w:space="0" w:color="auto"/>
                                                    <w:right w:val="none" w:sz="0" w:space="0" w:color="auto"/>
                                                  </w:divBdr>
                                                </w:div>
                                              </w:divsChild>
                                            </w:div>
                                            <w:div w:id="844825390">
                                              <w:marLeft w:val="0"/>
                                              <w:marRight w:val="0"/>
                                              <w:marTop w:val="0"/>
                                              <w:marBottom w:val="0"/>
                                              <w:divBdr>
                                                <w:top w:val="none" w:sz="0" w:space="0" w:color="auto"/>
                                                <w:left w:val="none" w:sz="0" w:space="0" w:color="auto"/>
                                                <w:bottom w:val="none" w:sz="0" w:space="0" w:color="auto"/>
                                                <w:right w:val="none" w:sz="0" w:space="0" w:color="auto"/>
                                              </w:divBdr>
                                              <w:divsChild>
                                                <w:div w:id="89081954">
                                                  <w:marLeft w:val="0"/>
                                                  <w:marRight w:val="0"/>
                                                  <w:marTop w:val="120"/>
                                                  <w:marBottom w:val="0"/>
                                                  <w:divBdr>
                                                    <w:top w:val="none" w:sz="0" w:space="0" w:color="auto"/>
                                                    <w:left w:val="none" w:sz="0" w:space="0" w:color="auto"/>
                                                    <w:bottom w:val="none" w:sz="0" w:space="0" w:color="auto"/>
                                                    <w:right w:val="none" w:sz="0" w:space="0" w:color="auto"/>
                                                  </w:divBdr>
                                                </w:div>
                                                <w:div w:id="1750342018">
                                                  <w:marLeft w:val="0"/>
                                                  <w:marRight w:val="0"/>
                                                  <w:marTop w:val="0"/>
                                                  <w:marBottom w:val="0"/>
                                                  <w:divBdr>
                                                    <w:top w:val="none" w:sz="0" w:space="0" w:color="auto"/>
                                                    <w:left w:val="none" w:sz="0" w:space="0" w:color="auto"/>
                                                    <w:bottom w:val="none" w:sz="0" w:space="0" w:color="auto"/>
                                                    <w:right w:val="none" w:sz="0" w:space="0" w:color="auto"/>
                                                  </w:divBdr>
                                                </w:div>
                                              </w:divsChild>
                                            </w:div>
                                            <w:div w:id="822044647">
                                              <w:marLeft w:val="0"/>
                                              <w:marRight w:val="0"/>
                                              <w:marTop w:val="0"/>
                                              <w:marBottom w:val="0"/>
                                              <w:divBdr>
                                                <w:top w:val="none" w:sz="0" w:space="0" w:color="auto"/>
                                                <w:left w:val="none" w:sz="0" w:space="0" w:color="auto"/>
                                                <w:bottom w:val="none" w:sz="0" w:space="0" w:color="auto"/>
                                                <w:right w:val="none" w:sz="0" w:space="0" w:color="auto"/>
                                              </w:divBdr>
                                              <w:divsChild>
                                                <w:div w:id="312024393">
                                                  <w:marLeft w:val="0"/>
                                                  <w:marRight w:val="0"/>
                                                  <w:marTop w:val="120"/>
                                                  <w:marBottom w:val="0"/>
                                                  <w:divBdr>
                                                    <w:top w:val="none" w:sz="0" w:space="0" w:color="auto"/>
                                                    <w:left w:val="none" w:sz="0" w:space="0" w:color="auto"/>
                                                    <w:bottom w:val="none" w:sz="0" w:space="0" w:color="auto"/>
                                                    <w:right w:val="none" w:sz="0" w:space="0" w:color="auto"/>
                                                  </w:divBdr>
                                                </w:div>
                                                <w:div w:id="2129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88717">
                                      <w:marLeft w:val="0"/>
                                      <w:marRight w:val="0"/>
                                      <w:marTop w:val="0"/>
                                      <w:marBottom w:val="0"/>
                                      <w:divBdr>
                                        <w:top w:val="none" w:sz="0" w:space="0" w:color="auto"/>
                                        <w:left w:val="none" w:sz="0" w:space="0" w:color="auto"/>
                                        <w:bottom w:val="none" w:sz="0" w:space="0" w:color="auto"/>
                                        <w:right w:val="none" w:sz="0" w:space="0" w:color="auto"/>
                                      </w:divBdr>
                                      <w:divsChild>
                                        <w:div w:id="26834208">
                                          <w:marLeft w:val="0"/>
                                          <w:marRight w:val="0"/>
                                          <w:marTop w:val="0"/>
                                          <w:marBottom w:val="0"/>
                                          <w:divBdr>
                                            <w:top w:val="none" w:sz="0" w:space="0" w:color="auto"/>
                                            <w:left w:val="none" w:sz="0" w:space="0" w:color="auto"/>
                                            <w:bottom w:val="none" w:sz="0" w:space="0" w:color="auto"/>
                                            <w:right w:val="none" w:sz="0" w:space="0" w:color="auto"/>
                                          </w:divBdr>
                                        </w:div>
                                      </w:divsChild>
                                    </w:div>
                                    <w:div w:id="1251888202">
                                      <w:marLeft w:val="0"/>
                                      <w:marRight w:val="0"/>
                                      <w:marTop w:val="0"/>
                                      <w:marBottom w:val="0"/>
                                      <w:divBdr>
                                        <w:top w:val="none" w:sz="0" w:space="0" w:color="auto"/>
                                        <w:left w:val="none" w:sz="0" w:space="0" w:color="auto"/>
                                        <w:bottom w:val="none" w:sz="0" w:space="0" w:color="auto"/>
                                        <w:right w:val="none" w:sz="0" w:space="0" w:color="auto"/>
                                      </w:divBdr>
                                      <w:divsChild>
                                        <w:div w:id="1886940480">
                                          <w:marLeft w:val="0"/>
                                          <w:marRight w:val="0"/>
                                          <w:marTop w:val="0"/>
                                          <w:marBottom w:val="0"/>
                                          <w:divBdr>
                                            <w:top w:val="none" w:sz="0" w:space="0" w:color="auto"/>
                                            <w:left w:val="none" w:sz="0" w:space="0" w:color="auto"/>
                                            <w:bottom w:val="none" w:sz="0" w:space="0" w:color="auto"/>
                                            <w:right w:val="none" w:sz="0" w:space="0" w:color="auto"/>
                                          </w:divBdr>
                                          <w:divsChild>
                                            <w:div w:id="1961646433">
                                              <w:marLeft w:val="0"/>
                                              <w:marRight w:val="0"/>
                                              <w:marTop w:val="0"/>
                                              <w:marBottom w:val="0"/>
                                              <w:divBdr>
                                                <w:top w:val="none" w:sz="0" w:space="0" w:color="auto"/>
                                                <w:left w:val="none" w:sz="0" w:space="0" w:color="auto"/>
                                                <w:bottom w:val="none" w:sz="0" w:space="0" w:color="auto"/>
                                                <w:right w:val="none" w:sz="0" w:space="0" w:color="auto"/>
                                              </w:divBdr>
                                              <w:divsChild>
                                                <w:div w:id="817264629">
                                                  <w:marLeft w:val="0"/>
                                                  <w:marRight w:val="0"/>
                                                  <w:marTop w:val="120"/>
                                                  <w:marBottom w:val="0"/>
                                                  <w:divBdr>
                                                    <w:top w:val="none" w:sz="0" w:space="0" w:color="auto"/>
                                                    <w:left w:val="none" w:sz="0" w:space="0" w:color="auto"/>
                                                    <w:bottom w:val="none" w:sz="0" w:space="0" w:color="auto"/>
                                                    <w:right w:val="none" w:sz="0" w:space="0" w:color="auto"/>
                                                  </w:divBdr>
                                                </w:div>
                                                <w:div w:id="783966004">
                                                  <w:marLeft w:val="0"/>
                                                  <w:marRight w:val="0"/>
                                                  <w:marTop w:val="0"/>
                                                  <w:marBottom w:val="0"/>
                                                  <w:divBdr>
                                                    <w:top w:val="none" w:sz="0" w:space="0" w:color="auto"/>
                                                    <w:left w:val="none" w:sz="0" w:space="0" w:color="auto"/>
                                                    <w:bottom w:val="none" w:sz="0" w:space="0" w:color="auto"/>
                                                    <w:right w:val="none" w:sz="0" w:space="0" w:color="auto"/>
                                                  </w:divBdr>
                                                </w:div>
                                              </w:divsChild>
                                            </w:div>
                                            <w:div w:id="686060198">
                                              <w:marLeft w:val="0"/>
                                              <w:marRight w:val="0"/>
                                              <w:marTop w:val="0"/>
                                              <w:marBottom w:val="0"/>
                                              <w:divBdr>
                                                <w:top w:val="none" w:sz="0" w:space="0" w:color="auto"/>
                                                <w:left w:val="none" w:sz="0" w:space="0" w:color="auto"/>
                                                <w:bottom w:val="none" w:sz="0" w:space="0" w:color="auto"/>
                                                <w:right w:val="none" w:sz="0" w:space="0" w:color="auto"/>
                                              </w:divBdr>
                                              <w:divsChild>
                                                <w:div w:id="1960254105">
                                                  <w:marLeft w:val="0"/>
                                                  <w:marRight w:val="0"/>
                                                  <w:marTop w:val="120"/>
                                                  <w:marBottom w:val="0"/>
                                                  <w:divBdr>
                                                    <w:top w:val="none" w:sz="0" w:space="0" w:color="auto"/>
                                                    <w:left w:val="none" w:sz="0" w:space="0" w:color="auto"/>
                                                    <w:bottom w:val="none" w:sz="0" w:space="0" w:color="auto"/>
                                                    <w:right w:val="none" w:sz="0" w:space="0" w:color="auto"/>
                                                  </w:divBdr>
                                                </w:div>
                                                <w:div w:id="2386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241458">
                                  <w:marLeft w:val="0"/>
                                  <w:marRight w:val="0"/>
                                  <w:marTop w:val="0"/>
                                  <w:marBottom w:val="0"/>
                                  <w:divBdr>
                                    <w:top w:val="none" w:sz="0" w:space="0" w:color="auto"/>
                                    <w:left w:val="none" w:sz="0" w:space="0" w:color="auto"/>
                                    <w:bottom w:val="none" w:sz="0" w:space="0" w:color="auto"/>
                                    <w:right w:val="none" w:sz="0" w:space="0" w:color="auto"/>
                                  </w:divBdr>
                                  <w:divsChild>
                                    <w:div w:id="1096174171">
                                      <w:marLeft w:val="0"/>
                                      <w:marRight w:val="0"/>
                                      <w:marTop w:val="0"/>
                                      <w:marBottom w:val="0"/>
                                      <w:divBdr>
                                        <w:top w:val="none" w:sz="0" w:space="0" w:color="auto"/>
                                        <w:left w:val="none" w:sz="0" w:space="0" w:color="auto"/>
                                        <w:bottom w:val="none" w:sz="0" w:space="0" w:color="auto"/>
                                        <w:right w:val="none" w:sz="0" w:space="0" w:color="auto"/>
                                      </w:divBdr>
                                    </w:div>
                                    <w:div w:id="1456022812">
                                      <w:marLeft w:val="0"/>
                                      <w:marRight w:val="0"/>
                                      <w:marTop w:val="0"/>
                                      <w:marBottom w:val="0"/>
                                      <w:divBdr>
                                        <w:top w:val="none" w:sz="0" w:space="0" w:color="auto"/>
                                        <w:left w:val="none" w:sz="0" w:space="0" w:color="auto"/>
                                        <w:bottom w:val="none" w:sz="0" w:space="0" w:color="auto"/>
                                        <w:right w:val="none" w:sz="0" w:space="0" w:color="auto"/>
                                      </w:divBdr>
                                      <w:divsChild>
                                        <w:div w:id="328339109">
                                          <w:marLeft w:val="0"/>
                                          <w:marRight w:val="0"/>
                                          <w:marTop w:val="0"/>
                                          <w:marBottom w:val="0"/>
                                          <w:divBdr>
                                            <w:top w:val="none" w:sz="0" w:space="0" w:color="auto"/>
                                            <w:left w:val="none" w:sz="0" w:space="0" w:color="auto"/>
                                            <w:bottom w:val="none" w:sz="0" w:space="0" w:color="auto"/>
                                            <w:right w:val="none" w:sz="0" w:space="0" w:color="auto"/>
                                          </w:divBdr>
                                        </w:div>
                                      </w:divsChild>
                                    </w:div>
                                    <w:div w:id="1661692392">
                                      <w:marLeft w:val="0"/>
                                      <w:marRight w:val="0"/>
                                      <w:marTop w:val="0"/>
                                      <w:marBottom w:val="0"/>
                                      <w:divBdr>
                                        <w:top w:val="none" w:sz="0" w:space="0" w:color="auto"/>
                                        <w:left w:val="none" w:sz="0" w:space="0" w:color="auto"/>
                                        <w:bottom w:val="none" w:sz="0" w:space="0" w:color="auto"/>
                                        <w:right w:val="none" w:sz="0" w:space="0" w:color="auto"/>
                                      </w:divBdr>
                                      <w:divsChild>
                                        <w:div w:id="1227490313">
                                          <w:marLeft w:val="0"/>
                                          <w:marRight w:val="0"/>
                                          <w:marTop w:val="0"/>
                                          <w:marBottom w:val="0"/>
                                          <w:divBdr>
                                            <w:top w:val="none" w:sz="0" w:space="0" w:color="auto"/>
                                            <w:left w:val="none" w:sz="0" w:space="0" w:color="auto"/>
                                            <w:bottom w:val="none" w:sz="0" w:space="0" w:color="auto"/>
                                            <w:right w:val="none" w:sz="0" w:space="0" w:color="auto"/>
                                          </w:divBdr>
                                        </w:div>
                                      </w:divsChild>
                                    </w:div>
                                    <w:div w:id="1668632229">
                                      <w:marLeft w:val="0"/>
                                      <w:marRight w:val="0"/>
                                      <w:marTop w:val="0"/>
                                      <w:marBottom w:val="0"/>
                                      <w:divBdr>
                                        <w:top w:val="none" w:sz="0" w:space="0" w:color="auto"/>
                                        <w:left w:val="none" w:sz="0" w:space="0" w:color="auto"/>
                                        <w:bottom w:val="none" w:sz="0" w:space="0" w:color="auto"/>
                                        <w:right w:val="none" w:sz="0" w:space="0" w:color="auto"/>
                                      </w:divBdr>
                                      <w:divsChild>
                                        <w:div w:id="596712009">
                                          <w:marLeft w:val="0"/>
                                          <w:marRight w:val="0"/>
                                          <w:marTop w:val="0"/>
                                          <w:marBottom w:val="0"/>
                                          <w:divBdr>
                                            <w:top w:val="none" w:sz="0" w:space="0" w:color="auto"/>
                                            <w:left w:val="none" w:sz="0" w:space="0" w:color="auto"/>
                                            <w:bottom w:val="none" w:sz="0" w:space="0" w:color="auto"/>
                                            <w:right w:val="none" w:sz="0" w:space="0" w:color="auto"/>
                                          </w:divBdr>
                                        </w:div>
                                      </w:divsChild>
                                    </w:div>
                                    <w:div w:id="879050132">
                                      <w:marLeft w:val="0"/>
                                      <w:marRight w:val="0"/>
                                      <w:marTop w:val="0"/>
                                      <w:marBottom w:val="0"/>
                                      <w:divBdr>
                                        <w:top w:val="none" w:sz="0" w:space="0" w:color="auto"/>
                                        <w:left w:val="none" w:sz="0" w:space="0" w:color="auto"/>
                                        <w:bottom w:val="none" w:sz="0" w:space="0" w:color="auto"/>
                                        <w:right w:val="none" w:sz="0" w:space="0" w:color="auto"/>
                                      </w:divBdr>
                                      <w:divsChild>
                                        <w:div w:id="51087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932951">
                                  <w:marLeft w:val="0"/>
                                  <w:marRight w:val="0"/>
                                  <w:marTop w:val="0"/>
                                  <w:marBottom w:val="0"/>
                                  <w:divBdr>
                                    <w:top w:val="none" w:sz="0" w:space="0" w:color="auto"/>
                                    <w:left w:val="none" w:sz="0" w:space="0" w:color="auto"/>
                                    <w:bottom w:val="none" w:sz="0" w:space="0" w:color="auto"/>
                                    <w:right w:val="none" w:sz="0" w:space="0" w:color="auto"/>
                                  </w:divBdr>
                                  <w:divsChild>
                                    <w:div w:id="1698044991">
                                      <w:marLeft w:val="0"/>
                                      <w:marRight w:val="0"/>
                                      <w:marTop w:val="0"/>
                                      <w:marBottom w:val="0"/>
                                      <w:divBdr>
                                        <w:top w:val="none" w:sz="0" w:space="0" w:color="auto"/>
                                        <w:left w:val="none" w:sz="0" w:space="0" w:color="auto"/>
                                        <w:bottom w:val="none" w:sz="0" w:space="0" w:color="auto"/>
                                        <w:right w:val="none" w:sz="0" w:space="0" w:color="auto"/>
                                      </w:divBdr>
                                    </w:div>
                                    <w:div w:id="558708088">
                                      <w:marLeft w:val="0"/>
                                      <w:marRight w:val="0"/>
                                      <w:marTop w:val="0"/>
                                      <w:marBottom w:val="0"/>
                                      <w:divBdr>
                                        <w:top w:val="none" w:sz="0" w:space="0" w:color="auto"/>
                                        <w:left w:val="none" w:sz="0" w:space="0" w:color="auto"/>
                                        <w:bottom w:val="none" w:sz="0" w:space="0" w:color="auto"/>
                                        <w:right w:val="none" w:sz="0" w:space="0" w:color="auto"/>
                                      </w:divBdr>
                                      <w:divsChild>
                                        <w:div w:id="87969335">
                                          <w:marLeft w:val="0"/>
                                          <w:marRight w:val="0"/>
                                          <w:marTop w:val="0"/>
                                          <w:marBottom w:val="0"/>
                                          <w:divBdr>
                                            <w:top w:val="none" w:sz="0" w:space="0" w:color="auto"/>
                                            <w:left w:val="none" w:sz="0" w:space="0" w:color="auto"/>
                                            <w:bottom w:val="none" w:sz="0" w:space="0" w:color="auto"/>
                                            <w:right w:val="none" w:sz="0" w:space="0" w:color="auto"/>
                                          </w:divBdr>
                                          <w:divsChild>
                                            <w:div w:id="1657881176">
                                              <w:marLeft w:val="0"/>
                                              <w:marRight w:val="0"/>
                                              <w:marTop w:val="0"/>
                                              <w:marBottom w:val="0"/>
                                              <w:divBdr>
                                                <w:top w:val="none" w:sz="0" w:space="0" w:color="auto"/>
                                                <w:left w:val="none" w:sz="0" w:space="0" w:color="auto"/>
                                                <w:bottom w:val="none" w:sz="0" w:space="0" w:color="auto"/>
                                                <w:right w:val="none" w:sz="0" w:space="0" w:color="auto"/>
                                              </w:divBdr>
                                              <w:divsChild>
                                                <w:div w:id="1028525691">
                                                  <w:marLeft w:val="0"/>
                                                  <w:marRight w:val="0"/>
                                                  <w:marTop w:val="120"/>
                                                  <w:marBottom w:val="0"/>
                                                  <w:divBdr>
                                                    <w:top w:val="none" w:sz="0" w:space="0" w:color="auto"/>
                                                    <w:left w:val="none" w:sz="0" w:space="0" w:color="auto"/>
                                                    <w:bottom w:val="none" w:sz="0" w:space="0" w:color="auto"/>
                                                    <w:right w:val="none" w:sz="0" w:space="0" w:color="auto"/>
                                                  </w:divBdr>
                                                </w:div>
                                                <w:div w:id="320893042">
                                                  <w:marLeft w:val="0"/>
                                                  <w:marRight w:val="0"/>
                                                  <w:marTop w:val="0"/>
                                                  <w:marBottom w:val="0"/>
                                                  <w:divBdr>
                                                    <w:top w:val="none" w:sz="0" w:space="0" w:color="auto"/>
                                                    <w:left w:val="none" w:sz="0" w:space="0" w:color="auto"/>
                                                    <w:bottom w:val="none" w:sz="0" w:space="0" w:color="auto"/>
                                                    <w:right w:val="none" w:sz="0" w:space="0" w:color="auto"/>
                                                  </w:divBdr>
                                                </w:div>
                                              </w:divsChild>
                                            </w:div>
                                            <w:div w:id="251201977">
                                              <w:marLeft w:val="0"/>
                                              <w:marRight w:val="0"/>
                                              <w:marTop w:val="0"/>
                                              <w:marBottom w:val="0"/>
                                              <w:divBdr>
                                                <w:top w:val="none" w:sz="0" w:space="0" w:color="auto"/>
                                                <w:left w:val="none" w:sz="0" w:space="0" w:color="auto"/>
                                                <w:bottom w:val="none" w:sz="0" w:space="0" w:color="auto"/>
                                                <w:right w:val="none" w:sz="0" w:space="0" w:color="auto"/>
                                              </w:divBdr>
                                              <w:divsChild>
                                                <w:div w:id="1249927876">
                                                  <w:marLeft w:val="0"/>
                                                  <w:marRight w:val="0"/>
                                                  <w:marTop w:val="120"/>
                                                  <w:marBottom w:val="0"/>
                                                  <w:divBdr>
                                                    <w:top w:val="none" w:sz="0" w:space="0" w:color="auto"/>
                                                    <w:left w:val="none" w:sz="0" w:space="0" w:color="auto"/>
                                                    <w:bottom w:val="none" w:sz="0" w:space="0" w:color="auto"/>
                                                    <w:right w:val="none" w:sz="0" w:space="0" w:color="auto"/>
                                                  </w:divBdr>
                                                </w:div>
                                                <w:div w:id="296222734">
                                                  <w:marLeft w:val="0"/>
                                                  <w:marRight w:val="0"/>
                                                  <w:marTop w:val="0"/>
                                                  <w:marBottom w:val="0"/>
                                                  <w:divBdr>
                                                    <w:top w:val="none" w:sz="0" w:space="0" w:color="auto"/>
                                                    <w:left w:val="none" w:sz="0" w:space="0" w:color="auto"/>
                                                    <w:bottom w:val="none" w:sz="0" w:space="0" w:color="auto"/>
                                                    <w:right w:val="none" w:sz="0" w:space="0" w:color="auto"/>
                                                  </w:divBdr>
                                                </w:div>
                                              </w:divsChild>
                                            </w:div>
                                            <w:div w:id="344981708">
                                              <w:marLeft w:val="0"/>
                                              <w:marRight w:val="0"/>
                                              <w:marTop w:val="0"/>
                                              <w:marBottom w:val="0"/>
                                              <w:divBdr>
                                                <w:top w:val="none" w:sz="0" w:space="0" w:color="auto"/>
                                                <w:left w:val="none" w:sz="0" w:space="0" w:color="auto"/>
                                                <w:bottom w:val="none" w:sz="0" w:space="0" w:color="auto"/>
                                                <w:right w:val="none" w:sz="0" w:space="0" w:color="auto"/>
                                              </w:divBdr>
                                              <w:divsChild>
                                                <w:div w:id="2080665359">
                                                  <w:marLeft w:val="0"/>
                                                  <w:marRight w:val="0"/>
                                                  <w:marTop w:val="120"/>
                                                  <w:marBottom w:val="0"/>
                                                  <w:divBdr>
                                                    <w:top w:val="none" w:sz="0" w:space="0" w:color="auto"/>
                                                    <w:left w:val="none" w:sz="0" w:space="0" w:color="auto"/>
                                                    <w:bottom w:val="none" w:sz="0" w:space="0" w:color="auto"/>
                                                    <w:right w:val="none" w:sz="0" w:space="0" w:color="auto"/>
                                                  </w:divBdr>
                                                </w:div>
                                                <w:div w:id="707342280">
                                                  <w:marLeft w:val="0"/>
                                                  <w:marRight w:val="0"/>
                                                  <w:marTop w:val="0"/>
                                                  <w:marBottom w:val="0"/>
                                                  <w:divBdr>
                                                    <w:top w:val="none" w:sz="0" w:space="0" w:color="auto"/>
                                                    <w:left w:val="none" w:sz="0" w:space="0" w:color="auto"/>
                                                    <w:bottom w:val="none" w:sz="0" w:space="0" w:color="auto"/>
                                                    <w:right w:val="none" w:sz="0" w:space="0" w:color="auto"/>
                                                  </w:divBdr>
                                                </w:div>
                                              </w:divsChild>
                                            </w:div>
                                            <w:div w:id="1569421070">
                                              <w:marLeft w:val="0"/>
                                              <w:marRight w:val="0"/>
                                              <w:marTop w:val="0"/>
                                              <w:marBottom w:val="0"/>
                                              <w:divBdr>
                                                <w:top w:val="none" w:sz="0" w:space="0" w:color="auto"/>
                                                <w:left w:val="none" w:sz="0" w:space="0" w:color="auto"/>
                                                <w:bottom w:val="none" w:sz="0" w:space="0" w:color="auto"/>
                                                <w:right w:val="none" w:sz="0" w:space="0" w:color="auto"/>
                                              </w:divBdr>
                                              <w:divsChild>
                                                <w:div w:id="520632642">
                                                  <w:marLeft w:val="0"/>
                                                  <w:marRight w:val="0"/>
                                                  <w:marTop w:val="120"/>
                                                  <w:marBottom w:val="0"/>
                                                  <w:divBdr>
                                                    <w:top w:val="none" w:sz="0" w:space="0" w:color="auto"/>
                                                    <w:left w:val="none" w:sz="0" w:space="0" w:color="auto"/>
                                                    <w:bottom w:val="none" w:sz="0" w:space="0" w:color="auto"/>
                                                    <w:right w:val="none" w:sz="0" w:space="0" w:color="auto"/>
                                                  </w:divBdr>
                                                </w:div>
                                                <w:div w:id="77614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5341">
                                      <w:marLeft w:val="0"/>
                                      <w:marRight w:val="0"/>
                                      <w:marTop w:val="0"/>
                                      <w:marBottom w:val="0"/>
                                      <w:divBdr>
                                        <w:top w:val="none" w:sz="0" w:space="0" w:color="auto"/>
                                        <w:left w:val="none" w:sz="0" w:space="0" w:color="auto"/>
                                        <w:bottom w:val="none" w:sz="0" w:space="0" w:color="auto"/>
                                        <w:right w:val="none" w:sz="0" w:space="0" w:color="auto"/>
                                      </w:divBdr>
                                      <w:divsChild>
                                        <w:div w:id="1622608890">
                                          <w:marLeft w:val="0"/>
                                          <w:marRight w:val="0"/>
                                          <w:marTop w:val="0"/>
                                          <w:marBottom w:val="0"/>
                                          <w:divBdr>
                                            <w:top w:val="none" w:sz="0" w:space="0" w:color="auto"/>
                                            <w:left w:val="none" w:sz="0" w:space="0" w:color="auto"/>
                                            <w:bottom w:val="none" w:sz="0" w:space="0" w:color="auto"/>
                                            <w:right w:val="none" w:sz="0" w:space="0" w:color="auto"/>
                                          </w:divBdr>
                                        </w:div>
                                      </w:divsChild>
                                    </w:div>
                                    <w:div w:id="1262957208">
                                      <w:marLeft w:val="0"/>
                                      <w:marRight w:val="0"/>
                                      <w:marTop w:val="0"/>
                                      <w:marBottom w:val="0"/>
                                      <w:divBdr>
                                        <w:top w:val="none" w:sz="0" w:space="0" w:color="auto"/>
                                        <w:left w:val="none" w:sz="0" w:space="0" w:color="auto"/>
                                        <w:bottom w:val="none" w:sz="0" w:space="0" w:color="auto"/>
                                        <w:right w:val="none" w:sz="0" w:space="0" w:color="auto"/>
                                      </w:divBdr>
                                      <w:divsChild>
                                        <w:div w:id="830754263">
                                          <w:marLeft w:val="0"/>
                                          <w:marRight w:val="0"/>
                                          <w:marTop w:val="0"/>
                                          <w:marBottom w:val="0"/>
                                          <w:divBdr>
                                            <w:top w:val="none" w:sz="0" w:space="0" w:color="auto"/>
                                            <w:left w:val="none" w:sz="0" w:space="0" w:color="auto"/>
                                            <w:bottom w:val="none" w:sz="0" w:space="0" w:color="auto"/>
                                            <w:right w:val="none" w:sz="0" w:space="0" w:color="auto"/>
                                          </w:divBdr>
                                        </w:div>
                                      </w:divsChild>
                                    </w:div>
                                    <w:div w:id="297345966">
                                      <w:marLeft w:val="0"/>
                                      <w:marRight w:val="0"/>
                                      <w:marTop w:val="0"/>
                                      <w:marBottom w:val="0"/>
                                      <w:divBdr>
                                        <w:top w:val="none" w:sz="0" w:space="0" w:color="auto"/>
                                        <w:left w:val="none" w:sz="0" w:space="0" w:color="auto"/>
                                        <w:bottom w:val="none" w:sz="0" w:space="0" w:color="auto"/>
                                        <w:right w:val="none" w:sz="0" w:space="0" w:color="auto"/>
                                      </w:divBdr>
                                      <w:divsChild>
                                        <w:div w:id="2088527506">
                                          <w:marLeft w:val="0"/>
                                          <w:marRight w:val="0"/>
                                          <w:marTop w:val="0"/>
                                          <w:marBottom w:val="0"/>
                                          <w:divBdr>
                                            <w:top w:val="none" w:sz="0" w:space="0" w:color="auto"/>
                                            <w:left w:val="none" w:sz="0" w:space="0" w:color="auto"/>
                                            <w:bottom w:val="none" w:sz="0" w:space="0" w:color="auto"/>
                                            <w:right w:val="none" w:sz="0" w:space="0" w:color="auto"/>
                                          </w:divBdr>
                                        </w:div>
                                      </w:divsChild>
                                    </w:div>
                                    <w:div w:id="696469202">
                                      <w:marLeft w:val="0"/>
                                      <w:marRight w:val="0"/>
                                      <w:marTop w:val="0"/>
                                      <w:marBottom w:val="0"/>
                                      <w:divBdr>
                                        <w:top w:val="none" w:sz="0" w:space="0" w:color="auto"/>
                                        <w:left w:val="none" w:sz="0" w:space="0" w:color="auto"/>
                                        <w:bottom w:val="none" w:sz="0" w:space="0" w:color="auto"/>
                                        <w:right w:val="none" w:sz="0" w:space="0" w:color="auto"/>
                                      </w:divBdr>
                                      <w:divsChild>
                                        <w:div w:id="1679116114">
                                          <w:marLeft w:val="0"/>
                                          <w:marRight w:val="0"/>
                                          <w:marTop w:val="0"/>
                                          <w:marBottom w:val="0"/>
                                          <w:divBdr>
                                            <w:top w:val="none" w:sz="0" w:space="0" w:color="auto"/>
                                            <w:left w:val="none" w:sz="0" w:space="0" w:color="auto"/>
                                            <w:bottom w:val="none" w:sz="0" w:space="0" w:color="auto"/>
                                            <w:right w:val="none" w:sz="0" w:space="0" w:color="auto"/>
                                          </w:divBdr>
                                        </w:div>
                                      </w:divsChild>
                                    </w:div>
                                    <w:div w:id="1908107004">
                                      <w:marLeft w:val="0"/>
                                      <w:marRight w:val="0"/>
                                      <w:marTop w:val="0"/>
                                      <w:marBottom w:val="0"/>
                                      <w:divBdr>
                                        <w:top w:val="none" w:sz="0" w:space="0" w:color="auto"/>
                                        <w:left w:val="none" w:sz="0" w:space="0" w:color="auto"/>
                                        <w:bottom w:val="none" w:sz="0" w:space="0" w:color="auto"/>
                                        <w:right w:val="none" w:sz="0" w:space="0" w:color="auto"/>
                                      </w:divBdr>
                                      <w:divsChild>
                                        <w:div w:id="889733020">
                                          <w:marLeft w:val="0"/>
                                          <w:marRight w:val="0"/>
                                          <w:marTop w:val="0"/>
                                          <w:marBottom w:val="0"/>
                                          <w:divBdr>
                                            <w:top w:val="none" w:sz="0" w:space="0" w:color="auto"/>
                                            <w:left w:val="none" w:sz="0" w:space="0" w:color="auto"/>
                                            <w:bottom w:val="none" w:sz="0" w:space="0" w:color="auto"/>
                                            <w:right w:val="none" w:sz="0" w:space="0" w:color="auto"/>
                                          </w:divBdr>
                                          <w:divsChild>
                                            <w:div w:id="1562785220">
                                              <w:marLeft w:val="0"/>
                                              <w:marRight w:val="0"/>
                                              <w:marTop w:val="0"/>
                                              <w:marBottom w:val="0"/>
                                              <w:divBdr>
                                                <w:top w:val="none" w:sz="0" w:space="0" w:color="auto"/>
                                                <w:left w:val="none" w:sz="0" w:space="0" w:color="auto"/>
                                                <w:bottom w:val="none" w:sz="0" w:space="0" w:color="auto"/>
                                                <w:right w:val="none" w:sz="0" w:space="0" w:color="auto"/>
                                              </w:divBdr>
                                              <w:divsChild>
                                                <w:div w:id="56318427">
                                                  <w:marLeft w:val="0"/>
                                                  <w:marRight w:val="0"/>
                                                  <w:marTop w:val="120"/>
                                                  <w:marBottom w:val="0"/>
                                                  <w:divBdr>
                                                    <w:top w:val="none" w:sz="0" w:space="0" w:color="auto"/>
                                                    <w:left w:val="none" w:sz="0" w:space="0" w:color="auto"/>
                                                    <w:bottom w:val="none" w:sz="0" w:space="0" w:color="auto"/>
                                                    <w:right w:val="none" w:sz="0" w:space="0" w:color="auto"/>
                                                  </w:divBdr>
                                                </w:div>
                                                <w:div w:id="1445494051">
                                                  <w:marLeft w:val="0"/>
                                                  <w:marRight w:val="0"/>
                                                  <w:marTop w:val="0"/>
                                                  <w:marBottom w:val="0"/>
                                                  <w:divBdr>
                                                    <w:top w:val="none" w:sz="0" w:space="0" w:color="auto"/>
                                                    <w:left w:val="none" w:sz="0" w:space="0" w:color="auto"/>
                                                    <w:bottom w:val="none" w:sz="0" w:space="0" w:color="auto"/>
                                                    <w:right w:val="none" w:sz="0" w:space="0" w:color="auto"/>
                                                  </w:divBdr>
                                                </w:div>
                                              </w:divsChild>
                                            </w:div>
                                            <w:div w:id="105120253">
                                              <w:marLeft w:val="0"/>
                                              <w:marRight w:val="0"/>
                                              <w:marTop w:val="0"/>
                                              <w:marBottom w:val="0"/>
                                              <w:divBdr>
                                                <w:top w:val="none" w:sz="0" w:space="0" w:color="auto"/>
                                                <w:left w:val="none" w:sz="0" w:space="0" w:color="auto"/>
                                                <w:bottom w:val="none" w:sz="0" w:space="0" w:color="auto"/>
                                                <w:right w:val="none" w:sz="0" w:space="0" w:color="auto"/>
                                              </w:divBdr>
                                              <w:divsChild>
                                                <w:div w:id="1029599661">
                                                  <w:marLeft w:val="0"/>
                                                  <w:marRight w:val="0"/>
                                                  <w:marTop w:val="120"/>
                                                  <w:marBottom w:val="0"/>
                                                  <w:divBdr>
                                                    <w:top w:val="none" w:sz="0" w:space="0" w:color="auto"/>
                                                    <w:left w:val="none" w:sz="0" w:space="0" w:color="auto"/>
                                                    <w:bottom w:val="none" w:sz="0" w:space="0" w:color="auto"/>
                                                    <w:right w:val="none" w:sz="0" w:space="0" w:color="auto"/>
                                                  </w:divBdr>
                                                </w:div>
                                                <w:div w:id="458839820">
                                                  <w:marLeft w:val="0"/>
                                                  <w:marRight w:val="0"/>
                                                  <w:marTop w:val="0"/>
                                                  <w:marBottom w:val="0"/>
                                                  <w:divBdr>
                                                    <w:top w:val="none" w:sz="0" w:space="0" w:color="auto"/>
                                                    <w:left w:val="none" w:sz="0" w:space="0" w:color="auto"/>
                                                    <w:bottom w:val="none" w:sz="0" w:space="0" w:color="auto"/>
                                                    <w:right w:val="none" w:sz="0" w:space="0" w:color="auto"/>
                                                  </w:divBdr>
                                                </w:div>
                                              </w:divsChild>
                                            </w:div>
                                            <w:div w:id="960182507">
                                              <w:marLeft w:val="0"/>
                                              <w:marRight w:val="0"/>
                                              <w:marTop w:val="0"/>
                                              <w:marBottom w:val="0"/>
                                              <w:divBdr>
                                                <w:top w:val="none" w:sz="0" w:space="0" w:color="auto"/>
                                                <w:left w:val="none" w:sz="0" w:space="0" w:color="auto"/>
                                                <w:bottom w:val="none" w:sz="0" w:space="0" w:color="auto"/>
                                                <w:right w:val="none" w:sz="0" w:space="0" w:color="auto"/>
                                              </w:divBdr>
                                              <w:divsChild>
                                                <w:div w:id="1199469606">
                                                  <w:marLeft w:val="0"/>
                                                  <w:marRight w:val="0"/>
                                                  <w:marTop w:val="120"/>
                                                  <w:marBottom w:val="0"/>
                                                  <w:divBdr>
                                                    <w:top w:val="none" w:sz="0" w:space="0" w:color="auto"/>
                                                    <w:left w:val="none" w:sz="0" w:space="0" w:color="auto"/>
                                                    <w:bottom w:val="none" w:sz="0" w:space="0" w:color="auto"/>
                                                    <w:right w:val="none" w:sz="0" w:space="0" w:color="auto"/>
                                                  </w:divBdr>
                                                </w:div>
                                                <w:div w:id="21108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7040">
                                      <w:marLeft w:val="0"/>
                                      <w:marRight w:val="0"/>
                                      <w:marTop w:val="0"/>
                                      <w:marBottom w:val="0"/>
                                      <w:divBdr>
                                        <w:top w:val="none" w:sz="0" w:space="0" w:color="auto"/>
                                        <w:left w:val="none" w:sz="0" w:space="0" w:color="auto"/>
                                        <w:bottom w:val="none" w:sz="0" w:space="0" w:color="auto"/>
                                        <w:right w:val="none" w:sz="0" w:space="0" w:color="auto"/>
                                      </w:divBdr>
                                      <w:divsChild>
                                        <w:div w:id="1809130915">
                                          <w:marLeft w:val="0"/>
                                          <w:marRight w:val="0"/>
                                          <w:marTop w:val="0"/>
                                          <w:marBottom w:val="0"/>
                                          <w:divBdr>
                                            <w:top w:val="none" w:sz="0" w:space="0" w:color="auto"/>
                                            <w:left w:val="none" w:sz="0" w:space="0" w:color="auto"/>
                                            <w:bottom w:val="none" w:sz="0" w:space="0" w:color="auto"/>
                                            <w:right w:val="none" w:sz="0" w:space="0" w:color="auto"/>
                                          </w:divBdr>
                                        </w:div>
                                      </w:divsChild>
                                    </w:div>
                                    <w:div w:id="1931112792">
                                      <w:marLeft w:val="0"/>
                                      <w:marRight w:val="0"/>
                                      <w:marTop w:val="0"/>
                                      <w:marBottom w:val="0"/>
                                      <w:divBdr>
                                        <w:top w:val="none" w:sz="0" w:space="0" w:color="auto"/>
                                        <w:left w:val="none" w:sz="0" w:space="0" w:color="auto"/>
                                        <w:bottom w:val="none" w:sz="0" w:space="0" w:color="auto"/>
                                        <w:right w:val="none" w:sz="0" w:space="0" w:color="auto"/>
                                      </w:divBdr>
                                      <w:divsChild>
                                        <w:div w:id="143760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72504">
                                  <w:marLeft w:val="0"/>
                                  <w:marRight w:val="0"/>
                                  <w:marTop w:val="0"/>
                                  <w:marBottom w:val="0"/>
                                  <w:divBdr>
                                    <w:top w:val="none" w:sz="0" w:space="0" w:color="auto"/>
                                    <w:left w:val="none" w:sz="0" w:space="0" w:color="auto"/>
                                    <w:bottom w:val="none" w:sz="0" w:space="0" w:color="auto"/>
                                    <w:right w:val="none" w:sz="0" w:space="0" w:color="auto"/>
                                  </w:divBdr>
                                  <w:divsChild>
                                    <w:div w:id="596140028">
                                      <w:marLeft w:val="0"/>
                                      <w:marRight w:val="0"/>
                                      <w:marTop w:val="0"/>
                                      <w:marBottom w:val="0"/>
                                      <w:divBdr>
                                        <w:top w:val="none" w:sz="0" w:space="0" w:color="auto"/>
                                        <w:left w:val="none" w:sz="0" w:space="0" w:color="auto"/>
                                        <w:bottom w:val="none" w:sz="0" w:space="0" w:color="auto"/>
                                        <w:right w:val="none" w:sz="0" w:space="0" w:color="auto"/>
                                      </w:divBdr>
                                    </w:div>
                                    <w:div w:id="1605577851">
                                      <w:marLeft w:val="0"/>
                                      <w:marRight w:val="0"/>
                                      <w:marTop w:val="0"/>
                                      <w:marBottom w:val="0"/>
                                      <w:divBdr>
                                        <w:top w:val="none" w:sz="0" w:space="0" w:color="auto"/>
                                        <w:left w:val="none" w:sz="0" w:space="0" w:color="auto"/>
                                        <w:bottom w:val="none" w:sz="0" w:space="0" w:color="auto"/>
                                        <w:right w:val="none" w:sz="0" w:space="0" w:color="auto"/>
                                      </w:divBdr>
                                      <w:divsChild>
                                        <w:div w:id="1940553589">
                                          <w:marLeft w:val="0"/>
                                          <w:marRight w:val="0"/>
                                          <w:marTop w:val="0"/>
                                          <w:marBottom w:val="0"/>
                                          <w:divBdr>
                                            <w:top w:val="none" w:sz="0" w:space="0" w:color="auto"/>
                                            <w:left w:val="none" w:sz="0" w:space="0" w:color="auto"/>
                                            <w:bottom w:val="none" w:sz="0" w:space="0" w:color="auto"/>
                                            <w:right w:val="none" w:sz="0" w:space="0" w:color="auto"/>
                                          </w:divBdr>
                                        </w:div>
                                      </w:divsChild>
                                    </w:div>
                                    <w:div w:id="2119324855">
                                      <w:marLeft w:val="0"/>
                                      <w:marRight w:val="0"/>
                                      <w:marTop w:val="0"/>
                                      <w:marBottom w:val="0"/>
                                      <w:divBdr>
                                        <w:top w:val="none" w:sz="0" w:space="0" w:color="auto"/>
                                        <w:left w:val="none" w:sz="0" w:space="0" w:color="auto"/>
                                        <w:bottom w:val="none" w:sz="0" w:space="0" w:color="auto"/>
                                        <w:right w:val="none" w:sz="0" w:space="0" w:color="auto"/>
                                      </w:divBdr>
                                      <w:divsChild>
                                        <w:div w:id="2056196324">
                                          <w:marLeft w:val="0"/>
                                          <w:marRight w:val="0"/>
                                          <w:marTop w:val="0"/>
                                          <w:marBottom w:val="0"/>
                                          <w:divBdr>
                                            <w:top w:val="none" w:sz="0" w:space="0" w:color="auto"/>
                                            <w:left w:val="none" w:sz="0" w:space="0" w:color="auto"/>
                                            <w:bottom w:val="none" w:sz="0" w:space="0" w:color="auto"/>
                                            <w:right w:val="none" w:sz="0" w:space="0" w:color="auto"/>
                                          </w:divBdr>
                                        </w:div>
                                      </w:divsChild>
                                    </w:div>
                                    <w:div w:id="1120799706">
                                      <w:marLeft w:val="0"/>
                                      <w:marRight w:val="0"/>
                                      <w:marTop w:val="0"/>
                                      <w:marBottom w:val="0"/>
                                      <w:divBdr>
                                        <w:top w:val="none" w:sz="0" w:space="0" w:color="auto"/>
                                        <w:left w:val="none" w:sz="0" w:space="0" w:color="auto"/>
                                        <w:bottom w:val="none" w:sz="0" w:space="0" w:color="auto"/>
                                        <w:right w:val="none" w:sz="0" w:space="0" w:color="auto"/>
                                      </w:divBdr>
                                      <w:divsChild>
                                        <w:div w:id="165557190">
                                          <w:marLeft w:val="0"/>
                                          <w:marRight w:val="0"/>
                                          <w:marTop w:val="0"/>
                                          <w:marBottom w:val="0"/>
                                          <w:divBdr>
                                            <w:top w:val="none" w:sz="0" w:space="0" w:color="auto"/>
                                            <w:left w:val="none" w:sz="0" w:space="0" w:color="auto"/>
                                            <w:bottom w:val="none" w:sz="0" w:space="0" w:color="auto"/>
                                            <w:right w:val="none" w:sz="0" w:space="0" w:color="auto"/>
                                          </w:divBdr>
                                        </w:div>
                                      </w:divsChild>
                                    </w:div>
                                    <w:div w:id="1694846689">
                                      <w:marLeft w:val="0"/>
                                      <w:marRight w:val="0"/>
                                      <w:marTop w:val="0"/>
                                      <w:marBottom w:val="0"/>
                                      <w:divBdr>
                                        <w:top w:val="none" w:sz="0" w:space="0" w:color="auto"/>
                                        <w:left w:val="none" w:sz="0" w:space="0" w:color="auto"/>
                                        <w:bottom w:val="none" w:sz="0" w:space="0" w:color="auto"/>
                                        <w:right w:val="none" w:sz="0" w:space="0" w:color="auto"/>
                                      </w:divBdr>
                                      <w:divsChild>
                                        <w:div w:id="433479295">
                                          <w:marLeft w:val="0"/>
                                          <w:marRight w:val="0"/>
                                          <w:marTop w:val="0"/>
                                          <w:marBottom w:val="0"/>
                                          <w:divBdr>
                                            <w:top w:val="none" w:sz="0" w:space="0" w:color="auto"/>
                                            <w:left w:val="none" w:sz="0" w:space="0" w:color="auto"/>
                                            <w:bottom w:val="none" w:sz="0" w:space="0" w:color="auto"/>
                                            <w:right w:val="none" w:sz="0" w:space="0" w:color="auto"/>
                                          </w:divBdr>
                                          <w:divsChild>
                                            <w:div w:id="793787247">
                                              <w:marLeft w:val="0"/>
                                              <w:marRight w:val="0"/>
                                              <w:marTop w:val="0"/>
                                              <w:marBottom w:val="0"/>
                                              <w:divBdr>
                                                <w:top w:val="none" w:sz="0" w:space="0" w:color="auto"/>
                                                <w:left w:val="none" w:sz="0" w:space="0" w:color="auto"/>
                                                <w:bottom w:val="none" w:sz="0" w:space="0" w:color="auto"/>
                                                <w:right w:val="none" w:sz="0" w:space="0" w:color="auto"/>
                                              </w:divBdr>
                                              <w:divsChild>
                                                <w:div w:id="1069883520">
                                                  <w:marLeft w:val="0"/>
                                                  <w:marRight w:val="0"/>
                                                  <w:marTop w:val="120"/>
                                                  <w:marBottom w:val="0"/>
                                                  <w:divBdr>
                                                    <w:top w:val="none" w:sz="0" w:space="0" w:color="auto"/>
                                                    <w:left w:val="none" w:sz="0" w:space="0" w:color="auto"/>
                                                    <w:bottom w:val="none" w:sz="0" w:space="0" w:color="auto"/>
                                                    <w:right w:val="none" w:sz="0" w:space="0" w:color="auto"/>
                                                  </w:divBdr>
                                                </w:div>
                                                <w:div w:id="1873028670">
                                                  <w:marLeft w:val="0"/>
                                                  <w:marRight w:val="0"/>
                                                  <w:marTop w:val="0"/>
                                                  <w:marBottom w:val="0"/>
                                                  <w:divBdr>
                                                    <w:top w:val="none" w:sz="0" w:space="0" w:color="auto"/>
                                                    <w:left w:val="none" w:sz="0" w:space="0" w:color="auto"/>
                                                    <w:bottom w:val="none" w:sz="0" w:space="0" w:color="auto"/>
                                                    <w:right w:val="none" w:sz="0" w:space="0" w:color="auto"/>
                                                  </w:divBdr>
                                                </w:div>
                                              </w:divsChild>
                                            </w:div>
                                            <w:div w:id="83034281">
                                              <w:marLeft w:val="0"/>
                                              <w:marRight w:val="0"/>
                                              <w:marTop w:val="0"/>
                                              <w:marBottom w:val="0"/>
                                              <w:divBdr>
                                                <w:top w:val="none" w:sz="0" w:space="0" w:color="auto"/>
                                                <w:left w:val="none" w:sz="0" w:space="0" w:color="auto"/>
                                                <w:bottom w:val="none" w:sz="0" w:space="0" w:color="auto"/>
                                                <w:right w:val="none" w:sz="0" w:space="0" w:color="auto"/>
                                              </w:divBdr>
                                              <w:divsChild>
                                                <w:div w:id="1027291408">
                                                  <w:marLeft w:val="0"/>
                                                  <w:marRight w:val="0"/>
                                                  <w:marTop w:val="120"/>
                                                  <w:marBottom w:val="0"/>
                                                  <w:divBdr>
                                                    <w:top w:val="none" w:sz="0" w:space="0" w:color="auto"/>
                                                    <w:left w:val="none" w:sz="0" w:space="0" w:color="auto"/>
                                                    <w:bottom w:val="none" w:sz="0" w:space="0" w:color="auto"/>
                                                    <w:right w:val="none" w:sz="0" w:space="0" w:color="auto"/>
                                                  </w:divBdr>
                                                </w:div>
                                                <w:div w:id="815100399">
                                                  <w:marLeft w:val="0"/>
                                                  <w:marRight w:val="0"/>
                                                  <w:marTop w:val="0"/>
                                                  <w:marBottom w:val="0"/>
                                                  <w:divBdr>
                                                    <w:top w:val="none" w:sz="0" w:space="0" w:color="auto"/>
                                                    <w:left w:val="none" w:sz="0" w:space="0" w:color="auto"/>
                                                    <w:bottom w:val="none" w:sz="0" w:space="0" w:color="auto"/>
                                                    <w:right w:val="none" w:sz="0" w:space="0" w:color="auto"/>
                                                  </w:divBdr>
                                                </w:div>
                                              </w:divsChild>
                                            </w:div>
                                            <w:div w:id="11762597">
                                              <w:marLeft w:val="0"/>
                                              <w:marRight w:val="0"/>
                                              <w:marTop w:val="0"/>
                                              <w:marBottom w:val="0"/>
                                              <w:divBdr>
                                                <w:top w:val="none" w:sz="0" w:space="0" w:color="auto"/>
                                                <w:left w:val="none" w:sz="0" w:space="0" w:color="auto"/>
                                                <w:bottom w:val="none" w:sz="0" w:space="0" w:color="auto"/>
                                                <w:right w:val="none" w:sz="0" w:space="0" w:color="auto"/>
                                              </w:divBdr>
                                              <w:divsChild>
                                                <w:div w:id="1841191719">
                                                  <w:marLeft w:val="0"/>
                                                  <w:marRight w:val="0"/>
                                                  <w:marTop w:val="120"/>
                                                  <w:marBottom w:val="0"/>
                                                  <w:divBdr>
                                                    <w:top w:val="none" w:sz="0" w:space="0" w:color="auto"/>
                                                    <w:left w:val="none" w:sz="0" w:space="0" w:color="auto"/>
                                                    <w:bottom w:val="none" w:sz="0" w:space="0" w:color="auto"/>
                                                    <w:right w:val="none" w:sz="0" w:space="0" w:color="auto"/>
                                                  </w:divBdr>
                                                </w:div>
                                                <w:div w:id="976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49030">
                                      <w:marLeft w:val="0"/>
                                      <w:marRight w:val="0"/>
                                      <w:marTop w:val="0"/>
                                      <w:marBottom w:val="0"/>
                                      <w:divBdr>
                                        <w:top w:val="none" w:sz="0" w:space="0" w:color="auto"/>
                                        <w:left w:val="none" w:sz="0" w:space="0" w:color="auto"/>
                                        <w:bottom w:val="none" w:sz="0" w:space="0" w:color="auto"/>
                                        <w:right w:val="none" w:sz="0" w:space="0" w:color="auto"/>
                                      </w:divBdr>
                                      <w:divsChild>
                                        <w:div w:id="649556915">
                                          <w:marLeft w:val="0"/>
                                          <w:marRight w:val="0"/>
                                          <w:marTop w:val="0"/>
                                          <w:marBottom w:val="0"/>
                                          <w:divBdr>
                                            <w:top w:val="none" w:sz="0" w:space="0" w:color="auto"/>
                                            <w:left w:val="none" w:sz="0" w:space="0" w:color="auto"/>
                                            <w:bottom w:val="none" w:sz="0" w:space="0" w:color="auto"/>
                                            <w:right w:val="none" w:sz="0" w:space="0" w:color="auto"/>
                                          </w:divBdr>
                                          <w:divsChild>
                                            <w:div w:id="1666938212">
                                              <w:marLeft w:val="0"/>
                                              <w:marRight w:val="0"/>
                                              <w:marTop w:val="0"/>
                                              <w:marBottom w:val="0"/>
                                              <w:divBdr>
                                                <w:top w:val="none" w:sz="0" w:space="0" w:color="auto"/>
                                                <w:left w:val="none" w:sz="0" w:space="0" w:color="auto"/>
                                                <w:bottom w:val="none" w:sz="0" w:space="0" w:color="auto"/>
                                                <w:right w:val="none" w:sz="0" w:space="0" w:color="auto"/>
                                              </w:divBdr>
                                              <w:divsChild>
                                                <w:div w:id="1010106415">
                                                  <w:marLeft w:val="0"/>
                                                  <w:marRight w:val="0"/>
                                                  <w:marTop w:val="120"/>
                                                  <w:marBottom w:val="0"/>
                                                  <w:divBdr>
                                                    <w:top w:val="none" w:sz="0" w:space="0" w:color="auto"/>
                                                    <w:left w:val="none" w:sz="0" w:space="0" w:color="auto"/>
                                                    <w:bottom w:val="none" w:sz="0" w:space="0" w:color="auto"/>
                                                    <w:right w:val="none" w:sz="0" w:space="0" w:color="auto"/>
                                                  </w:divBdr>
                                                </w:div>
                                                <w:div w:id="170490934">
                                                  <w:marLeft w:val="0"/>
                                                  <w:marRight w:val="0"/>
                                                  <w:marTop w:val="0"/>
                                                  <w:marBottom w:val="0"/>
                                                  <w:divBdr>
                                                    <w:top w:val="none" w:sz="0" w:space="0" w:color="auto"/>
                                                    <w:left w:val="none" w:sz="0" w:space="0" w:color="auto"/>
                                                    <w:bottom w:val="none" w:sz="0" w:space="0" w:color="auto"/>
                                                    <w:right w:val="none" w:sz="0" w:space="0" w:color="auto"/>
                                                  </w:divBdr>
                                                </w:div>
                                              </w:divsChild>
                                            </w:div>
                                            <w:div w:id="785927198">
                                              <w:marLeft w:val="0"/>
                                              <w:marRight w:val="0"/>
                                              <w:marTop w:val="0"/>
                                              <w:marBottom w:val="0"/>
                                              <w:divBdr>
                                                <w:top w:val="none" w:sz="0" w:space="0" w:color="auto"/>
                                                <w:left w:val="none" w:sz="0" w:space="0" w:color="auto"/>
                                                <w:bottom w:val="none" w:sz="0" w:space="0" w:color="auto"/>
                                                <w:right w:val="none" w:sz="0" w:space="0" w:color="auto"/>
                                              </w:divBdr>
                                              <w:divsChild>
                                                <w:div w:id="852301873">
                                                  <w:marLeft w:val="0"/>
                                                  <w:marRight w:val="0"/>
                                                  <w:marTop w:val="120"/>
                                                  <w:marBottom w:val="0"/>
                                                  <w:divBdr>
                                                    <w:top w:val="none" w:sz="0" w:space="0" w:color="auto"/>
                                                    <w:left w:val="none" w:sz="0" w:space="0" w:color="auto"/>
                                                    <w:bottom w:val="none" w:sz="0" w:space="0" w:color="auto"/>
                                                    <w:right w:val="none" w:sz="0" w:space="0" w:color="auto"/>
                                                  </w:divBdr>
                                                </w:div>
                                                <w:div w:id="49738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677740">
                                  <w:marLeft w:val="0"/>
                                  <w:marRight w:val="0"/>
                                  <w:marTop w:val="0"/>
                                  <w:marBottom w:val="0"/>
                                  <w:divBdr>
                                    <w:top w:val="none" w:sz="0" w:space="0" w:color="auto"/>
                                    <w:left w:val="none" w:sz="0" w:space="0" w:color="auto"/>
                                    <w:bottom w:val="none" w:sz="0" w:space="0" w:color="auto"/>
                                    <w:right w:val="none" w:sz="0" w:space="0" w:color="auto"/>
                                  </w:divBdr>
                                  <w:divsChild>
                                    <w:div w:id="841699869">
                                      <w:marLeft w:val="0"/>
                                      <w:marRight w:val="0"/>
                                      <w:marTop w:val="0"/>
                                      <w:marBottom w:val="0"/>
                                      <w:divBdr>
                                        <w:top w:val="none" w:sz="0" w:space="0" w:color="auto"/>
                                        <w:left w:val="none" w:sz="0" w:space="0" w:color="auto"/>
                                        <w:bottom w:val="none" w:sz="0" w:space="0" w:color="auto"/>
                                        <w:right w:val="none" w:sz="0" w:space="0" w:color="auto"/>
                                      </w:divBdr>
                                    </w:div>
                                    <w:div w:id="2113620059">
                                      <w:marLeft w:val="0"/>
                                      <w:marRight w:val="0"/>
                                      <w:marTop w:val="0"/>
                                      <w:marBottom w:val="0"/>
                                      <w:divBdr>
                                        <w:top w:val="none" w:sz="0" w:space="0" w:color="auto"/>
                                        <w:left w:val="none" w:sz="0" w:space="0" w:color="auto"/>
                                        <w:bottom w:val="none" w:sz="0" w:space="0" w:color="auto"/>
                                        <w:right w:val="none" w:sz="0" w:space="0" w:color="auto"/>
                                      </w:divBdr>
                                      <w:divsChild>
                                        <w:div w:id="555049240">
                                          <w:marLeft w:val="0"/>
                                          <w:marRight w:val="0"/>
                                          <w:marTop w:val="0"/>
                                          <w:marBottom w:val="0"/>
                                          <w:divBdr>
                                            <w:top w:val="none" w:sz="0" w:space="0" w:color="auto"/>
                                            <w:left w:val="none" w:sz="0" w:space="0" w:color="auto"/>
                                            <w:bottom w:val="none" w:sz="0" w:space="0" w:color="auto"/>
                                            <w:right w:val="none" w:sz="0" w:space="0" w:color="auto"/>
                                          </w:divBdr>
                                          <w:divsChild>
                                            <w:div w:id="947083231">
                                              <w:marLeft w:val="0"/>
                                              <w:marRight w:val="0"/>
                                              <w:marTop w:val="0"/>
                                              <w:marBottom w:val="0"/>
                                              <w:divBdr>
                                                <w:top w:val="none" w:sz="0" w:space="0" w:color="auto"/>
                                                <w:left w:val="none" w:sz="0" w:space="0" w:color="auto"/>
                                                <w:bottom w:val="none" w:sz="0" w:space="0" w:color="auto"/>
                                                <w:right w:val="none" w:sz="0" w:space="0" w:color="auto"/>
                                              </w:divBdr>
                                              <w:divsChild>
                                                <w:div w:id="1391343419">
                                                  <w:marLeft w:val="0"/>
                                                  <w:marRight w:val="0"/>
                                                  <w:marTop w:val="120"/>
                                                  <w:marBottom w:val="0"/>
                                                  <w:divBdr>
                                                    <w:top w:val="none" w:sz="0" w:space="0" w:color="auto"/>
                                                    <w:left w:val="none" w:sz="0" w:space="0" w:color="auto"/>
                                                    <w:bottom w:val="none" w:sz="0" w:space="0" w:color="auto"/>
                                                    <w:right w:val="none" w:sz="0" w:space="0" w:color="auto"/>
                                                  </w:divBdr>
                                                </w:div>
                                                <w:div w:id="1909151455">
                                                  <w:marLeft w:val="0"/>
                                                  <w:marRight w:val="0"/>
                                                  <w:marTop w:val="0"/>
                                                  <w:marBottom w:val="0"/>
                                                  <w:divBdr>
                                                    <w:top w:val="none" w:sz="0" w:space="0" w:color="auto"/>
                                                    <w:left w:val="none" w:sz="0" w:space="0" w:color="auto"/>
                                                    <w:bottom w:val="none" w:sz="0" w:space="0" w:color="auto"/>
                                                    <w:right w:val="none" w:sz="0" w:space="0" w:color="auto"/>
                                                  </w:divBdr>
                                                </w:div>
                                              </w:divsChild>
                                            </w:div>
                                            <w:div w:id="863057461">
                                              <w:marLeft w:val="0"/>
                                              <w:marRight w:val="0"/>
                                              <w:marTop w:val="0"/>
                                              <w:marBottom w:val="0"/>
                                              <w:divBdr>
                                                <w:top w:val="none" w:sz="0" w:space="0" w:color="auto"/>
                                                <w:left w:val="none" w:sz="0" w:space="0" w:color="auto"/>
                                                <w:bottom w:val="none" w:sz="0" w:space="0" w:color="auto"/>
                                                <w:right w:val="none" w:sz="0" w:space="0" w:color="auto"/>
                                              </w:divBdr>
                                              <w:divsChild>
                                                <w:div w:id="973213730">
                                                  <w:marLeft w:val="0"/>
                                                  <w:marRight w:val="0"/>
                                                  <w:marTop w:val="120"/>
                                                  <w:marBottom w:val="0"/>
                                                  <w:divBdr>
                                                    <w:top w:val="none" w:sz="0" w:space="0" w:color="auto"/>
                                                    <w:left w:val="none" w:sz="0" w:space="0" w:color="auto"/>
                                                    <w:bottom w:val="none" w:sz="0" w:space="0" w:color="auto"/>
                                                    <w:right w:val="none" w:sz="0" w:space="0" w:color="auto"/>
                                                  </w:divBdr>
                                                </w:div>
                                                <w:div w:id="197991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063690">
                                      <w:marLeft w:val="0"/>
                                      <w:marRight w:val="0"/>
                                      <w:marTop w:val="0"/>
                                      <w:marBottom w:val="0"/>
                                      <w:divBdr>
                                        <w:top w:val="none" w:sz="0" w:space="0" w:color="auto"/>
                                        <w:left w:val="none" w:sz="0" w:space="0" w:color="auto"/>
                                        <w:bottom w:val="none" w:sz="0" w:space="0" w:color="auto"/>
                                        <w:right w:val="none" w:sz="0" w:space="0" w:color="auto"/>
                                      </w:divBdr>
                                      <w:divsChild>
                                        <w:div w:id="2058356059">
                                          <w:marLeft w:val="0"/>
                                          <w:marRight w:val="0"/>
                                          <w:marTop w:val="0"/>
                                          <w:marBottom w:val="0"/>
                                          <w:divBdr>
                                            <w:top w:val="none" w:sz="0" w:space="0" w:color="auto"/>
                                            <w:left w:val="none" w:sz="0" w:space="0" w:color="auto"/>
                                            <w:bottom w:val="none" w:sz="0" w:space="0" w:color="auto"/>
                                            <w:right w:val="none" w:sz="0" w:space="0" w:color="auto"/>
                                          </w:divBdr>
                                        </w:div>
                                      </w:divsChild>
                                    </w:div>
                                    <w:div w:id="1427849202">
                                      <w:marLeft w:val="0"/>
                                      <w:marRight w:val="0"/>
                                      <w:marTop w:val="0"/>
                                      <w:marBottom w:val="0"/>
                                      <w:divBdr>
                                        <w:top w:val="none" w:sz="0" w:space="0" w:color="auto"/>
                                        <w:left w:val="none" w:sz="0" w:space="0" w:color="auto"/>
                                        <w:bottom w:val="none" w:sz="0" w:space="0" w:color="auto"/>
                                        <w:right w:val="none" w:sz="0" w:space="0" w:color="auto"/>
                                      </w:divBdr>
                                      <w:divsChild>
                                        <w:div w:id="200875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2307">
                                  <w:marLeft w:val="0"/>
                                  <w:marRight w:val="0"/>
                                  <w:marTop w:val="0"/>
                                  <w:marBottom w:val="0"/>
                                  <w:divBdr>
                                    <w:top w:val="none" w:sz="0" w:space="0" w:color="auto"/>
                                    <w:left w:val="none" w:sz="0" w:space="0" w:color="auto"/>
                                    <w:bottom w:val="none" w:sz="0" w:space="0" w:color="auto"/>
                                    <w:right w:val="none" w:sz="0" w:space="0" w:color="auto"/>
                                  </w:divBdr>
                                  <w:divsChild>
                                    <w:div w:id="157691682">
                                      <w:marLeft w:val="0"/>
                                      <w:marRight w:val="0"/>
                                      <w:marTop w:val="0"/>
                                      <w:marBottom w:val="0"/>
                                      <w:divBdr>
                                        <w:top w:val="none" w:sz="0" w:space="0" w:color="auto"/>
                                        <w:left w:val="none" w:sz="0" w:space="0" w:color="auto"/>
                                        <w:bottom w:val="none" w:sz="0" w:space="0" w:color="auto"/>
                                        <w:right w:val="none" w:sz="0" w:space="0" w:color="auto"/>
                                      </w:divBdr>
                                    </w:div>
                                    <w:div w:id="1401170468">
                                      <w:marLeft w:val="0"/>
                                      <w:marRight w:val="0"/>
                                      <w:marTop w:val="0"/>
                                      <w:marBottom w:val="0"/>
                                      <w:divBdr>
                                        <w:top w:val="none" w:sz="0" w:space="0" w:color="auto"/>
                                        <w:left w:val="none" w:sz="0" w:space="0" w:color="auto"/>
                                        <w:bottom w:val="none" w:sz="0" w:space="0" w:color="auto"/>
                                        <w:right w:val="none" w:sz="0" w:space="0" w:color="auto"/>
                                      </w:divBdr>
                                      <w:divsChild>
                                        <w:div w:id="935360032">
                                          <w:marLeft w:val="0"/>
                                          <w:marRight w:val="0"/>
                                          <w:marTop w:val="0"/>
                                          <w:marBottom w:val="0"/>
                                          <w:divBdr>
                                            <w:top w:val="none" w:sz="0" w:space="0" w:color="auto"/>
                                            <w:left w:val="none" w:sz="0" w:space="0" w:color="auto"/>
                                            <w:bottom w:val="none" w:sz="0" w:space="0" w:color="auto"/>
                                            <w:right w:val="none" w:sz="0" w:space="0" w:color="auto"/>
                                          </w:divBdr>
                                        </w:div>
                                      </w:divsChild>
                                    </w:div>
                                    <w:div w:id="227108975">
                                      <w:marLeft w:val="0"/>
                                      <w:marRight w:val="0"/>
                                      <w:marTop w:val="0"/>
                                      <w:marBottom w:val="0"/>
                                      <w:divBdr>
                                        <w:top w:val="none" w:sz="0" w:space="0" w:color="auto"/>
                                        <w:left w:val="none" w:sz="0" w:space="0" w:color="auto"/>
                                        <w:bottom w:val="none" w:sz="0" w:space="0" w:color="auto"/>
                                        <w:right w:val="none" w:sz="0" w:space="0" w:color="auto"/>
                                      </w:divBdr>
                                      <w:divsChild>
                                        <w:div w:id="1181312601">
                                          <w:marLeft w:val="0"/>
                                          <w:marRight w:val="0"/>
                                          <w:marTop w:val="0"/>
                                          <w:marBottom w:val="0"/>
                                          <w:divBdr>
                                            <w:top w:val="none" w:sz="0" w:space="0" w:color="auto"/>
                                            <w:left w:val="none" w:sz="0" w:space="0" w:color="auto"/>
                                            <w:bottom w:val="none" w:sz="0" w:space="0" w:color="auto"/>
                                            <w:right w:val="none" w:sz="0" w:space="0" w:color="auto"/>
                                          </w:divBdr>
                                          <w:divsChild>
                                            <w:div w:id="2102485683">
                                              <w:marLeft w:val="0"/>
                                              <w:marRight w:val="0"/>
                                              <w:marTop w:val="0"/>
                                              <w:marBottom w:val="0"/>
                                              <w:divBdr>
                                                <w:top w:val="none" w:sz="0" w:space="0" w:color="auto"/>
                                                <w:left w:val="none" w:sz="0" w:space="0" w:color="auto"/>
                                                <w:bottom w:val="none" w:sz="0" w:space="0" w:color="auto"/>
                                                <w:right w:val="none" w:sz="0" w:space="0" w:color="auto"/>
                                              </w:divBdr>
                                              <w:divsChild>
                                                <w:div w:id="859196835">
                                                  <w:marLeft w:val="0"/>
                                                  <w:marRight w:val="0"/>
                                                  <w:marTop w:val="120"/>
                                                  <w:marBottom w:val="0"/>
                                                  <w:divBdr>
                                                    <w:top w:val="none" w:sz="0" w:space="0" w:color="auto"/>
                                                    <w:left w:val="none" w:sz="0" w:space="0" w:color="auto"/>
                                                    <w:bottom w:val="none" w:sz="0" w:space="0" w:color="auto"/>
                                                    <w:right w:val="none" w:sz="0" w:space="0" w:color="auto"/>
                                                  </w:divBdr>
                                                </w:div>
                                                <w:div w:id="2114352653">
                                                  <w:marLeft w:val="0"/>
                                                  <w:marRight w:val="0"/>
                                                  <w:marTop w:val="0"/>
                                                  <w:marBottom w:val="0"/>
                                                  <w:divBdr>
                                                    <w:top w:val="none" w:sz="0" w:space="0" w:color="auto"/>
                                                    <w:left w:val="none" w:sz="0" w:space="0" w:color="auto"/>
                                                    <w:bottom w:val="none" w:sz="0" w:space="0" w:color="auto"/>
                                                    <w:right w:val="none" w:sz="0" w:space="0" w:color="auto"/>
                                                  </w:divBdr>
                                                </w:div>
                                              </w:divsChild>
                                            </w:div>
                                            <w:div w:id="1729647036">
                                              <w:marLeft w:val="0"/>
                                              <w:marRight w:val="0"/>
                                              <w:marTop w:val="0"/>
                                              <w:marBottom w:val="0"/>
                                              <w:divBdr>
                                                <w:top w:val="none" w:sz="0" w:space="0" w:color="auto"/>
                                                <w:left w:val="none" w:sz="0" w:space="0" w:color="auto"/>
                                                <w:bottom w:val="none" w:sz="0" w:space="0" w:color="auto"/>
                                                <w:right w:val="none" w:sz="0" w:space="0" w:color="auto"/>
                                              </w:divBdr>
                                              <w:divsChild>
                                                <w:div w:id="459686799">
                                                  <w:marLeft w:val="0"/>
                                                  <w:marRight w:val="0"/>
                                                  <w:marTop w:val="120"/>
                                                  <w:marBottom w:val="0"/>
                                                  <w:divBdr>
                                                    <w:top w:val="none" w:sz="0" w:space="0" w:color="auto"/>
                                                    <w:left w:val="none" w:sz="0" w:space="0" w:color="auto"/>
                                                    <w:bottom w:val="none" w:sz="0" w:space="0" w:color="auto"/>
                                                    <w:right w:val="none" w:sz="0" w:space="0" w:color="auto"/>
                                                  </w:divBdr>
                                                </w:div>
                                                <w:div w:id="167479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88410">
                                      <w:marLeft w:val="0"/>
                                      <w:marRight w:val="0"/>
                                      <w:marTop w:val="0"/>
                                      <w:marBottom w:val="0"/>
                                      <w:divBdr>
                                        <w:top w:val="none" w:sz="0" w:space="0" w:color="auto"/>
                                        <w:left w:val="none" w:sz="0" w:space="0" w:color="auto"/>
                                        <w:bottom w:val="none" w:sz="0" w:space="0" w:color="auto"/>
                                        <w:right w:val="none" w:sz="0" w:space="0" w:color="auto"/>
                                      </w:divBdr>
                                      <w:divsChild>
                                        <w:div w:id="58203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232838">
                      <w:marLeft w:val="0"/>
                      <w:marRight w:val="0"/>
                      <w:marTop w:val="0"/>
                      <w:marBottom w:val="0"/>
                      <w:divBdr>
                        <w:top w:val="none" w:sz="0" w:space="0" w:color="auto"/>
                        <w:left w:val="none" w:sz="0" w:space="0" w:color="auto"/>
                        <w:bottom w:val="none" w:sz="0" w:space="0" w:color="auto"/>
                        <w:right w:val="none" w:sz="0" w:space="0" w:color="auto"/>
                      </w:divBdr>
                      <w:divsChild>
                        <w:div w:id="3629712">
                          <w:marLeft w:val="0"/>
                          <w:marRight w:val="0"/>
                          <w:marTop w:val="0"/>
                          <w:marBottom w:val="0"/>
                          <w:divBdr>
                            <w:top w:val="none" w:sz="0" w:space="0" w:color="auto"/>
                            <w:left w:val="none" w:sz="0" w:space="0" w:color="auto"/>
                            <w:bottom w:val="none" w:sz="0" w:space="0" w:color="auto"/>
                            <w:right w:val="none" w:sz="0" w:space="0" w:color="auto"/>
                          </w:divBdr>
                          <w:divsChild>
                            <w:div w:id="718095905">
                              <w:marLeft w:val="0"/>
                              <w:marRight w:val="0"/>
                              <w:marTop w:val="0"/>
                              <w:marBottom w:val="0"/>
                              <w:divBdr>
                                <w:top w:val="none" w:sz="0" w:space="0" w:color="auto"/>
                                <w:left w:val="none" w:sz="0" w:space="0" w:color="auto"/>
                                <w:bottom w:val="none" w:sz="0" w:space="0" w:color="auto"/>
                                <w:right w:val="none" w:sz="0" w:space="0" w:color="auto"/>
                              </w:divBdr>
                            </w:div>
                            <w:div w:id="1486974613">
                              <w:marLeft w:val="0"/>
                              <w:marRight w:val="0"/>
                              <w:marTop w:val="0"/>
                              <w:marBottom w:val="0"/>
                              <w:divBdr>
                                <w:top w:val="none" w:sz="0" w:space="0" w:color="auto"/>
                                <w:left w:val="none" w:sz="0" w:space="0" w:color="auto"/>
                                <w:bottom w:val="none" w:sz="0" w:space="0" w:color="auto"/>
                                <w:right w:val="none" w:sz="0" w:space="0" w:color="auto"/>
                              </w:divBdr>
                              <w:divsChild>
                                <w:div w:id="1145512641">
                                  <w:marLeft w:val="0"/>
                                  <w:marRight w:val="0"/>
                                  <w:marTop w:val="0"/>
                                  <w:marBottom w:val="0"/>
                                  <w:divBdr>
                                    <w:top w:val="none" w:sz="0" w:space="0" w:color="auto"/>
                                    <w:left w:val="none" w:sz="0" w:space="0" w:color="auto"/>
                                    <w:bottom w:val="none" w:sz="0" w:space="0" w:color="auto"/>
                                    <w:right w:val="none" w:sz="0" w:space="0" w:color="auto"/>
                                  </w:divBdr>
                                  <w:divsChild>
                                    <w:div w:id="1072898317">
                                      <w:marLeft w:val="0"/>
                                      <w:marRight w:val="0"/>
                                      <w:marTop w:val="0"/>
                                      <w:marBottom w:val="0"/>
                                      <w:divBdr>
                                        <w:top w:val="none" w:sz="0" w:space="0" w:color="auto"/>
                                        <w:left w:val="none" w:sz="0" w:space="0" w:color="auto"/>
                                        <w:bottom w:val="none" w:sz="0" w:space="0" w:color="auto"/>
                                        <w:right w:val="none" w:sz="0" w:space="0" w:color="auto"/>
                                      </w:divBdr>
                                      <w:divsChild>
                                        <w:div w:id="1898317040">
                                          <w:marLeft w:val="0"/>
                                          <w:marRight w:val="0"/>
                                          <w:marTop w:val="120"/>
                                          <w:marBottom w:val="0"/>
                                          <w:divBdr>
                                            <w:top w:val="none" w:sz="0" w:space="0" w:color="auto"/>
                                            <w:left w:val="none" w:sz="0" w:space="0" w:color="auto"/>
                                            <w:bottom w:val="none" w:sz="0" w:space="0" w:color="auto"/>
                                            <w:right w:val="none" w:sz="0" w:space="0" w:color="auto"/>
                                          </w:divBdr>
                                        </w:div>
                                        <w:div w:id="2023434928">
                                          <w:marLeft w:val="0"/>
                                          <w:marRight w:val="0"/>
                                          <w:marTop w:val="0"/>
                                          <w:marBottom w:val="0"/>
                                          <w:divBdr>
                                            <w:top w:val="none" w:sz="0" w:space="0" w:color="auto"/>
                                            <w:left w:val="none" w:sz="0" w:space="0" w:color="auto"/>
                                            <w:bottom w:val="none" w:sz="0" w:space="0" w:color="auto"/>
                                            <w:right w:val="none" w:sz="0" w:space="0" w:color="auto"/>
                                          </w:divBdr>
                                        </w:div>
                                      </w:divsChild>
                                    </w:div>
                                    <w:div w:id="114838462">
                                      <w:marLeft w:val="0"/>
                                      <w:marRight w:val="0"/>
                                      <w:marTop w:val="0"/>
                                      <w:marBottom w:val="0"/>
                                      <w:divBdr>
                                        <w:top w:val="none" w:sz="0" w:space="0" w:color="auto"/>
                                        <w:left w:val="none" w:sz="0" w:space="0" w:color="auto"/>
                                        <w:bottom w:val="none" w:sz="0" w:space="0" w:color="auto"/>
                                        <w:right w:val="none" w:sz="0" w:space="0" w:color="auto"/>
                                      </w:divBdr>
                                      <w:divsChild>
                                        <w:div w:id="23987824">
                                          <w:marLeft w:val="0"/>
                                          <w:marRight w:val="0"/>
                                          <w:marTop w:val="120"/>
                                          <w:marBottom w:val="0"/>
                                          <w:divBdr>
                                            <w:top w:val="none" w:sz="0" w:space="0" w:color="auto"/>
                                            <w:left w:val="none" w:sz="0" w:space="0" w:color="auto"/>
                                            <w:bottom w:val="none" w:sz="0" w:space="0" w:color="auto"/>
                                            <w:right w:val="none" w:sz="0" w:space="0" w:color="auto"/>
                                          </w:divBdr>
                                        </w:div>
                                        <w:div w:id="187533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1490">
                              <w:marLeft w:val="0"/>
                              <w:marRight w:val="0"/>
                              <w:marTop w:val="0"/>
                              <w:marBottom w:val="0"/>
                              <w:divBdr>
                                <w:top w:val="none" w:sz="0" w:space="0" w:color="auto"/>
                                <w:left w:val="none" w:sz="0" w:space="0" w:color="auto"/>
                                <w:bottom w:val="none" w:sz="0" w:space="0" w:color="auto"/>
                                <w:right w:val="none" w:sz="0" w:space="0" w:color="auto"/>
                              </w:divBdr>
                              <w:divsChild>
                                <w:div w:id="1862355256">
                                  <w:marLeft w:val="0"/>
                                  <w:marRight w:val="0"/>
                                  <w:marTop w:val="0"/>
                                  <w:marBottom w:val="0"/>
                                  <w:divBdr>
                                    <w:top w:val="none" w:sz="0" w:space="0" w:color="auto"/>
                                    <w:left w:val="none" w:sz="0" w:space="0" w:color="auto"/>
                                    <w:bottom w:val="none" w:sz="0" w:space="0" w:color="auto"/>
                                    <w:right w:val="none" w:sz="0" w:space="0" w:color="auto"/>
                                  </w:divBdr>
                                </w:div>
                              </w:divsChild>
                            </w:div>
                            <w:div w:id="158011539">
                              <w:marLeft w:val="0"/>
                              <w:marRight w:val="0"/>
                              <w:marTop w:val="0"/>
                              <w:marBottom w:val="0"/>
                              <w:divBdr>
                                <w:top w:val="none" w:sz="0" w:space="0" w:color="auto"/>
                                <w:left w:val="none" w:sz="0" w:space="0" w:color="auto"/>
                                <w:bottom w:val="none" w:sz="0" w:space="0" w:color="auto"/>
                                <w:right w:val="none" w:sz="0" w:space="0" w:color="auto"/>
                              </w:divBdr>
                              <w:divsChild>
                                <w:div w:id="651449877">
                                  <w:marLeft w:val="0"/>
                                  <w:marRight w:val="0"/>
                                  <w:marTop w:val="0"/>
                                  <w:marBottom w:val="0"/>
                                  <w:divBdr>
                                    <w:top w:val="none" w:sz="0" w:space="0" w:color="auto"/>
                                    <w:left w:val="none" w:sz="0" w:space="0" w:color="auto"/>
                                    <w:bottom w:val="none" w:sz="0" w:space="0" w:color="auto"/>
                                    <w:right w:val="none" w:sz="0" w:space="0" w:color="auto"/>
                                  </w:divBdr>
                                </w:div>
                              </w:divsChild>
                            </w:div>
                            <w:div w:id="1037704320">
                              <w:marLeft w:val="0"/>
                              <w:marRight w:val="0"/>
                              <w:marTop w:val="0"/>
                              <w:marBottom w:val="0"/>
                              <w:divBdr>
                                <w:top w:val="none" w:sz="0" w:space="0" w:color="auto"/>
                                <w:left w:val="none" w:sz="0" w:space="0" w:color="auto"/>
                                <w:bottom w:val="none" w:sz="0" w:space="0" w:color="auto"/>
                                <w:right w:val="none" w:sz="0" w:space="0" w:color="auto"/>
                              </w:divBdr>
                              <w:divsChild>
                                <w:div w:id="1722438974">
                                  <w:marLeft w:val="0"/>
                                  <w:marRight w:val="0"/>
                                  <w:marTop w:val="0"/>
                                  <w:marBottom w:val="0"/>
                                  <w:divBdr>
                                    <w:top w:val="none" w:sz="0" w:space="0" w:color="auto"/>
                                    <w:left w:val="none" w:sz="0" w:space="0" w:color="auto"/>
                                    <w:bottom w:val="none" w:sz="0" w:space="0" w:color="auto"/>
                                    <w:right w:val="none" w:sz="0" w:space="0" w:color="auto"/>
                                  </w:divBdr>
                                </w:div>
                              </w:divsChild>
                            </w:div>
                            <w:div w:id="96564051">
                              <w:marLeft w:val="0"/>
                              <w:marRight w:val="0"/>
                              <w:marTop w:val="0"/>
                              <w:marBottom w:val="0"/>
                              <w:divBdr>
                                <w:top w:val="none" w:sz="0" w:space="0" w:color="auto"/>
                                <w:left w:val="none" w:sz="0" w:space="0" w:color="auto"/>
                                <w:bottom w:val="none" w:sz="0" w:space="0" w:color="auto"/>
                                <w:right w:val="none" w:sz="0" w:space="0" w:color="auto"/>
                              </w:divBdr>
                              <w:divsChild>
                                <w:div w:id="971322982">
                                  <w:marLeft w:val="0"/>
                                  <w:marRight w:val="0"/>
                                  <w:marTop w:val="0"/>
                                  <w:marBottom w:val="0"/>
                                  <w:divBdr>
                                    <w:top w:val="none" w:sz="0" w:space="0" w:color="auto"/>
                                    <w:left w:val="none" w:sz="0" w:space="0" w:color="auto"/>
                                    <w:bottom w:val="none" w:sz="0" w:space="0" w:color="auto"/>
                                    <w:right w:val="none" w:sz="0" w:space="0" w:color="auto"/>
                                  </w:divBdr>
                                  <w:divsChild>
                                    <w:div w:id="388186100">
                                      <w:marLeft w:val="0"/>
                                      <w:marRight w:val="0"/>
                                      <w:marTop w:val="0"/>
                                      <w:marBottom w:val="0"/>
                                      <w:divBdr>
                                        <w:top w:val="none" w:sz="0" w:space="0" w:color="auto"/>
                                        <w:left w:val="none" w:sz="0" w:space="0" w:color="auto"/>
                                        <w:bottom w:val="none" w:sz="0" w:space="0" w:color="auto"/>
                                        <w:right w:val="none" w:sz="0" w:space="0" w:color="auto"/>
                                      </w:divBdr>
                                      <w:divsChild>
                                        <w:div w:id="1875192806">
                                          <w:marLeft w:val="0"/>
                                          <w:marRight w:val="0"/>
                                          <w:marTop w:val="120"/>
                                          <w:marBottom w:val="0"/>
                                          <w:divBdr>
                                            <w:top w:val="none" w:sz="0" w:space="0" w:color="auto"/>
                                            <w:left w:val="none" w:sz="0" w:space="0" w:color="auto"/>
                                            <w:bottom w:val="none" w:sz="0" w:space="0" w:color="auto"/>
                                            <w:right w:val="none" w:sz="0" w:space="0" w:color="auto"/>
                                          </w:divBdr>
                                        </w:div>
                                        <w:div w:id="464660557">
                                          <w:marLeft w:val="0"/>
                                          <w:marRight w:val="0"/>
                                          <w:marTop w:val="0"/>
                                          <w:marBottom w:val="0"/>
                                          <w:divBdr>
                                            <w:top w:val="none" w:sz="0" w:space="0" w:color="auto"/>
                                            <w:left w:val="none" w:sz="0" w:space="0" w:color="auto"/>
                                            <w:bottom w:val="none" w:sz="0" w:space="0" w:color="auto"/>
                                            <w:right w:val="none" w:sz="0" w:space="0" w:color="auto"/>
                                          </w:divBdr>
                                        </w:div>
                                      </w:divsChild>
                                    </w:div>
                                    <w:div w:id="1928923791">
                                      <w:marLeft w:val="0"/>
                                      <w:marRight w:val="0"/>
                                      <w:marTop w:val="0"/>
                                      <w:marBottom w:val="0"/>
                                      <w:divBdr>
                                        <w:top w:val="none" w:sz="0" w:space="0" w:color="auto"/>
                                        <w:left w:val="none" w:sz="0" w:space="0" w:color="auto"/>
                                        <w:bottom w:val="none" w:sz="0" w:space="0" w:color="auto"/>
                                        <w:right w:val="none" w:sz="0" w:space="0" w:color="auto"/>
                                      </w:divBdr>
                                      <w:divsChild>
                                        <w:div w:id="318047271">
                                          <w:marLeft w:val="0"/>
                                          <w:marRight w:val="0"/>
                                          <w:marTop w:val="120"/>
                                          <w:marBottom w:val="0"/>
                                          <w:divBdr>
                                            <w:top w:val="none" w:sz="0" w:space="0" w:color="auto"/>
                                            <w:left w:val="none" w:sz="0" w:space="0" w:color="auto"/>
                                            <w:bottom w:val="none" w:sz="0" w:space="0" w:color="auto"/>
                                            <w:right w:val="none" w:sz="0" w:space="0" w:color="auto"/>
                                          </w:divBdr>
                                        </w:div>
                                        <w:div w:id="1745830763">
                                          <w:marLeft w:val="0"/>
                                          <w:marRight w:val="0"/>
                                          <w:marTop w:val="0"/>
                                          <w:marBottom w:val="0"/>
                                          <w:divBdr>
                                            <w:top w:val="none" w:sz="0" w:space="0" w:color="auto"/>
                                            <w:left w:val="none" w:sz="0" w:space="0" w:color="auto"/>
                                            <w:bottom w:val="none" w:sz="0" w:space="0" w:color="auto"/>
                                            <w:right w:val="none" w:sz="0" w:space="0" w:color="auto"/>
                                          </w:divBdr>
                                        </w:div>
                                      </w:divsChild>
                                    </w:div>
                                    <w:div w:id="1545361001">
                                      <w:marLeft w:val="0"/>
                                      <w:marRight w:val="0"/>
                                      <w:marTop w:val="0"/>
                                      <w:marBottom w:val="0"/>
                                      <w:divBdr>
                                        <w:top w:val="none" w:sz="0" w:space="0" w:color="auto"/>
                                        <w:left w:val="none" w:sz="0" w:space="0" w:color="auto"/>
                                        <w:bottom w:val="none" w:sz="0" w:space="0" w:color="auto"/>
                                        <w:right w:val="none" w:sz="0" w:space="0" w:color="auto"/>
                                      </w:divBdr>
                                      <w:divsChild>
                                        <w:div w:id="159349631">
                                          <w:marLeft w:val="0"/>
                                          <w:marRight w:val="0"/>
                                          <w:marTop w:val="120"/>
                                          <w:marBottom w:val="0"/>
                                          <w:divBdr>
                                            <w:top w:val="none" w:sz="0" w:space="0" w:color="auto"/>
                                            <w:left w:val="none" w:sz="0" w:space="0" w:color="auto"/>
                                            <w:bottom w:val="none" w:sz="0" w:space="0" w:color="auto"/>
                                            <w:right w:val="none" w:sz="0" w:space="0" w:color="auto"/>
                                          </w:divBdr>
                                        </w:div>
                                        <w:div w:id="1768772333">
                                          <w:marLeft w:val="0"/>
                                          <w:marRight w:val="0"/>
                                          <w:marTop w:val="0"/>
                                          <w:marBottom w:val="0"/>
                                          <w:divBdr>
                                            <w:top w:val="none" w:sz="0" w:space="0" w:color="auto"/>
                                            <w:left w:val="none" w:sz="0" w:space="0" w:color="auto"/>
                                            <w:bottom w:val="none" w:sz="0" w:space="0" w:color="auto"/>
                                            <w:right w:val="none" w:sz="0" w:space="0" w:color="auto"/>
                                          </w:divBdr>
                                        </w:div>
                                      </w:divsChild>
                                    </w:div>
                                    <w:div w:id="1091850490">
                                      <w:marLeft w:val="0"/>
                                      <w:marRight w:val="0"/>
                                      <w:marTop w:val="0"/>
                                      <w:marBottom w:val="0"/>
                                      <w:divBdr>
                                        <w:top w:val="none" w:sz="0" w:space="0" w:color="auto"/>
                                        <w:left w:val="none" w:sz="0" w:space="0" w:color="auto"/>
                                        <w:bottom w:val="none" w:sz="0" w:space="0" w:color="auto"/>
                                        <w:right w:val="none" w:sz="0" w:space="0" w:color="auto"/>
                                      </w:divBdr>
                                      <w:divsChild>
                                        <w:div w:id="707609339">
                                          <w:marLeft w:val="0"/>
                                          <w:marRight w:val="0"/>
                                          <w:marTop w:val="120"/>
                                          <w:marBottom w:val="0"/>
                                          <w:divBdr>
                                            <w:top w:val="none" w:sz="0" w:space="0" w:color="auto"/>
                                            <w:left w:val="none" w:sz="0" w:space="0" w:color="auto"/>
                                            <w:bottom w:val="none" w:sz="0" w:space="0" w:color="auto"/>
                                            <w:right w:val="none" w:sz="0" w:space="0" w:color="auto"/>
                                          </w:divBdr>
                                        </w:div>
                                        <w:div w:id="930428476">
                                          <w:marLeft w:val="0"/>
                                          <w:marRight w:val="0"/>
                                          <w:marTop w:val="0"/>
                                          <w:marBottom w:val="0"/>
                                          <w:divBdr>
                                            <w:top w:val="none" w:sz="0" w:space="0" w:color="auto"/>
                                            <w:left w:val="none" w:sz="0" w:space="0" w:color="auto"/>
                                            <w:bottom w:val="none" w:sz="0" w:space="0" w:color="auto"/>
                                            <w:right w:val="none" w:sz="0" w:space="0" w:color="auto"/>
                                          </w:divBdr>
                                        </w:div>
                                      </w:divsChild>
                                    </w:div>
                                    <w:div w:id="550965067">
                                      <w:marLeft w:val="0"/>
                                      <w:marRight w:val="0"/>
                                      <w:marTop w:val="0"/>
                                      <w:marBottom w:val="0"/>
                                      <w:divBdr>
                                        <w:top w:val="none" w:sz="0" w:space="0" w:color="auto"/>
                                        <w:left w:val="none" w:sz="0" w:space="0" w:color="auto"/>
                                        <w:bottom w:val="none" w:sz="0" w:space="0" w:color="auto"/>
                                        <w:right w:val="none" w:sz="0" w:space="0" w:color="auto"/>
                                      </w:divBdr>
                                      <w:divsChild>
                                        <w:div w:id="698043311">
                                          <w:marLeft w:val="0"/>
                                          <w:marRight w:val="0"/>
                                          <w:marTop w:val="120"/>
                                          <w:marBottom w:val="0"/>
                                          <w:divBdr>
                                            <w:top w:val="none" w:sz="0" w:space="0" w:color="auto"/>
                                            <w:left w:val="none" w:sz="0" w:space="0" w:color="auto"/>
                                            <w:bottom w:val="none" w:sz="0" w:space="0" w:color="auto"/>
                                            <w:right w:val="none" w:sz="0" w:space="0" w:color="auto"/>
                                          </w:divBdr>
                                        </w:div>
                                        <w:div w:id="48223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939">
                              <w:marLeft w:val="0"/>
                              <w:marRight w:val="0"/>
                              <w:marTop w:val="0"/>
                              <w:marBottom w:val="0"/>
                              <w:divBdr>
                                <w:top w:val="none" w:sz="0" w:space="0" w:color="auto"/>
                                <w:left w:val="none" w:sz="0" w:space="0" w:color="auto"/>
                                <w:bottom w:val="none" w:sz="0" w:space="0" w:color="auto"/>
                                <w:right w:val="none" w:sz="0" w:space="0" w:color="auto"/>
                              </w:divBdr>
                              <w:divsChild>
                                <w:div w:id="1628900086">
                                  <w:marLeft w:val="0"/>
                                  <w:marRight w:val="0"/>
                                  <w:marTop w:val="0"/>
                                  <w:marBottom w:val="0"/>
                                  <w:divBdr>
                                    <w:top w:val="none" w:sz="0" w:space="0" w:color="auto"/>
                                    <w:left w:val="none" w:sz="0" w:space="0" w:color="auto"/>
                                    <w:bottom w:val="none" w:sz="0" w:space="0" w:color="auto"/>
                                    <w:right w:val="none" w:sz="0" w:space="0" w:color="auto"/>
                                  </w:divBdr>
                                  <w:divsChild>
                                    <w:div w:id="379325507">
                                      <w:marLeft w:val="0"/>
                                      <w:marRight w:val="0"/>
                                      <w:marTop w:val="0"/>
                                      <w:marBottom w:val="0"/>
                                      <w:divBdr>
                                        <w:top w:val="none" w:sz="0" w:space="0" w:color="auto"/>
                                        <w:left w:val="none" w:sz="0" w:space="0" w:color="auto"/>
                                        <w:bottom w:val="none" w:sz="0" w:space="0" w:color="auto"/>
                                        <w:right w:val="none" w:sz="0" w:space="0" w:color="auto"/>
                                      </w:divBdr>
                                      <w:divsChild>
                                        <w:div w:id="1498961789">
                                          <w:marLeft w:val="0"/>
                                          <w:marRight w:val="0"/>
                                          <w:marTop w:val="120"/>
                                          <w:marBottom w:val="0"/>
                                          <w:divBdr>
                                            <w:top w:val="none" w:sz="0" w:space="0" w:color="auto"/>
                                            <w:left w:val="none" w:sz="0" w:space="0" w:color="auto"/>
                                            <w:bottom w:val="none" w:sz="0" w:space="0" w:color="auto"/>
                                            <w:right w:val="none" w:sz="0" w:space="0" w:color="auto"/>
                                          </w:divBdr>
                                        </w:div>
                                        <w:div w:id="157237049">
                                          <w:marLeft w:val="0"/>
                                          <w:marRight w:val="0"/>
                                          <w:marTop w:val="0"/>
                                          <w:marBottom w:val="0"/>
                                          <w:divBdr>
                                            <w:top w:val="none" w:sz="0" w:space="0" w:color="auto"/>
                                            <w:left w:val="none" w:sz="0" w:space="0" w:color="auto"/>
                                            <w:bottom w:val="none" w:sz="0" w:space="0" w:color="auto"/>
                                            <w:right w:val="none" w:sz="0" w:space="0" w:color="auto"/>
                                          </w:divBdr>
                                        </w:div>
                                      </w:divsChild>
                                    </w:div>
                                    <w:div w:id="1310356464">
                                      <w:marLeft w:val="0"/>
                                      <w:marRight w:val="0"/>
                                      <w:marTop w:val="0"/>
                                      <w:marBottom w:val="0"/>
                                      <w:divBdr>
                                        <w:top w:val="none" w:sz="0" w:space="0" w:color="auto"/>
                                        <w:left w:val="none" w:sz="0" w:space="0" w:color="auto"/>
                                        <w:bottom w:val="none" w:sz="0" w:space="0" w:color="auto"/>
                                        <w:right w:val="none" w:sz="0" w:space="0" w:color="auto"/>
                                      </w:divBdr>
                                      <w:divsChild>
                                        <w:div w:id="1703822636">
                                          <w:marLeft w:val="0"/>
                                          <w:marRight w:val="0"/>
                                          <w:marTop w:val="120"/>
                                          <w:marBottom w:val="0"/>
                                          <w:divBdr>
                                            <w:top w:val="none" w:sz="0" w:space="0" w:color="auto"/>
                                            <w:left w:val="none" w:sz="0" w:space="0" w:color="auto"/>
                                            <w:bottom w:val="none" w:sz="0" w:space="0" w:color="auto"/>
                                            <w:right w:val="none" w:sz="0" w:space="0" w:color="auto"/>
                                          </w:divBdr>
                                        </w:div>
                                        <w:div w:id="143216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858093">
                              <w:marLeft w:val="0"/>
                              <w:marRight w:val="0"/>
                              <w:marTop w:val="0"/>
                              <w:marBottom w:val="0"/>
                              <w:divBdr>
                                <w:top w:val="none" w:sz="0" w:space="0" w:color="auto"/>
                                <w:left w:val="none" w:sz="0" w:space="0" w:color="auto"/>
                                <w:bottom w:val="none" w:sz="0" w:space="0" w:color="auto"/>
                                <w:right w:val="none" w:sz="0" w:space="0" w:color="auto"/>
                              </w:divBdr>
                              <w:divsChild>
                                <w:div w:id="1732073760">
                                  <w:marLeft w:val="0"/>
                                  <w:marRight w:val="0"/>
                                  <w:marTop w:val="0"/>
                                  <w:marBottom w:val="0"/>
                                  <w:divBdr>
                                    <w:top w:val="none" w:sz="0" w:space="0" w:color="auto"/>
                                    <w:left w:val="none" w:sz="0" w:space="0" w:color="auto"/>
                                    <w:bottom w:val="none" w:sz="0" w:space="0" w:color="auto"/>
                                    <w:right w:val="none" w:sz="0" w:space="0" w:color="auto"/>
                                  </w:divBdr>
                                </w:div>
                              </w:divsChild>
                            </w:div>
                            <w:div w:id="438255134">
                              <w:marLeft w:val="0"/>
                              <w:marRight w:val="0"/>
                              <w:marTop w:val="0"/>
                              <w:marBottom w:val="0"/>
                              <w:divBdr>
                                <w:top w:val="none" w:sz="0" w:space="0" w:color="auto"/>
                                <w:left w:val="none" w:sz="0" w:space="0" w:color="auto"/>
                                <w:bottom w:val="none" w:sz="0" w:space="0" w:color="auto"/>
                                <w:right w:val="none" w:sz="0" w:space="0" w:color="auto"/>
                              </w:divBdr>
                              <w:divsChild>
                                <w:div w:id="1565027620">
                                  <w:marLeft w:val="0"/>
                                  <w:marRight w:val="0"/>
                                  <w:marTop w:val="0"/>
                                  <w:marBottom w:val="0"/>
                                  <w:divBdr>
                                    <w:top w:val="none" w:sz="0" w:space="0" w:color="auto"/>
                                    <w:left w:val="none" w:sz="0" w:space="0" w:color="auto"/>
                                    <w:bottom w:val="none" w:sz="0" w:space="0" w:color="auto"/>
                                    <w:right w:val="none" w:sz="0" w:space="0" w:color="auto"/>
                                  </w:divBdr>
                                </w:div>
                              </w:divsChild>
                            </w:div>
                            <w:div w:id="1506557910">
                              <w:marLeft w:val="0"/>
                              <w:marRight w:val="0"/>
                              <w:marTop w:val="0"/>
                              <w:marBottom w:val="0"/>
                              <w:divBdr>
                                <w:top w:val="none" w:sz="0" w:space="0" w:color="auto"/>
                                <w:left w:val="none" w:sz="0" w:space="0" w:color="auto"/>
                                <w:bottom w:val="none" w:sz="0" w:space="0" w:color="auto"/>
                                <w:right w:val="none" w:sz="0" w:space="0" w:color="auto"/>
                              </w:divBdr>
                              <w:divsChild>
                                <w:div w:id="249002355">
                                  <w:marLeft w:val="0"/>
                                  <w:marRight w:val="0"/>
                                  <w:marTop w:val="0"/>
                                  <w:marBottom w:val="0"/>
                                  <w:divBdr>
                                    <w:top w:val="none" w:sz="0" w:space="0" w:color="auto"/>
                                    <w:left w:val="none" w:sz="0" w:space="0" w:color="auto"/>
                                    <w:bottom w:val="none" w:sz="0" w:space="0" w:color="auto"/>
                                    <w:right w:val="none" w:sz="0" w:space="0" w:color="auto"/>
                                  </w:divBdr>
                                </w:div>
                              </w:divsChild>
                            </w:div>
                            <w:div w:id="688290135">
                              <w:marLeft w:val="0"/>
                              <w:marRight w:val="0"/>
                              <w:marTop w:val="0"/>
                              <w:marBottom w:val="0"/>
                              <w:divBdr>
                                <w:top w:val="none" w:sz="0" w:space="0" w:color="auto"/>
                                <w:left w:val="none" w:sz="0" w:space="0" w:color="auto"/>
                                <w:bottom w:val="none" w:sz="0" w:space="0" w:color="auto"/>
                                <w:right w:val="none" w:sz="0" w:space="0" w:color="auto"/>
                              </w:divBdr>
                              <w:divsChild>
                                <w:div w:id="299574362">
                                  <w:marLeft w:val="0"/>
                                  <w:marRight w:val="0"/>
                                  <w:marTop w:val="0"/>
                                  <w:marBottom w:val="0"/>
                                  <w:divBdr>
                                    <w:top w:val="none" w:sz="0" w:space="0" w:color="auto"/>
                                    <w:left w:val="none" w:sz="0" w:space="0" w:color="auto"/>
                                    <w:bottom w:val="none" w:sz="0" w:space="0" w:color="auto"/>
                                    <w:right w:val="none" w:sz="0" w:space="0" w:color="auto"/>
                                  </w:divBdr>
                                </w:div>
                              </w:divsChild>
                            </w:div>
                            <w:div w:id="1547643298">
                              <w:marLeft w:val="0"/>
                              <w:marRight w:val="0"/>
                              <w:marTop w:val="0"/>
                              <w:marBottom w:val="0"/>
                              <w:divBdr>
                                <w:top w:val="none" w:sz="0" w:space="0" w:color="auto"/>
                                <w:left w:val="none" w:sz="0" w:space="0" w:color="auto"/>
                                <w:bottom w:val="none" w:sz="0" w:space="0" w:color="auto"/>
                                <w:right w:val="none" w:sz="0" w:space="0" w:color="auto"/>
                              </w:divBdr>
                              <w:divsChild>
                                <w:div w:id="846675421">
                                  <w:marLeft w:val="0"/>
                                  <w:marRight w:val="0"/>
                                  <w:marTop w:val="0"/>
                                  <w:marBottom w:val="0"/>
                                  <w:divBdr>
                                    <w:top w:val="none" w:sz="0" w:space="0" w:color="auto"/>
                                    <w:left w:val="none" w:sz="0" w:space="0" w:color="auto"/>
                                    <w:bottom w:val="none" w:sz="0" w:space="0" w:color="auto"/>
                                    <w:right w:val="none" w:sz="0" w:space="0" w:color="auto"/>
                                  </w:divBdr>
                                </w:div>
                              </w:divsChild>
                            </w:div>
                            <w:div w:id="768043529">
                              <w:marLeft w:val="0"/>
                              <w:marRight w:val="0"/>
                              <w:marTop w:val="0"/>
                              <w:marBottom w:val="0"/>
                              <w:divBdr>
                                <w:top w:val="none" w:sz="0" w:space="0" w:color="auto"/>
                                <w:left w:val="none" w:sz="0" w:space="0" w:color="auto"/>
                                <w:bottom w:val="none" w:sz="0" w:space="0" w:color="auto"/>
                                <w:right w:val="none" w:sz="0" w:space="0" w:color="auto"/>
                              </w:divBdr>
                              <w:divsChild>
                                <w:div w:id="75755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06606">
                          <w:marLeft w:val="0"/>
                          <w:marRight w:val="0"/>
                          <w:marTop w:val="0"/>
                          <w:marBottom w:val="0"/>
                          <w:divBdr>
                            <w:top w:val="none" w:sz="0" w:space="0" w:color="auto"/>
                            <w:left w:val="none" w:sz="0" w:space="0" w:color="auto"/>
                            <w:bottom w:val="none" w:sz="0" w:space="0" w:color="auto"/>
                            <w:right w:val="none" w:sz="0" w:space="0" w:color="auto"/>
                          </w:divBdr>
                          <w:divsChild>
                            <w:div w:id="1464344373">
                              <w:marLeft w:val="0"/>
                              <w:marRight w:val="0"/>
                              <w:marTop w:val="0"/>
                              <w:marBottom w:val="0"/>
                              <w:divBdr>
                                <w:top w:val="none" w:sz="0" w:space="0" w:color="auto"/>
                                <w:left w:val="none" w:sz="0" w:space="0" w:color="auto"/>
                                <w:bottom w:val="none" w:sz="0" w:space="0" w:color="auto"/>
                                <w:right w:val="none" w:sz="0" w:space="0" w:color="auto"/>
                              </w:divBdr>
                            </w:div>
                            <w:div w:id="1077173096">
                              <w:marLeft w:val="0"/>
                              <w:marRight w:val="0"/>
                              <w:marTop w:val="0"/>
                              <w:marBottom w:val="0"/>
                              <w:divBdr>
                                <w:top w:val="none" w:sz="0" w:space="0" w:color="auto"/>
                                <w:left w:val="none" w:sz="0" w:space="0" w:color="auto"/>
                                <w:bottom w:val="none" w:sz="0" w:space="0" w:color="auto"/>
                                <w:right w:val="none" w:sz="0" w:space="0" w:color="auto"/>
                              </w:divBdr>
                              <w:divsChild>
                                <w:div w:id="1858301818">
                                  <w:marLeft w:val="0"/>
                                  <w:marRight w:val="0"/>
                                  <w:marTop w:val="0"/>
                                  <w:marBottom w:val="0"/>
                                  <w:divBdr>
                                    <w:top w:val="none" w:sz="0" w:space="0" w:color="auto"/>
                                    <w:left w:val="none" w:sz="0" w:space="0" w:color="auto"/>
                                    <w:bottom w:val="none" w:sz="0" w:space="0" w:color="auto"/>
                                    <w:right w:val="none" w:sz="0" w:space="0" w:color="auto"/>
                                  </w:divBdr>
                                  <w:divsChild>
                                    <w:div w:id="2145154481">
                                      <w:marLeft w:val="0"/>
                                      <w:marRight w:val="0"/>
                                      <w:marTop w:val="0"/>
                                      <w:marBottom w:val="0"/>
                                      <w:divBdr>
                                        <w:top w:val="none" w:sz="0" w:space="0" w:color="auto"/>
                                        <w:left w:val="none" w:sz="0" w:space="0" w:color="auto"/>
                                        <w:bottom w:val="none" w:sz="0" w:space="0" w:color="auto"/>
                                        <w:right w:val="none" w:sz="0" w:space="0" w:color="auto"/>
                                      </w:divBdr>
                                      <w:divsChild>
                                        <w:div w:id="962423315">
                                          <w:marLeft w:val="0"/>
                                          <w:marRight w:val="0"/>
                                          <w:marTop w:val="120"/>
                                          <w:marBottom w:val="0"/>
                                          <w:divBdr>
                                            <w:top w:val="none" w:sz="0" w:space="0" w:color="auto"/>
                                            <w:left w:val="none" w:sz="0" w:space="0" w:color="auto"/>
                                            <w:bottom w:val="none" w:sz="0" w:space="0" w:color="auto"/>
                                            <w:right w:val="none" w:sz="0" w:space="0" w:color="auto"/>
                                          </w:divBdr>
                                        </w:div>
                                        <w:div w:id="2141803556">
                                          <w:marLeft w:val="0"/>
                                          <w:marRight w:val="0"/>
                                          <w:marTop w:val="0"/>
                                          <w:marBottom w:val="0"/>
                                          <w:divBdr>
                                            <w:top w:val="none" w:sz="0" w:space="0" w:color="auto"/>
                                            <w:left w:val="none" w:sz="0" w:space="0" w:color="auto"/>
                                            <w:bottom w:val="none" w:sz="0" w:space="0" w:color="auto"/>
                                            <w:right w:val="none" w:sz="0" w:space="0" w:color="auto"/>
                                          </w:divBdr>
                                        </w:div>
                                      </w:divsChild>
                                    </w:div>
                                    <w:div w:id="61221324">
                                      <w:marLeft w:val="0"/>
                                      <w:marRight w:val="0"/>
                                      <w:marTop w:val="0"/>
                                      <w:marBottom w:val="0"/>
                                      <w:divBdr>
                                        <w:top w:val="none" w:sz="0" w:space="0" w:color="auto"/>
                                        <w:left w:val="none" w:sz="0" w:space="0" w:color="auto"/>
                                        <w:bottom w:val="none" w:sz="0" w:space="0" w:color="auto"/>
                                        <w:right w:val="none" w:sz="0" w:space="0" w:color="auto"/>
                                      </w:divBdr>
                                      <w:divsChild>
                                        <w:div w:id="742987066">
                                          <w:marLeft w:val="0"/>
                                          <w:marRight w:val="0"/>
                                          <w:marTop w:val="120"/>
                                          <w:marBottom w:val="0"/>
                                          <w:divBdr>
                                            <w:top w:val="none" w:sz="0" w:space="0" w:color="auto"/>
                                            <w:left w:val="none" w:sz="0" w:space="0" w:color="auto"/>
                                            <w:bottom w:val="none" w:sz="0" w:space="0" w:color="auto"/>
                                            <w:right w:val="none" w:sz="0" w:space="0" w:color="auto"/>
                                          </w:divBdr>
                                        </w:div>
                                        <w:div w:id="1375538914">
                                          <w:marLeft w:val="0"/>
                                          <w:marRight w:val="0"/>
                                          <w:marTop w:val="0"/>
                                          <w:marBottom w:val="0"/>
                                          <w:divBdr>
                                            <w:top w:val="none" w:sz="0" w:space="0" w:color="auto"/>
                                            <w:left w:val="none" w:sz="0" w:space="0" w:color="auto"/>
                                            <w:bottom w:val="none" w:sz="0" w:space="0" w:color="auto"/>
                                            <w:right w:val="none" w:sz="0" w:space="0" w:color="auto"/>
                                          </w:divBdr>
                                        </w:div>
                                      </w:divsChild>
                                    </w:div>
                                    <w:div w:id="787117273">
                                      <w:marLeft w:val="0"/>
                                      <w:marRight w:val="0"/>
                                      <w:marTop w:val="0"/>
                                      <w:marBottom w:val="0"/>
                                      <w:divBdr>
                                        <w:top w:val="none" w:sz="0" w:space="0" w:color="auto"/>
                                        <w:left w:val="none" w:sz="0" w:space="0" w:color="auto"/>
                                        <w:bottom w:val="none" w:sz="0" w:space="0" w:color="auto"/>
                                        <w:right w:val="none" w:sz="0" w:space="0" w:color="auto"/>
                                      </w:divBdr>
                                      <w:divsChild>
                                        <w:div w:id="297878728">
                                          <w:marLeft w:val="0"/>
                                          <w:marRight w:val="0"/>
                                          <w:marTop w:val="120"/>
                                          <w:marBottom w:val="0"/>
                                          <w:divBdr>
                                            <w:top w:val="none" w:sz="0" w:space="0" w:color="auto"/>
                                            <w:left w:val="none" w:sz="0" w:space="0" w:color="auto"/>
                                            <w:bottom w:val="none" w:sz="0" w:space="0" w:color="auto"/>
                                            <w:right w:val="none" w:sz="0" w:space="0" w:color="auto"/>
                                          </w:divBdr>
                                        </w:div>
                                        <w:div w:id="1520705289">
                                          <w:marLeft w:val="0"/>
                                          <w:marRight w:val="0"/>
                                          <w:marTop w:val="0"/>
                                          <w:marBottom w:val="0"/>
                                          <w:divBdr>
                                            <w:top w:val="none" w:sz="0" w:space="0" w:color="auto"/>
                                            <w:left w:val="none" w:sz="0" w:space="0" w:color="auto"/>
                                            <w:bottom w:val="none" w:sz="0" w:space="0" w:color="auto"/>
                                            <w:right w:val="none" w:sz="0" w:space="0" w:color="auto"/>
                                          </w:divBdr>
                                        </w:div>
                                      </w:divsChild>
                                    </w:div>
                                    <w:div w:id="412625599">
                                      <w:marLeft w:val="0"/>
                                      <w:marRight w:val="0"/>
                                      <w:marTop w:val="0"/>
                                      <w:marBottom w:val="0"/>
                                      <w:divBdr>
                                        <w:top w:val="none" w:sz="0" w:space="0" w:color="auto"/>
                                        <w:left w:val="none" w:sz="0" w:space="0" w:color="auto"/>
                                        <w:bottom w:val="none" w:sz="0" w:space="0" w:color="auto"/>
                                        <w:right w:val="none" w:sz="0" w:space="0" w:color="auto"/>
                                      </w:divBdr>
                                      <w:divsChild>
                                        <w:div w:id="1611470428">
                                          <w:marLeft w:val="0"/>
                                          <w:marRight w:val="0"/>
                                          <w:marTop w:val="120"/>
                                          <w:marBottom w:val="0"/>
                                          <w:divBdr>
                                            <w:top w:val="none" w:sz="0" w:space="0" w:color="auto"/>
                                            <w:left w:val="none" w:sz="0" w:space="0" w:color="auto"/>
                                            <w:bottom w:val="none" w:sz="0" w:space="0" w:color="auto"/>
                                            <w:right w:val="none" w:sz="0" w:space="0" w:color="auto"/>
                                          </w:divBdr>
                                        </w:div>
                                        <w:div w:id="165826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210739">
                              <w:marLeft w:val="0"/>
                              <w:marRight w:val="0"/>
                              <w:marTop w:val="0"/>
                              <w:marBottom w:val="0"/>
                              <w:divBdr>
                                <w:top w:val="none" w:sz="0" w:space="0" w:color="auto"/>
                                <w:left w:val="none" w:sz="0" w:space="0" w:color="auto"/>
                                <w:bottom w:val="none" w:sz="0" w:space="0" w:color="auto"/>
                                <w:right w:val="none" w:sz="0" w:space="0" w:color="auto"/>
                              </w:divBdr>
                              <w:divsChild>
                                <w:div w:id="2144960077">
                                  <w:marLeft w:val="0"/>
                                  <w:marRight w:val="0"/>
                                  <w:marTop w:val="0"/>
                                  <w:marBottom w:val="0"/>
                                  <w:divBdr>
                                    <w:top w:val="none" w:sz="0" w:space="0" w:color="auto"/>
                                    <w:left w:val="none" w:sz="0" w:space="0" w:color="auto"/>
                                    <w:bottom w:val="none" w:sz="0" w:space="0" w:color="auto"/>
                                    <w:right w:val="none" w:sz="0" w:space="0" w:color="auto"/>
                                  </w:divBdr>
                                  <w:divsChild>
                                    <w:div w:id="1396009966">
                                      <w:marLeft w:val="0"/>
                                      <w:marRight w:val="0"/>
                                      <w:marTop w:val="0"/>
                                      <w:marBottom w:val="0"/>
                                      <w:divBdr>
                                        <w:top w:val="none" w:sz="0" w:space="0" w:color="auto"/>
                                        <w:left w:val="none" w:sz="0" w:space="0" w:color="auto"/>
                                        <w:bottom w:val="none" w:sz="0" w:space="0" w:color="auto"/>
                                        <w:right w:val="none" w:sz="0" w:space="0" w:color="auto"/>
                                      </w:divBdr>
                                      <w:divsChild>
                                        <w:div w:id="1152915796">
                                          <w:marLeft w:val="0"/>
                                          <w:marRight w:val="0"/>
                                          <w:marTop w:val="120"/>
                                          <w:marBottom w:val="0"/>
                                          <w:divBdr>
                                            <w:top w:val="none" w:sz="0" w:space="0" w:color="auto"/>
                                            <w:left w:val="none" w:sz="0" w:space="0" w:color="auto"/>
                                            <w:bottom w:val="none" w:sz="0" w:space="0" w:color="auto"/>
                                            <w:right w:val="none" w:sz="0" w:space="0" w:color="auto"/>
                                          </w:divBdr>
                                        </w:div>
                                        <w:div w:id="716511800">
                                          <w:marLeft w:val="0"/>
                                          <w:marRight w:val="0"/>
                                          <w:marTop w:val="0"/>
                                          <w:marBottom w:val="0"/>
                                          <w:divBdr>
                                            <w:top w:val="none" w:sz="0" w:space="0" w:color="auto"/>
                                            <w:left w:val="none" w:sz="0" w:space="0" w:color="auto"/>
                                            <w:bottom w:val="none" w:sz="0" w:space="0" w:color="auto"/>
                                            <w:right w:val="none" w:sz="0" w:space="0" w:color="auto"/>
                                          </w:divBdr>
                                        </w:div>
                                      </w:divsChild>
                                    </w:div>
                                    <w:div w:id="123736492">
                                      <w:marLeft w:val="0"/>
                                      <w:marRight w:val="0"/>
                                      <w:marTop w:val="0"/>
                                      <w:marBottom w:val="0"/>
                                      <w:divBdr>
                                        <w:top w:val="none" w:sz="0" w:space="0" w:color="auto"/>
                                        <w:left w:val="none" w:sz="0" w:space="0" w:color="auto"/>
                                        <w:bottom w:val="none" w:sz="0" w:space="0" w:color="auto"/>
                                        <w:right w:val="none" w:sz="0" w:space="0" w:color="auto"/>
                                      </w:divBdr>
                                      <w:divsChild>
                                        <w:div w:id="890577375">
                                          <w:marLeft w:val="0"/>
                                          <w:marRight w:val="0"/>
                                          <w:marTop w:val="120"/>
                                          <w:marBottom w:val="0"/>
                                          <w:divBdr>
                                            <w:top w:val="none" w:sz="0" w:space="0" w:color="auto"/>
                                            <w:left w:val="none" w:sz="0" w:space="0" w:color="auto"/>
                                            <w:bottom w:val="none" w:sz="0" w:space="0" w:color="auto"/>
                                            <w:right w:val="none" w:sz="0" w:space="0" w:color="auto"/>
                                          </w:divBdr>
                                        </w:div>
                                        <w:div w:id="127288885">
                                          <w:marLeft w:val="0"/>
                                          <w:marRight w:val="0"/>
                                          <w:marTop w:val="0"/>
                                          <w:marBottom w:val="0"/>
                                          <w:divBdr>
                                            <w:top w:val="none" w:sz="0" w:space="0" w:color="auto"/>
                                            <w:left w:val="none" w:sz="0" w:space="0" w:color="auto"/>
                                            <w:bottom w:val="none" w:sz="0" w:space="0" w:color="auto"/>
                                            <w:right w:val="none" w:sz="0" w:space="0" w:color="auto"/>
                                          </w:divBdr>
                                        </w:div>
                                      </w:divsChild>
                                    </w:div>
                                    <w:div w:id="573665728">
                                      <w:marLeft w:val="0"/>
                                      <w:marRight w:val="0"/>
                                      <w:marTop w:val="0"/>
                                      <w:marBottom w:val="0"/>
                                      <w:divBdr>
                                        <w:top w:val="none" w:sz="0" w:space="0" w:color="auto"/>
                                        <w:left w:val="none" w:sz="0" w:space="0" w:color="auto"/>
                                        <w:bottom w:val="none" w:sz="0" w:space="0" w:color="auto"/>
                                        <w:right w:val="none" w:sz="0" w:space="0" w:color="auto"/>
                                      </w:divBdr>
                                      <w:divsChild>
                                        <w:div w:id="188565528">
                                          <w:marLeft w:val="0"/>
                                          <w:marRight w:val="0"/>
                                          <w:marTop w:val="120"/>
                                          <w:marBottom w:val="0"/>
                                          <w:divBdr>
                                            <w:top w:val="none" w:sz="0" w:space="0" w:color="auto"/>
                                            <w:left w:val="none" w:sz="0" w:space="0" w:color="auto"/>
                                            <w:bottom w:val="none" w:sz="0" w:space="0" w:color="auto"/>
                                            <w:right w:val="none" w:sz="0" w:space="0" w:color="auto"/>
                                          </w:divBdr>
                                        </w:div>
                                        <w:div w:id="1882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318849">
                              <w:marLeft w:val="0"/>
                              <w:marRight w:val="0"/>
                              <w:marTop w:val="0"/>
                              <w:marBottom w:val="0"/>
                              <w:divBdr>
                                <w:top w:val="none" w:sz="0" w:space="0" w:color="auto"/>
                                <w:left w:val="none" w:sz="0" w:space="0" w:color="auto"/>
                                <w:bottom w:val="none" w:sz="0" w:space="0" w:color="auto"/>
                                <w:right w:val="none" w:sz="0" w:space="0" w:color="auto"/>
                              </w:divBdr>
                              <w:divsChild>
                                <w:div w:id="674303637">
                                  <w:marLeft w:val="0"/>
                                  <w:marRight w:val="0"/>
                                  <w:marTop w:val="0"/>
                                  <w:marBottom w:val="0"/>
                                  <w:divBdr>
                                    <w:top w:val="none" w:sz="0" w:space="0" w:color="auto"/>
                                    <w:left w:val="none" w:sz="0" w:space="0" w:color="auto"/>
                                    <w:bottom w:val="none" w:sz="0" w:space="0" w:color="auto"/>
                                    <w:right w:val="none" w:sz="0" w:space="0" w:color="auto"/>
                                  </w:divBdr>
                                  <w:divsChild>
                                    <w:div w:id="2005426931">
                                      <w:marLeft w:val="0"/>
                                      <w:marRight w:val="0"/>
                                      <w:marTop w:val="0"/>
                                      <w:marBottom w:val="0"/>
                                      <w:divBdr>
                                        <w:top w:val="none" w:sz="0" w:space="0" w:color="auto"/>
                                        <w:left w:val="none" w:sz="0" w:space="0" w:color="auto"/>
                                        <w:bottom w:val="none" w:sz="0" w:space="0" w:color="auto"/>
                                        <w:right w:val="none" w:sz="0" w:space="0" w:color="auto"/>
                                      </w:divBdr>
                                      <w:divsChild>
                                        <w:div w:id="1689063422">
                                          <w:marLeft w:val="0"/>
                                          <w:marRight w:val="0"/>
                                          <w:marTop w:val="120"/>
                                          <w:marBottom w:val="0"/>
                                          <w:divBdr>
                                            <w:top w:val="none" w:sz="0" w:space="0" w:color="auto"/>
                                            <w:left w:val="none" w:sz="0" w:space="0" w:color="auto"/>
                                            <w:bottom w:val="none" w:sz="0" w:space="0" w:color="auto"/>
                                            <w:right w:val="none" w:sz="0" w:space="0" w:color="auto"/>
                                          </w:divBdr>
                                        </w:div>
                                        <w:div w:id="286863546">
                                          <w:marLeft w:val="0"/>
                                          <w:marRight w:val="0"/>
                                          <w:marTop w:val="0"/>
                                          <w:marBottom w:val="0"/>
                                          <w:divBdr>
                                            <w:top w:val="none" w:sz="0" w:space="0" w:color="auto"/>
                                            <w:left w:val="none" w:sz="0" w:space="0" w:color="auto"/>
                                            <w:bottom w:val="none" w:sz="0" w:space="0" w:color="auto"/>
                                            <w:right w:val="none" w:sz="0" w:space="0" w:color="auto"/>
                                          </w:divBdr>
                                        </w:div>
                                      </w:divsChild>
                                    </w:div>
                                    <w:div w:id="319847445">
                                      <w:marLeft w:val="0"/>
                                      <w:marRight w:val="0"/>
                                      <w:marTop w:val="0"/>
                                      <w:marBottom w:val="0"/>
                                      <w:divBdr>
                                        <w:top w:val="none" w:sz="0" w:space="0" w:color="auto"/>
                                        <w:left w:val="none" w:sz="0" w:space="0" w:color="auto"/>
                                        <w:bottom w:val="none" w:sz="0" w:space="0" w:color="auto"/>
                                        <w:right w:val="none" w:sz="0" w:space="0" w:color="auto"/>
                                      </w:divBdr>
                                      <w:divsChild>
                                        <w:div w:id="761491539">
                                          <w:marLeft w:val="0"/>
                                          <w:marRight w:val="0"/>
                                          <w:marTop w:val="120"/>
                                          <w:marBottom w:val="0"/>
                                          <w:divBdr>
                                            <w:top w:val="none" w:sz="0" w:space="0" w:color="auto"/>
                                            <w:left w:val="none" w:sz="0" w:space="0" w:color="auto"/>
                                            <w:bottom w:val="none" w:sz="0" w:space="0" w:color="auto"/>
                                            <w:right w:val="none" w:sz="0" w:space="0" w:color="auto"/>
                                          </w:divBdr>
                                        </w:div>
                                        <w:div w:id="1496603061">
                                          <w:marLeft w:val="0"/>
                                          <w:marRight w:val="0"/>
                                          <w:marTop w:val="0"/>
                                          <w:marBottom w:val="0"/>
                                          <w:divBdr>
                                            <w:top w:val="none" w:sz="0" w:space="0" w:color="auto"/>
                                            <w:left w:val="none" w:sz="0" w:space="0" w:color="auto"/>
                                            <w:bottom w:val="none" w:sz="0" w:space="0" w:color="auto"/>
                                            <w:right w:val="none" w:sz="0" w:space="0" w:color="auto"/>
                                          </w:divBdr>
                                        </w:div>
                                      </w:divsChild>
                                    </w:div>
                                    <w:div w:id="45760128">
                                      <w:marLeft w:val="0"/>
                                      <w:marRight w:val="0"/>
                                      <w:marTop w:val="0"/>
                                      <w:marBottom w:val="0"/>
                                      <w:divBdr>
                                        <w:top w:val="none" w:sz="0" w:space="0" w:color="auto"/>
                                        <w:left w:val="none" w:sz="0" w:space="0" w:color="auto"/>
                                        <w:bottom w:val="none" w:sz="0" w:space="0" w:color="auto"/>
                                        <w:right w:val="none" w:sz="0" w:space="0" w:color="auto"/>
                                      </w:divBdr>
                                      <w:divsChild>
                                        <w:div w:id="1832210772">
                                          <w:marLeft w:val="0"/>
                                          <w:marRight w:val="0"/>
                                          <w:marTop w:val="120"/>
                                          <w:marBottom w:val="0"/>
                                          <w:divBdr>
                                            <w:top w:val="none" w:sz="0" w:space="0" w:color="auto"/>
                                            <w:left w:val="none" w:sz="0" w:space="0" w:color="auto"/>
                                            <w:bottom w:val="none" w:sz="0" w:space="0" w:color="auto"/>
                                            <w:right w:val="none" w:sz="0" w:space="0" w:color="auto"/>
                                          </w:divBdr>
                                        </w:div>
                                        <w:div w:id="283852691">
                                          <w:marLeft w:val="0"/>
                                          <w:marRight w:val="0"/>
                                          <w:marTop w:val="0"/>
                                          <w:marBottom w:val="0"/>
                                          <w:divBdr>
                                            <w:top w:val="none" w:sz="0" w:space="0" w:color="auto"/>
                                            <w:left w:val="none" w:sz="0" w:space="0" w:color="auto"/>
                                            <w:bottom w:val="none" w:sz="0" w:space="0" w:color="auto"/>
                                            <w:right w:val="none" w:sz="0" w:space="0" w:color="auto"/>
                                          </w:divBdr>
                                        </w:div>
                                      </w:divsChild>
                                    </w:div>
                                    <w:div w:id="1629823743">
                                      <w:marLeft w:val="0"/>
                                      <w:marRight w:val="0"/>
                                      <w:marTop w:val="0"/>
                                      <w:marBottom w:val="0"/>
                                      <w:divBdr>
                                        <w:top w:val="none" w:sz="0" w:space="0" w:color="auto"/>
                                        <w:left w:val="none" w:sz="0" w:space="0" w:color="auto"/>
                                        <w:bottom w:val="none" w:sz="0" w:space="0" w:color="auto"/>
                                        <w:right w:val="none" w:sz="0" w:space="0" w:color="auto"/>
                                      </w:divBdr>
                                      <w:divsChild>
                                        <w:div w:id="1117866434">
                                          <w:marLeft w:val="0"/>
                                          <w:marRight w:val="0"/>
                                          <w:marTop w:val="120"/>
                                          <w:marBottom w:val="0"/>
                                          <w:divBdr>
                                            <w:top w:val="none" w:sz="0" w:space="0" w:color="auto"/>
                                            <w:left w:val="none" w:sz="0" w:space="0" w:color="auto"/>
                                            <w:bottom w:val="none" w:sz="0" w:space="0" w:color="auto"/>
                                            <w:right w:val="none" w:sz="0" w:space="0" w:color="auto"/>
                                          </w:divBdr>
                                        </w:div>
                                        <w:div w:id="77405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868065">
                              <w:marLeft w:val="0"/>
                              <w:marRight w:val="0"/>
                              <w:marTop w:val="0"/>
                              <w:marBottom w:val="0"/>
                              <w:divBdr>
                                <w:top w:val="none" w:sz="0" w:space="0" w:color="auto"/>
                                <w:left w:val="none" w:sz="0" w:space="0" w:color="auto"/>
                                <w:bottom w:val="none" w:sz="0" w:space="0" w:color="auto"/>
                                <w:right w:val="none" w:sz="0" w:space="0" w:color="auto"/>
                              </w:divBdr>
                              <w:divsChild>
                                <w:div w:id="1175076033">
                                  <w:marLeft w:val="0"/>
                                  <w:marRight w:val="0"/>
                                  <w:marTop w:val="0"/>
                                  <w:marBottom w:val="0"/>
                                  <w:divBdr>
                                    <w:top w:val="none" w:sz="0" w:space="0" w:color="auto"/>
                                    <w:left w:val="none" w:sz="0" w:space="0" w:color="auto"/>
                                    <w:bottom w:val="none" w:sz="0" w:space="0" w:color="auto"/>
                                    <w:right w:val="none" w:sz="0" w:space="0" w:color="auto"/>
                                  </w:divBdr>
                                </w:div>
                              </w:divsChild>
                            </w:div>
                            <w:div w:id="1969243705">
                              <w:marLeft w:val="0"/>
                              <w:marRight w:val="0"/>
                              <w:marTop w:val="0"/>
                              <w:marBottom w:val="0"/>
                              <w:divBdr>
                                <w:top w:val="none" w:sz="0" w:space="0" w:color="auto"/>
                                <w:left w:val="none" w:sz="0" w:space="0" w:color="auto"/>
                                <w:bottom w:val="none" w:sz="0" w:space="0" w:color="auto"/>
                                <w:right w:val="none" w:sz="0" w:space="0" w:color="auto"/>
                              </w:divBdr>
                              <w:divsChild>
                                <w:div w:id="42881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4119">
                          <w:marLeft w:val="0"/>
                          <w:marRight w:val="0"/>
                          <w:marTop w:val="0"/>
                          <w:marBottom w:val="0"/>
                          <w:divBdr>
                            <w:top w:val="none" w:sz="0" w:space="0" w:color="auto"/>
                            <w:left w:val="none" w:sz="0" w:space="0" w:color="auto"/>
                            <w:bottom w:val="none" w:sz="0" w:space="0" w:color="auto"/>
                            <w:right w:val="none" w:sz="0" w:space="0" w:color="auto"/>
                          </w:divBdr>
                          <w:divsChild>
                            <w:div w:id="1340234756">
                              <w:marLeft w:val="0"/>
                              <w:marRight w:val="0"/>
                              <w:marTop w:val="0"/>
                              <w:marBottom w:val="0"/>
                              <w:divBdr>
                                <w:top w:val="none" w:sz="0" w:space="0" w:color="auto"/>
                                <w:left w:val="none" w:sz="0" w:space="0" w:color="auto"/>
                                <w:bottom w:val="none" w:sz="0" w:space="0" w:color="auto"/>
                                <w:right w:val="none" w:sz="0" w:space="0" w:color="auto"/>
                              </w:divBdr>
                            </w:div>
                            <w:div w:id="423192000">
                              <w:marLeft w:val="0"/>
                              <w:marRight w:val="0"/>
                              <w:marTop w:val="0"/>
                              <w:marBottom w:val="0"/>
                              <w:divBdr>
                                <w:top w:val="none" w:sz="0" w:space="0" w:color="auto"/>
                                <w:left w:val="none" w:sz="0" w:space="0" w:color="auto"/>
                                <w:bottom w:val="none" w:sz="0" w:space="0" w:color="auto"/>
                                <w:right w:val="none" w:sz="0" w:space="0" w:color="auto"/>
                              </w:divBdr>
                              <w:divsChild>
                                <w:div w:id="439181212">
                                  <w:marLeft w:val="0"/>
                                  <w:marRight w:val="0"/>
                                  <w:marTop w:val="0"/>
                                  <w:marBottom w:val="0"/>
                                  <w:divBdr>
                                    <w:top w:val="none" w:sz="0" w:space="0" w:color="auto"/>
                                    <w:left w:val="none" w:sz="0" w:space="0" w:color="auto"/>
                                    <w:bottom w:val="none" w:sz="0" w:space="0" w:color="auto"/>
                                    <w:right w:val="none" w:sz="0" w:space="0" w:color="auto"/>
                                  </w:divBdr>
                                </w:div>
                              </w:divsChild>
                            </w:div>
                            <w:div w:id="105275440">
                              <w:marLeft w:val="0"/>
                              <w:marRight w:val="0"/>
                              <w:marTop w:val="0"/>
                              <w:marBottom w:val="0"/>
                              <w:divBdr>
                                <w:top w:val="none" w:sz="0" w:space="0" w:color="auto"/>
                                <w:left w:val="none" w:sz="0" w:space="0" w:color="auto"/>
                                <w:bottom w:val="none" w:sz="0" w:space="0" w:color="auto"/>
                                <w:right w:val="none" w:sz="0" w:space="0" w:color="auto"/>
                              </w:divBdr>
                              <w:divsChild>
                                <w:div w:id="396054257">
                                  <w:marLeft w:val="0"/>
                                  <w:marRight w:val="0"/>
                                  <w:marTop w:val="0"/>
                                  <w:marBottom w:val="0"/>
                                  <w:divBdr>
                                    <w:top w:val="none" w:sz="0" w:space="0" w:color="auto"/>
                                    <w:left w:val="none" w:sz="0" w:space="0" w:color="auto"/>
                                    <w:bottom w:val="none" w:sz="0" w:space="0" w:color="auto"/>
                                    <w:right w:val="none" w:sz="0" w:space="0" w:color="auto"/>
                                  </w:divBdr>
                                </w:div>
                              </w:divsChild>
                            </w:div>
                            <w:div w:id="1270118200">
                              <w:marLeft w:val="0"/>
                              <w:marRight w:val="0"/>
                              <w:marTop w:val="0"/>
                              <w:marBottom w:val="0"/>
                              <w:divBdr>
                                <w:top w:val="none" w:sz="0" w:space="0" w:color="auto"/>
                                <w:left w:val="none" w:sz="0" w:space="0" w:color="auto"/>
                                <w:bottom w:val="none" w:sz="0" w:space="0" w:color="auto"/>
                                <w:right w:val="none" w:sz="0" w:space="0" w:color="auto"/>
                              </w:divBdr>
                              <w:divsChild>
                                <w:div w:id="1005867029">
                                  <w:marLeft w:val="0"/>
                                  <w:marRight w:val="0"/>
                                  <w:marTop w:val="0"/>
                                  <w:marBottom w:val="0"/>
                                  <w:divBdr>
                                    <w:top w:val="none" w:sz="0" w:space="0" w:color="auto"/>
                                    <w:left w:val="none" w:sz="0" w:space="0" w:color="auto"/>
                                    <w:bottom w:val="none" w:sz="0" w:space="0" w:color="auto"/>
                                    <w:right w:val="none" w:sz="0" w:space="0" w:color="auto"/>
                                  </w:divBdr>
                                </w:div>
                              </w:divsChild>
                            </w:div>
                            <w:div w:id="816610282">
                              <w:marLeft w:val="0"/>
                              <w:marRight w:val="0"/>
                              <w:marTop w:val="0"/>
                              <w:marBottom w:val="0"/>
                              <w:divBdr>
                                <w:top w:val="none" w:sz="0" w:space="0" w:color="auto"/>
                                <w:left w:val="none" w:sz="0" w:space="0" w:color="auto"/>
                                <w:bottom w:val="none" w:sz="0" w:space="0" w:color="auto"/>
                                <w:right w:val="none" w:sz="0" w:space="0" w:color="auto"/>
                              </w:divBdr>
                              <w:divsChild>
                                <w:div w:id="2099136622">
                                  <w:marLeft w:val="0"/>
                                  <w:marRight w:val="0"/>
                                  <w:marTop w:val="0"/>
                                  <w:marBottom w:val="0"/>
                                  <w:divBdr>
                                    <w:top w:val="none" w:sz="0" w:space="0" w:color="auto"/>
                                    <w:left w:val="none" w:sz="0" w:space="0" w:color="auto"/>
                                    <w:bottom w:val="none" w:sz="0" w:space="0" w:color="auto"/>
                                    <w:right w:val="none" w:sz="0" w:space="0" w:color="auto"/>
                                  </w:divBdr>
                                  <w:divsChild>
                                    <w:div w:id="907811636">
                                      <w:marLeft w:val="0"/>
                                      <w:marRight w:val="0"/>
                                      <w:marTop w:val="0"/>
                                      <w:marBottom w:val="0"/>
                                      <w:divBdr>
                                        <w:top w:val="none" w:sz="0" w:space="0" w:color="auto"/>
                                        <w:left w:val="none" w:sz="0" w:space="0" w:color="auto"/>
                                        <w:bottom w:val="none" w:sz="0" w:space="0" w:color="auto"/>
                                        <w:right w:val="none" w:sz="0" w:space="0" w:color="auto"/>
                                      </w:divBdr>
                                      <w:divsChild>
                                        <w:div w:id="1331176832">
                                          <w:marLeft w:val="0"/>
                                          <w:marRight w:val="0"/>
                                          <w:marTop w:val="120"/>
                                          <w:marBottom w:val="0"/>
                                          <w:divBdr>
                                            <w:top w:val="none" w:sz="0" w:space="0" w:color="auto"/>
                                            <w:left w:val="none" w:sz="0" w:space="0" w:color="auto"/>
                                            <w:bottom w:val="none" w:sz="0" w:space="0" w:color="auto"/>
                                            <w:right w:val="none" w:sz="0" w:space="0" w:color="auto"/>
                                          </w:divBdr>
                                        </w:div>
                                        <w:div w:id="788400030">
                                          <w:marLeft w:val="0"/>
                                          <w:marRight w:val="0"/>
                                          <w:marTop w:val="0"/>
                                          <w:marBottom w:val="0"/>
                                          <w:divBdr>
                                            <w:top w:val="none" w:sz="0" w:space="0" w:color="auto"/>
                                            <w:left w:val="none" w:sz="0" w:space="0" w:color="auto"/>
                                            <w:bottom w:val="none" w:sz="0" w:space="0" w:color="auto"/>
                                            <w:right w:val="none" w:sz="0" w:space="0" w:color="auto"/>
                                          </w:divBdr>
                                        </w:div>
                                      </w:divsChild>
                                    </w:div>
                                    <w:div w:id="2106921014">
                                      <w:marLeft w:val="0"/>
                                      <w:marRight w:val="0"/>
                                      <w:marTop w:val="0"/>
                                      <w:marBottom w:val="0"/>
                                      <w:divBdr>
                                        <w:top w:val="none" w:sz="0" w:space="0" w:color="auto"/>
                                        <w:left w:val="none" w:sz="0" w:space="0" w:color="auto"/>
                                        <w:bottom w:val="none" w:sz="0" w:space="0" w:color="auto"/>
                                        <w:right w:val="none" w:sz="0" w:space="0" w:color="auto"/>
                                      </w:divBdr>
                                      <w:divsChild>
                                        <w:div w:id="424882599">
                                          <w:marLeft w:val="0"/>
                                          <w:marRight w:val="0"/>
                                          <w:marTop w:val="120"/>
                                          <w:marBottom w:val="0"/>
                                          <w:divBdr>
                                            <w:top w:val="none" w:sz="0" w:space="0" w:color="auto"/>
                                            <w:left w:val="none" w:sz="0" w:space="0" w:color="auto"/>
                                            <w:bottom w:val="none" w:sz="0" w:space="0" w:color="auto"/>
                                            <w:right w:val="none" w:sz="0" w:space="0" w:color="auto"/>
                                          </w:divBdr>
                                        </w:div>
                                        <w:div w:id="201171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689912">
                          <w:marLeft w:val="0"/>
                          <w:marRight w:val="0"/>
                          <w:marTop w:val="0"/>
                          <w:marBottom w:val="0"/>
                          <w:divBdr>
                            <w:top w:val="none" w:sz="0" w:space="0" w:color="auto"/>
                            <w:left w:val="none" w:sz="0" w:space="0" w:color="auto"/>
                            <w:bottom w:val="none" w:sz="0" w:space="0" w:color="auto"/>
                            <w:right w:val="none" w:sz="0" w:space="0" w:color="auto"/>
                          </w:divBdr>
                          <w:divsChild>
                            <w:div w:id="1698656374">
                              <w:marLeft w:val="0"/>
                              <w:marRight w:val="0"/>
                              <w:marTop w:val="0"/>
                              <w:marBottom w:val="0"/>
                              <w:divBdr>
                                <w:top w:val="none" w:sz="0" w:space="0" w:color="auto"/>
                                <w:left w:val="none" w:sz="0" w:space="0" w:color="auto"/>
                                <w:bottom w:val="none" w:sz="0" w:space="0" w:color="auto"/>
                                <w:right w:val="none" w:sz="0" w:space="0" w:color="auto"/>
                              </w:divBdr>
                            </w:div>
                            <w:div w:id="1100567073">
                              <w:marLeft w:val="0"/>
                              <w:marRight w:val="0"/>
                              <w:marTop w:val="0"/>
                              <w:marBottom w:val="0"/>
                              <w:divBdr>
                                <w:top w:val="none" w:sz="0" w:space="0" w:color="auto"/>
                                <w:left w:val="none" w:sz="0" w:space="0" w:color="auto"/>
                                <w:bottom w:val="none" w:sz="0" w:space="0" w:color="auto"/>
                                <w:right w:val="none" w:sz="0" w:space="0" w:color="auto"/>
                              </w:divBdr>
                              <w:divsChild>
                                <w:div w:id="1773016908">
                                  <w:marLeft w:val="0"/>
                                  <w:marRight w:val="0"/>
                                  <w:marTop w:val="0"/>
                                  <w:marBottom w:val="0"/>
                                  <w:divBdr>
                                    <w:top w:val="none" w:sz="0" w:space="0" w:color="auto"/>
                                    <w:left w:val="none" w:sz="0" w:space="0" w:color="auto"/>
                                    <w:bottom w:val="none" w:sz="0" w:space="0" w:color="auto"/>
                                    <w:right w:val="none" w:sz="0" w:space="0" w:color="auto"/>
                                  </w:divBdr>
                                  <w:divsChild>
                                    <w:div w:id="1889296214">
                                      <w:marLeft w:val="0"/>
                                      <w:marRight w:val="0"/>
                                      <w:marTop w:val="0"/>
                                      <w:marBottom w:val="0"/>
                                      <w:divBdr>
                                        <w:top w:val="none" w:sz="0" w:space="0" w:color="auto"/>
                                        <w:left w:val="none" w:sz="0" w:space="0" w:color="auto"/>
                                        <w:bottom w:val="none" w:sz="0" w:space="0" w:color="auto"/>
                                        <w:right w:val="none" w:sz="0" w:space="0" w:color="auto"/>
                                      </w:divBdr>
                                      <w:divsChild>
                                        <w:div w:id="345717818">
                                          <w:marLeft w:val="0"/>
                                          <w:marRight w:val="0"/>
                                          <w:marTop w:val="120"/>
                                          <w:marBottom w:val="0"/>
                                          <w:divBdr>
                                            <w:top w:val="none" w:sz="0" w:space="0" w:color="auto"/>
                                            <w:left w:val="none" w:sz="0" w:space="0" w:color="auto"/>
                                            <w:bottom w:val="none" w:sz="0" w:space="0" w:color="auto"/>
                                            <w:right w:val="none" w:sz="0" w:space="0" w:color="auto"/>
                                          </w:divBdr>
                                        </w:div>
                                        <w:div w:id="248851712">
                                          <w:marLeft w:val="0"/>
                                          <w:marRight w:val="0"/>
                                          <w:marTop w:val="0"/>
                                          <w:marBottom w:val="0"/>
                                          <w:divBdr>
                                            <w:top w:val="none" w:sz="0" w:space="0" w:color="auto"/>
                                            <w:left w:val="none" w:sz="0" w:space="0" w:color="auto"/>
                                            <w:bottom w:val="none" w:sz="0" w:space="0" w:color="auto"/>
                                            <w:right w:val="none" w:sz="0" w:space="0" w:color="auto"/>
                                          </w:divBdr>
                                          <w:divsChild>
                                            <w:div w:id="1906984154">
                                              <w:marLeft w:val="0"/>
                                              <w:marRight w:val="0"/>
                                              <w:marTop w:val="0"/>
                                              <w:marBottom w:val="0"/>
                                              <w:divBdr>
                                                <w:top w:val="none" w:sz="0" w:space="0" w:color="auto"/>
                                                <w:left w:val="none" w:sz="0" w:space="0" w:color="auto"/>
                                                <w:bottom w:val="none" w:sz="0" w:space="0" w:color="auto"/>
                                                <w:right w:val="none" w:sz="0" w:space="0" w:color="auto"/>
                                              </w:divBdr>
                                              <w:divsChild>
                                                <w:div w:id="111554477">
                                                  <w:marLeft w:val="0"/>
                                                  <w:marRight w:val="0"/>
                                                  <w:marTop w:val="120"/>
                                                  <w:marBottom w:val="0"/>
                                                  <w:divBdr>
                                                    <w:top w:val="none" w:sz="0" w:space="0" w:color="auto"/>
                                                    <w:left w:val="none" w:sz="0" w:space="0" w:color="auto"/>
                                                    <w:bottom w:val="none" w:sz="0" w:space="0" w:color="auto"/>
                                                    <w:right w:val="none" w:sz="0" w:space="0" w:color="auto"/>
                                                  </w:divBdr>
                                                </w:div>
                                                <w:div w:id="663976161">
                                                  <w:marLeft w:val="0"/>
                                                  <w:marRight w:val="0"/>
                                                  <w:marTop w:val="0"/>
                                                  <w:marBottom w:val="0"/>
                                                  <w:divBdr>
                                                    <w:top w:val="none" w:sz="0" w:space="0" w:color="auto"/>
                                                    <w:left w:val="none" w:sz="0" w:space="0" w:color="auto"/>
                                                    <w:bottom w:val="none" w:sz="0" w:space="0" w:color="auto"/>
                                                    <w:right w:val="none" w:sz="0" w:space="0" w:color="auto"/>
                                                  </w:divBdr>
                                                </w:div>
                                              </w:divsChild>
                                            </w:div>
                                            <w:div w:id="1132285554">
                                              <w:marLeft w:val="0"/>
                                              <w:marRight w:val="0"/>
                                              <w:marTop w:val="0"/>
                                              <w:marBottom w:val="0"/>
                                              <w:divBdr>
                                                <w:top w:val="none" w:sz="0" w:space="0" w:color="auto"/>
                                                <w:left w:val="none" w:sz="0" w:space="0" w:color="auto"/>
                                                <w:bottom w:val="none" w:sz="0" w:space="0" w:color="auto"/>
                                                <w:right w:val="none" w:sz="0" w:space="0" w:color="auto"/>
                                              </w:divBdr>
                                              <w:divsChild>
                                                <w:div w:id="167335661">
                                                  <w:marLeft w:val="0"/>
                                                  <w:marRight w:val="0"/>
                                                  <w:marTop w:val="120"/>
                                                  <w:marBottom w:val="0"/>
                                                  <w:divBdr>
                                                    <w:top w:val="none" w:sz="0" w:space="0" w:color="auto"/>
                                                    <w:left w:val="none" w:sz="0" w:space="0" w:color="auto"/>
                                                    <w:bottom w:val="none" w:sz="0" w:space="0" w:color="auto"/>
                                                    <w:right w:val="none" w:sz="0" w:space="0" w:color="auto"/>
                                                  </w:divBdr>
                                                </w:div>
                                                <w:div w:id="190201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345464">
                                      <w:marLeft w:val="0"/>
                                      <w:marRight w:val="0"/>
                                      <w:marTop w:val="0"/>
                                      <w:marBottom w:val="0"/>
                                      <w:divBdr>
                                        <w:top w:val="none" w:sz="0" w:space="0" w:color="auto"/>
                                        <w:left w:val="none" w:sz="0" w:space="0" w:color="auto"/>
                                        <w:bottom w:val="none" w:sz="0" w:space="0" w:color="auto"/>
                                        <w:right w:val="none" w:sz="0" w:space="0" w:color="auto"/>
                                      </w:divBdr>
                                      <w:divsChild>
                                        <w:div w:id="2019577112">
                                          <w:marLeft w:val="0"/>
                                          <w:marRight w:val="0"/>
                                          <w:marTop w:val="120"/>
                                          <w:marBottom w:val="0"/>
                                          <w:divBdr>
                                            <w:top w:val="none" w:sz="0" w:space="0" w:color="auto"/>
                                            <w:left w:val="none" w:sz="0" w:space="0" w:color="auto"/>
                                            <w:bottom w:val="none" w:sz="0" w:space="0" w:color="auto"/>
                                            <w:right w:val="none" w:sz="0" w:space="0" w:color="auto"/>
                                          </w:divBdr>
                                        </w:div>
                                        <w:div w:id="80131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34209">
                              <w:marLeft w:val="0"/>
                              <w:marRight w:val="0"/>
                              <w:marTop w:val="0"/>
                              <w:marBottom w:val="0"/>
                              <w:divBdr>
                                <w:top w:val="none" w:sz="0" w:space="0" w:color="auto"/>
                                <w:left w:val="none" w:sz="0" w:space="0" w:color="auto"/>
                                <w:bottom w:val="none" w:sz="0" w:space="0" w:color="auto"/>
                                <w:right w:val="none" w:sz="0" w:space="0" w:color="auto"/>
                              </w:divBdr>
                              <w:divsChild>
                                <w:div w:id="1455169478">
                                  <w:marLeft w:val="0"/>
                                  <w:marRight w:val="0"/>
                                  <w:marTop w:val="0"/>
                                  <w:marBottom w:val="0"/>
                                  <w:divBdr>
                                    <w:top w:val="none" w:sz="0" w:space="0" w:color="auto"/>
                                    <w:left w:val="none" w:sz="0" w:space="0" w:color="auto"/>
                                    <w:bottom w:val="none" w:sz="0" w:space="0" w:color="auto"/>
                                    <w:right w:val="none" w:sz="0" w:space="0" w:color="auto"/>
                                  </w:divBdr>
                                </w:div>
                              </w:divsChild>
                            </w:div>
                            <w:div w:id="1145197040">
                              <w:marLeft w:val="0"/>
                              <w:marRight w:val="0"/>
                              <w:marTop w:val="0"/>
                              <w:marBottom w:val="0"/>
                              <w:divBdr>
                                <w:top w:val="none" w:sz="0" w:space="0" w:color="auto"/>
                                <w:left w:val="none" w:sz="0" w:space="0" w:color="auto"/>
                                <w:bottom w:val="none" w:sz="0" w:space="0" w:color="auto"/>
                                <w:right w:val="none" w:sz="0" w:space="0" w:color="auto"/>
                              </w:divBdr>
                              <w:divsChild>
                                <w:div w:id="268859025">
                                  <w:marLeft w:val="0"/>
                                  <w:marRight w:val="0"/>
                                  <w:marTop w:val="0"/>
                                  <w:marBottom w:val="0"/>
                                  <w:divBdr>
                                    <w:top w:val="none" w:sz="0" w:space="0" w:color="auto"/>
                                    <w:left w:val="none" w:sz="0" w:space="0" w:color="auto"/>
                                    <w:bottom w:val="none" w:sz="0" w:space="0" w:color="auto"/>
                                    <w:right w:val="none" w:sz="0" w:space="0" w:color="auto"/>
                                  </w:divBdr>
                                </w:div>
                              </w:divsChild>
                            </w:div>
                            <w:div w:id="1467893153">
                              <w:marLeft w:val="0"/>
                              <w:marRight w:val="0"/>
                              <w:marTop w:val="0"/>
                              <w:marBottom w:val="0"/>
                              <w:divBdr>
                                <w:top w:val="none" w:sz="0" w:space="0" w:color="auto"/>
                                <w:left w:val="none" w:sz="0" w:space="0" w:color="auto"/>
                                <w:bottom w:val="none" w:sz="0" w:space="0" w:color="auto"/>
                                <w:right w:val="none" w:sz="0" w:space="0" w:color="auto"/>
                              </w:divBdr>
                              <w:divsChild>
                                <w:div w:id="1464541742">
                                  <w:marLeft w:val="0"/>
                                  <w:marRight w:val="0"/>
                                  <w:marTop w:val="0"/>
                                  <w:marBottom w:val="0"/>
                                  <w:divBdr>
                                    <w:top w:val="none" w:sz="0" w:space="0" w:color="auto"/>
                                    <w:left w:val="none" w:sz="0" w:space="0" w:color="auto"/>
                                    <w:bottom w:val="none" w:sz="0" w:space="0" w:color="auto"/>
                                    <w:right w:val="none" w:sz="0" w:space="0" w:color="auto"/>
                                  </w:divBdr>
                                  <w:divsChild>
                                    <w:div w:id="1693996432">
                                      <w:marLeft w:val="0"/>
                                      <w:marRight w:val="0"/>
                                      <w:marTop w:val="0"/>
                                      <w:marBottom w:val="0"/>
                                      <w:divBdr>
                                        <w:top w:val="none" w:sz="0" w:space="0" w:color="auto"/>
                                        <w:left w:val="none" w:sz="0" w:space="0" w:color="auto"/>
                                        <w:bottom w:val="none" w:sz="0" w:space="0" w:color="auto"/>
                                        <w:right w:val="none" w:sz="0" w:space="0" w:color="auto"/>
                                      </w:divBdr>
                                      <w:divsChild>
                                        <w:div w:id="267544436">
                                          <w:marLeft w:val="0"/>
                                          <w:marRight w:val="0"/>
                                          <w:marTop w:val="120"/>
                                          <w:marBottom w:val="0"/>
                                          <w:divBdr>
                                            <w:top w:val="none" w:sz="0" w:space="0" w:color="auto"/>
                                            <w:left w:val="none" w:sz="0" w:space="0" w:color="auto"/>
                                            <w:bottom w:val="none" w:sz="0" w:space="0" w:color="auto"/>
                                            <w:right w:val="none" w:sz="0" w:space="0" w:color="auto"/>
                                          </w:divBdr>
                                        </w:div>
                                        <w:div w:id="43994664">
                                          <w:marLeft w:val="0"/>
                                          <w:marRight w:val="0"/>
                                          <w:marTop w:val="0"/>
                                          <w:marBottom w:val="0"/>
                                          <w:divBdr>
                                            <w:top w:val="none" w:sz="0" w:space="0" w:color="auto"/>
                                            <w:left w:val="none" w:sz="0" w:space="0" w:color="auto"/>
                                            <w:bottom w:val="none" w:sz="0" w:space="0" w:color="auto"/>
                                            <w:right w:val="none" w:sz="0" w:space="0" w:color="auto"/>
                                          </w:divBdr>
                                        </w:div>
                                      </w:divsChild>
                                    </w:div>
                                    <w:div w:id="527304826">
                                      <w:marLeft w:val="0"/>
                                      <w:marRight w:val="0"/>
                                      <w:marTop w:val="0"/>
                                      <w:marBottom w:val="0"/>
                                      <w:divBdr>
                                        <w:top w:val="none" w:sz="0" w:space="0" w:color="auto"/>
                                        <w:left w:val="none" w:sz="0" w:space="0" w:color="auto"/>
                                        <w:bottom w:val="none" w:sz="0" w:space="0" w:color="auto"/>
                                        <w:right w:val="none" w:sz="0" w:space="0" w:color="auto"/>
                                      </w:divBdr>
                                      <w:divsChild>
                                        <w:div w:id="363795329">
                                          <w:marLeft w:val="0"/>
                                          <w:marRight w:val="0"/>
                                          <w:marTop w:val="120"/>
                                          <w:marBottom w:val="0"/>
                                          <w:divBdr>
                                            <w:top w:val="none" w:sz="0" w:space="0" w:color="auto"/>
                                            <w:left w:val="none" w:sz="0" w:space="0" w:color="auto"/>
                                            <w:bottom w:val="none" w:sz="0" w:space="0" w:color="auto"/>
                                            <w:right w:val="none" w:sz="0" w:space="0" w:color="auto"/>
                                          </w:divBdr>
                                        </w:div>
                                        <w:div w:id="1434285896">
                                          <w:marLeft w:val="0"/>
                                          <w:marRight w:val="0"/>
                                          <w:marTop w:val="0"/>
                                          <w:marBottom w:val="0"/>
                                          <w:divBdr>
                                            <w:top w:val="none" w:sz="0" w:space="0" w:color="auto"/>
                                            <w:left w:val="none" w:sz="0" w:space="0" w:color="auto"/>
                                            <w:bottom w:val="none" w:sz="0" w:space="0" w:color="auto"/>
                                            <w:right w:val="none" w:sz="0" w:space="0" w:color="auto"/>
                                          </w:divBdr>
                                        </w:div>
                                      </w:divsChild>
                                    </w:div>
                                    <w:div w:id="1423062933">
                                      <w:marLeft w:val="0"/>
                                      <w:marRight w:val="0"/>
                                      <w:marTop w:val="0"/>
                                      <w:marBottom w:val="0"/>
                                      <w:divBdr>
                                        <w:top w:val="none" w:sz="0" w:space="0" w:color="auto"/>
                                        <w:left w:val="none" w:sz="0" w:space="0" w:color="auto"/>
                                        <w:bottom w:val="none" w:sz="0" w:space="0" w:color="auto"/>
                                        <w:right w:val="none" w:sz="0" w:space="0" w:color="auto"/>
                                      </w:divBdr>
                                      <w:divsChild>
                                        <w:div w:id="1261722336">
                                          <w:marLeft w:val="0"/>
                                          <w:marRight w:val="0"/>
                                          <w:marTop w:val="120"/>
                                          <w:marBottom w:val="0"/>
                                          <w:divBdr>
                                            <w:top w:val="none" w:sz="0" w:space="0" w:color="auto"/>
                                            <w:left w:val="none" w:sz="0" w:space="0" w:color="auto"/>
                                            <w:bottom w:val="none" w:sz="0" w:space="0" w:color="auto"/>
                                            <w:right w:val="none" w:sz="0" w:space="0" w:color="auto"/>
                                          </w:divBdr>
                                        </w:div>
                                        <w:div w:id="19246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224269">
                              <w:marLeft w:val="0"/>
                              <w:marRight w:val="0"/>
                              <w:marTop w:val="0"/>
                              <w:marBottom w:val="0"/>
                              <w:divBdr>
                                <w:top w:val="none" w:sz="0" w:space="0" w:color="auto"/>
                                <w:left w:val="none" w:sz="0" w:space="0" w:color="auto"/>
                                <w:bottom w:val="none" w:sz="0" w:space="0" w:color="auto"/>
                                <w:right w:val="none" w:sz="0" w:space="0" w:color="auto"/>
                              </w:divBdr>
                              <w:divsChild>
                                <w:div w:id="1512723923">
                                  <w:marLeft w:val="0"/>
                                  <w:marRight w:val="0"/>
                                  <w:marTop w:val="0"/>
                                  <w:marBottom w:val="0"/>
                                  <w:divBdr>
                                    <w:top w:val="none" w:sz="0" w:space="0" w:color="auto"/>
                                    <w:left w:val="none" w:sz="0" w:space="0" w:color="auto"/>
                                    <w:bottom w:val="none" w:sz="0" w:space="0" w:color="auto"/>
                                    <w:right w:val="none" w:sz="0" w:space="0" w:color="auto"/>
                                  </w:divBdr>
                                </w:div>
                              </w:divsChild>
                            </w:div>
                            <w:div w:id="2137598658">
                              <w:marLeft w:val="0"/>
                              <w:marRight w:val="0"/>
                              <w:marTop w:val="0"/>
                              <w:marBottom w:val="0"/>
                              <w:divBdr>
                                <w:top w:val="none" w:sz="0" w:space="0" w:color="auto"/>
                                <w:left w:val="none" w:sz="0" w:space="0" w:color="auto"/>
                                <w:bottom w:val="none" w:sz="0" w:space="0" w:color="auto"/>
                                <w:right w:val="none" w:sz="0" w:space="0" w:color="auto"/>
                              </w:divBdr>
                              <w:divsChild>
                                <w:div w:id="2007123629">
                                  <w:marLeft w:val="0"/>
                                  <w:marRight w:val="0"/>
                                  <w:marTop w:val="0"/>
                                  <w:marBottom w:val="0"/>
                                  <w:divBdr>
                                    <w:top w:val="none" w:sz="0" w:space="0" w:color="auto"/>
                                    <w:left w:val="none" w:sz="0" w:space="0" w:color="auto"/>
                                    <w:bottom w:val="none" w:sz="0" w:space="0" w:color="auto"/>
                                    <w:right w:val="none" w:sz="0" w:space="0" w:color="auto"/>
                                  </w:divBdr>
                                </w:div>
                              </w:divsChild>
                            </w:div>
                            <w:div w:id="105776879">
                              <w:marLeft w:val="0"/>
                              <w:marRight w:val="0"/>
                              <w:marTop w:val="0"/>
                              <w:marBottom w:val="0"/>
                              <w:divBdr>
                                <w:top w:val="none" w:sz="0" w:space="0" w:color="auto"/>
                                <w:left w:val="none" w:sz="0" w:space="0" w:color="auto"/>
                                <w:bottom w:val="none" w:sz="0" w:space="0" w:color="auto"/>
                                <w:right w:val="none" w:sz="0" w:space="0" w:color="auto"/>
                              </w:divBdr>
                              <w:divsChild>
                                <w:div w:id="1632592072">
                                  <w:marLeft w:val="0"/>
                                  <w:marRight w:val="0"/>
                                  <w:marTop w:val="0"/>
                                  <w:marBottom w:val="0"/>
                                  <w:divBdr>
                                    <w:top w:val="none" w:sz="0" w:space="0" w:color="auto"/>
                                    <w:left w:val="none" w:sz="0" w:space="0" w:color="auto"/>
                                    <w:bottom w:val="none" w:sz="0" w:space="0" w:color="auto"/>
                                    <w:right w:val="none" w:sz="0" w:space="0" w:color="auto"/>
                                  </w:divBdr>
                                </w:div>
                              </w:divsChild>
                            </w:div>
                            <w:div w:id="1816605760">
                              <w:marLeft w:val="0"/>
                              <w:marRight w:val="0"/>
                              <w:marTop w:val="0"/>
                              <w:marBottom w:val="0"/>
                              <w:divBdr>
                                <w:top w:val="none" w:sz="0" w:space="0" w:color="auto"/>
                                <w:left w:val="none" w:sz="0" w:space="0" w:color="auto"/>
                                <w:bottom w:val="none" w:sz="0" w:space="0" w:color="auto"/>
                                <w:right w:val="none" w:sz="0" w:space="0" w:color="auto"/>
                              </w:divBdr>
                              <w:divsChild>
                                <w:div w:id="298733836">
                                  <w:marLeft w:val="0"/>
                                  <w:marRight w:val="0"/>
                                  <w:marTop w:val="0"/>
                                  <w:marBottom w:val="0"/>
                                  <w:divBdr>
                                    <w:top w:val="none" w:sz="0" w:space="0" w:color="auto"/>
                                    <w:left w:val="none" w:sz="0" w:space="0" w:color="auto"/>
                                    <w:bottom w:val="none" w:sz="0" w:space="0" w:color="auto"/>
                                    <w:right w:val="none" w:sz="0" w:space="0" w:color="auto"/>
                                  </w:divBdr>
                                </w:div>
                              </w:divsChild>
                            </w:div>
                            <w:div w:id="1358459032">
                              <w:marLeft w:val="0"/>
                              <w:marRight w:val="0"/>
                              <w:marTop w:val="0"/>
                              <w:marBottom w:val="0"/>
                              <w:divBdr>
                                <w:top w:val="none" w:sz="0" w:space="0" w:color="auto"/>
                                <w:left w:val="none" w:sz="0" w:space="0" w:color="auto"/>
                                <w:bottom w:val="none" w:sz="0" w:space="0" w:color="auto"/>
                                <w:right w:val="none" w:sz="0" w:space="0" w:color="auto"/>
                              </w:divBdr>
                              <w:divsChild>
                                <w:div w:id="34113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91174">
                      <w:marLeft w:val="0"/>
                      <w:marRight w:val="0"/>
                      <w:marTop w:val="0"/>
                      <w:marBottom w:val="0"/>
                      <w:divBdr>
                        <w:top w:val="none" w:sz="0" w:space="0" w:color="auto"/>
                        <w:left w:val="none" w:sz="0" w:space="0" w:color="auto"/>
                        <w:bottom w:val="none" w:sz="0" w:space="0" w:color="auto"/>
                        <w:right w:val="none" w:sz="0" w:space="0" w:color="auto"/>
                      </w:divBdr>
                      <w:divsChild>
                        <w:div w:id="1933126370">
                          <w:marLeft w:val="0"/>
                          <w:marRight w:val="0"/>
                          <w:marTop w:val="0"/>
                          <w:marBottom w:val="0"/>
                          <w:divBdr>
                            <w:top w:val="none" w:sz="0" w:space="0" w:color="auto"/>
                            <w:left w:val="none" w:sz="0" w:space="0" w:color="auto"/>
                            <w:bottom w:val="none" w:sz="0" w:space="0" w:color="auto"/>
                            <w:right w:val="none" w:sz="0" w:space="0" w:color="auto"/>
                          </w:divBdr>
                          <w:divsChild>
                            <w:div w:id="1680160044">
                              <w:marLeft w:val="0"/>
                              <w:marRight w:val="0"/>
                              <w:marTop w:val="0"/>
                              <w:marBottom w:val="0"/>
                              <w:divBdr>
                                <w:top w:val="none" w:sz="0" w:space="0" w:color="auto"/>
                                <w:left w:val="none" w:sz="0" w:space="0" w:color="auto"/>
                                <w:bottom w:val="none" w:sz="0" w:space="0" w:color="auto"/>
                                <w:right w:val="none" w:sz="0" w:space="0" w:color="auto"/>
                              </w:divBdr>
                            </w:div>
                            <w:div w:id="992027268">
                              <w:marLeft w:val="0"/>
                              <w:marRight w:val="0"/>
                              <w:marTop w:val="0"/>
                              <w:marBottom w:val="0"/>
                              <w:divBdr>
                                <w:top w:val="none" w:sz="0" w:space="0" w:color="auto"/>
                                <w:left w:val="none" w:sz="0" w:space="0" w:color="auto"/>
                                <w:bottom w:val="none" w:sz="0" w:space="0" w:color="auto"/>
                                <w:right w:val="none" w:sz="0" w:space="0" w:color="auto"/>
                              </w:divBdr>
                              <w:divsChild>
                                <w:div w:id="1032653459">
                                  <w:marLeft w:val="0"/>
                                  <w:marRight w:val="0"/>
                                  <w:marTop w:val="0"/>
                                  <w:marBottom w:val="0"/>
                                  <w:divBdr>
                                    <w:top w:val="none" w:sz="0" w:space="0" w:color="auto"/>
                                    <w:left w:val="none" w:sz="0" w:space="0" w:color="auto"/>
                                    <w:bottom w:val="none" w:sz="0" w:space="0" w:color="auto"/>
                                    <w:right w:val="none" w:sz="0" w:space="0" w:color="auto"/>
                                  </w:divBdr>
                                  <w:divsChild>
                                    <w:div w:id="881939854">
                                      <w:marLeft w:val="0"/>
                                      <w:marRight w:val="0"/>
                                      <w:marTop w:val="0"/>
                                      <w:marBottom w:val="0"/>
                                      <w:divBdr>
                                        <w:top w:val="none" w:sz="0" w:space="0" w:color="auto"/>
                                        <w:left w:val="none" w:sz="0" w:space="0" w:color="auto"/>
                                        <w:bottom w:val="none" w:sz="0" w:space="0" w:color="auto"/>
                                        <w:right w:val="none" w:sz="0" w:space="0" w:color="auto"/>
                                      </w:divBdr>
                                      <w:divsChild>
                                        <w:div w:id="56982495">
                                          <w:marLeft w:val="0"/>
                                          <w:marRight w:val="0"/>
                                          <w:marTop w:val="120"/>
                                          <w:marBottom w:val="0"/>
                                          <w:divBdr>
                                            <w:top w:val="none" w:sz="0" w:space="0" w:color="auto"/>
                                            <w:left w:val="none" w:sz="0" w:space="0" w:color="auto"/>
                                            <w:bottom w:val="none" w:sz="0" w:space="0" w:color="auto"/>
                                            <w:right w:val="none" w:sz="0" w:space="0" w:color="auto"/>
                                          </w:divBdr>
                                        </w:div>
                                        <w:div w:id="1446079834">
                                          <w:marLeft w:val="0"/>
                                          <w:marRight w:val="0"/>
                                          <w:marTop w:val="0"/>
                                          <w:marBottom w:val="0"/>
                                          <w:divBdr>
                                            <w:top w:val="none" w:sz="0" w:space="0" w:color="auto"/>
                                            <w:left w:val="none" w:sz="0" w:space="0" w:color="auto"/>
                                            <w:bottom w:val="none" w:sz="0" w:space="0" w:color="auto"/>
                                            <w:right w:val="none" w:sz="0" w:space="0" w:color="auto"/>
                                          </w:divBdr>
                                        </w:div>
                                      </w:divsChild>
                                    </w:div>
                                    <w:div w:id="1056927580">
                                      <w:marLeft w:val="0"/>
                                      <w:marRight w:val="0"/>
                                      <w:marTop w:val="0"/>
                                      <w:marBottom w:val="0"/>
                                      <w:divBdr>
                                        <w:top w:val="none" w:sz="0" w:space="0" w:color="auto"/>
                                        <w:left w:val="none" w:sz="0" w:space="0" w:color="auto"/>
                                        <w:bottom w:val="none" w:sz="0" w:space="0" w:color="auto"/>
                                        <w:right w:val="none" w:sz="0" w:space="0" w:color="auto"/>
                                      </w:divBdr>
                                      <w:divsChild>
                                        <w:div w:id="1432698450">
                                          <w:marLeft w:val="0"/>
                                          <w:marRight w:val="0"/>
                                          <w:marTop w:val="120"/>
                                          <w:marBottom w:val="0"/>
                                          <w:divBdr>
                                            <w:top w:val="none" w:sz="0" w:space="0" w:color="auto"/>
                                            <w:left w:val="none" w:sz="0" w:space="0" w:color="auto"/>
                                            <w:bottom w:val="none" w:sz="0" w:space="0" w:color="auto"/>
                                            <w:right w:val="none" w:sz="0" w:space="0" w:color="auto"/>
                                          </w:divBdr>
                                        </w:div>
                                        <w:div w:id="2077124687">
                                          <w:marLeft w:val="0"/>
                                          <w:marRight w:val="0"/>
                                          <w:marTop w:val="0"/>
                                          <w:marBottom w:val="0"/>
                                          <w:divBdr>
                                            <w:top w:val="none" w:sz="0" w:space="0" w:color="auto"/>
                                            <w:left w:val="none" w:sz="0" w:space="0" w:color="auto"/>
                                            <w:bottom w:val="none" w:sz="0" w:space="0" w:color="auto"/>
                                            <w:right w:val="none" w:sz="0" w:space="0" w:color="auto"/>
                                          </w:divBdr>
                                        </w:div>
                                      </w:divsChild>
                                    </w:div>
                                    <w:div w:id="981739672">
                                      <w:marLeft w:val="0"/>
                                      <w:marRight w:val="0"/>
                                      <w:marTop w:val="0"/>
                                      <w:marBottom w:val="0"/>
                                      <w:divBdr>
                                        <w:top w:val="none" w:sz="0" w:space="0" w:color="auto"/>
                                        <w:left w:val="none" w:sz="0" w:space="0" w:color="auto"/>
                                        <w:bottom w:val="none" w:sz="0" w:space="0" w:color="auto"/>
                                        <w:right w:val="none" w:sz="0" w:space="0" w:color="auto"/>
                                      </w:divBdr>
                                      <w:divsChild>
                                        <w:div w:id="1275670089">
                                          <w:marLeft w:val="0"/>
                                          <w:marRight w:val="0"/>
                                          <w:marTop w:val="120"/>
                                          <w:marBottom w:val="0"/>
                                          <w:divBdr>
                                            <w:top w:val="none" w:sz="0" w:space="0" w:color="auto"/>
                                            <w:left w:val="none" w:sz="0" w:space="0" w:color="auto"/>
                                            <w:bottom w:val="none" w:sz="0" w:space="0" w:color="auto"/>
                                            <w:right w:val="none" w:sz="0" w:space="0" w:color="auto"/>
                                          </w:divBdr>
                                        </w:div>
                                        <w:div w:id="698315689">
                                          <w:marLeft w:val="0"/>
                                          <w:marRight w:val="0"/>
                                          <w:marTop w:val="0"/>
                                          <w:marBottom w:val="0"/>
                                          <w:divBdr>
                                            <w:top w:val="none" w:sz="0" w:space="0" w:color="auto"/>
                                            <w:left w:val="none" w:sz="0" w:space="0" w:color="auto"/>
                                            <w:bottom w:val="none" w:sz="0" w:space="0" w:color="auto"/>
                                            <w:right w:val="none" w:sz="0" w:space="0" w:color="auto"/>
                                          </w:divBdr>
                                        </w:div>
                                      </w:divsChild>
                                    </w:div>
                                    <w:div w:id="1755397801">
                                      <w:marLeft w:val="0"/>
                                      <w:marRight w:val="0"/>
                                      <w:marTop w:val="0"/>
                                      <w:marBottom w:val="0"/>
                                      <w:divBdr>
                                        <w:top w:val="none" w:sz="0" w:space="0" w:color="auto"/>
                                        <w:left w:val="none" w:sz="0" w:space="0" w:color="auto"/>
                                        <w:bottom w:val="none" w:sz="0" w:space="0" w:color="auto"/>
                                        <w:right w:val="none" w:sz="0" w:space="0" w:color="auto"/>
                                      </w:divBdr>
                                      <w:divsChild>
                                        <w:div w:id="1509641110">
                                          <w:marLeft w:val="0"/>
                                          <w:marRight w:val="0"/>
                                          <w:marTop w:val="120"/>
                                          <w:marBottom w:val="0"/>
                                          <w:divBdr>
                                            <w:top w:val="none" w:sz="0" w:space="0" w:color="auto"/>
                                            <w:left w:val="none" w:sz="0" w:space="0" w:color="auto"/>
                                            <w:bottom w:val="none" w:sz="0" w:space="0" w:color="auto"/>
                                            <w:right w:val="none" w:sz="0" w:space="0" w:color="auto"/>
                                          </w:divBdr>
                                        </w:div>
                                        <w:div w:id="1632706548">
                                          <w:marLeft w:val="0"/>
                                          <w:marRight w:val="0"/>
                                          <w:marTop w:val="0"/>
                                          <w:marBottom w:val="0"/>
                                          <w:divBdr>
                                            <w:top w:val="none" w:sz="0" w:space="0" w:color="auto"/>
                                            <w:left w:val="none" w:sz="0" w:space="0" w:color="auto"/>
                                            <w:bottom w:val="none" w:sz="0" w:space="0" w:color="auto"/>
                                            <w:right w:val="none" w:sz="0" w:space="0" w:color="auto"/>
                                          </w:divBdr>
                                        </w:div>
                                      </w:divsChild>
                                    </w:div>
                                    <w:div w:id="2037540242">
                                      <w:marLeft w:val="0"/>
                                      <w:marRight w:val="0"/>
                                      <w:marTop w:val="0"/>
                                      <w:marBottom w:val="0"/>
                                      <w:divBdr>
                                        <w:top w:val="none" w:sz="0" w:space="0" w:color="auto"/>
                                        <w:left w:val="none" w:sz="0" w:space="0" w:color="auto"/>
                                        <w:bottom w:val="none" w:sz="0" w:space="0" w:color="auto"/>
                                        <w:right w:val="none" w:sz="0" w:space="0" w:color="auto"/>
                                      </w:divBdr>
                                      <w:divsChild>
                                        <w:div w:id="13776025">
                                          <w:marLeft w:val="0"/>
                                          <w:marRight w:val="0"/>
                                          <w:marTop w:val="120"/>
                                          <w:marBottom w:val="0"/>
                                          <w:divBdr>
                                            <w:top w:val="none" w:sz="0" w:space="0" w:color="auto"/>
                                            <w:left w:val="none" w:sz="0" w:space="0" w:color="auto"/>
                                            <w:bottom w:val="none" w:sz="0" w:space="0" w:color="auto"/>
                                            <w:right w:val="none" w:sz="0" w:space="0" w:color="auto"/>
                                          </w:divBdr>
                                        </w:div>
                                        <w:div w:id="1525509958">
                                          <w:marLeft w:val="0"/>
                                          <w:marRight w:val="0"/>
                                          <w:marTop w:val="0"/>
                                          <w:marBottom w:val="0"/>
                                          <w:divBdr>
                                            <w:top w:val="none" w:sz="0" w:space="0" w:color="auto"/>
                                            <w:left w:val="none" w:sz="0" w:space="0" w:color="auto"/>
                                            <w:bottom w:val="none" w:sz="0" w:space="0" w:color="auto"/>
                                            <w:right w:val="none" w:sz="0" w:space="0" w:color="auto"/>
                                          </w:divBdr>
                                        </w:div>
                                      </w:divsChild>
                                    </w:div>
                                    <w:div w:id="2097440188">
                                      <w:marLeft w:val="0"/>
                                      <w:marRight w:val="0"/>
                                      <w:marTop w:val="0"/>
                                      <w:marBottom w:val="0"/>
                                      <w:divBdr>
                                        <w:top w:val="none" w:sz="0" w:space="0" w:color="auto"/>
                                        <w:left w:val="none" w:sz="0" w:space="0" w:color="auto"/>
                                        <w:bottom w:val="none" w:sz="0" w:space="0" w:color="auto"/>
                                        <w:right w:val="none" w:sz="0" w:space="0" w:color="auto"/>
                                      </w:divBdr>
                                      <w:divsChild>
                                        <w:div w:id="1187905718">
                                          <w:marLeft w:val="0"/>
                                          <w:marRight w:val="0"/>
                                          <w:marTop w:val="120"/>
                                          <w:marBottom w:val="0"/>
                                          <w:divBdr>
                                            <w:top w:val="none" w:sz="0" w:space="0" w:color="auto"/>
                                            <w:left w:val="none" w:sz="0" w:space="0" w:color="auto"/>
                                            <w:bottom w:val="none" w:sz="0" w:space="0" w:color="auto"/>
                                            <w:right w:val="none" w:sz="0" w:space="0" w:color="auto"/>
                                          </w:divBdr>
                                        </w:div>
                                        <w:div w:id="1159688186">
                                          <w:marLeft w:val="0"/>
                                          <w:marRight w:val="0"/>
                                          <w:marTop w:val="0"/>
                                          <w:marBottom w:val="0"/>
                                          <w:divBdr>
                                            <w:top w:val="none" w:sz="0" w:space="0" w:color="auto"/>
                                            <w:left w:val="none" w:sz="0" w:space="0" w:color="auto"/>
                                            <w:bottom w:val="none" w:sz="0" w:space="0" w:color="auto"/>
                                            <w:right w:val="none" w:sz="0" w:space="0" w:color="auto"/>
                                          </w:divBdr>
                                        </w:div>
                                      </w:divsChild>
                                    </w:div>
                                    <w:div w:id="987248596">
                                      <w:marLeft w:val="0"/>
                                      <w:marRight w:val="0"/>
                                      <w:marTop w:val="0"/>
                                      <w:marBottom w:val="0"/>
                                      <w:divBdr>
                                        <w:top w:val="none" w:sz="0" w:space="0" w:color="auto"/>
                                        <w:left w:val="none" w:sz="0" w:space="0" w:color="auto"/>
                                        <w:bottom w:val="none" w:sz="0" w:space="0" w:color="auto"/>
                                        <w:right w:val="none" w:sz="0" w:space="0" w:color="auto"/>
                                      </w:divBdr>
                                      <w:divsChild>
                                        <w:div w:id="104034770">
                                          <w:marLeft w:val="0"/>
                                          <w:marRight w:val="0"/>
                                          <w:marTop w:val="120"/>
                                          <w:marBottom w:val="0"/>
                                          <w:divBdr>
                                            <w:top w:val="none" w:sz="0" w:space="0" w:color="auto"/>
                                            <w:left w:val="none" w:sz="0" w:space="0" w:color="auto"/>
                                            <w:bottom w:val="none" w:sz="0" w:space="0" w:color="auto"/>
                                            <w:right w:val="none" w:sz="0" w:space="0" w:color="auto"/>
                                          </w:divBdr>
                                        </w:div>
                                        <w:div w:id="569967781">
                                          <w:marLeft w:val="0"/>
                                          <w:marRight w:val="0"/>
                                          <w:marTop w:val="0"/>
                                          <w:marBottom w:val="0"/>
                                          <w:divBdr>
                                            <w:top w:val="none" w:sz="0" w:space="0" w:color="auto"/>
                                            <w:left w:val="none" w:sz="0" w:space="0" w:color="auto"/>
                                            <w:bottom w:val="none" w:sz="0" w:space="0" w:color="auto"/>
                                            <w:right w:val="none" w:sz="0" w:space="0" w:color="auto"/>
                                          </w:divBdr>
                                        </w:div>
                                      </w:divsChild>
                                    </w:div>
                                    <w:div w:id="2004695427">
                                      <w:marLeft w:val="0"/>
                                      <w:marRight w:val="0"/>
                                      <w:marTop w:val="0"/>
                                      <w:marBottom w:val="0"/>
                                      <w:divBdr>
                                        <w:top w:val="none" w:sz="0" w:space="0" w:color="auto"/>
                                        <w:left w:val="none" w:sz="0" w:space="0" w:color="auto"/>
                                        <w:bottom w:val="none" w:sz="0" w:space="0" w:color="auto"/>
                                        <w:right w:val="none" w:sz="0" w:space="0" w:color="auto"/>
                                      </w:divBdr>
                                      <w:divsChild>
                                        <w:div w:id="1559591425">
                                          <w:marLeft w:val="0"/>
                                          <w:marRight w:val="0"/>
                                          <w:marTop w:val="120"/>
                                          <w:marBottom w:val="0"/>
                                          <w:divBdr>
                                            <w:top w:val="none" w:sz="0" w:space="0" w:color="auto"/>
                                            <w:left w:val="none" w:sz="0" w:space="0" w:color="auto"/>
                                            <w:bottom w:val="none" w:sz="0" w:space="0" w:color="auto"/>
                                            <w:right w:val="none" w:sz="0" w:space="0" w:color="auto"/>
                                          </w:divBdr>
                                        </w:div>
                                        <w:div w:id="428038857">
                                          <w:marLeft w:val="0"/>
                                          <w:marRight w:val="0"/>
                                          <w:marTop w:val="0"/>
                                          <w:marBottom w:val="0"/>
                                          <w:divBdr>
                                            <w:top w:val="none" w:sz="0" w:space="0" w:color="auto"/>
                                            <w:left w:val="none" w:sz="0" w:space="0" w:color="auto"/>
                                            <w:bottom w:val="none" w:sz="0" w:space="0" w:color="auto"/>
                                            <w:right w:val="none" w:sz="0" w:space="0" w:color="auto"/>
                                          </w:divBdr>
                                        </w:div>
                                      </w:divsChild>
                                    </w:div>
                                    <w:div w:id="1468620770">
                                      <w:marLeft w:val="0"/>
                                      <w:marRight w:val="0"/>
                                      <w:marTop w:val="0"/>
                                      <w:marBottom w:val="0"/>
                                      <w:divBdr>
                                        <w:top w:val="none" w:sz="0" w:space="0" w:color="auto"/>
                                        <w:left w:val="none" w:sz="0" w:space="0" w:color="auto"/>
                                        <w:bottom w:val="none" w:sz="0" w:space="0" w:color="auto"/>
                                        <w:right w:val="none" w:sz="0" w:space="0" w:color="auto"/>
                                      </w:divBdr>
                                      <w:divsChild>
                                        <w:div w:id="1811052312">
                                          <w:marLeft w:val="0"/>
                                          <w:marRight w:val="0"/>
                                          <w:marTop w:val="120"/>
                                          <w:marBottom w:val="0"/>
                                          <w:divBdr>
                                            <w:top w:val="none" w:sz="0" w:space="0" w:color="auto"/>
                                            <w:left w:val="none" w:sz="0" w:space="0" w:color="auto"/>
                                            <w:bottom w:val="none" w:sz="0" w:space="0" w:color="auto"/>
                                            <w:right w:val="none" w:sz="0" w:space="0" w:color="auto"/>
                                          </w:divBdr>
                                        </w:div>
                                        <w:div w:id="2047370493">
                                          <w:marLeft w:val="0"/>
                                          <w:marRight w:val="0"/>
                                          <w:marTop w:val="0"/>
                                          <w:marBottom w:val="0"/>
                                          <w:divBdr>
                                            <w:top w:val="none" w:sz="0" w:space="0" w:color="auto"/>
                                            <w:left w:val="none" w:sz="0" w:space="0" w:color="auto"/>
                                            <w:bottom w:val="none" w:sz="0" w:space="0" w:color="auto"/>
                                            <w:right w:val="none" w:sz="0" w:space="0" w:color="auto"/>
                                          </w:divBdr>
                                        </w:div>
                                      </w:divsChild>
                                    </w:div>
                                    <w:div w:id="1305156461">
                                      <w:marLeft w:val="0"/>
                                      <w:marRight w:val="0"/>
                                      <w:marTop w:val="0"/>
                                      <w:marBottom w:val="0"/>
                                      <w:divBdr>
                                        <w:top w:val="none" w:sz="0" w:space="0" w:color="auto"/>
                                        <w:left w:val="none" w:sz="0" w:space="0" w:color="auto"/>
                                        <w:bottom w:val="none" w:sz="0" w:space="0" w:color="auto"/>
                                        <w:right w:val="none" w:sz="0" w:space="0" w:color="auto"/>
                                      </w:divBdr>
                                      <w:divsChild>
                                        <w:div w:id="301354688">
                                          <w:marLeft w:val="0"/>
                                          <w:marRight w:val="0"/>
                                          <w:marTop w:val="120"/>
                                          <w:marBottom w:val="0"/>
                                          <w:divBdr>
                                            <w:top w:val="none" w:sz="0" w:space="0" w:color="auto"/>
                                            <w:left w:val="none" w:sz="0" w:space="0" w:color="auto"/>
                                            <w:bottom w:val="none" w:sz="0" w:space="0" w:color="auto"/>
                                            <w:right w:val="none" w:sz="0" w:space="0" w:color="auto"/>
                                          </w:divBdr>
                                        </w:div>
                                        <w:div w:id="772288294">
                                          <w:marLeft w:val="0"/>
                                          <w:marRight w:val="0"/>
                                          <w:marTop w:val="0"/>
                                          <w:marBottom w:val="0"/>
                                          <w:divBdr>
                                            <w:top w:val="none" w:sz="0" w:space="0" w:color="auto"/>
                                            <w:left w:val="none" w:sz="0" w:space="0" w:color="auto"/>
                                            <w:bottom w:val="none" w:sz="0" w:space="0" w:color="auto"/>
                                            <w:right w:val="none" w:sz="0" w:space="0" w:color="auto"/>
                                          </w:divBdr>
                                        </w:div>
                                      </w:divsChild>
                                    </w:div>
                                    <w:div w:id="1212308431">
                                      <w:marLeft w:val="0"/>
                                      <w:marRight w:val="0"/>
                                      <w:marTop w:val="0"/>
                                      <w:marBottom w:val="0"/>
                                      <w:divBdr>
                                        <w:top w:val="none" w:sz="0" w:space="0" w:color="auto"/>
                                        <w:left w:val="none" w:sz="0" w:space="0" w:color="auto"/>
                                        <w:bottom w:val="none" w:sz="0" w:space="0" w:color="auto"/>
                                        <w:right w:val="none" w:sz="0" w:space="0" w:color="auto"/>
                                      </w:divBdr>
                                      <w:divsChild>
                                        <w:div w:id="1146432278">
                                          <w:marLeft w:val="0"/>
                                          <w:marRight w:val="0"/>
                                          <w:marTop w:val="120"/>
                                          <w:marBottom w:val="0"/>
                                          <w:divBdr>
                                            <w:top w:val="none" w:sz="0" w:space="0" w:color="auto"/>
                                            <w:left w:val="none" w:sz="0" w:space="0" w:color="auto"/>
                                            <w:bottom w:val="none" w:sz="0" w:space="0" w:color="auto"/>
                                            <w:right w:val="none" w:sz="0" w:space="0" w:color="auto"/>
                                          </w:divBdr>
                                        </w:div>
                                        <w:div w:id="257566895">
                                          <w:marLeft w:val="0"/>
                                          <w:marRight w:val="0"/>
                                          <w:marTop w:val="0"/>
                                          <w:marBottom w:val="0"/>
                                          <w:divBdr>
                                            <w:top w:val="none" w:sz="0" w:space="0" w:color="auto"/>
                                            <w:left w:val="none" w:sz="0" w:space="0" w:color="auto"/>
                                            <w:bottom w:val="none" w:sz="0" w:space="0" w:color="auto"/>
                                            <w:right w:val="none" w:sz="0" w:space="0" w:color="auto"/>
                                          </w:divBdr>
                                        </w:div>
                                      </w:divsChild>
                                    </w:div>
                                    <w:div w:id="885410972">
                                      <w:marLeft w:val="0"/>
                                      <w:marRight w:val="0"/>
                                      <w:marTop w:val="0"/>
                                      <w:marBottom w:val="0"/>
                                      <w:divBdr>
                                        <w:top w:val="none" w:sz="0" w:space="0" w:color="auto"/>
                                        <w:left w:val="none" w:sz="0" w:space="0" w:color="auto"/>
                                        <w:bottom w:val="none" w:sz="0" w:space="0" w:color="auto"/>
                                        <w:right w:val="none" w:sz="0" w:space="0" w:color="auto"/>
                                      </w:divBdr>
                                      <w:divsChild>
                                        <w:div w:id="1164541672">
                                          <w:marLeft w:val="0"/>
                                          <w:marRight w:val="0"/>
                                          <w:marTop w:val="120"/>
                                          <w:marBottom w:val="0"/>
                                          <w:divBdr>
                                            <w:top w:val="none" w:sz="0" w:space="0" w:color="auto"/>
                                            <w:left w:val="none" w:sz="0" w:space="0" w:color="auto"/>
                                            <w:bottom w:val="none" w:sz="0" w:space="0" w:color="auto"/>
                                            <w:right w:val="none" w:sz="0" w:space="0" w:color="auto"/>
                                          </w:divBdr>
                                        </w:div>
                                        <w:div w:id="1121606650">
                                          <w:marLeft w:val="0"/>
                                          <w:marRight w:val="0"/>
                                          <w:marTop w:val="0"/>
                                          <w:marBottom w:val="0"/>
                                          <w:divBdr>
                                            <w:top w:val="none" w:sz="0" w:space="0" w:color="auto"/>
                                            <w:left w:val="none" w:sz="0" w:space="0" w:color="auto"/>
                                            <w:bottom w:val="none" w:sz="0" w:space="0" w:color="auto"/>
                                            <w:right w:val="none" w:sz="0" w:space="0" w:color="auto"/>
                                          </w:divBdr>
                                        </w:div>
                                      </w:divsChild>
                                    </w:div>
                                    <w:div w:id="389377644">
                                      <w:marLeft w:val="0"/>
                                      <w:marRight w:val="0"/>
                                      <w:marTop w:val="0"/>
                                      <w:marBottom w:val="0"/>
                                      <w:divBdr>
                                        <w:top w:val="none" w:sz="0" w:space="0" w:color="auto"/>
                                        <w:left w:val="none" w:sz="0" w:space="0" w:color="auto"/>
                                        <w:bottom w:val="none" w:sz="0" w:space="0" w:color="auto"/>
                                        <w:right w:val="none" w:sz="0" w:space="0" w:color="auto"/>
                                      </w:divBdr>
                                      <w:divsChild>
                                        <w:div w:id="255599827">
                                          <w:marLeft w:val="0"/>
                                          <w:marRight w:val="0"/>
                                          <w:marTop w:val="120"/>
                                          <w:marBottom w:val="0"/>
                                          <w:divBdr>
                                            <w:top w:val="none" w:sz="0" w:space="0" w:color="auto"/>
                                            <w:left w:val="none" w:sz="0" w:space="0" w:color="auto"/>
                                            <w:bottom w:val="none" w:sz="0" w:space="0" w:color="auto"/>
                                            <w:right w:val="none" w:sz="0" w:space="0" w:color="auto"/>
                                          </w:divBdr>
                                        </w:div>
                                        <w:div w:id="9509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24255">
                              <w:marLeft w:val="0"/>
                              <w:marRight w:val="0"/>
                              <w:marTop w:val="0"/>
                              <w:marBottom w:val="0"/>
                              <w:divBdr>
                                <w:top w:val="none" w:sz="0" w:space="0" w:color="auto"/>
                                <w:left w:val="none" w:sz="0" w:space="0" w:color="auto"/>
                                <w:bottom w:val="none" w:sz="0" w:space="0" w:color="auto"/>
                                <w:right w:val="none" w:sz="0" w:space="0" w:color="auto"/>
                              </w:divBdr>
                              <w:divsChild>
                                <w:div w:id="267739708">
                                  <w:marLeft w:val="0"/>
                                  <w:marRight w:val="0"/>
                                  <w:marTop w:val="0"/>
                                  <w:marBottom w:val="0"/>
                                  <w:divBdr>
                                    <w:top w:val="none" w:sz="0" w:space="0" w:color="auto"/>
                                    <w:left w:val="none" w:sz="0" w:space="0" w:color="auto"/>
                                    <w:bottom w:val="none" w:sz="0" w:space="0" w:color="auto"/>
                                    <w:right w:val="none" w:sz="0" w:space="0" w:color="auto"/>
                                  </w:divBdr>
                                  <w:divsChild>
                                    <w:div w:id="1111050332">
                                      <w:marLeft w:val="0"/>
                                      <w:marRight w:val="0"/>
                                      <w:marTop w:val="0"/>
                                      <w:marBottom w:val="0"/>
                                      <w:divBdr>
                                        <w:top w:val="none" w:sz="0" w:space="0" w:color="auto"/>
                                        <w:left w:val="none" w:sz="0" w:space="0" w:color="auto"/>
                                        <w:bottom w:val="none" w:sz="0" w:space="0" w:color="auto"/>
                                        <w:right w:val="none" w:sz="0" w:space="0" w:color="auto"/>
                                      </w:divBdr>
                                      <w:divsChild>
                                        <w:div w:id="996150981">
                                          <w:marLeft w:val="0"/>
                                          <w:marRight w:val="0"/>
                                          <w:marTop w:val="120"/>
                                          <w:marBottom w:val="0"/>
                                          <w:divBdr>
                                            <w:top w:val="none" w:sz="0" w:space="0" w:color="auto"/>
                                            <w:left w:val="none" w:sz="0" w:space="0" w:color="auto"/>
                                            <w:bottom w:val="none" w:sz="0" w:space="0" w:color="auto"/>
                                            <w:right w:val="none" w:sz="0" w:space="0" w:color="auto"/>
                                          </w:divBdr>
                                        </w:div>
                                        <w:div w:id="726612704">
                                          <w:marLeft w:val="0"/>
                                          <w:marRight w:val="0"/>
                                          <w:marTop w:val="0"/>
                                          <w:marBottom w:val="0"/>
                                          <w:divBdr>
                                            <w:top w:val="none" w:sz="0" w:space="0" w:color="auto"/>
                                            <w:left w:val="none" w:sz="0" w:space="0" w:color="auto"/>
                                            <w:bottom w:val="none" w:sz="0" w:space="0" w:color="auto"/>
                                            <w:right w:val="none" w:sz="0" w:space="0" w:color="auto"/>
                                          </w:divBdr>
                                        </w:div>
                                      </w:divsChild>
                                    </w:div>
                                    <w:div w:id="1824731874">
                                      <w:marLeft w:val="0"/>
                                      <w:marRight w:val="0"/>
                                      <w:marTop w:val="0"/>
                                      <w:marBottom w:val="0"/>
                                      <w:divBdr>
                                        <w:top w:val="none" w:sz="0" w:space="0" w:color="auto"/>
                                        <w:left w:val="none" w:sz="0" w:space="0" w:color="auto"/>
                                        <w:bottom w:val="none" w:sz="0" w:space="0" w:color="auto"/>
                                        <w:right w:val="none" w:sz="0" w:space="0" w:color="auto"/>
                                      </w:divBdr>
                                      <w:divsChild>
                                        <w:div w:id="526984290">
                                          <w:marLeft w:val="0"/>
                                          <w:marRight w:val="0"/>
                                          <w:marTop w:val="120"/>
                                          <w:marBottom w:val="0"/>
                                          <w:divBdr>
                                            <w:top w:val="none" w:sz="0" w:space="0" w:color="auto"/>
                                            <w:left w:val="none" w:sz="0" w:space="0" w:color="auto"/>
                                            <w:bottom w:val="none" w:sz="0" w:space="0" w:color="auto"/>
                                            <w:right w:val="none" w:sz="0" w:space="0" w:color="auto"/>
                                          </w:divBdr>
                                        </w:div>
                                        <w:div w:id="136544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176801">
                              <w:marLeft w:val="0"/>
                              <w:marRight w:val="0"/>
                              <w:marTop w:val="0"/>
                              <w:marBottom w:val="0"/>
                              <w:divBdr>
                                <w:top w:val="none" w:sz="0" w:space="0" w:color="auto"/>
                                <w:left w:val="none" w:sz="0" w:space="0" w:color="auto"/>
                                <w:bottom w:val="none" w:sz="0" w:space="0" w:color="auto"/>
                                <w:right w:val="none" w:sz="0" w:space="0" w:color="auto"/>
                              </w:divBdr>
                              <w:divsChild>
                                <w:div w:id="1078284334">
                                  <w:marLeft w:val="0"/>
                                  <w:marRight w:val="0"/>
                                  <w:marTop w:val="0"/>
                                  <w:marBottom w:val="0"/>
                                  <w:divBdr>
                                    <w:top w:val="none" w:sz="0" w:space="0" w:color="auto"/>
                                    <w:left w:val="none" w:sz="0" w:space="0" w:color="auto"/>
                                    <w:bottom w:val="none" w:sz="0" w:space="0" w:color="auto"/>
                                    <w:right w:val="none" w:sz="0" w:space="0" w:color="auto"/>
                                  </w:divBdr>
                                </w:div>
                              </w:divsChild>
                            </w:div>
                            <w:div w:id="39089473">
                              <w:marLeft w:val="0"/>
                              <w:marRight w:val="0"/>
                              <w:marTop w:val="0"/>
                              <w:marBottom w:val="0"/>
                              <w:divBdr>
                                <w:top w:val="none" w:sz="0" w:space="0" w:color="auto"/>
                                <w:left w:val="none" w:sz="0" w:space="0" w:color="auto"/>
                                <w:bottom w:val="none" w:sz="0" w:space="0" w:color="auto"/>
                                <w:right w:val="none" w:sz="0" w:space="0" w:color="auto"/>
                              </w:divBdr>
                              <w:divsChild>
                                <w:div w:id="23956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85018">
                          <w:marLeft w:val="0"/>
                          <w:marRight w:val="0"/>
                          <w:marTop w:val="0"/>
                          <w:marBottom w:val="0"/>
                          <w:divBdr>
                            <w:top w:val="none" w:sz="0" w:space="0" w:color="auto"/>
                            <w:left w:val="none" w:sz="0" w:space="0" w:color="auto"/>
                            <w:bottom w:val="none" w:sz="0" w:space="0" w:color="auto"/>
                            <w:right w:val="none" w:sz="0" w:space="0" w:color="auto"/>
                          </w:divBdr>
                          <w:divsChild>
                            <w:div w:id="651494967">
                              <w:marLeft w:val="0"/>
                              <w:marRight w:val="0"/>
                              <w:marTop w:val="0"/>
                              <w:marBottom w:val="0"/>
                              <w:divBdr>
                                <w:top w:val="none" w:sz="0" w:space="0" w:color="auto"/>
                                <w:left w:val="none" w:sz="0" w:space="0" w:color="auto"/>
                                <w:bottom w:val="none" w:sz="0" w:space="0" w:color="auto"/>
                                <w:right w:val="none" w:sz="0" w:space="0" w:color="auto"/>
                              </w:divBdr>
                            </w:div>
                            <w:div w:id="2094080131">
                              <w:marLeft w:val="0"/>
                              <w:marRight w:val="0"/>
                              <w:marTop w:val="0"/>
                              <w:marBottom w:val="0"/>
                              <w:divBdr>
                                <w:top w:val="none" w:sz="0" w:space="0" w:color="auto"/>
                                <w:left w:val="none" w:sz="0" w:space="0" w:color="auto"/>
                                <w:bottom w:val="none" w:sz="0" w:space="0" w:color="auto"/>
                                <w:right w:val="none" w:sz="0" w:space="0" w:color="auto"/>
                              </w:divBdr>
                              <w:divsChild>
                                <w:div w:id="1512640173">
                                  <w:marLeft w:val="0"/>
                                  <w:marRight w:val="0"/>
                                  <w:marTop w:val="0"/>
                                  <w:marBottom w:val="0"/>
                                  <w:divBdr>
                                    <w:top w:val="none" w:sz="0" w:space="0" w:color="auto"/>
                                    <w:left w:val="none" w:sz="0" w:space="0" w:color="auto"/>
                                    <w:bottom w:val="none" w:sz="0" w:space="0" w:color="auto"/>
                                    <w:right w:val="none" w:sz="0" w:space="0" w:color="auto"/>
                                  </w:divBdr>
                                  <w:divsChild>
                                    <w:div w:id="2039429766">
                                      <w:marLeft w:val="0"/>
                                      <w:marRight w:val="0"/>
                                      <w:marTop w:val="0"/>
                                      <w:marBottom w:val="0"/>
                                      <w:divBdr>
                                        <w:top w:val="none" w:sz="0" w:space="0" w:color="auto"/>
                                        <w:left w:val="none" w:sz="0" w:space="0" w:color="auto"/>
                                        <w:bottom w:val="none" w:sz="0" w:space="0" w:color="auto"/>
                                        <w:right w:val="none" w:sz="0" w:space="0" w:color="auto"/>
                                      </w:divBdr>
                                      <w:divsChild>
                                        <w:div w:id="1943998901">
                                          <w:marLeft w:val="0"/>
                                          <w:marRight w:val="0"/>
                                          <w:marTop w:val="120"/>
                                          <w:marBottom w:val="0"/>
                                          <w:divBdr>
                                            <w:top w:val="none" w:sz="0" w:space="0" w:color="auto"/>
                                            <w:left w:val="none" w:sz="0" w:space="0" w:color="auto"/>
                                            <w:bottom w:val="none" w:sz="0" w:space="0" w:color="auto"/>
                                            <w:right w:val="none" w:sz="0" w:space="0" w:color="auto"/>
                                          </w:divBdr>
                                        </w:div>
                                        <w:div w:id="1600942515">
                                          <w:marLeft w:val="0"/>
                                          <w:marRight w:val="0"/>
                                          <w:marTop w:val="0"/>
                                          <w:marBottom w:val="0"/>
                                          <w:divBdr>
                                            <w:top w:val="none" w:sz="0" w:space="0" w:color="auto"/>
                                            <w:left w:val="none" w:sz="0" w:space="0" w:color="auto"/>
                                            <w:bottom w:val="none" w:sz="0" w:space="0" w:color="auto"/>
                                            <w:right w:val="none" w:sz="0" w:space="0" w:color="auto"/>
                                          </w:divBdr>
                                        </w:div>
                                      </w:divsChild>
                                    </w:div>
                                    <w:div w:id="473252537">
                                      <w:marLeft w:val="0"/>
                                      <w:marRight w:val="0"/>
                                      <w:marTop w:val="0"/>
                                      <w:marBottom w:val="0"/>
                                      <w:divBdr>
                                        <w:top w:val="none" w:sz="0" w:space="0" w:color="auto"/>
                                        <w:left w:val="none" w:sz="0" w:space="0" w:color="auto"/>
                                        <w:bottom w:val="none" w:sz="0" w:space="0" w:color="auto"/>
                                        <w:right w:val="none" w:sz="0" w:space="0" w:color="auto"/>
                                      </w:divBdr>
                                      <w:divsChild>
                                        <w:div w:id="1136413808">
                                          <w:marLeft w:val="0"/>
                                          <w:marRight w:val="0"/>
                                          <w:marTop w:val="120"/>
                                          <w:marBottom w:val="0"/>
                                          <w:divBdr>
                                            <w:top w:val="none" w:sz="0" w:space="0" w:color="auto"/>
                                            <w:left w:val="none" w:sz="0" w:space="0" w:color="auto"/>
                                            <w:bottom w:val="none" w:sz="0" w:space="0" w:color="auto"/>
                                            <w:right w:val="none" w:sz="0" w:space="0" w:color="auto"/>
                                          </w:divBdr>
                                        </w:div>
                                        <w:div w:id="2048868654">
                                          <w:marLeft w:val="0"/>
                                          <w:marRight w:val="0"/>
                                          <w:marTop w:val="0"/>
                                          <w:marBottom w:val="0"/>
                                          <w:divBdr>
                                            <w:top w:val="none" w:sz="0" w:space="0" w:color="auto"/>
                                            <w:left w:val="none" w:sz="0" w:space="0" w:color="auto"/>
                                            <w:bottom w:val="none" w:sz="0" w:space="0" w:color="auto"/>
                                            <w:right w:val="none" w:sz="0" w:space="0" w:color="auto"/>
                                          </w:divBdr>
                                        </w:div>
                                      </w:divsChild>
                                    </w:div>
                                    <w:div w:id="1268852316">
                                      <w:marLeft w:val="0"/>
                                      <w:marRight w:val="0"/>
                                      <w:marTop w:val="0"/>
                                      <w:marBottom w:val="0"/>
                                      <w:divBdr>
                                        <w:top w:val="none" w:sz="0" w:space="0" w:color="auto"/>
                                        <w:left w:val="none" w:sz="0" w:space="0" w:color="auto"/>
                                        <w:bottom w:val="none" w:sz="0" w:space="0" w:color="auto"/>
                                        <w:right w:val="none" w:sz="0" w:space="0" w:color="auto"/>
                                      </w:divBdr>
                                      <w:divsChild>
                                        <w:div w:id="1464427527">
                                          <w:marLeft w:val="0"/>
                                          <w:marRight w:val="0"/>
                                          <w:marTop w:val="120"/>
                                          <w:marBottom w:val="0"/>
                                          <w:divBdr>
                                            <w:top w:val="none" w:sz="0" w:space="0" w:color="auto"/>
                                            <w:left w:val="none" w:sz="0" w:space="0" w:color="auto"/>
                                            <w:bottom w:val="none" w:sz="0" w:space="0" w:color="auto"/>
                                            <w:right w:val="none" w:sz="0" w:space="0" w:color="auto"/>
                                          </w:divBdr>
                                        </w:div>
                                        <w:div w:id="1959408342">
                                          <w:marLeft w:val="0"/>
                                          <w:marRight w:val="0"/>
                                          <w:marTop w:val="0"/>
                                          <w:marBottom w:val="0"/>
                                          <w:divBdr>
                                            <w:top w:val="none" w:sz="0" w:space="0" w:color="auto"/>
                                            <w:left w:val="none" w:sz="0" w:space="0" w:color="auto"/>
                                            <w:bottom w:val="none" w:sz="0" w:space="0" w:color="auto"/>
                                            <w:right w:val="none" w:sz="0" w:space="0" w:color="auto"/>
                                          </w:divBdr>
                                        </w:div>
                                      </w:divsChild>
                                    </w:div>
                                    <w:div w:id="532965993">
                                      <w:marLeft w:val="0"/>
                                      <w:marRight w:val="0"/>
                                      <w:marTop w:val="0"/>
                                      <w:marBottom w:val="0"/>
                                      <w:divBdr>
                                        <w:top w:val="none" w:sz="0" w:space="0" w:color="auto"/>
                                        <w:left w:val="none" w:sz="0" w:space="0" w:color="auto"/>
                                        <w:bottom w:val="none" w:sz="0" w:space="0" w:color="auto"/>
                                        <w:right w:val="none" w:sz="0" w:space="0" w:color="auto"/>
                                      </w:divBdr>
                                      <w:divsChild>
                                        <w:div w:id="548151582">
                                          <w:marLeft w:val="0"/>
                                          <w:marRight w:val="0"/>
                                          <w:marTop w:val="120"/>
                                          <w:marBottom w:val="0"/>
                                          <w:divBdr>
                                            <w:top w:val="none" w:sz="0" w:space="0" w:color="auto"/>
                                            <w:left w:val="none" w:sz="0" w:space="0" w:color="auto"/>
                                            <w:bottom w:val="none" w:sz="0" w:space="0" w:color="auto"/>
                                            <w:right w:val="none" w:sz="0" w:space="0" w:color="auto"/>
                                          </w:divBdr>
                                        </w:div>
                                        <w:div w:id="2083676031">
                                          <w:marLeft w:val="0"/>
                                          <w:marRight w:val="0"/>
                                          <w:marTop w:val="0"/>
                                          <w:marBottom w:val="0"/>
                                          <w:divBdr>
                                            <w:top w:val="none" w:sz="0" w:space="0" w:color="auto"/>
                                            <w:left w:val="none" w:sz="0" w:space="0" w:color="auto"/>
                                            <w:bottom w:val="none" w:sz="0" w:space="0" w:color="auto"/>
                                            <w:right w:val="none" w:sz="0" w:space="0" w:color="auto"/>
                                          </w:divBdr>
                                        </w:div>
                                      </w:divsChild>
                                    </w:div>
                                    <w:div w:id="652412643">
                                      <w:marLeft w:val="0"/>
                                      <w:marRight w:val="0"/>
                                      <w:marTop w:val="0"/>
                                      <w:marBottom w:val="0"/>
                                      <w:divBdr>
                                        <w:top w:val="none" w:sz="0" w:space="0" w:color="auto"/>
                                        <w:left w:val="none" w:sz="0" w:space="0" w:color="auto"/>
                                        <w:bottom w:val="none" w:sz="0" w:space="0" w:color="auto"/>
                                        <w:right w:val="none" w:sz="0" w:space="0" w:color="auto"/>
                                      </w:divBdr>
                                      <w:divsChild>
                                        <w:div w:id="1572041149">
                                          <w:marLeft w:val="0"/>
                                          <w:marRight w:val="0"/>
                                          <w:marTop w:val="120"/>
                                          <w:marBottom w:val="0"/>
                                          <w:divBdr>
                                            <w:top w:val="none" w:sz="0" w:space="0" w:color="auto"/>
                                            <w:left w:val="none" w:sz="0" w:space="0" w:color="auto"/>
                                            <w:bottom w:val="none" w:sz="0" w:space="0" w:color="auto"/>
                                            <w:right w:val="none" w:sz="0" w:space="0" w:color="auto"/>
                                          </w:divBdr>
                                        </w:div>
                                        <w:div w:id="330256988">
                                          <w:marLeft w:val="0"/>
                                          <w:marRight w:val="0"/>
                                          <w:marTop w:val="0"/>
                                          <w:marBottom w:val="0"/>
                                          <w:divBdr>
                                            <w:top w:val="none" w:sz="0" w:space="0" w:color="auto"/>
                                            <w:left w:val="none" w:sz="0" w:space="0" w:color="auto"/>
                                            <w:bottom w:val="none" w:sz="0" w:space="0" w:color="auto"/>
                                            <w:right w:val="none" w:sz="0" w:space="0" w:color="auto"/>
                                          </w:divBdr>
                                        </w:div>
                                      </w:divsChild>
                                    </w:div>
                                    <w:div w:id="1882668989">
                                      <w:marLeft w:val="0"/>
                                      <w:marRight w:val="0"/>
                                      <w:marTop w:val="0"/>
                                      <w:marBottom w:val="0"/>
                                      <w:divBdr>
                                        <w:top w:val="none" w:sz="0" w:space="0" w:color="auto"/>
                                        <w:left w:val="none" w:sz="0" w:space="0" w:color="auto"/>
                                        <w:bottom w:val="none" w:sz="0" w:space="0" w:color="auto"/>
                                        <w:right w:val="none" w:sz="0" w:space="0" w:color="auto"/>
                                      </w:divBdr>
                                      <w:divsChild>
                                        <w:div w:id="1287156357">
                                          <w:marLeft w:val="0"/>
                                          <w:marRight w:val="0"/>
                                          <w:marTop w:val="120"/>
                                          <w:marBottom w:val="0"/>
                                          <w:divBdr>
                                            <w:top w:val="none" w:sz="0" w:space="0" w:color="auto"/>
                                            <w:left w:val="none" w:sz="0" w:space="0" w:color="auto"/>
                                            <w:bottom w:val="none" w:sz="0" w:space="0" w:color="auto"/>
                                            <w:right w:val="none" w:sz="0" w:space="0" w:color="auto"/>
                                          </w:divBdr>
                                        </w:div>
                                        <w:div w:id="210483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9290">
                              <w:marLeft w:val="0"/>
                              <w:marRight w:val="0"/>
                              <w:marTop w:val="0"/>
                              <w:marBottom w:val="0"/>
                              <w:divBdr>
                                <w:top w:val="none" w:sz="0" w:space="0" w:color="auto"/>
                                <w:left w:val="none" w:sz="0" w:space="0" w:color="auto"/>
                                <w:bottom w:val="none" w:sz="0" w:space="0" w:color="auto"/>
                                <w:right w:val="none" w:sz="0" w:space="0" w:color="auto"/>
                              </w:divBdr>
                              <w:divsChild>
                                <w:div w:id="1578976425">
                                  <w:marLeft w:val="0"/>
                                  <w:marRight w:val="0"/>
                                  <w:marTop w:val="0"/>
                                  <w:marBottom w:val="0"/>
                                  <w:divBdr>
                                    <w:top w:val="none" w:sz="0" w:space="0" w:color="auto"/>
                                    <w:left w:val="none" w:sz="0" w:space="0" w:color="auto"/>
                                    <w:bottom w:val="none" w:sz="0" w:space="0" w:color="auto"/>
                                    <w:right w:val="none" w:sz="0" w:space="0" w:color="auto"/>
                                  </w:divBdr>
                                </w:div>
                              </w:divsChild>
                            </w:div>
                            <w:div w:id="224802239">
                              <w:marLeft w:val="0"/>
                              <w:marRight w:val="0"/>
                              <w:marTop w:val="0"/>
                              <w:marBottom w:val="0"/>
                              <w:divBdr>
                                <w:top w:val="none" w:sz="0" w:space="0" w:color="auto"/>
                                <w:left w:val="none" w:sz="0" w:space="0" w:color="auto"/>
                                <w:bottom w:val="none" w:sz="0" w:space="0" w:color="auto"/>
                                <w:right w:val="none" w:sz="0" w:space="0" w:color="auto"/>
                              </w:divBdr>
                              <w:divsChild>
                                <w:div w:id="1027483531">
                                  <w:marLeft w:val="0"/>
                                  <w:marRight w:val="0"/>
                                  <w:marTop w:val="0"/>
                                  <w:marBottom w:val="0"/>
                                  <w:divBdr>
                                    <w:top w:val="none" w:sz="0" w:space="0" w:color="auto"/>
                                    <w:left w:val="none" w:sz="0" w:space="0" w:color="auto"/>
                                    <w:bottom w:val="none" w:sz="0" w:space="0" w:color="auto"/>
                                    <w:right w:val="none" w:sz="0" w:space="0" w:color="auto"/>
                                  </w:divBdr>
                                  <w:divsChild>
                                    <w:div w:id="319698829">
                                      <w:marLeft w:val="0"/>
                                      <w:marRight w:val="0"/>
                                      <w:marTop w:val="0"/>
                                      <w:marBottom w:val="0"/>
                                      <w:divBdr>
                                        <w:top w:val="none" w:sz="0" w:space="0" w:color="auto"/>
                                        <w:left w:val="none" w:sz="0" w:space="0" w:color="auto"/>
                                        <w:bottom w:val="none" w:sz="0" w:space="0" w:color="auto"/>
                                        <w:right w:val="none" w:sz="0" w:space="0" w:color="auto"/>
                                      </w:divBdr>
                                      <w:divsChild>
                                        <w:div w:id="349069774">
                                          <w:marLeft w:val="0"/>
                                          <w:marRight w:val="0"/>
                                          <w:marTop w:val="120"/>
                                          <w:marBottom w:val="0"/>
                                          <w:divBdr>
                                            <w:top w:val="none" w:sz="0" w:space="0" w:color="auto"/>
                                            <w:left w:val="none" w:sz="0" w:space="0" w:color="auto"/>
                                            <w:bottom w:val="none" w:sz="0" w:space="0" w:color="auto"/>
                                            <w:right w:val="none" w:sz="0" w:space="0" w:color="auto"/>
                                          </w:divBdr>
                                        </w:div>
                                        <w:div w:id="1274510088">
                                          <w:marLeft w:val="0"/>
                                          <w:marRight w:val="0"/>
                                          <w:marTop w:val="0"/>
                                          <w:marBottom w:val="0"/>
                                          <w:divBdr>
                                            <w:top w:val="none" w:sz="0" w:space="0" w:color="auto"/>
                                            <w:left w:val="none" w:sz="0" w:space="0" w:color="auto"/>
                                            <w:bottom w:val="none" w:sz="0" w:space="0" w:color="auto"/>
                                            <w:right w:val="none" w:sz="0" w:space="0" w:color="auto"/>
                                          </w:divBdr>
                                        </w:div>
                                      </w:divsChild>
                                    </w:div>
                                    <w:div w:id="455099879">
                                      <w:marLeft w:val="0"/>
                                      <w:marRight w:val="0"/>
                                      <w:marTop w:val="0"/>
                                      <w:marBottom w:val="0"/>
                                      <w:divBdr>
                                        <w:top w:val="none" w:sz="0" w:space="0" w:color="auto"/>
                                        <w:left w:val="none" w:sz="0" w:space="0" w:color="auto"/>
                                        <w:bottom w:val="none" w:sz="0" w:space="0" w:color="auto"/>
                                        <w:right w:val="none" w:sz="0" w:space="0" w:color="auto"/>
                                      </w:divBdr>
                                      <w:divsChild>
                                        <w:div w:id="849640538">
                                          <w:marLeft w:val="0"/>
                                          <w:marRight w:val="0"/>
                                          <w:marTop w:val="120"/>
                                          <w:marBottom w:val="0"/>
                                          <w:divBdr>
                                            <w:top w:val="none" w:sz="0" w:space="0" w:color="auto"/>
                                            <w:left w:val="none" w:sz="0" w:space="0" w:color="auto"/>
                                            <w:bottom w:val="none" w:sz="0" w:space="0" w:color="auto"/>
                                            <w:right w:val="none" w:sz="0" w:space="0" w:color="auto"/>
                                          </w:divBdr>
                                        </w:div>
                                        <w:div w:id="10251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4792">
                              <w:marLeft w:val="0"/>
                              <w:marRight w:val="0"/>
                              <w:marTop w:val="0"/>
                              <w:marBottom w:val="0"/>
                              <w:divBdr>
                                <w:top w:val="none" w:sz="0" w:space="0" w:color="auto"/>
                                <w:left w:val="none" w:sz="0" w:space="0" w:color="auto"/>
                                <w:bottom w:val="none" w:sz="0" w:space="0" w:color="auto"/>
                                <w:right w:val="none" w:sz="0" w:space="0" w:color="auto"/>
                              </w:divBdr>
                              <w:divsChild>
                                <w:div w:id="1603874164">
                                  <w:marLeft w:val="0"/>
                                  <w:marRight w:val="0"/>
                                  <w:marTop w:val="0"/>
                                  <w:marBottom w:val="0"/>
                                  <w:divBdr>
                                    <w:top w:val="none" w:sz="0" w:space="0" w:color="auto"/>
                                    <w:left w:val="none" w:sz="0" w:space="0" w:color="auto"/>
                                    <w:bottom w:val="none" w:sz="0" w:space="0" w:color="auto"/>
                                    <w:right w:val="none" w:sz="0" w:space="0" w:color="auto"/>
                                  </w:divBdr>
                                  <w:divsChild>
                                    <w:div w:id="1428774669">
                                      <w:marLeft w:val="0"/>
                                      <w:marRight w:val="0"/>
                                      <w:marTop w:val="0"/>
                                      <w:marBottom w:val="0"/>
                                      <w:divBdr>
                                        <w:top w:val="none" w:sz="0" w:space="0" w:color="auto"/>
                                        <w:left w:val="none" w:sz="0" w:space="0" w:color="auto"/>
                                        <w:bottom w:val="none" w:sz="0" w:space="0" w:color="auto"/>
                                        <w:right w:val="none" w:sz="0" w:space="0" w:color="auto"/>
                                      </w:divBdr>
                                      <w:divsChild>
                                        <w:div w:id="1961179551">
                                          <w:marLeft w:val="0"/>
                                          <w:marRight w:val="0"/>
                                          <w:marTop w:val="120"/>
                                          <w:marBottom w:val="0"/>
                                          <w:divBdr>
                                            <w:top w:val="none" w:sz="0" w:space="0" w:color="auto"/>
                                            <w:left w:val="none" w:sz="0" w:space="0" w:color="auto"/>
                                            <w:bottom w:val="none" w:sz="0" w:space="0" w:color="auto"/>
                                            <w:right w:val="none" w:sz="0" w:space="0" w:color="auto"/>
                                          </w:divBdr>
                                        </w:div>
                                        <w:div w:id="709181877">
                                          <w:marLeft w:val="0"/>
                                          <w:marRight w:val="0"/>
                                          <w:marTop w:val="0"/>
                                          <w:marBottom w:val="0"/>
                                          <w:divBdr>
                                            <w:top w:val="none" w:sz="0" w:space="0" w:color="auto"/>
                                            <w:left w:val="none" w:sz="0" w:space="0" w:color="auto"/>
                                            <w:bottom w:val="none" w:sz="0" w:space="0" w:color="auto"/>
                                            <w:right w:val="none" w:sz="0" w:space="0" w:color="auto"/>
                                          </w:divBdr>
                                        </w:div>
                                      </w:divsChild>
                                    </w:div>
                                    <w:div w:id="405879788">
                                      <w:marLeft w:val="0"/>
                                      <w:marRight w:val="0"/>
                                      <w:marTop w:val="0"/>
                                      <w:marBottom w:val="0"/>
                                      <w:divBdr>
                                        <w:top w:val="none" w:sz="0" w:space="0" w:color="auto"/>
                                        <w:left w:val="none" w:sz="0" w:space="0" w:color="auto"/>
                                        <w:bottom w:val="none" w:sz="0" w:space="0" w:color="auto"/>
                                        <w:right w:val="none" w:sz="0" w:space="0" w:color="auto"/>
                                      </w:divBdr>
                                      <w:divsChild>
                                        <w:div w:id="324893763">
                                          <w:marLeft w:val="0"/>
                                          <w:marRight w:val="0"/>
                                          <w:marTop w:val="120"/>
                                          <w:marBottom w:val="0"/>
                                          <w:divBdr>
                                            <w:top w:val="none" w:sz="0" w:space="0" w:color="auto"/>
                                            <w:left w:val="none" w:sz="0" w:space="0" w:color="auto"/>
                                            <w:bottom w:val="none" w:sz="0" w:space="0" w:color="auto"/>
                                            <w:right w:val="none" w:sz="0" w:space="0" w:color="auto"/>
                                          </w:divBdr>
                                        </w:div>
                                        <w:div w:id="10274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772520">
                          <w:marLeft w:val="0"/>
                          <w:marRight w:val="0"/>
                          <w:marTop w:val="0"/>
                          <w:marBottom w:val="0"/>
                          <w:divBdr>
                            <w:top w:val="none" w:sz="0" w:space="0" w:color="auto"/>
                            <w:left w:val="none" w:sz="0" w:space="0" w:color="auto"/>
                            <w:bottom w:val="none" w:sz="0" w:space="0" w:color="auto"/>
                            <w:right w:val="none" w:sz="0" w:space="0" w:color="auto"/>
                          </w:divBdr>
                          <w:divsChild>
                            <w:div w:id="2035230469">
                              <w:marLeft w:val="0"/>
                              <w:marRight w:val="0"/>
                              <w:marTop w:val="0"/>
                              <w:marBottom w:val="0"/>
                              <w:divBdr>
                                <w:top w:val="none" w:sz="0" w:space="0" w:color="auto"/>
                                <w:left w:val="none" w:sz="0" w:space="0" w:color="auto"/>
                                <w:bottom w:val="none" w:sz="0" w:space="0" w:color="auto"/>
                                <w:right w:val="none" w:sz="0" w:space="0" w:color="auto"/>
                              </w:divBdr>
                            </w:div>
                            <w:div w:id="1024014024">
                              <w:marLeft w:val="0"/>
                              <w:marRight w:val="0"/>
                              <w:marTop w:val="0"/>
                              <w:marBottom w:val="0"/>
                              <w:divBdr>
                                <w:top w:val="none" w:sz="0" w:space="0" w:color="auto"/>
                                <w:left w:val="none" w:sz="0" w:space="0" w:color="auto"/>
                                <w:bottom w:val="none" w:sz="0" w:space="0" w:color="auto"/>
                                <w:right w:val="none" w:sz="0" w:space="0" w:color="auto"/>
                              </w:divBdr>
                              <w:divsChild>
                                <w:div w:id="222184494">
                                  <w:marLeft w:val="0"/>
                                  <w:marRight w:val="0"/>
                                  <w:marTop w:val="0"/>
                                  <w:marBottom w:val="0"/>
                                  <w:divBdr>
                                    <w:top w:val="none" w:sz="0" w:space="0" w:color="auto"/>
                                    <w:left w:val="none" w:sz="0" w:space="0" w:color="auto"/>
                                    <w:bottom w:val="none" w:sz="0" w:space="0" w:color="auto"/>
                                    <w:right w:val="none" w:sz="0" w:space="0" w:color="auto"/>
                                  </w:divBdr>
                                </w:div>
                              </w:divsChild>
                            </w:div>
                            <w:div w:id="650409964">
                              <w:marLeft w:val="0"/>
                              <w:marRight w:val="0"/>
                              <w:marTop w:val="0"/>
                              <w:marBottom w:val="0"/>
                              <w:divBdr>
                                <w:top w:val="none" w:sz="0" w:space="0" w:color="auto"/>
                                <w:left w:val="none" w:sz="0" w:space="0" w:color="auto"/>
                                <w:bottom w:val="none" w:sz="0" w:space="0" w:color="auto"/>
                                <w:right w:val="none" w:sz="0" w:space="0" w:color="auto"/>
                              </w:divBdr>
                              <w:divsChild>
                                <w:div w:id="643774265">
                                  <w:marLeft w:val="0"/>
                                  <w:marRight w:val="0"/>
                                  <w:marTop w:val="0"/>
                                  <w:marBottom w:val="0"/>
                                  <w:divBdr>
                                    <w:top w:val="none" w:sz="0" w:space="0" w:color="auto"/>
                                    <w:left w:val="none" w:sz="0" w:space="0" w:color="auto"/>
                                    <w:bottom w:val="none" w:sz="0" w:space="0" w:color="auto"/>
                                    <w:right w:val="none" w:sz="0" w:space="0" w:color="auto"/>
                                  </w:divBdr>
                                </w:div>
                              </w:divsChild>
                            </w:div>
                            <w:div w:id="1853252641">
                              <w:marLeft w:val="0"/>
                              <w:marRight w:val="0"/>
                              <w:marTop w:val="0"/>
                              <w:marBottom w:val="0"/>
                              <w:divBdr>
                                <w:top w:val="none" w:sz="0" w:space="0" w:color="auto"/>
                                <w:left w:val="none" w:sz="0" w:space="0" w:color="auto"/>
                                <w:bottom w:val="none" w:sz="0" w:space="0" w:color="auto"/>
                                <w:right w:val="none" w:sz="0" w:space="0" w:color="auto"/>
                              </w:divBdr>
                              <w:divsChild>
                                <w:div w:id="957222095">
                                  <w:marLeft w:val="0"/>
                                  <w:marRight w:val="0"/>
                                  <w:marTop w:val="0"/>
                                  <w:marBottom w:val="0"/>
                                  <w:divBdr>
                                    <w:top w:val="none" w:sz="0" w:space="0" w:color="auto"/>
                                    <w:left w:val="none" w:sz="0" w:space="0" w:color="auto"/>
                                    <w:bottom w:val="none" w:sz="0" w:space="0" w:color="auto"/>
                                    <w:right w:val="none" w:sz="0" w:space="0" w:color="auto"/>
                                  </w:divBdr>
                                </w:div>
                              </w:divsChild>
                            </w:div>
                            <w:div w:id="2027365792">
                              <w:marLeft w:val="0"/>
                              <w:marRight w:val="0"/>
                              <w:marTop w:val="0"/>
                              <w:marBottom w:val="0"/>
                              <w:divBdr>
                                <w:top w:val="none" w:sz="0" w:space="0" w:color="auto"/>
                                <w:left w:val="none" w:sz="0" w:space="0" w:color="auto"/>
                                <w:bottom w:val="none" w:sz="0" w:space="0" w:color="auto"/>
                                <w:right w:val="none" w:sz="0" w:space="0" w:color="auto"/>
                              </w:divBdr>
                              <w:divsChild>
                                <w:div w:id="1004672098">
                                  <w:marLeft w:val="0"/>
                                  <w:marRight w:val="0"/>
                                  <w:marTop w:val="0"/>
                                  <w:marBottom w:val="0"/>
                                  <w:divBdr>
                                    <w:top w:val="none" w:sz="0" w:space="0" w:color="auto"/>
                                    <w:left w:val="none" w:sz="0" w:space="0" w:color="auto"/>
                                    <w:bottom w:val="none" w:sz="0" w:space="0" w:color="auto"/>
                                    <w:right w:val="none" w:sz="0" w:space="0" w:color="auto"/>
                                  </w:divBdr>
                                  <w:divsChild>
                                    <w:div w:id="1300846888">
                                      <w:marLeft w:val="0"/>
                                      <w:marRight w:val="0"/>
                                      <w:marTop w:val="0"/>
                                      <w:marBottom w:val="0"/>
                                      <w:divBdr>
                                        <w:top w:val="none" w:sz="0" w:space="0" w:color="auto"/>
                                        <w:left w:val="none" w:sz="0" w:space="0" w:color="auto"/>
                                        <w:bottom w:val="none" w:sz="0" w:space="0" w:color="auto"/>
                                        <w:right w:val="none" w:sz="0" w:space="0" w:color="auto"/>
                                      </w:divBdr>
                                      <w:divsChild>
                                        <w:div w:id="1545751008">
                                          <w:marLeft w:val="0"/>
                                          <w:marRight w:val="0"/>
                                          <w:marTop w:val="120"/>
                                          <w:marBottom w:val="0"/>
                                          <w:divBdr>
                                            <w:top w:val="none" w:sz="0" w:space="0" w:color="auto"/>
                                            <w:left w:val="none" w:sz="0" w:space="0" w:color="auto"/>
                                            <w:bottom w:val="none" w:sz="0" w:space="0" w:color="auto"/>
                                            <w:right w:val="none" w:sz="0" w:space="0" w:color="auto"/>
                                          </w:divBdr>
                                        </w:div>
                                        <w:div w:id="1023627965">
                                          <w:marLeft w:val="0"/>
                                          <w:marRight w:val="0"/>
                                          <w:marTop w:val="0"/>
                                          <w:marBottom w:val="0"/>
                                          <w:divBdr>
                                            <w:top w:val="none" w:sz="0" w:space="0" w:color="auto"/>
                                            <w:left w:val="none" w:sz="0" w:space="0" w:color="auto"/>
                                            <w:bottom w:val="none" w:sz="0" w:space="0" w:color="auto"/>
                                            <w:right w:val="none" w:sz="0" w:space="0" w:color="auto"/>
                                          </w:divBdr>
                                        </w:div>
                                      </w:divsChild>
                                    </w:div>
                                    <w:div w:id="1308897115">
                                      <w:marLeft w:val="0"/>
                                      <w:marRight w:val="0"/>
                                      <w:marTop w:val="0"/>
                                      <w:marBottom w:val="0"/>
                                      <w:divBdr>
                                        <w:top w:val="none" w:sz="0" w:space="0" w:color="auto"/>
                                        <w:left w:val="none" w:sz="0" w:space="0" w:color="auto"/>
                                        <w:bottom w:val="none" w:sz="0" w:space="0" w:color="auto"/>
                                        <w:right w:val="none" w:sz="0" w:space="0" w:color="auto"/>
                                      </w:divBdr>
                                      <w:divsChild>
                                        <w:div w:id="1834292729">
                                          <w:marLeft w:val="0"/>
                                          <w:marRight w:val="0"/>
                                          <w:marTop w:val="120"/>
                                          <w:marBottom w:val="0"/>
                                          <w:divBdr>
                                            <w:top w:val="none" w:sz="0" w:space="0" w:color="auto"/>
                                            <w:left w:val="none" w:sz="0" w:space="0" w:color="auto"/>
                                            <w:bottom w:val="none" w:sz="0" w:space="0" w:color="auto"/>
                                            <w:right w:val="none" w:sz="0" w:space="0" w:color="auto"/>
                                          </w:divBdr>
                                        </w:div>
                                        <w:div w:id="1884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55052">
                              <w:marLeft w:val="0"/>
                              <w:marRight w:val="0"/>
                              <w:marTop w:val="0"/>
                              <w:marBottom w:val="0"/>
                              <w:divBdr>
                                <w:top w:val="none" w:sz="0" w:space="0" w:color="auto"/>
                                <w:left w:val="none" w:sz="0" w:space="0" w:color="auto"/>
                                <w:bottom w:val="none" w:sz="0" w:space="0" w:color="auto"/>
                                <w:right w:val="none" w:sz="0" w:space="0" w:color="auto"/>
                              </w:divBdr>
                              <w:divsChild>
                                <w:div w:id="189079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08252">
                          <w:marLeft w:val="0"/>
                          <w:marRight w:val="0"/>
                          <w:marTop w:val="0"/>
                          <w:marBottom w:val="0"/>
                          <w:divBdr>
                            <w:top w:val="none" w:sz="0" w:space="0" w:color="auto"/>
                            <w:left w:val="none" w:sz="0" w:space="0" w:color="auto"/>
                            <w:bottom w:val="none" w:sz="0" w:space="0" w:color="auto"/>
                            <w:right w:val="none" w:sz="0" w:space="0" w:color="auto"/>
                          </w:divBdr>
                          <w:divsChild>
                            <w:div w:id="1471708443">
                              <w:marLeft w:val="0"/>
                              <w:marRight w:val="0"/>
                              <w:marTop w:val="0"/>
                              <w:marBottom w:val="0"/>
                              <w:divBdr>
                                <w:top w:val="none" w:sz="0" w:space="0" w:color="auto"/>
                                <w:left w:val="none" w:sz="0" w:space="0" w:color="auto"/>
                                <w:bottom w:val="none" w:sz="0" w:space="0" w:color="auto"/>
                                <w:right w:val="none" w:sz="0" w:space="0" w:color="auto"/>
                              </w:divBdr>
                            </w:div>
                            <w:div w:id="238252907">
                              <w:marLeft w:val="0"/>
                              <w:marRight w:val="0"/>
                              <w:marTop w:val="0"/>
                              <w:marBottom w:val="0"/>
                              <w:divBdr>
                                <w:top w:val="none" w:sz="0" w:space="0" w:color="auto"/>
                                <w:left w:val="none" w:sz="0" w:space="0" w:color="auto"/>
                                <w:bottom w:val="none" w:sz="0" w:space="0" w:color="auto"/>
                                <w:right w:val="none" w:sz="0" w:space="0" w:color="auto"/>
                              </w:divBdr>
                              <w:divsChild>
                                <w:div w:id="376704979">
                                  <w:marLeft w:val="0"/>
                                  <w:marRight w:val="0"/>
                                  <w:marTop w:val="0"/>
                                  <w:marBottom w:val="0"/>
                                  <w:divBdr>
                                    <w:top w:val="none" w:sz="0" w:space="0" w:color="auto"/>
                                    <w:left w:val="none" w:sz="0" w:space="0" w:color="auto"/>
                                    <w:bottom w:val="none" w:sz="0" w:space="0" w:color="auto"/>
                                    <w:right w:val="none" w:sz="0" w:space="0" w:color="auto"/>
                                  </w:divBdr>
                                </w:div>
                              </w:divsChild>
                            </w:div>
                            <w:div w:id="310671608">
                              <w:marLeft w:val="0"/>
                              <w:marRight w:val="0"/>
                              <w:marTop w:val="0"/>
                              <w:marBottom w:val="0"/>
                              <w:divBdr>
                                <w:top w:val="none" w:sz="0" w:space="0" w:color="auto"/>
                                <w:left w:val="none" w:sz="0" w:space="0" w:color="auto"/>
                                <w:bottom w:val="none" w:sz="0" w:space="0" w:color="auto"/>
                                <w:right w:val="none" w:sz="0" w:space="0" w:color="auto"/>
                              </w:divBdr>
                              <w:divsChild>
                                <w:div w:id="92171289">
                                  <w:marLeft w:val="0"/>
                                  <w:marRight w:val="0"/>
                                  <w:marTop w:val="0"/>
                                  <w:marBottom w:val="0"/>
                                  <w:divBdr>
                                    <w:top w:val="none" w:sz="0" w:space="0" w:color="auto"/>
                                    <w:left w:val="none" w:sz="0" w:space="0" w:color="auto"/>
                                    <w:bottom w:val="none" w:sz="0" w:space="0" w:color="auto"/>
                                    <w:right w:val="none" w:sz="0" w:space="0" w:color="auto"/>
                                  </w:divBdr>
                                </w:div>
                              </w:divsChild>
                            </w:div>
                            <w:div w:id="1520705901">
                              <w:marLeft w:val="0"/>
                              <w:marRight w:val="0"/>
                              <w:marTop w:val="0"/>
                              <w:marBottom w:val="0"/>
                              <w:divBdr>
                                <w:top w:val="none" w:sz="0" w:space="0" w:color="auto"/>
                                <w:left w:val="none" w:sz="0" w:space="0" w:color="auto"/>
                                <w:bottom w:val="none" w:sz="0" w:space="0" w:color="auto"/>
                                <w:right w:val="none" w:sz="0" w:space="0" w:color="auto"/>
                              </w:divBdr>
                              <w:divsChild>
                                <w:div w:id="1544519081">
                                  <w:marLeft w:val="0"/>
                                  <w:marRight w:val="0"/>
                                  <w:marTop w:val="0"/>
                                  <w:marBottom w:val="0"/>
                                  <w:divBdr>
                                    <w:top w:val="none" w:sz="0" w:space="0" w:color="auto"/>
                                    <w:left w:val="none" w:sz="0" w:space="0" w:color="auto"/>
                                    <w:bottom w:val="none" w:sz="0" w:space="0" w:color="auto"/>
                                    <w:right w:val="none" w:sz="0" w:space="0" w:color="auto"/>
                                  </w:divBdr>
                                </w:div>
                              </w:divsChild>
                            </w:div>
                            <w:div w:id="1087381172">
                              <w:marLeft w:val="0"/>
                              <w:marRight w:val="0"/>
                              <w:marTop w:val="0"/>
                              <w:marBottom w:val="0"/>
                              <w:divBdr>
                                <w:top w:val="none" w:sz="0" w:space="0" w:color="auto"/>
                                <w:left w:val="none" w:sz="0" w:space="0" w:color="auto"/>
                                <w:bottom w:val="none" w:sz="0" w:space="0" w:color="auto"/>
                                <w:right w:val="none" w:sz="0" w:space="0" w:color="auto"/>
                              </w:divBdr>
                              <w:divsChild>
                                <w:div w:id="334769203">
                                  <w:marLeft w:val="0"/>
                                  <w:marRight w:val="0"/>
                                  <w:marTop w:val="0"/>
                                  <w:marBottom w:val="0"/>
                                  <w:divBdr>
                                    <w:top w:val="none" w:sz="0" w:space="0" w:color="auto"/>
                                    <w:left w:val="none" w:sz="0" w:space="0" w:color="auto"/>
                                    <w:bottom w:val="none" w:sz="0" w:space="0" w:color="auto"/>
                                    <w:right w:val="none" w:sz="0" w:space="0" w:color="auto"/>
                                  </w:divBdr>
                                  <w:divsChild>
                                    <w:div w:id="2130589080">
                                      <w:marLeft w:val="0"/>
                                      <w:marRight w:val="0"/>
                                      <w:marTop w:val="0"/>
                                      <w:marBottom w:val="0"/>
                                      <w:divBdr>
                                        <w:top w:val="none" w:sz="0" w:space="0" w:color="auto"/>
                                        <w:left w:val="none" w:sz="0" w:space="0" w:color="auto"/>
                                        <w:bottom w:val="none" w:sz="0" w:space="0" w:color="auto"/>
                                        <w:right w:val="none" w:sz="0" w:space="0" w:color="auto"/>
                                      </w:divBdr>
                                      <w:divsChild>
                                        <w:div w:id="1491407786">
                                          <w:marLeft w:val="0"/>
                                          <w:marRight w:val="0"/>
                                          <w:marTop w:val="120"/>
                                          <w:marBottom w:val="0"/>
                                          <w:divBdr>
                                            <w:top w:val="none" w:sz="0" w:space="0" w:color="auto"/>
                                            <w:left w:val="none" w:sz="0" w:space="0" w:color="auto"/>
                                            <w:bottom w:val="none" w:sz="0" w:space="0" w:color="auto"/>
                                            <w:right w:val="none" w:sz="0" w:space="0" w:color="auto"/>
                                          </w:divBdr>
                                        </w:div>
                                        <w:div w:id="1959605428">
                                          <w:marLeft w:val="0"/>
                                          <w:marRight w:val="0"/>
                                          <w:marTop w:val="0"/>
                                          <w:marBottom w:val="0"/>
                                          <w:divBdr>
                                            <w:top w:val="none" w:sz="0" w:space="0" w:color="auto"/>
                                            <w:left w:val="none" w:sz="0" w:space="0" w:color="auto"/>
                                            <w:bottom w:val="none" w:sz="0" w:space="0" w:color="auto"/>
                                            <w:right w:val="none" w:sz="0" w:space="0" w:color="auto"/>
                                          </w:divBdr>
                                        </w:div>
                                      </w:divsChild>
                                    </w:div>
                                    <w:div w:id="998145717">
                                      <w:marLeft w:val="0"/>
                                      <w:marRight w:val="0"/>
                                      <w:marTop w:val="0"/>
                                      <w:marBottom w:val="0"/>
                                      <w:divBdr>
                                        <w:top w:val="none" w:sz="0" w:space="0" w:color="auto"/>
                                        <w:left w:val="none" w:sz="0" w:space="0" w:color="auto"/>
                                        <w:bottom w:val="none" w:sz="0" w:space="0" w:color="auto"/>
                                        <w:right w:val="none" w:sz="0" w:space="0" w:color="auto"/>
                                      </w:divBdr>
                                      <w:divsChild>
                                        <w:div w:id="300380534">
                                          <w:marLeft w:val="0"/>
                                          <w:marRight w:val="0"/>
                                          <w:marTop w:val="120"/>
                                          <w:marBottom w:val="0"/>
                                          <w:divBdr>
                                            <w:top w:val="none" w:sz="0" w:space="0" w:color="auto"/>
                                            <w:left w:val="none" w:sz="0" w:space="0" w:color="auto"/>
                                            <w:bottom w:val="none" w:sz="0" w:space="0" w:color="auto"/>
                                            <w:right w:val="none" w:sz="0" w:space="0" w:color="auto"/>
                                          </w:divBdr>
                                        </w:div>
                                        <w:div w:id="201865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9916">
                              <w:marLeft w:val="0"/>
                              <w:marRight w:val="0"/>
                              <w:marTop w:val="0"/>
                              <w:marBottom w:val="0"/>
                              <w:divBdr>
                                <w:top w:val="none" w:sz="0" w:space="0" w:color="auto"/>
                                <w:left w:val="none" w:sz="0" w:space="0" w:color="auto"/>
                                <w:bottom w:val="none" w:sz="0" w:space="0" w:color="auto"/>
                                <w:right w:val="none" w:sz="0" w:space="0" w:color="auto"/>
                              </w:divBdr>
                              <w:divsChild>
                                <w:div w:id="1616790513">
                                  <w:marLeft w:val="0"/>
                                  <w:marRight w:val="0"/>
                                  <w:marTop w:val="0"/>
                                  <w:marBottom w:val="0"/>
                                  <w:divBdr>
                                    <w:top w:val="none" w:sz="0" w:space="0" w:color="auto"/>
                                    <w:left w:val="none" w:sz="0" w:space="0" w:color="auto"/>
                                    <w:bottom w:val="none" w:sz="0" w:space="0" w:color="auto"/>
                                    <w:right w:val="none" w:sz="0" w:space="0" w:color="auto"/>
                                  </w:divBdr>
                                </w:div>
                              </w:divsChild>
                            </w:div>
                            <w:div w:id="1777559838">
                              <w:marLeft w:val="0"/>
                              <w:marRight w:val="0"/>
                              <w:marTop w:val="0"/>
                              <w:marBottom w:val="0"/>
                              <w:divBdr>
                                <w:top w:val="none" w:sz="0" w:space="0" w:color="auto"/>
                                <w:left w:val="none" w:sz="0" w:space="0" w:color="auto"/>
                                <w:bottom w:val="none" w:sz="0" w:space="0" w:color="auto"/>
                                <w:right w:val="none" w:sz="0" w:space="0" w:color="auto"/>
                              </w:divBdr>
                              <w:divsChild>
                                <w:div w:id="500899885">
                                  <w:marLeft w:val="0"/>
                                  <w:marRight w:val="0"/>
                                  <w:marTop w:val="0"/>
                                  <w:marBottom w:val="0"/>
                                  <w:divBdr>
                                    <w:top w:val="none" w:sz="0" w:space="0" w:color="auto"/>
                                    <w:left w:val="none" w:sz="0" w:space="0" w:color="auto"/>
                                    <w:bottom w:val="none" w:sz="0" w:space="0" w:color="auto"/>
                                    <w:right w:val="none" w:sz="0" w:space="0" w:color="auto"/>
                                  </w:divBdr>
                                  <w:divsChild>
                                    <w:div w:id="673146531">
                                      <w:marLeft w:val="0"/>
                                      <w:marRight w:val="0"/>
                                      <w:marTop w:val="0"/>
                                      <w:marBottom w:val="0"/>
                                      <w:divBdr>
                                        <w:top w:val="none" w:sz="0" w:space="0" w:color="auto"/>
                                        <w:left w:val="none" w:sz="0" w:space="0" w:color="auto"/>
                                        <w:bottom w:val="none" w:sz="0" w:space="0" w:color="auto"/>
                                        <w:right w:val="none" w:sz="0" w:space="0" w:color="auto"/>
                                      </w:divBdr>
                                      <w:divsChild>
                                        <w:div w:id="1645620221">
                                          <w:marLeft w:val="0"/>
                                          <w:marRight w:val="0"/>
                                          <w:marTop w:val="120"/>
                                          <w:marBottom w:val="0"/>
                                          <w:divBdr>
                                            <w:top w:val="none" w:sz="0" w:space="0" w:color="auto"/>
                                            <w:left w:val="none" w:sz="0" w:space="0" w:color="auto"/>
                                            <w:bottom w:val="none" w:sz="0" w:space="0" w:color="auto"/>
                                            <w:right w:val="none" w:sz="0" w:space="0" w:color="auto"/>
                                          </w:divBdr>
                                        </w:div>
                                        <w:div w:id="633874612">
                                          <w:marLeft w:val="0"/>
                                          <w:marRight w:val="0"/>
                                          <w:marTop w:val="0"/>
                                          <w:marBottom w:val="0"/>
                                          <w:divBdr>
                                            <w:top w:val="none" w:sz="0" w:space="0" w:color="auto"/>
                                            <w:left w:val="none" w:sz="0" w:space="0" w:color="auto"/>
                                            <w:bottom w:val="none" w:sz="0" w:space="0" w:color="auto"/>
                                            <w:right w:val="none" w:sz="0" w:space="0" w:color="auto"/>
                                          </w:divBdr>
                                        </w:div>
                                      </w:divsChild>
                                    </w:div>
                                    <w:div w:id="1760057289">
                                      <w:marLeft w:val="0"/>
                                      <w:marRight w:val="0"/>
                                      <w:marTop w:val="0"/>
                                      <w:marBottom w:val="0"/>
                                      <w:divBdr>
                                        <w:top w:val="none" w:sz="0" w:space="0" w:color="auto"/>
                                        <w:left w:val="none" w:sz="0" w:space="0" w:color="auto"/>
                                        <w:bottom w:val="none" w:sz="0" w:space="0" w:color="auto"/>
                                        <w:right w:val="none" w:sz="0" w:space="0" w:color="auto"/>
                                      </w:divBdr>
                                      <w:divsChild>
                                        <w:div w:id="307631918">
                                          <w:marLeft w:val="0"/>
                                          <w:marRight w:val="0"/>
                                          <w:marTop w:val="120"/>
                                          <w:marBottom w:val="0"/>
                                          <w:divBdr>
                                            <w:top w:val="none" w:sz="0" w:space="0" w:color="auto"/>
                                            <w:left w:val="none" w:sz="0" w:space="0" w:color="auto"/>
                                            <w:bottom w:val="none" w:sz="0" w:space="0" w:color="auto"/>
                                            <w:right w:val="none" w:sz="0" w:space="0" w:color="auto"/>
                                          </w:divBdr>
                                        </w:div>
                                        <w:div w:id="1149056136">
                                          <w:marLeft w:val="0"/>
                                          <w:marRight w:val="0"/>
                                          <w:marTop w:val="0"/>
                                          <w:marBottom w:val="0"/>
                                          <w:divBdr>
                                            <w:top w:val="none" w:sz="0" w:space="0" w:color="auto"/>
                                            <w:left w:val="none" w:sz="0" w:space="0" w:color="auto"/>
                                            <w:bottom w:val="none" w:sz="0" w:space="0" w:color="auto"/>
                                            <w:right w:val="none" w:sz="0" w:space="0" w:color="auto"/>
                                          </w:divBdr>
                                        </w:div>
                                      </w:divsChild>
                                    </w:div>
                                    <w:div w:id="1026753480">
                                      <w:marLeft w:val="0"/>
                                      <w:marRight w:val="0"/>
                                      <w:marTop w:val="0"/>
                                      <w:marBottom w:val="0"/>
                                      <w:divBdr>
                                        <w:top w:val="none" w:sz="0" w:space="0" w:color="auto"/>
                                        <w:left w:val="none" w:sz="0" w:space="0" w:color="auto"/>
                                        <w:bottom w:val="none" w:sz="0" w:space="0" w:color="auto"/>
                                        <w:right w:val="none" w:sz="0" w:space="0" w:color="auto"/>
                                      </w:divBdr>
                                      <w:divsChild>
                                        <w:div w:id="1253474275">
                                          <w:marLeft w:val="0"/>
                                          <w:marRight w:val="0"/>
                                          <w:marTop w:val="120"/>
                                          <w:marBottom w:val="0"/>
                                          <w:divBdr>
                                            <w:top w:val="none" w:sz="0" w:space="0" w:color="auto"/>
                                            <w:left w:val="none" w:sz="0" w:space="0" w:color="auto"/>
                                            <w:bottom w:val="none" w:sz="0" w:space="0" w:color="auto"/>
                                            <w:right w:val="none" w:sz="0" w:space="0" w:color="auto"/>
                                          </w:divBdr>
                                        </w:div>
                                        <w:div w:id="14992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939002">
                          <w:marLeft w:val="0"/>
                          <w:marRight w:val="0"/>
                          <w:marTop w:val="0"/>
                          <w:marBottom w:val="0"/>
                          <w:divBdr>
                            <w:top w:val="none" w:sz="0" w:space="0" w:color="auto"/>
                            <w:left w:val="none" w:sz="0" w:space="0" w:color="auto"/>
                            <w:bottom w:val="none" w:sz="0" w:space="0" w:color="auto"/>
                            <w:right w:val="none" w:sz="0" w:space="0" w:color="auto"/>
                          </w:divBdr>
                          <w:divsChild>
                            <w:div w:id="1370571151">
                              <w:marLeft w:val="0"/>
                              <w:marRight w:val="0"/>
                              <w:marTop w:val="0"/>
                              <w:marBottom w:val="0"/>
                              <w:divBdr>
                                <w:top w:val="none" w:sz="0" w:space="0" w:color="auto"/>
                                <w:left w:val="none" w:sz="0" w:space="0" w:color="auto"/>
                                <w:bottom w:val="none" w:sz="0" w:space="0" w:color="auto"/>
                                <w:right w:val="none" w:sz="0" w:space="0" w:color="auto"/>
                              </w:divBdr>
                            </w:div>
                            <w:div w:id="1686903038">
                              <w:marLeft w:val="0"/>
                              <w:marRight w:val="0"/>
                              <w:marTop w:val="0"/>
                              <w:marBottom w:val="0"/>
                              <w:divBdr>
                                <w:top w:val="none" w:sz="0" w:space="0" w:color="auto"/>
                                <w:left w:val="none" w:sz="0" w:space="0" w:color="auto"/>
                                <w:bottom w:val="none" w:sz="0" w:space="0" w:color="auto"/>
                                <w:right w:val="none" w:sz="0" w:space="0" w:color="auto"/>
                              </w:divBdr>
                              <w:divsChild>
                                <w:div w:id="1044598699">
                                  <w:marLeft w:val="0"/>
                                  <w:marRight w:val="0"/>
                                  <w:marTop w:val="0"/>
                                  <w:marBottom w:val="0"/>
                                  <w:divBdr>
                                    <w:top w:val="none" w:sz="0" w:space="0" w:color="auto"/>
                                    <w:left w:val="none" w:sz="0" w:space="0" w:color="auto"/>
                                    <w:bottom w:val="none" w:sz="0" w:space="0" w:color="auto"/>
                                    <w:right w:val="none" w:sz="0" w:space="0" w:color="auto"/>
                                  </w:divBdr>
                                  <w:divsChild>
                                    <w:div w:id="10761043">
                                      <w:marLeft w:val="0"/>
                                      <w:marRight w:val="0"/>
                                      <w:marTop w:val="0"/>
                                      <w:marBottom w:val="0"/>
                                      <w:divBdr>
                                        <w:top w:val="none" w:sz="0" w:space="0" w:color="auto"/>
                                        <w:left w:val="none" w:sz="0" w:space="0" w:color="auto"/>
                                        <w:bottom w:val="none" w:sz="0" w:space="0" w:color="auto"/>
                                        <w:right w:val="none" w:sz="0" w:space="0" w:color="auto"/>
                                      </w:divBdr>
                                      <w:divsChild>
                                        <w:div w:id="338822932">
                                          <w:marLeft w:val="0"/>
                                          <w:marRight w:val="0"/>
                                          <w:marTop w:val="120"/>
                                          <w:marBottom w:val="0"/>
                                          <w:divBdr>
                                            <w:top w:val="none" w:sz="0" w:space="0" w:color="auto"/>
                                            <w:left w:val="none" w:sz="0" w:space="0" w:color="auto"/>
                                            <w:bottom w:val="none" w:sz="0" w:space="0" w:color="auto"/>
                                            <w:right w:val="none" w:sz="0" w:space="0" w:color="auto"/>
                                          </w:divBdr>
                                        </w:div>
                                        <w:div w:id="105472150">
                                          <w:marLeft w:val="0"/>
                                          <w:marRight w:val="0"/>
                                          <w:marTop w:val="0"/>
                                          <w:marBottom w:val="0"/>
                                          <w:divBdr>
                                            <w:top w:val="none" w:sz="0" w:space="0" w:color="auto"/>
                                            <w:left w:val="none" w:sz="0" w:space="0" w:color="auto"/>
                                            <w:bottom w:val="none" w:sz="0" w:space="0" w:color="auto"/>
                                            <w:right w:val="none" w:sz="0" w:space="0" w:color="auto"/>
                                          </w:divBdr>
                                        </w:div>
                                      </w:divsChild>
                                    </w:div>
                                    <w:div w:id="2041662385">
                                      <w:marLeft w:val="0"/>
                                      <w:marRight w:val="0"/>
                                      <w:marTop w:val="0"/>
                                      <w:marBottom w:val="0"/>
                                      <w:divBdr>
                                        <w:top w:val="none" w:sz="0" w:space="0" w:color="auto"/>
                                        <w:left w:val="none" w:sz="0" w:space="0" w:color="auto"/>
                                        <w:bottom w:val="none" w:sz="0" w:space="0" w:color="auto"/>
                                        <w:right w:val="none" w:sz="0" w:space="0" w:color="auto"/>
                                      </w:divBdr>
                                      <w:divsChild>
                                        <w:div w:id="127745556">
                                          <w:marLeft w:val="0"/>
                                          <w:marRight w:val="0"/>
                                          <w:marTop w:val="120"/>
                                          <w:marBottom w:val="0"/>
                                          <w:divBdr>
                                            <w:top w:val="none" w:sz="0" w:space="0" w:color="auto"/>
                                            <w:left w:val="none" w:sz="0" w:space="0" w:color="auto"/>
                                            <w:bottom w:val="none" w:sz="0" w:space="0" w:color="auto"/>
                                            <w:right w:val="none" w:sz="0" w:space="0" w:color="auto"/>
                                          </w:divBdr>
                                        </w:div>
                                        <w:div w:id="343678814">
                                          <w:marLeft w:val="0"/>
                                          <w:marRight w:val="0"/>
                                          <w:marTop w:val="0"/>
                                          <w:marBottom w:val="0"/>
                                          <w:divBdr>
                                            <w:top w:val="none" w:sz="0" w:space="0" w:color="auto"/>
                                            <w:left w:val="none" w:sz="0" w:space="0" w:color="auto"/>
                                            <w:bottom w:val="none" w:sz="0" w:space="0" w:color="auto"/>
                                            <w:right w:val="none" w:sz="0" w:space="0" w:color="auto"/>
                                          </w:divBdr>
                                        </w:div>
                                      </w:divsChild>
                                    </w:div>
                                    <w:div w:id="597524374">
                                      <w:marLeft w:val="0"/>
                                      <w:marRight w:val="0"/>
                                      <w:marTop w:val="0"/>
                                      <w:marBottom w:val="0"/>
                                      <w:divBdr>
                                        <w:top w:val="none" w:sz="0" w:space="0" w:color="auto"/>
                                        <w:left w:val="none" w:sz="0" w:space="0" w:color="auto"/>
                                        <w:bottom w:val="none" w:sz="0" w:space="0" w:color="auto"/>
                                        <w:right w:val="none" w:sz="0" w:space="0" w:color="auto"/>
                                      </w:divBdr>
                                      <w:divsChild>
                                        <w:div w:id="1914847924">
                                          <w:marLeft w:val="0"/>
                                          <w:marRight w:val="0"/>
                                          <w:marTop w:val="120"/>
                                          <w:marBottom w:val="0"/>
                                          <w:divBdr>
                                            <w:top w:val="none" w:sz="0" w:space="0" w:color="auto"/>
                                            <w:left w:val="none" w:sz="0" w:space="0" w:color="auto"/>
                                            <w:bottom w:val="none" w:sz="0" w:space="0" w:color="auto"/>
                                            <w:right w:val="none" w:sz="0" w:space="0" w:color="auto"/>
                                          </w:divBdr>
                                        </w:div>
                                        <w:div w:id="5178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65500">
                              <w:marLeft w:val="0"/>
                              <w:marRight w:val="0"/>
                              <w:marTop w:val="0"/>
                              <w:marBottom w:val="0"/>
                              <w:divBdr>
                                <w:top w:val="none" w:sz="0" w:space="0" w:color="auto"/>
                                <w:left w:val="none" w:sz="0" w:space="0" w:color="auto"/>
                                <w:bottom w:val="none" w:sz="0" w:space="0" w:color="auto"/>
                                <w:right w:val="none" w:sz="0" w:space="0" w:color="auto"/>
                              </w:divBdr>
                              <w:divsChild>
                                <w:div w:id="132659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016232">
                          <w:marLeft w:val="0"/>
                          <w:marRight w:val="0"/>
                          <w:marTop w:val="0"/>
                          <w:marBottom w:val="0"/>
                          <w:divBdr>
                            <w:top w:val="none" w:sz="0" w:space="0" w:color="auto"/>
                            <w:left w:val="none" w:sz="0" w:space="0" w:color="auto"/>
                            <w:bottom w:val="none" w:sz="0" w:space="0" w:color="auto"/>
                            <w:right w:val="none" w:sz="0" w:space="0" w:color="auto"/>
                          </w:divBdr>
                          <w:divsChild>
                            <w:div w:id="133761301">
                              <w:marLeft w:val="0"/>
                              <w:marRight w:val="0"/>
                              <w:marTop w:val="0"/>
                              <w:marBottom w:val="0"/>
                              <w:divBdr>
                                <w:top w:val="none" w:sz="0" w:space="0" w:color="auto"/>
                                <w:left w:val="none" w:sz="0" w:space="0" w:color="auto"/>
                                <w:bottom w:val="none" w:sz="0" w:space="0" w:color="auto"/>
                                <w:right w:val="none" w:sz="0" w:space="0" w:color="auto"/>
                              </w:divBdr>
                            </w:div>
                            <w:div w:id="1493333340">
                              <w:marLeft w:val="0"/>
                              <w:marRight w:val="0"/>
                              <w:marTop w:val="0"/>
                              <w:marBottom w:val="0"/>
                              <w:divBdr>
                                <w:top w:val="none" w:sz="0" w:space="0" w:color="auto"/>
                                <w:left w:val="none" w:sz="0" w:space="0" w:color="auto"/>
                                <w:bottom w:val="none" w:sz="0" w:space="0" w:color="auto"/>
                                <w:right w:val="none" w:sz="0" w:space="0" w:color="auto"/>
                              </w:divBdr>
                              <w:divsChild>
                                <w:div w:id="2015526846">
                                  <w:marLeft w:val="0"/>
                                  <w:marRight w:val="0"/>
                                  <w:marTop w:val="0"/>
                                  <w:marBottom w:val="0"/>
                                  <w:divBdr>
                                    <w:top w:val="none" w:sz="0" w:space="0" w:color="auto"/>
                                    <w:left w:val="none" w:sz="0" w:space="0" w:color="auto"/>
                                    <w:bottom w:val="none" w:sz="0" w:space="0" w:color="auto"/>
                                    <w:right w:val="none" w:sz="0" w:space="0" w:color="auto"/>
                                  </w:divBdr>
                                </w:div>
                              </w:divsChild>
                            </w:div>
                            <w:div w:id="2026324689">
                              <w:marLeft w:val="0"/>
                              <w:marRight w:val="0"/>
                              <w:marTop w:val="0"/>
                              <w:marBottom w:val="0"/>
                              <w:divBdr>
                                <w:top w:val="none" w:sz="0" w:space="0" w:color="auto"/>
                                <w:left w:val="none" w:sz="0" w:space="0" w:color="auto"/>
                                <w:bottom w:val="none" w:sz="0" w:space="0" w:color="auto"/>
                                <w:right w:val="none" w:sz="0" w:space="0" w:color="auto"/>
                              </w:divBdr>
                              <w:divsChild>
                                <w:div w:id="99490496">
                                  <w:marLeft w:val="0"/>
                                  <w:marRight w:val="0"/>
                                  <w:marTop w:val="120"/>
                                  <w:marBottom w:val="0"/>
                                  <w:divBdr>
                                    <w:top w:val="none" w:sz="0" w:space="0" w:color="auto"/>
                                    <w:left w:val="none" w:sz="0" w:space="0" w:color="auto"/>
                                    <w:bottom w:val="none" w:sz="0" w:space="0" w:color="auto"/>
                                    <w:right w:val="none" w:sz="0" w:space="0" w:color="auto"/>
                                  </w:divBdr>
                                </w:div>
                                <w:div w:id="1229995299">
                                  <w:marLeft w:val="0"/>
                                  <w:marRight w:val="0"/>
                                  <w:marTop w:val="0"/>
                                  <w:marBottom w:val="0"/>
                                  <w:divBdr>
                                    <w:top w:val="none" w:sz="0" w:space="0" w:color="auto"/>
                                    <w:left w:val="none" w:sz="0" w:space="0" w:color="auto"/>
                                    <w:bottom w:val="none" w:sz="0" w:space="0" w:color="auto"/>
                                    <w:right w:val="none" w:sz="0" w:space="0" w:color="auto"/>
                                  </w:divBdr>
                                </w:div>
                              </w:divsChild>
                            </w:div>
                            <w:div w:id="1257520034">
                              <w:marLeft w:val="0"/>
                              <w:marRight w:val="0"/>
                              <w:marTop w:val="0"/>
                              <w:marBottom w:val="0"/>
                              <w:divBdr>
                                <w:top w:val="none" w:sz="0" w:space="0" w:color="auto"/>
                                <w:left w:val="none" w:sz="0" w:space="0" w:color="auto"/>
                                <w:bottom w:val="none" w:sz="0" w:space="0" w:color="auto"/>
                                <w:right w:val="none" w:sz="0" w:space="0" w:color="auto"/>
                              </w:divBdr>
                              <w:divsChild>
                                <w:div w:id="1786925186">
                                  <w:marLeft w:val="0"/>
                                  <w:marRight w:val="0"/>
                                  <w:marTop w:val="120"/>
                                  <w:marBottom w:val="0"/>
                                  <w:divBdr>
                                    <w:top w:val="none" w:sz="0" w:space="0" w:color="auto"/>
                                    <w:left w:val="none" w:sz="0" w:space="0" w:color="auto"/>
                                    <w:bottom w:val="none" w:sz="0" w:space="0" w:color="auto"/>
                                    <w:right w:val="none" w:sz="0" w:space="0" w:color="auto"/>
                                  </w:divBdr>
                                </w:div>
                                <w:div w:id="824467992">
                                  <w:marLeft w:val="0"/>
                                  <w:marRight w:val="0"/>
                                  <w:marTop w:val="0"/>
                                  <w:marBottom w:val="0"/>
                                  <w:divBdr>
                                    <w:top w:val="none" w:sz="0" w:space="0" w:color="auto"/>
                                    <w:left w:val="none" w:sz="0" w:space="0" w:color="auto"/>
                                    <w:bottom w:val="none" w:sz="0" w:space="0" w:color="auto"/>
                                    <w:right w:val="none" w:sz="0" w:space="0" w:color="auto"/>
                                  </w:divBdr>
                                </w:div>
                              </w:divsChild>
                            </w:div>
                            <w:div w:id="1440904230">
                              <w:marLeft w:val="0"/>
                              <w:marRight w:val="0"/>
                              <w:marTop w:val="0"/>
                              <w:marBottom w:val="0"/>
                              <w:divBdr>
                                <w:top w:val="none" w:sz="0" w:space="0" w:color="auto"/>
                                <w:left w:val="none" w:sz="0" w:space="0" w:color="auto"/>
                                <w:bottom w:val="none" w:sz="0" w:space="0" w:color="auto"/>
                                <w:right w:val="none" w:sz="0" w:space="0" w:color="auto"/>
                              </w:divBdr>
                              <w:divsChild>
                                <w:div w:id="1349941666">
                                  <w:marLeft w:val="0"/>
                                  <w:marRight w:val="0"/>
                                  <w:marTop w:val="0"/>
                                  <w:marBottom w:val="0"/>
                                  <w:divBdr>
                                    <w:top w:val="none" w:sz="0" w:space="0" w:color="auto"/>
                                    <w:left w:val="none" w:sz="0" w:space="0" w:color="auto"/>
                                    <w:bottom w:val="none" w:sz="0" w:space="0" w:color="auto"/>
                                    <w:right w:val="none" w:sz="0" w:space="0" w:color="auto"/>
                                  </w:divBdr>
                                </w:div>
                              </w:divsChild>
                            </w:div>
                            <w:div w:id="1490168137">
                              <w:marLeft w:val="0"/>
                              <w:marRight w:val="0"/>
                              <w:marTop w:val="0"/>
                              <w:marBottom w:val="0"/>
                              <w:divBdr>
                                <w:top w:val="none" w:sz="0" w:space="0" w:color="auto"/>
                                <w:left w:val="none" w:sz="0" w:space="0" w:color="auto"/>
                                <w:bottom w:val="none" w:sz="0" w:space="0" w:color="auto"/>
                                <w:right w:val="none" w:sz="0" w:space="0" w:color="auto"/>
                              </w:divBdr>
                              <w:divsChild>
                                <w:div w:id="2087532290">
                                  <w:marLeft w:val="0"/>
                                  <w:marRight w:val="0"/>
                                  <w:marTop w:val="0"/>
                                  <w:marBottom w:val="0"/>
                                  <w:divBdr>
                                    <w:top w:val="none" w:sz="0" w:space="0" w:color="auto"/>
                                    <w:left w:val="none" w:sz="0" w:space="0" w:color="auto"/>
                                    <w:bottom w:val="none" w:sz="0" w:space="0" w:color="auto"/>
                                    <w:right w:val="none" w:sz="0" w:space="0" w:color="auto"/>
                                  </w:divBdr>
                                  <w:divsChild>
                                    <w:div w:id="2029020301">
                                      <w:marLeft w:val="0"/>
                                      <w:marRight w:val="0"/>
                                      <w:marTop w:val="0"/>
                                      <w:marBottom w:val="0"/>
                                      <w:divBdr>
                                        <w:top w:val="none" w:sz="0" w:space="0" w:color="auto"/>
                                        <w:left w:val="none" w:sz="0" w:space="0" w:color="auto"/>
                                        <w:bottom w:val="none" w:sz="0" w:space="0" w:color="auto"/>
                                        <w:right w:val="none" w:sz="0" w:space="0" w:color="auto"/>
                                      </w:divBdr>
                                      <w:divsChild>
                                        <w:div w:id="21591795">
                                          <w:marLeft w:val="0"/>
                                          <w:marRight w:val="0"/>
                                          <w:marTop w:val="120"/>
                                          <w:marBottom w:val="0"/>
                                          <w:divBdr>
                                            <w:top w:val="none" w:sz="0" w:space="0" w:color="auto"/>
                                            <w:left w:val="none" w:sz="0" w:space="0" w:color="auto"/>
                                            <w:bottom w:val="none" w:sz="0" w:space="0" w:color="auto"/>
                                            <w:right w:val="none" w:sz="0" w:space="0" w:color="auto"/>
                                          </w:divBdr>
                                        </w:div>
                                        <w:div w:id="1584945812">
                                          <w:marLeft w:val="0"/>
                                          <w:marRight w:val="0"/>
                                          <w:marTop w:val="0"/>
                                          <w:marBottom w:val="0"/>
                                          <w:divBdr>
                                            <w:top w:val="none" w:sz="0" w:space="0" w:color="auto"/>
                                            <w:left w:val="none" w:sz="0" w:space="0" w:color="auto"/>
                                            <w:bottom w:val="none" w:sz="0" w:space="0" w:color="auto"/>
                                            <w:right w:val="none" w:sz="0" w:space="0" w:color="auto"/>
                                          </w:divBdr>
                                          <w:divsChild>
                                            <w:div w:id="1364789261">
                                              <w:marLeft w:val="0"/>
                                              <w:marRight w:val="0"/>
                                              <w:marTop w:val="0"/>
                                              <w:marBottom w:val="0"/>
                                              <w:divBdr>
                                                <w:top w:val="none" w:sz="0" w:space="0" w:color="auto"/>
                                                <w:left w:val="none" w:sz="0" w:space="0" w:color="auto"/>
                                                <w:bottom w:val="none" w:sz="0" w:space="0" w:color="auto"/>
                                                <w:right w:val="none" w:sz="0" w:space="0" w:color="auto"/>
                                              </w:divBdr>
                                              <w:divsChild>
                                                <w:div w:id="1701935510">
                                                  <w:marLeft w:val="0"/>
                                                  <w:marRight w:val="0"/>
                                                  <w:marTop w:val="120"/>
                                                  <w:marBottom w:val="0"/>
                                                  <w:divBdr>
                                                    <w:top w:val="none" w:sz="0" w:space="0" w:color="auto"/>
                                                    <w:left w:val="none" w:sz="0" w:space="0" w:color="auto"/>
                                                    <w:bottom w:val="none" w:sz="0" w:space="0" w:color="auto"/>
                                                    <w:right w:val="none" w:sz="0" w:space="0" w:color="auto"/>
                                                  </w:divBdr>
                                                </w:div>
                                                <w:div w:id="310906720">
                                                  <w:marLeft w:val="0"/>
                                                  <w:marRight w:val="0"/>
                                                  <w:marTop w:val="0"/>
                                                  <w:marBottom w:val="0"/>
                                                  <w:divBdr>
                                                    <w:top w:val="none" w:sz="0" w:space="0" w:color="auto"/>
                                                    <w:left w:val="none" w:sz="0" w:space="0" w:color="auto"/>
                                                    <w:bottom w:val="none" w:sz="0" w:space="0" w:color="auto"/>
                                                    <w:right w:val="none" w:sz="0" w:space="0" w:color="auto"/>
                                                  </w:divBdr>
                                                </w:div>
                                              </w:divsChild>
                                            </w:div>
                                            <w:div w:id="1793009873">
                                              <w:marLeft w:val="0"/>
                                              <w:marRight w:val="0"/>
                                              <w:marTop w:val="0"/>
                                              <w:marBottom w:val="0"/>
                                              <w:divBdr>
                                                <w:top w:val="none" w:sz="0" w:space="0" w:color="auto"/>
                                                <w:left w:val="none" w:sz="0" w:space="0" w:color="auto"/>
                                                <w:bottom w:val="none" w:sz="0" w:space="0" w:color="auto"/>
                                                <w:right w:val="none" w:sz="0" w:space="0" w:color="auto"/>
                                              </w:divBdr>
                                              <w:divsChild>
                                                <w:div w:id="1853177834">
                                                  <w:marLeft w:val="0"/>
                                                  <w:marRight w:val="0"/>
                                                  <w:marTop w:val="120"/>
                                                  <w:marBottom w:val="0"/>
                                                  <w:divBdr>
                                                    <w:top w:val="none" w:sz="0" w:space="0" w:color="auto"/>
                                                    <w:left w:val="none" w:sz="0" w:space="0" w:color="auto"/>
                                                    <w:bottom w:val="none" w:sz="0" w:space="0" w:color="auto"/>
                                                    <w:right w:val="none" w:sz="0" w:space="0" w:color="auto"/>
                                                  </w:divBdr>
                                                </w:div>
                                                <w:div w:id="21113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3237">
                                      <w:marLeft w:val="0"/>
                                      <w:marRight w:val="0"/>
                                      <w:marTop w:val="0"/>
                                      <w:marBottom w:val="0"/>
                                      <w:divBdr>
                                        <w:top w:val="none" w:sz="0" w:space="0" w:color="auto"/>
                                        <w:left w:val="none" w:sz="0" w:space="0" w:color="auto"/>
                                        <w:bottom w:val="none" w:sz="0" w:space="0" w:color="auto"/>
                                        <w:right w:val="none" w:sz="0" w:space="0" w:color="auto"/>
                                      </w:divBdr>
                                      <w:divsChild>
                                        <w:div w:id="558133661">
                                          <w:marLeft w:val="0"/>
                                          <w:marRight w:val="0"/>
                                          <w:marTop w:val="120"/>
                                          <w:marBottom w:val="0"/>
                                          <w:divBdr>
                                            <w:top w:val="none" w:sz="0" w:space="0" w:color="auto"/>
                                            <w:left w:val="none" w:sz="0" w:space="0" w:color="auto"/>
                                            <w:bottom w:val="none" w:sz="0" w:space="0" w:color="auto"/>
                                            <w:right w:val="none" w:sz="0" w:space="0" w:color="auto"/>
                                          </w:divBdr>
                                        </w:div>
                                        <w:div w:id="1237130744">
                                          <w:marLeft w:val="0"/>
                                          <w:marRight w:val="0"/>
                                          <w:marTop w:val="0"/>
                                          <w:marBottom w:val="0"/>
                                          <w:divBdr>
                                            <w:top w:val="none" w:sz="0" w:space="0" w:color="auto"/>
                                            <w:left w:val="none" w:sz="0" w:space="0" w:color="auto"/>
                                            <w:bottom w:val="none" w:sz="0" w:space="0" w:color="auto"/>
                                            <w:right w:val="none" w:sz="0" w:space="0" w:color="auto"/>
                                          </w:divBdr>
                                        </w:div>
                                      </w:divsChild>
                                    </w:div>
                                    <w:div w:id="181601020">
                                      <w:marLeft w:val="0"/>
                                      <w:marRight w:val="0"/>
                                      <w:marTop w:val="0"/>
                                      <w:marBottom w:val="0"/>
                                      <w:divBdr>
                                        <w:top w:val="none" w:sz="0" w:space="0" w:color="auto"/>
                                        <w:left w:val="none" w:sz="0" w:space="0" w:color="auto"/>
                                        <w:bottom w:val="none" w:sz="0" w:space="0" w:color="auto"/>
                                        <w:right w:val="none" w:sz="0" w:space="0" w:color="auto"/>
                                      </w:divBdr>
                                      <w:divsChild>
                                        <w:div w:id="248931619">
                                          <w:marLeft w:val="0"/>
                                          <w:marRight w:val="0"/>
                                          <w:marTop w:val="120"/>
                                          <w:marBottom w:val="0"/>
                                          <w:divBdr>
                                            <w:top w:val="none" w:sz="0" w:space="0" w:color="auto"/>
                                            <w:left w:val="none" w:sz="0" w:space="0" w:color="auto"/>
                                            <w:bottom w:val="none" w:sz="0" w:space="0" w:color="auto"/>
                                            <w:right w:val="none" w:sz="0" w:space="0" w:color="auto"/>
                                          </w:divBdr>
                                        </w:div>
                                        <w:div w:id="21797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21680">
                              <w:marLeft w:val="0"/>
                              <w:marRight w:val="0"/>
                              <w:marTop w:val="0"/>
                              <w:marBottom w:val="0"/>
                              <w:divBdr>
                                <w:top w:val="none" w:sz="0" w:space="0" w:color="auto"/>
                                <w:left w:val="none" w:sz="0" w:space="0" w:color="auto"/>
                                <w:bottom w:val="none" w:sz="0" w:space="0" w:color="auto"/>
                                <w:right w:val="none" w:sz="0" w:space="0" w:color="auto"/>
                              </w:divBdr>
                              <w:divsChild>
                                <w:div w:id="1938521709">
                                  <w:marLeft w:val="0"/>
                                  <w:marRight w:val="0"/>
                                  <w:marTop w:val="0"/>
                                  <w:marBottom w:val="0"/>
                                  <w:divBdr>
                                    <w:top w:val="none" w:sz="0" w:space="0" w:color="auto"/>
                                    <w:left w:val="none" w:sz="0" w:space="0" w:color="auto"/>
                                    <w:bottom w:val="none" w:sz="0" w:space="0" w:color="auto"/>
                                    <w:right w:val="none" w:sz="0" w:space="0" w:color="auto"/>
                                  </w:divBdr>
                                </w:div>
                              </w:divsChild>
                            </w:div>
                            <w:div w:id="1266497371">
                              <w:marLeft w:val="0"/>
                              <w:marRight w:val="0"/>
                              <w:marTop w:val="0"/>
                              <w:marBottom w:val="0"/>
                              <w:divBdr>
                                <w:top w:val="none" w:sz="0" w:space="0" w:color="auto"/>
                                <w:left w:val="none" w:sz="0" w:space="0" w:color="auto"/>
                                <w:bottom w:val="none" w:sz="0" w:space="0" w:color="auto"/>
                                <w:right w:val="none" w:sz="0" w:space="0" w:color="auto"/>
                              </w:divBdr>
                              <w:divsChild>
                                <w:div w:id="874193427">
                                  <w:marLeft w:val="0"/>
                                  <w:marRight w:val="0"/>
                                  <w:marTop w:val="0"/>
                                  <w:marBottom w:val="0"/>
                                  <w:divBdr>
                                    <w:top w:val="none" w:sz="0" w:space="0" w:color="auto"/>
                                    <w:left w:val="none" w:sz="0" w:space="0" w:color="auto"/>
                                    <w:bottom w:val="none" w:sz="0" w:space="0" w:color="auto"/>
                                    <w:right w:val="none" w:sz="0" w:space="0" w:color="auto"/>
                                  </w:divBdr>
                                </w:div>
                              </w:divsChild>
                            </w:div>
                            <w:div w:id="727461404">
                              <w:marLeft w:val="0"/>
                              <w:marRight w:val="0"/>
                              <w:marTop w:val="0"/>
                              <w:marBottom w:val="0"/>
                              <w:divBdr>
                                <w:top w:val="none" w:sz="0" w:space="0" w:color="auto"/>
                                <w:left w:val="none" w:sz="0" w:space="0" w:color="auto"/>
                                <w:bottom w:val="none" w:sz="0" w:space="0" w:color="auto"/>
                                <w:right w:val="none" w:sz="0" w:space="0" w:color="auto"/>
                              </w:divBdr>
                              <w:divsChild>
                                <w:div w:id="6788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517454">
                          <w:marLeft w:val="0"/>
                          <w:marRight w:val="0"/>
                          <w:marTop w:val="0"/>
                          <w:marBottom w:val="0"/>
                          <w:divBdr>
                            <w:top w:val="none" w:sz="0" w:space="0" w:color="auto"/>
                            <w:left w:val="none" w:sz="0" w:space="0" w:color="auto"/>
                            <w:bottom w:val="none" w:sz="0" w:space="0" w:color="auto"/>
                            <w:right w:val="none" w:sz="0" w:space="0" w:color="auto"/>
                          </w:divBdr>
                          <w:divsChild>
                            <w:div w:id="2049721858">
                              <w:marLeft w:val="0"/>
                              <w:marRight w:val="0"/>
                              <w:marTop w:val="0"/>
                              <w:marBottom w:val="0"/>
                              <w:divBdr>
                                <w:top w:val="none" w:sz="0" w:space="0" w:color="auto"/>
                                <w:left w:val="none" w:sz="0" w:space="0" w:color="auto"/>
                                <w:bottom w:val="none" w:sz="0" w:space="0" w:color="auto"/>
                                <w:right w:val="none" w:sz="0" w:space="0" w:color="auto"/>
                              </w:divBdr>
                            </w:div>
                            <w:div w:id="191193376">
                              <w:marLeft w:val="0"/>
                              <w:marRight w:val="0"/>
                              <w:marTop w:val="0"/>
                              <w:marBottom w:val="0"/>
                              <w:divBdr>
                                <w:top w:val="none" w:sz="0" w:space="0" w:color="auto"/>
                                <w:left w:val="none" w:sz="0" w:space="0" w:color="auto"/>
                                <w:bottom w:val="none" w:sz="0" w:space="0" w:color="auto"/>
                                <w:right w:val="none" w:sz="0" w:space="0" w:color="auto"/>
                              </w:divBdr>
                              <w:divsChild>
                                <w:div w:id="1213418168">
                                  <w:marLeft w:val="0"/>
                                  <w:marRight w:val="0"/>
                                  <w:marTop w:val="0"/>
                                  <w:marBottom w:val="0"/>
                                  <w:divBdr>
                                    <w:top w:val="none" w:sz="0" w:space="0" w:color="auto"/>
                                    <w:left w:val="none" w:sz="0" w:space="0" w:color="auto"/>
                                    <w:bottom w:val="none" w:sz="0" w:space="0" w:color="auto"/>
                                    <w:right w:val="none" w:sz="0" w:space="0" w:color="auto"/>
                                  </w:divBdr>
                                </w:div>
                              </w:divsChild>
                            </w:div>
                            <w:div w:id="624895835">
                              <w:marLeft w:val="0"/>
                              <w:marRight w:val="0"/>
                              <w:marTop w:val="0"/>
                              <w:marBottom w:val="0"/>
                              <w:divBdr>
                                <w:top w:val="none" w:sz="0" w:space="0" w:color="auto"/>
                                <w:left w:val="none" w:sz="0" w:space="0" w:color="auto"/>
                                <w:bottom w:val="none" w:sz="0" w:space="0" w:color="auto"/>
                                <w:right w:val="none" w:sz="0" w:space="0" w:color="auto"/>
                              </w:divBdr>
                              <w:divsChild>
                                <w:div w:id="645207476">
                                  <w:marLeft w:val="0"/>
                                  <w:marRight w:val="0"/>
                                  <w:marTop w:val="0"/>
                                  <w:marBottom w:val="0"/>
                                  <w:divBdr>
                                    <w:top w:val="none" w:sz="0" w:space="0" w:color="auto"/>
                                    <w:left w:val="none" w:sz="0" w:space="0" w:color="auto"/>
                                    <w:bottom w:val="none" w:sz="0" w:space="0" w:color="auto"/>
                                    <w:right w:val="none" w:sz="0" w:space="0" w:color="auto"/>
                                  </w:divBdr>
                                </w:div>
                              </w:divsChild>
                            </w:div>
                            <w:div w:id="412093478">
                              <w:marLeft w:val="0"/>
                              <w:marRight w:val="0"/>
                              <w:marTop w:val="0"/>
                              <w:marBottom w:val="0"/>
                              <w:divBdr>
                                <w:top w:val="none" w:sz="0" w:space="0" w:color="auto"/>
                                <w:left w:val="none" w:sz="0" w:space="0" w:color="auto"/>
                                <w:bottom w:val="none" w:sz="0" w:space="0" w:color="auto"/>
                                <w:right w:val="none" w:sz="0" w:space="0" w:color="auto"/>
                              </w:divBdr>
                              <w:divsChild>
                                <w:div w:id="1719041841">
                                  <w:marLeft w:val="0"/>
                                  <w:marRight w:val="0"/>
                                  <w:marTop w:val="0"/>
                                  <w:marBottom w:val="0"/>
                                  <w:divBdr>
                                    <w:top w:val="none" w:sz="0" w:space="0" w:color="auto"/>
                                    <w:left w:val="none" w:sz="0" w:space="0" w:color="auto"/>
                                    <w:bottom w:val="none" w:sz="0" w:space="0" w:color="auto"/>
                                    <w:right w:val="none" w:sz="0" w:space="0" w:color="auto"/>
                                  </w:divBdr>
                                </w:div>
                              </w:divsChild>
                            </w:div>
                            <w:div w:id="2009020597">
                              <w:marLeft w:val="0"/>
                              <w:marRight w:val="0"/>
                              <w:marTop w:val="0"/>
                              <w:marBottom w:val="0"/>
                              <w:divBdr>
                                <w:top w:val="none" w:sz="0" w:space="0" w:color="auto"/>
                                <w:left w:val="none" w:sz="0" w:space="0" w:color="auto"/>
                                <w:bottom w:val="none" w:sz="0" w:space="0" w:color="auto"/>
                                <w:right w:val="none" w:sz="0" w:space="0" w:color="auto"/>
                              </w:divBdr>
                              <w:divsChild>
                                <w:div w:id="1998799623">
                                  <w:marLeft w:val="0"/>
                                  <w:marRight w:val="0"/>
                                  <w:marTop w:val="0"/>
                                  <w:marBottom w:val="0"/>
                                  <w:divBdr>
                                    <w:top w:val="none" w:sz="0" w:space="0" w:color="auto"/>
                                    <w:left w:val="none" w:sz="0" w:space="0" w:color="auto"/>
                                    <w:bottom w:val="none" w:sz="0" w:space="0" w:color="auto"/>
                                    <w:right w:val="none" w:sz="0" w:space="0" w:color="auto"/>
                                  </w:divBdr>
                                  <w:divsChild>
                                    <w:div w:id="755859374">
                                      <w:marLeft w:val="0"/>
                                      <w:marRight w:val="0"/>
                                      <w:marTop w:val="0"/>
                                      <w:marBottom w:val="0"/>
                                      <w:divBdr>
                                        <w:top w:val="none" w:sz="0" w:space="0" w:color="auto"/>
                                        <w:left w:val="none" w:sz="0" w:space="0" w:color="auto"/>
                                        <w:bottom w:val="none" w:sz="0" w:space="0" w:color="auto"/>
                                        <w:right w:val="none" w:sz="0" w:space="0" w:color="auto"/>
                                      </w:divBdr>
                                      <w:divsChild>
                                        <w:div w:id="600139449">
                                          <w:marLeft w:val="0"/>
                                          <w:marRight w:val="0"/>
                                          <w:marTop w:val="120"/>
                                          <w:marBottom w:val="0"/>
                                          <w:divBdr>
                                            <w:top w:val="none" w:sz="0" w:space="0" w:color="auto"/>
                                            <w:left w:val="none" w:sz="0" w:space="0" w:color="auto"/>
                                            <w:bottom w:val="none" w:sz="0" w:space="0" w:color="auto"/>
                                            <w:right w:val="none" w:sz="0" w:space="0" w:color="auto"/>
                                          </w:divBdr>
                                        </w:div>
                                        <w:div w:id="1683314165">
                                          <w:marLeft w:val="0"/>
                                          <w:marRight w:val="0"/>
                                          <w:marTop w:val="0"/>
                                          <w:marBottom w:val="0"/>
                                          <w:divBdr>
                                            <w:top w:val="none" w:sz="0" w:space="0" w:color="auto"/>
                                            <w:left w:val="none" w:sz="0" w:space="0" w:color="auto"/>
                                            <w:bottom w:val="none" w:sz="0" w:space="0" w:color="auto"/>
                                            <w:right w:val="none" w:sz="0" w:space="0" w:color="auto"/>
                                          </w:divBdr>
                                        </w:div>
                                      </w:divsChild>
                                    </w:div>
                                    <w:div w:id="2060081933">
                                      <w:marLeft w:val="0"/>
                                      <w:marRight w:val="0"/>
                                      <w:marTop w:val="0"/>
                                      <w:marBottom w:val="0"/>
                                      <w:divBdr>
                                        <w:top w:val="none" w:sz="0" w:space="0" w:color="auto"/>
                                        <w:left w:val="none" w:sz="0" w:space="0" w:color="auto"/>
                                        <w:bottom w:val="none" w:sz="0" w:space="0" w:color="auto"/>
                                        <w:right w:val="none" w:sz="0" w:space="0" w:color="auto"/>
                                      </w:divBdr>
                                      <w:divsChild>
                                        <w:div w:id="1828008287">
                                          <w:marLeft w:val="0"/>
                                          <w:marRight w:val="0"/>
                                          <w:marTop w:val="120"/>
                                          <w:marBottom w:val="0"/>
                                          <w:divBdr>
                                            <w:top w:val="none" w:sz="0" w:space="0" w:color="auto"/>
                                            <w:left w:val="none" w:sz="0" w:space="0" w:color="auto"/>
                                            <w:bottom w:val="none" w:sz="0" w:space="0" w:color="auto"/>
                                            <w:right w:val="none" w:sz="0" w:space="0" w:color="auto"/>
                                          </w:divBdr>
                                        </w:div>
                                        <w:div w:id="512190624">
                                          <w:marLeft w:val="0"/>
                                          <w:marRight w:val="0"/>
                                          <w:marTop w:val="0"/>
                                          <w:marBottom w:val="0"/>
                                          <w:divBdr>
                                            <w:top w:val="none" w:sz="0" w:space="0" w:color="auto"/>
                                            <w:left w:val="none" w:sz="0" w:space="0" w:color="auto"/>
                                            <w:bottom w:val="none" w:sz="0" w:space="0" w:color="auto"/>
                                            <w:right w:val="none" w:sz="0" w:space="0" w:color="auto"/>
                                          </w:divBdr>
                                        </w:div>
                                      </w:divsChild>
                                    </w:div>
                                    <w:div w:id="1173422387">
                                      <w:marLeft w:val="0"/>
                                      <w:marRight w:val="0"/>
                                      <w:marTop w:val="0"/>
                                      <w:marBottom w:val="0"/>
                                      <w:divBdr>
                                        <w:top w:val="none" w:sz="0" w:space="0" w:color="auto"/>
                                        <w:left w:val="none" w:sz="0" w:space="0" w:color="auto"/>
                                        <w:bottom w:val="none" w:sz="0" w:space="0" w:color="auto"/>
                                        <w:right w:val="none" w:sz="0" w:space="0" w:color="auto"/>
                                      </w:divBdr>
                                      <w:divsChild>
                                        <w:div w:id="653223238">
                                          <w:marLeft w:val="0"/>
                                          <w:marRight w:val="0"/>
                                          <w:marTop w:val="120"/>
                                          <w:marBottom w:val="0"/>
                                          <w:divBdr>
                                            <w:top w:val="none" w:sz="0" w:space="0" w:color="auto"/>
                                            <w:left w:val="none" w:sz="0" w:space="0" w:color="auto"/>
                                            <w:bottom w:val="none" w:sz="0" w:space="0" w:color="auto"/>
                                            <w:right w:val="none" w:sz="0" w:space="0" w:color="auto"/>
                                          </w:divBdr>
                                        </w:div>
                                        <w:div w:id="14557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311517">
                              <w:marLeft w:val="0"/>
                              <w:marRight w:val="0"/>
                              <w:marTop w:val="0"/>
                              <w:marBottom w:val="0"/>
                              <w:divBdr>
                                <w:top w:val="none" w:sz="0" w:space="0" w:color="auto"/>
                                <w:left w:val="none" w:sz="0" w:space="0" w:color="auto"/>
                                <w:bottom w:val="none" w:sz="0" w:space="0" w:color="auto"/>
                                <w:right w:val="none" w:sz="0" w:space="0" w:color="auto"/>
                              </w:divBdr>
                              <w:divsChild>
                                <w:div w:id="4803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31506">
                          <w:marLeft w:val="0"/>
                          <w:marRight w:val="0"/>
                          <w:marTop w:val="0"/>
                          <w:marBottom w:val="0"/>
                          <w:divBdr>
                            <w:top w:val="none" w:sz="0" w:space="0" w:color="auto"/>
                            <w:left w:val="none" w:sz="0" w:space="0" w:color="auto"/>
                            <w:bottom w:val="none" w:sz="0" w:space="0" w:color="auto"/>
                            <w:right w:val="none" w:sz="0" w:space="0" w:color="auto"/>
                          </w:divBdr>
                          <w:divsChild>
                            <w:div w:id="1115517898">
                              <w:marLeft w:val="0"/>
                              <w:marRight w:val="0"/>
                              <w:marTop w:val="0"/>
                              <w:marBottom w:val="0"/>
                              <w:divBdr>
                                <w:top w:val="none" w:sz="0" w:space="0" w:color="auto"/>
                                <w:left w:val="none" w:sz="0" w:space="0" w:color="auto"/>
                                <w:bottom w:val="none" w:sz="0" w:space="0" w:color="auto"/>
                                <w:right w:val="none" w:sz="0" w:space="0" w:color="auto"/>
                              </w:divBdr>
                            </w:div>
                            <w:div w:id="128785688">
                              <w:marLeft w:val="0"/>
                              <w:marRight w:val="0"/>
                              <w:marTop w:val="0"/>
                              <w:marBottom w:val="0"/>
                              <w:divBdr>
                                <w:top w:val="none" w:sz="0" w:space="0" w:color="auto"/>
                                <w:left w:val="none" w:sz="0" w:space="0" w:color="auto"/>
                                <w:bottom w:val="none" w:sz="0" w:space="0" w:color="auto"/>
                                <w:right w:val="none" w:sz="0" w:space="0" w:color="auto"/>
                              </w:divBdr>
                              <w:divsChild>
                                <w:div w:id="858397364">
                                  <w:marLeft w:val="0"/>
                                  <w:marRight w:val="0"/>
                                  <w:marTop w:val="0"/>
                                  <w:marBottom w:val="0"/>
                                  <w:divBdr>
                                    <w:top w:val="none" w:sz="0" w:space="0" w:color="auto"/>
                                    <w:left w:val="none" w:sz="0" w:space="0" w:color="auto"/>
                                    <w:bottom w:val="none" w:sz="0" w:space="0" w:color="auto"/>
                                    <w:right w:val="none" w:sz="0" w:space="0" w:color="auto"/>
                                  </w:divBdr>
                                </w:div>
                              </w:divsChild>
                            </w:div>
                            <w:div w:id="1417090030">
                              <w:marLeft w:val="0"/>
                              <w:marRight w:val="0"/>
                              <w:marTop w:val="0"/>
                              <w:marBottom w:val="0"/>
                              <w:divBdr>
                                <w:top w:val="none" w:sz="0" w:space="0" w:color="auto"/>
                                <w:left w:val="none" w:sz="0" w:space="0" w:color="auto"/>
                                <w:bottom w:val="none" w:sz="0" w:space="0" w:color="auto"/>
                                <w:right w:val="none" w:sz="0" w:space="0" w:color="auto"/>
                              </w:divBdr>
                              <w:divsChild>
                                <w:div w:id="791637102">
                                  <w:marLeft w:val="0"/>
                                  <w:marRight w:val="0"/>
                                  <w:marTop w:val="0"/>
                                  <w:marBottom w:val="0"/>
                                  <w:divBdr>
                                    <w:top w:val="none" w:sz="0" w:space="0" w:color="auto"/>
                                    <w:left w:val="none" w:sz="0" w:space="0" w:color="auto"/>
                                    <w:bottom w:val="none" w:sz="0" w:space="0" w:color="auto"/>
                                    <w:right w:val="none" w:sz="0" w:space="0" w:color="auto"/>
                                  </w:divBdr>
                                  <w:divsChild>
                                    <w:div w:id="1196314610">
                                      <w:marLeft w:val="0"/>
                                      <w:marRight w:val="0"/>
                                      <w:marTop w:val="0"/>
                                      <w:marBottom w:val="0"/>
                                      <w:divBdr>
                                        <w:top w:val="none" w:sz="0" w:space="0" w:color="auto"/>
                                        <w:left w:val="none" w:sz="0" w:space="0" w:color="auto"/>
                                        <w:bottom w:val="none" w:sz="0" w:space="0" w:color="auto"/>
                                        <w:right w:val="none" w:sz="0" w:space="0" w:color="auto"/>
                                      </w:divBdr>
                                      <w:divsChild>
                                        <w:div w:id="932400475">
                                          <w:marLeft w:val="0"/>
                                          <w:marRight w:val="0"/>
                                          <w:marTop w:val="120"/>
                                          <w:marBottom w:val="0"/>
                                          <w:divBdr>
                                            <w:top w:val="none" w:sz="0" w:space="0" w:color="auto"/>
                                            <w:left w:val="none" w:sz="0" w:space="0" w:color="auto"/>
                                            <w:bottom w:val="none" w:sz="0" w:space="0" w:color="auto"/>
                                            <w:right w:val="none" w:sz="0" w:space="0" w:color="auto"/>
                                          </w:divBdr>
                                        </w:div>
                                        <w:div w:id="864367271">
                                          <w:marLeft w:val="0"/>
                                          <w:marRight w:val="0"/>
                                          <w:marTop w:val="0"/>
                                          <w:marBottom w:val="0"/>
                                          <w:divBdr>
                                            <w:top w:val="none" w:sz="0" w:space="0" w:color="auto"/>
                                            <w:left w:val="none" w:sz="0" w:space="0" w:color="auto"/>
                                            <w:bottom w:val="none" w:sz="0" w:space="0" w:color="auto"/>
                                            <w:right w:val="none" w:sz="0" w:space="0" w:color="auto"/>
                                          </w:divBdr>
                                        </w:div>
                                      </w:divsChild>
                                    </w:div>
                                    <w:div w:id="748190595">
                                      <w:marLeft w:val="0"/>
                                      <w:marRight w:val="0"/>
                                      <w:marTop w:val="0"/>
                                      <w:marBottom w:val="0"/>
                                      <w:divBdr>
                                        <w:top w:val="none" w:sz="0" w:space="0" w:color="auto"/>
                                        <w:left w:val="none" w:sz="0" w:space="0" w:color="auto"/>
                                        <w:bottom w:val="none" w:sz="0" w:space="0" w:color="auto"/>
                                        <w:right w:val="none" w:sz="0" w:space="0" w:color="auto"/>
                                      </w:divBdr>
                                      <w:divsChild>
                                        <w:div w:id="155271842">
                                          <w:marLeft w:val="0"/>
                                          <w:marRight w:val="0"/>
                                          <w:marTop w:val="120"/>
                                          <w:marBottom w:val="0"/>
                                          <w:divBdr>
                                            <w:top w:val="none" w:sz="0" w:space="0" w:color="auto"/>
                                            <w:left w:val="none" w:sz="0" w:space="0" w:color="auto"/>
                                            <w:bottom w:val="none" w:sz="0" w:space="0" w:color="auto"/>
                                            <w:right w:val="none" w:sz="0" w:space="0" w:color="auto"/>
                                          </w:divBdr>
                                        </w:div>
                                        <w:div w:id="1570263133">
                                          <w:marLeft w:val="0"/>
                                          <w:marRight w:val="0"/>
                                          <w:marTop w:val="0"/>
                                          <w:marBottom w:val="0"/>
                                          <w:divBdr>
                                            <w:top w:val="none" w:sz="0" w:space="0" w:color="auto"/>
                                            <w:left w:val="none" w:sz="0" w:space="0" w:color="auto"/>
                                            <w:bottom w:val="none" w:sz="0" w:space="0" w:color="auto"/>
                                            <w:right w:val="none" w:sz="0" w:space="0" w:color="auto"/>
                                          </w:divBdr>
                                        </w:div>
                                      </w:divsChild>
                                    </w:div>
                                    <w:div w:id="1385790083">
                                      <w:marLeft w:val="0"/>
                                      <w:marRight w:val="0"/>
                                      <w:marTop w:val="0"/>
                                      <w:marBottom w:val="0"/>
                                      <w:divBdr>
                                        <w:top w:val="none" w:sz="0" w:space="0" w:color="auto"/>
                                        <w:left w:val="none" w:sz="0" w:space="0" w:color="auto"/>
                                        <w:bottom w:val="none" w:sz="0" w:space="0" w:color="auto"/>
                                        <w:right w:val="none" w:sz="0" w:space="0" w:color="auto"/>
                                      </w:divBdr>
                                      <w:divsChild>
                                        <w:div w:id="10765901">
                                          <w:marLeft w:val="0"/>
                                          <w:marRight w:val="0"/>
                                          <w:marTop w:val="120"/>
                                          <w:marBottom w:val="0"/>
                                          <w:divBdr>
                                            <w:top w:val="none" w:sz="0" w:space="0" w:color="auto"/>
                                            <w:left w:val="none" w:sz="0" w:space="0" w:color="auto"/>
                                            <w:bottom w:val="none" w:sz="0" w:space="0" w:color="auto"/>
                                            <w:right w:val="none" w:sz="0" w:space="0" w:color="auto"/>
                                          </w:divBdr>
                                        </w:div>
                                        <w:div w:id="30115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7147">
                              <w:marLeft w:val="0"/>
                              <w:marRight w:val="0"/>
                              <w:marTop w:val="0"/>
                              <w:marBottom w:val="0"/>
                              <w:divBdr>
                                <w:top w:val="none" w:sz="0" w:space="0" w:color="auto"/>
                                <w:left w:val="none" w:sz="0" w:space="0" w:color="auto"/>
                                <w:bottom w:val="none" w:sz="0" w:space="0" w:color="auto"/>
                                <w:right w:val="none" w:sz="0" w:space="0" w:color="auto"/>
                              </w:divBdr>
                              <w:divsChild>
                                <w:div w:id="260457822">
                                  <w:marLeft w:val="0"/>
                                  <w:marRight w:val="0"/>
                                  <w:marTop w:val="0"/>
                                  <w:marBottom w:val="0"/>
                                  <w:divBdr>
                                    <w:top w:val="none" w:sz="0" w:space="0" w:color="auto"/>
                                    <w:left w:val="none" w:sz="0" w:space="0" w:color="auto"/>
                                    <w:bottom w:val="none" w:sz="0" w:space="0" w:color="auto"/>
                                    <w:right w:val="none" w:sz="0" w:space="0" w:color="auto"/>
                                  </w:divBdr>
                                </w:div>
                              </w:divsChild>
                            </w:div>
                            <w:div w:id="577251417">
                              <w:marLeft w:val="0"/>
                              <w:marRight w:val="0"/>
                              <w:marTop w:val="0"/>
                              <w:marBottom w:val="0"/>
                              <w:divBdr>
                                <w:top w:val="none" w:sz="0" w:space="0" w:color="auto"/>
                                <w:left w:val="none" w:sz="0" w:space="0" w:color="auto"/>
                                <w:bottom w:val="none" w:sz="0" w:space="0" w:color="auto"/>
                                <w:right w:val="none" w:sz="0" w:space="0" w:color="auto"/>
                              </w:divBdr>
                              <w:divsChild>
                                <w:div w:id="177544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46069">
                          <w:marLeft w:val="0"/>
                          <w:marRight w:val="0"/>
                          <w:marTop w:val="0"/>
                          <w:marBottom w:val="0"/>
                          <w:divBdr>
                            <w:top w:val="none" w:sz="0" w:space="0" w:color="auto"/>
                            <w:left w:val="none" w:sz="0" w:space="0" w:color="auto"/>
                            <w:bottom w:val="none" w:sz="0" w:space="0" w:color="auto"/>
                            <w:right w:val="none" w:sz="0" w:space="0" w:color="auto"/>
                          </w:divBdr>
                          <w:divsChild>
                            <w:div w:id="1358235557">
                              <w:marLeft w:val="0"/>
                              <w:marRight w:val="0"/>
                              <w:marTop w:val="0"/>
                              <w:marBottom w:val="0"/>
                              <w:divBdr>
                                <w:top w:val="none" w:sz="0" w:space="0" w:color="auto"/>
                                <w:left w:val="none" w:sz="0" w:space="0" w:color="auto"/>
                                <w:bottom w:val="none" w:sz="0" w:space="0" w:color="auto"/>
                                <w:right w:val="none" w:sz="0" w:space="0" w:color="auto"/>
                              </w:divBdr>
                            </w:div>
                            <w:div w:id="1683511583">
                              <w:marLeft w:val="0"/>
                              <w:marRight w:val="0"/>
                              <w:marTop w:val="0"/>
                              <w:marBottom w:val="0"/>
                              <w:divBdr>
                                <w:top w:val="none" w:sz="0" w:space="0" w:color="auto"/>
                                <w:left w:val="none" w:sz="0" w:space="0" w:color="auto"/>
                                <w:bottom w:val="none" w:sz="0" w:space="0" w:color="auto"/>
                                <w:right w:val="none" w:sz="0" w:space="0" w:color="auto"/>
                              </w:divBdr>
                              <w:divsChild>
                                <w:div w:id="1172337538">
                                  <w:marLeft w:val="0"/>
                                  <w:marRight w:val="0"/>
                                  <w:marTop w:val="0"/>
                                  <w:marBottom w:val="0"/>
                                  <w:divBdr>
                                    <w:top w:val="none" w:sz="0" w:space="0" w:color="auto"/>
                                    <w:left w:val="none" w:sz="0" w:space="0" w:color="auto"/>
                                    <w:bottom w:val="none" w:sz="0" w:space="0" w:color="auto"/>
                                    <w:right w:val="none" w:sz="0" w:space="0" w:color="auto"/>
                                  </w:divBdr>
                                </w:div>
                              </w:divsChild>
                            </w:div>
                            <w:div w:id="1713652795">
                              <w:marLeft w:val="0"/>
                              <w:marRight w:val="0"/>
                              <w:marTop w:val="0"/>
                              <w:marBottom w:val="0"/>
                              <w:divBdr>
                                <w:top w:val="none" w:sz="0" w:space="0" w:color="auto"/>
                                <w:left w:val="none" w:sz="0" w:space="0" w:color="auto"/>
                                <w:bottom w:val="none" w:sz="0" w:space="0" w:color="auto"/>
                                <w:right w:val="none" w:sz="0" w:space="0" w:color="auto"/>
                              </w:divBdr>
                              <w:divsChild>
                                <w:div w:id="881328664">
                                  <w:marLeft w:val="0"/>
                                  <w:marRight w:val="0"/>
                                  <w:marTop w:val="0"/>
                                  <w:marBottom w:val="0"/>
                                  <w:divBdr>
                                    <w:top w:val="none" w:sz="0" w:space="0" w:color="auto"/>
                                    <w:left w:val="none" w:sz="0" w:space="0" w:color="auto"/>
                                    <w:bottom w:val="none" w:sz="0" w:space="0" w:color="auto"/>
                                    <w:right w:val="none" w:sz="0" w:space="0" w:color="auto"/>
                                  </w:divBdr>
                                  <w:divsChild>
                                    <w:div w:id="1948849173">
                                      <w:marLeft w:val="0"/>
                                      <w:marRight w:val="0"/>
                                      <w:marTop w:val="0"/>
                                      <w:marBottom w:val="0"/>
                                      <w:divBdr>
                                        <w:top w:val="none" w:sz="0" w:space="0" w:color="auto"/>
                                        <w:left w:val="none" w:sz="0" w:space="0" w:color="auto"/>
                                        <w:bottom w:val="none" w:sz="0" w:space="0" w:color="auto"/>
                                        <w:right w:val="none" w:sz="0" w:space="0" w:color="auto"/>
                                      </w:divBdr>
                                      <w:divsChild>
                                        <w:div w:id="630133758">
                                          <w:marLeft w:val="0"/>
                                          <w:marRight w:val="0"/>
                                          <w:marTop w:val="120"/>
                                          <w:marBottom w:val="0"/>
                                          <w:divBdr>
                                            <w:top w:val="none" w:sz="0" w:space="0" w:color="auto"/>
                                            <w:left w:val="none" w:sz="0" w:space="0" w:color="auto"/>
                                            <w:bottom w:val="none" w:sz="0" w:space="0" w:color="auto"/>
                                            <w:right w:val="none" w:sz="0" w:space="0" w:color="auto"/>
                                          </w:divBdr>
                                        </w:div>
                                        <w:div w:id="245581018">
                                          <w:marLeft w:val="0"/>
                                          <w:marRight w:val="0"/>
                                          <w:marTop w:val="0"/>
                                          <w:marBottom w:val="0"/>
                                          <w:divBdr>
                                            <w:top w:val="none" w:sz="0" w:space="0" w:color="auto"/>
                                            <w:left w:val="none" w:sz="0" w:space="0" w:color="auto"/>
                                            <w:bottom w:val="none" w:sz="0" w:space="0" w:color="auto"/>
                                            <w:right w:val="none" w:sz="0" w:space="0" w:color="auto"/>
                                          </w:divBdr>
                                        </w:div>
                                      </w:divsChild>
                                    </w:div>
                                    <w:div w:id="867765424">
                                      <w:marLeft w:val="0"/>
                                      <w:marRight w:val="0"/>
                                      <w:marTop w:val="0"/>
                                      <w:marBottom w:val="0"/>
                                      <w:divBdr>
                                        <w:top w:val="none" w:sz="0" w:space="0" w:color="auto"/>
                                        <w:left w:val="none" w:sz="0" w:space="0" w:color="auto"/>
                                        <w:bottom w:val="none" w:sz="0" w:space="0" w:color="auto"/>
                                        <w:right w:val="none" w:sz="0" w:space="0" w:color="auto"/>
                                      </w:divBdr>
                                      <w:divsChild>
                                        <w:div w:id="28846545">
                                          <w:marLeft w:val="0"/>
                                          <w:marRight w:val="0"/>
                                          <w:marTop w:val="120"/>
                                          <w:marBottom w:val="0"/>
                                          <w:divBdr>
                                            <w:top w:val="none" w:sz="0" w:space="0" w:color="auto"/>
                                            <w:left w:val="none" w:sz="0" w:space="0" w:color="auto"/>
                                            <w:bottom w:val="none" w:sz="0" w:space="0" w:color="auto"/>
                                            <w:right w:val="none" w:sz="0" w:space="0" w:color="auto"/>
                                          </w:divBdr>
                                        </w:div>
                                        <w:div w:id="1070348663">
                                          <w:marLeft w:val="0"/>
                                          <w:marRight w:val="0"/>
                                          <w:marTop w:val="0"/>
                                          <w:marBottom w:val="0"/>
                                          <w:divBdr>
                                            <w:top w:val="none" w:sz="0" w:space="0" w:color="auto"/>
                                            <w:left w:val="none" w:sz="0" w:space="0" w:color="auto"/>
                                            <w:bottom w:val="none" w:sz="0" w:space="0" w:color="auto"/>
                                            <w:right w:val="none" w:sz="0" w:space="0" w:color="auto"/>
                                          </w:divBdr>
                                        </w:div>
                                      </w:divsChild>
                                    </w:div>
                                    <w:div w:id="468286054">
                                      <w:marLeft w:val="0"/>
                                      <w:marRight w:val="0"/>
                                      <w:marTop w:val="0"/>
                                      <w:marBottom w:val="0"/>
                                      <w:divBdr>
                                        <w:top w:val="none" w:sz="0" w:space="0" w:color="auto"/>
                                        <w:left w:val="none" w:sz="0" w:space="0" w:color="auto"/>
                                        <w:bottom w:val="none" w:sz="0" w:space="0" w:color="auto"/>
                                        <w:right w:val="none" w:sz="0" w:space="0" w:color="auto"/>
                                      </w:divBdr>
                                      <w:divsChild>
                                        <w:div w:id="1465351453">
                                          <w:marLeft w:val="0"/>
                                          <w:marRight w:val="0"/>
                                          <w:marTop w:val="120"/>
                                          <w:marBottom w:val="0"/>
                                          <w:divBdr>
                                            <w:top w:val="none" w:sz="0" w:space="0" w:color="auto"/>
                                            <w:left w:val="none" w:sz="0" w:space="0" w:color="auto"/>
                                            <w:bottom w:val="none" w:sz="0" w:space="0" w:color="auto"/>
                                            <w:right w:val="none" w:sz="0" w:space="0" w:color="auto"/>
                                          </w:divBdr>
                                        </w:div>
                                        <w:div w:id="1999993602">
                                          <w:marLeft w:val="0"/>
                                          <w:marRight w:val="0"/>
                                          <w:marTop w:val="0"/>
                                          <w:marBottom w:val="0"/>
                                          <w:divBdr>
                                            <w:top w:val="none" w:sz="0" w:space="0" w:color="auto"/>
                                            <w:left w:val="none" w:sz="0" w:space="0" w:color="auto"/>
                                            <w:bottom w:val="none" w:sz="0" w:space="0" w:color="auto"/>
                                            <w:right w:val="none" w:sz="0" w:space="0" w:color="auto"/>
                                          </w:divBdr>
                                          <w:divsChild>
                                            <w:div w:id="966353124">
                                              <w:marLeft w:val="0"/>
                                              <w:marRight w:val="0"/>
                                              <w:marTop w:val="0"/>
                                              <w:marBottom w:val="0"/>
                                              <w:divBdr>
                                                <w:top w:val="none" w:sz="0" w:space="0" w:color="auto"/>
                                                <w:left w:val="none" w:sz="0" w:space="0" w:color="auto"/>
                                                <w:bottom w:val="none" w:sz="0" w:space="0" w:color="auto"/>
                                                <w:right w:val="none" w:sz="0" w:space="0" w:color="auto"/>
                                              </w:divBdr>
                                              <w:divsChild>
                                                <w:div w:id="2121681312">
                                                  <w:marLeft w:val="0"/>
                                                  <w:marRight w:val="0"/>
                                                  <w:marTop w:val="120"/>
                                                  <w:marBottom w:val="0"/>
                                                  <w:divBdr>
                                                    <w:top w:val="none" w:sz="0" w:space="0" w:color="auto"/>
                                                    <w:left w:val="none" w:sz="0" w:space="0" w:color="auto"/>
                                                    <w:bottom w:val="none" w:sz="0" w:space="0" w:color="auto"/>
                                                    <w:right w:val="none" w:sz="0" w:space="0" w:color="auto"/>
                                                  </w:divBdr>
                                                </w:div>
                                                <w:div w:id="639116836">
                                                  <w:marLeft w:val="0"/>
                                                  <w:marRight w:val="0"/>
                                                  <w:marTop w:val="0"/>
                                                  <w:marBottom w:val="0"/>
                                                  <w:divBdr>
                                                    <w:top w:val="none" w:sz="0" w:space="0" w:color="auto"/>
                                                    <w:left w:val="none" w:sz="0" w:space="0" w:color="auto"/>
                                                    <w:bottom w:val="none" w:sz="0" w:space="0" w:color="auto"/>
                                                    <w:right w:val="none" w:sz="0" w:space="0" w:color="auto"/>
                                                  </w:divBdr>
                                                </w:div>
                                              </w:divsChild>
                                            </w:div>
                                            <w:div w:id="1449350316">
                                              <w:marLeft w:val="0"/>
                                              <w:marRight w:val="0"/>
                                              <w:marTop w:val="0"/>
                                              <w:marBottom w:val="0"/>
                                              <w:divBdr>
                                                <w:top w:val="none" w:sz="0" w:space="0" w:color="auto"/>
                                                <w:left w:val="none" w:sz="0" w:space="0" w:color="auto"/>
                                                <w:bottom w:val="none" w:sz="0" w:space="0" w:color="auto"/>
                                                <w:right w:val="none" w:sz="0" w:space="0" w:color="auto"/>
                                              </w:divBdr>
                                              <w:divsChild>
                                                <w:div w:id="704982736">
                                                  <w:marLeft w:val="0"/>
                                                  <w:marRight w:val="0"/>
                                                  <w:marTop w:val="120"/>
                                                  <w:marBottom w:val="0"/>
                                                  <w:divBdr>
                                                    <w:top w:val="none" w:sz="0" w:space="0" w:color="auto"/>
                                                    <w:left w:val="none" w:sz="0" w:space="0" w:color="auto"/>
                                                    <w:bottom w:val="none" w:sz="0" w:space="0" w:color="auto"/>
                                                    <w:right w:val="none" w:sz="0" w:space="0" w:color="auto"/>
                                                  </w:divBdr>
                                                </w:div>
                                                <w:div w:id="104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759367">
                              <w:marLeft w:val="0"/>
                              <w:marRight w:val="0"/>
                              <w:marTop w:val="0"/>
                              <w:marBottom w:val="0"/>
                              <w:divBdr>
                                <w:top w:val="none" w:sz="0" w:space="0" w:color="auto"/>
                                <w:left w:val="none" w:sz="0" w:space="0" w:color="auto"/>
                                <w:bottom w:val="none" w:sz="0" w:space="0" w:color="auto"/>
                                <w:right w:val="none" w:sz="0" w:space="0" w:color="auto"/>
                              </w:divBdr>
                              <w:divsChild>
                                <w:div w:id="1407335812">
                                  <w:marLeft w:val="0"/>
                                  <w:marRight w:val="0"/>
                                  <w:marTop w:val="0"/>
                                  <w:marBottom w:val="0"/>
                                  <w:divBdr>
                                    <w:top w:val="none" w:sz="0" w:space="0" w:color="auto"/>
                                    <w:left w:val="none" w:sz="0" w:space="0" w:color="auto"/>
                                    <w:bottom w:val="none" w:sz="0" w:space="0" w:color="auto"/>
                                    <w:right w:val="none" w:sz="0" w:space="0" w:color="auto"/>
                                  </w:divBdr>
                                  <w:divsChild>
                                    <w:div w:id="1250888306">
                                      <w:marLeft w:val="0"/>
                                      <w:marRight w:val="0"/>
                                      <w:marTop w:val="0"/>
                                      <w:marBottom w:val="0"/>
                                      <w:divBdr>
                                        <w:top w:val="none" w:sz="0" w:space="0" w:color="auto"/>
                                        <w:left w:val="none" w:sz="0" w:space="0" w:color="auto"/>
                                        <w:bottom w:val="none" w:sz="0" w:space="0" w:color="auto"/>
                                        <w:right w:val="none" w:sz="0" w:space="0" w:color="auto"/>
                                      </w:divBdr>
                                      <w:divsChild>
                                        <w:div w:id="434985431">
                                          <w:marLeft w:val="0"/>
                                          <w:marRight w:val="0"/>
                                          <w:marTop w:val="120"/>
                                          <w:marBottom w:val="0"/>
                                          <w:divBdr>
                                            <w:top w:val="none" w:sz="0" w:space="0" w:color="auto"/>
                                            <w:left w:val="none" w:sz="0" w:space="0" w:color="auto"/>
                                            <w:bottom w:val="none" w:sz="0" w:space="0" w:color="auto"/>
                                            <w:right w:val="none" w:sz="0" w:space="0" w:color="auto"/>
                                          </w:divBdr>
                                        </w:div>
                                        <w:div w:id="668562932">
                                          <w:marLeft w:val="0"/>
                                          <w:marRight w:val="0"/>
                                          <w:marTop w:val="0"/>
                                          <w:marBottom w:val="0"/>
                                          <w:divBdr>
                                            <w:top w:val="none" w:sz="0" w:space="0" w:color="auto"/>
                                            <w:left w:val="none" w:sz="0" w:space="0" w:color="auto"/>
                                            <w:bottom w:val="none" w:sz="0" w:space="0" w:color="auto"/>
                                            <w:right w:val="none" w:sz="0" w:space="0" w:color="auto"/>
                                          </w:divBdr>
                                        </w:div>
                                      </w:divsChild>
                                    </w:div>
                                    <w:div w:id="454296703">
                                      <w:marLeft w:val="0"/>
                                      <w:marRight w:val="0"/>
                                      <w:marTop w:val="0"/>
                                      <w:marBottom w:val="0"/>
                                      <w:divBdr>
                                        <w:top w:val="none" w:sz="0" w:space="0" w:color="auto"/>
                                        <w:left w:val="none" w:sz="0" w:space="0" w:color="auto"/>
                                        <w:bottom w:val="none" w:sz="0" w:space="0" w:color="auto"/>
                                        <w:right w:val="none" w:sz="0" w:space="0" w:color="auto"/>
                                      </w:divBdr>
                                      <w:divsChild>
                                        <w:div w:id="1215041809">
                                          <w:marLeft w:val="0"/>
                                          <w:marRight w:val="0"/>
                                          <w:marTop w:val="120"/>
                                          <w:marBottom w:val="0"/>
                                          <w:divBdr>
                                            <w:top w:val="none" w:sz="0" w:space="0" w:color="auto"/>
                                            <w:left w:val="none" w:sz="0" w:space="0" w:color="auto"/>
                                            <w:bottom w:val="none" w:sz="0" w:space="0" w:color="auto"/>
                                            <w:right w:val="none" w:sz="0" w:space="0" w:color="auto"/>
                                          </w:divBdr>
                                        </w:div>
                                        <w:div w:id="1018577748">
                                          <w:marLeft w:val="0"/>
                                          <w:marRight w:val="0"/>
                                          <w:marTop w:val="0"/>
                                          <w:marBottom w:val="0"/>
                                          <w:divBdr>
                                            <w:top w:val="none" w:sz="0" w:space="0" w:color="auto"/>
                                            <w:left w:val="none" w:sz="0" w:space="0" w:color="auto"/>
                                            <w:bottom w:val="none" w:sz="0" w:space="0" w:color="auto"/>
                                            <w:right w:val="none" w:sz="0" w:space="0" w:color="auto"/>
                                          </w:divBdr>
                                        </w:div>
                                      </w:divsChild>
                                    </w:div>
                                    <w:div w:id="1318146396">
                                      <w:marLeft w:val="0"/>
                                      <w:marRight w:val="0"/>
                                      <w:marTop w:val="0"/>
                                      <w:marBottom w:val="0"/>
                                      <w:divBdr>
                                        <w:top w:val="none" w:sz="0" w:space="0" w:color="auto"/>
                                        <w:left w:val="none" w:sz="0" w:space="0" w:color="auto"/>
                                        <w:bottom w:val="none" w:sz="0" w:space="0" w:color="auto"/>
                                        <w:right w:val="none" w:sz="0" w:space="0" w:color="auto"/>
                                      </w:divBdr>
                                      <w:divsChild>
                                        <w:div w:id="403988388">
                                          <w:marLeft w:val="0"/>
                                          <w:marRight w:val="0"/>
                                          <w:marTop w:val="120"/>
                                          <w:marBottom w:val="0"/>
                                          <w:divBdr>
                                            <w:top w:val="none" w:sz="0" w:space="0" w:color="auto"/>
                                            <w:left w:val="none" w:sz="0" w:space="0" w:color="auto"/>
                                            <w:bottom w:val="none" w:sz="0" w:space="0" w:color="auto"/>
                                            <w:right w:val="none" w:sz="0" w:space="0" w:color="auto"/>
                                          </w:divBdr>
                                        </w:div>
                                        <w:div w:id="10652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993462">
                              <w:marLeft w:val="0"/>
                              <w:marRight w:val="0"/>
                              <w:marTop w:val="0"/>
                              <w:marBottom w:val="0"/>
                              <w:divBdr>
                                <w:top w:val="none" w:sz="0" w:space="0" w:color="auto"/>
                                <w:left w:val="none" w:sz="0" w:space="0" w:color="auto"/>
                                <w:bottom w:val="none" w:sz="0" w:space="0" w:color="auto"/>
                                <w:right w:val="none" w:sz="0" w:space="0" w:color="auto"/>
                              </w:divBdr>
                              <w:divsChild>
                                <w:div w:id="458650436">
                                  <w:marLeft w:val="0"/>
                                  <w:marRight w:val="0"/>
                                  <w:marTop w:val="0"/>
                                  <w:marBottom w:val="0"/>
                                  <w:divBdr>
                                    <w:top w:val="none" w:sz="0" w:space="0" w:color="auto"/>
                                    <w:left w:val="none" w:sz="0" w:space="0" w:color="auto"/>
                                    <w:bottom w:val="none" w:sz="0" w:space="0" w:color="auto"/>
                                    <w:right w:val="none" w:sz="0" w:space="0" w:color="auto"/>
                                  </w:divBdr>
                                  <w:divsChild>
                                    <w:div w:id="1726415180">
                                      <w:marLeft w:val="0"/>
                                      <w:marRight w:val="0"/>
                                      <w:marTop w:val="0"/>
                                      <w:marBottom w:val="0"/>
                                      <w:divBdr>
                                        <w:top w:val="none" w:sz="0" w:space="0" w:color="auto"/>
                                        <w:left w:val="none" w:sz="0" w:space="0" w:color="auto"/>
                                        <w:bottom w:val="none" w:sz="0" w:space="0" w:color="auto"/>
                                        <w:right w:val="none" w:sz="0" w:space="0" w:color="auto"/>
                                      </w:divBdr>
                                      <w:divsChild>
                                        <w:div w:id="1564484804">
                                          <w:marLeft w:val="0"/>
                                          <w:marRight w:val="0"/>
                                          <w:marTop w:val="120"/>
                                          <w:marBottom w:val="0"/>
                                          <w:divBdr>
                                            <w:top w:val="none" w:sz="0" w:space="0" w:color="auto"/>
                                            <w:left w:val="none" w:sz="0" w:space="0" w:color="auto"/>
                                            <w:bottom w:val="none" w:sz="0" w:space="0" w:color="auto"/>
                                            <w:right w:val="none" w:sz="0" w:space="0" w:color="auto"/>
                                          </w:divBdr>
                                        </w:div>
                                        <w:div w:id="205921098">
                                          <w:marLeft w:val="0"/>
                                          <w:marRight w:val="0"/>
                                          <w:marTop w:val="0"/>
                                          <w:marBottom w:val="0"/>
                                          <w:divBdr>
                                            <w:top w:val="none" w:sz="0" w:space="0" w:color="auto"/>
                                            <w:left w:val="none" w:sz="0" w:space="0" w:color="auto"/>
                                            <w:bottom w:val="none" w:sz="0" w:space="0" w:color="auto"/>
                                            <w:right w:val="none" w:sz="0" w:space="0" w:color="auto"/>
                                          </w:divBdr>
                                        </w:div>
                                      </w:divsChild>
                                    </w:div>
                                    <w:div w:id="1933515708">
                                      <w:marLeft w:val="0"/>
                                      <w:marRight w:val="0"/>
                                      <w:marTop w:val="0"/>
                                      <w:marBottom w:val="0"/>
                                      <w:divBdr>
                                        <w:top w:val="none" w:sz="0" w:space="0" w:color="auto"/>
                                        <w:left w:val="none" w:sz="0" w:space="0" w:color="auto"/>
                                        <w:bottom w:val="none" w:sz="0" w:space="0" w:color="auto"/>
                                        <w:right w:val="none" w:sz="0" w:space="0" w:color="auto"/>
                                      </w:divBdr>
                                      <w:divsChild>
                                        <w:div w:id="988480028">
                                          <w:marLeft w:val="0"/>
                                          <w:marRight w:val="0"/>
                                          <w:marTop w:val="120"/>
                                          <w:marBottom w:val="0"/>
                                          <w:divBdr>
                                            <w:top w:val="none" w:sz="0" w:space="0" w:color="auto"/>
                                            <w:left w:val="none" w:sz="0" w:space="0" w:color="auto"/>
                                            <w:bottom w:val="none" w:sz="0" w:space="0" w:color="auto"/>
                                            <w:right w:val="none" w:sz="0" w:space="0" w:color="auto"/>
                                          </w:divBdr>
                                        </w:div>
                                        <w:div w:id="191145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483201">
                              <w:marLeft w:val="0"/>
                              <w:marRight w:val="0"/>
                              <w:marTop w:val="0"/>
                              <w:marBottom w:val="0"/>
                              <w:divBdr>
                                <w:top w:val="none" w:sz="0" w:space="0" w:color="auto"/>
                                <w:left w:val="none" w:sz="0" w:space="0" w:color="auto"/>
                                <w:bottom w:val="none" w:sz="0" w:space="0" w:color="auto"/>
                                <w:right w:val="none" w:sz="0" w:space="0" w:color="auto"/>
                              </w:divBdr>
                              <w:divsChild>
                                <w:div w:id="171998038">
                                  <w:marLeft w:val="0"/>
                                  <w:marRight w:val="0"/>
                                  <w:marTop w:val="0"/>
                                  <w:marBottom w:val="0"/>
                                  <w:divBdr>
                                    <w:top w:val="none" w:sz="0" w:space="0" w:color="auto"/>
                                    <w:left w:val="none" w:sz="0" w:space="0" w:color="auto"/>
                                    <w:bottom w:val="none" w:sz="0" w:space="0" w:color="auto"/>
                                    <w:right w:val="none" w:sz="0" w:space="0" w:color="auto"/>
                                  </w:divBdr>
                                  <w:divsChild>
                                    <w:div w:id="137306434">
                                      <w:marLeft w:val="0"/>
                                      <w:marRight w:val="0"/>
                                      <w:marTop w:val="0"/>
                                      <w:marBottom w:val="0"/>
                                      <w:divBdr>
                                        <w:top w:val="none" w:sz="0" w:space="0" w:color="auto"/>
                                        <w:left w:val="none" w:sz="0" w:space="0" w:color="auto"/>
                                        <w:bottom w:val="none" w:sz="0" w:space="0" w:color="auto"/>
                                        <w:right w:val="none" w:sz="0" w:space="0" w:color="auto"/>
                                      </w:divBdr>
                                      <w:divsChild>
                                        <w:div w:id="1374501361">
                                          <w:marLeft w:val="0"/>
                                          <w:marRight w:val="0"/>
                                          <w:marTop w:val="120"/>
                                          <w:marBottom w:val="0"/>
                                          <w:divBdr>
                                            <w:top w:val="none" w:sz="0" w:space="0" w:color="auto"/>
                                            <w:left w:val="none" w:sz="0" w:space="0" w:color="auto"/>
                                            <w:bottom w:val="none" w:sz="0" w:space="0" w:color="auto"/>
                                            <w:right w:val="none" w:sz="0" w:space="0" w:color="auto"/>
                                          </w:divBdr>
                                        </w:div>
                                        <w:div w:id="1823427713">
                                          <w:marLeft w:val="0"/>
                                          <w:marRight w:val="0"/>
                                          <w:marTop w:val="0"/>
                                          <w:marBottom w:val="0"/>
                                          <w:divBdr>
                                            <w:top w:val="none" w:sz="0" w:space="0" w:color="auto"/>
                                            <w:left w:val="none" w:sz="0" w:space="0" w:color="auto"/>
                                            <w:bottom w:val="none" w:sz="0" w:space="0" w:color="auto"/>
                                            <w:right w:val="none" w:sz="0" w:space="0" w:color="auto"/>
                                          </w:divBdr>
                                        </w:div>
                                      </w:divsChild>
                                    </w:div>
                                    <w:div w:id="1300577915">
                                      <w:marLeft w:val="0"/>
                                      <w:marRight w:val="0"/>
                                      <w:marTop w:val="0"/>
                                      <w:marBottom w:val="0"/>
                                      <w:divBdr>
                                        <w:top w:val="none" w:sz="0" w:space="0" w:color="auto"/>
                                        <w:left w:val="none" w:sz="0" w:space="0" w:color="auto"/>
                                        <w:bottom w:val="none" w:sz="0" w:space="0" w:color="auto"/>
                                        <w:right w:val="none" w:sz="0" w:space="0" w:color="auto"/>
                                      </w:divBdr>
                                      <w:divsChild>
                                        <w:div w:id="2130733895">
                                          <w:marLeft w:val="0"/>
                                          <w:marRight w:val="0"/>
                                          <w:marTop w:val="120"/>
                                          <w:marBottom w:val="0"/>
                                          <w:divBdr>
                                            <w:top w:val="none" w:sz="0" w:space="0" w:color="auto"/>
                                            <w:left w:val="none" w:sz="0" w:space="0" w:color="auto"/>
                                            <w:bottom w:val="none" w:sz="0" w:space="0" w:color="auto"/>
                                            <w:right w:val="none" w:sz="0" w:space="0" w:color="auto"/>
                                          </w:divBdr>
                                        </w:div>
                                        <w:div w:id="40137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959044">
                              <w:marLeft w:val="0"/>
                              <w:marRight w:val="0"/>
                              <w:marTop w:val="0"/>
                              <w:marBottom w:val="0"/>
                              <w:divBdr>
                                <w:top w:val="none" w:sz="0" w:space="0" w:color="auto"/>
                                <w:left w:val="none" w:sz="0" w:space="0" w:color="auto"/>
                                <w:bottom w:val="none" w:sz="0" w:space="0" w:color="auto"/>
                                <w:right w:val="none" w:sz="0" w:space="0" w:color="auto"/>
                              </w:divBdr>
                              <w:divsChild>
                                <w:div w:id="1195390149">
                                  <w:marLeft w:val="0"/>
                                  <w:marRight w:val="0"/>
                                  <w:marTop w:val="0"/>
                                  <w:marBottom w:val="0"/>
                                  <w:divBdr>
                                    <w:top w:val="none" w:sz="0" w:space="0" w:color="auto"/>
                                    <w:left w:val="none" w:sz="0" w:space="0" w:color="auto"/>
                                    <w:bottom w:val="none" w:sz="0" w:space="0" w:color="auto"/>
                                    <w:right w:val="none" w:sz="0" w:space="0" w:color="auto"/>
                                  </w:divBdr>
                                </w:div>
                              </w:divsChild>
                            </w:div>
                            <w:div w:id="1128818114">
                              <w:marLeft w:val="0"/>
                              <w:marRight w:val="0"/>
                              <w:marTop w:val="0"/>
                              <w:marBottom w:val="0"/>
                              <w:divBdr>
                                <w:top w:val="none" w:sz="0" w:space="0" w:color="auto"/>
                                <w:left w:val="none" w:sz="0" w:space="0" w:color="auto"/>
                                <w:bottom w:val="none" w:sz="0" w:space="0" w:color="auto"/>
                                <w:right w:val="none" w:sz="0" w:space="0" w:color="auto"/>
                              </w:divBdr>
                              <w:divsChild>
                                <w:div w:id="1101728617">
                                  <w:marLeft w:val="0"/>
                                  <w:marRight w:val="0"/>
                                  <w:marTop w:val="0"/>
                                  <w:marBottom w:val="0"/>
                                  <w:divBdr>
                                    <w:top w:val="none" w:sz="0" w:space="0" w:color="auto"/>
                                    <w:left w:val="none" w:sz="0" w:space="0" w:color="auto"/>
                                    <w:bottom w:val="none" w:sz="0" w:space="0" w:color="auto"/>
                                    <w:right w:val="none" w:sz="0" w:space="0" w:color="auto"/>
                                  </w:divBdr>
                                </w:div>
                              </w:divsChild>
                            </w:div>
                            <w:div w:id="1151479263">
                              <w:marLeft w:val="0"/>
                              <w:marRight w:val="0"/>
                              <w:marTop w:val="0"/>
                              <w:marBottom w:val="0"/>
                              <w:divBdr>
                                <w:top w:val="none" w:sz="0" w:space="0" w:color="auto"/>
                                <w:left w:val="none" w:sz="0" w:space="0" w:color="auto"/>
                                <w:bottom w:val="none" w:sz="0" w:space="0" w:color="auto"/>
                                <w:right w:val="none" w:sz="0" w:space="0" w:color="auto"/>
                              </w:divBdr>
                              <w:divsChild>
                                <w:div w:id="1800411413">
                                  <w:marLeft w:val="0"/>
                                  <w:marRight w:val="0"/>
                                  <w:marTop w:val="0"/>
                                  <w:marBottom w:val="0"/>
                                  <w:divBdr>
                                    <w:top w:val="none" w:sz="0" w:space="0" w:color="auto"/>
                                    <w:left w:val="none" w:sz="0" w:space="0" w:color="auto"/>
                                    <w:bottom w:val="none" w:sz="0" w:space="0" w:color="auto"/>
                                    <w:right w:val="none" w:sz="0" w:space="0" w:color="auto"/>
                                  </w:divBdr>
                                  <w:divsChild>
                                    <w:div w:id="493954524">
                                      <w:marLeft w:val="0"/>
                                      <w:marRight w:val="0"/>
                                      <w:marTop w:val="0"/>
                                      <w:marBottom w:val="0"/>
                                      <w:divBdr>
                                        <w:top w:val="none" w:sz="0" w:space="0" w:color="auto"/>
                                        <w:left w:val="none" w:sz="0" w:space="0" w:color="auto"/>
                                        <w:bottom w:val="none" w:sz="0" w:space="0" w:color="auto"/>
                                        <w:right w:val="none" w:sz="0" w:space="0" w:color="auto"/>
                                      </w:divBdr>
                                      <w:divsChild>
                                        <w:div w:id="1674528200">
                                          <w:marLeft w:val="0"/>
                                          <w:marRight w:val="0"/>
                                          <w:marTop w:val="120"/>
                                          <w:marBottom w:val="0"/>
                                          <w:divBdr>
                                            <w:top w:val="none" w:sz="0" w:space="0" w:color="auto"/>
                                            <w:left w:val="none" w:sz="0" w:space="0" w:color="auto"/>
                                            <w:bottom w:val="none" w:sz="0" w:space="0" w:color="auto"/>
                                            <w:right w:val="none" w:sz="0" w:space="0" w:color="auto"/>
                                          </w:divBdr>
                                        </w:div>
                                        <w:div w:id="518471255">
                                          <w:marLeft w:val="0"/>
                                          <w:marRight w:val="0"/>
                                          <w:marTop w:val="0"/>
                                          <w:marBottom w:val="0"/>
                                          <w:divBdr>
                                            <w:top w:val="none" w:sz="0" w:space="0" w:color="auto"/>
                                            <w:left w:val="none" w:sz="0" w:space="0" w:color="auto"/>
                                            <w:bottom w:val="none" w:sz="0" w:space="0" w:color="auto"/>
                                            <w:right w:val="none" w:sz="0" w:space="0" w:color="auto"/>
                                          </w:divBdr>
                                        </w:div>
                                      </w:divsChild>
                                    </w:div>
                                    <w:div w:id="1362170744">
                                      <w:marLeft w:val="0"/>
                                      <w:marRight w:val="0"/>
                                      <w:marTop w:val="0"/>
                                      <w:marBottom w:val="0"/>
                                      <w:divBdr>
                                        <w:top w:val="none" w:sz="0" w:space="0" w:color="auto"/>
                                        <w:left w:val="none" w:sz="0" w:space="0" w:color="auto"/>
                                        <w:bottom w:val="none" w:sz="0" w:space="0" w:color="auto"/>
                                        <w:right w:val="none" w:sz="0" w:space="0" w:color="auto"/>
                                      </w:divBdr>
                                      <w:divsChild>
                                        <w:div w:id="186409418">
                                          <w:marLeft w:val="0"/>
                                          <w:marRight w:val="0"/>
                                          <w:marTop w:val="120"/>
                                          <w:marBottom w:val="0"/>
                                          <w:divBdr>
                                            <w:top w:val="none" w:sz="0" w:space="0" w:color="auto"/>
                                            <w:left w:val="none" w:sz="0" w:space="0" w:color="auto"/>
                                            <w:bottom w:val="none" w:sz="0" w:space="0" w:color="auto"/>
                                            <w:right w:val="none" w:sz="0" w:space="0" w:color="auto"/>
                                          </w:divBdr>
                                        </w:div>
                                        <w:div w:id="7345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898799">
                          <w:marLeft w:val="0"/>
                          <w:marRight w:val="0"/>
                          <w:marTop w:val="0"/>
                          <w:marBottom w:val="0"/>
                          <w:divBdr>
                            <w:top w:val="none" w:sz="0" w:space="0" w:color="auto"/>
                            <w:left w:val="none" w:sz="0" w:space="0" w:color="auto"/>
                            <w:bottom w:val="none" w:sz="0" w:space="0" w:color="auto"/>
                            <w:right w:val="none" w:sz="0" w:space="0" w:color="auto"/>
                          </w:divBdr>
                          <w:divsChild>
                            <w:div w:id="1099594776">
                              <w:marLeft w:val="0"/>
                              <w:marRight w:val="0"/>
                              <w:marTop w:val="0"/>
                              <w:marBottom w:val="0"/>
                              <w:divBdr>
                                <w:top w:val="none" w:sz="0" w:space="0" w:color="auto"/>
                                <w:left w:val="none" w:sz="0" w:space="0" w:color="auto"/>
                                <w:bottom w:val="none" w:sz="0" w:space="0" w:color="auto"/>
                                <w:right w:val="none" w:sz="0" w:space="0" w:color="auto"/>
                              </w:divBdr>
                            </w:div>
                            <w:div w:id="897861217">
                              <w:marLeft w:val="0"/>
                              <w:marRight w:val="0"/>
                              <w:marTop w:val="0"/>
                              <w:marBottom w:val="0"/>
                              <w:divBdr>
                                <w:top w:val="none" w:sz="0" w:space="0" w:color="auto"/>
                                <w:left w:val="none" w:sz="0" w:space="0" w:color="auto"/>
                                <w:bottom w:val="none" w:sz="0" w:space="0" w:color="auto"/>
                                <w:right w:val="none" w:sz="0" w:space="0" w:color="auto"/>
                              </w:divBdr>
                              <w:divsChild>
                                <w:div w:id="1438140699">
                                  <w:marLeft w:val="0"/>
                                  <w:marRight w:val="0"/>
                                  <w:marTop w:val="0"/>
                                  <w:marBottom w:val="0"/>
                                  <w:divBdr>
                                    <w:top w:val="none" w:sz="0" w:space="0" w:color="auto"/>
                                    <w:left w:val="none" w:sz="0" w:space="0" w:color="auto"/>
                                    <w:bottom w:val="none" w:sz="0" w:space="0" w:color="auto"/>
                                    <w:right w:val="none" w:sz="0" w:space="0" w:color="auto"/>
                                  </w:divBdr>
                                </w:div>
                              </w:divsChild>
                            </w:div>
                            <w:div w:id="306126259">
                              <w:marLeft w:val="0"/>
                              <w:marRight w:val="0"/>
                              <w:marTop w:val="0"/>
                              <w:marBottom w:val="0"/>
                              <w:divBdr>
                                <w:top w:val="none" w:sz="0" w:space="0" w:color="auto"/>
                                <w:left w:val="none" w:sz="0" w:space="0" w:color="auto"/>
                                <w:bottom w:val="none" w:sz="0" w:space="0" w:color="auto"/>
                                <w:right w:val="none" w:sz="0" w:space="0" w:color="auto"/>
                              </w:divBdr>
                              <w:divsChild>
                                <w:div w:id="648443629">
                                  <w:marLeft w:val="0"/>
                                  <w:marRight w:val="0"/>
                                  <w:marTop w:val="0"/>
                                  <w:marBottom w:val="0"/>
                                  <w:divBdr>
                                    <w:top w:val="none" w:sz="0" w:space="0" w:color="auto"/>
                                    <w:left w:val="none" w:sz="0" w:space="0" w:color="auto"/>
                                    <w:bottom w:val="none" w:sz="0" w:space="0" w:color="auto"/>
                                    <w:right w:val="none" w:sz="0" w:space="0" w:color="auto"/>
                                  </w:divBdr>
                                </w:div>
                              </w:divsChild>
                            </w:div>
                            <w:div w:id="234512082">
                              <w:marLeft w:val="0"/>
                              <w:marRight w:val="0"/>
                              <w:marTop w:val="0"/>
                              <w:marBottom w:val="0"/>
                              <w:divBdr>
                                <w:top w:val="none" w:sz="0" w:space="0" w:color="auto"/>
                                <w:left w:val="none" w:sz="0" w:space="0" w:color="auto"/>
                                <w:bottom w:val="none" w:sz="0" w:space="0" w:color="auto"/>
                                <w:right w:val="none" w:sz="0" w:space="0" w:color="auto"/>
                              </w:divBdr>
                              <w:divsChild>
                                <w:div w:id="1861695557">
                                  <w:marLeft w:val="0"/>
                                  <w:marRight w:val="0"/>
                                  <w:marTop w:val="120"/>
                                  <w:marBottom w:val="0"/>
                                  <w:divBdr>
                                    <w:top w:val="none" w:sz="0" w:space="0" w:color="auto"/>
                                    <w:left w:val="none" w:sz="0" w:space="0" w:color="auto"/>
                                    <w:bottom w:val="none" w:sz="0" w:space="0" w:color="auto"/>
                                    <w:right w:val="none" w:sz="0" w:space="0" w:color="auto"/>
                                  </w:divBdr>
                                </w:div>
                                <w:div w:id="1264996034">
                                  <w:marLeft w:val="0"/>
                                  <w:marRight w:val="0"/>
                                  <w:marTop w:val="0"/>
                                  <w:marBottom w:val="0"/>
                                  <w:divBdr>
                                    <w:top w:val="none" w:sz="0" w:space="0" w:color="auto"/>
                                    <w:left w:val="none" w:sz="0" w:space="0" w:color="auto"/>
                                    <w:bottom w:val="none" w:sz="0" w:space="0" w:color="auto"/>
                                    <w:right w:val="none" w:sz="0" w:space="0" w:color="auto"/>
                                  </w:divBdr>
                                </w:div>
                              </w:divsChild>
                            </w:div>
                            <w:div w:id="1882670843">
                              <w:marLeft w:val="0"/>
                              <w:marRight w:val="0"/>
                              <w:marTop w:val="0"/>
                              <w:marBottom w:val="0"/>
                              <w:divBdr>
                                <w:top w:val="none" w:sz="0" w:space="0" w:color="auto"/>
                                <w:left w:val="none" w:sz="0" w:space="0" w:color="auto"/>
                                <w:bottom w:val="none" w:sz="0" w:space="0" w:color="auto"/>
                                <w:right w:val="none" w:sz="0" w:space="0" w:color="auto"/>
                              </w:divBdr>
                              <w:divsChild>
                                <w:div w:id="1076436376">
                                  <w:marLeft w:val="0"/>
                                  <w:marRight w:val="0"/>
                                  <w:marTop w:val="120"/>
                                  <w:marBottom w:val="0"/>
                                  <w:divBdr>
                                    <w:top w:val="none" w:sz="0" w:space="0" w:color="auto"/>
                                    <w:left w:val="none" w:sz="0" w:space="0" w:color="auto"/>
                                    <w:bottom w:val="none" w:sz="0" w:space="0" w:color="auto"/>
                                    <w:right w:val="none" w:sz="0" w:space="0" w:color="auto"/>
                                  </w:divBdr>
                                </w:div>
                                <w:div w:id="1761754643">
                                  <w:marLeft w:val="0"/>
                                  <w:marRight w:val="0"/>
                                  <w:marTop w:val="0"/>
                                  <w:marBottom w:val="0"/>
                                  <w:divBdr>
                                    <w:top w:val="none" w:sz="0" w:space="0" w:color="auto"/>
                                    <w:left w:val="none" w:sz="0" w:space="0" w:color="auto"/>
                                    <w:bottom w:val="none" w:sz="0" w:space="0" w:color="auto"/>
                                    <w:right w:val="none" w:sz="0" w:space="0" w:color="auto"/>
                                  </w:divBdr>
                                </w:div>
                              </w:divsChild>
                            </w:div>
                            <w:div w:id="311956734">
                              <w:marLeft w:val="0"/>
                              <w:marRight w:val="0"/>
                              <w:marTop w:val="0"/>
                              <w:marBottom w:val="0"/>
                              <w:divBdr>
                                <w:top w:val="none" w:sz="0" w:space="0" w:color="auto"/>
                                <w:left w:val="none" w:sz="0" w:space="0" w:color="auto"/>
                                <w:bottom w:val="none" w:sz="0" w:space="0" w:color="auto"/>
                                <w:right w:val="none" w:sz="0" w:space="0" w:color="auto"/>
                              </w:divBdr>
                              <w:divsChild>
                                <w:div w:id="951665442">
                                  <w:marLeft w:val="0"/>
                                  <w:marRight w:val="0"/>
                                  <w:marTop w:val="120"/>
                                  <w:marBottom w:val="0"/>
                                  <w:divBdr>
                                    <w:top w:val="none" w:sz="0" w:space="0" w:color="auto"/>
                                    <w:left w:val="none" w:sz="0" w:space="0" w:color="auto"/>
                                    <w:bottom w:val="none" w:sz="0" w:space="0" w:color="auto"/>
                                    <w:right w:val="none" w:sz="0" w:space="0" w:color="auto"/>
                                  </w:divBdr>
                                </w:div>
                                <w:div w:id="140968393">
                                  <w:marLeft w:val="0"/>
                                  <w:marRight w:val="0"/>
                                  <w:marTop w:val="0"/>
                                  <w:marBottom w:val="0"/>
                                  <w:divBdr>
                                    <w:top w:val="none" w:sz="0" w:space="0" w:color="auto"/>
                                    <w:left w:val="none" w:sz="0" w:space="0" w:color="auto"/>
                                    <w:bottom w:val="none" w:sz="0" w:space="0" w:color="auto"/>
                                    <w:right w:val="none" w:sz="0" w:space="0" w:color="auto"/>
                                  </w:divBdr>
                                </w:div>
                              </w:divsChild>
                            </w:div>
                            <w:div w:id="402797129">
                              <w:marLeft w:val="0"/>
                              <w:marRight w:val="0"/>
                              <w:marTop w:val="0"/>
                              <w:marBottom w:val="0"/>
                              <w:divBdr>
                                <w:top w:val="none" w:sz="0" w:space="0" w:color="auto"/>
                                <w:left w:val="none" w:sz="0" w:space="0" w:color="auto"/>
                                <w:bottom w:val="none" w:sz="0" w:space="0" w:color="auto"/>
                                <w:right w:val="none" w:sz="0" w:space="0" w:color="auto"/>
                              </w:divBdr>
                              <w:divsChild>
                                <w:div w:id="710955912">
                                  <w:marLeft w:val="0"/>
                                  <w:marRight w:val="0"/>
                                  <w:marTop w:val="0"/>
                                  <w:marBottom w:val="0"/>
                                  <w:divBdr>
                                    <w:top w:val="none" w:sz="0" w:space="0" w:color="auto"/>
                                    <w:left w:val="none" w:sz="0" w:space="0" w:color="auto"/>
                                    <w:bottom w:val="none" w:sz="0" w:space="0" w:color="auto"/>
                                    <w:right w:val="none" w:sz="0" w:space="0" w:color="auto"/>
                                  </w:divBdr>
                                  <w:divsChild>
                                    <w:div w:id="1270356216">
                                      <w:marLeft w:val="0"/>
                                      <w:marRight w:val="0"/>
                                      <w:marTop w:val="0"/>
                                      <w:marBottom w:val="0"/>
                                      <w:divBdr>
                                        <w:top w:val="none" w:sz="0" w:space="0" w:color="auto"/>
                                        <w:left w:val="none" w:sz="0" w:space="0" w:color="auto"/>
                                        <w:bottom w:val="none" w:sz="0" w:space="0" w:color="auto"/>
                                        <w:right w:val="none" w:sz="0" w:space="0" w:color="auto"/>
                                      </w:divBdr>
                                      <w:divsChild>
                                        <w:div w:id="1720547614">
                                          <w:marLeft w:val="0"/>
                                          <w:marRight w:val="0"/>
                                          <w:marTop w:val="120"/>
                                          <w:marBottom w:val="0"/>
                                          <w:divBdr>
                                            <w:top w:val="none" w:sz="0" w:space="0" w:color="auto"/>
                                            <w:left w:val="none" w:sz="0" w:space="0" w:color="auto"/>
                                            <w:bottom w:val="none" w:sz="0" w:space="0" w:color="auto"/>
                                            <w:right w:val="none" w:sz="0" w:space="0" w:color="auto"/>
                                          </w:divBdr>
                                        </w:div>
                                        <w:div w:id="550507423">
                                          <w:marLeft w:val="0"/>
                                          <w:marRight w:val="0"/>
                                          <w:marTop w:val="0"/>
                                          <w:marBottom w:val="0"/>
                                          <w:divBdr>
                                            <w:top w:val="none" w:sz="0" w:space="0" w:color="auto"/>
                                            <w:left w:val="none" w:sz="0" w:space="0" w:color="auto"/>
                                            <w:bottom w:val="none" w:sz="0" w:space="0" w:color="auto"/>
                                            <w:right w:val="none" w:sz="0" w:space="0" w:color="auto"/>
                                          </w:divBdr>
                                        </w:div>
                                      </w:divsChild>
                                    </w:div>
                                    <w:div w:id="1803691455">
                                      <w:marLeft w:val="0"/>
                                      <w:marRight w:val="0"/>
                                      <w:marTop w:val="0"/>
                                      <w:marBottom w:val="0"/>
                                      <w:divBdr>
                                        <w:top w:val="none" w:sz="0" w:space="0" w:color="auto"/>
                                        <w:left w:val="none" w:sz="0" w:space="0" w:color="auto"/>
                                        <w:bottom w:val="none" w:sz="0" w:space="0" w:color="auto"/>
                                        <w:right w:val="none" w:sz="0" w:space="0" w:color="auto"/>
                                      </w:divBdr>
                                      <w:divsChild>
                                        <w:div w:id="1601987753">
                                          <w:marLeft w:val="0"/>
                                          <w:marRight w:val="0"/>
                                          <w:marTop w:val="120"/>
                                          <w:marBottom w:val="0"/>
                                          <w:divBdr>
                                            <w:top w:val="none" w:sz="0" w:space="0" w:color="auto"/>
                                            <w:left w:val="none" w:sz="0" w:space="0" w:color="auto"/>
                                            <w:bottom w:val="none" w:sz="0" w:space="0" w:color="auto"/>
                                            <w:right w:val="none" w:sz="0" w:space="0" w:color="auto"/>
                                          </w:divBdr>
                                        </w:div>
                                        <w:div w:id="126943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904263">
                              <w:marLeft w:val="0"/>
                              <w:marRight w:val="0"/>
                              <w:marTop w:val="0"/>
                              <w:marBottom w:val="0"/>
                              <w:divBdr>
                                <w:top w:val="none" w:sz="0" w:space="0" w:color="auto"/>
                                <w:left w:val="none" w:sz="0" w:space="0" w:color="auto"/>
                                <w:bottom w:val="none" w:sz="0" w:space="0" w:color="auto"/>
                                <w:right w:val="none" w:sz="0" w:space="0" w:color="auto"/>
                              </w:divBdr>
                              <w:divsChild>
                                <w:div w:id="848833818">
                                  <w:marLeft w:val="0"/>
                                  <w:marRight w:val="0"/>
                                  <w:marTop w:val="0"/>
                                  <w:marBottom w:val="0"/>
                                  <w:divBdr>
                                    <w:top w:val="none" w:sz="0" w:space="0" w:color="auto"/>
                                    <w:left w:val="none" w:sz="0" w:space="0" w:color="auto"/>
                                    <w:bottom w:val="none" w:sz="0" w:space="0" w:color="auto"/>
                                    <w:right w:val="none" w:sz="0" w:space="0" w:color="auto"/>
                                  </w:divBdr>
                                </w:div>
                              </w:divsChild>
                            </w:div>
                            <w:div w:id="992490706">
                              <w:marLeft w:val="0"/>
                              <w:marRight w:val="0"/>
                              <w:marTop w:val="0"/>
                              <w:marBottom w:val="0"/>
                              <w:divBdr>
                                <w:top w:val="none" w:sz="0" w:space="0" w:color="auto"/>
                                <w:left w:val="none" w:sz="0" w:space="0" w:color="auto"/>
                                <w:bottom w:val="none" w:sz="0" w:space="0" w:color="auto"/>
                                <w:right w:val="none" w:sz="0" w:space="0" w:color="auto"/>
                              </w:divBdr>
                              <w:divsChild>
                                <w:div w:id="172918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47265">
                          <w:marLeft w:val="0"/>
                          <w:marRight w:val="0"/>
                          <w:marTop w:val="0"/>
                          <w:marBottom w:val="0"/>
                          <w:divBdr>
                            <w:top w:val="none" w:sz="0" w:space="0" w:color="auto"/>
                            <w:left w:val="none" w:sz="0" w:space="0" w:color="auto"/>
                            <w:bottom w:val="none" w:sz="0" w:space="0" w:color="auto"/>
                            <w:right w:val="none" w:sz="0" w:space="0" w:color="auto"/>
                          </w:divBdr>
                          <w:divsChild>
                            <w:div w:id="1228147059">
                              <w:marLeft w:val="0"/>
                              <w:marRight w:val="0"/>
                              <w:marTop w:val="0"/>
                              <w:marBottom w:val="0"/>
                              <w:divBdr>
                                <w:top w:val="none" w:sz="0" w:space="0" w:color="auto"/>
                                <w:left w:val="none" w:sz="0" w:space="0" w:color="auto"/>
                                <w:bottom w:val="none" w:sz="0" w:space="0" w:color="auto"/>
                                <w:right w:val="none" w:sz="0" w:space="0" w:color="auto"/>
                              </w:divBdr>
                            </w:div>
                            <w:div w:id="91441928">
                              <w:marLeft w:val="0"/>
                              <w:marRight w:val="0"/>
                              <w:marTop w:val="0"/>
                              <w:marBottom w:val="0"/>
                              <w:divBdr>
                                <w:top w:val="none" w:sz="0" w:space="0" w:color="auto"/>
                                <w:left w:val="none" w:sz="0" w:space="0" w:color="auto"/>
                                <w:bottom w:val="none" w:sz="0" w:space="0" w:color="auto"/>
                                <w:right w:val="none" w:sz="0" w:space="0" w:color="auto"/>
                              </w:divBdr>
                              <w:divsChild>
                                <w:div w:id="1366172725">
                                  <w:marLeft w:val="0"/>
                                  <w:marRight w:val="0"/>
                                  <w:marTop w:val="0"/>
                                  <w:marBottom w:val="0"/>
                                  <w:divBdr>
                                    <w:top w:val="none" w:sz="0" w:space="0" w:color="auto"/>
                                    <w:left w:val="none" w:sz="0" w:space="0" w:color="auto"/>
                                    <w:bottom w:val="none" w:sz="0" w:space="0" w:color="auto"/>
                                    <w:right w:val="none" w:sz="0" w:space="0" w:color="auto"/>
                                  </w:divBdr>
                                  <w:divsChild>
                                    <w:div w:id="292951063">
                                      <w:marLeft w:val="0"/>
                                      <w:marRight w:val="0"/>
                                      <w:marTop w:val="0"/>
                                      <w:marBottom w:val="0"/>
                                      <w:divBdr>
                                        <w:top w:val="none" w:sz="0" w:space="0" w:color="auto"/>
                                        <w:left w:val="none" w:sz="0" w:space="0" w:color="auto"/>
                                        <w:bottom w:val="none" w:sz="0" w:space="0" w:color="auto"/>
                                        <w:right w:val="none" w:sz="0" w:space="0" w:color="auto"/>
                                      </w:divBdr>
                                      <w:divsChild>
                                        <w:div w:id="380399785">
                                          <w:marLeft w:val="0"/>
                                          <w:marRight w:val="0"/>
                                          <w:marTop w:val="120"/>
                                          <w:marBottom w:val="0"/>
                                          <w:divBdr>
                                            <w:top w:val="none" w:sz="0" w:space="0" w:color="auto"/>
                                            <w:left w:val="none" w:sz="0" w:space="0" w:color="auto"/>
                                            <w:bottom w:val="none" w:sz="0" w:space="0" w:color="auto"/>
                                            <w:right w:val="none" w:sz="0" w:space="0" w:color="auto"/>
                                          </w:divBdr>
                                        </w:div>
                                        <w:div w:id="450437299">
                                          <w:marLeft w:val="0"/>
                                          <w:marRight w:val="0"/>
                                          <w:marTop w:val="0"/>
                                          <w:marBottom w:val="0"/>
                                          <w:divBdr>
                                            <w:top w:val="none" w:sz="0" w:space="0" w:color="auto"/>
                                            <w:left w:val="none" w:sz="0" w:space="0" w:color="auto"/>
                                            <w:bottom w:val="none" w:sz="0" w:space="0" w:color="auto"/>
                                            <w:right w:val="none" w:sz="0" w:space="0" w:color="auto"/>
                                          </w:divBdr>
                                        </w:div>
                                      </w:divsChild>
                                    </w:div>
                                    <w:div w:id="938416215">
                                      <w:marLeft w:val="0"/>
                                      <w:marRight w:val="0"/>
                                      <w:marTop w:val="0"/>
                                      <w:marBottom w:val="0"/>
                                      <w:divBdr>
                                        <w:top w:val="none" w:sz="0" w:space="0" w:color="auto"/>
                                        <w:left w:val="none" w:sz="0" w:space="0" w:color="auto"/>
                                        <w:bottom w:val="none" w:sz="0" w:space="0" w:color="auto"/>
                                        <w:right w:val="none" w:sz="0" w:space="0" w:color="auto"/>
                                      </w:divBdr>
                                      <w:divsChild>
                                        <w:div w:id="859588024">
                                          <w:marLeft w:val="0"/>
                                          <w:marRight w:val="0"/>
                                          <w:marTop w:val="120"/>
                                          <w:marBottom w:val="0"/>
                                          <w:divBdr>
                                            <w:top w:val="none" w:sz="0" w:space="0" w:color="auto"/>
                                            <w:left w:val="none" w:sz="0" w:space="0" w:color="auto"/>
                                            <w:bottom w:val="none" w:sz="0" w:space="0" w:color="auto"/>
                                            <w:right w:val="none" w:sz="0" w:space="0" w:color="auto"/>
                                          </w:divBdr>
                                        </w:div>
                                        <w:div w:id="97271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79220">
                              <w:marLeft w:val="0"/>
                              <w:marRight w:val="0"/>
                              <w:marTop w:val="0"/>
                              <w:marBottom w:val="0"/>
                              <w:divBdr>
                                <w:top w:val="none" w:sz="0" w:space="0" w:color="auto"/>
                                <w:left w:val="none" w:sz="0" w:space="0" w:color="auto"/>
                                <w:bottom w:val="none" w:sz="0" w:space="0" w:color="auto"/>
                                <w:right w:val="none" w:sz="0" w:space="0" w:color="auto"/>
                              </w:divBdr>
                              <w:divsChild>
                                <w:div w:id="2121483996">
                                  <w:marLeft w:val="0"/>
                                  <w:marRight w:val="0"/>
                                  <w:marTop w:val="0"/>
                                  <w:marBottom w:val="0"/>
                                  <w:divBdr>
                                    <w:top w:val="none" w:sz="0" w:space="0" w:color="auto"/>
                                    <w:left w:val="none" w:sz="0" w:space="0" w:color="auto"/>
                                    <w:bottom w:val="none" w:sz="0" w:space="0" w:color="auto"/>
                                    <w:right w:val="none" w:sz="0" w:space="0" w:color="auto"/>
                                  </w:divBdr>
                                </w:div>
                              </w:divsChild>
                            </w:div>
                            <w:div w:id="1683823811">
                              <w:marLeft w:val="0"/>
                              <w:marRight w:val="0"/>
                              <w:marTop w:val="0"/>
                              <w:marBottom w:val="0"/>
                              <w:divBdr>
                                <w:top w:val="none" w:sz="0" w:space="0" w:color="auto"/>
                                <w:left w:val="none" w:sz="0" w:space="0" w:color="auto"/>
                                <w:bottom w:val="none" w:sz="0" w:space="0" w:color="auto"/>
                                <w:right w:val="none" w:sz="0" w:space="0" w:color="auto"/>
                              </w:divBdr>
                              <w:divsChild>
                                <w:div w:id="713970713">
                                  <w:marLeft w:val="0"/>
                                  <w:marRight w:val="0"/>
                                  <w:marTop w:val="0"/>
                                  <w:marBottom w:val="0"/>
                                  <w:divBdr>
                                    <w:top w:val="none" w:sz="0" w:space="0" w:color="auto"/>
                                    <w:left w:val="none" w:sz="0" w:space="0" w:color="auto"/>
                                    <w:bottom w:val="none" w:sz="0" w:space="0" w:color="auto"/>
                                    <w:right w:val="none" w:sz="0" w:space="0" w:color="auto"/>
                                  </w:divBdr>
                                </w:div>
                              </w:divsChild>
                            </w:div>
                            <w:div w:id="1543250936">
                              <w:marLeft w:val="0"/>
                              <w:marRight w:val="0"/>
                              <w:marTop w:val="0"/>
                              <w:marBottom w:val="0"/>
                              <w:divBdr>
                                <w:top w:val="none" w:sz="0" w:space="0" w:color="auto"/>
                                <w:left w:val="none" w:sz="0" w:space="0" w:color="auto"/>
                                <w:bottom w:val="none" w:sz="0" w:space="0" w:color="auto"/>
                                <w:right w:val="none" w:sz="0" w:space="0" w:color="auto"/>
                              </w:divBdr>
                              <w:divsChild>
                                <w:div w:id="717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51030">
                      <w:marLeft w:val="0"/>
                      <w:marRight w:val="0"/>
                      <w:marTop w:val="0"/>
                      <w:marBottom w:val="0"/>
                      <w:divBdr>
                        <w:top w:val="none" w:sz="0" w:space="0" w:color="auto"/>
                        <w:left w:val="none" w:sz="0" w:space="0" w:color="auto"/>
                        <w:bottom w:val="none" w:sz="0" w:space="0" w:color="auto"/>
                        <w:right w:val="none" w:sz="0" w:space="0" w:color="auto"/>
                      </w:divBdr>
                      <w:divsChild>
                        <w:div w:id="744762796">
                          <w:marLeft w:val="0"/>
                          <w:marRight w:val="0"/>
                          <w:marTop w:val="0"/>
                          <w:marBottom w:val="0"/>
                          <w:divBdr>
                            <w:top w:val="none" w:sz="0" w:space="0" w:color="auto"/>
                            <w:left w:val="none" w:sz="0" w:space="0" w:color="auto"/>
                            <w:bottom w:val="none" w:sz="0" w:space="0" w:color="auto"/>
                            <w:right w:val="none" w:sz="0" w:space="0" w:color="auto"/>
                          </w:divBdr>
                          <w:divsChild>
                            <w:div w:id="151875958">
                              <w:marLeft w:val="0"/>
                              <w:marRight w:val="0"/>
                              <w:marTop w:val="0"/>
                              <w:marBottom w:val="0"/>
                              <w:divBdr>
                                <w:top w:val="none" w:sz="0" w:space="0" w:color="auto"/>
                                <w:left w:val="none" w:sz="0" w:space="0" w:color="auto"/>
                                <w:bottom w:val="none" w:sz="0" w:space="0" w:color="auto"/>
                                <w:right w:val="none" w:sz="0" w:space="0" w:color="auto"/>
                              </w:divBdr>
                            </w:div>
                            <w:div w:id="1724326863">
                              <w:marLeft w:val="0"/>
                              <w:marRight w:val="0"/>
                              <w:marTop w:val="0"/>
                              <w:marBottom w:val="0"/>
                              <w:divBdr>
                                <w:top w:val="none" w:sz="0" w:space="0" w:color="auto"/>
                                <w:left w:val="none" w:sz="0" w:space="0" w:color="auto"/>
                                <w:bottom w:val="none" w:sz="0" w:space="0" w:color="auto"/>
                                <w:right w:val="none" w:sz="0" w:space="0" w:color="auto"/>
                              </w:divBdr>
                              <w:divsChild>
                                <w:div w:id="1973123670">
                                  <w:marLeft w:val="0"/>
                                  <w:marRight w:val="0"/>
                                  <w:marTop w:val="120"/>
                                  <w:marBottom w:val="0"/>
                                  <w:divBdr>
                                    <w:top w:val="none" w:sz="0" w:space="0" w:color="auto"/>
                                    <w:left w:val="none" w:sz="0" w:space="0" w:color="auto"/>
                                    <w:bottom w:val="none" w:sz="0" w:space="0" w:color="auto"/>
                                    <w:right w:val="none" w:sz="0" w:space="0" w:color="auto"/>
                                  </w:divBdr>
                                </w:div>
                                <w:div w:id="1878158426">
                                  <w:marLeft w:val="0"/>
                                  <w:marRight w:val="0"/>
                                  <w:marTop w:val="0"/>
                                  <w:marBottom w:val="0"/>
                                  <w:divBdr>
                                    <w:top w:val="none" w:sz="0" w:space="0" w:color="auto"/>
                                    <w:left w:val="none" w:sz="0" w:space="0" w:color="auto"/>
                                    <w:bottom w:val="none" w:sz="0" w:space="0" w:color="auto"/>
                                    <w:right w:val="none" w:sz="0" w:space="0" w:color="auto"/>
                                  </w:divBdr>
                                </w:div>
                              </w:divsChild>
                            </w:div>
                            <w:div w:id="1280380703">
                              <w:marLeft w:val="0"/>
                              <w:marRight w:val="0"/>
                              <w:marTop w:val="0"/>
                              <w:marBottom w:val="0"/>
                              <w:divBdr>
                                <w:top w:val="none" w:sz="0" w:space="0" w:color="auto"/>
                                <w:left w:val="none" w:sz="0" w:space="0" w:color="auto"/>
                                <w:bottom w:val="none" w:sz="0" w:space="0" w:color="auto"/>
                                <w:right w:val="none" w:sz="0" w:space="0" w:color="auto"/>
                              </w:divBdr>
                              <w:divsChild>
                                <w:div w:id="1459564018">
                                  <w:marLeft w:val="0"/>
                                  <w:marRight w:val="0"/>
                                  <w:marTop w:val="120"/>
                                  <w:marBottom w:val="0"/>
                                  <w:divBdr>
                                    <w:top w:val="none" w:sz="0" w:space="0" w:color="auto"/>
                                    <w:left w:val="none" w:sz="0" w:space="0" w:color="auto"/>
                                    <w:bottom w:val="none" w:sz="0" w:space="0" w:color="auto"/>
                                    <w:right w:val="none" w:sz="0" w:space="0" w:color="auto"/>
                                  </w:divBdr>
                                </w:div>
                                <w:div w:id="82065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48916">
                          <w:marLeft w:val="0"/>
                          <w:marRight w:val="0"/>
                          <w:marTop w:val="0"/>
                          <w:marBottom w:val="0"/>
                          <w:divBdr>
                            <w:top w:val="none" w:sz="0" w:space="0" w:color="auto"/>
                            <w:left w:val="none" w:sz="0" w:space="0" w:color="auto"/>
                            <w:bottom w:val="none" w:sz="0" w:space="0" w:color="auto"/>
                            <w:right w:val="none" w:sz="0" w:space="0" w:color="auto"/>
                          </w:divBdr>
                          <w:divsChild>
                            <w:div w:id="672295297">
                              <w:marLeft w:val="0"/>
                              <w:marRight w:val="0"/>
                              <w:marTop w:val="0"/>
                              <w:marBottom w:val="0"/>
                              <w:divBdr>
                                <w:top w:val="none" w:sz="0" w:space="0" w:color="auto"/>
                                <w:left w:val="none" w:sz="0" w:space="0" w:color="auto"/>
                                <w:bottom w:val="none" w:sz="0" w:space="0" w:color="auto"/>
                                <w:right w:val="none" w:sz="0" w:space="0" w:color="auto"/>
                              </w:divBdr>
                            </w:div>
                            <w:div w:id="1066224622">
                              <w:marLeft w:val="0"/>
                              <w:marRight w:val="0"/>
                              <w:marTop w:val="0"/>
                              <w:marBottom w:val="0"/>
                              <w:divBdr>
                                <w:top w:val="none" w:sz="0" w:space="0" w:color="auto"/>
                                <w:left w:val="none" w:sz="0" w:space="0" w:color="auto"/>
                                <w:bottom w:val="none" w:sz="0" w:space="0" w:color="auto"/>
                                <w:right w:val="none" w:sz="0" w:space="0" w:color="auto"/>
                              </w:divBdr>
                              <w:divsChild>
                                <w:div w:id="268389566">
                                  <w:marLeft w:val="0"/>
                                  <w:marRight w:val="0"/>
                                  <w:marTop w:val="0"/>
                                  <w:marBottom w:val="0"/>
                                  <w:divBdr>
                                    <w:top w:val="none" w:sz="0" w:space="0" w:color="auto"/>
                                    <w:left w:val="none" w:sz="0" w:space="0" w:color="auto"/>
                                    <w:bottom w:val="none" w:sz="0" w:space="0" w:color="auto"/>
                                    <w:right w:val="none" w:sz="0" w:space="0" w:color="auto"/>
                                  </w:divBdr>
                                </w:div>
                              </w:divsChild>
                            </w:div>
                            <w:div w:id="627472011">
                              <w:marLeft w:val="0"/>
                              <w:marRight w:val="0"/>
                              <w:marTop w:val="0"/>
                              <w:marBottom w:val="0"/>
                              <w:divBdr>
                                <w:top w:val="none" w:sz="0" w:space="0" w:color="auto"/>
                                <w:left w:val="none" w:sz="0" w:space="0" w:color="auto"/>
                                <w:bottom w:val="none" w:sz="0" w:space="0" w:color="auto"/>
                                <w:right w:val="none" w:sz="0" w:space="0" w:color="auto"/>
                              </w:divBdr>
                              <w:divsChild>
                                <w:div w:id="1900822260">
                                  <w:marLeft w:val="0"/>
                                  <w:marRight w:val="0"/>
                                  <w:marTop w:val="0"/>
                                  <w:marBottom w:val="0"/>
                                  <w:divBdr>
                                    <w:top w:val="none" w:sz="0" w:space="0" w:color="auto"/>
                                    <w:left w:val="none" w:sz="0" w:space="0" w:color="auto"/>
                                    <w:bottom w:val="none" w:sz="0" w:space="0" w:color="auto"/>
                                    <w:right w:val="none" w:sz="0" w:space="0" w:color="auto"/>
                                  </w:divBdr>
                                  <w:divsChild>
                                    <w:div w:id="1751736553">
                                      <w:marLeft w:val="0"/>
                                      <w:marRight w:val="0"/>
                                      <w:marTop w:val="0"/>
                                      <w:marBottom w:val="0"/>
                                      <w:divBdr>
                                        <w:top w:val="none" w:sz="0" w:space="0" w:color="auto"/>
                                        <w:left w:val="none" w:sz="0" w:space="0" w:color="auto"/>
                                        <w:bottom w:val="none" w:sz="0" w:space="0" w:color="auto"/>
                                        <w:right w:val="none" w:sz="0" w:space="0" w:color="auto"/>
                                      </w:divBdr>
                                      <w:divsChild>
                                        <w:div w:id="130564286">
                                          <w:marLeft w:val="0"/>
                                          <w:marRight w:val="0"/>
                                          <w:marTop w:val="120"/>
                                          <w:marBottom w:val="0"/>
                                          <w:divBdr>
                                            <w:top w:val="none" w:sz="0" w:space="0" w:color="auto"/>
                                            <w:left w:val="none" w:sz="0" w:space="0" w:color="auto"/>
                                            <w:bottom w:val="none" w:sz="0" w:space="0" w:color="auto"/>
                                            <w:right w:val="none" w:sz="0" w:space="0" w:color="auto"/>
                                          </w:divBdr>
                                        </w:div>
                                        <w:div w:id="1441752841">
                                          <w:marLeft w:val="0"/>
                                          <w:marRight w:val="0"/>
                                          <w:marTop w:val="0"/>
                                          <w:marBottom w:val="0"/>
                                          <w:divBdr>
                                            <w:top w:val="none" w:sz="0" w:space="0" w:color="auto"/>
                                            <w:left w:val="none" w:sz="0" w:space="0" w:color="auto"/>
                                            <w:bottom w:val="none" w:sz="0" w:space="0" w:color="auto"/>
                                            <w:right w:val="none" w:sz="0" w:space="0" w:color="auto"/>
                                          </w:divBdr>
                                        </w:div>
                                      </w:divsChild>
                                    </w:div>
                                    <w:div w:id="834540970">
                                      <w:marLeft w:val="0"/>
                                      <w:marRight w:val="0"/>
                                      <w:marTop w:val="0"/>
                                      <w:marBottom w:val="0"/>
                                      <w:divBdr>
                                        <w:top w:val="none" w:sz="0" w:space="0" w:color="auto"/>
                                        <w:left w:val="none" w:sz="0" w:space="0" w:color="auto"/>
                                        <w:bottom w:val="none" w:sz="0" w:space="0" w:color="auto"/>
                                        <w:right w:val="none" w:sz="0" w:space="0" w:color="auto"/>
                                      </w:divBdr>
                                      <w:divsChild>
                                        <w:div w:id="1957179391">
                                          <w:marLeft w:val="0"/>
                                          <w:marRight w:val="0"/>
                                          <w:marTop w:val="120"/>
                                          <w:marBottom w:val="0"/>
                                          <w:divBdr>
                                            <w:top w:val="none" w:sz="0" w:space="0" w:color="auto"/>
                                            <w:left w:val="none" w:sz="0" w:space="0" w:color="auto"/>
                                            <w:bottom w:val="none" w:sz="0" w:space="0" w:color="auto"/>
                                            <w:right w:val="none" w:sz="0" w:space="0" w:color="auto"/>
                                          </w:divBdr>
                                        </w:div>
                                        <w:div w:id="1605729880">
                                          <w:marLeft w:val="0"/>
                                          <w:marRight w:val="0"/>
                                          <w:marTop w:val="0"/>
                                          <w:marBottom w:val="0"/>
                                          <w:divBdr>
                                            <w:top w:val="none" w:sz="0" w:space="0" w:color="auto"/>
                                            <w:left w:val="none" w:sz="0" w:space="0" w:color="auto"/>
                                            <w:bottom w:val="none" w:sz="0" w:space="0" w:color="auto"/>
                                            <w:right w:val="none" w:sz="0" w:space="0" w:color="auto"/>
                                          </w:divBdr>
                                        </w:div>
                                      </w:divsChild>
                                    </w:div>
                                    <w:div w:id="1219976862">
                                      <w:marLeft w:val="0"/>
                                      <w:marRight w:val="0"/>
                                      <w:marTop w:val="0"/>
                                      <w:marBottom w:val="0"/>
                                      <w:divBdr>
                                        <w:top w:val="none" w:sz="0" w:space="0" w:color="auto"/>
                                        <w:left w:val="none" w:sz="0" w:space="0" w:color="auto"/>
                                        <w:bottom w:val="none" w:sz="0" w:space="0" w:color="auto"/>
                                        <w:right w:val="none" w:sz="0" w:space="0" w:color="auto"/>
                                      </w:divBdr>
                                      <w:divsChild>
                                        <w:div w:id="796141108">
                                          <w:marLeft w:val="0"/>
                                          <w:marRight w:val="0"/>
                                          <w:marTop w:val="120"/>
                                          <w:marBottom w:val="0"/>
                                          <w:divBdr>
                                            <w:top w:val="none" w:sz="0" w:space="0" w:color="auto"/>
                                            <w:left w:val="none" w:sz="0" w:space="0" w:color="auto"/>
                                            <w:bottom w:val="none" w:sz="0" w:space="0" w:color="auto"/>
                                            <w:right w:val="none" w:sz="0" w:space="0" w:color="auto"/>
                                          </w:divBdr>
                                        </w:div>
                                        <w:div w:id="9949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11129">
                              <w:marLeft w:val="0"/>
                              <w:marRight w:val="0"/>
                              <w:marTop w:val="0"/>
                              <w:marBottom w:val="0"/>
                              <w:divBdr>
                                <w:top w:val="none" w:sz="0" w:space="0" w:color="auto"/>
                                <w:left w:val="none" w:sz="0" w:space="0" w:color="auto"/>
                                <w:bottom w:val="none" w:sz="0" w:space="0" w:color="auto"/>
                                <w:right w:val="none" w:sz="0" w:space="0" w:color="auto"/>
                              </w:divBdr>
                              <w:divsChild>
                                <w:div w:id="997418750">
                                  <w:marLeft w:val="0"/>
                                  <w:marRight w:val="0"/>
                                  <w:marTop w:val="0"/>
                                  <w:marBottom w:val="0"/>
                                  <w:divBdr>
                                    <w:top w:val="none" w:sz="0" w:space="0" w:color="auto"/>
                                    <w:left w:val="none" w:sz="0" w:space="0" w:color="auto"/>
                                    <w:bottom w:val="none" w:sz="0" w:space="0" w:color="auto"/>
                                    <w:right w:val="none" w:sz="0" w:space="0" w:color="auto"/>
                                  </w:divBdr>
                                  <w:divsChild>
                                    <w:div w:id="521208988">
                                      <w:marLeft w:val="0"/>
                                      <w:marRight w:val="0"/>
                                      <w:marTop w:val="0"/>
                                      <w:marBottom w:val="0"/>
                                      <w:divBdr>
                                        <w:top w:val="none" w:sz="0" w:space="0" w:color="auto"/>
                                        <w:left w:val="none" w:sz="0" w:space="0" w:color="auto"/>
                                        <w:bottom w:val="none" w:sz="0" w:space="0" w:color="auto"/>
                                        <w:right w:val="none" w:sz="0" w:space="0" w:color="auto"/>
                                      </w:divBdr>
                                      <w:divsChild>
                                        <w:div w:id="1343313922">
                                          <w:marLeft w:val="0"/>
                                          <w:marRight w:val="0"/>
                                          <w:marTop w:val="120"/>
                                          <w:marBottom w:val="0"/>
                                          <w:divBdr>
                                            <w:top w:val="none" w:sz="0" w:space="0" w:color="auto"/>
                                            <w:left w:val="none" w:sz="0" w:space="0" w:color="auto"/>
                                            <w:bottom w:val="none" w:sz="0" w:space="0" w:color="auto"/>
                                            <w:right w:val="none" w:sz="0" w:space="0" w:color="auto"/>
                                          </w:divBdr>
                                        </w:div>
                                        <w:div w:id="1524048682">
                                          <w:marLeft w:val="0"/>
                                          <w:marRight w:val="0"/>
                                          <w:marTop w:val="0"/>
                                          <w:marBottom w:val="0"/>
                                          <w:divBdr>
                                            <w:top w:val="none" w:sz="0" w:space="0" w:color="auto"/>
                                            <w:left w:val="none" w:sz="0" w:space="0" w:color="auto"/>
                                            <w:bottom w:val="none" w:sz="0" w:space="0" w:color="auto"/>
                                            <w:right w:val="none" w:sz="0" w:space="0" w:color="auto"/>
                                          </w:divBdr>
                                        </w:div>
                                      </w:divsChild>
                                    </w:div>
                                    <w:div w:id="1136337983">
                                      <w:marLeft w:val="0"/>
                                      <w:marRight w:val="0"/>
                                      <w:marTop w:val="0"/>
                                      <w:marBottom w:val="0"/>
                                      <w:divBdr>
                                        <w:top w:val="none" w:sz="0" w:space="0" w:color="auto"/>
                                        <w:left w:val="none" w:sz="0" w:space="0" w:color="auto"/>
                                        <w:bottom w:val="none" w:sz="0" w:space="0" w:color="auto"/>
                                        <w:right w:val="none" w:sz="0" w:space="0" w:color="auto"/>
                                      </w:divBdr>
                                      <w:divsChild>
                                        <w:div w:id="1618870358">
                                          <w:marLeft w:val="0"/>
                                          <w:marRight w:val="0"/>
                                          <w:marTop w:val="120"/>
                                          <w:marBottom w:val="0"/>
                                          <w:divBdr>
                                            <w:top w:val="none" w:sz="0" w:space="0" w:color="auto"/>
                                            <w:left w:val="none" w:sz="0" w:space="0" w:color="auto"/>
                                            <w:bottom w:val="none" w:sz="0" w:space="0" w:color="auto"/>
                                            <w:right w:val="none" w:sz="0" w:space="0" w:color="auto"/>
                                          </w:divBdr>
                                        </w:div>
                                        <w:div w:id="1665669080">
                                          <w:marLeft w:val="0"/>
                                          <w:marRight w:val="0"/>
                                          <w:marTop w:val="0"/>
                                          <w:marBottom w:val="0"/>
                                          <w:divBdr>
                                            <w:top w:val="none" w:sz="0" w:space="0" w:color="auto"/>
                                            <w:left w:val="none" w:sz="0" w:space="0" w:color="auto"/>
                                            <w:bottom w:val="none" w:sz="0" w:space="0" w:color="auto"/>
                                            <w:right w:val="none" w:sz="0" w:space="0" w:color="auto"/>
                                          </w:divBdr>
                                        </w:div>
                                      </w:divsChild>
                                    </w:div>
                                    <w:div w:id="1580672708">
                                      <w:marLeft w:val="0"/>
                                      <w:marRight w:val="0"/>
                                      <w:marTop w:val="0"/>
                                      <w:marBottom w:val="0"/>
                                      <w:divBdr>
                                        <w:top w:val="none" w:sz="0" w:space="0" w:color="auto"/>
                                        <w:left w:val="none" w:sz="0" w:space="0" w:color="auto"/>
                                        <w:bottom w:val="none" w:sz="0" w:space="0" w:color="auto"/>
                                        <w:right w:val="none" w:sz="0" w:space="0" w:color="auto"/>
                                      </w:divBdr>
                                      <w:divsChild>
                                        <w:div w:id="583683305">
                                          <w:marLeft w:val="0"/>
                                          <w:marRight w:val="0"/>
                                          <w:marTop w:val="120"/>
                                          <w:marBottom w:val="0"/>
                                          <w:divBdr>
                                            <w:top w:val="none" w:sz="0" w:space="0" w:color="auto"/>
                                            <w:left w:val="none" w:sz="0" w:space="0" w:color="auto"/>
                                            <w:bottom w:val="none" w:sz="0" w:space="0" w:color="auto"/>
                                            <w:right w:val="none" w:sz="0" w:space="0" w:color="auto"/>
                                          </w:divBdr>
                                        </w:div>
                                        <w:div w:id="3594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3825">
                              <w:marLeft w:val="0"/>
                              <w:marRight w:val="0"/>
                              <w:marTop w:val="0"/>
                              <w:marBottom w:val="0"/>
                              <w:divBdr>
                                <w:top w:val="none" w:sz="0" w:space="0" w:color="auto"/>
                                <w:left w:val="none" w:sz="0" w:space="0" w:color="auto"/>
                                <w:bottom w:val="none" w:sz="0" w:space="0" w:color="auto"/>
                                <w:right w:val="none" w:sz="0" w:space="0" w:color="auto"/>
                              </w:divBdr>
                              <w:divsChild>
                                <w:div w:id="40410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98043">
                          <w:marLeft w:val="0"/>
                          <w:marRight w:val="0"/>
                          <w:marTop w:val="0"/>
                          <w:marBottom w:val="0"/>
                          <w:divBdr>
                            <w:top w:val="none" w:sz="0" w:space="0" w:color="auto"/>
                            <w:left w:val="none" w:sz="0" w:space="0" w:color="auto"/>
                            <w:bottom w:val="none" w:sz="0" w:space="0" w:color="auto"/>
                            <w:right w:val="none" w:sz="0" w:space="0" w:color="auto"/>
                          </w:divBdr>
                          <w:divsChild>
                            <w:div w:id="1850100218">
                              <w:marLeft w:val="0"/>
                              <w:marRight w:val="0"/>
                              <w:marTop w:val="0"/>
                              <w:marBottom w:val="0"/>
                              <w:divBdr>
                                <w:top w:val="none" w:sz="0" w:space="0" w:color="auto"/>
                                <w:left w:val="none" w:sz="0" w:space="0" w:color="auto"/>
                                <w:bottom w:val="none" w:sz="0" w:space="0" w:color="auto"/>
                                <w:right w:val="none" w:sz="0" w:space="0" w:color="auto"/>
                              </w:divBdr>
                            </w:div>
                          </w:divsChild>
                        </w:div>
                        <w:div w:id="515075805">
                          <w:marLeft w:val="0"/>
                          <w:marRight w:val="0"/>
                          <w:marTop w:val="0"/>
                          <w:marBottom w:val="0"/>
                          <w:divBdr>
                            <w:top w:val="none" w:sz="0" w:space="0" w:color="auto"/>
                            <w:left w:val="none" w:sz="0" w:space="0" w:color="auto"/>
                            <w:bottom w:val="none" w:sz="0" w:space="0" w:color="auto"/>
                            <w:right w:val="none" w:sz="0" w:space="0" w:color="auto"/>
                          </w:divBdr>
                          <w:divsChild>
                            <w:div w:id="1344891424">
                              <w:marLeft w:val="0"/>
                              <w:marRight w:val="0"/>
                              <w:marTop w:val="0"/>
                              <w:marBottom w:val="0"/>
                              <w:divBdr>
                                <w:top w:val="none" w:sz="0" w:space="0" w:color="auto"/>
                                <w:left w:val="none" w:sz="0" w:space="0" w:color="auto"/>
                                <w:bottom w:val="none" w:sz="0" w:space="0" w:color="auto"/>
                                <w:right w:val="none" w:sz="0" w:space="0" w:color="auto"/>
                              </w:divBdr>
                            </w:div>
                            <w:div w:id="327829559">
                              <w:marLeft w:val="0"/>
                              <w:marRight w:val="0"/>
                              <w:marTop w:val="0"/>
                              <w:marBottom w:val="0"/>
                              <w:divBdr>
                                <w:top w:val="none" w:sz="0" w:space="0" w:color="auto"/>
                                <w:left w:val="none" w:sz="0" w:space="0" w:color="auto"/>
                                <w:bottom w:val="none" w:sz="0" w:space="0" w:color="auto"/>
                                <w:right w:val="none" w:sz="0" w:space="0" w:color="auto"/>
                              </w:divBdr>
                              <w:divsChild>
                                <w:div w:id="270165446">
                                  <w:marLeft w:val="0"/>
                                  <w:marRight w:val="0"/>
                                  <w:marTop w:val="0"/>
                                  <w:marBottom w:val="0"/>
                                  <w:divBdr>
                                    <w:top w:val="none" w:sz="0" w:space="0" w:color="auto"/>
                                    <w:left w:val="none" w:sz="0" w:space="0" w:color="auto"/>
                                    <w:bottom w:val="none" w:sz="0" w:space="0" w:color="auto"/>
                                    <w:right w:val="none" w:sz="0" w:space="0" w:color="auto"/>
                                  </w:divBdr>
                                  <w:divsChild>
                                    <w:div w:id="1382287196">
                                      <w:marLeft w:val="0"/>
                                      <w:marRight w:val="0"/>
                                      <w:marTop w:val="0"/>
                                      <w:marBottom w:val="0"/>
                                      <w:divBdr>
                                        <w:top w:val="none" w:sz="0" w:space="0" w:color="auto"/>
                                        <w:left w:val="none" w:sz="0" w:space="0" w:color="auto"/>
                                        <w:bottom w:val="none" w:sz="0" w:space="0" w:color="auto"/>
                                        <w:right w:val="none" w:sz="0" w:space="0" w:color="auto"/>
                                      </w:divBdr>
                                      <w:divsChild>
                                        <w:div w:id="2145660620">
                                          <w:marLeft w:val="0"/>
                                          <w:marRight w:val="0"/>
                                          <w:marTop w:val="120"/>
                                          <w:marBottom w:val="0"/>
                                          <w:divBdr>
                                            <w:top w:val="none" w:sz="0" w:space="0" w:color="auto"/>
                                            <w:left w:val="none" w:sz="0" w:space="0" w:color="auto"/>
                                            <w:bottom w:val="none" w:sz="0" w:space="0" w:color="auto"/>
                                            <w:right w:val="none" w:sz="0" w:space="0" w:color="auto"/>
                                          </w:divBdr>
                                        </w:div>
                                        <w:div w:id="1584484636">
                                          <w:marLeft w:val="0"/>
                                          <w:marRight w:val="0"/>
                                          <w:marTop w:val="0"/>
                                          <w:marBottom w:val="0"/>
                                          <w:divBdr>
                                            <w:top w:val="none" w:sz="0" w:space="0" w:color="auto"/>
                                            <w:left w:val="none" w:sz="0" w:space="0" w:color="auto"/>
                                            <w:bottom w:val="none" w:sz="0" w:space="0" w:color="auto"/>
                                            <w:right w:val="none" w:sz="0" w:space="0" w:color="auto"/>
                                          </w:divBdr>
                                        </w:div>
                                      </w:divsChild>
                                    </w:div>
                                    <w:div w:id="1666938618">
                                      <w:marLeft w:val="0"/>
                                      <w:marRight w:val="0"/>
                                      <w:marTop w:val="0"/>
                                      <w:marBottom w:val="0"/>
                                      <w:divBdr>
                                        <w:top w:val="none" w:sz="0" w:space="0" w:color="auto"/>
                                        <w:left w:val="none" w:sz="0" w:space="0" w:color="auto"/>
                                        <w:bottom w:val="none" w:sz="0" w:space="0" w:color="auto"/>
                                        <w:right w:val="none" w:sz="0" w:space="0" w:color="auto"/>
                                      </w:divBdr>
                                      <w:divsChild>
                                        <w:div w:id="1497577752">
                                          <w:marLeft w:val="0"/>
                                          <w:marRight w:val="0"/>
                                          <w:marTop w:val="120"/>
                                          <w:marBottom w:val="0"/>
                                          <w:divBdr>
                                            <w:top w:val="none" w:sz="0" w:space="0" w:color="auto"/>
                                            <w:left w:val="none" w:sz="0" w:space="0" w:color="auto"/>
                                            <w:bottom w:val="none" w:sz="0" w:space="0" w:color="auto"/>
                                            <w:right w:val="none" w:sz="0" w:space="0" w:color="auto"/>
                                          </w:divBdr>
                                        </w:div>
                                        <w:div w:id="162977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679992">
                              <w:marLeft w:val="0"/>
                              <w:marRight w:val="0"/>
                              <w:marTop w:val="0"/>
                              <w:marBottom w:val="0"/>
                              <w:divBdr>
                                <w:top w:val="none" w:sz="0" w:space="0" w:color="auto"/>
                                <w:left w:val="none" w:sz="0" w:space="0" w:color="auto"/>
                                <w:bottom w:val="none" w:sz="0" w:space="0" w:color="auto"/>
                                <w:right w:val="none" w:sz="0" w:space="0" w:color="auto"/>
                              </w:divBdr>
                              <w:divsChild>
                                <w:div w:id="387845301">
                                  <w:marLeft w:val="0"/>
                                  <w:marRight w:val="0"/>
                                  <w:marTop w:val="0"/>
                                  <w:marBottom w:val="0"/>
                                  <w:divBdr>
                                    <w:top w:val="none" w:sz="0" w:space="0" w:color="auto"/>
                                    <w:left w:val="none" w:sz="0" w:space="0" w:color="auto"/>
                                    <w:bottom w:val="none" w:sz="0" w:space="0" w:color="auto"/>
                                    <w:right w:val="none" w:sz="0" w:space="0" w:color="auto"/>
                                  </w:divBdr>
                                  <w:divsChild>
                                    <w:div w:id="1557818979">
                                      <w:marLeft w:val="0"/>
                                      <w:marRight w:val="0"/>
                                      <w:marTop w:val="0"/>
                                      <w:marBottom w:val="0"/>
                                      <w:divBdr>
                                        <w:top w:val="none" w:sz="0" w:space="0" w:color="auto"/>
                                        <w:left w:val="none" w:sz="0" w:space="0" w:color="auto"/>
                                        <w:bottom w:val="none" w:sz="0" w:space="0" w:color="auto"/>
                                        <w:right w:val="none" w:sz="0" w:space="0" w:color="auto"/>
                                      </w:divBdr>
                                      <w:divsChild>
                                        <w:div w:id="23528735">
                                          <w:marLeft w:val="0"/>
                                          <w:marRight w:val="0"/>
                                          <w:marTop w:val="120"/>
                                          <w:marBottom w:val="0"/>
                                          <w:divBdr>
                                            <w:top w:val="none" w:sz="0" w:space="0" w:color="auto"/>
                                            <w:left w:val="none" w:sz="0" w:space="0" w:color="auto"/>
                                            <w:bottom w:val="none" w:sz="0" w:space="0" w:color="auto"/>
                                            <w:right w:val="none" w:sz="0" w:space="0" w:color="auto"/>
                                          </w:divBdr>
                                        </w:div>
                                        <w:div w:id="2073774528">
                                          <w:marLeft w:val="0"/>
                                          <w:marRight w:val="0"/>
                                          <w:marTop w:val="0"/>
                                          <w:marBottom w:val="0"/>
                                          <w:divBdr>
                                            <w:top w:val="none" w:sz="0" w:space="0" w:color="auto"/>
                                            <w:left w:val="none" w:sz="0" w:space="0" w:color="auto"/>
                                            <w:bottom w:val="none" w:sz="0" w:space="0" w:color="auto"/>
                                            <w:right w:val="none" w:sz="0" w:space="0" w:color="auto"/>
                                          </w:divBdr>
                                        </w:div>
                                      </w:divsChild>
                                    </w:div>
                                    <w:div w:id="2127236419">
                                      <w:marLeft w:val="0"/>
                                      <w:marRight w:val="0"/>
                                      <w:marTop w:val="0"/>
                                      <w:marBottom w:val="0"/>
                                      <w:divBdr>
                                        <w:top w:val="none" w:sz="0" w:space="0" w:color="auto"/>
                                        <w:left w:val="none" w:sz="0" w:space="0" w:color="auto"/>
                                        <w:bottom w:val="none" w:sz="0" w:space="0" w:color="auto"/>
                                        <w:right w:val="none" w:sz="0" w:space="0" w:color="auto"/>
                                      </w:divBdr>
                                      <w:divsChild>
                                        <w:div w:id="1671836712">
                                          <w:marLeft w:val="0"/>
                                          <w:marRight w:val="0"/>
                                          <w:marTop w:val="120"/>
                                          <w:marBottom w:val="0"/>
                                          <w:divBdr>
                                            <w:top w:val="none" w:sz="0" w:space="0" w:color="auto"/>
                                            <w:left w:val="none" w:sz="0" w:space="0" w:color="auto"/>
                                            <w:bottom w:val="none" w:sz="0" w:space="0" w:color="auto"/>
                                            <w:right w:val="none" w:sz="0" w:space="0" w:color="auto"/>
                                          </w:divBdr>
                                        </w:div>
                                        <w:div w:id="2081557264">
                                          <w:marLeft w:val="0"/>
                                          <w:marRight w:val="0"/>
                                          <w:marTop w:val="0"/>
                                          <w:marBottom w:val="0"/>
                                          <w:divBdr>
                                            <w:top w:val="none" w:sz="0" w:space="0" w:color="auto"/>
                                            <w:left w:val="none" w:sz="0" w:space="0" w:color="auto"/>
                                            <w:bottom w:val="none" w:sz="0" w:space="0" w:color="auto"/>
                                            <w:right w:val="none" w:sz="0" w:space="0" w:color="auto"/>
                                          </w:divBdr>
                                        </w:div>
                                      </w:divsChild>
                                    </w:div>
                                    <w:div w:id="1028607290">
                                      <w:marLeft w:val="0"/>
                                      <w:marRight w:val="0"/>
                                      <w:marTop w:val="0"/>
                                      <w:marBottom w:val="0"/>
                                      <w:divBdr>
                                        <w:top w:val="none" w:sz="0" w:space="0" w:color="auto"/>
                                        <w:left w:val="none" w:sz="0" w:space="0" w:color="auto"/>
                                        <w:bottom w:val="none" w:sz="0" w:space="0" w:color="auto"/>
                                        <w:right w:val="none" w:sz="0" w:space="0" w:color="auto"/>
                                      </w:divBdr>
                                      <w:divsChild>
                                        <w:div w:id="1509716072">
                                          <w:marLeft w:val="0"/>
                                          <w:marRight w:val="0"/>
                                          <w:marTop w:val="120"/>
                                          <w:marBottom w:val="0"/>
                                          <w:divBdr>
                                            <w:top w:val="none" w:sz="0" w:space="0" w:color="auto"/>
                                            <w:left w:val="none" w:sz="0" w:space="0" w:color="auto"/>
                                            <w:bottom w:val="none" w:sz="0" w:space="0" w:color="auto"/>
                                            <w:right w:val="none" w:sz="0" w:space="0" w:color="auto"/>
                                          </w:divBdr>
                                        </w:div>
                                        <w:div w:id="2139178074">
                                          <w:marLeft w:val="0"/>
                                          <w:marRight w:val="0"/>
                                          <w:marTop w:val="0"/>
                                          <w:marBottom w:val="0"/>
                                          <w:divBdr>
                                            <w:top w:val="none" w:sz="0" w:space="0" w:color="auto"/>
                                            <w:left w:val="none" w:sz="0" w:space="0" w:color="auto"/>
                                            <w:bottom w:val="none" w:sz="0" w:space="0" w:color="auto"/>
                                            <w:right w:val="none" w:sz="0" w:space="0" w:color="auto"/>
                                          </w:divBdr>
                                        </w:div>
                                      </w:divsChild>
                                    </w:div>
                                    <w:div w:id="2119716277">
                                      <w:marLeft w:val="0"/>
                                      <w:marRight w:val="0"/>
                                      <w:marTop w:val="0"/>
                                      <w:marBottom w:val="0"/>
                                      <w:divBdr>
                                        <w:top w:val="none" w:sz="0" w:space="0" w:color="auto"/>
                                        <w:left w:val="none" w:sz="0" w:space="0" w:color="auto"/>
                                        <w:bottom w:val="none" w:sz="0" w:space="0" w:color="auto"/>
                                        <w:right w:val="none" w:sz="0" w:space="0" w:color="auto"/>
                                      </w:divBdr>
                                      <w:divsChild>
                                        <w:div w:id="1398089397">
                                          <w:marLeft w:val="0"/>
                                          <w:marRight w:val="0"/>
                                          <w:marTop w:val="120"/>
                                          <w:marBottom w:val="0"/>
                                          <w:divBdr>
                                            <w:top w:val="none" w:sz="0" w:space="0" w:color="auto"/>
                                            <w:left w:val="none" w:sz="0" w:space="0" w:color="auto"/>
                                            <w:bottom w:val="none" w:sz="0" w:space="0" w:color="auto"/>
                                            <w:right w:val="none" w:sz="0" w:space="0" w:color="auto"/>
                                          </w:divBdr>
                                        </w:div>
                                        <w:div w:id="245695615">
                                          <w:marLeft w:val="0"/>
                                          <w:marRight w:val="0"/>
                                          <w:marTop w:val="0"/>
                                          <w:marBottom w:val="0"/>
                                          <w:divBdr>
                                            <w:top w:val="none" w:sz="0" w:space="0" w:color="auto"/>
                                            <w:left w:val="none" w:sz="0" w:space="0" w:color="auto"/>
                                            <w:bottom w:val="none" w:sz="0" w:space="0" w:color="auto"/>
                                            <w:right w:val="none" w:sz="0" w:space="0" w:color="auto"/>
                                          </w:divBdr>
                                        </w:div>
                                      </w:divsChild>
                                    </w:div>
                                    <w:div w:id="1450389876">
                                      <w:marLeft w:val="0"/>
                                      <w:marRight w:val="0"/>
                                      <w:marTop w:val="0"/>
                                      <w:marBottom w:val="0"/>
                                      <w:divBdr>
                                        <w:top w:val="none" w:sz="0" w:space="0" w:color="auto"/>
                                        <w:left w:val="none" w:sz="0" w:space="0" w:color="auto"/>
                                        <w:bottom w:val="none" w:sz="0" w:space="0" w:color="auto"/>
                                        <w:right w:val="none" w:sz="0" w:space="0" w:color="auto"/>
                                      </w:divBdr>
                                      <w:divsChild>
                                        <w:div w:id="1005979244">
                                          <w:marLeft w:val="0"/>
                                          <w:marRight w:val="0"/>
                                          <w:marTop w:val="120"/>
                                          <w:marBottom w:val="0"/>
                                          <w:divBdr>
                                            <w:top w:val="none" w:sz="0" w:space="0" w:color="auto"/>
                                            <w:left w:val="none" w:sz="0" w:space="0" w:color="auto"/>
                                            <w:bottom w:val="none" w:sz="0" w:space="0" w:color="auto"/>
                                            <w:right w:val="none" w:sz="0" w:space="0" w:color="auto"/>
                                          </w:divBdr>
                                        </w:div>
                                        <w:div w:id="1914855950">
                                          <w:marLeft w:val="0"/>
                                          <w:marRight w:val="0"/>
                                          <w:marTop w:val="0"/>
                                          <w:marBottom w:val="0"/>
                                          <w:divBdr>
                                            <w:top w:val="none" w:sz="0" w:space="0" w:color="auto"/>
                                            <w:left w:val="none" w:sz="0" w:space="0" w:color="auto"/>
                                            <w:bottom w:val="none" w:sz="0" w:space="0" w:color="auto"/>
                                            <w:right w:val="none" w:sz="0" w:space="0" w:color="auto"/>
                                          </w:divBdr>
                                        </w:div>
                                      </w:divsChild>
                                    </w:div>
                                    <w:div w:id="1982034212">
                                      <w:marLeft w:val="0"/>
                                      <w:marRight w:val="0"/>
                                      <w:marTop w:val="0"/>
                                      <w:marBottom w:val="0"/>
                                      <w:divBdr>
                                        <w:top w:val="none" w:sz="0" w:space="0" w:color="auto"/>
                                        <w:left w:val="none" w:sz="0" w:space="0" w:color="auto"/>
                                        <w:bottom w:val="none" w:sz="0" w:space="0" w:color="auto"/>
                                        <w:right w:val="none" w:sz="0" w:space="0" w:color="auto"/>
                                      </w:divBdr>
                                      <w:divsChild>
                                        <w:div w:id="863059429">
                                          <w:marLeft w:val="0"/>
                                          <w:marRight w:val="0"/>
                                          <w:marTop w:val="120"/>
                                          <w:marBottom w:val="0"/>
                                          <w:divBdr>
                                            <w:top w:val="none" w:sz="0" w:space="0" w:color="auto"/>
                                            <w:left w:val="none" w:sz="0" w:space="0" w:color="auto"/>
                                            <w:bottom w:val="none" w:sz="0" w:space="0" w:color="auto"/>
                                            <w:right w:val="none" w:sz="0" w:space="0" w:color="auto"/>
                                          </w:divBdr>
                                        </w:div>
                                        <w:div w:id="6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992584">
                              <w:marLeft w:val="0"/>
                              <w:marRight w:val="0"/>
                              <w:marTop w:val="0"/>
                              <w:marBottom w:val="0"/>
                              <w:divBdr>
                                <w:top w:val="none" w:sz="0" w:space="0" w:color="auto"/>
                                <w:left w:val="none" w:sz="0" w:space="0" w:color="auto"/>
                                <w:bottom w:val="none" w:sz="0" w:space="0" w:color="auto"/>
                                <w:right w:val="none" w:sz="0" w:space="0" w:color="auto"/>
                              </w:divBdr>
                              <w:divsChild>
                                <w:div w:id="1347177116">
                                  <w:marLeft w:val="0"/>
                                  <w:marRight w:val="0"/>
                                  <w:marTop w:val="0"/>
                                  <w:marBottom w:val="0"/>
                                  <w:divBdr>
                                    <w:top w:val="none" w:sz="0" w:space="0" w:color="auto"/>
                                    <w:left w:val="none" w:sz="0" w:space="0" w:color="auto"/>
                                    <w:bottom w:val="none" w:sz="0" w:space="0" w:color="auto"/>
                                    <w:right w:val="none" w:sz="0" w:space="0" w:color="auto"/>
                                  </w:divBdr>
                                  <w:divsChild>
                                    <w:div w:id="723287147">
                                      <w:marLeft w:val="0"/>
                                      <w:marRight w:val="0"/>
                                      <w:marTop w:val="0"/>
                                      <w:marBottom w:val="0"/>
                                      <w:divBdr>
                                        <w:top w:val="none" w:sz="0" w:space="0" w:color="auto"/>
                                        <w:left w:val="none" w:sz="0" w:space="0" w:color="auto"/>
                                        <w:bottom w:val="none" w:sz="0" w:space="0" w:color="auto"/>
                                        <w:right w:val="none" w:sz="0" w:space="0" w:color="auto"/>
                                      </w:divBdr>
                                      <w:divsChild>
                                        <w:div w:id="46338674">
                                          <w:marLeft w:val="0"/>
                                          <w:marRight w:val="0"/>
                                          <w:marTop w:val="120"/>
                                          <w:marBottom w:val="0"/>
                                          <w:divBdr>
                                            <w:top w:val="none" w:sz="0" w:space="0" w:color="auto"/>
                                            <w:left w:val="none" w:sz="0" w:space="0" w:color="auto"/>
                                            <w:bottom w:val="none" w:sz="0" w:space="0" w:color="auto"/>
                                            <w:right w:val="none" w:sz="0" w:space="0" w:color="auto"/>
                                          </w:divBdr>
                                        </w:div>
                                        <w:div w:id="1066106279">
                                          <w:marLeft w:val="0"/>
                                          <w:marRight w:val="0"/>
                                          <w:marTop w:val="0"/>
                                          <w:marBottom w:val="0"/>
                                          <w:divBdr>
                                            <w:top w:val="none" w:sz="0" w:space="0" w:color="auto"/>
                                            <w:left w:val="none" w:sz="0" w:space="0" w:color="auto"/>
                                            <w:bottom w:val="none" w:sz="0" w:space="0" w:color="auto"/>
                                            <w:right w:val="none" w:sz="0" w:space="0" w:color="auto"/>
                                          </w:divBdr>
                                        </w:div>
                                      </w:divsChild>
                                    </w:div>
                                    <w:div w:id="77823567">
                                      <w:marLeft w:val="0"/>
                                      <w:marRight w:val="0"/>
                                      <w:marTop w:val="0"/>
                                      <w:marBottom w:val="0"/>
                                      <w:divBdr>
                                        <w:top w:val="none" w:sz="0" w:space="0" w:color="auto"/>
                                        <w:left w:val="none" w:sz="0" w:space="0" w:color="auto"/>
                                        <w:bottom w:val="none" w:sz="0" w:space="0" w:color="auto"/>
                                        <w:right w:val="none" w:sz="0" w:space="0" w:color="auto"/>
                                      </w:divBdr>
                                      <w:divsChild>
                                        <w:div w:id="1242444132">
                                          <w:marLeft w:val="0"/>
                                          <w:marRight w:val="0"/>
                                          <w:marTop w:val="120"/>
                                          <w:marBottom w:val="0"/>
                                          <w:divBdr>
                                            <w:top w:val="none" w:sz="0" w:space="0" w:color="auto"/>
                                            <w:left w:val="none" w:sz="0" w:space="0" w:color="auto"/>
                                            <w:bottom w:val="none" w:sz="0" w:space="0" w:color="auto"/>
                                            <w:right w:val="none" w:sz="0" w:space="0" w:color="auto"/>
                                          </w:divBdr>
                                        </w:div>
                                        <w:div w:id="19111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979302">
                              <w:marLeft w:val="0"/>
                              <w:marRight w:val="0"/>
                              <w:marTop w:val="0"/>
                              <w:marBottom w:val="0"/>
                              <w:divBdr>
                                <w:top w:val="none" w:sz="0" w:space="0" w:color="auto"/>
                                <w:left w:val="none" w:sz="0" w:space="0" w:color="auto"/>
                                <w:bottom w:val="none" w:sz="0" w:space="0" w:color="auto"/>
                                <w:right w:val="none" w:sz="0" w:space="0" w:color="auto"/>
                              </w:divBdr>
                              <w:divsChild>
                                <w:div w:id="558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38971">
                          <w:marLeft w:val="0"/>
                          <w:marRight w:val="0"/>
                          <w:marTop w:val="0"/>
                          <w:marBottom w:val="0"/>
                          <w:divBdr>
                            <w:top w:val="none" w:sz="0" w:space="0" w:color="auto"/>
                            <w:left w:val="none" w:sz="0" w:space="0" w:color="auto"/>
                            <w:bottom w:val="none" w:sz="0" w:space="0" w:color="auto"/>
                            <w:right w:val="none" w:sz="0" w:space="0" w:color="auto"/>
                          </w:divBdr>
                          <w:divsChild>
                            <w:div w:id="1201432609">
                              <w:marLeft w:val="0"/>
                              <w:marRight w:val="0"/>
                              <w:marTop w:val="0"/>
                              <w:marBottom w:val="0"/>
                              <w:divBdr>
                                <w:top w:val="none" w:sz="0" w:space="0" w:color="auto"/>
                                <w:left w:val="none" w:sz="0" w:space="0" w:color="auto"/>
                                <w:bottom w:val="none" w:sz="0" w:space="0" w:color="auto"/>
                                <w:right w:val="none" w:sz="0" w:space="0" w:color="auto"/>
                              </w:divBdr>
                            </w:div>
                            <w:div w:id="467286932">
                              <w:marLeft w:val="0"/>
                              <w:marRight w:val="0"/>
                              <w:marTop w:val="0"/>
                              <w:marBottom w:val="0"/>
                              <w:divBdr>
                                <w:top w:val="none" w:sz="0" w:space="0" w:color="auto"/>
                                <w:left w:val="none" w:sz="0" w:space="0" w:color="auto"/>
                                <w:bottom w:val="none" w:sz="0" w:space="0" w:color="auto"/>
                                <w:right w:val="none" w:sz="0" w:space="0" w:color="auto"/>
                              </w:divBdr>
                              <w:divsChild>
                                <w:div w:id="1362705383">
                                  <w:marLeft w:val="0"/>
                                  <w:marRight w:val="0"/>
                                  <w:marTop w:val="0"/>
                                  <w:marBottom w:val="0"/>
                                  <w:divBdr>
                                    <w:top w:val="none" w:sz="0" w:space="0" w:color="auto"/>
                                    <w:left w:val="none" w:sz="0" w:space="0" w:color="auto"/>
                                    <w:bottom w:val="none" w:sz="0" w:space="0" w:color="auto"/>
                                    <w:right w:val="none" w:sz="0" w:space="0" w:color="auto"/>
                                  </w:divBdr>
                                </w:div>
                              </w:divsChild>
                            </w:div>
                            <w:div w:id="470439050">
                              <w:marLeft w:val="0"/>
                              <w:marRight w:val="0"/>
                              <w:marTop w:val="0"/>
                              <w:marBottom w:val="0"/>
                              <w:divBdr>
                                <w:top w:val="none" w:sz="0" w:space="0" w:color="auto"/>
                                <w:left w:val="none" w:sz="0" w:space="0" w:color="auto"/>
                                <w:bottom w:val="none" w:sz="0" w:space="0" w:color="auto"/>
                                <w:right w:val="none" w:sz="0" w:space="0" w:color="auto"/>
                              </w:divBdr>
                              <w:divsChild>
                                <w:div w:id="1860656472">
                                  <w:marLeft w:val="0"/>
                                  <w:marRight w:val="0"/>
                                  <w:marTop w:val="0"/>
                                  <w:marBottom w:val="0"/>
                                  <w:divBdr>
                                    <w:top w:val="none" w:sz="0" w:space="0" w:color="auto"/>
                                    <w:left w:val="none" w:sz="0" w:space="0" w:color="auto"/>
                                    <w:bottom w:val="none" w:sz="0" w:space="0" w:color="auto"/>
                                    <w:right w:val="none" w:sz="0" w:space="0" w:color="auto"/>
                                  </w:divBdr>
                                  <w:divsChild>
                                    <w:div w:id="1196574922">
                                      <w:marLeft w:val="0"/>
                                      <w:marRight w:val="0"/>
                                      <w:marTop w:val="0"/>
                                      <w:marBottom w:val="0"/>
                                      <w:divBdr>
                                        <w:top w:val="none" w:sz="0" w:space="0" w:color="auto"/>
                                        <w:left w:val="none" w:sz="0" w:space="0" w:color="auto"/>
                                        <w:bottom w:val="none" w:sz="0" w:space="0" w:color="auto"/>
                                        <w:right w:val="none" w:sz="0" w:space="0" w:color="auto"/>
                                      </w:divBdr>
                                      <w:divsChild>
                                        <w:div w:id="1129938473">
                                          <w:marLeft w:val="0"/>
                                          <w:marRight w:val="0"/>
                                          <w:marTop w:val="120"/>
                                          <w:marBottom w:val="0"/>
                                          <w:divBdr>
                                            <w:top w:val="none" w:sz="0" w:space="0" w:color="auto"/>
                                            <w:left w:val="none" w:sz="0" w:space="0" w:color="auto"/>
                                            <w:bottom w:val="none" w:sz="0" w:space="0" w:color="auto"/>
                                            <w:right w:val="none" w:sz="0" w:space="0" w:color="auto"/>
                                          </w:divBdr>
                                        </w:div>
                                        <w:div w:id="215705169">
                                          <w:marLeft w:val="0"/>
                                          <w:marRight w:val="0"/>
                                          <w:marTop w:val="0"/>
                                          <w:marBottom w:val="0"/>
                                          <w:divBdr>
                                            <w:top w:val="none" w:sz="0" w:space="0" w:color="auto"/>
                                            <w:left w:val="none" w:sz="0" w:space="0" w:color="auto"/>
                                            <w:bottom w:val="none" w:sz="0" w:space="0" w:color="auto"/>
                                            <w:right w:val="none" w:sz="0" w:space="0" w:color="auto"/>
                                          </w:divBdr>
                                        </w:div>
                                      </w:divsChild>
                                    </w:div>
                                    <w:div w:id="1805997155">
                                      <w:marLeft w:val="0"/>
                                      <w:marRight w:val="0"/>
                                      <w:marTop w:val="0"/>
                                      <w:marBottom w:val="0"/>
                                      <w:divBdr>
                                        <w:top w:val="none" w:sz="0" w:space="0" w:color="auto"/>
                                        <w:left w:val="none" w:sz="0" w:space="0" w:color="auto"/>
                                        <w:bottom w:val="none" w:sz="0" w:space="0" w:color="auto"/>
                                        <w:right w:val="none" w:sz="0" w:space="0" w:color="auto"/>
                                      </w:divBdr>
                                      <w:divsChild>
                                        <w:div w:id="417676983">
                                          <w:marLeft w:val="0"/>
                                          <w:marRight w:val="0"/>
                                          <w:marTop w:val="120"/>
                                          <w:marBottom w:val="0"/>
                                          <w:divBdr>
                                            <w:top w:val="none" w:sz="0" w:space="0" w:color="auto"/>
                                            <w:left w:val="none" w:sz="0" w:space="0" w:color="auto"/>
                                            <w:bottom w:val="none" w:sz="0" w:space="0" w:color="auto"/>
                                            <w:right w:val="none" w:sz="0" w:space="0" w:color="auto"/>
                                          </w:divBdr>
                                        </w:div>
                                        <w:div w:id="5182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518489">
                          <w:marLeft w:val="0"/>
                          <w:marRight w:val="0"/>
                          <w:marTop w:val="0"/>
                          <w:marBottom w:val="0"/>
                          <w:divBdr>
                            <w:top w:val="none" w:sz="0" w:space="0" w:color="auto"/>
                            <w:left w:val="none" w:sz="0" w:space="0" w:color="auto"/>
                            <w:bottom w:val="none" w:sz="0" w:space="0" w:color="auto"/>
                            <w:right w:val="none" w:sz="0" w:space="0" w:color="auto"/>
                          </w:divBdr>
                          <w:divsChild>
                            <w:div w:id="1373310659">
                              <w:marLeft w:val="0"/>
                              <w:marRight w:val="0"/>
                              <w:marTop w:val="0"/>
                              <w:marBottom w:val="0"/>
                              <w:divBdr>
                                <w:top w:val="none" w:sz="0" w:space="0" w:color="auto"/>
                                <w:left w:val="none" w:sz="0" w:space="0" w:color="auto"/>
                                <w:bottom w:val="none" w:sz="0" w:space="0" w:color="auto"/>
                                <w:right w:val="none" w:sz="0" w:space="0" w:color="auto"/>
                              </w:divBdr>
                            </w:div>
                            <w:div w:id="1946695738">
                              <w:marLeft w:val="0"/>
                              <w:marRight w:val="0"/>
                              <w:marTop w:val="0"/>
                              <w:marBottom w:val="0"/>
                              <w:divBdr>
                                <w:top w:val="none" w:sz="0" w:space="0" w:color="auto"/>
                                <w:left w:val="none" w:sz="0" w:space="0" w:color="auto"/>
                                <w:bottom w:val="none" w:sz="0" w:space="0" w:color="auto"/>
                                <w:right w:val="none" w:sz="0" w:space="0" w:color="auto"/>
                              </w:divBdr>
                              <w:divsChild>
                                <w:div w:id="572204081">
                                  <w:marLeft w:val="0"/>
                                  <w:marRight w:val="0"/>
                                  <w:marTop w:val="0"/>
                                  <w:marBottom w:val="0"/>
                                  <w:divBdr>
                                    <w:top w:val="none" w:sz="0" w:space="0" w:color="auto"/>
                                    <w:left w:val="none" w:sz="0" w:space="0" w:color="auto"/>
                                    <w:bottom w:val="none" w:sz="0" w:space="0" w:color="auto"/>
                                    <w:right w:val="none" w:sz="0" w:space="0" w:color="auto"/>
                                  </w:divBdr>
                                  <w:divsChild>
                                    <w:div w:id="2057393757">
                                      <w:marLeft w:val="0"/>
                                      <w:marRight w:val="0"/>
                                      <w:marTop w:val="0"/>
                                      <w:marBottom w:val="0"/>
                                      <w:divBdr>
                                        <w:top w:val="none" w:sz="0" w:space="0" w:color="auto"/>
                                        <w:left w:val="none" w:sz="0" w:space="0" w:color="auto"/>
                                        <w:bottom w:val="none" w:sz="0" w:space="0" w:color="auto"/>
                                        <w:right w:val="none" w:sz="0" w:space="0" w:color="auto"/>
                                      </w:divBdr>
                                      <w:divsChild>
                                        <w:div w:id="1412118004">
                                          <w:marLeft w:val="0"/>
                                          <w:marRight w:val="0"/>
                                          <w:marTop w:val="120"/>
                                          <w:marBottom w:val="0"/>
                                          <w:divBdr>
                                            <w:top w:val="none" w:sz="0" w:space="0" w:color="auto"/>
                                            <w:left w:val="none" w:sz="0" w:space="0" w:color="auto"/>
                                            <w:bottom w:val="none" w:sz="0" w:space="0" w:color="auto"/>
                                            <w:right w:val="none" w:sz="0" w:space="0" w:color="auto"/>
                                          </w:divBdr>
                                        </w:div>
                                        <w:div w:id="1707952270">
                                          <w:marLeft w:val="0"/>
                                          <w:marRight w:val="0"/>
                                          <w:marTop w:val="0"/>
                                          <w:marBottom w:val="0"/>
                                          <w:divBdr>
                                            <w:top w:val="none" w:sz="0" w:space="0" w:color="auto"/>
                                            <w:left w:val="none" w:sz="0" w:space="0" w:color="auto"/>
                                            <w:bottom w:val="none" w:sz="0" w:space="0" w:color="auto"/>
                                            <w:right w:val="none" w:sz="0" w:space="0" w:color="auto"/>
                                          </w:divBdr>
                                        </w:div>
                                      </w:divsChild>
                                    </w:div>
                                    <w:div w:id="1877042869">
                                      <w:marLeft w:val="0"/>
                                      <w:marRight w:val="0"/>
                                      <w:marTop w:val="0"/>
                                      <w:marBottom w:val="0"/>
                                      <w:divBdr>
                                        <w:top w:val="none" w:sz="0" w:space="0" w:color="auto"/>
                                        <w:left w:val="none" w:sz="0" w:space="0" w:color="auto"/>
                                        <w:bottom w:val="none" w:sz="0" w:space="0" w:color="auto"/>
                                        <w:right w:val="none" w:sz="0" w:space="0" w:color="auto"/>
                                      </w:divBdr>
                                      <w:divsChild>
                                        <w:div w:id="1601792701">
                                          <w:marLeft w:val="0"/>
                                          <w:marRight w:val="0"/>
                                          <w:marTop w:val="120"/>
                                          <w:marBottom w:val="0"/>
                                          <w:divBdr>
                                            <w:top w:val="none" w:sz="0" w:space="0" w:color="auto"/>
                                            <w:left w:val="none" w:sz="0" w:space="0" w:color="auto"/>
                                            <w:bottom w:val="none" w:sz="0" w:space="0" w:color="auto"/>
                                            <w:right w:val="none" w:sz="0" w:space="0" w:color="auto"/>
                                          </w:divBdr>
                                        </w:div>
                                        <w:div w:id="2065567347">
                                          <w:marLeft w:val="0"/>
                                          <w:marRight w:val="0"/>
                                          <w:marTop w:val="0"/>
                                          <w:marBottom w:val="0"/>
                                          <w:divBdr>
                                            <w:top w:val="none" w:sz="0" w:space="0" w:color="auto"/>
                                            <w:left w:val="none" w:sz="0" w:space="0" w:color="auto"/>
                                            <w:bottom w:val="none" w:sz="0" w:space="0" w:color="auto"/>
                                            <w:right w:val="none" w:sz="0" w:space="0" w:color="auto"/>
                                          </w:divBdr>
                                        </w:div>
                                      </w:divsChild>
                                    </w:div>
                                    <w:div w:id="2066444877">
                                      <w:marLeft w:val="0"/>
                                      <w:marRight w:val="0"/>
                                      <w:marTop w:val="0"/>
                                      <w:marBottom w:val="0"/>
                                      <w:divBdr>
                                        <w:top w:val="none" w:sz="0" w:space="0" w:color="auto"/>
                                        <w:left w:val="none" w:sz="0" w:space="0" w:color="auto"/>
                                        <w:bottom w:val="none" w:sz="0" w:space="0" w:color="auto"/>
                                        <w:right w:val="none" w:sz="0" w:space="0" w:color="auto"/>
                                      </w:divBdr>
                                      <w:divsChild>
                                        <w:div w:id="1665284216">
                                          <w:marLeft w:val="0"/>
                                          <w:marRight w:val="0"/>
                                          <w:marTop w:val="120"/>
                                          <w:marBottom w:val="0"/>
                                          <w:divBdr>
                                            <w:top w:val="none" w:sz="0" w:space="0" w:color="auto"/>
                                            <w:left w:val="none" w:sz="0" w:space="0" w:color="auto"/>
                                            <w:bottom w:val="none" w:sz="0" w:space="0" w:color="auto"/>
                                            <w:right w:val="none" w:sz="0" w:space="0" w:color="auto"/>
                                          </w:divBdr>
                                        </w:div>
                                        <w:div w:id="1652514055">
                                          <w:marLeft w:val="0"/>
                                          <w:marRight w:val="0"/>
                                          <w:marTop w:val="0"/>
                                          <w:marBottom w:val="0"/>
                                          <w:divBdr>
                                            <w:top w:val="none" w:sz="0" w:space="0" w:color="auto"/>
                                            <w:left w:val="none" w:sz="0" w:space="0" w:color="auto"/>
                                            <w:bottom w:val="none" w:sz="0" w:space="0" w:color="auto"/>
                                            <w:right w:val="none" w:sz="0" w:space="0" w:color="auto"/>
                                          </w:divBdr>
                                        </w:div>
                                      </w:divsChild>
                                    </w:div>
                                    <w:div w:id="1541242763">
                                      <w:marLeft w:val="0"/>
                                      <w:marRight w:val="0"/>
                                      <w:marTop w:val="0"/>
                                      <w:marBottom w:val="0"/>
                                      <w:divBdr>
                                        <w:top w:val="none" w:sz="0" w:space="0" w:color="auto"/>
                                        <w:left w:val="none" w:sz="0" w:space="0" w:color="auto"/>
                                        <w:bottom w:val="none" w:sz="0" w:space="0" w:color="auto"/>
                                        <w:right w:val="none" w:sz="0" w:space="0" w:color="auto"/>
                                      </w:divBdr>
                                      <w:divsChild>
                                        <w:div w:id="822041399">
                                          <w:marLeft w:val="0"/>
                                          <w:marRight w:val="0"/>
                                          <w:marTop w:val="120"/>
                                          <w:marBottom w:val="0"/>
                                          <w:divBdr>
                                            <w:top w:val="none" w:sz="0" w:space="0" w:color="auto"/>
                                            <w:left w:val="none" w:sz="0" w:space="0" w:color="auto"/>
                                            <w:bottom w:val="none" w:sz="0" w:space="0" w:color="auto"/>
                                            <w:right w:val="none" w:sz="0" w:space="0" w:color="auto"/>
                                          </w:divBdr>
                                        </w:div>
                                        <w:div w:id="17346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290403">
                              <w:marLeft w:val="0"/>
                              <w:marRight w:val="0"/>
                              <w:marTop w:val="0"/>
                              <w:marBottom w:val="0"/>
                              <w:divBdr>
                                <w:top w:val="none" w:sz="0" w:space="0" w:color="auto"/>
                                <w:left w:val="none" w:sz="0" w:space="0" w:color="auto"/>
                                <w:bottom w:val="none" w:sz="0" w:space="0" w:color="auto"/>
                                <w:right w:val="none" w:sz="0" w:space="0" w:color="auto"/>
                              </w:divBdr>
                              <w:divsChild>
                                <w:div w:id="1020544624">
                                  <w:marLeft w:val="0"/>
                                  <w:marRight w:val="0"/>
                                  <w:marTop w:val="0"/>
                                  <w:marBottom w:val="0"/>
                                  <w:divBdr>
                                    <w:top w:val="none" w:sz="0" w:space="0" w:color="auto"/>
                                    <w:left w:val="none" w:sz="0" w:space="0" w:color="auto"/>
                                    <w:bottom w:val="none" w:sz="0" w:space="0" w:color="auto"/>
                                    <w:right w:val="none" w:sz="0" w:space="0" w:color="auto"/>
                                  </w:divBdr>
                                  <w:divsChild>
                                    <w:div w:id="777339290">
                                      <w:marLeft w:val="0"/>
                                      <w:marRight w:val="0"/>
                                      <w:marTop w:val="0"/>
                                      <w:marBottom w:val="0"/>
                                      <w:divBdr>
                                        <w:top w:val="none" w:sz="0" w:space="0" w:color="auto"/>
                                        <w:left w:val="none" w:sz="0" w:space="0" w:color="auto"/>
                                        <w:bottom w:val="none" w:sz="0" w:space="0" w:color="auto"/>
                                        <w:right w:val="none" w:sz="0" w:space="0" w:color="auto"/>
                                      </w:divBdr>
                                      <w:divsChild>
                                        <w:div w:id="555701021">
                                          <w:marLeft w:val="0"/>
                                          <w:marRight w:val="0"/>
                                          <w:marTop w:val="120"/>
                                          <w:marBottom w:val="0"/>
                                          <w:divBdr>
                                            <w:top w:val="none" w:sz="0" w:space="0" w:color="auto"/>
                                            <w:left w:val="none" w:sz="0" w:space="0" w:color="auto"/>
                                            <w:bottom w:val="none" w:sz="0" w:space="0" w:color="auto"/>
                                            <w:right w:val="none" w:sz="0" w:space="0" w:color="auto"/>
                                          </w:divBdr>
                                        </w:div>
                                        <w:div w:id="733314501">
                                          <w:marLeft w:val="0"/>
                                          <w:marRight w:val="0"/>
                                          <w:marTop w:val="0"/>
                                          <w:marBottom w:val="0"/>
                                          <w:divBdr>
                                            <w:top w:val="none" w:sz="0" w:space="0" w:color="auto"/>
                                            <w:left w:val="none" w:sz="0" w:space="0" w:color="auto"/>
                                            <w:bottom w:val="none" w:sz="0" w:space="0" w:color="auto"/>
                                            <w:right w:val="none" w:sz="0" w:space="0" w:color="auto"/>
                                          </w:divBdr>
                                        </w:div>
                                      </w:divsChild>
                                    </w:div>
                                    <w:div w:id="2101178924">
                                      <w:marLeft w:val="0"/>
                                      <w:marRight w:val="0"/>
                                      <w:marTop w:val="0"/>
                                      <w:marBottom w:val="0"/>
                                      <w:divBdr>
                                        <w:top w:val="none" w:sz="0" w:space="0" w:color="auto"/>
                                        <w:left w:val="none" w:sz="0" w:space="0" w:color="auto"/>
                                        <w:bottom w:val="none" w:sz="0" w:space="0" w:color="auto"/>
                                        <w:right w:val="none" w:sz="0" w:space="0" w:color="auto"/>
                                      </w:divBdr>
                                      <w:divsChild>
                                        <w:div w:id="1537742846">
                                          <w:marLeft w:val="0"/>
                                          <w:marRight w:val="0"/>
                                          <w:marTop w:val="120"/>
                                          <w:marBottom w:val="0"/>
                                          <w:divBdr>
                                            <w:top w:val="none" w:sz="0" w:space="0" w:color="auto"/>
                                            <w:left w:val="none" w:sz="0" w:space="0" w:color="auto"/>
                                            <w:bottom w:val="none" w:sz="0" w:space="0" w:color="auto"/>
                                            <w:right w:val="none" w:sz="0" w:space="0" w:color="auto"/>
                                          </w:divBdr>
                                        </w:div>
                                        <w:div w:id="13973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012813">
                          <w:marLeft w:val="0"/>
                          <w:marRight w:val="0"/>
                          <w:marTop w:val="0"/>
                          <w:marBottom w:val="0"/>
                          <w:divBdr>
                            <w:top w:val="none" w:sz="0" w:space="0" w:color="auto"/>
                            <w:left w:val="none" w:sz="0" w:space="0" w:color="auto"/>
                            <w:bottom w:val="none" w:sz="0" w:space="0" w:color="auto"/>
                            <w:right w:val="none" w:sz="0" w:space="0" w:color="auto"/>
                          </w:divBdr>
                          <w:divsChild>
                            <w:div w:id="1983389395">
                              <w:marLeft w:val="0"/>
                              <w:marRight w:val="0"/>
                              <w:marTop w:val="0"/>
                              <w:marBottom w:val="0"/>
                              <w:divBdr>
                                <w:top w:val="none" w:sz="0" w:space="0" w:color="auto"/>
                                <w:left w:val="none" w:sz="0" w:space="0" w:color="auto"/>
                                <w:bottom w:val="none" w:sz="0" w:space="0" w:color="auto"/>
                                <w:right w:val="none" w:sz="0" w:space="0" w:color="auto"/>
                              </w:divBdr>
                            </w:div>
                            <w:div w:id="899053042">
                              <w:marLeft w:val="0"/>
                              <w:marRight w:val="0"/>
                              <w:marTop w:val="0"/>
                              <w:marBottom w:val="0"/>
                              <w:divBdr>
                                <w:top w:val="none" w:sz="0" w:space="0" w:color="auto"/>
                                <w:left w:val="none" w:sz="0" w:space="0" w:color="auto"/>
                                <w:bottom w:val="none" w:sz="0" w:space="0" w:color="auto"/>
                                <w:right w:val="none" w:sz="0" w:space="0" w:color="auto"/>
                              </w:divBdr>
                              <w:divsChild>
                                <w:div w:id="660735631">
                                  <w:marLeft w:val="0"/>
                                  <w:marRight w:val="0"/>
                                  <w:marTop w:val="0"/>
                                  <w:marBottom w:val="0"/>
                                  <w:divBdr>
                                    <w:top w:val="none" w:sz="0" w:space="0" w:color="auto"/>
                                    <w:left w:val="none" w:sz="0" w:space="0" w:color="auto"/>
                                    <w:bottom w:val="none" w:sz="0" w:space="0" w:color="auto"/>
                                    <w:right w:val="none" w:sz="0" w:space="0" w:color="auto"/>
                                  </w:divBdr>
                                  <w:divsChild>
                                    <w:div w:id="1290746824">
                                      <w:marLeft w:val="0"/>
                                      <w:marRight w:val="0"/>
                                      <w:marTop w:val="0"/>
                                      <w:marBottom w:val="0"/>
                                      <w:divBdr>
                                        <w:top w:val="none" w:sz="0" w:space="0" w:color="auto"/>
                                        <w:left w:val="none" w:sz="0" w:space="0" w:color="auto"/>
                                        <w:bottom w:val="none" w:sz="0" w:space="0" w:color="auto"/>
                                        <w:right w:val="none" w:sz="0" w:space="0" w:color="auto"/>
                                      </w:divBdr>
                                      <w:divsChild>
                                        <w:div w:id="454376390">
                                          <w:marLeft w:val="0"/>
                                          <w:marRight w:val="0"/>
                                          <w:marTop w:val="120"/>
                                          <w:marBottom w:val="0"/>
                                          <w:divBdr>
                                            <w:top w:val="none" w:sz="0" w:space="0" w:color="auto"/>
                                            <w:left w:val="none" w:sz="0" w:space="0" w:color="auto"/>
                                            <w:bottom w:val="none" w:sz="0" w:space="0" w:color="auto"/>
                                            <w:right w:val="none" w:sz="0" w:space="0" w:color="auto"/>
                                          </w:divBdr>
                                        </w:div>
                                        <w:div w:id="732852327">
                                          <w:marLeft w:val="0"/>
                                          <w:marRight w:val="0"/>
                                          <w:marTop w:val="0"/>
                                          <w:marBottom w:val="0"/>
                                          <w:divBdr>
                                            <w:top w:val="none" w:sz="0" w:space="0" w:color="auto"/>
                                            <w:left w:val="none" w:sz="0" w:space="0" w:color="auto"/>
                                            <w:bottom w:val="none" w:sz="0" w:space="0" w:color="auto"/>
                                            <w:right w:val="none" w:sz="0" w:space="0" w:color="auto"/>
                                          </w:divBdr>
                                        </w:div>
                                      </w:divsChild>
                                    </w:div>
                                    <w:div w:id="516387665">
                                      <w:marLeft w:val="0"/>
                                      <w:marRight w:val="0"/>
                                      <w:marTop w:val="0"/>
                                      <w:marBottom w:val="0"/>
                                      <w:divBdr>
                                        <w:top w:val="none" w:sz="0" w:space="0" w:color="auto"/>
                                        <w:left w:val="none" w:sz="0" w:space="0" w:color="auto"/>
                                        <w:bottom w:val="none" w:sz="0" w:space="0" w:color="auto"/>
                                        <w:right w:val="none" w:sz="0" w:space="0" w:color="auto"/>
                                      </w:divBdr>
                                      <w:divsChild>
                                        <w:div w:id="205024023">
                                          <w:marLeft w:val="0"/>
                                          <w:marRight w:val="0"/>
                                          <w:marTop w:val="120"/>
                                          <w:marBottom w:val="0"/>
                                          <w:divBdr>
                                            <w:top w:val="none" w:sz="0" w:space="0" w:color="auto"/>
                                            <w:left w:val="none" w:sz="0" w:space="0" w:color="auto"/>
                                            <w:bottom w:val="none" w:sz="0" w:space="0" w:color="auto"/>
                                            <w:right w:val="none" w:sz="0" w:space="0" w:color="auto"/>
                                          </w:divBdr>
                                        </w:div>
                                        <w:div w:id="180781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05866">
                              <w:marLeft w:val="0"/>
                              <w:marRight w:val="0"/>
                              <w:marTop w:val="0"/>
                              <w:marBottom w:val="0"/>
                              <w:divBdr>
                                <w:top w:val="none" w:sz="0" w:space="0" w:color="auto"/>
                                <w:left w:val="none" w:sz="0" w:space="0" w:color="auto"/>
                                <w:bottom w:val="none" w:sz="0" w:space="0" w:color="auto"/>
                                <w:right w:val="none" w:sz="0" w:space="0" w:color="auto"/>
                              </w:divBdr>
                              <w:divsChild>
                                <w:div w:id="1494224963">
                                  <w:marLeft w:val="0"/>
                                  <w:marRight w:val="0"/>
                                  <w:marTop w:val="0"/>
                                  <w:marBottom w:val="0"/>
                                  <w:divBdr>
                                    <w:top w:val="none" w:sz="0" w:space="0" w:color="auto"/>
                                    <w:left w:val="none" w:sz="0" w:space="0" w:color="auto"/>
                                    <w:bottom w:val="none" w:sz="0" w:space="0" w:color="auto"/>
                                    <w:right w:val="none" w:sz="0" w:space="0" w:color="auto"/>
                                  </w:divBdr>
                                  <w:divsChild>
                                    <w:div w:id="1097991767">
                                      <w:marLeft w:val="0"/>
                                      <w:marRight w:val="0"/>
                                      <w:marTop w:val="0"/>
                                      <w:marBottom w:val="0"/>
                                      <w:divBdr>
                                        <w:top w:val="none" w:sz="0" w:space="0" w:color="auto"/>
                                        <w:left w:val="none" w:sz="0" w:space="0" w:color="auto"/>
                                        <w:bottom w:val="none" w:sz="0" w:space="0" w:color="auto"/>
                                        <w:right w:val="none" w:sz="0" w:space="0" w:color="auto"/>
                                      </w:divBdr>
                                      <w:divsChild>
                                        <w:div w:id="32273614">
                                          <w:marLeft w:val="0"/>
                                          <w:marRight w:val="0"/>
                                          <w:marTop w:val="120"/>
                                          <w:marBottom w:val="0"/>
                                          <w:divBdr>
                                            <w:top w:val="none" w:sz="0" w:space="0" w:color="auto"/>
                                            <w:left w:val="none" w:sz="0" w:space="0" w:color="auto"/>
                                            <w:bottom w:val="none" w:sz="0" w:space="0" w:color="auto"/>
                                            <w:right w:val="none" w:sz="0" w:space="0" w:color="auto"/>
                                          </w:divBdr>
                                        </w:div>
                                        <w:div w:id="994065083">
                                          <w:marLeft w:val="0"/>
                                          <w:marRight w:val="0"/>
                                          <w:marTop w:val="0"/>
                                          <w:marBottom w:val="0"/>
                                          <w:divBdr>
                                            <w:top w:val="none" w:sz="0" w:space="0" w:color="auto"/>
                                            <w:left w:val="none" w:sz="0" w:space="0" w:color="auto"/>
                                            <w:bottom w:val="none" w:sz="0" w:space="0" w:color="auto"/>
                                            <w:right w:val="none" w:sz="0" w:space="0" w:color="auto"/>
                                          </w:divBdr>
                                        </w:div>
                                      </w:divsChild>
                                    </w:div>
                                    <w:div w:id="1091976555">
                                      <w:marLeft w:val="0"/>
                                      <w:marRight w:val="0"/>
                                      <w:marTop w:val="0"/>
                                      <w:marBottom w:val="0"/>
                                      <w:divBdr>
                                        <w:top w:val="none" w:sz="0" w:space="0" w:color="auto"/>
                                        <w:left w:val="none" w:sz="0" w:space="0" w:color="auto"/>
                                        <w:bottom w:val="none" w:sz="0" w:space="0" w:color="auto"/>
                                        <w:right w:val="none" w:sz="0" w:space="0" w:color="auto"/>
                                      </w:divBdr>
                                      <w:divsChild>
                                        <w:div w:id="1254359474">
                                          <w:marLeft w:val="0"/>
                                          <w:marRight w:val="0"/>
                                          <w:marTop w:val="120"/>
                                          <w:marBottom w:val="0"/>
                                          <w:divBdr>
                                            <w:top w:val="none" w:sz="0" w:space="0" w:color="auto"/>
                                            <w:left w:val="none" w:sz="0" w:space="0" w:color="auto"/>
                                            <w:bottom w:val="none" w:sz="0" w:space="0" w:color="auto"/>
                                            <w:right w:val="none" w:sz="0" w:space="0" w:color="auto"/>
                                          </w:divBdr>
                                        </w:div>
                                        <w:div w:id="3353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554506">
                          <w:marLeft w:val="0"/>
                          <w:marRight w:val="0"/>
                          <w:marTop w:val="0"/>
                          <w:marBottom w:val="0"/>
                          <w:divBdr>
                            <w:top w:val="none" w:sz="0" w:space="0" w:color="auto"/>
                            <w:left w:val="none" w:sz="0" w:space="0" w:color="auto"/>
                            <w:bottom w:val="none" w:sz="0" w:space="0" w:color="auto"/>
                            <w:right w:val="none" w:sz="0" w:space="0" w:color="auto"/>
                          </w:divBdr>
                          <w:divsChild>
                            <w:div w:id="2138060628">
                              <w:marLeft w:val="0"/>
                              <w:marRight w:val="0"/>
                              <w:marTop w:val="0"/>
                              <w:marBottom w:val="0"/>
                              <w:divBdr>
                                <w:top w:val="none" w:sz="0" w:space="0" w:color="auto"/>
                                <w:left w:val="none" w:sz="0" w:space="0" w:color="auto"/>
                                <w:bottom w:val="none" w:sz="0" w:space="0" w:color="auto"/>
                                <w:right w:val="none" w:sz="0" w:space="0" w:color="auto"/>
                              </w:divBdr>
                            </w:div>
                            <w:div w:id="1692023687">
                              <w:marLeft w:val="0"/>
                              <w:marRight w:val="0"/>
                              <w:marTop w:val="0"/>
                              <w:marBottom w:val="0"/>
                              <w:divBdr>
                                <w:top w:val="none" w:sz="0" w:space="0" w:color="auto"/>
                                <w:left w:val="none" w:sz="0" w:space="0" w:color="auto"/>
                                <w:bottom w:val="none" w:sz="0" w:space="0" w:color="auto"/>
                                <w:right w:val="none" w:sz="0" w:space="0" w:color="auto"/>
                              </w:divBdr>
                              <w:divsChild>
                                <w:div w:id="1356619735">
                                  <w:marLeft w:val="0"/>
                                  <w:marRight w:val="0"/>
                                  <w:marTop w:val="0"/>
                                  <w:marBottom w:val="0"/>
                                  <w:divBdr>
                                    <w:top w:val="none" w:sz="0" w:space="0" w:color="auto"/>
                                    <w:left w:val="none" w:sz="0" w:space="0" w:color="auto"/>
                                    <w:bottom w:val="none" w:sz="0" w:space="0" w:color="auto"/>
                                    <w:right w:val="none" w:sz="0" w:space="0" w:color="auto"/>
                                  </w:divBdr>
                                  <w:divsChild>
                                    <w:div w:id="1075669179">
                                      <w:marLeft w:val="0"/>
                                      <w:marRight w:val="0"/>
                                      <w:marTop w:val="0"/>
                                      <w:marBottom w:val="0"/>
                                      <w:divBdr>
                                        <w:top w:val="none" w:sz="0" w:space="0" w:color="auto"/>
                                        <w:left w:val="none" w:sz="0" w:space="0" w:color="auto"/>
                                        <w:bottom w:val="none" w:sz="0" w:space="0" w:color="auto"/>
                                        <w:right w:val="none" w:sz="0" w:space="0" w:color="auto"/>
                                      </w:divBdr>
                                      <w:divsChild>
                                        <w:div w:id="506747266">
                                          <w:marLeft w:val="0"/>
                                          <w:marRight w:val="0"/>
                                          <w:marTop w:val="120"/>
                                          <w:marBottom w:val="0"/>
                                          <w:divBdr>
                                            <w:top w:val="none" w:sz="0" w:space="0" w:color="auto"/>
                                            <w:left w:val="none" w:sz="0" w:space="0" w:color="auto"/>
                                            <w:bottom w:val="none" w:sz="0" w:space="0" w:color="auto"/>
                                            <w:right w:val="none" w:sz="0" w:space="0" w:color="auto"/>
                                          </w:divBdr>
                                        </w:div>
                                        <w:div w:id="1630671371">
                                          <w:marLeft w:val="0"/>
                                          <w:marRight w:val="0"/>
                                          <w:marTop w:val="0"/>
                                          <w:marBottom w:val="0"/>
                                          <w:divBdr>
                                            <w:top w:val="none" w:sz="0" w:space="0" w:color="auto"/>
                                            <w:left w:val="none" w:sz="0" w:space="0" w:color="auto"/>
                                            <w:bottom w:val="none" w:sz="0" w:space="0" w:color="auto"/>
                                            <w:right w:val="none" w:sz="0" w:space="0" w:color="auto"/>
                                          </w:divBdr>
                                        </w:div>
                                      </w:divsChild>
                                    </w:div>
                                    <w:div w:id="249510594">
                                      <w:marLeft w:val="0"/>
                                      <w:marRight w:val="0"/>
                                      <w:marTop w:val="0"/>
                                      <w:marBottom w:val="0"/>
                                      <w:divBdr>
                                        <w:top w:val="none" w:sz="0" w:space="0" w:color="auto"/>
                                        <w:left w:val="none" w:sz="0" w:space="0" w:color="auto"/>
                                        <w:bottom w:val="none" w:sz="0" w:space="0" w:color="auto"/>
                                        <w:right w:val="none" w:sz="0" w:space="0" w:color="auto"/>
                                      </w:divBdr>
                                      <w:divsChild>
                                        <w:div w:id="1782341264">
                                          <w:marLeft w:val="0"/>
                                          <w:marRight w:val="0"/>
                                          <w:marTop w:val="120"/>
                                          <w:marBottom w:val="0"/>
                                          <w:divBdr>
                                            <w:top w:val="none" w:sz="0" w:space="0" w:color="auto"/>
                                            <w:left w:val="none" w:sz="0" w:space="0" w:color="auto"/>
                                            <w:bottom w:val="none" w:sz="0" w:space="0" w:color="auto"/>
                                            <w:right w:val="none" w:sz="0" w:space="0" w:color="auto"/>
                                          </w:divBdr>
                                        </w:div>
                                        <w:div w:id="126985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638696">
                              <w:marLeft w:val="0"/>
                              <w:marRight w:val="0"/>
                              <w:marTop w:val="0"/>
                              <w:marBottom w:val="0"/>
                              <w:divBdr>
                                <w:top w:val="none" w:sz="0" w:space="0" w:color="auto"/>
                                <w:left w:val="none" w:sz="0" w:space="0" w:color="auto"/>
                                <w:bottom w:val="none" w:sz="0" w:space="0" w:color="auto"/>
                                <w:right w:val="none" w:sz="0" w:space="0" w:color="auto"/>
                              </w:divBdr>
                              <w:divsChild>
                                <w:div w:id="143012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90571">
                      <w:marLeft w:val="0"/>
                      <w:marRight w:val="0"/>
                      <w:marTop w:val="0"/>
                      <w:marBottom w:val="0"/>
                      <w:divBdr>
                        <w:top w:val="none" w:sz="0" w:space="0" w:color="auto"/>
                        <w:left w:val="none" w:sz="0" w:space="0" w:color="auto"/>
                        <w:bottom w:val="none" w:sz="0" w:space="0" w:color="auto"/>
                        <w:right w:val="none" w:sz="0" w:space="0" w:color="auto"/>
                      </w:divBdr>
                      <w:divsChild>
                        <w:div w:id="1316374601">
                          <w:marLeft w:val="0"/>
                          <w:marRight w:val="0"/>
                          <w:marTop w:val="0"/>
                          <w:marBottom w:val="0"/>
                          <w:divBdr>
                            <w:top w:val="none" w:sz="0" w:space="0" w:color="auto"/>
                            <w:left w:val="none" w:sz="0" w:space="0" w:color="auto"/>
                            <w:bottom w:val="none" w:sz="0" w:space="0" w:color="auto"/>
                            <w:right w:val="none" w:sz="0" w:space="0" w:color="auto"/>
                          </w:divBdr>
                          <w:divsChild>
                            <w:div w:id="1527985721">
                              <w:marLeft w:val="0"/>
                              <w:marRight w:val="0"/>
                              <w:marTop w:val="0"/>
                              <w:marBottom w:val="0"/>
                              <w:divBdr>
                                <w:top w:val="none" w:sz="0" w:space="0" w:color="auto"/>
                                <w:left w:val="none" w:sz="0" w:space="0" w:color="auto"/>
                                <w:bottom w:val="none" w:sz="0" w:space="0" w:color="auto"/>
                                <w:right w:val="none" w:sz="0" w:space="0" w:color="auto"/>
                              </w:divBdr>
                            </w:div>
                            <w:div w:id="1268193728">
                              <w:marLeft w:val="0"/>
                              <w:marRight w:val="0"/>
                              <w:marTop w:val="0"/>
                              <w:marBottom w:val="0"/>
                              <w:divBdr>
                                <w:top w:val="none" w:sz="0" w:space="0" w:color="auto"/>
                                <w:left w:val="none" w:sz="0" w:space="0" w:color="auto"/>
                                <w:bottom w:val="none" w:sz="0" w:space="0" w:color="auto"/>
                                <w:right w:val="none" w:sz="0" w:space="0" w:color="auto"/>
                              </w:divBdr>
                              <w:divsChild>
                                <w:div w:id="1370497882">
                                  <w:marLeft w:val="0"/>
                                  <w:marRight w:val="0"/>
                                  <w:marTop w:val="0"/>
                                  <w:marBottom w:val="0"/>
                                  <w:divBdr>
                                    <w:top w:val="none" w:sz="0" w:space="0" w:color="auto"/>
                                    <w:left w:val="none" w:sz="0" w:space="0" w:color="auto"/>
                                    <w:bottom w:val="none" w:sz="0" w:space="0" w:color="auto"/>
                                    <w:right w:val="none" w:sz="0" w:space="0" w:color="auto"/>
                                  </w:divBdr>
                                </w:div>
                              </w:divsChild>
                            </w:div>
                            <w:div w:id="983392693">
                              <w:marLeft w:val="0"/>
                              <w:marRight w:val="0"/>
                              <w:marTop w:val="0"/>
                              <w:marBottom w:val="0"/>
                              <w:divBdr>
                                <w:top w:val="none" w:sz="0" w:space="0" w:color="auto"/>
                                <w:left w:val="none" w:sz="0" w:space="0" w:color="auto"/>
                                <w:bottom w:val="none" w:sz="0" w:space="0" w:color="auto"/>
                                <w:right w:val="none" w:sz="0" w:space="0" w:color="auto"/>
                              </w:divBdr>
                              <w:divsChild>
                                <w:div w:id="1625228927">
                                  <w:marLeft w:val="0"/>
                                  <w:marRight w:val="0"/>
                                  <w:marTop w:val="0"/>
                                  <w:marBottom w:val="0"/>
                                  <w:divBdr>
                                    <w:top w:val="none" w:sz="0" w:space="0" w:color="auto"/>
                                    <w:left w:val="none" w:sz="0" w:space="0" w:color="auto"/>
                                    <w:bottom w:val="none" w:sz="0" w:space="0" w:color="auto"/>
                                    <w:right w:val="none" w:sz="0" w:space="0" w:color="auto"/>
                                  </w:divBdr>
                                </w:div>
                              </w:divsChild>
                            </w:div>
                            <w:div w:id="1405183212">
                              <w:marLeft w:val="0"/>
                              <w:marRight w:val="0"/>
                              <w:marTop w:val="0"/>
                              <w:marBottom w:val="0"/>
                              <w:divBdr>
                                <w:top w:val="none" w:sz="0" w:space="0" w:color="auto"/>
                                <w:left w:val="none" w:sz="0" w:space="0" w:color="auto"/>
                                <w:bottom w:val="none" w:sz="0" w:space="0" w:color="auto"/>
                                <w:right w:val="none" w:sz="0" w:space="0" w:color="auto"/>
                              </w:divBdr>
                              <w:divsChild>
                                <w:div w:id="860558550">
                                  <w:marLeft w:val="0"/>
                                  <w:marRight w:val="0"/>
                                  <w:marTop w:val="0"/>
                                  <w:marBottom w:val="0"/>
                                  <w:divBdr>
                                    <w:top w:val="none" w:sz="0" w:space="0" w:color="auto"/>
                                    <w:left w:val="none" w:sz="0" w:space="0" w:color="auto"/>
                                    <w:bottom w:val="none" w:sz="0" w:space="0" w:color="auto"/>
                                    <w:right w:val="none" w:sz="0" w:space="0" w:color="auto"/>
                                  </w:divBdr>
                                  <w:divsChild>
                                    <w:div w:id="1200774595">
                                      <w:marLeft w:val="0"/>
                                      <w:marRight w:val="0"/>
                                      <w:marTop w:val="0"/>
                                      <w:marBottom w:val="0"/>
                                      <w:divBdr>
                                        <w:top w:val="none" w:sz="0" w:space="0" w:color="auto"/>
                                        <w:left w:val="none" w:sz="0" w:space="0" w:color="auto"/>
                                        <w:bottom w:val="none" w:sz="0" w:space="0" w:color="auto"/>
                                        <w:right w:val="none" w:sz="0" w:space="0" w:color="auto"/>
                                      </w:divBdr>
                                      <w:divsChild>
                                        <w:div w:id="2146506977">
                                          <w:marLeft w:val="0"/>
                                          <w:marRight w:val="0"/>
                                          <w:marTop w:val="120"/>
                                          <w:marBottom w:val="0"/>
                                          <w:divBdr>
                                            <w:top w:val="none" w:sz="0" w:space="0" w:color="auto"/>
                                            <w:left w:val="none" w:sz="0" w:space="0" w:color="auto"/>
                                            <w:bottom w:val="none" w:sz="0" w:space="0" w:color="auto"/>
                                            <w:right w:val="none" w:sz="0" w:space="0" w:color="auto"/>
                                          </w:divBdr>
                                        </w:div>
                                        <w:div w:id="1995529298">
                                          <w:marLeft w:val="0"/>
                                          <w:marRight w:val="0"/>
                                          <w:marTop w:val="0"/>
                                          <w:marBottom w:val="0"/>
                                          <w:divBdr>
                                            <w:top w:val="none" w:sz="0" w:space="0" w:color="auto"/>
                                            <w:left w:val="none" w:sz="0" w:space="0" w:color="auto"/>
                                            <w:bottom w:val="none" w:sz="0" w:space="0" w:color="auto"/>
                                            <w:right w:val="none" w:sz="0" w:space="0" w:color="auto"/>
                                          </w:divBdr>
                                        </w:div>
                                      </w:divsChild>
                                    </w:div>
                                    <w:div w:id="1576470322">
                                      <w:marLeft w:val="0"/>
                                      <w:marRight w:val="0"/>
                                      <w:marTop w:val="0"/>
                                      <w:marBottom w:val="0"/>
                                      <w:divBdr>
                                        <w:top w:val="none" w:sz="0" w:space="0" w:color="auto"/>
                                        <w:left w:val="none" w:sz="0" w:space="0" w:color="auto"/>
                                        <w:bottom w:val="none" w:sz="0" w:space="0" w:color="auto"/>
                                        <w:right w:val="none" w:sz="0" w:space="0" w:color="auto"/>
                                      </w:divBdr>
                                      <w:divsChild>
                                        <w:div w:id="729038576">
                                          <w:marLeft w:val="0"/>
                                          <w:marRight w:val="0"/>
                                          <w:marTop w:val="120"/>
                                          <w:marBottom w:val="0"/>
                                          <w:divBdr>
                                            <w:top w:val="none" w:sz="0" w:space="0" w:color="auto"/>
                                            <w:left w:val="none" w:sz="0" w:space="0" w:color="auto"/>
                                            <w:bottom w:val="none" w:sz="0" w:space="0" w:color="auto"/>
                                            <w:right w:val="none" w:sz="0" w:space="0" w:color="auto"/>
                                          </w:divBdr>
                                        </w:div>
                                        <w:div w:id="592666466">
                                          <w:marLeft w:val="0"/>
                                          <w:marRight w:val="0"/>
                                          <w:marTop w:val="0"/>
                                          <w:marBottom w:val="0"/>
                                          <w:divBdr>
                                            <w:top w:val="none" w:sz="0" w:space="0" w:color="auto"/>
                                            <w:left w:val="none" w:sz="0" w:space="0" w:color="auto"/>
                                            <w:bottom w:val="none" w:sz="0" w:space="0" w:color="auto"/>
                                            <w:right w:val="none" w:sz="0" w:space="0" w:color="auto"/>
                                          </w:divBdr>
                                        </w:div>
                                      </w:divsChild>
                                    </w:div>
                                    <w:div w:id="1683118851">
                                      <w:marLeft w:val="0"/>
                                      <w:marRight w:val="0"/>
                                      <w:marTop w:val="0"/>
                                      <w:marBottom w:val="0"/>
                                      <w:divBdr>
                                        <w:top w:val="none" w:sz="0" w:space="0" w:color="auto"/>
                                        <w:left w:val="none" w:sz="0" w:space="0" w:color="auto"/>
                                        <w:bottom w:val="none" w:sz="0" w:space="0" w:color="auto"/>
                                        <w:right w:val="none" w:sz="0" w:space="0" w:color="auto"/>
                                      </w:divBdr>
                                      <w:divsChild>
                                        <w:div w:id="410081205">
                                          <w:marLeft w:val="0"/>
                                          <w:marRight w:val="0"/>
                                          <w:marTop w:val="120"/>
                                          <w:marBottom w:val="0"/>
                                          <w:divBdr>
                                            <w:top w:val="none" w:sz="0" w:space="0" w:color="auto"/>
                                            <w:left w:val="none" w:sz="0" w:space="0" w:color="auto"/>
                                            <w:bottom w:val="none" w:sz="0" w:space="0" w:color="auto"/>
                                            <w:right w:val="none" w:sz="0" w:space="0" w:color="auto"/>
                                          </w:divBdr>
                                        </w:div>
                                        <w:div w:id="1304849128">
                                          <w:marLeft w:val="0"/>
                                          <w:marRight w:val="0"/>
                                          <w:marTop w:val="0"/>
                                          <w:marBottom w:val="0"/>
                                          <w:divBdr>
                                            <w:top w:val="none" w:sz="0" w:space="0" w:color="auto"/>
                                            <w:left w:val="none" w:sz="0" w:space="0" w:color="auto"/>
                                            <w:bottom w:val="none" w:sz="0" w:space="0" w:color="auto"/>
                                            <w:right w:val="none" w:sz="0" w:space="0" w:color="auto"/>
                                          </w:divBdr>
                                        </w:div>
                                      </w:divsChild>
                                    </w:div>
                                    <w:div w:id="1709796143">
                                      <w:marLeft w:val="0"/>
                                      <w:marRight w:val="0"/>
                                      <w:marTop w:val="0"/>
                                      <w:marBottom w:val="0"/>
                                      <w:divBdr>
                                        <w:top w:val="none" w:sz="0" w:space="0" w:color="auto"/>
                                        <w:left w:val="none" w:sz="0" w:space="0" w:color="auto"/>
                                        <w:bottom w:val="none" w:sz="0" w:space="0" w:color="auto"/>
                                        <w:right w:val="none" w:sz="0" w:space="0" w:color="auto"/>
                                      </w:divBdr>
                                      <w:divsChild>
                                        <w:div w:id="610674989">
                                          <w:marLeft w:val="0"/>
                                          <w:marRight w:val="0"/>
                                          <w:marTop w:val="120"/>
                                          <w:marBottom w:val="0"/>
                                          <w:divBdr>
                                            <w:top w:val="none" w:sz="0" w:space="0" w:color="auto"/>
                                            <w:left w:val="none" w:sz="0" w:space="0" w:color="auto"/>
                                            <w:bottom w:val="none" w:sz="0" w:space="0" w:color="auto"/>
                                            <w:right w:val="none" w:sz="0" w:space="0" w:color="auto"/>
                                          </w:divBdr>
                                        </w:div>
                                        <w:div w:id="1131020794">
                                          <w:marLeft w:val="0"/>
                                          <w:marRight w:val="0"/>
                                          <w:marTop w:val="0"/>
                                          <w:marBottom w:val="0"/>
                                          <w:divBdr>
                                            <w:top w:val="none" w:sz="0" w:space="0" w:color="auto"/>
                                            <w:left w:val="none" w:sz="0" w:space="0" w:color="auto"/>
                                            <w:bottom w:val="none" w:sz="0" w:space="0" w:color="auto"/>
                                            <w:right w:val="none" w:sz="0" w:space="0" w:color="auto"/>
                                          </w:divBdr>
                                        </w:div>
                                      </w:divsChild>
                                    </w:div>
                                    <w:div w:id="2103909896">
                                      <w:marLeft w:val="0"/>
                                      <w:marRight w:val="0"/>
                                      <w:marTop w:val="0"/>
                                      <w:marBottom w:val="0"/>
                                      <w:divBdr>
                                        <w:top w:val="none" w:sz="0" w:space="0" w:color="auto"/>
                                        <w:left w:val="none" w:sz="0" w:space="0" w:color="auto"/>
                                        <w:bottom w:val="none" w:sz="0" w:space="0" w:color="auto"/>
                                        <w:right w:val="none" w:sz="0" w:space="0" w:color="auto"/>
                                      </w:divBdr>
                                      <w:divsChild>
                                        <w:div w:id="607002992">
                                          <w:marLeft w:val="0"/>
                                          <w:marRight w:val="0"/>
                                          <w:marTop w:val="120"/>
                                          <w:marBottom w:val="0"/>
                                          <w:divBdr>
                                            <w:top w:val="none" w:sz="0" w:space="0" w:color="auto"/>
                                            <w:left w:val="none" w:sz="0" w:space="0" w:color="auto"/>
                                            <w:bottom w:val="none" w:sz="0" w:space="0" w:color="auto"/>
                                            <w:right w:val="none" w:sz="0" w:space="0" w:color="auto"/>
                                          </w:divBdr>
                                        </w:div>
                                        <w:div w:id="1516844739">
                                          <w:marLeft w:val="0"/>
                                          <w:marRight w:val="0"/>
                                          <w:marTop w:val="0"/>
                                          <w:marBottom w:val="0"/>
                                          <w:divBdr>
                                            <w:top w:val="none" w:sz="0" w:space="0" w:color="auto"/>
                                            <w:left w:val="none" w:sz="0" w:space="0" w:color="auto"/>
                                            <w:bottom w:val="none" w:sz="0" w:space="0" w:color="auto"/>
                                            <w:right w:val="none" w:sz="0" w:space="0" w:color="auto"/>
                                          </w:divBdr>
                                        </w:div>
                                      </w:divsChild>
                                    </w:div>
                                    <w:div w:id="733433023">
                                      <w:marLeft w:val="0"/>
                                      <w:marRight w:val="0"/>
                                      <w:marTop w:val="0"/>
                                      <w:marBottom w:val="0"/>
                                      <w:divBdr>
                                        <w:top w:val="none" w:sz="0" w:space="0" w:color="auto"/>
                                        <w:left w:val="none" w:sz="0" w:space="0" w:color="auto"/>
                                        <w:bottom w:val="none" w:sz="0" w:space="0" w:color="auto"/>
                                        <w:right w:val="none" w:sz="0" w:space="0" w:color="auto"/>
                                      </w:divBdr>
                                      <w:divsChild>
                                        <w:div w:id="591621241">
                                          <w:marLeft w:val="0"/>
                                          <w:marRight w:val="0"/>
                                          <w:marTop w:val="120"/>
                                          <w:marBottom w:val="0"/>
                                          <w:divBdr>
                                            <w:top w:val="none" w:sz="0" w:space="0" w:color="auto"/>
                                            <w:left w:val="none" w:sz="0" w:space="0" w:color="auto"/>
                                            <w:bottom w:val="none" w:sz="0" w:space="0" w:color="auto"/>
                                            <w:right w:val="none" w:sz="0" w:space="0" w:color="auto"/>
                                          </w:divBdr>
                                        </w:div>
                                        <w:div w:id="393165996">
                                          <w:marLeft w:val="0"/>
                                          <w:marRight w:val="0"/>
                                          <w:marTop w:val="0"/>
                                          <w:marBottom w:val="0"/>
                                          <w:divBdr>
                                            <w:top w:val="none" w:sz="0" w:space="0" w:color="auto"/>
                                            <w:left w:val="none" w:sz="0" w:space="0" w:color="auto"/>
                                            <w:bottom w:val="none" w:sz="0" w:space="0" w:color="auto"/>
                                            <w:right w:val="none" w:sz="0" w:space="0" w:color="auto"/>
                                          </w:divBdr>
                                        </w:div>
                                      </w:divsChild>
                                    </w:div>
                                    <w:div w:id="1781994564">
                                      <w:marLeft w:val="0"/>
                                      <w:marRight w:val="0"/>
                                      <w:marTop w:val="0"/>
                                      <w:marBottom w:val="0"/>
                                      <w:divBdr>
                                        <w:top w:val="none" w:sz="0" w:space="0" w:color="auto"/>
                                        <w:left w:val="none" w:sz="0" w:space="0" w:color="auto"/>
                                        <w:bottom w:val="none" w:sz="0" w:space="0" w:color="auto"/>
                                        <w:right w:val="none" w:sz="0" w:space="0" w:color="auto"/>
                                      </w:divBdr>
                                      <w:divsChild>
                                        <w:div w:id="1503158241">
                                          <w:marLeft w:val="0"/>
                                          <w:marRight w:val="0"/>
                                          <w:marTop w:val="120"/>
                                          <w:marBottom w:val="0"/>
                                          <w:divBdr>
                                            <w:top w:val="none" w:sz="0" w:space="0" w:color="auto"/>
                                            <w:left w:val="none" w:sz="0" w:space="0" w:color="auto"/>
                                            <w:bottom w:val="none" w:sz="0" w:space="0" w:color="auto"/>
                                            <w:right w:val="none" w:sz="0" w:space="0" w:color="auto"/>
                                          </w:divBdr>
                                        </w:div>
                                        <w:div w:id="1314797344">
                                          <w:marLeft w:val="0"/>
                                          <w:marRight w:val="0"/>
                                          <w:marTop w:val="0"/>
                                          <w:marBottom w:val="0"/>
                                          <w:divBdr>
                                            <w:top w:val="none" w:sz="0" w:space="0" w:color="auto"/>
                                            <w:left w:val="none" w:sz="0" w:space="0" w:color="auto"/>
                                            <w:bottom w:val="none" w:sz="0" w:space="0" w:color="auto"/>
                                            <w:right w:val="none" w:sz="0" w:space="0" w:color="auto"/>
                                          </w:divBdr>
                                        </w:div>
                                      </w:divsChild>
                                    </w:div>
                                    <w:div w:id="1755852920">
                                      <w:marLeft w:val="0"/>
                                      <w:marRight w:val="0"/>
                                      <w:marTop w:val="0"/>
                                      <w:marBottom w:val="0"/>
                                      <w:divBdr>
                                        <w:top w:val="none" w:sz="0" w:space="0" w:color="auto"/>
                                        <w:left w:val="none" w:sz="0" w:space="0" w:color="auto"/>
                                        <w:bottom w:val="none" w:sz="0" w:space="0" w:color="auto"/>
                                        <w:right w:val="none" w:sz="0" w:space="0" w:color="auto"/>
                                      </w:divBdr>
                                      <w:divsChild>
                                        <w:div w:id="352533580">
                                          <w:marLeft w:val="0"/>
                                          <w:marRight w:val="0"/>
                                          <w:marTop w:val="120"/>
                                          <w:marBottom w:val="0"/>
                                          <w:divBdr>
                                            <w:top w:val="none" w:sz="0" w:space="0" w:color="auto"/>
                                            <w:left w:val="none" w:sz="0" w:space="0" w:color="auto"/>
                                            <w:bottom w:val="none" w:sz="0" w:space="0" w:color="auto"/>
                                            <w:right w:val="none" w:sz="0" w:space="0" w:color="auto"/>
                                          </w:divBdr>
                                        </w:div>
                                        <w:div w:id="1063526271">
                                          <w:marLeft w:val="0"/>
                                          <w:marRight w:val="0"/>
                                          <w:marTop w:val="0"/>
                                          <w:marBottom w:val="0"/>
                                          <w:divBdr>
                                            <w:top w:val="none" w:sz="0" w:space="0" w:color="auto"/>
                                            <w:left w:val="none" w:sz="0" w:space="0" w:color="auto"/>
                                            <w:bottom w:val="none" w:sz="0" w:space="0" w:color="auto"/>
                                            <w:right w:val="none" w:sz="0" w:space="0" w:color="auto"/>
                                          </w:divBdr>
                                        </w:div>
                                      </w:divsChild>
                                    </w:div>
                                    <w:div w:id="1246840618">
                                      <w:marLeft w:val="0"/>
                                      <w:marRight w:val="0"/>
                                      <w:marTop w:val="0"/>
                                      <w:marBottom w:val="0"/>
                                      <w:divBdr>
                                        <w:top w:val="none" w:sz="0" w:space="0" w:color="auto"/>
                                        <w:left w:val="none" w:sz="0" w:space="0" w:color="auto"/>
                                        <w:bottom w:val="none" w:sz="0" w:space="0" w:color="auto"/>
                                        <w:right w:val="none" w:sz="0" w:space="0" w:color="auto"/>
                                      </w:divBdr>
                                      <w:divsChild>
                                        <w:div w:id="2066949198">
                                          <w:marLeft w:val="0"/>
                                          <w:marRight w:val="0"/>
                                          <w:marTop w:val="120"/>
                                          <w:marBottom w:val="0"/>
                                          <w:divBdr>
                                            <w:top w:val="none" w:sz="0" w:space="0" w:color="auto"/>
                                            <w:left w:val="none" w:sz="0" w:space="0" w:color="auto"/>
                                            <w:bottom w:val="none" w:sz="0" w:space="0" w:color="auto"/>
                                            <w:right w:val="none" w:sz="0" w:space="0" w:color="auto"/>
                                          </w:divBdr>
                                        </w:div>
                                        <w:div w:id="1270090111">
                                          <w:marLeft w:val="0"/>
                                          <w:marRight w:val="0"/>
                                          <w:marTop w:val="0"/>
                                          <w:marBottom w:val="0"/>
                                          <w:divBdr>
                                            <w:top w:val="none" w:sz="0" w:space="0" w:color="auto"/>
                                            <w:left w:val="none" w:sz="0" w:space="0" w:color="auto"/>
                                            <w:bottom w:val="none" w:sz="0" w:space="0" w:color="auto"/>
                                            <w:right w:val="none" w:sz="0" w:space="0" w:color="auto"/>
                                          </w:divBdr>
                                        </w:div>
                                      </w:divsChild>
                                    </w:div>
                                    <w:div w:id="842281207">
                                      <w:marLeft w:val="0"/>
                                      <w:marRight w:val="0"/>
                                      <w:marTop w:val="0"/>
                                      <w:marBottom w:val="0"/>
                                      <w:divBdr>
                                        <w:top w:val="none" w:sz="0" w:space="0" w:color="auto"/>
                                        <w:left w:val="none" w:sz="0" w:space="0" w:color="auto"/>
                                        <w:bottom w:val="none" w:sz="0" w:space="0" w:color="auto"/>
                                        <w:right w:val="none" w:sz="0" w:space="0" w:color="auto"/>
                                      </w:divBdr>
                                      <w:divsChild>
                                        <w:div w:id="864834003">
                                          <w:marLeft w:val="0"/>
                                          <w:marRight w:val="0"/>
                                          <w:marTop w:val="120"/>
                                          <w:marBottom w:val="0"/>
                                          <w:divBdr>
                                            <w:top w:val="none" w:sz="0" w:space="0" w:color="auto"/>
                                            <w:left w:val="none" w:sz="0" w:space="0" w:color="auto"/>
                                            <w:bottom w:val="none" w:sz="0" w:space="0" w:color="auto"/>
                                            <w:right w:val="none" w:sz="0" w:space="0" w:color="auto"/>
                                          </w:divBdr>
                                        </w:div>
                                        <w:div w:id="962618720">
                                          <w:marLeft w:val="0"/>
                                          <w:marRight w:val="0"/>
                                          <w:marTop w:val="0"/>
                                          <w:marBottom w:val="0"/>
                                          <w:divBdr>
                                            <w:top w:val="none" w:sz="0" w:space="0" w:color="auto"/>
                                            <w:left w:val="none" w:sz="0" w:space="0" w:color="auto"/>
                                            <w:bottom w:val="none" w:sz="0" w:space="0" w:color="auto"/>
                                            <w:right w:val="none" w:sz="0" w:space="0" w:color="auto"/>
                                          </w:divBdr>
                                        </w:div>
                                      </w:divsChild>
                                    </w:div>
                                    <w:div w:id="680819348">
                                      <w:marLeft w:val="0"/>
                                      <w:marRight w:val="0"/>
                                      <w:marTop w:val="0"/>
                                      <w:marBottom w:val="0"/>
                                      <w:divBdr>
                                        <w:top w:val="none" w:sz="0" w:space="0" w:color="auto"/>
                                        <w:left w:val="none" w:sz="0" w:space="0" w:color="auto"/>
                                        <w:bottom w:val="none" w:sz="0" w:space="0" w:color="auto"/>
                                        <w:right w:val="none" w:sz="0" w:space="0" w:color="auto"/>
                                      </w:divBdr>
                                      <w:divsChild>
                                        <w:div w:id="98069039">
                                          <w:marLeft w:val="0"/>
                                          <w:marRight w:val="0"/>
                                          <w:marTop w:val="120"/>
                                          <w:marBottom w:val="0"/>
                                          <w:divBdr>
                                            <w:top w:val="none" w:sz="0" w:space="0" w:color="auto"/>
                                            <w:left w:val="none" w:sz="0" w:space="0" w:color="auto"/>
                                            <w:bottom w:val="none" w:sz="0" w:space="0" w:color="auto"/>
                                            <w:right w:val="none" w:sz="0" w:space="0" w:color="auto"/>
                                          </w:divBdr>
                                        </w:div>
                                        <w:div w:id="11657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99779">
                              <w:marLeft w:val="0"/>
                              <w:marRight w:val="0"/>
                              <w:marTop w:val="0"/>
                              <w:marBottom w:val="0"/>
                              <w:divBdr>
                                <w:top w:val="none" w:sz="0" w:space="0" w:color="auto"/>
                                <w:left w:val="none" w:sz="0" w:space="0" w:color="auto"/>
                                <w:bottom w:val="none" w:sz="0" w:space="0" w:color="auto"/>
                                <w:right w:val="none" w:sz="0" w:space="0" w:color="auto"/>
                              </w:divBdr>
                              <w:divsChild>
                                <w:div w:id="117460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1895">
                          <w:marLeft w:val="0"/>
                          <w:marRight w:val="0"/>
                          <w:marTop w:val="0"/>
                          <w:marBottom w:val="0"/>
                          <w:divBdr>
                            <w:top w:val="none" w:sz="0" w:space="0" w:color="auto"/>
                            <w:left w:val="none" w:sz="0" w:space="0" w:color="auto"/>
                            <w:bottom w:val="none" w:sz="0" w:space="0" w:color="auto"/>
                            <w:right w:val="none" w:sz="0" w:space="0" w:color="auto"/>
                          </w:divBdr>
                          <w:divsChild>
                            <w:div w:id="947812732">
                              <w:marLeft w:val="0"/>
                              <w:marRight w:val="0"/>
                              <w:marTop w:val="0"/>
                              <w:marBottom w:val="0"/>
                              <w:divBdr>
                                <w:top w:val="none" w:sz="0" w:space="0" w:color="auto"/>
                                <w:left w:val="none" w:sz="0" w:space="0" w:color="auto"/>
                                <w:bottom w:val="none" w:sz="0" w:space="0" w:color="auto"/>
                                <w:right w:val="none" w:sz="0" w:space="0" w:color="auto"/>
                              </w:divBdr>
                            </w:div>
                            <w:div w:id="1020357979">
                              <w:marLeft w:val="0"/>
                              <w:marRight w:val="0"/>
                              <w:marTop w:val="0"/>
                              <w:marBottom w:val="0"/>
                              <w:divBdr>
                                <w:top w:val="none" w:sz="0" w:space="0" w:color="auto"/>
                                <w:left w:val="none" w:sz="0" w:space="0" w:color="auto"/>
                                <w:bottom w:val="none" w:sz="0" w:space="0" w:color="auto"/>
                                <w:right w:val="none" w:sz="0" w:space="0" w:color="auto"/>
                              </w:divBdr>
                              <w:divsChild>
                                <w:div w:id="1159275270">
                                  <w:marLeft w:val="0"/>
                                  <w:marRight w:val="0"/>
                                  <w:marTop w:val="0"/>
                                  <w:marBottom w:val="0"/>
                                  <w:divBdr>
                                    <w:top w:val="none" w:sz="0" w:space="0" w:color="auto"/>
                                    <w:left w:val="none" w:sz="0" w:space="0" w:color="auto"/>
                                    <w:bottom w:val="none" w:sz="0" w:space="0" w:color="auto"/>
                                    <w:right w:val="none" w:sz="0" w:space="0" w:color="auto"/>
                                  </w:divBdr>
                                </w:div>
                              </w:divsChild>
                            </w:div>
                            <w:div w:id="1022707443">
                              <w:marLeft w:val="0"/>
                              <w:marRight w:val="0"/>
                              <w:marTop w:val="0"/>
                              <w:marBottom w:val="0"/>
                              <w:divBdr>
                                <w:top w:val="none" w:sz="0" w:space="0" w:color="auto"/>
                                <w:left w:val="none" w:sz="0" w:space="0" w:color="auto"/>
                                <w:bottom w:val="none" w:sz="0" w:space="0" w:color="auto"/>
                                <w:right w:val="none" w:sz="0" w:space="0" w:color="auto"/>
                              </w:divBdr>
                              <w:divsChild>
                                <w:div w:id="1827629035">
                                  <w:marLeft w:val="0"/>
                                  <w:marRight w:val="0"/>
                                  <w:marTop w:val="0"/>
                                  <w:marBottom w:val="0"/>
                                  <w:divBdr>
                                    <w:top w:val="none" w:sz="0" w:space="0" w:color="auto"/>
                                    <w:left w:val="none" w:sz="0" w:space="0" w:color="auto"/>
                                    <w:bottom w:val="none" w:sz="0" w:space="0" w:color="auto"/>
                                    <w:right w:val="none" w:sz="0" w:space="0" w:color="auto"/>
                                  </w:divBdr>
                                  <w:divsChild>
                                    <w:div w:id="44838067">
                                      <w:marLeft w:val="0"/>
                                      <w:marRight w:val="0"/>
                                      <w:marTop w:val="0"/>
                                      <w:marBottom w:val="0"/>
                                      <w:divBdr>
                                        <w:top w:val="none" w:sz="0" w:space="0" w:color="auto"/>
                                        <w:left w:val="none" w:sz="0" w:space="0" w:color="auto"/>
                                        <w:bottom w:val="none" w:sz="0" w:space="0" w:color="auto"/>
                                        <w:right w:val="none" w:sz="0" w:space="0" w:color="auto"/>
                                      </w:divBdr>
                                      <w:divsChild>
                                        <w:div w:id="1501845988">
                                          <w:marLeft w:val="0"/>
                                          <w:marRight w:val="0"/>
                                          <w:marTop w:val="120"/>
                                          <w:marBottom w:val="0"/>
                                          <w:divBdr>
                                            <w:top w:val="none" w:sz="0" w:space="0" w:color="auto"/>
                                            <w:left w:val="none" w:sz="0" w:space="0" w:color="auto"/>
                                            <w:bottom w:val="none" w:sz="0" w:space="0" w:color="auto"/>
                                            <w:right w:val="none" w:sz="0" w:space="0" w:color="auto"/>
                                          </w:divBdr>
                                        </w:div>
                                        <w:div w:id="290139389">
                                          <w:marLeft w:val="0"/>
                                          <w:marRight w:val="0"/>
                                          <w:marTop w:val="0"/>
                                          <w:marBottom w:val="0"/>
                                          <w:divBdr>
                                            <w:top w:val="none" w:sz="0" w:space="0" w:color="auto"/>
                                            <w:left w:val="none" w:sz="0" w:space="0" w:color="auto"/>
                                            <w:bottom w:val="none" w:sz="0" w:space="0" w:color="auto"/>
                                            <w:right w:val="none" w:sz="0" w:space="0" w:color="auto"/>
                                          </w:divBdr>
                                        </w:div>
                                      </w:divsChild>
                                    </w:div>
                                    <w:div w:id="834688496">
                                      <w:marLeft w:val="0"/>
                                      <w:marRight w:val="0"/>
                                      <w:marTop w:val="0"/>
                                      <w:marBottom w:val="0"/>
                                      <w:divBdr>
                                        <w:top w:val="none" w:sz="0" w:space="0" w:color="auto"/>
                                        <w:left w:val="none" w:sz="0" w:space="0" w:color="auto"/>
                                        <w:bottom w:val="none" w:sz="0" w:space="0" w:color="auto"/>
                                        <w:right w:val="none" w:sz="0" w:space="0" w:color="auto"/>
                                      </w:divBdr>
                                      <w:divsChild>
                                        <w:div w:id="1927423003">
                                          <w:marLeft w:val="0"/>
                                          <w:marRight w:val="0"/>
                                          <w:marTop w:val="120"/>
                                          <w:marBottom w:val="0"/>
                                          <w:divBdr>
                                            <w:top w:val="none" w:sz="0" w:space="0" w:color="auto"/>
                                            <w:left w:val="none" w:sz="0" w:space="0" w:color="auto"/>
                                            <w:bottom w:val="none" w:sz="0" w:space="0" w:color="auto"/>
                                            <w:right w:val="none" w:sz="0" w:space="0" w:color="auto"/>
                                          </w:divBdr>
                                        </w:div>
                                        <w:div w:id="67345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626612">
                              <w:marLeft w:val="0"/>
                              <w:marRight w:val="0"/>
                              <w:marTop w:val="0"/>
                              <w:marBottom w:val="0"/>
                              <w:divBdr>
                                <w:top w:val="none" w:sz="0" w:space="0" w:color="auto"/>
                                <w:left w:val="none" w:sz="0" w:space="0" w:color="auto"/>
                                <w:bottom w:val="none" w:sz="0" w:space="0" w:color="auto"/>
                                <w:right w:val="none" w:sz="0" w:space="0" w:color="auto"/>
                              </w:divBdr>
                              <w:divsChild>
                                <w:div w:id="1554656055">
                                  <w:marLeft w:val="0"/>
                                  <w:marRight w:val="0"/>
                                  <w:marTop w:val="0"/>
                                  <w:marBottom w:val="0"/>
                                  <w:divBdr>
                                    <w:top w:val="none" w:sz="0" w:space="0" w:color="auto"/>
                                    <w:left w:val="none" w:sz="0" w:space="0" w:color="auto"/>
                                    <w:bottom w:val="none" w:sz="0" w:space="0" w:color="auto"/>
                                    <w:right w:val="none" w:sz="0" w:space="0" w:color="auto"/>
                                  </w:divBdr>
                                  <w:divsChild>
                                    <w:div w:id="968826149">
                                      <w:marLeft w:val="0"/>
                                      <w:marRight w:val="0"/>
                                      <w:marTop w:val="0"/>
                                      <w:marBottom w:val="0"/>
                                      <w:divBdr>
                                        <w:top w:val="none" w:sz="0" w:space="0" w:color="auto"/>
                                        <w:left w:val="none" w:sz="0" w:space="0" w:color="auto"/>
                                        <w:bottom w:val="none" w:sz="0" w:space="0" w:color="auto"/>
                                        <w:right w:val="none" w:sz="0" w:space="0" w:color="auto"/>
                                      </w:divBdr>
                                      <w:divsChild>
                                        <w:div w:id="2041932177">
                                          <w:marLeft w:val="0"/>
                                          <w:marRight w:val="0"/>
                                          <w:marTop w:val="120"/>
                                          <w:marBottom w:val="0"/>
                                          <w:divBdr>
                                            <w:top w:val="none" w:sz="0" w:space="0" w:color="auto"/>
                                            <w:left w:val="none" w:sz="0" w:space="0" w:color="auto"/>
                                            <w:bottom w:val="none" w:sz="0" w:space="0" w:color="auto"/>
                                            <w:right w:val="none" w:sz="0" w:space="0" w:color="auto"/>
                                          </w:divBdr>
                                        </w:div>
                                        <w:div w:id="49112489">
                                          <w:marLeft w:val="0"/>
                                          <w:marRight w:val="0"/>
                                          <w:marTop w:val="0"/>
                                          <w:marBottom w:val="0"/>
                                          <w:divBdr>
                                            <w:top w:val="none" w:sz="0" w:space="0" w:color="auto"/>
                                            <w:left w:val="none" w:sz="0" w:space="0" w:color="auto"/>
                                            <w:bottom w:val="none" w:sz="0" w:space="0" w:color="auto"/>
                                            <w:right w:val="none" w:sz="0" w:space="0" w:color="auto"/>
                                          </w:divBdr>
                                        </w:div>
                                      </w:divsChild>
                                    </w:div>
                                    <w:div w:id="22219369">
                                      <w:marLeft w:val="0"/>
                                      <w:marRight w:val="0"/>
                                      <w:marTop w:val="0"/>
                                      <w:marBottom w:val="0"/>
                                      <w:divBdr>
                                        <w:top w:val="none" w:sz="0" w:space="0" w:color="auto"/>
                                        <w:left w:val="none" w:sz="0" w:space="0" w:color="auto"/>
                                        <w:bottom w:val="none" w:sz="0" w:space="0" w:color="auto"/>
                                        <w:right w:val="none" w:sz="0" w:space="0" w:color="auto"/>
                                      </w:divBdr>
                                      <w:divsChild>
                                        <w:div w:id="648706896">
                                          <w:marLeft w:val="0"/>
                                          <w:marRight w:val="0"/>
                                          <w:marTop w:val="120"/>
                                          <w:marBottom w:val="0"/>
                                          <w:divBdr>
                                            <w:top w:val="none" w:sz="0" w:space="0" w:color="auto"/>
                                            <w:left w:val="none" w:sz="0" w:space="0" w:color="auto"/>
                                            <w:bottom w:val="none" w:sz="0" w:space="0" w:color="auto"/>
                                            <w:right w:val="none" w:sz="0" w:space="0" w:color="auto"/>
                                          </w:divBdr>
                                        </w:div>
                                        <w:div w:id="14406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907357">
                          <w:marLeft w:val="0"/>
                          <w:marRight w:val="0"/>
                          <w:marTop w:val="0"/>
                          <w:marBottom w:val="0"/>
                          <w:divBdr>
                            <w:top w:val="none" w:sz="0" w:space="0" w:color="auto"/>
                            <w:left w:val="none" w:sz="0" w:space="0" w:color="auto"/>
                            <w:bottom w:val="none" w:sz="0" w:space="0" w:color="auto"/>
                            <w:right w:val="none" w:sz="0" w:space="0" w:color="auto"/>
                          </w:divBdr>
                          <w:divsChild>
                            <w:div w:id="2053461416">
                              <w:marLeft w:val="0"/>
                              <w:marRight w:val="0"/>
                              <w:marTop w:val="0"/>
                              <w:marBottom w:val="0"/>
                              <w:divBdr>
                                <w:top w:val="none" w:sz="0" w:space="0" w:color="auto"/>
                                <w:left w:val="none" w:sz="0" w:space="0" w:color="auto"/>
                                <w:bottom w:val="none" w:sz="0" w:space="0" w:color="auto"/>
                                <w:right w:val="none" w:sz="0" w:space="0" w:color="auto"/>
                              </w:divBdr>
                            </w:div>
                            <w:div w:id="1638143455">
                              <w:marLeft w:val="0"/>
                              <w:marRight w:val="0"/>
                              <w:marTop w:val="0"/>
                              <w:marBottom w:val="0"/>
                              <w:divBdr>
                                <w:top w:val="none" w:sz="0" w:space="0" w:color="auto"/>
                                <w:left w:val="none" w:sz="0" w:space="0" w:color="auto"/>
                                <w:bottom w:val="none" w:sz="0" w:space="0" w:color="auto"/>
                                <w:right w:val="none" w:sz="0" w:space="0" w:color="auto"/>
                              </w:divBdr>
                              <w:divsChild>
                                <w:div w:id="685592594">
                                  <w:marLeft w:val="0"/>
                                  <w:marRight w:val="0"/>
                                  <w:marTop w:val="0"/>
                                  <w:marBottom w:val="0"/>
                                  <w:divBdr>
                                    <w:top w:val="none" w:sz="0" w:space="0" w:color="auto"/>
                                    <w:left w:val="none" w:sz="0" w:space="0" w:color="auto"/>
                                    <w:bottom w:val="none" w:sz="0" w:space="0" w:color="auto"/>
                                    <w:right w:val="none" w:sz="0" w:space="0" w:color="auto"/>
                                  </w:divBdr>
                                </w:div>
                              </w:divsChild>
                            </w:div>
                            <w:div w:id="1533811141">
                              <w:marLeft w:val="0"/>
                              <w:marRight w:val="0"/>
                              <w:marTop w:val="0"/>
                              <w:marBottom w:val="0"/>
                              <w:divBdr>
                                <w:top w:val="none" w:sz="0" w:space="0" w:color="auto"/>
                                <w:left w:val="none" w:sz="0" w:space="0" w:color="auto"/>
                                <w:bottom w:val="none" w:sz="0" w:space="0" w:color="auto"/>
                                <w:right w:val="none" w:sz="0" w:space="0" w:color="auto"/>
                              </w:divBdr>
                              <w:divsChild>
                                <w:div w:id="1104768484">
                                  <w:marLeft w:val="0"/>
                                  <w:marRight w:val="0"/>
                                  <w:marTop w:val="0"/>
                                  <w:marBottom w:val="0"/>
                                  <w:divBdr>
                                    <w:top w:val="none" w:sz="0" w:space="0" w:color="auto"/>
                                    <w:left w:val="none" w:sz="0" w:space="0" w:color="auto"/>
                                    <w:bottom w:val="none" w:sz="0" w:space="0" w:color="auto"/>
                                    <w:right w:val="none" w:sz="0" w:space="0" w:color="auto"/>
                                  </w:divBdr>
                                  <w:divsChild>
                                    <w:div w:id="532961711">
                                      <w:marLeft w:val="0"/>
                                      <w:marRight w:val="0"/>
                                      <w:marTop w:val="0"/>
                                      <w:marBottom w:val="0"/>
                                      <w:divBdr>
                                        <w:top w:val="none" w:sz="0" w:space="0" w:color="auto"/>
                                        <w:left w:val="none" w:sz="0" w:space="0" w:color="auto"/>
                                        <w:bottom w:val="none" w:sz="0" w:space="0" w:color="auto"/>
                                        <w:right w:val="none" w:sz="0" w:space="0" w:color="auto"/>
                                      </w:divBdr>
                                      <w:divsChild>
                                        <w:div w:id="723060789">
                                          <w:marLeft w:val="0"/>
                                          <w:marRight w:val="0"/>
                                          <w:marTop w:val="120"/>
                                          <w:marBottom w:val="0"/>
                                          <w:divBdr>
                                            <w:top w:val="none" w:sz="0" w:space="0" w:color="auto"/>
                                            <w:left w:val="none" w:sz="0" w:space="0" w:color="auto"/>
                                            <w:bottom w:val="none" w:sz="0" w:space="0" w:color="auto"/>
                                            <w:right w:val="none" w:sz="0" w:space="0" w:color="auto"/>
                                          </w:divBdr>
                                        </w:div>
                                        <w:div w:id="1939292762">
                                          <w:marLeft w:val="0"/>
                                          <w:marRight w:val="0"/>
                                          <w:marTop w:val="0"/>
                                          <w:marBottom w:val="0"/>
                                          <w:divBdr>
                                            <w:top w:val="none" w:sz="0" w:space="0" w:color="auto"/>
                                            <w:left w:val="none" w:sz="0" w:space="0" w:color="auto"/>
                                            <w:bottom w:val="none" w:sz="0" w:space="0" w:color="auto"/>
                                            <w:right w:val="none" w:sz="0" w:space="0" w:color="auto"/>
                                          </w:divBdr>
                                        </w:div>
                                      </w:divsChild>
                                    </w:div>
                                    <w:div w:id="1805807239">
                                      <w:marLeft w:val="0"/>
                                      <w:marRight w:val="0"/>
                                      <w:marTop w:val="0"/>
                                      <w:marBottom w:val="0"/>
                                      <w:divBdr>
                                        <w:top w:val="none" w:sz="0" w:space="0" w:color="auto"/>
                                        <w:left w:val="none" w:sz="0" w:space="0" w:color="auto"/>
                                        <w:bottom w:val="none" w:sz="0" w:space="0" w:color="auto"/>
                                        <w:right w:val="none" w:sz="0" w:space="0" w:color="auto"/>
                                      </w:divBdr>
                                      <w:divsChild>
                                        <w:div w:id="850603169">
                                          <w:marLeft w:val="0"/>
                                          <w:marRight w:val="0"/>
                                          <w:marTop w:val="120"/>
                                          <w:marBottom w:val="0"/>
                                          <w:divBdr>
                                            <w:top w:val="none" w:sz="0" w:space="0" w:color="auto"/>
                                            <w:left w:val="none" w:sz="0" w:space="0" w:color="auto"/>
                                            <w:bottom w:val="none" w:sz="0" w:space="0" w:color="auto"/>
                                            <w:right w:val="none" w:sz="0" w:space="0" w:color="auto"/>
                                          </w:divBdr>
                                        </w:div>
                                        <w:div w:id="578563955">
                                          <w:marLeft w:val="0"/>
                                          <w:marRight w:val="0"/>
                                          <w:marTop w:val="0"/>
                                          <w:marBottom w:val="0"/>
                                          <w:divBdr>
                                            <w:top w:val="none" w:sz="0" w:space="0" w:color="auto"/>
                                            <w:left w:val="none" w:sz="0" w:space="0" w:color="auto"/>
                                            <w:bottom w:val="none" w:sz="0" w:space="0" w:color="auto"/>
                                            <w:right w:val="none" w:sz="0" w:space="0" w:color="auto"/>
                                          </w:divBdr>
                                        </w:div>
                                      </w:divsChild>
                                    </w:div>
                                    <w:div w:id="422921484">
                                      <w:marLeft w:val="0"/>
                                      <w:marRight w:val="0"/>
                                      <w:marTop w:val="0"/>
                                      <w:marBottom w:val="0"/>
                                      <w:divBdr>
                                        <w:top w:val="none" w:sz="0" w:space="0" w:color="auto"/>
                                        <w:left w:val="none" w:sz="0" w:space="0" w:color="auto"/>
                                        <w:bottom w:val="none" w:sz="0" w:space="0" w:color="auto"/>
                                        <w:right w:val="none" w:sz="0" w:space="0" w:color="auto"/>
                                      </w:divBdr>
                                      <w:divsChild>
                                        <w:div w:id="1212427936">
                                          <w:marLeft w:val="0"/>
                                          <w:marRight w:val="0"/>
                                          <w:marTop w:val="120"/>
                                          <w:marBottom w:val="0"/>
                                          <w:divBdr>
                                            <w:top w:val="none" w:sz="0" w:space="0" w:color="auto"/>
                                            <w:left w:val="none" w:sz="0" w:space="0" w:color="auto"/>
                                            <w:bottom w:val="none" w:sz="0" w:space="0" w:color="auto"/>
                                            <w:right w:val="none" w:sz="0" w:space="0" w:color="auto"/>
                                          </w:divBdr>
                                        </w:div>
                                        <w:div w:id="1222522704">
                                          <w:marLeft w:val="0"/>
                                          <w:marRight w:val="0"/>
                                          <w:marTop w:val="0"/>
                                          <w:marBottom w:val="0"/>
                                          <w:divBdr>
                                            <w:top w:val="none" w:sz="0" w:space="0" w:color="auto"/>
                                            <w:left w:val="none" w:sz="0" w:space="0" w:color="auto"/>
                                            <w:bottom w:val="none" w:sz="0" w:space="0" w:color="auto"/>
                                            <w:right w:val="none" w:sz="0" w:space="0" w:color="auto"/>
                                          </w:divBdr>
                                        </w:div>
                                      </w:divsChild>
                                    </w:div>
                                    <w:div w:id="93475712">
                                      <w:marLeft w:val="0"/>
                                      <w:marRight w:val="0"/>
                                      <w:marTop w:val="0"/>
                                      <w:marBottom w:val="0"/>
                                      <w:divBdr>
                                        <w:top w:val="none" w:sz="0" w:space="0" w:color="auto"/>
                                        <w:left w:val="none" w:sz="0" w:space="0" w:color="auto"/>
                                        <w:bottom w:val="none" w:sz="0" w:space="0" w:color="auto"/>
                                        <w:right w:val="none" w:sz="0" w:space="0" w:color="auto"/>
                                      </w:divBdr>
                                      <w:divsChild>
                                        <w:div w:id="1908805530">
                                          <w:marLeft w:val="0"/>
                                          <w:marRight w:val="0"/>
                                          <w:marTop w:val="120"/>
                                          <w:marBottom w:val="0"/>
                                          <w:divBdr>
                                            <w:top w:val="none" w:sz="0" w:space="0" w:color="auto"/>
                                            <w:left w:val="none" w:sz="0" w:space="0" w:color="auto"/>
                                            <w:bottom w:val="none" w:sz="0" w:space="0" w:color="auto"/>
                                            <w:right w:val="none" w:sz="0" w:space="0" w:color="auto"/>
                                          </w:divBdr>
                                        </w:div>
                                        <w:div w:id="262422829">
                                          <w:marLeft w:val="0"/>
                                          <w:marRight w:val="0"/>
                                          <w:marTop w:val="0"/>
                                          <w:marBottom w:val="0"/>
                                          <w:divBdr>
                                            <w:top w:val="none" w:sz="0" w:space="0" w:color="auto"/>
                                            <w:left w:val="none" w:sz="0" w:space="0" w:color="auto"/>
                                            <w:bottom w:val="none" w:sz="0" w:space="0" w:color="auto"/>
                                            <w:right w:val="none" w:sz="0" w:space="0" w:color="auto"/>
                                          </w:divBdr>
                                        </w:div>
                                      </w:divsChild>
                                    </w:div>
                                    <w:div w:id="1109665042">
                                      <w:marLeft w:val="0"/>
                                      <w:marRight w:val="0"/>
                                      <w:marTop w:val="0"/>
                                      <w:marBottom w:val="0"/>
                                      <w:divBdr>
                                        <w:top w:val="none" w:sz="0" w:space="0" w:color="auto"/>
                                        <w:left w:val="none" w:sz="0" w:space="0" w:color="auto"/>
                                        <w:bottom w:val="none" w:sz="0" w:space="0" w:color="auto"/>
                                        <w:right w:val="none" w:sz="0" w:space="0" w:color="auto"/>
                                      </w:divBdr>
                                      <w:divsChild>
                                        <w:div w:id="1925990451">
                                          <w:marLeft w:val="0"/>
                                          <w:marRight w:val="0"/>
                                          <w:marTop w:val="120"/>
                                          <w:marBottom w:val="0"/>
                                          <w:divBdr>
                                            <w:top w:val="none" w:sz="0" w:space="0" w:color="auto"/>
                                            <w:left w:val="none" w:sz="0" w:space="0" w:color="auto"/>
                                            <w:bottom w:val="none" w:sz="0" w:space="0" w:color="auto"/>
                                            <w:right w:val="none" w:sz="0" w:space="0" w:color="auto"/>
                                          </w:divBdr>
                                        </w:div>
                                        <w:div w:id="1872373671">
                                          <w:marLeft w:val="0"/>
                                          <w:marRight w:val="0"/>
                                          <w:marTop w:val="0"/>
                                          <w:marBottom w:val="0"/>
                                          <w:divBdr>
                                            <w:top w:val="none" w:sz="0" w:space="0" w:color="auto"/>
                                            <w:left w:val="none" w:sz="0" w:space="0" w:color="auto"/>
                                            <w:bottom w:val="none" w:sz="0" w:space="0" w:color="auto"/>
                                            <w:right w:val="none" w:sz="0" w:space="0" w:color="auto"/>
                                          </w:divBdr>
                                        </w:div>
                                      </w:divsChild>
                                    </w:div>
                                    <w:div w:id="1719893508">
                                      <w:marLeft w:val="0"/>
                                      <w:marRight w:val="0"/>
                                      <w:marTop w:val="0"/>
                                      <w:marBottom w:val="0"/>
                                      <w:divBdr>
                                        <w:top w:val="none" w:sz="0" w:space="0" w:color="auto"/>
                                        <w:left w:val="none" w:sz="0" w:space="0" w:color="auto"/>
                                        <w:bottom w:val="none" w:sz="0" w:space="0" w:color="auto"/>
                                        <w:right w:val="none" w:sz="0" w:space="0" w:color="auto"/>
                                      </w:divBdr>
                                      <w:divsChild>
                                        <w:div w:id="1163466789">
                                          <w:marLeft w:val="0"/>
                                          <w:marRight w:val="0"/>
                                          <w:marTop w:val="120"/>
                                          <w:marBottom w:val="0"/>
                                          <w:divBdr>
                                            <w:top w:val="none" w:sz="0" w:space="0" w:color="auto"/>
                                            <w:left w:val="none" w:sz="0" w:space="0" w:color="auto"/>
                                            <w:bottom w:val="none" w:sz="0" w:space="0" w:color="auto"/>
                                            <w:right w:val="none" w:sz="0" w:space="0" w:color="auto"/>
                                          </w:divBdr>
                                        </w:div>
                                        <w:div w:id="1528563505">
                                          <w:marLeft w:val="0"/>
                                          <w:marRight w:val="0"/>
                                          <w:marTop w:val="0"/>
                                          <w:marBottom w:val="0"/>
                                          <w:divBdr>
                                            <w:top w:val="none" w:sz="0" w:space="0" w:color="auto"/>
                                            <w:left w:val="none" w:sz="0" w:space="0" w:color="auto"/>
                                            <w:bottom w:val="none" w:sz="0" w:space="0" w:color="auto"/>
                                            <w:right w:val="none" w:sz="0" w:space="0" w:color="auto"/>
                                          </w:divBdr>
                                        </w:div>
                                      </w:divsChild>
                                    </w:div>
                                    <w:div w:id="597298418">
                                      <w:marLeft w:val="0"/>
                                      <w:marRight w:val="0"/>
                                      <w:marTop w:val="0"/>
                                      <w:marBottom w:val="0"/>
                                      <w:divBdr>
                                        <w:top w:val="none" w:sz="0" w:space="0" w:color="auto"/>
                                        <w:left w:val="none" w:sz="0" w:space="0" w:color="auto"/>
                                        <w:bottom w:val="none" w:sz="0" w:space="0" w:color="auto"/>
                                        <w:right w:val="none" w:sz="0" w:space="0" w:color="auto"/>
                                      </w:divBdr>
                                      <w:divsChild>
                                        <w:div w:id="469834514">
                                          <w:marLeft w:val="0"/>
                                          <w:marRight w:val="0"/>
                                          <w:marTop w:val="120"/>
                                          <w:marBottom w:val="0"/>
                                          <w:divBdr>
                                            <w:top w:val="none" w:sz="0" w:space="0" w:color="auto"/>
                                            <w:left w:val="none" w:sz="0" w:space="0" w:color="auto"/>
                                            <w:bottom w:val="none" w:sz="0" w:space="0" w:color="auto"/>
                                            <w:right w:val="none" w:sz="0" w:space="0" w:color="auto"/>
                                          </w:divBdr>
                                        </w:div>
                                        <w:div w:id="430274039">
                                          <w:marLeft w:val="0"/>
                                          <w:marRight w:val="0"/>
                                          <w:marTop w:val="0"/>
                                          <w:marBottom w:val="0"/>
                                          <w:divBdr>
                                            <w:top w:val="none" w:sz="0" w:space="0" w:color="auto"/>
                                            <w:left w:val="none" w:sz="0" w:space="0" w:color="auto"/>
                                            <w:bottom w:val="none" w:sz="0" w:space="0" w:color="auto"/>
                                            <w:right w:val="none" w:sz="0" w:space="0" w:color="auto"/>
                                          </w:divBdr>
                                        </w:div>
                                      </w:divsChild>
                                    </w:div>
                                    <w:div w:id="1347560076">
                                      <w:marLeft w:val="0"/>
                                      <w:marRight w:val="0"/>
                                      <w:marTop w:val="0"/>
                                      <w:marBottom w:val="0"/>
                                      <w:divBdr>
                                        <w:top w:val="none" w:sz="0" w:space="0" w:color="auto"/>
                                        <w:left w:val="none" w:sz="0" w:space="0" w:color="auto"/>
                                        <w:bottom w:val="none" w:sz="0" w:space="0" w:color="auto"/>
                                        <w:right w:val="none" w:sz="0" w:space="0" w:color="auto"/>
                                      </w:divBdr>
                                      <w:divsChild>
                                        <w:div w:id="482235921">
                                          <w:marLeft w:val="0"/>
                                          <w:marRight w:val="0"/>
                                          <w:marTop w:val="120"/>
                                          <w:marBottom w:val="0"/>
                                          <w:divBdr>
                                            <w:top w:val="none" w:sz="0" w:space="0" w:color="auto"/>
                                            <w:left w:val="none" w:sz="0" w:space="0" w:color="auto"/>
                                            <w:bottom w:val="none" w:sz="0" w:space="0" w:color="auto"/>
                                            <w:right w:val="none" w:sz="0" w:space="0" w:color="auto"/>
                                          </w:divBdr>
                                        </w:div>
                                        <w:div w:id="1552956889">
                                          <w:marLeft w:val="0"/>
                                          <w:marRight w:val="0"/>
                                          <w:marTop w:val="0"/>
                                          <w:marBottom w:val="0"/>
                                          <w:divBdr>
                                            <w:top w:val="none" w:sz="0" w:space="0" w:color="auto"/>
                                            <w:left w:val="none" w:sz="0" w:space="0" w:color="auto"/>
                                            <w:bottom w:val="none" w:sz="0" w:space="0" w:color="auto"/>
                                            <w:right w:val="none" w:sz="0" w:space="0" w:color="auto"/>
                                          </w:divBdr>
                                        </w:div>
                                      </w:divsChild>
                                    </w:div>
                                    <w:div w:id="586227463">
                                      <w:marLeft w:val="0"/>
                                      <w:marRight w:val="0"/>
                                      <w:marTop w:val="0"/>
                                      <w:marBottom w:val="0"/>
                                      <w:divBdr>
                                        <w:top w:val="none" w:sz="0" w:space="0" w:color="auto"/>
                                        <w:left w:val="none" w:sz="0" w:space="0" w:color="auto"/>
                                        <w:bottom w:val="none" w:sz="0" w:space="0" w:color="auto"/>
                                        <w:right w:val="none" w:sz="0" w:space="0" w:color="auto"/>
                                      </w:divBdr>
                                      <w:divsChild>
                                        <w:div w:id="1804350888">
                                          <w:marLeft w:val="0"/>
                                          <w:marRight w:val="0"/>
                                          <w:marTop w:val="120"/>
                                          <w:marBottom w:val="0"/>
                                          <w:divBdr>
                                            <w:top w:val="none" w:sz="0" w:space="0" w:color="auto"/>
                                            <w:left w:val="none" w:sz="0" w:space="0" w:color="auto"/>
                                            <w:bottom w:val="none" w:sz="0" w:space="0" w:color="auto"/>
                                            <w:right w:val="none" w:sz="0" w:space="0" w:color="auto"/>
                                          </w:divBdr>
                                        </w:div>
                                        <w:div w:id="159856318">
                                          <w:marLeft w:val="0"/>
                                          <w:marRight w:val="0"/>
                                          <w:marTop w:val="0"/>
                                          <w:marBottom w:val="0"/>
                                          <w:divBdr>
                                            <w:top w:val="none" w:sz="0" w:space="0" w:color="auto"/>
                                            <w:left w:val="none" w:sz="0" w:space="0" w:color="auto"/>
                                            <w:bottom w:val="none" w:sz="0" w:space="0" w:color="auto"/>
                                            <w:right w:val="none" w:sz="0" w:space="0" w:color="auto"/>
                                          </w:divBdr>
                                        </w:div>
                                      </w:divsChild>
                                    </w:div>
                                    <w:div w:id="1385762899">
                                      <w:marLeft w:val="0"/>
                                      <w:marRight w:val="0"/>
                                      <w:marTop w:val="0"/>
                                      <w:marBottom w:val="0"/>
                                      <w:divBdr>
                                        <w:top w:val="none" w:sz="0" w:space="0" w:color="auto"/>
                                        <w:left w:val="none" w:sz="0" w:space="0" w:color="auto"/>
                                        <w:bottom w:val="none" w:sz="0" w:space="0" w:color="auto"/>
                                        <w:right w:val="none" w:sz="0" w:space="0" w:color="auto"/>
                                      </w:divBdr>
                                      <w:divsChild>
                                        <w:div w:id="1344086482">
                                          <w:marLeft w:val="0"/>
                                          <w:marRight w:val="0"/>
                                          <w:marTop w:val="120"/>
                                          <w:marBottom w:val="0"/>
                                          <w:divBdr>
                                            <w:top w:val="none" w:sz="0" w:space="0" w:color="auto"/>
                                            <w:left w:val="none" w:sz="0" w:space="0" w:color="auto"/>
                                            <w:bottom w:val="none" w:sz="0" w:space="0" w:color="auto"/>
                                            <w:right w:val="none" w:sz="0" w:space="0" w:color="auto"/>
                                          </w:divBdr>
                                        </w:div>
                                        <w:div w:id="1954902493">
                                          <w:marLeft w:val="0"/>
                                          <w:marRight w:val="0"/>
                                          <w:marTop w:val="0"/>
                                          <w:marBottom w:val="0"/>
                                          <w:divBdr>
                                            <w:top w:val="none" w:sz="0" w:space="0" w:color="auto"/>
                                            <w:left w:val="none" w:sz="0" w:space="0" w:color="auto"/>
                                            <w:bottom w:val="none" w:sz="0" w:space="0" w:color="auto"/>
                                            <w:right w:val="none" w:sz="0" w:space="0" w:color="auto"/>
                                          </w:divBdr>
                                        </w:div>
                                      </w:divsChild>
                                    </w:div>
                                    <w:div w:id="68773240">
                                      <w:marLeft w:val="0"/>
                                      <w:marRight w:val="0"/>
                                      <w:marTop w:val="0"/>
                                      <w:marBottom w:val="0"/>
                                      <w:divBdr>
                                        <w:top w:val="none" w:sz="0" w:space="0" w:color="auto"/>
                                        <w:left w:val="none" w:sz="0" w:space="0" w:color="auto"/>
                                        <w:bottom w:val="none" w:sz="0" w:space="0" w:color="auto"/>
                                        <w:right w:val="none" w:sz="0" w:space="0" w:color="auto"/>
                                      </w:divBdr>
                                      <w:divsChild>
                                        <w:div w:id="1490369245">
                                          <w:marLeft w:val="0"/>
                                          <w:marRight w:val="0"/>
                                          <w:marTop w:val="120"/>
                                          <w:marBottom w:val="0"/>
                                          <w:divBdr>
                                            <w:top w:val="none" w:sz="0" w:space="0" w:color="auto"/>
                                            <w:left w:val="none" w:sz="0" w:space="0" w:color="auto"/>
                                            <w:bottom w:val="none" w:sz="0" w:space="0" w:color="auto"/>
                                            <w:right w:val="none" w:sz="0" w:space="0" w:color="auto"/>
                                          </w:divBdr>
                                        </w:div>
                                        <w:div w:id="106964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311422">
                              <w:marLeft w:val="0"/>
                              <w:marRight w:val="0"/>
                              <w:marTop w:val="0"/>
                              <w:marBottom w:val="0"/>
                              <w:divBdr>
                                <w:top w:val="none" w:sz="0" w:space="0" w:color="auto"/>
                                <w:left w:val="none" w:sz="0" w:space="0" w:color="auto"/>
                                <w:bottom w:val="none" w:sz="0" w:space="0" w:color="auto"/>
                                <w:right w:val="none" w:sz="0" w:space="0" w:color="auto"/>
                              </w:divBdr>
                              <w:divsChild>
                                <w:div w:id="959067911">
                                  <w:marLeft w:val="0"/>
                                  <w:marRight w:val="0"/>
                                  <w:marTop w:val="0"/>
                                  <w:marBottom w:val="0"/>
                                  <w:divBdr>
                                    <w:top w:val="none" w:sz="0" w:space="0" w:color="auto"/>
                                    <w:left w:val="none" w:sz="0" w:space="0" w:color="auto"/>
                                    <w:bottom w:val="none" w:sz="0" w:space="0" w:color="auto"/>
                                    <w:right w:val="none" w:sz="0" w:space="0" w:color="auto"/>
                                  </w:divBdr>
                                </w:div>
                              </w:divsChild>
                            </w:div>
                            <w:div w:id="779110322">
                              <w:marLeft w:val="0"/>
                              <w:marRight w:val="0"/>
                              <w:marTop w:val="0"/>
                              <w:marBottom w:val="0"/>
                              <w:divBdr>
                                <w:top w:val="none" w:sz="0" w:space="0" w:color="auto"/>
                                <w:left w:val="none" w:sz="0" w:space="0" w:color="auto"/>
                                <w:bottom w:val="none" w:sz="0" w:space="0" w:color="auto"/>
                                <w:right w:val="none" w:sz="0" w:space="0" w:color="auto"/>
                              </w:divBdr>
                              <w:divsChild>
                                <w:div w:id="549808333">
                                  <w:marLeft w:val="0"/>
                                  <w:marRight w:val="0"/>
                                  <w:marTop w:val="0"/>
                                  <w:marBottom w:val="0"/>
                                  <w:divBdr>
                                    <w:top w:val="none" w:sz="0" w:space="0" w:color="auto"/>
                                    <w:left w:val="none" w:sz="0" w:space="0" w:color="auto"/>
                                    <w:bottom w:val="none" w:sz="0" w:space="0" w:color="auto"/>
                                    <w:right w:val="none" w:sz="0" w:space="0" w:color="auto"/>
                                  </w:divBdr>
                                  <w:divsChild>
                                    <w:div w:id="416174274">
                                      <w:marLeft w:val="0"/>
                                      <w:marRight w:val="0"/>
                                      <w:marTop w:val="0"/>
                                      <w:marBottom w:val="0"/>
                                      <w:divBdr>
                                        <w:top w:val="none" w:sz="0" w:space="0" w:color="auto"/>
                                        <w:left w:val="none" w:sz="0" w:space="0" w:color="auto"/>
                                        <w:bottom w:val="none" w:sz="0" w:space="0" w:color="auto"/>
                                        <w:right w:val="none" w:sz="0" w:space="0" w:color="auto"/>
                                      </w:divBdr>
                                      <w:divsChild>
                                        <w:div w:id="332025404">
                                          <w:marLeft w:val="0"/>
                                          <w:marRight w:val="0"/>
                                          <w:marTop w:val="120"/>
                                          <w:marBottom w:val="0"/>
                                          <w:divBdr>
                                            <w:top w:val="none" w:sz="0" w:space="0" w:color="auto"/>
                                            <w:left w:val="none" w:sz="0" w:space="0" w:color="auto"/>
                                            <w:bottom w:val="none" w:sz="0" w:space="0" w:color="auto"/>
                                            <w:right w:val="none" w:sz="0" w:space="0" w:color="auto"/>
                                          </w:divBdr>
                                        </w:div>
                                        <w:div w:id="1902448491">
                                          <w:marLeft w:val="0"/>
                                          <w:marRight w:val="0"/>
                                          <w:marTop w:val="0"/>
                                          <w:marBottom w:val="0"/>
                                          <w:divBdr>
                                            <w:top w:val="none" w:sz="0" w:space="0" w:color="auto"/>
                                            <w:left w:val="none" w:sz="0" w:space="0" w:color="auto"/>
                                            <w:bottom w:val="none" w:sz="0" w:space="0" w:color="auto"/>
                                            <w:right w:val="none" w:sz="0" w:space="0" w:color="auto"/>
                                          </w:divBdr>
                                        </w:div>
                                      </w:divsChild>
                                    </w:div>
                                    <w:div w:id="1133055764">
                                      <w:marLeft w:val="0"/>
                                      <w:marRight w:val="0"/>
                                      <w:marTop w:val="0"/>
                                      <w:marBottom w:val="0"/>
                                      <w:divBdr>
                                        <w:top w:val="none" w:sz="0" w:space="0" w:color="auto"/>
                                        <w:left w:val="none" w:sz="0" w:space="0" w:color="auto"/>
                                        <w:bottom w:val="none" w:sz="0" w:space="0" w:color="auto"/>
                                        <w:right w:val="none" w:sz="0" w:space="0" w:color="auto"/>
                                      </w:divBdr>
                                      <w:divsChild>
                                        <w:div w:id="899823636">
                                          <w:marLeft w:val="0"/>
                                          <w:marRight w:val="0"/>
                                          <w:marTop w:val="120"/>
                                          <w:marBottom w:val="0"/>
                                          <w:divBdr>
                                            <w:top w:val="none" w:sz="0" w:space="0" w:color="auto"/>
                                            <w:left w:val="none" w:sz="0" w:space="0" w:color="auto"/>
                                            <w:bottom w:val="none" w:sz="0" w:space="0" w:color="auto"/>
                                            <w:right w:val="none" w:sz="0" w:space="0" w:color="auto"/>
                                          </w:divBdr>
                                        </w:div>
                                        <w:div w:id="2012220202">
                                          <w:marLeft w:val="0"/>
                                          <w:marRight w:val="0"/>
                                          <w:marTop w:val="0"/>
                                          <w:marBottom w:val="0"/>
                                          <w:divBdr>
                                            <w:top w:val="none" w:sz="0" w:space="0" w:color="auto"/>
                                            <w:left w:val="none" w:sz="0" w:space="0" w:color="auto"/>
                                            <w:bottom w:val="none" w:sz="0" w:space="0" w:color="auto"/>
                                            <w:right w:val="none" w:sz="0" w:space="0" w:color="auto"/>
                                          </w:divBdr>
                                        </w:div>
                                      </w:divsChild>
                                    </w:div>
                                    <w:div w:id="1976717621">
                                      <w:marLeft w:val="0"/>
                                      <w:marRight w:val="0"/>
                                      <w:marTop w:val="0"/>
                                      <w:marBottom w:val="0"/>
                                      <w:divBdr>
                                        <w:top w:val="none" w:sz="0" w:space="0" w:color="auto"/>
                                        <w:left w:val="none" w:sz="0" w:space="0" w:color="auto"/>
                                        <w:bottom w:val="none" w:sz="0" w:space="0" w:color="auto"/>
                                        <w:right w:val="none" w:sz="0" w:space="0" w:color="auto"/>
                                      </w:divBdr>
                                      <w:divsChild>
                                        <w:div w:id="295453373">
                                          <w:marLeft w:val="0"/>
                                          <w:marRight w:val="0"/>
                                          <w:marTop w:val="120"/>
                                          <w:marBottom w:val="0"/>
                                          <w:divBdr>
                                            <w:top w:val="none" w:sz="0" w:space="0" w:color="auto"/>
                                            <w:left w:val="none" w:sz="0" w:space="0" w:color="auto"/>
                                            <w:bottom w:val="none" w:sz="0" w:space="0" w:color="auto"/>
                                            <w:right w:val="none" w:sz="0" w:space="0" w:color="auto"/>
                                          </w:divBdr>
                                        </w:div>
                                        <w:div w:id="1626354191">
                                          <w:marLeft w:val="0"/>
                                          <w:marRight w:val="0"/>
                                          <w:marTop w:val="0"/>
                                          <w:marBottom w:val="0"/>
                                          <w:divBdr>
                                            <w:top w:val="none" w:sz="0" w:space="0" w:color="auto"/>
                                            <w:left w:val="none" w:sz="0" w:space="0" w:color="auto"/>
                                            <w:bottom w:val="none" w:sz="0" w:space="0" w:color="auto"/>
                                            <w:right w:val="none" w:sz="0" w:space="0" w:color="auto"/>
                                          </w:divBdr>
                                        </w:div>
                                      </w:divsChild>
                                    </w:div>
                                    <w:div w:id="645939012">
                                      <w:marLeft w:val="0"/>
                                      <w:marRight w:val="0"/>
                                      <w:marTop w:val="0"/>
                                      <w:marBottom w:val="0"/>
                                      <w:divBdr>
                                        <w:top w:val="none" w:sz="0" w:space="0" w:color="auto"/>
                                        <w:left w:val="none" w:sz="0" w:space="0" w:color="auto"/>
                                        <w:bottom w:val="none" w:sz="0" w:space="0" w:color="auto"/>
                                        <w:right w:val="none" w:sz="0" w:space="0" w:color="auto"/>
                                      </w:divBdr>
                                      <w:divsChild>
                                        <w:div w:id="1980263487">
                                          <w:marLeft w:val="0"/>
                                          <w:marRight w:val="0"/>
                                          <w:marTop w:val="120"/>
                                          <w:marBottom w:val="0"/>
                                          <w:divBdr>
                                            <w:top w:val="none" w:sz="0" w:space="0" w:color="auto"/>
                                            <w:left w:val="none" w:sz="0" w:space="0" w:color="auto"/>
                                            <w:bottom w:val="none" w:sz="0" w:space="0" w:color="auto"/>
                                            <w:right w:val="none" w:sz="0" w:space="0" w:color="auto"/>
                                          </w:divBdr>
                                        </w:div>
                                        <w:div w:id="159589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19090">
                              <w:marLeft w:val="0"/>
                              <w:marRight w:val="0"/>
                              <w:marTop w:val="0"/>
                              <w:marBottom w:val="0"/>
                              <w:divBdr>
                                <w:top w:val="none" w:sz="0" w:space="0" w:color="auto"/>
                                <w:left w:val="none" w:sz="0" w:space="0" w:color="auto"/>
                                <w:bottom w:val="none" w:sz="0" w:space="0" w:color="auto"/>
                                <w:right w:val="none" w:sz="0" w:space="0" w:color="auto"/>
                              </w:divBdr>
                              <w:divsChild>
                                <w:div w:id="8935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3965">
                          <w:marLeft w:val="0"/>
                          <w:marRight w:val="0"/>
                          <w:marTop w:val="0"/>
                          <w:marBottom w:val="0"/>
                          <w:divBdr>
                            <w:top w:val="none" w:sz="0" w:space="0" w:color="auto"/>
                            <w:left w:val="none" w:sz="0" w:space="0" w:color="auto"/>
                            <w:bottom w:val="none" w:sz="0" w:space="0" w:color="auto"/>
                            <w:right w:val="none" w:sz="0" w:space="0" w:color="auto"/>
                          </w:divBdr>
                          <w:divsChild>
                            <w:div w:id="2085494449">
                              <w:marLeft w:val="0"/>
                              <w:marRight w:val="0"/>
                              <w:marTop w:val="0"/>
                              <w:marBottom w:val="0"/>
                              <w:divBdr>
                                <w:top w:val="none" w:sz="0" w:space="0" w:color="auto"/>
                                <w:left w:val="none" w:sz="0" w:space="0" w:color="auto"/>
                                <w:bottom w:val="none" w:sz="0" w:space="0" w:color="auto"/>
                                <w:right w:val="none" w:sz="0" w:space="0" w:color="auto"/>
                              </w:divBdr>
                            </w:div>
                            <w:div w:id="1506214067">
                              <w:marLeft w:val="0"/>
                              <w:marRight w:val="0"/>
                              <w:marTop w:val="0"/>
                              <w:marBottom w:val="0"/>
                              <w:divBdr>
                                <w:top w:val="none" w:sz="0" w:space="0" w:color="auto"/>
                                <w:left w:val="none" w:sz="0" w:space="0" w:color="auto"/>
                                <w:bottom w:val="none" w:sz="0" w:space="0" w:color="auto"/>
                                <w:right w:val="none" w:sz="0" w:space="0" w:color="auto"/>
                              </w:divBdr>
                              <w:divsChild>
                                <w:div w:id="1922566484">
                                  <w:marLeft w:val="0"/>
                                  <w:marRight w:val="0"/>
                                  <w:marTop w:val="0"/>
                                  <w:marBottom w:val="0"/>
                                  <w:divBdr>
                                    <w:top w:val="none" w:sz="0" w:space="0" w:color="auto"/>
                                    <w:left w:val="none" w:sz="0" w:space="0" w:color="auto"/>
                                    <w:bottom w:val="none" w:sz="0" w:space="0" w:color="auto"/>
                                    <w:right w:val="none" w:sz="0" w:space="0" w:color="auto"/>
                                  </w:divBdr>
                                  <w:divsChild>
                                    <w:div w:id="866793070">
                                      <w:marLeft w:val="0"/>
                                      <w:marRight w:val="0"/>
                                      <w:marTop w:val="0"/>
                                      <w:marBottom w:val="0"/>
                                      <w:divBdr>
                                        <w:top w:val="none" w:sz="0" w:space="0" w:color="auto"/>
                                        <w:left w:val="none" w:sz="0" w:space="0" w:color="auto"/>
                                        <w:bottom w:val="none" w:sz="0" w:space="0" w:color="auto"/>
                                        <w:right w:val="none" w:sz="0" w:space="0" w:color="auto"/>
                                      </w:divBdr>
                                      <w:divsChild>
                                        <w:div w:id="2117016174">
                                          <w:marLeft w:val="0"/>
                                          <w:marRight w:val="0"/>
                                          <w:marTop w:val="120"/>
                                          <w:marBottom w:val="0"/>
                                          <w:divBdr>
                                            <w:top w:val="none" w:sz="0" w:space="0" w:color="auto"/>
                                            <w:left w:val="none" w:sz="0" w:space="0" w:color="auto"/>
                                            <w:bottom w:val="none" w:sz="0" w:space="0" w:color="auto"/>
                                            <w:right w:val="none" w:sz="0" w:space="0" w:color="auto"/>
                                          </w:divBdr>
                                        </w:div>
                                        <w:div w:id="1938633583">
                                          <w:marLeft w:val="0"/>
                                          <w:marRight w:val="0"/>
                                          <w:marTop w:val="0"/>
                                          <w:marBottom w:val="0"/>
                                          <w:divBdr>
                                            <w:top w:val="none" w:sz="0" w:space="0" w:color="auto"/>
                                            <w:left w:val="none" w:sz="0" w:space="0" w:color="auto"/>
                                            <w:bottom w:val="none" w:sz="0" w:space="0" w:color="auto"/>
                                            <w:right w:val="none" w:sz="0" w:space="0" w:color="auto"/>
                                          </w:divBdr>
                                        </w:div>
                                      </w:divsChild>
                                    </w:div>
                                    <w:div w:id="1896694697">
                                      <w:marLeft w:val="0"/>
                                      <w:marRight w:val="0"/>
                                      <w:marTop w:val="0"/>
                                      <w:marBottom w:val="0"/>
                                      <w:divBdr>
                                        <w:top w:val="none" w:sz="0" w:space="0" w:color="auto"/>
                                        <w:left w:val="none" w:sz="0" w:space="0" w:color="auto"/>
                                        <w:bottom w:val="none" w:sz="0" w:space="0" w:color="auto"/>
                                        <w:right w:val="none" w:sz="0" w:space="0" w:color="auto"/>
                                      </w:divBdr>
                                      <w:divsChild>
                                        <w:div w:id="1032924304">
                                          <w:marLeft w:val="0"/>
                                          <w:marRight w:val="0"/>
                                          <w:marTop w:val="120"/>
                                          <w:marBottom w:val="0"/>
                                          <w:divBdr>
                                            <w:top w:val="none" w:sz="0" w:space="0" w:color="auto"/>
                                            <w:left w:val="none" w:sz="0" w:space="0" w:color="auto"/>
                                            <w:bottom w:val="none" w:sz="0" w:space="0" w:color="auto"/>
                                            <w:right w:val="none" w:sz="0" w:space="0" w:color="auto"/>
                                          </w:divBdr>
                                        </w:div>
                                        <w:div w:id="322701626">
                                          <w:marLeft w:val="0"/>
                                          <w:marRight w:val="0"/>
                                          <w:marTop w:val="0"/>
                                          <w:marBottom w:val="0"/>
                                          <w:divBdr>
                                            <w:top w:val="none" w:sz="0" w:space="0" w:color="auto"/>
                                            <w:left w:val="none" w:sz="0" w:space="0" w:color="auto"/>
                                            <w:bottom w:val="none" w:sz="0" w:space="0" w:color="auto"/>
                                            <w:right w:val="none" w:sz="0" w:space="0" w:color="auto"/>
                                          </w:divBdr>
                                        </w:div>
                                      </w:divsChild>
                                    </w:div>
                                    <w:div w:id="1383939743">
                                      <w:marLeft w:val="0"/>
                                      <w:marRight w:val="0"/>
                                      <w:marTop w:val="0"/>
                                      <w:marBottom w:val="0"/>
                                      <w:divBdr>
                                        <w:top w:val="none" w:sz="0" w:space="0" w:color="auto"/>
                                        <w:left w:val="none" w:sz="0" w:space="0" w:color="auto"/>
                                        <w:bottom w:val="none" w:sz="0" w:space="0" w:color="auto"/>
                                        <w:right w:val="none" w:sz="0" w:space="0" w:color="auto"/>
                                      </w:divBdr>
                                      <w:divsChild>
                                        <w:div w:id="1451388972">
                                          <w:marLeft w:val="0"/>
                                          <w:marRight w:val="0"/>
                                          <w:marTop w:val="120"/>
                                          <w:marBottom w:val="0"/>
                                          <w:divBdr>
                                            <w:top w:val="none" w:sz="0" w:space="0" w:color="auto"/>
                                            <w:left w:val="none" w:sz="0" w:space="0" w:color="auto"/>
                                            <w:bottom w:val="none" w:sz="0" w:space="0" w:color="auto"/>
                                            <w:right w:val="none" w:sz="0" w:space="0" w:color="auto"/>
                                          </w:divBdr>
                                        </w:div>
                                        <w:div w:id="1796830285">
                                          <w:marLeft w:val="0"/>
                                          <w:marRight w:val="0"/>
                                          <w:marTop w:val="0"/>
                                          <w:marBottom w:val="0"/>
                                          <w:divBdr>
                                            <w:top w:val="none" w:sz="0" w:space="0" w:color="auto"/>
                                            <w:left w:val="none" w:sz="0" w:space="0" w:color="auto"/>
                                            <w:bottom w:val="none" w:sz="0" w:space="0" w:color="auto"/>
                                            <w:right w:val="none" w:sz="0" w:space="0" w:color="auto"/>
                                          </w:divBdr>
                                        </w:div>
                                      </w:divsChild>
                                    </w:div>
                                    <w:div w:id="524100468">
                                      <w:marLeft w:val="0"/>
                                      <w:marRight w:val="0"/>
                                      <w:marTop w:val="0"/>
                                      <w:marBottom w:val="0"/>
                                      <w:divBdr>
                                        <w:top w:val="none" w:sz="0" w:space="0" w:color="auto"/>
                                        <w:left w:val="none" w:sz="0" w:space="0" w:color="auto"/>
                                        <w:bottom w:val="none" w:sz="0" w:space="0" w:color="auto"/>
                                        <w:right w:val="none" w:sz="0" w:space="0" w:color="auto"/>
                                      </w:divBdr>
                                      <w:divsChild>
                                        <w:div w:id="1907957331">
                                          <w:marLeft w:val="0"/>
                                          <w:marRight w:val="0"/>
                                          <w:marTop w:val="120"/>
                                          <w:marBottom w:val="0"/>
                                          <w:divBdr>
                                            <w:top w:val="none" w:sz="0" w:space="0" w:color="auto"/>
                                            <w:left w:val="none" w:sz="0" w:space="0" w:color="auto"/>
                                            <w:bottom w:val="none" w:sz="0" w:space="0" w:color="auto"/>
                                            <w:right w:val="none" w:sz="0" w:space="0" w:color="auto"/>
                                          </w:divBdr>
                                        </w:div>
                                        <w:div w:id="1900938111">
                                          <w:marLeft w:val="0"/>
                                          <w:marRight w:val="0"/>
                                          <w:marTop w:val="0"/>
                                          <w:marBottom w:val="0"/>
                                          <w:divBdr>
                                            <w:top w:val="none" w:sz="0" w:space="0" w:color="auto"/>
                                            <w:left w:val="none" w:sz="0" w:space="0" w:color="auto"/>
                                            <w:bottom w:val="none" w:sz="0" w:space="0" w:color="auto"/>
                                            <w:right w:val="none" w:sz="0" w:space="0" w:color="auto"/>
                                          </w:divBdr>
                                        </w:div>
                                      </w:divsChild>
                                    </w:div>
                                    <w:div w:id="1336305591">
                                      <w:marLeft w:val="0"/>
                                      <w:marRight w:val="0"/>
                                      <w:marTop w:val="0"/>
                                      <w:marBottom w:val="0"/>
                                      <w:divBdr>
                                        <w:top w:val="none" w:sz="0" w:space="0" w:color="auto"/>
                                        <w:left w:val="none" w:sz="0" w:space="0" w:color="auto"/>
                                        <w:bottom w:val="none" w:sz="0" w:space="0" w:color="auto"/>
                                        <w:right w:val="none" w:sz="0" w:space="0" w:color="auto"/>
                                      </w:divBdr>
                                      <w:divsChild>
                                        <w:div w:id="720515482">
                                          <w:marLeft w:val="0"/>
                                          <w:marRight w:val="0"/>
                                          <w:marTop w:val="120"/>
                                          <w:marBottom w:val="0"/>
                                          <w:divBdr>
                                            <w:top w:val="none" w:sz="0" w:space="0" w:color="auto"/>
                                            <w:left w:val="none" w:sz="0" w:space="0" w:color="auto"/>
                                            <w:bottom w:val="none" w:sz="0" w:space="0" w:color="auto"/>
                                            <w:right w:val="none" w:sz="0" w:space="0" w:color="auto"/>
                                          </w:divBdr>
                                        </w:div>
                                        <w:div w:id="2109353048">
                                          <w:marLeft w:val="0"/>
                                          <w:marRight w:val="0"/>
                                          <w:marTop w:val="0"/>
                                          <w:marBottom w:val="0"/>
                                          <w:divBdr>
                                            <w:top w:val="none" w:sz="0" w:space="0" w:color="auto"/>
                                            <w:left w:val="none" w:sz="0" w:space="0" w:color="auto"/>
                                            <w:bottom w:val="none" w:sz="0" w:space="0" w:color="auto"/>
                                            <w:right w:val="none" w:sz="0" w:space="0" w:color="auto"/>
                                          </w:divBdr>
                                        </w:div>
                                      </w:divsChild>
                                    </w:div>
                                    <w:div w:id="734473829">
                                      <w:marLeft w:val="0"/>
                                      <w:marRight w:val="0"/>
                                      <w:marTop w:val="0"/>
                                      <w:marBottom w:val="0"/>
                                      <w:divBdr>
                                        <w:top w:val="none" w:sz="0" w:space="0" w:color="auto"/>
                                        <w:left w:val="none" w:sz="0" w:space="0" w:color="auto"/>
                                        <w:bottom w:val="none" w:sz="0" w:space="0" w:color="auto"/>
                                        <w:right w:val="none" w:sz="0" w:space="0" w:color="auto"/>
                                      </w:divBdr>
                                      <w:divsChild>
                                        <w:div w:id="2120056446">
                                          <w:marLeft w:val="0"/>
                                          <w:marRight w:val="0"/>
                                          <w:marTop w:val="120"/>
                                          <w:marBottom w:val="0"/>
                                          <w:divBdr>
                                            <w:top w:val="none" w:sz="0" w:space="0" w:color="auto"/>
                                            <w:left w:val="none" w:sz="0" w:space="0" w:color="auto"/>
                                            <w:bottom w:val="none" w:sz="0" w:space="0" w:color="auto"/>
                                            <w:right w:val="none" w:sz="0" w:space="0" w:color="auto"/>
                                          </w:divBdr>
                                        </w:div>
                                        <w:div w:id="1294171289">
                                          <w:marLeft w:val="0"/>
                                          <w:marRight w:val="0"/>
                                          <w:marTop w:val="0"/>
                                          <w:marBottom w:val="0"/>
                                          <w:divBdr>
                                            <w:top w:val="none" w:sz="0" w:space="0" w:color="auto"/>
                                            <w:left w:val="none" w:sz="0" w:space="0" w:color="auto"/>
                                            <w:bottom w:val="none" w:sz="0" w:space="0" w:color="auto"/>
                                            <w:right w:val="none" w:sz="0" w:space="0" w:color="auto"/>
                                          </w:divBdr>
                                        </w:div>
                                      </w:divsChild>
                                    </w:div>
                                    <w:div w:id="858932693">
                                      <w:marLeft w:val="0"/>
                                      <w:marRight w:val="0"/>
                                      <w:marTop w:val="0"/>
                                      <w:marBottom w:val="0"/>
                                      <w:divBdr>
                                        <w:top w:val="none" w:sz="0" w:space="0" w:color="auto"/>
                                        <w:left w:val="none" w:sz="0" w:space="0" w:color="auto"/>
                                        <w:bottom w:val="none" w:sz="0" w:space="0" w:color="auto"/>
                                        <w:right w:val="none" w:sz="0" w:space="0" w:color="auto"/>
                                      </w:divBdr>
                                      <w:divsChild>
                                        <w:div w:id="2060352900">
                                          <w:marLeft w:val="0"/>
                                          <w:marRight w:val="0"/>
                                          <w:marTop w:val="120"/>
                                          <w:marBottom w:val="0"/>
                                          <w:divBdr>
                                            <w:top w:val="none" w:sz="0" w:space="0" w:color="auto"/>
                                            <w:left w:val="none" w:sz="0" w:space="0" w:color="auto"/>
                                            <w:bottom w:val="none" w:sz="0" w:space="0" w:color="auto"/>
                                            <w:right w:val="none" w:sz="0" w:space="0" w:color="auto"/>
                                          </w:divBdr>
                                        </w:div>
                                        <w:div w:id="1857769902">
                                          <w:marLeft w:val="0"/>
                                          <w:marRight w:val="0"/>
                                          <w:marTop w:val="0"/>
                                          <w:marBottom w:val="0"/>
                                          <w:divBdr>
                                            <w:top w:val="none" w:sz="0" w:space="0" w:color="auto"/>
                                            <w:left w:val="none" w:sz="0" w:space="0" w:color="auto"/>
                                            <w:bottom w:val="none" w:sz="0" w:space="0" w:color="auto"/>
                                            <w:right w:val="none" w:sz="0" w:space="0" w:color="auto"/>
                                          </w:divBdr>
                                        </w:div>
                                      </w:divsChild>
                                    </w:div>
                                    <w:div w:id="106900597">
                                      <w:marLeft w:val="0"/>
                                      <w:marRight w:val="0"/>
                                      <w:marTop w:val="0"/>
                                      <w:marBottom w:val="0"/>
                                      <w:divBdr>
                                        <w:top w:val="none" w:sz="0" w:space="0" w:color="auto"/>
                                        <w:left w:val="none" w:sz="0" w:space="0" w:color="auto"/>
                                        <w:bottom w:val="none" w:sz="0" w:space="0" w:color="auto"/>
                                        <w:right w:val="none" w:sz="0" w:space="0" w:color="auto"/>
                                      </w:divBdr>
                                      <w:divsChild>
                                        <w:div w:id="712967089">
                                          <w:marLeft w:val="0"/>
                                          <w:marRight w:val="0"/>
                                          <w:marTop w:val="120"/>
                                          <w:marBottom w:val="0"/>
                                          <w:divBdr>
                                            <w:top w:val="none" w:sz="0" w:space="0" w:color="auto"/>
                                            <w:left w:val="none" w:sz="0" w:space="0" w:color="auto"/>
                                            <w:bottom w:val="none" w:sz="0" w:space="0" w:color="auto"/>
                                            <w:right w:val="none" w:sz="0" w:space="0" w:color="auto"/>
                                          </w:divBdr>
                                        </w:div>
                                        <w:div w:id="403112426">
                                          <w:marLeft w:val="0"/>
                                          <w:marRight w:val="0"/>
                                          <w:marTop w:val="0"/>
                                          <w:marBottom w:val="0"/>
                                          <w:divBdr>
                                            <w:top w:val="none" w:sz="0" w:space="0" w:color="auto"/>
                                            <w:left w:val="none" w:sz="0" w:space="0" w:color="auto"/>
                                            <w:bottom w:val="none" w:sz="0" w:space="0" w:color="auto"/>
                                            <w:right w:val="none" w:sz="0" w:space="0" w:color="auto"/>
                                          </w:divBdr>
                                        </w:div>
                                      </w:divsChild>
                                    </w:div>
                                    <w:div w:id="1981375728">
                                      <w:marLeft w:val="0"/>
                                      <w:marRight w:val="0"/>
                                      <w:marTop w:val="0"/>
                                      <w:marBottom w:val="0"/>
                                      <w:divBdr>
                                        <w:top w:val="none" w:sz="0" w:space="0" w:color="auto"/>
                                        <w:left w:val="none" w:sz="0" w:space="0" w:color="auto"/>
                                        <w:bottom w:val="none" w:sz="0" w:space="0" w:color="auto"/>
                                        <w:right w:val="none" w:sz="0" w:space="0" w:color="auto"/>
                                      </w:divBdr>
                                      <w:divsChild>
                                        <w:div w:id="109669468">
                                          <w:marLeft w:val="0"/>
                                          <w:marRight w:val="0"/>
                                          <w:marTop w:val="120"/>
                                          <w:marBottom w:val="0"/>
                                          <w:divBdr>
                                            <w:top w:val="none" w:sz="0" w:space="0" w:color="auto"/>
                                            <w:left w:val="none" w:sz="0" w:space="0" w:color="auto"/>
                                            <w:bottom w:val="none" w:sz="0" w:space="0" w:color="auto"/>
                                            <w:right w:val="none" w:sz="0" w:space="0" w:color="auto"/>
                                          </w:divBdr>
                                        </w:div>
                                        <w:div w:id="795415763">
                                          <w:marLeft w:val="0"/>
                                          <w:marRight w:val="0"/>
                                          <w:marTop w:val="0"/>
                                          <w:marBottom w:val="0"/>
                                          <w:divBdr>
                                            <w:top w:val="none" w:sz="0" w:space="0" w:color="auto"/>
                                            <w:left w:val="none" w:sz="0" w:space="0" w:color="auto"/>
                                            <w:bottom w:val="none" w:sz="0" w:space="0" w:color="auto"/>
                                            <w:right w:val="none" w:sz="0" w:space="0" w:color="auto"/>
                                          </w:divBdr>
                                        </w:div>
                                      </w:divsChild>
                                    </w:div>
                                    <w:div w:id="581257938">
                                      <w:marLeft w:val="0"/>
                                      <w:marRight w:val="0"/>
                                      <w:marTop w:val="0"/>
                                      <w:marBottom w:val="0"/>
                                      <w:divBdr>
                                        <w:top w:val="none" w:sz="0" w:space="0" w:color="auto"/>
                                        <w:left w:val="none" w:sz="0" w:space="0" w:color="auto"/>
                                        <w:bottom w:val="none" w:sz="0" w:space="0" w:color="auto"/>
                                        <w:right w:val="none" w:sz="0" w:space="0" w:color="auto"/>
                                      </w:divBdr>
                                      <w:divsChild>
                                        <w:div w:id="40717893">
                                          <w:marLeft w:val="0"/>
                                          <w:marRight w:val="0"/>
                                          <w:marTop w:val="120"/>
                                          <w:marBottom w:val="0"/>
                                          <w:divBdr>
                                            <w:top w:val="none" w:sz="0" w:space="0" w:color="auto"/>
                                            <w:left w:val="none" w:sz="0" w:space="0" w:color="auto"/>
                                            <w:bottom w:val="none" w:sz="0" w:space="0" w:color="auto"/>
                                            <w:right w:val="none" w:sz="0" w:space="0" w:color="auto"/>
                                          </w:divBdr>
                                        </w:div>
                                        <w:div w:id="1517501221">
                                          <w:marLeft w:val="0"/>
                                          <w:marRight w:val="0"/>
                                          <w:marTop w:val="0"/>
                                          <w:marBottom w:val="0"/>
                                          <w:divBdr>
                                            <w:top w:val="none" w:sz="0" w:space="0" w:color="auto"/>
                                            <w:left w:val="none" w:sz="0" w:space="0" w:color="auto"/>
                                            <w:bottom w:val="none" w:sz="0" w:space="0" w:color="auto"/>
                                            <w:right w:val="none" w:sz="0" w:space="0" w:color="auto"/>
                                          </w:divBdr>
                                        </w:div>
                                      </w:divsChild>
                                    </w:div>
                                    <w:div w:id="1906379103">
                                      <w:marLeft w:val="0"/>
                                      <w:marRight w:val="0"/>
                                      <w:marTop w:val="0"/>
                                      <w:marBottom w:val="0"/>
                                      <w:divBdr>
                                        <w:top w:val="none" w:sz="0" w:space="0" w:color="auto"/>
                                        <w:left w:val="none" w:sz="0" w:space="0" w:color="auto"/>
                                        <w:bottom w:val="none" w:sz="0" w:space="0" w:color="auto"/>
                                        <w:right w:val="none" w:sz="0" w:space="0" w:color="auto"/>
                                      </w:divBdr>
                                      <w:divsChild>
                                        <w:div w:id="1846087372">
                                          <w:marLeft w:val="0"/>
                                          <w:marRight w:val="0"/>
                                          <w:marTop w:val="120"/>
                                          <w:marBottom w:val="0"/>
                                          <w:divBdr>
                                            <w:top w:val="none" w:sz="0" w:space="0" w:color="auto"/>
                                            <w:left w:val="none" w:sz="0" w:space="0" w:color="auto"/>
                                            <w:bottom w:val="none" w:sz="0" w:space="0" w:color="auto"/>
                                            <w:right w:val="none" w:sz="0" w:space="0" w:color="auto"/>
                                          </w:divBdr>
                                        </w:div>
                                        <w:div w:id="617100928">
                                          <w:marLeft w:val="0"/>
                                          <w:marRight w:val="0"/>
                                          <w:marTop w:val="0"/>
                                          <w:marBottom w:val="0"/>
                                          <w:divBdr>
                                            <w:top w:val="none" w:sz="0" w:space="0" w:color="auto"/>
                                            <w:left w:val="none" w:sz="0" w:space="0" w:color="auto"/>
                                            <w:bottom w:val="none" w:sz="0" w:space="0" w:color="auto"/>
                                            <w:right w:val="none" w:sz="0" w:space="0" w:color="auto"/>
                                          </w:divBdr>
                                        </w:div>
                                      </w:divsChild>
                                    </w:div>
                                    <w:div w:id="1959414888">
                                      <w:marLeft w:val="0"/>
                                      <w:marRight w:val="0"/>
                                      <w:marTop w:val="0"/>
                                      <w:marBottom w:val="0"/>
                                      <w:divBdr>
                                        <w:top w:val="none" w:sz="0" w:space="0" w:color="auto"/>
                                        <w:left w:val="none" w:sz="0" w:space="0" w:color="auto"/>
                                        <w:bottom w:val="none" w:sz="0" w:space="0" w:color="auto"/>
                                        <w:right w:val="none" w:sz="0" w:space="0" w:color="auto"/>
                                      </w:divBdr>
                                      <w:divsChild>
                                        <w:div w:id="239872313">
                                          <w:marLeft w:val="0"/>
                                          <w:marRight w:val="0"/>
                                          <w:marTop w:val="120"/>
                                          <w:marBottom w:val="0"/>
                                          <w:divBdr>
                                            <w:top w:val="none" w:sz="0" w:space="0" w:color="auto"/>
                                            <w:left w:val="none" w:sz="0" w:space="0" w:color="auto"/>
                                            <w:bottom w:val="none" w:sz="0" w:space="0" w:color="auto"/>
                                            <w:right w:val="none" w:sz="0" w:space="0" w:color="auto"/>
                                          </w:divBdr>
                                        </w:div>
                                        <w:div w:id="2020699096">
                                          <w:marLeft w:val="0"/>
                                          <w:marRight w:val="0"/>
                                          <w:marTop w:val="0"/>
                                          <w:marBottom w:val="0"/>
                                          <w:divBdr>
                                            <w:top w:val="none" w:sz="0" w:space="0" w:color="auto"/>
                                            <w:left w:val="none" w:sz="0" w:space="0" w:color="auto"/>
                                            <w:bottom w:val="none" w:sz="0" w:space="0" w:color="auto"/>
                                            <w:right w:val="none" w:sz="0" w:space="0" w:color="auto"/>
                                          </w:divBdr>
                                        </w:div>
                                      </w:divsChild>
                                    </w:div>
                                    <w:div w:id="498693341">
                                      <w:marLeft w:val="0"/>
                                      <w:marRight w:val="0"/>
                                      <w:marTop w:val="0"/>
                                      <w:marBottom w:val="0"/>
                                      <w:divBdr>
                                        <w:top w:val="none" w:sz="0" w:space="0" w:color="auto"/>
                                        <w:left w:val="none" w:sz="0" w:space="0" w:color="auto"/>
                                        <w:bottom w:val="none" w:sz="0" w:space="0" w:color="auto"/>
                                        <w:right w:val="none" w:sz="0" w:space="0" w:color="auto"/>
                                      </w:divBdr>
                                      <w:divsChild>
                                        <w:div w:id="1512256531">
                                          <w:marLeft w:val="0"/>
                                          <w:marRight w:val="0"/>
                                          <w:marTop w:val="120"/>
                                          <w:marBottom w:val="0"/>
                                          <w:divBdr>
                                            <w:top w:val="none" w:sz="0" w:space="0" w:color="auto"/>
                                            <w:left w:val="none" w:sz="0" w:space="0" w:color="auto"/>
                                            <w:bottom w:val="none" w:sz="0" w:space="0" w:color="auto"/>
                                            <w:right w:val="none" w:sz="0" w:space="0" w:color="auto"/>
                                          </w:divBdr>
                                        </w:div>
                                        <w:div w:id="15136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214296">
                              <w:marLeft w:val="0"/>
                              <w:marRight w:val="0"/>
                              <w:marTop w:val="0"/>
                              <w:marBottom w:val="0"/>
                              <w:divBdr>
                                <w:top w:val="none" w:sz="0" w:space="0" w:color="auto"/>
                                <w:left w:val="none" w:sz="0" w:space="0" w:color="auto"/>
                                <w:bottom w:val="none" w:sz="0" w:space="0" w:color="auto"/>
                                <w:right w:val="none" w:sz="0" w:space="0" w:color="auto"/>
                              </w:divBdr>
                              <w:divsChild>
                                <w:div w:id="1616981048">
                                  <w:marLeft w:val="0"/>
                                  <w:marRight w:val="0"/>
                                  <w:marTop w:val="0"/>
                                  <w:marBottom w:val="0"/>
                                  <w:divBdr>
                                    <w:top w:val="none" w:sz="0" w:space="0" w:color="auto"/>
                                    <w:left w:val="none" w:sz="0" w:space="0" w:color="auto"/>
                                    <w:bottom w:val="none" w:sz="0" w:space="0" w:color="auto"/>
                                    <w:right w:val="none" w:sz="0" w:space="0" w:color="auto"/>
                                  </w:divBdr>
                                </w:div>
                              </w:divsChild>
                            </w:div>
                            <w:div w:id="1081607832">
                              <w:marLeft w:val="0"/>
                              <w:marRight w:val="0"/>
                              <w:marTop w:val="0"/>
                              <w:marBottom w:val="0"/>
                              <w:divBdr>
                                <w:top w:val="none" w:sz="0" w:space="0" w:color="auto"/>
                                <w:left w:val="none" w:sz="0" w:space="0" w:color="auto"/>
                                <w:bottom w:val="none" w:sz="0" w:space="0" w:color="auto"/>
                                <w:right w:val="none" w:sz="0" w:space="0" w:color="auto"/>
                              </w:divBdr>
                              <w:divsChild>
                                <w:div w:id="584729546">
                                  <w:marLeft w:val="0"/>
                                  <w:marRight w:val="0"/>
                                  <w:marTop w:val="0"/>
                                  <w:marBottom w:val="0"/>
                                  <w:divBdr>
                                    <w:top w:val="none" w:sz="0" w:space="0" w:color="auto"/>
                                    <w:left w:val="none" w:sz="0" w:space="0" w:color="auto"/>
                                    <w:bottom w:val="none" w:sz="0" w:space="0" w:color="auto"/>
                                    <w:right w:val="none" w:sz="0" w:space="0" w:color="auto"/>
                                  </w:divBdr>
                                </w:div>
                              </w:divsChild>
                            </w:div>
                            <w:div w:id="2134640397">
                              <w:marLeft w:val="0"/>
                              <w:marRight w:val="0"/>
                              <w:marTop w:val="0"/>
                              <w:marBottom w:val="0"/>
                              <w:divBdr>
                                <w:top w:val="none" w:sz="0" w:space="0" w:color="auto"/>
                                <w:left w:val="none" w:sz="0" w:space="0" w:color="auto"/>
                                <w:bottom w:val="none" w:sz="0" w:space="0" w:color="auto"/>
                                <w:right w:val="none" w:sz="0" w:space="0" w:color="auto"/>
                              </w:divBdr>
                              <w:divsChild>
                                <w:div w:id="1359160042">
                                  <w:marLeft w:val="0"/>
                                  <w:marRight w:val="0"/>
                                  <w:marTop w:val="0"/>
                                  <w:marBottom w:val="0"/>
                                  <w:divBdr>
                                    <w:top w:val="none" w:sz="0" w:space="0" w:color="auto"/>
                                    <w:left w:val="none" w:sz="0" w:space="0" w:color="auto"/>
                                    <w:bottom w:val="none" w:sz="0" w:space="0" w:color="auto"/>
                                    <w:right w:val="none" w:sz="0" w:space="0" w:color="auto"/>
                                  </w:divBdr>
                                  <w:divsChild>
                                    <w:div w:id="1809862457">
                                      <w:marLeft w:val="0"/>
                                      <w:marRight w:val="0"/>
                                      <w:marTop w:val="0"/>
                                      <w:marBottom w:val="0"/>
                                      <w:divBdr>
                                        <w:top w:val="none" w:sz="0" w:space="0" w:color="auto"/>
                                        <w:left w:val="none" w:sz="0" w:space="0" w:color="auto"/>
                                        <w:bottom w:val="none" w:sz="0" w:space="0" w:color="auto"/>
                                        <w:right w:val="none" w:sz="0" w:space="0" w:color="auto"/>
                                      </w:divBdr>
                                      <w:divsChild>
                                        <w:div w:id="1923903746">
                                          <w:marLeft w:val="0"/>
                                          <w:marRight w:val="0"/>
                                          <w:marTop w:val="120"/>
                                          <w:marBottom w:val="0"/>
                                          <w:divBdr>
                                            <w:top w:val="none" w:sz="0" w:space="0" w:color="auto"/>
                                            <w:left w:val="none" w:sz="0" w:space="0" w:color="auto"/>
                                            <w:bottom w:val="none" w:sz="0" w:space="0" w:color="auto"/>
                                            <w:right w:val="none" w:sz="0" w:space="0" w:color="auto"/>
                                          </w:divBdr>
                                        </w:div>
                                        <w:div w:id="161434098">
                                          <w:marLeft w:val="0"/>
                                          <w:marRight w:val="0"/>
                                          <w:marTop w:val="0"/>
                                          <w:marBottom w:val="0"/>
                                          <w:divBdr>
                                            <w:top w:val="none" w:sz="0" w:space="0" w:color="auto"/>
                                            <w:left w:val="none" w:sz="0" w:space="0" w:color="auto"/>
                                            <w:bottom w:val="none" w:sz="0" w:space="0" w:color="auto"/>
                                            <w:right w:val="none" w:sz="0" w:space="0" w:color="auto"/>
                                          </w:divBdr>
                                        </w:div>
                                      </w:divsChild>
                                    </w:div>
                                    <w:div w:id="629088844">
                                      <w:marLeft w:val="0"/>
                                      <w:marRight w:val="0"/>
                                      <w:marTop w:val="0"/>
                                      <w:marBottom w:val="0"/>
                                      <w:divBdr>
                                        <w:top w:val="none" w:sz="0" w:space="0" w:color="auto"/>
                                        <w:left w:val="none" w:sz="0" w:space="0" w:color="auto"/>
                                        <w:bottom w:val="none" w:sz="0" w:space="0" w:color="auto"/>
                                        <w:right w:val="none" w:sz="0" w:space="0" w:color="auto"/>
                                      </w:divBdr>
                                      <w:divsChild>
                                        <w:div w:id="1519387690">
                                          <w:marLeft w:val="0"/>
                                          <w:marRight w:val="0"/>
                                          <w:marTop w:val="120"/>
                                          <w:marBottom w:val="0"/>
                                          <w:divBdr>
                                            <w:top w:val="none" w:sz="0" w:space="0" w:color="auto"/>
                                            <w:left w:val="none" w:sz="0" w:space="0" w:color="auto"/>
                                            <w:bottom w:val="none" w:sz="0" w:space="0" w:color="auto"/>
                                            <w:right w:val="none" w:sz="0" w:space="0" w:color="auto"/>
                                          </w:divBdr>
                                        </w:div>
                                        <w:div w:id="14426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332960">
                              <w:marLeft w:val="0"/>
                              <w:marRight w:val="0"/>
                              <w:marTop w:val="0"/>
                              <w:marBottom w:val="0"/>
                              <w:divBdr>
                                <w:top w:val="none" w:sz="0" w:space="0" w:color="auto"/>
                                <w:left w:val="none" w:sz="0" w:space="0" w:color="auto"/>
                                <w:bottom w:val="none" w:sz="0" w:space="0" w:color="auto"/>
                                <w:right w:val="none" w:sz="0" w:space="0" w:color="auto"/>
                              </w:divBdr>
                              <w:divsChild>
                                <w:div w:id="318071442">
                                  <w:marLeft w:val="0"/>
                                  <w:marRight w:val="0"/>
                                  <w:marTop w:val="0"/>
                                  <w:marBottom w:val="0"/>
                                  <w:divBdr>
                                    <w:top w:val="none" w:sz="0" w:space="0" w:color="auto"/>
                                    <w:left w:val="none" w:sz="0" w:space="0" w:color="auto"/>
                                    <w:bottom w:val="none" w:sz="0" w:space="0" w:color="auto"/>
                                    <w:right w:val="none" w:sz="0" w:space="0" w:color="auto"/>
                                  </w:divBdr>
                                  <w:divsChild>
                                    <w:div w:id="432478333">
                                      <w:marLeft w:val="0"/>
                                      <w:marRight w:val="0"/>
                                      <w:marTop w:val="0"/>
                                      <w:marBottom w:val="0"/>
                                      <w:divBdr>
                                        <w:top w:val="none" w:sz="0" w:space="0" w:color="auto"/>
                                        <w:left w:val="none" w:sz="0" w:space="0" w:color="auto"/>
                                        <w:bottom w:val="none" w:sz="0" w:space="0" w:color="auto"/>
                                        <w:right w:val="none" w:sz="0" w:space="0" w:color="auto"/>
                                      </w:divBdr>
                                      <w:divsChild>
                                        <w:div w:id="282544348">
                                          <w:marLeft w:val="0"/>
                                          <w:marRight w:val="0"/>
                                          <w:marTop w:val="120"/>
                                          <w:marBottom w:val="0"/>
                                          <w:divBdr>
                                            <w:top w:val="none" w:sz="0" w:space="0" w:color="auto"/>
                                            <w:left w:val="none" w:sz="0" w:space="0" w:color="auto"/>
                                            <w:bottom w:val="none" w:sz="0" w:space="0" w:color="auto"/>
                                            <w:right w:val="none" w:sz="0" w:space="0" w:color="auto"/>
                                          </w:divBdr>
                                        </w:div>
                                        <w:div w:id="1255167833">
                                          <w:marLeft w:val="0"/>
                                          <w:marRight w:val="0"/>
                                          <w:marTop w:val="0"/>
                                          <w:marBottom w:val="0"/>
                                          <w:divBdr>
                                            <w:top w:val="none" w:sz="0" w:space="0" w:color="auto"/>
                                            <w:left w:val="none" w:sz="0" w:space="0" w:color="auto"/>
                                            <w:bottom w:val="none" w:sz="0" w:space="0" w:color="auto"/>
                                            <w:right w:val="none" w:sz="0" w:space="0" w:color="auto"/>
                                          </w:divBdr>
                                        </w:div>
                                      </w:divsChild>
                                    </w:div>
                                    <w:div w:id="1699309630">
                                      <w:marLeft w:val="0"/>
                                      <w:marRight w:val="0"/>
                                      <w:marTop w:val="0"/>
                                      <w:marBottom w:val="0"/>
                                      <w:divBdr>
                                        <w:top w:val="none" w:sz="0" w:space="0" w:color="auto"/>
                                        <w:left w:val="none" w:sz="0" w:space="0" w:color="auto"/>
                                        <w:bottom w:val="none" w:sz="0" w:space="0" w:color="auto"/>
                                        <w:right w:val="none" w:sz="0" w:space="0" w:color="auto"/>
                                      </w:divBdr>
                                      <w:divsChild>
                                        <w:div w:id="35784033">
                                          <w:marLeft w:val="0"/>
                                          <w:marRight w:val="0"/>
                                          <w:marTop w:val="120"/>
                                          <w:marBottom w:val="0"/>
                                          <w:divBdr>
                                            <w:top w:val="none" w:sz="0" w:space="0" w:color="auto"/>
                                            <w:left w:val="none" w:sz="0" w:space="0" w:color="auto"/>
                                            <w:bottom w:val="none" w:sz="0" w:space="0" w:color="auto"/>
                                            <w:right w:val="none" w:sz="0" w:space="0" w:color="auto"/>
                                          </w:divBdr>
                                        </w:div>
                                        <w:div w:id="1984040530">
                                          <w:marLeft w:val="0"/>
                                          <w:marRight w:val="0"/>
                                          <w:marTop w:val="0"/>
                                          <w:marBottom w:val="0"/>
                                          <w:divBdr>
                                            <w:top w:val="none" w:sz="0" w:space="0" w:color="auto"/>
                                            <w:left w:val="none" w:sz="0" w:space="0" w:color="auto"/>
                                            <w:bottom w:val="none" w:sz="0" w:space="0" w:color="auto"/>
                                            <w:right w:val="none" w:sz="0" w:space="0" w:color="auto"/>
                                          </w:divBdr>
                                        </w:div>
                                      </w:divsChild>
                                    </w:div>
                                    <w:div w:id="582909654">
                                      <w:marLeft w:val="0"/>
                                      <w:marRight w:val="0"/>
                                      <w:marTop w:val="0"/>
                                      <w:marBottom w:val="0"/>
                                      <w:divBdr>
                                        <w:top w:val="none" w:sz="0" w:space="0" w:color="auto"/>
                                        <w:left w:val="none" w:sz="0" w:space="0" w:color="auto"/>
                                        <w:bottom w:val="none" w:sz="0" w:space="0" w:color="auto"/>
                                        <w:right w:val="none" w:sz="0" w:space="0" w:color="auto"/>
                                      </w:divBdr>
                                      <w:divsChild>
                                        <w:div w:id="726074062">
                                          <w:marLeft w:val="0"/>
                                          <w:marRight w:val="0"/>
                                          <w:marTop w:val="120"/>
                                          <w:marBottom w:val="0"/>
                                          <w:divBdr>
                                            <w:top w:val="none" w:sz="0" w:space="0" w:color="auto"/>
                                            <w:left w:val="none" w:sz="0" w:space="0" w:color="auto"/>
                                            <w:bottom w:val="none" w:sz="0" w:space="0" w:color="auto"/>
                                            <w:right w:val="none" w:sz="0" w:space="0" w:color="auto"/>
                                          </w:divBdr>
                                        </w:div>
                                        <w:div w:id="7644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4165">
                              <w:marLeft w:val="0"/>
                              <w:marRight w:val="0"/>
                              <w:marTop w:val="0"/>
                              <w:marBottom w:val="0"/>
                              <w:divBdr>
                                <w:top w:val="none" w:sz="0" w:space="0" w:color="auto"/>
                                <w:left w:val="none" w:sz="0" w:space="0" w:color="auto"/>
                                <w:bottom w:val="none" w:sz="0" w:space="0" w:color="auto"/>
                                <w:right w:val="none" w:sz="0" w:space="0" w:color="auto"/>
                              </w:divBdr>
                              <w:divsChild>
                                <w:div w:id="1886678104">
                                  <w:marLeft w:val="0"/>
                                  <w:marRight w:val="0"/>
                                  <w:marTop w:val="0"/>
                                  <w:marBottom w:val="0"/>
                                  <w:divBdr>
                                    <w:top w:val="none" w:sz="0" w:space="0" w:color="auto"/>
                                    <w:left w:val="none" w:sz="0" w:space="0" w:color="auto"/>
                                    <w:bottom w:val="none" w:sz="0" w:space="0" w:color="auto"/>
                                    <w:right w:val="none" w:sz="0" w:space="0" w:color="auto"/>
                                  </w:divBdr>
                                </w:div>
                              </w:divsChild>
                            </w:div>
                            <w:div w:id="1360009911">
                              <w:marLeft w:val="0"/>
                              <w:marRight w:val="0"/>
                              <w:marTop w:val="0"/>
                              <w:marBottom w:val="0"/>
                              <w:divBdr>
                                <w:top w:val="none" w:sz="0" w:space="0" w:color="auto"/>
                                <w:left w:val="none" w:sz="0" w:space="0" w:color="auto"/>
                                <w:bottom w:val="none" w:sz="0" w:space="0" w:color="auto"/>
                                <w:right w:val="none" w:sz="0" w:space="0" w:color="auto"/>
                              </w:divBdr>
                              <w:divsChild>
                                <w:div w:id="125339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11833">
                      <w:marLeft w:val="0"/>
                      <w:marRight w:val="0"/>
                      <w:marTop w:val="0"/>
                      <w:marBottom w:val="0"/>
                      <w:divBdr>
                        <w:top w:val="none" w:sz="0" w:space="0" w:color="auto"/>
                        <w:left w:val="none" w:sz="0" w:space="0" w:color="auto"/>
                        <w:bottom w:val="none" w:sz="0" w:space="0" w:color="auto"/>
                        <w:right w:val="none" w:sz="0" w:space="0" w:color="auto"/>
                      </w:divBdr>
                      <w:divsChild>
                        <w:div w:id="997880698">
                          <w:marLeft w:val="0"/>
                          <w:marRight w:val="0"/>
                          <w:marTop w:val="0"/>
                          <w:marBottom w:val="0"/>
                          <w:divBdr>
                            <w:top w:val="none" w:sz="0" w:space="0" w:color="auto"/>
                            <w:left w:val="none" w:sz="0" w:space="0" w:color="auto"/>
                            <w:bottom w:val="none" w:sz="0" w:space="0" w:color="auto"/>
                            <w:right w:val="none" w:sz="0" w:space="0" w:color="auto"/>
                          </w:divBdr>
                          <w:divsChild>
                            <w:div w:id="967591740">
                              <w:marLeft w:val="0"/>
                              <w:marRight w:val="0"/>
                              <w:marTop w:val="0"/>
                              <w:marBottom w:val="0"/>
                              <w:divBdr>
                                <w:top w:val="none" w:sz="0" w:space="0" w:color="auto"/>
                                <w:left w:val="none" w:sz="0" w:space="0" w:color="auto"/>
                                <w:bottom w:val="none" w:sz="0" w:space="0" w:color="auto"/>
                                <w:right w:val="none" w:sz="0" w:space="0" w:color="auto"/>
                              </w:divBdr>
                            </w:div>
                            <w:div w:id="576784784">
                              <w:marLeft w:val="0"/>
                              <w:marRight w:val="0"/>
                              <w:marTop w:val="0"/>
                              <w:marBottom w:val="0"/>
                              <w:divBdr>
                                <w:top w:val="none" w:sz="0" w:space="0" w:color="auto"/>
                                <w:left w:val="none" w:sz="0" w:space="0" w:color="auto"/>
                                <w:bottom w:val="none" w:sz="0" w:space="0" w:color="auto"/>
                                <w:right w:val="none" w:sz="0" w:space="0" w:color="auto"/>
                              </w:divBdr>
                              <w:divsChild>
                                <w:div w:id="1449273765">
                                  <w:marLeft w:val="0"/>
                                  <w:marRight w:val="0"/>
                                  <w:marTop w:val="0"/>
                                  <w:marBottom w:val="0"/>
                                  <w:divBdr>
                                    <w:top w:val="none" w:sz="0" w:space="0" w:color="auto"/>
                                    <w:left w:val="none" w:sz="0" w:space="0" w:color="auto"/>
                                    <w:bottom w:val="none" w:sz="0" w:space="0" w:color="auto"/>
                                    <w:right w:val="none" w:sz="0" w:space="0" w:color="auto"/>
                                  </w:divBdr>
                                </w:div>
                              </w:divsChild>
                            </w:div>
                            <w:div w:id="1620407009">
                              <w:marLeft w:val="0"/>
                              <w:marRight w:val="0"/>
                              <w:marTop w:val="0"/>
                              <w:marBottom w:val="0"/>
                              <w:divBdr>
                                <w:top w:val="none" w:sz="0" w:space="0" w:color="auto"/>
                                <w:left w:val="none" w:sz="0" w:space="0" w:color="auto"/>
                                <w:bottom w:val="none" w:sz="0" w:space="0" w:color="auto"/>
                                <w:right w:val="none" w:sz="0" w:space="0" w:color="auto"/>
                              </w:divBdr>
                              <w:divsChild>
                                <w:div w:id="1467889423">
                                  <w:marLeft w:val="0"/>
                                  <w:marRight w:val="0"/>
                                  <w:marTop w:val="0"/>
                                  <w:marBottom w:val="0"/>
                                  <w:divBdr>
                                    <w:top w:val="none" w:sz="0" w:space="0" w:color="auto"/>
                                    <w:left w:val="none" w:sz="0" w:space="0" w:color="auto"/>
                                    <w:bottom w:val="none" w:sz="0" w:space="0" w:color="auto"/>
                                    <w:right w:val="none" w:sz="0" w:space="0" w:color="auto"/>
                                  </w:divBdr>
                                </w:div>
                              </w:divsChild>
                            </w:div>
                            <w:div w:id="592782373">
                              <w:marLeft w:val="0"/>
                              <w:marRight w:val="0"/>
                              <w:marTop w:val="0"/>
                              <w:marBottom w:val="0"/>
                              <w:divBdr>
                                <w:top w:val="none" w:sz="0" w:space="0" w:color="auto"/>
                                <w:left w:val="none" w:sz="0" w:space="0" w:color="auto"/>
                                <w:bottom w:val="none" w:sz="0" w:space="0" w:color="auto"/>
                                <w:right w:val="none" w:sz="0" w:space="0" w:color="auto"/>
                              </w:divBdr>
                              <w:divsChild>
                                <w:div w:id="1250232345">
                                  <w:marLeft w:val="0"/>
                                  <w:marRight w:val="0"/>
                                  <w:marTop w:val="0"/>
                                  <w:marBottom w:val="0"/>
                                  <w:divBdr>
                                    <w:top w:val="none" w:sz="0" w:space="0" w:color="auto"/>
                                    <w:left w:val="none" w:sz="0" w:space="0" w:color="auto"/>
                                    <w:bottom w:val="none" w:sz="0" w:space="0" w:color="auto"/>
                                    <w:right w:val="none" w:sz="0" w:space="0" w:color="auto"/>
                                  </w:divBdr>
                                </w:div>
                              </w:divsChild>
                            </w:div>
                            <w:div w:id="1800488546">
                              <w:marLeft w:val="0"/>
                              <w:marRight w:val="0"/>
                              <w:marTop w:val="0"/>
                              <w:marBottom w:val="0"/>
                              <w:divBdr>
                                <w:top w:val="none" w:sz="0" w:space="0" w:color="auto"/>
                                <w:left w:val="none" w:sz="0" w:space="0" w:color="auto"/>
                                <w:bottom w:val="none" w:sz="0" w:space="0" w:color="auto"/>
                                <w:right w:val="none" w:sz="0" w:space="0" w:color="auto"/>
                              </w:divBdr>
                              <w:divsChild>
                                <w:div w:id="997659729">
                                  <w:marLeft w:val="0"/>
                                  <w:marRight w:val="0"/>
                                  <w:marTop w:val="0"/>
                                  <w:marBottom w:val="0"/>
                                  <w:divBdr>
                                    <w:top w:val="none" w:sz="0" w:space="0" w:color="auto"/>
                                    <w:left w:val="none" w:sz="0" w:space="0" w:color="auto"/>
                                    <w:bottom w:val="none" w:sz="0" w:space="0" w:color="auto"/>
                                    <w:right w:val="none" w:sz="0" w:space="0" w:color="auto"/>
                                  </w:divBdr>
                                  <w:divsChild>
                                    <w:div w:id="1679306853">
                                      <w:marLeft w:val="0"/>
                                      <w:marRight w:val="0"/>
                                      <w:marTop w:val="0"/>
                                      <w:marBottom w:val="0"/>
                                      <w:divBdr>
                                        <w:top w:val="none" w:sz="0" w:space="0" w:color="auto"/>
                                        <w:left w:val="none" w:sz="0" w:space="0" w:color="auto"/>
                                        <w:bottom w:val="none" w:sz="0" w:space="0" w:color="auto"/>
                                        <w:right w:val="none" w:sz="0" w:space="0" w:color="auto"/>
                                      </w:divBdr>
                                      <w:divsChild>
                                        <w:div w:id="985471841">
                                          <w:marLeft w:val="0"/>
                                          <w:marRight w:val="0"/>
                                          <w:marTop w:val="120"/>
                                          <w:marBottom w:val="0"/>
                                          <w:divBdr>
                                            <w:top w:val="none" w:sz="0" w:space="0" w:color="auto"/>
                                            <w:left w:val="none" w:sz="0" w:space="0" w:color="auto"/>
                                            <w:bottom w:val="none" w:sz="0" w:space="0" w:color="auto"/>
                                            <w:right w:val="none" w:sz="0" w:space="0" w:color="auto"/>
                                          </w:divBdr>
                                        </w:div>
                                        <w:div w:id="1454983386">
                                          <w:marLeft w:val="0"/>
                                          <w:marRight w:val="0"/>
                                          <w:marTop w:val="0"/>
                                          <w:marBottom w:val="0"/>
                                          <w:divBdr>
                                            <w:top w:val="none" w:sz="0" w:space="0" w:color="auto"/>
                                            <w:left w:val="none" w:sz="0" w:space="0" w:color="auto"/>
                                            <w:bottom w:val="none" w:sz="0" w:space="0" w:color="auto"/>
                                            <w:right w:val="none" w:sz="0" w:space="0" w:color="auto"/>
                                          </w:divBdr>
                                        </w:div>
                                      </w:divsChild>
                                    </w:div>
                                    <w:div w:id="526337781">
                                      <w:marLeft w:val="0"/>
                                      <w:marRight w:val="0"/>
                                      <w:marTop w:val="0"/>
                                      <w:marBottom w:val="0"/>
                                      <w:divBdr>
                                        <w:top w:val="none" w:sz="0" w:space="0" w:color="auto"/>
                                        <w:left w:val="none" w:sz="0" w:space="0" w:color="auto"/>
                                        <w:bottom w:val="none" w:sz="0" w:space="0" w:color="auto"/>
                                        <w:right w:val="none" w:sz="0" w:space="0" w:color="auto"/>
                                      </w:divBdr>
                                      <w:divsChild>
                                        <w:div w:id="620651020">
                                          <w:marLeft w:val="0"/>
                                          <w:marRight w:val="0"/>
                                          <w:marTop w:val="120"/>
                                          <w:marBottom w:val="0"/>
                                          <w:divBdr>
                                            <w:top w:val="none" w:sz="0" w:space="0" w:color="auto"/>
                                            <w:left w:val="none" w:sz="0" w:space="0" w:color="auto"/>
                                            <w:bottom w:val="none" w:sz="0" w:space="0" w:color="auto"/>
                                            <w:right w:val="none" w:sz="0" w:space="0" w:color="auto"/>
                                          </w:divBdr>
                                        </w:div>
                                        <w:div w:id="1234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35730">
                          <w:marLeft w:val="0"/>
                          <w:marRight w:val="0"/>
                          <w:marTop w:val="0"/>
                          <w:marBottom w:val="0"/>
                          <w:divBdr>
                            <w:top w:val="none" w:sz="0" w:space="0" w:color="auto"/>
                            <w:left w:val="none" w:sz="0" w:space="0" w:color="auto"/>
                            <w:bottom w:val="none" w:sz="0" w:space="0" w:color="auto"/>
                            <w:right w:val="none" w:sz="0" w:space="0" w:color="auto"/>
                          </w:divBdr>
                          <w:divsChild>
                            <w:div w:id="1179849447">
                              <w:marLeft w:val="0"/>
                              <w:marRight w:val="0"/>
                              <w:marTop w:val="0"/>
                              <w:marBottom w:val="0"/>
                              <w:divBdr>
                                <w:top w:val="none" w:sz="0" w:space="0" w:color="auto"/>
                                <w:left w:val="none" w:sz="0" w:space="0" w:color="auto"/>
                                <w:bottom w:val="none" w:sz="0" w:space="0" w:color="auto"/>
                                <w:right w:val="none" w:sz="0" w:space="0" w:color="auto"/>
                              </w:divBdr>
                            </w:div>
                            <w:div w:id="1487740413">
                              <w:marLeft w:val="0"/>
                              <w:marRight w:val="0"/>
                              <w:marTop w:val="0"/>
                              <w:marBottom w:val="0"/>
                              <w:divBdr>
                                <w:top w:val="none" w:sz="0" w:space="0" w:color="auto"/>
                                <w:left w:val="none" w:sz="0" w:space="0" w:color="auto"/>
                                <w:bottom w:val="none" w:sz="0" w:space="0" w:color="auto"/>
                                <w:right w:val="none" w:sz="0" w:space="0" w:color="auto"/>
                              </w:divBdr>
                              <w:divsChild>
                                <w:div w:id="791751041">
                                  <w:marLeft w:val="0"/>
                                  <w:marRight w:val="0"/>
                                  <w:marTop w:val="0"/>
                                  <w:marBottom w:val="0"/>
                                  <w:divBdr>
                                    <w:top w:val="none" w:sz="0" w:space="0" w:color="auto"/>
                                    <w:left w:val="none" w:sz="0" w:space="0" w:color="auto"/>
                                    <w:bottom w:val="none" w:sz="0" w:space="0" w:color="auto"/>
                                    <w:right w:val="none" w:sz="0" w:space="0" w:color="auto"/>
                                  </w:divBdr>
                                </w:div>
                              </w:divsChild>
                            </w:div>
                            <w:div w:id="2054957544">
                              <w:marLeft w:val="0"/>
                              <w:marRight w:val="0"/>
                              <w:marTop w:val="0"/>
                              <w:marBottom w:val="0"/>
                              <w:divBdr>
                                <w:top w:val="none" w:sz="0" w:space="0" w:color="auto"/>
                                <w:left w:val="none" w:sz="0" w:space="0" w:color="auto"/>
                                <w:bottom w:val="none" w:sz="0" w:space="0" w:color="auto"/>
                                <w:right w:val="none" w:sz="0" w:space="0" w:color="auto"/>
                              </w:divBdr>
                              <w:divsChild>
                                <w:div w:id="1193693099">
                                  <w:marLeft w:val="0"/>
                                  <w:marRight w:val="0"/>
                                  <w:marTop w:val="0"/>
                                  <w:marBottom w:val="0"/>
                                  <w:divBdr>
                                    <w:top w:val="none" w:sz="0" w:space="0" w:color="auto"/>
                                    <w:left w:val="none" w:sz="0" w:space="0" w:color="auto"/>
                                    <w:bottom w:val="none" w:sz="0" w:space="0" w:color="auto"/>
                                    <w:right w:val="none" w:sz="0" w:space="0" w:color="auto"/>
                                  </w:divBdr>
                                  <w:divsChild>
                                    <w:div w:id="1927154490">
                                      <w:marLeft w:val="0"/>
                                      <w:marRight w:val="0"/>
                                      <w:marTop w:val="0"/>
                                      <w:marBottom w:val="0"/>
                                      <w:divBdr>
                                        <w:top w:val="none" w:sz="0" w:space="0" w:color="auto"/>
                                        <w:left w:val="none" w:sz="0" w:space="0" w:color="auto"/>
                                        <w:bottom w:val="none" w:sz="0" w:space="0" w:color="auto"/>
                                        <w:right w:val="none" w:sz="0" w:space="0" w:color="auto"/>
                                      </w:divBdr>
                                      <w:divsChild>
                                        <w:div w:id="1899365700">
                                          <w:marLeft w:val="0"/>
                                          <w:marRight w:val="0"/>
                                          <w:marTop w:val="120"/>
                                          <w:marBottom w:val="0"/>
                                          <w:divBdr>
                                            <w:top w:val="none" w:sz="0" w:space="0" w:color="auto"/>
                                            <w:left w:val="none" w:sz="0" w:space="0" w:color="auto"/>
                                            <w:bottom w:val="none" w:sz="0" w:space="0" w:color="auto"/>
                                            <w:right w:val="none" w:sz="0" w:space="0" w:color="auto"/>
                                          </w:divBdr>
                                        </w:div>
                                        <w:div w:id="277807954">
                                          <w:marLeft w:val="0"/>
                                          <w:marRight w:val="0"/>
                                          <w:marTop w:val="0"/>
                                          <w:marBottom w:val="0"/>
                                          <w:divBdr>
                                            <w:top w:val="none" w:sz="0" w:space="0" w:color="auto"/>
                                            <w:left w:val="none" w:sz="0" w:space="0" w:color="auto"/>
                                            <w:bottom w:val="none" w:sz="0" w:space="0" w:color="auto"/>
                                            <w:right w:val="none" w:sz="0" w:space="0" w:color="auto"/>
                                          </w:divBdr>
                                        </w:div>
                                      </w:divsChild>
                                    </w:div>
                                    <w:div w:id="1265380003">
                                      <w:marLeft w:val="0"/>
                                      <w:marRight w:val="0"/>
                                      <w:marTop w:val="0"/>
                                      <w:marBottom w:val="0"/>
                                      <w:divBdr>
                                        <w:top w:val="none" w:sz="0" w:space="0" w:color="auto"/>
                                        <w:left w:val="none" w:sz="0" w:space="0" w:color="auto"/>
                                        <w:bottom w:val="none" w:sz="0" w:space="0" w:color="auto"/>
                                        <w:right w:val="none" w:sz="0" w:space="0" w:color="auto"/>
                                      </w:divBdr>
                                      <w:divsChild>
                                        <w:div w:id="955255264">
                                          <w:marLeft w:val="0"/>
                                          <w:marRight w:val="0"/>
                                          <w:marTop w:val="120"/>
                                          <w:marBottom w:val="0"/>
                                          <w:divBdr>
                                            <w:top w:val="none" w:sz="0" w:space="0" w:color="auto"/>
                                            <w:left w:val="none" w:sz="0" w:space="0" w:color="auto"/>
                                            <w:bottom w:val="none" w:sz="0" w:space="0" w:color="auto"/>
                                            <w:right w:val="none" w:sz="0" w:space="0" w:color="auto"/>
                                          </w:divBdr>
                                        </w:div>
                                        <w:div w:id="1545554681">
                                          <w:marLeft w:val="0"/>
                                          <w:marRight w:val="0"/>
                                          <w:marTop w:val="0"/>
                                          <w:marBottom w:val="0"/>
                                          <w:divBdr>
                                            <w:top w:val="none" w:sz="0" w:space="0" w:color="auto"/>
                                            <w:left w:val="none" w:sz="0" w:space="0" w:color="auto"/>
                                            <w:bottom w:val="none" w:sz="0" w:space="0" w:color="auto"/>
                                            <w:right w:val="none" w:sz="0" w:space="0" w:color="auto"/>
                                          </w:divBdr>
                                          <w:divsChild>
                                            <w:div w:id="1135681818">
                                              <w:marLeft w:val="0"/>
                                              <w:marRight w:val="0"/>
                                              <w:marTop w:val="0"/>
                                              <w:marBottom w:val="0"/>
                                              <w:divBdr>
                                                <w:top w:val="none" w:sz="0" w:space="0" w:color="auto"/>
                                                <w:left w:val="none" w:sz="0" w:space="0" w:color="auto"/>
                                                <w:bottom w:val="none" w:sz="0" w:space="0" w:color="auto"/>
                                                <w:right w:val="none" w:sz="0" w:space="0" w:color="auto"/>
                                              </w:divBdr>
                                              <w:divsChild>
                                                <w:div w:id="1386641075">
                                                  <w:marLeft w:val="0"/>
                                                  <w:marRight w:val="0"/>
                                                  <w:marTop w:val="120"/>
                                                  <w:marBottom w:val="0"/>
                                                  <w:divBdr>
                                                    <w:top w:val="none" w:sz="0" w:space="0" w:color="auto"/>
                                                    <w:left w:val="none" w:sz="0" w:space="0" w:color="auto"/>
                                                    <w:bottom w:val="none" w:sz="0" w:space="0" w:color="auto"/>
                                                    <w:right w:val="none" w:sz="0" w:space="0" w:color="auto"/>
                                                  </w:divBdr>
                                                </w:div>
                                                <w:div w:id="1765343387">
                                                  <w:marLeft w:val="0"/>
                                                  <w:marRight w:val="0"/>
                                                  <w:marTop w:val="0"/>
                                                  <w:marBottom w:val="0"/>
                                                  <w:divBdr>
                                                    <w:top w:val="none" w:sz="0" w:space="0" w:color="auto"/>
                                                    <w:left w:val="none" w:sz="0" w:space="0" w:color="auto"/>
                                                    <w:bottom w:val="none" w:sz="0" w:space="0" w:color="auto"/>
                                                    <w:right w:val="none" w:sz="0" w:space="0" w:color="auto"/>
                                                  </w:divBdr>
                                                </w:div>
                                              </w:divsChild>
                                            </w:div>
                                            <w:div w:id="278415918">
                                              <w:marLeft w:val="0"/>
                                              <w:marRight w:val="0"/>
                                              <w:marTop w:val="0"/>
                                              <w:marBottom w:val="0"/>
                                              <w:divBdr>
                                                <w:top w:val="none" w:sz="0" w:space="0" w:color="auto"/>
                                                <w:left w:val="none" w:sz="0" w:space="0" w:color="auto"/>
                                                <w:bottom w:val="none" w:sz="0" w:space="0" w:color="auto"/>
                                                <w:right w:val="none" w:sz="0" w:space="0" w:color="auto"/>
                                              </w:divBdr>
                                              <w:divsChild>
                                                <w:div w:id="1836023434">
                                                  <w:marLeft w:val="0"/>
                                                  <w:marRight w:val="0"/>
                                                  <w:marTop w:val="120"/>
                                                  <w:marBottom w:val="0"/>
                                                  <w:divBdr>
                                                    <w:top w:val="none" w:sz="0" w:space="0" w:color="auto"/>
                                                    <w:left w:val="none" w:sz="0" w:space="0" w:color="auto"/>
                                                    <w:bottom w:val="none" w:sz="0" w:space="0" w:color="auto"/>
                                                    <w:right w:val="none" w:sz="0" w:space="0" w:color="auto"/>
                                                  </w:divBdr>
                                                </w:div>
                                                <w:div w:id="8008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685909">
                              <w:marLeft w:val="0"/>
                              <w:marRight w:val="0"/>
                              <w:marTop w:val="0"/>
                              <w:marBottom w:val="0"/>
                              <w:divBdr>
                                <w:top w:val="none" w:sz="0" w:space="0" w:color="auto"/>
                                <w:left w:val="none" w:sz="0" w:space="0" w:color="auto"/>
                                <w:bottom w:val="none" w:sz="0" w:space="0" w:color="auto"/>
                                <w:right w:val="none" w:sz="0" w:space="0" w:color="auto"/>
                              </w:divBdr>
                              <w:divsChild>
                                <w:div w:id="12168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10103">
                  <w:marLeft w:val="0"/>
                  <w:marRight w:val="0"/>
                  <w:marTop w:val="0"/>
                  <w:marBottom w:val="0"/>
                  <w:divBdr>
                    <w:top w:val="none" w:sz="0" w:space="0" w:color="auto"/>
                    <w:left w:val="none" w:sz="0" w:space="0" w:color="auto"/>
                    <w:bottom w:val="none" w:sz="0" w:space="0" w:color="auto"/>
                    <w:right w:val="none" w:sz="0" w:space="0" w:color="auto"/>
                  </w:divBdr>
                  <w:divsChild>
                    <w:div w:id="1168250191">
                      <w:marLeft w:val="0"/>
                      <w:marRight w:val="0"/>
                      <w:marTop w:val="0"/>
                      <w:marBottom w:val="0"/>
                      <w:divBdr>
                        <w:top w:val="none" w:sz="0" w:space="0" w:color="auto"/>
                        <w:left w:val="none" w:sz="0" w:space="0" w:color="auto"/>
                        <w:bottom w:val="none" w:sz="0" w:space="0" w:color="auto"/>
                        <w:right w:val="none" w:sz="0" w:space="0" w:color="auto"/>
                      </w:divBdr>
                      <w:divsChild>
                        <w:div w:id="419566485">
                          <w:marLeft w:val="0"/>
                          <w:marRight w:val="0"/>
                          <w:marTop w:val="0"/>
                          <w:marBottom w:val="0"/>
                          <w:divBdr>
                            <w:top w:val="none" w:sz="0" w:space="0" w:color="auto"/>
                            <w:left w:val="none" w:sz="0" w:space="0" w:color="auto"/>
                            <w:bottom w:val="none" w:sz="0" w:space="0" w:color="auto"/>
                            <w:right w:val="none" w:sz="0" w:space="0" w:color="auto"/>
                          </w:divBdr>
                        </w:div>
                        <w:div w:id="1826047697">
                          <w:marLeft w:val="0"/>
                          <w:marRight w:val="0"/>
                          <w:marTop w:val="0"/>
                          <w:marBottom w:val="0"/>
                          <w:divBdr>
                            <w:top w:val="none" w:sz="0" w:space="0" w:color="auto"/>
                            <w:left w:val="none" w:sz="0" w:space="0" w:color="auto"/>
                            <w:bottom w:val="none" w:sz="0" w:space="0" w:color="auto"/>
                            <w:right w:val="none" w:sz="0" w:space="0" w:color="auto"/>
                          </w:divBdr>
                          <w:divsChild>
                            <w:div w:id="1184637298">
                              <w:marLeft w:val="0"/>
                              <w:marRight w:val="0"/>
                              <w:marTop w:val="120"/>
                              <w:marBottom w:val="0"/>
                              <w:divBdr>
                                <w:top w:val="none" w:sz="0" w:space="0" w:color="auto"/>
                                <w:left w:val="none" w:sz="0" w:space="0" w:color="auto"/>
                                <w:bottom w:val="none" w:sz="0" w:space="0" w:color="auto"/>
                                <w:right w:val="none" w:sz="0" w:space="0" w:color="auto"/>
                              </w:divBdr>
                            </w:div>
                            <w:div w:id="793787552">
                              <w:marLeft w:val="0"/>
                              <w:marRight w:val="0"/>
                              <w:marTop w:val="0"/>
                              <w:marBottom w:val="0"/>
                              <w:divBdr>
                                <w:top w:val="none" w:sz="0" w:space="0" w:color="auto"/>
                                <w:left w:val="none" w:sz="0" w:space="0" w:color="auto"/>
                                <w:bottom w:val="none" w:sz="0" w:space="0" w:color="auto"/>
                                <w:right w:val="none" w:sz="0" w:space="0" w:color="auto"/>
                              </w:divBdr>
                            </w:div>
                          </w:divsChild>
                        </w:div>
                        <w:div w:id="587810546">
                          <w:marLeft w:val="0"/>
                          <w:marRight w:val="0"/>
                          <w:marTop w:val="0"/>
                          <w:marBottom w:val="0"/>
                          <w:divBdr>
                            <w:top w:val="none" w:sz="0" w:space="0" w:color="auto"/>
                            <w:left w:val="none" w:sz="0" w:space="0" w:color="auto"/>
                            <w:bottom w:val="none" w:sz="0" w:space="0" w:color="auto"/>
                            <w:right w:val="none" w:sz="0" w:space="0" w:color="auto"/>
                          </w:divBdr>
                          <w:divsChild>
                            <w:div w:id="1469468558">
                              <w:marLeft w:val="0"/>
                              <w:marRight w:val="0"/>
                              <w:marTop w:val="120"/>
                              <w:marBottom w:val="0"/>
                              <w:divBdr>
                                <w:top w:val="none" w:sz="0" w:space="0" w:color="auto"/>
                                <w:left w:val="none" w:sz="0" w:space="0" w:color="auto"/>
                                <w:bottom w:val="none" w:sz="0" w:space="0" w:color="auto"/>
                                <w:right w:val="none" w:sz="0" w:space="0" w:color="auto"/>
                              </w:divBdr>
                            </w:div>
                            <w:div w:id="125897743">
                              <w:marLeft w:val="0"/>
                              <w:marRight w:val="0"/>
                              <w:marTop w:val="0"/>
                              <w:marBottom w:val="0"/>
                              <w:divBdr>
                                <w:top w:val="none" w:sz="0" w:space="0" w:color="auto"/>
                                <w:left w:val="none" w:sz="0" w:space="0" w:color="auto"/>
                                <w:bottom w:val="none" w:sz="0" w:space="0" w:color="auto"/>
                                <w:right w:val="none" w:sz="0" w:space="0" w:color="auto"/>
                              </w:divBdr>
                            </w:div>
                          </w:divsChild>
                        </w:div>
                        <w:div w:id="822821171">
                          <w:marLeft w:val="0"/>
                          <w:marRight w:val="0"/>
                          <w:marTop w:val="0"/>
                          <w:marBottom w:val="0"/>
                          <w:divBdr>
                            <w:top w:val="none" w:sz="0" w:space="0" w:color="auto"/>
                            <w:left w:val="none" w:sz="0" w:space="0" w:color="auto"/>
                            <w:bottom w:val="none" w:sz="0" w:space="0" w:color="auto"/>
                            <w:right w:val="none" w:sz="0" w:space="0" w:color="auto"/>
                          </w:divBdr>
                          <w:divsChild>
                            <w:div w:id="1133330496">
                              <w:marLeft w:val="0"/>
                              <w:marRight w:val="0"/>
                              <w:marTop w:val="120"/>
                              <w:marBottom w:val="0"/>
                              <w:divBdr>
                                <w:top w:val="none" w:sz="0" w:space="0" w:color="auto"/>
                                <w:left w:val="none" w:sz="0" w:space="0" w:color="auto"/>
                                <w:bottom w:val="none" w:sz="0" w:space="0" w:color="auto"/>
                                <w:right w:val="none" w:sz="0" w:space="0" w:color="auto"/>
                              </w:divBdr>
                            </w:div>
                            <w:div w:id="1749033914">
                              <w:marLeft w:val="0"/>
                              <w:marRight w:val="0"/>
                              <w:marTop w:val="0"/>
                              <w:marBottom w:val="0"/>
                              <w:divBdr>
                                <w:top w:val="none" w:sz="0" w:space="0" w:color="auto"/>
                                <w:left w:val="none" w:sz="0" w:space="0" w:color="auto"/>
                                <w:bottom w:val="none" w:sz="0" w:space="0" w:color="auto"/>
                                <w:right w:val="none" w:sz="0" w:space="0" w:color="auto"/>
                              </w:divBdr>
                            </w:div>
                          </w:divsChild>
                        </w:div>
                        <w:div w:id="1166360389">
                          <w:marLeft w:val="0"/>
                          <w:marRight w:val="0"/>
                          <w:marTop w:val="0"/>
                          <w:marBottom w:val="0"/>
                          <w:divBdr>
                            <w:top w:val="none" w:sz="0" w:space="0" w:color="auto"/>
                            <w:left w:val="none" w:sz="0" w:space="0" w:color="auto"/>
                            <w:bottom w:val="none" w:sz="0" w:space="0" w:color="auto"/>
                            <w:right w:val="none" w:sz="0" w:space="0" w:color="auto"/>
                          </w:divBdr>
                          <w:divsChild>
                            <w:div w:id="1397968589">
                              <w:marLeft w:val="0"/>
                              <w:marRight w:val="0"/>
                              <w:marTop w:val="120"/>
                              <w:marBottom w:val="0"/>
                              <w:divBdr>
                                <w:top w:val="none" w:sz="0" w:space="0" w:color="auto"/>
                                <w:left w:val="none" w:sz="0" w:space="0" w:color="auto"/>
                                <w:bottom w:val="none" w:sz="0" w:space="0" w:color="auto"/>
                                <w:right w:val="none" w:sz="0" w:space="0" w:color="auto"/>
                              </w:divBdr>
                            </w:div>
                            <w:div w:id="670334680">
                              <w:marLeft w:val="0"/>
                              <w:marRight w:val="0"/>
                              <w:marTop w:val="0"/>
                              <w:marBottom w:val="0"/>
                              <w:divBdr>
                                <w:top w:val="none" w:sz="0" w:space="0" w:color="auto"/>
                                <w:left w:val="none" w:sz="0" w:space="0" w:color="auto"/>
                                <w:bottom w:val="none" w:sz="0" w:space="0" w:color="auto"/>
                                <w:right w:val="none" w:sz="0" w:space="0" w:color="auto"/>
                              </w:divBdr>
                            </w:div>
                          </w:divsChild>
                        </w:div>
                        <w:div w:id="1252934705">
                          <w:marLeft w:val="0"/>
                          <w:marRight w:val="0"/>
                          <w:marTop w:val="0"/>
                          <w:marBottom w:val="0"/>
                          <w:divBdr>
                            <w:top w:val="none" w:sz="0" w:space="0" w:color="auto"/>
                            <w:left w:val="none" w:sz="0" w:space="0" w:color="auto"/>
                            <w:bottom w:val="none" w:sz="0" w:space="0" w:color="auto"/>
                            <w:right w:val="none" w:sz="0" w:space="0" w:color="auto"/>
                          </w:divBdr>
                          <w:divsChild>
                            <w:div w:id="1475676699">
                              <w:marLeft w:val="0"/>
                              <w:marRight w:val="0"/>
                              <w:marTop w:val="120"/>
                              <w:marBottom w:val="0"/>
                              <w:divBdr>
                                <w:top w:val="none" w:sz="0" w:space="0" w:color="auto"/>
                                <w:left w:val="none" w:sz="0" w:space="0" w:color="auto"/>
                                <w:bottom w:val="none" w:sz="0" w:space="0" w:color="auto"/>
                                <w:right w:val="none" w:sz="0" w:space="0" w:color="auto"/>
                              </w:divBdr>
                            </w:div>
                            <w:div w:id="1146552942">
                              <w:marLeft w:val="0"/>
                              <w:marRight w:val="0"/>
                              <w:marTop w:val="0"/>
                              <w:marBottom w:val="0"/>
                              <w:divBdr>
                                <w:top w:val="none" w:sz="0" w:space="0" w:color="auto"/>
                                <w:left w:val="none" w:sz="0" w:space="0" w:color="auto"/>
                                <w:bottom w:val="none" w:sz="0" w:space="0" w:color="auto"/>
                                <w:right w:val="none" w:sz="0" w:space="0" w:color="auto"/>
                              </w:divBdr>
                            </w:div>
                          </w:divsChild>
                        </w:div>
                        <w:div w:id="903755581">
                          <w:marLeft w:val="0"/>
                          <w:marRight w:val="0"/>
                          <w:marTop w:val="0"/>
                          <w:marBottom w:val="0"/>
                          <w:divBdr>
                            <w:top w:val="none" w:sz="0" w:space="0" w:color="auto"/>
                            <w:left w:val="none" w:sz="0" w:space="0" w:color="auto"/>
                            <w:bottom w:val="none" w:sz="0" w:space="0" w:color="auto"/>
                            <w:right w:val="none" w:sz="0" w:space="0" w:color="auto"/>
                          </w:divBdr>
                          <w:divsChild>
                            <w:div w:id="645352259">
                              <w:marLeft w:val="0"/>
                              <w:marRight w:val="0"/>
                              <w:marTop w:val="120"/>
                              <w:marBottom w:val="0"/>
                              <w:divBdr>
                                <w:top w:val="none" w:sz="0" w:space="0" w:color="auto"/>
                                <w:left w:val="none" w:sz="0" w:space="0" w:color="auto"/>
                                <w:bottom w:val="none" w:sz="0" w:space="0" w:color="auto"/>
                                <w:right w:val="none" w:sz="0" w:space="0" w:color="auto"/>
                              </w:divBdr>
                            </w:div>
                            <w:div w:id="1782265684">
                              <w:marLeft w:val="0"/>
                              <w:marRight w:val="0"/>
                              <w:marTop w:val="0"/>
                              <w:marBottom w:val="0"/>
                              <w:divBdr>
                                <w:top w:val="none" w:sz="0" w:space="0" w:color="auto"/>
                                <w:left w:val="none" w:sz="0" w:space="0" w:color="auto"/>
                                <w:bottom w:val="none" w:sz="0" w:space="0" w:color="auto"/>
                                <w:right w:val="none" w:sz="0" w:space="0" w:color="auto"/>
                              </w:divBdr>
                            </w:div>
                          </w:divsChild>
                        </w:div>
                        <w:div w:id="1520969784">
                          <w:marLeft w:val="0"/>
                          <w:marRight w:val="0"/>
                          <w:marTop w:val="0"/>
                          <w:marBottom w:val="0"/>
                          <w:divBdr>
                            <w:top w:val="none" w:sz="0" w:space="0" w:color="auto"/>
                            <w:left w:val="none" w:sz="0" w:space="0" w:color="auto"/>
                            <w:bottom w:val="none" w:sz="0" w:space="0" w:color="auto"/>
                            <w:right w:val="none" w:sz="0" w:space="0" w:color="auto"/>
                          </w:divBdr>
                          <w:divsChild>
                            <w:div w:id="818300690">
                              <w:marLeft w:val="0"/>
                              <w:marRight w:val="0"/>
                              <w:marTop w:val="120"/>
                              <w:marBottom w:val="0"/>
                              <w:divBdr>
                                <w:top w:val="none" w:sz="0" w:space="0" w:color="auto"/>
                                <w:left w:val="none" w:sz="0" w:space="0" w:color="auto"/>
                                <w:bottom w:val="none" w:sz="0" w:space="0" w:color="auto"/>
                                <w:right w:val="none" w:sz="0" w:space="0" w:color="auto"/>
                              </w:divBdr>
                            </w:div>
                            <w:div w:id="665862201">
                              <w:marLeft w:val="0"/>
                              <w:marRight w:val="0"/>
                              <w:marTop w:val="0"/>
                              <w:marBottom w:val="0"/>
                              <w:divBdr>
                                <w:top w:val="none" w:sz="0" w:space="0" w:color="auto"/>
                                <w:left w:val="none" w:sz="0" w:space="0" w:color="auto"/>
                                <w:bottom w:val="none" w:sz="0" w:space="0" w:color="auto"/>
                                <w:right w:val="none" w:sz="0" w:space="0" w:color="auto"/>
                              </w:divBdr>
                            </w:div>
                          </w:divsChild>
                        </w:div>
                        <w:div w:id="1875802726">
                          <w:marLeft w:val="0"/>
                          <w:marRight w:val="0"/>
                          <w:marTop w:val="0"/>
                          <w:marBottom w:val="0"/>
                          <w:divBdr>
                            <w:top w:val="none" w:sz="0" w:space="0" w:color="auto"/>
                            <w:left w:val="none" w:sz="0" w:space="0" w:color="auto"/>
                            <w:bottom w:val="none" w:sz="0" w:space="0" w:color="auto"/>
                            <w:right w:val="none" w:sz="0" w:space="0" w:color="auto"/>
                          </w:divBdr>
                          <w:divsChild>
                            <w:div w:id="5525815">
                              <w:marLeft w:val="0"/>
                              <w:marRight w:val="0"/>
                              <w:marTop w:val="120"/>
                              <w:marBottom w:val="0"/>
                              <w:divBdr>
                                <w:top w:val="none" w:sz="0" w:space="0" w:color="auto"/>
                                <w:left w:val="none" w:sz="0" w:space="0" w:color="auto"/>
                                <w:bottom w:val="none" w:sz="0" w:space="0" w:color="auto"/>
                                <w:right w:val="none" w:sz="0" w:space="0" w:color="auto"/>
                              </w:divBdr>
                            </w:div>
                            <w:div w:id="1345092926">
                              <w:marLeft w:val="0"/>
                              <w:marRight w:val="0"/>
                              <w:marTop w:val="0"/>
                              <w:marBottom w:val="0"/>
                              <w:divBdr>
                                <w:top w:val="none" w:sz="0" w:space="0" w:color="auto"/>
                                <w:left w:val="none" w:sz="0" w:space="0" w:color="auto"/>
                                <w:bottom w:val="none" w:sz="0" w:space="0" w:color="auto"/>
                                <w:right w:val="none" w:sz="0" w:space="0" w:color="auto"/>
                              </w:divBdr>
                            </w:div>
                          </w:divsChild>
                        </w:div>
                        <w:div w:id="450781881">
                          <w:marLeft w:val="0"/>
                          <w:marRight w:val="0"/>
                          <w:marTop w:val="0"/>
                          <w:marBottom w:val="0"/>
                          <w:divBdr>
                            <w:top w:val="none" w:sz="0" w:space="0" w:color="auto"/>
                            <w:left w:val="none" w:sz="0" w:space="0" w:color="auto"/>
                            <w:bottom w:val="none" w:sz="0" w:space="0" w:color="auto"/>
                            <w:right w:val="none" w:sz="0" w:space="0" w:color="auto"/>
                          </w:divBdr>
                          <w:divsChild>
                            <w:div w:id="1405376807">
                              <w:marLeft w:val="0"/>
                              <w:marRight w:val="0"/>
                              <w:marTop w:val="120"/>
                              <w:marBottom w:val="0"/>
                              <w:divBdr>
                                <w:top w:val="none" w:sz="0" w:space="0" w:color="auto"/>
                                <w:left w:val="none" w:sz="0" w:space="0" w:color="auto"/>
                                <w:bottom w:val="none" w:sz="0" w:space="0" w:color="auto"/>
                                <w:right w:val="none" w:sz="0" w:space="0" w:color="auto"/>
                              </w:divBdr>
                            </w:div>
                            <w:div w:id="120922178">
                              <w:marLeft w:val="0"/>
                              <w:marRight w:val="0"/>
                              <w:marTop w:val="0"/>
                              <w:marBottom w:val="0"/>
                              <w:divBdr>
                                <w:top w:val="none" w:sz="0" w:space="0" w:color="auto"/>
                                <w:left w:val="none" w:sz="0" w:space="0" w:color="auto"/>
                                <w:bottom w:val="none" w:sz="0" w:space="0" w:color="auto"/>
                                <w:right w:val="none" w:sz="0" w:space="0" w:color="auto"/>
                              </w:divBdr>
                              <w:divsChild>
                                <w:div w:id="791217053">
                                  <w:marLeft w:val="0"/>
                                  <w:marRight w:val="0"/>
                                  <w:marTop w:val="0"/>
                                  <w:marBottom w:val="0"/>
                                  <w:divBdr>
                                    <w:top w:val="none" w:sz="0" w:space="0" w:color="auto"/>
                                    <w:left w:val="none" w:sz="0" w:space="0" w:color="auto"/>
                                    <w:bottom w:val="none" w:sz="0" w:space="0" w:color="auto"/>
                                    <w:right w:val="none" w:sz="0" w:space="0" w:color="auto"/>
                                  </w:divBdr>
                                  <w:divsChild>
                                    <w:div w:id="1125268394">
                                      <w:marLeft w:val="0"/>
                                      <w:marRight w:val="0"/>
                                      <w:marTop w:val="120"/>
                                      <w:marBottom w:val="0"/>
                                      <w:divBdr>
                                        <w:top w:val="none" w:sz="0" w:space="0" w:color="auto"/>
                                        <w:left w:val="none" w:sz="0" w:space="0" w:color="auto"/>
                                        <w:bottom w:val="none" w:sz="0" w:space="0" w:color="auto"/>
                                        <w:right w:val="none" w:sz="0" w:space="0" w:color="auto"/>
                                      </w:divBdr>
                                    </w:div>
                                    <w:div w:id="2090105485">
                                      <w:marLeft w:val="0"/>
                                      <w:marRight w:val="0"/>
                                      <w:marTop w:val="0"/>
                                      <w:marBottom w:val="0"/>
                                      <w:divBdr>
                                        <w:top w:val="none" w:sz="0" w:space="0" w:color="auto"/>
                                        <w:left w:val="none" w:sz="0" w:space="0" w:color="auto"/>
                                        <w:bottom w:val="none" w:sz="0" w:space="0" w:color="auto"/>
                                        <w:right w:val="none" w:sz="0" w:space="0" w:color="auto"/>
                                      </w:divBdr>
                                    </w:div>
                                  </w:divsChild>
                                </w:div>
                                <w:div w:id="1261983040">
                                  <w:marLeft w:val="0"/>
                                  <w:marRight w:val="0"/>
                                  <w:marTop w:val="0"/>
                                  <w:marBottom w:val="0"/>
                                  <w:divBdr>
                                    <w:top w:val="none" w:sz="0" w:space="0" w:color="auto"/>
                                    <w:left w:val="none" w:sz="0" w:space="0" w:color="auto"/>
                                    <w:bottom w:val="none" w:sz="0" w:space="0" w:color="auto"/>
                                    <w:right w:val="none" w:sz="0" w:space="0" w:color="auto"/>
                                  </w:divBdr>
                                  <w:divsChild>
                                    <w:div w:id="969938105">
                                      <w:marLeft w:val="0"/>
                                      <w:marRight w:val="0"/>
                                      <w:marTop w:val="120"/>
                                      <w:marBottom w:val="0"/>
                                      <w:divBdr>
                                        <w:top w:val="none" w:sz="0" w:space="0" w:color="auto"/>
                                        <w:left w:val="none" w:sz="0" w:space="0" w:color="auto"/>
                                        <w:bottom w:val="none" w:sz="0" w:space="0" w:color="auto"/>
                                        <w:right w:val="none" w:sz="0" w:space="0" w:color="auto"/>
                                      </w:divBdr>
                                    </w:div>
                                    <w:div w:id="21187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577438">
                          <w:marLeft w:val="0"/>
                          <w:marRight w:val="0"/>
                          <w:marTop w:val="0"/>
                          <w:marBottom w:val="0"/>
                          <w:divBdr>
                            <w:top w:val="none" w:sz="0" w:space="0" w:color="auto"/>
                            <w:left w:val="none" w:sz="0" w:space="0" w:color="auto"/>
                            <w:bottom w:val="none" w:sz="0" w:space="0" w:color="auto"/>
                            <w:right w:val="none" w:sz="0" w:space="0" w:color="auto"/>
                          </w:divBdr>
                          <w:divsChild>
                            <w:div w:id="1709453190">
                              <w:marLeft w:val="0"/>
                              <w:marRight w:val="0"/>
                              <w:marTop w:val="120"/>
                              <w:marBottom w:val="0"/>
                              <w:divBdr>
                                <w:top w:val="none" w:sz="0" w:space="0" w:color="auto"/>
                                <w:left w:val="none" w:sz="0" w:space="0" w:color="auto"/>
                                <w:bottom w:val="none" w:sz="0" w:space="0" w:color="auto"/>
                                <w:right w:val="none" w:sz="0" w:space="0" w:color="auto"/>
                              </w:divBdr>
                            </w:div>
                            <w:div w:id="891961800">
                              <w:marLeft w:val="0"/>
                              <w:marRight w:val="0"/>
                              <w:marTop w:val="0"/>
                              <w:marBottom w:val="0"/>
                              <w:divBdr>
                                <w:top w:val="none" w:sz="0" w:space="0" w:color="auto"/>
                                <w:left w:val="none" w:sz="0" w:space="0" w:color="auto"/>
                                <w:bottom w:val="none" w:sz="0" w:space="0" w:color="auto"/>
                                <w:right w:val="none" w:sz="0" w:space="0" w:color="auto"/>
                              </w:divBdr>
                            </w:div>
                          </w:divsChild>
                        </w:div>
                        <w:div w:id="145973326">
                          <w:marLeft w:val="0"/>
                          <w:marRight w:val="0"/>
                          <w:marTop w:val="0"/>
                          <w:marBottom w:val="0"/>
                          <w:divBdr>
                            <w:top w:val="none" w:sz="0" w:space="0" w:color="auto"/>
                            <w:left w:val="none" w:sz="0" w:space="0" w:color="auto"/>
                            <w:bottom w:val="none" w:sz="0" w:space="0" w:color="auto"/>
                            <w:right w:val="none" w:sz="0" w:space="0" w:color="auto"/>
                          </w:divBdr>
                          <w:divsChild>
                            <w:div w:id="866869737">
                              <w:marLeft w:val="0"/>
                              <w:marRight w:val="0"/>
                              <w:marTop w:val="120"/>
                              <w:marBottom w:val="0"/>
                              <w:divBdr>
                                <w:top w:val="none" w:sz="0" w:space="0" w:color="auto"/>
                                <w:left w:val="none" w:sz="0" w:space="0" w:color="auto"/>
                                <w:bottom w:val="none" w:sz="0" w:space="0" w:color="auto"/>
                                <w:right w:val="none" w:sz="0" w:space="0" w:color="auto"/>
                              </w:divBdr>
                            </w:div>
                            <w:div w:id="1227762307">
                              <w:marLeft w:val="0"/>
                              <w:marRight w:val="0"/>
                              <w:marTop w:val="0"/>
                              <w:marBottom w:val="0"/>
                              <w:divBdr>
                                <w:top w:val="none" w:sz="0" w:space="0" w:color="auto"/>
                                <w:left w:val="none" w:sz="0" w:space="0" w:color="auto"/>
                                <w:bottom w:val="none" w:sz="0" w:space="0" w:color="auto"/>
                                <w:right w:val="none" w:sz="0" w:space="0" w:color="auto"/>
                              </w:divBdr>
                            </w:div>
                          </w:divsChild>
                        </w:div>
                        <w:div w:id="132676528">
                          <w:marLeft w:val="0"/>
                          <w:marRight w:val="0"/>
                          <w:marTop w:val="0"/>
                          <w:marBottom w:val="0"/>
                          <w:divBdr>
                            <w:top w:val="none" w:sz="0" w:space="0" w:color="auto"/>
                            <w:left w:val="none" w:sz="0" w:space="0" w:color="auto"/>
                            <w:bottom w:val="none" w:sz="0" w:space="0" w:color="auto"/>
                            <w:right w:val="none" w:sz="0" w:space="0" w:color="auto"/>
                          </w:divBdr>
                          <w:divsChild>
                            <w:div w:id="705255570">
                              <w:marLeft w:val="0"/>
                              <w:marRight w:val="0"/>
                              <w:marTop w:val="120"/>
                              <w:marBottom w:val="0"/>
                              <w:divBdr>
                                <w:top w:val="none" w:sz="0" w:space="0" w:color="auto"/>
                                <w:left w:val="none" w:sz="0" w:space="0" w:color="auto"/>
                                <w:bottom w:val="none" w:sz="0" w:space="0" w:color="auto"/>
                                <w:right w:val="none" w:sz="0" w:space="0" w:color="auto"/>
                              </w:divBdr>
                            </w:div>
                            <w:div w:id="211898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4877">
                      <w:marLeft w:val="0"/>
                      <w:marRight w:val="0"/>
                      <w:marTop w:val="0"/>
                      <w:marBottom w:val="0"/>
                      <w:divBdr>
                        <w:top w:val="none" w:sz="0" w:space="0" w:color="auto"/>
                        <w:left w:val="none" w:sz="0" w:space="0" w:color="auto"/>
                        <w:bottom w:val="none" w:sz="0" w:space="0" w:color="auto"/>
                        <w:right w:val="none" w:sz="0" w:space="0" w:color="auto"/>
                      </w:divBdr>
                      <w:divsChild>
                        <w:div w:id="2105688697">
                          <w:marLeft w:val="0"/>
                          <w:marRight w:val="0"/>
                          <w:marTop w:val="0"/>
                          <w:marBottom w:val="0"/>
                          <w:divBdr>
                            <w:top w:val="none" w:sz="0" w:space="0" w:color="auto"/>
                            <w:left w:val="none" w:sz="0" w:space="0" w:color="auto"/>
                            <w:bottom w:val="none" w:sz="0" w:space="0" w:color="auto"/>
                            <w:right w:val="none" w:sz="0" w:space="0" w:color="auto"/>
                          </w:divBdr>
                        </w:div>
                        <w:div w:id="244150961">
                          <w:marLeft w:val="0"/>
                          <w:marRight w:val="0"/>
                          <w:marTop w:val="0"/>
                          <w:marBottom w:val="0"/>
                          <w:divBdr>
                            <w:top w:val="none" w:sz="0" w:space="0" w:color="auto"/>
                            <w:left w:val="none" w:sz="0" w:space="0" w:color="auto"/>
                            <w:bottom w:val="none" w:sz="0" w:space="0" w:color="auto"/>
                            <w:right w:val="none" w:sz="0" w:space="0" w:color="auto"/>
                          </w:divBdr>
                          <w:divsChild>
                            <w:div w:id="876041889">
                              <w:marLeft w:val="0"/>
                              <w:marRight w:val="0"/>
                              <w:marTop w:val="0"/>
                              <w:marBottom w:val="0"/>
                              <w:divBdr>
                                <w:top w:val="none" w:sz="0" w:space="0" w:color="auto"/>
                                <w:left w:val="none" w:sz="0" w:space="0" w:color="auto"/>
                                <w:bottom w:val="none" w:sz="0" w:space="0" w:color="auto"/>
                                <w:right w:val="none" w:sz="0" w:space="0" w:color="auto"/>
                              </w:divBdr>
                            </w:div>
                          </w:divsChild>
                        </w:div>
                        <w:div w:id="173106465">
                          <w:marLeft w:val="0"/>
                          <w:marRight w:val="0"/>
                          <w:marTop w:val="0"/>
                          <w:marBottom w:val="0"/>
                          <w:divBdr>
                            <w:top w:val="none" w:sz="0" w:space="0" w:color="auto"/>
                            <w:left w:val="none" w:sz="0" w:space="0" w:color="auto"/>
                            <w:bottom w:val="none" w:sz="0" w:space="0" w:color="auto"/>
                            <w:right w:val="none" w:sz="0" w:space="0" w:color="auto"/>
                          </w:divBdr>
                          <w:divsChild>
                            <w:div w:id="689526451">
                              <w:marLeft w:val="0"/>
                              <w:marRight w:val="0"/>
                              <w:marTop w:val="120"/>
                              <w:marBottom w:val="0"/>
                              <w:divBdr>
                                <w:top w:val="none" w:sz="0" w:space="0" w:color="auto"/>
                                <w:left w:val="none" w:sz="0" w:space="0" w:color="auto"/>
                                <w:bottom w:val="none" w:sz="0" w:space="0" w:color="auto"/>
                                <w:right w:val="none" w:sz="0" w:space="0" w:color="auto"/>
                              </w:divBdr>
                            </w:div>
                            <w:div w:id="1124688963">
                              <w:marLeft w:val="0"/>
                              <w:marRight w:val="0"/>
                              <w:marTop w:val="0"/>
                              <w:marBottom w:val="0"/>
                              <w:divBdr>
                                <w:top w:val="none" w:sz="0" w:space="0" w:color="auto"/>
                                <w:left w:val="none" w:sz="0" w:space="0" w:color="auto"/>
                                <w:bottom w:val="none" w:sz="0" w:space="0" w:color="auto"/>
                                <w:right w:val="none" w:sz="0" w:space="0" w:color="auto"/>
                              </w:divBdr>
                            </w:div>
                          </w:divsChild>
                        </w:div>
                        <w:div w:id="756681984">
                          <w:marLeft w:val="0"/>
                          <w:marRight w:val="0"/>
                          <w:marTop w:val="0"/>
                          <w:marBottom w:val="0"/>
                          <w:divBdr>
                            <w:top w:val="none" w:sz="0" w:space="0" w:color="auto"/>
                            <w:left w:val="none" w:sz="0" w:space="0" w:color="auto"/>
                            <w:bottom w:val="none" w:sz="0" w:space="0" w:color="auto"/>
                            <w:right w:val="none" w:sz="0" w:space="0" w:color="auto"/>
                          </w:divBdr>
                          <w:divsChild>
                            <w:div w:id="1067075331">
                              <w:marLeft w:val="0"/>
                              <w:marRight w:val="0"/>
                              <w:marTop w:val="120"/>
                              <w:marBottom w:val="0"/>
                              <w:divBdr>
                                <w:top w:val="none" w:sz="0" w:space="0" w:color="auto"/>
                                <w:left w:val="none" w:sz="0" w:space="0" w:color="auto"/>
                                <w:bottom w:val="none" w:sz="0" w:space="0" w:color="auto"/>
                                <w:right w:val="none" w:sz="0" w:space="0" w:color="auto"/>
                              </w:divBdr>
                            </w:div>
                            <w:div w:id="1466266843">
                              <w:marLeft w:val="0"/>
                              <w:marRight w:val="0"/>
                              <w:marTop w:val="0"/>
                              <w:marBottom w:val="0"/>
                              <w:divBdr>
                                <w:top w:val="none" w:sz="0" w:space="0" w:color="auto"/>
                                <w:left w:val="none" w:sz="0" w:space="0" w:color="auto"/>
                                <w:bottom w:val="none" w:sz="0" w:space="0" w:color="auto"/>
                                <w:right w:val="none" w:sz="0" w:space="0" w:color="auto"/>
                              </w:divBdr>
                            </w:div>
                          </w:divsChild>
                        </w:div>
                        <w:div w:id="411199632">
                          <w:marLeft w:val="0"/>
                          <w:marRight w:val="0"/>
                          <w:marTop w:val="0"/>
                          <w:marBottom w:val="0"/>
                          <w:divBdr>
                            <w:top w:val="none" w:sz="0" w:space="0" w:color="auto"/>
                            <w:left w:val="none" w:sz="0" w:space="0" w:color="auto"/>
                            <w:bottom w:val="none" w:sz="0" w:space="0" w:color="auto"/>
                            <w:right w:val="none" w:sz="0" w:space="0" w:color="auto"/>
                          </w:divBdr>
                          <w:divsChild>
                            <w:div w:id="1095707111">
                              <w:marLeft w:val="0"/>
                              <w:marRight w:val="0"/>
                              <w:marTop w:val="120"/>
                              <w:marBottom w:val="0"/>
                              <w:divBdr>
                                <w:top w:val="none" w:sz="0" w:space="0" w:color="auto"/>
                                <w:left w:val="none" w:sz="0" w:space="0" w:color="auto"/>
                                <w:bottom w:val="none" w:sz="0" w:space="0" w:color="auto"/>
                                <w:right w:val="none" w:sz="0" w:space="0" w:color="auto"/>
                              </w:divBdr>
                            </w:div>
                            <w:div w:id="400951831">
                              <w:marLeft w:val="0"/>
                              <w:marRight w:val="0"/>
                              <w:marTop w:val="0"/>
                              <w:marBottom w:val="0"/>
                              <w:divBdr>
                                <w:top w:val="none" w:sz="0" w:space="0" w:color="auto"/>
                                <w:left w:val="none" w:sz="0" w:space="0" w:color="auto"/>
                                <w:bottom w:val="none" w:sz="0" w:space="0" w:color="auto"/>
                                <w:right w:val="none" w:sz="0" w:space="0" w:color="auto"/>
                              </w:divBdr>
                            </w:div>
                          </w:divsChild>
                        </w:div>
                        <w:div w:id="1769350847">
                          <w:marLeft w:val="0"/>
                          <w:marRight w:val="0"/>
                          <w:marTop w:val="0"/>
                          <w:marBottom w:val="0"/>
                          <w:divBdr>
                            <w:top w:val="none" w:sz="0" w:space="0" w:color="auto"/>
                            <w:left w:val="none" w:sz="0" w:space="0" w:color="auto"/>
                            <w:bottom w:val="none" w:sz="0" w:space="0" w:color="auto"/>
                            <w:right w:val="none" w:sz="0" w:space="0" w:color="auto"/>
                          </w:divBdr>
                          <w:divsChild>
                            <w:div w:id="1899437155">
                              <w:marLeft w:val="0"/>
                              <w:marRight w:val="0"/>
                              <w:marTop w:val="120"/>
                              <w:marBottom w:val="0"/>
                              <w:divBdr>
                                <w:top w:val="none" w:sz="0" w:space="0" w:color="auto"/>
                                <w:left w:val="none" w:sz="0" w:space="0" w:color="auto"/>
                                <w:bottom w:val="none" w:sz="0" w:space="0" w:color="auto"/>
                                <w:right w:val="none" w:sz="0" w:space="0" w:color="auto"/>
                              </w:divBdr>
                            </w:div>
                            <w:div w:id="9988269">
                              <w:marLeft w:val="0"/>
                              <w:marRight w:val="0"/>
                              <w:marTop w:val="0"/>
                              <w:marBottom w:val="0"/>
                              <w:divBdr>
                                <w:top w:val="none" w:sz="0" w:space="0" w:color="auto"/>
                                <w:left w:val="none" w:sz="0" w:space="0" w:color="auto"/>
                                <w:bottom w:val="none" w:sz="0" w:space="0" w:color="auto"/>
                                <w:right w:val="none" w:sz="0" w:space="0" w:color="auto"/>
                              </w:divBdr>
                            </w:div>
                          </w:divsChild>
                        </w:div>
                        <w:div w:id="916667550">
                          <w:marLeft w:val="0"/>
                          <w:marRight w:val="0"/>
                          <w:marTop w:val="0"/>
                          <w:marBottom w:val="0"/>
                          <w:divBdr>
                            <w:top w:val="none" w:sz="0" w:space="0" w:color="auto"/>
                            <w:left w:val="none" w:sz="0" w:space="0" w:color="auto"/>
                            <w:bottom w:val="none" w:sz="0" w:space="0" w:color="auto"/>
                            <w:right w:val="none" w:sz="0" w:space="0" w:color="auto"/>
                          </w:divBdr>
                          <w:divsChild>
                            <w:div w:id="130296419">
                              <w:marLeft w:val="0"/>
                              <w:marRight w:val="0"/>
                              <w:marTop w:val="120"/>
                              <w:marBottom w:val="0"/>
                              <w:divBdr>
                                <w:top w:val="none" w:sz="0" w:space="0" w:color="auto"/>
                                <w:left w:val="none" w:sz="0" w:space="0" w:color="auto"/>
                                <w:bottom w:val="none" w:sz="0" w:space="0" w:color="auto"/>
                                <w:right w:val="none" w:sz="0" w:space="0" w:color="auto"/>
                              </w:divBdr>
                            </w:div>
                            <w:div w:id="655379469">
                              <w:marLeft w:val="0"/>
                              <w:marRight w:val="0"/>
                              <w:marTop w:val="0"/>
                              <w:marBottom w:val="0"/>
                              <w:divBdr>
                                <w:top w:val="none" w:sz="0" w:space="0" w:color="auto"/>
                                <w:left w:val="none" w:sz="0" w:space="0" w:color="auto"/>
                                <w:bottom w:val="none" w:sz="0" w:space="0" w:color="auto"/>
                                <w:right w:val="none" w:sz="0" w:space="0" w:color="auto"/>
                              </w:divBdr>
                            </w:div>
                          </w:divsChild>
                        </w:div>
                        <w:div w:id="1565992152">
                          <w:marLeft w:val="0"/>
                          <w:marRight w:val="0"/>
                          <w:marTop w:val="0"/>
                          <w:marBottom w:val="0"/>
                          <w:divBdr>
                            <w:top w:val="none" w:sz="0" w:space="0" w:color="auto"/>
                            <w:left w:val="none" w:sz="0" w:space="0" w:color="auto"/>
                            <w:bottom w:val="none" w:sz="0" w:space="0" w:color="auto"/>
                            <w:right w:val="none" w:sz="0" w:space="0" w:color="auto"/>
                          </w:divBdr>
                          <w:divsChild>
                            <w:div w:id="523054849">
                              <w:marLeft w:val="0"/>
                              <w:marRight w:val="0"/>
                              <w:marTop w:val="120"/>
                              <w:marBottom w:val="0"/>
                              <w:divBdr>
                                <w:top w:val="none" w:sz="0" w:space="0" w:color="auto"/>
                                <w:left w:val="none" w:sz="0" w:space="0" w:color="auto"/>
                                <w:bottom w:val="none" w:sz="0" w:space="0" w:color="auto"/>
                                <w:right w:val="none" w:sz="0" w:space="0" w:color="auto"/>
                              </w:divBdr>
                            </w:div>
                            <w:div w:id="1620604912">
                              <w:marLeft w:val="0"/>
                              <w:marRight w:val="0"/>
                              <w:marTop w:val="0"/>
                              <w:marBottom w:val="0"/>
                              <w:divBdr>
                                <w:top w:val="none" w:sz="0" w:space="0" w:color="auto"/>
                                <w:left w:val="none" w:sz="0" w:space="0" w:color="auto"/>
                                <w:bottom w:val="none" w:sz="0" w:space="0" w:color="auto"/>
                                <w:right w:val="none" w:sz="0" w:space="0" w:color="auto"/>
                              </w:divBdr>
                            </w:div>
                          </w:divsChild>
                        </w:div>
                        <w:div w:id="581573116">
                          <w:marLeft w:val="0"/>
                          <w:marRight w:val="0"/>
                          <w:marTop w:val="0"/>
                          <w:marBottom w:val="0"/>
                          <w:divBdr>
                            <w:top w:val="none" w:sz="0" w:space="0" w:color="auto"/>
                            <w:left w:val="none" w:sz="0" w:space="0" w:color="auto"/>
                            <w:bottom w:val="none" w:sz="0" w:space="0" w:color="auto"/>
                            <w:right w:val="none" w:sz="0" w:space="0" w:color="auto"/>
                          </w:divBdr>
                          <w:divsChild>
                            <w:div w:id="357319226">
                              <w:marLeft w:val="0"/>
                              <w:marRight w:val="0"/>
                              <w:marTop w:val="120"/>
                              <w:marBottom w:val="0"/>
                              <w:divBdr>
                                <w:top w:val="none" w:sz="0" w:space="0" w:color="auto"/>
                                <w:left w:val="none" w:sz="0" w:space="0" w:color="auto"/>
                                <w:bottom w:val="none" w:sz="0" w:space="0" w:color="auto"/>
                                <w:right w:val="none" w:sz="0" w:space="0" w:color="auto"/>
                              </w:divBdr>
                            </w:div>
                            <w:div w:id="1000083765">
                              <w:marLeft w:val="0"/>
                              <w:marRight w:val="0"/>
                              <w:marTop w:val="0"/>
                              <w:marBottom w:val="0"/>
                              <w:divBdr>
                                <w:top w:val="none" w:sz="0" w:space="0" w:color="auto"/>
                                <w:left w:val="none" w:sz="0" w:space="0" w:color="auto"/>
                                <w:bottom w:val="none" w:sz="0" w:space="0" w:color="auto"/>
                                <w:right w:val="none" w:sz="0" w:space="0" w:color="auto"/>
                              </w:divBdr>
                            </w:div>
                          </w:divsChild>
                        </w:div>
                        <w:div w:id="149099170">
                          <w:marLeft w:val="0"/>
                          <w:marRight w:val="0"/>
                          <w:marTop w:val="0"/>
                          <w:marBottom w:val="0"/>
                          <w:divBdr>
                            <w:top w:val="none" w:sz="0" w:space="0" w:color="auto"/>
                            <w:left w:val="none" w:sz="0" w:space="0" w:color="auto"/>
                            <w:bottom w:val="none" w:sz="0" w:space="0" w:color="auto"/>
                            <w:right w:val="none" w:sz="0" w:space="0" w:color="auto"/>
                          </w:divBdr>
                          <w:divsChild>
                            <w:div w:id="2045016653">
                              <w:marLeft w:val="0"/>
                              <w:marRight w:val="0"/>
                              <w:marTop w:val="120"/>
                              <w:marBottom w:val="0"/>
                              <w:divBdr>
                                <w:top w:val="none" w:sz="0" w:space="0" w:color="auto"/>
                                <w:left w:val="none" w:sz="0" w:space="0" w:color="auto"/>
                                <w:bottom w:val="none" w:sz="0" w:space="0" w:color="auto"/>
                                <w:right w:val="none" w:sz="0" w:space="0" w:color="auto"/>
                              </w:divBdr>
                            </w:div>
                            <w:div w:id="207187882">
                              <w:marLeft w:val="0"/>
                              <w:marRight w:val="0"/>
                              <w:marTop w:val="0"/>
                              <w:marBottom w:val="0"/>
                              <w:divBdr>
                                <w:top w:val="none" w:sz="0" w:space="0" w:color="auto"/>
                                <w:left w:val="none" w:sz="0" w:space="0" w:color="auto"/>
                                <w:bottom w:val="none" w:sz="0" w:space="0" w:color="auto"/>
                                <w:right w:val="none" w:sz="0" w:space="0" w:color="auto"/>
                              </w:divBdr>
                            </w:div>
                          </w:divsChild>
                        </w:div>
                        <w:div w:id="468862179">
                          <w:marLeft w:val="0"/>
                          <w:marRight w:val="0"/>
                          <w:marTop w:val="0"/>
                          <w:marBottom w:val="0"/>
                          <w:divBdr>
                            <w:top w:val="none" w:sz="0" w:space="0" w:color="auto"/>
                            <w:left w:val="none" w:sz="0" w:space="0" w:color="auto"/>
                            <w:bottom w:val="none" w:sz="0" w:space="0" w:color="auto"/>
                            <w:right w:val="none" w:sz="0" w:space="0" w:color="auto"/>
                          </w:divBdr>
                          <w:divsChild>
                            <w:div w:id="1494877810">
                              <w:marLeft w:val="0"/>
                              <w:marRight w:val="0"/>
                              <w:marTop w:val="120"/>
                              <w:marBottom w:val="0"/>
                              <w:divBdr>
                                <w:top w:val="none" w:sz="0" w:space="0" w:color="auto"/>
                                <w:left w:val="none" w:sz="0" w:space="0" w:color="auto"/>
                                <w:bottom w:val="none" w:sz="0" w:space="0" w:color="auto"/>
                                <w:right w:val="none" w:sz="0" w:space="0" w:color="auto"/>
                              </w:divBdr>
                            </w:div>
                            <w:div w:id="1102844593">
                              <w:marLeft w:val="0"/>
                              <w:marRight w:val="0"/>
                              <w:marTop w:val="0"/>
                              <w:marBottom w:val="0"/>
                              <w:divBdr>
                                <w:top w:val="none" w:sz="0" w:space="0" w:color="auto"/>
                                <w:left w:val="none" w:sz="0" w:space="0" w:color="auto"/>
                                <w:bottom w:val="none" w:sz="0" w:space="0" w:color="auto"/>
                                <w:right w:val="none" w:sz="0" w:space="0" w:color="auto"/>
                              </w:divBdr>
                            </w:div>
                          </w:divsChild>
                        </w:div>
                        <w:div w:id="937099604">
                          <w:marLeft w:val="0"/>
                          <w:marRight w:val="0"/>
                          <w:marTop w:val="0"/>
                          <w:marBottom w:val="0"/>
                          <w:divBdr>
                            <w:top w:val="none" w:sz="0" w:space="0" w:color="auto"/>
                            <w:left w:val="none" w:sz="0" w:space="0" w:color="auto"/>
                            <w:bottom w:val="none" w:sz="0" w:space="0" w:color="auto"/>
                            <w:right w:val="none" w:sz="0" w:space="0" w:color="auto"/>
                          </w:divBdr>
                          <w:divsChild>
                            <w:div w:id="2143034084">
                              <w:marLeft w:val="0"/>
                              <w:marRight w:val="0"/>
                              <w:marTop w:val="0"/>
                              <w:marBottom w:val="0"/>
                              <w:divBdr>
                                <w:top w:val="none" w:sz="0" w:space="0" w:color="auto"/>
                                <w:left w:val="none" w:sz="0" w:space="0" w:color="auto"/>
                                <w:bottom w:val="none" w:sz="0" w:space="0" w:color="auto"/>
                                <w:right w:val="none" w:sz="0" w:space="0" w:color="auto"/>
                              </w:divBdr>
                              <w:divsChild>
                                <w:div w:id="1267687414">
                                  <w:marLeft w:val="0"/>
                                  <w:marRight w:val="0"/>
                                  <w:marTop w:val="0"/>
                                  <w:marBottom w:val="0"/>
                                  <w:divBdr>
                                    <w:top w:val="none" w:sz="0" w:space="0" w:color="auto"/>
                                    <w:left w:val="none" w:sz="0" w:space="0" w:color="auto"/>
                                    <w:bottom w:val="none" w:sz="0" w:space="0" w:color="auto"/>
                                    <w:right w:val="none" w:sz="0" w:space="0" w:color="auto"/>
                                  </w:divBdr>
                                  <w:divsChild>
                                    <w:div w:id="1421826053">
                                      <w:marLeft w:val="0"/>
                                      <w:marRight w:val="0"/>
                                      <w:marTop w:val="120"/>
                                      <w:marBottom w:val="0"/>
                                      <w:divBdr>
                                        <w:top w:val="none" w:sz="0" w:space="0" w:color="auto"/>
                                        <w:left w:val="none" w:sz="0" w:space="0" w:color="auto"/>
                                        <w:bottom w:val="none" w:sz="0" w:space="0" w:color="auto"/>
                                        <w:right w:val="none" w:sz="0" w:space="0" w:color="auto"/>
                                      </w:divBdr>
                                    </w:div>
                                    <w:div w:id="1807502033">
                                      <w:marLeft w:val="0"/>
                                      <w:marRight w:val="0"/>
                                      <w:marTop w:val="0"/>
                                      <w:marBottom w:val="0"/>
                                      <w:divBdr>
                                        <w:top w:val="none" w:sz="0" w:space="0" w:color="auto"/>
                                        <w:left w:val="none" w:sz="0" w:space="0" w:color="auto"/>
                                        <w:bottom w:val="none" w:sz="0" w:space="0" w:color="auto"/>
                                        <w:right w:val="none" w:sz="0" w:space="0" w:color="auto"/>
                                      </w:divBdr>
                                    </w:div>
                                  </w:divsChild>
                                </w:div>
                                <w:div w:id="245648373">
                                  <w:marLeft w:val="0"/>
                                  <w:marRight w:val="0"/>
                                  <w:marTop w:val="0"/>
                                  <w:marBottom w:val="0"/>
                                  <w:divBdr>
                                    <w:top w:val="none" w:sz="0" w:space="0" w:color="auto"/>
                                    <w:left w:val="none" w:sz="0" w:space="0" w:color="auto"/>
                                    <w:bottom w:val="none" w:sz="0" w:space="0" w:color="auto"/>
                                    <w:right w:val="none" w:sz="0" w:space="0" w:color="auto"/>
                                  </w:divBdr>
                                  <w:divsChild>
                                    <w:div w:id="2090343301">
                                      <w:marLeft w:val="0"/>
                                      <w:marRight w:val="0"/>
                                      <w:marTop w:val="120"/>
                                      <w:marBottom w:val="0"/>
                                      <w:divBdr>
                                        <w:top w:val="none" w:sz="0" w:space="0" w:color="auto"/>
                                        <w:left w:val="none" w:sz="0" w:space="0" w:color="auto"/>
                                        <w:bottom w:val="none" w:sz="0" w:space="0" w:color="auto"/>
                                        <w:right w:val="none" w:sz="0" w:space="0" w:color="auto"/>
                                      </w:divBdr>
                                    </w:div>
                                    <w:div w:id="1516265129">
                                      <w:marLeft w:val="0"/>
                                      <w:marRight w:val="0"/>
                                      <w:marTop w:val="0"/>
                                      <w:marBottom w:val="0"/>
                                      <w:divBdr>
                                        <w:top w:val="none" w:sz="0" w:space="0" w:color="auto"/>
                                        <w:left w:val="none" w:sz="0" w:space="0" w:color="auto"/>
                                        <w:bottom w:val="none" w:sz="0" w:space="0" w:color="auto"/>
                                        <w:right w:val="none" w:sz="0" w:space="0" w:color="auto"/>
                                      </w:divBdr>
                                    </w:div>
                                  </w:divsChild>
                                </w:div>
                                <w:div w:id="1219630173">
                                  <w:marLeft w:val="0"/>
                                  <w:marRight w:val="0"/>
                                  <w:marTop w:val="0"/>
                                  <w:marBottom w:val="0"/>
                                  <w:divBdr>
                                    <w:top w:val="none" w:sz="0" w:space="0" w:color="auto"/>
                                    <w:left w:val="none" w:sz="0" w:space="0" w:color="auto"/>
                                    <w:bottom w:val="none" w:sz="0" w:space="0" w:color="auto"/>
                                    <w:right w:val="none" w:sz="0" w:space="0" w:color="auto"/>
                                  </w:divBdr>
                                  <w:divsChild>
                                    <w:div w:id="519202642">
                                      <w:marLeft w:val="0"/>
                                      <w:marRight w:val="0"/>
                                      <w:marTop w:val="120"/>
                                      <w:marBottom w:val="0"/>
                                      <w:divBdr>
                                        <w:top w:val="none" w:sz="0" w:space="0" w:color="auto"/>
                                        <w:left w:val="none" w:sz="0" w:space="0" w:color="auto"/>
                                        <w:bottom w:val="none" w:sz="0" w:space="0" w:color="auto"/>
                                        <w:right w:val="none" w:sz="0" w:space="0" w:color="auto"/>
                                      </w:divBdr>
                                    </w:div>
                                    <w:div w:id="1614749830">
                                      <w:marLeft w:val="0"/>
                                      <w:marRight w:val="0"/>
                                      <w:marTop w:val="0"/>
                                      <w:marBottom w:val="0"/>
                                      <w:divBdr>
                                        <w:top w:val="none" w:sz="0" w:space="0" w:color="auto"/>
                                        <w:left w:val="none" w:sz="0" w:space="0" w:color="auto"/>
                                        <w:bottom w:val="none" w:sz="0" w:space="0" w:color="auto"/>
                                        <w:right w:val="none" w:sz="0" w:space="0" w:color="auto"/>
                                      </w:divBdr>
                                    </w:div>
                                  </w:divsChild>
                                </w:div>
                                <w:div w:id="210310266">
                                  <w:marLeft w:val="0"/>
                                  <w:marRight w:val="0"/>
                                  <w:marTop w:val="0"/>
                                  <w:marBottom w:val="0"/>
                                  <w:divBdr>
                                    <w:top w:val="none" w:sz="0" w:space="0" w:color="auto"/>
                                    <w:left w:val="none" w:sz="0" w:space="0" w:color="auto"/>
                                    <w:bottom w:val="none" w:sz="0" w:space="0" w:color="auto"/>
                                    <w:right w:val="none" w:sz="0" w:space="0" w:color="auto"/>
                                  </w:divBdr>
                                  <w:divsChild>
                                    <w:div w:id="1310750083">
                                      <w:marLeft w:val="0"/>
                                      <w:marRight w:val="0"/>
                                      <w:marTop w:val="120"/>
                                      <w:marBottom w:val="0"/>
                                      <w:divBdr>
                                        <w:top w:val="none" w:sz="0" w:space="0" w:color="auto"/>
                                        <w:left w:val="none" w:sz="0" w:space="0" w:color="auto"/>
                                        <w:bottom w:val="none" w:sz="0" w:space="0" w:color="auto"/>
                                        <w:right w:val="none" w:sz="0" w:space="0" w:color="auto"/>
                                      </w:divBdr>
                                    </w:div>
                                    <w:div w:id="1315261789">
                                      <w:marLeft w:val="0"/>
                                      <w:marRight w:val="0"/>
                                      <w:marTop w:val="0"/>
                                      <w:marBottom w:val="0"/>
                                      <w:divBdr>
                                        <w:top w:val="none" w:sz="0" w:space="0" w:color="auto"/>
                                        <w:left w:val="none" w:sz="0" w:space="0" w:color="auto"/>
                                        <w:bottom w:val="none" w:sz="0" w:space="0" w:color="auto"/>
                                        <w:right w:val="none" w:sz="0" w:space="0" w:color="auto"/>
                                      </w:divBdr>
                                    </w:div>
                                  </w:divsChild>
                                </w:div>
                                <w:div w:id="1482118214">
                                  <w:marLeft w:val="0"/>
                                  <w:marRight w:val="0"/>
                                  <w:marTop w:val="0"/>
                                  <w:marBottom w:val="0"/>
                                  <w:divBdr>
                                    <w:top w:val="none" w:sz="0" w:space="0" w:color="auto"/>
                                    <w:left w:val="none" w:sz="0" w:space="0" w:color="auto"/>
                                    <w:bottom w:val="none" w:sz="0" w:space="0" w:color="auto"/>
                                    <w:right w:val="none" w:sz="0" w:space="0" w:color="auto"/>
                                  </w:divBdr>
                                  <w:divsChild>
                                    <w:div w:id="642468966">
                                      <w:marLeft w:val="0"/>
                                      <w:marRight w:val="0"/>
                                      <w:marTop w:val="120"/>
                                      <w:marBottom w:val="0"/>
                                      <w:divBdr>
                                        <w:top w:val="none" w:sz="0" w:space="0" w:color="auto"/>
                                        <w:left w:val="none" w:sz="0" w:space="0" w:color="auto"/>
                                        <w:bottom w:val="none" w:sz="0" w:space="0" w:color="auto"/>
                                        <w:right w:val="none" w:sz="0" w:space="0" w:color="auto"/>
                                      </w:divBdr>
                                    </w:div>
                                    <w:div w:id="97222170">
                                      <w:marLeft w:val="0"/>
                                      <w:marRight w:val="0"/>
                                      <w:marTop w:val="0"/>
                                      <w:marBottom w:val="0"/>
                                      <w:divBdr>
                                        <w:top w:val="none" w:sz="0" w:space="0" w:color="auto"/>
                                        <w:left w:val="none" w:sz="0" w:space="0" w:color="auto"/>
                                        <w:bottom w:val="none" w:sz="0" w:space="0" w:color="auto"/>
                                        <w:right w:val="none" w:sz="0" w:space="0" w:color="auto"/>
                                      </w:divBdr>
                                    </w:div>
                                  </w:divsChild>
                                </w:div>
                                <w:div w:id="2104493737">
                                  <w:marLeft w:val="0"/>
                                  <w:marRight w:val="0"/>
                                  <w:marTop w:val="0"/>
                                  <w:marBottom w:val="0"/>
                                  <w:divBdr>
                                    <w:top w:val="none" w:sz="0" w:space="0" w:color="auto"/>
                                    <w:left w:val="none" w:sz="0" w:space="0" w:color="auto"/>
                                    <w:bottom w:val="none" w:sz="0" w:space="0" w:color="auto"/>
                                    <w:right w:val="none" w:sz="0" w:space="0" w:color="auto"/>
                                  </w:divBdr>
                                  <w:divsChild>
                                    <w:div w:id="567232878">
                                      <w:marLeft w:val="0"/>
                                      <w:marRight w:val="0"/>
                                      <w:marTop w:val="120"/>
                                      <w:marBottom w:val="0"/>
                                      <w:divBdr>
                                        <w:top w:val="none" w:sz="0" w:space="0" w:color="auto"/>
                                        <w:left w:val="none" w:sz="0" w:space="0" w:color="auto"/>
                                        <w:bottom w:val="none" w:sz="0" w:space="0" w:color="auto"/>
                                        <w:right w:val="none" w:sz="0" w:space="0" w:color="auto"/>
                                      </w:divBdr>
                                    </w:div>
                                    <w:div w:id="786896270">
                                      <w:marLeft w:val="0"/>
                                      <w:marRight w:val="0"/>
                                      <w:marTop w:val="0"/>
                                      <w:marBottom w:val="0"/>
                                      <w:divBdr>
                                        <w:top w:val="none" w:sz="0" w:space="0" w:color="auto"/>
                                        <w:left w:val="none" w:sz="0" w:space="0" w:color="auto"/>
                                        <w:bottom w:val="none" w:sz="0" w:space="0" w:color="auto"/>
                                        <w:right w:val="none" w:sz="0" w:space="0" w:color="auto"/>
                                      </w:divBdr>
                                    </w:div>
                                  </w:divsChild>
                                </w:div>
                                <w:div w:id="1819179986">
                                  <w:marLeft w:val="0"/>
                                  <w:marRight w:val="0"/>
                                  <w:marTop w:val="0"/>
                                  <w:marBottom w:val="0"/>
                                  <w:divBdr>
                                    <w:top w:val="none" w:sz="0" w:space="0" w:color="auto"/>
                                    <w:left w:val="none" w:sz="0" w:space="0" w:color="auto"/>
                                    <w:bottom w:val="none" w:sz="0" w:space="0" w:color="auto"/>
                                    <w:right w:val="none" w:sz="0" w:space="0" w:color="auto"/>
                                  </w:divBdr>
                                  <w:divsChild>
                                    <w:div w:id="339818108">
                                      <w:marLeft w:val="0"/>
                                      <w:marRight w:val="0"/>
                                      <w:marTop w:val="120"/>
                                      <w:marBottom w:val="0"/>
                                      <w:divBdr>
                                        <w:top w:val="none" w:sz="0" w:space="0" w:color="auto"/>
                                        <w:left w:val="none" w:sz="0" w:space="0" w:color="auto"/>
                                        <w:bottom w:val="none" w:sz="0" w:space="0" w:color="auto"/>
                                        <w:right w:val="none" w:sz="0" w:space="0" w:color="auto"/>
                                      </w:divBdr>
                                    </w:div>
                                    <w:div w:id="1383140412">
                                      <w:marLeft w:val="0"/>
                                      <w:marRight w:val="0"/>
                                      <w:marTop w:val="0"/>
                                      <w:marBottom w:val="0"/>
                                      <w:divBdr>
                                        <w:top w:val="none" w:sz="0" w:space="0" w:color="auto"/>
                                        <w:left w:val="none" w:sz="0" w:space="0" w:color="auto"/>
                                        <w:bottom w:val="none" w:sz="0" w:space="0" w:color="auto"/>
                                        <w:right w:val="none" w:sz="0" w:space="0" w:color="auto"/>
                                      </w:divBdr>
                                    </w:div>
                                  </w:divsChild>
                                </w:div>
                                <w:div w:id="322395249">
                                  <w:marLeft w:val="0"/>
                                  <w:marRight w:val="0"/>
                                  <w:marTop w:val="0"/>
                                  <w:marBottom w:val="0"/>
                                  <w:divBdr>
                                    <w:top w:val="none" w:sz="0" w:space="0" w:color="auto"/>
                                    <w:left w:val="none" w:sz="0" w:space="0" w:color="auto"/>
                                    <w:bottom w:val="none" w:sz="0" w:space="0" w:color="auto"/>
                                    <w:right w:val="none" w:sz="0" w:space="0" w:color="auto"/>
                                  </w:divBdr>
                                  <w:divsChild>
                                    <w:div w:id="1143044110">
                                      <w:marLeft w:val="0"/>
                                      <w:marRight w:val="0"/>
                                      <w:marTop w:val="120"/>
                                      <w:marBottom w:val="0"/>
                                      <w:divBdr>
                                        <w:top w:val="none" w:sz="0" w:space="0" w:color="auto"/>
                                        <w:left w:val="none" w:sz="0" w:space="0" w:color="auto"/>
                                        <w:bottom w:val="none" w:sz="0" w:space="0" w:color="auto"/>
                                        <w:right w:val="none" w:sz="0" w:space="0" w:color="auto"/>
                                      </w:divBdr>
                                    </w:div>
                                    <w:div w:id="13623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6210">
                          <w:marLeft w:val="0"/>
                          <w:marRight w:val="0"/>
                          <w:marTop w:val="0"/>
                          <w:marBottom w:val="0"/>
                          <w:divBdr>
                            <w:top w:val="none" w:sz="0" w:space="0" w:color="auto"/>
                            <w:left w:val="none" w:sz="0" w:space="0" w:color="auto"/>
                            <w:bottom w:val="none" w:sz="0" w:space="0" w:color="auto"/>
                            <w:right w:val="none" w:sz="0" w:space="0" w:color="auto"/>
                          </w:divBdr>
                          <w:divsChild>
                            <w:div w:id="1948921757">
                              <w:marLeft w:val="0"/>
                              <w:marRight w:val="0"/>
                              <w:marTop w:val="0"/>
                              <w:marBottom w:val="0"/>
                              <w:divBdr>
                                <w:top w:val="none" w:sz="0" w:space="0" w:color="auto"/>
                                <w:left w:val="none" w:sz="0" w:space="0" w:color="auto"/>
                                <w:bottom w:val="none" w:sz="0" w:space="0" w:color="auto"/>
                                <w:right w:val="none" w:sz="0" w:space="0" w:color="auto"/>
                              </w:divBdr>
                            </w:div>
                          </w:divsChild>
                        </w:div>
                        <w:div w:id="348215612">
                          <w:marLeft w:val="0"/>
                          <w:marRight w:val="0"/>
                          <w:marTop w:val="0"/>
                          <w:marBottom w:val="0"/>
                          <w:divBdr>
                            <w:top w:val="none" w:sz="0" w:space="0" w:color="auto"/>
                            <w:left w:val="none" w:sz="0" w:space="0" w:color="auto"/>
                            <w:bottom w:val="none" w:sz="0" w:space="0" w:color="auto"/>
                            <w:right w:val="none" w:sz="0" w:space="0" w:color="auto"/>
                          </w:divBdr>
                          <w:divsChild>
                            <w:div w:id="1109352755">
                              <w:marLeft w:val="0"/>
                              <w:marRight w:val="0"/>
                              <w:marTop w:val="0"/>
                              <w:marBottom w:val="0"/>
                              <w:divBdr>
                                <w:top w:val="none" w:sz="0" w:space="0" w:color="auto"/>
                                <w:left w:val="none" w:sz="0" w:space="0" w:color="auto"/>
                                <w:bottom w:val="none" w:sz="0" w:space="0" w:color="auto"/>
                                <w:right w:val="none" w:sz="0" w:space="0" w:color="auto"/>
                              </w:divBdr>
                            </w:div>
                          </w:divsChild>
                        </w:div>
                        <w:div w:id="1557161915">
                          <w:marLeft w:val="0"/>
                          <w:marRight w:val="0"/>
                          <w:marTop w:val="0"/>
                          <w:marBottom w:val="0"/>
                          <w:divBdr>
                            <w:top w:val="none" w:sz="0" w:space="0" w:color="auto"/>
                            <w:left w:val="none" w:sz="0" w:space="0" w:color="auto"/>
                            <w:bottom w:val="none" w:sz="0" w:space="0" w:color="auto"/>
                            <w:right w:val="none" w:sz="0" w:space="0" w:color="auto"/>
                          </w:divBdr>
                          <w:divsChild>
                            <w:div w:id="303002157">
                              <w:marLeft w:val="0"/>
                              <w:marRight w:val="0"/>
                              <w:marTop w:val="0"/>
                              <w:marBottom w:val="0"/>
                              <w:divBdr>
                                <w:top w:val="none" w:sz="0" w:space="0" w:color="auto"/>
                                <w:left w:val="none" w:sz="0" w:space="0" w:color="auto"/>
                                <w:bottom w:val="none" w:sz="0" w:space="0" w:color="auto"/>
                                <w:right w:val="none" w:sz="0" w:space="0" w:color="auto"/>
                              </w:divBdr>
                              <w:divsChild>
                                <w:div w:id="1209418778">
                                  <w:marLeft w:val="0"/>
                                  <w:marRight w:val="0"/>
                                  <w:marTop w:val="0"/>
                                  <w:marBottom w:val="0"/>
                                  <w:divBdr>
                                    <w:top w:val="none" w:sz="0" w:space="0" w:color="auto"/>
                                    <w:left w:val="none" w:sz="0" w:space="0" w:color="auto"/>
                                    <w:bottom w:val="none" w:sz="0" w:space="0" w:color="auto"/>
                                    <w:right w:val="none" w:sz="0" w:space="0" w:color="auto"/>
                                  </w:divBdr>
                                  <w:divsChild>
                                    <w:div w:id="1871722273">
                                      <w:marLeft w:val="0"/>
                                      <w:marRight w:val="0"/>
                                      <w:marTop w:val="120"/>
                                      <w:marBottom w:val="0"/>
                                      <w:divBdr>
                                        <w:top w:val="none" w:sz="0" w:space="0" w:color="auto"/>
                                        <w:left w:val="none" w:sz="0" w:space="0" w:color="auto"/>
                                        <w:bottom w:val="none" w:sz="0" w:space="0" w:color="auto"/>
                                        <w:right w:val="none" w:sz="0" w:space="0" w:color="auto"/>
                                      </w:divBdr>
                                    </w:div>
                                    <w:div w:id="1977907490">
                                      <w:marLeft w:val="0"/>
                                      <w:marRight w:val="0"/>
                                      <w:marTop w:val="0"/>
                                      <w:marBottom w:val="0"/>
                                      <w:divBdr>
                                        <w:top w:val="none" w:sz="0" w:space="0" w:color="auto"/>
                                        <w:left w:val="none" w:sz="0" w:space="0" w:color="auto"/>
                                        <w:bottom w:val="none" w:sz="0" w:space="0" w:color="auto"/>
                                        <w:right w:val="none" w:sz="0" w:space="0" w:color="auto"/>
                                      </w:divBdr>
                                    </w:div>
                                  </w:divsChild>
                                </w:div>
                                <w:div w:id="1891649355">
                                  <w:marLeft w:val="0"/>
                                  <w:marRight w:val="0"/>
                                  <w:marTop w:val="0"/>
                                  <w:marBottom w:val="0"/>
                                  <w:divBdr>
                                    <w:top w:val="none" w:sz="0" w:space="0" w:color="auto"/>
                                    <w:left w:val="none" w:sz="0" w:space="0" w:color="auto"/>
                                    <w:bottom w:val="none" w:sz="0" w:space="0" w:color="auto"/>
                                    <w:right w:val="none" w:sz="0" w:space="0" w:color="auto"/>
                                  </w:divBdr>
                                  <w:divsChild>
                                    <w:div w:id="673530031">
                                      <w:marLeft w:val="0"/>
                                      <w:marRight w:val="0"/>
                                      <w:marTop w:val="120"/>
                                      <w:marBottom w:val="0"/>
                                      <w:divBdr>
                                        <w:top w:val="none" w:sz="0" w:space="0" w:color="auto"/>
                                        <w:left w:val="none" w:sz="0" w:space="0" w:color="auto"/>
                                        <w:bottom w:val="none" w:sz="0" w:space="0" w:color="auto"/>
                                        <w:right w:val="none" w:sz="0" w:space="0" w:color="auto"/>
                                      </w:divBdr>
                                    </w:div>
                                    <w:div w:id="34936563">
                                      <w:marLeft w:val="0"/>
                                      <w:marRight w:val="0"/>
                                      <w:marTop w:val="0"/>
                                      <w:marBottom w:val="0"/>
                                      <w:divBdr>
                                        <w:top w:val="none" w:sz="0" w:space="0" w:color="auto"/>
                                        <w:left w:val="none" w:sz="0" w:space="0" w:color="auto"/>
                                        <w:bottom w:val="none" w:sz="0" w:space="0" w:color="auto"/>
                                        <w:right w:val="none" w:sz="0" w:space="0" w:color="auto"/>
                                      </w:divBdr>
                                    </w:div>
                                  </w:divsChild>
                                </w:div>
                                <w:div w:id="177892314">
                                  <w:marLeft w:val="0"/>
                                  <w:marRight w:val="0"/>
                                  <w:marTop w:val="0"/>
                                  <w:marBottom w:val="0"/>
                                  <w:divBdr>
                                    <w:top w:val="none" w:sz="0" w:space="0" w:color="auto"/>
                                    <w:left w:val="none" w:sz="0" w:space="0" w:color="auto"/>
                                    <w:bottom w:val="none" w:sz="0" w:space="0" w:color="auto"/>
                                    <w:right w:val="none" w:sz="0" w:space="0" w:color="auto"/>
                                  </w:divBdr>
                                  <w:divsChild>
                                    <w:div w:id="405421842">
                                      <w:marLeft w:val="0"/>
                                      <w:marRight w:val="0"/>
                                      <w:marTop w:val="120"/>
                                      <w:marBottom w:val="0"/>
                                      <w:divBdr>
                                        <w:top w:val="none" w:sz="0" w:space="0" w:color="auto"/>
                                        <w:left w:val="none" w:sz="0" w:space="0" w:color="auto"/>
                                        <w:bottom w:val="none" w:sz="0" w:space="0" w:color="auto"/>
                                        <w:right w:val="none" w:sz="0" w:space="0" w:color="auto"/>
                                      </w:divBdr>
                                    </w:div>
                                    <w:div w:id="638540273">
                                      <w:marLeft w:val="0"/>
                                      <w:marRight w:val="0"/>
                                      <w:marTop w:val="0"/>
                                      <w:marBottom w:val="0"/>
                                      <w:divBdr>
                                        <w:top w:val="none" w:sz="0" w:space="0" w:color="auto"/>
                                        <w:left w:val="none" w:sz="0" w:space="0" w:color="auto"/>
                                        <w:bottom w:val="none" w:sz="0" w:space="0" w:color="auto"/>
                                        <w:right w:val="none" w:sz="0" w:space="0" w:color="auto"/>
                                      </w:divBdr>
                                    </w:div>
                                  </w:divsChild>
                                </w:div>
                                <w:div w:id="1986936320">
                                  <w:marLeft w:val="0"/>
                                  <w:marRight w:val="0"/>
                                  <w:marTop w:val="0"/>
                                  <w:marBottom w:val="0"/>
                                  <w:divBdr>
                                    <w:top w:val="none" w:sz="0" w:space="0" w:color="auto"/>
                                    <w:left w:val="none" w:sz="0" w:space="0" w:color="auto"/>
                                    <w:bottom w:val="none" w:sz="0" w:space="0" w:color="auto"/>
                                    <w:right w:val="none" w:sz="0" w:space="0" w:color="auto"/>
                                  </w:divBdr>
                                  <w:divsChild>
                                    <w:div w:id="604926290">
                                      <w:marLeft w:val="0"/>
                                      <w:marRight w:val="0"/>
                                      <w:marTop w:val="120"/>
                                      <w:marBottom w:val="0"/>
                                      <w:divBdr>
                                        <w:top w:val="none" w:sz="0" w:space="0" w:color="auto"/>
                                        <w:left w:val="none" w:sz="0" w:space="0" w:color="auto"/>
                                        <w:bottom w:val="none" w:sz="0" w:space="0" w:color="auto"/>
                                        <w:right w:val="none" w:sz="0" w:space="0" w:color="auto"/>
                                      </w:divBdr>
                                    </w:div>
                                    <w:div w:id="1870491265">
                                      <w:marLeft w:val="0"/>
                                      <w:marRight w:val="0"/>
                                      <w:marTop w:val="0"/>
                                      <w:marBottom w:val="0"/>
                                      <w:divBdr>
                                        <w:top w:val="none" w:sz="0" w:space="0" w:color="auto"/>
                                        <w:left w:val="none" w:sz="0" w:space="0" w:color="auto"/>
                                        <w:bottom w:val="none" w:sz="0" w:space="0" w:color="auto"/>
                                        <w:right w:val="none" w:sz="0" w:space="0" w:color="auto"/>
                                      </w:divBdr>
                                    </w:div>
                                  </w:divsChild>
                                </w:div>
                                <w:div w:id="551697524">
                                  <w:marLeft w:val="0"/>
                                  <w:marRight w:val="0"/>
                                  <w:marTop w:val="0"/>
                                  <w:marBottom w:val="0"/>
                                  <w:divBdr>
                                    <w:top w:val="none" w:sz="0" w:space="0" w:color="auto"/>
                                    <w:left w:val="none" w:sz="0" w:space="0" w:color="auto"/>
                                    <w:bottom w:val="none" w:sz="0" w:space="0" w:color="auto"/>
                                    <w:right w:val="none" w:sz="0" w:space="0" w:color="auto"/>
                                  </w:divBdr>
                                  <w:divsChild>
                                    <w:div w:id="761145930">
                                      <w:marLeft w:val="0"/>
                                      <w:marRight w:val="0"/>
                                      <w:marTop w:val="120"/>
                                      <w:marBottom w:val="0"/>
                                      <w:divBdr>
                                        <w:top w:val="none" w:sz="0" w:space="0" w:color="auto"/>
                                        <w:left w:val="none" w:sz="0" w:space="0" w:color="auto"/>
                                        <w:bottom w:val="none" w:sz="0" w:space="0" w:color="auto"/>
                                        <w:right w:val="none" w:sz="0" w:space="0" w:color="auto"/>
                                      </w:divBdr>
                                    </w:div>
                                    <w:div w:id="1691373321">
                                      <w:marLeft w:val="0"/>
                                      <w:marRight w:val="0"/>
                                      <w:marTop w:val="0"/>
                                      <w:marBottom w:val="0"/>
                                      <w:divBdr>
                                        <w:top w:val="none" w:sz="0" w:space="0" w:color="auto"/>
                                        <w:left w:val="none" w:sz="0" w:space="0" w:color="auto"/>
                                        <w:bottom w:val="none" w:sz="0" w:space="0" w:color="auto"/>
                                        <w:right w:val="none" w:sz="0" w:space="0" w:color="auto"/>
                                      </w:divBdr>
                                    </w:div>
                                  </w:divsChild>
                                </w:div>
                                <w:div w:id="1481458646">
                                  <w:marLeft w:val="0"/>
                                  <w:marRight w:val="0"/>
                                  <w:marTop w:val="0"/>
                                  <w:marBottom w:val="0"/>
                                  <w:divBdr>
                                    <w:top w:val="none" w:sz="0" w:space="0" w:color="auto"/>
                                    <w:left w:val="none" w:sz="0" w:space="0" w:color="auto"/>
                                    <w:bottom w:val="none" w:sz="0" w:space="0" w:color="auto"/>
                                    <w:right w:val="none" w:sz="0" w:space="0" w:color="auto"/>
                                  </w:divBdr>
                                  <w:divsChild>
                                    <w:div w:id="1527064539">
                                      <w:marLeft w:val="0"/>
                                      <w:marRight w:val="0"/>
                                      <w:marTop w:val="120"/>
                                      <w:marBottom w:val="0"/>
                                      <w:divBdr>
                                        <w:top w:val="none" w:sz="0" w:space="0" w:color="auto"/>
                                        <w:left w:val="none" w:sz="0" w:space="0" w:color="auto"/>
                                        <w:bottom w:val="none" w:sz="0" w:space="0" w:color="auto"/>
                                        <w:right w:val="none" w:sz="0" w:space="0" w:color="auto"/>
                                      </w:divBdr>
                                    </w:div>
                                    <w:div w:id="48058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0723">
                          <w:marLeft w:val="0"/>
                          <w:marRight w:val="0"/>
                          <w:marTop w:val="0"/>
                          <w:marBottom w:val="0"/>
                          <w:divBdr>
                            <w:top w:val="none" w:sz="0" w:space="0" w:color="auto"/>
                            <w:left w:val="none" w:sz="0" w:space="0" w:color="auto"/>
                            <w:bottom w:val="none" w:sz="0" w:space="0" w:color="auto"/>
                            <w:right w:val="none" w:sz="0" w:space="0" w:color="auto"/>
                          </w:divBdr>
                          <w:divsChild>
                            <w:div w:id="617952197">
                              <w:marLeft w:val="0"/>
                              <w:marRight w:val="0"/>
                              <w:marTop w:val="0"/>
                              <w:marBottom w:val="0"/>
                              <w:divBdr>
                                <w:top w:val="none" w:sz="0" w:space="0" w:color="auto"/>
                                <w:left w:val="none" w:sz="0" w:space="0" w:color="auto"/>
                                <w:bottom w:val="none" w:sz="0" w:space="0" w:color="auto"/>
                                <w:right w:val="none" w:sz="0" w:space="0" w:color="auto"/>
                              </w:divBdr>
                            </w:div>
                          </w:divsChild>
                        </w:div>
                        <w:div w:id="279385853">
                          <w:marLeft w:val="0"/>
                          <w:marRight w:val="0"/>
                          <w:marTop w:val="0"/>
                          <w:marBottom w:val="0"/>
                          <w:divBdr>
                            <w:top w:val="none" w:sz="0" w:space="0" w:color="auto"/>
                            <w:left w:val="none" w:sz="0" w:space="0" w:color="auto"/>
                            <w:bottom w:val="none" w:sz="0" w:space="0" w:color="auto"/>
                            <w:right w:val="none" w:sz="0" w:space="0" w:color="auto"/>
                          </w:divBdr>
                          <w:divsChild>
                            <w:div w:id="124429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7460">
                      <w:marLeft w:val="0"/>
                      <w:marRight w:val="0"/>
                      <w:marTop w:val="0"/>
                      <w:marBottom w:val="0"/>
                      <w:divBdr>
                        <w:top w:val="none" w:sz="0" w:space="0" w:color="auto"/>
                        <w:left w:val="none" w:sz="0" w:space="0" w:color="auto"/>
                        <w:bottom w:val="none" w:sz="0" w:space="0" w:color="auto"/>
                        <w:right w:val="none" w:sz="0" w:space="0" w:color="auto"/>
                      </w:divBdr>
                      <w:divsChild>
                        <w:div w:id="1207986236">
                          <w:marLeft w:val="0"/>
                          <w:marRight w:val="0"/>
                          <w:marTop w:val="0"/>
                          <w:marBottom w:val="0"/>
                          <w:divBdr>
                            <w:top w:val="none" w:sz="0" w:space="0" w:color="auto"/>
                            <w:left w:val="none" w:sz="0" w:space="0" w:color="auto"/>
                            <w:bottom w:val="none" w:sz="0" w:space="0" w:color="auto"/>
                            <w:right w:val="none" w:sz="0" w:space="0" w:color="auto"/>
                          </w:divBdr>
                        </w:div>
                        <w:div w:id="1659189236">
                          <w:marLeft w:val="0"/>
                          <w:marRight w:val="0"/>
                          <w:marTop w:val="0"/>
                          <w:marBottom w:val="0"/>
                          <w:divBdr>
                            <w:top w:val="none" w:sz="0" w:space="0" w:color="auto"/>
                            <w:left w:val="none" w:sz="0" w:space="0" w:color="auto"/>
                            <w:bottom w:val="none" w:sz="0" w:space="0" w:color="auto"/>
                            <w:right w:val="none" w:sz="0" w:space="0" w:color="auto"/>
                          </w:divBdr>
                          <w:divsChild>
                            <w:div w:id="1729526675">
                              <w:marLeft w:val="0"/>
                              <w:marRight w:val="0"/>
                              <w:marTop w:val="0"/>
                              <w:marBottom w:val="0"/>
                              <w:divBdr>
                                <w:top w:val="none" w:sz="0" w:space="0" w:color="auto"/>
                                <w:left w:val="none" w:sz="0" w:space="0" w:color="auto"/>
                                <w:bottom w:val="none" w:sz="0" w:space="0" w:color="auto"/>
                                <w:right w:val="none" w:sz="0" w:space="0" w:color="auto"/>
                              </w:divBdr>
                            </w:div>
                          </w:divsChild>
                        </w:div>
                        <w:div w:id="87627481">
                          <w:marLeft w:val="0"/>
                          <w:marRight w:val="0"/>
                          <w:marTop w:val="0"/>
                          <w:marBottom w:val="0"/>
                          <w:divBdr>
                            <w:top w:val="none" w:sz="0" w:space="0" w:color="auto"/>
                            <w:left w:val="none" w:sz="0" w:space="0" w:color="auto"/>
                            <w:bottom w:val="none" w:sz="0" w:space="0" w:color="auto"/>
                            <w:right w:val="none" w:sz="0" w:space="0" w:color="auto"/>
                          </w:divBdr>
                          <w:divsChild>
                            <w:div w:id="444622712">
                              <w:marLeft w:val="0"/>
                              <w:marRight w:val="0"/>
                              <w:marTop w:val="0"/>
                              <w:marBottom w:val="0"/>
                              <w:divBdr>
                                <w:top w:val="none" w:sz="0" w:space="0" w:color="auto"/>
                                <w:left w:val="none" w:sz="0" w:space="0" w:color="auto"/>
                                <w:bottom w:val="none" w:sz="0" w:space="0" w:color="auto"/>
                                <w:right w:val="none" w:sz="0" w:space="0" w:color="auto"/>
                              </w:divBdr>
                            </w:div>
                          </w:divsChild>
                        </w:div>
                        <w:div w:id="1004168832">
                          <w:marLeft w:val="0"/>
                          <w:marRight w:val="0"/>
                          <w:marTop w:val="0"/>
                          <w:marBottom w:val="0"/>
                          <w:divBdr>
                            <w:top w:val="none" w:sz="0" w:space="0" w:color="auto"/>
                            <w:left w:val="none" w:sz="0" w:space="0" w:color="auto"/>
                            <w:bottom w:val="none" w:sz="0" w:space="0" w:color="auto"/>
                            <w:right w:val="none" w:sz="0" w:space="0" w:color="auto"/>
                          </w:divBdr>
                          <w:divsChild>
                            <w:div w:id="200441670">
                              <w:marLeft w:val="0"/>
                              <w:marRight w:val="0"/>
                              <w:marTop w:val="0"/>
                              <w:marBottom w:val="0"/>
                              <w:divBdr>
                                <w:top w:val="none" w:sz="0" w:space="0" w:color="auto"/>
                                <w:left w:val="none" w:sz="0" w:space="0" w:color="auto"/>
                                <w:bottom w:val="none" w:sz="0" w:space="0" w:color="auto"/>
                                <w:right w:val="none" w:sz="0" w:space="0" w:color="auto"/>
                              </w:divBdr>
                            </w:div>
                          </w:divsChild>
                        </w:div>
                        <w:div w:id="218247158">
                          <w:marLeft w:val="0"/>
                          <w:marRight w:val="0"/>
                          <w:marTop w:val="0"/>
                          <w:marBottom w:val="0"/>
                          <w:divBdr>
                            <w:top w:val="none" w:sz="0" w:space="0" w:color="auto"/>
                            <w:left w:val="none" w:sz="0" w:space="0" w:color="auto"/>
                            <w:bottom w:val="none" w:sz="0" w:space="0" w:color="auto"/>
                            <w:right w:val="none" w:sz="0" w:space="0" w:color="auto"/>
                          </w:divBdr>
                          <w:divsChild>
                            <w:div w:id="1663386746">
                              <w:marLeft w:val="0"/>
                              <w:marRight w:val="0"/>
                              <w:marTop w:val="0"/>
                              <w:marBottom w:val="0"/>
                              <w:divBdr>
                                <w:top w:val="none" w:sz="0" w:space="0" w:color="auto"/>
                                <w:left w:val="none" w:sz="0" w:space="0" w:color="auto"/>
                                <w:bottom w:val="none" w:sz="0" w:space="0" w:color="auto"/>
                                <w:right w:val="none" w:sz="0" w:space="0" w:color="auto"/>
                              </w:divBdr>
                            </w:div>
                          </w:divsChild>
                        </w:div>
                        <w:div w:id="1652321219">
                          <w:marLeft w:val="0"/>
                          <w:marRight w:val="0"/>
                          <w:marTop w:val="0"/>
                          <w:marBottom w:val="0"/>
                          <w:divBdr>
                            <w:top w:val="none" w:sz="0" w:space="0" w:color="auto"/>
                            <w:left w:val="none" w:sz="0" w:space="0" w:color="auto"/>
                            <w:bottom w:val="none" w:sz="0" w:space="0" w:color="auto"/>
                            <w:right w:val="none" w:sz="0" w:space="0" w:color="auto"/>
                          </w:divBdr>
                          <w:divsChild>
                            <w:div w:id="4298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322079">
                      <w:marLeft w:val="0"/>
                      <w:marRight w:val="0"/>
                      <w:marTop w:val="0"/>
                      <w:marBottom w:val="0"/>
                      <w:divBdr>
                        <w:top w:val="none" w:sz="0" w:space="0" w:color="auto"/>
                        <w:left w:val="none" w:sz="0" w:space="0" w:color="auto"/>
                        <w:bottom w:val="none" w:sz="0" w:space="0" w:color="auto"/>
                        <w:right w:val="none" w:sz="0" w:space="0" w:color="auto"/>
                      </w:divBdr>
                      <w:divsChild>
                        <w:div w:id="1814448058">
                          <w:marLeft w:val="0"/>
                          <w:marRight w:val="0"/>
                          <w:marTop w:val="0"/>
                          <w:marBottom w:val="0"/>
                          <w:divBdr>
                            <w:top w:val="none" w:sz="0" w:space="0" w:color="auto"/>
                            <w:left w:val="none" w:sz="0" w:space="0" w:color="auto"/>
                            <w:bottom w:val="none" w:sz="0" w:space="0" w:color="auto"/>
                            <w:right w:val="none" w:sz="0" w:space="0" w:color="auto"/>
                          </w:divBdr>
                        </w:div>
                        <w:div w:id="1058550620">
                          <w:marLeft w:val="0"/>
                          <w:marRight w:val="0"/>
                          <w:marTop w:val="0"/>
                          <w:marBottom w:val="0"/>
                          <w:divBdr>
                            <w:top w:val="none" w:sz="0" w:space="0" w:color="auto"/>
                            <w:left w:val="none" w:sz="0" w:space="0" w:color="auto"/>
                            <w:bottom w:val="none" w:sz="0" w:space="0" w:color="auto"/>
                            <w:right w:val="none" w:sz="0" w:space="0" w:color="auto"/>
                          </w:divBdr>
                          <w:divsChild>
                            <w:div w:id="1441562514">
                              <w:marLeft w:val="0"/>
                              <w:marRight w:val="0"/>
                              <w:marTop w:val="0"/>
                              <w:marBottom w:val="0"/>
                              <w:divBdr>
                                <w:top w:val="none" w:sz="0" w:space="0" w:color="auto"/>
                                <w:left w:val="none" w:sz="0" w:space="0" w:color="auto"/>
                                <w:bottom w:val="none" w:sz="0" w:space="0" w:color="auto"/>
                                <w:right w:val="none" w:sz="0" w:space="0" w:color="auto"/>
                              </w:divBdr>
                            </w:div>
                          </w:divsChild>
                        </w:div>
                        <w:div w:id="671836706">
                          <w:marLeft w:val="0"/>
                          <w:marRight w:val="0"/>
                          <w:marTop w:val="0"/>
                          <w:marBottom w:val="0"/>
                          <w:divBdr>
                            <w:top w:val="none" w:sz="0" w:space="0" w:color="auto"/>
                            <w:left w:val="none" w:sz="0" w:space="0" w:color="auto"/>
                            <w:bottom w:val="none" w:sz="0" w:space="0" w:color="auto"/>
                            <w:right w:val="none" w:sz="0" w:space="0" w:color="auto"/>
                          </w:divBdr>
                          <w:divsChild>
                            <w:div w:id="1479499320">
                              <w:marLeft w:val="0"/>
                              <w:marRight w:val="0"/>
                              <w:marTop w:val="0"/>
                              <w:marBottom w:val="0"/>
                              <w:divBdr>
                                <w:top w:val="none" w:sz="0" w:space="0" w:color="auto"/>
                                <w:left w:val="none" w:sz="0" w:space="0" w:color="auto"/>
                                <w:bottom w:val="none" w:sz="0" w:space="0" w:color="auto"/>
                                <w:right w:val="none" w:sz="0" w:space="0" w:color="auto"/>
                              </w:divBdr>
                            </w:div>
                          </w:divsChild>
                        </w:div>
                        <w:div w:id="334110412">
                          <w:marLeft w:val="0"/>
                          <w:marRight w:val="0"/>
                          <w:marTop w:val="0"/>
                          <w:marBottom w:val="0"/>
                          <w:divBdr>
                            <w:top w:val="none" w:sz="0" w:space="0" w:color="auto"/>
                            <w:left w:val="none" w:sz="0" w:space="0" w:color="auto"/>
                            <w:bottom w:val="none" w:sz="0" w:space="0" w:color="auto"/>
                            <w:right w:val="none" w:sz="0" w:space="0" w:color="auto"/>
                          </w:divBdr>
                          <w:divsChild>
                            <w:div w:id="911694648">
                              <w:marLeft w:val="0"/>
                              <w:marRight w:val="0"/>
                              <w:marTop w:val="0"/>
                              <w:marBottom w:val="0"/>
                              <w:divBdr>
                                <w:top w:val="none" w:sz="0" w:space="0" w:color="auto"/>
                                <w:left w:val="none" w:sz="0" w:space="0" w:color="auto"/>
                                <w:bottom w:val="none" w:sz="0" w:space="0" w:color="auto"/>
                                <w:right w:val="none" w:sz="0" w:space="0" w:color="auto"/>
                              </w:divBdr>
                            </w:div>
                          </w:divsChild>
                        </w:div>
                        <w:div w:id="1940286665">
                          <w:marLeft w:val="0"/>
                          <w:marRight w:val="0"/>
                          <w:marTop w:val="0"/>
                          <w:marBottom w:val="0"/>
                          <w:divBdr>
                            <w:top w:val="none" w:sz="0" w:space="0" w:color="auto"/>
                            <w:left w:val="none" w:sz="0" w:space="0" w:color="auto"/>
                            <w:bottom w:val="none" w:sz="0" w:space="0" w:color="auto"/>
                            <w:right w:val="none" w:sz="0" w:space="0" w:color="auto"/>
                          </w:divBdr>
                          <w:divsChild>
                            <w:div w:id="24315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23344">
                      <w:marLeft w:val="0"/>
                      <w:marRight w:val="0"/>
                      <w:marTop w:val="0"/>
                      <w:marBottom w:val="0"/>
                      <w:divBdr>
                        <w:top w:val="none" w:sz="0" w:space="0" w:color="auto"/>
                        <w:left w:val="none" w:sz="0" w:space="0" w:color="auto"/>
                        <w:bottom w:val="none" w:sz="0" w:space="0" w:color="auto"/>
                        <w:right w:val="none" w:sz="0" w:space="0" w:color="auto"/>
                      </w:divBdr>
                      <w:divsChild>
                        <w:div w:id="1028872251">
                          <w:marLeft w:val="0"/>
                          <w:marRight w:val="0"/>
                          <w:marTop w:val="0"/>
                          <w:marBottom w:val="0"/>
                          <w:divBdr>
                            <w:top w:val="none" w:sz="0" w:space="0" w:color="auto"/>
                            <w:left w:val="none" w:sz="0" w:space="0" w:color="auto"/>
                            <w:bottom w:val="none" w:sz="0" w:space="0" w:color="auto"/>
                            <w:right w:val="none" w:sz="0" w:space="0" w:color="auto"/>
                          </w:divBdr>
                        </w:div>
                        <w:div w:id="1328173787">
                          <w:marLeft w:val="0"/>
                          <w:marRight w:val="0"/>
                          <w:marTop w:val="0"/>
                          <w:marBottom w:val="0"/>
                          <w:divBdr>
                            <w:top w:val="none" w:sz="0" w:space="0" w:color="auto"/>
                            <w:left w:val="none" w:sz="0" w:space="0" w:color="auto"/>
                            <w:bottom w:val="none" w:sz="0" w:space="0" w:color="auto"/>
                            <w:right w:val="none" w:sz="0" w:space="0" w:color="auto"/>
                          </w:divBdr>
                          <w:divsChild>
                            <w:div w:id="85736277">
                              <w:marLeft w:val="0"/>
                              <w:marRight w:val="0"/>
                              <w:marTop w:val="0"/>
                              <w:marBottom w:val="0"/>
                              <w:divBdr>
                                <w:top w:val="none" w:sz="0" w:space="0" w:color="auto"/>
                                <w:left w:val="none" w:sz="0" w:space="0" w:color="auto"/>
                                <w:bottom w:val="none" w:sz="0" w:space="0" w:color="auto"/>
                                <w:right w:val="none" w:sz="0" w:space="0" w:color="auto"/>
                              </w:divBdr>
                              <w:divsChild>
                                <w:div w:id="196310411">
                                  <w:marLeft w:val="0"/>
                                  <w:marRight w:val="0"/>
                                  <w:marTop w:val="0"/>
                                  <w:marBottom w:val="0"/>
                                  <w:divBdr>
                                    <w:top w:val="none" w:sz="0" w:space="0" w:color="auto"/>
                                    <w:left w:val="none" w:sz="0" w:space="0" w:color="auto"/>
                                    <w:bottom w:val="none" w:sz="0" w:space="0" w:color="auto"/>
                                    <w:right w:val="none" w:sz="0" w:space="0" w:color="auto"/>
                                  </w:divBdr>
                                  <w:divsChild>
                                    <w:div w:id="1651131907">
                                      <w:marLeft w:val="0"/>
                                      <w:marRight w:val="0"/>
                                      <w:marTop w:val="120"/>
                                      <w:marBottom w:val="0"/>
                                      <w:divBdr>
                                        <w:top w:val="none" w:sz="0" w:space="0" w:color="auto"/>
                                        <w:left w:val="none" w:sz="0" w:space="0" w:color="auto"/>
                                        <w:bottom w:val="none" w:sz="0" w:space="0" w:color="auto"/>
                                        <w:right w:val="none" w:sz="0" w:space="0" w:color="auto"/>
                                      </w:divBdr>
                                    </w:div>
                                    <w:div w:id="1876235052">
                                      <w:marLeft w:val="0"/>
                                      <w:marRight w:val="0"/>
                                      <w:marTop w:val="0"/>
                                      <w:marBottom w:val="0"/>
                                      <w:divBdr>
                                        <w:top w:val="none" w:sz="0" w:space="0" w:color="auto"/>
                                        <w:left w:val="none" w:sz="0" w:space="0" w:color="auto"/>
                                        <w:bottom w:val="none" w:sz="0" w:space="0" w:color="auto"/>
                                        <w:right w:val="none" w:sz="0" w:space="0" w:color="auto"/>
                                      </w:divBdr>
                                    </w:div>
                                  </w:divsChild>
                                </w:div>
                                <w:div w:id="1011493367">
                                  <w:marLeft w:val="0"/>
                                  <w:marRight w:val="0"/>
                                  <w:marTop w:val="0"/>
                                  <w:marBottom w:val="0"/>
                                  <w:divBdr>
                                    <w:top w:val="none" w:sz="0" w:space="0" w:color="auto"/>
                                    <w:left w:val="none" w:sz="0" w:space="0" w:color="auto"/>
                                    <w:bottom w:val="none" w:sz="0" w:space="0" w:color="auto"/>
                                    <w:right w:val="none" w:sz="0" w:space="0" w:color="auto"/>
                                  </w:divBdr>
                                  <w:divsChild>
                                    <w:div w:id="1974942049">
                                      <w:marLeft w:val="0"/>
                                      <w:marRight w:val="0"/>
                                      <w:marTop w:val="120"/>
                                      <w:marBottom w:val="0"/>
                                      <w:divBdr>
                                        <w:top w:val="none" w:sz="0" w:space="0" w:color="auto"/>
                                        <w:left w:val="none" w:sz="0" w:space="0" w:color="auto"/>
                                        <w:bottom w:val="none" w:sz="0" w:space="0" w:color="auto"/>
                                        <w:right w:val="none" w:sz="0" w:space="0" w:color="auto"/>
                                      </w:divBdr>
                                    </w:div>
                                    <w:div w:id="16097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54224">
                          <w:marLeft w:val="0"/>
                          <w:marRight w:val="0"/>
                          <w:marTop w:val="0"/>
                          <w:marBottom w:val="0"/>
                          <w:divBdr>
                            <w:top w:val="none" w:sz="0" w:space="0" w:color="auto"/>
                            <w:left w:val="none" w:sz="0" w:space="0" w:color="auto"/>
                            <w:bottom w:val="none" w:sz="0" w:space="0" w:color="auto"/>
                            <w:right w:val="none" w:sz="0" w:space="0" w:color="auto"/>
                          </w:divBdr>
                          <w:divsChild>
                            <w:div w:id="997002259">
                              <w:marLeft w:val="0"/>
                              <w:marRight w:val="0"/>
                              <w:marTop w:val="0"/>
                              <w:marBottom w:val="0"/>
                              <w:divBdr>
                                <w:top w:val="none" w:sz="0" w:space="0" w:color="auto"/>
                                <w:left w:val="none" w:sz="0" w:space="0" w:color="auto"/>
                                <w:bottom w:val="none" w:sz="0" w:space="0" w:color="auto"/>
                                <w:right w:val="none" w:sz="0" w:space="0" w:color="auto"/>
                              </w:divBdr>
                            </w:div>
                          </w:divsChild>
                        </w:div>
                        <w:div w:id="19554492">
                          <w:marLeft w:val="0"/>
                          <w:marRight w:val="0"/>
                          <w:marTop w:val="0"/>
                          <w:marBottom w:val="0"/>
                          <w:divBdr>
                            <w:top w:val="none" w:sz="0" w:space="0" w:color="auto"/>
                            <w:left w:val="none" w:sz="0" w:space="0" w:color="auto"/>
                            <w:bottom w:val="none" w:sz="0" w:space="0" w:color="auto"/>
                            <w:right w:val="none" w:sz="0" w:space="0" w:color="auto"/>
                          </w:divBdr>
                          <w:divsChild>
                            <w:div w:id="737824870">
                              <w:marLeft w:val="0"/>
                              <w:marRight w:val="0"/>
                              <w:marTop w:val="0"/>
                              <w:marBottom w:val="0"/>
                              <w:divBdr>
                                <w:top w:val="none" w:sz="0" w:space="0" w:color="auto"/>
                                <w:left w:val="none" w:sz="0" w:space="0" w:color="auto"/>
                                <w:bottom w:val="none" w:sz="0" w:space="0" w:color="auto"/>
                                <w:right w:val="none" w:sz="0" w:space="0" w:color="auto"/>
                              </w:divBdr>
                            </w:div>
                          </w:divsChild>
                        </w:div>
                        <w:div w:id="715933658">
                          <w:marLeft w:val="0"/>
                          <w:marRight w:val="0"/>
                          <w:marTop w:val="0"/>
                          <w:marBottom w:val="0"/>
                          <w:divBdr>
                            <w:top w:val="none" w:sz="0" w:space="0" w:color="auto"/>
                            <w:left w:val="none" w:sz="0" w:space="0" w:color="auto"/>
                            <w:bottom w:val="none" w:sz="0" w:space="0" w:color="auto"/>
                            <w:right w:val="none" w:sz="0" w:space="0" w:color="auto"/>
                          </w:divBdr>
                          <w:divsChild>
                            <w:div w:id="764182191">
                              <w:marLeft w:val="0"/>
                              <w:marRight w:val="0"/>
                              <w:marTop w:val="0"/>
                              <w:marBottom w:val="0"/>
                              <w:divBdr>
                                <w:top w:val="none" w:sz="0" w:space="0" w:color="auto"/>
                                <w:left w:val="none" w:sz="0" w:space="0" w:color="auto"/>
                                <w:bottom w:val="none" w:sz="0" w:space="0" w:color="auto"/>
                                <w:right w:val="none" w:sz="0" w:space="0" w:color="auto"/>
                              </w:divBdr>
                            </w:div>
                          </w:divsChild>
                        </w:div>
                        <w:div w:id="1087117528">
                          <w:marLeft w:val="0"/>
                          <w:marRight w:val="0"/>
                          <w:marTop w:val="0"/>
                          <w:marBottom w:val="0"/>
                          <w:divBdr>
                            <w:top w:val="none" w:sz="0" w:space="0" w:color="auto"/>
                            <w:left w:val="none" w:sz="0" w:space="0" w:color="auto"/>
                            <w:bottom w:val="none" w:sz="0" w:space="0" w:color="auto"/>
                            <w:right w:val="none" w:sz="0" w:space="0" w:color="auto"/>
                          </w:divBdr>
                          <w:divsChild>
                            <w:div w:id="508447774">
                              <w:marLeft w:val="0"/>
                              <w:marRight w:val="0"/>
                              <w:marTop w:val="0"/>
                              <w:marBottom w:val="0"/>
                              <w:divBdr>
                                <w:top w:val="none" w:sz="0" w:space="0" w:color="auto"/>
                                <w:left w:val="none" w:sz="0" w:space="0" w:color="auto"/>
                                <w:bottom w:val="none" w:sz="0" w:space="0" w:color="auto"/>
                                <w:right w:val="none" w:sz="0" w:space="0" w:color="auto"/>
                              </w:divBdr>
                            </w:div>
                          </w:divsChild>
                        </w:div>
                        <w:div w:id="1582367391">
                          <w:marLeft w:val="0"/>
                          <w:marRight w:val="0"/>
                          <w:marTop w:val="0"/>
                          <w:marBottom w:val="0"/>
                          <w:divBdr>
                            <w:top w:val="none" w:sz="0" w:space="0" w:color="auto"/>
                            <w:left w:val="none" w:sz="0" w:space="0" w:color="auto"/>
                            <w:bottom w:val="none" w:sz="0" w:space="0" w:color="auto"/>
                            <w:right w:val="none" w:sz="0" w:space="0" w:color="auto"/>
                          </w:divBdr>
                          <w:divsChild>
                            <w:div w:id="1763915956">
                              <w:marLeft w:val="0"/>
                              <w:marRight w:val="0"/>
                              <w:marTop w:val="0"/>
                              <w:marBottom w:val="0"/>
                              <w:divBdr>
                                <w:top w:val="none" w:sz="0" w:space="0" w:color="auto"/>
                                <w:left w:val="none" w:sz="0" w:space="0" w:color="auto"/>
                                <w:bottom w:val="none" w:sz="0" w:space="0" w:color="auto"/>
                                <w:right w:val="none" w:sz="0" w:space="0" w:color="auto"/>
                              </w:divBdr>
                              <w:divsChild>
                                <w:div w:id="1424916308">
                                  <w:marLeft w:val="0"/>
                                  <w:marRight w:val="0"/>
                                  <w:marTop w:val="0"/>
                                  <w:marBottom w:val="0"/>
                                  <w:divBdr>
                                    <w:top w:val="none" w:sz="0" w:space="0" w:color="auto"/>
                                    <w:left w:val="none" w:sz="0" w:space="0" w:color="auto"/>
                                    <w:bottom w:val="none" w:sz="0" w:space="0" w:color="auto"/>
                                    <w:right w:val="none" w:sz="0" w:space="0" w:color="auto"/>
                                  </w:divBdr>
                                  <w:divsChild>
                                    <w:div w:id="948857402">
                                      <w:marLeft w:val="0"/>
                                      <w:marRight w:val="0"/>
                                      <w:marTop w:val="120"/>
                                      <w:marBottom w:val="0"/>
                                      <w:divBdr>
                                        <w:top w:val="none" w:sz="0" w:space="0" w:color="auto"/>
                                        <w:left w:val="none" w:sz="0" w:space="0" w:color="auto"/>
                                        <w:bottom w:val="none" w:sz="0" w:space="0" w:color="auto"/>
                                        <w:right w:val="none" w:sz="0" w:space="0" w:color="auto"/>
                                      </w:divBdr>
                                    </w:div>
                                    <w:div w:id="1522469113">
                                      <w:marLeft w:val="0"/>
                                      <w:marRight w:val="0"/>
                                      <w:marTop w:val="0"/>
                                      <w:marBottom w:val="0"/>
                                      <w:divBdr>
                                        <w:top w:val="none" w:sz="0" w:space="0" w:color="auto"/>
                                        <w:left w:val="none" w:sz="0" w:space="0" w:color="auto"/>
                                        <w:bottom w:val="none" w:sz="0" w:space="0" w:color="auto"/>
                                        <w:right w:val="none" w:sz="0" w:space="0" w:color="auto"/>
                                      </w:divBdr>
                                    </w:div>
                                  </w:divsChild>
                                </w:div>
                                <w:div w:id="1222522362">
                                  <w:marLeft w:val="0"/>
                                  <w:marRight w:val="0"/>
                                  <w:marTop w:val="0"/>
                                  <w:marBottom w:val="0"/>
                                  <w:divBdr>
                                    <w:top w:val="none" w:sz="0" w:space="0" w:color="auto"/>
                                    <w:left w:val="none" w:sz="0" w:space="0" w:color="auto"/>
                                    <w:bottom w:val="none" w:sz="0" w:space="0" w:color="auto"/>
                                    <w:right w:val="none" w:sz="0" w:space="0" w:color="auto"/>
                                  </w:divBdr>
                                  <w:divsChild>
                                    <w:div w:id="1936355868">
                                      <w:marLeft w:val="0"/>
                                      <w:marRight w:val="0"/>
                                      <w:marTop w:val="120"/>
                                      <w:marBottom w:val="0"/>
                                      <w:divBdr>
                                        <w:top w:val="none" w:sz="0" w:space="0" w:color="auto"/>
                                        <w:left w:val="none" w:sz="0" w:space="0" w:color="auto"/>
                                        <w:bottom w:val="none" w:sz="0" w:space="0" w:color="auto"/>
                                        <w:right w:val="none" w:sz="0" w:space="0" w:color="auto"/>
                                      </w:divBdr>
                                    </w:div>
                                    <w:div w:id="929049044">
                                      <w:marLeft w:val="0"/>
                                      <w:marRight w:val="0"/>
                                      <w:marTop w:val="0"/>
                                      <w:marBottom w:val="0"/>
                                      <w:divBdr>
                                        <w:top w:val="none" w:sz="0" w:space="0" w:color="auto"/>
                                        <w:left w:val="none" w:sz="0" w:space="0" w:color="auto"/>
                                        <w:bottom w:val="none" w:sz="0" w:space="0" w:color="auto"/>
                                        <w:right w:val="none" w:sz="0" w:space="0" w:color="auto"/>
                                      </w:divBdr>
                                    </w:div>
                                  </w:divsChild>
                                </w:div>
                                <w:div w:id="1991519498">
                                  <w:marLeft w:val="0"/>
                                  <w:marRight w:val="0"/>
                                  <w:marTop w:val="0"/>
                                  <w:marBottom w:val="0"/>
                                  <w:divBdr>
                                    <w:top w:val="none" w:sz="0" w:space="0" w:color="auto"/>
                                    <w:left w:val="none" w:sz="0" w:space="0" w:color="auto"/>
                                    <w:bottom w:val="none" w:sz="0" w:space="0" w:color="auto"/>
                                    <w:right w:val="none" w:sz="0" w:space="0" w:color="auto"/>
                                  </w:divBdr>
                                  <w:divsChild>
                                    <w:div w:id="1559129274">
                                      <w:marLeft w:val="0"/>
                                      <w:marRight w:val="0"/>
                                      <w:marTop w:val="120"/>
                                      <w:marBottom w:val="0"/>
                                      <w:divBdr>
                                        <w:top w:val="none" w:sz="0" w:space="0" w:color="auto"/>
                                        <w:left w:val="none" w:sz="0" w:space="0" w:color="auto"/>
                                        <w:bottom w:val="none" w:sz="0" w:space="0" w:color="auto"/>
                                        <w:right w:val="none" w:sz="0" w:space="0" w:color="auto"/>
                                      </w:divBdr>
                                    </w:div>
                                    <w:div w:id="1164659540">
                                      <w:marLeft w:val="0"/>
                                      <w:marRight w:val="0"/>
                                      <w:marTop w:val="0"/>
                                      <w:marBottom w:val="0"/>
                                      <w:divBdr>
                                        <w:top w:val="none" w:sz="0" w:space="0" w:color="auto"/>
                                        <w:left w:val="none" w:sz="0" w:space="0" w:color="auto"/>
                                        <w:bottom w:val="none" w:sz="0" w:space="0" w:color="auto"/>
                                        <w:right w:val="none" w:sz="0" w:space="0" w:color="auto"/>
                                      </w:divBdr>
                                    </w:div>
                                  </w:divsChild>
                                </w:div>
                                <w:div w:id="1066683724">
                                  <w:marLeft w:val="0"/>
                                  <w:marRight w:val="0"/>
                                  <w:marTop w:val="0"/>
                                  <w:marBottom w:val="0"/>
                                  <w:divBdr>
                                    <w:top w:val="none" w:sz="0" w:space="0" w:color="auto"/>
                                    <w:left w:val="none" w:sz="0" w:space="0" w:color="auto"/>
                                    <w:bottom w:val="none" w:sz="0" w:space="0" w:color="auto"/>
                                    <w:right w:val="none" w:sz="0" w:space="0" w:color="auto"/>
                                  </w:divBdr>
                                  <w:divsChild>
                                    <w:div w:id="1659529972">
                                      <w:marLeft w:val="0"/>
                                      <w:marRight w:val="0"/>
                                      <w:marTop w:val="120"/>
                                      <w:marBottom w:val="0"/>
                                      <w:divBdr>
                                        <w:top w:val="none" w:sz="0" w:space="0" w:color="auto"/>
                                        <w:left w:val="none" w:sz="0" w:space="0" w:color="auto"/>
                                        <w:bottom w:val="none" w:sz="0" w:space="0" w:color="auto"/>
                                        <w:right w:val="none" w:sz="0" w:space="0" w:color="auto"/>
                                      </w:divBdr>
                                    </w:div>
                                    <w:div w:id="102448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67930">
                          <w:marLeft w:val="0"/>
                          <w:marRight w:val="0"/>
                          <w:marTop w:val="0"/>
                          <w:marBottom w:val="0"/>
                          <w:divBdr>
                            <w:top w:val="none" w:sz="0" w:space="0" w:color="auto"/>
                            <w:left w:val="none" w:sz="0" w:space="0" w:color="auto"/>
                            <w:bottom w:val="none" w:sz="0" w:space="0" w:color="auto"/>
                            <w:right w:val="none" w:sz="0" w:space="0" w:color="auto"/>
                          </w:divBdr>
                          <w:divsChild>
                            <w:div w:id="414866451">
                              <w:marLeft w:val="0"/>
                              <w:marRight w:val="0"/>
                              <w:marTop w:val="0"/>
                              <w:marBottom w:val="0"/>
                              <w:divBdr>
                                <w:top w:val="none" w:sz="0" w:space="0" w:color="auto"/>
                                <w:left w:val="none" w:sz="0" w:space="0" w:color="auto"/>
                                <w:bottom w:val="none" w:sz="0" w:space="0" w:color="auto"/>
                                <w:right w:val="none" w:sz="0" w:space="0" w:color="auto"/>
                              </w:divBdr>
                            </w:div>
                          </w:divsChild>
                        </w:div>
                        <w:div w:id="121968749">
                          <w:marLeft w:val="0"/>
                          <w:marRight w:val="0"/>
                          <w:marTop w:val="0"/>
                          <w:marBottom w:val="0"/>
                          <w:divBdr>
                            <w:top w:val="none" w:sz="0" w:space="0" w:color="auto"/>
                            <w:left w:val="none" w:sz="0" w:space="0" w:color="auto"/>
                            <w:bottom w:val="none" w:sz="0" w:space="0" w:color="auto"/>
                            <w:right w:val="none" w:sz="0" w:space="0" w:color="auto"/>
                          </w:divBdr>
                          <w:divsChild>
                            <w:div w:id="1971933043">
                              <w:marLeft w:val="0"/>
                              <w:marRight w:val="0"/>
                              <w:marTop w:val="0"/>
                              <w:marBottom w:val="0"/>
                              <w:divBdr>
                                <w:top w:val="none" w:sz="0" w:space="0" w:color="auto"/>
                                <w:left w:val="none" w:sz="0" w:space="0" w:color="auto"/>
                                <w:bottom w:val="none" w:sz="0" w:space="0" w:color="auto"/>
                                <w:right w:val="none" w:sz="0" w:space="0" w:color="auto"/>
                              </w:divBdr>
                            </w:div>
                          </w:divsChild>
                        </w:div>
                        <w:div w:id="1748383542">
                          <w:marLeft w:val="0"/>
                          <w:marRight w:val="0"/>
                          <w:marTop w:val="0"/>
                          <w:marBottom w:val="0"/>
                          <w:divBdr>
                            <w:top w:val="none" w:sz="0" w:space="0" w:color="auto"/>
                            <w:left w:val="none" w:sz="0" w:space="0" w:color="auto"/>
                            <w:bottom w:val="none" w:sz="0" w:space="0" w:color="auto"/>
                            <w:right w:val="none" w:sz="0" w:space="0" w:color="auto"/>
                          </w:divBdr>
                          <w:divsChild>
                            <w:div w:id="303044395">
                              <w:marLeft w:val="0"/>
                              <w:marRight w:val="0"/>
                              <w:marTop w:val="0"/>
                              <w:marBottom w:val="0"/>
                              <w:divBdr>
                                <w:top w:val="none" w:sz="0" w:space="0" w:color="auto"/>
                                <w:left w:val="none" w:sz="0" w:space="0" w:color="auto"/>
                                <w:bottom w:val="none" w:sz="0" w:space="0" w:color="auto"/>
                                <w:right w:val="none" w:sz="0" w:space="0" w:color="auto"/>
                              </w:divBdr>
                            </w:div>
                          </w:divsChild>
                        </w:div>
                        <w:div w:id="964500689">
                          <w:marLeft w:val="0"/>
                          <w:marRight w:val="0"/>
                          <w:marTop w:val="0"/>
                          <w:marBottom w:val="0"/>
                          <w:divBdr>
                            <w:top w:val="none" w:sz="0" w:space="0" w:color="auto"/>
                            <w:left w:val="none" w:sz="0" w:space="0" w:color="auto"/>
                            <w:bottom w:val="none" w:sz="0" w:space="0" w:color="auto"/>
                            <w:right w:val="none" w:sz="0" w:space="0" w:color="auto"/>
                          </w:divBdr>
                          <w:divsChild>
                            <w:div w:id="574166249">
                              <w:marLeft w:val="0"/>
                              <w:marRight w:val="0"/>
                              <w:marTop w:val="0"/>
                              <w:marBottom w:val="0"/>
                              <w:divBdr>
                                <w:top w:val="none" w:sz="0" w:space="0" w:color="auto"/>
                                <w:left w:val="none" w:sz="0" w:space="0" w:color="auto"/>
                                <w:bottom w:val="none" w:sz="0" w:space="0" w:color="auto"/>
                                <w:right w:val="none" w:sz="0" w:space="0" w:color="auto"/>
                              </w:divBdr>
                            </w:div>
                          </w:divsChild>
                        </w:div>
                        <w:div w:id="442269256">
                          <w:marLeft w:val="0"/>
                          <w:marRight w:val="0"/>
                          <w:marTop w:val="0"/>
                          <w:marBottom w:val="0"/>
                          <w:divBdr>
                            <w:top w:val="none" w:sz="0" w:space="0" w:color="auto"/>
                            <w:left w:val="none" w:sz="0" w:space="0" w:color="auto"/>
                            <w:bottom w:val="none" w:sz="0" w:space="0" w:color="auto"/>
                            <w:right w:val="none" w:sz="0" w:space="0" w:color="auto"/>
                          </w:divBdr>
                          <w:divsChild>
                            <w:div w:id="88628631">
                              <w:marLeft w:val="0"/>
                              <w:marRight w:val="0"/>
                              <w:marTop w:val="0"/>
                              <w:marBottom w:val="0"/>
                              <w:divBdr>
                                <w:top w:val="none" w:sz="0" w:space="0" w:color="auto"/>
                                <w:left w:val="none" w:sz="0" w:space="0" w:color="auto"/>
                                <w:bottom w:val="none" w:sz="0" w:space="0" w:color="auto"/>
                                <w:right w:val="none" w:sz="0" w:space="0" w:color="auto"/>
                              </w:divBdr>
                            </w:div>
                          </w:divsChild>
                        </w:div>
                        <w:div w:id="342972015">
                          <w:marLeft w:val="0"/>
                          <w:marRight w:val="0"/>
                          <w:marTop w:val="0"/>
                          <w:marBottom w:val="0"/>
                          <w:divBdr>
                            <w:top w:val="none" w:sz="0" w:space="0" w:color="auto"/>
                            <w:left w:val="none" w:sz="0" w:space="0" w:color="auto"/>
                            <w:bottom w:val="none" w:sz="0" w:space="0" w:color="auto"/>
                            <w:right w:val="none" w:sz="0" w:space="0" w:color="auto"/>
                          </w:divBdr>
                          <w:divsChild>
                            <w:div w:id="1146707578">
                              <w:marLeft w:val="0"/>
                              <w:marRight w:val="0"/>
                              <w:marTop w:val="0"/>
                              <w:marBottom w:val="0"/>
                              <w:divBdr>
                                <w:top w:val="none" w:sz="0" w:space="0" w:color="auto"/>
                                <w:left w:val="none" w:sz="0" w:space="0" w:color="auto"/>
                                <w:bottom w:val="none" w:sz="0" w:space="0" w:color="auto"/>
                                <w:right w:val="none" w:sz="0" w:space="0" w:color="auto"/>
                              </w:divBdr>
                            </w:div>
                          </w:divsChild>
                        </w:div>
                        <w:div w:id="944733027">
                          <w:marLeft w:val="0"/>
                          <w:marRight w:val="0"/>
                          <w:marTop w:val="0"/>
                          <w:marBottom w:val="0"/>
                          <w:divBdr>
                            <w:top w:val="none" w:sz="0" w:space="0" w:color="auto"/>
                            <w:left w:val="none" w:sz="0" w:space="0" w:color="auto"/>
                            <w:bottom w:val="none" w:sz="0" w:space="0" w:color="auto"/>
                            <w:right w:val="none" w:sz="0" w:space="0" w:color="auto"/>
                          </w:divBdr>
                          <w:divsChild>
                            <w:div w:id="3356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8233">
                      <w:marLeft w:val="0"/>
                      <w:marRight w:val="0"/>
                      <w:marTop w:val="0"/>
                      <w:marBottom w:val="0"/>
                      <w:divBdr>
                        <w:top w:val="none" w:sz="0" w:space="0" w:color="auto"/>
                        <w:left w:val="none" w:sz="0" w:space="0" w:color="auto"/>
                        <w:bottom w:val="none" w:sz="0" w:space="0" w:color="auto"/>
                        <w:right w:val="none" w:sz="0" w:space="0" w:color="auto"/>
                      </w:divBdr>
                      <w:divsChild>
                        <w:div w:id="1907838026">
                          <w:marLeft w:val="0"/>
                          <w:marRight w:val="0"/>
                          <w:marTop w:val="0"/>
                          <w:marBottom w:val="0"/>
                          <w:divBdr>
                            <w:top w:val="none" w:sz="0" w:space="0" w:color="auto"/>
                            <w:left w:val="none" w:sz="0" w:space="0" w:color="auto"/>
                            <w:bottom w:val="none" w:sz="0" w:space="0" w:color="auto"/>
                            <w:right w:val="none" w:sz="0" w:space="0" w:color="auto"/>
                          </w:divBdr>
                        </w:div>
                        <w:div w:id="306663032">
                          <w:marLeft w:val="0"/>
                          <w:marRight w:val="0"/>
                          <w:marTop w:val="0"/>
                          <w:marBottom w:val="0"/>
                          <w:divBdr>
                            <w:top w:val="none" w:sz="0" w:space="0" w:color="auto"/>
                            <w:left w:val="none" w:sz="0" w:space="0" w:color="auto"/>
                            <w:bottom w:val="none" w:sz="0" w:space="0" w:color="auto"/>
                            <w:right w:val="none" w:sz="0" w:space="0" w:color="auto"/>
                          </w:divBdr>
                          <w:divsChild>
                            <w:div w:id="1499494642">
                              <w:marLeft w:val="0"/>
                              <w:marRight w:val="0"/>
                              <w:marTop w:val="0"/>
                              <w:marBottom w:val="0"/>
                              <w:divBdr>
                                <w:top w:val="none" w:sz="0" w:space="0" w:color="auto"/>
                                <w:left w:val="none" w:sz="0" w:space="0" w:color="auto"/>
                                <w:bottom w:val="none" w:sz="0" w:space="0" w:color="auto"/>
                                <w:right w:val="none" w:sz="0" w:space="0" w:color="auto"/>
                              </w:divBdr>
                            </w:div>
                          </w:divsChild>
                        </w:div>
                        <w:div w:id="358357944">
                          <w:marLeft w:val="0"/>
                          <w:marRight w:val="0"/>
                          <w:marTop w:val="0"/>
                          <w:marBottom w:val="0"/>
                          <w:divBdr>
                            <w:top w:val="none" w:sz="0" w:space="0" w:color="auto"/>
                            <w:left w:val="none" w:sz="0" w:space="0" w:color="auto"/>
                            <w:bottom w:val="none" w:sz="0" w:space="0" w:color="auto"/>
                            <w:right w:val="none" w:sz="0" w:space="0" w:color="auto"/>
                          </w:divBdr>
                          <w:divsChild>
                            <w:div w:id="1951932969">
                              <w:marLeft w:val="0"/>
                              <w:marRight w:val="0"/>
                              <w:marTop w:val="120"/>
                              <w:marBottom w:val="0"/>
                              <w:divBdr>
                                <w:top w:val="none" w:sz="0" w:space="0" w:color="auto"/>
                                <w:left w:val="none" w:sz="0" w:space="0" w:color="auto"/>
                                <w:bottom w:val="none" w:sz="0" w:space="0" w:color="auto"/>
                                <w:right w:val="none" w:sz="0" w:space="0" w:color="auto"/>
                              </w:divBdr>
                            </w:div>
                            <w:div w:id="113646374">
                              <w:marLeft w:val="0"/>
                              <w:marRight w:val="0"/>
                              <w:marTop w:val="0"/>
                              <w:marBottom w:val="0"/>
                              <w:divBdr>
                                <w:top w:val="none" w:sz="0" w:space="0" w:color="auto"/>
                                <w:left w:val="none" w:sz="0" w:space="0" w:color="auto"/>
                                <w:bottom w:val="none" w:sz="0" w:space="0" w:color="auto"/>
                                <w:right w:val="none" w:sz="0" w:space="0" w:color="auto"/>
                              </w:divBdr>
                            </w:div>
                          </w:divsChild>
                        </w:div>
                        <w:div w:id="491945156">
                          <w:marLeft w:val="0"/>
                          <w:marRight w:val="0"/>
                          <w:marTop w:val="0"/>
                          <w:marBottom w:val="0"/>
                          <w:divBdr>
                            <w:top w:val="none" w:sz="0" w:space="0" w:color="auto"/>
                            <w:left w:val="none" w:sz="0" w:space="0" w:color="auto"/>
                            <w:bottom w:val="none" w:sz="0" w:space="0" w:color="auto"/>
                            <w:right w:val="none" w:sz="0" w:space="0" w:color="auto"/>
                          </w:divBdr>
                          <w:divsChild>
                            <w:div w:id="1736391316">
                              <w:marLeft w:val="0"/>
                              <w:marRight w:val="0"/>
                              <w:marTop w:val="120"/>
                              <w:marBottom w:val="0"/>
                              <w:divBdr>
                                <w:top w:val="none" w:sz="0" w:space="0" w:color="auto"/>
                                <w:left w:val="none" w:sz="0" w:space="0" w:color="auto"/>
                                <w:bottom w:val="none" w:sz="0" w:space="0" w:color="auto"/>
                                <w:right w:val="none" w:sz="0" w:space="0" w:color="auto"/>
                              </w:divBdr>
                            </w:div>
                            <w:div w:id="1438677895">
                              <w:marLeft w:val="0"/>
                              <w:marRight w:val="0"/>
                              <w:marTop w:val="0"/>
                              <w:marBottom w:val="0"/>
                              <w:divBdr>
                                <w:top w:val="none" w:sz="0" w:space="0" w:color="auto"/>
                                <w:left w:val="none" w:sz="0" w:space="0" w:color="auto"/>
                                <w:bottom w:val="none" w:sz="0" w:space="0" w:color="auto"/>
                                <w:right w:val="none" w:sz="0" w:space="0" w:color="auto"/>
                              </w:divBdr>
                            </w:div>
                          </w:divsChild>
                        </w:div>
                        <w:div w:id="1664552894">
                          <w:marLeft w:val="0"/>
                          <w:marRight w:val="0"/>
                          <w:marTop w:val="0"/>
                          <w:marBottom w:val="0"/>
                          <w:divBdr>
                            <w:top w:val="none" w:sz="0" w:space="0" w:color="auto"/>
                            <w:left w:val="none" w:sz="0" w:space="0" w:color="auto"/>
                            <w:bottom w:val="none" w:sz="0" w:space="0" w:color="auto"/>
                            <w:right w:val="none" w:sz="0" w:space="0" w:color="auto"/>
                          </w:divBdr>
                          <w:divsChild>
                            <w:div w:id="149103358">
                              <w:marLeft w:val="0"/>
                              <w:marRight w:val="0"/>
                              <w:marTop w:val="120"/>
                              <w:marBottom w:val="0"/>
                              <w:divBdr>
                                <w:top w:val="none" w:sz="0" w:space="0" w:color="auto"/>
                                <w:left w:val="none" w:sz="0" w:space="0" w:color="auto"/>
                                <w:bottom w:val="none" w:sz="0" w:space="0" w:color="auto"/>
                                <w:right w:val="none" w:sz="0" w:space="0" w:color="auto"/>
                              </w:divBdr>
                            </w:div>
                            <w:div w:id="44834470">
                              <w:marLeft w:val="0"/>
                              <w:marRight w:val="0"/>
                              <w:marTop w:val="0"/>
                              <w:marBottom w:val="0"/>
                              <w:divBdr>
                                <w:top w:val="none" w:sz="0" w:space="0" w:color="auto"/>
                                <w:left w:val="none" w:sz="0" w:space="0" w:color="auto"/>
                                <w:bottom w:val="none" w:sz="0" w:space="0" w:color="auto"/>
                                <w:right w:val="none" w:sz="0" w:space="0" w:color="auto"/>
                              </w:divBdr>
                            </w:div>
                          </w:divsChild>
                        </w:div>
                        <w:div w:id="1030644707">
                          <w:marLeft w:val="0"/>
                          <w:marRight w:val="0"/>
                          <w:marTop w:val="0"/>
                          <w:marBottom w:val="0"/>
                          <w:divBdr>
                            <w:top w:val="none" w:sz="0" w:space="0" w:color="auto"/>
                            <w:left w:val="none" w:sz="0" w:space="0" w:color="auto"/>
                            <w:bottom w:val="none" w:sz="0" w:space="0" w:color="auto"/>
                            <w:right w:val="none" w:sz="0" w:space="0" w:color="auto"/>
                          </w:divBdr>
                          <w:divsChild>
                            <w:div w:id="2032875162">
                              <w:marLeft w:val="0"/>
                              <w:marRight w:val="0"/>
                              <w:marTop w:val="120"/>
                              <w:marBottom w:val="0"/>
                              <w:divBdr>
                                <w:top w:val="none" w:sz="0" w:space="0" w:color="auto"/>
                                <w:left w:val="none" w:sz="0" w:space="0" w:color="auto"/>
                                <w:bottom w:val="none" w:sz="0" w:space="0" w:color="auto"/>
                                <w:right w:val="none" w:sz="0" w:space="0" w:color="auto"/>
                              </w:divBdr>
                            </w:div>
                            <w:div w:id="1307706964">
                              <w:marLeft w:val="0"/>
                              <w:marRight w:val="0"/>
                              <w:marTop w:val="0"/>
                              <w:marBottom w:val="0"/>
                              <w:divBdr>
                                <w:top w:val="none" w:sz="0" w:space="0" w:color="auto"/>
                                <w:left w:val="none" w:sz="0" w:space="0" w:color="auto"/>
                                <w:bottom w:val="none" w:sz="0" w:space="0" w:color="auto"/>
                                <w:right w:val="none" w:sz="0" w:space="0" w:color="auto"/>
                              </w:divBdr>
                            </w:div>
                          </w:divsChild>
                        </w:div>
                        <w:div w:id="44647357">
                          <w:marLeft w:val="0"/>
                          <w:marRight w:val="0"/>
                          <w:marTop w:val="0"/>
                          <w:marBottom w:val="0"/>
                          <w:divBdr>
                            <w:top w:val="none" w:sz="0" w:space="0" w:color="auto"/>
                            <w:left w:val="none" w:sz="0" w:space="0" w:color="auto"/>
                            <w:bottom w:val="none" w:sz="0" w:space="0" w:color="auto"/>
                            <w:right w:val="none" w:sz="0" w:space="0" w:color="auto"/>
                          </w:divBdr>
                          <w:divsChild>
                            <w:div w:id="520514828">
                              <w:marLeft w:val="0"/>
                              <w:marRight w:val="0"/>
                              <w:marTop w:val="0"/>
                              <w:marBottom w:val="0"/>
                              <w:divBdr>
                                <w:top w:val="none" w:sz="0" w:space="0" w:color="auto"/>
                                <w:left w:val="none" w:sz="0" w:space="0" w:color="auto"/>
                                <w:bottom w:val="none" w:sz="0" w:space="0" w:color="auto"/>
                                <w:right w:val="none" w:sz="0" w:space="0" w:color="auto"/>
                              </w:divBdr>
                            </w:div>
                          </w:divsChild>
                        </w:div>
                        <w:div w:id="36315951">
                          <w:marLeft w:val="0"/>
                          <w:marRight w:val="0"/>
                          <w:marTop w:val="0"/>
                          <w:marBottom w:val="0"/>
                          <w:divBdr>
                            <w:top w:val="none" w:sz="0" w:space="0" w:color="auto"/>
                            <w:left w:val="none" w:sz="0" w:space="0" w:color="auto"/>
                            <w:bottom w:val="none" w:sz="0" w:space="0" w:color="auto"/>
                            <w:right w:val="none" w:sz="0" w:space="0" w:color="auto"/>
                          </w:divBdr>
                          <w:divsChild>
                            <w:div w:id="1450006121">
                              <w:marLeft w:val="0"/>
                              <w:marRight w:val="0"/>
                              <w:marTop w:val="120"/>
                              <w:marBottom w:val="0"/>
                              <w:divBdr>
                                <w:top w:val="none" w:sz="0" w:space="0" w:color="auto"/>
                                <w:left w:val="none" w:sz="0" w:space="0" w:color="auto"/>
                                <w:bottom w:val="none" w:sz="0" w:space="0" w:color="auto"/>
                                <w:right w:val="none" w:sz="0" w:space="0" w:color="auto"/>
                              </w:divBdr>
                            </w:div>
                            <w:div w:id="291256317">
                              <w:marLeft w:val="0"/>
                              <w:marRight w:val="0"/>
                              <w:marTop w:val="0"/>
                              <w:marBottom w:val="0"/>
                              <w:divBdr>
                                <w:top w:val="none" w:sz="0" w:space="0" w:color="auto"/>
                                <w:left w:val="none" w:sz="0" w:space="0" w:color="auto"/>
                                <w:bottom w:val="none" w:sz="0" w:space="0" w:color="auto"/>
                                <w:right w:val="none" w:sz="0" w:space="0" w:color="auto"/>
                              </w:divBdr>
                            </w:div>
                          </w:divsChild>
                        </w:div>
                        <w:div w:id="1358507014">
                          <w:marLeft w:val="0"/>
                          <w:marRight w:val="0"/>
                          <w:marTop w:val="0"/>
                          <w:marBottom w:val="0"/>
                          <w:divBdr>
                            <w:top w:val="none" w:sz="0" w:space="0" w:color="auto"/>
                            <w:left w:val="none" w:sz="0" w:space="0" w:color="auto"/>
                            <w:bottom w:val="none" w:sz="0" w:space="0" w:color="auto"/>
                            <w:right w:val="none" w:sz="0" w:space="0" w:color="auto"/>
                          </w:divBdr>
                          <w:divsChild>
                            <w:div w:id="1576621509">
                              <w:marLeft w:val="0"/>
                              <w:marRight w:val="0"/>
                              <w:marTop w:val="120"/>
                              <w:marBottom w:val="0"/>
                              <w:divBdr>
                                <w:top w:val="none" w:sz="0" w:space="0" w:color="auto"/>
                                <w:left w:val="none" w:sz="0" w:space="0" w:color="auto"/>
                                <w:bottom w:val="none" w:sz="0" w:space="0" w:color="auto"/>
                                <w:right w:val="none" w:sz="0" w:space="0" w:color="auto"/>
                              </w:divBdr>
                            </w:div>
                            <w:div w:id="294339758">
                              <w:marLeft w:val="0"/>
                              <w:marRight w:val="0"/>
                              <w:marTop w:val="0"/>
                              <w:marBottom w:val="0"/>
                              <w:divBdr>
                                <w:top w:val="none" w:sz="0" w:space="0" w:color="auto"/>
                                <w:left w:val="none" w:sz="0" w:space="0" w:color="auto"/>
                                <w:bottom w:val="none" w:sz="0" w:space="0" w:color="auto"/>
                                <w:right w:val="none" w:sz="0" w:space="0" w:color="auto"/>
                              </w:divBdr>
                            </w:div>
                          </w:divsChild>
                        </w:div>
                        <w:div w:id="1952274019">
                          <w:marLeft w:val="0"/>
                          <w:marRight w:val="0"/>
                          <w:marTop w:val="0"/>
                          <w:marBottom w:val="0"/>
                          <w:divBdr>
                            <w:top w:val="none" w:sz="0" w:space="0" w:color="auto"/>
                            <w:left w:val="none" w:sz="0" w:space="0" w:color="auto"/>
                            <w:bottom w:val="none" w:sz="0" w:space="0" w:color="auto"/>
                            <w:right w:val="none" w:sz="0" w:space="0" w:color="auto"/>
                          </w:divBdr>
                          <w:divsChild>
                            <w:div w:id="2139831947">
                              <w:marLeft w:val="0"/>
                              <w:marRight w:val="0"/>
                              <w:marTop w:val="0"/>
                              <w:marBottom w:val="0"/>
                              <w:divBdr>
                                <w:top w:val="none" w:sz="0" w:space="0" w:color="auto"/>
                                <w:left w:val="none" w:sz="0" w:space="0" w:color="auto"/>
                                <w:bottom w:val="none" w:sz="0" w:space="0" w:color="auto"/>
                                <w:right w:val="none" w:sz="0" w:space="0" w:color="auto"/>
                              </w:divBdr>
                            </w:div>
                          </w:divsChild>
                        </w:div>
                        <w:div w:id="653920826">
                          <w:marLeft w:val="0"/>
                          <w:marRight w:val="0"/>
                          <w:marTop w:val="0"/>
                          <w:marBottom w:val="0"/>
                          <w:divBdr>
                            <w:top w:val="none" w:sz="0" w:space="0" w:color="auto"/>
                            <w:left w:val="none" w:sz="0" w:space="0" w:color="auto"/>
                            <w:bottom w:val="none" w:sz="0" w:space="0" w:color="auto"/>
                            <w:right w:val="none" w:sz="0" w:space="0" w:color="auto"/>
                          </w:divBdr>
                          <w:divsChild>
                            <w:div w:id="1149133675">
                              <w:marLeft w:val="0"/>
                              <w:marRight w:val="0"/>
                              <w:marTop w:val="0"/>
                              <w:marBottom w:val="0"/>
                              <w:divBdr>
                                <w:top w:val="none" w:sz="0" w:space="0" w:color="auto"/>
                                <w:left w:val="none" w:sz="0" w:space="0" w:color="auto"/>
                                <w:bottom w:val="none" w:sz="0" w:space="0" w:color="auto"/>
                                <w:right w:val="none" w:sz="0" w:space="0" w:color="auto"/>
                              </w:divBdr>
                            </w:div>
                          </w:divsChild>
                        </w:div>
                        <w:div w:id="351150128">
                          <w:marLeft w:val="0"/>
                          <w:marRight w:val="0"/>
                          <w:marTop w:val="0"/>
                          <w:marBottom w:val="0"/>
                          <w:divBdr>
                            <w:top w:val="none" w:sz="0" w:space="0" w:color="auto"/>
                            <w:left w:val="none" w:sz="0" w:space="0" w:color="auto"/>
                            <w:bottom w:val="none" w:sz="0" w:space="0" w:color="auto"/>
                            <w:right w:val="none" w:sz="0" w:space="0" w:color="auto"/>
                          </w:divBdr>
                          <w:divsChild>
                            <w:div w:id="1548685430">
                              <w:marLeft w:val="0"/>
                              <w:marRight w:val="0"/>
                              <w:marTop w:val="0"/>
                              <w:marBottom w:val="0"/>
                              <w:divBdr>
                                <w:top w:val="none" w:sz="0" w:space="0" w:color="auto"/>
                                <w:left w:val="none" w:sz="0" w:space="0" w:color="auto"/>
                                <w:bottom w:val="none" w:sz="0" w:space="0" w:color="auto"/>
                                <w:right w:val="none" w:sz="0" w:space="0" w:color="auto"/>
                              </w:divBdr>
                            </w:div>
                          </w:divsChild>
                        </w:div>
                        <w:div w:id="1772505208">
                          <w:marLeft w:val="0"/>
                          <w:marRight w:val="0"/>
                          <w:marTop w:val="0"/>
                          <w:marBottom w:val="0"/>
                          <w:divBdr>
                            <w:top w:val="none" w:sz="0" w:space="0" w:color="auto"/>
                            <w:left w:val="none" w:sz="0" w:space="0" w:color="auto"/>
                            <w:bottom w:val="none" w:sz="0" w:space="0" w:color="auto"/>
                            <w:right w:val="none" w:sz="0" w:space="0" w:color="auto"/>
                          </w:divBdr>
                          <w:divsChild>
                            <w:div w:id="1458840908">
                              <w:marLeft w:val="0"/>
                              <w:marRight w:val="0"/>
                              <w:marTop w:val="0"/>
                              <w:marBottom w:val="0"/>
                              <w:divBdr>
                                <w:top w:val="none" w:sz="0" w:space="0" w:color="auto"/>
                                <w:left w:val="none" w:sz="0" w:space="0" w:color="auto"/>
                                <w:bottom w:val="none" w:sz="0" w:space="0" w:color="auto"/>
                                <w:right w:val="none" w:sz="0" w:space="0" w:color="auto"/>
                              </w:divBdr>
                            </w:div>
                          </w:divsChild>
                        </w:div>
                        <w:div w:id="430667502">
                          <w:marLeft w:val="0"/>
                          <w:marRight w:val="0"/>
                          <w:marTop w:val="0"/>
                          <w:marBottom w:val="0"/>
                          <w:divBdr>
                            <w:top w:val="none" w:sz="0" w:space="0" w:color="auto"/>
                            <w:left w:val="none" w:sz="0" w:space="0" w:color="auto"/>
                            <w:bottom w:val="none" w:sz="0" w:space="0" w:color="auto"/>
                            <w:right w:val="none" w:sz="0" w:space="0" w:color="auto"/>
                          </w:divBdr>
                          <w:divsChild>
                            <w:div w:id="128584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08226">
                  <w:marLeft w:val="0"/>
                  <w:marRight w:val="0"/>
                  <w:marTop w:val="0"/>
                  <w:marBottom w:val="0"/>
                  <w:divBdr>
                    <w:top w:val="none" w:sz="0" w:space="0" w:color="auto"/>
                    <w:left w:val="none" w:sz="0" w:space="0" w:color="auto"/>
                    <w:bottom w:val="none" w:sz="0" w:space="0" w:color="auto"/>
                    <w:right w:val="none" w:sz="0" w:space="0" w:color="auto"/>
                  </w:divBdr>
                  <w:divsChild>
                    <w:div w:id="389620962">
                      <w:marLeft w:val="0"/>
                      <w:marRight w:val="0"/>
                      <w:marTop w:val="0"/>
                      <w:marBottom w:val="0"/>
                      <w:divBdr>
                        <w:top w:val="none" w:sz="0" w:space="0" w:color="auto"/>
                        <w:left w:val="none" w:sz="0" w:space="0" w:color="auto"/>
                        <w:bottom w:val="none" w:sz="0" w:space="0" w:color="auto"/>
                        <w:right w:val="none" w:sz="0" w:space="0" w:color="auto"/>
                      </w:divBdr>
                      <w:divsChild>
                        <w:div w:id="1232736950">
                          <w:marLeft w:val="0"/>
                          <w:marRight w:val="0"/>
                          <w:marTop w:val="0"/>
                          <w:marBottom w:val="0"/>
                          <w:divBdr>
                            <w:top w:val="none" w:sz="0" w:space="0" w:color="auto"/>
                            <w:left w:val="none" w:sz="0" w:space="0" w:color="auto"/>
                            <w:bottom w:val="none" w:sz="0" w:space="0" w:color="auto"/>
                            <w:right w:val="none" w:sz="0" w:space="0" w:color="auto"/>
                          </w:divBdr>
                        </w:div>
                        <w:div w:id="1123692906">
                          <w:marLeft w:val="0"/>
                          <w:marRight w:val="0"/>
                          <w:marTop w:val="0"/>
                          <w:marBottom w:val="0"/>
                          <w:divBdr>
                            <w:top w:val="none" w:sz="0" w:space="0" w:color="auto"/>
                            <w:left w:val="none" w:sz="0" w:space="0" w:color="auto"/>
                            <w:bottom w:val="none" w:sz="0" w:space="0" w:color="auto"/>
                            <w:right w:val="none" w:sz="0" w:space="0" w:color="auto"/>
                          </w:divBdr>
                          <w:divsChild>
                            <w:div w:id="1191722684">
                              <w:marLeft w:val="0"/>
                              <w:marRight w:val="0"/>
                              <w:marTop w:val="0"/>
                              <w:marBottom w:val="0"/>
                              <w:divBdr>
                                <w:top w:val="none" w:sz="0" w:space="0" w:color="auto"/>
                                <w:left w:val="none" w:sz="0" w:space="0" w:color="auto"/>
                                <w:bottom w:val="none" w:sz="0" w:space="0" w:color="auto"/>
                                <w:right w:val="none" w:sz="0" w:space="0" w:color="auto"/>
                              </w:divBdr>
                              <w:divsChild>
                                <w:div w:id="591167081">
                                  <w:marLeft w:val="0"/>
                                  <w:marRight w:val="0"/>
                                  <w:marTop w:val="0"/>
                                  <w:marBottom w:val="0"/>
                                  <w:divBdr>
                                    <w:top w:val="none" w:sz="0" w:space="0" w:color="auto"/>
                                    <w:left w:val="none" w:sz="0" w:space="0" w:color="auto"/>
                                    <w:bottom w:val="none" w:sz="0" w:space="0" w:color="auto"/>
                                    <w:right w:val="none" w:sz="0" w:space="0" w:color="auto"/>
                                  </w:divBdr>
                                  <w:divsChild>
                                    <w:div w:id="1367562194">
                                      <w:marLeft w:val="0"/>
                                      <w:marRight w:val="0"/>
                                      <w:marTop w:val="120"/>
                                      <w:marBottom w:val="0"/>
                                      <w:divBdr>
                                        <w:top w:val="none" w:sz="0" w:space="0" w:color="auto"/>
                                        <w:left w:val="none" w:sz="0" w:space="0" w:color="auto"/>
                                        <w:bottom w:val="none" w:sz="0" w:space="0" w:color="auto"/>
                                        <w:right w:val="none" w:sz="0" w:space="0" w:color="auto"/>
                                      </w:divBdr>
                                    </w:div>
                                    <w:div w:id="775758171">
                                      <w:marLeft w:val="0"/>
                                      <w:marRight w:val="0"/>
                                      <w:marTop w:val="0"/>
                                      <w:marBottom w:val="0"/>
                                      <w:divBdr>
                                        <w:top w:val="none" w:sz="0" w:space="0" w:color="auto"/>
                                        <w:left w:val="none" w:sz="0" w:space="0" w:color="auto"/>
                                        <w:bottom w:val="none" w:sz="0" w:space="0" w:color="auto"/>
                                        <w:right w:val="none" w:sz="0" w:space="0" w:color="auto"/>
                                      </w:divBdr>
                                    </w:div>
                                  </w:divsChild>
                                </w:div>
                                <w:div w:id="1464344113">
                                  <w:marLeft w:val="0"/>
                                  <w:marRight w:val="0"/>
                                  <w:marTop w:val="0"/>
                                  <w:marBottom w:val="0"/>
                                  <w:divBdr>
                                    <w:top w:val="none" w:sz="0" w:space="0" w:color="auto"/>
                                    <w:left w:val="none" w:sz="0" w:space="0" w:color="auto"/>
                                    <w:bottom w:val="none" w:sz="0" w:space="0" w:color="auto"/>
                                    <w:right w:val="none" w:sz="0" w:space="0" w:color="auto"/>
                                  </w:divBdr>
                                  <w:divsChild>
                                    <w:div w:id="764152878">
                                      <w:marLeft w:val="0"/>
                                      <w:marRight w:val="0"/>
                                      <w:marTop w:val="120"/>
                                      <w:marBottom w:val="0"/>
                                      <w:divBdr>
                                        <w:top w:val="none" w:sz="0" w:space="0" w:color="auto"/>
                                        <w:left w:val="none" w:sz="0" w:space="0" w:color="auto"/>
                                        <w:bottom w:val="none" w:sz="0" w:space="0" w:color="auto"/>
                                        <w:right w:val="none" w:sz="0" w:space="0" w:color="auto"/>
                                      </w:divBdr>
                                    </w:div>
                                    <w:div w:id="1317220948">
                                      <w:marLeft w:val="0"/>
                                      <w:marRight w:val="0"/>
                                      <w:marTop w:val="0"/>
                                      <w:marBottom w:val="0"/>
                                      <w:divBdr>
                                        <w:top w:val="none" w:sz="0" w:space="0" w:color="auto"/>
                                        <w:left w:val="none" w:sz="0" w:space="0" w:color="auto"/>
                                        <w:bottom w:val="none" w:sz="0" w:space="0" w:color="auto"/>
                                        <w:right w:val="none" w:sz="0" w:space="0" w:color="auto"/>
                                      </w:divBdr>
                                    </w:div>
                                  </w:divsChild>
                                </w:div>
                                <w:div w:id="1354382529">
                                  <w:marLeft w:val="0"/>
                                  <w:marRight w:val="0"/>
                                  <w:marTop w:val="0"/>
                                  <w:marBottom w:val="0"/>
                                  <w:divBdr>
                                    <w:top w:val="none" w:sz="0" w:space="0" w:color="auto"/>
                                    <w:left w:val="none" w:sz="0" w:space="0" w:color="auto"/>
                                    <w:bottom w:val="none" w:sz="0" w:space="0" w:color="auto"/>
                                    <w:right w:val="none" w:sz="0" w:space="0" w:color="auto"/>
                                  </w:divBdr>
                                  <w:divsChild>
                                    <w:div w:id="1204749257">
                                      <w:marLeft w:val="0"/>
                                      <w:marRight w:val="0"/>
                                      <w:marTop w:val="120"/>
                                      <w:marBottom w:val="0"/>
                                      <w:divBdr>
                                        <w:top w:val="none" w:sz="0" w:space="0" w:color="auto"/>
                                        <w:left w:val="none" w:sz="0" w:space="0" w:color="auto"/>
                                        <w:bottom w:val="none" w:sz="0" w:space="0" w:color="auto"/>
                                        <w:right w:val="none" w:sz="0" w:space="0" w:color="auto"/>
                                      </w:divBdr>
                                    </w:div>
                                    <w:div w:id="113587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571400">
                          <w:marLeft w:val="0"/>
                          <w:marRight w:val="0"/>
                          <w:marTop w:val="0"/>
                          <w:marBottom w:val="0"/>
                          <w:divBdr>
                            <w:top w:val="none" w:sz="0" w:space="0" w:color="auto"/>
                            <w:left w:val="none" w:sz="0" w:space="0" w:color="auto"/>
                            <w:bottom w:val="none" w:sz="0" w:space="0" w:color="auto"/>
                            <w:right w:val="none" w:sz="0" w:space="0" w:color="auto"/>
                          </w:divBdr>
                          <w:divsChild>
                            <w:div w:id="1293554850">
                              <w:marLeft w:val="0"/>
                              <w:marRight w:val="0"/>
                              <w:marTop w:val="0"/>
                              <w:marBottom w:val="0"/>
                              <w:divBdr>
                                <w:top w:val="none" w:sz="0" w:space="0" w:color="auto"/>
                                <w:left w:val="none" w:sz="0" w:space="0" w:color="auto"/>
                                <w:bottom w:val="none" w:sz="0" w:space="0" w:color="auto"/>
                                <w:right w:val="none" w:sz="0" w:space="0" w:color="auto"/>
                              </w:divBdr>
                            </w:div>
                          </w:divsChild>
                        </w:div>
                        <w:div w:id="21592822">
                          <w:marLeft w:val="0"/>
                          <w:marRight w:val="0"/>
                          <w:marTop w:val="0"/>
                          <w:marBottom w:val="0"/>
                          <w:divBdr>
                            <w:top w:val="none" w:sz="0" w:space="0" w:color="auto"/>
                            <w:left w:val="none" w:sz="0" w:space="0" w:color="auto"/>
                            <w:bottom w:val="none" w:sz="0" w:space="0" w:color="auto"/>
                            <w:right w:val="none" w:sz="0" w:space="0" w:color="auto"/>
                          </w:divBdr>
                          <w:divsChild>
                            <w:div w:id="571427258">
                              <w:marLeft w:val="0"/>
                              <w:marRight w:val="0"/>
                              <w:marTop w:val="0"/>
                              <w:marBottom w:val="0"/>
                              <w:divBdr>
                                <w:top w:val="none" w:sz="0" w:space="0" w:color="auto"/>
                                <w:left w:val="none" w:sz="0" w:space="0" w:color="auto"/>
                                <w:bottom w:val="none" w:sz="0" w:space="0" w:color="auto"/>
                                <w:right w:val="none" w:sz="0" w:space="0" w:color="auto"/>
                              </w:divBdr>
                            </w:div>
                          </w:divsChild>
                        </w:div>
                        <w:div w:id="1455715086">
                          <w:marLeft w:val="0"/>
                          <w:marRight w:val="0"/>
                          <w:marTop w:val="0"/>
                          <w:marBottom w:val="0"/>
                          <w:divBdr>
                            <w:top w:val="none" w:sz="0" w:space="0" w:color="auto"/>
                            <w:left w:val="none" w:sz="0" w:space="0" w:color="auto"/>
                            <w:bottom w:val="none" w:sz="0" w:space="0" w:color="auto"/>
                            <w:right w:val="none" w:sz="0" w:space="0" w:color="auto"/>
                          </w:divBdr>
                          <w:divsChild>
                            <w:div w:id="13363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130834">
                      <w:marLeft w:val="0"/>
                      <w:marRight w:val="0"/>
                      <w:marTop w:val="0"/>
                      <w:marBottom w:val="0"/>
                      <w:divBdr>
                        <w:top w:val="none" w:sz="0" w:space="0" w:color="auto"/>
                        <w:left w:val="none" w:sz="0" w:space="0" w:color="auto"/>
                        <w:bottom w:val="none" w:sz="0" w:space="0" w:color="auto"/>
                        <w:right w:val="none" w:sz="0" w:space="0" w:color="auto"/>
                      </w:divBdr>
                      <w:divsChild>
                        <w:div w:id="32003044">
                          <w:marLeft w:val="0"/>
                          <w:marRight w:val="0"/>
                          <w:marTop w:val="0"/>
                          <w:marBottom w:val="0"/>
                          <w:divBdr>
                            <w:top w:val="none" w:sz="0" w:space="0" w:color="auto"/>
                            <w:left w:val="none" w:sz="0" w:space="0" w:color="auto"/>
                            <w:bottom w:val="none" w:sz="0" w:space="0" w:color="auto"/>
                            <w:right w:val="none" w:sz="0" w:space="0" w:color="auto"/>
                          </w:divBdr>
                        </w:div>
                        <w:div w:id="2053731262">
                          <w:marLeft w:val="0"/>
                          <w:marRight w:val="0"/>
                          <w:marTop w:val="0"/>
                          <w:marBottom w:val="0"/>
                          <w:divBdr>
                            <w:top w:val="none" w:sz="0" w:space="0" w:color="auto"/>
                            <w:left w:val="none" w:sz="0" w:space="0" w:color="auto"/>
                            <w:bottom w:val="none" w:sz="0" w:space="0" w:color="auto"/>
                            <w:right w:val="none" w:sz="0" w:space="0" w:color="auto"/>
                          </w:divBdr>
                          <w:divsChild>
                            <w:div w:id="1709799385">
                              <w:marLeft w:val="0"/>
                              <w:marRight w:val="0"/>
                              <w:marTop w:val="0"/>
                              <w:marBottom w:val="0"/>
                              <w:divBdr>
                                <w:top w:val="none" w:sz="0" w:space="0" w:color="auto"/>
                                <w:left w:val="none" w:sz="0" w:space="0" w:color="auto"/>
                                <w:bottom w:val="none" w:sz="0" w:space="0" w:color="auto"/>
                                <w:right w:val="none" w:sz="0" w:space="0" w:color="auto"/>
                              </w:divBdr>
                            </w:div>
                          </w:divsChild>
                        </w:div>
                        <w:div w:id="1029334844">
                          <w:marLeft w:val="0"/>
                          <w:marRight w:val="0"/>
                          <w:marTop w:val="0"/>
                          <w:marBottom w:val="0"/>
                          <w:divBdr>
                            <w:top w:val="none" w:sz="0" w:space="0" w:color="auto"/>
                            <w:left w:val="none" w:sz="0" w:space="0" w:color="auto"/>
                            <w:bottom w:val="none" w:sz="0" w:space="0" w:color="auto"/>
                            <w:right w:val="none" w:sz="0" w:space="0" w:color="auto"/>
                          </w:divBdr>
                          <w:divsChild>
                            <w:div w:id="763919487">
                              <w:marLeft w:val="0"/>
                              <w:marRight w:val="0"/>
                              <w:marTop w:val="0"/>
                              <w:marBottom w:val="0"/>
                              <w:divBdr>
                                <w:top w:val="none" w:sz="0" w:space="0" w:color="auto"/>
                                <w:left w:val="none" w:sz="0" w:space="0" w:color="auto"/>
                                <w:bottom w:val="none" w:sz="0" w:space="0" w:color="auto"/>
                                <w:right w:val="none" w:sz="0" w:space="0" w:color="auto"/>
                              </w:divBdr>
                              <w:divsChild>
                                <w:div w:id="1921478054">
                                  <w:marLeft w:val="0"/>
                                  <w:marRight w:val="0"/>
                                  <w:marTop w:val="0"/>
                                  <w:marBottom w:val="0"/>
                                  <w:divBdr>
                                    <w:top w:val="none" w:sz="0" w:space="0" w:color="auto"/>
                                    <w:left w:val="none" w:sz="0" w:space="0" w:color="auto"/>
                                    <w:bottom w:val="none" w:sz="0" w:space="0" w:color="auto"/>
                                    <w:right w:val="none" w:sz="0" w:space="0" w:color="auto"/>
                                  </w:divBdr>
                                  <w:divsChild>
                                    <w:div w:id="1850364488">
                                      <w:marLeft w:val="0"/>
                                      <w:marRight w:val="0"/>
                                      <w:marTop w:val="120"/>
                                      <w:marBottom w:val="0"/>
                                      <w:divBdr>
                                        <w:top w:val="none" w:sz="0" w:space="0" w:color="auto"/>
                                        <w:left w:val="none" w:sz="0" w:space="0" w:color="auto"/>
                                        <w:bottom w:val="none" w:sz="0" w:space="0" w:color="auto"/>
                                        <w:right w:val="none" w:sz="0" w:space="0" w:color="auto"/>
                                      </w:divBdr>
                                    </w:div>
                                    <w:div w:id="976643425">
                                      <w:marLeft w:val="0"/>
                                      <w:marRight w:val="0"/>
                                      <w:marTop w:val="0"/>
                                      <w:marBottom w:val="0"/>
                                      <w:divBdr>
                                        <w:top w:val="none" w:sz="0" w:space="0" w:color="auto"/>
                                        <w:left w:val="none" w:sz="0" w:space="0" w:color="auto"/>
                                        <w:bottom w:val="none" w:sz="0" w:space="0" w:color="auto"/>
                                        <w:right w:val="none" w:sz="0" w:space="0" w:color="auto"/>
                                      </w:divBdr>
                                    </w:div>
                                  </w:divsChild>
                                </w:div>
                                <w:div w:id="1959482281">
                                  <w:marLeft w:val="0"/>
                                  <w:marRight w:val="0"/>
                                  <w:marTop w:val="0"/>
                                  <w:marBottom w:val="0"/>
                                  <w:divBdr>
                                    <w:top w:val="none" w:sz="0" w:space="0" w:color="auto"/>
                                    <w:left w:val="none" w:sz="0" w:space="0" w:color="auto"/>
                                    <w:bottom w:val="none" w:sz="0" w:space="0" w:color="auto"/>
                                    <w:right w:val="none" w:sz="0" w:space="0" w:color="auto"/>
                                  </w:divBdr>
                                  <w:divsChild>
                                    <w:div w:id="334066793">
                                      <w:marLeft w:val="0"/>
                                      <w:marRight w:val="0"/>
                                      <w:marTop w:val="120"/>
                                      <w:marBottom w:val="0"/>
                                      <w:divBdr>
                                        <w:top w:val="none" w:sz="0" w:space="0" w:color="auto"/>
                                        <w:left w:val="none" w:sz="0" w:space="0" w:color="auto"/>
                                        <w:bottom w:val="none" w:sz="0" w:space="0" w:color="auto"/>
                                        <w:right w:val="none" w:sz="0" w:space="0" w:color="auto"/>
                                      </w:divBdr>
                                    </w:div>
                                    <w:div w:id="208583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406270">
                          <w:marLeft w:val="0"/>
                          <w:marRight w:val="0"/>
                          <w:marTop w:val="0"/>
                          <w:marBottom w:val="0"/>
                          <w:divBdr>
                            <w:top w:val="none" w:sz="0" w:space="0" w:color="auto"/>
                            <w:left w:val="none" w:sz="0" w:space="0" w:color="auto"/>
                            <w:bottom w:val="none" w:sz="0" w:space="0" w:color="auto"/>
                            <w:right w:val="none" w:sz="0" w:space="0" w:color="auto"/>
                          </w:divBdr>
                          <w:divsChild>
                            <w:div w:id="175578897">
                              <w:marLeft w:val="0"/>
                              <w:marRight w:val="0"/>
                              <w:marTop w:val="0"/>
                              <w:marBottom w:val="0"/>
                              <w:divBdr>
                                <w:top w:val="none" w:sz="0" w:space="0" w:color="auto"/>
                                <w:left w:val="none" w:sz="0" w:space="0" w:color="auto"/>
                                <w:bottom w:val="none" w:sz="0" w:space="0" w:color="auto"/>
                                <w:right w:val="none" w:sz="0" w:space="0" w:color="auto"/>
                              </w:divBdr>
                            </w:div>
                          </w:divsChild>
                        </w:div>
                        <w:div w:id="227306052">
                          <w:marLeft w:val="0"/>
                          <w:marRight w:val="0"/>
                          <w:marTop w:val="0"/>
                          <w:marBottom w:val="0"/>
                          <w:divBdr>
                            <w:top w:val="none" w:sz="0" w:space="0" w:color="auto"/>
                            <w:left w:val="none" w:sz="0" w:space="0" w:color="auto"/>
                            <w:bottom w:val="none" w:sz="0" w:space="0" w:color="auto"/>
                            <w:right w:val="none" w:sz="0" w:space="0" w:color="auto"/>
                          </w:divBdr>
                          <w:divsChild>
                            <w:div w:id="786896251">
                              <w:marLeft w:val="0"/>
                              <w:marRight w:val="0"/>
                              <w:marTop w:val="0"/>
                              <w:marBottom w:val="0"/>
                              <w:divBdr>
                                <w:top w:val="none" w:sz="0" w:space="0" w:color="auto"/>
                                <w:left w:val="none" w:sz="0" w:space="0" w:color="auto"/>
                                <w:bottom w:val="none" w:sz="0" w:space="0" w:color="auto"/>
                                <w:right w:val="none" w:sz="0" w:space="0" w:color="auto"/>
                              </w:divBdr>
                              <w:divsChild>
                                <w:div w:id="2035886100">
                                  <w:marLeft w:val="0"/>
                                  <w:marRight w:val="0"/>
                                  <w:marTop w:val="0"/>
                                  <w:marBottom w:val="0"/>
                                  <w:divBdr>
                                    <w:top w:val="none" w:sz="0" w:space="0" w:color="auto"/>
                                    <w:left w:val="none" w:sz="0" w:space="0" w:color="auto"/>
                                    <w:bottom w:val="none" w:sz="0" w:space="0" w:color="auto"/>
                                    <w:right w:val="none" w:sz="0" w:space="0" w:color="auto"/>
                                  </w:divBdr>
                                  <w:divsChild>
                                    <w:div w:id="762380385">
                                      <w:marLeft w:val="0"/>
                                      <w:marRight w:val="0"/>
                                      <w:marTop w:val="120"/>
                                      <w:marBottom w:val="0"/>
                                      <w:divBdr>
                                        <w:top w:val="none" w:sz="0" w:space="0" w:color="auto"/>
                                        <w:left w:val="none" w:sz="0" w:space="0" w:color="auto"/>
                                        <w:bottom w:val="none" w:sz="0" w:space="0" w:color="auto"/>
                                        <w:right w:val="none" w:sz="0" w:space="0" w:color="auto"/>
                                      </w:divBdr>
                                    </w:div>
                                    <w:div w:id="1369140318">
                                      <w:marLeft w:val="0"/>
                                      <w:marRight w:val="0"/>
                                      <w:marTop w:val="0"/>
                                      <w:marBottom w:val="0"/>
                                      <w:divBdr>
                                        <w:top w:val="none" w:sz="0" w:space="0" w:color="auto"/>
                                        <w:left w:val="none" w:sz="0" w:space="0" w:color="auto"/>
                                        <w:bottom w:val="none" w:sz="0" w:space="0" w:color="auto"/>
                                        <w:right w:val="none" w:sz="0" w:space="0" w:color="auto"/>
                                      </w:divBdr>
                                      <w:divsChild>
                                        <w:div w:id="745766148">
                                          <w:marLeft w:val="0"/>
                                          <w:marRight w:val="0"/>
                                          <w:marTop w:val="0"/>
                                          <w:marBottom w:val="0"/>
                                          <w:divBdr>
                                            <w:top w:val="none" w:sz="0" w:space="0" w:color="auto"/>
                                            <w:left w:val="none" w:sz="0" w:space="0" w:color="auto"/>
                                            <w:bottom w:val="none" w:sz="0" w:space="0" w:color="auto"/>
                                            <w:right w:val="none" w:sz="0" w:space="0" w:color="auto"/>
                                          </w:divBdr>
                                          <w:divsChild>
                                            <w:div w:id="605775718">
                                              <w:marLeft w:val="0"/>
                                              <w:marRight w:val="0"/>
                                              <w:marTop w:val="120"/>
                                              <w:marBottom w:val="0"/>
                                              <w:divBdr>
                                                <w:top w:val="none" w:sz="0" w:space="0" w:color="auto"/>
                                                <w:left w:val="none" w:sz="0" w:space="0" w:color="auto"/>
                                                <w:bottom w:val="none" w:sz="0" w:space="0" w:color="auto"/>
                                                <w:right w:val="none" w:sz="0" w:space="0" w:color="auto"/>
                                              </w:divBdr>
                                            </w:div>
                                            <w:div w:id="1797407169">
                                              <w:marLeft w:val="0"/>
                                              <w:marRight w:val="0"/>
                                              <w:marTop w:val="0"/>
                                              <w:marBottom w:val="0"/>
                                              <w:divBdr>
                                                <w:top w:val="none" w:sz="0" w:space="0" w:color="auto"/>
                                                <w:left w:val="none" w:sz="0" w:space="0" w:color="auto"/>
                                                <w:bottom w:val="none" w:sz="0" w:space="0" w:color="auto"/>
                                                <w:right w:val="none" w:sz="0" w:space="0" w:color="auto"/>
                                              </w:divBdr>
                                            </w:div>
                                          </w:divsChild>
                                        </w:div>
                                        <w:div w:id="1668941026">
                                          <w:marLeft w:val="0"/>
                                          <w:marRight w:val="0"/>
                                          <w:marTop w:val="0"/>
                                          <w:marBottom w:val="0"/>
                                          <w:divBdr>
                                            <w:top w:val="none" w:sz="0" w:space="0" w:color="auto"/>
                                            <w:left w:val="none" w:sz="0" w:space="0" w:color="auto"/>
                                            <w:bottom w:val="none" w:sz="0" w:space="0" w:color="auto"/>
                                            <w:right w:val="none" w:sz="0" w:space="0" w:color="auto"/>
                                          </w:divBdr>
                                          <w:divsChild>
                                            <w:div w:id="738678477">
                                              <w:marLeft w:val="0"/>
                                              <w:marRight w:val="0"/>
                                              <w:marTop w:val="120"/>
                                              <w:marBottom w:val="0"/>
                                              <w:divBdr>
                                                <w:top w:val="none" w:sz="0" w:space="0" w:color="auto"/>
                                                <w:left w:val="none" w:sz="0" w:space="0" w:color="auto"/>
                                                <w:bottom w:val="none" w:sz="0" w:space="0" w:color="auto"/>
                                                <w:right w:val="none" w:sz="0" w:space="0" w:color="auto"/>
                                              </w:divBdr>
                                            </w:div>
                                            <w:div w:id="49264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661354">
                                  <w:marLeft w:val="0"/>
                                  <w:marRight w:val="0"/>
                                  <w:marTop w:val="0"/>
                                  <w:marBottom w:val="0"/>
                                  <w:divBdr>
                                    <w:top w:val="none" w:sz="0" w:space="0" w:color="auto"/>
                                    <w:left w:val="none" w:sz="0" w:space="0" w:color="auto"/>
                                    <w:bottom w:val="none" w:sz="0" w:space="0" w:color="auto"/>
                                    <w:right w:val="none" w:sz="0" w:space="0" w:color="auto"/>
                                  </w:divBdr>
                                  <w:divsChild>
                                    <w:div w:id="213659305">
                                      <w:marLeft w:val="0"/>
                                      <w:marRight w:val="0"/>
                                      <w:marTop w:val="120"/>
                                      <w:marBottom w:val="0"/>
                                      <w:divBdr>
                                        <w:top w:val="none" w:sz="0" w:space="0" w:color="auto"/>
                                        <w:left w:val="none" w:sz="0" w:space="0" w:color="auto"/>
                                        <w:bottom w:val="none" w:sz="0" w:space="0" w:color="auto"/>
                                        <w:right w:val="none" w:sz="0" w:space="0" w:color="auto"/>
                                      </w:divBdr>
                                    </w:div>
                                    <w:div w:id="758208956">
                                      <w:marLeft w:val="0"/>
                                      <w:marRight w:val="0"/>
                                      <w:marTop w:val="0"/>
                                      <w:marBottom w:val="0"/>
                                      <w:divBdr>
                                        <w:top w:val="none" w:sz="0" w:space="0" w:color="auto"/>
                                        <w:left w:val="none" w:sz="0" w:space="0" w:color="auto"/>
                                        <w:bottom w:val="none" w:sz="0" w:space="0" w:color="auto"/>
                                        <w:right w:val="none" w:sz="0" w:space="0" w:color="auto"/>
                                      </w:divBdr>
                                    </w:div>
                                  </w:divsChild>
                                </w:div>
                                <w:div w:id="781724677">
                                  <w:marLeft w:val="0"/>
                                  <w:marRight w:val="0"/>
                                  <w:marTop w:val="0"/>
                                  <w:marBottom w:val="0"/>
                                  <w:divBdr>
                                    <w:top w:val="none" w:sz="0" w:space="0" w:color="auto"/>
                                    <w:left w:val="none" w:sz="0" w:space="0" w:color="auto"/>
                                    <w:bottom w:val="none" w:sz="0" w:space="0" w:color="auto"/>
                                    <w:right w:val="none" w:sz="0" w:space="0" w:color="auto"/>
                                  </w:divBdr>
                                  <w:divsChild>
                                    <w:div w:id="125664126">
                                      <w:marLeft w:val="0"/>
                                      <w:marRight w:val="0"/>
                                      <w:marTop w:val="120"/>
                                      <w:marBottom w:val="0"/>
                                      <w:divBdr>
                                        <w:top w:val="none" w:sz="0" w:space="0" w:color="auto"/>
                                        <w:left w:val="none" w:sz="0" w:space="0" w:color="auto"/>
                                        <w:bottom w:val="none" w:sz="0" w:space="0" w:color="auto"/>
                                        <w:right w:val="none" w:sz="0" w:space="0" w:color="auto"/>
                                      </w:divBdr>
                                    </w:div>
                                    <w:div w:id="1270774313">
                                      <w:marLeft w:val="0"/>
                                      <w:marRight w:val="0"/>
                                      <w:marTop w:val="0"/>
                                      <w:marBottom w:val="0"/>
                                      <w:divBdr>
                                        <w:top w:val="none" w:sz="0" w:space="0" w:color="auto"/>
                                        <w:left w:val="none" w:sz="0" w:space="0" w:color="auto"/>
                                        <w:bottom w:val="none" w:sz="0" w:space="0" w:color="auto"/>
                                        <w:right w:val="none" w:sz="0" w:space="0" w:color="auto"/>
                                      </w:divBdr>
                                    </w:div>
                                  </w:divsChild>
                                </w:div>
                                <w:div w:id="2118210997">
                                  <w:marLeft w:val="0"/>
                                  <w:marRight w:val="0"/>
                                  <w:marTop w:val="0"/>
                                  <w:marBottom w:val="0"/>
                                  <w:divBdr>
                                    <w:top w:val="none" w:sz="0" w:space="0" w:color="auto"/>
                                    <w:left w:val="none" w:sz="0" w:space="0" w:color="auto"/>
                                    <w:bottom w:val="none" w:sz="0" w:space="0" w:color="auto"/>
                                    <w:right w:val="none" w:sz="0" w:space="0" w:color="auto"/>
                                  </w:divBdr>
                                  <w:divsChild>
                                    <w:div w:id="1071389935">
                                      <w:marLeft w:val="0"/>
                                      <w:marRight w:val="0"/>
                                      <w:marTop w:val="120"/>
                                      <w:marBottom w:val="0"/>
                                      <w:divBdr>
                                        <w:top w:val="none" w:sz="0" w:space="0" w:color="auto"/>
                                        <w:left w:val="none" w:sz="0" w:space="0" w:color="auto"/>
                                        <w:bottom w:val="none" w:sz="0" w:space="0" w:color="auto"/>
                                        <w:right w:val="none" w:sz="0" w:space="0" w:color="auto"/>
                                      </w:divBdr>
                                    </w:div>
                                    <w:div w:id="14143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603741">
                          <w:marLeft w:val="0"/>
                          <w:marRight w:val="0"/>
                          <w:marTop w:val="0"/>
                          <w:marBottom w:val="0"/>
                          <w:divBdr>
                            <w:top w:val="none" w:sz="0" w:space="0" w:color="auto"/>
                            <w:left w:val="none" w:sz="0" w:space="0" w:color="auto"/>
                            <w:bottom w:val="none" w:sz="0" w:space="0" w:color="auto"/>
                            <w:right w:val="none" w:sz="0" w:space="0" w:color="auto"/>
                          </w:divBdr>
                          <w:divsChild>
                            <w:div w:id="1638493322">
                              <w:marLeft w:val="0"/>
                              <w:marRight w:val="0"/>
                              <w:marTop w:val="0"/>
                              <w:marBottom w:val="0"/>
                              <w:divBdr>
                                <w:top w:val="none" w:sz="0" w:space="0" w:color="auto"/>
                                <w:left w:val="none" w:sz="0" w:space="0" w:color="auto"/>
                                <w:bottom w:val="none" w:sz="0" w:space="0" w:color="auto"/>
                                <w:right w:val="none" w:sz="0" w:space="0" w:color="auto"/>
                              </w:divBdr>
                            </w:div>
                          </w:divsChild>
                        </w:div>
                        <w:div w:id="497768292">
                          <w:marLeft w:val="0"/>
                          <w:marRight w:val="0"/>
                          <w:marTop w:val="0"/>
                          <w:marBottom w:val="0"/>
                          <w:divBdr>
                            <w:top w:val="none" w:sz="0" w:space="0" w:color="auto"/>
                            <w:left w:val="none" w:sz="0" w:space="0" w:color="auto"/>
                            <w:bottom w:val="none" w:sz="0" w:space="0" w:color="auto"/>
                            <w:right w:val="none" w:sz="0" w:space="0" w:color="auto"/>
                          </w:divBdr>
                          <w:divsChild>
                            <w:div w:id="13507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449436">
                      <w:marLeft w:val="0"/>
                      <w:marRight w:val="0"/>
                      <w:marTop w:val="0"/>
                      <w:marBottom w:val="0"/>
                      <w:divBdr>
                        <w:top w:val="none" w:sz="0" w:space="0" w:color="auto"/>
                        <w:left w:val="none" w:sz="0" w:space="0" w:color="auto"/>
                        <w:bottom w:val="none" w:sz="0" w:space="0" w:color="auto"/>
                        <w:right w:val="none" w:sz="0" w:space="0" w:color="auto"/>
                      </w:divBdr>
                      <w:divsChild>
                        <w:div w:id="1094744967">
                          <w:marLeft w:val="0"/>
                          <w:marRight w:val="0"/>
                          <w:marTop w:val="0"/>
                          <w:marBottom w:val="0"/>
                          <w:divBdr>
                            <w:top w:val="none" w:sz="0" w:space="0" w:color="auto"/>
                            <w:left w:val="none" w:sz="0" w:space="0" w:color="auto"/>
                            <w:bottom w:val="none" w:sz="0" w:space="0" w:color="auto"/>
                            <w:right w:val="none" w:sz="0" w:space="0" w:color="auto"/>
                          </w:divBdr>
                        </w:div>
                        <w:div w:id="751507369">
                          <w:marLeft w:val="0"/>
                          <w:marRight w:val="0"/>
                          <w:marTop w:val="0"/>
                          <w:marBottom w:val="0"/>
                          <w:divBdr>
                            <w:top w:val="none" w:sz="0" w:space="0" w:color="auto"/>
                            <w:left w:val="none" w:sz="0" w:space="0" w:color="auto"/>
                            <w:bottom w:val="none" w:sz="0" w:space="0" w:color="auto"/>
                            <w:right w:val="none" w:sz="0" w:space="0" w:color="auto"/>
                          </w:divBdr>
                          <w:divsChild>
                            <w:div w:id="224343999">
                              <w:marLeft w:val="0"/>
                              <w:marRight w:val="0"/>
                              <w:marTop w:val="120"/>
                              <w:marBottom w:val="0"/>
                              <w:divBdr>
                                <w:top w:val="none" w:sz="0" w:space="0" w:color="auto"/>
                                <w:left w:val="none" w:sz="0" w:space="0" w:color="auto"/>
                                <w:bottom w:val="none" w:sz="0" w:space="0" w:color="auto"/>
                                <w:right w:val="none" w:sz="0" w:space="0" w:color="auto"/>
                              </w:divBdr>
                            </w:div>
                            <w:div w:id="633605172">
                              <w:marLeft w:val="0"/>
                              <w:marRight w:val="0"/>
                              <w:marTop w:val="0"/>
                              <w:marBottom w:val="0"/>
                              <w:divBdr>
                                <w:top w:val="none" w:sz="0" w:space="0" w:color="auto"/>
                                <w:left w:val="none" w:sz="0" w:space="0" w:color="auto"/>
                                <w:bottom w:val="none" w:sz="0" w:space="0" w:color="auto"/>
                                <w:right w:val="none" w:sz="0" w:space="0" w:color="auto"/>
                              </w:divBdr>
                            </w:div>
                          </w:divsChild>
                        </w:div>
                        <w:div w:id="1179925659">
                          <w:marLeft w:val="0"/>
                          <w:marRight w:val="0"/>
                          <w:marTop w:val="0"/>
                          <w:marBottom w:val="0"/>
                          <w:divBdr>
                            <w:top w:val="none" w:sz="0" w:space="0" w:color="auto"/>
                            <w:left w:val="none" w:sz="0" w:space="0" w:color="auto"/>
                            <w:bottom w:val="none" w:sz="0" w:space="0" w:color="auto"/>
                            <w:right w:val="none" w:sz="0" w:space="0" w:color="auto"/>
                          </w:divBdr>
                          <w:divsChild>
                            <w:div w:id="966936608">
                              <w:marLeft w:val="0"/>
                              <w:marRight w:val="0"/>
                              <w:marTop w:val="120"/>
                              <w:marBottom w:val="0"/>
                              <w:divBdr>
                                <w:top w:val="none" w:sz="0" w:space="0" w:color="auto"/>
                                <w:left w:val="none" w:sz="0" w:space="0" w:color="auto"/>
                                <w:bottom w:val="none" w:sz="0" w:space="0" w:color="auto"/>
                                <w:right w:val="none" w:sz="0" w:space="0" w:color="auto"/>
                              </w:divBdr>
                            </w:div>
                            <w:div w:id="472915555">
                              <w:marLeft w:val="0"/>
                              <w:marRight w:val="0"/>
                              <w:marTop w:val="0"/>
                              <w:marBottom w:val="0"/>
                              <w:divBdr>
                                <w:top w:val="none" w:sz="0" w:space="0" w:color="auto"/>
                                <w:left w:val="none" w:sz="0" w:space="0" w:color="auto"/>
                                <w:bottom w:val="none" w:sz="0" w:space="0" w:color="auto"/>
                                <w:right w:val="none" w:sz="0" w:space="0" w:color="auto"/>
                              </w:divBdr>
                            </w:div>
                          </w:divsChild>
                        </w:div>
                        <w:div w:id="2066297995">
                          <w:marLeft w:val="0"/>
                          <w:marRight w:val="0"/>
                          <w:marTop w:val="0"/>
                          <w:marBottom w:val="0"/>
                          <w:divBdr>
                            <w:top w:val="none" w:sz="0" w:space="0" w:color="auto"/>
                            <w:left w:val="none" w:sz="0" w:space="0" w:color="auto"/>
                            <w:bottom w:val="none" w:sz="0" w:space="0" w:color="auto"/>
                            <w:right w:val="none" w:sz="0" w:space="0" w:color="auto"/>
                          </w:divBdr>
                          <w:divsChild>
                            <w:div w:id="806357474">
                              <w:marLeft w:val="0"/>
                              <w:marRight w:val="0"/>
                              <w:marTop w:val="120"/>
                              <w:marBottom w:val="0"/>
                              <w:divBdr>
                                <w:top w:val="none" w:sz="0" w:space="0" w:color="auto"/>
                                <w:left w:val="none" w:sz="0" w:space="0" w:color="auto"/>
                                <w:bottom w:val="none" w:sz="0" w:space="0" w:color="auto"/>
                                <w:right w:val="none" w:sz="0" w:space="0" w:color="auto"/>
                              </w:divBdr>
                            </w:div>
                            <w:div w:id="538125781">
                              <w:marLeft w:val="0"/>
                              <w:marRight w:val="0"/>
                              <w:marTop w:val="0"/>
                              <w:marBottom w:val="0"/>
                              <w:divBdr>
                                <w:top w:val="none" w:sz="0" w:space="0" w:color="auto"/>
                                <w:left w:val="none" w:sz="0" w:space="0" w:color="auto"/>
                                <w:bottom w:val="none" w:sz="0" w:space="0" w:color="auto"/>
                                <w:right w:val="none" w:sz="0" w:space="0" w:color="auto"/>
                              </w:divBdr>
                            </w:div>
                          </w:divsChild>
                        </w:div>
                        <w:div w:id="1037200631">
                          <w:marLeft w:val="0"/>
                          <w:marRight w:val="0"/>
                          <w:marTop w:val="0"/>
                          <w:marBottom w:val="0"/>
                          <w:divBdr>
                            <w:top w:val="none" w:sz="0" w:space="0" w:color="auto"/>
                            <w:left w:val="none" w:sz="0" w:space="0" w:color="auto"/>
                            <w:bottom w:val="none" w:sz="0" w:space="0" w:color="auto"/>
                            <w:right w:val="none" w:sz="0" w:space="0" w:color="auto"/>
                          </w:divBdr>
                          <w:divsChild>
                            <w:div w:id="1421608174">
                              <w:marLeft w:val="0"/>
                              <w:marRight w:val="0"/>
                              <w:marTop w:val="120"/>
                              <w:marBottom w:val="0"/>
                              <w:divBdr>
                                <w:top w:val="none" w:sz="0" w:space="0" w:color="auto"/>
                                <w:left w:val="none" w:sz="0" w:space="0" w:color="auto"/>
                                <w:bottom w:val="none" w:sz="0" w:space="0" w:color="auto"/>
                                <w:right w:val="none" w:sz="0" w:space="0" w:color="auto"/>
                              </w:divBdr>
                            </w:div>
                            <w:div w:id="848761372">
                              <w:marLeft w:val="0"/>
                              <w:marRight w:val="0"/>
                              <w:marTop w:val="0"/>
                              <w:marBottom w:val="0"/>
                              <w:divBdr>
                                <w:top w:val="none" w:sz="0" w:space="0" w:color="auto"/>
                                <w:left w:val="none" w:sz="0" w:space="0" w:color="auto"/>
                                <w:bottom w:val="none" w:sz="0" w:space="0" w:color="auto"/>
                                <w:right w:val="none" w:sz="0" w:space="0" w:color="auto"/>
                              </w:divBdr>
                            </w:div>
                          </w:divsChild>
                        </w:div>
                        <w:div w:id="842597382">
                          <w:marLeft w:val="0"/>
                          <w:marRight w:val="0"/>
                          <w:marTop w:val="0"/>
                          <w:marBottom w:val="0"/>
                          <w:divBdr>
                            <w:top w:val="none" w:sz="0" w:space="0" w:color="auto"/>
                            <w:left w:val="none" w:sz="0" w:space="0" w:color="auto"/>
                            <w:bottom w:val="none" w:sz="0" w:space="0" w:color="auto"/>
                            <w:right w:val="none" w:sz="0" w:space="0" w:color="auto"/>
                          </w:divBdr>
                          <w:divsChild>
                            <w:div w:id="1891570457">
                              <w:marLeft w:val="0"/>
                              <w:marRight w:val="0"/>
                              <w:marTop w:val="120"/>
                              <w:marBottom w:val="0"/>
                              <w:divBdr>
                                <w:top w:val="none" w:sz="0" w:space="0" w:color="auto"/>
                                <w:left w:val="none" w:sz="0" w:space="0" w:color="auto"/>
                                <w:bottom w:val="none" w:sz="0" w:space="0" w:color="auto"/>
                                <w:right w:val="none" w:sz="0" w:space="0" w:color="auto"/>
                              </w:divBdr>
                            </w:div>
                            <w:div w:id="61788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65076">
                      <w:marLeft w:val="0"/>
                      <w:marRight w:val="0"/>
                      <w:marTop w:val="0"/>
                      <w:marBottom w:val="0"/>
                      <w:divBdr>
                        <w:top w:val="none" w:sz="0" w:space="0" w:color="auto"/>
                        <w:left w:val="none" w:sz="0" w:space="0" w:color="auto"/>
                        <w:bottom w:val="none" w:sz="0" w:space="0" w:color="auto"/>
                        <w:right w:val="none" w:sz="0" w:space="0" w:color="auto"/>
                      </w:divBdr>
                      <w:divsChild>
                        <w:div w:id="1942836066">
                          <w:marLeft w:val="0"/>
                          <w:marRight w:val="0"/>
                          <w:marTop w:val="0"/>
                          <w:marBottom w:val="0"/>
                          <w:divBdr>
                            <w:top w:val="none" w:sz="0" w:space="0" w:color="auto"/>
                            <w:left w:val="none" w:sz="0" w:space="0" w:color="auto"/>
                            <w:bottom w:val="none" w:sz="0" w:space="0" w:color="auto"/>
                            <w:right w:val="none" w:sz="0" w:space="0" w:color="auto"/>
                          </w:divBdr>
                        </w:div>
                        <w:div w:id="1431510560">
                          <w:marLeft w:val="0"/>
                          <w:marRight w:val="0"/>
                          <w:marTop w:val="0"/>
                          <w:marBottom w:val="0"/>
                          <w:divBdr>
                            <w:top w:val="none" w:sz="0" w:space="0" w:color="auto"/>
                            <w:left w:val="none" w:sz="0" w:space="0" w:color="auto"/>
                            <w:bottom w:val="none" w:sz="0" w:space="0" w:color="auto"/>
                            <w:right w:val="none" w:sz="0" w:space="0" w:color="auto"/>
                          </w:divBdr>
                          <w:divsChild>
                            <w:div w:id="1931353532">
                              <w:marLeft w:val="0"/>
                              <w:marRight w:val="0"/>
                              <w:marTop w:val="0"/>
                              <w:marBottom w:val="0"/>
                              <w:divBdr>
                                <w:top w:val="none" w:sz="0" w:space="0" w:color="auto"/>
                                <w:left w:val="none" w:sz="0" w:space="0" w:color="auto"/>
                                <w:bottom w:val="none" w:sz="0" w:space="0" w:color="auto"/>
                                <w:right w:val="none" w:sz="0" w:space="0" w:color="auto"/>
                              </w:divBdr>
                            </w:div>
                          </w:divsChild>
                        </w:div>
                        <w:div w:id="114062632">
                          <w:marLeft w:val="0"/>
                          <w:marRight w:val="0"/>
                          <w:marTop w:val="0"/>
                          <w:marBottom w:val="0"/>
                          <w:divBdr>
                            <w:top w:val="none" w:sz="0" w:space="0" w:color="auto"/>
                            <w:left w:val="none" w:sz="0" w:space="0" w:color="auto"/>
                            <w:bottom w:val="none" w:sz="0" w:space="0" w:color="auto"/>
                            <w:right w:val="none" w:sz="0" w:space="0" w:color="auto"/>
                          </w:divBdr>
                          <w:divsChild>
                            <w:div w:id="484007522">
                              <w:marLeft w:val="0"/>
                              <w:marRight w:val="0"/>
                              <w:marTop w:val="0"/>
                              <w:marBottom w:val="0"/>
                              <w:divBdr>
                                <w:top w:val="none" w:sz="0" w:space="0" w:color="auto"/>
                                <w:left w:val="none" w:sz="0" w:space="0" w:color="auto"/>
                                <w:bottom w:val="none" w:sz="0" w:space="0" w:color="auto"/>
                                <w:right w:val="none" w:sz="0" w:space="0" w:color="auto"/>
                              </w:divBdr>
                              <w:divsChild>
                                <w:div w:id="348987237">
                                  <w:marLeft w:val="0"/>
                                  <w:marRight w:val="0"/>
                                  <w:marTop w:val="0"/>
                                  <w:marBottom w:val="0"/>
                                  <w:divBdr>
                                    <w:top w:val="none" w:sz="0" w:space="0" w:color="auto"/>
                                    <w:left w:val="none" w:sz="0" w:space="0" w:color="auto"/>
                                    <w:bottom w:val="none" w:sz="0" w:space="0" w:color="auto"/>
                                    <w:right w:val="none" w:sz="0" w:space="0" w:color="auto"/>
                                  </w:divBdr>
                                  <w:divsChild>
                                    <w:div w:id="931667105">
                                      <w:marLeft w:val="0"/>
                                      <w:marRight w:val="0"/>
                                      <w:marTop w:val="120"/>
                                      <w:marBottom w:val="0"/>
                                      <w:divBdr>
                                        <w:top w:val="none" w:sz="0" w:space="0" w:color="auto"/>
                                        <w:left w:val="none" w:sz="0" w:space="0" w:color="auto"/>
                                        <w:bottom w:val="none" w:sz="0" w:space="0" w:color="auto"/>
                                        <w:right w:val="none" w:sz="0" w:space="0" w:color="auto"/>
                                      </w:divBdr>
                                    </w:div>
                                    <w:div w:id="1417287742">
                                      <w:marLeft w:val="0"/>
                                      <w:marRight w:val="0"/>
                                      <w:marTop w:val="0"/>
                                      <w:marBottom w:val="0"/>
                                      <w:divBdr>
                                        <w:top w:val="none" w:sz="0" w:space="0" w:color="auto"/>
                                        <w:left w:val="none" w:sz="0" w:space="0" w:color="auto"/>
                                        <w:bottom w:val="none" w:sz="0" w:space="0" w:color="auto"/>
                                        <w:right w:val="none" w:sz="0" w:space="0" w:color="auto"/>
                                      </w:divBdr>
                                    </w:div>
                                  </w:divsChild>
                                </w:div>
                                <w:div w:id="248195358">
                                  <w:marLeft w:val="0"/>
                                  <w:marRight w:val="0"/>
                                  <w:marTop w:val="0"/>
                                  <w:marBottom w:val="0"/>
                                  <w:divBdr>
                                    <w:top w:val="none" w:sz="0" w:space="0" w:color="auto"/>
                                    <w:left w:val="none" w:sz="0" w:space="0" w:color="auto"/>
                                    <w:bottom w:val="none" w:sz="0" w:space="0" w:color="auto"/>
                                    <w:right w:val="none" w:sz="0" w:space="0" w:color="auto"/>
                                  </w:divBdr>
                                  <w:divsChild>
                                    <w:div w:id="73089835">
                                      <w:marLeft w:val="0"/>
                                      <w:marRight w:val="0"/>
                                      <w:marTop w:val="120"/>
                                      <w:marBottom w:val="0"/>
                                      <w:divBdr>
                                        <w:top w:val="none" w:sz="0" w:space="0" w:color="auto"/>
                                        <w:left w:val="none" w:sz="0" w:space="0" w:color="auto"/>
                                        <w:bottom w:val="none" w:sz="0" w:space="0" w:color="auto"/>
                                        <w:right w:val="none" w:sz="0" w:space="0" w:color="auto"/>
                                      </w:divBdr>
                                    </w:div>
                                    <w:div w:id="1865050917">
                                      <w:marLeft w:val="0"/>
                                      <w:marRight w:val="0"/>
                                      <w:marTop w:val="0"/>
                                      <w:marBottom w:val="0"/>
                                      <w:divBdr>
                                        <w:top w:val="none" w:sz="0" w:space="0" w:color="auto"/>
                                        <w:left w:val="none" w:sz="0" w:space="0" w:color="auto"/>
                                        <w:bottom w:val="none" w:sz="0" w:space="0" w:color="auto"/>
                                        <w:right w:val="none" w:sz="0" w:space="0" w:color="auto"/>
                                      </w:divBdr>
                                    </w:div>
                                  </w:divsChild>
                                </w:div>
                                <w:div w:id="1287078737">
                                  <w:marLeft w:val="0"/>
                                  <w:marRight w:val="0"/>
                                  <w:marTop w:val="0"/>
                                  <w:marBottom w:val="0"/>
                                  <w:divBdr>
                                    <w:top w:val="none" w:sz="0" w:space="0" w:color="auto"/>
                                    <w:left w:val="none" w:sz="0" w:space="0" w:color="auto"/>
                                    <w:bottom w:val="none" w:sz="0" w:space="0" w:color="auto"/>
                                    <w:right w:val="none" w:sz="0" w:space="0" w:color="auto"/>
                                  </w:divBdr>
                                  <w:divsChild>
                                    <w:div w:id="2106613940">
                                      <w:marLeft w:val="0"/>
                                      <w:marRight w:val="0"/>
                                      <w:marTop w:val="120"/>
                                      <w:marBottom w:val="0"/>
                                      <w:divBdr>
                                        <w:top w:val="none" w:sz="0" w:space="0" w:color="auto"/>
                                        <w:left w:val="none" w:sz="0" w:space="0" w:color="auto"/>
                                        <w:bottom w:val="none" w:sz="0" w:space="0" w:color="auto"/>
                                        <w:right w:val="none" w:sz="0" w:space="0" w:color="auto"/>
                                      </w:divBdr>
                                    </w:div>
                                    <w:div w:id="2639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322086">
                          <w:marLeft w:val="0"/>
                          <w:marRight w:val="0"/>
                          <w:marTop w:val="0"/>
                          <w:marBottom w:val="0"/>
                          <w:divBdr>
                            <w:top w:val="none" w:sz="0" w:space="0" w:color="auto"/>
                            <w:left w:val="none" w:sz="0" w:space="0" w:color="auto"/>
                            <w:bottom w:val="none" w:sz="0" w:space="0" w:color="auto"/>
                            <w:right w:val="none" w:sz="0" w:space="0" w:color="auto"/>
                          </w:divBdr>
                          <w:divsChild>
                            <w:div w:id="963273544">
                              <w:marLeft w:val="0"/>
                              <w:marRight w:val="0"/>
                              <w:marTop w:val="0"/>
                              <w:marBottom w:val="0"/>
                              <w:divBdr>
                                <w:top w:val="none" w:sz="0" w:space="0" w:color="auto"/>
                                <w:left w:val="none" w:sz="0" w:space="0" w:color="auto"/>
                                <w:bottom w:val="none" w:sz="0" w:space="0" w:color="auto"/>
                                <w:right w:val="none" w:sz="0" w:space="0" w:color="auto"/>
                              </w:divBdr>
                              <w:divsChild>
                                <w:div w:id="473722457">
                                  <w:marLeft w:val="0"/>
                                  <w:marRight w:val="0"/>
                                  <w:marTop w:val="0"/>
                                  <w:marBottom w:val="0"/>
                                  <w:divBdr>
                                    <w:top w:val="none" w:sz="0" w:space="0" w:color="auto"/>
                                    <w:left w:val="none" w:sz="0" w:space="0" w:color="auto"/>
                                    <w:bottom w:val="none" w:sz="0" w:space="0" w:color="auto"/>
                                    <w:right w:val="none" w:sz="0" w:space="0" w:color="auto"/>
                                  </w:divBdr>
                                  <w:divsChild>
                                    <w:div w:id="623463991">
                                      <w:marLeft w:val="0"/>
                                      <w:marRight w:val="0"/>
                                      <w:marTop w:val="120"/>
                                      <w:marBottom w:val="0"/>
                                      <w:divBdr>
                                        <w:top w:val="none" w:sz="0" w:space="0" w:color="auto"/>
                                        <w:left w:val="none" w:sz="0" w:space="0" w:color="auto"/>
                                        <w:bottom w:val="none" w:sz="0" w:space="0" w:color="auto"/>
                                        <w:right w:val="none" w:sz="0" w:space="0" w:color="auto"/>
                                      </w:divBdr>
                                    </w:div>
                                    <w:div w:id="1143549596">
                                      <w:marLeft w:val="0"/>
                                      <w:marRight w:val="0"/>
                                      <w:marTop w:val="0"/>
                                      <w:marBottom w:val="0"/>
                                      <w:divBdr>
                                        <w:top w:val="none" w:sz="0" w:space="0" w:color="auto"/>
                                        <w:left w:val="none" w:sz="0" w:space="0" w:color="auto"/>
                                        <w:bottom w:val="none" w:sz="0" w:space="0" w:color="auto"/>
                                        <w:right w:val="none" w:sz="0" w:space="0" w:color="auto"/>
                                      </w:divBdr>
                                    </w:div>
                                  </w:divsChild>
                                </w:div>
                                <w:div w:id="1013460783">
                                  <w:marLeft w:val="0"/>
                                  <w:marRight w:val="0"/>
                                  <w:marTop w:val="0"/>
                                  <w:marBottom w:val="0"/>
                                  <w:divBdr>
                                    <w:top w:val="none" w:sz="0" w:space="0" w:color="auto"/>
                                    <w:left w:val="none" w:sz="0" w:space="0" w:color="auto"/>
                                    <w:bottom w:val="none" w:sz="0" w:space="0" w:color="auto"/>
                                    <w:right w:val="none" w:sz="0" w:space="0" w:color="auto"/>
                                  </w:divBdr>
                                  <w:divsChild>
                                    <w:div w:id="2101833948">
                                      <w:marLeft w:val="0"/>
                                      <w:marRight w:val="0"/>
                                      <w:marTop w:val="120"/>
                                      <w:marBottom w:val="0"/>
                                      <w:divBdr>
                                        <w:top w:val="none" w:sz="0" w:space="0" w:color="auto"/>
                                        <w:left w:val="none" w:sz="0" w:space="0" w:color="auto"/>
                                        <w:bottom w:val="none" w:sz="0" w:space="0" w:color="auto"/>
                                        <w:right w:val="none" w:sz="0" w:space="0" w:color="auto"/>
                                      </w:divBdr>
                                    </w:div>
                                    <w:div w:id="11229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400065">
                      <w:marLeft w:val="0"/>
                      <w:marRight w:val="0"/>
                      <w:marTop w:val="0"/>
                      <w:marBottom w:val="0"/>
                      <w:divBdr>
                        <w:top w:val="none" w:sz="0" w:space="0" w:color="auto"/>
                        <w:left w:val="none" w:sz="0" w:space="0" w:color="auto"/>
                        <w:bottom w:val="none" w:sz="0" w:space="0" w:color="auto"/>
                        <w:right w:val="none" w:sz="0" w:space="0" w:color="auto"/>
                      </w:divBdr>
                      <w:divsChild>
                        <w:div w:id="1999186289">
                          <w:marLeft w:val="0"/>
                          <w:marRight w:val="0"/>
                          <w:marTop w:val="0"/>
                          <w:marBottom w:val="0"/>
                          <w:divBdr>
                            <w:top w:val="none" w:sz="0" w:space="0" w:color="auto"/>
                            <w:left w:val="none" w:sz="0" w:space="0" w:color="auto"/>
                            <w:bottom w:val="none" w:sz="0" w:space="0" w:color="auto"/>
                            <w:right w:val="none" w:sz="0" w:space="0" w:color="auto"/>
                          </w:divBdr>
                        </w:div>
                        <w:div w:id="1551113348">
                          <w:marLeft w:val="0"/>
                          <w:marRight w:val="0"/>
                          <w:marTop w:val="0"/>
                          <w:marBottom w:val="0"/>
                          <w:divBdr>
                            <w:top w:val="none" w:sz="0" w:space="0" w:color="auto"/>
                            <w:left w:val="none" w:sz="0" w:space="0" w:color="auto"/>
                            <w:bottom w:val="none" w:sz="0" w:space="0" w:color="auto"/>
                            <w:right w:val="none" w:sz="0" w:space="0" w:color="auto"/>
                          </w:divBdr>
                          <w:divsChild>
                            <w:div w:id="2043745817">
                              <w:marLeft w:val="0"/>
                              <w:marRight w:val="0"/>
                              <w:marTop w:val="0"/>
                              <w:marBottom w:val="0"/>
                              <w:divBdr>
                                <w:top w:val="none" w:sz="0" w:space="0" w:color="auto"/>
                                <w:left w:val="none" w:sz="0" w:space="0" w:color="auto"/>
                                <w:bottom w:val="none" w:sz="0" w:space="0" w:color="auto"/>
                                <w:right w:val="none" w:sz="0" w:space="0" w:color="auto"/>
                              </w:divBdr>
                            </w:div>
                          </w:divsChild>
                        </w:div>
                        <w:div w:id="833494605">
                          <w:marLeft w:val="0"/>
                          <w:marRight w:val="0"/>
                          <w:marTop w:val="0"/>
                          <w:marBottom w:val="0"/>
                          <w:divBdr>
                            <w:top w:val="none" w:sz="0" w:space="0" w:color="auto"/>
                            <w:left w:val="none" w:sz="0" w:space="0" w:color="auto"/>
                            <w:bottom w:val="none" w:sz="0" w:space="0" w:color="auto"/>
                            <w:right w:val="none" w:sz="0" w:space="0" w:color="auto"/>
                          </w:divBdr>
                          <w:divsChild>
                            <w:div w:id="1530026352">
                              <w:marLeft w:val="0"/>
                              <w:marRight w:val="0"/>
                              <w:marTop w:val="0"/>
                              <w:marBottom w:val="0"/>
                              <w:divBdr>
                                <w:top w:val="none" w:sz="0" w:space="0" w:color="auto"/>
                                <w:left w:val="none" w:sz="0" w:space="0" w:color="auto"/>
                                <w:bottom w:val="none" w:sz="0" w:space="0" w:color="auto"/>
                                <w:right w:val="none" w:sz="0" w:space="0" w:color="auto"/>
                              </w:divBdr>
                              <w:divsChild>
                                <w:div w:id="1001737944">
                                  <w:marLeft w:val="0"/>
                                  <w:marRight w:val="0"/>
                                  <w:marTop w:val="0"/>
                                  <w:marBottom w:val="0"/>
                                  <w:divBdr>
                                    <w:top w:val="none" w:sz="0" w:space="0" w:color="auto"/>
                                    <w:left w:val="none" w:sz="0" w:space="0" w:color="auto"/>
                                    <w:bottom w:val="none" w:sz="0" w:space="0" w:color="auto"/>
                                    <w:right w:val="none" w:sz="0" w:space="0" w:color="auto"/>
                                  </w:divBdr>
                                  <w:divsChild>
                                    <w:div w:id="1982732131">
                                      <w:marLeft w:val="0"/>
                                      <w:marRight w:val="0"/>
                                      <w:marTop w:val="120"/>
                                      <w:marBottom w:val="0"/>
                                      <w:divBdr>
                                        <w:top w:val="none" w:sz="0" w:space="0" w:color="auto"/>
                                        <w:left w:val="none" w:sz="0" w:space="0" w:color="auto"/>
                                        <w:bottom w:val="none" w:sz="0" w:space="0" w:color="auto"/>
                                        <w:right w:val="none" w:sz="0" w:space="0" w:color="auto"/>
                                      </w:divBdr>
                                    </w:div>
                                    <w:div w:id="934557318">
                                      <w:marLeft w:val="0"/>
                                      <w:marRight w:val="0"/>
                                      <w:marTop w:val="0"/>
                                      <w:marBottom w:val="0"/>
                                      <w:divBdr>
                                        <w:top w:val="none" w:sz="0" w:space="0" w:color="auto"/>
                                        <w:left w:val="none" w:sz="0" w:space="0" w:color="auto"/>
                                        <w:bottom w:val="none" w:sz="0" w:space="0" w:color="auto"/>
                                        <w:right w:val="none" w:sz="0" w:space="0" w:color="auto"/>
                                      </w:divBdr>
                                    </w:div>
                                  </w:divsChild>
                                </w:div>
                                <w:div w:id="1819570832">
                                  <w:marLeft w:val="0"/>
                                  <w:marRight w:val="0"/>
                                  <w:marTop w:val="0"/>
                                  <w:marBottom w:val="0"/>
                                  <w:divBdr>
                                    <w:top w:val="none" w:sz="0" w:space="0" w:color="auto"/>
                                    <w:left w:val="none" w:sz="0" w:space="0" w:color="auto"/>
                                    <w:bottom w:val="none" w:sz="0" w:space="0" w:color="auto"/>
                                    <w:right w:val="none" w:sz="0" w:space="0" w:color="auto"/>
                                  </w:divBdr>
                                  <w:divsChild>
                                    <w:div w:id="1294747421">
                                      <w:marLeft w:val="0"/>
                                      <w:marRight w:val="0"/>
                                      <w:marTop w:val="120"/>
                                      <w:marBottom w:val="0"/>
                                      <w:divBdr>
                                        <w:top w:val="none" w:sz="0" w:space="0" w:color="auto"/>
                                        <w:left w:val="none" w:sz="0" w:space="0" w:color="auto"/>
                                        <w:bottom w:val="none" w:sz="0" w:space="0" w:color="auto"/>
                                        <w:right w:val="none" w:sz="0" w:space="0" w:color="auto"/>
                                      </w:divBdr>
                                    </w:div>
                                    <w:div w:id="868376499">
                                      <w:marLeft w:val="0"/>
                                      <w:marRight w:val="0"/>
                                      <w:marTop w:val="0"/>
                                      <w:marBottom w:val="0"/>
                                      <w:divBdr>
                                        <w:top w:val="none" w:sz="0" w:space="0" w:color="auto"/>
                                        <w:left w:val="none" w:sz="0" w:space="0" w:color="auto"/>
                                        <w:bottom w:val="none" w:sz="0" w:space="0" w:color="auto"/>
                                        <w:right w:val="none" w:sz="0" w:space="0" w:color="auto"/>
                                      </w:divBdr>
                                    </w:div>
                                  </w:divsChild>
                                </w:div>
                                <w:div w:id="2081249875">
                                  <w:marLeft w:val="0"/>
                                  <w:marRight w:val="0"/>
                                  <w:marTop w:val="0"/>
                                  <w:marBottom w:val="0"/>
                                  <w:divBdr>
                                    <w:top w:val="none" w:sz="0" w:space="0" w:color="auto"/>
                                    <w:left w:val="none" w:sz="0" w:space="0" w:color="auto"/>
                                    <w:bottom w:val="none" w:sz="0" w:space="0" w:color="auto"/>
                                    <w:right w:val="none" w:sz="0" w:space="0" w:color="auto"/>
                                  </w:divBdr>
                                  <w:divsChild>
                                    <w:div w:id="496385881">
                                      <w:marLeft w:val="0"/>
                                      <w:marRight w:val="0"/>
                                      <w:marTop w:val="120"/>
                                      <w:marBottom w:val="0"/>
                                      <w:divBdr>
                                        <w:top w:val="none" w:sz="0" w:space="0" w:color="auto"/>
                                        <w:left w:val="none" w:sz="0" w:space="0" w:color="auto"/>
                                        <w:bottom w:val="none" w:sz="0" w:space="0" w:color="auto"/>
                                        <w:right w:val="none" w:sz="0" w:space="0" w:color="auto"/>
                                      </w:divBdr>
                                    </w:div>
                                    <w:div w:id="1632057891">
                                      <w:marLeft w:val="0"/>
                                      <w:marRight w:val="0"/>
                                      <w:marTop w:val="0"/>
                                      <w:marBottom w:val="0"/>
                                      <w:divBdr>
                                        <w:top w:val="none" w:sz="0" w:space="0" w:color="auto"/>
                                        <w:left w:val="none" w:sz="0" w:space="0" w:color="auto"/>
                                        <w:bottom w:val="none" w:sz="0" w:space="0" w:color="auto"/>
                                        <w:right w:val="none" w:sz="0" w:space="0" w:color="auto"/>
                                      </w:divBdr>
                                    </w:div>
                                  </w:divsChild>
                                </w:div>
                                <w:div w:id="1097753172">
                                  <w:marLeft w:val="0"/>
                                  <w:marRight w:val="0"/>
                                  <w:marTop w:val="0"/>
                                  <w:marBottom w:val="0"/>
                                  <w:divBdr>
                                    <w:top w:val="none" w:sz="0" w:space="0" w:color="auto"/>
                                    <w:left w:val="none" w:sz="0" w:space="0" w:color="auto"/>
                                    <w:bottom w:val="none" w:sz="0" w:space="0" w:color="auto"/>
                                    <w:right w:val="none" w:sz="0" w:space="0" w:color="auto"/>
                                  </w:divBdr>
                                  <w:divsChild>
                                    <w:div w:id="968392100">
                                      <w:marLeft w:val="0"/>
                                      <w:marRight w:val="0"/>
                                      <w:marTop w:val="120"/>
                                      <w:marBottom w:val="0"/>
                                      <w:divBdr>
                                        <w:top w:val="none" w:sz="0" w:space="0" w:color="auto"/>
                                        <w:left w:val="none" w:sz="0" w:space="0" w:color="auto"/>
                                        <w:bottom w:val="none" w:sz="0" w:space="0" w:color="auto"/>
                                        <w:right w:val="none" w:sz="0" w:space="0" w:color="auto"/>
                                      </w:divBdr>
                                    </w:div>
                                    <w:div w:id="71647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95332">
                          <w:marLeft w:val="0"/>
                          <w:marRight w:val="0"/>
                          <w:marTop w:val="0"/>
                          <w:marBottom w:val="0"/>
                          <w:divBdr>
                            <w:top w:val="none" w:sz="0" w:space="0" w:color="auto"/>
                            <w:left w:val="none" w:sz="0" w:space="0" w:color="auto"/>
                            <w:bottom w:val="none" w:sz="0" w:space="0" w:color="auto"/>
                            <w:right w:val="none" w:sz="0" w:space="0" w:color="auto"/>
                          </w:divBdr>
                          <w:divsChild>
                            <w:div w:id="1320427156">
                              <w:marLeft w:val="0"/>
                              <w:marRight w:val="0"/>
                              <w:marTop w:val="0"/>
                              <w:marBottom w:val="0"/>
                              <w:divBdr>
                                <w:top w:val="none" w:sz="0" w:space="0" w:color="auto"/>
                                <w:left w:val="none" w:sz="0" w:space="0" w:color="auto"/>
                                <w:bottom w:val="none" w:sz="0" w:space="0" w:color="auto"/>
                                <w:right w:val="none" w:sz="0" w:space="0" w:color="auto"/>
                              </w:divBdr>
                              <w:divsChild>
                                <w:div w:id="384331465">
                                  <w:marLeft w:val="0"/>
                                  <w:marRight w:val="0"/>
                                  <w:marTop w:val="0"/>
                                  <w:marBottom w:val="0"/>
                                  <w:divBdr>
                                    <w:top w:val="none" w:sz="0" w:space="0" w:color="auto"/>
                                    <w:left w:val="none" w:sz="0" w:space="0" w:color="auto"/>
                                    <w:bottom w:val="none" w:sz="0" w:space="0" w:color="auto"/>
                                    <w:right w:val="none" w:sz="0" w:space="0" w:color="auto"/>
                                  </w:divBdr>
                                  <w:divsChild>
                                    <w:div w:id="46538726">
                                      <w:marLeft w:val="0"/>
                                      <w:marRight w:val="0"/>
                                      <w:marTop w:val="120"/>
                                      <w:marBottom w:val="0"/>
                                      <w:divBdr>
                                        <w:top w:val="none" w:sz="0" w:space="0" w:color="auto"/>
                                        <w:left w:val="none" w:sz="0" w:space="0" w:color="auto"/>
                                        <w:bottom w:val="none" w:sz="0" w:space="0" w:color="auto"/>
                                        <w:right w:val="none" w:sz="0" w:space="0" w:color="auto"/>
                                      </w:divBdr>
                                    </w:div>
                                    <w:div w:id="1532063282">
                                      <w:marLeft w:val="0"/>
                                      <w:marRight w:val="0"/>
                                      <w:marTop w:val="0"/>
                                      <w:marBottom w:val="0"/>
                                      <w:divBdr>
                                        <w:top w:val="none" w:sz="0" w:space="0" w:color="auto"/>
                                        <w:left w:val="none" w:sz="0" w:space="0" w:color="auto"/>
                                        <w:bottom w:val="none" w:sz="0" w:space="0" w:color="auto"/>
                                        <w:right w:val="none" w:sz="0" w:space="0" w:color="auto"/>
                                      </w:divBdr>
                                    </w:div>
                                  </w:divsChild>
                                </w:div>
                                <w:div w:id="427701283">
                                  <w:marLeft w:val="0"/>
                                  <w:marRight w:val="0"/>
                                  <w:marTop w:val="0"/>
                                  <w:marBottom w:val="0"/>
                                  <w:divBdr>
                                    <w:top w:val="none" w:sz="0" w:space="0" w:color="auto"/>
                                    <w:left w:val="none" w:sz="0" w:space="0" w:color="auto"/>
                                    <w:bottom w:val="none" w:sz="0" w:space="0" w:color="auto"/>
                                    <w:right w:val="none" w:sz="0" w:space="0" w:color="auto"/>
                                  </w:divBdr>
                                  <w:divsChild>
                                    <w:div w:id="1188173839">
                                      <w:marLeft w:val="0"/>
                                      <w:marRight w:val="0"/>
                                      <w:marTop w:val="120"/>
                                      <w:marBottom w:val="0"/>
                                      <w:divBdr>
                                        <w:top w:val="none" w:sz="0" w:space="0" w:color="auto"/>
                                        <w:left w:val="none" w:sz="0" w:space="0" w:color="auto"/>
                                        <w:bottom w:val="none" w:sz="0" w:space="0" w:color="auto"/>
                                        <w:right w:val="none" w:sz="0" w:space="0" w:color="auto"/>
                                      </w:divBdr>
                                    </w:div>
                                    <w:div w:id="161773654">
                                      <w:marLeft w:val="0"/>
                                      <w:marRight w:val="0"/>
                                      <w:marTop w:val="0"/>
                                      <w:marBottom w:val="0"/>
                                      <w:divBdr>
                                        <w:top w:val="none" w:sz="0" w:space="0" w:color="auto"/>
                                        <w:left w:val="none" w:sz="0" w:space="0" w:color="auto"/>
                                        <w:bottom w:val="none" w:sz="0" w:space="0" w:color="auto"/>
                                        <w:right w:val="none" w:sz="0" w:space="0" w:color="auto"/>
                                      </w:divBdr>
                                    </w:div>
                                  </w:divsChild>
                                </w:div>
                                <w:div w:id="1682584372">
                                  <w:marLeft w:val="0"/>
                                  <w:marRight w:val="0"/>
                                  <w:marTop w:val="0"/>
                                  <w:marBottom w:val="0"/>
                                  <w:divBdr>
                                    <w:top w:val="none" w:sz="0" w:space="0" w:color="auto"/>
                                    <w:left w:val="none" w:sz="0" w:space="0" w:color="auto"/>
                                    <w:bottom w:val="none" w:sz="0" w:space="0" w:color="auto"/>
                                    <w:right w:val="none" w:sz="0" w:space="0" w:color="auto"/>
                                  </w:divBdr>
                                  <w:divsChild>
                                    <w:div w:id="1263994014">
                                      <w:marLeft w:val="0"/>
                                      <w:marRight w:val="0"/>
                                      <w:marTop w:val="120"/>
                                      <w:marBottom w:val="0"/>
                                      <w:divBdr>
                                        <w:top w:val="none" w:sz="0" w:space="0" w:color="auto"/>
                                        <w:left w:val="none" w:sz="0" w:space="0" w:color="auto"/>
                                        <w:bottom w:val="none" w:sz="0" w:space="0" w:color="auto"/>
                                        <w:right w:val="none" w:sz="0" w:space="0" w:color="auto"/>
                                      </w:divBdr>
                                    </w:div>
                                    <w:div w:id="963459779">
                                      <w:marLeft w:val="0"/>
                                      <w:marRight w:val="0"/>
                                      <w:marTop w:val="0"/>
                                      <w:marBottom w:val="0"/>
                                      <w:divBdr>
                                        <w:top w:val="none" w:sz="0" w:space="0" w:color="auto"/>
                                        <w:left w:val="none" w:sz="0" w:space="0" w:color="auto"/>
                                        <w:bottom w:val="none" w:sz="0" w:space="0" w:color="auto"/>
                                        <w:right w:val="none" w:sz="0" w:space="0" w:color="auto"/>
                                      </w:divBdr>
                                    </w:div>
                                  </w:divsChild>
                                </w:div>
                                <w:div w:id="1659725841">
                                  <w:marLeft w:val="0"/>
                                  <w:marRight w:val="0"/>
                                  <w:marTop w:val="0"/>
                                  <w:marBottom w:val="0"/>
                                  <w:divBdr>
                                    <w:top w:val="none" w:sz="0" w:space="0" w:color="auto"/>
                                    <w:left w:val="none" w:sz="0" w:space="0" w:color="auto"/>
                                    <w:bottom w:val="none" w:sz="0" w:space="0" w:color="auto"/>
                                    <w:right w:val="none" w:sz="0" w:space="0" w:color="auto"/>
                                  </w:divBdr>
                                  <w:divsChild>
                                    <w:div w:id="2058820123">
                                      <w:marLeft w:val="0"/>
                                      <w:marRight w:val="0"/>
                                      <w:marTop w:val="120"/>
                                      <w:marBottom w:val="0"/>
                                      <w:divBdr>
                                        <w:top w:val="none" w:sz="0" w:space="0" w:color="auto"/>
                                        <w:left w:val="none" w:sz="0" w:space="0" w:color="auto"/>
                                        <w:bottom w:val="none" w:sz="0" w:space="0" w:color="auto"/>
                                        <w:right w:val="none" w:sz="0" w:space="0" w:color="auto"/>
                                      </w:divBdr>
                                    </w:div>
                                    <w:div w:id="238907039">
                                      <w:marLeft w:val="0"/>
                                      <w:marRight w:val="0"/>
                                      <w:marTop w:val="0"/>
                                      <w:marBottom w:val="0"/>
                                      <w:divBdr>
                                        <w:top w:val="none" w:sz="0" w:space="0" w:color="auto"/>
                                        <w:left w:val="none" w:sz="0" w:space="0" w:color="auto"/>
                                        <w:bottom w:val="none" w:sz="0" w:space="0" w:color="auto"/>
                                        <w:right w:val="none" w:sz="0" w:space="0" w:color="auto"/>
                                      </w:divBdr>
                                    </w:div>
                                  </w:divsChild>
                                </w:div>
                                <w:div w:id="1487939182">
                                  <w:marLeft w:val="0"/>
                                  <w:marRight w:val="0"/>
                                  <w:marTop w:val="0"/>
                                  <w:marBottom w:val="0"/>
                                  <w:divBdr>
                                    <w:top w:val="none" w:sz="0" w:space="0" w:color="auto"/>
                                    <w:left w:val="none" w:sz="0" w:space="0" w:color="auto"/>
                                    <w:bottom w:val="none" w:sz="0" w:space="0" w:color="auto"/>
                                    <w:right w:val="none" w:sz="0" w:space="0" w:color="auto"/>
                                  </w:divBdr>
                                  <w:divsChild>
                                    <w:div w:id="2128547429">
                                      <w:marLeft w:val="0"/>
                                      <w:marRight w:val="0"/>
                                      <w:marTop w:val="120"/>
                                      <w:marBottom w:val="0"/>
                                      <w:divBdr>
                                        <w:top w:val="none" w:sz="0" w:space="0" w:color="auto"/>
                                        <w:left w:val="none" w:sz="0" w:space="0" w:color="auto"/>
                                        <w:bottom w:val="none" w:sz="0" w:space="0" w:color="auto"/>
                                        <w:right w:val="none" w:sz="0" w:space="0" w:color="auto"/>
                                      </w:divBdr>
                                    </w:div>
                                    <w:div w:id="101384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558682">
                          <w:marLeft w:val="0"/>
                          <w:marRight w:val="0"/>
                          <w:marTop w:val="0"/>
                          <w:marBottom w:val="0"/>
                          <w:divBdr>
                            <w:top w:val="none" w:sz="0" w:space="0" w:color="auto"/>
                            <w:left w:val="none" w:sz="0" w:space="0" w:color="auto"/>
                            <w:bottom w:val="none" w:sz="0" w:space="0" w:color="auto"/>
                            <w:right w:val="none" w:sz="0" w:space="0" w:color="auto"/>
                          </w:divBdr>
                          <w:divsChild>
                            <w:div w:id="1991983131">
                              <w:marLeft w:val="0"/>
                              <w:marRight w:val="0"/>
                              <w:marTop w:val="0"/>
                              <w:marBottom w:val="0"/>
                              <w:divBdr>
                                <w:top w:val="none" w:sz="0" w:space="0" w:color="auto"/>
                                <w:left w:val="none" w:sz="0" w:space="0" w:color="auto"/>
                                <w:bottom w:val="none" w:sz="0" w:space="0" w:color="auto"/>
                                <w:right w:val="none" w:sz="0" w:space="0" w:color="auto"/>
                              </w:divBdr>
                            </w:div>
                          </w:divsChild>
                        </w:div>
                        <w:div w:id="258223549">
                          <w:marLeft w:val="0"/>
                          <w:marRight w:val="0"/>
                          <w:marTop w:val="0"/>
                          <w:marBottom w:val="0"/>
                          <w:divBdr>
                            <w:top w:val="none" w:sz="0" w:space="0" w:color="auto"/>
                            <w:left w:val="none" w:sz="0" w:space="0" w:color="auto"/>
                            <w:bottom w:val="none" w:sz="0" w:space="0" w:color="auto"/>
                            <w:right w:val="none" w:sz="0" w:space="0" w:color="auto"/>
                          </w:divBdr>
                          <w:divsChild>
                            <w:div w:id="651178048">
                              <w:marLeft w:val="0"/>
                              <w:marRight w:val="0"/>
                              <w:marTop w:val="0"/>
                              <w:marBottom w:val="0"/>
                              <w:divBdr>
                                <w:top w:val="none" w:sz="0" w:space="0" w:color="auto"/>
                                <w:left w:val="none" w:sz="0" w:space="0" w:color="auto"/>
                                <w:bottom w:val="none" w:sz="0" w:space="0" w:color="auto"/>
                                <w:right w:val="none" w:sz="0" w:space="0" w:color="auto"/>
                              </w:divBdr>
                              <w:divsChild>
                                <w:div w:id="1523401996">
                                  <w:marLeft w:val="0"/>
                                  <w:marRight w:val="0"/>
                                  <w:marTop w:val="0"/>
                                  <w:marBottom w:val="0"/>
                                  <w:divBdr>
                                    <w:top w:val="none" w:sz="0" w:space="0" w:color="auto"/>
                                    <w:left w:val="none" w:sz="0" w:space="0" w:color="auto"/>
                                    <w:bottom w:val="none" w:sz="0" w:space="0" w:color="auto"/>
                                    <w:right w:val="none" w:sz="0" w:space="0" w:color="auto"/>
                                  </w:divBdr>
                                  <w:divsChild>
                                    <w:div w:id="401021946">
                                      <w:marLeft w:val="0"/>
                                      <w:marRight w:val="0"/>
                                      <w:marTop w:val="120"/>
                                      <w:marBottom w:val="0"/>
                                      <w:divBdr>
                                        <w:top w:val="none" w:sz="0" w:space="0" w:color="auto"/>
                                        <w:left w:val="none" w:sz="0" w:space="0" w:color="auto"/>
                                        <w:bottom w:val="none" w:sz="0" w:space="0" w:color="auto"/>
                                        <w:right w:val="none" w:sz="0" w:space="0" w:color="auto"/>
                                      </w:divBdr>
                                    </w:div>
                                    <w:div w:id="1749302916">
                                      <w:marLeft w:val="0"/>
                                      <w:marRight w:val="0"/>
                                      <w:marTop w:val="0"/>
                                      <w:marBottom w:val="0"/>
                                      <w:divBdr>
                                        <w:top w:val="none" w:sz="0" w:space="0" w:color="auto"/>
                                        <w:left w:val="none" w:sz="0" w:space="0" w:color="auto"/>
                                        <w:bottom w:val="none" w:sz="0" w:space="0" w:color="auto"/>
                                        <w:right w:val="none" w:sz="0" w:space="0" w:color="auto"/>
                                      </w:divBdr>
                                    </w:div>
                                  </w:divsChild>
                                </w:div>
                                <w:div w:id="978992041">
                                  <w:marLeft w:val="0"/>
                                  <w:marRight w:val="0"/>
                                  <w:marTop w:val="0"/>
                                  <w:marBottom w:val="0"/>
                                  <w:divBdr>
                                    <w:top w:val="none" w:sz="0" w:space="0" w:color="auto"/>
                                    <w:left w:val="none" w:sz="0" w:space="0" w:color="auto"/>
                                    <w:bottom w:val="none" w:sz="0" w:space="0" w:color="auto"/>
                                    <w:right w:val="none" w:sz="0" w:space="0" w:color="auto"/>
                                  </w:divBdr>
                                  <w:divsChild>
                                    <w:div w:id="177619571">
                                      <w:marLeft w:val="0"/>
                                      <w:marRight w:val="0"/>
                                      <w:marTop w:val="120"/>
                                      <w:marBottom w:val="0"/>
                                      <w:divBdr>
                                        <w:top w:val="none" w:sz="0" w:space="0" w:color="auto"/>
                                        <w:left w:val="none" w:sz="0" w:space="0" w:color="auto"/>
                                        <w:bottom w:val="none" w:sz="0" w:space="0" w:color="auto"/>
                                        <w:right w:val="none" w:sz="0" w:space="0" w:color="auto"/>
                                      </w:divBdr>
                                    </w:div>
                                    <w:div w:id="1237594661">
                                      <w:marLeft w:val="0"/>
                                      <w:marRight w:val="0"/>
                                      <w:marTop w:val="0"/>
                                      <w:marBottom w:val="0"/>
                                      <w:divBdr>
                                        <w:top w:val="none" w:sz="0" w:space="0" w:color="auto"/>
                                        <w:left w:val="none" w:sz="0" w:space="0" w:color="auto"/>
                                        <w:bottom w:val="none" w:sz="0" w:space="0" w:color="auto"/>
                                        <w:right w:val="none" w:sz="0" w:space="0" w:color="auto"/>
                                      </w:divBdr>
                                    </w:div>
                                  </w:divsChild>
                                </w:div>
                                <w:div w:id="288246185">
                                  <w:marLeft w:val="0"/>
                                  <w:marRight w:val="0"/>
                                  <w:marTop w:val="0"/>
                                  <w:marBottom w:val="0"/>
                                  <w:divBdr>
                                    <w:top w:val="none" w:sz="0" w:space="0" w:color="auto"/>
                                    <w:left w:val="none" w:sz="0" w:space="0" w:color="auto"/>
                                    <w:bottom w:val="none" w:sz="0" w:space="0" w:color="auto"/>
                                    <w:right w:val="none" w:sz="0" w:space="0" w:color="auto"/>
                                  </w:divBdr>
                                  <w:divsChild>
                                    <w:div w:id="1566643859">
                                      <w:marLeft w:val="0"/>
                                      <w:marRight w:val="0"/>
                                      <w:marTop w:val="120"/>
                                      <w:marBottom w:val="0"/>
                                      <w:divBdr>
                                        <w:top w:val="none" w:sz="0" w:space="0" w:color="auto"/>
                                        <w:left w:val="none" w:sz="0" w:space="0" w:color="auto"/>
                                        <w:bottom w:val="none" w:sz="0" w:space="0" w:color="auto"/>
                                        <w:right w:val="none" w:sz="0" w:space="0" w:color="auto"/>
                                      </w:divBdr>
                                    </w:div>
                                    <w:div w:id="607084918">
                                      <w:marLeft w:val="0"/>
                                      <w:marRight w:val="0"/>
                                      <w:marTop w:val="0"/>
                                      <w:marBottom w:val="0"/>
                                      <w:divBdr>
                                        <w:top w:val="none" w:sz="0" w:space="0" w:color="auto"/>
                                        <w:left w:val="none" w:sz="0" w:space="0" w:color="auto"/>
                                        <w:bottom w:val="none" w:sz="0" w:space="0" w:color="auto"/>
                                        <w:right w:val="none" w:sz="0" w:space="0" w:color="auto"/>
                                      </w:divBdr>
                                    </w:div>
                                  </w:divsChild>
                                </w:div>
                                <w:div w:id="1484349713">
                                  <w:marLeft w:val="0"/>
                                  <w:marRight w:val="0"/>
                                  <w:marTop w:val="0"/>
                                  <w:marBottom w:val="0"/>
                                  <w:divBdr>
                                    <w:top w:val="none" w:sz="0" w:space="0" w:color="auto"/>
                                    <w:left w:val="none" w:sz="0" w:space="0" w:color="auto"/>
                                    <w:bottom w:val="none" w:sz="0" w:space="0" w:color="auto"/>
                                    <w:right w:val="none" w:sz="0" w:space="0" w:color="auto"/>
                                  </w:divBdr>
                                  <w:divsChild>
                                    <w:div w:id="1694188755">
                                      <w:marLeft w:val="0"/>
                                      <w:marRight w:val="0"/>
                                      <w:marTop w:val="120"/>
                                      <w:marBottom w:val="0"/>
                                      <w:divBdr>
                                        <w:top w:val="none" w:sz="0" w:space="0" w:color="auto"/>
                                        <w:left w:val="none" w:sz="0" w:space="0" w:color="auto"/>
                                        <w:bottom w:val="none" w:sz="0" w:space="0" w:color="auto"/>
                                        <w:right w:val="none" w:sz="0" w:space="0" w:color="auto"/>
                                      </w:divBdr>
                                    </w:div>
                                    <w:div w:id="1632905738">
                                      <w:marLeft w:val="0"/>
                                      <w:marRight w:val="0"/>
                                      <w:marTop w:val="0"/>
                                      <w:marBottom w:val="0"/>
                                      <w:divBdr>
                                        <w:top w:val="none" w:sz="0" w:space="0" w:color="auto"/>
                                        <w:left w:val="none" w:sz="0" w:space="0" w:color="auto"/>
                                        <w:bottom w:val="none" w:sz="0" w:space="0" w:color="auto"/>
                                        <w:right w:val="none" w:sz="0" w:space="0" w:color="auto"/>
                                      </w:divBdr>
                                    </w:div>
                                  </w:divsChild>
                                </w:div>
                                <w:div w:id="1663191855">
                                  <w:marLeft w:val="0"/>
                                  <w:marRight w:val="0"/>
                                  <w:marTop w:val="0"/>
                                  <w:marBottom w:val="0"/>
                                  <w:divBdr>
                                    <w:top w:val="none" w:sz="0" w:space="0" w:color="auto"/>
                                    <w:left w:val="none" w:sz="0" w:space="0" w:color="auto"/>
                                    <w:bottom w:val="none" w:sz="0" w:space="0" w:color="auto"/>
                                    <w:right w:val="none" w:sz="0" w:space="0" w:color="auto"/>
                                  </w:divBdr>
                                  <w:divsChild>
                                    <w:div w:id="1683779908">
                                      <w:marLeft w:val="0"/>
                                      <w:marRight w:val="0"/>
                                      <w:marTop w:val="120"/>
                                      <w:marBottom w:val="0"/>
                                      <w:divBdr>
                                        <w:top w:val="none" w:sz="0" w:space="0" w:color="auto"/>
                                        <w:left w:val="none" w:sz="0" w:space="0" w:color="auto"/>
                                        <w:bottom w:val="none" w:sz="0" w:space="0" w:color="auto"/>
                                        <w:right w:val="none" w:sz="0" w:space="0" w:color="auto"/>
                                      </w:divBdr>
                                    </w:div>
                                    <w:div w:id="2051369437">
                                      <w:marLeft w:val="0"/>
                                      <w:marRight w:val="0"/>
                                      <w:marTop w:val="0"/>
                                      <w:marBottom w:val="0"/>
                                      <w:divBdr>
                                        <w:top w:val="none" w:sz="0" w:space="0" w:color="auto"/>
                                        <w:left w:val="none" w:sz="0" w:space="0" w:color="auto"/>
                                        <w:bottom w:val="none" w:sz="0" w:space="0" w:color="auto"/>
                                        <w:right w:val="none" w:sz="0" w:space="0" w:color="auto"/>
                                      </w:divBdr>
                                    </w:div>
                                  </w:divsChild>
                                </w:div>
                                <w:div w:id="764423472">
                                  <w:marLeft w:val="0"/>
                                  <w:marRight w:val="0"/>
                                  <w:marTop w:val="0"/>
                                  <w:marBottom w:val="0"/>
                                  <w:divBdr>
                                    <w:top w:val="none" w:sz="0" w:space="0" w:color="auto"/>
                                    <w:left w:val="none" w:sz="0" w:space="0" w:color="auto"/>
                                    <w:bottom w:val="none" w:sz="0" w:space="0" w:color="auto"/>
                                    <w:right w:val="none" w:sz="0" w:space="0" w:color="auto"/>
                                  </w:divBdr>
                                  <w:divsChild>
                                    <w:div w:id="1610160965">
                                      <w:marLeft w:val="0"/>
                                      <w:marRight w:val="0"/>
                                      <w:marTop w:val="120"/>
                                      <w:marBottom w:val="0"/>
                                      <w:divBdr>
                                        <w:top w:val="none" w:sz="0" w:space="0" w:color="auto"/>
                                        <w:left w:val="none" w:sz="0" w:space="0" w:color="auto"/>
                                        <w:bottom w:val="none" w:sz="0" w:space="0" w:color="auto"/>
                                        <w:right w:val="none" w:sz="0" w:space="0" w:color="auto"/>
                                      </w:divBdr>
                                    </w:div>
                                    <w:div w:id="121268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24648">
                          <w:marLeft w:val="0"/>
                          <w:marRight w:val="0"/>
                          <w:marTop w:val="0"/>
                          <w:marBottom w:val="0"/>
                          <w:divBdr>
                            <w:top w:val="none" w:sz="0" w:space="0" w:color="auto"/>
                            <w:left w:val="none" w:sz="0" w:space="0" w:color="auto"/>
                            <w:bottom w:val="none" w:sz="0" w:space="0" w:color="auto"/>
                            <w:right w:val="none" w:sz="0" w:space="0" w:color="auto"/>
                          </w:divBdr>
                          <w:divsChild>
                            <w:div w:id="90657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432538">
                      <w:marLeft w:val="0"/>
                      <w:marRight w:val="0"/>
                      <w:marTop w:val="0"/>
                      <w:marBottom w:val="0"/>
                      <w:divBdr>
                        <w:top w:val="none" w:sz="0" w:space="0" w:color="auto"/>
                        <w:left w:val="none" w:sz="0" w:space="0" w:color="auto"/>
                        <w:bottom w:val="none" w:sz="0" w:space="0" w:color="auto"/>
                        <w:right w:val="none" w:sz="0" w:space="0" w:color="auto"/>
                      </w:divBdr>
                      <w:divsChild>
                        <w:div w:id="1472094676">
                          <w:marLeft w:val="0"/>
                          <w:marRight w:val="0"/>
                          <w:marTop w:val="0"/>
                          <w:marBottom w:val="0"/>
                          <w:divBdr>
                            <w:top w:val="none" w:sz="0" w:space="0" w:color="auto"/>
                            <w:left w:val="none" w:sz="0" w:space="0" w:color="auto"/>
                            <w:bottom w:val="none" w:sz="0" w:space="0" w:color="auto"/>
                            <w:right w:val="none" w:sz="0" w:space="0" w:color="auto"/>
                          </w:divBdr>
                        </w:div>
                        <w:div w:id="2062439489">
                          <w:marLeft w:val="0"/>
                          <w:marRight w:val="0"/>
                          <w:marTop w:val="0"/>
                          <w:marBottom w:val="0"/>
                          <w:divBdr>
                            <w:top w:val="none" w:sz="0" w:space="0" w:color="auto"/>
                            <w:left w:val="none" w:sz="0" w:space="0" w:color="auto"/>
                            <w:bottom w:val="none" w:sz="0" w:space="0" w:color="auto"/>
                            <w:right w:val="none" w:sz="0" w:space="0" w:color="auto"/>
                          </w:divBdr>
                          <w:divsChild>
                            <w:div w:id="1501314529">
                              <w:marLeft w:val="0"/>
                              <w:marRight w:val="0"/>
                              <w:marTop w:val="0"/>
                              <w:marBottom w:val="0"/>
                              <w:divBdr>
                                <w:top w:val="none" w:sz="0" w:space="0" w:color="auto"/>
                                <w:left w:val="none" w:sz="0" w:space="0" w:color="auto"/>
                                <w:bottom w:val="none" w:sz="0" w:space="0" w:color="auto"/>
                                <w:right w:val="none" w:sz="0" w:space="0" w:color="auto"/>
                              </w:divBdr>
                              <w:divsChild>
                                <w:div w:id="1904754566">
                                  <w:marLeft w:val="0"/>
                                  <w:marRight w:val="0"/>
                                  <w:marTop w:val="0"/>
                                  <w:marBottom w:val="0"/>
                                  <w:divBdr>
                                    <w:top w:val="none" w:sz="0" w:space="0" w:color="auto"/>
                                    <w:left w:val="none" w:sz="0" w:space="0" w:color="auto"/>
                                    <w:bottom w:val="none" w:sz="0" w:space="0" w:color="auto"/>
                                    <w:right w:val="none" w:sz="0" w:space="0" w:color="auto"/>
                                  </w:divBdr>
                                  <w:divsChild>
                                    <w:div w:id="964851075">
                                      <w:marLeft w:val="0"/>
                                      <w:marRight w:val="0"/>
                                      <w:marTop w:val="120"/>
                                      <w:marBottom w:val="0"/>
                                      <w:divBdr>
                                        <w:top w:val="none" w:sz="0" w:space="0" w:color="auto"/>
                                        <w:left w:val="none" w:sz="0" w:space="0" w:color="auto"/>
                                        <w:bottom w:val="none" w:sz="0" w:space="0" w:color="auto"/>
                                        <w:right w:val="none" w:sz="0" w:space="0" w:color="auto"/>
                                      </w:divBdr>
                                    </w:div>
                                    <w:div w:id="1349982810">
                                      <w:marLeft w:val="0"/>
                                      <w:marRight w:val="0"/>
                                      <w:marTop w:val="0"/>
                                      <w:marBottom w:val="0"/>
                                      <w:divBdr>
                                        <w:top w:val="none" w:sz="0" w:space="0" w:color="auto"/>
                                        <w:left w:val="none" w:sz="0" w:space="0" w:color="auto"/>
                                        <w:bottom w:val="none" w:sz="0" w:space="0" w:color="auto"/>
                                        <w:right w:val="none" w:sz="0" w:space="0" w:color="auto"/>
                                      </w:divBdr>
                                    </w:div>
                                  </w:divsChild>
                                </w:div>
                                <w:div w:id="339818218">
                                  <w:marLeft w:val="0"/>
                                  <w:marRight w:val="0"/>
                                  <w:marTop w:val="0"/>
                                  <w:marBottom w:val="0"/>
                                  <w:divBdr>
                                    <w:top w:val="none" w:sz="0" w:space="0" w:color="auto"/>
                                    <w:left w:val="none" w:sz="0" w:space="0" w:color="auto"/>
                                    <w:bottom w:val="none" w:sz="0" w:space="0" w:color="auto"/>
                                    <w:right w:val="none" w:sz="0" w:space="0" w:color="auto"/>
                                  </w:divBdr>
                                  <w:divsChild>
                                    <w:div w:id="475337837">
                                      <w:marLeft w:val="0"/>
                                      <w:marRight w:val="0"/>
                                      <w:marTop w:val="120"/>
                                      <w:marBottom w:val="0"/>
                                      <w:divBdr>
                                        <w:top w:val="none" w:sz="0" w:space="0" w:color="auto"/>
                                        <w:left w:val="none" w:sz="0" w:space="0" w:color="auto"/>
                                        <w:bottom w:val="none" w:sz="0" w:space="0" w:color="auto"/>
                                        <w:right w:val="none" w:sz="0" w:space="0" w:color="auto"/>
                                      </w:divBdr>
                                    </w:div>
                                    <w:div w:id="64142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2461">
                          <w:marLeft w:val="0"/>
                          <w:marRight w:val="0"/>
                          <w:marTop w:val="0"/>
                          <w:marBottom w:val="0"/>
                          <w:divBdr>
                            <w:top w:val="none" w:sz="0" w:space="0" w:color="auto"/>
                            <w:left w:val="none" w:sz="0" w:space="0" w:color="auto"/>
                            <w:bottom w:val="none" w:sz="0" w:space="0" w:color="auto"/>
                            <w:right w:val="none" w:sz="0" w:space="0" w:color="auto"/>
                          </w:divBdr>
                          <w:divsChild>
                            <w:div w:id="1076514298">
                              <w:marLeft w:val="0"/>
                              <w:marRight w:val="0"/>
                              <w:marTop w:val="0"/>
                              <w:marBottom w:val="0"/>
                              <w:divBdr>
                                <w:top w:val="none" w:sz="0" w:space="0" w:color="auto"/>
                                <w:left w:val="none" w:sz="0" w:space="0" w:color="auto"/>
                                <w:bottom w:val="none" w:sz="0" w:space="0" w:color="auto"/>
                                <w:right w:val="none" w:sz="0" w:space="0" w:color="auto"/>
                              </w:divBdr>
                              <w:divsChild>
                                <w:div w:id="1156651172">
                                  <w:marLeft w:val="0"/>
                                  <w:marRight w:val="0"/>
                                  <w:marTop w:val="0"/>
                                  <w:marBottom w:val="0"/>
                                  <w:divBdr>
                                    <w:top w:val="none" w:sz="0" w:space="0" w:color="auto"/>
                                    <w:left w:val="none" w:sz="0" w:space="0" w:color="auto"/>
                                    <w:bottom w:val="none" w:sz="0" w:space="0" w:color="auto"/>
                                    <w:right w:val="none" w:sz="0" w:space="0" w:color="auto"/>
                                  </w:divBdr>
                                  <w:divsChild>
                                    <w:div w:id="1698702954">
                                      <w:marLeft w:val="0"/>
                                      <w:marRight w:val="0"/>
                                      <w:marTop w:val="120"/>
                                      <w:marBottom w:val="0"/>
                                      <w:divBdr>
                                        <w:top w:val="none" w:sz="0" w:space="0" w:color="auto"/>
                                        <w:left w:val="none" w:sz="0" w:space="0" w:color="auto"/>
                                        <w:bottom w:val="none" w:sz="0" w:space="0" w:color="auto"/>
                                        <w:right w:val="none" w:sz="0" w:space="0" w:color="auto"/>
                                      </w:divBdr>
                                    </w:div>
                                    <w:div w:id="1335645265">
                                      <w:marLeft w:val="0"/>
                                      <w:marRight w:val="0"/>
                                      <w:marTop w:val="0"/>
                                      <w:marBottom w:val="0"/>
                                      <w:divBdr>
                                        <w:top w:val="none" w:sz="0" w:space="0" w:color="auto"/>
                                        <w:left w:val="none" w:sz="0" w:space="0" w:color="auto"/>
                                        <w:bottom w:val="none" w:sz="0" w:space="0" w:color="auto"/>
                                        <w:right w:val="none" w:sz="0" w:space="0" w:color="auto"/>
                                      </w:divBdr>
                                    </w:div>
                                  </w:divsChild>
                                </w:div>
                                <w:div w:id="896475460">
                                  <w:marLeft w:val="0"/>
                                  <w:marRight w:val="0"/>
                                  <w:marTop w:val="0"/>
                                  <w:marBottom w:val="0"/>
                                  <w:divBdr>
                                    <w:top w:val="none" w:sz="0" w:space="0" w:color="auto"/>
                                    <w:left w:val="none" w:sz="0" w:space="0" w:color="auto"/>
                                    <w:bottom w:val="none" w:sz="0" w:space="0" w:color="auto"/>
                                    <w:right w:val="none" w:sz="0" w:space="0" w:color="auto"/>
                                  </w:divBdr>
                                  <w:divsChild>
                                    <w:div w:id="1257446290">
                                      <w:marLeft w:val="0"/>
                                      <w:marRight w:val="0"/>
                                      <w:marTop w:val="120"/>
                                      <w:marBottom w:val="0"/>
                                      <w:divBdr>
                                        <w:top w:val="none" w:sz="0" w:space="0" w:color="auto"/>
                                        <w:left w:val="none" w:sz="0" w:space="0" w:color="auto"/>
                                        <w:bottom w:val="none" w:sz="0" w:space="0" w:color="auto"/>
                                        <w:right w:val="none" w:sz="0" w:space="0" w:color="auto"/>
                                      </w:divBdr>
                                    </w:div>
                                    <w:div w:id="136609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54750">
                          <w:marLeft w:val="0"/>
                          <w:marRight w:val="0"/>
                          <w:marTop w:val="0"/>
                          <w:marBottom w:val="0"/>
                          <w:divBdr>
                            <w:top w:val="none" w:sz="0" w:space="0" w:color="auto"/>
                            <w:left w:val="none" w:sz="0" w:space="0" w:color="auto"/>
                            <w:bottom w:val="none" w:sz="0" w:space="0" w:color="auto"/>
                            <w:right w:val="none" w:sz="0" w:space="0" w:color="auto"/>
                          </w:divBdr>
                          <w:divsChild>
                            <w:div w:id="92669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56720">
                  <w:marLeft w:val="0"/>
                  <w:marRight w:val="0"/>
                  <w:marTop w:val="0"/>
                  <w:marBottom w:val="0"/>
                  <w:divBdr>
                    <w:top w:val="none" w:sz="0" w:space="0" w:color="auto"/>
                    <w:left w:val="none" w:sz="0" w:space="0" w:color="auto"/>
                    <w:bottom w:val="none" w:sz="0" w:space="0" w:color="auto"/>
                    <w:right w:val="none" w:sz="0" w:space="0" w:color="auto"/>
                  </w:divBdr>
                  <w:divsChild>
                    <w:div w:id="206990806">
                      <w:marLeft w:val="0"/>
                      <w:marRight w:val="0"/>
                      <w:marTop w:val="0"/>
                      <w:marBottom w:val="0"/>
                      <w:divBdr>
                        <w:top w:val="none" w:sz="0" w:space="0" w:color="auto"/>
                        <w:left w:val="none" w:sz="0" w:space="0" w:color="auto"/>
                        <w:bottom w:val="none" w:sz="0" w:space="0" w:color="auto"/>
                        <w:right w:val="none" w:sz="0" w:space="0" w:color="auto"/>
                      </w:divBdr>
                      <w:divsChild>
                        <w:div w:id="1159033413">
                          <w:marLeft w:val="0"/>
                          <w:marRight w:val="0"/>
                          <w:marTop w:val="0"/>
                          <w:marBottom w:val="0"/>
                          <w:divBdr>
                            <w:top w:val="none" w:sz="0" w:space="0" w:color="auto"/>
                            <w:left w:val="none" w:sz="0" w:space="0" w:color="auto"/>
                            <w:bottom w:val="none" w:sz="0" w:space="0" w:color="auto"/>
                            <w:right w:val="none" w:sz="0" w:space="0" w:color="auto"/>
                          </w:divBdr>
                        </w:div>
                        <w:div w:id="736627994">
                          <w:marLeft w:val="0"/>
                          <w:marRight w:val="0"/>
                          <w:marTop w:val="0"/>
                          <w:marBottom w:val="0"/>
                          <w:divBdr>
                            <w:top w:val="none" w:sz="0" w:space="0" w:color="auto"/>
                            <w:left w:val="none" w:sz="0" w:space="0" w:color="auto"/>
                            <w:bottom w:val="none" w:sz="0" w:space="0" w:color="auto"/>
                            <w:right w:val="none" w:sz="0" w:space="0" w:color="auto"/>
                          </w:divBdr>
                          <w:divsChild>
                            <w:div w:id="2096045947">
                              <w:marLeft w:val="0"/>
                              <w:marRight w:val="0"/>
                              <w:marTop w:val="120"/>
                              <w:marBottom w:val="0"/>
                              <w:divBdr>
                                <w:top w:val="none" w:sz="0" w:space="0" w:color="auto"/>
                                <w:left w:val="none" w:sz="0" w:space="0" w:color="auto"/>
                                <w:bottom w:val="none" w:sz="0" w:space="0" w:color="auto"/>
                                <w:right w:val="none" w:sz="0" w:space="0" w:color="auto"/>
                              </w:divBdr>
                            </w:div>
                            <w:div w:id="1123034779">
                              <w:marLeft w:val="0"/>
                              <w:marRight w:val="0"/>
                              <w:marTop w:val="0"/>
                              <w:marBottom w:val="0"/>
                              <w:divBdr>
                                <w:top w:val="none" w:sz="0" w:space="0" w:color="auto"/>
                                <w:left w:val="none" w:sz="0" w:space="0" w:color="auto"/>
                                <w:bottom w:val="none" w:sz="0" w:space="0" w:color="auto"/>
                                <w:right w:val="none" w:sz="0" w:space="0" w:color="auto"/>
                              </w:divBdr>
                            </w:div>
                          </w:divsChild>
                        </w:div>
                        <w:div w:id="1661806757">
                          <w:marLeft w:val="0"/>
                          <w:marRight w:val="0"/>
                          <w:marTop w:val="0"/>
                          <w:marBottom w:val="0"/>
                          <w:divBdr>
                            <w:top w:val="none" w:sz="0" w:space="0" w:color="auto"/>
                            <w:left w:val="none" w:sz="0" w:space="0" w:color="auto"/>
                            <w:bottom w:val="none" w:sz="0" w:space="0" w:color="auto"/>
                            <w:right w:val="none" w:sz="0" w:space="0" w:color="auto"/>
                          </w:divBdr>
                          <w:divsChild>
                            <w:div w:id="463080247">
                              <w:marLeft w:val="0"/>
                              <w:marRight w:val="0"/>
                              <w:marTop w:val="120"/>
                              <w:marBottom w:val="0"/>
                              <w:divBdr>
                                <w:top w:val="none" w:sz="0" w:space="0" w:color="auto"/>
                                <w:left w:val="none" w:sz="0" w:space="0" w:color="auto"/>
                                <w:bottom w:val="none" w:sz="0" w:space="0" w:color="auto"/>
                                <w:right w:val="none" w:sz="0" w:space="0" w:color="auto"/>
                              </w:divBdr>
                            </w:div>
                            <w:div w:id="1193954625">
                              <w:marLeft w:val="0"/>
                              <w:marRight w:val="0"/>
                              <w:marTop w:val="0"/>
                              <w:marBottom w:val="0"/>
                              <w:divBdr>
                                <w:top w:val="none" w:sz="0" w:space="0" w:color="auto"/>
                                <w:left w:val="none" w:sz="0" w:space="0" w:color="auto"/>
                                <w:bottom w:val="none" w:sz="0" w:space="0" w:color="auto"/>
                                <w:right w:val="none" w:sz="0" w:space="0" w:color="auto"/>
                              </w:divBdr>
                            </w:div>
                          </w:divsChild>
                        </w:div>
                        <w:div w:id="891968669">
                          <w:marLeft w:val="0"/>
                          <w:marRight w:val="0"/>
                          <w:marTop w:val="0"/>
                          <w:marBottom w:val="0"/>
                          <w:divBdr>
                            <w:top w:val="none" w:sz="0" w:space="0" w:color="auto"/>
                            <w:left w:val="none" w:sz="0" w:space="0" w:color="auto"/>
                            <w:bottom w:val="none" w:sz="0" w:space="0" w:color="auto"/>
                            <w:right w:val="none" w:sz="0" w:space="0" w:color="auto"/>
                          </w:divBdr>
                          <w:divsChild>
                            <w:div w:id="1298758478">
                              <w:marLeft w:val="0"/>
                              <w:marRight w:val="0"/>
                              <w:marTop w:val="120"/>
                              <w:marBottom w:val="0"/>
                              <w:divBdr>
                                <w:top w:val="none" w:sz="0" w:space="0" w:color="auto"/>
                                <w:left w:val="none" w:sz="0" w:space="0" w:color="auto"/>
                                <w:bottom w:val="none" w:sz="0" w:space="0" w:color="auto"/>
                                <w:right w:val="none" w:sz="0" w:space="0" w:color="auto"/>
                              </w:divBdr>
                            </w:div>
                            <w:div w:id="17526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48503">
                      <w:marLeft w:val="0"/>
                      <w:marRight w:val="0"/>
                      <w:marTop w:val="0"/>
                      <w:marBottom w:val="0"/>
                      <w:divBdr>
                        <w:top w:val="none" w:sz="0" w:space="0" w:color="auto"/>
                        <w:left w:val="none" w:sz="0" w:space="0" w:color="auto"/>
                        <w:bottom w:val="none" w:sz="0" w:space="0" w:color="auto"/>
                        <w:right w:val="none" w:sz="0" w:space="0" w:color="auto"/>
                      </w:divBdr>
                      <w:divsChild>
                        <w:div w:id="1399016364">
                          <w:marLeft w:val="0"/>
                          <w:marRight w:val="0"/>
                          <w:marTop w:val="0"/>
                          <w:marBottom w:val="0"/>
                          <w:divBdr>
                            <w:top w:val="none" w:sz="0" w:space="0" w:color="auto"/>
                            <w:left w:val="none" w:sz="0" w:space="0" w:color="auto"/>
                            <w:bottom w:val="none" w:sz="0" w:space="0" w:color="auto"/>
                            <w:right w:val="none" w:sz="0" w:space="0" w:color="auto"/>
                          </w:divBdr>
                        </w:div>
                        <w:div w:id="884372476">
                          <w:marLeft w:val="0"/>
                          <w:marRight w:val="0"/>
                          <w:marTop w:val="0"/>
                          <w:marBottom w:val="0"/>
                          <w:divBdr>
                            <w:top w:val="none" w:sz="0" w:space="0" w:color="auto"/>
                            <w:left w:val="none" w:sz="0" w:space="0" w:color="auto"/>
                            <w:bottom w:val="none" w:sz="0" w:space="0" w:color="auto"/>
                            <w:right w:val="none" w:sz="0" w:space="0" w:color="auto"/>
                          </w:divBdr>
                          <w:divsChild>
                            <w:div w:id="514080820">
                              <w:marLeft w:val="0"/>
                              <w:marRight w:val="0"/>
                              <w:marTop w:val="0"/>
                              <w:marBottom w:val="0"/>
                              <w:divBdr>
                                <w:top w:val="none" w:sz="0" w:space="0" w:color="auto"/>
                                <w:left w:val="none" w:sz="0" w:space="0" w:color="auto"/>
                                <w:bottom w:val="none" w:sz="0" w:space="0" w:color="auto"/>
                                <w:right w:val="none" w:sz="0" w:space="0" w:color="auto"/>
                              </w:divBdr>
                            </w:div>
                          </w:divsChild>
                        </w:div>
                        <w:div w:id="1276519457">
                          <w:marLeft w:val="0"/>
                          <w:marRight w:val="0"/>
                          <w:marTop w:val="0"/>
                          <w:marBottom w:val="0"/>
                          <w:divBdr>
                            <w:top w:val="none" w:sz="0" w:space="0" w:color="auto"/>
                            <w:left w:val="none" w:sz="0" w:space="0" w:color="auto"/>
                            <w:bottom w:val="none" w:sz="0" w:space="0" w:color="auto"/>
                            <w:right w:val="none" w:sz="0" w:space="0" w:color="auto"/>
                          </w:divBdr>
                          <w:divsChild>
                            <w:div w:id="1205563859">
                              <w:marLeft w:val="0"/>
                              <w:marRight w:val="0"/>
                              <w:marTop w:val="0"/>
                              <w:marBottom w:val="0"/>
                              <w:divBdr>
                                <w:top w:val="none" w:sz="0" w:space="0" w:color="auto"/>
                                <w:left w:val="none" w:sz="0" w:space="0" w:color="auto"/>
                                <w:bottom w:val="none" w:sz="0" w:space="0" w:color="auto"/>
                                <w:right w:val="none" w:sz="0" w:space="0" w:color="auto"/>
                              </w:divBdr>
                            </w:div>
                          </w:divsChild>
                        </w:div>
                        <w:div w:id="1258520298">
                          <w:marLeft w:val="0"/>
                          <w:marRight w:val="0"/>
                          <w:marTop w:val="0"/>
                          <w:marBottom w:val="0"/>
                          <w:divBdr>
                            <w:top w:val="none" w:sz="0" w:space="0" w:color="auto"/>
                            <w:left w:val="none" w:sz="0" w:space="0" w:color="auto"/>
                            <w:bottom w:val="none" w:sz="0" w:space="0" w:color="auto"/>
                            <w:right w:val="none" w:sz="0" w:space="0" w:color="auto"/>
                          </w:divBdr>
                          <w:divsChild>
                            <w:div w:id="122113371">
                              <w:marLeft w:val="0"/>
                              <w:marRight w:val="0"/>
                              <w:marTop w:val="0"/>
                              <w:marBottom w:val="0"/>
                              <w:divBdr>
                                <w:top w:val="none" w:sz="0" w:space="0" w:color="auto"/>
                                <w:left w:val="none" w:sz="0" w:space="0" w:color="auto"/>
                                <w:bottom w:val="none" w:sz="0" w:space="0" w:color="auto"/>
                                <w:right w:val="none" w:sz="0" w:space="0" w:color="auto"/>
                              </w:divBdr>
                            </w:div>
                          </w:divsChild>
                        </w:div>
                        <w:div w:id="1316838467">
                          <w:marLeft w:val="0"/>
                          <w:marRight w:val="0"/>
                          <w:marTop w:val="0"/>
                          <w:marBottom w:val="0"/>
                          <w:divBdr>
                            <w:top w:val="none" w:sz="0" w:space="0" w:color="auto"/>
                            <w:left w:val="none" w:sz="0" w:space="0" w:color="auto"/>
                            <w:bottom w:val="none" w:sz="0" w:space="0" w:color="auto"/>
                            <w:right w:val="none" w:sz="0" w:space="0" w:color="auto"/>
                          </w:divBdr>
                          <w:divsChild>
                            <w:div w:id="1900238636">
                              <w:marLeft w:val="0"/>
                              <w:marRight w:val="0"/>
                              <w:marTop w:val="0"/>
                              <w:marBottom w:val="0"/>
                              <w:divBdr>
                                <w:top w:val="none" w:sz="0" w:space="0" w:color="auto"/>
                                <w:left w:val="none" w:sz="0" w:space="0" w:color="auto"/>
                                <w:bottom w:val="none" w:sz="0" w:space="0" w:color="auto"/>
                                <w:right w:val="none" w:sz="0" w:space="0" w:color="auto"/>
                              </w:divBdr>
                              <w:divsChild>
                                <w:div w:id="647513864">
                                  <w:marLeft w:val="0"/>
                                  <w:marRight w:val="0"/>
                                  <w:marTop w:val="0"/>
                                  <w:marBottom w:val="0"/>
                                  <w:divBdr>
                                    <w:top w:val="none" w:sz="0" w:space="0" w:color="auto"/>
                                    <w:left w:val="none" w:sz="0" w:space="0" w:color="auto"/>
                                    <w:bottom w:val="none" w:sz="0" w:space="0" w:color="auto"/>
                                    <w:right w:val="none" w:sz="0" w:space="0" w:color="auto"/>
                                  </w:divBdr>
                                  <w:divsChild>
                                    <w:div w:id="2108113582">
                                      <w:marLeft w:val="0"/>
                                      <w:marRight w:val="0"/>
                                      <w:marTop w:val="120"/>
                                      <w:marBottom w:val="0"/>
                                      <w:divBdr>
                                        <w:top w:val="none" w:sz="0" w:space="0" w:color="auto"/>
                                        <w:left w:val="none" w:sz="0" w:space="0" w:color="auto"/>
                                        <w:bottom w:val="none" w:sz="0" w:space="0" w:color="auto"/>
                                        <w:right w:val="none" w:sz="0" w:space="0" w:color="auto"/>
                                      </w:divBdr>
                                    </w:div>
                                    <w:div w:id="653990858">
                                      <w:marLeft w:val="0"/>
                                      <w:marRight w:val="0"/>
                                      <w:marTop w:val="0"/>
                                      <w:marBottom w:val="0"/>
                                      <w:divBdr>
                                        <w:top w:val="none" w:sz="0" w:space="0" w:color="auto"/>
                                        <w:left w:val="none" w:sz="0" w:space="0" w:color="auto"/>
                                        <w:bottom w:val="none" w:sz="0" w:space="0" w:color="auto"/>
                                        <w:right w:val="none" w:sz="0" w:space="0" w:color="auto"/>
                                      </w:divBdr>
                                    </w:div>
                                  </w:divsChild>
                                </w:div>
                                <w:div w:id="416101596">
                                  <w:marLeft w:val="0"/>
                                  <w:marRight w:val="0"/>
                                  <w:marTop w:val="0"/>
                                  <w:marBottom w:val="0"/>
                                  <w:divBdr>
                                    <w:top w:val="none" w:sz="0" w:space="0" w:color="auto"/>
                                    <w:left w:val="none" w:sz="0" w:space="0" w:color="auto"/>
                                    <w:bottom w:val="none" w:sz="0" w:space="0" w:color="auto"/>
                                    <w:right w:val="none" w:sz="0" w:space="0" w:color="auto"/>
                                  </w:divBdr>
                                  <w:divsChild>
                                    <w:div w:id="589973906">
                                      <w:marLeft w:val="0"/>
                                      <w:marRight w:val="0"/>
                                      <w:marTop w:val="120"/>
                                      <w:marBottom w:val="0"/>
                                      <w:divBdr>
                                        <w:top w:val="none" w:sz="0" w:space="0" w:color="auto"/>
                                        <w:left w:val="none" w:sz="0" w:space="0" w:color="auto"/>
                                        <w:bottom w:val="none" w:sz="0" w:space="0" w:color="auto"/>
                                        <w:right w:val="none" w:sz="0" w:space="0" w:color="auto"/>
                                      </w:divBdr>
                                    </w:div>
                                    <w:div w:id="79909928">
                                      <w:marLeft w:val="0"/>
                                      <w:marRight w:val="0"/>
                                      <w:marTop w:val="0"/>
                                      <w:marBottom w:val="0"/>
                                      <w:divBdr>
                                        <w:top w:val="none" w:sz="0" w:space="0" w:color="auto"/>
                                        <w:left w:val="none" w:sz="0" w:space="0" w:color="auto"/>
                                        <w:bottom w:val="none" w:sz="0" w:space="0" w:color="auto"/>
                                        <w:right w:val="none" w:sz="0" w:space="0" w:color="auto"/>
                                      </w:divBdr>
                                    </w:div>
                                  </w:divsChild>
                                </w:div>
                                <w:div w:id="1992559816">
                                  <w:marLeft w:val="0"/>
                                  <w:marRight w:val="0"/>
                                  <w:marTop w:val="0"/>
                                  <w:marBottom w:val="0"/>
                                  <w:divBdr>
                                    <w:top w:val="none" w:sz="0" w:space="0" w:color="auto"/>
                                    <w:left w:val="none" w:sz="0" w:space="0" w:color="auto"/>
                                    <w:bottom w:val="none" w:sz="0" w:space="0" w:color="auto"/>
                                    <w:right w:val="none" w:sz="0" w:space="0" w:color="auto"/>
                                  </w:divBdr>
                                  <w:divsChild>
                                    <w:div w:id="87577801">
                                      <w:marLeft w:val="0"/>
                                      <w:marRight w:val="0"/>
                                      <w:marTop w:val="120"/>
                                      <w:marBottom w:val="0"/>
                                      <w:divBdr>
                                        <w:top w:val="none" w:sz="0" w:space="0" w:color="auto"/>
                                        <w:left w:val="none" w:sz="0" w:space="0" w:color="auto"/>
                                        <w:bottom w:val="none" w:sz="0" w:space="0" w:color="auto"/>
                                        <w:right w:val="none" w:sz="0" w:space="0" w:color="auto"/>
                                      </w:divBdr>
                                    </w:div>
                                    <w:div w:id="13376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97020">
                          <w:marLeft w:val="0"/>
                          <w:marRight w:val="0"/>
                          <w:marTop w:val="0"/>
                          <w:marBottom w:val="0"/>
                          <w:divBdr>
                            <w:top w:val="none" w:sz="0" w:space="0" w:color="auto"/>
                            <w:left w:val="none" w:sz="0" w:space="0" w:color="auto"/>
                            <w:bottom w:val="none" w:sz="0" w:space="0" w:color="auto"/>
                            <w:right w:val="none" w:sz="0" w:space="0" w:color="auto"/>
                          </w:divBdr>
                          <w:divsChild>
                            <w:div w:id="128860105">
                              <w:marLeft w:val="0"/>
                              <w:marRight w:val="0"/>
                              <w:marTop w:val="0"/>
                              <w:marBottom w:val="0"/>
                              <w:divBdr>
                                <w:top w:val="none" w:sz="0" w:space="0" w:color="auto"/>
                                <w:left w:val="none" w:sz="0" w:space="0" w:color="auto"/>
                                <w:bottom w:val="none" w:sz="0" w:space="0" w:color="auto"/>
                                <w:right w:val="none" w:sz="0" w:space="0" w:color="auto"/>
                              </w:divBdr>
                            </w:div>
                          </w:divsChild>
                        </w:div>
                        <w:div w:id="1515799269">
                          <w:marLeft w:val="0"/>
                          <w:marRight w:val="0"/>
                          <w:marTop w:val="0"/>
                          <w:marBottom w:val="0"/>
                          <w:divBdr>
                            <w:top w:val="none" w:sz="0" w:space="0" w:color="auto"/>
                            <w:left w:val="none" w:sz="0" w:space="0" w:color="auto"/>
                            <w:bottom w:val="none" w:sz="0" w:space="0" w:color="auto"/>
                            <w:right w:val="none" w:sz="0" w:space="0" w:color="auto"/>
                          </w:divBdr>
                          <w:divsChild>
                            <w:div w:id="1926919282">
                              <w:marLeft w:val="0"/>
                              <w:marRight w:val="0"/>
                              <w:marTop w:val="0"/>
                              <w:marBottom w:val="0"/>
                              <w:divBdr>
                                <w:top w:val="none" w:sz="0" w:space="0" w:color="auto"/>
                                <w:left w:val="none" w:sz="0" w:space="0" w:color="auto"/>
                                <w:bottom w:val="none" w:sz="0" w:space="0" w:color="auto"/>
                                <w:right w:val="none" w:sz="0" w:space="0" w:color="auto"/>
                              </w:divBdr>
                              <w:divsChild>
                                <w:div w:id="1803189087">
                                  <w:marLeft w:val="0"/>
                                  <w:marRight w:val="0"/>
                                  <w:marTop w:val="0"/>
                                  <w:marBottom w:val="0"/>
                                  <w:divBdr>
                                    <w:top w:val="none" w:sz="0" w:space="0" w:color="auto"/>
                                    <w:left w:val="none" w:sz="0" w:space="0" w:color="auto"/>
                                    <w:bottom w:val="none" w:sz="0" w:space="0" w:color="auto"/>
                                    <w:right w:val="none" w:sz="0" w:space="0" w:color="auto"/>
                                  </w:divBdr>
                                  <w:divsChild>
                                    <w:div w:id="666251825">
                                      <w:marLeft w:val="0"/>
                                      <w:marRight w:val="0"/>
                                      <w:marTop w:val="120"/>
                                      <w:marBottom w:val="0"/>
                                      <w:divBdr>
                                        <w:top w:val="none" w:sz="0" w:space="0" w:color="auto"/>
                                        <w:left w:val="none" w:sz="0" w:space="0" w:color="auto"/>
                                        <w:bottom w:val="none" w:sz="0" w:space="0" w:color="auto"/>
                                        <w:right w:val="none" w:sz="0" w:space="0" w:color="auto"/>
                                      </w:divBdr>
                                    </w:div>
                                    <w:div w:id="721364831">
                                      <w:marLeft w:val="0"/>
                                      <w:marRight w:val="0"/>
                                      <w:marTop w:val="0"/>
                                      <w:marBottom w:val="0"/>
                                      <w:divBdr>
                                        <w:top w:val="none" w:sz="0" w:space="0" w:color="auto"/>
                                        <w:left w:val="none" w:sz="0" w:space="0" w:color="auto"/>
                                        <w:bottom w:val="none" w:sz="0" w:space="0" w:color="auto"/>
                                        <w:right w:val="none" w:sz="0" w:space="0" w:color="auto"/>
                                      </w:divBdr>
                                    </w:div>
                                  </w:divsChild>
                                </w:div>
                                <w:div w:id="789786501">
                                  <w:marLeft w:val="0"/>
                                  <w:marRight w:val="0"/>
                                  <w:marTop w:val="0"/>
                                  <w:marBottom w:val="0"/>
                                  <w:divBdr>
                                    <w:top w:val="none" w:sz="0" w:space="0" w:color="auto"/>
                                    <w:left w:val="none" w:sz="0" w:space="0" w:color="auto"/>
                                    <w:bottom w:val="none" w:sz="0" w:space="0" w:color="auto"/>
                                    <w:right w:val="none" w:sz="0" w:space="0" w:color="auto"/>
                                  </w:divBdr>
                                  <w:divsChild>
                                    <w:div w:id="708996468">
                                      <w:marLeft w:val="0"/>
                                      <w:marRight w:val="0"/>
                                      <w:marTop w:val="120"/>
                                      <w:marBottom w:val="0"/>
                                      <w:divBdr>
                                        <w:top w:val="none" w:sz="0" w:space="0" w:color="auto"/>
                                        <w:left w:val="none" w:sz="0" w:space="0" w:color="auto"/>
                                        <w:bottom w:val="none" w:sz="0" w:space="0" w:color="auto"/>
                                        <w:right w:val="none" w:sz="0" w:space="0" w:color="auto"/>
                                      </w:divBdr>
                                    </w:div>
                                    <w:div w:id="674261481">
                                      <w:marLeft w:val="0"/>
                                      <w:marRight w:val="0"/>
                                      <w:marTop w:val="0"/>
                                      <w:marBottom w:val="0"/>
                                      <w:divBdr>
                                        <w:top w:val="none" w:sz="0" w:space="0" w:color="auto"/>
                                        <w:left w:val="none" w:sz="0" w:space="0" w:color="auto"/>
                                        <w:bottom w:val="none" w:sz="0" w:space="0" w:color="auto"/>
                                        <w:right w:val="none" w:sz="0" w:space="0" w:color="auto"/>
                                      </w:divBdr>
                                    </w:div>
                                  </w:divsChild>
                                </w:div>
                                <w:div w:id="2033532184">
                                  <w:marLeft w:val="0"/>
                                  <w:marRight w:val="0"/>
                                  <w:marTop w:val="0"/>
                                  <w:marBottom w:val="0"/>
                                  <w:divBdr>
                                    <w:top w:val="none" w:sz="0" w:space="0" w:color="auto"/>
                                    <w:left w:val="none" w:sz="0" w:space="0" w:color="auto"/>
                                    <w:bottom w:val="none" w:sz="0" w:space="0" w:color="auto"/>
                                    <w:right w:val="none" w:sz="0" w:space="0" w:color="auto"/>
                                  </w:divBdr>
                                  <w:divsChild>
                                    <w:div w:id="200482019">
                                      <w:marLeft w:val="0"/>
                                      <w:marRight w:val="0"/>
                                      <w:marTop w:val="120"/>
                                      <w:marBottom w:val="0"/>
                                      <w:divBdr>
                                        <w:top w:val="none" w:sz="0" w:space="0" w:color="auto"/>
                                        <w:left w:val="none" w:sz="0" w:space="0" w:color="auto"/>
                                        <w:bottom w:val="none" w:sz="0" w:space="0" w:color="auto"/>
                                        <w:right w:val="none" w:sz="0" w:space="0" w:color="auto"/>
                                      </w:divBdr>
                                    </w:div>
                                    <w:div w:id="778647295">
                                      <w:marLeft w:val="0"/>
                                      <w:marRight w:val="0"/>
                                      <w:marTop w:val="0"/>
                                      <w:marBottom w:val="0"/>
                                      <w:divBdr>
                                        <w:top w:val="none" w:sz="0" w:space="0" w:color="auto"/>
                                        <w:left w:val="none" w:sz="0" w:space="0" w:color="auto"/>
                                        <w:bottom w:val="none" w:sz="0" w:space="0" w:color="auto"/>
                                        <w:right w:val="none" w:sz="0" w:space="0" w:color="auto"/>
                                      </w:divBdr>
                                    </w:div>
                                  </w:divsChild>
                                </w:div>
                                <w:div w:id="232160544">
                                  <w:marLeft w:val="0"/>
                                  <w:marRight w:val="0"/>
                                  <w:marTop w:val="0"/>
                                  <w:marBottom w:val="0"/>
                                  <w:divBdr>
                                    <w:top w:val="none" w:sz="0" w:space="0" w:color="auto"/>
                                    <w:left w:val="none" w:sz="0" w:space="0" w:color="auto"/>
                                    <w:bottom w:val="none" w:sz="0" w:space="0" w:color="auto"/>
                                    <w:right w:val="none" w:sz="0" w:space="0" w:color="auto"/>
                                  </w:divBdr>
                                  <w:divsChild>
                                    <w:div w:id="1265073081">
                                      <w:marLeft w:val="0"/>
                                      <w:marRight w:val="0"/>
                                      <w:marTop w:val="120"/>
                                      <w:marBottom w:val="0"/>
                                      <w:divBdr>
                                        <w:top w:val="none" w:sz="0" w:space="0" w:color="auto"/>
                                        <w:left w:val="none" w:sz="0" w:space="0" w:color="auto"/>
                                        <w:bottom w:val="none" w:sz="0" w:space="0" w:color="auto"/>
                                        <w:right w:val="none" w:sz="0" w:space="0" w:color="auto"/>
                                      </w:divBdr>
                                    </w:div>
                                    <w:div w:id="458185881">
                                      <w:marLeft w:val="0"/>
                                      <w:marRight w:val="0"/>
                                      <w:marTop w:val="0"/>
                                      <w:marBottom w:val="0"/>
                                      <w:divBdr>
                                        <w:top w:val="none" w:sz="0" w:space="0" w:color="auto"/>
                                        <w:left w:val="none" w:sz="0" w:space="0" w:color="auto"/>
                                        <w:bottom w:val="none" w:sz="0" w:space="0" w:color="auto"/>
                                        <w:right w:val="none" w:sz="0" w:space="0" w:color="auto"/>
                                      </w:divBdr>
                                    </w:div>
                                  </w:divsChild>
                                </w:div>
                                <w:div w:id="79760898">
                                  <w:marLeft w:val="0"/>
                                  <w:marRight w:val="0"/>
                                  <w:marTop w:val="0"/>
                                  <w:marBottom w:val="0"/>
                                  <w:divBdr>
                                    <w:top w:val="none" w:sz="0" w:space="0" w:color="auto"/>
                                    <w:left w:val="none" w:sz="0" w:space="0" w:color="auto"/>
                                    <w:bottom w:val="none" w:sz="0" w:space="0" w:color="auto"/>
                                    <w:right w:val="none" w:sz="0" w:space="0" w:color="auto"/>
                                  </w:divBdr>
                                  <w:divsChild>
                                    <w:div w:id="1862010823">
                                      <w:marLeft w:val="0"/>
                                      <w:marRight w:val="0"/>
                                      <w:marTop w:val="120"/>
                                      <w:marBottom w:val="0"/>
                                      <w:divBdr>
                                        <w:top w:val="none" w:sz="0" w:space="0" w:color="auto"/>
                                        <w:left w:val="none" w:sz="0" w:space="0" w:color="auto"/>
                                        <w:bottom w:val="none" w:sz="0" w:space="0" w:color="auto"/>
                                        <w:right w:val="none" w:sz="0" w:space="0" w:color="auto"/>
                                      </w:divBdr>
                                    </w:div>
                                    <w:div w:id="175088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25062">
                      <w:marLeft w:val="0"/>
                      <w:marRight w:val="0"/>
                      <w:marTop w:val="0"/>
                      <w:marBottom w:val="0"/>
                      <w:divBdr>
                        <w:top w:val="none" w:sz="0" w:space="0" w:color="auto"/>
                        <w:left w:val="none" w:sz="0" w:space="0" w:color="auto"/>
                        <w:bottom w:val="none" w:sz="0" w:space="0" w:color="auto"/>
                        <w:right w:val="none" w:sz="0" w:space="0" w:color="auto"/>
                      </w:divBdr>
                      <w:divsChild>
                        <w:div w:id="1950310157">
                          <w:marLeft w:val="0"/>
                          <w:marRight w:val="0"/>
                          <w:marTop w:val="0"/>
                          <w:marBottom w:val="0"/>
                          <w:divBdr>
                            <w:top w:val="none" w:sz="0" w:space="0" w:color="auto"/>
                            <w:left w:val="none" w:sz="0" w:space="0" w:color="auto"/>
                            <w:bottom w:val="none" w:sz="0" w:space="0" w:color="auto"/>
                            <w:right w:val="none" w:sz="0" w:space="0" w:color="auto"/>
                          </w:divBdr>
                        </w:div>
                        <w:div w:id="908079455">
                          <w:marLeft w:val="0"/>
                          <w:marRight w:val="0"/>
                          <w:marTop w:val="0"/>
                          <w:marBottom w:val="0"/>
                          <w:divBdr>
                            <w:top w:val="none" w:sz="0" w:space="0" w:color="auto"/>
                            <w:left w:val="none" w:sz="0" w:space="0" w:color="auto"/>
                            <w:bottom w:val="none" w:sz="0" w:space="0" w:color="auto"/>
                            <w:right w:val="none" w:sz="0" w:space="0" w:color="auto"/>
                          </w:divBdr>
                          <w:divsChild>
                            <w:div w:id="528026032">
                              <w:marLeft w:val="0"/>
                              <w:marRight w:val="0"/>
                              <w:marTop w:val="0"/>
                              <w:marBottom w:val="0"/>
                              <w:divBdr>
                                <w:top w:val="none" w:sz="0" w:space="0" w:color="auto"/>
                                <w:left w:val="none" w:sz="0" w:space="0" w:color="auto"/>
                                <w:bottom w:val="none" w:sz="0" w:space="0" w:color="auto"/>
                                <w:right w:val="none" w:sz="0" w:space="0" w:color="auto"/>
                              </w:divBdr>
                              <w:divsChild>
                                <w:div w:id="924846985">
                                  <w:marLeft w:val="0"/>
                                  <w:marRight w:val="0"/>
                                  <w:marTop w:val="0"/>
                                  <w:marBottom w:val="0"/>
                                  <w:divBdr>
                                    <w:top w:val="none" w:sz="0" w:space="0" w:color="auto"/>
                                    <w:left w:val="none" w:sz="0" w:space="0" w:color="auto"/>
                                    <w:bottom w:val="none" w:sz="0" w:space="0" w:color="auto"/>
                                    <w:right w:val="none" w:sz="0" w:space="0" w:color="auto"/>
                                  </w:divBdr>
                                  <w:divsChild>
                                    <w:div w:id="327103938">
                                      <w:marLeft w:val="0"/>
                                      <w:marRight w:val="0"/>
                                      <w:marTop w:val="120"/>
                                      <w:marBottom w:val="0"/>
                                      <w:divBdr>
                                        <w:top w:val="none" w:sz="0" w:space="0" w:color="auto"/>
                                        <w:left w:val="none" w:sz="0" w:space="0" w:color="auto"/>
                                        <w:bottom w:val="none" w:sz="0" w:space="0" w:color="auto"/>
                                        <w:right w:val="none" w:sz="0" w:space="0" w:color="auto"/>
                                      </w:divBdr>
                                    </w:div>
                                    <w:div w:id="1618678943">
                                      <w:marLeft w:val="0"/>
                                      <w:marRight w:val="0"/>
                                      <w:marTop w:val="0"/>
                                      <w:marBottom w:val="0"/>
                                      <w:divBdr>
                                        <w:top w:val="none" w:sz="0" w:space="0" w:color="auto"/>
                                        <w:left w:val="none" w:sz="0" w:space="0" w:color="auto"/>
                                        <w:bottom w:val="none" w:sz="0" w:space="0" w:color="auto"/>
                                        <w:right w:val="none" w:sz="0" w:space="0" w:color="auto"/>
                                      </w:divBdr>
                                    </w:div>
                                  </w:divsChild>
                                </w:div>
                                <w:div w:id="1954629401">
                                  <w:marLeft w:val="0"/>
                                  <w:marRight w:val="0"/>
                                  <w:marTop w:val="0"/>
                                  <w:marBottom w:val="0"/>
                                  <w:divBdr>
                                    <w:top w:val="none" w:sz="0" w:space="0" w:color="auto"/>
                                    <w:left w:val="none" w:sz="0" w:space="0" w:color="auto"/>
                                    <w:bottom w:val="none" w:sz="0" w:space="0" w:color="auto"/>
                                    <w:right w:val="none" w:sz="0" w:space="0" w:color="auto"/>
                                  </w:divBdr>
                                  <w:divsChild>
                                    <w:div w:id="394160275">
                                      <w:marLeft w:val="0"/>
                                      <w:marRight w:val="0"/>
                                      <w:marTop w:val="120"/>
                                      <w:marBottom w:val="0"/>
                                      <w:divBdr>
                                        <w:top w:val="none" w:sz="0" w:space="0" w:color="auto"/>
                                        <w:left w:val="none" w:sz="0" w:space="0" w:color="auto"/>
                                        <w:bottom w:val="none" w:sz="0" w:space="0" w:color="auto"/>
                                        <w:right w:val="none" w:sz="0" w:space="0" w:color="auto"/>
                                      </w:divBdr>
                                    </w:div>
                                    <w:div w:id="50927454">
                                      <w:marLeft w:val="0"/>
                                      <w:marRight w:val="0"/>
                                      <w:marTop w:val="0"/>
                                      <w:marBottom w:val="0"/>
                                      <w:divBdr>
                                        <w:top w:val="none" w:sz="0" w:space="0" w:color="auto"/>
                                        <w:left w:val="none" w:sz="0" w:space="0" w:color="auto"/>
                                        <w:bottom w:val="none" w:sz="0" w:space="0" w:color="auto"/>
                                        <w:right w:val="none" w:sz="0" w:space="0" w:color="auto"/>
                                      </w:divBdr>
                                    </w:div>
                                  </w:divsChild>
                                </w:div>
                                <w:div w:id="224099852">
                                  <w:marLeft w:val="0"/>
                                  <w:marRight w:val="0"/>
                                  <w:marTop w:val="0"/>
                                  <w:marBottom w:val="0"/>
                                  <w:divBdr>
                                    <w:top w:val="none" w:sz="0" w:space="0" w:color="auto"/>
                                    <w:left w:val="none" w:sz="0" w:space="0" w:color="auto"/>
                                    <w:bottom w:val="none" w:sz="0" w:space="0" w:color="auto"/>
                                    <w:right w:val="none" w:sz="0" w:space="0" w:color="auto"/>
                                  </w:divBdr>
                                  <w:divsChild>
                                    <w:div w:id="647129599">
                                      <w:marLeft w:val="0"/>
                                      <w:marRight w:val="0"/>
                                      <w:marTop w:val="120"/>
                                      <w:marBottom w:val="0"/>
                                      <w:divBdr>
                                        <w:top w:val="none" w:sz="0" w:space="0" w:color="auto"/>
                                        <w:left w:val="none" w:sz="0" w:space="0" w:color="auto"/>
                                        <w:bottom w:val="none" w:sz="0" w:space="0" w:color="auto"/>
                                        <w:right w:val="none" w:sz="0" w:space="0" w:color="auto"/>
                                      </w:divBdr>
                                    </w:div>
                                    <w:div w:id="172652406">
                                      <w:marLeft w:val="0"/>
                                      <w:marRight w:val="0"/>
                                      <w:marTop w:val="0"/>
                                      <w:marBottom w:val="0"/>
                                      <w:divBdr>
                                        <w:top w:val="none" w:sz="0" w:space="0" w:color="auto"/>
                                        <w:left w:val="none" w:sz="0" w:space="0" w:color="auto"/>
                                        <w:bottom w:val="none" w:sz="0" w:space="0" w:color="auto"/>
                                        <w:right w:val="none" w:sz="0" w:space="0" w:color="auto"/>
                                      </w:divBdr>
                                    </w:div>
                                  </w:divsChild>
                                </w:div>
                                <w:div w:id="2016491584">
                                  <w:marLeft w:val="0"/>
                                  <w:marRight w:val="0"/>
                                  <w:marTop w:val="0"/>
                                  <w:marBottom w:val="0"/>
                                  <w:divBdr>
                                    <w:top w:val="none" w:sz="0" w:space="0" w:color="auto"/>
                                    <w:left w:val="none" w:sz="0" w:space="0" w:color="auto"/>
                                    <w:bottom w:val="none" w:sz="0" w:space="0" w:color="auto"/>
                                    <w:right w:val="none" w:sz="0" w:space="0" w:color="auto"/>
                                  </w:divBdr>
                                  <w:divsChild>
                                    <w:div w:id="859121123">
                                      <w:marLeft w:val="0"/>
                                      <w:marRight w:val="0"/>
                                      <w:marTop w:val="120"/>
                                      <w:marBottom w:val="0"/>
                                      <w:divBdr>
                                        <w:top w:val="none" w:sz="0" w:space="0" w:color="auto"/>
                                        <w:left w:val="none" w:sz="0" w:space="0" w:color="auto"/>
                                        <w:bottom w:val="none" w:sz="0" w:space="0" w:color="auto"/>
                                        <w:right w:val="none" w:sz="0" w:space="0" w:color="auto"/>
                                      </w:divBdr>
                                    </w:div>
                                    <w:div w:id="2119063861">
                                      <w:marLeft w:val="0"/>
                                      <w:marRight w:val="0"/>
                                      <w:marTop w:val="0"/>
                                      <w:marBottom w:val="0"/>
                                      <w:divBdr>
                                        <w:top w:val="none" w:sz="0" w:space="0" w:color="auto"/>
                                        <w:left w:val="none" w:sz="0" w:space="0" w:color="auto"/>
                                        <w:bottom w:val="none" w:sz="0" w:space="0" w:color="auto"/>
                                        <w:right w:val="none" w:sz="0" w:space="0" w:color="auto"/>
                                      </w:divBdr>
                                    </w:div>
                                  </w:divsChild>
                                </w:div>
                                <w:div w:id="1439789940">
                                  <w:marLeft w:val="0"/>
                                  <w:marRight w:val="0"/>
                                  <w:marTop w:val="0"/>
                                  <w:marBottom w:val="0"/>
                                  <w:divBdr>
                                    <w:top w:val="none" w:sz="0" w:space="0" w:color="auto"/>
                                    <w:left w:val="none" w:sz="0" w:space="0" w:color="auto"/>
                                    <w:bottom w:val="none" w:sz="0" w:space="0" w:color="auto"/>
                                    <w:right w:val="none" w:sz="0" w:space="0" w:color="auto"/>
                                  </w:divBdr>
                                  <w:divsChild>
                                    <w:div w:id="310405790">
                                      <w:marLeft w:val="0"/>
                                      <w:marRight w:val="0"/>
                                      <w:marTop w:val="120"/>
                                      <w:marBottom w:val="0"/>
                                      <w:divBdr>
                                        <w:top w:val="none" w:sz="0" w:space="0" w:color="auto"/>
                                        <w:left w:val="none" w:sz="0" w:space="0" w:color="auto"/>
                                        <w:bottom w:val="none" w:sz="0" w:space="0" w:color="auto"/>
                                        <w:right w:val="none" w:sz="0" w:space="0" w:color="auto"/>
                                      </w:divBdr>
                                    </w:div>
                                    <w:div w:id="1706516282">
                                      <w:marLeft w:val="0"/>
                                      <w:marRight w:val="0"/>
                                      <w:marTop w:val="0"/>
                                      <w:marBottom w:val="0"/>
                                      <w:divBdr>
                                        <w:top w:val="none" w:sz="0" w:space="0" w:color="auto"/>
                                        <w:left w:val="none" w:sz="0" w:space="0" w:color="auto"/>
                                        <w:bottom w:val="none" w:sz="0" w:space="0" w:color="auto"/>
                                        <w:right w:val="none" w:sz="0" w:space="0" w:color="auto"/>
                                      </w:divBdr>
                                    </w:div>
                                  </w:divsChild>
                                </w:div>
                                <w:div w:id="956330307">
                                  <w:marLeft w:val="0"/>
                                  <w:marRight w:val="0"/>
                                  <w:marTop w:val="0"/>
                                  <w:marBottom w:val="0"/>
                                  <w:divBdr>
                                    <w:top w:val="none" w:sz="0" w:space="0" w:color="auto"/>
                                    <w:left w:val="none" w:sz="0" w:space="0" w:color="auto"/>
                                    <w:bottom w:val="none" w:sz="0" w:space="0" w:color="auto"/>
                                    <w:right w:val="none" w:sz="0" w:space="0" w:color="auto"/>
                                  </w:divBdr>
                                  <w:divsChild>
                                    <w:div w:id="1189567824">
                                      <w:marLeft w:val="0"/>
                                      <w:marRight w:val="0"/>
                                      <w:marTop w:val="120"/>
                                      <w:marBottom w:val="0"/>
                                      <w:divBdr>
                                        <w:top w:val="none" w:sz="0" w:space="0" w:color="auto"/>
                                        <w:left w:val="none" w:sz="0" w:space="0" w:color="auto"/>
                                        <w:bottom w:val="none" w:sz="0" w:space="0" w:color="auto"/>
                                        <w:right w:val="none" w:sz="0" w:space="0" w:color="auto"/>
                                      </w:divBdr>
                                    </w:div>
                                    <w:div w:id="2000841894">
                                      <w:marLeft w:val="0"/>
                                      <w:marRight w:val="0"/>
                                      <w:marTop w:val="0"/>
                                      <w:marBottom w:val="0"/>
                                      <w:divBdr>
                                        <w:top w:val="none" w:sz="0" w:space="0" w:color="auto"/>
                                        <w:left w:val="none" w:sz="0" w:space="0" w:color="auto"/>
                                        <w:bottom w:val="none" w:sz="0" w:space="0" w:color="auto"/>
                                        <w:right w:val="none" w:sz="0" w:space="0" w:color="auto"/>
                                      </w:divBdr>
                                    </w:div>
                                  </w:divsChild>
                                </w:div>
                                <w:div w:id="2096591022">
                                  <w:marLeft w:val="0"/>
                                  <w:marRight w:val="0"/>
                                  <w:marTop w:val="0"/>
                                  <w:marBottom w:val="0"/>
                                  <w:divBdr>
                                    <w:top w:val="none" w:sz="0" w:space="0" w:color="auto"/>
                                    <w:left w:val="none" w:sz="0" w:space="0" w:color="auto"/>
                                    <w:bottom w:val="none" w:sz="0" w:space="0" w:color="auto"/>
                                    <w:right w:val="none" w:sz="0" w:space="0" w:color="auto"/>
                                  </w:divBdr>
                                  <w:divsChild>
                                    <w:div w:id="1151019817">
                                      <w:marLeft w:val="0"/>
                                      <w:marRight w:val="0"/>
                                      <w:marTop w:val="120"/>
                                      <w:marBottom w:val="0"/>
                                      <w:divBdr>
                                        <w:top w:val="none" w:sz="0" w:space="0" w:color="auto"/>
                                        <w:left w:val="none" w:sz="0" w:space="0" w:color="auto"/>
                                        <w:bottom w:val="none" w:sz="0" w:space="0" w:color="auto"/>
                                        <w:right w:val="none" w:sz="0" w:space="0" w:color="auto"/>
                                      </w:divBdr>
                                    </w:div>
                                    <w:div w:id="1529559107">
                                      <w:marLeft w:val="0"/>
                                      <w:marRight w:val="0"/>
                                      <w:marTop w:val="0"/>
                                      <w:marBottom w:val="0"/>
                                      <w:divBdr>
                                        <w:top w:val="none" w:sz="0" w:space="0" w:color="auto"/>
                                        <w:left w:val="none" w:sz="0" w:space="0" w:color="auto"/>
                                        <w:bottom w:val="none" w:sz="0" w:space="0" w:color="auto"/>
                                        <w:right w:val="none" w:sz="0" w:space="0" w:color="auto"/>
                                      </w:divBdr>
                                    </w:div>
                                  </w:divsChild>
                                </w:div>
                                <w:div w:id="1688751297">
                                  <w:marLeft w:val="0"/>
                                  <w:marRight w:val="0"/>
                                  <w:marTop w:val="0"/>
                                  <w:marBottom w:val="0"/>
                                  <w:divBdr>
                                    <w:top w:val="none" w:sz="0" w:space="0" w:color="auto"/>
                                    <w:left w:val="none" w:sz="0" w:space="0" w:color="auto"/>
                                    <w:bottom w:val="none" w:sz="0" w:space="0" w:color="auto"/>
                                    <w:right w:val="none" w:sz="0" w:space="0" w:color="auto"/>
                                  </w:divBdr>
                                  <w:divsChild>
                                    <w:div w:id="1566333761">
                                      <w:marLeft w:val="0"/>
                                      <w:marRight w:val="0"/>
                                      <w:marTop w:val="120"/>
                                      <w:marBottom w:val="0"/>
                                      <w:divBdr>
                                        <w:top w:val="none" w:sz="0" w:space="0" w:color="auto"/>
                                        <w:left w:val="none" w:sz="0" w:space="0" w:color="auto"/>
                                        <w:bottom w:val="none" w:sz="0" w:space="0" w:color="auto"/>
                                        <w:right w:val="none" w:sz="0" w:space="0" w:color="auto"/>
                                      </w:divBdr>
                                    </w:div>
                                    <w:div w:id="19054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299574">
                          <w:marLeft w:val="0"/>
                          <w:marRight w:val="0"/>
                          <w:marTop w:val="0"/>
                          <w:marBottom w:val="0"/>
                          <w:divBdr>
                            <w:top w:val="none" w:sz="0" w:space="0" w:color="auto"/>
                            <w:left w:val="none" w:sz="0" w:space="0" w:color="auto"/>
                            <w:bottom w:val="none" w:sz="0" w:space="0" w:color="auto"/>
                            <w:right w:val="none" w:sz="0" w:space="0" w:color="auto"/>
                          </w:divBdr>
                          <w:divsChild>
                            <w:div w:id="60708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72386">
                      <w:marLeft w:val="0"/>
                      <w:marRight w:val="0"/>
                      <w:marTop w:val="0"/>
                      <w:marBottom w:val="0"/>
                      <w:divBdr>
                        <w:top w:val="none" w:sz="0" w:space="0" w:color="auto"/>
                        <w:left w:val="none" w:sz="0" w:space="0" w:color="auto"/>
                        <w:bottom w:val="none" w:sz="0" w:space="0" w:color="auto"/>
                        <w:right w:val="none" w:sz="0" w:space="0" w:color="auto"/>
                      </w:divBdr>
                      <w:divsChild>
                        <w:div w:id="38170123">
                          <w:marLeft w:val="0"/>
                          <w:marRight w:val="0"/>
                          <w:marTop w:val="0"/>
                          <w:marBottom w:val="0"/>
                          <w:divBdr>
                            <w:top w:val="none" w:sz="0" w:space="0" w:color="auto"/>
                            <w:left w:val="none" w:sz="0" w:space="0" w:color="auto"/>
                            <w:bottom w:val="none" w:sz="0" w:space="0" w:color="auto"/>
                            <w:right w:val="none" w:sz="0" w:space="0" w:color="auto"/>
                          </w:divBdr>
                        </w:div>
                        <w:div w:id="497774924">
                          <w:marLeft w:val="0"/>
                          <w:marRight w:val="0"/>
                          <w:marTop w:val="0"/>
                          <w:marBottom w:val="0"/>
                          <w:divBdr>
                            <w:top w:val="none" w:sz="0" w:space="0" w:color="auto"/>
                            <w:left w:val="none" w:sz="0" w:space="0" w:color="auto"/>
                            <w:bottom w:val="none" w:sz="0" w:space="0" w:color="auto"/>
                            <w:right w:val="none" w:sz="0" w:space="0" w:color="auto"/>
                          </w:divBdr>
                          <w:divsChild>
                            <w:div w:id="1089737663">
                              <w:marLeft w:val="0"/>
                              <w:marRight w:val="0"/>
                              <w:marTop w:val="0"/>
                              <w:marBottom w:val="0"/>
                              <w:divBdr>
                                <w:top w:val="none" w:sz="0" w:space="0" w:color="auto"/>
                                <w:left w:val="none" w:sz="0" w:space="0" w:color="auto"/>
                                <w:bottom w:val="none" w:sz="0" w:space="0" w:color="auto"/>
                                <w:right w:val="none" w:sz="0" w:space="0" w:color="auto"/>
                              </w:divBdr>
                            </w:div>
                          </w:divsChild>
                        </w:div>
                        <w:div w:id="1724601432">
                          <w:marLeft w:val="0"/>
                          <w:marRight w:val="0"/>
                          <w:marTop w:val="0"/>
                          <w:marBottom w:val="0"/>
                          <w:divBdr>
                            <w:top w:val="none" w:sz="0" w:space="0" w:color="auto"/>
                            <w:left w:val="none" w:sz="0" w:space="0" w:color="auto"/>
                            <w:bottom w:val="none" w:sz="0" w:space="0" w:color="auto"/>
                            <w:right w:val="none" w:sz="0" w:space="0" w:color="auto"/>
                          </w:divBdr>
                          <w:divsChild>
                            <w:div w:id="545140518">
                              <w:marLeft w:val="0"/>
                              <w:marRight w:val="0"/>
                              <w:marTop w:val="0"/>
                              <w:marBottom w:val="0"/>
                              <w:divBdr>
                                <w:top w:val="none" w:sz="0" w:space="0" w:color="auto"/>
                                <w:left w:val="none" w:sz="0" w:space="0" w:color="auto"/>
                                <w:bottom w:val="none" w:sz="0" w:space="0" w:color="auto"/>
                                <w:right w:val="none" w:sz="0" w:space="0" w:color="auto"/>
                              </w:divBdr>
                            </w:div>
                          </w:divsChild>
                        </w:div>
                        <w:div w:id="48114903">
                          <w:marLeft w:val="0"/>
                          <w:marRight w:val="0"/>
                          <w:marTop w:val="0"/>
                          <w:marBottom w:val="0"/>
                          <w:divBdr>
                            <w:top w:val="none" w:sz="0" w:space="0" w:color="auto"/>
                            <w:left w:val="none" w:sz="0" w:space="0" w:color="auto"/>
                            <w:bottom w:val="none" w:sz="0" w:space="0" w:color="auto"/>
                            <w:right w:val="none" w:sz="0" w:space="0" w:color="auto"/>
                          </w:divBdr>
                          <w:divsChild>
                            <w:div w:id="1332872229">
                              <w:marLeft w:val="0"/>
                              <w:marRight w:val="0"/>
                              <w:marTop w:val="0"/>
                              <w:marBottom w:val="0"/>
                              <w:divBdr>
                                <w:top w:val="none" w:sz="0" w:space="0" w:color="auto"/>
                                <w:left w:val="none" w:sz="0" w:space="0" w:color="auto"/>
                                <w:bottom w:val="none" w:sz="0" w:space="0" w:color="auto"/>
                                <w:right w:val="none" w:sz="0" w:space="0" w:color="auto"/>
                              </w:divBdr>
                            </w:div>
                          </w:divsChild>
                        </w:div>
                        <w:div w:id="1862695268">
                          <w:marLeft w:val="0"/>
                          <w:marRight w:val="0"/>
                          <w:marTop w:val="0"/>
                          <w:marBottom w:val="0"/>
                          <w:divBdr>
                            <w:top w:val="none" w:sz="0" w:space="0" w:color="auto"/>
                            <w:left w:val="none" w:sz="0" w:space="0" w:color="auto"/>
                            <w:bottom w:val="none" w:sz="0" w:space="0" w:color="auto"/>
                            <w:right w:val="none" w:sz="0" w:space="0" w:color="auto"/>
                          </w:divBdr>
                          <w:divsChild>
                            <w:div w:id="1132598276">
                              <w:marLeft w:val="0"/>
                              <w:marRight w:val="0"/>
                              <w:marTop w:val="0"/>
                              <w:marBottom w:val="0"/>
                              <w:divBdr>
                                <w:top w:val="none" w:sz="0" w:space="0" w:color="auto"/>
                                <w:left w:val="none" w:sz="0" w:space="0" w:color="auto"/>
                                <w:bottom w:val="none" w:sz="0" w:space="0" w:color="auto"/>
                                <w:right w:val="none" w:sz="0" w:space="0" w:color="auto"/>
                              </w:divBdr>
                            </w:div>
                          </w:divsChild>
                        </w:div>
                        <w:div w:id="1699696349">
                          <w:marLeft w:val="0"/>
                          <w:marRight w:val="0"/>
                          <w:marTop w:val="0"/>
                          <w:marBottom w:val="0"/>
                          <w:divBdr>
                            <w:top w:val="none" w:sz="0" w:space="0" w:color="auto"/>
                            <w:left w:val="none" w:sz="0" w:space="0" w:color="auto"/>
                            <w:bottom w:val="none" w:sz="0" w:space="0" w:color="auto"/>
                            <w:right w:val="none" w:sz="0" w:space="0" w:color="auto"/>
                          </w:divBdr>
                          <w:divsChild>
                            <w:div w:id="6463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776">
                      <w:marLeft w:val="0"/>
                      <w:marRight w:val="0"/>
                      <w:marTop w:val="0"/>
                      <w:marBottom w:val="0"/>
                      <w:divBdr>
                        <w:top w:val="none" w:sz="0" w:space="0" w:color="auto"/>
                        <w:left w:val="none" w:sz="0" w:space="0" w:color="auto"/>
                        <w:bottom w:val="none" w:sz="0" w:space="0" w:color="auto"/>
                        <w:right w:val="none" w:sz="0" w:space="0" w:color="auto"/>
                      </w:divBdr>
                      <w:divsChild>
                        <w:div w:id="11762733">
                          <w:marLeft w:val="0"/>
                          <w:marRight w:val="0"/>
                          <w:marTop w:val="0"/>
                          <w:marBottom w:val="0"/>
                          <w:divBdr>
                            <w:top w:val="none" w:sz="0" w:space="0" w:color="auto"/>
                            <w:left w:val="none" w:sz="0" w:space="0" w:color="auto"/>
                            <w:bottom w:val="none" w:sz="0" w:space="0" w:color="auto"/>
                            <w:right w:val="none" w:sz="0" w:space="0" w:color="auto"/>
                          </w:divBdr>
                        </w:div>
                        <w:div w:id="317074970">
                          <w:marLeft w:val="0"/>
                          <w:marRight w:val="0"/>
                          <w:marTop w:val="0"/>
                          <w:marBottom w:val="0"/>
                          <w:divBdr>
                            <w:top w:val="none" w:sz="0" w:space="0" w:color="auto"/>
                            <w:left w:val="none" w:sz="0" w:space="0" w:color="auto"/>
                            <w:bottom w:val="none" w:sz="0" w:space="0" w:color="auto"/>
                            <w:right w:val="none" w:sz="0" w:space="0" w:color="auto"/>
                          </w:divBdr>
                          <w:divsChild>
                            <w:div w:id="1722560589">
                              <w:marLeft w:val="0"/>
                              <w:marRight w:val="0"/>
                              <w:marTop w:val="0"/>
                              <w:marBottom w:val="0"/>
                              <w:divBdr>
                                <w:top w:val="none" w:sz="0" w:space="0" w:color="auto"/>
                                <w:left w:val="none" w:sz="0" w:space="0" w:color="auto"/>
                                <w:bottom w:val="none" w:sz="0" w:space="0" w:color="auto"/>
                                <w:right w:val="none" w:sz="0" w:space="0" w:color="auto"/>
                              </w:divBdr>
                            </w:div>
                          </w:divsChild>
                        </w:div>
                        <w:div w:id="1276476205">
                          <w:marLeft w:val="0"/>
                          <w:marRight w:val="0"/>
                          <w:marTop w:val="0"/>
                          <w:marBottom w:val="0"/>
                          <w:divBdr>
                            <w:top w:val="none" w:sz="0" w:space="0" w:color="auto"/>
                            <w:left w:val="none" w:sz="0" w:space="0" w:color="auto"/>
                            <w:bottom w:val="none" w:sz="0" w:space="0" w:color="auto"/>
                            <w:right w:val="none" w:sz="0" w:space="0" w:color="auto"/>
                          </w:divBdr>
                          <w:divsChild>
                            <w:div w:id="1005746557">
                              <w:marLeft w:val="0"/>
                              <w:marRight w:val="0"/>
                              <w:marTop w:val="0"/>
                              <w:marBottom w:val="0"/>
                              <w:divBdr>
                                <w:top w:val="none" w:sz="0" w:space="0" w:color="auto"/>
                                <w:left w:val="none" w:sz="0" w:space="0" w:color="auto"/>
                                <w:bottom w:val="none" w:sz="0" w:space="0" w:color="auto"/>
                                <w:right w:val="none" w:sz="0" w:space="0" w:color="auto"/>
                              </w:divBdr>
                            </w:div>
                          </w:divsChild>
                        </w:div>
                        <w:div w:id="1661616938">
                          <w:marLeft w:val="0"/>
                          <w:marRight w:val="0"/>
                          <w:marTop w:val="0"/>
                          <w:marBottom w:val="0"/>
                          <w:divBdr>
                            <w:top w:val="none" w:sz="0" w:space="0" w:color="auto"/>
                            <w:left w:val="none" w:sz="0" w:space="0" w:color="auto"/>
                            <w:bottom w:val="none" w:sz="0" w:space="0" w:color="auto"/>
                            <w:right w:val="none" w:sz="0" w:space="0" w:color="auto"/>
                          </w:divBdr>
                          <w:divsChild>
                            <w:div w:id="580139375">
                              <w:marLeft w:val="0"/>
                              <w:marRight w:val="0"/>
                              <w:marTop w:val="0"/>
                              <w:marBottom w:val="0"/>
                              <w:divBdr>
                                <w:top w:val="none" w:sz="0" w:space="0" w:color="auto"/>
                                <w:left w:val="none" w:sz="0" w:space="0" w:color="auto"/>
                                <w:bottom w:val="none" w:sz="0" w:space="0" w:color="auto"/>
                                <w:right w:val="none" w:sz="0" w:space="0" w:color="auto"/>
                              </w:divBdr>
                            </w:div>
                          </w:divsChild>
                        </w:div>
                        <w:div w:id="1585601122">
                          <w:marLeft w:val="0"/>
                          <w:marRight w:val="0"/>
                          <w:marTop w:val="0"/>
                          <w:marBottom w:val="0"/>
                          <w:divBdr>
                            <w:top w:val="none" w:sz="0" w:space="0" w:color="auto"/>
                            <w:left w:val="none" w:sz="0" w:space="0" w:color="auto"/>
                            <w:bottom w:val="none" w:sz="0" w:space="0" w:color="auto"/>
                            <w:right w:val="none" w:sz="0" w:space="0" w:color="auto"/>
                          </w:divBdr>
                          <w:divsChild>
                            <w:div w:id="880095468">
                              <w:marLeft w:val="0"/>
                              <w:marRight w:val="0"/>
                              <w:marTop w:val="0"/>
                              <w:marBottom w:val="0"/>
                              <w:divBdr>
                                <w:top w:val="none" w:sz="0" w:space="0" w:color="auto"/>
                                <w:left w:val="none" w:sz="0" w:space="0" w:color="auto"/>
                                <w:bottom w:val="none" w:sz="0" w:space="0" w:color="auto"/>
                                <w:right w:val="none" w:sz="0" w:space="0" w:color="auto"/>
                              </w:divBdr>
                            </w:div>
                          </w:divsChild>
                        </w:div>
                        <w:div w:id="271085331">
                          <w:marLeft w:val="0"/>
                          <w:marRight w:val="0"/>
                          <w:marTop w:val="0"/>
                          <w:marBottom w:val="0"/>
                          <w:divBdr>
                            <w:top w:val="none" w:sz="0" w:space="0" w:color="auto"/>
                            <w:left w:val="none" w:sz="0" w:space="0" w:color="auto"/>
                            <w:bottom w:val="none" w:sz="0" w:space="0" w:color="auto"/>
                            <w:right w:val="none" w:sz="0" w:space="0" w:color="auto"/>
                          </w:divBdr>
                          <w:divsChild>
                            <w:div w:id="2076539900">
                              <w:marLeft w:val="0"/>
                              <w:marRight w:val="0"/>
                              <w:marTop w:val="0"/>
                              <w:marBottom w:val="0"/>
                              <w:divBdr>
                                <w:top w:val="none" w:sz="0" w:space="0" w:color="auto"/>
                                <w:left w:val="none" w:sz="0" w:space="0" w:color="auto"/>
                                <w:bottom w:val="none" w:sz="0" w:space="0" w:color="auto"/>
                                <w:right w:val="none" w:sz="0" w:space="0" w:color="auto"/>
                              </w:divBdr>
                            </w:div>
                          </w:divsChild>
                        </w:div>
                        <w:div w:id="1476296295">
                          <w:marLeft w:val="0"/>
                          <w:marRight w:val="0"/>
                          <w:marTop w:val="0"/>
                          <w:marBottom w:val="0"/>
                          <w:divBdr>
                            <w:top w:val="none" w:sz="0" w:space="0" w:color="auto"/>
                            <w:left w:val="none" w:sz="0" w:space="0" w:color="auto"/>
                            <w:bottom w:val="none" w:sz="0" w:space="0" w:color="auto"/>
                            <w:right w:val="none" w:sz="0" w:space="0" w:color="auto"/>
                          </w:divBdr>
                          <w:divsChild>
                            <w:div w:id="1730373601">
                              <w:marLeft w:val="0"/>
                              <w:marRight w:val="0"/>
                              <w:marTop w:val="0"/>
                              <w:marBottom w:val="0"/>
                              <w:divBdr>
                                <w:top w:val="none" w:sz="0" w:space="0" w:color="auto"/>
                                <w:left w:val="none" w:sz="0" w:space="0" w:color="auto"/>
                                <w:bottom w:val="none" w:sz="0" w:space="0" w:color="auto"/>
                                <w:right w:val="none" w:sz="0" w:space="0" w:color="auto"/>
                              </w:divBdr>
                            </w:div>
                          </w:divsChild>
                        </w:div>
                        <w:div w:id="939609561">
                          <w:marLeft w:val="0"/>
                          <w:marRight w:val="0"/>
                          <w:marTop w:val="0"/>
                          <w:marBottom w:val="0"/>
                          <w:divBdr>
                            <w:top w:val="none" w:sz="0" w:space="0" w:color="auto"/>
                            <w:left w:val="none" w:sz="0" w:space="0" w:color="auto"/>
                            <w:bottom w:val="none" w:sz="0" w:space="0" w:color="auto"/>
                            <w:right w:val="none" w:sz="0" w:space="0" w:color="auto"/>
                          </w:divBdr>
                          <w:divsChild>
                            <w:div w:id="1908102281">
                              <w:marLeft w:val="0"/>
                              <w:marRight w:val="0"/>
                              <w:marTop w:val="0"/>
                              <w:marBottom w:val="0"/>
                              <w:divBdr>
                                <w:top w:val="none" w:sz="0" w:space="0" w:color="auto"/>
                                <w:left w:val="none" w:sz="0" w:space="0" w:color="auto"/>
                                <w:bottom w:val="none" w:sz="0" w:space="0" w:color="auto"/>
                                <w:right w:val="none" w:sz="0" w:space="0" w:color="auto"/>
                              </w:divBdr>
                              <w:divsChild>
                                <w:div w:id="167258747">
                                  <w:marLeft w:val="0"/>
                                  <w:marRight w:val="0"/>
                                  <w:marTop w:val="0"/>
                                  <w:marBottom w:val="0"/>
                                  <w:divBdr>
                                    <w:top w:val="none" w:sz="0" w:space="0" w:color="auto"/>
                                    <w:left w:val="none" w:sz="0" w:space="0" w:color="auto"/>
                                    <w:bottom w:val="none" w:sz="0" w:space="0" w:color="auto"/>
                                    <w:right w:val="none" w:sz="0" w:space="0" w:color="auto"/>
                                  </w:divBdr>
                                  <w:divsChild>
                                    <w:div w:id="1825050861">
                                      <w:marLeft w:val="0"/>
                                      <w:marRight w:val="0"/>
                                      <w:marTop w:val="120"/>
                                      <w:marBottom w:val="0"/>
                                      <w:divBdr>
                                        <w:top w:val="none" w:sz="0" w:space="0" w:color="auto"/>
                                        <w:left w:val="none" w:sz="0" w:space="0" w:color="auto"/>
                                        <w:bottom w:val="none" w:sz="0" w:space="0" w:color="auto"/>
                                        <w:right w:val="none" w:sz="0" w:space="0" w:color="auto"/>
                                      </w:divBdr>
                                    </w:div>
                                    <w:div w:id="1890149513">
                                      <w:marLeft w:val="0"/>
                                      <w:marRight w:val="0"/>
                                      <w:marTop w:val="0"/>
                                      <w:marBottom w:val="0"/>
                                      <w:divBdr>
                                        <w:top w:val="none" w:sz="0" w:space="0" w:color="auto"/>
                                        <w:left w:val="none" w:sz="0" w:space="0" w:color="auto"/>
                                        <w:bottom w:val="none" w:sz="0" w:space="0" w:color="auto"/>
                                        <w:right w:val="none" w:sz="0" w:space="0" w:color="auto"/>
                                      </w:divBdr>
                                    </w:div>
                                  </w:divsChild>
                                </w:div>
                                <w:div w:id="1414083004">
                                  <w:marLeft w:val="0"/>
                                  <w:marRight w:val="0"/>
                                  <w:marTop w:val="0"/>
                                  <w:marBottom w:val="0"/>
                                  <w:divBdr>
                                    <w:top w:val="none" w:sz="0" w:space="0" w:color="auto"/>
                                    <w:left w:val="none" w:sz="0" w:space="0" w:color="auto"/>
                                    <w:bottom w:val="none" w:sz="0" w:space="0" w:color="auto"/>
                                    <w:right w:val="none" w:sz="0" w:space="0" w:color="auto"/>
                                  </w:divBdr>
                                  <w:divsChild>
                                    <w:div w:id="1160541119">
                                      <w:marLeft w:val="0"/>
                                      <w:marRight w:val="0"/>
                                      <w:marTop w:val="120"/>
                                      <w:marBottom w:val="0"/>
                                      <w:divBdr>
                                        <w:top w:val="none" w:sz="0" w:space="0" w:color="auto"/>
                                        <w:left w:val="none" w:sz="0" w:space="0" w:color="auto"/>
                                        <w:bottom w:val="none" w:sz="0" w:space="0" w:color="auto"/>
                                        <w:right w:val="none" w:sz="0" w:space="0" w:color="auto"/>
                                      </w:divBdr>
                                    </w:div>
                                    <w:div w:id="274096611">
                                      <w:marLeft w:val="0"/>
                                      <w:marRight w:val="0"/>
                                      <w:marTop w:val="0"/>
                                      <w:marBottom w:val="0"/>
                                      <w:divBdr>
                                        <w:top w:val="none" w:sz="0" w:space="0" w:color="auto"/>
                                        <w:left w:val="none" w:sz="0" w:space="0" w:color="auto"/>
                                        <w:bottom w:val="none" w:sz="0" w:space="0" w:color="auto"/>
                                        <w:right w:val="none" w:sz="0" w:space="0" w:color="auto"/>
                                      </w:divBdr>
                                    </w:div>
                                  </w:divsChild>
                                </w:div>
                                <w:div w:id="1538810870">
                                  <w:marLeft w:val="0"/>
                                  <w:marRight w:val="0"/>
                                  <w:marTop w:val="0"/>
                                  <w:marBottom w:val="0"/>
                                  <w:divBdr>
                                    <w:top w:val="none" w:sz="0" w:space="0" w:color="auto"/>
                                    <w:left w:val="none" w:sz="0" w:space="0" w:color="auto"/>
                                    <w:bottom w:val="none" w:sz="0" w:space="0" w:color="auto"/>
                                    <w:right w:val="none" w:sz="0" w:space="0" w:color="auto"/>
                                  </w:divBdr>
                                  <w:divsChild>
                                    <w:div w:id="259605563">
                                      <w:marLeft w:val="0"/>
                                      <w:marRight w:val="0"/>
                                      <w:marTop w:val="120"/>
                                      <w:marBottom w:val="0"/>
                                      <w:divBdr>
                                        <w:top w:val="none" w:sz="0" w:space="0" w:color="auto"/>
                                        <w:left w:val="none" w:sz="0" w:space="0" w:color="auto"/>
                                        <w:bottom w:val="none" w:sz="0" w:space="0" w:color="auto"/>
                                        <w:right w:val="none" w:sz="0" w:space="0" w:color="auto"/>
                                      </w:divBdr>
                                    </w:div>
                                    <w:div w:id="401220963">
                                      <w:marLeft w:val="0"/>
                                      <w:marRight w:val="0"/>
                                      <w:marTop w:val="0"/>
                                      <w:marBottom w:val="0"/>
                                      <w:divBdr>
                                        <w:top w:val="none" w:sz="0" w:space="0" w:color="auto"/>
                                        <w:left w:val="none" w:sz="0" w:space="0" w:color="auto"/>
                                        <w:bottom w:val="none" w:sz="0" w:space="0" w:color="auto"/>
                                        <w:right w:val="none" w:sz="0" w:space="0" w:color="auto"/>
                                      </w:divBdr>
                                    </w:div>
                                  </w:divsChild>
                                </w:div>
                                <w:div w:id="1739667819">
                                  <w:marLeft w:val="0"/>
                                  <w:marRight w:val="0"/>
                                  <w:marTop w:val="0"/>
                                  <w:marBottom w:val="0"/>
                                  <w:divBdr>
                                    <w:top w:val="none" w:sz="0" w:space="0" w:color="auto"/>
                                    <w:left w:val="none" w:sz="0" w:space="0" w:color="auto"/>
                                    <w:bottom w:val="none" w:sz="0" w:space="0" w:color="auto"/>
                                    <w:right w:val="none" w:sz="0" w:space="0" w:color="auto"/>
                                  </w:divBdr>
                                  <w:divsChild>
                                    <w:div w:id="65882560">
                                      <w:marLeft w:val="0"/>
                                      <w:marRight w:val="0"/>
                                      <w:marTop w:val="120"/>
                                      <w:marBottom w:val="0"/>
                                      <w:divBdr>
                                        <w:top w:val="none" w:sz="0" w:space="0" w:color="auto"/>
                                        <w:left w:val="none" w:sz="0" w:space="0" w:color="auto"/>
                                        <w:bottom w:val="none" w:sz="0" w:space="0" w:color="auto"/>
                                        <w:right w:val="none" w:sz="0" w:space="0" w:color="auto"/>
                                      </w:divBdr>
                                    </w:div>
                                    <w:div w:id="1952779855">
                                      <w:marLeft w:val="0"/>
                                      <w:marRight w:val="0"/>
                                      <w:marTop w:val="0"/>
                                      <w:marBottom w:val="0"/>
                                      <w:divBdr>
                                        <w:top w:val="none" w:sz="0" w:space="0" w:color="auto"/>
                                        <w:left w:val="none" w:sz="0" w:space="0" w:color="auto"/>
                                        <w:bottom w:val="none" w:sz="0" w:space="0" w:color="auto"/>
                                        <w:right w:val="none" w:sz="0" w:space="0" w:color="auto"/>
                                      </w:divBdr>
                                    </w:div>
                                  </w:divsChild>
                                </w:div>
                                <w:div w:id="523251444">
                                  <w:marLeft w:val="0"/>
                                  <w:marRight w:val="0"/>
                                  <w:marTop w:val="0"/>
                                  <w:marBottom w:val="0"/>
                                  <w:divBdr>
                                    <w:top w:val="none" w:sz="0" w:space="0" w:color="auto"/>
                                    <w:left w:val="none" w:sz="0" w:space="0" w:color="auto"/>
                                    <w:bottom w:val="none" w:sz="0" w:space="0" w:color="auto"/>
                                    <w:right w:val="none" w:sz="0" w:space="0" w:color="auto"/>
                                  </w:divBdr>
                                  <w:divsChild>
                                    <w:div w:id="1703436729">
                                      <w:marLeft w:val="0"/>
                                      <w:marRight w:val="0"/>
                                      <w:marTop w:val="120"/>
                                      <w:marBottom w:val="0"/>
                                      <w:divBdr>
                                        <w:top w:val="none" w:sz="0" w:space="0" w:color="auto"/>
                                        <w:left w:val="none" w:sz="0" w:space="0" w:color="auto"/>
                                        <w:bottom w:val="none" w:sz="0" w:space="0" w:color="auto"/>
                                        <w:right w:val="none" w:sz="0" w:space="0" w:color="auto"/>
                                      </w:divBdr>
                                    </w:div>
                                    <w:div w:id="288556647">
                                      <w:marLeft w:val="0"/>
                                      <w:marRight w:val="0"/>
                                      <w:marTop w:val="0"/>
                                      <w:marBottom w:val="0"/>
                                      <w:divBdr>
                                        <w:top w:val="none" w:sz="0" w:space="0" w:color="auto"/>
                                        <w:left w:val="none" w:sz="0" w:space="0" w:color="auto"/>
                                        <w:bottom w:val="none" w:sz="0" w:space="0" w:color="auto"/>
                                        <w:right w:val="none" w:sz="0" w:space="0" w:color="auto"/>
                                      </w:divBdr>
                                    </w:div>
                                  </w:divsChild>
                                </w:div>
                                <w:div w:id="856044304">
                                  <w:marLeft w:val="0"/>
                                  <w:marRight w:val="0"/>
                                  <w:marTop w:val="0"/>
                                  <w:marBottom w:val="0"/>
                                  <w:divBdr>
                                    <w:top w:val="none" w:sz="0" w:space="0" w:color="auto"/>
                                    <w:left w:val="none" w:sz="0" w:space="0" w:color="auto"/>
                                    <w:bottom w:val="none" w:sz="0" w:space="0" w:color="auto"/>
                                    <w:right w:val="none" w:sz="0" w:space="0" w:color="auto"/>
                                  </w:divBdr>
                                  <w:divsChild>
                                    <w:div w:id="1374422187">
                                      <w:marLeft w:val="0"/>
                                      <w:marRight w:val="0"/>
                                      <w:marTop w:val="120"/>
                                      <w:marBottom w:val="0"/>
                                      <w:divBdr>
                                        <w:top w:val="none" w:sz="0" w:space="0" w:color="auto"/>
                                        <w:left w:val="none" w:sz="0" w:space="0" w:color="auto"/>
                                        <w:bottom w:val="none" w:sz="0" w:space="0" w:color="auto"/>
                                        <w:right w:val="none" w:sz="0" w:space="0" w:color="auto"/>
                                      </w:divBdr>
                                    </w:div>
                                    <w:div w:id="512455416">
                                      <w:marLeft w:val="0"/>
                                      <w:marRight w:val="0"/>
                                      <w:marTop w:val="0"/>
                                      <w:marBottom w:val="0"/>
                                      <w:divBdr>
                                        <w:top w:val="none" w:sz="0" w:space="0" w:color="auto"/>
                                        <w:left w:val="none" w:sz="0" w:space="0" w:color="auto"/>
                                        <w:bottom w:val="none" w:sz="0" w:space="0" w:color="auto"/>
                                        <w:right w:val="none" w:sz="0" w:space="0" w:color="auto"/>
                                      </w:divBdr>
                                    </w:div>
                                  </w:divsChild>
                                </w:div>
                                <w:div w:id="909776157">
                                  <w:marLeft w:val="0"/>
                                  <w:marRight w:val="0"/>
                                  <w:marTop w:val="0"/>
                                  <w:marBottom w:val="0"/>
                                  <w:divBdr>
                                    <w:top w:val="none" w:sz="0" w:space="0" w:color="auto"/>
                                    <w:left w:val="none" w:sz="0" w:space="0" w:color="auto"/>
                                    <w:bottom w:val="none" w:sz="0" w:space="0" w:color="auto"/>
                                    <w:right w:val="none" w:sz="0" w:space="0" w:color="auto"/>
                                  </w:divBdr>
                                  <w:divsChild>
                                    <w:div w:id="2133094032">
                                      <w:marLeft w:val="0"/>
                                      <w:marRight w:val="0"/>
                                      <w:marTop w:val="120"/>
                                      <w:marBottom w:val="0"/>
                                      <w:divBdr>
                                        <w:top w:val="none" w:sz="0" w:space="0" w:color="auto"/>
                                        <w:left w:val="none" w:sz="0" w:space="0" w:color="auto"/>
                                        <w:bottom w:val="none" w:sz="0" w:space="0" w:color="auto"/>
                                        <w:right w:val="none" w:sz="0" w:space="0" w:color="auto"/>
                                      </w:divBdr>
                                    </w:div>
                                    <w:div w:id="943154084">
                                      <w:marLeft w:val="0"/>
                                      <w:marRight w:val="0"/>
                                      <w:marTop w:val="0"/>
                                      <w:marBottom w:val="0"/>
                                      <w:divBdr>
                                        <w:top w:val="none" w:sz="0" w:space="0" w:color="auto"/>
                                        <w:left w:val="none" w:sz="0" w:space="0" w:color="auto"/>
                                        <w:bottom w:val="none" w:sz="0" w:space="0" w:color="auto"/>
                                        <w:right w:val="none" w:sz="0" w:space="0" w:color="auto"/>
                                      </w:divBdr>
                                    </w:div>
                                  </w:divsChild>
                                </w:div>
                                <w:div w:id="1894193340">
                                  <w:marLeft w:val="0"/>
                                  <w:marRight w:val="0"/>
                                  <w:marTop w:val="0"/>
                                  <w:marBottom w:val="0"/>
                                  <w:divBdr>
                                    <w:top w:val="none" w:sz="0" w:space="0" w:color="auto"/>
                                    <w:left w:val="none" w:sz="0" w:space="0" w:color="auto"/>
                                    <w:bottom w:val="none" w:sz="0" w:space="0" w:color="auto"/>
                                    <w:right w:val="none" w:sz="0" w:space="0" w:color="auto"/>
                                  </w:divBdr>
                                  <w:divsChild>
                                    <w:div w:id="216359256">
                                      <w:marLeft w:val="0"/>
                                      <w:marRight w:val="0"/>
                                      <w:marTop w:val="120"/>
                                      <w:marBottom w:val="0"/>
                                      <w:divBdr>
                                        <w:top w:val="none" w:sz="0" w:space="0" w:color="auto"/>
                                        <w:left w:val="none" w:sz="0" w:space="0" w:color="auto"/>
                                        <w:bottom w:val="none" w:sz="0" w:space="0" w:color="auto"/>
                                        <w:right w:val="none" w:sz="0" w:space="0" w:color="auto"/>
                                      </w:divBdr>
                                    </w:div>
                                    <w:div w:id="51631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54690">
                          <w:marLeft w:val="0"/>
                          <w:marRight w:val="0"/>
                          <w:marTop w:val="0"/>
                          <w:marBottom w:val="0"/>
                          <w:divBdr>
                            <w:top w:val="none" w:sz="0" w:space="0" w:color="auto"/>
                            <w:left w:val="none" w:sz="0" w:space="0" w:color="auto"/>
                            <w:bottom w:val="none" w:sz="0" w:space="0" w:color="auto"/>
                            <w:right w:val="none" w:sz="0" w:space="0" w:color="auto"/>
                          </w:divBdr>
                          <w:divsChild>
                            <w:div w:id="2141416658">
                              <w:marLeft w:val="0"/>
                              <w:marRight w:val="0"/>
                              <w:marTop w:val="0"/>
                              <w:marBottom w:val="0"/>
                              <w:divBdr>
                                <w:top w:val="none" w:sz="0" w:space="0" w:color="auto"/>
                                <w:left w:val="none" w:sz="0" w:space="0" w:color="auto"/>
                                <w:bottom w:val="none" w:sz="0" w:space="0" w:color="auto"/>
                                <w:right w:val="none" w:sz="0" w:space="0" w:color="auto"/>
                              </w:divBdr>
                              <w:divsChild>
                                <w:div w:id="1757940279">
                                  <w:marLeft w:val="0"/>
                                  <w:marRight w:val="0"/>
                                  <w:marTop w:val="0"/>
                                  <w:marBottom w:val="0"/>
                                  <w:divBdr>
                                    <w:top w:val="none" w:sz="0" w:space="0" w:color="auto"/>
                                    <w:left w:val="none" w:sz="0" w:space="0" w:color="auto"/>
                                    <w:bottom w:val="none" w:sz="0" w:space="0" w:color="auto"/>
                                    <w:right w:val="none" w:sz="0" w:space="0" w:color="auto"/>
                                  </w:divBdr>
                                  <w:divsChild>
                                    <w:div w:id="482084777">
                                      <w:marLeft w:val="0"/>
                                      <w:marRight w:val="0"/>
                                      <w:marTop w:val="120"/>
                                      <w:marBottom w:val="0"/>
                                      <w:divBdr>
                                        <w:top w:val="none" w:sz="0" w:space="0" w:color="auto"/>
                                        <w:left w:val="none" w:sz="0" w:space="0" w:color="auto"/>
                                        <w:bottom w:val="none" w:sz="0" w:space="0" w:color="auto"/>
                                        <w:right w:val="none" w:sz="0" w:space="0" w:color="auto"/>
                                      </w:divBdr>
                                    </w:div>
                                    <w:div w:id="1469662122">
                                      <w:marLeft w:val="0"/>
                                      <w:marRight w:val="0"/>
                                      <w:marTop w:val="0"/>
                                      <w:marBottom w:val="0"/>
                                      <w:divBdr>
                                        <w:top w:val="none" w:sz="0" w:space="0" w:color="auto"/>
                                        <w:left w:val="none" w:sz="0" w:space="0" w:color="auto"/>
                                        <w:bottom w:val="none" w:sz="0" w:space="0" w:color="auto"/>
                                        <w:right w:val="none" w:sz="0" w:space="0" w:color="auto"/>
                                      </w:divBdr>
                                    </w:div>
                                  </w:divsChild>
                                </w:div>
                                <w:div w:id="2082870280">
                                  <w:marLeft w:val="0"/>
                                  <w:marRight w:val="0"/>
                                  <w:marTop w:val="0"/>
                                  <w:marBottom w:val="0"/>
                                  <w:divBdr>
                                    <w:top w:val="none" w:sz="0" w:space="0" w:color="auto"/>
                                    <w:left w:val="none" w:sz="0" w:space="0" w:color="auto"/>
                                    <w:bottom w:val="none" w:sz="0" w:space="0" w:color="auto"/>
                                    <w:right w:val="none" w:sz="0" w:space="0" w:color="auto"/>
                                  </w:divBdr>
                                  <w:divsChild>
                                    <w:div w:id="2010521267">
                                      <w:marLeft w:val="0"/>
                                      <w:marRight w:val="0"/>
                                      <w:marTop w:val="120"/>
                                      <w:marBottom w:val="0"/>
                                      <w:divBdr>
                                        <w:top w:val="none" w:sz="0" w:space="0" w:color="auto"/>
                                        <w:left w:val="none" w:sz="0" w:space="0" w:color="auto"/>
                                        <w:bottom w:val="none" w:sz="0" w:space="0" w:color="auto"/>
                                        <w:right w:val="none" w:sz="0" w:space="0" w:color="auto"/>
                                      </w:divBdr>
                                    </w:div>
                                    <w:div w:id="109316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948513">
                      <w:marLeft w:val="0"/>
                      <w:marRight w:val="0"/>
                      <w:marTop w:val="0"/>
                      <w:marBottom w:val="0"/>
                      <w:divBdr>
                        <w:top w:val="none" w:sz="0" w:space="0" w:color="auto"/>
                        <w:left w:val="none" w:sz="0" w:space="0" w:color="auto"/>
                        <w:bottom w:val="none" w:sz="0" w:space="0" w:color="auto"/>
                        <w:right w:val="none" w:sz="0" w:space="0" w:color="auto"/>
                      </w:divBdr>
                      <w:divsChild>
                        <w:div w:id="1193300624">
                          <w:marLeft w:val="0"/>
                          <w:marRight w:val="0"/>
                          <w:marTop w:val="0"/>
                          <w:marBottom w:val="0"/>
                          <w:divBdr>
                            <w:top w:val="none" w:sz="0" w:space="0" w:color="auto"/>
                            <w:left w:val="none" w:sz="0" w:space="0" w:color="auto"/>
                            <w:bottom w:val="none" w:sz="0" w:space="0" w:color="auto"/>
                            <w:right w:val="none" w:sz="0" w:space="0" w:color="auto"/>
                          </w:divBdr>
                        </w:div>
                        <w:div w:id="663825663">
                          <w:marLeft w:val="0"/>
                          <w:marRight w:val="0"/>
                          <w:marTop w:val="0"/>
                          <w:marBottom w:val="0"/>
                          <w:divBdr>
                            <w:top w:val="none" w:sz="0" w:space="0" w:color="auto"/>
                            <w:left w:val="none" w:sz="0" w:space="0" w:color="auto"/>
                            <w:bottom w:val="none" w:sz="0" w:space="0" w:color="auto"/>
                            <w:right w:val="none" w:sz="0" w:space="0" w:color="auto"/>
                          </w:divBdr>
                          <w:divsChild>
                            <w:div w:id="198398152">
                              <w:marLeft w:val="0"/>
                              <w:marRight w:val="0"/>
                              <w:marTop w:val="0"/>
                              <w:marBottom w:val="0"/>
                              <w:divBdr>
                                <w:top w:val="none" w:sz="0" w:space="0" w:color="auto"/>
                                <w:left w:val="none" w:sz="0" w:space="0" w:color="auto"/>
                                <w:bottom w:val="none" w:sz="0" w:space="0" w:color="auto"/>
                                <w:right w:val="none" w:sz="0" w:space="0" w:color="auto"/>
                              </w:divBdr>
                            </w:div>
                          </w:divsChild>
                        </w:div>
                        <w:div w:id="1340307839">
                          <w:marLeft w:val="0"/>
                          <w:marRight w:val="0"/>
                          <w:marTop w:val="0"/>
                          <w:marBottom w:val="0"/>
                          <w:divBdr>
                            <w:top w:val="none" w:sz="0" w:space="0" w:color="auto"/>
                            <w:left w:val="none" w:sz="0" w:space="0" w:color="auto"/>
                            <w:bottom w:val="none" w:sz="0" w:space="0" w:color="auto"/>
                            <w:right w:val="none" w:sz="0" w:space="0" w:color="auto"/>
                          </w:divBdr>
                          <w:divsChild>
                            <w:div w:id="1118525398">
                              <w:marLeft w:val="0"/>
                              <w:marRight w:val="0"/>
                              <w:marTop w:val="0"/>
                              <w:marBottom w:val="0"/>
                              <w:divBdr>
                                <w:top w:val="none" w:sz="0" w:space="0" w:color="auto"/>
                                <w:left w:val="none" w:sz="0" w:space="0" w:color="auto"/>
                                <w:bottom w:val="none" w:sz="0" w:space="0" w:color="auto"/>
                                <w:right w:val="none" w:sz="0" w:space="0" w:color="auto"/>
                              </w:divBdr>
                            </w:div>
                          </w:divsChild>
                        </w:div>
                        <w:div w:id="1976980082">
                          <w:marLeft w:val="0"/>
                          <w:marRight w:val="0"/>
                          <w:marTop w:val="0"/>
                          <w:marBottom w:val="0"/>
                          <w:divBdr>
                            <w:top w:val="none" w:sz="0" w:space="0" w:color="auto"/>
                            <w:left w:val="none" w:sz="0" w:space="0" w:color="auto"/>
                            <w:bottom w:val="none" w:sz="0" w:space="0" w:color="auto"/>
                            <w:right w:val="none" w:sz="0" w:space="0" w:color="auto"/>
                          </w:divBdr>
                          <w:divsChild>
                            <w:div w:id="709382419">
                              <w:marLeft w:val="0"/>
                              <w:marRight w:val="0"/>
                              <w:marTop w:val="0"/>
                              <w:marBottom w:val="0"/>
                              <w:divBdr>
                                <w:top w:val="none" w:sz="0" w:space="0" w:color="auto"/>
                                <w:left w:val="none" w:sz="0" w:space="0" w:color="auto"/>
                                <w:bottom w:val="none" w:sz="0" w:space="0" w:color="auto"/>
                                <w:right w:val="none" w:sz="0" w:space="0" w:color="auto"/>
                              </w:divBdr>
                            </w:div>
                          </w:divsChild>
                        </w:div>
                        <w:div w:id="1236164321">
                          <w:marLeft w:val="0"/>
                          <w:marRight w:val="0"/>
                          <w:marTop w:val="0"/>
                          <w:marBottom w:val="0"/>
                          <w:divBdr>
                            <w:top w:val="none" w:sz="0" w:space="0" w:color="auto"/>
                            <w:left w:val="none" w:sz="0" w:space="0" w:color="auto"/>
                            <w:bottom w:val="none" w:sz="0" w:space="0" w:color="auto"/>
                            <w:right w:val="none" w:sz="0" w:space="0" w:color="auto"/>
                          </w:divBdr>
                          <w:divsChild>
                            <w:div w:id="200176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00699">
                      <w:marLeft w:val="0"/>
                      <w:marRight w:val="0"/>
                      <w:marTop w:val="0"/>
                      <w:marBottom w:val="0"/>
                      <w:divBdr>
                        <w:top w:val="none" w:sz="0" w:space="0" w:color="auto"/>
                        <w:left w:val="none" w:sz="0" w:space="0" w:color="auto"/>
                        <w:bottom w:val="none" w:sz="0" w:space="0" w:color="auto"/>
                        <w:right w:val="none" w:sz="0" w:space="0" w:color="auto"/>
                      </w:divBdr>
                      <w:divsChild>
                        <w:div w:id="1575318248">
                          <w:marLeft w:val="0"/>
                          <w:marRight w:val="0"/>
                          <w:marTop w:val="0"/>
                          <w:marBottom w:val="0"/>
                          <w:divBdr>
                            <w:top w:val="none" w:sz="0" w:space="0" w:color="auto"/>
                            <w:left w:val="none" w:sz="0" w:space="0" w:color="auto"/>
                            <w:bottom w:val="none" w:sz="0" w:space="0" w:color="auto"/>
                            <w:right w:val="none" w:sz="0" w:space="0" w:color="auto"/>
                          </w:divBdr>
                        </w:div>
                      </w:divsChild>
                    </w:div>
                    <w:div w:id="502206602">
                      <w:marLeft w:val="0"/>
                      <w:marRight w:val="0"/>
                      <w:marTop w:val="0"/>
                      <w:marBottom w:val="0"/>
                      <w:divBdr>
                        <w:top w:val="none" w:sz="0" w:space="0" w:color="auto"/>
                        <w:left w:val="none" w:sz="0" w:space="0" w:color="auto"/>
                        <w:bottom w:val="none" w:sz="0" w:space="0" w:color="auto"/>
                        <w:right w:val="none" w:sz="0" w:space="0" w:color="auto"/>
                      </w:divBdr>
                      <w:divsChild>
                        <w:div w:id="802036908">
                          <w:marLeft w:val="0"/>
                          <w:marRight w:val="0"/>
                          <w:marTop w:val="0"/>
                          <w:marBottom w:val="0"/>
                          <w:divBdr>
                            <w:top w:val="none" w:sz="0" w:space="0" w:color="auto"/>
                            <w:left w:val="none" w:sz="0" w:space="0" w:color="auto"/>
                            <w:bottom w:val="none" w:sz="0" w:space="0" w:color="auto"/>
                            <w:right w:val="none" w:sz="0" w:space="0" w:color="auto"/>
                          </w:divBdr>
                        </w:div>
                        <w:div w:id="1146749247">
                          <w:marLeft w:val="0"/>
                          <w:marRight w:val="0"/>
                          <w:marTop w:val="0"/>
                          <w:marBottom w:val="0"/>
                          <w:divBdr>
                            <w:top w:val="none" w:sz="0" w:space="0" w:color="auto"/>
                            <w:left w:val="none" w:sz="0" w:space="0" w:color="auto"/>
                            <w:bottom w:val="none" w:sz="0" w:space="0" w:color="auto"/>
                            <w:right w:val="none" w:sz="0" w:space="0" w:color="auto"/>
                          </w:divBdr>
                          <w:divsChild>
                            <w:div w:id="1947080641">
                              <w:marLeft w:val="0"/>
                              <w:marRight w:val="0"/>
                              <w:marTop w:val="0"/>
                              <w:marBottom w:val="0"/>
                              <w:divBdr>
                                <w:top w:val="none" w:sz="0" w:space="0" w:color="auto"/>
                                <w:left w:val="none" w:sz="0" w:space="0" w:color="auto"/>
                                <w:bottom w:val="none" w:sz="0" w:space="0" w:color="auto"/>
                                <w:right w:val="none" w:sz="0" w:space="0" w:color="auto"/>
                              </w:divBdr>
                              <w:divsChild>
                                <w:div w:id="1650590497">
                                  <w:marLeft w:val="0"/>
                                  <w:marRight w:val="0"/>
                                  <w:marTop w:val="0"/>
                                  <w:marBottom w:val="0"/>
                                  <w:divBdr>
                                    <w:top w:val="none" w:sz="0" w:space="0" w:color="auto"/>
                                    <w:left w:val="none" w:sz="0" w:space="0" w:color="auto"/>
                                    <w:bottom w:val="none" w:sz="0" w:space="0" w:color="auto"/>
                                    <w:right w:val="none" w:sz="0" w:space="0" w:color="auto"/>
                                  </w:divBdr>
                                  <w:divsChild>
                                    <w:div w:id="29766434">
                                      <w:marLeft w:val="0"/>
                                      <w:marRight w:val="0"/>
                                      <w:marTop w:val="120"/>
                                      <w:marBottom w:val="0"/>
                                      <w:divBdr>
                                        <w:top w:val="none" w:sz="0" w:space="0" w:color="auto"/>
                                        <w:left w:val="none" w:sz="0" w:space="0" w:color="auto"/>
                                        <w:bottom w:val="none" w:sz="0" w:space="0" w:color="auto"/>
                                        <w:right w:val="none" w:sz="0" w:space="0" w:color="auto"/>
                                      </w:divBdr>
                                    </w:div>
                                    <w:div w:id="676081309">
                                      <w:marLeft w:val="0"/>
                                      <w:marRight w:val="0"/>
                                      <w:marTop w:val="0"/>
                                      <w:marBottom w:val="0"/>
                                      <w:divBdr>
                                        <w:top w:val="none" w:sz="0" w:space="0" w:color="auto"/>
                                        <w:left w:val="none" w:sz="0" w:space="0" w:color="auto"/>
                                        <w:bottom w:val="none" w:sz="0" w:space="0" w:color="auto"/>
                                        <w:right w:val="none" w:sz="0" w:space="0" w:color="auto"/>
                                      </w:divBdr>
                                    </w:div>
                                  </w:divsChild>
                                </w:div>
                                <w:div w:id="1777824915">
                                  <w:marLeft w:val="0"/>
                                  <w:marRight w:val="0"/>
                                  <w:marTop w:val="0"/>
                                  <w:marBottom w:val="0"/>
                                  <w:divBdr>
                                    <w:top w:val="none" w:sz="0" w:space="0" w:color="auto"/>
                                    <w:left w:val="none" w:sz="0" w:space="0" w:color="auto"/>
                                    <w:bottom w:val="none" w:sz="0" w:space="0" w:color="auto"/>
                                    <w:right w:val="none" w:sz="0" w:space="0" w:color="auto"/>
                                  </w:divBdr>
                                  <w:divsChild>
                                    <w:div w:id="455370991">
                                      <w:marLeft w:val="0"/>
                                      <w:marRight w:val="0"/>
                                      <w:marTop w:val="120"/>
                                      <w:marBottom w:val="0"/>
                                      <w:divBdr>
                                        <w:top w:val="none" w:sz="0" w:space="0" w:color="auto"/>
                                        <w:left w:val="none" w:sz="0" w:space="0" w:color="auto"/>
                                        <w:bottom w:val="none" w:sz="0" w:space="0" w:color="auto"/>
                                        <w:right w:val="none" w:sz="0" w:space="0" w:color="auto"/>
                                      </w:divBdr>
                                    </w:div>
                                    <w:div w:id="1043556752">
                                      <w:marLeft w:val="0"/>
                                      <w:marRight w:val="0"/>
                                      <w:marTop w:val="0"/>
                                      <w:marBottom w:val="0"/>
                                      <w:divBdr>
                                        <w:top w:val="none" w:sz="0" w:space="0" w:color="auto"/>
                                        <w:left w:val="none" w:sz="0" w:space="0" w:color="auto"/>
                                        <w:bottom w:val="none" w:sz="0" w:space="0" w:color="auto"/>
                                        <w:right w:val="none" w:sz="0" w:space="0" w:color="auto"/>
                                      </w:divBdr>
                                    </w:div>
                                  </w:divsChild>
                                </w:div>
                                <w:div w:id="1555199304">
                                  <w:marLeft w:val="0"/>
                                  <w:marRight w:val="0"/>
                                  <w:marTop w:val="0"/>
                                  <w:marBottom w:val="0"/>
                                  <w:divBdr>
                                    <w:top w:val="none" w:sz="0" w:space="0" w:color="auto"/>
                                    <w:left w:val="none" w:sz="0" w:space="0" w:color="auto"/>
                                    <w:bottom w:val="none" w:sz="0" w:space="0" w:color="auto"/>
                                    <w:right w:val="none" w:sz="0" w:space="0" w:color="auto"/>
                                  </w:divBdr>
                                  <w:divsChild>
                                    <w:div w:id="1689404853">
                                      <w:marLeft w:val="0"/>
                                      <w:marRight w:val="0"/>
                                      <w:marTop w:val="120"/>
                                      <w:marBottom w:val="0"/>
                                      <w:divBdr>
                                        <w:top w:val="none" w:sz="0" w:space="0" w:color="auto"/>
                                        <w:left w:val="none" w:sz="0" w:space="0" w:color="auto"/>
                                        <w:bottom w:val="none" w:sz="0" w:space="0" w:color="auto"/>
                                        <w:right w:val="none" w:sz="0" w:space="0" w:color="auto"/>
                                      </w:divBdr>
                                    </w:div>
                                    <w:div w:id="123497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145413">
                          <w:marLeft w:val="0"/>
                          <w:marRight w:val="0"/>
                          <w:marTop w:val="0"/>
                          <w:marBottom w:val="0"/>
                          <w:divBdr>
                            <w:top w:val="none" w:sz="0" w:space="0" w:color="auto"/>
                            <w:left w:val="none" w:sz="0" w:space="0" w:color="auto"/>
                            <w:bottom w:val="none" w:sz="0" w:space="0" w:color="auto"/>
                            <w:right w:val="none" w:sz="0" w:space="0" w:color="auto"/>
                          </w:divBdr>
                          <w:divsChild>
                            <w:div w:id="1440105003">
                              <w:marLeft w:val="0"/>
                              <w:marRight w:val="0"/>
                              <w:marTop w:val="0"/>
                              <w:marBottom w:val="0"/>
                              <w:divBdr>
                                <w:top w:val="none" w:sz="0" w:space="0" w:color="auto"/>
                                <w:left w:val="none" w:sz="0" w:space="0" w:color="auto"/>
                                <w:bottom w:val="none" w:sz="0" w:space="0" w:color="auto"/>
                                <w:right w:val="none" w:sz="0" w:space="0" w:color="auto"/>
                              </w:divBdr>
                            </w:div>
                          </w:divsChild>
                        </w:div>
                        <w:div w:id="1416366072">
                          <w:marLeft w:val="0"/>
                          <w:marRight w:val="0"/>
                          <w:marTop w:val="0"/>
                          <w:marBottom w:val="0"/>
                          <w:divBdr>
                            <w:top w:val="none" w:sz="0" w:space="0" w:color="auto"/>
                            <w:left w:val="none" w:sz="0" w:space="0" w:color="auto"/>
                            <w:bottom w:val="none" w:sz="0" w:space="0" w:color="auto"/>
                            <w:right w:val="none" w:sz="0" w:space="0" w:color="auto"/>
                          </w:divBdr>
                          <w:divsChild>
                            <w:div w:id="280308724">
                              <w:marLeft w:val="0"/>
                              <w:marRight w:val="0"/>
                              <w:marTop w:val="0"/>
                              <w:marBottom w:val="0"/>
                              <w:divBdr>
                                <w:top w:val="none" w:sz="0" w:space="0" w:color="auto"/>
                                <w:left w:val="none" w:sz="0" w:space="0" w:color="auto"/>
                                <w:bottom w:val="none" w:sz="0" w:space="0" w:color="auto"/>
                                <w:right w:val="none" w:sz="0" w:space="0" w:color="auto"/>
                              </w:divBdr>
                            </w:div>
                          </w:divsChild>
                        </w:div>
                        <w:div w:id="1957254402">
                          <w:marLeft w:val="0"/>
                          <w:marRight w:val="0"/>
                          <w:marTop w:val="0"/>
                          <w:marBottom w:val="0"/>
                          <w:divBdr>
                            <w:top w:val="none" w:sz="0" w:space="0" w:color="auto"/>
                            <w:left w:val="none" w:sz="0" w:space="0" w:color="auto"/>
                            <w:bottom w:val="none" w:sz="0" w:space="0" w:color="auto"/>
                            <w:right w:val="none" w:sz="0" w:space="0" w:color="auto"/>
                          </w:divBdr>
                          <w:divsChild>
                            <w:div w:id="1224411143">
                              <w:marLeft w:val="0"/>
                              <w:marRight w:val="0"/>
                              <w:marTop w:val="0"/>
                              <w:marBottom w:val="0"/>
                              <w:divBdr>
                                <w:top w:val="none" w:sz="0" w:space="0" w:color="auto"/>
                                <w:left w:val="none" w:sz="0" w:space="0" w:color="auto"/>
                                <w:bottom w:val="none" w:sz="0" w:space="0" w:color="auto"/>
                                <w:right w:val="none" w:sz="0" w:space="0" w:color="auto"/>
                              </w:divBdr>
                            </w:div>
                          </w:divsChild>
                        </w:div>
                        <w:div w:id="1049453111">
                          <w:marLeft w:val="0"/>
                          <w:marRight w:val="0"/>
                          <w:marTop w:val="0"/>
                          <w:marBottom w:val="0"/>
                          <w:divBdr>
                            <w:top w:val="none" w:sz="0" w:space="0" w:color="auto"/>
                            <w:left w:val="none" w:sz="0" w:space="0" w:color="auto"/>
                            <w:bottom w:val="none" w:sz="0" w:space="0" w:color="auto"/>
                            <w:right w:val="none" w:sz="0" w:space="0" w:color="auto"/>
                          </w:divBdr>
                          <w:divsChild>
                            <w:div w:id="1289120053">
                              <w:marLeft w:val="0"/>
                              <w:marRight w:val="0"/>
                              <w:marTop w:val="0"/>
                              <w:marBottom w:val="0"/>
                              <w:divBdr>
                                <w:top w:val="none" w:sz="0" w:space="0" w:color="auto"/>
                                <w:left w:val="none" w:sz="0" w:space="0" w:color="auto"/>
                                <w:bottom w:val="none" w:sz="0" w:space="0" w:color="auto"/>
                                <w:right w:val="none" w:sz="0" w:space="0" w:color="auto"/>
                              </w:divBdr>
                            </w:div>
                          </w:divsChild>
                        </w:div>
                        <w:div w:id="476341105">
                          <w:marLeft w:val="0"/>
                          <w:marRight w:val="0"/>
                          <w:marTop w:val="0"/>
                          <w:marBottom w:val="0"/>
                          <w:divBdr>
                            <w:top w:val="none" w:sz="0" w:space="0" w:color="auto"/>
                            <w:left w:val="none" w:sz="0" w:space="0" w:color="auto"/>
                            <w:bottom w:val="none" w:sz="0" w:space="0" w:color="auto"/>
                            <w:right w:val="none" w:sz="0" w:space="0" w:color="auto"/>
                          </w:divBdr>
                          <w:divsChild>
                            <w:div w:id="15284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34767">
                      <w:marLeft w:val="0"/>
                      <w:marRight w:val="0"/>
                      <w:marTop w:val="0"/>
                      <w:marBottom w:val="0"/>
                      <w:divBdr>
                        <w:top w:val="none" w:sz="0" w:space="0" w:color="auto"/>
                        <w:left w:val="none" w:sz="0" w:space="0" w:color="auto"/>
                        <w:bottom w:val="none" w:sz="0" w:space="0" w:color="auto"/>
                        <w:right w:val="none" w:sz="0" w:space="0" w:color="auto"/>
                      </w:divBdr>
                      <w:divsChild>
                        <w:div w:id="2117405192">
                          <w:marLeft w:val="0"/>
                          <w:marRight w:val="0"/>
                          <w:marTop w:val="0"/>
                          <w:marBottom w:val="0"/>
                          <w:divBdr>
                            <w:top w:val="none" w:sz="0" w:space="0" w:color="auto"/>
                            <w:left w:val="none" w:sz="0" w:space="0" w:color="auto"/>
                            <w:bottom w:val="none" w:sz="0" w:space="0" w:color="auto"/>
                            <w:right w:val="none" w:sz="0" w:space="0" w:color="auto"/>
                          </w:divBdr>
                        </w:div>
                        <w:div w:id="1084645552">
                          <w:marLeft w:val="0"/>
                          <w:marRight w:val="0"/>
                          <w:marTop w:val="0"/>
                          <w:marBottom w:val="0"/>
                          <w:divBdr>
                            <w:top w:val="none" w:sz="0" w:space="0" w:color="auto"/>
                            <w:left w:val="none" w:sz="0" w:space="0" w:color="auto"/>
                            <w:bottom w:val="none" w:sz="0" w:space="0" w:color="auto"/>
                            <w:right w:val="none" w:sz="0" w:space="0" w:color="auto"/>
                          </w:divBdr>
                          <w:divsChild>
                            <w:div w:id="1285845515">
                              <w:marLeft w:val="0"/>
                              <w:marRight w:val="0"/>
                              <w:marTop w:val="0"/>
                              <w:marBottom w:val="0"/>
                              <w:divBdr>
                                <w:top w:val="none" w:sz="0" w:space="0" w:color="auto"/>
                                <w:left w:val="none" w:sz="0" w:space="0" w:color="auto"/>
                                <w:bottom w:val="none" w:sz="0" w:space="0" w:color="auto"/>
                                <w:right w:val="none" w:sz="0" w:space="0" w:color="auto"/>
                              </w:divBdr>
                            </w:div>
                          </w:divsChild>
                        </w:div>
                        <w:div w:id="189610988">
                          <w:marLeft w:val="0"/>
                          <w:marRight w:val="0"/>
                          <w:marTop w:val="0"/>
                          <w:marBottom w:val="0"/>
                          <w:divBdr>
                            <w:top w:val="none" w:sz="0" w:space="0" w:color="auto"/>
                            <w:left w:val="none" w:sz="0" w:space="0" w:color="auto"/>
                            <w:bottom w:val="none" w:sz="0" w:space="0" w:color="auto"/>
                            <w:right w:val="none" w:sz="0" w:space="0" w:color="auto"/>
                          </w:divBdr>
                          <w:divsChild>
                            <w:div w:id="1481078282">
                              <w:marLeft w:val="0"/>
                              <w:marRight w:val="0"/>
                              <w:marTop w:val="0"/>
                              <w:marBottom w:val="0"/>
                              <w:divBdr>
                                <w:top w:val="none" w:sz="0" w:space="0" w:color="auto"/>
                                <w:left w:val="none" w:sz="0" w:space="0" w:color="auto"/>
                                <w:bottom w:val="none" w:sz="0" w:space="0" w:color="auto"/>
                                <w:right w:val="none" w:sz="0" w:space="0" w:color="auto"/>
                              </w:divBdr>
                            </w:div>
                          </w:divsChild>
                        </w:div>
                        <w:div w:id="1813981408">
                          <w:marLeft w:val="0"/>
                          <w:marRight w:val="0"/>
                          <w:marTop w:val="0"/>
                          <w:marBottom w:val="0"/>
                          <w:divBdr>
                            <w:top w:val="none" w:sz="0" w:space="0" w:color="auto"/>
                            <w:left w:val="none" w:sz="0" w:space="0" w:color="auto"/>
                            <w:bottom w:val="none" w:sz="0" w:space="0" w:color="auto"/>
                            <w:right w:val="none" w:sz="0" w:space="0" w:color="auto"/>
                          </w:divBdr>
                          <w:divsChild>
                            <w:div w:id="255066522">
                              <w:marLeft w:val="0"/>
                              <w:marRight w:val="0"/>
                              <w:marTop w:val="0"/>
                              <w:marBottom w:val="0"/>
                              <w:divBdr>
                                <w:top w:val="none" w:sz="0" w:space="0" w:color="auto"/>
                                <w:left w:val="none" w:sz="0" w:space="0" w:color="auto"/>
                                <w:bottom w:val="none" w:sz="0" w:space="0" w:color="auto"/>
                                <w:right w:val="none" w:sz="0" w:space="0" w:color="auto"/>
                              </w:divBdr>
                              <w:divsChild>
                                <w:div w:id="1274705578">
                                  <w:marLeft w:val="0"/>
                                  <w:marRight w:val="0"/>
                                  <w:marTop w:val="0"/>
                                  <w:marBottom w:val="0"/>
                                  <w:divBdr>
                                    <w:top w:val="none" w:sz="0" w:space="0" w:color="auto"/>
                                    <w:left w:val="none" w:sz="0" w:space="0" w:color="auto"/>
                                    <w:bottom w:val="none" w:sz="0" w:space="0" w:color="auto"/>
                                    <w:right w:val="none" w:sz="0" w:space="0" w:color="auto"/>
                                  </w:divBdr>
                                  <w:divsChild>
                                    <w:div w:id="1785924801">
                                      <w:marLeft w:val="0"/>
                                      <w:marRight w:val="0"/>
                                      <w:marTop w:val="120"/>
                                      <w:marBottom w:val="0"/>
                                      <w:divBdr>
                                        <w:top w:val="none" w:sz="0" w:space="0" w:color="auto"/>
                                        <w:left w:val="none" w:sz="0" w:space="0" w:color="auto"/>
                                        <w:bottom w:val="none" w:sz="0" w:space="0" w:color="auto"/>
                                        <w:right w:val="none" w:sz="0" w:space="0" w:color="auto"/>
                                      </w:divBdr>
                                    </w:div>
                                    <w:div w:id="1195734323">
                                      <w:marLeft w:val="0"/>
                                      <w:marRight w:val="0"/>
                                      <w:marTop w:val="0"/>
                                      <w:marBottom w:val="0"/>
                                      <w:divBdr>
                                        <w:top w:val="none" w:sz="0" w:space="0" w:color="auto"/>
                                        <w:left w:val="none" w:sz="0" w:space="0" w:color="auto"/>
                                        <w:bottom w:val="none" w:sz="0" w:space="0" w:color="auto"/>
                                        <w:right w:val="none" w:sz="0" w:space="0" w:color="auto"/>
                                      </w:divBdr>
                                    </w:div>
                                  </w:divsChild>
                                </w:div>
                                <w:div w:id="1380281917">
                                  <w:marLeft w:val="0"/>
                                  <w:marRight w:val="0"/>
                                  <w:marTop w:val="0"/>
                                  <w:marBottom w:val="0"/>
                                  <w:divBdr>
                                    <w:top w:val="none" w:sz="0" w:space="0" w:color="auto"/>
                                    <w:left w:val="none" w:sz="0" w:space="0" w:color="auto"/>
                                    <w:bottom w:val="none" w:sz="0" w:space="0" w:color="auto"/>
                                    <w:right w:val="none" w:sz="0" w:space="0" w:color="auto"/>
                                  </w:divBdr>
                                  <w:divsChild>
                                    <w:div w:id="1980063189">
                                      <w:marLeft w:val="0"/>
                                      <w:marRight w:val="0"/>
                                      <w:marTop w:val="120"/>
                                      <w:marBottom w:val="0"/>
                                      <w:divBdr>
                                        <w:top w:val="none" w:sz="0" w:space="0" w:color="auto"/>
                                        <w:left w:val="none" w:sz="0" w:space="0" w:color="auto"/>
                                        <w:bottom w:val="none" w:sz="0" w:space="0" w:color="auto"/>
                                        <w:right w:val="none" w:sz="0" w:space="0" w:color="auto"/>
                                      </w:divBdr>
                                    </w:div>
                                    <w:div w:id="1530292126">
                                      <w:marLeft w:val="0"/>
                                      <w:marRight w:val="0"/>
                                      <w:marTop w:val="0"/>
                                      <w:marBottom w:val="0"/>
                                      <w:divBdr>
                                        <w:top w:val="none" w:sz="0" w:space="0" w:color="auto"/>
                                        <w:left w:val="none" w:sz="0" w:space="0" w:color="auto"/>
                                        <w:bottom w:val="none" w:sz="0" w:space="0" w:color="auto"/>
                                        <w:right w:val="none" w:sz="0" w:space="0" w:color="auto"/>
                                      </w:divBdr>
                                    </w:div>
                                  </w:divsChild>
                                </w:div>
                                <w:div w:id="1627467314">
                                  <w:marLeft w:val="0"/>
                                  <w:marRight w:val="0"/>
                                  <w:marTop w:val="0"/>
                                  <w:marBottom w:val="0"/>
                                  <w:divBdr>
                                    <w:top w:val="none" w:sz="0" w:space="0" w:color="auto"/>
                                    <w:left w:val="none" w:sz="0" w:space="0" w:color="auto"/>
                                    <w:bottom w:val="none" w:sz="0" w:space="0" w:color="auto"/>
                                    <w:right w:val="none" w:sz="0" w:space="0" w:color="auto"/>
                                  </w:divBdr>
                                  <w:divsChild>
                                    <w:div w:id="1217550509">
                                      <w:marLeft w:val="0"/>
                                      <w:marRight w:val="0"/>
                                      <w:marTop w:val="120"/>
                                      <w:marBottom w:val="0"/>
                                      <w:divBdr>
                                        <w:top w:val="none" w:sz="0" w:space="0" w:color="auto"/>
                                        <w:left w:val="none" w:sz="0" w:space="0" w:color="auto"/>
                                        <w:bottom w:val="none" w:sz="0" w:space="0" w:color="auto"/>
                                        <w:right w:val="none" w:sz="0" w:space="0" w:color="auto"/>
                                      </w:divBdr>
                                    </w:div>
                                    <w:div w:id="136338888">
                                      <w:marLeft w:val="0"/>
                                      <w:marRight w:val="0"/>
                                      <w:marTop w:val="0"/>
                                      <w:marBottom w:val="0"/>
                                      <w:divBdr>
                                        <w:top w:val="none" w:sz="0" w:space="0" w:color="auto"/>
                                        <w:left w:val="none" w:sz="0" w:space="0" w:color="auto"/>
                                        <w:bottom w:val="none" w:sz="0" w:space="0" w:color="auto"/>
                                        <w:right w:val="none" w:sz="0" w:space="0" w:color="auto"/>
                                      </w:divBdr>
                                    </w:div>
                                  </w:divsChild>
                                </w:div>
                                <w:div w:id="299723865">
                                  <w:marLeft w:val="0"/>
                                  <w:marRight w:val="0"/>
                                  <w:marTop w:val="0"/>
                                  <w:marBottom w:val="0"/>
                                  <w:divBdr>
                                    <w:top w:val="none" w:sz="0" w:space="0" w:color="auto"/>
                                    <w:left w:val="none" w:sz="0" w:space="0" w:color="auto"/>
                                    <w:bottom w:val="none" w:sz="0" w:space="0" w:color="auto"/>
                                    <w:right w:val="none" w:sz="0" w:space="0" w:color="auto"/>
                                  </w:divBdr>
                                  <w:divsChild>
                                    <w:div w:id="1163811924">
                                      <w:marLeft w:val="0"/>
                                      <w:marRight w:val="0"/>
                                      <w:marTop w:val="120"/>
                                      <w:marBottom w:val="0"/>
                                      <w:divBdr>
                                        <w:top w:val="none" w:sz="0" w:space="0" w:color="auto"/>
                                        <w:left w:val="none" w:sz="0" w:space="0" w:color="auto"/>
                                        <w:bottom w:val="none" w:sz="0" w:space="0" w:color="auto"/>
                                        <w:right w:val="none" w:sz="0" w:space="0" w:color="auto"/>
                                      </w:divBdr>
                                    </w:div>
                                    <w:div w:id="686830563">
                                      <w:marLeft w:val="0"/>
                                      <w:marRight w:val="0"/>
                                      <w:marTop w:val="0"/>
                                      <w:marBottom w:val="0"/>
                                      <w:divBdr>
                                        <w:top w:val="none" w:sz="0" w:space="0" w:color="auto"/>
                                        <w:left w:val="none" w:sz="0" w:space="0" w:color="auto"/>
                                        <w:bottom w:val="none" w:sz="0" w:space="0" w:color="auto"/>
                                        <w:right w:val="none" w:sz="0" w:space="0" w:color="auto"/>
                                      </w:divBdr>
                                    </w:div>
                                  </w:divsChild>
                                </w:div>
                                <w:div w:id="248807403">
                                  <w:marLeft w:val="0"/>
                                  <w:marRight w:val="0"/>
                                  <w:marTop w:val="0"/>
                                  <w:marBottom w:val="0"/>
                                  <w:divBdr>
                                    <w:top w:val="none" w:sz="0" w:space="0" w:color="auto"/>
                                    <w:left w:val="none" w:sz="0" w:space="0" w:color="auto"/>
                                    <w:bottom w:val="none" w:sz="0" w:space="0" w:color="auto"/>
                                    <w:right w:val="none" w:sz="0" w:space="0" w:color="auto"/>
                                  </w:divBdr>
                                  <w:divsChild>
                                    <w:div w:id="1279143517">
                                      <w:marLeft w:val="0"/>
                                      <w:marRight w:val="0"/>
                                      <w:marTop w:val="120"/>
                                      <w:marBottom w:val="0"/>
                                      <w:divBdr>
                                        <w:top w:val="none" w:sz="0" w:space="0" w:color="auto"/>
                                        <w:left w:val="none" w:sz="0" w:space="0" w:color="auto"/>
                                        <w:bottom w:val="none" w:sz="0" w:space="0" w:color="auto"/>
                                        <w:right w:val="none" w:sz="0" w:space="0" w:color="auto"/>
                                      </w:divBdr>
                                    </w:div>
                                    <w:div w:id="1158381207">
                                      <w:marLeft w:val="0"/>
                                      <w:marRight w:val="0"/>
                                      <w:marTop w:val="0"/>
                                      <w:marBottom w:val="0"/>
                                      <w:divBdr>
                                        <w:top w:val="none" w:sz="0" w:space="0" w:color="auto"/>
                                        <w:left w:val="none" w:sz="0" w:space="0" w:color="auto"/>
                                        <w:bottom w:val="none" w:sz="0" w:space="0" w:color="auto"/>
                                        <w:right w:val="none" w:sz="0" w:space="0" w:color="auto"/>
                                      </w:divBdr>
                                    </w:div>
                                  </w:divsChild>
                                </w:div>
                                <w:div w:id="1193423062">
                                  <w:marLeft w:val="0"/>
                                  <w:marRight w:val="0"/>
                                  <w:marTop w:val="0"/>
                                  <w:marBottom w:val="0"/>
                                  <w:divBdr>
                                    <w:top w:val="none" w:sz="0" w:space="0" w:color="auto"/>
                                    <w:left w:val="none" w:sz="0" w:space="0" w:color="auto"/>
                                    <w:bottom w:val="none" w:sz="0" w:space="0" w:color="auto"/>
                                    <w:right w:val="none" w:sz="0" w:space="0" w:color="auto"/>
                                  </w:divBdr>
                                  <w:divsChild>
                                    <w:div w:id="435249446">
                                      <w:marLeft w:val="0"/>
                                      <w:marRight w:val="0"/>
                                      <w:marTop w:val="120"/>
                                      <w:marBottom w:val="0"/>
                                      <w:divBdr>
                                        <w:top w:val="none" w:sz="0" w:space="0" w:color="auto"/>
                                        <w:left w:val="none" w:sz="0" w:space="0" w:color="auto"/>
                                        <w:bottom w:val="none" w:sz="0" w:space="0" w:color="auto"/>
                                        <w:right w:val="none" w:sz="0" w:space="0" w:color="auto"/>
                                      </w:divBdr>
                                    </w:div>
                                    <w:div w:id="505634614">
                                      <w:marLeft w:val="0"/>
                                      <w:marRight w:val="0"/>
                                      <w:marTop w:val="0"/>
                                      <w:marBottom w:val="0"/>
                                      <w:divBdr>
                                        <w:top w:val="none" w:sz="0" w:space="0" w:color="auto"/>
                                        <w:left w:val="none" w:sz="0" w:space="0" w:color="auto"/>
                                        <w:bottom w:val="none" w:sz="0" w:space="0" w:color="auto"/>
                                        <w:right w:val="none" w:sz="0" w:space="0" w:color="auto"/>
                                      </w:divBdr>
                                    </w:div>
                                  </w:divsChild>
                                </w:div>
                                <w:div w:id="1680619512">
                                  <w:marLeft w:val="0"/>
                                  <w:marRight w:val="0"/>
                                  <w:marTop w:val="0"/>
                                  <w:marBottom w:val="0"/>
                                  <w:divBdr>
                                    <w:top w:val="none" w:sz="0" w:space="0" w:color="auto"/>
                                    <w:left w:val="none" w:sz="0" w:space="0" w:color="auto"/>
                                    <w:bottom w:val="none" w:sz="0" w:space="0" w:color="auto"/>
                                    <w:right w:val="none" w:sz="0" w:space="0" w:color="auto"/>
                                  </w:divBdr>
                                  <w:divsChild>
                                    <w:div w:id="350306982">
                                      <w:marLeft w:val="0"/>
                                      <w:marRight w:val="0"/>
                                      <w:marTop w:val="120"/>
                                      <w:marBottom w:val="0"/>
                                      <w:divBdr>
                                        <w:top w:val="none" w:sz="0" w:space="0" w:color="auto"/>
                                        <w:left w:val="none" w:sz="0" w:space="0" w:color="auto"/>
                                        <w:bottom w:val="none" w:sz="0" w:space="0" w:color="auto"/>
                                        <w:right w:val="none" w:sz="0" w:space="0" w:color="auto"/>
                                      </w:divBdr>
                                    </w:div>
                                    <w:div w:id="1731491898">
                                      <w:marLeft w:val="0"/>
                                      <w:marRight w:val="0"/>
                                      <w:marTop w:val="0"/>
                                      <w:marBottom w:val="0"/>
                                      <w:divBdr>
                                        <w:top w:val="none" w:sz="0" w:space="0" w:color="auto"/>
                                        <w:left w:val="none" w:sz="0" w:space="0" w:color="auto"/>
                                        <w:bottom w:val="none" w:sz="0" w:space="0" w:color="auto"/>
                                        <w:right w:val="none" w:sz="0" w:space="0" w:color="auto"/>
                                      </w:divBdr>
                                    </w:div>
                                  </w:divsChild>
                                </w:div>
                                <w:div w:id="554701074">
                                  <w:marLeft w:val="0"/>
                                  <w:marRight w:val="0"/>
                                  <w:marTop w:val="0"/>
                                  <w:marBottom w:val="0"/>
                                  <w:divBdr>
                                    <w:top w:val="none" w:sz="0" w:space="0" w:color="auto"/>
                                    <w:left w:val="none" w:sz="0" w:space="0" w:color="auto"/>
                                    <w:bottom w:val="none" w:sz="0" w:space="0" w:color="auto"/>
                                    <w:right w:val="none" w:sz="0" w:space="0" w:color="auto"/>
                                  </w:divBdr>
                                  <w:divsChild>
                                    <w:div w:id="818040301">
                                      <w:marLeft w:val="0"/>
                                      <w:marRight w:val="0"/>
                                      <w:marTop w:val="120"/>
                                      <w:marBottom w:val="0"/>
                                      <w:divBdr>
                                        <w:top w:val="none" w:sz="0" w:space="0" w:color="auto"/>
                                        <w:left w:val="none" w:sz="0" w:space="0" w:color="auto"/>
                                        <w:bottom w:val="none" w:sz="0" w:space="0" w:color="auto"/>
                                        <w:right w:val="none" w:sz="0" w:space="0" w:color="auto"/>
                                      </w:divBdr>
                                    </w:div>
                                    <w:div w:id="569845964">
                                      <w:marLeft w:val="0"/>
                                      <w:marRight w:val="0"/>
                                      <w:marTop w:val="0"/>
                                      <w:marBottom w:val="0"/>
                                      <w:divBdr>
                                        <w:top w:val="none" w:sz="0" w:space="0" w:color="auto"/>
                                        <w:left w:val="none" w:sz="0" w:space="0" w:color="auto"/>
                                        <w:bottom w:val="none" w:sz="0" w:space="0" w:color="auto"/>
                                        <w:right w:val="none" w:sz="0" w:space="0" w:color="auto"/>
                                      </w:divBdr>
                                    </w:div>
                                  </w:divsChild>
                                </w:div>
                                <w:div w:id="1272514818">
                                  <w:marLeft w:val="0"/>
                                  <w:marRight w:val="0"/>
                                  <w:marTop w:val="0"/>
                                  <w:marBottom w:val="0"/>
                                  <w:divBdr>
                                    <w:top w:val="none" w:sz="0" w:space="0" w:color="auto"/>
                                    <w:left w:val="none" w:sz="0" w:space="0" w:color="auto"/>
                                    <w:bottom w:val="none" w:sz="0" w:space="0" w:color="auto"/>
                                    <w:right w:val="none" w:sz="0" w:space="0" w:color="auto"/>
                                  </w:divBdr>
                                  <w:divsChild>
                                    <w:div w:id="1811899026">
                                      <w:marLeft w:val="0"/>
                                      <w:marRight w:val="0"/>
                                      <w:marTop w:val="120"/>
                                      <w:marBottom w:val="0"/>
                                      <w:divBdr>
                                        <w:top w:val="none" w:sz="0" w:space="0" w:color="auto"/>
                                        <w:left w:val="none" w:sz="0" w:space="0" w:color="auto"/>
                                        <w:bottom w:val="none" w:sz="0" w:space="0" w:color="auto"/>
                                        <w:right w:val="none" w:sz="0" w:space="0" w:color="auto"/>
                                      </w:divBdr>
                                    </w:div>
                                    <w:div w:id="4105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171836">
                          <w:marLeft w:val="0"/>
                          <w:marRight w:val="0"/>
                          <w:marTop w:val="0"/>
                          <w:marBottom w:val="0"/>
                          <w:divBdr>
                            <w:top w:val="none" w:sz="0" w:space="0" w:color="auto"/>
                            <w:left w:val="none" w:sz="0" w:space="0" w:color="auto"/>
                            <w:bottom w:val="none" w:sz="0" w:space="0" w:color="auto"/>
                            <w:right w:val="none" w:sz="0" w:space="0" w:color="auto"/>
                          </w:divBdr>
                          <w:divsChild>
                            <w:div w:id="464348412">
                              <w:marLeft w:val="0"/>
                              <w:marRight w:val="0"/>
                              <w:marTop w:val="0"/>
                              <w:marBottom w:val="0"/>
                              <w:divBdr>
                                <w:top w:val="none" w:sz="0" w:space="0" w:color="auto"/>
                                <w:left w:val="none" w:sz="0" w:space="0" w:color="auto"/>
                                <w:bottom w:val="none" w:sz="0" w:space="0" w:color="auto"/>
                                <w:right w:val="none" w:sz="0" w:space="0" w:color="auto"/>
                              </w:divBdr>
                            </w:div>
                          </w:divsChild>
                        </w:div>
                        <w:div w:id="839585747">
                          <w:marLeft w:val="0"/>
                          <w:marRight w:val="0"/>
                          <w:marTop w:val="0"/>
                          <w:marBottom w:val="0"/>
                          <w:divBdr>
                            <w:top w:val="none" w:sz="0" w:space="0" w:color="auto"/>
                            <w:left w:val="none" w:sz="0" w:space="0" w:color="auto"/>
                            <w:bottom w:val="none" w:sz="0" w:space="0" w:color="auto"/>
                            <w:right w:val="none" w:sz="0" w:space="0" w:color="auto"/>
                          </w:divBdr>
                          <w:divsChild>
                            <w:div w:id="407508604">
                              <w:marLeft w:val="0"/>
                              <w:marRight w:val="0"/>
                              <w:marTop w:val="0"/>
                              <w:marBottom w:val="0"/>
                              <w:divBdr>
                                <w:top w:val="none" w:sz="0" w:space="0" w:color="auto"/>
                                <w:left w:val="none" w:sz="0" w:space="0" w:color="auto"/>
                                <w:bottom w:val="none" w:sz="0" w:space="0" w:color="auto"/>
                                <w:right w:val="none" w:sz="0" w:space="0" w:color="auto"/>
                              </w:divBdr>
                              <w:divsChild>
                                <w:div w:id="843084864">
                                  <w:marLeft w:val="0"/>
                                  <w:marRight w:val="0"/>
                                  <w:marTop w:val="0"/>
                                  <w:marBottom w:val="0"/>
                                  <w:divBdr>
                                    <w:top w:val="none" w:sz="0" w:space="0" w:color="auto"/>
                                    <w:left w:val="none" w:sz="0" w:space="0" w:color="auto"/>
                                    <w:bottom w:val="none" w:sz="0" w:space="0" w:color="auto"/>
                                    <w:right w:val="none" w:sz="0" w:space="0" w:color="auto"/>
                                  </w:divBdr>
                                  <w:divsChild>
                                    <w:div w:id="507015672">
                                      <w:marLeft w:val="0"/>
                                      <w:marRight w:val="0"/>
                                      <w:marTop w:val="120"/>
                                      <w:marBottom w:val="0"/>
                                      <w:divBdr>
                                        <w:top w:val="none" w:sz="0" w:space="0" w:color="auto"/>
                                        <w:left w:val="none" w:sz="0" w:space="0" w:color="auto"/>
                                        <w:bottom w:val="none" w:sz="0" w:space="0" w:color="auto"/>
                                        <w:right w:val="none" w:sz="0" w:space="0" w:color="auto"/>
                                      </w:divBdr>
                                    </w:div>
                                    <w:div w:id="1648820345">
                                      <w:marLeft w:val="0"/>
                                      <w:marRight w:val="0"/>
                                      <w:marTop w:val="0"/>
                                      <w:marBottom w:val="0"/>
                                      <w:divBdr>
                                        <w:top w:val="none" w:sz="0" w:space="0" w:color="auto"/>
                                        <w:left w:val="none" w:sz="0" w:space="0" w:color="auto"/>
                                        <w:bottom w:val="none" w:sz="0" w:space="0" w:color="auto"/>
                                        <w:right w:val="none" w:sz="0" w:space="0" w:color="auto"/>
                                      </w:divBdr>
                                    </w:div>
                                  </w:divsChild>
                                </w:div>
                                <w:div w:id="260336296">
                                  <w:marLeft w:val="0"/>
                                  <w:marRight w:val="0"/>
                                  <w:marTop w:val="0"/>
                                  <w:marBottom w:val="0"/>
                                  <w:divBdr>
                                    <w:top w:val="none" w:sz="0" w:space="0" w:color="auto"/>
                                    <w:left w:val="none" w:sz="0" w:space="0" w:color="auto"/>
                                    <w:bottom w:val="none" w:sz="0" w:space="0" w:color="auto"/>
                                    <w:right w:val="none" w:sz="0" w:space="0" w:color="auto"/>
                                  </w:divBdr>
                                  <w:divsChild>
                                    <w:div w:id="1641810901">
                                      <w:marLeft w:val="0"/>
                                      <w:marRight w:val="0"/>
                                      <w:marTop w:val="120"/>
                                      <w:marBottom w:val="0"/>
                                      <w:divBdr>
                                        <w:top w:val="none" w:sz="0" w:space="0" w:color="auto"/>
                                        <w:left w:val="none" w:sz="0" w:space="0" w:color="auto"/>
                                        <w:bottom w:val="none" w:sz="0" w:space="0" w:color="auto"/>
                                        <w:right w:val="none" w:sz="0" w:space="0" w:color="auto"/>
                                      </w:divBdr>
                                    </w:div>
                                    <w:div w:id="1683320096">
                                      <w:marLeft w:val="0"/>
                                      <w:marRight w:val="0"/>
                                      <w:marTop w:val="0"/>
                                      <w:marBottom w:val="0"/>
                                      <w:divBdr>
                                        <w:top w:val="none" w:sz="0" w:space="0" w:color="auto"/>
                                        <w:left w:val="none" w:sz="0" w:space="0" w:color="auto"/>
                                        <w:bottom w:val="none" w:sz="0" w:space="0" w:color="auto"/>
                                        <w:right w:val="none" w:sz="0" w:space="0" w:color="auto"/>
                                      </w:divBdr>
                                    </w:div>
                                  </w:divsChild>
                                </w:div>
                                <w:div w:id="525800449">
                                  <w:marLeft w:val="0"/>
                                  <w:marRight w:val="0"/>
                                  <w:marTop w:val="0"/>
                                  <w:marBottom w:val="0"/>
                                  <w:divBdr>
                                    <w:top w:val="none" w:sz="0" w:space="0" w:color="auto"/>
                                    <w:left w:val="none" w:sz="0" w:space="0" w:color="auto"/>
                                    <w:bottom w:val="none" w:sz="0" w:space="0" w:color="auto"/>
                                    <w:right w:val="none" w:sz="0" w:space="0" w:color="auto"/>
                                  </w:divBdr>
                                  <w:divsChild>
                                    <w:div w:id="1177386769">
                                      <w:marLeft w:val="0"/>
                                      <w:marRight w:val="0"/>
                                      <w:marTop w:val="120"/>
                                      <w:marBottom w:val="0"/>
                                      <w:divBdr>
                                        <w:top w:val="none" w:sz="0" w:space="0" w:color="auto"/>
                                        <w:left w:val="none" w:sz="0" w:space="0" w:color="auto"/>
                                        <w:bottom w:val="none" w:sz="0" w:space="0" w:color="auto"/>
                                        <w:right w:val="none" w:sz="0" w:space="0" w:color="auto"/>
                                      </w:divBdr>
                                    </w:div>
                                    <w:div w:id="1714185557">
                                      <w:marLeft w:val="0"/>
                                      <w:marRight w:val="0"/>
                                      <w:marTop w:val="0"/>
                                      <w:marBottom w:val="0"/>
                                      <w:divBdr>
                                        <w:top w:val="none" w:sz="0" w:space="0" w:color="auto"/>
                                        <w:left w:val="none" w:sz="0" w:space="0" w:color="auto"/>
                                        <w:bottom w:val="none" w:sz="0" w:space="0" w:color="auto"/>
                                        <w:right w:val="none" w:sz="0" w:space="0" w:color="auto"/>
                                      </w:divBdr>
                                    </w:div>
                                  </w:divsChild>
                                </w:div>
                                <w:div w:id="327290681">
                                  <w:marLeft w:val="0"/>
                                  <w:marRight w:val="0"/>
                                  <w:marTop w:val="0"/>
                                  <w:marBottom w:val="0"/>
                                  <w:divBdr>
                                    <w:top w:val="none" w:sz="0" w:space="0" w:color="auto"/>
                                    <w:left w:val="none" w:sz="0" w:space="0" w:color="auto"/>
                                    <w:bottom w:val="none" w:sz="0" w:space="0" w:color="auto"/>
                                    <w:right w:val="none" w:sz="0" w:space="0" w:color="auto"/>
                                  </w:divBdr>
                                  <w:divsChild>
                                    <w:div w:id="2050060465">
                                      <w:marLeft w:val="0"/>
                                      <w:marRight w:val="0"/>
                                      <w:marTop w:val="120"/>
                                      <w:marBottom w:val="0"/>
                                      <w:divBdr>
                                        <w:top w:val="none" w:sz="0" w:space="0" w:color="auto"/>
                                        <w:left w:val="none" w:sz="0" w:space="0" w:color="auto"/>
                                        <w:bottom w:val="none" w:sz="0" w:space="0" w:color="auto"/>
                                        <w:right w:val="none" w:sz="0" w:space="0" w:color="auto"/>
                                      </w:divBdr>
                                    </w:div>
                                    <w:div w:id="155785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656942">
                          <w:marLeft w:val="0"/>
                          <w:marRight w:val="0"/>
                          <w:marTop w:val="0"/>
                          <w:marBottom w:val="0"/>
                          <w:divBdr>
                            <w:top w:val="none" w:sz="0" w:space="0" w:color="auto"/>
                            <w:left w:val="none" w:sz="0" w:space="0" w:color="auto"/>
                            <w:bottom w:val="none" w:sz="0" w:space="0" w:color="auto"/>
                            <w:right w:val="none" w:sz="0" w:space="0" w:color="auto"/>
                          </w:divBdr>
                          <w:divsChild>
                            <w:div w:id="639267213">
                              <w:marLeft w:val="0"/>
                              <w:marRight w:val="0"/>
                              <w:marTop w:val="0"/>
                              <w:marBottom w:val="0"/>
                              <w:divBdr>
                                <w:top w:val="none" w:sz="0" w:space="0" w:color="auto"/>
                                <w:left w:val="none" w:sz="0" w:space="0" w:color="auto"/>
                                <w:bottom w:val="none" w:sz="0" w:space="0" w:color="auto"/>
                                <w:right w:val="none" w:sz="0" w:space="0" w:color="auto"/>
                              </w:divBdr>
                            </w:div>
                          </w:divsChild>
                        </w:div>
                        <w:div w:id="792598308">
                          <w:marLeft w:val="0"/>
                          <w:marRight w:val="0"/>
                          <w:marTop w:val="0"/>
                          <w:marBottom w:val="0"/>
                          <w:divBdr>
                            <w:top w:val="none" w:sz="0" w:space="0" w:color="auto"/>
                            <w:left w:val="none" w:sz="0" w:space="0" w:color="auto"/>
                            <w:bottom w:val="none" w:sz="0" w:space="0" w:color="auto"/>
                            <w:right w:val="none" w:sz="0" w:space="0" w:color="auto"/>
                          </w:divBdr>
                          <w:divsChild>
                            <w:div w:id="2057849732">
                              <w:marLeft w:val="0"/>
                              <w:marRight w:val="0"/>
                              <w:marTop w:val="0"/>
                              <w:marBottom w:val="0"/>
                              <w:divBdr>
                                <w:top w:val="none" w:sz="0" w:space="0" w:color="auto"/>
                                <w:left w:val="none" w:sz="0" w:space="0" w:color="auto"/>
                                <w:bottom w:val="none" w:sz="0" w:space="0" w:color="auto"/>
                                <w:right w:val="none" w:sz="0" w:space="0" w:color="auto"/>
                              </w:divBdr>
                            </w:div>
                          </w:divsChild>
                        </w:div>
                        <w:div w:id="153842310">
                          <w:marLeft w:val="0"/>
                          <w:marRight w:val="0"/>
                          <w:marTop w:val="0"/>
                          <w:marBottom w:val="0"/>
                          <w:divBdr>
                            <w:top w:val="none" w:sz="0" w:space="0" w:color="auto"/>
                            <w:left w:val="none" w:sz="0" w:space="0" w:color="auto"/>
                            <w:bottom w:val="none" w:sz="0" w:space="0" w:color="auto"/>
                            <w:right w:val="none" w:sz="0" w:space="0" w:color="auto"/>
                          </w:divBdr>
                          <w:divsChild>
                            <w:div w:id="1264723887">
                              <w:marLeft w:val="0"/>
                              <w:marRight w:val="0"/>
                              <w:marTop w:val="0"/>
                              <w:marBottom w:val="0"/>
                              <w:divBdr>
                                <w:top w:val="none" w:sz="0" w:space="0" w:color="auto"/>
                                <w:left w:val="none" w:sz="0" w:space="0" w:color="auto"/>
                                <w:bottom w:val="none" w:sz="0" w:space="0" w:color="auto"/>
                                <w:right w:val="none" w:sz="0" w:space="0" w:color="auto"/>
                              </w:divBdr>
                            </w:div>
                          </w:divsChild>
                        </w:div>
                        <w:div w:id="1788309340">
                          <w:marLeft w:val="0"/>
                          <w:marRight w:val="0"/>
                          <w:marTop w:val="0"/>
                          <w:marBottom w:val="0"/>
                          <w:divBdr>
                            <w:top w:val="none" w:sz="0" w:space="0" w:color="auto"/>
                            <w:left w:val="none" w:sz="0" w:space="0" w:color="auto"/>
                            <w:bottom w:val="none" w:sz="0" w:space="0" w:color="auto"/>
                            <w:right w:val="none" w:sz="0" w:space="0" w:color="auto"/>
                          </w:divBdr>
                          <w:divsChild>
                            <w:div w:id="93254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73075">
                      <w:marLeft w:val="0"/>
                      <w:marRight w:val="0"/>
                      <w:marTop w:val="0"/>
                      <w:marBottom w:val="0"/>
                      <w:divBdr>
                        <w:top w:val="none" w:sz="0" w:space="0" w:color="auto"/>
                        <w:left w:val="none" w:sz="0" w:space="0" w:color="auto"/>
                        <w:bottom w:val="none" w:sz="0" w:space="0" w:color="auto"/>
                        <w:right w:val="none" w:sz="0" w:space="0" w:color="auto"/>
                      </w:divBdr>
                      <w:divsChild>
                        <w:div w:id="1712609146">
                          <w:marLeft w:val="0"/>
                          <w:marRight w:val="0"/>
                          <w:marTop w:val="0"/>
                          <w:marBottom w:val="0"/>
                          <w:divBdr>
                            <w:top w:val="none" w:sz="0" w:space="0" w:color="auto"/>
                            <w:left w:val="none" w:sz="0" w:space="0" w:color="auto"/>
                            <w:bottom w:val="none" w:sz="0" w:space="0" w:color="auto"/>
                            <w:right w:val="none" w:sz="0" w:space="0" w:color="auto"/>
                          </w:divBdr>
                        </w:div>
                        <w:div w:id="208032798">
                          <w:marLeft w:val="0"/>
                          <w:marRight w:val="0"/>
                          <w:marTop w:val="0"/>
                          <w:marBottom w:val="0"/>
                          <w:divBdr>
                            <w:top w:val="none" w:sz="0" w:space="0" w:color="auto"/>
                            <w:left w:val="none" w:sz="0" w:space="0" w:color="auto"/>
                            <w:bottom w:val="none" w:sz="0" w:space="0" w:color="auto"/>
                            <w:right w:val="none" w:sz="0" w:space="0" w:color="auto"/>
                          </w:divBdr>
                          <w:divsChild>
                            <w:div w:id="373310092">
                              <w:marLeft w:val="0"/>
                              <w:marRight w:val="0"/>
                              <w:marTop w:val="0"/>
                              <w:marBottom w:val="0"/>
                              <w:divBdr>
                                <w:top w:val="none" w:sz="0" w:space="0" w:color="auto"/>
                                <w:left w:val="none" w:sz="0" w:space="0" w:color="auto"/>
                                <w:bottom w:val="none" w:sz="0" w:space="0" w:color="auto"/>
                                <w:right w:val="none" w:sz="0" w:space="0" w:color="auto"/>
                              </w:divBdr>
                              <w:divsChild>
                                <w:div w:id="1984964115">
                                  <w:marLeft w:val="0"/>
                                  <w:marRight w:val="0"/>
                                  <w:marTop w:val="0"/>
                                  <w:marBottom w:val="0"/>
                                  <w:divBdr>
                                    <w:top w:val="none" w:sz="0" w:space="0" w:color="auto"/>
                                    <w:left w:val="none" w:sz="0" w:space="0" w:color="auto"/>
                                    <w:bottom w:val="none" w:sz="0" w:space="0" w:color="auto"/>
                                    <w:right w:val="none" w:sz="0" w:space="0" w:color="auto"/>
                                  </w:divBdr>
                                  <w:divsChild>
                                    <w:div w:id="85810251">
                                      <w:marLeft w:val="0"/>
                                      <w:marRight w:val="0"/>
                                      <w:marTop w:val="120"/>
                                      <w:marBottom w:val="0"/>
                                      <w:divBdr>
                                        <w:top w:val="none" w:sz="0" w:space="0" w:color="auto"/>
                                        <w:left w:val="none" w:sz="0" w:space="0" w:color="auto"/>
                                        <w:bottom w:val="none" w:sz="0" w:space="0" w:color="auto"/>
                                        <w:right w:val="none" w:sz="0" w:space="0" w:color="auto"/>
                                      </w:divBdr>
                                    </w:div>
                                    <w:div w:id="527179004">
                                      <w:marLeft w:val="0"/>
                                      <w:marRight w:val="0"/>
                                      <w:marTop w:val="0"/>
                                      <w:marBottom w:val="0"/>
                                      <w:divBdr>
                                        <w:top w:val="none" w:sz="0" w:space="0" w:color="auto"/>
                                        <w:left w:val="none" w:sz="0" w:space="0" w:color="auto"/>
                                        <w:bottom w:val="none" w:sz="0" w:space="0" w:color="auto"/>
                                        <w:right w:val="none" w:sz="0" w:space="0" w:color="auto"/>
                                      </w:divBdr>
                                      <w:divsChild>
                                        <w:div w:id="433474885">
                                          <w:marLeft w:val="0"/>
                                          <w:marRight w:val="0"/>
                                          <w:marTop w:val="0"/>
                                          <w:marBottom w:val="0"/>
                                          <w:divBdr>
                                            <w:top w:val="none" w:sz="0" w:space="0" w:color="auto"/>
                                            <w:left w:val="none" w:sz="0" w:space="0" w:color="auto"/>
                                            <w:bottom w:val="none" w:sz="0" w:space="0" w:color="auto"/>
                                            <w:right w:val="none" w:sz="0" w:space="0" w:color="auto"/>
                                          </w:divBdr>
                                          <w:divsChild>
                                            <w:div w:id="1373188313">
                                              <w:marLeft w:val="0"/>
                                              <w:marRight w:val="0"/>
                                              <w:marTop w:val="120"/>
                                              <w:marBottom w:val="0"/>
                                              <w:divBdr>
                                                <w:top w:val="none" w:sz="0" w:space="0" w:color="auto"/>
                                                <w:left w:val="none" w:sz="0" w:space="0" w:color="auto"/>
                                                <w:bottom w:val="none" w:sz="0" w:space="0" w:color="auto"/>
                                                <w:right w:val="none" w:sz="0" w:space="0" w:color="auto"/>
                                              </w:divBdr>
                                            </w:div>
                                            <w:div w:id="357856328">
                                              <w:marLeft w:val="0"/>
                                              <w:marRight w:val="0"/>
                                              <w:marTop w:val="0"/>
                                              <w:marBottom w:val="0"/>
                                              <w:divBdr>
                                                <w:top w:val="none" w:sz="0" w:space="0" w:color="auto"/>
                                                <w:left w:val="none" w:sz="0" w:space="0" w:color="auto"/>
                                                <w:bottom w:val="none" w:sz="0" w:space="0" w:color="auto"/>
                                                <w:right w:val="none" w:sz="0" w:space="0" w:color="auto"/>
                                              </w:divBdr>
                                            </w:div>
                                          </w:divsChild>
                                        </w:div>
                                        <w:div w:id="958995922">
                                          <w:marLeft w:val="0"/>
                                          <w:marRight w:val="0"/>
                                          <w:marTop w:val="0"/>
                                          <w:marBottom w:val="0"/>
                                          <w:divBdr>
                                            <w:top w:val="none" w:sz="0" w:space="0" w:color="auto"/>
                                            <w:left w:val="none" w:sz="0" w:space="0" w:color="auto"/>
                                            <w:bottom w:val="none" w:sz="0" w:space="0" w:color="auto"/>
                                            <w:right w:val="none" w:sz="0" w:space="0" w:color="auto"/>
                                          </w:divBdr>
                                          <w:divsChild>
                                            <w:div w:id="1578322165">
                                              <w:marLeft w:val="0"/>
                                              <w:marRight w:val="0"/>
                                              <w:marTop w:val="120"/>
                                              <w:marBottom w:val="0"/>
                                              <w:divBdr>
                                                <w:top w:val="none" w:sz="0" w:space="0" w:color="auto"/>
                                                <w:left w:val="none" w:sz="0" w:space="0" w:color="auto"/>
                                                <w:bottom w:val="none" w:sz="0" w:space="0" w:color="auto"/>
                                                <w:right w:val="none" w:sz="0" w:space="0" w:color="auto"/>
                                              </w:divBdr>
                                            </w:div>
                                            <w:div w:id="4282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943425">
                                  <w:marLeft w:val="0"/>
                                  <w:marRight w:val="0"/>
                                  <w:marTop w:val="0"/>
                                  <w:marBottom w:val="0"/>
                                  <w:divBdr>
                                    <w:top w:val="none" w:sz="0" w:space="0" w:color="auto"/>
                                    <w:left w:val="none" w:sz="0" w:space="0" w:color="auto"/>
                                    <w:bottom w:val="none" w:sz="0" w:space="0" w:color="auto"/>
                                    <w:right w:val="none" w:sz="0" w:space="0" w:color="auto"/>
                                  </w:divBdr>
                                  <w:divsChild>
                                    <w:div w:id="896548324">
                                      <w:marLeft w:val="0"/>
                                      <w:marRight w:val="0"/>
                                      <w:marTop w:val="120"/>
                                      <w:marBottom w:val="0"/>
                                      <w:divBdr>
                                        <w:top w:val="none" w:sz="0" w:space="0" w:color="auto"/>
                                        <w:left w:val="none" w:sz="0" w:space="0" w:color="auto"/>
                                        <w:bottom w:val="none" w:sz="0" w:space="0" w:color="auto"/>
                                        <w:right w:val="none" w:sz="0" w:space="0" w:color="auto"/>
                                      </w:divBdr>
                                    </w:div>
                                    <w:div w:id="1636787522">
                                      <w:marLeft w:val="0"/>
                                      <w:marRight w:val="0"/>
                                      <w:marTop w:val="0"/>
                                      <w:marBottom w:val="0"/>
                                      <w:divBdr>
                                        <w:top w:val="none" w:sz="0" w:space="0" w:color="auto"/>
                                        <w:left w:val="none" w:sz="0" w:space="0" w:color="auto"/>
                                        <w:bottom w:val="none" w:sz="0" w:space="0" w:color="auto"/>
                                        <w:right w:val="none" w:sz="0" w:space="0" w:color="auto"/>
                                      </w:divBdr>
                                      <w:divsChild>
                                        <w:div w:id="629215521">
                                          <w:marLeft w:val="0"/>
                                          <w:marRight w:val="0"/>
                                          <w:marTop w:val="0"/>
                                          <w:marBottom w:val="0"/>
                                          <w:divBdr>
                                            <w:top w:val="none" w:sz="0" w:space="0" w:color="auto"/>
                                            <w:left w:val="none" w:sz="0" w:space="0" w:color="auto"/>
                                            <w:bottom w:val="none" w:sz="0" w:space="0" w:color="auto"/>
                                            <w:right w:val="none" w:sz="0" w:space="0" w:color="auto"/>
                                          </w:divBdr>
                                          <w:divsChild>
                                            <w:div w:id="2066222022">
                                              <w:marLeft w:val="0"/>
                                              <w:marRight w:val="0"/>
                                              <w:marTop w:val="120"/>
                                              <w:marBottom w:val="0"/>
                                              <w:divBdr>
                                                <w:top w:val="none" w:sz="0" w:space="0" w:color="auto"/>
                                                <w:left w:val="none" w:sz="0" w:space="0" w:color="auto"/>
                                                <w:bottom w:val="none" w:sz="0" w:space="0" w:color="auto"/>
                                                <w:right w:val="none" w:sz="0" w:space="0" w:color="auto"/>
                                              </w:divBdr>
                                            </w:div>
                                            <w:div w:id="714936118">
                                              <w:marLeft w:val="0"/>
                                              <w:marRight w:val="0"/>
                                              <w:marTop w:val="0"/>
                                              <w:marBottom w:val="0"/>
                                              <w:divBdr>
                                                <w:top w:val="none" w:sz="0" w:space="0" w:color="auto"/>
                                                <w:left w:val="none" w:sz="0" w:space="0" w:color="auto"/>
                                                <w:bottom w:val="none" w:sz="0" w:space="0" w:color="auto"/>
                                                <w:right w:val="none" w:sz="0" w:space="0" w:color="auto"/>
                                              </w:divBdr>
                                            </w:div>
                                          </w:divsChild>
                                        </w:div>
                                        <w:div w:id="521360926">
                                          <w:marLeft w:val="0"/>
                                          <w:marRight w:val="0"/>
                                          <w:marTop w:val="0"/>
                                          <w:marBottom w:val="0"/>
                                          <w:divBdr>
                                            <w:top w:val="none" w:sz="0" w:space="0" w:color="auto"/>
                                            <w:left w:val="none" w:sz="0" w:space="0" w:color="auto"/>
                                            <w:bottom w:val="none" w:sz="0" w:space="0" w:color="auto"/>
                                            <w:right w:val="none" w:sz="0" w:space="0" w:color="auto"/>
                                          </w:divBdr>
                                          <w:divsChild>
                                            <w:div w:id="771316325">
                                              <w:marLeft w:val="0"/>
                                              <w:marRight w:val="0"/>
                                              <w:marTop w:val="120"/>
                                              <w:marBottom w:val="0"/>
                                              <w:divBdr>
                                                <w:top w:val="none" w:sz="0" w:space="0" w:color="auto"/>
                                                <w:left w:val="none" w:sz="0" w:space="0" w:color="auto"/>
                                                <w:bottom w:val="none" w:sz="0" w:space="0" w:color="auto"/>
                                                <w:right w:val="none" w:sz="0" w:space="0" w:color="auto"/>
                                              </w:divBdr>
                                            </w:div>
                                            <w:div w:id="169943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955109">
                          <w:marLeft w:val="0"/>
                          <w:marRight w:val="0"/>
                          <w:marTop w:val="0"/>
                          <w:marBottom w:val="0"/>
                          <w:divBdr>
                            <w:top w:val="none" w:sz="0" w:space="0" w:color="auto"/>
                            <w:left w:val="none" w:sz="0" w:space="0" w:color="auto"/>
                            <w:bottom w:val="none" w:sz="0" w:space="0" w:color="auto"/>
                            <w:right w:val="none" w:sz="0" w:space="0" w:color="auto"/>
                          </w:divBdr>
                          <w:divsChild>
                            <w:div w:id="472409115">
                              <w:marLeft w:val="0"/>
                              <w:marRight w:val="0"/>
                              <w:marTop w:val="0"/>
                              <w:marBottom w:val="0"/>
                              <w:divBdr>
                                <w:top w:val="none" w:sz="0" w:space="0" w:color="auto"/>
                                <w:left w:val="none" w:sz="0" w:space="0" w:color="auto"/>
                                <w:bottom w:val="none" w:sz="0" w:space="0" w:color="auto"/>
                                <w:right w:val="none" w:sz="0" w:space="0" w:color="auto"/>
                              </w:divBdr>
                              <w:divsChild>
                                <w:div w:id="207760764">
                                  <w:marLeft w:val="0"/>
                                  <w:marRight w:val="0"/>
                                  <w:marTop w:val="0"/>
                                  <w:marBottom w:val="0"/>
                                  <w:divBdr>
                                    <w:top w:val="none" w:sz="0" w:space="0" w:color="auto"/>
                                    <w:left w:val="none" w:sz="0" w:space="0" w:color="auto"/>
                                    <w:bottom w:val="none" w:sz="0" w:space="0" w:color="auto"/>
                                    <w:right w:val="none" w:sz="0" w:space="0" w:color="auto"/>
                                  </w:divBdr>
                                  <w:divsChild>
                                    <w:div w:id="748431809">
                                      <w:marLeft w:val="0"/>
                                      <w:marRight w:val="0"/>
                                      <w:marTop w:val="120"/>
                                      <w:marBottom w:val="0"/>
                                      <w:divBdr>
                                        <w:top w:val="none" w:sz="0" w:space="0" w:color="auto"/>
                                        <w:left w:val="none" w:sz="0" w:space="0" w:color="auto"/>
                                        <w:bottom w:val="none" w:sz="0" w:space="0" w:color="auto"/>
                                        <w:right w:val="none" w:sz="0" w:space="0" w:color="auto"/>
                                      </w:divBdr>
                                    </w:div>
                                    <w:div w:id="1461653632">
                                      <w:marLeft w:val="0"/>
                                      <w:marRight w:val="0"/>
                                      <w:marTop w:val="0"/>
                                      <w:marBottom w:val="0"/>
                                      <w:divBdr>
                                        <w:top w:val="none" w:sz="0" w:space="0" w:color="auto"/>
                                        <w:left w:val="none" w:sz="0" w:space="0" w:color="auto"/>
                                        <w:bottom w:val="none" w:sz="0" w:space="0" w:color="auto"/>
                                        <w:right w:val="none" w:sz="0" w:space="0" w:color="auto"/>
                                      </w:divBdr>
                                    </w:div>
                                  </w:divsChild>
                                </w:div>
                                <w:div w:id="1438522871">
                                  <w:marLeft w:val="0"/>
                                  <w:marRight w:val="0"/>
                                  <w:marTop w:val="0"/>
                                  <w:marBottom w:val="0"/>
                                  <w:divBdr>
                                    <w:top w:val="none" w:sz="0" w:space="0" w:color="auto"/>
                                    <w:left w:val="none" w:sz="0" w:space="0" w:color="auto"/>
                                    <w:bottom w:val="none" w:sz="0" w:space="0" w:color="auto"/>
                                    <w:right w:val="none" w:sz="0" w:space="0" w:color="auto"/>
                                  </w:divBdr>
                                  <w:divsChild>
                                    <w:div w:id="79067247">
                                      <w:marLeft w:val="0"/>
                                      <w:marRight w:val="0"/>
                                      <w:marTop w:val="120"/>
                                      <w:marBottom w:val="0"/>
                                      <w:divBdr>
                                        <w:top w:val="none" w:sz="0" w:space="0" w:color="auto"/>
                                        <w:left w:val="none" w:sz="0" w:space="0" w:color="auto"/>
                                        <w:bottom w:val="none" w:sz="0" w:space="0" w:color="auto"/>
                                        <w:right w:val="none" w:sz="0" w:space="0" w:color="auto"/>
                                      </w:divBdr>
                                    </w:div>
                                    <w:div w:id="1637566498">
                                      <w:marLeft w:val="0"/>
                                      <w:marRight w:val="0"/>
                                      <w:marTop w:val="0"/>
                                      <w:marBottom w:val="0"/>
                                      <w:divBdr>
                                        <w:top w:val="none" w:sz="0" w:space="0" w:color="auto"/>
                                        <w:left w:val="none" w:sz="0" w:space="0" w:color="auto"/>
                                        <w:bottom w:val="none" w:sz="0" w:space="0" w:color="auto"/>
                                        <w:right w:val="none" w:sz="0" w:space="0" w:color="auto"/>
                                      </w:divBdr>
                                    </w:div>
                                  </w:divsChild>
                                </w:div>
                                <w:div w:id="1487240732">
                                  <w:marLeft w:val="0"/>
                                  <w:marRight w:val="0"/>
                                  <w:marTop w:val="0"/>
                                  <w:marBottom w:val="0"/>
                                  <w:divBdr>
                                    <w:top w:val="none" w:sz="0" w:space="0" w:color="auto"/>
                                    <w:left w:val="none" w:sz="0" w:space="0" w:color="auto"/>
                                    <w:bottom w:val="none" w:sz="0" w:space="0" w:color="auto"/>
                                    <w:right w:val="none" w:sz="0" w:space="0" w:color="auto"/>
                                  </w:divBdr>
                                  <w:divsChild>
                                    <w:div w:id="419910140">
                                      <w:marLeft w:val="0"/>
                                      <w:marRight w:val="0"/>
                                      <w:marTop w:val="120"/>
                                      <w:marBottom w:val="0"/>
                                      <w:divBdr>
                                        <w:top w:val="none" w:sz="0" w:space="0" w:color="auto"/>
                                        <w:left w:val="none" w:sz="0" w:space="0" w:color="auto"/>
                                        <w:bottom w:val="none" w:sz="0" w:space="0" w:color="auto"/>
                                        <w:right w:val="none" w:sz="0" w:space="0" w:color="auto"/>
                                      </w:divBdr>
                                    </w:div>
                                    <w:div w:id="149980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491112">
                          <w:marLeft w:val="0"/>
                          <w:marRight w:val="0"/>
                          <w:marTop w:val="0"/>
                          <w:marBottom w:val="0"/>
                          <w:divBdr>
                            <w:top w:val="none" w:sz="0" w:space="0" w:color="auto"/>
                            <w:left w:val="none" w:sz="0" w:space="0" w:color="auto"/>
                            <w:bottom w:val="none" w:sz="0" w:space="0" w:color="auto"/>
                            <w:right w:val="none" w:sz="0" w:space="0" w:color="auto"/>
                          </w:divBdr>
                          <w:divsChild>
                            <w:div w:id="321084340">
                              <w:marLeft w:val="0"/>
                              <w:marRight w:val="0"/>
                              <w:marTop w:val="0"/>
                              <w:marBottom w:val="0"/>
                              <w:divBdr>
                                <w:top w:val="none" w:sz="0" w:space="0" w:color="auto"/>
                                <w:left w:val="none" w:sz="0" w:space="0" w:color="auto"/>
                                <w:bottom w:val="none" w:sz="0" w:space="0" w:color="auto"/>
                                <w:right w:val="none" w:sz="0" w:space="0" w:color="auto"/>
                              </w:divBdr>
                            </w:div>
                          </w:divsChild>
                        </w:div>
                        <w:div w:id="1768622944">
                          <w:marLeft w:val="0"/>
                          <w:marRight w:val="0"/>
                          <w:marTop w:val="0"/>
                          <w:marBottom w:val="0"/>
                          <w:divBdr>
                            <w:top w:val="none" w:sz="0" w:space="0" w:color="auto"/>
                            <w:left w:val="none" w:sz="0" w:space="0" w:color="auto"/>
                            <w:bottom w:val="none" w:sz="0" w:space="0" w:color="auto"/>
                            <w:right w:val="none" w:sz="0" w:space="0" w:color="auto"/>
                          </w:divBdr>
                          <w:divsChild>
                            <w:div w:id="2063405140">
                              <w:marLeft w:val="0"/>
                              <w:marRight w:val="0"/>
                              <w:marTop w:val="0"/>
                              <w:marBottom w:val="0"/>
                              <w:divBdr>
                                <w:top w:val="none" w:sz="0" w:space="0" w:color="auto"/>
                                <w:left w:val="none" w:sz="0" w:space="0" w:color="auto"/>
                                <w:bottom w:val="none" w:sz="0" w:space="0" w:color="auto"/>
                                <w:right w:val="none" w:sz="0" w:space="0" w:color="auto"/>
                              </w:divBdr>
                            </w:div>
                          </w:divsChild>
                        </w:div>
                        <w:div w:id="1583292854">
                          <w:marLeft w:val="0"/>
                          <w:marRight w:val="0"/>
                          <w:marTop w:val="0"/>
                          <w:marBottom w:val="0"/>
                          <w:divBdr>
                            <w:top w:val="none" w:sz="0" w:space="0" w:color="auto"/>
                            <w:left w:val="none" w:sz="0" w:space="0" w:color="auto"/>
                            <w:bottom w:val="none" w:sz="0" w:space="0" w:color="auto"/>
                            <w:right w:val="none" w:sz="0" w:space="0" w:color="auto"/>
                          </w:divBdr>
                          <w:divsChild>
                            <w:div w:id="1905681471">
                              <w:marLeft w:val="0"/>
                              <w:marRight w:val="0"/>
                              <w:marTop w:val="0"/>
                              <w:marBottom w:val="0"/>
                              <w:divBdr>
                                <w:top w:val="none" w:sz="0" w:space="0" w:color="auto"/>
                                <w:left w:val="none" w:sz="0" w:space="0" w:color="auto"/>
                                <w:bottom w:val="none" w:sz="0" w:space="0" w:color="auto"/>
                                <w:right w:val="none" w:sz="0" w:space="0" w:color="auto"/>
                              </w:divBdr>
                              <w:divsChild>
                                <w:div w:id="25720864">
                                  <w:marLeft w:val="0"/>
                                  <w:marRight w:val="0"/>
                                  <w:marTop w:val="0"/>
                                  <w:marBottom w:val="0"/>
                                  <w:divBdr>
                                    <w:top w:val="none" w:sz="0" w:space="0" w:color="auto"/>
                                    <w:left w:val="none" w:sz="0" w:space="0" w:color="auto"/>
                                    <w:bottom w:val="none" w:sz="0" w:space="0" w:color="auto"/>
                                    <w:right w:val="none" w:sz="0" w:space="0" w:color="auto"/>
                                  </w:divBdr>
                                  <w:divsChild>
                                    <w:div w:id="1597864317">
                                      <w:marLeft w:val="0"/>
                                      <w:marRight w:val="0"/>
                                      <w:marTop w:val="120"/>
                                      <w:marBottom w:val="0"/>
                                      <w:divBdr>
                                        <w:top w:val="none" w:sz="0" w:space="0" w:color="auto"/>
                                        <w:left w:val="none" w:sz="0" w:space="0" w:color="auto"/>
                                        <w:bottom w:val="none" w:sz="0" w:space="0" w:color="auto"/>
                                        <w:right w:val="none" w:sz="0" w:space="0" w:color="auto"/>
                                      </w:divBdr>
                                    </w:div>
                                    <w:div w:id="1054499587">
                                      <w:marLeft w:val="0"/>
                                      <w:marRight w:val="0"/>
                                      <w:marTop w:val="0"/>
                                      <w:marBottom w:val="0"/>
                                      <w:divBdr>
                                        <w:top w:val="none" w:sz="0" w:space="0" w:color="auto"/>
                                        <w:left w:val="none" w:sz="0" w:space="0" w:color="auto"/>
                                        <w:bottom w:val="none" w:sz="0" w:space="0" w:color="auto"/>
                                        <w:right w:val="none" w:sz="0" w:space="0" w:color="auto"/>
                                      </w:divBdr>
                                      <w:divsChild>
                                        <w:div w:id="1479373462">
                                          <w:marLeft w:val="0"/>
                                          <w:marRight w:val="0"/>
                                          <w:marTop w:val="0"/>
                                          <w:marBottom w:val="0"/>
                                          <w:divBdr>
                                            <w:top w:val="none" w:sz="0" w:space="0" w:color="auto"/>
                                            <w:left w:val="none" w:sz="0" w:space="0" w:color="auto"/>
                                            <w:bottom w:val="none" w:sz="0" w:space="0" w:color="auto"/>
                                            <w:right w:val="none" w:sz="0" w:space="0" w:color="auto"/>
                                          </w:divBdr>
                                          <w:divsChild>
                                            <w:div w:id="1871066320">
                                              <w:marLeft w:val="0"/>
                                              <w:marRight w:val="0"/>
                                              <w:marTop w:val="120"/>
                                              <w:marBottom w:val="0"/>
                                              <w:divBdr>
                                                <w:top w:val="none" w:sz="0" w:space="0" w:color="auto"/>
                                                <w:left w:val="none" w:sz="0" w:space="0" w:color="auto"/>
                                                <w:bottom w:val="none" w:sz="0" w:space="0" w:color="auto"/>
                                                <w:right w:val="none" w:sz="0" w:space="0" w:color="auto"/>
                                              </w:divBdr>
                                            </w:div>
                                            <w:div w:id="696320529">
                                              <w:marLeft w:val="0"/>
                                              <w:marRight w:val="0"/>
                                              <w:marTop w:val="0"/>
                                              <w:marBottom w:val="0"/>
                                              <w:divBdr>
                                                <w:top w:val="none" w:sz="0" w:space="0" w:color="auto"/>
                                                <w:left w:val="none" w:sz="0" w:space="0" w:color="auto"/>
                                                <w:bottom w:val="none" w:sz="0" w:space="0" w:color="auto"/>
                                                <w:right w:val="none" w:sz="0" w:space="0" w:color="auto"/>
                                              </w:divBdr>
                                            </w:div>
                                          </w:divsChild>
                                        </w:div>
                                        <w:div w:id="2112432302">
                                          <w:marLeft w:val="0"/>
                                          <w:marRight w:val="0"/>
                                          <w:marTop w:val="0"/>
                                          <w:marBottom w:val="0"/>
                                          <w:divBdr>
                                            <w:top w:val="none" w:sz="0" w:space="0" w:color="auto"/>
                                            <w:left w:val="none" w:sz="0" w:space="0" w:color="auto"/>
                                            <w:bottom w:val="none" w:sz="0" w:space="0" w:color="auto"/>
                                            <w:right w:val="none" w:sz="0" w:space="0" w:color="auto"/>
                                          </w:divBdr>
                                          <w:divsChild>
                                            <w:div w:id="2140368021">
                                              <w:marLeft w:val="0"/>
                                              <w:marRight w:val="0"/>
                                              <w:marTop w:val="120"/>
                                              <w:marBottom w:val="0"/>
                                              <w:divBdr>
                                                <w:top w:val="none" w:sz="0" w:space="0" w:color="auto"/>
                                                <w:left w:val="none" w:sz="0" w:space="0" w:color="auto"/>
                                                <w:bottom w:val="none" w:sz="0" w:space="0" w:color="auto"/>
                                                <w:right w:val="none" w:sz="0" w:space="0" w:color="auto"/>
                                              </w:divBdr>
                                            </w:div>
                                            <w:div w:id="833839714">
                                              <w:marLeft w:val="0"/>
                                              <w:marRight w:val="0"/>
                                              <w:marTop w:val="0"/>
                                              <w:marBottom w:val="0"/>
                                              <w:divBdr>
                                                <w:top w:val="none" w:sz="0" w:space="0" w:color="auto"/>
                                                <w:left w:val="none" w:sz="0" w:space="0" w:color="auto"/>
                                                <w:bottom w:val="none" w:sz="0" w:space="0" w:color="auto"/>
                                                <w:right w:val="none" w:sz="0" w:space="0" w:color="auto"/>
                                              </w:divBdr>
                                            </w:div>
                                          </w:divsChild>
                                        </w:div>
                                        <w:div w:id="943919383">
                                          <w:marLeft w:val="0"/>
                                          <w:marRight w:val="0"/>
                                          <w:marTop w:val="0"/>
                                          <w:marBottom w:val="0"/>
                                          <w:divBdr>
                                            <w:top w:val="none" w:sz="0" w:space="0" w:color="auto"/>
                                            <w:left w:val="none" w:sz="0" w:space="0" w:color="auto"/>
                                            <w:bottom w:val="none" w:sz="0" w:space="0" w:color="auto"/>
                                            <w:right w:val="none" w:sz="0" w:space="0" w:color="auto"/>
                                          </w:divBdr>
                                          <w:divsChild>
                                            <w:div w:id="487791739">
                                              <w:marLeft w:val="0"/>
                                              <w:marRight w:val="0"/>
                                              <w:marTop w:val="120"/>
                                              <w:marBottom w:val="0"/>
                                              <w:divBdr>
                                                <w:top w:val="none" w:sz="0" w:space="0" w:color="auto"/>
                                                <w:left w:val="none" w:sz="0" w:space="0" w:color="auto"/>
                                                <w:bottom w:val="none" w:sz="0" w:space="0" w:color="auto"/>
                                                <w:right w:val="none" w:sz="0" w:space="0" w:color="auto"/>
                                              </w:divBdr>
                                            </w:div>
                                            <w:div w:id="68413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1928">
                                  <w:marLeft w:val="0"/>
                                  <w:marRight w:val="0"/>
                                  <w:marTop w:val="0"/>
                                  <w:marBottom w:val="0"/>
                                  <w:divBdr>
                                    <w:top w:val="none" w:sz="0" w:space="0" w:color="auto"/>
                                    <w:left w:val="none" w:sz="0" w:space="0" w:color="auto"/>
                                    <w:bottom w:val="none" w:sz="0" w:space="0" w:color="auto"/>
                                    <w:right w:val="none" w:sz="0" w:space="0" w:color="auto"/>
                                  </w:divBdr>
                                  <w:divsChild>
                                    <w:div w:id="172645041">
                                      <w:marLeft w:val="0"/>
                                      <w:marRight w:val="0"/>
                                      <w:marTop w:val="120"/>
                                      <w:marBottom w:val="0"/>
                                      <w:divBdr>
                                        <w:top w:val="none" w:sz="0" w:space="0" w:color="auto"/>
                                        <w:left w:val="none" w:sz="0" w:space="0" w:color="auto"/>
                                        <w:bottom w:val="none" w:sz="0" w:space="0" w:color="auto"/>
                                        <w:right w:val="none" w:sz="0" w:space="0" w:color="auto"/>
                                      </w:divBdr>
                                    </w:div>
                                    <w:div w:id="137916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427278">
                          <w:marLeft w:val="0"/>
                          <w:marRight w:val="0"/>
                          <w:marTop w:val="0"/>
                          <w:marBottom w:val="0"/>
                          <w:divBdr>
                            <w:top w:val="none" w:sz="0" w:space="0" w:color="auto"/>
                            <w:left w:val="none" w:sz="0" w:space="0" w:color="auto"/>
                            <w:bottom w:val="none" w:sz="0" w:space="0" w:color="auto"/>
                            <w:right w:val="none" w:sz="0" w:space="0" w:color="auto"/>
                          </w:divBdr>
                          <w:divsChild>
                            <w:div w:id="1650985862">
                              <w:marLeft w:val="0"/>
                              <w:marRight w:val="0"/>
                              <w:marTop w:val="0"/>
                              <w:marBottom w:val="0"/>
                              <w:divBdr>
                                <w:top w:val="none" w:sz="0" w:space="0" w:color="auto"/>
                                <w:left w:val="none" w:sz="0" w:space="0" w:color="auto"/>
                                <w:bottom w:val="none" w:sz="0" w:space="0" w:color="auto"/>
                                <w:right w:val="none" w:sz="0" w:space="0" w:color="auto"/>
                              </w:divBdr>
                            </w:div>
                          </w:divsChild>
                        </w:div>
                        <w:div w:id="1633511974">
                          <w:marLeft w:val="0"/>
                          <w:marRight w:val="0"/>
                          <w:marTop w:val="0"/>
                          <w:marBottom w:val="0"/>
                          <w:divBdr>
                            <w:top w:val="none" w:sz="0" w:space="0" w:color="auto"/>
                            <w:left w:val="none" w:sz="0" w:space="0" w:color="auto"/>
                            <w:bottom w:val="none" w:sz="0" w:space="0" w:color="auto"/>
                            <w:right w:val="none" w:sz="0" w:space="0" w:color="auto"/>
                          </w:divBdr>
                          <w:divsChild>
                            <w:div w:id="1701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92671">
                      <w:marLeft w:val="0"/>
                      <w:marRight w:val="0"/>
                      <w:marTop w:val="0"/>
                      <w:marBottom w:val="0"/>
                      <w:divBdr>
                        <w:top w:val="none" w:sz="0" w:space="0" w:color="auto"/>
                        <w:left w:val="none" w:sz="0" w:space="0" w:color="auto"/>
                        <w:bottom w:val="none" w:sz="0" w:space="0" w:color="auto"/>
                        <w:right w:val="none" w:sz="0" w:space="0" w:color="auto"/>
                      </w:divBdr>
                      <w:divsChild>
                        <w:div w:id="1579484710">
                          <w:marLeft w:val="0"/>
                          <w:marRight w:val="0"/>
                          <w:marTop w:val="0"/>
                          <w:marBottom w:val="0"/>
                          <w:divBdr>
                            <w:top w:val="none" w:sz="0" w:space="0" w:color="auto"/>
                            <w:left w:val="none" w:sz="0" w:space="0" w:color="auto"/>
                            <w:bottom w:val="none" w:sz="0" w:space="0" w:color="auto"/>
                            <w:right w:val="none" w:sz="0" w:space="0" w:color="auto"/>
                          </w:divBdr>
                        </w:div>
                        <w:div w:id="1580092206">
                          <w:marLeft w:val="0"/>
                          <w:marRight w:val="0"/>
                          <w:marTop w:val="0"/>
                          <w:marBottom w:val="0"/>
                          <w:divBdr>
                            <w:top w:val="none" w:sz="0" w:space="0" w:color="auto"/>
                            <w:left w:val="none" w:sz="0" w:space="0" w:color="auto"/>
                            <w:bottom w:val="none" w:sz="0" w:space="0" w:color="auto"/>
                            <w:right w:val="none" w:sz="0" w:space="0" w:color="auto"/>
                          </w:divBdr>
                          <w:divsChild>
                            <w:div w:id="1217428404">
                              <w:marLeft w:val="0"/>
                              <w:marRight w:val="0"/>
                              <w:marTop w:val="0"/>
                              <w:marBottom w:val="0"/>
                              <w:divBdr>
                                <w:top w:val="none" w:sz="0" w:space="0" w:color="auto"/>
                                <w:left w:val="none" w:sz="0" w:space="0" w:color="auto"/>
                                <w:bottom w:val="none" w:sz="0" w:space="0" w:color="auto"/>
                                <w:right w:val="none" w:sz="0" w:space="0" w:color="auto"/>
                              </w:divBdr>
                              <w:divsChild>
                                <w:div w:id="1594120102">
                                  <w:marLeft w:val="0"/>
                                  <w:marRight w:val="0"/>
                                  <w:marTop w:val="0"/>
                                  <w:marBottom w:val="0"/>
                                  <w:divBdr>
                                    <w:top w:val="none" w:sz="0" w:space="0" w:color="auto"/>
                                    <w:left w:val="none" w:sz="0" w:space="0" w:color="auto"/>
                                    <w:bottom w:val="none" w:sz="0" w:space="0" w:color="auto"/>
                                    <w:right w:val="none" w:sz="0" w:space="0" w:color="auto"/>
                                  </w:divBdr>
                                  <w:divsChild>
                                    <w:div w:id="2024279050">
                                      <w:marLeft w:val="0"/>
                                      <w:marRight w:val="0"/>
                                      <w:marTop w:val="120"/>
                                      <w:marBottom w:val="0"/>
                                      <w:divBdr>
                                        <w:top w:val="none" w:sz="0" w:space="0" w:color="auto"/>
                                        <w:left w:val="none" w:sz="0" w:space="0" w:color="auto"/>
                                        <w:bottom w:val="none" w:sz="0" w:space="0" w:color="auto"/>
                                        <w:right w:val="none" w:sz="0" w:space="0" w:color="auto"/>
                                      </w:divBdr>
                                    </w:div>
                                    <w:div w:id="1746954466">
                                      <w:marLeft w:val="0"/>
                                      <w:marRight w:val="0"/>
                                      <w:marTop w:val="0"/>
                                      <w:marBottom w:val="0"/>
                                      <w:divBdr>
                                        <w:top w:val="none" w:sz="0" w:space="0" w:color="auto"/>
                                        <w:left w:val="none" w:sz="0" w:space="0" w:color="auto"/>
                                        <w:bottom w:val="none" w:sz="0" w:space="0" w:color="auto"/>
                                        <w:right w:val="none" w:sz="0" w:space="0" w:color="auto"/>
                                      </w:divBdr>
                                    </w:div>
                                  </w:divsChild>
                                </w:div>
                                <w:div w:id="609630507">
                                  <w:marLeft w:val="0"/>
                                  <w:marRight w:val="0"/>
                                  <w:marTop w:val="0"/>
                                  <w:marBottom w:val="0"/>
                                  <w:divBdr>
                                    <w:top w:val="none" w:sz="0" w:space="0" w:color="auto"/>
                                    <w:left w:val="none" w:sz="0" w:space="0" w:color="auto"/>
                                    <w:bottom w:val="none" w:sz="0" w:space="0" w:color="auto"/>
                                    <w:right w:val="none" w:sz="0" w:space="0" w:color="auto"/>
                                  </w:divBdr>
                                  <w:divsChild>
                                    <w:div w:id="814220102">
                                      <w:marLeft w:val="0"/>
                                      <w:marRight w:val="0"/>
                                      <w:marTop w:val="120"/>
                                      <w:marBottom w:val="0"/>
                                      <w:divBdr>
                                        <w:top w:val="none" w:sz="0" w:space="0" w:color="auto"/>
                                        <w:left w:val="none" w:sz="0" w:space="0" w:color="auto"/>
                                        <w:bottom w:val="none" w:sz="0" w:space="0" w:color="auto"/>
                                        <w:right w:val="none" w:sz="0" w:space="0" w:color="auto"/>
                                      </w:divBdr>
                                    </w:div>
                                    <w:div w:id="27644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469973">
                          <w:marLeft w:val="0"/>
                          <w:marRight w:val="0"/>
                          <w:marTop w:val="0"/>
                          <w:marBottom w:val="0"/>
                          <w:divBdr>
                            <w:top w:val="none" w:sz="0" w:space="0" w:color="auto"/>
                            <w:left w:val="none" w:sz="0" w:space="0" w:color="auto"/>
                            <w:bottom w:val="none" w:sz="0" w:space="0" w:color="auto"/>
                            <w:right w:val="none" w:sz="0" w:space="0" w:color="auto"/>
                          </w:divBdr>
                          <w:divsChild>
                            <w:div w:id="806511256">
                              <w:marLeft w:val="0"/>
                              <w:marRight w:val="0"/>
                              <w:marTop w:val="0"/>
                              <w:marBottom w:val="0"/>
                              <w:divBdr>
                                <w:top w:val="none" w:sz="0" w:space="0" w:color="auto"/>
                                <w:left w:val="none" w:sz="0" w:space="0" w:color="auto"/>
                                <w:bottom w:val="none" w:sz="0" w:space="0" w:color="auto"/>
                                <w:right w:val="none" w:sz="0" w:space="0" w:color="auto"/>
                              </w:divBdr>
                            </w:div>
                          </w:divsChild>
                        </w:div>
                        <w:div w:id="548421049">
                          <w:marLeft w:val="0"/>
                          <w:marRight w:val="0"/>
                          <w:marTop w:val="0"/>
                          <w:marBottom w:val="0"/>
                          <w:divBdr>
                            <w:top w:val="none" w:sz="0" w:space="0" w:color="auto"/>
                            <w:left w:val="none" w:sz="0" w:space="0" w:color="auto"/>
                            <w:bottom w:val="none" w:sz="0" w:space="0" w:color="auto"/>
                            <w:right w:val="none" w:sz="0" w:space="0" w:color="auto"/>
                          </w:divBdr>
                          <w:divsChild>
                            <w:div w:id="2076659848">
                              <w:marLeft w:val="0"/>
                              <w:marRight w:val="0"/>
                              <w:marTop w:val="0"/>
                              <w:marBottom w:val="0"/>
                              <w:divBdr>
                                <w:top w:val="none" w:sz="0" w:space="0" w:color="auto"/>
                                <w:left w:val="none" w:sz="0" w:space="0" w:color="auto"/>
                                <w:bottom w:val="none" w:sz="0" w:space="0" w:color="auto"/>
                                <w:right w:val="none" w:sz="0" w:space="0" w:color="auto"/>
                              </w:divBdr>
                            </w:div>
                          </w:divsChild>
                        </w:div>
                        <w:div w:id="1052463594">
                          <w:marLeft w:val="0"/>
                          <w:marRight w:val="0"/>
                          <w:marTop w:val="0"/>
                          <w:marBottom w:val="0"/>
                          <w:divBdr>
                            <w:top w:val="none" w:sz="0" w:space="0" w:color="auto"/>
                            <w:left w:val="none" w:sz="0" w:space="0" w:color="auto"/>
                            <w:bottom w:val="none" w:sz="0" w:space="0" w:color="auto"/>
                            <w:right w:val="none" w:sz="0" w:space="0" w:color="auto"/>
                          </w:divBdr>
                          <w:divsChild>
                            <w:div w:id="31464405">
                              <w:marLeft w:val="0"/>
                              <w:marRight w:val="0"/>
                              <w:marTop w:val="0"/>
                              <w:marBottom w:val="0"/>
                              <w:divBdr>
                                <w:top w:val="none" w:sz="0" w:space="0" w:color="auto"/>
                                <w:left w:val="none" w:sz="0" w:space="0" w:color="auto"/>
                                <w:bottom w:val="none" w:sz="0" w:space="0" w:color="auto"/>
                                <w:right w:val="none" w:sz="0" w:space="0" w:color="auto"/>
                              </w:divBdr>
                            </w:div>
                          </w:divsChild>
                        </w:div>
                        <w:div w:id="1478456200">
                          <w:marLeft w:val="0"/>
                          <w:marRight w:val="0"/>
                          <w:marTop w:val="0"/>
                          <w:marBottom w:val="0"/>
                          <w:divBdr>
                            <w:top w:val="none" w:sz="0" w:space="0" w:color="auto"/>
                            <w:left w:val="none" w:sz="0" w:space="0" w:color="auto"/>
                            <w:bottom w:val="none" w:sz="0" w:space="0" w:color="auto"/>
                            <w:right w:val="none" w:sz="0" w:space="0" w:color="auto"/>
                          </w:divBdr>
                          <w:divsChild>
                            <w:div w:id="43976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346756">
                  <w:marLeft w:val="0"/>
                  <w:marRight w:val="0"/>
                  <w:marTop w:val="0"/>
                  <w:marBottom w:val="0"/>
                  <w:divBdr>
                    <w:top w:val="none" w:sz="0" w:space="0" w:color="auto"/>
                    <w:left w:val="none" w:sz="0" w:space="0" w:color="auto"/>
                    <w:bottom w:val="none" w:sz="0" w:space="0" w:color="auto"/>
                    <w:right w:val="none" w:sz="0" w:space="0" w:color="auto"/>
                  </w:divBdr>
                  <w:divsChild>
                    <w:div w:id="735516715">
                      <w:marLeft w:val="0"/>
                      <w:marRight w:val="0"/>
                      <w:marTop w:val="0"/>
                      <w:marBottom w:val="0"/>
                      <w:divBdr>
                        <w:top w:val="none" w:sz="0" w:space="0" w:color="auto"/>
                        <w:left w:val="none" w:sz="0" w:space="0" w:color="auto"/>
                        <w:bottom w:val="none" w:sz="0" w:space="0" w:color="auto"/>
                        <w:right w:val="none" w:sz="0" w:space="0" w:color="auto"/>
                      </w:divBdr>
                      <w:divsChild>
                        <w:div w:id="1687705475">
                          <w:marLeft w:val="0"/>
                          <w:marRight w:val="0"/>
                          <w:marTop w:val="0"/>
                          <w:marBottom w:val="0"/>
                          <w:divBdr>
                            <w:top w:val="none" w:sz="0" w:space="0" w:color="auto"/>
                            <w:left w:val="none" w:sz="0" w:space="0" w:color="auto"/>
                            <w:bottom w:val="none" w:sz="0" w:space="0" w:color="auto"/>
                            <w:right w:val="none" w:sz="0" w:space="0" w:color="auto"/>
                          </w:divBdr>
                        </w:div>
                        <w:div w:id="306983990">
                          <w:marLeft w:val="0"/>
                          <w:marRight w:val="0"/>
                          <w:marTop w:val="0"/>
                          <w:marBottom w:val="0"/>
                          <w:divBdr>
                            <w:top w:val="none" w:sz="0" w:space="0" w:color="auto"/>
                            <w:left w:val="none" w:sz="0" w:space="0" w:color="auto"/>
                            <w:bottom w:val="none" w:sz="0" w:space="0" w:color="auto"/>
                            <w:right w:val="none" w:sz="0" w:space="0" w:color="auto"/>
                          </w:divBdr>
                          <w:divsChild>
                            <w:div w:id="1773547414">
                              <w:marLeft w:val="0"/>
                              <w:marRight w:val="0"/>
                              <w:marTop w:val="0"/>
                              <w:marBottom w:val="0"/>
                              <w:divBdr>
                                <w:top w:val="none" w:sz="0" w:space="0" w:color="auto"/>
                                <w:left w:val="none" w:sz="0" w:space="0" w:color="auto"/>
                                <w:bottom w:val="none" w:sz="0" w:space="0" w:color="auto"/>
                                <w:right w:val="none" w:sz="0" w:space="0" w:color="auto"/>
                              </w:divBdr>
                            </w:div>
                          </w:divsChild>
                        </w:div>
                        <w:div w:id="1745184824">
                          <w:marLeft w:val="0"/>
                          <w:marRight w:val="0"/>
                          <w:marTop w:val="0"/>
                          <w:marBottom w:val="0"/>
                          <w:divBdr>
                            <w:top w:val="none" w:sz="0" w:space="0" w:color="auto"/>
                            <w:left w:val="none" w:sz="0" w:space="0" w:color="auto"/>
                            <w:bottom w:val="none" w:sz="0" w:space="0" w:color="auto"/>
                            <w:right w:val="none" w:sz="0" w:space="0" w:color="auto"/>
                          </w:divBdr>
                          <w:divsChild>
                            <w:div w:id="426536286">
                              <w:marLeft w:val="0"/>
                              <w:marRight w:val="0"/>
                              <w:marTop w:val="0"/>
                              <w:marBottom w:val="0"/>
                              <w:divBdr>
                                <w:top w:val="none" w:sz="0" w:space="0" w:color="auto"/>
                                <w:left w:val="none" w:sz="0" w:space="0" w:color="auto"/>
                                <w:bottom w:val="none" w:sz="0" w:space="0" w:color="auto"/>
                                <w:right w:val="none" w:sz="0" w:space="0" w:color="auto"/>
                              </w:divBdr>
                            </w:div>
                          </w:divsChild>
                        </w:div>
                        <w:div w:id="2122799419">
                          <w:marLeft w:val="0"/>
                          <w:marRight w:val="0"/>
                          <w:marTop w:val="0"/>
                          <w:marBottom w:val="0"/>
                          <w:divBdr>
                            <w:top w:val="none" w:sz="0" w:space="0" w:color="auto"/>
                            <w:left w:val="none" w:sz="0" w:space="0" w:color="auto"/>
                            <w:bottom w:val="none" w:sz="0" w:space="0" w:color="auto"/>
                            <w:right w:val="none" w:sz="0" w:space="0" w:color="auto"/>
                          </w:divBdr>
                          <w:divsChild>
                            <w:div w:id="1596330485">
                              <w:marLeft w:val="0"/>
                              <w:marRight w:val="0"/>
                              <w:marTop w:val="0"/>
                              <w:marBottom w:val="0"/>
                              <w:divBdr>
                                <w:top w:val="none" w:sz="0" w:space="0" w:color="auto"/>
                                <w:left w:val="none" w:sz="0" w:space="0" w:color="auto"/>
                                <w:bottom w:val="none" w:sz="0" w:space="0" w:color="auto"/>
                                <w:right w:val="none" w:sz="0" w:space="0" w:color="auto"/>
                              </w:divBdr>
                            </w:div>
                          </w:divsChild>
                        </w:div>
                        <w:div w:id="1990473953">
                          <w:marLeft w:val="0"/>
                          <w:marRight w:val="0"/>
                          <w:marTop w:val="0"/>
                          <w:marBottom w:val="0"/>
                          <w:divBdr>
                            <w:top w:val="none" w:sz="0" w:space="0" w:color="auto"/>
                            <w:left w:val="none" w:sz="0" w:space="0" w:color="auto"/>
                            <w:bottom w:val="none" w:sz="0" w:space="0" w:color="auto"/>
                            <w:right w:val="none" w:sz="0" w:space="0" w:color="auto"/>
                          </w:divBdr>
                          <w:divsChild>
                            <w:div w:id="1588072022">
                              <w:marLeft w:val="0"/>
                              <w:marRight w:val="0"/>
                              <w:marTop w:val="0"/>
                              <w:marBottom w:val="0"/>
                              <w:divBdr>
                                <w:top w:val="none" w:sz="0" w:space="0" w:color="auto"/>
                                <w:left w:val="none" w:sz="0" w:space="0" w:color="auto"/>
                                <w:bottom w:val="none" w:sz="0" w:space="0" w:color="auto"/>
                                <w:right w:val="none" w:sz="0" w:space="0" w:color="auto"/>
                              </w:divBdr>
                              <w:divsChild>
                                <w:div w:id="122121192">
                                  <w:marLeft w:val="0"/>
                                  <w:marRight w:val="0"/>
                                  <w:marTop w:val="0"/>
                                  <w:marBottom w:val="0"/>
                                  <w:divBdr>
                                    <w:top w:val="none" w:sz="0" w:space="0" w:color="auto"/>
                                    <w:left w:val="none" w:sz="0" w:space="0" w:color="auto"/>
                                    <w:bottom w:val="none" w:sz="0" w:space="0" w:color="auto"/>
                                    <w:right w:val="none" w:sz="0" w:space="0" w:color="auto"/>
                                  </w:divBdr>
                                  <w:divsChild>
                                    <w:div w:id="1036269145">
                                      <w:marLeft w:val="0"/>
                                      <w:marRight w:val="0"/>
                                      <w:marTop w:val="120"/>
                                      <w:marBottom w:val="0"/>
                                      <w:divBdr>
                                        <w:top w:val="none" w:sz="0" w:space="0" w:color="auto"/>
                                        <w:left w:val="none" w:sz="0" w:space="0" w:color="auto"/>
                                        <w:bottom w:val="none" w:sz="0" w:space="0" w:color="auto"/>
                                        <w:right w:val="none" w:sz="0" w:space="0" w:color="auto"/>
                                      </w:divBdr>
                                    </w:div>
                                    <w:div w:id="2103144286">
                                      <w:marLeft w:val="0"/>
                                      <w:marRight w:val="0"/>
                                      <w:marTop w:val="0"/>
                                      <w:marBottom w:val="0"/>
                                      <w:divBdr>
                                        <w:top w:val="none" w:sz="0" w:space="0" w:color="auto"/>
                                        <w:left w:val="none" w:sz="0" w:space="0" w:color="auto"/>
                                        <w:bottom w:val="none" w:sz="0" w:space="0" w:color="auto"/>
                                        <w:right w:val="none" w:sz="0" w:space="0" w:color="auto"/>
                                      </w:divBdr>
                                    </w:div>
                                  </w:divsChild>
                                </w:div>
                                <w:div w:id="2030061005">
                                  <w:marLeft w:val="0"/>
                                  <w:marRight w:val="0"/>
                                  <w:marTop w:val="0"/>
                                  <w:marBottom w:val="0"/>
                                  <w:divBdr>
                                    <w:top w:val="none" w:sz="0" w:space="0" w:color="auto"/>
                                    <w:left w:val="none" w:sz="0" w:space="0" w:color="auto"/>
                                    <w:bottom w:val="none" w:sz="0" w:space="0" w:color="auto"/>
                                    <w:right w:val="none" w:sz="0" w:space="0" w:color="auto"/>
                                  </w:divBdr>
                                  <w:divsChild>
                                    <w:div w:id="1043335612">
                                      <w:marLeft w:val="0"/>
                                      <w:marRight w:val="0"/>
                                      <w:marTop w:val="120"/>
                                      <w:marBottom w:val="0"/>
                                      <w:divBdr>
                                        <w:top w:val="none" w:sz="0" w:space="0" w:color="auto"/>
                                        <w:left w:val="none" w:sz="0" w:space="0" w:color="auto"/>
                                        <w:bottom w:val="none" w:sz="0" w:space="0" w:color="auto"/>
                                        <w:right w:val="none" w:sz="0" w:space="0" w:color="auto"/>
                                      </w:divBdr>
                                    </w:div>
                                    <w:div w:id="1784883276">
                                      <w:marLeft w:val="0"/>
                                      <w:marRight w:val="0"/>
                                      <w:marTop w:val="0"/>
                                      <w:marBottom w:val="0"/>
                                      <w:divBdr>
                                        <w:top w:val="none" w:sz="0" w:space="0" w:color="auto"/>
                                        <w:left w:val="none" w:sz="0" w:space="0" w:color="auto"/>
                                        <w:bottom w:val="none" w:sz="0" w:space="0" w:color="auto"/>
                                        <w:right w:val="none" w:sz="0" w:space="0" w:color="auto"/>
                                      </w:divBdr>
                                    </w:div>
                                  </w:divsChild>
                                </w:div>
                                <w:div w:id="301546198">
                                  <w:marLeft w:val="0"/>
                                  <w:marRight w:val="0"/>
                                  <w:marTop w:val="0"/>
                                  <w:marBottom w:val="0"/>
                                  <w:divBdr>
                                    <w:top w:val="none" w:sz="0" w:space="0" w:color="auto"/>
                                    <w:left w:val="none" w:sz="0" w:space="0" w:color="auto"/>
                                    <w:bottom w:val="none" w:sz="0" w:space="0" w:color="auto"/>
                                    <w:right w:val="none" w:sz="0" w:space="0" w:color="auto"/>
                                  </w:divBdr>
                                  <w:divsChild>
                                    <w:div w:id="1927885722">
                                      <w:marLeft w:val="0"/>
                                      <w:marRight w:val="0"/>
                                      <w:marTop w:val="120"/>
                                      <w:marBottom w:val="0"/>
                                      <w:divBdr>
                                        <w:top w:val="none" w:sz="0" w:space="0" w:color="auto"/>
                                        <w:left w:val="none" w:sz="0" w:space="0" w:color="auto"/>
                                        <w:bottom w:val="none" w:sz="0" w:space="0" w:color="auto"/>
                                        <w:right w:val="none" w:sz="0" w:space="0" w:color="auto"/>
                                      </w:divBdr>
                                    </w:div>
                                    <w:div w:id="723722256">
                                      <w:marLeft w:val="0"/>
                                      <w:marRight w:val="0"/>
                                      <w:marTop w:val="0"/>
                                      <w:marBottom w:val="0"/>
                                      <w:divBdr>
                                        <w:top w:val="none" w:sz="0" w:space="0" w:color="auto"/>
                                        <w:left w:val="none" w:sz="0" w:space="0" w:color="auto"/>
                                        <w:bottom w:val="none" w:sz="0" w:space="0" w:color="auto"/>
                                        <w:right w:val="none" w:sz="0" w:space="0" w:color="auto"/>
                                      </w:divBdr>
                                    </w:div>
                                  </w:divsChild>
                                </w:div>
                                <w:div w:id="280263461">
                                  <w:marLeft w:val="0"/>
                                  <w:marRight w:val="0"/>
                                  <w:marTop w:val="0"/>
                                  <w:marBottom w:val="0"/>
                                  <w:divBdr>
                                    <w:top w:val="none" w:sz="0" w:space="0" w:color="auto"/>
                                    <w:left w:val="none" w:sz="0" w:space="0" w:color="auto"/>
                                    <w:bottom w:val="none" w:sz="0" w:space="0" w:color="auto"/>
                                    <w:right w:val="none" w:sz="0" w:space="0" w:color="auto"/>
                                  </w:divBdr>
                                  <w:divsChild>
                                    <w:div w:id="932857683">
                                      <w:marLeft w:val="0"/>
                                      <w:marRight w:val="0"/>
                                      <w:marTop w:val="120"/>
                                      <w:marBottom w:val="0"/>
                                      <w:divBdr>
                                        <w:top w:val="none" w:sz="0" w:space="0" w:color="auto"/>
                                        <w:left w:val="none" w:sz="0" w:space="0" w:color="auto"/>
                                        <w:bottom w:val="none" w:sz="0" w:space="0" w:color="auto"/>
                                        <w:right w:val="none" w:sz="0" w:space="0" w:color="auto"/>
                                      </w:divBdr>
                                    </w:div>
                                    <w:div w:id="13501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949848">
                      <w:marLeft w:val="0"/>
                      <w:marRight w:val="0"/>
                      <w:marTop w:val="0"/>
                      <w:marBottom w:val="0"/>
                      <w:divBdr>
                        <w:top w:val="none" w:sz="0" w:space="0" w:color="auto"/>
                        <w:left w:val="none" w:sz="0" w:space="0" w:color="auto"/>
                        <w:bottom w:val="none" w:sz="0" w:space="0" w:color="auto"/>
                        <w:right w:val="none" w:sz="0" w:space="0" w:color="auto"/>
                      </w:divBdr>
                      <w:divsChild>
                        <w:div w:id="901065672">
                          <w:marLeft w:val="0"/>
                          <w:marRight w:val="0"/>
                          <w:marTop w:val="0"/>
                          <w:marBottom w:val="0"/>
                          <w:divBdr>
                            <w:top w:val="none" w:sz="0" w:space="0" w:color="auto"/>
                            <w:left w:val="none" w:sz="0" w:space="0" w:color="auto"/>
                            <w:bottom w:val="none" w:sz="0" w:space="0" w:color="auto"/>
                            <w:right w:val="none" w:sz="0" w:space="0" w:color="auto"/>
                          </w:divBdr>
                        </w:div>
                        <w:div w:id="2002463764">
                          <w:marLeft w:val="0"/>
                          <w:marRight w:val="0"/>
                          <w:marTop w:val="0"/>
                          <w:marBottom w:val="0"/>
                          <w:divBdr>
                            <w:top w:val="none" w:sz="0" w:space="0" w:color="auto"/>
                            <w:left w:val="none" w:sz="0" w:space="0" w:color="auto"/>
                            <w:bottom w:val="none" w:sz="0" w:space="0" w:color="auto"/>
                            <w:right w:val="none" w:sz="0" w:space="0" w:color="auto"/>
                          </w:divBdr>
                          <w:divsChild>
                            <w:div w:id="1072236377">
                              <w:marLeft w:val="0"/>
                              <w:marRight w:val="0"/>
                              <w:marTop w:val="0"/>
                              <w:marBottom w:val="0"/>
                              <w:divBdr>
                                <w:top w:val="none" w:sz="0" w:space="0" w:color="auto"/>
                                <w:left w:val="none" w:sz="0" w:space="0" w:color="auto"/>
                                <w:bottom w:val="none" w:sz="0" w:space="0" w:color="auto"/>
                                <w:right w:val="none" w:sz="0" w:space="0" w:color="auto"/>
                              </w:divBdr>
                              <w:divsChild>
                                <w:div w:id="949318560">
                                  <w:marLeft w:val="0"/>
                                  <w:marRight w:val="0"/>
                                  <w:marTop w:val="0"/>
                                  <w:marBottom w:val="0"/>
                                  <w:divBdr>
                                    <w:top w:val="none" w:sz="0" w:space="0" w:color="auto"/>
                                    <w:left w:val="none" w:sz="0" w:space="0" w:color="auto"/>
                                    <w:bottom w:val="none" w:sz="0" w:space="0" w:color="auto"/>
                                    <w:right w:val="none" w:sz="0" w:space="0" w:color="auto"/>
                                  </w:divBdr>
                                  <w:divsChild>
                                    <w:div w:id="524028282">
                                      <w:marLeft w:val="0"/>
                                      <w:marRight w:val="0"/>
                                      <w:marTop w:val="120"/>
                                      <w:marBottom w:val="0"/>
                                      <w:divBdr>
                                        <w:top w:val="none" w:sz="0" w:space="0" w:color="auto"/>
                                        <w:left w:val="none" w:sz="0" w:space="0" w:color="auto"/>
                                        <w:bottom w:val="none" w:sz="0" w:space="0" w:color="auto"/>
                                        <w:right w:val="none" w:sz="0" w:space="0" w:color="auto"/>
                                      </w:divBdr>
                                    </w:div>
                                    <w:div w:id="128136250">
                                      <w:marLeft w:val="0"/>
                                      <w:marRight w:val="0"/>
                                      <w:marTop w:val="0"/>
                                      <w:marBottom w:val="0"/>
                                      <w:divBdr>
                                        <w:top w:val="none" w:sz="0" w:space="0" w:color="auto"/>
                                        <w:left w:val="none" w:sz="0" w:space="0" w:color="auto"/>
                                        <w:bottom w:val="none" w:sz="0" w:space="0" w:color="auto"/>
                                        <w:right w:val="none" w:sz="0" w:space="0" w:color="auto"/>
                                      </w:divBdr>
                                    </w:div>
                                  </w:divsChild>
                                </w:div>
                                <w:div w:id="284778902">
                                  <w:marLeft w:val="0"/>
                                  <w:marRight w:val="0"/>
                                  <w:marTop w:val="0"/>
                                  <w:marBottom w:val="0"/>
                                  <w:divBdr>
                                    <w:top w:val="none" w:sz="0" w:space="0" w:color="auto"/>
                                    <w:left w:val="none" w:sz="0" w:space="0" w:color="auto"/>
                                    <w:bottom w:val="none" w:sz="0" w:space="0" w:color="auto"/>
                                    <w:right w:val="none" w:sz="0" w:space="0" w:color="auto"/>
                                  </w:divBdr>
                                  <w:divsChild>
                                    <w:div w:id="1615483469">
                                      <w:marLeft w:val="0"/>
                                      <w:marRight w:val="0"/>
                                      <w:marTop w:val="120"/>
                                      <w:marBottom w:val="0"/>
                                      <w:divBdr>
                                        <w:top w:val="none" w:sz="0" w:space="0" w:color="auto"/>
                                        <w:left w:val="none" w:sz="0" w:space="0" w:color="auto"/>
                                        <w:bottom w:val="none" w:sz="0" w:space="0" w:color="auto"/>
                                        <w:right w:val="none" w:sz="0" w:space="0" w:color="auto"/>
                                      </w:divBdr>
                                    </w:div>
                                    <w:div w:id="1858881161">
                                      <w:marLeft w:val="0"/>
                                      <w:marRight w:val="0"/>
                                      <w:marTop w:val="0"/>
                                      <w:marBottom w:val="0"/>
                                      <w:divBdr>
                                        <w:top w:val="none" w:sz="0" w:space="0" w:color="auto"/>
                                        <w:left w:val="none" w:sz="0" w:space="0" w:color="auto"/>
                                        <w:bottom w:val="none" w:sz="0" w:space="0" w:color="auto"/>
                                        <w:right w:val="none" w:sz="0" w:space="0" w:color="auto"/>
                                      </w:divBdr>
                                    </w:div>
                                  </w:divsChild>
                                </w:div>
                                <w:div w:id="315767237">
                                  <w:marLeft w:val="0"/>
                                  <w:marRight w:val="0"/>
                                  <w:marTop w:val="0"/>
                                  <w:marBottom w:val="0"/>
                                  <w:divBdr>
                                    <w:top w:val="none" w:sz="0" w:space="0" w:color="auto"/>
                                    <w:left w:val="none" w:sz="0" w:space="0" w:color="auto"/>
                                    <w:bottom w:val="none" w:sz="0" w:space="0" w:color="auto"/>
                                    <w:right w:val="none" w:sz="0" w:space="0" w:color="auto"/>
                                  </w:divBdr>
                                  <w:divsChild>
                                    <w:div w:id="1440031827">
                                      <w:marLeft w:val="0"/>
                                      <w:marRight w:val="0"/>
                                      <w:marTop w:val="120"/>
                                      <w:marBottom w:val="0"/>
                                      <w:divBdr>
                                        <w:top w:val="none" w:sz="0" w:space="0" w:color="auto"/>
                                        <w:left w:val="none" w:sz="0" w:space="0" w:color="auto"/>
                                        <w:bottom w:val="none" w:sz="0" w:space="0" w:color="auto"/>
                                        <w:right w:val="none" w:sz="0" w:space="0" w:color="auto"/>
                                      </w:divBdr>
                                    </w:div>
                                    <w:div w:id="417403819">
                                      <w:marLeft w:val="0"/>
                                      <w:marRight w:val="0"/>
                                      <w:marTop w:val="0"/>
                                      <w:marBottom w:val="0"/>
                                      <w:divBdr>
                                        <w:top w:val="none" w:sz="0" w:space="0" w:color="auto"/>
                                        <w:left w:val="none" w:sz="0" w:space="0" w:color="auto"/>
                                        <w:bottom w:val="none" w:sz="0" w:space="0" w:color="auto"/>
                                        <w:right w:val="none" w:sz="0" w:space="0" w:color="auto"/>
                                      </w:divBdr>
                                    </w:div>
                                  </w:divsChild>
                                </w:div>
                                <w:div w:id="66854172">
                                  <w:marLeft w:val="0"/>
                                  <w:marRight w:val="0"/>
                                  <w:marTop w:val="0"/>
                                  <w:marBottom w:val="0"/>
                                  <w:divBdr>
                                    <w:top w:val="none" w:sz="0" w:space="0" w:color="auto"/>
                                    <w:left w:val="none" w:sz="0" w:space="0" w:color="auto"/>
                                    <w:bottom w:val="none" w:sz="0" w:space="0" w:color="auto"/>
                                    <w:right w:val="none" w:sz="0" w:space="0" w:color="auto"/>
                                  </w:divBdr>
                                  <w:divsChild>
                                    <w:div w:id="1594312743">
                                      <w:marLeft w:val="0"/>
                                      <w:marRight w:val="0"/>
                                      <w:marTop w:val="120"/>
                                      <w:marBottom w:val="0"/>
                                      <w:divBdr>
                                        <w:top w:val="none" w:sz="0" w:space="0" w:color="auto"/>
                                        <w:left w:val="none" w:sz="0" w:space="0" w:color="auto"/>
                                        <w:bottom w:val="none" w:sz="0" w:space="0" w:color="auto"/>
                                        <w:right w:val="none" w:sz="0" w:space="0" w:color="auto"/>
                                      </w:divBdr>
                                    </w:div>
                                    <w:div w:id="36675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4346">
                          <w:marLeft w:val="0"/>
                          <w:marRight w:val="0"/>
                          <w:marTop w:val="0"/>
                          <w:marBottom w:val="0"/>
                          <w:divBdr>
                            <w:top w:val="none" w:sz="0" w:space="0" w:color="auto"/>
                            <w:left w:val="none" w:sz="0" w:space="0" w:color="auto"/>
                            <w:bottom w:val="none" w:sz="0" w:space="0" w:color="auto"/>
                            <w:right w:val="none" w:sz="0" w:space="0" w:color="auto"/>
                          </w:divBdr>
                          <w:divsChild>
                            <w:div w:id="1156724516">
                              <w:marLeft w:val="0"/>
                              <w:marRight w:val="0"/>
                              <w:marTop w:val="0"/>
                              <w:marBottom w:val="0"/>
                              <w:divBdr>
                                <w:top w:val="none" w:sz="0" w:space="0" w:color="auto"/>
                                <w:left w:val="none" w:sz="0" w:space="0" w:color="auto"/>
                                <w:bottom w:val="none" w:sz="0" w:space="0" w:color="auto"/>
                                <w:right w:val="none" w:sz="0" w:space="0" w:color="auto"/>
                              </w:divBdr>
                              <w:divsChild>
                                <w:div w:id="946037738">
                                  <w:marLeft w:val="0"/>
                                  <w:marRight w:val="0"/>
                                  <w:marTop w:val="0"/>
                                  <w:marBottom w:val="0"/>
                                  <w:divBdr>
                                    <w:top w:val="none" w:sz="0" w:space="0" w:color="auto"/>
                                    <w:left w:val="none" w:sz="0" w:space="0" w:color="auto"/>
                                    <w:bottom w:val="none" w:sz="0" w:space="0" w:color="auto"/>
                                    <w:right w:val="none" w:sz="0" w:space="0" w:color="auto"/>
                                  </w:divBdr>
                                  <w:divsChild>
                                    <w:div w:id="487478786">
                                      <w:marLeft w:val="0"/>
                                      <w:marRight w:val="0"/>
                                      <w:marTop w:val="120"/>
                                      <w:marBottom w:val="0"/>
                                      <w:divBdr>
                                        <w:top w:val="none" w:sz="0" w:space="0" w:color="auto"/>
                                        <w:left w:val="none" w:sz="0" w:space="0" w:color="auto"/>
                                        <w:bottom w:val="none" w:sz="0" w:space="0" w:color="auto"/>
                                        <w:right w:val="none" w:sz="0" w:space="0" w:color="auto"/>
                                      </w:divBdr>
                                    </w:div>
                                    <w:div w:id="731580922">
                                      <w:marLeft w:val="0"/>
                                      <w:marRight w:val="0"/>
                                      <w:marTop w:val="0"/>
                                      <w:marBottom w:val="0"/>
                                      <w:divBdr>
                                        <w:top w:val="none" w:sz="0" w:space="0" w:color="auto"/>
                                        <w:left w:val="none" w:sz="0" w:space="0" w:color="auto"/>
                                        <w:bottom w:val="none" w:sz="0" w:space="0" w:color="auto"/>
                                        <w:right w:val="none" w:sz="0" w:space="0" w:color="auto"/>
                                      </w:divBdr>
                                    </w:div>
                                  </w:divsChild>
                                </w:div>
                                <w:div w:id="884172960">
                                  <w:marLeft w:val="0"/>
                                  <w:marRight w:val="0"/>
                                  <w:marTop w:val="0"/>
                                  <w:marBottom w:val="0"/>
                                  <w:divBdr>
                                    <w:top w:val="none" w:sz="0" w:space="0" w:color="auto"/>
                                    <w:left w:val="none" w:sz="0" w:space="0" w:color="auto"/>
                                    <w:bottom w:val="none" w:sz="0" w:space="0" w:color="auto"/>
                                    <w:right w:val="none" w:sz="0" w:space="0" w:color="auto"/>
                                  </w:divBdr>
                                  <w:divsChild>
                                    <w:div w:id="955059266">
                                      <w:marLeft w:val="0"/>
                                      <w:marRight w:val="0"/>
                                      <w:marTop w:val="120"/>
                                      <w:marBottom w:val="0"/>
                                      <w:divBdr>
                                        <w:top w:val="none" w:sz="0" w:space="0" w:color="auto"/>
                                        <w:left w:val="none" w:sz="0" w:space="0" w:color="auto"/>
                                        <w:bottom w:val="none" w:sz="0" w:space="0" w:color="auto"/>
                                        <w:right w:val="none" w:sz="0" w:space="0" w:color="auto"/>
                                      </w:divBdr>
                                    </w:div>
                                    <w:div w:id="1392852497">
                                      <w:marLeft w:val="0"/>
                                      <w:marRight w:val="0"/>
                                      <w:marTop w:val="0"/>
                                      <w:marBottom w:val="0"/>
                                      <w:divBdr>
                                        <w:top w:val="none" w:sz="0" w:space="0" w:color="auto"/>
                                        <w:left w:val="none" w:sz="0" w:space="0" w:color="auto"/>
                                        <w:bottom w:val="none" w:sz="0" w:space="0" w:color="auto"/>
                                        <w:right w:val="none" w:sz="0" w:space="0" w:color="auto"/>
                                      </w:divBdr>
                                    </w:div>
                                  </w:divsChild>
                                </w:div>
                                <w:div w:id="672806244">
                                  <w:marLeft w:val="0"/>
                                  <w:marRight w:val="0"/>
                                  <w:marTop w:val="0"/>
                                  <w:marBottom w:val="0"/>
                                  <w:divBdr>
                                    <w:top w:val="none" w:sz="0" w:space="0" w:color="auto"/>
                                    <w:left w:val="none" w:sz="0" w:space="0" w:color="auto"/>
                                    <w:bottom w:val="none" w:sz="0" w:space="0" w:color="auto"/>
                                    <w:right w:val="none" w:sz="0" w:space="0" w:color="auto"/>
                                  </w:divBdr>
                                  <w:divsChild>
                                    <w:div w:id="1897431023">
                                      <w:marLeft w:val="0"/>
                                      <w:marRight w:val="0"/>
                                      <w:marTop w:val="120"/>
                                      <w:marBottom w:val="0"/>
                                      <w:divBdr>
                                        <w:top w:val="none" w:sz="0" w:space="0" w:color="auto"/>
                                        <w:left w:val="none" w:sz="0" w:space="0" w:color="auto"/>
                                        <w:bottom w:val="none" w:sz="0" w:space="0" w:color="auto"/>
                                        <w:right w:val="none" w:sz="0" w:space="0" w:color="auto"/>
                                      </w:divBdr>
                                    </w:div>
                                    <w:div w:id="520435580">
                                      <w:marLeft w:val="0"/>
                                      <w:marRight w:val="0"/>
                                      <w:marTop w:val="0"/>
                                      <w:marBottom w:val="0"/>
                                      <w:divBdr>
                                        <w:top w:val="none" w:sz="0" w:space="0" w:color="auto"/>
                                        <w:left w:val="none" w:sz="0" w:space="0" w:color="auto"/>
                                        <w:bottom w:val="none" w:sz="0" w:space="0" w:color="auto"/>
                                        <w:right w:val="none" w:sz="0" w:space="0" w:color="auto"/>
                                      </w:divBdr>
                                    </w:div>
                                  </w:divsChild>
                                </w:div>
                                <w:div w:id="11958502">
                                  <w:marLeft w:val="0"/>
                                  <w:marRight w:val="0"/>
                                  <w:marTop w:val="0"/>
                                  <w:marBottom w:val="0"/>
                                  <w:divBdr>
                                    <w:top w:val="none" w:sz="0" w:space="0" w:color="auto"/>
                                    <w:left w:val="none" w:sz="0" w:space="0" w:color="auto"/>
                                    <w:bottom w:val="none" w:sz="0" w:space="0" w:color="auto"/>
                                    <w:right w:val="none" w:sz="0" w:space="0" w:color="auto"/>
                                  </w:divBdr>
                                  <w:divsChild>
                                    <w:div w:id="1197306662">
                                      <w:marLeft w:val="0"/>
                                      <w:marRight w:val="0"/>
                                      <w:marTop w:val="120"/>
                                      <w:marBottom w:val="0"/>
                                      <w:divBdr>
                                        <w:top w:val="none" w:sz="0" w:space="0" w:color="auto"/>
                                        <w:left w:val="none" w:sz="0" w:space="0" w:color="auto"/>
                                        <w:bottom w:val="none" w:sz="0" w:space="0" w:color="auto"/>
                                        <w:right w:val="none" w:sz="0" w:space="0" w:color="auto"/>
                                      </w:divBdr>
                                    </w:div>
                                    <w:div w:id="722215241">
                                      <w:marLeft w:val="0"/>
                                      <w:marRight w:val="0"/>
                                      <w:marTop w:val="0"/>
                                      <w:marBottom w:val="0"/>
                                      <w:divBdr>
                                        <w:top w:val="none" w:sz="0" w:space="0" w:color="auto"/>
                                        <w:left w:val="none" w:sz="0" w:space="0" w:color="auto"/>
                                        <w:bottom w:val="none" w:sz="0" w:space="0" w:color="auto"/>
                                        <w:right w:val="none" w:sz="0" w:space="0" w:color="auto"/>
                                      </w:divBdr>
                                    </w:div>
                                  </w:divsChild>
                                </w:div>
                                <w:div w:id="1056078232">
                                  <w:marLeft w:val="0"/>
                                  <w:marRight w:val="0"/>
                                  <w:marTop w:val="0"/>
                                  <w:marBottom w:val="0"/>
                                  <w:divBdr>
                                    <w:top w:val="none" w:sz="0" w:space="0" w:color="auto"/>
                                    <w:left w:val="none" w:sz="0" w:space="0" w:color="auto"/>
                                    <w:bottom w:val="none" w:sz="0" w:space="0" w:color="auto"/>
                                    <w:right w:val="none" w:sz="0" w:space="0" w:color="auto"/>
                                  </w:divBdr>
                                  <w:divsChild>
                                    <w:div w:id="954675093">
                                      <w:marLeft w:val="0"/>
                                      <w:marRight w:val="0"/>
                                      <w:marTop w:val="120"/>
                                      <w:marBottom w:val="0"/>
                                      <w:divBdr>
                                        <w:top w:val="none" w:sz="0" w:space="0" w:color="auto"/>
                                        <w:left w:val="none" w:sz="0" w:space="0" w:color="auto"/>
                                        <w:bottom w:val="none" w:sz="0" w:space="0" w:color="auto"/>
                                        <w:right w:val="none" w:sz="0" w:space="0" w:color="auto"/>
                                      </w:divBdr>
                                    </w:div>
                                    <w:div w:id="44765343">
                                      <w:marLeft w:val="0"/>
                                      <w:marRight w:val="0"/>
                                      <w:marTop w:val="0"/>
                                      <w:marBottom w:val="0"/>
                                      <w:divBdr>
                                        <w:top w:val="none" w:sz="0" w:space="0" w:color="auto"/>
                                        <w:left w:val="none" w:sz="0" w:space="0" w:color="auto"/>
                                        <w:bottom w:val="none" w:sz="0" w:space="0" w:color="auto"/>
                                        <w:right w:val="none" w:sz="0" w:space="0" w:color="auto"/>
                                      </w:divBdr>
                                    </w:div>
                                  </w:divsChild>
                                </w:div>
                                <w:div w:id="1625652718">
                                  <w:marLeft w:val="0"/>
                                  <w:marRight w:val="0"/>
                                  <w:marTop w:val="0"/>
                                  <w:marBottom w:val="0"/>
                                  <w:divBdr>
                                    <w:top w:val="none" w:sz="0" w:space="0" w:color="auto"/>
                                    <w:left w:val="none" w:sz="0" w:space="0" w:color="auto"/>
                                    <w:bottom w:val="none" w:sz="0" w:space="0" w:color="auto"/>
                                    <w:right w:val="none" w:sz="0" w:space="0" w:color="auto"/>
                                  </w:divBdr>
                                  <w:divsChild>
                                    <w:div w:id="1602952719">
                                      <w:marLeft w:val="0"/>
                                      <w:marRight w:val="0"/>
                                      <w:marTop w:val="120"/>
                                      <w:marBottom w:val="0"/>
                                      <w:divBdr>
                                        <w:top w:val="none" w:sz="0" w:space="0" w:color="auto"/>
                                        <w:left w:val="none" w:sz="0" w:space="0" w:color="auto"/>
                                        <w:bottom w:val="none" w:sz="0" w:space="0" w:color="auto"/>
                                        <w:right w:val="none" w:sz="0" w:space="0" w:color="auto"/>
                                      </w:divBdr>
                                    </w:div>
                                    <w:div w:id="108044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671048">
                      <w:marLeft w:val="0"/>
                      <w:marRight w:val="0"/>
                      <w:marTop w:val="0"/>
                      <w:marBottom w:val="0"/>
                      <w:divBdr>
                        <w:top w:val="none" w:sz="0" w:space="0" w:color="auto"/>
                        <w:left w:val="none" w:sz="0" w:space="0" w:color="auto"/>
                        <w:bottom w:val="none" w:sz="0" w:space="0" w:color="auto"/>
                        <w:right w:val="none" w:sz="0" w:space="0" w:color="auto"/>
                      </w:divBdr>
                      <w:divsChild>
                        <w:div w:id="138113723">
                          <w:marLeft w:val="0"/>
                          <w:marRight w:val="0"/>
                          <w:marTop w:val="0"/>
                          <w:marBottom w:val="0"/>
                          <w:divBdr>
                            <w:top w:val="none" w:sz="0" w:space="0" w:color="auto"/>
                            <w:left w:val="none" w:sz="0" w:space="0" w:color="auto"/>
                            <w:bottom w:val="none" w:sz="0" w:space="0" w:color="auto"/>
                            <w:right w:val="none" w:sz="0" w:space="0" w:color="auto"/>
                          </w:divBdr>
                        </w:div>
                        <w:div w:id="936862958">
                          <w:marLeft w:val="0"/>
                          <w:marRight w:val="0"/>
                          <w:marTop w:val="0"/>
                          <w:marBottom w:val="0"/>
                          <w:divBdr>
                            <w:top w:val="none" w:sz="0" w:space="0" w:color="auto"/>
                            <w:left w:val="none" w:sz="0" w:space="0" w:color="auto"/>
                            <w:bottom w:val="none" w:sz="0" w:space="0" w:color="auto"/>
                            <w:right w:val="none" w:sz="0" w:space="0" w:color="auto"/>
                          </w:divBdr>
                          <w:divsChild>
                            <w:div w:id="341594433">
                              <w:marLeft w:val="0"/>
                              <w:marRight w:val="0"/>
                              <w:marTop w:val="0"/>
                              <w:marBottom w:val="0"/>
                              <w:divBdr>
                                <w:top w:val="none" w:sz="0" w:space="0" w:color="auto"/>
                                <w:left w:val="none" w:sz="0" w:space="0" w:color="auto"/>
                                <w:bottom w:val="none" w:sz="0" w:space="0" w:color="auto"/>
                                <w:right w:val="none" w:sz="0" w:space="0" w:color="auto"/>
                              </w:divBdr>
                            </w:div>
                          </w:divsChild>
                        </w:div>
                        <w:div w:id="390007915">
                          <w:marLeft w:val="0"/>
                          <w:marRight w:val="0"/>
                          <w:marTop w:val="0"/>
                          <w:marBottom w:val="0"/>
                          <w:divBdr>
                            <w:top w:val="none" w:sz="0" w:space="0" w:color="auto"/>
                            <w:left w:val="none" w:sz="0" w:space="0" w:color="auto"/>
                            <w:bottom w:val="none" w:sz="0" w:space="0" w:color="auto"/>
                            <w:right w:val="none" w:sz="0" w:space="0" w:color="auto"/>
                          </w:divBdr>
                          <w:divsChild>
                            <w:div w:id="1570001002">
                              <w:marLeft w:val="0"/>
                              <w:marRight w:val="0"/>
                              <w:marTop w:val="0"/>
                              <w:marBottom w:val="0"/>
                              <w:divBdr>
                                <w:top w:val="none" w:sz="0" w:space="0" w:color="auto"/>
                                <w:left w:val="none" w:sz="0" w:space="0" w:color="auto"/>
                                <w:bottom w:val="none" w:sz="0" w:space="0" w:color="auto"/>
                                <w:right w:val="none" w:sz="0" w:space="0" w:color="auto"/>
                              </w:divBdr>
                              <w:divsChild>
                                <w:div w:id="1724938834">
                                  <w:marLeft w:val="0"/>
                                  <w:marRight w:val="0"/>
                                  <w:marTop w:val="0"/>
                                  <w:marBottom w:val="0"/>
                                  <w:divBdr>
                                    <w:top w:val="none" w:sz="0" w:space="0" w:color="auto"/>
                                    <w:left w:val="none" w:sz="0" w:space="0" w:color="auto"/>
                                    <w:bottom w:val="none" w:sz="0" w:space="0" w:color="auto"/>
                                    <w:right w:val="none" w:sz="0" w:space="0" w:color="auto"/>
                                  </w:divBdr>
                                  <w:divsChild>
                                    <w:div w:id="595752927">
                                      <w:marLeft w:val="0"/>
                                      <w:marRight w:val="0"/>
                                      <w:marTop w:val="120"/>
                                      <w:marBottom w:val="0"/>
                                      <w:divBdr>
                                        <w:top w:val="none" w:sz="0" w:space="0" w:color="auto"/>
                                        <w:left w:val="none" w:sz="0" w:space="0" w:color="auto"/>
                                        <w:bottom w:val="none" w:sz="0" w:space="0" w:color="auto"/>
                                        <w:right w:val="none" w:sz="0" w:space="0" w:color="auto"/>
                                      </w:divBdr>
                                    </w:div>
                                    <w:div w:id="1091270010">
                                      <w:marLeft w:val="0"/>
                                      <w:marRight w:val="0"/>
                                      <w:marTop w:val="0"/>
                                      <w:marBottom w:val="0"/>
                                      <w:divBdr>
                                        <w:top w:val="none" w:sz="0" w:space="0" w:color="auto"/>
                                        <w:left w:val="none" w:sz="0" w:space="0" w:color="auto"/>
                                        <w:bottom w:val="none" w:sz="0" w:space="0" w:color="auto"/>
                                        <w:right w:val="none" w:sz="0" w:space="0" w:color="auto"/>
                                      </w:divBdr>
                                    </w:div>
                                  </w:divsChild>
                                </w:div>
                                <w:div w:id="1675837627">
                                  <w:marLeft w:val="0"/>
                                  <w:marRight w:val="0"/>
                                  <w:marTop w:val="0"/>
                                  <w:marBottom w:val="0"/>
                                  <w:divBdr>
                                    <w:top w:val="none" w:sz="0" w:space="0" w:color="auto"/>
                                    <w:left w:val="none" w:sz="0" w:space="0" w:color="auto"/>
                                    <w:bottom w:val="none" w:sz="0" w:space="0" w:color="auto"/>
                                    <w:right w:val="none" w:sz="0" w:space="0" w:color="auto"/>
                                  </w:divBdr>
                                  <w:divsChild>
                                    <w:div w:id="1431580093">
                                      <w:marLeft w:val="0"/>
                                      <w:marRight w:val="0"/>
                                      <w:marTop w:val="120"/>
                                      <w:marBottom w:val="0"/>
                                      <w:divBdr>
                                        <w:top w:val="none" w:sz="0" w:space="0" w:color="auto"/>
                                        <w:left w:val="none" w:sz="0" w:space="0" w:color="auto"/>
                                        <w:bottom w:val="none" w:sz="0" w:space="0" w:color="auto"/>
                                        <w:right w:val="none" w:sz="0" w:space="0" w:color="auto"/>
                                      </w:divBdr>
                                    </w:div>
                                    <w:div w:id="1265116338">
                                      <w:marLeft w:val="0"/>
                                      <w:marRight w:val="0"/>
                                      <w:marTop w:val="0"/>
                                      <w:marBottom w:val="0"/>
                                      <w:divBdr>
                                        <w:top w:val="none" w:sz="0" w:space="0" w:color="auto"/>
                                        <w:left w:val="none" w:sz="0" w:space="0" w:color="auto"/>
                                        <w:bottom w:val="none" w:sz="0" w:space="0" w:color="auto"/>
                                        <w:right w:val="none" w:sz="0" w:space="0" w:color="auto"/>
                                      </w:divBdr>
                                    </w:div>
                                  </w:divsChild>
                                </w:div>
                                <w:div w:id="254628679">
                                  <w:marLeft w:val="0"/>
                                  <w:marRight w:val="0"/>
                                  <w:marTop w:val="0"/>
                                  <w:marBottom w:val="0"/>
                                  <w:divBdr>
                                    <w:top w:val="none" w:sz="0" w:space="0" w:color="auto"/>
                                    <w:left w:val="none" w:sz="0" w:space="0" w:color="auto"/>
                                    <w:bottom w:val="none" w:sz="0" w:space="0" w:color="auto"/>
                                    <w:right w:val="none" w:sz="0" w:space="0" w:color="auto"/>
                                  </w:divBdr>
                                  <w:divsChild>
                                    <w:div w:id="1824202810">
                                      <w:marLeft w:val="0"/>
                                      <w:marRight w:val="0"/>
                                      <w:marTop w:val="120"/>
                                      <w:marBottom w:val="0"/>
                                      <w:divBdr>
                                        <w:top w:val="none" w:sz="0" w:space="0" w:color="auto"/>
                                        <w:left w:val="none" w:sz="0" w:space="0" w:color="auto"/>
                                        <w:bottom w:val="none" w:sz="0" w:space="0" w:color="auto"/>
                                        <w:right w:val="none" w:sz="0" w:space="0" w:color="auto"/>
                                      </w:divBdr>
                                    </w:div>
                                    <w:div w:id="158526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190032">
                          <w:marLeft w:val="0"/>
                          <w:marRight w:val="0"/>
                          <w:marTop w:val="0"/>
                          <w:marBottom w:val="0"/>
                          <w:divBdr>
                            <w:top w:val="none" w:sz="0" w:space="0" w:color="auto"/>
                            <w:left w:val="none" w:sz="0" w:space="0" w:color="auto"/>
                            <w:bottom w:val="none" w:sz="0" w:space="0" w:color="auto"/>
                            <w:right w:val="none" w:sz="0" w:space="0" w:color="auto"/>
                          </w:divBdr>
                          <w:divsChild>
                            <w:div w:id="1797482658">
                              <w:marLeft w:val="0"/>
                              <w:marRight w:val="0"/>
                              <w:marTop w:val="0"/>
                              <w:marBottom w:val="0"/>
                              <w:divBdr>
                                <w:top w:val="none" w:sz="0" w:space="0" w:color="auto"/>
                                <w:left w:val="none" w:sz="0" w:space="0" w:color="auto"/>
                                <w:bottom w:val="none" w:sz="0" w:space="0" w:color="auto"/>
                                <w:right w:val="none" w:sz="0" w:space="0" w:color="auto"/>
                              </w:divBdr>
                            </w:div>
                          </w:divsChild>
                        </w:div>
                        <w:div w:id="959185324">
                          <w:marLeft w:val="0"/>
                          <w:marRight w:val="0"/>
                          <w:marTop w:val="0"/>
                          <w:marBottom w:val="0"/>
                          <w:divBdr>
                            <w:top w:val="none" w:sz="0" w:space="0" w:color="auto"/>
                            <w:left w:val="none" w:sz="0" w:space="0" w:color="auto"/>
                            <w:bottom w:val="none" w:sz="0" w:space="0" w:color="auto"/>
                            <w:right w:val="none" w:sz="0" w:space="0" w:color="auto"/>
                          </w:divBdr>
                          <w:divsChild>
                            <w:div w:id="178384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10725">
                      <w:marLeft w:val="0"/>
                      <w:marRight w:val="0"/>
                      <w:marTop w:val="0"/>
                      <w:marBottom w:val="0"/>
                      <w:divBdr>
                        <w:top w:val="none" w:sz="0" w:space="0" w:color="auto"/>
                        <w:left w:val="none" w:sz="0" w:space="0" w:color="auto"/>
                        <w:bottom w:val="none" w:sz="0" w:space="0" w:color="auto"/>
                        <w:right w:val="none" w:sz="0" w:space="0" w:color="auto"/>
                      </w:divBdr>
                      <w:divsChild>
                        <w:div w:id="1451392018">
                          <w:marLeft w:val="0"/>
                          <w:marRight w:val="0"/>
                          <w:marTop w:val="0"/>
                          <w:marBottom w:val="0"/>
                          <w:divBdr>
                            <w:top w:val="none" w:sz="0" w:space="0" w:color="auto"/>
                            <w:left w:val="none" w:sz="0" w:space="0" w:color="auto"/>
                            <w:bottom w:val="none" w:sz="0" w:space="0" w:color="auto"/>
                            <w:right w:val="none" w:sz="0" w:space="0" w:color="auto"/>
                          </w:divBdr>
                        </w:div>
                        <w:div w:id="1292784891">
                          <w:marLeft w:val="0"/>
                          <w:marRight w:val="0"/>
                          <w:marTop w:val="0"/>
                          <w:marBottom w:val="0"/>
                          <w:divBdr>
                            <w:top w:val="none" w:sz="0" w:space="0" w:color="auto"/>
                            <w:left w:val="none" w:sz="0" w:space="0" w:color="auto"/>
                            <w:bottom w:val="none" w:sz="0" w:space="0" w:color="auto"/>
                            <w:right w:val="none" w:sz="0" w:space="0" w:color="auto"/>
                          </w:divBdr>
                          <w:divsChild>
                            <w:div w:id="1974483630">
                              <w:marLeft w:val="0"/>
                              <w:marRight w:val="0"/>
                              <w:marTop w:val="0"/>
                              <w:marBottom w:val="0"/>
                              <w:divBdr>
                                <w:top w:val="none" w:sz="0" w:space="0" w:color="auto"/>
                                <w:left w:val="none" w:sz="0" w:space="0" w:color="auto"/>
                                <w:bottom w:val="none" w:sz="0" w:space="0" w:color="auto"/>
                                <w:right w:val="none" w:sz="0" w:space="0" w:color="auto"/>
                              </w:divBdr>
                            </w:div>
                          </w:divsChild>
                        </w:div>
                        <w:div w:id="227157434">
                          <w:marLeft w:val="0"/>
                          <w:marRight w:val="0"/>
                          <w:marTop w:val="0"/>
                          <w:marBottom w:val="0"/>
                          <w:divBdr>
                            <w:top w:val="none" w:sz="0" w:space="0" w:color="auto"/>
                            <w:left w:val="none" w:sz="0" w:space="0" w:color="auto"/>
                            <w:bottom w:val="none" w:sz="0" w:space="0" w:color="auto"/>
                            <w:right w:val="none" w:sz="0" w:space="0" w:color="auto"/>
                          </w:divBdr>
                          <w:divsChild>
                            <w:div w:id="11299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430501">
                      <w:marLeft w:val="0"/>
                      <w:marRight w:val="0"/>
                      <w:marTop w:val="0"/>
                      <w:marBottom w:val="0"/>
                      <w:divBdr>
                        <w:top w:val="none" w:sz="0" w:space="0" w:color="auto"/>
                        <w:left w:val="none" w:sz="0" w:space="0" w:color="auto"/>
                        <w:bottom w:val="none" w:sz="0" w:space="0" w:color="auto"/>
                        <w:right w:val="none" w:sz="0" w:space="0" w:color="auto"/>
                      </w:divBdr>
                      <w:divsChild>
                        <w:div w:id="1114177803">
                          <w:marLeft w:val="0"/>
                          <w:marRight w:val="0"/>
                          <w:marTop w:val="0"/>
                          <w:marBottom w:val="0"/>
                          <w:divBdr>
                            <w:top w:val="none" w:sz="0" w:space="0" w:color="auto"/>
                            <w:left w:val="none" w:sz="0" w:space="0" w:color="auto"/>
                            <w:bottom w:val="none" w:sz="0" w:space="0" w:color="auto"/>
                            <w:right w:val="none" w:sz="0" w:space="0" w:color="auto"/>
                          </w:divBdr>
                        </w:div>
                        <w:div w:id="911161472">
                          <w:marLeft w:val="0"/>
                          <w:marRight w:val="0"/>
                          <w:marTop w:val="0"/>
                          <w:marBottom w:val="0"/>
                          <w:divBdr>
                            <w:top w:val="none" w:sz="0" w:space="0" w:color="auto"/>
                            <w:left w:val="none" w:sz="0" w:space="0" w:color="auto"/>
                            <w:bottom w:val="none" w:sz="0" w:space="0" w:color="auto"/>
                            <w:right w:val="none" w:sz="0" w:space="0" w:color="auto"/>
                          </w:divBdr>
                          <w:divsChild>
                            <w:div w:id="2072070185">
                              <w:marLeft w:val="0"/>
                              <w:marRight w:val="0"/>
                              <w:marTop w:val="120"/>
                              <w:marBottom w:val="0"/>
                              <w:divBdr>
                                <w:top w:val="none" w:sz="0" w:space="0" w:color="auto"/>
                                <w:left w:val="none" w:sz="0" w:space="0" w:color="auto"/>
                                <w:bottom w:val="none" w:sz="0" w:space="0" w:color="auto"/>
                                <w:right w:val="none" w:sz="0" w:space="0" w:color="auto"/>
                              </w:divBdr>
                            </w:div>
                            <w:div w:id="2055154539">
                              <w:marLeft w:val="0"/>
                              <w:marRight w:val="0"/>
                              <w:marTop w:val="0"/>
                              <w:marBottom w:val="0"/>
                              <w:divBdr>
                                <w:top w:val="none" w:sz="0" w:space="0" w:color="auto"/>
                                <w:left w:val="none" w:sz="0" w:space="0" w:color="auto"/>
                                <w:bottom w:val="none" w:sz="0" w:space="0" w:color="auto"/>
                                <w:right w:val="none" w:sz="0" w:space="0" w:color="auto"/>
                              </w:divBdr>
                            </w:div>
                          </w:divsChild>
                        </w:div>
                        <w:div w:id="1749422020">
                          <w:marLeft w:val="0"/>
                          <w:marRight w:val="0"/>
                          <w:marTop w:val="0"/>
                          <w:marBottom w:val="0"/>
                          <w:divBdr>
                            <w:top w:val="none" w:sz="0" w:space="0" w:color="auto"/>
                            <w:left w:val="none" w:sz="0" w:space="0" w:color="auto"/>
                            <w:bottom w:val="none" w:sz="0" w:space="0" w:color="auto"/>
                            <w:right w:val="none" w:sz="0" w:space="0" w:color="auto"/>
                          </w:divBdr>
                          <w:divsChild>
                            <w:div w:id="574704273">
                              <w:marLeft w:val="0"/>
                              <w:marRight w:val="0"/>
                              <w:marTop w:val="120"/>
                              <w:marBottom w:val="0"/>
                              <w:divBdr>
                                <w:top w:val="none" w:sz="0" w:space="0" w:color="auto"/>
                                <w:left w:val="none" w:sz="0" w:space="0" w:color="auto"/>
                                <w:bottom w:val="none" w:sz="0" w:space="0" w:color="auto"/>
                                <w:right w:val="none" w:sz="0" w:space="0" w:color="auto"/>
                              </w:divBdr>
                            </w:div>
                            <w:div w:id="682829796">
                              <w:marLeft w:val="0"/>
                              <w:marRight w:val="0"/>
                              <w:marTop w:val="0"/>
                              <w:marBottom w:val="0"/>
                              <w:divBdr>
                                <w:top w:val="none" w:sz="0" w:space="0" w:color="auto"/>
                                <w:left w:val="none" w:sz="0" w:space="0" w:color="auto"/>
                                <w:bottom w:val="none" w:sz="0" w:space="0" w:color="auto"/>
                                <w:right w:val="none" w:sz="0" w:space="0" w:color="auto"/>
                              </w:divBdr>
                            </w:div>
                          </w:divsChild>
                        </w:div>
                        <w:div w:id="383916525">
                          <w:marLeft w:val="0"/>
                          <w:marRight w:val="0"/>
                          <w:marTop w:val="0"/>
                          <w:marBottom w:val="0"/>
                          <w:divBdr>
                            <w:top w:val="none" w:sz="0" w:space="0" w:color="auto"/>
                            <w:left w:val="none" w:sz="0" w:space="0" w:color="auto"/>
                            <w:bottom w:val="none" w:sz="0" w:space="0" w:color="auto"/>
                            <w:right w:val="none" w:sz="0" w:space="0" w:color="auto"/>
                          </w:divBdr>
                          <w:divsChild>
                            <w:div w:id="1899316456">
                              <w:marLeft w:val="0"/>
                              <w:marRight w:val="0"/>
                              <w:marTop w:val="120"/>
                              <w:marBottom w:val="0"/>
                              <w:divBdr>
                                <w:top w:val="none" w:sz="0" w:space="0" w:color="auto"/>
                                <w:left w:val="none" w:sz="0" w:space="0" w:color="auto"/>
                                <w:bottom w:val="none" w:sz="0" w:space="0" w:color="auto"/>
                                <w:right w:val="none" w:sz="0" w:space="0" w:color="auto"/>
                              </w:divBdr>
                            </w:div>
                            <w:div w:id="288246403">
                              <w:marLeft w:val="0"/>
                              <w:marRight w:val="0"/>
                              <w:marTop w:val="0"/>
                              <w:marBottom w:val="0"/>
                              <w:divBdr>
                                <w:top w:val="none" w:sz="0" w:space="0" w:color="auto"/>
                                <w:left w:val="none" w:sz="0" w:space="0" w:color="auto"/>
                                <w:bottom w:val="none" w:sz="0" w:space="0" w:color="auto"/>
                                <w:right w:val="none" w:sz="0" w:space="0" w:color="auto"/>
                              </w:divBdr>
                            </w:div>
                          </w:divsChild>
                        </w:div>
                        <w:div w:id="1206866662">
                          <w:marLeft w:val="0"/>
                          <w:marRight w:val="0"/>
                          <w:marTop w:val="0"/>
                          <w:marBottom w:val="0"/>
                          <w:divBdr>
                            <w:top w:val="none" w:sz="0" w:space="0" w:color="auto"/>
                            <w:left w:val="none" w:sz="0" w:space="0" w:color="auto"/>
                            <w:bottom w:val="none" w:sz="0" w:space="0" w:color="auto"/>
                            <w:right w:val="none" w:sz="0" w:space="0" w:color="auto"/>
                          </w:divBdr>
                          <w:divsChild>
                            <w:div w:id="955402413">
                              <w:marLeft w:val="0"/>
                              <w:marRight w:val="0"/>
                              <w:marTop w:val="120"/>
                              <w:marBottom w:val="0"/>
                              <w:divBdr>
                                <w:top w:val="none" w:sz="0" w:space="0" w:color="auto"/>
                                <w:left w:val="none" w:sz="0" w:space="0" w:color="auto"/>
                                <w:bottom w:val="none" w:sz="0" w:space="0" w:color="auto"/>
                                <w:right w:val="none" w:sz="0" w:space="0" w:color="auto"/>
                              </w:divBdr>
                            </w:div>
                            <w:div w:id="992640584">
                              <w:marLeft w:val="0"/>
                              <w:marRight w:val="0"/>
                              <w:marTop w:val="0"/>
                              <w:marBottom w:val="0"/>
                              <w:divBdr>
                                <w:top w:val="none" w:sz="0" w:space="0" w:color="auto"/>
                                <w:left w:val="none" w:sz="0" w:space="0" w:color="auto"/>
                                <w:bottom w:val="none" w:sz="0" w:space="0" w:color="auto"/>
                                <w:right w:val="none" w:sz="0" w:space="0" w:color="auto"/>
                              </w:divBdr>
                            </w:div>
                          </w:divsChild>
                        </w:div>
                        <w:div w:id="2062364261">
                          <w:marLeft w:val="0"/>
                          <w:marRight w:val="0"/>
                          <w:marTop w:val="0"/>
                          <w:marBottom w:val="0"/>
                          <w:divBdr>
                            <w:top w:val="none" w:sz="0" w:space="0" w:color="auto"/>
                            <w:left w:val="none" w:sz="0" w:space="0" w:color="auto"/>
                            <w:bottom w:val="none" w:sz="0" w:space="0" w:color="auto"/>
                            <w:right w:val="none" w:sz="0" w:space="0" w:color="auto"/>
                          </w:divBdr>
                          <w:divsChild>
                            <w:div w:id="1478187354">
                              <w:marLeft w:val="0"/>
                              <w:marRight w:val="0"/>
                              <w:marTop w:val="120"/>
                              <w:marBottom w:val="0"/>
                              <w:divBdr>
                                <w:top w:val="none" w:sz="0" w:space="0" w:color="auto"/>
                                <w:left w:val="none" w:sz="0" w:space="0" w:color="auto"/>
                                <w:bottom w:val="none" w:sz="0" w:space="0" w:color="auto"/>
                                <w:right w:val="none" w:sz="0" w:space="0" w:color="auto"/>
                              </w:divBdr>
                            </w:div>
                            <w:div w:id="1794057015">
                              <w:marLeft w:val="0"/>
                              <w:marRight w:val="0"/>
                              <w:marTop w:val="0"/>
                              <w:marBottom w:val="0"/>
                              <w:divBdr>
                                <w:top w:val="none" w:sz="0" w:space="0" w:color="auto"/>
                                <w:left w:val="none" w:sz="0" w:space="0" w:color="auto"/>
                                <w:bottom w:val="none" w:sz="0" w:space="0" w:color="auto"/>
                                <w:right w:val="none" w:sz="0" w:space="0" w:color="auto"/>
                              </w:divBdr>
                            </w:div>
                          </w:divsChild>
                        </w:div>
                        <w:div w:id="1722634439">
                          <w:marLeft w:val="0"/>
                          <w:marRight w:val="0"/>
                          <w:marTop w:val="0"/>
                          <w:marBottom w:val="0"/>
                          <w:divBdr>
                            <w:top w:val="none" w:sz="0" w:space="0" w:color="auto"/>
                            <w:left w:val="none" w:sz="0" w:space="0" w:color="auto"/>
                            <w:bottom w:val="none" w:sz="0" w:space="0" w:color="auto"/>
                            <w:right w:val="none" w:sz="0" w:space="0" w:color="auto"/>
                          </w:divBdr>
                          <w:divsChild>
                            <w:div w:id="1562135298">
                              <w:marLeft w:val="0"/>
                              <w:marRight w:val="0"/>
                              <w:marTop w:val="120"/>
                              <w:marBottom w:val="0"/>
                              <w:divBdr>
                                <w:top w:val="none" w:sz="0" w:space="0" w:color="auto"/>
                                <w:left w:val="none" w:sz="0" w:space="0" w:color="auto"/>
                                <w:bottom w:val="none" w:sz="0" w:space="0" w:color="auto"/>
                                <w:right w:val="none" w:sz="0" w:space="0" w:color="auto"/>
                              </w:divBdr>
                            </w:div>
                            <w:div w:id="750202259">
                              <w:marLeft w:val="0"/>
                              <w:marRight w:val="0"/>
                              <w:marTop w:val="0"/>
                              <w:marBottom w:val="0"/>
                              <w:divBdr>
                                <w:top w:val="none" w:sz="0" w:space="0" w:color="auto"/>
                                <w:left w:val="none" w:sz="0" w:space="0" w:color="auto"/>
                                <w:bottom w:val="none" w:sz="0" w:space="0" w:color="auto"/>
                                <w:right w:val="none" w:sz="0" w:space="0" w:color="auto"/>
                              </w:divBdr>
                            </w:div>
                          </w:divsChild>
                        </w:div>
                        <w:div w:id="618146451">
                          <w:marLeft w:val="0"/>
                          <w:marRight w:val="0"/>
                          <w:marTop w:val="0"/>
                          <w:marBottom w:val="0"/>
                          <w:divBdr>
                            <w:top w:val="none" w:sz="0" w:space="0" w:color="auto"/>
                            <w:left w:val="none" w:sz="0" w:space="0" w:color="auto"/>
                            <w:bottom w:val="none" w:sz="0" w:space="0" w:color="auto"/>
                            <w:right w:val="none" w:sz="0" w:space="0" w:color="auto"/>
                          </w:divBdr>
                          <w:divsChild>
                            <w:div w:id="298415631">
                              <w:marLeft w:val="0"/>
                              <w:marRight w:val="0"/>
                              <w:marTop w:val="120"/>
                              <w:marBottom w:val="0"/>
                              <w:divBdr>
                                <w:top w:val="none" w:sz="0" w:space="0" w:color="auto"/>
                                <w:left w:val="none" w:sz="0" w:space="0" w:color="auto"/>
                                <w:bottom w:val="none" w:sz="0" w:space="0" w:color="auto"/>
                                <w:right w:val="none" w:sz="0" w:space="0" w:color="auto"/>
                              </w:divBdr>
                            </w:div>
                            <w:div w:id="1305045053">
                              <w:marLeft w:val="0"/>
                              <w:marRight w:val="0"/>
                              <w:marTop w:val="0"/>
                              <w:marBottom w:val="0"/>
                              <w:divBdr>
                                <w:top w:val="none" w:sz="0" w:space="0" w:color="auto"/>
                                <w:left w:val="none" w:sz="0" w:space="0" w:color="auto"/>
                                <w:bottom w:val="none" w:sz="0" w:space="0" w:color="auto"/>
                                <w:right w:val="none" w:sz="0" w:space="0" w:color="auto"/>
                              </w:divBdr>
                            </w:div>
                          </w:divsChild>
                        </w:div>
                        <w:div w:id="1023940841">
                          <w:marLeft w:val="0"/>
                          <w:marRight w:val="0"/>
                          <w:marTop w:val="0"/>
                          <w:marBottom w:val="0"/>
                          <w:divBdr>
                            <w:top w:val="none" w:sz="0" w:space="0" w:color="auto"/>
                            <w:left w:val="none" w:sz="0" w:space="0" w:color="auto"/>
                            <w:bottom w:val="none" w:sz="0" w:space="0" w:color="auto"/>
                            <w:right w:val="none" w:sz="0" w:space="0" w:color="auto"/>
                          </w:divBdr>
                          <w:divsChild>
                            <w:div w:id="1382944725">
                              <w:marLeft w:val="0"/>
                              <w:marRight w:val="0"/>
                              <w:marTop w:val="120"/>
                              <w:marBottom w:val="0"/>
                              <w:divBdr>
                                <w:top w:val="none" w:sz="0" w:space="0" w:color="auto"/>
                                <w:left w:val="none" w:sz="0" w:space="0" w:color="auto"/>
                                <w:bottom w:val="none" w:sz="0" w:space="0" w:color="auto"/>
                                <w:right w:val="none" w:sz="0" w:space="0" w:color="auto"/>
                              </w:divBdr>
                            </w:div>
                            <w:div w:id="17951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108880">
                  <w:marLeft w:val="0"/>
                  <w:marRight w:val="0"/>
                  <w:marTop w:val="0"/>
                  <w:marBottom w:val="0"/>
                  <w:divBdr>
                    <w:top w:val="none" w:sz="0" w:space="0" w:color="auto"/>
                    <w:left w:val="none" w:sz="0" w:space="0" w:color="auto"/>
                    <w:bottom w:val="none" w:sz="0" w:space="0" w:color="auto"/>
                    <w:right w:val="none" w:sz="0" w:space="0" w:color="auto"/>
                  </w:divBdr>
                  <w:divsChild>
                    <w:div w:id="1362631763">
                      <w:marLeft w:val="0"/>
                      <w:marRight w:val="0"/>
                      <w:marTop w:val="0"/>
                      <w:marBottom w:val="0"/>
                      <w:divBdr>
                        <w:top w:val="none" w:sz="0" w:space="0" w:color="auto"/>
                        <w:left w:val="none" w:sz="0" w:space="0" w:color="auto"/>
                        <w:bottom w:val="none" w:sz="0" w:space="0" w:color="auto"/>
                        <w:right w:val="none" w:sz="0" w:space="0" w:color="auto"/>
                      </w:divBdr>
                      <w:divsChild>
                        <w:div w:id="348681474">
                          <w:marLeft w:val="0"/>
                          <w:marRight w:val="0"/>
                          <w:marTop w:val="0"/>
                          <w:marBottom w:val="0"/>
                          <w:divBdr>
                            <w:top w:val="none" w:sz="0" w:space="0" w:color="auto"/>
                            <w:left w:val="none" w:sz="0" w:space="0" w:color="auto"/>
                            <w:bottom w:val="none" w:sz="0" w:space="0" w:color="auto"/>
                            <w:right w:val="none" w:sz="0" w:space="0" w:color="auto"/>
                          </w:divBdr>
                        </w:div>
                        <w:div w:id="862011231">
                          <w:marLeft w:val="0"/>
                          <w:marRight w:val="0"/>
                          <w:marTop w:val="0"/>
                          <w:marBottom w:val="0"/>
                          <w:divBdr>
                            <w:top w:val="none" w:sz="0" w:space="0" w:color="auto"/>
                            <w:left w:val="none" w:sz="0" w:space="0" w:color="auto"/>
                            <w:bottom w:val="none" w:sz="0" w:space="0" w:color="auto"/>
                            <w:right w:val="none" w:sz="0" w:space="0" w:color="auto"/>
                          </w:divBdr>
                          <w:divsChild>
                            <w:div w:id="1825124170">
                              <w:marLeft w:val="0"/>
                              <w:marRight w:val="0"/>
                              <w:marTop w:val="0"/>
                              <w:marBottom w:val="0"/>
                              <w:divBdr>
                                <w:top w:val="none" w:sz="0" w:space="0" w:color="auto"/>
                                <w:left w:val="none" w:sz="0" w:space="0" w:color="auto"/>
                                <w:bottom w:val="none" w:sz="0" w:space="0" w:color="auto"/>
                                <w:right w:val="none" w:sz="0" w:space="0" w:color="auto"/>
                              </w:divBdr>
                            </w:div>
                          </w:divsChild>
                        </w:div>
                        <w:div w:id="1087921769">
                          <w:marLeft w:val="0"/>
                          <w:marRight w:val="0"/>
                          <w:marTop w:val="0"/>
                          <w:marBottom w:val="0"/>
                          <w:divBdr>
                            <w:top w:val="none" w:sz="0" w:space="0" w:color="auto"/>
                            <w:left w:val="none" w:sz="0" w:space="0" w:color="auto"/>
                            <w:bottom w:val="none" w:sz="0" w:space="0" w:color="auto"/>
                            <w:right w:val="none" w:sz="0" w:space="0" w:color="auto"/>
                          </w:divBdr>
                          <w:divsChild>
                            <w:div w:id="1196312863">
                              <w:marLeft w:val="0"/>
                              <w:marRight w:val="0"/>
                              <w:marTop w:val="0"/>
                              <w:marBottom w:val="0"/>
                              <w:divBdr>
                                <w:top w:val="none" w:sz="0" w:space="0" w:color="auto"/>
                                <w:left w:val="none" w:sz="0" w:space="0" w:color="auto"/>
                                <w:bottom w:val="none" w:sz="0" w:space="0" w:color="auto"/>
                                <w:right w:val="none" w:sz="0" w:space="0" w:color="auto"/>
                              </w:divBdr>
                            </w:div>
                          </w:divsChild>
                        </w:div>
                        <w:div w:id="735279049">
                          <w:marLeft w:val="0"/>
                          <w:marRight w:val="0"/>
                          <w:marTop w:val="0"/>
                          <w:marBottom w:val="0"/>
                          <w:divBdr>
                            <w:top w:val="none" w:sz="0" w:space="0" w:color="auto"/>
                            <w:left w:val="none" w:sz="0" w:space="0" w:color="auto"/>
                            <w:bottom w:val="none" w:sz="0" w:space="0" w:color="auto"/>
                            <w:right w:val="none" w:sz="0" w:space="0" w:color="auto"/>
                          </w:divBdr>
                          <w:divsChild>
                            <w:div w:id="2095083556">
                              <w:marLeft w:val="0"/>
                              <w:marRight w:val="0"/>
                              <w:marTop w:val="0"/>
                              <w:marBottom w:val="0"/>
                              <w:divBdr>
                                <w:top w:val="none" w:sz="0" w:space="0" w:color="auto"/>
                                <w:left w:val="none" w:sz="0" w:space="0" w:color="auto"/>
                                <w:bottom w:val="none" w:sz="0" w:space="0" w:color="auto"/>
                                <w:right w:val="none" w:sz="0" w:space="0" w:color="auto"/>
                              </w:divBdr>
                            </w:div>
                          </w:divsChild>
                        </w:div>
                        <w:div w:id="2065986823">
                          <w:marLeft w:val="0"/>
                          <w:marRight w:val="0"/>
                          <w:marTop w:val="0"/>
                          <w:marBottom w:val="0"/>
                          <w:divBdr>
                            <w:top w:val="none" w:sz="0" w:space="0" w:color="auto"/>
                            <w:left w:val="none" w:sz="0" w:space="0" w:color="auto"/>
                            <w:bottom w:val="none" w:sz="0" w:space="0" w:color="auto"/>
                            <w:right w:val="none" w:sz="0" w:space="0" w:color="auto"/>
                          </w:divBdr>
                          <w:divsChild>
                            <w:div w:id="2132362922">
                              <w:marLeft w:val="0"/>
                              <w:marRight w:val="0"/>
                              <w:marTop w:val="0"/>
                              <w:marBottom w:val="0"/>
                              <w:divBdr>
                                <w:top w:val="none" w:sz="0" w:space="0" w:color="auto"/>
                                <w:left w:val="none" w:sz="0" w:space="0" w:color="auto"/>
                                <w:bottom w:val="none" w:sz="0" w:space="0" w:color="auto"/>
                                <w:right w:val="none" w:sz="0" w:space="0" w:color="auto"/>
                              </w:divBdr>
                            </w:div>
                          </w:divsChild>
                        </w:div>
                        <w:div w:id="1226453686">
                          <w:marLeft w:val="0"/>
                          <w:marRight w:val="0"/>
                          <w:marTop w:val="0"/>
                          <w:marBottom w:val="0"/>
                          <w:divBdr>
                            <w:top w:val="none" w:sz="0" w:space="0" w:color="auto"/>
                            <w:left w:val="none" w:sz="0" w:space="0" w:color="auto"/>
                            <w:bottom w:val="none" w:sz="0" w:space="0" w:color="auto"/>
                            <w:right w:val="none" w:sz="0" w:space="0" w:color="auto"/>
                          </w:divBdr>
                          <w:divsChild>
                            <w:div w:id="743376178">
                              <w:marLeft w:val="0"/>
                              <w:marRight w:val="0"/>
                              <w:marTop w:val="0"/>
                              <w:marBottom w:val="0"/>
                              <w:divBdr>
                                <w:top w:val="none" w:sz="0" w:space="0" w:color="auto"/>
                                <w:left w:val="none" w:sz="0" w:space="0" w:color="auto"/>
                                <w:bottom w:val="none" w:sz="0" w:space="0" w:color="auto"/>
                                <w:right w:val="none" w:sz="0" w:space="0" w:color="auto"/>
                              </w:divBdr>
                            </w:div>
                          </w:divsChild>
                        </w:div>
                        <w:div w:id="12534417">
                          <w:marLeft w:val="0"/>
                          <w:marRight w:val="0"/>
                          <w:marTop w:val="0"/>
                          <w:marBottom w:val="0"/>
                          <w:divBdr>
                            <w:top w:val="none" w:sz="0" w:space="0" w:color="auto"/>
                            <w:left w:val="none" w:sz="0" w:space="0" w:color="auto"/>
                            <w:bottom w:val="none" w:sz="0" w:space="0" w:color="auto"/>
                            <w:right w:val="none" w:sz="0" w:space="0" w:color="auto"/>
                          </w:divBdr>
                          <w:divsChild>
                            <w:div w:id="16544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715518">
                  <w:marLeft w:val="0"/>
                  <w:marRight w:val="0"/>
                  <w:marTop w:val="0"/>
                  <w:marBottom w:val="0"/>
                  <w:divBdr>
                    <w:top w:val="none" w:sz="0" w:space="0" w:color="auto"/>
                    <w:left w:val="none" w:sz="0" w:space="0" w:color="auto"/>
                    <w:bottom w:val="none" w:sz="0" w:space="0" w:color="auto"/>
                    <w:right w:val="none" w:sz="0" w:space="0" w:color="auto"/>
                  </w:divBdr>
                  <w:divsChild>
                    <w:div w:id="2135757921">
                      <w:marLeft w:val="0"/>
                      <w:marRight w:val="0"/>
                      <w:marTop w:val="0"/>
                      <w:marBottom w:val="0"/>
                      <w:divBdr>
                        <w:top w:val="none" w:sz="0" w:space="0" w:color="auto"/>
                        <w:left w:val="none" w:sz="0" w:space="0" w:color="auto"/>
                        <w:bottom w:val="none" w:sz="0" w:space="0" w:color="auto"/>
                        <w:right w:val="none" w:sz="0" w:space="0" w:color="auto"/>
                      </w:divBdr>
                      <w:divsChild>
                        <w:div w:id="1523546064">
                          <w:marLeft w:val="0"/>
                          <w:marRight w:val="0"/>
                          <w:marTop w:val="0"/>
                          <w:marBottom w:val="0"/>
                          <w:divBdr>
                            <w:top w:val="none" w:sz="0" w:space="0" w:color="auto"/>
                            <w:left w:val="none" w:sz="0" w:space="0" w:color="auto"/>
                            <w:bottom w:val="none" w:sz="0" w:space="0" w:color="auto"/>
                            <w:right w:val="none" w:sz="0" w:space="0" w:color="auto"/>
                          </w:divBdr>
                        </w:div>
                        <w:div w:id="2125146252">
                          <w:marLeft w:val="0"/>
                          <w:marRight w:val="0"/>
                          <w:marTop w:val="0"/>
                          <w:marBottom w:val="0"/>
                          <w:divBdr>
                            <w:top w:val="none" w:sz="0" w:space="0" w:color="auto"/>
                            <w:left w:val="none" w:sz="0" w:space="0" w:color="auto"/>
                            <w:bottom w:val="none" w:sz="0" w:space="0" w:color="auto"/>
                            <w:right w:val="none" w:sz="0" w:space="0" w:color="auto"/>
                          </w:divBdr>
                          <w:divsChild>
                            <w:div w:id="586305209">
                              <w:marLeft w:val="0"/>
                              <w:marRight w:val="0"/>
                              <w:marTop w:val="120"/>
                              <w:marBottom w:val="0"/>
                              <w:divBdr>
                                <w:top w:val="none" w:sz="0" w:space="0" w:color="auto"/>
                                <w:left w:val="none" w:sz="0" w:space="0" w:color="auto"/>
                                <w:bottom w:val="none" w:sz="0" w:space="0" w:color="auto"/>
                                <w:right w:val="none" w:sz="0" w:space="0" w:color="auto"/>
                              </w:divBdr>
                            </w:div>
                            <w:div w:id="1778136871">
                              <w:marLeft w:val="0"/>
                              <w:marRight w:val="0"/>
                              <w:marTop w:val="0"/>
                              <w:marBottom w:val="0"/>
                              <w:divBdr>
                                <w:top w:val="none" w:sz="0" w:space="0" w:color="auto"/>
                                <w:left w:val="none" w:sz="0" w:space="0" w:color="auto"/>
                                <w:bottom w:val="none" w:sz="0" w:space="0" w:color="auto"/>
                                <w:right w:val="none" w:sz="0" w:space="0" w:color="auto"/>
                              </w:divBdr>
                              <w:divsChild>
                                <w:div w:id="1080758729">
                                  <w:marLeft w:val="0"/>
                                  <w:marRight w:val="0"/>
                                  <w:marTop w:val="0"/>
                                  <w:marBottom w:val="0"/>
                                  <w:divBdr>
                                    <w:top w:val="none" w:sz="0" w:space="0" w:color="auto"/>
                                    <w:left w:val="none" w:sz="0" w:space="0" w:color="auto"/>
                                    <w:bottom w:val="none" w:sz="0" w:space="0" w:color="auto"/>
                                    <w:right w:val="none" w:sz="0" w:space="0" w:color="auto"/>
                                  </w:divBdr>
                                  <w:divsChild>
                                    <w:div w:id="1008948805">
                                      <w:marLeft w:val="0"/>
                                      <w:marRight w:val="0"/>
                                      <w:marTop w:val="0"/>
                                      <w:marBottom w:val="0"/>
                                      <w:divBdr>
                                        <w:top w:val="none" w:sz="0" w:space="0" w:color="auto"/>
                                        <w:left w:val="none" w:sz="0" w:space="0" w:color="auto"/>
                                        <w:bottom w:val="none" w:sz="0" w:space="0" w:color="auto"/>
                                        <w:right w:val="none" w:sz="0" w:space="0" w:color="auto"/>
                                      </w:divBdr>
                                    </w:div>
                                  </w:divsChild>
                                </w:div>
                                <w:div w:id="10035899">
                                  <w:marLeft w:val="0"/>
                                  <w:marRight w:val="0"/>
                                  <w:marTop w:val="0"/>
                                  <w:marBottom w:val="0"/>
                                  <w:divBdr>
                                    <w:top w:val="none" w:sz="0" w:space="0" w:color="auto"/>
                                    <w:left w:val="none" w:sz="0" w:space="0" w:color="auto"/>
                                    <w:bottom w:val="none" w:sz="0" w:space="0" w:color="auto"/>
                                    <w:right w:val="none" w:sz="0" w:space="0" w:color="auto"/>
                                  </w:divBdr>
                                  <w:divsChild>
                                    <w:div w:id="1469203244">
                                      <w:marLeft w:val="0"/>
                                      <w:marRight w:val="0"/>
                                      <w:marTop w:val="0"/>
                                      <w:marBottom w:val="0"/>
                                      <w:divBdr>
                                        <w:top w:val="none" w:sz="0" w:space="0" w:color="auto"/>
                                        <w:left w:val="none" w:sz="0" w:space="0" w:color="auto"/>
                                        <w:bottom w:val="none" w:sz="0" w:space="0" w:color="auto"/>
                                        <w:right w:val="none" w:sz="0" w:space="0" w:color="auto"/>
                                      </w:divBdr>
                                    </w:div>
                                  </w:divsChild>
                                </w:div>
                                <w:div w:id="2121407924">
                                  <w:marLeft w:val="0"/>
                                  <w:marRight w:val="0"/>
                                  <w:marTop w:val="0"/>
                                  <w:marBottom w:val="0"/>
                                  <w:divBdr>
                                    <w:top w:val="none" w:sz="0" w:space="0" w:color="auto"/>
                                    <w:left w:val="none" w:sz="0" w:space="0" w:color="auto"/>
                                    <w:bottom w:val="none" w:sz="0" w:space="0" w:color="auto"/>
                                    <w:right w:val="none" w:sz="0" w:space="0" w:color="auto"/>
                                  </w:divBdr>
                                  <w:divsChild>
                                    <w:div w:id="1785537011">
                                      <w:marLeft w:val="0"/>
                                      <w:marRight w:val="0"/>
                                      <w:marTop w:val="0"/>
                                      <w:marBottom w:val="0"/>
                                      <w:divBdr>
                                        <w:top w:val="none" w:sz="0" w:space="0" w:color="auto"/>
                                        <w:left w:val="none" w:sz="0" w:space="0" w:color="auto"/>
                                        <w:bottom w:val="none" w:sz="0" w:space="0" w:color="auto"/>
                                        <w:right w:val="none" w:sz="0" w:space="0" w:color="auto"/>
                                      </w:divBdr>
                                    </w:div>
                                  </w:divsChild>
                                </w:div>
                                <w:div w:id="840630712">
                                  <w:marLeft w:val="0"/>
                                  <w:marRight w:val="0"/>
                                  <w:marTop w:val="0"/>
                                  <w:marBottom w:val="0"/>
                                  <w:divBdr>
                                    <w:top w:val="none" w:sz="0" w:space="0" w:color="auto"/>
                                    <w:left w:val="none" w:sz="0" w:space="0" w:color="auto"/>
                                    <w:bottom w:val="none" w:sz="0" w:space="0" w:color="auto"/>
                                    <w:right w:val="none" w:sz="0" w:space="0" w:color="auto"/>
                                  </w:divBdr>
                                  <w:divsChild>
                                    <w:div w:id="2441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5063">
                          <w:marLeft w:val="0"/>
                          <w:marRight w:val="0"/>
                          <w:marTop w:val="0"/>
                          <w:marBottom w:val="0"/>
                          <w:divBdr>
                            <w:top w:val="none" w:sz="0" w:space="0" w:color="auto"/>
                            <w:left w:val="none" w:sz="0" w:space="0" w:color="auto"/>
                            <w:bottom w:val="none" w:sz="0" w:space="0" w:color="auto"/>
                            <w:right w:val="none" w:sz="0" w:space="0" w:color="auto"/>
                          </w:divBdr>
                          <w:divsChild>
                            <w:div w:id="292715229">
                              <w:marLeft w:val="0"/>
                              <w:marRight w:val="0"/>
                              <w:marTop w:val="120"/>
                              <w:marBottom w:val="0"/>
                              <w:divBdr>
                                <w:top w:val="none" w:sz="0" w:space="0" w:color="auto"/>
                                <w:left w:val="none" w:sz="0" w:space="0" w:color="auto"/>
                                <w:bottom w:val="none" w:sz="0" w:space="0" w:color="auto"/>
                                <w:right w:val="none" w:sz="0" w:space="0" w:color="auto"/>
                              </w:divBdr>
                            </w:div>
                            <w:div w:id="1476147517">
                              <w:marLeft w:val="0"/>
                              <w:marRight w:val="0"/>
                              <w:marTop w:val="0"/>
                              <w:marBottom w:val="0"/>
                              <w:divBdr>
                                <w:top w:val="none" w:sz="0" w:space="0" w:color="auto"/>
                                <w:left w:val="none" w:sz="0" w:space="0" w:color="auto"/>
                                <w:bottom w:val="none" w:sz="0" w:space="0" w:color="auto"/>
                                <w:right w:val="none" w:sz="0" w:space="0" w:color="auto"/>
                              </w:divBdr>
                              <w:divsChild>
                                <w:div w:id="1696271599">
                                  <w:marLeft w:val="0"/>
                                  <w:marRight w:val="0"/>
                                  <w:marTop w:val="0"/>
                                  <w:marBottom w:val="0"/>
                                  <w:divBdr>
                                    <w:top w:val="none" w:sz="0" w:space="0" w:color="auto"/>
                                    <w:left w:val="none" w:sz="0" w:space="0" w:color="auto"/>
                                    <w:bottom w:val="none" w:sz="0" w:space="0" w:color="auto"/>
                                    <w:right w:val="none" w:sz="0" w:space="0" w:color="auto"/>
                                  </w:divBdr>
                                  <w:divsChild>
                                    <w:div w:id="474109592">
                                      <w:marLeft w:val="0"/>
                                      <w:marRight w:val="0"/>
                                      <w:marTop w:val="120"/>
                                      <w:marBottom w:val="0"/>
                                      <w:divBdr>
                                        <w:top w:val="none" w:sz="0" w:space="0" w:color="auto"/>
                                        <w:left w:val="none" w:sz="0" w:space="0" w:color="auto"/>
                                        <w:bottom w:val="none" w:sz="0" w:space="0" w:color="auto"/>
                                        <w:right w:val="none" w:sz="0" w:space="0" w:color="auto"/>
                                      </w:divBdr>
                                    </w:div>
                                    <w:div w:id="604777498">
                                      <w:marLeft w:val="0"/>
                                      <w:marRight w:val="0"/>
                                      <w:marTop w:val="0"/>
                                      <w:marBottom w:val="0"/>
                                      <w:divBdr>
                                        <w:top w:val="none" w:sz="0" w:space="0" w:color="auto"/>
                                        <w:left w:val="none" w:sz="0" w:space="0" w:color="auto"/>
                                        <w:bottom w:val="none" w:sz="0" w:space="0" w:color="auto"/>
                                        <w:right w:val="none" w:sz="0" w:space="0" w:color="auto"/>
                                      </w:divBdr>
                                      <w:divsChild>
                                        <w:div w:id="4714825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55760158">
                                  <w:marLeft w:val="0"/>
                                  <w:marRight w:val="0"/>
                                  <w:marTop w:val="0"/>
                                  <w:marBottom w:val="0"/>
                                  <w:divBdr>
                                    <w:top w:val="none" w:sz="0" w:space="0" w:color="auto"/>
                                    <w:left w:val="none" w:sz="0" w:space="0" w:color="auto"/>
                                    <w:bottom w:val="none" w:sz="0" w:space="0" w:color="auto"/>
                                    <w:right w:val="none" w:sz="0" w:space="0" w:color="auto"/>
                                  </w:divBdr>
                                  <w:divsChild>
                                    <w:div w:id="793982451">
                                      <w:marLeft w:val="0"/>
                                      <w:marRight w:val="0"/>
                                      <w:marTop w:val="120"/>
                                      <w:marBottom w:val="0"/>
                                      <w:divBdr>
                                        <w:top w:val="none" w:sz="0" w:space="0" w:color="auto"/>
                                        <w:left w:val="none" w:sz="0" w:space="0" w:color="auto"/>
                                        <w:bottom w:val="none" w:sz="0" w:space="0" w:color="auto"/>
                                        <w:right w:val="none" w:sz="0" w:space="0" w:color="auto"/>
                                      </w:divBdr>
                                    </w:div>
                                    <w:div w:id="393116518">
                                      <w:marLeft w:val="0"/>
                                      <w:marRight w:val="0"/>
                                      <w:marTop w:val="0"/>
                                      <w:marBottom w:val="0"/>
                                      <w:divBdr>
                                        <w:top w:val="none" w:sz="0" w:space="0" w:color="auto"/>
                                        <w:left w:val="none" w:sz="0" w:space="0" w:color="auto"/>
                                        <w:bottom w:val="none" w:sz="0" w:space="0" w:color="auto"/>
                                        <w:right w:val="none" w:sz="0" w:space="0" w:color="auto"/>
                                      </w:divBdr>
                                      <w:divsChild>
                                        <w:div w:id="12121109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61377483">
                                  <w:marLeft w:val="0"/>
                                  <w:marRight w:val="0"/>
                                  <w:marTop w:val="0"/>
                                  <w:marBottom w:val="0"/>
                                  <w:divBdr>
                                    <w:top w:val="none" w:sz="0" w:space="0" w:color="auto"/>
                                    <w:left w:val="none" w:sz="0" w:space="0" w:color="auto"/>
                                    <w:bottom w:val="none" w:sz="0" w:space="0" w:color="auto"/>
                                    <w:right w:val="none" w:sz="0" w:space="0" w:color="auto"/>
                                  </w:divBdr>
                                  <w:divsChild>
                                    <w:div w:id="1956937481">
                                      <w:marLeft w:val="0"/>
                                      <w:marRight w:val="0"/>
                                      <w:marTop w:val="120"/>
                                      <w:marBottom w:val="0"/>
                                      <w:divBdr>
                                        <w:top w:val="none" w:sz="0" w:space="0" w:color="auto"/>
                                        <w:left w:val="none" w:sz="0" w:space="0" w:color="auto"/>
                                        <w:bottom w:val="none" w:sz="0" w:space="0" w:color="auto"/>
                                        <w:right w:val="none" w:sz="0" w:space="0" w:color="auto"/>
                                      </w:divBdr>
                                    </w:div>
                                    <w:div w:id="2121492180">
                                      <w:marLeft w:val="0"/>
                                      <w:marRight w:val="0"/>
                                      <w:marTop w:val="0"/>
                                      <w:marBottom w:val="0"/>
                                      <w:divBdr>
                                        <w:top w:val="none" w:sz="0" w:space="0" w:color="auto"/>
                                        <w:left w:val="none" w:sz="0" w:space="0" w:color="auto"/>
                                        <w:bottom w:val="none" w:sz="0" w:space="0" w:color="auto"/>
                                        <w:right w:val="none" w:sz="0" w:space="0" w:color="auto"/>
                                      </w:divBdr>
                                      <w:divsChild>
                                        <w:div w:id="6903733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89900911">
                                  <w:marLeft w:val="0"/>
                                  <w:marRight w:val="0"/>
                                  <w:marTop w:val="0"/>
                                  <w:marBottom w:val="0"/>
                                  <w:divBdr>
                                    <w:top w:val="none" w:sz="0" w:space="0" w:color="auto"/>
                                    <w:left w:val="none" w:sz="0" w:space="0" w:color="auto"/>
                                    <w:bottom w:val="none" w:sz="0" w:space="0" w:color="auto"/>
                                    <w:right w:val="none" w:sz="0" w:space="0" w:color="auto"/>
                                  </w:divBdr>
                                  <w:divsChild>
                                    <w:div w:id="34430874">
                                      <w:marLeft w:val="0"/>
                                      <w:marRight w:val="0"/>
                                      <w:marTop w:val="120"/>
                                      <w:marBottom w:val="0"/>
                                      <w:divBdr>
                                        <w:top w:val="none" w:sz="0" w:space="0" w:color="auto"/>
                                        <w:left w:val="none" w:sz="0" w:space="0" w:color="auto"/>
                                        <w:bottom w:val="none" w:sz="0" w:space="0" w:color="auto"/>
                                        <w:right w:val="none" w:sz="0" w:space="0" w:color="auto"/>
                                      </w:divBdr>
                                    </w:div>
                                    <w:div w:id="1300111932">
                                      <w:marLeft w:val="0"/>
                                      <w:marRight w:val="0"/>
                                      <w:marTop w:val="0"/>
                                      <w:marBottom w:val="0"/>
                                      <w:divBdr>
                                        <w:top w:val="none" w:sz="0" w:space="0" w:color="auto"/>
                                        <w:left w:val="none" w:sz="0" w:space="0" w:color="auto"/>
                                        <w:bottom w:val="none" w:sz="0" w:space="0" w:color="auto"/>
                                        <w:right w:val="none" w:sz="0" w:space="0" w:color="auto"/>
                                      </w:divBdr>
                                      <w:divsChild>
                                        <w:div w:id="10021975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06186948">
                                  <w:marLeft w:val="0"/>
                                  <w:marRight w:val="0"/>
                                  <w:marTop w:val="0"/>
                                  <w:marBottom w:val="0"/>
                                  <w:divBdr>
                                    <w:top w:val="none" w:sz="0" w:space="0" w:color="auto"/>
                                    <w:left w:val="none" w:sz="0" w:space="0" w:color="auto"/>
                                    <w:bottom w:val="none" w:sz="0" w:space="0" w:color="auto"/>
                                    <w:right w:val="none" w:sz="0" w:space="0" w:color="auto"/>
                                  </w:divBdr>
                                  <w:divsChild>
                                    <w:div w:id="825972403">
                                      <w:marLeft w:val="0"/>
                                      <w:marRight w:val="0"/>
                                      <w:marTop w:val="120"/>
                                      <w:marBottom w:val="0"/>
                                      <w:divBdr>
                                        <w:top w:val="none" w:sz="0" w:space="0" w:color="auto"/>
                                        <w:left w:val="none" w:sz="0" w:space="0" w:color="auto"/>
                                        <w:bottom w:val="none" w:sz="0" w:space="0" w:color="auto"/>
                                        <w:right w:val="none" w:sz="0" w:space="0" w:color="auto"/>
                                      </w:divBdr>
                                    </w:div>
                                    <w:div w:id="735324388">
                                      <w:marLeft w:val="0"/>
                                      <w:marRight w:val="0"/>
                                      <w:marTop w:val="0"/>
                                      <w:marBottom w:val="0"/>
                                      <w:divBdr>
                                        <w:top w:val="none" w:sz="0" w:space="0" w:color="auto"/>
                                        <w:left w:val="none" w:sz="0" w:space="0" w:color="auto"/>
                                        <w:bottom w:val="none" w:sz="0" w:space="0" w:color="auto"/>
                                        <w:right w:val="none" w:sz="0" w:space="0" w:color="auto"/>
                                      </w:divBdr>
                                      <w:divsChild>
                                        <w:div w:id="6540729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56183329">
                                  <w:marLeft w:val="0"/>
                                  <w:marRight w:val="0"/>
                                  <w:marTop w:val="0"/>
                                  <w:marBottom w:val="0"/>
                                  <w:divBdr>
                                    <w:top w:val="none" w:sz="0" w:space="0" w:color="auto"/>
                                    <w:left w:val="none" w:sz="0" w:space="0" w:color="auto"/>
                                    <w:bottom w:val="none" w:sz="0" w:space="0" w:color="auto"/>
                                    <w:right w:val="none" w:sz="0" w:space="0" w:color="auto"/>
                                  </w:divBdr>
                                  <w:divsChild>
                                    <w:div w:id="121533214">
                                      <w:marLeft w:val="0"/>
                                      <w:marRight w:val="0"/>
                                      <w:marTop w:val="120"/>
                                      <w:marBottom w:val="0"/>
                                      <w:divBdr>
                                        <w:top w:val="none" w:sz="0" w:space="0" w:color="auto"/>
                                        <w:left w:val="none" w:sz="0" w:space="0" w:color="auto"/>
                                        <w:bottom w:val="none" w:sz="0" w:space="0" w:color="auto"/>
                                        <w:right w:val="none" w:sz="0" w:space="0" w:color="auto"/>
                                      </w:divBdr>
                                    </w:div>
                                    <w:div w:id="1923829788">
                                      <w:marLeft w:val="0"/>
                                      <w:marRight w:val="0"/>
                                      <w:marTop w:val="0"/>
                                      <w:marBottom w:val="0"/>
                                      <w:divBdr>
                                        <w:top w:val="none" w:sz="0" w:space="0" w:color="auto"/>
                                        <w:left w:val="none" w:sz="0" w:space="0" w:color="auto"/>
                                        <w:bottom w:val="none" w:sz="0" w:space="0" w:color="auto"/>
                                        <w:right w:val="none" w:sz="0" w:space="0" w:color="auto"/>
                                      </w:divBdr>
                                      <w:divsChild>
                                        <w:div w:id="17010131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35491641">
                                  <w:marLeft w:val="0"/>
                                  <w:marRight w:val="0"/>
                                  <w:marTop w:val="0"/>
                                  <w:marBottom w:val="0"/>
                                  <w:divBdr>
                                    <w:top w:val="none" w:sz="0" w:space="0" w:color="auto"/>
                                    <w:left w:val="none" w:sz="0" w:space="0" w:color="auto"/>
                                    <w:bottom w:val="none" w:sz="0" w:space="0" w:color="auto"/>
                                    <w:right w:val="none" w:sz="0" w:space="0" w:color="auto"/>
                                  </w:divBdr>
                                  <w:divsChild>
                                    <w:div w:id="1100758079">
                                      <w:marLeft w:val="0"/>
                                      <w:marRight w:val="0"/>
                                      <w:marTop w:val="120"/>
                                      <w:marBottom w:val="0"/>
                                      <w:divBdr>
                                        <w:top w:val="none" w:sz="0" w:space="0" w:color="auto"/>
                                        <w:left w:val="none" w:sz="0" w:space="0" w:color="auto"/>
                                        <w:bottom w:val="none" w:sz="0" w:space="0" w:color="auto"/>
                                        <w:right w:val="none" w:sz="0" w:space="0" w:color="auto"/>
                                      </w:divBdr>
                                    </w:div>
                                    <w:div w:id="1223059312">
                                      <w:marLeft w:val="0"/>
                                      <w:marRight w:val="0"/>
                                      <w:marTop w:val="0"/>
                                      <w:marBottom w:val="0"/>
                                      <w:divBdr>
                                        <w:top w:val="none" w:sz="0" w:space="0" w:color="auto"/>
                                        <w:left w:val="none" w:sz="0" w:space="0" w:color="auto"/>
                                        <w:bottom w:val="none" w:sz="0" w:space="0" w:color="auto"/>
                                        <w:right w:val="none" w:sz="0" w:space="0" w:color="auto"/>
                                      </w:divBdr>
                                      <w:divsChild>
                                        <w:div w:id="13528743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27333144">
                                  <w:marLeft w:val="0"/>
                                  <w:marRight w:val="0"/>
                                  <w:marTop w:val="0"/>
                                  <w:marBottom w:val="0"/>
                                  <w:divBdr>
                                    <w:top w:val="none" w:sz="0" w:space="0" w:color="auto"/>
                                    <w:left w:val="none" w:sz="0" w:space="0" w:color="auto"/>
                                    <w:bottom w:val="none" w:sz="0" w:space="0" w:color="auto"/>
                                    <w:right w:val="none" w:sz="0" w:space="0" w:color="auto"/>
                                  </w:divBdr>
                                  <w:divsChild>
                                    <w:div w:id="1992253076">
                                      <w:marLeft w:val="0"/>
                                      <w:marRight w:val="0"/>
                                      <w:marTop w:val="120"/>
                                      <w:marBottom w:val="0"/>
                                      <w:divBdr>
                                        <w:top w:val="none" w:sz="0" w:space="0" w:color="auto"/>
                                        <w:left w:val="none" w:sz="0" w:space="0" w:color="auto"/>
                                        <w:bottom w:val="none" w:sz="0" w:space="0" w:color="auto"/>
                                        <w:right w:val="none" w:sz="0" w:space="0" w:color="auto"/>
                                      </w:divBdr>
                                    </w:div>
                                    <w:div w:id="249629808">
                                      <w:marLeft w:val="0"/>
                                      <w:marRight w:val="0"/>
                                      <w:marTop w:val="0"/>
                                      <w:marBottom w:val="0"/>
                                      <w:divBdr>
                                        <w:top w:val="none" w:sz="0" w:space="0" w:color="auto"/>
                                        <w:left w:val="none" w:sz="0" w:space="0" w:color="auto"/>
                                        <w:bottom w:val="none" w:sz="0" w:space="0" w:color="auto"/>
                                        <w:right w:val="none" w:sz="0" w:space="0" w:color="auto"/>
                                      </w:divBdr>
                                      <w:divsChild>
                                        <w:div w:id="18842934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73569432">
                                  <w:marLeft w:val="0"/>
                                  <w:marRight w:val="0"/>
                                  <w:marTop w:val="0"/>
                                  <w:marBottom w:val="0"/>
                                  <w:divBdr>
                                    <w:top w:val="none" w:sz="0" w:space="0" w:color="auto"/>
                                    <w:left w:val="none" w:sz="0" w:space="0" w:color="auto"/>
                                    <w:bottom w:val="none" w:sz="0" w:space="0" w:color="auto"/>
                                    <w:right w:val="none" w:sz="0" w:space="0" w:color="auto"/>
                                  </w:divBdr>
                                  <w:divsChild>
                                    <w:div w:id="2026780747">
                                      <w:marLeft w:val="0"/>
                                      <w:marRight w:val="0"/>
                                      <w:marTop w:val="120"/>
                                      <w:marBottom w:val="0"/>
                                      <w:divBdr>
                                        <w:top w:val="none" w:sz="0" w:space="0" w:color="auto"/>
                                        <w:left w:val="none" w:sz="0" w:space="0" w:color="auto"/>
                                        <w:bottom w:val="none" w:sz="0" w:space="0" w:color="auto"/>
                                        <w:right w:val="none" w:sz="0" w:space="0" w:color="auto"/>
                                      </w:divBdr>
                                    </w:div>
                                    <w:div w:id="1995599168">
                                      <w:marLeft w:val="0"/>
                                      <w:marRight w:val="0"/>
                                      <w:marTop w:val="0"/>
                                      <w:marBottom w:val="0"/>
                                      <w:divBdr>
                                        <w:top w:val="none" w:sz="0" w:space="0" w:color="auto"/>
                                        <w:left w:val="none" w:sz="0" w:space="0" w:color="auto"/>
                                        <w:bottom w:val="none" w:sz="0" w:space="0" w:color="auto"/>
                                        <w:right w:val="none" w:sz="0" w:space="0" w:color="auto"/>
                                      </w:divBdr>
                                      <w:divsChild>
                                        <w:div w:id="6837029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24299656">
                                  <w:marLeft w:val="0"/>
                                  <w:marRight w:val="0"/>
                                  <w:marTop w:val="0"/>
                                  <w:marBottom w:val="0"/>
                                  <w:divBdr>
                                    <w:top w:val="none" w:sz="0" w:space="0" w:color="auto"/>
                                    <w:left w:val="none" w:sz="0" w:space="0" w:color="auto"/>
                                    <w:bottom w:val="none" w:sz="0" w:space="0" w:color="auto"/>
                                    <w:right w:val="none" w:sz="0" w:space="0" w:color="auto"/>
                                  </w:divBdr>
                                  <w:divsChild>
                                    <w:div w:id="1239441672">
                                      <w:marLeft w:val="0"/>
                                      <w:marRight w:val="0"/>
                                      <w:marTop w:val="120"/>
                                      <w:marBottom w:val="0"/>
                                      <w:divBdr>
                                        <w:top w:val="none" w:sz="0" w:space="0" w:color="auto"/>
                                        <w:left w:val="none" w:sz="0" w:space="0" w:color="auto"/>
                                        <w:bottom w:val="none" w:sz="0" w:space="0" w:color="auto"/>
                                        <w:right w:val="none" w:sz="0" w:space="0" w:color="auto"/>
                                      </w:divBdr>
                                    </w:div>
                                    <w:div w:id="175383917">
                                      <w:marLeft w:val="0"/>
                                      <w:marRight w:val="0"/>
                                      <w:marTop w:val="0"/>
                                      <w:marBottom w:val="0"/>
                                      <w:divBdr>
                                        <w:top w:val="none" w:sz="0" w:space="0" w:color="auto"/>
                                        <w:left w:val="none" w:sz="0" w:space="0" w:color="auto"/>
                                        <w:bottom w:val="none" w:sz="0" w:space="0" w:color="auto"/>
                                        <w:right w:val="none" w:sz="0" w:space="0" w:color="auto"/>
                                      </w:divBdr>
                                      <w:divsChild>
                                        <w:div w:id="4396827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29732605">
                                  <w:marLeft w:val="0"/>
                                  <w:marRight w:val="0"/>
                                  <w:marTop w:val="0"/>
                                  <w:marBottom w:val="0"/>
                                  <w:divBdr>
                                    <w:top w:val="none" w:sz="0" w:space="0" w:color="auto"/>
                                    <w:left w:val="none" w:sz="0" w:space="0" w:color="auto"/>
                                    <w:bottom w:val="none" w:sz="0" w:space="0" w:color="auto"/>
                                    <w:right w:val="none" w:sz="0" w:space="0" w:color="auto"/>
                                  </w:divBdr>
                                  <w:divsChild>
                                    <w:div w:id="1661814364">
                                      <w:marLeft w:val="0"/>
                                      <w:marRight w:val="0"/>
                                      <w:marTop w:val="120"/>
                                      <w:marBottom w:val="0"/>
                                      <w:divBdr>
                                        <w:top w:val="none" w:sz="0" w:space="0" w:color="auto"/>
                                        <w:left w:val="none" w:sz="0" w:space="0" w:color="auto"/>
                                        <w:bottom w:val="none" w:sz="0" w:space="0" w:color="auto"/>
                                        <w:right w:val="none" w:sz="0" w:space="0" w:color="auto"/>
                                      </w:divBdr>
                                    </w:div>
                                    <w:div w:id="433407784">
                                      <w:marLeft w:val="0"/>
                                      <w:marRight w:val="0"/>
                                      <w:marTop w:val="0"/>
                                      <w:marBottom w:val="0"/>
                                      <w:divBdr>
                                        <w:top w:val="none" w:sz="0" w:space="0" w:color="auto"/>
                                        <w:left w:val="none" w:sz="0" w:space="0" w:color="auto"/>
                                        <w:bottom w:val="none" w:sz="0" w:space="0" w:color="auto"/>
                                        <w:right w:val="none" w:sz="0" w:space="0" w:color="auto"/>
                                      </w:divBdr>
                                      <w:divsChild>
                                        <w:div w:id="11912576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19597947">
                          <w:marLeft w:val="0"/>
                          <w:marRight w:val="0"/>
                          <w:marTop w:val="0"/>
                          <w:marBottom w:val="0"/>
                          <w:divBdr>
                            <w:top w:val="none" w:sz="0" w:space="0" w:color="auto"/>
                            <w:left w:val="none" w:sz="0" w:space="0" w:color="auto"/>
                            <w:bottom w:val="none" w:sz="0" w:space="0" w:color="auto"/>
                            <w:right w:val="none" w:sz="0" w:space="0" w:color="auto"/>
                          </w:divBdr>
                          <w:divsChild>
                            <w:div w:id="1817801015">
                              <w:marLeft w:val="0"/>
                              <w:marRight w:val="0"/>
                              <w:marTop w:val="120"/>
                              <w:marBottom w:val="0"/>
                              <w:divBdr>
                                <w:top w:val="none" w:sz="0" w:space="0" w:color="auto"/>
                                <w:left w:val="none" w:sz="0" w:space="0" w:color="auto"/>
                                <w:bottom w:val="none" w:sz="0" w:space="0" w:color="auto"/>
                                <w:right w:val="none" w:sz="0" w:space="0" w:color="auto"/>
                              </w:divBdr>
                            </w:div>
                            <w:div w:id="1811897903">
                              <w:marLeft w:val="0"/>
                              <w:marRight w:val="0"/>
                              <w:marTop w:val="0"/>
                              <w:marBottom w:val="0"/>
                              <w:divBdr>
                                <w:top w:val="none" w:sz="0" w:space="0" w:color="auto"/>
                                <w:left w:val="none" w:sz="0" w:space="0" w:color="auto"/>
                                <w:bottom w:val="none" w:sz="0" w:space="0" w:color="auto"/>
                                <w:right w:val="none" w:sz="0" w:space="0" w:color="auto"/>
                              </w:divBdr>
                            </w:div>
                          </w:divsChild>
                        </w:div>
                        <w:div w:id="1690138459">
                          <w:marLeft w:val="0"/>
                          <w:marRight w:val="0"/>
                          <w:marTop w:val="0"/>
                          <w:marBottom w:val="0"/>
                          <w:divBdr>
                            <w:top w:val="none" w:sz="0" w:space="0" w:color="auto"/>
                            <w:left w:val="none" w:sz="0" w:space="0" w:color="auto"/>
                            <w:bottom w:val="none" w:sz="0" w:space="0" w:color="auto"/>
                            <w:right w:val="none" w:sz="0" w:space="0" w:color="auto"/>
                          </w:divBdr>
                          <w:divsChild>
                            <w:div w:id="34084773">
                              <w:marLeft w:val="0"/>
                              <w:marRight w:val="0"/>
                              <w:marTop w:val="120"/>
                              <w:marBottom w:val="0"/>
                              <w:divBdr>
                                <w:top w:val="none" w:sz="0" w:space="0" w:color="auto"/>
                                <w:left w:val="none" w:sz="0" w:space="0" w:color="auto"/>
                                <w:bottom w:val="none" w:sz="0" w:space="0" w:color="auto"/>
                                <w:right w:val="none" w:sz="0" w:space="0" w:color="auto"/>
                              </w:divBdr>
                            </w:div>
                            <w:div w:id="63229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233">
                      <w:marLeft w:val="0"/>
                      <w:marRight w:val="0"/>
                      <w:marTop w:val="0"/>
                      <w:marBottom w:val="0"/>
                      <w:divBdr>
                        <w:top w:val="none" w:sz="0" w:space="0" w:color="auto"/>
                        <w:left w:val="none" w:sz="0" w:space="0" w:color="auto"/>
                        <w:bottom w:val="none" w:sz="0" w:space="0" w:color="auto"/>
                        <w:right w:val="none" w:sz="0" w:space="0" w:color="auto"/>
                      </w:divBdr>
                      <w:divsChild>
                        <w:div w:id="1653098988">
                          <w:marLeft w:val="0"/>
                          <w:marRight w:val="0"/>
                          <w:marTop w:val="0"/>
                          <w:marBottom w:val="0"/>
                          <w:divBdr>
                            <w:top w:val="none" w:sz="0" w:space="0" w:color="auto"/>
                            <w:left w:val="none" w:sz="0" w:space="0" w:color="auto"/>
                            <w:bottom w:val="none" w:sz="0" w:space="0" w:color="auto"/>
                            <w:right w:val="none" w:sz="0" w:space="0" w:color="auto"/>
                          </w:divBdr>
                        </w:div>
                        <w:div w:id="1005322422">
                          <w:marLeft w:val="0"/>
                          <w:marRight w:val="0"/>
                          <w:marTop w:val="0"/>
                          <w:marBottom w:val="0"/>
                          <w:divBdr>
                            <w:top w:val="none" w:sz="0" w:space="0" w:color="auto"/>
                            <w:left w:val="none" w:sz="0" w:space="0" w:color="auto"/>
                            <w:bottom w:val="none" w:sz="0" w:space="0" w:color="auto"/>
                            <w:right w:val="none" w:sz="0" w:space="0" w:color="auto"/>
                          </w:divBdr>
                          <w:divsChild>
                            <w:div w:id="229581343">
                              <w:marLeft w:val="0"/>
                              <w:marRight w:val="0"/>
                              <w:marTop w:val="120"/>
                              <w:marBottom w:val="0"/>
                              <w:divBdr>
                                <w:top w:val="none" w:sz="0" w:space="0" w:color="auto"/>
                                <w:left w:val="none" w:sz="0" w:space="0" w:color="auto"/>
                                <w:bottom w:val="none" w:sz="0" w:space="0" w:color="auto"/>
                                <w:right w:val="none" w:sz="0" w:space="0" w:color="auto"/>
                              </w:divBdr>
                            </w:div>
                            <w:div w:id="691805281">
                              <w:marLeft w:val="0"/>
                              <w:marRight w:val="0"/>
                              <w:marTop w:val="0"/>
                              <w:marBottom w:val="0"/>
                              <w:divBdr>
                                <w:top w:val="none" w:sz="0" w:space="0" w:color="auto"/>
                                <w:left w:val="none" w:sz="0" w:space="0" w:color="auto"/>
                                <w:bottom w:val="none" w:sz="0" w:space="0" w:color="auto"/>
                                <w:right w:val="none" w:sz="0" w:space="0" w:color="auto"/>
                              </w:divBdr>
                              <w:divsChild>
                                <w:div w:id="682586688">
                                  <w:marLeft w:val="0"/>
                                  <w:marRight w:val="0"/>
                                  <w:marTop w:val="0"/>
                                  <w:marBottom w:val="0"/>
                                  <w:divBdr>
                                    <w:top w:val="none" w:sz="0" w:space="0" w:color="auto"/>
                                    <w:left w:val="none" w:sz="0" w:space="0" w:color="auto"/>
                                    <w:bottom w:val="none" w:sz="0" w:space="0" w:color="auto"/>
                                    <w:right w:val="none" w:sz="0" w:space="0" w:color="auto"/>
                                  </w:divBdr>
                                  <w:divsChild>
                                    <w:div w:id="20965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204664">
                          <w:marLeft w:val="0"/>
                          <w:marRight w:val="0"/>
                          <w:marTop w:val="0"/>
                          <w:marBottom w:val="0"/>
                          <w:divBdr>
                            <w:top w:val="none" w:sz="0" w:space="0" w:color="auto"/>
                            <w:left w:val="none" w:sz="0" w:space="0" w:color="auto"/>
                            <w:bottom w:val="none" w:sz="0" w:space="0" w:color="auto"/>
                            <w:right w:val="none" w:sz="0" w:space="0" w:color="auto"/>
                          </w:divBdr>
                          <w:divsChild>
                            <w:div w:id="1601837734">
                              <w:marLeft w:val="0"/>
                              <w:marRight w:val="0"/>
                              <w:marTop w:val="120"/>
                              <w:marBottom w:val="0"/>
                              <w:divBdr>
                                <w:top w:val="none" w:sz="0" w:space="0" w:color="auto"/>
                                <w:left w:val="none" w:sz="0" w:space="0" w:color="auto"/>
                                <w:bottom w:val="none" w:sz="0" w:space="0" w:color="auto"/>
                                <w:right w:val="none" w:sz="0" w:space="0" w:color="auto"/>
                              </w:divBdr>
                            </w:div>
                            <w:div w:id="150759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87710">
                      <w:marLeft w:val="0"/>
                      <w:marRight w:val="0"/>
                      <w:marTop w:val="0"/>
                      <w:marBottom w:val="0"/>
                      <w:divBdr>
                        <w:top w:val="none" w:sz="0" w:space="0" w:color="auto"/>
                        <w:left w:val="none" w:sz="0" w:space="0" w:color="auto"/>
                        <w:bottom w:val="none" w:sz="0" w:space="0" w:color="auto"/>
                        <w:right w:val="none" w:sz="0" w:space="0" w:color="auto"/>
                      </w:divBdr>
                      <w:divsChild>
                        <w:div w:id="1707558371">
                          <w:marLeft w:val="0"/>
                          <w:marRight w:val="0"/>
                          <w:marTop w:val="0"/>
                          <w:marBottom w:val="0"/>
                          <w:divBdr>
                            <w:top w:val="none" w:sz="0" w:space="0" w:color="auto"/>
                            <w:left w:val="none" w:sz="0" w:space="0" w:color="auto"/>
                            <w:bottom w:val="none" w:sz="0" w:space="0" w:color="auto"/>
                            <w:right w:val="none" w:sz="0" w:space="0" w:color="auto"/>
                          </w:divBdr>
                        </w:div>
                      </w:divsChild>
                    </w:div>
                    <w:div w:id="2034915700">
                      <w:marLeft w:val="0"/>
                      <w:marRight w:val="0"/>
                      <w:marTop w:val="0"/>
                      <w:marBottom w:val="0"/>
                      <w:divBdr>
                        <w:top w:val="none" w:sz="0" w:space="0" w:color="auto"/>
                        <w:left w:val="none" w:sz="0" w:space="0" w:color="auto"/>
                        <w:bottom w:val="none" w:sz="0" w:space="0" w:color="auto"/>
                        <w:right w:val="none" w:sz="0" w:space="0" w:color="auto"/>
                      </w:divBdr>
                      <w:divsChild>
                        <w:div w:id="903029595">
                          <w:marLeft w:val="0"/>
                          <w:marRight w:val="0"/>
                          <w:marTop w:val="0"/>
                          <w:marBottom w:val="0"/>
                          <w:divBdr>
                            <w:top w:val="none" w:sz="0" w:space="0" w:color="auto"/>
                            <w:left w:val="none" w:sz="0" w:space="0" w:color="auto"/>
                            <w:bottom w:val="none" w:sz="0" w:space="0" w:color="auto"/>
                            <w:right w:val="none" w:sz="0" w:space="0" w:color="auto"/>
                          </w:divBdr>
                        </w:div>
                        <w:div w:id="884412658">
                          <w:marLeft w:val="0"/>
                          <w:marRight w:val="0"/>
                          <w:marTop w:val="0"/>
                          <w:marBottom w:val="0"/>
                          <w:divBdr>
                            <w:top w:val="none" w:sz="0" w:space="0" w:color="auto"/>
                            <w:left w:val="none" w:sz="0" w:space="0" w:color="auto"/>
                            <w:bottom w:val="none" w:sz="0" w:space="0" w:color="auto"/>
                            <w:right w:val="none" w:sz="0" w:space="0" w:color="auto"/>
                          </w:divBdr>
                          <w:divsChild>
                            <w:div w:id="1668551874">
                              <w:marLeft w:val="0"/>
                              <w:marRight w:val="0"/>
                              <w:marTop w:val="120"/>
                              <w:marBottom w:val="0"/>
                              <w:divBdr>
                                <w:top w:val="none" w:sz="0" w:space="0" w:color="auto"/>
                                <w:left w:val="none" w:sz="0" w:space="0" w:color="auto"/>
                                <w:bottom w:val="none" w:sz="0" w:space="0" w:color="auto"/>
                                <w:right w:val="none" w:sz="0" w:space="0" w:color="auto"/>
                              </w:divBdr>
                            </w:div>
                            <w:div w:id="1123226510">
                              <w:marLeft w:val="0"/>
                              <w:marRight w:val="0"/>
                              <w:marTop w:val="0"/>
                              <w:marBottom w:val="0"/>
                              <w:divBdr>
                                <w:top w:val="none" w:sz="0" w:space="0" w:color="auto"/>
                                <w:left w:val="none" w:sz="0" w:space="0" w:color="auto"/>
                                <w:bottom w:val="none" w:sz="0" w:space="0" w:color="auto"/>
                                <w:right w:val="none" w:sz="0" w:space="0" w:color="auto"/>
                              </w:divBdr>
                              <w:divsChild>
                                <w:div w:id="2001691540">
                                  <w:marLeft w:val="0"/>
                                  <w:marRight w:val="0"/>
                                  <w:marTop w:val="0"/>
                                  <w:marBottom w:val="0"/>
                                  <w:divBdr>
                                    <w:top w:val="none" w:sz="0" w:space="0" w:color="auto"/>
                                    <w:left w:val="none" w:sz="0" w:space="0" w:color="auto"/>
                                    <w:bottom w:val="none" w:sz="0" w:space="0" w:color="auto"/>
                                    <w:right w:val="none" w:sz="0" w:space="0" w:color="auto"/>
                                  </w:divBdr>
                                  <w:divsChild>
                                    <w:div w:id="167714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50808">
                          <w:marLeft w:val="0"/>
                          <w:marRight w:val="0"/>
                          <w:marTop w:val="0"/>
                          <w:marBottom w:val="0"/>
                          <w:divBdr>
                            <w:top w:val="none" w:sz="0" w:space="0" w:color="auto"/>
                            <w:left w:val="none" w:sz="0" w:space="0" w:color="auto"/>
                            <w:bottom w:val="none" w:sz="0" w:space="0" w:color="auto"/>
                            <w:right w:val="none" w:sz="0" w:space="0" w:color="auto"/>
                          </w:divBdr>
                          <w:divsChild>
                            <w:div w:id="859010343">
                              <w:marLeft w:val="0"/>
                              <w:marRight w:val="0"/>
                              <w:marTop w:val="120"/>
                              <w:marBottom w:val="0"/>
                              <w:divBdr>
                                <w:top w:val="none" w:sz="0" w:space="0" w:color="auto"/>
                                <w:left w:val="none" w:sz="0" w:space="0" w:color="auto"/>
                                <w:bottom w:val="none" w:sz="0" w:space="0" w:color="auto"/>
                                <w:right w:val="none" w:sz="0" w:space="0" w:color="auto"/>
                              </w:divBdr>
                            </w:div>
                            <w:div w:id="823087513">
                              <w:marLeft w:val="0"/>
                              <w:marRight w:val="0"/>
                              <w:marTop w:val="0"/>
                              <w:marBottom w:val="0"/>
                              <w:divBdr>
                                <w:top w:val="none" w:sz="0" w:space="0" w:color="auto"/>
                                <w:left w:val="none" w:sz="0" w:space="0" w:color="auto"/>
                                <w:bottom w:val="none" w:sz="0" w:space="0" w:color="auto"/>
                                <w:right w:val="none" w:sz="0" w:space="0" w:color="auto"/>
                              </w:divBdr>
                              <w:divsChild>
                                <w:div w:id="867525052">
                                  <w:marLeft w:val="0"/>
                                  <w:marRight w:val="0"/>
                                  <w:marTop w:val="0"/>
                                  <w:marBottom w:val="0"/>
                                  <w:divBdr>
                                    <w:top w:val="none" w:sz="0" w:space="0" w:color="auto"/>
                                    <w:left w:val="none" w:sz="0" w:space="0" w:color="auto"/>
                                    <w:bottom w:val="none" w:sz="0" w:space="0" w:color="auto"/>
                                    <w:right w:val="none" w:sz="0" w:space="0" w:color="auto"/>
                                  </w:divBdr>
                                  <w:divsChild>
                                    <w:div w:id="1974558938">
                                      <w:marLeft w:val="0"/>
                                      <w:marRight w:val="0"/>
                                      <w:marTop w:val="0"/>
                                      <w:marBottom w:val="0"/>
                                      <w:divBdr>
                                        <w:top w:val="none" w:sz="0" w:space="0" w:color="auto"/>
                                        <w:left w:val="none" w:sz="0" w:space="0" w:color="auto"/>
                                        <w:bottom w:val="none" w:sz="0" w:space="0" w:color="auto"/>
                                        <w:right w:val="none" w:sz="0" w:space="0" w:color="auto"/>
                                      </w:divBdr>
                                    </w:div>
                                  </w:divsChild>
                                </w:div>
                                <w:div w:id="1789663638">
                                  <w:marLeft w:val="0"/>
                                  <w:marRight w:val="0"/>
                                  <w:marTop w:val="0"/>
                                  <w:marBottom w:val="0"/>
                                  <w:divBdr>
                                    <w:top w:val="none" w:sz="0" w:space="0" w:color="auto"/>
                                    <w:left w:val="none" w:sz="0" w:space="0" w:color="auto"/>
                                    <w:bottom w:val="none" w:sz="0" w:space="0" w:color="auto"/>
                                    <w:right w:val="none" w:sz="0" w:space="0" w:color="auto"/>
                                  </w:divBdr>
                                  <w:divsChild>
                                    <w:div w:id="48891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42195">
                      <w:marLeft w:val="0"/>
                      <w:marRight w:val="0"/>
                      <w:marTop w:val="0"/>
                      <w:marBottom w:val="0"/>
                      <w:divBdr>
                        <w:top w:val="none" w:sz="0" w:space="0" w:color="auto"/>
                        <w:left w:val="none" w:sz="0" w:space="0" w:color="auto"/>
                        <w:bottom w:val="none" w:sz="0" w:space="0" w:color="auto"/>
                        <w:right w:val="none" w:sz="0" w:space="0" w:color="auto"/>
                      </w:divBdr>
                      <w:divsChild>
                        <w:div w:id="1365594166">
                          <w:marLeft w:val="0"/>
                          <w:marRight w:val="0"/>
                          <w:marTop w:val="0"/>
                          <w:marBottom w:val="0"/>
                          <w:divBdr>
                            <w:top w:val="none" w:sz="0" w:space="0" w:color="auto"/>
                            <w:left w:val="none" w:sz="0" w:space="0" w:color="auto"/>
                            <w:bottom w:val="none" w:sz="0" w:space="0" w:color="auto"/>
                            <w:right w:val="none" w:sz="0" w:space="0" w:color="auto"/>
                          </w:divBdr>
                        </w:div>
                      </w:divsChild>
                    </w:div>
                    <w:div w:id="824471485">
                      <w:marLeft w:val="0"/>
                      <w:marRight w:val="0"/>
                      <w:marTop w:val="0"/>
                      <w:marBottom w:val="0"/>
                      <w:divBdr>
                        <w:top w:val="none" w:sz="0" w:space="0" w:color="auto"/>
                        <w:left w:val="none" w:sz="0" w:space="0" w:color="auto"/>
                        <w:bottom w:val="none" w:sz="0" w:space="0" w:color="auto"/>
                        <w:right w:val="none" w:sz="0" w:space="0" w:color="auto"/>
                      </w:divBdr>
                      <w:divsChild>
                        <w:div w:id="367217431">
                          <w:marLeft w:val="0"/>
                          <w:marRight w:val="0"/>
                          <w:marTop w:val="0"/>
                          <w:marBottom w:val="0"/>
                          <w:divBdr>
                            <w:top w:val="none" w:sz="0" w:space="0" w:color="auto"/>
                            <w:left w:val="none" w:sz="0" w:space="0" w:color="auto"/>
                            <w:bottom w:val="none" w:sz="0" w:space="0" w:color="auto"/>
                            <w:right w:val="none" w:sz="0" w:space="0" w:color="auto"/>
                          </w:divBdr>
                        </w:div>
                        <w:div w:id="1761639131">
                          <w:marLeft w:val="0"/>
                          <w:marRight w:val="0"/>
                          <w:marTop w:val="0"/>
                          <w:marBottom w:val="0"/>
                          <w:divBdr>
                            <w:top w:val="none" w:sz="0" w:space="0" w:color="auto"/>
                            <w:left w:val="none" w:sz="0" w:space="0" w:color="auto"/>
                            <w:bottom w:val="none" w:sz="0" w:space="0" w:color="auto"/>
                            <w:right w:val="none" w:sz="0" w:space="0" w:color="auto"/>
                          </w:divBdr>
                          <w:divsChild>
                            <w:div w:id="1349017364">
                              <w:marLeft w:val="0"/>
                              <w:marRight w:val="0"/>
                              <w:marTop w:val="120"/>
                              <w:marBottom w:val="0"/>
                              <w:divBdr>
                                <w:top w:val="none" w:sz="0" w:space="0" w:color="auto"/>
                                <w:left w:val="none" w:sz="0" w:space="0" w:color="auto"/>
                                <w:bottom w:val="none" w:sz="0" w:space="0" w:color="auto"/>
                                <w:right w:val="none" w:sz="0" w:space="0" w:color="auto"/>
                              </w:divBdr>
                            </w:div>
                            <w:div w:id="1874071472">
                              <w:marLeft w:val="0"/>
                              <w:marRight w:val="0"/>
                              <w:marTop w:val="0"/>
                              <w:marBottom w:val="0"/>
                              <w:divBdr>
                                <w:top w:val="none" w:sz="0" w:space="0" w:color="auto"/>
                                <w:left w:val="none" w:sz="0" w:space="0" w:color="auto"/>
                                <w:bottom w:val="none" w:sz="0" w:space="0" w:color="auto"/>
                                <w:right w:val="none" w:sz="0" w:space="0" w:color="auto"/>
                              </w:divBdr>
                              <w:divsChild>
                                <w:div w:id="1877542725">
                                  <w:marLeft w:val="0"/>
                                  <w:marRight w:val="0"/>
                                  <w:marTop w:val="0"/>
                                  <w:marBottom w:val="0"/>
                                  <w:divBdr>
                                    <w:top w:val="none" w:sz="0" w:space="0" w:color="auto"/>
                                    <w:left w:val="none" w:sz="0" w:space="0" w:color="auto"/>
                                    <w:bottom w:val="none" w:sz="0" w:space="0" w:color="auto"/>
                                    <w:right w:val="none" w:sz="0" w:space="0" w:color="auto"/>
                                  </w:divBdr>
                                  <w:divsChild>
                                    <w:div w:id="1528178146">
                                      <w:marLeft w:val="0"/>
                                      <w:marRight w:val="0"/>
                                      <w:marTop w:val="0"/>
                                      <w:marBottom w:val="0"/>
                                      <w:divBdr>
                                        <w:top w:val="none" w:sz="0" w:space="0" w:color="auto"/>
                                        <w:left w:val="none" w:sz="0" w:space="0" w:color="auto"/>
                                        <w:bottom w:val="none" w:sz="0" w:space="0" w:color="auto"/>
                                        <w:right w:val="none" w:sz="0" w:space="0" w:color="auto"/>
                                      </w:divBdr>
                                      <w:divsChild>
                                        <w:div w:id="929241347">
                                          <w:marLeft w:val="0"/>
                                          <w:marRight w:val="0"/>
                                          <w:marTop w:val="0"/>
                                          <w:marBottom w:val="0"/>
                                          <w:divBdr>
                                            <w:top w:val="none" w:sz="0" w:space="0" w:color="auto"/>
                                            <w:left w:val="none" w:sz="0" w:space="0" w:color="auto"/>
                                            <w:bottom w:val="none" w:sz="0" w:space="0" w:color="auto"/>
                                            <w:right w:val="none" w:sz="0" w:space="0" w:color="auto"/>
                                          </w:divBdr>
                                          <w:divsChild>
                                            <w:div w:id="866942864">
                                              <w:marLeft w:val="0"/>
                                              <w:marRight w:val="0"/>
                                              <w:marTop w:val="120"/>
                                              <w:marBottom w:val="0"/>
                                              <w:divBdr>
                                                <w:top w:val="none" w:sz="0" w:space="0" w:color="auto"/>
                                                <w:left w:val="none" w:sz="0" w:space="0" w:color="auto"/>
                                                <w:bottom w:val="none" w:sz="0" w:space="0" w:color="auto"/>
                                                <w:right w:val="none" w:sz="0" w:space="0" w:color="auto"/>
                                              </w:divBdr>
                                            </w:div>
                                            <w:div w:id="1514110175">
                                              <w:marLeft w:val="0"/>
                                              <w:marRight w:val="0"/>
                                              <w:marTop w:val="0"/>
                                              <w:marBottom w:val="0"/>
                                              <w:divBdr>
                                                <w:top w:val="none" w:sz="0" w:space="0" w:color="auto"/>
                                                <w:left w:val="none" w:sz="0" w:space="0" w:color="auto"/>
                                                <w:bottom w:val="none" w:sz="0" w:space="0" w:color="auto"/>
                                                <w:right w:val="none" w:sz="0" w:space="0" w:color="auto"/>
                                              </w:divBdr>
                                            </w:div>
                                          </w:divsChild>
                                        </w:div>
                                        <w:div w:id="1666664254">
                                          <w:marLeft w:val="0"/>
                                          <w:marRight w:val="0"/>
                                          <w:marTop w:val="0"/>
                                          <w:marBottom w:val="0"/>
                                          <w:divBdr>
                                            <w:top w:val="none" w:sz="0" w:space="0" w:color="auto"/>
                                            <w:left w:val="none" w:sz="0" w:space="0" w:color="auto"/>
                                            <w:bottom w:val="none" w:sz="0" w:space="0" w:color="auto"/>
                                            <w:right w:val="none" w:sz="0" w:space="0" w:color="auto"/>
                                          </w:divBdr>
                                          <w:divsChild>
                                            <w:div w:id="639850305">
                                              <w:marLeft w:val="0"/>
                                              <w:marRight w:val="0"/>
                                              <w:marTop w:val="120"/>
                                              <w:marBottom w:val="0"/>
                                              <w:divBdr>
                                                <w:top w:val="none" w:sz="0" w:space="0" w:color="auto"/>
                                                <w:left w:val="none" w:sz="0" w:space="0" w:color="auto"/>
                                                <w:bottom w:val="none" w:sz="0" w:space="0" w:color="auto"/>
                                                <w:right w:val="none" w:sz="0" w:space="0" w:color="auto"/>
                                              </w:divBdr>
                                            </w:div>
                                            <w:div w:id="1787890534">
                                              <w:marLeft w:val="0"/>
                                              <w:marRight w:val="0"/>
                                              <w:marTop w:val="0"/>
                                              <w:marBottom w:val="0"/>
                                              <w:divBdr>
                                                <w:top w:val="none" w:sz="0" w:space="0" w:color="auto"/>
                                                <w:left w:val="none" w:sz="0" w:space="0" w:color="auto"/>
                                                <w:bottom w:val="none" w:sz="0" w:space="0" w:color="auto"/>
                                                <w:right w:val="none" w:sz="0" w:space="0" w:color="auto"/>
                                              </w:divBdr>
                                            </w:div>
                                          </w:divsChild>
                                        </w:div>
                                        <w:div w:id="1618176428">
                                          <w:marLeft w:val="0"/>
                                          <w:marRight w:val="0"/>
                                          <w:marTop w:val="0"/>
                                          <w:marBottom w:val="0"/>
                                          <w:divBdr>
                                            <w:top w:val="none" w:sz="0" w:space="0" w:color="auto"/>
                                            <w:left w:val="none" w:sz="0" w:space="0" w:color="auto"/>
                                            <w:bottom w:val="none" w:sz="0" w:space="0" w:color="auto"/>
                                            <w:right w:val="none" w:sz="0" w:space="0" w:color="auto"/>
                                          </w:divBdr>
                                          <w:divsChild>
                                            <w:div w:id="632910619">
                                              <w:marLeft w:val="0"/>
                                              <w:marRight w:val="0"/>
                                              <w:marTop w:val="120"/>
                                              <w:marBottom w:val="0"/>
                                              <w:divBdr>
                                                <w:top w:val="none" w:sz="0" w:space="0" w:color="auto"/>
                                                <w:left w:val="none" w:sz="0" w:space="0" w:color="auto"/>
                                                <w:bottom w:val="none" w:sz="0" w:space="0" w:color="auto"/>
                                                <w:right w:val="none" w:sz="0" w:space="0" w:color="auto"/>
                                              </w:divBdr>
                                            </w:div>
                                            <w:div w:id="171920825">
                                              <w:marLeft w:val="0"/>
                                              <w:marRight w:val="0"/>
                                              <w:marTop w:val="0"/>
                                              <w:marBottom w:val="0"/>
                                              <w:divBdr>
                                                <w:top w:val="none" w:sz="0" w:space="0" w:color="auto"/>
                                                <w:left w:val="none" w:sz="0" w:space="0" w:color="auto"/>
                                                <w:bottom w:val="none" w:sz="0" w:space="0" w:color="auto"/>
                                                <w:right w:val="none" w:sz="0" w:space="0" w:color="auto"/>
                                              </w:divBdr>
                                            </w:div>
                                          </w:divsChild>
                                        </w:div>
                                        <w:div w:id="1982415325">
                                          <w:marLeft w:val="0"/>
                                          <w:marRight w:val="0"/>
                                          <w:marTop w:val="0"/>
                                          <w:marBottom w:val="0"/>
                                          <w:divBdr>
                                            <w:top w:val="none" w:sz="0" w:space="0" w:color="auto"/>
                                            <w:left w:val="none" w:sz="0" w:space="0" w:color="auto"/>
                                            <w:bottom w:val="none" w:sz="0" w:space="0" w:color="auto"/>
                                            <w:right w:val="none" w:sz="0" w:space="0" w:color="auto"/>
                                          </w:divBdr>
                                          <w:divsChild>
                                            <w:div w:id="196743079">
                                              <w:marLeft w:val="0"/>
                                              <w:marRight w:val="0"/>
                                              <w:marTop w:val="120"/>
                                              <w:marBottom w:val="0"/>
                                              <w:divBdr>
                                                <w:top w:val="none" w:sz="0" w:space="0" w:color="auto"/>
                                                <w:left w:val="none" w:sz="0" w:space="0" w:color="auto"/>
                                                <w:bottom w:val="none" w:sz="0" w:space="0" w:color="auto"/>
                                                <w:right w:val="none" w:sz="0" w:space="0" w:color="auto"/>
                                              </w:divBdr>
                                            </w:div>
                                            <w:div w:id="19473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182148">
                          <w:marLeft w:val="0"/>
                          <w:marRight w:val="0"/>
                          <w:marTop w:val="0"/>
                          <w:marBottom w:val="0"/>
                          <w:divBdr>
                            <w:top w:val="none" w:sz="0" w:space="0" w:color="auto"/>
                            <w:left w:val="none" w:sz="0" w:space="0" w:color="auto"/>
                            <w:bottom w:val="none" w:sz="0" w:space="0" w:color="auto"/>
                            <w:right w:val="none" w:sz="0" w:space="0" w:color="auto"/>
                          </w:divBdr>
                          <w:divsChild>
                            <w:div w:id="1412779758">
                              <w:marLeft w:val="0"/>
                              <w:marRight w:val="0"/>
                              <w:marTop w:val="120"/>
                              <w:marBottom w:val="0"/>
                              <w:divBdr>
                                <w:top w:val="none" w:sz="0" w:space="0" w:color="auto"/>
                                <w:left w:val="none" w:sz="0" w:space="0" w:color="auto"/>
                                <w:bottom w:val="none" w:sz="0" w:space="0" w:color="auto"/>
                                <w:right w:val="none" w:sz="0" w:space="0" w:color="auto"/>
                              </w:divBdr>
                            </w:div>
                            <w:div w:id="47279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65475">
                      <w:marLeft w:val="0"/>
                      <w:marRight w:val="0"/>
                      <w:marTop w:val="0"/>
                      <w:marBottom w:val="0"/>
                      <w:divBdr>
                        <w:top w:val="none" w:sz="0" w:space="0" w:color="auto"/>
                        <w:left w:val="none" w:sz="0" w:space="0" w:color="auto"/>
                        <w:bottom w:val="none" w:sz="0" w:space="0" w:color="auto"/>
                        <w:right w:val="none" w:sz="0" w:space="0" w:color="auto"/>
                      </w:divBdr>
                      <w:divsChild>
                        <w:div w:id="1205365212">
                          <w:marLeft w:val="0"/>
                          <w:marRight w:val="0"/>
                          <w:marTop w:val="0"/>
                          <w:marBottom w:val="0"/>
                          <w:divBdr>
                            <w:top w:val="none" w:sz="0" w:space="0" w:color="auto"/>
                            <w:left w:val="none" w:sz="0" w:space="0" w:color="auto"/>
                            <w:bottom w:val="none" w:sz="0" w:space="0" w:color="auto"/>
                            <w:right w:val="none" w:sz="0" w:space="0" w:color="auto"/>
                          </w:divBdr>
                        </w:div>
                        <w:div w:id="595291788">
                          <w:marLeft w:val="0"/>
                          <w:marRight w:val="0"/>
                          <w:marTop w:val="0"/>
                          <w:marBottom w:val="0"/>
                          <w:divBdr>
                            <w:top w:val="none" w:sz="0" w:space="0" w:color="auto"/>
                            <w:left w:val="none" w:sz="0" w:space="0" w:color="auto"/>
                            <w:bottom w:val="none" w:sz="0" w:space="0" w:color="auto"/>
                            <w:right w:val="none" w:sz="0" w:space="0" w:color="auto"/>
                          </w:divBdr>
                          <w:divsChild>
                            <w:div w:id="868950381">
                              <w:marLeft w:val="0"/>
                              <w:marRight w:val="0"/>
                              <w:marTop w:val="120"/>
                              <w:marBottom w:val="0"/>
                              <w:divBdr>
                                <w:top w:val="none" w:sz="0" w:space="0" w:color="auto"/>
                                <w:left w:val="none" w:sz="0" w:space="0" w:color="auto"/>
                                <w:bottom w:val="none" w:sz="0" w:space="0" w:color="auto"/>
                                <w:right w:val="none" w:sz="0" w:space="0" w:color="auto"/>
                              </w:divBdr>
                            </w:div>
                            <w:div w:id="16270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034402">
                  <w:marLeft w:val="0"/>
                  <w:marRight w:val="0"/>
                  <w:marTop w:val="0"/>
                  <w:marBottom w:val="0"/>
                  <w:divBdr>
                    <w:top w:val="none" w:sz="0" w:space="0" w:color="auto"/>
                    <w:left w:val="none" w:sz="0" w:space="0" w:color="auto"/>
                    <w:bottom w:val="none" w:sz="0" w:space="0" w:color="auto"/>
                    <w:right w:val="none" w:sz="0" w:space="0" w:color="auto"/>
                  </w:divBdr>
                  <w:divsChild>
                    <w:div w:id="1123769476">
                      <w:marLeft w:val="0"/>
                      <w:marRight w:val="0"/>
                      <w:marTop w:val="0"/>
                      <w:marBottom w:val="0"/>
                      <w:divBdr>
                        <w:top w:val="none" w:sz="0" w:space="0" w:color="auto"/>
                        <w:left w:val="none" w:sz="0" w:space="0" w:color="auto"/>
                        <w:bottom w:val="none" w:sz="0" w:space="0" w:color="auto"/>
                        <w:right w:val="none" w:sz="0" w:space="0" w:color="auto"/>
                      </w:divBdr>
                      <w:divsChild>
                        <w:div w:id="1636445062">
                          <w:marLeft w:val="0"/>
                          <w:marRight w:val="0"/>
                          <w:marTop w:val="0"/>
                          <w:marBottom w:val="0"/>
                          <w:divBdr>
                            <w:top w:val="none" w:sz="0" w:space="0" w:color="auto"/>
                            <w:left w:val="none" w:sz="0" w:space="0" w:color="auto"/>
                            <w:bottom w:val="none" w:sz="0" w:space="0" w:color="auto"/>
                            <w:right w:val="none" w:sz="0" w:space="0" w:color="auto"/>
                          </w:divBdr>
                        </w:div>
                      </w:divsChild>
                    </w:div>
                    <w:div w:id="681667460">
                      <w:marLeft w:val="0"/>
                      <w:marRight w:val="0"/>
                      <w:marTop w:val="0"/>
                      <w:marBottom w:val="0"/>
                      <w:divBdr>
                        <w:top w:val="none" w:sz="0" w:space="0" w:color="auto"/>
                        <w:left w:val="none" w:sz="0" w:space="0" w:color="auto"/>
                        <w:bottom w:val="none" w:sz="0" w:space="0" w:color="auto"/>
                        <w:right w:val="none" w:sz="0" w:space="0" w:color="auto"/>
                      </w:divBdr>
                      <w:divsChild>
                        <w:div w:id="1247883855">
                          <w:marLeft w:val="0"/>
                          <w:marRight w:val="0"/>
                          <w:marTop w:val="0"/>
                          <w:marBottom w:val="0"/>
                          <w:divBdr>
                            <w:top w:val="none" w:sz="0" w:space="0" w:color="auto"/>
                            <w:left w:val="none" w:sz="0" w:space="0" w:color="auto"/>
                            <w:bottom w:val="none" w:sz="0" w:space="0" w:color="auto"/>
                            <w:right w:val="none" w:sz="0" w:space="0" w:color="auto"/>
                          </w:divBdr>
                        </w:div>
                      </w:divsChild>
                    </w:div>
                    <w:div w:id="1355960739">
                      <w:marLeft w:val="0"/>
                      <w:marRight w:val="0"/>
                      <w:marTop w:val="0"/>
                      <w:marBottom w:val="0"/>
                      <w:divBdr>
                        <w:top w:val="none" w:sz="0" w:space="0" w:color="auto"/>
                        <w:left w:val="none" w:sz="0" w:space="0" w:color="auto"/>
                        <w:bottom w:val="none" w:sz="0" w:space="0" w:color="auto"/>
                        <w:right w:val="none" w:sz="0" w:space="0" w:color="auto"/>
                      </w:divBdr>
                      <w:divsChild>
                        <w:div w:id="1160577721">
                          <w:marLeft w:val="0"/>
                          <w:marRight w:val="0"/>
                          <w:marTop w:val="0"/>
                          <w:marBottom w:val="0"/>
                          <w:divBdr>
                            <w:top w:val="none" w:sz="0" w:space="0" w:color="auto"/>
                            <w:left w:val="none" w:sz="0" w:space="0" w:color="auto"/>
                            <w:bottom w:val="none" w:sz="0" w:space="0" w:color="auto"/>
                            <w:right w:val="none" w:sz="0" w:space="0" w:color="auto"/>
                          </w:divBdr>
                        </w:div>
                        <w:div w:id="1683359230">
                          <w:marLeft w:val="0"/>
                          <w:marRight w:val="0"/>
                          <w:marTop w:val="0"/>
                          <w:marBottom w:val="0"/>
                          <w:divBdr>
                            <w:top w:val="none" w:sz="0" w:space="0" w:color="auto"/>
                            <w:left w:val="none" w:sz="0" w:space="0" w:color="auto"/>
                            <w:bottom w:val="none" w:sz="0" w:space="0" w:color="auto"/>
                            <w:right w:val="none" w:sz="0" w:space="0" w:color="auto"/>
                          </w:divBdr>
                          <w:divsChild>
                            <w:div w:id="4871957">
                              <w:marLeft w:val="0"/>
                              <w:marRight w:val="0"/>
                              <w:marTop w:val="0"/>
                              <w:marBottom w:val="0"/>
                              <w:divBdr>
                                <w:top w:val="none" w:sz="0" w:space="0" w:color="auto"/>
                                <w:left w:val="none" w:sz="0" w:space="0" w:color="auto"/>
                                <w:bottom w:val="none" w:sz="0" w:space="0" w:color="auto"/>
                                <w:right w:val="none" w:sz="0" w:space="0" w:color="auto"/>
                              </w:divBdr>
                            </w:div>
                          </w:divsChild>
                        </w:div>
                        <w:div w:id="1762407369">
                          <w:marLeft w:val="0"/>
                          <w:marRight w:val="0"/>
                          <w:marTop w:val="0"/>
                          <w:marBottom w:val="0"/>
                          <w:divBdr>
                            <w:top w:val="none" w:sz="0" w:space="0" w:color="auto"/>
                            <w:left w:val="none" w:sz="0" w:space="0" w:color="auto"/>
                            <w:bottom w:val="none" w:sz="0" w:space="0" w:color="auto"/>
                            <w:right w:val="none" w:sz="0" w:space="0" w:color="auto"/>
                          </w:divBdr>
                          <w:divsChild>
                            <w:div w:id="1936328287">
                              <w:marLeft w:val="0"/>
                              <w:marRight w:val="0"/>
                              <w:marTop w:val="120"/>
                              <w:marBottom w:val="0"/>
                              <w:divBdr>
                                <w:top w:val="none" w:sz="0" w:space="0" w:color="auto"/>
                                <w:left w:val="none" w:sz="0" w:space="0" w:color="auto"/>
                                <w:bottom w:val="none" w:sz="0" w:space="0" w:color="auto"/>
                                <w:right w:val="none" w:sz="0" w:space="0" w:color="auto"/>
                              </w:divBdr>
                            </w:div>
                            <w:div w:id="1933246763">
                              <w:marLeft w:val="0"/>
                              <w:marRight w:val="0"/>
                              <w:marTop w:val="0"/>
                              <w:marBottom w:val="0"/>
                              <w:divBdr>
                                <w:top w:val="none" w:sz="0" w:space="0" w:color="auto"/>
                                <w:left w:val="none" w:sz="0" w:space="0" w:color="auto"/>
                                <w:bottom w:val="none" w:sz="0" w:space="0" w:color="auto"/>
                                <w:right w:val="none" w:sz="0" w:space="0" w:color="auto"/>
                              </w:divBdr>
                            </w:div>
                          </w:divsChild>
                        </w:div>
                        <w:div w:id="828903452">
                          <w:marLeft w:val="0"/>
                          <w:marRight w:val="0"/>
                          <w:marTop w:val="0"/>
                          <w:marBottom w:val="0"/>
                          <w:divBdr>
                            <w:top w:val="none" w:sz="0" w:space="0" w:color="auto"/>
                            <w:left w:val="none" w:sz="0" w:space="0" w:color="auto"/>
                            <w:bottom w:val="none" w:sz="0" w:space="0" w:color="auto"/>
                            <w:right w:val="none" w:sz="0" w:space="0" w:color="auto"/>
                          </w:divBdr>
                          <w:divsChild>
                            <w:div w:id="1092049488">
                              <w:marLeft w:val="0"/>
                              <w:marRight w:val="0"/>
                              <w:marTop w:val="120"/>
                              <w:marBottom w:val="0"/>
                              <w:divBdr>
                                <w:top w:val="none" w:sz="0" w:space="0" w:color="auto"/>
                                <w:left w:val="none" w:sz="0" w:space="0" w:color="auto"/>
                                <w:bottom w:val="none" w:sz="0" w:space="0" w:color="auto"/>
                                <w:right w:val="none" w:sz="0" w:space="0" w:color="auto"/>
                              </w:divBdr>
                            </w:div>
                            <w:div w:id="1842234804">
                              <w:marLeft w:val="0"/>
                              <w:marRight w:val="0"/>
                              <w:marTop w:val="0"/>
                              <w:marBottom w:val="0"/>
                              <w:divBdr>
                                <w:top w:val="none" w:sz="0" w:space="0" w:color="auto"/>
                                <w:left w:val="none" w:sz="0" w:space="0" w:color="auto"/>
                                <w:bottom w:val="none" w:sz="0" w:space="0" w:color="auto"/>
                                <w:right w:val="none" w:sz="0" w:space="0" w:color="auto"/>
                              </w:divBdr>
                              <w:divsChild>
                                <w:div w:id="85346459">
                                  <w:marLeft w:val="0"/>
                                  <w:marRight w:val="0"/>
                                  <w:marTop w:val="0"/>
                                  <w:marBottom w:val="0"/>
                                  <w:divBdr>
                                    <w:top w:val="none" w:sz="0" w:space="0" w:color="auto"/>
                                    <w:left w:val="none" w:sz="0" w:space="0" w:color="auto"/>
                                    <w:bottom w:val="none" w:sz="0" w:space="0" w:color="auto"/>
                                    <w:right w:val="none" w:sz="0" w:space="0" w:color="auto"/>
                                  </w:divBdr>
                                  <w:divsChild>
                                    <w:div w:id="1534610192">
                                      <w:marLeft w:val="0"/>
                                      <w:marRight w:val="0"/>
                                      <w:marTop w:val="120"/>
                                      <w:marBottom w:val="0"/>
                                      <w:divBdr>
                                        <w:top w:val="none" w:sz="0" w:space="0" w:color="auto"/>
                                        <w:left w:val="none" w:sz="0" w:space="0" w:color="auto"/>
                                        <w:bottom w:val="none" w:sz="0" w:space="0" w:color="auto"/>
                                        <w:right w:val="none" w:sz="0" w:space="0" w:color="auto"/>
                                      </w:divBdr>
                                    </w:div>
                                    <w:div w:id="882987457">
                                      <w:marLeft w:val="0"/>
                                      <w:marRight w:val="0"/>
                                      <w:marTop w:val="0"/>
                                      <w:marBottom w:val="0"/>
                                      <w:divBdr>
                                        <w:top w:val="none" w:sz="0" w:space="0" w:color="auto"/>
                                        <w:left w:val="none" w:sz="0" w:space="0" w:color="auto"/>
                                        <w:bottom w:val="none" w:sz="0" w:space="0" w:color="auto"/>
                                        <w:right w:val="none" w:sz="0" w:space="0" w:color="auto"/>
                                      </w:divBdr>
                                    </w:div>
                                  </w:divsChild>
                                </w:div>
                                <w:div w:id="1035891640">
                                  <w:marLeft w:val="0"/>
                                  <w:marRight w:val="0"/>
                                  <w:marTop w:val="0"/>
                                  <w:marBottom w:val="0"/>
                                  <w:divBdr>
                                    <w:top w:val="none" w:sz="0" w:space="0" w:color="auto"/>
                                    <w:left w:val="none" w:sz="0" w:space="0" w:color="auto"/>
                                    <w:bottom w:val="none" w:sz="0" w:space="0" w:color="auto"/>
                                    <w:right w:val="none" w:sz="0" w:space="0" w:color="auto"/>
                                  </w:divBdr>
                                  <w:divsChild>
                                    <w:div w:id="1929970319">
                                      <w:marLeft w:val="0"/>
                                      <w:marRight w:val="0"/>
                                      <w:marTop w:val="120"/>
                                      <w:marBottom w:val="0"/>
                                      <w:divBdr>
                                        <w:top w:val="none" w:sz="0" w:space="0" w:color="auto"/>
                                        <w:left w:val="none" w:sz="0" w:space="0" w:color="auto"/>
                                        <w:bottom w:val="none" w:sz="0" w:space="0" w:color="auto"/>
                                        <w:right w:val="none" w:sz="0" w:space="0" w:color="auto"/>
                                      </w:divBdr>
                                    </w:div>
                                    <w:div w:id="1020082445">
                                      <w:marLeft w:val="0"/>
                                      <w:marRight w:val="0"/>
                                      <w:marTop w:val="0"/>
                                      <w:marBottom w:val="0"/>
                                      <w:divBdr>
                                        <w:top w:val="none" w:sz="0" w:space="0" w:color="auto"/>
                                        <w:left w:val="none" w:sz="0" w:space="0" w:color="auto"/>
                                        <w:bottom w:val="none" w:sz="0" w:space="0" w:color="auto"/>
                                        <w:right w:val="none" w:sz="0" w:space="0" w:color="auto"/>
                                      </w:divBdr>
                                    </w:div>
                                  </w:divsChild>
                                </w:div>
                                <w:div w:id="629357869">
                                  <w:marLeft w:val="0"/>
                                  <w:marRight w:val="0"/>
                                  <w:marTop w:val="0"/>
                                  <w:marBottom w:val="0"/>
                                  <w:divBdr>
                                    <w:top w:val="none" w:sz="0" w:space="0" w:color="auto"/>
                                    <w:left w:val="none" w:sz="0" w:space="0" w:color="auto"/>
                                    <w:bottom w:val="none" w:sz="0" w:space="0" w:color="auto"/>
                                    <w:right w:val="none" w:sz="0" w:space="0" w:color="auto"/>
                                  </w:divBdr>
                                  <w:divsChild>
                                    <w:div w:id="367921693">
                                      <w:marLeft w:val="0"/>
                                      <w:marRight w:val="0"/>
                                      <w:marTop w:val="120"/>
                                      <w:marBottom w:val="0"/>
                                      <w:divBdr>
                                        <w:top w:val="none" w:sz="0" w:space="0" w:color="auto"/>
                                        <w:left w:val="none" w:sz="0" w:space="0" w:color="auto"/>
                                        <w:bottom w:val="none" w:sz="0" w:space="0" w:color="auto"/>
                                        <w:right w:val="none" w:sz="0" w:space="0" w:color="auto"/>
                                      </w:divBdr>
                                    </w:div>
                                    <w:div w:id="132842504">
                                      <w:marLeft w:val="0"/>
                                      <w:marRight w:val="0"/>
                                      <w:marTop w:val="0"/>
                                      <w:marBottom w:val="0"/>
                                      <w:divBdr>
                                        <w:top w:val="none" w:sz="0" w:space="0" w:color="auto"/>
                                        <w:left w:val="none" w:sz="0" w:space="0" w:color="auto"/>
                                        <w:bottom w:val="none" w:sz="0" w:space="0" w:color="auto"/>
                                        <w:right w:val="none" w:sz="0" w:space="0" w:color="auto"/>
                                      </w:divBdr>
                                    </w:div>
                                  </w:divsChild>
                                </w:div>
                                <w:div w:id="1333681539">
                                  <w:marLeft w:val="0"/>
                                  <w:marRight w:val="0"/>
                                  <w:marTop w:val="0"/>
                                  <w:marBottom w:val="0"/>
                                  <w:divBdr>
                                    <w:top w:val="none" w:sz="0" w:space="0" w:color="auto"/>
                                    <w:left w:val="none" w:sz="0" w:space="0" w:color="auto"/>
                                    <w:bottom w:val="none" w:sz="0" w:space="0" w:color="auto"/>
                                    <w:right w:val="none" w:sz="0" w:space="0" w:color="auto"/>
                                  </w:divBdr>
                                  <w:divsChild>
                                    <w:div w:id="1857422793">
                                      <w:marLeft w:val="0"/>
                                      <w:marRight w:val="0"/>
                                      <w:marTop w:val="120"/>
                                      <w:marBottom w:val="0"/>
                                      <w:divBdr>
                                        <w:top w:val="none" w:sz="0" w:space="0" w:color="auto"/>
                                        <w:left w:val="none" w:sz="0" w:space="0" w:color="auto"/>
                                        <w:bottom w:val="none" w:sz="0" w:space="0" w:color="auto"/>
                                        <w:right w:val="none" w:sz="0" w:space="0" w:color="auto"/>
                                      </w:divBdr>
                                    </w:div>
                                    <w:div w:id="1790591306">
                                      <w:marLeft w:val="0"/>
                                      <w:marRight w:val="0"/>
                                      <w:marTop w:val="0"/>
                                      <w:marBottom w:val="0"/>
                                      <w:divBdr>
                                        <w:top w:val="none" w:sz="0" w:space="0" w:color="auto"/>
                                        <w:left w:val="none" w:sz="0" w:space="0" w:color="auto"/>
                                        <w:bottom w:val="none" w:sz="0" w:space="0" w:color="auto"/>
                                        <w:right w:val="none" w:sz="0" w:space="0" w:color="auto"/>
                                      </w:divBdr>
                                    </w:div>
                                  </w:divsChild>
                                </w:div>
                                <w:div w:id="944465506">
                                  <w:marLeft w:val="0"/>
                                  <w:marRight w:val="0"/>
                                  <w:marTop w:val="0"/>
                                  <w:marBottom w:val="0"/>
                                  <w:divBdr>
                                    <w:top w:val="none" w:sz="0" w:space="0" w:color="auto"/>
                                    <w:left w:val="none" w:sz="0" w:space="0" w:color="auto"/>
                                    <w:bottom w:val="none" w:sz="0" w:space="0" w:color="auto"/>
                                    <w:right w:val="none" w:sz="0" w:space="0" w:color="auto"/>
                                  </w:divBdr>
                                  <w:divsChild>
                                    <w:div w:id="2074770241">
                                      <w:marLeft w:val="0"/>
                                      <w:marRight w:val="0"/>
                                      <w:marTop w:val="120"/>
                                      <w:marBottom w:val="0"/>
                                      <w:divBdr>
                                        <w:top w:val="none" w:sz="0" w:space="0" w:color="auto"/>
                                        <w:left w:val="none" w:sz="0" w:space="0" w:color="auto"/>
                                        <w:bottom w:val="none" w:sz="0" w:space="0" w:color="auto"/>
                                        <w:right w:val="none" w:sz="0" w:space="0" w:color="auto"/>
                                      </w:divBdr>
                                    </w:div>
                                    <w:div w:id="1674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4482">
                          <w:marLeft w:val="0"/>
                          <w:marRight w:val="0"/>
                          <w:marTop w:val="0"/>
                          <w:marBottom w:val="0"/>
                          <w:divBdr>
                            <w:top w:val="none" w:sz="0" w:space="0" w:color="auto"/>
                            <w:left w:val="none" w:sz="0" w:space="0" w:color="auto"/>
                            <w:bottom w:val="none" w:sz="0" w:space="0" w:color="auto"/>
                            <w:right w:val="none" w:sz="0" w:space="0" w:color="auto"/>
                          </w:divBdr>
                          <w:divsChild>
                            <w:div w:id="533277372">
                              <w:marLeft w:val="0"/>
                              <w:marRight w:val="0"/>
                              <w:marTop w:val="0"/>
                              <w:marBottom w:val="0"/>
                              <w:divBdr>
                                <w:top w:val="none" w:sz="0" w:space="0" w:color="auto"/>
                                <w:left w:val="none" w:sz="0" w:space="0" w:color="auto"/>
                                <w:bottom w:val="none" w:sz="0" w:space="0" w:color="auto"/>
                                <w:right w:val="none" w:sz="0" w:space="0" w:color="auto"/>
                              </w:divBdr>
                            </w:div>
                          </w:divsChild>
                        </w:div>
                        <w:div w:id="1096049401">
                          <w:marLeft w:val="0"/>
                          <w:marRight w:val="0"/>
                          <w:marTop w:val="0"/>
                          <w:marBottom w:val="0"/>
                          <w:divBdr>
                            <w:top w:val="none" w:sz="0" w:space="0" w:color="auto"/>
                            <w:left w:val="none" w:sz="0" w:space="0" w:color="auto"/>
                            <w:bottom w:val="none" w:sz="0" w:space="0" w:color="auto"/>
                            <w:right w:val="none" w:sz="0" w:space="0" w:color="auto"/>
                          </w:divBdr>
                          <w:divsChild>
                            <w:div w:id="210308138">
                              <w:marLeft w:val="0"/>
                              <w:marRight w:val="0"/>
                              <w:marTop w:val="0"/>
                              <w:marBottom w:val="0"/>
                              <w:divBdr>
                                <w:top w:val="none" w:sz="0" w:space="0" w:color="auto"/>
                                <w:left w:val="none" w:sz="0" w:space="0" w:color="auto"/>
                                <w:bottom w:val="none" w:sz="0" w:space="0" w:color="auto"/>
                                <w:right w:val="none" w:sz="0" w:space="0" w:color="auto"/>
                              </w:divBdr>
                            </w:div>
                          </w:divsChild>
                        </w:div>
                        <w:div w:id="590089896">
                          <w:marLeft w:val="0"/>
                          <w:marRight w:val="0"/>
                          <w:marTop w:val="0"/>
                          <w:marBottom w:val="0"/>
                          <w:divBdr>
                            <w:top w:val="none" w:sz="0" w:space="0" w:color="auto"/>
                            <w:left w:val="none" w:sz="0" w:space="0" w:color="auto"/>
                            <w:bottom w:val="none" w:sz="0" w:space="0" w:color="auto"/>
                            <w:right w:val="none" w:sz="0" w:space="0" w:color="auto"/>
                          </w:divBdr>
                          <w:divsChild>
                            <w:div w:id="40641049">
                              <w:marLeft w:val="0"/>
                              <w:marRight w:val="0"/>
                              <w:marTop w:val="0"/>
                              <w:marBottom w:val="0"/>
                              <w:divBdr>
                                <w:top w:val="none" w:sz="0" w:space="0" w:color="auto"/>
                                <w:left w:val="none" w:sz="0" w:space="0" w:color="auto"/>
                                <w:bottom w:val="none" w:sz="0" w:space="0" w:color="auto"/>
                                <w:right w:val="none" w:sz="0" w:space="0" w:color="auto"/>
                              </w:divBdr>
                            </w:div>
                          </w:divsChild>
                        </w:div>
                        <w:div w:id="900557765">
                          <w:marLeft w:val="0"/>
                          <w:marRight w:val="0"/>
                          <w:marTop w:val="0"/>
                          <w:marBottom w:val="0"/>
                          <w:divBdr>
                            <w:top w:val="none" w:sz="0" w:space="0" w:color="auto"/>
                            <w:left w:val="none" w:sz="0" w:space="0" w:color="auto"/>
                            <w:bottom w:val="none" w:sz="0" w:space="0" w:color="auto"/>
                            <w:right w:val="none" w:sz="0" w:space="0" w:color="auto"/>
                          </w:divBdr>
                          <w:divsChild>
                            <w:div w:id="1466896440">
                              <w:marLeft w:val="0"/>
                              <w:marRight w:val="0"/>
                              <w:marTop w:val="120"/>
                              <w:marBottom w:val="0"/>
                              <w:divBdr>
                                <w:top w:val="none" w:sz="0" w:space="0" w:color="auto"/>
                                <w:left w:val="none" w:sz="0" w:space="0" w:color="auto"/>
                                <w:bottom w:val="none" w:sz="0" w:space="0" w:color="auto"/>
                                <w:right w:val="none" w:sz="0" w:space="0" w:color="auto"/>
                              </w:divBdr>
                            </w:div>
                            <w:div w:id="1408842714">
                              <w:marLeft w:val="0"/>
                              <w:marRight w:val="0"/>
                              <w:marTop w:val="0"/>
                              <w:marBottom w:val="0"/>
                              <w:divBdr>
                                <w:top w:val="none" w:sz="0" w:space="0" w:color="auto"/>
                                <w:left w:val="none" w:sz="0" w:space="0" w:color="auto"/>
                                <w:bottom w:val="none" w:sz="0" w:space="0" w:color="auto"/>
                                <w:right w:val="none" w:sz="0" w:space="0" w:color="auto"/>
                              </w:divBdr>
                            </w:div>
                          </w:divsChild>
                        </w:div>
                        <w:div w:id="1979602501">
                          <w:marLeft w:val="0"/>
                          <w:marRight w:val="0"/>
                          <w:marTop w:val="0"/>
                          <w:marBottom w:val="0"/>
                          <w:divBdr>
                            <w:top w:val="none" w:sz="0" w:space="0" w:color="auto"/>
                            <w:left w:val="none" w:sz="0" w:space="0" w:color="auto"/>
                            <w:bottom w:val="none" w:sz="0" w:space="0" w:color="auto"/>
                            <w:right w:val="none" w:sz="0" w:space="0" w:color="auto"/>
                          </w:divBdr>
                          <w:divsChild>
                            <w:div w:id="31851701">
                              <w:marLeft w:val="0"/>
                              <w:marRight w:val="0"/>
                              <w:marTop w:val="120"/>
                              <w:marBottom w:val="0"/>
                              <w:divBdr>
                                <w:top w:val="none" w:sz="0" w:space="0" w:color="auto"/>
                                <w:left w:val="none" w:sz="0" w:space="0" w:color="auto"/>
                                <w:bottom w:val="none" w:sz="0" w:space="0" w:color="auto"/>
                                <w:right w:val="none" w:sz="0" w:space="0" w:color="auto"/>
                              </w:divBdr>
                            </w:div>
                            <w:div w:id="1797678827">
                              <w:marLeft w:val="0"/>
                              <w:marRight w:val="0"/>
                              <w:marTop w:val="0"/>
                              <w:marBottom w:val="0"/>
                              <w:divBdr>
                                <w:top w:val="none" w:sz="0" w:space="0" w:color="auto"/>
                                <w:left w:val="none" w:sz="0" w:space="0" w:color="auto"/>
                                <w:bottom w:val="none" w:sz="0" w:space="0" w:color="auto"/>
                                <w:right w:val="none" w:sz="0" w:space="0" w:color="auto"/>
                              </w:divBdr>
                              <w:divsChild>
                                <w:div w:id="1843740431">
                                  <w:marLeft w:val="0"/>
                                  <w:marRight w:val="0"/>
                                  <w:marTop w:val="0"/>
                                  <w:marBottom w:val="0"/>
                                  <w:divBdr>
                                    <w:top w:val="none" w:sz="0" w:space="0" w:color="auto"/>
                                    <w:left w:val="none" w:sz="0" w:space="0" w:color="auto"/>
                                    <w:bottom w:val="none" w:sz="0" w:space="0" w:color="auto"/>
                                    <w:right w:val="none" w:sz="0" w:space="0" w:color="auto"/>
                                  </w:divBdr>
                                  <w:divsChild>
                                    <w:div w:id="339816219">
                                      <w:marLeft w:val="0"/>
                                      <w:marRight w:val="0"/>
                                      <w:marTop w:val="120"/>
                                      <w:marBottom w:val="0"/>
                                      <w:divBdr>
                                        <w:top w:val="none" w:sz="0" w:space="0" w:color="auto"/>
                                        <w:left w:val="none" w:sz="0" w:space="0" w:color="auto"/>
                                        <w:bottom w:val="none" w:sz="0" w:space="0" w:color="auto"/>
                                        <w:right w:val="none" w:sz="0" w:space="0" w:color="auto"/>
                                      </w:divBdr>
                                    </w:div>
                                    <w:div w:id="705712844">
                                      <w:marLeft w:val="0"/>
                                      <w:marRight w:val="0"/>
                                      <w:marTop w:val="0"/>
                                      <w:marBottom w:val="0"/>
                                      <w:divBdr>
                                        <w:top w:val="none" w:sz="0" w:space="0" w:color="auto"/>
                                        <w:left w:val="none" w:sz="0" w:space="0" w:color="auto"/>
                                        <w:bottom w:val="none" w:sz="0" w:space="0" w:color="auto"/>
                                        <w:right w:val="none" w:sz="0" w:space="0" w:color="auto"/>
                                      </w:divBdr>
                                    </w:div>
                                  </w:divsChild>
                                </w:div>
                                <w:div w:id="456030159">
                                  <w:marLeft w:val="0"/>
                                  <w:marRight w:val="0"/>
                                  <w:marTop w:val="0"/>
                                  <w:marBottom w:val="0"/>
                                  <w:divBdr>
                                    <w:top w:val="none" w:sz="0" w:space="0" w:color="auto"/>
                                    <w:left w:val="none" w:sz="0" w:space="0" w:color="auto"/>
                                    <w:bottom w:val="none" w:sz="0" w:space="0" w:color="auto"/>
                                    <w:right w:val="none" w:sz="0" w:space="0" w:color="auto"/>
                                  </w:divBdr>
                                  <w:divsChild>
                                    <w:div w:id="1199009389">
                                      <w:marLeft w:val="0"/>
                                      <w:marRight w:val="0"/>
                                      <w:marTop w:val="120"/>
                                      <w:marBottom w:val="0"/>
                                      <w:divBdr>
                                        <w:top w:val="none" w:sz="0" w:space="0" w:color="auto"/>
                                        <w:left w:val="none" w:sz="0" w:space="0" w:color="auto"/>
                                        <w:bottom w:val="none" w:sz="0" w:space="0" w:color="auto"/>
                                        <w:right w:val="none" w:sz="0" w:space="0" w:color="auto"/>
                                      </w:divBdr>
                                    </w:div>
                                    <w:div w:id="88047522">
                                      <w:marLeft w:val="0"/>
                                      <w:marRight w:val="0"/>
                                      <w:marTop w:val="0"/>
                                      <w:marBottom w:val="0"/>
                                      <w:divBdr>
                                        <w:top w:val="none" w:sz="0" w:space="0" w:color="auto"/>
                                        <w:left w:val="none" w:sz="0" w:space="0" w:color="auto"/>
                                        <w:bottom w:val="none" w:sz="0" w:space="0" w:color="auto"/>
                                        <w:right w:val="none" w:sz="0" w:space="0" w:color="auto"/>
                                      </w:divBdr>
                                    </w:div>
                                  </w:divsChild>
                                </w:div>
                                <w:div w:id="933971880">
                                  <w:marLeft w:val="0"/>
                                  <w:marRight w:val="0"/>
                                  <w:marTop w:val="0"/>
                                  <w:marBottom w:val="0"/>
                                  <w:divBdr>
                                    <w:top w:val="none" w:sz="0" w:space="0" w:color="auto"/>
                                    <w:left w:val="none" w:sz="0" w:space="0" w:color="auto"/>
                                    <w:bottom w:val="none" w:sz="0" w:space="0" w:color="auto"/>
                                    <w:right w:val="none" w:sz="0" w:space="0" w:color="auto"/>
                                  </w:divBdr>
                                  <w:divsChild>
                                    <w:div w:id="2039155345">
                                      <w:marLeft w:val="0"/>
                                      <w:marRight w:val="0"/>
                                      <w:marTop w:val="120"/>
                                      <w:marBottom w:val="0"/>
                                      <w:divBdr>
                                        <w:top w:val="none" w:sz="0" w:space="0" w:color="auto"/>
                                        <w:left w:val="none" w:sz="0" w:space="0" w:color="auto"/>
                                        <w:bottom w:val="none" w:sz="0" w:space="0" w:color="auto"/>
                                        <w:right w:val="none" w:sz="0" w:space="0" w:color="auto"/>
                                      </w:divBdr>
                                    </w:div>
                                    <w:div w:id="1966308993">
                                      <w:marLeft w:val="0"/>
                                      <w:marRight w:val="0"/>
                                      <w:marTop w:val="0"/>
                                      <w:marBottom w:val="0"/>
                                      <w:divBdr>
                                        <w:top w:val="none" w:sz="0" w:space="0" w:color="auto"/>
                                        <w:left w:val="none" w:sz="0" w:space="0" w:color="auto"/>
                                        <w:bottom w:val="none" w:sz="0" w:space="0" w:color="auto"/>
                                        <w:right w:val="none" w:sz="0" w:space="0" w:color="auto"/>
                                      </w:divBdr>
                                    </w:div>
                                  </w:divsChild>
                                </w:div>
                                <w:div w:id="1125734953">
                                  <w:marLeft w:val="0"/>
                                  <w:marRight w:val="0"/>
                                  <w:marTop w:val="0"/>
                                  <w:marBottom w:val="0"/>
                                  <w:divBdr>
                                    <w:top w:val="none" w:sz="0" w:space="0" w:color="auto"/>
                                    <w:left w:val="none" w:sz="0" w:space="0" w:color="auto"/>
                                    <w:bottom w:val="none" w:sz="0" w:space="0" w:color="auto"/>
                                    <w:right w:val="none" w:sz="0" w:space="0" w:color="auto"/>
                                  </w:divBdr>
                                  <w:divsChild>
                                    <w:div w:id="226576368">
                                      <w:marLeft w:val="0"/>
                                      <w:marRight w:val="0"/>
                                      <w:marTop w:val="120"/>
                                      <w:marBottom w:val="0"/>
                                      <w:divBdr>
                                        <w:top w:val="none" w:sz="0" w:space="0" w:color="auto"/>
                                        <w:left w:val="none" w:sz="0" w:space="0" w:color="auto"/>
                                        <w:bottom w:val="none" w:sz="0" w:space="0" w:color="auto"/>
                                        <w:right w:val="none" w:sz="0" w:space="0" w:color="auto"/>
                                      </w:divBdr>
                                    </w:div>
                                    <w:div w:id="16050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204">
                          <w:marLeft w:val="0"/>
                          <w:marRight w:val="0"/>
                          <w:marTop w:val="0"/>
                          <w:marBottom w:val="0"/>
                          <w:divBdr>
                            <w:top w:val="none" w:sz="0" w:space="0" w:color="auto"/>
                            <w:left w:val="none" w:sz="0" w:space="0" w:color="auto"/>
                            <w:bottom w:val="none" w:sz="0" w:space="0" w:color="auto"/>
                            <w:right w:val="none" w:sz="0" w:space="0" w:color="auto"/>
                          </w:divBdr>
                          <w:divsChild>
                            <w:div w:id="665402175">
                              <w:marLeft w:val="0"/>
                              <w:marRight w:val="0"/>
                              <w:marTop w:val="0"/>
                              <w:marBottom w:val="0"/>
                              <w:divBdr>
                                <w:top w:val="none" w:sz="0" w:space="0" w:color="auto"/>
                                <w:left w:val="none" w:sz="0" w:space="0" w:color="auto"/>
                                <w:bottom w:val="none" w:sz="0" w:space="0" w:color="auto"/>
                                <w:right w:val="none" w:sz="0" w:space="0" w:color="auto"/>
                              </w:divBdr>
                            </w:div>
                          </w:divsChild>
                        </w:div>
                        <w:div w:id="1316838128">
                          <w:marLeft w:val="0"/>
                          <w:marRight w:val="0"/>
                          <w:marTop w:val="0"/>
                          <w:marBottom w:val="0"/>
                          <w:divBdr>
                            <w:top w:val="none" w:sz="0" w:space="0" w:color="auto"/>
                            <w:left w:val="none" w:sz="0" w:space="0" w:color="auto"/>
                            <w:bottom w:val="none" w:sz="0" w:space="0" w:color="auto"/>
                            <w:right w:val="none" w:sz="0" w:space="0" w:color="auto"/>
                          </w:divBdr>
                          <w:divsChild>
                            <w:div w:id="829491276">
                              <w:marLeft w:val="0"/>
                              <w:marRight w:val="0"/>
                              <w:marTop w:val="120"/>
                              <w:marBottom w:val="0"/>
                              <w:divBdr>
                                <w:top w:val="none" w:sz="0" w:space="0" w:color="auto"/>
                                <w:left w:val="none" w:sz="0" w:space="0" w:color="auto"/>
                                <w:bottom w:val="none" w:sz="0" w:space="0" w:color="auto"/>
                                <w:right w:val="none" w:sz="0" w:space="0" w:color="auto"/>
                              </w:divBdr>
                            </w:div>
                            <w:div w:id="1671982246">
                              <w:marLeft w:val="0"/>
                              <w:marRight w:val="0"/>
                              <w:marTop w:val="0"/>
                              <w:marBottom w:val="0"/>
                              <w:divBdr>
                                <w:top w:val="none" w:sz="0" w:space="0" w:color="auto"/>
                                <w:left w:val="none" w:sz="0" w:space="0" w:color="auto"/>
                                <w:bottom w:val="none" w:sz="0" w:space="0" w:color="auto"/>
                                <w:right w:val="none" w:sz="0" w:space="0" w:color="auto"/>
                              </w:divBdr>
                            </w:div>
                          </w:divsChild>
                        </w:div>
                        <w:div w:id="2129737822">
                          <w:marLeft w:val="0"/>
                          <w:marRight w:val="0"/>
                          <w:marTop w:val="0"/>
                          <w:marBottom w:val="0"/>
                          <w:divBdr>
                            <w:top w:val="none" w:sz="0" w:space="0" w:color="auto"/>
                            <w:left w:val="none" w:sz="0" w:space="0" w:color="auto"/>
                            <w:bottom w:val="none" w:sz="0" w:space="0" w:color="auto"/>
                            <w:right w:val="none" w:sz="0" w:space="0" w:color="auto"/>
                          </w:divBdr>
                          <w:divsChild>
                            <w:div w:id="1581021783">
                              <w:marLeft w:val="0"/>
                              <w:marRight w:val="0"/>
                              <w:marTop w:val="120"/>
                              <w:marBottom w:val="0"/>
                              <w:divBdr>
                                <w:top w:val="none" w:sz="0" w:space="0" w:color="auto"/>
                                <w:left w:val="none" w:sz="0" w:space="0" w:color="auto"/>
                                <w:bottom w:val="none" w:sz="0" w:space="0" w:color="auto"/>
                                <w:right w:val="none" w:sz="0" w:space="0" w:color="auto"/>
                              </w:divBdr>
                            </w:div>
                            <w:div w:id="375810502">
                              <w:marLeft w:val="0"/>
                              <w:marRight w:val="0"/>
                              <w:marTop w:val="0"/>
                              <w:marBottom w:val="0"/>
                              <w:divBdr>
                                <w:top w:val="none" w:sz="0" w:space="0" w:color="auto"/>
                                <w:left w:val="none" w:sz="0" w:space="0" w:color="auto"/>
                                <w:bottom w:val="none" w:sz="0" w:space="0" w:color="auto"/>
                                <w:right w:val="none" w:sz="0" w:space="0" w:color="auto"/>
                              </w:divBdr>
                              <w:divsChild>
                                <w:div w:id="638073229">
                                  <w:marLeft w:val="0"/>
                                  <w:marRight w:val="0"/>
                                  <w:marTop w:val="0"/>
                                  <w:marBottom w:val="0"/>
                                  <w:divBdr>
                                    <w:top w:val="none" w:sz="0" w:space="0" w:color="auto"/>
                                    <w:left w:val="none" w:sz="0" w:space="0" w:color="auto"/>
                                    <w:bottom w:val="none" w:sz="0" w:space="0" w:color="auto"/>
                                    <w:right w:val="none" w:sz="0" w:space="0" w:color="auto"/>
                                  </w:divBdr>
                                  <w:divsChild>
                                    <w:div w:id="2030833681">
                                      <w:marLeft w:val="0"/>
                                      <w:marRight w:val="0"/>
                                      <w:marTop w:val="120"/>
                                      <w:marBottom w:val="0"/>
                                      <w:divBdr>
                                        <w:top w:val="none" w:sz="0" w:space="0" w:color="auto"/>
                                        <w:left w:val="none" w:sz="0" w:space="0" w:color="auto"/>
                                        <w:bottom w:val="none" w:sz="0" w:space="0" w:color="auto"/>
                                        <w:right w:val="none" w:sz="0" w:space="0" w:color="auto"/>
                                      </w:divBdr>
                                    </w:div>
                                    <w:div w:id="1584954498">
                                      <w:marLeft w:val="0"/>
                                      <w:marRight w:val="0"/>
                                      <w:marTop w:val="0"/>
                                      <w:marBottom w:val="0"/>
                                      <w:divBdr>
                                        <w:top w:val="none" w:sz="0" w:space="0" w:color="auto"/>
                                        <w:left w:val="none" w:sz="0" w:space="0" w:color="auto"/>
                                        <w:bottom w:val="none" w:sz="0" w:space="0" w:color="auto"/>
                                        <w:right w:val="none" w:sz="0" w:space="0" w:color="auto"/>
                                      </w:divBdr>
                                    </w:div>
                                  </w:divsChild>
                                </w:div>
                                <w:div w:id="2095853015">
                                  <w:marLeft w:val="0"/>
                                  <w:marRight w:val="0"/>
                                  <w:marTop w:val="0"/>
                                  <w:marBottom w:val="0"/>
                                  <w:divBdr>
                                    <w:top w:val="none" w:sz="0" w:space="0" w:color="auto"/>
                                    <w:left w:val="none" w:sz="0" w:space="0" w:color="auto"/>
                                    <w:bottom w:val="none" w:sz="0" w:space="0" w:color="auto"/>
                                    <w:right w:val="none" w:sz="0" w:space="0" w:color="auto"/>
                                  </w:divBdr>
                                  <w:divsChild>
                                    <w:div w:id="2125727061">
                                      <w:marLeft w:val="0"/>
                                      <w:marRight w:val="0"/>
                                      <w:marTop w:val="120"/>
                                      <w:marBottom w:val="0"/>
                                      <w:divBdr>
                                        <w:top w:val="none" w:sz="0" w:space="0" w:color="auto"/>
                                        <w:left w:val="none" w:sz="0" w:space="0" w:color="auto"/>
                                        <w:bottom w:val="none" w:sz="0" w:space="0" w:color="auto"/>
                                        <w:right w:val="none" w:sz="0" w:space="0" w:color="auto"/>
                                      </w:divBdr>
                                    </w:div>
                                    <w:div w:id="420418041">
                                      <w:marLeft w:val="0"/>
                                      <w:marRight w:val="0"/>
                                      <w:marTop w:val="0"/>
                                      <w:marBottom w:val="0"/>
                                      <w:divBdr>
                                        <w:top w:val="none" w:sz="0" w:space="0" w:color="auto"/>
                                        <w:left w:val="none" w:sz="0" w:space="0" w:color="auto"/>
                                        <w:bottom w:val="none" w:sz="0" w:space="0" w:color="auto"/>
                                        <w:right w:val="none" w:sz="0" w:space="0" w:color="auto"/>
                                      </w:divBdr>
                                    </w:div>
                                  </w:divsChild>
                                </w:div>
                                <w:div w:id="49037920">
                                  <w:marLeft w:val="0"/>
                                  <w:marRight w:val="0"/>
                                  <w:marTop w:val="0"/>
                                  <w:marBottom w:val="0"/>
                                  <w:divBdr>
                                    <w:top w:val="none" w:sz="0" w:space="0" w:color="auto"/>
                                    <w:left w:val="none" w:sz="0" w:space="0" w:color="auto"/>
                                    <w:bottom w:val="none" w:sz="0" w:space="0" w:color="auto"/>
                                    <w:right w:val="none" w:sz="0" w:space="0" w:color="auto"/>
                                  </w:divBdr>
                                  <w:divsChild>
                                    <w:div w:id="737367468">
                                      <w:marLeft w:val="0"/>
                                      <w:marRight w:val="0"/>
                                      <w:marTop w:val="120"/>
                                      <w:marBottom w:val="0"/>
                                      <w:divBdr>
                                        <w:top w:val="none" w:sz="0" w:space="0" w:color="auto"/>
                                        <w:left w:val="none" w:sz="0" w:space="0" w:color="auto"/>
                                        <w:bottom w:val="none" w:sz="0" w:space="0" w:color="auto"/>
                                        <w:right w:val="none" w:sz="0" w:space="0" w:color="auto"/>
                                      </w:divBdr>
                                    </w:div>
                                    <w:div w:id="1032994687">
                                      <w:marLeft w:val="0"/>
                                      <w:marRight w:val="0"/>
                                      <w:marTop w:val="0"/>
                                      <w:marBottom w:val="0"/>
                                      <w:divBdr>
                                        <w:top w:val="none" w:sz="0" w:space="0" w:color="auto"/>
                                        <w:left w:val="none" w:sz="0" w:space="0" w:color="auto"/>
                                        <w:bottom w:val="none" w:sz="0" w:space="0" w:color="auto"/>
                                        <w:right w:val="none" w:sz="0" w:space="0" w:color="auto"/>
                                      </w:divBdr>
                                    </w:div>
                                  </w:divsChild>
                                </w:div>
                                <w:div w:id="1897818530">
                                  <w:marLeft w:val="0"/>
                                  <w:marRight w:val="0"/>
                                  <w:marTop w:val="0"/>
                                  <w:marBottom w:val="0"/>
                                  <w:divBdr>
                                    <w:top w:val="none" w:sz="0" w:space="0" w:color="auto"/>
                                    <w:left w:val="none" w:sz="0" w:space="0" w:color="auto"/>
                                    <w:bottom w:val="none" w:sz="0" w:space="0" w:color="auto"/>
                                    <w:right w:val="none" w:sz="0" w:space="0" w:color="auto"/>
                                  </w:divBdr>
                                  <w:divsChild>
                                    <w:div w:id="85617731">
                                      <w:marLeft w:val="0"/>
                                      <w:marRight w:val="0"/>
                                      <w:marTop w:val="120"/>
                                      <w:marBottom w:val="0"/>
                                      <w:divBdr>
                                        <w:top w:val="none" w:sz="0" w:space="0" w:color="auto"/>
                                        <w:left w:val="none" w:sz="0" w:space="0" w:color="auto"/>
                                        <w:bottom w:val="none" w:sz="0" w:space="0" w:color="auto"/>
                                        <w:right w:val="none" w:sz="0" w:space="0" w:color="auto"/>
                                      </w:divBdr>
                                    </w:div>
                                    <w:div w:id="161220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4968">
                          <w:marLeft w:val="0"/>
                          <w:marRight w:val="0"/>
                          <w:marTop w:val="0"/>
                          <w:marBottom w:val="0"/>
                          <w:divBdr>
                            <w:top w:val="none" w:sz="0" w:space="0" w:color="auto"/>
                            <w:left w:val="none" w:sz="0" w:space="0" w:color="auto"/>
                            <w:bottom w:val="none" w:sz="0" w:space="0" w:color="auto"/>
                            <w:right w:val="none" w:sz="0" w:space="0" w:color="auto"/>
                          </w:divBdr>
                          <w:divsChild>
                            <w:div w:id="1394888857">
                              <w:marLeft w:val="0"/>
                              <w:marRight w:val="0"/>
                              <w:marTop w:val="0"/>
                              <w:marBottom w:val="0"/>
                              <w:divBdr>
                                <w:top w:val="none" w:sz="0" w:space="0" w:color="auto"/>
                                <w:left w:val="none" w:sz="0" w:space="0" w:color="auto"/>
                                <w:bottom w:val="none" w:sz="0" w:space="0" w:color="auto"/>
                                <w:right w:val="none" w:sz="0" w:space="0" w:color="auto"/>
                              </w:divBdr>
                              <w:divsChild>
                                <w:div w:id="1090813028">
                                  <w:marLeft w:val="0"/>
                                  <w:marRight w:val="0"/>
                                  <w:marTop w:val="0"/>
                                  <w:marBottom w:val="0"/>
                                  <w:divBdr>
                                    <w:top w:val="none" w:sz="0" w:space="0" w:color="auto"/>
                                    <w:left w:val="none" w:sz="0" w:space="0" w:color="auto"/>
                                    <w:bottom w:val="none" w:sz="0" w:space="0" w:color="auto"/>
                                    <w:right w:val="none" w:sz="0" w:space="0" w:color="auto"/>
                                  </w:divBdr>
                                  <w:divsChild>
                                    <w:div w:id="175383925">
                                      <w:marLeft w:val="0"/>
                                      <w:marRight w:val="0"/>
                                      <w:marTop w:val="120"/>
                                      <w:marBottom w:val="0"/>
                                      <w:divBdr>
                                        <w:top w:val="none" w:sz="0" w:space="0" w:color="auto"/>
                                        <w:left w:val="none" w:sz="0" w:space="0" w:color="auto"/>
                                        <w:bottom w:val="none" w:sz="0" w:space="0" w:color="auto"/>
                                        <w:right w:val="none" w:sz="0" w:space="0" w:color="auto"/>
                                      </w:divBdr>
                                    </w:div>
                                    <w:div w:id="207453755">
                                      <w:marLeft w:val="0"/>
                                      <w:marRight w:val="0"/>
                                      <w:marTop w:val="0"/>
                                      <w:marBottom w:val="0"/>
                                      <w:divBdr>
                                        <w:top w:val="none" w:sz="0" w:space="0" w:color="auto"/>
                                        <w:left w:val="none" w:sz="0" w:space="0" w:color="auto"/>
                                        <w:bottom w:val="none" w:sz="0" w:space="0" w:color="auto"/>
                                        <w:right w:val="none" w:sz="0" w:space="0" w:color="auto"/>
                                      </w:divBdr>
                                    </w:div>
                                  </w:divsChild>
                                </w:div>
                                <w:div w:id="996803362">
                                  <w:marLeft w:val="0"/>
                                  <w:marRight w:val="0"/>
                                  <w:marTop w:val="0"/>
                                  <w:marBottom w:val="0"/>
                                  <w:divBdr>
                                    <w:top w:val="none" w:sz="0" w:space="0" w:color="auto"/>
                                    <w:left w:val="none" w:sz="0" w:space="0" w:color="auto"/>
                                    <w:bottom w:val="none" w:sz="0" w:space="0" w:color="auto"/>
                                    <w:right w:val="none" w:sz="0" w:space="0" w:color="auto"/>
                                  </w:divBdr>
                                  <w:divsChild>
                                    <w:div w:id="664212924">
                                      <w:marLeft w:val="0"/>
                                      <w:marRight w:val="0"/>
                                      <w:marTop w:val="120"/>
                                      <w:marBottom w:val="0"/>
                                      <w:divBdr>
                                        <w:top w:val="none" w:sz="0" w:space="0" w:color="auto"/>
                                        <w:left w:val="none" w:sz="0" w:space="0" w:color="auto"/>
                                        <w:bottom w:val="none" w:sz="0" w:space="0" w:color="auto"/>
                                        <w:right w:val="none" w:sz="0" w:space="0" w:color="auto"/>
                                      </w:divBdr>
                                    </w:div>
                                    <w:div w:id="1756169294">
                                      <w:marLeft w:val="0"/>
                                      <w:marRight w:val="0"/>
                                      <w:marTop w:val="0"/>
                                      <w:marBottom w:val="0"/>
                                      <w:divBdr>
                                        <w:top w:val="none" w:sz="0" w:space="0" w:color="auto"/>
                                        <w:left w:val="none" w:sz="0" w:space="0" w:color="auto"/>
                                        <w:bottom w:val="none" w:sz="0" w:space="0" w:color="auto"/>
                                        <w:right w:val="none" w:sz="0" w:space="0" w:color="auto"/>
                                      </w:divBdr>
                                    </w:div>
                                  </w:divsChild>
                                </w:div>
                                <w:div w:id="945232793">
                                  <w:marLeft w:val="0"/>
                                  <w:marRight w:val="0"/>
                                  <w:marTop w:val="0"/>
                                  <w:marBottom w:val="0"/>
                                  <w:divBdr>
                                    <w:top w:val="none" w:sz="0" w:space="0" w:color="auto"/>
                                    <w:left w:val="none" w:sz="0" w:space="0" w:color="auto"/>
                                    <w:bottom w:val="none" w:sz="0" w:space="0" w:color="auto"/>
                                    <w:right w:val="none" w:sz="0" w:space="0" w:color="auto"/>
                                  </w:divBdr>
                                  <w:divsChild>
                                    <w:div w:id="803888355">
                                      <w:marLeft w:val="0"/>
                                      <w:marRight w:val="0"/>
                                      <w:marTop w:val="120"/>
                                      <w:marBottom w:val="0"/>
                                      <w:divBdr>
                                        <w:top w:val="none" w:sz="0" w:space="0" w:color="auto"/>
                                        <w:left w:val="none" w:sz="0" w:space="0" w:color="auto"/>
                                        <w:bottom w:val="none" w:sz="0" w:space="0" w:color="auto"/>
                                        <w:right w:val="none" w:sz="0" w:space="0" w:color="auto"/>
                                      </w:divBdr>
                                    </w:div>
                                    <w:div w:id="43136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56649">
                          <w:marLeft w:val="0"/>
                          <w:marRight w:val="0"/>
                          <w:marTop w:val="0"/>
                          <w:marBottom w:val="0"/>
                          <w:divBdr>
                            <w:top w:val="none" w:sz="0" w:space="0" w:color="auto"/>
                            <w:left w:val="none" w:sz="0" w:space="0" w:color="auto"/>
                            <w:bottom w:val="none" w:sz="0" w:space="0" w:color="auto"/>
                            <w:right w:val="none" w:sz="0" w:space="0" w:color="auto"/>
                          </w:divBdr>
                          <w:divsChild>
                            <w:div w:id="173207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664490">
                      <w:marLeft w:val="0"/>
                      <w:marRight w:val="0"/>
                      <w:marTop w:val="0"/>
                      <w:marBottom w:val="0"/>
                      <w:divBdr>
                        <w:top w:val="none" w:sz="0" w:space="0" w:color="auto"/>
                        <w:left w:val="none" w:sz="0" w:space="0" w:color="auto"/>
                        <w:bottom w:val="none" w:sz="0" w:space="0" w:color="auto"/>
                        <w:right w:val="none" w:sz="0" w:space="0" w:color="auto"/>
                      </w:divBdr>
                      <w:divsChild>
                        <w:div w:id="131558840">
                          <w:marLeft w:val="0"/>
                          <w:marRight w:val="0"/>
                          <w:marTop w:val="0"/>
                          <w:marBottom w:val="0"/>
                          <w:divBdr>
                            <w:top w:val="none" w:sz="0" w:space="0" w:color="auto"/>
                            <w:left w:val="none" w:sz="0" w:space="0" w:color="auto"/>
                            <w:bottom w:val="none" w:sz="0" w:space="0" w:color="auto"/>
                            <w:right w:val="none" w:sz="0" w:space="0" w:color="auto"/>
                          </w:divBdr>
                        </w:div>
                        <w:div w:id="1602488480">
                          <w:marLeft w:val="0"/>
                          <w:marRight w:val="0"/>
                          <w:marTop w:val="0"/>
                          <w:marBottom w:val="0"/>
                          <w:divBdr>
                            <w:top w:val="none" w:sz="0" w:space="0" w:color="auto"/>
                            <w:left w:val="none" w:sz="0" w:space="0" w:color="auto"/>
                            <w:bottom w:val="none" w:sz="0" w:space="0" w:color="auto"/>
                            <w:right w:val="none" w:sz="0" w:space="0" w:color="auto"/>
                          </w:divBdr>
                          <w:divsChild>
                            <w:div w:id="1224755065">
                              <w:marLeft w:val="0"/>
                              <w:marRight w:val="0"/>
                              <w:marTop w:val="120"/>
                              <w:marBottom w:val="0"/>
                              <w:divBdr>
                                <w:top w:val="none" w:sz="0" w:space="0" w:color="auto"/>
                                <w:left w:val="none" w:sz="0" w:space="0" w:color="auto"/>
                                <w:bottom w:val="none" w:sz="0" w:space="0" w:color="auto"/>
                                <w:right w:val="none" w:sz="0" w:space="0" w:color="auto"/>
                              </w:divBdr>
                            </w:div>
                            <w:div w:id="474178282">
                              <w:marLeft w:val="0"/>
                              <w:marRight w:val="0"/>
                              <w:marTop w:val="0"/>
                              <w:marBottom w:val="0"/>
                              <w:divBdr>
                                <w:top w:val="none" w:sz="0" w:space="0" w:color="auto"/>
                                <w:left w:val="none" w:sz="0" w:space="0" w:color="auto"/>
                                <w:bottom w:val="none" w:sz="0" w:space="0" w:color="auto"/>
                                <w:right w:val="none" w:sz="0" w:space="0" w:color="auto"/>
                              </w:divBdr>
                            </w:div>
                          </w:divsChild>
                        </w:div>
                        <w:div w:id="139809190">
                          <w:marLeft w:val="0"/>
                          <w:marRight w:val="0"/>
                          <w:marTop w:val="0"/>
                          <w:marBottom w:val="0"/>
                          <w:divBdr>
                            <w:top w:val="none" w:sz="0" w:space="0" w:color="auto"/>
                            <w:left w:val="none" w:sz="0" w:space="0" w:color="auto"/>
                            <w:bottom w:val="none" w:sz="0" w:space="0" w:color="auto"/>
                            <w:right w:val="none" w:sz="0" w:space="0" w:color="auto"/>
                          </w:divBdr>
                          <w:divsChild>
                            <w:div w:id="1854689274">
                              <w:marLeft w:val="0"/>
                              <w:marRight w:val="0"/>
                              <w:marTop w:val="120"/>
                              <w:marBottom w:val="0"/>
                              <w:divBdr>
                                <w:top w:val="none" w:sz="0" w:space="0" w:color="auto"/>
                                <w:left w:val="none" w:sz="0" w:space="0" w:color="auto"/>
                                <w:bottom w:val="none" w:sz="0" w:space="0" w:color="auto"/>
                                <w:right w:val="none" w:sz="0" w:space="0" w:color="auto"/>
                              </w:divBdr>
                            </w:div>
                            <w:div w:id="1173449235">
                              <w:marLeft w:val="0"/>
                              <w:marRight w:val="0"/>
                              <w:marTop w:val="0"/>
                              <w:marBottom w:val="0"/>
                              <w:divBdr>
                                <w:top w:val="none" w:sz="0" w:space="0" w:color="auto"/>
                                <w:left w:val="none" w:sz="0" w:space="0" w:color="auto"/>
                                <w:bottom w:val="none" w:sz="0" w:space="0" w:color="auto"/>
                                <w:right w:val="none" w:sz="0" w:space="0" w:color="auto"/>
                              </w:divBdr>
                            </w:div>
                          </w:divsChild>
                        </w:div>
                        <w:div w:id="738288676">
                          <w:marLeft w:val="0"/>
                          <w:marRight w:val="0"/>
                          <w:marTop w:val="0"/>
                          <w:marBottom w:val="0"/>
                          <w:divBdr>
                            <w:top w:val="none" w:sz="0" w:space="0" w:color="auto"/>
                            <w:left w:val="none" w:sz="0" w:space="0" w:color="auto"/>
                            <w:bottom w:val="none" w:sz="0" w:space="0" w:color="auto"/>
                            <w:right w:val="none" w:sz="0" w:space="0" w:color="auto"/>
                          </w:divBdr>
                          <w:divsChild>
                            <w:div w:id="1755737582">
                              <w:marLeft w:val="0"/>
                              <w:marRight w:val="0"/>
                              <w:marTop w:val="120"/>
                              <w:marBottom w:val="0"/>
                              <w:divBdr>
                                <w:top w:val="none" w:sz="0" w:space="0" w:color="auto"/>
                                <w:left w:val="none" w:sz="0" w:space="0" w:color="auto"/>
                                <w:bottom w:val="none" w:sz="0" w:space="0" w:color="auto"/>
                                <w:right w:val="none" w:sz="0" w:space="0" w:color="auto"/>
                              </w:divBdr>
                            </w:div>
                            <w:div w:id="1584145612">
                              <w:marLeft w:val="0"/>
                              <w:marRight w:val="0"/>
                              <w:marTop w:val="0"/>
                              <w:marBottom w:val="0"/>
                              <w:divBdr>
                                <w:top w:val="none" w:sz="0" w:space="0" w:color="auto"/>
                                <w:left w:val="none" w:sz="0" w:space="0" w:color="auto"/>
                                <w:bottom w:val="none" w:sz="0" w:space="0" w:color="auto"/>
                                <w:right w:val="none" w:sz="0" w:space="0" w:color="auto"/>
                              </w:divBdr>
                            </w:div>
                          </w:divsChild>
                        </w:div>
                        <w:div w:id="1810584005">
                          <w:marLeft w:val="0"/>
                          <w:marRight w:val="0"/>
                          <w:marTop w:val="0"/>
                          <w:marBottom w:val="0"/>
                          <w:divBdr>
                            <w:top w:val="none" w:sz="0" w:space="0" w:color="auto"/>
                            <w:left w:val="none" w:sz="0" w:space="0" w:color="auto"/>
                            <w:bottom w:val="none" w:sz="0" w:space="0" w:color="auto"/>
                            <w:right w:val="none" w:sz="0" w:space="0" w:color="auto"/>
                          </w:divBdr>
                          <w:divsChild>
                            <w:div w:id="1724283798">
                              <w:marLeft w:val="0"/>
                              <w:marRight w:val="0"/>
                              <w:marTop w:val="120"/>
                              <w:marBottom w:val="0"/>
                              <w:divBdr>
                                <w:top w:val="none" w:sz="0" w:space="0" w:color="auto"/>
                                <w:left w:val="none" w:sz="0" w:space="0" w:color="auto"/>
                                <w:bottom w:val="none" w:sz="0" w:space="0" w:color="auto"/>
                                <w:right w:val="none" w:sz="0" w:space="0" w:color="auto"/>
                              </w:divBdr>
                            </w:div>
                            <w:div w:id="1198393157">
                              <w:marLeft w:val="0"/>
                              <w:marRight w:val="0"/>
                              <w:marTop w:val="0"/>
                              <w:marBottom w:val="0"/>
                              <w:divBdr>
                                <w:top w:val="none" w:sz="0" w:space="0" w:color="auto"/>
                                <w:left w:val="none" w:sz="0" w:space="0" w:color="auto"/>
                                <w:bottom w:val="none" w:sz="0" w:space="0" w:color="auto"/>
                                <w:right w:val="none" w:sz="0" w:space="0" w:color="auto"/>
                              </w:divBdr>
                            </w:div>
                          </w:divsChild>
                        </w:div>
                        <w:div w:id="723719955">
                          <w:marLeft w:val="0"/>
                          <w:marRight w:val="0"/>
                          <w:marTop w:val="0"/>
                          <w:marBottom w:val="0"/>
                          <w:divBdr>
                            <w:top w:val="none" w:sz="0" w:space="0" w:color="auto"/>
                            <w:left w:val="none" w:sz="0" w:space="0" w:color="auto"/>
                            <w:bottom w:val="none" w:sz="0" w:space="0" w:color="auto"/>
                            <w:right w:val="none" w:sz="0" w:space="0" w:color="auto"/>
                          </w:divBdr>
                          <w:divsChild>
                            <w:div w:id="447165125">
                              <w:marLeft w:val="0"/>
                              <w:marRight w:val="0"/>
                              <w:marTop w:val="120"/>
                              <w:marBottom w:val="0"/>
                              <w:divBdr>
                                <w:top w:val="none" w:sz="0" w:space="0" w:color="auto"/>
                                <w:left w:val="none" w:sz="0" w:space="0" w:color="auto"/>
                                <w:bottom w:val="none" w:sz="0" w:space="0" w:color="auto"/>
                                <w:right w:val="none" w:sz="0" w:space="0" w:color="auto"/>
                              </w:divBdr>
                            </w:div>
                            <w:div w:id="1135679858">
                              <w:marLeft w:val="0"/>
                              <w:marRight w:val="0"/>
                              <w:marTop w:val="0"/>
                              <w:marBottom w:val="0"/>
                              <w:divBdr>
                                <w:top w:val="none" w:sz="0" w:space="0" w:color="auto"/>
                                <w:left w:val="none" w:sz="0" w:space="0" w:color="auto"/>
                                <w:bottom w:val="none" w:sz="0" w:space="0" w:color="auto"/>
                                <w:right w:val="none" w:sz="0" w:space="0" w:color="auto"/>
                              </w:divBdr>
                            </w:div>
                          </w:divsChild>
                        </w:div>
                        <w:div w:id="2076586838">
                          <w:marLeft w:val="0"/>
                          <w:marRight w:val="0"/>
                          <w:marTop w:val="0"/>
                          <w:marBottom w:val="0"/>
                          <w:divBdr>
                            <w:top w:val="none" w:sz="0" w:space="0" w:color="auto"/>
                            <w:left w:val="none" w:sz="0" w:space="0" w:color="auto"/>
                            <w:bottom w:val="none" w:sz="0" w:space="0" w:color="auto"/>
                            <w:right w:val="none" w:sz="0" w:space="0" w:color="auto"/>
                          </w:divBdr>
                          <w:divsChild>
                            <w:div w:id="814689556">
                              <w:marLeft w:val="0"/>
                              <w:marRight w:val="0"/>
                              <w:marTop w:val="120"/>
                              <w:marBottom w:val="0"/>
                              <w:divBdr>
                                <w:top w:val="none" w:sz="0" w:space="0" w:color="auto"/>
                                <w:left w:val="none" w:sz="0" w:space="0" w:color="auto"/>
                                <w:bottom w:val="none" w:sz="0" w:space="0" w:color="auto"/>
                                <w:right w:val="none" w:sz="0" w:space="0" w:color="auto"/>
                              </w:divBdr>
                            </w:div>
                            <w:div w:id="17669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15108">
                      <w:marLeft w:val="0"/>
                      <w:marRight w:val="0"/>
                      <w:marTop w:val="0"/>
                      <w:marBottom w:val="0"/>
                      <w:divBdr>
                        <w:top w:val="none" w:sz="0" w:space="0" w:color="auto"/>
                        <w:left w:val="none" w:sz="0" w:space="0" w:color="auto"/>
                        <w:bottom w:val="none" w:sz="0" w:space="0" w:color="auto"/>
                        <w:right w:val="none" w:sz="0" w:space="0" w:color="auto"/>
                      </w:divBdr>
                      <w:divsChild>
                        <w:div w:id="1549949795">
                          <w:marLeft w:val="0"/>
                          <w:marRight w:val="0"/>
                          <w:marTop w:val="0"/>
                          <w:marBottom w:val="0"/>
                          <w:divBdr>
                            <w:top w:val="none" w:sz="0" w:space="0" w:color="auto"/>
                            <w:left w:val="none" w:sz="0" w:space="0" w:color="auto"/>
                            <w:bottom w:val="none" w:sz="0" w:space="0" w:color="auto"/>
                            <w:right w:val="none" w:sz="0" w:space="0" w:color="auto"/>
                          </w:divBdr>
                        </w:div>
                        <w:div w:id="684481909">
                          <w:marLeft w:val="0"/>
                          <w:marRight w:val="0"/>
                          <w:marTop w:val="0"/>
                          <w:marBottom w:val="0"/>
                          <w:divBdr>
                            <w:top w:val="none" w:sz="0" w:space="0" w:color="auto"/>
                            <w:left w:val="none" w:sz="0" w:space="0" w:color="auto"/>
                            <w:bottom w:val="none" w:sz="0" w:space="0" w:color="auto"/>
                            <w:right w:val="none" w:sz="0" w:space="0" w:color="auto"/>
                          </w:divBdr>
                          <w:divsChild>
                            <w:div w:id="333461562">
                              <w:marLeft w:val="0"/>
                              <w:marRight w:val="0"/>
                              <w:marTop w:val="0"/>
                              <w:marBottom w:val="0"/>
                              <w:divBdr>
                                <w:top w:val="none" w:sz="0" w:space="0" w:color="auto"/>
                                <w:left w:val="none" w:sz="0" w:space="0" w:color="auto"/>
                                <w:bottom w:val="none" w:sz="0" w:space="0" w:color="auto"/>
                                <w:right w:val="none" w:sz="0" w:space="0" w:color="auto"/>
                              </w:divBdr>
                            </w:div>
                          </w:divsChild>
                        </w:div>
                        <w:div w:id="644120445">
                          <w:marLeft w:val="0"/>
                          <w:marRight w:val="0"/>
                          <w:marTop w:val="0"/>
                          <w:marBottom w:val="0"/>
                          <w:divBdr>
                            <w:top w:val="none" w:sz="0" w:space="0" w:color="auto"/>
                            <w:left w:val="none" w:sz="0" w:space="0" w:color="auto"/>
                            <w:bottom w:val="none" w:sz="0" w:space="0" w:color="auto"/>
                            <w:right w:val="none" w:sz="0" w:space="0" w:color="auto"/>
                          </w:divBdr>
                          <w:divsChild>
                            <w:div w:id="97524682">
                              <w:marLeft w:val="0"/>
                              <w:marRight w:val="0"/>
                              <w:marTop w:val="0"/>
                              <w:marBottom w:val="0"/>
                              <w:divBdr>
                                <w:top w:val="none" w:sz="0" w:space="0" w:color="auto"/>
                                <w:left w:val="none" w:sz="0" w:space="0" w:color="auto"/>
                                <w:bottom w:val="none" w:sz="0" w:space="0" w:color="auto"/>
                                <w:right w:val="none" w:sz="0" w:space="0" w:color="auto"/>
                              </w:divBdr>
                            </w:div>
                          </w:divsChild>
                        </w:div>
                        <w:div w:id="986318532">
                          <w:marLeft w:val="0"/>
                          <w:marRight w:val="0"/>
                          <w:marTop w:val="0"/>
                          <w:marBottom w:val="0"/>
                          <w:divBdr>
                            <w:top w:val="none" w:sz="0" w:space="0" w:color="auto"/>
                            <w:left w:val="none" w:sz="0" w:space="0" w:color="auto"/>
                            <w:bottom w:val="none" w:sz="0" w:space="0" w:color="auto"/>
                            <w:right w:val="none" w:sz="0" w:space="0" w:color="auto"/>
                          </w:divBdr>
                          <w:divsChild>
                            <w:div w:id="20711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17708">
                      <w:marLeft w:val="0"/>
                      <w:marRight w:val="0"/>
                      <w:marTop w:val="0"/>
                      <w:marBottom w:val="0"/>
                      <w:divBdr>
                        <w:top w:val="none" w:sz="0" w:space="0" w:color="auto"/>
                        <w:left w:val="none" w:sz="0" w:space="0" w:color="auto"/>
                        <w:bottom w:val="none" w:sz="0" w:space="0" w:color="auto"/>
                        <w:right w:val="none" w:sz="0" w:space="0" w:color="auto"/>
                      </w:divBdr>
                      <w:divsChild>
                        <w:div w:id="864833625">
                          <w:marLeft w:val="0"/>
                          <w:marRight w:val="0"/>
                          <w:marTop w:val="0"/>
                          <w:marBottom w:val="0"/>
                          <w:divBdr>
                            <w:top w:val="none" w:sz="0" w:space="0" w:color="auto"/>
                            <w:left w:val="none" w:sz="0" w:space="0" w:color="auto"/>
                            <w:bottom w:val="none" w:sz="0" w:space="0" w:color="auto"/>
                            <w:right w:val="none" w:sz="0" w:space="0" w:color="auto"/>
                          </w:divBdr>
                        </w:div>
                      </w:divsChild>
                    </w:div>
                    <w:div w:id="1374883449">
                      <w:marLeft w:val="0"/>
                      <w:marRight w:val="0"/>
                      <w:marTop w:val="0"/>
                      <w:marBottom w:val="0"/>
                      <w:divBdr>
                        <w:top w:val="none" w:sz="0" w:space="0" w:color="auto"/>
                        <w:left w:val="none" w:sz="0" w:space="0" w:color="auto"/>
                        <w:bottom w:val="none" w:sz="0" w:space="0" w:color="auto"/>
                        <w:right w:val="none" w:sz="0" w:space="0" w:color="auto"/>
                      </w:divBdr>
                      <w:divsChild>
                        <w:div w:id="110068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347935">
              <w:marLeft w:val="0"/>
              <w:marRight w:val="0"/>
              <w:marTop w:val="0"/>
              <w:marBottom w:val="0"/>
              <w:divBdr>
                <w:top w:val="none" w:sz="0" w:space="0" w:color="auto"/>
                <w:left w:val="none" w:sz="0" w:space="0" w:color="auto"/>
                <w:bottom w:val="none" w:sz="0" w:space="0" w:color="auto"/>
                <w:right w:val="none" w:sz="0" w:space="0" w:color="auto"/>
              </w:divBdr>
              <w:divsChild>
                <w:div w:id="1645424568">
                  <w:marLeft w:val="0"/>
                  <w:marRight w:val="0"/>
                  <w:marTop w:val="0"/>
                  <w:marBottom w:val="0"/>
                  <w:divBdr>
                    <w:top w:val="none" w:sz="0" w:space="0" w:color="auto"/>
                    <w:left w:val="none" w:sz="0" w:space="0" w:color="auto"/>
                    <w:bottom w:val="none" w:sz="0" w:space="0" w:color="auto"/>
                    <w:right w:val="none" w:sz="0" w:space="0" w:color="auto"/>
                  </w:divBdr>
                  <w:divsChild>
                    <w:div w:id="625891537">
                      <w:marLeft w:val="0"/>
                      <w:marRight w:val="0"/>
                      <w:marTop w:val="120"/>
                      <w:marBottom w:val="0"/>
                      <w:divBdr>
                        <w:top w:val="none" w:sz="0" w:space="0" w:color="auto"/>
                        <w:left w:val="none" w:sz="0" w:space="0" w:color="auto"/>
                        <w:bottom w:val="none" w:sz="0" w:space="0" w:color="auto"/>
                        <w:right w:val="none" w:sz="0" w:space="0" w:color="auto"/>
                      </w:divBdr>
                    </w:div>
                    <w:div w:id="2032030598">
                      <w:marLeft w:val="0"/>
                      <w:marRight w:val="0"/>
                      <w:marTop w:val="0"/>
                      <w:marBottom w:val="0"/>
                      <w:divBdr>
                        <w:top w:val="none" w:sz="0" w:space="0" w:color="auto"/>
                        <w:left w:val="none" w:sz="0" w:space="0" w:color="auto"/>
                        <w:bottom w:val="none" w:sz="0" w:space="0" w:color="auto"/>
                        <w:right w:val="none" w:sz="0" w:space="0" w:color="auto"/>
                      </w:divBdr>
                    </w:div>
                  </w:divsChild>
                </w:div>
                <w:div w:id="523322848">
                  <w:marLeft w:val="0"/>
                  <w:marRight w:val="0"/>
                  <w:marTop w:val="0"/>
                  <w:marBottom w:val="0"/>
                  <w:divBdr>
                    <w:top w:val="none" w:sz="0" w:space="0" w:color="auto"/>
                    <w:left w:val="none" w:sz="0" w:space="0" w:color="auto"/>
                    <w:bottom w:val="none" w:sz="0" w:space="0" w:color="auto"/>
                    <w:right w:val="none" w:sz="0" w:space="0" w:color="auto"/>
                  </w:divBdr>
                  <w:divsChild>
                    <w:div w:id="1283919198">
                      <w:marLeft w:val="0"/>
                      <w:marRight w:val="0"/>
                      <w:marTop w:val="120"/>
                      <w:marBottom w:val="0"/>
                      <w:divBdr>
                        <w:top w:val="none" w:sz="0" w:space="0" w:color="auto"/>
                        <w:left w:val="none" w:sz="0" w:space="0" w:color="auto"/>
                        <w:bottom w:val="none" w:sz="0" w:space="0" w:color="auto"/>
                        <w:right w:val="none" w:sz="0" w:space="0" w:color="auto"/>
                      </w:divBdr>
                    </w:div>
                    <w:div w:id="1538275740">
                      <w:marLeft w:val="0"/>
                      <w:marRight w:val="0"/>
                      <w:marTop w:val="0"/>
                      <w:marBottom w:val="0"/>
                      <w:divBdr>
                        <w:top w:val="none" w:sz="0" w:space="0" w:color="auto"/>
                        <w:left w:val="none" w:sz="0" w:space="0" w:color="auto"/>
                        <w:bottom w:val="none" w:sz="0" w:space="0" w:color="auto"/>
                        <w:right w:val="none" w:sz="0" w:space="0" w:color="auto"/>
                      </w:divBdr>
                    </w:div>
                  </w:divsChild>
                </w:div>
                <w:div w:id="837696719">
                  <w:marLeft w:val="0"/>
                  <w:marRight w:val="0"/>
                  <w:marTop w:val="0"/>
                  <w:marBottom w:val="0"/>
                  <w:divBdr>
                    <w:top w:val="none" w:sz="0" w:space="0" w:color="auto"/>
                    <w:left w:val="none" w:sz="0" w:space="0" w:color="auto"/>
                    <w:bottom w:val="none" w:sz="0" w:space="0" w:color="auto"/>
                    <w:right w:val="none" w:sz="0" w:space="0" w:color="auto"/>
                  </w:divBdr>
                  <w:divsChild>
                    <w:div w:id="971908398">
                      <w:marLeft w:val="0"/>
                      <w:marRight w:val="0"/>
                      <w:marTop w:val="120"/>
                      <w:marBottom w:val="0"/>
                      <w:divBdr>
                        <w:top w:val="none" w:sz="0" w:space="0" w:color="auto"/>
                        <w:left w:val="none" w:sz="0" w:space="0" w:color="auto"/>
                        <w:bottom w:val="none" w:sz="0" w:space="0" w:color="auto"/>
                        <w:right w:val="none" w:sz="0" w:space="0" w:color="auto"/>
                      </w:divBdr>
                    </w:div>
                    <w:div w:id="1865366710">
                      <w:marLeft w:val="0"/>
                      <w:marRight w:val="0"/>
                      <w:marTop w:val="0"/>
                      <w:marBottom w:val="0"/>
                      <w:divBdr>
                        <w:top w:val="none" w:sz="0" w:space="0" w:color="auto"/>
                        <w:left w:val="none" w:sz="0" w:space="0" w:color="auto"/>
                        <w:bottom w:val="none" w:sz="0" w:space="0" w:color="auto"/>
                        <w:right w:val="none" w:sz="0" w:space="0" w:color="auto"/>
                      </w:divBdr>
                    </w:div>
                  </w:divsChild>
                </w:div>
                <w:div w:id="2123914929">
                  <w:marLeft w:val="0"/>
                  <w:marRight w:val="0"/>
                  <w:marTop w:val="0"/>
                  <w:marBottom w:val="0"/>
                  <w:divBdr>
                    <w:top w:val="none" w:sz="0" w:space="0" w:color="auto"/>
                    <w:left w:val="none" w:sz="0" w:space="0" w:color="auto"/>
                    <w:bottom w:val="none" w:sz="0" w:space="0" w:color="auto"/>
                    <w:right w:val="none" w:sz="0" w:space="0" w:color="auto"/>
                  </w:divBdr>
                  <w:divsChild>
                    <w:div w:id="1636913582">
                      <w:marLeft w:val="0"/>
                      <w:marRight w:val="0"/>
                      <w:marTop w:val="120"/>
                      <w:marBottom w:val="0"/>
                      <w:divBdr>
                        <w:top w:val="none" w:sz="0" w:space="0" w:color="auto"/>
                        <w:left w:val="none" w:sz="0" w:space="0" w:color="auto"/>
                        <w:bottom w:val="none" w:sz="0" w:space="0" w:color="auto"/>
                        <w:right w:val="none" w:sz="0" w:space="0" w:color="auto"/>
                      </w:divBdr>
                    </w:div>
                    <w:div w:id="539588606">
                      <w:marLeft w:val="0"/>
                      <w:marRight w:val="0"/>
                      <w:marTop w:val="0"/>
                      <w:marBottom w:val="0"/>
                      <w:divBdr>
                        <w:top w:val="none" w:sz="0" w:space="0" w:color="auto"/>
                        <w:left w:val="none" w:sz="0" w:space="0" w:color="auto"/>
                        <w:bottom w:val="none" w:sz="0" w:space="0" w:color="auto"/>
                        <w:right w:val="none" w:sz="0" w:space="0" w:color="auto"/>
                      </w:divBdr>
                    </w:div>
                  </w:divsChild>
                </w:div>
                <w:div w:id="537812897">
                  <w:marLeft w:val="0"/>
                  <w:marRight w:val="0"/>
                  <w:marTop w:val="0"/>
                  <w:marBottom w:val="0"/>
                  <w:divBdr>
                    <w:top w:val="none" w:sz="0" w:space="0" w:color="auto"/>
                    <w:left w:val="none" w:sz="0" w:space="0" w:color="auto"/>
                    <w:bottom w:val="none" w:sz="0" w:space="0" w:color="auto"/>
                    <w:right w:val="none" w:sz="0" w:space="0" w:color="auto"/>
                  </w:divBdr>
                  <w:divsChild>
                    <w:div w:id="1072046340">
                      <w:marLeft w:val="0"/>
                      <w:marRight w:val="0"/>
                      <w:marTop w:val="120"/>
                      <w:marBottom w:val="0"/>
                      <w:divBdr>
                        <w:top w:val="none" w:sz="0" w:space="0" w:color="auto"/>
                        <w:left w:val="none" w:sz="0" w:space="0" w:color="auto"/>
                        <w:bottom w:val="none" w:sz="0" w:space="0" w:color="auto"/>
                        <w:right w:val="none" w:sz="0" w:space="0" w:color="auto"/>
                      </w:divBdr>
                    </w:div>
                    <w:div w:id="900561743">
                      <w:marLeft w:val="0"/>
                      <w:marRight w:val="0"/>
                      <w:marTop w:val="0"/>
                      <w:marBottom w:val="0"/>
                      <w:divBdr>
                        <w:top w:val="none" w:sz="0" w:space="0" w:color="auto"/>
                        <w:left w:val="none" w:sz="0" w:space="0" w:color="auto"/>
                        <w:bottom w:val="none" w:sz="0" w:space="0" w:color="auto"/>
                        <w:right w:val="none" w:sz="0" w:space="0" w:color="auto"/>
                      </w:divBdr>
                    </w:div>
                  </w:divsChild>
                </w:div>
                <w:div w:id="195702936">
                  <w:marLeft w:val="0"/>
                  <w:marRight w:val="0"/>
                  <w:marTop w:val="0"/>
                  <w:marBottom w:val="0"/>
                  <w:divBdr>
                    <w:top w:val="none" w:sz="0" w:space="0" w:color="auto"/>
                    <w:left w:val="none" w:sz="0" w:space="0" w:color="auto"/>
                    <w:bottom w:val="none" w:sz="0" w:space="0" w:color="auto"/>
                    <w:right w:val="none" w:sz="0" w:space="0" w:color="auto"/>
                  </w:divBdr>
                  <w:divsChild>
                    <w:div w:id="1096363854">
                      <w:marLeft w:val="0"/>
                      <w:marRight w:val="0"/>
                      <w:marTop w:val="120"/>
                      <w:marBottom w:val="0"/>
                      <w:divBdr>
                        <w:top w:val="none" w:sz="0" w:space="0" w:color="auto"/>
                        <w:left w:val="none" w:sz="0" w:space="0" w:color="auto"/>
                        <w:bottom w:val="none" w:sz="0" w:space="0" w:color="auto"/>
                        <w:right w:val="none" w:sz="0" w:space="0" w:color="auto"/>
                      </w:divBdr>
                    </w:div>
                    <w:div w:id="1593852019">
                      <w:marLeft w:val="0"/>
                      <w:marRight w:val="0"/>
                      <w:marTop w:val="0"/>
                      <w:marBottom w:val="0"/>
                      <w:divBdr>
                        <w:top w:val="none" w:sz="0" w:space="0" w:color="auto"/>
                        <w:left w:val="none" w:sz="0" w:space="0" w:color="auto"/>
                        <w:bottom w:val="none" w:sz="0" w:space="0" w:color="auto"/>
                        <w:right w:val="none" w:sz="0" w:space="0" w:color="auto"/>
                      </w:divBdr>
                    </w:div>
                  </w:divsChild>
                </w:div>
                <w:div w:id="1797019427">
                  <w:marLeft w:val="0"/>
                  <w:marRight w:val="0"/>
                  <w:marTop w:val="0"/>
                  <w:marBottom w:val="0"/>
                  <w:divBdr>
                    <w:top w:val="none" w:sz="0" w:space="0" w:color="auto"/>
                    <w:left w:val="none" w:sz="0" w:space="0" w:color="auto"/>
                    <w:bottom w:val="none" w:sz="0" w:space="0" w:color="auto"/>
                    <w:right w:val="none" w:sz="0" w:space="0" w:color="auto"/>
                  </w:divBdr>
                  <w:divsChild>
                    <w:div w:id="1114712355">
                      <w:marLeft w:val="0"/>
                      <w:marRight w:val="0"/>
                      <w:marTop w:val="120"/>
                      <w:marBottom w:val="0"/>
                      <w:divBdr>
                        <w:top w:val="none" w:sz="0" w:space="0" w:color="auto"/>
                        <w:left w:val="none" w:sz="0" w:space="0" w:color="auto"/>
                        <w:bottom w:val="none" w:sz="0" w:space="0" w:color="auto"/>
                        <w:right w:val="none" w:sz="0" w:space="0" w:color="auto"/>
                      </w:divBdr>
                    </w:div>
                    <w:div w:id="927274228">
                      <w:marLeft w:val="0"/>
                      <w:marRight w:val="0"/>
                      <w:marTop w:val="0"/>
                      <w:marBottom w:val="0"/>
                      <w:divBdr>
                        <w:top w:val="none" w:sz="0" w:space="0" w:color="auto"/>
                        <w:left w:val="none" w:sz="0" w:space="0" w:color="auto"/>
                        <w:bottom w:val="none" w:sz="0" w:space="0" w:color="auto"/>
                        <w:right w:val="none" w:sz="0" w:space="0" w:color="auto"/>
                      </w:divBdr>
                    </w:div>
                  </w:divsChild>
                </w:div>
                <w:div w:id="2054114017">
                  <w:marLeft w:val="0"/>
                  <w:marRight w:val="0"/>
                  <w:marTop w:val="0"/>
                  <w:marBottom w:val="0"/>
                  <w:divBdr>
                    <w:top w:val="none" w:sz="0" w:space="0" w:color="auto"/>
                    <w:left w:val="none" w:sz="0" w:space="0" w:color="auto"/>
                    <w:bottom w:val="none" w:sz="0" w:space="0" w:color="auto"/>
                    <w:right w:val="none" w:sz="0" w:space="0" w:color="auto"/>
                  </w:divBdr>
                  <w:divsChild>
                    <w:div w:id="1894349030">
                      <w:marLeft w:val="0"/>
                      <w:marRight w:val="0"/>
                      <w:marTop w:val="120"/>
                      <w:marBottom w:val="0"/>
                      <w:divBdr>
                        <w:top w:val="none" w:sz="0" w:space="0" w:color="auto"/>
                        <w:left w:val="none" w:sz="0" w:space="0" w:color="auto"/>
                        <w:bottom w:val="none" w:sz="0" w:space="0" w:color="auto"/>
                        <w:right w:val="none" w:sz="0" w:space="0" w:color="auto"/>
                      </w:divBdr>
                    </w:div>
                    <w:div w:id="970090049">
                      <w:marLeft w:val="0"/>
                      <w:marRight w:val="0"/>
                      <w:marTop w:val="0"/>
                      <w:marBottom w:val="0"/>
                      <w:divBdr>
                        <w:top w:val="none" w:sz="0" w:space="0" w:color="auto"/>
                        <w:left w:val="none" w:sz="0" w:space="0" w:color="auto"/>
                        <w:bottom w:val="none" w:sz="0" w:space="0" w:color="auto"/>
                        <w:right w:val="none" w:sz="0" w:space="0" w:color="auto"/>
                      </w:divBdr>
                    </w:div>
                  </w:divsChild>
                </w:div>
                <w:div w:id="629239183">
                  <w:marLeft w:val="0"/>
                  <w:marRight w:val="0"/>
                  <w:marTop w:val="0"/>
                  <w:marBottom w:val="0"/>
                  <w:divBdr>
                    <w:top w:val="none" w:sz="0" w:space="0" w:color="auto"/>
                    <w:left w:val="none" w:sz="0" w:space="0" w:color="auto"/>
                    <w:bottom w:val="none" w:sz="0" w:space="0" w:color="auto"/>
                    <w:right w:val="none" w:sz="0" w:space="0" w:color="auto"/>
                  </w:divBdr>
                  <w:divsChild>
                    <w:div w:id="755906629">
                      <w:marLeft w:val="0"/>
                      <w:marRight w:val="0"/>
                      <w:marTop w:val="120"/>
                      <w:marBottom w:val="0"/>
                      <w:divBdr>
                        <w:top w:val="none" w:sz="0" w:space="0" w:color="auto"/>
                        <w:left w:val="none" w:sz="0" w:space="0" w:color="auto"/>
                        <w:bottom w:val="none" w:sz="0" w:space="0" w:color="auto"/>
                        <w:right w:val="none" w:sz="0" w:space="0" w:color="auto"/>
                      </w:divBdr>
                    </w:div>
                    <w:div w:id="1174607931">
                      <w:marLeft w:val="0"/>
                      <w:marRight w:val="0"/>
                      <w:marTop w:val="0"/>
                      <w:marBottom w:val="0"/>
                      <w:divBdr>
                        <w:top w:val="none" w:sz="0" w:space="0" w:color="auto"/>
                        <w:left w:val="none" w:sz="0" w:space="0" w:color="auto"/>
                        <w:bottom w:val="none" w:sz="0" w:space="0" w:color="auto"/>
                        <w:right w:val="none" w:sz="0" w:space="0" w:color="auto"/>
                      </w:divBdr>
                    </w:div>
                  </w:divsChild>
                </w:div>
                <w:div w:id="462695260">
                  <w:marLeft w:val="0"/>
                  <w:marRight w:val="0"/>
                  <w:marTop w:val="0"/>
                  <w:marBottom w:val="0"/>
                  <w:divBdr>
                    <w:top w:val="none" w:sz="0" w:space="0" w:color="auto"/>
                    <w:left w:val="none" w:sz="0" w:space="0" w:color="auto"/>
                    <w:bottom w:val="none" w:sz="0" w:space="0" w:color="auto"/>
                    <w:right w:val="none" w:sz="0" w:space="0" w:color="auto"/>
                  </w:divBdr>
                  <w:divsChild>
                    <w:div w:id="530532054">
                      <w:marLeft w:val="0"/>
                      <w:marRight w:val="0"/>
                      <w:marTop w:val="120"/>
                      <w:marBottom w:val="0"/>
                      <w:divBdr>
                        <w:top w:val="none" w:sz="0" w:space="0" w:color="auto"/>
                        <w:left w:val="none" w:sz="0" w:space="0" w:color="auto"/>
                        <w:bottom w:val="none" w:sz="0" w:space="0" w:color="auto"/>
                        <w:right w:val="none" w:sz="0" w:space="0" w:color="auto"/>
                      </w:divBdr>
                    </w:div>
                    <w:div w:id="319843780">
                      <w:marLeft w:val="0"/>
                      <w:marRight w:val="0"/>
                      <w:marTop w:val="0"/>
                      <w:marBottom w:val="0"/>
                      <w:divBdr>
                        <w:top w:val="none" w:sz="0" w:space="0" w:color="auto"/>
                        <w:left w:val="none" w:sz="0" w:space="0" w:color="auto"/>
                        <w:bottom w:val="none" w:sz="0" w:space="0" w:color="auto"/>
                        <w:right w:val="none" w:sz="0" w:space="0" w:color="auto"/>
                      </w:divBdr>
                    </w:div>
                  </w:divsChild>
                </w:div>
                <w:div w:id="479923967">
                  <w:marLeft w:val="0"/>
                  <w:marRight w:val="0"/>
                  <w:marTop w:val="0"/>
                  <w:marBottom w:val="0"/>
                  <w:divBdr>
                    <w:top w:val="none" w:sz="0" w:space="0" w:color="auto"/>
                    <w:left w:val="none" w:sz="0" w:space="0" w:color="auto"/>
                    <w:bottom w:val="none" w:sz="0" w:space="0" w:color="auto"/>
                    <w:right w:val="none" w:sz="0" w:space="0" w:color="auto"/>
                  </w:divBdr>
                  <w:divsChild>
                    <w:div w:id="1892034773">
                      <w:marLeft w:val="0"/>
                      <w:marRight w:val="0"/>
                      <w:marTop w:val="120"/>
                      <w:marBottom w:val="0"/>
                      <w:divBdr>
                        <w:top w:val="none" w:sz="0" w:space="0" w:color="auto"/>
                        <w:left w:val="none" w:sz="0" w:space="0" w:color="auto"/>
                        <w:bottom w:val="none" w:sz="0" w:space="0" w:color="auto"/>
                        <w:right w:val="none" w:sz="0" w:space="0" w:color="auto"/>
                      </w:divBdr>
                    </w:div>
                    <w:div w:id="1961300253">
                      <w:marLeft w:val="0"/>
                      <w:marRight w:val="0"/>
                      <w:marTop w:val="0"/>
                      <w:marBottom w:val="0"/>
                      <w:divBdr>
                        <w:top w:val="none" w:sz="0" w:space="0" w:color="auto"/>
                        <w:left w:val="none" w:sz="0" w:space="0" w:color="auto"/>
                        <w:bottom w:val="none" w:sz="0" w:space="0" w:color="auto"/>
                        <w:right w:val="none" w:sz="0" w:space="0" w:color="auto"/>
                      </w:divBdr>
                    </w:div>
                  </w:divsChild>
                </w:div>
                <w:div w:id="2122218277">
                  <w:marLeft w:val="0"/>
                  <w:marRight w:val="0"/>
                  <w:marTop w:val="0"/>
                  <w:marBottom w:val="0"/>
                  <w:divBdr>
                    <w:top w:val="none" w:sz="0" w:space="0" w:color="auto"/>
                    <w:left w:val="none" w:sz="0" w:space="0" w:color="auto"/>
                    <w:bottom w:val="none" w:sz="0" w:space="0" w:color="auto"/>
                    <w:right w:val="none" w:sz="0" w:space="0" w:color="auto"/>
                  </w:divBdr>
                  <w:divsChild>
                    <w:div w:id="1603490224">
                      <w:marLeft w:val="0"/>
                      <w:marRight w:val="0"/>
                      <w:marTop w:val="120"/>
                      <w:marBottom w:val="0"/>
                      <w:divBdr>
                        <w:top w:val="none" w:sz="0" w:space="0" w:color="auto"/>
                        <w:left w:val="none" w:sz="0" w:space="0" w:color="auto"/>
                        <w:bottom w:val="none" w:sz="0" w:space="0" w:color="auto"/>
                        <w:right w:val="none" w:sz="0" w:space="0" w:color="auto"/>
                      </w:divBdr>
                    </w:div>
                    <w:div w:id="1915120387">
                      <w:marLeft w:val="0"/>
                      <w:marRight w:val="0"/>
                      <w:marTop w:val="0"/>
                      <w:marBottom w:val="0"/>
                      <w:divBdr>
                        <w:top w:val="none" w:sz="0" w:space="0" w:color="auto"/>
                        <w:left w:val="none" w:sz="0" w:space="0" w:color="auto"/>
                        <w:bottom w:val="none" w:sz="0" w:space="0" w:color="auto"/>
                        <w:right w:val="none" w:sz="0" w:space="0" w:color="auto"/>
                      </w:divBdr>
                    </w:div>
                  </w:divsChild>
                </w:div>
                <w:div w:id="764687392">
                  <w:marLeft w:val="0"/>
                  <w:marRight w:val="0"/>
                  <w:marTop w:val="0"/>
                  <w:marBottom w:val="0"/>
                  <w:divBdr>
                    <w:top w:val="none" w:sz="0" w:space="0" w:color="auto"/>
                    <w:left w:val="none" w:sz="0" w:space="0" w:color="auto"/>
                    <w:bottom w:val="none" w:sz="0" w:space="0" w:color="auto"/>
                    <w:right w:val="none" w:sz="0" w:space="0" w:color="auto"/>
                  </w:divBdr>
                  <w:divsChild>
                    <w:div w:id="1568150419">
                      <w:marLeft w:val="0"/>
                      <w:marRight w:val="0"/>
                      <w:marTop w:val="120"/>
                      <w:marBottom w:val="0"/>
                      <w:divBdr>
                        <w:top w:val="none" w:sz="0" w:space="0" w:color="auto"/>
                        <w:left w:val="none" w:sz="0" w:space="0" w:color="auto"/>
                        <w:bottom w:val="none" w:sz="0" w:space="0" w:color="auto"/>
                        <w:right w:val="none" w:sz="0" w:space="0" w:color="auto"/>
                      </w:divBdr>
                    </w:div>
                    <w:div w:id="26293766">
                      <w:marLeft w:val="0"/>
                      <w:marRight w:val="0"/>
                      <w:marTop w:val="0"/>
                      <w:marBottom w:val="0"/>
                      <w:divBdr>
                        <w:top w:val="none" w:sz="0" w:space="0" w:color="auto"/>
                        <w:left w:val="none" w:sz="0" w:space="0" w:color="auto"/>
                        <w:bottom w:val="none" w:sz="0" w:space="0" w:color="auto"/>
                        <w:right w:val="none" w:sz="0" w:space="0" w:color="auto"/>
                      </w:divBdr>
                    </w:div>
                  </w:divsChild>
                </w:div>
                <w:div w:id="381099445">
                  <w:marLeft w:val="0"/>
                  <w:marRight w:val="0"/>
                  <w:marTop w:val="0"/>
                  <w:marBottom w:val="0"/>
                  <w:divBdr>
                    <w:top w:val="none" w:sz="0" w:space="0" w:color="auto"/>
                    <w:left w:val="none" w:sz="0" w:space="0" w:color="auto"/>
                    <w:bottom w:val="none" w:sz="0" w:space="0" w:color="auto"/>
                    <w:right w:val="none" w:sz="0" w:space="0" w:color="auto"/>
                  </w:divBdr>
                  <w:divsChild>
                    <w:div w:id="1335231261">
                      <w:marLeft w:val="0"/>
                      <w:marRight w:val="0"/>
                      <w:marTop w:val="120"/>
                      <w:marBottom w:val="0"/>
                      <w:divBdr>
                        <w:top w:val="none" w:sz="0" w:space="0" w:color="auto"/>
                        <w:left w:val="none" w:sz="0" w:space="0" w:color="auto"/>
                        <w:bottom w:val="none" w:sz="0" w:space="0" w:color="auto"/>
                        <w:right w:val="none" w:sz="0" w:space="0" w:color="auto"/>
                      </w:divBdr>
                    </w:div>
                    <w:div w:id="1939948449">
                      <w:marLeft w:val="0"/>
                      <w:marRight w:val="0"/>
                      <w:marTop w:val="0"/>
                      <w:marBottom w:val="0"/>
                      <w:divBdr>
                        <w:top w:val="none" w:sz="0" w:space="0" w:color="auto"/>
                        <w:left w:val="none" w:sz="0" w:space="0" w:color="auto"/>
                        <w:bottom w:val="none" w:sz="0" w:space="0" w:color="auto"/>
                        <w:right w:val="none" w:sz="0" w:space="0" w:color="auto"/>
                      </w:divBdr>
                    </w:div>
                  </w:divsChild>
                </w:div>
                <w:div w:id="1696538801">
                  <w:marLeft w:val="0"/>
                  <w:marRight w:val="0"/>
                  <w:marTop w:val="0"/>
                  <w:marBottom w:val="0"/>
                  <w:divBdr>
                    <w:top w:val="none" w:sz="0" w:space="0" w:color="auto"/>
                    <w:left w:val="none" w:sz="0" w:space="0" w:color="auto"/>
                    <w:bottom w:val="none" w:sz="0" w:space="0" w:color="auto"/>
                    <w:right w:val="none" w:sz="0" w:space="0" w:color="auto"/>
                  </w:divBdr>
                  <w:divsChild>
                    <w:div w:id="774715073">
                      <w:marLeft w:val="0"/>
                      <w:marRight w:val="0"/>
                      <w:marTop w:val="120"/>
                      <w:marBottom w:val="0"/>
                      <w:divBdr>
                        <w:top w:val="none" w:sz="0" w:space="0" w:color="auto"/>
                        <w:left w:val="none" w:sz="0" w:space="0" w:color="auto"/>
                        <w:bottom w:val="none" w:sz="0" w:space="0" w:color="auto"/>
                        <w:right w:val="none" w:sz="0" w:space="0" w:color="auto"/>
                      </w:divBdr>
                    </w:div>
                    <w:div w:id="255599047">
                      <w:marLeft w:val="0"/>
                      <w:marRight w:val="0"/>
                      <w:marTop w:val="0"/>
                      <w:marBottom w:val="0"/>
                      <w:divBdr>
                        <w:top w:val="none" w:sz="0" w:space="0" w:color="auto"/>
                        <w:left w:val="none" w:sz="0" w:space="0" w:color="auto"/>
                        <w:bottom w:val="none" w:sz="0" w:space="0" w:color="auto"/>
                        <w:right w:val="none" w:sz="0" w:space="0" w:color="auto"/>
                      </w:divBdr>
                    </w:div>
                  </w:divsChild>
                </w:div>
                <w:div w:id="1564293218">
                  <w:marLeft w:val="0"/>
                  <w:marRight w:val="0"/>
                  <w:marTop w:val="0"/>
                  <w:marBottom w:val="0"/>
                  <w:divBdr>
                    <w:top w:val="none" w:sz="0" w:space="0" w:color="auto"/>
                    <w:left w:val="none" w:sz="0" w:space="0" w:color="auto"/>
                    <w:bottom w:val="none" w:sz="0" w:space="0" w:color="auto"/>
                    <w:right w:val="none" w:sz="0" w:space="0" w:color="auto"/>
                  </w:divBdr>
                  <w:divsChild>
                    <w:div w:id="701904431">
                      <w:marLeft w:val="0"/>
                      <w:marRight w:val="0"/>
                      <w:marTop w:val="120"/>
                      <w:marBottom w:val="0"/>
                      <w:divBdr>
                        <w:top w:val="none" w:sz="0" w:space="0" w:color="auto"/>
                        <w:left w:val="none" w:sz="0" w:space="0" w:color="auto"/>
                        <w:bottom w:val="none" w:sz="0" w:space="0" w:color="auto"/>
                        <w:right w:val="none" w:sz="0" w:space="0" w:color="auto"/>
                      </w:divBdr>
                    </w:div>
                    <w:div w:id="800225488">
                      <w:marLeft w:val="0"/>
                      <w:marRight w:val="0"/>
                      <w:marTop w:val="0"/>
                      <w:marBottom w:val="0"/>
                      <w:divBdr>
                        <w:top w:val="none" w:sz="0" w:space="0" w:color="auto"/>
                        <w:left w:val="none" w:sz="0" w:space="0" w:color="auto"/>
                        <w:bottom w:val="none" w:sz="0" w:space="0" w:color="auto"/>
                        <w:right w:val="none" w:sz="0" w:space="0" w:color="auto"/>
                      </w:divBdr>
                    </w:div>
                  </w:divsChild>
                </w:div>
                <w:div w:id="1099594447">
                  <w:marLeft w:val="0"/>
                  <w:marRight w:val="0"/>
                  <w:marTop w:val="0"/>
                  <w:marBottom w:val="0"/>
                  <w:divBdr>
                    <w:top w:val="none" w:sz="0" w:space="0" w:color="auto"/>
                    <w:left w:val="none" w:sz="0" w:space="0" w:color="auto"/>
                    <w:bottom w:val="none" w:sz="0" w:space="0" w:color="auto"/>
                    <w:right w:val="none" w:sz="0" w:space="0" w:color="auto"/>
                  </w:divBdr>
                  <w:divsChild>
                    <w:div w:id="257177614">
                      <w:marLeft w:val="0"/>
                      <w:marRight w:val="0"/>
                      <w:marTop w:val="120"/>
                      <w:marBottom w:val="0"/>
                      <w:divBdr>
                        <w:top w:val="none" w:sz="0" w:space="0" w:color="auto"/>
                        <w:left w:val="none" w:sz="0" w:space="0" w:color="auto"/>
                        <w:bottom w:val="none" w:sz="0" w:space="0" w:color="auto"/>
                        <w:right w:val="none" w:sz="0" w:space="0" w:color="auto"/>
                      </w:divBdr>
                    </w:div>
                    <w:div w:id="113449330">
                      <w:marLeft w:val="0"/>
                      <w:marRight w:val="0"/>
                      <w:marTop w:val="0"/>
                      <w:marBottom w:val="0"/>
                      <w:divBdr>
                        <w:top w:val="none" w:sz="0" w:space="0" w:color="auto"/>
                        <w:left w:val="none" w:sz="0" w:space="0" w:color="auto"/>
                        <w:bottom w:val="none" w:sz="0" w:space="0" w:color="auto"/>
                        <w:right w:val="none" w:sz="0" w:space="0" w:color="auto"/>
                      </w:divBdr>
                    </w:div>
                  </w:divsChild>
                </w:div>
                <w:div w:id="1619530505">
                  <w:marLeft w:val="0"/>
                  <w:marRight w:val="0"/>
                  <w:marTop w:val="0"/>
                  <w:marBottom w:val="0"/>
                  <w:divBdr>
                    <w:top w:val="none" w:sz="0" w:space="0" w:color="auto"/>
                    <w:left w:val="none" w:sz="0" w:space="0" w:color="auto"/>
                    <w:bottom w:val="none" w:sz="0" w:space="0" w:color="auto"/>
                    <w:right w:val="none" w:sz="0" w:space="0" w:color="auto"/>
                  </w:divBdr>
                  <w:divsChild>
                    <w:div w:id="49353590">
                      <w:marLeft w:val="0"/>
                      <w:marRight w:val="0"/>
                      <w:marTop w:val="120"/>
                      <w:marBottom w:val="0"/>
                      <w:divBdr>
                        <w:top w:val="none" w:sz="0" w:space="0" w:color="auto"/>
                        <w:left w:val="none" w:sz="0" w:space="0" w:color="auto"/>
                        <w:bottom w:val="none" w:sz="0" w:space="0" w:color="auto"/>
                        <w:right w:val="none" w:sz="0" w:space="0" w:color="auto"/>
                      </w:divBdr>
                    </w:div>
                    <w:div w:id="712269586">
                      <w:marLeft w:val="0"/>
                      <w:marRight w:val="0"/>
                      <w:marTop w:val="0"/>
                      <w:marBottom w:val="0"/>
                      <w:divBdr>
                        <w:top w:val="none" w:sz="0" w:space="0" w:color="auto"/>
                        <w:left w:val="none" w:sz="0" w:space="0" w:color="auto"/>
                        <w:bottom w:val="none" w:sz="0" w:space="0" w:color="auto"/>
                        <w:right w:val="none" w:sz="0" w:space="0" w:color="auto"/>
                      </w:divBdr>
                    </w:div>
                  </w:divsChild>
                </w:div>
                <w:div w:id="700087913">
                  <w:marLeft w:val="0"/>
                  <w:marRight w:val="0"/>
                  <w:marTop w:val="0"/>
                  <w:marBottom w:val="0"/>
                  <w:divBdr>
                    <w:top w:val="none" w:sz="0" w:space="0" w:color="auto"/>
                    <w:left w:val="none" w:sz="0" w:space="0" w:color="auto"/>
                    <w:bottom w:val="none" w:sz="0" w:space="0" w:color="auto"/>
                    <w:right w:val="none" w:sz="0" w:space="0" w:color="auto"/>
                  </w:divBdr>
                  <w:divsChild>
                    <w:div w:id="1448698715">
                      <w:marLeft w:val="0"/>
                      <w:marRight w:val="0"/>
                      <w:marTop w:val="120"/>
                      <w:marBottom w:val="0"/>
                      <w:divBdr>
                        <w:top w:val="none" w:sz="0" w:space="0" w:color="auto"/>
                        <w:left w:val="none" w:sz="0" w:space="0" w:color="auto"/>
                        <w:bottom w:val="none" w:sz="0" w:space="0" w:color="auto"/>
                        <w:right w:val="none" w:sz="0" w:space="0" w:color="auto"/>
                      </w:divBdr>
                    </w:div>
                    <w:div w:id="1352143914">
                      <w:marLeft w:val="0"/>
                      <w:marRight w:val="0"/>
                      <w:marTop w:val="0"/>
                      <w:marBottom w:val="0"/>
                      <w:divBdr>
                        <w:top w:val="none" w:sz="0" w:space="0" w:color="auto"/>
                        <w:left w:val="none" w:sz="0" w:space="0" w:color="auto"/>
                        <w:bottom w:val="none" w:sz="0" w:space="0" w:color="auto"/>
                        <w:right w:val="none" w:sz="0" w:space="0" w:color="auto"/>
                      </w:divBdr>
                    </w:div>
                  </w:divsChild>
                </w:div>
                <w:div w:id="269746712">
                  <w:marLeft w:val="0"/>
                  <w:marRight w:val="0"/>
                  <w:marTop w:val="0"/>
                  <w:marBottom w:val="0"/>
                  <w:divBdr>
                    <w:top w:val="none" w:sz="0" w:space="0" w:color="auto"/>
                    <w:left w:val="none" w:sz="0" w:space="0" w:color="auto"/>
                    <w:bottom w:val="none" w:sz="0" w:space="0" w:color="auto"/>
                    <w:right w:val="none" w:sz="0" w:space="0" w:color="auto"/>
                  </w:divBdr>
                  <w:divsChild>
                    <w:div w:id="586959150">
                      <w:marLeft w:val="0"/>
                      <w:marRight w:val="0"/>
                      <w:marTop w:val="120"/>
                      <w:marBottom w:val="0"/>
                      <w:divBdr>
                        <w:top w:val="none" w:sz="0" w:space="0" w:color="auto"/>
                        <w:left w:val="none" w:sz="0" w:space="0" w:color="auto"/>
                        <w:bottom w:val="none" w:sz="0" w:space="0" w:color="auto"/>
                        <w:right w:val="none" w:sz="0" w:space="0" w:color="auto"/>
                      </w:divBdr>
                    </w:div>
                    <w:div w:id="364334820">
                      <w:marLeft w:val="0"/>
                      <w:marRight w:val="0"/>
                      <w:marTop w:val="0"/>
                      <w:marBottom w:val="0"/>
                      <w:divBdr>
                        <w:top w:val="none" w:sz="0" w:space="0" w:color="auto"/>
                        <w:left w:val="none" w:sz="0" w:space="0" w:color="auto"/>
                        <w:bottom w:val="none" w:sz="0" w:space="0" w:color="auto"/>
                        <w:right w:val="none" w:sz="0" w:space="0" w:color="auto"/>
                      </w:divBdr>
                    </w:div>
                  </w:divsChild>
                </w:div>
                <w:div w:id="109518598">
                  <w:marLeft w:val="0"/>
                  <w:marRight w:val="0"/>
                  <w:marTop w:val="0"/>
                  <w:marBottom w:val="0"/>
                  <w:divBdr>
                    <w:top w:val="none" w:sz="0" w:space="0" w:color="auto"/>
                    <w:left w:val="none" w:sz="0" w:space="0" w:color="auto"/>
                    <w:bottom w:val="none" w:sz="0" w:space="0" w:color="auto"/>
                    <w:right w:val="none" w:sz="0" w:space="0" w:color="auto"/>
                  </w:divBdr>
                  <w:divsChild>
                    <w:div w:id="1294561389">
                      <w:marLeft w:val="0"/>
                      <w:marRight w:val="0"/>
                      <w:marTop w:val="120"/>
                      <w:marBottom w:val="0"/>
                      <w:divBdr>
                        <w:top w:val="none" w:sz="0" w:space="0" w:color="auto"/>
                        <w:left w:val="none" w:sz="0" w:space="0" w:color="auto"/>
                        <w:bottom w:val="none" w:sz="0" w:space="0" w:color="auto"/>
                        <w:right w:val="none" w:sz="0" w:space="0" w:color="auto"/>
                      </w:divBdr>
                    </w:div>
                    <w:div w:id="1095131773">
                      <w:marLeft w:val="0"/>
                      <w:marRight w:val="0"/>
                      <w:marTop w:val="0"/>
                      <w:marBottom w:val="0"/>
                      <w:divBdr>
                        <w:top w:val="none" w:sz="0" w:space="0" w:color="auto"/>
                        <w:left w:val="none" w:sz="0" w:space="0" w:color="auto"/>
                        <w:bottom w:val="none" w:sz="0" w:space="0" w:color="auto"/>
                        <w:right w:val="none" w:sz="0" w:space="0" w:color="auto"/>
                      </w:divBdr>
                    </w:div>
                  </w:divsChild>
                </w:div>
                <w:div w:id="622272168">
                  <w:marLeft w:val="0"/>
                  <w:marRight w:val="0"/>
                  <w:marTop w:val="0"/>
                  <w:marBottom w:val="0"/>
                  <w:divBdr>
                    <w:top w:val="none" w:sz="0" w:space="0" w:color="auto"/>
                    <w:left w:val="none" w:sz="0" w:space="0" w:color="auto"/>
                    <w:bottom w:val="none" w:sz="0" w:space="0" w:color="auto"/>
                    <w:right w:val="none" w:sz="0" w:space="0" w:color="auto"/>
                  </w:divBdr>
                  <w:divsChild>
                    <w:div w:id="1066680657">
                      <w:marLeft w:val="0"/>
                      <w:marRight w:val="0"/>
                      <w:marTop w:val="120"/>
                      <w:marBottom w:val="0"/>
                      <w:divBdr>
                        <w:top w:val="none" w:sz="0" w:space="0" w:color="auto"/>
                        <w:left w:val="none" w:sz="0" w:space="0" w:color="auto"/>
                        <w:bottom w:val="none" w:sz="0" w:space="0" w:color="auto"/>
                        <w:right w:val="none" w:sz="0" w:space="0" w:color="auto"/>
                      </w:divBdr>
                    </w:div>
                    <w:div w:id="1329401941">
                      <w:marLeft w:val="0"/>
                      <w:marRight w:val="0"/>
                      <w:marTop w:val="0"/>
                      <w:marBottom w:val="0"/>
                      <w:divBdr>
                        <w:top w:val="none" w:sz="0" w:space="0" w:color="auto"/>
                        <w:left w:val="none" w:sz="0" w:space="0" w:color="auto"/>
                        <w:bottom w:val="none" w:sz="0" w:space="0" w:color="auto"/>
                        <w:right w:val="none" w:sz="0" w:space="0" w:color="auto"/>
                      </w:divBdr>
                    </w:div>
                  </w:divsChild>
                </w:div>
                <w:div w:id="1909220898">
                  <w:marLeft w:val="0"/>
                  <w:marRight w:val="0"/>
                  <w:marTop w:val="0"/>
                  <w:marBottom w:val="0"/>
                  <w:divBdr>
                    <w:top w:val="none" w:sz="0" w:space="0" w:color="auto"/>
                    <w:left w:val="none" w:sz="0" w:space="0" w:color="auto"/>
                    <w:bottom w:val="none" w:sz="0" w:space="0" w:color="auto"/>
                    <w:right w:val="none" w:sz="0" w:space="0" w:color="auto"/>
                  </w:divBdr>
                  <w:divsChild>
                    <w:div w:id="667251974">
                      <w:marLeft w:val="0"/>
                      <w:marRight w:val="0"/>
                      <w:marTop w:val="120"/>
                      <w:marBottom w:val="0"/>
                      <w:divBdr>
                        <w:top w:val="none" w:sz="0" w:space="0" w:color="auto"/>
                        <w:left w:val="none" w:sz="0" w:space="0" w:color="auto"/>
                        <w:bottom w:val="none" w:sz="0" w:space="0" w:color="auto"/>
                        <w:right w:val="none" w:sz="0" w:space="0" w:color="auto"/>
                      </w:divBdr>
                    </w:div>
                    <w:div w:id="412822597">
                      <w:marLeft w:val="0"/>
                      <w:marRight w:val="0"/>
                      <w:marTop w:val="0"/>
                      <w:marBottom w:val="0"/>
                      <w:divBdr>
                        <w:top w:val="none" w:sz="0" w:space="0" w:color="auto"/>
                        <w:left w:val="none" w:sz="0" w:space="0" w:color="auto"/>
                        <w:bottom w:val="none" w:sz="0" w:space="0" w:color="auto"/>
                        <w:right w:val="none" w:sz="0" w:space="0" w:color="auto"/>
                      </w:divBdr>
                    </w:div>
                  </w:divsChild>
                </w:div>
                <w:div w:id="500121594">
                  <w:marLeft w:val="0"/>
                  <w:marRight w:val="0"/>
                  <w:marTop w:val="0"/>
                  <w:marBottom w:val="0"/>
                  <w:divBdr>
                    <w:top w:val="none" w:sz="0" w:space="0" w:color="auto"/>
                    <w:left w:val="none" w:sz="0" w:space="0" w:color="auto"/>
                    <w:bottom w:val="none" w:sz="0" w:space="0" w:color="auto"/>
                    <w:right w:val="none" w:sz="0" w:space="0" w:color="auto"/>
                  </w:divBdr>
                  <w:divsChild>
                    <w:div w:id="1014839232">
                      <w:marLeft w:val="0"/>
                      <w:marRight w:val="0"/>
                      <w:marTop w:val="120"/>
                      <w:marBottom w:val="0"/>
                      <w:divBdr>
                        <w:top w:val="none" w:sz="0" w:space="0" w:color="auto"/>
                        <w:left w:val="none" w:sz="0" w:space="0" w:color="auto"/>
                        <w:bottom w:val="none" w:sz="0" w:space="0" w:color="auto"/>
                        <w:right w:val="none" w:sz="0" w:space="0" w:color="auto"/>
                      </w:divBdr>
                    </w:div>
                    <w:div w:id="1351681315">
                      <w:marLeft w:val="0"/>
                      <w:marRight w:val="0"/>
                      <w:marTop w:val="0"/>
                      <w:marBottom w:val="0"/>
                      <w:divBdr>
                        <w:top w:val="none" w:sz="0" w:space="0" w:color="auto"/>
                        <w:left w:val="none" w:sz="0" w:space="0" w:color="auto"/>
                        <w:bottom w:val="none" w:sz="0" w:space="0" w:color="auto"/>
                        <w:right w:val="none" w:sz="0" w:space="0" w:color="auto"/>
                      </w:divBdr>
                    </w:div>
                  </w:divsChild>
                </w:div>
                <w:div w:id="1445034143">
                  <w:marLeft w:val="0"/>
                  <w:marRight w:val="0"/>
                  <w:marTop w:val="0"/>
                  <w:marBottom w:val="0"/>
                  <w:divBdr>
                    <w:top w:val="none" w:sz="0" w:space="0" w:color="auto"/>
                    <w:left w:val="none" w:sz="0" w:space="0" w:color="auto"/>
                    <w:bottom w:val="none" w:sz="0" w:space="0" w:color="auto"/>
                    <w:right w:val="none" w:sz="0" w:space="0" w:color="auto"/>
                  </w:divBdr>
                  <w:divsChild>
                    <w:div w:id="1939368615">
                      <w:marLeft w:val="0"/>
                      <w:marRight w:val="0"/>
                      <w:marTop w:val="120"/>
                      <w:marBottom w:val="0"/>
                      <w:divBdr>
                        <w:top w:val="none" w:sz="0" w:space="0" w:color="auto"/>
                        <w:left w:val="none" w:sz="0" w:space="0" w:color="auto"/>
                        <w:bottom w:val="none" w:sz="0" w:space="0" w:color="auto"/>
                        <w:right w:val="none" w:sz="0" w:space="0" w:color="auto"/>
                      </w:divBdr>
                    </w:div>
                    <w:div w:id="645428271">
                      <w:marLeft w:val="0"/>
                      <w:marRight w:val="0"/>
                      <w:marTop w:val="0"/>
                      <w:marBottom w:val="0"/>
                      <w:divBdr>
                        <w:top w:val="none" w:sz="0" w:space="0" w:color="auto"/>
                        <w:left w:val="none" w:sz="0" w:space="0" w:color="auto"/>
                        <w:bottom w:val="none" w:sz="0" w:space="0" w:color="auto"/>
                        <w:right w:val="none" w:sz="0" w:space="0" w:color="auto"/>
                      </w:divBdr>
                    </w:div>
                  </w:divsChild>
                </w:div>
                <w:div w:id="1653366165">
                  <w:marLeft w:val="0"/>
                  <w:marRight w:val="0"/>
                  <w:marTop w:val="0"/>
                  <w:marBottom w:val="0"/>
                  <w:divBdr>
                    <w:top w:val="none" w:sz="0" w:space="0" w:color="auto"/>
                    <w:left w:val="none" w:sz="0" w:space="0" w:color="auto"/>
                    <w:bottom w:val="none" w:sz="0" w:space="0" w:color="auto"/>
                    <w:right w:val="none" w:sz="0" w:space="0" w:color="auto"/>
                  </w:divBdr>
                  <w:divsChild>
                    <w:div w:id="647563328">
                      <w:marLeft w:val="0"/>
                      <w:marRight w:val="0"/>
                      <w:marTop w:val="120"/>
                      <w:marBottom w:val="0"/>
                      <w:divBdr>
                        <w:top w:val="none" w:sz="0" w:space="0" w:color="auto"/>
                        <w:left w:val="none" w:sz="0" w:space="0" w:color="auto"/>
                        <w:bottom w:val="none" w:sz="0" w:space="0" w:color="auto"/>
                        <w:right w:val="none" w:sz="0" w:space="0" w:color="auto"/>
                      </w:divBdr>
                    </w:div>
                    <w:div w:id="11153063">
                      <w:marLeft w:val="0"/>
                      <w:marRight w:val="0"/>
                      <w:marTop w:val="0"/>
                      <w:marBottom w:val="0"/>
                      <w:divBdr>
                        <w:top w:val="none" w:sz="0" w:space="0" w:color="auto"/>
                        <w:left w:val="none" w:sz="0" w:space="0" w:color="auto"/>
                        <w:bottom w:val="none" w:sz="0" w:space="0" w:color="auto"/>
                        <w:right w:val="none" w:sz="0" w:space="0" w:color="auto"/>
                      </w:divBdr>
                    </w:div>
                  </w:divsChild>
                </w:div>
                <w:div w:id="1970472817">
                  <w:marLeft w:val="0"/>
                  <w:marRight w:val="0"/>
                  <w:marTop w:val="0"/>
                  <w:marBottom w:val="0"/>
                  <w:divBdr>
                    <w:top w:val="none" w:sz="0" w:space="0" w:color="auto"/>
                    <w:left w:val="none" w:sz="0" w:space="0" w:color="auto"/>
                    <w:bottom w:val="none" w:sz="0" w:space="0" w:color="auto"/>
                    <w:right w:val="none" w:sz="0" w:space="0" w:color="auto"/>
                  </w:divBdr>
                  <w:divsChild>
                    <w:div w:id="954748069">
                      <w:marLeft w:val="0"/>
                      <w:marRight w:val="0"/>
                      <w:marTop w:val="120"/>
                      <w:marBottom w:val="0"/>
                      <w:divBdr>
                        <w:top w:val="none" w:sz="0" w:space="0" w:color="auto"/>
                        <w:left w:val="none" w:sz="0" w:space="0" w:color="auto"/>
                        <w:bottom w:val="none" w:sz="0" w:space="0" w:color="auto"/>
                        <w:right w:val="none" w:sz="0" w:space="0" w:color="auto"/>
                      </w:divBdr>
                    </w:div>
                    <w:div w:id="1730806323">
                      <w:marLeft w:val="0"/>
                      <w:marRight w:val="0"/>
                      <w:marTop w:val="0"/>
                      <w:marBottom w:val="0"/>
                      <w:divBdr>
                        <w:top w:val="none" w:sz="0" w:space="0" w:color="auto"/>
                        <w:left w:val="none" w:sz="0" w:space="0" w:color="auto"/>
                        <w:bottom w:val="none" w:sz="0" w:space="0" w:color="auto"/>
                        <w:right w:val="none" w:sz="0" w:space="0" w:color="auto"/>
                      </w:divBdr>
                    </w:div>
                  </w:divsChild>
                </w:div>
                <w:div w:id="108472604">
                  <w:marLeft w:val="0"/>
                  <w:marRight w:val="0"/>
                  <w:marTop w:val="0"/>
                  <w:marBottom w:val="0"/>
                  <w:divBdr>
                    <w:top w:val="none" w:sz="0" w:space="0" w:color="auto"/>
                    <w:left w:val="none" w:sz="0" w:space="0" w:color="auto"/>
                    <w:bottom w:val="none" w:sz="0" w:space="0" w:color="auto"/>
                    <w:right w:val="none" w:sz="0" w:space="0" w:color="auto"/>
                  </w:divBdr>
                  <w:divsChild>
                    <w:div w:id="14768814">
                      <w:marLeft w:val="0"/>
                      <w:marRight w:val="0"/>
                      <w:marTop w:val="120"/>
                      <w:marBottom w:val="0"/>
                      <w:divBdr>
                        <w:top w:val="none" w:sz="0" w:space="0" w:color="auto"/>
                        <w:left w:val="none" w:sz="0" w:space="0" w:color="auto"/>
                        <w:bottom w:val="none" w:sz="0" w:space="0" w:color="auto"/>
                        <w:right w:val="none" w:sz="0" w:space="0" w:color="auto"/>
                      </w:divBdr>
                    </w:div>
                    <w:div w:id="1444808027">
                      <w:marLeft w:val="0"/>
                      <w:marRight w:val="0"/>
                      <w:marTop w:val="0"/>
                      <w:marBottom w:val="0"/>
                      <w:divBdr>
                        <w:top w:val="none" w:sz="0" w:space="0" w:color="auto"/>
                        <w:left w:val="none" w:sz="0" w:space="0" w:color="auto"/>
                        <w:bottom w:val="none" w:sz="0" w:space="0" w:color="auto"/>
                        <w:right w:val="none" w:sz="0" w:space="0" w:color="auto"/>
                      </w:divBdr>
                    </w:div>
                  </w:divsChild>
                </w:div>
                <w:div w:id="2122414408">
                  <w:marLeft w:val="0"/>
                  <w:marRight w:val="0"/>
                  <w:marTop w:val="0"/>
                  <w:marBottom w:val="0"/>
                  <w:divBdr>
                    <w:top w:val="none" w:sz="0" w:space="0" w:color="auto"/>
                    <w:left w:val="none" w:sz="0" w:space="0" w:color="auto"/>
                    <w:bottom w:val="none" w:sz="0" w:space="0" w:color="auto"/>
                    <w:right w:val="none" w:sz="0" w:space="0" w:color="auto"/>
                  </w:divBdr>
                  <w:divsChild>
                    <w:div w:id="603419721">
                      <w:marLeft w:val="0"/>
                      <w:marRight w:val="0"/>
                      <w:marTop w:val="120"/>
                      <w:marBottom w:val="0"/>
                      <w:divBdr>
                        <w:top w:val="none" w:sz="0" w:space="0" w:color="auto"/>
                        <w:left w:val="none" w:sz="0" w:space="0" w:color="auto"/>
                        <w:bottom w:val="none" w:sz="0" w:space="0" w:color="auto"/>
                        <w:right w:val="none" w:sz="0" w:space="0" w:color="auto"/>
                      </w:divBdr>
                    </w:div>
                    <w:div w:id="1279676972">
                      <w:marLeft w:val="0"/>
                      <w:marRight w:val="0"/>
                      <w:marTop w:val="0"/>
                      <w:marBottom w:val="0"/>
                      <w:divBdr>
                        <w:top w:val="none" w:sz="0" w:space="0" w:color="auto"/>
                        <w:left w:val="none" w:sz="0" w:space="0" w:color="auto"/>
                        <w:bottom w:val="none" w:sz="0" w:space="0" w:color="auto"/>
                        <w:right w:val="none" w:sz="0" w:space="0" w:color="auto"/>
                      </w:divBdr>
                    </w:div>
                  </w:divsChild>
                </w:div>
                <w:div w:id="293219122">
                  <w:marLeft w:val="0"/>
                  <w:marRight w:val="0"/>
                  <w:marTop w:val="0"/>
                  <w:marBottom w:val="0"/>
                  <w:divBdr>
                    <w:top w:val="none" w:sz="0" w:space="0" w:color="auto"/>
                    <w:left w:val="none" w:sz="0" w:space="0" w:color="auto"/>
                    <w:bottom w:val="none" w:sz="0" w:space="0" w:color="auto"/>
                    <w:right w:val="none" w:sz="0" w:space="0" w:color="auto"/>
                  </w:divBdr>
                  <w:divsChild>
                    <w:div w:id="1984919888">
                      <w:marLeft w:val="0"/>
                      <w:marRight w:val="0"/>
                      <w:marTop w:val="120"/>
                      <w:marBottom w:val="0"/>
                      <w:divBdr>
                        <w:top w:val="none" w:sz="0" w:space="0" w:color="auto"/>
                        <w:left w:val="none" w:sz="0" w:space="0" w:color="auto"/>
                        <w:bottom w:val="none" w:sz="0" w:space="0" w:color="auto"/>
                        <w:right w:val="none" w:sz="0" w:space="0" w:color="auto"/>
                      </w:divBdr>
                    </w:div>
                    <w:div w:id="659431520">
                      <w:marLeft w:val="0"/>
                      <w:marRight w:val="0"/>
                      <w:marTop w:val="0"/>
                      <w:marBottom w:val="0"/>
                      <w:divBdr>
                        <w:top w:val="none" w:sz="0" w:space="0" w:color="auto"/>
                        <w:left w:val="none" w:sz="0" w:space="0" w:color="auto"/>
                        <w:bottom w:val="none" w:sz="0" w:space="0" w:color="auto"/>
                        <w:right w:val="none" w:sz="0" w:space="0" w:color="auto"/>
                      </w:divBdr>
                    </w:div>
                  </w:divsChild>
                </w:div>
                <w:div w:id="827209620">
                  <w:marLeft w:val="0"/>
                  <w:marRight w:val="0"/>
                  <w:marTop w:val="0"/>
                  <w:marBottom w:val="0"/>
                  <w:divBdr>
                    <w:top w:val="none" w:sz="0" w:space="0" w:color="auto"/>
                    <w:left w:val="none" w:sz="0" w:space="0" w:color="auto"/>
                    <w:bottom w:val="none" w:sz="0" w:space="0" w:color="auto"/>
                    <w:right w:val="none" w:sz="0" w:space="0" w:color="auto"/>
                  </w:divBdr>
                  <w:divsChild>
                    <w:div w:id="961155898">
                      <w:marLeft w:val="0"/>
                      <w:marRight w:val="0"/>
                      <w:marTop w:val="120"/>
                      <w:marBottom w:val="0"/>
                      <w:divBdr>
                        <w:top w:val="none" w:sz="0" w:space="0" w:color="auto"/>
                        <w:left w:val="none" w:sz="0" w:space="0" w:color="auto"/>
                        <w:bottom w:val="none" w:sz="0" w:space="0" w:color="auto"/>
                        <w:right w:val="none" w:sz="0" w:space="0" w:color="auto"/>
                      </w:divBdr>
                    </w:div>
                    <w:div w:id="597910930">
                      <w:marLeft w:val="0"/>
                      <w:marRight w:val="0"/>
                      <w:marTop w:val="0"/>
                      <w:marBottom w:val="0"/>
                      <w:divBdr>
                        <w:top w:val="none" w:sz="0" w:space="0" w:color="auto"/>
                        <w:left w:val="none" w:sz="0" w:space="0" w:color="auto"/>
                        <w:bottom w:val="none" w:sz="0" w:space="0" w:color="auto"/>
                        <w:right w:val="none" w:sz="0" w:space="0" w:color="auto"/>
                      </w:divBdr>
                    </w:div>
                  </w:divsChild>
                </w:div>
                <w:div w:id="234049687">
                  <w:marLeft w:val="0"/>
                  <w:marRight w:val="0"/>
                  <w:marTop w:val="0"/>
                  <w:marBottom w:val="0"/>
                  <w:divBdr>
                    <w:top w:val="none" w:sz="0" w:space="0" w:color="auto"/>
                    <w:left w:val="none" w:sz="0" w:space="0" w:color="auto"/>
                    <w:bottom w:val="none" w:sz="0" w:space="0" w:color="auto"/>
                    <w:right w:val="none" w:sz="0" w:space="0" w:color="auto"/>
                  </w:divBdr>
                  <w:divsChild>
                    <w:div w:id="1128471465">
                      <w:marLeft w:val="0"/>
                      <w:marRight w:val="0"/>
                      <w:marTop w:val="120"/>
                      <w:marBottom w:val="0"/>
                      <w:divBdr>
                        <w:top w:val="none" w:sz="0" w:space="0" w:color="auto"/>
                        <w:left w:val="none" w:sz="0" w:space="0" w:color="auto"/>
                        <w:bottom w:val="none" w:sz="0" w:space="0" w:color="auto"/>
                        <w:right w:val="none" w:sz="0" w:space="0" w:color="auto"/>
                      </w:divBdr>
                    </w:div>
                    <w:div w:id="1141769183">
                      <w:marLeft w:val="0"/>
                      <w:marRight w:val="0"/>
                      <w:marTop w:val="0"/>
                      <w:marBottom w:val="0"/>
                      <w:divBdr>
                        <w:top w:val="none" w:sz="0" w:space="0" w:color="auto"/>
                        <w:left w:val="none" w:sz="0" w:space="0" w:color="auto"/>
                        <w:bottom w:val="none" w:sz="0" w:space="0" w:color="auto"/>
                        <w:right w:val="none" w:sz="0" w:space="0" w:color="auto"/>
                      </w:divBdr>
                    </w:div>
                  </w:divsChild>
                </w:div>
                <w:div w:id="422068467">
                  <w:marLeft w:val="0"/>
                  <w:marRight w:val="0"/>
                  <w:marTop w:val="0"/>
                  <w:marBottom w:val="0"/>
                  <w:divBdr>
                    <w:top w:val="none" w:sz="0" w:space="0" w:color="auto"/>
                    <w:left w:val="none" w:sz="0" w:space="0" w:color="auto"/>
                    <w:bottom w:val="none" w:sz="0" w:space="0" w:color="auto"/>
                    <w:right w:val="none" w:sz="0" w:space="0" w:color="auto"/>
                  </w:divBdr>
                  <w:divsChild>
                    <w:div w:id="1300572465">
                      <w:marLeft w:val="0"/>
                      <w:marRight w:val="0"/>
                      <w:marTop w:val="120"/>
                      <w:marBottom w:val="0"/>
                      <w:divBdr>
                        <w:top w:val="none" w:sz="0" w:space="0" w:color="auto"/>
                        <w:left w:val="none" w:sz="0" w:space="0" w:color="auto"/>
                        <w:bottom w:val="none" w:sz="0" w:space="0" w:color="auto"/>
                        <w:right w:val="none" w:sz="0" w:space="0" w:color="auto"/>
                      </w:divBdr>
                    </w:div>
                    <w:div w:id="1573657025">
                      <w:marLeft w:val="0"/>
                      <w:marRight w:val="0"/>
                      <w:marTop w:val="0"/>
                      <w:marBottom w:val="0"/>
                      <w:divBdr>
                        <w:top w:val="none" w:sz="0" w:space="0" w:color="auto"/>
                        <w:left w:val="none" w:sz="0" w:space="0" w:color="auto"/>
                        <w:bottom w:val="none" w:sz="0" w:space="0" w:color="auto"/>
                        <w:right w:val="none" w:sz="0" w:space="0" w:color="auto"/>
                      </w:divBdr>
                    </w:div>
                  </w:divsChild>
                </w:div>
                <w:div w:id="823397897">
                  <w:marLeft w:val="0"/>
                  <w:marRight w:val="0"/>
                  <w:marTop w:val="0"/>
                  <w:marBottom w:val="0"/>
                  <w:divBdr>
                    <w:top w:val="none" w:sz="0" w:space="0" w:color="auto"/>
                    <w:left w:val="none" w:sz="0" w:space="0" w:color="auto"/>
                    <w:bottom w:val="none" w:sz="0" w:space="0" w:color="auto"/>
                    <w:right w:val="none" w:sz="0" w:space="0" w:color="auto"/>
                  </w:divBdr>
                  <w:divsChild>
                    <w:div w:id="1438479580">
                      <w:marLeft w:val="0"/>
                      <w:marRight w:val="0"/>
                      <w:marTop w:val="120"/>
                      <w:marBottom w:val="0"/>
                      <w:divBdr>
                        <w:top w:val="none" w:sz="0" w:space="0" w:color="auto"/>
                        <w:left w:val="none" w:sz="0" w:space="0" w:color="auto"/>
                        <w:bottom w:val="none" w:sz="0" w:space="0" w:color="auto"/>
                        <w:right w:val="none" w:sz="0" w:space="0" w:color="auto"/>
                      </w:divBdr>
                    </w:div>
                    <w:div w:id="1157266445">
                      <w:marLeft w:val="0"/>
                      <w:marRight w:val="0"/>
                      <w:marTop w:val="0"/>
                      <w:marBottom w:val="0"/>
                      <w:divBdr>
                        <w:top w:val="none" w:sz="0" w:space="0" w:color="auto"/>
                        <w:left w:val="none" w:sz="0" w:space="0" w:color="auto"/>
                        <w:bottom w:val="none" w:sz="0" w:space="0" w:color="auto"/>
                        <w:right w:val="none" w:sz="0" w:space="0" w:color="auto"/>
                      </w:divBdr>
                    </w:div>
                  </w:divsChild>
                </w:div>
                <w:div w:id="1608804966">
                  <w:marLeft w:val="0"/>
                  <w:marRight w:val="0"/>
                  <w:marTop w:val="0"/>
                  <w:marBottom w:val="0"/>
                  <w:divBdr>
                    <w:top w:val="none" w:sz="0" w:space="0" w:color="auto"/>
                    <w:left w:val="none" w:sz="0" w:space="0" w:color="auto"/>
                    <w:bottom w:val="none" w:sz="0" w:space="0" w:color="auto"/>
                    <w:right w:val="none" w:sz="0" w:space="0" w:color="auto"/>
                  </w:divBdr>
                  <w:divsChild>
                    <w:div w:id="1811169513">
                      <w:marLeft w:val="0"/>
                      <w:marRight w:val="0"/>
                      <w:marTop w:val="120"/>
                      <w:marBottom w:val="0"/>
                      <w:divBdr>
                        <w:top w:val="none" w:sz="0" w:space="0" w:color="auto"/>
                        <w:left w:val="none" w:sz="0" w:space="0" w:color="auto"/>
                        <w:bottom w:val="none" w:sz="0" w:space="0" w:color="auto"/>
                        <w:right w:val="none" w:sz="0" w:space="0" w:color="auto"/>
                      </w:divBdr>
                    </w:div>
                    <w:div w:id="1289043538">
                      <w:marLeft w:val="0"/>
                      <w:marRight w:val="0"/>
                      <w:marTop w:val="0"/>
                      <w:marBottom w:val="0"/>
                      <w:divBdr>
                        <w:top w:val="none" w:sz="0" w:space="0" w:color="auto"/>
                        <w:left w:val="none" w:sz="0" w:space="0" w:color="auto"/>
                        <w:bottom w:val="none" w:sz="0" w:space="0" w:color="auto"/>
                        <w:right w:val="none" w:sz="0" w:space="0" w:color="auto"/>
                      </w:divBdr>
                    </w:div>
                  </w:divsChild>
                </w:div>
                <w:div w:id="1137991190">
                  <w:marLeft w:val="0"/>
                  <w:marRight w:val="0"/>
                  <w:marTop w:val="0"/>
                  <w:marBottom w:val="0"/>
                  <w:divBdr>
                    <w:top w:val="none" w:sz="0" w:space="0" w:color="auto"/>
                    <w:left w:val="none" w:sz="0" w:space="0" w:color="auto"/>
                    <w:bottom w:val="none" w:sz="0" w:space="0" w:color="auto"/>
                    <w:right w:val="none" w:sz="0" w:space="0" w:color="auto"/>
                  </w:divBdr>
                  <w:divsChild>
                    <w:div w:id="2079588514">
                      <w:marLeft w:val="0"/>
                      <w:marRight w:val="0"/>
                      <w:marTop w:val="120"/>
                      <w:marBottom w:val="0"/>
                      <w:divBdr>
                        <w:top w:val="none" w:sz="0" w:space="0" w:color="auto"/>
                        <w:left w:val="none" w:sz="0" w:space="0" w:color="auto"/>
                        <w:bottom w:val="none" w:sz="0" w:space="0" w:color="auto"/>
                        <w:right w:val="none" w:sz="0" w:space="0" w:color="auto"/>
                      </w:divBdr>
                    </w:div>
                    <w:div w:id="1238980052">
                      <w:marLeft w:val="0"/>
                      <w:marRight w:val="0"/>
                      <w:marTop w:val="0"/>
                      <w:marBottom w:val="0"/>
                      <w:divBdr>
                        <w:top w:val="none" w:sz="0" w:space="0" w:color="auto"/>
                        <w:left w:val="none" w:sz="0" w:space="0" w:color="auto"/>
                        <w:bottom w:val="none" w:sz="0" w:space="0" w:color="auto"/>
                        <w:right w:val="none" w:sz="0" w:space="0" w:color="auto"/>
                      </w:divBdr>
                      <w:divsChild>
                        <w:div w:id="1217164592">
                          <w:marLeft w:val="0"/>
                          <w:marRight w:val="0"/>
                          <w:marTop w:val="0"/>
                          <w:marBottom w:val="0"/>
                          <w:divBdr>
                            <w:top w:val="none" w:sz="0" w:space="0" w:color="auto"/>
                            <w:left w:val="none" w:sz="0" w:space="0" w:color="auto"/>
                            <w:bottom w:val="none" w:sz="0" w:space="0" w:color="auto"/>
                            <w:right w:val="none" w:sz="0" w:space="0" w:color="auto"/>
                          </w:divBdr>
                          <w:divsChild>
                            <w:div w:id="1426270139">
                              <w:marLeft w:val="0"/>
                              <w:marRight w:val="0"/>
                              <w:marTop w:val="120"/>
                              <w:marBottom w:val="0"/>
                              <w:divBdr>
                                <w:top w:val="none" w:sz="0" w:space="0" w:color="auto"/>
                                <w:left w:val="none" w:sz="0" w:space="0" w:color="auto"/>
                                <w:bottom w:val="none" w:sz="0" w:space="0" w:color="auto"/>
                                <w:right w:val="none" w:sz="0" w:space="0" w:color="auto"/>
                              </w:divBdr>
                            </w:div>
                            <w:div w:id="371806793">
                              <w:marLeft w:val="0"/>
                              <w:marRight w:val="0"/>
                              <w:marTop w:val="0"/>
                              <w:marBottom w:val="0"/>
                              <w:divBdr>
                                <w:top w:val="none" w:sz="0" w:space="0" w:color="auto"/>
                                <w:left w:val="none" w:sz="0" w:space="0" w:color="auto"/>
                                <w:bottom w:val="none" w:sz="0" w:space="0" w:color="auto"/>
                                <w:right w:val="none" w:sz="0" w:space="0" w:color="auto"/>
                              </w:divBdr>
                              <w:divsChild>
                                <w:div w:id="11791552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72423233">
                          <w:marLeft w:val="0"/>
                          <w:marRight w:val="0"/>
                          <w:marTop w:val="0"/>
                          <w:marBottom w:val="0"/>
                          <w:divBdr>
                            <w:top w:val="none" w:sz="0" w:space="0" w:color="auto"/>
                            <w:left w:val="none" w:sz="0" w:space="0" w:color="auto"/>
                            <w:bottom w:val="none" w:sz="0" w:space="0" w:color="auto"/>
                            <w:right w:val="none" w:sz="0" w:space="0" w:color="auto"/>
                          </w:divBdr>
                          <w:divsChild>
                            <w:div w:id="1762869681">
                              <w:marLeft w:val="0"/>
                              <w:marRight w:val="0"/>
                              <w:marTop w:val="120"/>
                              <w:marBottom w:val="0"/>
                              <w:divBdr>
                                <w:top w:val="none" w:sz="0" w:space="0" w:color="auto"/>
                                <w:left w:val="none" w:sz="0" w:space="0" w:color="auto"/>
                                <w:bottom w:val="none" w:sz="0" w:space="0" w:color="auto"/>
                                <w:right w:val="none" w:sz="0" w:space="0" w:color="auto"/>
                              </w:divBdr>
                            </w:div>
                            <w:div w:id="1505390321">
                              <w:marLeft w:val="0"/>
                              <w:marRight w:val="0"/>
                              <w:marTop w:val="0"/>
                              <w:marBottom w:val="0"/>
                              <w:divBdr>
                                <w:top w:val="none" w:sz="0" w:space="0" w:color="auto"/>
                                <w:left w:val="none" w:sz="0" w:space="0" w:color="auto"/>
                                <w:bottom w:val="none" w:sz="0" w:space="0" w:color="auto"/>
                                <w:right w:val="none" w:sz="0" w:space="0" w:color="auto"/>
                              </w:divBdr>
                              <w:divsChild>
                                <w:div w:id="8376180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32110427">
                          <w:marLeft w:val="0"/>
                          <w:marRight w:val="0"/>
                          <w:marTop w:val="0"/>
                          <w:marBottom w:val="0"/>
                          <w:divBdr>
                            <w:top w:val="none" w:sz="0" w:space="0" w:color="auto"/>
                            <w:left w:val="none" w:sz="0" w:space="0" w:color="auto"/>
                            <w:bottom w:val="none" w:sz="0" w:space="0" w:color="auto"/>
                            <w:right w:val="none" w:sz="0" w:space="0" w:color="auto"/>
                          </w:divBdr>
                          <w:divsChild>
                            <w:div w:id="440996715">
                              <w:marLeft w:val="0"/>
                              <w:marRight w:val="0"/>
                              <w:marTop w:val="120"/>
                              <w:marBottom w:val="0"/>
                              <w:divBdr>
                                <w:top w:val="none" w:sz="0" w:space="0" w:color="auto"/>
                                <w:left w:val="none" w:sz="0" w:space="0" w:color="auto"/>
                                <w:bottom w:val="none" w:sz="0" w:space="0" w:color="auto"/>
                                <w:right w:val="none" w:sz="0" w:space="0" w:color="auto"/>
                              </w:divBdr>
                            </w:div>
                            <w:div w:id="1820614293">
                              <w:marLeft w:val="0"/>
                              <w:marRight w:val="0"/>
                              <w:marTop w:val="0"/>
                              <w:marBottom w:val="0"/>
                              <w:divBdr>
                                <w:top w:val="none" w:sz="0" w:space="0" w:color="auto"/>
                                <w:left w:val="none" w:sz="0" w:space="0" w:color="auto"/>
                                <w:bottom w:val="none" w:sz="0" w:space="0" w:color="auto"/>
                                <w:right w:val="none" w:sz="0" w:space="0" w:color="auto"/>
                              </w:divBdr>
                              <w:divsChild>
                                <w:div w:id="20290218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6052795">
                          <w:marLeft w:val="0"/>
                          <w:marRight w:val="0"/>
                          <w:marTop w:val="0"/>
                          <w:marBottom w:val="0"/>
                          <w:divBdr>
                            <w:top w:val="none" w:sz="0" w:space="0" w:color="auto"/>
                            <w:left w:val="none" w:sz="0" w:space="0" w:color="auto"/>
                            <w:bottom w:val="none" w:sz="0" w:space="0" w:color="auto"/>
                            <w:right w:val="none" w:sz="0" w:space="0" w:color="auto"/>
                          </w:divBdr>
                          <w:divsChild>
                            <w:div w:id="900553756">
                              <w:marLeft w:val="0"/>
                              <w:marRight w:val="0"/>
                              <w:marTop w:val="120"/>
                              <w:marBottom w:val="0"/>
                              <w:divBdr>
                                <w:top w:val="none" w:sz="0" w:space="0" w:color="auto"/>
                                <w:left w:val="none" w:sz="0" w:space="0" w:color="auto"/>
                                <w:bottom w:val="none" w:sz="0" w:space="0" w:color="auto"/>
                                <w:right w:val="none" w:sz="0" w:space="0" w:color="auto"/>
                              </w:divBdr>
                            </w:div>
                            <w:div w:id="920408483">
                              <w:marLeft w:val="0"/>
                              <w:marRight w:val="0"/>
                              <w:marTop w:val="0"/>
                              <w:marBottom w:val="0"/>
                              <w:divBdr>
                                <w:top w:val="none" w:sz="0" w:space="0" w:color="auto"/>
                                <w:left w:val="none" w:sz="0" w:space="0" w:color="auto"/>
                                <w:bottom w:val="none" w:sz="0" w:space="0" w:color="auto"/>
                                <w:right w:val="none" w:sz="0" w:space="0" w:color="auto"/>
                              </w:divBdr>
                              <w:divsChild>
                                <w:div w:id="11700284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22267944">
                          <w:marLeft w:val="0"/>
                          <w:marRight w:val="0"/>
                          <w:marTop w:val="0"/>
                          <w:marBottom w:val="0"/>
                          <w:divBdr>
                            <w:top w:val="none" w:sz="0" w:space="0" w:color="auto"/>
                            <w:left w:val="none" w:sz="0" w:space="0" w:color="auto"/>
                            <w:bottom w:val="none" w:sz="0" w:space="0" w:color="auto"/>
                            <w:right w:val="none" w:sz="0" w:space="0" w:color="auto"/>
                          </w:divBdr>
                          <w:divsChild>
                            <w:div w:id="693731211">
                              <w:marLeft w:val="0"/>
                              <w:marRight w:val="0"/>
                              <w:marTop w:val="120"/>
                              <w:marBottom w:val="0"/>
                              <w:divBdr>
                                <w:top w:val="none" w:sz="0" w:space="0" w:color="auto"/>
                                <w:left w:val="none" w:sz="0" w:space="0" w:color="auto"/>
                                <w:bottom w:val="none" w:sz="0" w:space="0" w:color="auto"/>
                                <w:right w:val="none" w:sz="0" w:space="0" w:color="auto"/>
                              </w:divBdr>
                            </w:div>
                            <w:div w:id="1568222635">
                              <w:marLeft w:val="0"/>
                              <w:marRight w:val="0"/>
                              <w:marTop w:val="0"/>
                              <w:marBottom w:val="0"/>
                              <w:divBdr>
                                <w:top w:val="none" w:sz="0" w:space="0" w:color="auto"/>
                                <w:left w:val="none" w:sz="0" w:space="0" w:color="auto"/>
                                <w:bottom w:val="none" w:sz="0" w:space="0" w:color="auto"/>
                                <w:right w:val="none" w:sz="0" w:space="0" w:color="auto"/>
                              </w:divBdr>
                              <w:divsChild>
                                <w:div w:id="8055874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74195202">
                  <w:marLeft w:val="0"/>
                  <w:marRight w:val="0"/>
                  <w:marTop w:val="0"/>
                  <w:marBottom w:val="0"/>
                  <w:divBdr>
                    <w:top w:val="none" w:sz="0" w:space="0" w:color="auto"/>
                    <w:left w:val="none" w:sz="0" w:space="0" w:color="auto"/>
                    <w:bottom w:val="none" w:sz="0" w:space="0" w:color="auto"/>
                    <w:right w:val="none" w:sz="0" w:space="0" w:color="auto"/>
                  </w:divBdr>
                  <w:divsChild>
                    <w:div w:id="510726452">
                      <w:marLeft w:val="0"/>
                      <w:marRight w:val="0"/>
                      <w:marTop w:val="120"/>
                      <w:marBottom w:val="0"/>
                      <w:divBdr>
                        <w:top w:val="none" w:sz="0" w:space="0" w:color="auto"/>
                        <w:left w:val="none" w:sz="0" w:space="0" w:color="auto"/>
                        <w:bottom w:val="none" w:sz="0" w:space="0" w:color="auto"/>
                        <w:right w:val="none" w:sz="0" w:space="0" w:color="auto"/>
                      </w:divBdr>
                    </w:div>
                    <w:div w:id="1928153877">
                      <w:marLeft w:val="0"/>
                      <w:marRight w:val="0"/>
                      <w:marTop w:val="0"/>
                      <w:marBottom w:val="0"/>
                      <w:divBdr>
                        <w:top w:val="none" w:sz="0" w:space="0" w:color="auto"/>
                        <w:left w:val="none" w:sz="0" w:space="0" w:color="auto"/>
                        <w:bottom w:val="none" w:sz="0" w:space="0" w:color="auto"/>
                        <w:right w:val="none" w:sz="0" w:space="0" w:color="auto"/>
                      </w:divBdr>
                    </w:div>
                  </w:divsChild>
                </w:div>
                <w:div w:id="1608657699">
                  <w:marLeft w:val="0"/>
                  <w:marRight w:val="0"/>
                  <w:marTop w:val="0"/>
                  <w:marBottom w:val="0"/>
                  <w:divBdr>
                    <w:top w:val="none" w:sz="0" w:space="0" w:color="auto"/>
                    <w:left w:val="none" w:sz="0" w:space="0" w:color="auto"/>
                    <w:bottom w:val="none" w:sz="0" w:space="0" w:color="auto"/>
                    <w:right w:val="none" w:sz="0" w:space="0" w:color="auto"/>
                  </w:divBdr>
                  <w:divsChild>
                    <w:div w:id="196621594">
                      <w:marLeft w:val="0"/>
                      <w:marRight w:val="0"/>
                      <w:marTop w:val="120"/>
                      <w:marBottom w:val="0"/>
                      <w:divBdr>
                        <w:top w:val="none" w:sz="0" w:space="0" w:color="auto"/>
                        <w:left w:val="none" w:sz="0" w:space="0" w:color="auto"/>
                        <w:bottom w:val="none" w:sz="0" w:space="0" w:color="auto"/>
                        <w:right w:val="none" w:sz="0" w:space="0" w:color="auto"/>
                      </w:divBdr>
                    </w:div>
                    <w:div w:id="898789089">
                      <w:marLeft w:val="0"/>
                      <w:marRight w:val="0"/>
                      <w:marTop w:val="0"/>
                      <w:marBottom w:val="0"/>
                      <w:divBdr>
                        <w:top w:val="none" w:sz="0" w:space="0" w:color="auto"/>
                        <w:left w:val="none" w:sz="0" w:space="0" w:color="auto"/>
                        <w:bottom w:val="none" w:sz="0" w:space="0" w:color="auto"/>
                        <w:right w:val="none" w:sz="0" w:space="0" w:color="auto"/>
                      </w:divBdr>
                    </w:div>
                  </w:divsChild>
                </w:div>
                <w:div w:id="406658476">
                  <w:marLeft w:val="0"/>
                  <w:marRight w:val="0"/>
                  <w:marTop w:val="0"/>
                  <w:marBottom w:val="0"/>
                  <w:divBdr>
                    <w:top w:val="none" w:sz="0" w:space="0" w:color="auto"/>
                    <w:left w:val="none" w:sz="0" w:space="0" w:color="auto"/>
                    <w:bottom w:val="none" w:sz="0" w:space="0" w:color="auto"/>
                    <w:right w:val="none" w:sz="0" w:space="0" w:color="auto"/>
                  </w:divBdr>
                  <w:divsChild>
                    <w:div w:id="2051957082">
                      <w:marLeft w:val="0"/>
                      <w:marRight w:val="0"/>
                      <w:marTop w:val="120"/>
                      <w:marBottom w:val="0"/>
                      <w:divBdr>
                        <w:top w:val="none" w:sz="0" w:space="0" w:color="auto"/>
                        <w:left w:val="none" w:sz="0" w:space="0" w:color="auto"/>
                        <w:bottom w:val="none" w:sz="0" w:space="0" w:color="auto"/>
                        <w:right w:val="none" w:sz="0" w:space="0" w:color="auto"/>
                      </w:divBdr>
                    </w:div>
                    <w:div w:id="1832286347">
                      <w:marLeft w:val="0"/>
                      <w:marRight w:val="0"/>
                      <w:marTop w:val="0"/>
                      <w:marBottom w:val="0"/>
                      <w:divBdr>
                        <w:top w:val="none" w:sz="0" w:space="0" w:color="auto"/>
                        <w:left w:val="none" w:sz="0" w:space="0" w:color="auto"/>
                        <w:bottom w:val="none" w:sz="0" w:space="0" w:color="auto"/>
                        <w:right w:val="none" w:sz="0" w:space="0" w:color="auto"/>
                      </w:divBdr>
                    </w:div>
                  </w:divsChild>
                </w:div>
                <w:div w:id="1449161124">
                  <w:marLeft w:val="0"/>
                  <w:marRight w:val="0"/>
                  <w:marTop w:val="0"/>
                  <w:marBottom w:val="0"/>
                  <w:divBdr>
                    <w:top w:val="none" w:sz="0" w:space="0" w:color="auto"/>
                    <w:left w:val="none" w:sz="0" w:space="0" w:color="auto"/>
                    <w:bottom w:val="none" w:sz="0" w:space="0" w:color="auto"/>
                    <w:right w:val="none" w:sz="0" w:space="0" w:color="auto"/>
                  </w:divBdr>
                  <w:divsChild>
                    <w:div w:id="1919092118">
                      <w:marLeft w:val="0"/>
                      <w:marRight w:val="0"/>
                      <w:marTop w:val="120"/>
                      <w:marBottom w:val="0"/>
                      <w:divBdr>
                        <w:top w:val="none" w:sz="0" w:space="0" w:color="auto"/>
                        <w:left w:val="none" w:sz="0" w:space="0" w:color="auto"/>
                        <w:bottom w:val="none" w:sz="0" w:space="0" w:color="auto"/>
                        <w:right w:val="none" w:sz="0" w:space="0" w:color="auto"/>
                      </w:divBdr>
                    </w:div>
                    <w:div w:id="1123156461">
                      <w:marLeft w:val="0"/>
                      <w:marRight w:val="0"/>
                      <w:marTop w:val="0"/>
                      <w:marBottom w:val="0"/>
                      <w:divBdr>
                        <w:top w:val="none" w:sz="0" w:space="0" w:color="auto"/>
                        <w:left w:val="none" w:sz="0" w:space="0" w:color="auto"/>
                        <w:bottom w:val="none" w:sz="0" w:space="0" w:color="auto"/>
                        <w:right w:val="none" w:sz="0" w:space="0" w:color="auto"/>
                      </w:divBdr>
                    </w:div>
                  </w:divsChild>
                </w:div>
                <w:div w:id="133301779">
                  <w:marLeft w:val="0"/>
                  <w:marRight w:val="0"/>
                  <w:marTop w:val="0"/>
                  <w:marBottom w:val="0"/>
                  <w:divBdr>
                    <w:top w:val="none" w:sz="0" w:space="0" w:color="auto"/>
                    <w:left w:val="none" w:sz="0" w:space="0" w:color="auto"/>
                    <w:bottom w:val="none" w:sz="0" w:space="0" w:color="auto"/>
                    <w:right w:val="none" w:sz="0" w:space="0" w:color="auto"/>
                  </w:divBdr>
                  <w:divsChild>
                    <w:div w:id="1367755273">
                      <w:marLeft w:val="0"/>
                      <w:marRight w:val="0"/>
                      <w:marTop w:val="120"/>
                      <w:marBottom w:val="0"/>
                      <w:divBdr>
                        <w:top w:val="none" w:sz="0" w:space="0" w:color="auto"/>
                        <w:left w:val="none" w:sz="0" w:space="0" w:color="auto"/>
                        <w:bottom w:val="none" w:sz="0" w:space="0" w:color="auto"/>
                        <w:right w:val="none" w:sz="0" w:space="0" w:color="auto"/>
                      </w:divBdr>
                    </w:div>
                    <w:div w:id="1284581799">
                      <w:marLeft w:val="0"/>
                      <w:marRight w:val="0"/>
                      <w:marTop w:val="0"/>
                      <w:marBottom w:val="0"/>
                      <w:divBdr>
                        <w:top w:val="none" w:sz="0" w:space="0" w:color="auto"/>
                        <w:left w:val="none" w:sz="0" w:space="0" w:color="auto"/>
                        <w:bottom w:val="none" w:sz="0" w:space="0" w:color="auto"/>
                        <w:right w:val="none" w:sz="0" w:space="0" w:color="auto"/>
                      </w:divBdr>
                    </w:div>
                  </w:divsChild>
                </w:div>
                <w:div w:id="598371336">
                  <w:marLeft w:val="0"/>
                  <w:marRight w:val="0"/>
                  <w:marTop w:val="0"/>
                  <w:marBottom w:val="0"/>
                  <w:divBdr>
                    <w:top w:val="none" w:sz="0" w:space="0" w:color="auto"/>
                    <w:left w:val="none" w:sz="0" w:space="0" w:color="auto"/>
                    <w:bottom w:val="none" w:sz="0" w:space="0" w:color="auto"/>
                    <w:right w:val="none" w:sz="0" w:space="0" w:color="auto"/>
                  </w:divBdr>
                  <w:divsChild>
                    <w:div w:id="93866829">
                      <w:marLeft w:val="0"/>
                      <w:marRight w:val="0"/>
                      <w:marTop w:val="120"/>
                      <w:marBottom w:val="0"/>
                      <w:divBdr>
                        <w:top w:val="none" w:sz="0" w:space="0" w:color="auto"/>
                        <w:left w:val="none" w:sz="0" w:space="0" w:color="auto"/>
                        <w:bottom w:val="none" w:sz="0" w:space="0" w:color="auto"/>
                        <w:right w:val="none" w:sz="0" w:space="0" w:color="auto"/>
                      </w:divBdr>
                    </w:div>
                    <w:div w:id="1602567173">
                      <w:marLeft w:val="0"/>
                      <w:marRight w:val="0"/>
                      <w:marTop w:val="0"/>
                      <w:marBottom w:val="0"/>
                      <w:divBdr>
                        <w:top w:val="none" w:sz="0" w:space="0" w:color="auto"/>
                        <w:left w:val="none" w:sz="0" w:space="0" w:color="auto"/>
                        <w:bottom w:val="none" w:sz="0" w:space="0" w:color="auto"/>
                        <w:right w:val="none" w:sz="0" w:space="0" w:color="auto"/>
                      </w:divBdr>
                    </w:div>
                  </w:divsChild>
                </w:div>
                <w:div w:id="900675965">
                  <w:marLeft w:val="0"/>
                  <w:marRight w:val="0"/>
                  <w:marTop w:val="0"/>
                  <w:marBottom w:val="0"/>
                  <w:divBdr>
                    <w:top w:val="none" w:sz="0" w:space="0" w:color="auto"/>
                    <w:left w:val="none" w:sz="0" w:space="0" w:color="auto"/>
                    <w:bottom w:val="none" w:sz="0" w:space="0" w:color="auto"/>
                    <w:right w:val="none" w:sz="0" w:space="0" w:color="auto"/>
                  </w:divBdr>
                  <w:divsChild>
                    <w:div w:id="555899395">
                      <w:marLeft w:val="0"/>
                      <w:marRight w:val="0"/>
                      <w:marTop w:val="120"/>
                      <w:marBottom w:val="0"/>
                      <w:divBdr>
                        <w:top w:val="none" w:sz="0" w:space="0" w:color="auto"/>
                        <w:left w:val="none" w:sz="0" w:space="0" w:color="auto"/>
                        <w:bottom w:val="none" w:sz="0" w:space="0" w:color="auto"/>
                        <w:right w:val="none" w:sz="0" w:space="0" w:color="auto"/>
                      </w:divBdr>
                    </w:div>
                    <w:div w:id="1259868709">
                      <w:marLeft w:val="0"/>
                      <w:marRight w:val="0"/>
                      <w:marTop w:val="0"/>
                      <w:marBottom w:val="0"/>
                      <w:divBdr>
                        <w:top w:val="none" w:sz="0" w:space="0" w:color="auto"/>
                        <w:left w:val="none" w:sz="0" w:space="0" w:color="auto"/>
                        <w:bottom w:val="none" w:sz="0" w:space="0" w:color="auto"/>
                        <w:right w:val="none" w:sz="0" w:space="0" w:color="auto"/>
                      </w:divBdr>
                    </w:div>
                  </w:divsChild>
                </w:div>
                <w:div w:id="1474325867">
                  <w:marLeft w:val="0"/>
                  <w:marRight w:val="0"/>
                  <w:marTop w:val="0"/>
                  <w:marBottom w:val="0"/>
                  <w:divBdr>
                    <w:top w:val="none" w:sz="0" w:space="0" w:color="auto"/>
                    <w:left w:val="none" w:sz="0" w:space="0" w:color="auto"/>
                    <w:bottom w:val="none" w:sz="0" w:space="0" w:color="auto"/>
                    <w:right w:val="none" w:sz="0" w:space="0" w:color="auto"/>
                  </w:divBdr>
                  <w:divsChild>
                    <w:div w:id="2035036101">
                      <w:marLeft w:val="0"/>
                      <w:marRight w:val="0"/>
                      <w:marTop w:val="120"/>
                      <w:marBottom w:val="0"/>
                      <w:divBdr>
                        <w:top w:val="none" w:sz="0" w:space="0" w:color="auto"/>
                        <w:left w:val="none" w:sz="0" w:space="0" w:color="auto"/>
                        <w:bottom w:val="none" w:sz="0" w:space="0" w:color="auto"/>
                        <w:right w:val="none" w:sz="0" w:space="0" w:color="auto"/>
                      </w:divBdr>
                    </w:div>
                    <w:div w:id="809202128">
                      <w:marLeft w:val="0"/>
                      <w:marRight w:val="0"/>
                      <w:marTop w:val="0"/>
                      <w:marBottom w:val="0"/>
                      <w:divBdr>
                        <w:top w:val="none" w:sz="0" w:space="0" w:color="auto"/>
                        <w:left w:val="none" w:sz="0" w:space="0" w:color="auto"/>
                        <w:bottom w:val="none" w:sz="0" w:space="0" w:color="auto"/>
                        <w:right w:val="none" w:sz="0" w:space="0" w:color="auto"/>
                      </w:divBdr>
                    </w:div>
                  </w:divsChild>
                </w:div>
                <w:div w:id="325985035">
                  <w:marLeft w:val="0"/>
                  <w:marRight w:val="0"/>
                  <w:marTop w:val="0"/>
                  <w:marBottom w:val="0"/>
                  <w:divBdr>
                    <w:top w:val="none" w:sz="0" w:space="0" w:color="auto"/>
                    <w:left w:val="none" w:sz="0" w:space="0" w:color="auto"/>
                    <w:bottom w:val="none" w:sz="0" w:space="0" w:color="auto"/>
                    <w:right w:val="none" w:sz="0" w:space="0" w:color="auto"/>
                  </w:divBdr>
                  <w:divsChild>
                    <w:div w:id="1242790900">
                      <w:marLeft w:val="0"/>
                      <w:marRight w:val="0"/>
                      <w:marTop w:val="120"/>
                      <w:marBottom w:val="0"/>
                      <w:divBdr>
                        <w:top w:val="none" w:sz="0" w:space="0" w:color="auto"/>
                        <w:left w:val="none" w:sz="0" w:space="0" w:color="auto"/>
                        <w:bottom w:val="none" w:sz="0" w:space="0" w:color="auto"/>
                        <w:right w:val="none" w:sz="0" w:space="0" w:color="auto"/>
                      </w:divBdr>
                    </w:div>
                    <w:div w:id="1587498130">
                      <w:marLeft w:val="0"/>
                      <w:marRight w:val="0"/>
                      <w:marTop w:val="0"/>
                      <w:marBottom w:val="0"/>
                      <w:divBdr>
                        <w:top w:val="none" w:sz="0" w:space="0" w:color="auto"/>
                        <w:left w:val="none" w:sz="0" w:space="0" w:color="auto"/>
                        <w:bottom w:val="none" w:sz="0" w:space="0" w:color="auto"/>
                        <w:right w:val="none" w:sz="0" w:space="0" w:color="auto"/>
                      </w:divBdr>
                    </w:div>
                  </w:divsChild>
                </w:div>
                <w:div w:id="1053114792">
                  <w:marLeft w:val="0"/>
                  <w:marRight w:val="0"/>
                  <w:marTop w:val="0"/>
                  <w:marBottom w:val="0"/>
                  <w:divBdr>
                    <w:top w:val="none" w:sz="0" w:space="0" w:color="auto"/>
                    <w:left w:val="none" w:sz="0" w:space="0" w:color="auto"/>
                    <w:bottom w:val="none" w:sz="0" w:space="0" w:color="auto"/>
                    <w:right w:val="none" w:sz="0" w:space="0" w:color="auto"/>
                  </w:divBdr>
                  <w:divsChild>
                    <w:div w:id="1810783485">
                      <w:marLeft w:val="0"/>
                      <w:marRight w:val="0"/>
                      <w:marTop w:val="120"/>
                      <w:marBottom w:val="0"/>
                      <w:divBdr>
                        <w:top w:val="none" w:sz="0" w:space="0" w:color="auto"/>
                        <w:left w:val="none" w:sz="0" w:space="0" w:color="auto"/>
                        <w:bottom w:val="none" w:sz="0" w:space="0" w:color="auto"/>
                        <w:right w:val="none" w:sz="0" w:space="0" w:color="auto"/>
                      </w:divBdr>
                    </w:div>
                    <w:div w:id="59375691">
                      <w:marLeft w:val="0"/>
                      <w:marRight w:val="0"/>
                      <w:marTop w:val="0"/>
                      <w:marBottom w:val="0"/>
                      <w:divBdr>
                        <w:top w:val="none" w:sz="0" w:space="0" w:color="auto"/>
                        <w:left w:val="none" w:sz="0" w:space="0" w:color="auto"/>
                        <w:bottom w:val="none" w:sz="0" w:space="0" w:color="auto"/>
                        <w:right w:val="none" w:sz="0" w:space="0" w:color="auto"/>
                      </w:divBdr>
                    </w:div>
                  </w:divsChild>
                </w:div>
                <w:div w:id="2016881665">
                  <w:marLeft w:val="0"/>
                  <w:marRight w:val="0"/>
                  <w:marTop w:val="0"/>
                  <w:marBottom w:val="0"/>
                  <w:divBdr>
                    <w:top w:val="none" w:sz="0" w:space="0" w:color="auto"/>
                    <w:left w:val="none" w:sz="0" w:space="0" w:color="auto"/>
                    <w:bottom w:val="none" w:sz="0" w:space="0" w:color="auto"/>
                    <w:right w:val="none" w:sz="0" w:space="0" w:color="auto"/>
                  </w:divBdr>
                  <w:divsChild>
                    <w:div w:id="1390617584">
                      <w:marLeft w:val="0"/>
                      <w:marRight w:val="0"/>
                      <w:marTop w:val="120"/>
                      <w:marBottom w:val="0"/>
                      <w:divBdr>
                        <w:top w:val="none" w:sz="0" w:space="0" w:color="auto"/>
                        <w:left w:val="none" w:sz="0" w:space="0" w:color="auto"/>
                        <w:bottom w:val="none" w:sz="0" w:space="0" w:color="auto"/>
                        <w:right w:val="none" w:sz="0" w:space="0" w:color="auto"/>
                      </w:divBdr>
                    </w:div>
                    <w:div w:id="1338464322">
                      <w:marLeft w:val="0"/>
                      <w:marRight w:val="0"/>
                      <w:marTop w:val="0"/>
                      <w:marBottom w:val="0"/>
                      <w:divBdr>
                        <w:top w:val="none" w:sz="0" w:space="0" w:color="auto"/>
                        <w:left w:val="none" w:sz="0" w:space="0" w:color="auto"/>
                        <w:bottom w:val="none" w:sz="0" w:space="0" w:color="auto"/>
                        <w:right w:val="none" w:sz="0" w:space="0" w:color="auto"/>
                      </w:divBdr>
                    </w:div>
                  </w:divsChild>
                </w:div>
                <w:div w:id="51661786">
                  <w:marLeft w:val="0"/>
                  <w:marRight w:val="0"/>
                  <w:marTop w:val="0"/>
                  <w:marBottom w:val="0"/>
                  <w:divBdr>
                    <w:top w:val="none" w:sz="0" w:space="0" w:color="auto"/>
                    <w:left w:val="none" w:sz="0" w:space="0" w:color="auto"/>
                    <w:bottom w:val="none" w:sz="0" w:space="0" w:color="auto"/>
                    <w:right w:val="none" w:sz="0" w:space="0" w:color="auto"/>
                  </w:divBdr>
                  <w:divsChild>
                    <w:div w:id="1195734143">
                      <w:marLeft w:val="0"/>
                      <w:marRight w:val="0"/>
                      <w:marTop w:val="120"/>
                      <w:marBottom w:val="0"/>
                      <w:divBdr>
                        <w:top w:val="none" w:sz="0" w:space="0" w:color="auto"/>
                        <w:left w:val="none" w:sz="0" w:space="0" w:color="auto"/>
                        <w:bottom w:val="none" w:sz="0" w:space="0" w:color="auto"/>
                        <w:right w:val="none" w:sz="0" w:space="0" w:color="auto"/>
                      </w:divBdr>
                    </w:div>
                    <w:div w:id="1152528888">
                      <w:marLeft w:val="0"/>
                      <w:marRight w:val="0"/>
                      <w:marTop w:val="0"/>
                      <w:marBottom w:val="0"/>
                      <w:divBdr>
                        <w:top w:val="none" w:sz="0" w:space="0" w:color="auto"/>
                        <w:left w:val="none" w:sz="0" w:space="0" w:color="auto"/>
                        <w:bottom w:val="none" w:sz="0" w:space="0" w:color="auto"/>
                        <w:right w:val="none" w:sz="0" w:space="0" w:color="auto"/>
                      </w:divBdr>
                    </w:div>
                  </w:divsChild>
                </w:div>
                <w:div w:id="465050919">
                  <w:marLeft w:val="0"/>
                  <w:marRight w:val="0"/>
                  <w:marTop w:val="0"/>
                  <w:marBottom w:val="0"/>
                  <w:divBdr>
                    <w:top w:val="none" w:sz="0" w:space="0" w:color="auto"/>
                    <w:left w:val="none" w:sz="0" w:space="0" w:color="auto"/>
                    <w:bottom w:val="none" w:sz="0" w:space="0" w:color="auto"/>
                    <w:right w:val="none" w:sz="0" w:space="0" w:color="auto"/>
                  </w:divBdr>
                  <w:divsChild>
                    <w:div w:id="60951566">
                      <w:marLeft w:val="0"/>
                      <w:marRight w:val="0"/>
                      <w:marTop w:val="120"/>
                      <w:marBottom w:val="0"/>
                      <w:divBdr>
                        <w:top w:val="none" w:sz="0" w:space="0" w:color="auto"/>
                        <w:left w:val="none" w:sz="0" w:space="0" w:color="auto"/>
                        <w:bottom w:val="none" w:sz="0" w:space="0" w:color="auto"/>
                        <w:right w:val="none" w:sz="0" w:space="0" w:color="auto"/>
                      </w:divBdr>
                    </w:div>
                    <w:div w:id="143394927">
                      <w:marLeft w:val="0"/>
                      <w:marRight w:val="0"/>
                      <w:marTop w:val="0"/>
                      <w:marBottom w:val="0"/>
                      <w:divBdr>
                        <w:top w:val="none" w:sz="0" w:space="0" w:color="auto"/>
                        <w:left w:val="none" w:sz="0" w:space="0" w:color="auto"/>
                        <w:bottom w:val="none" w:sz="0" w:space="0" w:color="auto"/>
                        <w:right w:val="none" w:sz="0" w:space="0" w:color="auto"/>
                      </w:divBdr>
                    </w:div>
                  </w:divsChild>
                </w:div>
                <w:div w:id="504321753">
                  <w:marLeft w:val="0"/>
                  <w:marRight w:val="0"/>
                  <w:marTop w:val="0"/>
                  <w:marBottom w:val="0"/>
                  <w:divBdr>
                    <w:top w:val="none" w:sz="0" w:space="0" w:color="auto"/>
                    <w:left w:val="none" w:sz="0" w:space="0" w:color="auto"/>
                    <w:bottom w:val="none" w:sz="0" w:space="0" w:color="auto"/>
                    <w:right w:val="none" w:sz="0" w:space="0" w:color="auto"/>
                  </w:divBdr>
                  <w:divsChild>
                    <w:div w:id="1808548880">
                      <w:marLeft w:val="0"/>
                      <w:marRight w:val="0"/>
                      <w:marTop w:val="120"/>
                      <w:marBottom w:val="0"/>
                      <w:divBdr>
                        <w:top w:val="none" w:sz="0" w:space="0" w:color="auto"/>
                        <w:left w:val="none" w:sz="0" w:space="0" w:color="auto"/>
                        <w:bottom w:val="none" w:sz="0" w:space="0" w:color="auto"/>
                        <w:right w:val="none" w:sz="0" w:space="0" w:color="auto"/>
                      </w:divBdr>
                    </w:div>
                    <w:div w:id="682318071">
                      <w:marLeft w:val="0"/>
                      <w:marRight w:val="0"/>
                      <w:marTop w:val="0"/>
                      <w:marBottom w:val="0"/>
                      <w:divBdr>
                        <w:top w:val="none" w:sz="0" w:space="0" w:color="auto"/>
                        <w:left w:val="none" w:sz="0" w:space="0" w:color="auto"/>
                        <w:bottom w:val="none" w:sz="0" w:space="0" w:color="auto"/>
                        <w:right w:val="none" w:sz="0" w:space="0" w:color="auto"/>
                      </w:divBdr>
                    </w:div>
                  </w:divsChild>
                </w:div>
                <w:div w:id="1107045381">
                  <w:marLeft w:val="0"/>
                  <w:marRight w:val="0"/>
                  <w:marTop w:val="0"/>
                  <w:marBottom w:val="0"/>
                  <w:divBdr>
                    <w:top w:val="none" w:sz="0" w:space="0" w:color="auto"/>
                    <w:left w:val="none" w:sz="0" w:space="0" w:color="auto"/>
                    <w:bottom w:val="none" w:sz="0" w:space="0" w:color="auto"/>
                    <w:right w:val="none" w:sz="0" w:space="0" w:color="auto"/>
                  </w:divBdr>
                  <w:divsChild>
                    <w:div w:id="1464495648">
                      <w:marLeft w:val="0"/>
                      <w:marRight w:val="0"/>
                      <w:marTop w:val="120"/>
                      <w:marBottom w:val="0"/>
                      <w:divBdr>
                        <w:top w:val="none" w:sz="0" w:space="0" w:color="auto"/>
                        <w:left w:val="none" w:sz="0" w:space="0" w:color="auto"/>
                        <w:bottom w:val="none" w:sz="0" w:space="0" w:color="auto"/>
                        <w:right w:val="none" w:sz="0" w:space="0" w:color="auto"/>
                      </w:divBdr>
                    </w:div>
                    <w:div w:id="1618944321">
                      <w:marLeft w:val="0"/>
                      <w:marRight w:val="0"/>
                      <w:marTop w:val="0"/>
                      <w:marBottom w:val="0"/>
                      <w:divBdr>
                        <w:top w:val="none" w:sz="0" w:space="0" w:color="auto"/>
                        <w:left w:val="none" w:sz="0" w:space="0" w:color="auto"/>
                        <w:bottom w:val="none" w:sz="0" w:space="0" w:color="auto"/>
                        <w:right w:val="none" w:sz="0" w:space="0" w:color="auto"/>
                      </w:divBdr>
                    </w:div>
                  </w:divsChild>
                </w:div>
                <w:div w:id="1939289521">
                  <w:marLeft w:val="0"/>
                  <w:marRight w:val="0"/>
                  <w:marTop w:val="0"/>
                  <w:marBottom w:val="0"/>
                  <w:divBdr>
                    <w:top w:val="none" w:sz="0" w:space="0" w:color="auto"/>
                    <w:left w:val="none" w:sz="0" w:space="0" w:color="auto"/>
                    <w:bottom w:val="none" w:sz="0" w:space="0" w:color="auto"/>
                    <w:right w:val="none" w:sz="0" w:space="0" w:color="auto"/>
                  </w:divBdr>
                  <w:divsChild>
                    <w:div w:id="1054350467">
                      <w:marLeft w:val="0"/>
                      <w:marRight w:val="0"/>
                      <w:marTop w:val="120"/>
                      <w:marBottom w:val="0"/>
                      <w:divBdr>
                        <w:top w:val="none" w:sz="0" w:space="0" w:color="auto"/>
                        <w:left w:val="none" w:sz="0" w:space="0" w:color="auto"/>
                        <w:bottom w:val="none" w:sz="0" w:space="0" w:color="auto"/>
                        <w:right w:val="none" w:sz="0" w:space="0" w:color="auto"/>
                      </w:divBdr>
                    </w:div>
                    <w:div w:id="1308121594">
                      <w:marLeft w:val="0"/>
                      <w:marRight w:val="0"/>
                      <w:marTop w:val="0"/>
                      <w:marBottom w:val="0"/>
                      <w:divBdr>
                        <w:top w:val="none" w:sz="0" w:space="0" w:color="auto"/>
                        <w:left w:val="none" w:sz="0" w:space="0" w:color="auto"/>
                        <w:bottom w:val="none" w:sz="0" w:space="0" w:color="auto"/>
                        <w:right w:val="none" w:sz="0" w:space="0" w:color="auto"/>
                      </w:divBdr>
                    </w:div>
                  </w:divsChild>
                </w:div>
                <w:div w:id="65566645">
                  <w:marLeft w:val="0"/>
                  <w:marRight w:val="0"/>
                  <w:marTop w:val="0"/>
                  <w:marBottom w:val="0"/>
                  <w:divBdr>
                    <w:top w:val="none" w:sz="0" w:space="0" w:color="auto"/>
                    <w:left w:val="none" w:sz="0" w:space="0" w:color="auto"/>
                    <w:bottom w:val="none" w:sz="0" w:space="0" w:color="auto"/>
                    <w:right w:val="none" w:sz="0" w:space="0" w:color="auto"/>
                  </w:divBdr>
                  <w:divsChild>
                    <w:div w:id="1722247534">
                      <w:marLeft w:val="0"/>
                      <w:marRight w:val="0"/>
                      <w:marTop w:val="120"/>
                      <w:marBottom w:val="0"/>
                      <w:divBdr>
                        <w:top w:val="none" w:sz="0" w:space="0" w:color="auto"/>
                        <w:left w:val="none" w:sz="0" w:space="0" w:color="auto"/>
                        <w:bottom w:val="none" w:sz="0" w:space="0" w:color="auto"/>
                        <w:right w:val="none" w:sz="0" w:space="0" w:color="auto"/>
                      </w:divBdr>
                    </w:div>
                    <w:div w:id="971786669">
                      <w:marLeft w:val="0"/>
                      <w:marRight w:val="0"/>
                      <w:marTop w:val="0"/>
                      <w:marBottom w:val="0"/>
                      <w:divBdr>
                        <w:top w:val="none" w:sz="0" w:space="0" w:color="auto"/>
                        <w:left w:val="none" w:sz="0" w:space="0" w:color="auto"/>
                        <w:bottom w:val="none" w:sz="0" w:space="0" w:color="auto"/>
                        <w:right w:val="none" w:sz="0" w:space="0" w:color="auto"/>
                      </w:divBdr>
                    </w:div>
                  </w:divsChild>
                </w:div>
                <w:div w:id="1370717075">
                  <w:marLeft w:val="0"/>
                  <w:marRight w:val="0"/>
                  <w:marTop w:val="0"/>
                  <w:marBottom w:val="0"/>
                  <w:divBdr>
                    <w:top w:val="none" w:sz="0" w:space="0" w:color="auto"/>
                    <w:left w:val="none" w:sz="0" w:space="0" w:color="auto"/>
                    <w:bottom w:val="none" w:sz="0" w:space="0" w:color="auto"/>
                    <w:right w:val="none" w:sz="0" w:space="0" w:color="auto"/>
                  </w:divBdr>
                  <w:divsChild>
                    <w:div w:id="177890367">
                      <w:marLeft w:val="0"/>
                      <w:marRight w:val="0"/>
                      <w:marTop w:val="120"/>
                      <w:marBottom w:val="0"/>
                      <w:divBdr>
                        <w:top w:val="none" w:sz="0" w:space="0" w:color="auto"/>
                        <w:left w:val="none" w:sz="0" w:space="0" w:color="auto"/>
                        <w:bottom w:val="none" w:sz="0" w:space="0" w:color="auto"/>
                        <w:right w:val="none" w:sz="0" w:space="0" w:color="auto"/>
                      </w:divBdr>
                    </w:div>
                    <w:div w:id="1640450559">
                      <w:marLeft w:val="0"/>
                      <w:marRight w:val="0"/>
                      <w:marTop w:val="0"/>
                      <w:marBottom w:val="0"/>
                      <w:divBdr>
                        <w:top w:val="none" w:sz="0" w:space="0" w:color="auto"/>
                        <w:left w:val="none" w:sz="0" w:space="0" w:color="auto"/>
                        <w:bottom w:val="none" w:sz="0" w:space="0" w:color="auto"/>
                        <w:right w:val="none" w:sz="0" w:space="0" w:color="auto"/>
                      </w:divBdr>
                    </w:div>
                  </w:divsChild>
                </w:div>
                <w:div w:id="40323214">
                  <w:marLeft w:val="0"/>
                  <w:marRight w:val="0"/>
                  <w:marTop w:val="0"/>
                  <w:marBottom w:val="0"/>
                  <w:divBdr>
                    <w:top w:val="none" w:sz="0" w:space="0" w:color="auto"/>
                    <w:left w:val="none" w:sz="0" w:space="0" w:color="auto"/>
                    <w:bottom w:val="none" w:sz="0" w:space="0" w:color="auto"/>
                    <w:right w:val="none" w:sz="0" w:space="0" w:color="auto"/>
                  </w:divBdr>
                  <w:divsChild>
                    <w:div w:id="1766654715">
                      <w:marLeft w:val="0"/>
                      <w:marRight w:val="0"/>
                      <w:marTop w:val="120"/>
                      <w:marBottom w:val="0"/>
                      <w:divBdr>
                        <w:top w:val="none" w:sz="0" w:space="0" w:color="auto"/>
                        <w:left w:val="none" w:sz="0" w:space="0" w:color="auto"/>
                        <w:bottom w:val="none" w:sz="0" w:space="0" w:color="auto"/>
                        <w:right w:val="none" w:sz="0" w:space="0" w:color="auto"/>
                      </w:divBdr>
                    </w:div>
                    <w:div w:id="1900087533">
                      <w:marLeft w:val="0"/>
                      <w:marRight w:val="0"/>
                      <w:marTop w:val="0"/>
                      <w:marBottom w:val="0"/>
                      <w:divBdr>
                        <w:top w:val="none" w:sz="0" w:space="0" w:color="auto"/>
                        <w:left w:val="none" w:sz="0" w:space="0" w:color="auto"/>
                        <w:bottom w:val="none" w:sz="0" w:space="0" w:color="auto"/>
                        <w:right w:val="none" w:sz="0" w:space="0" w:color="auto"/>
                      </w:divBdr>
                    </w:div>
                  </w:divsChild>
                </w:div>
                <w:div w:id="1912614729">
                  <w:marLeft w:val="0"/>
                  <w:marRight w:val="0"/>
                  <w:marTop w:val="0"/>
                  <w:marBottom w:val="0"/>
                  <w:divBdr>
                    <w:top w:val="none" w:sz="0" w:space="0" w:color="auto"/>
                    <w:left w:val="none" w:sz="0" w:space="0" w:color="auto"/>
                    <w:bottom w:val="none" w:sz="0" w:space="0" w:color="auto"/>
                    <w:right w:val="none" w:sz="0" w:space="0" w:color="auto"/>
                  </w:divBdr>
                  <w:divsChild>
                    <w:div w:id="508761617">
                      <w:marLeft w:val="0"/>
                      <w:marRight w:val="0"/>
                      <w:marTop w:val="120"/>
                      <w:marBottom w:val="0"/>
                      <w:divBdr>
                        <w:top w:val="none" w:sz="0" w:space="0" w:color="auto"/>
                        <w:left w:val="none" w:sz="0" w:space="0" w:color="auto"/>
                        <w:bottom w:val="none" w:sz="0" w:space="0" w:color="auto"/>
                        <w:right w:val="none" w:sz="0" w:space="0" w:color="auto"/>
                      </w:divBdr>
                    </w:div>
                    <w:div w:id="481582670">
                      <w:marLeft w:val="0"/>
                      <w:marRight w:val="0"/>
                      <w:marTop w:val="0"/>
                      <w:marBottom w:val="0"/>
                      <w:divBdr>
                        <w:top w:val="none" w:sz="0" w:space="0" w:color="auto"/>
                        <w:left w:val="none" w:sz="0" w:space="0" w:color="auto"/>
                        <w:bottom w:val="none" w:sz="0" w:space="0" w:color="auto"/>
                        <w:right w:val="none" w:sz="0" w:space="0" w:color="auto"/>
                      </w:divBdr>
                    </w:div>
                  </w:divsChild>
                </w:div>
                <w:div w:id="796529944">
                  <w:marLeft w:val="0"/>
                  <w:marRight w:val="0"/>
                  <w:marTop w:val="0"/>
                  <w:marBottom w:val="0"/>
                  <w:divBdr>
                    <w:top w:val="none" w:sz="0" w:space="0" w:color="auto"/>
                    <w:left w:val="none" w:sz="0" w:space="0" w:color="auto"/>
                    <w:bottom w:val="none" w:sz="0" w:space="0" w:color="auto"/>
                    <w:right w:val="none" w:sz="0" w:space="0" w:color="auto"/>
                  </w:divBdr>
                  <w:divsChild>
                    <w:div w:id="581373358">
                      <w:marLeft w:val="0"/>
                      <w:marRight w:val="0"/>
                      <w:marTop w:val="120"/>
                      <w:marBottom w:val="0"/>
                      <w:divBdr>
                        <w:top w:val="none" w:sz="0" w:space="0" w:color="auto"/>
                        <w:left w:val="none" w:sz="0" w:space="0" w:color="auto"/>
                        <w:bottom w:val="none" w:sz="0" w:space="0" w:color="auto"/>
                        <w:right w:val="none" w:sz="0" w:space="0" w:color="auto"/>
                      </w:divBdr>
                    </w:div>
                    <w:div w:id="1178806850">
                      <w:marLeft w:val="0"/>
                      <w:marRight w:val="0"/>
                      <w:marTop w:val="0"/>
                      <w:marBottom w:val="0"/>
                      <w:divBdr>
                        <w:top w:val="none" w:sz="0" w:space="0" w:color="auto"/>
                        <w:left w:val="none" w:sz="0" w:space="0" w:color="auto"/>
                        <w:bottom w:val="none" w:sz="0" w:space="0" w:color="auto"/>
                        <w:right w:val="none" w:sz="0" w:space="0" w:color="auto"/>
                      </w:divBdr>
                    </w:div>
                  </w:divsChild>
                </w:div>
                <w:div w:id="1089738068">
                  <w:marLeft w:val="0"/>
                  <w:marRight w:val="0"/>
                  <w:marTop w:val="0"/>
                  <w:marBottom w:val="0"/>
                  <w:divBdr>
                    <w:top w:val="none" w:sz="0" w:space="0" w:color="auto"/>
                    <w:left w:val="none" w:sz="0" w:space="0" w:color="auto"/>
                    <w:bottom w:val="none" w:sz="0" w:space="0" w:color="auto"/>
                    <w:right w:val="none" w:sz="0" w:space="0" w:color="auto"/>
                  </w:divBdr>
                  <w:divsChild>
                    <w:div w:id="1182477950">
                      <w:marLeft w:val="0"/>
                      <w:marRight w:val="0"/>
                      <w:marTop w:val="120"/>
                      <w:marBottom w:val="0"/>
                      <w:divBdr>
                        <w:top w:val="none" w:sz="0" w:space="0" w:color="auto"/>
                        <w:left w:val="none" w:sz="0" w:space="0" w:color="auto"/>
                        <w:bottom w:val="none" w:sz="0" w:space="0" w:color="auto"/>
                        <w:right w:val="none" w:sz="0" w:space="0" w:color="auto"/>
                      </w:divBdr>
                    </w:div>
                    <w:div w:id="910626782">
                      <w:marLeft w:val="0"/>
                      <w:marRight w:val="0"/>
                      <w:marTop w:val="0"/>
                      <w:marBottom w:val="0"/>
                      <w:divBdr>
                        <w:top w:val="none" w:sz="0" w:space="0" w:color="auto"/>
                        <w:left w:val="none" w:sz="0" w:space="0" w:color="auto"/>
                        <w:bottom w:val="none" w:sz="0" w:space="0" w:color="auto"/>
                        <w:right w:val="none" w:sz="0" w:space="0" w:color="auto"/>
                      </w:divBdr>
                    </w:div>
                  </w:divsChild>
                </w:div>
                <w:div w:id="2089837986">
                  <w:marLeft w:val="0"/>
                  <w:marRight w:val="0"/>
                  <w:marTop w:val="0"/>
                  <w:marBottom w:val="0"/>
                  <w:divBdr>
                    <w:top w:val="none" w:sz="0" w:space="0" w:color="auto"/>
                    <w:left w:val="none" w:sz="0" w:space="0" w:color="auto"/>
                    <w:bottom w:val="none" w:sz="0" w:space="0" w:color="auto"/>
                    <w:right w:val="none" w:sz="0" w:space="0" w:color="auto"/>
                  </w:divBdr>
                  <w:divsChild>
                    <w:div w:id="1183323747">
                      <w:marLeft w:val="0"/>
                      <w:marRight w:val="0"/>
                      <w:marTop w:val="120"/>
                      <w:marBottom w:val="0"/>
                      <w:divBdr>
                        <w:top w:val="none" w:sz="0" w:space="0" w:color="auto"/>
                        <w:left w:val="none" w:sz="0" w:space="0" w:color="auto"/>
                        <w:bottom w:val="none" w:sz="0" w:space="0" w:color="auto"/>
                        <w:right w:val="none" w:sz="0" w:space="0" w:color="auto"/>
                      </w:divBdr>
                    </w:div>
                    <w:div w:id="1816142053">
                      <w:marLeft w:val="0"/>
                      <w:marRight w:val="0"/>
                      <w:marTop w:val="0"/>
                      <w:marBottom w:val="0"/>
                      <w:divBdr>
                        <w:top w:val="none" w:sz="0" w:space="0" w:color="auto"/>
                        <w:left w:val="none" w:sz="0" w:space="0" w:color="auto"/>
                        <w:bottom w:val="none" w:sz="0" w:space="0" w:color="auto"/>
                        <w:right w:val="none" w:sz="0" w:space="0" w:color="auto"/>
                      </w:divBdr>
                    </w:div>
                  </w:divsChild>
                </w:div>
                <w:div w:id="1543126913">
                  <w:marLeft w:val="0"/>
                  <w:marRight w:val="0"/>
                  <w:marTop w:val="0"/>
                  <w:marBottom w:val="0"/>
                  <w:divBdr>
                    <w:top w:val="none" w:sz="0" w:space="0" w:color="auto"/>
                    <w:left w:val="none" w:sz="0" w:space="0" w:color="auto"/>
                    <w:bottom w:val="none" w:sz="0" w:space="0" w:color="auto"/>
                    <w:right w:val="none" w:sz="0" w:space="0" w:color="auto"/>
                  </w:divBdr>
                  <w:divsChild>
                    <w:div w:id="224682807">
                      <w:marLeft w:val="0"/>
                      <w:marRight w:val="0"/>
                      <w:marTop w:val="120"/>
                      <w:marBottom w:val="0"/>
                      <w:divBdr>
                        <w:top w:val="none" w:sz="0" w:space="0" w:color="auto"/>
                        <w:left w:val="none" w:sz="0" w:space="0" w:color="auto"/>
                        <w:bottom w:val="none" w:sz="0" w:space="0" w:color="auto"/>
                        <w:right w:val="none" w:sz="0" w:space="0" w:color="auto"/>
                      </w:divBdr>
                    </w:div>
                    <w:div w:id="1757625724">
                      <w:marLeft w:val="0"/>
                      <w:marRight w:val="0"/>
                      <w:marTop w:val="0"/>
                      <w:marBottom w:val="0"/>
                      <w:divBdr>
                        <w:top w:val="none" w:sz="0" w:space="0" w:color="auto"/>
                        <w:left w:val="none" w:sz="0" w:space="0" w:color="auto"/>
                        <w:bottom w:val="none" w:sz="0" w:space="0" w:color="auto"/>
                        <w:right w:val="none" w:sz="0" w:space="0" w:color="auto"/>
                      </w:divBdr>
                    </w:div>
                  </w:divsChild>
                </w:div>
                <w:div w:id="1204561435">
                  <w:marLeft w:val="0"/>
                  <w:marRight w:val="0"/>
                  <w:marTop w:val="0"/>
                  <w:marBottom w:val="0"/>
                  <w:divBdr>
                    <w:top w:val="none" w:sz="0" w:space="0" w:color="auto"/>
                    <w:left w:val="none" w:sz="0" w:space="0" w:color="auto"/>
                    <w:bottom w:val="none" w:sz="0" w:space="0" w:color="auto"/>
                    <w:right w:val="none" w:sz="0" w:space="0" w:color="auto"/>
                  </w:divBdr>
                  <w:divsChild>
                    <w:div w:id="1504324149">
                      <w:marLeft w:val="0"/>
                      <w:marRight w:val="0"/>
                      <w:marTop w:val="120"/>
                      <w:marBottom w:val="0"/>
                      <w:divBdr>
                        <w:top w:val="none" w:sz="0" w:space="0" w:color="auto"/>
                        <w:left w:val="none" w:sz="0" w:space="0" w:color="auto"/>
                        <w:bottom w:val="none" w:sz="0" w:space="0" w:color="auto"/>
                        <w:right w:val="none" w:sz="0" w:space="0" w:color="auto"/>
                      </w:divBdr>
                    </w:div>
                    <w:div w:id="1278683080">
                      <w:marLeft w:val="0"/>
                      <w:marRight w:val="0"/>
                      <w:marTop w:val="0"/>
                      <w:marBottom w:val="0"/>
                      <w:divBdr>
                        <w:top w:val="none" w:sz="0" w:space="0" w:color="auto"/>
                        <w:left w:val="none" w:sz="0" w:space="0" w:color="auto"/>
                        <w:bottom w:val="none" w:sz="0" w:space="0" w:color="auto"/>
                        <w:right w:val="none" w:sz="0" w:space="0" w:color="auto"/>
                      </w:divBdr>
                    </w:div>
                  </w:divsChild>
                </w:div>
                <w:div w:id="1516575656">
                  <w:marLeft w:val="0"/>
                  <w:marRight w:val="0"/>
                  <w:marTop w:val="0"/>
                  <w:marBottom w:val="0"/>
                  <w:divBdr>
                    <w:top w:val="none" w:sz="0" w:space="0" w:color="auto"/>
                    <w:left w:val="none" w:sz="0" w:space="0" w:color="auto"/>
                    <w:bottom w:val="none" w:sz="0" w:space="0" w:color="auto"/>
                    <w:right w:val="none" w:sz="0" w:space="0" w:color="auto"/>
                  </w:divBdr>
                  <w:divsChild>
                    <w:div w:id="1577399546">
                      <w:marLeft w:val="0"/>
                      <w:marRight w:val="0"/>
                      <w:marTop w:val="120"/>
                      <w:marBottom w:val="0"/>
                      <w:divBdr>
                        <w:top w:val="none" w:sz="0" w:space="0" w:color="auto"/>
                        <w:left w:val="none" w:sz="0" w:space="0" w:color="auto"/>
                        <w:bottom w:val="none" w:sz="0" w:space="0" w:color="auto"/>
                        <w:right w:val="none" w:sz="0" w:space="0" w:color="auto"/>
                      </w:divBdr>
                    </w:div>
                    <w:div w:id="2082437514">
                      <w:marLeft w:val="0"/>
                      <w:marRight w:val="0"/>
                      <w:marTop w:val="0"/>
                      <w:marBottom w:val="0"/>
                      <w:divBdr>
                        <w:top w:val="none" w:sz="0" w:space="0" w:color="auto"/>
                        <w:left w:val="none" w:sz="0" w:space="0" w:color="auto"/>
                        <w:bottom w:val="none" w:sz="0" w:space="0" w:color="auto"/>
                        <w:right w:val="none" w:sz="0" w:space="0" w:color="auto"/>
                      </w:divBdr>
                    </w:div>
                  </w:divsChild>
                </w:div>
                <w:div w:id="1678385740">
                  <w:marLeft w:val="0"/>
                  <w:marRight w:val="0"/>
                  <w:marTop w:val="0"/>
                  <w:marBottom w:val="0"/>
                  <w:divBdr>
                    <w:top w:val="none" w:sz="0" w:space="0" w:color="auto"/>
                    <w:left w:val="none" w:sz="0" w:space="0" w:color="auto"/>
                    <w:bottom w:val="none" w:sz="0" w:space="0" w:color="auto"/>
                    <w:right w:val="none" w:sz="0" w:space="0" w:color="auto"/>
                  </w:divBdr>
                  <w:divsChild>
                    <w:div w:id="386731564">
                      <w:marLeft w:val="0"/>
                      <w:marRight w:val="0"/>
                      <w:marTop w:val="120"/>
                      <w:marBottom w:val="0"/>
                      <w:divBdr>
                        <w:top w:val="none" w:sz="0" w:space="0" w:color="auto"/>
                        <w:left w:val="none" w:sz="0" w:space="0" w:color="auto"/>
                        <w:bottom w:val="none" w:sz="0" w:space="0" w:color="auto"/>
                        <w:right w:val="none" w:sz="0" w:space="0" w:color="auto"/>
                      </w:divBdr>
                    </w:div>
                    <w:div w:id="815532479">
                      <w:marLeft w:val="0"/>
                      <w:marRight w:val="0"/>
                      <w:marTop w:val="0"/>
                      <w:marBottom w:val="0"/>
                      <w:divBdr>
                        <w:top w:val="none" w:sz="0" w:space="0" w:color="auto"/>
                        <w:left w:val="none" w:sz="0" w:space="0" w:color="auto"/>
                        <w:bottom w:val="none" w:sz="0" w:space="0" w:color="auto"/>
                        <w:right w:val="none" w:sz="0" w:space="0" w:color="auto"/>
                      </w:divBdr>
                    </w:div>
                  </w:divsChild>
                </w:div>
                <w:div w:id="1014529121">
                  <w:marLeft w:val="0"/>
                  <w:marRight w:val="0"/>
                  <w:marTop w:val="0"/>
                  <w:marBottom w:val="0"/>
                  <w:divBdr>
                    <w:top w:val="none" w:sz="0" w:space="0" w:color="auto"/>
                    <w:left w:val="none" w:sz="0" w:space="0" w:color="auto"/>
                    <w:bottom w:val="none" w:sz="0" w:space="0" w:color="auto"/>
                    <w:right w:val="none" w:sz="0" w:space="0" w:color="auto"/>
                  </w:divBdr>
                  <w:divsChild>
                    <w:div w:id="1195848407">
                      <w:marLeft w:val="0"/>
                      <w:marRight w:val="0"/>
                      <w:marTop w:val="120"/>
                      <w:marBottom w:val="0"/>
                      <w:divBdr>
                        <w:top w:val="none" w:sz="0" w:space="0" w:color="auto"/>
                        <w:left w:val="none" w:sz="0" w:space="0" w:color="auto"/>
                        <w:bottom w:val="none" w:sz="0" w:space="0" w:color="auto"/>
                        <w:right w:val="none" w:sz="0" w:space="0" w:color="auto"/>
                      </w:divBdr>
                    </w:div>
                    <w:div w:id="159856462">
                      <w:marLeft w:val="0"/>
                      <w:marRight w:val="0"/>
                      <w:marTop w:val="0"/>
                      <w:marBottom w:val="0"/>
                      <w:divBdr>
                        <w:top w:val="none" w:sz="0" w:space="0" w:color="auto"/>
                        <w:left w:val="none" w:sz="0" w:space="0" w:color="auto"/>
                        <w:bottom w:val="none" w:sz="0" w:space="0" w:color="auto"/>
                        <w:right w:val="none" w:sz="0" w:space="0" w:color="auto"/>
                      </w:divBdr>
                    </w:div>
                  </w:divsChild>
                </w:div>
                <w:div w:id="274748508">
                  <w:marLeft w:val="0"/>
                  <w:marRight w:val="0"/>
                  <w:marTop w:val="0"/>
                  <w:marBottom w:val="0"/>
                  <w:divBdr>
                    <w:top w:val="none" w:sz="0" w:space="0" w:color="auto"/>
                    <w:left w:val="none" w:sz="0" w:space="0" w:color="auto"/>
                    <w:bottom w:val="none" w:sz="0" w:space="0" w:color="auto"/>
                    <w:right w:val="none" w:sz="0" w:space="0" w:color="auto"/>
                  </w:divBdr>
                  <w:divsChild>
                    <w:div w:id="895166089">
                      <w:marLeft w:val="0"/>
                      <w:marRight w:val="0"/>
                      <w:marTop w:val="120"/>
                      <w:marBottom w:val="0"/>
                      <w:divBdr>
                        <w:top w:val="none" w:sz="0" w:space="0" w:color="auto"/>
                        <w:left w:val="none" w:sz="0" w:space="0" w:color="auto"/>
                        <w:bottom w:val="none" w:sz="0" w:space="0" w:color="auto"/>
                        <w:right w:val="none" w:sz="0" w:space="0" w:color="auto"/>
                      </w:divBdr>
                    </w:div>
                    <w:div w:id="1473673308">
                      <w:marLeft w:val="0"/>
                      <w:marRight w:val="0"/>
                      <w:marTop w:val="0"/>
                      <w:marBottom w:val="0"/>
                      <w:divBdr>
                        <w:top w:val="none" w:sz="0" w:space="0" w:color="auto"/>
                        <w:left w:val="none" w:sz="0" w:space="0" w:color="auto"/>
                        <w:bottom w:val="none" w:sz="0" w:space="0" w:color="auto"/>
                        <w:right w:val="none" w:sz="0" w:space="0" w:color="auto"/>
                      </w:divBdr>
                    </w:div>
                  </w:divsChild>
                </w:div>
                <w:div w:id="854348224">
                  <w:marLeft w:val="0"/>
                  <w:marRight w:val="0"/>
                  <w:marTop w:val="0"/>
                  <w:marBottom w:val="0"/>
                  <w:divBdr>
                    <w:top w:val="none" w:sz="0" w:space="0" w:color="auto"/>
                    <w:left w:val="none" w:sz="0" w:space="0" w:color="auto"/>
                    <w:bottom w:val="none" w:sz="0" w:space="0" w:color="auto"/>
                    <w:right w:val="none" w:sz="0" w:space="0" w:color="auto"/>
                  </w:divBdr>
                  <w:divsChild>
                    <w:div w:id="1593314006">
                      <w:marLeft w:val="0"/>
                      <w:marRight w:val="0"/>
                      <w:marTop w:val="120"/>
                      <w:marBottom w:val="0"/>
                      <w:divBdr>
                        <w:top w:val="none" w:sz="0" w:space="0" w:color="auto"/>
                        <w:left w:val="none" w:sz="0" w:space="0" w:color="auto"/>
                        <w:bottom w:val="none" w:sz="0" w:space="0" w:color="auto"/>
                        <w:right w:val="none" w:sz="0" w:space="0" w:color="auto"/>
                      </w:divBdr>
                    </w:div>
                    <w:div w:id="1102191723">
                      <w:marLeft w:val="0"/>
                      <w:marRight w:val="0"/>
                      <w:marTop w:val="0"/>
                      <w:marBottom w:val="0"/>
                      <w:divBdr>
                        <w:top w:val="none" w:sz="0" w:space="0" w:color="auto"/>
                        <w:left w:val="none" w:sz="0" w:space="0" w:color="auto"/>
                        <w:bottom w:val="none" w:sz="0" w:space="0" w:color="auto"/>
                        <w:right w:val="none" w:sz="0" w:space="0" w:color="auto"/>
                      </w:divBdr>
                    </w:div>
                  </w:divsChild>
                </w:div>
                <w:div w:id="1104765724">
                  <w:marLeft w:val="0"/>
                  <w:marRight w:val="0"/>
                  <w:marTop w:val="0"/>
                  <w:marBottom w:val="0"/>
                  <w:divBdr>
                    <w:top w:val="none" w:sz="0" w:space="0" w:color="auto"/>
                    <w:left w:val="none" w:sz="0" w:space="0" w:color="auto"/>
                    <w:bottom w:val="none" w:sz="0" w:space="0" w:color="auto"/>
                    <w:right w:val="none" w:sz="0" w:space="0" w:color="auto"/>
                  </w:divBdr>
                  <w:divsChild>
                    <w:div w:id="1249997636">
                      <w:marLeft w:val="0"/>
                      <w:marRight w:val="0"/>
                      <w:marTop w:val="120"/>
                      <w:marBottom w:val="0"/>
                      <w:divBdr>
                        <w:top w:val="none" w:sz="0" w:space="0" w:color="auto"/>
                        <w:left w:val="none" w:sz="0" w:space="0" w:color="auto"/>
                        <w:bottom w:val="none" w:sz="0" w:space="0" w:color="auto"/>
                        <w:right w:val="none" w:sz="0" w:space="0" w:color="auto"/>
                      </w:divBdr>
                    </w:div>
                    <w:div w:id="460929276">
                      <w:marLeft w:val="0"/>
                      <w:marRight w:val="0"/>
                      <w:marTop w:val="0"/>
                      <w:marBottom w:val="0"/>
                      <w:divBdr>
                        <w:top w:val="none" w:sz="0" w:space="0" w:color="auto"/>
                        <w:left w:val="none" w:sz="0" w:space="0" w:color="auto"/>
                        <w:bottom w:val="none" w:sz="0" w:space="0" w:color="auto"/>
                        <w:right w:val="none" w:sz="0" w:space="0" w:color="auto"/>
                      </w:divBdr>
                    </w:div>
                  </w:divsChild>
                </w:div>
                <w:div w:id="1250432375">
                  <w:marLeft w:val="0"/>
                  <w:marRight w:val="0"/>
                  <w:marTop w:val="0"/>
                  <w:marBottom w:val="0"/>
                  <w:divBdr>
                    <w:top w:val="none" w:sz="0" w:space="0" w:color="auto"/>
                    <w:left w:val="none" w:sz="0" w:space="0" w:color="auto"/>
                    <w:bottom w:val="none" w:sz="0" w:space="0" w:color="auto"/>
                    <w:right w:val="none" w:sz="0" w:space="0" w:color="auto"/>
                  </w:divBdr>
                  <w:divsChild>
                    <w:div w:id="1563759755">
                      <w:marLeft w:val="0"/>
                      <w:marRight w:val="0"/>
                      <w:marTop w:val="120"/>
                      <w:marBottom w:val="0"/>
                      <w:divBdr>
                        <w:top w:val="none" w:sz="0" w:space="0" w:color="auto"/>
                        <w:left w:val="none" w:sz="0" w:space="0" w:color="auto"/>
                        <w:bottom w:val="none" w:sz="0" w:space="0" w:color="auto"/>
                        <w:right w:val="none" w:sz="0" w:space="0" w:color="auto"/>
                      </w:divBdr>
                    </w:div>
                    <w:div w:id="656762349">
                      <w:marLeft w:val="0"/>
                      <w:marRight w:val="0"/>
                      <w:marTop w:val="0"/>
                      <w:marBottom w:val="0"/>
                      <w:divBdr>
                        <w:top w:val="none" w:sz="0" w:space="0" w:color="auto"/>
                        <w:left w:val="none" w:sz="0" w:space="0" w:color="auto"/>
                        <w:bottom w:val="none" w:sz="0" w:space="0" w:color="auto"/>
                        <w:right w:val="none" w:sz="0" w:space="0" w:color="auto"/>
                      </w:divBdr>
                    </w:div>
                  </w:divsChild>
                </w:div>
                <w:div w:id="596522251">
                  <w:marLeft w:val="0"/>
                  <w:marRight w:val="0"/>
                  <w:marTop w:val="0"/>
                  <w:marBottom w:val="0"/>
                  <w:divBdr>
                    <w:top w:val="none" w:sz="0" w:space="0" w:color="auto"/>
                    <w:left w:val="none" w:sz="0" w:space="0" w:color="auto"/>
                    <w:bottom w:val="none" w:sz="0" w:space="0" w:color="auto"/>
                    <w:right w:val="none" w:sz="0" w:space="0" w:color="auto"/>
                  </w:divBdr>
                  <w:divsChild>
                    <w:div w:id="286274528">
                      <w:marLeft w:val="0"/>
                      <w:marRight w:val="0"/>
                      <w:marTop w:val="120"/>
                      <w:marBottom w:val="0"/>
                      <w:divBdr>
                        <w:top w:val="none" w:sz="0" w:space="0" w:color="auto"/>
                        <w:left w:val="none" w:sz="0" w:space="0" w:color="auto"/>
                        <w:bottom w:val="none" w:sz="0" w:space="0" w:color="auto"/>
                        <w:right w:val="none" w:sz="0" w:space="0" w:color="auto"/>
                      </w:divBdr>
                    </w:div>
                    <w:div w:id="620262462">
                      <w:marLeft w:val="0"/>
                      <w:marRight w:val="0"/>
                      <w:marTop w:val="0"/>
                      <w:marBottom w:val="0"/>
                      <w:divBdr>
                        <w:top w:val="none" w:sz="0" w:space="0" w:color="auto"/>
                        <w:left w:val="none" w:sz="0" w:space="0" w:color="auto"/>
                        <w:bottom w:val="none" w:sz="0" w:space="0" w:color="auto"/>
                        <w:right w:val="none" w:sz="0" w:space="0" w:color="auto"/>
                      </w:divBdr>
                    </w:div>
                  </w:divsChild>
                </w:div>
                <w:div w:id="1557623287">
                  <w:marLeft w:val="0"/>
                  <w:marRight w:val="0"/>
                  <w:marTop w:val="0"/>
                  <w:marBottom w:val="0"/>
                  <w:divBdr>
                    <w:top w:val="none" w:sz="0" w:space="0" w:color="auto"/>
                    <w:left w:val="none" w:sz="0" w:space="0" w:color="auto"/>
                    <w:bottom w:val="none" w:sz="0" w:space="0" w:color="auto"/>
                    <w:right w:val="none" w:sz="0" w:space="0" w:color="auto"/>
                  </w:divBdr>
                  <w:divsChild>
                    <w:div w:id="2124223875">
                      <w:marLeft w:val="0"/>
                      <w:marRight w:val="0"/>
                      <w:marTop w:val="120"/>
                      <w:marBottom w:val="0"/>
                      <w:divBdr>
                        <w:top w:val="none" w:sz="0" w:space="0" w:color="auto"/>
                        <w:left w:val="none" w:sz="0" w:space="0" w:color="auto"/>
                        <w:bottom w:val="none" w:sz="0" w:space="0" w:color="auto"/>
                        <w:right w:val="none" w:sz="0" w:space="0" w:color="auto"/>
                      </w:divBdr>
                    </w:div>
                    <w:div w:id="1148860859">
                      <w:marLeft w:val="0"/>
                      <w:marRight w:val="0"/>
                      <w:marTop w:val="0"/>
                      <w:marBottom w:val="0"/>
                      <w:divBdr>
                        <w:top w:val="none" w:sz="0" w:space="0" w:color="auto"/>
                        <w:left w:val="none" w:sz="0" w:space="0" w:color="auto"/>
                        <w:bottom w:val="none" w:sz="0" w:space="0" w:color="auto"/>
                        <w:right w:val="none" w:sz="0" w:space="0" w:color="auto"/>
                      </w:divBdr>
                    </w:div>
                  </w:divsChild>
                </w:div>
                <w:div w:id="190454414">
                  <w:marLeft w:val="0"/>
                  <w:marRight w:val="0"/>
                  <w:marTop w:val="0"/>
                  <w:marBottom w:val="0"/>
                  <w:divBdr>
                    <w:top w:val="none" w:sz="0" w:space="0" w:color="auto"/>
                    <w:left w:val="none" w:sz="0" w:space="0" w:color="auto"/>
                    <w:bottom w:val="none" w:sz="0" w:space="0" w:color="auto"/>
                    <w:right w:val="none" w:sz="0" w:space="0" w:color="auto"/>
                  </w:divBdr>
                  <w:divsChild>
                    <w:div w:id="866526068">
                      <w:marLeft w:val="0"/>
                      <w:marRight w:val="0"/>
                      <w:marTop w:val="120"/>
                      <w:marBottom w:val="0"/>
                      <w:divBdr>
                        <w:top w:val="none" w:sz="0" w:space="0" w:color="auto"/>
                        <w:left w:val="none" w:sz="0" w:space="0" w:color="auto"/>
                        <w:bottom w:val="none" w:sz="0" w:space="0" w:color="auto"/>
                        <w:right w:val="none" w:sz="0" w:space="0" w:color="auto"/>
                      </w:divBdr>
                    </w:div>
                    <w:div w:id="69508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240173">
      <w:bodyDiv w:val="1"/>
      <w:marLeft w:val="0"/>
      <w:marRight w:val="0"/>
      <w:marTop w:val="0"/>
      <w:marBottom w:val="0"/>
      <w:divBdr>
        <w:top w:val="none" w:sz="0" w:space="0" w:color="auto"/>
        <w:left w:val="none" w:sz="0" w:space="0" w:color="auto"/>
        <w:bottom w:val="none" w:sz="0" w:space="0" w:color="auto"/>
        <w:right w:val="none" w:sz="0" w:space="0" w:color="auto"/>
      </w:divBdr>
      <w:divsChild>
        <w:div w:id="1778020141">
          <w:marLeft w:val="0"/>
          <w:marRight w:val="0"/>
          <w:marTop w:val="0"/>
          <w:marBottom w:val="0"/>
          <w:divBdr>
            <w:top w:val="none" w:sz="0" w:space="0" w:color="auto"/>
            <w:left w:val="none" w:sz="0" w:space="0" w:color="auto"/>
            <w:bottom w:val="none" w:sz="0" w:space="0" w:color="auto"/>
            <w:right w:val="none" w:sz="0" w:space="0" w:color="auto"/>
          </w:divBdr>
        </w:div>
      </w:divsChild>
    </w:div>
    <w:div w:id="1037242860">
      <w:bodyDiv w:val="1"/>
      <w:marLeft w:val="0"/>
      <w:marRight w:val="0"/>
      <w:marTop w:val="0"/>
      <w:marBottom w:val="0"/>
      <w:divBdr>
        <w:top w:val="none" w:sz="0" w:space="0" w:color="auto"/>
        <w:left w:val="none" w:sz="0" w:space="0" w:color="auto"/>
        <w:bottom w:val="none" w:sz="0" w:space="0" w:color="auto"/>
        <w:right w:val="none" w:sz="0" w:space="0" w:color="auto"/>
      </w:divBdr>
      <w:divsChild>
        <w:div w:id="986663252">
          <w:marLeft w:val="0"/>
          <w:marRight w:val="0"/>
          <w:marTop w:val="0"/>
          <w:marBottom w:val="0"/>
          <w:divBdr>
            <w:top w:val="none" w:sz="0" w:space="0" w:color="auto"/>
            <w:left w:val="none" w:sz="0" w:space="0" w:color="auto"/>
            <w:bottom w:val="none" w:sz="0" w:space="0" w:color="auto"/>
            <w:right w:val="none" w:sz="0" w:space="0" w:color="auto"/>
          </w:divBdr>
        </w:div>
      </w:divsChild>
    </w:div>
    <w:div w:id="1051345309">
      <w:bodyDiv w:val="1"/>
      <w:marLeft w:val="0"/>
      <w:marRight w:val="0"/>
      <w:marTop w:val="0"/>
      <w:marBottom w:val="0"/>
      <w:divBdr>
        <w:top w:val="none" w:sz="0" w:space="0" w:color="auto"/>
        <w:left w:val="none" w:sz="0" w:space="0" w:color="auto"/>
        <w:bottom w:val="none" w:sz="0" w:space="0" w:color="auto"/>
        <w:right w:val="none" w:sz="0" w:space="0" w:color="auto"/>
      </w:divBdr>
    </w:div>
    <w:div w:id="1059324244">
      <w:bodyDiv w:val="1"/>
      <w:marLeft w:val="0"/>
      <w:marRight w:val="0"/>
      <w:marTop w:val="0"/>
      <w:marBottom w:val="0"/>
      <w:divBdr>
        <w:top w:val="none" w:sz="0" w:space="0" w:color="auto"/>
        <w:left w:val="none" w:sz="0" w:space="0" w:color="auto"/>
        <w:bottom w:val="none" w:sz="0" w:space="0" w:color="auto"/>
        <w:right w:val="none" w:sz="0" w:space="0" w:color="auto"/>
      </w:divBdr>
      <w:divsChild>
        <w:div w:id="736245220">
          <w:marLeft w:val="0"/>
          <w:marRight w:val="0"/>
          <w:marTop w:val="0"/>
          <w:marBottom w:val="0"/>
          <w:divBdr>
            <w:top w:val="none" w:sz="0" w:space="0" w:color="auto"/>
            <w:left w:val="none" w:sz="0" w:space="0" w:color="auto"/>
            <w:bottom w:val="none" w:sz="0" w:space="0" w:color="auto"/>
            <w:right w:val="none" w:sz="0" w:space="0" w:color="auto"/>
          </w:divBdr>
          <w:divsChild>
            <w:div w:id="1024668492">
              <w:marLeft w:val="0"/>
              <w:marRight w:val="0"/>
              <w:marTop w:val="120"/>
              <w:marBottom w:val="0"/>
              <w:divBdr>
                <w:top w:val="none" w:sz="0" w:space="0" w:color="auto"/>
                <w:left w:val="none" w:sz="0" w:space="0" w:color="auto"/>
                <w:bottom w:val="none" w:sz="0" w:space="0" w:color="auto"/>
                <w:right w:val="none" w:sz="0" w:space="0" w:color="auto"/>
              </w:divBdr>
            </w:div>
            <w:div w:id="180047648">
              <w:marLeft w:val="0"/>
              <w:marRight w:val="0"/>
              <w:marTop w:val="0"/>
              <w:marBottom w:val="0"/>
              <w:divBdr>
                <w:top w:val="none" w:sz="0" w:space="0" w:color="auto"/>
                <w:left w:val="none" w:sz="0" w:space="0" w:color="auto"/>
                <w:bottom w:val="none" w:sz="0" w:space="0" w:color="auto"/>
                <w:right w:val="none" w:sz="0" w:space="0" w:color="auto"/>
              </w:divBdr>
            </w:div>
          </w:divsChild>
        </w:div>
        <w:div w:id="1920746369">
          <w:marLeft w:val="0"/>
          <w:marRight w:val="0"/>
          <w:marTop w:val="0"/>
          <w:marBottom w:val="0"/>
          <w:divBdr>
            <w:top w:val="none" w:sz="0" w:space="0" w:color="auto"/>
            <w:left w:val="none" w:sz="0" w:space="0" w:color="auto"/>
            <w:bottom w:val="none" w:sz="0" w:space="0" w:color="auto"/>
            <w:right w:val="none" w:sz="0" w:space="0" w:color="auto"/>
          </w:divBdr>
          <w:divsChild>
            <w:div w:id="57947729">
              <w:marLeft w:val="0"/>
              <w:marRight w:val="0"/>
              <w:marTop w:val="120"/>
              <w:marBottom w:val="0"/>
              <w:divBdr>
                <w:top w:val="none" w:sz="0" w:space="0" w:color="auto"/>
                <w:left w:val="none" w:sz="0" w:space="0" w:color="auto"/>
                <w:bottom w:val="none" w:sz="0" w:space="0" w:color="auto"/>
                <w:right w:val="none" w:sz="0" w:space="0" w:color="auto"/>
              </w:divBdr>
            </w:div>
            <w:div w:id="156783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21556">
      <w:bodyDiv w:val="1"/>
      <w:marLeft w:val="0"/>
      <w:marRight w:val="0"/>
      <w:marTop w:val="0"/>
      <w:marBottom w:val="0"/>
      <w:divBdr>
        <w:top w:val="none" w:sz="0" w:space="0" w:color="auto"/>
        <w:left w:val="none" w:sz="0" w:space="0" w:color="auto"/>
        <w:bottom w:val="none" w:sz="0" w:space="0" w:color="auto"/>
        <w:right w:val="none" w:sz="0" w:space="0" w:color="auto"/>
      </w:divBdr>
      <w:divsChild>
        <w:div w:id="898051881">
          <w:marLeft w:val="0"/>
          <w:marRight w:val="0"/>
          <w:marTop w:val="0"/>
          <w:marBottom w:val="0"/>
          <w:divBdr>
            <w:top w:val="none" w:sz="0" w:space="0" w:color="auto"/>
            <w:left w:val="none" w:sz="0" w:space="0" w:color="auto"/>
            <w:bottom w:val="none" w:sz="0" w:space="0" w:color="auto"/>
            <w:right w:val="none" w:sz="0" w:space="0" w:color="auto"/>
          </w:divBdr>
        </w:div>
      </w:divsChild>
    </w:div>
    <w:div w:id="1069494483">
      <w:bodyDiv w:val="1"/>
      <w:marLeft w:val="0"/>
      <w:marRight w:val="0"/>
      <w:marTop w:val="0"/>
      <w:marBottom w:val="0"/>
      <w:divBdr>
        <w:top w:val="none" w:sz="0" w:space="0" w:color="auto"/>
        <w:left w:val="none" w:sz="0" w:space="0" w:color="auto"/>
        <w:bottom w:val="none" w:sz="0" w:space="0" w:color="auto"/>
        <w:right w:val="none" w:sz="0" w:space="0" w:color="auto"/>
      </w:divBdr>
      <w:divsChild>
        <w:div w:id="1623996812">
          <w:marLeft w:val="0"/>
          <w:marRight w:val="0"/>
          <w:marTop w:val="0"/>
          <w:marBottom w:val="0"/>
          <w:divBdr>
            <w:top w:val="none" w:sz="0" w:space="0" w:color="auto"/>
            <w:left w:val="none" w:sz="0" w:space="0" w:color="auto"/>
            <w:bottom w:val="none" w:sz="0" w:space="0" w:color="auto"/>
            <w:right w:val="none" w:sz="0" w:space="0" w:color="auto"/>
          </w:divBdr>
        </w:div>
      </w:divsChild>
    </w:div>
    <w:div w:id="1074618950">
      <w:bodyDiv w:val="1"/>
      <w:marLeft w:val="0"/>
      <w:marRight w:val="0"/>
      <w:marTop w:val="0"/>
      <w:marBottom w:val="0"/>
      <w:divBdr>
        <w:top w:val="none" w:sz="0" w:space="0" w:color="auto"/>
        <w:left w:val="none" w:sz="0" w:space="0" w:color="auto"/>
        <w:bottom w:val="none" w:sz="0" w:space="0" w:color="auto"/>
        <w:right w:val="none" w:sz="0" w:space="0" w:color="auto"/>
      </w:divBdr>
      <w:divsChild>
        <w:div w:id="324479668">
          <w:marLeft w:val="0"/>
          <w:marRight w:val="0"/>
          <w:marTop w:val="0"/>
          <w:marBottom w:val="0"/>
          <w:divBdr>
            <w:top w:val="none" w:sz="0" w:space="0" w:color="auto"/>
            <w:left w:val="none" w:sz="0" w:space="0" w:color="auto"/>
            <w:bottom w:val="none" w:sz="0" w:space="0" w:color="auto"/>
            <w:right w:val="none" w:sz="0" w:space="0" w:color="auto"/>
          </w:divBdr>
        </w:div>
      </w:divsChild>
    </w:div>
    <w:div w:id="1076047598">
      <w:bodyDiv w:val="1"/>
      <w:marLeft w:val="0"/>
      <w:marRight w:val="0"/>
      <w:marTop w:val="0"/>
      <w:marBottom w:val="0"/>
      <w:divBdr>
        <w:top w:val="none" w:sz="0" w:space="0" w:color="auto"/>
        <w:left w:val="none" w:sz="0" w:space="0" w:color="auto"/>
        <w:bottom w:val="none" w:sz="0" w:space="0" w:color="auto"/>
        <w:right w:val="none" w:sz="0" w:space="0" w:color="auto"/>
      </w:divBdr>
      <w:divsChild>
        <w:div w:id="1863206434">
          <w:marLeft w:val="0"/>
          <w:marRight w:val="0"/>
          <w:marTop w:val="120"/>
          <w:marBottom w:val="0"/>
          <w:divBdr>
            <w:top w:val="none" w:sz="0" w:space="0" w:color="auto"/>
            <w:left w:val="none" w:sz="0" w:space="0" w:color="auto"/>
            <w:bottom w:val="none" w:sz="0" w:space="0" w:color="auto"/>
            <w:right w:val="none" w:sz="0" w:space="0" w:color="auto"/>
          </w:divBdr>
        </w:div>
        <w:div w:id="289282758">
          <w:marLeft w:val="0"/>
          <w:marRight w:val="0"/>
          <w:marTop w:val="0"/>
          <w:marBottom w:val="0"/>
          <w:divBdr>
            <w:top w:val="none" w:sz="0" w:space="0" w:color="auto"/>
            <w:left w:val="none" w:sz="0" w:space="0" w:color="auto"/>
            <w:bottom w:val="none" w:sz="0" w:space="0" w:color="auto"/>
            <w:right w:val="none" w:sz="0" w:space="0" w:color="auto"/>
          </w:divBdr>
        </w:div>
      </w:divsChild>
    </w:div>
    <w:div w:id="1085885299">
      <w:bodyDiv w:val="1"/>
      <w:marLeft w:val="0"/>
      <w:marRight w:val="0"/>
      <w:marTop w:val="0"/>
      <w:marBottom w:val="0"/>
      <w:divBdr>
        <w:top w:val="none" w:sz="0" w:space="0" w:color="auto"/>
        <w:left w:val="none" w:sz="0" w:space="0" w:color="auto"/>
        <w:bottom w:val="none" w:sz="0" w:space="0" w:color="auto"/>
        <w:right w:val="none" w:sz="0" w:space="0" w:color="auto"/>
      </w:divBdr>
      <w:divsChild>
        <w:div w:id="1183669593">
          <w:marLeft w:val="0"/>
          <w:marRight w:val="0"/>
          <w:marTop w:val="0"/>
          <w:marBottom w:val="0"/>
          <w:divBdr>
            <w:top w:val="none" w:sz="0" w:space="0" w:color="auto"/>
            <w:left w:val="none" w:sz="0" w:space="0" w:color="auto"/>
            <w:bottom w:val="none" w:sz="0" w:space="0" w:color="auto"/>
            <w:right w:val="none" w:sz="0" w:space="0" w:color="auto"/>
          </w:divBdr>
        </w:div>
      </w:divsChild>
    </w:div>
    <w:div w:id="1089817393">
      <w:bodyDiv w:val="1"/>
      <w:marLeft w:val="0"/>
      <w:marRight w:val="0"/>
      <w:marTop w:val="0"/>
      <w:marBottom w:val="0"/>
      <w:divBdr>
        <w:top w:val="none" w:sz="0" w:space="0" w:color="auto"/>
        <w:left w:val="none" w:sz="0" w:space="0" w:color="auto"/>
        <w:bottom w:val="none" w:sz="0" w:space="0" w:color="auto"/>
        <w:right w:val="none" w:sz="0" w:space="0" w:color="auto"/>
      </w:divBdr>
      <w:divsChild>
        <w:div w:id="66809701">
          <w:marLeft w:val="0"/>
          <w:marRight w:val="0"/>
          <w:marTop w:val="120"/>
          <w:marBottom w:val="0"/>
          <w:divBdr>
            <w:top w:val="none" w:sz="0" w:space="0" w:color="auto"/>
            <w:left w:val="none" w:sz="0" w:space="0" w:color="auto"/>
            <w:bottom w:val="none" w:sz="0" w:space="0" w:color="auto"/>
            <w:right w:val="none" w:sz="0" w:space="0" w:color="auto"/>
          </w:divBdr>
        </w:div>
        <w:div w:id="1442065933">
          <w:marLeft w:val="0"/>
          <w:marRight w:val="0"/>
          <w:marTop w:val="0"/>
          <w:marBottom w:val="0"/>
          <w:divBdr>
            <w:top w:val="none" w:sz="0" w:space="0" w:color="auto"/>
            <w:left w:val="none" w:sz="0" w:space="0" w:color="auto"/>
            <w:bottom w:val="none" w:sz="0" w:space="0" w:color="auto"/>
            <w:right w:val="none" w:sz="0" w:space="0" w:color="auto"/>
          </w:divBdr>
          <w:divsChild>
            <w:div w:id="1853952160">
              <w:marLeft w:val="0"/>
              <w:marRight w:val="0"/>
              <w:marTop w:val="0"/>
              <w:marBottom w:val="0"/>
              <w:divBdr>
                <w:top w:val="none" w:sz="0" w:space="0" w:color="auto"/>
                <w:left w:val="none" w:sz="0" w:space="0" w:color="auto"/>
                <w:bottom w:val="none" w:sz="0" w:space="0" w:color="auto"/>
                <w:right w:val="none" w:sz="0" w:space="0" w:color="auto"/>
              </w:divBdr>
              <w:divsChild>
                <w:div w:id="806626687">
                  <w:marLeft w:val="0"/>
                  <w:marRight w:val="0"/>
                  <w:marTop w:val="120"/>
                  <w:marBottom w:val="0"/>
                  <w:divBdr>
                    <w:top w:val="none" w:sz="0" w:space="0" w:color="auto"/>
                    <w:left w:val="none" w:sz="0" w:space="0" w:color="auto"/>
                    <w:bottom w:val="none" w:sz="0" w:space="0" w:color="auto"/>
                    <w:right w:val="none" w:sz="0" w:space="0" w:color="auto"/>
                  </w:divBdr>
                </w:div>
                <w:div w:id="471143495">
                  <w:marLeft w:val="0"/>
                  <w:marRight w:val="0"/>
                  <w:marTop w:val="0"/>
                  <w:marBottom w:val="0"/>
                  <w:divBdr>
                    <w:top w:val="none" w:sz="0" w:space="0" w:color="auto"/>
                    <w:left w:val="none" w:sz="0" w:space="0" w:color="auto"/>
                    <w:bottom w:val="none" w:sz="0" w:space="0" w:color="auto"/>
                    <w:right w:val="none" w:sz="0" w:space="0" w:color="auto"/>
                  </w:divBdr>
                </w:div>
              </w:divsChild>
            </w:div>
            <w:div w:id="699821019">
              <w:marLeft w:val="0"/>
              <w:marRight w:val="0"/>
              <w:marTop w:val="0"/>
              <w:marBottom w:val="0"/>
              <w:divBdr>
                <w:top w:val="none" w:sz="0" w:space="0" w:color="auto"/>
                <w:left w:val="none" w:sz="0" w:space="0" w:color="auto"/>
                <w:bottom w:val="none" w:sz="0" w:space="0" w:color="auto"/>
                <w:right w:val="none" w:sz="0" w:space="0" w:color="auto"/>
              </w:divBdr>
              <w:divsChild>
                <w:div w:id="1423183092">
                  <w:marLeft w:val="0"/>
                  <w:marRight w:val="0"/>
                  <w:marTop w:val="120"/>
                  <w:marBottom w:val="0"/>
                  <w:divBdr>
                    <w:top w:val="none" w:sz="0" w:space="0" w:color="auto"/>
                    <w:left w:val="none" w:sz="0" w:space="0" w:color="auto"/>
                    <w:bottom w:val="none" w:sz="0" w:space="0" w:color="auto"/>
                    <w:right w:val="none" w:sz="0" w:space="0" w:color="auto"/>
                  </w:divBdr>
                </w:div>
                <w:div w:id="183483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318861">
      <w:bodyDiv w:val="1"/>
      <w:marLeft w:val="0"/>
      <w:marRight w:val="0"/>
      <w:marTop w:val="0"/>
      <w:marBottom w:val="0"/>
      <w:divBdr>
        <w:top w:val="none" w:sz="0" w:space="0" w:color="auto"/>
        <w:left w:val="none" w:sz="0" w:space="0" w:color="auto"/>
        <w:bottom w:val="none" w:sz="0" w:space="0" w:color="auto"/>
        <w:right w:val="none" w:sz="0" w:space="0" w:color="auto"/>
      </w:divBdr>
      <w:divsChild>
        <w:div w:id="1316641833">
          <w:marLeft w:val="0"/>
          <w:marRight w:val="0"/>
          <w:marTop w:val="0"/>
          <w:marBottom w:val="0"/>
          <w:divBdr>
            <w:top w:val="none" w:sz="0" w:space="0" w:color="auto"/>
            <w:left w:val="none" w:sz="0" w:space="0" w:color="auto"/>
            <w:bottom w:val="none" w:sz="0" w:space="0" w:color="auto"/>
            <w:right w:val="none" w:sz="0" w:space="0" w:color="auto"/>
          </w:divBdr>
        </w:div>
      </w:divsChild>
    </w:div>
    <w:div w:id="1094472127">
      <w:bodyDiv w:val="1"/>
      <w:marLeft w:val="0"/>
      <w:marRight w:val="0"/>
      <w:marTop w:val="0"/>
      <w:marBottom w:val="0"/>
      <w:divBdr>
        <w:top w:val="none" w:sz="0" w:space="0" w:color="auto"/>
        <w:left w:val="none" w:sz="0" w:space="0" w:color="auto"/>
        <w:bottom w:val="none" w:sz="0" w:space="0" w:color="auto"/>
        <w:right w:val="none" w:sz="0" w:space="0" w:color="auto"/>
      </w:divBdr>
      <w:divsChild>
        <w:div w:id="2028361745">
          <w:marLeft w:val="0"/>
          <w:marRight w:val="0"/>
          <w:marTop w:val="0"/>
          <w:marBottom w:val="0"/>
          <w:divBdr>
            <w:top w:val="none" w:sz="0" w:space="0" w:color="auto"/>
            <w:left w:val="none" w:sz="0" w:space="0" w:color="auto"/>
            <w:bottom w:val="none" w:sz="0" w:space="0" w:color="auto"/>
            <w:right w:val="none" w:sz="0" w:space="0" w:color="auto"/>
          </w:divBdr>
          <w:divsChild>
            <w:div w:id="213736194">
              <w:marLeft w:val="0"/>
              <w:marRight w:val="0"/>
              <w:marTop w:val="0"/>
              <w:marBottom w:val="0"/>
              <w:divBdr>
                <w:top w:val="none" w:sz="0" w:space="0" w:color="auto"/>
                <w:left w:val="none" w:sz="0" w:space="0" w:color="auto"/>
                <w:bottom w:val="none" w:sz="0" w:space="0" w:color="auto"/>
                <w:right w:val="none" w:sz="0" w:space="0" w:color="auto"/>
              </w:divBdr>
              <w:divsChild>
                <w:div w:id="729890542">
                  <w:marLeft w:val="0"/>
                  <w:marRight w:val="0"/>
                  <w:marTop w:val="0"/>
                  <w:marBottom w:val="0"/>
                  <w:divBdr>
                    <w:top w:val="none" w:sz="0" w:space="0" w:color="auto"/>
                    <w:left w:val="none" w:sz="0" w:space="0" w:color="auto"/>
                    <w:bottom w:val="none" w:sz="0" w:space="0" w:color="auto"/>
                    <w:right w:val="none" w:sz="0" w:space="0" w:color="auto"/>
                  </w:divBdr>
                  <w:divsChild>
                    <w:div w:id="755781797">
                      <w:marLeft w:val="0"/>
                      <w:marRight w:val="0"/>
                      <w:marTop w:val="120"/>
                      <w:marBottom w:val="0"/>
                      <w:divBdr>
                        <w:top w:val="none" w:sz="0" w:space="0" w:color="auto"/>
                        <w:left w:val="none" w:sz="0" w:space="0" w:color="auto"/>
                        <w:bottom w:val="none" w:sz="0" w:space="0" w:color="auto"/>
                        <w:right w:val="none" w:sz="0" w:space="0" w:color="auto"/>
                      </w:divBdr>
                    </w:div>
                    <w:div w:id="1795176359">
                      <w:marLeft w:val="0"/>
                      <w:marRight w:val="0"/>
                      <w:marTop w:val="0"/>
                      <w:marBottom w:val="0"/>
                      <w:divBdr>
                        <w:top w:val="none" w:sz="0" w:space="0" w:color="auto"/>
                        <w:left w:val="none" w:sz="0" w:space="0" w:color="auto"/>
                        <w:bottom w:val="none" w:sz="0" w:space="0" w:color="auto"/>
                        <w:right w:val="none" w:sz="0" w:space="0" w:color="auto"/>
                      </w:divBdr>
                    </w:div>
                  </w:divsChild>
                </w:div>
                <w:div w:id="628974906">
                  <w:marLeft w:val="0"/>
                  <w:marRight w:val="0"/>
                  <w:marTop w:val="0"/>
                  <w:marBottom w:val="0"/>
                  <w:divBdr>
                    <w:top w:val="none" w:sz="0" w:space="0" w:color="auto"/>
                    <w:left w:val="none" w:sz="0" w:space="0" w:color="auto"/>
                    <w:bottom w:val="none" w:sz="0" w:space="0" w:color="auto"/>
                    <w:right w:val="none" w:sz="0" w:space="0" w:color="auto"/>
                  </w:divBdr>
                  <w:divsChild>
                    <w:div w:id="1466510445">
                      <w:marLeft w:val="0"/>
                      <w:marRight w:val="0"/>
                      <w:marTop w:val="120"/>
                      <w:marBottom w:val="0"/>
                      <w:divBdr>
                        <w:top w:val="none" w:sz="0" w:space="0" w:color="auto"/>
                        <w:left w:val="none" w:sz="0" w:space="0" w:color="auto"/>
                        <w:bottom w:val="none" w:sz="0" w:space="0" w:color="auto"/>
                        <w:right w:val="none" w:sz="0" w:space="0" w:color="auto"/>
                      </w:divBdr>
                    </w:div>
                    <w:div w:id="18943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22160">
          <w:marLeft w:val="0"/>
          <w:marRight w:val="0"/>
          <w:marTop w:val="0"/>
          <w:marBottom w:val="0"/>
          <w:divBdr>
            <w:top w:val="none" w:sz="0" w:space="0" w:color="auto"/>
            <w:left w:val="none" w:sz="0" w:space="0" w:color="auto"/>
            <w:bottom w:val="none" w:sz="0" w:space="0" w:color="auto"/>
            <w:right w:val="none" w:sz="0" w:space="0" w:color="auto"/>
          </w:divBdr>
          <w:divsChild>
            <w:div w:id="1060863460">
              <w:marLeft w:val="0"/>
              <w:marRight w:val="0"/>
              <w:marTop w:val="0"/>
              <w:marBottom w:val="0"/>
              <w:divBdr>
                <w:top w:val="none" w:sz="0" w:space="0" w:color="auto"/>
                <w:left w:val="none" w:sz="0" w:space="0" w:color="auto"/>
                <w:bottom w:val="none" w:sz="0" w:space="0" w:color="auto"/>
                <w:right w:val="none" w:sz="0" w:space="0" w:color="auto"/>
              </w:divBdr>
              <w:divsChild>
                <w:div w:id="332609857">
                  <w:marLeft w:val="0"/>
                  <w:marRight w:val="0"/>
                  <w:marTop w:val="0"/>
                  <w:marBottom w:val="0"/>
                  <w:divBdr>
                    <w:top w:val="none" w:sz="0" w:space="0" w:color="auto"/>
                    <w:left w:val="none" w:sz="0" w:space="0" w:color="auto"/>
                    <w:bottom w:val="none" w:sz="0" w:space="0" w:color="auto"/>
                    <w:right w:val="none" w:sz="0" w:space="0" w:color="auto"/>
                  </w:divBdr>
                  <w:divsChild>
                    <w:div w:id="428700230">
                      <w:marLeft w:val="0"/>
                      <w:marRight w:val="0"/>
                      <w:marTop w:val="120"/>
                      <w:marBottom w:val="0"/>
                      <w:divBdr>
                        <w:top w:val="none" w:sz="0" w:space="0" w:color="auto"/>
                        <w:left w:val="none" w:sz="0" w:space="0" w:color="auto"/>
                        <w:bottom w:val="none" w:sz="0" w:space="0" w:color="auto"/>
                        <w:right w:val="none" w:sz="0" w:space="0" w:color="auto"/>
                      </w:divBdr>
                    </w:div>
                    <w:div w:id="41246393">
                      <w:marLeft w:val="0"/>
                      <w:marRight w:val="0"/>
                      <w:marTop w:val="0"/>
                      <w:marBottom w:val="0"/>
                      <w:divBdr>
                        <w:top w:val="none" w:sz="0" w:space="0" w:color="auto"/>
                        <w:left w:val="none" w:sz="0" w:space="0" w:color="auto"/>
                        <w:bottom w:val="none" w:sz="0" w:space="0" w:color="auto"/>
                        <w:right w:val="none" w:sz="0" w:space="0" w:color="auto"/>
                      </w:divBdr>
                    </w:div>
                  </w:divsChild>
                </w:div>
                <w:div w:id="122234953">
                  <w:marLeft w:val="0"/>
                  <w:marRight w:val="0"/>
                  <w:marTop w:val="0"/>
                  <w:marBottom w:val="0"/>
                  <w:divBdr>
                    <w:top w:val="none" w:sz="0" w:space="0" w:color="auto"/>
                    <w:left w:val="none" w:sz="0" w:space="0" w:color="auto"/>
                    <w:bottom w:val="none" w:sz="0" w:space="0" w:color="auto"/>
                    <w:right w:val="none" w:sz="0" w:space="0" w:color="auto"/>
                  </w:divBdr>
                  <w:divsChild>
                    <w:div w:id="122312100">
                      <w:marLeft w:val="0"/>
                      <w:marRight w:val="0"/>
                      <w:marTop w:val="120"/>
                      <w:marBottom w:val="0"/>
                      <w:divBdr>
                        <w:top w:val="none" w:sz="0" w:space="0" w:color="auto"/>
                        <w:left w:val="none" w:sz="0" w:space="0" w:color="auto"/>
                        <w:bottom w:val="none" w:sz="0" w:space="0" w:color="auto"/>
                        <w:right w:val="none" w:sz="0" w:space="0" w:color="auto"/>
                      </w:divBdr>
                    </w:div>
                    <w:div w:id="310838282">
                      <w:marLeft w:val="0"/>
                      <w:marRight w:val="0"/>
                      <w:marTop w:val="0"/>
                      <w:marBottom w:val="0"/>
                      <w:divBdr>
                        <w:top w:val="none" w:sz="0" w:space="0" w:color="auto"/>
                        <w:left w:val="none" w:sz="0" w:space="0" w:color="auto"/>
                        <w:bottom w:val="none" w:sz="0" w:space="0" w:color="auto"/>
                        <w:right w:val="none" w:sz="0" w:space="0" w:color="auto"/>
                      </w:divBdr>
                    </w:div>
                  </w:divsChild>
                </w:div>
                <w:div w:id="743256773">
                  <w:marLeft w:val="0"/>
                  <w:marRight w:val="0"/>
                  <w:marTop w:val="0"/>
                  <w:marBottom w:val="0"/>
                  <w:divBdr>
                    <w:top w:val="none" w:sz="0" w:space="0" w:color="auto"/>
                    <w:left w:val="none" w:sz="0" w:space="0" w:color="auto"/>
                    <w:bottom w:val="none" w:sz="0" w:space="0" w:color="auto"/>
                    <w:right w:val="none" w:sz="0" w:space="0" w:color="auto"/>
                  </w:divBdr>
                  <w:divsChild>
                    <w:div w:id="393283733">
                      <w:marLeft w:val="0"/>
                      <w:marRight w:val="0"/>
                      <w:marTop w:val="120"/>
                      <w:marBottom w:val="0"/>
                      <w:divBdr>
                        <w:top w:val="none" w:sz="0" w:space="0" w:color="auto"/>
                        <w:left w:val="none" w:sz="0" w:space="0" w:color="auto"/>
                        <w:bottom w:val="none" w:sz="0" w:space="0" w:color="auto"/>
                        <w:right w:val="none" w:sz="0" w:space="0" w:color="auto"/>
                      </w:divBdr>
                    </w:div>
                    <w:div w:id="117638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203917">
      <w:bodyDiv w:val="1"/>
      <w:marLeft w:val="0"/>
      <w:marRight w:val="0"/>
      <w:marTop w:val="0"/>
      <w:marBottom w:val="0"/>
      <w:divBdr>
        <w:top w:val="none" w:sz="0" w:space="0" w:color="auto"/>
        <w:left w:val="none" w:sz="0" w:space="0" w:color="auto"/>
        <w:bottom w:val="none" w:sz="0" w:space="0" w:color="auto"/>
        <w:right w:val="none" w:sz="0" w:space="0" w:color="auto"/>
      </w:divBdr>
      <w:divsChild>
        <w:div w:id="68575023">
          <w:marLeft w:val="0"/>
          <w:marRight w:val="0"/>
          <w:marTop w:val="0"/>
          <w:marBottom w:val="0"/>
          <w:divBdr>
            <w:top w:val="none" w:sz="0" w:space="0" w:color="auto"/>
            <w:left w:val="none" w:sz="0" w:space="0" w:color="auto"/>
            <w:bottom w:val="none" w:sz="0" w:space="0" w:color="auto"/>
            <w:right w:val="none" w:sz="0" w:space="0" w:color="auto"/>
          </w:divBdr>
        </w:div>
      </w:divsChild>
    </w:div>
    <w:div w:id="1097290604">
      <w:bodyDiv w:val="1"/>
      <w:marLeft w:val="0"/>
      <w:marRight w:val="0"/>
      <w:marTop w:val="0"/>
      <w:marBottom w:val="0"/>
      <w:divBdr>
        <w:top w:val="none" w:sz="0" w:space="0" w:color="auto"/>
        <w:left w:val="none" w:sz="0" w:space="0" w:color="auto"/>
        <w:bottom w:val="none" w:sz="0" w:space="0" w:color="auto"/>
        <w:right w:val="none" w:sz="0" w:space="0" w:color="auto"/>
      </w:divBdr>
      <w:divsChild>
        <w:div w:id="937905739">
          <w:marLeft w:val="0"/>
          <w:marRight w:val="0"/>
          <w:marTop w:val="0"/>
          <w:marBottom w:val="0"/>
          <w:divBdr>
            <w:top w:val="none" w:sz="0" w:space="0" w:color="auto"/>
            <w:left w:val="none" w:sz="0" w:space="0" w:color="auto"/>
            <w:bottom w:val="none" w:sz="0" w:space="0" w:color="auto"/>
            <w:right w:val="none" w:sz="0" w:space="0" w:color="auto"/>
          </w:divBdr>
          <w:divsChild>
            <w:div w:id="1055473043">
              <w:marLeft w:val="0"/>
              <w:marRight w:val="0"/>
              <w:marTop w:val="0"/>
              <w:marBottom w:val="0"/>
              <w:divBdr>
                <w:top w:val="none" w:sz="0" w:space="0" w:color="auto"/>
                <w:left w:val="none" w:sz="0" w:space="0" w:color="auto"/>
                <w:bottom w:val="none" w:sz="0" w:space="0" w:color="auto"/>
                <w:right w:val="none" w:sz="0" w:space="0" w:color="auto"/>
              </w:divBdr>
              <w:divsChild>
                <w:div w:id="1320772219">
                  <w:marLeft w:val="0"/>
                  <w:marRight w:val="0"/>
                  <w:marTop w:val="120"/>
                  <w:marBottom w:val="0"/>
                  <w:divBdr>
                    <w:top w:val="none" w:sz="0" w:space="0" w:color="auto"/>
                    <w:left w:val="none" w:sz="0" w:space="0" w:color="auto"/>
                    <w:bottom w:val="none" w:sz="0" w:space="0" w:color="auto"/>
                    <w:right w:val="none" w:sz="0" w:space="0" w:color="auto"/>
                  </w:divBdr>
                </w:div>
                <w:div w:id="1052919688">
                  <w:marLeft w:val="0"/>
                  <w:marRight w:val="0"/>
                  <w:marTop w:val="0"/>
                  <w:marBottom w:val="0"/>
                  <w:divBdr>
                    <w:top w:val="none" w:sz="0" w:space="0" w:color="auto"/>
                    <w:left w:val="none" w:sz="0" w:space="0" w:color="auto"/>
                    <w:bottom w:val="none" w:sz="0" w:space="0" w:color="auto"/>
                    <w:right w:val="none" w:sz="0" w:space="0" w:color="auto"/>
                  </w:divBdr>
                </w:div>
              </w:divsChild>
            </w:div>
            <w:div w:id="1134178742">
              <w:marLeft w:val="0"/>
              <w:marRight w:val="0"/>
              <w:marTop w:val="0"/>
              <w:marBottom w:val="0"/>
              <w:divBdr>
                <w:top w:val="none" w:sz="0" w:space="0" w:color="auto"/>
                <w:left w:val="none" w:sz="0" w:space="0" w:color="auto"/>
                <w:bottom w:val="none" w:sz="0" w:space="0" w:color="auto"/>
                <w:right w:val="none" w:sz="0" w:space="0" w:color="auto"/>
              </w:divBdr>
              <w:divsChild>
                <w:div w:id="1327976428">
                  <w:marLeft w:val="0"/>
                  <w:marRight w:val="0"/>
                  <w:marTop w:val="120"/>
                  <w:marBottom w:val="0"/>
                  <w:divBdr>
                    <w:top w:val="none" w:sz="0" w:space="0" w:color="auto"/>
                    <w:left w:val="none" w:sz="0" w:space="0" w:color="auto"/>
                    <w:bottom w:val="none" w:sz="0" w:space="0" w:color="auto"/>
                    <w:right w:val="none" w:sz="0" w:space="0" w:color="auto"/>
                  </w:divBdr>
                </w:div>
                <w:div w:id="8755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638409">
      <w:bodyDiv w:val="1"/>
      <w:marLeft w:val="0"/>
      <w:marRight w:val="0"/>
      <w:marTop w:val="0"/>
      <w:marBottom w:val="0"/>
      <w:divBdr>
        <w:top w:val="none" w:sz="0" w:space="0" w:color="auto"/>
        <w:left w:val="none" w:sz="0" w:space="0" w:color="auto"/>
        <w:bottom w:val="none" w:sz="0" w:space="0" w:color="auto"/>
        <w:right w:val="none" w:sz="0" w:space="0" w:color="auto"/>
      </w:divBdr>
      <w:divsChild>
        <w:div w:id="1438796743">
          <w:marLeft w:val="0"/>
          <w:marRight w:val="0"/>
          <w:marTop w:val="0"/>
          <w:marBottom w:val="0"/>
          <w:divBdr>
            <w:top w:val="none" w:sz="0" w:space="0" w:color="auto"/>
            <w:left w:val="none" w:sz="0" w:space="0" w:color="auto"/>
            <w:bottom w:val="none" w:sz="0" w:space="0" w:color="auto"/>
            <w:right w:val="none" w:sz="0" w:space="0" w:color="auto"/>
          </w:divBdr>
        </w:div>
      </w:divsChild>
    </w:div>
    <w:div w:id="1100373053">
      <w:bodyDiv w:val="1"/>
      <w:marLeft w:val="0"/>
      <w:marRight w:val="0"/>
      <w:marTop w:val="0"/>
      <w:marBottom w:val="0"/>
      <w:divBdr>
        <w:top w:val="none" w:sz="0" w:space="0" w:color="auto"/>
        <w:left w:val="none" w:sz="0" w:space="0" w:color="auto"/>
        <w:bottom w:val="none" w:sz="0" w:space="0" w:color="auto"/>
        <w:right w:val="none" w:sz="0" w:space="0" w:color="auto"/>
      </w:divBdr>
      <w:divsChild>
        <w:div w:id="50346336">
          <w:marLeft w:val="0"/>
          <w:marRight w:val="0"/>
          <w:marTop w:val="0"/>
          <w:marBottom w:val="0"/>
          <w:divBdr>
            <w:top w:val="none" w:sz="0" w:space="0" w:color="auto"/>
            <w:left w:val="none" w:sz="0" w:space="0" w:color="auto"/>
            <w:bottom w:val="none" w:sz="0" w:space="0" w:color="auto"/>
            <w:right w:val="none" w:sz="0" w:space="0" w:color="auto"/>
          </w:divBdr>
        </w:div>
      </w:divsChild>
    </w:div>
    <w:div w:id="1101267717">
      <w:bodyDiv w:val="1"/>
      <w:marLeft w:val="0"/>
      <w:marRight w:val="0"/>
      <w:marTop w:val="0"/>
      <w:marBottom w:val="0"/>
      <w:divBdr>
        <w:top w:val="none" w:sz="0" w:space="0" w:color="auto"/>
        <w:left w:val="none" w:sz="0" w:space="0" w:color="auto"/>
        <w:bottom w:val="none" w:sz="0" w:space="0" w:color="auto"/>
        <w:right w:val="none" w:sz="0" w:space="0" w:color="auto"/>
      </w:divBdr>
      <w:divsChild>
        <w:div w:id="1089888535">
          <w:marLeft w:val="0"/>
          <w:marRight w:val="0"/>
          <w:marTop w:val="0"/>
          <w:marBottom w:val="0"/>
          <w:divBdr>
            <w:top w:val="none" w:sz="0" w:space="0" w:color="auto"/>
            <w:left w:val="none" w:sz="0" w:space="0" w:color="auto"/>
            <w:bottom w:val="none" w:sz="0" w:space="0" w:color="auto"/>
            <w:right w:val="none" w:sz="0" w:space="0" w:color="auto"/>
          </w:divBdr>
          <w:divsChild>
            <w:div w:id="168982475">
              <w:marLeft w:val="0"/>
              <w:marRight w:val="0"/>
              <w:marTop w:val="0"/>
              <w:marBottom w:val="0"/>
              <w:divBdr>
                <w:top w:val="none" w:sz="0" w:space="0" w:color="auto"/>
                <w:left w:val="none" w:sz="0" w:space="0" w:color="auto"/>
                <w:bottom w:val="none" w:sz="0" w:space="0" w:color="auto"/>
                <w:right w:val="none" w:sz="0" w:space="0" w:color="auto"/>
              </w:divBdr>
              <w:divsChild>
                <w:div w:id="1250042663">
                  <w:marLeft w:val="0"/>
                  <w:marRight w:val="0"/>
                  <w:marTop w:val="0"/>
                  <w:marBottom w:val="0"/>
                  <w:divBdr>
                    <w:top w:val="none" w:sz="0" w:space="0" w:color="auto"/>
                    <w:left w:val="none" w:sz="0" w:space="0" w:color="auto"/>
                    <w:bottom w:val="none" w:sz="0" w:space="0" w:color="auto"/>
                    <w:right w:val="none" w:sz="0" w:space="0" w:color="auto"/>
                  </w:divBdr>
                  <w:divsChild>
                    <w:div w:id="275067599">
                      <w:marLeft w:val="0"/>
                      <w:marRight w:val="0"/>
                      <w:marTop w:val="120"/>
                      <w:marBottom w:val="0"/>
                      <w:divBdr>
                        <w:top w:val="none" w:sz="0" w:space="0" w:color="auto"/>
                        <w:left w:val="none" w:sz="0" w:space="0" w:color="auto"/>
                        <w:bottom w:val="none" w:sz="0" w:space="0" w:color="auto"/>
                        <w:right w:val="none" w:sz="0" w:space="0" w:color="auto"/>
                      </w:divBdr>
                    </w:div>
                    <w:div w:id="965351151">
                      <w:marLeft w:val="0"/>
                      <w:marRight w:val="0"/>
                      <w:marTop w:val="0"/>
                      <w:marBottom w:val="0"/>
                      <w:divBdr>
                        <w:top w:val="none" w:sz="0" w:space="0" w:color="auto"/>
                        <w:left w:val="none" w:sz="0" w:space="0" w:color="auto"/>
                        <w:bottom w:val="none" w:sz="0" w:space="0" w:color="auto"/>
                        <w:right w:val="none" w:sz="0" w:space="0" w:color="auto"/>
                      </w:divBdr>
                    </w:div>
                  </w:divsChild>
                </w:div>
                <w:div w:id="600336937">
                  <w:marLeft w:val="0"/>
                  <w:marRight w:val="0"/>
                  <w:marTop w:val="0"/>
                  <w:marBottom w:val="0"/>
                  <w:divBdr>
                    <w:top w:val="none" w:sz="0" w:space="0" w:color="auto"/>
                    <w:left w:val="none" w:sz="0" w:space="0" w:color="auto"/>
                    <w:bottom w:val="none" w:sz="0" w:space="0" w:color="auto"/>
                    <w:right w:val="none" w:sz="0" w:space="0" w:color="auto"/>
                  </w:divBdr>
                  <w:divsChild>
                    <w:div w:id="741293796">
                      <w:marLeft w:val="0"/>
                      <w:marRight w:val="0"/>
                      <w:marTop w:val="120"/>
                      <w:marBottom w:val="0"/>
                      <w:divBdr>
                        <w:top w:val="none" w:sz="0" w:space="0" w:color="auto"/>
                        <w:left w:val="none" w:sz="0" w:space="0" w:color="auto"/>
                        <w:bottom w:val="none" w:sz="0" w:space="0" w:color="auto"/>
                        <w:right w:val="none" w:sz="0" w:space="0" w:color="auto"/>
                      </w:divBdr>
                    </w:div>
                    <w:div w:id="962881487">
                      <w:marLeft w:val="0"/>
                      <w:marRight w:val="0"/>
                      <w:marTop w:val="0"/>
                      <w:marBottom w:val="0"/>
                      <w:divBdr>
                        <w:top w:val="none" w:sz="0" w:space="0" w:color="auto"/>
                        <w:left w:val="none" w:sz="0" w:space="0" w:color="auto"/>
                        <w:bottom w:val="none" w:sz="0" w:space="0" w:color="auto"/>
                        <w:right w:val="none" w:sz="0" w:space="0" w:color="auto"/>
                      </w:divBdr>
                    </w:div>
                  </w:divsChild>
                </w:div>
                <w:div w:id="1381399344">
                  <w:marLeft w:val="0"/>
                  <w:marRight w:val="0"/>
                  <w:marTop w:val="0"/>
                  <w:marBottom w:val="0"/>
                  <w:divBdr>
                    <w:top w:val="none" w:sz="0" w:space="0" w:color="auto"/>
                    <w:left w:val="none" w:sz="0" w:space="0" w:color="auto"/>
                    <w:bottom w:val="none" w:sz="0" w:space="0" w:color="auto"/>
                    <w:right w:val="none" w:sz="0" w:space="0" w:color="auto"/>
                  </w:divBdr>
                  <w:divsChild>
                    <w:div w:id="1635408163">
                      <w:marLeft w:val="0"/>
                      <w:marRight w:val="0"/>
                      <w:marTop w:val="120"/>
                      <w:marBottom w:val="0"/>
                      <w:divBdr>
                        <w:top w:val="none" w:sz="0" w:space="0" w:color="auto"/>
                        <w:left w:val="none" w:sz="0" w:space="0" w:color="auto"/>
                        <w:bottom w:val="none" w:sz="0" w:space="0" w:color="auto"/>
                        <w:right w:val="none" w:sz="0" w:space="0" w:color="auto"/>
                      </w:divBdr>
                    </w:div>
                    <w:div w:id="107393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143354">
      <w:bodyDiv w:val="1"/>
      <w:marLeft w:val="0"/>
      <w:marRight w:val="0"/>
      <w:marTop w:val="0"/>
      <w:marBottom w:val="0"/>
      <w:divBdr>
        <w:top w:val="none" w:sz="0" w:space="0" w:color="auto"/>
        <w:left w:val="none" w:sz="0" w:space="0" w:color="auto"/>
        <w:bottom w:val="none" w:sz="0" w:space="0" w:color="auto"/>
        <w:right w:val="none" w:sz="0" w:space="0" w:color="auto"/>
      </w:divBdr>
      <w:divsChild>
        <w:div w:id="2037004064">
          <w:marLeft w:val="0"/>
          <w:marRight w:val="0"/>
          <w:marTop w:val="120"/>
          <w:marBottom w:val="0"/>
          <w:divBdr>
            <w:top w:val="none" w:sz="0" w:space="0" w:color="auto"/>
            <w:left w:val="none" w:sz="0" w:space="0" w:color="auto"/>
            <w:bottom w:val="none" w:sz="0" w:space="0" w:color="auto"/>
            <w:right w:val="none" w:sz="0" w:space="0" w:color="auto"/>
          </w:divBdr>
        </w:div>
        <w:div w:id="1779331875">
          <w:marLeft w:val="0"/>
          <w:marRight w:val="0"/>
          <w:marTop w:val="0"/>
          <w:marBottom w:val="0"/>
          <w:divBdr>
            <w:top w:val="none" w:sz="0" w:space="0" w:color="auto"/>
            <w:left w:val="none" w:sz="0" w:space="0" w:color="auto"/>
            <w:bottom w:val="none" w:sz="0" w:space="0" w:color="auto"/>
            <w:right w:val="none" w:sz="0" w:space="0" w:color="auto"/>
          </w:divBdr>
        </w:div>
      </w:divsChild>
    </w:div>
    <w:div w:id="1103499499">
      <w:bodyDiv w:val="1"/>
      <w:marLeft w:val="0"/>
      <w:marRight w:val="0"/>
      <w:marTop w:val="0"/>
      <w:marBottom w:val="0"/>
      <w:divBdr>
        <w:top w:val="none" w:sz="0" w:space="0" w:color="auto"/>
        <w:left w:val="none" w:sz="0" w:space="0" w:color="auto"/>
        <w:bottom w:val="none" w:sz="0" w:space="0" w:color="auto"/>
        <w:right w:val="none" w:sz="0" w:space="0" w:color="auto"/>
      </w:divBdr>
      <w:divsChild>
        <w:div w:id="1280146399">
          <w:marLeft w:val="0"/>
          <w:marRight w:val="0"/>
          <w:marTop w:val="0"/>
          <w:marBottom w:val="0"/>
          <w:divBdr>
            <w:top w:val="none" w:sz="0" w:space="0" w:color="auto"/>
            <w:left w:val="none" w:sz="0" w:space="0" w:color="auto"/>
            <w:bottom w:val="none" w:sz="0" w:space="0" w:color="auto"/>
            <w:right w:val="none" w:sz="0" w:space="0" w:color="auto"/>
          </w:divBdr>
        </w:div>
      </w:divsChild>
    </w:div>
    <w:div w:id="1104879948">
      <w:bodyDiv w:val="1"/>
      <w:marLeft w:val="0"/>
      <w:marRight w:val="0"/>
      <w:marTop w:val="0"/>
      <w:marBottom w:val="0"/>
      <w:divBdr>
        <w:top w:val="none" w:sz="0" w:space="0" w:color="auto"/>
        <w:left w:val="none" w:sz="0" w:space="0" w:color="auto"/>
        <w:bottom w:val="none" w:sz="0" w:space="0" w:color="auto"/>
        <w:right w:val="none" w:sz="0" w:space="0" w:color="auto"/>
      </w:divBdr>
      <w:divsChild>
        <w:div w:id="1517109531">
          <w:marLeft w:val="0"/>
          <w:marRight w:val="0"/>
          <w:marTop w:val="0"/>
          <w:marBottom w:val="0"/>
          <w:divBdr>
            <w:top w:val="none" w:sz="0" w:space="0" w:color="auto"/>
            <w:left w:val="none" w:sz="0" w:space="0" w:color="auto"/>
            <w:bottom w:val="none" w:sz="0" w:space="0" w:color="auto"/>
            <w:right w:val="none" w:sz="0" w:space="0" w:color="auto"/>
          </w:divBdr>
        </w:div>
      </w:divsChild>
    </w:div>
    <w:div w:id="1111586674">
      <w:bodyDiv w:val="1"/>
      <w:marLeft w:val="0"/>
      <w:marRight w:val="0"/>
      <w:marTop w:val="0"/>
      <w:marBottom w:val="0"/>
      <w:divBdr>
        <w:top w:val="none" w:sz="0" w:space="0" w:color="auto"/>
        <w:left w:val="none" w:sz="0" w:space="0" w:color="auto"/>
        <w:bottom w:val="none" w:sz="0" w:space="0" w:color="auto"/>
        <w:right w:val="none" w:sz="0" w:space="0" w:color="auto"/>
      </w:divBdr>
      <w:divsChild>
        <w:div w:id="176627452">
          <w:marLeft w:val="0"/>
          <w:marRight w:val="0"/>
          <w:marTop w:val="0"/>
          <w:marBottom w:val="0"/>
          <w:divBdr>
            <w:top w:val="none" w:sz="0" w:space="0" w:color="auto"/>
            <w:left w:val="none" w:sz="0" w:space="0" w:color="auto"/>
            <w:bottom w:val="none" w:sz="0" w:space="0" w:color="auto"/>
            <w:right w:val="none" w:sz="0" w:space="0" w:color="auto"/>
          </w:divBdr>
          <w:divsChild>
            <w:div w:id="1470898258">
              <w:marLeft w:val="0"/>
              <w:marRight w:val="0"/>
              <w:marTop w:val="0"/>
              <w:marBottom w:val="0"/>
              <w:divBdr>
                <w:top w:val="none" w:sz="0" w:space="0" w:color="auto"/>
                <w:left w:val="none" w:sz="0" w:space="0" w:color="auto"/>
                <w:bottom w:val="none" w:sz="0" w:space="0" w:color="auto"/>
                <w:right w:val="none" w:sz="0" w:space="0" w:color="auto"/>
              </w:divBdr>
              <w:divsChild>
                <w:div w:id="133451346">
                  <w:marLeft w:val="0"/>
                  <w:marRight w:val="0"/>
                  <w:marTop w:val="0"/>
                  <w:marBottom w:val="0"/>
                  <w:divBdr>
                    <w:top w:val="none" w:sz="0" w:space="0" w:color="auto"/>
                    <w:left w:val="none" w:sz="0" w:space="0" w:color="auto"/>
                    <w:bottom w:val="none" w:sz="0" w:space="0" w:color="auto"/>
                    <w:right w:val="none" w:sz="0" w:space="0" w:color="auto"/>
                  </w:divBdr>
                  <w:divsChild>
                    <w:div w:id="252781922">
                      <w:marLeft w:val="0"/>
                      <w:marRight w:val="0"/>
                      <w:marTop w:val="120"/>
                      <w:marBottom w:val="0"/>
                      <w:divBdr>
                        <w:top w:val="none" w:sz="0" w:space="0" w:color="auto"/>
                        <w:left w:val="none" w:sz="0" w:space="0" w:color="auto"/>
                        <w:bottom w:val="none" w:sz="0" w:space="0" w:color="auto"/>
                        <w:right w:val="none" w:sz="0" w:space="0" w:color="auto"/>
                      </w:divBdr>
                    </w:div>
                    <w:div w:id="693503140">
                      <w:marLeft w:val="0"/>
                      <w:marRight w:val="0"/>
                      <w:marTop w:val="0"/>
                      <w:marBottom w:val="0"/>
                      <w:divBdr>
                        <w:top w:val="none" w:sz="0" w:space="0" w:color="auto"/>
                        <w:left w:val="none" w:sz="0" w:space="0" w:color="auto"/>
                        <w:bottom w:val="none" w:sz="0" w:space="0" w:color="auto"/>
                        <w:right w:val="none" w:sz="0" w:space="0" w:color="auto"/>
                      </w:divBdr>
                    </w:div>
                  </w:divsChild>
                </w:div>
                <w:div w:id="1561398784">
                  <w:marLeft w:val="0"/>
                  <w:marRight w:val="0"/>
                  <w:marTop w:val="0"/>
                  <w:marBottom w:val="0"/>
                  <w:divBdr>
                    <w:top w:val="none" w:sz="0" w:space="0" w:color="auto"/>
                    <w:left w:val="none" w:sz="0" w:space="0" w:color="auto"/>
                    <w:bottom w:val="none" w:sz="0" w:space="0" w:color="auto"/>
                    <w:right w:val="none" w:sz="0" w:space="0" w:color="auto"/>
                  </w:divBdr>
                  <w:divsChild>
                    <w:div w:id="1065494667">
                      <w:marLeft w:val="0"/>
                      <w:marRight w:val="0"/>
                      <w:marTop w:val="120"/>
                      <w:marBottom w:val="0"/>
                      <w:divBdr>
                        <w:top w:val="none" w:sz="0" w:space="0" w:color="auto"/>
                        <w:left w:val="none" w:sz="0" w:space="0" w:color="auto"/>
                        <w:bottom w:val="none" w:sz="0" w:space="0" w:color="auto"/>
                        <w:right w:val="none" w:sz="0" w:space="0" w:color="auto"/>
                      </w:divBdr>
                    </w:div>
                    <w:div w:id="1633632843">
                      <w:marLeft w:val="0"/>
                      <w:marRight w:val="0"/>
                      <w:marTop w:val="0"/>
                      <w:marBottom w:val="0"/>
                      <w:divBdr>
                        <w:top w:val="none" w:sz="0" w:space="0" w:color="auto"/>
                        <w:left w:val="none" w:sz="0" w:space="0" w:color="auto"/>
                        <w:bottom w:val="none" w:sz="0" w:space="0" w:color="auto"/>
                        <w:right w:val="none" w:sz="0" w:space="0" w:color="auto"/>
                      </w:divBdr>
                    </w:div>
                  </w:divsChild>
                </w:div>
                <w:div w:id="828834985">
                  <w:marLeft w:val="0"/>
                  <w:marRight w:val="0"/>
                  <w:marTop w:val="0"/>
                  <w:marBottom w:val="0"/>
                  <w:divBdr>
                    <w:top w:val="none" w:sz="0" w:space="0" w:color="auto"/>
                    <w:left w:val="none" w:sz="0" w:space="0" w:color="auto"/>
                    <w:bottom w:val="none" w:sz="0" w:space="0" w:color="auto"/>
                    <w:right w:val="none" w:sz="0" w:space="0" w:color="auto"/>
                  </w:divBdr>
                  <w:divsChild>
                    <w:div w:id="632566767">
                      <w:marLeft w:val="0"/>
                      <w:marRight w:val="0"/>
                      <w:marTop w:val="120"/>
                      <w:marBottom w:val="0"/>
                      <w:divBdr>
                        <w:top w:val="none" w:sz="0" w:space="0" w:color="auto"/>
                        <w:left w:val="none" w:sz="0" w:space="0" w:color="auto"/>
                        <w:bottom w:val="none" w:sz="0" w:space="0" w:color="auto"/>
                        <w:right w:val="none" w:sz="0" w:space="0" w:color="auto"/>
                      </w:divBdr>
                    </w:div>
                    <w:div w:id="2112240805">
                      <w:marLeft w:val="0"/>
                      <w:marRight w:val="0"/>
                      <w:marTop w:val="0"/>
                      <w:marBottom w:val="0"/>
                      <w:divBdr>
                        <w:top w:val="none" w:sz="0" w:space="0" w:color="auto"/>
                        <w:left w:val="none" w:sz="0" w:space="0" w:color="auto"/>
                        <w:bottom w:val="none" w:sz="0" w:space="0" w:color="auto"/>
                        <w:right w:val="none" w:sz="0" w:space="0" w:color="auto"/>
                      </w:divBdr>
                    </w:div>
                  </w:divsChild>
                </w:div>
                <w:div w:id="1824663921">
                  <w:marLeft w:val="0"/>
                  <w:marRight w:val="0"/>
                  <w:marTop w:val="0"/>
                  <w:marBottom w:val="0"/>
                  <w:divBdr>
                    <w:top w:val="none" w:sz="0" w:space="0" w:color="auto"/>
                    <w:left w:val="none" w:sz="0" w:space="0" w:color="auto"/>
                    <w:bottom w:val="none" w:sz="0" w:space="0" w:color="auto"/>
                    <w:right w:val="none" w:sz="0" w:space="0" w:color="auto"/>
                  </w:divBdr>
                  <w:divsChild>
                    <w:div w:id="1441409608">
                      <w:marLeft w:val="0"/>
                      <w:marRight w:val="0"/>
                      <w:marTop w:val="120"/>
                      <w:marBottom w:val="0"/>
                      <w:divBdr>
                        <w:top w:val="none" w:sz="0" w:space="0" w:color="auto"/>
                        <w:left w:val="none" w:sz="0" w:space="0" w:color="auto"/>
                        <w:bottom w:val="none" w:sz="0" w:space="0" w:color="auto"/>
                        <w:right w:val="none" w:sz="0" w:space="0" w:color="auto"/>
                      </w:divBdr>
                    </w:div>
                    <w:div w:id="684210259">
                      <w:marLeft w:val="0"/>
                      <w:marRight w:val="0"/>
                      <w:marTop w:val="0"/>
                      <w:marBottom w:val="0"/>
                      <w:divBdr>
                        <w:top w:val="none" w:sz="0" w:space="0" w:color="auto"/>
                        <w:left w:val="none" w:sz="0" w:space="0" w:color="auto"/>
                        <w:bottom w:val="none" w:sz="0" w:space="0" w:color="auto"/>
                        <w:right w:val="none" w:sz="0" w:space="0" w:color="auto"/>
                      </w:divBdr>
                    </w:div>
                  </w:divsChild>
                </w:div>
                <w:div w:id="82068287">
                  <w:marLeft w:val="0"/>
                  <w:marRight w:val="0"/>
                  <w:marTop w:val="0"/>
                  <w:marBottom w:val="0"/>
                  <w:divBdr>
                    <w:top w:val="none" w:sz="0" w:space="0" w:color="auto"/>
                    <w:left w:val="none" w:sz="0" w:space="0" w:color="auto"/>
                    <w:bottom w:val="none" w:sz="0" w:space="0" w:color="auto"/>
                    <w:right w:val="none" w:sz="0" w:space="0" w:color="auto"/>
                  </w:divBdr>
                  <w:divsChild>
                    <w:div w:id="1994407995">
                      <w:marLeft w:val="0"/>
                      <w:marRight w:val="0"/>
                      <w:marTop w:val="120"/>
                      <w:marBottom w:val="0"/>
                      <w:divBdr>
                        <w:top w:val="none" w:sz="0" w:space="0" w:color="auto"/>
                        <w:left w:val="none" w:sz="0" w:space="0" w:color="auto"/>
                        <w:bottom w:val="none" w:sz="0" w:space="0" w:color="auto"/>
                        <w:right w:val="none" w:sz="0" w:space="0" w:color="auto"/>
                      </w:divBdr>
                    </w:div>
                    <w:div w:id="114395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056002">
      <w:bodyDiv w:val="1"/>
      <w:marLeft w:val="0"/>
      <w:marRight w:val="0"/>
      <w:marTop w:val="0"/>
      <w:marBottom w:val="0"/>
      <w:divBdr>
        <w:top w:val="none" w:sz="0" w:space="0" w:color="auto"/>
        <w:left w:val="none" w:sz="0" w:space="0" w:color="auto"/>
        <w:bottom w:val="none" w:sz="0" w:space="0" w:color="auto"/>
        <w:right w:val="none" w:sz="0" w:space="0" w:color="auto"/>
      </w:divBdr>
      <w:divsChild>
        <w:div w:id="1293368763">
          <w:marLeft w:val="0"/>
          <w:marRight w:val="0"/>
          <w:marTop w:val="120"/>
          <w:marBottom w:val="0"/>
          <w:divBdr>
            <w:top w:val="none" w:sz="0" w:space="0" w:color="auto"/>
            <w:left w:val="none" w:sz="0" w:space="0" w:color="auto"/>
            <w:bottom w:val="none" w:sz="0" w:space="0" w:color="auto"/>
            <w:right w:val="none" w:sz="0" w:space="0" w:color="auto"/>
          </w:divBdr>
        </w:div>
        <w:div w:id="1254168189">
          <w:marLeft w:val="0"/>
          <w:marRight w:val="0"/>
          <w:marTop w:val="0"/>
          <w:marBottom w:val="0"/>
          <w:divBdr>
            <w:top w:val="none" w:sz="0" w:space="0" w:color="auto"/>
            <w:left w:val="none" w:sz="0" w:space="0" w:color="auto"/>
            <w:bottom w:val="none" w:sz="0" w:space="0" w:color="auto"/>
            <w:right w:val="none" w:sz="0" w:space="0" w:color="auto"/>
          </w:divBdr>
        </w:div>
      </w:divsChild>
    </w:div>
    <w:div w:id="1140272258">
      <w:bodyDiv w:val="1"/>
      <w:marLeft w:val="0"/>
      <w:marRight w:val="0"/>
      <w:marTop w:val="0"/>
      <w:marBottom w:val="0"/>
      <w:divBdr>
        <w:top w:val="none" w:sz="0" w:space="0" w:color="auto"/>
        <w:left w:val="none" w:sz="0" w:space="0" w:color="auto"/>
        <w:bottom w:val="none" w:sz="0" w:space="0" w:color="auto"/>
        <w:right w:val="none" w:sz="0" w:space="0" w:color="auto"/>
      </w:divBdr>
      <w:divsChild>
        <w:div w:id="996760507">
          <w:marLeft w:val="0"/>
          <w:marRight w:val="0"/>
          <w:marTop w:val="0"/>
          <w:marBottom w:val="0"/>
          <w:divBdr>
            <w:top w:val="none" w:sz="0" w:space="0" w:color="auto"/>
            <w:left w:val="none" w:sz="0" w:space="0" w:color="auto"/>
            <w:bottom w:val="none" w:sz="0" w:space="0" w:color="auto"/>
            <w:right w:val="none" w:sz="0" w:space="0" w:color="auto"/>
          </w:divBdr>
        </w:div>
      </w:divsChild>
    </w:div>
    <w:div w:id="1141465681">
      <w:bodyDiv w:val="1"/>
      <w:marLeft w:val="0"/>
      <w:marRight w:val="0"/>
      <w:marTop w:val="0"/>
      <w:marBottom w:val="0"/>
      <w:divBdr>
        <w:top w:val="none" w:sz="0" w:space="0" w:color="auto"/>
        <w:left w:val="none" w:sz="0" w:space="0" w:color="auto"/>
        <w:bottom w:val="none" w:sz="0" w:space="0" w:color="auto"/>
        <w:right w:val="none" w:sz="0" w:space="0" w:color="auto"/>
      </w:divBdr>
      <w:divsChild>
        <w:div w:id="257182000">
          <w:marLeft w:val="0"/>
          <w:marRight w:val="0"/>
          <w:marTop w:val="0"/>
          <w:marBottom w:val="0"/>
          <w:divBdr>
            <w:top w:val="none" w:sz="0" w:space="0" w:color="auto"/>
            <w:left w:val="none" w:sz="0" w:space="0" w:color="auto"/>
            <w:bottom w:val="none" w:sz="0" w:space="0" w:color="auto"/>
            <w:right w:val="none" w:sz="0" w:space="0" w:color="auto"/>
          </w:divBdr>
        </w:div>
      </w:divsChild>
    </w:div>
    <w:div w:id="1145968343">
      <w:bodyDiv w:val="1"/>
      <w:marLeft w:val="0"/>
      <w:marRight w:val="0"/>
      <w:marTop w:val="0"/>
      <w:marBottom w:val="0"/>
      <w:divBdr>
        <w:top w:val="none" w:sz="0" w:space="0" w:color="auto"/>
        <w:left w:val="none" w:sz="0" w:space="0" w:color="auto"/>
        <w:bottom w:val="none" w:sz="0" w:space="0" w:color="auto"/>
        <w:right w:val="none" w:sz="0" w:space="0" w:color="auto"/>
      </w:divBdr>
      <w:divsChild>
        <w:div w:id="588004975">
          <w:marLeft w:val="0"/>
          <w:marRight w:val="0"/>
          <w:marTop w:val="0"/>
          <w:marBottom w:val="0"/>
          <w:divBdr>
            <w:top w:val="none" w:sz="0" w:space="0" w:color="auto"/>
            <w:left w:val="none" w:sz="0" w:space="0" w:color="auto"/>
            <w:bottom w:val="none" w:sz="0" w:space="0" w:color="auto"/>
            <w:right w:val="none" w:sz="0" w:space="0" w:color="auto"/>
          </w:divBdr>
        </w:div>
      </w:divsChild>
    </w:div>
    <w:div w:id="1172065388">
      <w:bodyDiv w:val="1"/>
      <w:marLeft w:val="0"/>
      <w:marRight w:val="0"/>
      <w:marTop w:val="0"/>
      <w:marBottom w:val="0"/>
      <w:divBdr>
        <w:top w:val="none" w:sz="0" w:space="0" w:color="auto"/>
        <w:left w:val="none" w:sz="0" w:space="0" w:color="auto"/>
        <w:bottom w:val="none" w:sz="0" w:space="0" w:color="auto"/>
        <w:right w:val="none" w:sz="0" w:space="0" w:color="auto"/>
      </w:divBdr>
      <w:divsChild>
        <w:div w:id="33118152">
          <w:marLeft w:val="0"/>
          <w:marRight w:val="0"/>
          <w:marTop w:val="0"/>
          <w:marBottom w:val="0"/>
          <w:divBdr>
            <w:top w:val="none" w:sz="0" w:space="0" w:color="auto"/>
            <w:left w:val="none" w:sz="0" w:space="0" w:color="auto"/>
            <w:bottom w:val="none" w:sz="0" w:space="0" w:color="auto"/>
            <w:right w:val="none" w:sz="0" w:space="0" w:color="auto"/>
          </w:divBdr>
          <w:divsChild>
            <w:div w:id="1983927739">
              <w:marLeft w:val="0"/>
              <w:marRight w:val="0"/>
              <w:marTop w:val="0"/>
              <w:marBottom w:val="0"/>
              <w:divBdr>
                <w:top w:val="none" w:sz="0" w:space="0" w:color="auto"/>
                <w:left w:val="none" w:sz="0" w:space="0" w:color="auto"/>
                <w:bottom w:val="none" w:sz="0" w:space="0" w:color="auto"/>
                <w:right w:val="none" w:sz="0" w:space="0" w:color="auto"/>
              </w:divBdr>
              <w:divsChild>
                <w:div w:id="298851310">
                  <w:marLeft w:val="0"/>
                  <w:marRight w:val="0"/>
                  <w:marTop w:val="0"/>
                  <w:marBottom w:val="0"/>
                  <w:divBdr>
                    <w:top w:val="none" w:sz="0" w:space="0" w:color="auto"/>
                    <w:left w:val="none" w:sz="0" w:space="0" w:color="auto"/>
                    <w:bottom w:val="none" w:sz="0" w:space="0" w:color="auto"/>
                    <w:right w:val="none" w:sz="0" w:space="0" w:color="auto"/>
                  </w:divBdr>
                  <w:divsChild>
                    <w:div w:id="298927286">
                      <w:marLeft w:val="0"/>
                      <w:marRight w:val="0"/>
                      <w:marTop w:val="120"/>
                      <w:marBottom w:val="0"/>
                      <w:divBdr>
                        <w:top w:val="none" w:sz="0" w:space="0" w:color="auto"/>
                        <w:left w:val="none" w:sz="0" w:space="0" w:color="auto"/>
                        <w:bottom w:val="none" w:sz="0" w:space="0" w:color="auto"/>
                        <w:right w:val="none" w:sz="0" w:space="0" w:color="auto"/>
                      </w:divBdr>
                    </w:div>
                    <w:div w:id="241107428">
                      <w:marLeft w:val="0"/>
                      <w:marRight w:val="0"/>
                      <w:marTop w:val="0"/>
                      <w:marBottom w:val="0"/>
                      <w:divBdr>
                        <w:top w:val="none" w:sz="0" w:space="0" w:color="auto"/>
                        <w:left w:val="none" w:sz="0" w:space="0" w:color="auto"/>
                        <w:bottom w:val="none" w:sz="0" w:space="0" w:color="auto"/>
                        <w:right w:val="none" w:sz="0" w:space="0" w:color="auto"/>
                      </w:divBdr>
                    </w:div>
                  </w:divsChild>
                </w:div>
                <w:div w:id="115755904">
                  <w:marLeft w:val="0"/>
                  <w:marRight w:val="0"/>
                  <w:marTop w:val="0"/>
                  <w:marBottom w:val="0"/>
                  <w:divBdr>
                    <w:top w:val="none" w:sz="0" w:space="0" w:color="auto"/>
                    <w:left w:val="none" w:sz="0" w:space="0" w:color="auto"/>
                    <w:bottom w:val="none" w:sz="0" w:space="0" w:color="auto"/>
                    <w:right w:val="none" w:sz="0" w:space="0" w:color="auto"/>
                  </w:divBdr>
                  <w:divsChild>
                    <w:div w:id="374669572">
                      <w:marLeft w:val="0"/>
                      <w:marRight w:val="0"/>
                      <w:marTop w:val="120"/>
                      <w:marBottom w:val="0"/>
                      <w:divBdr>
                        <w:top w:val="none" w:sz="0" w:space="0" w:color="auto"/>
                        <w:left w:val="none" w:sz="0" w:space="0" w:color="auto"/>
                        <w:bottom w:val="none" w:sz="0" w:space="0" w:color="auto"/>
                        <w:right w:val="none" w:sz="0" w:space="0" w:color="auto"/>
                      </w:divBdr>
                    </w:div>
                    <w:div w:id="1868718717">
                      <w:marLeft w:val="0"/>
                      <w:marRight w:val="0"/>
                      <w:marTop w:val="0"/>
                      <w:marBottom w:val="0"/>
                      <w:divBdr>
                        <w:top w:val="none" w:sz="0" w:space="0" w:color="auto"/>
                        <w:left w:val="none" w:sz="0" w:space="0" w:color="auto"/>
                        <w:bottom w:val="none" w:sz="0" w:space="0" w:color="auto"/>
                        <w:right w:val="none" w:sz="0" w:space="0" w:color="auto"/>
                      </w:divBdr>
                    </w:div>
                  </w:divsChild>
                </w:div>
                <w:div w:id="1973053210">
                  <w:marLeft w:val="0"/>
                  <w:marRight w:val="0"/>
                  <w:marTop w:val="0"/>
                  <w:marBottom w:val="0"/>
                  <w:divBdr>
                    <w:top w:val="none" w:sz="0" w:space="0" w:color="auto"/>
                    <w:left w:val="none" w:sz="0" w:space="0" w:color="auto"/>
                    <w:bottom w:val="none" w:sz="0" w:space="0" w:color="auto"/>
                    <w:right w:val="none" w:sz="0" w:space="0" w:color="auto"/>
                  </w:divBdr>
                  <w:divsChild>
                    <w:div w:id="147092132">
                      <w:marLeft w:val="0"/>
                      <w:marRight w:val="0"/>
                      <w:marTop w:val="120"/>
                      <w:marBottom w:val="0"/>
                      <w:divBdr>
                        <w:top w:val="none" w:sz="0" w:space="0" w:color="auto"/>
                        <w:left w:val="none" w:sz="0" w:space="0" w:color="auto"/>
                        <w:bottom w:val="none" w:sz="0" w:space="0" w:color="auto"/>
                        <w:right w:val="none" w:sz="0" w:space="0" w:color="auto"/>
                      </w:divBdr>
                    </w:div>
                    <w:div w:id="860976363">
                      <w:marLeft w:val="0"/>
                      <w:marRight w:val="0"/>
                      <w:marTop w:val="0"/>
                      <w:marBottom w:val="0"/>
                      <w:divBdr>
                        <w:top w:val="none" w:sz="0" w:space="0" w:color="auto"/>
                        <w:left w:val="none" w:sz="0" w:space="0" w:color="auto"/>
                        <w:bottom w:val="none" w:sz="0" w:space="0" w:color="auto"/>
                        <w:right w:val="none" w:sz="0" w:space="0" w:color="auto"/>
                      </w:divBdr>
                    </w:div>
                  </w:divsChild>
                </w:div>
                <w:div w:id="1959800835">
                  <w:marLeft w:val="0"/>
                  <w:marRight w:val="0"/>
                  <w:marTop w:val="0"/>
                  <w:marBottom w:val="0"/>
                  <w:divBdr>
                    <w:top w:val="none" w:sz="0" w:space="0" w:color="auto"/>
                    <w:left w:val="none" w:sz="0" w:space="0" w:color="auto"/>
                    <w:bottom w:val="none" w:sz="0" w:space="0" w:color="auto"/>
                    <w:right w:val="none" w:sz="0" w:space="0" w:color="auto"/>
                  </w:divBdr>
                  <w:divsChild>
                    <w:div w:id="1943874388">
                      <w:marLeft w:val="0"/>
                      <w:marRight w:val="0"/>
                      <w:marTop w:val="120"/>
                      <w:marBottom w:val="0"/>
                      <w:divBdr>
                        <w:top w:val="none" w:sz="0" w:space="0" w:color="auto"/>
                        <w:left w:val="none" w:sz="0" w:space="0" w:color="auto"/>
                        <w:bottom w:val="none" w:sz="0" w:space="0" w:color="auto"/>
                        <w:right w:val="none" w:sz="0" w:space="0" w:color="auto"/>
                      </w:divBdr>
                    </w:div>
                    <w:div w:id="10921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887642">
      <w:bodyDiv w:val="1"/>
      <w:marLeft w:val="0"/>
      <w:marRight w:val="0"/>
      <w:marTop w:val="0"/>
      <w:marBottom w:val="0"/>
      <w:divBdr>
        <w:top w:val="none" w:sz="0" w:space="0" w:color="auto"/>
        <w:left w:val="none" w:sz="0" w:space="0" w:color="auto"/>
        <w:bottom w:val="none" w:sz="0" w:space="0" w:color="auto"/>
        <w:right w:val="none" w:sz="0" w:space="0" w:color="auto"/>
      </w:divBdr>
      <w:divsChild>
        <w:div w:id="141040965">
          <w:marLeft w:val="0"/>
          <w:marRight w:val="0"/>
          <w:marTop w:val="0"/>
          <w:marBottom w:val="0"/>
          <w:divBdr>
            <w:top w:val="none" w:sz="0" w:space="0" w:color="auto"/>
            <w:left w:val="none" w:sz="0" w:space="0" w:color="auto"/>
            <w:bottom w:val="none" w:sz="0" w:space="0" w:color="auto"/>
            <w:right w:val="none" w:sz="0" w:space="0" w:color="auto"/>
          </w:divBdr>
          <w:divsChild>
            <w:div w:id="301930648">
              <w:marLeft w:val="0"/>
              <w:marRight w:val="0"/>
              <w:marTop w:val="0"/>
              <w:marBottom w:val="0"/>
              <w:divBdr>
                <w:top w:val="none" w:sz="0" w:space="0" w:color="auto"/>
                <w:left w:val="none" w:sz="0" w:space="0" w:color="auto"/>
                <w:bottom w:val="none" w:sz="0" w:space="0" w:color="auto"/>
                <w:right w:val="none" w:sz="0" w:space="0" w:color="auto"/>
              </w:divBdr>
            </w:div>
          </w:divsChild>
        </w:div>
        <w:div w:id="918440837">
          <w:marLeft w:val="0"/>
          <w:marRight w:val="0"/>
          <w:marTop w:val="0"/>
          <w:marBottom w:val="0"/>
          <w:divBdr>
            <w:top w:val="none" w:sz="0" w:space="0" w:color="auto"/>
            <w:left w:val="none" w:sz="0" w:space="0" w:color="auto"/>
            <w:bottom w:val="none" w:sz="0" w:space="0" w:color="auto"/>
            <w:right w:val="none" w:sz="0" w:space="0" w:color="auto"/>
          </w:divBdr>
          <w:divsChild>
            <w:div w:id="1394348882">
              <w:marLeft w:val="0"/>
              <w:marRight w:val="0"/>
              <w:marTop w:val="0"/>
              <w:marBottom w:val="0"/>
              <w:divBdr>
                <w:top w:val="none" w:sz="0" w:space="0" w:color="auto"/>
                <w:left w:val="none" w:sz="0" w:space="0" w:color="auto"/>
                <w:bottom w:val="none" w:sz="0" w:space="0" w:color="auto"/>
                <w:right w:val="none" w:sz="0" w:space="0" w:color="auto"/>
              </w:divBdr>
              <w:divsChild>
                <w:div w:id="941109905">
                  <w:marLeft w:val="0"/>
                  <w:marRight w:val="0"/>
                  <w:marTop w:val="0"/>
                  <w:marBottom w:val="0"/>
                  <w:divBdr>
                    <w:top w:val="none" w:sz="0" w:space="0" w:color="auto"/>
                    <w:left w:val="none" w:sz="0" w:space="0" w:color="auto"/>
                    <w:bottom w:val="none" w:sz="0" w:space="0" w:color="auto"/>
                    <w:right w:val="none" w:sz="0" w:space="0" w:color="auto"/>
                  </w:divBdr>
                  <w:divsChild>
                    <w:div w:id="1753308443">
                      <w:marLeft w:val="0"/>
                      <w:marRight w:val="0"/>
                      <w:marTop w:val="120"/>
                      <w:marBottom w:val="0"/>
                      <w:divBdr>
                        <w:top w:val="none" w:sz="0" w:space="0" w:color="auto"/>
                        <w:left w:val="none" w:sz="0" w:space="0" w:color="auto"/>
                        <w:bottom w:val="none" w:sz="0" w:space="0" w:color="auto"/>
                        <w:right w:val="none" w:sz="0" w:space="0" w:color="auto"/>
                      </w:divBdr>
                    </w:div>
                    <w:div w:id="1993943031">
                      <w:marLeft w:val="0"/>
                      <w:marRight w:val="0"/>
                      <w:marTop w:val="0"/>
                      <w:marBottom w:val="0"/>
                      <w:divBdr>
                        <w:top w:val="none" w:sz="0" w:space="0" w:color="auto"/>
                        <w:left w:val="none" w:sz="0" w:space="0" w:color="auto"/>
                        <w:bottom w:val="none" w:sz="0" w:space="0" w:color="auto"/>
                        <w:right w:val="none" w:sz="0" w:space="0" w:color="auto"/>
                      </w:divBdr>
                    </w:div>
                  </w:divsChild>
                </w:div>
                <w:div w:id="1328747510">
                  <w:marLeft w:val="0"/>
                  <w:marRight w:val="0"/>
                  <w:marTop w:val="0"/>
                  <w:marBottom w:val="0"/>
                  <w:divBdr>
                    <w:top w:val="none" w:sz="0" w:space="0" w:color="auto"/>
                    <w:left w:val="none" w:sz="0" w:space="0" w:color="auto"/>
                    <w:bottom w:val="none" w:sz="0" w:space="0" w:color="auto"/>
                    <w:right w:val="none" w:sz="0" w:space="0" w:color="auto"/>
                  </w:divBdr>
                  <w:divsChild>
                    <w:div w:id="1772310436">
                      <w:marLeft w:val="0"/>
                      <w:marRight w:val="0"/>
                      <w:marTop w:val="120"/>
                      <w:marBottom w:val="0"/>
                      <w:divBdr>
                        <w:top w:val="none" w:sz="0" w:space="0" w:color="auto"/>
                        <w:left w:val="none" w:sz="0" w:space="0" w:color="auto"/>
                        <w:bottom w:val="none" w:sz="0" w:space="0" w:color="auto"/>
                        <w:right w:val="none" w:sz="0" w:space="0" w:color="auto"/>
                      </w:divBdr>
                    </w:div>
                    <w:div w:id="200458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441575">
      <w:bodyDiv w:val="1"/>
      <w:marLeft w:val="0"/>
      <w:marRight w:val="0"/>
      <w:marTop w:val="0"/>
      <w:marBottom w:val="0"/>
      <w:divBdr>
        <w:top w:val="none" w:sz="0" w:space="0" w:color="auto"/>
        <w:left w:val="none" w:sz="0" w:space="0" w:color="auto"/>
        <w:bottom w:val="none" w:sz="0" w:space="0" w:color="auto"/>
        <w:right w:val="none" w:sz="0" w:space="0" w:color="auto"/>
      </w:divBdr>
      <w:divsChild>
        <w:div w:id="162594934">
          <w:marLeft w:val="0"/>
          <w:marRight w:val="0"/>
          <w:marTop w:val="0"/>
          <w:marBottom w:val="0"/>
          <w:divBdr>
            <w:top w:val="none" w:sz="0" w:space="0" w:color="auto"/>
            <w:left w:val="none" w:sz="0" w:space="0" w:color="auto"/>
            <w:bottom w:val="none" w:sz="0" w:space="0" w:color="auto"/>
            <w:right w:val="none" w:sz="0" w:space="0" w:color="auto"/>
          </w:divBdr>
          <w:divsChild>
            <w:div w:id="31045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680838">
      <w:bodyDiv w:val="1"/>
      <w:marLeft w:val="0"/>
      <w:marRight w:val="0"/>
      <w:marTop w:val="0"/>
      <w:marBottom w:val="0"/>
      <w:divBdr>
        <w:top w:val="none" w:sz="0" w:space="0" w:color="auto"/>
        <w:left w:val="none" w:sz="0" w:space="0" w:color="auto"/>
        <w:bottom w:val="none" w:sz="0" w:space="0" w:color="auto"/>
        <w:right w:val="none" w:sz="0" w:space="0" w:color="auto"/>
      </w:divBdr>
      <w:divsChild>
        <w:div w:id="1786927012">
          <w:marLeft w:val="0"/>
          <w:marRight w:val="0"/>
          <w:marTop w:val="0"/>
          <w:marBottom w:val="0"/>
          <w:divBdr>
            <w:top w:val="none" w:sz="0" w:space="0" w:color="auto"/>
            <w:left w:val="none" w:sz="0" w:space="0" w:color="auto"/>
            <w:bottom w:val="none" w:sz="0" w:space="0" w:color="auto"/>
            <w:right w:val="none" w:sz="0" w:space="0" w:color="auto"/>
          </w:divBdr>
        </w:div>
      </w:divsChild>
    </w:div>
    <w:div w:id="1198738451">
      <w:bodyDiv w:val="1"/>
      <w:marLeft w:val="0"/>
      <w:marRight w:val="0"/>
      <w:marTop w:val="0"/>
      <w:marBottom w:val="0"/>
      <w:divBdr>
        <w:top w:val="none" w:sz="0" w:space="0" w:color="auto"/>
        <w:left w:val="none" w:sz="0" w:space="0" w:color="auto"/>
        <w:bottom w:val="none" w:sz="0" w:space="0" w:color="auto"/>
        <w:right w:val="none" w:sz="0" w:space="0" w:color="auto"/>
      </w:divBdr>
      <w:divsChild>
        <w:div w:id="644772340">
          <w:marLeft w:val="0"/>
          <w:marRight w:val="0"/>
          <w:marTop w:val="0"/>
          <w:marBottom w:val="0"/>
          <w:divBdr>
            <w:top w:val="none" w:sz="0" w:space="0" w:color="auto"/>
            <w:left w:val="none" w:sz="0" w:space="0" w:color="auto"/>
            <w:bottom w:val="none" w:sz="0" w:space="0" w:color="auto"/>
            <w:right w:val="none" w:sz="0" w:space="0" w:color="auto"/>
          </w:divBdr>
          <w:divsChild>
            <w:div w:id="774449237">
              <w:marLeft w:val="0"/>
              <w:marRight w:val="0"/>
              <w:marTop w:val="120"/>
              <w:marBottom w:val="0"/>
              <w:divBdr>
                <w:top w:val="none" w:sz="0" w:space="0" w:color="auto"/>
                <w:left w:val="none" w:sz="0" w:space="0" w:color="auto"/>
                <w:bottom w:val="none" w:sz="0" w:space="0" w:color="auto"/>
                <w:right w:val="none" w:sz="0" w:space="0" w:color="auto"/>
              </w:divBdr>
            </w:div>
            <w:div w:id="141112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90201">
      <w:bodyDiv w:val="1"/>
      <w:marLeft w:val="0"/>
      <w:marRight w:val="0"/>
      <w:marTop w:val="0"/>
      <w:marBottom w:val="0"/>
      <w:divBdr>
        <w:top w:val="none" w:sz="0" w:space="0" w:color="auto"/>
        <w:left w:val="none" w:sz="0" w:space="0" w:color="auto"/>
        <w:bottom w:val="none" w:sz="0" w:space="0" w:color="auto"/>
        <w:right w:val="none" w:sz="0" w:space="0" w:color="auto"/>
      </w:divBdr>
      <w:divsChild>
        <w:div w:id="1851482694">
          <w:marLeft w:val="0"/>
          <w:marRight w:val="0"/>
          <w:marTop w:val="0"/>
          <w:marBottom w:val="0"/>
          <w:divBdr>
            <w:top w:val="none" w:sz="0" w:space="0" w:color="auto"/>
            <w:left w:val="none" w:sz="0" w:space="0" w:color="auto"/>
            <w:bottom w:val="none" w:sz="0" w:space="0" w:color="auto"/>
            <w:right w:val="none" w:sz="0" w:space="0" w:color="auto"/>
          </w:divBdr>
        </w:div>
      </w:divsChild>
    </w:div>
    <w:div w:id="1210994410">
      <w:bodyDiv w:val="1"/>
      <w:marLeft w:val="0"/>
      <w:marRight w:val="0"/>
      <w:marTop w:val="0"/>
      <w:marBottom w:val="0"/>
      <w:divBdr>
        <w:top w:val="none" w:sz="0" w:space="0" w:color="auto"/>
        <w:left w:val="none" w:sz="0" w:space="0" w:color="auto"/>
        <w:bottom w:val="none" w:sz="0" w:space="0" w:color="auto"/>
        <w:right w:val="none" w:sz="0" w:space="0" w:color="auto"/>
      </w:divBdr>
      <w:divsChild>
        <w:div w:id="467163357">
          <w:marLeft w:val="0"/>
          <w:marRight w:val="0"/>
          <w:marTop w:val="0"/>
          <w:marBottom w:val="0"/>
          <w:divBdr>
            <w:top w:val="none" w:sz="0" w:space="0" w:color="auto"/>
            <w:left w:val="none" w:sz="0" w:space="0" w:color="auto"/>
            <w:bottom w:val="none" w:sz="0" w:space="0" w:color="auto"/>
            <w:right w:val="none" w:sz="0" w:space="0" w:color="auto"/>
          </w:divBdr>
        </w:div>
      </w:divsChild>
    </w:div>
    <w:div w:id="1213271832">
      <w:bodyDiv w:val="1"/>
      <w:marLeft w:val="0"/>
      <w:marRight w:val="0"/>
      <w:marTop w:val="0"/>
      <w:marBottom w:val="0"/>
      <w:divBdr>
        <w:top w:val="none" w:sz="0" w:space="0" w:color="auto"/>
        <w:left w:val="none" w:sz="0" w:space="0" w:color="auto"/>
        <w:bottom w:val="none" w:sz="0" w:space="0" w:color="auto"/>
        <w:right w:val="none" w:sz="0" w:space="0" w:color="auto"/>
      </w:divBdr>
      <w:divsChild>
        <w:div w:id="10649591">
          <w:marLeft w:val="0"/>
          <w:marRight w:val="0"/>
          <w:marTop w:val="0"/>
          <w:marBottom w:val="0"/>
          <w:divBdr>
            <w:top w:val="none" w:sz="0" w:space="0" w:color="auto"/>
            <w:left w:val="none" w:sz="0" w:space="0" w:color="auto"/>
            <w:bottom w:val="none" w:sz="0" w:space="0" w:color="auto"/>
            <w:right w:val="none" w:sz="0" w:space="0" w:color="auto"/>
          </w:divBdr>
        </w:div>
      </w:divsChild>
    </w:div>
    <w:div w:id="1214348558">
      <w:bodyDiv w:val="1"/>
      <w:marLeft w:val="0"/>
      <w:marRight w:val="0"/>
      <w:marTop w:val="0"/>
      <w:marBottom w:val="0"/>
      <w:divBdr>
        <w:top w:val="none" w:sz="0" w:space="0" w:color="auto"/>
        <w:left w:val="none" w:sz="0" w:space="0" w:color="auto"/>
        <w:bottom w:val="none" w:sz="0" w:space="0" w:color="auto"/>
        <w:right w:val="none" w:sz="0" w:space="0" w:color="auto"/>
      </w:divBdr>
      <w:divsChild>
        <w:div w:id="826239685">
          <w:marLeft w:val="0"/>
          <w:marRight w:val="0"/>
          <w:marTop w:val="120"/>
          <w:marBottom w:val="0"/>
          <w:divBdr>
            <w:top w:val="none" w:sz="0" w:space="0" w:color="auto"/>
            <w:left w:val="none" w:sz="0" w:space="0" w:color="auto"/>
            <w:bottom w:val="none" w:sz="0" w:space="0" w:color="auto"/>
            <w:right w:val="none" w:sz="0" w:space="0" w:color="auto"/>
          </w:divBdr>
        </w:div>
        <w:div w:id="657071948">
          <w:marLeft w:val="0"/>
          <w:marRight w:val="0"/>
          <w:marTop w:val="0"/>
          <w:marBottom w:val="0"/>
          <w:divBdr>
            <w:top w:val="none" w:sz="0" w:space="0" w:color="auto"/>
            <w:left w:val="none" w:sz="0" w:space="0" w:color="auto"/>
            <w:bottom w:val="none" w:sz="0" w:space="0" w:color="auto"/>
            <w:right w:val="none" w:sz="0" w:space="0" w:color="auto"/>
          </w:divBdr>
        </w:div>
      </w:divsChild>
    </w:div>
    <w:div w:id="1220477318">
      <w:bodyDiv w:val="1"/>
      <w:marLeft w:val="0"/>
      <w:marRight w:val="0"/>
      <w:marTop w:val="0"/>
      <w:marBottom w:val="0"/>
      <w:divBdr>
        <w:top w:val="none" w:sz="0" w:space="0" w:color="auto"/>
        <w:left w:val="none" w:sz="0" w:space="0" w:color="auto"/>
        <w:bottom w:val="none" w:sz="0" w:space="0" w:color="auto"/>
        <w:right w:val="none" w:sz="0" w:space="0" w:color="auto"/>
      </w:divBdr>
    </w:div>
    <w:div w:id="1221290692">
      <w:bodyDiv w:val="1"/>
      <w:marLeft w:val="0"/>
      <w:marRight w:val="0"/>
      <w:marTop w:val="0"/>
      <w:marBottom w:val="0"/>
      <w:divBdr>
        <w:top w:val="none" w:sz="0" w:space="0" w:color="auto"/>
        <w:left w:val="none" w:sz="0" w:space="0" w:color="auto"/>
        <w:bottom w:val="none" w:sz="0" w:space="0" w:color="auto"/>
        <w:right w:val="none" w:sz="0" w:space="0" w:color="auto"/>
      </w:divBdr>
      <w:divsChild>
        <w:div w:id="781068199">
          <w:marLeft w:val="0"/>
          <w:marRight w:val="0"/>
          <w:marTop w:val="0"/>
          <w:marBottom w:val="0"/>
          <w:divBdr>
            <w:top w:val="none" w:sz="0" w:space="0" w:color="auto"/>
            <w:left w:val="none" w:sz="0" w:space="0" w:color="auto"/>
            <w:bottom w:val="none" w:sz="0" w:space="0" w:color="auto"/>
            <w:right w:val="none" w:sz="0" w:space="0" w:color="auto"/>
          </w:divBdr>
        </w:div>
      </w:divsChild>
    </w:div>
    <w:div w:id="1225331703">
      <w:bodyDiv w:val="1"/>
      <w:marLeft w:val="0"/>
      <w:marRight w:val="0"/>
      <w:marTop w:val="0"/>
      <w:marBottom w:val="0"/>
      <w:divBdr>
        <w:top w:val="none" w:sz="0" w:space="0" w:color="auto"/>
        <w:left w:val="none" w:sz="0" w:space="0" w:color="auto"/>
        <w:bottom w:val="none" w:sz="0" w:space="0" w:color="auto"/>
        <w:right w:val="none" w:sz="0" w:space="0" w:color="auto"/>
      </w:divBdr>
      <w:divsChild>
        <w:div w:id="863832222">
          <w:marLeft w:val="0"/>
          <w:marRight w:val="0"/>
          <w:marTop w:val="120"/>
          <w:marBottom w:val="0"/>
          <w:divBdr>
            <w:top w:val="none" w:sz="0" w:space="0" w:color="auto"/>
            <w:left w:val="none" w:sz="0" w:space="0" w:color="auto"/>
            <w:bottom w:val="none" w:sz="0" w:space="0" w:color="auto"/>
            <w:right w:val="none" w:sz="0" w:space="0" w:color="auto"/>
          </w:divBdr>
        </w:div>
        <w:div w:id="2078090391">
          <w:marLeft w:val="0"/>
          <w:marRight w:val="0"/>
          <w:marTop w:val="0"/>
          <w:marBottom w:val="0"/>
          <w:divBdr>
            <w:top w:val="none" w:sz="0" w:space="0" w:color="auto"/>
            <w:left w:val="none" w:sz="0" w:space="0" w:color="auto"/>
            <w:bottom w:val="none" w:sz="0" w:space="0" w:color="auto"/>
            <w:right w:val="none" w:sz="0" w:space="0" w:color="auto"/>
          </w:divBdr>
          <w:divsChild>
            <w:div w:id="119497683">
              <w:marLeft w:val="0"/>
              <w:marRight w:val="0"/>
              <w:marTop w:val="0"/>
              <w:marBottom w:val="0"/>
              <w:divBdr>
                <w:top w:val="none" w:sz="0" w:space="0" w:color="auto"/>
                <w:left w:val="none" w:sz="0" w:space="0" w:color="auto"/>
                <w:bottom w:val="none" w:sz="0" w:space="0" w:color="auto"/>
                <w:right w:val="none" w:sz="0" w:space="0" w:color="auto"/>
              </w:divBdr>
              <w:divsChild>
                <w:div w:id="694118425">
                  <w:marLeft w:val="0"/>
                  <w:marRight w:val="0"/>
                  <w:marTop w:val="120"/>
                  <w:marBottom w:val="0"/>
                  <w:divBdr>
                    <w:top w:val="none" w:sz="0" w:space="0" w:color="auto"/>
                    <w:left w:val="none" w:sz="0" w:space="0" w:color="auto"/>
                    <w:bottom w:val="none" w:sz="0" w:space="0" w:color="auto"/>
                    <w:right w:val="none" w:sz="0" w:space="0" w:color="auto"/>
                  </w:divBdr>
                </w:div>
                <w:div w:id="578099776">
                  <w:marLeft w:val="0"/>
                  <w:marRight w:val="0"/>
                  <w:marTop w:val="0"/>
                  <w:marBottom w:val="0"/>
                  <w:divBdr>
                    <w:top w:val="none" w:sz="0" w:space="0" w:color="auto"/>
                    <w:left w:val="none" w:sz="0" w:space="0" w:color="auto"/>
                    <w:bottom w:val="none" w:sz="0" w:space="0" w:color="auto"/>
                    <w:right w:val="none" w:sz="0" w:space="0" w:color="auto"/>
                  </w:divBdr>
                  <w:divsChild>
                    <w:div w:id="1457799833">
                      <w:marLeft w:val="0"/>
                      <w:marRight w:val="0"/>
                      <w:marTop w:val="0"/>
                      <w:marBottom w:val="0"/>
                      <w:divBdr>
                        <w:top w:val="none" w:sz="0" w:space="0" w:color="auto"/>
                        <w:left w:val="none" w:sz="0" w:space="0" w:color="auto"/>
                        <w:bottom w:val="none" w:sz="0" w:space="0" w:color="auto"/>
                        <w:right w:val="none" w:sz="0" w:space="0" w:color="auto"/>
                      </w:divBdr>
                      <w:divsChild>
                        <w:div w:id="1076318641">
                          <w:marLeft w:val="0"/>
                          <w:marRight w:val="0"/>
                          <w:marTop w:val="120"/>
                          <w:marBottom w:val="0"/>
                          <w:divBdr>
                            <w:top w:val="none" w:sz="0" w:space="0" w:color="auto"/>
                            <w:left w:val="none" w:sz="0" w:space="0" w:color="auto"/>
                            <w:bottom w:val="none" w:sz="0" w:space="0" w:color="auto"/>
                            <w:right w:val="none" w:sz="0" w:space="0" w:color="auto"/>
                          </w:divBdr>
                        </w:div>
                        <w:div w:id="461389857">
                          <w:marLeft w:val="0"/>
                          <w:marRight w:val="0"/>
                          <w:marTop w:val="0"/>
                          <w:marBottom w:val="0"/>
                          <w:divBdr>
                            <w:top w:val="none" w:sz="0" w:space="0" w:color="auto"/>
                            <w:left w:val="none" w:sz="0" w:space="0" w:color="auto"/>
                            <w:bottom w:val="none" w:sz="0" w:space="0" w:color="auto"/>
                            <w:right w:val="none" w:sz="0" w:space="0" w:color="auto"/>
                          </w:divBdr>
                        </w:div>
                      </w:divsChild>
                    </w:div>
                    <w:div w:id="205917866">
                      <w:marLeft w:val="0"/>
                      <w:marRight w:val="0"/>
                      <w:marTop w:val="0"/>
                      <w:marBottom w:val="0"/>
                      <w:divBdr>
                        <w:top w:val="none" w:sz="0" w:space="0" w:color="auto"/>
                        <w:left w:val="none" w:sz="0" w:space="0" w:color="auto"/>
                        <w:bottom w:val="none" w:sz="0" w:space="0" w:color="auto"/>
                        <w:right w:val="none" w:sz="0" w:space="0" w:color="auto"/>
                      </w:divBdr>
                      <w:divsChild>
                        <w:div w:id="2002347890">
                          <w:marLeft w:val="0"/>
                          <w:marRight w:val="0"/>
                          <w:marTop w:val="120"/>
                          <w:marBottom w:val="0"/>
                          <w:divBdr>
                            <w:top w:val="none" w:sz="0" w:space="0" w:color="auto"/>
                            <w:left w:val="none" w:sz="0" w:space="0" w:color="auto"/>
                            <w:bottom w:val="none" w:sz="0" w:space="0" w:color="auto"/>
                            <w:right w:val="none" w:sz="0" w:space="0" w:color="auto"/>
                          </w:divBdr>
                        </w:div>
                        <w:div w:id="448621826">
                          <w:marLeft w:val="0"/>
                          <w:marRight w:val="0"/>
                          <w:marTop w:val="0"/>
                          <w:marBottom w:val="0"/>
                          <w:divBdr>
                            <w:top w:val="none" w:sz="0" w:space="0" w:color="auto"/>
                            <w:left w:val="none" w:sz="0" w:space="0" w:color="auto"/>
                            <w:bottom w:val="none" w:sz="0" w:space="0" w:color="auto"/>
                            <w:right w:val="none" w:sz="0" w:space="0" w:color="auto"/>
                          </w:divBdr>
                        </w:div>
                      </w:divsChild>
                    </w:div>
                    <w:div w:id="1889997219">
                      <w:marLeft w:val="0"/>
                      <w:marRight w:val="0"/>
                      <w:marTop w:val="0"/>
                      <w:marBottom w:val="0"/>
                      <w:divBdr>
                        <w:top w:val="none" w:sz="0" w:space="0" w:color="auto"/>
                        <w:left w:val="none" w:sz="0" w:space="0" w:color="auto"/>
                        <w:bottom w:val="none" w:sz="0" w:space="0" w:color="auto"/>
                        <w:right w:val="none" w:sz="0" w:space="0" w:color="auto"/>
                      </w:divBdr>
                      <w:divsChild>
                        <w:div w:id="609362286">
                          <w:marLeft w:val="0"/>
                          <w:marRight w:val="0"/>
                          <w:marTop w:val="120"/>
                          <w:marBottom w:val="0"/>
                          <w:divBdr>
                            <w:top w:val="none" w:sz="0" w:space="0" w:color="auto"/>
                            <w:left w:val="none" w:sz="0" w:space="0" w:color="auto"/>
                            <w:bottom w:val="none" w:sz="0" w:space="0" w:color="auto"/>
                            <w:right w:val="none" w:sz="0" w:space="0" w:color="auto"/>
                          </w:divBdr>
                        </w:div>
                        <w:div w:id="200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061171">
              <w:marLeft w:val="0"/>
              <w:marRight w:val="0"/>
              <w:marTop w:val="0"/>
              <w:marBottom w:val="0"/>
              <w:divBdr>
                <w:top w:val="none" w:sz="0" w:space="0" w:color="auto"/>
                <w:left w:val="none" w:sz="0" w:space="0" w:color="auto"/>
                <w:bottom w:val="none" w:sz="0" w:space="0" w:color="auto"/>
                <w:right w:val="none" w:sz="0" w:space="0" w:color="auto"/>
              </w:divBdr>
              <w:divsChild>
                <w:div w:id="1264343517">
                  <w:marLeft w:val="0"/>
                  <w:marRight w:val="0"/>
                  <w:marTop w:val="120"/>
                  <w:marBottom w:val="0"/>
                  <w:divBdr>
                    <w:top w:val="none" w:sz="0" w:space="0" w:color="auto"/>
                    <w:left w:val="none" w:sz="0" w:space="0" w:color="auto"/>
                    <w:bottom w:val="none" w:sz="0" w:space="0" w:color="auto"/>
                    <w:right w:val="none" w:sz="0" w:space="0" w:color="auto"/>
                  </w:divBdr>
                </w:div>
                <w:div w:id="1843936703">
                  <w:marLeft w:val="0"/>
                  <w:marRight w:val="0"/>
                  <w:marTop w:val="0"/>
                  <w:marBottom w:val="0"/>
                  <w:divBdr>
                    <w:top w:val="none" w:sz="0" w:space="0" w:color="auto"/>
                    <w:left w:val="none" w:sz="0" w:space="0" w:color="auto"/>
                    <w:bottom w:val="none" w:sz="0" w:space="0" w:color="auto"/>
                    <w:right w:val="none" w:sz="0" w:space="0" w:color="auto"/>
                  </w:divBdr>
                  <w:divsChild>
                    <w:div w:id="441610772">
                      <w:marLeft w:val="0"/>
                      <w:marRight w:val="0"/>
                      <w:marTop w:val="0"/>
                      <w:marBottom w:val="0"/>
                      <w:divBdr>
                        <w:top w:val="none" w:sz="0" w:space="0" w:color="auto"/>
                        <w:left w:val="none" w:sz="0" w:space="0" w:color="auto"/>
                        <w:bottom w:val="none" w:sz="0" w:space="0" w:color="auto"/>
                        <w:right w:val="none" w:sz="0" w:space="0" w:color="auto"/>
                      </w:divBdr>
                      <w:divsChild>
                        <w:div w:id="62726090">
                          <w:marLeft w:val="0"/>
                          <w:marRight w:val="0"/>
                          <w:marTop w:val="120"/>
                          <w:marBottom w:val="0"/>
                          <w:divBdr>
                            <w:top w:val="none" w:sz="0" w:space="0" w:color="auto"/>
                            <w:left w:val="none" w:sz="0" w:space="0" w:color="auto"/>
                            <w:bottom w:val="none" w:sz="0" w:space="0" w:color="auto"/>
                            <w:right w:val="none" w:sz="0" w:space="0" w:color="auto"/>
                          </w:divBdr>
                        </w:div>
                        <w:div w:id="285476505">
                          <w:marLeft w:val="0"/>
                          <w:marRight w:val="0"/>
                          <w:marTop w:val="0"/>
                          <w:marBottom w:val="0"/>
                          <w:divBdr>
                            <w:top w:val="none" w:sz="0" w:space="0" w:color="auto"/>
                            <w:left w:val="none" w:sz="0" w:space="0" w:color="auto"/>
                            <w:bottom w:val="none" w:sz="0" w:space="0" w:color="auto"/>
                            <w:right w:val="none" w:sz="0" w:space="0" w:color="auto"/>
                          </w:divBdr>
                        </w:div>
                      </w:divsChild>
                    </w:div>
                    <w:div w:id="1121803239">
                      <w:marLeft w:val="0"/>
                      <w:marRight w:val="0"/>
                      <w:marTop w:val="0"/>
                      <w:marBottom w:val="0"/>
                      <w:divBdr>
                        <w:top w:val="none" w:sz="0" w:space="0" w:color="auto"/>
                        <w:left w:val="none" w:sz="0" w:space="0" w:color="auto"/>
                        <w:bottom w:val="none" w:sz="0" w:space="0" w:color="auto"/>
                        <w:right w:val="none" w:sz="0" w:space="0" w:color="auto"/>
                      </w:divBdr>
                      <w:divsChild>
                        <w:div w:id="330790253">
                          <w:marLeft w:val="0"/>
                          <w:marRight w:val="0"/>
                          <w:marTop w:val="120"/>
                          <w:marBottom w:val="0"/>
                          <w:divBdr>
                            <w:top w:val="none" w:sz="0" w:space="0" w:color="auto"/>
                            <w:left w:val="none" w:sz="0" w:space="0" w:color="auto"/>
                            <w:bottom w:val="none" w:sz="0" w:space="0" w:color="auto"/>
                            <w:right w:val="none" w:sz="0" w:space="0" w:color="auto"/>
                          </w:divBdr>
                        </w:div>
                        <w:div w:id="2022120201">
                          <w:marLeft w:val="0"/>
                          <w:marRight w:val="0"/>
                          <w:marTop w:val="0"/>
                          <w:marBottom w:val="0"/>
                          <w:divBdr>
                            <w:top w:val="none" w:sz="0" w:space="0" w:color="auto"/>
                            <w:left w:val="none" w:sz="0" w:space="0" w:color="auto"/>
                            <w:bottom w:val="none" w:sz="0" w:space="0" w:color="auto"/>
                            <w:right w:val="none" w:sz="0" w:space="0" w:color="auto"/>
                          </w:divBdr>
                        </w:div>
                      </w:divsChild>
                    </w:div>
                    <w:div w:id="1891110819">
                      <w:marLeft w:val="0"/>
                      <w:marRight w:val="0"/>
                      <w:marTop w:val="0"/>
                      <w:marBottom w:val="0"/>
                      <w:divBdr>
                        <w:top w:val="none" w:sz="0" w:space="0" w:color="auto"/>
                        <w:left w:val="none" w:sz="0" w:space="0" w:color="auto"/>
                        <w:bottom w:val="none" w:sz="0" w:space="0" w:color="auto"/>
                        <w:right w:val="none" w:sz="0" w:space="0" w:color="auto"/>
                      </w:divBdr>
                      <w:divsChild>
                        <w:div w:id="1354915667">
                          <w:marLeft w:val="0"/>
                          <w:marRight w:val="0"/>
                          <w:marTop w:val="120"/>
                          <w:marBottom w:val="0"/>
                          <w:divBdr>
                            <w:top w:val="none" w:sz="0" w:space="0" w:color="auto"/>
                            <w:left w:val="none" w:sz="0" w:space="0" w:color="auto"/>
                            <w:bottom w:val="none" w:sz="0" w:space="0" w:color="auto"/>
                            <w:right w:val="none" w:sz="0" w:space="0" w:color="auto"/>
                          </w:divBdr>
                        </w:div>
                        <w:div w:id="14358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140">
              <w:marLeft w:val="0"/>
              <w:marRight w:val="0"/>
              <w:marTop w:val="0"/>
              <w:marBottom w:val="0"/>
              <w:divBdr>
                <w:top w:val="none" w:sz="0" w:space="0" w:color="auto"/>
                <w:left w:val="none" w:sz="0" w:space="0" w:color="auto"/>
                <w:bottom w:val="none" w:sz="0" w:space="0" w:color="auto"/>
                <w:right w:val="none" w:sz="0" w:space="0" w:color="auto"/>
              </w:divBdr>
              <w:divsChild>
                <w:div w:id="1999116852">
                  <w:marLeft w:val="0"/>
                  <w:marRight w:val="0"/>
                  <w:marTop w:val="120"/>
                  <w:marBottom w:val="0"/>
                  <w:divBdr>
                    <w:top w:val="none" w:sz="0" w:space="0" w:color="auto"/>
                    <w:left w:val="none" w:sz="0" w:space="0" w:color="auto"/>
                    <w:bottom w:val="none" w:sz="0" w:space="0" w:color="auto"/>
                    <w:right w:val="none" w:sz="0" w:space="0" w:color="auto"/>
                  </w:divBdr>
                </w:div>
                <w:div w:id="1112893147">
                  <w:marLeft w:val="0"/>
                  <w:marRight w:val="0"/>
                  <w:marTop w:val="0"/>
                  <w:marBottom w:val="0"/>
                  <w:divBdr>
                    <w:top w:val="none" w:sz="0" w:space="0" w:color="auto"/>
                    <w:left w:val="none" w:sz="0" w:space="0" w:color="auto"/>
                    <w:bottom w:val="none" w:sz="0" w:space="0" w:color="auto"/>
                    <w:right w:val="none" w:sz="0" w:space="0" w:color="auto"/>
                  </w:divBdr>
                </w:div>
              </w:divsChild>
            </w:div>
            <w:div w:id="1559246854">
              <w:marLeft w:val="0"/>
              <w:marRight w:val="0"/>
              <w:marTop w:val="0"/>
              <w:marBottom w:val="0"/>
              <w:divBdr>
                <w:top w:val="none" w:sz="0" w:space="0" w:color="auto"/>
                <w:left w:val="none" w:sz="0" w:space="0" w:color="auto"/>
                <w:bottom w:val="none" w:sz="0" w:space="0" w:color="auto"/>
                <w:right w:val="none" w:sz="0" w:space="0" w:color="auto"/>
              </w:divBdr>
              <w:divsChild>
                <w:div w:id="1018241415">
                  <w:marLeft w:val="0"/>
                  <w:marRight w:val="0"/>
                  <w:marTop w:val="120"/>
                  <w:marBottom w:val="0"/>
                  <w:divBdr>
                    <w:top w:val="none" w:sz="0" w:space="0" w:color="auto"/>
                    <w:left w:val="none" w:sz="0" w:space="0" w:color="auto"/>
                    <w:bottom w:val="none" w:sz="0" w:space="0" w:color="auto"/>
                    <w:right w:val="none" w:sz="0" w:space="0" w:color="auto"/>
                  </w:divBdr>
                </w:div>
                <w:div w:id="257104700">
                  <w:marLeft w:val="0"/>
                  <w:marRight w:val="0"/>
                  <w:marTop w:val="0"/>
                  <w:marBottom w:val="0"/>
                  <w:divBdr>
                    <w:top w:val="none" w:sz="0" w:space="0" w:color="auto"/>
                    <w:left w:val="none" w:sz="0" w:space="0" w:color="auto"/>
                    <w:bottom w:val="none" w:sz="0" w:space="0" w:color="auto"/>
                    <w:right w:val="none" w:sz="0" w:space="0" w:color="auto"/>
                  </w:divBdr>
                  <w:divsChild>
                    <w:div w:id="1877423998">
                      <w:marLeft w:val="0"/>
                      <w:marRight w:val="0"/>
                      <w:marTop w:val="0"/>
                      <w:marBottom w:val="0"/>
                      <w:divBdr>
                        <w:top w:val="none" w:sz="0" w:space="0" w:color="auto"/>
                        <w:left w:val="none" w:sz="0" w:space="0" w:color="auto"/>
                        <w:bottom w:val="none" w:sz="0" w:space="0" w:color="auto"/>
                        <w:right w:val="none" w:sz="0" w:space="0" w:color="auto"/>
                      </w:divBdr>
                      <w:divsChild>
                        <w:div w:id="1525703066">
                          <w:marLeft w:val="0"/>
                          <w:marRight w:val="0"/>
                          <w:marTop w:val="120"/>
                          <w:marBottom w:val="0"/>
                          <w:divBdr>
                            <w:top w:val="none" w:sz="0" w:space="0" w:color="auto"/>
                            <w:left w:val="none" w:sz="0" w:space="0" w:color="auto"/>
                            <w:bottom w:val="none" w:sz="0" w:space="0" w:color="auto"/>
                            <w:right w:val="none" w:sz="0" w:space="0" w:color="auto"/>
                          </w:divBdr>
                        </w:div>
                        <w:div w:id="1968313915">
                          <w:marLeft w:val="0"/>
                          <w:marRight w:val="0"/>
                          <w:marTop w:val="0"/>
                          <w:marBottom w:val="0"/>
                          <w:divBdr>
                            <w:top w:val="none" w:sz="0" w:space="0" w:color="auto"/>
                            <w:left w:val="none" w:sz="0" w:space="0" w:color="auto"/>
                            <w:bottom w:val="none" w:sz="0" w:space="0" w:color="auto"/>
                            <w:right w:val="none" w:sz="0" w:space="0" w:color="auto"/>
                          </w:divBdr>
                        </w:div>
                      </w:divsChild>
                    </w:div>
                    <w:div w:id="384378179">
                      <w:marLeft w:val="0"/>
                      <w:marRight w:val="0"/>
                      <w:marTop w:val="0"/>
                      <w:marBottom w:val="0"/>
                      <w:divBdr>
                        <w:top w:val="none" w:sz="0" w:space="0" w:color="auto"/>
                        <w:left w:val="none" w:sz="0" w:space="0" w:color="auto"/>
                        <w:bottom w:val="none" w:sz="0" w:space="0" w:color="auto"/>
                        <w:right w:val="none" w:sz="0" w:space="0" w:color="auto"/>
                      </w:divBdr>
                      <w:divsChild>
                        <w:div w:id="1899588640">
                          <w:marLeft w:val="0"/>
                          <w:marRight w:val="0"/>
                          <w:marTop w:val="120"/>
                          <w:marBottom w:val="0"/>
                          <w:divBdr>
                            <w:top w:val="none" w:sz="0" w:space="0" w:color="auto"/>
                            <w:left w:val="none" w:sz="0" w:space="0" w:color="auto"/>
                            <w:bottom w:val="none" w:sz="0" w:space="0" w:color="auto"/>
                            <w:right w:val="none" w:sz="0" w:space="0" w:color="auto"/>
                          </w:divBdr>
                        </w:div>
                        <w:div w:id="880287713">
                          <w:marLeft w:val="0"/>
                          <w:marRight w:val="0"/>
                          <w:marTop w:val="0"/>
                          <w:marBottom w:val="0"/>
                          <w:divBdr>
                            <w:top w:val="none" w:sz="0" w:space="0" w:color="auto"/>
                            <w:left w:val="none" w:sz="0" w:space="0" w:color="auto"/>
                            <w:bottom w:val="none" w:sz="0" w:space="0" w:color="auto"/>
                            <w:right w:val="none" w:sz="0" w:space="0" w:color="auto"/>
                          </w:divBdr>
                        </w:div>
                      </w:divsChild>
                    </w:div>
                    <w:div w:id="1752971842">
                      <w:marLeft w:val="0"/>
                      <w:marRight w:val="0"/>
                      <w:marTop w:val="0"/>
                      <w:marBottom w:val="0"/>
                      <w:divBdr>
                        <w:top w:val="none" w:sz="0" w:space="0" w:color="auto"/>
                        <w:left w:val="none" w:sz="0" w:space="0" w:color="auto"/>
                        <w:bottom w:val="none" w:sz="0" w:space="0" w:color="auto"/>
                        <w:right w:val="none" w:sz="0" w:space="0" w:color="auto"/>
                      </w:divBdr>
                      <w:divsChild>
                        <w:div w:id="290092674">
                          <w:marLeft w:val="0"/>
                          <w:marRight w:val="0"/>
                          <w:marTop w:val="120"/>
                          <w:marBottom w:val="0"/>
                          <w:divBdr>
                            <w:top w:val="none" w:sz="0" w:space="0" w:color="auto"/>
                            <w:left w:val="none" w:sz="0" w:space="0" w:color="auto"/>
                            <w:bottom w:val="none" w:sz="0" w:space="0" w:color="auto"/>
                            <w:right w:val="none" w:sz="0" w:space="0" w:color="auto"/>
                          </w:divBdr>
                        </w:div>
                        <w:div w:id="17472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034081">
              <w:marLeft w:val="0"/>
              <w:marRight w:val="0"/>
              <w:marTop w:val="0"/>
              <w:marBottom w:val="0"/>
              <w:divBdr>
                <w:top w:val="none" w:sz="0" w:space="0" w:color="auto"/>
                <w:left w:val="none" w:sz="0" w:space="0" w:color="auto"/>
                <w:bottom w:val="none" w:sz="0" w:space="0" w:color="auto"/>
                <w:right w:val="none" w:sz="0" w:space="0" w:color="auto"/>
              </w:divBdr>
              <w:divsChild>
                <w:div w:id="1717699509">
                  <w:marLeft w:val="0"/>
                  <w:marRight w:val="0"/>
                  <w:marTop w:val="120"/>
                  <w:marBottom w:val="0"/>
                  <w:divBdr>
                    <w:top w:val="none" w:sz="0" w:space="0" w:color="auto"/>
                    <w:left w:val="none" w:sz="0" w:space="0" w:color="auto"/>
                    <w:bottom w:val="none" w:sz="0" w:space="0" w:color="auto"/>
                    <w:right w:val="none" w:sz="0" w:space="0" w:color="auto"/>
                  </w:divBdr>
                </w:div>
                <w:div w:id="1130824118">
                  <w:marLeft w:val="0"/>
                  <w:marRight w:val="0"/>
                  <w:marTop w:val="0"/>
                  <w:marBottom w:val="0"/>
                  <w:divBdr>
                    <w:top w:val="none" w:sz="0" w:space="0" w:color="auto"/>
                    <w:left w:val="none" w:sz="0" w:space="0" w:color="auto"/>
                    <w:bottom w:val="none" w:sz="0" w:space="0" w:color="auto"/>
                    <w:right w:val="none" w:sz="0" w:space="0" w:color="auto"/>
                  </w:divBdr>
                </w:div>
              </w:divsChild>
            </w:div>
            <w:div w:id="1731417908">
              <w:marLeft w:val="0"/>
              <w:marRight w:val="0"/>
              <w:marTop w:val="0"/>
              <w:marBottom w:val="0"/>
              <w:divBdr>
                <w:top w:val="none" w:sz="0" w:space="0" w:color="auto"/>
                <w:left w:val="none" w:sz="0" w:space="0" w:color="auto"/>
                <w:bottom w:val="none" w:sz="0" w:space="0" w:color="auto"/>
                <w:right w:val="none" w:sz="0" w:space="0" w:color="auto"/>
              </w:divBdr>
              <w:divsChild>
                <w:div w:id="582615566">
                  <w:marLeft w:val="0"/>
                  <w:marRight w:val="0"/>
                  <w:marTop w:val="120"/>
                  <w:marBottom w:val="0"/>
                  <w:divBdr>
                    <w:top w:val="none" w:sz="0" w:space="0" w:color="auto"/>
                    <w:left w:val="none" w:sz="0" w:space="0" w:color="auto"/>
                    <w:bottom w:val="none" w:sz="0" w:space="0" w:color="auto"/>
                    <w:right w:val="none" w:sz="0" w:space="0" w:color="auto"/>
                  </w:divBdr>
                </w:div>
                <w:div w:id="16783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82489">
      <w:bodyDiv w:val="1"/>
      <w:marLeft w:val="0"/>
      <w:marRight w:val="0"/>
      <w:marTop w:val="0"/>
      <w:marBottom w:val="0"/>
      <w:divBdr>
        <w:top w:val="none" w:sz="0" w:space="0" w:color="auto"/>
        <w:left w:val="none" w:sz="0" w:space="0" w:color="auto"/>
        <w:bottom w:val="none" w:sz="0" w:space="0" w:color="auto"/>
        <w:right w:val="none" w:sz="0" w:space="0" w:color="auto"/>
      </w:divBdr>
      <w:divsChild>
        <w:div w:id="758792909">
          <w:marLeft w:val="0"/>
          <w:marRight w:val="0"/>
          <w:marTop w:val="0"/>
          <w:marBottom w:val="0"/>
          <w:divBdr>
            <w:top w:val="none" w:sz="0" w:space="0" w:color="auto"/>
            <w:left w:val="none" w:sz="0" w:space="0" w:color="auto"/>
            <w:bottom w:val="none" w:sz="0" w:space="0" w:color="auto"/>
            <w:right w:val="none" w:sz="0" w:space="0" w:color="auto"/>
          </w:divBdr>
        </w:div>
      </w:divsChild>
    </w:div>
    <w:div w:id="1226911821">
      <w:bodyDiv w:val="1"/>
      <w:marLeft w:val="0"/>
      <w:marRight w:val="0"/>
      <w:marTop w:val="0"/>
      <w:marBottom w:val="0"/>
      <w:divBdr>
        <w:top w:val="none" w:sz="0" w:space="0" w:color="auto"/>
        <w:left w:val="none" w:sz="0" w:space="0" w:color="auto"/>
        <w:bottom w:val="none" w:sz="0" w:space="0" w:color="auto"/>
        <w:right w:val="none" w:sz="0" w:space="0" w:color="auto"/>
      </w:divBdr>
      <w:divsChild>
        <w:div w:id="264774452">
          <w:marLeft w:val="0"/>
          <w:marRight w:val="0"/>
          <w:marTop w:val="120"/>
          <w:marBottom w:val="0"/>
          <w:divBdr>
            <w:top w:val="none" w:sz="0" w:space="0" w:color="auto"/>
            <w:left w:val="none" w:sz="0" w:space="0" w:color="auto"/>
            <w:bottom w:val="none" w:sz="0" w:space="0" w:color="auto"/>
            <w:right w:val="none" w:sz="0" w:space="0" w:color="auto"/>
          </w:divBdr>
        </w:div>
        <w:div w:id="488719560">
          <w:marLeft w:val="0"/>
          <w:marRight w:val="0"/>
          <w:marTop w:val="0"/>
          <w:marBottom w:val="0"/>
          <w:divBdr>
            <w:top w:val="none" w:sz="0" w:space="0" w:color="auto"/>
            <w:left w:val="none" w:sz="0" w:space="0" w:color="auto"/>
            <w:bottom w:val="none" w:sz="0" w:space="0" w:color="auto"/>
            <w:right w:val="none" w:sz="0" w:space="0" w:color="auto"/>
          </w:divBdr>
        </w:div>
      </w:divsChild>
    </w:div>
    <w:div w:id="1230532224">
      <w:bodyDiv w:val="1"/>
      <w:marLeft w:val="0"/>
      <w:marRight w:val="0"/>
      <w:marTop w:val="0"/>
      <w:marBottom w:val="0"/>
      <w:divBdr>
        <w:top w:val="none" w:sz="0" w:space="0" w:color="auto"/>
        <w:left w:val="none" w:sz="0" w:space="0" w:color="auto"/>
        <w:bottom w:val="none" w:sz="0" w:space="0" w:color="auto"/>
        <w:right w:val="none" w:sz="0" w:space="0" w:color="auto"/>
      </w:divBdr>
      <w:divsChild>
        <w:div w:id="736052928">
          <w:marLeft w:val="0"/>
          <w:marRight w:val="0"/>
          <w:marTop w:val="0"/>
          <w:marBottom w:val="0"/>
          <w:divBdr>
            <w:top w:val="none" w:sz="0" w:space="0" w:color="auto"/>
            <w:left w:val="none" w:sz="0" w:space="0" w:color="auto"/>
            <w:bottom w:val="none" w:sz="0" w:space="0" w:color="auto"/>
            <w:right w:val="none" w:sz="0" w:space="0" w:color="auto"/>
          </w:divBdr>
        </w:div>
      </w:divsChild>
    </w:div>
    <w:div w:id="1240359592">
      <w:bodyDiv w:val="1"/>
      <w:marLeft w:val="0"/>
      <w:marRight w:val="0"/>
      <w:marTop w:val="0"/>
      <w:marBottom w:val="0"/>
      <w:divBdr>
        <w:top w:val="none" w:sz="0" w:space="0" w:color="auto"/>
        <w:left w:val="none" w:sz="0" w:space="0" w:color="auto"/>
        <w:bottom w:val="none" w:sz="0" w:space="0" w:color="auto"/>
        <w:right w:val="none" w:sz="0" w:space="0" w:color="auto"/>
      </w:divBdr>
      <w:divsChild>
        <w:div w:id="1131440224">
          <w:marLeft w:val="0"/>
          <w:marRight w:val="0"/>
          <w:marTop w:val="0"/>
          <w:marBottom w:val="0"/>
          <w:divBdr>
            <w:top w:val="none" w:sz="0" w:space="0" w:color="auto"/>
            <w:left w:val="none" w:sz="0" w:space="0" w:color="auto"/>
            <w:bottom w:val="none" w:sz="0" w:space="0" w:color="auto"/>
            <w:right w:val="none" w:sz="0" w:space="0" w:color="auto"/>
          </w:divBdr>
        </w:div>
      </w:divsChild>
    </w:div>
    <w:div w:id="1243291508">
      <w:bodyDiv w:val="1"/>
      <w:marLeft w:val="0"/>
      <w:marRight w:val="0"/>
      <w:marTop w:val="0"/>
      <w:marBottom w:val="0"/>
      <w:divBdr>
        <w:top w:val="none" w:sz="0" w:space="0" w:color="auto"/>
        <w:left w:val="none" w:sz="0" w:space="0" w:color="auto"/>
        <w:bottom w:val="none" w:sz="0" w:space="0" w:color="auto"/>
        <w:right w:val="none" w:sz="0" w:space="0" w:color="auto"/>
      </w:divBdr>
      <w:divsChild>
        <w:div w:id="1526823196">
          <w:marLeft w:val="0"/>
          <w:marRight w:val="0"/>
          <w:marTop w:val="0"/>
          <w:marBottom w:val="0"/>
          <w:divBdr>
            <w:top w:val="none" w:sz="0" w:space="0" w:color="auto"/>
            <w:left w:val="none" w:sz="0" w:space="0" w:color="auto"/>
            <w:bottom w:val="none" w:sz="0" w:space="0" w:color="auto"/>
            <w:right w:val="none" w:sz="0" w:space="0" w:color="auto"/>
          </w:divBdr>
        </w:div>
      </w:divsChild>
    </w:div>
    <w:div w:id="1254126638">
      <w:bodyDiv w:val="1"/>
      <w:marLeft w:val="0"/>
      <w:marRight w:val="0"/>
      <w:marTop w:val="0"/>
      <w:marBottom w:val="0"/>
      <w:divBdr>
        <w:top w:val="none" w:sz="0" w:space="0" w:color="auto"/>
        <w:left w:val="none" w:sz="0" w:space="0" w:color="auto"/>
        <w:bottom w:val="none" w:sz="0" w:space="0" w:color="auto"/>
        <w:right w:val="none" w:sz="0" w:space="0" w:color="auto"/>
      </w:divBdr>
      <w:divsChild>
        <w:div w:id="547255310">
          <w:marLeft w:val="0"/>
          <w:marRight w:val="0"/>
          <w:marTop w:val="0"/>
          <w:marBottom w:val="0"/>
          <w:divBdr>
            <w:top w:val="none" w:sz="0" w:space="0" w:color="auto"/>
            <w:left w:val="none" w:sz="0" w:space="0" w:color="auto"/>
            <w:bottom w:val="none" w:sz="0" w:space="0" w:color="auto"/>
            <w:right w:val="none" w:sz="0" w:space="0" w:color="auto"/>
          </w:divBdr>
          <w:divsChild>
            <w:div w:id="1302736563">
              <w:marLeft w:val="0"/>
              <w:marRight w:val="0"/>
              <w:marTop w:val="0"/>
              <w:marBottom w:val="0"/>
              <w:divBdr>
                <w:top w:val="none" w:sz="0" w:space="0" w:color="auto"/>
                <w:left w:val="none" w:sz="0" w:space="0" w:color="auto"/>
                <w:bottom w:val="none" w:sz="0" w:space="0" w:color="auto"/>
                <w:right w:val="none" w:sz="0" w:space="0" w:color="auto"/>
              </w:divBdr>
            </w:div>
          </w:divsChild>
        </w:div>
        <w:div w:id="1763187928">
          <w:marLeft w:val="0"/>
          <w:marRight w:val="0"/>
          <w:marTop w:val="0"/>
          <w:marBottom w:val="0"/>
          <w:divBdr>
            <w:top w:val="none" w:sz="0" w:space="0" w:color="auto"/>
            <w:left w:val="none" w:sz="0" w:space="0" w:color="auto"/>
            <w:bottom w:val="none" w:sz="0" w:space="0" w:color="auto"/>
            <w:right w:val="none" w:sz="0" w:space="0" w:color="auto"/>
          </w:divBdr>
          <w:divsChild>
            <w:div w:id="1444886700">
              <w:marLeft w:val="0"/>
              <w:marRight w:val="0"/>
              <w:marTop w:val="120"/>
              <w:marBottom w:val="0"/>
              <w:divBdr>
                <w:top w:val="none" w:sz="0" w:space="0" w:color="auto"/>
                <w:left w:val="none" w:sz="0" w:space="0" w:color="auto"/>
                <w:bottom w:val="none" w:sz="0" w:space="0" w:color="auto"/>
                <w:right w:val="none" w:sz="0" w:space="0" w:color="auto"/>
              </w:divBdr>
            </w:div>
            <w:div w:id="949701493">
              <w:marLeft w:val="0"/>
              <w:marRight w:val="0"/>
              <w:marTop w:val="0"/>
              <w:marBottom w:val="0"/>
              <w:divBdr>
                <w:top w:val="none" w:sz="0" w:space="0" w:color="auto"/>
                <w:left w:val="none" w:sz="0" w:space="0" w:color="auto"/>
                <w:bottom w:val="none" w:sz="0" w:space="0" w:color="auto"/>
                <w:right w:val="none" w:sz="0" w:space="0" w:color="auto"/>
              </w:divBdr>
            </w:div>
          </w:divsChild>
        </w:div>
        <w:div w:id="1641498964">
          <w:marLeft w:val="0"/>
          <w:marRight w:val="0"/>
          <w:marTop w:val="0"/>
          <w:marBottom w:val="0"/>
          <w:divBdr>
            <w:top w:val="none" w:sz="0" w:space="0" w:color="auto"/>
            <w:left w:val="none" w:sz="0" w:space="0" w:color="auto"/>
            <w:bottom w:val="none" w:sz="0" w:space="0" w:color="auto"/>
            <w:right w:val="none" w:sz="0" w:space="0" w:color="auto"/>
          </w:divBdr>
          <w:divsChild>
            <w:div w:id="699623021">
              <w:marLeft w:val="0"/>
              <w:marRight w:val="0"/>
              <w:marTop w:val="120"/>
              <w:marBottom w:val="0"/>
              <w:divBdr>
                <w:top w:val="none" w:sz="0" w:space="0" w:color="auto"/>
                <w:left w:val="none" w:sz="0" w:space="0" w:color="auto"/>
                <w:bottom w:val="none" w:sz="0" w:space="0" w:color="auto"/>
                <w:right w:val="none" w:sz="0" w:space="0" w:color="auto"/>
              </w:divBdr>
            </w:div>
            <w:div w:id="3328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62602">
      <w:bodyDiv w:val="1"/>
      <w:marLeft w:val="0"/>
      <w:marRight w:val="0"/>
      <w:marTop w:val="0"/>
      <w:marBottom w:val="0"/>
      <w:divBdr>
        <w:top w:val="none" w:sz="0" w:space="0" w:color="auto"/>
        <w:left w:val="none" w:sz="0" w:space="0" w:color="auto"/>
        <w:bottom w:val="none" w:sz="0" w:space="0" w:color="auto"/>
        <w:right w:val="none" w:sz="0" w:space="0" w:color="auto"/>
      </w:divBdr>
      <w:divsChild>
        <w:div w:id="1968776260">
          <w:marLeft w:val="0"/>
          <w:marRight w:val="0"/>
          <w:marTop w:val="0"/>
          <w:marBottom w:val="0"/>
          <w:divBdr>
            <w:top w:val="none" w:sz="0" w:space="0" w:color="auto"/>
            <w:left w:val="none" w:sz="0" w:space="0" w:color="auto"/>
            <w:bottom w:val="none" w:sz="0" w:space="0" w:color="auto"/>
            <w:right w:val="none" w:sz="0" w:space="0" w:color="auto"/>
          </w:divBdr>
          <w:divsChild>
            <w:div w:id="18312327">
              <w:marLeft w:val="0"/>
              <w:marRight w:val="0"/>
              <w:marTop w:val="0"/>
              <w:marBottom w:val="0"/>
              <w:divBdr>
                <w:top w:val="none" w:sz="0" w:space="0" w:color="auto"/>
                <w:left w:val="none" w:sz="0" w:space="0" w:color="auto"/>
                <w:bottom w:val="none" w:sz="0" w:space="0" w:color="auto"/>
                <w:right w:val="none" w:sz="0" w:space="0" w:color="auto"/>
              </w:divBdr>
              <w:divsChild>
                <w:div w:id="726075652">
                  <w:marLeft w:val="0"/>
                  <w:marRight w:val="0"/>
                  <w:marTop w:val="120"/>
                  <w:marBottom w:val="0"/>
                  <w:divBdr>
                    <w:top w:val="none" w:sz="0" w:space="0" w:color="auto"/>
                    <w:left w:val="none" w:sz="0" w:space="0" w:color="auto"/>
                    <w:bottom w:val="none" w:sz="0" w:space="0" w:color="auto"/>
                    <w:right w:val="none" w:sz="0" w:space="0" w:color="auto"/>
                  </w:divBdr>
                </w:div>
                <w:div w:id="1592466984">
                  <w:marLeft w:val="0"/>
                  <w:marRight w:val="0"/>
                  <w:marTop w:val="0"/>
                  <w:marBottom w:val="0"/>
                  <w:divBdr>
                    <w:top w:val="none" w:sz="0" w:space="0" w:color="auto"/>
                    <w:left w:val="none" w:sz="0" w:space="0" w:color="auto"/>
                    <w:bottom w:val="none" w:sz="0" w:space="0" w:color="auto"/>
                    <w:right w:val="none" w:sz="0" w:space="0" w:color="auto"/>
                  </w:divBdr>
                </w:div>
              </w:divsChild>
            </w:div>
            <w:div w:id="1132675253">
              <w:marLeft w:val="0"/>
              <w:marRight w:val="0"/>
              <w:marTop w:val="0"/>
              <w:marBottom w:val="0"/>
              <w:divBdr>
                <w:top w:val="none" w:sz="0" w:space="0" w:color="auto"/>
                <w:left w:val="none" w:sz="0" w:space="0" w:color="auto"/>
                <w:bottom w:val="none" w:sz="0" w:space="0" w:color="auto"/>
                <w:right w:val="none" w:sz="0" w:space="0" w:color="auto"/>
              </w:divBdr>
              <w:divsChild>
                <w:div w:id="324940705">
                  <w:marLeft w:val="0"/>
                  <w:marRight w:val="0"/>
                  <w:marTop w:val="120"/>
                  <w:marBottom w:val="0"/>
                  <w:divBdr>
                    <w:top w:val="none" w:sz="0" w:space="0" w:color="auto"/>
                    <w:left w:val="none" w:sz="0" w:space="0" w:color="auto"/>
                    <w:bottom w:val="none" w:sz="0" w:space="0" w:color="auto"/>
                    <w:right w:val="none" w:sz="0" w:space="0" w:color="auto"/>
                  </w:divBdr>
                </w:div>
                <w:div w:id="127698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83055">
      <w:bodyDiv w:val="1"/>
      <w:marLeft w:val="0"/>
      <w:marRight w:val="0"/>
      <w:marTop w:val="0"/>
      <w:marBottom w:val="0"/>
      <w:divBdr>
        <w:top w:val="none" w:sz="0" w:space="0" w:color="auto"/>
        <w:left w:val="none" w:sz="0" w:space="0" w:color="auto"/>
        <w:bottom w:val="none" w:sz="0" w:space="0" w:color="auto"/>
        <w:right w:val="none" w:sz="0" w:space="0" w:color="auto"/>
      </w:divBdr>
      <w:divsChild>
        <w:div w:id="998464020">
          <w:marLeft w:val="0"/>
          <w:marRight w:val="0"/>
          <w:marTop w:val="0"/>
          <w:marBottom w:val="0"/>
          <w:divBdr>
            <w:top w:val="none" w:sz="0" w:space="0" w:color="auto"/>
            <w:left w:val="none" w:sz="0" w:space="0" w:color="auto"/>
            <w:bottom w:val="none" w:sz="0" w:space="0" w:color="auto"/>
            <w:right w:val="none" w:sz="0" w:space="0" w:color="auto"/>
          </w:divBdr>
        </w:div>
      </w:divsChild>
    </w:div>
    <w:div w:id="1262644763">
      <w:bodyDiv w:val="1"/>
      <w:marLeft w:val="0"/>
      <w:marRight w:val="0"/>
      <w:marTop w:val="0"/>
      <w:marBottom w:val="0"/>
      <w:divBdr>
        <w:top w:val="none" w:sz="0" w:space="0" w:color="auto"/>
        <w:left w:val="none" w:sz="0" w:space="0" w:color="auto"/>
        <w:bottom w:val="none" w:sz="0" w:space="0" w:color="auto"/>
        <w:right w:val="none" w:sz="0" w:space="0" w:color="auto"/>
      </w:divBdr>
      <w:divsChild>
        <w:div w:id="1527984193">
          <w:marLeft w:val="0"/>
          <w:marRight w:val="0"/>
          <w:marTop w:val="0"/>
          <w:marBottom w:val="0"/>
          <w:divBdr>
            <w:top w:val="none" w:sz="0" w:space="0" w:color="auto"/>
            <w:left w:val="none" w:sz="0" w:space="0" w:color="auto"/>
            <w:bottom w:val="none" w:sz="0" w:space="0" w:color="auto"/>
            <w:right w:val="none" w:sz="0" w:space="0" w:color="auto"/>
          </w:divBdr>
        </w:div>
      </w:divsChild>
    </w:div>
    <w:div w:id="1262686680">
      <w:bodyDiv w:val="1"/>
      <w:marLeft w:val="0"/>
      <w:marRight w:val="0"/>
      <w:marTop w:val="0"/>
      <w:marBottom w:val="0"/>
      <w:divBdr>
        <w:top w:val="none" w:sz="0" w:space="0" w:color="auto"/>
        <w:left w:val="none" w:sz="0" w:space="0" w:color="auto"/>
        <w:bottom w:val="none" w:sz="0" w:space="0" w:color="auto"/>
        <w:right w:val="none" w:sz="0" w:space="0" w:color="auto"/>
      </w:divBdr>
      <w:divsChild>
        <w:div w:id="203295943">
          <w:marLeft w:val="0"/>
          <w:marRight w:val="0"/>
          <w:marTop w:val="0"/>
          <w:marBottom w:val="0"/>
          <w:divBdr>
            <w:top w:val="none" w:sz="0" w:space="0" w:color="auto"/>
            <w:left w:val="none" w:sz="0" w:space="0" w:color="auto"/>
            <w:bottom w:val="none" w:sz="0" w:space="0" w:color="auto"/>
            <w:right w:val="none" w:sz="0" w:space="0" w:color="auto"/>
          </w:divBdr>
        </w:div>
      </w:divsChild>
    </w:div>
    <w:div w:id="1264076232">
      <w:bodyDiv w:val="1"/>
      <w:marLeft w:val="0"/>
      <w:marRight w:val="0"/>
      <w:marTop w:val="0"/>
      <w:marBottom w:val="0"/>
      <w:divBdr>
        <w:top w:val="none" w:sz="0" w:space="0" w:color="auto"/>
        <w:left w:val="none" w:sz="0" w:space="0" w:color="auto"/>
        <w:bottom w:val="none" w:sz="0" w:space="0" w:color="auto"/>
        <w:right w:val="none" w:sz="0" w:space="0" w:color="auto"/>
      </w:divBdr>
      <w:divsChild>
        <w:div w:id="129370820">
          <w:marLeft w:val="0"/>
          <w:marRight w:val="0"/>
          <w:marTop w:val="120"/>
          <w:marBottom w:val="0"/>
          <w:divBdr>
            <w:top w:val="none" w:sz="0" w:space="0" w:color="auto"/>
            <w:left w:val="none" w:sz="0" w:space="0" w:color="auto"/>
            <w:bottom w:val="none" w:sz="0" w:space="0" w:color="auto"/>
            <w:right w:val="none" w:sz="0" w:space="0" w:color="auto"/>
          </w:divBdr>
        </w:div>
        <w:div w:id="14161480">
          <w:marLeft w:val="0"/>
          <w:marRight w:val="0"/>
          <w:marTop w:val="0"/>
          <w:marBottom w:val="0"/>
          <w:divBdr>
            <w:top w:val="none" w:sz="0" w:space="0" w:color="auto"/>
            <w:left w:val="none" w:sz="0" w:space="0" w:color="auto"/>
            <w:bottom w:val="none" w:sz="0" w:space="0" w:color="auto"/>
            <w:right w:val="none" w:sz="0" w:space="0" w:color="auto"/>
          </w:divBdr>
        </w:div>
      </w:divsChild>
    </w:div>
    <w:div w:id="1269852837">
      <w:bodyDiv w:val="1"/>
      <w:marLeft w:val="0"/>
      <w:marRight w:val="0"/>
      <w:marTop w:val="0"/>
      <w:marBottom w:val="0"/>
      <w:divBdr>
        <w:top w:val="none" w:sz="0" w:space="0" w:color="auto"/>
        <w:left w:val="none" w:sz="0" w:space="0" w:color="auto"/>
        <w:bottom w:val="none" w:sz="0" w:space="0" w:color="auto"/>
        <w:right w:val="none" w:sz="0" w:space="0" w:color="auto"/>
      </w:divBdr>
      <w:divsChild>
        <w:div w:id="1426733187">
          <w:marLeft w:val="0"/>
          <w:marRight w:val="0"/>
          <w:marTop w:val="120"/>
          <w:marBottom w:val="0"/>
          <w:divBdr>
            <w:top w:val="none" w:sz="0" w:space="0" w:color="auto"/>
            <w:left w:val="none" w:sz="0" w:space="0" w:color="auto"/>
            <w:bottom w:val="none" w:sz="0" w:space="0" w:color="auto"/>
            <w:right w:val="none" w:sz="0" w:space="0" w:color="auto"/>
          </w:divBdr>
        </w:div>
        <w:div w:id="530146653">
          <w:marLeft w:val="0"/>
          <w:marRight w:val="0"/>
          <w:marTop w:val="0"/>
          <w:marBottom w:val="0"/>
          <w:divBdr>
            <w:top w:val="none" w:sz="0" w:space="0" w:color="auto"/>
            <w:left w:val="none" w:sz="0" w:space="0" w:color="auto"/>
            <w:bottom w:val="none" w:sz="0" w:space="0" w:color="auto"/>
            <w:right w:val="none" w:sz="0" w:space="0" w:color="auto"/>
          </w:divBdr>
        </w:div>
      </w:divsChild>
    </w:div>
    <w:div w:id="1279993762">
      <w:bodyDiv w:val="1"/>
      <w:marLeft w:val="0"/>
      <w:marRight w:val="0"/>
      <w:marTop w:val="0"/>
      <w:marBottom w:val="0"/>
      <w:divBdr>
        <w:top w:val="none" w:sz="0" w:space="0" w:color="auto"/>
        <w:left w:val="none" w:sz="0" w:space="0" w:color="auto"/>
        <w:bottom w:val="none" w:sz="0" w:space="0" w:color="auto"/>
        <w:right w:val="none" w:sz="0" w:space="0" w:color="auto"/>
      </w:divBdr>
      <w:divsChild>
        <w:div w:id="527988142">
          <w:marLeft w:val="0"/>
          <w:marRight w:val="0"/>
          <w:marTop w:val="0"/>
          <w:marBottom w:val="0"/>
          <w:divBdr>
            <w:top w:val="none" w:sz="0" w:space="0" w:color="auto"/>
            <w:left w:val="none" w:sz="0" w:space="0" w:color="auto"/>
            <w:bottom w:val="none" w:sz="0" w:space="0" w:color="auto"/>
            <w:right w:val="none" w:sz="0" w:space="0" w:color="auto"/>
          </w:divBdr>
        </w:div>
      </w:divsChild>
    </w:div>
    <w:div w:id="1282225099">
      <w:bodyDiv w:val="1"/>
      <w:marLeft w:val="0"/>
      <w:marRight w:val="0"/>
      <w:marTop w:val="0"/>
      <w:marBottom w:val="0"/>
      <w:divBdr>
        <w:top w:val="none" w:sz="0" w:space="0" w:color="auto"/>
        <w:left w:val="none" w:sz="0" w:space="0" w:color="auto"/>
        <w:bottom w:val="none" w:sz="0" w:space="0" w:color="auto"/>
        <w:right w:val="none" w:sz="0" w:space="0" w:color="auto"/>
      </w:divBdr>
      <w:divsChild>
        <w:div w:id="1836989870">
          <w:marLeft w:val="0"/>
          <w:marRight w:val="0"/>
          <w:marTop w:val="0"/>
          <w:marBottom w:val="0"/>
          <w:divBdr>
            <w:top w:val="none" w:sz="0" w:space="0" w:color="auto"/>
            <w:left w:val="none" w:sz="0" w:space="0" w:color="auto"/>
            <w:bottom w:val="none" w:sz="0" w:space="0" w:color="auto"/>
            <w:right w:val="none" w:sz="0" w:space="0" w:color="auto"/>
          </w:divBdr>
        </w:div>
      </w:divsChild>
    </w:div>
    <w:div w:id="1282229083">
      <w:bodyDiv w:val="1"/>
      <w:marLeft w:val="0"/>
      <w:marRight w:val="0"/>
      <w:marTop w:val="0"/>
      <w:marBottom w:val="0"/>
      <w:divBdr>
        <w:top w:val="none" w:sz="0" w:space="0" w:color="auto"/>
        <w:left w:val="none" w:sz="0" w:space="0" w:color="auto"/>
        <w:bottom w:val="none" w:sz="0" w:space="0" w:color="auto"/>
        <w:right w:val="none" w:sz="0" w:space="0" w:color="auto"/>
      </w:divBdr>
      <w:divsChild>
        <w:div w:id="1996372171">
          <w:marLeft w:val="0"/>
          <w:marRight w:val="0"/>
          <w:marTop w:val="120"/>
          <w:marBottom w:val="0"/>
          <w:divBdr>
            <w:top w:val="none" w:sz="0" w:space="0" w:color="auto"/>
            <w:left w:val="none" w:sz="0" w:space="0" w:color="auto"/>
            <w:bottom w:val="none" w:sz="0" w:space="0" w:color="auto"/>
            <w:right w:val="none" w:sz="0" w:space="0" w:color="auto"/>
          </w:divBdr>
        </w:div>
        <w:div w:id="1540315287">
          <w:marLeft w:val="0"/>
          <w:marRight w:val="0"/>
          <w:marTop w:val="0"/>
          <w:marBottom w:val="0"/>
          <w:divBdr>
            <w:top w:val="none" w:sz="0" w:space="0" w:color="auto"/>
            <w:left w:val="none" w:sz="0" w:space="0" w:color="auto"/>
            <w:bottom w:val="none" w:sz="0" w:space="0" w:color="auto"/>
            <w:right w:val="none" w:sz="0" w:space="0" w:color="auto"/>
          </w:divBdr>
        </w:div>
      </w:divsChild>
    </w:div>
    <w:div w:id="1282419694">
      <w:bodyDiv w:val="1"/>
      <w:marLeft w:val="0"/>
      <w:marRight w:val="0"/>
      <w:marTop w:val="0"/>
      <w:marBottom w:val="0"/>
      <w:divBdr>
        <w:top w:val="none" w:sz="0" w:space="0" w:color="auto"/>
        <w:left w:val="none" w:sz="0" w:space="0" w:color="auto"/>
        <w:bottom w:val="none" w:sz="0" w:space="0" w:color="auto"/>
        <w:right w:val="none" w:sz="0" w:space="0" w:color="auto"/>
      </w:divBdr>
    </w:div>
    <w:div w:id="1283003694">
      <w:bodyDiv w:val="1"/>
      <w:marLeft w:val="0"/>
      <w:marRight w:val="0"/>
      <w:marTop w:val="0"/>
      <w:marBottom w:val="0"/>
      <w:divBdr>
        <w:top w:val="none" w:sz="0" w:space="0" w:color="auto"/>
        <w:left w:val="none" w:sz="0" w:space="0" w:color="auto"/>
        <w:bottom w:val="none" w:sz="0" w:space="0" w:color="auto"/>
        <w:right w:val="none" w:sz="0" w:space="0" w:color="auto"/>
      </w:divBdr>
      <w:divsChild>
        <w:div w:id="1603301943">
          <w:marLeft w:val="0"/>
          <w:marRight w:val="0"/>
          <w:marTop w:val="0"/>
          <w:marBottom w:val="0"/>
          <w:divBdr>
            <w:top w:val="none" w:sz="0" w:space="0" w:color="auto"/>
            <w:left w:val="none" w:sz="0" w:space="0" w:color="auto"/>
            <w:bottom w:val="none" w:sz="0" w:space="0" w:color="auto"/>
            <w:right w:val="none" w:sz="0" w:space="0" w:color="auto"/>
          </w:divBdr>
        </w:div>
      </w:divsChild>
    </w:div>
    <w:div w:id="1283535508">
      <w:bodyDiv w:val="1"/>
      <w:marLeft w:val="0"/>
      <w:marRight w:val="0"/>
      <w:marTop w:val="0"/>
      <w:marBottom w:val="0"/>
      <w:divBdr>
        <w:top w:val="none" w:sz="0" w:space="0" w:color="auto"/>
        <w:left w:val="none" w:sz="0" w:space="0" w:color="auto"/>
        <w:bottom w:val="none" w:sz="0" w:space="0" w:color="auto"/>
        <w:right w:val="none" w:sz="0" w:space="0" w:color="auto"/>
      </w:divBdr>
      <w:divsChild>
        <w:div w:id="1399136880">
          <w:marLeft w:val="0"/>
          <w:marRight w:val="0"/>
          <w:marTop w:val="120"/>
          <w:marBottom w:val="0"/>
          <w:divBdr>
            <w:top w:val="none" w:sz="0" w:space="0" w:color="auto"/>
            <w:left w:val="none" w:sz="0" w:space="0" w:color="auto"/>
            <w:bottom w:val="none" w:sz="0" w:space="0" w:color="auto"/>
            <w:right w:val="none" w:sz="0" w:space="0" w:color="auto"/>
          </w:divBdr>
        </w:div>
        <w:div w:id="1124810385">
          <w:marLeft w:val="0"/>
          <w:marRight w:val="0"/>
          <w:marTop w:val="0"/>
          <w:marBottom w:val="0"/>
          <w:divBdr>
            <w:top w:val="none" w:sz="0" w:space="0" w:color="auto"/>
            <w:left w:val="none" w:sz="0" w:space="0" w:color="auto"/>
            <w:bottom w:val="none" w:sz="0" w:space="0" w:color="auto"/>
            <w:right w:val="none" w:sz="0" w:space="0" w:color="auto"/>
          </w:divBdr>
        </w:div>
      </w:divsChild>
    </w:div>
    <w:div w:id="1284922996">
      <w:bodyDiv w:val="1"/>
      <w:marLeft w:val="0"/>
      <w:marRight w:val="0"/>
      <w:marTop w:val="0"/>
      <w:marBottom w:val="0"/>
      <w:divBdr>
        <w:top w:val="none" w:sz="0" w:space="0" w:color="auto"/>
        <w:left w:val="none" w:sz="0" w:space="0" w:color="auto"/>
        <w:bottom w:val="none" w:sz="0" w:space="0" w:color="auto"/>
        <w:right w:val="none" w:sz="0" w:space="0" w:color="auto"/>
      </w:divBdr>
    </w:div>
    <w:div w:id="1293057241">
      <w:bodyDiv w:val="1"/>
      <w:marLeft w:val="0"/>
      <w:marRight w:val="0"/>
      <w:marTop w:val="0"/>
      <w:marBottom w:val="0"/>
      <w:divBdr>
        <w:top w:val="none" w:sz="0" w:space="0" w:color="auto"/>
        <w:left w:val="none" w:sz="0" w:space="0" w:color="auto"/>
        <w:bottom w:val="none" w:sz="0" w:space="0" w:color="auto"/>
        <w:right w:val="none" w:sz="0" w:space="0" w:color="auto"/>
      </w:divBdr>
      <w:divsChild>
        <w:div w:id="262035094">
          <w:marLeft w:val="0"/>
          <w:marRight w:val="0"/>
          <w:marTop w:val="0"/>
          <w:marBottom w:val="0"/>
          <w:divBdr>
            <w:top w:val="none" w:sz="0" w:space="0" w:color="auto"/>
            <w:left w:val="none" w:sz="0" w:space="0" w:color="auto"/>
            <w:bottom w:val="none" w:sz="0" w:space="0" w:color="auto"/>
            <w:right w:val="none" w:sz="0" w:space="0" w:color="auto"/>
          </w:divBdr>
        </w:div>
      </w:divsChild>
    </w:div>
    <w:div w:id="1296719231">
      <w:bodyDiv w:val="1"/>
      <w:marLeft w:val="0"/>
      <w:marRight w:val="0"/>
      <w:marTop w:val="0"/>
      <w:marBottom w:val="0"/>
      <w:divBdr>
        <w:top w:val="none" w:sz="0" w:space="0" w:color="auto"/>
        <w:left w:val="none" w:sz="0" w:space="0" w:color="auto"/>
        <w:bottom w:val="none" w:sz="0" w:space="0" w:color="auto"/>
        <w:right w:val="none" w:sz="0" w:space="0" w:color="auto"/>
      </w:divBdr>
      <w:divsChild>
        <w:div w:id="741755714">
          <w:marLeft w:val="0"/>
          <w:marRight w:val="0"/>
          <w:marTop w:val="120"/>
          <w:marBottom w:val="0"/>
          <w:divBdr>
            <w:top w:val="none" w:sz="0" w:space="0" w:color="auto"/>
            <w:left w:val="none" w:sz="0" w:space="0" w:color="auto"/>
            <w:bottom w:val="none" w:sz="0" w:space="0" w:color="auto"/>
            <w:right w:val="none" w:sz="0" w:space="0" w:color="auto"/>
          </w:divBdr>
        </w:div>
        <w:div w:id="1345741736">
          <w:marLeft w:val="0"/>
          <w:marRight w:val="0"/>
          <w:marTop w:val="0"/>
          <w:marBottom w:val="0"/>
          <w:divBdr>
            <w:top w:val="none" w:sz="0" w:space="0" w:color="auto"/>
            <w:left w:val="none" w:sz="0" w:space="0" w:color="auto"/>
            <w:bottom w:val="none" w:sz="0" w:space="0" w:color="auto"/>
            <w:right w:val="none" w:sz="0" w:space="0" w:color="auto"/>
          </w:divBdr>
        </w:div>
      </w:divsChild>
    </w:div>
    <w:div w:id="1305237297">
      <w:bodyDiv w:val="1"/>
      <w:marLeft w:val="0"/>
      <w:marRight w:val="0"/>
      <w:marTop w:val="0"/>
      <w:marBottom w:val="0"/>
      <w:divBdr>
        <w:top w:val="none" w:sz="0" w:space="0" w:color="auto"/>
        <w:left w:val="none" w:sz="0" w:space="0" w:color="auto"/>
        <w:bottom w:val="none" w:sz="0" w:space="0" w:color="auto"/>
        <w:right w:val="none" w:sz="0" w:space="0" w:color="auto"/>
      </w:divBdr>
      <w:divsChild>
        <w:div w:id="1012611078">
          <w:marLeft w:val="0"/>
          <w:marRight w:val="0"/>
          <w:marTop w:val="0"/>
          <w:marBottom w:val="0"/>
          <w:divBdr>
            <w:top w:val="none" w:sz="0" w:space="0" w:color="auto"/>
            <w:left w:val="none" w:sz="0" w:space="0" w:color="auto"/>
            <w:bottom w:val="none" w:sz="0" w:space="0" w:color="auto"/>
            <w:right w:val="none" w:sz="0" w:space="0" w:color="auto"/>
          </w:divBdr>
          <w:divsChild>
            <w:div w:id="1313943372">
              <w:marLeft w:val="0"/>
              <w:marRight w:val="0"/>
              <w:marTop w:val="0"/>
              <w:marBottom w:val="0"/>
              <w:divBdr>
                <w:top w:val="none" w:sz="0" w:space="0" w:color="auto"/>
                <w:left w:val="none" w:sz="0" w:space="0" w:color="auto"/>
                <w:bottom w:val="none" w:sz="0" w:space="0" w:color="auto"/>
                <w:right w:val="none" w:sz="0" w:space="0" w:color="auto"/>
              </w:divBdr>
              <w:divsChild>
                <w:div w:id="1199052866">
                  <w:marLeft w:val="0"/>
                  <w:marRight w:val="0"/>
                  <w:marTop w:val="120"/>
                  <w:marBottom w:val="0"/>
                  <w:divBdr>
                    <w:top w:val="none" w:sz="0" w:space="0" w:color="auto"/>
                    <w:left w:val="none" w:sz="0" w:space="0" w:color="auto"/>
                    <w:bottom w:val="none" w:sz="0" w:space="0" w:color="auto"/>
                    <w:right w:val="none" w:sz="0" w:space="0" w:color="auto"/>
                  </w:divBdr>
                </w:div>
                <w:div w:id="726340628">
                  <w:marLeft w:val="0"/>
                  <w:marRight w:val="0"/>
                  <w:marTop w:val="0"/>
                  <w:marBottom w:val="0"/>
                  <w:divBdr>
                    <w:top w:val="none" w:sz="0" w:space="0" w:color="auto"/>
                    <w:left w:val="none" w:sz="0" w:space="0" w:color="auto"/>
                    <w:bottom w:val="none" w:sz="0" w:space="0" w:color="auto"/>
                    <w:right w:val="none" w:sz="0" w:space="0" w:color="auto"/>
                  </w:divBdr>
                </w:div>
              </w:divsChild>
            </w:div>
            <w:div w:id="1661232408">
              <w:marLeft w:val="0"/>
              <w:marRight w:val="0"/>
              <w:marTop w:val="0"/>
              <w:marBottom w:val="0"/>
              <w:divBdr>
                <w:top w:val="none" w:sz="0" w:space="0" w:color="auto"/>
                <w:left w:val="none" w:sz="0" w:space="0" w:color="auto"/>
                <w:bottom w:val="none" w:sz="0" w:space="0" w:color="auto"/>
                <w:right w:val="none" w:sz="0" w:space="0" w:color="auto"/>
              </w:divBdr>
              <w:divsChild>
                <w:div w:id="430128314">
                  <w:marLeft w:val="0"/>
                  <w:marRight w:val="0"/>
                  <w:marTop w:val="120"/>
                  <w:marBottom w:val="0"/>
                  <w:divBdr>
                    <w:top w:val="none" w:sz="0" w:space="0" w:color="auto"/>
                    <w:left w:val="none" w:sz="0" w:space="0" w:color="auto"/>
                    <w:bottom w:val="none" w:sz="0" w:space="0" w:color="auto"/>
                    <w:right w:val="none" w:sz="0" w:space="0" w:color="auto"/>
                  </w:divBdr>
                </w:div>
                <w:div w:id="920916008">
                  <w:marLeft w:val="0"/>
                  <w:marRight w:val="0"/>
                  <w:marTop w:val="0"/>
                  <w:marBottom w:val="0"/>
                  <w:divBdr>
                    <w:top w:val="none" w:sz="0" w:space="0" w:color="auto"/>
                    <w:left w:val="none" w:sz="0" w:space="0" w:color="auto"/>
                    <w:bottom w:val="none" w:sz="0" w:space="0" w:color="auto"/>
                    <w:right w:val="none" w:sz="0" w:space="0" w:color="auto"/>
                  </w:divBdr>
                </w:div>
              </w:divsChild>
            </w:div>
            <w:div w:id="96028942">
              <w:marLeft w:val="0"/>
              <w:marRight w:val="0"/>
              <w:marTop w:val="0"/>
              <w:marBottom w:val="0"/>
              <w:divBdr>
                <w:top w:val="none" w:sz="0" w:space="0" w:color="auto"/>
                <w:left w:val="none" w:sz="0" w:space="0" w:color="auto"/>
                <w:bottom w:val="none" w:sz="0" w:space="0" w:color="auto"/>
                <w:right w:val="none" w:sz="0" w:space="0" w:color="auto"/>
              </w:divBdr>
              <w:divsChild>
                <w:div w:id="1558663129">
                  <w:marLeft w:val="0"/>
                  <w:marRight w:val="0"/>
                  <w:marTop w:val="120"/>
                  <w:marBottom w:val="0"/>
                  <w:divBdr>
                    <w:top w:val="none" w:sz="0" w:space="0" w:color="auto"/>
                    <w:left w:val="none" w:sz="0" w:space="0" w:color="auto"/>
                    <w:bottom w:val="none" w:sz="0" w:space="0" w:color="auto"/>
                    <w:right w:val="none" w:sz="0" w:space="0" w:color="auto"/>
                  </w:divBdr>
                </w:div>
                <w:div w:id="136690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204265">
      <w:bodyDiv w:val="1"/>
      <w:marLeft w:val="0"/>
      <w:marRight w:val="0"/>
      <w:marTop w:val="0"/>
      <w:marBottom w:val="0"/>
      <w:divBdr>
        <w:top w:val="none" w:sz="0" w:space="0" w:color="auto"/>
        <w:left w:val="none" w:sz="0" w:space="0" w:color="auto"/>
        <w:bottom w:val="none" w:sz="0" w:space="0" w:color="auto"/>
        <w:right w:val="none" w:sz="0" w:space="0" w:color="auto"/>
      </w:divBdr>
      <w:divsChild>
        <w:div w:id="1065418967">
          <w:marLeft w:val="0"/>
          <w:marRight w:val="0"/>
          <w:marTop w:val="0"/>
          <w:marBottom w:val="0"/>
          <w:divBdr>
            <w:top w:val="none" w:sz="0" w:space="0" w:color="auto"/>
            <w:left w:val="none" w:sz="0" w:space="0" w:color="auto"/>
            <w:bottom w:val="none" w:sz="0" w:space="0" w:color="auto"/>
            <w:right w:val="none" w:sz="0" w:space="0" w:color="auto"/>
          </w:divBdr>
          <w:divsChild>
            <w:div w:id="1208176039">
              <w:marLeft w:val="0"/>
              <w:marRight w:val="0"/>
              <w:marTop w:val="0"/>
              <w:marBottom w:val="0"/>
              <w:divBdr>
                <w:top w:val="none" w:sz="0" w:space="0" w:color="auto"/>
                <w:left w:val="none" w:sz="0" w:space="0" w:color="auto"/>
                <w:bottom w:val="none" w:sz="0" w:space="0" w:color="auto"/>
                <w:right w:val="none" w:sz="0" w:space="0" w:color="auto"/>
              </w:divBdr>
              <w:divsChild>
                <w:div w:id="1783647355">
                  <w:marLeft w:val="0"/>
                  <w:marRight w:val="0"/>
                  <w:marTop w:val="120"/>
                  <w:marBottom w:val="0"/>
                  <w:divBdr>
                    <w:top w:val="none" w:sz="0" w:space="0" w:color="auto"/>
                    <w:left w:val="none" w:sz="0" w:space="0" w:color="auto"/>
                    <w:bottom w:val="none" w:sz="0" w:space="0" w:color="auto"/>
                    <w:right w:val="none" w:sz="0" w:space="0" w:color="auto"/>
                  </w:divBdr>
                </w:div>
                <w:div w:id="448203959">
                  <w:marLeft w:val="0"/>
                  <w:marRight w:val="0"/>
                  <w:marTop w:val="0"/>
                  <w:marBottom w:val="0"/>
                  <w:divBdr>
                    <w:top w:val="none" w:sz="0" w:space="0" w:color="auto"/>
                    <w:left w:val="none" w:sz="0" w:space="0" w:color="auto"/>
                    <w:bottom w:val="none" w:sz="0" w:space="0" w:color="auto"/>
                    <w:right w:val="none" w:sz="0" w:space="0" w:color="auto"/>
                  </w:divBdr>
                </w:div>
              </w:divsChild>
            </w:div>
            <w:div w:id="869949624">
              <w:marLeft w:val="0"/>
              <w:marRight w:val="0"/>
              <w:marTop w:val="0"/>
              <w:marBottom w:val="0"/>
              <w:divBdr>
                <w:top w:val="none" w:sz="0" w:space="0" w:color="auto"/>
                <w:left w:val="none" w:sz="0" w:space="0" w:color="auto"/>
                <w:bottom w:val="none" w:sz="0" w:space="0" w:color="auto"/>
                <w:right w:val="none" w:sz="0" w:space="0" w:color="auto"/>
              </w:divBdr>
              <w:divsChild>
                <w:div w:id="732702037">
                  <w:marLeft w:val="0"/>
                  <w:marRight w:val="0"/>
                  <w:marTop w:val="120"/>
                  <w:marBottom w:val="0"/>
                  <w:divBdr>
                    <w:top w:val="none" w:sz="0" w:space="0" w:color="auto"/>
                    <w:left w:val="none" w:sz="0" w:space="0" w:color="auto"/>
                    <w:bottom w:val="none" w:sz="0" w:space="0" w:color="auto"/>
                    <w:right w:val="none" w:sz="0" w:space="0" w:color="auto"/>
                  </w:divBdr>
                </w:div>
                <w:div w:id="1312099697">
                  <w:marLeft w:val="0"/>
                  <w:marRight w:val="0"/>
                  <w:marTop w:val="0"/>
                  <w:marBottom w:val="0"/>
                  <w:divBdr>
                    <w:top w:val="none" w:sz="0" w:space="0" w:color="auto"/>
                    <w:left w:val="none" w:sz="0" w:space="0" w:color="auto"/>
                    <w:bottom w:val="none" w:sz="0" w:space="0" w:color="auto"/>
                    <w:right w:val="none" w:sz="0" w:space="0" w:color="auto"/>
                  </w:divBdr>
                </w:div>
              </w:divsChild>
            </w:div>
            <w:div w:id="285280041">
              <w:marLeft w:val="0"/>
              <w:marRight w:val="0"/>
              <w:marTop w:val="0"/>
              <w:marBottom w:val="0"/>
              <w:divBdr>
                <w:top w:val="none" w:sz="0" w:space="0" w:color="auto"/>
                <w:left w:val="none" w:sz="0" w:space="0" w:color="auto"/>
                <w:bottom w:val="none" w:sz="0" w:space="0" w:color="auto"/>
                <w:right w:val="none" w:sz="0" w:space="0" w:color="auto"/>
              </w:divBdr>
              <w:divsChild>
                <w:div w:id="569312674">
                  <w:marLeft w:val="0"/>
                  <w:marRight w:val="0"/>
                  <w:marTop w:val="120"/>
                  <w:marBottom w:val="0"/>
                  <w:divBdr>
                    <w:top w:val="none" w:sz="0" w:space="0" w:color="auto"/>
                    <w:left w:val="none" w:sz="0" w:space="0" w:color="auto"/>
                    <w:bottom w:val="none" w:sz="0" w:space="0" w:color="auto"/>
                    <w:right w:val="none" w:sz="0" w:space="0" w:color="auto"/>
                  </w:divBdr>
                </w:div>
                <w:div w:id="34756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5480">
      <w:bodyDiv w:val="1"/>
      <w:marLeft w:val="0"/>
      <w:marRight w:val="0"/>
      <w:marTop w:val="0"/>
      <w:marBottom w:val="0"/>
      <w:divBdr>
        <w:top w:val="none" w:sz="0" w:space="0" w:color="auto"/>
        <w:left w:val="none" w:sz="0" w:space="0" w:color="auto"/>
        <w:bottom w:val="none" w:sz="0" w:space="0" w:color="auto"/>
        <w:right w:val="none" w:sz="0" w:space="0" w:color="auto"/>
      </w:divBdr>
      <w:divsChild>
        <w:div w:id="2140412478">
          <w:marLeft w:val="0"/>
          <w:marRight w:val="0"/>
          <w:marTop w:val="0"/>
          <w:marBottom w:val="0"/>
          <w:divBdr>
            <w:top w:val="none" w:sz="0" w:space="0" w:color="auto"/>
            <w:left w:val="none" w:sz="0" w:space="0" w:color="auto"/>
            <w:bottom w:val="none" w:sz="0" w:space="0" w:color="auto"/>
            <w:right w:val="none" w:sz="0" w:space="0" w:color="auto"/>
          </w:divBdr>
        </w:div>
      </w:divsChild>
    </w:div>
    <w:div w:id="1310211397">
      <w:bodyDiv w:val="1"/>
      <w:marLeft w:val="0"/>
      <w:marRight w:val="0"/>
      <w:marTop w:val="0"/>
      <w:marBottom w:val="0"/>
      <w:divBdr>
        <w:top w:val="none" w:sz="0" w:space="0" w:color="auto"/>
        <w:left w:val="none" w:sz="0" w:space="0" w:color="auto"/>
        <w:bottom w:val="none" w:sz="0" w:space="0" w:color="auto"/>
        <w:right w:val="none" w:sz="0" w:space="0" w:color="auto"/>
      </w:divBdr>
      <w:divsChild>
        <w:div w:id="781802608">
          <w:marLeft w:val="0"/>
          <w:marRight w:val="0"/>
          <w:marTop w:val="0"/>
          <w:marBottom w:val="0"/>
          <w:divBdr>
            <w:top w:val="none" w:sz="0" w:space="0" w:color="auto"/>
            <w:left w:val="none" w:sz="0" w:space="0" w:color="auto"/>
            <w:bottom w:val="none" w:sz="0" w:space="0" w:color="auto"/>
            <w:right w:val="none" w:sz="0" w:space="0" w:color="auto"/>
          </w:divBdr>
          <w:divsChild>
            <w:div w:id="39978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85351">
      <w:bodyDiv w:val="1"/>
      <w:marLeft w:val="0"/>
      <w:marRight w:val="0"/>
      <w:marTop w:val="0"/>
      <w:marBottom w:val="0"/>
      <w:divBdr>
        <w:top w:val="none" w:sz="0" w:space="0" w:color="auto"/>
        <w:left w:val="none" w:sz="0" w:space="0" w:color="auto"/>
        <w:bottom w:val="none" w:sz="0" w:space="0" w:color="auto"/>
        <w:right w:val="none" w:sz="0" w:space="0" w:color="auto"/>
      </w:divBdr>
    </w:div>
    <w:div w:id="1310331970">
      <w:bodyDiv w:val="1"/>
      <w:marLeft w:val="0"/>
      <w:marRight w:val="0"/>
      <w:marTop w:val="0"/>
      <w:marBottom w:val="0"/>
      <w:divBdr>
        <w:top w:val="none" w:sz="0" w:space="0" w:color="auto"/>
        <w:left w:val="none" w:sz="0" w:space="0" w:color="auto"/>
        <w:bottom w:val="none" w:sz="0" w:space="0" w:color="auto"/>
        <w:right w:val="none" w:sz="0" w:space="0" w:color="auto"/>
      </w:divBdr>
      <w:divsChild>
        <w:div w:id="850027012">
          <w:marLeft w:val="0"/>
          <w:marRight w:val="0"/>
          <w:marTop w:val="0"/>
          <w:marBottom w:val="0"/>
          <w:divBdr>
            <w:top w:val="none" w:sz="0" w:space="0" w:color="auto"/>
            <w:left w:val="none" w:sz="0" w:space="0" w:color="auto"/>
            <w:bottom w:val="none" w:sz="0" w:space="0" w:color="auto"/>
            <w:right w:val="none" w:sz="0" w:space="0" w:color="auto"/>
          </w:divBdr>
        </w:div>
      </w:divsChild>
    </w:div>
    <w:div w:id="1310942462">
      <w:bodyDiv w:val="1"/>
      <w:marLeft w:val="0"/>
      <w:marRight w:val="0"/>
      <w:marTop w:val="0"/>
      <w:marBottom w:val="0"/>
      <w:divBdr>
        <w:top w:val="none" w:sz="0" w:space="0" w:color="auto"/>
        <w:left w:val="none" w:sz="0" w:space="0" w:color="auto"/>
        <w:bottom w:val="none" w:sz="0" w:space="0" w:color="auto"/>
        <w:right w:val="none" w:sz="0" w:space="0" w:color="auto"/>
      </w:divBdr>
      <w:divsChild>
        <w:div w:id="383412603">
          <w:marLeft w:val="0"/>
          <w:marRight w:val="0"/>
          <w:marTop w:val="0"/>
          <w:marBottom w:val="0"/>
          <w:divBdr>
            <w:top w:val="none" w:sz="0" w:space="0" w:color="auto"/>
            <w:left w:val="none" w:sz="0" w:space="0" w:color="auto"/>
            <w:bottom w:val="none" w:sz="0" w:space="0" w:color="auto"/>
            <w:right w:val="none" w:sz="0" w:space="0" w:color="auto"/>
          </w:divBdr>
          <w:divsChild>
            <w:div w:id="42056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70575">
      <w:bodyDiv w:val="1"/>
      <w:marLeft w:val="0"/>
      <w:marRight w:val="0"/>
      <w:marTop w:val="0"/>
      <w:marBottom w:val="0"/>
      <w:divBdr>
        <w:top w:val="none" w:sz="0" w:space="0" w:color="auto"/>
        <w:left w:val="none" w:sz="0" w:space="0" w:color="auto"/>
        <w:bottom w:val="none" w:sz="0" w:space="0" w:color="auto"/>
        <w:right w:val="none" w:sz="0" w:space="0" w:color="auto"/>
      </w:divBdr>
      <w:divsChild>
        <w:div w:id="833496929">
          <w:marLeft w:val="0"/>
          <w:marRight w:val="0"/>
          <w:marTop w:val="120"/>
          <w:marBottom w:val="0"/>
          <w:divBdr>
            <w:top w:val="none" w:sz="0" w:space="0" w:color="auto"/>
            <w:left w:val="none" w:sz="0" w:space="0" w:color="auto"/>
            <w:bottom w:val="none" w:sz="0" w:space="0" w:color="auto"/>
            <w:right w:val="none" w:sz="0" w:space="0" w:color="auto"/>
          </w:divBdr>
        </w:div>
        <w:div w:id="914704241">
          <w:marLeft w:val="0"/>
          <w:marRight w:val="0"/>
          <w:marTop w:val="0"/>
          <w:marBottom w:val="0"/>
          <w:divBdr>
            <w:top w:val="none" w:sz="0" w:space="0" w:color="auto"/>
            <w:left w:val="none" w:sz="0" w:space="0" w:color="auto"/>
            <w:bottom w:val="none" w:sz="0" w:space="0" w:color="auto"/>
            <w:right w:val="none" w:sz="0" w:space="0" w:color="auto"/>
          </w:divBdr>
        </w:div>
      </w:divsChild>
    </w:div>
    <w:div w:id="1323242404">
      <w:bodyDiv w:val="1"/>
      <w:marLeft w:val="0"/>
      <w:marRight w:val="0"/>
      <w:marTop w:val="0"/>
      <w:marBottom w:val="0"/>
      <w:divBdr>
        <w:top w:val="none" w:sz="0" w:space="0" w:color="auto"/>
        <w:left w:val="none" w:sz="0" w:space="0" w:color="auto"/>
        <w:bottom w:val="none" w:sz="0" w:space="0" w:color="auto"/>
        <w:right w:val="none" w:sz="0" w:space="0" w:color="auto"/>
      </w:divBdr>
      <w:divsChild>
        <w:div w:id="819662116">
          <w:marLeft w:val="0"/>
          <w:marRight w:val="0"/>
          <w:marTop w:val="0"/>
          <w:marBottom w:val="0"/>
          <w:divBdr>
            <w:top w:val="none" w:sz="0" w:space="0" w:color="auto"/>
            <w:left w:val="none" w:sz="0" w:space="0" w:color="auto"/>
            <w:bottom w:val="none" w:sz="0" w:space="0" w:color="auto"/>
            <w:right w:val="none" w:sz="0" w:space="0" w:color="auto"/>
          </w:divBdr>
          <w:divsChild>
            <w:div w:id="1752316947">
              <w:marLeft w:val="0"/>
              <w:marRight w:val="0"/>
              <w:marTop w:val="0"/>
              <w:marBottom w:val="0"/>
              <w:divBdr>
                <w:top w:val="none" w:sz="0" w:space="0" w:color="auto"/>
                <w:left w:val="none" w:sz="0" w:space="0" w:color="auto"/>
                <w:bottom w:val="none" w:sz="0" w:space="0" w:color="auto"/>
                <w:right w:val="none" w:sz="0" w:space="0" w:color="auto"/>
              </w:divBdr>
            </w:div>
          </w:divsChild>
        </w:div>
        <w:div w:id="1571647881">
          <w:marLeft w:val="0"/>
          <w:marRight w:val="0"/>
          <w:marTop w:val="0"/>
          <w:marBottom w:val="0"/>
          <w:divBdr>
            <w:top w:val="none" w:sz="0" w:space="0" w:color="auto"/>
            <w:left w:val="none" w:sz="0" w:space="0" w:color="auto"/>
            <w:bottom w:val="none" w:sz="0" w:space="0" w:color="auto"/>
            <w:right w:val="none" w:sz="0" w:space="0" w:color="auto"/>
          </w:divBdr>
          <w:divsChild>
            <w:div w:id="653607715">
              <w:marLeft w:val="0"/>
              <w:marRight w:val="0"/>
              <w:marTop w:val="120"/>
              <w:marBottom w:val="0"/>
              <w:divBdr>
                <w:top w:val="none" w:sz="0" w:space="0" w:color="auto"/>
                <w:left w:val="none" w:sz="0" w:space="0" w:color="auto"/>
                <w:bottom w:val="none" w:sz="0" w:space="0" w:color="auto"/>
                <w:right w:val="none" w:sz="0" w:space="0" w:color="auto"/>
              </w:divBdr>
            </w:div>
            <w:div w:id="972369605">
              <w:marLeft w:val="0"/>
              <w:marRight w:val="0"/>
              <w:marTop w:val="0"/>
              <w:marBottom w:val="0"/>
              <w:divBdr>
                <w:top w:val="none" w:sz="0" w:space="0" w:color="auto"/>
                <w:left w:val="none" w:sz="0" w:space="0" w:color="auto"/>
                <w:bottom w:val="none" w:sz="0" w:space="0" w:color="auto"/>
                <w:right w:val="none" w:sz="0" w:space="0" w:color="auto"/>
              </w:divBdr>
            </w:div>
          </w:divsChild>
        </w:div>
        <w:div w:id="455636769">
          <w:marLeft w:val="0"/>
          <w:marRight w:val="0"/>
          <w:marTop w:val="0"/>
          <w:marBottom w:val="0"/>
          <w:divBdr>
            <w:top w:val="none" w:sz="0" w:space="0" w:color="auto"/>
            <w:left w:val="none" w:sz="0" w:space="0" w:color="auto"/>
            <w:bottom w:val="none" w:sz="0" w:space="0" w:color="auto"/>
            <w:right w:val="none" w:sz="0" w:space="0" w:color="auto"/>
          </w:divBdr>
          <w:divsChild>
            <w:div w:id="1217936491">
              <w:marLeft w:val="0"/>
              <w:marRight w:val="0"/>
              <w:marTop w:val="120"/>
              <w:marBottom w:val="0"/>
              <w:divBdr>
                <w:top w:val="none" w:sz="0" w:space="0" w:color="auto"/>
                <w:left w:val="none" w:sz="0" w:space="0" w:color="auto"/>
                <w:bottom w:val="none" w:sz="0" w:space="0" w:color="auto"/>
                <w:right w:val="none" w:sz="0" w:space="0" w:color="auto"/>
              </w:divBdr>
            </w:div>
            <w:div w:id="201919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9741">
      <w:bodyDiv w:val="1"/>
      <w:marLeft w:val="0"/>
      <w:marRight w:val="0"/>
      <w:marTop w:val="0"/>
      <w:marBottom w:val="0"/>
      <w:divBdr>
        <w:top w:val="none" w:sz="0" w:space="0" w:color="auto"/>
        <w:left w:val="none" w:sz="0" w:space="0" w:color="auto"/>
        <w:bottom w:val="none" w:sz="0" w:space="0" w:color="auto"/>
        <w:right w:val="none" w:sz="0" w:space="0" w:color="auto"/>
      </w:divBdr>
      <w:divsChild>
        <w:div w:id="1421566807">
          <w:marLeft w:val="0"/>
          <w:marRight w:val="0"/>
          <w:marTop w:val="120"/>
          <w:marBottom w:val="0"/>
          <w:divBdr>
            <w:top w:val="none" w:sz="0" w:space="0" w:color="auto"/>
            <w:left w:val="none" w:sz="0" w:space="0" w:color="auto"/>
            <w:bottom w:val="none" w:sz="0" w:space="0" w:color="auto"/>
            <w:right w:val="none" w:sz="0" w:space="0" w:color="auto"/>
          </w:divBdr>
        </w:div>
        <w:div w:id="655258554">
          <w:marLeft w:val="0"/>
          <w:marRight w:val="0"/>
          <w:marTop w:val="0"/>
          <w:marBottom w:val="0"/>
          <w:divBdr>
            <w:top w:val="none" w:sz="0" w:space="0" w:color="auto"/>
            <w:left w:val="none" w:sz="0" w:space="0" w:color="auto"/>
            <w:bottom w:val="none" w:sz="0" w:space="0" w:color="auto"/>
            <w:right w:val="none" w:sz="0" w:space="0" w:color="auto"/>
          </w:divBdr>
        </w:div>
      </w:divsChild>
    </w:div>
    <w:div w:id="1334258621">
      <w:bodyDiv w:val="1"/>
      <w:marLeft w:val="0"/>
      <w:marRight w:val="0"/>
      <w:marTop w:val="0"/>
      <w:marBottom w:val="0"/>
      <w:divBdr>
        <w:top w:val="none" w:sz="0" w:space="0" w:color="auto"/>
        <w:left w:val="none" w:sz="0" w:space="0" w:color="auto"/>
        <w:bottom w:val="none" w:sz="0" w:space="0" w:color="auto"/>
        <w:right w:val="none" w:sz="0" w:space="0" w:color="auto"/>
      </w:divBdr>
      <w:divsChild>
        <w:div w:id="887304664">
          <w:marLeft w:val="0"/>
          <w:marRight w:val="0"/>
          <w:marTop w:val="0"/>
          <w:marBottom w:val="0"/>
          <w:divBdr>
            <w:top w:val="none" w:sz="0" w:space="0" w:color="auto"/>
            <w:left w:val="none" w:sz="0" w:space="0" w:color="auto"/>
            <w:bottom w:val="none" w:sz="0" w:space="0" w:color="auto"/>
            <w:right w:val="none" w:sz="0" w:space="0" w:color="auto"/>
          </w:divBdr>
        </w:div>
      </w:divsChild>
    </w:div>
    <w:div w:id="1339499527">
      <w:bodyDiv w:val="1"/>
      <w:marLeft w:val="0"/>
      <w:marRight w:val="0"/>
      <w:marTop w:val="0"/>
      <w:marBottom w:val="0"/>
      <w:divBdr>
        <w:top w:val="none" w:sz="0" w:space="0" w:color="auto"/>
        <w:left w:val="none" w:sz="0" w:space="0" w:color="auto"/>
        <w:bottom w:val="none" w:sz="0" w:space="0" w:color="auto"/>
        <w:right w:val="none" w:sz="0" w:space="0" w:color="auto"/>
      </w:divBdr>
      <w:divsChild>
        <w:div w:id="1912961670">
          <w:marLeft w:val="0"/>
          <w:marRight w:val="0"/>
          <w:marTop w:val="120"/>
          <w:marBottom w:val="0"/>
          <w:divBdr>
            <w:top w:val="none" w:sz="0" w:space="0" w:color="auto"/>
            <w:left w:val="none" w:sz="0" w:space="0" w:color="auto"/>
            <w:bottom w:val="none" w:sz="0" w:space="0" w:color="auto"/>
            <w:right w:val="none" w:sz="0" w:space="0" w:color="auto"/>
          </w:divBdr>
        </w:div>
        <w:div w:id="259261025">
          <w:marLeft w:val="0"/>
          <w:marRight w:val="0"/>
          <w:marTop w:val="0"/>
          <w:marBottom w:val="0"/>
          <w:divBdr>
            <w:top w:val="none" w:sz="0" w:space="0" w:color="auto"/>
            <w:left w:val="none" w:sz="0" w:space="0" w:color="auto"/>
            <w:bottom w:val="none" w:sz="0" w:space="0" w:color="auto"/>
            <w:right w:val="none" w:sz="0" w:space="0" w:color="auto"/>
          </w:divBdr>
        </w:div>
      </w:divsChild>
    </w:div>
    <w:div w:id="1343776768">
      <w:bodyDiv w:val="1"/>
      <w:marLeft w:val="0"/>
      <w:marRight w:val="0"/>
      <w:marTop w:val="0"/>
      <w:marBottom w:val="0"/>
      <w:divBdr>
        <w:top w:val="none" w:sz="0" w:space="0" w:color="auto"/>
        <w:left w:val="none" w:sz="0" w:space="0" w:color="auto"/>
        <w:bottom w:val="none" w:sz="0" w:space="0" w:color="auto"/>
        <w:right w:val="none" w:sz="0" w:space="0" w:color="auto"/>
      </w:divBdr>
      <w:divsChild>
        <w:div w:id="746615748">
          <w:marLeft w:val="0"/>
          <w:marRight w:val="0"/>
          <w:marTop w:val="0"/>
          <w:marBottom w:val="0"/>
          <w:divBdr>
            <w:top w:val="none" w:sz="0" w:space="0" w:color="auto"/>
            <w:left w:val="none" w:sz="0" w:space="0" w:color="auto"/>
            <w:bottom w:val="none" w:sz="0" w:space="0" w:color="auto"/>
            <w:right w:val="none" w:sz="0" w:space="0" w:color="auto"/>
          </w:divBdr>
        </w:div>
      </w:divsChild>
    </w:div>
    <w:div w:id="1344940639">
      <w:bodyDiv w:val="1"/>
      <w:marLeft w:val="0"/>
      <w:marRight w:val="0"/>
      <w:marTop w:val="0"/>
      <w:marBottom w:val="0"/>
      <w:divBdr>
        <w:top w:val="none" w:sz="0" w:space="0" w:color="auto"/>
        <w:left w:val="none" w:sz="0" w:space="0" w:color="auto"/>
        <w:bottom w:val="none" w:sz="0" w:space="0" w:color="auto"/>
        <w:right w:val="none" w:sz="0" w:space="0" w:color="auto"/>
      </w:divBdr>
      <w:divsChild>
        <w:div w:id="2023507938">
          <w:marLeft w:val="0"/>
          <w:marRight w:val="0"/>
          <w:marTop w:val="0"/>
          <w:marBottom w:val="0"/>
          <w:divBdr>
            <w:top w:val="none" w:sz="0" w:space="0" w:color="auto"/>
            <w:left w:val="none" w:sz="0" w:space="0" w:color="auto"/>
            <w:bottom w:val="none" w:sz="0" w:space="0" w:color="auto"/>
            <w:right w:val="none" w:sz="0" w:space="0" w:color="auto"/>
          </w:divBdr>
        </w:div>
      </w:divsChild>
    </w:div>
    <w:div w:id="1345130199">
      <w:bodyDiv w:val="1"/>
      <w:marLeft w:val="0"/>
      <w:marRight w:val="0"/>
      <w:marTop w:val="0"/>
      <w:marBottom w:val="0"/>
      <w:divBdr>
        <w:top w:val="none" w:sz="0" w:space="0" w:color="auto"/>
        <w:left w:val="none" w:sz="0" w:space="0" w:color="auto"/>
        <w:bottom w:val="none" w:sz="0" w:space="0" w:color="auto"/>
        <w:right w:val="none" w:sz="0" w:space="0" w:color="auto"/>
      </w:divBdr>
      <w:divsChild>
        <w:div w:id="1851676353">
          <w:marLeft w:val="0"/>
          <w:marRight w:val="0"/>
          <w:marTop w:val="0"/>
          <w:marBottom w:val="0"/>
          <w:divBdr>
            <w:top w:val="none" w:sz="0" w:space="0" w:color="auto"/>
            <w:left w:val="none" w:sz="0" w:space="0" w:color="auto"/>
            <w:bottom w:val="none" w:sz="0" w:space="0" w:color="auto"/>
            <w:right w:val="none" w:sz="0" w:space="0" w:color="auto"/>
          </w:divBdr>
        </w:div>
      </w:divsChild>
    </w:div>
    <w:div w:id="1346831237">
      <w:bodyDiv w:val="1"/>
      <w:marLeft w:val="0"/>
      <w:marRight w:val="0"/>
      <w:marTop w:val="0"/>
      <w:marBottom w:val="0"/>
      <w:divBdr>
        <w:top w:val="none" w:sz="0" w:space="0" w:color="auto"/>
        <w:left w:val="none" w:sz="0" w:space="0" w:color="auto"/>
        <w:bottom w:val="none" w:sz="0" w:space="0" w:color="auto"/>
        <w:right w:val="none" w:sz="0" w:space="0" w:color="auto"/>
      </w:divBdr>
    </w:div>
    <w:div w:id="1353341943">
      <w:bodyDiv w:val="1"/>
      <w:marLeft w:val="0"/>
      <w:marRight w:val="0"/>
      <w:marTop w:val="0"/>
      <w:marBottom w:val="0"/>
      <w:divBdr>
        <w:top w:val="none" w:sz="0" w:space="0" w:color="auto"/>
        <w:left w:val="none" w:sz="0" w:space="0" w:color="auto"/>
        <w:bottom w:val="none" w:sz="0" w:space="0" w:color="auto"/>
        <w:right w:val="none" w:sz="0" w:space="0" w:color="auto"/>
      </w:divBdr>
      <w:divsChild>
        <w:div w:id="478502417">
          <w:marLeft w:val="0"/>
          <w:marRight w:val="0"/>
          <w:marTop w:val="0"/>
          <w:marBottom w:val="0"/>
          <w:divBdr>
            <w:top w:val="none" w:sz="0" w:space="0" w:color="auto"/>
            <w:left w:val="none" w:sz="0" w:space="0" w:color="auto"/>
            <w:bottom w:val="none" w:sz="0" w:space="0" w:color="auto"/>
            <w:right w:val="none" w:sz="0" w:space="0" w:color="auto"/>
          </w:divBdr>
        </w:div>
      </w:divsChild>
    </w:div>
    <w:div w:id="1362823323">
      <w:bodyDiv w:val="1"/>
      <w:marLeft w:val="0"/>
      <w:marRight w:val="0"/>
      <w:marTop w:val="0"/>
      <w:marBottom w:val="0"/>
      <w:divBdr>
        <w:top w:val="none" w:sz="0" w:space="0" w:color="auto"/>
        <w:left w:val="none" w:sz="0" w:space="0" w:color="auto"/>
        <w:bottom w:val="none" w:sz="0" w:space="0" w:color="auto"/>
        <w:right w:val="none" w:sz="0" w:space="0" w:color="auto"/>
      </w:divBdr>
      <w:divsChild>
        <w:div w:id="675232471">
          <w:marLeft w:val="0"/>
          <w:marRight w:val="0"/>
          <w:marTop w:val="0"/>
          <w:marBottom w:val="0"/>
          <w:divBdr>
            <w:top w:val="none" w:sz="0" w:space="0" w:color="auto"/>
            <w:left w:val="none" w:sz="0" w:space="0" w:color="auto"/>
            <w:bottom w:val="none" w:sz="0" w:space="0" w:color="auto"/>
            <w:right w:val="none" w:sz="0" w:space="0" w:color="auto"/>
          </w:divBdr>
        </w:div>
      </w:divsChild>
    </w:div>
    <w:div w:id="1365329362">
      <w:bodyDiv w:val="1"/>
      <w:marLeft w:val="0"/>
      <w:marRight w:val="0"/>
      <w:marTop w:val="0"/>
      <w:marBottom w:val="0"/>
      <w:divBdr>
        <w:top w:val="none" w:sz="0" w:space="0" w:color="auto"/>
        <w:left w:val="none" w:sz="0" w:space="0" w:color="auto"/>
        <w:bottom w:val="none" w:sz="0" w:space="0" w:color="auto"/>
        <w:right w:val="none" w:sz="0" w:space="0" w:color="auto"/>
      </w:divBdr>
      <w:divsChild>
        <w:div w:id="1467312828">
          <w:marLeft w:val="0"/>
          <w:marRight w:val="0"/>
          <w:marTop w:val="0"/>
          <w:marBottom w:val="0"/>
          <w:divBdr>
            <w:top w:val="none" w:sz="0" w:space="0" w:color="auto"/>
            <w:left w:val="none" w:sz="0" w:space="0" w:color="auto"/>
            <w:bottom w:val="none" w:sz="0" w:space="0" w:color="auto"/>
            <w:right w:val="none" w:sz="0" w:space="0" w:color="auto"/>
          </w:divBdr>
        </w:div>
      </w:divsChild>
    </w:div>
    <w:div w:id="1367171574">
      <w:bodyDiv w:val="1"/>
      <w:marLeft w:val="0"/>
      <w:marRight w:val="0"/>
      <w:marTop w:val="0"/>
      <w:marBottom w:val="0"/>
      <w:divBdr>
        <w:top w:val="none" w:sz="0" w:space="0" w:color="auto"/>
        <w:left w:val="none" w:sz="0" w:space="0" w:color="auto"/>
        <w:bottom w:val="none" w:sz="0" w:space="0" w:color="auto"/>
        <w:right w:val="none" w:sz="0" w:space="0" w:color="auto"/>
      </w:divBdr>
      <w:divsChild>
        <w:div w:id="7678491">
          <w:marLeft w:val="0"/>
          <w:marRight w:val="0"/>
          <w:marTop w:val="0"/>
          <w:marBottom w:val="0"/>
          <w:divBdr>
            <w:top w:val="none" w:sz="0" w:space="0" w:color="auto"/>
            <w:left w:val="none" w:sz="0" w:space="0" w:color="auto"/>
            <w:bottom w:val="none" w:sz="0" w:space="0" w:color="auto"/>
            <w:right w:val="none" w:sz="0" w:space="0" w:color="auto"/>
          </w:divBdr>
          <w:divsChild>
            <w:div w:id="1755592868">
              <w:marLeft w:val="0"/>
              <w:marRight w:val="0"/>
              <w:marTop w:val="0"/>
              <w:marBottom w:val="0"/>
              <w:divBdr>
                <w:top w:val="none" w:sz="0" w:space="0" w:color="auto"/>
                <w:left w:val="none" w:sz="0" w:space="0" w:color="auto"/>
                <w:bottom w:val="none" w:sz="0" w:space="0" w:color="auto"/>
                <w:right w:val="none" w:sz="0" w:space="0" w:color="auto"/>
              </w:divBdr>
              <w:divsChild>
                <w:div w:id="632709674">
                  <w:marLeft w:val="0"/>
                  <w:marRight w:val="0"/>
                  <w:marTop w:val="0"/>
                  <w:marBottom w:val="0"/>
                  <w:divBdr>
                    <w:top w:val="none" w:sz="0" w:space="0" w:color="auto"/>
                    <w:left w:val="none" w:sz="0" w:space="0" w:color="auto"/>
                    <w:bottom w:val="none" w:sz="0" w:space="0" w:color="auto"/>
                    <w:right w:val="none" w:sz="0" w:space="0" w:color="auto"/>
                  </w:divBdr>
                  <w:divsChild>
                    <w:div w:id="1481847030">
                      <w:marLeft w:val="0"/>
                      <w:marRight w:val="0"/>
                      <w:marTop w:val="120"/>
                      <w:marBottom w:val="0"/>
                      <w:divBdr>
                        <w:top w:val="none" w:sz="0" w:space="0" w:color="auto"/>
                        <w:left w:val="none" w:sz="0" w:space="0" w:color="auto"/>
                        <w:bottom w:val="none" w:sz="0" w:space="0" w:color="auto"/>
                        <w:right w:val="none" w:sz="0" w:space="0" w:color="auto"/>
                      </w:divBdr>
                    </w:div>
                    <w:div w:id="1846169847">
                      <w:marLeft w:val="0"/>
                      <w:marRight w:val="0"/>
                      <w:marTop w:val="0"/>
                      <w:marBottom w:val="0"/>
                      <w:divBdr>
                        <w:top w:val="none" w:sz="0" w:space="0" w:color="auto"/>
                        <w:left w:val="none" w:sz="0" w:space="0" w:color="auto"/>
                        <w:bottom w:val="none" w:sz="0" w:space="0" w:color="auto"/>
                        <w:right w:val="none" w:sz="0" w:space="0" w:color="auto"/>
                      </w:divBdr>
                    </w:div>
                  </w:divsChild>
                </w:div>
                <w:div w:id="842547227">
                  <w:marLeft w:val="0"/>
                  <w:marRight w:val="0"/>
                  <w:marTop w:val="0"/>
                  <w:marBottom w:val="0"/>
                  <w:divBdr>
                    <w:top w:val="none" w:sz="0" w:space="0" w:color="auto"/>
                    <w:left w:val="none" w:sz="0" w:space="0" w:color="auto"/>
                    <w:bottom w:val="none" w:sz="0" w:space="0" w:color="auto"/>
                    <w:right w:val="none" w:sz="0" w:space="0" w:color="auto"/>
                  </w:divBdr>
                  <w:divsChild>
                    <w:div w:id="104467993">
                      <w:marLeft w:val="0"/>
                      <w:marRight w:val="0"/>
                      <w:marTop w:val="120"/>
                      <w:marBottom w:val="0"/>
                      <w:divBdr>
                        <w:top w:val="none" w:sz="0" w:space="0" w:color="auto"/>
                        <w:left w:val="none" w:sz="0" w:space="0" w:color="auto"/>
                        <w:bottom w:val="none" w:sz="0" w:space="0" w:color="auto"/>
                        <w:right w:val="none" w:sz="0" w:space="0" w:color="auto"/>
                      </w:divBdr>
                    </w:div>
                    <w:div w:id="193347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683995">
      <w:bodyDiv w:val="1"/>
      <w:marLeft w:val="0"/>
      <w:marRight w:val="0"/>
      <w:marTop w:val="0"/>
      <w:marBottom w:val="0"/>
      <w:divBdr>
        <w:top w:val="none" w:sz="0" w:space="0" w:color="auto"/>
        <w:left w:val="none" w:sz="0" w:space="0" w:color="auto"/>
        <w:bottom w:val="none" w:sz="0" w:space="0" w:color="auto"/>
        <w:right w:val="none" w:sz="0" w:space="0" w:color="auto"/>
      </w:divBdr>
      <w:divsChild>
        <w:div w:id="1957254018">
          <w:marLeft w:val="0"/>
          <w:marRight w:val="0"/>
          <w:marTop w:val="0"/>
          <w:marBottom w:val="0"/>
          <w:divBdr>
            <w:top w:val="none" w:sz="0" w:space="0" w:color="auto"/>
            <w:left w:val="none" w:sz="0" w:space="0" w:color="auto"/>
            <w:bottom w:val="none" w:sz="0" w:space="0" w:color="auto"/>
            <w:right w:val="none" w:sz="0" w:space="0" w:color="auto"/>
          </w:divBdr>
        </w:div>
      </w:divsChild>
    </w:div>
    <w:div w:id="1375424032">
      <w:bodyDiv w:val="1"/>
      <w:marLeft w:val="0"/>
      <w:marRight w:val="0"/>
      <w:marTop w:val="0"/>
      <w:marBottom w:val="0"/>
      <w:divBdr>
        <w:top w:val="none" w:sz="0" w:space="0" w:color="auto"/>
        <w:left w:val="none" w:sz="0" w:space="0" w:color="auto"/>
        <w:bottom w:val="none" w:sz="0" w:space="0" w:color="auto"/>
        <w:right w:val="none" w:sz="0" w:space="0" w:color="auto"/>
      </w:divBdr>
      <w:divsChild>
        <w:div w:id="1547454054">
          <w:marLeft w:val="0"/>
          <w:marRight w:val="0"/>
          <w:marTop w:val="0"/>
          <w:marBottom w:val="0"/>
          <w:divBdr>
            <w:top w:val="none" w:sz="0" w:space="0" w:color="auto"/>
            <w:left w:val="none" w:sz="0" w:space="0" w:color="auto"/>
            <w:bottom w:val="none" w:sz="0" w:space="0" w:color="auto"/>
            <w:right w:val="none" w:sz="0" w:space="0" w:color="auto"/>
          </w:divBdr>
        </w:div>
      </w:divsChild>
    </w:div>
    <w:div w:id="1376931759">
      <w:bodyDiv w:val="1"/>
      <w:marLeft w:val="0"/>
      <w:marRight w:val="0"/>
      <w:marTop w:val="0"/>
      <w:marBottom w:val="0"/>
      <w:divBdr>
        <w:top w:val="none" w:sz="0" w:space="0" w:color="auto"/>
        <w:left w:val="none" w:sz="0" w:space="0" w:color="auto"/>
        <w:bottom w:val="none" w:sz="0" w:space="0" w:color="auto"/>
        <w:right w:val="none" w:sz="0" w:space="0" w:color="auto"/>
      </w:divBdr>
      <w:divsChild>
        <w:div w:id="1101606287">
          <w:marLeft w:val="0"/>
          <w:marRight w:val="0"/>
          <w:marTop w:val="0"/>
          <w:marBottom w:val="0"/>
          <w:divBdr>
            <w:top w:val="none" w:sz="0" w:space="0" w:color="auto"/>
            <w:left w:val="none" w:sz="0" w:space="0" w:color="auto"/>
            <w:bottom w:val="none" w:sz="0" w:space="0" w:color="auto"/>
            <w:right w:val="none" w:sz="0" w:space="0" w:color="auto"/>
          </w:divBdr>
        </w:div>
      </w:divsChild>
    </w:div>
    <w:div w:id="1382707829">
      <w:bodyDiv w:val="1"/>
      <w:marLeft w:val="0"/>
      <w:marRight w:val="0"/>
      <w:marTop w:val="0"/>
      <w:marBottom w:val="0"/>
      <w:divBdr>
        <w:top w:val="none" w:sz="0" w:space="0" w:color="auto"/>
        <w:left w:val="none" w:sz="0" w:space="0" w:color="auto"/>
        <w:bottom w:val="none" w:sz="0" w:space="0" w:color="auto"/>
        <w:right w:val="none" w:sz="0" w:space="0" w:color="auto"/>
      </w:divBdr>
      <w:divsChild>
        <w:div w:id="1081414616">
          <w:marLeft w:val="0"/>
          <w:marRight w:val="0"/>
          <w:marTop w:val="0"/>
          <w:marBottom w:val="0"/>
          <w:divBdr>
            <w:top w:val="none" w:sz="0" w:space="0" w:color="auto"/>
            <w:left w:val="none" w:sz="0" w:space="0" w:color="auto"/>
            <w:bottom w:val="none" w:sz="0" w:space="0" w:color="auto"/>
            <w:right w:val="none" w:sz="0" w:space="0" w:color="auto"/>
          </w:divBdr>
        </w:div>
      </w:divsChild>
    </w:div>
    <w:div w:id="1386679365">
      <w:bodyDiv w:val="1"/>
      <w:marLeft w:val="0"/>
      <w:marRight w:val="0"/>
      <w:marTop w:val="0"/>
      <w:marBottom w:val="0"/>
      <w:divBdr>
        <w:top w:val="none" w:sz="0" w:space="0" w:color="auto"/>
        <w:left w:val="none" w:sz="0" w:space="0" w:color="auto"/>
        <w:bottom w:val="none" w:sz="0" w:space="0" w:color="auto"/>
        <w:right w:val="none" w:sz="0" w:space="0" w:color="auto"/>
      </w:divBdr>
      <w:divsChild>
        <w:div w:id="1561749690">
          <w:marLeft w:val="0"/>
          <w:marRight w:val="0"/>
          <w:marTop w:val="0"/>
          <w:marBottom w:val="0"/>
          <w:divBdr>
            <w:top w:val="none" w:sz="0" w:space="0" w:color="auto"/>
            <w:left w:val="none" w:sz="0" w:space="0" w:color="auto"/>
            <w:bottom w:val="none" w:sz="0" w:space="0" w:color="auto"/>
            <w:right w:val="none" w:sz="0" w:space="0" w:color="auto"/>
          </w:divBdr>
          <w:divsChild>
            <w:div w:id="428888512">
              <w:marLeft w:val="0"/>
              <w:marRight w:val="0"/>
              <w:marTop w:val="0"/>
              <w:marBottom w:val="0"/>
              <w:divBdr>
                <w:top w:val="none" w:sz="0" w:space="0" w:color="auto"/>
                <w:left w:val="none" w:sz="0" w:space="0" w:color="auto"/>
                <w:bottom w:val="none" w:sz="0" w:space="0" w:color="auto"/>
                <w:right w:val="none" w:sz="0" w:space="0" w:color="auto"/>
              </w:divBdr>
              <w:divsChild>
                <w:div w:id="2099852">
                  <w:marLeft w:val="0"/>
                  <w:marRight w:val="0"/>
                  <w:marTop w:val="120"/>
                  <w:marBottom w:val="0"/>
                  <w:divBdr>
                    <w:top w:val="none" w:sz="0" w:space="0" w:color="auto"/>
                    <w:left w:val="none" w:sz="0" w:space="0" w:color="auto"/>
                    <w:bottom w:val="none" w:sz="0" w:space="0" w:color="auto"/>
                    <w:right w:val="none" w:sz="0" w:space="0" w:color="auto"/>
                  </w:divBdr>
                </w:div>
                <w:div w:id="839933222">
                  <w:marLeft w:val="0"/>
                  <w:marRight w:val="0"/>
                  <w:marTop w:val="0"/>
                  <w:marBottom w:val="0"/>
                  <w:divBdr>
                    <w:top w:val="none" w:sz="0" w:space="0" w:color="auto"/>
                    <w:left w:val="none" w:sz="0" w:space="0" w:color="auto"/>
                    <w:bottom w:val="none" w:sz="0" w:space="0" w:color="auto"/>
                    <w:right w:val="none" w:sz="0" w:space="0" w:color="auto"/>
                  </w:divBdr>
                </w:div>
              </w:divsChild>
            </w:div>
            <w:div w:id="941840842">
              <w:marLeft w:val="0"/>
              <w:marRight w:val="0"/>
              <w:marTop w:val="0"/>
              <w:marBottom w:val="0"/>
              <w:divBdr>
                <w:top w:val="none" w:sz="0" w:space="0" w:color="auto"/>
                <w:left w:val="none" w:sz="0" w:space="0" w:color="auto"/>
                <w:bottom w:val="none" w:sz="0" w:space="0" w:color="auto"/>
                <w:right w:val="none" w:sz="0" w:space="0" w:color="auto"/>
              </w:divBdr>
              <w:divsChild>
                <w:div w:id="1693721735">
                  <w:marLeft w:val="0"/>
                  <w:marRight w:val="0"/>
                  <w:marTop w:val="120"/>
                  <w:marBottom w:val="0"/>
                  <w:divBdr>
                    <w:top w:val="none" w:sz="0" w:space="0" w:color="auto"/>
                    <w:left w:val="none" w:sz="0" w:space="0" w:color="auto"/>
                    <w:bottom w:val="none" w:sz="0" w:space="0" w:color="auto"/>
                    <w:right w:val="none" w:sz="0" w:space="0" w:color="auto"/>
                  </w:divBdr>
                </w:div>
                <w:div w:id="1446121638">
                  <w:marLeft w:val="0"/>
                  <w:marRight w:val="0"/>
                  <w:marTop w:val="0"/>
                  <w:marBottom w:val="0"/>
                  <w:divBdr>
                    <w:top w:val="none" w:sz="0" w:space="0" w:color="auto"/>
                    <w:left w:val="none" w:sz="0" w:space="0" w:color="auto"/>
                    <w:bottom w:val="none" w:sz="0" w:space="0" w:color="auto"/>
                    <w:right w:val="none" w:sz="0" w:space="0" w:color="auto"/>
                  </w:divBdr>
                </w:div>
              </w:divsChild>
            </w:div>
            <w:div w:id="354424264">
              <w:marLeft w:val="0"/>
              <w:marRight w:val="0"/>
              <w:marTop w:val="0"/>
              <w:marBottom w:val="0"/>
              <w:divBdr>
                <w:top w:val="none" w:sz="0" w:space="0" w:color="auto"/>
                <w:left w:val="none" w:sz="0" w:space="0" w:color="auto"/>
                <w:bottom w:val="none" w:sz="0" w:space="0" w:color="auto"/>
                <w:right w:val="none" w:sz="0" w:space="0" w:color="auto"/>
              </w:divBdr>
              <w:divsChild>
                <w:div w:id="709232692">
                  <w:marLeft w:val="0"/>
                  <w:marRight w:val="0"/>
                  <w:marTop w:val="120"/>
                  <w:marBottom w:val="0"/>
                  <w:divBdr>
                    <w:top w:val="none" w:sz="0" w:space="0" w:color="auto"/>
                    <w:left w:val="none" w:sz="0" w:space="0" w:color="auto"/>
                    <w:bottom w:val="none" w:sz="0" w:space="0" w:color="auto"/>
                    <w:right w:val="none" w:sz="0" w:space="0" w:color="auto"/>
                  </w:divBdr>
                </w:div>
                <w:div w:id="969362765">
                  <w:marLeft w:val="0"/>
                  <w:marRight w:val="0"/>
                  <w:marTop w:val="0"/>
                  <w:marBottom w:val="0"/>
                  <w:divBdr>
                    <w:top w:val="none" w:sz="0" w:space="0" w:color="auto"/>
                    <w:left w:val="none" w:sz="0" w:space="0" w:color="auto"/>
                    <w:bottom w:val="none" w:sz="0" w:space="0" w:color="auto"/>
                    <w:right w:val="none" w:sz="0" w:space="0" w:color="auto"/>
                  </w:divBdr>
                </w:div>
              </w:divsChild>
            </w:div>
            <w:div w:id="553005809">
              <w:marLeft w:val="0"/>
              <w:marRight w:val="0"/>
              <w:marTop w:val="0"/>
              <w:marBottom w:val="0"/>
              <w:divBdr>
                <w:top w:val="none" w:sz="0" w:space="0" w:color="auto"/>
                <w:left w:val="none" w:sz="0" w:space="0" w:color="auto"/>
                <w:bottom w:val="none" w:sz="0" w:space="0" w:color="auto"/>
                <w:right w:val="none" w:sz="0" w:space="0" w:color="auto"/>
              </w:divBdr>
              <w:divsChild>
                <w:div w:id="913587052">
                  <w:marLeft w:val="0"/>
                  <w:marRight w:val="0"/>
                  <w:marTop w:val="120"/>
                  <w:marBottom w:val="0"/>
                  <w:divBdr>
                    <w:top w:val="none" w:sz="0" w:space="0" w:color="auto"/>
                    <w:left w:val="none" w:sz="0" w:space="0" w:color="auto"/>
                    <w:bottom w:val="none" w:sz="0" w:space="0" w:color="auto"/>
                    <w:right w:val="none" w:sz="0" w:space="0" w:color="auto"/>
                  </w:divBdr>
                </w:div>
                <w:div w:id="73127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663095">
      <w:bodyDiv w:val="1"/>
      <w:marLeft w:val="0"/>
      <w:marRight w:val="0"/>
      <w:marTop w:val="0"/>
      <w:marBottom w:val="0"/>
      <w:divBdr>
        <w:top w:val="none" w:sz="0" w:space="0" w:color="auto"/>
        <w:left w:val="none" w:sz="0" w:space="0" w:color="auto"/>
        <w:bottom w:val="none" w:sz="0" w:space="0" w:color="auto"/>
        <w:right w:val="none" w:sz="0" w:space="0" w:color="auto"/>
      </w:divBdr>
      <w:divsChild>
        <w:div w:id="722678678">
          <w:marLeft w:val="0"/>
          <w:marRight w:val="0"/>
          <w:marTop w:val="120"/>
          <w:marBottom w:val="0"/>
          <w:divBdr>
            <w:top w:val="none" w:sz="0" w:space="0" w:color="auto"/>
            <w:left w:val="none" w:sz="0" w:space="0" w:color="auto"/>
            <w:bottom w:val="none" w:sz="0" w:space="0" w:color="auto"/>
            <w:right w:val="none" w:sz="0" w:space="0" w:color="auto"/>
          </w:divBdr>
        </w:div>
        <w:div w:id="341012850">
          <w:marLeft w:val="0"/>
          <w:marRight w:val="0"/>
          <w:marTop w:val="0"/>
          <w:marBottom w:val="0"/>
          <w:divBdr>
            <w:top w:val="none" w:sz="0" w:space="0" w:color="auto"/>
            <w:left w:val="none" w:sz="0" w:space="0" w:color="auto"/>
            <w:bottom w:val="none" w:sz="0" w:space="0" w:color="auto"/>
            <w:right w:val="none" w:sz="0" w:space="0" w:color="auto"/>
          </w:divBdr>
        </w:div>
      </w:divsChild>
    </w:div>
    <w:div w:id="1398629361">
      <w:bodyDiv w:val="1"/>
      <w:marLeft w:val="0"/>
      <w:marRight w:val="0"/>
      <w:marTop w:val="0"/>
      <w:marBottom w:val="0"/>
      <w:divBdr>
        <w:top w:val="none" w:sz="0" w:space="0" w:color="auto"/>
        <w:left w:val="none" w:sz="0" w:space="0" w:color="auto"/>
        <w:bottom w:val="none" w:sz="0" w:space="0" w:color="auto"/>
        <w:right w:val="none" w:sz="0" w:space="0" w:color="auto"/>
      </w:divBdr>
      <w:divsChild>
        <w:div w:id="1718964635">
          <w:marLeft w:val="0"/>
          <w:marRight w:val="0"/>
          <w:marTop w:val="0"/>
          <w:marBottom w:val="0"/>
          <w:divBdr>
            <w:top w:val="none" w:sz="0" w:space="0" w:color="auto"/>
            <w:left w:val="none" w:sz="0" w:space="0" w:color="auto"/>
            <w:bottom w:val="none" w:sz="0" w:space="0" w:color="auto"/>
            <w:right w:val="none" w:sz="0" w:space="0" w:color="auto"/>
          </w:divBdr>
        </w:div>
      </w:divsChild>
    </w:div>
    <w:div w:id="1415009214">
      <w:bodyDiv w:val="1"/>
      <w:marLeft w:val="0"/>
      <w:marRight w:val="0"/>
      <w:marTop w:val="0"/>
      <w:marBottom w:val="0"/>
      <w:divBdr>
        <w:top w:val="none" w:sz="0" w:space="0" w:color="auto"/>
        <w:left w:val="none" w:sz="0" w:space="0" w:color="auto"/>
        <w:bottom w:val="none" w:sz="0" w:space="0" w:color="auto"/>
        <w:right w:val="none" w:sz="0" w:space="0" w:color="auto"/>
      </w:divBdr>
      <w:divsChild>
        <w:div w:id="283778352">
          <w:marLeft w:val="0"/>
          <w:marRight w:val="0"/>
          <w:marTop w:val="0"/>
          <w:marBottom w:val="0"/>
          <w:divBdr>
            <w:top w:val="none" w:sz="0" w:space="0" w:color="auto"/>
            <w:left w:val="none" w:sz="0" w:space="0" w:color="auto"/>
            <w:bottom w:val="none" w:sz="0" w:space="0" w:color="auto"/>
            <w:right w:val="none" w:sz="0" w:space="0" w:color="auto"/>
          </w:divBdr>
        </w:div>
      </w:divsChild>
    </w:div>
    <w:div w:id="1418288666">
      <w:bodyDiv w:val="1"/>
      <w:marLeft w:val="0"/>
      <w:marRight w:val="0"/>
      <w:marTop w:val="0"/>
      <w:marBottom w:val="0"/>
      <w:divBdr>
        <w:top w:val="none" w:sz="0" w:space="0" w:color="auto"/>
        <w:left w:val="none" w:sz="0" w:space="0" w:color="auto"/>
        <w:bottom w:val="none" w:sz="0" w:space="0" w:color="auto"/>
        <w:right w:val="none" w:sz="0" w:space="0" w:color="auto"/>
      </w:divBdr>
      <w:divsChild>
        <w:div w:id="197740641">
          <w:marLeft w:val="0"/>
          <w:marRight w:val="0"/>
          <w:marTop w:val="0"/>
          <w:marBottom w:val="0"/>
          <w:divBdr>
            <w:top w:val="none" w:sz="0" w:space="0" w:color="auto"/>
            <w:left w:val="none" w:sz="0" w:space="0" w:color="auto"/>
            <w:bottom w:val="none" w:sz="0" w:space="0" w:color="auto"/>
            <w:right w:val="none" w:sz="0" w:space="0" w:color="auto"/>
          </w:divBdr>
        </w:div>
      </w:divsChild>
    </w:div>
    <w:div w:id="1421027545">
      <w:bodyDiv w:val="1"/>
      <w:marLeft w:val="0"/>
      <w:marRight w:val="0"/>
      <w:marTop w:val="0"/>
      <w:marBottom w:val="0"/>
      <w:divBdr>
        <w:top w:val="none" w:sz="0" w:space="0" w:color="auto"/>
        <w:left w:val="none" w:sz="0" w:space="0" w:color="auto"/>
        <w:bottom w:val="none" w:sz="0" w:space="0" w:color="auto"/>
        <w:right w:val="none" w:sz="0" w:space="0" w:color="auto"/>
      </w:divBdr>
      <w:divsChild>
        <w:div w:id="1605773093">
          <w:marLeft w:val="0"/>
          <w:marRight w:val="0"/>
          <w:marTop w:val="0"/>
          <w:marBottom w:val="0"/>
          <w:divBdr>
            <w:top w:val="none" w:sz="0" w:space="0" w:color="auto"/>
            <w:left w:val="none" w:sz="0" w:space="0" w:color="auto"/>
            <w:bottom w:val="none" w:sz="0" w:space="0" w:color="auto"/>
            <w:right w:val="none" w:sz="0" w:space="0" w:color="auto"/>
          </w:divBdr>
          <w:divsChild>
            <w:div w:id="249117632">
              <w:marLeft w:val="0"/>
              <w:marRight w:val="0"/>
              <w:marTop w:val="0"/>
              <w:marBottom w:val="0"/>
              <w:divBdr>
                <w:top w:val="none" w:sz="0" w:space="0" w:color="auto"/>
                <w:left w:val="none" w:sz="0" w:space="0" w:color="auto"/>
                <w:bottom w:val="none" w:sz="0" w:space="0" w:color="auto"/>
                <w:right w:val="none" w:sz="0" w:space="0" w:color="auto"/>
              </w:divBdr>
              <w:divsChild>
                <w:div w:id="1779837278">
                  <w:marLeft w:val="0"/>
                  <w:marRight w:val="0"/>
                  <w:marTop w:val="120"/>
                  <w:marBottom w:val="0"/>
                  <w:divBdr>
                    <w:top w:val="none" w:sz="0" w:space="0" w:color="auto"/>
                    <w:left w:val="none" w:sz="0" w:space="0" w:color="auto"/>
                    <w:bottom w:val="none" w:sz="0" w:space="0" w:color="auto"/>
                    <w:right w:val="none" w:sz="0" w:space="0" w:color="auto"/>
                  </w:divBdr>
                </w:div>
                <w:div w:id="143475073">
                  <w:marLeft w:val="0"/>
                  <w:marRight w:val="0"/>
                  <w:marTop w:val="0"/>
                  <w:marBottom w:val="0"/>
                  <w:divBdr>
                    <w:top w:val="none" w:sz="0" w:space="0" w:color="auto"/>
                    <w:left w:val="none" w:sz="0" w:space="0" w:color="auto"/>
                    <w:bottom w:val="none" w:sz="0" w:space="0" w:color="auto"/>
                    <w:right w:val="none" w:sz="0" w:space="0" w:color="auto"/>
                  </w:divBdr>
                </w:div>
              </w:divsChild>
            </w:div>
            <w:div w:id="68044089">
              <w:marLeft w:val="0"/>
              <w:marRight w:val="0"/>
              <w:marTop w:val="0"/>
              <w:marBottom w:val="0"/>
              <w:divBdr>
                <w:top w:val="none" w:sz="0" w:space="0" w:color="auto"/>
                <w:left w:val="none" w:sz="0" w:space="0" w:color="auto"/>
                <w:bottom w:val="none" w:sz="0" w:space="0" w:color="auto"/>
                <w:right w:val="none" w:sz="0" w:space="0" w:color="auto"/>
              </w:divBdr>
              <w:divsChild>
                <w:div w:id="1246264711">
                  <w:marLeft w:val="0"/>
                  <w:marRight w:val="0"/>
                  <w:marTop w:val="120"/>
                  <w:marBottom w:val="0"/>
                  <w:divBdr>
                    <w:top w:val="none" w:sz="0" w:space="0" w:color="auto"/>
                    <w:left w:val="none" w:sz="0" w:space="0" w:color="auto"/>
                    <w:bottom w:val="none" w:sz="0" w:space="0" w:color="auto"/>
                    <w:right w:val="none" w:sz="0" w:space="0" w:color="auto"/>
                  </w:divBdr>
                </w:div>
                <w:div w:id="1460882447">
                  <w:marLeft w:val="0"/>
                  <w:marRight w:val="0"/>
                  <w:marTop w:val="0"/>
                  <w:marBottom w:val="0"/>
                  <w:divBdr>
                    <w:top w:val="none" w:sz="0" w:space="0" w:color="auto"/>
                    <w:left w:val="none" w:sz="0" w:space="0" w:color="auto"/>
                    <w:bottom w:val="none" w:sz="0" w:space="0" w:color="auto"/>
                    <w:right w:val="none" w:sz="0" w:space="0" w:color="auto"/>
                  </w:divBdr>
                </w:div>
              </w:divsChild>
            </w:div>
            <w:div w:id="610942558">
              <w:marLeft w:val="0"/>
              <w:marRight w:val="0"/>
              <w:marTop w:val="0"/>
              <w:marBottom w:val="0"/>
              <w:divBdr>
                <w:top w:val="none" w:sz="0" w:space="0" w:color="auto"/>
                <w:left w:val="none" w:sz="0" w:space="0" w:color="auto"/>
                <w:bottom w:val="none" w:sz="0" w:space="0" w:color="auto"/>
                <w:right w:val="none" w:sz="0" w:space="0" w:color="auto"/>
              </w:divBdr>
              <w:divsChild>
                <w:div w:id="1063792427">
                  <w:marLeft w:val="0"/>
                  <w:marRight w:val="0"/>
                  <w:marTop w:val="120"/>
                  <w:marBottom w:val="0"/>
                  <w:divBdr>
                    <w:top w:val="none" w:sz="0" w:space="0" w:color="auto"/>
                    <w:left w:val="none" w:sz="0" w:space="0" w:color="auto"/>
                    <w:bottom w:val="none" w:sz="0" w:space="0" w:color="auto"/>
                    <w:right w:val="none" w:sz="0" w:space="0" w:color="auto"/>
                  </w:divBdr>
                </w:div>
                <w:div w:id="469858173">
                  <w:marLeft w:val="0"/>
                  <w:marRight w:val="0"/>
                  <w:marTop w:val="0"/>
                  <w:marBottom w:val="0"/>
                  <w:divBdr>
                    <w:top w:val="none" w:sz="0" w:space="0" w:color="auto"/>
                    <w:left w:val="none" w:sz="0" w:space="0" w:color="auto"/>
                    <w:bottom w:val="none" w:sz="0" w:space="0" w:color="auto"/>
                    <w:right w:val="none" w:sz="0" w:space="0" w:color="auto"/>
                  </w:divBdr>
                </w:div>
              </w:divsChild>
            </w:div>
            <w:div w:id="1147017634">
              <w:marLeft w:val="0"/>
              <w:marRight w:val="0"/>
              <w:marTop w:val="0"/>
              <w:marBottom w:val="0"/>
              <w:divBdr>
                <w:top w:val="none" w:sz="0" w:space="0" w:color="auto"/>
                <w:left w:val="none" w:sz="0" w:space="0" w:color="auto"/>
                <w:bottom w:val="none" w:sz="0" w:space="0" w:color="auto"/>
                <w:right w:val="none" w:sz="0" w:space="0" w:color="auto"/>
              </w:divBdr>
              <w:divsChild>
                <w:div w:id="1210847980">
                  <w:marLeft w:val="0"/>
                  <w:marRight w:val="0"/>
                  <w:marTop w:val="120"/>
                  <w:marBottom w:val="0"/>
                  <w:divBdr>
                    <w:top w:val="none" w:sz="0" w:space="0" w:color="auto"/>
                    <w:left w:val="none" w:sz="0" w:space="0" w:color="auto"/>
                    <w:bottom w:val="none" w:sz="0" w:space="0" w:color="auto"/>
                    <w:right w:val="none" w:sz="0" w:space="0" w:color="auto"/>
                  </w:divBdr>
                </w:div>
                <w:div w:id="204860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648025">
      <w:bodyDiv w:val="1"/>
      <w:marLeft w:val="0"/>
      <w:marRight w:val="0"/>
      <w:marTop w:val="0"/>
      <w:marBottom w:val="0"/>
      <w:divBdr>
        <w:top w:val="none" w:sz="0" w:space="0" w:color="auto"/>
        <w:left w:val="none" w:sz="0" w:space="0" w:color="auto"/>
        <w:bottom w:val="none" w:sz="0" w:space="0" w:color="auto"/>
        <w:right w:val="none" w:sz="0" w:space="0" w:color="auto"/>
      </w:divBdr>
      <w:divsChild>
        <w:div w:id="171770699">
          <w:marLeft w:val="0"/>
          <w:marRight w:val="0"/>
          <w:marTop w:val="0"/>
          <w:marBottom w:val="0"/>
          <w:divBdr>
            <w:top w:val="none" w:sz="0" w:space="0" w:color="auto"/>
            <w:left w:val="none" w:sz="0" w:space="0" w:color="auto"/>
            <w:bottom w:val="none" w:sz="0" w:space="0" w:color="auto"/>
            <w:right w:val="none" w:sz="0" w:space="0" w:color="auto"/>
          </w:divBdr>
        </w:div>
      </w:divsChild>
    </w:div>
    <w:div w:id="1424493134">
      <w:bodyDiv w:val="1"/>
      <w:marLeft w:val="0"/>
      <w:marRight w:val="0"/>
      <w:marTop w:val="0"/>
      <w:marBottom w:val="0"/>
      <w:divBdr>
        <w:top w:val="none" w:sz="0" w:space="0" w:color="auto"/>
        <w:left w:val="none" w:sz="0" w:space="0" w:color="auto"/>
        <w:bottom w:val="none" w:sz="0" w:space="0" w:color="auto"/>
        <w:right w:val="none" w:sz="0" w:space="0" w:color="auto"/>
      </w:divBdr>
      <w:divsChild>
        <w:div w:id="90199365">
          <w:marLeft w:val="0"/>
          <w:marRight w:val="0"/>
          <w:marTop w:val="0"/>
          <w:marBottom w:val="0"/>
          <w:divBdr>
            <w:top w:val="none" w:sz="0" w:space="0" w:color="auto"/>
            <w:left w:val="none" w:sz="0" w:space="0" w:color="auto"/>
            <w:bottom w:val="none" w:sz="0" w:space="0" w:color="auto"/>
            <w:right w:val="none" w:sz="0" w:space="0" w:color="auto"/>
          </w:divBdr>
        </w:div>
      </w:divsChild>
    </w:div>
    <w:div w:id="1424912913">
      <w:bodyDiv w:val="1"/>
      <w:marLeft w:val="0"/>
      <w:marRight w:val="0"/>
      <w:marTop w:val="0"/>
      <w:marBottom w:val="0"/>
      <w:divBdr>
        <w:top w:val="none" w:sz="0" w:space="0" w:color="auto"/>
        <w:left w:val="none" w:sz="0" w:space="0" w:color="auto"/>
        <w:bottom w:val="none" w:sz="0" w:space="0" w:color="auto"/>
        <w:right w:val="none" w:sz="0" w:space="0" w:color="auto"/>
      </w:divBdr>
      <w:divsChild>
        <w:div w:id="104691636">
          <w:marLeft w:val="0"/>
          <w:marRight w:val="0"/>
          <w:marTop w:val="0"/>
          <w:marBottom w:val="0"/>
          <w:divBdr>
            <w:top w:val="none" w:sz="0" w:space="0" w:color="auto"/>
            <w:left w:val="none" w:sz="0" w:space="0" w:color="auto"/>
            <w:bottom w:val="none" w:sz="0" w:space="0" w:color="auto"/>
            <w:right w:val="none" w:sz="0" w:space="0" w:color="auto"/>
          </w:divBdr>
          <w:divsChild>
            <w:div w:id="531890797">
              <w:marLeft w:val="0"/>
              <w:marRight w:val="0"/>
              <w:marTop w:val="0"/>
              <w:marBottom w:val="0"/>
              <w:divBdr>
                <w:top w:val="none" w:sz="0" w:space="0" w:color="auto"/>
                <w:left w:val="none" w:sz="0" w:space="0" w:color="auto"/>
                <w:bottom w:val="none" w:sz="0" w:space="0" w:color="auto"/>
                <w:right w:val="none" w:sz="0" w:space="0" w:color="auto"/>
              </w:divBdr>
              <w:divsChild>
                <w:div w:id="1190682116">
                  <w:marLeft w:val="0"/>
                  <w:marRight w:val="0"/>
                  <w:marTop w:val="120"/>
                  <w:marBottom w:val="0"/>
                  <w:divBdr>
                    <w:top w:val="none" w:sz="0" w:space="0" w:color="auto"/>
                    <w:left w:val="none" w:sz="0" w:space="0" w:color="auto"/>
                    <w:bottom w:val="none" w:sz="0" w:space="0" w:color="auto"/>
                    <w:right w:val="none" w:sz="0" w:space="0" w:color="auto"/>
                  </w:divBdr>
                </w:div>
                <w:div w:id="159273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953477">
      <w:bodyDiv w:val="1"/>
      <w:marLeft w:val="0"/>
      <w:marRight w:val="0"/>
      <w:marTop w:val="0"/>
      <w:marBottom w:val="0"/>
      <w:divBdr>
        <w:top w:val="none" w:sz="0" w:space="0" w:color="auto"/>
        <w:left w:val="none" w:sz="0" w:space="0" w:color="auto"/>
        <w:bottom w:val="none" w:sz="0" w:space="0" w:color="auto"/>
        <w:right w:val="none" w:sz="0" w:space="0" w:color="auto"/>
      </w:divBdr>
      <w:divsChild>
        <w:div w:id="1828210141">
          <w:marLeft w:val="0"/>
          <w:marRight w:val="0"/>
          <w:marTop w:val="0"/>
          <w:marBottom w:val="0"/>
          <w:divBdr>
            <w:top w:val="none" w:sz="0" w:space="0" w:color="auto"/>
            <w:left w:val="none" w:sz="0" w:space="0" w:color="auto"/>
            <w:bottom w:val="none" w:sz="0" w:space="0" w:color="auto"/>
            <w:right w:val="none" w:sz="0" w:space="0" w:color="auto"/>
          </w:divBdr>
        </w:div>
      </w:divsChild>
    </w:div>
    <w:div w:id="1426731852">
      <w:bodyDiv w:val="1"/>
      <w:marLeft w:val="0"/>
      <w:marRight w:val="0"/>
      <w:marTop w:val="0"/>
      <w:marBottom w:val="0"/>
      <w:divBdr>
        <w:top w:val="none" w:sz="0" w:space="0" w:color="auto"/>
        <w:left w:val="none" w:sz="0" w:space="0" w:color="auto"/>
        <w:bottom w:val="none" w:sz="0" w:space="0" w:color="auto"/>
        <w:right w:val="none" w:sz="0" w:space="0" w:color="auto"/>
      </w:divBdr>
      <w:divsChild>
        <w:div w:id="958535991">
          <w:marLeft w:val="0"/>
          <w:marRight w:val="0"/>
          <w:marTop w:val="0"/>
          <w:marBottom w:val="0"/>
          <w:divBdr>
            <w:top w:val="none" w:sz="0" w:space="0" w:color="auto"/>
            <w:left w:val="none" w:sz="0" w:space="0" w:color="auto"/>
            <w:bottom w:val="none" w:sz="0" w:space="0" w:color="auto"/>
            <w:right w:val="none" w:sz="0" w:space="0" w:color="auto"/>
          </w:divBdr>
        </w:div>
      </w:divsChild>
    </w:div>
    <w:div w:id="1428429758">
      <w:bodyDiv w:val="1"/>
      <w:marLeft w:val="0"/>
      <w:marRight w:val="0"/>
      <w:marTop w:val="0"/>
      <w:marBottom w:val="0"/>
      <w:divBdr>
        <w:top w:val="none" w:sz="0" w:space="0" w:color="auto"/>
        <w:left w:val="none" w:sz="0" w:space="0" w:color="auto"/>
        <w:bottom w:val="none" w:sz="0" w:space="0" w:color="auto"/>
        <w:right w:val="none" w:sz="0" w:space="0" w:color="auto"/>
      </w:divBdr>
      <w:divsChild>
        <w:div w:id="825129247">
          <w:marLeft w:val="0"/>
          <w:marRight w:val="0"/>
          <w:marTop w:val="0"/>
          <w:marBottom w:val="0"/>
          <w:divBdr>
            <w:top w:val="none" w:sz="0" w:space="0" w:color="auto"/>
            <w:left w:val="none" w:sz="0" w:space="0" w:color="auto"/>
            <w:bottom w:val="none" w:sz="0" w:space="0" w:color="auto"/>
            <w:right w:val="none" w:sz="0" w:space="0" w:color="auto"/>
          </w:divBdr>
          <w:divsChild>
            <w:div w:id="895123289">
              <w:marLeft w:val="0"/>
              <w:marRight w:val="0"/>
              <w:marTop w:val="0"/>
              <w:marBottom w:val="0"/>
              <w:divBdr>
                <w:top w:val="none" w:sz="0" w:space="0" w:color="auto"/>
                <w:left w:val="none" w:sz="0" w:space="0" w:color="auto"/>
                <w:bottom w:val="none" w:sz="0" w:space="0" w:color="auto"/>
                <w:right w:val="none" w:sz="0" w:space="0" w:color="auto"/>
              </w:divBdr>
              <w:divsChild>
                <w:div w:id="69739203">
                  <w:marLeft w:val="0"/>
                  <w:marRight w:val="0"/>
                  <w:marTop w:val="0"/>
                  <w:marBottom w:val="0"/>
                  <w:divBdr>
                    <w:top w:val="none" w:sz="0" w:space="0" w:color="auto"/>
                    <w:left w:val="none" w:sz="0" w:space="0" w:color="auto"/>
                    <w:bottom w:val="none" w:sz="0" w:space="0" w:color="auto"/>
                    <w:right w:val="none" w:sz="0" w:space="0" w:color="auto"/>
                  </w:divBdr>
                  <w:divsChild>
                    <w:div w:id="1993094237">
                      <w:marLeft w:val="0"/>
                      <w:marRight w:val="0"/>
                      <w:marTop w:val="120"/>
                      <w:marBottom w:val="0"/>
                      <w:divBdr>
                        <w:top w:val="none" w:sz="0" w:space="0" w:color="auto"/>
                        <w:left w:val="none" w:sz="0" w:space="0" w:color="auto"/>
                        <w:bottom w:val="none" w:sz="0" w:space="0" w:color="auto"/>
                        <w:right w:val="none" w:sz="0" w:space="0" w:color="auto"/>
                      </w:divBdr>
                    </w:div>
                    <w:div w:id="1601377185">
                      <w:marLeft w:val="0"/>
                      <w:marRight w:val="0"/>
                      <w:marTop w:val="0"/>
                      <w:marBottom w:val="0"/>
                      <w:divBdr>
                        <w:top w:val="none" w:sz="0" w:space="0" w:color="auto"/>
                        <w:left w:val="none" w:sz="0" w:space="0" w:color="auto"/>
                        <w:bottom w:val="none" w:sz="0" w:space="0" w:color="auto"/>
                        <w:right w:val="none" w:sz="0" w:space="0" w:color="auto"/>
                      </w:divBdr>
                    </w:div>
                  </w:divsChild>
                </w:div>
                <w:div w:id="1971783448">
                  <w:marLeft w:val="0"/>
                  <w:marRight w:val="0"/>
                  <w:marTop w:val="0"/>
                  <w:marBottom w:val="0"/>
                  <w:divBdr>
                    <w:top w:val="none" w:sz="0" w:space="0" w:color="auto"/>
                    <w:left w:val="none" w:sz="0" w:space="0" w:color="auto"/>
                    <w:bottom w:val="none" w:sz="0" w:space="0" w:color="auto"/>
                    <w:right w:val="none" w:sz="0" w:space="0" w:color="auto"/>
                  </w:divBdr>
                  <w:divsChild>
                    <w:div w:id="577862983">
                      <w:marLeft w:val="0"/>
                      <w:marRight w:val="0"/>
                      <w:marTop w:val="120"/>
                      <w:marBottom w:val="0"/>
                      <w:divBdr>
                        <w:top w:val="none" w:sz="0" w:space="0" w:color="auto"/>
                        <w:left w:val="none" w:sz="0" w:space="0" w:color="auto"/>
                        <w:bottom w:val="none" w:sz="0" w:space="0" w:color="auto"/>
                        <w:right w:val="none" w:sz="0" w:space="0" w:color="auto"/>
                      </w:divBdr>
                    </w:div>
                    <w:div w:id="90814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745695">
      <w:bodyDiv w:val="1"/>
      <w:marLeft w:val="0"/>
      <w:marRight w:val="0"/>
      <w:marTop w:val="0"/>
      <w:marBottom w:val="0"/>
      <w:divBdr>
        <w:top w:val="none" w:sz="0" w:space="0" w:color="auto"/>
        <w:left w:val="none" w:sz="0" w:space="0" w:color="auto"/>
        <w:bottom w:val="none" w:sz="0" w:space="0" w:color="auto"/>
        <w:right w:val="none" w:sz="0" w:space="0" w:color="auto"/>
      </w:divBdr>
      <w:divsChild>
        <w:div w:id="1893301212">
          <w:marLeft w:val="0"/>
          <w:marRight w:val="0"/>
          <w:marTop w:val="0"/>
          <w:marBottom w:val="0"/>
          <w:divBdr>
            <w:top w:val="none" w:sz="0" w:space="0" w:color="auto"/>
            <w:left w:val="none" w:sz="0" w:space="0" w:color="auto"/>
            <w:bottom w:val="none" w:sz="0" w:space="0" w:color="auto"/>
            <w:right w:val="none" w:sz="0" w:space="0" w:color="auto"/>
          </w:divBdr>
          <w:divsChild>
            <w:div w:id="69658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44117">
      <w:bodyDiv w:val="1"/>
      <w:marLeft w:val="0"/>
      <w:marRight w:val="0"/>
      <w:marTop w:val="0"/>
      <w:marBottom w:val="0"/>
      <w:divBdr>
        <w:top w:val="none" w:sz="0" w:space="0" w:color="auto"/>
        <w:left w:val="none" w:sz="0" w:space="0" w:color="auto"/>
        <w:bottom w:val="none" w:sz="0" w:space="0" w:color="auto"/>
        <w:right w:val="none" w:sz="0" w:space="0" w:color="auto"/>
      </w:divBdr>
      <w:divsChild>
        <w:div w:id="1125006092">
          <w:marLeft w:val="0"/>
          <w:marRight w:val="0"/>
          <w:marTop w:val="0"/>
          <w:marBottom w:val="0"/>
          <w:divBdr>
            <w:top w:val="none" w:sz="0" w:space="0" w:color="auto"/>
            <w:left w:val="none" w:sz="0" w:space="0" w:color="auto"/>
            <w:bottom w:val="none" w:sz="0" w:space="0" w:color="auto"/>
            <w:right w:val="none" w:sz="0" w:space="0" w:color="auto"/>
          </w:divBdr>
        </w:div>
      </w:divsChild>
    </w:div>
    <w:div w:id="1437558922">
      <w:bodyDiv w:val="1"/>
      <w:marLeft w:val="0"/>
      <w:marRight w:val="0"/>
      <w:marTop w:val="0"/>
      <w:marBottom w:val="0"/>
      <w:divBdr>
        <w:top w:val="none" w:sz="0" w:space="0" w:color="auto"/>
        <w:left w:val="none" w:sz="0" w:space="0" w:color="auto"/>
        <w:bottom w:val="none" w:sz="0" w:space="0" w:color="auto"/>
        <w:right w:val="none" w:sz="0" w:space="0" w:color="auto"/>
      </w:divBdr>
      <w:divsChild>
        <w:div w:id="142891680">
          <w:marLeft w:val="0"/>
          <w:marRight w:val="0"/>
          <w:marTop w:val="120"/>
          <w:marBottom w:val="0"/>
          <w:divBdr>
            <w:top w:val="none" w:sz="0" w:space="0" w:color="auto"/>
            <w:left w:val="none" w:sz="0" w:space="0" w:color="auto"/>
            <w:bottom w:val="none" w:sz="0" w:space="0" w:color="auto"/>
            <w:right w:val="none" w:sz="0" w:space="0" w:color="auto"/>
          </w:divBdr>
        </w:div>
        <w:div w:id="1563128365">
          <w:marLeft w:val="0"/>
          <w:marRight w:val="0"/>
          <w:marTop w:val="0"/>
          <w:marBottom w:val="0"/>
          <w:divBdr>
            <w:top w:val="none" w:sz="0" w:space="0" w:color="auto"/>
            <w:left w:val="none" w:sz="0" w:space="0" w:color="auto"/>
            <w:bottom w:val="none" w:sz="0" w:space="0" w:color="auto"/>
            <w:right w:val="none" w:sz="0" w:space="0" w:color="auto"/>
          </w:divBdr>
        </w:div>
      </w:divsChild>
    </w:div>
    <w:div w:id="1437599855">
      <w:bodyDiv w:val="1"/>
      <w:marLeft w:val="0"/>
      <w:marRight w:val="0"/>
      <w:marTop w:val="0"/>
      <w:marBottom w:val="0"/>
      <w:divBdr>
        <w:top w:val="none" w:sz="0" w:space="0" w:color="auto"/>
        <w:left w:val="none" w:sz="0" w:space="0" w:color="auto"/>
        <w:bottom w:val="none" w:sz="0" w:space="0" w:color="auto"/>
        <w:right w:val="none" w:sz="0" w:space="0" w:color="auto"/>
      </w:divBdr>
      <w:divsChild>
        <w:div w:id="2024358835">
          <w:marLeft w:val="0"/>
          <w:marRight w:val="0"/>
          <w:marTop w:val="0"/>
          <w:marBottom w:val="0"/>
          <w:divBdr>
            <w:top w:val="none" w:sz="0" w:space="0" w:color="auto"/>
            <w:left w:val="none" w:sz="0" w:space="0" w:color="auto"/>
            <w:bottom w:val="none" w:sz="0" w:space="0" w:color="auto"/>
            <w:right w:val="none" w:sz="0" w:space="0" w:color="auto"/>
          </w:divBdr>
        </w:div>
      </w:divsChild>
    </w:div>
    <w:div w:id="1439910649">
      <w:bodyDiv w:val="1"/>
      <w:marLeft w:val="0"/>
      <w:marRight w:val="0"/>
      <w:marTop w:val="0"/>
      <w:marBottom w:val="0"/>
      <w:divBdr>
        <w:top w:val="none" w:sz="0" w:space="0" w:color="auto"/>
        <w:left w:val="none" w:sz="0" w:space="0" w:color="auto"/>
        <w:bottom w:val="none" w:sz="0" w:space="0" w:color="auto"/>
        <w:right w:val="none" w:sz="0" w:space="0" w:color="auto"/>
      </w:divBdr>
      <w:divsChild>
        <w:div w:id="1335762571">
          <w:marLeft w:val="0"/>
          <w:marRight w:val="0"/>
          <w:marTop w:val="0"/>
          <w:marBottom w:val="0"/>
          <w:divBdr>
            <w:top w:val="none" w:sz="0" w:space="0" w:color="auto"/>
            <w:left w:val="none" w:sz="0" w:space="0" w:color="auto"/>
            <w:bottom w:val="none" w:sz="0" w:space="0" w:color="auto"/>
            <w:right w:val="none" w:sz="0" w:space="0" w:color="auto"/>
          </w:divBdr>
        </w:div>
      </w:divsChild>
    </w:div>
    <w:div w:id="1443496833">
      <w:bodyDiv w:val="1"/>
      <w:marLeft w:val="0"/>
      <w:marRight w:val="0"/>
      <w:marTop w:val="0"/>
      <w:marBottom w:val="0"/>
      <w:divBdr>
        <w:top w:val="none" w:sz="0" w:space="0" w:color="auto"/>
        <w:left w:val="none" w:sz="0" w:space="0" w:color="auto"/>
        <w:bottom w:val="none" w:sz="0" w:space="0" w:color="auto"/>
        <w:right w:val="none" w:sz="0" w:space="0" w:color="auto"/>
      </w:divBdr>
      <w:divsChild>
        <w:div w:id="203292748">
          <w:marLeft w:val="0"/>
          <w:marRight w:val="0"/>
          <w:marTop w:val="120"/>
          <w:marBottom w:val="0"/>
          <w:divBdr>
            <w:top w:val="none" w:sz="0" w:space="0" w:color="auto"/>
            <w:left w:val="none" w:sz="0" w:space="0" w:color="auto"/>
            <w:bottom w:val="none" w:sz="0" w:space="0" w:color="auto"/>
            <w:right w:val="none" w:sz="0" w:space="0" w:color="auto"/>
          </w:divBdr>
        </w:div>
        <w:div w:id="1919317139">
          <w:marLeft w:val="0"/>
          <w:marRight w:val="0"/>
          <w:marTop w:val="0"/>
          <w:marBottom w:val="0"/>
          <w:divBdr>
            <w:top w:val="none" w:sz="0" w:space="0" w:color="auto"/>
            <w:left w:val="none" w:sz="0" w:space="0" w:color="auto"/>
            <w:bottom w:val="none" w:sz="0" w:space="0" w:color="auto"/>
            <w:right w:val="none" w:sz="0" w:space="0" w:color="auto"/>
          </w:divBdr>
        </w:div>
      </w:divsChild>
    </w:div>
    <w:div w:id="1450397874">
      <w:bodyDiv w:val="1"/>
      <w:marLeft w:val="0"/>
      <w:marRight w:val="0"/>
      <w:marTop w:val="0"/>
      <w:marBottom w:val="0"/>
      <w:divBdr>
        <w:top w:val="none" w:sz="0" w:space="0" w:color="auto"/>
        <w:left w:val="none" w:sz="0" w:space="0" w:color="auto"/>
        <w:bottom w:val="none" w:sz="0" w:space="0" w:color="auto"/>
        <w:right w:val="none" w:sz="0" w:space="0" w:color="auto"/>
      </w:divBdr>
      <w:divsChild>
        <w:div w:id="507059738">
          <w:marLeft w:val="0"/>
          <w:marRight w:val="0"/>
          <w:marTop w:val="0"/>
          <w:marBottom w:val="0"/>
          <w:divBdr>
            <w:top w:val="none" w:sz="0" w:space="0" w:color="auto"/>
            <w:left w:val="none" w:sz="0" w:space="0" w:color="auto"/>
            <w:bottom w:val="none" w:sz="0" w:space="0" w:color="auto"/>
            <w:right w:val="none" w:sz="0" w:space="0" w:color="auto"/>
          </w:divBdr>
        </w:div>
      </w:divsChild>
    </w:div>
    <w:div w:id="1455248394">
      <w:bodyDiv w:val="1"/>
      <w:marLeft w:val="0"/>
      <w:marRight w:val="0"/>
      <w:marTop w:val="0"/>
      <w:marBottom w:val="0"/>
      <w:divBdr>
        <w:top w:val="none" w:sz="0" w:space="0" w:color="auto"/>
        <w:left w:val="none" w:sz="0" w:space="0" w:color="auto"/>
        <w:bottom w:val="none" w:sz="0" w:space="0" w:color="auto"/>
        <w:right w:val="none" w:sz="0" w:space="0" w:color="auto"/>
      </w:divBdr>
      <w:divsChild>
        <w:div w:id="815799004">
          <w:marLeft w:val="0"/>
          <w:marRight w:val="0"/>
          <w:marTop w:val="120"/>
          <w:marBottom w:val="0"/>
          <w:divBdr>
            <w:top w:val="none" w:sz="0" w:space="0" w:color="auto"/>
            <w:left w:val="none" w:sz="0" w:space="0" w:color="auto"/>
            <w:bottom w:val="none" w:sz="0" w:space="0" w:color="auto"/>
            <w:right w:val="none" w:sz="0" w:space="0" w:color="auto"/>
          </w:divBdr>
        </w:div>
        <w:div w:id="1971279463">
          <w:marLeft w:val="0"/>
          <w:marRight w:val="0"/>
          <w:marTop w:val="0"/>
          <w:marBottom w:val="0"/>
          <w:divBdr>
            <w:top w:val="none" w:sz="0" w:space="0" w:color="auto"/>
            <w:left w:val="none" w:sz="0" w:space="0" w:color="auto"/>
            <w:bottom w:val="none" w:sz="0" w:space="0" w:color="auto"/>
            <w:right w:val="none" w:sz="0" w:space="0" w:color="auto"/>
          </w:divBdr>
        </w:div>
      </w:divsChild>
    </w:div>
    <w:div w:id="1464926853">
      <w:bodyDiv w:val="1"/>
      <w:marLeft w:val="0"/>
      <w:marRight w:val="0"/>
      <w:marTop w:val="0"/>
      <w:marBottom w:val="0"/>
      <w:divBdr>
        <w:top w:val="none" w:sz="0" w:space="0" w:color="auto"/>
        <w:left w:val="none" w:sz="0" w:space="0" w:color="auto"/>
        <w:bottom w:val="none" w:sz="0" w:space="0" w:color="auto"/>
        <w:right w:val="none" w:sz="0" w:space="0" w:color="auto"/>
      </w:divBdr>
      <w:divsChild>
        <w:div w:id="1124158785">
          <w:marLeft w:val="0"/>
          <w:marRight w:val="0"/>
          <w:marTop w:val="0"/>
          <w:marBottom w:val="0"/>
          <w:divBdr>
            <w:top w:val="none" w:sz="0" w:space="0" w:color="auto"/>
            <w:left w:val="none" w:sz="0" w:space="0" w:color="auto"/>
            <w:bottom w:val="none" w:sz="0" w:space="0" w:color="auto"/>
            <w:right w:val="none" w:sz="0" w:space="0" w:color="auto"/>
          </w:divBdr>
        </w:div>
      </w:divsChild>
    </w:div>
    <w:div w:id="1468475962">
      <w:bodyDiv w:val="1"/>
      <w:marLeft w:val="0"/>
      <w:marRight w:val="0"/>
      <w:marTop w:val="0"/>
      <w:marBottom w:val="0"/>
      <w:divBdr>
        <w:top w:val="none" w:sz="0" w:space="0" w:color="auto"/>
        <w:left w:val="none" w:sz="0" w:space="0" w:color="auto"/>
        <w:bottom w:val="none" w:sz="0" w:space="0" w:color="auto"/>
        <w:right w:val="none" w:sz="0" w:space="0" w:color="auto"/>
      </w:divBdr>
      <w:divsChild>
        <w:div w:id="340402734">
          <w:marLeft w:val="0"/>
          <w:marRight w:val="0"/>
          <w:marTop w:val="0"/>
          <w:marBottom w:val="0"/>
          <w:divBdr>
            <w:top w:val="none" w:sz="0" w:space="0" w:color="auto"/>
            <w:left w:val="none" w:sz="0" w:space="0" w:color="auto"/>
            <w:bottom w:val="none" w:sz="0" w:space="0" w:color="auto"/>
            <w:right w:val="none" w:sz="0" w:space="0" w:color="auto"/>
          </w:divBdr>
        </w:div>
      </w:divsChild>
    </w:div>
    <w:div w:id="1469587913">
      <w:bodyDiv w:val="1"/>
      <w:marLeft w:val="0"/>
      <w:marRight w:val="0"/>
      <w:marTop w:val="0"/>
      <w:marBottom w:val="0"/>
      <w:divBdr>
        <w:top w:val="none" w:sz="0" w:space="0" w:color="auto"/>
        <w:left w:val="none" w:sz="0" w:space="0" w:color="auto"/>
        <w:bottom w:val="none" w:sz="0" w:space="0" w:color="auto"/>
        <w:right w:val="none" w:sz="0" w:space="0" w:color="auto"/>
      </w:divBdr>
    </w:div>
    <w:div w:id="1478111832">
      <w:bodyDiv w:val="1"/>
      <w:marLeft w:val="0"/>
      <w:marRight w:val="0"/>
      <w:marTop w:val="0"/>
      <w:marBottom w:val="0"/>
      <w:divBdr>
        <w:top w:val="none" w:sz="0" w:space="0" w:color="auto"/>
        <w:left w:val="none" w:sz="0" w:space="0" w:color="auto"/>
        <w:bottom w:val="none" w:sz="0" w:space="0" w:color="auto"/>
        <w:right w:val="none" w:sz="0" w:space="0" w:color="auto"/>
      </w:divBdr>
      <w:divsChild>
        <w:div w:id="993920856">
          <w:marLeft w:val="0"/>
          <w:marRight w:val="0"/>
          <w:marTop w:val="0"/>
          <w:marBottom w:val="0"/>
          <w:divBdr>
            <w:top w:val="none" w:sz="0" w:space="0" w:color="auto"/>
            <w:left w:val="none" w:sz="0" w:space="0" w:color="auto"/>
            <w:bottom w:val="none" w:sz="0" w:space="0" w:color="auto"/>
            <w:right w:val="none" w:sz="0" w:space="0" w:color="auto"/>
          </w:divBdr>
          <w:divsChild>
            <w:div w:id="553809970">
              <w:marLeft w:val="0"/>
              <w:marRight w:val="0"/>
              <w:marTop w:val="0"/>
              <w:marBottom w:val="0"/>
              <w:divBdr>
                <w:top w:val="none" w:sz="0" w:space="0" w:color="auto"/>
                <w:left w:val="none" w:sz="0" w:space="0" w:color="auto"/>
                <w:bottom w:val="none" w:sz="0" w:space="0" w:color="auto"/>
                <w:right w:val="none" w:sz="0" w:space="0" w:color="auto"/>
              </w:divBdr>
              <w:divsChild>
                <w:div w:id="1068920432">
                  <w:marLeft w:val="0"/>
                  <w:marRight w:val="0"/>
                  <w:marTop w:val="120"/>
                  <w:marBottom w:val="0"/>
                  <w:divBdr>
                    <w:top w:val="none" w:sz="0" w:space="0" w:color="auto"/>
                    <w:left w:val="none" w:sz="0" w:space="0" w:color="auto"/>
                    <w:bottom w:val="none" w:sz="0" w:space="0" w:color="auto"/>
                    <w:right w:val="none" w:sz="0" w:space="0" w:color="auto"/>
                  </w:divBdr>
                </w:div>
                <w:div w:id="1982886137">
                  <w:marLeft w:val="0"/>
                  <w:marRight w:val="0"/>
                  <w:marTop w:val="0"/>
                  <w:marBottom w:val="0"/>
                  <w:divBdr>
                    <w:top w:val="none" w:sz="0" w:space="0" w:color="auto"/>
                    <w:left w:val="none" w:sz="0" w:space="0" w:color="auto"/>
                    <w:bottom w:val="none" w:sz="0" w:space="0" w:color="auto"/>
                    <w:right w:val="none" w:sz="0" w:space="0" w:color="auto"/>
                  </w:divBdr>
                </w:div>
              </w:divsChild>
            </w:div>
            <w:div w:id="1350713453">
              <w:marLeft w:val="0"/>
              <w:marRight w:val="0"/>
              <w:marTop w:val="0"/>
              <w:marBottom w:val="0"/>
              <w:divBdr>
                <w:top w:val="none" w:sz="0" w:space="0" w:color="auto"/>
                <w:left w:val="none" w:sz="0" w:space="0" w:color="auto"/>
                <w:bottom w:val="none" w:sz="0" w:space="0" w:color="auto"/>
                <w:right w:val="none" w:sz="0" w:space="0" w:color="auto"/>
              </w:divBdr>
              <w:divsChild>
                <w:div w:id="850217434">
                  <w:marLeft w:val="0"/>
                  <w:marRight w:val="0"/>
                  <w:marTop w:val="120"/>
                  <w:marBottom w:val="0"/>
                  <w:divBdr>
                    <w:top w:val="none" w:sz="0" w:space="0" w:color="auto"/>
                    <w:left w:val="none" w:sz="0" w:space="0" w:color="auto"/>
                    <w:bottom w:val="none" w:sz="0" w:space="0" w:color="auto"/>
                    <w:right w:val="none" w:sz="0" w:space="0" w:color="auto"/>
                  </w:divBdr>
                </w:div>
                <w:div w:id="10297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256836">
      <w:bodyDiv w:val="1"/>
      <w:marLeft w:val="0"/>
      <w:marRight w:val="0"/>
      <w:marTop w:val="0"/>
      <w:marBottom w:val="0"/>
      <w:divBdr>
        <w:top w:val="none" w:sz="0" w:space="0" w:color="auto"/>
        <w:left w:val="none" w:sz="0" w:space="0" w:color="auto"/>
        <w:bottom w:val="none" w:sz="0" w:space="0" w:color="auto"/>
        <w:right w:val="none" w:sz="0" w:space="0" w:color="auto"/>
      </w:divBdr>
      <w:divsChild>
        <w:div w:id="652755761">
          <w:marLeft w:val="0"/>
          <w:marRight w:val="0"/>
          <w:marTop w:val="0"/>
          <w:marBottom w:val="0"/>
          <w:divBdr>
            <w:top w:val="none" w:sz="0" w:space="0" w:color="auto"/>
            <w:left w:val="none" w:sz="0" w:space="0" w:color="auto"/>
            <w:bottom w:val="none" w:sz="0" w:space="0" w:color="auto"/>
            <w:right w:val="none" w:sz="0" w:space="0" w:color="auto"/>
          </w:divBdr>
          <w:divsChild>
            <w:div w:id="213544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75744">
      <w:bodyDiv w:val="1"/>
      <w:marLeft w:val="0"/>
      <w:marRight w:val="0"/>
      <w:marTop w:val="0"/>
      <w:marBottom w:val="0"/>
      <w:divBdr>
        <w:top w:val="none" w:sz="0" w:space="0" w:color="auto"/>
        <w:left w:val="none" w:sz="0" w:space="0" w:color="auto"/>
        <w:bottom w:val="none" w:sz="0" w:space="0" w:color="auto"/>
        <w:right w:val="none" w:sz="0" w:space="0" w:color="auto"/>
      </w:divBdr>
      <w:divsChild>
        <w:div w:id="1121724361">
          <w:marLeft w:val="0"/>
          <w:marRight w:val="0"/>
          <w:marTop w:val="0"/>
          <w:marBottom w:val="0"/>
          <w:divBdr>
            <w:top w:val="none" w:sz="0" w:space="0" w:color="auto"/>
            <w:left w:val="none" w:sz="0" w:space="0" w:color="auto"/>
            <w:bottom w:val="none" w:sz="0" w:space="0" w:color="auto"/>
            <w:right w:val="none" w:sz="0" w:space="0" w:color="auto"/>
          </w:divBdr>
        </w:div>
      </w:divsChild>
    </w:div>
    <w:div w:id="1485272414">
      <w:bodyDiv w:val="1"/>
      <w:marLeft w:val="0"/>
      <w:marRight w:val="0"/>
      <w:marTop w:val="0"/>
      <w:marBottom w:val="0"/>
      <w:divBdr>
        <w:top w:val="none" w:sz="0" w:space="0" w:color="auto"/>
        <w:left w:val="none" w:sz="0" w:space="0" w:color="auto"/>
        <w:bottom w:val="none" w:sz="0" w:space="0" w:color="auto"/>
        <w:right w:val="none" w:sz="0" w:space="0" w:color="auto"/>
      </w:divBdr>
      <w:divsChild>
        <w:div w:id="1659502819">
          <w:marLeft w:val="0"/>
          <w:marRight w:val="0"/>
          <w:marTop w:val="120"/>
          <w:marBottom w:val="0"/>
          <w:divBdr>
            <w:top w:val="none" w:sz="0" w:space="0" w:color="auto"/>
            <w:left w:val="none" w:sz="0" w:space="0" w:color="auto"/>
            <w:bottom w:val="none" w:sz="0" w:space="0" w:color="auto"/>
            <w:right w:val="none" w:sz="0" w:space="0" w:color="auto"/>
          </w:divBdr>
        </w:div>
        <w:div w:id="356781252">
          <w:marLeft w:val="0"/>
          <w:marRight w:val="0"/>
          <w:marTop w:val="0"/>
          <w:marBottom w:val="0"/>
          <w:divBdr>
            <w:top w:val="none" w:sz="0" w:space="0" w:color="auto"/>
            <w:left w:val="none" w:sz="0" w:space="0" w:color="auto"/>
            <w:bottom w:val="none" w:sz="0" w:space="0" w:color="auto"/>
            <w:right w:val="none" w:sz="0" w:space="0" w:color="auto"/>
          </w:divBdr>
        </w:div>
      </w:divsChild>
    </w:div>
    <w:div w:id="1487671856">
      <w:bodyDiv w:val="1"/>
      <w:marLeft w:val="0"/>
      <w:marRight w:val="0"/>
      <w:marTop w:val="0"/>
      <w:marBottom w:val="0"/>
      <w:divBdr>
        <w:top w:val="none" w:sz="0" w:space="0" w:color="auto"/>
        <w:left w:val="none" w:sz="0" w:space="0" w:color="auto"/>
        <w:bottom w:val="none" w:sz="0" w:space="0" w:color="auto"/>
        <w:right w:val="none" w:sz="0" w:space="0" w:color="auto"/>
      </w:divBdr>
      <w:divsChild>
        <w:div w:id="1216817577">
          <w:marLeft w:val="0"/>
          <w:marRight w:val="0"/>
          <w:marTop w:val="0"/>
          <w:marBottom w:val="0"/>
          <w:divBdr>
            <w:top w:val="none" w:sz="0" w:space="0" w:color="auto"/>
            <w:left w:val="none" w:sz="0" w:space="0" w:color="auto"/>
            <w:bottom w:val="none" w:sz="0" w:space="0" w:color="auto"/>
            <w:right w:val="none" w:sz="0" w:space="0" w:color="auto"/>
          </w:divBdr>
        </w:div>
      </w:divsChild>
    </w:div>
    <w:div w:id="1495295931">
      <w:bodyDiv w:val="1"/>
      <w:marLeft w:val="0"/>
      <w:marRight w:val="0"/>
      <w:marTop w:val="0"/>
      <w:marBottom w:val="0"/>
      <w:divBdr>
        <w:top w:val="none" w:sz="0" w:space="0" w:color="auto"/>
        <w:left w:val="none" w:sz="0" w:space="0" w:color="auto"/>
        <w:bottom w:val="none" w:sz="0" w:space="0" w:color="auto"/>
        <w:right w:val="none" w:sz="0" w:space="0" w:color="auto"/>
      </w:divBdr>
      <w:divsChild>
        <w:div w:id="1042706705">
          <w:marLeft w:val="0"/>
          <w:marRight w:val="0"/>
          <w:marTop w:val="0"/>
          <w:marBottom w:val="0"/>
          <w:divBdr>
            <w:top w:val="none" w:sz="0" w:space="0" w:color="auto"/>
            <w:left w:val="none" w:sz="0" w:space="0" w:color="auto"/>
            <w:bottom w:val="none" w:sz="0" w:space="0" w:color="auto"/>
            <w:right w:val="none" w:sz="0" w:space="0" w:color="auto"/>
          </w:divBdr>
          <w:divsChild>
            <w:div w:id="1519351801">
              <w:marLeft w:val="0"/>
              <w:marRight w:val="0"/>
              <w:marTop w:val="0"/>
              <w:marBottom w:val="0"/>
              <w:divBdr>
                <w:top w:val="none" w:sz="0" w:space="0" w:color="auto"/>
                <w:left w:val="none" w:sz="0" w:space="0" w:color="auto"/>
                <w:bottom w:val="none" w:sz="0" w:space="0" w:color="auto"/>
                <w:right w:val="none" w:sz="0" w:space="0" w:color="auto"/>
              </w:divBdr>
              <w:divsChild>
                <w:div w:id="1605574544">
                  <w:marLeft w:val="0"/>
                  <w:marRight w:val="0"/>
                  <w:marTop w:val="0"/>
                  <w:marBottom w:val="0"/>
                  <w:divBdr>
                    <w:top w:val="none" w:sz="0" w:space="0" w:color="auto"/>
                    <w:left w:val="none" w:sz="0" w:space="0" w:color="auto"/>
                    <w:bottom w:val="none" w:sz="0" w:space="0" w:color="auto"/>
                    <w:right w:val="none" w:sz="0" w:space="0" w:color="auto"/>
                  </w:divBdr>
                  <w:divsChild>
                    <w:div w:id="1306857314">
                      <w:marLeft w:val="0"/>
                      <w:marRight w:val="0"/>
                      <w:marTop w:val="0"/>
                      <w:marBottom w:val="0"/>
                      <w:divBdr>
                        <w:top w:val="none" w:sz="0" w:space="0" w:color="auto"/>
                        <w:left w:val="none" w:sz="0" w:space="0" w:color="auto"/>
                        <w:bottom w:val="none" w:sz="0" w:space="0" w:color="auto"/>
                        <w:right w:val="none" w:sz="0" w:space="0" w:color="auto"/>
                      </w:divBdr>
                      <w:divsChild>
                        <w:div w:id="1493251531">
                          <w:marLeft w:val="0"/>
                          <w:marRight w:val="0"/>
                          <w:marTop w:val="120"/>
                          <w:marBottom w:val="0"/>
                          <w:divBdr>
                            <w:top w:val="none" w:sz="0" w:space="0" w:color="auto"/>
                            <w:left w:val="none" w:sz="0" w:space="0" w:color="auto"/>
                            <w:bottom w:val="none" w:sz="0" w:space="0" w:color="auto"/>
                            <w:right w:val="none" w:sz="0" w:space="0" w:color="auto"/>
                          </w:divBdr>
                        </w:div>
                        <w:div w:id="1294751051">
                          <w:marLeft w:val="0"/>
                          <w:marRight w:val="0"/>
                          <w:marTop w:val="0"/>
                          <w:marBottom w:val="0"/>
                          <w:divBdr>
                            <w:top w:val="none" w:sz="0" w:space="0" w:color="auto"/>
                            <w:left w:val="none" w:sz="0" w:space="0" w:color="auto"/>
                            <w:bottom w:val="none" w:sz="0" w:space="0" w:color="auto"/>
                            <w:right w:val="none" w:sz="0" w:space="0" w:color="auto"/>
                          </w:divBdr>
                        </w:div>
                      </w:divsChild>
                    </w:div>
                    <w:div w:id="25834121">
                      <w:marLeft w:val="0"/>
                      <w:marRight w:val="0"/>
                      <w:marTop w:val="0"/>
                      <w:marBottom w:val="0"/>
                      <w:divBdr>
                        <w:top w:val="none" w:sz="0" w:space="0" w:color="auto"/>
                        <w:left w:val="none" w:sz="0" w:space="0" w:color="auto"/>
                        <w:bottom w:val="none" w:sz="0" w:space="0" w:color="auto"/>
                        <w:right w:val="none" w:sz="0" w:space="0" w:color="auto"/>
                      </w:divBdr>
                      <w:divsChild>
                        <w:div w:id="1062405680">
                          <w:marLeft w:val="0"/>
                          <w:marRight w:val="0"/>
                          <w:marTop w:val="120"/>
                          <w:marBottom w:val="0"/>
                          <w:divBdr>
                            <w:top w:val="none" w:sz="0" w:space="0" w:color="auto"/>
                            <w:left w:val="none" w:sz="0" w:space="0" w:color="auto"/>
                            <w:bottom w:val="none" w:sz="0" w:space="0" w:color="auto"/>
                            <w:right w:val="none" w:sz="0" w:space="0" w:color="auto"/>
                          </w:divBdr>
                        </w:div>
                        <w:div w:id="1448624810">
                          <w:marLeft w:val="0"/>
                          <w:marRight w:val="0"/>
                          <w:marTop w:val="0"/>
                          <w:marBottom w:val="0"/>
                          <w:divBdr>
                            <w:top w:val="none" w:sz="0" w:space="0" w:color="auto"/>
                            <w:left w:val="none" w:sz="0" w:space="0" w:color="auto"/>
                            <w:bottom w:val="none" w:sz="0" w:space="0" w:color="auto"/>
                            <w:right w:val="none" w:sz="0" w:space="0" w:color="auto"/>
                          </w:divBdr>
                        </w:div>
                      </w:divsChild>
                    </w:div>
                    <w:div w:id="1471702689">
                      <w:marLeft w:val="0"/>
                      <w:marRight w:val="0"/>
                      <w:marTop w:val="0"/>
                      <w:marBottom w:val="0"/>
                      <w:divBdr>
                        <w:top w:val="none" w:sz="0" w:space="0" w:color="auto"/>
                        <w:left w:val="none" w:sz="0" w:space="0" w:color="auto"/>
                        <w:bottom w:val="none" w:sz="0" w:space="0" w:color="auto"/>
                        <w:right w:val="none" w:sz="0" w:space="0" w:color="auto"/>
                      </w:divBdr>
                      <w:divsChild>
                        <w:div w:id="1297299629">
                          <w:marLeft w:val="0"/>
                          <w:marRight w:val="0"/>
                          <w:marTop w:val="120"/>
                          <w:marBottom w:val="0"/>
                          <w:divBdr>
                            <w:top w:val="none" w:sz="0" w:space="0" w:color="auto"/>
                            <w:left w:val="none" w:sz="0" w:space="0" w:color="auto"/>
                            <w:bottom w:val="none" w:sz="0" w:space="0" w:color="auto"/>
                            <w:right w:val="none" w:sz="0" w:space="0" w:color="auto"/>
                          </w:divBdr>
                        </w:div>
                        <w:div w:id="1701279051">
                          <w:marLeft w:val="0"/>
                          <w:marRight w:val="0"/>
                          <w:marTop w:val="0"/>
                          <w:marBottom w:val="0"/>
                          <w:divBdr>
                            <w:top w:val="none" w:sz="0" w:space="0" w:color="auto"/>
                            <w:left w:val="none" w:sz="0" w:space="0" w:color="auto"/>
                            <w:bottom w:val="none" w:sz="0" w:space="0" w:color="auto"/>
                            <w:right w:val="none" w:sz="0" w:space="0" w:color="auto"/>
                          </w:divBdr>
                        </w:div>
                      </w:divsChild>
                    </w:div>
                    <w:div w:id="2081906939">
                      <w:marLeft w:val="0"/>
                      <w:marRight w:val="0"/>
                      <w:marTop w:val="0"/>
                      <w:marBottom w:val="0"/>
                      <w:divBdr>
                        <w:top w:val="none" w:sz="0" w:space="0" w:color="auto"/>
                        <w:left w:val="none" w:sz="0" w:space="0" w:color="auto"/>
                        <w:bottom w:val="none" w:sz="0" w:space="0" w:color="auto"/>
                        <w:right w:val="none" w:sz="0" w:space="0" w:color="auto"/>
                      </w:divBdr>
                      <w:divsChild>
                        <w:div w:id="1364213284">
                          <w:marLeft w:val="0"/>
                          <w:marRight w:val="0"/>
                          <w:marTop w:val="120"/>
                          <w:marBottom w:val="0"/>
                          <w:divBdr>
                            <w:top w:val="none" w:sz="0" w:space="0" w:color="auto"/>
                            <w:left w:val="none" w:sz="0" w:space="0" w:color="auto"/>
                            <w:bottom w:val="none" w:sz="0" w:space="0" w:color="auto"/>
                            <w:right w:val="none" w:sz="0" w:space="0" w:color="auto"/>
                          </w:divBdr>
                        </w:div>
                        <w:div w:id="386950961">
                          <w:marLeft w:val="0"/>
                          <w:marRight w:val="0"/>
                          <w:marTop w:val="0"/>
                          <w:marBottom w:val="0"/>
                          <w:divBdr>
                            <w:top w:val="none" w:sz="0" w:space="0" w:color="auto"/>
                            <w:left w:val="none" w:sz="0" w:space="0" w:color="auto"/>
                            <w:bottom w:val="none" w:sz="0" w:space="0" w:color="auto"/>
                            <w:right w:val="none" w:sz="0" w:space="0" w:color="auto"/>
                          </w:divBdr>
                        </w:div>
                      </w:divsChild>
                    </w:div>
                    <w:div w:id="709065634">
                      <w:marLeft w:val="0"/>
                      <w:marRight w:val="0"/>
                      <w:marTop w:val="0"/>
                      <w:marBottom w:val="0"/>
                      <w:divBdr>
                        <w:top w:val="none" w:sz="0" w:space="0" w:color="auto"/>
                        <w:left w:val="none" w:sz="0" w:space="0" w:color="auto"/>
                        <w:bottom w:val="none" w:sz="0" w:space="0" w:color="auto"/>
                        <w:right w:val="none" w:sz="0" w:space="0" w:color="auto"/>
                      </w:divBdr>
                      <w:divsChild>
                        <w:div w:id="463160069">
                          <w:marLeft w:val="0"/>
                          <w:marRight w:val="0"/>
                          <w:marTop w:val="120"/>
                          <w:marBottom w:val="0"/>
                          <w:divBdr>
                            <w:top w:val="none" w:sz="0" w:space="0" w:color="auto"/>
                            <w:left w:val="none" w:sz="0" w:space="0" w:color="auto"/>
                            <w:bottom w:val="none" w:sz="0" w:space="0" w:color="auto"/>
                            <w:right w:val="none" w:sz="0" w:space="0" w:color="auto"/>
                          </w:divBdr>
                        </w:div>
                        <w:div w:id="804086178">
                          <w:marLeft w:val="0"/>
                          <w:marRight w:val="0"/>
                          <w:marTop w:val="0"/>
                          <w:marBottom w:val="0"/>
                          <w:divBdr>
                            <w:top w:val="none" w:sz="0" w:space="0" w:color="auto"/>
                            <w:left w:val="none" w:sz="0" w:space="0" w:color="auto"/>
                            <w:bottom w:val="none" w:sz="0" w:space="0" w:color="auto"/>
                            <w:right w:val="none" w:sz="0" w:space="0" w:color="auto"/>
                          </w:divBdr>
                        </w:div>
                      </w:divsChild>
                    </w:div>
                    <w:div w:id="2062172465">
                      <w:marLeft w:val="0"/>
                      <w:marRight w:val="0"/>
                      <w:marTop w:val="0"/>
                      <w:marBottom w:val="0"/>
                      <w:divBdr>
                        <w:top w:val="none" w:sz="0" w:space="0" w:color="auto"/>
                        <w:left w:val="none" w:sz="0" w:space="0" w:color="auto"/>
                        <w:bottom w:val="none" w:sz="0" w:space="0" w:color="auto"/>
                        <w:right w:val="none" w:sz="0" w:space="0" w:color="auto"/>
                      </w:divBdr>
                      <w:divsChild>
                        <w:div w:id="449471266">
                          <w:marLeft w:val="0"/>
                          <w:marRight w:val="0"/>
                          <w:marTop w:val="120"/>
                          <w:marBottom w:val="0"/>
                          <w:divBdr>
                            <w:top w:val="none" w:sz="0" w:space="0" w:color="auto"/>
                            <w:left w:val="none" w:sz="0" w:space="0" w:color="auto"/>
                            <w:bottom w:val="none" w:sz="0" w:space="0" w:color="auto"/>
                            <w:right w:val="none" w:sz="0" w:space="0" w:color="auto"/>
                          </w:divBdr>
                        </w:div>
                        <w:div w:id="626207403">
                          <w:marLeft w:val="0"/>
                          <w:marRight w:val="0"/>
                          <w:marTop w:val="0"/>
                          <w:marBottom w:val="0"/>
                          <w:divBdr>
                            <w:top w:val="none" w:sz="0" w:space="0" w:color="auto"/>
                            <w:left w:val="none" w:sz="0" w:space="0" w:color="auto"/>
                            <w:bottom w:val="none" w:sz="0" w:space="0" w:color="auto"/>
                            <w:right w:val="none" w:sz="0" w:space="0" w:color="auto"/>
                          </w:divBdr>
                        </w:div>
                      </w:divsChild>
                    </w:div>
                    <w:div w:id="1433282009">
                      <w:marLeft w:val="0"/>
                      <w:marRight w:val="0"/>
                      <w:marTop w:val="0"/>
                      <w:marBottom w:val="0"/>
                      <w:divBdr>
                        <w:top w:val="none" w:sz="0" w:space="0" w:color="auto"/>
                        <w:left w:val="none" w:sz="0" w:space="0" w:color="auto"/>
                        <w:bottom w:val="none" w:sz="0" w:space="0" w:color="auto"/>
                        <w:right w:val="none" w:sz="0" w:space="0" w:color="auto"/>
                      </w:divBdr>
                      <w:divsChild>
                        <w:div w:id="3871614">
                          <w:marLeft w:val="0"/>
                          <w:marRight w:val="0"/>
                          <w:marTop w:val="120"/>
                          <w:marBottom w:val="0"/>
                          <w:divBdr>
                            <w:top w:val="none" w:sz="0" w:space="0" w:color="auto"/>
                            <w:left w:val="none" w:sz="0" w:space="0" w:color="auto"/>
                            <w:bottom w:val="none" w:sz="0" w:space="0" w:color="auto"/>
                            <w:right w:val="none" w:sz="0" w:space="0" w:color="auto"/>
                          </w:divBdr>
                        </w:div>
                        <w:div w:id="1277785235">
                          <w:marLeft w:val="0"/>
                          <w:marRight w:val="0"/>
                          <w:marTop w:val="0"/>
                          <w:marBottom w:val="0"/>
                          <w:divBdr>
                            <w:top w:val="none" w:sz="0" w:space="0" w:color="auto"/>
                            <w:left w:val="none" w:sz="0" w:space="0" w:color="auto"/>
                            <w:bottom w:val="none" w:sz="0" w:space="0" w:color="auto"/>
                            <w:right w:val="none" w:sz="0" w:space="0" w:color="auto"/>
                          </w:divBdr>
                        </w:div>
                      </w:divsChild>
                    </w:div>
                    <w:div w:id="1516652841">
                      <w:marLeft w:val="0"/>
                      <w:marRight w:val="0"/>
                      <w:marTop w:val="0"/>
                      <w:marBottom w:val="0"/>
                      <w:divBdr>
                        <w:top w:val="none" w:sz="0" w:space="0" w:color="auto"/>
                        <w:left w:val="none" w:sz="0" w:space="0" w:color="auto"/>
                        <w:bottom w:val="none" w:sz="0" w:space="0" w:color="auto"/>
                        <w:right w:val="none" w:sz="0" w:space="0" w:color="auto"/>
                      </w:divBdr>
                      <w:divsChild>
                        <w:div w:id="2082942434">
                          <w:marLeft w:val="0"/>
                          <w:marRight w:val="0"/>
                          <w:marTop w:val="120"/>
                          <w:marBottom w:val="0"/>
                          <w:divBdr>
                            <w:top w:val="none" w:sz="0" w:space="0" w:color="auto"/>
                            <w:left w:val="none" w:sz="0" w:space="0" w:color="auto"/>
                            <w:bottom w:val="none" w:sz="0" w:space="0" w:color="auto"/>
                            <w:right w:val="none" w:sz="0" w:space="0" w:color="auto"/>
                          </w:divBdr>
                        </w:div>
                        <w:div w:id="1053654948">
                          <w:marLeft w:val="0"/>
                          <w:marRight w:val="0"/>
                          <w:marTop w:val="0"/>
                          <w:marBottom w:val="0"/>
                          <w:divBdr>
                            <w:top w:val="none" w:sz="0" w:space="0" w:color="auto"/>
                            <w:left w:val="none" w:sz="0" w:space="0" w:color="auto"/>
                            <w:bottom w:val="none" w:sz="0" w:space="0" w:color="auto"/>
                            <w:right w:val="none" w:sz="0" w:space="0" w:color="auto"/>
                          </w:divBdr>
                        </w:div>
                      </w:divsChild>
                    </w:div>
                    <w:div w:id="766735114">
                      <w:marLeft w:val="0"/>
                      <w:marRight w:val="0"/>
                      <w:marTop w:val="0"/>
                      <w:marBottom w:val="0"/>
                      <w:divBdr>
                        <w:top w:val="none" w:sz="0" w:space="0" w:color="auto"/>
                        <w:left w:val="none" w:sz="0" w:space="0" w:color="auto"/>
                        <w:bottom w:val="none" w:sz="0" w:space="0" w:color="auto"/>
                        <w:right w:val="none" w:sz="0" w:space="0" w:color="auto"/>
                      </w:divBdr>
                      <w:divsChild>
                        <w:div w:id="1128816599">
                          <w:marLeft w:val="0"/>
                          <w:marRight w:val="0"/>
                          <w:marTop w:val="120"/>
                          <w:marBottom w:val="0"/>
                          <w:divBdr>
                            <w:top w:val="none" w:sz="0" w:space="0" w:color="auto"/>
                            <w:left w:val="none" w:sz="0" w:space="0" w:color="auto"/>
                            <w:bottom w:val="none" w:sz="0" w:space="0" w:color="auto"/>
                            <w:right w:val="none" w:sz="0" w:space="0" w:color="auto"/>
                          </w:divBdr>
                        </w:div>
                        <w:div w:id="1386680766">
                          <w:marLeft w:val="0"/>
                          <w:marRight w:val="0"/>
                          <w:marTop w:val="0"/>
                          <w:marBottom w:val="0"/>
                          <w:divBdr>
                            <w:top w:val="none" w:sz="0" w:space="0" w:color="auto"/>
                            <w:left w:val="none" w:sz="0" w:space="0" w:color="auto"/>
                            <w:bottom w:val="none" w:sz="0" w:space="0" w:color="auto"/>
                            <w:right w:val="none" w:sz="0" w:space="0" w:color="auto"/>
                          </w:divBdr>
                        </w:div>
                      </w:divsChild>
                    </w:div>
                    <w:div w:id="910191025">
                      <w:marLeft w:val="0"/>
                      <w:marRight w:val="0"/>
                      <w:marTop w:val="0"/>
                      <w:marBottom w:val="0"/>
                      <w:divBdr>
                        <w:top w:val="none" w:sz="0" w:space="0" w:color="auto"/>
                        <w:left w:val="none" w:sz="0" w:space="0" w:color="auto"/>
                        <w:bottom w:val="none" w:sz="0" w:space="0" w:color="auto"/>
                        <w:right w:val="none" w:sz="0" w:space="0" w:color="auto"/>
                      </w:divBdr>
                      <w:divsChild>
                        <w:div w:id="2087218957">
                          <w:marLeft w:val="0"/>
                          <w:marRight w:val="0"/>
                          <w:marTop w:val="120"/>
                          <w:marBottom w:val="0"/>
                          <w:divBdr>
                            <w:top w:val="none" w:sz="0" w:space="0" w:color="auto"/>
                            <w:left w:val="none" w:sz="0" w:space="0" w:color="auto"/>
                            <w:bottom w:val="none" w:sz="0" w:space="0" w:color="auto"/>
                            <w:right w:val="none" w:sz="0" w:space="0" w:color="auto"/>
                          </w:divBdr>
                        </w:div>
                        <w:div w:id="2070490440">
                          <w:marLeft w:val="0"/>
                          <w:marRight w:val="0"/>
                          <w:marTop w:val="0"/>
                          <w:marBottom w:val="0"/>
                          <w:divBdr>
                            <w:top w:val="none" w:sz="0" w:space="0" w:color="auto"/>
                            <w:left w:val="none" w:sz="0" w:space="0" w:color="auto"/>
                            <w:bottom w:val="none" w:sz="0" w:space="0" w:color="auto"/>
                            <w:right w:val="none" w:sz="0" w:space="0" w:color="auto"/>
                          </w:divBdr>
                        </w:div>
                      </w:divsChild>
                    </w:div>
                    <w:div w:id="1333148188">
                      <w:marLeft w:val="0"/>
                      <w:marRight w:val="0"/>
                      <w:marTop w:val="0"/>
                      <w:marBottom w:val="0"/>
                      <w:divBdr>
                        <w:top w:val="none" w:sz="0" w:space="0" w:color="auto"/>
                        <w:left w:val="none" w:sz="0" w:space="0" w:color="auto"/>
                        <w:bottom w:val="none" w:sz="0" w:space="0" w:color="auto"/>
                        <w:right w:val="none" w:sz="0" w:space="0" w:color="auto"/>
                      </w:divBdr>
                      <w:divsChild>
                        <w:div w:id="1709838535">
                          <w:marLeft w:val="0"/>
                          <w:marRight w:val="0"/>
                          <w:marTop w:val="120"/>
                          <w:marBottom w:val="0"/>
                          <w:divBdr>
                            <w:top w:val="none" w:sz="0" w:space="0" w:color="auto"/>
                            <w:left w:val="none" w:sz="0" w:space="0" w:color="auto"/>
                            <w:bottom w:val="none" w:sz="0" w:space="0" w:color="auto"/>
                            <w:right w:val="none" w:sz="0" w:space="0" w:color="auto"/>
                          </w:divBdr>
                        </w:div>
                        <w:div w:id="703410572">
                          <w:marLeft w:val="0"/>
                          <w:marRight w:val="0"/>
                          <w:marTop w:val="0"/>
                          <w:marBottom w:val="0"/>
                          <w:divBdr>
                            <w:top w:val="none" w:sz="0" w:space="0" w:color="auto"/>
                            <w:left w:val="none" w:sz="0" w:space="0" w:color="auto"/>
                            <w:bottom w:val="none" w:sz="0" w:space="0" w:color="auto"/>
                            <w:right w:val="none" w:sz="0" w:space="0" w:color="auto"/>
                          </w:divBdr>
                        </w:div>
                      </w:divsChild>
                    </w:div>
                    <w:div w:id="703561547">
                      <w:marLeft w:val="0"/>
                      <w:marRight w:val="0"/>
                      <w:marTop w:val="0"/>
                      <w:marBottom w:val="0"/>
                      <w:divBdr>
                        <w:top w:val="none" w:sz="0" w:space="0" w:color="auto"/>
                        <w:left w:val="none" w:sz="0" w:space="0" w:color="auto"/>
                        <w:bottom w:val="none" w:sz="0" w:space="0" w:color="auto"/>
                        <w:right w:val="none" w:sz="0" w:space="0" w:color="auto"/>
                      </w:divBdr>
                      <w:divsChild>
                        <w:div w:id="1816607599">
                          <w:marLeft w:val="0"/>
                          <w:marRight w:val="0"/>
                          <w:marTop w:val="120"/>
                          <w:marBottom w:val="0"/>
                          <w:divBdr>
                            <w:top w:val="none" w:sz="0" w:space="0" w:color="auto"/>
                            <w:left w:val="none" w:sz="0" w:space="0" w:color="auto"/>
                            <w:bottom w:val="none" w:sz="0" w:space="0" w:color="auto"/>
                            <w:right w:val="none" w:sz="0" w:space="0" w:color="auto"/>
                          </w:divBdr>
                        </w:div>
                        <w:div w:id="699816534">
                          <w:marLeft w:val="0"/>
                          <w:marRight w:val="0"/>
                          <w:marTop w:val="0"/>
                          <w:marBottom w:val="0"/>
                          <w:divBdr>
                            <w:top w:val="none" w:sz="0" w:space="0" w:color="auto"/>
                            <w:left w:val="none" w:sz="0" w:space="0" w:color="auto"/>
                            <w:bottom w:val="none" w:sz="0" w:space="0" w:color="auto"/>
                            <w:right w:val="none" w:sz="0" w:space="0" w:color="auto"/>
                          </w:divBdr>
                        </w:div>
                      </w:divsChild>
                    </w:div>
                    <w:div w:id="275336542">
                      <w:marLeft w:val="0"/>
                      <w:marRight w:val="0"/>
                      <w:marTop w:val="0"/>
                      <w:marBottom w:val="0"/>
                      <w:divBdr>
                        <w:top w:val="none" w:sz="0" w:space="0" w:color="auto"/>
                        <w:left w:val="none" w:sz="0" w:space="0" w:color="auto"/>
                        <w:bottom w:val="none" w:sz="0" w:space="0" w:color="auto"/>
                        <w:right w:val="none" w:sz="0" w:space="0" w:color="auto"/>
                      </w:divBdr>
                      <w:divsChild>
                        <w:div w:id="46494598">
                          <w:marLeft w:val="0"/>
                          <w:marRight w:val="0"/>
                          <w:marTop w:val="120"/>
                          <w:marBottom w:val="0"/>
                          <w:divBdr>
                            <w:top w:val="none" w:sz="0" w:space="0" w:color="auto"/>
                            <w:left w:val="none" w:sz="0" w:space="0" w:color="auto"/>
                            <w:bottom w:val="none" w:sz="0" w:space="0" w:color="auto"/>
                            <w:right w:val="none" w:sz="0" w:space="0" w:color="auto"/>
                          </w:divBdr>
                        </w:div>
                        <w:div w:id="2097166634">
                          <w:marLeft w:val="0"/>
                          <w:marRight w:val="0"/>
                          <w:marTop w:val="0"/>
                          <w:marBottom w:val="0"/>
                          <w:divBdr>
                            <w:top w:val="none" w:sz="0" w:space="0" w:color="auto"/>
                            <w:left w:val="none" w:sz="0" w:space="0" w:color="auto"/>
                            <w:bottom w:val="none" w:sz="0" w:space="0" w:color="auto"/>
                            <w:right w:val="none" w:sz="0" w:space="0" w:color="auto"/>
                          </w:divBdr>
                        </w:div>
                      </w:divsChild>
                    </w:div>
                    <w:div w:id="499809911">
                      <w:marLeft w:val="0"/>
                      <w:marRight w:val="0"/>
                      <w:marTop w:val="0"/>
                      <w:marBottom w:val="0"/>
                      <w:divBdr>
                        <w:top w:val="none" w:sz="0" w:space="0" w:color="auto"/>
                        <w:left w:val="none" w:sz="0" w:space="0" w:color="auto"/>
                        <w:bottom w:val="none" w:sz="0" w:space="0" w:color="auto"/>
                        <w:right w:val="none" w:sz="0" w:space="0" w:color="auto"/>
                      </w:divBdr>
                      <w:divsChild>
                        <w:div w:id="818888895">
                          <w:marLeft w:val="0"/>
                          <w:marRight w:val="0"/>
                          <w:marTop w:val="120"/>
                          <w:marBottom w:val="0"/>
                          <w:divBdr>
                            <w:top w:val="none" w:sz="0" w:space="0" w:color="auto"/>
                            <w:left w:val="none" w:sz="0" w:space="0" w:color="auto"/>
                            <w:bottom w:val="none" w:sz="0" w:space="0" w:color="auto"/>
                            <w:right w:val="none" w:sz="0" w:space="0" w:color="auto"/>
                          </w:divBdr>
                        </w:div>
                        <w:div w:id="1762527884">
                          <w:marLeft w:val="0"/>
                          <w:marRight w:val="0"/>
                          <w:marTop w:val="0"/>
                          <w:marBottom w:val="0"/>
                          <w:divBdr>
                            <w:top w:val="none" w:sz="0" w:space="0" w:color="auto"/>
                            <w:left w:val="none" w:sz="0" w:space="0" w:color="auto"/>
                            <w:bottom w:val="none" w:sz="0" w:space="0" w:color="auto"/>
                            <w:right w:val="none" w:sz="0" w:space="0" w:color="auto"/>
                          </w:divBdr>
                        </w:div>
                      </w:divsChild>
                    </w:div>
                    <w:div w:id="360858381">
                      <w:marLeft w:val="0"/>
                      <w:marRight w:val="0"/>
                      <w:marTop w:val="0"/>
                      <w:marBottom w:val="0"/>
                      <w:divBdr>
                        <w:top w:val="none" w:sz="0" w:space="0" w:color="auto"/>
                        <w:left w:val="none" w:sz="0" w:space="0" w:color="auto"/>
                        <w:bottom w:val="none" w:sz="0" w:space="0" w:color="auto"/>
                        <w:right w:val="none" w:sz="0" w:space="0" w:color="auto"/>
                      </w:divBdr>
                      <w:divsChild>
                        <w:div w:id="1166358734">
                          <w:marLeft w:val="0"/>
                          <w:marRight w:val="0"/>
                          <w:marTop w:val="120"/>
                          <w:marBottom w:val="0"/>
                          <w:divBdr>
                            <w:top w:val="none" w:sz="0" w:space="0" w:color="auto"/>
                            <w:left w:val="none" w:sz="0" w:space="0" w:color="auto"/>
                            <w:bottom w:val="none" w:sz="0" w:space="0" w:color="auto"/>
                            <w:right w:val="none" w:sz="0" w:space="0" w:color="auto"/>
                          </w:divBdr>
                        </w:div>
                        <w:div w:id="789085950">
                          <w:marLeft w:val="0"/>
                          <w:marRight w:val="0"/>
                          <w:marTop w:val="0"/>
                          <w:marBottom w:val="0"/>
                          <w:divBdr>
                            <w:top w:val="none" w:sz="0" w:space="0" w:color="auto"/>
                            <w:left w:val="none" w:sz="0" w:space="0" w:color="auto"/>
                            <w:bottom w:val="none" w:sz="0" w:space="0" w:color="auto"/>
                            <w:right w:val="none" w:sz="0" w:space="0" w:color="auto"/>
                          </w:divBdr>
                          <w:divsChild>
                            <w:div w:id="1124543796">
                              <w:marLeft w:val="0"/>
                              <w:marRight w:val="0"/>
                              <w:marTop w:val="0"/>
                              <w:marBottom w:val="0"/>
                              <w:divBdr>
                                <w:top w:val="none" w:sz="0" w:space="0" w:color="auto"/>
                                <w:left w:val="none" w:sz="0" w:space="0" w:color="auto"/>
                                <w:bottom w:val="none" w:sz="0" w:space="0" w:color="auto"/>
                                <w:right w:val="none" w:sz="0" w:space="0" w:color="auto"/>
                              </w:divBdr>
                              <w:divsChild>
                                <w:div w:id="1300455422">
                                  <w:marLeft w:val="0"/>
                                  <w:marRight w:val="0"/>
                                  <w:marTop w:val="120"/>
                                  <w:marBottom w:val="0"/>
                                  <w:divBdr>
                                    <w:top w:val="none" w:sz="0" w:space="0" w:color="auto"/>
                                    <w:left w:val="none" w:sz="0" w:space="0" w:color="auto"/>
                                    <w:bottom w:val="none" w:sz="0" w:space="0" w:color="auto"/>
                                    <w:right w:val="none" w:sz="0" w:space="0" w:color="auto"/>
                                  </w:divBdr>
                                </w:div>
                                <w:div w:id="1225798321">
                                  <w:marLeft w:val="0"/>
                                  <w:marRight w:val="0"/>
                                  <w:marTop w:val="0"/>
                                  <w:marBottom w:val="0"/>
                                  <w:divBdr>
                                    <w:top w:val="none" w:sz="0" w:space="0" w:color="auto"/>
                                    <w:left w:val="none" w:sz="0" w:space="0" w:color="auto"/>
                                    <w:bottom w:val="none" w:sz="0" w:space="0" w:color="auto"/>
                                    <w:right w:val="none" w:sz="0" w:space="0" w:color="auto"/>
                                  </w:divBdr>
                                </w:div>
                              </w:divsChild>
                            </w:div>
                            <w:div w:id="1407872623">
                              <w:marLeft w:val="0"/>
                              <w:marRight w:val="0"/>
                              <w:marTop w:val="0"/>
                              <w:marBottom w:val="0"/>
                              <w:divBdr>
                                <w:top w:val="none" w:sz="0" w:space="0" w:color="auto"/>
                                <w:left w:val="none" w:sz="0" w:space="0" w:color="auto"/>
                                <w:bottom w:val="none" w:sz="0" w:space="0" w:color="auto"/>
                                <w:right w:val="none" w:sz="0" w:space="0" w:color="auto"/>
                              </w:divBdr>
                              <w:divsChild>
                                <w:div w:id="1047559986">
                                  <w:marLeft w:val="0"/>
                                  <w:marRight w:val="0"/>
                                  <w:marTop w:val="120"/>
                                  <w:marBottom w:val="0"/>
                                  <w:divBdr>
                                    <w:top w:val="none" w:sz="0" w:space="0" w:color="auto"/>
                                    <w:left w:val="none" w:sz="0" w:space="0" w:color="auto"/>
                                    <w:bottom w:val="none" w:sz="0" w:space="0" w:color="auto"/>
                                    <w:right w:val="none" w:sz="0" w:space="0" w:color="auto"/>
                                  </w:divBdr>
                                </w:div>
                                <w:div w:id="128426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256063">
                      <w:marLeft w:val="0"/>
                      <w:marRight w:val="0"/>
                      <w:marTop w:val="0"/>
                      <w:marBottom w:val="0"/>
                      <w:divBdr>
                        <w:top w:val="none" w:sz="0" w:space="0" w:color="auto"/>
                        <w:left w:val="none" w:sz="0" w:space="0" w:color="auto"/>
                        <w:bottom w:val="none" w:sz="0" w:space="0" w:color="auto"/>
                        <w:right w:val="none" w:sz="0" w:space="0" w:color="auto"/>
                      </w:divBdr>
                      <w:divsChild>
                        <w:div w:id="1892837034">
                          <w:marLeft w:val="0"/>
                          <w:marRight w:val="0"/>
                          <w:marTop w:val="120"/>
                          <w:marBottom w:val="0"/>
                          <w:divBdr>
                            <w:top w:val="none" w:sz="0" w:space="0" w:color="auto"/>
                            <w:left w:val="none" w:sz="0" w:space="0" w:color="auto"/>
                            <w:bottom w:val="none" w:sz="0" w:space="0" w:color="auto"/>
                            <w:right w:val="none" w:sz="0" w:space="0" w:color="auto"/>
                          </w:divBdr>
                        </w:div>
                        <w:div w:id="1020934454">
                          <w:marLeft w:val="0"/>
                          <w:marRight w:val="0"/>
                          <w:marTop w:val="0"/>
                          <w:marBottom w:val="0"/>
                          <w:divBdr>
                            <w:top w:val="none" w:sz="0" w:space="0" w:color="auto"/>
                            <w:left w:val="none" w:sz="0" w:space="0" w:color="auto"/>
                            <w:bottom w:val="none" w:sz="0" w:space="0" w:color="auto"/>
                            <w:right w:val="none" w:sz="0" w:space="0" w:color="auto"/>
                          </w:divBdr>
                        </w:div>
                      </w:divsChild>
                    </w:div>
                    <w:div w:id="455106225">
                      <w:marLeft w:val="0"/>
                      <w:marRight w:val="0"/>
                      <w:marTop w:val="0"/>
                      <w:marBottom w:val="0"/>
                      <w:divBdr>
                        <w:top w:val="none" w:sz="0" w:space="0" w:color="auto"/>
                        <w:left w:val="none" w:sz="0" w:space="0" w:color="auto"/>
                        <w:bottom w:val="none" w:sz="0" w:space="0" w:color="auto"/>
                        <w:right w:val="none" w:sz="0" w:space="0" w:color="auto"/>
                      </w:divBdr>
                      <w:divsChild>
                        <w:div w:id="105199833">
                          <w:marLeft w:val="0"/>
                          <w:marRight w:val="0"/>
                          <w:marTop w:val="120"/>
                          <w:marBottom w:val="0"/>
                          <w:divBdr>
                            <w:top w:val="none" w:sz="0" w:space="0" w:color="auto"/>
                            <w:left w:val="none" w:sz="0" w:space="0" w:color="auto"/>
                            <w:bottom w:val="none" w:sz="0" w:space="0" w:color="auto"/>
                            <w:right w:val="none" w:sz="0" w:space="0" w:color="auto"/>
                          </w:divBdr>
                        </w:div>
                        <w:div w:id="267781144">
                          <w:marLeft w:val="0"/>
                          <w:marRight w:val="0"/>
                          <w:marTop w:val="0"/>
                          <w:marBottom w:val="0"/>
                          <w:divBdr>
                            <w:top w:val="none" w:sz="0" w:space="0" w:color="auto"/>
                            <w:left w:val="none" w:sz="0" w:space="0" w:color="auto"/>
                            <w:bottom w:val="none" w:sz="0" w:space="0" w:color="auto"/>
                            <w:right w:val="none" w:sz="0" w:space="0" w:color="auto"/>
                          </w:divBdr>
                          <w:divsChild>
                            <w:div w:id="1725256685">
                              <w:marLeft w:val="0"/>
                              <w:marRight w:val="0"/>
                              <w:marTop w:val="0"/>
                              <w:marBottom w:val="0"/>
                              <w:divBdr>
                                <w:top w:val="none" w:sz="0" w:space="0" w:color="auto"/>
                                <w:left w:val="none" w:sz="0" w:space="0" w:color="auto"/>
                                <w:bottom w:val="none" w:sz="0" w:space="0" w:color="auto"/>
                                <w:right w:val="none" w:sz="0" w:space="0" w:color="auto"/>
                              </w:divBdr>
                              <w:divsChild>
                                <w:div w:id="1813595587">
                                  <w:marLeft w:val="0"/>
                                  <w:marRight w:val="0"/>
                                  <w:marTop w:val="120"/>
                                  <w:marBottom w:val="0"/>
                                  <w:divBdr>
                                    <w:top w:val="none" w:sz="0" w:space="0" w:color="auto"/>
                                    <w:left w:val="none" w:sz="0" w:space="0" w:color="auto"/>
                                    <w:bottom w:val="none" w:sz="0" w:space="0" w:color="auto"/>
                                    <w:right w:val="none" w:sz="0" w:space="0" w:color="auto"/>
                                  </w:divBdr>
                                </w:div>
                                <w:div w:id="471024037">
                                  <w:marLeft w:val="0"/>
                                  <w:marRight w:val="0"/>
                                  <w:marTop w:val="0"/>
                                  <w:marBottom w:val="0"/>
                                  <w:divBdr>
                                    <w:top w:val="none" w:sz="0" w:space="0" w:color="auto"/>
                                    <w:left w:val="none" w:sz="0" w:space="0" w:color="auto"/>
                                    <w:bottom w:val="none" w:sz="0" w:space="0" w:color="auto"/>
                                    <w:right w:val="none" w:sz="0" w:space="0" w:color="auto"/>
                                  </w:divBdr>
                                  <w:divsChild>
                                    <w:div w:id="318122218">
                                      <w:marLeft w:val="0"/>
                                      <w:marRight w:val="0"/>
                                      <w:marTop w:val="0"/>
                                      <w:marBottom w:val="0"/>
                                      <w:divBdr>
                                        <w:top w:val="none" w:sz="0" w:space="0" w:color="auto"/>
                                        <w:left w:val="none" w:sz="0" w:space="0" w:color="auto"/>
                                        <w:bottom w:val="none" w:sz="0" w:space="0" w:color="auto"/>
                                        <w:right w:val="none" w:sz="0" w:space="0" w:color="auto"/>
                                      </w:divBdr>
                                      <w:divsChild>
                                        <w:div w:id="1884320959">
                                          <w:marLeft w:val="0"/>
                                          <w:marRight w:val="0"/>
                                          <w:marTop w:val="120"/>
                                          <w:marBottom w:val="0"/>
                                          <w:divBdr>
                                            <w:top w:val="none" w:sz="0" w:space="0" w:color="auto"/>
                                            <w:left w:val="none" w:sz="0" w:space="0" w:color="auto"/>
                                            <w:bottom w:val="none" w:sz="0" w:space="0" w:color="auto"/>
                                            <w:right w:val="none" w:sz="0" w:space="0" w:color="auto"/>
                                          </w:divBdr>
                                        </w:div>
                                        <w:div w:id="2095590000">
                                          <w:marLeft w:val="0"/>
                                          <w:marRight w:val="0"/>
                                          <w:marTop w:val="0"/>
                                          <w:marBottom w:val="0"/>
                                          <w:divBdr>
                                            <w:top w:val="none" w:sz="0" w:space="0" w:color="auto"/>
                                            <w:left w:val="none" w:sz="0" w:space="0" w:color="auto"/>
                                            <w:bottom w:val="none" w:sz="0" w:space="0" w:color="auto"/>
                                            <w:right w:val="none" w:sz="0" w:space="0" w:color="auto"/>
                                          </w:divBdr>
                                        </w:div>
                                      </w:divsChild>
                                    </w:div>
                                    <w:div w:id="1473866748">
                                      <w:marLeft w:val="0"/>
                                      <w:marRight w:val="0"/>
                                      <w:marTop w:val="0"/>
                                      <w:marBottom w:val="0"/>
                                      <w:divBdr>
                                        <w:top w:val="none" w:sz="0" w:space="0" w:color="auto"/>
                                        <w:left w:val="none" w:sz="0" w:space="0" w:color="auto"/>
                                        <w:bottom w:val="none" w:sz="0" w:space="0" w:color="auto"/>
                                        <w:right w:val="none" w:sz="0" w:space="0" w:color="auto"/>
                                      </w:divBdr>
                                      <w:divsChild>
                                        <w:div w:id="1028063326">
                                          <w:marLeft w:val="0"/>
                                          <w:marRight w:val="0"/>
                                          <w:marTop w:val="120"/>
                                          <w:marBottom w:val="0"/>
                                          <w:divBdr>
                                            <w:top w:val="none" w:sz="0" w:space="0" w:color="auto"/>
                                            <w:left w:val="none" w:sz="0" w:space="0" w:color="auto"/>
                                            <w:bottom w:val="none" w:sz="0" w:space="0" w:color="auto"/>
                                            <w:right w:val="none" w:sz="0" w:space="0" w:color="auto"/>
                                          </w:divBdr>
                                        </w:div>
                                        <w:div w:id="446122241">
                                          <w:marLeft w:val="0"/>
                                          <w:marRight w:val="0"/>
                                          <w:marTop w:val="0"/>
                                          <w:marBottom w:val="0"/>
                                          <w:divBdr>
                                            <w:top w:val="none" w:sz="0" w:space="0" w:color="auto"/>
                                            <w:left w:val="none" w:sz="0" w:space="0" w:color="auto"/>
                                            <w:bottom w:val="none" w:sz="0" w:space="0" w:color="auto"/>
                                            <w:right w:val="none" w:sz="0" w:space="0" w:color="auto"/>
                                          </w:divBdr>
                                        </w:div>
                                      </w:divsChild>
                                    </w:div>
                                    <w:div w:id="1611619008">
                                      <w:marLeft w:val="0"/>
                                      <w:marRight w:val="0"/>
                                      <w:marTop w:val="0"/>
                                      <w:marBottom w:val="0"/>
                                      <w:divBdr>
                                        <w:top w:val="none" w:sz="0" w:space="0" w:color="auto"/>
                                        <w:left w:val="none" w:sz="0" w:space="0" w:color="auto"/>
                                        <w:bottom w:val="none" w:sz="0" w:space="0" w:color="auto"/>
                                        <w:right w:val="none" w:sz="0" w:space="0" w:color="auto"/>
                                      </w:divBdr>
                                      <w:divsChild>
                                        <w:div w:id="1237983491">
                                          <w:marLeft w:val="0"/>
                                          <w:marRight w:val="0"/>
                                          <w:marTop w:val="120"/>
                                          <w:marBottom w:val="0"/>
                                          <w:divBdr>
                                            <w:top w:val="none" w:sz="0" w:space="0" w:color="auto"/>
                                            <w:left w:val="none" w:sz="0" w:space="0" w:color="auto"/>
                                            <w:bottom w:val="none" w:sz="0" w:space="0" w:color="auto"/>
                                            <w:right w:val="none" w:sz="0" w:space="0" w:color="auto"/>
                                          </w:divBdr>
                                        </w:div>
                                        <w:div w:id="1714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85300">
                              <w:marLeft w:val="0"/>
                              <w:marRight w:val="0"/>
                              <w:marTop w:val="0"/>
                              <w:marBottom w:val="0"/>
                              <w:divBdr>
                                <w:top w:val="none" w:sz="0" w:space="0" w:color="auto"/>
                                <w:left w:val="none" w:sz="0" w:space="0" w:color="auto"/>
                                <w:bottom w:val="none" w:sz="0" w:space="0" w:color="auto"/>
                                <w:right w:val="none" w:sz="0" w:space="0" w:color="auto"/>
                              </w:divBdr>
                              <w:divsChild>
                                <w:div w:id="1047992572">
                                  <w:marLeft w:val="0"/>
                                  <w:marRight w:val="0"/>
                                  <w:marTop w:val="120"/>
                                  <w:marBottom w:val="0"/>
                                  <w:divBdr>
                                    <w:top w:val="none" w:sz="0" w:space="0" w:color="auto"/>
                                    <w:left w:val="none" w:sz="0" w:space="0" w:color="auto"/>
                                    <w:bottom w:val="none" w:sz="0" w:space="0" w:color="auto"/>
                                    <w:right w:val="none" w:sz="0" w:space="0" w:color="auto"/>
                                  </w:divBdr>
                                </w:div>
                                <w:div w:id="19210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6396">
                      <w:marLeft w:val="0"/>
                      <w:marRight w:val="0"/>
                      <w:marTop w:val="0"/>
                      <w:marBottom w:val="0"/>
                      <w:divBdr>
                        <w:top w:val="none" w:sz="0" w:space="0" w:color="auto"/>
                        <w:left w:val="none" w:sz="0" w:space="0" w:color="auto"/>
                        <w:bottom w:val="none" w:sz="0" w:space="0" w:color="auto"/>
                        <w:right w:val="none" w:sz="0" w:space="0" w:color="auto"/>
                      </w:divBdr>
                      <w:divsChild>
                        <w:div w:id="1479767813">
                          <w:marLeft w:val="0"/>
                          <w:marRight w:val="0"/>
                          <w:marTop w:val="120"/>
                          <w:marBottom w:val="0"/>
                          <w:divBdr>
                            <w:top w:val="none" w:sz="0" w:space="0" w:color="auto"/>
                            <w:left w:val="none" w:sz="0" w:space="0" w:color="auto"/>
                            <w:bottom w:val="none" w:sz="0" w:space="0" w:color="auto"/>
                            <w:right w:val="none" w:sz="0" w:space="0" w:color="auto"/>
                          </w:divBdr>
                        </w:div>
                        <w:div w:id="956177402">
                          <w:marLeft w:val="0"/>
                          <w:marRight w:val="0"/>
                          <w:marTop w:val="0"/>
                          <w:marBottom w:val="0"/>
                          <w:divBdr>
                            <w:top w:val="none" w:sz="0" w:space="0" w:color="auto"/>
                            <w:left w:val="none" w:sz="0" w:space="0" w:color="auto"/>
                            <w:bottom w:val="none" w:sz="0" w:space="0" w:color="auto"/>
                            <w:right w:val="none" w:sz="0" w:space="0" w:color="auto"/>
                          </w:divBdr>
                        </w:div>
                      </w:divsChild>
                    </w:div>
                    <w:div w:id="1807311516">
                      <w:marLeft w:val="0"/>
                      <w:marRight w:val="0"/>
                      <w:marTop w:val="0"/>
                      <w:marBottom w:val="0"/>
                      <w:divBdr>
                        <w:top w:val="none" w:sz="0" w:space="0" w:color="auto"/>
                        <w:left w:val="none" w:sz="0" w:space="0" w:color="auto"/>
                        <w:bottom w:val="none" w:sz="0" w:space="0" w:color="auto"/>
                        <w:right w:val="none" w:sz="0" w:space="0" w:color="auto"/>
                      </w:divBdr>
                      <w:divsChild>
                        <w:div w:id="240724459">
                          <w:marLeft w:val="0"/>
                          <w:marRight w:val="0"/>
                          <w:marTop w:val="120"/>
                          <w:marBottom w:val="0"/>
                          <w:divBdr>
                            <w:top w:val="none" w:sz="0" w:space="0" w:color="auto"/>
                            <w:left w:val="none" w:sz="0" w:space="0" w:color="auto"/>
                            <w:bottom w:val="none" w:sz="0" w:space="0" w:color="auto"/>
                            <w:right w:val="none" w:sz="0" w:space="0" w:color="auto"/>
                          </w:divBdr>
                        </w:div>
                        <w:div w:id="963534620">
                          <w:marLeft w:val="0"/>
                          <w:marRight w:val="0"/>
                          <w:marTop w:val="0"/>
                          <w:marBottom w:val="0"/>
                          <w:divBdr>
                            <w:top w:val="none" w:sz="0" w:space="0" w:color="auto"/>
                            <w:left w:val="none" w:sz="0" w:space="0" w:color="auto"/>
                            <w:bottom w:val="none" w:sz="0" w:space="0" w:color="auto"/>
                            <w:right w:val="none" w:sz="0" w:space="0" w:color="auto"/>
                          </w:divBdr>
                        </w:div>
                      </w:divsChild>
                    </w:div>
                    <w:div w:id="840195740">
                      <w:marLeft w:val="0"/>
                      <w:marRight w:val="0"/>
                      <w:marTop w:val="0"/>
                      <w:marBottom w:val="0"/>
                      <w:divBdr>
                        <w:top w:val="none" w:sz="0" w:space="0" w:color="auto"/>
                        <w:left w:val="none" w:sz="0" w:space="0" w:color="auto"/>
                        <w:bottom w:val="none" w:sz="0" w:space="0" w:color="auto"/>
                        <w:right w:val="none" w:sz="0" w:space="0" w:color="auto"/>
                      </w:divBdr>
                      <w:divsChild>
                        <w:div w:id="589967418">
                          <w:marLeft w:val="0"/>
                          <w:marRight w:val="0"/>
                          <w:marTop w:val="120"/>
                          <w:marBottom w:val="0"/>
                          <w:divBdr>
                            <w:top w:val="none" w:sz="0" w:space="0" w:color="auto"/>
                            <w:left w:val="none" w:sz="0" w:space="0" w:color="auto"/>
                            <w:bottom w:val="none" w:sz="0" w:space="0" w:color="auto"/>
                            <w:right w:val="none" w:sz="0" w:space="0" w:color="auto"/>
                          </w:divBdr>
                        </w:div>
                        <w:div w:id="1080634439">
                          <w:marLeft w:val="0"/>
                          <w:marRight w:val="0"/>
                          <w:marTop w:val="0"/>
                          <w:marBottom w:val="0"/>
                          <w:divBdr>
                            <w:top w:val="none" w:sz="0" w:space="0" w:color="auto"/>
                            <w:left w:val="none" w:sz="0" w:space="0" w:color="auto"/>
                            <w:bottom w:val="none" w:sz="0" w:space="0" w:color="auto"/>
                            <w:right w:val="none" w:sz="0" w:space="0" w:color="auto"/>
                          </w:divBdr>
                        </w:div>
                      </w:divsChild>
                    </w:div>
                    <w:div w:id="661159854">
                      <w:marLeft w:val="0"/>
                      <w:marRight w:val="0"/>
                      <w:marTop w:val="0"/>
                      <w:marBottom w:val="0"/>
                      <w:divBdr>
                        <w:top w:val="none" w:sz="0" w:space="0" w:color="auto"/>
                        <w:left w:val="none" w:sz="0" w:space="0" w:color="auto"/>
                        <w:bottom w:val="none" w:sz="0" w:space="0" w:color="auto"/>
                        <w:right w:val="none" w:sz="0" w:space="0" w:color="auto"/>
                      </w:divBdr>
                      <w:divsChild>
                        <w:div w:id="928344475">
                          <w:marLeft w:val="0"/>
                          <w:marRight w:val="0"/>
                          <w:marTop w:val="120"/>
                          <w:marBottom w:val="0"/>
                          <w:divBdr>
                            <w:top w:val="none" w:sz="0" w:space="0" w:color="auto"/>
                            <w:left w:val="none" w:sz="0" w:space="0" w:color="auto"/>
                            <w:bottom w:val="none" w:sz="0" w:space="0" w:color="auto"/>
                            <w:right w:val="none" w:sz="0" w:space="0" w:color="auto"/>
                          </w:divBdr>
                        </w:div>
                        <w:div w:id="2140682505">
                          <w:marLeft w:val="0"/>
                          <w:marRight w:val="0"/>
                          <w:marTop w:val="0"/>
                          <w:marBottom w:val="0"/>
                          <w:divBdr>
                            <w:top w:val="none" w:sz="0" w:space="0" w:color="auto"/>
                            <w:left w:val="none" w:sz="0" w:space="0" w:color="auto"/>
                            <w:bottom w:val="none" w:sz="0" w:space="0" w:color="auto"/>
                            <w:right w:val="none" w:sz="0" w:space="0" w:color="auto"/>
                          </w:divBdr>
                        </w:div>
                      </w:divsChild>
                    </w:div>
                    <w:div w:id="1607301076">
                      <w:marLeft w:val="0"/>
                      <w:marRight w:val="0"/>
                      <w:marTop w:val="0"/>
                      <w:marBottom w:val="0"/>
                      <w:divBdr>
                        <w:top w:val="none" w:sz="0" w:space="0" w:color="auto"/>
                        <w:left w:val="none" w:sz="0" w:space="0" w:color="auto"/>
                        <w:bottom w:val="none" w:sz="0" w:space="0" w:color="auto"/>
                        <w:right w:val="none" w:sz="0" w:space="0" w:color="auto"/>
                      </w:divBdr>
                      <w:divsChild>
                        <w:div w:id="1838036326">
                          <w:marLeft w:val="0"/>
                          <w:marRight w:val="0"/>
                          <w:marTop w:val="120"/>
                          <w:marBottom w:val="0"/>
                          <w:divBdr>
                            <w:top w:val="none" w:sz="0" w:space="0" w:color="auto"/>
                            <w:left w:val="none" w:sz="0" w:space="0" w:color="auto"/>
                            <w:bottom w:val="none" w:sz="0" w:space="0" w:color="auto"/>
                            <w:right w:val="none" w:sz="0" w:space="0" w:color="auto"/>
                          </w:divBdr>
                        </w:div>
                        <w:div w:id="867257195">
                          <w:marLeft w:val="0"/>
                          <w:marRight w:val="0"/>
                          <w:marTop w:val="0"/>
                          <w:marBottom w:val="0"/>
                          <w:divBdr>
                            <w:top w:val="none" w:sz="0" w:space="0" w:color="auto"/>
                            <w:left w:val="none" w:sz="0" w:space="0" w:color="auto"/>
                            <w:bottom w:val="none" w:sz="0" w:space="0" w:color="auto"/>
                            <w:right w:val="none" w:sz="0" w:space="0" w:color="auto"/>
                          </w:divBdr>
                        </w:div>
                      </w:divsChild>
                    </w:div>
                    <w:div w:id="2095318401">
                      <w:marLeft w:val="0"/>
                      <w:marRight w:val="0"/>
                      <w:marTop w:val="0"/>
                      <w:marBottom w:val="0"/>
                      <w:divBdr>
                        <w:top w:val="none" w:sz="0" w:space="0" w:color="auto"/>
                        <w:left w:val="none" w:sz="0" w:space="0" w:color="auto"/>
                        <w:bottom w:val="none" w:sz="0" w:space="0" w:color="auto"/>
                        <w:right w:val="none" w:sz="0" w:space="0" w:color="auto"/>
                      </w:divBdr>
                      <w:divsChild>
                        <w:div w:id="894701106">
                          <w:marLeft w:val="0"/>
                          <w:marRight w:val="0"/>
                          <w:marTop w:val="120"/>
                          <w:marBottom w:val="0"/>
                          <w:divBdr>
                            <w:top w:val="none" w:sz="0" w:space="0" w:color="auto"/>
                            <w:left w:val="none" w:sz="0" w:space="0" w:color="auto"/>
                            <w:bottom w:val="none" w:sz="0" w:space="0" w:color="auto"/>
                            <w:right w:val="none" w:sz="0" w:space="0" w:color="auto"/>
                          </w:divBdr>
                        </w:div>
                        <w:div w:id="633562232">
                          <w:marLeft w:val="0"/>
                          <w:marRight w:val="0"/>
                          <w:marTop w:val="0"/>
                          <w:marBottom w:val="0"/>
                          <w:divBdr>
                            <w:top w:val="none" w:sz="0" w:space="0" w:color="auto"/>
                            <w:left w:val="none" w:sz="0" w:space="0" w:color="auto"/>
                            <w:bottom w:val="none" w:sz="0" w:space="0" w:color="auto"/>
                            <w:right w:val="none" w:sz="0" w:space="0" w:color="auto"/>
                          </w:divBdr>
                        </w:div>
                      </w:divsChild>
                    </w:div>
                    <w:div w:id="1907715239">
                      <w:marLeft w:val="0"/>
                      <w:marRight w:val="0"/>
                      <w:marTop w:val="0"/>
                      <w:marBottom w:val="0"/>
                      <w:divBdr>
                        <w:top w:val="none" w:sz="0" w:space="0" w:color="auto"/>
                        <w:left w:val="none" w:sz="0" w:space="0" w:color="auto"/>
                        <w:bottom w:val="none" w:sz="0" w:space="0" w:color="auto"/>
                        <w:right w:val="none" w:sz="0" w:space="0" w:color="auto"/>
                      </w:divBdr>
                      <w:divsChild>
                        <w:div w:id="632902146">
                          <w:marLeft w:val="0"/>
                          <w:marRight w:val="0"/>
                          <w:marTop w:val="120"/>
                          <w:marBottom w:val="0"/>
                          <w:divBdr>
                            <w:top w:val="none" w:sz="0" w:space="0" w:color="auto"/>
                            <w:left w:val="none" w:sz="0" w:space="0" w:color="auto"/>
                            <w:bottom w:val="none" w:sz="0" w:space="0" w:color="auto"/>
                            <w:right w:val="none" w:sz="0" w:space="0" w:color="auto"/>
                          </w:divBdr>
                        </w:div>
                        <w:div w:id="1119950652">
                          <w:marLeft w:val="0"/>
                          <w:marRight w:val="0"/>
                          <w:marTop w:val="0"/>
                          <w:marBottom w:val="0"/>
                          <w:divBdr>
                            <w:top w:val="none" w:sz="0" w:space="0" w:color="auto"/>
                            <w:left w:val="none" w:sz="0" w:space="0" w:color="auto"/>
                            <w:bottom w:val="none" w:sz="0" w:space="0" w:color="auto"/>
                            <w:right w:val="none" w:sz="0" w:space="0" w:color="auto"/>
                          </w:divBdr>
                        </w:div>
                      </w:divsChild>
                    </w:div>
                    <w:div w:id="1399479314">
                      <w:marLeft w:val="0"/>
                      <w:marRight w:val="0"/>
                      <w:marTop w:val="0"/>
                      <w:marBottom w:val="0"/>
                      <w:divBdr>
                        <w:top w:val="none" w:sz="0" w:space="0" w:color="auto"/>
                        <w:left w:val="none" w:sz="0" w:space="0" w:color="auto"/>
                        <w:bottom w:val="none" w:sz="0" w:space="0" w:color="auto"/>
                        <w:right w:val="none" w:sz="0" w:space="0" w:color="auto"/>
                      </w:divBdr>
                      <w:divsChild>
                        <w:div w:id="1604800106">
                          <w:marLeft w:val="0"/>
                          <w:marRight w:val="0"/>
                          <w:marTop w:val="120"/>
                          <w:marBottom w:val="0"/>
                          <w:divBdr>
                            <w:top w:val="none" w:sz="0" w:space="0" w:color="auto"/>
                            <w:left w:val="none" w:sz="0" w:space="0" w:color="auto"/>
                            <w:bottom w:val="none" w:sz="0" w:space="0" w:color="auto"/>
                            <w:right w:val="none" w:sz="0" w:space="0" w:color="auto"/>
                          </w:divBdr>
                        </w:div>
                        <w:div w:id="1639648272">
                          <w:marLeft w:val="0"/>
                          <w:marRight w:val="0"/>
                          <w:marTop w:val="0"/>
                          <w:marBottom w:val="0"/>
                          <w:divBdr>
                            <w:top w:val="none" w:sz="0" w:space="0" w:color="auto"/>
                            <w:left w:val="none" w:sz="0" w:space="0" w:color="auto"/>
                            <w:bottom w:val="none" w:sz="0" w:space="0" w:color="auto"/>
                            <w:right w:val="none" w:sz="0" w:space="0" w:color="auto"/>
                          </w:divBdr>
                        </w:div>
                      </w:divsChild>
                    </w:div>
                    <w:div w:id="258294853">
                      <w:marLeft w:val="0"/>
                      <w:marRight w:val="0"/>
                      <w:marTop w:val="0"/>
                      <w:marBottom w:val="0"/>
                      <w:divBdr>
                        <w:top w:val="none" w:sz="0" w:space="0" w:color="auto"/>
                        <w:left w:val="none" w:sz="0" w:space="0" w:color="auto"/>
                        <w:bottom w:val="none" w:sz="0" w:space="0" w:color="auto"/>
                        <w:right w:val="none" w:sz="0" w:space="0" w:color="auto"/>
                      </w:divBdr>
                      <w:divsChild>
                        <w:div w:id="1077482393">
                          <w:marLeft w:val="0"/>
                          <w:marRight w:val="0"/>
                          <w:marTop w:val="120"/>
                          <w:marBottom w:val="0"/>
                          <w:divBdr>
                            <w:top w:val="none" w:sz="0" w:space="0" w:color="auto"/>
                            <w:left w:val="none" w:sz="0" w:space="0" w:color="auto"/>
                            <w:bottom w:val="none" w:sz="0" w:space="0" w:color="auto"/>
                            <w:right w:val="none" w:sz="0" w:space="0" w:color="auto"/>
                          </w:divBdr>
                        </w:div>
                        <w:div w:id="1509557472">
                          <w:marLeft w:val="0"/>
                          <w:marRight w:val="0"/>
                          <w:marTop w:val="0"/>
                          <w:marBottom w:val="0"/>
                          <w:divBdr>
                            <w:top w:val="none" w:sz="0" w:space="0" w:color="auto"/>
                            <w:left w:val="none" w:sz="0" w:space="0" w:color="auto"/>
                            <w:bottom w:val="none" w:sz="0" w:space="0" w:color="auto"/>
                            <w:right w:val="none" w:sz="0" w:space="0" w:color="auto"/>
                          </w:divBdr>
                        </w:div>
                      </w:divsChild>
                    </w:div>
                    <w:div w:id="1393694493">
                      <w:marLeft w:val="0"/>
                      <w:marRight w:val="0"/>
                      <w:marTop w:val="0"/>
                      <w:marBottom w:val="0"/>
                      <w:divBdr>
                        <w:top w:val="none" w:sz="0" w:space="0" w:color="auto"/>
                        <w:left w:val="none" w:sz="0" w:space="0" w:color="auto"/>
                        <w:bottom w:val="none" w:sz="0" w:space="0" w:color="auto"/>
                        <w:right w:val="none" w:sz="0" w:space="0" w:color="auto"/>
                      </w:divBdr>
                      <w:divsChild>
                        <w:div w:id="767434178">
                          <w:marLeft w:val="0"/>
                          <w:marRight w:val="0"/>
                          <w:marTop w:val="120"/>
                          <w:marBottom w:val="0"/>
                          <w:divBdr>
                            <w:top w:val="none" w:sz="0" w:space="0" w:color="auto"/>
                            <w:left w:val="none" w:sz="0" w:space="0" w:color="auto"/>
                            <w:bottom w:val="none" w:sz="0" w:space="0" w:color="auto"/>
                            <w:right w:val="none" w:sz="0" w:space="0" w:color="auto"/>
                          </w:divBdr>
                        </w:div>
                        <w:div w:id="1014308898">
                          <w:marLeft w:val="0"/>
                          <w:marRight w:val="0"/>
                          <w:marTop w:val="0"/>
                          <w:marBottom w:val="0"/>
                          <w:divBdr>
                            <w:top w:val="none" w:sz="0" w:space="0" w:color="auto"/>
                            <w:left w:val="none" w:sz="0" w:space="0" w:color="auto"/>
                            <w:bottom w:val="none" w:sz="0" w:space="0" w:color="auto"/>
                            <w:right w:val="none" w:sz="0" w:space="0" w:color="auto"/>
                          </w:divBdr>
                        </w:div>
                      </w:divsChild>
                    </w:div>
                    <w:div w:id="674649349">
                      <w:marLeft w:val="0"/>
                      <w:marRight w:val="0"/>
                      <w:marTop w:val="0"/>
                      <w:marBottom w:val="0"/>
                      <w:divBdr>
                        <w:top w:val="none" w:sz="0" w:space="0" w:color="auto"/>
                        <w:left w:val="none" w:sz="0" w:space="0" w:color="auto"/>
                        <w:bottom w:val="none" w:sz="0" w:space="0" w:color="auto"/>
                        <w:right w:val="none" w:sz="0" w:space="0" w:color="auto"/>
                      </w:divBdr>
                      <w:divsChild>
                        <w:div w:id="1411199436">
                          <w:marLeft w:val="0"/>
                          <w:marRight w:val="0"/>
                          <w:marTop w:val="120"/>
                          <w:marBottom w:val="0"/>
                          <w:divBdr>
                            <w:top w:val="none" w:sz="0" w:space="0" w:color="auto"/>
                            <w:left w:val="none" w:sz="0" w:space="0" w:color="auto"/>
                            <w:bottom w:val="none" w:sz="0" w:space="0" w:color="auto"/>
                            <w:right w:val="none" w:sz="0" w:space="0" w:color="auto"/>
                          </w:divBdr>
                        </w:div>
                        <w:div w:id="1943608123">
                          <w:marLeft w:val="0"/>
                          <w:marRight w:val="0"/>
                          <w:marTop w:val="0"/>
                          <w:marBottom w:val="0"/>
                          <w:divBdr>
                            <w:top w:val="none" w:sz="0" w:space="0" w:color="auto"/>
                            <w:left w:val="none" w:sz="0" w:space="0" w:color="auto"/>
                            <w:bottom w:val="none" w:sz="0" w:space="0" w:color="auto"/>
                            <w:right w:val="none" w:sz="0" w:space="0" w:color="auto"/>
                          </w:divBdr>
                        </w:div>
                      </w:divsChild>
                    </w:div>
                    <w:div w:id="1198010165">
                      <w:marLeft w:val="0"/>
                      <w:marRight w:val="0"/>
                      <w:marTop w:val="0"/>
                      <w:marBottom w:val="0"/>
                      <w:divBdr>
                        <w:top w:val="none" w:sz="0" w:space="0" w:color="auto"/>
                        <w:left w:val="none" w:sz="0" w:space="0" w:color="auto"/>
                        <w:bottom w:val="none" w:sz="0" w:space="0" w:color="auto"/>
                        <w:right w:val="none" w:sz="0" w:space="0" w:color="auto"/>
                      </w:divBdr>
                      <w:divsChild>
                        <w:div w:id="1079672068">
                          <w:marLeft w:val="0"/>
                          <w:marRight w:val="0"/>
                          <w:marTop w:val="120"/>
                          <w:marBottom w:val="0"/>
                          <w:divBdr>
                            <w:top w:val="none" w:sz="0" w:space="0" w:color="auto"/>
                            <w:left w:val="none" w:sz="0" w:space="0" w:color="auto"/>
                            <w:bottom w:val="none" w:sz="0" w:space="0" w:color="auto"/>
                            <w:right w:val="none" w:sz="0" w:space="0" w:color="auto"/>
                          </w:divBdr>
                        </w:div>
                        <w:div w:id="973438827">
                          <w:marLeft w:val="0"/>
                          <w:marRight w:val="0"/>
                          <w:marTop w:val="0"/>
                          <w:marBottom w:val="0"/>
                          <w:divBdr>
                            <w:top w:val="none" w:sz="0" w:space="0" w:color="auto"/>
                            <w:left w:val="none" w:sz="0" w:space="0" w:color="auto"/>
                            <w:bottom w:val="none" w:sz="0" w:space="0" w:color="auto"/>
                            <w:right w:val="none" w:sz="0" w:space="0" w:color="auto"/>
                          </w:divBdr>
                        </w:div>
                      </w:divsChild>
                    </w:div>
                    <w:div w:id="687676957">
                      <w:marLeft w:val="0"/>
                      <w:marRight w:val="0"/>
                      <w:marTop w:val="0"/>
                      <w:marBottom w:val="0"/>
                      <w:divBdr>
                        <w:top w:val="none" w:sz="0" w:space="0" w:color="auto"/>
                        <w:left w:val="none" w:sz="0" w:space="0" w:color="auto"/>
                        <w:bottom w:val="none" w:sz="0" w:space="0" w:color="auto"/>
                        <w:right w:val="none" w:sz="0" w:space="0" w:color="auto"/>
                      </w:divBdr>
                      <w:divsChild>
                        <w:div w:id="141429888">
                          <w:marLeft w:val="0"/>
                          <w:marRight w:val="0"/>
                          <w:marTop w:val="120"/>
                          <w:marBottom w:val="0"/>
                          <w:divBdr>
                            <w:top w:val="none" w:sz="0" w:space="0" w:color="auto"/>
                            <w:left w:val="none" w:sz="0" w:space="0" w:color="auto"/>
                            <w:bottom w:val="none" w:sz="0" w:space="0" w:color="auto"/>
                            <w:right w:val="none" w:sz="0" w:space="0" w:color="auto"/>
                          </w:divBdr>
                        </w:div>
                        <w:div w:id="668362513">
                          <w:marLeft w:val="0"/>
                          <w:marRight w:val="0"/>
                          <w:marTop w:val="0"/>
                          <w:marBottom w:val="0"/>
                          <w:divBdr>
                            <w:top w:val="none" w:sz="0" w:space="0" w:color="auto"/>
                            <w:left w:val="none" w:sz="0" w:space="0" w:color="auto"/>
                            <w:bottom w:val="none" w:sz="0" w:space="0" w:color="auto"/>
                            <w:right w:val="none" w:sz="0" w:space="0" w:color="auto"/>
                          </w:divBdr>
                        </w:div>
                      </w:divsChild>
                    </w:div>
                    <w:div w:id="1977638184">
                      <w:marLeft w:val="0"/>
                      <w:marRight w:val="0"/>
                      <w:marTop w:val="0"/>
                      <w:marBottom w:val="0"/>
                      <w:divBdr>
                        <w:top w:val="none" w:sz="0" w:space="0" w:color="auto"/>
                        <w:left w:val="none" w:sz="0" w:space="0" w:color="auto"/>
                        <w:bottom w:val="none" w:sz="0" w:space="0" w:color="auto"/>
                        <w:right w:val="none" w:sz="0" w:space="0" w:color="auto"/>
                      </w:divBdr>
                      <w:divsChild>
                        <w:div w:id="1240091846">
                          <w:marLeft w:val="0"/>
                          <w:marRight w:val="0"/>
                          <w:marTop w:val="120"/>
                          <w:marBottom w:val="0"/>
                          <w:divBdr>
                            <w:top w:val="none" w:sz="0" w:space="0" w:color="auto"/>
                            <w:left w:val="none" w:sz="0" w:space="0" w:color="auto"/>
                            <w:bottom w:val="none" w:sz="0" w:space="0" w:color="auto"/>
                            <w:right w:val="none" w:sz="0" w:space="0" w:color="auto"/>
                          </w:divBdr>
                        </w:div>
                        <w:div w:id="1618246524">
                          <w:marLeft w:val="0"/>
                          <w:marRight w:val="0"/>
                          <w:marTop w:val="0"/>
                          <w:marBottom w:val="0"/>
                          <w:divBdr>
                            <w:top w:val="none" w:sz="0" w:space="0" w:color="auto"/>
                            <w:left w:val="none" w:sz="0" w:space="0" w:color="auto"/>
                            <w:bottom w:val="none" w:sz="0" w:space="0" w:color="auto"/>
                            <w:right w:val="none" w:sz="0" w:space="0" w:color="auto"/>
                          </w:divBdr>
                        </w:div>
                      </w:divsChild>
                    </w:div>
                    <w:div w:id="492599563">
                      <w:marLeft w:val="0"/>
                      <w:marRight w:val="0"/>
                      <w:marTop w:val="0"/>
                      <w:marBottom w:val="0"/>
                      <w:divBdr>
                        <w:top w:val="none" w:sz="0" w:space="0" w:color="auto"/>
                        <w:left w:val="none" w:sz="0" w:space="0" w:color="auto"/>
                        <w:bottom w:val="none" w:sz="0" w:space="0" w:color="auto"/>
                        <w:right w:val="none" w:sz="0" w:space="0" w:color="auto"/>
                      </w:divBdr>
                      <w:divsChild>
                        <w:div w:id="2015374587">
                          <w:marLeft w:val="0"/>
                          <w:marRight w:val="0"/>
                          <w:marTop w:val="120"/>
                          <w:marBottom w:val="0"/>
                          <w:divBdr>
                            <w:top w:val="none" w:sz="0" w:space="0" w:color="auto"/>
                            <w:left w:val="none" w:sz="0" w:space="0" w:color="auto"/>
                            <w:bottom w:val="none" w:sz="0" w:space="0" w:color="auto"/>
                            <w:right w:val="none" w:sz="0" w:space="0" w:color="auto"/>
                          </w:divBdr>
                        </w:div>
                        <w:div w:id="661008481">
                          <w:marLeft w:val="0"/>
                          <w:marRight w:val="0"/>
                          <w:marTop w:val="0"/>
                          <w:marBottom w:val="0"/>
                          <w:divBdr>
                            <w:top w:val="none" w:sz="0" w:space="0" w:color="auto"/>
                            <w:left w:val="none" w:sz="0" w:space="0" w:color="auto"/>
                            <w:bottom w:val="none" w:sz="0" w:space="0" w:color="auto"/>
                            <w:right w:val="none" w:sz="0" w:space="0" w:color="auto"/>
                          </w:divBdr>
                        </w:div>
                      </w:divsChild>
                    </w:div>
                    <w:div w:id="1483620619">
                      <w:marLeft w:val="0"/>
                      <w:marRight w:val="0"/>
                      <w:marTop w:val="0"/>
                      <w:marBottom w:val="0"/>
                      <w:divBdr>
                        <w:top w:val="none" w:sz="0" w:space="0" w:color="auto"/>
                        <w:left w:val="none" w:sz="0" w:space="0" w:color="auto"/>
                        <w:bottom w:val="none" w:sz="0" w:space="0" w:color="auto"/>
                        <w:right w:val="none" w:sz="0" w:space="0" w:color="auto"/>
                      </w:divBdr>
                      <w:divsChild>
                        <w:div w:id="1280721916">
                          <w:marLeft w:val="0"/>
                          <w:marRight w:val="0"/>
                          <w:marTop w:val="120"/>
                          <w:marBottom w:val="0"/>
                          <w:divBdr>
                            <w:top w:val="none" w:sz="0" w:space="0" w:color="auto"/>
                            <w:left w:val="none" w:sz="0" w:space="0" w:color="auto"/>
                            <w:bottom w:val="none" w:sz="0" w:space="0" w:color="auto"/>
                            <w:right w:val="none" w:sz="0" w:space="0" w:color="auto"/>
                          </w:divBdr>
                        </w:div>
                        <w:div w:id="1033117714">
                          <w:marLeft w:val="0"/>
                          <w:marRight w:val="0"/>
                          <w:marTop w:val="0"/>
                          <w:marBottom w:val="0"/>
                          <w:divBdr>
                            <w:top w:val="none" w:sz="0" w:space="0" w:color="auto"/>
                            <w:left w:val="none" w:sz="0" w:space="0" w:color="auto"/>
                            <w:bottom w:val="none" w:sz="0" w:space="0" w:color="auto"/>
                            <w:right w:val="none" w:sz="0" w:space="0" w:color="auto"/>
                          </w:divBdr>
                        </w:div>
                      </w:divsChild>
                    </w:div>
                    <w:div w:id="1900702380">
                      <w:marLeft w:val="0"/>
                      <w:marRight w:val="0"/>
                      <w:marTop w:val="0"/>
                      <w:marBottom w:val="0"/>
                      <w:divBdr>
                        <w:top w:val="none" w:sz="0" w:space="0" w:color="auto"/>
                        <w:left w:val="none" w:sz="0" w:space="0" w:color="auto"/>
                        <w:bottom w:val="none" w:sz="0" w:space="0" w:color="auto"/>
                        <w:right w:val="none" w:sz="0" w:space="0" w:color="auto"/>
                      </w:divBdr>
                      <w:divsChild>
                        <w:div w:id="1547910481">
                          <w:marLeft w:val="0"/>
                          <w:marRight w:val="0"/>
                          <w:marTop w:val="120"/>
                          <w:marBottom w:val="0"/>
                          <w:divBdr>
                            <w:top w:val="none" w:sz="0" w:space="0" w:color="auto"/>
                            <w:left w:val="none" w:sz="0" w:space="0" w:color="auto"/>
                            <w:bottom w:val="none" w:sz="0" w:space="0" w:color="auto"/>
                            <w:right w:val="none" w:sz="0" w:space="0" w:color="auto"/>
                          </w:divBdr>
                        </w:div>
                        <w:div w:id="1762680424">
                          <w:marLeft w:val="0"/>
                          <w:marRight w:val="0"/>
                          <w:marTop w:val="0"/>
                          <w:marBottom w:val="0"/>
                          <w:divBdr>
                            <w:top w:val="none" w:sz="0" w:space="0" w:color="auto"/>
                            <w:left w:val="none" w:sz="0" w:space="0" w:color="auto"/>
                            <w:bottom w:val="none" w:sz="0" w:space="0" w:color="auto"/>
                            <w:right w:val="none" w:sz="0" w:space="0" w:color="auto"/>
                          </w:divBdr>
                        </w:div>
                      </w:divsChild>
                    </w:div>
                    <w:div w:id="761801661">
                      <w:marLeft w:val="0"/>
                      <w:marRight w:val="0"/>
                      <w:marTop w:val="0"/>
                      <w:marBottom w:val="0"/>
                      <w:divBdr>
                        <w:top w:val="none" w:sz="0" w:space="0" w:color="auto"/>
                        <w:left w:val="none" w:sz="0" w:space="0" w:color="auto"/>
                        <w:bottom w:val="none" w:sz="0" w:space="0" w:color="auto"/>
                        <w:right w:val="none" w:sz="0" w:space="0" w:color="auto"/>
                      </w:divBdr>
                      <w:divsChild>
                        <w:div w:id="2058359815">
                          <w:marLeft w:val="0"/>
                          <w:marRight w:val="0"/>
                          <w:marTop w:val="120"/>
                          <w:marBottom w:val="0"/>
                          <w:divBdr>
                            <w:top w:val="none" w:sz="0" w:space="0" w:color="auto"/>
                            <w:left w:val="none" w:sz="0" w:space="0" w:color="auto"/>
                            <w:bottom w:val="none" w:sz="0" w:space="0" w:color="auto"/>
                            <w:right w:val="none" w:sz="0" w:space="0" w:color="auto"/>
                          </w:divBdr>
                        </w:div>
                        <w:div w:id="475606744">
                          <w:marLeft w:val="0"/>
                          <w:marRight w:val="0"/>
                          <w:marTop w:val="0"/>
                          <w:marBottom w:val="0"/>
                          <w:divBdr>
                            <w:top w:val="none" w:sz="0" w:space="0" w:color="auto"/>
                            <w:left w:val="none" w:sz="0" w:space="0" w:color="auto"/>
                            <w:bottom w:val="none" w:sz="0" w:space="0" w:color="auto"/>
                            <w:right w:val="none" w:sz="0" w:space="0" w:color="auto"/>
                          </w:divBdr>
                          <w:divsChild>
                            <w:div w:id="598610750">
                              <w:marLeft w:val="0"/>
                              <w:marRight w:val="0"/>
                              <w:marTop w:val="0"/>
                              <w:marBottom w:val="0"/>
                              <w:divBdr>
                                <w:top w:val="none" w:sz="0" w:space="0" w:color="auto"/>
                                <w:left w:val="none" w:sz="0" w:space="0" w:color="auto"/>
                                <w:bottom w:val="none" w:sz="0" w:space="0" w:color="auto"/>
                                <w:right w:val="none" w:sz="0" w:space="0" w:color="auto"/>
                              </w:divBdr>
                              <w:divsChild>
                                <w:div w:id="1285430100">
                                  <w:marLeft w:val="0"/>
                                  <w:marRight w:val="0"/>
                                  <w:marTop w:val="120"/>
                                  <w:marBottom w:val="0"/>
                                  <w:divBdr>
                                    <w:top w:val="none" w:sz="0" w:space="0" w:color="auto"/>
                                    <w:left w:val="none" w:sz="0" w:space="0" w:color="auto"/>
                                    <w:bottom w:val="none" w:sz="0" w:space="0" w:color="auto"/>
                                    <w:right w:val="none" w:sz="0" w:space="0" w:color="auto"/>
                                  </w:divBdr>
                                </w:div>
                                <w:div w:id="453793445">
                                  <w:marLeft w:val="0"/>
                                  <w:marRight w:val="0"/>
                                  <w:marTop w:val="0"/>
                                  <w:marBottom w:val="0"/>
                                  <w:divBdr>
                                    <w:top w:val="none" w:sz="0" w:space="0" w:color="auto"/>
                                    <w:left w:val="none" w:sz="0" w:space="0" w:color="auto"/>
                                    <w:bottom w:val="none" w:sz="0" w:space="0" w:color="auto"/>
                                    <w:right w:val="none" w:sz="0" w:space="0" w:color="auto"/>
                                  </w:divBdr>
                                  <w:divsChild>
                                    <w:div w:id="1717313954">
                                      <w:marLeft w:val="0"/>
                                      <w:marRight w:val="0"/>
                                      <w:marTop w:val="0"/>
                                      <w:marBottom w:val="0"/>
                                      <w:divBdr>
                                        <w:top w:val="none" w:sz="0" w:space="0" w:color="auto"/>
                                        <w:left w:val="none" w:sz="0" w:space="0" w:color="auto"/>
                                        <w:bottom w:val="none" w:sz="0" w:space="0" w:color="auto"/>
                                        <w:right w:val="none" w:sz="0" w:space="0" w:color="auto"/>
                                      </w:divBdr>
                                      <w:divsChild>
                                        <w:div w:id="2019654037">
                                          <w:marLeft w:val="0"/>
                                          <w:marRight w:val="0"/>
                                          <w:marTop w:val="120"/>
                                          <w:marBottom w:val="0"/>
                                          <w:divBdr>
                                            <w:top w:val="none" w:sz="0" w:space="0" w:color="auto"/>
                                            <w:left w:val="none" w:sz="0" w:space="0" w:color="auto"/>
                                            <w:bottom w:val="none" w:sz="0" w:space="0" w:color="auto"/>
                                            <w:right w:val="none" w:sz="0" w:space="0" w:color="auto"/>
                                          </w:divBdr>
                                        </w:div>
                                        <w:div w:id="42561827">
                                          <w:marLeft w:val="0"/>
                                          <w:marRight w:val="0"/>
                                          <w:marTop w:val="0"/>
                                          <w:marBottom w:val="0"/>
                                          <w:divBdr>
                                            <w:top w:val="none" w:sz="0" w:space="0" w:color="auto"/>
                                            <w:left w:val="none" w:sz="0" w:space="0" w:color="auto"/>
                                            <w:bottom w:val="none" w:sz="0" w:space="0" w:color="auto"/>
                                            <w:right w:val="none" w:sz="0" w:space="0" w:color="auto"/>
                                          </w:divBdr>
                                        </w:div>
                                      </w:divsChild>
                                    </w:div>
                                    <w:div w:id="1790080919">
                                      <w:marLeft w:val="0"/>
                                      <w:marRight w:val="0"/>
                                      <w:marTop w:val="0"/>
                                      <w:marBottom w:val="0"/>
                                      <w:divBdr>
                                        <w:top w:val="none" w:sz="0" w:space="0" w:color="auto"/>
                                        <w:left w:val="none" w:sz="0" w:space="0" w:color="auto"/>
                                        <w:bottom w:val="none" w:sz="0" w:space="0" w:color="auto"/>
                                        <w:right w:val="none" w:sz="0" w:space="0" w:color="auto"/>
                                      </w:divBdr>
                                      <w:divsChild>
                                        <w:div w:id="1727141276">
                                          <w:marLeft w:val="0"/>
                                          <w:marRight w:val="0"/>
                                          <w:marTop w:val="120"/>
                                          <w:marBottom w:val="0"/>
                                          <w:divBdr>
                                            <w:top w:val="none" w:sz="0" w:space="0" w:color="auto"/>
                                            <w:left w:val="none" w:sz="0" w:space="0" w:color="auto"/>
                                            <w:bottom w:val="none" w:sz="0" w:space="0" w:color="auto"/>
                                            <w:right w:val="none" w:sz="0" w:space="0" w:color="auto"/>
                                          </w:divBdr>
                                        </w:div>
                                        <w:div w:id="53892195">
                                          <w:marLeft w:val="0"/>
                                          <w:marRight w:val="0"/>
                                          <w:marTop w:val="0"/>
                                          <w:marBottom w:val="0"/>
                                          <w:divBdr>
                                            <w:top w:val="none" w:sz="0" w:space="0" w:color="auto"/>
                                            <w:left w:val="none" w:sz="0" w:space="0" w:color="auto"/>
                                            <w:bottom w:val="none" w:sz="0" w:space="0" w:color="auto"/>
                                            <w:right w:val="none" w:sz="0" w:space="0" w:color="auto"/>
                                          </w:divBdr>
                                        </w:div>
                                      </w:divsChild>
                                    </w:div>
                                    <w:div w:id="370155366">
                                      <w:marLeft w:val="0"/>
                                      <w:marRight w:val="0"/>
                                      <w:marTop w:val="0"/>
                                      <w:marBottom w:val="0"/>
                                      <w:divBdr>
                                        <w:top w:val="none" w:sz="0" w:space="0" w:color="auto"/>
                                        <w:left w:val="none" w:sz="0" w:space="0" w:color="auto"/>
                                        <w:bottom w:val="none" w:sz="0" w:space="0" w:color="auto"/>
                                        <w:right w:val="none" w:sz="0" w:space="0" w:color="auto"/>
                                      </w:divBdr>
                                      <w:divsChild>
                                        <w:div w:id="229341429">
                                          <w:marLeft w:val="0"/>
                                          <w:marRight w:val="0"/>
                                          <w:marTop w:val="120"/>
                                          <w:marBottom w:val="0"/>
                                          <w:divBdr>
                                            <w:top w:val="none" w:sz="0" w:space="0" w:color="auto"/>
                                            <w:left w:val="none" w:sz="0" w:space="0" w:color="auto"/>
                                            <w:bottom w:val="none" w:sz="0" w:space="0" w:color="auto"/>
                                            <w:right w:val="none" w:sz="0" w:space="0" w:color="auto"/>
                                          </w:divBdr>
                                        </w:div>
                                        <w:div w:id="12939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17779">
                              <w:marLeft w:val="0"/>
                              <w:marRight w:val="0"/>
                              <w:marTop w:val="0"/>
                              <w:marBottom w:val="0"/>
                              <w:divBdr>
                                <w:top w:val="none" w:sz="0" w:space="0" w:color="auto"/>
                                <w:left w:val="none" w:sz="0" w:space="0" w:color="auto"/>
                                <w:bottom w:val="none" w:sz="0" w:space="0" w:color="auto"/>
                                <w:right w:val="none" w:sz="0" w:space="0" w:color="auto"/>
                              </w:divBdr>
                              <w:divsChild>
                                <w:div w:id="1263565992">
                                  <w:marLeft w:val="0"/>
                                  <w:marRight w:val="0"/>
                                  <w:marTop w:val="120"/>
                                  <w:marBottom w:val="0"/>
                                  <w:divBdr>
                                    <w:top w:val="none" w:sz="0" w:space="0" w:color="auto"/>
                                    <w:left w:val="none" w:sz="0" w:space="0" w:color="auto"/>
                                    <w:bottom w:val="none" w:sz="0" w:space="0" w:color="auto"/>
                                    <w:right w:val="none" w:sz="0" w:space="0" w:color="auto"/>
                                  </w:divBdr>
                                </w:div>
                                <w:div w:id="1429080790">
                                  <w:marLeft w:val="0"/>
                                  <w:marRight w:val="0"/>
                                  <w:marTop w:val="0"/>
                                  <w:marBottom w:val="0"/>
                                  <w:divBdr>
                                    <w:top w:val="none" w:sz="0" w:space="0" w:color="auto"/>
                                    <w:left w:val="none" w:sz="0" w:space="0" w:color="auto"/>
                                    <w:bottom w:val="none" w:sz="0" w:space="0" w:color="auto"/>
                                    <w:right w:val="none" w:sz="0" w:space="0" w:color="auto"/>
                                  </w:divBdr>
                                  <w:divsChild>
                                    <w:div w:id="1974559986">
                                      <w:marLeft w:val="0"/>
                                      <w:marRight w:val="0"/>
                                      <w:marTop w:val="0"/>
                                      <w:marBottom w:val="0"/>
                                      <w:divBdr>
                                        <w:top w:val="none" w:sz="0" w:space="0" w:color="auto"/>
                                        <w:left w:val="none" w:sz="0" w:space="0" w:color="auto"/>
                                        <w:bottom w:val="none" w:sz="0" w:space="0" w:color="auto"/>
                                        <w:right w:val="none" w:sz="0" w:space="0" w:color="auto"/>
                                      </w:divBdr>
                                      <w:divsChild>
                                        <w:div w:id="1439787650">
                                          <w:marLeft w:val="0"/>
                                          <w:marRight w:val="0"/>
                                          <w:marTop w:val="120"/>
                                          <w:marBottom w:val="0"/>
                                          <w:divBdr>
                                            <w:top w:val="none" w:sz="0" w:space="0" w:color="auto"/>
                                            <w:left w:val="none" w:sz="0" w:space="0" w:color="auto"/>
                                            <w:bottom w:val="none" w:sz="0" w:space="0" w:color="auto"/>
                                            <w:right w:val="none" w:sz="0" w:space="0" w:color="auto"/>
                                          </w:divBdr>
                                        </w:div>
                                        <w:div w:id="640426089">
                                          <w:marLeft w:val="0"/>
                                          <w:marRight w:val="0"/>
                                          <w:marTop w:val="0"/>
                                          <w:marBottom w:val="0"/>
                                          <w:divBdr>
                                            <w:top w:val="none" w:sz="0" w:space="0" w:color="auto"/>
                                            <w:left w:val="none" w:sz="0" w:space="0" w:color="auto"/>
                                            <w:bottom w:val="none" w:sz="0" w:space="0" w:color="auto"/>
                                            <w:right w:val="none" w:sz="0" w:space="0" w:color="auto"/>
                                          </w:divBdr>
                                        </w:div>
                                      </w:divsChild>
                                    </w:div>
                                    <w:div w:id="1464881922">
                                      <w:marLeft w:val="0"/>
                                      <w:marRight w:val="0"/>
                                      <w:marTop w:val="0"/>
                                      <w:marBottom w:val="0"/>
                                      <w:divBdr>
                                        <w:top w:val="none" w:sz="0" w:space="0" w:color="auto"/>
                                        <w:left w:val="none" w:sz="0" w:space="0" w:color="auto"/>
                                        <w:bottom w:val="none" w:sz="0" w:space="0" w:color="auto"/>
                                        <w:right w:val="none" w:sz="0" w:space="0" w:color="auto"/>
                                      </w:divBdr>
                                      <w:divsChild>
                                        <w:div w:id="854999766">
                                          <w:marLeft w:val="0"/>
                                          <w:marRight w:val="0"/>
                                          <w:marTop w:val="120"/>
                                          <w:marBottom w:val="0"/>
                                          <w:divBdr>
                                            <w:top w:val="none" w:sz="0" w:space="0" w:color="auto"/>
                                            <w:left w:val="none" w:sz="0" w:space="0" w:color="auto"/>
                                            <w:bottom w:val="none" w:sz="0" w:space="0" w:color="auto"/>
                                            <w:right w:val="none" w:sz="0" w:space="0" w:color="auto"/>
                                          </w:divBdr>
                                        </w:div>
                                        <w:div w:id="895552879">
                                          <w:marLeft w:val="0"/>
                                          <w:marRight w:val="0"/>
                                          <w:marTop w:val="0"/>
                                          <w:marBottom w:val="0"/>
                                          <w:divBdr>
                                            <w:top w:val="none" w:sz="0" w:space="0" w:color="auto"/>
                                            <w:left w:val="none" w:sz="0" w:space="0" w:color="auto"/>
                                            <w:bottom w:val="none" w:sz="0" w:space="0" w:color="auto"/>
                                            <w:right w:val="none" w:sz="0" w:space="0" w:color="auto"/>
                                          </w:divBdr>
                                        </w:div>
                                      </w:divsChild>
                                    </w:div>
                                    <w:div w:id="223224293">
                                      <w:marLeft w:val="0"/>
                                      <w:marRight w:val="0"/>
                                      <w:marTop w:val="0"/>
                                      <w:marBottom w:val="0"/>
                                      <w:divBdr>
                                        <w:top w:val="none" w:sz="0" w:space="0" w:color="auto"/>
                                        <w:left w:val="none" w:sz="0" w:space="0" w:color="auto"/>
                                        <w:bottom w:val="none" w:sz="0" w:space="0" w:color="auto"/>
                                        <w:right w:val="none" w:sz="0" w:space="0" w:color="auto"/>
                                      </w:divBdr>
                                      <w:divsChild>
                                        <w:div w:id="436220592">
                                          <w:marLeft w:val="0"/>
                                          <w:marRight w:val="0"/>
                                          <w:marTop w:val="120"/>
                                          <w:marBottom w:val="0"/>
                                          <w:divBdr>
                                            <w:top w:val="none" w:sz="0" w:space="0" w:color="auto"/>
                                            <w:left w:val="none" w:sz="0" w:space="0" w:color="auto"/>
                                            <w:bottom w:val="none" w:sz="0" w:space="0" w:color="auto"/>
                                            <w:right w:val="none" w:sz="0" w:space="0" w:color="auto"/>
                                          </w:divBdr>
                                        </w:div>
                                        <w:div w:id="54653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434027">
                              <w:marLeft w:val="0"/>
                              <w:marRight w:val="0"/>
                              <w:marTop w:val="0"/>
                              <w:marBottom w:val="0"/>
                              <w:divBdr>
                                <w:top w:val="none" w:sz="0" w:space="0" w:color="auto"/>
                                <w:left w:val="none" w:sz="0" w:space="0" w:color="auto"/>
                                <w:bottom w:val="none" w:sz="0" w:space="0" w:color="auto"/>
                                <w:right w:val="none" w:sz="0" w:space="0" w:color="auto"/>
                              </w:divBdr>
                              <w:divsChild>
                                <w:div w:id="1939559126">
                                  <w:marLeft w:val="0"/>
                                  <w:marRight w:val="0"/>
                                  <w:marTop w:val="120"/>
                                  <w:marBottom w:val="0"/>
                                  <w:divBdr>
                                    <w:top w:val="none" w:sz="0" w:space="0" w:color="auto"/>
                                    <w:left w:val="none" w:sz="0" w:space="0" w:color="auto"/>
                                    <w:bottom w:val="none" w:sz="0" w:space="0" w:color="auto"/>
                                    <w:right w:val="none" w:sz="0" w:space="0" w:color="auto"/>
                                  </w:divBdr>
                                </w:div>
                                <w:div w:id="187261953">
                                  <w:marLeft w:val="0"/>
                                  <w:marRight w:val="0"/>
                                  <w:marTop w:val="0"/>
                                  <w:marBottom w:val="0"/>
                                  <w:divBdr>
                                    <w:top w:val="none" w:sz="0" w:space="0" w:color="auto"/>
                                    <w:left w:val="none" w:sz="0" w:space="0" w:color="auto"/>
                                    <w:bottom w:val="none" w:sz="0" w:space="0" w:color="auto"/>
                                    <w:right w:val="none" w:sz="0" w:space="0" w:color="auto"/>
                                  </w:divBdr>
                                </w:div>
                              </w:divsChild>
                            </w:div>
                            <w:div w:id="1652716184">
                              <w:marLeft w:val="0"/>
                              <w:marRight w:val="0"/>
                              <w:marTop w:val="0"/>
                              <w:marBottom w:val="0"/>
                              <w:divBdr>
                                <w:top w:val="none" w:sz="0" w:space="0" w:color="auto"/>
                                <w:left w:val="none" w:sz="0" w:space="0" w:color="auto"/>
                                <w:bottom w:val="none" w:sz="0" w:space="0" w:color="auto"/>
                                <w:right w:val="none" w:sz="0" w:space="0" w:color="auto"/>
                              </w:divBdr>
                              <w:divsChild>
                                <w:div w:id="773404123">
                                  <w:marLeft w:val="0"/>
                                  <w:marRight w:val="0"/>
                                  <w:marTop w:val="120"/>
                                  <w:marBottom w:val="0"/>
                                  <w:divBdr>
                                    <w:top w:val="none" w:sz="0" w:space="0" w:color="auto"/>
                                    <w:left w:val="none" w:sz="0" w:space="0" w:color="auto"/>
                                    <w:bottom w:val="none" w:sz="0" w:space="0" w:color="auto"/>
                                    <w:right w:val="none" w:sz="0" w:space="0" w:color="auto"/>
                                  </w:divBdr>
                                </w:div>
                                <w:div w:id="42365535">
                                  <w:marLeft w:val="0"/>
                                  <w:marRight w:val="0"/>
                                  <w:marTop w:val="0"/>
                                  <w:marBottom w:val="0"/>
                                  <w:divBdr>
                                    <w:top w:val="none" w:sz="0" w:space="0" w:color="auto"/>
                                    <w:left w:val="none" w:sz="0" w:space="0" w:color="auto"/>
                                    <w:bottom w:val="none" w:sz="0" w:space="0" w:color="auto"/>
                                    <w:right w:val="none" w:sz="0" w:space="0" w:color="auto"/>
                                  </w:divBdr>
                                  <w:divsChild>
                                    <w:div w:id="248736772">
                                      <w:marLeft w:val="0"/>
                                      <w:marRight w:val="0"/>
                                      <w:marTop w:val="0"/>
                                      <w:marBottom w:val="0"/>
                                      <w:divBdr>
                                        <w:top w:val="none" w:sz="0" w:space="0" w:color="auto"/>
                                        <w:left w:val="none" w:sz="0" w:space="0" w:color="auto"/>
                                        <w:bottom w:val="none" w:sz="0" w:space="0" w:color="auto"/>
                                        <w:right w:val="none" w:sz="0" w:space="0" w:color="auto"/>
                                      </w:divBdr>
                                      <w:divsChild>
                                        <w:div w:id="718474256">
                                          <w:marLeft w:val="0"/>
                                          <w:marRight w:val="0"/>
                                          <w:marTop w:val="120"/>
                                          <w:marBottom w:val="0"/>
                                          <w:divBdr>
                                            <w:top w:val="none" w:sz="0" w:space="0" w:color="auto"/>
                                            <w:left w:val="none" w:sz="0" w:space="0" w:color="auto"/>
                                            <w:bottom w:val="none" w:sz="0" w:space="0" w:color="auto"/>
                                            <w:right w:val="none" w:sz="0" w:space="0" w:color="auto"/>
                                          </w:divBdr>
                                        </w:div>
                                        <w:div w:id="1082720583">
                                          <w:marLeft w:val="0"/>
                                          <w:marRight w:val="0"/>
                                          <w:marTop w:val="0"/>
                                          <w:marBottom w:val="0"/>
                                          <w:divBdr>
                                            <w:top w:val="none" w:sz="0" w:space="0" w:color="auto"/>
                                            <w:left w:val="none" w:sz="0" w:space="0" w:color="auto"/>
                                            <w:bottom w:val="none" w:sz="0" w:space="0" w:color="auto"/>
                                            <w:right w:val="none" w:sz="0" w:space="0" w:color="auto"/>
                                          </w:divBdr>
                                        </w:div>
                                      </w:divsChild>
                                    </w:div>
                                    <w:div w:id="1115709028">
                                      <w:marLeft w:val="0"/>
                                      <w:marRight w:val="0"/>
                                      <w:marTop w:val="0"/>
                                      <w:marBottom w:val="0"/>
                                      <w:divBdr>
                                        <w:top w:val="none" w:sz="0" w:space="0" w:color="auto"/>
                                        <w:left w:val="none" w:sz="0" w:space="0" w:color="auto"/>
                                        <w:bottom w:val="none" w:sz="0" w:space="0" w:color="auto"/>
                                        <w:right w:val="none" w:sz="0" w:space="0" w:color="auto"/>
                                      </w:divBdr>
                                      <w:divsChild>
                                        <w:div w:id="2100717146">
                                          <w:marLeft w:val="0"/>
                                          <w:marRight w:val="0"/>
                                          <w:marTop w:val="120"/>
                                          <w:marBottom w:val="0"/>
                                          <w:divBdr>
                                            <w:top w:val="none" w:sz="0" w:space="0" w:color="auto"/>
                                            <w:left w:val="none" w:sz="0" w:space="0" w:color="auto"/>
                                            <w:bottom w:val="none" w:sz="0" w:space="0" w:color="auto"/>
                                            <w:right w:val="none" w:sz="0" w:space="0" w:color="auto"/>
                                          </w:divBdr>
                                        </w:div>
                                        <w:div w:id="570846591">
                                          <w:marLeft w:val="0"/>
                                          <w:marRight w:val="0"/>
                                          <w:marTop w:val="0"/>
                                          <w:marBottom w:val="0"/>
                                          <w:divBdr>
                                            <w:top w:val="none" w:sz="0" w:space="0" w:color="auto"/>
                                            <w:left w:val="none" w:sz="0" w:space="0" w:color="auto"/>
                                            <w:bottom w:val="none" w:sz="0" w:space="0" w:color="auto"/>
                                            <w:right w:val="none" w:sz="0" w:space="0" w:color="auto"/>
                                          </w:divBdr>
                                        </w:div>
                                      </w:divsChild>
                                    </w:div>
                                    <w:div w:id="971668702">
                                      <w:marLeft w:val="0"/>
                                      <w:marRight w:val="0"/>
                                      <w:marTop w:val="0"/>
                                      <w:marBottom w:val="0"/>
                                      <w:divBdr>
                                        <w:top w:val="none" w:sz="0" w:space="0" w:color="auto"/>
                                        <w:left w:val="none" w:sz="0" w:space="0" w:color="auto"/>
                                        <w:bottom w:val="none" w:sz="0" w:space="0" w:color="auto"/>
                                        <w:right w:val="none" w:sz="0" w:space="0" w:color="auto"/>
                                      </w:divBdr>
                                      <w:divsChild>
                                        <w:div w:id="1317494040">
                                          <w:marLeft w:val="0"/>
                                          <w:marRight w:val="0"/>
                                          <w:marTop w:val="120"/>
                                          <w:marBottom w:val="0"/>
                                          <w:divBdr>
                                            <w:top w:val="none" w:sz="0" w:space="0" w:color="auto"/>
                                            <w:left w:val="none" w:sz="0" w:space="0" w:color="auto"/>
                                            <w:bottom w:val="none" w:sz="0" w:space="0" w:color="auto"/>
                                            <w:right w:val="none" w:sz="0" w:space="0" w:color="auto"/>
                                          </w:divBdr>
                                        </w:div>
                                        <w:div w:id="37297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738137">
                              <w:marLeft w:val="0"/>
                              <w:marRight w:val="0"/>
                              <w:marTop w:val="0"/>
                              <w:marBottom w:val="0"/>
                              <w:divBdr>
                                <w:top w:val="none" w:sz="0" w:space="0" w:color="auto"/>
                                <w:left w:val="none" w:sz="0" w:space="0" w:color="auto"/>
                                <w:bottom w:val="none" w:sz="0" w:space="0" w:color="auto"/>
                                <w:right w:val="none" w:sz="0" w:space="0" w:color="auto"/>
                              </w:divBdr>
                              <w:divsChild>
                                <w:div w:id="1794253948">
                                  <w:marLeft w:val="0"/>
                                  <w:marRight w:val="0"/>
                                  <w:marTop w:val="120"/>
                                  <w:marBottom w:val="0"/>
                                  <w:divBdr>
                                    <w:top w:val="none" w:sz="0" w:space="0" w:color="auto"/>
                                    <w:left w:val="none" w:sz="0" w:space="0" w:color="auto"/>
                                    <w:bottom w:val="none" w:sz="0" w:space="0" w:color="auto"/>
                                    <w:right w:val="none" w:sz="0" w:space="0" w:color="auto"/>
                                  </w:divBdr>
                                </w:div>
                                <w:div w:id="955136943">
                                  <w:marLeft w:val="0"/>
                                  <w:marRight w:val="0"/>
                                  <w:marTop w:val="0"/>
                                  <w:marBottom w:val="0"/>
                                  <w:divBdr>
                                    <w:top w:val="none" w:sz="0" w:space="0" w:color="auto"/>
                                    <w:left w:val="none" w:sz="0" w:space="0" w:color="auto"/>
                                    <w:bottom w:val="none" w:sz="0" w:space="0" w:color="auto"/>
                                    <w:right w:val="none" w:sz="0" w:space="0" w:color="auto"/>
                                  </w:divBdr>
                                </w:div>
                              </w:divsChild>
                            </w:div>
                            <w:div w:id="1045907775">
                              <w:marLeft w:val="0"/>
                              <w:marRight w:val="0"/>
                              <w:marTop w:val="0"/>
                              <w:marBottom w:val="0"/>
                              <w:divBdr>
                                <w:top w:val="none" w:sz="0" w:space="0" w:color="auto"/>
                                <w:left w:val="none" w:sz="0" w:space="0" w:color="auto"/>
                                <w:bottom w:val="none" w:sz="0" w:space="0" w:color="auto"/>
                                <w:right w:val="none" w:sz="0" w:space="0" w:color="auto"/>
                              </w:divBdr>
                              <w:divsChild>
                                <w:div w:id="749231722">
                                  <w:marLeft w:val="0"/>
                                  <w:marRight w:val="0"/>
                                  <w:marTop w:val="120"/>
                                  <w:marBottom w:val="0"/>
                                  <w:divBdr>
                                    <w:top w:val="none" w:sz="0" w:space="0" w:color="auto"/>
                                    <w:left w:val="none" w:sz="0" w:space="0" w:color="auto"/>
                                    <w:bottom w:val="none" w:sz="0" w:space="0" w:color="auto"/>
                                    <w:right w:val="none" w:sz="0" w:space="0" w:color="auto"/>
                                  </w:divBdr>
                                </w:div>
                                <w:div w:id="75381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964849">
                      <w:marLeft w:val="0"/>
                      <w:marRight w:val="0"/>
                      <w:marTop w:val="0"/>
                      <w:marBottom w:val="0"/>
                      <w:divBdr>
                        <w:top w:val="none" w:sz="0" w:space="0" w:color="auto"/>
                        <w:left w:val="none" w:sz="0" w:space="0" w:color="auto"/>
                        <w:bottom w:val="none" w:sz="0" w:space="0" w:color="auto"/>
                        <w:right w:val="none" w:sz="0" w:space="0" w:color="auto"/>
                      </w:divBdr>
                      <w:divsChild>
                        <w:div w:id="1942951425">
                          <w:marLeft w:val="0"/>
                          <w:marRight w:val="0"/>
                          <w:marTop w:val="120"/>
                          <w:marBottom w:val="0"/>
                          <w:divBdr>
                            <w:top w:val="none" w:sz="0" w:space="0" w:color="auto"/>
                            <w:left w:val="none" w:sz="0" w:space="0" w:color="auto"/>
                            <w:bottom w:val="none" w:sz="0" w:space="0" w:color="auto"/>
                            <w:right w:val="none" w:sz="0" w:space="0" w:color="auto"/>
                          </w:divBdr>
                        </w:div>
                        <w:div w:id="1050690767">
                          <w:marLeft w:val="0"/>
                          <w:marRight w:val="0"/>
                          <w:marTop w:val="0"/>
                          <w:marBottom w:val="0"/>
                          <w:divBdr>
                            <w:top w:val="none" w:sz="0" w:space="0" w:color="auto"/>
                            <w:left w:val="none" w:sz="0" w:space="0" w:color="auto"/>
                            <w:bottom w:val="none" w:sz="0" w:space="0" w:color="auto"/>
                            <w:right w:val="none" w:sz="0" w:space="0" w:color="auto"/>
                          </w:divBdr>
                        </w:div>
                      </w:divsChild>
                    </w:div>
                    <w:div w:id="314065323">
                      <w:marLeft w:val="0"/>
                      <w:marRight w:val="0"/>
                      <w:marTop w:val="0"/>
                      <w:marBottom w:val="0"/>
                      <w:divBdr>
                        <w:top w:val="none" w:sz="0" w:space="0" w:color="auto"/>
                        <w:left w:val="none" w:sz="0" w:space="0" w:color="auto"/>
                        <w:bottom w:val="none" w:sz="0" w:space="0" w:color="auto"/>
                        <w:right w:val="none" w:sz="0" w:space="0" w:color="auto"/>
                      </w:divBdr>
                      <w:divsChild>
                        <w:div w:id="915939983">
                          <w:marLeft w:val="0"/>
                          <w:marRight w:val="0"/>
                          <w:marTop w:val="120"/>
                          <w:marBottom w:val="0"/>
                          <w:divBdr>
                            <w:top w:val="none" w:sz="0" w:space="0" w:color="auto"/>
                            <w:left w:val="none" w:sz="0" w:space="0" w:color="auto"/>
                            <w:bottom w:val="none" w:sz="0" w:space="0" w:color="auto"/>
                            <w:right w:val="none" w:sz="0" w:space="0" w:color="auto"/>
                          </w:divBdr>
                        </w:div>
                        <w:div w:id="1592275168">
                          <w:marLeft w:val="0"/>
                          <w:marRight w:val="0"/>
                          <w:marTop w:val="0"/>
                          <w:marBottom w:val="0"/>
                          <w:divBdr>
                            <w:top w:val="none" w:sz="0" w:space="0" w:color="auto"/>
                            <w:left w:val="none" w:sz="0" w:space="0" w:color="auto"/>
                            <w:bottom w:val="none" w:sz="0" w:space="0" w:color="auto"/>
                            <w:right w:val="none" w:sz="0" w:space="0" w:color="auto"/>
                          </w:divBdr>
                        </w:div>
                      </w:divsChild>
                    </w:div>
                    <w:div w:id="1497724680">
                      <w:marLeft w:val="0"/>
                      <w:marRight w:val="0"/>
                      <w:marTop w:val="0"/>
                      <w:marBottom w:val="0"/>
                      <w:divBdr>
                        <w:top w:val="none" w:sz="0" w:space="0" w:color="auto"/>
                        <w:left w:val="none" w:sz="0" w:space="0" w:color="auto"/>
                        <w:bottom w:val="none" w:sz="0" w:space="0" w:color="auto"/>
                        <w:right w:val="none" w:sz="0" w:space="0" w:color="auto"/>
                      </w:divBdr>
                      <w:divsChild>
                        <w:div w:id="1653947434">
                          <w:marLeft w:val="0"/>
                          <w:marRight w:val="0"/>
                          <w:marTop w:val="120"/>
                          <w:marBottom w:val="0"/>
                          <w:divBdr>
                            <w:top w:val="none" w:sz="0" w:space="0" w:color="auto"/>
                            <w:left w:val="none" w:sz="0" w:space="0" w:color="auto"/>
                            <w:bottom w:val="none" w:sz="0" w:space="0" w:color="auto"/>
                            <w:right w:val="none" w:sz="0" w:space="0" w:color="auto"/>
                          </w:divBdr>
                        </w:div>
                        <w:div w:id="1031609835">
                          <w:marLeft w:val="0"/>
                          <w:marRight w:val="0"/>
                          <w:marTop w:val="0"/>
                          <w:marBottom w:val="0"/>
                          <w:divBdr>
                            <w:top w:val="none" w:sz="0" w:space="0" w:color="auto"/>
                            <w:left w:val="none" w:sz="0" w:space="0" w:color="auto"/>
                            <w:bottom w:val="none" w:sz="0" w:space="0" w:color="auto"/>
                            <w:right w:val="none" w:sz="0" w:space="0" w:color="auto"/>
                          </w:divBdr>
                        </w:div>
                      </w:divsChild>
                    </w:div>
                    <w:div w:id="1641836767">
                      <w:marLeft w:val="0"/>
                      <w:marRight w:val="0"/>
                      <w:marTop w:val="0"/>
                      <w:marBottom w:val="0"/>
                      <w:divBdr>
                        <w:top w:val="none" w:sz="0" w:space="0" w:color="auto"/>
                        <w:left w:val="none" w:sz="0" w:space="0" w:color="auto"/>
                        <w:bottom w:val="none" w:sz="0" w:space="0" w:color="auto"/>
                        <w:right w:val="none" w:sz="0" w:space="0" w:color="auto"/>
                      </w:divBdr>
                      <w:divsChild>
                        <w:div w:id="620384947">
                          <w:marLeft w:val="0"/>
                          <w:marRight w:val="0"/>
                          <w:marTop w:val="120"/>
                          <w:marBottom w:val="0"/>
                          <w:divBdr>
                            <w:top w:val="none" w:sz="0" w:space="0" w:color="auto"/>
                            <w:left w:val="none" w:sz="0" w:space="0" w:color="auto"/>
                            <w:bottom w:val="none" w:sz="0" w:space="0" w:color="auto"/>
                            <w:right w:val="none" w:sz="0" w:space="0" w:color="auto"/>
                          </w:divBdr>
                        </w:div>
                        <w:div w:id="961375889">
                          <w:marLeft w:val="0"/>
                          <w:marRight w:val="0"/>
                          <w:marTop w:val="0"/>
                          <w:marBottom w:val="0"/>
                          <w:divBdr>
                            <w:top w:val="none" w:sz="0" w:space="0" w:color="auto"/>
                            <w:left w:val="none" w:sz="0" w:space="0" w:color="auto"/>
                            <w:bottom w:val="none" w:sz="0" w:space="0" w:color="auto"/>
                            <w:right w:val="none" w:sz="0" w:space="0" w:color="auto"/>
                          </w:divBdr>
                        </w:div>
                      </w:divsChild>
                    </w:div>
                    <w:div w:id="375929744">
                      <w:marLeft w:val="0"/>
                      <w:marRight w:val="0"/>
                      <w:marTop w:val="0"/>
                      <w:marBottom w:val="0"/>
                      <w:divBdr>
                        <w:top w:val="none" w:sz="0" w:space="0" w:color="auto"/>
                        <w:left w:val="none" w:sz="0" w:space="0" w:color="auto"/>
                        <w:bottom w:val="none" w:sz="0" w:space="0" w:color="auto"/>
                        <w:right w:val="none" w:sz="0" w:space="0" w:color="auto"/>
                      </w:divBdr>
                      <w:divsChild>
                        <w:div w:id="1240484968">
                          <w:marLeft w:val="0"/>
                          <w:marRight w:val="0"/>
                          <w:marTop w:val="120"/>
                          <w:marBottom w:val="0"/>
                          <w:divBdr>
                            <w:top w:val="none" w:sz="0" w:space="0" w:color="auto"/>
                            <w:left w:val="none" w:sz="0" w:space="0" w:color="auto"/>
                            <w:bottom w:val="none" w:sz="0" w:space="0" w:color="auto"/>
                            <w:right w:val="none" w:sz="0" w:space="0" w:color="auto"/>
                          </w:divBdr>
                        </w:div>
                        <w:div w:id="1277558961">
                          <w:marLeft w:val="0"/>
                          <w:marRight w:val="0"/>
                          <w:marTop w:val="0"/>
                          <w:marBottom w:val="0"/>
                          <w:divBdr>
                            <w:top w:val="none" w:sz="0" w:space="0" w:color="auto"/>
                            <w:left w:val="none" w:sz="0" w:space="0" w:color="auto"/>
                            <w:bottom w:val="none" w:sz="0" w:space="0" w:color="auto"/>
                            <w:right w:val="none" w:sz="0" w:space="0" w:color="auto"/>
                          </w:divBdr>
                        </w:div>
                      </w:divsChild>
                    </w:div>
                    <w:div w:id="783885352">
                      <w:marLeft w:val="0"/>
                      <w:marRight w:val="0"/>
                      <w:marTop w:val="0"/>
                      <w:marBottom w:val="0"/>
                      <w:divBdr>
                        <w:top w:val="none" w:sz="0" w:space="0" w:color="auto"/>
                        <w:left w:val="none" w:sz="0" w:space="0" w:color="auto"/>
                        <w:bottom w:val="none" w:sz="0" w:space="0" w:color="auto"/>
                        <w:right w:val="none" w:sz="0" w:space="0" w:color="auto"/>
                      </w:divBdr>
                      <w:divsChild>
                        <w:div w:id="608506993">
                          <w:marLeft w:val="0"/>
                          <w:marRight w:val="0"/>
                          <w:marTop w:val="120"/>
                          <w:marBottom w:val="0"/>
                          <w:divBdr>
                            <w:top w:val="none" w:sz="0" w:space="0" w:color="auto"/>
                            <w:left w:val="none" w:sz="0" w:space="0" w:color="auto"/>
                            <w:bottom w:val="none" w:sz="0" w:space="0" w:color="auto"/>
                            <w:right w:val="none" w:sz="0" w:space="0" w:color="auto"/>
                          </w:divBdr>
                        </w:div>
                        <w:div w:id="796028743">
                          <w:marLeft w:val="0"/>
                          <w:marRight w:val="0"/>
                          <w:marTop w:val="0"/>
                          <w:marBottom w:val="0"/>
                          <w:divBdr>
                            <w:top w:val="none" w:sz="0" w:space="0" w:color="auto"/>
                            <w:left w:val="none" w:sz="0" w:space="0" w:color="auto"/>
                            <w:bottom w:val="none" w:sz="0" w:space="0" w:color="auto"/>
                            <w:right w:val="none" w:sz="0" w:space="0" w:color="auto"/>
                          </w:divBdr>
                        </w:div>
                      </w:divsChild>
                    </w:div>
                    <w:div w:id="1210191925">
                      <w:marLeft w:val="0"/>
                      <w:marRight w:val="0"/>
                      <w:marTop w:val="0"/>
                      <w:marBottom w:val="0"/>
                      <w:divBdr>
                        <w:top w:val="none" w:sz="0" w:space="0" w:color="auto"/>
                        <w:left w:val="none" w:sz="0" w:space="0" w:color="auto"/>
                        <w:bottom w:val="none" w:sz="0" w:space="0" w:color="auto"/>
                        <w:right w:val="none" w:sz="0" w:space="0" w:color="auto"/>
                      </w:divBdr>
                      <w:divsChild>
                        <w:div w:id="387999991">
                          <w:marLeft w:val="0"/>
                          <w:marRight w:val="0"/>
                          <w:marTop w:val="120"/>
                          <w:marBottom w:val="0"/>
                          <w:divBdr>
                            <w:top w:val="none" w:sz="0" w:space="0" w:color="auto"/>
                            <w:left w:val="none" w:sz="0" w:space="0" w:color="auto"/>
                            <w:bottom w:val="none" w:sz="0" w:space="0" w:color="auto"/>
                            <w:right w:val="none" w:sz="0" w:space="0" w:color="auto"/>
                          </w:divBdr>
                        </w:div>
                        <w:div w:id="1703283521">
                          <w:marLeft w:val="0"/>
                          <w:marRight w:val="0"/>
                          <w:marTop w:val="0"/>
                          <w:marBottom w:val="0"/>
                          <w:divBdr>
                            <w:top w:val="none" w:sz="0" w:space="0" w:color="auto"/>
                            <w:left w:val="none" w:sz="0" w:space="0" w:color="auto"/>
                            <w:bottom w:val="none" w:sz="0" w:space="0" w:color="auto"/>
                            <w:right w:val="none" w:sz="0" w:space="0" w:color="auto"/>
                          </w:divBdr>
                        </w:div>
                      </w:divsChild>
                    </w:div>
                    <w:div w:id="1057240284">
                      <w:marLeft w:val="0"/>
                      <w:marRight w:val="0"/>
                      <w:marTop w:val="0"/>
                      <w:marBottom w:val="0"/>
                      <w:divBdr>
                        <w:top w:val="none" w:sz="0" w:space="0" w:color="auto"/>
                        <w:left w:val="none" w:sz="0" w:space="0" w:color="auto"/>
                        <w:bottom w:val="none" w:sz="0" w:space="0" w:color="auto"/>
                        <w:right w:val="none" w:sz="0" w:space="0" w:color="auto"/>
                      </w:divBdr>
                      <w:divsChild>
                        <w:div w:id="1335915874">
                          <w:marLeft w:val="0"/>
                          <w:marRight w:val="0"/>
                          <w:marTop w:val="120"/>
                          <w:marBottom w:val="0"/>
                          <w:divBdr>
                            <w:top w:val="none" w:sz="0" w:space="0" w:color="auto"/>
                            <w:left w:val="none" w:sz="0" w:space="0" w:color="auto"/>
                            <w:bottom w:val="none" w:sz="0" w:space="0" w:color="auto"/>
                            <w:right w:val="none" w:sz="0" w:space="0" w:color="auto"/>
                          </w:divBdr>
                        </w:div>
                        <w:div w:id="1774202534">
                          <w:marLeft w:val="0"/>
                          <w:marRight w:val="0"/>
                          <w:marTop w:val="0"/>
                          <w:marBottom w:val="0"/>
                          <w:divBdr>
                            <w:top w:val="none" w:sz="0" w:space="0" w:color="auto"/>
                            <w:left w:val="none" w:sz="0" w:space="0" w:color="auto"/>
                            <w:bottom w:val="none" w:sz="0" w:space="0" w:color="auto"/>
                            <w:right w:val="none" w:sz="0" w:space="0" w:color="auto"/>
                          </w:divBdr>
                        </w:div>
                      </w:divsChild>
                    </w:div>
                    <w:div w:id="1528367454">
                      <w:marLeft w:val="0"/>
                      <w:marRight w:val="0"/>
                      <w:marTop w:val="0"/>
                      <w:marBottom w:val="0"/>
                      <w:divBdr>
                        <w:top w:val="none" w:sz="0" w:space="0" w:color="auto"/>
                        <w:left w:val="none" w:sz="0" w:space="0" w:color="auto"/>
                        <w:bottom w:val="none" w:sz="0" w:space="0" w:color="auto"/>
                        <w:right w:val="none" w:sz="0" w:space="0" w:color="auto"/>
                      </w:divBdr>
                      <w:divsChild>
                        <w:div w:id="1745956766">
                          <w:marLeft w:val="0"/>
                          <w:marRight w:val="0"/>
                          <w:marTop w:val="120"/>
                          <w:marBottom w:val="0"/>
                          <w:divBdr>
                            <w:top w:val="none" w:sz="0" w:space="0" w:color="auto"/>
                            <w:left w:val="none" w:sz="0" w:space="0" w:color="auto"/>
                            <w:bottom w:val="none" w:sz="0" w:space="0" w:color="auto"/>
                            <w:right w:val="none" w:sz="0" w:space="0" w:color="auto"/>
                          </w:divBdr>
                        </w:div>
                        <w:div w:id="152713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37018">
              <w:marLeft w:val="0"/>
              <w:marRight w:val="0"/>
              <w:marTop w:val="0"/>
              <w:marBottom w:val="0"/>
              <w:divBdr>
                <w:top w:val="none" w:sz="0" w:space="0" w:color="auto"/>
                <w:left w:val="none" w:sz="0" w:space="0" w:color="auto"/>
                <w:bottom w:val="none" w:sz="0" w:space="0" w:color="auto"/>
                <w:right w:val="none" w:sz="0" w:space="0" w:color="auto"/>
              </w:divBdr>
              <w:divsChild>
                <w:div w:id="62037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13659">
      <w:bodyDiv w:val="1"/>
      <w:marLeft w:val="0"/>
      <w:marRight w:val="0"/>
      <w:marTop w:val="0"/>
      <w:marBottom w:val="0"/>
      <w:divBdr>
        <w:top w:val="none" w:sz="0" w:space="0" w:color="auto"/>
        <w:left w:val="none" w:sz="0" w:space="0" w:color="auto"/>
        <w:bottom w:val="none" w:sz="0" w:space="0" w:color="auto"/>
        <w:right w:val="none" w:sz="0" w:space="0" w:color="auto"/>
      </w:divBdr>
      <w:divsChild>
        <w:div w:id="1309240627">
          <w:marLeft w:val="0"/>
          <w:marRight w:val="0"/>
          <w:marTop w:val="0"/>
          <w:marBottom w:val="0"/>
          <w:divBdr>
            <w:top w:val="none" w:sz="0" w:space="0" w:color="auto"/>
            <w:left w:val="none" w:sz="0" w:space="0" w:color="auto"/>
            <w:bottom w:val="none" w:sz="0" w:space="0" w:color="auto"/>
            <w:right w:val="none" w:sz="0" w:space="0" w:color="auto"/>
          </w:divBdr>
        </w:div>
      </w:divsChild>
    </w:div>
    <w:div w:id="1507134477">
      <w:bodyDiv w:val="1"/>
      <w:marLeft w:val="0"/>
      <w:marRight w:val="0"/>
      <w:marTop w:val="0"/>
      <w:marBottom w:val="0"/>
      <w:divBdr>
        <w:top w:val="none" w:sz="0" w:space="0" w:color="auto"/>
        <w:left w:val="none" w:sz="0" w:space="0" w:color="auto"/>
        <w:bottom w:val="none" w:sz="0" w:space="0" w:color="auto"/>
        <w:right w:val="none" w:sz="0" w:space="0" w:color="auto"/>
      </w:divBdr>
      <w:divsChild>
        <w:div w:id="570233689">
          <w:marLeft w:val="0"/>
          <w:marRight w:val="0"/>
          <w:marTop w:val="0"/>
          <w:marBottom w:val="0"/>
          <w:divBdr>
            <w:top w:val="none" w:sz="0" w:space="0" w:color="auto"/>
            <w:left w:val="none" w:sz="0" w:space="0" w:color="auto"/>
            <w:bottom w:val="none" w:sz="0" w:space="0" w:color="auto"/>
            <w:right w:val="none" w:sz="0" w:space="0" w:color="auto"/>
          </w:divBdr>
        </w:div>
      </w:divsChild>
    </w:div>
    <w:div w:id="1511336427">
      <w:bodyDiv w:val="1"/>
      <w:marLeft w:val="0"/>
      <w:marRight w:val="0"/>
      <w:marTop w:val="0"/>
      <w:marBottom w:val="0"/>
      <w:divBdr>
        <w:top w:val="none" w:sz="0" w:space="0" w:color="auto"/>
        <w:left w:val="none" w:sz="0" w:space="0" w:color="auto"/>
        <w:bottom w:val="none" w:sz="0" w:space="0" w:color="auto"/>
        <w:right w:val="none" w:sz="0" w:space="0" w:color="auto"/>
      </w:divBdr>
      <w:divsChild>
        <w:div w:id="1170677823">
          <w:marLeft w:val="0"/>
          <w:marRight w:val="0"/>
          <w:marTop w:val="0"/>
          <w:marBottom w:val="0"/>
          <w:divBdr>
            <w:top w:val="none" w:sz="0" w:space="0" w:color="auto"/>
            <w:left w:val="none" w:sz="0" w:space="0" w:color="auto"/>
            <w:bottom w:val="none" w:sz="0" w:space="0" w:color="auto"/>
            <w:right w:val="none" w:sz="0" w:space="0" w:color="auto"/>
          </w:divBdr>
          <w:divsChild>
            <w:div w:id="1310791553">
              <w:marLeft w:val="0"/>
              <w:marRight w:val="0"/>
              <w:marTop w:val="0"/>
              <w:marBottom w:val="0"/>
              <w:divBdr>
                <w:top w:val="none" w:sz="0" w:space="0" w:color="auto"/>
                <w:left w:val="none" w:sz="0" w:space="0" w:color="auto"/>
                <w:bottom w:val="none" w:sz="0" w:space="0" w:color="auto"/>
                <w:right w:val="none" w:sz="0" w:space="0" w:color="auto"/>
              </w:divBdr>
              <w:divsChild>
                <w:div w:id="1763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527380">
      <w:bodyDiv w:val="1"/>
      <w:marLeft w:val="0"/>
      <w:marRight w:val="0"/>
      <w:marTop w:val="0"/>
      <w:marBottom w:val="0"/>
      <w:divBdr>
        <w:top w:val="none" w:sz="0" w:space="0" w:color="auto"/>
        <w:left w:val="none" w:sz="0" w:space="0" w:color="auto"/>
        <w:bottom w:val="none" w:sz="0" w:space="0" w:color="auto"/>
        <w:right w:val="none" w:sz="0" w:space="0" w:color="auto"/>
      </w:divBdr>
      <w:divsChild>
        <w:div w:id="1907452027">
          <w:marLeft w:val="0"/>
          <w:marRight w:val="0"/>
          <w:marTop w:val="0"/>
          <w:marBottom w:val="0"/>
          <w:divBdr>
            <w:top w:val="none" w:sz="0" w:space="0" w:color="auto"/>
            <w:left w:val="none" w:sz="0" w:space="0" w:color="auto"/>
            <w:bottom w:val="none" w:sz="0" w:space="0" w:color="auto"/>
            <w:right w:val="none" w:sz="0" w:space="0" w:color="auto"/>
          </w:divBdr>
        </w:div>
      </w:divsChild>
    </w:div>
    <w:div w:id="1514105515">
      <w:bodyDiv w:val="1"/>
      <w:marLeft w:val="0"/>
      <w:marRight w:val="0"/>
      <w:marTop w:val="0"/>
      <w:marBottom w:val="0"/>
      <w:divBdr>
        <w:top w:val="none" w:sz="0" w:space="0" w:color="auto"/>
        <w:left w:val="none" w:sz="0" w:space="0" w:color="auto"/>
        <w:bottom w:val="none" w:sz="0" w:space="0" w:color="auto"/>
        <w:right w:val="none" w:sz="0" w:space="0" w:color="auto"/>
      </w:divBdr>
      <w:divsChild>
        <w:div w:id="1013148573">
          <w:marLeft w:val="0"/>
          <w:marRight w:val="0"/>
          <w:marTop w:val="120"/>
          <w:marBottom w:val="0"/>
          <w:divBdr>
            <w:top w:val="none" w:sz="0" w:space="0" w:color="auto"/>
            <w:left w:val="none" w:sz="0" w:space="0" w:color="auto"/>
            <w:bottom w:val="none" w:sz="0" w:space="0" w:color="auto"/>
            <w:right w:val="none" w:sz="0" w:space="0" w:color="auto"/>
          </w:divBdr>
        </w:div>
        <w:div w:id="200016001">
          <w:marLeft w:val="0"/>
          <w:marRight w:val="0"/>
          <w:marTop w:val="0"/>
          <w:marBottom w:val="0"/>
          <w:divBdr>
            <w:top w:val="none" w:sz="0" w:space="0" w:color="auto"/>
            <w:left w:val="none" w:sz="0" w:space="0" w:color="auto"/>
            <w:bottom w:val="none" w:sz="0" w:space="0" w:color="auto"/>
            <w:right w:val="none" w:sz="0" w:space="0" w:color="auto"/>
          </w:divBdr>
        </w:div>
      </w:divsChild>
    </w:div>
    <w:div w:id="1521509241">
      <w:bodyDiv w:val="1"/>
      <w:marLeft w:val="0"/>
      <w:marRight w:val="0"/>
      <w:marTop w:val="0"/>
      <w:marBottom w:val="0"/>
      <w:divBdr>
        <w:top w:val="none" w:sz="0" w:space="0" w:color="auto"/>
        <w:left w:val="none" w:sz="0" w:space="0" w:color="auto"/>
        <w:bottom w:val="none" w:sz="0" w:space="0" w:color="auto"/>
        <w:right w:val="none" w:sz="0" w:space="0" w:color="auto"/>
      </w:divBdr>
      <w:divsChild>
        <w:div w:id="1146514205">
          <w:marLeft w:val="0"/>
          <w:marRight w:val="0"/>
          <w:marTop w:val="0"/>
          <w:marBottom w:val="0"/>
          <w:divBdr>
            <w:top w:val="none" w:sz="0" w:space="0" w:color="auto"/>
            <w:left w:val="none" w:sz="0" w:space="0" w:color="auto"/>
            <w:bottom w:val="none" w:sz="0" w:space="0" w:color="auto"/>
            <w:right w:val="none" w:sz="0" w:space="0" w:color="auto"/>
          </w:divBdr>
        </w:div>
      </w:divsChild>
    </w:div>
    <w:div w:id="1523743492">
      <w:bodyDiv w:val="1"/>
      <w:marLeft w:val="0"/>
      <w:marRight w:val="0"/>
      <w:marTop w:val="0"/>
      <w:marBottom w:val="0"/>
      <w:divBdr>
        <w:top w:val="none" w:sz="0" w:space="0" w:color="auto"/>
        <w:left w:val="none" w:sz="0" w:space="0" w:color="auto"/>
        <w:bottom w:val="none" w:sz="0" w:space="0" w:color="auto"/>
        <w:right w:val="none" w:sz="0" w:space="0" w:color="auto"/>
      </w:divBdr>
      <w:divsChild>
        <w:div w:id="408307366">
          <w:marLeft w:val="0"/>
          <w:marRight w:val="0"/>
          <w:marTop w:val="0"/>
          <w:marBottom w:val="0"/>
          <w:divBdr>
            <w:top w:val="none" w:sz="0" w:space="0" w:color="auto"/>
            <w:left w:val="none" w:sz="0" w:space="0" w:color="auto"/>
            <w:bottom w:val="none" w:sz="0" w:space="0" w:color="auto"/>
            <w:right w:val="none" w:sz="0" w:space="0" w:color="auto"/>
          </w:divBdr>
        </w:div>
      </w:divsChild>
    </w:div>
    <w:div w:id="1527674891">
      <w:bodyDiv w:val="1"/>
      <w:marLeft w:val="0"/>
      <w:marRight w:val="0"/>
      <w:marTop w:val="0"/>
      <w:marBottom w:val="0"/>
      <w:divBdr>
        <w:top w:val="none" w:sz="0" w:space="0" w:color="auto"/>
        <w:left w:val="none" w:sz="0" w:space="0" w:color="auto"/>
        <w:bottom w:val="none" w:sz="0" w:space="0" w:color="auto"/>
        <w:right w:val="none" w:sz="0" w:space="0" w:color="auto"/>
      </w:divBdr>
      <w:divsChild>
        <w:div w:id="593559995">
          <w:marLeft w:val="0"/>
          <w:marRight w:val="0"/>
          <w:marTop w:val="0"/>
          <w:marBottom w:val="0"/>
          <w:divBdr>
            <w:top w:val="none" w:sz="0" w:space="0" w:color="auto"/>
            <w:left w:val="none" w:sz="0" w:space="0" w:color="auto"/>
            <w:bottom w:val="none" w:sz="0" w:space="0" w:color="auto"/>
            <w:right w:val="none" w:sz="0" w:space="0" w:color="auto"/>
          </w:divBdr>
        </w:div>
      </w:divsChild>
    </w:div>
    <w:div w:id="1530952524">
      <w:bodyDiv w:val="1"/>
      <w:marLeft w:val="0"/>
      <w:marRight w:val="0"/>
      <w:marTop w:val="0"/>
      <w:marBottom w:val="0"/>
      <w:divBdr>
        <w:top w:val="none" w:sz="0" w:space="0" w:color="auto"/>
        <w:left w:val="none" w:sz="0" w:space="0" w:color="auto"/>
        <w:bottom w:val="none" w:sz="0" w:space="0" w:color="auto"/>
        <w:right w:val="none" w:sz="0" w:space="0" w:color="auto"/>
      </w:divBdr>
      <w:divsChild>
        <w:div w:id="1343052455">
          <w:marLeft w:val="0"/>
          <w:marRight w:val="0"/>
          <w:marTop w:val="0"/>
          <w:marBottom w:val="0"/>
          <w:divBdr>
            <w:top w:val="none" w:sz="0" w:space="0" w:color="auto"/>
            <w:left w:val="none" w:sz="0" w:space="0" w:color="auto"/>
            <w:bottom w:val="none" w:sz="0" w:space="0" w:color="auto"/>
            <w:right w:val="none" w:sz="0" w:space="0" w:color="auto"/>
          </w:divBdr>
        </w:div>
      </w:divsChild>
    </w:div>
    <w:div w:id="1542670615">
      <w:bodyDiv w:val="1"/>
      <w:marLeft w:val="0"/>
      <w:marRight w:val="0"/>
      <w:marTop w:val="0"/>
      <w:marBottom w:val="0"/>
      <w:divBdr>
        <w:top w:val="none" w:sz="0" w:space="0" w:color="auto"/>
        <w:left w:val="none" w:sz="0" w:space="0" w:color="auto"/>
        <w:bottom w:val="none" w:sz="0" w:space="0" w:color="auto"/>
        <w:right w:val="none" w:sz="0" w:space="0" w:color="auto"/>
      </w:divBdr>
      <w:divsChild>
        <w:div w:id="1481116391">
          <w:marLeft w:val="0"/>
          <w:marRight w:val="0"/>
          <w:marTop w:val="0"/>
          <w:marBottom w:val="0"/>
          <w:divBdr>
            <w:top w:val="none" w:sz="0" w:space="0" w:color="auto"/>
            <w:left w:val="none" w:sz="0" w:space="0" w:color="auto"/>
            <w:bottom w:val="none" w:sz="0" w:space="0" w:color="auto"/>
            <w:right w:val="none" w:sz="0" w:space="0" w:color="auto"/>
          </w:divBdr>
        </w:div>
      </w:divsChild>
    </w:div>
    <w:div w:id="1546673651">
      <w:bodyDiv w:val="1"/>
      <w:marLeft w:val="0"/>
      <w:marRight w:val="0"/>
      <w:marTop w:val="0"/>
      <w:marBottom w:val="0"/>
      <w:divBdr>
        <w:top w:val="none" w:sz="0" w:space="0" w:color="auto"/>
        <w:left w:val="none" w:sz="0" w:space="0" w:color="auto"/>
        <w:bottom w:val="none" w:sz="0" w:space="0" w:color="auto"/>
        <w:right w:val="none" w:sz="0" w:space="0" w:color="auto"/>
      </w:divBdr>
      <w:divsChild>
        <w:div w:id="1972781954">
          <w:marLeft w:val="0"/>
          <w:marRight w:val="0"/>
          <w:marTop w:val="120"/>
          <w:marBottom w:val="0"/>
          <w:divBdr>
            <w:top w:val="none" w:sz="0" w:space="0" w:color="auto"/>
            <w:left w:val="none" w:sz="0" w:space="0" w:color="auto"/>
            <w:bottom w:val="none" w:sz="0" w:space="0" w:color="auto"/>
            <w:right w:val="none" w:sz="0" w:space="0" w:color="auto"/>
          </w:divBdr>
        </w:div>
        <w:div w:id="2065179493">
          <w:marLeft w:val="0"/>
          <w:marRight w:val="0"/>
          <w:marTop w:val="0"/>
          <w:marBottom w:val="0"/>
          <w:divBdr>
            <w:top w:val="none" w:sz="0" w:space="0" w:color="auto"/>
            <w:left w:val="none" w:sz="0" w:space="0" w:color="auto"/>
            <w:bottom w:val="none" w:sz="0" w:space="0" w:color="auto"/>
            <w:right w:val="none" w:sz="0" w:space="0" w:color="auto"/>
          </w:divBdr>
        </w:div>
      </w:divsChild>
    </w:div>
    <w:div w:id="1547571547">
      <w:bodyDiv w:val="1"/>
      <w:marLeft w:val="0"/>
      <w:marRight w:val="0"/>
      <w:marTop w:val="0"/>
      <w:marBottom w:val="0"/>
      <w:divBdr>
        <w:top w:val="none" w:sz="0" w:space="0" w:color="auto"/>
        <w:left w:val="none" w:sz="0" w:space="0" w:color="auto"/>
        <w:bottom w:val="none" w:sz="0" w:space="0" w:color="auto"/>
        <w:right w:val="none" w:sz="0" w:space="0" w:color="auto"/>
      </w:divBdr>
      <w:divsChild>
        <w:div w:id="1768889405">
          <w:marLeft w:val="0"/>
          <w:marRight w:val="0"/>
          <w:marTop w:val="120"/>
          <w:marBottom w:val="0"/>
          <w:divBdr>
            <w:top w:val="none" w:sz="0" w:space="0" w:color="auto"/>
            <w:left w:val="none" w:sz="0" w:space="0" w:color="auto"/>
            <w:bottom w:val="none" w:sz="0" w:space="0" w:color="auto"/>
            <w:right w:val="none" w:sz="0" w:space="0" w:color="auto"/>
          </w:divBdr>
        </w:div>
        <w:div w:id="1368139844">
          <w:marLeft w:val="0"/>
          <w:marRight w:val="0"/>
          <w:marTop w:val="0"/>
          <w:marBottom w:val="0"/>
          <w:divBdr>
            <w:top w:val="none" w:sz="0" w:space="0" w:color="auto"/>
            <w:left w:val="none" w:sz="0" w:space="0" w:color="auto"/>
            <w:bottom w:val="none" w:sz="0" w:space="0" w:color="auto"/>
            <w:right w:val="none" w:sz="0" w:space="0" w:color="auto"/>
          </w:divBdr>
        </w:div>
      </w:divsChild>
    </w:div>
    <w:div w:id="1547721031">
      <w:bodyDiv w:val="1"/>
      <w:marLeft w:val="0"/>
      <w:marRight w:val="0"/>
      <w:marTop w:val="0"/>
      <w:marBottom w:val="0"/>
      <w:divBdr>
        <w:top w:val="none" w:sz="0" w:space="0" w:color="auto"/>
        <w:left w:val="none" w:sz="0" w:space="0" w:color="auto"/>
        <w:bottom w:val="none" w:sz="0" w:space="0" w:color="auto"/>
        <w:right w:val="none" w:sz="0" w:space="0" w:color="auto"/>
      </w:divBdr>
      <w:divsChild>
        <w:div w:id="994605691">
          <w:marLeft w:val="0"/>
          <w:marRight w:val="0"/>
          <w:marTop w:val="0"/>
          <w:marBottom w:val="0"/>
          <w:divBdr>
            <w:top w:val="none" w:sz="0" w:space="0" w:color="auto"/>
            <w:left w:val="none" w:sz="0" w:space="0" w:color="auto"/>
            <w:bottom w:val="none" w:sz="0" w:space="0" w:color="auto"/>
            <w:right w:val="none" w:sz="0" w:space="0" w:color="auto"/>
          </w:divBdr>
        </w:div>
      </w:divsChild>
    </w:div>
    <w:div w:id="1550142416">
      <w:bodyDiv w:val="1"/>
      <w:marLeft w:val="0"/>
      <w:marRight w:val="0"/>
      <w:marTop w:val="0"/>
      <w:marBottom w:val="0"/>
      <w:divBdr>
        <w:top w:val="none" w:sz="0" w:space="0" w:color="auto"/>
        <w:left w:val="none" w:sz="0" w:space="0" w:color="auto"/>
        <w:bottom w:val="none" w:sz="0" w:space="0" w:color="auto"/>
        <w:right w:val="none" w:sz="0" w:space="0" w:color="auto"/>
      </w:divBdr>
      <w:divsChild>
        <w:div w:id="2146968014">
          <w:marLeft w:val="0"/>
          <w:marRight w:val="0"/>
          <w:marTop w:val="0"/>
          <w:marBottom w:val="0"/>
          <w:divBdr>
            <w:top w:val="none" w:sz="0" w:space="0" w:color="auto"/>
            <w:left w:val="none" w:sz="0" w:space="0" w:color="auto"/>
            <w:bottom w:val="none" w:sz="0" w:space="0" w:color="auto"/>
            <w:right w:val="none" w:sz="0" w:space="0" w:color="auto"/>
          </w:divBdr>
        </w:div>
      </w:divsChild>
    </w:div>
    <w:div w:id="1550338726">
      <w:bodyDiv w:val="1"/>
      <w:marLeft w:val="0"/>
      <w:marRight w:val="0"/>
      <w:marTop w:val="0"/>
      <w:marBottom w:val="0"/>
      <w:divBdr>
        <w:top w:val="none" w:sz="0" w:space="0" w:color="auto"/>
        <w:left w:val="none" w:sz="0" w:space="0" w:color="auto"/>
        <w:bottom w:val="none" w:sz="0" w:space="0" w:color="auto"/>
        <w:right w:val="none" w:sz="0" w:space="0" w:color="auto"/>
      </w:divBdr>
      <w:divsChild>
        <w:div w:id="63571339">
          <w:marLeft w:val="0"/>
          <w:marRight w:val="0"/>
          <w:marTop w:val="120"/>
          <w:marBottom w:val="0"/>
          <w:divBdr>
            <w:top w:val="none" w:sz="0" w:space="0" w:color="auto"/>
            <w:left w:val="none" w:sz="0" w:space="0" w:color="auto"/>
            <w:bottom w:val="none" w:sz="0" w:space="0" w:color="auto"/>
            <w:right w:val="none" w:sz="0" w:space="0" w:color="auto"/>
          </w:divBdr>
        </w:div>
        <w:div w:id="921068907">
          <w:marLeft w:val="0"/>
          <w:marRight w:val="0"/>
          <w:marTop w:val="0"/>
          <w:marBottom w:val="0"/>
          <w:divBdr>
            <w:top w:val="none" w:sz="0" w:space="0" w:color="auto"/>
            <w:left w:val="none" w:sz="0" w:space="0" w:color="auto"/>
            <w:bottom w:val="none" w:sz="0" w:space="0" w:color="auto"/>
            <w:right w:val="none" w:sz="0" w:space="0" w:color="auto"/>
          </w:divBdr>
        </w:div>
      </w:divsChild>
    </w:div>
    <w:div w:id="1555963903">
      <w:bodyDiv w:val="1"/>
      <w:marLeft w:val="0"/>
      <w:marRight w:val="0"/>
      <w:marTop w:val="0"/>
      <w:marBottom w:val="0"/>
      <w:divBdr>
        <w:top w:val="none" w:sz="0" w:space="0" w:color="auto"/>
        <w:left w:val="none" w:sz="0" w:space="0" w:color="auto"/>
        <w:bottom w:val="none" w:sz="0" w:space="0" w:color="auto"/>
        <w:right w:val="none" w:sz="0" w:space="0" w:color="auto"/>
      </w:divBdr>
      <w:divsChild>
        <w:div w:id="845480465">
          <w:marLeft w:val="0"/>
          <w:marRight w:val="0"/>
          <w:marTop w:val="0"/>
          <w:marBottom w:val="0"/>
          <w:divBdr>
            <w:top w:val="none" w:sz="0" w:space="0" w:color="auto"/>
            <w:left w:val="none" w:sz="0" w:space="0" w:color="auto"/>
            <w:bottom w:val="none" w:sz="0" w:space="0" w:color="auto"/>
            <w:right w:val="none" w:sz="0" w:space="0" w:color="auto"/>
          </w:divBdr>
          <w:divsChild>
            <w:div w:id="1236814504">
              <w:marLeft w:val="0"/>
              <w:marRight w:val="0"/>
              <w:marTop w:val="0"/>
              <w:marBottom w:val="0"/>
              <w:divBdr>
                <w:top w:val="none" w:sz="0" w:space="0" w:color="auto"/>
                <w:left w:val="none" w:sz="0" w:space="0" w:color="auto"/>
                <w:bottom w:val="none" w:sz="0" w:space="0" w:color="auto"/>
                <w:right w:val="none" w:sz="0" w:space="0" w:color="auto"/>
              </w:divBdr>
              <w:divsChild>
                <w:div w:id="1897468161">
                  <w:marLeft w:val="0"/>
                  <w:marRight w:val="0"/>
                  <w:marTop w:val="120"/>
                  <w:marBottom w:val="0"/>
                  <w:divBdr>
                    <w:top w:val="none" w:sz="0" w:space="0" w:color="auto"/>
                    <w:left w:val="none" w:sz="0" w:space="0" w:color="auto"/>
                    <w:bottom w:val="none" w:sz="0" w:space="0" w:color="auto"/>
                    <w:right w:val="none" w:sz="0" w:space="0" w:color="auto"/>
                  </w:divBdr>
                </w:div>
                <w:div w:id="1764717218">
                  <w:marLeft w:val="0"/>
                  <w:marRight w:val="0"/>
                  <w:marTop w:val="0"/>
                  <w:marBottom w:val="0"/>
                  <w:divBdr>
                    <w:top w:val="none" w:sz="0" w:space="0" w:color="auto"/>
                    <w:left w:val="none" w:sz="0" w:space="0" w:color="auto"/>
                    <w:bottom w:val="none" w:sz="0" w:space="0" w:color="auto"/>
                    <w:right w:val="none" w:sz="0" w:space="0" w:color="auto"/>
                  </w:divBdr>
                </w:div>
              </w:divsChild>
            </w:div>
            <w:div w:id="420881163">
              <w:marLeft w:val="0"/>
              <w:marRight w:val="0"/>
              <w:marTop w:val="0"/>
              <w:marBottom w:val="0"/>
              <w:divBdr>
                <w:top w:val="none" w:sz="0" w:space="0" w:color="auto"/>
                <w:left w:val="none" w:sz="0" w:space="0" w:color="auto"/>
                <w:bottom w:val="none" w:sz="0" w:space="0" w:color="auto"/>
                <w:right w:val="none" w:sz="0" w:space="0" w:color="auto"/>
              </w:divBdr>
              <w:divsChild>
                <w:div w:id="786772539">
                  <w:marLeft w:val="0"/>
                  <w:marRight w:val="0"/>
                  <w:marTop w:val="120"/>
                  <w:marBottom w:val="0"/>
                  <w:divBdr>
                    <w:top w:val="none" w:sz="0" w:space="0" w:color="auto"/>
                    <w:left w:val="none" w:sz="0" w:space="0" w:color="auto"/>
                    <w:bottom w:val="none" w:sz="0" w:space="0" w:color="auto"/>
                    <w:right w:val="none" w:sz="0" w:space="0" w:color="auto"/>
                  </w:divBdr>
                </w:div>
                <w:div w:id="698161962">
                  <w:marLeft w:val="0"/>
                  <w:marRight w:val="0"/>
                  <w:marTop w:val="0"/>
                  <w:marBottom w:val="0"/>
                  <w:divBdr>
                    <w:top w:val="none" w:sz="0" w:space="0" w:color="auto"/>
                    <w:left w:val="none" w:sz="0" w:space="0" w:color="auto"/>
                    <w:bottom w:val="none" w:sz="0" w:space="0" w:color="auto"/>
                    <w:right w:val="none" w:sz="0" w:space="0" w:color="auto"/>
                  </w:divBdr>
                </w:div>
              </w:divsChild>
            </w:div>
            <w:div w:id="603223891">
              <w:marLeft w:val="0"/>
              <w:marRight w:val="0"/>
              <w:marTop w:val="0"/>
              <w:marBottom w:val="0"/>
              <w:divBdr>
                <w:top w:val="none" w:sz="0" w:space="0" w:color="auto"/>
                <w:left w:val="none" w:sz="0" w:space="0" w:color="auto"/>
                <w:bottom w:val="none" w:sz="0" w:space="0" w:color="auto"/>
                <w:right w:val="none" w:sz="0" w:space="0" w:color="auto"/>
              </w:divBdr>
              <w:divsChild>
                <w:div w:id="1724020509">
                  <w:marLeft w:val="0"/>
                  <w:marRight w:val="0"/>
                  <w:marTop w:val="120"/>
                  <w:marBottom w:val="0"/>
                  <w:divBdr>
                    <w:top w:val="none" w:sz="0" w:space="0" w:color="auto"/>
                    <w:left w:val="none" w:sz="0" w:space="0" w:color="auto"/>
                    <w:bottom w:val="none" w:sz="0" w:space="0" w:color="auto"/>
                    <w:right w:val="none" w:sz="0" w:space="0" w:color="auto"/>
                  </w:divBdr>
                </w:div>
                <w:div w:id="982542181">
                  <w:marLeft w:val="0"/>
                  <w:marRight w:val="0"/>
                  <w:marTop w:val="0"/>
                  <w:marBottom w:val="0"/>
                  <w:divBdr>
                    <w:top w:val="none" w:sz="0" w:space="0" w:color="auto"/>
                    <w:left w:val="none" w:sz="0" w:space="0" w:color="auto"/>
                    <w:bottom w:val="none" w:sz="0" w:space="0" w:color="auto"/>
                    <w:right w:val="none" w:sz="0" w:space="0" w:color="auto"/>
                  </w:divBdr>
                </w:div>
              </w:divsChild>
            </w:div>
            <w:div w:id="393311188">
              <w:marLeft w:val="0"/>
              <w:marRight w:val="0"/>
              <w:marTop w:val="0"/>
              <w:marBottom w:val="0"/>
              <w:divBdr>
                <w:top w:val="none" w:sz="0" w:space="0" w:color="auto"/>
                <w:left w:val="none" w:sz="0" w:space="0" w:color="auto"/>
                <w:bottom w:val="none" w:sz="0" w:space="0" w:color="auto"/>
                <w:right w:val="none" w:sz="0" w:space="0" w:color="auto"/>
              </w:divBdr>
              <w:divsChild>
                <w:div w:id="1422215932">
                  <w:marLeft w:val="0"/>
                  <w:marRight w:val="0"/>
                  <w:marTop w:val="120"/>
                  <w:marBottom w:val="0"/>
                  <w:divBdr>
                    <w:top w:val="none" w:sz="0" w:space="0" w:color="auto"/>
                    <w:left w:val="none" w:sz="0" w:space="0" w:color="auto"/>
                    <w:bottom w:val="none" w:sz="0" w:space="0" w:color="auto"/>
                    <w:right w:val="none" w:sz="0" w:space="0" w:color="auto"/>
                  </w:divBdr>
                </w:div>
                <w:div w:id="1099913610">
                  <w:marLeft w:val="0"/>
                  <w:marRight w:val="0"/>
                  <w:marTop w:val="0"/>
                  <w:marBottom w:val="0"/>
                  <w:divBdr>
                    <w:top w:val="none" w:sz="0" w:space="0" w:color="auto"/>
                    <w:left w:val="none" w:sz="0" w:space="0" w:color="auto"/>
                    <w:bottom w:val="none" w:sz="0" w:space="0" w:color="auto"/>
                    <w:right w:val="none" w:sz="0" w:space="0" w:color="auto"/>
                  </w:divBdr>
                </w:div>
              </w:divsChild>
            </w:div>
            <w:div w:id="1471097070">
              <w:marLeft w:val="0"/>
              <w:marRight w:val="0"/>
              <w:marTop w:val="0"/>
              <w:marBottom w:val="0"/>
              <w:divBdr>
                <w:top w:val="none" w:sz="0" w:space="0" w:color="auto"/>
                <w:left w:val="none" w:sz="0" w:space="0" w:color="auto"/>
                <w:bottom w:val="none" w:sz="0" w:space="0" w:color="auto"/>
                <w:right w:val="none" w:sz="0" w:space="0" w:color="auto"/>
              </w:divBdr>
              <w:divsChild>
                <w:div w:id="1230190903">
                  <w:marLeft w:val="0"/>
                  <w:marRight w:val="0"/>
                  <w:marTop w:val="120"/>
                  <w:marBottom w:val="0"/>
                  <w:divBdr>
                    <w:top w:val="none" w:sz="0" w:space="0" w:color="auto"/>
                    <w:left w:val="none" w:sz="0" w:space="0" w:color="auto"/>
                    <w:bottom w:val="none" w:sz="0" w:space="0" w:color="auto"/>
                    <w:right w:val="none" w:sz="0" w:space="0" w:color="auto"/>
                  </w:divBdr>
                </w:div>
                <w:div w:id="502017736">
                  <w:marLeft w:val="0"/>
                  <w:marRight w:val="0"/>
                  <w:marTop w:val="0"/>
                  <w:marBottom w:val="0"/>
                  <w:divBdr>
                    <w:top w:val="none" w:sz="0" w:space="0" w:color="auto"/>
                    <w:left w:val="none" w:sz="0" w:space="0" w:color="auto"/>
                    <w:bottom w:val="none" w:sz="0" w:space="0" w:color="auto"/>
                    <w:right w:val="none" w:sz="0" w:space="0" w:color="auto"/>
                  </w:divBdr>
                </w:div>
              </w:divsChild>
            </w:div>
            <w:div w:id="2076471014">
              <w:marLeft w:val="0"/>
              <w:marRight w:val="0"/>
              <w:marTop w:val="0"/>
              <w:marBottom w:val="0"/>
              <w:divBdr>
                <w:top w:val="none" w:sz="0" w:space="0" w:color="auto"/>
                <w:left w:val="none" w:sz="0" w:space="0" w:color="auto"/>
                <w:bottom w:val="none" w:sz="0" w:space="0" w:color="auto"/>
                <w:right w:val="none" w:sz="0" w:space="0" w:color="auto"/>
              </w:divBdr>
              <w:divsChild>
                <w:div w:id="1492477617">
                  <w:marLeft w:val="0"/>
                  <w:marRight w:val="0"/>
                  <w:marTop w:val="120"/>
                  <w:marBottom w:val="0"/>
                  <w:divBdr>
                    <w:top w:val="none" w:sz="0" w:space="0" w:color="auto"/>
                    <w:left w:val="none" w:sz="0" w:space="0" w:color="auto"/>
                    <w:bottom w:val="none" w:sz="0" w:space="0" w:color="auto"/>
                    <w:right w:val="none" w:sz="0" w:space="0" w:color="auto"/>
                  </w:divBdr>
                </w:div>
                <w:div w:id="1298410689">
                  <w:marLeft w:val="0"/>
                  <w:marRight w:val="0"/>
                  <w:marTop w:val="0"/>
                  <w:marBottom w:val="0"/>
                  <w:divBdr>
                    <w:top w:val="none" w:sz="0" w:space="0" w:color="auto"/>
                    <w:left w:val="none" w:sz="0" w:space="0" w:color="auto"/>
                    <w:bottom w:val="none" w:sz="0" w:space="0" w:color="auto"/>
                    <w:right w:val="none" w:sz="0" w:space="0" w:color="auto"/>
                  </w:divBdr>
                </w:div>
              </w:divsChild>
            </w:div>
            <w:div w:id="673192726">
              <w:marLeft w:val="0"/>
              <w:marRight w:val="0"/>
              <w:marTop w:val="0"/>
              <w:marBottom w:val="0"/>
              <w:divBdr>
                <w:top w:val="none" w:sz="0" w:space="0" w:color="auto"/>
                <w:left w:val="none" w:sz="0" w:space="0" w:color="auto"/>
                <w:bottom w:val="none" w:sz="0" w:space="0" w:color="auto"/>
                <w:right w:val="none" w:sz="0" w:space="0" w:color="auto"/>
              </w:divBdr>
              <w:divsChild>
                <w:div w:id="555973811">
                  <w:marLeft w:val="0"/>
                  <w:marRight w:val="0"/>
                  <w:marTop w:val="120"/>
                  <w:marBottom w:val="0"/>
                  <w:divBdr>
                    <w:top w:val="none" w:sz="0" w:space="0" w:color="auto"/>
                    <w:left w:val="none" w:sz="0" w:space="0" w:color="auto"/>
                    <w:bottom w:val="none" w:sz="0" w:space="0" w:color="auto"/>
                    <w:right w:val="none" w:sz="0" w:space="0" w:color="auto"/>
                  </w:divBdr>
                </w:div>
                <w:div w:id="16182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513688">
      <w:bodyDiv w:val="1"/>
      <w:marLeft w:val="0"/>
      <w:marRight w:val="0"/>
      <w:marTop w:val="0"/>
      <w:marBottom w:val="0"/>
      <w:divBdr>
        <w:top w:val="none" w:sz="0" w:space="0" w:color="auto"/>
        <w:left w:val="none" w:sz="0" w:space="0" w:color="auto"/>
        <w:bottom w:val="none" w:sz="0" w:space="0" w:color="auto"/>
        <w:right w:val="none" w:sz="0" w:space="0" w:color="auto"/>
      </w:divBdr>
      <w:divsChild>
        <w:div w:id="2059235161">
          <w:marLeft w:val="0"/>
          <w:marRight w:val="0"/>
          <w:marTop w:val="0"/>
          <w:marBottom w:val="0"/>
          <w:divBdr>
            <w:top w:val="none" w:sz="0" w:space="0" w:color="auto"/>
            <w:left w:val="none" w:sz="0" w:space="0" w:color="auto"/>
            <w:bottom w:val="none" w:sz="0" w:space="0" w:color="auto"/>
            <w:right w:val="none" w:sz="0" w:space="0" w:color="auto"/>
          </w:divBdr>
          <w:divsChild>
            <w:div w:id="81225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49501">
      <w:bodyDiv w:val="1"/>
      <w:marLeft w:val="0"/>
      <w:marRight w:val="0"/>
      <w:marTop w:val="0"/>
      <w:marBottom w:val="0"/>
      <w:divBdr>
        <w:top w:val="none" w:sz="0" w:space="0" w:color="auto"/>
        <w:left w:val="none" w:sz="0" w:space="0" w:color="auto"/>
        <w:bottom w:val="none" w:sz="0" w:space="0" w:color="auto"/>
        <w:right w:val="none" w:sz="0" w:space="0" w:color="auto"/>
      </w:divBdr>
      <w:divsChild>
        <w:div w:id="1240138194">
          <w:marLeft w:val="0"/>
          <w:marRight w:val="0"/>
          <w:marTop w:val="0"/>
          <w:marBottom w:val="0"/>
          <w:divBdr>
            <w:top w:val="none" w:sz="0" w:space="0" w:color="auto"/>
            <w:left w:val="none" w:sz="0" w:space="0" w:color="auto"/>
            <w:bottom w:val="none" w:sz="0" w:space="0" w:color="auto"/>
            <w:right w:val="none" w:sz="0" w:space="0" w:color="auto"/>
          </w:divBdr>
          <w:divsChild>
            <w:div w:id="1664162101">
              <w:marLeft w:val="0"/>
              <w:marRight w:val="0"/>
              <w:marTop w:val="0"/>
              <w:marBottom w:val="0"/>
              <w:divBdr>
                <w:top w:val="none" w:sz="0" w:space="0" w:color="auto"/>
                <w:left w:val="none" w:sz="0" w:space="0" w:color="auto"/>
                <w:bottom w:val="none" w:sz="0" w:space="0" w:color="auto"/>
                <w:right w:val="none" w:sz="0" w:space="0" w:color="auto"/>
              </w:divBdr>
              <w:divsChild>
                <w:div w:id="796796342">
                  <w:marLeft w:val="0"/>
                  <w:marRight w:val="0"/>
                  <w:marTop w:val="120"/>
                  <w:marBottom w:val="0"/>
                  <w:divBdr>
                    <w:top w:val="none" w:sz="0" w:space="0" w:color="auto"/>
                    <w:left w:val="none" w:sz="0" w:space="0" w:color="auto"/>
                    <w:bottom w:val="none" w:sz="0" w:space="0" w:color="auto"/>
                    <w:right w:val="none" w:sz="0" w:space="0" w:color="auto"/>
                  </w:divBdr>
                </w:div>
                <w:div w:id="1437409445">
                  <w:marLeft w:val="0"/>
                  <w:marRight w:val="0"/>
                  <w:marTop w:val="0"/>
                  <w:marBottom w:val="0"/>
                  <w:divBdr>
                    <w:top w:val="none" w:sz="0" w:space="0" w:color="auto"/>
                    <w:left w:val="none" w:sz="0" w:space="0" w:color="auto"/>
                    <w:bottom w:val="none" w:sz="0" w:space="0" w:color="auto"/>
                    <w:right w:val="none" w:sz="0" w:space="0" w:color="auto"/>
                  </w:divBdr>
                </w:div>
              </w:divsChild>
            </w:div>
            <w:div w:id="285696022">
              <w:marLeft w:val="0"/>
              <w:marRight w:val="0"/>
              <w:marTop w:val="0"/>
              <w:marBottom w:val="0"/>
              <w:divBdr>
                <w:top w:val="none" w:sz="0" w:space="0" w:color="auto"/>
                <w:left w:val="none" w:sz="0" w:space="0" w:color="auto"/>
                <w:bottom w:val="none" w:sz="0" w:space="0" w:color="auto"/>
                <w:right w:val="none" w:sz="0" w:space="0" w:color="auto"/>
              </w:divBdr>
              <w:divsChild>
                <w:div w:id="538127852">
                  <w:marLeft w:val="0"/>
                  <w:marRight w:val="0"/>
                  <w:marTop w:val="120"/>
                  <w:marBottom w:val="0"/>
                  <w:divBdr>
                    <w:top w:val="none" w:sz="0" w:space="0" w:color="auto"/>
                    <w:left w:val="none" w:sz="0" w:space="0" w:color="auto"/>
                    <w:bottom w:val="none" w:sz="0" w:space="0" w:color="auto"/>
                    <w:right w:val="none" w:sz="0" w:space="0" w:color="auto"/>
                  </w:divBdr>
                </w:div>
                <w:div w:id="13772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755345">
      <w:bodyDiv w:val="1"/>
      <w:marLeft w:val="0"/>
      <w:marRight w:val="0"/>
      <w:marTop w:val="0"/>
      <w:marBottom w:val="0"/>
      <w:divBdr>
        <w:top w:val="none" w:sz="0" w:space="0" w:color="auto"/>
        <w:left w:val="none" w:sz="0" w:space="0" w:color="auto"/>
        <w:bottom w:val="none" w:sz="0" w:space="0" w:color="auto"/>
        <w:right w:val="none" w:sz="0" w:space="0" w:color="auto"/>
      </w:divBdr>
      <w:divsChild>
        <w:div w:id="418253600">
          <w:marLeft w:val="0"/>
          <w:marRight w:val="0"/>
          <w:marTop w:val="0"/>
          <w:marBottom w:val="0"/>
          <w:divBdr>
            <w:top w:val="none" w:sz="0" w:space="0" w:color="auto"/>
            <w:left w:val="none" w:sz="0" w:space="0" w:color="auto"/>
            <w:bottom w:val="none" w:sz="0" w:space="0" w:color="auto"/>
            <w:right w:val="none" w:sz="0" w:space="0" w:color="auto"/>
          </w:divBdr>
        </w:div>
      </w:divsChild>
    </w:div>
    <w:div w:id="1565408283">
      <w:bodyDiv w:val="1"/>
      <w:marLeft w:val="0"/>
      <w:marRight w:val="0"/>
      <w:marTop w:val="0"/>
      <w:marBottom w:val="0"/>
      <w:divBdr>
        <w:top w:val="none" w:sz="0" w:space="0" w:color="auto"/>
        <w:left w:val="none" w:sz="0" w:space="0" w:color="auto"/>
        <w:bottom w:val="none" w:sz="0" w:space="0" w:color="auto"/>
        <w:right w:val="none" w:sz="0" w:space="0" w:color="auto"/>
      </w:divBdr>
      <w:divsChild>
        <w:div w:id="1140614627">
          <w:marLeft w:val="0"/>
          <w:marRight w:val="0"/>
          <w:marTop w:val="120"/>
          <w:marBottom w:val="0"/>
          <w:divBdr>
            <w:top w:val="none" w:sz="0" w:space="0" w:color="auto"/>
            <w:left w:val="none" w:sz="0" w:space="0" w:color="auto"/>
            <w:bottom w:val="none" w:sz="0" w:space="0" w:color="auto"/>
            <w:right w:val="none" w:sz="0" w:space="0" w:color="auto"/>
          </w:divBdr>
        </w:div>
        <w:div w:id="1305935898">
          <w:marLeft w:val="0"/>
          <w:marRight w:val="0"/>
          <w:marTop w:val="0"/>
          <w:marBottom w:val="0"/>
          <w:divBdr>
            <w:top w:val="none" w:sz="0" w:space="0" w:color="auto"/>
            <w:left w:val="none" w:sz="0" w:space="0" w:color="auto"/>
            <w:bottom w:val="none" w:sz="0" w:space="0" w:color="auto"/>
            <w:right w:val="none" w:sz="0" w:space="0" w:color="auto"/>
          </w:divBdr>
        </w:div>
      </w:divsChild>
    </w:div>
    <w:div w:id="1572499803">
      <w:bodyDiv w:val="1"/>
      <w:marLeft w:val="0"/>
      <w:marRight w:val="0"/>
      <w:marTop w:val="0"/>
      <w:marBottom w:val="0"/>
      <w:divBdr>
        <w:top w:val="none" w:sz="0" w:space="0" w:color="auto"/>
        <w:left w:val="none" w:sz="0" w:space="0" w:color="auto"/>
        <w:bottom w:val="none" w:sz="0" w:space="0" w:color="auto"/>
        <w:right w:val="none" w:sz="0" w:space="0" w:color="auto"/>
      </w:divBdr>
      <w:divsChild>
        <w:div w:id="34433808">
          <w:marLeft w:val="0"/>
          <w:marRight w:val="0"/>
          <w:marTop w:val="0"/>
          <w:marBottom w:val="0"/>
          <w:divBdr>
            <w:top w:val="none" w:sz="0" w:space="0" w:color="auto"/>
            <w:left w:val="none" w:sz="0" w:space="0" w:color="auto"/>
            <w:bottom w:val="none" w:sz="0" w:space="0" w:color="auto"/>
            <w:right w:val="none" w:sz="0" w:space="0" w:color="auto"/>
          </w:divBdr>
          <w:divsChild>
            <w:div w:id="1510871249">
              <w:marLeft w:val="0"/>
              <w:marRight w:val="0"/>
              <w:marTop w:val="0"/>
              <w:marBottom w:val="0"/>
              <w:divBdr>
                <w:top w:val="none" w:sz="0" w:space="0" w:color="auto"/>
                <w:left w:val="none" w:sz="0" w:space="0" w:color="auto"/>
                <w:bottom w:val="none" w:sz="0" w:space="0" w:color="auto"/>
                <w:right w:val="none" w:sz="0" w:space="0" w:color="auto"/>
              </w:divBdr>
              <w:divsChild>
                <w:div w:id="1800029763">
                  <w:marLeft w:val="0"/>
                  <w:marRight w:val="0"/>
                  <w:marTop w:val="120"/>
                  <w:marBottom w:val="0"/>
                  <w:divBdr>
                    <w:top w:val="none" w:sz="0" w:space="0" w:color="auto"/>
                    <w:left w:val="none" w:sz="0" w:space="0" w:color="auto"/>
                    <w:bottom w:val="none" w:sz="0" w:space="0" w:color="auto"/>
                    <w:right w:val="none" w:sz="0" w:space="0" w:color="auto"/>
                  </w:divBdr>
                </w:div>
                <w:div w:id="91315736">
                  <w:marLeft w:val="0"/>
                  <w:marRight w:val="0"/>
                  <w:marTop w:val="0"/>
                  <w:marBottom w:val="0"/>
                  <w:divBdr>
                    <w:top w:val="none" w:sz="0" w:space="0" w:color="auto"/>
                    <w:left w:val="none" w:sz="0" w:space="0" w:color="auto"/>
                    <w:bottom w:val="none" w:sz="0" w:space="0" w:color="auto"/>
                    <w:right w:val="none" w:sz="0" w:space="0" w:color="auto"/>
                  </w:divBdr>
                </w:div>
              </w:divsChild>
            </w:div>
            <w:div w:id="900865742">
              <w:marLeft w:val="0"/>
              <w:marRight w:val="0"/>
              <w:marTop w:val="0"/>
              <w:marBottom w:val="0"/>
              <w:divBdr>
                <w:top w:val="none" w:sz="0" w:space="0" w:color="auto"/>
                <w:left w:val="none" w:sz="0" w:space="0" w:color="auto"/>
                <w:bottom w:val="none" w:sz="0" w:space="0" w:color="auto"/>
                <w:right w:val="none" w:sz="0" w:space="0" w:color="auto"/>
              </w:divBdr>
              <w:divsChild>
                <w:div w:id="665862564">
                  <w:marLeft w:val="0"/>
                  <w:marRight w:val="0"/>
                  <w:marTop w:val="120"/>
                  <w:marBottom w:val="0"/>
                  <w:divBdr>
                    <w:top w:val="none" w:sz="0" w:space="0" w:color="auto"/>
                    <w:left w:val="none" w:sz="0" w:space="0" w:color="auto"/>
                    <w:bottom w:val="none" w:sz="0" w:space="0" w:color="auto"/>
                    <w:right w:val="none" w:sz="0" w:space="0" w:color="auto"/>
                  </w:divBdr>
                </w:div>
                <w:div w:id="974874392">
                  <w:marLeft w:val="0"/>
                  <w:marRight w:val="0"/>
                  <w:marTop w:val="0"/>
                  <w:marBottom w:val="0"/>
                  <w:divBdr>
                    <w:top w:val="none" w:sz="0" w:space="0" w:color="auto"/>
                    <w:left w:val="none" w:sz="0" w:space="0" w:color="auto"/>
                    <w:bottom w:val="none" w:sz="0" w:space="0" w:color="auto"/>
                    <w:right w:val="none" w:sz="0" w:space="0" w:color="auto"/>
                  </w:divBdr>
                </w:div>
              </w:divsChild>
            </w:div>
            <w:div w:id="1838106012">
              <w:marLeft w:val="0"/>
              <w:marRight w:val="0"/>
              <w:marTop w:val="0"/>
              <w:marBottom w:val="0"/>
              <w:divBdr>
                <w:top w:val="none" w:sz="0" w:space="0" w:color="auto"/>
                <w:left w:val="none" w:sz="0" w:space="0" w:color="auto"/>
                <w:bottom w:val="none" w:sz="0" w:space="0" w:color="auto"/>
                <w:right w:val="none" w:sz="0" w:space="0" w:color="auto"/>
              </w:divBdr>
              <w:divsChild>
                <w:div w:id="1449394672">
                  <w:marLeft w:val="0"/>
                  <w:marRight w:val="0"/>
                  <w:marTop w:val="120"/>
                  <w:marBottom w:val="0"/>
                  <w:divBdr>
                    <w:top w:val="none" w:sz="0" w:space="0" w:color="auto"/>
                    <w:left w:val="none" w:sz="0" w:space="0" w:color="auto"/>
                    <w:bottom w:val="none" w:sz="0" w:space="0" w:color="auto"/>
                    <w:right w:val="none" w:sz="0" w:space="0" w:color="auto"/>
                  </w:divBdr>
                </w:div>
                <w:div w:id="13853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197613">
      <w:bodyDiv w:val="1"/>
      <w:marLeft w:val="0"/>
      <w:marRight w:val="0"/>
      <w:marTop w:val="0"/>
      <w:marBottom w:val="0"/>
      <w:divBdr>
        <w:top w:val="none" w:sz="0" w:space="0" w:color="auto"/>
        <w:left w:val="none" w:sz="0" w:space="0" w:color="auto"/>
        <w:bottom w:val="none" w:sz="0" w:space="0" w:color="auto"/>
        <w:right w:val="none" w:sz="0" w:space="0" w:color="auto"/>
      </w:divBdr>
      <w:divsChild>
        <w:div w:id="1473475917">
          <w:marLeft w:val="0"/>
          <w:marRight w:val="0"/>
          <w:marTop w:val="120"/>
          <w:marBottom w:val="0"/>
          <w:divBdr>
            <w:top w:val="none" w:sz="0" w:space="0" w:color="auto"/>
            <w:left w:val="none" w:sz="0" w:space="0" w:color="auto"/>
            <w:bottom w:val="none" w:sz="0" w:space="0" w:color="auto"/>
            <w:right w:val="none" w:sz="0" w:space="0" w:color="auto"/>
          </w:divBdr>
        </w:div>
        <w:div w:id="1103920616">
          <w:marLeft w:val="0"/>
          <w:marRight w:val="0"/>
          <w:marTop w:val="0"/>
          <w:marBottom w:val="0"/>
          <w:divBdr>
            <w:top w:val="none" w:sz="0" w:space="0" w:color="auto"/>
            <w:left w:val="none" w:sz="0" w:space="0" w:color="auto"/>
            <w:bottom w:val="none" w:sz="0" w:space="0" w:color="auto"/>
            <w:right w:val="none" w:sz="0" w:space="0" w:color="auto"/>
          </w:divBdr>
          <w:divsChild>
            <w:div w:id="839739844">
              <w:marLeft w:val="0"/>
              <w:marRight w:val="0"/>
              <w:marTop w:val="0"/>
              <w:marBottom w:val="0"/>
              <w:divBdr>
                <w:top w:val="none" w:sz="0" w:space="0" w:color="auto"/>
                <w:left w:val="none" w:sz="0" w:space="0" w:color="auto"/>
                <w:bottom w:val="none" w:sz="0" w:space="0" w:color="auto"/>
                <w:right w:val="none" w:sz="0" w:space="0" w:color="auto"/>
              </w:divBdr>
              <w:divsChild>
                <w:div w:id="1206019496">
                  <w:marLeft w:val="0"/>
                  <w:marRight w:val="0"/>
                  <w:marTop w:val="120"/>
                  <w:marBottom w:val="0"/>
                  <w:divBdr>
                    <w:top w:val="none" w:sz="0" w:space="0" w:color="auto"/>
                    <w:left w:val="none" w:sz="0" w:space="0" w:color="auto"/>
                    <w:bottom w:val="none" w:sz="0" w:space="0" w:color="auto"/>
                    <w:right w:val="none" w:sz="0" w:space="0" w:color="auto"/>
                  </w:divBdr>
                </w:div>
                <w:div w:id="1962109690">
                  <w:marLeft w:val="0"/>
                  <w:marRight w:val="0"/>
                  <w:marTop w:val="0"/>
                  <w:marBottom w:val="0"/>
                  <w:divBdr>
                    <w:top w:val="none" w:sz="0" w:space="0" w:color="auto"/>
                    <w:left w:val="none" w:sz="0" w:space="0" w:color="auto"/>
                    <w:bottom w:val="none" w:sz="0" w:space="0" w:color="auto"/>
                    <w:right w:val="none" w:sz="0" w:space="0" w:color="auto"/>
                  </w:divBdr>
                  <w:divsChild>
                    <w:div w:id="810706667">
                      <w:marLeft w:val="0"/>
                      <w:marRight w:val="0"/>
                      <w:marTop w:val="0"/>
                      <w:marBottom w:val="0"/>
                      <w:divBdr>
                        <w:top w:val="none" w:sz="0" w:space="0" w:color="auto"/>
                        <w:left w:val="none" w:sz="0" w:space="0" w:color="auto"/>
                        <w:bottom w:val="none" w:sz="0" w:space="0" w:color="auto"/>
                        <w:right w:val="none" w:sz="0" w:space="0" w:color="auto"/>
                      </w:divBdr>
                      <w:divsChild>
                        <w:div w:id="2065523263">
                          <w:marLeft w:val="0"/>
                          <w:marRight w:val="0"/>
                          <w:marTop w:val="120"/>
                          <w:marBottom w:val="0"/>
                          <w:divBdr>
                            <w:top w:val="none" w:sz="0" w:space="0" w:color="auto"/>
                            <w:left w:val="none" w:sz="0" w:space="0" w:color="auto"/>
                            <w:bottom w:val="none" w:sz="0" w:space="0" w:color="auto"/>
                            <w:right w:val="none" w:sz="0" w:space="0" w:color="auto"/>
                          </w:divBdr>
                        </w:div>
                        <w:div w:id="543911118">
                          <w:marLeft w:val="0"/>
                          <w:marRight w:val="0"/>
                          <w:marTop w:val="0"/>
                          <w:marBottom w:val="0"/>
                          <w:divBdr>
                            <w:top w:val="none" w:sz="0" w:space="0" w:color="auto"/>
                            <w:left w:val="none" w:sz="0" w:space="0" w:color="auto"/>
                            <w:bottom w:val="none" w:sz="0" w:space="0" w:color="auto"/>
                            <w:right w:val="none" w:sz="0" w:space="0" w:color="auto"/>
                          </w:divBdr>
                        </w:div>
                      </w:divsChild>
                    </w:div>
                    <w:div w:id="475144763">
                      <w:marLeft w:val="0"/>
                      <w:marRight w:val="0"/>
                      <w:marTop w:val="0"/>
                      <w:marBottom w:val="0"/>
                      <w:divBdr>
                        <w:top w:val="none" w:sz="0" w:space="0" w:color="auto"/>
                        <w:left w:val="none" w:sz="0" w:space="0" w:color="auto"/>
                        <w:bottom w:val="none" w:sz="0" w:space="0" w:color="auto"/>
                        <w:right w:val="none" w:sz="0" w:space="0" w:color="auto"/>
                      </w:divBdr>
                      <w:divsChild>
                        <w:div w:id="1838424000">
                          <w:marLeft w:val="0"/>
                          <w:marRight w:val="0"/>
                          <w:marTop w:val="120"/>
                          <w:marBottom w:val="0"/>
                          <w:divBdr>
                            <w:top w:val="none" w:sz="0" w:space="0" w:color="auto"/>
                            <w:left w:val="none" w:sz="0" w:space="0" w:color="auto"/>
                            <w:bottom w:val="none" w:sz="0" w:space="0" w:color="auto"/>
                            <w:right w:val="none" w:sz="0" w:space="0" w:color="auto"/>
                          </w:divBdr>
                        </w:div>
                        <w:div w:id="471407458">
                          <w:marLeft w:val="0"/>
                          <w:marRight w:val="0"/>
                          <w:marTop w:val="0"/>
                          <w:marBottom w:val="0"/>
                          <w:divBdr>
                            <w:top w:val="none" w:sz="0" w:space="0" w:color="auto"/>
                            <w:left w:val="none" w:sz="0" w:space="0" w:color="auto"/>
                            <w:bottom w:val="none" w:sz="0" w:space="0" w:color="auto"/>
                            <w:right w:val="none" w:sz="0" w:space="0" w:color="auto"/>
                          </w:divBdr>
                        </w:div>
                      </w:divsChild>
                    </w:div>
                    <w:div w:id="659625568">
                      <w:marLeft w:val="0"/>
                      <w:marRight w:val="0"/>
                      <w:marTop w:val="0"/>
                      <w:marBottom w:val="0"/>
                      <w:divBdr>
                        <w:top w:val="none" w:sz="0" w:space="0" w:color="auto"/>
                        <w:left w:val="none" w:sz="0" w:space="0" w:color="auto"/>
                        <w:bottom w:val="none" w:sz="0" w:space="0" w:color="auto"/>
                        <w:right w:val="none" w:sz="0" w:space="0" w:color="auto"/>
                      </w:divBdr>
                      <w:divsChild>
                        <w:div w:id="945767216">
                          <w:marLeft w:val="0"/>
                          <w:marRight w:val="0"/>
                          <w:marTop w:val="120"/>
                          <w:marBottom w:val="0"/>
                          <w:divBdr>
                            <w:top w:val="none" w:sz="0" w:space="0" w:color="auto"/>
                            <w:left w:val="none" w:sz="0" w:space="0" w:color="auto"/>
                            <w:bottom w:val="none" w:sz="0" w:space="0" w:color="auto"/>
                            <w:right w:val="none" w:sz="0" w:space="0" w:color="auto"/>
                          </w:divBdr>
                        </w:div>
                        <w:div w:id="6788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335673">
              <w:marLeft w:val="0"/>
              <w:marRight w:val="0"/>
              <w:marTop w:val="0"/>
              <w:marBottom w:val="0"/>
              <w:divBdr>
                <w:top w:val="none" w:sz="0" w:space="0" w:color="auto"/>
                <w:left w:val="none" w:sz="0" w:space="0" w:color="auto"/>
                <w:bottom w:val="none" w:sz="0" w:space="0" w:color="auto"/>
                <w:right w:val="none" w:sz="0" w:space="0" w:color="auto"/>
              </w:divBdr>
              <w:divsChild>
                <w:div w:id="732898348">
                  <w:marLeft w:val="0"/>
                  <w:marRight w:val="0"/>
                  <w:marTop w:val="120"/>
                  <w:marBottom w:val="0"/>
                  <w:divBdr>
                    <w:top w:val="none" w:sz="0" w:space="0" w:color="auto"/>
                    <w:left w:val="none" w:sz="0" w:space="0" w:color="auto"/>
                    <w:bottom w:val="none" w:sz="0" w:space="0" w:color="auto"/>
                    <w:right w:val="none" w:sz="0" w:space="0" w:color="auto"/>
                  </w:divBdr>
                </w:div>
                <w:div w:id="1438527196">
                  <w:marLeft w:val="0"/>
                  <w:marRight w:val="0"/>
                  <w:marTop w:val="0"/>
                  <w:marBottom w:val="0"/>
                  <w:divBdr>
                    <w:top w:val="none" w:sz="0" w:space="0" w:color="auto"/>
                    <w:left w:val="none" w:sz="0" w:space="0" w:color="auto"/>
                    <w:bottom w:val="none" w:sz="0" w:space="0" w:color="auto"/>
                    <w:right w:val="none" w:sz="0" w:space="0" w:color="auto"/>
                  </w:divBdr>
                  <w:divsChild>
                    <w:div w:id="1965308893">
                      <w:marLeft w:val="0"/>
                      <w:marRight w:val="0"/>
                      <w:marTop w:val="0"/>
                      <w:marBottom w:val="0"/>
                      <w:divBdr>
                        <w:top w:val="none" w:sz="0" w:space="0" w:color="auto"/>
                        <w:left w:val="none" w:sz="0" w:space="0" w:color="auto"/>
                        <w:bottom w:val="none" w:sz="0" w:space="0" w:color="auto"/>
                        <w:right w:val="none" w:sz="0" w:space="0" w:color="auto"/>
                      </w:divBdr>
                      <w:divsChild>
                        <w:div w:id="829178877">
                          <w:marLeft w:val="0"/>
                          <w:marRight w:val="0"/>
                          <w:marTop w:val="120"/>
                          <w:marBottom w:val="0"/>
                          <w:divBdr>
                            <w:top w:val="none" w:sz="0" w:space="0" w:color="auto"/>
                            <w:left w:val="none" w:sz="0" w:space="0" w:color="auto"/>
                            <w:bottom w:val="none" w:sz="0" w:space="0" w:color="auto"/>
                            <w:right w:val="none" w:sz="0" w:space="0" w:color="auto"/>
                          </w:divBdr>
                        </w:div>
                        <w:div w:id="1805811440">
                          <w:marLeft w:val="0"/>
                          <w:marRight w:val="0"/>
                          <w:marTop w:val="0"/>
                          <w:marBottom w:val="0"/>
                          <w:divBdr>
                            <w:top w:val="none" w:sz="0" w:space="0" w:color="auto"/>
                            <w:left w:val="none" w:sz="0" w:space="0" w:color="auto"/>
                            <w:bottom w:val="none" w:sz="0" w:space="0" w:color="auto"/>
                            <w:right w:val="none" w:sz="0" w:space="0" w:color="auto"/>
                          </w:divBdr>
                        </w:div>
                      </w:divsChild>
                    </w:div>
                    <w:div w:id="693195388">
                      <w:marLeft w:val="0"/>
                      <w:marRight w:val="0"/>
                      <w:marTop w:val="0"/>
                      <w:marBottom w:val="0"/>
                      <w:divBdr>
                        <w:top w:val="none" w:sz="0" w:space="0" w:color="auto"/>
                        <w:left w:val="none" w:sz="0" w:space="0" w:color="auto"/>
                        <w:bottom w:val="none" w:sz="0" w:space="0" w:color="auto"/>
                        <w:right w:val="none" w:sz="0" w:space="0" w:color="auto"/>
                      </w:divBdr>
                      <w:divsChild>
                        <w:div w:id="407271325">
                          <w:marLeft w:val="0"/>
                          <w:marRight w:val="0"/>
                          <w:marTop w:val="120"/>
                          <w:marBottom w:val="0"/>
                          <w:divBdr>
                            <w:top w:val="none" w:sz="0" w:space="0" w:color="auto"/>
                            <w:left w:val="none" w:sz="0" w:space="0" w:color="auto"/>
                            <w:bottom w:val="none" w:sz="0" w:space="0" w:color="auto"/>
                            <w:right w:val="none" w:sz="0" w:space="0" w:color="auto"/>
                          </w:divBdr>
                        </w:div>
                        <w:div w:id="1815835383">
                          <w:marLeft w:val="0"/>
                          <w:marRight w:val="0"/>
                          <w:marTop w:val="0"/>
                          <w:marBottom w:val="0"/>
                          <w:divBdr>
                            <w:top w:val="none" w:sz="0" w:space="0" w:color="auto"/>
                            <w:left w:val="none" w:sz="0" w:space="0" w:color="auto"/>
                            <w:bottom w:val="none" w:sz="0" w:space="0" w:color="auto"/>
                            <w:right w:val="none" w:sz="0" w:space="0" w:color="auto"/>
                          </w:divBdr>
                        </w:div>
                      </w:divsChild>
                    </w:div>
                    <w:div w:id="161705870">
                      <w:marLeft w:val="0"/>
                      <w:marRight w:val="0"/>
                      <w:marTop w:val="0"/>
                      <w:marBottom w:val="0"/>
                      <w:divBdr>
                        <w:top w:val="none" w:sz="0" w:space="0" w:color="auto"/>
                        <w:left w:val="none" w:sz="0" w:space="0" w:color="auto"/>
                        <w:bottom w:val="none" w:sz="0" w:space="0" w:color="auto"/>
                        <w:right w:val="none" w:sz="0" w:space="0" w:color="auto"/>
                      </w:divBdr>
                      <w:divsChild>
                        <w:div w:id="1844584333">
                          <w:marLeft w:val="0"/>
                          <w:marRight w:val="0"/>
                          <w:marTop w:val="120"/>
                          <w:marBottom w:val="0"/>
                          <w:divBdr>
                            <w:top w:val="none" w:sz="0" w:space="0" w:color="auto"/>
                            <w:left w:val="none" w:sz="0" w:space="0" w:color="auto"/>
                            <w:bottom w:val="none" w:sz="0" w:space="0" w:color="auto"/>
                            <w:right w:val="none" w:sz="0" w:space="0" w:color="auto"/>
                          </w:divBdr>
                        </w:div>
                        <w:div w:id="183167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320549">
              <w:marLeft w:val="0"/>
              <w:marRight w:val="0"/>
              <w:marTop w:val="0"/>
              <w:marBottom w:val="0"/>
              <w:divBdr>
                <w:top w:val="none" w:sz="0" w:space="0" w:color="auto"/>
                <w:left w:val="none" w:sz="0" w:space="0" w:color="auto"/>
                <w:bottom w:val="none" w:sz="0" w:space="0" w:color="auto"/>
                <w:right w:val="none" w:sz="0" w:space="0" w:color="auto"/>
              </w:divBdr>
              <w:divsChild>
                <w:div w:id="969868551">
                  <w:marLeft w:val="0"/>
                  <w:marRight w:val="0"/>
                  <w:marTop w:val="120"/>
                  <w:marBottom w:val="0"/>
                  <w:divBdr>
                    <w:top w:val="none" w:sz="0" w:space="0" w:color="auto"/>
                    <w:left w:val="none" w:sz="0" w:space="0" w:color="auto"/>
                    <w:bottom w:val="none" w:sz="0" w:space="0" w:color="auto"/>
                    <w:right w:val="none" w:sz="0" w:space="0" w:color="auto"/>
                  </w:divBdr>
                </w:div>
                <w:div w:id="1429765964">
                  <w:marLeft w:val="0"/>
                  <w:marRight w:val="0"/>
                  <w:marTop w:val="0"/>
                  <w:marBottom w:val="0"/>
                  <w:divBdr>
                    <w:top w:val="none" w:sz="0" w:space="0" w:color="auto"/>
                    <w:left w:val="none" w:sz="0" w:space="0" w:color="auto"/>
                    <w:bottom w:val="none" w:sz="0" w:space="0" w:color="auto"/>
                    <w:right w:val="none" w:sz="0" w:space="0" w:color="auto"/>
                  </w:divBdr>
                </w:div>
              </w:divsChild>
            </w:div>
            <w:div w:id="1285769943">
              <w:marLeft w:val="0"/>
              <w:marRight w:val="0"/>
              <w:marTop w:val="0"/>
              <w:marBottom w:val="0"/>
              <w:divBdr>
                <w:top w:val="none" w:sz="0" w:space="0" w:color="auto"/>
                <w:left w:val="none" w:sz="0" w:space="0" w:color="auto"/>
                <w:bottom w:val="none" w:sz="0" w:space="0" w:color="auto"/>
                <w:right w:val="none" w:sz="0" w:space="0" w:color="auto"/>
              </w:divBdr>
              <w:divsChild>
                <w:div w:id="1830058133">
                  <w:marLeft w:val="0"/>
                  <w:marRight w:val="0"/>
                  <w:marTop w:val="120"/>
                  <w:marBottom w:val="0"/>
                  <w:divBdr>
                    <w:top w:val="none" w:sz="0" w:space="0" w:color="auto"/>
                    <w:left w:val="none" w:sz="0" w:space="0" w:color="auto"/>
                    <w:bottom w:val="none" w:sz="0" w:space="0" w:color="auto"/>
                    <w:right w:val="none" w:sz="0" w:space="0" w:color="auto"/>
                  </w:divBdr>
                </w:div>
                <w:div w:id="1128475159">
                  <w:marLeft w:val="0"/>
                  <w:marRight w:val="0"/>
                  <w:marTop w:val="0"/>
                  <w:marBottom w:val="0"/>
                  <w:divBdr>
                    <w:top w:val="none" w:sz="0" w:space="0" w:color="auto"/>
                    <w:left w:val="none" w:sz="0" w:space="0" w:color="auto"/>
                    <w:bottom w:val="none" w:sz="0" w:space="0" w:color="auto"/>
                    <w:right w:val="none" w:sz="0" w:space="0" w:color="auto"/>
                  </w:divBdr>
                  <w:divsChild>
                    <w:div w:id="689840104">
                      <w:marLeft w:val="0"/>
                      <w:marRight w:val="0"/>
                      <w:marTop w:val="0"/>
                      <w:marBottom w:val="0"/>
                      <w:divBdr>
                        <w:top w:val="none" w:sz="0" w:space="0" w:color="auto"/>
                        <w:left w:val="none" w:sz="0" w:space="0" w:color="auto"/>
                        <w:bottom w:val="none" w:sz="0" w:space="0" w:color="auto"/>
                        <w:right w:val="none" w:sz="0" w:space="0" w:color="auto"/>
                      </w:divBdr>
                      <w:divsChild>
                        <w:div w:id="570189676">
                          <w:marLeft w:val="0"/>
                          <w:marRight w:val="0"/>
                          <w:marTop w:val="120"/>
                          <w:marBottom w:val="0"/>
                          <w:divBdr>
                            <w:top w:val="none" w:sz="0" w:space="0" w:color="auto"/>
                            <w:left w:val="none" w:sz="0" w:space="0" w:color="auto"/>
                            <w:bottom w:val="none" w:sz="0" w:space="0" w:color="auto"/>
                            <w:right w:val="none" w:sz="0" w:space="0" w:color="auto"/>
                          </w:divBdr>
                        </w:div>
                        <w:div w:id="926964433">
                          <w:marLeft w:val="0"/>
                          <w:marRight w:val="0"/>
                          <w:marTop w:val="0"/>
                          <w:marBottom w:val="0"/>
                          <w:divBdr>
                            <w:top w:val="none" w:sz="0" w:space="0" w:color="auto"/>
                            <w:left w:val="none" w:sz="0" w:space="0" w:color="auto"/>
                            <w:bottom w:val="none" w:sz="0" w:space="0" w:color="auto"/>
                            <w:right w:val="none" w:sz="0" w:space="0" w:color="auto"/>
                          </w:divBdr>
                        </w:div>
                      </w:divsChild>
                    </w:div>
                    <w:div w:id="186646794">
                      <w:marLeft w:val="0"/>
                      <w:marRight w:val="0"/>
                      <w:marTop w:val="0"/>
                      <w:marBottom w:val="0"/>
                      <w:divBdr>
                        <w:top w:val="none" w:sz="0" w:space="0" w:color="auto"/>
                        <w:left w:val="none" w:sz="0" w:space="0" w:color="auto"/>
                        <w:bottom w:val="none" w:sz="0" w:space="0" w:color="auto"/>
                        <w:right w:val="none" w:sz="0" w:space="0" w:color="auto"/>
                      </w:divBdr>
                      <w:divsChild>
                        <w:div w:id="621811941">
                          <w:marLeft w:val="0"/>
                          <w:marRight w:val="0"/>
                          <w:marTop w:val="120"/>
                          <w:marBottom w:val="0"/>
                          <w:divBdr>
                            <w:top w:val="none" w:sz="0" w:space="0" w:color="auto"/>
                            <w:left w:val="none" w:sz="0" w:space="0" w:color="auto"/>
                            <w:bottom w:val="none" w:sz="0" w:space="0" w:color="auto"/>
                            <w:right w:val="none" w:sz="0" w:space="0" w:color="auto"/>
                          </w:divBdr>
                        </w:div>
                        <w:div w:id="454326244">
                          <w:marLeft w:val="0"/>
                          <w:marRight w:val="0"/>
                          <w:marTop w:val="0"/>
                          <w:marBottom w:val="0"/>
                          <w:divBdr>
                            <w:top w:val="none" w:sz="0" w:space="0" w:color="auto"/>
                            <w:left w:val="none" w:sz="0" w:space="0" w:color="auto"/>
                            <w:bottom w:val="none" w:sz="0" w:space="0" w:color="auto"/>
                            <w:right w:val="none" w:sz="0" w:space="0" w:color="auto"/>
                          </w:divBdr>
                        </w:div>
                      </w:divsChild>
                    </w:div>
                    <w:div w:id="508373173">
                      <w:marLeft w:val="0"/>
                      <w:marRight w:val="0"/>
                      <w:marTop w:val="0"/>
                      <w:marBottom w:val="0"/>
                      <w:divBdr>
                        <w:top w:val="none" w:sz="0" w:space="0" w:color="auto"/>
                        <w:left w:val="none" w:sz="0" w:space="0" w:color="auto"/>
                        <w:bottom w:val="none" w:sz="0" w:space="0" w:color="auto"/>
                        <w:right w:val="none" w:sz="0" w:space="0" w:color="auto"/>
                      </w:divBdr>
                      <w:divsChild>
                        <w:div w:id="1989280505">
                          <w:marLeft w:val="0"/>
                          <w:marRight w:val="0"/>
                          <w:marTop w:val="120"/>
                          <w:marBottom w:val="0"/>
                          <w:divBdr>
                            <w:top w:val="none" w:sz="0" w:space="0" w:color="auto"/>
                            <w:left w:val="none" w:sz="0" w:space="0" w:color="auto"/>
                            <w:bottom w:val="none" w:sz="0" w:space="0" w:color="auto"/>
                            <w:right w:val="none" w:sz="0" w:space="0" w:color="auto"/>
                          </w:divBdr>
                        </w:div>
                        <w:div w:id="1834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27447">
              <w:marLeft w:val="0"/>
              <w:marRight w:val="0"/>
              <w:marTop w:val="0"/>
              <w:marBottom w:val="0"/>
              <w:divBdr>
                <w:top w:val="none" w:sz="0" w:space="0" w:color="auto"/>
                <w:left w:val="none" w:sz="0" w:space="0" w:color="auto"/>
                <w:bottom w:val="none" w:sz="0" w:space="0" w:color="auto"/>
                <w:right w:val="none" w:sz="0" w:space="0" w:color="auto"/>
              </w:divBdr>
              <w:divsChild>
                <w:div w:id="719984900">
                  <w:marLeft w:val="0"/>
                  <w:marRight w:val="0"/>
                  <w:marTop w:val="120"/>
                  <w:marBottom w:val="0"/>
                  <w:divBdr>
                    <w:top w:val="none" w:sz="0" w:space="0" w:color="auto"/>
                    <w:left w:val="none" w:sz="0" w:space="0" w:color="auto"/>
                    <w:bottom w:val="none" w:sz="0" w:space="0" w:color="auto"/>
                    <w:right w:val="none" w:sz="0" w:space="0" w:color="auto"/>
                  </w:divBdr>
                </w:div>
                <w:div w:id="1307121512">
                  <w:marLeft w:val="0"/>
                  <w:marRight w:val="0"/>
                  <w:marTop w:val="0"/>
                  <w:marBottom w:val="0"/>
                  <w:divBdr>
                    <w:top w:val="none" w:sz="0" w:space="0" w:color="auto"/>
                    <w:left w:val="none" w:sz="0" w:space="0" w:color="auto"/>
                    <w:bottom w:val="none" w:sz="0" w:space="0" w:color="auto"/>
                    <w:right w:val="none" w:sz="0" w:space="0" w:color="auto"/>
                  </w:divBdr>
                </w:div>
              </w:divsChild>
            </w:div>
            <w:div w:id="8415454">
              <w:marLeft w:val="0"/>
              <w:marRight w:val="0"/>
              <w:marTop w:val="0"/>
              <w:marBottom w:val="0"/>
              <w:divBdr>
                <w:top w:val="none" w:sz="0" w:space="0" w:color="auto"/>
                <w:left w:val="none" w:sz="0" w:space="0" w:color="auto"/>
                <w:bottom w:val="none" w:sz="0" w:space="0" w:color="auto"/>
                <w:right w:val="none" w:sz="0" w:space="0" w:color="auto"/>
              </w:divBdr>
              <w:divsChild>
                <w:div w:id="1230773775">
                  <w:marLeft w:val="0"/>
                  <w:marRight w:val="0"/>
                  <w:marTop w:val="120"/>
                  <w:marBottom w:val="0"/>
                  <w:divBdr>
                    <w:top w:val="none" w:sz="0" w:space="0" w:color="auto"/>
                    <w:left w:val="none" w:sz="0" w:space="0" w:color="auto"/>
                    <w:bottom w:val="none" w:sz="0" w:space="0" w:color="auto"/>
                    <w:right w:val="none" w:sz="0" w:space="0" w:color="auto"/>
                  </w:divBdr>
                </w:div>
                <w:div w:id="83565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75427">
      <w:bodyDiv w:val="1"/>
      <w:marLeft w:val="0"/>
      <w:marRight w:val="0"/>
      <w:marTop w:val="0"/>
      <w:marBottom w:val="0"/>
      <w:divBdr>
        <w:top w:val="none" w:sz="0" w:space="0" w:color="auto"/>
        <w:left w:val="none" w:sz="0" w:space="0" w:color="auto"/>
        <w:bottom w:val="none" w:sz="0" w:space="0" w:color="auto"/>
        <w:right w:val="none" w:sz="0" w:space="0" w:color="auto"/>
      </w:divBdr>
      <w:divsChild>
        <w:div w:id="1687170397">
          <w:marLeft w:val="0"/>
          <w:marRight w:val="0"/>
          <w:marTop w:val="0"/>
          <w:marBottom w:val="0"/>
          <w:divBdr>
            <w:top w:val="none" w:sz="0" w:space="0" w:color="auto"/>
            <w:left w:val="none" w:sz="0" w:space="0" w:color="auto"/>
            <w:bottom w:val="none" w:sz="0" w:space="0" w:color="auto"/>
            <w:right w:val="none" w:sz="0" w:space="0" w:color="auto"/>
          </w:divBdr>
        </w:div>
      </w:divsChild>
    </w:div>
    <w:div w:id="1575775934">
      <w:bodyDiv w:val="1"/>
      <w:marLeft w:val="0"/>
      <w:marRight w:val="0"/>
      <w:marTop w:val="0"/>
      <w:marBottom w:val="0"/>
      <w:divBdr>
        <w:top w:val="none" w:sz="0" w:space="0" w:color="auto"/>
        <w:left w:val="none" w:sz="0" w:space="0" w:color="auto"/>
        <w:bottom w:val="none" w:sz="0" w:space="0" w:color="auto"/>
        <w:right w:val="none" w:sz="0" w:space="0" w:color="auto"/>
      </w:divBdr>
      <w:divsChild>
        <w:div w:id="838696574">
          <w:marLeft w:val="0"/>
          <w:marRight w:val="0"/>
          <w:marTop w:val="0"/>
          <w:marBottom w:val="0"/>
          <w:divBdr>
            <w:top w:val="none" w:sz="0" w:space="0" w:color="auto"/>
            <w:left w:val="none" w:sz="0" w:space="0" w:color="auto"/>
            <w:bottom w:val="none" w:sz="0" w:space="0" w:color="auto"/>
            <w:right w:val="none" w:sz="0" w:space="0" w:color="auto"/>
          </w:divBdr>
          <w:divsChild>
            <w:div w:id="1016882365">
              <w:marLeft w:val="0"/>
              <w:marRight w:val="0"/>
              <w:marTop w:val="0"/>
              <w:marBottom w:val="0"/>
              <w:divBdr>
                <w:top w:val="none" w:sz="0" w:space="0" w:color="auto"/>
                <w:left w:val="none" w:sz="0" w:space="0" w:color="auto"/>
                <w:bottom w:val="none" w:sz="0" w:space="0" w:color="auto"/>
                <w:right w:val="none" w:sz="0" w:space="0" w:color="auto"/>
              </w:divBdr>
              <w:divsChild>
                <w:div w:id="2025789769">
                  <w:marLeft w:val="0"/>
                  <w:marRight w:val="0"/>
                  <w:marTop w:val="120"/>
                  <w:marBottom w:val="0"/>
                  <w:divBdr>
                    <w:top w:val="none" w:sz="0" w:space="0" w:color="auto"/>
                    <w:left w:val="none" w:sz="0" w:space="0" w:color="auto"/>
                    <w:bottom w:val="none" w:sz="0" w:space="0" w:color="auto"/>
                    <w:right w:val="none" w:sz="0" w:space="0" w:color="auto"/>
                  </w:divBdr>
                </w:div>
                <w:div w:id="629290947">
                  <w:marLeft w:val="0"/>
                  <w:marRight w:val="0"/>
                  <w:marTop w:val="0"/>
                  <w:marBottom w:val="0"/>
                  <w:divBdr>
                    <w:top w:val="none" w:sz="0" w:space="0" w:color="auto"/>
                    <w:left w:val="none" w:sz="0" w:space="0" w:color="auto"/>
                    <w:bottom w:val="none" w:sz="0" w:space="0" w:color="auto"/>
                    <w:right w:val="none" w:sz="0" w:space="0" w:color="auto"/>
                  </w:divBdr>
                </w:div>
              </w:divsChild>
            </w:div>
            <w:div w:id="1670062223">
              <w:marLeft w:val="0"/>
              <w:marRight w:val="0"/>
              <w:marTop w:val="0"/>
              <w:marBottom w:val="0"/>
              <w:divBdr>
                <w:top w:val="none" w:sz="0" w:space="0" w:color="auto"/>
                <w:left w:val="none" w:sz="0" w:space="0" w:color="auto"/>
                <w:bottom w:val="none" w:sz="0" w:space="0" w:color="auto"/>
                <w:right w:val="none" w:sz="0" w:space="0" w:color="auto"/>
              </w:divBdr>
              <w:divsChild>
                <w:div w:id="1401947644">
                  <w:marLeft w:val="0"/>
                  <w:marRight w:val="0"/>
                  <w:marTop w:val="120"/>
                  <w:marBottom w:val="0"/>
                  <w:divBdr>
                    <w:top w:val="none" w:sz="0" w:space="0" w:color="auto"/>
                    <w:left w:val="none" w:sz="0" w:space="0" w:color="auto"/>
                    <w:bottom w:val="none" w:sz="0" w:space="0" w:color="auto"/>
                    <w:right w:val="none" w:sz="0" w:space="0" w:color="auto"/>
                  </w:divBdr>
                </w:div>
                <w:div w:id="748160300">
                  <w:marLeft w:val="0"/>
                  <w:marRight w:val="0"/>
                  <w:marTop w:val="0"/>
                  <w:marBottom w:val="0"/>
                  <w:divBdr>
                    <w:top w:val="none" w:sz="0" w:space="0" w:color="auto"/>
                    <w:left w:val="none" w:sz="0" w:space="0" w:color="auto"/>
                    <w:bottom w:val="none" w:sz="0" w:space="0" w:color="auto"/>
                    <w:right w:val="none" w:sz="0" w:space="0" w:color="auto"/>
                  </w:divBdr>
                </w:div>
              </w:divsChild>
            </w:div>
            <w:div w:id="1836411546">
              <w:marLeft w:val="0"/>
              <w:marRight w:val="0"/>
              <w:marTop w:val="0"/>
              <w:marBottom w:val="0"/>
              <w:divBdr>
                <w:top w:val="none" w:sz="0" w:space="0" w:color="auto"/>
                <w:left w:val="none" w:sz="0" w:space="0" w:color="auto"/>
                <w:bottom w:val="none" w:sz="0" w:space="0" w:color="auto"/>
                <w:right w:val="none" w:sz="0" w:space="0" w:color="auto"/>
              </w:divBdr>
              <w:divsChild>
                <w:div w:id="418796793">
                  <w:marLeft w:val="0"/>
                  <w:marRight w:val="0"/>
                  <w:marTop w:val="120"/>
                  <w:marBottom w:val="0"/>
                  <w:divBdr>
                    <w:top w:val="none" w:sz="0" w:space="0" w:color="auto"/>
                    <w:left w:val="none" w:sz="0" w:space="0" w:color="auto"/>
                    <w:bottom w:val="none" w:sz="0" w:space="0" w:color="auto"/>
                    <w:right w:val="none" w:sz="0" w:space="0" w:color="auto"/>
                  </w:divBdr>
                </w:div>
                <w:div w:id="21313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817941">
      <w:bodyDiv w:val="1"/>
      <w:marLeft w:val="0"/>
      <w:marRight w:val="0"/>
      <w:marTop w:val="0"/>
      <w:marBottom w:val="0"/>
      <w:divBdr>
        <w:top w:val="none" w:sz="0" w:space="0" w:color="auto"/>
        <w:left w:val="none" w:sz="0" w:space="0" w:color="auto"/>
        <w:bottom w:val="none" w:sz="0" w:space="0" w:color="auto"/>
        <w:right w:val="none" w:sz="0" w:space="0" w:color="auto"/>
      </w:divBdr>
      <w:divsChild>
        <w:div w:id="1027297652">
          <w:marLeft w:val="0"/>
          <w:marRight w:val="0"/>
          <w:marTop w:val="0"/>
          <w:marBottom w:val="0"/>
          <w:divBdr>
            <w:top w:val="none" w:sz="0" w:space="0" w:color="auto"/>
            <w:left w:val="none" w:sz="0" w:space="0" w:color="auto"/>
            <w:bottom w:val="none" w:sz="0" w:space="0" w:color="auto"/>
            <w:right w:val="none" w:sz="0" w:space="0" w:color="auto"/>
          </w:divBdr>
        </w:div>
      </w:divsChild>
    </w:div>
    <w:div w:id="1584752111">
      <w:bodyDiv w:val="1"/>
      <w:marLeft w:val="0"/>
      <w:marRight w:val="0"/>
      <w:marTop w:val="0"/>
      <w:marBottom w:val="0"/>
      <w:divBdr>
        <w:top w:val="none" w:sz="0" w:space="0" w:color="auto"/>
        <w:left w:val="none" w:sz="0" w:space="0" w:color="auto"/>
        <w:bottom w:val="none" w:sz="0" w:space="0" w:color="auto"/>
        <w:right w:val="none" w:sz="0" w:space="0" w:color="auto"/>
      </w:divBdr>
      <w:divsChild>
        <w:div w:id="661734063">
          <w:marLeft w:val="0"/>
          <w:marRight w:val="0"/>
          <w:marTop w:val="0"/>
          <w:marBottom w:val="0"/>
          <w:divBdr>
            <w:top w:val="none" w:sz="0" w:space="0" w:color="auto"/>
            <w:left w:val="none" w:sz="0" w:space="0" w:color="auto"/>
            <w:bottom w:val="none" w:sz="0" w:space="0" w:color="auto"/>
            <w:right w:val="none" w:sz="0" w:space="0" w:color="auto"/>
          </w:divBdr>
        </w:div>
      </w:divsChild>
    </w:div>
    <w:div w:id="1585143110">
      <w:bodyDiv w:val="1"/>
      <w:marLeft w:val="0"/>
      <w:marRight w:val="0"/>
      <w:marTop w:val="0"/>
      <w:marBottom w:val="0"/>
      <w:divBdr>
        <w:top w:val="none" w:sz="0" w:space="0" w:color="auto"/>
        <w:left w:val="none" w:sz="0" w:space="0" w:color="auto"/>
        <w:bottom w:val="none" w:sz="0" w:space="0" w:color="auto"/>
        <w:right w:val="none" w:sz="0" w:space="0" w:color="auto"/>
      </w:divBdr>
      <w:divsChild>
        <w:div w:id="411316773">
          <w:marLeft w:val="0"/>
          <w:marRight w:val="0"/>
          <w:marTop w:val="0"/>
          <w:marBottom w:val="0"/>
          <w:divBdr>
            <w:top w:val="none" w:sz="0" w:space="0" w:color="auto"/>
            <w:left w:val="none" w:sz="0" w:space="0" w:color="auto"/>
            <w:bottom w:val="none" w:sz="0" w:space="0" w:color="auto"/>
            <w:right w:val="none" w:sz="0" w:space="0" w:color="auto"/>
          </w:divBdr>
          <w:divsChild>
            <w:div w:id="396324939">
              <w:marLeft w:val="0"/>
              <w:marRight w:val="0"/>
              <w:marTop w:val="0"/>
              <w:marBottom w:val="0"/>
              <w:divBdr>
                <w:top w:val="none" w:sz="0" w:space="0" w:color="auto"/>
                <w:left w:val="none" w:sz="0" w:space="0" w:color="auto"/>
                <w:bottom w:val="none" w:sz="0" w:space="0" w:color="auto"/>
                <w:right w:val="none" w:sz="0" w:space="0" w:color="auto"/>
              </w:divBdr>
              <w:divsChild>
                <w:div w:id="699860691">
                  <w:marLeft w:val="0"/>
                  <w:marRight w:val="0"/>
                  <w:marTop w:val="0"/>
                  <w:marBottom w:val="0"/>
                  <w:divBdr>
                    <w:top w:val="none" w:sz="0" w:space="0" w:color="auto"/>
                    <w:left w:val="none" w:sz="0" w:space="0" w:color="auto"/>
                    <w:bottom w:val="none" w:sz="0" w:space="0" w:color="auto"/>
                    <w:right w:val="none" w:sz="0" w:space="0" w:color="auto"/>
                  </w:divBdr>
                  <w:divsChild>
                    <w:div w:id="96024030">
                      <w:marLeft w:val="0"/>
                      <w:marRight w:val="0"/>
                      <w:marTop w:val="120"/>
                      <w:marBottom w:val="0"/>
                      <w:divBdr>
                        <w:top w:val="none" w:sz="0" w:space="0" w:color="auto"/>
                        <w:left w:val="none" w:sz="0" w:space="0" w:color="auto"/>
                        <w:bottom w:val="none" w:sz="0" w:space="0" w:color="auto"/>
                        <w:right w:val="none" w:sz="0" w:space="0" w:color="auto"/>
                      </w:divBdr>
                    </w:div>
                    <w:div w:id="713581663">
                      <w:marLeft w:val="0"/>
                      <w:marRight w:val="0"/>
                      <w:marTop w:val="0"/>
                      <w:marBottom w:val="0"/>
                      <w:divBdr>
                        <w:top w:val="none" w:sz="0" w:space="0" w:color="auto"/>
                        <w:left w:val="none" w:sz="0" w:space="0" w:color="auto"/>
                        <w:bottom w:val="none" w:sz="0" w:space="0" w:color="auto"/>
                        <w:right w:val="none" w:sz="0" w:space="0" w:color="auto"/>
                      </w:divBdr>
                    </w:div>
                  </w:divsChild>
                </w:div>
                <w:div w:id="1514297299">
                  <w:marLeft w:val="0"/>
                  <w:marRight w:val="0"/>
                  <w:marTop w:val="0"/>
                  <w:marBottom w:val="0"/>
                  <w:divBdr>
                    <w:top w:val="none" w:sz="0" w:space="0" w:color="auto"/>
                    <w:left w:val="none" w:sz="0" w:space="0" w:color="auto"/>
                    <w:bottom w:val="none" w:sz="0" w:space="0" w:color="auto"/>
                    <w:right w:val="none" w:sz="0" w:space="0" w:color="auto"/>
                  </w:divBdr>
                  <w:divsChild>
                    <w:div w:id="1708065307">
                      <w:marLeft w:val="0"/>
                      <w:marRight w:val="0"/>
                      <w:marTop w:val="120"/>
                      <w:marBottom w:val="0"/>
                      <w:divBdr>
                        <w:top w:val="none" w:sz="0" w:space="0" w:color="auto"/>
                        <w:left w:val="none" w:sz="0" w:space="0" w:color="auto"/>
                        <w:bottom w:val="none" w:sz="0" w:space="0" w:color="auto"/>
                        <w:right w:val="none" w:sz="0" w:space="0" w:color="auto"/>
                      </w:divBdr>
                    </w:div>
                    <w:div w:id="1237351919">
                      <w:marLeft w:val="0"/>
                      <w:marRight w:val="0"/>
                      <w:marTop w:val="0"/>
                      <w:marBottom w:val="0"/>
                      <w:divBdr>
                        <w:top w:val="none" w:sz="0" w:space="0" w:color="auto"/>
                        <w:left w:val="none" w:sz="0" w:space="0" w:color="auto"/>
                        <w:bottom w:val="none" w:sz="0" w:space="0" w:color="auto"/>
                        <w:right w:val="none" w:sz="0" w:space="0" w:color="auto"/>
                      </w:divBdr>
                    </w:div>
                  </w:divsChild>
                </w:div>
                <w:div w:id="265306976">
                  <w:marLeft w:val="0"/>
                  <w:marRight w:val="0"/>
                  <w:marTop w:val="0"/>
                  <w:marBottom w:val="0"/>
                  <w:divBdr>
                    <w:top w:val="none" w:sz="0" w:space="0" w:color="auto"/>
                    <w:left w:val="none" w:sz="0" w:space="0" w:color="auto"/>
                    <w:bottom w:val="none" w:sz="0" w:space="0" w:color="auto"/>
                    <w:right w:val="none" w:sz="0" w:space="0" w:color="auto"/>
                  </w:divBdr>
                  <w:divsChild>
                    <w:div w:id="1708070061">
                      <w:marLeft w:val="0"/>
                      <w:marRight w:val="0"/>
                      <w:marTop w:val="120"/>
                      <w:marBottom w:val="0"/>
                      <w:divBdr>
                        <w:top w:val="none" w:sz="0" w:space="0" w:color="auto"/>
                        <w:left w:val="none" w:sz="0" w:space="0" w:color="auto"/>
                        <w:bottom w:val="none" w:sz="0" w:space="0" w:color="auto"/>
                        <w:right w:val="none" w:sz="0" w:space="0" w:color="auto"/>
                      </w:divBdr>
                    </w:div>
                    <w:div w:id="997153368">
                      <w:marLeft w:val="0"/>
                      <w:marRight w:val="0"/>
                      <w:marTop w:val="0"/>
                      <w:marBottom w:val="0"/>
                      <w:divBdr>
                        <w:top w:val="none" w:sz="0" w:space="0" w:color="auto"/>
                        <w:left w:val="none" w:sz="0" w:space="0" w:color="auto"/>
                        <w:bottom w:val="none" w:sz="0" w:space="0" w:color="auto"/>
                        <w:right w:val="none" w:sz="0" w:space="0" w:color="auto"/>
                      </w:divBdr>
                    </w:div>
                  </w:divsChild>
                </w:div>
                <w:div w:id="131363662">
                  <w:marLeft w:val="0"/>
                  <w:marRight w:val="0"/>
                  <w:marTop w:val="0"/>
                  <w:marBottom w:val="0"/>
                  <w:divBdr>
                    <w:top w:val="none" w:sz="0" w:space="0" w:color="auto"/>
                    <w:left w:val="none" w:sz="0" w:space="0" w:color="auto"/>
                    <w:bottom w:val="none" w:sz="0" w:space="0" w:color="auto"/>
                    <w:right w:val="none" w:sz="0" w:space="0" w:color="auto"/>
                  </w:divBdr>
                  <w:divsChild>
                    <w:div w:id="1447460446">
                      <w:marLeft w:val="0"/>
                      <w:marRight w:val="0"/>
                      <w:marTop w:val="120"/>
                      <w:marBottom w:val="0"/>
                      <w:divBdr>
                        <w:top w:val="none" w:sz="0" w:space="0" w:color="auto"/>
                        <w:left w:val="none" w:sz="0" w:space="0" w:color="auto"/>
                        <w:bottom w:val="none" w:sz="0" w:space="0" w:color="auto"/>
                        <w:right w:val="none" w:sz="0" w:space="0" w:color="auto"/>
                      </w:divBdr>
                    </w:div>
                    <w:div w:id="31885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687139">
      <w:bodyDiv w:val="1"/>
      <w:marLeft w:val="0"/>
      <w:marRight w:val="0"/>
      <w:marTop w:val="0"/>
      <w:marBottom w:val="0"/>
      <w:divBdr>
        <w:top w:val="none" w:sz="0" w:space="0" w:color="auto"/>
        <w:left w:val="none" w:sz="0" w:space="0" w:color="auto"/>
        <w:bottom w:val="none" w:sz="0" w:space="0" w:color="auto"/>
        <w:right w:val="none" w:sz="0" w:space="0" w:color="auto"/>
      </w:divBdr>
      <w:divsChild>
        <w:div w:id="1456676244">
          <w:marLeft w:val="0"/>
          <w:marRight w:val="0"/>
          <w:marTop w:val="120"/>
          <w:marBottom w:val="0"/>
          <w:divBdr>
            <w:top w:val="none" w:sz="0" w:space="0" w:color="auto"/>
            <w:left w:val="none" w:sz="0" w:space="0" w:color="auto"/>
            <w:bottom w:val="none" w:sz="0" w:space="0" w:color="auto"/>
            <w:right w:val="none" w:sz="0" w:space="0" w:color="auto"/>
          </w:divBdr>
        </w:div>
        <w:div w:id="1134059446">
          <w:marLeft w:val="0"/>
          <w:marRight w:val="0"/>
          <w:marTop w:val="0"/>
          <w:marBottom w:val="0"/>
          <w:divBdr>
            <w:top w:val="none" w:sz="0" w:space="0" w:color="auto"/>
            <w:left w:val="none" w:sz="0" w:space="0" w:color="auto"/>
            <w:bottom w:val="none" w:sz="0" w:space="0" w:color="auto"/>
            <w:right w:val="none" w:sz="0" w:space="0" w:color="auto"/>
          </w:divBdr>
        </w:div>
      </w:divsChild>
    </w:div>
    <w:div w:id="1596476823">
      <w:bodyDiv w:val="1"/>
      <w:marLeft w:val="0"/>
      <w:marRight w:val="0"/>
      <w:marTop w:val="0"/>
      <w:marBottom w:val="0"/>
      <w:divBdr>
        <w:top w:val="none" w:sz="0" w:space="0" w:color="auto"/>
        <w:left w:val="none" w:sz="0" w:space="0" w:color="auto"/>
        <w:bottom w:val="none" w:sz="0" w:space="0" w:color="auto"/>
        <w:right w:val="none" w:sz="0" w:space="0" w:color="auto"/>
      </w:divBdr>
      <w:divsChild>
        <w:div w:id="1216894941">
          <w:marLeft w:val="0"/>
          <w:marRight w:val="0"/>
          <w:marTop w:val="0"/>
          <w:marBottom w:val="0"/>
          <w:divBdr>
            <w:top w:val="none" w:sz="0" w:space="0" w:color="auto"/>
            <w:left w:val="none" w:sz="0" w:space="0" w:color="auto"/>
            <w:bottom w:val="none" w:sz="0" w:space="0" w:color="auto"/>
            <w:right w:val="none" w:sz="0" w:space="0" w:color="auto"/>
          </w:divBdr>
        </w:div>
      </w:divsChild>
    </w:div>
    <w:div w:id="1603488290">
      <w:bodyDiv w:val="1"/>
      <w:marLeft w:val="0"/>
      <w:marRight w:val="0"/>
      <w:marTop w:val="0"/>
      <w:marBottom w:val="0"/>
      <w:divBdr>
        <w:top w:val="none" w:sz="0" w:space="0" w:color="auto"/>
        <w:left w:val="none" w:sz="0" w:space="0" w:color="auto"/>
        <w:bottom w:val="none" w:sz="0" w:space="0" w:color="auto"/>
        <w:right w:val="none" w:sz="0" w:space="0" w:color="auto"/>
      </w:divBdr>
      <w:divsChild>
        <w:div w:id="404576124">
          <w:marLeft w:val="0"/>
          <w:marRight w:val="0"/>
          <w:marTop w:val="0"/>
          <w:marBottom w:val="0"/>
          <w:divBdr>
            <w:top w:val="none" w:sz="0" w:space="0" w:color="auto"/>
            <w:left w:val="none" w:sz="0" w:space="0" w:color="auto"/>
            <w:bottom w:val="none" w:sz="0" w:space="0" w:color="auto"/>
            <w:right w:val="none" w:sz="0" w:space="0" w:color="auto"/>
          </w:divBdr>
        </w:div>
      </w:divsChild>
    </w:div>
    <w:div w:id="1603685450">
      <w:bodyDiv w:val="1"/>
      <w:marLeft w:val="0"/>
      <w:marRight w:val="0"/>
      <w:marTop w:val="0"/>
      <w:marBottom w:val="0"/>
      <w:divBdr>
        <w:top w:val="none" w:sz="0" w:space="0" w:color="auto"/>
        <w:left w:val="none" w:sz="0" w:space="0" w:color="auto"/>
        <w:bottom w:val="none" w:sz="0" w:space="0" w:color="auto"/>
        <w:right w:val="none" w:sz="0" w:space="0" w:color="auto"/>
      </w:divBdr>
      <w:divsChild>
        <w:div w:id="1925651624">
          <w:marLeft w:val="0"/>
          <w:marRight w:val="0"/>
          <w:marTop w:val="0"/>
          <w:marBottom w:val="0"/>
          <w:divBdr>
            <w:top w:val="none" w:sz="0" w:space="0" w:color="auto"/>
            <w:left w:val="none" w:sz="0" w:space="0" w:color="auto"/>
            <w:bottom w:val="none" w:sz="0" w:space="0" w:color="auto"/>
            <w:right w:val="none" w:sz="0" w:space="0" w:color="auto"/>
          </w:divBdr>
          <w:divsChild>
            <w:div w:id="1360664634">
              <w:marLeft w:val="0"/>
              <w:marRight w:val="0"/>
              <w:marTop w:val="0"/>
              <w:marBottom w:val="0"/>
              <w:divBdr>
                <w:top w:val="none" w:sz="0" w:space="0" w:color="auto"/>
                <w:left w:val="none" w:sz="0" w:space="0" w:color="auto"/>
                <w:bottom w:val="none" w:sz="0" w:space="0" w:color="auto"/>
                <w:right w:val="none" w:sz="0" w:space="0" w:color="auto"/>
              </w:divBdr>
              <w:divsChild>
                <w:div w:id="1822575800">
                  <w:marLeft w:val="0"/>
                  <w:marRight w:val="0"/>
                  <w:marTop w:val="120"/>
                  <w:marBottom w:val="0"/>
                  <w:divBdr>
                    <w:top w:val="none" w:sz="0" w:space="0" w:color="auto"/>
                    <w:left w:val="none" w:sz="0" w:space="0" w:color="auto"/>
                    <w:bottom w:val="none" w:sz="0" w:space="0" w:color="auto"/>
                    <w:right w:val="none" w:sz="0" w:space="0" w:color="auto"/>
                  </w:divBdr>
                </w:div>
                <w:div w:id="1448697674">
                  <w:marLeft w:val="0"/>
                  <w:marRight w:val="0"/>
                  <w:marTop w:val="0"/>
                  <w:marBottom w:val="0"/>
                  <w:divBdr>
                    <w:top w:val="none" w:sz="0" w:space="0" w:color="auto"/>
                    <w:left w:val="none" w:sz="0" w:space="0" w:color="auto"/>
                    <w:bottom w:val="none" w:sz="0" w:space="0" w:color="auto"/>
                    <w:right w:val="none" w:sz="0" w:space="0" w:color="auto"/>
                  </w:divBdr>
                </w:div>
              </w:divsChild>
            </w:div>
            <w:div w:id="1568880957">
              <w:marLeft w:val="0"/>
              <w:marRight w:val="0"/>
              <w:marTop w:val="0"/>
              <w:marBottom w:val="0"/>
              <w:divBdr>
                <w:top w:val="none" w:sz="0" w:space="0" w:color="auto"/>
                <w:left w:val="none" w:sz="0" w:space="0" w:color="auto"/>
                <w:bottom w:val="none" w:sz="0" w:space="0" w:color="auto"/>
                <w:right w:val="none" w:sz="0" w:space="0" w:color="auto"/>
              </w:divBdr>
              <w:divsChild>
                <w:div w:id="93677285">
                  <w:marLeft w:val="0"/>
                  <w:marRight w:val="0"/>
                  <w:marTop w:val="120"/>
                  <w:marBottom w:val="0"/>
                  <w:divBdr>
                    <w:top w:val="none" w:sz="0" w:space="0" w:color="auto"/>
                    <w:left w:val="none" w:sz="0" w:space="0" w:color="auto"/>
                    <w:bottom w:val="none" w:sz="0" w:space="0" w:color="auto"/>
                    <w:right w:val="none" w:sz="0" w:space="0" w:color="auto"/>
                  </w:divBdr>
                </w:div>
                <w:div w:id="288711699">
                  <w:marLeft w:val="0"/>
                  <w:marRight w:val="0"/>
                  <w:marTop w:val="0"/>
                  <w:marBottom w:val="0"/>
                  <w:divBdr>
                    <w:top w:val="none" w:sz="0" w:space="0" w:color="auto"/>
                    <w:left w:val="none" w:sz="0" w:space="0" w:color="auto"/>
                    <w:bottom w:val="none" w:sz="0" w:space="0" w:color="auto"/>
                    <w:right w:val="none" w:sz="0" w:space="0" w:color="auto"/>
                  </w:divBdr>
                </w:div>
              </w:divsChild>
            </w:div>
            <w:div w:id="166017863">
              <w:marLeft w:val="0"/>
              <w:marRight w:val="0"/>
              <w:marTop w:val="0"/>
              <w:marBottom w:val="0"/>
              <w:divBdr>
                <w:top w:val="none" w:sz="0" w:space="0" w:color="auto"/>
                <w:left w:val="none" w:sz="0" w:space="0" w:color="auto"/>
                <w:bottom w:val="none" w:sz="0" w:space="0" w:color="auto"/>
                <w:right w:val="none" w:sz="0" w:space="0" w:color="auto"/>
              </w:divBdr>
              <w:divsChild>
                <w:div w:id="2125465532">
                  <w:marLeft w:val="0"/>
                  <w:marRight w:val="0"/>
                  <w:marTop w:val="120"/>
                  <w:marBottom w:val="0"/>
                  <w:divBdr>
                    <w:top w:val="none" w:sz="0" w:space="0" w:color="auto"/>
                    <w:left w:val="none" w:sz="0" w:space="0" w:color="auto"/>
                    <w:bottom w:val="none" w:sz="0" w:space="0" w:color="auto"/>
                    <w:right w:val="none" w:sz="0" w:space="0" w:color="auto"/>
                  </w:divBdr>
                </w:div>
                <w:div w:id="1259564790">
                  <w:marLeft w:val="0"/>
                  <w:marRight w:val="0"/>
                  <w:marTop w:val="0"/>
                  <w:marBottom w:val="0"/>
                  <w:divBdr>
                    <w:top w:val="none" w:sz="0" w:space="0" w:color="auto"/>
                    <w:left w:val="none" w:sz="0" w:space="0" w:color="auto"/>
                    <w:bottom w:val="none" w:sz="0" w:space="0" w:color="auto"/>
                    <w:right w:val="none" w:sz="0" w:space="0" w:color="auto"/>
                  </w:divBdr>
                </w:div>
              </w:divsChild>
            </w:div>
            <w:div w:id="1186292136">
              <w:marLeft w:val="0"/>
              <w:marRight w:val="0"/>
              <w:marTop w:val="0"/>
              <w:marBottom w:val="0"/>
              <w:divBdr>
                <w:top w:val="none" w:sz="0" w:space="0" w:color="auto"/>
                <w:left w:val="none" w:sz="0" w:space="0" w:color="auto"/>
                <w:bottom w:val="none" w:sz="0" w:space="0" w:color="auto"/>
                <w:right w:val="none" w:sz="0" w:space="0" w:color="auto"/>
              </w:divBdr>
              <w:divsChild>
                <w:div w:id="936794844">
                  <w:marLeft w:val="0"/>
                  <w:marRight w:val="0"/>
                  <w:marTop w:val="120"/>
                  <w:marBottom w:val="0"/>
                  <w:divBdr>
                    <w:top w:val="none" w:sz="0" w:space="0" w:color="auto"/>
                    <w:left w:val="none" w:sz="0" w:space="0" w:color="auto"/>
                    <w:bottom w:val="none" w:sz="0" w:space="0" w:color="auto"/>
                    <w:right w:val="none" w:sz="0" w:space="0" w:color="auto"/>
                  </w:divBdr>
                </w:div>
                <w:div w:id="1217820569">
                  <w:marLeft w:val="0"/>
                  <w:marRight w:val="0"/>
                  <w:marTop w:val="0"/>
                  <w:marBottom w:val="0"/>
                  <w:divBdr>
                    <w:top w:val="none" w:sz="0" w:space="0" w:color="auto"/>
                    <w:left w:val="none" w:sz="0" w:space="0" w:color="auto"/>
                    <w:bottom w:val="none" w:sz="0" w:space="0" w:color="auto"/>
                    <w:right w:val="none" w:sz="0" w:space="0" w:color="auto"/>
                  </w:divBdr>
                </w:div>
              </w:divsChild>
            </w:div>
            <w:div w:id="845939879">
              <w:marLeft w:val="0"/>
              <w:marRight w:val="0"/>
              <w:marTop w:val="0"/>
              <w:marBottom w:val="0"/>
              <w:divBdr>
                <w:top w:val="none" w:sz="0" w:space="0" w:color="auto"/>
                <w:left w:val="none" w:sz="0" w:space="0" w:color="auto"/>
                <w:bottom w:val="none" w:sz="0" w:space="0" w:color="auto"/>
                <w:right w:val="none" w:sz="0" w:space="0" w:color="auto"/>
              </w:divBdr>
              <w:divsChild>
                <w:div w:id="131412521">
                  <w:marLeft w:val="0"/>
                  <w:marRight w:val="0"/>
                  <w:marTop w:val="120"/>
                  <w:marBottom w:val="0"/>
                  <w:divBdr>
                    <w:top w:val="none" w:sz="0" w:space="0" w:color="auto"/>
                    <w:left w:val="none" w:sz="0" w:space="0" w:color="auto"/>
                    <w:bottom w:val="none" w:sz="0" w:space="0" w:color="auto"/>
                    <w:right w:val="none" w:sz="0" w:space="0" w:color="auto"/>
                  </w:divBdr>
                </w:div>
                <w:div w:id="1883324628">
                  <w:marLeft w:val="0"/>
                  <w:marRight w:val="0"/>
                  <w:marTop w:val="0"/>
                  <w:marBottom w:val="0"/>
                  <w:divBdr>
                    <w:top w:val="none" w:sz="0" w:space="0" w:color="auto"/>
                    <w:left w:val="none" w:sz="0" w:space="0" w:color="auto"/>
                    <w:bottom w:val="none" w:sz="0" w:space="0" w:color="auto"/>
                    <w:right w:val="none" w:sz="0" w:space="0" w:color="auto"/>
                  </w:divBdr>
                </w:div>
              </w:divsChild>
            </w:div>
            <w:div w:id="2030132957">
              <w:marLeft w:val="0"/>
              <w:marRight w:val="0"/>
              <w:marTop w:val="0"/>
              <w:marBottom w:val="0"/>
              <w:divBdr>
                <w:top w:val="none" w:sz="0" w:space="0" w:color="auto"/>
                <w:left w:val="none" w:sz="0" w:space="0" w:color="auto"/>
                <w:bottom w:val="none" w:sz="0" w:space="0" w:color="auto"/>
                <w:right w:val="none" w:sz="0" w:space="0" w:color="auto"/>
              </w:divBdr>
              <w:divsChild>
                <w:div w:id="315769267">
                  <w:marLeft w:val="0"/>
                  <w:marRight w:val="0"/>
                  <w:marTop w:val="120"/>
                  <w:marBottom w:val="0"/>
                  <w:divBdr>
                    <w:top w:val="none" w:sz="0" w:space="0" w:color="auto"/>
                    <w:left w:val="none" w:sz="0" w:space="0" w:color="auto"/>
                    <w:bottom w:val="none" w:sz="0" w:space="0" w:color="auto"/>
                    <w:right w:val="none" w:sz="0" w:space="0" w:color="auto"/>
                  </w:divBdr>
                </w:div>
                <w:div w:id="1755011955">
                  <w:marLeft w:val="0"/>
                  <w:marRight w:val="0"/>
                  <w:marTop w:val="0"/>
                  <w:marBottom w:val="0"/>
                  <w:divBdr>
                    <w:top w:val="none" w:sz="0" w:space="0" w:color="auto"/>
                    <w:left w:val="none" w:sz="0" w:space="0" w:color="auto"/>
                    <w:bottom w:val="none" w:sz="0" w:space="0" w:color="auto"/>
                    <w:right w:val="none" w:sz="0" w:space="0" w:color="auto"/>
                  </w:divBdr>
                  <w:divsChild>
                    <w:div w:id="2098819332">
                      <w:marLeft w:val="0"/>
                      <w:marRight w:val="0"/>
                      <w:marTop w:val="0"/>
                      <w:marBottom w:val="0"/>
                      <w:divBdr>
                        <w:top w:val="none" w:sz="0" w:space="0" w:color="auto"/>
                        <w:left w:val="none" w:sz="0" w:space="0" w:color="auto"/>
                        <w:bottom w:val="none" w:sz="0" w:space="0" w:color="auto"/>
                        <w:right w:val="none" w:sz="0" w:space="0" w:color="auto"/>
                      </w:divBdr>
                      <w:divsChild>
                        <w:div w:id="131555535">
                          <w:marLeft w:val="0"/>
                          <w:marRight w:val="0"/>
                          <w:marTop w:val="120"/>
                          <w:marBottom w:val="0"/>
                          <w:divBdr>
                            <w:top w:val="none" w:sz="0" w:space="0" w:color="auto"/>
                            <w:left w:val="none" w:sz="0" w:space="0" w:color="auto"/>
                            <w:bottom w:val="none" w:sz="0" w:space="0" w:color="auto"/>
                            <w:right w:val="none" w:sz="0" w:space="0" w:color="auto"/>
                          </w:divBdr>
                        </w:div>
                        <w:div w:id="225340066">
                          <w:marLeft w:val="0"/>
                          <w:marRight w:val="0"/>
                          <w:marTop w:val="0"/>
                          <w:marBottom w:val="0"/>
                          <w:divBdr>
                            <w:top w:val="none" w:sz="0" w:space="0" w:color="auto"/>
                            <w:left w:val="none" w:sz="0" w:space="0" w:color="auto"/>
                            <w:bottom w:val="none" w:sz="0" w:space="0" w:color="auto"/>
                            <w:right w:val="none" w:sz="0" w:space="0" w:color="auto"/>
                          </w:divBdr>
                        </w:div>
                      </w:divsChild>
                    </w:div>
                    <w:div w:id="1142497960">
                      <w:marLeft w:val="0"/>
                      <w:marRight w:val="0"/>
                      <w:marTop w:val="0"/>
                      <w:marBottom w:val="0"/>
                      <w:divBdr>
                        <w:top w:val="none" w:sz="0" w:space="0" w:color="auto"/>
                        <w:left w:val="none" w:sz="0" w:space="0" w:color="auto"/>
                        <w:bottom w:val="none" w:sz="0" w:space="0" w:color="auto"/>
                        <w:right w:val="none" w:sz="0" w:space="0" w:color="auto"/>
                      </w:divBdr>
                      <w:divsChild>
                        <w:div w:id="1342665425">
                          <w:marLeft w:val="0"/>
                          <w:marRight w:val="0"/>
                          <w:marTop w:val="120"/>
                          <w:marBottom w:val="0"/>
                          <w:divBdr>
                            <w:top w:val="none" w:sz="0" w:space="0" w:color="auto"/>
                            <w:left w:val="none" w:sz="0" w:space="0" w:color="auto"/>
                            <w:bottom w:val="none" w:sz="0" w:space="0" w:color="auto"/>
                            <w:right w:val="none" w:sz="0" w:space="0" w:color="auto"/>
                          </w:divBdr>
                        </w:div>
                        <w:div w:id="1908414397">
                          <w:marLeft w:val="0"/>
                          <w:marRight w:val="0"/>
                          <w:marTop w:val="0"/>
                          <w:marBottom w:val="0"/>
                          <w:divBdr>
                            <w:top w:val="none" w:sz="0" w:space="0" w:color="auto"/>
                            <w:left w:val="none" w:sz="0" w:space="0" w:color="auto"/>
                            <w:bottom w:val="none" w:sz="0" w:space="0" w:color="auto"/>
                            <w:right w:val="none" w:sz="0" w:space="0" w:color="auto"/>
                          </w:divBdr>
                        </w:div>
                      </w:divsChild>
                    </w:div>
                    <w:div w:id="924845019">
                      <w:marLeft w:val="0"/>
                      <w:marRight w:val="0"/>
                      <w:marTop w:val="0"/>
                      <w:marBottom w:val="0"/>
                      <w:divBdr>
                        <w:top w:val="none" w:sz="0" w:space="0" w:color="auto"/>
                        <w:left w:val="none" w:sz="0" w:space="0" w:color="auto"/>
                        <w:bottom w:val="none" w:sz="0" w:space="0" w:color="auto"/>
                        <w:right w:val="none" w:sz="0" w:space="0" w:color="auto"/>
                      </w:divBdr>
                      <w:divsChild>
                        <w:div w:id="307907237">
                          <w:marLeft w:val="0"/>
                          <w:marRight w:val="0"/>
                          <w:marTop w:val="120"/>
                          <w:marBottom w:val="0"/>
                          <w:divBdr>
                            <w:top w:val="none" w:sz="0" w:space="0" w:color="auto"/>
                            <w:left w:val="none" w:sz="0" w:space="0" w:color="auto"/>
                            <w:bottom w:val="none" w:sz="0" w:space="0" w:color="auto"/>
                            <w:right w:val="none" w:sz="0" w:space="0" w:color="auto"/>
                          </w:divBdr>
                        </w:div>
                        <w:div w:id="66902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804088">
      <w:bodyDiv w:val="1"/>
      <w:marLeft w:val="0"/>
      <w:marRight w:val="0"/>
      <w:marTop w:val="0"/>
      <w:marBottom w:val="0"/>
      <w:divBdr>
        <w:top w:val="none" w:sz="0" w:space="0" w:color="auto"/>
        <w:left w:val="none" w:sz="0" w:space="0" w:color="auto"/>
        <w:bottom w:val="none" w:sz="0" w:space="0" w:color="auto"/>
        <w:right w:val="none" w:sz="0" w:space="0" w:color="auto"/>
      </w:divBdr>
      <w:divsChild>
        <w:div w:id="1588810764">
          <w:marLeft w:val="0"/>
          <w:marRight w:val="0"/>
          <w:marTop w:val="0"/>
          <w:marBottom w:val="0"/>
          <w:divBdr>
            <w:top w:val="none" w:sz="0" w:space="0" w:color="auto"/>
            <w:left w:val="none" w:sz="0" w:space="0" w:color="auto"/>
            <w:bottom w:val="none" w:sz="0" w:space="0" w:color="auto"/>
            <w:right w:val="none" w:sz="0" w:space="0" w:color="auto"/>
          </w:divBdr>
        </w:div>
      </w:divsChild>
    </w:div>
    <w:div w:id="1612931667">
      <w:bodyDiv w:val="1"/>
      <w:marLeft w:val="0"/>
      <w:marRight w:val="0"/>
      <w:marTop w:val="0"/>
      <w:marBottom w:val="0"/>
      <w:divBdr>
        <w:top w:val="none" w:sz="0" w:space="0" w:color="auto"/>
        <w:left w:val="none" w:sz="0" w:space="0" w:color="auto"/>
        <w:bottom w:val="none" w:sz="0" w:space="0" w:color="auto"/>
        <w:right w:val="none" w:sz="0" w:space="0" w:color="auto"/>
      </w:divBdr>
      <w:divsChild>
        <w:div w:id="766659378">
          <w:marLeft w:val="0"/>
          <w:marRight w:val="0"/>
          <w:marTop w:val="0"/>
          <w:marBottom w:val="0"/>
          <w:divBdr>
            <w:top w:val="none" w:sz="0" w:space="0" w:color="auto"/>
            <w:left w:val="none" w:sz="0" w:space="0" w:color="auto"/>
            <w:bottom w:val="none" w:sz="0" w:space="0" w:color="auto"/>
            <w:right w:val="none" w:sz="0" w:space="0" w:color="auto"/>
          </w:divBdr>
        </w:div>
      </w:divsChild>
    </w:div>
    <w:div w:id="1615290277">
      <w:bodyDiv w:val="1"/>
      <w:marLeft w:val="0"/>
      <w:marRight w:val="0"/>
      <w:marTop w:val="0"/>
      <w:marBottom w:val="0"/>
      <w:divBdr>
        <w:top w:val="none" w:sz="0" w:space="0" w:color="auto"/>
        <w:left w:val="none" w:sz="0" w:space="0" w:color="auto"/>
        <w:bottom w:val="none" w:sz="0" w:space="0" w:color="auto"/>
        <w:right w:val="none" w:sz="0" w:space="0" w:color="auto"/>
      </w:divBdr>
      <w:divsChild>
        <w:div w:id="141124280">
          <w:marLeft w:val="0"/>
          <w:marRight w:val="0"/>
          <w:marTop w:val="0"/>
          <w:marBottom w:val="0"/>
          <w:divBdr>
            <w:top w:val="none" w:sz="0" w:space="0" w:color="auto"/>
            <w:left w:val="none" w:sz="0" w:space="0" w:color="auto"/>
            <w:bottom w:val="none" w:sz="0" w:space="0" w:color="auto"/>
            <w:right w:val="none" w:sz="0" w:space="0" w:color="auto"/>
          </w:divBdr>
        </w:div>
      </w:divsChild>
    </w:div>
    <w:div w:id="1616986483">
      <w:bodyDiv w:val="1"/>
      <w:marLeft w:val="0"/>
      <w:marRight w:val="0"/>
      <w:marTop w:val="0"/>
      <w:marBottom w:val="0"/>
      <w:divBdr>
        <w:top w:val="none" w:sz="0" w:space="0" w:color="auto"/>
        <w:left w:val="none" w:sz="0" w:space="0" w:color="auto"/>
        <w:bottom w:val="none" w:sz="0" w:space="0" w:color="auto"/>
        <w:right w:val="none" w:sz="0" w:space="0" w:color="auto"/>
      </w:divBdr>
      <w:divsChild>
        <w:div w:id="1944217840">
          <w:marLeft w:val="0"/>
          <w:marRight w:val="0"/>
          <w:marTop w:val="0"/>
          <w:marBottom w:val="0"/>
          <w:divBdr>
            <w:top w:val="none" w:sz="0" w:space="0" w:color="auto"/>
            <w:left w:val="none" w:sz="0" w:space="0" w:color="auto"/>
            <w:bottom w:val="none" w:sz="0" w:space="0" w:color="auto"/>
            <w:right w:val="none" w:sz="0" w:space="0" w:color="auto"/>
          </w:divBdr>
        </w:div>
      </w:divsChild>
    </w:div>
    <w:div w:id="1617524626">
      <w:bodyDiv w:val="1"/>
      <w:marLeft w:val="0"/>
      <w:marRight w:val="0"/>
      <w:marTop w:val="0"/>
      <w:marBottom w:val="0"/>
      <w:divBdr>
        <w:top w:val="none" w:sz="0" w:space="0" w:color="auto"/>
        <w:left w:val="none" w:sz="0" w:space="0" w:color="auto"/>
        <w:bottom w:val="none" w:sz="0" w:space="0" w:color="auto"/>
        <w:right w:val="none" w:sz="0" w:space="0" w:color="auto"/>
      </w:divBdr>
      <w:divsChild>
        <w:div w:id="31620167">
          <w:marLeft w:val="0"/>
          <w:marRight w:val="0"/>
          <w:marTop w:val="0"/>
          <w:marBottom w:val="0"/>
          <w:divBdr>
            <w:top w:val="none" w:sz="0" w:space="0" w:color="auto"/>
            <w:left w:val="none" w:sz="0" w:space="0" w:color="auto"/>
            <w:bottom w:val="none" w:sz="0" w:space="0" w:color="auto"/>
            <w:right w:val="none" w:sz="0" w:space="0" w:color="auto"/>
          </w:divBdr>
        </w:div>
      </w:divsChild>
    </w:div>
    <w:div w:id="1625119207">
      <w:bodyDiv w:val="1"/>
      <w:marLeft w:val="0"/>
      <w:marRight w:val="0"/>
      <w:marTop w:val="0"/>
      <w:marBottom w:val="0"/>
      <w:divBdr>
        <w:top w:val="none" w:sz="0" w:space="0" w:color="auto"/>
        <w:left w:val="none" w:sz="0" w:space="0" w:color="auto"/>
        <w:bottom w:val="none" w:sz="0" w:space="0" w:color="auto"/>
        <w:right w:val="none" w:sz="0" w:space="0" w:color="auto"/>
      </w:divBdr>
      <w:divsChild>
        <w:div w:id="484049866">
          <w:marLeft w:val="0"/>
          <w:marRight w:val="0"/>
          <w:marTop w:val="0"/>
          <w:marBottom w:val="0"/>
          <w:divBdr>
            <w:top w:val="none" w:sz="0" w:space="0" w:color="auto"/>
            <w:left w:val="none" w:sz="0" w:space="0" w:color="auto"/>
            <w:bottom w:val="none" w:sz="0" w:space="0" w:color="auto"/>
            <w:right w:val="none" w:sz="0" w:space="0" w:color="auto"/>
          </w:divBdr>
        </w:div>
      </w:divsChild>
    </w:div>
    <w:div w:id="1625306937">
      <w:bodyDiv w:val="1"/>
      <w:marLeft w:val="0"/>
      <w:marRight w:val="0"/>
      <w:marTop w:val="0"/>
      <w:marBottom w:val="0"/>
      <w:divBdr>
        <w:top w:val="none" w:sz="0" w:space="0" w:color="auto"/>
        <w:left w:val="none" w:sz="0" w:space="0" w:color="auto"/>
        <w:bottom w:val="none" w:sz="0" w:space="0" w:color="auto"/>
        <w:right w:val="none" w:sz="0" w:space="0" w:color="auto"/>
      </w:divBdr>
      <w:divsChild>
        <w:div w:id="1114518571">
          <w:marLeft w:val="0"/>
          <w:marRight w:val="0"/>
          <w:marTop w:val="0"/>
          <w:marBottom w:val="0"/>
          <w:divBdr>
            <w:top w:val="none" w:sz="0" w:space="0" w:color="auto"/>
            <w:left w:val="none" w:sz="0" w:space="0" w:color="auto"/>
            <w:bottom w:val="none" w:sz="0" w:space="0" w:color="auto"/>
            <w:right w:val="none" w:sz="0" w:space="0" w:color="auto"/>
          </w:divBdr>
        </w:div>
      </w:divsChild>
    </w:div>
    <w:div w:id="1633829896">
      <w:bodyDiv w:val="1"/>
      <w:marLeft w:val="0"/>
      <w:marRight w:val="0"/>
      <w:marTop w:val="0"/>
      <w:marBottom w:val="0"/>
      <w:divBdr>
        <w:top w:val="none" w:sz="0" w:space="0" w:color="auto"/>
        <w:left w:val="none" w:sz="0" w:space="0" w:color="auto"/>
        <w:bottom w:val="none" w:sz="0" w:space="0" w:color="auto"/>
        <w:right w:val="none" w:sz="0" w:space="0" w:color="auto"/>
      </w:divBdr>
      <w:divsChild>
        <w:div w:id="1502815904">
          <w:marLeft w:val="0"/>
          <w:marRight w:val="0"/>
          <w:marTop w:val="0"/>
          <w:marBottom w:val="0"/>
          <w:divBdr>
            <w:top w:val="none" w:sz="0" w:space="0" w:color="auto"/>
            <w:left w:val="none" w:sz="0" w:space="0" w:color="auto"/>
            <w:bottom w:val="none" w:sz="0" w:space="0" w:color="auto"/>
            <w:right w:val="none" w:sz="0" w:space="0" w:color="auto"/>
          </w:divBdr>
        </w:div>
      </w:divsChild>
    </w:div>
    <w:div w:id="1635136731">
      <w:bodyDiv w:val="1"/>
      <w:marLeft w:val="0"/>
      <w:marRight w:val="0"/>
      <w:marTop w:val="0"/>
      <w:marBottom w:val="0"/>
      <w:divBdr>
        <w:top w:val="none" w:sz="0" w:space="0" w:color="auto"/>
        <w:left w:val="none" w:sz="0" w:space="0" w:color="auto"/>
        <w:bottom w:val="none" w:sz="0" w:space="0" w:color="auto"/>
        <w:right w:val="none" w:sz="0" w:space="0" w:color="auto"/>
      </w:divBdr>
      <w:divsChild>
        <w:div w:id="1469087218">
          <w:marLeft w:val="0"/>
          <w:marRight w:val="0"/>
          <w:marTop w:val="0"/>
          <w:marBottom w:val="0"/>
          <w:divBdr>
            <w:top w:val="none" w:sz="0" w:space="0" w:color="auto"/>
            <w:left w:val="none" w:sz="0" w:space="0" w:color="auto"/>
            <w:bottom w:val="none" w:sz="0" w:space="0" w:color="auto"/>
            <w:right w:val="none" w:sz="0" w:space="0" w:color="auto"/>
          </w:divBdr>
        </w:div>
      </w:divsChild>
    </w:div>
    <w:div w:id="1637030138">
      <w:bodyDiv w:val="1"/>
      <w:marLeft w:val="0"/>
      <w:marRight w:val="0"/>
      <w:marTop w:val="0"/>
      <w:marBottom w:val="0"/>
      <w:divBdr>
        <w:top w:val="none" w:sz="0" w:space="0" w:color="auto"/>
        <w:left w:val="none" w:sz="0" w:space="0" w:color="auto"/>
        <w:bottom w:val="none" w:sz="0" w:space="0" w:color="auto"/>
        <w:right w:val="none" w:sz="0" w:space="0" w:color="auto"/>
      </w:divBdr>
      <w:divsChild>
        <w:div w:id="1432627936">
          <w:marLeft w:val="0"/>
          <w:marRight w:val="0"/>
          <w:marTop w:val="0"/>
          <w:marBottom w:val="0"/>
          <w:divBdr>
            <w:top w:val="none" w:sz="0" w:space="0" w:color="auto"/>
            <w:left w:val="none" w:sz="0" w:space="0" w:color="auto"/>
            <w:bottom w:val="none" w:sz="0" w:space="0" w:color="auto"/>
            <w:right w:val="none" w:sz="0" w:space="0" w:color="auto"/>
          </w:divBdr>
        </w:div>
      </w:divsChild>
    </w:div>
    <w:div w:id="1643077677">
      <w:bodyDiv w:val="1"/>
      <w:marLeft w:val="0"/>
      <w:marRight w:val="0"/>
      <w:marTop w:val="0"/>
      <w:marBottom w:val="0"/>
      <w:divBdr>
        <w:top w:val="none" w:sz="0" w:space="0" w:color="auto"/>
        <w:left w:val="none" w:sz="0" w:space="0" w:color="auto"/>
        <w:bottom w:val="none" w:sz="0" w:space="0" w:color="auto"/>
        <w:right w:val="none" w:sz="0" w:space="0" w:color="auto"/>
      </w:divBdr>
      <w:divsChild>
        <w:div w:id="1882328831">
          <w:marLeft w:val="0"/>
          <w:marRight w:val="0"/>
          <w:marTop w:val="0"/>
          <w:marBottom w:val="0"/>
          <w:divBdr>
            <w:top w:val="none" w:sz="0" w:space="0" w:color="auto"/>
            <w:left w:val="none" w:sz="0" w:space="0" w:color="auto"/>
            <w:bottom w:val="none" w:sz="0" w:space="0" w:color="auto"/>
            <w:right w:val="none" w:sz="0" w:space="0" w:color="auto"/>
          </w:divBdr>
        </w:div>
      </w:divsChild>
    </w:div>
    <w:div w:id="1645116958">
      <w:bodyDiv w:val="1"/>
      <w:marLeft w:val="0"/>
      <w:marRight w:val="0"/>
      <w:marTop w:val="0"/>
      <w:marBottom w:val="0"/>
      <w:divBdr>
        <w:top w:val="none" w:sz="0" w:space="0" w:color="auto"/>
        <w:left w:val="none" w:sz="0" w:space="0" w:color="auto"/>
        <w:bottom w:val="none" w:sz="0" w:space="0" w:color="auto"/>
        <w:right w:val="none" w:sz="0" w:space="0" w:color="auto"/>
      </w:divBdr>
      <w:divsChild>
        <w:div w:id="702941314">
          <w:marLeft w:val="0"/>
          <w:marRight w:val="0"/>
          <w:marTop w:val="0"/>
          <w:marBottom w:val="0"/>
          <w:divBdr>
            <w:top w:val="none" w:sz="0" w:space="0" w:color="auto"/>
            <w:left w:val="none" w:sz="0" w:space="0" w:color="auto"/>
            <w:bottom w:val="none" w:sz="0" w:space="0" w:color="auto"/>
            <w:right w:val="none" w:sz="0" w:space="0" w:color="auto"/>
          </w:divBdr>
        </w:div>
      </w:divsChild>
    </w:div>
    <w:div w:id="1648974612">
      <w:bodyDiv w:val="1"/>
      <w:marLeft w:val="0"/>
      <w:marRight w:val="0"/>
      <w:marTop w:val="0"/>
      <w:marBottom w:val="0"/>
      <w:divBdr>
        <w:top w:val="none" w:sz="0" w:space="0" w:color="auto"/>
        <w:left w:val="none" w:sz="0" w:space="0" w:color="auto"/>
        <w:bottom w:val="none" w:sz="0" w:space="0" w:color="auto"/>
        <w:right w:val="none" w:sz="0" w:space="0" w:color="auto"/>
      </w:divBdr>
      <w:divsChild>
        <w:div w:id="745345962">
          <w:marLeft w:val="0"/>
          <w:marRight w:val="0"/>
          <w:marTop w:val="0"/>
          <w:marBottom w:val="0"/>
          <w:divBdr>
            <w:top w:val="none" w:sz="0" w:space="0" w:color="auto"/>
            <w:left w:val="none" w:sz="0" w:space="0" w:color="auto"/>
            <w:bottom w:val="none" w:sz="0" w:space="0" w:color="auto"/>
            <w:right w:val="none" w:sz="0" w:space="0" w:color="auto"/>
          </w:divBdr>
        </w:div>
      </w:divsChild>
    </w:div>
    <w:div w:id="1653410003">
      <w:bodyDiv w:val="1"/>
      <w:marLeft w:val="0"/>
      <w:marRight w:val="0"/>
      <w:marTop w:val="0"/>
      <w:marBottom w:val="0"/>
      <w:divBdr>
        <w:top w:val="none" w:sz="0" w:space="0" w:color="auto"/>
        <w:left w:val="none" w:sz="0" w:space="0" w:color="auto"/>
        <w:bottom w:val="none" w:sz="0" w:space="0" w:color="auto"/>
        <w:right w:val="none" w:sz="0" w:space="0" w:color="auto"/>
      </w:divBdr>
      <w:divsChild>
        <w:div w:id="1236474751">
          <w:marLeft w:val="0"/>
          <w:marRight w:val="0"/>
          <w:marTop w:val="0"/>
          <w:marBottom w:val="0"/>
          <w:divBdr>
            <w:top w:val="none" w:sz="0" w:space="0" w:color="auto"/>
            <w:left w:val="none" w:sz="0" w:space="0" w:color="auto"/>
            <w:bottom w:val="none" w:sz="0" w:space="0" w:color="auto"/>
            <w:right w:val="none" w:sz="0" w:space="0" w:color="auto"/>
          </w:divBdr>
          <w:divsChild>
            <w:div w:id="146093812">
              <w:marLeft w:val="0"/>
              <w:marRight w:val="0"/>
              <w:marTop w:val="0"/>
              <w:marBottom w:val="0"/>
              <w:divBdr>
                <w:top w:val="none" w:sz="0" w:space="0" w:color="auto"/>
                <w:left w:val="none" w:sz="0" w:space="0" w:color="auto"/>
                <w:bottom w:val="none" w:sz="0" w:space="0" w:color="auto"/>
                <w:right w:val="none" w:sz="0" w:space="0" w:color="auto"/>
              </w:divBdr>
              <w:divsChild>
                <w:div w:id="2074697580">
                  <w:marLeft w:val="0"/>
                  <w:marRight w:val="0"/>
                  <w:marTop w:val="0"/>
                  <w:marBottom w:val="0"/>
                  <w:divBdr>
                    <w:top w:val="none" w:sz="0" w:space="0" w:color="auto"/>
                    <w:left w:val="none" w:sz="0" w:space="0" w:color="auto"/>
                    <w:bottom w:val="none" w:sz="0" w:space="0" w:color="auto"/>
                    <w:right w:val="none" w:sz="0" w:space="0" w:color="auto"/>
                  </w:divBdr>
                  <w:divsChild>
                    <w:div w:id="203716265">
                      <w:marLeft w:val="0"/>
                      <w:marRight w:val="0"/>
                      <w:marTop w:val="120"/>
                      <w:marBottom w:val="0"/>
                      <w:divBdr>
                        <w:top w:val="none" w:sz="0" w:space="0" w:color="auto"/>
                        <w:left w:val="none" w:sz="0" w:space="0" w:color="auto"/>
                        <w:bottom w:val="none" w:sz="0" w:space="0" w:color="auto"/>
                        <w:right w:val="none" w:sz="0" w:space="0" w:color="auto"/>
                      </w:divBdr>
                    </w:div>
                    <w:div w:id="1433011427">
                      <w:marLeft w:val="0"/>
                      <w:marRight w:val="0"/>
                      <w:marTop w:val="0"/>
                      <w:marBottom w:val="0"/>
                      <w:divBdr>
                        <w:top w:val="none" w:sz="0" w:space="0" w:color="auto"/>
                        <w:left w:val="none" w:sz="0" w:space="0" w:color="auto"/>
                        <w:bottom w:val="none" w:sz="0" w:space="0" w:color="auto"/>
                        <w:right w:val="none" w:sz="0" w:space="0" w:color="auto"/>
                      </w:divBdr>
                    </w:div>
                  </w:divsChild>
                </w:div>
                <w:div w:id="149492486">
                  <w:marLeft w:val="0"/>
                  <w:marRight w:val="0"/>
                  <w:marTop w:val="0"/>
                  <w:marBottom w:val="0"/>
                  <w:divBdr>
                    <w:top w:val="none" w:sz="0" w:space="0" w:color="auto"/>
                    <w:left w:val="none" w:sz="0" w:space="0" w:color="auto"/>
                    <w:bottom w:val="none" w:sz="0" w:space="0" w:color="auto"/>
                    <w:right w:val="none" w:sz="0" w:space="0" w:color="auto"/>
                  </w:divBdr>
                  <w:divsChild>
                    <w:div w:id="1568760334">
                      <w:marLeft w:val="0"/>
                      <w:marRight w:val="0"/>
                      <w:marTop w:val="120"/>
                      <w:marBottom w:val="0"/>
                      <w:divBdr>
                        <w:top w:val="none" w:sz="0" w:space="0" w:color="auto"/>
                        <w:left w:val="none" w:sz="0" w:space="0" w:color="auto"/>
                        <w:bottom w:val="none" w:sz="0" w:space="0" w:color="auto"/>
                        <w:right w:val="none" w:sz="0" w:space="0" w:color="auto"/>
                      </w:divBdr>
                    </w:div>
                    <w:div w:id="1426270341">
                      <w:marLeft w:val="0"/>
                      <w:marRight w:val="0"/>
                      <w:marTop w:val="0"/>
                      <w:marBottom w:val="0"/>
                      <w:divBdr>
                        <w:top w:val="none" w:sz="0" w:space="0" w:color="auto"/>
                        <w:left w:val="none" w:sz="0" w:space="0" w:color="auto"/>
                        <w:bottom w:val="none" w:sz="0" w:space="0" w:color="auto"/>
                        <w:right w:val="none" w:sz="0" w:space="0" w:color="auto"/>
                      </w:divBdr>
                    </w:div>
                  </w:divsChild>
                </w:div>
                <w:div w:id="1515993121">
                  <w:marLeft w:val="0"/>
                  <w:marRight w:val="0"/>
                  <w:marTop w:val="0"/>
                  <w:marBottom w:val="0"/>
                  <w:divBdr>
                    <w:top w:val="none" w:sz="0" w:space="0" w:color="auto"/>
                    <w:left w:val="none" w:sz="0" w:space="0" w:color="auto"/>
                    <w:bottom w:val="none" w:sz="0" w:space="0" w:color="auto"/>
                    <w:right w:val="none" w:sz="0" w:space="0" w:color="auto"/>
                  </w:divBdr>
                  <w:divsChild>
                    <w:div w:id="1725056358">
                      <w:marLeft w:val="0"/>
                      <w:marRight w:val="0"/>
                      <w:marTop w:val="120"/>
                      <w:marBottom w:val="0"/>
                      <w:divBdr>
                        <w:top w:val="none" w:sz="0" w:space="0" w:color="auto"/>
                        <w:left w:val="none" w:sz="0" w:space="0" w:color="auto"/>
                        <w:bottom w:val="none" w:sz="0" w:space="0" w:color="auto"/>
                        <w:right w:val="none" w:sz="0" w:space="0" w:color="auto"/>
                      </w:divBdr>
                    </w:div>
                    <w:div w:id="2012831226">
                      <w:marLeft w:val="0"/>
                      <w:marRight w:val="0"/>
                      <w:marTop w:val="0"/>
                      <w:marBottom w:val="0"/>
                      <w:divBdr>
                        <w:top w:val="none" w:sz="0" w:space="0" w:color="auto"/>
                        <w:left w:val="none" w:sz="0" w:space="0" w:color="auto"/>
                        <w:bottom w:val="none" w:sz="0" w:space="0" w:color="auto"/>
                        <w:right w:val="none" w:sz="0" w:space="0" w:color="auto"/>
                      </w:divBdr>
                    </w:div>
                  </w:divsChild>
                </w:div>
                <w:div w:id="913320606">
                  <w:marLeft w:val="0"/>
                  <w:marRight w:val="0"/>
                  <w:marTop w:val="0"/>
                  <w:marBottom w:val="0"/>
                  <w:divBdr>
                    <w:top w:val="none" w:sz="0" w:space="0" w:color="auto"/>
                    <w:left w:val="none" w:sz="0" w:space="0" w:color="auto"/>
                    <w:bottom w:val="none" w:sz="0" w:space="0" w:color="auto"/>
                    <w:right w:val="none" w:sz="0" w:space="0" w:color="auto"/>
                  </w:divBdr>
                  <w:divsChild>
                    <w:div w:id="1504662217">
                      <w:marLeft w:val="0"/>
                      <w:marRight w:val="0"/>
                      <w:marTop w:val="120"/>
                      <w:marBottom w:val="0"/>
                      <w:divBdr>
                        <w:top w:val="none" w:sz="0" w:space="0" w:color="auto"/>
                        <w:left w:val="none" w:sz="0" w:space="0" w:color="auto"/>
                        <w:bottom w:val="none" w:sz="0" w:space="0" w:color="auto"/>
                        <w:right w:val="none" w:sz="0" w:space="0" w:color="auto"/>
                      </w:divBdr>
                    </w:div>
                    <w:div w:id="3767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449291">
      <w:bodyDiv w:val="1"/>
      <w:marLeft w:val="0"/>
      <w:marRight w:val="0"/>
      <w:marTop w:val="0"/>
      <w:marBottom w:val="0"/>
      <w:divBdr>
        <w:top w:val="none" w:sz="0" w:space="0" w:color="auto"/>
        <w:left w:val="none" w:sz="0" w:space="0" w:color="auto"/>
        <w:bottom w:val="none" w:sz="0" w:space="0" w:color="auto"/>
        <w:right w:val="none" w:sz="0" w:space="0" w:color="auto"/>
      </w:divBdr>
      <w:divsChild>
        <w:div w:id="155075889">
          <w:marLeft w:val="0"/>
          <w:marRight w:val="0"/>
          <w:marTop w:val="120"/>
          <w:marBottom w:val="0"/>
          <w:divBdr>
            <w:top w:val="none" w:sz="0" w:space="0" w:color="auto"/>
            <w:left w:val="none" w:sz="0" w:space="0" w:color="auto"/>
            <w:bottom w:val="none" w:sz="0" w:space="0" w:color="auto"/>
            <w:right w:val="none" w:sz="0" w:space="0" w:color="auto"/>
          </w:divBdr>
        </w:div>
        <w:div w:id="1108738050">
          <w:marLeft w:val="0"/>
          <w:marRight w:val="0"/>
          <w:marTop w:val="0"/>
          <w:marBottom w:val="0"/>
          <w:divBdr>
            <w:top w:val="none" w:sz="0" w:space="0" w:color="auto"/>
            <w:left w:val="none" w:sz="0" w:space="0" w:color="auto"/>
            <w:bottom w:val="none" w:sz="0" w:space="0" w:color="auto"/>
            <w:right w:val="none" w:sz="0" w:space="0" w:color="auto"/>
          </w:divBdr>
          <w:divsChild>
            <w:div w:id="159200759">
              <w:marLeft w:val="0"/>
              <w:marRight w:val="0"/>
              <w:marTop w:val="0"/>
              <w:marBottom w:val="0"/>
              <w:divBdr>
                <w:top w:val="none" w:sz="0" w:space="0" w:color="auto"/>
                <w:left w:val="none" w:sz="0" w:space="0" w:color="auto"/>
                <w:bottom w:val="none" w:sz="0" w:space="0" w:color="auto"/>
                <w:right w:val="none" w:sz="0" w:space="0" w:color="auto"/>
              </w:divBdr>
              <w:divsChild>
                <w:div w:id="231696121">
                  <w:marLeft w:val="0"/>
                  <w:marRight w:val="0"/>
                  <w:marTop w:val="120"/>
                  <w:marBottom w:val="0"/>
                  <w:divBdr>
                    <w:top w:val="none" w:sz="0" w:space="0" w:color="auto"/>
                    <w:left w:val="none" w:sz="0" w:space="0" w:color="auto"/>
                    <w:bottom w:val="none" w:sz="0" w:space="0" w:color="auto"/>
                    <w:right w:val="none" w:sz="0" w:space="0" w:color="auto"/>
                  </w:divBdr>
                </w:div>
                <w:div w:id="330839788">
                  <w:marLeft w:val="0"/>
                  <w:marRight w:val="0"/>
                  <w:marTop w:val="0"/>
                  <w:marBottom w:val="0"/>
                  <w:divBdr>
                    <w:top w:val="none" w:sz="0" w:space="0" w:color="auto"/>
                    <w:left w:val="none" w:sz="0" w:space="0" w:color="auto"/>
                    <w:bottom w:val="none" w:sz="0" w:space="0" w:color="auto"/>
                    <w:right w:val="none" w:sz="0" w:space="0" w:color="auto"/>
                  </w:divBdr>
                </w:div>
              </w:divsChild>
            </w:div>
            <w:div w:id="261493009">
              <w:marLeft w:val="0"/>
              <w:marRight w:val="0"/>
              <w:marTop w:val="0"/>
              <w:marBottom w:val="0"/>
              <w:divBdr>
                <w:top w:val="none" w:sz="0" w:space="0" w:color="auto"/>
                <w:left w:val="none" w:sz="0" w:space="0" w:color="auto"/>
                <w:bottom w:val="none" w:sz="0" w:space="0" w:color="auto"/>
                <w:right w:val="none" w:sz="0" w:space="0" w:color="auto"/>
              </w:divBdr>
              <w:divsChild>
                <w:div w:id="1258442453">
                  <w:marLeft w:val="0"/>
                  <w:marRight w:val="0"/>
                  <w:marTop w:val="120"/>
                  <w:marBottom w:val="0"/>
                  <w:divBdr>
                    <w:top w:val="none" w:sz="0" w:space="0" w:color="auto"/>
                    <w:left w:val="none" w:sz="0" w:space="0" w:color="auto"/>
                    <w:bottom w:val="none" w:sz="0" w:space="0" w:color="auto"/>
                    <w:right w:val="none" w:sz="0" w:space="0" w:color="auto"/>
                  </w:divBdr>
                </w:div>
                <w:div w:id="164970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624272">
      <w:bodyDiv w:val="1"/>
      <w:marLeft w:val="0"/>
      <w:marRight w:val="0"/>
      <w:marTop w:val="0"/>
      <w:marBottom w:val="0"/>
      <w:divBdr>
        <w:top w:val="none" w:sz="0" w:space="0" w:color="auto"/>
        <w:left w:val="none" w:sz="0" w:space="0" w:color="auto"/>
        <w:bottom w:val="none" w:sz="0" w:space="0" w:color="auto"/>
        <w:right w:val="none" w:sz="0" w:space="0" w:color="auto"/>
      </w:divBdr>
      <w:divsChild>
        <w:div w:id="1835025906">
          <w:marLeft w:val="0"/>
          <w:marRight w:val="0"/>
          <w:marTop w:val="0"/>
          <w:marBottom w:val="0"/>
          <w:divBdr>
            <w:top w:val="none" w:sz="0" w:space="0" w:color="auto"/>
            <w:left w:val="none" w:sz="0" w:space="0" w:color="auto"/>
            <w:bottom w:val="none" w:sz="0" w:space="0" w:color="auto"/>
            <w:right w:val="none" w:sz="0" w:space="0" w:color="auto"/>
          </w:divBdr>
        </w:div>
      </w:divsChild>
    </w:div>
    <w:div w:id="1666738779">
      <w:bodyDiv w:val="1"/>
      <w:marLeft w:val="0"/>
      <w:marRight w:val="0"/>
      <w:marTop w:val="0"/>
      <w:marBottom w:val="0"/>
      <w:divBdr>
        <w:top w:val="none" w:sz="0" w:space="0" w:color="auto"/>
        <w:left w:val="none" w:sz="0" w:space="0" w:color="auto"/>
        <w:bottom w:val="none" w:sz="0" w:space="0" w:color="auto"/>
        <w:right w:val="none" w:sz="0" w:space="0" w:color="auto"/>
      </w:divBdr>
      <w:divsChild>
        <w:div w:id="1438066373">
          <w:marLeft w:val="0"/>
          <w:marRight w:val="0"/>
          <w:marTop w:val="0"/>
          <w:marBottom w:val="0"/>
          <w:divBdr>
            <w:top w:val="none" w:sz="0" w:space="0" w:color="auto"/>
            <w:left w:val="none" w:sz="0" w:space="0" w:color="auto"/>
            <w:bottom w:val="none" w:sz="0" w:space="0" w:color="auto"/>
            <w:right w:val="none" w:sz="0" w:space="0" w:color="auto"/>
          </w:divBdr>
          <w:divsChild>
            <w:div w:id="2011366115">
              <w:marLeft w:val="0"/>
              <w:marRight w:val="0"/>
              <w:marTop w:val="0"/>
              <w:marBottom w:val="0"/>
              <w:divBdr>
                <w:top w:val="none" w:sz="0" w:space="0" w:color="auto"/>
                <w:left w:val="none" w:sz="0" w:space="0" w:color="auto"/>
                <w:bottom w:val="none" w:sz="0" w:space="0" w:color="auto"/>
                <w:right w:val="none" w:sz="0" w:space="0" w:color="auto"/>
              </w:divBdr>
              <w:divsChild>
                <w:div w:id="21251820">
                  <w:marLeft w:val="0"/>
                  <w:marRight w:val="0"/>
                  <w:marTop w:val="0"/>
                  <w:marBottom w:val="0"/>
                  <w:divBdr>
                    <w:top w:val="none" w:sz="0" w:space="0" w:color="auto"/>
                    <w:left w:val="none" w:sz="0" w:space="0" w:color="auto"/>
                    <w:bottom w:val="none" w:sz="0" w:space="0" w:color="auto"/>
                    <w:right w:val="none" w:sz="0" w:space="0" w:color="auto"/>
                  </w:divBdr>
                  <w:divsChild>
                    <w:div w:id="1937981507">
                      <w:marLeft w:val="0"/>
                      <w:marRight w:val="0"/>
                      <w:marTop w:val="120"/>
                      <w:marBottom w:val="0"/>
                      <w:divBdr>
                        <w:top w:val="none" w:sz="0" w:space="0" w:color="auto"/>
                        <w:left w:val="none" w:sz="0" w:space="0" w:color="auto"/>
                        <w:bottom w:val="none" w:sz="0" w:space="0" w:color="auto"/>
                        <w:right w:val="none" w:sz="0" w:space="0" w:color="auto"/>
                      </w:divBdr>
                    </w:div>
                    <w:div w:id="1719206742">
                      <w:marLeft w:val="0"/>
                      <w:marRight w:val="0"/>
                      <w:marTop w:val="0"/>
                      <w:marBottom w:val="0"/>
                      <w:divBdr>
                        <w:top w:val="none" w:sz="0" w:space="0" w:color="auto"/>
                        <w:left w:val="none" w:sz="0" w:space="0" w:color="auto"/>
                        <w:bottom w:val="none" w:sz="0" w:space="0" w:color="auto"/>
                        <w:right w:val="none" w:sz="0" w:space="0" w:color="auto"/>
                      </w:divBdr>
                    </w:div>
                  </w:divsChild>
                </w:div>
                <w:div w:id="1787430686">
                  <w:marLeft w:val="0"/>
                  <w:marRight w:val="0"/>
                  <w:marTop w:val="0"/>
                  <w:marBottom w:val="0"/>
                  <w:divBdr>
                    <w:top w:val="none" w:sz="0" w:space="0" w:color="auto"/>
                    <w:left w:val="none" w:sz="0" w:space="0" w:color="auto"/>
                    <w:bottom w:val="none" w:sz="0" w:space="0" w:color="auto"/>
                    <w:right w:val="none" w:sz="0" w:space="0" w:color="auto"/>
                  </w:divBdr>
                  <w:divsChild>
                    <w:div w:id="1520776181">
                      <w:marLeft w:val="0"/>
                      <w:marRight w:val="0"/>
                      <w:marTop w:val="120"/>
                      <w:marBottom w:val="0"/>
                      <w:divBdr>
                        <w:top w:val="none" w:sz="0" w:space="0" w:color="auto"/>
                        <w:left w:val="none" w:sz="0" w:space="0" w:color="auto"/>
                        <w:bottom w:val="none" w:sz="0" w:space="0" w:color="auto"/>
                        <w:right w:val="none" w:sz="0" w:space="0" w:color="auto"/>
                      </w:divBdr>
                    </w:div>
                    <w:div w:id="1512139386">
                      <w:marLeft w:val="0"/>
                      <w:marRight w:val="0"/>
                      <w:marTop w:val="0"/>
                      <w:marBottom w:val="0"/>
                      <w:divBdr>
                        <w:top w:val="none" w:sz="0" w:space="0" w:color="auto"/>
                        <w:left w:val="none" w:sz="0" w:space="0" w:color="auto"/>
                        <w:bottom w:val="none" w:sz="0" w:space="0" w:color="auto"/>
                        <w:right w:val="none" w:sz="0" w:space="0" w:color="auto"/>
                      </w:divBdr>
                    </w:div>
                  </w:divsChild>
                </w:div>
                <w:div w:id="397479833">
                  <w:marLeft w:val="0"/>
                  <w:marRight w:val="0"/>
                  <w:marTop w:val="0"/>
                  <w:marBottom w:val="0"/>
                  <w:divBdr>
                    <w:top w:val="none" w:sz="0" w:space="0" w:color="auto"/>
                    <w:left w:val="none" w:sz="0" w:space="0" w:color="auto"/>
                    <w:bottom w:val="none" w:sz="0" w:space="0" w:color="auto"/>
                    <w:right w:val="none" w:sz="0" w:space="0" w:color="auto"/>
                  </w:divBdr>
                  <w:divsChild>
                    <w:div w:id="169149508">
                      <w:marLeft w:val="0"/>
                      <w:marRight w:val="0"/>
                      <w:marTop w:val="120"/>
                      <w:marBottom w:val="0"/>
                      <w:divBdr>
                        <w:top w:val="none" w:sz="0" w:space="0" w:color="auto"/>
                        <w:left w:val="none" w:sz="0" w:space="0" w:color="auto"/>
                        <w:bottom w:val="none" w:sz="0" w:space="0" w:color="auto"/>
                        <w:right w:val="none" w:sz="0" w:space="0" w:color="auto"/>
                      </w:divBdr>
                    </w:div>
                    <w:div w:id="5049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993181">
      <w:bodyDiv w:val="1"/>
      <w:marLeft w:val="0"/>
      <w:marRight w:val="0"/>
      <w:marTop w:val="0"/>
      <w:marBottom w:val="0"/>
      <w:divBdr>
        <w:top w:val="none" w:sz="0" w:space="0" w:color="auto"/>
        <w:left w:val="none" w:sz="0" w:space="0" w:color="auto"/>
        <w:bottom w:val="none" w:sz="0" w:space="0" w:color="auto"/>
        <w:right w:val="none" w:sz="0" w:space="0" w:color="auto"/>
      </w:divBdr>
      <w:divsChild>
        <w:div w:id="478231782">
          <w:marLeft w:val="0"/>
          <w:marRight w:val="0"/>
          <w:marTop w:val="0"/>
          <w:marBottom w:val="0"/>
          <w:divBdr>
            <w:top w:val="none" w:sz="0" w:space="0" w:color="auto"/>
            <w:left w:val="none" w:sz="0" w:space="0" w:color="auto"/>
            <w:bottom w:val="none" w:sz="0" w:space="0" w:color="auto"/>
            <w:right w:val="none" w:sz="0" w:space="0" w:color="auto"/>
          </w:divBdr>
          <w:divsChild>
            <w:div w:id="94492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99115">
      <w:bodyDiv w:val="1"/>
      <w:marLeft w:val="0"/>
      <w:marRight w:val="0"/>
      <w:marTop w:val="0"/>
      <w:marBottom w:val="0"/>
      <w:divBdr>
        <w:top w:val="none" w:sz="0" w:space="0" w:color="auto"/>
        <w:left w:val="none" w:sz="0" w:space="0" w:color="auto"/>
        <w:bottom w:val="none" w:sz="0" w:space="0" w:color="auto"/>
        <w:right w:val="none" w:sz="0" w:space="0" w:color="auto"/>
      </w:divBdr>
      <w:divsChild>
        <w:div w:id="1842551172">
          <w:marLeft w:val="0"/>
          <w:marRight w:val="0"/>
          <w:marTop w:val="0"/>
          <w:marBottom w:val="0"/>
          <w:divBdr>
            <w:top w:val="none" w:sz="0" w:space="0" w:color="auto"/>
            <w:left w:val="none" w:sz="0" w:space="0" w:color="auto"/>
            <w:bottom w:val="none" w:sz="0" w:space="0" w:color="auto"/>
            <w:right w:val="none" w:sz="0" w:space="0" w:color="auto"/>
          </w:divBdr>
        </w:div>
      </w:divsChild>
    </w:div>
    <w:div w:id="1680429046">
      <w:bodyDiv w:val="1"/>
      <w:marLeft w:val="0"/>
      <w:marRight w:val="0"/>
      <w:marTop w:val="0"/>
      <w:marBottom w:val="0"/>
      <w:divBdr>
        <w:top w:val="none" w:sz="0" w:space="0" w:color="auto"/>
        <w:left w:val="none" w:sz="0" w:space="0" w:color="auto"/>
        <w:bottom w:val="none" w:sz="0" w:space="0" w:color="auto"/>
        <w:right w:val="none" w:sz="0" w:space="0" w:color="auto"/>
      </w:divBdr>
      <w:divsChild>
        <w:div w:id="1614095141">
          <w:marLeft w:val="0"/>
          <w:marRight w:val="0"/>
          <w:marTop w:val="0"/>
          <w:marBottom w:val="0"/>
          <w:divBdr>
            <w:top w:val="none" w:sz="0" w:space="0" w:color="auto"/>
            <w:left w:val="none" w:sz="0" w:space="0" w:color="auto"/>
            <w:bottom w:val="none" w:sz="0" w:space="0" w:color="auto"/>
            <w:right w:val="none" w:sz="0" w:space="0" w:color="auto"/>
          </w:divBdr>
        </w:div>
      </w:divsChild>
    </w:div>
    <w:div w:id="1682077858">
      <w:bodyDiv w:val="1"/>
      <w:marLeft w:val="0"/>
      <w:marRight w:val="0"/>
      <w:marTop w:val="0"/>
      <w:marBottom w:val="0"/>
      <w:divBdr>
        <w:top w:val="none" w:sz="0" w:space="0" w:color="auto"/>
        <w:left w:val="none" w:sz="0" w:space="0" w:color="auto"/>
        <w:bottom w:val="none" w:sz="0" w:space="0" w:color="auto"/>
        <w:right w:val="none" w:sz="0" w:space="0" w:color="auto"/>
      </w:divBdr>
      <w:divsChild>
        <w:div w:id="1117676844">
          <w:marLeft w:val="0"/>
          <w:marRight w:val="0"/>
          <w:marTop w:val="0"/>
          <w:marBottom w:val="0"/>
          <w:divBdr>
            <w:top w:val="none" w:sz="0" w:space="0" w:color="auto"/>
            <w:left w:val="none" w:sz="0" w:space="0" w:color="auto"/>
            <w:bottom w:val="none" w:sz="0" w:space="0" w:color="auto"/>
            <w:right w:val="none" w:sz="0" w:space="0" w:color="auto"/>
          </w:divBdr>
          <w:divsChild>
            <w:div w:id="906066380">
              <w:marLeft w:val="0"/>
              <w:marRight w:val="0"/>
              <w:marTop w:val="0"/>
              <w:marBottom w:val="0"/>
              <w:divBdr>
                <w:top w:val="none" w:sz="0" w:space="0" w:color="auto"/>
                <w:left w:val="none" w:sz="0" w:space="0" w:color="auto"/>
                <w:bottom w:val="none" w:sz="0" w:space="0" w:color="auto"/>
                <w:right w:val="none" w:sz="0" w:space="0" w:color="auto"/>
              </w:divBdr>
              <w:divsChild>
                <w:div w:id="507720573">
                  <w:marLeft w:val="0"/>
                  <w:marRight w:val="0"/>
                  <w:marTop w:val="0"/>
                  <w:marBottom w:val="0"/>
                  <w:divBdr>
                    <w:top w:val="none" w:sz="0" w:space="0" w:color="auto"/>
                    <w:left w:val="none" w:sz="0" w:space="0" w:color="auto"/>
                    <w:bottom w:val="none" w:sz="0" w:space="0" w:color="auto"/>
                    <w:right w:val="none" w:sz="0" w:space="0" w:color="auto"/>
                  </w:divBdr>
                  <w:divsChild>
                    <w:div w:id="242877245">
                      <w:marLeft w:val="0"/>
                      <w:marRight w:val="0"/>
                      <w:marTop w:val="120"/>
                      <w:marBottom w:val="0"/>
                      <w:divBdr>
                        <w:top w:val="none" w:sz="0" w:space="0" w:color="auto"/>
                        <w:left w:val="none" w:sz="0" w:space="0" w:color="auto"/>
                        <w:bottom w:val="none" w:sz="0" w:space="0" w:color="auto"/>
                        <w:right w:val="none" w:sz="0" w:space="0" w:color="auto"/>
                      </w:divBdr>
                    </w:div>
                    <w:div w:id="1136870882">
                      <w:marLeft w:val="0"/>
                      <w:marRight w:val="0"/>
                      <w:marTop w:val="0"/>
                      <w:marBottom w:val="0"/>
                      <w:divBdr>
                        <w:top w:val="none" w:sz="0" w:space="0" w:color="auto"/>
                        <w:left w:val="none" w:sz="0" w:space="0" w:color="auto"/>
                        <w:bottom w:val="none" w:sz="0" w:space="0" w:color="auto"/>
                        <w:right w:val="none" w:sz="0" w:space="0" w:color="auto"/>
                      </w:divBdr>
                    </w:div>
                  </w:divsChild>
                </w:div>
                <w:div w:id="1807434893">
                  <w:marLeft w:val="0"/>
                  <w:marRight w:val="0"/>
                  <w:marTop w:val="0"/>
                  <w:marBottom w:val="0"/>
                  <w:divBdr>
                    <w:top w:val="none" w:sz="0" w:space="0" w:color="auto"/>
                    <w:left w:val="none" w:sz="0" w:space="0" w:color="auto"/>
                    <w:bottom w:val="none" w:sz="0" w:space="0" w:color="auto"/>
                    <w:right w:val="none" w:sz="0" w:space="0" w:color="auto"/>
                  </w:divBdr>
                  <w:divsChild>
                    <w:div w:id="1574388394">
                      <w:marLeft w:val="0"/>
                      <w:marRight w:val="0"/>
                      <w:marTop w:val="120"/>
                      <w:marBottom w:val="0"/>
                      <w:divBdr>
                        <w:top w:val="none" w:sz="0" w:space="0" w:color="auto"/>
                        <w:left w:val="none" w:sz="0" w:space="0" w:color="auto"/>
                        <w:bottom w:val="none" w:sz="0" w:space="0" w:color="auto"/>
                        <w:right w:val="none" w:sz="0" w:space="0" w:color="auto"/>
                      </w:divBdr>
                    </w:div>
                    <w:div w:id="141507074">
                      <w:marLeft w:val="0"/>
                      <w:marRight w:val="0"/>
                      <w:marTop w:val="0"/>
                      <w:marBottom w:val="0"/>
                      <w:divBdr>
                        <w:top w:val="none" w:sz="0" w:space="0" w:color="auto"/>
                        <w:left w:val="none" w:sz="0" w:space="0" w:color="auto"/>
                        <w:bottom w:val="none" w:sz="0" w:space="0" w:color="auto"/>
                        <w:right w:val="none" w:sz="0" w:space="0" w:color="auto"/>
                      </w:divBdr>
                    </w:div>
                  </w:divsChild>
                </w:div>
                <w:div w:id="232203174">
                  <w:marLeft w:val="0"/>
                  <w:marRight w:val="0"/>
                  <w:marTop w:val="0"/>
                  <w:marBottom w:val="0"/>
                  <w:divBdr>
                    <w:top w:val="none" w:sz="0" w:space="0" w:color="auto"/>
                    <w:left w:val="none" w:sz="0" w:space="0" w:color="auto"/>
                    <w:bottom w:val="none" w:sz="0" w:space="0" w:color="auto"/>
                    <w:right w:val="none" w:sz="0" w:space="0" w:color="auto"/>
                  </w:divBdr>
                  <w:divsChild>
                    <w:div w:id="1936472716">
                      <w:marLeft w:val="0"/>
                      <w:marRight w:val="0"/>
                      <w:marTop w:val="120"/>
                      <w:marBottom w:val="0"/>
                      <w:divBdr>
                        <w:top w:val="none" w:sz="0" w:space="0" w:color="auto"/>
                        <w:left w:val="none" w:sz="0" w:space="0" w:color="auto"/>
                        <w:bottom w:val="none" w:sz="0" w:space="0" w:color="auto"/>
                        <w:right w:val="none" w:sz="0" w:space="0" w:color="auto"/>
                      </w:divBdr>
                    </w:div>
                    <w:div w:id="73663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560142">
      <w:bodyDiv w:val="1"/>
      <w:marLeft w:val="0"/>
      <w:marRight w:val="0"/>
      <w:marTop w:val="0"/>
      <w:marBottom w:val="0"/>
      <w:divBdr>
        <w:top w:val="none" w:sz="0" w:space="0" w:color="auto"/>
        <w:left w:val="none" w:sz="0" w:space="0" w:color="auto"/>
        <w:bottom w:val="none" w:sz="0" w:space="0" w:color="auto"/>
        <w:right w:val="none" w:sz="0" w:space="0" w:color="auto"/>
      </w:divBdr>
      <w:divsChild>
        <w:div w:id="422605003">
          <w:marLeft w:val="0"/>
          <w:marRight w:val="0"/>
          <w:marTop w:val="120"/>
          <w:marBottom w:val="0"/>
          <w:divBdr>
            <w:top w:val="none" w:sz="0" w:space="0" w:color="auto"/>
            <w:left w:val="none" w:sz="0" w:space="0" w:color="auto"/>
            <w:bottom w:val="none" w:sz="0" w:space="0" w:color="auto"/>
            <w:right w:val="none" w:sz="0" w:space="0" w:color="auto"/>
          </w:divBdr>
        </w:div>
        <w:div w:id="1180118539">
          <w:marLeft w:val="0"/>
          <w:marRight w:val="0"/>
          <w:marTop w:val="0"/>
          <w:marBottom w:val="0"/>
          <w:divBdr>
            <w:top w:val="none" w:sz="0" w:space="0" w:color="auto"/>
            <w:left w:val="none" w:sz="0" w:space="0" w:color="auto"/>
            <w:bottom w:val="none" w:sz="0" w:space="0" w:color="auto"/>
            <w:right w:val="none" w:sz="0" w:space="0" w:color="auto"/>
          </w:divBdr>
        </w:div>
      </w:divsChild>
    </w:div>
    <w:div w:id="1696225917">
      <w:bodyDiv w:val="1"/>
      <w:marLeft w:val="0"/>
      <w:marRight w:val="0"/>
      <w:marTop w:val="0"/>
      <w:marBottom w:val="0"/>
      <w:divBdr>
        <w:top w:val="none" w:sz="0" w:space="0" w:color="auto"/>
        <w:left w:val="none" w:sz="0" w:space="0" w:color="auto"/>
        <w:bottom w:val="none" w:sz="0" w:space="0" w:color="auto"/>
        <w:right w:val="none" w:sz="0" w:space="0" w:color="auto"/>
      </w:divBdr>
      <w:divsChild>
        <w:div w:id="275715303">
          <w:marLeft w:val="0"/>
          <w:marRight w:val="0"/>
          <w:marTop w:val="0"/>
          <w:marBottom w:val="0"/>
          <w:divBdr>
            <w:top w:val="none" w:sz="0" w:space="0" w:color="auto"/>
            <w:left w:val="none" w:sz="0" w:space="0" w:color="auto"/>
            <w:bottom w:val="none" w:sz="0" w:space="0" w:color="auto"/>
            <w:right w:val="none" w:sz="0" w:space="0" w:color="auto"/>
          </w:divBdr>
        </w:div>
      </w:divsChild>
    </w:div>
    <w:div w:id="1696466342">
      <w:bodyDiv w:val="1"/>
      <w:marLeft w:val="0"/>
      <w:marRight w:val="0"/>
      <w:marTop w:val="0"/>
      <w:marBottom w:val="0"/>
      <w:divBdr>
        <w:top w:val="none" w:sz="0" w:space="0" w:color="auto"/>
        <w:left w:val="none" w:sz="0" w:space="0" w:color="auto"/>
        <w:bottom w:val="none" w:sz="0" w:space="0" w:color="auto"/>
        <w:right w:val="none" w:sz="0" w:space="0" w:color="auto"/>
      </w:divBdr>
    </w:div>
    <w:div w:id="1699425597">
      <w:bodyDiv w:val="1"/>
      <w:marLeft w:val="0"/>
      <w:marRight w:val="0"/>
      <w:marTop w:val="0"/>
      <w:marBottom w:val="0"/>
      <w:divBdr>
        <w:top w:val="none" w:sz="0" w:space="0" w:color="auto"/>
        <w:left w:val="none" w:sz="0" w:space="0" w:color="auto"/>
        <w:bottom w:val="none" w:sz="0" w:space="0" w:color="auto"/>
        <w:right w:val="none" w:sz="0" w:space="0" w:color="auto"/>
      </w:divBdr>
      <w:divsChild>
        <w:div w:id="448937470">
          <w:marLeft w:val="0"/>
          <w:marRight w:val="0"/>
          <w:marTop w:val="0"/>
          <w:marBottom w:val="0"/>
          <w:divBdr>
            <w:top w:val="none" w:sz="0" w:space="0" w:color="auto"/>
            <w:left w:val="none" w:sz="0" w:space="0" w:color="auto"/>
            <w:bottom w:val="none" w:sz="0" w:space="0" w:color="auto"/>
            <w:right w:val="none" w:sz="0" w:space="0" w:color="auto"/>
          </w:divBdr>
        </w:div>
      </w:divsChild>
    </w:div>
    <w:div w:id="1707367124">
      <w:bodyDiv w:val="1"/>
      <w:marLeft w:val="0"/>
      <w:marRight w:val="0"/>
      <w:marTop w:val="0"/>
      <w:marBottom w:val="0"/>
      <w:divBdr>
        <w:top w:val="none" w:sz="0" w:space="0" w:color="auto"/>
        <w:left w:val="none" w:sz="0" w:space="0" w:color="auto"/>
        <w:bottom w:val="none" w:sz="0" w:space="0" w:color="auto"/>
        <w:right w:val="none" w:sz="0" w:space="0" w:color="auto"/>
      </w:divBdr>
      <w:divsChild>
        <w:div w:id="1930966467">
          <w:marLeft w:val="0"/>
          <w:marRight w:val="0"/>
          <w:marTop w:val="120"/>
          <w:marBottom w:val="0"/>
          <w:divBdr>
            <w:top w:val="none" w:sz="0" w:space="0" w:color="auto"/>
            <w:left w:val="none" w:sz="0" w:space="0" w:color="auto"/>
            <w:bottom w:val="none" w:sz="0" w:space="0" w:color="auto"/>
            <w:right w:val="none" w:sz="0" w:space="0" w:color="auto"/>
          </w:divBdr>
        </w:div>
        <w:div w:id="158543828">
          <w:marLeft w:val="0"/>
          <w:marRight w:val="0"/>
          <w:marTop w:val="0"/>
          <w:marBottom w:val="0"/>
          <w:divBdr>
            <w:top w:val="none" w:sz="0" w:space="0" w:color="auto"/>
            <w:left w:val="none" w:sz="0" w:space="0" w:color="auto"/>
            <w:bottom w:val="none" w:sz="0" w:space="0" w:color="auto"/>
            <w:right w:val="none" w:sz="0" w:space="0" w:color="auto"/>
          </w:divBdr>
        </w:div>
      </w:divsChild>
    </w:div>
    <w:div w:id="1710717389">
      <w:bodyDiv w:val="1"/>
      <w:marLeft w:val="0"/>
      <w:marRight w:val="0"/>
      <w:marTop w:val="0"/>
      <w:marBottom w:val="0"/>
      <w:divBdr>
        <w:top w:val="none" w:sz="0" w:space="0" w:color="auto"/>
        <w:left w:val="none" w:sz="0" w:space="0" w:color="auto"/>
        <w:bottom w:val="none" w:sz="0" w:space="0" w:color="auto"/>
        <w:right w:val="none" w:sz="0" w:space="0" w:color="auto"/>
      </w:divBdr>
      <w:divsChild>
        <w:div w:id="1367752791">
          <w:marLeft w:val="0"/>
          <w:marRight w:val="0"/>
          <w:marTop w:val="0"/>
          <w:marBottom w:val="0"/>
          <w:divBdr>
            <w:top w:val="none" w:sz="0" w:space="0" w:color="auto"/>
            <w:left w:val="none" w:sz="0" w:space="0" w:color="auto"/>
            <w:bottom w:val="none" w:sz="0" w:space="0" w:color="auto"/>
            <w:right w:val="none" w:sz="0" w:space="0" w:color="auto"/>
          </w:divBdr>
        </w:div>
      </w:divsChild>
    </w:div>
    <w:div w:id="1712999570">
      <w:bodyDiv w:val="1"/>
      <w:marLeft w:val="0"/>
      <w:marRight w:val="0"/>
      <w:marTop w:val="0"/>
      <w:marBottom w:val="0"/>
      <w:divBdr>
        <w:top w:val="none" w:sz="0" w:space="0" w:color="auto"/>
        <w:left w:val="none" w:sz="0" w:space="0" w:color="auto"/>
        <w:bottom w:val="none" w:sz="0" w:space="0" w:color="auto"/>
        <w:right w:val="none" w:sz="0" w:space="0" w:color="auto"/>
      </w:divBdr>
      <w:divsChild>
        <w:div w:id="368147481">
          <w:marLeft w:val="0"/>
          <w:marRight w:val="0"/>
          <w:marTop w:val="0"/>
          <w:marBottom w:val="0"/>
          <w:divBdr>
            <w:top w:val="none" w:sz="0" w:space="0" w:color="auto"/>
            <w:left w:val="none" w:sz="0" w:space="0" w:color="auto"/>
            <w:bottom w:val="none" w:sz="0" w:space="0" w:color="auto"/>
            <w:right w:val="none" w:sz="0" w:space="0" w:color="auto"/>
          </w:divBdr>
          <w:divsChild>
            <w:div w:id="1840923630">
              <w:marLeft w:val="0"/>
              <w:marRight w:val="0"/>
              <w:marTop w:val="0"/>
              <w:marBottom w:val="0"/>
              <w:divBdr>
                <w:top w:val="none" w:sz="0" w:space="0" w:color="auto"/>
                <w:left w:val="none" w:sz="0" w:space="0" w:color="auto"/>
                <w:bottom w:val="none" w:sz="0" w:space="0" w:color="auto"/>
                <w:right w:val="none" w:sz="0" w:space="0" w:color="auto"/>
              </w:divBdr>
              <w:divsChild>
                <w:div w:id="1985111963">
                  <w:marLeft w:val="0"/>
                  <w:marRight w:val="0"/>
                  <w:marTop w:val="0"/>
                  <w:marBottom w:val="0"/>
                  <w:divBdr>
                    <w:top w:val="none" w:sz="0" w:space="0" w:color="auto"/>
                    <w:left w:val="none" w:sz="0" w:space="0" w:color="auto"/>
                    <w:bottom w:val="none" w:sz="0" w:space="0" w:color="auto"/>
                    <w:right w:val="none" w:sz="0" w:space="0" w:color="auto"/>
                  </w:divBdr>
                  <w:divsChild>
                    <w:div w:id="1006253573">
                      <w:marLeft w:val="0"/>
                      <w:marRight w:val="0"/>
                      <w:marTop w:val="120"/>
                      <w:marBottom w:val="0"/>
                      <w:divBdr>
                        <w:top w:val="none" w:sz="0" w:space="0" w:color="auto"/>
                        <w:left w:val="none" w:sz="0" w:space="0" w:color="auto"/>
                        <w:bottom w:val="none" w:sz="0" w:space="0" w:color="auto"/>
                        <w:right w:val="none" w:sz="0" w:space="0" w:color="auto"/>
                      </w:divBdr>
                    </w:div>
                    <w:div w:id="1860315752">
                      <w:marLeft w:val="0"/>
                      <w:marRight w:val="0"/>
                      <w:marTop w:val="0"/>
                      <w:marBottom w:val="0"/>
                      <w:divBdr>
                        <w:top w:val="none" w:sz="0" w:space="0" w:color="auto"/>
                        <w:left w:val="none" w:sz="0" w:space="0" w:color="auto"/>
                        <w:bottom w:val="none" w:sz="0" w:space="0" w:color="auto"/>
                        <w:right w:val="none" w:sz="0" w:space="0" w:color="auto"/>
                      </w:divBdr>
                    </w:div>
                  </w:divsChild>
                </w:div>
                <w:div w:id="1732465916">
                  <w:marLeft w:val="0"/>
                  <w:marRight w:val="0"/>
                  <w:marTop w:val="0"/>
                  <w:marBottom w:val="0"/>
                  <w:divBdr>
                    <w:top w:val="none" w:sz="0" w:space="0" w:color="auto"/>
                    <w:left w:val="none" w:sz="0" w:space="0" w:color="auto"/>
                    <w:bottom w:val="none" w:sz="0" w:space="0" w:color="auto"/>
                    <w:right w:val="none" w:sz="0" w:space="0" w:color="auto"/>
                  </w:divBdr>
                  <w:divsChild>
                    <w:div w:id="1494757719">
                      <w:marLeft w:val="0"/>
                      <w:marRight w:val="0"/>
                      <w:marTop w:val="120"/>
                      <w:marBottom w:val="0"/>
                      <w:divBdr>
                        <w:top w:val="none" w:sz="0" w:space="0" w:color="auto"/>
                        <w:left w:val="none" w:sz="0" w:space="0" w:color="auto"/>
                        <w:bottom w:val="none" w:sz="0" w:space="0" w:color="auto"/>
                        <w:right w:val="none" w:sz="0" w:space="0" w:color="auto"/>
                      </w:divBdr>
                    </w:div>
                    <w:div w:id="209034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660713">
          <w:marLeft w:val="0"/>
          <w:marRight w:val="0"/>
          <w:marTop w:val="0"/>
          <w:marBottom w:val="0"/>
          <w:divBdr>
            <w:top w:val="none" w:sz="0" w:space="0" w:color="auto"/>
            <w:left w:val="none" w:sz="0" w:space="0" w:color="auto"/>
            <w:bottom w:val="none" w:sz="0" w:space="0" w:color="auto"/>
            <w:right w:val="none" w:sz="0" w:space="0" w:color="auto"/>
          </w:divBdr>
          <w:divsChild>
            <w:div w:id="1712001293">
              <w:marLeft w:val="0"/>
              <w:marRight w:val="0"/>
              <w:marTop w:val="0"/>
              <w:marBottom w:val="0"/>
              <w:divBdr>
                <w:top w:val="none" w:sz="0" w:space="0" w:color="auto"/>
                <w:left w:val="none" w:sz="0" w:space="0" w:color="auto"/>
                <w:bottom w:val="none" w:sz="0" w:space="0" w:color="auto"/>
                <w:right w:val="none" w:sz="0" w:space="0" w:color="auto"/>
              </w:divBdr>
              <w:divsChild>
                <w:div w:id="231434727">
                  <w:marLeft w:val="0"/>
                  <w:marRight w:val="0"/>
                  <w:marTop w:val="0"/>
                  <w:marBottom w:val="0"/>
                  <w:divBdr>
                    <w:top w:val="none" w:sz="0" w:space="0" w:color="auto"/>
                    <w:left w:val="none" w:sz="0" w:space="0" w:color="auto"/>
                    <w:bottom w:val="none" w:sz="0" w:space="0" w:color="auto"/>
                    <w:right w:val="none" w:sz="0" w:space="0" w:color="auto"/>
                  </w:divBdr>
                  <w:divsChild>
                    <w:div w:id="6831104">
                      <w:marLeft w:val="0"/>
                      <w:marRight w:val="0"/>
                      <w:marTop w:val="120"/>
                      <w:marBottom w:val="0"/>
                      <w:divBdr>
                        <w:top w:val="none" w:sz="0" w:space="0" w:color="auto"/>
                        <w:left w:val="none" w:sz="0" w:space="0" w:color="auto"/>
                        <w:bottom w:val="none" w:sz="0" w:space="0" w:color="auto"/>
                        <w:right w:val="none" w:sz="0" w:space="0" w:color="auto"/>
                      </w:divBdr>
                    </w:div>
                    <w:div w:id="1932349005">
                      <w:marLeft w:val="0"/>
                      <w:marRight w:val="0"/>
                      <w:marTop w:val="0"/>
                      <w:marBottom w:val="0"/>
                      <w:divBdr>
                        <w:top w:val="none" w:sz="0" w:space="0" w:color="auto"/>
                        <w:left w:val="none" w:sz="0" w:space="0" w:color="auto"/>
                        <w:bottom w:val="none" w:sz="0" w:space="0" w:color="auto"/>
                        <w:right w:val="none" w:sz="0" w:space="0" w:color="auto"/>
                      </w:divBdr>
                    </w:div>
                  </w:divsChild>
                </w:div>
                <w:div w:id="818033660">
                  <w:marLeft w:val="0"/>
                  <w:marRight w:val="0"/>
                  <w:marTop w:val="0"/>
                  <w:marBottom w:val="0"/>
                  <w:divBdr>
                    <w:top w:val="none" w:sz="0" w:space="0" w:color="auto"/>
                    <w:left w:val="none" w:sz="0" w:space="0" w:color="auto"/>
                    <w:bottom w:val="none" w:sz="0" w:space="0" w:color="auto"/>
                    <w:right w:val="none" w:sz="0" w:space="0" w:color="auto"/>
                  </w:divBdr>
                  <w:divsChild>
                    <w:div w:id="1776631600">
                      <w:marLeft w:val="0"/>
                      <w:marRight w:val="0"/>
                      <w:marTop w:val="120"/>
                      <w:marBottom w:val="0"/>
                      <w:divBdr>
                        <w:top w:val="none" w:sz="0" w:space="0" w:color="auto"/>
                        <w:left w:val="none" w:sz="0" w:space="0" w:color="auto"/>
                        <w:bottom w:val="none" w:sz="0" w:space="0" w:color="auto"/>
                        <w:right w:val="none" w:sz="0" w:space="0" w:color="auto"/>
                      </w:divBdr>
                    </w:div>
                    <w:div w:id="6886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925609">
      <w:bodyDiv w:val="1"/>
      <w:marLeft w:val="0"/>
      <w:marRight w:val="0"/>
      <w:marTop w:val="0"/>
      <w:marBottom w:val="0"/>
      <w:divBdr>
        <w:top w:val="none" w:sz="0" w:space="0" w:color="auto"/>
        <w:left w:val="none" w:sz="0" w:space="0" w:color="auto"/>
        <w:bottom w:val="none" w:sz="0" w:space="0" w:color="auto"/>
        <w:right w:val="none" w:sz="0" w:space="0" w:color="auto"/>
      </w:divBdr>
      <w:divsChild>
        <w:div w:id="1253011617">
          <w:marLeft w:val="0"/>
          <w:marRight w:val="0"/>
          <w:marTop w:val="120"/>
          <w:marBottom w:val="0"/>
          <w:divBdr>
            <w:top w:val="none" w:sz="0" w:space="0" w:color="auto"/>
            <w:left w:val="none" w:sz="0" w:space="0" w:color="auto"/>
            <w:bottom w:val="none" w:sz="0" w:space="0" w:color="auto"/>
            <w:right w:val="none" w:sz="0" w:space="0" w:color="auto"/>
          </w:divBdr>
        </w:div>
        <w:div w:id="2079746155">
          <w:marLeft w:val="0"/>
          <w:marRight w:val="0"/>
          <w:marTop w:val="0"/>
          <w:marBottom w:val="0"/>
          <w:divBdr>
            <w:top w:val="none" w:sz="0" w:space="0" w:color="auto"/>
            <w:left w:val="none" w:sz="0" w:space="0" w:color="auto"/>
            <w:bottom w:val="none" w:sz="0" w:space="0" w:color="auto"/>
            <w:right w:val="none" w:sz="0" w:space="0" w:color="auto"/>
          </w:divBdr>
        </w:div>
      </w:divsChild>
    </w:div>
    <w:div w:id="1721201584">
      <w:bodyDiv w:val="1"/>
      <w:marLeft w:val="0"/>
      <w:marRight w:val="0"/>
      <w:marTop w:val="0"/>
      <w:marBottom w:val="0"/>
      <w:divBdr>
        <w:top w:val="none" w:sz="0" w:space="0" w:color="auto"/>
        <w:left w:val="none" w:sz="0" w:space="0" w:color="auto"/>
        <w:bottom w:val="none" w:sz="0" w:space="0" w:color="auto"/>
        <w:right w:val="none" w:sz="0" w:space="0" w:color="auto"/>
      </w:divBdr>
      <w:divsChild>
        <w:div w:id="1310402889">
          <w:marLeft w:val="0"/>
          <w:marRight w:val="0"/>
          <w:marTop w:val="120"/>
          <w:marBottom w:val="0"/>
          <w:divBdr>
            <w:top w:val="none" w:sz="0" w:space="0" w:color="auto"/>
            <w:left w:val="none" w:sz="0" w:space="0" w:color="auto"/>
            <w:bottom w:val="none" w:sz="0" w:space="0" w:color="auto"/>
            <w:right w:val="none" w:sz="0" w:space="0" w:color="auto"/>
          </w:divBdr>
        </w:div>
        <w:div w:id="1885486550">
          <w:marLeft w:val="0"/>
          <w:marRight w:val="0"/>
          <w:marTop w:val="0"/>
          <w:marBottom w:val="0"/>
          <w:divBdr>
            <w:top w:val="none" w:sz="0" w:space="0" w:color="auto"/>
            <w:left w:val="none" w:sz="0" w:space="0" w:color="auto"/>
            <w:bottom w:val="none" w:sz="0" w:space="0" w:color="auto"/>
            <w:right w:val="none" w:sz="0" w:space="0" w:color="auto"/>
          </w:divBdr>
        </w:div>
      </w:divsChild>
    </w:div>
    <w:div w:id="1722636580">
      <w:bodyDiv w:val="1"/>
      <w:marLeft w:val="0"/>
      <w:marRight w:val="0"/>
      <w:marTop w:val="0"/>
      <w:marBottom w:val="0"/>
      <w:divBdr>
        <w:top w:val="none" w:sz="0" w:space="0" w:color="auto"/>
        <w:left w:val="none" w:sz="0" w:space="0" w:color="auto"/>
        <w:bottom w:val="none" w:sz="0" w:space="0" w:color="auto"/>
        <w:right w:val="none" w:sz="0" w:space="0" w:color="auto"/>
      </w:divBdr>
      <w:divsChild>
        <w:div w:id="1183396870">
          <w:marLeft w:val="0"/>
          <w:marRight w:val="0"/>
          <w:marTop w:val="0"/>
          <w:marBottom w:val="0"/>
          <w:divBdr>
            <w:top w:val="none" w:sz="0" w:space="0" w:color="auto"/>
            <w:left w:val="none" w:sz="0" w:space="0" w:color="auto"/>
            <w:bottom w:val="none" w:sz="0" w:space="0" w:color="auto"/>
            <w:right w:val="none" w:sz="0" w:space="0" w:color="auto"/>
          </w:divBdr>
          <w:divsChild>
            <w:div w:id="10304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84612">
      <w:bodyDiv w:val="1"/>
      <w:marLeft w:val="0"/>
      <w:marRight w:val="0"/>
      <w:marTop w:val="0"/>
      <w:marBottom w:val="0"/>
      <w:divBdr>
        <w:top w:val="none" w:sz="0" w:space="0" w:color="auto"/>
        <w:left w:val="none" w:sz="0" w:space="0" w:color="auto"/>
        <w:bottom w:val="none" w:sz="0" w:space="0" w:color="auto"/>
        <w:right w:val="none" w:sz="0" w:space="0" w:color="auto"/>
      </w:divBdr>
      <w:divsChild>
        <w:div w:id="1616906130">
          <w:marLeft w:val="0"/>
          <w:marRight w:val="0"/>
          <w:marTop w:val="0"/>
          <w:marBottom w:val="0"/>
          <w:divBdr>
            <w:top w:val="none" w:sz="0" w:space="0" w:color="auto"/>
            <w:left w:val="none" w:sz="0" w:space="0" w:color="auto"/>
            <w:bottom w:val="none" w:sz="0" w:space="0" w:color="auto"/>
            <w:right w:val="none" w:sz="0" w:space="0" w:color="auto"/>
          </w:divBdr>
        </w:div>
      </w:divsChild>
    </w:div>
    <w:div w:id="1726828997">
      <w:bodyDiv w:val="1"/>
      <w:marLeft w:val="0"/>
      <w:marRight w:val="0"/>
      <w:marTop w:val="0"/>
      <w:marBottom w:val="0"/>
      <w:divBdr>
        <w:top w:val="none" w:sz="0" w:space="0" w:color="auto"/>
        <w:left w:val="none" w:sz="0" w:space="0" w:color="auto"/>
        <w:bottom w:val="none" w:sz="0" w:space="0" w:color="auto"/>
        <w:right w:val="none" w:sz="0" w:space="0" w:color="auto"/>
      </w:divBdr>
      <w:divsChild>
        <w:div w:id="334385251">
          <w:marLeft w:val="0"/>
          <w:marRight w:val="0"/>
          <w:marTop w:val="120"/>
          <w:marBottom w:val="0"/>
          <w:divBdr>
            <w:top w:val="none" w:sz="0" w:space="0" w:color="auto"/>
            <w:left w:val="none" w:sz="0" w:space="0" w:color="auto"/>
            <w:bottom w:val="none" w:sz="0" w:space="0" w:color="auto"/>
            <w:right w:val="none" w:sz="0" w:space="0" w:color="auto"/>
          </w:divBdr>
        </w:div>
        <w:div w:id="54162750">
          <w:marLeft w:val="0"/>
          <w:marRight w:val="0"/>
          <w:marTop w:val="0"/>
          <w:marBottom w:val="0"/>
          <w:divBdr>
            <w:top w:val="none" w:sz="0" w:space="0" w:color="auto"/>
            <w:left w:val="none" w:sz="0" w:space="0" w:color="auto"/>
            <w:bottom w:val="none" w:sz="0" w:space="0" w:color="auto"/>
            <w:right w:val="none" w:sz="0" w:space="0" w:color="auto"/>
          </w:divBdr>
        </w:div>
      </w:divsChild>
    </w:div>
    <w:div w:id="1731223575">
      <w:bodyDiv w:val="1"/>
      <w:marLeft w:val="0"/>
      <w:marRight w:val="0"/>
      <w:marTop w:val="0"/>
      <w:marBottom w:val="0"/>
      <w:divBdr>
        <w:top w:val="none" w:sz="0" w:space="0" w:color="auto"/>
        <w:left w:val="none" w:sz="0" w:space="0" w:color="auto"/>
        <w:bottom w:val="none" w:sz="0" w:space="0" w:color="auto"/>
        <w:right w:val="none" w:sz="0" w:space="0" w:color="auto"/>
      </w:divBdr>
      <w:divsChild>
        <w:div w:id="1249001456">
          <w:marLeft w:val="0"/>
          <w:marRight w:val="0"/>
          <w:marTop w:val="0"/>
          <w:marBottom w:val="0"/>
          <w:divBdr>
            <w:top w:val="none" w:sz="0" w:space="0" w:color="auto"/>
            <w:left w:val="none" w:sz="0" w:space="0" w:color="auto"/>
            <w:bottom w:val="none" w:sz="0" w:space="0" w:color="auto"/>
            <w:right w:val="none" w:sz="0" w:space="0" w:color="auto"/>
          </w:divBdr>
        </w:div>
      </w:divsChild>
    </w:div>
    <w:div w:id="1746797351">
      <w:bodyDiv w:val="1"/>
      <w:marLeft w:val="0"/>
      <w:marRight w:val="0"/>
      <w:marTop w:val="0"/>
      <w:marBottom w:val="0"/>
      <w:divBdr>
        <w:top w:val="none" w:sz="0" w:space="0" w:color="auto"/>
        <w:left w:val="none" w:sz="0" w:space="0" w:color="auto"/>
        <w:bottom w:val="none" w:sz="0" w:space="0" w:color="auto"/>
        <w:right w:val="none" w:sz="0" w:space="0" w:color="auto"/>
      </w:divBdr>
      <w:divsChild>
        <w:div w:id="76053949">
          <w:marLeft w:val="0"/>
          <w:marRight w:val="0"/>
          <w:marTop w:val="0"/>
          <w:marBottom w:val="0"/>
          <w:divBdr>
            <w:top w:val="none" w:sz="0" w:space="0" w:color="auto"/>
            <w:left w:val="none" w:sz="0" w:space="0" w:color="auto"/>
            <w:bottom w:val="none" w:sz="0" w:space="0" w:color="auto"/>
            <w:right w:val="none" w:sz="0" w:space="0" w:color="auto"/>
          </w:divBdr>
        </w:div>
      </w:divsChild>
    </w:div>
    <w:div w:id="1748263412">
      <w:bodyDiv w:val="1"/>
      <w:marLeft w:val="0"/>
      <w:marRight w:val="0"/>
      <w:marTop w:val="0"/>
      <w:marBottom w:val="0"/>
      <w:divBdr>
        <w:top w:val="none" w:sz="0" w:space="0" w:color="auto"/>
        <w:left w:val="none" w:sz="0" w:space="0" w:color="auto"/>
        <w:bottom w:val="none" w:sz="0" w:space="0" w:color="auto"/>
        <w:right w:val="none" w:sz="0" w:space="0" w:color="auto"/>
      </w:divBdr>
      <w:divsChild>
        <w:div w:id="1662466775">
          <w:marLeft w:val="0"/>
          <w:marRight w:val="0"/>
          <w:marTop w:val="0"/>
          <w:marBottom w:val="0"/>
          <w:divBdr>
            <w:top w:val="none" w:sz="0" w:space="0" w:color="auto"/>
            <w:left w:val="none" w:sz="0" w:space="0" w:color="auto"/>
            <w:bottom w:val="none" w:sz="0" w:space="0" w:color="auto"/>
            <w:right w:val="none" w:sz="0" w:space="0" w:color="auto"/>
          </w:divBdr>
        </w:div>
      </w:divsChild>
    </w:div>
    <w:div w:id="1752577807">
      <w:bodyDiv w:val="1"/>
      <w:marLeft w:val="0"/>
      <w:marRight w:val="0"/>
      <w:marTop w:val="0"/>
      <w:marBottom w:val="0"/>
      <w:divBdr>
        <w:top w:val="none" w:sz="0" w:space="0" w:color="auto"/>
        <w:left w:val="none" w:sz="0" w:space="0" w:color="auto"/>
        <w:bottom w:val="none" w:sz="0" w:space="0" w:color="auto"/>
        <w:right w:val="none" w:sz="0" w:space="0" w:color="auto"/>
      </w:divBdr>
      <w:divsChild>
        <w:div w:id="1158307284">
          <w:marLeft w:val="0"/>
          <w:marRight w:val="0"/>
          <w:marTop w:val="120"/>
          <w:marBottom w:val="0"/>
          <w:divBdr>
            <w:top w:val="none" w:sz="0" w:space="0" w:color="auto"/>
            <w:left w:val="none" w:sz="0" w:space="0" w:color="auto"/>
            <w:bottom w:val="none" w:sz="0" w:space="0" w:color="auto"/>
            <w:right w:val="none" w:sz="0" w:space="0" w:color="auto"/>
          </w:divBdr>
        </w:div>
        <w:div w:id="945311999">
          <w:marLeft w:val="0"/>
          <w:marRight w:val="0"/>
          <w:marTop w:val="0"/>
          <w:marBottom w:val="0"/>
          <w:divBdr>
            <w:top w:val="none" w:sz="0" w:space="0" w:color="auto"/>
            <w:left w:val="none" w:sz="0" w:space="0" w:color="auto"/>
            <w:bottom w:val="none" w:sz="0" w:space="0" w:color="auto"/>
            <w:right w:val="none" w:sz="0" w:space="0" w:color="auto"/>
          </w:divBdr>
        </w:div>
      </w:divsChild>
    </w:div>
    <w:div w:id="1752852502">
      <w:bodyDiv w:val="1"/>
      <w:marLeft w:val="0"/>
      <w:marRight w:val="0"/>
      <w:marTop w:val="0"/>
      <w:marBottom w:val="0"/>
      <w:divBdr>
        <w:top w:val="none" w:sz="0" w:space="0" w:color="auto"/>
        <w:left w:val="none" w:sz="0" w:space="0" w:color="auto"/>
        <w:bottom w:val="none" w:sz="0" w:space="0" w:color="auto"/>
        <w:right w:val="none" w:sz="0" w:space="0" w:color="auto"/>
      </w:divBdr>
      <w:divsChild>
        <w:div w:id="1151865086">
          <w:marLeft w:val="0"/>
          <w:marRight w:val="0"/>
          <w:marTop w:val="0"/>
          <w:marBottom w:val="0"/>
          <w:divBdr>
            <w:top w:val="none" w:sz="0" w:space="0" w:color="auto"/>
            <w:left w:val="none" w:sz="0" w:space="0" w:color="auto"/>
            <w:bottom w:val="none" w:sz="0" w:space="0" w:color="auto"/>
            <w:right w:val="none" w:sz="0" w:space="0" w:color="auto"/>
          </w:divBdr>
        </w:div>
      </w:divsChild>
    </w:div>
    <w:div w:id="1757826570">
      <w:bodyDiv w:val="1"/>
      <w:marLeft w:val="0"/>
      <w:marRight w:val="0"/>
      <w:marTop w:val="0"/>
      <w:marBottom w:val="0"/>
      <w:divBdr>
        <w:top w:val="none" w:sz="0" w:space="0" w:color="auto"/>
        <w:left w:val="none" w:sz="0" w:space="0" w:color="auto"/>
        <w:bottom w:val="none" w:sz="0" w:space="0" w:color="auto"/>
        <w:right w:val="none" w:sz="0" w:space="0" w:color="auto"/>
      </w:divBdr>
      <w:divsChild>
        <w:div w:id="562569214">
          <w:marLeft w:val="0"/>
          <w:marRight w:val="0"/>
          <w:marTop w:val="120"/>
          <w:marBottom w:val="0"/>
          <w:divBdr>
            <w:top w:val="none" w:sz="0" w:space="0" w:color="auto"/>
            <w:left w:val="none" w:sz="0" w:space="0" w:color="auto"/>
            <w:bottom w:val="none" w:sz="0" w:space="0" w:color="auto"/>
            <w:right w:val="none" w:sz="0" w:space="0" w:color="auto"/>
          </w:divBdr>
        </w:div>
        <w:div w:id="1544948783">
          <w:marLeft w:val="0"/>
          <w:marRight w:val="0"/>
          <w:marTop w:val="0"/>
          <w:marBottom w:val="0"/>
          <w:divBdr>
            <w:top w:val="none" w:sz="0" w:space="0" w:color="auto"/>
            <w:left w:val="none" w:sz="0" w:space="0" w:color="auto"/>
            <w:bottom w:val="none" w:sz="0" w:space="0" w:color="auto"/>
            <w:right w:val="none" w:sz="0" w:space="0" w:color="auto"/>
          </w:divBdr>
        </w:div>
      </w:divsChild>
    </w:div>
    <w:div w:id="1759280321">
      <w:bodyDiv w:val="1"/>
      <w:marLeft w:val="0"/>
      <w:marRight w:val="0"/>
      <w:marTop w:val="0"/>
      <w:marBottom w:val="0"/>
      <w:divBdr>
        <w:top w:val="none" w:sz="0" w:space="0" w:color="auto"/>
        <w:left w:val="none" w:sz="0" w:space="0" w:color="auto"/>
        <w:bottom w:val="none" w:sz="0" w:space="0" w:color="auto"/>
        <w:right w:val="none" w:sz="0" w:space="0" w:color="auto"/>
      </w:divBdr>
      <w:divsChild>
        <w:div w:id="1192493562">
          <w:marLeft w:val="0"/>
          <w:marRight w:val="0"/>
          <w:marTop w:val="0"/>
          <w:marBottom w:val="0"/>
          <w:divBdr>
            <w:top w:val="none" w:sz="0" w:space="0" w:color="auto"/>
            <w:left w:val="none" w:sz="0" w:space="0" w:color="auto"/>
            <w:bottom w:val="none" w:sz="0" w:space="0" w:color="auto"/>
            <w:right w:val="none" w:sz="0" w:space="0" w:color="auto"/>
          </w:divBdr>
        </w:div>
      </w:divsChild>
    </w:div>
    <w:div w:id="1760132215">
      <w:bodyDiv w:val="1"/>
      <w:marLeft w:val="0"/>
      <w:marRight w:val="0"/>
      <w:marTop w:val="0"/>
      <w:marBottom w:val="0"/>
      <w:divBdr>
        <w:top w:val="none" w:sz="0" w:space="0" w:color="auto"/>
        <w:left w:val="none" w:sz="0" w:space="0" w:color="auto"/>
        <w:bottom w:val="none" w:sz="0" w:space="0" w:color="auto"/>
        <w:right w:val="none" w:sz="0" w:space="0" w:color="auto"/>
      </w:divBdr>
      <w:divsChild>
        <w:div w:id="1747874907">
          <w:marLeft w:val="0"/>
          <w:marRight w:val="0"/>
          <w:marTop w:val="0"/>
          <w:marBottom w:val="0"/>
          <w:divBdr>
            <w:top w:val="none" w:sz="0" w:space="0" w:color="auto"/>
            <w:left w:val="none" w:sz="0" w:space="0" w:color="auto"/>
            <w:bottom w:val="none" w:sz="0" w:space="0" w:color="auto"/>
            <w:right w:val="none" w:sz="0" w:space="0" w:color="auto"/>
          </w:divBdr>
          <w:divsChild>
            <w:div w:id="2116361079">
              <w:marLeft w:val="0"/>
              <w:marRight w:val="0"/>
              <w:marTop w:val="0"/>
              <w:marBottom w:val="0"/>
              <w:divBdr>
                <w:top w:val="none" w:sz="0" w:space="0" w:color="auto"/>
                <w:left w:val="none" w:sz="0" w:space="0" w:color="auto"/>
                <w:bottom w:val="none" w:sz="0" w:space="0" w:color="auto"/>
                <w:right w:val="none" w:sz="0" w:space="0" w:color="auto"/>
              </w:divBdr>
              <w:divsChild>
                <w:div w:id="1329867565">
                  <w:marLeft w:val="0"/>
                  <w:marRight w:val="0"/>
                  <w:marTop w:val="120"/>
                  <w:marBottom w:val="0"/>
                  <w:divBdr>
                    <w:top w:val="none" w:sz="0" w:space="0" w:color="auto"/>
                    <w:left w:val="none" w:sz="0" w:space="0" w:color="auto"/>
                    <w:bottom w:val="none" w:sz="0" w:space="0" w:color="auto"/>
                    <w:right w:val="none" w:sz="0" w:space="0" w:color="auto"/>
                  </w:divBdr>
                </w:div>
                <w:div w:id="72944784">
                  <w:marLeft w:val="0"/>
                  <w:marRight w:val="0"/>
                  <w:marTop w:val="0"/>
                  <w:marBottom w:val="0"/>
                  <w:divBdr>
                    <w:top w:val="none" w:sz="0" w:space="0" w:color="auto"/>
                    <w:left w:val="none" w:sz="0" w:space="0" w:color="auto"/>
                    <w:bottom w:val="none" w:sz="0" w:space="0" w:color="auto"/>
                    <w:right w:val="none" w:sz="0" w:space="0" w:color="auto"/>
                  </w:divBdr>
                </w:div>
              </w:divsChild>
            </w:div>
            <w:div w:id="943265372">
              <w:marLeft w:val="0"/>
              <w:marRight w:val="0"/>
              <w:marTop w:val="0"/>
              <w:marBottom w:val="0"/>
              <w:divBdr>
                <w:top w:val="none" w:sz="0" w:space="0" w:color="auto"/>
                <w:left w:val="none" w:sz="0" w:space="0" w:color="auto"/>
                <w:bottom w:val="none" w:sz="0" w:space="0" w:color="auto"/>
                <w:right w:val="none" w:sz="0" w:space="0" w:color="auto"/>
              </w:divBdr>
              <w:divsChild>
                <w:div w:id="831719387">
                  <w:marLeft w:val="0"/>
                  <w:marRight w:val="0"/>
                  <w:marTop w:val="120"/>
                  <w:marBottom w:val="0"/>
                  <w:divBdr>
                    <w:top w:val="none" w:sz="0" w:space="0" w:color="auto"/>
                    <w:left w:val="none" w:sz="0" w:space="0" w:color="auto"/>
                    <w:bottom w:val="none" w:sz="0" w:space="0" w:color="auto"/>
                    <w:right w:val="none" w:sz="0" w:space="0" w:color="auto"/>
                  </w:divBdr>
                </w:div>
                <w:div w:id="20275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685517">
      <w:bodyDiv w:val="1"/>
      <w:marLeft w:val="0"/>
      <w:marRight w:val="0"/>
      <w:marTop w:val="0"/>
      <w:marBottom w:val="0"/>
      <w:divBdr>
        <w:top w:val="none" w:sz="0" w:space="0" w:color="auto"/>
        <w:left w:val="none" w:sz="0" w:space="0" w:color="auto"/>
        <w:bottom w:val="none" w:sz="0" w:space="0" w:color="auto"/>
        <w:right w:val="none" w:sz="0" w:space="0" w:color="auto"/>
      </w:divBdr>
    </w:div>
    <w:div w:id="1765878844">
      <w:bodyDiv w:val="1"/>
      <w:marLeft w:val="0"/>
      <w:marRight w:val="0"/>
      <w:marTop w:val="0"/>
      <w:marBottom w:val="0"/>
      <w:divBdr>
        <w:top w:val="none" w:sz="0" w:space="0" w:color="auto"/>
        <w:left w:val="none" w:sz="0" w:space="0" w:color="auto"/>
        <w:bottom w:val="none" w:sz="0" w:space="0" w:color="auto"/>
        <w:right w:val="none" w:sz="0" w:space="0" w:color="auto"/>
      </w:divBdr>
      <w:divsChild>
        <w:div w:id="872033572">
          <w:marLeft w:val="0"/>
          <w:marRight w:val="0"/>
          <w:marTop w:val="0"/>
          <w:marBottom w:val="0"/>
          <w:divBdr>
            <w:top w:val="none" w:sz="0" w:space="0" w:color="auto"/>
            <w:left w:val="none" w:sz="0" w:space="0" w:color="auto"/>
            <w:bottom w:val="none" w:sz="0" w:space="0" w:color="auto"/>
            <w:right w:val="none" w:sz="0" w:space="0" w:color="auto"/>
          </w:divBdr>
          <w:divsChild>
            <w:div w:id="294415706">
              <w:marLeft w:val="0"/>
              <w:marRight w:val="0"/>
              <w:marTop w:val="0"/>
              <w:marBottom w:val="0"/>
              <w:divBdr>
                <w:top w:val="none" w:sz="0" w:space="0" w:color="auto"/>
                <w:left w:val="none" w:sz="0" w:space="0" w:color="auto"/>
                <w:bottom w:val="none" w:sz="0" w:space="0" w:color="auto"/>
                <w:right w:val="none" w:sz="0" w:space="0" w:color="auto"/>
              </w:divBdr>
            </w:div>
          </w:divsChild>
        </w:div>
        <w:div w:id="579605490">
          <w:marLeft w:val="0"/>
          <w:marRight w:val="0"/>
          <w:marTop w:val="0"/>
          <w:marBottom w:val="0"/>
          <w:divBdr>
            <w:top w:val="none" w:sz="0" w:space="0" w:color="auto"/>
            <w:left w:val="none" w:sz="0" w:space="0" w:color="auto"/>
            <w:bottom w:val="none" w:sz="0" w:space="0" w:color="auto"/>
            <w:right w:val="none" w:sz="0" w:space="0" w:color="auto"/>
          </w:divBdr>
          <w:divsChild>
            <w:div w:id="1449200242">
              <w:marLeft w:val="0"/>
              <w:marRight w:val="0"/>
              <w:marTop w:val="120"/>
              <w:marBottom w:val="0"/>
              <w:divBdr>
                <w:top w:val="none" w:sz="0" w:space="0" w:color="auto"/>
                <w:left w:val="none" w:sz="0" w:space="0" w:color="auto"/>
                <w:bottom w:val="none" w:sz="0" w:space="0" w:color="auto"/>
                <w:right w:val="none" w:sz="0" w:space="0" w:color="auto"/>
              </w:divBdr>
            </w:div>
            <w:div w:id="1403992085">
              <w:marLeft w:val="0"/>
              <w:marRight w:val="0"/>
              <w:marTop w:val="0"/>
              <w:marBottom w:val="0"/>
              <w:divBdr>
                <w:top w:val="none" w:sz="0" w:space="0" w:color="auto"/>
                <w:left w:val="none" w:sz="0" w:space="0" w:color="auto"/>
                <w:bottom w:val="none" w:sz="0" w:space="0" w:color="auto"/>
                <w:right w:val="none" w:sz="0" w:space="0" w:color="auto"/>
              </w:divBdr>
            </w:div>
          </w:divsChild>
        </w:div>
        <w:div w:id="1378552239">
          <w:marLeft w:val="0"/>
          <w:marRight w:val="0"/>
          <w:marTop w:val="0"/>
          <w:marBottom w:val="0"/>
          <w:divBdr>
            <w:top w:val="none" w:sz="0" w:space="0" w:color="auto"/>
            <w:left w:val="none" w:sz="0" w:space="0" w:color="auto"/>
            <w:bottom w:val="none" w:sz="0" w:space="0" w:color="auto"/>
            <w:right w:val="none" w:sz="0" w:space="0" w:color="auto"/>
          </w:divBdr>
          <w:divsChild>
            <w:div w:id="1014527279">
              <w:marLeft w:val="0"/>
              <w:marRight w:val="0"/>
              <w:marTop w:val="120"/>
              <w:marBottom w:val="0"/>
              <w:divBdr>
                <w:top w:val="none" w:sz="0" w:space="0" w:color="auto"/>
                <w:left w:val="none" w:sz="0" w:space="0" w:color="auto"/>
                <w:bottom w:val="none" w:sz="0" w:space="0" w:color="auto"/>
                <w:right w:val="none" w:sz="0" w:space="0" w:color="auto"/>
              </w:divBdr>
            </w:div>
            <w:div w:id="687559094">
              <w:marLeft w:val="0"/>
              <w:marRight w:val="0"/>
              <w:marTop w:val="0"/>
              <w:marBottom w:val="0"/>
              <w:divBdr>
                <w:top w:val="none" w:sz="0" w:space="0" w:color="auto"/>
                <w:left w:val="none" w:sz="0" w:space="0" w:color="auto"/>
                <w:bottom w:val="none" w:sz="0" w:space="0" w:color="auto"/>
                <w:right w:val="none" w:sz="0" w:space="0" w:color="auto"/>
              </w:divBdr>
            </w:div>
          </w:divsChild>
        </w:div>
        <w:div w:id="1279992052">
          <w:marLeft w:val="0"/>
          <w:marRight w:val="0"/>
          <w:marTop w:val="0"/>
          <w:marBottom w:val="0"/>
          <w:divBdr>
            <w:top w:val="none" w:sz="0" w:space="0" w:color="auto"/>
            <w:left w:val="none" w:sz="0" w:space="0" w:color="auto"/>
            <w:bottom w:val="none" w:sz="0" w:space="0" w:color="auto"/>
            <w:right w:val="none" w:sz="0" w:space="0" w:color="auto"/>
          </w:divBdr>
          <w:divsChild>
            <w:div w:id="123351695">
              <w:marLeft w:val="0"/>
              <w:marRight w:val="0"/>
              <w:marTop w:val="120"/>
              <w:marBottom w:val="0"/>
              <w:divBdr>
                <w:top w:val="none" w:sz="0" w:space="0" w:color="auto"/>
                <w:left w:val="none" w:sz="0" w:space="0" w:color="auto"/>
                <w:bottom w:val="none" w:sz="0" w:space="0" w:color="auto"/>
                <w:right w:val="none" w:sz="0" w:space="0" w:color="auto"/>
              </w:divBdr>
            </w:div>
            <w:div w:id="522599680">
              <w:marLeft w:val="0"/>
              <w:marRight w:val="0"/>
              <w:marTop w:val="0"/>
              <w:marBottom w:val="0"/>
              <w:divBdr>
                <w:top w:val="none" w:sz="0" w:space="0" w:color="auto"/>
                <w:left w:val="none" w:sz="0" w:space="0" w:color="auto"/>
                <w:bottom w:val="none" w:sz="0" w:space="0" w:color="auto"/>
                <w:right w:val="none" w:sz="0" w:space="0" w:color="auto"/>
              </w:divBdr>
            </w:div>
          </w:divsChild>
        </w:div>
        <w:div w:id="1473251341">
          <w:marLeft w:val="0"/>
          <w:marRight w:val="0"/>
          <w:marTop w:val="0"/>
          <w:marBottom w:val="0"/>
          <w:divBdr>
            <w:top w:val="none" w:sz="0" w:space="0" w:color="auto"/>
            <w:left w:val="none" w:sz="0" w:space="0" w:color="auto"/>
            <w:bottom w:val="none" w:sz="0" w:space="0" w:color="auto"/>
            <w:right w:val="none" w:sz="0" w:space="0" w:color="auto"/>
          </w:divBdr>
          <w:divsChild>
            <w:div w:id="1030910814">
              <w:marLeft w:val="0"/>
              <w:marRight w:val="0"/>
              <w:marTop w:val="120"/>
              <w:marBottom w:val="0"/>
              <w:divBdr>
                <w:top w:val="none" w:sz="0" w:space="0" w:color="auto"/>
                <w:left w:val="none" w:sz="0" w:space="0" w:color="auto"/>
                <w:bottom w:val="none" w:sz="0" w:space="0" w:color="auto"/>
                <w:right w:val="none" w:sz="0" w:space="0" w:color="auto"/>
              </w:divBdr>
            </w:div>
            <w:div w:id="369383119">
              <w:marLeft w:val="0"/>
              <w:marRight w:val="0"/>
              <w:marTop w:val="0"/>
              <w:marBottom w:val="0"/>
              <w:divBdr>
                <w:top w:val="none" w:sz="0" w:space="0" w:color="auto"/>
                <w:left w:val="none" w:sz="0" w:space="0" w:color="auto"/>
                <w:bottom w:val="none" w:sz="0" w:space="0" w:color="auto"/>
                <w:right w:val="none" w:sz="0" w:space="0" w:color="auto"/>
              </w:divBdr>
            </w:div>
          </w:divsChild>
        </w:div>
        <w:div w:id="958924149">
          <w:marLeft w:val="0"/>
          <w:marRight w:val="0"/>
          <w:marTop w:val="0"/>
          <w:marBottom w:val="0"/>
          <w:divBdr>
            <w:top w:val="none" w:sz="0" w:space="0" w:color="auto"/>
            <w:left w:val="none" w:sz="0" w:space="0" w:color="auto"/>
            <w:bottom w:val="none" w:sz="0" w:space="0" w:color="auto"/>
            <w:right w:val="none" w:sz="0" w:space="0" w:color="auto"/>
          </w:divBdr>
          <w:divsChild>
            <w:div w:id="1621181101">
              <w:marLeft w:val="0"/>
              <w:marRight w:val="0"/>
              <w:marTop w:val="120"/>
              <w:marBottom w:val="0"/>
              <w:divBdr>
                <w:top w:val="none" w:sz="0" w:space="0" w:color="auto"/>
                <w:left w:val="none" w:sz="0" w:space="0" w:color="auto"/>
                <w:bottom w:val="none" w:sz="0" w:space="0" w:color="auto"/>
                <w:right w:val="none" w:sz="0" w:space="0" w:color="auto"/>
              </w:divBdr>
            </w:div>
            <w:div w:id="188305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16722">
      <w:bodyDiv w:val="1"/>
      <w:marLeft w:val="0"/>
      <w:marRight w:val="0"/>
      <w:marTop w:val="0"/>
      <w:marBottom w:val="0"/>
      <w:divBdr>
        <w:top w:val="none" w:sz="0" w:space="0" w:color="auto"/>
        <w:left w:val="none" w:sz="0" w:space="0" w:color="auto"/>
        <w:bottom w:val="none" w:sz="0" w:space="0" w:color="auto"/>
        <w:right w:val="none" w:sz="0" w:space="0" w:color="auto"/>
      </w:divBdr>
      <w:divsChild>
        <w:div w:id="444038419">
          <w:marLeft w:val="0"/>
          <w:marRight w:val="0"/>
          <w:marTop w:val="120"/>
          <w:marBottom w:val="0"/>
          <w:divBdr>
            <w:top w:val="none" w:sz="0" w:space="0" w:color="auto"/>
            <w:left w:val="none" w:sz="0" w:space="0" w:color="auto"/>
            <w:bottom w:val="none" w:sz="0" w:space="0" w:color="auto"/>
            <w:right w:val="none" w:sz="0" w:space="0" w:color="auto"/>
          </w:divBdr>
        </w:div>
        <w:div w:id="1991010784">
          <w:marLeft w:val="0"/>
          <w:marRight w:val="0"/>
          <w:marTop w:val="0"/>
          <w:marBottom w:val="0"/>
          <w:divBdr>
            <w:top w:val="none" w:sz="0" w:space="0" w:color="auto"/>
            <w:left w:val="none" w:sz="0" w:space="0" w:color="auto"/>
            <w:bottom w:val="none" w:sz="0" w:space="0" w:color="auto"/>
            <w:right w:val="none" w:sz="0" w:space="0" w:color="auto"/>
          </w:divBdr>
        </w:div>
      </w:divsChild>
    </w:div>
    <w:div w:id="1775398216">
      <w:bodyDiv w:val="1"/>
      <w:marLeft w:val="0"/>
      <w:marRight w:val="0"/>
      <w:marTop w:val="0"/>
      <w:marBottom w:val="0"/>
      <w:divBdr>
        <w:top w:val="none" w:sz="0" w:space="0" w:color="auto"/>
        <w:left w:val="none" w:sz="0" w:space="0" w:color="auto"/>
        <w:bottom w:val="none" w:sz="0" w:space="0" w:color="auto"/>
        <w:right w:val="none" w:sz="0" w:space="0" w:color="auto"/>
      </w:divBdr>
      <w:divsChild>
        <w:div w:id="1665284274">
          <w:marLeft w:val="0"/>
          <w:marRight w:val="0"/>
          <w:marTop w:val="120"/>
          <w:marBottom w:val="0"/>
          <w:divBdr>
            <w:top w:val="none" w:sz="0" w:space="0" w:color="auto"/>
            <w:left w:val="none" w:sz="0" w:space="0" w:color="auto"/>
            <w:bottom w:val="none" w:sz="0" w:space="0" w:color="auto"/>
            <w:right w:val="none" w:sz="0" w:space="0" w:color="auto"/>
          </w:divBdr>
        </w:div>
        <w:div w:id="744455680">
          <w:marLeft w:val="0"/>
          <w:marRight w:val="0"/>
          <w:marTop w:val="0"/>
          <w:marBottom w:val="0"/>
          <w:divBdr>
            <w:top w:val="none" w:sz="0" w:space="0" w:color="auto"/>
            <w:left w:val="none" w:sz="0" w:space="0" w:color="auto"/>
            <w:bottom w:val="none" w:sz="0" w:space="0" w:color="auto"/>
            <w:right w:val="none" w:sz="0" w:space="0" w:color="auto"/>
          </w:divBdr>
        </w:div>
      </w:divsChild>
    </w:div>
    <w:div w:id="1777484337">
      <w:bodyDiv w:val="1"/>
      <w:marLeft w:val="0"/>
      <w:marRight w:val="0"/>
      <w:marTop w:val="0"/>
      <w:marBottom w:val="0"/>
      <w:divBdr>
        <w:top w:val="none" w:sz="0" w:space="0" w:color="auto"/>
        <w:left w:val="none" w:sz="0" w:space="0" w:color="auto"/>
        <w:bottom w:val="none" w:sz="0" w:space="0" w:color="auto"/>
        <w:right w:val="none" w:sz="0" w:space="0" w:color="auto"/>
      </w:divBdr>
      <w:divsChild>
        <w:div w:id="1494495221">
          <w:marLeft w:val="0"/>
          <w:marRight w:val="0"/>
          <w:marTop w:val="0"/>
          <w:marBottom w:val="0"/>
          <w:divBdr>
            <w:top w:val="none" w:sz="0" w:space="0" w:color="auto"/>
            <w:left w:val="none" w:sz="0" w:space="0" w:color="auto"/>
            <w:bottom w:val="none" w:sz="0" w:space="0" w:color="auto"/>
            <w:right w:val="none" w:sz="0" w:space="0" w:color="auto"/>
          </w:divBdr>
        </w:div>
      </w:divsChild>
    </w:div>
    <w:div w:id="1780754220">
      <w:bodyDiv w:val="1"/>
      <w:marLeft w:val="0"/>
      <w:marRight w:val="0"/>
      <w:marTop w:val="0"/>
      <w:marBottom w:val="0"/>
      <w:divBdr>
        <w:top w:val="none" w:sz="0" w:space="0" w:color="auto"/>
        <w:left w:val="none" w:sz="0" w:space="0" w:color="auto"/>
        <w:bottom w:val="none" w:sz="0" w:space="0" w:color="auto"/>
        <w:right w:val="none" w:sz="0" w:space="0" w:color="auto"/>
      </w:divBdr>
      <w:divsChild>
        <w:div w:id="832650454">
          <w:marLeft w:val="0"/>
          <w:marRight w:val="0"/>
          <w:marTop w:val="120"/>
          <w:marBottom w:val="0"/>
          <w:divBdr>
            <w:top w:val="none" w:sz="0" w:space="0" w:color="auto"/>
            <w:left w:val="none" w:sz="0" w:space="0" w:color="auto"/>
            <w:bottom w:val="none" w:sz="0" w:space="0" w:color="auto"/>
            <w:right w:val="none" w:sz="0" w:space="0" w:color="auto"/>
          </w:divBdr>
        </w:div>
        <w:div w:id="2054452992">
          <w:marLeft w:val="0"/>
          <w:marRight w:val="0"/>
          <w:marTop w:val="0"/>
          <w:marBottom w:val="0"/>
          <w:divBdr>
            <w:top w:val="none" w:sz="0" w:space="0" w:color="auto"/>
            <w:left w:val="none" w:sz="0" w:space="0" w:color="auto"/>
            <w:bottom w:val="none" w:sz="0" w:space="0" w:color="auto"/>
            <w:right w:val="none" w:sz="0" w:space="0" w:color="auto"/>
          </w:divBdr>
        </w:div>
      </w:divsChild>
    </w:div>
    <w:div w:id="1782459129">
      <w:bodyDiv w:val="1"/>
      <w:marLeft w:val="0"/>
      <w:marRight w:val="0"/>
      <w:marTop w:val="0"/>
      <w:marBottom w:val="0"/>
      <w:divBdr>
        <w:top w:val="none" w:sz="0" w:space="0" w:color="auto"/>
        <w:left w:val="none" w:sz="0" w:space="0" w:color="auto"/>
        <w:bottom w:val="none" w:sz="0" w:space="0" w:color="auto"/>
        <w:right w:val="none" w:sz="0" w:space="0" w:color="auto"/>
      </w:divBdr>
      <w:divsChild>
        <w:div w:id="194004950">
          <w:marLeft w:val="0"/>
          <w:marRight w:val="0"/>
          <w:marTop w:val="0"/>
          <w:marBottom w:val="0"/>
          <w:divBdr>
            <w:top w:val="none" w:sz="0" w:space="0" w:color="auto"/>
            <w:left w:val="none" w:sz="0" w:space="0" w:color="auto"/>
            <w:bottom w:val="none" w:sz="0" w:space="0" w:color="auto"/>
            <w:right w:val="none" w:sz="0" w:space="0" w:color="auto"/>
          </w:divBdr>
        </w:div>
      </w:divsChild>
    </w:div>
    <w:div w:id="1784035340">
      <w:bodyDiv w:val="1"/>
      <w:marLeft w:val="0"/>
      <w:marRight w:val="0"/>
      <w:marTop w:val="0"/>
      <w:marBottom w:val="0"/>
      <w:divBdr>
        <w:top w:val="none" w:sz="0" w:space="0" w:color="auto"/>
        <w:left w:val="none" w:sz="0" w:space="0" w:color="auto"/>
        <w:bottom w:val="none" w:sz="0" w:space="0" w:color="auto"/>
        <w:right w:val="none" w:sz="0" w:space="0" w:color="auto"/>
      </w:divBdr>
      <w:divsChild>
        <w:div w:id="1697121717">
          <w:marLeft w:val="0"/>
          <w:marRight w:val="0"/>
          <w:marTop w:val="0"/>
          <w:marBottom w:val="0"/>
          <w:divBdr>
            <w:top w:val="none" w:sz="0" w:space="0" w:color="auto"/>
            <w:left w:val="none" w:sz="0" w:space="0" w:color="auto"/>
            <w:bottom w:val="none" w:sz="0" w:space="0" w:color="auto"/>
            <w:right w:val="none" w:sz="0" w:space="0" w:color="auto"/>
          </w:divBdr>
          <w:divsChild>
            <w:div w:id="1520394239">
              <w:marLeft w:val="0"/>
              <w:marRight w:val="0"/>
              <w:marTop w:val="0"/>
              <w:marBottom w:val="0"/>
              <w:divBdr>
                <w:top w:val="none" w:sz="0" w:space="0" w:color="auto"/>
                <w:left w:val="none" w:sz="0" w:space="0" w:color="auto"/>
                <w:bottom w:val="none" w:sz="0" w:space="0" w:color="auto"/>
                <w:right w:val="none" w:sz="0" w:space="0" w:color="auto"/>
              </w:divBdr>
              <w:divsChild>
                <w:div w:id="101843617">
                  <w:marLeft w:val="0"/>
                  <w:marRight w:val="0"/>
                  <w:marTop w:val="120"/>
                  <w:marBottom w:val="0"/>
                  <w:divBdr>
                    <w:top w:val="none" w:sz="0" w:space="0" w:color="auto"/>
                    <w:left w:val="none" w:sz="0" w:space="0" w:color="auto"/>
                    <w:bottom w:val="none" w:sz="0" w:space="0" w:color="auto"/>
                    <w:right w:val="none" w:sz="0" w:space="0" w:color="auto"/>
                  </w:divBdr>
                </w:div>
                <w:div w:id="1670671610">
                  <w:marLeft w:val="0"/>
                  <w:marRight w:val="0"/>
                  <w:marTop w:val="0"/>
                  <w:marBottom w:val="0"/>
                  <w:divBdr>
                    <w:top w:val="none" w:sz="0" w:space="0" w:color="auto"/>
                    <w:left w:val="none" w:sz="0" w:space="0" w:color="auto"/>
                    <w:bottom w:val="none" w:sz="0" w:space="0" w:color="auto"/>
                    <w:right w:val="none" w:sz="0" w:space="0" w:color="auto"/>
                  </w:divBdr>
                </w:div>
              </w:divsChild>
            </w:div>
            <w:div w:id="1823543720">
              <w:marLeft w:val="0"/>
              <w:marRight w:val="0"/>
              <w:marTop w:val="0"/>
              <w:marBottom w:val="0"/>
              <w:divBdr>
                <w:top w:val="none" w:sz="0" w:space="0" w:color="auto"/>
                <w:left w:val="none" w:sz="0" w:space="0" w:color="auto"/>
                <w:bottom w:val="none" w:sz="0" w:space="0" w:color="auto"/>
                <w:right w:val="none" w:sz="0" w:space="0" w:color="auto"/>
              </w:divBdr>
              <w:divsChild>
                <w:div w:id="1499150011">
                  <w:marLeft w:val="0"/>
                  <w:marRight w:val="0"/>
                  <w:marTop w:val="120"/>
                  <w:marBottom w:val="0"/>
                  <w:divBdr>
                    <w:top w:val="none" w:sz="0" w:space="0" w:color="auto"/>
                    <w:left w:val="none" w:sz="0" w:space="0" w:color="auto"/>
                    <w:bottom w:val="none" w:sz="0" w:space="0" w:color="auto"/>
                    <w:right w:val="none" w:sz="0" w:space="0" w:color="auto"/>
                  </w:divBdr>
                </w:div>
                <w:div w:id="780496743">
                  <w:marLeft w:val="0"/>
                  <w:marRight w:val="0"/>
                  <w:marTop w:val="0"/>
                  <w:marBottom w:val="0"/>
                  <w:divBdr>
                    <w:top w:val="none" w:sz="0" w:space="0" w:color="auto"/>
                    <w:left w:val="none" w:sz="0" w:space="0" w:color="auto"/>
                    <w:bottom w:val="none" w:sz="0" w:space="0" w:color="auto"/>
                    <w:right w:val="none" w:sz="0" w:space="0" w:color="auto"/>
                  </w:divBdr>
                </w:div>
              </w:divsChild>
            </w:div>
            <w:div w:id="316038410">
              <w:marLeft w:val="0"/>
              <w:marRight w:val="0"/>
              <w:marTop w:val="0"/>
              <w:marBottom w:val="0"/>
              <w:divBdr>
                <w:top w:val="none" w:sz="0" w:space="0" w:color="auto"/>
                <w:left w:val="none" w:sz="0" w:space="0" w:color="auto"/>
                <w:bottom w:val="none" w:sz="0" w:space="0" w:color="auto"/>
                <w:right w:val="none" w:sz="0" w:space="0" w:color="auto"/>
              </w:divBdr>
              <w:divsChild>
                <w:div w:id="1759254477">
                  <w:marLeft w:val="0"/>
                  <w:marRight w:val="0"/>
                  <w:marTop w:val="120"/>
                  <w:marBottom w:val="0"/>
                  <w:divBdr>
                    <w:top w:val="none" w:sz="0" w:space="0" w:color="auto"/>
                    <w:left w:val="none" w:sz="0" w:space="0" w:color="auto"/>
                    <w:bottom w:val="none" w:sz="0" w:space="0" w:color="auto"/>
                    <w:right w:val="none" w:sz="0" w:space="0" w:color="auto"/>
                  </w:divBdr>
                </w:div>
                <w:div w:id="46871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967988">
      <w:bodyDiv w:val="1"/>
      <w:marLeft w:val="0"/>
      <w:marRight w:val="0"/>
      <w:marTop w:val="0"/>
      <w:marBottom w:val="0"/>
      <w:divBdr>
        <w:top w:val="none" w:sz="0" w:space="0" w:color="auto"/>
        <w:left w:val="none" w:sz="0" w:space="0" w:color="auto"/>
        <w:bottom w:val="none" w:sz="0" w:space="0" w:color="auto"/>
        <w:right w:val="none" w:sz="0" w:space="0" w:color="auto"/>
      </w:divBdr>
      <w:divsChild>
        <w:div w:id="1326781828">
          <w:marLeft w:val="0"/>
          <w:marRight w:val="0"/>
          <w:marTop w:val="0"/>
          <w:marBottom w:val="0"/>
          <w:divBdr>
            <w:top w:val="none" w:sz="0" w:space="0" w:color="auto"/>
            <w:left w:val="none" w:sz="0" w:space="0" w:color="auto"/>
            <w:bottom w:val="none" w:sz="0" w:space="0" w:color="auto"/>
            <w:right w:val="none" w:sz="0" w:space="0" w:color="auto"/>
          </w:divBdr>
          <w:divsChild>
            <w:div w:id="35693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85431">
      <w:bodyDiv w:val="1"/>
      <w:marLeft w:val="0"/>
      <w:marRight w:val="0"/>
      <w:marTop w:val="0"/>
      <w:marBottom w:val="0"/>
      <w:divBdr>
        <w:top w:val="none" w:sz="0" w:space="0" w:color="auto"/>
        <w:left w:val="none" w:sz="0" w:space="0" w:color="auto"/>
        <w:bottom w:val="none" w:sz="0" w:space="0" w:color="auto"/>
        <w:right w:val="none" w:sz="0" w:space="0" w:color="auto"/>
      </w:divBdr>
      <w:divsChild>
        <w:div w:id="1762876869">
          <w:marLeft w:val="0"/>
          <w:marRight w:val="0"/>
          <w:marTop w:val="0"/>
          <w:marBottom w:val="0"/>
          <w:divBdr>
            <w:top w:val="none" w:sz="0" w:space="0" w:color="auto"/>
            <w:left w:val="none" w:sz="0" w:space="0" w:color="auto"/>
            <w:bottom w:val="none" w:sz="0" w:space="0" w:color="auto"/>
            <w:right w:val="none" w:sz="0" w:space="0" w:color="auto"/>
          </w:divBdr>
          <w:divsChild>
            <w:div w:id="2116896292">
              <w:marLeft w:val="0"/>
              <w:marRight w:val="0"/>
              <w:marTop w:val="0"/>
              <w:marBottom w:val="0"/>
              <w:divBdr>
                <w:top w:val="none" w:sz="0" w:space="0" w:color="auto"/>
                <w:left w:val="none" w:sz="0" w:space="0" w:color="auto"/>
                <w:bottom w:val="none" w:sz="0" w:space="0" w:color="auto"/>
                <w:right w:val="none" w:sz="0" w:space="0" w:color="auto"/>
              </w:divBdr>
              <w:divsChild>
                <w:div w:id="397171238">
                  <w:marLeft w:val="0"/>
                  <w:marRight w:val="0"/>
                  <w:marTop w:val="120"/>
                  <w:marBottom w:val="0"/>
                  <w:divBdr>
                    <w:top w:val="none" w:sz="0" w:space="0" w:color="auto"/>
                    <w:left w:val="none" w:sz="0" w:space="0" w:color="auto"/>
                    <w:bottom w:val="none" w:sz="0" w:space="0" w:color="auto"/>
                    <w:right w:val="none" w:sz="0" w:space="0" w:color="auto"/>
                  </w:divBdr>
                </w:div>
                <w:div w:id="433520706">
                  <w:marLeft w:val="0"/>
                  <w:marRight w:val="0"/>
                  <w:marTop w:val="0"/>
                  <w:marBottom w:val="0"/>
                  <w:divBdr>
                    <w:top w:val="none" w:sz="0" w:space="0" w:color="auto"/>
                    <w:left w:val="none" w:sz="0" w:space="0" w:color="auto"/>
                    <w:bottom w:val="none" w:sz="0" w:space="0" w:color="auto"/>
                    <w:right w:val="none" w:sz="0" w:space="0" w:color="auto"/>
                  </w:divBdr>
                </w:div>
              </w:divsChild>
            </w:div>
            <w:div w:id="2064405306">
              <w:marLeft w:val="0"/>
              <w:marRight w:val="0"/>
              <w:marTop w:val="0"/>
              <w:marBottom w:val="0"/>
              <w:divBdr>
                <w:top w:val="none" w:sz="0" w:space="0" w:color="auto"/>
                <w:left w:val="none" w:sz="0" w:space="0" w:color="auto"/>
                <w:bottom w:val="none" w:sz="0" w:space="0" w:color="auto"/>
                <w:right w:val="none" w:sz="0" w:space="0" w:color="auto"/>
              </w:divBdr>
              <w:divsChild>
                <w:div w:id="29502386">
                  <w:marLeft w:val="0"/>
                  <w:marRight w:val="0"/>
                  <w:marTop w:val="120"/>
                  <w:marBottom w:val="0"/>
                  <w:divBdr>
                    <w:top w:val="none" w:sz="0" w:space="0" w:color="auto"/>
                    <w:left w:val="none" w:sz="0" w:space="0" w:color="auto"/>
                    <w:bottom w:val="none" w:sz="0" w:space="0" w:color="auto"/>
                    <w:right w:val="none" w:sz="0" w:space="0" w:color="auto"/>
                  </w:divBdr>
                </w:div>
                <w:div w:id="171946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5356">
      <w:bodyDiv w:val="1"/>
      <w:marLeft w:val="0"/>
      <w:marRight w:val="0"/>
      <w:marTop w:val="0"/>
      <w:marBottom w:val="0"/>
      <w:divBdr>
        <w:top w:val="none" w:sz="0" w:space="0" w:color="auto"/>
        <w:left w:val="none" w:sz="0" w:space="0" w:color="auto"/>
        <w:bottom w:val="none" w:sz="0" w:space="0" w:color="auto"/>
        <w:right w:val="none" w:sz="0" w:space="0" w:color="auto"/>
      </w:divBdr>
      <w:divsChild>
        <w:div w:id="1376273098">
          <w:marLeft w:val="0"/>
          <w:marRight w:val="0"/>
          <w:marTop w:val="0"/>
          <w:marBottom w:val="0"/>
          <w:divBdr>
            <w:top w:val="none" w:sz="0" w:space="0" w:color="auto"/>
            <w:left w:val="none" w:sz="0" w:space="0" w:color="auto"/>
            <w:bottom w:val="none" w:sz="0" w:space="0" w:color="auto"/>
            <w:right w:val="none" w:sz="0" w:space="0" w:color="auto"/>
          </w:divBdr>
        </w:div>
      </w:divsChild>
    </w:div>
    <w:div w:id="1802574617">
      <w:bodyDiv w:val="1"/>
      <w:marLeft w:val="0"/>
      <w:marRight w:val="0"/>
      <w:marTop w:val="0"/>
      <w:marBottom w:val="0"/>
      <w:divBdr>
        <w:top w:val="none" w:sz="0" w:space="0" w:color="auto"/>
        <w:left w:val="none" w:sz="0" w:space="0" w:color="auto"/>
        <w:bottom w:val="none" w:sz="0" w:space="0" w:color="auto"/>
        <w:right w:val="none" w:sz="0" w:space="0" w:color="auto"/>
      </w:divBdr>
      <w:divsChild>
        <w:div w:id="1458177714">
          <w:marLeft w:val="0"/>
          <w:marRight w:val="0"/>
          <w:marTop w:val="0"/>
          <w:marBottom w:val="0"/>
          <w:divBdr>
            <w:top w:val="none" w:sz="0" w:space="0" w:color="auto"/>
            <w:left w:val="none" w:sz="0" w:space="0" w:color="auto"/>
            <w:bottom w:val="none" w:sz="0" w:space="0" w:color="auto"/>
            <w:right w:val="none" w:sz="0" w:space="0" w:color="auto"/>
          </w:divBdr>
        </w:div>
      </w:divsChild>
    </w:div>
    <w:div w:id="1809780931">
      <w:bodyDiv w:val="1"/>
      <w:marLeft w:val="0"/>
      <w:marRight w:val="0"/>
      <w:marTop w:val="0"/>
      <w:marBottom w:val="0"/>
      <w:divBdr>
        <w:top w:val="none" w:sz="0" w:space="0" w:color="auto"/>
        <w:left w:val="none" w:sz="0" w:space="0" w:color="auto"/>
        <w:bottom w:val="none" w:sz="0" w:space="0" w:color="auto"/>
        <w:right w:val="none" w:sz="0" w:space="0" w:color="auto"/>
      </w:divBdr>
      <w:divsChild>
        <w:div w:id="1211110180">
          <w:marLeft w:val="0"/>
          <w:marRight w:val="0"/>
          <w:marTop w:val="0"/>
          <w:marBottom w:val="0"/>
          <w:divBdr>
            <w:top w:val="none" w:sz="0" w:space="0" w:color="auto"/>
            <w:left w:val="none" w:sz="0" w:space="0" w:color="auto"/>
            <w:bottom w:val="none" w:sz="0" w:space="0" w:color="auto"/>
            <w:right w:val="none" w:sz="0" w:space="0" w:color="auto"/>
          </w:divBdr>
          <w:divsChild>
            <w:div w:id="21061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07384">
      <w:bodyDiv w:val="1"/>
      <w:marLeft w:val="0"/>
      <w:marRight w:val="0"/>
      <w:marTop w:val="0"/>
      <w:marBottom w:val="0"/>
      <w:divBdr>
        <w:top w:val="none" w:sz="0" w:space="0" w:color="auto"/>
        <w:left w:val="none" w:sz="0" w:space="0" w:color="auto"/>
        <w:bottom w:val="none" w:sz="0" w:space="0" w:color="auto"/>
        <w:right w:val="none" w:sz="0" w:space="0" w:color="auto"/>
      </w:divBdr>
      <w:divsChild>
        <w:div w:id="571550515">
          <w:marLeft w:val="0"/>
          <w:marRight w:val="0"/>
          <w:marTop w:val="120"/>
          <w:marBottom w:val="0"/>
          <w:divBdr>
            <w:top w:val="none" w:sz="0" w:space="0" w:color="auto"/>
            <w:left w:val="none" w:sz="0" w:space="0" w:color="auto"/>
            <w:bottom w:val="none" w:sz="0" w:space="0" w:color="auto"/>
            <w:right w:val="none" w:sz="0" w:space="0" w:color="auto"/>
          </w:divBdr>
        </w:div>
        <w:div w:id="1693459671">
          <w:marLeft w:val="0"/>
          <w:marRight w:val="0"/>
          <w:marTop w:val="0"/>
          <w:marBottom w:val="0"/>
          <w:divBdr>
            <w:top w:val="none" w:sz="0" w:space="0" w:color="auto"/>
            <w:left w:val="none" w:sz="0" w:space="0" w:color="auto"/>
            <w:bottom w:val="none" w:sz="0" w:space="0" w:color="auto"/>
            <w:right w:val="none" w:sz="0" w:space="0" w:color="auto"/>
          </w:divBdr>
        </w:div>
      </w:divsChild>
    </w:div>
    <w:div w:id="1817145271">
      <w:bodyDiv w:val="1"/>
      <w:marLeft w:val="0"/>
      <w:marRight w:val="0"/>
      <w:marTop w:val="0"/>
      <w:marBottom w:val="0"/>
      <w:divBdr>
        <w:top w:val="none" w:sz="0" w:space="0" w:color="auto"/>
        <w:left w:val="none" w:sz="0" w:space="0" w:color="auto"/>
        <w:bottom w:val="none" w:sz="0" w:space="0" w:color="auto"/>
        <w:right w:val="none" w:sz="0" w:space="0" w:color="auto"/>
      </w:divBdr>
    </w:div>
    <w:div w:id="1819154427">
      <w:bodyDiv w:val="1"/>
      <w:marLeft w:val="0"/>
      <w:marRight w:val="0"/>
      <w:marTop w:val="0"/>
      <w:marBottom w:val="0"/>
      <w:divBdr>
        <w:top w:val="none" w:sz="0" w:space="0" w:color="auto"/>
        <w:left w:val="none" w:sz="0" w:space="0" w:color="auto"/>
        <w:bottom w:val="none" w:sz="0" w:space="0" w:color="auto"/>
        <w:right w:val="none" w:sz="0" w:space="0" w:color="auto"/>
      </w:divBdr>
      <w:divsChild>
        <w:div w:id="1636328965">
          <w:marLeft w:val="0"/>
          <w:marRight w:val="0"/>
          <w:marTop w:val="0"/>
          <w:marBottom w:val="0"/>
          <w:divBdr>
            <w:top w:val="none" w:sz="0" w:space="0" w:color="auto"/>
            <w:left w:val="none" w:sz="0" w:space="0" w:color="auto"/>
            <w:bottom w:val="none" w:sz="0" w:space="0" w:color="auto"/>
            <w:right w:val="none" w:sz="0" w:space="0" w:color="auto"/>
          </w:divBdr>
        </w:div>
      </w:divsChild>
    </w:div>
    <w:div w:id="1834712360">
      <w:bodyDiv w:val="1"/>
      <w:marLeft w:val="0"/>
      <w:marRight w:val="0"/>
      <w:marTop w:val="0"/>
      <w:marBottom w:val="0"/>
      <w:divBdr>
        <w:top w:val="none" w:sz="0" w:space="0" w:color="auto"/>
        <w:left w:val="none" w:sz="0" w:space="0" w:color="auto"/>
        <w:bottom w:val="none" w:sz="0" w:space="0" w:color="auto"/>
        <w:right w:val="none" w:sz="0" w:space="0" w:color="auto"/>
      </w:divBdr>
      <w:divsChild>
        <w:div w:id="1894390485">
          <w:marLeft w:val="0"/>
          <w:marRight w:val="0"/>
          <w:marTop w:val="0"/>
          <w:marBottom w:val="0"/>
          <w:divBdr>
            <w:top w:val="none" w:sz="0" w:space="0" w:color="auto"/>
            <w:left w:val="none" w:sz="0" w:space="0" w:color="auto"/>
            <w:bottom w:val="none" w:sz="0" w:space="0" w:color="auto"/>
            <w:right w:val="none" w:sz="0" w:space="0" w:color="auto"/>
          </w:divBdr>
          <w:divsChild>
            <w:div w:id="679548525">
              <w:marLeft w:val="0"/>
              <w:marRight w:val="0"/>
              <w:marTop w:val="0"/>
              <w:marBottom w:val="0"/>
              <w:divBdr>
                <w:top w:val="none" w:sz="0" w:space="0" w:color="auto"/>
                <w:left w:val="none" w:sz="0" w:space="0" w:color="auto"/>
                <w:bottom w:val="none" w:sz="0" w:space="0" w:color="auto"/>
                <w:right w:val="none" w:sz="0" w:space="0" w:color="auto"/>
              </w:divBdr>
              <w:divsChild>
                <w:div w:id="812524704">
                  <w:marLeft w:val="0"/>
                  <w:marRight w:val="0"/>
                  <w:marTop w:val="0"/>
                  <w:marBottom w:val="0"/>
                  <w:divBdr>
                    <w:top w:val="none" w:sz="0" w:space="0" w:color="auto"/>
                    <w:left w:val="none" w:sz="0" w:space="0" w:color="auto"/>
                    <w:bottom w:val="none" w:sz="0" w:space="0" w:color="auto"/>
                    <w:right w:val="none" w:sz="0" w:space="0" w:color="auto"/>
                  </w:divBdr>
                  <w:divsChild>
                    <w:div w:id="2044741550">
                      <w:marLeft w:val="0"/>
                      <w:marRight w:val="0"/>
                      <w:marTop w:val="120"/>
                      <w:marBottom w:val="0"/>
                      <w:divBdr>
                        <w:top w:val="none" w:sz="0" w:space="0" w:color="auto"/>
                        <w:left w:val="none" w:sz="0" w:space="0" w:color="auto"/>
                        <w:bottom w:val="none" w:sz="0" w:space="0" w:color="auto"/>
                        <w:right w:val="none" w:sz="0" w:space="0" w:color="auto"/>
                      </w:divBdr>
                    </w:div>
                    <w:div w:id="2122605973">
                      <w:marLeft w:val="0"/>
                      <w:marRight w:val="0"/>
                      <w:marTop w:val="0"/>
                      <w:marBottom w:val="0"/>
                      <w:divBdr>
                        <w:top w:val="none" w:sz="0" w:space="0" w:color="auto"/>
                        <w:left w:val="none" w:sz="0" w:space="0" w:color="auto"/>
                        <w:bottom w:val="none" w:sz="0" w:space="0" w:color="auto"/>
                        <w:right w:val="none" w:sz="0" w:space="0" w:color="auto"/>
                      </w:divBdr>
                    </w:div>
                  </w:divsChild>
                </w:div>
                <w:div w:id="427384316">
                  <w:marLeft w:val="0"/>
                  <w:marRight w:val="0"/>
                  <w:marTop w:val="0"/>
                  <w:marBottom w:val="0"/>
                  <w:divBdr>
                    <w:top w:val="none" w:sz="0" w:space="0" w:color="auto"/>
                    <w:left w:val="none" w:sz="0" w:space="0" w:color="auto"/>
                    <w:bottom w:val="none" w:sz="0" w:space="0" w:color="auto"/>
                    <w:right w:val="none" w:sz="0" w:space="0" w:color="auto"/>
                  </w:divBdr>
                  <w:divsChild>
                    <w:div w:id="459151048">
                      <w:marLeft w:val="0"/>
                      <w:marRight w:val="0"/>
                      <w:marTop w:val="120"/>
                      <w:marBottom w:val="0"/>
                      <w:divBdr>
                        <w:top w:val="none" w:sz="0" w:space="0" w:color="auto"/>
                        <w:left w:val="none" w:sz="0" w:space="0" w:color="auto"/>
                        <w:bottom w:val="none" w:sz="0" w:space="0" w:color="auto"/>
                        <w:right w:val="none" w:sz="0" w:space="0" w:color="auto"/>
                      </w:divBdr>
                    </w:div>
                    <w:div w:id="19556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778837">
      <w:bodyDiv w:val="1"/>
      <w:marLeft w:val="0"/>
      <w:marRight w:val="0"/>
      <w:marTop w:val="0"/>
      <w:marBottom w:val="0"/>
      <w:divBdr>
        <w:top w:val="none" w:sz="0" w:space="0" w:color="auto"/>
        <w:left w:val="none" w:sz="0" w:space="0" w:color="auto"/>
        <w:bottom w:val="none" w:sz="0" w:space="0" w:color="auto"/>
        <w:right w:val="none" w:sz="0" w:space="0" w:color="auto"/>
      </w:divBdr>
      <w:divsChild>
        <w:div w:id="1060858140">
          <w:marLeft w:val="0"/>
          <w:marRight w:val="0"/>
          <w:marTop w:val="0"/>
          <w:marBottom w:val="0"/>
          <w:divBdr>
            <w:top w:val="none" w:sz="0" w:space="0" w:color="auto"/>
            <w:left w:val="none" w:sz="0" w:space="0" w:color="auto"/>
            <w:bottom w:val="none" w:sz="0" w:space="0" w:color="auto"/>
            <w:right w:val="none" w:sz="0" w:space="0" w:color="auto"/>
          </w:divBdr>
        </w:div>
      </w:divsChild>
    </w:div>
    <w:div w:id="1846818042">
      <w:bodyDiv w:val="1"/>
      <w:marLeft w:val="0"/>
      <w:marRight w:val="0"/>
      <w:marTop w:val="0"/>
      <w:marBottom w:val="0"/>
      <w:divBdr>
        <w:top w:val="none" w:sz="0" w:space="0" w:color="auto"/>
        <w:left w:val="none" w:sz="0" w:space="0" w:color="auto"/>
        <w:bottom w:val="none" w:sz="0" w:space="0" w:color="auto"/>
        <w:right w:val="none" w:sz="0" w:space="0" w:color="auto"/>
      </w:divBdr>
      <w:divsChild>
        <w:div w:id="1009454073">
          <w:marLeft w:val="0"/>
          <w:marRight w:val="0"/>
          <w:marTop w:val="0"/>
          <w:marBottom w:val="0"/>
          <w:divBdr>
            <w:top w:val="none" w:sz="0" w:space="0" w:color="auto"/>
            <w:left w:val="none" w:sz="0" w:space="0" w:color="auto"/>
            <w:bottom w:val="none" w:sz="0" w:space="0" w:color="auto"/>
            <w:right w:val="none" w:sz="0" w:space="0" w:color="auto"/>
          </w:divBdr>
          <w:divsChild>
            <w:div w:id="52970215">
              <w:marLeft w:val="0"/>
              <w:marRight w:val="0"/>
              <w:marTop w:val="0"/>
              <w:marBottom w:val="0"/>
              <w:divBdr>
                <w:top w:val="none" w:sz="0" w:space="0" w:color="auto"/>
                <w:left w:val="none" w:sz="0" w:space="0" w:color="auto"/>
                <w:bottom w:val="none" w:sz="0" w:space="0" w:color="auto"/>
                <w:right w:val="none" w:sz="0" w:space="0" w:color="auto"/>
              </w:divBdr>
              <w:divsChild>
                <w:div w:id="233319001">
                  <w:marLeft w:val="0"/>
                  <w:marRight w:val="0"/>
                  <w:marTop w:val="120"/>
                  <w:marBottom w:val="0"/>
                  <w:divBdr>
                    <w:top w:val="none" w:sz="0" w:space="0" w:color="auto"/>
                    <w:left w:val="none" w:sz="0" w:space="0" w:color="auto"/>
                    <w:bottom w:val="none" w:sz="0" w:space="0" w:color="auto"/>
                    <w:right w:val="none" w:sz="0" w:space="0" w:color="auto"/>
                  </w:divBdr>
                </w:div>
                <w:div w:id="957298799">
                  <w:marLeft w:val="0"/>
                  <w:marRight w:val="0"/>
                  <w:marTop w:val="0"/>
                  <w:marBottom w:val="0"/>
                  <w:divBdr>
                    <w:top w:val="none" w:sz="0" w:space="0" w:color="auto"/>
                    <w:left w:val="none" w:sz="0" w:space="0" w:color="auto"/>
                    <w:bottom w:val="none" w:sz="0" w:space="0" w:color="auto"/>
                    <w:right w:val="none" w:sz="0" w:space="0" w:color="auto"/>
                  </w:divBdr>
                </w:div>
              </w:divsChild>
            </w:div>
            <w:div w:id="1727869846">
              <w:marLeft w:val="0"/>
              <w:marRight w:val="0"/>
              <w:marTop w:val="0"/>
              <w:marBottom w:val="0"/>
              <w:divBdr>
                <w:top w:val="none" w:sz="0" w:space="0" w:color="auto"/>
                <w:left w:val="none" w:sz="0" w:space="0" w:color="auto"/>
                <w:bottom w:val="none" w:sz="0" w:space="0" w:color="auto"/>
                <w:right w:val="none" w:sz="0" w:space="0" w:color="auto"/>
              </w:divBdr>
              <w:divsChild>
                <w:div w:id="987514160">
                  <w:marLeft w:val="0"/>
                  <w:marRight w:val="0"/>
                  <w:marTop w:val="120"/>
                  <w:marBottom w:val="0"/>
                  <w:divBdr>
                    <w:top w:val="none" w:sz="0" w:space="0" w:color="auto"/>
                    <w:left w:val="none" w:sz="0" w:space="0" w:color="auto"/>
                    <w:bottom w:val="none" w:sz="0" w:space="0" w:color="auto"/>
                    <w:right w:val="none" w:sz="0" w:space="0" w:color="auto"/>
                  </w:divBdr>
                </w:div>
                <w:div w:id="1483353220">
                  <w:marLeft w:val="0"/>
                  <w:marRight w:val="0"/>
                  <w:marTop w:val="0"/>
                  <w:marBottom w:val="0"/>
                  <w:divBdr>
                    <w:top w:val="none" w:sz="0" w:space="0" w:color="auto"/>
                    <w:left w:val="none" w:sz="0" w:space="0" w:color="auto"/>
                    <w:bottom w:val="none" w:sz="0" w:space="0" w:color="auto"/>
                    <w:right w:val="none" w:sz="0" w:space="0" w:color="auto"/>
                  </w:divBdr>
                </w:div>
              </w:divsChild>
            </w:div>
            <w:div w:id="533351382">
              <w:marLeft w:val="0"/>
              <w:marRight w:val="0"/>
              <w:marTop w:val="0"/>
              <w:marBottom w:val="0"/>
              <w:divBdr>
                <w:top w:val="none" w:sz="0" w:space="0" w:color="auto"/>
                <w:left w:val="none" w:sz="0" w:space="0" w:color="auto"/>
                <w:bottom w:val="none" w:sz="0" w:space="0" w:color="auto"/>
                <w:right w:val="none" w:sz="0" w:space="0" w:color="auto"/>
              </w:divBdr>
              <w:divsChild>
                <w:div w:id="453521865">
                  <w:marLeft w:val="0"/>
                  <w:marRight w:val="0"/>
                  <w:marTop w:val="120"/>
                  <w:marBottom w:val="0"/>
                  <w:divBdr>
                    <w:top w:val="none" w:sz="0" w:space="0" w:color="auto"/>
                    <w:left w:val="none" w:sz="0" w:space="0" w:color="auto"/>
                    <w:bottom w:val="none" w:sz="0" w:space="0" w:color="auto"/>
                    <w:right w:val="none" w:sz="0" w:space="0" w:color="auto"/>
                  </w:divBdr>
                </w:div>
                <w:div w:id="206142106">
                  <w:marLeft w:val="0"/>
                  <w:marRight w:val="0"/>
                  <w:marTop w:val="0"/>
                  <w:marBottom w:val="0"/>
                  <w:divBdr>
                    <w:top w:val="none" w:sz="0" w:space="0" w:color="auto"/>
                    <w:left w:val="none" w:sz="0" w:space="0" w:color="auto"/>
                    <w:bottom w:val="none" w:sz="0" w:space="0" w:color="auto"/>
                    <w:right w:val="none" w:sz="0" w:space="0" w:color="auto"/>
                  </w:divBdr>
                </w:div>
              </w:divsChild>
            </w:div>
            <w:div w:id="637954988">
              <w:marLeft w:val="0"/>
              <w:marRight w:val="0"/>
              <w:marTop w:val="0"/>
              <w:marBottom w:val="0"/>
              <w:divBdr>
                <w:top w:val="none" w:sz="0" w:space="0" w:color="auto"/>
                <w:left w:val="none" w:sz="0" w:space="0" w:color="auto"/>
                <w:bottom w:val="none" w:sz="0" w:space="0" w:color="auto"/>
                <w:right w:val="none" w:sz="0" w:space="0" w:color="auto"/>
              </w:divBdr>
              <w:divsChild>
                <w:div w:id="1663198515">
                  <w:marLeft w:val="0"/>
                  <w:marRight w:val="0"/>
                  <w:marTop w:val="120"/>
                  <w:marBottom w:val="0"/>
                  <w:divBdr>
                    <w:top w:val="none" w:sz="0" w:space="0" w:color="auto"/>
                    <w:left w:val="none" w:sz="0" w:space="0" w:color="auto"/>
                    <w:bottom w:val="none" w:sz="0" w:space="0" w:color="auto"/>
                    <w:right w:val="none" w:sz="0" w:space="0" w:color="auto"/>
                  </w:divBdr>
                </w:div>
                <w:div w:id="1429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84666">
      <w:bodyDiv w:val="1"/>
      <w:marLeft w:val="0"/>
      <w:marRight w:val="0"/>
      <w:marTop w:val="0"/>
      <w:marBottom w:val="0"/>
      <w:divBdr>
        <w:top w:val="none" w:sz="0" w:space="0" w:color="auto"/>
        <w:left w:val="none" w:sz="0" w:space="0" w:color="auto"/>
        <w:bottom w:val="none" w:sz="0" w:space="0" w:color="auto"/>
        <w:right w:val="none" w:sz="0" w:space="0" w:color="auto"/>
      </w:divBdr>
      <w:divsChild>
        <w:div w:id="561252668">
          <w:marLeft w:val="0"/>
          <w:marRight w:val="0"/>
          <w:marTop w:val="120"/>
          <w:marBottom w:val="0"/>
          <w:divBdr>
            <w:top w:val="none" w:sz="0" w:space="0" w:color="auto"/>
            <w:left w:val="none" w:sz="0" w:space="0" w:color="auto"/>
            <w:bottom w:val="none" w:sz="0" w:space="0" w:color="auto"/>
            <w:right w:val="none" w:sz="0" w:space="0" w:color="auto"/>
          </w:divBdr>
        </w:div>
        <w:div w:id="1645816461">
          <w:marLeft w:val="0"/>
          <w:marRight w:val="0"/>
          <w:marTop w:val="0"/>
          <w:marBottom w:val="0"/>
          <w:divBdr>
            <w:top w:val="none" w:sz="0" w:space="0" w:color="auto"/>
            <w:left w:val="none" w:sz="0" w:space="0" w:color="auto"/>
            <w:bottom w:val="none" w:sz="0" w:space="0" w:color="auto"/>
            <w:right w:val="none" w:sz="0" w:space="0" w:color="auto"/>
          </w:divBdr>
          <w:divsChild>
            <w:div w:id="1390615747">
              <w:marLeft w:val="0"/>
              <w:marRight w:val="0"/>
              <w:marTop w:val="0"/>
              <w:marBottom w:val="0"/>
              <w:divBdr>
                <w:top w:val="none" w:sz="0" w:space="0" w:color="auto"/>
                <w:left w:val="none" w:sz="0" w:space="0" w:color="auto"/>
                <w:bottom w:val="none" w:sz="0" w:space="0" w:color="auto"/>
                <w:right w:val="none" w:sz="0" w:space="0" w:color="auto"/>
              </w:divBdr>
              <w:divsChild>
                <w:div w:id="1249266352">
                  <w:marLeft w:val="0"/>
                  <w:marRight w:val="0"/>
                  <w:marTop w:val="120"/>
                  <w:marBottom w:val="0"/>
                  <w:divBdr>
                    <w:top w:val="none" w:sz="0" w:space="0" w:color="auto"/>
                    <w:left w:val="none" w:sz="0" w:space="0" w:color="auto"/>
                    <w:bottom w:val="none" w:sz="0" w:space="0" w:color="auto"/>
                    <w:right w:val="none" w:sz="0" w:space="0" w:color="auto"/>
                  </w:divBdr>
                </w:div>
                <w:div w:id="1298300452">
                  <w:marLeft w:val="0"/>
                  <w:marRight w:val="0"/>
                  <w:marTop w:val="0"/>
                  <w:marBottom w:val="0"/>
                  <w:divBdr>
                    <w:top w:val="none" w:sz="0" w:space="0" w:color="auto"/>
                    <w:left w:val="none" w:sz="0" w:space="0" w:color="auto"/>
                    <w:bottom w:val="none" w:sz="0" w:space="0" w:color="auto"/>
                    <w:right w:val="none" w:sz="0" w:space="0" w:color="auto"/>
                  </w:divBdr>
                </w:div>
              </w:divsChild>
            </w:div>
            <w:div w:id="1528761844">
              <w:marLeft w:val="0"/>
              <w:marRight w:val="0"/>
              <w:marTop w:val="0"/>
              <w:marBottom w:val="0"/>
              <w:divBdr>
                <w:top w:val="none" w:sz="0" w:space="0" w:color="auto"/>
                <w:left w:val="none" w:sz="0" w:space="0" w:color="auto"/>
                <w:bottom w:val="none" w:sz="0" w:space="0" w:color="auto"/>
                <w:right w:val="none" w:sz="0" w:space="0" w:color="auto"/>
              </w:divBdr>
              <w:divsChild>
                <w:div w:id="2117826060">
                  <w:marLeft w:val="0"/>
                  <w:marRight w:val="0"/>
                  <w:marTop w:val="120"/>
                  <w:marBottom w:val="0"/>
                  <w:divBdr>
                    <w:top w:val="none" w:sz="0" w:space="0" w:color="auto"/>
                    <w:left w:val="none" w:sz="0" w:space="0" w:color="auto"/>
                    <w:bottom w:val="none" w:sz="0" w:space="0" w:color="auto"/>
                    <w:right w:val="none" w:sz="0" w:space="0" w:color="auto"/>
                  </w:divBdr>
                </w:div>
                <w:div w:id="133569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437620">
      <w:bodyDiv w:val="1"/>
      <w:marLeft w:val="0"/>
      <w:marRight w:val="0"/>
      <w:marTop w:val="0"/>
      <w:marBottom w:val="0"/>
      <w:divBdr>
        <w:top w:val="none" w:sz="0" w:space="0" w:color="auto"/>
        <w:left w:val="none" w:sz="0" w:space="0" w:color="auto"/>
        <w:bottom w:val="none" w:sz="0" w:space="0" w:color="auto"/>
        <w:right w:val="none" w:sz="0" w:space="0" w:color="auto"/>
      </w:divBdr>
      <w:divsChild>
        <w:div w:id="1439637836">
          <w:marLeft w:val="0"/>
          <w:marRight w:val="0"/>
          <w:marTop w:val="0"/>
          <w:marBottom w:val="0"/>
          <w:divBdr>
            <w:top w:val="none" w:sz="0" w:space="0" w:color="auto"/>
            <w:left w:val="none" w:sz="0" w:space="0" w:color="auto"/>
            <w:bottom w:val="none" w:sz="0" w:space="0" w:color="auto"/>
            <w:right w:val="none" w:sz="0" w:space="0" w:color="auto"/>
          </w:divBdr>
          <w:divsChild>
            <w:div w:id="1524322265">
              <w:marLeft w:val="0"/>
              <w:marRight w:val="0"/>
              <w:marTop w:val="0"/>
              <w:marBottom w:val="0"/>
              <w:divBdr>
                <w:top w:val="none" w:sz="0" w:space="0" w:color="auto"/>
                <w:left w:val="none" w:sz="0" w:space="0" w:color="auto"/>
                <w:bottom w:val="none" w:sz="0" w:space="0" w:color="auto"/>
                <w:right w:val="none" w:sz="0" w:space="0" w:color="auto"/>
              </w:divBdr>
              <w:divsChild>
                <w:div w:id="1748918264">
                  <w:marLeft w:val="0"/>
                  <w:marRight w:val="0"/>
                  <w:marTop w:val="120"/>
                  <w:marBottom w:val="0"/>
                  <w:divBdr>
                    <w:top w:val="none" w:sz="0" w:space="0" w:color="auto"/>
                    <w:left w:val="none" w:sz="0" w:space="0" w:color="auto"/>
                    <w:bottom w:val="none" w:sz="0" w:space="0" w:color="auto"/>
                    <w:right w:val="none" w:sz="0" w:space="0" w:color="auto"/>
                  </w:divBdr>
                </w:div>
                <w:div w:id="1276209171">
                  <w:marLeft w:val="0"/>
                  <w:marRight w:val="0"/>
                  <w:marTop w:val="0"/>
                  <w:marBottom w:val="0"/>
                  <w:divBdr>
                    <w:top w:val="none" w:sz="0" w:space="0" w:color="auto"/>
                    <w:left w:val="none" w:sz="0" w:space="0" w:color="auto"/>
                    <w:bottom w:val="none" w:sz="0" w:space="0" w:color="auto"/>
                    <w:right w:val="none" w:sz="0" w:space="0" w:color="auto"/>
                  </w:divBdr>
                </w:div>
              </w:divsChild>
            </w:div>
            <w:div w:id="1705598891">
              <w:marLeft w:val="0"/>
              <w:marRight w:val="0"/>
              <w:marTop w:val="0"/>
              <w:marBottom w:val="0"/>
              <w:divBdr>
                <w:top w:val="none" w:sz="0" w:space="0" w:color="auto"/>
                <w:left w:val="none" w:sz="0" w:space="0" w:color="auto"/>
                <w:bottom w:val="none" w:sz="0" w:space="0" w:color="auto"/>
                <w:right w:val="none" w:sz="0" w:space="0" w:color="auto"/>
              </w:divBdr>
              <w:divsChild>
                <w:div w:id="1743528432">
                  <w:marLeft w:val="0"/>
                  <w:marRight w:val="0"/>
                  <w:marTop w:val="120"/>
                  <w:marBottom w:val="0"/>
                  <w:divBdr>
                    <w:top w:val="none" w:sz="0" w:space="0" w:color="auto"/>
                    <w:left w:val="none" w:sz="0" w:space="0" w:color="auto"/>
                    <w:bottom w:val="none" w:sz="0" w:space="0" w:color="auto"/>
                    <w:right w:val="none" w:sz="0" w:space="0" w:color="auto"/>
                  </w:divBdr>
                </w:div>
                <w:div w:id="16286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38348">
      <w:bodyDiv w:val="1"/>
      <w:marLeft w:val="0"/>
      <w:marRight w:val="0"/>
      <w:marTop w:val="0"/>
      <w:marBottom w:val="0"/>
      <w:divBdr>
        <w:top w:val="none" w:sz="0" w:space="0" w:color="auto"/>
        <w:left w:val="none" w:sz="0" w:space="0" w:color="auto"/>
        <w:bottom w:val="none" w:sz="0" w:space="0" w:color="auto"/>
        <w:right w:val="none" w:sz="0" w:space="0" w:color="auto"/>
      </w:divBdr>
      <w:divsChild>
        <w:div w:id="678312763">
          <w:marLeft w:val="0"/>
          <w:marRight w:val="0"/>
          <w:marTop w:val="0"/>
          <w:marBottom w:val="0"/>
          <w:divBdr>
            <w:top w:val="none" w:sz="0" w:space="0" w:color="auto"/>
            <w:left w:val="none" w:sz="0" w:space="0" w:color="auto"/>
            <w:bottom w:val="none" w:sz="0" w:space="0" w:color="auto"/>
            <w:right w:val="none" w:sz="0" w:space="0" w:color="auto"/>
          </w:divBdr>
        </w:div>
      </w:divsChild>
    </w:div>
    <w:div w:id="1871066217">
      <w:bodyDiv w:val="1"/>
      <w:marLeft w:val="0"/>
      <w:marRight w:val="0"/>
      <w:marTop w:val="0"/>
      <w:marBottom w:val="0"/>
      <w:divBdr>
        <w:top w:val="none" w:sz="0" w:space="0" w:color="auto"/>
        <w:left w:val="none" w:sz="0" w:space="0" w:color="auto"/>
        <w:bottom w:val="none" w:sz="0" w:space="0" w:color="auto"/>
        <w:right w:val="none" w:sz="0" w:space="0" w:color="auto"/>
      </w:divBdr>
      <w:divsChild>
        <w:div w:id="1371220873">
          <w:marLeft w:val="0"/>
          <w:marRight w:val="0"/>
          <w:marTop w:val="0"/>
          <w:marBottom w:val="0"/>
          <w:divBdr>
            <w:top w:val="none" w:sz="0" w:space="0" w:color="auto"/>
            <w:left w:val="none" w:sz="0" w:space="0" w:color="auto"/>
            <w:bottom w:val="none" w:sz="0" w:space="0" w:color="auto"/>
            <w:right w:val="none" w:sz="0" w:space="0" w:color="auto"/>
          </w:divBdr>
          <w:divsChild>
            <w:div w:id="484903322">
              <w:marLeft w:val="0"/>
              <w:marRight w:val="0"/>
              <w:marTop w:val="0"/>
              <w:marBottom w:val="0"/>
              <w:divBdr>
                <w:top w:val="none" w:sz="0" w:space="0" w:color="auto"/>
                <w:left w:val="none" w:sz="0" w:space="0" w:color="auto"/>
                <w:bottom w:val="none" w:sz="0" w:space="0" w:color="auto"/>
                <w:right w:val="none" w:sz="0" w:space="0" w:color="auto"/>
              </w:divBdr>
              <w:divsChild>
                <w:div w:id="1343974238">
                  <w:marLeft w:val="0"/>
                  <w:marRight w:val="0"/>
                  <w:marTop w:val="0"/>
                  <w:marBottom w:val="0"/>
                  <w:divBdr>
                    <w:top w:val="none" w:sz="0" w:space="0" w:color="auto"/>
                    <w:left w:val="none" w:sz="0" w:space="0" w:color="auto"/>
                    <w:bottom w:val="none" w:sz="0" w:space="0" w:color="auto"/>
                    <w:right w:val="none" w:sz="0" w:space="0" w:color="auto"/>
                  </w:divBdr>
                  <w:divsChild>
                    <w:div w:id="120419881">
                      <w:marLeft w:val="0"/>
                      <w:marRight w:val="0"/>
                      <w:marTop w:val="120"/>
                      <w:marBottom w:val="0"/>
                      <w:divBdr>
                        <w:top w:val="none" w:sz="0" w:space="0" w:color="auto"/>
                        <w:left w:val="none" w:sz="0" w:space="0" w:color="auto"/>
                        <w:bottom w:val="none" w:sz="0" w:space="0" w:color="auto"/>
                        <w:right w:val="none" w:sz="0" w:space="0" w:color="auto"/>
                      </w:divBdr>
                    </w:div>
                    <w:div w:id="577518028">
                      <w:marLeft w:val="0"/>
                      <w:marRight w:val="0"/>
                      <w:marTop w:val="0"/>
                      <w:marBottom w:val="0"/>
                      <w:divBdr>
                        <w:top w:val="none" w:sz="0" w:space="0" w:color="auto"/>
                        <w:left w:val="none" w:sz="0" w:space="0" w:color="auto"/>
                        <w:bottom w:val="none" w:sz="0" w:space="0" w:color="auto"/>
                        <w:right w:val="none" w:sz="0" w:space="0" w:color="auto"/>
                      </w:divBdr>
                    </w:div>
                  </w:divsChild>
                </w:div>
                <w:div w:id="39672653">
                  <w:marLeft w:val="0"/>
                  <w:marRight w:val="0"/>
                  <w:marTop w:val="0"/>
                  <w:marBottom w:val="0"/>
                  <w:divBdr>
                    <w:top w:val="none" w:sz="0" w:space="0" w:color="auto"/>
                    <w:left w:val="none" w:sz="0" w:space="0" w:color="auto"/>
                    <w:bottom w:val="none" w:sz="0" w:space="0" w:color="auto"/>
                    <w:right w:val="none" w:sz="0" w:space="0" w:color="auto"/>
                  </w:divBdr>
                  <w:divsChild>
                    <w:div w:id="545798939">
                      <w:marLeft w:val="0"/>
                      <w:marRight w:val="0"/>
                      <w:marTop w:val="120"/>
                      <w:marBottom w:val="0"/>
                      <w:divBdr>
                        <w:top w:val="none" w:sz="0" w:space="0" w:color="auto"/>
                        <w:left w:val="none" w:sz="0" w:space="0" w:color="auto"/>
                        <w:bottom w:val="none" w:sz="0" w:space="0" w:color="auto"/>
                        <w:right w:val="none" w:sz="0" w:space="0" w:color="auto"/>
                      </w:divBdr>
                    </w:div>
                    <w:div w:id="509950360">
                      <w:marLeft w:val="0"/>
                      <w:marRight w:val="0"/>
                      <w:marTop w:val="0"/>
                      <w:marBottom w:val="0"/>
                      <w:divBdr>
                        <w:top w:val="none" w:sz="0" w:space="0" w:color="auto"/>
                        <w:left w:val="none" w:sz="0" w:space="0" w:color="auto"/>
                        <w:bottom w:val="none" w:sz="0" w:space="0" w:color="auto"/>
                        <w:right w:val="none" w:sz="0" w:space="0" w:color="auto"/>
                      </w:divBdr>
                    </w:div>
                  </w:divsChild>
                </w:div>
                <w:div w:id="1508010291">
                  <w:marLeft w:val="0"/>
                  <w:marRight w:val="0"/>
                  <w:marTop w:val="0"/>
                  <w:marBottom w:val="0"/>
                  <w:divBdr>
                    <w:top w:val="none" w:sz="0" w:space="0" w:color="auto"/>
                    <w:left w:val="none" w:sz="0" w:space="0" w:color="auto"/>
                    <w:bottom w:val="none" w:sz="0" w:space="0" w:color="auto"/>
                    <w:right w:val="none" w:sz="0" w:space="0" w:color="auto"/>
                  </w:divBdr>
                  <w:divsChild>
                    <w:div w:id="875393885">
                      <w:marLeft w:val="0"/>
                      <w:marRight w:val="0"/>
                      <w:marTop w:val="120"/>
                      <w:marBottom w:val="0"/>
                      <w:divBdr>
                        <w:top w:val="none" w:sz="0" w:space="0" w:color="auto"/>
                        <w:left w:val="none" w:sz="0" w:space="0" w:color="auto"/>
                        <w:bottom w:val="none" w:sz="0" w:space="0" w:color="auto"/>
                        <w:right w:val="none" w:sz="0" w:space="0" w:color="auto"/>
                      </w:divBdr>
                    </w:div>
                    <w:div w:id="1750035863">
                      <w:marLeft w:val="0"/>
                      <w:marRight w:val="0"/>
                      <w:marTop w:val="0"/>
                      <w:marBottom w:val="0"/>
                      <w:divBdr>
                        <w:top w:val="none" w:sz="0" w:space="0" w:color="auto"/>
                        <w:left w:val="none" w:sz="0" w:space="0" w:color="auto"/>
                        <w:bottom w:val="none" w:sz="0" w:space="0" w:color="auto"/>
                        <w:right w:val="none" w:sz="0" w:space="0" w:color="auto"/>
                      </w:divBdr>
                    </w:div>
                  </w:divsChild>
                </w:div>
                <w:div w:id="1802654350">
                  <w:marLeft w:val="0"/>
                  <w:marRight w:val="0"/>
                  <w:marTop w:val="0"/>
                  <w:marBottom w:val="0"/>
                  <w:divBdr>
                    <w:top w:val="none" w:sz="0" w:space="0" w:color="auto"/>
                    <w:left w:val="none" w:sz="0" w:space="0" w:color="auto"/>
                    <w:bottom w:val="none" w:sz="0" w:space="0" w:color="auto"/>
                    <w:right w:val="none" w:sz="0" w:space="0" w:color="auto"/>
                  </w:divBdr>
                  <w:divsChild>
                    <w:div w:id="1754007999">
                      <w:marLeft w:val="0"/>
                      <w:marRight w:val="0"/>
                      <w:marTop w:val="120"/>
                      <w:marBottom w:val="0"/>
                      <w:divBdr>
                        <w:top w:val="none" w:sz="0" w:space="0" w:color="auto"/>
                        <w:left w:val="none" w:sz="0" w:space="0" w:color="auto"/>
                        <w:bottom w:val="none" w:sz="0" w:space="0" w:color="auto"/>
                        <w:right w:val="none" w:sz="0" w:space="0" w:color="auto"/>
                      </w:divBdr>
                    </w:div>
                    <w:div w:id="1593855024">
                      <w:marLeft w:val="0"/>
                      <w:marRight w:val="0"/>
                      <w:marTop w:val="0"/>
                      <w:marBottom w:val="0"/>
                      <w:divBdr>
                        <w:top w:val="none" w:sz="0" w:space="0" w:color="auto"/>
                        <w:left w:val="none" w:sz="0" w:space="0" w:color="auto"/>
                        <w:bottom w:val="none" w:sz="0" w:space="0" w:color="auto"/>
                        <w:right w:val="none" w:sz="0" w:space="0" w:color="auto"/>
                      </w:divBdr>
                    </w:div>
                  </w:divsChild>
                </w:div>
                <w:div w:id="841815464">
                  <w:marLeft w:val="0"/>
                  <w:marRight w:val="0"/>
                  <w:marTop w:val="0"/>
                  <w:marBottom w:val="0"/>
                  <w:divBdr>
                    <w:top w:val="none" w:sz="0" w:space="0" w:color="auto"/>
                    <w:left w:val="none" w:sz="0" w:space="0" w:color="auto"/>
                    <w:bottom w:val="none" w:sz="0" w:space="0" w:color="auto"/>
                    <w:right w:val="none" w:sz="0" w:space="0" w:color="auto"/>
                  </w:divBdr>
                  <w:divsChild>
                    <w:div w:id="1161314761">
                      <w:marLeft w:val="0"/>
                      <w:marRight w:val="0"/>
                      <w:marTop w:val="120"/>
                      <w:marBottom w:val="0"/>
                      <w:divBdr>
                        <w:top w:val="none" w:sz="0" w:space="0" w:color="auto"/>
                        <w:left w:val="none" w:sz="0" w:space="0" w:color="auto"/>
                        <w:bottom w:val="none" w:sz="0" w:space="0" w:color="auto"/>
                        <w:right w:val="none" w:sz="0" w:space="0" w:color="auto"/>
                      </w:divBdr>
                    </w:div>
                    <w:div w:id="1430004606">
                      <w:marLeft w:val="0"/>
                      <w:marRight w:val="0"/>
                      <w:marTop w:val="0"/>
                      <w:marBottom w:val="0"/>
                      <w:divBdr>
                        <w:top w:val="none" w:sz="0" w:space="0" w:color="auto"/>
                        <w:left w:val="none" w:sz="0" w:space="0" w:color="auto"/>
                        <w:bottom w:val="none" w:sz="0" w:space="0" w:color="auto"/>
                        <w:right w:val="none" w:sz="0" w:space="0" w:color="auto"/>
                      </w:divBdr>
                    </w:div>
                  </w:divsChild>
                </w:div>
                <w:div w:id="1136023958">
                  <w:marLeft w:val="0"/>
                  <w:marRight w:val="0"/>
                  <w:marTop w:val="0"/>
                  <w:marBottom w:val="0"/>
                  <w:divBdr>
                    <w:top w:val="none" w:sz="0" w:space="0" w:color="auto"/>
                    <w:left w:val="none" w:sz="0" w:space="0" w:color="auto"/>
                    <w:bottom w:val="none" w:sz="0" w:space="0" w:color="auto"/>
                    <w:right w:val="none" w:sz="0" w:space="0" w:color="auto"/>
                  </w:divBdr>
                  <w:divsChild>
                    <w:div w:id="1705977291">
                      <w:marLeft w:val="0"/>
                      <w:marRight w:val="0"/>
                      <w:marTop w:val="120"/>
                      <w:marBottom w:val="0"/>
                      <w:divBdr>
                        <w:top w:val="none" w:sz="0" w:space="0" w:color="auto"/>
                        <w:left w:val="none" w:sz="0" w:space="0" w:color="auto"/>
                        <w:bottom w:val="none" w:sz="0" w:space="0" w:color="auto"/>
                        <w:right w:val="none" w:sz="0" w:space="0" w:color="auto"/>
                      </w:divBdr>
                    </w:div>
                    <w:div w:id="43529825">
                      <w:marLeft w:val="0"/>
                      <w:marRight w:val="0"/>
                      <w:marTop w:val="0"/>
                      <w:marBottom w:val="0"/>
                      <w:divBdr>
                        <w:top w:val="none" w:sz="0" w:space="0" w:color="auto"/>
                        <w:left w:val="none" w:sz="0" w:space="0" w:color="auto"/>
                        <w:bottom w:val="none" w:sz="0" w:space="0" w:color="auto"/>
                        <w:right w:val="none" w:sz="0" w:space="0" w:color="auto"/>
                      </w:divBdr>
                    </w:div>
                  </w:divsChild>
                </w:div>
                <w:div w:id="1641962798">
                  <w:marLeft w:val="0"/>
                  <w:marRight w:val="0"/>
                  <w:marTop w:val="0"/>
                  <w:marBottom w:val="0"/>
                  <w:divBdr>
                    <w:top w:val="none" w:sz="0" w:space="0" w:color="auto"/>
                    <w:left w:val="none" w:sz="0" w:space="0" w:color="auto"/>
                    <w:bottom w:val="none" w:sz="0" w:space="0" w:color="auto"/>
                    <w:right w:val="none" w:sz="0" w:space="0" w:color="auto"/>
                  </w:divBdr>
                  <w:divsChild>
                    <w:div w:id="1746874832">
                      <w:marLeft w:val="0"/>
                      <w:marRight w:val="0"/>
                      <w:marTop w:val="120"/>
                      <w:marBottom w:val="0"/>
                      <w:divBdr>
                        <w:top w:val="none" w:sz="0" w:space="0" w:color="auto"/>
                        <w:left w:val="none" w:sz="0" w:space="0" w:color="auto"/>
                        <w:bottom w:val="none" w:sz="0" w:space="0" w:color="auto"/>
                        <w:right w:val="none" w:sz="0" w:space="0" w:color="auto"/>
                      </w:divBdr>
                    </w:div>
                    <w:div w:id="160387454">
                      <w:marLeft w:val="0"/>
                      <w:marRight w:val="0"/>
                      <w:marTop w:val="0"/>
                      <w:marBottom w:val="0"/>
                      <w:divBdr>
                        <w:top w:val="none" w:sz="0" w:space="0" w:color="auto"/>
                        <w:left w:val="none" w:sz="0" w:space="0" w:color="auto"/>
                        <w:bottom w:val="none" w:sz="0" w:space="0" w:color="auto"/>
                        <w:right w:val="none" w:sz="0" w:space="0" w:color="auto"/>
                      </w:divBdr>
                    </w:div>
                  </w:divsChild>
                </w:div>
                <w:div w:id="252590140">
                  <w:marLeft w:val="0"/>
                  <w:marRight w:val="0"/>
                  <w:marTop w:val="0"/>
                  <w:marBottom w:val="0"/>
                  <w:divBdr>
                    <w:top w:val="none" w:sz="0" w:space="0" w:color="auto"/>
                    <w:left w:val="none" w:sz="0" w:space="0" w:color="auto"/>
                    <w:bottom w:val="none" w:sz="0" w:space="0" w:color="auto"/>
                    <w:right w:val="none" w:sz="0" w:space="0" w:color="auto"/>
                  </w:divBdr>
                  <w:divsChild>
                    <w:div w:id="1181627275">
                      <w:marLeft w:val="0"/>
                      <w:marRight w:val="0"/>
                      <w:marTop w:val="120"/>
                      <w:marBottom w:val="0"/>
                      <w:divBdr>
                        <w:top w:val="none" w:sz="0" w:space="0" w:color="auto"/>
                        <w:left w:val="none" w:sz="0" w:space="0" w:color="auto"/>
                        <w:bottom w:val="none" w:sz="0" w:space="0" w:color="auto"/>
                        <w:right w:val="none" w:sz="0" w:space="0" w:color="auto"/>
                      </w:divBdr>
                    </w:div>
                    <w:div w:id="2029719894">
                      <w:marLeft w:val="0"/>
                      <w:marRight w:val="0"/>
                      <w:marTop w:val="0"/>
                      <w:marBottom w:val="0"/>
                      <w:divBdr>
                        <w:top w:val="none" w:sz="0" w:space="0" w:color="auto"/>
                        <w:left w:val="none" w:sz="0" w:space="0" w:color="auto"/>
                        <w:bottom w:val="none" w:sz="0" w:space="0" w:color="auto"/>
                        <w:right w:val="none" w:sz="0" w:space="0" w:color="auto"/>
                      </w:divBdr>
                    </w:div>
                  </w:divsChild>
                </w:div>
                <w:div w:id="2092191746">
                  <w:marLeft w:val="0"/>
                  <w:marRight w:val="0"/>
                  <w:marTop w:val="0"/>
                  <w:marBottom w:val="0"/>
                  <w:divBdr>
                    <w:top w:val="none" w:sz="0" w:space="0" w:color="auto"/>
                    <w:left w:val="none" w:sz="0" w:space="0" w:color="auto"/>
                    <w:bottom w:val="none" w:sz="0" w:space="0" w:color="auto"/>
                    <w:right w:val="none" w:sz="0" w:space="0" w:color="auto"/>
                  </w:divBdr>
                  <w:divsChild>
                    <w:div w:id="1612542624">
                      <w:marLeft w:val="0"/>
                      <w:marRight w:val="0"/>
                      <w:marTop w:val="120"/>
                      <w:marBottom w:val="0"/>
                      <w:divBdr>
                        <w:top w:val="none" w:sz="0" w:space="0" w:color="auto"/>
                        <w:left w:val="none" w:sz="0" w:space="0" w:color="auto"/>
                        <w:bottom w:val="none" w:sz="0" w:space="0" w:color="auto"/>
                        <w:right w:val="none" w:sz="0" w:space="0" w:color="auto"/>
                      </w:divBdr>
                    </w:div>
                    <w:div w:id="391777114">
                      <w:marLeft w:val="0"/>
                      <w:marRight w:val="0"/>
                      <w:marTop w:val="0"/>
                      <w:marBottom w:val="0"/>
                      <w:divBdr>
                        <w:top w:val="none" w:sz="0" w:space="0" w:color="auto"/>
                        <w:left w:val="none" w:sz="0" w:space="0" w:color="auto"/>
                        <w:bottom w:val="none" w:sz="0" w:space="0" w:color="auto"/>
                        <w:right w:val="none" w:sz="0" w:space="0" w:color="auto"/>
                      </w:divBdr>
                    </w:div>
                  </w:divsChild>
                </w:div>
                <w:div w:id="245308375">
                  <w:marLeft w:val="0"/>
                  <w:marRight w:val="0"/>
                  <w:marTop w:val="0"/>
                  <w:marBottom w:val="0"/>
                  <w:divBdr>
                    <w:top w:val="none" w:sz="0" w:space="0" w:color="auto"/>
                    <w:left w:val="none" w:sz="0" w:space="0" w:color="auto"/>
                    <w:bottom w:val="none" w:sz="0" w:space="0" w:color="auto"/>
                    <w:right w:val="none" w:sz="0" w:space="0" w:color="auto"/>
                  </w:divBdr>
                  <w:divsChild>
                    <w:div w:id="1886259735">
                      <w:marLeft w:val="0"/>
                      <w:marRight w:val="0"/>
                      <w:marTop w:val="120"/>
                      <w:marBottom w:val="0"/>
                      <w:divBdr>
                        <w:top w:val="none" w:sz="0" w:space="0" w:color="auto"/>
                        <w:left w:val="none" w:sz="0" w:space="0" w:color="auto"/>
                        <w:bottom w:val="none" w:sz="0" w:space="0" w:color="auto"/>
                        <w:right w:val="none" w:sz="0" w:space="0" w:color="auto"/>
                      </w:divBdr>
                    </w:div>
                    <w:div w:id="758067417">
                      <w:marLeft w:val="0"/>
                      <w:marRight w:val="0"/>
                      <w:marTop w:val="0"/>
                      <w:marBottom w:val="0"/>
                      <w:divBdr>
                        <w:top w:val="none" w:sz="0" w:space="0" w:color="auto"/>
                        <w:left w:val="none" w:sz="0" w:space="0" w:color="auto"/>
                        <w:bottom w:val="none" w:sz="0" w:space="0" w:color="auto"/>
                        <w:right w:val="none" w:sz="0" w:space="0" w:color="auto"/>
                      </w:divBdr>
                    </w:div>
                  </w:divsChild>
                </w:div>
                <w:div w:id="278605121">
                  <w:marLeft w:val="0"/>
                  <w:marRight w:val="0"/>
                  <w:marTop w:val="0"/>
                  <w:marBottom w:val="0"/>
                  <w:divBdr>
                    <w:top w:val="none" w:sz="0" w:space="0" w:color="auto"/>
                    <w:left w:val="none" w:sz="0" w:space="0" w:color="auto"/>
                    <w:bottom w:val="none" w:sz="0" w:space="0" w:color="auto"/>
                    <w:right w:val="none" w:sz="0" w:space="0" w:color="auto"/>
                  </w:divBdr>
                  <w:divsChild>
                    <w:div w:id="137579164">
                      <w:marLeft w:val="0"/>
                      <w:marRight w:val="0"/>
                      <w:marTop w:val="120"/>
                      <w:marBottom w:val="0"/>
                      <w:divBdr>
                        <w:top w:val="none" w:sz="0" w:space="0" w:color="auto"/>
                        <w:left w:val="none" w:sz="0" w:space="0" w:color="auto"/>
                        <w:bottom w:val="none" w:sz="0" w:space="0" w:color="auto"/>
                        <w:right w:val="none" w:sz="0" w:space="0" w:color="auto"/>
                      </w:divBdr>
                    </w:div>
                    <w:div w:id="1749764108">
                      <w:marLeft w:val="0"/>
                      <w:marRight w:val="0"/>
                      <w:marTop w:val="0"/>
                      <w:marBottom w:val="0"/>
                      <w:divBdr>
                        <w:top w:val="none" w:sz="0" w:space="0" w:color="auto"/>
                        <w:left w:val="none" w:sz="0" w:space="0" w:color="auto"/>
                        <w:bottom w:val="none" w:sz="0" w:space="0" w:color="auto"/>
                        <w:right w:val="none" w:sz="0" w:space="0" w:color="auto"/>
                      </w:divBdr>
                    </w:div>
                  </w:divsChild>
                </w:div>
                <w:div w:id="344402162">
                  <w:marLeft w:val="0"/>
                  <w:marRight w:val="0"/>
                  <w:marTop w:val="0"/>
                  <w:marBottom w:val="0"/>
                  <w:divBdr>
                    <w:top w:val="none" w:sz="0" w:space="0" w:color="auto"/>
                    <w:left w:val="none" w:sz="0" w:space="0" w:color="auto"/>
                    <w:bottom w:val="none" w:sz="0" w:space="0" w:color="auto"/>
                    <w:right w:val="none" w:sz="0" w:space="0" w:color="auto"/>
                  </w:divBdr>
                  <w:divsChild>
                    <w:div w:id="577792830">
                      <w:marLeft w:val="0"/>
                      <w:marRight w:val="0"/>
                      <w:marTop w:val="120"/>
                      <w:marBottom w:val="0"/>
                      <w:divBdr>
                        <w:top w:val="none" w:sz="0" w:space="0" w:color="auto"/>
                        <w:left w:val="none" w:sz="0" w:space="0" w:color="auto"/>
                        <w:bottom w:val="none" w:sz="0" w:space="0" w:color="auto"/>
                        <w:right w:val="none" w:sz="0" w:space="0" w:color="auto"/>
                      </w:divBdr>
                    </w:div>
                    <w:div w:id="1630086774">
                      <w:marLeft w:val="0"/>
                      <w:marRight w:val="0"/>
                      <w:marTop w:val="0"/>
                      <w:marBottom w:val="0"/>
                      <w:divBdr>
                        <w:top w:val="none" w:sz="0" w:space="0" w:color="auto"/>
                        <w:left w:val="none" w:sz="0" w:space="0" w:color="auto"/>
                        <w:bottom w:val="none" w:sz="0" w:space="0" w:color="auto"/>
                        <w:right w:val="none" w:sz="0" w:space="0" w:color="auto"/>
                      </w:divBdr>
                    </w:div>
                  </w:divsChild>
                </w:div>
                <w:div w:id="465314683">
                  <w:marLeft w:val="0"/>
                  <w:marRight w:val="0"/>
                  <w:marTop w:val="0"/>
                  <w:marBottom w:val="0"/>
                  <w:divBdr>
                    <w:top w:val="none" w:sz="0" w:space="0" w:color="auto"/>
                    <w:left w:val="none" w:sz="0" w:space="0" w:color="auto"/>
                    <w:bottom w:val="none" w:sz="0" w:space="0" w:color="auto"/>
                    <w:right w:val="none" w:sz="0" w:space="0" w:color="auto"/>
                  </w:divBdr>
                  <w:divsChild>
                    <w:div w:id="1877768908">
                      <w:marLeft w:val="0"/>
                      <w:marRight w:val="0"/>
                      <w:marTop w:val="120"/>
                      <w:marBottom w:val="0"/>
                      <w:divBdr>
                        <w:top w:val="none" w:sz="0" w:space="0" w:color="auto"/>
                        <w:left w:val="none" w:sz="0" w:space="0" w:color="auto"/>
                        <w:bottom w:val="none" w:sz="0" w:space="0" w:color="auto"/>
                        <w:right w:val="none" w:sz="0" w:space="0" w:color="auto"/>
                      </w:divBdr>
                    </w:div>
                    <w:div w:id="414136128">
                      <w:marLeft w:val="0"/>
                      <w:marRight w:val="0"/>
                      <w:marTop w:val="0"/>
                      <w:marBottom w:val="0"/>
                      <w:divBdr>
                        <w:top w:val="none" w:sz="0" w:space="0" w:color="auto"/>
                        <w:left w:val="none" w:sz="0" w:space="0" w:color="auto"/>
                        <w:bottom w:val="none" w:sz="0" w:space="0" w:color="auto"/>
                        <w:right w:val="none" w:sz="0" w:space="0" w:color="auto"/>
                      </w:divBdr>
                    </w:div>
                  </w:divsChild>
                </w:div>
                <w:div w:id="1712070993">
                  <w:marLeft w:val="0"/>
                  <w:marRight w:val="0"/>
                  <w:marTop w:val="0"/>
                  <w:marBottom w:val="0"/>
                  <w:divBdr>
                    <w:top w:val="none" w:sz="0" w:space="0" w:color="auto"/>
                    <w:left w:val="none" w:sz="0" w:space="0" w:color="auto"/>
                    <w:bottom w:val="none" w:sz="0" w:space="0" w:color="auto"/>
                    <w:right w:val="none" w:sz="0" w:space="0" w:color="auto"/>
                  </w:divBdr>
                  <w:divsChild>
                    <w:div w:id="730807276">
                      <w:marLeft w:val="0"/>
                      <w:marRight w:val="0"/>
                      <w:marTop w:val="120"/>
                      <w:marBottom w:val="0"/>
                      <w:divBdr>
                        <w:top w:val="none" w:sz="0" w:space="0" w:color="auto"/>
                        <w:left w:val="none" w:sz="0" w:space="0" w:color="auto"/>
                        <w:bottom w:val="none" w:sz="0" w:space="0" w:color="auto"/>
                        <w:right w:val="none" w:sz="0" w:space="0" w:color="auto"/>
                      </w:divBdr>
                    </w:div>
                    <w:div w:id="1555965881">
                      <w:marLeft w:val="0"/>
                      <w:marRight w:val="0"/>
                      <w:marTop w:val="0"/>
                      <w:marBottom w:val="0"/>
                      <w:divBdr>
                        <w:top w:val="none" w:sz="0" w:space="0" w:color="auto"/>
                        <w:left w:val="none" w:sz="0" w:space="0" w:color="auto"/>
                        <w:bottom w:val="none" w:sz="0" w:space="0" w:color="auto"/>
                        <w:right w:val="none" w:sz="0" w:space="0" w:color="auto"/>
                      </w:divBdr>
                    </w:div>
                  </w:divsChild>
                </w:div>
                <w:div w:id="1397825727">
                  <w:marLeft w:val="0"/>
                  <w:marRight w:val="0"/>
                  <w:marTop w:val="0"/>
                  <w:marBottom w:val="0"/>
                  <w:divBdr>
                    <w:top w:val="none" w:sz="0" w:space="0" w:color="auto"/>
                    <w:left w:val="none" w:sz="0" w:space="0" w:color="auto"/>
                    <w:bottom w:val="none" w:sz="0" w:space="0" w:color="auto"/>
                    <w:right w:val="none" w:sz="0" w:space="0" w:color="auto"/>
                  </w:divBdr>
                  <w:divsChild>
                    <w:div w:id="1053313711">
                      <w:marLeft w:val="0"/>
                      <w:marRight w:val="0"/>
                      <w:marTop w:val="120"/>
                      <w:marBottom w:val="0"/>
                      <w:divBdr>
                        <w:top w:val="none" w:sz="0" w:space="0" w:color="auto"/>
                        <w:left w:val="none" w:sz="0" w:space="0" w:color="auto"/>
                        <w:bottom w:val="none" w:sz="0" w:space="0" w:color="auto"/>
                        <w:right w:val="none" w:sz="0" w:space="0" w:color="auto"/>
                      </w:divBdr>
                    </w:div>
                    <w:div w:id="1406682125">
                      <w:marLeft w:val="0"/>
                      <w:marRight w:val="0"/>
                      <w:marTop w:val="0"/>
                      <w:marBottom w:val="0"/>
                      <w:divBdr>
                        <w:top w:val="none" w:sz="0" w:space="0" w:color="auto"/>
                        <w:left w:val="none" w:sz="0" w:space="0" w:color="auto"/>
                        <w:bottom w:val="none" w:sz="0" w:space="0" w:color="auto"/>
                        <w:right w:val="none" w:sz="0" w:space="0" w:color="auto"/>
                      </w:divBdr>
                      <w:divsChild>
                        <w:div w:id="454494104">
                          <w:marLeft w:val="0"/>
                          <w:marRight w:val="0"/>
                          <w:marTop w:val="0"/>
                          <w:marBottom w:val="0"/>
                          <w:divBdr>
                            <w:top w:val="none" w:sz="0" w:space="0" w:color="auto"/>
                            <w:left w:val="none" w:sz="0" w:space="0" w:color="auto"/>
                            <w:bottom w:val="none" w:sz="0" w:space="0" w:color="auto"/>
                            <w:right w:val="none" w:sz="0" w:space="0" w:color="auto"/>
                          </w:divBdr>
                          <w:divsChild>
                            <w:div w:id="814955743">
                              <w:marLeft w:val="0"/>
                              <w:marRight w:val="0"/>
                              <w:marTop w:val="120"/>
                              <w:marBottom w:val="0"/>
                              <w:divBdr>
                                <w:top w:val="none" w:sz="0" w:space="0" w:color="auto"/>
                                <w:left w:val="none" w:sz="0" w:space="0" w:color="auto"/>
                                <w:bottom w:val="none" w:sz="0" w:space="0" w:color="auto"/>
                                <w:right w:val="none" w:sz="0" w:space="0" w:color="auto"/>
                              </w:divBdr>
                            </w:div>
                            <w:div w:id="1149056565">
                              <w:marLeft w:val="0"/>
                              <w:marRight w:val="0"/>
                              <w:marTop w:val="0"/>
                              <w:marBottom w:val="0"/>
                              <w:divBdr>
                                <w:top w:val="none" w:sz="0" w:space="0" w:color="auto"/>
                                <w:left w:val="none" w:sz="0" w:space="0" w:color="auto"/>
                                <w:bottom w:val="none" w:sz="0" w:space="0" w:color="auto"/>
                                <w:right w:val="none" w:sz="0" w:space="0" w:color="auto"/>
                              </w:divBdr>
                            </w:div>
                          </w:divsChild>
                        </w:div>
                        <w:div w:id="2075272597">
                          <w:marLeft w:val="0"/>
                          <w:marRight w:val="0"/>
                          <w:marTop w:val="0"/>
                          <w:marBottom w:val="0"/>
                          <w:divBdr>
                            <w:top w:val="none" w:sz="0" w:space="0" w:color="auto"/>
                            <w:left w:val="none" w:sz="0" w:space="0" w:color="auto"/>
                            <w:bottom w:val="none" w:sz="0" w:space="0" w:color="auto"/>
                            <w:right w:val="none" w:sz="0" w:space="0" w:color="auto"/>
                          </w:divBdr>
                          <w:divsChild>
                            <w:div w:id="1380516985">
                              <w:marLeft w:val="0"/>
                              <w:marRight w:val="0"/>
                              <w:marTop w:val="120"/>
                              <w:marBottom w:val="0"/>
                              <w:divBdr>
                                <w:top w:val="none" w:sz="0" w:space="0" w:color="auto"/>
                                <w:left w:val="none" w:sz="0" w:space="0" w:color="auto"/>
                                <w:bottom w:val="none" w:sz="0" w:space="0" w:color="auto"/>
                                <w:right w:val="none" w:sz="0" w:space="0" w:color="auto"/>
                              </w:divBdr>
                            </w:div>
                            <w:div w:id="3738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957056">
                  <w:marLeft w:val="0"/>
                  <w:marRight w:val="0"/>
                  <w:marTop w:val="0"/>
                  <w:marBottom w:val="0"/>
                  <w:divBdr>
                    <w:top w:val="none" w:sz="0" w:space="0" w:color="auto"/>
                    <w:left w:val="none" w:sz="0" w:space="0" w:color="auto"/>
                    <w:bottom w:val="none" w:sz="0" w:space="0" w:color="auto"/>
                    <w:right w:val="none" w:sz="0" w:space="0" w:color="auto"/>
                  </w:divBdr>
                  <w:divsChild>
                    <w:div w:id="1518080119">
                      <w:marLeft w:val="0"/>
                      <w:marRight w:val="0"/>
                      <w:marTop w:val="120"/>
                      <w:marBottom w:val="0"/>
                      <w:divBdr>
                        <w:top w:val="none" w:sz="0" w:space="0" w:color="auto"/>
                        <w:left w:val="none" w:sz="0" w:space="0" w:color="auto"/>
                        <w:bottom w:val="none" w:sz="0" w:space="0" w:color="auto"/>
                        <w:right w:val="none" w:sz="0" w:space="0" w:color="auto"/>
                      </w:divBdr>
                    </w:div>
                    <w:div w:id="1120146276">
                      <w:marLeft w:val="0"/>
                      <w:marRight w:val="0"/>
                      <w:marTop w:val="0"/>
                      <w:marBottom w:val="0"/>
                      <w:divBdr>
                        <w:top w:val="none" w:sz="0" w:space="0" w:color="auto"/>
                        <w:left w:val="none" w:sz="0" w:space="0" w:color="auto"/>
                        <w:bottom w:val="none" w:sz="0" w:space="0" w:color="auto"/>
                        <w:right w:val="none" w:sz="0" w:space="0" w:color="auto"/>
                      </w:divBdr>
                    </w:div>
                  </w:divsChild>
                </w:div>
                <w:div w:id="1843812562">
                  <w:marLeft w:val="0"/>
                  <w:marRight w:val="0"/>
                  <w:marTop w:val="0"/>
                  <w:marBottom w:val="0"/>
                  <w:divBdr>
                    <w:top w:val="none" w:sz="0" w:space="0" w:color="auto"/>
                    <w:left w:val="none" w:sz="0" w:space="0" w:color="auto"/>
                    <w:bottom w:val="none" w:sz="0" w:space="0" w:color="auto"/>
                    <w:right w:val="none" w:sz="0" w:space="0" w:color="auto"/>
                  </w:divBdr>
                  <w:divsChild>
                    <w:div w:id="2008551516">
                      <w:marLeft w:val="0"/>
                      <w:marRight w:val="0"/>
                      <w:marTop w:val="120"/>
                      <w:marBottom w:val="0"/>
                      <w:divBdr>
                        <w:top w:val="none" w:sz="0" w:space="0" w:color="auto"/>
                        <w:left w:val="none" w:sz="0" w:space="0" w:color="auto"/>
                        <w:bottom w:val="none" w:sz="0" w:space="0" w:color="auto"/>
                        <w:right w:val="none" w:sz="0" w:space="0" w:color="auto"/>
                      </w:divBdr>
                    </w:div>
                    <w:div w:id="245456949">
                      <w:marLeft w:val="0"/>
                      <w:marRight w:val="0"/>
                      <w:marTop w:val="0"/>
                      <w:marBottom w:val="0"/>
                      <w:divBdr>
                        <w:top w:val="none" w:sz="0" w:space="0" w:color="auto"/>
                        <w:left w:val="none" w:sz="0" w:space="0" w:color="auto"/>
                        <w:bottom w:val="none" w:sz="0" w:space="0" w:color="auto"/>
                        <w:right w:val="none" w:sz="0" w:space="0" w:color="auto"/>
                      </w:divBdr>
                      <w:divsChild>
                        <w:div w:id="1538740870">
                          <w:marLeft w:val="0"/>
                          <w:marRight w:val="0"/>
                          <w:marTop w:val="0"/>
                          <w:marBottom w:val="0"/>
                          <w:divBdr>
                            <w:top w:val="none" w:sz="0" w:space="0" w:color="auto"/>
                            <w:left w:val="none" w:sz="0" w:space="0" w:color="auto"/>
                            <w:bottom w:val="none" w:sz="0" w:space="0" w:color="auto"/>
                            <w:right w:val="none" w:sz="0" w:space="0" w:color="auto"/>
                          </w:divBdr>
                          <w:divsChild>
                            <w:div w:id="874348252">
                              <w:marLeft w:val="0"/>
                              <w:marRight w:val="0"/>
                              <w:marTop w:val="120"/>
                              <w:marBottom w:val="0"/>
                              <w:divBdr>
                                <w:top w:val="none" w:sz="0" w:space="0" w:color="auto"/>
                                <w:left w:val="none" w:sz="0" w:space="0" w:color="auto"/>
                                <w:bottom w:val="none" w:sz="0" w:space="0" w:color="auto"/>
                                <w:right w:val="none" w:sz="0" w:space="0" w:color="auto"/>
                              </w:divBdr>
                            </w:div>
                            <w:div w:id="2076705828">
                              <w:marLeft w:val="0"/>
                              <w:marRight w:val="0"/>
                              <w:marTop w:val="0"/>
                              <w:marBottom w:val="0"/>
                              <w:divBdr>
                                <w:top w:val="none" w:sz="0" w:space="0" w:color="auto"/>
                                <w:left w:val="none" w:sz="0" w:space="0" w:color="auto"/>
                                <w:bottom w:val="none" w:sz="0" w:space="0" w:color="auto"/>
                                <w:right w:val="none" w:sz="0" w:space="0" w:color="auto"/>
                              </w:divBdr>
                              <w:divsChild>
                                <w:div w:id="491289639">
                                  <w:marLeft w:val="0"/>
                                  <w:marRight w:val="0"/>
                                  <w:marTop w:val="0"/>
                                  <w:marBottom w:val="0"/>
                                  <w:divBdr>
                                    <w:top w:val="none" w:sz="0" w:space="0" w:color="auto"/>
                                    <w:left w:val="none" w:sz="0" w:space="0" w:color="auto"/>
                                    <w:bottom w:val="none" w:sz="0" w:space="0" w:color="auto"/>
                                    <w:right w:val="none" w:sz="0" w:space="0" w:color="auto"/>
                                  </w:divBdr>
                                  <w:divsChild>
                                    <w:div w:id="1902935273">
                                      <w:marLeft w:val="0"/>
                                      <w:marRight w:val="0"/>
                                      <w:marTop w:val="120"/>
                                      <w:marBottom w:val="0"/>
                                      <w:divBdr>
                                        <w:top w:val="none" w:sz="0" w:space="0" w:color="auto"/>
                                        <w:left w:val="none" w:sz="0" w:space="0" w:color="auto"/>
                                        <w:bottom w:val="none" w:sz="0" w:space="0" w:color="auto"/>
                                        <w:right w:val="none" w:sz="0" w:space="0" w:color="auto"/>
                                      </w:divBdr>
                                    </w:div>
                                    <w:div w:id="725225140">
                                      <w:marLeft w:val="0"/>
                                      <w:marRight w:val="0"/>
                                      <w:marTop w:val="0"/>
                                      <w:marBottom w:val="0"/>
                                      <w:divBdr>
                                        <w:top w:val="none" w:sz="0" w:space="0" w:color="auto"/>
                                        <w:left w:val="none" w:sz="0" w:space="0" w:color="auto"/>
                                        <w:bottom w:val="none" w:sz="0" w:space="0" w:color="auto"/>
                                        <w:right w:val="none" w:sz="0" w:space="0" w:color="auto"/>
                                      </w:divBdr>
                                    </w:div>
                                  </w:divsChild>
                                </w:div>
                                <w:div w:id="1222204894">
                                  <w:marLeft w:val="0"/>
                                  <w:marRight w:val="0"/>
                                  <w:marTop w:val="0"/>
                                  <w:marBottom w:val="0"/>
                                  <w:divBdr>
                                    <w:top w:val="none" w:sz="0" w:space="0" w:color="auto"/>
                                    <w:left w:val="none" w:sz="0" w:space="0" w:color="auto"/>
                                    <w:bottom w:val="none" w:sz="0" w:space="0" w:color="auto"/>
                                    <w:right w:val="none" w:sz="0" w:space="0" w:color="auto"/>
                                  </w:divBdr>
                                  <w:divsChild>
                                    <w:div w:id="462233547">
                                      <w:marLeft w:val="0"/>
                                      <w:marRight w:val="0"/>
                                      <w:marTop w:val="120"/>
                                      <w:marBottom w:val="0"/>
                                      <w:divBdr>
                                        <w:top w:val="none" w:sz="0" w:space="0" w:color="auto"/>
                                        <w:left w:val="none" w:sz="0" w:space="0" w:color="auto"/>
                                        <w:bottom w:val="none" w:sz="0" w:space="0" w:color="auto"/>
                                        <w:right w:val="none" w:sz="0" w:space="0" w:color="auto"/>
                                      </w:divBdr>
                                    </w:div>
                                    <w:div w:id="1026520708">
                                      <w:marLeft w:val="0"/>
                                      <w:marRight w:val="0"/>
                                      <w:marTop w:val="0"/>
                                      <w:marBottom w:val="0"/>
                                      <w:divBdr>
                                        <w:top w:val="none" w:sz="0" w:space="0" w:color="auto"/>
                                        <w:left w:val="none" w:sz="0" w:space="0" w:color="auto"/>
                                        <w:bottom w:val="none" w:sz="0" w:space="0" w:color="auto"/>
                                        <w:right w:val="none" w:sz="0" w:space="0" w:color="auto"/>
                                      </w:divBdr>
                                    </w:div>
                                  </w:divsChild>
                                </w:div>
                                <w:div w:id="1076702564">
                                  <w:marLeft w:val="0"/>
                                  <w:marRight w:val="0"/>
                                  <w:marTop w:val="0"/>
                                  <w:marBottom w:val="0"/>
                                  <w:divBdr>
                                    <w:top w:val="none" w:sz="0" w:space="0" w:color="auto"/>
                                    <w:left w:val="none" w:sz="0" w:space="0" w:color="auto"/>
                                    <w:bottom w:val="none" w:sz="0" w:space="0" w:color="auto"/>
                                    <w:right w:val="none" w:sz="0" w:space="0" w:color="auto"/>
                                  </w:divBdr>
                                  <w:divsChild>
                                    <w:div w:id="1133333742">
                                      <w:marLeft w:val="0"/>
                                      <w:marRight w:val="0"/>
                                      <w:marTop w:val="120"/>
                                      <w:marBottom w:val="0"/>
                                      <w:divBdr>
                                        <w:top w:val="none" w:sz="0" w:space="0" w:color="auto"/>
                                        <w:left w:val="none" w:sz="0" w:space="0" w:color="auto"/>
                                        <w:bottom w:val="none" w:sz="0" w:space="0" w:color="auto"/>
                                        <w:right w:val="none" w:sz="0" w:space="0" w:color="auto"/>
                                      </w:divBdr>
                                    </w:div>
                                    <w:div w:id="17337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25334">
                          <w:marLeft w:val="0"/>
                          <w:marRight w:val="0"/>
                          <w:marTop w:val="0"/>
                          <w:marBottom w:val="0"/>
                          <w:divBdr>
                            <w:top w:val="none" w:sz="0" w:space="0" w:color="auto"/>
                            <w:left w:val="none" w:sz="0" w:space="0" w:color="auto"/>
                            <w:bottom w:val="none" w:sz="0" w:space="0" w:color="auto"/>
                            <w:right w:val="none" w:sz="0" w:space="0" w:color="auto"/>
                          </w:divBdr>
                          <w:divsChild>
                            <w:div w:id="1967925735">
                              <w:marLeft w:val="0"/>
                              <w:marRight w:val="0"/>
                              <w:marTop w:val="120"/>
                              <w:marBottom w:val="0"/>
                              <w:divBdr>
                                <w:top w:val="none" w:sz="0" w:space="0" w:color="auto"/>
                                <w:left w:val="none" w:sz="0" w:space="0" w:color="auto"/>
                                <w:bottom w:val="none" w:sz="0" w:space="0" w:color="auto"/>
                                <w:right w:val="none" w:sz="0" w:space="0" w:color="auto"/>
                              </w:divBdr>
                            </w:div>
                            <w:div w:id="48158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772393">
                  <w:marLeft w:val="0"/>
                  <w:marRight w:val="0"/>
                  <w:marTop w:val="0"/>
                  <w:marBottom w:val="0"/>
                  <w:divBdr>
                    <w:top w:val="none" w:sz="0" w:space="0" w:color="auto"/>
                    <w:left w:val="none" w:sz="0" w:space="0" w:color="auto"/>
                    <w:bottom w:val="none" w:sz="0" w:space="0" w:color="auto"/>
                    <w:right w:val="none" w:sz="0" w:space="0" w:color="auto"/>
                  </w:divBdr>
                  <w:divsChild>
                    <w:div w:id="27798260">
                      <w:marLeft w:val="0"/>
                      <w:marRight w:val="0"/>
                      <w:marTop w:val="120"/>
                      <w:marBottom w:val="0"/>
                      <w:divBdr>
                        <w:top w:val="none" w:sz="0" w:space="0" w:color="auto"/>
                        <w:left w:val="none" w:sz="0" w:space="0" w:color="auto"/>
                        <w:bottom w:val="none" w:sz="0" w:space="0" w:color="auto"/>
                        <w:right w:val="none" w:sz="0" w:space="0" w:color="auto"/>
                      </w:divBdr>
                    </w:div>
                    <w:div w:id="1898927622">
                      <w:marLeft w:val="0"/>
                      <w:marRight w:val="0"/>
                      <w:marTop w:val="0"/>
                      <w:marBottom w:val="0"/>
                      <w:divBdr>
                        <w:top w:val="none" w:sz="0" w:space="0" w:color="auto"/>
                        <w:left w:val="none" w:sz="0" w:space="0" w:color="auto"/>
                        <w:bottom w:val="none" w:sz="0" w:space="0" w:color="auto"/>
                        <w:right w:val="none" w:sz="0" w:space="0" w:color="auto"/>
                      </w:divBdr>
                    </w:div>
                  </w:divsChild>
                </w:div>
                <w:div w:id="705105793">
                  <w:marLeft w:val="0"/>
                  <w:marRight w:val="0"/>
                  <w:marTop w:val="0"/>
                  <w:marBottom w:val="0"/>
                  <w:divBdr>
                    <w:top w:val="none" w:sz="0" w:space="0" w:color="auto"/>
                    <w:left w:val="none" w:sz="0" w:space="0" w:color="auto"/>
                    <w:bottom w:val="none" w:sz="0" w:space="0" w:color="auto"/>
                    <w:right w:val="none" w:sz="0" w:space="0" w:color="auto"/>
                  </w:divBdr>
                  <w:divsChild>
                    <w:div w:id="150682438">
                      <w:marLeft w:val="0"/>
                      <w:marRight w:val="0"/>
                      <w:marTop w:val="120"/>
                      <w:marBottom w:val="0"/>
                      <w:divBdr>
                        <w:top w:val="none" w:sz="0" w:space="0" w:color="auto"/>
                        <w:left w:val="none" w:sz="0" w:space="0" w:color="auto"/>
                        <w:bottom w:val="none" w:sz="0" w:space="0" w:color="auto"/>
                        <w:right w:val="none" w:sz="0" w:space="0" w:color="auto"/>
                      </w:divBdr>
                    </w:div>
                    <w:div w:id="328337576">
                      <w:marLeft w:val="0"/>
                      <w:marRight w:val="0"/>
                      <w:marTop w:val="0"/>
                      <w:marBottom w:val="0"/>
                      <w:divBdr>
                        <w:top w:val="none" w:sz="0" w:space="0" w:color="auto"/>
                        <w:left w:val="none" w:sz="0" w:space="0" w:color="auto"/>
                        <w:bottom w:val="none" w:sz="0" w:space="0" w:color="auto"/>
                        <w:right w:val="none" w:sz="0" w:space="0" w:color="auto"/>
                      </w:divBdr>
                    </w:div>
                  </w:divsChild>
                </w:div>
                <w:div w:id="456990283">
                  <w:marLeft w:val="0"/>
                  <w:marRight w:val="0"/>
                  <w:marTop w:val="0"/>
                  <w:marBottom w:val="0"/>
                  <w:divBdr>
                    <w:top w:val="none" w:sz="0" w:space="0" w:color="auto"/>
                    <w:left w:val="none" w:sz="0" w:space="0" w:color="auto"/>
                    <w:bottom w:val="none" w:sz="0" w:space="0" w:color="auto"/>
                    <w:right w:val="none" w:sz="0" w:space="0" w:color="auto"/>
                  </w:divBdr>
                  <w:divsChild>
                    <w:div w:id="1546866009">
                      <w:marLeft w:val="0"/>
                      <w:marRight w:val="0"/>
                      <w:marTop w:val="120"/>
                      <w:marBottom w:val="0"/>
                      <w:divBdr>
                        <w:top w:val="none" w:sz="0" w:space="0" w:color="auto"/>
                        <w:left w:val="none" w:sz="0" w:space="0" w:color="auto"/>
                        <w:bottom w:val="none" w:sz="0" w:space="0" w:color="auto"/>
                        <w:right w:val="none" w:sz="0" w:space="0" w:color="auto"/>
                      </w:divBdr>
                    </w:div>
                    <w:div w:id="2077237191">
                      <w:marLeft w:val="0"/>
                      <w:marRight w:val="0"/>
                      <w:marTop w:val="0"/>
                      <w:marBottom w:val="0"/>
                      <w:divBdr>
                        <w:top w:val="none" w:sz="0" w:space="0" w:color="auto"/>
                        <w:left w:val="none" w:sz="0" w:space="0" w:color="auto"/>
                        <w:bottom w:val="none" w:sz="0" w:space="0" w:color="auto"/>
                        <w:right w:val="none" w:sz="0" w:space="0" w:color="auto"/>
                      </w:divBdr>
                    </w:div>
                  </w:divsChild>
                </w:div>
                <w:div w:id="1228492356">
                  <w:marLeft w:val="0"/>
                  <w:marRight w:val="0"/>
                  <w:marTop w:val="0"/>
                  <w:marBottom w:val="0"/>
                  <w:divBdr>
                    <w:top w:val="none" w:sz="0" w:space="0" w:color="auto"/>
                    <w:left w:val="none" w:sz="0" w:space="0" w:color="auto"/>
                    <w:bottom w:val="none" w:sz="0" w:space="0" w:color="auto"/>
                    <w:right w:val="none" w:sz="0" w:space="0" w:color="auto"/>
                  </w:divBdr>
                  <w:divsChild>
                    <w:div w:id="1168710553">
                      <w:marLeft w:val="0"/>
                      <w:marRight w:val="0"/>
                      <w:marTop w:val="120"/>
                      <w:marBottom w:val="0"/>
                      <w:divBdr>
                        <w:top w:val="none" w:sz="0" w:space="0" w:color="auto"/>
                        <w:left w:val="none" w:sz="0" w:space="0" w:color="auto"/>
                        <w:bottom w:val="none" w:sz="0" w:space="0" w:color="auto"/>
                        <w:right w:val="none" w:sz="0" w:space="0" w:color="auto"/>
                      </w:divBdr>
                    </w:div>
                    <w:div w:id="1048795754">
                      <w:marLeft w:val="0"/>
                      <w:marRight w:val="0"/>
                      <w:marTop w:val="0"/>
                      <w:marBottom w:val="0"/>
                      <w:divBdr>
                        <w:top w:val="none" w:sz="0" w:space="0" w:color="auto"/>
                        <w:left w:val="none" w:sz="0" w:space="0" w:color="auto"/>
                        <w:bottom w:val="none" w:sz="0" w:space="0" w:color="auto"/>
                        <w:right w:val="none" w:sz="0" w:space="0" w:color="auto"/>
                      </w:divBdr>
                    </w:div>
                  </w:divsChild>
                </w:div>
                <w:div w:id="12924842">
                  <w:marLeft w:val="0"/>
                  <w:marRight w:val="0"/>
                  <w:marTop w:val="0"/>
                  <w:marBottom w:val="0"/>
                  <w:divBdr>
                    <w:top w:val="none" w:sz="0" w:space="0" w:color="auto"/>
                    <w:left w:val="none" w:sz="0" w:space="0" w:color="auto"/>
                    <w:bottom w:val="none" w:sz="0" w:space="0" w:color="auto"/>
                    <w:right w:val="none" w:sz="0" w:space="0" w:color="auto"/>
                  </w:divBdr>
                  <w:divsChild>
                    <w:div w:id="711804866">
                      <w:marLeft w:val="0"/>
                      <w:marRight w:val="0"/>
                      <w:marTop w:val="120"/>
                      <w:marBottom w:val="0"/>
                      <w:divBdr>
                        <w:top w:val="none" w:sz="0" w:space="0" w:color="auto"/>
                        <w:left w:val="none" w:sz="0" w:space="0" w:color="auto"/>
                        <w:bottom w:val="none" w:sz="0" w:space="0" w:color="auto"/>
                        <w:right w:val="none" w:sz="0" w:space="0" w:color="auto"/>
                      </w:divBdr>
                    </w:div>
                    <w:div w:id="1831287565">
                      <w:marLeft w:val="0"/>
                      <w:marRight w:val="0"/>
                      <w:marTop w:val="0"/>
                      <w:marBottom w:val="0"/>
                      <w:divBdr>
                        <w:top w:val="none" w:sz="0" w:space="0" w:color="auto"/>
                        <w:left w:val="none" w:sz="0" w:space="0" w:color="auto"/>
                        <w:bottom w:val="none" w:sz="0" w:space="0" w:color="auto"/>
                        <w:right w:val="none" w:sz="0" w:space="0" w:color="auto"/>
                      </w:divBdr>
                    </w:div>
                  </w:divsChild>
                </w:div>
                <w:div w:id="1111245848">
                  <w:marLeft w:val="0"/>
                  <w:marRight w:val="0"/>
                  <w:marTop w:val="0"/>
                  <w:marBottom w:val="0"/>
                  <w:divBdr>
                    <w:top w:val="none" w:sz="0" w:space="0" w:color="auto"/>
                    <w:left w:val="none" w:sz="0" w:space="0" w:color="auto"/>
                    <w:bottom w:val="none" w:sz="0" w:space="0" w:color="auto"/>
                    <w:right w:val="none" w:sz="0" w:space="0" w:color="auto"/>
                  </w:divBdr>
                  <w:divsChild>
                    <w:div w:id="189733303">
                      <w:marLeft w:val="0"/>
                      <w:marRight w:val="0"/>
                      <w:marTop w:val="120"/>
                      <w:marBottom w:val="0"/>
                      <w:divBdr>
                        <w:top w:val="none" w:sz="0" w:space="0" w:color="auto"/>
                        <w:left w:val="none" w:sz="0" w:space="0" w:color="auto"/>
                        <w:bottom w:val="none" w:sz="0" w:space="0" w:color="auto"/>
                        <w:right w:val="none" w:sz="0" w:space="0" w:color="auto"/>
                      </w:divBdr>
                    </w:div>
                    <w:div w:id="421531387">
                      <w:marLeft w:val="0"/>
                      <w:marRight w:val="0"/>
                      <w:marTop w:val="0"/>
                      <w:marBottom w:val="0"/>
                      <w:divBdr>
                        <w:top w:val="none" w:sz="0" w:space="0" w:color="auto"/>
                        <w:left w:val="none" w:sz="0" w:space="0" w:color="auto"/>
                        <w:bottom w:val="none" w:sz="0" w:space="0" w:color="auto"/>
                        <w:right w:val="none" w:sz="0" w:space="0" w:color="auto"/>
                      </w:divBdr>
                    </w:div>
                  </w:divsChild>
                </w:div>
                <w:div w:id="255141217">
                  <w:marLeft w:val="0"/>
                  <w:marRight w:val="0"/>
                  <w:marTop w:val="0"/>
                  <w:marBottom w:val="0"/>
                  <w:divBdr>
                    <w:top w:val="none" w:sz="0" w:space="0" w:color="auto"/>
                    <w:left w:val="none" w:sz="0" w:space="0" w:color="auto"/>
                    <w:bottom w:val="none" w:sz="0" w:space="0" w:color="auto"/>
                    <w:right w:val="none" w:sz="0" w:space="0" w:color="auto"/>
                  </w:divBdr>
                  <w:divsChild>
                    <w:div w:id="1921016773">
                      <w:marLeft w:val="0"/>
                      <w:marRight w:val="0"/>
                      <w:marTop w:val="120"/>
                      <w:marBottom w:val="0"/>
                      <w:divBdr>
                        <w:top w:val="none" w:sz="0" w:space="0" w:color="auto"/>
                        <w:left w:val="none" w:sz="0" w:space="0" w:color="auto"/>
                        <w:bottom w:val="none" w:sz="0" w:space="0" w:color="auto"/>
                        <w:right w:val="none" w:sz="0" w:space="0" w:color="auto"/>
                      </w:divBdr>
                    </w:div>
                    <w:div w:id="723986238">
                      <w:marLeft w:val="0"/>
                      <w:marRight w:val="0"/>
                      <w:marTop w:val="0"/>
                      <w:marBottom w:val="0"/>
                      <w:divBdr>
                        <w:top w:val="none" w:sz="0" w:space="0" w:color="auto"/>
                        <w:left w:val="none" w:sz="0" w:space="0" w:color="auto"/>
                        <w:bottom w:val="none" w:sz="0" w:space="0" w:color="auto"/>
                        <w:right w:val="none" w:sz="0" w:space="0" w:color="auto"/>
                      </w:divBdr>
                    </w:div>
                  </w:divsChild>
                </w:div>
                <w:div w:id="891775043">
                  <w:marLeft w:val="0"/>
                  <w:marRight w:val="0"/>
                  <w:marTop w:val="0"/>
                  <w:marBottom w:val="0"/>
                  <w:divBdr>
                    <w:top w:val="none" w:sz="0" w:space="0" w:color="auto"/>
                    <w:left w:val="none" w:sz="0" w:space="0" w:color="auto"/>
                    <w:bottom w:val="none" w:sz="0" w:space="0" w:color="auto"/>
                    <w:right w:val="none" w:sz="0" w:space="0" w:color="auto"/>
                  </w:divBdr>
                  <w:divsChild>
                    <w:div w:id="195192448">
                      <w:marLeft w:val="0"/>
                      <w:marRight w:val="0"/>
                      <w:marTop w:val="120"/>
                      <w:marBottom w:val="0"/>
                      <w:divBdr>
                        <w:top w:val="none" w:sz="0" w:space="0" w:color="auto"/>
                        <w:left w:val="none" w:sz="0" w:space="0" w:color="auto"/>
                        <w:bottom w:val="none" w:sz="0" w:space="0" w:color="auto"/>
                        <w:right w:val="none" w:sz="0" w:space="0" w:color="auto"/>
                      </w:divBdr>
                    </w:div>
                    <w:div w:id="1804348914">
                      <w:marLeft w:val="0"/>
                      <w:marRight w:val="0"/>
                      <w:marTop w:val="0"/>
                      <w:marBottom w:val="0"/>
                      <w:divBdr>
                        <w:top w:val="none" w:sz="0" w:space="0" w:color="auto"/>
                        <w:left w:val="none" w:sz="0" w:space="0" w:color="auto"/>
                        <w:bottom w:val="none" w:sz="0" w:space="0" w:color="auto"/>
                        <w:right w:val="none" w:sz="0" w:space="0" w:color="auto"/>
                      </w:divBdr>
                    </w:div>
                  </w:divsChild>
                </w:div>
                <w:div w:id="1763985217">
                  <w:marLeft w:val="0"/>
                  <w:marRight w:val="0"/>
                  <w:marTop w:val="0"/>
                  <w:marBottom w:val="0"/>
                  <w:divBdr>
                    <w:top w:val="none" w:sz="0" w:space="0" w:color="auto"/>
                    <w:left w:val="none" w:sz="0" w:space="0" w:color="auto"/>
                    <w:bottom w:val="none" w:sz="0" w:space="0" w:color="auto"/>
                    <w:right w:val="none" w:sz="0" w:space="0" w:color="auto"/>
                  </w:divBdr>
                  <w:divsChild>
                    <w:div w:id="1827479829">
                      <w:marLeft w:val="0"/>
                      <w:marRight w:val="0"/>
                      <w:marTop w:val="120"/>
                      <w:marBottom w:val="0"/>
                      <w:divBdr>
                        <w:top w:val="none" w:sz="0" w:space="0" w:color="auto"/>
                        <w:left w:val="none" w:sz="0" w:space="0" w:color="auto"/>
                        <w:bottom w:val="none" w:sz="0" w:space="0" w:color="auto"/>
                        <w:right w:val="none" w:sz="0" w:space="0" w:color="auto"/>
                      </w:divBdr>
                    </w:div>
                    <w:div w:id="783772235">
                      <w:marLeft w:val="0"/>
                      <w:marRight w:val="0"/>
                      <w:marTop w:val="0"/>
                      <w:marBottom w:val="0"/>
                      <w:divBdr>
                        <w:top w:val="none" w:sz="0" w:space="0" w:color="auto"/>
                        <w:left w:val="none" w:sz="0" w:space="0" w:color="auto"/>
                        <w:bottom w:val="none" w:sz="0" w:space="0" w:color="auto"/>
                        <w:right w:val="none" w:sz="0" w:space="0" w:color="auto"/>
                      </w:divBdr>
                    </w:div>
                  </w:divsChild>
                </w:div>
                <w:div w:id="1925449913">
                  <w:marLeft w:val="0"/>
                  <w:marRight w:val="0"/>
                  <w:marTop w:val="0"/>
                  <w:marBottom w:val="0"/>
                  <w:divBdr>
                    <w:top w:val="none" w:sz="0" w:space="0" w:color="auto"/>
                    <w:left w:val="none" w:sz="0" w:space="0" w:color="auto"/>
                    <w:bottom w:val="none" w:sz="0" w:space="0" w:color="auto"/>
                    <w:right w:val="none" w:sz="0" w:space="0" w:color="auto"/>
                  </w:divBdr>
                  <w:divsChild>
                    <w:div w:id="949244117">
                      <w:marLeft w:val="0"/>
                      <w:marRight w:val="0"/>
                      <w:marTop w:val="120"/>
                      <w:marBottom w:val="0"/>
                      <w:divBdr>
                        <w:top w:val="none" w:sz="0" w:space="0" w:color="auto"/>
                        <w:left w:val="none" w:sz="0" w:space="0" w:color="auto"/>
                        <w:bottom w:val="none" w:sz="0" w:space="0" w:color="auto"/>
                        <w:right w:val="none" w:sz="0" w:space="0" w:color="auto"/>
                      </w:divBdr>
                    </w:div>
                    <w:div w:id="681124679">
                      <w:marLeft w:val="0"/>
                      <w:marRight w:val="0"/>
                      <w:marTop w:val="0"/>
                      <w:marBottom w:val="0"/>
                      <w:divBdr>
                        <w:top w:val="none" w:sz="0" w:space="0" w:color="auto"/>
                        <w:left w:val="none" w:sz="0" w:space="0" w:color="auto"/>
                        <w:bottom w:val="none" w:sz="0" w:space="0" w:color="auto"/>
                        <w:right w:val="none" w:sz="0" w:space="0" w:color="auto"/>
                      </w:divBdr>
                    </w:div>
                  </w:divsChild>
                </w:div>
                <w:div w:id="353073032">
                  <w:marLeft w:val="0"/>
                  <w:marRight w:val="0"/>
                  <w:marTop w:val="0"/>
                  <w:marBottom w:val="0"/>
                  <w:divBdr>
                    <w:top w:val="none" w:sz="0" w:space="0" w:color="auto"/>
                    <w:left w:val="none" w:sz="0" w:space="0" w:color="auto"/>
                    <w:bottom w:val="none" w:sz="0" w:space="0" w:color="auto"/>
                    <w:right w:val="none" w:sz="0" w:space="0" w:color="auto"/>
                  </w:divBdr>
                  <w:divsChild>
                    <w:div w:id="725490698">
                      <w:marLeft w:val="0"/>
                      <w:marRight w:val="0"/>
                      <w:marTop w:val="120"/>
                      <w:marBottom w:val="0"/>
                      <w:divBdr>
                        <w:top w:val="none" w:sz="0" w:space="0" w:color="auto"/>
                        <w:left w:val="none" w:sz="0" w:space="0" w:color="auto"/>
                        <w:bottom w:val="none" w:sz="0" w:space="0" w:color="auto"/>
                        <w:right w:val="none" w:sz="0" w:space="0" w:color="auto"/>
                      </w:divBdr>
                    </w:div>
                    <w:div w:id="1181165151">
                      <w:marLeft w:val="0"/>
                      <w:marRight w:val="0"/>
                      <w:marTop w:val="0"/>
                      <w:marBottom w:val="0"/>
                      <w:divBdr>
                        <w:top w:val="none" w:sz="0" w:space="0" w:color="auto"/>
                        <w:left w:val="none" w:sz="0" w:space="0" w:color="auto"/>
                        <w:bottom w:val="none" w:sz="0" w:space="0" w:color="auto"/>
                        <w:right w:val="none" w:sz="0" w:space="0" w:color="auto"/>
                      </w:divBdr>
                    </w:div>
                  </w:divsChild>
                </w:div>
                <w:div w:id="1929340502">
                  <w:marLeft w:val="0"/>
                  <w:marRight w:val="0"/>
                  <w:marTop w:val="0"/>
                  <w:marBottom w:val="0"/>
                  <w:divBdr>
                    <w:top w:val="none" w:sz="0" w:space="0" w:color="auto"/>
                    <w:left w:val="none" w:sz="0" w:space="0" w:color="auto"/>
                    <w:bottom w:val="none" w:sz="0" w:space="0" w:color="auto"/>
                    <w:right w:val="none" w:sz="0" w:space="0" w:color="auto"/>
                  </w:divBdr>
                  <w:divsChild>
                    <w:div w:id="1175224289">
                      <w:marLeft w:val="0"/>
                      <w:marRight w:val="0"/>
                      <w:marTop w:val="120"/>
                      <w:marBottom w:val="0"/>
                      <w:divBdr>
                        <w:top w:val="none" w:sz="0" w:space="0" w:color="auto"/>
                        <w:left w:val="none" w:sz="0" w:space="0" w:color="auto"/>
                        <w:bottom w:val="none" w:sz="0" w:space="0" w:color="auto"/>
                        <w:right w:val="none" w:sz="0" w:space="0" w:color="auto"/>
                      </w:divBdr>
                    </w:div>
                    <w:div w:id="60298474">
                      <w:marLeft w:val="0"/>
                      <w:marRight w:val="0"/>
                      <w:marTop w:val="0"/>
                      <w:marBottom w:val="0"/>
                      <w:divBdr>
                        <w:top w:val="none" w:sz="0" w:space="0" w:color="auto"/>
                        <w:left w:val="none" w:sz="0" w:space="0" w:color="auto"/>
                        <w:bottom w:val="none" w:sz="0" w:space="0" w:color="auto"/>
                        <w:right w:val="none" w:sz="0" w:space="0" w:color="auto"/>
                      </w:divBdr>
                    </w:div>
                  </w:divsChild>
                </w:div>
                <w:div w:id="575017804">
                  <w:marLeft w:val="0"/>
                  <w:marRight w:val="0"/>
                  <w:marTop w:val="0"/>
                  <w:marBottom w:val="0"/>
                  <w:divBdr>
                    <w:top w:val="none" w:sz="0" w:space="0" w:color="auto"/>
                    <w:left w:val="none" w:sz="0" w:space="0" w:color="auto"/>
                    <w:bottom w:val="none" w:sz="0" w:space="0" w:color="auto"/>
                    <w:right w:val="none" w:sz="0" w:space="0" w:color="auto"/>
                  </w:divBdr>
                  <w:divsChild>
                    <w:div w:id="122967617">
                      <w:marLeft w:val="0"/>
                      <w:marRight w:val="0"/>
                      <w:marTop w:val="120"/>
                      <w:marBottom w:val="0"/>
                      <w:divBdr>
                        <w:top w:val="none" w:sz="0" w:space="0" w:color="auto"/>
                        <w:left w:val="none" w:sz="0" w:space="0" w:color="auto"/>
                        <w:bottom w:val="none" w:sz="0" w:space="0" w:color="auto"/>
                        <w:right w:val="none" w:sz="0" w:space="0" w:color="auto"/>
                      </w:divBdr>
                    </w:div>
                    <w:div w:id="346255382">
                      <w:marLeft w:val="0"/>
                      <w:marRight w:val="0"/>
                      <w:marTop w:val="0"/>
                      <w:marBottom w:val="0"/>
                      <w:divBdr>
                        <w:top w:val="none" w:sz="0" w:space="0" w:color="auto"/>
                        <w:left w:val="none" w:sz="0" w:space="0" w:color="auto"/>
                        <w:bottom w:val="none" w:sz="0" w:space="0" w:color="auto"/>
                        <w:right w:val="none" w:sz="0" w:space="0" w:color="auto"/>
                      </w:divBdr>
                    </w:div>
                  </w:divsChild>
                </w:div>
                <w:div w:id="227768492">
                  <w:marLeft w:val="0"/>
                  <w:marRight w:val="0"/>
                  <w:marTop w:val="0"/>
                  <w:marBottom w:val="0"/>
                  <w:divBdr>
                    <w:top w:val="none" w:sz="0" w:space="0" w:color="auto"/>
                    <w:left w:val="none" w:sz="0" w:space="0" w:color="auto"/>
                    <w:bottom w:val="none" w:sz="0" w:space="0" w:color="auto"/>
                    <w:right w:val="none" w:sz="0" w:space="0" w:color="auto"/>
                  </w:divBdr>
                  <w:divsChild>
                    <w:div w:id="1802185200">
                      <w:marLeft w:val="0"/>
                      <w:marRight w:val="0"/>
                      <w:marTop w:val="120"/>
                      <w:marBottom w:val="0"/>
                      <w:divBdr>
                        <w:top w:val="none" w:sz="0" w:space="0" w:color="auto"/>
                        <w:left w:val="none" w:sz="0" w:space="0" w:color="auto"/>
                        <w:bottom w:val="none" w:sz="0" w:space="0" w:color="auto"/>
                        <w:right w:val="none" w:sz="0" w:space="0" w:color="auto"/>
                      </w:divBdr>
                    </w:div>
                    <w:div w:id="2074697118">
                      <w:marLeft w:val="0"/>
                      <w:marRight w:val="0"/>
                      <w:marTop w:val="0"/>
                      <w:marBottom w:val="0"/>
                      <w:divBdr>
                        <w:top w:val="none" w:sz="0" w:space="0" w:color="auto"/>
                        <w:left w:val="none" w:sz="0" w:space="0" w:color="auto"/>
                        <w:bottom w:val="none" w:sz="0" w:space="0" w:color="auto"/>
                        <w:right w:val="none" w:sz="0" w:space="0" w:color="auto"/>
                      </w:divBdr>
                    </w:div>
                  </w:divsChild>
                </w:div>
                <w:div w:id="1468157741">
                  <w:marLeft w:val="0"/>
                  <w:marRight w:val="0"/>
                  <w:marTop w:val="0"/>
                  <w:marBottom w:val="0"/>
                  <w:divBdr>
                    <w:top w:val="none" w:sz="0" w:space="0" w:color="auto"/>
                    <w:left w:val="none" w:sz="0" w:space="0" w:color="auto"/>
                    <w:bottom w:val="none" w:sz="0" w:space="0" w:color="auto"/>
                    <w:right w:val="none" w:sz="0" w:space="0" w:color="auto"/>
                  </w:divBdr>
                  <w:divsChild>
                    <w:div w:id="2029716169">
                      <w:marLeft w:val="0"/>
                      <w:marRight w:val="0"/>
                      <w:marTop w:val="120"/>
                      <w:marBottom w:val="0"/>
                      <w:divBdr>
                        <w:top w:val="none" w:sz="0" w:space="0" w:color="auto"/>
                        <w:left w:val="none" w:sz="0" w:space="0" w:color="auto"/>
                        <w:bottom w:val="none" w:sz="0" w:space="0" w:color="auto"/>
                        <w:right w:val="none" w:sz="0" w:space="0" w:color="auto"/>
                      </w:divBdr>
                    </w:div>
                    <w:div w:id="1741446550">
                      <w:marLeft w:val="0"/>
                      <w:marRight w:val="0"/>
                      <w:marTop w:val="0"/>
                      <w:marBottom w:val="0"/>
                      <w:divBdr>
                        <w:top w:val="none" w:sz="0" w:space="0" w:color="auto"/>
                        <w:left w:val="none" w:sz="0" w:space="0" w:color="auto"/>
                        <w:bottom w:val="none" w:sz="0" w:space="0" w:color="auto"/>
                        <w:right w:val="none" w:sz="0" w:space="0" w:color="auto"/>
                      </w:divBdr>
                    </w:div>
                  </w:divsChild>
                </w:div>
                <w:div w:id="186603311">
                  <w:marLeft w:val="0"/>
                  <w:marRight w:val="0"/>
                  <w:marTop w:val="0"/>
                  <w:marBottom w:val="0"/>
                  <w:divBdr>
                    <w:top w:val="none" w:sz="0" w:space="0" w:color="auto"/>
                    <w:left w:val="none" w:sz="0" w:space="0" w:color="auto"/>
                    <w:bottom w:val="none" w:sz="0" w:space="0" w:color="auto"/>
                    <w:right w:val="none" w:sz="0" w:space="0" w:color="auto"/>
                  </w:divBdr>
                  <w:divsChild>
                    <w:div w:id="471990636">
                      <w:marLeft w:val="0"/>
                      <w:marRight w:val="0"/>
                      <w:marTop w:val="120"/>
                      <w:marBottom w:val="0"/>
                      <w:divBdr>
                        <w:top w:val="none" w:sz="0" w:space="0" w:color="auto"/>
                        <w:left w:val="none" w:sz="0" w:space="0" w:color="auto"/>
                        <w:bottom w:val="none" w:sz="0" w:space="0" w:color="auto"/>
                        <w:right w:val="none" w:sz="0" w:space="0" w:color="auto"/>
                      </w:divBdr>
                    </w:div>
                    <w:div w:id="110906330">
                      <w:marLeft w:val="0"/>
                      <w:marRight w:val="0"/>
                      <w:marTop w:val="0"/>
                      <w:marBottom w:val="0"/>
                      <w:divBdr>
                        <w:top w:val="none" w:sz="0" w:space="0" w:color="auto"/>
                        <w:left w:val="none" w:sz="0" w:space="0" w:color="auto"/>
                        <w:bottom w:val="none" w:sz="0" w:space="0" w:color="auto"/>
                        <w:right w:val="none" w:sz="0" w:space="0" w:color="auto"/>
                      </w:divBdr>
                    </w:div>
                  </w:divsChild>
                </w:div>
                <w:div w:id="1036203260">
                  <w:marLeft w:val="0"/>
                  <w:marRight w:val="0"/>
                  <w:marTop w:val="0"/>
                  <w:marBottom w:val="0"/>
                  <w:divBdr>
                    <w:top w:val="none" w:sz="0" w:space="0" w:color="auto"/>
                    <w:left w:val="none" w:sz="0" w:space="0" w:color="auto"/>
                    <w:bottom w:val="none" w:sz="0" w:space="0" w:color="auto"/>
                    <w:right w:val="none" w:sz="0" w:space="0" w:color="auto"/>
                  </w:divBdr>
                  <w:divsChild>
                    <w:div w:id="1510754006">
                      <w:marLeft w:val="0"/>
                      <w:marRight w:val="0"/>
                      <w:marTop w:val="120"/>
                      <w:marBottom w:val="0"/>
                      <w:divBdr>
                        <w:top w:val="none" w:sz="0" w:space="0" w:color="auto"/>
                        <w:left w:val="none" w:sz="0" w:space="0" w:color="auto"/>
                        <w:bottom w:val="none" w:sz="0" w:space="0" w:color="auto"/>
                        <w:right w:val="none" w:sz="0" w:space="0" w:color="auto"/>
                      </w:divBdr>
                    </w:div>
                    <w:div w:id="188225993">
                      <w:marLeft w:val="0"/>
                      <w:marRight w:val="0"/>
                      <w:marTop w:val="0"/>
                      <w:marBottom w:val="0"/>
                      <w:divBdr>
                        <w:top w:val="none" w:sz="0" w:space="0" w:color="auto"/>
                        <w:left w:val="none" w:sz="0" w:space="0" w:color="auto"/>
                        <w:bottom w:val="none" w:sz="0" w:space="0" w:color="auto"/>
                        <w:right w:val="none" w:sz="0" w:space="0" w:color="auto"/>
                      </w:divBdr>
                    </w:div>
                  </w:divsChild>
                </w:div>
                <w:div w:id="957493752">
                  <w:marLeft w:val="0"/>
                  <w:marRight w:val="0"/>
                  <w:marTop w:val="0"/>
                  <w:marBottom w:val="0"/>
                  <w:divBdr>
                    <w:top w:val="none" w:sz="0" w:space="0" w:color="auto"/>
                    <w:left w:val="none" w:sz="0" w:space="0" w:color="auto"/>
                    <w:bottom w:val="none" w:sz="0" w:space="0" w:color="auto"/>
                    <w:right w:val="none" w:sz="0" w:space="0" w:color="auto"/>
                  </w:divBdr>
                  <w:divsChild>
                    <w:div w:id="1342124898">
                      <w:marLeft w:val="0"/>
                      <w:marRight w:val="0"/>
                      <w:marTop w:val="120"/>
                      <w:marBottom w:val="0"/>
                      <w:divBdr>
                        <w:top w:val="none" w:sz="0" w:space="0" w:color="auto"/>
                        <w:left w:val="none" w:sz="0" w:space="0" w:color="auto"/>
                        <w:bottom w:val="none" w:sz="0" w:space="0" w:color="auto"/>
                        <w:right w:val="none" w:sz="0" w:space="0" w:color="auto"/>
                      </w:divBdr>
                    </w:div>
                    <w:div w:id="1595047463">
                      <w:marLeft w:val="0"/>
                      <w:marRight w:val="0"/>
                      <w:marTop w:val="0"/>
                      <w:marBottom w:val="0"/>
                      <w:divBdr>
                        <w:top w:val="none" w:sz="0" w:space="0" w:color="auto"/>
                        <w:left w:val="none" w:sz="0" w:space="0" w:color="auto"/>
                        <w:bottom w:val="none" w:sz="0" w:space="0" w:color="auto"/>
                        <w:right w:val="none" w:sz="0" w:space="0" w:color="auto"/>
                      </w:divBdr>
                      <w:divsChild>
                        <w:div w:id="158080537">
                          <w:marLeft w:val="0"/>
                          <w:marRight w:val="0"/>
                          <w:marTop w:val="0"/>
                          <w:marBottom w:val="0"/>
                          <w:divBdr>
                            <w:top w:val="none" w:sz="0" w:space="0" w:color="auto"/>
                            <w:left w:val="none" w:sz="0" w:space="0" w:color="auto"/>
                            <w:bottom w:val="none" w:sz="0" w:space="0" w:color="auto"/>
                            <w:right w:val="none" w:sz="0" w:space="0" w:color="auto"/>
                          </w:divBdr>
                          <w:divsChild>
                            <w:div w:id="1030765491">
                              <w:marLeft w:val="0"/>
                              <w:marRight w:val="0"/>
                              <w:marTop w:val="120"/>
                              <w:marBottom w:val="0"/>
                              <w:divBdr>
                                <w:top w:val="none" w:sz="0" w:space="0" w:color="auto"/>
                                <w:left w:val="none" w:sz="0" w:space="0" w:color="auto"/>
                                <w:bottom w:val="none" w:sz="0" w:space="0" w:color="auto"/>
                                <w:right w:val="none" w:sz="0" w:space="0" w:color="auto"/>
                              </w:divBdr>
                            </w:div>
                            <w:div w:id="1900823567">
                              <w:marLeft w:val="0"/>
                              <w:marRight w:val="0"/>
                              <w:marTop w:val="0"/>
                              <w:marBottom w:val="0"/>
                              <w:divBdr>
                                <w:top w:val="none" w:sz="0" w:space="0" w:color="auto"/>
                                <w:left w:val="none" w:sz="0" w:space="0" w:color="auto"/>
                                <w:bottom w:val="none" w:sz="0" w:space="0" w:color="auto"/>
                                <w:right w:val="none" w:sz="0" w:space="0" w:color="auto"/>
                              </w:divBdr>
                              <w:divsChild>
                                <w:div w:id="1784108675">
                                  <w:marLeft w:val="0"/>
                                  <w:marRight w:val="0"/>
                                  <w:marTop w:val="0"/>
                                  <w:marBottom w:val="0"/>
                                  <w:divBdr>
                                    <w:top w:val="none" w:sz="0" w:space="0" w:color="auto"/>
                                    <w:left w:val="none" w:sz="0" w:space="0" w:color="auto"/>
                                    <w:bottom w:val="none" w:sz="0" w:space="0" w:color="auto"/>
                                    <w:right w:val="none" w:sz="0" w:space="0" w:color="auto"/>
                                  </w:divBdr>
                                  <w:divsChild>
                                    <w:div w:id="1819490663">
                                      <w:marLeft w:val="0"/>
                                      <w:marRight w:val="0"/>
                                      <w:marTop w:val="120"/>
                                      <w:marBottom w:val="0"/>
                                      <w:divBdr>
                                        <w:top w:val="none" w:sz="0" w:space="0" w:color="auto"/>
                                        <w:left w:val="none" w:sz="0" w:space="0" w:color="auto"/>
                                        <w:bottom w:val="none" w:sz="0" w:space="0" w:color="auto"/>
                                        <w:right w:val="none" w:sz="0" w:space="0" w:color="auto"/>
                                      </w:divBdr>
                                    </w:div>
                                    <w:div w:id="878738223">
                                      <w:marLeft w:val="0"/>
                                      <w:marRight w:val="0"/>
                                      <w:marTop w:val="0"/>
                                      <w:marBottom w:val="0"/>
                                      <w:divBdr>
                                        <w:top w:val="none" w:sz="0" w:space="0" w:color="auto"/>
                                        <w:left w:val="none" w:sz="0" w:space="0" w:color="auto"/>
                                        <w:bottom w:val="none" w:sz="0" w:space="0" w:color="auto"/>
                                        <w:right w:val="none" w:sz="0" w:space="0" w:color="auto"/>
                                      </w:divBdr>
                                    </w:div>
                                  </w:divsChild>
                                </w:div>
                                <w:div w:id="2069496782">
                                  <w:marLeft w:val="0"/>
                                  <w:marRight w:val="0"/>
                                  <w:marTop w:val="0"/>
                                  <w:marBottom w:val="0"/>
                                  <w:divBdr>
                                    <w:top w:val="none" w:sz="0" w:space="0" w:color="auto"/>
                                    <w:left w:val="none" w:sz="0" w:space="0" w:color="auto"/>
                                    <w:bottom w:val="none" w:sz="0" w:space="0" w:color="auto"/>
                                    <w:right w:val="none" w:sz="0" w:space="0" w:color="auto"/>
                                  </w:divBdr>
                                  <w:divsChild>
                                    <w:div w:id="283005931">
                                      <w:marLeft w:val="0"/>
                                      <w:marRight w:val="0"/>
                                      <w:marTop w:val="120"/>
                                      <w:marBottom w:val="0"/>
                                      <w:divBdr>
                                        <w:top w:val="none" w:sz="0" w:space="0" w:color="auto"/>
                                        <w:left w:val="none" w:sz="0" w:space="0" w:color="auto"/>
                                        <w:bottom w:val="none" w:sz="0" w:space="0" w:color="auto"/>
                                        <w:right w:val="none" w:sz="0" w:space="0" w:color="auto"/>
                                      </w:divBdr>
                                    </w:div>
                                    <w:div w:id="15154360">
                                      <w:marLeft w:val="0"/>
                                      <w:marRight w:val="0"/>
                                      <w:marTop w:val="0"/>
                                      <w:marBottom w:val="0"/>
                                      <w:divBdr>
                                        <w:top w:val="none" w:sz="0" w:space="0" w:color="auto"/>
                                        <w:left w:val="none" w:sz="0" w:space="0" w:color="auto"/>
                                        <w:bottom w:val="none" w:sz="0" w:space="0" w:color="auto"/>
                                        <w:right w:val="none" w:sz="0" w:space="0" w:color="auto"/>
                                      </w:divBdr>
                                    </w:div>
                                  </w:divsChild>
                                </w:div>
                                <w:div w:id="482083533">
                                  <w:marLeft w:val="0"/>
                                  <w:marRight w:val="0"/>
                                  <w:marTop w:val="0"/>
                                  <w:marBottom w:val="0"/>
                                  <w:divBdr>
                                    <w:top w:val="none" w:sz="0" w:space="0" w:color="auto"/>
                                    <w:left w:val="none" w:sz="0" w:space="0" w:color="auto"/>
                                    <w:bottom w:val="none" w:sz="0" w:space="0" w:color="auto"/>
                                    <w:right w:val="none" w:sz="0" w:space="0" w:color="auto"/>
                                  </w:divBdr>
                                  <w:divsChild>
                                    <w:div w:id="115566249">
                                      <w:marLeft w:val="0"/>
                                      <w:marRight w:val="0"/>
                                      <w:marTop w:val="120"/>
                                      <w:marBottom w:val="0"/>
                                      <w:divBdr>
                                        <w:top w:val="none" w:sz="0" w:space="0" w:color="auto"/>
                                        <w:left w:val="none" w:sz="0" w:space="0" w:color="auto"/>
                                        <w:bottom w:val="none" w:sz="0" w:space="0" w:color="auto"/>
                                        <w:right w:val="none" w:sz="0" w:space="0" w:color="auto"/>
                                      </w:divBdr>
                                    </w:div>
                                    <w:div w:id="28115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57017">
                          <w:marLeft w:val="0"/>
                          <w:marRight w:val="0"/>
                          <w:marTop w:val="0"/>
                          <w:marBottom w:val="0"/>
                          <w:divBdr>
                            <w:top w:val="none" w:sz="0" w:space="0" w:color="auto"/>
                            <w:left w:val="none" w:sz="0" w:space="0" w:color="auto"/>
                            <w:bottom w:val="none" w:sz="0" w:space="0" w:color="auto"/>
                            <w:right w:val="none" w:sz="0" w:space="0" w:color="auto"/>
                          </w:divBdr>
                          <w:divsChild>
                            <w:div w:id="908880982">
                              <w:marLeft w:val="0"/>
                              <w:marRight w:val="0"/>
                              <w:marTop w:val="120"/>
                              <w:marBottom w:val="0"/>
                              <w:divBdr>
                                <w:top w:val="none" w:sz="0" w:space="0" w:color="auto"/>
                                <w:left w:val="none" w:sz="0" w:space="0" w:color="auto"/>
                                <w:bottom w:val="none" w:sz="0" w:space="0" w:color="auto"/>
                                <w:right w:val="none" w:sz="0" w:space="0" w:color="auto"/>
                              </w:divBdr>
                            </w:div>
                            <w:div w:id="466356532">
                              <w:marLeft w:val="0"/>
                              <w:marRight w:val="0"/>
                              <w:marTop w:val="0"/>
                              <w:marBottom w:val="0"/>
                              <w:divBdr>
                                <w:top w:val="none" w:sz="0" w:space="0" w:color="auto"/>
                                <w:left w:val="none" w:sz="0" w:space="0" w:color="auto"/>
                                <w:bottom w:val="none" w:sz="0" w:space="0" w:color="auto"/>
                                <w:right w:val="none" w:sz="0" w:space="0" w:color="auto"/>
                              </w:divBdr>
                              <w:divsChild>
                                <w:div w:id="347415981">
                                  <w:marLeft w:val="0"/>
                                  <w:marRight w:val="0"/>
                                  <w:marTop w:val="0"/>
                                  <w:marBottom w:val="0"/>
                                  <w:divBdr>
                                    <w:top w:val="none" w:sz="0" w:space="0" w:color="auto"/>
                                    <w:left w:val="none" w:sz="0" w:space="0" w:color="auto"/>
                                    <w:bottom w:val="none" w:sz="0" w:space="0" w:color="auto"/>
                                    <w:right w:val="none" w:sz="0" w:space="0" w:color="auto"/>
                                  </w:divBdr>
                                  <w:divsChild>
                                    <w:div w:id="1249926285">
                                      <w:marLeft w:val="0"/>
                                      <w:marRight w:val="0"/>
                                      <w:marTop w:val="120"/>
                                      <w:marBottom w:val="0"/>
                                      <w:divBdr>
                                        <w:top w:val="none" w:sz="0" w:space="0" w:color="auto"/>
                                        <w:left w:val="none" w:sz="0" w:space="0" w:color="auto"/>
                                        <w:bottom w:val="none" w:sz="0" w:space="0" w:color="auto"/>
                                        <w:right w:val="none" w:sz="0" w:space="0" w:color="auto"/>
                                      </w:divBdr>
                                    </w:div>
                                    <w:div w:id="517357309">
                                      <w:marLeft w:val="0"/>
                                      <w:marRight w:val="0"/>
                                      <w:marTop w:val="0"/>
                                      <w:marBottom w:val="0"/>
                                      <w:divBdr>
                                        <w:top w:val="none" w:sz="0" w:space="0" w:color="auto"/>
                                        <w:left w:val="none" w:sz="0" w:space="0" w:color="auto"/>
                                        <w:bottom w:val="none" w:sz="0" w:space="0" w:color="auto"/>
                                        <w:right w:val="none" w:sz="0" w:space="0" w:color="auto"/>
                                      </w:divBdr>
                                    </w:div>
                                  </w:divsChild>
                                </w:div>
                                <w:div w:id="718166119">
                                  <w:marLeft w:val="0"/>
                                  <w:marRight w:val="0"/>
                                  <w:marTop w:val="0"/>
                                  <w:marBottom w:val="0"/>
                                  <w:divBdr>
                                    <w:top w:val="none" w:sz="0" w:space="0" w:color="auto"/>
                                    <w:left w:val="none" w:sz="0" w:space="0" w:color="auto"/>
                                    <w:bottom w:val="none" w:sz="0" w:space="0" w:color="auto"/>
                                    <w:right w:val="none" w:sz="0" w:space="0" w:color="auto"/>
                                  </w:divBdr>
                                  <w:divsChild>
                                    <w:div w:id="1951542496">
                                      <w:marLeft w:val="0"/>
                                      <w:marRight w:val="0"/>
                                      <w:marTop w:val="120"/>
                                      <w:marBottom w:val="0"/>
                                      <w:divBdr>
                                        <w:top w:val="none" w:sz="0" w:space="0" w:color="auto"/>
                                        <w:left w:val="none" w:sz="0" w:space="0" w:color="auto"/>
                                        <w:bottom w:val="none" w:sz="0" w:space="0" w:color="auto"/>
                                        <w:right w:val="none" w:sz="0" w:space="0" w:color="auto"/>
                                      </w:divBdr>
                                    </w:div>
                                    <w:div w:id="667365070">
                                      <w:marLeft w:val="0"/>
                                      <w:marRight w:val="0"/>
                                      <w:marTop w:val="0"/>
                                      <w:marBottom w:val="0"/>
                                      <w:divBdr>
                                        <w:top w:val="none" w:sz="0" w:space="0" w:color="auto"/>
                                        <w:left w:val="none" w:sz="0" w:space="0" w:color="auto"/>
                                        <w:bottom w:val="none" w:sz="0" w:space="0" w:color="auto"/>
                                        <w:right w:val="none" w:sz="0" w:space="0" w:color="auto"/>
                                      </w:divBdr>
                                    </w:div>
                                  </w:divsChild>
                                </w:div>
                                <w:div w:id="58603615">
                                  <w:marLeft w:val="0"/>
                                  <w:marRight w:val="0"/>
                                  <w:marTop w:val="0"/>
                                  <w:marBottom w:val="0"/>
                                  <w:divBdr>
                                    <w:top w:val="none" w:sz="0" w:space="0" w:color="auto"/>
                                    <w:left w:val="none" w:sz="0" w:space="0" w:color="auto"/>
                                    <w:bottom w:val="none" w:sz="0" w:space="0" w:color="auto"/>
                                    <w:right w:val="none" w:sz="0" w:space="0" w:color="auto"/>
                                  </w:divBdr>
                                  <w:divsChild>
                                    <w:div w:id="266543270">
                                      <w:marLeft w:val="0"/>
                                      <w:marRight w:val="0"/>
                                      <w:marTop w:val="120"/>
                                      <w:marBottom w:val="0"/>
                                      <w:divBdr>
                                        <w:top w:val="none" w:sz="0" w:space="0" w:color="auto"/>
                                        <w:left w:val="none" w:sz="0" w:space="0" w:color="auto"/>
                                        <w:bottom w:val="none" w:sz="0" w:space="0" w:color="auto"/>
                                        <w:right w:val="none" w:sz="0" w:space="0" w:color="auto"/>
                                      </w:divBdr>
                                    </w:div>
                                    <w:div w:id="941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42541">
                          <w:marLeft w:val="0"/>
                          <w:marRight w:val="0"/>
                          <w:marTop w:val="0"/>
                          <w:marBottom w:val="0"/>
                          <w:divBdr>
                            <w:top w:val="none" w:sz="0" w:space="0" w:color="auto"/>
                            <w:left w:val="none" w:sz="0" w:space="0" w:color="auto"/>
                            <w:bottom w:val="none" w:sz="0" w:space="0" w:color="auto"/>
                            <w:right w:val="none" w:sz="0" w:space="0" w:color="auto"/>
                          </w:divBdr>
                          <w:divsChild>
                            <w:div w:id="2145347564">
                              <w:marLeft w:val="0"/>
                              <w:marRight w:val="0"/>
                              <w:marTop w:val="120"/>
                              <w:marBottom w:val="0"/>
                              <w:divBdr>
                                <w:top w:val="none" w:sz="0" w:space="0" w:color="auto"/>
                                <w:left w:val="none" w:sz="0" w:space="0" w:color="auto"/>
                                <w:bottom w:val="none" w:sz="0" w:space="0" w:color="auto"/>
                                <w:right w:val="none" w:sz="0" w:space="0" w:color="auto"/>
                              </w:divBdr>
                            </w:div>
                            <w:div w:id="1794977817">
                              <w:marLeft w:val="0"/>
                              <w:marRight w:val="0"/>
                              <w:marTop w:val="0"/>
                              <w:marBottom w:val="0"/>
                              <w:divBdr>
                                <w:top w:val="none" w:sz="0" w:space="0" w:color="auto"/>
                                <w:left w:val="none" w:sz="0" w:space="0" w:color="auto"/>
                                <w:bottom w:val="none" w:sz="0" w:space="0" w:color="auto"/>
                                <w:right w:val="none" w:sz="0" w:space="0" w:color="auto"/>
                              </w:divBdr>
                            </w:div>
                          </w:divsChild>
                        </w:div>
                        <w:div w:id="292904052">
                          <w:marLeft w:val="0"/>
                          <w:marRight w:val="0"/>
                          <w:marTop w:val="0"/>
                          <w:marBottom w:val="0"/>
                          <w:divBdr>
                            <w:top w:val="none" w:sz="0" w:space="0" w:color="auto"/>
                            <w:left w:val="none" w:sz="0" w:space="0" w:color="auto"/>
                            <w:bottom w:val="none" w:sz="0" w:space="0" w:color="auto"/>
                            <w:right w:val="none" w:sz="0" w:space="0" w:color="auto"/>
                          </w:divBdr>
                          <w:divsChild>
                            <w:div w:id="264777530">
                              <w:marLeft w:val="0"/>
                              <w:marRight w:val="0"/>
                              <w:marTop w:val="120"/>
                              <w:marBottom w:val="0"/>
                              <w:divBdr>
                                <w:top w:val="none" w:sz="0" w:space="0" w:color="auto"/>
                                <w:left w:val="none" w:sz="0" w:space="0" w:color="auto"/>
                                <w:bottom w:val="none" w:sz="0" w:space="0" w:color="auto"/>
                                <w:right w:val="none" w:sz="0" w:space="0" w:color="auto"/>
                              </w:divBdr>
                            </w:div>
                            <w:div w:id="1432824685">
                              <w:marLeft w:val="0"/>
                              <w:marRight w:val="0"/>
                              <w:marTop w:val="0"/>
                              <w:marBottom w:val="0"/>
                              <w:divBdr>
                                <w:top w:val="none" w:sz="0" w:space="0" w:color="auto"/>
                                <w:left w:val="none" w:sz="0" w:space="0" w:color="auto"/>
                                <w:bottom w:val="none" w:sz="0" w:space="0" w:color="auto"/>
                                <w:right w:val="none" w:sz="0" w:space="0" w:color="auto"/>
                              </w:divBdr>
                              <w:divsChild>
                                <w:div w:id="1949851130">
                                  <w:marLeft w:val="0"/>
                                  <w:marRight w:val="0"/>
                                  <w:marTop w:val="0"/>
                                  <w:marBottom w:val="0"/>
                                  <w:divBdr>
                                    <w:top w:val="none" w:sz="0" w:space="0" w:color="auto"/>
                                    <w:left w:val="none" w:sz="0" w:space="0" w:color="auto"/>
                                    <w:bottom w:val="none" w:sz="0" w:space="0" w:color="auto"/>
                                    <w:right w:val="none" w:sz="0" w:space="0" w:color="auto"/>
                                  </w:divBdr>
                                  <w:divsChild>
                                    <w:div w:id="1344360049">
                                      <w:marLeft w:val="0"/>
                                      <w:marRight w:val="0"/>
                                      <w:marTop w:val="120"/>
                                      <w:marBottom w:val="0"/>
                                      <w:divBdr>
                                        <w:top w:val="none" w:sz="0" w:space="0" w:color="auto"/>
                                        <w:left w:val="none" w:sz="0" w:space="0" w:color="auto"/>
                                        <w:bottom w:val="none" w:sz="0" w:space="0" w:color="auto"/>
                                        <w:right w:val="none" w:sz="0" w:space="0" w:color="auto"/>
                                      </w:divBdr>
                                    </w:div>
                                    <w:div w:id="1699310399">
                                      <w:marLeft w:val="0"/>
                                      <w:marRight w:val="0"/>
                                      <w:marTop w:val="0"/>
                                      <w:marBottom w:val="0"/>
                                      <w:divBdr>
                                        <w:top w:val="none" w:sz="0" w:space="0" w:color="auto"/>
                                        <w:left w:val="none" w:sz="0" w:space="0" w:color="auto"/>
                                        <w:bottom w:val="none" w:sz="0" w:space="0" w:color="auto"/>
                                        <w:right w:val="none" w:sz="0" w:space="0" w:color="auto"/>
                                      </w:divBdr>
                                    </w:div>
                                  </w:divsChild>
                                </w:div>
                                <w:div w:id="957489462">
                                  <w:marLeft w:val="0"/>
                                  <w:marRight w:val="0"/>
                                  <w:marTop w:val="0"/>
                                  <w:marBottom w:val="0"/>
                                  <w:divBdr>
                                    <w:top w:val="none" w:sz="0" w:space="0" w:color="auto"/>
                                    <w:left w:val="none" w:sz="0" w:space="0" w:color="auto"/>
                                    <w:bottom w:val="none" w:sz="0" w:space="0" w:color="auto"/>
                                    <w:right w:val="none" w:sz="0" w:space="0" w:color="auto"/>
                                  </w:divBdr>
                                  <w:divsChild>
                                    <w:div w:id="1452047465">
                                      <w:marLeft w:val="0"/>
                                      <w:marRight w:val="0"/>
                                      <w:marTop w:val="120"/>
                                      <w:marBottom w:val="0"/>
                                      <w:divBdr>
                                        <w:top w:val="none" w:sz="0" w:space="0" w:color="auto"/>
                                        <w:left w:val="none" w:sz="0" w:space="0" w:color="auto"/>
                                        <w:bottom w:val="none" w:sz="0" w:space="0" w:color="auto"/>
                                        <w:right w:val="none" w:sz="0" w:space="0" w:color="auto"/>
                                      </w:divBdr>
                                    </w:div>
                                    <w:div w:id="139352008">
                                      <w:marLeft w:val="0"/>
                                      <w:marRight w:val="0"/>
                                      <w:marTop w:val="0"/>
                                      <w:marBottom w:val="0"/>
                                      <w:divBdr>
                                        <w:top w:val="none" w:sz="0" w:space="0" w:color="auto"/>
                                        <w:left w:val="none" w:sz="0" w:space="0" w:color="auto"/>
                                        <w:bottom w:val="none" w:sz="0" w:space="0" w:color="auto"/>
                                        <w:right w:val="none" w:sz="0" w:space="0" w:color="auto"/>
                                      </w:divBdr>
                                    </w:div>
                                  </w:divsChild>
                                </w:div>
                                <w:div w:id="185603686">
                                  <w:marLeft w:val="0"/>
                                  <w:marRight w:val="0"/>
                                  <w:marTop w:val="0"/>
                                  <w:marBottom w:val="0"/>
                                  <w:divBdr>
                                    <w:top w:val="none" w:sz="0" w:space="0" w:color="auto"/>
                                    <w:left w:val="none" w:sz="0" w:space="0" w:color="auto"/>
                                    <w:bottom w:val="none" w:sz="0" w:space="0" w:color="auto"/>
                                    <w:right w:val="none" w:sz="0" w:space="0" w:color="auto"/>
                                  </w:divBdr>
                                  <w:divsChild>
                                    <w:div w:id="506676503">
                                      <w:marLeft w:val="0"/>
                                      <w:marRight w:val="0"/>
                                      <w:marTop w:val="120"/>
                                      <w:marBottom w:val="0"/>
                                      <w:divBdr>
                                        <w:top w:val="none" w:sz="0" w:space="0" w:color="auto"/>
                                        <w:left w:val="none" w:sz="0" w:space="0" w:color="auto"/>
                                        <w:bottom w:val="none" w:sz="0" w:space="0" w:color="auto"/>
                                        <w:right w:val="none" w:sz="0" w:space="0" w:color="auto"/>
                                      </w:divBdr>
                                    </w:div>
                                    <w:div w:id="4916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111035">
                          <w:marLeft w:val="0"/>
                          <w:marRight w:val="0"/>
                          <w:marTop w:val="0"/>
                          <w:marBottom w:val="0"/>
                          <w:divBdr>
                            <w:top w:val="none" w:sz="0" w:space="0" w:color="auto"/>
                            <w:left w:val="none" w:sz="0" w:space="0" w:color="auto"/>
                            <w:bottom w:val="none" w:sz="0" w:space="0" w:color="auto"/>
                            <w:right w:val="none" w:sz="0" w:space="0" w:color="auto"/>
                          </w:divBdr>
                          <w:divsChild>
                            <w:div w:id="1807699415">
                              <w:marLeft w:val="0"/>
                              <w:marRight w:val="0"/>
                              <w:marTop w:val="120"/>
                              <w:marBottom w:val="0"/>
                              <w:divBdr>
                                <w:top w:val="none" w:sz="0" w:space="0" w:color="auto"/>
                                <w:left w:val="none" w:sz="0" w:space="0" w:color="auto"/>
                                <w:bottom w:val="none" w:sz="0" w:space="0" w:color="auto"/>
                                <w:right w:val="none" w:sz="0" w:space="0" w:color="auto"/>
                              </w:divBdr>
                            </w:div>
                            <w:div w:id="1489588592">
                              <w:marLeft w:val="0"/>
                              <w:marRight w:val="0"/>
                              <w:marTop w:val="0"/>
                              <w:marBottom w:val="0"/>
                              <w:divBdr>
                                <w:top w:val="none" w:sz="0" w:space="0" w:color="auto"/>
                                <w:left w:val="none" w:sz="0" w:space="0" w:color="auto"/>
                                <w:bottom w:val="none" w:sz="0" w:space="0" w:color="auto"/>
                                <w:right w:val="none" w:sz="0" w:space="0" w:color="auto"/>
                              </w:divBdr>
                            </w:div>
                          </w:divsChild>
                        </w:div>
                        <w:div w:id="932973901">
                          <w:marLeft w:val="0"/>
                          <w:marRight w:val="0"/>
                          <w:marTop w:val="0"/>
                          <w:marBottom w:val="0"/>
                          <w:divBdr>
                            <w:top w:val="none" w:sz="0" w:space="0" w:color="auto"/>
                            <w:left w:val="none" w:sz="0" w:space="0" w:color="auto"/>
                            <w:bottom w:val="none" w:sz="0" w:space="0" w:color="auto"/>
                            <w:right w:val="none" w:sz="0" w:space="0" w:color="auto"/>
                          </w:divBdr>
                          <w:divsChild>
                            <w:div w:id="1995529742">
                              <w:marLeft w:val="0"/>
                              <w:marRight w:val="0"/>
                              <w:marTop w:val="120"/>
                              <w:marBottom w:val="0"/>
                              <w:divBdr>
                                <w:top w:val="none" w:sz="0" w:space="0" w:color="auto"/>
                                <w:left w:val="none" w:sz="0" w:space="0" w:color="auto"/>
                                <w:bottom w:val="none" w:sz="0" w:space="0" w:color="auto"/>
                                <w:right w:val="none" w:sz="0" w:space="0" w:color="auto"/>
                              </w:divBdr>
                            </w:div>
                            <w:div w:id="145340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43606">
                  <w:marLeft w:val="0"/>
                  <w:marRight w:val="0"/>
                  <w:marTop w:val="0"/>
                  <w:marBottom w:val="0"/>
                  <w:divBdr>
                    <w:top w:val="none" w:sz="0" w:space="0" w:color="auto"/>
                    <w:left w:val="none" w:sz="0" w:space="0" w:color="auto"/>
                    <w:bottom w:val="none" w:sz="0" w:space="0" w:color="auto"/>
                    <w:right w:val="none" w:sz="0" w:space="0" w:color="auto"/>
                  </w:divBdr>
                  <w:divsChild>
                    <w:div w:id="188182062">
                      <w:marLeft w:val="0"/>
                      <w:marRight w:val="0"/>
                      <w:marTop w:val="120"/>
                      <w:marBottom w:val="0"/>
                      <w:divBdr>
                        <w:top w:val="none" w:sz="0" w:space="0" w:color="auto"/>
                        <w:left w:val="none" w:sz="0" w:space="0" w:color="auto"/>
                        <w:bottom w:val="none" w:sz="0" w:space="0" w:color="auto"/>
                        <w:right w:val="none" w:sz="0" w:space="0" w:color="auto"/>
                      </w:divBdr>
                    </w:div>
                    <w:div w:id="90202817">
                      <w:marLeft w:val="0"/>
                      <w:marRight w:val="0"/>
                      <w:marTop w:val="0"/>
                      <w:marBottom w:val="0"/>
                      <w:divBdr>
                        <w:top w:val="none" w:sz="0" w:space="0" w:color="auto"/>
                        <w:left w:val="none" w:sz="0" w:space="0" w:color="auto"/>
                        <w:bottom w:val="none" w:sz="0" w:space="0" w:color="auto"/>
                        <w:right w:val="none" w:sz="0" w:space="0" w:color="auto"/>
                      </w:divBdr>
                    </w:div>
                  </w:divsChild>
                </w:div>
                <w:div w:id="472137094">
                  <w:marLeft w:val="0"/>
                  <w:marRight w:val="0"/>
                  <w:marTop w:val="0"/>
                  <w:marBottom w:val="0"/>
                  <w:divBdr>
                    <w:top w:val="none" w:sz="0" w:space="0" w:color="auto"/>
                    <w:left w:val="none" w:sz="0" w:space="0" w:color="auto"/>
                    <w:bottom w:val="none" w:sz="0" w:space="0" w:color="auto"/>
                    <w:right w:val="none" w:sz="0" w:space="0" w:color="auto"/>
                  </w:divBdr>
                  <w:divsChild>
                    <w:div w:id="2066492586">
                      <w:marLeft w:val="0"/>
                      <w:marRight w:val="0"/>
                      <w:marTop w:val="120"/>
                      <w:marBottom w:val="0"/>
                      <w:divBdr>
                        <w:top w:val="none" w:sz="0" w:space="0" w:color="auto"/>
                        <w:left w:val="none" w:sz="0" w:space="0" w:color="auto"/>
                        <w:bottom w:val="none" w:sz="0" w:space="0" w:color="auto"/>
                        <w:right w:val="none" w:sz="0" w:space="0" w:color="auto"/>
                      </w:divBdr>
                    </w:div>
                    <w:div w:id="252784477">
                      <w:marLeft w:val="0"/>
                      <w:marRight w:val="0"/>
                      <w:marTop w:val="0"/>
                      <w:marBottom w:val="0"/>
                      <w:divBdr>
                        <w:top w:val="none" w:sz="0" w:space="0" w:color="auto"/>
                        <w:left w:val="none" w:sz="0" w:space="0" w:color="auto"/>
                        <w:bottom w:val="none" w:sz="0" w:space="0" w:color="auto"/>
                        <w:right w:val="none" w:sz="0" w:space="0" w:color="auto"/>
                      </w:divBdr>
                    </w:div>
                  </w:divsChild>
                </w:div>
                <w:div w:id="1350642087">
                  <w:marLeft w:val="0"/>
                  <w:marRight w:val="0"/>
                  <w:marTop w:val="0"/>
                  <w:marBottom w:val="0"/>
                  <w:divBdr>
                    <w:top w:val="none" w:sz="0" w:space="0" w:color="auto"/>
                    <w:left w:val="none" w:sz="0" w:space="0" w:color="auto"/>
                    <w:bottom w:val="none" w:sz="0" w:space="0" w:color="auto"/>
                    <w:right w:val="none" w:sz="0" w:space="0" w:color="auto"/>
                  </w:divBdr>
                  <w:divsChild>
                    <w:div w:id="1593007909">
                      <w:marLeft w:val="0"/>
                      <w:marRight w:val="0"/>
                      <w:marTop w:val="120"/>
                      <w:marBottom w:val="0"/>
                      <w:divBdr>
                        <w:top w:val="none" w:sz="0" w:space="0" w:color="auto"/>
                        <w:left w:val="none" w:sz="0" w:space="0" w:color="auto"/>
                        <w:bottom w:val="none" w:sz="0" w:space="0" w:color="auto"/>
                        <w:right w:val="none" w:sz="0" w:space="0" w:color="auto"/>
                      </w:divBdr>
                    </w:div>
                    <w:div w:id="1015961345">
                      <w:marLeft w:val="0"/>
                      <w:marRight w:val="0"/>
                      <w:marTop w:val="0"/>
                      <w:marBottom w:val="0"/>
                      <w:divBdr>
                        <w:top w:val="none" w:sz="0" w:space="0" w:color="auto"/>
                        <w:left w:val="none" w:sz="0" w:space="0" w:color="auto"/>
                        <w:bottom w:val="none" w:sz="0" w:space="0" w:color="auto"/>
                        <w:right w:val="none" w:sz="0" w:space="0" w:color="auto"/>
                      </w:divBdr>
                    </w:div>
                  </w:divsChild>
                </w:div>
                <w:div w:id="1372730278">
                  <w:marLeft w:val="0"/>
                  <w:marRight w:val="0"/>
                  <w:marTop w:val="0"/>
                  <w:marBottom w:val="0"/>
                  <w:divBdr>
                    <w:top w:val="none" w:sz="0" w:space="0" w:color="auto"/>
                    <w:left w:val="none" w:sz="0" w:space="0" w:color="auto"/>
                    <w:bottom w:val="none" w:sz="0" w:space="0" w:color="auto"/>
                    <w:right w:val="none" w:sz="0" w:space="0" w:color="auto"/>
                  </w:divBdr>
                  <w:divsChild>
                    <w:div w:id="2128043889">
                      <w:marLeft w:val="0"/>
                      <w:marRight w:val="0"/>
                      <w:marTop w:val="120"/>
                      <w:marBottom w:val="0"/>
                      <w:divBdr>
                        <w:top w:val="none" w:sz="0" w:space="0" w:color="auto"/>
                        <w:left w:val="none" w:sz="0" w:space="0" w:color="auto"/>
                        <w:bottom w:val="none" w:sz="0" w:space="0" w:color="auto"/>
                        <w:right w:val="none" w:sz="0" w:space="0" w:color="auto"/>
                      </w:divBdr>
                    </w:div>
                    <w:div w:id="241183442">
                      <w:marLeft w:val="0"/>
                      <w:marRight w:val="0"/>
                      <w:marTop w:val="0"/>
                      <w:marBottom w:val="0"/>
                      <w:divBdr>
                        <w:top w:val="none" w:sz="0" w:space="0" w:color="auto"/>
                        <w:left w:val="none" w:sz="0" w:space="0" w:color="auto"/>
                        <w:bottom w:val="none" w:sz="0" w:space="0" w:color="auto"/>
                        <w:right w:val="none" w:sz="0" w:space="0" w:color="auto"/>
                      </w:divBdr>
                    </w:div>
                  </w:divsChild>
                </w:div>
                <w:div w:id="1915387842">
                  <w:marLeft w:val="0"/>
                  <w:marRight w:val="0"/>
                  <w:marTop w:val="0"/>
                  <w:marBottom w:val="0"/>
                  <w:divBdr>
                    <w:top w:val="none" w:sz="0" w:space="0" w:color="auto"/>
                    <w:left w:val="none" w:sz="0" w:space="0" w:color="auto"/>
                    <w:bottom w:val="none" w:sz="0" w:space="0" w:color="auto"/>
                    <w:right w:val="none" w:sz="0" w:space="0" w:color="auto"/>
                  </w:divBdr>
                  <w:divsChild>
                    <w:div w:id="152917195">
                      <w:marLeft w:val="0"/>
                      <w:marRight w:val="0"/>
                      <w:marTop w:val="120"/>
                      <w:marBottom w:val="0"/>
                      <w:divBdr>
                        <w:top w:val="none" w:sz="0" w:space="0" w:color="auto"/>
                        <w:left w:val="none" w:sz="0" w:space="0" w:color="auto"/>
                        <w:bottom w:val="none" w:sz="0" w:space="0" w:color="auto"/>
                        <w:right w:val="none" w:sz="0" w:space="0" w:color="auto"/>
                      </w:divBdr>
                    </w:div>
                    <w:div w:id="98721568">
                      <w:marLeft w:val="0"/>
                      <w:marRight w:val="0"/>
                      <w:marTop w:val="0"/>
                      <w:marBottom w:val="0"/>
                      <w:divBdr>
                        <w:top w:val="none" w:sz="0" w:space="0" w:color="auto"/>
                        <w:left w:val="none" w:sz="0" w:space="0" w:color="auto"/>
                        <w:bottom w:val="none" w:sz="0" w:space="0" w:color="auto"/>
                        <w:right w:val="none" w:sz="0" w:space="0" w:color="auto"/>
                      </w:divBdr>
                    </w:div>
                  </w:divsChild>
                </w:div>
                <w:div w:id="1537892208">
                  <w:marLeft w:val="0"/>
                  <w:marRight w:val="0"/>
                  <w:marTop w:val="0"/>
                  <w:marBottom w:val="0"/>
                  <w:divBdr>
                    <w:top w:val="none" w:sz="0" w:space="0" w:color="auto"/>
                    <w:left w:val="none" w:sz="0" w:space="0" w:color="auto"/>
                    <w:bottom w:val="none" w:sz="0" w:space="0" w:color="auto"/>
                    <w:right w:val="none" w:sz="0" w:space="0" w:color="auto"/>
                  </w:divBdr>
                  <w:divsChild>
                    <w:div w:id="1923904337">
                      <w:marLeft w:val="0"/>
                      <w:marRight w:val="0"/>
                      <w:marTop w:val="120"/>
                      <w:marBottom w:val="0"/>
                      <w:divBdr>
                        <w:top w:val="none" w:sz="0" w:space="0" w:color="auto"/>
                        <w:left w:val="none" w:sz="0" w:space="0" w:color="auto"/>
                        <w:bottom w:val="none" w:sz="0" w:space="0" w:color="auto"/>
                        <w:right w:val="none" w:sz="0" w:space="0" w:color="auto"/>
                      </w:divBdr>
                    </w:div>
                    <w:div w:id="348215835">
                      <w:marLeft w:val="0"/>
                      <w:marRight w:val="0"/>
                      <w:marTop w:val="0"/>
                      <w:marBottom w:val="0"/>
                      <w:divBdr>
                        <w:top w:val="none" w:sz="0" w:space="0" w:color="auto"/>
                        <w:left w:val="none" w:sz="0" w:space="0" w:color="auto"/>
                        <w:bottom w:val="none" w:sz="0" w:space="0" w:color="auto"/>
                        <w:right w:val="none" w:sz="0" w:space="0" w:color="auto"/>
                      </w:divBdr>
                    </w:div>
                  </w:divsChild>
                </w:div>
                <w:div w:id="1419327456">
                  <w:marLeft w:val="0"/>
                  <w:marRight w:val="0"/>
                  <w:marTop w:val="0"/>
                  <w:marBottom w:val="0"/>
                  <w:divBdr>
                    <w:top w:val="none" w:sz="0" w:space="0" w:color="auto"/>
                    <w:left w:val="none" w:sz="0" w:space="0" w:color="auto"/>
                    <w:bottom w:val="none" w:sz="0" w:space="0" w:color="auto"/>
                    <w:right w:val="none" w:sz="0" w:space="0" w:color="auto"/>
                  </w:divBdr>
                  <w:divsChild>
                    <w:div w:id="1910535327">
                      <w:marLeft w:val="0"/>
                      <w:marRight w:val="0"/>
                      <w:marTop w:val="120"/>
                      <w:marBottom w:val="0"/>
                      <w:divBdr>
                        <w:top w:val="none" w:sz="0" w:space="0" w:color="auto"/>
                        <w:left w:val="none" w:sz="0" w:space="0" w:color="auto"/>
                        <w:bottom w:val="none" w:sz="0" w:space="0" w:color="auto"/>
                        <w:right w:val="none" w:sz="0" w:space="0" w:color="auto"/>
                      </w:divBdr>
                    </w:div>
                    <w:div w:id="645085153">
                      <w:marLeft w:val="0"/>
                      <w:marRight w:val="0"/>
                      <w:marTop w:val="0"/>
                      <w:marBottom w:val="0"/>
                      <w:divBdr>
                        <w:top w:val="none" w:sz="0" w:space="0" w:color="auto"/>
                        <w:left w:val="none" w:sz="0" w:space="0" w:color="auto"/>
                        <w:bottom w:val="none" w:sz="0" w:space="0" w:color="auto"/>
                        <w:right w:val="none" w:sz="0" w:space="0" w:color="auto"/>
                      </w:divBdr>
                    </w:div>
                  </w:divsChild>
                </w:div>
                <w:div w:id="1447501591">
                  <w:marLeft w:val="0"/>
                  <w:marRight w:val="0"/>
                  <w:marTop w:val="0"/>
                  <w:marBottom w:val="0"/>
                  <w:divBdr>
                    <w:top w:val="none" w:sz="0" w:space="0" w:color="auto"/>
                    <w:left w:val="none" w:sz="0" w:space="0" w:color="auto"/>
                    <w:bottom w:val="none" w:sz="0" w:space="0" w:color="auto"/>
                    <w:right w:val="none" w:sz="0" w:space="0" w:color="auto"/>
                  </w:divBdr>
                  <w:divsChild>
                    <w:div w:id="907610318">
                      <w:marLeft w:val="0"/>
                      <w:marRight w:val="0"/>
                      <w:marTop w:val="120"/>
                      <w:marBottom w:val="0"/>
                      <w:divBdr>
                        <w:top w:val="none" w:sz="0" w:space="0" w:color="auto"/>
                        <w:left w:val="none" w:sz="0" w:space="0" w:color="auto"/>
                        <w:bottom w:val="none" w:sz="0" w:space="0" w:color="auto"/>
                        <w:right w:val="none" w:sz="0" w:space="0" w:color="auto"/>
                      </w:divBdr>
                    </w:div>
                    <w:div w:id="1577473726">
                      <w:marLeft w:val="0"/>
                      <w:marRight w:val="0"/>
                      <w:marTop w:val="0"/>
                      <w:marBottom w:val="0"/>
                      <w:divBdr>
                        <w:top w:val="none" w:sz="0" w:space="0" w:color="auto"/>
                        <w:left w:val="none" w:sz="0" w:space="0" w:color="auto"/>
                        <w:bottom w:val="none" w:sz="0" w:space="0" w:color="auto"/>
                        <w:right w:val="none" w:sz="0" w:space="0" w:color="auto"/>
                      </w:divBdr>
                    </w:div>
                  </w:divsChild>
                </w:div>
                <w:div w:id="600144969">
                  <w:marLeft w:val="0"/>
                  <w:marRight w:val="0"/>
                  <w:marTop w:val="0"/>
                  <w:marBottom w:val="0"/>
                  <w:divBdr>
                    <w:top w:val="none" w:sz="0" w:space="0" w:color="auto"/>
                    <w:left w:val="none" w:sz="0" w:space="0" w:color="auto"/>
                    <w:bottom w:val="none" w:sz="0" w:space="0" w:color="auto"/>
                    <w:right w:val="none" w:sz="0" w:space="0" w:color="auto"/>
                  </w:divBdr>
                  <w:divsChild>
                    <w:div w:id="883173415">
                      <w:marLeft w:val="0"/>
                      <w:marRight w:val="0"/>
                      <w:marTop w:val="120"/>
                      <w:marBottom w:val="0"/>
                      <w:divBdr>
                        <w:top w:val="none" w:sz="0" w:space="0" w:color="auto"/>
                        <w:left w:val="none" w:sz="0" w:space="0" w:color="auto"/>
                        <w:bottom w:val="none" w:sz="0" w:space="0" w:color="auto"/>
                        <w:right w:val="none" w:sz="0" w:space="0" w:color="auto"/>
                      </w:divBdr>
                    </w:div>
                    <w:div w:id="1261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957835">
          <w:marLeft w:val="0"/>
          <w:marRight w:val="0"/>
          <w:marTop w:val="0"/>
          <w:marBottom w:val="0"/>
          <w:divBdr>
            <w:top w:val="none" w:sz="0" w:space="0" w:color="auto"/>
            <w:left w:val="none" w:sz="0" w:space="0" w:color="auto"/>
            <w:bottom w:val="none" w:sz="0" w:space="0" w:color="auto"/>
            <w:right w:val="none" w:sz="0" w:space="0" w:color="auto"/>
          </w:divBdr>
          <w:divsChild>
            <w:div w:id="132261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94784">
      <w:bodyDiv w:val="1"/>
      <w:marLeft w:val="0"/>
      <w:marRight w:val="0"/>
      <w:marTop w:val="0"/>
      <w:marBottom w:val="0"/>
      <w:divBdr>
        <w:top w:val="none" w:sz="0" w:space="0" w:color="auto"/>
        <w:left w:val="none" w:sz="0" w:space="0" w:color="auto"/>
        <w:bottom w:val="none" w:sz="0" w:space="0" w:color="auto"/>
        <w:right w:val="none" w:sz="0" w:space="0" w:color="auto"/>
      </w:divBdr>
      <w:divsChild>
        <w:div w:id="1680544669">
          <w:marLeft w:val="0"/>
          <w:marRight w:val="0"/>
          <w:marTop w:val="0"/>
          <w:marBottom w:val="0"/>
          <w:divBdr>
            <w:top w:val="none" w:sz="0" w:space="0" w:color="auto"/>
            <w:left w:val="none" w:sz="0" w:space="0" w:color="auto"/>
            <w:bottom w:val="none" w:sz="0" w:space="0" w:color="auto"/>
            <w:right w:val="none" w:sz="0" w:space="0" w:color="auto"/>
          </w:divBdr>
          <w:divsChild>
            <w:div w:id="63996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32035">
      <w:bodyDiv w:val="1"/>
      <w:marLeft w:val="0"/>
      <w:marRight w:val="0"/>
      <w:marTop w:val="0"/>
      <w:marBottom w:val="0"/>
      <w:divBdr>
        <w:top w:val="none" w:sz="0" w:space="0" w:color="auto"/>
        <w:left w:val="none" w:sz="0" w:space="0" w:color="auto"/>
        <w:bottom w:val="none" w:sz="0" w:space="0" w:color="auto"/>
        <w:right w:val="none" w:sz="0" w:space="0" w:color="auto"/>
      </w:divBdr>
      <w:divsChild>
        <w:div w:id="977761394">
          <w:marLeft w:val="0"/>
          <w:marRight w:val="0"/>
          <w:marTop w:val="0"/>
          <w:marBottom w:val="0"/>
          <w:divBdr>
            <w:top w:val="none" w:sz="0" w:space="0" w:color="auto"/>
            <w:left w:val="none" w:sz="0" w:space="0" w:color="auto"/>
            <w:bottom w:val="none" w:sz="0" w:space="0" w:color="auto"/>
            <w:right w:val="none" w:sz="0" w:space="0" w:color="auto"/>
          </w:divBdr>
        </w:div>
      </w:divsChild>
    </w:div>
    <w:div w:id="1877542152">
      <w:bodyDiv w:val="1"/>
      <w:marLeft w:val="0"/>
      <w:marRight w:val="0"/>
      <w:marTop w:val="0"/>
      <w:marBottom w:val="0"/>
      <w:divBdr>
        <w:top w:val="none" w:sz="0" w:space="0" w:color="auto"/>
        <w:left w:val="none" w:sz="0" w:space="0" w:color="auto"/>
        <w:bottom w:val="none" w:sz="0" w:space="0" w:color="auto"/>
        <w:right w:val="none" w:sz="0" w:space="0" w:color="auto"/>
      </w:divBdr>
      <w:divsChild>
        <w:div w:id="2028553404">
          <w:marLeft w:val="0"/>
          <w:marRight w:val="0"/>
          <w:marTop w:val="0"/>
          <w:marBottom w:val="0"/>
          <w:divBdr>
            <w:top w:val="none" w:sz="0" w:space="0" w:color="auto"/>
            <w:left w:val="none" w:sz="0" w:space="0" w:color="auto"/>
            <w:bottom w:val="none" w:sz="0" w:space="0" w:color="auto"/>
            <w:right w:val="none" w:sz="0" w:space="0" w:color="auto"/>
          </w:divBdr>
          <w:divsChild>
            <w:div w:id="1765611812">
              <w:marLeft w:val="0"/>
              <w:marRight w:val="0"/>
              <w:marTop w:val="0"/>
              <w:marBottom w:val="0"/>
              <w:divBdr>
                <w:top w:val="none" w:sz="0" w:space="0" w:color="auto"/>
                <w:left w:val="none" w:sz="0" w:space="0" w:color="auto"/>
                <w:bottom w:val="none" w:sz="0" w:space="0" w:color="auto"/>
                <w:right w:val="none" w:sz="0" w:space="0" w:color="auto"/>
              </w:divBdr>
              <w:divsChild>
                <w:div w:id="587083706">
                  <w:marLeft w:val="0"/>
                  <w:marRight w:val="0"/>
                  <w:marTop w:val="120"/>
                  <w:marBottom w:val="0"/>
                  <w:divBdr>
                    <w:top w:val="none" w:sz="0" w:space="0" w:color="auto"/>
                    <w:left w:val="none" w:sz="0" w:space="0" w:color="auto"/>
                    <w:bottom w:val="none" w:sz="0" w:space="0" w:color="auto"/>
                    <w:right w:val="none" w:sz="0" w:space="0" w:color="auto"/>
                  </w:divBdr>
                </w:div>
                <w:div w:id="138425397">
                  <w:marLeft w:val="0"/>
                  <w:marRight w:val="0"/>
                  <w:marTop w:val="0"/>
                  <w:marBottom w:val="0"/>
                  <w:divBdr>
                    <w:top w:val="none" w:sz="0" w:space="0" w:color="auto"/>
                    <w:left w:val="none" w:sz="0" w:space="0" w:color="auto"/>
                    <w:bottom w:val="none" w:sz="0" w:space="0" w:color="auto"/>
                    <w:right w:val="none" w:sz="0" w:space="0" w:color="auto"/>
                  </w:divBdr>
                </w:div>
              </w:divsChild>
            </w:div>
            <w:div w:id="1848248053">
              <w:marLeft w:val="0"/>
              <w:marRight w:val="0"/>
              <w:marTop w:val="0"/>
              <w:marBottom w:val="0"/>
              <w:divBdr>
                <w:top w:val="none" w:sz="0" w:space="0" w:color="auto"/>
                <w:left w:val="none" w:sz="0" w:space="0" w:color="auto"/>
                <w:bottom w:val="none" w:sz="0" w:space="0" w:color="auto"/>
                <w:right w:val="none" w:sz="0" w:space="0" w:color="auto"/>
              </w:divBdr>
              <w:divsChild>
                <w:div w:id="2136439729">
                  <w:marLeft w:val="0"/>
                  <w:marRight w:val="0"/>
                  <w:marTop w:val="120"/>
                  <w:marBottom w:val="0"/>
                  <w:divBdr>
                    <w:top w:val="none" w:sz="0" w:space="0" w:color="auto"/>
                    <w:left w:val="none" w:sz="0" w:space="0" w:color="auto"/>
                    <w:bottom w:val="none" w:sz="0" w:space="0" w:color="auto"/>
                    <w:right w:val="none" w:sz="0" w:space="0" w:color="auto"/>
                  </w:divBdr>
                </w:div>
                <w:div w:id="16689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59838">
      <w:bodyDiv w:val="1"/>
      <w:marLeft w:val="0"/>
      <w:marRight w:val="0"/>
      <w:marTop w:val="0"/>
      <w:marBottom w:val="0"/>
      <w:divBdr>
        <w:top w:val="none" w:sz="0" w:space="0" w:color="auto"/>
        <w:left w:val="none" w:sz="0" w:space="0" w:color="auto"/>
        <w:bottom w:val="none" w:sz="0" w:space="0" w:color="auto"/>
        <w:right w:val="none" w:sz="0" w:space="0" w:color="auto"/>
      </w:divBdr>
      <w:divsChild>
        <w:div w:id="1502576368">
          <w:marLeft w:val="0"/>
          <w:marRight w:val="0"/>
          <w:marTop w:val="0"/>
          <w:marBottom w:val="0"/>
          <w:divBdr>
            <w:top w:val="none" w:sz="0" w:space="0" w:color="auto"/>
            <w:left w:val="none" w:sz="0" w:space="0" w:color="auto"/>
            <w:bottom w:val="none" w:sz="0" w:space="0" w:color="auto"/>
            <w:right w:val="none" w:sz="0" w:space="0" w:color="auto"/>
          </w:divBdr>
        </w:div>
      </w:divsChild>
    </w:div>
    <w:div w:id="1895503482">
      <w:bodyDiv w:val="1"/>
      <w:marLeft w:val="0"/>
      <w:marRight w:val="0"/>
      <w:marTop w:val="0"/>
      <w:marBottom w:val="0"/>
      <w:divBdr>
        <w:top w:val="none" w:sz="0" w:space="0" w:color="auto"/>
        <w:left w:val="none" w:sz="0" w:space="0" w:color="auto"/>
        <w:bottom w:val="none" w:sz="0" w:space="0" w:color="auto"/>
        <w:right w:val="none" w:sz="0" w:space="0" w:color="auto"/>
      </w:divBdr>
      <w:divsChild>
        <w:div w:id="423455150">
          <w:marLeft w:val="0"/>
          <w:marRight w:val="0"/>
          <w:marTop w:val="0"/>
          <w:marBottom w:val="0"/>
          <w:divBdr>
            <w:top w:val="none" w:sz="0" w:space="0" w:color="auto"/>
            <w:left w:val="none" w:sz="0" w:space="0" w:color="auto"/>
            <w:bottom w:val="none" w:sz="0" w:space="0" w:color="auto"/>
            <w:right w:val="none" w:sz="0" w:space="0" w:color="auto"/>
          </w:divBdr>
        </w:div>
      </w:divsChild>
    </w:div>
    <w:div w:id="1895578952">
      <w:bodyDiv w:val="1"/>
      <w:marLeft w:val="0"/>
      <w:marRight w:val="0"/>
      <w:marTop w:val="0"/>
      <w:marBottom w:val="0"/>
      <w:divBdr>
        <w:top w:val="none" w:sz="0" w:space="0" w:color="auto"/>
        <w:left w:val="none" w:sz="0" w:space="0" w:color="auto"/>
        <w:bottom w:val="none" w:sz="0" w:space="0" w:color="auto"/>
        <w:right w:val="none" w:sz="0" w:space="0" w:color="auto"/>
      </w:divBdr>
      <w:divsChild>
        <w:div w:id="39715277">
          <w:marLeft w:val="0"/>
          <w:marRight w:val="0"/>
          <w:marTop w:val="120"/>
          <w:marBottom w:val="0"/>
          <w:divBdr>
            <w:top w:val="none" w:sz="0" w:space="0" w:color="auto"/>
            <w:left w:val="none" w:sz="0" w:space="0" w:color="auto"/>
            <w:bottom w:val="none" w:sz="0" w:space="0" w:color="auto"/>
            <w:right w:val="none" w:sz="0" w:space="0" w:color="auto"/>
          </w:divBdr>
        </w:div>
        <w:div w:id="597954354">
          <w:marLeft w:val="0"/>
          <w:marRight w:val="0"/>
          <w:marTop w:val="0"/>
          <w:marBottom w:val="0"/>
          <w:divBdr>
            <w:top w:val="none" w:sz="0" w:space="0" w:color="auto"/>
            <w:left w:val="none" w:sz="0" w:space="0" w:color="auto"/>
            <w:bottom w:val="none" w:sz="0" w:space="0" w:color="auto"/>
            <w:right w:val="none" w:sz="0" w:space="0" w:color="auto"/>
          </w:divBdr>
        </w:div>
      </w:divsChild>
    </w:div>
    <w:div w:id="1898009825">
      <w:bodyDiv w:val="1"/>
      <w:marLeft w:val="0"/>
      <w:marRight w:val="0"/>
      <w:marTop w:val="0"/>
      <w:marBottom w:val="0"/>
      <w:divBdr>
        <w:top w:val="none" w:sz="0" w:space="0" w:color="auto"/>
        <w:left w:val="none" w:sz="0" w:space="0" w:color="auto"/>
        <w:bottom w:val="none" w:sz="0" w:space="0" w:color="auto"/>
        <w:right w:val="none" w:sz="0" w:space="0" w:color="auto"/>
      </w:divBdr>
      <w:divsChild>
        <w:div w:id="940644670">
          <w:marLeft w:val="0"/>
          <w:marRight w:val="0"/>
          <w:marTop w:val="0"/>
          <w:marBottom w:val="0"/>
          <w:divBdr>
            <w:top w:val="none" w:sz="0" w:space="0" w:color="auto"/>
            <w:left w:val="none" w:sz="0" w:space="0" w:color="auto"/>
            <w:bottom w:val="none" w:sz="0" w:space="0" w:color="auto"/>
            <w:right w:val="none" w:sz="0" w:space="0" w:color="auto"/>
          </w:divBdr>
        </w:div>
      </w:divsChild>
    </w:div>
    <w:div w:id="1924028201">
      <w:bodyDiv w:val="1"/>
      <w:marLeft w:val="0"/>
      <w:marRight w:val="0"/>
      <w:marTop w:val="0"/>
      <w:marBottom w:val="0"/>
      <w:divBdr>
        <w:top w:val="none" w:sz="0" w:space="0" w:color="auto"/>
        <w:left w:val="none" w:sz="0" w:space="0" w:color="auto"/>
        <w:bottom w:val="none" w:sz="0" w:space="0" w:color="auto"/>
        <w:right w:val="none" w:sz="0" w:space="0" w:color="auto"/>
      </w:divBdr>
      <w:divsChild>
        <w:div w:id="1501507321">
          <w:marLeft w:val="0"/>
          <w:marRight w:val="0"/>
          <w:marTop w:val="120"/>
          <w:marBottom w:val="0"/>
          <w:divBdr>
            <w:top w:val="none" w:sz="0" w:space="0" w:color="auto"/>
            <w:left w:val="none" w:sz="0" w:space="0" w:color="auto"/>
            <w:bottom w:val="none" w:sz="0" w:space="0" w:color="auto"/>
            <w:right w:val="none" w:sz="0" w:space="0" w:color="auto"/>
          </w:divBdr>
        </w:div>
        <w:div w:id="765539701">
          <w:marLeft w:val="0"/>
          <w:marRight w:val="0"/>
          <w:marTop w:val="0"/>
          <w:marBottom w:val="0"/>
          <w:divBdr>
            <w:top w:val="none" w:sz="0" w:space="0" w:color="auto"/>
            <w:left w:val="none" w:sz="0" w:space="0" w:color="auto"/>
            <w:bottom w:val="none" w:sz="0" w:space="0" w:color="auto"/>
            <w:right w:val="none" w:sz="0" w:space="0" w:color="auto"/>
          </w:divBdr>
        </w:div>
      </w:divsChild>
    </w:div>
    <w:div w:id="1928077446">
      <w:bodyDiv w:val="1"/>
      <w:marLeft w:val="0"/>
      <w:marRight w:val="0"/>
      <w:marTop w:val="0"/>
      <w:marBottom w:val="0"/>
      <w:divBdr>
        <w:top w:val="none" w:sz="0" w:space="0" w:color="auto"/>
        <w:left w:val="none" w:sz="0" w:space="0" w:color="auto"/>
        <w:bottom w:val="none" w:sz="0" w:space="0" w:color="auto"/>
        <w:right w:val="none" w:sz="0" w:space="0" w:color="auto"/>
      </w:divBdr>
      <w:divsChild>
        <w:div w:id="1750613183">
          <w:marLeft w:val="0"/>
          <w:marRight w:val="0"/>
          <w:marTop w:val="120"/>
          <w:marBottom w:val="0"/>
          <w:divBdr>
            <w:top w:val="none" w:sz="0" w:space="0" w:color="auto"/>
            <w:left w:val="none" w:sz="0" w:space="0" w:color="auto"/>
            <w:bottom w:val="none" w:sz="0" w:space="0" w:color="auto"/>
            <w:right w:val="none" w:sz="0" w:space="0" w:color="auto"/>
          </w:divBdr>
        </w:div>
        <w:div w:id="2020621169">
          <w:marLeft w:val="0"/>
          <w:marRight w:val="0"/>
          <w:marTop w:val="0"/>
          <w:marBottom w:val="0"/>
          <w:divBdr>
            <w:top w:val="none" w:sz="0" w:space="0" w:color="auto"/>
            <w:left w:val="none" w:sz="0" w:space="0" w:color="auto"/>
            <w:bottom w:val="none" w:sz="0" w:space="0" w:color="auto"/>
            <w:right w:val="none" w:sz="0" w:space="0" w:color="auto"/>
          </w:divBdr>
        </w:div>
      </w:divsChild>
    </w:div>
    <w:div w:id="1938783137">
      <w:bodyDiv w:val="1"/>
      <w:marLeft w:val="0"/>
      <w:marRight w:val="0"/>
      <w:marTop w:val="0"/>
      <w:marBottom w:val="0"/>
      <w:divBdr>
        <w:top w:val="none" w:sz="0" w:space="0" w:color="auto"/>
        <w:left w:val="none" w:sz="0" w:space="0" w:color="auto"/>
        <w:bottom w:val="none" w:sz="0" w:space="0" w:color="auto"/>
        <w:right w:val="none" w:sz="0" w:space="0" w:color="auto"/>
      </w:divBdr>
      <w:divsChild>
        <w:div w:id="31461043">
          <w:marLeft w:val="0"/>
          <w:marRight w:val="0"/>
          <w:marTop w:val="0"/>
          <w:marBottom w:val="0"/>
          <w:divBdr>
            <w:top w:val="none" w:sz="0" w:space="0" w:color="auto"/>
            <w:left w:val="none" w:sz="0" w:space="0" w:color="auto"/>
            <w:bottom w:val="none" w:sz="0" w:space="0" w:color="auto"/>
            <w:right w:val="none" w:sz="0" w:space="0" w:color="auto"/>
          </w:divBdr>
        </w:div>
      </w:divsChild>
    </w:div>
    <w:div w:id="1938825832">
      <w:bodyDiv w:val="1"/>
      <w:marLeft w:val="0"/>
      <w:marRight w:val="0"/>
      <w:marTop w:val="0"/>
      <w:marBottom w:val="0"/>
      <w:divBdr>
        <w:top w:val="none" w:sz="0" w:space="0" w:color="auto"/>
        <w:left w:val="none" w:sz="0" w:space="0" w:color="auto"/>
        <w:bottom w:val="none" w:sz="0" w:space="0" w:color="auto"/>
        <w:right w:val="none" w:sz="0" w:space="0" w:color="auto"/>
      </w:divBdr>
      <w:divsChild>
        <w:div w:id="1703747452">
          <w:marLeft w:val="0"/>
          <w:marRight w:val="0"/>
          <w:marTop w:val="0"/>
          <w:marBottom w:val="0"/>
          <w:divBdr>
            <w:top w:val="none" w:sz="0" w:space="0" w:color="auto"/>
            <w:left w:val="none" w:sz="0" w:space="0" w:color="auto"/>
            <w:bottom w:val="none" w:sz="0" w:space="0" w:color="auto"/>
            <w:right w:val="none" w:sz="0" w:space="0" w:color="auto"/>
          </w:divBdr>
        </w:div>
      </w:divsChild>
    </w:div>
    <w:div w:id="1942108442">
      <w:bodyDiv w:val="1"/>
      <w:marLeft w:val="0"/>
      <w:marRight w:val="0"/>
      <w:marTop w:val="0"/>
      <w:marBottom w:val="0"/>
      <w:divBdr>
        <w:top w:val="none" w:sz="0" w:space="0" w:color="auto"/>
        <w:left w:val="none" w:sz="0" w:space="0" w:color="auto"/>
        <w:bottom w:val="none" w:sz="0" w:space="0" w:color="auto"/>
        <w:right w:val="none" w:sz="0" w:space="0" w:color="auto"/>
      </w:divBdr>
      <w:divsChild>
        <w:div w:id="5132450">
          <w:marLeft w:val="0"/>
          <w:marRight w:val="0"/>
          <w:marTop w:val="0"/>
          <w:marBottom w:val="0"/>
          <w:divBdr>
            <w:top w:val="none" w:sz="0" w:space="0" w:color="auto"/>
            <w:left w:val="none" w:sz="0" w:space="0" w:color="auto"/>
            <w:bottom w:val="none" w:sz="0" w:space="0" w:color="auto"/>
            <w:right w:val="none" w:sz="0" w:space="0" w:color="auto"/>
          </w:divBdr>
          <w:divsChild>
            <w:div w:id="945649088">
              <w:marLeft w:val="0"/>
              <w:marRight w:val="0"/>
              <w:marTop w:val="120"/>
              <w:marBottom w:val="0"/>
              <w:divBdr>
                <w:top w:val="none" w:sz="0" w:space="0" w:color="auto"/>
                <w:left w:val="none" w:sz="0" w:space="0" w:color="auto"/>
                <w:bottom w:val="none" w:sz="0" w:space="0" w:color="auto"/>
                <w:right w:val="none" w:sz="0" w:space="0" w:color="auto"/>
              </w:divBdr>
            </w:div>
            <w:div w:id="1676112654">
              <w:marLeft w:val="0"/>
              <w:marRight w:val="0"/>
              <w:marTop w:val="0"/>
              <w:marBottom w:val="0"/>
              <w:divBdr>
                <w:top w:val="none" w:sz="0" w:space="0" w:color="auto"/>
                <w:left w:val="none" w:sz="0" w:space="0" w:color="auto"/>
                <w:bottom w:val="none" w:sz="0" w:space="0" w:color="auto"/>
                <w:right w:val="none" w:sz="0" w:space="0" w:color="auto"/>
              </w:divBdr>
            </w:div>
          </w:divsChild>
        </w:div>
        <w:div w:id="354309956">
          <w:marLeft w:val="0"/>
          <w:marRight w:val="0"/>
          <w:marTop w:val="0"/>
          <w:marBottom w:val="0"/>
          <w:divBdr>
            <w:top w:val="none" w:sz="0" w:space="0" w:color="auto"/>
            <w:left w:val="none" w:sz="0" w:space="0" w:color="auto"/>
            <w:bottom w:val="none" w:sz="0" w:space="0" w:color="auto"/>
            <w:right w:val="none" w:sz="0" w:space="0" w:color="auto"/>
          </w:divBdr>
          <w:divsChild>
            <w:div w:id="92090342">
              <w:marLeft w:val="0"/>
              <w:marRight w:val="0"/>
              <w:marTop w:val="120"/>
              <w:marBottom w:val="0"/>
              <w:divBdr>
                <w:top w:val="none" w:sz="0" w:space="0" w:color="auto"/>
                <w:left w:val="none" w:sz="0" w:space="0" w:color="auto"/>
                <w:bottom w:val="none" w:sz="0" w:space="0" w:color="auto"/>
                <w:right w:val="none" w:sz="0" w:space="0" w:color="auto"/>
              </w:divBdr>
            </w:div>
            <w:div w:id="80716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70744">
      <w:bodyDiv w:val="1"/>
      <w:marLeft w:val="0"/>
      <w:marRight w:val="0"/>
      <w:marTop w:val="0"/>
      <w:marBottom w:val="0"/>
      <w:divBdr>
        <w:top w:val="none" w:sz="0" w:space="0" w:color="auto"/>
        <w:left w:val="none" w:sz="0" w:space="0" w:color="auto"/>
        <w:bottom w:val="none" w:sz="0" w:space="0" w:color="auto"/>
        <w:right w:val="none" w:sz="0" w:space="0" w:color="auto"/>
      </w:divBdr>
      <w:divsChild>
        <w:div w:id="1523543724">
          <w:marLeft w:val="0"/>
          <w:marRight w:val="0"/>
          <w:marTop w:val="0"/>
          <w:marBottom w:val="0"/>
          <w:divBdr>
            <w:top w:val="none" w:sz="0" w:space="0" w:color="auto"/>
            <w:left w:val="none" w:sz="0" w:space="0" w:color="auto"/>
            <w:bottom w:val="none" w:sz="0" w:space="0" w:color="auto"/>
            <w:right w:val="none" w:sz="0" w:space="0" w:color="auto"/>
          </w:divBdr>
          <w:divsChild>
            <w:div w:id="955983058">
              <w:marLeft w:val="0"/>
              <w:marRight w:val="0"/>
              <w:marTop w:val="0"/>
              <w:marBottom w:val="0"/>
              <w:divBdr>
                <w:top w:val="none" w:sz="0" w:space="0" w:color="auto"/>
                <w:left w:val="none" w:sz="0" w:space="0" w:color="auto"/>
                <w:bottom w:val="none" w:sz="0" w:space="0" w:color="auto"/>
                <w:right w:val="none" w:sz="0" w:space="0" w:color="auto"/>
              </w:divBdr>
              <w:divsChild>
                <w:div w:id="1564484079">
                  <w:marLeft w:val="0"/>
                  <w:marRight w:val="0"/>
                  <w:marTop w:val="120"/>
                  <w:marBottom w:val="0"/>
                  <w:divBdr>
                    <w:top w:val="none" w:sz="0" w:space="0" w:color="auto"/>
                    <w:left w:val="none" w:sz="0" w:space="0" w:color="auto"/>
                    <w:bottom w:val="none" w:sz="0" w:space="0" w:color="auto"/>
                    <w:right w:val="none" w:sz="0" w:space="0" w:color="auto"/>
                  </w:divBdr>
                </w:div>
                <w:div w:id="1703742393">
                  <w:marLeft w:val="0"/>
                  <w:marRight w:val="0"/>
                  <w:marTop w:val="0"/>
                  <w:marBottom w:val="0"/>
                  <w:divBdr>
                    <w:top w:val="none" w:sz="0" w:space="0" w:color="auto"/>
                    <w:left w:val="none" w:sz="0" w:space="0" w:color="auto"/>
                    <w:bottom w:val="none" w:sz="0" w:space="0" w:color="auto"/>
                    <w:right w:val="none" w:sz="0" w:space="0" w:color="auto"/>
                  </w:divBdr>
                </w:div>
              </w:divsChild>
            </w:div>
            <w:div w:id="2023894702">
              <w:marLeft w:val="0"/>
              <w:marRight w:val="0"/>
              <w:marTop w:val="0"/>
              <w:marBottom w:val="0"/>
              <w:divBdr>
                <w:top w:val="none" w:sz="0" w:space="0" w:color="auto"/>
                <w:left w:val="none" w:sz="0" w:space="0" w:color="auto"/>
                <w:bottom w:val="none" w:sz="0" w:space="0" w:color="auto"/>
                <w:right w:val="none" w:sz="0" w:space="0" w:color="auto"/>
              </w:divBdr>
              <w:divsChild>
                <w:div w:id="310712895">
                  <w:marLeft w:val="0"/>
                  <w:marRight w:val="0"/>
                  <w:marTop w:val="120"/>
                  <w:marBottom w:val="0"/>
                  <w:divBdr>
                    <w:top w:val="none" w:sz="0" w:space="0" w:color="auto"/>
                    <w:left w:val="none" w:sz="0" w:space="0" w:color="auto"/>
                    <w:bottom w:val="none" w:sz="0" w:space="0" w:color="auto"/>
                    <w:right w:val="none" w:sz="0" w:space="0" w:color="auto"/>
                  </w:divBdr>
                </w:div>
                <w:div w:id="186084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475732">
      <w:bodyDiv w:val="1"/>
      <w:marLeft w:val="0"/>
      <w:marRight w:val="0"/>
      <w:marTop w:val="0"/>
      <w:marBottom w:val="0"/>
      <w:divBdr>
        <w:top w:val="none" w:sz="0" w:space="0" w:color="auto"/>
        <w:left w:val="none" w:sz="0" w:space="0" w:color="auto"/>
        <w:bottom w:val="none" w:sz="0" w:space="0" w:color="auto"/>
        <w:right w:val="none" w:sz="0" w:space="0" w:color="auto"/>
      </w:divBdr>
      <w:divsChild>
        <w:div w:id="2053383140">
          <w:marLeft w:val="0"/>
          <w:marRight w:val="0"/>
          <w:marTop w:val="0"/>
          <w:marBottom w:val="0"/>
          <w:divBdr>
            <w:top w:val="none" w:sz="0" w:space="0" w:color="auto"/>
            <w:left w:val="none" w:sz="0" w:space="0" w:color="auto"/>
            <w:bottom w:val="none" w:sz="0" w:space="0" w:color="auto"/>
            <w:right w:val="none" w:sz="0" w:space="0" w:color="auto"/>
          </w:divBdr>
        </w:div>
      </w:divsChild>
    </w:div>
    <w:div w:id="1964966772">
      <w:bodyDiv w:val="1"/>
      <w:marLeft w:val="0"/>
      <w:marRight w:val="0"/>
      <w:marTop w:val="0"/>
      <w:marBottom w:val="0"/>
      <w:divBdr>
        <w:top w:val="none" w:sz="0" w:space="0" w:color="auto"/>
        <w:left w:val="none" w:sz="0" w:space="0" w:color="auto"/>
        <w:bottom w:val="none" w:sz="0" w:space="0" w:color="auto"/>
        <w:right w:val="none" w:sz="0" w:space="0" w:color="auto"/>
      </w:divBdr>
      <w:divsChild>
        <w:div w:id="356125973">
          <w:marLeft w:val="0"/>
          <w:marRight w:val="0"/>
          <w:marTop w:val="0"/>
          <w:marBottom w:val="0"/>
          <w:divBdr>
            <w:top w:val="none" w:sz="0" w:space="0" w:color="auto"/>
            <w:left w:val="none" w:sz="0" w:space="0" w:color="auto"/>
            <w:bottom w:val="none" w:sz="0" w:space="0" w:color="auto"/>
            <w:right w:val="none" w:sz="0" w:space="0" w:color="auto"/>
          </w:divBdr>
          <w:divsChild>
            <w:div w:id="3350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7312">
      <w:bodyDiv w:val="1"/>
      <w:marLeft w:val="0"/>
      <w:marRight w:val="0"/>
      <w:marTop w:val="0"/>
      <w:marBottom w:val="0"/>
      <w:divBdr>
        <w:top w:val="none" w:sz="0" w:space="0" w:color="auto"/>
        <w:left w:val="none" w:sz="0" w:space="0" w:color="auto"/>
        <w:bottom w:val="none" w:sz="0" w:space="0" w:color="auto"/>
        <w:right w:val="none" w:sz="0" w:space="0" w:color="auto"/>
      </w:divBdr>
      <w:divsChild>
        <w:div w:id="1500197914">
          <w:marLeft w:val="0"/>
          <w:marRight w:val="0"/>
          <w:marTop w:val="0"/>
          <w:marBottom w:val="0"/>
          <w:divBdr>
            <w:top w:val="none" w:sz="0" w:space="0" w:color="auto"/>
            <w:left w:val="none" w:sz="0" w:space="0" w:color="auto"/>
            <w:bottom w:val="none" w:sz="0" w:space="0" w:color="auto"/>
            <w:right w:val="none" w:sz="0" w:space="0" w:color="auto"/>
          </w:divBdr>
          <w:divsChild>
            <w:div w:id="2068991709">
              <w:marLeft w:val="0"/>
              <w:marRight w:val="0"/>
              <w:marTop w:val="120"/>
              <w:marBottom w:val="0"/>
              <w:divBdr>
                <w:top w:val="none" w:sz="0" w:space="0" w:color="auto"/>
                <w:left w:val="none" w:sz="0" w:space="0" w:color="auto"/>
                <w:bottom w:val="none" w:sz="0" w:space="0" w:color="auto"/>
                <w:right w:val="none" w:sz="0" w:space="0" w:color="auto"/>
              </w:divBdr>
            </w:div>
            <w:div w:id="232089199">
              <w:marLeft w:val="0"/>
              <w:marRight w:val="0"/>
              <w:marTop w:val="0"/>
              <w:marBottom w:val="0"/>
              <w:divBdr>
                <w:top w:val="none" w:sz="0" w:space="0" w:color="auto"/>
                <w:left w:val="none" w:sz="0" w:space="0" w:color="auto"/>
                <w:bottom w:val="none" w:sz="0" w:space="0" w:color="auto"/>
                <w:right w:val="none" w:sz="0" w:space="0" w:color="auto"/>
              </w:divBdr>
            </w:div>
          </w:divsChild>
        </w:div>
        <w:div w:id="1401709265">
          <w:marLeft w:val="0"/>
          <w:marRight w:val="0"/>
          <w:marTop w:val="0"/>
          <w:marBottom w:val="0"/>
          <w:divBdr>
            <w:top w:val="none" w:sz="0" w:space="0" w:color="auto"/>
            <w:left w:val="none" w:sz="0" w:space="0" w:color="auto"/>
            <w:bottom w:val="none" w:sz="0" w:space="0" w:color="auto"/>
            <w:right w:val="none" w:sz="0" w:space="0" w:color="auto"/>
          </w:divBdr>
          <w:divsChild>
            <w:div w:id="1523283453">
              <w:marLeft w:val="0"/>
              <w:marRight w:val="0"/>
              <w:marTop w:val="120"/>
              <w:marBottom w:val="0"/>
              <w:divBdr>
                <w:top w:val="none" w:sz="0" w:space="0" w:color="auto"/>
                <w:left w:val="none" w:sz="0" w:space="0" w:color="auto"/>
                <w:bottom w:val="none" w:sz="0" w:space="0" w:color="auto"/>
                <w:right w:val="none" w:sz="0" w:space="0" w:color="auto"/>
              </w:divBdr>
            </w:div>
            <w:div w:id="67191451">
              <w:marLeft w:val="0"/>
              <w:marRight w:val="0"/>
              <w:marTop w:val="0"/>
              <w:marBottom w:val="0"/>
              <w:divBdr>
                <w:top w:val="none" w:sz="0" w:space="0" w:color="auto"/>
                <w:left w:val="none" w:sz="0" w:space="0" w:color="auto"/>
                <w:bottom w:val="none" w:sz="0" w:space="0" w:color="auto"/>
                <w:right w:val="none" w:sz="0" w:space="0" w:color="auto"/>
              </w:divBdr>
              <w:divsChild>
                <w:div w:id="1651864256">
                  <w:marLeft w:val="0"/>
                  <w:marRight w:val="0"/>
                  <w:marTop w:val="0"/>
                  <w:marBottom w:val="0"/>
                  <w:divBdr>
                    <w:top w:val="none" w:sz="0" w:space="0" w:color="auto"/>
                    <w:left w:val="none" w:sz="0" w:space="0" w:color="auto"/>
                    <w:bottom w:val="none" w:sz="0" w:space="0" w:color="auto"/>
                    <w:right w:val="none" w:sz="0" w:space="0" w:color="auto"/>
                  </w:divBdr>
                  <w:divsChild>
                    <w:div w:id="571160605">
                      <w:marLeft w:val="0"/>
                      <w:marRight w:val="0"/>
                      <w:marTop w:val="120"/>
                      <w:marBottom w:val="0"/>
                      <w:divBdr>
                        <w:top w:val="none" w:sz="0" w:space="0" w:color="auto"/>
                        <w:left w:val="none" w:sz="0" w:space="0" w:color="auto"/>
                        <w:bottom w:val="none" w:sz="0" w:space="0" w:color="auto"/>
                        <w:right w:val="none" w:sz="0" w:space="0" w:color="auto"/>
                      </w:divBdr>
                    </w:div>
                    <w:div w:id="1509447405">
                      <w:marLeft w:val="0"/>
                      <w:marRight w:val="0"/>
                      <w:marTop w:val="0"/>
                      <w:marBottom w:val="0"/>
                      <w:divBdr>
                        <w:top w:val="none" w:sz="0" w:space="0" w:color="auto"/>
                        <w:left w:val="none" w:sz="0" w:space="0" w:color="auto"/>
                        <w:bottom w:val="none" w:sz="0" w:space="0" w:color="auto"/>
                        <w:right w:val="none" w:sz="0" w:space="0" w:color="auto"/>
                      </w:divBdr>
                    </w:div>
                  </w:divsChild>
                </w:div>
                <w:div w:id="626547875">
                  <w:marLeft w:val="0"/>
                  <w:marRight w:val="0"/>
                  <w:marTop w:val="0"/>
                  <w:marBottom w:val="0"/>
                  <w:divBdr>
                    <w:top w:val="none" w:sz="0" w:space="0" w:color="auto"/>
                    <w:left w:val="none" w:sz="0" w:space="0" w:color="auto"/>
                    <w:bottom w:val="none" w:sz="0" w:space="0" w:color="auto"/>
                    <w:right w:val="none" w:sz="0" w:space="0" w:color="auto"/>
                  </w:divBdr>
                  <w:divsChild>
                    <w:div w:id="1716270041">
                      <w:marLeft w:val="0"/>
                      <w:marRight w:val="0"/>
                      <w:marTop w:val="120"/>
                      <w:marBottom w:val="0"/>
                      <w:divBdr>
                        <w:top w:val="none" w:sz="0" w:space="0" w:color="auto"/>
                        <w:left w:val="none" w:sz="0" w:space="0" w:color="auto"/>
                        <w:bottom w:val="none" w:sz="0" w:space="0" w:color="auto"/>
                        <w:right w:val="none" w:sz="0" w:space="0" w:color="auto"/>
                      </w:divBdr>
                    </w:div>
                    <w:div w:id="29440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7407">
          <w:marLeft w:val="0"/>
          <w:marRight w:val="0"/>
          <w:marTop w:val="0"/>
          <w:marBottom w:val="0"/>
          <w:divBdr>
            <w:top w:val="none" w:sz="0" w:space="0" w:color="auto"/>
            <w:left w:val="none" w:sz="0" w:space="0" w:color="auto"/>
            <w:bottom w:val="none" w:sz="0" w:space="0" w:color="auto"/>
            <w:right w:val="none" w:sz="0" w:space="0" w:color="auto"/>
          </w:divBdr>
          <w:divsChild>
            <w:div w:id="448742897">
              <w:marLeft w:val="0"/>
              <w:marRight w:val="0"/>
              <w:marTop w:val="120"/>
              <w:marBottom w:val="0"/>
              <w:divBdr>
                <w:top w:val="none" w:sz="0" w:space="0" w:color="auto"/>
                <w:left w:val="none" w:sz="0" w:space="0" w:color="auto"/>
                <w:bottom w:val="none" w:sz="0" w:space="0" w:color="auto"/>
                <w:right w:val="none" w:sz="0" w:space="0" w:color="auto"/>
              </w:divBdr>
            </w:div>
            <w:div w:id="112422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2053">
      <w:bodyDiv w:val="1"/>
      <w:marLeft w:val="0"/>
      <w:marRight w:val="0"/>
      <w:marTop w:val="0"/>
      <w:marBottom w:val="0"/>
      <w:divBdr>
        <w:top w:val="none" w:sz="0" w:space="0" w:color="auto"/>
        <w:left w:val="none" w:sz="0" w:space="0" w:color="auto"/>
        <w:bottom w:val="none" w:sz="0" w:space="0" w:color="auto"/>
        <w:right w:val="none" w:sz="0" w:space="0" w:color="auto"/>
      </w:divBdr>
      <w:divsChild>
        <w:div w:id="839857822">
          <w:marLeft w:val="0"/>
          <w:marRight w:val="0"/>
          <w:marTop w:val="0"/>
          <w:marBottom w:val="0"/>
          <w:divBdr>
            <w:top w:val="none" w:sz="0" w:space="0" w:color="auto"/>
            <w:left w:val="none" w:sz="0" w:space="0" w:color="auto"/>
            <w:bottom w:val="none" w:sz="0" w:space="0" w:color="auto"/>
            <w:right w:val="none" w:sz="0" w:space="0" w:color="auto"/>
          </w:divBdr>
        </w:div>
      </w:divsChild>
    </w:div>
    <w:div w:id="1975017972">
      <w:bodyDiv w:val="1"/>
      <w:marLeft w:val="0"/>
      <w:marRight w:val="0"/>
      <w:marTop w:val="0"/>
      <w:marBottom w:val="0"/>
      <w:divBdr>
        <w:top w:val="none" w:sz="0" w:space="0" w:color="auto"/>
        <w:left w:val="none" w:sz="0" w:space="0" w:color="auto"/>
        <w:bottom w:val="none" w:sz="0" w:space="0" w:color="auto"/>
        <w:right w:val="none" w:sz="0" w:space="0" w:color="auto"/>
      </w:divBdr>
      <w:divsChild>
        <w:div w:id="817646594">
          <w:marLeft w:val="0"/>
          <w:marRight w:val="0"/>
          <w:marTop w:val="0"/>
          <w:marBottom w:val="0"/>
          <w:divBdr>
            <w:top w:val="none" w:sz="0" w:space="0" w:color="auto"/>
            <w:left w:val="none" w:sz="0" w:space="0" w:color="auto"/>
            <w:bottom w:val="none" w:sz="0" w:space="0" w:color="auto"/>
            <w:right w:val="none" w:sz="0" w:space="0" w:color="auto"/>
          </w:divBdr>
          <w:divsChild>
            <w:div w:id="4784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06573">
      <w:bodyDiv w:val="1"/>
      <w:marLeft w:val="0"/>
      <w:marRight w:val="0"/>
      <w:marTop w:val="0"/>
      <w:marBottom w:val="0"/>
      <w:divBdr>
        <w:top w:val="none" w:sz="0" w:space="0" w:color="auto"/>
        <w:left w:val="none" w:sz="0" w:space="0" w:color="auto"/>
        <w:bottom w:val="none" w:sz="0" w:space="0" w:color="auto"/>
        <w:right w:val="none" w:sz="0" w:space="0" w:color="auto"/>
      </w:divBdr>
      <w:divsChild>
        <w:div w:id="1264723845">
          <w:marLeft w:val="0"/>
          <w:marRight w:val="0"/>
          <w:marTop w:val="120"/>
          <w:marBottom w:val="0"/>
          <w:divBdr>
            <w:top w:val="none" w:sz="0" w:space="0" w:color="auto"/>
            <w:left w:val="none" w:sz="0" w:space="0" w:color="auto"/>
            <w:bottom w:val="none" w:sz="0" w:space="0" w:color="auto"/>
            <w:right w:val="none" w:sz="0" w:space="0" w:color="auto"/>
          </w:divBdr>
        </w:div>
        <w:div w:id="599224194">
          <w:marLeft w:val="0"/>
          <w:marRight w:val="0"/>
          <w:marTop w:val="0"/>
          <w:marBottom w:val="0"/>
          <w:divBdr>
            <w:top w:val="none" w:sz="0" w:space="0" w:color="auto"/>
            <w:left w:val="none" w:sz="0" w:space="0" w:color="auto"/>
            <w:bottom w:val="none" w:sz="0" w:space="0" w:color="auto"/>
            <w:right w:val="none" w:sz="0" w:space="0" w:color="auto"/>
          </w:divBdr>
        </w:div>
      </w:divsChild>
    </w:div>
    <w:div w:id="1979991012">
      <w:bodyDiv w:val="1"/>
      <w:marLeft w:val="0"/>
      <w:marRight w:val="0"/>
      <w:marTop w:val="0"/>
      <w:marBottom w:val="0"/>
      <w:divBdr>
        <w:top w:val="none" w:sz="0" w:space="0" w:color="auto"/>
        <w:left w:val="none" w:sz="0" w:space="0" w:color="auto"/>
        <w:bottom w:val="none" w:sz="0" w:space="0" w:color="auto"/>
        <w:right w:val="none" w:sz="0" w:space="0" w:color="auto"/>
      </w:divBdr>
      <w:divsChild>
        <w:div w:id="103547840">
          <w:marLeft w:val="0"/>
          <w:marRight w:val="0"/>
          <w:marTop w:val="120"/>
          <w:marBottom w:val="0"/>
          <w:divBdr>
            <w:top w:val="none" w:sz="0" w:space="0" w:color="auto"/>
            <w:left w:val="none" w:sz="0" w:space="0" w:color="auto"/>
            <w:bottom w:val="none" w:sz="0" w:space="0" w:color="auto"/>
            <w:right w:val="none" w:sz="0" w:space="0" w:color="auto"/>
          </w:divBdr>
        </w:div>
        <w:div w:id="1525243330">
          <w:marLeft w:val="0"/>
          <w:marRight w:val="0"/>
          <w:marTop w:val="0"/>
          <w:marBottom w:val="0"/>
          <w:divBdr>
            <w:top w:val="none" w:sz="0" w:space="0" w:color="auto"/>
            <w:left w:val="none" w:sz="0" w:space="0" w:color="auto"/>
            <w:bottom w:val="none" w:sz="0" w:space="0" w:color="auto"/>
            <w:right w:val="none" w:sz="0" w:space="0" w:color="auto"/>
          </w:divBdr>
        </w:div>
      </w:divsChild>
    </w:div>
    <w:div w:id="1986620245">
      <w:bodyDiv w:val="1"/>
      <w:marLeft w:val="0"/>
      <w:marRight w:val="0"/>
      <w:marTop w:val="0"/>
      <w:marBottom w:val="0"/>
      <w:divBdr>
        <w:top w:val="none" w:sz="0" w:space="0" w:color="auto"/>
        <w:left w:val="none" w:sz="0" w:space="0" w:color="auto"/>
        <w:bottom w:val="none" w:sz="0" w:space="0" w:color="auto"/>
        <w:right w:val="none" w:sz="0" w:space="0" w:color="auto"/>
      </w:divBdr>
      <w:divsChild>
        <w:div w:id="851456747">
          <w:marLeft w:val="0"/>
          <w:marRight w:val="0"/>
          <w:marTop w:val="0"/>
          <w:marBottom w:val="0"/>
          <w:divBdr>
            <w:top w:val="none" w:sz="0" w:space="0" w:color="auto"/>
            <w:left w:val="none" w:sz="0" w:space="0" w:color="auto"/>
            <w:bottom w:val="none" w:sz="0" w:space="0" w:color="auto"/>
            <w:right w:val="none" w:sz="0" w:space="0" w:color="auto"/>
          </w:divBdr>
        </w:div>
      </w:divsChild>
    </w:div>
    <w:div w:id="1991784358">
      <w:bodyDiv w:val="1"/>
      <w:marLeft w:val="0"/>
      <w:marRight w:val="0"/>
      <w:marTop w:val="0"/>
      <w:marBottom w:val="0"/>
      <w:divBdr>
        <w:top w:val="none" w:sz="0" w:space="0" w:color="auto"/>
        <w:left w:val="none" w:sz="0" w:space="0" w:color="auto"/>
        <w:bottom w:val="none" w:sz="0" w:space="0" w:color="auto"/>
        <w:right w:val="none" w:sz="0" w:space="0" w:color="auto"/>
      </w:divBdr>
      <w:divsChild>
        <w:div w:id="849679788">
          <w:marLeft w:val="0"/>
          <w:marRight w:val="0"/>
          <w:marTop w:val="0"/>
          <w:marBottom w:val="0"/>
          <w:divBdr>
            <w:top w:val="none" w:sz="0" w:space="0" w:color="auto"/>
            <w:left w:val="none" w:sz="0" w:space="0" w:color="auto"/>
            <w:bottom w:val="none" w:sz="0" w:space="0" w:color="auto"/>
            <w:right w:val="none" w:sz="0" w:space="0" w:color="auto"/>
          </w:divBdr>
        </w:div>
      </w:divsChild>
    </w:div>
    <w:div w:id="1994674569">
      <w:bodyDiv w:val="1"/>
      <w:marLeft w:val="0"/>
      <w:marRight w:val="0"/>
      <w:marTop w:val="0"/>
      <w:marBottom w:val="0"/>
      <w:divBdr>
        <w:top w:val="none" w:sz="0" w:space="0" w:color="auto"/>
        <w:left w:val="none" w:sz="0" w:space="0" w:color="auto"/>
        <w:bottom w:val="none" w:sz="0" w:space="0" w:color="auto"/>
        <w:right w:val="none" w:sz="0" w:space="0" w:color="auto"/>
      </w:divBdr>
      <w:divsChild>
        <w:div w:id="525875901">
          <w:marLeft w:val="0"/>
          <w:marRight w:val="0"/>
          <w:marTop w:val="0"/>
          <w:marBottom w:val="0"/>
          <w:divBdr>
            <w:top w:val="none" w:sz="0" w:space="0" w:color="auto"/>
            <w:left w:val="none" w:sz="0" w:space="0" w:color="auto"/>
            <w:bottom w:val="none" w:sz="0" w:space="0" w:color="auto"/>
            <w:right w:val="none" w:sz="0" w:space="0" w:color="auto"/>
          </w:divBdr>
          <w:divsChild>
            <w:div w:id="151815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66744">
      <w:bodyDiv w:val="1"/>
      <w:marLeft w:val="0"/>
      <w:marRight w:val="0"/>
      <w:marTop w:val="0"/>
      <w:marBottom w:val="0"/>
      <w:divBdr>
        <w:top w:val="none" w:sz="0" w:space="0" w:color="auto"/>
        <w:left w:val="none" w:sz="0" w:space="0" w:color="auto"/>
        <w:bottom w:val="none" w:sz="0" w:space="0" w:color="auto"/>
        <w:right w:val="none" w:sz="0" w:space="0" w:color="auto"/>
      </w:divBdr>
      <w:divsChild>
        <w:div w:id="1040127991">
          <w:marLeft w:val="0"/>
          <w:marRight w:val="0"/>
          <w:marTop w:val="0"/>
          <w:marBottom w:val="0"/>
          <w:divBdr>
            <w:top w:val="none" w:sz="0" w:space="0" w:color="auto"/>
            <w:left w:val="none" w:sz="0" w:space="0" w:color="auto"/>
            <w:bottom w:val="none" w:sz="0" w:space="0" w:color="auto"/>
            <w:right w:val="none" w:sz="0" w:space="0" w:color="auto"/>
          </w:divBdr>
        </w:div>
      </w:divsChild>
    </w:div>
    <w:div w:id="2016958094">
      <w:bodyDiv w:val="1"/>
      <w:marLeft w:val="0"/>
      <w:marRight w:val="0"/>
      <w:marTop w:val="0"/>
      <w:marBottom w:val="0"/>
      <w:divBdr>
        <w:top w:val="none" w:sz="0" w:space="0" w:color="auto"/>
        <w:left w:val="none" w:sz="0" w:space="0" w:color="auto"/>
        <w:bottom w:val="none" w:sz="0" w:space="0" w:color="auto"/>
        <w:right w:val="none" w:sz="0" w:space="0" w:color="auto"/>
      </w:divBdr>
      <w:divsChild>
        <w:div w:id="301885808">
          <w:marLeft w:val="0"/>
          <w:marRight w:val="0"/>
          <w:marTop w:val="120"/>
          <w:marBottom w:val="0"/>
          <w:divBdr>
            <w:top w:val="none" w:sz="0" w:space="0" w:color="auto"/>
            <w:left w:val="none" w:sz="0" w:space="0" w:color="auto"/>
            <w:bottom w:val="none" w:sz="0" w:space="0" w:color="auto"/>
            <w:right w:val="none" w:sz="0" w:space="0" w:color="auto"/>
          </w:divBdr>
        </w:div>
        <w:div w:id="280455061">
          <w:marLeft w:val="0"/>
          <w:marRight w:val="0"/>
          <w:marTop w:val="0"/>
          <w:marBottom w:val="0"/>
          <w:divBdr>
            <w:top w:val="none" w:sz="0" w:space="0" w:color="auto"/>
            <w:left w:val="none" w:sz="0" w:space="0" w:color="auto"/>
            <w:bottom w:val="none" w:sz="0" w:space="0" w:color="auto"/>
            <w:right w:val="none" w:sz="0" w:space="0" w:color="auto"/>
          </w:divBdr>
        </w:div>
      </w:divsChild>
    </w:div>
    <w:div w:id="2024479050">
      <w:bodyDiv w:val="1"/>
      <w:marLeft w:val="0"/>
      <w:marRight w:val="0"/>
      <w:marTop w:val="0"/>
      <w:marBottom w:val="0"/>
      <w:divBdr>
        <w:top w:val="none" w:sz="0" w:space="0" w:color="auto"/>
        <w:left w:val="none" w:sz="0" w:space="0" w:color="auto"/>
        <w:bottom w:val="none" w:sz="0" w:space="0" w:color="auto"/>
        <w:right w:val="none" w:sz="0" w:space="0" w:color="auto"/>
      </w:divBdr>
      <w:divsChild>
        <w:div w:id="1905556769">
          <w:marLeft w:val="0"/>
          <w:marRight w:val="0"/>
          <w:marTop w:val="0"/>
          <w:marBottom w:val="0"/>
          <w:divBdr>
            <w:top w:val="none" w:sz="0" w:space="0" w:color="auto"/>
            <w:left w:val="none" w:sz="0" w:space="0" w:color="auto"/>
            <w:bottom w:val="none" w:sz="0" w:space="0" w:color="auto"/>
            <w:right w:val="none" w:sz="0" w:space="0" w:color="auto"/>
          </w:divBdr>
          <w:divsChild>
            <w:div w:id="1511406189">
              <w:marLeft w:val="0"/>
              <w:marRight w:val="0"/>
              <w:marTop w:val="0"/>
              <w:marBottom w:val="0"/>
              <w:divBdr>
                <w:top w:val="none" w:sz="0" w:space="0" w:color="auto"/>
                <w:left w:val="none" w:sz="0" w:space="0" w:color="auto"/>
                <w:bottom w:val="none" w:sz="0" w:space="0" w:color="auto"/>
                <w:right w:val="none" w:sz="0" w:space="0" w:color="auto"/>
              </w:divBdr>
              <w:divsChild>
                <w:div w:id="2077972529">
                  <w:marLeft w:val="0"/>
                  <w:marRight w:val="0"/>
                  <w:marTop w:val="0"/>
                  <w:marBottom w:val="0"/>
                  <w:divBdr>
                    <w:top w:val="none" w:sz="0" w:space="0" w:color="auto"/>
                    <w:left w:val="none" w:sz="0" w:space="0" w:color="auto"/>
                    <w:bottom w:val="none" w:sz="0" w:space="0" w:color="auto"/>
                    <w:right w:val="none" w:sz="0" w:space="0" w:color="auto"/>
                  </w:divBdr>
                  <w:divsChild>
                    <w:div w:id="765199966">
                      <w:marLeft w:val="0"/>
                      <w:marRight w:val="0"/>
                      <w:marTop w:val="120"/>
                      <w:marBottom w:val="0"/>
                      <w:divBdr>
                        <w:top w:val="none" w:sz="0" w:space="0" w:color="auto"/>
                        <w:left w:val="none" w:sz="0" w:space="0" w:color="auto"/>
                        <w:bottom w:val="none" w:sz="0" w:space="0" w:color="auto"/>
                        <w:right w:val="none" w:sz="0" w:space="0" w:color="auto"/>
                      </w:divBdr>
                    </w:div>
                    <w:div w:id="1094670916">
                      <w:marLeft w:val="0"/>
                      <w:marRight w:val="0"/>
                      <w:marTop w:val="0"/>
                      <w:marBottom w:val="0"/>
                      <w:divBdr>
                        <w:top w:val="none" w:sz="0" w:space="0" w:color="auto"/>
                        <w:left w:val="none" w:sz="0" w:space="0" w:color="auto"/>
                        <w:bottom w:val="none" w:sz="0" w:space="0" w:color="auto"/>
                        <w:right w:val="none" w:sz="0" w:space="0" w:color="auto"/>
                      </w:divBdr>
                    </w:div>
                  </w:divsChild>
                </w:div>
                <w:div w:id="1435129267">
                  <w:marLeft w:val="0"/>
                  <w:marRight w:val="0"/>
                  <w:marTop w:val="0"/>
                  <w:marBottom w:val="0"/>
                  <w:divBdr>
                    <w:top w:val="none" w:sz="0" w:space="0" w:color="auto"/>
                    <w:left w:val="none" w:sz="0" w:space="0" w:color="auto"/>
                    <w:bottom w:val="none" w:sz="0" w:space="0" w:color="auto"/>
                    <w:right w:val="none" w:sz="0" w:space="0" w:color="auto"/>
                  </w:divBdr>
                  <w:divsChild>
                    <w:div w:id="1854342428">
                      <w:marLeft w:val="0"/>
                      <w:marRight w:val="0"/>
                      <w:marTop w:val="120"/>
                      <w:marBottom w:val="0"/>
                      <w:divBdr>
                        <w:top w:val="none" w:sz="0" w:space="0" w:color="auto"/>
                        <w:left w:val="none" w:sz="0" w:space="0" w:color="auto"/>
                        <w:bottom w:val="none" w:sz="0" w:space="0" w:color="auto"/>
                        <w:right w:val="none" w:sz="0" w:space="0" w:color="auto"/>
                      </w:divBdr>
                    </w:div>
                    <w:div w:id="433748536">
                      <w:marLeft w:val="0"/>
                      <w:marRight w:val="0"/>
                      <w:marTop w:val="0"/>
                      <w:marBottom w:val="0"/>
                      <w:divBdr>
                        <w:top w:val="none" w:sz="0" w:space="0" w:color="auto"/>
                        <w:left w:val="none" w:sz="0" w:space="0" w:color="auto"/>
                        <w:bottom w:val="none" w:sz="0" w:space="0" w:color="auto"/>
                        <w:right w:val="none" w:sz="0" w:space="0" w:color="auto"/>
                      </w:divBdr>
                    </w:div>
                  </w:divsChild>
                </w:div>
                <w:div w:id="1460226707">
                  <w:marLeft w:val="0"/>
                  <w:marRight w:val="0"/>
                  <w:marTop w:val="0"/>
                  <w:marBottom w:val="0"/>
                  <w:divBdr>
                    <w:top w:val="none" w:sz="0" w:space="0" w:color="auto"/>
                    <w:left w:val="none" w:sz="0" w:space="0" w:color="auto"/>
                    <w:bottom w:val="none" w:sz="0" w:space="0" w:color="auto"/>
                    <w:right w:val="none" w:sz="0" w:space="0" w:color="auto"/>
                  </w:divBdr>
                  <w:divsChild>
                    <w:div w:id="1728382719">
                      <w:marLeft w:val="0"/>
                      <w:marRight w:val="0"/>
                      <w:marTop w:val="120"/>
                      <w:marBottom w:val="0"/>
                      <w:divBdr>
                        <w:top w:val="none" w:sz="0" w:space="0" w:color="auto"/>
                        <w:left w:val="none" w:sz="0" w:space="0" w:color="auto"/>
                        <w:bottom w:val="none" w:sz="0" w:space="0" w:color="auto"/>
                        <w:right w:val="none" w:sz="0" w:space="0" w:color="auto"/>
                      </w:divBdr>
                    </w:div>
                    <w:div w:id="1776903941">
                      <w:marLeft w:val="0"/>
                      <w:marRight w:val="0"/>
                      <w:marTop w:val="0"/>
                      <w:marBottom w:val="0"/>
                      <w:divBdr>
                        <w:top w:val="none" w:sz="0" w:space="0" w:color="auto"/>
                        <w:left w:val="none" w:sz="0" w:space="0" w:color="auto"/>
                        <w:bottom w:val="none" w:sz="0" w:space="0" w:color="auto"/>
                        <w:right w:val="none" w:sz="0" w:space="0" w:color="auto"/>
                      </w:divBdr>
                    </w:div>
                  </w:divsChild>
                </w:div>
                <w:div w:id="493767057">
                  <w:marLeft w:val="0"/>
                  <w:marRight w:val="0"/>
                  <w:marTop w:val="0"/>
                  <w:marBottom w:val="0"/>
                  <w:divBdr>
                    <w:top w:val="none" w:sz="0" w:space="0" w:color="auto"/>
                    <w:left w:val="none" w:sz="0" w:space="0" w:color="auto"/>
                    <w:bottom w:val="none" w:sz="0" w:space="0" w:color="auto"/>
                    <w:right w:val="none" w:sz="0" w:space="0" w:color="auto"/>
                  </w:divBdr>
                  <w:divsChild>
                    <w:div w:id="121390341">
                      <w:marLeft w:val="0"/>
                      <w:marRight w:val="0"/>
                      <w:marTop w:val="120"/>
                      <w:marBottom w:val="0"/>
                      <w:divBdr>
                        <w:top w:val="none" w:sz="0" w:space="0" w:color="auto"/>
                        <w:left w:val="none" w:sz="0" w:space="0" w:color="auto"/>
                        <w:bottom w:val="none" w:sz="0" w:space="0" w:color="auto"/>
                        <w:right w:val="none" w:sz="0" w:space="0" w:color="auto"/>
                      </w:divBdr>
                    </w:div>
                    <w:div w:id="1704597823">
                      <w:marLeft w:val="0"/>
                      <w:marRight w:val="0"/>
                      <w:marTop w:val="0"/>
                      <w:marBottom w:val="0"/>
                      <w:divBdr>
                        <w:top w:val="none" w:sz="0" w:space="0" w:color="auto"/>
                        <w:left w:val="none" w:sz="0" w:space="0" w:color="auto"/>
                        <w:bottom w:val="none" w:sz="0" w:space="0" w:color="auto"/>
                        <w:right w:val="none" w:sz="0" w:space="0" w:color="auto"/>
                      </w:divBdr>
                    </w:div>
                  </w:divsChild>
                </w:div>
                <w:div w:id="1669365691">
                  <w:marLeft w:val="0"/>
                  <w:marRight w:val="0"/>
                  <w:marTop w:val="0"/>
                  <w:marBottom w:val="0"/>
                  <w:divBdr>
                    <w:top w:val="none" w:sz="0" w:space="0" w:color="auto"/>
                    <w:left w:val="none" w:sz="0" w:space="0" w:color="auto"/>
                    <w:bottom w:val="none" w:sz="0" w:space="0" w:color="auto"/>
                    <w:right w:val="none" w:sz="0" w:space="0" w:color="auto"/>
                  </w:divBdr>
                  <w:divsChild>
                    <w:div w:id="1401172543">
                      <w:marLeft w:val="0"/>
                      <w:marRight w:val="0"/>
                      <w:marTop w:val="120"/>
                      <w:marBottom w:val="0"/>
                      <w:divBdr>
                        <w:top w:val="none" w:sz="0" w:space="0" w:color="auto"/>
                        <w:left w:val="none" w:sz="0" w:space="0" w:color="auto"/>
                        <w:bottom w:val="none" w:sz="0" w:space="0" w:color="auto"/>
                        <w:right w:val="none" w:sz="0" w:space="0" w:color="auto"/>
                      </w:divBdr>
                    </w:div>
                    <w:div w:id="81784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260042">
      <w:bodyDiv w:val="1"/>
      <w:marLeft w:val="0"/>
      <w:marRight w:val="0"/>
      <w:marTop w:val="0"/>
      <w:marBottom w:val="0"/>
      <w:divBdr>
        <w:top w:val="none" w:sz="0" w:space="0" w:color="auto"/>
        <w:left w:val="none" w:sz="0" w:space="0" w:color="auto"/>
        <w:bottom w:val="none" w:sz="0" w:space="0" w:color="auto"/>
        <w:right w:val="none" w:sz="0" w:space="0" w:color="auto"/>
      </w:divBdr>
      <w:divsChild>
        <w:div w:id="842623520">
          <w:marLeft w:val="0"/>
          <w:marRight w:val="0"/>
          <w:marTop w:val="0"/>
          <w:marBottom w:val="0"/>
          <w:divBdr>
            <w:top w:val="none" w:sz="0" w:space="0" w:color="auto"/>
            <w:left w:val="none" w:sz="0" w:space="0" w:color="auto"/>
            <w:bottom w:val="none" w:sz="0" w:space="0" w:color="auto"/>
            <w:right w:val="none" w:sz="0" w:space="0" w:color="auto"/>
          </w:divBdr>
        </w:div>
      </w:divsChild>
    </w:div>
    <w:div w:id="2029403891">
      <w:bodyDiv w:val="1"/>
      <w:marLeft w:val="0"/>
      <w:marRight w:val="0"/>
      <w:marTop w:val="0"/>
      <w:marBottom w:val="0"/>
      <w:divBdr>
        <w:top w:val="none" w:sz="0" w:space="0" w:color="auto"/>
        <w:left w:val="none" w:sz="0" w:space="0" w:color="auto"/>
        <w:bottom w:val="none" w:sz="0" w:space="0" w:color="auto"/>
        <w:right w:val="none" w:sz="0" w:space="0" w:color="auto"/>
      </w:divBdr>
      <w:divsChild>
        <w:div w:id="363676543">
          <w:marLeft w:val="0"/>
          <w:marRight w:val="0"/>
          <w:marTop w:val="120"/>
          <w:marBottom w:val="0"/>
          <w:divBdr>
            <w:top w:val="none" w:sz="0" w:space="0" w:color="auto"/>
            <w:left w:val="none" w:sz="0" w:space="0" w:color="auto"/>
            <w:bottom w:val="none" w:sz="0" w:space="0" w:color="auto"/>
            <w:right w:val="none" w:sz="0" w:space="0" w:color="auto"/>
          </w:divBdr>
        </w:div>
        <w:div w:id="35467424">
          <w:marLeft w:val="0"/>
          <w:marRight w:val="0"/>
          <w:marTop w:val="0"/>
          <w:marBottom w:val="0"/>
          <w:divBdr>
            <w:top w:val="none" w:sz="0" w:space="0" w:color="auto"/>
            <w:left w:val="none" w:sz="0" w:space="0" w:color="auto"/>
            <w:bottom w:val="none" w:sz="0" w:space="0" w:color="auto"/>
            <w:right w:val="none" w:sz="0" w:space="0" w:color="auto"/>
          </w:divBdr>
        </w:div>
      </w:divsChild>
    </w:div>
    <w:div w:id="2038315311">
      <w:bodyDiv w:val="1"/>
      <w:marLeft w:val="0"/>
      <w:marRight w:val="0"/>
      <w:marTop w:val="0"/>
      <w:marBottom w:val="0"/>
      <w:divBdr>
        <w:top w:val="none" w:sz="0" w:space="0" w:color="auto"/>
        <w:left w:val="none" w:sz="0" w:space="0" w:color="auto"/>
        <w:bottom w:val="none" w:sz="0" w:space="0" w:color="auto"/>
        <w:right w:val="none" w:sz="0" w:space="0" w:color="auto"/>
      </w:divBdr>
      <w:divsChild>
        <w:div w:id="1055932881">
          <w:marLeft w:val="0"/>
          <w:marRight w:val="0"/>
          <w:marTop w:val="0"/>
          <w:marBottom w:val="0"/>
          <w:divBdr>
            <w:top w:val="none" w:sz="0" w:space="0" w:color="auto"/>
            <w:left w:val="none" w:sz="0" w:space="0" w:color="auto"/>
            <w:bottom w:val="none" w:sz="0" w:space="0" w:color="auto"/>
            <w:right w:val="none" w:sz="0" w:space="0" w:color="auto"/>
          </w:divBdr>
        </w:div>
      </w:divsChild>
    </w:div>
    <w:div w:id="2038655407">
      <w:bodyDiv w:val="1"/>
      <w:marLeft w:val="0"/>
      <w:marRight w:val="0"/>
      <w:marTop w:val="0"/>
      <w:marBottom w:val="0"/>
      <w:divBdr>
        <w:top w:val="none" w:sz="0" w:space="0" w:color="auto"/>
        <w:left w:val="none" w:sz="0" w:space="0" w:color="auto"/>
        <w:bottom w:val="none" w:sz="0" w:space="0" w:color="auto"/>
        <w:right w:val="none" w:sz="0" w:space="0" w:color="auto"/>
      </w:divBdr>
    </w:div>
    <w:div w:id="2040469960">
      <w:bodyDiv w:val="1"/>
      <w:marLeft w:val="0"/>
      <w:marRight w:val="0"/>
      <w:marTop w:val="0"/>
      <w:marBottom w:val="0"/>
      <w:divBdr>
        <w:top w:val="none" w:sz="0" w:space="0" w:color="auto"/>
        <w:left w:val="none" w:sz="0" w:space="0" w:color="auto"/>
        <w:bottom w:val="none" w:sz="0" w:space="0" w:color="auto"/>
        <w:right w:val="none" w:sz="0" w:space="0" w:color="auto"/>
      </w:divBdr>
      <w:divsChild>
        <w:div w:id="665591511">
          <w:marLeft w:val="0"/>
          <w:marRight w:val="0"/>
          <w:marTop w:val="120"/>
          <w:marBottom w:val="0"/>
          <w:divBdr>
            <w:top w:val="none" w:sz="0" w:space="0" w:color="auto"/>
            <w:left w:val="none" w:sz="0" w:space="0" w:color="auto"/>
            <w:bottom w:val="none" w:sz="0" w:space="0" w:color="auto"/>
            <w:right w:val="none" w:sz="0" w:space="0" w:color="auto"/>
          </w:divBdr>
        </w:div>
        <w:div w:id="634917999">
          <w:marLeft w:val="0"/>
          <w:marRight w:val="0"/>
          <w:marTop w:val="0"/>
          <w:marBottom w:val="0"/>
          <w:divBdr>
            <w:top w:val="none" w:sz="0" w:space="0" w:color="auto"/>
            <w:left w:val="none" w:sz="0" w:space="0" w:color="auto"/>
            <w:bottom w:val="none" w:sz="0" w:space="0" w:color="auto"/>
            <w:right w:val="none" w:sz="0" w:space="0" w:color="auto"/>
          </w:divBdr>
        </w:div>
      </w:divsChild>
    </w:div>
    <w:div w:id="2066219122">
      <w:bodyDiv w:val="1"/>
      <w:marLeft w:val="0"/>
      <w:marRight w:val="0"/>
      <w:marTop w:val="0"/>
      <w:marBottom w:val="0"/>
      <w:divBdr>
        <w:top w:val="none" w:sz="0" w:space="0" w:color="auto"/>
        <w:left w:val="none" w:sz="0" w:space="0" w:color="auto"/>
        <w:bottom w:val="none" w:sz="0" w:space="0" w:color="auto"/>
        <w:right w:val="none" w:sz="0" w:space="0" w:color="auto"/>
      </w:divBdr>
      <w:divsChild>
        <w:div w:id="1505903434">
          <w:marLeft w:val="0"/>
          <w:marRight w:val="0"/>
          <w:marTop w:val="0"/>
          <w:marBottom w:val="0"/>
          <w:divBdr>
            <w:top w:val="none" w:sz="0" w:space="0" w:color="auto"/>
            <w:left w:val="none" w:sz="0" w:space="0" w:color="auto"/>
            <w:bottom w:val="none" w:sz="0" w:space="0" w:color="auto"/>
            <w:right w:val="none" w:sz="0" w:space="0" w:color="auto"/>
          </w:divBdr>
        </w:div>
      </w:divsChild>
    </w:div>
    <w:div w:id="2067096838">
      <w:bodyDiv w:val="1"/>
      <w:marLeft w:val="0"/>
      <w:marRight w:val="0"/>
      <w:marTop w:val="0"/>
      <w:marBottom w:val="0"/>
      <w:divBdr>
        <w:top w:val="none" w:sz="0" w:space="0" w:color="auto"/>
        <w:left w:val="none" w:sz="0" w:space="0" w:color="auto"/>
        <w:bottom w:val="none" w:sz="0" w:space="0" w:color="auto"/>
        <w:right w:val="none" w:sz="0" w:space="0" w:color="auto"/>
      </w:divBdr>
      <w:divsChild>
        <w:div w:id="912469282">
          <w:marLeft w:val="0"/>
          <w:marRight w:val="0"/>
          <w:marTop w:val="0"/>
          <w:marBottom w:val="0"/>
          <w:divBdr>
            <w:top w:val="none" w:sz="0" w:space="0" w:color="auto"/>
            <w:left w:val="none" w:sz="0" w:space="0" w:color="auto"/>
            <w:bottom w:val="none" w:sz="0" w:space="0" w:color="auto"/>
            <w:right w:val="none" w:sz="0" w:space="0" w:color="auto"/>
          </w:divBdr>
          <w:divsChild>
            <w:div w:id="105292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91802">
      <w:bodyDiv w:val="1"/>
      <w:marLeft w:val="0"/>
      <w:marRight w:val="0"/>
      <w:marTop w:val="0"/>
      <w:marBottom w:val="0"/>
      <w:divBdr>
        <w:top w:val="none" w:sz="0" w:space="0" w:color="auto"/>
        <w:left w:val="none" w:sz="0" w:space="0" w:color="auto"/>
        <w:bottom w:val="none" w:sz="0" w:space="0" w:color="auto"/>
        <w:right w:val="none" w:sz="0" w:space="0" w:color="auto"/>
      </w:divBdr>
      <w:divsChild>
        <w:div w:id="1017118740">
          <w:marLeft w:val="0"/>
          <w:marRight w:val="0"/>
          <w:marTop w:val="0"/>
          <w:marBottom w:val="0"/>
          <w:divBdr>
            <w:top w:val="none" w:sz="0" w:space="0" w:color="auto"/>
            <w:left w:val="none" w:sz="0" w:space="0" w:color="auto"/>
            <w:bottom w:val="none" w:sz="0" w:space="0" w:color="auto"/>
            <w:right w:val="none" w:sz="0" w:space="0" w:color="auto"/>
          </w:divBdr>
        </w:div>
      </w:divsChild>
    </w:div>
    <w:div w:id="2073964714">
      <w:bodyDiv w:val="1"/>
      <w:marLeft w:val="0"/>
      <w:marRight w:val="0"/>
      <w:marTop w:val="0"/>
      <w:marBottom w:val="0"/>
      <w:divBdr>
        <w:top w:val="none" w:sz="0" w:space="0" w:color="auto"/>
        <w:left w:val="none" w:sz="0" w:space="0" w:color="auto"/>
        <w:bottom w:val="none" w:sz="0" w:space="0" w:color="auto"/>
        <w:right w:val="none" w:sz="0" w:space="0" w:color="auto"/>
      </w:divBdr>
      <w:divsChild>
        <w:div w:id="178587685">
          <w:marLeft w:val="0"/>
          <w:marRight w:val="0"/>
          <w:marTop w:val="0"/>
          <w:marBottom w:val="0"/>
          <w:divBdr>
            <w:top w:val="none" w:sz="0" w:space="0" w:color="auto"/>
            <w:left w:val="none" w:sz="0" w:space="0" w:color="auto"/>
            <w:bottom w:val="none" w:sz="0" w:space="0" w:color="auto"/>
            <w:right w:val="none" w:sz="0" w:space="0" w:color="auto"/>
          </w:divBdr>
        </w:div>
      </w:divsChild>
    </w:div>
    <w:div w:id="2075008661">
      <w:bodyDiv w:val="1"/>
      <w:marLeft w:val="0"/>
      <w:marRight w:val="0"/>
      <w:marTop w:val="0"/>
      <w:marBottom w:val="0"/>
      <w:divBdr>
        <w:top w:val="none" w:sz="0" w:space="0" w:color="auto"/>
        <w:left w:val="none" w:sz="0" w:space="0" w:color="auto"/>
        <w:bottom w:val="none" w:sz="0" w:space="0" w:color="auto"/>
        <w:right w:val="none" w:sz="0" w:space="0" w:color="auto"/>
      </w:divBdr>
      <w:divsChild>
        <w:div w:id="1993176422">
          <w:marLeft w:val="0"/>
          <w:marRight w:val="0"/>
          <w:marTop w:val="0"/>
          <w:marBottom w:val="0"/>
          <w:divBdr>
            <w:top w:val="none" w:sz="0" w:space="0" w:color="auto"/>
            <w:left w:val="none" w:sz="0" w:space="0" w:color="auto"/>
            <w:bottom w:val="none" w:sz="0" w:space="0" w:color="auto"/>
            <w:right w:val="none" w:sz="0" w:space="0" w:color="auto"/>
          </w:divBdr>
          <w:divsChild>
            <w:div w:id="154058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71767">
      <w:bodyDiv w:val="1"/>
      <w:marLeft w:val="0"/>
      <w:marRight w:val="0"/>
      <w:marTop w:val="0"/>
      <w:marBottom w:val="0"/>
      <w:divBdr>
        <w:top w:val="none" w:sz="0" w:space="0" w:color="auto"/>
        <w:left w:val="none" w:sz="0" w:space="0" w:color="auto"/>
        <w:bottom w:val="none" w:sz="0" w:space="0" w:color="auto"/>
        <w:right w:val="none" w:sz="0" w:space="0" w:color="auto"/>
      </w:divBdr>
      <w:divsChild>
        <w:div w:id="1571233898">
          <w:marLeft w:val="0"/>
          <w:marRight w:val="0"/>
          <w:marTop w:val="120"/>
          <w:marBottom w:val="0"/>
          <w:divBdr>
            <w:top w:val="none" w:sz="0" w:space="0" w:color="auto"/>
            <w:left w:val="none" w:sz="0" w:space="0" w:color="auto"/>
            <w:bottom w:val="none" w:sz="0" w:space="0" w:color="auto"/>
            <w:right w:val="none" w:sz="0" w:space="0" w:color="auto"/>
          </w:divBdr>
        </w:div>
        <w:div w:id="453911181">
          <w:marLeft w:val="0"/>
          <w:marRight w:val="0"/>
          <w:marTop w:val="0"/>
          <w:marBottom w:val="0"/>
          <w:divBdr>
            <w:top w:val="none" w:sz="0" w:space="0" w:color="auto"/>
            <w:left w:val="none" w:sz="0" w:space="0" w:color="auto"/>
            <w:bottom w:val="none" w:sz="0" w:space="0" w:color="auto"/>
            <w:right w:val="none" w:sz="0" w:space="0" w:color="auto"/>
          </w:divBdr>
        </w:div>
      </w:divsChild>
    </w:div>
    <w:div w:id="2080319079">
      <w:bodyDiv w:val="1"/>
      <w:marLeft w:val="0"/>
      <w:marRight w:val="0"/>
      <w:marTop w:val="0"/>
      <w:marBottom w:val="0"/>
      <w:divBdr>
        <w:top w:val="none" w:sz="0" w:space="0" w:color="auto"/>
        <w:left w:val="none" w:sz="0" w:space="0" w:color="auto"/>
        <w:bottom w:val="none" w:sz="0" w:space="0" w:color="auto"/>
        <w:right w:val="none" w:sz="0" w:space="0" w:color="auto"/>
      </w:divBdr>
      <w:divsChild>
        <w:div w:id="1417747716">
          <w:marLeft w:val="0"/>
          <w:marRight w:val="0"/>
          <w:marTop w:val="120"/>
          <w:marBottom w:val="0"/>
          <w:divBdr>
            <w:top w:val="none" w:sz="0" w:space="0" w:color="auto"/>
            <w:left w:val="none" w:sz="0" w:space="0" w:color="auto"/>
            <w:bottom w:val="none" w:sz="0" w:space="0" w:color="auto"/>
            <w:right w:val="none" w:sz="0" w:space="0" w:color="auto"/>
          </w:divBdr>
        </w:div>
        <w:div w:id="539904839">
          <w:marLeft w:val="0"/>
          <w:marRight w:val="0"/>
          <w:marTop w:val="0"/>
          <w:marBottom w:val="0"/>
          <w:divBdr>
            <w:top w:val="none" w:sz="0" w:space="0" w:color="auto"/>
            <w:left w:val="none" w:sz="0" w:space="0" w:color="auto"/>
            <w:bottom w:val="none" w:sz="0" w:space="0" w:color="auto"/>
            <w:right w:val="none" w:sz="0" w:space="0" w:color="auto"/>
          </w:divBdr>
        </w:div>
      </w:divsChild>
    </w:div>
    <w:div w:id="2086028487">
      <w:bodyDiv w:val="1"/>
      <w:marLeft w:val="0"/>
      <w:marRight w:val="0"/>
      <w:marTop w:val="0"/>
      <w:marBottom w:val="0"/>
      <w:divBdr>
        <w:top w:val="none" w:sz="0" w:space="0" w:color="auto"/>
        <w:left w:val="none" w:sz="0" w:space="0" w:color="auto"/>
        <w:bottom w:val="none" w:sz="0" w:space="0" w:color="auto"/>
        <w:right w:val="none" w:sz="0" w:space="0" w:color="auto"/>
      </w:divBdr>
      <w:divsChild>
        <w:div w:id="606741551">
          <w:marLeft w:val="0"/>
          <w:marRight w:val="0"/>
          <w:marTop w:val="120"/>
          <w:marBottom w:val="0"/>
          <w:divBdr>
            <w:top w:val="none" w:sz="0" w:space="0" w:color="auto"/>
            <w:left w:val="none" w:sz="0" w:space="0" w:color="auto"/>
            <w:bottom w:val="none" w:sz="0" w:space="0" w:color="auto"/>
            <w:right w:val="none" w:sz="0" w:space="0" w:color="auto"/>
          </w:divBdr>
        </w:div>
        <w:div w:id="522090034">
          <w:marLeft w:val="0"/>
          <w:marRight w:val="0"/>
          <w:marTop w:val="0"/>
          <w:marBottom w:val="0"/>
          <w:divBdr>
            <w:top w:val="none" w:sz="0" w:space="0" w:color="auto"/>
            <w:left w:val="none" w:sz="0" w:space="0" w:color="auto"/>
            <w:bottom w:val="none" w:sz="0" w:space="0" w:color="auto"/>
            <w:right w:val="none" w:sz="0" w:space="0" w:color="auto"/>
          </w:divBdr>
        </w:div>
      </w:divsChild>
    </w:div>
    <w:div w:id="2093697232">
      <w:bodyDiv w:val="1"/>
      <w:marLeft w:val="0"/>
      <w:marRight w:val="0"/>
      <w:marTop w:val="0"/>
      <w:marBottom w:val="0"/>
      <w:divBdr>
        <w:top w:val="none" w:sz="0" w:space="0" w:color="auto"/>
        <w:left w:val="none" w:sz="0" w:space="0" w:color="auto"/>
        <w:bottom w:val="none" w:sz="0" w:space="0" w:color="auto"/>
        <w:right w:val="none" w:sz="0" w:space="0" w:color="auto"/>
      </w:divBdr>
      <w:divsChild>
        <w:div w:id="804274184">
          <w:marLeft w:val="0"/>
          <w:marRight w:val="0"/>
          <w:marTop w:val="0"/>
          <w:marBottom w:val="0"/>
          <w:divBdr>
            <w:top w:val="none" w:sz="0" w:space="0" w:color="auto"/>
            <w:left w:val="none" w:sz="0" w:space="0" w:color="auto"/>
            <w:bottom w:val="none" w:sz="0" w:space="0" w:color="auto"/>
            <w:right w:val="none" w:sz="0" w:space="0" w:color="auto"/>
          </w:divBdr>
        </w:div>
      </w:divsChild>
    </w:div>
    <w:div w:id="2110925716">
      <w:bodyDiv w:val="1"/>
      <w:marLeft w:val="0"/>
      <w:marRight w:val="0"/>
      <w:marTop w:val="0"/>
      <w:marBottom w:val="0"/>
      <w:divBdr>
        <w:top w:val="none" w:sz="0" w:space="0" w:color="auto"/>
        <w:left w:val="none" w:sz="0" w:space="0" w:color="auto"/>
        <w:bottom w:val="none" w:sz="0" w:space="0" w:color="auto"/>
        <w:right w:val="none" w:sz="0" w:space="0" w:color="auto"/>
      </w:divBdr>
      <w:divsChild>
        <w:div w:id="2122870216">
          <w:marLeft w:val="0"/>
          <w:marRight w:val="0"/>
          <w:marTop w:val="120"/>
          <w:marBottom w:val="0"/>
          <w:divBdr>
            <w:top w:val="none" w:sz="0" w:space="0" w:color="auto"/>
            <w:left w:val="none" w:sz="0" w:space="0" w:color="auto"/>
            <w:bottom w:val="none" w:sz="0" w:space="0" w:color="auto"/>
            <w:right w:val="none" w:sz="0" w:space="0" w:color="auto"/>
          </w:divBdr>
        </w:div>
        <w:div w:id="936910500">
          <w:marLeft w:val="0"/>
          <w:marRight w:val="0"/>
          <w:marTop w:val="0"/>
          <w:marBottom w:val="0"/>
          <w:divBdr>
            <w:top w:val="none" w:sz="0" w:space="0" w:color="auto"/>
            <w:left w:val="none" w:sz="0" w:space="0" w:color="auto"/>
            <w:bottom w:val="none" w:sz="0" w:space="0" w:color="auto"/>
            <w:right w:val="none" w:sz="0" w:space="0" w:color="auto"/>
          </w:divBdr>
        </w:div>
      </w:divsChild>
    </w:div>
    <w:div w:id="2111268168">
      <w:bodyDiv w:val="1"/>
      <w:marLeft w:val="0"/>
      <w:marRight w:val="0"/>
      <w:marTop w:val="0"/>
      <w:marBottom w:val="0"/>
      <w:divBdr>
        <w:top w:val="none" w:sz="0" w:space="0" w:color="auto"/>
        <w:left w:val="none" w:sz="0" w:space="0" w:color="auto"/>
        <w:bottom w:val="none" w:sz="0" w:space="0" w:color="auto"/>
        <w:right w:val="none" w:sz="0" w:space="0" w:color="auto"/>
      </w:divBdr>
      <w:divsChild>
        <w:div w:id="314795899">
          <w:marLeft w:val="0"/>
          <w:marRight w:val="0"/>
          <w:marTop w:val="0"/>
          <w:marBottom w:val="0"/>
          <w:divBdr>
            <w:top w:val="none" w:sz="0" w:space="0" w:color="auto"/>
            <w:left w:val="none" w:sz="0" w:space="0" w:color="auto"/>
            <w:bottom w:val="none" w:sz="0" w:space="0" w:color="auto"/>
            <w:right w:val="none" w:sz="0" w:space="0" w:color="auto"/>
          </w:divBdr>
        </w:div>
      </w:divsChild>
    </w:div>
    <w:div w:id="2120417390">
      <w:bodyDiv w:val="1"/>
      <w:marLeft w:val="0"/>
      <w:marRight w:val="0"/>
      <w:marTop w:val="0"/>
      <w:marBottom w:val="0"/>
      <w:divBdr>
        <w:top w:val="none" w:sz="0" w:space="0" w:color="auto"/>
        <w:left w:val="none" w:sz="0" w:space="0" w:color="auto"/>
        <w:bottom w:val="none" w:sz="0" w:space="0" w:color="auto"/>
        <w:right w:val="none" w:sz="0" w:space="0" w:color="auto"/>
      </w:divBdr>
      <w:divsChild>
        <w:div w:id="128937794">
          <w:marLeft w:val="0"/>
          <w:marRight w:val="0"/>
          <w:marTop w:val="120"/>
          <w:marBottom w:val="0"/>
          <w:divBdr>
            <w:top w:val="none" w:sz="0" w:space="0" w:color="auto"/>
            <w:left w:val="none" w:sz="0" w:space="0" w:color="auto"/>
            <w:bottom w:val="none" w:sz="0" w:space="0" w:color="auto"/>
            <w:right w:val="none" w:sz="0" w:space="0" w:color="auto"/>
          </w:divBdr>
        </w:div>
        <w:div w:id="1737628240">
          <w:marLeft w:val="0"/>
          <w:marRight w:val="0"/>
          <w:marTop w:val="0"/>
          <w:marBottom w:val="0"/>
          <w:divBdr>
            <w:top w:val="none" w:sz="0" w:space="0" w:color="auto"/>
            <w:left w:val="none" w:sz="0" w:space="0" w:color="auto"/>
            <w:bottom w:val="none" w:sz="0" w:space="0" w:color="auto"/>
            <w:right w:val="none" w:sz="0" w:space="0" w:color="auto"/>
          </w:divBdr>
        </w:div>
      </w:divsChild>
    </w:div>
    <w:div w:id="2126727897">
      <w:bodyDiv w:val="1"/>
      <w:marLeft w:val="0"/>
      <w:marRight w:val="0"/>
      <w:marTop w:val="0"/>
      <w:marBottom w:val="0"/>
      <w:divBdr>
        <w:top w:val="none" w:sz="0" w:space="0" w:color="auto"/>
        <w:left w:val="none" w:sz="0" w:space="0" w:color="auto"/>
        <w:bottom w:val="none" w:sz="0" w:space="0" w:color="auto"/>
        <w:right w:val="none" w:sz="0" w:space="0" w:color="auto"/>
      </w:divBdr>
      <w:divsChild>
        <w:div w:id="1820806129">
          <w:marLeft w:val="0"/>
          <w:marRight w:val="0"/>
          <w:marTop w:val="0"/>
          <w:marBottom w:val="0"/>
          <w:divBdr>
            <w:top w:val="none" w:sz="0" w:space="0" w:color="auto"/>
            <w:left w:val="none" w:sz="0" w:space="0" w:color="auto"/>
            <w:bottom w:val="none" w:sz="0" w:space="0" w:color="auto"/>
            <w:right w:val="none" w:sz="0" w:space="0" w:color="auto"/>
          </w:divBdr>
        </w:div>
      </w:divsChild>
    </w:div>
    <w:div w:id="2136826186">
      <w:bodyDiv w:val="1"/>
      <w:marLeft w:val="0"/>
      <w:marRight w:val="0"/>
      <w:marTop w:val="0"/>
      <w:marBottom w:val="0"/>
      <w:divBdr>
        <w:top w:val="none" w:sz="0" w:space="0" w:color="auto"/>
        <w:left w:val="none" w:sz="0" w:space="0" w:color="auto"/>
        <w:bottom w:val="none" w:sz="0" w:space="0" w:color="auto"/>
        <w:right w:val="none" w:sz="0" w:space="0" w:color="auto"/>
      </w:divBdr>
      <w:divsChild>
        <w:div w:id="1452043860">
          <w:marLeft w:val="0"/>
          <w:marRight w:val="0"/>
          <w:marTop w:val="120"/>
          <w:marBottom w:val="0"/>
          <w:divBdr>
            <w:top w:val="none" w:sz="0" w:space="0" w:color="auto"/>
            <w:left w:val="none" w:sz="0" w:space="0" w:color="auto"/>
            <w:bottom w:val="none" w:sz="0" w:space="0" w:color="auto"/>
            <w:right w:val="none" w:sz="0" w:space="0" w:color="auto"/>
          </w:divBdr>
        </w:div>
        <w:div w:id="644822737">
          <w:marLeft w:val="0"/>
          <w:marRight w:val="0"/>
          <w:marTop w:val="0"/>
          <w:marBottom w:val="0"/>
          <w:divBdr>
            <w:top w:val="none" w:sz="0" w:space="0" w:color="auto"/>
            <w:left w:val="none" w:sz="0" w:space="0" w:color="auto"/>
            <w:bottom w:val="none" w:sz="0" w:space="0" w:color="auto"/>
            <w:right w:val="none" w:sz="0" w:space="0" w:color="auto"/>
          </w:divBdr>
        </w:div>
      </w:divsChild>
    </w:div>
    <w:div w:id="2140613243">
      <w:bodyDiv w:val="1"/>
      <w:marLeft w:val="0"/>
      <w:marRight w:val="0"/>
      <w:marTop w:val="0"/>
      <w:marBottom w:val="0"/>
      <w:divBdr>
        <w:top w:val="none" w:sz="0" w:space="0" w:color="auto"/>
        <w:left w:val="none" w:sz="0" w:space="0" w:color="auto"/>
        <w:bottom w:val="none" w:sz="0" w:space="0" w:color="auto"/>
        <w:right w:val="none" w:sz="0" w:space="0" w:color="auto"/>
      </w:divBdr>
      <w:divsChild>
        <w:div w:id="506095296">
          <w:marLeft w:val="0"/>
          <w:marRight w:val="0"/>
          <w:marTop w:val="0"/>
          <w:marBottom w:val="0"/>
          <w:divBdr>
            <w:top w:val="none" w:sz="0" w:space="0" w:color="auto"/>
            <w:left w:val="none" w:sz="0" w:space="0" w:color="auto"/>
            <w:bottom w:val="none" w:sz="0" w:space="0" w:color="auto"/>
            <w:right w:val="none" w:sz="0" w:space="0" w:color="auto"/>
          </w:divBdr>
        </w:div>
      </w:divsChild>
    </w:div>
    <w:div w:id="2146774480">
      <w:bodyDiv w:val="1"/>
      <w:marLeft w:val="0"/>
      <w:marRight w:val="0"/>
      <w:marTop w:val="0"/>
      <w:marBottom w:val="0"/>
      <w:divBdr>
        <w:top w:val="none" w:sz="0" w:space="0" w:color="auto"/>
        <w:left w:val="none" w:sz="0" w:space="0" w:color="auto"/>
        <w:bottom w:val="none" w:sz="0" w:space="0" w:color="auto"/>
        <w:right w:val="none" w:sz="0" w:space="0" w:color="auto"/>
      </w:divBdr>
      <w:divsChild>
        <w:div w:id="1800151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https://www.eba.europa.eu/documents/10180/1903962/84e72ac1-f751-46ec-9bb5-dbb85515cb9a/Guidelines%20on%20the%20rate%20of%20conversion%20%20(EBA-GL-2017-03)_RO.pdf"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8CAC3C81449C48AD5D92D92DC9617D" ma:contentTypeVersion="2" ma:contentTypeDescription="Create a new document." ma:contentTypeScope="" ma:versionID="1d37b2e5c9660466e872cb96c6fba4a1">
  <xsd:schema xmlns:xsd="http://www.w3.org/2001/XMLSchema" xmlns:xs="http://www.w3.org/2001/XMLSchema" xmlns:p="http://schemas.microsoft.com/office/2006/metadata/properties" xmlns:ns2="69bbdc10-7158-49aa-aea6-1bda3afb970b" targetNamespace="http://schemas.microsoft.com/office/2006/metadata/properties" ma:root="true" ma:fieldsID="079ddf1b1e249d4e1ca21b261e2805ad" ns2:_="">
    <xsd:import namespace="69bbdc10-7158-49aa-aea6-1bda3afb970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bdc10-7158-49aa-aea6-1bda3afb970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9bbdc10-7158-49aa-aea6-1bda3afb970b">
      <UserInfo>
        <DisplayName>Elisaveta G. Caragia</DisplayName>
        <AccountId>14</AccountId>
        <AccountType/>
      </UserInfo>
      <UserInfo>
        <DisplayName>Valeria G. Chira</DisplayName>
        <AccountId>17</AccountId>
        <AccountType/>
      </UserInfo>
      <UserInfo>
        <DisplayName>Mihaela V. Damian</DisplayName>
        <AccountId>16</AccountId>
        <AccountType/>
      </UserInfo>
      <UserInfo>
        <DisplayName>Eugeniu N. Don</DisplayName>
        <AccountId>18</AccountId>
        <AccountType/>
      </UserInfo>
    </SharedWithUsers>
  </documentManagement>
</p:properties>
</file>

<file path=customXml/item4.xml><?xml version="1.0" encoding="utf-8"?>
<titus xmlns="http://schemas.titus.com/TitusProperties/">
  <TitusGUID xmlns="">3e8bfa85-3417-45e7-afec-d54470d24a92</TitusGUID>
  <TitusMetadata xmlns="">eyJucyI6IioiLCJwcm9wcyI6W3sibiI6IkNsYXNpZmljYXJlIiwidmFscyI6W3sidmFsdWUiOiJOT05FIn1dfV19</TitusMetadata>
</titu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2C795-9783-434D-B80A-867B56A183EE}">
  <ds:schemaRefs>
    <ds:schemaRef ds:uri="http://schemas.microsoft.com/sharepoint/v3/contenttype/forms"/>
  </ds:schemaRefs>
</ds:datastoreItem>
</file>

<file path=customXml/itemProps2.xml><?xml version="1.0" encoding="utf-8"?>
<ds:datastoreItem xmlns:ds="http://schemas.openxmlformats.org/officeDocument/2006/customXml" ds:itemID="{8409DB65-3F8B-4477-933B-8A2027562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bdc10-7158-49aa-aea6-1bda3afb9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BC0DA9-ADC3-4122-B062-07860513A43F}">
  <ds:schemaRefs>
    <ds:schemaRef ds:uri="http://schemas.microsoft.com/office/2006/metadata/properties"/>
    <ds:schemaRef ds:uri="http://schemas.microsoft.com/office/infopath/2007/PartnerControls"/>
    <ds:schemaRef ds:uri="69bbdc10-7158-49aa-aea6-1bda3afb970b"/>
  </ds:schemaRefs>
</ds:datastoreItem>
</file>

<file path=customXml/itemProps4.xml><?xml version="1.0" encoding="utf-8"?>
<ds:datastoreItem xmlns:ds="http://schemas.openxmlformats.org/officeDocument/2006/customXml" ds:itemID="{134D7409-439B-43B8-B5B1-4F6B43973FAF}">
  <ds:schemaRefs>
    <ds:schemaRef ds:uri="http://schemas.titus.com/TitusProperties/"/>
    <ds:schemaRef ds:uri=""/>
  </ds:schemaRefs>
</ds:datastoreItem>
</file>

<file path=customXml/itemProps5.xml><?xml version="1.0" encoding="utf-8"?>
<ds:datastoreItem xmlns:ds="http://schemas.openxmlformats.org/officeDocument/2006/customXml" ds:itemID="{E9D158A5-639E-432B-8FEB-DFABBBE80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413</Pages>
  <Words>210430</Words>
  <Characters>1199457</Characters>
  <Application>Microsoft Office Word</Application>
  <DocSecurity>0</DocSecurity>
  <Lines>9995</Lines>
  <Paragraphs>2814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Violina Lungu</dc:creator>
  <cp:keywords/>
  <dc:description/>
  <cp:lastModifiedBy>Sorina, Hiznicenco</cp:lastModifiedBy>
  <cp:revision>11</cp:revision>
  <dcterms:created xsi:type="dcterms:W3CDTF">2026-07-21T07:13:00Z</dcterms:created>
  <dcterms:modified xsi:type="dcterms:W3CDTF">2026-07-22T07:15:00Z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2025-12-11T08:55:07Z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bc3e61f0-4af4-4966-8ff6-9e165d1514cc</vt:lpwstr>
  </property>
  <property fmtid="{D5CDD505-2E9C-101B-9397-08002B2CF9AE}" pid="8" name="MSIP_Label_38962dcf-d39f-4edc-a396-338a56ba9170_ContentBits">
    <vt:lpwstr>0</vt:lpwstr>
  </property>
  <property fmtid="{D5CDD505-2E9C-101B-9397-08002B2CF9AE}" pid="9" name="MSIP_Label_38962dcf-d39f-4edc-a396-338a56ba9170_Tag">
    <vt:lpwstr>10, 0, 1, 1</vt:lpwstr>
  </property>
  <property fmtid="{D5CDD505-2E9C-101B-9397-08002B2CF9AE}" pid="10" name="TitusGUID">
    <vt:lpwstr>3e8bfa85-3417-45e7-afec-d54470d24a92</vt:lpwstr>
  </property>
  <property fmtid="{D5CDD505-2E9C-101B-9397-08002B2CF9AE}" pid="11" name="Clasificare">
    <vt:lpwstr>NONE</vt:lpwstr>
  </property>
  <property fmtid="{D5CDD505-2E9C-101B-9397-08002B2CF9AE}" pid="12" name="ContentTypeId">
    <vt:lpwstr>0x0101006E8CAC3C81449C48AD5D92D92DC9617D</vt:lpwstr>
  </property>
</Properties>
</file>